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55" w:type="pct"/>
        <w:tblLayout w:type="fixed"/>
        <w:tblCellMar>
          <w:left w:w="0" w:type="dxa"/>
          <w:right w:w="0" w:type="dxa"/>
        </w:tblCellMar>
        <w:tblLook w:val="04A0" w:firstRow="1" w:lastRow="0" w:firstColumn="1" w:lastColumn="0" w:noHBand="0" w:noVBand="1"/>
      </w:tblPr>
      <w:tblGrid>
        <w:gridCol w:w="6332"/>
        <w:gridCol w:w="3027"/>
      </w:tblGrid>
      <w:tr w:rsidR="000A2E4E" w:rsidRPr="0060462D" w:rsidTr="00E05197">
        <w:tc>
          <w:tcPr>
            <w:tcW w:w="6333" w:type="dxa"/>
            <w:hideMark/>
          </w:tcPr>
          <w:p w:rsidR="00E05197" w:rsidRPr="0060462D" w:rsidRDefault="00E05197">
            <w:r w:rsidRPr="0060462D">
              <w:rPr>
                <w:noProof/>
                <w:lang w:val="en-US"/>
              </w:rPr>
              <w:drawing>
                <wp:inline distT="0" distB="0" distL="0" distR="0" wp14:anchorId="4951F79E" wp14:editId="68954F59">
                  <wp:extent cx="95250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p>
        </w:tc>
        <w:tc>
          <w:tcPr>
            <w:tcW w:w="3027" w:type="dxa"/>
            <w:hideMark/>
          </w:tcPr>
          <w:p w:rsidR="00E05197" w:rsidRPr="0060462D" w:rsidRDefault="00E05197">
            <w:pPr>
              <w:pStyle w:val="Lettrine"/>
            </w:pPr>
            <w:r w:rsidRPr="0060462D">
              <w:t>F</w:t>
            </w:r>
          </w:p>
        </w:tc>
      </w:tr>
      <w:tr w:rsidR="00E05197" w:rsidRPr="0060462D" w:rsidTr="00E05197">
        <w:trPr>
          <w:trHeight w:val="219"/>
        </w:trPr>
        <w:tc>
          <w:tcPr>
            <w:tcW w:w="6333" w:type="dxa"/>
            <w:hideMark/>
          </w:tcPr>
          <w:p w:rsidR="00E05197" w:rsidRPr="0060462D" w:rsidRDefault="00E05197">
            <w:pPr>
              <w:pStyle w:val="upove"/>
            </w:pPr>
            <w:r w:rsidRPr="0060462D">
              <w:t>Union internationale pour la protection des obtentions végétales</w:t>
            </w:r>
          </w:p>
        </w:tc>
        <w:tc>
          <w:tcPr>
            <w:tcW w:w="3027" w:type="dxa"/>
          </w:tcPr>
          <w:p w:rsidR="00E05197" w:rsidRPr="0060462D" w:rsidRDefault="00E05197"/>
        </w:tc>
      </w:tr>
    </w:tbl>
    <w:p w:rsidR="00CC0333" w:rsidRPr="0060462D" w:rsidRDefault="00CC0333" w:rsidP="00784E02"/>
    <w:p w:rsidR="00784E02" w:rsidRPr="0060462D" w:rsidRDefault="00784E02" w:rsidP="00784E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84E02" w:rsidRPr="0060462D" w:rsidTr="0096342F">
        <w:tc>
          <w:tcPr>
            <w:tcW w:w="6512" w:type="dxa"/>
          </w:tcPr>
          <w:p w:rsidR="00784E02" w:rsidRPr="0060462D" w:rsidRDefault="00784E02" w:rsidP="0096342F">
            <w:pPr>
              <w:pStyle w:val="Sessiontcplacedate"/>
              <w:spacing w:before="0"/>
              <w:contextualSpacing w:val="0"/>
            </w:pPr>
          </w:p>
        </w:tc>
        <w:tc>
          <w:tcPr>
            <w:tcW w:w="3127" w:type="dxa"/>
          </w:tcPr>
          <w:p w:rsidR="00CC0333" w:rsidRPr="00E56601" w:rsidRDefault="00784E02" w:rsidP="0096342F">
            <w:pPr>
              <w:pStyle w:val="Doccode"/>
              <w:rPr>
                <w:lang w:val="fr-FR"/>
              </w:rPr>
            </w:pPr>
            <w:r w:rsidRPr="00E56601">
              <w:rPr>
                <w:lang w:val="fr-FR"/>
              </w:rPr>
              <w:t>TGP/</w:t>
            </w:r>
            <w:r w:rsidR="005F385A" w:rsidRPr="00E56601">
              <w:rPr>
                <w:lang w:val="fr-FR"/>
              </w:rPr>
              <w:t>15</w:t>
            </w:r>
            <w:r w:rsidRPr="00E56601">
              <w:rPr>
                <w:lang w:val="fr-FR"/>
              </w:rPr>
              <w:t>/</w:t>
            </w:r>
            <w:r w:rsidR="005F385A" w:rsidRPr="00E56601">
              <w:rPr>
                <w:lang w:val="fr-FR"/>
              </w:rPr>
              <w:t>2</w:t>
            </w:r>
            <w:r w:rsidRPr="00E56601">
              <w:rPr>
                <w:lang w:val="fr-FR"/>
              </w:rPr>
              <w:t xml:space="preserve"> </w:t>
            </w:r>
            <w:r w:rsidR="005A605F" w:rsidRPr="00E56601">
              <w:rPr>
                <w:lang w:val="fr-FR"/>
              </w:rPr>
              <w:t>Draft 2</w:t>
            </w:r>
          </w:p>
          <w:p w:rsidR="00CC0333" w:rsidRPr="00E56601" w:rsidRDefault="00784E02" w:rsidP="0096342F">
            <w:pPr>
              <w:pStyle w:val="Docoriginal"/>
            </w:pPr>
            <w:r w:rsidRPr="00E56601">
              <w:t>Original</w:t>
            </w:r>
            <w:r w:rsidR="00D30F83" w:rsidRPr="00E56601">
              <w:t> </w:t>
            </w:r>
            <w:r w:rsidRPr="00E56601">
              <w:t>:</w:t>
            </w:r>
            <w:r w:rsidR="00E05197" w:rsidRPr="00E56601">
              <w:rPr>
                <w:b w:val="0"/>
                <w:spacing w:val="0"/>
              </w:rPr>
              <w:t xml:space="preserve"> anglais</w:t>
            </w:r>
          </w:p>
          <w:p w:rsidR="00784E02" w:rsidRPr="0060462D" w:rsidRDefault="00784E02" w:rsidP="00E56601">
            <w:pPr>
              <w:pStyle w:val="Docoriginal"/>
            </w:pPr>
            <w:r w:rsidRPr="00E56601">
              <w:t>Date</w:t>
            </w:r>
            <w:r w:rsidR="00D30F83" w:rsidRPr="00E56601">
              <w:t> </w:t>
            </w:r>
            <w:r w:rsidRPr="00E56601">
              <w:t>:</w:t>
            </w:r>
            <w:r w:rsidR="00E05197" w:rsidRPr="00E56601">
              <w:rPr>
                <w:b w:val="0"/>
                <w:spacing w:val="0"/>
              </w:rPr>
              <w:t xml:space="preserve"> </w:t>
            </w:r>
            <w:r w:rsidR="00E56601" w:rsidRPr="00E56601">
              <w:rPr>
                <w:b w:val="0"/>
                <w:spacing w:val="0"/>
              </w:rPr>
              <w:t>1</w:t>
            </w:r>
            <w:r w:rsidR="00E56601" w:rsidRPr="00E56601">
              <w:rPr>
                <w:b w:val="0"/>
                <w:spacing w:val="0"/>
                <w:vertAlign w:val="superscript"/>
              </w:rPr>
              <w:t>er</w:t>
            </w:r>
            <w:r w:rsidR="00E56601" w:rsidRPr="00E56601">
              <w:rPr>
                <w:b w:val="0"/>
                <w:spacing w:val="0"/>
              </w:rPr>
              <w:t xml:space="preserve"> août </w:t>
            </w:r>
            <w:r w:rsidR="0060462D" w:rsidRPr="00E56601">
              <w:rPr>
                <w:b w:val="0"/>
                <w:spacing w:val="0"/>
              </w:rPr>
              <w:t>2019</w:t>
            </w:r>
          </w:p>
        </w:tc>
      </w:tr>
    </w:tbl>
    <w:p w:rsidR="00CC0333" w:rsidRPr="0060462D" w:rsidRDefault="00CC0333" w:rsidP="00784E02">
      <w:bookmarkStart w:id="0" w:name="TitleOfDoc"/>
      <w:bookmarkEnd w:id="0"/>
    </w:p>
    <w:p w:rsidR="00CC0333" w:rsidRPr="0060462D" w:rsidRDefault="00CC0333" w:rsidP="00784E02"/>
    <w:p w:rsidR="00784E02" w:rsidRPr="0060462D" w:rsidRDefault="00784E02" w:rsidP="00784E02"/>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0A2E4E" w:rsidRPr="0060462D" w:rsidTr="00784E02">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C0333" w:rsidRPr="0060462D" w:rsidRDefault="00674093" w:rsidP="00674093">
            <w:pPr>
              <w:jc w:val="center"/>
              <w:rPr>
                <w:b/>
              </w:rPr>
            </w:pPr>
            <w:r w:rsidRPr="0060462D">
              <w:rPr>
                <w:b/>
              </w:rPr>
              <w:t>PROJET</w:t>
            </w:r>
          </w:p>
          <w:p w:rsidR="00784E02" w:rsidRPr="0060462D" w:rsidRDefault="00674093" w:rsidP="00674093">
            <w:pPr>
              <w:jc w:val="center"/>
              <w:rPr>
                <w:b/>
              </w:rPr>
            </w:pPr>
            <w:r w:rsidRPr="0060462D">
              <w:rPr>
                <w:b/>
              </w:rPr>
              <w:t>(RÉVISION)</w:t>
            </w:r>
          </w:p>
        </w:tc>
      </w:tr>
    </w:tbl>
    <w:p w:rsidR="00CC0333" w:rsidRPr="0060462D" w:rsidRDefault="00CC0333" w:rsidP="00D70948"/>
    <w:p w:rsidR="00CC0333" w:rsidRPr="0060462D" w:rsidRDefault="00CC0333" w:rsidP="00D70948"/>
    <w:p w:rsidR="00CC0333" w:rsidRPr="0060462D" w:rsidRDefault="00CC0333" w:rsidP="00D70948"/>
    <w:p w:rsidR="00CC0333" w:rsidRPr="0060462D" w:rsidRDefault="00584532" w:rsidP="00EC4EC6">
      <w:pPr>
        <w:pStyle w:val="TitleofDoc"/>
      </w:pPr>
      <w:r w:rsidRPr="0060462D">
        <w:rPr>
          <w:rFonts w:cs="Arial"/>
        </w:rPr>
        <w:t>Document connexe à</w:t>
      </w:r>
      <w:r w:rsidRPr="0060462D">
        <w:rPr>
          <w:rFonts w:cs="Arial"/>
        </w:rPr>
        <w:br/>
        <w:t>l</w:t>
      </w:r>
      <w:r w:rsidR="00F97ECC" w:rsidRPr="0060462D">
        <w:rPr>
          <w:rFonts w:cs="Arial"/>
        </w:rPr>
        <w:t>’</w:t>
      </w:r>
      <w:r w:rsidRPr="0060462D">
        <w:rPr>
          <w:rFonts w:cs="Arial"/>
        </w:rPr>
        <w:t>introduction générale à l</w:t>
      </w:r>
      <w:r w:rsidR="00F97ECC" w:rsidRPr="0060462D">
        <w:rPr>
          <w:rFonts w:cs="Arial"/>
        </w:rPr>
        <w:t>’</w:t>
      </w:r>
      <w:r w:rsidRPr="0060462D">
        <w:rPr>
          <w:rFonts w:cs="Arial"/>
        </w:rPr>
        <w:t>examen de</w:t>
      </w:r>
      <w:r w:rsidR="00F94398" w:rsidRPr="0060462D">
        <w:rPr>
          <w:rFonts w:cs="Arial"/>
        </w:rPr>
        <w:t xml:space="preserve"> </w:t>
      </w:r>
      <w:r w:rsidRPr="0060462D">
        <w:rPr>
          <w:rFonts w:cs="Arial"/>
        </w:rPr>
        <w:t>la distinction, de l</w:t>
      </w:r>
      <w:r w:rsidR="00F97ECC" w:rsidRPr="0060462D">
        <w:rPr>
          <w:rFonts w:cs="Arial"/>
        </w:rPr>
        <w:t>’</w:t>
      </w:r>
      <w:r w:rsidRPr="0060462D">
        <w:rPr>
          <w:rFonts w:cs="Arial"/>
        </w:rPr>
        <w:t>homogénéité et de la stabilité et</w:t>
      </w:r>
      <w:r w:rsidRPr="0060462D">
        <w:rPr>
          <w:rFonts w:cs="Arial"/>
        </w:rPr>
        <w:br/>
        <w:t>à l</w:t>
      </w:r>
      <w:r w:rsidR="00F97ECC" w:rsidRPr="0060462D">
        <w:rPr>
          <w:rFonts w:cs="Arial"/>
        </w:rPr>
        <w:t>’</w:t>
      </w:r>
      <w:r w:rsidRPr="0060462D">
        <w:rPr>
          <w:rFonts w:cs="Arial"/>
        </w:rPr>
        <w:t>harmonisation des descriptions des obtentions végétales (document</w:t>
      </w:r>
      <w:r w:rsidR="006D4686" w:rsidRPr="0060462D">
        <w:rPr>
          <w:rFonts w:cs="Arial"/>
        </w:rPr>
        <w:t> </w:t>
      </w:r>
      <w:r w:rsidRPr="0060462D">
        <w:rPr>
          <w:rFonts w:cs="Arial"/>
        </w:rPr>
        <w:t>TG/1/3)</w:t>
      </w:r>
    </w:p>
    <w:p w:rsidR="00CC0333" w:rsidRPr="0060462D" w:rsidRDefault="00B06FD1" w:rsidP="00805055">
      <w:pPr>
        <w:pStyle w:val="Titleofdoc0"/>
        <w:tabs>
          <w:tab w:val="left" w:pos="2343"/>
        </w:tabs>
        <w:rPr>
          <w:rFonts w:ascii="Arial Bold" w:hAnsi="Arial Bold"/>
          <w:caps/>
        </w:rPr>
      </w:pPr>
      <w:r w:rsidRPr="0060462D">
        <w:t>DOCUMENT</w:t>
      </w:r>
      <w:r w:rsidR="006D4686" w:rsidRPr="0060462D">
        <w:t> </w:t>
      </w:r>
      <w:r w:rsidRPr="0060462D">
        <w:t>TGP/15</w:t>
      </w:r>
      <w:r w:rsidRPr="0060462D">
        <w:br/>
      </w:r>
      <w:r w:rsidR="00584532" w:rsidRPr="0060462D">
        <w:br/>
      </w:r>
      <w:r w:rsidR="00805055" w:rsidRPr="0060462D">
        <w:rPr>
          <w:rFonts w:ascii="Arial Bold" w:hAnsi="Arial Bold"/>
          <w:caps/>
        </w:rPr>
        <w:t>Conseils en ce qui concerne l’utilisation des marqueurs biochimiques et</w:t>
      </w:r>
      <w:r w:rsidR="004A564B" w:rsidRPr="0060462D">
        <w:rPr>
          <w:rFonts w:ascii="Arial Bold" w:hAnsi="Arial Bold"/>
          <w:caps/>
        </w:rPr>
        <w:t> </w:t>
      </w:r>
      <w:r w:rsidR="00805055" w:rsidRPr="0060462D">
        <w:rPr>
          <w:rFonts w:ascii="Arial Bold" w:hAnsi="Arial Bold"/>
          <w:caps/>
        </w:rPr>
        <w:t>moléculaires dans l’examen de la distinction,</w:t>
      </w:r>
      <w:r w:rsidR="0060462D">
        <w:rPr>
          <w:rFonts w:ascii="Arial Bold" w:hAnsi="Arial Bold"/>
          <w:caps/>
        </w:rPr>
        <w:t xml:space="preserve"> </w:t>
      </w:r>
      <w:r w:rsidR="00805055" w:rsidRPr="0060462D">
        <w:rPr>
          <w:rFonts w:ascii="Arial Bold" w:hAnsi="Arial Bold"/>
          <w:caps/>
        </w:rPr>
        <w:t xml:space="preserve">de l’homogénéité et </w:t>
      </w:r>
      <w:r w:rsidR="0060462D">
        <w:rPr>
          <w:rFonts w:ascii="Arial Bold" w:hAnsi="Arial Bold"/>
          <w:caps/>
        </w:rPr>
        <w:br/>
      </w:r>
      <w:r w:rsidR="00805055" w:rsidRPr="0060462D">
        <w:rPr>
          <w:rFonts w:ascii="Arial Bold" w:hAnsi="Arial Bold"/>
          <w:caps/>
        </w:rPr>
        <w:t>de la stabilité (DHS)</w:t>
      </w:r>
    </w:p>
    <w:p w:rsidR="005A605F" w:rsidRPr="0060462D" w:rsidRDefault="005A605F" w:rsidP="005A605F">
      <w:pPr>
        <w:pStyle w:val="preparedby1"/>
      </w:pPr>
      <w:bookmarkStart w:id="1" w:name="Prepared"/>
      <w:bookmarkEnd w:id="1"/>
      <w:r w:rsidRPr="0060462D">
        <w:t>Document établi par le Bureau de l’Union</w:t>
      </w:r>
    </w:p>
    <w:p w:rsidR="005A605F" w:rsidRPr="0060462D" w:rsidRDefault="005A605F" w:rsidP="005A605F">
      <w:pPr>
        <w:pStyle w:val="preparedby1"/>
      </w:pPr>
      <w:r w:rsidRPr="0060462D">
        <w:t xml:space="preserve">aux fins d’examen par </w:t>
      </w:r>
    </w:p>
    <w:p w:rsidR="005A605F" w:rsidRPr="0060462D" w:rsidRDefault="005A605F" w:rsidP="005A605F">
      <w:pPr>
        <w:pStyle w:val="preparedby1"/>
      </w:pPr>
      <w:r w:rsidRPr="0060462D">
        <w:t>le Comité technique à sa cinquante-cinquième session</w:t>
      </w:r>
      <w:r w:rsidRPr="0060462D">
        <w:br/>
        <w:t>qui se tiendra à Genève les 28 et 29 octobre 2019,</w:t>
      </w:r>
    </w:p>
    <w:p w:rsidR="005A605F" w:rsidRPr="0060462D" w:rsidRDefault="005A605F" w:rsidP="005A605F">
      <w:pPr>
        <w:pStyle w:val="preparedby1"/>
      </w:pPr>
      <w:r w:rsidRPr="0060462D">
        <w:t>le Comité administratif et juridique à sa soixante-seizième session</w:t>
      </w:r>
      <w:r w:rsidRPr="0060462D">
        <w:br/>
        <w:t>qui se tiendra à Genève le 30 octobre 2019</w:t>
      </w:r>
    </w:p>
    <w:p w:rsidR="005A605F" w:rsidRPr="0060462D" w:rsidRDefault="005A605F" w:rsidP="005A605F">
      <w:pPr>
        <w:pStyle w:val="preparedby1"/>
      </w:pPr>
      <w:r w:rsidRPr="0060462D">
        <w:t>et</w:t>
      </w:r>
    </w:p>
    <w:p w:rsidR="005A605F" w:rsidRPr="0060462D" w:rsidRDefault="005A605F" w:rsidP="005A605F">
      <w:pPr>
        <w:pStyle w:val="preparedby1"/>
      </w:pPr>
      <w:r w:rsidRPr="0060462D">
        <w:t>le Conseil à sa cinquante-troisième session ordinaire</w:t>
      </w:r>
      <w:r w:rsidRPr="0060462D">
        <w:br/>
        <w:t>qui se tiendra à Genève le 1</w:t>
      </w:r>
      <w:r w:rsidRPr="0060462D">
        <w:rPr>
          <w:vertAlign w:val="superscript"/>
        </w:rPr>
        <w:t>er</w:t>
      </w:r>
      <w:r w:rsidRPr="0060462D">
        <w:t xml:space="preserve"> novembre 2019</w:t>
      </w:r>
    </w:p>
    <w:p w:rsidR="005A605F" w:rsidRPr="0060462D" w:rsidRDefault="005A605F" w:rsidP="005A605F">
      <w:pPr>
        <w:pStyle w:val="Disclaimer"/>
        <w:rPr>
          <w:lang w:val="fr-FR"/>
        </w:rPr>
      </w:pPr>
      <w:r w:rsidRPr="0060462D">
        <w:rPr>
          <w:lang w:val="fr-FR"/>
        </w:rPr>
        <w:t>Avertissement : le présent document ne représente pas les principes ou les orientations de l’UPOV</w:t>
      </w:r>
    </w:p>
    <w:p w:rsidR="00CC0333" w:rsidRPr="0060462D" w:rsidRDefault="008922C9" w:rsidP="00E306B7">
      <w:pPr>
        <w:pStyle w:val="Disclaimer"/>
        <w:spacing w:after="1200"/>
        <w:rPr>
          <w:color w:val="auto"/>
          <w:lang w:val="fr-FR"/>
        </w:rPr>
      </w:pPr>
      <w:r w:rsidRPr="0060462D">
        <w:rPr>
          <w:color w:val="auto"/>
          <w:lang w:val="fr-FR"/>
        </w:rPr>
        <w:br w:type="page"/>
      </w:r>
    </w:p>
    <w:p w:rsidR="00CC0333" w:rsidRPr="0060462D" w:rsidRDefault="00CC0333" w:rsidP="00E306B7">
      <w:pPr>
        <w:jc w:val="center"/>
      </w:pPr>
    </w:p>
    <w:p w:rsidR="00CC0333" w:rsidRPr="0060462D" w:rsidRDefault="002E3099" w:rsidP="002E3099">
      <w:pPr>
        <w:jc w:val="center"/>
      </w:pPr>
      <w:r w:rsidRPr="0060462D">
        <w:t>TABLE DES MATIÈRES</w:t>
      </w:r>
    </w:p>
    <w:p w:rsidR="00CC0333" w:rsidRPr="0060462D" w:rsidRDefault="00CC0333" w:rsidP="00E306B7">
      <w:pPr>
        <w:tabs>
          <w:tab w:val="left" w:pos="3800"/>
        </w:tabs>
        <w:spacing w:before="120" w:after="120"/>
        <w:ind w:left="567" w:hanging="567"/>
        <w:rPr>
          <w:rFonts w:cs="Arial"/>
        </w:rPr>
      </w:pPr>
    </w:p>
    <w:p w:rsidR="00AB3A2D" w:rsidRDefault="00E306B7">
      <w:pPr>
        <w:pStyle w:val="TOC1"/>
        <w:rPr>
          <w:rFonts w:asciiTheme="minorHAnsi" w:eastAsiaTheme="minorEastAsia" w:hAnsiTheme="minorHAnsi" w:cstheme="minorBidi"/>
          <w:b w:val="0"/>
          <w:caps w:val="0"/>
          <w:sz w:val="22"/>
          <w:szCs w:val="22"/>
        </w:rPr>
      </w:pPr>
      <w:r w:rsidRPr="0060462D">
        <w:rPr>
          <w:lang w:val="fr-FR"/>
        </w:rPr>
        <w:fldChar w:fldCharType="begin"/>
      </w:r>
      <w:r w:rsidRPr="0060462D">
        <w:rPr>
          <w:lang w:val="fr-FR"/>
        </w:rPr>
        <w:instrText xml:space="preserve"> TOC \o "1-3" </w:instrText>
      </w:r>
      <w:r w:rsidRPr="0060462D">
        <w:rPr>
          <w:lang w:val="fr-FR"/>
        </w:rPr>
        <w:fldChar w:fldCharType="separate"/>
      </w:r>
      <w:r w:rsidR="00AB3A2D" w:rsidRPr="00893336">
        <w:rPr>
          <w:lang w:val="fr-FR"/>
        </w:rPr>
        <w:t>1.</w:t>
      </w:r>
      <w:r w:rsidR="00AB3A2D">
        <w:rPr>
          <w:rFonts w:asciiTheme="minorHAnsi" w:eastAsiaTheme="minorEastAsia" w:hAnsiTheme="minorHAnsi" w:cstheme="minorBidi"/>
          <w:b w:val="0"/>
          <w:caps w:val="0"/>
          <w:sz w:val="22"/>
          <w:szCs w:val="22"/>
        </w:rPr>
        <w:tab/>
      </w:r>
      <w:r w:rsidR="00AB3A2D" w:rsidRPr="00893336">
        <w:rPr>
          <w:lang w:val="fr-FR"/>
        </w:rPr>
        <w:t>INTRODUCTION</w:t>
      </w:r>
      <w:r w:rsidR="00AB3A2D">
        <w:tab/>
      </w:r>
      <w:r w:rsidR="00AB3A2D">
        <w:fldChar w:fldCharType="begin"/>
      </w:r>
      <w:r w:rsidR="00AB3A2D">
        <w:instrText xml:space="preserve"> PAGEREF _Toc14106519 \h </w:instrText>
      </w:r>
      <w:r w:rsidR="00AB3A2D">
        <w:fldChar w:fldCharType="separate"/>
      </w:r>
      <w:r w:rsidR="00AB3A2D">
        <w:t>3</w:t>
      </w:r>
      <w:r w:rsidR="00AB3A2D">
        <w:fldChar w:fldCharType="end"/>
      </w:r>
    </w:p>
    <w:p w:rsidR="00AB3A2D" w:rsidRDefault="00AB3A2D">
      <w:pPr>
        <w:pStyle w:val="TOC1"/>
        <w:rPr>
          <w:rFonts w:asciiTheme="minorHAnsi" w:eastAsiaTheme="minorEastAsia" w:hAnsiTheme="minorHAnsi" w:cstheme="minorBidi"/>
          <w:b w:val="0"/>
          <w:caps w:val="0"/>
          <w:sz w:val="22"/>
          <w:szCs w:val="22"/>
        </w:rPr>
      </w:pPr>
      <w:r w:rsidRPr="00893336">
        <w:rPr>
          <w:lang w:val="fr-FR"/>
        </w:rPr>
        <w:t>2.</w:t>
      </w:r>
      <w:r>
        <w:rPr>
          <w:rFonts w:asciiTheme="minorHAnsi" w:eastAsiaTheme="minorEastAsia" w:hAnsiTheme="minorHAnsi" w:cstheme="minorBidi"/>
          <w:b w:val="0"/>
          <w:caps w:val="0"/>
          <w:sz w:val="22"/>
          <w:szCs w:val="22"/>
        </w:rPr>
        <w:tab/>
      </w:r>
      <w:r w:rsidRPr="00893336">
        <w:rPr>
          <w:lang w:val="fr-FR"/>
        </w:rPr>
        <w:t>MODÈLES D’APPLICATION</w:t>
      </w:r>
      <w:r>
        <w:tab/>
      </w:r>
      <w:r>
        <w:fldChar w:fldCharType="begin"/>
      </w:r>
      <w:r>
        <w:instrText xml:space="preserve"> PAGEREF _Toc14106520 \h </w:instrText>
      </w:r>
      <w:r>
        <w:fldChar w:fldCharType="separate"/>
      </w:r>
      <w:r>
        <w:t>3</w:t>
      </w:r>
      <w:r>
        <w:fldChar w:fldCharType="end"/>
      </w:r>
    </w:p>
    <w:p w:rsidR="00AB3A2D" w:rsidRDefault="00AB3A2D">
      <w:pPr>
        <w:pStyle w:val="TOC2"/>
        <w:rPr>
          <w:rFonts w:asciiTheme="minorHAnsi" w:eastAsiaTheme="minorEastAsia" w:hAnsiTheme="minorHAnsi" w:cstheme="minorBidi"/>
          <w:sz w:val="22"/>
          <w:szCs w:val="22"/>
        </w:rPr>
      </w:pPr>
      <w:r w:rsidRPr="00893336">
        <w:rPr>
          <w:lang w:val="fr-FR"/>
        </w:rPr>
        <w:t>2.1</w:t>
      </w:r>
      <w:r>
        <w:rPr>
          <w:rFonts w:asciiTheme="minorHAnsi" w:eastAsiaTheme="minorEastAsia" w:hAnsiTheme="minorHAnsi" w:cstheme="minorBidi"/>
          <w:sz w:val="22"/>
          <w:szCs w:val="22"/>
        </w:rPr>
        <w:tab/>
      </w:r>
      <w:r w:rsidRPr="00893336">
        <w:rPr>
          <w:lang w:val="fr-FR"/>
        </w:rPr>
        <w:t>Marqueurs moléculaires propres aux caractères (voir l’annexe I)</w:t>
      </w:r>
      <w:r>
        <w:tab/>
      </w:r>
      <w:r>
        <w:fldChar w:fldCharType="begin"/>
      </w:r>
      <w:r>
        <w:instrText xml:space="preserve"> PAGEREF _Toc14106521 \h </w:instrText>
      </w:r>
      <w:r>
        <w:fldChar w:fldCharType="separate"/>
      </w:r>
      <w:r>
        <w:t>3</w:t>
      </w:r>
      <w:r>
        <w:fldChar w:fldCharType="end"/>
      </w:r>
    </w:p>
    <w:p w:rsidR="00AB3A2D" w:rsidRDefault="00AB3A2D">
      <w:pPr>
        <w:pStyle w:val="TOC2"/>
        <w:rPr>
          <w:rFonts w:asciiTheme="minorHAnsi" w:eastAsiaTheme="minorEastAsia" w:hAnsiTheme="minorHAnsi" w:cstheme="minorBidi"/>
          <w:sz w:val="22"/>
          <w:szCs w:val="22"/>
        </w:rPr>
      </w:pPr>
      <w:r w:rsidRPr="00893336">
        <w:rPr>
          <w:lang w:val="fr-FR"/>
        </w:rPr>
        <w:t>2.2</w:t>
      </w:r>
      <w:r>
        <w:rPr>
          <w:rFonts w:asciiTheme="minorHAnsi" w:eastAsiaTheme="minorEastAsia" w:hAnsiTheme="minorHAnsi" w:cstheme="minorBidi"/>
          <w:sz w:val="22"/>
          <w:szCs w:val="22"/>
        </w:rPr>
        <w:tab/>
      </w:r>
      <w:r w:rsidRPr="00893336">
        <w:rPr>
          <w:lang w:val="fr-FR"/>
        </w:rPr>
        <w:t>Combinaison de distances phénotypiques et moléculaires pour gérer des collections de variétés (voir l’annexe II)</w:t>
      </w:r>
      <w:r>
        <w:tab/>
      </w:r>
      <w:r>
        <w:fldChar w:fldCharType="begin"/>
      </w:r>
      <w:r>
        <w:instrText xml:space="preserve"> PAGEREF _Toc14106522 \h </w:instrText>
      </w:r>
      <w:r>
        <w:fldChar w:fldCharType="separate"/>
      </w:r>
      <w:r>
        <w:t>4</w:t>
      </w:r>
      <w:r>
        <w:fldChar w:fldCharType="end"/>
      </w:r>
    </w:p>
    <w:p w:rsidR="00AB3A2D" w:rsidRDefault="00AB3A2D">
      <w:pPr>
        <w:pStyle w:val="TOC2"/>
        <w:rPr>
          <w:rFonts w:asciiTheme="minorHAnsi" w:eastAsiaTheme="minorEastAsia" w:hAnsiTheme="minorHAnsi" w:cstheme="minorBidi"/>
          <w:sz w:val="22"/>
          <w:szCs w:val="22"/>
        </w:rPr>
      </w:pPr>
      <w:r>
        <w:t>2.3</w:t>
      </w:r>
      <w:r>
        <w:rPr>
          <w:rFonts w:asciiTheme="minorHAnsi" w:eastAsiaTheme="minorEastAsia" w:hAnsiTheme="minorHAnsi" w:cstheme="minorBidi"/>
          <w:sz w:val="22"/>
          <w:szCs w:val="22"/>
        </w:rPr>
        <w:tab/>
      </w:r>
      <w:r>
        <w:t>Sélection génétique de variétés voisines pour le premier cycle de végétation (voir l’annexe III)</w:t>
      </w:r>
      <w:r>
        <w:tab/>
      </w:r>
      <w:r>
        <w:fldChar w:fldCharType="begin"/>
      </w:r>
      <w:r>
        <w:instrText xml:space="preserve"> PAGEREF _Toc14106523 \h </w:instrText>
      </w:r>
      <w:r>
        <w:fldChar w:fldCharType="separate"/>
      </w:r>
      <w:r>
        <w:t>4</w:t>
      </w:r>
      <w:r>
        <w:fldChar w:fldCharType="end"/>
      </w:r>
    </w:p>
    <w:p w:rsidR="00CC0333" w:rsidRPr="0060462D" w:rsidRDefault="00E306B7" w:rsidP="00E306B7">
      <w:pPr>
        <w:tabs>
          <w:tab w:val="left" w:pos="1980"/>
        </w:tabs>
        <w:rPr>
          <w:rFonts w:cs="Arial"/>
          <w:snapToGrid w:val="0"/>
        </w:rPr>
      </w:pPr>
      <w:r w:rsidRPr="0060462D">
        <w:rPr>
          <w:rFonts w:cs="Arial"/>
          <w:snapToGrid w:val="0"/>
        </w:rPr>
        <w:fldChar w:fldCharType="end"/>
      </w:r>
    </w:p>
    <w:p w:rsidR="00CC0333" w:rsidRPr="0060462D" w:rsidRDefault="00214699" w:rsidP="00D1239D">
      <w:pPr>
        <w:tabs>
          <w:tab w:val="left" w:pos="1276"/>
          <w:tab w:val="left" w:pos="2410"/>
        </w:tabs>
        <w:spacing w:after="120"/>
        <w:ind w:left="1260" w:right="567" w:hanging="1260"/>
        <w:rPr>
          <w:rFonts w:cs="Arial"/>
          <w:snapToGrid w:val="0"/>
        </w:rPr>
      </w:pPr>
      <w:r w:rsidRPr="0060462D">
        <w:t>ANNEXE I</w:t>
      </w:r>
      <w:r w:rsidR="005E27B6" w:rsidRPr="0060462D">
        <w:tab/>
        <w:t>MOD</w:t>
      </w:r>
      <w:r w:rsidR="005E27B6" w:rsidRPr="0060462D">
        <w:rPr>
          <w:rFonts w:cs="Arial"/>
        </w:rPr>
        <w:t>È</w:t>
      </w:r>
      <w:r w:rsidR="005E27B6" w:rsidRPr="0060462D">
        <w:t>LE</w:t>
      </w:r>
      <w:r w:rsidR="00F97ECC" w:rsidRPr="0060462D">
        <w:t> :</w:t>
      </w:r>
      <w:r w:rsidR="00D30F83" w:rsidRPr="0060462D">
        <w:t xml:space="preserve"> </w:t>
      </w:r>
      <w:r w:rsidR="005E27B6" w:rsidRPr="0060462D">
        <w:tab/>
        <w:t>MARQUEURS MOLÉCULAIRES PROPRES AUX CARACTÈRES</w:t>
      </w:r>
    </w:p>
    <w:p w:rsidR="00CC0333" w:rsidRPr="0060462D" w:rsidRDefault="005E27B6" w:rsidP="00D1239D">
      <w:pPr>
        <w:tabs>
          <w:tab w:val="left" w:pos="2410"/>
        </w:tabs>
        <w:spacing w:after="60"/>
        <w:ind w:left="2410" w:hanging="2410"/>
        <w:rPr>
          <w:rFonts w:cs="Arial"/>
          <w:snapToGrid w:val="0"/>
          <w:sz w:val="18"/>
          <w:szCs w:val="18"/>
        </w:rPr>
      </w:pPr>
      <w:r w:rsidRPr="0060462D">
        <w:rPr>
          <w:rFonts w:cs="Arial"/>
          <w:snapToGrid w:val="0"/>
          <w:sz w:val="18"/>
          <w:szCs w:val="18"/>
        </w:rPr>
        <w:tab/>
        <w:t>EXEMPLE</w:t>
      </w:r>
      <w:r w:rsidR="00F97ECC" w:rsidRPr="0060462D">
        <w:rPr>
          <w:rFonts w:cs="Arial"/>
          <w:snapToGrid w:val="0"/>
          <w:sz w:val="18"/>
          <w:szCs w:val="18"/>
        </w:rPr>
        <w:t> :</w:t>
      </w:r>
      <w:r w:rsidRPr="0060462D">
        <w:rPr>
          <w:rFonts w:cs="Arial"/>
          <w:snapToGrid w:val="0"/>
          <w:sz w:val="18"/>
          <w:szCs w:val="18"/>
        </w:rPr>
        <w:t xml:space="preserve"> </w:t>
      </w:r>
      <w:r w:rsidRPr="0060462D">
        <w:rPr>
          <w:sz w:val="18"/>
          <w:szCs w:val="18"/>
        </w:rPr>
        <w:t>MARQUEUR DE G</w:t>
      </w:r>
      <w:r w:rsidRPr="0060462D">
        <w:rPr>
          <w:rFonts w:cs="Arial"/>
          <w:sz w:val="18"/>
          <w:szCs w:val="18"/>
        </w:rPr>
        <w:t>È</w:t>
      </w:r>
      <w:r w:rsidRPr="0060462D">
        <w:rPr>
          <w:sz w:val="18"/>
          <w:szCs w:val="18"/>
        </w:rPr>
        <w:t>NE CONCERNANT LA TOL</w:t>
      </w:r>
      <w:r w:rsidRPr="0060462D">
        <w:rPr>
          <w:rFonts w:cs="Arial"/>
          <w:sz w:val="18"/>
          <w:szCs w:val="18"/>
        </w:rPr>
        <w:t>É</w:t>
      </w:r>
      <w:r w:rsidRPr="0060462D">
        <w:rPr>
          <w:sz w:val="18"/>
          <w:szCs w:val="18"/>
        </w:rPr>
        <w:t>RANCE AUX HERBICIDES</w:t>
      </w:r>
    </w:p>
    <w:p w:rsidR="00CC0333" w:rsidRPr="0060462D" w:rsidRDefault="00CC0333" w:rsidP="00D1239D">
      <w:pPr>
        <w:tabs>
          <w:tab w:val="left" w:pos="1276"/>
          <w:tab w:val="left" w:pos="8020"/>
        </w:tabs>
        <w:rPr>
          <w:rFonts w:cs="Arial"/>
          <w:snapToGrid w:val="0"/>
        </w:rPr>
      </w:pPr>
    </w:p>
    <w:p w:rsidR="00CC0333" w:rsidRPr="0060462D" w:rsidRDefault="00214699" w:rsidP="00D1239D">
      <w:pPr>
        <w:tabs>
          <w:tab w:val="left" w:pos="1276"/>
          <w:tab w:val="left" w:pos="2394"/>
        </w:tabs>
        <w:spacing w:after="120"/>
        <w:ind w:left="2410" w:hanging="2410"/>
        <w:rPr>
          <w:rFonts w:cs="Arial"/>
          <w:snapToGrid w:val="0"/>
        </w:rPr>
      </w:pPr>
      <w:r w:rsidRPr="0060462D">
        <w:rPr>
          <w:rFonts w:cs="Arial"/>
          <w:snapToGrid w:val="0"/>
        </w:rPr>
        <w:t>ANNEXE</w:t>
      </w:r>
      <w:r w:rsidR="006D4686" w:rsidRPr="0060462D">
        <w:rPr>
          <w:rFonts w:cs="Arial"/>
          <w:snapToGrid w:val="0"/>
        </w:rPr>
        <w:t> </w:t>
      </w:r>
      <w:r w:rsidRPr="0060462D">
        <w:rPr>
          <w:rFonts w:cs="Arial"/>
          <w:snapToGrid w:val="0"/>
        </w:rPr>
        <w:t>II</w:t>
      </w:r>
      <w:r w:rsidR="005E27B6" w:rsidRPr="0060462D">
        <w:rPr>
          <w:rFonts w:cs="Arial"/>
          <w:snapToGrid w:val="0"/>
        </w:rPr>
        <w:tab/>
      </w:r>
      <w:r w:rsidR="005E27B6" w:rsidRPr="0060462D">
        <w:rPr>
          <w:bCs/>
        </w:rPr>
        <w:t>MOD</w:t>
      </w:r>
      <w:r w:rsidR="005E27B6" w:rsidRPr="0060462D">
        <w:rPr>
          <w:rFonts w:cs="Arial"/>
          <w:bCs/>
        </w:rPr>
        <w:t>È</w:t>
      </w:r>
      <w:r w:rsidR="005E27B6" w:rsidRPr="0060462D">
        <w:rPr>
          <w:bCs/>
        </w:rPr>
        <w:t>LE</w:t>
      </w:r>
      <w:r w:rsidR="00F97ECC" w:rsidRPr="0060462D">
        <w:rPr>
          <w:bCs/>
        </w:rPr>
        <w:t> :</w:t>
      </w:r>
      <w:r w:rsidR="00D30F83" w:rsidRPr="0060462D">
        <w:rPr>
          <w:bCs/>
        </w:rPr>
        <w:t xml:space="preserve"> </w:t>
      </w:r>
      <w:r w:rsidR="005E27B6" w:rsidRPr="0060462D">
        <w:rPr>
          <w:bCs/>
        </w:rPr>
        <w:tab/>
        <w:t>COMBINAISON DE DISTANCES PHÉNOTYPIQUES ET MOL</w:t>
      </w:r>
      <w:r w:rsidR="005E27B6" w:rsidRPr="0060462D">
        <w:rPr>
          <w:rFonts w:cs="Arial"/>
          <w:bCs/>
        </w:rPr>
        <w:t>É</w:t>
      </w:r>
      <w:r w:rsidR="005E27B6" w:rsidRPr="0060462D">
        <w:rPr>
          <w:bCs/>
        </w:rPr>
        <w:t>CULAIRES POUR GÉRER DES COLLECTIONS DE VARIÉTÉS</w:t>
      </w:r>
    </w:p>
    <w:p w:rsidR="00CC0333" w:rsidRPr="0060462D" w:rsidRDefault="005E27B6" w:rsidP="00D1239D">
      <w:pPr>
        <w:tabs>
          <w:tab w:val="left" w:pos="2410"/>
        </w:tabs>
        <w:ind w:left="2410" w:hanging="2410"/>
        <w:rPr>
          <w:rFonts w:cs="Arial"/>
          <w:snapToGrid w:val="0"/>
          <w:sz w:val="18"/>
          <w:szCs w:val="18"/>
        </w:rPr>
      </w:pPr>
      <w:r w:rsidRPr="0060462D">
        <w:rPr>
          <w:rFonts w:cs="Arial"/>
          <w:snapToGrid w:val="0"/>
          <w:sz w:val="18"/>
          <w:szCs w:val="18"/>
        </w:rPr>
        <w:tab/>
        <w:t>EXEMPLE</w:t>
      </w:r>
      <w:r w:rsidR="00F97ECC" w:rsidRPr="0060462D">
        <w:rPr>
          <w:rFonts w:cs="Arial"/>
          <w:snapToGrid w:val="0"/>
          <w:sz w:val="18"/>
          <w:szCs w:val="18"/>
        </w:rPr>
        <w:t> :</w:t>
      </w:r>
      <w:r w:rsidRPr="0060462D">
        <w:rPr>
          <w:rFonts w:cs="Arial"/>
          <w:snapToGrid w:val="0"/>
          <w:sz w:val="18"/>
          <w:szCs w:val="18"/>
        </w:rPr>
        <w:t xml:space="preserve"> </w:t>
      </w:r>
      <w:r w:rsidRPr="0060462D">
        <w:rPr>
          <w:sz w:val="18"/>
          <w:szCs w:val="18"/>
        </w:rPr>
        <w:t>LIGNÉES PARENTALES DU MAÏS</w:t>
      </w:r>
    </w:p>
    <w:p w:rsidR="00CC0333" w:rsidRPr="0060462D" w:rsidRDefault="00CC0333" w:rsidP="00D1239D">
      <w:pPr>
        <w:tabs>
          <w:tab w:val="left" w:pos="1276"/>
          <w:tab w:val="left" w:pos="1980"/>
        </w:tabs>
        <w:rPr>
          <w:rFonts w:cs="Arial"/>
          <w:snapToGrid w:val="0"/>
        </w:rPr>
      </w:pPr>
    </w:p>
    <w:p w:rsidR="00CC0333" w:rsidRPr="00AB3A2D" w:rsidRDefault="00B26D2A" w:rsidP="00D1239D">
      <w:pPr>
        <w:tabs>
          <w:tab w:val="left" w:pos="1276"/>
          <w:tab w:val="left" w:pos="2394"/>
        </w:tabs>
        <w:spacing w:after="120"/>
        <w:ind w:left="2410" w:hanging="2410"/>
      </w:pPr>
      <w:r w:rsidRPr="00AB3A2D">
        <w:t>ANNEX</w:t>
      </w:r>
      <w:r w:rsidR="00C73A71" w:rsidRPr="00AB3A2D">
        <w:t>E</w:t>
      </w:r>
      <w:r w:rsidR="006D4686" w:rsidRPr="00AB3A2D">
        <w:t> </w:t>
      </w:r>
      <w:r w:rsidR="00207199" w:rsidRPr="00AB3A2D">
        <w:t>III</w:t>
      </w:r>
      <w:r w:rsidRPr="00AB3A2D">
        <w:tab/>
      </w:r>
      <w:r w:rsidR="00B5264F" w:rsidRPr="00AB3A2D">
        <w:t>MODÈLE</w:t>
      </w:r>
      <w:r w:rsidR="00F97ECC" w:rsidRPr="00AB3A2D">
        <w:t> :</w:t>
      </w:r>
      <w:r w:rsidR="00D30F83" w:rsidRPr="00AB3A2D">
        <w:t xml:space="preserve"> </w:t>
      </w:r>
      <w:r w:rsidR="00857F4F" w:rsidRPr="00AB3A2D">
        <w:tab/>
      </w:r>
      <w:r w:rsidR="00B5264F" w:rsidRPr="00AB3A2D">
        <w:t>SÉLECTION GÉNÉTIQUE DE VARIÉTÉS VOISINES POUR LE PREMIER CYCLE DE VÉGÉTATION</w:t>
      </w:r>
    </w:p>
    <w:p w:rsidR="00CC0333" w:rsidRPr="00D1239D" w:rsidRDefault="00B5264F" w:rsidP="00D1239D">
      <w:pPr>
        <w:tabs>
          <w:tab w:val="left" w:pos="2410"/>
        </w:tabs>
        <w:ind w:left="2410" w:hanging="2410"/>
        <w:rPr>
          <w:rFonts w:cs="Arial"/>
          <w:snapToGrid w:val="0"/>
          <w:sz w:val="18"/>
          <w:szCs w:val="18"/>
          <w:shd w:val="pct15" w:color="auto" w:fill="FFFFFF"/>
        </w:rPr>
      </w:pPr>
      <w:r w:rsidRPr="00AB3A2D">
        <w:rPr>
          <w:rFonts w:cs="Arial"/>
          <w:snapToGrid w:val="0"/>
          <w:sz w:val="18"/>
          <w:szCs w:val="18"/>
        </w:rPr>
        <w:tab/>
        <w:t>EXEMPLE</w:t>
      </w:r>
      <w:r w:rsidR="00F97ECC" w:rsidRPr="00AB3A2D">
        <w:rPr>
          <w:rFonts w:cs="Arial"/>
          <w:snapToGrid w:val="0"/>
          <w:sz w:val="18"/>
          <w:szCs w:val="18"/>
        </w:rPr>
        <w:t> :</w:t>
      </w:r>
      <w:r w:rsidRPr="00AB3A2D">
        <w:rPr>
          <w:rFonts w:cs="Arial"/>
          <w:snapToGrid w:val="0"/>
          <w:sz w:val="18"/>
          <w:szCs w:val="18"/>
        </w:rPr>
        <w:t xml:space="preserve"> HARICOT VERT</w:t>
      </w:r>
    </w:p>
    <w:p w:rsidR="00CC0333" w:rsidRPr="0060462D" w:rsidRDefault="00E306B7" w:rsidP="00E306B7">
      <w:pPr>
        <w:pStyle w:val="Heading1"/>
        <w:rPr>
          <w:lang w:val="fr-FR"/>
        </w:rPr>
      </w:pPr>
      <w:r w:rsidRPr="0060462D">
        <w:rPr>
          <w:snapToGrid w:val="0"/>
          <w:lang w:val="fr-FR"/>
        </w:rPr>
        <w:br w:type="page"/>
      </w:r>
      <w:bookmarkStart w:id="2" w:name="_Toc14106519"/>
      <w:r w:rsidRPr="0060462D">
        <w:rPr>
          <w:lang w:val="fr-FR"/>
        </w:rPr>
        <w:lastRenderedPageBreak/>
        <w:t>1.</w:t>
      </w:r>
      <w:r w:rsidRPr="0060462D">
        <w:rPr>
          <w:lang w:val="fr-FR"/>
        </w:rPr>
        <w:tab/>
        <w:t>INTRODUCTION</w:t>
      </w:r>
      <w:bookmarkEnd w:id="2"/>
    </w:p>
    <w:p w:rsidR="00CC0333" w:rsidRPr="0060462D" w:rsidRDefault="00E306B7" w:rsidP="00E306B7">
      <w:pPr>
        <w:rPr>
          <w:rFonts w:cs="Arial"/>
        </w:rPr>
      </w:pPr>
      <w:r w:rsidRPr="0060462D">
        <w:rPr>
          <w:rFonts w:cs="Arial"/>
        </w:rPr>
        <w:t>1.1</w:t>
      </w:r>
      <w:r w:rsidRPr="0060462D">
        <w:rPr>
          <w:rFonts w:cs="Arial"/>
        </w:rPr>
        <w:tab/>
      </w:r>
      <w:r w:rsidR="00231EE5" w:rsidRPr="0060462D">
        <w:t>Le document</w:t>
      </w:r>
      <w:r w:rsidR="006D4686" w:rsidRPr="0060462D">
        <w:t> </w:t>
      </w:r>
      <w:r w:rsidR="00231EE5" w:rsidRPr="0060462D">
        <w:t>UPOV/INF/18 “Utilisation possible des marqueurs moléculaires dans l</w:t>
      </w:r>
      <w:r w:rsidR="00F97ECC" w:rsidRPr="0060462D">
        <w:t>’</w:t>
      </w:r>
      <w:r w:rsidR="00231EE5" w:rsidRPr="0060462D">
        <w:t>examen de la distinction, de l</w:t>
      </w:r>
      <w:r w:rsidR="00F97ECC" w:rsidRPr="0060462D">
        <w:t>’</w:t>
      </w:r>
      <w:r w:rsidR="00231EE5" w:rsidRPr="0060462D">
        <w:t>homogénéité et de la stabilité (DHS) concerne des modèles d</w:t>
      </w:r>
      <w:r w:rsidR="00F97ECC" w:rsidRPr="0060462D">
        <w:t>’</w:t>
      </w:r>
      <w:r w:rsidR="00231EE5" w:rsidRPr="0060462D">
        <w:t>application éventuels aux fins de l</w:t>
      </w:r>
      <w:r w:rsidR="00F97ECC" w:rsidRPr="0060462D">
        <w:t>’</w:t>
      </w:r>
      <w:r w:rsidR="00231EE5" w:rsidRPr="0060462D">
        <w:t>utilisation des marqueurs biochimiques et moléculaires dans l</w:t>
      </w:r>
      <w:r w:rsidR="00F97ECC" w:rsidRPr="0060462D">
        <w:t>’</w:t>
      </w:r>
      <w:r w:rsidR="00231EE5" w:rsidRPr="0060462D">
        <w:t>examen DHS proposés au sous</w:t>
      </w:r>
      <w:r w:rsidR="00B84148" w:rsidRPr="0060462D">
        <w:noBreakHyphen/>
      </w:r>
      <w:r w:rsidR="00231EE5" w:rsidRPr="0060462D">
        <w:t>groupe ad hoc d</w:t>
      </w:r>
      <w:r w:rsidR="00F97ECC" w:rsidRPr="0060462D">
        <w:t>’</w:t>
      </w:r>
      <w:r w:rsidR="00231EE5" w:rsidRPr="0060462D">
        <w:t>experts techniques et juridiques sur les techniques biochimiques et moléculaires (Groupe de réflexion sur les travaux du BMT) par le Comité technique</w:t>
      </w:r>
      <w:r w:rsidR="00CC2E20">
        <w:t xml:space="preserve"> (TC)</w:t>
      </w:r>
      <w:r w:rsidR="00231EE5" w:rsidRPr="0060462D">
        <w:t>, sur la base des travaux du Groupe de travail sur les techniques biochimiques et moléculaires, notamment les profils d</w:t>
      </w:r>
      <w:r w:rsidR="00F97ECC" w:rsidRPr="0060462D">
        <w:t>’</w:t>
      </w:r>
      <w:r w:rsidR="00231EE5" w:rsidRPr="0060462D">
        <w:t>ADN (ci</w:t>
      </w:r>
      <w:r w:rsidR="00B84148" w:rsidRPr="0060462D">
        <w:noBreakHyphen/>
      </w:r>
      <w:r w:rsidR="00231EE5" w:rsidRPr="0060462D">
        <w:t>après dénommé “BMT”) et des sous</w:t>
      </w:r>
      <w:r w:rsidR="00B84148" w:rsidRPr="0060462D">
        <w:noBreakHyphen/>
      </w:r>
      <w:r w:rsidR="00231EE5" w:rsidRPr="0060462D">
        <w:t>groupes ad hoc sur les techniques moléculaires (sous</w:t>
      </w:r>
      <w:r w:rsidR="00B84148" w:rsidRPr="0060462D">
        <w:noBreakHyphen/>
      </w:r>
      <w:r w:rsidR="00231EE5" w:rsidRPr="0060462D">
        <w:t xml:space="preserve">groupes sur les plantes cultivées) (voir </w:t>
      </w:r>
      <w:hyperlink r:id="rId9" w:history="1">
        <w:r w:rsidR="00231EE5" w:rsidRPr="0060462D">
          <w:rPr>
            <w:rStyle w:val="Hyperlink"/>
          </w:rPr>
          <w:t>http://www.upov.int/about/fr/organigram.html</w:t>
        </w:r>
      </w:hyperlink>
      <w:r w:rsidR="00231EE5" w:rsidRPr="0060462D">
        <w:t>).  L</w:t>
      </w:r>
      <w:r w:rsidR="00F97ECC" w:rsidRPr="0060462D">
        <w:t>’</w:t>
      </w:r>
      <w:r w:rsidR="00231EE5" w:rsidRPr="0060462D">
        <w:t>évaluation réalisée par le Groupe de réflexion sur les travaux du BMT et les opinions du Comité technique et du Comité administratif et juridique sur ces modèles sont présentées dans le document</w:t>
      </w:r>
      <w:r w:rsidR="006D4686" w:rsidRPr="0060462D">
        <w:t> </w:t>
      </w:r>
      <w:r w:rsidR="00231EE5" w:rsidRPr="0060462D">
        <w:t>UPOV/INF/18</w:t>
      </w:r>
      <w:r w:rsidRPr="0060462D">
        <w:rPr>
          <w:rFonts w:cs="Arial"/>
        </w:rPr>
        <w:t>.</w:t>
      </w:r>
    </w:p>
    <w:p w:rsidR="00CC0333" w:rsidRPr="0060462D" w:rsidRDefault="00CC0333" w:rsidP="00E306B7">
      <w:pPr>
        <w:rPr>
          <w:rFonts w:cs="Arial"/>
        </w:rPr>
      </w:pPr>
    </w:p>
    <w:p w:rsidR="00F97ECC" w:rsidRPr="0060462D" w:rsidRDefault="00E306B7" w:rsidP="00231EE5">
      <w:pPr>
        <w:rPr>
          <w:rFonts w:cs="Arial"/>
        </w:rPr>
      </w:pPr>
      <w:r w:rsidRPr="0060462D">
        <w:rPr>
          <w:rFonts w:cs="Arial"/>
        </w:rPr>
        <w:t>1.2</w:t>
      </w:r>
      <w:r w:rsidRPr="0060462D">
        <w:rPr>
          <w:rFonts w:cs="Arial"/>
        </w:rPr>
        <w:tab/>
      </w:r>
      <w:r w:rsidR="00231EE5" w:rsidRPr="0060462D">
        <w:t>Le présent document contient des indications en ce qui concerne l</w:t>
      </w:r>
      <w:r w:rsidR="00F97ECC" w:rsidRPr="0060462D">
        <w:t>’</w:t>
      </w:r>
      <w:r w:rsidR="00231EE5" w:rsidRPr="0060462D">
        <w:t>utilisation des marqueurs biochimiques et moléculaires dans l</w:t>
      </w:r>
      <w:r w:rsidR="00F97ECC" w:rsidRPr="0060462D">
        <w:t>’</w:t>
      </w:r>
      <w:r w:rsidR="00231EE5" w:rsidRPr="0060462D">
        <w:t>examen de la distinction, de l</w:t>
      </w:r>
      <w:r w:rsidR="00F97ECC" w:rsidRPr="0060462D">
        <w:t>’</w:t>
      </w:r>
      <w:r w:rsidR="00231EE5" w:rsidRPr="0060462D">
        <w:t>homogénéité et de la stabilité (DHS) sur la base des modèles qui ont été évalués positivement et pour lesquels des exemples acceptés ont été fournis.</w:t>
      </w:r>
    </w:p>
    <w:p w:rsidR="00CC0333" w:rsidRPr="0060462D" w:rsidRDefault="00CC0333" w:rsidP="00E306B7">
      <w:pPr>
        <w:rPr>
          <w:rFonts w:cs="Arial"/>
        </w:rPr>
      </w:pPr>
    </w:p>
    <w:p w:rsidR="00CC0333" w:rsidRPr="0060462D" w:rsidRDefault="00E306B7" w:rsidP="00E306B7">
      <w:pPr>
        <w:rPr>
          <w:rFonts w:cs="Arial"/>
        </w:rPr>
      </w:pPr>
      <w:r w:rsidRPr="0060462D">
        <w:rPr>
          <w:rFonts w:cs="Arial"/>
        </w:rPr>
        <w:t>1.3</w:t>
      </w:r>
      <w:r w:rsidRPr="0060462D">
        <w:rPr>
          <w:rFonts w:cs="Arial"/>
        </w:rPr>
        <w:tab/>
      </w:r>
      <w:r w:rsidR="00231EE5" w:rsidRPr="0060462D">
        <w:t>Les seules obligations impératives pour les membres de l</w:t>
      </w:r>
      <w:r w:rsidR="00F97ECC" w:rsidRPr="0060462D">
        <w:t>’</w:t>
      </w:r>
      <w:r w:rsidR="00231EE5" w:rsidRPr="0060462D">
        <w:t xml:space="preserve">Union sont celles qui figurent dans le texte de la </w:t>
      </w:r>
      <w:r w:rsidR="00F97ECC" w:rsidRPr="0060462D">
        <w:t>Convention UPOV</w:t>
      </w:r>
      <w:r w:rsidR="00231EE5" w:rsidRPr="0060462D">
        <w:t xml:space="preserve"> proprement dite;  les notes explicatives ne doivent pas être interprétées d</w:t>
      </w:r>
      <w:r w:rsidR="00F97ECC" w:rsidRPr="0060462D">
        <w:t>’</w:t>
      </w:r>
      <w:r w:rsidR="00231EE5" w:rsidRPr="0060462D">
        <w:t>une manière qui ne serait pas conforme à l</w:t>
      </w:r>
      <w:r w:rsidR="00F97ECC" w:rsidRPr="0060462D">
        <w:t>’</w:t>
      </w:r>
      <w:r w:rsidR="00231EE5" w:rsidRPr="0060462D">
        <w:t>acte pertinent pour le membre de l</w:t>
      </w:r>
      <w:r w:rsidR="00F97ECC" w:rsidRPr="0060462D">
        <w:t>’</w:t>
      </w:r>
      <w:r w:rsidR="00231EE5" w:rsidRPr="0060462D">
        <w:t>Union concerné</w:t>
      </w:r>
      <w:r w:rsidRPr="0060462D">
        <w:rPr>
          <w:rFonts w:cs="Arial"/>
        </w:rPr>
        <w:t>.</w:t>
      </w:r>
    </w:p>
    <w:p w:rsidR="00CC0333" w:rsidRPr="0060462D" w:rsidRDefault="00CC0333" w:rsidP="00E306B7">
      <w:pPr>
        <w:rPr>
          <w:rFonts w:cs="Arial"/>
        </w:rPr>
      </w:pPr>
    </w:p>
    <w:p w:rsidR="00CC0333" w:rsidRPr="0060462D" w:rsidRDefault="00E306B7" w:rsidP="00E306B7">
      <w:pPr>
        <w:rPr>
          <w:rFonts w:cs="Arial"/>
        </w:rPr>
      </w:pPr>
      <w:r w:rsidRPr="0060462D">
        <w:rPr>
          <w:rFonts w:cs="Arial"/>
        </w:rPr>
        <w:t>1.4</w:t>
      </w:r>
      <w:r w:rsidRPr="0060462D">
        <w:rPr>
          <w:rFonts w:cs="Arial"/>
        </w:rPr>
        <w:tab/>
      </w:r>
      <w:r w:rsidR="00231EE5" w:rsidRPr="0060462D">
        <w:t>Les abréviations ci</w:t>
      </w:r>
      <w:r w:rsidR="00B84148" w:rsidRPr="0060462D">
        <w:noBreakHyphen/>
      </w:r>
      <w:r w:rsidR="00231EE5" w:rsidRPr="0060462D">
        <w:t>après sont utilisées dans le présent document</w:t>
      </w:r>
      <w:r w:rsidR="00F97ECC" w:rsidRPr="0060462D">
        <w:t> :</w:t>
      </w:r>
    </w:p>
    <w:p w:rsidR="00CC0333" w:rsidRPr="0060462D" w:rsidRDefault="00CC0333" w:rsidP="00E306B7">
      <w:pPr>
        <w:keepNext/>
        <w:rPr>
          <w:rFonts w:cs="Arial"/>
        </w:rPr>
      </w:pPr>
    </w:p>
    <w:p w:rsidR="00CC0333"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CAJ</w:t>
      </w:r>
      <w:r w:rsidR="00F97ECC" w:rsidRPr="0060462D">
        <w:rPr>
          <w:rFonts w:ascii="Arial" w:hAnsi="Arial" w:cs="Arial"/>
          <w:sz w:val="20"/>
          <w:szCs w:val="20"/>
        </w:rPr>
        <w:t> :</w:t>
      </w:r>
      <w:r w:rsidRPr="0060462D">
        <w:rPr>
          <w:rFonts w:ascii="Arial" w:hAnsi="Arial" w:cs="Arial"/>
          <w:sz w:val="20"/>
          <w:szCs w:val="20"/>
        </w:rPr>
        <w:t xml:space="preserve"> </w:t>
      </w:r>
      <w:r w:rsidRPr="0060462D">
        <w:rPr>
          <w:rFonts w:ascii="Arial" w:hAnsi="Arial" w:cs="Arial"/>
          <w:sz w:val="20"/>
          <w:szCs w:val="20"/>
        </w:rPr>
        <w:tab/>
        <w:t>Comité administratif et juridique</w:t>
      </w:r>
    </w:p>
    <w:p w:rsidR="00CC0333"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TC</w:t>
      </w:r>
      <w:r w:rsidR="00F97ECC" w:rsidRPr="0060462D">
        <w:rPr>
          <w:rFonts w:ascii="Arial" w:hAnsi="Arial" w:cs="Arial"/>
          <w:sz w:val="20"/>
          <w:szCs w:val="20"/>
        </w:rPr>
        <w:t> :</w:t>
      </w:r>
      <w:r w:rsidRPr="0060462D">
        <w:rPr>
          <w:rFonts w:ascii="Arial" w:hAnsi="Arial" w:cs="Arial"/>
          <w:sz w:val="20"/>
          <w:szCs w:val="20"/>
        </w:rPr>
        <w:t xml:space="preserve"> </w:t>
      </w:r>
      <w:r w:rsidRPr="0060462D">
        <w:rPr>
          <w:rFonts w:ascii="Arial" w:hAnsi="Arial" w:cs="Arial"/>
          <w:sz w:val="20"/>
          <w:szCs w:val="20"/>
        </w:rPr>
        <w:tab/>
        <w:t>Comité technique</w:t>
      </w:r>
    </w:p>
    <w:p w:rsidR="00CC0333"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TWP</w:t>
      </w:r>
      <w:r w:rsidR="00F97ECC" w:rsidRPr="0060462D">
        <w:rPr>
          <w:rFonts w:ascii="Arial" w:hAnsi="Arial" w:cs="Arial"/>
          <w:sz w:val="20"/>
          <w:szCs w:val="20"/>
        </w:rPr>
        <w:t> :</w:t>
      </w:r>
      <w:r w:rsidRPr="0060462D">
        <w:rPr>
          <w:rFonts w:ascii="Arial" w:hAnsi="Arial" w:cs="Arial"/>
          <w:sz w:val="20"/>
          <w:szCs w:val="20"/>
        </w:rPr>
        <w:t xml:space="preserve"> </w:t>
      </w:r>
      <w:r w:rsidRPr="0060462D">
        <w:rPr>
          <w:rFonts w:ascii="Arial" w:hAnsi="Arial" w:cs="Arial"/>
          <w:sz w:val="20"/>
          <w:szCs w:val="20"/>
        </w:rPr>
        <w:tab/>
        <w:t>Groupe de travail technique</w:t>
      </w:r>
    </w:p>
    <w:p w:rsidR="00CC0333"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BMT</w:t>
      </w:r>
      <w:r w:rsidR="00F97ECC" w:rsidRPr="0060462D">
        <w:rPr>
          <w:rFonts w:ascii="Arial" w:hAnsi="Arial" w:cs="Arial"/>
          <w:sz w:val="20"/>
          <w:szCs w:val="20"/>
        </w:rPr>
        <w:t> :</w:t>
      </w:r>
      <w:r w:rsidRPr="0060462D">
        <w:rPr>
          <w:rFonts w:ascii="Arial" w:hAnsi="Arial" w:cs="Arial"/>
          <w:sz w:val="20"/>
          <w:szCs w:val="20"/>
        </w:rPr>
        <w:t xml:space="preserve"> </w:t>
      </w:r>
      <w:r w:rsidRPr="0060462D">
        <w:rPr>
          <w:rFonts w:ascii="Arial" w:hAnsi="Arial" w:cs="Arial"/>
          <w:sz w:val="20"/>
          <w:szCs w:val="20"/>
        </w:rPr>
        <w:tab/>
        <w:t>Groupe de travail sur les techniques biochimiques et moléculaires, notamment les profils d</w:t>
      </w:r>
      <w:r w:rsidR="00F97ECC" w:rsidRPr="0060462D">
        <w:rPr>
          <w:rFonts w:ascii="Arial" w:hAnsi="Arial" w:cs="Arial"/>
          <w:sz w:val="20"/>
          <w:szCs w:val="20"/>
        </w:rPr>
        <w:t>’</w:t>
      </w:r>
      <w:r w:rsidRPr="0060462D">
        <w:rPr>
          <w:rFonts w:ascii="Arial" w:hAnsi="Arial" w:cs="Arial"/>
          <w:sz w:val="20"/>
          <w:szCs w:val="20"/>
        </w:rPr>
        <w:t>ADN</w:t>
      </w:r>
    </w:p>
    <w:p w:rsidR="00F97ECC"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Groupe de réflexion sur</w:t>
      </w:r>
    </w:p>
    <w:p w:rsidR="00CC0333"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les travaux du BMT</w:t>
      </w:r>
      <w:r w:rsidR="00F97ECC" w:rsidRPr="0060462D">
        <w:rPr>
          <w:rFonts w:ascii="Arial" w:hAnsi="Arial" w:cs="Arial"/>
          <w:sz w:val="20"/>
          <w:szCs w:val="20"/>
        </w:rPr>
        <w:t> :</w:t>
      </w:r>
      <w:r w:rsidRPr="0060462D">
        <w:rPr>
          <w:rFonts w:ascii="Arial" w:hAnsi="Arial" w:cs="Arial"/>
          <w:sz w:val="20"/>
          <w:szCs w:val="20"/>
        </w:rPr>
        <w:t xml:space="preserve"> </w:t>
      </w:r>
      <w:r w:rsidRPr="0060462D">
        <w:rPr>
          <w:rFonts w:ascii="Arial" w:hAnsi="Arial" w:cs="Arial"/>
          <w:sz w:val="20"/>
          <w:szCs w:val="20"/>
        </w:rPr>
        <w:tab/>
        <w:t>Sous</w:t>
      </w:r>
      <w:r w:rsidR="00B84148" w:rsidRPr="0060462D">
        <w:rPr>
          <w:rFonts w:ascii="Arial" w:hAnsi="Arial" w:cs="Arial"/>
          <w:sz w:val="20"/>
          <w:szCs w:val="20"/>
        </w:rPr>
        <w:noBreakHyphen/>
      </w:r>
      <w:r w:rsidRPr="0060462D">
        <w:rPr>
          <w:rFonts w:ascii="Arial" w:hAnsi="Arial" w:cs="Arial"/>
          <w:sz w:val="20"/>
          <w:szCs w:val="20"/>
        </w:rPr>
        <w:t xml:space="preserve">groupe </w:t>
      </w:r>
      <w:r w:rsidRPr="0060462D">
        <w:rPr>
          <w:rFonts w:ascii="Arial" w:hAnsi="Arial" w:cs="Arial"/>
          <w:iCs/>
          <w:sz w:val="20"/>
          <w:szCs w:val="20"/>
        </w:rPr>
        <w:t>ad hoc</w:t>
      </w:r>
      <w:r w:rsidRPr="0060462D">
        <w:rPr>
          <w:rFonts w:ascii="Arial" w:hAnsi="Arial" w:cs="Arial"/>
          <w:i/>
          <w:sz w:val="20"/>
          <w:szCs w:val="20"/>
        </w:rPr>
        <w:t xml:space="preserve"> </w:t>
      </w:r>
      <w:r w:rsidRPr="0060462D">
        <w:rPr>
          <w:rFonts w:ascii="Arial" w:hAnsi="Arial" w:cs="Arial"/>
          <w:sz w:val="20"/>
          <w:szCs w:val="20"/>
        </w:rPr>
        <w:t>d</w:t>
      </w:r>
      <w:r w:rsidR="00F97ECC" w:rsidRPr="0060462D">
        <w:rPr>
          <w:rFonts w:ascii="Arial" w:hAnsi="Arial" w:cs="Arial"/>
          <w:sz w:val="20"/>
          <w:szCs w:val="20"/>
        </w:rPr>
        <w:t>’</w:t>
      </w:r>
      <w:r w:rsidRPr="0060462D">
        <w:rPr>
          <w:rFonts w:ascii="Arial" w:hAnsi="Arial" w:cs="Arial"/>
          <w:sz w:val="20"/>
          <w:szCs w:val="20"/>
        </w:rPr>
        <w:t>experts techniques et juridiques sur les techniques biochimiques et moléculaires</w:t>
      </w:r>
    </w:p>
    <w:p w:rsidR="00CC0333" w:rsidRPr="0060462D" w:rsidRDefault="00231EE5" w:rsidP="00231EE5">
      <w:pPr>
        <w:pStyle w:val="NormalWeb"/>
        <w:spacing w:before="0" w:beforeAutospacing="0" w:after="0" w:afterAutospacing="0"/>
        <w:ind w:left="4253" w:hanging="3686"/>
        <w:rPr>
          <w:rFonts w:ascii="Arial" w:hAnsi="Arial" w:cs="Arial"/>
          <w:sz w:val="20"/>
          <w:szCs w:val="20"/>
        </w:rPr>
      </w:pPr>
      <w:r w:rsidRPr="0060462D">
        <w:rPr>
          <w:rFonts w:ascii="Arial" w:hAnsi="Arial" w:cs="Arial"/>
          <w:sz w:val="20"/>
          <w:szCs w:val="20"/>
        </w:rPr>
        <w:t>Sous</w:t>
      </w:r>
      <w:r w:rsidR="00B84148" w:rsidRPr="0060462D">
        <w:rPr>
          <w:rFonts w:ascii="Arial" w:hAnsi="Arial" w:cs="Arial"/>
          <w:sz w:val="20"/>
          <w:szCs w:val="20"/>
        </w:rPr>
        <w:noBreakHyphen/>
      </w:r>
      <w:r w:rsidRPr="0060462D">
        <w:rPr>
          <w:rFonts w:ascii="Arial" w:hAnsi="Arial" w:cs="Arial"/>
          <w:sz w:val="20"/>
          <w:szCs w:val="20"/>
        </w:rPr>
        <w:t>groupe sur les plantes cultivées</w:t>
      </w:r>
      <w:r w:rsidR="00F97ECC" w:rsidRPr="0060462D">
        <w:rPr>
          <w:rFonts w:ascii="Arial" w:hAnsi="Arial" w:cs="Arial"/>
          <w:sz w:val="20"/>
          <w:szCs w:val="20"/>
        </w:rPr>
        <w:t> :</w:t>
      </w:r>
      <w:r w:rsidRPr="0060462D">
        <w:rPr>
          <w:rFonts w:ascii="Arial" w:hAnsi="Arial" w:cs="Arial"/>
          <w:sz w:val="20"/>
          <w:szCs w:val="20"/>
        </w:rPr>
        <w:t xml:space="preserve"> </w:t>
      </w:r>
      <w:r w:rsidRPr="0060462D">
        <w:rPr>
          <w:rFonts w:ascii="Arial" w:hAnsi="Arial" w:cs="Arial"/>
          <w:sz w:val="20"/>
          <w:szCs w:val="20"/>
        </w:rPr>
        <w:tab/>
        <w:t>Sous</w:t>
      </w:r>
      <w:r w:rsidR="00B84148" w:rsidRPr="0060462D">
        <w:rPr>
          <w:rFonts w:ascii="Arial" w:hAnsi="Arial" w:cs="Arial"/>
          <w:sz w:val="20"/>
          <w:szCs w:val="20"/>
        </w:rPr>
        <w:noBreakHyphen/>
      </w:r>
      <w:r w:rsidRPr="0060462D">
        <w:rPr>
          <w:rFonts w:ascii="Arial" w:hAnsi="Arial" w:cs="Arial"/>
          <w:sz w:val="20"/>
          <w:szCs w:val="20"/>
        </w:rPr>
        <w:t xml:space="preserve">groupe </w:t>
      </w:r>
      <w:r w:rsidRPr="0060462D">
        <w:rPr>
          <w:rFonts w:ascii="Arial" w:hAnsi="Arial" w:cs="Arial"/>
          <w:iCs/>
          <w:sz w:val="20"/>
          <w:szCs w:val="20"/>
        </w:rPr>
        <w:t>ad hoc</w:t>
      </w:r>
      <w:r w:rsidRPr="0060462D">
        <w:rPr>
          <w:rFonts w:ascii="Arial" w:hAnsi="Arial" w:cs="Arial"/>
          <w:sz w:val="20"/>
          <w:szCs w:val="20"/>
        </w:rPr>
        <w:t xml:space="preserve"> sur l</w:t>
      </w:r>
      <w:r w:rsidR="00F97ECC" w:rsidRPr="0060462D">
        <w:rPr>
          <w:rFonts w:ascii="Arial" w:hAnsi="Arial" w:cs="Arial"/>
          <w:sz w:val="20"/>
          <w:szCs w:val="20"/>
        </w:rPr>
        <w:t>’</w:t>
      </w:r>
      <w:r w:rsidRPr="0060462D">
        <w:rPr>
          <w:rFonts w:ascii="Arial" w:hAnsi="Arial" w:cs="Arial"/>
          <w:sz w:val="20"/>
          <w:szCs w:val="20"/>
        </w:rPr>
        <w:t>application des techniques moléculaires aux plantes cultivées</w:t>
      </w:r>
    </w:p>
    <w:p w:rsidR="00CC0333" w:rsidRPr="0060462D" w:rsidRDefault="00CC0333" w:rsidP="00E306B7">
      <w:pPr>
        <w:ind w:left="2835" w:hanging="2126"/>
        <w:rPr>
          <w:rFonts w:cs="Arial"/>
        </w:rPr>
      </w:pPr>
    </w:p>
    <w:p w:rsidR="00285E1C" w:rsidRPr="0060462D" w:rsidRDefault="00285E1C" w:rsidP="00E306B7">
      <w:pPr>
        <w:ind w:left="2835" w:hanging="2126"/>
        <w:rPr>
          <w:rFonts w:cs="Arial"/>
        </w:rPr>
      </w:pPr>
    </w:p>
    <w:p w:rsidR="00CC0333" w:rsidRPr="0060462D" w:rsidRDefault="00E306B7" w:rsidP="00E306B7">
      <w:pPr>
        <w:pStyle w:val="Heading1"/>
        <w:rPr>
          <w:lang w:val="fr-FR"/>
        </w:rPr>
      </w:pPr>
      <w:bookmarkStart w:id="3" w:name="_Toc311473359"/>
      <w:bookmarkStart w:id="4" w:name="_Toc14106520"/>
      <w:r w:rsidRPr="0060462D">
        <w:rPr>
          <w:rStyle w:val="TitleofDocChar"/>
          <w:lang w:val="fr-FR"/>
        </w:rPr>
        <w:t>2.</w:t>
      </w:r>
      <w:r w:rsidRPr="0060462D">
        <w:rPr>
          <w:rStyle w:val="TitleofDocChar"/>
          <w:lang w:val="fr-FR"/>
        </w:rPr>
        <w:tab/>
      </w:r>
      <w:bookmarkEnd w:id="3"/>
      <w:r w:rsidR="000D0329" w:rsidRPr="0060462D">
        <w:rPr>
          <w:lang w:val="fr-FR"/>
        </w:rPr>
        <w:t>MODÈLES D</w:t>
      </w:r>
      <w:r w:rsidR="00F97ECC" w:rsidRPr="0060462D">
        <w:rPr>
          <w:lang w:val="fr-FR"/>
        </w:rPr>
        <w:t>’</w:t>
      </w:r>
      <w:r w:rsidR="000D0329" w:rsidRPr="0060462D">
        <w:rPr>
          <w:lang w:val="fr-FR"/>
        </w:rPr>
        <w:t>APPLICATION</w:t>
      </w:r>
      <w:bookmarkEnd w:id="4"/>
    </w:p>
    <w:p w:rsidR="00CC0333" w:rsidRPr="0060462D" w:rsidRDefault="00E306B7" w:rsidP="00E306B7">
      <w:pPr>
        <w:pStyle w:val="Heading2"/>
        <w:rPr>
          <w:lang w:val="fr-FR"/>
        </w:rPr>
      </w:pPr>
      <w:bookmarkStart w:id="5" w:name="_Toc311473361"/>
      <w:bookmarkStart w:id="6" w:name="_Toc14106521"/>
      <w:r w:rsidRPr="0060462D">
        <w:rPr>
          <w:lang w:val="fr-FR"/>
        </w:rPr>
        <w:t>2.1</w:t>
      </w:r>
      <w:r w:rsidRPr="0060462D">
        <w:rPr>
          <w:lang w:val="fr-FR"/>
        </w:rPr>
        <w:tab/>
      </w:r>
      <w:bookmarkEnd w:id="5"/>
      <w:r w:rsidR="000D0329" w:rsidRPr="0060462D">
        <w:rPr>
          <w:lang w:val="fr-FR"/>
        </w:rPr>
        <w:t>Marqueurs moléculaires propres aux caractères (voir l</w:t>
      </w:r>
      <w:r w:rsidR="00F97ECC" w:rsidRPr="0060462D">
        <w:rPr>
          <w:lang w:val="fr-FR"/>
        </w:rPr>
        <w:t>’annexe I</w:t>
      </w:r>
      <w:r w:rsidR="000D0329" w:rsidRPr="0060462D">
        <w:rPr>
          <w:lang w:val="fr-FR"/>
        </w:rPr>
        <w:t>)</w:t>
      </w:r>
      <w:bookmarkEnd w:id="6"/>
    </w:p>
    <w:p w:rsidR="00CC0333" w:rsidRPr="0060462D" w:rsidRDefault="00E306B7" w:rsidP="00B21E53">
      <w:pPr>
        <w:keepNext/>
        <w:rPr>
          <w:rFonts w:cs="Arial"/>
        </w:rPr>
      </w:pPr>
      <w:r w:rsidRPr="0060462D">
        <w:rPr>
          <w:rFonts w:cs="Arial"/>
        </w:rPr>
        <w:t>2.1.1</w:t>
      </w:r>
      <w:r w:rsidRPr="0060462D">
        <w:rPr>
          <w:rFonts w:cs="Arial"/>
        </w:rPr>
        <w:tab/>
      </w:r>
      <w:r w:rsidR="00B21E53" w:rsidRPr="0060462D">
        <w:rPr>
          <w:rFonts w:cs="Arial"/>
        </w:rPr>
        <w:t>Les marqueurs moléculaires peuvent être utilisés pour examiner les caractères DHS qui répondent aux critères des caractères t</w:t>
      </w:r>
      <w:r w:rsidR="00B21E53" w:rsidRPr="0060462D">
        <w:t>els qu</w:t>
      </w:r>
      <w:r w:rsidR="00F97ECC" w:rsidRPr="0060462D">
        <w:t>’</w:t>
      </w:r>
      <w:r w:rsidR="00B21E53" w:rsidRPr="0060462D">
        <w:t>ils sont indiqués dans l</w:t>
      </w:r>
      <w:r w:rsidR="00F97ECC" w:rsidRPr="0060462D">
        <w:t>’</w:t>
      </w:r>
      <w:r w:rsidR="00B21E53" w:rsidRPr="0060462D">
        <w:t>Introduction générale</w:t>
      </w:r>
      <w:r w:rsidR="00B21E53" w:rsidRPr="0060462D">
        <w:rPr>
          <w:rFonts w:cs="Arial"/>
        </w:rPr>
        <w:t>, chapitre 4, section 4.2, sur la base suivante</w:t>
      </w:r>
      <w:r w:rsidR="00F97ECC" w:rsidRPr="0060462D">
        <w:rPr>
          <w:rFonts w:cs="Arial"/>
        </w:rPr>
        <w:t> :</w:t>
      </w:r>
    </w:p>
    <w:p w:rsidR="00CC0333" w:rsidRPr="0060462D" w:rsidRDefault="00CC0333" w:rsidP="00B21E53">
      <w:pPr>
        <w:keepNext/>
        <w:rPr>
          <w:rFonts w:cs="Arial"/>
        </w:rPr>
      </w:pPr>
    </w:p>
    <w:p w:rsidR="00CC0333" w:rsidRPr="0060462D" w:rsidRDefault="00B21E53" w:rsidP="00B21E53">
      <w:pPr>
        <w:pStyle w:val="BodyTextIndent"/>
        <w:ind w:left="0" w:firstLine="567"/>
      </w:pPr>
      <w:r w:rsidRPr="0060462D">
        <w:t>a)</w:t>
      </w:r>
      <w:r w:rsidRPr="0060462D">
        <w:tab/>
        <w:t>l</w:t>
      </w:r>
      <w:r w:rsidR="00F97ECC" w:rsidRPr="0060462D">
        <w:t>’</w:t>
      </w:r>
      <w:r w:rsidRPr="0060462D">
        <w:t>examen pour le marqueur est effectué sur le même nombre de plantes, avec les mêmes critères de distinction, d</w:t>
      </w:r>
      <w:r w:rsidR="00F97ECC" w:rsidRPr="0060462D">
        <w:t>’</w:t>
      </w:r>
      <w:r w:rsidRPr="0060462D">
        <w:t>homogénéité et de stabilité que pour l</w:t>
      </w:r>
      <w:r w:rsidR="00F97ECC" w:rsidRPr="0060462D">
        <w:t>’</w:t>
      </w:r>
      <w:r w:rsidRPr="0060462D">
        <w:t>examen du caractère par un essai biologique;</w:t>
      </w:r>
    </w:p>
    <w:p w:rsidR="00CC0333" w:rsidRPr="0060462D" w:rsidRDefault="00CC0333" w:rsidP="00B21E53">
      <w:pPr>
        <w:ind w:firstLine="567"/>
      </w:pPr>
    </w:p>
    <w:p w:rsidR="00CC0333" w:rsidRPr="0060462D" w:rsidRDefault="00B21E53" w:rsidP="00B21E53">
      <w:pPr>
        <w:ind w:firstLine="567"/>
        <w:rPr>
          <w:rFonts w:cs="Arial"/>
          <w:snapToGrid w:val="0"/>
        </w:rPr>
      </w:pPr>
      <w:r w:rsidRPr="0060462D">
        <w:t>b)</w:t>
      </w:r>
      <w:r w:rsidRPr="0060462D">
        <w:tab/>
        <w:t>il y a vérification de la fiabilité de la liaison entre le marqueur et le caractère</w:t>
      </w:r>
      <w:r w:rsidRPr="0060462D">
        <w:rPr>
          <w:rFonts w:cs="Arial"/>
          <w:snapToGrid w:val="0"/>
        </w:rPr>
        <w:t>;</w:t>
      </w:r>
    </w:p>
    <w:p w:rsidR="00CC0333" w:rsidRPr="0060462D" w:rsidRDefault="00CC0333" w:rsidP="00B21E53">
      <w:pPr>
        <w:ind w:firstLine="567"/>
        <w:rPr>
          <w:rFonts w:cs="Arial"/>
        </w:rPr>
      </w:pPr>
    </w:p>
    <w:p w:rsidR="00CC0333" w:rsidRPr="0060462D" w:rsidRDefault="00B21E53" w:rsidP="00B21E53">
      <w:pPr>
        <w:ind w:firstLine="567"/>
        <w:rPr>
          <w:rFonts w:cs="Arial"/>
        </w:rPr>
      </w:pPr>
      <w:r w:rsidRPr="0060462D">
        <w:rPr>
          <w:rFonts w:cs="Arial"/>
        </w:rPr>
        <w:t>c)</w:t>
      </w:r>
      <w:r w:rsidRPr="0060462D">
        <w:rPr>
          <w:rFonts w:cs="Arial"/>
        </w:rPr>
        <w:tab/>
        <w:t>différents marqueurs pour le même caractère sont différentes méthodes pour examiner le même caractère;</w:t>
      </w:r>
    </w:p>
    <w:p w:rsidR="00CC0333" w:rsidRPr="0060462D" w:rsidRDefault="00CC0333" w:rsidP="00B21E53">
      <w:pPr>
        <w:ind w:firstLine="567"/>
        <w:rPr>
          <w:rFonts w:cs="Arial"/>
        </w:rPr>
      </w:pPr>
    </w:p>
    <w:p w:rsidR="00CC0333" w:rsidRPr="0060462D" w:rsidRDefault="00B21E53" w:rsidP="00B21E53">
      <w:pPr>
        <w:ind w:firstLine="567"/>
        <w:rPr>
          <w:rFonts w:cs="Arial"/>
        </w:rPr>
      </w:pPr>
      <w:r w:rsidRPr="0060462D">
        <w:rPr>
          <w:rFonts w:cs="Arial"/>
        </w:rPr>
        <w:t>d)</w:t>
      </w:r>
      <w:r w:rsidRPr="0060462D">
        <w:rPr>
          <w:rFonts w:cs="Arial"/>
        </w:rPr>
        <w:tab/>
        <w:t>les marqueurs liés à différents gènes conférant l</w:t>
      </w:r>
      <w:r w:rsidR="00F97ECC" w:rsidRPr="0060462D">
        <w:rPr>
          <w:rFonts w:cs="Arial"/>
        </w:rPr>
        <w:t>’</w:t>
      </w:r>
      <w:r w:rsidRPr="0060462D">
        <w:rPr>
          <w:rFonts w:cs="Arial"/>
        </w:rPr>
        <w:t>expression du même caractère constituent différentes méthodes d</w:t>
      </w:r>
      <w:r w:rsidR="00F97ECC" w:rsidRPr="0060462D">
        <w:rPr>
          <w:rFonts w:cs="Arial"/>
        </w:rPr>
        <w:t>’</w:t>
      </w:r>
      <w:r w:rsidRPr="0060462D">
        <w:rPr>
          <w:rFonts w:cs="Arial"/>
        </w:rPr>
        <w:t>examen du même caractère;  et</w:t>
      </w:r>
    </w:p>
    <w:p w:rsidR="00CC0333" w:rsidRPr="0060462D" w:rsidRDefault="00CC0333" w:rsidP="00B21E53">
      <w:pPr>
        <w:ind w:firstLine="567"/>
        <w:rPr>
          <w:rFonts w:cs="Arial"/>
        </w:rPr>
      </w:pPr>
    </w:p>
    <w:p w:rsidR="00CC0333" w:rsidRPr="0060462D" w:rsidRDefault="00B21E53" w:rsidP="00B21E53">
      <w:pPr>
        <w:ind w:firstLine="567"/>
        <w:rPr>
          <w:rFonts w:cs="Arial"/>
          <w:snapToGrid w:val="0"/>
        </w:rPr>
      </w:pPr>
      <w:r w:rsidRPr="0060462D">
        <w:rPr>
          <w:rFonts w:cs="Arial"/>
        </w:rPr>
        <w:t>e)</w:t>
      </w:r>
      <w:r w:rsidRPr="0060462D">
        <w:rPr>
          <w:rFonts w:cs="Arial"/>
        </w:rPr>
        <w:tab/>
        <w:t xml:space="preserve">les </w:t>
      </w:r>
      <w:r w:rsidRPr="0060462D">
        <w:t xml:space="preserve">marqueurs liés à différents éléments de régulation pour le même gène </w:t>
      </w:r>
      <w:r w:rsidRPr="0060462D">
        <w:rPr>
          <w:rFonts w:cs="Arial"/>
        </w:rPr>
        <w:t>conférant l</w:t>
      </w:r>
      <w:r w:rsidR="00F97ECC" w:rsidRPr="0060462D">
        <w:rPr>
          <w:rFonts w:cs="Arial"/>
        </w:rPr>
        <w:t>’</w:t>
      </w:r>
      <w:r w:rsidRPr="0060462D">
        <w:rPr>
          <w:rFonts w:cs="Arial"/>
        </w:rPr>
        <w:t>expression du même caractère constituent différentes méthodes d</w:t>
      </w:r>
      <w:r w:rsidR="00F97ECC" w:rsidRPr="0060462D">
        <w:rPr>
          <w:rFonts w:cs="Arial"/>
        </w:rPr>
        <w:t>’</w:t>
      </w:r>
      <w:r w:rsidRPr="0060462D">
        <w:rPr>
          <w:rFonts w:cs="Arial"/>
        </w:rPr>
        <w:t>examen du même caractère</w:t>
      </w:r>
      <w:r w:rsidR="00285E1C" w:rsidRPr="0060462D">
        <w:rPr>
          <w:rFonts w:cs="Arial"/>
        </w:rPr>
        <w:t xml:space="preserve"> : </w:t>
      </w:r>
    </w:p>
    <w:p w:rsidR="00CC0333" w:rsidRPr="0060462D" w:rsidRDefault="00CC0333" w:rsidP="00B21E53">
      <w:pPr>
        <w:ind w:left="1440" w:hanging="720"/>
        <w:rPr>
          <w:rFonts w:cs="Arial"/>
          <w:snapToGrid w:val="0"/>
        </w:rPr>
      </w:pPr>
    </w:p>
    <w:p w:rsidR="00EA2A80" w:rsidRPr="00E56601" w:rsidRDefault="009F6B3C" w:rsidP="00EA2A80">
      <w:pPr>
        <w:rPr>
          <w:rFonts w:cs="Arial"/>
        </w:rPr>
      </w:pPr>
      <w:r w:rsidRPr="00E56601">
        <w:rPr>
          <w:rFonts w:cs="Arial"/>
          <w:lang w:val="fr-CH"/>
        </w:rPr>
        <w:t>2.1.2</w:t>
      </w:r>
      <w:r w:rsidRPr="00E56601">
        <w:rPr>
          <w:rFonts w:cs="Arial"/>
          <w:lang w:val="fr-CH"/>
        </w:rPr>
        <w:tab/>
        <w:t xml:space="preserve">Il appartient aux services compétents d’examiner si les hypothèses formulées se vérifient lorsque le modèle et l’exemple sont utilisés, comme indiqué dans l’annexe I du présent document.  </w:t>
      </w:r>
    </w:p>
    <w:p w:rsidR="00EA2A80" w:rsidRPr="00E56601" w:rsidRDefault="00EA2A80" w:rsidP="00EA2A80">
      <w:pPr>
        <w:rPr>
          <w:rFonts w:cs="Arial"/>
        </w:rPr>
      </w:pPr>
    </w:p>
    <w:p w:rsidR="00EA2A80" w:rsidRPr="00630112" w:rsidRDefault="009F6B3C" w:rsidP="00EA2A80">
      <w:pPr>
        <w:rPr>
          <w:rFonts w:cs="Arial"/>
        </w:rPr>
      </w:pPr>
      <w:r w:rsidRPr="00E56601">
        <w:rPr>
          <w:rFonts w:cs="Arial"/>
          <w:lang w:val="fr-CH"/>
        </w:rPr>
        <w:lastRenderedPageBreak/>
        <w:t>2.1.3.</w:t>
      </w:r>
      <w:r w:rsidRPr="00E56601">
        <w:rPr>
          <w:rFonts w:cs="Arial"/>
          <w:lang w:val="fr-CH"/>
        </w:rPr>
        <w:tab/>
        <w:t xml:space="preserve">Pour inclure dans les principes directeurs d’examen une méthode fondée sur le modèle figurant à l’annexe I du présent document, il faudrait que le groupe de travail technique concerné et le TC considèrent qu’il </w:t>
      </w:r>
      <w:r w:rsidR="00305001" w:rsidRPr="00E56601">
        <w:rPr>
          <w:rFonts w:cs="Arial"/>
          <w:lang w:val="fr-CH"/>
        </w:rPr>
        <w:t>satisfasse</w:t>
      </w:r>
      <w:r w:rsidRPr="00E56601">
        <w:rPr>
          <w:rFonts w:cs="Arial"/>
          <w:lang w:val="fr-CH"/>
        </w:rPr>
        <w:t xml:space="preserve"> à l’exigence de fiabilité du lien entre le gène et l’expression du caractère.</w:t>
      </w:r>
    </w:p>
    <w:p w:rsidR="00CC0333" w:rsidRPr="0060462D" w:rsidRDefault="00CC0333" w:rsidP="00B21E53">
      <w:pPr>
        <w:rPr>
          <w:rFonts w:cs="Arial"/>
        </w:rPr>
      </w:pPr>
    </w:p>
    <w:p w:rsidR="00CC0333" w:rsidRPr="0060462D" w:rsidRDefault="00CC0333" w:rsidP="00B21E53">
      <w:pPr>
        <w:rPr>
          <w:rFonts w:cs="Arial"/>
        </w:rPr>
      </w:pPr>
    </w:p>
    <w:p w:rsidR="00CC0333" w:rsidRPr="0060462D" w:rsidRDefault="00B21E53" w:rsidP="00B21E53">
      <w:pPr>
        <w:pStyle w:val="Heading2"/>
        <w:rPr>
          <w:lang w:val="fr-FR"/>
        </w:rPr>
      </w:pPr>
      <w:bookmarkStart w:id="7" w:name="_Toc311473362"/>
      <w:bookmarkStart w:id="8" w:name="_Toc362451913"/>
      <w:bookmarkStart w:id="9" w:name="_Toc14106522"/>
      <w:r w:rsidRPr="0060462D">
        <w:rPr>
          <w:lang w:val="fr-FR"/>
        </w:rPr>
        <w:t>2.2</w:t>
      </w:r>
      <w:r w:rsidRPr="0060462D">
        <w:rPr>
          <w:lang w:val="fr-FR"/>
        </w:rPr>
        <w:tab/>
        <w:t>Combinaison de distances phénotypiques et moléculaires pour gérer des collections de variétés (voir l</w:t>
      </w:r>
      <w:r w:rsidR="00F97ECC" w:rsidRPr="0060462D">
        <w:rPr>
          <w:lang w:val="fr-FR"/>
        </w:rPr>
        <w:t>’annexe I</w:t>
      </w:r>
      <w:r w:rsidR="002D3923" w:rsidRPr="0060462D">
        <w:rPr>
          <w:lang w:val="fr-FR"/>
        </w:rPr>
        <w:t>I</w:t>
      </w:r>
      <w:r w:rsidRPr="0060462D">
        <w:rPr>
          <w:lang w:val="fr-FR"/>
        </w:rPr>
        <w:t>)</w:t>
      </w:r>
      <w:bookmarkEnd w:id="7"/>
      <w:bookmarkEnd w:id="8"/>
      <w:bookmarkEnd w:id="9"/>
    </w:p>
    <w:p w:rsidR="00CC0333" w:rsidRPr="0060462D" w:rsidRDefault="00B21E53" w:rsidP="00B21E53">
      <w:r w:rsidRPr="0060462D">
        <w:t>2.2.1</w:t>
      </w:r>
      <w:r w:rsidRPr="0060462D">
        <w:tab/>
        <w:t>Le processus d</w:t>
      </w:r>
      <w:r w:rsidR="00F97ECC" w:rsidRPr="0060462D">
        <w:t>’</w:t>
      </w:r>
      <w:r w:rsidRPr="0060462D">
        <w:t>élimination des variétés notoirement connues avant l</w:t>
      </w:r>
      <w:r w:rsidR="00F97ECC" w:rsidRPr="0060462D">
        <w:t>’</w:t>
      </w:r>
      <w:r w:rsidRPr="0060462D">
        <w:t>essai DHS en culture se distingue notamment par le fait que le seuil est fixé dans une marge de sécurité appropriée, dénommé le seuil de “distinction plus”, ce qui signifie que les distances entre une variété candidate et les variétés “distinctes plus” sont suffisamment robustes pour que l</w:t>
      </w:r>
      <w:r w:rsidR="00F97ECC" w:rsidRPr="0060462D">
        <w:t>’</w:t>
      </w:r>
      <w:r w:rsidRPr="0060462D">
        <w:t>on prenne une décision sans comparaison directe dans le cadre de l</w:t>
      </w:r>
      <w:r w:rsidR="00F97ECC" w:rsidRPr="0060462D">
        <w:t>’</w:t>
      </w:r>
      <w:r w:rsidRPr="0060462D">
        <w:t>essai en culture.</w:t>
      </w:r>
    </w:p>
    <w:p w:rsidR="00CC0333" w:rsidRPr="0060462D" w:rsidRDefault="00CC0333" w:rsidP="00B21E53"/>
    <w:p w:rsidR="00CC0333" w:rsidRPr="0060462D" w:rsidRDefault="00B21E53" w:rsidP="00B21E53">
      <w:r w:rsidRPr="0060462D">
        <w:t>2.2.2</w:t>
      </w:r>
      <w:r w:rsidRPr="0060462D">
        <w:tab/>
        <w:t>Une combinaison de distances phénotypiques et moléculaires peut être utilisée pour identifier</w:t>
      </w:r>
      <w:r w:rsidR="00580F58" w:rsidRPr="0060462D">
        <w:t>,</w:t>
      </w:r>
      <w:r w:rsidRPr="0060462D">
        <w:t xml:space="preserve"> dans la collection de variétés, les variétés qu</w:t>
      </w:r>
      <w:r w:rsidR="00F97ECC" w:rsidRPr="0060462D">
        <w:t>’</w:t>
      </w:r>
      <w:r w:rsidRPr="0060462D">
        <w:t>il y a lieu de comparer avec les variétés candidates (voir figure 1) afin d</w:t>
      </w:r>
      <w:r w:rsidR="00F97ECC" w:rsidRPr="0060462D">
        <w:t>’</w:t>
      </w:r>
      <w:r w:rsidRPr="0060462D">
        <w:t>améliorer la sélection des variétés “distinctes plus”, sur la base suivante</w:t>
      </w:r>
      <w:r w:rsidR="00F97ECC" w:rsidRPr="0060462D">
        <w:t> :</w:t>
      </w:r>
    </w:p>
    <w:p w:rsidR="00CC0333" w:rsidRPr="0060462D" w:rsidRDefault="00CC0333" w:rsidP="00B21E53"/>
    <w:p w:rsidR="00CC0333" w:rsidRPr="0060462D" w:rsidRDefault="00B21E53" w:rsidP="00B21E53">
      <w:pPr>
        <w:ind w:firstLine="567"/>
      </w:pPr>
      <w:r w:rsidRPr="0060462D">
        <w:t>a)</w:t>
      </w:r>
      <w:r w:rsidRPr="0060462D">
        <w:tab/>
        <w:t>tout porte à croire que les distances moléculaires sont suffisamment liées aux différences phénotypiques, de telle sorte que</w:t>
      </w:r>
      <w:r w:rsidR="00F97ECC" w:rsidRPr="0060462D">
        <w:t> :</w:t>
      </w:r>
    </w:p>
    <w:p w:rsidR="00CC0333" w:rsidRPr="0060462D" w:rsidRDefault="00CC0333" w:rsidP="00B21E53">
      <w:pPr>
        <w:ind w:firstLine="567"/>
      </w:pPr>
    </w:p>
    <w:p w:rsidR="00CC0333" w:rsidRPr="0060462D" w:rsidRDefault="00B21E53" w:rsidP="00B21E53">
      <w:pPr>
        <w:ind w:firstLine="567"/>
      </w:pPr>
      <w:r w:rsidRPr="0060462D">
        <w:t>b)</w:t>
      </w:r>
      <w:r w:rsidRPr="0060462D">
        <w:tab/>
        <w:t>la méthode sélectionne les variétés dans la collection de variétés qui sont similaires aux variétés candidates;  et</w:t>
      </w:r>
    </w:p>
    <w:p w:rsidR="00CC0333" w:rsidRPr="0060462D" w:rsidRDefault="00CC0333" w:rsidP="00B21E53">
      <w:pPr>
        <w:ind w:firstLine="567"/>
      </w:pPr>
    </w:p>
    <w:p w:rsidR="00CC0333" w:rsidRPr="0060462D" w:rsidRDefault="00B21E53" w:rsidP="00580F58">
      <w:pPr>
        <w:numPr>
          <w:ilvl w:val="0"/>
          <w:numId w:val="23"/>
        </w:numPr>
        <w:tabs>
          <w:tab w:val="clear" w:pos="1080"/>
        </w:tabs>
        <w:ind w:left="0" w:firstLine="567"/>
      </w:pPr>
      <w:r w:rsidRPr="0060462D">
        <w:t>la méthode ne crée pas un risque accru de ne pas sélectionner une variété figurant dans la collection de variétés qu</w:t>
      </w:r>
      <w:r w:rsidR="00F97ECC" w:rsidRPr="0060462D">
        <w:t>’</w:t>
      </w:r>
      <w:r w:rsidRPr="0060462D">
        <w:t>il faut comparer aux variétés candidates sur le terrain.</w:t>
      </w:r>
    </w:p>
    <w:p w:rsidR="00CC0333" w:rsidRPr="0060462D" w:rsidRDefault="00CC0333" w:rsidP="00B21E53"/>
    <w:p w:rsidR="00CC0333" w:rsidRPr="0060462D" w:rsidRDefault="00B21E53" w:rsidP="00E17D0A">
      <w:r w:rsidRPr="0060462D">
        <w:t>2.2.3</w:t>
      </w:r>
      <w:r w:rsidRPr="0060462D">
        <w:tab/>
        <w:t>L</w:t>
      </w:r>
      <w:r w:rsidR="00F97ECC" w:rsidRPr="0060462D">
        <w:t>’annexe I</w:t>
      </w:r>
      <w:r w:rsidR="002D3923" w:rsidRPr="0060462D">
        <w:t xml:space="preserve">I </w:t>
      </w:r>
      <w:r w:rsidR="00580F58" w:rsidRPr="0060462D">
        <w:t>d</w:t>
      </w:r>
      <w:r w:rsidRPr="0060462D">
        <w:t>u présent document “Combinaison de distances phénotypiques et moléculaires pour gérer des collections de variétés” donne un exemple de l</w:t>
      </w:r>
      <w:r w:rsidR="00F97ECC" w:rsidRPr="0060462D">
        <w:t>’</w:t>
      </w:r>
      <w:r w:rsidRPr="0060462D">
        <w:t>utilisation de la combinaison de distances phénotypiques et moléculaires pour gérer des collections de variétés</w:t>
      </w:r>
      <w:r w:rsidR="00E306B7" w:rsidRPr="0060462D">
        <w:t>.</w:t>
      </w:r>
    </w:p>
    <w:p w:rsidR="00CC0333" w:rsidRPr="0060462D" w:rsidRDefault="00CC0333" w:rsidP="00552861"/>
    <w:p w:rsidR="00CC0333" w:rsidRPr="0060462D" w:rsidRDefault="00CC0333" w:rsidP="00552861"/>
    <w:p w:rsidR="00CC0333" w:rsidRPr="000F6E7F" w:rsidRDefault="00552861" w:rsidP="00E17D0A">
      <w:pPr>
        <w:pStyle w:val="Heading2"/>
        <w:rPr>
          <w:lang w:val="fr-FR"/>
        </w:rPr>
      </w:pPr>
      <w:bookmarkStart w:id="10" w:name="_Toc14106523"/>
      <w:r w:rsidRPr="000F6E7F">
        <w:rPr>
          <w:lang w:val="fr-FR"/>
        </w:rPr>
        <w:t>2.3</w:t>
      </w:r>
      <w:r w:rsidRPr="000F6E7F">
        <w:rPr>
          <w:lang w:val="fr-FR"/>
        </w:rPr>
        <w:tab/>
      </w:r>
      <w:r w:rsidR="002D3923" w:rsidRPr="000F6E7F">
        <w:rPr>
          <w:lang w:val="fr-FR"/>
        </w:rPr>
        <w:t>Sélection génétique de variétés voisines pour le premier cycle de végétation (voir l</w:t>
      </w:r>
      <w:r w:rsidR="00F97ECC" w:rsidRPr="000F6E7F">
        <w:rPr>
          <w:lang w:val="fr-FR"/>
        </w:rPr>
        <w:t>’annexe I</w:t>
      </w:r>
      <w:r w:rsidR="002D3923" w:rsidRPr="000F6E7F">
        <w:rPr>
          <w:lang w:val="fr-FR"/>
        </w:rPr>
        <w:t>II)</w:t>
      </w:r>
      <w:bookmarkEnd w:id="10"/>
    </w:p>
    <w:p w:rsidR="00856731" w:rsidRPr="00AB3A2D" w:rsidRDefault="00856731" w:rsidP="00856731">
      <w:r w:rsidRPr="00AB3A2D">
        <w:t xml:space="preserve">2.3.1 </w:t>
      </w:r>
      <w:r w:rsidRPr="00AB3A2D">
        <w:tab/>
        <w:t>La présente méthode comprend une étape permettant de vérifier la similarité génétique avant le premier cycle de végétation.</w:t>
      </w:r>
    </w:p>
    <w:p w:rsidR="00856731" w:rsidRPr="00AB3A2D" w:rsidRDefault="00856731" w:rsidP="00856731"/>
    <w:p w:rsidR="00856731" w:rsidRPr="00AB3A2D" w:rsidRDefault="00856731" w:rsidP="00856731">
      <w:r w:rsidRPr="00AB3A2D">
        <w:t>2.3.2</w:t>
      </w:r>
      <w:r w:rsidRPr="00AB3A2D">
        <w:tab/>
        <w:t xml:space="preserve">Dans les cas où la durée minimale des essais est normalement de deux cycles de végétation, des variétés voisines sont sélectionnées dans la collection de variétés afin de les comparer aux variétés candidates </w:t>
      </w:r>
      <w:r w:rsidR="00713C86">
        <w:t>pendant</w:t>
      </w:r>
      <w:r w:rsidRPr="00AB3A2D">
        <w:t xml:space="preserve"> le premier cycle de végétation, sur la base de la similarité génétique.  Dans l’étape suivante, les informations fournies par le demandeur figurant dans le questionnaire technique sont utilisées pour déterminer si certaines des variétés génétiquement similaires ne doivent pas faire l’objet d’une comparaison dans un essai en culture du fait des différences entre les caractères DHS.</w:t>
      </w:r>
    </w:p>
    <w:p w:rsidR="00856731" w:rsidRPr="00AB3A2D" w:rsidRDefault="00856731" w:rsidP="00856731"/>
    <w:p w:rsidR="00856731" w:rsidRPr="00AB3A2D" w:rsidRDefault="00856731" w:rsidP="00856731">
      <w:r w:rsidRPr="00AB3A2D">
        <w:t>2.3.3</w:t>
      </w:r>
      <w:r w:rsidRPr="00AB3A2D">
        <w:tab/>
        <w:t xml:space="preserve">Compte tenu de la description variétale des caractères DHS produite dans le premier cycle de végétation, une recherche supplémentaire est effectuée afin de recenser, dans la collection de variétés, des variétés </w:t>
      </w:r>
      <w:r w:rsidR="00713C86" w:rsidRPr="00AB3A2D">
        <w:t xml:space="preserve">voisines </w:t>
      </w:r>
      <w:r w:rsidRPr="00AB3A2D">
        <w:t xml:space="preserve">n’ayant pas fait l’objet d’une comparaison dans le premier cycle de végétation qui </w:t>
      </w:r>
      <w:r w:rsidR="00713C86">
        <w:t>devraient</w:t>
      </w:r>
      <w:r w:rsidRPr="00AB3A2D">
        <w:t xml:space="preserve"> être comparées à la variété candidate dans le second cycle de végétation.</w:t>
      </w:r>
    </w:p>
    <w:p w:rsidR="00856731" w:rsidRPr="00AB3A2D" w:rsidRDefault="00856731" w:rsidP="00856731"/>
    <w:p w:rsidR="00856731" w:rsidRPr="00856731" w:rsidRDefault="00856731" w:rsidP="00856731">
      <w:r w:rsidRPr="00AB3A2D">
        <w:t>2.3.4</w:t>
      </w:r>
      <w:r w:rsidRPr="00AB3A2D">
        <w:tab/>
        <w:t>L’annexe III du présent document “Sélection génétique de variétés voisines pour le premier cycle de végétation” présente un exemple de la sélection génétique de variétés voisines pour le premier cycle de végétation.</w:t>
      </w:r>
    </w:p>
    <w:p w:rsidR="00CC0333" w:rsidRPr="00E17D0A" w:rsidRDefault="00CC0333" w:rsidP="00E17D0A"/>
    <w:p w:rsidR="00CC0333" w:rsidRPr="00E17D0A" w:rsidRDefault="00CC0333" w:rsidP="00E17D0A"/>
    <w:p w:rsidR="00CC0333" w:rsidRPr="0060462D" w:rsidRDefault="0076044E" w:rsidP="0076044E">
      <w:pPr>
        <w:jc w:val="right"/>
      </w:pPr>
      <w:r w:rsidRPr="0060462D">
        <w:t>[Les annexes suivent]</w:t>
      </w:r>
    </w:p>
    <w:p w:rsidR="00CC0333" w:rsidRPr="0060462D" w:rsidRDefault="00CC0333" w:rsidP="00E306B7"/>
    <w:p w:rsidR="00E306B7" w:rsidRPr="0060462D" w:rsidRDefault="00E306B7" w:rsidP="00E306B7">
      <w:pPr>
        <w:pStyle w:val="Header"/>
        <w:jc w:val="both"/>
        <w:sectPr w:rsidR="00E306B7" w:rsidRPr="0060462D" w:rsidSect="007C1573">
          <w:headerReference w:type="default" r:id="rId10"/>
          <w:pgSz w:w="11907" w:h="16840" w:code="9"/>
          <w:pgMar w:top="510" w:right="1134" w:bottom="1134" w:left="1134" w:header="510" w:footer="680" w:gutter="0"/>
          <w:cols w:space="720"/>
          <w:titlePg/>
        </w:sectPr>
      </w:pPr>
    </w:p>
    <w:p w:rsidR="00CC0333" w:rsidRPr="0060462D" w:rsidRDefault="006E3C44" w:rsidP="006E3C44">
      <w:pPr>
        <w:jc w:val="center"/>
      </w:pPr>
      <w:bookmarkStart w:id="11" w:name="_Toc311473363"/>
      <w:r w:rsidRPr="0060462D">
        <w:lastRenderedPageBreak/>
        <w:t xml:space="preserve">ANNEXE </w:t>
      </w:r>
      <w:bookmarkEnd w:id="11"/>
      <w:r w:rsidR="00E60900" w:rsidRPr="0060462D">
        <w:t>I</w:t>
      </w:r>
    </w:p>
    <w:p w:rsidR="00CC0333" w:rsidRPr="0060462D" w:rsidRDefault="00CC0333" w:rsidP="006E3C44">
      <w:pPr>
        <w:jc w:val="center"/>
      </w:pPr>
    </w:p>
    <w:p w:rsidR="00CC0333" w:rsidRPr="0060462D" w:rsidRDefault="00CC0333" w:rsidP="006E3C44">
      <w:pPr>
        <w:jc w:val="center"/>
      </w:pPr>
    </w:p>
    <w:p w:rsidR="00CC0333" w:rsidRPr="0060462D" w:rsidRDefault="006E3C44" w:rsidP="006E3C44">
      <w:pPr>
        <w:pBdr>
          <w:top w:val="single" w:sz="4" w:space="1" w:color="auto"/>
          <w:left w:val="single" w:sz="4" w:space="4" w:color="auto"/>
          <w:bottom w:val="single" w:sz="4" w:space="1" w:color="auto"/>
          <w:right w:val="single" w:sz="4" w:space="4" w:color="auto"/>
        </w:pBdr>
        <w:jc w:val="center"/>
        <w:rPr>
          <w:snapToGrid w:val="0"/>
        </w:rPr>
      </w:pPr>
      <w:bookmarkStart w:id="12" w:name="_Toc285523706"/>
      <w:bookmarkStart w:id="13" w:name="_Toc311473364"/>
      <w:r w:rsidRPr="0060462D">
        <w:t>MOD</w:t>
      </w:r>
      <w:r w:rsidRPr="0060462D">
        <w:rPr>
          <w:rFonts w:cs="Arial"/>
        </w:rPr>
        <w:t>È</w:t>
      </w:r>
      <w:r w:rsidRPr="0060462D">
        <w:t>LE</w:t>
      </w:r>
      <w:r w:rsidR="00F97ECC" w:rsidRPr="0060462D">
        <w:t> :</w:t>
      </w:r>
      <w:r w:rsidRPr="0060462D">
        <w:t xml:space="preserve"> MARQUEURS MOLÉCULAIRES PROPRES AUX CARACTÈRES</w:t>
      </w:r>
      <w:bookmarkEnd w:id="12"/>
      <w:bookmarkEnd w:id="13"/>
    </w:p>
    <w:p w:rsidR="00CC0333" w:rsidRPr="0060462D" w:rsidRDefault="00CC0333" w:rsidP="006E3C44">
      <w:pPr>
        <w:jc w:val="center"/>
      </w:pPr>
      <w:bookmarkStart w:id="14" w:name="_Toc311473365"/>
    </w:p>
    <w:p w:rsidR="00CC0333" w:rsidRPr="0060462D" w:rsidRDefault="00CC0333" w:rsidP="006E3C44">
      <w:pPr>
        <w:jc w:val="center"/>
      </w:pPr>
    </w:p>
    <w:p w:rsidR="00CC0333" w:rsidRPr="0060462D" w:rsidRDefault="006E3C44" w:rsidP="006E3C44">
      <w:pPr>
        <w:jc w:val="center"/>
      </w:pPr>
      <w:r w:rsidRPr="0060462D">
        <w:t>EXEMPLE</w:t>
      </w:r>
      <w:r w:rsidR="00F97ECC" w:rsidRPr="0060462D">
        <w:t> :</w:t>
      </w:r>
      <w:r w:rsidRPr="0060462D">
        <w:t xml:space="preserve"> MARQUEUR DE G</w:t>
      </w:r>
      <w:r w:rsidRPr="0060462D">
        <w:rPr>
          <w:rFonts w:cs="Arial"/>
        </w:rPr>
        <w:t>È</w:t>
      </w:r>
      <w:r w:rsidRPr="0060462D">
        <w:t>NE CONCERNANT LA TOL</w:t>
      </w:r>
      <w:r w:rsidRPr="0060462D">
        <w:rPr>
          <w:rFonts w:cs="Arial"/>
        </w:rPr>
        <w:t>É</w:t>
      </w:r>
      <w:r w:rsidRPr="0060462D">
        <w:t>RANCE AUX HERBICIDES</w:t>
      </w:r>
      <w:bookmarkEnd w:id="14"/>
    </w:p>
    <w:p w:rsidR="00CC0333" w:rsidRPr="0060462D" w:rsidRDefault="00CC0333" w:rsidP="006E3C44">
      <w:pPr>
        <w:jc w:val="center"/>
      </w:pPr>
    </w:p>
    <w:p w:rsidR="00580F58" w:rsidRPr="0060462D" w:rsidRDefault="00580F58" w:rsidP="006E3C44">
      <w:pPr>
        <w:jc w:val="center"/>
      </w:pPr>
    </w:p>
    <w:p w:rsidR="00CC0333" w:rsidRPr="0060462D" w:rsidRDefault="006E3C44" w:rsidP="006E3C44">
      <w:pPr>
        <w:pStyle w:val="Header"/>
        <w:rPr>
          <w:rFonts w:cs="Arial"/>
          <w:i/>
        </w:rPr>
      </w:pPr>
      <w:r w:rsidRPr="0060462D">
        <w:rPr>
          <w:rFonts w:cs="Arial"/>
          <w:i/>
        </w:rPr>
        <w:t>établi par des experts de la France</w:t>
      </w:r>
    </w:p>
    <w:p w:rsidR="00CC0333" w:rsidRPr="0060462D" w:rsidRDefault="00CC0333" w:rsidP="006E3C44">
      <w:pPr>
        <w:rPr>
          <w:rFonts w:cs="Arial"/>
        </w:rPr>
      </w:pPr>
    </w:p>
    <w:p w:rsidR="00CC0333" w:rsidRPr="0060462D" w:rsidRDefault="00CC0333" w:rsidP="006E3C44">
      <w:pPr>
        <w:rPr>
          <w:rFonts w:cs="Arial"/>
        </w:rPr>
      </w:pPr>
    </w:p>
    <w:p w:rsidR="00CC0333" w:rsidRPr="00EA2A80" w:rsidRDefault="006E3C44" w:rsidP="006E3C44">
      <w:pPr>
        <w:spacing w:after="240"/>
        <w:rPr>
          <w:rFonts w:cs="Arial"/>
          <w:u w:val="single"/>
        </w:rPr>
      </w:pPr>
      <w:r w:rsidRPr="00EA2A80">
        <w:rPr>
          <w:rFonts w:cs="Arial"/>
          <w:u w:val="single"/>
        </w:rPr>
        <w:t>Exemple</w:t>
      </w:r>
    </w:p>
    <w:p w:rsidR="00CC0333" w:rsidRPr="0060462D" w:rsidRDefault="006E3C44" w:rsidP="006E3C44">
      <w:pPr>
        <w:spacing w:after="240"/>
        <w:rPr>
          <w:rFonts w:cs="Arial"/>
        </w:rPr>
      </w:pPr>
      <w:r w:rsidRPr="0060462D">
        <w:rPr>
          <w:rFonts w:cs="Arial"/>
        </w:rPr>
        <w:t>1.</w:t>
      </w:r>
      <w:r w:rsidRPr="0060462D">
        <w:rPr>
          <w:rFonts w:cs="Arial"/>
        </w:rPr>
        <w:tab/>
      </w:r>
      <w:r w:rsidRPr="0060462D">
        <w:t>Une variété est génétiquement modifiée par l</w:t>
      </w:r>
      <w:r w:rsidR="00F97ECC" w:rsidRPr="0060462D">
        <w:t>’</w:t>
      </w:r>
      <w:r w:rsidRPr="0060462D">
        <w:t>insertion d</w:t>
      </w:r>
      <w:r w:rsidR="00F97ECC" w:rsidRPr="0060462D">
        <w:t>’</w:t>
      </w:r>
      <w:r w:rsidRPr="0060462D">
        <w:t>un gène conditionnant la tolérance à la “formule X” d</w:t>
      </w:r>
      <w:r w:rsidR="00F97ECC" w:rsidRPr="0060462D">
        <w:t>’</w:t>
      </w:r>
      <w:r w:rsidRPr="0060462D">
        <w:t>un herbicide don</w:t>
      </w:r>
      <w:r w:rsidR="006D4686" w:rsidRPr="0060462D">
        <w:t>né.  Le</w:t>
      </w:r>
      <w:r w:rsidRPr="0060462D">
        <w:t>s variétés comportant ce gène restent intactes lorsqu</w:t>
      </w:r>
      <w:r w:rsidR="00F97ECC" w:rsidRPr="0060462D">
        <w:t>’</w:t>
      </w:r>
      <w:r w:rsidRPr="0060462D">
        <w:t>elles sont pulvérisées avec la formule X, tandis que celles qui en sont dépourvues meurent systématiquement lorsqu</w:t>
      </w:r>
      <w:r w:rsidR="00F97ECC" w:rsidRPr="0060462D">
        <w:t>’</w:t>
      </w:r>
      <w:r w:rsidRPr="0060462D">
        <w:t>elles sont pulvérisées avec l</w:t>
      </w:r>
      <w:r w:rsidR="00F97ECC" w:rsidRPr="0060462D">
        <w:t>’</w:t>
      </w:r>
      <w:r w:rsidRPr="0060462D">
        <w:t>herbicide en questi</w:t>
      </w:r>
      <w:r w:rsidR="006D4686" w:rsidRPr="0060462D">
        <w:t>on.  La</w:t>
      </w:r>
      <w:r w:rsidRPr="0060462D">
        <w:t xml:space="preserve"> tolérance à la formule X, examinée dans le cadre d</w:t>
      </w:r>
      <w:r w:rsidR="00F97ECC" w:rsidRPr="0060462D">
        <w:t>’</w:t>
      </w:r>
      <w:r w:rsidRPr="0060462D">
        <w:t>essais en plein champ au moyen de l</w:t>
      </w:r>
      <w:r w:rsidR="00F97ECC" w:rsidRPr="0060462D">
        <w:t>’</w:t>
      </w:r>
      <w:r w:rsidRPr="0060462D">
        <w:t>aspersion des parcelles, est un caractère DHS agréé, et elle peut donc être utilisée pour déterminer la distinction entre des variétés.</w:t>
      </w:r>
    </w:p>
    <w:p w:rsidR="00CC0333" w:rsidRPr="0060462D" w:rsidRDefault="006E3C44" w:rsidP="006E3C44">
      <w:pPr>
        <w:spacing w:after="240"/>
        <w:rPr>
          <w:rFonts w:cs="Arial"/>
        </w:rPr>
      </w:pPr>
      <w:r w:rsidRPr="0060462D">
        <w:rPr>
          <w:rFonts w:cs="Arial"/>
        </w:rPr>
        <w:t>2.</w:t>
      </w:r>
      <w:r w:rsidRPr="0060462D">
        <w:rPr>
          <w:rFonts w:cs="Arial"/>
        </w:rPr>
        <w:tab/>
      </w:r>
      <w:r w:rsidRPr="0060462D">
        <w:t>Au lieu de pulvériser les variétés en plein champ (ce qui est difficile à réaliser dans le cadre de l</w:t>
      </w:r>
      <w:r w:rsidR="00F97ECC" w:rsidRPr="0060462D">
        <w:t>’</w:t>
      </w:r>
      <w:r w:rsidRPr="0060462D">
        <w:t>examen DHS normalisé), il est proposé d</w:t>
      </w:r>
      <w:r w:rsidR="00F97ECC" w:rsidRPr="0060462D">
        <w:t>’</w:t>
      </w:r>
      <w:r w:rsidRPr="0060462D">
        <w:t>examiner le caractère “tolérance à la formule X” en procédant à un essai pour mettre en évidence la présence d</w:t>
      </w:r>
      <w:r w:rsidR="00F97ECC" w:rsidRPr="0060462D">
        <w:t>’</w:t>
      </w:r>
      <w:r w:rsidRPr="0060462D">
        <w:t xml:space="preserve">un marqueur moléculaire </w:t>
      </w:r>
      <w:r w:rsidRPr="0060462D">
        <w:rPr>
          <w:i/>
          <w:iCs/>
        </w:rPr>
        <w:t>lié</w:t>
      </w:r>
      <w:r w:rsidRPr="0060462D">
        <w:t xml:space="preserve"> à ce gè</w:t>
      </w:r>
      <w:r w:rsidR="006D4686" w:rsidRPr="0060462D">
        <w:t>ne.  Ce</w:t>
      </w:r>
      <w:r w:rsidRPr="0060462D">
        <w:t xml:space="preserve"> marqueur est situé sur une partie du gène “chimère”.  Le gène “chimère” se compose de tous les éléments qui sont insérés dans la plante au cours de la modification génétique et contient, en outre, des éléments supplémentaires permettant de réguler le gène une fois dans la plan</w:t>
      </w:r>
      <w:r w:rsidR="006D4686" w:rsidRPr="0060462D">
        <w:t>te.  Le</w:t>
      </w:r>
      <w:r w:rsidRPr="0060462D">
        <w:t> marqueur peut être situé dans le gène, en partie sur le gène ou encore à l</w:t>
      </w:r>
      <w:r w:rsidR="00F97ECC" w:rsidRPr="0060462D">
        <w:t>’</w:t>
      </w:r>
      <w:r w:rsidRPr="0060462D">
        <w:t>extérieur de celui</w:t>
      </w:r>
      <w:r w:rsidR="00B84148" w:rsidRPr="0060462D">
        <w:rPr>
          <w:b/>
          <w:bCs/>
        </w:rPr>
        <w:noBreakHyphen/>
      </w:r>
      <w:r w:rsidRPr="0060462D">
        <w:t>ci.</w:t>
      </w:r>
    </w:p>
    <w:p w:rsidR="00CC0333" w:rsidRPr="0060462D" w:rsidRDefault="006E3C44" w:rsidP="006E3C44">
      <w:pPr>
        <w:spacing w:after="240"/>
        <w:rPr>
          <w:rFonts w:cs="Arial"/>
          <w:u w:val="single"/>
        </w:rPr>
      </w:pPr>
      <w:r w:rsidRPr="0060462D">
        <w:rPr>
          <w:rFonts w:cs="Arial"/>
          <w:u w:val="single"/>
        </w:rPr>
        <w:t>Hypothèses à formuler aux fins de l</w:t>
      </w:r>
      <w:r w:rsidR="00F97ECC" w:rsidRPr="0060462D">
        <w:rPr>
          <w:rFonts w:cs="Arial"/>
          <w:u w:val="single"/>
        </w:rPr>
        <w:t>’</w:t>
      </w:r>
      <w:r w:rsidRPr="0060462D">
        <w:rPr>
          <w:rFonts w:cs="Arial"/>
          <w:u w:val="single"/>
        </w:rPr>
        <w:t>exemple</w:t>
      </w:r>
    </w:p>
    <w:p w:rsidR="00CC0333" w:rsidRPr="0060462D" w:rsidRDefault="006E3C44" w:rsidP="006E3C44">
      <w:pPr>
        <w:spacing w:after="240"/>
        <w:rPr>
          <w:rFonts w:cs="Arial"/>
        </w:rPr>
      </w:pPr>
      <w:r w:rsidRPr="0060462D">
        <w:rPr>
          <w:rFonts w:cs="Arial"/>
        </w:rPr>
        <w:t>3.</w:t>
      </w:r>
      <w:r w:rsidRPr="0060462D">
        <w:rPr>
          <w:rFonts w:cs="Arial"/>
        </w:rPr>
        <w:tab/>
        <w:t>On part des hypothèses suivantes</w:t>
      </w:r>
      <w:r w:rsidR="00F97ECC" w:rsidRPr="0060462D">
        <w:rPr>
          <w:rFonts w:cs="Arial"/>
        </w:rPr>
        <w:t> :</w:t>
      </w:r>
    </w:p>
    <w:p w:rsidR="00CC0333" w:rsidRPr="0060462D" w:rsidRDefault="006E3C44" w:rsidP="00FF2E29">
      <w:pPr>
        <w:keepNext/>
        <w:spacing w:after="240"/>
        <w:ind w:left="1134" w:hanging="567"/>
        <w:rPr>
          <w:rFonts w:cs="Arial"/>
        </w:rPr>
      </w:pPr>
      <w:r w:rsidRPr="0060462D">
        <w:rPr>
          <w:rFonts w:cs="Arial"/>
        </w:rPr>
        <w:t>a)</w:t>
      </w:r>
      <w:r w:rsidRPr="0060462D">
        <w:rPr>
          <w:rFonts w:cs="Arial"/>
        </w:rPr>
        <w:tab/>
        <w:t>Examen DHS</w:t>
      </w:r>
    </w:p>
    <w:p w:rsidR="00CC0333" w:rsidRPr="0060462D" w:rsidRDefault="006E3C44" w:rsidP="00FF2E29">
      <w:pPr>
        <w:pStyle w:val="BodyTextIndent"/>
        <w:spacing w:after="240"/>
        <w:ind w:left="0" w:firstLine="567"/>
        <w:rPr>
          <w:rFonts w:cs="Arial"/>
          <w:szCs w:val="20"/>
        </w:rPr>
      </w:pPr>
      <w:r w:rsidRPr="0060462D">
        <w:t>On suppose que l</w:t>
      </w:r>
      <w:r w:rsidR="00F97ECC" w:rsidRPr="0060462D">
        <w:t>’</w:t>
      </w:r>
      <w:r w:rsidRPr="0060462D">
        <w:t>essai concernant le marqueur sera réalisé dans les mêmes conditions que l</w:t>
      </w:r>
      <w:r w:rsidR="00F97ECC" w:rsidRPr="0060462D">
        <w:t>’</w:t>
      </w:r>
      <w:r w:rsidRPr="0060462D">
        <w:t>essai en plein champ, autrement dit qu</w:t>
      </w:r>
      <w:r w:rsidR="00F97ECC" w:rsidRPr="0060462D">
        <w:t>’</w:t>
      </w:r>
      <w:r w:rsidRPr="0060462D">
        <w:t>il sera effectué pour le même nombre de plantes individuelles, pendant le même nombre d</w:t>
      </w:r>
      <w:r w:rsidR="00F97ECC" w:rsidRPr="0060462D">
        <w:t>’</w:t>
      </w:r>
      <w:r w:rsidRPr="0060462D">
        <w:t>années et avec les mêmes critères de distinction, d</w:t>
      </w:r>
      <w:r w:rsidR="00F97ECC" w:rsidRPr="0060462D">
        <w:t>’</w:t>
      </w:r>
      <w:r w:rsidRPr="0060462D">
        <w:t>homogénéité et de stabilité.</w:t>
      </w:r>
    </w:p>
    <w:p w:rsidR="00CC0333" w:rsidRPr="0060462D" w:rsidRDefault="006E3C44" w:rsidP="00FF2E29">
      <w:pPr>
        <w:keepNext/>
        <w:spacing w:after="240"/>
        <w:ind w:left="1134" w:hanging="567"/>
        <w:rPr>
          <w:rFonts w:cs="Arial"/>
        </w:rPr>
      </w:pPr>
      <w:r w:rsidRPr="0060462D">
        <w:rPr>
          <w:rFonts w:cs="Arial"/>
        </w:rPr>
        <w:t>b)</w:t>
      </w:r>
      <w:r w:rsidRPr="0060462D">
        <w:rPr>
          <w:rFonts w:cs="Arial"/>
        </w:rPr>
        <w:tab/>
        <w:t>Fiabilité de la corrélation</w:t>
      </w:r>
    </w:p>
    <w:p w:rsidR="00CC0333" w:rsidRPr="0060462D" w:rsidRDefault="006E3C44" w:rsidP="00FF2E29">
      <w:pPr>
        <w:spacing w:after="240"/>
        <w:ind w:firstLine="567"/>
        <w:rPr>
          <w:rFonts w:cs="Arial"/>
        </w:rPr>
      </w:pPr>
      <w:r w:rsidRPr="0060462D">
        <w:t>On suppose que la corrélation entre le marqueur et le gène sera vérifiée afin de s</w:t>
      </w:r>
      <w:r w:rsidR="00F97ECC" w:rsidRPr="0060462D">
        <w:t>’</w:t>
      </w:r>
      <w:r w:rsidRPr="0060462D">
        <w:t>assurer que le marqueur est un prédicteur fiable de la tolérance à la formule X.</w:t>
      </w:r>
      <w:r w:rsidR="00D30F83" w:rsidRPr="0060462D">
        <w:t> </w:t>
      </w:r>
      <w:r w:rsidRPr="0060462D">
        <w:t>Cette vérification serait nécessaire pour garantir, par exemple, que le marqueur ne se sépare pas du gène et que la présence de ce gène continue de se traduire par la tolérance à la formule X.</w:t>
      </w:r>
    </w:p>
    <w:p w:rsidR="00CC0333" w:rsidRPr="0060462D" w:rsidRDefault="006E3C44" w:rsidP="00FF2E29">
      <w:pPr>
        <w:keepNext/>
        <w:spacing w:after="240"/>
        <w:ind w:left="1134" w:hanging="567"/>
        <w:rPr>
          <w:rFonts w:cs="Arial"/>
        </w:rPr>
      </w:pPr>
      <w:r w:rsidRPr="0060462D">
        <w:rPr>
          <w:rFonts w:cs="Arial"/>
        </w:rPr>
        <w:t>c)</w:t>
      </w:r>
      <w:r w:rsidRPr="0060462D">
        <w:rPr>
          <w:rFonts w:cs="Arial"/>
        </w:rPr>
        <w:tab/>
        <w:t>Création de marqueurs moléculaires différents pour le même gène</w:t>
      </w:r>
    </w:p>
    <w:p w:rsidR="00CC0333" w:rsidRPr="0060462D" w:rsidRDefault="006E3C44" w:rsidP="00FF2E29">
      <w:pPr>
        <w:spacing w:after="240"/>
        <w:ind w:firstLine="567"/>
        <w:rPr>
          <w:rFonts w:cs="Arial"/>
          <w:b/>
        </w:rPr>
      </w:pPr>
      <w:r w:rsidRPr="0060462D">
        <w:t>Il serait possible de créer des gènes chimères différents contenant le gène de la tolérance à la formule X et d</w:t>
      </w:r>
      <w:r w:rsidR="00F97ECC" w:rsidRPr="0060462D">
        <w:t>’</w:t>
      </w:r>
      <w:r w:rsidRPr="0060462D">
        <w:t>identifier pour chacun de ces gènes chimères des marqueurs moléculaires indépendants qui seraient tous liés à exactement le même gène de la tolérance à la formule X. Dès lors que tous les marqueurs différents pour le même gène seraient admis comme autant de méthodes différentes pour l</w:t>
      </w:r>
      <w:r w:rsidR="00F97ECC" w:rsidRPr="0060462D">
        <w:t>’</w:t>
      </w:r>
      <w:r w:rsidRPr="0060462D">
        <w:t xml:space="preserve">examen du </w:t>
      </w:r>
      <w:r w:rsidRPr="0060462D">
        <w:rPr>
          <w:i/>
          <w:iCs/>
        </w:rPr>
        <w:t>même caractère phénotypique existant</w:t>
      </w:r>
      <w:r w:rsidRPr="0060462D">
        <w:t>, ce procédé serait considéré de la même façon dans tous les c</w:t>
      </w:r>
      <w:r w:rsidR="006D4686" w:rsidRPr="0060462D">
        <w:t>as.  Au</w:t>
      </w:r>
      <w:r w:rsidRPr="0060462D">
        <w:t>x fins de l</w:t>
      </w:r>
      <w:r w:rsidR="00F97ECC" w:rsidRPr="0060462D">
        <w:t>’</w:t>
      </w:r>
      <w:r w:rsidRPr="0060462D">
        <w:t>utilisation des</w:t>
      </w:r>
      <w:r w:rsidRPr="0060462D">
        <w:rPr>
          <w:rFonts w:cs="Arial"/>
        </w:rPr>
        <w:t xml:space="preserve"> “</w:t>
      </w:r>
      <w:r w:rsidRPr="0060462D">
        <w:t>[…] marqueurs moléculaires en tant que prédicteurs de caractères traditionnels”, il faut poser comme principe que les marqueurs correspondent à un caractère traditionnel, c</w:t>
      </w:r>
      <w:r w:rsidR="00F97ECC" w:rsidRPr="0060462D">
        <w:t>’</w:t>
      </w:r>
      <w:r w:rsidRPr="0060462D">
        <w:t>est</w:t>
      </w:r>
      <w:r w:rsidR="00B84148" w:rsidRPr="0060462D">
        <w:rPr>
          <w:b/>
          <w:bCs/>
        </w:rPr>
        <w:noBreakHyphen/>
      </w:r>
      <w:r w:rsidRPr="0060462D">
        <w:t>à</w:t>
      </w:r>
      <w:r w:rsidR="00B84148" w:rsidRPr="0060462D">
        <w:noBreakHyphen/>
      </w:r>
      <w:r w:rsidRPr="0060462D">
        <w:t>dire à un caractère approuvé exista</w:t>
      </w:r>
      <w:r w:rsidR="006D4686" w:rsidRPr="0060462D">
        <w:t>nt.  Pa</w:t>
      </w:r>
      <w:r w:rsidRPr="0060462D">
        <w:t>r conséquent, on suppose que des marqueurs différents pour le même gène seront traités comme autant de différentes méthodes pour l</w:t>
      </w:r>
      <w:r w:rsidR="00F97ECC" w:rsidRPr="0060462D">
        <w:t>’</w:t>
      </w:r>
      <w:r w:rsidRPr="0060462D">
        <w:t xml:space="preserve">examen du même caractère, </w:t>
      </w:r>
      <w:r w:rsidR="00F97ECC" w:rsidRPr="0060462D">
        <w:t>à savoir</w:t>
      </w:r>
      <w:r w:rsidRPr="0060462D">
        <w:t xml:space="preserve"> la tolérance à la formule X</w:t>
      </w:r>
      <w:r w:rsidRPr="0060462D">
        <w:rPr>
          <w:rFonts w:cs="Arial"/>
        </w:rPr>
        <w:t>.</w:t>
      </w:r>
    </w:p>
    <w:p w:rsidR="00CC0333" w:rsidRPr="0060462D" w:rsidRDefault="006E3C44" w:rsidP="00FF2E29">
      <w:pPr>
        <w:keepNext/>
        <w:spacing w:after="240"/>
        <w:ind w:left="1134" w:hanging="567"/>
        <w:rPr>
          <w:rFonts w:cs="Arial"/>
        </w:rPr>
      </w:pPr>
      <w:r w:rsidRPr="0060462D">
        <w:rPr>
          <w:rFonts w:cs="Arial"/>
        </w:rPr>
        <w:lastRenderedPageBreak/>
        <w:t>d)</w:t>
      </w:r>
      <w:r w:rsidRPr="0060462D">
        <w:rPr>
          <w:rFonts w:cs="Arial"/>
        </w:rPr>
        <w:tab/>
        <w:t>Gènes différents à l</w:t>
      </w:r>
      <w:r w:rsidR="00F97ECC" w:rsidRPr="0060462D">
        <w:rPr>
          <w:rFonts w:cs="Arial"/>
        </w:rPr>
        <w:t>’</w:t>
      </w:r>
      <w:r w:rsidRPr="0060462D">
        <w:rPr>
          <w:rFonts w:cs="Arial"/>
        </w:rPr>
        <w:t>origine de la tolérance au même herbicide</w:t>
      </w:r>
    </w:p>
    <w:p w:rsidR="00CC0333" w:rsidRPr="0060462D" w:rsidRDefault="006E3C44" w:rsidP="00FF2E29">
      <w:pPr>
        <w:spacing w:after="240"/>
        <w:ind w:firstLine="567"/>
        <w:rPr>
          <w:rFonts w:cs="Arial"/>
        </w:rPr>
      </w:pPr>
      <w:r w:rsidRPr="0060462D">
        <w:t>Il serait possible de créer des gènes différents à l</w:t>
      </w:r>
      <w:r w:rsidR="00F97ECC" w:rsidRPr="0060462D">
        <w:t>’</w:t>
      </w:r>
      <w:r w:rsidRPr="0060462D">
        <w:t>origine de la tolérance à la formule X.</w:t>
      </w:r>
      <w:r w:rsidR="00D30F83" w:rsidRPr="0060462D">
        <w:t> </w:t>
      </w:r>
      <w:r w:rsidRPr="0060462D">
        <w:t>Dans le cas le plus simple, ce procédé pourrait être considéré de la même manière que celui qui consiste à créer des marqueurs différents pour le même gène, c</w:t>
      </w:r>
      <w:r w:rsidR="00F97ECC" w:rsidRPr="0060462D">
        <w:t>’</w:t>
      </w:r>
      <w:r w:rsidRPr="0060462D">
        <w:t>est</w:t>
      </w:r>
      <w:r w:rsidR="00B84148" w:rsidRPr="0060462D">
        <w:rPr>
          <w:b/>
          <w:bCs/>
        </w:rPr>
        <w:noBreakHyphen/>
      </w:r>
      <w:r w:rsidRPr="0060462D">
        <w:t>à</w:t>
      </w:r>
      <w:r w:rsidR="00B84148" w:rsidRPr="0060462D">
        <w:noBreakHyphen/>
      </w:r>
      <w:r w:rsidRPr="0060462D">
        <w:t>dire que les différents gènes, assortis de leur marqueur correspondant, seraient considérés comme étant différentes méthodes d</w:t>
      </w:r>
      <w:r w:rsidR="00F97ECC" w:rsidRPr="0060462D">
        <w:t>’</w:t>
      </w:r>
      <w:r w:rsidRPr="0060462D">
        <w:t xml:space="preserve">examen du même caractère, </w:t>
      </w:r>
      <w:r w:rsidR="00F97ECC" w:rsidRPr="0060462D">
        <w:t>à savoir</w:t>
      </w:r>
      <w:r w:rsidRPr="0060462D">
        <w:t xml:space="preserve"> la tolérance à la formule X.</w:t>
      </w:r>
      <w:r w:rsidR="00D30F83" w:rsidRPr="0060462D">
        <w:t> </w:t>
      </w:r>
      <w:r w:rsidRPr="0060462D">
        <w:t>Toutefois, il est probable que les différents gènes produisent la tolérance à la formule X selon un mécanisme chimique différe</w:t>
      </w:r>
      <w:r w:rsidR="006D4686" w:rsidRPr="0060462D">
        <w:t>nt.  Pa</w:t>
      </w:r>
      <w:r w:rsidRPr="0060462D">
        <w:t>r conséquent, les composants chimiques produits par ces gènes seront différents et ils pourraient servir de base à l</w:t>
      </w:r>
      <w:r w:rsidR="00F97ECC" w:rsidRPr="0060462D">
        <w:t>’</w:t>
      </w:r>
      <w:r w:rsidRPr="0060462D">
        <w:t>établissement de la distinction dans certains c</w:t>
      </w:r>
      <w:r w:rsidR="006D4686" w:rsidRPr="0060462D">
        <w:t>as.  Il</w:t>
      </w:r>
      <w:r w:rsidRPr="0060462D">
        <w:t xml:space="preserve"> n</w:t>
      </w:r>
      <w:r w:rsidR="00F97ECC" w:rsidRPr="0060462D">
        <w:t>’</w:t>
      </w:r>
      <w:r w:rsidRPr="0060462D">
        <w:t>en sera pas moins nécessaire, dans le cadre du présent modèle, d</w:t>
      </w:r>
      <w:r w:rsidR="00F97ECC" w:rsidRPr="0060462D">
        <w:t>’</w:t>
      </w:r>
      <w:r w:rsidRPr="0060462D">
        <w:t>approuver tout d</w:t>
      </w:r>
      <w:r w:rsidR="00F97ECC" w:rsidRPr="0060462D">
        <w:t>’</w:t>
      </w:r>
      <w:r w:rsidRPr="0060462D">
        <w:t>abord ces composants chimiques en tant que caractères UPOV, avant d</w:t>
      </w:r>
      <w:r w:rsidR="00F97ECC" w:rsidRPr="0060462D">
        <w:t>’</w:t>
      </w:r>
      <w:r w:rsidRPr="0060462D">
        <w:t>accepter les marqueurs moléculaires liés à ces caractères éventue</w:t>
      </w:r>
      <w:r w:rsidR="006D4686" w:rsidRPr="0060462D">
        <w:t>ls.  Ce</w:t>
      </w:r>
      <w:r w:rsidRPr="0060462D">
        <w:t>la ferait alors l</w:t>
      </w:r>
      <w:r w:rsidR="00F97ECC" w:rsidRPr="0060462D">
        <w:t>’</w:t>
      </w:r>
      <w:r w:rsidRPr="0060462D">
        <w:t>objet d</w:t>
      </w:r>
      <w:r w:rsidR="00F97ECC" w:rsidRPr="0060462D">
        <w:t>’</w:t>
      </w:r>
      <w:r w:rsidRPr="0060462D">
        <w:t>un exemple indépenda</w:t>
      </w:r>
      <w:r w:rsidR="006D4686" w:rsidRPr="0060462D">
        <w:t>nt.  Pa</w:t>
      </w:r>
      <w:r w:rsidRPr="0060462D">
        <w:t>r conséquent, on suppose que des gènes différents seront traités comme autant de différentes méthodes pour l</w:t>
      </w:r>
      <w:r w:rsidR="00F97ECC" w:rsidRPr="0060462D">
        <w:t>’</w:t>
      </w:r>
      <w:r w:rsidRPr="0060462D">
        <w:t xml:space="preserve">examen du même caractère, </w:t>
      </w:r>
      <w:r w:rsidR="00F97ECC" w:rsidRPr="0060462D">
        <w:t>à savoir</w:t>
      </w:r>
      <w:r w:rsidRPr="0060462D">
        <w:t xml:space="preserve"> la tolérance à la formule X.</w:t>
      </w:r>
    </w:p>
    <w:p w:rsidR="00CC0333" w:rsidRPr="0060462D" w:rsidRDefault="006E3C44" w:rsidP="00FF2E29">
      <w:pPr>
        <w:keepNext/>
        <w:spacing w:after="240"/>
        <w:ind w:left="1134" w:hanging="567"/>
        <w:rPr>
          <w:rFonts w:cs="Arial"/>
        </w:rPr>
      </w:pPr>
      <w:r w:rsidRPr="0060462D">
        <w:rPr>
          <w:rFonts w:cs="Arial"/>
        </w:rPr>
        <w:t>e)</w:t>
      </w:r>
      <w:r w:rsidRPr="0060462D">
        <w:rPr>
          <w:rFonts w:cs="Arial"/>
        </w:rPr>
        <w:tab/>
      </w:r>
      <w:r w:rsidRPr="0060462D">
        <w:t>Gènes chimères différents à l</w:t>
      </w:r>
      <w:r w:rsidR="00F97ECC" w:rsidRPr="0060462D">
        <w:t>’</w:t>
      </w:r>
      <w:r w:rsidRPr="0060462D">
        <w:t>origine de la tolérance au même herbicide, mais présentant un contrôle de l</w:t>
      </w:r>
      <w:r w:rsidR="00F97ECC" w:rsidRPr="0060462D">
        <w:t>’</w:t>
      </w:r>
      <w:r w:rsidRPr="0060462D">
        <w:t>expression différent</w:t>
      </w:r>
    </w:p>
    <w:p w:rsidR="00CC0333" w:rsidRPr="0060462D" w:rsidRDefault="006E3C44" w:rsidP="00FF2E29">
      <w:pPr>
        <w:spacing w:after="240"/>
        <w:ind w:firstLine="567"/>
      </w:pPr>
      <w:r w:rsidRPr="0060462D">
        <w:rPr>
          <w:rFonts w:cs="Arial"/>
        </w:rPr>
        <w:t xml:space="preserve">Il est </w:t>
      </w:r>
      <w:r w:rsidRPr="0060462D">
        <w:t>aussi possible de créer des gènes chimères différents comportant le même gène de la tolérance à la formule X, mais présentant des éléments de régulation différen</w:t>
      </w:r>
      <w:r w:rsidR="006D4686" w:rsidRPr="0060462D">
        <w:t>ts.  Pa</w:t>
      </w:r>
      <w:r w:rsidRPr="0060462D">
        <w:t>r exemple, les éléments de régulation peuvent se manifester par l</w:t>
      </w:r>
      <w:r w:rsidR="00F97ECC" w:rsidRPr="0060462D">
        <w:t>’</w:t>
      </w:r>
      <w:r w:rsidRPr="0060462D">
        <w:t>activation de la tolérance à la formule X seulement à certains stades du développeme</w:t>
      </w:r>
      <w:r w:rsidR="006D4686" w:rsidRPr="0060462D">
        <w:t>nt.  Pa</w:t>
      </w:r>
      <w:r w:rsidRPr="0060462D">
        <w:t>r souci de simplicité, lorsqu</w:t>
      </w:r>
      <w:r w:rsidR="00F97ECC" w:rsidRPr="0060462D">
        <w:t>’</w:t>
      </w:r>
      <w:r w:rsidRPr="0060462D">
        <w:t>on envisage cet exemple, on suppose que les différents marqueurs liés à différents éléments de régulation pour le même gène seront tous traités comme autant de méthodes différentes pour l</w:t>
      </w:r>
      <w:r w:rsidR="00F97ECC" w:rsidRPr="0060462D">
        <w:t>’</w:t>
      </w:r>
      <w:r w:rsidRPr="0060462D">
        <w:t>examen du même caractère de tolérance à la formule X.</w:t>
      </w:r>
      <w:r w:rsidR="00D30F83" w:rsidRPr="0060462D">
        <w:t> </w:t>
      </w:r>
      <w:r w:rsidRPr="0060462D">
        <w:t>Néanmoins, on part aussi du principe que cette question sera examinée plus avant à un stade ultérieur.</w:t>
      </w:r>
    </w:p>
    <w:p w:rsidR="00CC0333" w:rsidRPr="0060462D" w:rsidRDefault="00CC0333" w:rsidP="006E3C44">
      <w:pPr>
        <w:rPr>
          <w:u w:val="words"/>
        </w:rPr>
      </w:pPr>
    </w:p>
    <w:p w:rsidR="00CC0333" w:rsidRPr="0060462D" w:rsidRDefault="00CC0333" w:rsidP="006E3C44">
      <w:pPr>
        <w:rPr>
          <w:rFonts w:cs="Arial"/>
        </w:rPr>
      </w:pPr>
    </w:p>
    <w:p w:rsidR="00CC0333" w:rsidRPr="0060462D" w:rsidRDefault="006E3C44" w:rsidP="006E3C44">
      <w:pPr>
        <w:jc w:val="right"/>
        <w:rPr>
          <w:rFonts w:cs="Arial"/>
        </w:rPr>
      </w:pPr>
      <w:r w:rsidRPr="0060462D">
        <w:rPr>
          <w:rFonts w:cs="Arial"/>
        </w:rPr>
        <w:t>[L</w:t>
      </w:r>
      <w:r w:rsidR="00F97ECC" w:rsidRPr="0060462D">
        <w:rPr>
          <w:rFonts w:cs="Arial"/>
        </w:rPr>
        <w:t>’annexe I</w:t>
      </w:r>
      <w:r w:rsidRPr="0060462D">
        <w:rPr>
          <w:rFonts w:cs="Arial"/>
        </w:rPr>
        <w:t>I suit]</w:t>
      </w:r>
    </w:p>
    <w:p w:rsidR="00CC0333" w:rsidRPr="0007233B" w:rsidRDefault="00CC0333" w:rsidP="00E306B7">
      <w:pPr>
        <w:rPr>
          <w:u w:val="single"/>
        </w:rPr>
      </w:pPr>
    </w:p>
    <w:p w:rsidR="00E306B7" w:rsidRPr="0007233B" w:rsidRDefault="00E306B7" w:rsidP="00E306B7">
      <w:pPr>
        <w:pBdr>
          <w:top w:val="single" w:sz="4" w:space="1" w:color="auto"/>
          <w:left w:val="single" w:sz="4" w:space="4" w:color="auto"/>
          <w:bottom w:val="single" w:sz="4" w:space="1" w:color="auto"/>
          <w:right w:val="single" w:sz="4" w:space="4" w:color="auto"/>
        </w:pBdr>
        <w:rPr>
          <w:u w:val="single"/>
        </w:rPr>
        <w:sectPr w:rsidR="00E306B7" w:rsidRPr="0007233B" w:rsidSect="007C1573">
          <w:headerReference w:type="default" r:id="rId11"/>
          <w:headerReference w:type="first" r:id="rId12"/>
          <w:footerReference w:type="first" r:id="rId13"/>
          <w:pgSz w:w="11907" w:h="16840" w:code="9"/>
          <w:pgMar w:top="510" w:right="1418" w:bottom="993" w:left="1418" w:header="510" w:footer="567" w:gutter="0"/>
          <w:pgNumType w:start="1"/>
          <w:cols w:space="720"/>
          <w:titlePg/>
        </w:sectPr>
      </w:pPr>
    </w:p>
    <w:p w:rsidR="00CC0333" w:rsidRPr="0060462D" w:rsidRDefault="00E306B7" w:rsidP="00E306B7">
      <w:pPr>
        <w:jc w:val="center"/>
      </w:pPr>
      <w:bookmarkStart w:id="15" w:name="_Toc311473366"/>
      <w:r w:rsidRPr="0060462D">
        <w:lastRenderedPageBreak/>
        <w:t>ANNEX</w:t>
      </w:r>
      <w:r w:rsidR="00E60900" w:rsidRPr="0060462D">
        <w:t>E</w:t>
      </w:r>
      <w:bookmarkEnd w:id="15"/>
      <w:r w:rsidR="006D4686" w:rsidRPr="0060462D">
        <w:t> </w:t>
      </w:r>
      <w:r w:rsidR="00207199" w:rsidRPr="0060462D">
        <w:t>II</w:t>
      </w:r>
    </w:p>
    <w:p w:rsidR="00CC0333" w:rsidRPr="0060462D" w:rsidRDefault="00CC0333" w:rsidP="00E306B7">
      <w:pPr>
        <w:jc w:val="center"/>
        <w:rPr>
          <w:snapToGrid w:val="0"/>
        </w:rPr>
      </w:pPr>
    </w:p>
    <w:p w:rsidR="00CC0333" w:rsidRPr="0060462D" w:rsidRDefault="00CC0333" w:rsidP="00E306B7">
      <w:pPr>
        <w:jc w:val="center"/>
        <w:rPr>
          <w:snapToGrid w:val="0"/>
        </w:rPr>
      </w:pPr>
    </w:p>
    <w:p w:rsidR="00CC0333" w:rsidRPr="0060462D" w:rsidRDefault="00E60900" w:rsidP="00E60900">
      <w:pPr>
        <w:pBdr>
          <w:top w:val="single" w:sz="4" w:space="1" w:color="auto"/>
          <w:left w:val="single" w:sz="4" w:space="4" w:color="auto"/>
          <w:bottom w:val="single" w:sz="4" w:space="1" w:color="auto"/>
          <w:right w:val="single" w:sz="4" w:space="4" w:color="auto"/>
        </w:pBdr>
        <w:jc w:val="center"/>
        <w:rPr>
          <w:bCs/>
        </w:rPr>
      </w:pPr>
      <w:bookmarkStart w:id="16" w:name="_Toc311473367"/>
      <w:r w:rsidRPr="0060462D">
        <w:rPr>
          <w:bCs/>
        </w:rPr>
        <w:t>MOD</w:t>
      </w:r>
      <w:r w:rsidRPr="0060462D">
        <w:rPr>
          <w:rFonts w:cs="Arial"/>
          <w:bCs/>
        </w:rPr>
        <w:t>È</w:t>
      </w:r>
      <w:r w:rsidRPr="0060462D">
        <w:rPr>
          <w:bCs/>
        </w:rPr>
        <w:t>LE</w:t>
      </w:r>
      <w:r w:rsidR="00F97ECC" w:rsidRPr="0060462D">
        <w:rPr>
          <w:bCs/>
        </w:rPr>
        <w:t> :</w:t>
      </w:r>
      <w:r w:rsidRPr="0060462D">
        <w:rPr>
          <w:bCs/>
        </w:rPr>
        <w:t xml:space="preserve"> COMBINAISON DE DISTANCES PHÉNOTYPIQUES ET MOL</w:t>
      </w:r>
      <w:r w:rsidRPr="0060462D">
        <w:rPr>
          <w:rFonts w:cs="Arial"/>
          <w:bCs/>
        </w:rPr>
        <w:t>É</w:t>
      </w:r>
      <w:r w:rsidRPr="0060462D">
        <w:rPr>
          <w:bCs/>
        </w:rPr>
        <w:t>CULAIRES</w:t>
      </w:r>
      <w:r w:rsidRPr="0060462D">
        <w:rPr>
          <w:bCs/>
        </w:rPr>
        <w:br/>
        <w:t xml:space="preserve">POUR GÉRER DES COLLECTIONS DE </w:t>
      </w:r>
      <w:bookmarkEnd w:id="16"/>
      <w:r w:rsidRPr="0060462D">
        <w:rPr>
          <w:bCs/>
        </w:rPr>
        <w:t>VARIÉTÉS</w:t>
      </w:r>
    </w:p>
    <w:p w:rsidR="00CC0333" w:rsidRPr="0060462D" w:rsidRDefault="00CC0333" w:rsidP="00E306B7">
      <w:pPr>
        <w:jc w:val="center"/>
        <w:rPr>
          <w:bCs/>
          <w:snapToGrid w:val="0"/>
        </w:rPr>
      </w:pPr>
    </w:p>
    <w:p w:rsidR="00CC0333" w:rsidRPr="0060462D" w:rsidRDefault="00CC0333" w:rsidP="00E306B7">
      <w:pPr>
        <w:jc w:val="center"/>
        <w:rPr>
          <w:snapToGrid w:val="0"/>
        </w:rPr>
      </w:pPr>
    </w:p>
    <w:p w:rsidR="00CC0333" w:rsidRPr="0060462D" w:rsidRDefault="00E60900" w:rsidP="00E60900">
      <w:pPr>
        <w:jc w:val="center"/>
      </w:pPr>
      <w:bookmarkStart w:id="17" w:name="_Toc311473368"/>
      <w:r w:rsidRPr="0060462D">
        <w:t>EXEMPLE</w:t>
      </w:r>
      <w:r w:rsidR="00F97ECC" w:rsidRPr="0060462D">
        <w:t> :</w:t>
      </w:r>
      <w:r w:rsidRPr="0060462D">
        <w:t xml:space="preserve"> LIGNÉES PARENTALES DU MAÏS</w:t>
      </w:r>
      <w:bookmarkEnd w:id="17"/>
    </w:p>
    <w:p w:rsidR="00CC0333" w:rsidRPr="0060462D" w:rsidRDefault="00CC0333" w:rsidP="00E60900">
      <w:pPr>
        <w:jc w:val="center"/>
      </w:pPr>
    </w:p>
    <w:p w:rsidR="00CC0333" w:rsidRPr="0060462D" w:rsidRDefault="00CC0333" w:rsidP="00E60900">
      <w:pPr>
        <w:jc w:val="center"/>
      </w:pPr>
    </w:p>
    <w:p w:rsidR="00CC0333" w:rsidRPr="0060462D" w:rsidRDefault="00E60900" w:rsidP="00E60900">
      <w:pPr>
        <w:jc w:val="center"/>
        <w:rPr>
          <w:i/>
        </w:rPr>
      </w:pPr>
      <w:r w:rsidRPr="0060462D">
        <w:rPr>
          <w:i/>
        </w:rPr>
        <w:t>établi par des experts de la France</w:t>
      </w:r>
    </w:p>
    <w:p w:rsidR="00CC0333" w:rsidRPr="0060462D" w:rsidRDefault="00CC0333" w:rsidP="00E60900">
      <w:pPr>
        <w:pStyle w:val="Header"/>
        <w:rPr>
          <w:rFonts w:cs="Arial"/>
          <w:i/>
        </w:rPr>
      </w:pPr>
    </w:p>
    <w:p w:rsidR="00CC0333" w:rsidRPr="0060462D" w:rsidRDefault="00CC0333" w:rsidP="00E60900">
      <w:pPr>
        <w:pStyle w:val="Header"/>
        <w:rPr>
          <w:rFonts w:cs="Arial"/>
          <w:i/>
        </w:rPr>
      </w:pPr>
    </w:p>
    <w:p w:rsidR="00CC0333" w:rsidRPr="0060462D" w:rsidRDefault="00E60900" w:rsidP="00E60900">
      <w:pPr>
        <w:spacing w:after="240"/>
        <w:rPr>
          <w:rFonts w:cs="Arial"/>
          <w:snapToGrid w:val="0"/>
        </w:rPr>
      </w:pPr>
      <w:r w:rsidRPr="0060462D">
        <w:rPr>
          <w:rFonts w:cs="Arial"/>
          <w:snapToGrid w:val="0"/>
        </w:rPr>
        <w:t>1.</w:t>
      </w:r>
      <w:r w:rsidRPr="0060462D">
        <w:rPr>
          <w:rFonts w:cs="Arial"/>
          <w:snapToGrid w:val="0"/>
        </w:rPr>
        <w:tab/>
      </w:r>
      <w:r w:rsidRPr="0060462D">
        <w:rPr>
          <w:rFonts w:cs="Arial"/>
          <w:snapToGrid w:val="0"/>
          <w:u w:val="single"/>
        </w:rPr>
        <w:t>Description</w:t>
      </w:r>
    </w:p>
    <w:p w:rsidR="00CC0333" w:rsidRPr="0060462D" w:rsidRDefault="00E60900" w:rsidP="00E60900">
      <w:pPr>
        <w:spacing w:after="240"/>
        <w:rPr>
          <w:rFonts w:cs="Arial"/>
        </w:rPr>
      </w:pPr>
      <w:r w:rsidRPr="0060462D">
        <w:rPr>
          <w:rFonts w:cs="Arial"/>
        </w:rPr>
        <w:t>1.1</w:t>
      </w:r>
      <w:r w:rsidRPr="0060462D">
        <w:rPr>
          <w:rFonts w:cs="Arial"/>
        </w:rPr>
        <w:tab/>
      </w:r>
      <w:r w:rsidRPr="0060462D">
        <w:t>Le processus d</w:t>
      </w:r>
      <w:r w:rsidR="00F97ECC" w:rsidRPr="0060462D">
        <w:t>’</w:t>
      </w:r>
      <w:r w:rsidRPr="0060462D">
        <w:t>élimination des variétés notoirement connues avant l</w:t>
      </w:r>
      <w:r w:rsidR="00F97ECC" w:rsidRPr="0060462D">
        <w:t>’</w:t>
      </w:r>
      <w:r w:rsidRPr="0060462D">
        <w:t>essai DHS en culture se distingue notamment par le fait que le seuil permettant de déterminer quelles variétés peuvent être exclues sans risques (par exemple, quelles variétés sont distinctes d</w:t>
      </w:r>
      <w:r w:rsidR="00F97ECC" w:rsidRPr="0060462D">
        <w:t>’</w:t>
      </w:r>
      <w:r w:rsidRPr="0060462D">
        <w:t>après les descriptions) peut être fixé avec une marge de sécurité appropriée, puisque les variétés qui sont éliminées ne figureront pas dans l</w:t>
      </w:r>
      <w:r w:rsidR="00F97ECC" w:rsidRPr="0060462D">
        <w:t>’</w:t>
      </w:r>
      <w:r w:rsidRPr="0060462D">
        <w:t>essai en cultu</w:t>
      </w:r>
      <w:r w:rsidR="006D4686" w:rsidRPr="0060462D">
        <w:t>re.  Ce</w:t>
      </w:r>
      <w:r w:rsidRPr="0060462D">
        <w:t xml:space="preserve"> seuil, assorti d</w:t>
      </w:r>
      <w:r w:rsidR="00F97ECC" w:rsidRPr="0060462D">
        <w:t>’</w:t>
      </w:r>
      <w:r w:rsidRPr="0060462D">
        <w:t>une marge de sécurité, est dénommé le seuil de “distinction plus”, ce qui signifie que les distances entre une variété candidate et les variétés “distinctes plus” sont suffisamment robustes pour que l</w:t>
      </w:r>
      <w:r w:rsidR="00F97ECC" w:rsidRPr="0060462D">
        <w:t>’</w:t>
      </w:r>
      <w:r w:rsidRPr="0060462D">
        <w:t>on prenne une décision sans comparaison directe dans le cadre de l</w:t>
      </w:r>
      <w:r w:rsidR="00F97ECC" w:rsidRPr="0060462D">
        <w:t>’</w:t>
      </w:r>
      <w:r w:rsidRPr="0060462D">
        <w:t>essai en culture.</w:t>
      </w:r>
    </w:p>
    <w:p w:rsidR="00CC0333" w:rsidRPr="0060462D" w:rsidRDefault="00E60900" w:rsidP="00E60900">
      <w:pPr>
        <w:spacing w:after="240"/>
        <w:rPr>
          <w:rFonts w:cs="Arial"/>
          <w:snapToGrid w:val="0"/>
        </w:rPr>
      </w:pPr>
      <w:r w:rsidRPr="0060462D">
        <w:rPr>
          <w:rFonts w:cs="Arial"/>
          <w:snapToGrid w:val="0"/>
        </w:rPr>
        <w:t>1.2</w:t>
      </w:r>
      <w:r w:rsidRPr="0060462D">
        <w:rPr>
          <w:rFonts w:cs="Arial"/>
          <w:snapToGrid w:val="0"/>
        </w:rPr>
        <w:tab/>
      </w:r>
      <w:r w:rsidRPr="0060462D">
        <w:t>Cet exemple a pour objet d</w:t>
      </w:r>
      <w:r w:rsidR="00F97ECC" w:rsidRPr="0060462D">
        <w:t>’</w:t>
      </w:r>
      <w:r w:rsidRPr="0060462D">
        <w:t>élaborer un outil efficace fondé sur une combinaison de distances phénotypiques et moléculaires pour identifier, dans la collection de variétés, les variétés qu</w:t>
      </w:r>
      <w:r w:rsidR="00F97ECC" w:rsidRPr="0060462D">
        <w:t>’</w:t>
      </w:r>
      <w:r w:rsidRPr="0060462D">
        <w:t>il y a lieu de comparer avec les variétés candidates (voir figure 1) afin d</w:t>
      </w:r>
      <w:r w:rsidR="00F97ECC" w:rsidRPr="0060462D">
        <w:t>’</w:t>
      </w:r>
      <w:r w:rsidRPr="0060462D">
        <w:t>améliorer la sélection des variétés “distinctes plus” et de limiter ainsi la charge de travail sans réduire la qualité de l</w:t>
      </w:r>
      <w:r w:rsidR="00F97ECC" w:rsidRPr="0060462D">
        <w:t>’</w:t>
      </w:r>
      <w:r w:rsidRPr="0060462D">
        <w:t>ess</w:t>
      </w:r>
      <w:r w:rsidR="006D4686" w:rsidRPr="0060462D">
        <w:t>ai.  La</w:t>
      </w:r>
      <w:r w:rsidRPr="0060462D">
        <w:t xml:space="preserve"> difficulté consiste à élaborer un système sûr qui</w:t>
      </w:r>
      <w:r w:rsidR="00F97ECC" w:rsidRPr="0060462D">
        <w:t> :</w:t>
      </w:r>
    </w:p>
    <w:p w:rsidR="00CC0333" w:rsidRPr="0060462D" w:rsidRDefault="00E60900" w:rsidP="00EA2A80">
      <w:pPr>
        <w:spacing w:after="240"/>
        <w:ind w:left="1134" w:hanging="567"/>
        <w:rPr>
          <w:rFonts w:cs="Arial"/>
          <w:snapToGrid w:val="0"/>
        </w:rPr>
      </w:pPr>
      <w:r w:rsidRPr="0060462D">
        <w:rPr>
          <w:rFonts w:cs="Arial"/>
          <w:snapToGrid w:val="0"/>
        </w:rPr>
        <w:t>a)</w:t>
      </w:r>
      <w:r w:rsidRPr="0060462D">
        <w:rPr>
          <w:rFonts w:cs="Arial"/>
          <w:snapToGrid w:val="0"/>
        </w:rPr>
        <w:tab/>
      </w:r>
      <w:r w:rsidRPr="0060462D">
        <w:t>permette de sélectionner seulement les variétés semblables aux variétés candidates</w:t>
      </w:r>
      <w:r w:rsidRPr="0060462D">
        <w:rPr>
          <w:rFonts w:cs="Arial"/>
          <w:snapToGrid w:val="0"/>
        </w:rPr>
        <w:t>;  et</w:t>
      </w:r>
    </w:p>
    <w:p w:rsidR="00CC0333" w:rsidRDefault="00E60900" w:rsidP="00080FF3">
      <w:pPr>
        <w:spacing w:after="240"/>
        <w:ind w:left="1134" w:hanging="567"/>
        <w:rPr>
          <w:rFonts w:cs="Arial"/>
          <w:snapToGrid w:val="0"/>
        </w:rPr>
      </w:pPr>
      <w:r w:rsidRPr="0060462D">
        <w:rPr>
          <w:rFonts w:cs="Arial"/>
          <w:snapToGrid w:val="0"/>
        </w:rPr>
        <w:t>b)</w:t>
      </w:r>
      <w:r w:rsidRPr="0060462D">
        <w:rPr>
          <w:rFonts w:cs="Arial"/>
          <w:snapToGrid w:val="0"/>
        </w:rPr>
        <w:tab/>
      </w:r>
      <w:r w:rsidRPr="0060462D">
        <w:t>limite le risque de ne pas sélectionner une variété figurant dans la collection de variétés qu</w:t>
      </w:r>
      <w:r w:rsidR="00F97ECC" w:rsidRPr="0060462D">
        <w:t>’</w:t>
      </w:r>
      <w:r w:rsidRPr="0060462D">
        <w:t>il faut comparer sur le terrain, notamment lorsqu</w:t>
      </w:r>
      <w:r w:rsidR="00F97ECC" w:rsidRPr="0060462D">
        <w:t>’</w:t>
      </w:r>
      <w:r w:rsidRPr="0060462D">
        <w:t>il y a une collection de variétés importantes ou onéreuses</w:t>
      </w:r>
      <w:r w:rsidRPr="0060462D">
        <w:rPr>
          <w:rFonts w:cs="Arial"/>
          <w:snapToGrid w:val="0"/>
        </w:rPr>
        <w:t>.</w:t>
      </w:r>
    </w:p>
    <w:p w:rsidR="00EA2A80" w:rsidRPr="0060462D" w:rsidRDefault="00EA2A80" w:rsidP="00EA2A80">
      <w:pPr>
        <w:rPr>
          <w:rFonts w:cs="Arial"/>
          <w:snapToGrid w:val="0"/>
        </w:rPr>
      </w:pPr>
    </w:p>
    <w:p w:rsidR="00CC0333" w:rsidRPr="0060462D" w:rsidRDefault="00E60900" w:rsidP="00E60900">
      <w:pPr>
        <w:keepNext/>
        <w:keepLines/>
        <w:rPr>
          <w:rFonts w:cs="Arial"/>
          <w:i/>
          <w:iCs/>
          <w:snapToGrid w:val="0"/>
        </w:rPr>
      </w:pPr>
      <w:r w:rsidRPr="0060462D">
        <w:rPr>
          <w:rFonts w:cs="Arial"/>
          <w:i/>
          <w:iCs/>
          <w:snapToGrid w:val="0"/>
        </w:rPr>
        <w:t>Figure 1</w:t>
      </w:r>
    </w:p>
    <w:p w:rsidR="00CC0333" w:rsidRPr="0060462D" w:rsidRDefault="00CC0333" w:rsidP="00E60900">
      <w:pPr>
        <w:keepNext/>
        <w:keepLines/>
        <w:ind w:left="1134"/>
        <w:rPr>
          <w:rFonts w:cs="Arial"/>
          <w:snapToGrid w:val="0"/>
        </w:rPr>
      </w:pPr>
    </w:p>
    <w:bookmarkStart w:id="18" w:name="_MON_1314448720"/>
    <w:bookmarkEnd w:id="18"/>
    <w:p w:rsidR="00CC0333" w:rsidRPr="0060462D" w:rsidRDefault="00E60900" w:rsidP="00E60900">
      <w:pPr>
        <w:ind w:left="1134"/>
        <w:rPr>
          <w:rFonts w:cs="Arial"/>
          <w:snapToGrid w:val="0"/>
        </w:rPr>
      </w:pPr>
      <w:r w:rsidRPr="0060462D">
        <w:rPr>
          <w:rFonts w:ascii="TimesNewRoman" w:hAnsi="TimesNewRoman"/>
          <w:snapToGrid w:val="0"/>
        </w:rPr>
        <w:object w:dxaOrig="7116" w:dyaOrig="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6pt;height:266.7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PowerPoint.Show.8" ShapeID="_x0000_i1025" DrawAspect="Content" ObjectID="_1626178567" r:id="rId15"/>
        </w:object>
      </w:r>
    </w:p>
    <w:p w:rsidR="00CC0333" w:rsidRPr="0060462D" w:rsidRDefault="00CC0333" w:rsidP="00E60900">
      <w:pPr>
        <w:rPr>
          <w:rFonts w:cs="Arial"/>
          <w:snapToGrid w:val="0"/>
        </w:rPr>
      </w:pPr>
    </w:p>
    <w:p w:rsidR="00CC0333" w:rsidRPr="0060462D" w:rsidRDefault="00CC0333" w:rsidP="00E60900">
      <w:pPr>
        <w:rPr>
          <w:rFonts w:cs="Arial"/>
          <w:snapToGrid w:val="0"/>
        </w:rPr>
      </w:pPr>
    </w:p>
    <w:p w:rsidR="00CC0333" w:rsidRPr="0060462D" w:rsidRDefault="00E60900" w:rsidP="00E60900">
      <w:pPr>
        <w:keepNext/>
        <w:spacing w:after="240"/>
        <w:rPr>
          <w:rFonts w:cs="Arial"/>
          <w:snapToGrid w:val="0"/>
        </w:rPr>
      </w:pPr>
      <w:r w:rsidRPr="0060462D">
        <w:rPr>
          <w:rFonts w:cs="Arial"/>
          <w:snapToGrid w:val="0"/>
        </w:rPr>
        <w:t>1.3</w:t>
      </w:r>
      <w:r w:rsidRPr="0060462D">
        <w:rPr>
          <w:rFonts w:cs="Arial"/>
          <w:snapToGrid w:val="0"/>
        </w:rPr>
        <w:tab/>
      </w:r>
      <w:r w:rsidRPr="0060462D">
        <w:t>Le nouveau système a été élaboré sur la base suivante</w:t>
      </w:r>
      <w:r w:rsidR="00F97ECC" w:rsidRPr="0060462D">
        <w:t> :</w:t>
      </w:r>
    </w:p>
    <w:p w:rsidR="00CC0333" w:rsidRPr="0060462D" w:rsidRDefault="00E60900" w:rsidP="00E60900">
      <w:pPr>
        <w:spacing w:after="240"/>
        <w:ind w:firstLine="720"/>
        <w:rPr>
          <w:rFonts w:cs="Arial"/>
          <w:snapToGrid w:val="0"/>
        </w:rPr>
      </w:pPr>
      <w:r w:rsidRPr="0060462D">
        <w:rPr>
          <w:rFonts w:cs="Arial"/>
          <w:snapToGrid w:val="0"/>
        </w:rPr>
        <w:t>a)</w:t>
      </w:r>
      <w:r w:rsidRPr="0060462D">
        <w:rPr>
          <w:rFonts w:cs="Arial"/>
          <w:snapToGrid w:val="0"/>
        </w:rPr>
        <w:tab/>
      </w:r>
      <w:r w:rsidRPr="0060462D">
        <w:t>études effectuées sur les distances moléculaires dans le maïs afin de procéder à un examen DHS et sur la dérivation essentielle, qui ont montré le lien qui existait avec le parentage entre les variétés (voir document</w:t>
      </w:r>
      <w:r w:rsidR="006D4686" w:rsidRPr="0060462D">
        <w:t> </w:t>
      </w:r>
      <w:r w:rsidRPr="0060462D">
        <w:t xml:space="preserve">BMT/3/6 “The Estimation of </w:t>
      </w:r>
      <w:proofErr w:type="spellStart"/>
      <w:r w:rsidRPr="0060462D">
        <w:t>Molecular</w:t>
      </w:r>
      <w:proofErr w:type="spellEnd"/>
      <w:r w:rsidRPr="0060462D">
        <w:t xml:space="preserve"> </w:t>
      </w:r>
      <w:proofErr w:type="spellStart"/>
      <w:r w:rsidRPr="0060462D">
        <w:t>Genetic</w:t>
      </w:r>
      <w:proofErr w:type="spellEnd"/>
      <w:r w:rsidRPr="0060462D">
        <w:t xml:space="preserve"> Distances in </w:t>
      </w:r>
      <w:proofErr w:type="spellStart"/>
      <w:r w:rsidRPr="0060462D">
        <w:t>Maize</w:t>
      </w:r>
      <w:proofErr w:type="spellEnd"/>
      <w:r w:rsidRPr="0060462D">
        <w:t xml:space="preserve"> or DUS and ED </w:t>
      </w:r>
      <w:proofErr w:type="spellStart"/>
      <w:r w:rsidRPr="0060462D">
        <w:t>Protocols</w:t>
      </w:r>
      <w:proofErr w:type="spellEnd"/>
      <w:r w:rsidR="00F97ECC" w:rsidRPr="0060462D">
        <w:t> :</w:t>
      </w:r>
      <w:r w:rsidRPr="0060462D">
        <w:t xml:space="preserve"> </w:t>
      </w:r>
      <w:proofErr w:type="spellStart"/>
      <w:r w:rsidRPr="0060462D">
        <w:t>Optimization</w:t>
      </w:r>
      <w:proofErr w:type="spellEnd"/>
      <w:r w:rsidRPr="0060462D">
        <w:t xml:space="preserve"> of the Information and new </w:t>
      </w:r>
      <w:proofErr w:type="spellStart"/>
      <w:r w:rsidRPr="0060462D">
        <w:t>Approaches</w:t>
      </w:r>
      <w:proofErr w:type="spellEnd"/>
      <w:r w:rsidRPr="0060462D">
        <w:t xml:space="preserve"> of </w:t>
      </w:r>
      <w:proofErr w:type="spellStart"/>
      <w:r w:rsidRPr="0060462D">
        <w:t>Kinship</w:t>
      </w:r>
      <w:proofErr w:type="spellEnd"/>
      <w:r w:rsidRPr="0060462D">
        <w:t>” et le document</w:t>
      </w:r>
      <w:r w:rsidR="006D4686" w:rsidRPr="0060462D">
        <w:t> </w:t>
      </w:r>
      <w:r w:rsidRPr="0060462D">
        <w:t>BMT/3/6 </w:t>
      </w:r>
      <w:proofErr w:type="spellStart"/>
      <w:r w:rsidRPr="0060462D">
        <w:t>Add</w:t>
      </w:r>
      <w:proofErr w:type="spellEnd"/>
      <w:r w:rsidRPr="0060462D">
        <w:t>.);</w:t>
      </w:r>
    </w:p>
    <w:p w:rsidR="00BC5A2B" w:rsidRPr="00BC5A2B" w:rsidRDefault="00E60900" w:rsidP="00E60900">
      <w:pPr>
        <w:spacing w:after="240"/>
        <w:ind w:firstLine="720"/>
      </w:pPr>
      <w:r w:rsidRPr="0060462D">
        <w:rPr>
          <w:rFonts w:cs="Arial"/>
          <w:snapToGrid w:val="0"/>
        </w:rPr>
        <w:t>b)</w:t>
      </w:r>
      <w:r w:rsidRPr="0060462D">
        <w:rPr>
          <w:rFonts w:cs="Arial"/>
          <w:snapToGrid w:val="0"/>
        </w:rPr>
        <w:tab/>
      </w:r>
      <w:r w:rsidRPr="0060462D">
        <w:t>une expérience menée par le GEVES sur une série de lignées parentales qui a montré qu</w:t>
      </w:r>
      <w:r w:rsidR="00F97ECC" w:rsidRPr="0060462D">
        <w:t>’</w:t>
      </w:r>
      <w:r w:rsidRPr="0060462D">
        <w:t>il existait un lien entre l</w:t>
      </w:r>
      <w:r w:rsidR="00F97ECC" w:rsidRPr="0060462D">
        <w:t>’</w:t>
      </w:r>
      <w:r w:rsidRPr="0060462D">
        <w:t>évaluation de la distinction effectuée par les experts (évaluation globale) et une distance moléculaire calculée sur la base de données moléculaires tirées de la répétition séquence simple (SSR) (voir figure 2).</w:t>
      </w:r>
    </w:p>
    <w:p w:rsidR="00CC0333" w:rsidRPr="0060462D" w:rsidRDefault="007772DF" w:rsidP="007772DF">
      <w:pPr>
        <w:spacing w:after="240"/>
        <w:rPr>
          <w:rFonts w:cs="Arial"/>
          <w:snapToGrid w:val="0"/>
        </w:rPr>
      </w:pPr>
      <w:r w:rsidRPr="0060462D">
        <w:rPr>
          <w:rFonts w:cs="Arial"/>
          <w:snapToGrid w:val="0"/>
        </w:rPr>
        <w:t>1.4</w:t>
      </w:r>
      <w:r w:rsidRPr="0060462D">
        <w:rPr>
          <w:rFonts w:cs="Arial"/>
          <w:snapToGrid w:val="0"/>
        </w:rPr>
        <w:tab/>
        <w:t>Éléments du système</w:t>
      </w:r>
    </w:p>
    <w:p w:rsidR="00CC0333" w:rsidRPr="0060462D" w:rsidRDefault="007772DF" w:rsidP="007772DF">
      <w:pPr>
        <w:spacing w:after="240"/>
        <w:rPr>
          <w:rFonts w:cs="Arial"/>
          <w:snapToGrid w:val="0"/>
        </w:rPr>
      </w:pPr>
      <w:r w:rsidRPr="0060462D">
        <w:rPr>
          <w:rFonts w:cs="Arial"/>
          <w:snapToGrid w:val="0"/>
        </w:rPr>
        <w:t>1.4.1</w:t>
      </w:r>
      <w:r w:rsidRPr="0060462D">
        <w:rPr>
          <w:rFonts w:cs="Arial"/>
          <w:snapToGrid w:val="0"/>
        </w:rPr>
        <w:tab/>
        <w:t>Distance GAIA</w:t>
      </w:r>
    </w:p>
    <w:p w:rsidR="00CC0333" w:rsidRPr="0060462D" w:rsidRDefault="007772DF" w:rsidP="007772DF">
      <w:pPr>
        <w:spacing w:after="240"/>
        <w:rPr>
          <w:rFonts w:cs="Arial"/>
          <w:snapToGrid w:val="0"/>
        </w:rPr>
      </w:pPr>
      <w:r w:rsidRPr="0060462D">
        <w:t>L</w:t>
      </w:r>
      <w:r w:rsidR="00F97ECC" w:rsidRPr="0060462D">
        <w:t>’</w:t>
      </w:r>
      <w:r w:rsidRPr="0060462D">
        <w:t>élément distance GAIA est calculé grâce au logiciel GAIA mis au point par le GE</w:t>
      </w:r>
      <w:r w:rsidR="006D4686" w:rsidRPr="0060462D">
        <w:t>VES.  La</w:t>
      </w:r>
      <w:r w:rsidRPr="0060462D">
        <w:t xml:space="preserve"> distance GAIA est une combinaison des différences observées à partir de caractéristiques phénotypiques où chaque différence contribue à la distance selon la fiabilité des caractéristiques notamment en ce qui concerne sa variabilité et sa susceptibilité à l</w:t>
      </w:r>
      <w:r w:rsidR="00F97ECC" w:rsidRPr="0060462D">
        <w:t>’</w:t>
      </w:r>
      <w:r w:rsidRPr="0060462D">
        <w:t>environneme</w:t>
      </w:r>
      <w:r w:rsidR="006D4686" w:rsidRPr="0060462D">
        <w:t>nt.  Pl</w:t>
      </w:r>
      <w:r w:rsidRPr="0060462D">
        <w:t>us la différence et la fiabilité des ca</w:t>
      </w:r>
      <w:r w:rsidR="00214699" w:rsidRPr="0060462D">
        <w:t>ractéristiques sont importantes</w:t>
      </w:r>
      <w:r w:rsidRPr="0060462D">
        <w:t xml:space="preserve"> plus la différence contribue à la distance G</w:t>
      </w:r>
      <w:r w:rsidR="006D4686" w:rsidRPr="0060462D">
        <w:t>AIA.  Se</w:t>
      </w:r>
      <w:r w:rsidRPr="0060462D">
        <w:t>ules les différences qui sont égales ou supérieures à la distance minimale requise pour chaque caractéristique individuelle sont indiquées</w:t>
      </w:r>
      <w:r w:rsidRPr="0060462D">
        <w:rPr>
          <w:rFonts w:cs="Arial"/>
          <w:snapToGrid w:val="0"/>
        </w:rPr>
        <w:t>.</w:t>
      </w:r>
    </w:p>
    <w:p w:rsidR="00CC0333" w:rsidRPr="0060462D" w:rsidRDefault="007772DF" w:rsidP="007772DF">
      <w:pPr>
        <w:spacing w:after="240"/>
        <w:rPr>
          <w:rFonts w:cs="Arial"/>
          <w:snapToGrid w:val="0"/>
        </w:rPr>
      </w:pPr>
      <w:r w:rsidRPr="0060462D">
        <w:rPr>
          <w:rFonts w:cs="Arial"/>
          <w:snapToGrid w:val="0"/>
        </w:rPr>
        <w:t>1.4.2</w:t>
      </w:r>
      <w:r w:rsidRPr="0060462D">
        <w:rPr>
          <w:rFonts w:cs="Arial"/>
          <w:snapToGrid w:val="0"/>
        </w:rPr>
        <w:tab/>
        <w:t>Distance moléculaire</w:t>
      </w:r>
    </w:p>
    <w:p w:rsidR="00CC0333" w:rsidRPr="0060462D" w:rsidRDefault="007772DF" w:rsidP="007772DF">
      <w:pPr>
        <w:spacing w:after="240"/>
        <w:rPr>
          <w:rFonts w:cs="Arial"/>
          <w:snapToGrid w:val="0"/>
        </w:rPr>
      </w:pPr>
      <w:r w:rsidRPr="0060462D">
        <w:t>L</w:t>
      </w:r>
      <w:r w:rsidR="00F97ECC" w:rsidRPr="0060462D">
        <w:t>’</w:t>
      </w:r>
      <w:r w:rsidRPr="0060462D">
        <w:t>élément distance moléculaire est calculé à partir des différences observées sur une série de marqueu</w:t>
      </w:r>
      <w:r w:rsidR="006D4686" w:rsidRPr="0060462D">
        <w:t>rs.  On</w:t>
      </w:r>
      <w:r w:rsidRPr="0060462D">
        <w:t xml:space="preserve"> peut utiliser différents types de marqueurs et de distances moléculair</w:t>
      </w:r>
      <w:r w:rsidR="006D4686" w:rsidRPr="0060462D">
        <w:t>es.  S’a</w:t>
      </w:r>
      <w:r w:rsidRPr="0060462D">
        <w:t>gissant de l</w:t>
      </w:r>
      <w:r w:rsidR="00F97ECC" w:rsidRPr="0060462D">
        <w:t>’</w:t>
      </w:r>
      <w:r w:rsidRPr="0060462D">
        <w:t>étude menée en France sur le maïs, on s</w:t>
      </w:r>
      <w:r w:rsidR="00F97ECC" w:rsidRPr="0060462D">
        <w:t>’</w:t>
      </w:r>
      <w:r w:rsidRPr="0060462D">
        <w:t>est servi de 60 marqueurs SSR et de la distance de Roge</w:t>
      </w:r>
      <w:r w:rsidR="006D4686" w:rsidRPr="0060462D">
        <w:t>rs.  Il</w:t>
      </w:r>
      <w:r w:rsidRPr="0060462D">
        <w:t xml:space="preserve"> est important d</w:t>
      </w:r>
      <w:r w:rsidR="00F97ECC" w:rsidRPr="0060462D">
        <w:t>’</w:t>
      </w:r>
      <w:r w:rsidRPr="0060462D">
        <w:t>utiliser un nombre suffisant de marqueurs avec une bonne répartition chromosomiq</w:t>
      </w:r>
      <w:r w:rsidR="006D4686" w:rsidRPr="0060462D">
        <w:t>ue.  Le</w:t>
      </w:r>
      <w:r w:rsidRPr="0060462D">
        <w:t xml:space="preserve"> type de marqueur, l</w:t>
      </w:r>
      <w:r w:rsidR="00F97ECC" w:rsidRPr="0060462D">
        <w:t>’</w:t>
      </w:r>
      <w:r w:rsidRPr="0060462D">
        <w:t>effet du nombre de marqueurs et la répartition des marqueurs doivent être pris en compte en fonction de l</w:t>
      </w:r>
      <w:r w:rsidR="00F97ECC" w:rsidRPr="0060462D">
        <w:t>’</w:t>
      </w:r>
      <w:r w:rsidRPr="0060462D">
        <w:t>espèce concernée</w:t>
      </w:r>
      <w:r w:rsidRPr="0060462D">
        <w:rPr>
          <w:rFonts w:cs="Arial"/>
          <w:snapToGrid w:val="0"/>
        </w:rPr>
        <w:t>.</w:t>
      </w:r>
    </w:p>
    <w:p w:rsidR="00CC0333" w:rsidRPr="0060462D" w:rsidRDefault="007772DF" w:rsidP="007772DF">
      <w:pPr>
        <w:spacing w:after="240"/>
        <w:rPr>
          <w:rFonts w:cs="Arial"/>
          <w:snapToGrid w:val="0"/>
        </w:rPr>
      </w:pPr>
      <w:r w:rsidRPr="0060462D">
        <w:rPr>
          <w:rFonts w:cs="Arial"/>
          <w:snapToGrid w:val="0"/>
        </w:rPr>
        <w:t>1.4.3</w:t>
      </w:r>
      <w:r w:rsidRPr="0060462D">
        <w:rPr>
          <w:rFonts w:cs="Arial"/>
          <w:snapToGrid w:val="0"/>
        </w:rPr>
        <w:tab/>
        <w:t xml:space="preserve">Avant </w:t>
      </w:r>
      <w:r w:rsidRPr="0060462D">
        <w:t>de combiner ces deux éléments, il y a lieu de procéder à une évaluation du lien existant entre la distance moléculaire et une évaluation globale de la distinction effectuée par un groupe d</w:t>
      </w:r>
      <w:r w:rsidR="00F97ECC" w:rsidRPr="0060462D">
        <w:t>’</w:t>
      </w:r>
      <w:r w:rsidRPr="0060462D">
        <w:t>experts sur une série de paires de variét</w:t>
      </w:r>
      <w:r w:rsidR="006D4686" w:rsidRPr="0060462D">
        <w:t>és.  S’a</w:t>
      </w:r>
      <w:r w:rsidRPr="0060462D">
        <w:t>gissant du maïs, cette évaluation avait été effectuée sur la base suivante</w:t>
      </w:r>
      <w:r w:rsidR="00F97ECC" w:rsidRPr="0060462D">
        <w:t> :</w:t>
      </w:r>
    </w:p>
    <w:p w:rsidR="00CC0333" w:rsidRPr="0060462D" w:rsidRDefault="007772DF" w:rsidP="007772DF">
      <w:pPr>
        <w:spacing w:after="240"/>
        <w:ind w:firstLine="720"/>
        <w:rPr>
          <w:rFonts w:cs="Arial"/>
          <w:snapToGrid w:val="0"/>
        </w:rPr>
      </w:pPr>
      <w:r w:rsidRPr="0060462D">
        <w:rPr>
          <w:rFonts w:cs="Arial"/>
          <w:snapToGrid w:val="0"/>
        </w:rPr>
        <w:t>Matériel</w:t>
      </w:r>
      <w:r w:rsidR="00F97ECC" w:rsidRPr="0060462D">
        <w:rPr>
          <w:rFonts w:cs="Arial"/>
          <w:snapToGrid w:val="0"/>
        </w:rPr>
        <w:t> :</w:t>
      </w:r>
      <w:r w:rsidRPr="0060462D">
        <w:rPr>
          <w:rFonts w:cs="Arial"/>
          <w:snapToGrid w:val="0"/>
        </w:rPr>
        <w:t xml:space="preserve"> </w:t>
      </w:r>
      <w:r w:rsidRPr="0060462D">
        <w:t>504 paires de variétés testées parallèlement avec des marqueurs moléculaires</w:t>
      </w:r>
    </w:p>
    <w:p w:rsidR="00CC0333" w:rsidRPr="0060462D" w:rsidRDefault="007772DF" w:rsidP="007772DF">
      <w:pPr>
        <w:pStyle w:val="NormalWeb"/>
        <w:spacing w:before="0" w:beforeAutospacing="0" w:after="0" w:afterAutospacing="0"/>
        <w:ind w:left="720"/>
        <w:rPr>
          <w:rFonts w:ascii="Arial" w:hAnsi="Arial" w:cs="Arial"/>
          <w:sz w:val="20"/>
          <w:szCs w:val="20"/>
        </w:rPr>
      </w:pPr>
      <w:r w:rsidRPr="0060462D">
        <w:rPr>
          <w:rFonts w:ascii="Arial" w:hAnsi="Arial" w:cs="Arial"/>
          <w:sz w:val="20"/>
          <w:szCs w:val="20"/>
        </w:rPr>
        <w:t>Configuration sur le terrain</w:t>
      </w:r>
      <w:r w:rsidR="00F97ECC" w:rsidRPr="0060462D">
        <w:rPr>
          <w:rFonts w:ascii="Arial" w:hAnsi="Arial" w:cs="Arial"/>
          <w:sz w:val="20"/>
          <w:szCs w:val="20"/>
        </w:rPr>
        <w:t> :</w:t>
      </w:r>
      <w:r w:rsidRPr="0060462D">
        <w:rPr>
          <w:rFonts w:ascii="Arial" w:hAnsi="Arial" w:cs="Arial"/>
          <w:sz w:val="20"/>
          <w:szCs w:val="20"/>
        </w:rPr>
        <w:t xml:space="preserve"> paires de variétés cultivées côte à côte</w:t>
      </w:r>
    </w:p>
    <w:p w:rsidR="00CC0333" w:rsidRPr="0060462D" w:rsidRDefault="007772DF" w:rsidP="007772DF">
      <w:pPr>
        <w:pStyle w:val="NormalWeb"/>
        <w:spacing w:before="0" w:beforeAutospacing="0" w:after="0" w:afterAutospacing="0"/>
        <w:ind w:firstLine="720"/>
        <w:rPr>
          <w:rFonts w:ascii="Arial" w:hAnsi="Arial" w:cs="Arial"/>
          <w:sz w:val="20"/>
          <w:szCs w:val="20"/>
        </w:rPr>
      </w:pPr>
      <w:r w:rsidRPr="0060462D">
        <w:rPr>
          <w:rFonts w:ascii="Arial" w:hAnsi="Arial" w:cs="Arial"/>
          <w:sz w:val="20"/>
          <w:szCs w:val="20"/>
        </w:rPr>
        <w:t>(1 parcelle = 2 rangées de 15</w:t>
      </w:r>
      <w:r w:rsidR="006D4686" w:rsidRPr="0060462D">
        <w:rPr>
          <w:rFonts w:ascii="Arial" w:hAnsi="Arial" w:cs="Arial"/>
          <w:sz w:val="20"/>
          <w:szCs w:val="20"/>
        </w:rPr>
        <w:t> </w:t>
      </w:r>
      <w:r w:rsidRPr="0060462D">
        <w:rPr>
          <w:rFonts w:ascii="Arial" w:hAnsi="Arial" w:cs="Arial"/>
          <w:sz w:val="20"/>
          <w:szCs w:val="20"/>
        </w:rPr>
        <w:t>plantes)</w:t>
      </w:r>
    </w:p>
    <w:p w:rsidR="00CC0333" w:rsidRPr="0060462D" w:rsidRDefault="00CC0333" w:rsidP="007772DF">
      <w:pPr>
        <w:pStyle w:val="NormalWeb"/>
        <w:spacing w:before="0" w:beforeAutospacing="0" w:after="0" w:afterAutospacing="0"/>
        <w:ind w:firstLine="720"/>
        <w:rPr>
          <w:rFonts w:ascii="Arial" w:hAnsi="Arial" w:cs="Arial"/>
          <w:sz w:val="20"/>
          <w:szCs w:val="20"/>
        </w:rPr>
      </w:pPr>
    </w:p>
    <w:p w:rsidR="00CC0333" w:rsidRPr="0060462D" w:rsidRDefault="007772DF" w:rsidP="007772DF">
      <w:pPr>
        <w:spacing w:after="240"/>
        <w:ind w:firstLine="720"/>
        <w:rPr>
          <w:rFonts w:cs="Arial"/>
          <w:snapToGrid w:val="0"/>
        </w:rPr>
      </w:pPr>
      <w:r w:rsidRPr="0060462D">
        <w:rPr>
          <w:rFonts w:cs="Arial"/>
          <w:snapToGrid w:val="0"/>
        </w:rPr>
        <w:t xml:space="preserve">Évaluation </w:t>
      </w:r>
      <w:r w:rsidRPr="0060462D">
        <w:t>visuelle par des experts en culture de maïs</w:t>
      </w:r>
      <w:r w:rsidR="00F97ECC" w:rsidRPr="0060462D">
        <w:t> :</w:t>
      </w:r>
    </w:p>
    <w:p w:rsidR="00CC0333" w:rsidRPr="0060462D" w:rsidRDefault="007772DF" w:rsidP="007772DF">
      <w:pPr>
        <w:spacing w:after="240"/>
        <w:ind w:firstLine="709"/>
        <w:rPr>
          <w:rFonts w:cs="Arial"/>
          <w:snapToGrid w:val="0"/>
        </w:rPr>
      </w:pPr>
      <w:r w:rsidRPr="0060462D">
        <w:rPr>
          <w:rFonts w:cs="Arial"/>
          <w:snapToGrid w:val="0"/>
        </w:rPr>
        <w:t>Échelle de similarité</w:t>
      </w:r>
      <w:r w:rsidR="00F97ECC" w:rsidRPr="0060462D">
        <w:rPr>
          <w:rFonts w:cs="Arial"/>
          <w:snapToGrid w:val="0"/>
        </w:rPr>
        <w:t> :</w:t>
      </w:r>
    </w:p>
    <w:p w:rsidR="00CC0333" w:rsidRPr="0060462D" w:rsidRDefault="00CA22EB" w:rsidP="007772DF">
      <w:pPr>
        <w:pStyle w:val="NormalWeb"/>
        <w:spacing w:before="0" w:beforeAutospacing="0" w:after="0" w:afterAutospacing="0"/>
        <w:ind w:firstLine="709"/>
        <w:rPr>
          <w:rFonts w:ascii="Arial" w:hAnsi="Arial" w:cs="Arial"/>
          <w:sz w:val="20"/>
          <w:szCs w:val="20"/>
        </w:rPr>
      </w:pPr>
      <w:r w:rsidRPr="0060462D">
        <w:rPr>
          <w:rFonts w:ascii="Arial" w:hAnsi="Arial" w:cs="Arial"/>
          <w:sz w:val="20"/>
          <w:szCs w:val="20"/>
        </w:rPr>
        <w:t>1.</w:t>
      </w:r>
      <w:r w:rsidR="007772DF" w:rsidRPr="0060462D">
        <w:rPr>
          <w:rFonts w:ascii="Arial" w:hAnsi="Arial" w:cs="Arial"/>
          <w:sz w:val="20"/>
          <w:szCs w:val="20"/>
        </w:rPr>
        <w:tab/>
        <w:t>les deux variétés sont semblables ou très proches</w:t>
      </w:r>
    </w:p>
    <w:p w:rsidR="00CC0333" w:rsidRPr="0060462D" w:rsidRDefault="007772DF" w:rsidP="007772DF">
      <w:pPr>
        <w:pStyle w:val="NormalWeb"/>
        <w:spacing w:before="0" w:beforeAutospacing="0" w:after="0" w:afterAutospacing="0"/>
        <w:ind w:firstLine="709"/>
        <w:rPr>
          <w:rFonts w:ascii="Arial" w:hAnsi="Arial" w:cs="Arial"/>
          <w:sz w:val="20"/>
          <w:szCs w:val="20"/>
        </w:rPr>
      </w:pPr>
      <w:r w:rsidRPr="0060462D">
        <w:rPr>
          <w:rFonts w:ascii="Arial" w:hAnsi="Arial" w:cs="Arial"/>
          <w:sz w:val="20"/>
          <w:szCs w:val="20"/>
        </w:rPr>
        <w:t>3.</w:t>
      </w:r>
      <w:r w:rsidRPr="0060462D">
        <w:rPr>
          <w:rFonts w:ascii="Arial" w:hAnsi="Arial" w:cs="Arial"/>
          <w:sz w:val="20"/>
          <w:szCs w:val="20"/>
        </w:rPr>
        <w:tab/>
        <w:t>les deux variétés sont distinctes mais proches</w:t>
      </w:r>
    </w:p>
    <w:p w:rsidR="00CC0333" w:rsidRPr="0060462D" w:rsidRDefault="00CA22EB" w:rsidP="007772DF">
      <w:pPr>
        <w:pStyle w:val="NormalWeb"/>
        <w:spacing w:before="0" w:beforeAutospacing="0" w:after="0" w:afterAutospacing="0"/>
        <w:ind w:firstLine="709"/>
        <w:rPr>
          <w:rFonts w:ascii="Arial" w:hAnsi="Arial" w:cs="Arial"/>
          <w:sz w:val="20"/>
          <w:szCs w:val="20"/>
        </w:rPr>
      </w:pPr>
      <w:r w:rsidRPr="0060462D">
        <w:rPr>
          <w:rFonts w:ascii="Arial" w:hAnsi="Arial" w:cs="Arial"/>
          <w:sz w:val="20"/>
          <w:szCs w:val="20"/>
        </w:rPr>
        <w:t>5.</w:t>
      </w:r>
      <w:r w:rsidR="007772DF" w:rsidRPr="0060462D">
        <w:rPr>
          <w:rFonts w:ascii="Arial" w:hAnsi="Arial" w:cs="Arial"/>
          <w:sz w:val="20"/>
          <w:szCs w:val="20"/>
        </w:rPr>
        <w:tab/>
        <w:t>la comparaison a été utile mais les variétés sont nettement distinctes</w:t>
      </w:r>
    </w:p>
    <w:p w:rsidR="00CC0333" w:rsidRPr="0060462D" w:rsidRDefault="007772DF" w:rsidP="007772DF">
      <w:pPr>
        <w:pStyle w:val="NormalWeb"/>
        <w:spacing w:before="0" w:beforeAutospacing="0" w:after="0" w:afterAutospacing="0"/>
        <w:ind w:firstLine="709"/>
        <w:rPr>
          <w:rFonts w:ascii="Arial" w:hAnsi="Arial" w:cs="Arial"/>
          <w:sz w:val="20"/>
          <w:szCs w:val="20"/>
        </w:rPr>
      </w:pPr>
      <w:r w:rsidRPr="0060462D">
        <w:rPr>
          <w:rFonts w:ascii="Arial" w:hAnsi="Arial" w:cs="Arial"/>
          <w:sz w:val="20"/>
          <w:szCs w:val="20"/>
        </w:rPr>
        <w:t>7.</w:t>
      </w:r>
      <w:r w:rsidRPr="0060462D">
        <w:rPr>
          <w:rFonts w:ascii="Arial" w:hAnsi="Arial" w:cs="Arial"/>
          <w:sz w:val="20"/>
          <w:szCs w:val="20"/>
        </w:rPr>
        <w:tab/>
        <w:t>la comparaison aurait dû être évitée car les variétés sont très différentes</w:t>
      </w:r>
    </w:p>
    <w:p w:rsidR="00CC0333" w:rsidRPr="0060462D" w:rsidRDefault="00CA22EB" w:rsidP="007772DF">
      <w:pPr>
        <w:pStyle w:val="NormalWeb"/>
        <w:spacing w:before="0" w:beforeAutospacing="0" w:after="0" w:afterAutospacing="0"/>
        <w:ind w:firstLine="709"/>
      </w:pPr>
      <w:r w:rsidRPr="0060462D">
        <w:rPr>
          <w:rFonts w:ascii="Arial" w:hAnsi="Arial" w:cs="Arial"/>
          <w:sz w:val="20"/>
          <w:szCs w:val="20"/>
        </w:rPr>
        <w:t>9.</w:t>
      </w:r>
      <w:r w:rsidR="007772DF" w:rsidRPr="0060462D">
        <w:rPr>
          <w:rFonts w:ascii="Arial" w:hAnsi="Arial" w:cs="Arial"/>
          <w:sz w:val="20"/>
          <w:szCs w:val="20"/>
        </w:rPr>
        <w:tab/>
        <w:t>la comparaison aurait dû être évitée car les variétés sont totalement différentes</w:t>
      </w:r>
    </w:p>
    <w:p w:rsidR="00CC0333" w:rsidRPr="00BC5A2B" w:rsidRDefault="007772DF" w:rsidP="00BC5A2B">
      <w:pPr>
        <w:pStyle w:val="NormalWeb"/>
        <w:spacing w:before="0" w:beforeAutospacing="0" w:after="0" w:afterAutospacing="0"/>
        <w:ind w:firstLine="1134"/>
        <w:rPr>
          <w:rFonts w:ascii="Arial" w:hAnsi="Arial" w:cs="Arial"/>
          <w:sz w:val="20"/>
          <w:szCs w:val="20"/>
        </w:rPr>
      </w:pPr>
      <w:r w:rsidRPr="0060462D">
        <w:rPr>
          <w:rFonts w:ascii="Arial" w:hAnsi="Arial" w:cs="Arial"/>
          <w:sz w:val="20"/>
          <w:szCs w:val="20"/>
        </w:rPr>
        <w:t>(on n</w:t>
      </w:r>
      <w:r w:rsidR="00F97ECC" w:rsidRPr="0060462D">
        <w:rPr>
          <w:rFonts w:ascii="Arial" w:hAnsi="Arial" w:cs="Arial"/>
          <w:sz w:val="20"/>
          <w:szCs w:val="20"/>
        </w:rPr>
        <w:t>’</w:t>
      </w:r>
      <w:r w:rsidRPr="0060462D">
        <w:rPr>
          <w:rFonts w:ascii="Arial" w:hAnsi="Arial" w:cs="Arial"/>
          <w:sz w:val="20"/>
          <w:szCs w:val="20"/>
        </w:rPr>
        <w:t>utilise pas de notes “paires” dans l</w:t>
      </w:r>
      <w:r w:rsidR="00F97ECC" w:rsidRPr="0060462D">
        <w:rPr>
          <w:rFonts w:ascii="Arial" w:hAnsi="Arial" w:cs="Arial"/>
          <w:sz w:val="20"/>
          <w:szCs w:val="20"/>
        </w:rPr>
        <w:t>’</w:t>
      </w:r>
      <w:r w:rsidRPr="0060462D">
        <w:rPr>
          <w:rFonts w:ascii="Arial" w:hAnsi="Arial" w:cs="Arial"/>
          <w:sz w:val="20"/>
          <w:szCs w:val="20"/>
        </w:rPr>
        <w:t>échelle)</w:t>
      </w:r>
    </w:p>
    <w:p w:rsidR="00CC0333" w:rsidRPr="0060462D" w:rsidRDefault="007772DF" w:rsidP="00B600FE">
      <w:pPr>
        <w:pStyle w:val="NormalWeb"/>
        <w:jc w:val="both"/>
        <w:rPr>
          <w:rFonts w:ascii="Arial" w:hAnsi="Arial" w:cs="Arial"/>
          <w:sz w:val="20"/>
          <w:szCs w:val="20"/>
        </w:rPr>
      </w:pPr>
      <w:r w:rsidRPr="0060462D">
        <w:rPr>
          <w:rFonts w:ascii="Arial" w:hAnsi="Arial" w:cs="Arial"/>
          <w:sz w:val="20"/>
          <w:szCs w:val="20"/>
        </w:rPr>
        <w:t>S</w:t>
      </w:r>
      <w:r w:rsidR="00F97ECC" w:rsidRPr="0060462D">
        <w:rPr>
          <w:rFonts w:ascii="Arial" w:hAnsi="Arial" w:cs="Arial"/>
          <w:sz w:val="20"/>
          <w:szCs w:val="20"/>
        </w:rPr>
        <w:t>’</w:t>
      </w:r>
      <w:r w:rsidRPr="0060462D">
        <w:rPr>
          <w:rFonts w:ascii="Arial" w:hAnsi="Arial" w:cs="Arial"/>
          <w:sz w:val="20"/>
          <w:szCs w:val="20"/>
        </w:rPr>
        <w:t>agissant du maïs, cette évaluation a montré qu</w:t>
      </w:r>
      <w:r w:rsidR="00F97ECC" w:rsidRPr="0060462D">
        <w:rPr>
          <w:rFonts w:ascii="Arial" w:hAnsi="Arial" w:cs="Arial"/>
          <w:sz w:val="20"/>
          <w:szCs w:val="20"/>
        </w:rPr>
        <w:t>’</w:t>
      </w:r>
      <w:r w:rsidRPr="0060462D">
        <w:rPr>
          <w:rFonts w:ascii="Arial" w:hAnsi="Arial" w:cs="Arial"/>
          <w:sz w:val="20"/>
          <w:szCs w:val="20"/>
        </w:rPr>
        <w:t>aucune lignée parentale avec une distance moléculaire supérieure à 0,15 n</w:t>
      </w:r>
      <w:r w:rsidR="00F97ECC" w:rsidRPr="0060462D">
        <w:rPr>
          <w:rFonts w:ascii="Arial" w:hAnsi="Arial" w:cs="Arial"/>
          <w:sz w:val="20"/>
          <w:szCs w:val="20"/>
        </w:rPr>
        <w:t>’</w:t>
      </w:r>
      <w:r w:rsidRPr="0060462D">
        <w:rPr>
          <w:rFonts w:ascii="Arial" w:hAnsi="Arial" w:cs="Arial"/>
          <w:sz w:val="20"/>
          <w:szCs w:val="20"/>
        </w:rPr>
        <w:t>a été considérée comme semblable ou très proche lors d</w:t>
      </w:r>
      <w:r w:rsidR="00F97ECC" w:rsidRPr="0060462D">
        <w:rPr>
          <w:rFonts w:ascii="Arial" w:hAnsi="Arial" w:cs="Arial"/>
          <w:sz w:val="20"/>
          <w:szCs w:val="20"/>
        </w:rPr>
        <w:t>’</w:t>
      </w:r>
      <w:r w:rsidRPr="0060462D">
        <w:rPr>
          <w:rFonts w:ascii="Arial" w:hAnsi="Arial" w:cs="Arial"/>
          <w:sz w:val="20"/>
          <w:szCs w:val="20"/>
        </w:rPr>
        <w:t>une évaluation d</w:t>
      </w:r>
      <w:r w:rsidR="00F97ECC" w:rsidRPr="0060462D">
        <w:rPr>
          <w:rFonts w:ascii="Arial" w:hAnsi="Arial" w:cs="Arial"/>
          <w:sz w:val="20"/>
          <w:szCs w:val="20"/>
        </w:rPr>
        <w:t>’</w:t>
      </w:r>
      <w:r w:rsidRPr="0060462D">
        <w:rPr>
          <w:rFonts w:ascii="Arial" w:hAnsi="Arial" w:cs="Arial"/>
          <w:sz w:val="20"/>
          <w:szCs w:val="20"/>
        </w:rPr>
        <w:t>experts DHS (voir la figure 2).</w:t>
      </w:r>
    </w:p>
    <w:p w:rsidR="00CC0333" w:rsidRPr="0060462D" w:rsidRDefault="007772DF" w:rsidP="007772DF">
      <w:pPr>
        <w:keepNext/>
        <w:ind w:left="709"/>
        <w:rPr>
          <w:rFonts w:cs="Arial"/>
          <w:i/>
          <w:iCs/>
          <w:snapToGrid w:val="0"/>
        </w:rPr>
      </w:pPr>
      <w:r w:rsidRPr="0060462D">
        <w:rPr>
          <w:rFonts w:cs="Arial"/>
          <w:i/>
          <w:iCs/>
          <w:snapToGrid w:val="0"/>
        </w:rPr>
        <w:lastRenderedPageBreak/>
        <w:t>Figure 2</w:t>
      </w:r>
    </w:p>
    <w:p w:rsidR="00CC0333" w:rsidRPr="0060462D" w:rsidRDefault="00CC0333" w:rsidP="007772DF">
      <w:pPr>
        <w:keepNext/>
        <w:ind w:left="567"/>
        <w:rPr>
          <w:rFonts w:ascii="TimesNewRoman" w:hAnsi="TimesNewRoman"/>
          <w:i/>
          <w:iCs/>
          <w:snapToGrid w:val="0"/>
        </w:rPr>
      </w:pPr>
    </w:p>
    <w:bookmarkStart w:id="19" w:name="_MON_1317106009"/>
    <w:bookmarkEnd w:id="19"/>
    <w:p w:rsidR="00CC0333" w:rsidRPr="0060462D" w:rsidRDefault="007772DF" w:rsidP="007772DF">
      <w:pPr>
        <w:jc w:val="center"/>
      </w:pPr>
      <w:r w:rsidRPr="0060462D">
        <w:rPr>
          <w:rFonts w:ascii="TimesNewRoman" w:hAnsi="TimesNewRoman"/>
          <w:i/>
          <w:iCs/>
          <w:snapToGrid w:val="0"/>
        </w:rPr>
        <w:object w:dxaOrig="7041" w:dyaOrig="5284">
          <v:shape id="_x0000_i1026" type="#_x0000_t75" style="width:351.85pt;height:264.2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PowerPoint.Show.8" ShapeID="_x0000_i1026" DrawAspect="Content" ObjectID="_1626178568" r:id="rId17"/>
        </w:object>
      </w:r>
    </w:p>
    <w:p w:rsidR="00CC0333" w:rsidRPr="0060462D" w:rsidRDefault="00CC0333" w:rsidP="007772DF">
      <w:pPr>
        <w:ind w:left="567"/>
        <w:rPr>
          <w:rFonts w:ascii="TimesNewRoman" w:hAnsi="TimesNewRoman"/>
          <w:i/>
          <w:iCs/>
          <w:snapToGrid w:val="0"/>
        </w:rPr>
      </w:pPr>
    </w:p>
    <w:p w:rsidR="00CC0333" w:rsidRPr="0060462D" w:rsidRDefault="00CC0333" w:rsidP="00E306B7">
      <w:pPr>
        <w:keepNext/>
        <w:ind w:left="709"/>
        <w:rPr>
          <w:rFonts w:cs="Arial"/>
          <w:i/>
          <w:iCs/>
          <w:snapToGrid w:val="0"/>
        </w:rPr>
      </w:pPr>
    </w:p>
    <w:p w:rsidR="00CC0333" w:rsidRPr="006304EE" w:rsidRDefault="003821A0" w:rsidP="006304EE">
      <w:r w:rsidRPr="006304EE">
        <w:t>1.4.4</w:t>
      </w:r>
      <w:r w:rsidRPr="006304EE">
        <w:tab/>
      </w:r>
      <w:r w:rsidR="007772DF" w:rsidRPr="006304EE">
        <w:t>Sur la base de ce résultat, la combinaison des distances morphologiques et moléculaires donne la possibilité de mettre au point un système de décision comme celui qui suit (voir la fig</w:t>
      </w:r>
      <w:r w:rsidR="00580F58" w:rsidRPr="006304EE">
        <w:t>ure</w:t>
      </w:r>
      <w:r w:rsidR="00D30F83" w:rsidRPr="006304EE">
        <w:t> </w:t>
      </w:r>
      <w:r w:rsidR="00580F58" w:rsidRPr="006304EE">
        <w:t>3)</w:t>
      </w:r>
      <w:r w:rsidR="00F97ECC" w:rsidRPr="006304EE">
        <w:t> :</w:t>
      </w:r>
    </w:p>
    <w:p w:rsidR="00CC0333" w:rsidRPr="006304EE" w:rsidRDefault="00CC0333" w:rsidP="006304EE"/>
    <w:p w:rsidR="00CC0333" w:rsidRPr="006304EE" w:rsidRDefault="006304EE" w:rsidP="006304EE">
      <w:pPr>
        <w:rPr>
          <w:i/>
        </w:rPr>
      </w:pPr>
      <w:r>
        <w:tab/>
      </w:r>
      <w:r w:rsidR="003821A0" w:rsidRPr="006304EE">
        <w:rPr>
          <w:i/>
        </w:rPr>
        <w:t>Figure</w:t>
      </w:r>
      <w:r w:rsidR="00D30F83" w:rsidRPr="006304EE">
        <w:rPr>
          <w:i/>
        </w:rPr>
        <w:t> </w:t>
      </w:r>
      <w:r w:rsidR="003821A0" w:rsidRPr="006304EE">
        <w:rPr>
          <w:i/>
        </w:rPr>
        <w:t>3</w:t>
      </w:r>
    </w:p>
    <w:p w:rsidR="00580F58" w:rsidRPr="006304EE" w:rsidRDefault="00580F58" w:rsidP="006304EE">
      <w:bookmarkStart w:id="20" w:name="_MON_1375793324"/>
      <w:bookmarkStart w:id="21" w:name="_MON_1311498427"/>
      <w:bookmarkStart w:id="22" w:name="_MON_1314444884"/>
      <w:bookmarkEnd w:id="20"/>
      <w:bookmarkEnd w:id="21"/>
      <w:bookmarkEnd w:id="22"/>
    </w:p>
    <w:p w:rsidR="00580F58" w:rsidRPr="0060462D" w:rsidRDefault="00580F58" w:rsidP="00580F58">
      <w:pPr>
        <w:keepNext/>
        <w:jc w:val="center"/>
        <w:rPr>
          <w:rFonts w:ascii="TimesNewRoman" w:hAnsi="TimesNewRoman"/>
          <w:snapToGrid w:val="0"/>
        </w:rPr>
      </w:pPr>
      <w:r w:rsidRPr="0060462D">
        <w:rPr>
          <w:rFonts w:ascii="TimesNewRoman" w:hAnsi="TimesNewRoman"/>
          <w:snapToGrid w:val="0"/>
        </w:rPr>
        <w:object w:dxaOrig="7027" w:dyaOrig="5278">
          <v:shape id="_x0000_i1027" type="#_x0000_t75" style="width:371.25pt;height:279.25pt" o:ole="" o:bordertopcolor="this" o:borderleftcolor="this" o:borderbottomcolor="this" o:borderrightcolor="this">
            <v:imagedata r:id="rId18" o:title=""/>
            <w10:bordertop type="single" width="4"/>
            <w10:borderleft type="single" width="4"/>
            <w10:borderbottom type="single" width="4"/>
            <w10:borderright type="single" width="4"/>
          </v:shape>
          <o:OLEObject Type="Embed" ProgID="PowerPoint.Show.8" ShapeID="_x0000_i1027" DrawAspect="Content" ObjectID="_1626178569" r:id="rId19"/>
        </w:object>
      </w:r>
    </w:p>
    <w:p w:rsidR="00580F58" w:rsidRPr="0060462D" w:rsidRDefault="00580F58" w:rsidP="00580F58"/>
    <w:p w:rsidR="00CC0333" w:rsidRPr="0060462D" w:rsidRDefault="00CC0333" w:rsidP="00E306B7">
      <w:pPr>
        <w:jc w:val="center"/>
        <w:rPr>
          <w:rFonts w:cs="Arial"/>
        </w:rPr>
      </w:pPr>
    </w:p>
    <w:p w:rsidR="00CC0333" w:rsidRPr="0060462D" w:rsidRDefault="00E306B7" w:rsidP="007E563F">
      <w:pPr>
        <w:rPr>
          <w:rFonts w:cs="Arial"/>
          <w:snapToGrid w:val="0"/>
        </w:rPr>
      </w:pPr>
      <w:r w:rsidRPr="0060462D">
        <w:rPr>
          <w:rFonts w:cs="Arial"/>
          <w:snapToGrid w:val="0"/>
        </w:rPr>
        <w:t>1.4.5</w:t>
      </w:r>
      <w:r w:rsidRPr="0060462D">
        <w:rPr>
          <w:rFonts w:cs="Arial"/>
          <w:snapToGrid w:val="0"/>
        </w:rPr>
        <w:tab/>
      </w:r>
      <w:r w:rsidR="007E563F" w:rsidRPr="0060462D">
        <w:rPr>
          <w:rFonts w:cs="Arial"/>
          <w:snapToGrid w:val="0"/>
        </w:rPr>
        <w:t xml:space="preserve">Toutes les paires de variétés avec une distance GAIA égale ou supérieure à 6 et toutes les </w:t>
      </w:r>
      <w:r w:rsidR="007E563F" w:rsidRPr="006304EE">
        <w:rPr>
          <w:rFonts w:cs="Arial"/>
          <w:snapToGrid w:val="0"/>
        </w:rPr>
        <w:t>variétés avec une distance GAIA se situant entre 2 et 6, plus une distance moléculaire égale ou</w:t>
      </w:r>
      <w:r w:rsidR="007E563F" w:rsidRPr="0060462D">
        <w:rPr>
          <w:rFonts w:cs="Arial"/>
          <w:snapToGrid w:val="0"/>
        </w:rPr>
        <w:t xml:space="preserve"> supérieure à 0,2 sont déclarées “distinctes plus”.</w:t>
      </w:r>
    </w:p>
    <w:p w:rsidR="00CC0333" w:rsidRPr="0060462D" w:rsidRDefault="00CC0333" w:rsidP="00E306B7">
      <w:pPr>
        <w:rPr>
          <w:rFonts w:cs="Arial"/>
          <w:snapToGrid w:val="0"/>
        </w:rPr>
      </w:pPr>
    </w:p>
    <w:p w:rsidR="00CC0333" w:rsidRPr="0060462D" w:rsidRDefault="00E306B7" w:rsidP="007E563F">
      <w:pPr>
        <w:spacing w:after="240"/>
        <w:rPr>
          <w:rFonts w:cs="Arial"/>
          <w:snapToGrid w:val="0"/>
        </w:rPr>
      </w:pPr>
      <w:r w:rsidRPr="0060462D">
        <w:rPr>
          <w:rFonts w:cs="Arial"/>
          <w:snapToGrid w:val="0"/>
        </w:rPr>
        <w:lastRenderedPageBreak/>
        <w:t>1.4.6</w:t>
      </w:r>
      <w:r w:rsidRPr="0060462D">
        <w:rPr>
          <w:rFonts w:cs="Arial"/>
          <w:snapToGrid w:val="0"/>
        </w:rPr>
        <w:tab/>
      </w:r>
      <w:r w:rsidR="007E563F" w:rsidRPr="0060462D">
        <w:rPr>
          <w:rFonts w:cs="Arial"/>
          <w:snapToGrid w:val="0"/>
        </w:rPr>
        <w:t xml:space="preserve">Ce </w:t>
      </w:r>
      <w:r w:rsidR="007E563F" w:rsidRPr="0060462D">
        <w:t>système montre qu</w:t>
      </w:r>
      <w:r w:rsidR="00F97ECC" w:rsidRPr="0060462D">
        <w:t>’</w:t>
      </w:r>
      <w:r w:rsidR="007E563F" w:rsidRPr="0060462D">
        <w:t>il n</w:t>
      </w:r>
      <w:r w:rsidR="00F97ECC" w:rsidRPr="0060462D">
        <w:t>’</w:t>
      </w:r>
      <w:r w:rsidR="007E563F" w:rsidRPr="0060462D">
        <w:t>est pas nécessaire d</w:t>
      </w:r>
      <w:r w:rsidR="00F97ECC" w:rsidRPr="0060462D">
        <w:t>’</w:t>
      </w:r>
      <w:r w:rsidR="007E563F" w:rsidRPr="0060462D">
        <w:t>observer sur le terrain autant de lignées parentales que dans la situation où seule une distance GAIA de 6 est utilisée.</w:t>
      </w:r>
    </w:p>
    <w:p w:rsidR="00CC0333" w:rsidRPr="0060462D" w:rsidRDefault="007E563F" w:rsidP="007E563F">
      <w:pPr>
        <w:spacing w:after="240"/>
        <w:rPr>
          <w:rFonts w:cs="Arial"/>
          <w:snapToGrid w:val="0"/>
        </w:rPr>
      </w:pPr>
      <w:r w:rsidRPr="0060462D">
        <w:rPr>
          <w:rFonts w:cs="Arial"/>
          <w:snapToGrid w:val="0"/>
        </w:rPr>
        <w:t>1.4.7</w:t>
      </w:r>
      <w:r w:rsidRPr="0060462D">
        <w:rPr>
          <w:rFonts w:cs="Arial"/>
          <w:snapToGrid w:val="0"/>
        </w:rPr>
        <w:tab/>
        <w:t xml:space="preserve">La </w:t>
      </w:r>
      <w:r w:rsidRPr="0060462D">
        <w:t>robustesse de ce système a été vérifiée avec différentes distances GAIA et moléculaires</w:t>
      </w:r>
      <w:r w:rsidRPr="0060462D">
        <w:rPr>
          <w:rFonts w:cs="Arial"/>
          <w:snapToGrid w:val="0"/>
        </w:rPr>
        <w:t>.</w:t>
      </w:r>
    </w:p>
    <w:p w:rsidR="00CC0333" w:rsidRPr="0060462D" w:rsidRDefault="00CC0333" w:rsidP="007E563F">
      <w:pPr>
        <w:rPr>
          <w:rFonts w:cs="Arial"/>
          <w:snapToGrid w:val="0"/>
        </w:rPr>
      </w:pPr>
    </w:p>
    <w:p w:rsidR="00CC0333" w:rsidRPr="0060462D" w:rsidRDefault="007E563F" w:rsidP="007E563F">
      <w:pPr>
        <w:spacing w:after="240"/>
        <w:rPr>
          <w:rFonts w:cs="Arial"/>
          <w:snapToGrid w:val="0"/>
        </w:rPr>
      </w:pPr>
      <w:r w:rsidRPr="0060462D">
        <w:rPr>
          <w:rFonts w:cs="Arial"/>
          <w:snapToGrid w:val="0"/>
        </w:rPr>
        <w:t>2.</w:t>
      </w:r>
      <w:r w:rsidRPr="0060462D">
        <w:rPr>
          <w:rFonts w:cs="Arial"/>
          <w:snapToGrid w:val="0"/>
        </w:rPr>
        <w:tab/>
      </w:r>
      <w:r w:rsidRPr="0060462D">
        <w:rPr>
          <w:rFonts w:cs="Arial"/>
          <w:snapToGrid w:val="0"/>
          <w:u w:val="single"/>
        </w:rPr>
        <w:t>Avantages et contraintes</w:t>
      </w:r>
    </w:p>
    <w:p w:rsidR="00CC0333" w:rsidRPr="0060462D" w:rsidRDefault="007E563F" w:rsidP="007E563F">
      <w:pPr>
        <w:spacing w:after="240"/>
        <w:rPr>
          <w:rFonts w:cs="Arial"/>
          <w:snapToGrid w:val="0"/>
        </w:rPr>
      </w:pPr>
      <w:r w:rsidRPr="0060462D">
        <w:rPr>
          <w:rFonts w:cs="Arial"/>
          <w:snapToGrid w:val="0"/>
        </w:rPr>
        <w:t>2.1</w:t>
      </w:r>
      <w:r w:rsidRPr="0060462D">
        <w:rPr>
          <w:rFonts w:cs="Arial"/>
          <w:snapToGrid w:val="0"/>
        </w:rPr>
        <w:tab/>
        <w:t>Avantages</w:t>
      </w: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napToGrid w:val="0"/>
          <w:sz w:val="20"/>
          <w:szCs w:val="20"/>
        </w:rPr>
        <w:t>a)</w:t>
      </w:r>
      <w:r w:rsidRPr="0060462D">
        <w:rPr>
          <w:rFonts w:ascii="Arial" w:hAnsi="Arial" w:cs="Arial"/>
          <w:snapToGrid w:val="0"/>
          <w:sz w:val="20"/>
          <w:szCs w:val="20"/>
        </w:rPr>
        <w:tab/>
        <w:t>meilleure gestion d</w:t>
      </w:r>
      <w:r w:rsidRPr="0060462D">
        <w:rPr>
          <w:rFonts w:ascii="Arial" w:hAnsi="Arial" w:cs="Arial"/>
          <w:sz w:val="20"/>
          <w:szCs w:val="20"/>
        </w:rPr>
        <w:t>es collections de variétés avec moins de variétés à comparer sur le terrain;</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b) </w:t>
      </w:r>
      <w:r w:rsidRPr="0060462D">
        <w:rPr>
          <w:rFonts w:ascii="Arial" w:hAnsi="Arial" w:cs="Arial"/>
          <w:sz w:val="20"/>
          <w:szCs w:val="20"/>
        </w:rPr>
        <w:tab/>
        <w:t>utilisation des distances morphologiques et moléculaires avec des seuils définis par les experts </w:t>
      </w:r>
      <w:r w:rsidR="006D4686" w:rsidRPr="0060462D">
        <w:rPr>
          <w:rFonts w:ascii="Arial" w:hAnsi="Arial" w:cs="Arial"/>
          <w:sz w:val="20"/>
          <w:szCs w:val="20"/>
        </w:rPr>
        <w:t>DHS.  La</w:t>
      </w:r>
      <w:r w:rsidR="00155AD3" w:rsidRPr="0060462D">
        <w:rPr>
          <w:rFonts w:ascii="Arial" w:hAnsi="Arial" w:cs="Arial"/>
          <w:sz w:val="20"/>
          <w:szCs w:val="20"/>
        </w:rPr>
        <w:t xml:space="preserve"> méthode </w:t>
      </w:r>
      <w:r w:rsidRPr="0060462D">
        <w:rPr>
          <w:rFonts w:ascii="Arial" w:hAnsi="Arial" w:cs="Arial"/>
          <w:sz w:val="20"/>
          <w:szCs w:val="20"/>
        </w:rPr>
        <w:t>GAIA a également été calibré</w:t>
      </w:r>
      <w:r w:rsidR="00155AD3" w:rsidRPr="0060462D">
        <w:rPr>
          <w:rFonts w:ascii="Arial" w:hAnsi="Arial" w:cs="Arial"/>
          <w:sz w:val="20"/>
          <w:szCs w:val="20"/>
        </w:rPr>
        <w:t>e</w:t>
      </w:r>
      <w:r w:rsidRPr="0060462D">
        <w:rPr>
          <w:rFonts w:ascii="Arial" w:hAnsi="Arial" w:cs="Arial"/>
          <w:sz w:val="20"/>
          <w:szCs w:val="20"/>
        </w:rPr>
        <w:t xml:space="preserve"> par rapport aux évaluations des experts DHS lors de la mise au point par le GEVES;</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c) </w:t>
      </w:r>
      <w:r w:rsidRPr="0060462D">
        <w:rPr>
          <w:rFonts w:ascii="Arial" w:hAnsi="Arial" w:cs="Arial"/>
          <w:sz w:val="20"/>
          <w:szCs w:val="20"/>
        </w:rPr>
        <w:tab/>
        <w:t xml:space="preserve">utilisation de données moléculaires qui ne sont pas </w:t>
      </w:r>
      <w:r w:rsidR="00155AD3" w:rsidRPr="0060462D">
        <w:rPr>
          <w:rFonts w:ascii="Arial" w:hAnsi="Arial" w:cs="Arial"/>
          <w:sz w:val="20"/>
          <w:szCs w:val="20"/>
        </w:rPr>
        <w:t>sensibles</w:t>
      </w:r>
      <w:r w:rsidRPr="0060462D">
        <w:rPr>
          <w:rFonts w:ascii="Arial" w:hAnsi="Arial" w:cs="Arial"/>
          <w:sz w:val="20"/>
          <w:szCs w:val="20"/>
        </w:rPr>
        <w:t xml:space="preserve"> à l</w:t>
      </w:r>
      <w:r w:rsidR="00F97ECC" w:rsidRPr="0060462D">
        <w:rPr>
          <w:rFonts w:ascii="Arial" w:hAnsi="Arial" w:cs="Arial"/>
          <w:sz w:val="20"/>
          <w:szCs w:val="20"/>
        </w:rPr>
        <w:t>’</w:t>
      </w:r>
      <w:r w:rsidRPr="0060462D">
        <w:rPr>
          <w:rFonts w:ascii="Arial" w:hAnsi="Arial" w:cs="Arial"/>
          <w:sz w:val="20"/>
          <w:szCs w:val="20"/>
        </w:rPr>
        <w:t>environnement;  la série de marqueurs et le protocole de laboratoire sont bien définis;</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d) </w:t>
      </w:r>
      <w:r w:rsidRPr="0060462D">
        <w:rPr>
          <w:rFonts w:ascii="Arial" w:hAnsi="Arial" w:cs="Arial"/>
          <w:sz w:val="20"/>
          <w:szCs w:val="20"/>
        </w:rPr>
        <w:tab/>
        <w:t>utilisation seulement de caractéristiques phénotypiques avec une bonne robustesse et la possibilité d</w:t>
      </w:r>
      <w:r w:rsidR="00F97ECC" w:rsidRPr="0060462D">
        <w:rPr>
          <w:rFonts w:ascii="Arial" w:hAnsi="Arial" w:cs="Arial"/>
          <w:sz w:val="20"/>
          <w:szCs w:val="20"/>
        </w:rPr>
        <w:t>’</w:t>
      </w:r>
      <w:r w:rsidRPr="0060462D">
        <w:rPr>
          <w:rFonts w:ascii="Arial" w:hAnsi="Arial" w:cs="Arial"/>
          <w:sz w:val="20"/>
          <w:szCs w:val="20"/>
        </w:rPr>
        <w:t>utiliser des descriptions provenant de différentes sources dans le cadre d</w:t>
      </w:r>
      <w:r w:rsidR="00F97ECC" w:rsidRPr="0060462D">
        <w:rPr>
          <w:rFonts w:ascii="Arial" w:hAnsi="Arial" w:cs="Arial"/>
          <w:sz w:val="20"/>
          <w:szCs w:val="20"/>
        </w:rPr>
        <w:t>’</w:t>
      </w:r>
      <w:r w:rsidRPr="0060462D">
        <w:rPr>
          <w:rFonts w:ascii="Arial" w:hAnsi="Arial" w:cs="Arial"/>
          <w:sz w:val="20"/>
          <w:szCs w:val="20"/>
        </w:rPr>
        <w:t>une coopération étroite (la base de données sur le maïs qui a été élaborée en coopération entre l</w:t>
      </w:r>
      <w:r w:rsidR="00F97ECC" w:rsidRPr="0060462D">
        <w:rPr>
          <w:rFonts w:ascii="Arial" w:hAnsi="Arial" w:cs="Arial"/>
          <w:sz w:val="20"/>
          <w:szCs w:val="20"/>
        </w:rPr>
        <w:t>’</w:t>
      </w:r>
      <w:r w:rsidRPr="0060462D">
        <w:rPr>
          <w:rFonts w:ascii="Arial" w:hAnsi="Arial" w:cs="Arial"/>
          <w:sz w:val="20"/>
          <w:szCs w:val="20"/>
        </w:rPr>
        <w:t>Allemagne, l</w:t>
      </w:r>
      <w:r w:rsidR="00F97ECC" w:rsidRPr="0060462D">
        <w:rPr>
          <w:rFonts w:ascii="Arial" w:hAnsi="Arial" w:cs="Arial"/>
          <w:sz w:val="20"/>
          <w:szCs w:val="20"/>
        </w:rPr>
        <w:t>’</w:t>
      </w:r>
      <w:r w:rsidRPr="0060462D">
        <w:rPr>
          <w:rFonts w:ascii="Arial" w:hAnsi="Arial" w:cs="Arial"/>
          <w:sz w:val="20"/>
          <w:szCs w:val="20"/>
        </w:rPr>
        <w:t>Espagne, la France et l</w:t>
      </w:r>
      <w:r w:rsidR="00F97ECC" w:rsidRPr="0060462D">
        <w:rPr>
          <w:rFonts w:ascii="Arial" w:hAnsi="Arial" w:cs="Arial"/>
          <w:sz w:val="20"/>
          <w:szCs w:val="20"/>
        </w:rPr>
        <w:t>’</w:t>
      </w:r>
      <w:r w:rsidRPr="0060462D">
        <w:rPr>
          <w:rFonts w:ascii="Arial" w:hAnsi="Arial" w:cs="Arial"/>
          <w:sz w:val="20"/>
          <w:szCs w:val="20"/>
        </w:rPr>
        <w:t>Office communautaire des variétés végétales (OCVV) de l</w:t>
      </w:r>
      <w:r w:rsidR="00F97ECC" w:rsidRPr="0060462D">
        <w:rPr>
          <w:rFonts w:ascii="Arial" w:hAnsi="Arial" w:cs="Arial"/>
          <w:sz w:val="20"/>
          <w:szCs w:val="20"/>
        </w:rPr>
        <w:t>’</w:t>
      </w:r>
      <w:r w:rsidRPr="0060462D">
        <w:rPr>
          <w:rFonts w:ascii="Arial" w:hAnsi="Arial" w:cs="Arial"/>
          <w:sz w:val="20"/>
          <w:szCs w:val="20"/>
        </w:rPr>
        <w:t>Union européenne constitue un bon exemple de l</w:t>
      </w:r>
      <w:r w:rsidR="00F97ECC" w:rsidRPr="0060462D">
        <w:rPr>
          <w:rFonts w:ascii="Arial" w:hAnsi="Arial" w:cs="Arial"/>
          <w:sz w:val="20"/>
          <w:szCs w:val="20"/>
        </w:rPr>
        <w:t>’</w:t>
      </w:r>
      <w:r w:rsidRPr="0060462D">
        <w:rPr>
          <w:rFonts w:ascii="Arial" w:hAnsi="Arial" w:cs="Arial"/>
          <w:sz w:val="20"/>
          <w:szCs w:val="20"/>
        </w:rPr>
        <w:t>intérêt de cette méthode pour une collection de variétés partagée entre différents offices);</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e) </w:t>
      </w:r>
      <w:r w:rsidRPr="0060462D">
        <w:rPr>
          <w:rFonts w:ascii="Arial" w:hAnsi="Arial" w:cs="Arial"/>
          <w:sz w:val="20"/>
          <w:szCs w:val="20"/>
        </w:rPr>
        <w:tab/>
        <w:t>les caractéristiques électrophorétiques peuvent également être remplacées;  et</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f) </w:t>
      </w:r>
      <w:r w:rsidRPr="0060462D">
        <w:rPr>
          <w:rFonts w:ascii="Arial" w:hAnsi="Arial" w:cs="Arial"/>
          <w:sz w:val="20"/>
          <w:szCs w:val="20"/>
        </w:rPr>
        <w:tab/>
        <w:t>l</w:t>
      </w:r>
      <w:r w:rsidR="00F97ECC" w:rsidRPr="0060462D">
        <w:rPr>
          <w:rFonts w:ascii="Arial" w:hAnsi="Arial" w:cs="Arial"/>
          <w:sz w:val="20"/>
          <w:szCs w:val="20"/>
        </w:rPr>
        <w:t>’</w:t>
      </w:r>
      <w:r w:rsidRPr="0060462D">
        <w:rPr>
          <w:rFonts w:ascii="Arial" w:hAnsi="Arial" w:cs="Arial"/>
          <w:sz w:val="20"/>
          <w:szCs w:val="20"/>
        </w:rPr>
        <w:t>absence d</w:t>
      </w:r>
      <w:r w:rsidR="00F97ECC" w:rsidRPr="0060462D">
        <w:rPr>
          <w:rFonts w:ascii="Arial" w:hAnsi="Arial" w:cs="Arial"/>
          <w:sz w:val="20"/>
          <w:szCs w:val="20"/>
        </w:rPr>
        <w:t>’</w:t>
      </w:r>
      <w:r w:rsidRPr="0060462D">
        <w:rPr>
          <w:rFonts w:ascii="Arial" w:hAnsi="Arial" w:cs="Arial"/>
          <w:sz w:val="20"/>
          <w:szCs w:val="20"/>
        </w:rPr>
        <w:t>uniformité n</w:t>
      </w:r>
      <w:r w:rsidR="00F97ECC" w:rsidRPr="0060462D">
        <w:rPr>
          <w:rFonts w:ascii="Arial" w:hAnsi="Arial" w:cs="Arial"/>
          <w:sz w:val="20"/>
          <w:szCs w:val="20"/>
        </w:rPr>
        <w:t>’</w:t>
      </w:r>
      <w:r w:rsidRPr="0060462D">
        <w:rPr>
          <w:rFonts w:ascii="Arial" w:hAnsi="Arial" w:cs="Arial"/>
          <w:sz w:val="20"/>
          <w:szCs w:val="20"/>
        </w:rPr>
        <w:t>influe en rien sur les profils moléculaires pour autant qu</w:t>
      </w:r>
      <w:r w:rsidR="00F97ECC" w:rsidRPr="0060462D">
        <w:rPr>
          <w:rFonts w:ascii="Arial" w:hAnsi="Arial" w:cs="Arial"/>
          <w:sz w:val="20"/>
          <w:szCs w:val="20"/>
        </w:rPr>
        <w:t>’</w:t>
      </w:r>
      <w:r w:rsidRPr="0060462D">
        <w:rPr>
          <w:rFonts w:ascii="Arial" w:hAnsi="Arial" w:cs="Arial"/>
          <w:sz w:val="20"/>
          <w:szCs w:val="20"/>
        </w:rPr>
        <w:t>un nombre suffisant de marqueurs soit utilisé et que le nombre de variantes soit faib</w:t>
      </w:r>
      <w:r w:rsidR="006D4686" w:rsidRPr="0060462D">
        <w:rPr>
          <w:rFonts w:ascii="Arial" w:hAnsi="Arial" w:cs="Arial"/>
          <w:sz w:val="20"/>
          <w:szCs w:val="20"/>
        </w:rPr>
        <w:t>le.  S’a</w:t>
      </w:r>
      <w:r w:rsidRPr="0060462D">
        <w:rPr>
          <w:rFonts w:ascii="Arial" w:hAnsi="Arial" w:cs="Arial"/>
          <w:sz w:val="20"/>
          <w:szCs w:val="20"/>
        </w:rPr>
        <w:t>gissant des lignées parentales du maïs, le niveau d</w:t>
      </w:r>
      <w:r w:rsidR="00F97ECC" w:rsidRPr="0060462D">
        <w:rPr>
          <w:rFonts w:ascii="Arial" w:hAnsi="Arial" w:cs="Arial"/>
          <w:sz w:val="20"/>
          <w:szCs w:val="20"/>
        </w:rPr>
        <w:t>’</w:t>
      </w:r>
      <w:r w:rsidRPr="0060462D">
        <w:rPr>
          <w:rFonts w:ascii="Arial" w:hAnsi="Arial" w:cs="Arial"/>
          <w:sz w:val="20"/>
          <w:szCs w:val="20"/>
        </w:rPr>
        <w:t>uniformité moléculaire est élevé mais pourrait être un problème pour certaines autres cultures.</w:t>
      </w:r>
    </w:p>
    <w:p w:rsidR="00CC0333" w:rsidRPr="0060462D" w:rsidRDefault="00CC0333" w:rsidP="007E563F">
      <w:pPr>
        <w:spacing w:after="240"/>
        <w:rPr>
          <w:rFonts w:cs="Arial"/>
          <w:snapToGrid w:val="0"/>
        </w:rPr>
      </w:pPr>
    </w:p>
    <w:p w:rsidR="00CC0333" w:rsidRPr="0060462D" w:rsidRDefault="007E563F" w:rsidP="007E563F">
      <w:pPr>
        <w:spacing w:after="240"/>
        <w:rPr>
          <w:rFonts w:cs="Arial"/>
          <w:snapToGrid w:val="0"/>
        </w:rPr>
      </w:pPr>
      <w:r w:rsidRPr="0060462D">
        <w:rPr>
          <w:rFonts w:cs="Arial"/>
          <w:snapToGrid w:val="0"/>
        </w:rPr>
        <w:t>2.2</w:t>
      </w:r>
      <w:r w:rsidRPr="0060462D">
        <w:rPr>
          <w:rFonts w:cs="Arial"/>
          <w:snapToGrid w:val="0"/>
        </w:rPr>
        <w:tab/>
        <w:t>Contraintes</w:t>
      </w: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a) </w:t>
      </w:r>
      <w:r w:rsidRPr="0060462D">
        <w:rPr>
          <w:rFonts w:ascii="Arial" w:hAnsi="Arial" w:cs="Arial"/>
          <w:sz w:val="20"/>
          <w:szCs w:val="20"/>
        </w:rPr>
        <w:tab/>
        <w:t>Pas efficace ou moins efficace pour les espèces avec des variétés synthétiques ou des populations;</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rPr>
          <w:rFonts w:ascii="Arial" w:hAnsi="Arial" w:cs="Arial"/>
          <w:sz w:val="20"/>
          <w:szCs w:val="20"/>
        </w:rPr>
      </w:pPr>
      <w:r w:rsidRPr="0060462D">
        <w:rPr>
          <w:rFonts w:ascii="Arial" w:hAnsi="Arial" w:cs="Arial"/>
          <w:sz w:val="20"/>
          <w:szCs w:val="20"/>
        </w:rPr>
        <w:t xml:space="preserve">b) </w:t>
      </w:r>
      <w:r w:rsidRPr="0060462D">
        <w:rPr>
          <w:rFonts w:ascii="Arial" w:hAnsi="Arial" w:cs="Arial"/>
          <w:sz w:val="20"/>
          <w:szCs w:val="20"/>
        </w:rPr>
        <w:tab/>
        <w:t>nécessité de disposer d</w:t>
      </w:r>
      <w:r w:rsidR="00F97ECC" w:rsidRPr="0060462D">
        <w:rPr>
          <w:rFonts w:ascii="Arial" w:hAnsi="Arial" w:cs="Arial"/>
          <w:sz w:val="20"/>
          <w:szCs w:val="20"/>
        </w:rPr>
        <w:t>’</w:t>
      </w:r>
      <w:r w:rsidRPr="0060462D">
        <w:rPr>
          <w:rFonts w:ascii="Arial" w:hAnsi="Arial" w:cs="Arial"/>
          <w:sz w:val="20"/>
          <w:szCs w:val="20"/>
        </w:rPr>
        <w:t>un nombre suffisant de bons marqueurs ADN et d</w:t>
      </w:r>
      <w:r w:rsidR="00F97ECC" w:rsidRPr="0060462D">
        <w:rPr>
          <w:rFonts w:ascii="Arial" w:hAnsi="Arial" w:cs="Arial"/>
          <w:sz w:val="20"/>
          <w:szCs w:val="20"/>
        </w:rPr>
        <w:t>’</w:t>
      </w:r>
      <w:r w:rsidRPr="0060462D">
        <w:rPr>
          <w:rFonts w:ascii="Arial" w:hAnsi="Arial" w:cs="Arial"/>
          <w:sz w:val="20"/>
          <w:szCs w:val="20"/>
        </w:rPr>
        <w:t>un nombre suffisant de caractéristiques phénotypiques avec une faible susceptibilité à l</w:t>
      </w:r>
      <w:r w:rsidR="00F97ECC" w:rsidRPr="0060462D">
        <w:rPr>
          <w:rFonts w:ascii="Arial" w:hAnsi="Arial" w:cs="Arial"/>
          <w:sz w:val="20"/>
          <w:szCs w:val="20"/>
        </w:rPr>
        <w:t>’</w:t>
      </w:r>
      <w:r w:rsidRPr="0060462D">
        <w:rPr>
          <w:rFonts w:ascii="Arial" w:hAnsi="Arial" w:cs="Arial"/>
          <w:sz w:val="20"/>
          <w:szCs w:val="20"/>
        </w:rPr>
        <w:t>environnement;  et</w:t>
      </w:r>
    </w:p>
    <w:p w:rsidR="00CC0333" w:rsidRPr="0060462D" w:rsidRDefault="00CC0333" w:rsidP="00B600FE">
      <w:pPr>
        <w:pStyle w:val="NormalWeb"/>
        <w:spacing w:before="0" w:beforeAutospacing="0" w:after="0" w:afterAutospacing="0"/>
        <w:ind w:firstLine="567"/>
        <w:jc w:val="both"/>
        <w:rPr>
          <w:rFonts w:ascii="Arial" w:hAnsi="Arial" w:cs="Arial"/>
          <w:sz w:val="20"/>
          <w:szCs w:val="20"/>
        </w:rPr>
      </w:pPr>
    </w:p>
    <w:p w:rsidR="00CC0333" w:rsidRPr="0060462D" w:rsidRDefault="007E563F" w:rsidP="00B600FE">
      <w:pPr>
        <w:pStyle w:val="NormalWeb"/>
        <w:spacing w:before="0" w:beforeAutospacing="0" w:after="0" w:afterAutospacing="0"/>
        <w:ind w:firstLine="567"/>
        <w:jc w:val="both"/>
      </w:pPr>
      <w:r w:rsidRPr="0060462D">
        <w:rPr>
          <w:rFonts w:ascii="Arial" w:hAnsi="Arial" w:cs="Arial"/>
          <w:sz w:val="20"/>
          <w:szCs w:val="20"/>
        </w:rPr>
        <w:t xml:space="preserve">c) </w:t>
      </w:r>
      <w:r w:rsidRPr="0060462D">
        <w:rPr>
          <w:rFonts w:ascii="Arial" w:hAnsi="Arial" w:cs="Arial"/>
          <w:sz w:val="20"/>
          <w:szCs w:val="20"/>
        </w:rPr>
        <w:tab/>
        <w:t>travail préliminaire avec calibrage par rapport à l</w:t>
      </w:r>
      <w:r w:rsidR="00F97ECC" w:rsidRPr="0060462D">
        <w:rPr>
          <w:rFonts w:ascii="Arial" w:hAnsi="Arial" w:cs="Arial"/>
          <w:sz w:val="20"/>
          <w:szCs w:val="20"/>
        </w:rPr>
        <w:t>’</w:t>
      </w:r>
      <w:r w:rsidRPr="0060462D">
        <w:rPr>
          <w:rFonts w:ascii="Arial" w:hAnsi="Arial" w:cs="Arial"/>
          <w:sz w:val="20"/>
          <w:szCs w:val="20"/>
        </w:rPr>
        <w:t>évaluation de la distinction établie par des experts DHS.</w:t>
      </w:r>
    </w:p>
    <w:p w:rsidR="00CC0333" w:rsidRPr="0060462D" w:rsidRDefault="00CC0333" w:rsidP="007E563F">
      <w:pPr>
        <w:rPr>
          <w:rFonts w:cs="Arial"/>
          <w:snapToGrid w:val="0"/>
        </w:rPr>
      </w:pPr>
    </w:p>
    <w:p w:rsidR="00CC0333" w:rsidRPr="0060462D" w:rsidRDefault="00CC0333" w:rsidP="007E563F">
      <w:pPr>
        <w:rPr>
          <w:rFonts w:cs="Arial"/>
          <w:snapToGrid w:val="0"/>
        </w:rPr>
      </w:pPr>
    </w:p>
    <w:p w:rsidR="00CC0333" w:rsidRPr="0060462D" w:rsidRDefault="00CC0333" w:rsidP="007E563F">
      <w:pPr>
        <w:rPr>
          <w:rFonts w:cs="Arial"/>
          <w:snapToGrid w:val="0"/>
        </w:rPr>
      </w:pPr>
    </w:p>
    <w:p w:rsidR="00CC0333" w:rsidRPr="0060462D" w:rsidRDefault="007E563F" w:rsidP="007E563F">
      <w:pPr>
        <w:jc w:val="right"/>
        <w:rPr>
          <w:rFonts w:cs="Arial"/>
        </w:rPr>
      </w:pPr>
      <w:r w:rsidRPr="0060462D">
        <w:rPr>
          <w:rFonts w:cs="Arial"/>
          <w:snapToGrid w:val="0"/>
        </w:rPr>
        <w:t>[L</w:t>
      </w:r>
      <w:r w:rsidR="00F97ECC" w:rsidRPr="0060462D">
        <w:rPr>
          <w:rFonts w:cs="Arial"/>
          <w:snapToGrid w:val="0"/>
        </w:rPr>
        <w:t>’annexe </w:t>
      </w:r>
      <w:r w:rsidR="00F97ECC" w:rsidRPr="0060462D">
        <w:rPr>
          <w:rFonts w:cs="Arial"/>
        </w:rPr>
        <w:t>I</w:t>
      </w:r>
      <w:r w:rsidR="00207199" w:rsidRPr="0060462D">
        <w:rPr>
          <w:rFonts w:cs="Arial"/>
        </w:rPr>
        <w:t>II</w:t>
      </w:r>
      <w:r w:rsidR="00F40E8E" w:rsidRPr="0060462D">
        <w:rPr>
          <w:rFonts w:cs="Arial"/>
        </w:rPr>
        <w:t xml:space="preserve"> </w:t>
      </w:r>
      <w:r w:rsidRPr="0060462D">
        <w:rPr>
          <w:rFonts w:cs="Arial"/>
        </w:rPr>
        <w:t>suit</w:t>
      </w:r>
      <w:r w:rsidR="00F40E8E" w:rsidRPr="0060462D">
        <w:rPr>
          <w:rFonts w:cs="Arial"/>
        </w:rPr>
        <w:t>]</w:t>
      </w:r>
    </w:p>
    <w:p w:rsidR="00CC0333" w:rsidRPr="00457DC9" w:rsidRDefault="00CC0333" w:rsidP="00F40E8E">
      <w:pPr>
        <w:rPr>
          <w:u w:val="single"/>
        </w:rPr>
      </w:pPr>
    </w:p>
    <w:p w:rsidR="00F40E8E" w:rsidRPr="00457DC9" w:rsidRDefault="00F40E8E" w:rsidP="00F40E8E">
      <w:pPr>
        <w:pBdr>
          <w:top w:val="single" w:sz="4" w:space="1" w:color="auto"/>
          <w:left w:val="single" w:sz="4" w:space="4" w:color="auto"/>
          <w:bottom w:val="single" w:sz="4" w:space="1" w:color="auto"/>
          <w:right w:val="single" w:sz="4" w:space="4" w:color="auto"/>
        </w:pBdr>
        <w:rPr>
          <w:u w:val="single"/>
        </w:rPr>
        <w:sectPr w:rsidR="00F40E8E" w:rsidRPr="00457DC9" w:rsidSect="007C1573">
          <w:headerReference w:type="default" r:id="rId20"/>
          <w:headerReference w:type="first" r:id="rId21"/>
          <w:footerReference w:type="first" r:id="rId22"/>
          <w:pgSz w:w="11907" w:h="16840" w:code="9"/>
          <w:pgMar w:top="510" w:right="1418" w:bottom="993" w:left="1418" w:header="510" w:footer="567" w:gutter="0"/>
          <w:pgNumType w:start="1"/>
          <w:cols w:space="720"/>
          <w:titlePg/>
        </w:sectPr>
      </w:pPr>
    </w:p>
    <w:p w:rsidR="00AF5ED0" w:rsidRPr="00AB3A2D" w:rsidRDefault="00B600FE" w:rsidP="00B600FE">
      <w:pPr>
        <w:keepNext/>
        <w:jc w:val="center"/>
        <w:outlineLvl w:val="0"/>
        <w:rPr>
          <w:caps/>
          <w:lang w:val="fr-CH"/>
        </w:rPr>
      </w:pPr>
      <w:r w:rsidRPr="00AB3A2D">
        <w:rPr>
          <w:caps/>
          <w:lang w:val="fr-CH"/>
        </w:rPr>
        <w:lastRenderedPageBreak/>
        <w:t xml:space="preserve">AnnexE III </w:t>
      </w:r>
    </w:p>
    <w:p w:rsidR="00AF5ED0" w:rsidRPr="00AB3A2D" w:rsidRDefault="00AF5ED0" w:rsidP="00B600FE">
      <w:pPr>
        <w:keepNext/>
        <w:jc w:val="center"/>
        <w:outlineLvl w:val="0"/>
        <w:rPr>
          <w:caps/>
          <w:lang w:val="fr-CH"/>
        </w:rPr>
      </w:pPr>
    </w:p>
    <w:p w:rsidR="00AF5ED0" w:rsidRPr="00AB3A2D" w:rsidRDefault="00AF5ED0" w:rsidP="00B600FE">
      <w:pPr>
        <w:keepNext/>
        <w:jc w:val="center"/>
        <w:outlineLvl w:val="0"/>
        <w:rPr>
          <w:caps/>
          <w:lang w:val="fr-CH"/>
        </w:rPr>
      </w:pPr>
    </w:p>
    <w:p w:rsidR="00B600FE" w:rsidRPr="00AB3A2D" w:rsidRDefault="00AF5ED0" w:rsidP="00AF5ED0">
      <w:pPr>
        <w:pBdr>
          <w:top w:val="single" w:sz="4" w:space="1" w:color="auto"/>
          <w:left w:val="single" w:sz="4" w:space="4" w:color="auto"/>
          <w:bottom w:val="single" w:sz="4" w:space="1" w:color="auto"/>
          <w:right w:val="single" w:sz="4" w:space="4" w:color="auto"/>
        </w:pBdr>
        <w:jc w:val="center"/>
        <w:rPr>
          <w:bCs/>
        </w:rPr>
      </w:pPr>
      <w:r w:rsidRPr="00AB3A2D">
        <w:rPr>
          <w:bCs/>
        </w:rPr>
        <w:t xml:space="preserve">MODÈLE : SÉLECTION GÉNÉTIQUE DE VARIÉTÉS VOISINES POUR </w:t>
      </w:r>
      <w:r w:rsidRPr="00AB3A2D">
        <w:rPr>
          <w:bCs/>
        </w:rPr>
        <w:br/>
        <w:t>LE PREMIER CYCLE DE VÉGÉTATION”</w:t>
      </w:r>
    </w:p>
    <w:p w:rsidR="00B600FE" w:rsidRPr="00AB3A2D" w:rsidRDefault="00B600FE" w:rsidP="00B600FE">
      <w:pPr>
        <w:jc w:val="center"/>
        <w:rPr>
          <w:snapToGrid w:val="0"/>
          <w:color w:val="000000"/>
        </w:rPr>
      </w:pPr>
    </w:p>
    <w:p w:rsidR="00AF5ED0" w:rsidRPr="00AB3A2D" w:rsidRDefault="00AF5ED0" w:rsidP="00B600FE">
      <w:pPr>
        <w:jc w:val="center"/>
        <w:rPr>
          <w:snapToGrid w:val="0"/>
          <w:color w:val="000000"/>
        </w:rPr>
      </w:pPr>
    </w:p>
    <w:p w:rsidR="00B600FE" w:rsidRPr="00AB3A2D" w:rsidRDefault="00B600FE" w:rsidP="00B600FE">
      <w:pPr>
        <w:jc w:val="center"/>
      </w:pPr>
      <w:r w:rsidRPr="00AB3A2D">
        <w:t>EXEMPLE : HARICOT</w:t>
      </w:r>
    </w:p>
    <w:p w:rsidR="00B600FE" w:rsidRPr="00AB3A2D" w:rsidRDefault="00B600FE" w:rsidP="00B600FE">
      <w:pPr>
        <w:jc w:val="center"/>
      </w:pPr>
    </w:p>
    <w:p w:rsidR="00AF5ED0" w:rsidRPr="00AB3A2D" w:rsidRDefault="00AF5ED0" w:rsidP="00B600FE">
      <w:pPr>
        <w:jc w:val="center"/>
      </w:pPr>
    </w:p>
    <w:p w:rsidR="00B600FE" w:rsidRPr="00AB3A2D" w:rsidRDefault="00B600FE" w:rsidP="00B600FE">
      <w:pPr>
        <w:jc w:val="center"/>
        <w:rPr>
          <w:i/>
        </w:rPr>
      </w:pPr>
      <w:r w:rsidRPr="00AB3A2D">
        <w:rPr>
          <w:i/>
        </w:rPr>
        <w:t>établi par des experts des Pays</w:t>
      </w:r>
      <w:r w:rsidRPr="00AB3A2D">
        <w:rPr>
          <w:i/>
        </w:rPr>
        <w:noBreakHyphen/>
        <w:t>Bas</w:t>
      </w:r>
    </w:p>
    <w:p w:rsidR="00B600FE" w:rsidRPr="00AB3A2D" w:rsidRDefault="00B600FE" w:rsidP="00E9315E"/>
    <w:p w:rsidR="00E9315E" w:rsidRPr="00AB3A2D" w:rsidRDefault="00E9315E" w:rsidP="00E9315E"/>
    <w:p w:rsidR="00E9315E" w:rsidRPr="00AB3A2D" w:rsidRDefault="00E9315E" w:rsidP="00E9315E"/>
    <w:p w:rsidR="00B600FE" w:rsidRPr="00AB3A2D" w:rsidRDefault="00B600FE" w:rsidP="00B600FE">
      <w:pPr>
        <w:keepNext/>
        <w:outlineLvl w:val="1"/>
        <w:rPr>
          <w:u w:val="single"/>
          <w:lang w:val="fr-CH"/>
        </w:rPr>
      </w:pPr>
      <w:r w:rsidRPr="00AB3A2D">
        <w:rPr>
          <w:lang w:val="fr-CH"/>
        </w:rPr>
        <w:t>1.</w:t>
      </w:r>
      <w:r w:rsidRPr="00AB3A2D">
        <w:rPr>
          <w:lang w:val="fr-CH"/>
        </w:rPr>
        <w:tab/>
      </w:r>
      <w:r w:rsidRPr="00AB3A2D">
        <w:rPr>
          <w:u w:val="single"/>
          <w:lang w:val="fr-CH"/>
        </w:rPr>
        <w:t>Introduction</w:t>
      </w:r>
    </w:p>
    <w:p w:rsidR="00B600FE" w:rsidRPr="00AB3A2D" w:rsidRDefault="00B600FE" w:rsidP="00B600FE"/>
    <w:p w:rsidR="00B600FE" w:rsidRPr="00AB3A2D" w:rsidRDefault="00B600FE" w:rsidP="00B600FE">
      <w:r w:rsidRPr="00AB3A2D">
        <w:t xml:space="preserve">1.1 </w:t>
      </w:r>
      <w:r w:rsidRPr="00AB3A2D">
        <w:tab/>
        <w:t>La présente méthode comprend une étape permettant de vérifier la similarité génétique avant le premier cycle de végétation.</w:t>
      </w:r>
    </w:p>
    <w:p w:rsidR="00B600FE" w:rsidRPr="00AB3A2D" w:rsidRDefault="00B600FE" w:rsidP="00B600FE"/>
    <w:p w:rsidR="00B600FE" w:rsidRPr="00AB3A2D" w:rsidRDefault="00B600FE" w:rsidP="00B600FE">
      <w:r w:rsidRPr="00AB3A2D">
        <w:t>1.2</w:t>
      </w:r>
      <w:r w:rsidRPr="00AB3A2D">
        <w:tab/>
        <w:t xml:space="preserve">Dans les cas où la durée minimale des essais est normalement de deux cycles de végétation, des variétés voisines sont sélectionnées dans la collection de variétés afin de les comparer aux variétés candidates </w:t>
      </w:r>
      <w:r w:rsidR="0085076A">
        <w:t>pendant</w:t>
      </w:r>
      <w:r w:rsidRPr="00AB3A2D">
        <w:t xml:space="preserve"> le premier cycle de végétation, sur la base de la similarité génétique.  Dans l’étape suivante, les informations fournies par le demandeur figurant dans le questionnaire technique sont utilisées pour déterminer si certaines des variétés génétiquement similaires ne doivent pas faire l’objet d’une comparaison dans un essai en culture du fait des différences entre les caractères DHS.</w:t>
      </w:r>
    </w:p>
    <w:p w:rsidR="00B600FE" w:rsidRPr="00AB3A2D" w:rsidRDefault="00B600FE" w:rsidP="00B600FE"/>
    <w:p w:rsidR="00B600FE" w:rsidRPr="00AB3A2D" w:rsidRDefault="00B600FE" w:rsidP="00B600FE">
      <w:r w:rsidRPr="00AB3A2D">
        <w:t>1.3</w:t>
      </w:r>
      <w:r w:rsidRPr="00AB3A2D">
        <w:tab/>
        <w:t xml:space="preserve">Compte tenu de la description variétale des caractères DHS produite dans le premier cycle de végétation, une recherche supplémentaire est effectuée afin de recenser, dans la collection de variétés, des variétés </w:t>
      </w:r>
      <w:r w:rsidR="0085076A" w:rsidRPr="00AB3A2D">
        <w:t xml:space="preserve">voisines </w:t>
      </w:r>
      <w:r w:rsidRPr="00AB3A2D">
        <w:t xml:space="preserve">n’ayant pas fait l’objet d’une comparaison dans le premier cycle de végétation qui </w:t>
      </w:r>
      <w:r w:rsidR="0085076A">
        <w:t>devraient</w:t>
      </w:r>
      <w:r w:rsidRPr="00AB3A2D">
        <w:t xml:space="preserve"> être comparées à la variété candidate dans le second cycle de végétation.</w:t>
      </w:r>
    </w:p>
    <w:p w:rsidR="00B600FE" w:rsidRPr="00AB3A2D" w:rsidRDefault="00B600FE" w:rsidP="00B600FE"/>
    <w:p w:rsidR="00B600FE" w:rsidRPr="00AB3A2D" w:rsidRDefault="00B600FE" w:rsidP="00B600FE">
      <w:pPr>
        <w:keepNext/>
        <w:outlineLvl w:val="1"/>
        <w:rPr>
          <w:u w:val="single"/>
          <w:lang w:val="fr-CH"/>
        </w:rPr>
      </w:pPr>
      <w:r w:rsidRPr="00AB3A2D">
        <w:rPr>
          <w:lang w:val="fr-CH"/>
        </w:rPr>
        <w:t>2.</w:t>
      </w:r>
      <w:r w:rsidRPr="00AB3A2D">
        <w:rPr>
          <w:lang w:val="fr-CH"/>
        </w:rPr>
        <w:tab/>
      </w:r>
      <w:r w:rsidRPr="00AB3A2D">
        <w:rPr>
          <w:u w:val="single"/>
          <w:lang w:val="fr-CH"/>
        </w:rPr>
        <w:t>Procédure</w:t>
      </w:r>
      <w:bookmarkStart w:id="23" w:name="_GoBack"/>
      <w:bookmarkEnd w:id="23"/>
    </w:p>
    <w:p w:rsidR="00B600FE" w:rsidRPr="00AB3A2D" w:rsidRDefault="00B600FE" w:rsidP="00B600FE">
      <w:pPr>
        <w:keepNext/>
        <w:outlineLvl w:val="2"/>
        <w:rPr>
          <w:i/>
          <w:sz w:val="18"/>
        </w:rPr>
      </w:pPr>
    </w:p>
    <w:p w:rsidR="00B600FE" w:rsidRPr="00AB3A2D" w:rsidRDefault="00B600FE" w:rsidP="00B600FE">
      <w:pPr>
        <w:keepNext/>
        <w:outlineLvl w:val="2"/>
        <w:rPr>
          <w:i/>
        </w:rPr>
      </w:pPr>
      <w:r w:rsidRPr="00AB3A2D">
        <w:rPr>
          <w:i/>
        </w:rPr>
        <w:t>Détermination de la similarité génétique</w:t>
      </w:r>
    </w:p>
    <w:p w:rsidR="00B600FE" w:rsidRPr="00AB3A2D" w:rsidRDefault="00B600FE" w:rsidP="00B600FE"/>
    <w:p w:rsidR="00B600FE" w:rsidRPr="00AB3A2D" w:rsidRDefault="00B600FE" w:rsidP="00B600FE">
      <w:r w:rsidRPr="00AB3A2D">
        <w:t>2.1</w:t>
      </w:r>
      <w:r w:rsidRPr="00AB3A2D">
        <w:tab/>
        <w:t>Le profil d’ADN de la variété candidate est produit sitôt le matériel végétal reçu.</w:t>
      </w:r>
    </w:p>
    <w:p w:rsidR="00B600FE" w:rsidRPr="00AB3A2D" w:rsidRDefault="00B600FE" w:rsidP="00B600FE"/>
    <w:p w:rsidR="00B600FE" w:rsidRPr="00AB3A2D" w:rsidRDefault="00B600FE" w:rsidP="00B600FE">
      <w:r w:rsidRPr="00AB3A2D">
        <w:t>2.2</w:t>
      </w:r>
      <w:r w:rsidRPr="00AB3A2D">
        <w:tab/>
        <w:t>Le profil d’ADN est comparé aux profils de toutes les variétés figurant dans la collection de variétés, puis les variétés génétiquement similaires sont recensées.</w:t>
      </w:r>
    </w:p>
    <w:p w:rsidR="00B600FE" w:rsidRPr="00AB3A2D" w:rsidRDefault="00B600FE" w:rsidP="00B600FE"/>
    <w:p w:rsidR="00B600FE" w:rsidRPr="00AB3A2D" w:rsidRDefault="00B600FE" w:rsidP="00B600FE">
      <w:pPr>
        <w:rPr>
          <w:i/>
        </w:rPr>
      </w:pPr>
      <w:r w:rsidRPr="00AB3A2D">
        <w:rPr>
          <w:i/>
        </w:rPr>
        <w:t>Informations figurant dans le questionnaire technique</w:t>
      </w:r>
    </w:p>
    <w:p w:rsidR="00B600FE" w:rsidRPr="00AB3A2D" w:rsidRDefault="00B600FE" w:rsidP="00B600FE"/>
    <w:p w:rsidR="00B600FE" w:rsidRPr="00AB3A2D" w:rsidRDefault="00B600FE" w:rsidP="00B600FE">
      <w:r w:rsidRPr="00AB3A2D">
        <w:t>2.3</w:t>
      </w:r>
      <w:r w:rsidRPr="00AB3A2D">
        <w:tab/>
        <w:t>Les informations fournies par le demandeur figurant dans le questionnaire technique sont ensuite utilisées pour déterminer s’il existe des différences nettes entre les caractères DHS pour certaines des variétés génétiquement similaires, afin que celles</w:t>
      </w:r>
      <w:r w:rsidRPr="00AB3A2D">
        <w:noBreakHyphen/>
        <w:t xml:space="preserve">ci ne </w:t>
      </w:r>
      <w:r w:rsidR="00C46CD9">
        <w:t>soient</w:t>
      </w:r>
      <w:r w:rsidRPr="00AB3A2D">
        <w:t xml:space="preserve"> pas comparées aux variétés candidates dans un essai en culture.</w:t>
      </w:r>
    </w:p>
    <w:p w:rsidR="00B600FE" w:rsidRPr="00AB3A2D" w:rsidRDefault="00B600FE" w:rsidP="00B600FE"/>
    <w:p w:rsidR="00B600FE" w:rsidRPr="00AB3A2D" w:rsidRDefault="00B600FE" w:rsidP="00B600FE">
      <w:pPr>
        <w:keepNext/>
        <w:outlineLvl w:val="2"/>
        <w:rPr>
          <w:i/>
        </w:rPr>
      </w:pPr>
      <w:r w:rsidRPr="00AB3A2D">
        <w:rPr>
          <w:i/>
        </w:rPr>
        <w:t>Essai en plein champ</w:t>
      </w:r>
    </w:p>
    <w:p w:rsidR="00B600FE" w:rsidRPr="00AB3A2D" w:rsidRDefault="00B600FE" w:rsidP="00B600FE"/>
    <w:p w:rsidR="00B600FE" w:rsidRPr="00AB3A2D" w:rsidRDefault="00B600FE" w:rsidP="00B600FE">
      <w:pPr>
        <w:keepNext/>
        <w:ind w:left="567"/>
        <w:outlineLvl w:val="3"/>
        <w:rPr>
          <w:u w:val="single"/>
        </w:rPr>
      </w:pPr>
      <w:r w:rsidRPr="00AB3A2D">
        <w:rPr>
          <w:u w:val="single"/>
        </w:rPr>
        <w:t>Premier cycle de végétation</w:t>
      </w:r>
      <w:r w:rsidRPr="00AB3A2D">
        <w:t> :</w:t>
      </w:r>
    </w:p>
    <w:p w:rsidR="00B600FE" w:rsidRPr="00AB3A2D" w:rsidRDefault="00B600FE" w:rsidP="00B600FE"/>
    <w:p w:rsidR="00B600FE" w:rsidRPr="00AB3A2D" w:rsidRDefault="00B600FE" w:rsidP="00B600FE">
      <w:r w:rsidRPr="00AB3A2D">
        <w:t>2.4</w:t>
      </w:r>
      <w:r w:rsidRPr="00AB3A2D">
        <w:tab/>
        <w:t>La variété candidate et les variétés génétiquement similaires sélectionnées conformément à la procédure susmentionnée font l’objet d’un essai un plein champ.  Une description complète des caractères DHS de la variété candidate est produite, puis comparée aux descriptions de toutes les variétés figurant dans la collection de variétés au moyen d’une base de données contenant les descriptions produites au même endroit au cours des années précédentes.</w:t>
      </w:r>
    </w:p>
    <w:p w:rsidR="00B600FE" w:rsidRPr="00AB3A2D" w:rsidRDefault="00B600FE" w:rsidP="00B600FE"/>
    <w:p w:rsidR="00B600FE" w:rsidRPr="00AB3A2D" w:rsidRDefault="00B600FE" w:rsidP="00B600FE">
      <w:pPr>
        <w:ind w:left="567"/>
        <w:rPr>
          <w:i/>
        </w:rPr>
      </w:pPr>
      <w:r w:rsidRPr="00AB3A2D">
        <w:rPr>
          <w:i/>
        </w:rPr>
        <w:t>Résultats possibles :</w:t>
      </w:r>
    </w:p>
    <w:p w:rsidR="00B600FE" w:rsidRPr="00AB3A2D" w:rsidRDefault="00B600FE" w:rsidP="00B600FE"/>
    <w:p w:rsidR="00B600FE" w:rsidRPr="00AB3A2D" w:rsidRDefault="00B600FE" w:rsidP="00B600FE">
      <w:r w:rsidRPr="00AB3A2D">
        <w:t>2.5</w:t>
      </w:r>
      <w:r w:rsidRPr="00AB3A2D">
        <w:tab/>
        <w:t>Si la variété candidate ne se distingue pas des variétés génétiquement similaires du point de vue des caractères DHS, l’essai se poursuit dans le cadre d’un second cycle de végétation.</w:t>
      </w:r>
    </w:p>
    <w:p w:rsidR="00B600FE" w:rsidRPr="00AB3A2D" w:rsidRDefault="00B600FE" w:rsidP="00B600FE"/>
    <w:p w:rsidR="00B600FE" w:rsidRPr="00AB3A2D" w:rsidRDefault="00B600FE" w:rsidP="00B600FE">
      <w:r w:rsidRPr="00AB3A2D">
        <w:t>2.6</w:t>
      </w:r>
      <w:r w:rsidRPr="00AB3A2D">
        <w:tab/>
        <w:t>Dans tous les cas, la description de la variété candidate produite dans le premier cycle de végétation est comparée aux descriptions des variétés figurant dans la collection de variétés au moyen d’une base de données contenant les descriptions produites au même endroit.</w:t>
      </w:r>
    </w:p>
    <w:p w:rsidR="00B600FE" w:rsidRPr="00AB3A2D" w:rsidRDefault="00B600FE" w:rsidP="00B600FE"/>
    <w:p w:rsidR="00B600FE" w:rsidRPr="00AB3A2D" w:rsidRDefault="00B600FE" w:rsidP="00B600FE">
      <w:r w:rsidRPr="00AB3A2D">
        <w:tab/>
        <w:t xml:space="preserve">a) </w:t>
      </w:r>
      <w:r w:rsidRPr="00AB3A2D">
        <w:tab/>
        <w:t>Si la variété candidate est jugée distincte de toutes les variétés ayant fait l’objet du premier cycle de végétation et de toutes les autres variétés figurant dans la collection de variétés à la fin du premier cycle de végétation et qu’elle remplit les conditions d’homogénéité et de stabilité, l’essai DHS s’achève après le premier cycle de végétation.</w:t>
      </w:r>
    </w:p>
    <w:p w:rsidR="00B600FE" w:rsidRPr="00AB3A2D" w:rsidRDefault="00B600FE" w:rsidP="00B600FE"/>
    <w:p w:rsidR="00B600FE" w:rsidRPr="00AB3A2D" w:rsidRDefault="00B600FE" w:rsidP="00B600FE">
      <w:r w:rsidRPr="00AB3A2D">
        <w:tab/>
        <w:t xml:space="preserve">b) </w:t>
      </w:r>
      <w:r w:rsidRPr="00AB3A2D">
        <w:tab/>
        <w:t>Dans tous les autres cas, un second cycle de végétation est nécessaire.</w:t>
      </w:r>
    </w:p>
    <w:p w:rsidR="00B600FE" w:rsidRPr="00AB3A2D" w:rsidRDefault="00B600FE" w:rsidP="00B600FE"/>
    <w:p w:rsidR="00B600FE" w:rsidRPr="00AB3A2D" w:rsidRDefault="00B600FE" w:rsidP="00B600FE">
      <w:pPr>
        <w:keepNext/>
        <w:ind w:left="567"/>
        <w:outlineLvl w:val="3"/>
        <w:rPr>
          <w:u w:val="single"/>
        </w:rPr>
      </w:pPr>
      <w:r w:rsidRPr="00AB3A2D">
        <w:rPr>
          <w:u w:val="single"/>
        </w:rPr>
        <w:t>Second cycle de végétation</w:t>
      </w:r>
    </w:p>
    <w:p w:rsidR="00B600FE" w:rsidRPr="00AB3A2D" w:rsidRDefault="00B600FE" w:rsidP="00B600FE"/>
    <w:p w:rsidR="00B600FE" w:rsidRPr="00AB3A2D" w:rsidRDefault="00B600FE" w:rsidP="00B600FE">
      <w:r w:rsidRPr="00AB3A2D">
        <w:t>2.7</w:t>
      </w:r>
      <w:r w:rsidRPr="00AB3A2D">
        <w:tab/>
        <w:t>Dans le second cycle de végétation, la variété candidate est mise en culture avec toutes les variétés figurant dans la collection de variétés à l’égard desquelles il n’a pas été possible d’établir la distinction à la fin du premier cycle de végétation.</w:t>
      </w:r>
    </w:p>
    <w:p w:rsidR="00B600FE" w:rsidRPr="00AB3A2D" w:rsidRDefault="00B600FE" w:rsidP="00B600FE"/>
    <w:p w:rsidR="00B600FE" w:rsidRPr="00AB3A2D" w:rsidRDefault="00B600FE" w:rsidP="00B600FE">
      <w:r w:rsidRPr="00AB3A2D">
        <w:t>2.8</w:t>
      </w:r>
      <w:r w:rsidRPr="00AB3A2D">
        <w:tab/>
        <w:t>À la fin du second cycle de végétation, on procède à une évaluation DHS.  S’il n’est pas possible de se prononcer quant à l’examen DHS à la fin du second cycle de végétation, un cycle de végétation supplémentaire peut être nécessaire.</w:t>
      </w:r>
    </w:p>
    <w:p w:rsidR="00B600FE" w:rsidRPr="00AB3A2D" w:rsidRDefault="00B600FE" w:rsidP="00B600FE"/>
    <w:p w:rsidR="00CC0333" w:rsidRPr="00AB3A2D" w:rsidRDefault="00CC0333" w:rsidP="00072B91"/>
    <w:p w:rsidR="00B600FE" w:rsidRPr="00AB3A2D" w:rsidRDefault="00B600FE" w:rsidP="00072B91"/>
    <w:p w:rsidR="00B600FE" w:rsidRPr="00072B91" w:rsidRDefault="005677C4" w:rsidP="005677C4">
      <w:pPr>
        <w:jc w:val="right"/>
      </w:pPr>
      <w:r w:rsidRPr="00AB3A2D">
        <w:t>[Fin de l’annexe III et du document]</w:t>
      </w:r>
    </w:p>
    <w:sectPr w:rsidR="00B600FE" w:rsidRPr="00072B91" w:rsidSect="00AE22C4">
      <w:headerReference w:type="default" r:id="rId23"/>
      <w:headerReference w:type="first" r:id="rId24"/>
      <w:pgSz w:w="11907" w:h="16840" w:code="9"/>
      <w:pgMar w:top="510" w:right="1134" w:bottom="851"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CA3" w:rsidRDefault="00494CA3" w:rsidP="006655D3">
      <w:r>
        <w:separator/>
      </w:r>
    </w:p>
    <w:p w:rsidR="00494CA3" w:rsidRDefault="00494CA3" w:rsidP="006655D3"/>
    <w:p w:rsidR="00494CA3" w:rsidRDefault="00494CA3" w:rsidP="006655D3"/>
  </w:endnote>
  <w:endnote w:type="continuationSeparator" w:id="0">
    <w:p w:rsidR="00494CA3" w:rsidRDefault="00494CA3" w:rsidP="006655D3">
      <w:r>
        <w:separator/>
      </w:r>
    </w:p>
    <w:p w:rsidR="00494CA3" w:rsidRPr="005F385A" w:rsidRDefault="00494CA3">
      <w:pPr>
        <w:pStyle w:val="Footer"/>
        <w:spacing w:after="60"/>
        <w:rPr>
          <w:sz w:val="18"/>
          <w:lang w:val="fr-CH"/>
        </w:rPr>
      </w:pPr>
      <w:r w:rsidRPr="005F385A">
        <w:rPr>
          <w:sz w:val="18"/>
          <w:lang w:val="fr-CH"/>
        </w:rPr>
        <w:t>[Suite de la note de la page précédente]</w:t>
      </w:r>
    </w:p>
    <w:p w:rsidR="00494CA3" w:rsidRPr="005F385A" w:rsidRDefault="00494CA3" w:rsidP="006655D3">
      <w:pPr>
        <w:rPr>
          <w:lang w:val="fr-CH"/>
        </w:rPr>
      </w:pPr>
    </w:p>
    <w:p w:rsidR="00494CA3" w:rsidRPr="005F385A" w:rsidRDefault="00494CA3" w:rsidP="006655D3">
      <w:pPr>
        <w:rPr>
          <w:lang w:val="fr-CH"/>
        </w:rPr>
      </w:pPr>
    </w:p>
  </w:endnote>
  <w:endnote w:type="continuationNotice" w:id="1">
    <w:p w:rsidR="00494CA3" w:rsidRPr="005F385A" w:rsidRDefault="00494CA3" w:rsidP="006655D3">
      <w:pPr>
        <w:rPr>
          <w:lang w:val="fr-CH"/>
        </w:rPr>
      </w:pPr>
      <w:r w:rsidRPr="005F385A">
        <w:rPr>
          <w:lang w:val="fr-CH"/>
        </w:rPr>
        <w:t>[Suite de la note page suivante]</w:t>
      </w:r>
    </w:p>
    <w:p w:rsidR="00494CA3" w:rsidRPr="005F385A" w:rsidRDefault="00494CA3" w:rsidP="006655D3">
      <w:pPr>
        <w:rPr>
          <w:lang w:val="fr-CH"/>
        </w:rPr>
      </w:pPr>
    </w:p>
    <w:p w:rsidR="00494CA3" w:rsidRPr="005F385A" w:rsidRDefault="00494CA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Angsana New">
    <w:altName w:val="Arial Unicode MS"/>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A384F" w:rsidRDefault="00E306B7" w:rsidP="007C15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8E" w:rsidRPr="00CA384F" w:rsidRDefault="00F40E8E" w:rsidP="007C1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CA3" w:rsidRDefault="00494CA3" w:rsidP="006655D3">
      <w:r>
        <w:separator/>
      </w:r>
    </w:p>
  </w:footnote>
  <w:footnote w:type="continuationSeparator" w:id="0">
    <w:p w:rsidR="00494CA3" w:rsidRDefault="00494CA3" w:rsidP="006655D3">
      <w:r>
        <w:separator/>
      </w:r>
    </w:p>
  </w:footnote>
  <w:footnote w:type="continuationNotice" w:id="1">
    <w:p w:rsidR="00494CA3" w:rsidRPr="00AB5028" w:rsidRDefault="00494CA3" w:rsidP="00AB5028">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0A2E4E" w:rsidRDefault="001A1A65" w:rsidP="001A1A65">
    <w:pPr>
      <w:pStyle w:val="Header"/>
      <w:rPr>
        <w:rFonts w:cs="Arial"/>
      </w:rPr>
    </w:pPr>
    <w:r w:rsidRPr="000A2E4E">
      <w:rPr>
        <w:rFonts w:cs="Arial"/>
      </w:rPr>
      <w:t xml:space="preserve">TGP/15/2 </w:t>
    </w:r>
    <w:r w:rsidR="005A605F">
      <w:rPr>
        <w:rFonts w:cs="Arial"/>
      </w:rPr>
      <w:t>Draft 2</w:t>
    </w:r>
  </w:p>
  <w:p w:rsidR="00E306B7" w:rsidRPr="000A2E4E" w:rsidRDefault="00E306B7" w:rsidP="007C1573">
    <w:pPr>
      <w:pStyle w:val="Header"/>
      <w:rPr>
        <w:rStyle w:val="PageNumber"/>
        <w:rFonts w:cs="Arial"/>
      </w:rPr>
    </w:pPr>
    <w:r w:rsidRPr="000A2E4E">
      <w:rPr>
        <w:rFonts w:cs="Arial"/>
      </w:rPr>
      <w:t xml:space="preserve">page </w:t>
    </w:r>
    <w:r w:rsidRPr="000A2E4E">
      <w:rPr>
        <w:rStyle w:val="PageNumber"/>
        <w:rFonts w:cs="Arial"/>
      </w:rPr>
      <w:fldChar w:fldCharType="begin"/>
    </w:r>
    <w:r w:rsidRPr="000A2E4E">
      <w:rPr>
        <w:rStyle w:val="PageNumber"/>
        <w:rFonts w:cs="Arial"/>
      </w:rPr>
      <w:instrText xml:space="preserve"> PAGE </w:instrText>
    </w:r>
    <w:r w:rsidRPr="000A2E4E">
      <w:rPr>
        <w:rStyle w:val="PageNumber"/>
        <w:rFonts w:cs="Arial"/>
      </w:rPr>
      <w:fldChar w:fldCharType="separate"/>
    </w:r>
    <w:r w:rsidR="00457DC9">
      <w:rPr>
        <w:rStyle w:val="PageNumber"/>
        <w:rFonts w:cs="Arial"/>
        <w:noProof/>
      </w:rPr>
      <w:t>4</w:t>
    </w:r>
    <w:r w:rsidRPr="000A2E4E">
      <w:rPr>
        <w:rStyle w:val="PageNumber"/>
        <w:rFonts w:cs="Arial"/>
      </w:rPr>
      <w:fldChar w:fldCharType="end"/>
    </w:r>
  </w:p>
  <w:p w:rsidR="00E306B7" w:rsidRPr="000A2E4E" w:rsidRDefault="00E306B7">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207199" w:rsidRDefault="00E306B7" w:rsidP="007C1573">
    <w:pPr>
      <w:pStyle w:val="Header"/>
      <w:rPr>
        <w:rFonts w:cs="Arial"/>
        <w:lang w:val="en-US"/>
      </w:rPr>
    </w:pPr>
    <w:r w:rsidRPr="00207199">
      <w:rPr>
        <w:rFonts w:cs="Arial"/>
        <w:lang w:val="en-US"/>
      </w:rPr>
      <w:t xml:space="preserve">TGP/15/2 </w:t>
    </w:r>
    <w:r w:rsidR="005A605F">
      <w:rPr>
        <w:rFonts w:cs="Arial"/>
        <w:lang w:val="en-US"/>
      </w:rPr>
      <w:t>Draft 2</w:t>
    </w:r>
  </w:p>
  <w:p w:rsidR="00E306B7" w:rsidRPr="00C61C6B" w:rsidRDefault="00207199">
    <w:pPr>
      <w:jc w:val="center"/>
      <w:rPr>
        <w:rFonts w:cs="Arial"/>
      </w:rPr>
    </w:pPr>
    <w:r>
      <w:rPr>
        <w:rFonts w:cs="Arial"/>
      </w:rPr>
      <w:t>Annex</w:t>
    </w:r>
    <w:r w:rsidR="006E3C44">
      <w:rPr>
        <w:rFonts w:cs="Arial"/>
      </w:rPr>
      <w:t>e</w:t>
    </w:r>
    <w:r>
      <w:rPr>
        <w:rFonts w:cs="Arial"/>
      </w:rPr>
      <w:t xml:space="preserve"> I</w:t>
    </w:r>
    <w:r w:rsidR="00E306B7" w:rsidRPr="00C61C6B">
      <w:rPr>
        <w:rFonts w:cs="Arial"/>
      </w:rPr>
      <w:t xml:space="preserve">, page </w:t>
    </w:r>
    <w:r w:rsidR="00E306B7" w:rsidRPr="00C61C6B">
      <w:rPr>
        <w:rFonts w:cs="Arial"/>
      </w:rPr>
      <w:fldChar w:fldCharType="begin"/>
    </w:r>
    <w:r w:rsidR="00E306B7" w:rsidRPr="00C61C6B">
      <w:rPr>
        <w:rFonts w:cs="Arial"/>
      </w:rPr>
      <w:instrText xml:space="preserve"> PAGE  \* MERGEFORMAT </w:instrText>
    </w:r>
    <w:r w:rsidR="00E306B7" w:rsidRPr="00C61C6B">
      <w:rPr>
        <w:rFonts w:cs="Arial"/>
      </w:rPr>
      <w:fldChar w:fldCharType="separate"/>
    </w:r>
    <w:r w:rsidR="00E56601">
      <w:rPr>
        <w:rFonts w:cs="Arial"/>
        <w:noProof/>
      </w:rPr>
      <w:t>2</w:t>
    </w:r>
    <w:r w:rsidR="00E306B7" w:rsidRPr="00C61C6B">
      <w:rPr>
        <w:rFonts w:cs="Arial"/>
      </w:rPr>
      <w:fldChar w:fldCharType="end"/>
    </w:r>
  </w:p>
  <w:p w:rsidR="00E306B7" w:rsidRPr="00C61C6B" w:rsidRDefault="00E306B7">
    <w:pPr>
      <w:jc w:val="cent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6B7" w:rsidRPr="00C61C6B" w:rsidRDefault="00E306B7" w:rsidP="007C1573">
    <w:pPr>
      <w:pStyle w:val="Header"/>
      <w:rPr>
        <w:rFonts w:cs="Arial"/>
      </w:rPr>
    </w:pPr>
    <w:r>
      <w:rPr>
        <w:rFonts w:cs="Arial"/>
      </w:rPr>
      <w:t xml:space="preserve">TGP/15/2 </w:t>
    </w:r>
    <w:r w:rsidR="005A605F">
      <w:rPr>
        <w:rFonts w:cs="Arial"/>
      </w:rPr>
      <w:t>Draft 2</w:t>
    </w:r>
  </w:p>
  <w:p w:rsidR="00E306B7" w:rsidRPr="00C61C6B" w:rsidRDefault="00E306B7">
    <w:pPr>
      <w:pStyle w:val="Header"/>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8E" w:rsidRPr="00C61C6B" w:rsidRDefault="00F40E8E" w:rsidP="007C1573">
    <w:pPr>
      <w:pStyle w:val="Header"/>
      <w:rPr>
        <w:rFonts w:cs="Arial"/>
      </w:rPr>
    </w:pPr>
    <w:r>
      <w:rPr>
        <w:rFonts w:cs="Arial"/>
      </w:rPr>
      <w:t xml:space="preserve">TGP/15/2 </w:t>
    </w:r>
    <w:r w:rsidR="005A605F">
      <w:rPr>
        <w:rFonts w:cs="Arial"/>
      </w:rPr>
      <w:t>Draft 2</w:t>
    </w:r>
  </w:p>
  <w:p w:rsidR="00F40E8E" w:rsidRPr="00494045" w:rsidRDefault="00F40E8E">
    <w:pPr>
      <w:jc w:val="center"/>
      <w:rPr>
        <w:rFonts w:cs="Arial"/>
        <w:lang w:val="fr-CH"/>
      </w:rPr>
    </w:pPr>
    <w:r w:rsidRPr="00494045">
      <w:rPr>
        <w:rFonts w:cs="Arial"/>
        <w:lang w:val="fr-CH"/>
      </w:rPr>
      <w:t>Annex</w:t>
    </w:r>
    <w:r w:rsidR="00214699" w:rsidRPr="00494045">
      <w:rPr>
        <w:rFonts w:cs="Arial"/>
        <w:lang w:val="fr-CH"/>
      </w:rPr>
      <w:t>e</w:t>
    </w:r>
    <w:r w:rsidRPr="00494045">
      <w:rPr>
        <w:rFonts w:cs="Arial"/>
        <w:lang w:val="fr-CH"/>
      </w:rPr>
      <w:t xml:space="preserve"> </w:t>
    </w:r>
    <w:r w:rsidR="00207199" w:rsidRPr="00494045">
      <w:rPr>
        <w:rFonts w:cs="Arial"/>
        <w:lang w:val="fr-CH"/>
      </w:rPr>
      <w:t>II</w:t>
    </w:r>
    <w:r w:rsidRPr="00494045">
      <w:rPr>
        <w:rFonts w:cs="Arial"/>
        <w:lang w:val="fr-CH"/>
      </w:rPr>
      <w:t xml:space="preserve">, page </w:t>
    </w:r>
    <w:r w:rsidRPr="00C61C6B">
      <w:rPr>
        <w:rFonts w:cs="Arial"/>
      </w:rPr>
      <w:fldChar w:fldCharType="begin"/>
    </w:r>
    <w:r w:rsidRPr="00494045">
      <w:rPr>
        <w:rFonts w:cs="Arial"/>
        <w:lang w:val="fr-CH"/>
      </w:rPr>
      <w:instrText xml:space="preserve"> PAGE  \* MERGEFORMAT </w:instrText>
    </w:r>
    <w:r w:rsidRPr="00C61C6B">
      <w:rPr>
        <w:rFonts w:cs="Arial"/>
      </w:rPr>
      <w:fldChar w:fldCharType="separate"/>
    </w:r>
    <w:r w:rsidR="00457DC9">
      <w:rPr>
        <w:rFonts w:cs="Arial"/>
        <w:noProof/>
        <w:lang w:val="fr-CH"/>
      </w:rPr>
      <w:t>4</w:t>
    </w:r>
    <w:r w:rsidRPr="00C61C6B">
      <w:rPr>
        <w:rFonts w:cs="Arial"/>
      </w:rPr>
      <w:fldChar w:fldCharType="end"/>
    </w:r>
  </w:p>
  <w:p w:rsidR="00F40E8E" w:rsidRPr="00494045" w:rsidRDefault="00F40E8E">
    <w:pPr>
      <w:jc w:val="center"/>
      <w:rPr>
        <w:rFonts w:cs="Arial"/>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E8E" w:rsidRPr="00C61C6B" w:rsidRDefault="00F40E8E" w:rsidP="007C1573">
    <w:pPr>
      <w:pStyle w:val="Header"/>
      <w:rPr>
        <w:rFonts w:cs="Arial"/>
      </w:rPr>
    </w:pPr>
    <w:r>
      <w:rPr>
        <w:rFonts w:cs="Arial"/>
      </w:rPr>
      <w:t xml:space="preserve">TGP/15/2 </w:t>
    </w:r>
    <w:r w:rsidR="005A605F">
      <w:rPr>
        <w:rFonts w:cs="Arial"/>
      </w:rPr>
      <w:t>Draft 2</w:t>
    </w:r>
  </w:p>
  <w:p w:rsidR="00F40E8E" w:rsidRPr="00C61C6B" w:rsidRDefault="00F40E8E">
    <w:pPr>
      <w:pStyle w:val="Header"/>
      <w:rPr>
        <w:rFonts w:cs="Arial"/>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159528"/>
      <w:docPartObj>
        <w:docPartGallery w:val="Page Numbers (Top of Page)"/>
        <w:docPartUnique/>
      </w:docPartObj>
    </w:sdtPr>
    <w:sdtEndPr>
      <w:rPr>
        <w:noProof/>
      </w:rPr>
    </w:sdtEndPr>
    <w:sdtContent>
      <w:p w:rsidR="00E306B7" w:rsidRDefault="00E306B7" w:rsidP="00E306B7">
        <w:pPr>
          <w:pStyle w:val="Header"/>
        </w:pPr>
        <w:r>
          <w:t xml:space="preserve">TGP/15/2 </w:t>
        </w:r>
        <w:r w:rsidR="005A605F">
          <w:t>Draft 2</w:t>
        </w:r>
      </w:p>
      <w:p w:rsidR="00E306B7" w:rsidRDefault="00E306B7">
        <w:pPr>
          <w:pStyle w:val="Header"/>
        </w:pPr>
        <w:r>
          <w:t>Annex</w:t>
        </w:r>
        <w:r w:rsidR="00EA695A">
          <w:t>e</w:t>
        </w:r>
        <w:r>
          <w:t xml:space="preserve"> </w:t>
        </w:r>
        <w:r w:rsidR="00B6238F">
          <w:t>III</w:t>
        </w:r>
        <w:r>
          <w:t xml:space="preserve">, page </w:t>
        </w:r>
        <w:r>
          <w:fldChar w:fldCharType="begin"/>
        </w:r>
        <w:r>
          <w:instrText xml:space="preserve"> PAGE   \* MERGEFORMAT </w:instrText>
        </w:r>
        <w:r>
          <w:fldChar w:fldCharType="separate"/>
        </w:r>
        <w:r w:rsidR="00457DC9">
          <w:rPr>
            <w:noProof/>
          </w:rPr>
          <w:t>2</w:t>
        </w:r>
        <w:r>
          <w:rPr>
            <w:noProof/>
          </w:rPr>
          <w:fldChar w:fldCharType="end"/>
        </w:r>
      </w:p>
    </w:sdtContent>
  </w:sdt>
  <w:p w:rsidR="00995131" w:rsidRPr="00494045" w:rsidRDefault="00995131">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131" w:rsidRDefault="00995131" w:rsidP="00E306B7">
    <w:pPr>
      <w:pStyle w:val="Header"/>
    </w:pPr>
    <w:r>
      <w:t>TGP/</w:t>
    </w:r>
    <w:r w:rsidR="00E306B7">
      <w:t>15</w:t>
    </w:r>
    <w:r>
      <w:t>/</w:t>
    </w:r>
    <w:r w:rsidR="00E306B7">
      <w:t xml:space="preserve">2 </w:t>
    </w:r>
    <w:r w:rsidR="005A605F">
      <w:t>Draft 2</w:t>
    </w:r>
  </w:p>
  <w:p w:rsidR="00995131" w:rsidRDefault="00995131" w:rsidP="0062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7C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E060B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A147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17238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76C35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18" w15:restartNumberingAfterBreak="0">
    <w:nsid w:val="6CFB2B96"/>
    <w:multiLevelType w:val="hybridMultilevel"/>
    <w:tmpl w:val="F3BAAF6E"/>
    <w:lvl w:ilvl="0" w:tplc="20908FCC">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22"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num w:numId="1">
    <w:abstractNumId w:val="11"/>
  </w:num>
  <w:num w:numId="2">
    <w:abstractNumId w:val="15"/>
  </w:num>
  <w:num w:numId="3">
    <w:abstractNumId w:val="14"/>
  </w:num>
  <w:num w:numId="4">
    <w:abstractNumId w:val="19"/>
  </w:num>
  <w:num w:numId="5">
    <w:abstractNumId w:val="12"/>
  </w:num>
  <w:num w:numId="6">
    <w:abstractNumId w:val="16"/>
  </w:num>
  <w:num w:numId="7">
    <w:abstractNumId w:val="2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7"/>
  </w:num>
  <w:num w:numId="20">
    <w:abstractNumId w:val="13"/>
  </w:num>
  <w:num w:numId="21">
    <w:abstractNumId w:val="20"/>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DB|FTS_Glossary|WIPOLDTERM|FR_TermBase"/>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3E1C24"/>
    <w:rsid w:val="00000CB9"/>
    <w:rsid w:val="00002B6A"/>
    <w:rsid w:val="0000443F"/>
    <w:rsid w:val="00010CF3"/>
    <w:rsid w:val="00011E27"/>
    <w:rsid w:val="000148BC"/>
    <w:rsid w:val="00021037"/>
    <w:rsid w:val="00024909"/>
    <w:rsid w:val="00024AB8"/>
    <w:rsid w:val="00030854"/>
    <w:rsid w:val="00036028"/>
    <w:rsid w:val="00037F34"/>
    <w:rsid w:val="00044642"/>
    <w:rsid w:val="000446B9"/>
    <w:rsid w:val="00047D7F"/>
    <w:rsid w:val="00047E21"/>
    <w:rsid w:val="0006248B"/>
    <w:rsid w:val="00063D11"/>
    <w:rsid w:val="0007233B"/>
    <w:rsid w:val="00072B91"/>
    <w:rsid w:val="0007356B"/>
    <w:rsid w:val="00080A8D"/>
    <w:rsid w:val="00080FF3"/>
    <w:rsid w:val="00085052"/>
    <w:rsid w:val="00085505"/>
    <w:rsid w:val="00085A45"/>
    <w:rsid w:val="00091A19"/>
    <w:rsid w:val="00094E01"/>
    <w:rsid w:val="0009590A"/>
    <w:rsid w:val="00097D71"/>
    <w:rsid w:val="000A04B8"/>
    <w:rsid w:val="000A1E07"/>
    <w:rsid w:val="000A2E4E"/>
    <w:rsid w:val="000A68B4"/>
    <w:rsid w:val="000B2492"/>
    <w:rsid w:val="000C7021"/>
    <w:rsid w:val="000D0329"/>
    <w:rsid w:val="000D268A"/>
    <w:rsid w:val="000D528D"/>
    <w:rsid w:val="000D551C"/>
    <w:rsid w:val="000D647D"/>
    <w:rsid w:val="000D6BBC"/>
    <w:rsid w:val="000D7780"/>
    <w:rsid w:val="000E1FD1"/>
    <w:rsid w:val="000E55EF"/>
    <w:rsid w:val="000F413B"/>
    <w:rsid w:val="000F647B"/>
    <w:rsid w:val="000F6E7F"/>
    <w:rsid w:val="000F7A18"/>
    <w:rsid w:val="00101A58"/>
    <w:rsid w:val="0010207D"/>
    <w:rsid w:val="00104C61"/>
    <w:rsid w:val="00105929"/>
    <w:rsid w:val="001117A4"/>
    <w:rsid w:val="001131D5"/>
    <w:rsid w:val="0012307B"/>
    <w:rsid w:val="001306CE"/>
    <w:rsid w:val="00130D68"/>
    <w:rsid w:val="00141DB8"/>
    <w:rsid w:val="00151CB4"/>
    <w:rsid w:val="0015579B"/>
    <w:rsid w:val="00155AD3"/>
    <w:rsid w:val="00167822"/>
    <w:rsid w:val="0017474A"/>
    <w:rsid w:val="001758C6"/>
    <w:rsid w:val="00182B99"/>
    <w:rsid w:val="001847F8"/>
    <w:rsid w:val="0018544E"/>
    <w:rsid w:val="001A1A65"/>
    <w:rsid w:val="001A344A"/>
    <w:rsid w:val="001B0B25"/>
    <w:rsid w:val="001B24BE"/>
    <w:rsid w:val="001B5930"/>
    <w:rsid w:val="001B5948"/>
    <w:rsid w:val="001D6281"/>
    <w:rsid w:val="001E3B46"/>
    <w:rsid w:val="001F62AE"/>
    <w:rsid w:val="0020017F"/>
    <w:rsid w:val="002029C6"/>
    <w:rsid w:val="00206A73"/>
    <w:rsid w:val="00207199"/>
    <w:rsid w:val="0021079C"/>
    <w:rsid w:val="0021206B"/>
    <w:rsid w:val="0021332C"/>
    <w:rsid w:val="00213982"/>
    <w:rsid w:val="00214587"/>
    <w:rsid w:val="00214699"/>
    <w:rsid w:val="0021545B"/>
    <w:rsid w:val="002178C8"/>
    <w:rsid w:val="00227397"/>
    <w:rsid w:val="00231EE5"/>
    <w:rsid w:val="00237965"/>
    <w:rsid w:val="002406AD"/>
    <w:rsid w:val="0024416D"/>
    <w:rsid w:val="0024623A"/>
    <w:rsid w:val="00252F7A"/>
    <w:rsid w:val="0026729D"/>
    <w:rsid w:val="00274294"/>
    <w:rsid w:val="00277A4C"/>
    <w:rsid w:val="002800A0"/>
    <w:rsid w:val="002801B3"/>
    <w:rsid w:val="00281060"/>
    <w:rsid w:val="002852D1"/>
    <w:rsid w:val="002853F5"/>
    <w:rsid w:val="00285E1C"/>
    <w:rsid w:val="00286ABE"/>
    <w:rsid w:val="00294032"/>
    <w:rsid w:val="002940E8"/>
    <w:rsid w:val="002A6E50"/>
    <w:rsid w:val="002B14BC"/>
    <w:rsid w:val="002B43DD"/>
    <w:rsid w:val="002C256A"/>
    <w:rsid w:val="002C4789"/>
    <w:rsid w:val="002D3923"/>
    <w:rsid w:val="002E0195"/>
    <w:rsid w:val="002E3099"/>
    <w:rsid w:val="002E4023"/>
    <w:rsid w:val="002F1FC3"/>
    <w:rsid w:val="002F245E"/>
    <w:rsid w:val="002F519B"/>
    <w:rsid w:val="002F6472"/>
    <w:rsid w:val="002F6C61"/>
    <w:rsid w:val="002F7F64"/>
    <w:rsid w:val="0030140A"/>
    <w:rsid w:val="00305001"/>
    <w:rsid w:val="00305A7F"/>
    <w:rsid w:val="00306C98"/>
    <w:rsid w:val="003152FE"/>
    <w:rsid w:val="0031534C"/>
    <w:rsid w:val="0032649B"/>
    <w:rsid w:val="003273FC"/>
    <w:rsid w:val="00327436"/>
    <w:rsid w:val="00327F20"/>
    <w:rsid w:val="00332177"/>
    <w:rsid w:val="00334D2A"/>
    <w:rsid w:val="00341BEF"/>
    <w:rsid w:val="00343AED"/>
    <w:rsid w:val="00344BD6"/>
    <w:rsid w:val="003544E6"/>
    <w:rsid w:val="0035528D"/>
    <w:rsid w:val="0036046C"/>
    <w:rsid w:val="00361821"/>
    <w:rsid w:val="00361EB5"/>
    <w:rsid w:val="00365765"/>
    <w:rsid w:val="00365BB2"/>
    <w:rsid w:val="00370355"/>
    <w:rsid w:val="00381102"/>
    <w:rsid w:val="00381161"/>
    <w:rsid w:val="003821A0"/>
    <w:rsid w:val="00384E18"/>
    <w:rsid w:val="003A0212"/>
    <w:rsid w:val="003A0B4E"/>
    <w:rsid w:val="003A7DE4"/>
    <w:rsid w:val="003B027E"/>
    <w:rsid w:val="003B3258"/>
    <w:rsid w:val="003B435E"/>
    <w:rsid w:val="003D227C"/>
    <w:rsid w:val="003D2B4D"/>
    <w:rsid w:val="003D4BA0"/>
    <w:rsid w:val="003D54D5"/>
    <w:rsid w:val="003D5873"/>
    <w:rsid w:val="003E00E4"/>
    <w:rsid w:val="003E1C24"/>
    <w:rsid w:val="003E24A1"/>
    <w:rsid w:val="003E4CA3"/>
    <w:rsid w:val="003E7E58"/>
    <w:rsid w:val="00403D56"/>
    <w:rsid w:val="00406356"/>
    <w:rsid w:val="00420F50"/>
    <w:rsid w:val="00423762"/>
    <w:rsid w:val="004310B2"/>
    <w:rsid w:val="0043571A"/>
    <w:rsid w:val="0044051F"/>
    <w:rsid w:val="0044135C"/>
    <w:rsid w:val="00444A88"/>
    <w:rsid w:val="00445188"/>
    <w:rsid w:val="00445C1E"/>
    <w:rsid w:val="00451574"/>
    <w:rsid w:val="004550A1"/>
    <w:rsid w:val="004552E5"/>
    <w:rsid w:val="00456626"/>
    <w:rsid w:val="00457DC9"/>
    <w:rsid w:val="00472F4E"/>
    <w:rsid w:val="00474DA4"/>
    <w:rsid w:val="00476B4D"/>
    <w:rsid w:val="004805FA"/>
    <w:rsid w:val="00482BCB"/>
    <w:rsid w:val="00483F49"/>
    <w:rsid w:val="00494045"/>
    <w:rsid w:val="004943F2"/>
    <w:rsid w:val="00494CA3"/>
    <w:rsid w:val="004A2DA0"/>
    <w:rsid w:val="004A564B"/>
    <w:rsid w:val="004A5BAE"/>
    <w:rsid w:val="004B156F"/>
    <w:rsid w:val="004C00DB"/>
    <w:rsid w:val="004C30E2"/>
    <w:rsid w:val="004D047D"/>
    <w:rsid w:val="004D4750"/>
    <w:rsid w:val="004E4D85"/>
    <w:rsid w:val="004F1F27"/>
    <w:rsid w:val="004F305A"/>
    <w:rsid w:val="00500B9A"/>
    <w:rsid w:val="00501C91"/>
    <w:rsid w:val="00504662"/>
    <w:rsid w:val="00512164"/>
    <w:rsid w:val="00520297"/>
    <w:rsid w:val="00522FE7"/>
    <w:rsid w:val="00524276"/>
    <w:rsid w:val="005338F9"/>
    <w:rsid w:val="00537DDF"/>
    <w:rsid w:val="0054281C"/>
    <w:rsid w:val="00543C85"/>
    <w:rsid w:val="0055268D"/>
    <w:rsid w:val="00552861"/>
    <w:rsid w:val="0056212E"/>
    <w:rsid w:val="005677C4"/>
    <w:rsid w:val="00572D60"/>
    <w:rsid w:val="00576BE4"/>
    <w:rsid w:val="00576FBC"/>
    <w:rsid w:val="00580E99"/>
    <w:rsid w:val="00580F58"/>
    <w:rsid w:val="00581A78"/>
    <w:rsid w:val="00582EE2"/>
    <w:rsid w:val="00584532"/>
    <w:rsid w:val="00586463"/>
    <w:rsid w:val="005966EE"/>
    <w:rsid w:val="005A400A"/>
    <w:rsid w:val="005A605F"/>
    <w:rsid w:val="005D66A5"/>
    <w:rsid w:val="005E2477"/>
    <w:rsid w:val="005E27B6"/>
    <w:rsid w:val="005F05B6"/>
    <w:rsid w:val="005F2C30"/>
    <w:rsid w:val="005F385A"/>
    <w:rsid w:val="0060462D"/>
    <w:rsid w:val="00612379"/>
    <w:rsid w:val="006131EC"/>
    <w:rsid w:val="0061555F"/>
    <w:rsid w:val="00621C0E"/>
    <w:rsid w:val="00624019"/>
    <w:rsid w:val="0062476F"/>
    <w:rsid w:val="006304EE"/>
    <w:rsid w:val="00632C1F"/>
    <w:rsid w:val="00641017"/>
    <w:rsid w:val="0064102C"/>
    <w:rsid w:val="00641200"/>
    <w:rsid w:val="0064276D"/>
    <w:rsid w:val="00644FD6"/>
    <w:rsid w:val="00645124"/>
    <w:rsid w:val="00646C7D"/>
    <w:rsid w:val="00647749"/>
    <w:rsid w:val="006521C0"/>
    <w:rsid w:val="00656665"/>
    <w:rsid w:val="0065781E"/>
    <w:rsid w:val="00657DE2"/>
    <w:rsid w:val="006655D3"/>
    <w:rsid w:val="00671A52"/>
    <w:rsid w:val="00674093"/>
    <w:rsid w:val="00674F79"/>
    <w:rsid w:val="00676455"/>
    <w:rsid w:val="00677241"/>
    <w:rsid w:val="006777EF"/>
    <w:rsid w:val="006847C8"/>
    <w:rsid w:val="00686582"/>
    <w:rsid w:val="00687EB4"/>
    <w:rsid w:val="00691A9A"/>
    <w:rsid w:val="006941F7"/>
    <w:rsid w:val="00694BE3"/>
    <w:rsid w:val="0069668B"/>
    <w:rsid w:val="006B007A"/>
    <w:rsid w:val="006B17D2"/>
    <w:rsid w:val="006B4BD0"/>
    <w:rsid w:val="006B7CF6"/>
    <w:rsid w:val="006C224E"/>
    <w:rsid w:val="006C4C00"/>
    <w:rsid w:val="006D4686"/>
    <w:rsid w:val="006D4692"/>
    <w:rsid w:val="006D780A"/>
    <w:rsid w:val="006E3A97"/>
    <w:rsid w:val="006E3C44"/>
    <w:rsid w:val="006E4913"/>
    <w:rsid w:val="006E5781"/>
    <w:rsid w:val="006F55C4"/>
    <w:rsid w:val="006F67E1"/>
    <w:rsid w:val="00700ABF"/>
    <w:rsid w:val="007113FE"/>
    <w:rsid w:val="00713C86"/>
    <w:rsid w:val="00722BA8"/>
    <w:rsid w:val="00732DEC"/>
    <w:rsid w:val="00735BD5"/>
    <w:rsid w:val="00744B92"/>
    <w:rsid w:val="007556F6"/>
    <w:rsid w:val="0076044E"/>
    <w:rsid w:val="00760EEF"/>
    <w:rsid w:val="0076106B"/>
    <w:rsid w:val="007772DF"/>
    <w:rsid w:val="00777956"/>
    <w:rsid w:val="00777EE5"/>
    <w:rsid w:val="00780F3A"/>
    <w:rsid w:val="007811C0"/>
    <w:rsid w:val="007812D8"/>
    <w:rsid w:val="00783D10"/>
    <w:rsid w:val="00784836"/>
    <w:rsid w:val="00784E02"/>
    <w:rsid w:val="0079023E"/>
    <w:rsid w:val="00797A76"/>
    <w:rsid w:val="007A1E0E"/>
    <w:rsid w:val="007A2854"/>
    <w:rsid w:val="007A2E2F"/>
    <w:rsid w:val="007A3C0F"/>
    <w:rsid w:val="007A54DE"/>
    <w:rsid w:val="007D0B9D"/>
    <w:rsid w:val="007D19B0"/>
    <w:rsid w:val="007D2474"/>
    <w:rsid w:val="007E197C"/>
    <w:rsid w:val="007E563F"/>
    <w:rsid w:val="007E7588"/>
    <w:rsid w:val="007F46FB"/>
    <w:rsid w:val="007F498F"/>
    <w:rsid w:val="00804596"/>
    <w:rsid w:val="00805055"/>
    <w:rsid w:val="0080679D"/>
    <w:rsid w:val="008108B0"/>
    <w:rsid w:val="00811B20"/>
    <w:rsid w:val="00814EF9"/>
    <w:rsid w:val="008157B2"/>
    <w:rsid w:val="00817F66"/>
    <w:rsid w:val="0082296E"/>
    <w:rsid w:val="00823652"/>
    <w:rsid w:val="00824099"/>
    <w:rsid w:val="00826027"/>
    <w:rsid w:val="00827A72"/>
    <w:rsid w:val="008364E0"/>
    <w:rsid w:val="0083795D"/>
    <w:rsid w:val="00840A65"/>
    <w:rsid w:val="0085076A"/>
    <w:rsid w:val="00852307"/>
    <w:rsid w:val="00856731"/>
    <w:rsid w:val="00857F4F"/>
    <w:rsid w:val="00860D33"/>
    <w:rsid w:val="008633C4"/>
    <w:rsid w:val="0086442B"/>
    <w:rsid w:val="00866F5B"/>
    <w:rsid w:val="00867AC1"/>
    <w:rsid w:val="0087038C"/>
    <w:rsid w:val="008810C9"/>
    <w:rsid w:val="00883D93"/>
    <w:rsid w:val="008922C9"/>
    <w:rsid w:val="00895017"/>
    <w:rsid w:val="00896810"/>
    <w:rsid w:val="008A170E"/>
    <w:rsid w:val="008A34BC"/>
    <w:rsid w:val="008A4DF1"/>
    <w:rsid w:val="008A5258"/>
    <w:rsid w:val="008A743F"/>
    <w:rsid w:val="008B64FB"/>
    <w:rsid w:val="008B75DB"/>
    <w:rsid w:val="008C0970"/>
    <w:rsid w:val="008C43CA"/>
    <w:rsid w:val="008C59AE"/>
    <w:rsid w:val="008C5A23"/>
    <w:rsid w:val="008C77DD"/>
    <w:rsid w:val="008D07A0"/>
    <w:rsid w:val="008D14E8"/>
    <w:rsid w:val="008D2CF7"/>
    <w:rsid w:val="008D3DE1"/>
    <w:rsid w:val="008D6917"/>
    <w:rsid w:val="008E1599"/>
    <w:rsid w:val="008F0487"/>
    <w:rsid w:val="008F322E"/>
    <w:rsid w:val="008F4EE1"/>
    <w:rsid w:val="00900C26"/>
    <w:rsid w:val="0090197F"/>
    <w:rsid w:val="00901A3F"/>
    <w:rsid w:val="00905CC6"/>
    <w:rsid w:val="00906DDC"/>
    <w:rsid w:val="00907318"/>
    <w:rsid w:val="0091205B"/>
    <w:rsid w:val="009146DE"/>
    <w:rsid w:val="00915498"/>
    <w:rsid w:val="00916272"/>
    <w:rsid w:val="0092080C"/>
    <w:rsid w:val="00923507"/>
    <w:rsid w:val="00924B07"/>
    <w:rsid w:val="0093152F"/>
    <w:rsid w:val="00932F4A"/>
    <w:rsid w:val="00934E09"/>
    <w:rsid w:val="00936253"/>
    <w:rsid w:val="009362C5"/>
    <w:rsid w:val="00944D7B"/>
    <w:rsid w:val="00946283"/>
    <w:rsid w:val="00947E51"/>
    <w:rsid w:val="00951B26"/>
    <w:rsid w:val="00952DD4"/>
    <w:rsid w:val="009609FF"/>
    <w:rsid w:val="0096342F"/>
    <w:rsid w:val="00964611"/>
    <w:rsid w:val="0096477D"/>
    <w:rsid w:val="00970FED"/>
    <w:rsid w:val="00971630"/>
    <w:rsid w:val="009728E1"/>
    <w:rsid w:val="00973275"/>
    <w:rsid w:val="00973CBA"/>
    <w:rsid w:val="00984926"/>
    <w:rsid w:val="00984F7B"/>
    <w:rsid w:val="00986A34"/>
    <w:rsid w:val="00993CE3"/>
    <w:rsid w:val="00995131"/>
    <w:rsid w:val="00997029"/>
    <w:rsid w:val="009A2D8D"/>
    <w:rsid w:val="009B49EB"/>
    <w:rsid w:val="009D0931"/>
    <w:rsid w:val="009D38DC"/>
    <w:rsid w:val="009D690D"/>
    <w:rsid w:val="009E22C7"/>
    <w:rsid w:val="009E65B6"/>
    <w:rsid w:val="009F0D5B"/>
    <w:rsid w:val="009F2C4A"/>
    <w:rsid w:val="009F3920"/>
    <w:rsid w:val="009F4313"/>
    <w:rsid w:val="009F6B3C"/>
    <w:rsid w:val="00A0456E"/>
    <w:rsid w:val="00A07DBE"/>
    <w:rsid w:val="00A125C8"/>
    <w:rsid w:val="00A14082"/>
    <w:rsid w:val="00A24B8E"/>
    <w:rsid w:val="00A26568"/>
    <w:rsid w:val="00A42666"/>
    <w:rsid w:val="00A42AC3"/>
    <w:rsid w:val="00A430CF"/>
    <w:rsid w:val="00A518B7"/>
    <w:rsid w:val="00A54309"/>
    <w:rsid w:val="00A631A8"/>
    <w:rsid w:val="00A647FE"/>
    <w:rsid w:val="00A750FD"/>
    <w:rsid w:val="00A75746"/>
    <w:rsid w:val="00A76776"/>
    <w:rsid w:val="00A77192"/>
    <w:rsid w:val="00A925F9"/>
    <w:rsid w:val="00A92668"/>
    <w:rsid w:val="00A92D6A"/>
    <w:rsid w:val="00A95BAF"/>
    <w:rsid w:val="00AA160E"/>
    <w:rsid w:val="00AB0DB3"/>
    <w:rsid w:val="00AB2B93"/>
    <w:rsid w:val="00AB3A2D"/>
    <w:rsid w:val="00AB3E7A"/>
    <w:rsid w:val="00AB3EDA"/>
    <w:rsid w:val="00AB4CCF"/>
    <w:rsid w:val="00AB5028"/>
    <w:rsid w:val="00AB56AD"/>
    <w:rsid w:val="00AB70E1"/>
    <w:rsid w:val="00AB7E5B"/>
    <w:rsid w:val="00AC57D1"/>
    <w:rsid w:val="00AC5845"/>
    <w:rsid w:val="00AD4B61"/>
    <w:rsid w:val="00AD789A"/>
    <w:rsid w:val="00AE0EF1"/>
    <w:rsid w:val="00AE22C4"/>
    <w:rsid w:val="00AE2937"/>
    <w:rsid w:val="00AE3273"/>
    <w:rsid w:val="00AE3B95"/>
    <w:rsid w:val="00AF01FB"/>
    <w:rsid w:val="00AF06A8"/>
    <w:rsid w:val="00AF428C"/>
    <w:rsid w:val="00AF5ED0"/>
    <w:rsid w:val="00B06FD1"/>
    <w:rsid w:val="00B07301"/>
    <w:rsid w:val="00B1160E"/>
    <w:rsid w:val="00B20179"/>
    <w:rsid w:val="00B21E53"/>
    <w:rsid w:val="00B224DE"/>
    <w:rsid w:val="00B2678C"/>
    <w:rsid w:val="00B26D2A"/>
    <w:rsid w:val="00B42823"/>
    <w:rsid w:val="00B43A23"/>
    <w:rsid w:val="00B46575"/>
    <w:rsid w:val="00B5264F"/>
    <w:rsid w:val="00B600FE"/>
    <w:rsid w:val="00B6238F"/>
    <w:rsid w:val="00B6263B"/>
    <w:rsid w:val="00B84148"/>
    <w:rsid w:val="00B84BBD"/>
    <w:rsid w:val="00B95EE4"/>
    <w:rsid w:val="00B9606E"/>
    <w:rsid w:val="00BA31A1"/>
    <w:rsid w:val="00BA43FB"/>
    <w:rsid w:val="00BA446E"/>
    <w:rsid w:val="00BA6BD5"/>
    <w:rsid w:val="00BC127D"/>
    <w:rsid w:val="00BC1FE6"/>
    <w:rsid w:val="00BC5A2B"/>
    <w:rsid w:val="00BD288D"/>
    <w:rsid w:val="00BD4C45"/>
    <w:rsid w:val="00BE2221"/>
    <w:rsid w:val="00BE3D62"/>
    <w:rsid w:val="00BE3F1F"/>
    <w:rsid w:val="00BE4D76"/>
    <w:rsid w:val="00BE4EF2"/>
    <w:rsid w:val="00BE5325"/>
    <w:rsid w:val="00BF0CCC"/>
    <w:rsid w:val="00BF7754"/>
    <w:rsid w:val="00C00575"/>
    <w:rsid w:val="00C02E35"/>
    <w:rsid w:val="00C05F97"/>
    <w:rsid w:val="00C061B6"/>
    <w:rsid w:val="00C13749"/>
    <w:rsid w:val="00C2446C"/>
    <w:rsid w:val="00C323D0"/>
    <w:rsid w:val="00C3548A"/>
    <w:rsid w:val="00C36AE5"/>
    <w:rsid w:val="00C37908"/>
    <w:rsid w:val="00C415D7"/>
    <w:rsid w:val="00C41F17"/>
    <w:rsid w:val="00C46CD9"/>
    <w:rsid w:val="00C51D44"/>
    <w:rsid w:val="00C5280D"/>
    <w:rsid w:val="00C5337B"/>
    <w:rsid w:val="00C5791C"/>
    <w:rsid w:val="00C65583"/>
    <w:rsid w:val="00C66290"/>
    <w:rsid w:val="00C676CA"/>
    <w:rsid w:val="00C72B7A"/>
    <w:rsid w:val="00C73A71"/>
    <w:rsid w:val="00C77C32"/>
    <w:rsid w:val="00C81327"/>
    <w:rsid w:val="00C81842"/>
    <w:rsid w:val="00C81C3D"/>
    <w:rsid w:val="00C96814"/>
    <w:rsid w:val="00C973F2"/>
    <w:rsid w:val="00CA22EB"/>
    <w:rsid w:val="00CA304C"/>
    <w:rsid w:val="00CA774A"/>
    <w:rsid w:val="00CB1354"/>
    <w:rsid w:val="00CB57C2"/>
    <w:rsid w:val="00CB79FE"/>
    <w:rsid w:val="00CC0333"/>
    <w:rsid w:val="00CC11B0"/>
    <w:rsid w:val="00CC2E20"/>
    <w:rsid w:val="00CC51D2"/>
    <w:rsid w:val="00CD1382"/>
    <w:rsid w:val="00CD7B1A"/>
    <w:rsid w:val="00CE4128"/>
    <w:rsid w:val="00CF7E36"/>
    <w:rsid w:val="00D01647"/>
    <w:rsid w:val="00D06C97"/>
    <w:rsid w:val="00D1239D"/>
    <w:rsid w:val="00D23CC9"/>
    <w:rsid w:val="00D30F83"/>
    <w:rsid w:val="00D35D5C"/>
    <w:rsid w:val="00D36D2E"/>
    <w:rsid w:val="00D3708D"/>
    <w:rsid w:val="00D40426"/>
    <w:rsid w:val="00D477B4"/>
    <w:rsid w:val="00D527D3"/>
    <w:rsid w:val="00D55FD2"/>
    <w:rsid w:val="00D57C96"/>
    <w:rsid w:val="00D57FA0"/>
    <w:rsid w:val="00D6061A"/>
    <w:rsid w:val="00D70948"/>
    <w:rsid w:val="00D769D1"/>
    <w:rsid w:val="00D77A63"/>
    <w:rsid w:val="00D8383E"/>
    <w:rsid w:val="00D91203"/>
    <w:rsid w:val="00D91259"/>
    <w:rsid w:val="00D93BFC"/>
    <w:rsid w:val="00D94FFB"/>
    <w:rsid w:val="00D95174"/>
    <w:rsid w:val="00DA3175"/>
    <w:rsid w:val="00DA6F36"/>
    <w:rsid w:val="00DB596E"/>
    <w:rsid w:val="00DC00EA"/>
    <w:rsid w:val="00DD1507"/>
    <w:rsid w:val="00DD2EF9"/>
    <w:rsid w:val="00DD5008"/>
    <w:rsid w:val="00DE0EFA"/>
    <w:rsid w:val="00DF246E"/>
    <w:rsid w:val="00E01E8D"/>
    <w:rsid w:val="00E03AB8"/>
    <w:rsid w:val="00E05197"/>
    <w:rsid w:val="00E17D0A"/>
    <w:rsid w:val="00E306B7"/>
    <w:rsid w:val="00E32F7E"/>
    <w:rsid w:val="00E3312D"/>
    <w:rsid w:val="00E432B4"/>
    <w:rsid w:val="00E44B9D"/>
    <w:rsid w:val="00E50064"/>
    <w:rsid w:val="00E5324E"/>
    <w:rsid w:val="00E56601"/>
    <w:rsid w:val="00E60900"/>
    <w:rsid w:val="00E71BFC"/>
    <w:rsid w:val="00E72D49"/>
    <w:rsid w:val="00E74DED"/>
    <w:rsid w:val="00E7593C"/>
    <w:rsid w:val="00E7678A"/>
    <w:rsid w:val="00E767C2"/>
    <w:rsid w:val="00E80C98"/>
    <w:rsid w:val="00E83DC6"/>
    <w:rsid w:val="00E91AF0"/>
    <w:rsid w:val="00E9315E"/>
    <w:rsid w:val="00E935F1"/>
    <w:rsid w:val="00E940BC"/>
    <w:rsid w:val="00E94A81"/>
    <w:rsid w:val="00E97774"/>
    <w:rsid w:val="00EA1FFB"/>
    <w:rsid w:val="00EA2A80"/>
    <w:rsid w:val="00EA695A"/>
    <w:rsid w:val="00EA7607"/>
    <w:rsid w:val="00EB048E"/>
    <w:rsid w:val="00EC4EC6"/>
    <w:rsid w:val="00EC75D8"/>
    <w:rsid w:val="00ED17CB"/>
    <w:rsid w:val="00ED261D"/>
    <w:rsid w:val="00ED3946"/>
    <w:rsid w:val="00EE04DD"/>
    <w:rsid w:val="00EE34DF"/>
    <w:rsid w:val="00EE55F6"/>
    <w:rsid w:val="00EF2AC6"/>
    <w:rsid w:val="00EF2F89"/>
    <w:rsid w:val="00EF302E"/>
    <w:rsid w:val="00EF30A6"/>
    <w:rsid w:val="00EF7C50"/>
    <w:rsid w:val="00F02927"/>
    <w:rsid w:val="00F04433"/>
    <w:rsid w:val="00F05B58"/>
    <w:rsid w:val="00F1237A"/>
    <w:rsid w:val="00F14677"/>
    <w:rsid w:val="00F2061E"/>
    <w:rsid w:val="00F20B1F"/>
    <w:rsid w:val="00F22CBD"/>
    <w:rsid w:val="00F2539C"/>
    <w:rsid w:val="00F32006"/>
    <w:rsid w:val="00F33D27"/>
    <w:rsid w:val="00F341B8"/>
    <w:rsid w:val="00F40E8E"/>
    <w:rsid w:val="00F45372"/>
    <w:rsid w:val="00F560F7"/>
    <w:rsid w:val="00F6334D"/>
    <w:rsid w:val="00F64538"/>
    <w:rsid w:val="00F760C4"/>
    <w:rsid w:val="00F7780C"/>
    <w:rsid w:val="00F84B7F"/>
    <w:rsid w:val="00F85794"/>
    <w:rsid w:val="00F871FD"/>
    <w:rsid w:val="00F94398"/>
    <w:rsid w:val="00F97ECC"/>
    <w:rsid w:val="00FA067D"/>
    <w:rsid w:val="00FA291B"/>
    <w:rsid w:val="00FA49AB"/>
    <w:rsid w:val="00FA4BDE"/>
    <w:rsid w:val="00FA7C0B"/>
    <w:rsid w:val="00FB274F"/>
    <w:rsid w:val="00FB4D39"/>
    <w:rsid w:val="00FC26DB"/>
    <w:rsid w:val="00FC533A"/>
    <w:rsid w:val="00FC6EEB"/>
    <w:rsid w:val="00FC7507"/>
    <w:rsid w:val="00FC7E92"/>
    <w:rsid w:val="00FE39C7"/>
    <w:rsid w:val="00FE4EA5"/>
    <w:rsid w:val="00FE5D28"/>
    <w:rsid w:val="00FE7119"/>
    <w:rsid w:val="00FE7AE9"/>
    <w:rsid w:val="00FF2E29"/>
    <w:rsid w:val="00FF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00D9AB6"/>
  <w15:docId w15:val="{28B4D3AD-B7B3-4EAC-BD13-C33FF295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62D"/>
    <w:pPr>
      <w:jc w:val="both"/>
    </w:pPr>
    <w:rPr>
      <w:rFonts w:ascii="Arial" w:hAnsi="Arial"/>
      <w:lang w:val="fr-FR"/>
    </w:rPr>
  </w:style>
  <w:style w:type="paragraph" w:styleId="Heading1">
    <w:name w:val="heading 1"/>
    <w:next w:val="Normal"/>
    <w:autoRedefine/>
    <w:qFormat/>
    <w:rsid w:val="00277A4C"/>
    <w:pPr>
      <w:keepNext/>
      <w:spacing w:after="360"/>
      <w:jc w:val="both"/>
      <w:outlineLvl w:val="0"/>
    </w:pPr>
    <w:rPr>
      <w:rFonts w:ascii="Arial Bold" w:hAnsi="Arial Bold"/>
      <w:b/>
      <w:caps/>
    </w:rPr>
  </w:style>
  <w:style w:type="paragraph" w:styleId="Heading2">
    <w:name w:val="heading 2"/>
    <w:next w:val="Normal"/>
    <w:link w:val="Heading2Char"/>
    <w:autoRedefine/>
    <w:qFormat/>
    <w:rsid w:val="00FE5D28"/>
    <w:pPr>
      <w:keepNext/>
      <w:spacing w:after="240"/>
      <w:jc w:val="both"/>
      <w:outlineLvl w:val="1"/>
    </w:pPr>
    <w:rPr>
      <w:rFonts w:ascii="Arial" w:hAnsi="Arial"/>
      <w:b/>
    </w:rPr>
  </w:style>
  <w:style w:type="paragraph" w:styleId="Heading3">
    <w:name w:val="heading 3"/>
    <w:next w:val="Normal"/>
    <w:qFormat/>
    <w:rsid w:val="00C323D0"/>
    <w:pPr>
      <w:keepNext/>
      <w:spacing w:after="240"/>
      <w:jc w:val="both"/>
      <w:outlineLvl w:val="2"/>
    </w:pPr>
    <w:rPr>
      <w:rFonts w:ascii="Arial" w:hAnsi="Arial"/>
      <w:u w:val="single"/>
    </w:rPr>
  </w:style>
  <w:style w:type="paragraph" w:styleId="Heading4">
    <w:name w:val="heading 4"/>
    <w:next w:val="Normal"/>
    <w:autoRedefine/>
    <w:qFormat/>
    <w:rsid w:val="00FB4D39"/>
    <w:pPr>
      <w:keepNext/>
      <w:spacing w:after="240"/>
      <w:jc w:val="both"/>
      <w:outlineLvl w:val="3"/>
    </w:pPr>
    <w:rPr>
      <w:rFonts w:ascii="Arial" w:hAnsi="Arial"/>
      <w:i/>
      <w:lang w:val="fr-FR"/>
    </w:rPr>
  </w:style>
  <w:style w:type="paragraph" w:styleId="Heading5">
    <w:name w:val="heading 5"/>
    <w:next w:val="Normal"/>
    <w:autoRedefine/>
    <w:rsid w:val="00BE3D62"/>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A647FE"/>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AB0DB3"/>
    <w:pPr>
      <w:keepNext/>
      <w:spacing w:before="60" w:after="60"/>
      <w:outlineLvl w:val="6"/>
    </w:pPr>
  </w:style>
  <w:style w:type="paragraph" w:styleId="Heading8">
    <w:name w:val="heading 8"/>
    <w:basedOn w:val="Normal"/>
    <w:next w:val="Normal"/>
    <w:link w:val="Heading8Char"/>
    <w:autoRedefine/>
    <w:qFormat/>
    <w:rsid w:val="00A647FE"/>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8A170E"/>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21C0E"/>
    <w:pPr>
      <w:jc w:val="center"/>
    </w:pPr>
    <w:rPr>
      <w:rFonts w:ascii="Arial" w:hAnsi="Arial"/>
      <w:lang w:val="fr-FR"/>
    </w:rPr>
  </w:style>
  <w:style w:type="paragraph" w:styleId="Footer">
    <w:name w:val="footer"/>
    <w:aliases w:val="doc_path_name"/>
    <w:autoRedefine/>
    <w:rsid w:val="008A170E"/>
    <w:pPr>
      <w:jc w:val="both"/>
    </w:pPr>
    <w:rPr>
      <w:rFonts w:ascii="Arial" w:hAnsi="Arial"/>
      <w:sz w:val="14"/>
    </w:rPr>
  </w:style>
  <w:style w:type="character" w:styleId="PageNumber">
    <w:name w:val="page number"/>
    <w:basedOn w:val="DefaultParagraphFont"/>
    <w:rsid w:val="008A170E"/>
    <w:rPr>
      <w:rFonts w:ascii="Arial" w:hAnsi="Arial"/>
      <w:sz w:val="20"/>
    </w:rPr>
  </w:style>
  <w:style w:type="paragraph" w:styleId="Title">
    <w:name w:val="Title"/>
    <w:basedOn w:val="Normal"/>
    <w:qFormat/>
    <w:rsid w:val="008A170E"/>
    <w:pPr>
      <w:spacing w:after="300"/>
      <w:jc w:val="center"/>
    </w:pPr>
    <w:rPr>
      <w:b/>
      <w:caps/>
      <w:kern w:val="28"/>
      <w:sz w:val="30"/>
    </w:rPr>
  </w:style>
  <w:style w:type="paragraph" w:customStyle="1" w:styleId="preparedby">
    <w:name w:val="preparedby"/>
    <w:basedOn w:val="Normal"/>
    <w:next w:val="Normal"/>
    <w:semiHidden/>
    <w:rsid w:val="00784E02"/>
    <w:pPr>
      <w:spacing w:after="600"/>
      <w:jc w:val="center"/>
    </w:pPr>
    <w:rPr>
      <w:i/>
    </w:rPr>
  </w:style>
  <w:style w:type="paragraph" w:customStyle="1" w:styleId="Docoriginal">
    <w:name w:val="Doc_original"/>
    <w:basedOn w:val="Code"/>
    <w:link w:val="DocoriginalChar"/>
    <w:rsid w:val="00784E02"/>
    <w:pPr>
      <w:spacing w:before="240" w:line="240" w:lineRule="exact"/>
      <w:ind w:left="0"/>
      <w:contextualSpacing/>
      <w:jc w:val="left"/>
    </w:pPr>
    <w:rPr>
      <w:sz w:val="18"/>
    </w:rPr>
  </w:style>
  <w:style w:type="paragraph" w:customStyle="1" w:styleId="DecisionParagraphs">
    <w:name w:val="DecisionParagraphs"/>
    <w:basedOn w:val="Normal"/>
    <w:rsid w:val="008A170E"/>
    <w:pPr>
      <w:tabs>
        <w:tab w:val="left" w:pos="5387"/>
      </w:tabs>
      <w:ind w:left="4820"/>
    </w:pPr>
    <w:rPr>
      <w:i/>
    </w:rPr>
  </w:style>
  <w:style w:type="paragraph" w:styleId="FootnoteText">
    <w:name w:val="footnote text"/>
    <w:autoRedefine/>
    <w:rsid w:val="00AB502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8A170E"/>
    <w:rPr>
      <w:vertAlign w:val="superscript"/>
    </w:rPr>
  </w:style>
  <w:style w:type="paragraph" w:styleId="Closing">
    <w:name w:val="Closing"/>
    <w:basedOn w:val="Normal"/>
    <w:rsid w:val="008A170E"/>
    <w:pPr>
      <w:ind w:left="4536"/>
      <w:jc w:val="center"/>
    </w:pPr>
  </w:style>
  <w:style w:type="paragraph" w:styleId="Index1">
    <w:name w:val="index 1"/>
    <w:basedOn w:val="Normal"/>
    <w:next w:val="Normal"/>
    <w:semiHidden/>
    <w:rsid w:val="008A170E"/>
    <w:pPr>
      <w:tabs>
        <w:tab w:val="right" w:leader="dot" w:pos="9071"/>
      </w:tabs>
      <w:ind w:left="284" w:hanging="284"/>
    </w:pPr>
    <w:rPr>
      <w:sz w:val="24"/>
    </w:rPr>
  </w:style>
  <w:style w:type="paragraph" w:styleId="Index2">
    <w:name w:val="index 2"/>
    <w:basedOn w:val="Normal"/>
    <w:next w:val="Normal"/>
    <w:semiHidden/>
    <w:rsid w:val="008A170E"/>
    <w:pPr>
      <w:tabs>
        <w:tab w:val="right" w:leader="dot" w:pos="9071"/>
      </w:tabs>
      <w:ind w:left="568" w:hanging="284"/>
    </w:pPr>
    <w:rPr>
      <w:sz w:val="24"/>
    </w:rPr>
  </w:style>
  <w:style w:type="paragraph" w:styleId="Index3">
    <w:name w:val="index 3"/>
    <w:basedOn w:val="Normal"/>
    <w:next w:val="Normal"/>
    <w:semiHidden/>
    <w:rsid w:val="008A170E"/>
    <w:pPr>
      <w:tabs>
        <w:tab w:val="right" w:leader="dot" w:pos="9071"/>
      </w:tabs>
      <w:ind w:left="851" w:hanging="284"/>
    </w:pPr>
    <w:rPr>
      <w:sz w:val="24"/>
    </w:rPr>
  </w:style>
  <w:style w:type="paragraph" w:styleId="MacroText">
    <w:name w:val="macro"/>
    <w:semiHidden/>
    <w:rsid w:val="008A17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A170E"/>
    <w:pPr>
      <w:ind w:left="4536"/>
      <w:jc w:val="center"/>
    </w:pPr>
  </w:style>
  <w:style w:type="character" w:customStyle="1" w:styleId="Doclang">
    <w:name w:val="Doc_lang"/>
    <w:basedOn w:val="DefaultParagraphFont"/>
    <w:rsid w:val="008A170E"/>
    <w:rPr>
      <w:rFonts w:ascii="Arial" w:hAnsi="Arial"/>
      <w:sz w:val="20"/>
      <w:lang w:val="en-US"/>
    </w:rPr>
  </w:style>
  <w:style w:type="paragraph" w:customStyle="1" w:styleId="Session">
    <w:name w:val="Session"/>
    <w:basedOn w:val="Normal"/>
    <w:rsid w:val="00784E02"/>
    <w:pPr>
      <w:spacing w:before="60"/>
      <w:jc w:val="center"/>
    </w:pPr>
    <w:rPr>
      <w:b/>
    </w:rPr>
  </w:style>
  <w:style w:type="paragraph" w:customStyle="1" w:styleId="Organizer">
    <w:name w:val="Organizer"/>
    <w:basedOn w:val="Normal"/>
    <w:rsid w:val="008A170E"/>
    <w:pPr>
      <w:spacing w:after="600"/>
      <w:ind w:left="-993" w:right="-994"/>
      <w:jc w:val="center"/>
    </w:pPr>
    <w:rPr>
      <w:b/>
      <w:caps/>
      <w:kern w:val="26"/>
      <w:sz w:val="26"/>
    </w:rPr>
  </w:style>
  <w:style w:type="paragraph" w:styleId="BodyText">
    <w:name w:val="Body Text"/>
    <w:basedOn w:val="Normal"/>
    <w:rsid w:val="008A170E"/>
  </w:style>
  <w:style w:type="paragraph" w:customStyle="1" w:styleId="StyleDocoriginalNotBold">
    <w:name w:val="Style Doc_original + Not Bold"/>
    <w:basedOn w:val="Docoriginal"/>
    <w:link w:val="StyleDocoriginalNotBoldChar"/>
    <w:autoRedefine/>
    <w:rsid w:val="008A170E"/>
    <w:pPr>
      <w:ind w:left="1589"/>
    </w:pPr>
  </w:style>
  <w:style w:type="paragraph" w:customStyle="1" w:styleId="upove">
    <w:name w:val="upov_e"/>
    <w:basedOn w:val="Normal"/>
    <w:rsid w:val="00784E02"/>
    <w:pPr>
      <w:spacing w:before="120"/>
    </w:pPr>
    <w:rPr>
      <w:sz w:val="16"/>
    </w:rPr>
  </w:style>
  <w:style w:type="paragraph" w:customStyle="1" w:styleId="TitleofDoc">
    <w:name w:val="Title of Doc"/>
    <w:basedOn w:val="Normal"/>
    <w:link w:val="TitleofDocChar"/>
    <w:rsid w:val="00EC4EC6"/>
    <w:pPr>
      <w:jc w:val="left"/>
    </w:pPr>
  </w:style>
  <w:style w:type="paragraph" w:customStyle="1" w:styleId="preparedby0">
    <w:name w:val="prepared by"/>
    <w:basedOn w:val="Normal"/>
    <w:rsid w:val="00784E02"/>
    <w:pPr>
      <w:spacing w:before="600" w:after="600"/>
      <w:jc w:val="center"/>
    </w:pPr>
    <w:rPr>
      <w:i/>
    </w:rPr>
  </w:style>
  <w:style w:type="paragraph" w:customStyle="1" w:styleId="PlaceAndDate">
    <w:name w:val="PlaceAndDate"/>
    <w:basedOn w:val="Session"/>
    <w:rsid w:val="00784E02"/>
  </w:style>
  <w:style w:type="paragraph" w:styleId="EndnoteText">
    <w:name w:val="endnote text"/>
    <w:basedOn w:val="Normal"/>
    <w:link w:val="EndnoteTextChar"/>
    <w:semiHidden/>
    <w:rsid w:val="008A170E"/>
  </w:style>
  <w:style w:type="character" w:styleId="EndnoteReference">
    <w:name w:val="endnote reference"/>
    <w:basedOn w:val="DefaultParagraphFont"/>
    <w:semiHidden/>
    <w:rsid w:val="008A170E"/>
    <w:rPr>
      <w:vertAlign w:val="superscript"/>
    </w:rPr>
  </w:style>
  <w:style w:type="paragraph" w:customStyle="1" w:styleId="SessionMeetingPlace">
    <w:name w:val="Session_MeetingPlace"/>
    <w:basedOn w:val="Normal"/>
    <w:semiHidden/>
    <w:rsid w:val="00784E02"/>
    <w:pPr>
      <w:spacing w:before="480"/>
      <w:jc w:val="center"/>
    </w:pPr>
    <w:rPr>
      <w:b/>
      <w:bCs/>
      <w:kern w:val="28"/>
      <w:sz w:val="24"/>
    </w:rPr>
  </w:style>
  <w:style w:type="paragraph" w:customStyle="1" w:styleId="Original">
    <w:name w:val="Original"/>
    <w:basedOn w:val="Normal"/>
    <w:rsid w:val="00784E02"/>
    <w:pPr>
      <w:spacing w:before="60"/>
      <w:ind w:left="1276"/>
    </w:pPr>
    <w:rPr>
      <w:b/>
      <w:sz w:val="22"/>
    </w:rPr>
  </w:style>
  <w:style w:type="paragraph" w:styleId="Date">
    <w:name w:val="Date"/>
    <w:basedOn w:val="Normal"/>
    <w:rsid w:val="00784E02"/>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A170E"/>
    <w:pPr>
      <w:spacing w:before="60" w:after="480"/>
      <w:jc w:val="center"/>
    </w:pPr>
  </w:style>
  <w:style w:type="paragraph" w:customStyle="1" w:styleId="Lettrine">
    <w:name w:val="Lettrine"/>
    <w:basedOn w:val="Normal"/>
    <w:rsid w:val="00784E02"/>
    <w:pPr>
      <w:spacing w:line="340" w:lineRule="atLeast"/>
      <w:jc w:val="right"/>
    </w:pPr>
    <w:rPr>
      <w:b/>
      <w:bCs/>
      <w:sz w:val="36"/>
    </w:rPr>
  </w:style>
  <w:style w:type="paragraph" w:customStyle="1" w:styleId="LogoUPOV">
    <w:name w:val="LogoUPOV"/>
    <w:basedOn w:val="Normal"/>
    <w:rsid w:val="00784E02"/>
    <w:pPr>
      <w:spacing w:before="600" w:after="80"/>
      <w:jc w:val="center"/>
    </w:pPr>
    <w:rPr>
      <w:snapToGrid w:val="0"/>
    </w:rPr>
  </w:style>
  <w:style w:type="paragraph" w:customStyle="1" w:styleId="Sessiontc">
    <w:name w:val="Session_tc"/>
    <w:basedOn w:val="StyleSessionAllcaps"/>
    <w:rsid w:val="00784E02"/>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A170E"/>
    <w:pPr>
      <w:spacing w:before="480"/>
    </w:pPr>
    <w:rPr>
      <w:bCs/>
      <w:caps/>
      <w:kern w:val="28"/>
      <w:sz w:val="24"/>
    </w:rPr>
  </w:style>
  <w:style w:type="paragraph" w:customStyle="1" w:styleId="plcountry">
    <w:name w:val="plcountry"/>
    <w:basedOn w:val="Normal"/>
    <w:rsid w:val="008A170E"/>
    <w:pPr>
      <w:keepNext/>
      <w:keepLines/>
      <w:spacing w:before="180" w:after="120"/>
      <w:jc w:val="left"/>
    </w:pPr>
    <w:rPr>
      <w:caps/>
      <w:noProof/>
      <w:snapToGrid w:val="0"/>
      <w:u w:val="single"/>
    </w:rPr>
  </w:style>
  <w:style w:type="paragraph" w:customStyle="1" w:styleId="pldetails">
    <w:name w:val="pldetails"/>
    <w:basedOn w:val="Normal"/>
    <w:rsid w:val="008A170E"/>
    <w:pPr>
      <w:keepLines/>
      <w:spacing w:before="60" w:after="60"/>
      <w:jc w:val="left"/>
    </w:pPr>
    <w:rPr>
      <w:noProof/>
      <w:snapToGrid w:val="0"/>
    </w:rPr>
  </w:style>
  <w:style w:type="paragraph" w:customStyle="1" w:styleId="plheading">
    <w:name w:val="plheading"/>
    <w:basedOn w:val="Normal"/>
    <w:rsid w:val="008A170E"/>
    <w:pPr>
      <w:keepNext/>
      <w:spacing w:before="480" w:after="120"/>
      <w:jc w:val="center"/>
    </w:pPr>
    <w:rPr>
      <w:caps/>
      <w:snapToGrid w:val="0"/>
      <w:u w:val="single"/>
    </w:rPr>
  </w:style>
  <w:style w:type="paragraph" w:customStyle="1" w:styleId="Sessiontcplacedate">
    <w:name w:val="Session_tc_place_date"/>
    <w:basedOn w:val="SessionMeetingPlace"/>
    <w:rsid w:val="00784E02"/>
    <w:pPr>
      <w:spacing w:before="240"/>
      <w:contextualSpacing/>
      <w:jc w:val="left"/>
    </w:pPr>
    <w:rPr>
      <w:sz w:val="20"/>
    </w:rPr>
  </w:style>
  <w:style w:type="paragraph" w:customStyle="1" w:styleId="Titleofdoc0">
    <w:name w:val="Title_of_doc"/>
    <w:basedOn w:val="TitleofDoc"/>
    <w:rsid w:val="00EC4EC6"/>
    <w:pPr>
      <w:spacing w:before="600" w:after="240"/>
    </w:pPr>
    <w:rPr>
      <w:b/>
    </w:rPr>
  </w:style>
  <w:style w:type="paragraph" w:customStyle="1" w:styleId="preparedby1">
    <w:name w:val="prepared_by"/>
    <w:basedOn w:val="preparedby0"/>
    <w:rsid w:val="00784E02"/>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A170E"/>
    <w:pPr>
      <w:spacing w:before="480"/>
      <w:ind w:left="567" w:hanging="567"/>
      <w:jc w:val="right"/>
    </w:pPr>
    <w:rPr>
      <w:rFonts w:ascii="Arial" w:hAnsi="Arial"/>
    </w:rPr>
  </w:style>
  <w:style w:type="character" w:customStyle="1" w:styleId="DocoriginalChar">
    <w:name w:val="Doc_original Char"/>
    <w:basedOn w:val="CodeChar"/>
    <w:link w:val="Docoriginal"/>
    <w:rsid w:val="00784E02"/>
    <w:rPr>
      <w:rFonts w:ascii="Arial" w:hAnsi="Arial"/>
      <w:b/>
      <w:bCs/>
      <w:spacing w:val="10"/>
      <w:sz w:val="18"/>
      <w:lang w:val="fr-FR" w:eastAsia="en-US" w:bidi="ar-SA"/>
    </w:rPr>
  </w:style>
  <w:style w:type="character" w:customStyle="1" w:styleId="StyleDocoriginalNotBoldChar">
    <w:name w:val="Style Doc_original + Not Bold Char"/>
    <w:basedOn w:val="DocoriginalChar"/>
    <w:link w:val="StyleDocoriginalNotBold"/>
    <w:rsid w:val="008A170E"/>
    <w:rPr>
      <w:rFonts w:ascii="Arial" w:hAnsi="Arial"/>
      <w:b/>
      <w:bCs/>
      <w:spacing w:val="10"/>
      <w:sz w:val="18"/>
      <w:lang w:val="fr-FR" w:eastAsia="en-US" w:bidi="ar-SA"/>
    </w:rPr>
  </w:style>
  <w:style w:type="paragraph" w:customStyle="1" w:styleId="StyleDocnumber">
    <w:name w:val="Style Doc_number"/>
    <w:basedOn w:val="Docoriginal"/>
    <w:rsid w:val="008A170E"/>
    <w:pPr>
      <w:ind w:left="1589"/>
    </w:pPr>
  </w:style>
  <w:style w:type="paragraph" w:customStyle="1" w:styleId="StyleDocoriginal">
    <w:name w:val="Style Doc_original"/>
    <w:basedOn w:val="Docoriginal"/>
    <w:link w:val="StyleDocoriginalChar"/>
    <w:rsid w:val="008A170E"/>
  </w:style>
  <w:style w:type="character" w:customStyle="1" w:styleId="StyleDocoriginalChar">
    <w:name w:val="Style Doc_original Char"/>
    <w:basedOn w:val="DocoriginalChar"/>
    <w:link w:val="StyleDocoriginal"/>
    <w:rsid w:val="008A170E"/>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sz w:val="18"/>
      <w:lang w:val="en-US" w:eastAsia="en-US" w:bidi="ar-SA"/>
    </w:rPr>
  </w:style>
  <w:style w:type="character" w:customStyle="1" w:styleId="StyleDocoriginalNotBold1">
    <w:name w:val="Style Doc_original + Not Bold1"/>
    <w:basedOn w:val="DefaultParagraphFont"/>
    <w:rsid w:val="008A170E"/>
    <w:rPr>
      <w:rFonts w:ascii="Arial" w:hAnsi="Arial"/>
      <w:b/>
      <w:bCs/>
      <w:spacing w:val="10"/>
      <w:lang w:val="en-US" w:eastAsia="en-US" w:bidi="ar-SA"/>
    </w:rPr>
  </w:style>
  <w:style w:type="character" w:customStyle="1" w:styleId="StyleDoclangBold">
    <w:name w:val="Style Doc_lang + Bold"/>
    <w:basedOn w:val="Doclang"/>
    <w:rsid w:val="008A170E"/>
    <w:rPr>
      <w:rFonts w:ascii="Arial" w:hAnsi="Arial"/>
      <w:b/>
      <w:bCs/>
      <w:sz w:val="20"/>
      <w:lang w:val="en-US"/>
    </w:rPr>
  </w:style>
  <w:style w:type="paragraph" w:styleId="TOC2">
    <w:name w:val="toc 2"/>
    <w:next w:val="Normal"/>
    <w:autoRedefine/>
    <w:uiPriority w:val="39"/>
    <w:rsid w:val="00ED261D"/>
    <w:pPr>
      <w:tabs>
        <w:tab w:val="right" w:leader="dot" w:pos="9639"/>
      </w:tabs>
      <w:spacing w:after="60"/>
      <w:ind w:left="851" w:right="425" w:hanging="567"/>
    </w:pPr>
    <w:rPr>
      <w:rFonts w:ascii="Arial" w:hAnsi="Arial"/>
      <w:noProof/>
    </w:rPr>
  </w:style>
  <w:style w:type="paragraph" w:styleId="TOC3">
    <w:name w:val="toc 3"/>
    <w:next w:val="Normal"/>
    <w:autoRedefine/>
    <w:uiPriority w:val="39"/>
    <w:rsid w:val="00D94FFB"/>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rsid w:val="008A170E"/>
    <w:rPr>
      <w:rFonts w:ascii="Arial" w:hAnsi="Arial"/>
      <w:color w:val="0000FF"/>
      <w:u w:val="single"/>
    </w:rPr>
  </w:style>
  <w:style w:type="paragraph" w:styleId="TOC4">
    <w:name w:val="toc 4"/>
    <w:next w:val="Normal"/>
    <w:autoRedefine/>
    <w:uiPriority w:val="39"/>
    <w:rsid w:val="00D94FFB"/>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582EE2"/>
    <w:pPr>
      <w:keepNext/>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D94FFB"/>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6D469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semiHidden/>
    <w:rsid w:val="00047D7F"/>
    <w:pPr>
      <w:jc w:val="left"/>
    </w:pPr>
    <w:rPr>
      <w:rFonts w:ascii="Times New Roman" w:hAnsi="Times New Roman"/>
      <w:sz w:val="22"/>
    </w:rPr>
  </w:style>
  <w:style w:type="paragraph" w:customStyle="1" w:styleId="TitleofSection">
    <w:name w:val="Title of Section"/>
    <w:basedOn w:val="TitleofDoc"/>
    <w:rsid w:val="00AD789A"/>
    <w:pPr>
      <w:spacing w:before="120" w:after="120"/>
    </w:pPr>
    <w:rPr>
      <w:b/>
      <w:bCs/>
      <w:caps/>
    </w:rPr>
  </w:style>
  <w:style w:type="paragraph" w:customStyle="1" w:styleId="Normaltg">
    <w:name w:val="Normaltg"/>
    <w:basedOn w:val="Normal"/>
    <w:rsid w:val="00AD789A"/>
    <w:pPr>
      <w:tabs>
        <w:tab w:val="left" w:pos="709"/>
        <w:tab w:val="left" w:pos="1418"/>
      </w:tabs>
    </w:pPr>
  </w:style>
  <w:style w:type="paragraph" w:styleId="BalloonText">
    <w:name w:val="Balloon Text"/>
    <w:basedOn w:val="Normal"/>
    <w:semiHidden/>
    <w:rsid w:val="005F2C30"/>
    <w:rPr>
      <w:rFonts w:ascii="Tahoma" w:hAnsi="Tahoma" w:cs="Tahoma"/>
      <w:sz w:val="16"/>
      <w:szCs w:val="16"/>
    </w:rPr>
  </w:style>
  <w:style w:type="character" w:customStyle="1" w:styleId="Heading6Char">
    <w:name w:val="Heading 6 Char"/>
    <w:basedOn w:val="DefaultParagraphFont"/>
    <w:link w:val="Heading6"/>
    <w:rsid w:val="00A647FE"/>
    <w:rPr>
      <w:rFonts w:ascii="Arial" w:hAnsi="Arial" w:cs="Angsana New"/>
      <w:i/>
      <w:iCs/>
      <w:szCs w:val="24"/>
      <w:u w:val="single"/>
      <w:lang w:eastAsia="ja-JP" w:bidi="th-TH"/>
    </w:rPr>
  </w:style>
  <w:style w:type="character" w:customStyle="1" w:styleId="Heading8Char">
    <w:name w:val="Heading 8 Char"/>
    <w:basedOn w:val="DefaultParagraphFont"/>
    <w:link w:val="Heading8"/>
    <w:rsid w:val="00A647FE"/>
    <w:rPr>
      <w:rFonts w:ascii="Arial" w:hAnsi="Arial" w:cs="Angsana New"/>
      <w:i/>
      <w:iCs/>
      <w:szCs w:val="22"/>
      <w:lang w:eastAsia="ja-JP" w:bidi="th-TH"/>
    </w:rPr>
  </w:style>
  <w:style w:type="paragraph" w:styleId="TOC6">
    <w:name w:val="toc 6"/>
    <w:basedOn w:val="Normal"/>
    <w:next w:val="Normal"/>
    <w:autoRedefine/>
    <w:uiPriority w:val="39"/>
    <w:rsid w:val="008922C9"/>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8922C9"/>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EF7C50"/>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EF7C50"/>
    <w:pPr>
      <w:tabs>
        <w:tab w:val="right" w:leader="dot" w:pos="9639"/>
      </w:tabs>
      <w:spacing w:before="60" w:after="120"/>
      <w:ind w:left="992" w:right="851" w:hanging="567"/>
      <w:contextualSpacing/>
      <w:jc w:val="left"/>
    </w:pPr>
    <w:rPr>
      <w:smallCaps/>
      <w:noProof/>
      <w:sz w:val="18"/>
      <w:lang w:eastAsia="ja-JP"/>
    </w:rPr>
  </w:style>
  <w:style w:type="paragraph" w:customStyle="1" w:styleId="tqparabox">
    <w:name w:val="tqparabox"/>
    <w:basedOn w:val="Normal"/>
    <w:rsid w:val="008922C9"/>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8922C9"/>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8922C9"/>
    <w:pPr>
      <w:keepNext/>
    </w:pPr>
    <w:rPr>
      <w:b/>
      <w:bCs/>
    </w:rPr>
  </w:style>
  <w:style w:type="paragraph" w:customStyle="1" w:styleId="Annex">
    <w:name w:val="Annex"/>
    <w:basedOn w:val="Heading1"/>
    <w:next w:val="Normal"/>
    <w:rsid w:val="009362C5"/>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AB70E1"/>
    <w:pPr>
      <w:numPr>
        <w:numId w:val="7"/>
      </w:numPr>
      <w:tabs>
        <w:tab w:val="clear" w:pos="705"/>
      </w:tabs>
      <w:ind w:left="709" w:hanging="709"/>
    </w:pPr>
    <w:rPr>
      <w:rFonts w:cs="Angsana New"/>
      <w:szCs w:val="24"/>
      <w:lang w:val="en-GB" w:eastAsia="ja-JP" w:bidi="th-TH"/>
    </w:rPr>
  </w:style>
  <w:style w:type="paragraph" w:customStyle="1" w:styleId="Heading4tg">
    <w:name w:val="Heading 4tg"/>
    <w:basedOn w:val="Heading4"/>
    <w:rsid w:val="00EF7C50"/>
    <w:pPr>
      <w:keepLines/>
      <w:tabs>
        <w:tab w:val="left" w:pos="709"/>
      </w:tabs>
      <w:ind w:left="709" w:hanging="709"/>
    </w:pPr>
    <w:rPr>
      <w:rFonts w:cs="Angsana New"/>
      <w:iCs/>
      <w:szCs w:val="24"/>
      <w:lang w:val="en-US" w:eastAsia="ja-JP" w:bidi="th-TH"/>
    </w:rPr>
  </w:style>
  <w:style w:type="paragraph" w:customStyle="1" w:styleId="TOC1tg">
    <w:name w:val="TOC 1tg"/>
    <w:basedOn w:val="TOC1"/>
    <w:rsid w:val="008922C9"/>
    <w:pPr>
      <w:tabs>
        <w:tab w:val="clear" w:pos="9639"/>
        <w:tab w:val="left" w:pos="567"/>
        <w:tab w:val="right" w:leader="dot" w:pos="9072"/>
      </w:tabs>
      <w:spacing w:before="120"/>
      <w:ind w:left="0" w:firstLine="0"/>
    </w:pPr>
    <w:rPr>
      <w:rFonts w:ascii="Times New Roman" w:hAnsi="Times New Roman" w:cs="Angsana New"/>
      <w:lang w:eastAsia="ja-JP" w:bidi="th-TH"/>
    </w:rPr>
  </w:style>
  <w:style w:type="paragraph" w:customStyle="1" w:styleId="TOC2tg">
    <w:name w:val="TOC 2tg"/>
    <w:basedOn w:val="TOC2"/>
    <w:rsid w:val="008922C9"/>
    <w:pPr>
      <w:tabs>
        <w:tab w:val="clear" w:pos="9639"/>
        <w:tab w:val="left" w:pos="1134"/>
        <w:tab w:val="right" w:leader="dot" w:pos="9072"/>
      </w:tabs>
      <w:ind w:left="1134" w:right="284"/>
    </w:pPr>
    <w:rPr>
      <w:rFonts w:ascii="Times New Roman" w:hAnsi="Times New Roman" w:cs="Angsana New"/>
      <w:smallCaps/>
      <w:lang w:eastAsia="ja-JP" w:bidi="th-TH"/>
    </w:rPr>
  </w:style>
  <w:style w:type="paragraph" w:customStyle="1" w:styleId="Draft">
    <w:name w:val="Draft"/>
    <w:basedOn w:val="Normal"/>
    <w:next w:val="Normal"/>
    <w:rsid w:val="00286ABE"/>
    <w:pPr>
      <w:spacing w:before="120" w:after="120"/>
      <w:jc w:val="center"/>
    </w:pPr>
    <w:rPr>
      <w:caps/>
      <w:sz w:val="28"/>
    </w:rPr>
  </w:style>
  <w:style w:type="paragraph" w:styleId="BodyText2">
    <w:name w:val="Body Text 2"/>
    <w:basedOn w:val="Normal"/>
    <w:link w:val="BodyText2Char"/>
    <w:rsid w:val="00A42666"/>
    <w:rPr>
      <w:rFonts w:cs="Angsana New"/>
      <w:color w:val="000000"/>
      <w:szCs w:val="24"/>
      <w:lang w:eastAsia="ja-JP" w:bidi="th-TH"/>
    </w:rPr>
  </w:style>
  <w:style w:type="character" w:customStyle="1" w:styleId="BodyText2Char">
    <w:name w:val="Body Text 2 Char"/>
    <w:basedOn w:val="DefaultParagraphFont"/>
    <w:link w:val="BodyText2"/>
    <w:rsid w:val="00A42666"/>
    <w:rPr>
      <w:rFonts w:ascii="Arial" w:hAnsi="Arial" w:cs="Angsana New"/>
      <w:color w:val="000000"/>
      <w:szCs w:val="24"/>
      <w:lang w:eastAsia="ja-JP" w:bidi="th-TH"/>
    </w:rPr>
  </w:style>
  <w:style w:type="paragraph" w:styleId="BodyTextIndent">
    <w:name w:val="Body Text Indent"/>
    <w:basedOn w:val="Normal"/>
    <w:link w:val="BodyTextIndentChar"/>
    <w:rsid w:val="00A42666"/>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A42666"/>
    <w:rPr>
      <w:rFonts w:ascii="Arial" w:hAnsi="Arial" w:cs="Angsana New"/>
      <w:szCs w:val="24"/>
      <w:lang w:eastAsia="ja-JP" w:bidi="th-TH"/>
    </w:rPr>
  </w:style>
  <w:style w:type="paragraph" w:styleId="BodyTextIndent2">
    <w:name w:val="Body Text Indent 2"/>
    <w:basedOn w:val="Normal"/>
    <w:link w:val="BodyTextIndent2Char"/>
    <w:rsid w:val="00A42666"/>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A42666"/>
    <w:rPr>
      <w:rFonts w:ascii="Arial" w:hAnsi="Arial" w:cs="Angsana New"/>
      <w:szCs w:val="24"/>
      <w:lang w:eastAsia="ja-JP" w:bidi="th-TH"/>
    </w:rPr>
  </w:style>
  <w:style w:type="paragraph" w:styleId="BodyTextIndent3">
    <w:name w:val="Body Text Indent 3"/>
    <w:basedOn w:val="Normal"/>
    <w:link w:val="BodyTextIndent3Char"/>
    <w:rsid w:val="00A42666"/>
    <w:pPr>
      <w:ind w:left="1985"/>
    </w:pPr>
    <w:rPr>
      <w:rFonts w:cs="Angsana New"/>
      <w:szCs w:val="24"/>
      <w:lang w:eastAsia="ja-JP" w:bidi="th-TH"/>
    </w:rPr>
  </w:style>
  <w:style w:type="character" w:customStyle="1" w:styleId="BodyTextIndent3Char">
    <w:name w:val="Body Text Indent 3 Char"/>
    <w:basedOn w:val="DefaultParagraphFont"/>
    <w:link w:val="BodyTextIndent3"/>
    <w:rsid w:val="00A42666"/>
    <w:rPr>
      <w:rFonts w:ascii="Arial" w:hAnsi="Arial" w:cs="Angsana New"/>
      <w:szCs w:val="24"/>
      <w:lang w:eastAsia="ja-JP" w:bidi="th-TH"/>
    </w:rPr>
  </w:style>
  <w:style w:type="paragraph" w:styleId="BodyText3">
    <w:name w:val="Body Text 3"/>
    <w:basedOn w:val="Normal"/>
    <w:link w:val="BodyText3Char"/>
    <w:rsid w:val="00A42666"/>
    <w:pPr>
      <w:jc w:val="center"/>
    </w:pPr>
    <w:rPr>
      <w:rFonts w:cs="Angsana New"/>
      <w:szCs w:val="24"/>
      <w:lang w:eastAsia="ja-JP" w:bidi="th-TH"/>
    </w:rPr>
  </w:style>
  <w:style w:type="character" w:customStyle="1" w:styleId="BodyText3Char">
    <w:name w:val="Body Text 3 Char"/>
    <w:basedOn w:val="DefaultParagraphFont"/>
    <w:link w:val="BodyText3"/>
    <w:rsid w:val="00A42666"/>
    <w:rPr>
      <w:rFonts w:ascii="Arial" w:hAnsi="Arial" w:cs="Angsana New"/>
      <w:szCs w:val="24"/>
      <w:lang w:eastAsia="ja-JP" w:bidi="th-TH"/>
    </w:rPr>
  </w:style>
  <w:style w:type="paragraph" w:styleId="DocumentMap">
    <w:name w:val="Document Map"/>
    <w:basedOn w:val="Normal"/>
    <w:link w:val="DocumentMapChar"/>
    <w:rsid w:val="008922C9"/>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8922C9"/>
    <w:rPr>
      <w:rFonts w:ascii="Tahoma" w:hAnsi="Tahoma" w:cs="Tahoma"/>
      <w:sz w:val="24"/>
      <w:szCs w:val="24"/>
      <w:shd w:val="clear" w:color="auto" w:fill="000080"/>
      <w:lang w:eastAsia="ja-JP" w:bidi="th-TH"/>
    </w:rPr>
  </w:style>
  <w:style w:type="paragraph" w:styleId="BlockText">
    <w:name w:val="Block Text"/>
    <w:basedOn w:val="Normal"/>
    <w:rsid w:val="00A42666"/>
    <w:pPr>
      <w:ind w:left="1985" w:right="-2"/>
    </w:pPr>
    <w:rPr>
      <w:rFonts w:cs="Angsana New"/>
      <w:szCs w:val="24"/>
      <w:lang w:eastAsia="ja-JP" w:bidi="th-TH"/>
    </w:rPr>
  </w:style>
  <w:style w:type="table" w:styleId="TableGrid">
    <w:name w:val="Table Grid"/>
    <w:basedOn w:val="TableNormal"/>
    <w:uiPriority w:val="59"/>
    <w:rsid w:val="008922C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9Char">
    <w:name w:val="TOC 9 Char"/>
    <w:basedOn w:val="DefaultParagraphFont"/>
    <w:link w:val="TOC9"/>
    <w:uiPriority w:val="39"/>
    <w:rsid w:val="00EF7C50"/>
    <w:rPr>
      <w:rFonts w:ascii="Arial" w:hAnsi="Arial"/>
      <w:smallCaps/>
      <w:noProof/>
      <w:sz w:val="18"/>
      <w:lang w:val="fr-FR" w:eastAsia="ja-JP"/>
    </w:rPr>
  </w:style>
  <w:style w:type="paragraph" w:customStyle="1" w:styleId="StyleHeading2Justified">
    <w:name w:val="Style Heading 2 + Justified"/>
    <w:basedOn w:val="Heading2"/>
    <w:rsid w:val="008922C9"/>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Heading2Char">
    <w:name w:val="Heading 2 Char"/>
    <w:basedOn w:val="DefaultParagraphFont"/>
    <w:link w:val="Heading2"/>
    <w:rsid w:val="00FE5D28"/>
    <w:rPr>
      <w:rFonts w:ascii="Arial" w:hAnsi="Arial"/>
      <w:b/>
    </w:rPr>
  </w:style>
  <w:style w:type="paragraph" w:styleId="ListParagraph">
    <w:name w:val="List Paragraph"/>
    <w:basedOn w:val="Normal"/>
    <w:uiPriority w:val="34"/>
    <w:qFormat/>
    <w:rsid w:val="002B14BC"/>
    <w:pPr>
      <w:ind w:left="720"/>
      <w:contextualSpacing/>
    </w:pPr>
  </w:style>
  <w:style w:type="character" w:styleId="FollowedHyperlink">
    <w:name w:val="FollowedHyperlink"/>
    <w:basedOn w:val="DefaultParagraphFont"/>
    <w:rsid w:val="00E97774"/>
    <w:rPr>
      <w:color w:val="800080" w:themeColor="followedHyperlink"/>
      <w:u w:val="single"/>
    </w:rPr>
  </w:style>
  <w:style w:type="paragraph" w:styleId="Caption">
    <w:name w:val="caption"/>
    <w:basedOn w:val="Normal"/>
    <w:next w:val="Normal"/>
    <w:unhideWhenUsed/>
    <w:qFormat/>
    <w:rsid w:val="00FA291B"/>
    <w:pPr>
      <w:spacing w:after="200"/>
    </w:pPr>
    <w:rPr>
      <w:b/>
      <w:bCs/>
      <w:color w:val="4F81BD" w:themeColor="accent1"/>
      <w:sz w:val="18"/>
      <w:szCs w:val="18"/>
    </w:rPr>
  </w:style>
  <w:style w:type="character" w:customStyle="1" w:styleId="HeaderChar">
    <w:name w:val="Header Char"/>
    <w:basedOn w:val="DefaultParagraphFont"/>
    <w:link w:val="Header"/>
    <w:uiPriority w:val="99"/>
    <w:rsid w:val="008D07A0"/>
    <w:rPr>
      <w:rFonts w:ascii="Arial" w:hAnsi="Arial"/>
      <w:lang w:val="fr-FR"/>
    </w:rPr>
  </w:style>
  <w:style w:type="character" w:customStyle="1" w:styleId="EndnoteTextChar">
    <w:name w:val="Endnote Text Char"/>
    <w:basedOn w:val="DefaultParagraphFont"/>
    <w:link w:val="EndnoteText"/>
    <w:semiHidden/>
    <w:rsid w:val="008D07A0"/>
    <w:rPr>
      <w:rFonts w:ascii="Arial" w:hAnsi="Arial"/>
    </w:rPr>
  </w:style>
  <w:style w:type="paragraph" w:customStyle="1" w:styleId="Disclaimer">
    <w:name w:val="Disclaimer"/>
    <w:next w:val="Normal"/>
    <w:qFormat/>
    <w:rsid w:val="00784E02"/>
    <w:pPr>
      <w:spacing w:after="600"/>
    </w:pPr>
    <w:rPr>
      <w:rFonts w:ascii="Arial" w:hAnsi="Arial"/>
      <w:i/>
      <w:iCs/>
      <w:color w:val="A6A6A6" w:themeColor="background1" w:themeShade="A6"/>
    </w:rPr>
  </w:style>
  <w:style w:type="paragraph" w:customStyle="1" w:styleId="Doccode">
    <w:name w:val="Doc_code"/>
    <w:qFormat/>
    <w:rsid w:val="00784E02"/>
    <w:rPr>
      <w:rFonts w:ascii="Arial" w:hAnsi="Arial"/>
      <w:b/>
      <w:bCs/>
      <w:spacing w:val="10"/>
      <w:sz w:val="18"/>
    </w:rPr>
  </w:style>
  <w:style w:type="paragraph" w:customStyle="1" w:styleId="tgchartextcentered">
    <w:name w:val="tg_char_text_centered"/>
    <w:basedOn w:val="Normal"/>
    <w:rsid w:val="00AB3EDA"/>
    <w:pPr>
      <w:spacing w:before="80" w:after="80"/>
      <w:jc w:val="center"/>
    </w:pPr>
    <w:rPr>
      <w:b/>
      <w:sz w:val="16"/>
    </w:rPr>
  </w:style>
  <w:style w:type="paragraph" w:customStyle="1" w:styleId="tgchartext">
    <w:name w:val="tg_char_text"/>
    <w:basedOn w:val="Normal"/>
    <w:rsid w:val="00AB3EDA"/>
    <w:pPr>
      <w:spacing w:before="80" w:after="80"/>
      <w:jc w:val="left"/>
    </w:pPr>
    <w:rPr>
      <w:sz w:val="16"/>
    </w:rPr>
  </w:style>
  <w:style w:type="character" w:customStyle="1" w:styleId="TitleofDocChar">
    <w:name w:val="Title of Doc Char"/>
    <w:basedOn w:val="DefaultParagraphFont"/>
    <w:link w:val="TitleofDoc"/>
    <w:rsid w:val="00E306B7"/>
    <w:rPr>
      <w:rFonts w:ascii="Arial" w:hAnsi="Arial"/>
    </w:rPr>
  </w:style>
  <w:style w:type="paragraph" w:styleId="NormalWeb">
    <w:name w:val="Normal (Web)"/>
    <w:basedOn w:val="Normal"/>
    <w:unhideWhenUsed/>
    <w:rsid w:val="00B26D2A"/>
    <w:pPr>
      <w:spacing w:before="100" w:beforeAutospacing="1" w:after="100" w:afterAutospacing="1"/>
      <w:jc w:val="left"/>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20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4.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Microsoft_PowerPoint_97-2003_Presentation1.ppt"/><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oleObject" Target="embeddings/Microsoft_PowerPoint_97-2003_Presentation.ppt"/><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oleObject" Target="embeddings/Microsoft_PowerPoint_97-2003_Presentation2.ppt"/><Relationship Id="rId4" Type="http://schemas.openxmlformats.org/officeDocument/2006/relationships/settings" Target="settings.xml"/><Relationship Id="rId9" Type="http://schemas.openxmlformats.org/officeDocument/2006/relationships/hyperlink" Target="http://www.upov.int/about/fr/organigram.html" TargetMode="External"/><Relationship Id="rId14" Type="http://schemas.openxmlformats.org/officeDocument/2006/relationships/image" Target="media/image2.emf"/><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708AF-4B23-4BAD-8538-88E9EC542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12</Pages>
  <Words>3864</Words>
  <Characters>22026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TGP/15/2 Draft 2</vt:lpstr>
    </vt:vector>
  </TitlesOfParts>
  <Company>UPOV</Company>
  <LinksUpToDate>false</LinksUpToDate>
  <CharactersWithSpaces>25839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TGP/15/2 Draft 2</dc:title>
  <dc:creator>MAY Jessica</dc:creator>
  <cp:lastModifiedBy>SANCHEZ VIZCAINO GOMEZ Rosa Maria</cp:lastModifiedBy>
  <cp:revision>32</cp:revision>
  <cp:lastPrinted>2018-10-02T10:56:00Z</cp:lastPrinted>
  <dcterms:created xsi:type="dcterms:W3CDTF">2019-07-12T15:22:00Z</dcterms:created>
  <dcterms:modified xsi:type="dcterms:W3CDTF">2019-08-01T13:03:00Z</dcterms:modified>
</cp:coreProperties>
</file>