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541776" w:rsidRPr="003B4FCF" w:rsidTr="00BD693E">
        <w:tc>
          <w:tcPr>
            <w:tcW w:w="6522" w:type="dxa"/>
          </w:tcPr>
          <w:p w:rsidR="00541776" w:rsidRPr="003B4FCF" w:rsidRDefault="00541776" w:rsidP="00BD693E">
            <w:pPr>
              <w:rPr>
                <w:lang w:val="fr-FR"/>
              </w:rPr>
            </w:pPr>
            <w:bookmarkStart w:id="0" w:name="_Toc14792928"/>
            <w:bookmarkStart w:id="1" w:name="_GoBack"/>
            <w:bookmarkEnd w:id="1"/>
            <w:r w:rsidRPr="003B4FCF">
              <w:rPr>
                <w:lang w:val="fr-FR"/>
              </w:rPr>
              <w:drawing>
                <wp:inline distT="0" distB="0" distL="0" distR="0" wp14:anchorId="6025B2BA" wp14:editId="214678F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541776" w:rsidRPr="003B4FCF" w:rsidRDefault="00541776" w:rsidP="00BD693E">
            <w:pPr>
              <w:pStyle w:val="Lettrine"/>
              <w:rPr>
                <w:lang w:val="fr-FR"/>
              </w:rPr>
            </w:pPr>
            <w:r w:rsidRPr="003B4FCF">
              <w:rPr>
                <w:lang w:val="fr-FR"/>
              </w:rPr>
              <w:t>F</w:t>
            </w:r>
          </w:p>
        </w:tc>
      </w:tr>
      <w:tr w:rsidR="00541776" w:rsidRPr="003B4FCF" w:rsidTr="00BD693E">
        <w:trPr>
          <w:trHeight w:val="219"/>
        </w:trPr>
        <w:tc>
          <w:tcPr>
            <w:tcW w:w="6522" w:type="dxa"/>
          </w:tcPr>
          <w:p w:rsidR="00541776" w:rsidRPr="003B4FCF" w:rsidRDefault="00541776" w:rsidP="00BD693E">
            <w:pPr>
              <w:pStyle w:val="upove"/>
              <w:rPr>
                <w:lang w:val="fr-FR"/>
              </w:rPr>
            </w:pPr>
            <w:r w:rsidRPr="003B4FCF">
              <w:rPr>
                <w:lang w:val="fr-FR"/>
              </w:rPr>
              <w:t>Union internationale pour la protection des obtentions végétales</w:t>
            </w:r>
          </w:p>
        </w:tc>
        <w:tc>
          <w:tcPr>
            <w:tcW w:w="3117" w:type="dxa"/>
          </w:tcPr>
          <w:p w:rsidR="00541776" w:rsidRPr="003B4FCF" w:rsidRDefault="00541776" w:rsidP="00BD693E">
            <w:pPr>
              <w:rPr>
                <w:lang w:val="fr-FR"/>
              </w:rPr>
            </w:pPr>
          </w:p>
        </w:tc>
      </w:tr>
    </w:tbl>
    <w:p w:rsidR="00541776" w:rsidRPr="003B4FCF" w:rsidRDefault="00541776" w:rsidP="00541776">
      <w:pPr>
        <w:rPr>
          <w:lang w:val="fr-FR"/>
        </w:rPr>
      </w:pPr>
    </w:p>
    <w:p w:rsidR="00541776" w:rsidRPr="003B4FCF" w:rsidRDefault="00541776" w:rsidP="00541776">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41776" w:rsidRPr="003B4FCF" w:rsidTr="00BD693E">
        <w:tc>
          <w:tcPr>
            <w:tcW w:w="6512" w:type="dxa"/>
          </w:tcPr>
          <w:p w:rsidR="00541776" w:rsidRPr="003B4FCF" w:rsidRDefault="00541776" w:rsidP="00BD693E">
            <w:pPr>
              <w:pStyle w:val="Sessiontc"/>
              <w:spacing w:line="240" w:lineRule="auto"/>
              <w:rPr>
                <w:lang w:val="fr-FR"/>
              </w:rPr>
            </w:pPr>
            <w:r w:rsidRPr="003B4FCF">
              <w:rPr>
                <w:lang w:val="fr-FR"/>
              </w:rPr>
              <w:t>Comité administratif et juridique</w:t>
            </w:r>
          </w:p>
          <w:p w:rsidR="00541776" w:rsidRPr="003B4FCF" w:rsidRDefault="00541776" w:rsidP="00BD693E">
            <w:pPr>
              <w:pStyle w:val="Sessiontcplacedate"/>
              <w:rPr>
                <w:sz w:val="22"/>
                <w:lang w:val="fr-FR"/>
              </w:rPr>
            </w:pPr>
            <w:r w:rsidRPr="003B4FCF">
              <w:rPr>
                <w:lang w:val="fr-FR"/>
              </w:rPr>
              <w:t>Soixante</w:t>
            </w:r>
            <w:r w:rsidR="005D3B5B" w:rsidRPr="003B4FCF">
              <w:rPr>
                <w:lang w:val="fr-FR"/>
              </w:rPr>
              <w:t>-</w:t>
            </w:r>
            <w:r w:rsidRPr="003B4FCF">
              <w:rPr>
                <w:lang w:val="fr-FR"/>
              </w:rPr>
              <w:t>seiz</w:t>
            </w:r>
            <w:r w:rsidR="005D3B5B" w:rsidRPr="003B4FCF">
              <w:rPr>
                <w:lang w:val="fr-FR"/>
              </w:rPr>
              <w:t>ième session</w:t>
            </w:r>
            <w:r w:rsidRPr="003B4FCF">
              <w:rPr>
                <w:lang w:val="fr-FR"/>
              </w:rPr>
              <w:br/>
              <w:t>Genève, 3</w:t>
            </w:r>
            <w:r w:rsidR="00067374" w:rsidRPr="003B4FCF">
              <w:rPr>
                <w:lang w:val="fr-FR"/>
              </w:rPr>
              <w:t>0 octobre 20</w:t>
            </w:r>
            <w:r w:rsidRPr="003B4FCF">
              <w:rPr>
                <w:lang w:val="fr-FR"/>
              </w:rPr>
              <w:t>19</w:t>
            </w:r>
          </w:p>
        </w:tc>
        <w:tc>
          <w:tcPr>
            <w:tcW w:w="3127" w:type="dxa"/>
          </w:tcPr>
          <w:p w:rsidR="00541776" w:rsidRPr="003B4FCF" w:rsidRDefault="00541776" w:rsidP="00BD693E">
            <w:pPr>
              <w:pStyle w:val="Doccode"/>
              <w:rPr>
                <w:lang w:val="fr-FR"/>
              </w:rPr>
            </w:pPr>
            <w:r w:rsidRPr="003B4FCF">
              <w:rPr>
                <w:lang w:val="fr-FR"/>
              </w:rPr>
              <w:t>CAJ/76/</w:t>
            </w:r>
            <w:r w:rsidR="00812162" w:rsidRPr="003B4FCF">
              <w:rPr>
                <w:lang w:val="fr-FR"/>
              </w:rPr>
              <w:t>5</w:t>
            </w:r>
          </w:p>
          <w:p w:rsidR="00541776" w:rsidRPr="003B4FCF" w:rsidRDefault="00541776" w:rsidP="00BD693E">
            <w:pPr>
              <w:pStyle w:val="Docoriginal"/>
              <w:rPr>
                <w:lang w:val="fr-FR"/>
              </w:rPr>
            </w:pPr>
            <w:r w:rsidRPr="003B4FCF">
              <w:rPr>
                <w:lang w:val="fr-FR"/>
              </w:rPr>
              <w:t>Original</w:t>
            </w:r>
            <w:r w:rsidR="005D3B5B" w:rsidRPr="003B4FCF">
              <w:rPr>
                <w:lang w:val="fr-FR"/>
              </w:rPr>
              <w:t> :</w:t>
            </w:r>
            <w:r w:rsidRPr="003B4FCF">
              <w:rPr>
                <w:b w:val="0"/>
                <w:spacing w:val="0"/>
                <w:lang w:val="fr-FR"/>
              </w:rPr>
              <w:t xml:space="preserve"> anglais</w:t>
            </w:r>
          </w:p>
          <w:p w:rsidR="00541776" w:rsidRPr="003B4FCF" w:rsidRDefault="00541776" w:rsidP="00920667">
            <w:pPr>
              <w:pStyle w:val="Docoriginal"/>
              <w:rPr>
                <w:lang w:val="fr-FR"/>
              </w:rPr>
            </w:pPr>
            <w:r w:rsidRPr="003B4FCF">
              <w:rPr>
                <w:lang w:val="fr-FR"/>
              </w:rPr>
              <w:t>Date</w:t>
            </w:r>
            <w:r w:rsidR="005D3B5B" w:rsidRPr="003B4FCF">
              <w:rPr>
                <w:lang w:val="fr-FR"/>
              </w:rPr>
              <w:t> :</w:t>
            </w:r>
            <w:r w:rsidRPr="003B4FCF">
              <w:rPr>
                <w:b w:val="0"/>
                <w:spacing w:val="0"/>
                <w:lang w:val="fr-FR"/>
              </w:rPr>
              <w:t xml:space="preserve"> </w:t>
            </w:r>
            <w:r w:rsidR="00920667" w:rsidRPr="003B4FCF">
              <w:rPr>
                <w:b w:val="0"/>
                <w:spacing w:val="0"/>
                <w:lang w:val="fr-FR"/>
              </w:rPr>
              <w:t>23</w:t>
            </w:r>
            <w:r w:rsidR="00067374" w:rsidRPr="003B4FCF">
              <w:rPr>
                <w:b w:val="0"/>
                <w:spacing w:val="0"/>
                <w:lang w:val="fr-FR"/>
              </w:rPr>
              <w:t> juillet 20</w:t>
            </w:r>
            <w:r w:rsidRPr="003B4FCF">
              <w:rPr>
                <w:b w:val="0"/>
                <w:spacing w:val="0"/>
                <w:lang w:val="fr-FR"/>
              </w:rPr>
              <w:t>19</w:t>
            </w:r>
          </w:p>
        </w:tc>
      </w:tr>
    </w:tbl>
    <w:p w:rsidR="00541776" w:rsidRPr="003B4FCF" w:rsidRDefault="00EC19C5" w:rsidP="00541776">
      <w:pPr>
        <w:pStyle w:val="Titleofdoc0"/>
        <w:rPr>
          <w:lang w:val="fr-FR"/>
        </w:rPr>
      </w:pPr>
      <w:bookmarkStart w:id="2" w:name="TitleOfDoc"/>
      <w:bookmarkEnd w:id="2"/>
      <w:r w:rsidRPr="003B4FCF">
        <w:rPr>
          <w:caps w:val="0"/>
          <w:lang w:val="fr-FR"/>
        </w:rPr>
        <w:t xml:space="preserve">DOCUMENTS </w:t>
      </w:r>
      <w:r w:rsidR="00541776" w:rsidRPr="003B4FCF">
        <w:rPr>
          <w:lang w:val="fr-FR"/>
        </w:rPr>
        <w:t>TGP</w:t>
      </w:r>
    </w:p>
    <w:p w:rsidR="00541776" w:rsidRPr="003B4FCF" w:rsidRDefault="00541776" w:rsidP="00541776">
      <w:pPr>
        <w:pStyle w:val="preparedby1"/>
        <w:jc w:val="left"/>
        <w:rPr>
          <w:lang w:val="fr-FR"/>
        </w:rPr>
      </w:pPr>
      <w:bookmarkStart w:id="3" w:name="Prepared"/>
      <w:bookmarkEnd w:id="3"/>
      <w:r w:rsidRPr="003B4FCF">
        <w:rPr>
          <w:lang w:val="fr-FR"/>
        </w:rPr>
        <w:t>Document établi par le Bureau de l</w:t>
      </w:r>
      <w:r w:rsidR="005D3B5B" w:rsidRPr="003B4FCF">
        <w:rPr>
          <w:lang w:val="fr-FR"/>
        </w:rPr>
        <w:t>’</w:t>
      </w:r>
      <w:r w:rsidRPr="003B4FCF">
        <w:rPr>
          <w:lang w:val="fr-FR"/>
        </w:rPr>
        <w:t>Union</w:t>
      </w:r>
    </w:p>
    <w:p w:rsidR="00541776" w:rsidRPr="003B4FCF" w:rsidRDefault="00541776" w:rsidP="00541776">
      <w:pPr>
        <w:pStyle w:val="Disclaimer"/>
        <w:rPr>
          <w:lang w:val="fr-FR"/>
        </w:rPr>
      </w:pPr>
      <w:r w:rsidRPr="003B4FCF">
        <w:rPr>
          <w:lang w:val="fr-FR"/>
        </w:rPr>
        <w:t>Avertissement</w:t>
      </w:r>
      <w:r w:rsidR="005D3B5B" w:rsidRPr="003B4FCF">
        <w:rPr>
          <w:lang w:val="fr-FR"/>
        </w:rPr>
        <w:t> :</w:t>
      </w:r>
      <w:r w:rsidRPr="003B4FCF">
        <w:rPr>
          <w:lang w:val="fr-FR"/>
        </w:rPr>
        <w:t xml:space="preserve"> le présent document ne représente pas les principes ou les orientations de l</w:t>
      </w:r>
      <w:r w:rsidR="005D3B5B" w:rsidRPr="003B4FCF">
        <w:rPr>
          <w:lang w:val="fr-FR"/>
        </w:rPr>
        <w:t>’</w:t>
      </w:r>
      <w:r w:rsidRPr="003B4FCF">
        <w:rPr>
          <w:lang w:val="fr-FR"/>
        </w:rPr>
        <w:t>UPOV</w:t>
      </w:r>
    </w:p>
    <w:p w:rsidR="00465412" w:rsidRPr="003B4FCF" w:rsidRDefault="00D82405" w:rsidP="00D82405">
      <w:pPr>
        <w:keepNext/>
        <w:outlineLvl w:val="0"/>
        <w:rPr>
          <w:caps/>
          <w:snapToGrid w:val="0"/>
          <w:lang w:val="fr-FR"/>
        </w:rPr>
      </w:pPr>
      <w:r w:rsidRPr="003B4FCF">
        <w:rPr>
          <w:caps/>
          <w:snapToGrid w:val="0"/>
          <w:lang w:val="fr-FR"/>
        </w:rPr>
        <w:t>Résumé</w:t>
      </w:r>
      <w:bookmarkEnd w:id="0"/>
    </w:p>
    <w:p w:rsidR="00465412" w:rsidRPr="003B4FCF" w:rsidRDefault="00465412" w:rsidP="00273B07">
      <w:pPr>
        <w:rPr>
          <w:snapToGrid w:val="0"/>
          <w:lang w:val="fr-FR"/>
        </w:rPr>
      </w:pPr>
    </w:p>
    <w:p w:rsidR="00067374" w:rsidRPr="003B4FCF" w:rsidRDefault="00273B07" w:rsidP="00D82405">
      <w:pPr>
        <w:rPr>
          <w:lang w:val="fr-FR"/>
        </w:rPr>
      </w:pPr>
      <w:r w:rsidRPr="003B4FCF">
        <w:rPr>
          <w:snapToGrid w:val="0"/>
          <w:lang w:val="fr-FR"/>
        </w:rPr>
        <w:fldChar w:fldCharType="begin"/>
      </w:r>
      <w:r w:rsidRPr="003B4FCF">
        <w:rPr>
          <w:snapToGrid w:val="0"/>
          <w:lang w:val="fr-FR"/>
        </w:rPr>
        <w:instrText xml:space="preserve"> AUTONUM  </w:instrText>
      </w:r>
      <w:r w:rsidRPr="003B4FCF">
        <w:rPr>
          <w:snapToGrid w:val="0"/>
          <w:lang w:val="fr-FR"/>
        </w:rPr>
        <w:fldChar w:fldCharType="end"/>
      </w:r>
      <w:r w:rsidRPr="003B4FCF">
        <w:rPr>
          <w:snapToGrid w:val="0"/>
          <w:lang w:val="fr-FR"/>
        </w:rPr>
        <w:tab/>
      </w:r>
      <w:r w:rsidR="00D82405" w:rsidRPr="003B4FCF">
        <w:rPr>
          <w:snapToGrid w:val="0"/>
          <w:lang w:val="fr-FR"/>
        </w:rPr>
        <w:t>L</w:t>
      </w:r>
      <w:r w:rsidR="005D3B5B" w:rsidRPr="003B4FCF">
        <w:rPr>
          <w:snapToGrid w:val="0"/>
          <w:lang w:val="fr-FR"/>
        </w:rPr>
        <w:t>’</w:t>
      </w:r>
      <w:r w:rsidR="00D82405" w:rsidRPr="003B4FCF">
        <w:rPr>
          <w:snapToGrid w:val="0"/>
          <w:lang w:val="fr-FR"/>
        </w:rPr>
        <w:t>objet du présent document est de rendre compte des faits nouveaux concernant les documents TGP et de fournir des informations propres à éclairer l</w:t>
      </w:r>
      <w:r w:rsidR="005D3B5B" w:rsidRPr="003B4FCF">
        <w:rPr>
          <w:snapToGrid w:val="0"/>
          <w:lang w:val="fr-FR"/>
        </w:rPr>
        <w:t>’</w:t>
      </w:r>
      <w:r w:rsidR="00D82405" w:rsidRPr="003B4FCF">
        <w:rPr>
          <w:snapToGrid w:val="0"/>
          <w:lang w:val="fr-FR"/>
        </w:rPr>
        <w:t>examen par</w:t>
      </w:r>
      <w:r w:rsidR="00067374" w:rsidRPr="003B4FCF">
        <w:rPr>
          <w:snapToGrid w:val="0"/>
          <w:lang w:val="fr-FR"/>
        </w:rPr>
        <w:t xml:space="preserve"> le</w:t>
      </w:r>
      <w:r w:rsidR="00920667" w:rsidRPr="003B4FCF">
        <w:rPr>
          <w:snapToGrid w:val="0"/>
          <w:lang w:val="fr-FR"/>
        </w:rPr>
        <w:t xml:space="preserve"> </w:t>
      </w:r>
      <w:r w:rsidR="00067374" w:rsidRPr="003B4FCF">
        <w:rPr>
          <w:snapToGrid w:val="0"/>
          <w:lang w:val="fr-FR"/>
        </w:rPr>
        <w:t>CAJ</w:t>
      </w:r>
      <w:r w:rsidR="00D82405" w:rsidRPr="003B4FCF">
        <w:rPr>
          <w:snapToGrid w:val="0"/>
          <w:lang w:val="fr-FR"/>
        </w:rPr>
        <w:t xml:space="preserve"> des documents ci</w:t>
      </w:r>
      <w:r w:rsidR="005D3B5B" w:rsidRPr="003B4FCF">
        <w:rPr>
          <w:snapToGrid w:val="0"/>
          <w:lang w:val="fr-FR"/>
        </w:rPr>
        <w:t>-</w:t>
      </w:r>
      <w:r w:rsidR="00D82405" w:rsidRPr="003B4FCF">
        <w:rPr>
          <w:snapToGrid w:val="0"/>
          <w:lang w:val="fr-FR"/>
        </w:rPr>
        <w:t xml:space="preserve">après dans la perspective de leur adoption par le </w:t>
      </w:r>
      <w:r w:rsidR="007B308C" w:rsidRPr="003B4FCF">
        <w:rPr>
          <w:snapToGrid w:val="0"/>
          <w:lang w:val="fr-FR"/>
        </w:rPr>
        <w:t>C</w:t>
      </w:r>
      <w:r w:rsidR="00D82405" w:rsidRPr="003B4FCF">
        <w:rPr>
          <w:snapToGrid w:val="0"/>
          <w:lang w:val="fr-FR"/>
        </w:rPr>
        <w:t>onseil à sa cinquante</w:t>
      </w:r>
      <w:r w:rsidR="005D3B5B" w:rsidRPr="003B4FCF">
        <w:rPr>
          <w:snapToGrid w:val="0"/>
          <w:lang w:val="fr-FR"/>
        </w:rPr>
        <w:t>-</w:t>
      </w:r>
      <w:r w:rsidR="00D82405" w:rsidRPr="003B4FCF">
        <w:rPr>
          <w:snapToGrid w:val="0"/>
          <w:lang w:val="fr-FR"/>
        </w:rPr>
        <w:t>trois</w:t>
      </w:r>
      <w:r w:rsidR="005D3B5B" w:rsidRPr="003B4FCF">
        <w:rPr>
          <w:snapToGrid w:val="0"/>
          <w:lang w:val="fr-FR"/>
        </w:rPr>
        <w:t>ième session</w:t>
      </w:r>
      <w:r w:rsidR="00D82405" w:rsidRPr="003B4FCF">
        <w:rPr>
          <w:snapToGrid w:val="0"/>
          <w:lang w:val="fr-FR"/>
        </w:rPr>
        <w:t xml:space="preserve"> ordinaire qui se tiendra à Genève le</w:t>
      </w:r>
      <w:r w:rsidR="005D3B5B" w:rsidRPr="003B4FCF">
        <w:rPr>
          <w:snapToGrid w:val="0"/>
          <w:lang w:val="fr-FR"/>
        </w:rPr>
        <w:t xml:space="preserve"> 1</w:t>
      </w:r>
      <w:r w:rsidR="005D3B5B" w:rsidRPr="003B4FCF">
        <w:rPr>
          <w:snapToGrid w:val="0"/>
          <w:vertAlign w:val="superscript"/>
          <w:lang w:val="fr-FR"/>
        </w:rPr>
        <w:t>er</w:t>
      </w:r>
      <w:r w:rsidR="005D3B5B" w:rsidRPr="003B4FCF">
        <w:rPr>
          <w:snapToGrid w:val="0"/>
          <w:lang w:val="fr-FR"/>
        </w:rPr>
        <w:t> </w:t>
      </w:r>
      <w:r w:rsidR="00D82405" w:rsidRPr="003B4FCF">
        <w:rPr>
          <w:snapToGrid w:val="0"/>
          <w:lang w:val="fr-FR"/>
        </w:rPr>
        <w:t>novembre</w:t>
      </w:r>
      <w:r w:rsidR="00A618B2" w:rsidRPr="003B4FCF">
        <w:rPr>
          <w:snapToGrid w:val="0"/>
          <w:lang w:val="fr-FR"/>
        </w:rPr>
        <w:t> </w:t>
      </w:r>
      <w:r w:rsidR="00D82405" w:rsidRPr="003B4FCF">
        <w:rPr>
          <w:snapToGrid w:val="0"/>
          <w:lang w:val="fr-FR"/>
        </w:rPr>
        <w:t>2019</w:t>
      </w:r>
      <w:r w:rsidR="005D3B5B" w:rsidRPr="003B4FCF">
        <w:rPr>
          <w:snapToGrid w:val="0"/>
          <w:lang w:val="fr-FR"/>
        </w:rPr>
        <w:t> :</w:t>
      </w:r>
    </w:p>
    <w:p w:rsidR="00465412" w:rsidRPr="003B4FCF" w:rsidRDefault="00465412" w:rsidP="00273B07">
      <w:pPr>
        <w:rPr>
          <w:lang w:val="fr-FR"/>
        </w:rPr>
      </w:pPr>
    </w:p>
    <w:p w:rsidR="00465412" w:rsidRPr="003B4FCF" w:rsidRDefault="00FD5E2C" w:rsidP="00FD5E2C">
      <w:pPr>
        <w:pStyle w:val="ListParagraph"/>
        <w:numPr>
          <w:ilvl w:val="0"/>
          <w:numId w:val="16"/>
        </w:numPr>
        <w:tabs>
          <w:tab w:val="left" w:pos="1701"/>
        </w:tabs>
        <w:ind w:left="1134" w:hanging="567"/>
        <w:rPr>
          <w:lang w:val="fr-FR"/>
        </w:rPr>
      </w:pPr>
      <w:r w:rsidRPr="003B4FCF">
        <w:rPr>
          <w:lang w:val="fr-FR"/>
        </w:rPr>
        <w:t>TGP/7/7 Draft 1</w:t>
      </w:r>
      <w:r w:rsidR="00A618B2" w:rsidRPr="003B4FCF">
        <w:rPr>
          <w:lang w:val="fr-FR"/>
        </w:rPr>
        <w:t> </w:t>
      </w:r>
      <w:r w:rsidRPr="003B4FCF">
        <w:rPr>
          <w:lang w:val="fr-FR"/>
        </w:rPr>
        <w:t>“Élaboration des principes directeurs d</w:t>
      </w:r>
      <w:r w:rsidR="005D3B5B" w:rsidRPr="003B4FCF">
        <w:rPr>
          <w:lang w:val="fr-FR"/>
        </w:rPr>
        <w:t>’</w:t>
      </w:r>
      <w:r w:rsidRPr="003B4FCF">
        <w:rPr>
          <w:lang w:val="fr-FR"/>
        </w:rPr>
        <w:t>examen”;</w:t>
      </w:r>
    </w:p>
    <w:p w:rsidR="00465412" w:rsidRPr="003B4FCF" w:rsidRDefault="00920667" w:rsidP="00FD5E2C">
      <w:pPr>
        <w:pStyle w:val="ListParagraph"/>
        <w:numPr>
          <w:ilvl w:val="0"/>
          <w:numId w:val="16"/>
        </w:numPr>
        <w:tabs>
          <w:tab w:val="left" w:pos="1701"/>
        </w:tabs>
        <w:ind w:left="1134" w:hanging="567"/>
        <w:rPr>
          <w:lang w:val="fr-FR"/>
        </w:rPr>
      </w:pPr>
      <w:r w:rsidRPr="003B4FCF">
        <w:rPr>
          <w:lang w:val="fr-FR"/>
        </w:rPr>
        <w:t>TGP/8/4 </w:t>
      </w:r>
      <w:r w:rsidR="00FD5E2C" w:rsidRPr="003B4FCF">
        <w:rPr>
          <w:lang w:val="fr-FR"/>
        </w:rPr>
        <w:t>Draft 1</w:t>
      </w:r>
      <w:r w:rsidR="00A618B2" w:rsidRPr="003B4FCF">
        <w:rPr>
          <w:lang w:val="fr-FR"/>
        </w:rPr>
        <w:t> </w:t>
      </w:r>
      <w:r w:rsidR="00FD5E2C" w:rsidRPr="003B4FCF">
        <w:rPr>
          <w:lang w:val="fr-FR"/>
        </w:rPr>
        <w:t>“Protocole d</w:t>
      </w:r>
      <w:r w:rsidR="005D3B5B" w:rsidRPr="003B4FCF">
        <w:rPr>
          <w:lang w:val="fr-FR"/>
        </w:rPr>
        <w:t>’</w:t>
      </w:r>
      <w:r w:rsidR="00FD5E2C" w:rsidRPr="003B4FCF">
        <w:rPr>
          <w:lang w:val="fr-FR"/>
        </w:rPr>
        <w:t>essai et techniques utilisés dans l</w:t>
      </w:r>
      <w:r w:rsidR="005D3B5B" w:rsidRPr="003B4FCF">
        <w:rPr>
          <w:lang w:val="fr-FR"/>
        </w:rPr>
        <w:t>’</w:t>
      </w:r>
      <w:r w:rsidR="00FD5E2C" w:rsidRPr="003B4FCF">
        <w:rPr>
          <w:lang w:val="fr-FR"/>
        </w:rPr>
        <w:t>examen de la distinction, de l</w:t>
      </w:r>
      <w:r w:rsidR="005D3B5B" w:rsidRPr="003B4FCF">
        <w:rPr>
          <w:lang w:val="fr-FR"/>
        </w:rPr>
        <w:t>’</w:t>
      </w:r>
      <w:r w:rsidR="00FD5E2C" w:rsidRPr="003B4FCF">
        <w:rPr>
          <w:lang w:val="fr-FR"/>
        </w:rPr>
        <w:t>homogénéité et de la stabilité”</w:t>
      </w:r>
    </w:p>
    <w:p w:rsidR="00465412" w:rsidRPr="003B4FCF" w:rsidRDefault="00FD5E2C" w:rsidP="00FD5E2C">
      <w:pPr>
        <w:pStyle w:val="ListParagraph"/>
        <w:numPr>
          <w:ilvl w:val="0"/>
          <w:numId w:val="16"/>
        </w:numPr>
        <w:tabs>
          <w:tab w:val="left" w:pos="1701"/>
        </w:tabs>
        <w:ind w:left="1134" w:hanging="567"/>
        <w:rPr>
          <w:lang w:val="fr-FR"/>
        </w:rPr>
      </w:pPr>
      <w:r w:rsidRPr="003B4FCF">
        <w:rPr>
          <w:lang w:val="fr-FR"/>
        </w:rPr>
        <w:t>TGP/10/2</w:t>
      </w:r>
      <w:r w:rsidR="00920667" w:rsidRPr="003B4FCF">
        <w:rPr>
          <w:lang w:val="fr-FR"/>
        </w:rPr>
        <w:t> </w:t>
      </w:r>
      <w:r w:rsidRPr="003B4FCF">
        <w:rPr>
          <w:lang w:val="fr-FR"/>
        </w:rPr>
        <w:t>Draft 1</w:t>
      </w:r>
      <w:r w:rsidR="00A618B2" w:rsidRPr="003B4FCF">
        <w:rPr>
          <w:lang w:val="fr-FR"/>
        </w:rPr>
        <w:t> </w:t>
      </w:r>
      <w:r w:rsidRPr="003B4FCF">
        <w:rPr>
          <w:lang w:val="fr-FR"/>
        </w:rPr>
        <w:t>“Examen de l</w:t>
      </w:r>
      <w:r w:rsidR="005D3B5B" w:rsidRPr="003B4FCF">
        <w:rPr>
          <w:lang w:val="fr-FR"/>
        </w:rPr>
        <w:t>’</w:t>
      </w:r>
      <w:r w:rsidRPr="003B4FCF">
        <w:rPr>
          <w:lang w:val="fr-FR"/>
        </w:rPr>
        <w:t>homogénéité”</w:t>
      </w:r>
    </w:p>
    <w:p w:rsidR="00465412" w:rsidRPr="003B4FCF" w:rsidRDefault="00920667" w:rsidP="00B97146">
      <w:pPr>
        <w:pStyle w:val="ListParagraph"/>
        <w:numPr>
          <w:ilvl w:val="0"/>
          <w:numId w:val="16"/>
        </w:numPr>
        <w:tabs>
          <w:tab w:val="left" w:pos="1701"/>
        </w:tabs>
        <w:ind w:left="1134" w:hanging="567"/>
        <w:rPr>
          <w:lang w:val="fr-FR"/>
        </w:rPr>
      </w:pPr>
      <w:r w:rsidRPr="003B4FCF">
        <w:rPr>
          <w:lang w:val="fr-FR"/>
        </w:rPr>
        <w:t>TGP/14/4 Draft </w:t>
      </w:r>
      <w:r w:rsidR="00B97146" w:rsidRPr="003B4FCF">
        <w:rPr>
          <w:lang w:val="fr-FR"/>
        </w:rPr>
        <w:t>1</w:t>
      </w:r>
      <w:r w:rsidR="00A618B2" w:rsidRPr="003B4FCF">
        <w:rPr>
          <w:lang w:val="fr-FR"/>
        </w:rPr>
        <w:t> </w:t>
      </w:r>
      <w:r w:rsidR="00B97146" w:rsidRPr="003B4FCF">
        <w:rPr>
          <w:lang w:val="fr-FR"/>
        </w:rPr>
        <w:t>“Glossaire de termes utilisés dans les documents de l</w:t>
      </w:r>
      <w:r w:rsidR="005D3B5B" w:rsidRPr="003B4FCF">
        <w:rPr>
          <w:lang w:val="fr-FR"/>
        </w:rPr>
        <w:t>’</w:t>
      </w:r>
      <w:r w:rsidR="00B97146" w:rsidRPr="003B4FCF">
        <w:rPr>
          <w:lang w:val="fr-FR"/>
        </w:rPr>
        <w:t>UPOV”</w:t>
      </w:r>
    </w:p>
    <w:p w:rsidR="00465412" w:rsidRPr="003B4FCF" w:rsidRDefault="00920667" w:rsidP="00B97146">
      <w:pPr>
        <w:pStyle w:val="ListParagraph"/>
        <w:numPr>
          <w:ilvl w:val="0"/>
          <w:numId w:val="16"/>
        </w:numPr>
        <w:tabs>
          <w:tab w:val="left" w:pos="1701"/>
        </w:tabs>
        <w:ind w:left="1134" w:hanging="567"/>
        <w:rPr>
          <w:lang w:val="fr-FR"/>
        </w:rPr>
      </w:pPr>
      <w:r w:rsidRPr="003B4FCF">
        <w:rPr>
          <w:lang w:val="fr-FR"/>
        </w:rPr>
        <w:t>TGP/15/2 Draft </w:t>
      </w:r>
      <w:r w:rsidR="00B97146" w:rsidRPr="003B4FCF">
        <w:rPr>
          <w:lang w:val="fr-FR"/>
        </w:rPr>
        <w:t xml:space="preserve">2 </w:t>
      </w:r>
      <w:r w:rsidR="001C3657" w:rsidRPr="003B4FCF">
        <w:rPr>
          <w:lang w:val="fr-FR"/>
        </w:rPr>
        <w:t>“</w:t>
      </w:r>
      <w:r w:rsidR="00B97146" w:rsidRPr="003B4FCF">
        <w:rPr>
          <w:lang w:val="fr-FR"/>
        </w:rPr>
        <w:t>Conseils en ce qui concerne l</w:t>
      </w:r>
      <w:r w:rsidR="005D3B5B" w:rsidRPr="003B4FCF">
        <w:rPr>
          <w:lang w:val="fr-FR"/>
        </w:rPr>
        <w:t>’</w:t>
      </w:r>
      <w:r w:rsidR="00B97146" w:rsidRPr="003B4FCF">
        <w:rPr>
          <w:lang w:val="fr-FR"/>
        </w:rPr>
        <w:t>utilisation des marqueurs biochimiques et moléculaires dans l</w:t>
      </w:r>
      <w:r w:rsidR="005D3B5B" w:rsidRPr="003B4FCF">
        <w:rPr>
          <w:lang w:val="fr-FR"/>
        </w:rPr>
        <w:t>’</w:t>
      </w:r>
      <w:r w:rsidR="00B97146" w:rsidRPr="003B4FCF">
        <w:rPr>
          <w:lang w:val="fr-FR"/>
        </w:rPr>
        <w:t>examen de la distinction, de l</w:t>
      </w:r>
      <w:r w:rsidR="005D3B5B" w:rsidRPr="003B4FCF">
        <w:rPr>
          <w:lang w:val="fr-FR"/>
        </w:rPr>
        <w:t>’</w:t>
      </w:r>
      <w:r w:rsidR="00B97146" w:rsidRPr="003B4FCF">
        <w:rPr>
          <w:lang w:val="fr-FR"/>
        </w:rPr>
        <w:t>homogénéité et de la stabilité (DHS)</w:t>
      </w:r>
      <w:r w:rsidR="001C3657" w:rsidRPr="003B4FCF">
        <w:rPr>
          <w:lang w:val="fr-FR"/>
        </w:rPr>
        <w:t>”</w:t>
      </w:r>
    </w:p>
    <w:p w:rsidR="00465412" w:rsidRPr="003B4FCF" w:rsidRDefault="00920667" w:rsidP="00B97146">
      <w:pPr>
        <w:pStyle w:val="ListParagraph"/>
        <w:numPr>
          <w:ilvl w:val="0"/>
          <w:numId w:val="16"/>
        </w:numPr>
        <w:tabs>
          <w:tab w:val="left" w:pos="1701"/>
        </w:tabs>
        <w:ind w:left="1134" w:hanging="567"/>
        <w:rPr>
          <w:lang w:val="fr-FR"/>
        </w:rPr>
      </w:pPr>
      <w:r w:rsidRPr="003B4FCF">
        <w:rPr>
          <w:lang w:val="fr-FR"/>
        </w:rPr>
        <w:t>TGP/0/11 </w:t>
      </w:r>
      <w:r w:rsidR="00B97146" w:rsidRPr="003B4FCF">
        <w:rPr>
          <w:lang w:val="fr-FR"/>
        </w:rPr>
        <w:t>Draft</w:t>
      </w:r>
      <w:r w:rsidR="00A618B2" w:rsidRPr="003B4FCF">
        <w:rPr>
          <w:lang w:val="fr-FR"/>
        </w:rPr>
        <w:t> </w:t>
      </w:r>
      <w:r w:rsidR="00B97146" w:rsidRPr="003B4FCF">
        <w:rPr>
          <w:lang w:val="fr-FR"/>
        </w:rPr>
        <w:t>1 “Liste des documents TGP et date de la version la plus récente de ces documents”</w:t>
      </w:r>
    </w:p>
    <w:p w:rsidR="00465412" w:rsidRPr="003B4FCF" w:rsidRDefault="00465412" w:rsidP="00273B07">
      <w:pPr>
        <w:rPr>
          <w:lang w:val="fr-FR"/>
        </w:rPr>
      </w:pPr>
    </w:p>
    <w:p w:rsidR="00465412" w:rsidRPr="003B4FCF" w:rsidRDefault="00273B07" w:rsidP="00B97146">
      <w:pPr>
        <w:rPr>
          <w:lang w:val="fr-FR"/>
        </w:rPr>
      </w:pPr>
      <w:r w:rsidRPr="003B4FCF">
        <w:rPr>
          <w:lang w:val="fr-FR"/>
        </w:rPr>
        <w:fldChar w:fldCharType="begin"/>
      </w:r>
      <w:r w:rsidRPr="003B4FCF">
        <w:rPr>
          <w:lang w:val="fr-FR"/>
        </w:rPr>
        <w:instrText xml:space="preserve"> AUTONUM  </w:instrText>
      </w:r>
      <w:r w:rsidRPr="003B4FCF">
        <w:rPr>
          <w:lang w:val="fr-FR"/>
        </w:rPr>
        <w:fldChar w:fldCharType="end"/>
      </w:r>
      <w:r w:rsidRPr="003B4FCF">
        <w:rPr>
          <w:lang w:val="fr-FR"/>
        </w:rPr>
        <w:tab/>
      </w:r>
      <w:r w:rsidR="00B97146" w:rsidRPr="003B4FCF">
        <w:rPr>
          <w:lang w:val="fr-FR"/>
        </w:rPr>
        <w:t xml:space="preserve">Compte tenu des conclusions </w:t>
      </w:r>
      <w:r w:rsidR="00481BC8" w:rsidRPr="003B4FCF">
        <w:rPr>
          <w:lang w:val="fr-FR"/>
        </w:rPr>
        <w:t>formulées</w:t>
      </w:r>
      <w:r w:rsidR="00B97146" w:rsidRPr="003B4FCF">
        <w:rPr>
          <w:lang w:val="fr-FR"/>
        </w:rPr>
        <w:t xml:space="preserve"> par le Comité technique à sa cinquante</w:t>
      </w:r>
      <w:r w:rsidR="005D3B5B" w:rsidRPr="003B4FCF">
        <w:rPr>
          <w:lang w:val="fr-FR"/>
        </w:rPr>
        <w:t>-</w:t>
      </w:r>
      <w:r w:rsidR="00B97146" w:rsidRPr="003B4FCF">
        <w:rPr>
          <w:lang w:val="fr-FR"/>
        </w:rPr>
        <w:t>cinqu</w:t>
      </w:r>
      <w:r w:rsidR="005D3B5B" w:rsidRPr="003B4FCF">
        <w:rPr>
          <w:lang w:val="fr-FR"/>
        </w:rPr>
        <w:t>ième session</w:t>
      </w:r>
      <w:r w:rsidR="00B97146" w:rsidRPr="003B4FCF">
        <w:rPr>
          <w:rStyle w:val="FootnoteReference"/>
          <w:lang w:val="fr-FR"/>
        </w:rPr>
        <w:footnoteReference w:id="2"/>
      </w:r>
      <w:r w:rsidR="00B97146" w:rsidRPr="003B4FCF">
        <w:rPr>
          <w:lang w:val="fr-FR"/>
        </w:rPr>
        <w:t>,</w:t>
      </w:r>
      <w:r w:rsidR="00067374" w:rsidRPr="003B4FCF">
        <w:rPr>
          <w:lang w:val="fr-FR"/>
        </w:rPr>
        <w:t xml:space="preserve"> le CAJ</w:t>
      </w:r>
      <w:r w:rsidR="00B97146" w:rsidRPr="003B4FCF">
        <w:rPr>
          <w:lang w:val="fr-FR"/>
        </w:rPr>
        <w:t xml:space="preserve"> est invité</w:t>
      </w:r>
      <w:r w:rsidR="00920667" w:rsidRPr="003B4FCF">
        <w:rPr>
          <w:lang w:val="fr-FR"/>
        </w:rPr>
        <w:t xml:space="preserve"> à :</w:t>
      </w:r>
    </w:p>
    <w:p w:rsidR="00465412" w:rsidRPr="003B4FCF" w:rsidRDefault="00465412" w:rsidP="00273B07">
      <w:pPr>
        <w:rPr>
          <w:lang w:val="fr-FR"/>
        </w:rPr>
      </w:pPr>
    </w:p>
    <w:p w:rsidR="00465412" w:rsidRPr="003B4FCF" w:rsidRDefault="004F4AA6" w:rsidP="004F4AA6">
      <w:pPr>
        <w:tabs>
          <w:tab w:val="left" w:pos="1134"/>
        </w:tabs>
        <w:ind w:firstLine="567"/>
        <w:rPr>
          <w:lang w:val="fr-FR"/>
        </w:rPr>
      </w:pPr>
      <w:r w:rsidRPr="003B4FCF">
        <w:rPr>
          <w:lang w:val="fr-FR"/>
        </w:rPr>
        <w:t>a)</w:t>
      </w:r>
      <w:r w:rsidRPr="003B4FCF">
        <w:rPr>
          <w:lang w:val="fr-FR"/>
        </w:rPr>
        <w:tab/>
        <w:t>examiner la version révisée du document TGP/7 “Élaboration des principes directeurs d</w:t>
      </w:r>
      <w:r w:rsidR="005D3B5B" w:rsidRPr="003B4FCF">
        <w:rPr>
          <w:lang w:val="fr-FR"/>
        </w:rPr>
        <w:t>’</w:t>
      </w:r>
      <w:r w:rsidRPr="003B4FCF">
        <w:rPr>
          <w:lang w:val="fr-FR"/>
        </w:rPr>
        <w:t>examen” (document TGP/7/7)</w:t>
      </w:r>
      <w:r w:rsidR="007B308C" w:rsidRPr="003B4FCF">
        <w:rPr>
          <w:lang w:val="fr-FR"/>
        </w:rPr>
        <w:t>,</w:t>
      </w:r>
      <w:r w:rsidRPr="003B4FCF">
        <w:rPr>
          <w:lang w:val="fr-FR"/>
        </w:rPr>
        <w:t xml:space="preserve"> sur la b</w:t>
      </w:r>
      <w:r w:rsidR="00920667" w:rsidRPr="003B4FCF">
        <w:rPr>
          <w:lang w:val="fr-FR"/>
        </w:rPr>
        <w:t>ase du document TGP/7/7 Draft 1 ;</w:t>
      </w:r>
    </w:p>
    <w:p w:rsidR="00465412" w:rsidRPr="003B4FCF" w:rsidRDefault="00465412" w:rsidP="00273B07">
      <w:pPr>
        <w:tabs>
          <w:tab w:val="left" w:pos="1134"/>
        </w:tabs>
        <w:ind w:firstLine="567"/>
        <w:rPr>
          <w:lang w:val="fr-FR"/>
        </w:rPr>
      </w:pPr>
    </w:p>
    <w:p w:rsidR="00465412" w:rsidRPr="003B4FCF" w:rsidRDefault="004F4AA6" w:rsidP="004F4AA6">
      <w:pPr>
        <w:tabs>
          <w:tab w:val="left" w:pos="1134"/>
        </w:tabs>
        <w:ind w:firstLine="567"/>
        <w:rPr>
          <w:lang w:val="fr-FR"/>
        </w:rPr>
      </w:pPr>
      <w:r w:rsidRPr="003B4FCF">
        <w:rPr>
          <w:lang w:val="fr-FR"/>
        </w:rPr>
        <w:t>b)</w:t>
      </w:r>
      <w:r w:rsidRPr="003B4FCF">
        <w:rPr>
          <w:lang w:val="fr-FR"/>
        </w:rPr>
        <w:tab/>
        <w:t>examiner la version révisée du document TGP/8 “Protocole d</w:t>
      </w:r>
      <w:r w:rsidR="005D3B5B" w:rsidRPr="003B4FCF">
        <w:rPr>
          <w:lang w:val="fr-FR"/>
        </w:rPr>
        <w:t>’</w:t>
      </w:r>
      <w:r w:rsidRPr="003B4FCF">
        <w:rPr>
          <w:lang w:val="fr-FR"/>
        </w:rPr>
        <w:t>essai et techniques utilisés dans l</w:t>
      </w:r>
      <w:r w:rsidR="005D3B5B" w:rsidRPr="003B4FCF">
        <w:rPr>
          <w:lang w:val="fr-FR"/>
        </w:rPr>
        <w:t>’</w:t>
      </w:r>
      <w:r w:rsidRPr="003B4FCF">
        <w:rPr>
          <w:lang w:val="fr-FR"/>
        </w:rPr>
        <w:t>examen de la distinction, de l</w:t>
      </w:r>
      <w:r w:rsidR="005D3B5B" w:rsidRPr="003B4FCF">
        <w:rPr>
          <w:lang w:val="fr-FR"/>
        </w:rPr>
        <w:t>’</w:t>
      </w:r>
      <w:r w:rsidRPr="003B4FCF">
        <w:rPr>
          <w:lang w:val="fr-FR"/>
        </w:rPr>
        <w:t>homogénéité et de la stabilité” (document TGP/8/3), sur la b</w:t>
      </w:r>
      <w:r w:rsidR="00920667" w:rsidRPr="003B4FCF">
        <w:rPr>
          <w:lang w:val="fr-FR"/>
        </w:rPr>
        <w:t>ase du document TGP/8/4 Draft 1 ;</w:t>
      </w:r>
    </w:p>
    <w:p w:rsidR="00465412" w:rsidRPr="003B4FCF" w:rsidRDefault="00465412" w:rsidP="002E39F3">
      <w:pPr>
        <w:tabs>
          <w:tab w:val="left" w:pos="1134"/>
        </w:tabs>
        <w:ind w:firstLine="567"/>
        <w:rPr>
          <w:lang w:val="fr-FR"/>
        </w:rPr>
      </w:pPr>
    </w:p>
    <w:p w:rsidR="00465412" w:rsidRPr="003B4FCF" w:rsidRDefault="004F4AA6" w:rsidP="004F4AA6">
      <w:pPr>
        <w:tabs>
          <w:tab w:val="left" w:pos="1134"/>
        </w:tabs>
        <w:ind w:firstLine="567"/>
        <w:rPr>
          <w:lang w:val="fr-FR"/>
        </w:rPr>
      </w:pPr>
      <w:r w:rsidRPr="003B4FCF">
        <w:rPr>
          <w:lang w:val="fr-FR"/>
        </w:rPr>
        <w:t>c)</w:t>
      </w:r>
      <w:r w:rsidRPr="003B4FCF">
        <w:rPr>
          <w:lang w:val="fr-FR"/>
        </w:rPr>
        <w:tab/>
        <w:t>examiner la version révisée du document TGP/10 “Examen de l</w:t>
      </w:r>
      <w:r w:rsidR="005D3B5B" w:rsidRPr="003B4FCF">
        <w:rPr>
          <w:lang w:val="fr-FR"/>
        </w:rPr>
        <w:t>’</w:t>
      </w:r>
      <w:r w:rsidRPr="003B4FCF">
        <w:rPr>
          <w:lang w:val="fr-FR"/>
        </w:rPr>
        <w:t>homogénéité” (</w:t>
      </w:r>
      <w:r w:rsidR="00067374" w:rsidRPr="003B4FCF">
        <w:rPr>
          <w:lang w:val="fr-FR"/>
        </w:rPr>
        <w:t>document TG</w:t>
      </w:r>
      <w:r w:rsidRPr="003B4FCF">
        <w:rPr>
          <w:lang w:val="fr-FR"/>
        </w:rPr>
        <w:t xml:space="preserve">P/10/1), sur la base du </w:t>
      </w:r>
      <w:r w:rsidR="00067374" w:rsidRPr="003B4FCF">
        <w:rPr>
          <w:lang w:val="fr-FR"/>
        </w:rPr>
        <w:t>document TG</w:t>
      </w:r>
      <w:r w:rsidR="00920667" w:rsidRPr="003B4FCF">
        <w:rPr>
          <w:lang w:val="fr-FR"/>
        </w:rPr>
        <w:t>P/10/2 Draft 1 ;</w:t>
      </w:r>
    </w:p>
    <w:p w:rsidR="00465412" w:rsidRPr="003B4FCF" w:rsidRDefault="00465412" w:rsidP="002E39F3">
      <w:pPr>
        <w:tabs>
          <w:tab w:val="left" w:pos="1134"/>
        </w:tabs>
        <w:ind w:firstLine="567"/>
        <w:rPr>
          <w:lang w:val="fr-FR"/>
        </w:rPr>
      </w:pPr>
    </w:p>
    <w:p w:rsidR="00465412" w:rsidRPr="003B4FCF" w:rsidRDefault="004F4AA6" w:rsidP="004F4AA6">
      <w:pPr>
        <w:tabs>
          <w:tab w:val="left" w:pos="1134"/>
        </w:tabs>
        <w:ind w:firstLine="567"/>
        <w:rPr>
          <w:lang w:val="fr-FR"/>
        </w:rPr>
      </w:pPr>
      <w:r w:rsidRPr="003B4FCF">
        <w:rPr>
          <w:lang w:val="fr-FR"/>
        </w:rPr>
        <w:t>d)</w:t>
      </w:r>
      <w:r w:rsidRPr="003B4FCF">
        <w:rPr>
          <w:lang w:val="fr-FR"/>
        </w:rPr>
        <w:tab/>
        <w:t>examiner la version révisée du document TGP/14 “Glossaire de termes utilisés dans les documents de l</w:t>
      </w:r>
      <w:r w:rsidR="005D3B5B" w:rsidRPr="003B4FCF">
        <w:rPr>
          <w:lang w:val="fr-FR"/>
        </w:rPr>
        <w:t>’</w:t>
      </w:r>
      <w:r w:rsidRPr="003B4FCF">
        <w:rPr>
          <w:lang w:val="fr-FR"/>
        </w:rPr>
        <w:t>UPOV” (</w:t>
      </w:r>
      <w:r w:rsidR="00067374" w:rsidRPr="003B4FCF">
        <w:rPr>
          <w:lang w:val="fr-FR"/>
        </w:rPr>
        <w:t>document TG</w:t>
      </w:r>
      <w:r w:rsidRPr="003B4FCF">
        <w:rPr>
          <w:lang w:val="fr-FR"/>
        </w:rPr>
        <w:t xml:space="preserve">P/14/3), sur la base du </w:t>
      </w:r>
      <w:r w:rsidR="00067374" w:rsidRPr="003B4FCF">
        <w:rPr>
          <w:lang w:val="fr-FR"/>
        </w:rPr>
        <w:t>document TG</w:t>
      </w:r>
      <w:r w:rsidR="00920667" w:rsidRPr="003B4FCF">
        <w:rPr>
          <w:lang w:val="fr-FR"/>
        </w:rPr>
        <w:t>P/14/4 Draft 1 ;</w:t>
      </w:r>
    </w:p>
    <w:p w:rsidR="00465412" w:rsidRPr="003B4FCF" w:rsidRDefault="00465412" w:rsidP="002E39F3">
      <w:pPr>
        <w:tabs>
          <w:tab w:val="left" w:pos="1134"/>
        </w:tabs>
        <w:ind w:firstLine="567"/>
        <w:rPr>
          <w:lang w:val="fr-FR"/>
        </w:rPr>
      </w:pPr>
    </w:p>
    <w:p w:rsidR="00465412" w:rsidRPr="003B4FCF" w:rsidRDefault="004F4AA6" w:rsidP="004F4AA6">
      <w:pPr>
        <w:tabs>
          <w:tab w:val="left" w:pos="1134"/>
        </w:tabs>
        <w:ind w:firstLine="567"/>
        <w:rPr>
          <w:lang w:val="fr-FR"/>
        </w:rPr>
      </w:pPr>
      <w:r w:rsidRPr="003B4FCF">
        <w:rPr>
          <w:lang w:val="fr-FR"/>
        </w:rPr>
        <w:t>e)</w:t>
      </w:r>
      <w:r w:rsidRPr="003B4FCF">
        <w:rPr>
          <w:lang w:val="fr-FR"/>
        </w:rPr>
        <w:tab/>
        <w:t>examiner la version révisée du document TGP/15 “Conseils en ce qui concerne l</w:t>
      </w:r>
      <w:r w:rsidR="005D3B5B" w:rsidRPr="003B4FCF">
        <w:rPr>
          <w:lang w:val="fr-FR"/>
        </w:rPr>
        <w:t>’</w:t>
      </w:r>
      <w:r w:rsidRPr="003B4FCF">
        <w:rPr>
          <w:lang w:val="fr-FR"/>
        </w:rPr>
        <w:t>utilisation des marqueurs biochimiques et moléculaires dans l</w:t>
      </w:r>
      <w:r w:rsidR="005D3B5B" w:rsidRPr="003B4FCF">
        <w:rPr>
          <w:lang w:val="fr-FR"/>
        </w:rPr>
        <w:t>’</w:t>
      </w:r>
      <w:r w:rsidRPr="003B4FCF">
        <w:rPr>
          <w:lang w:val="fr-FR"/>
        </w:rPr>
        <w:t>examen de la distinction, de l</w:t>
      </w:r>
      <w:r w:rsidR="005D3B5B" w:rsidRPr="003B4FCF">
        <w:rPr>
          <w:lang w:val="fr-FR"/>
        </w:rPr>
        <w:t>’</w:t>
      </w:r>
      <w:r w:rsidRPr="003B4FCF">
        <w:rPr>
          <w:lang w:val="fr-FR"/>
        </w:rPr>
        <w:t>homogénéité et de la stabilité (DHS)” (</w:t>
      </w:r>
      <w:r w:rsidR="00067374" w:rsidRPr="003B4FCF">
        <w:rPr>
          <w:lang w:val="fr-FR"/>
        </w:rPr>
        <w:t>document TG</w:t>
      </w:r>
      <w:r w:rsidRPr="003B4FCF">
        <w:rPr>
          <w:lang w:val="fr-FR"/>
        </w:rPr>
        <w:t xml:space="preserve">P/15/1), sur la base du </w:t>
      </w:r>
      <w:r w:rsidR="00067374" w:rsidRPr="003B4FCF">
        <w:rPr>
          <w:lang w:val="fr-FR"/>
        </w:rPr>
        <w:t>document TG</w:t>
      </w:r>
      <w:r w:rsidR="00920667" w:rsidRPr="003B4FCF">
        <w:rPr>
          <w:lang w:val="fr-FR"/>
        </w:rPr>
        <w:t>P/15/2 Draft 2 ;</w:t>
      </w:r>
    </w:p>
    <w:p w:rsidR="00465412" w:rsidRPr="003B4FCF" w:rsidRDefault="00465412" w:rsidP="00273B07">
      <w:pPr>
        <w:tabs>
          <w:tab w:val="left" w:pos="1134"/>
        </w:tabs>
        <w:ind w:firstLine="567"/>
        <w:rPr>
          <w:lang w:val="fr-FR"/>
        </w:rPr>
      </w:pPr>
    </w:p>
    <w:p w:rsidR="00067374" w:rsidRPr="003B4FCF" w:rsidRDefault="004F4AA6" w:rsidP="004F4AA6">
      <w:pPr>
        <w:tabs>
          <w:tab w:val="left" w:pos="1134"/>
        </w:tabs>
        <w:ind w:firstLine="567"/>
        <w:rPr>
          <w:rFonts w:cs="Arial"/>
          <w:lang w:val="fr-FR"/>
        </w:rPr>
      </w:pPr>
      <w:r w:rsidRPr="003B4FCF">
        <w:rPr>
          <w:rFonts w:cs="Arial"/>
          <w:lang w:val="fr-FR"/>
        </w:rPr>
        <w:t>f)</w:t>
      </w:r>
      <w:r w:rsidRPr="003B4FCF">
        <w:rPr>
          <w:rFonts w:cs="Arial"/>
          <w:lang w:val="fr-FR"/>
        </w:rPr>
        <w:tab/>
        <w:t>noter que, parallèlement à l</w:t>
      </w:r>
      <w:r w:rsidR="005D3B5B" w:rsidRPr="003B4FCF">
        <w:rPr>
          <w:rFonts w:cs="Arial"/>
          <w:lang w:val="fr-FR"/>
        </w:rPr>
        <w:t>’</w:t>
      </w:r>
      <w:r w:rsidRPr="003B4FCF">
        <w:rPr>
          <w:rFonts w:cs="Arial"/>
          <w:lang w:val="fr-FR"/>
        </w:rPr>
        <w:t>adoption des documents TGP révisés, le Conseil</w:t>
      </w:r>
      <w:r w:rsidR="007B308C" w:rsidRPr="003B4FCF">
        <w:rPr>
          <w:rFonts w:cs="Arial"/>
          <w:lang w:val="fr-FR"/>
        </w:rPr>
        <w:t xml:space="preserve"> sera invité</w:t>
      </w:r>
      <w:r w:rsidRPr="003B4FCF">
        <w:rPr>
          <w:rFonts w:cs="Arial"/>
          <w:lang w:val="fr-FR"/>
        </w:rPr>
        <w:t>, à sa cinquante</w:t>
      </w:r>
      <w:r w:rsidR="005D3B5B" w:rsidRPr="003B4FCF">
        <w:rPr>
          <w:rFonts w:cs="Arial"/>
          <w:lang w:val="fr-FR"/>
        </w:rPr>
        <w:t>-</w:t>
      </w:r>
      <w:r w:rsidRPr="003B4FCF">
        <w:rPr>
          <w:rFonts w:cs="Arial"/>
          <w:lang w:val="fr-FR"/>
        </w:rPr>
        <w:t>trois</w:t>
      </w:r>
      <w:r w:rsidR="005D3B5B" w:rsidRPr="003B4FCF">
        <w:rPr>
          <w:rFonts w:cs="Arial"/>
          <w:lang w:val="fr-FR"/>
        </w:rPr>
        <w:t>ième session</w:t>
      </w:r>
      <w:r w:rsidRPr="003B4FCF">
        <w:rPr>
          <w:rFonts w:cs="Arial"/>
          <w:lang w:val="fr-FR"/>
        </w:rPr>
        <w:t xml:space="preserve"> ordinaire, à adopter une version révisée du </w:t>
      </w:r>
      <w:r w:rsidR="00067374" w:rsidRPr="003B4FCF">
        <w:rPr>
          <w:rFonts w:cs="Arial"/>
          <w:lang w:val="fr-FR"/>
        </w:rPr>
        <w:t>document TG</w:t>
      </w:r>
      <w:r w:rsidRPr="003B4FCF">
        <w:rPr>
          <w:rFonts w:cs="Arial"/>
          <w:lang w:val="fr-FR"/>
        </w:rPr>
        <w:t>P/0 “Liste des documents TGP et date de la version la plus récente de c</w:t>
      </w:r>
      <w:r w:rsidR="007B308C" w:rsidRPr="003B4FCF">
        <w:rPr>
          <w:rFonts w:cs="Arial"/>
          <w:lang w:val="fr-FR"/>
        </w:rPr>
        <w:t>es documents” (</w:t>
      </w:r>
      <w:r w:rsidR="00067374" w:rsidRPr="003B4FCF">
        <w:rPr>
          <w:rFonts w:cs="Arial"/>
          <w:lang w:val="fr-FR"/>
        </w:rPr>
        <w:t>document TG</w:t>
      </w:r>
      <w:r w:rsidR="007B308C" w:rsidRPr="003B4FCF">
        <w:rPr>
          <w:rFonts w:cs="Arial"/>
          <w:lang w:val="fr-FR"/>
        </w:rPr>
        <w:t>P/0/10</w:t>
      </w:r>
      <w:r w:rsidRPr="003B4FCF">
        <w:rPr>
          <w:rFonts w:cs="Arial"/>
          <w:lang w:val="fr-FR"/>
        </w:rPr>
        <w:t xml:space="preserve">), </w:t>
      </w:r>
      <w:r w:rsidR="007B308C" w:rsidRPr="003B4FCF">
        <w:rPr>
          <w:rFonts w:cs="Arial"/>
          <w:lang w:val="fr-FR"/>
        </w:rPr>
        <w:t xml:space="preserve">sur la base du </w:t>
      </w:r>
      <w:r w:rsidR="00067374" w:rsidRPr="003B4FCF">
        <w:rPr>
          <w:rFonts w:cs="Arial"/>
          <w:lang w:val="fr-FR"/>
        </w:rPr>
        <w:t>document TG</w:t>
      </w:r>
      <w:r w:rsidR="007B308C" w:rsidRPr="003B4FCF">
        <w:rPr>
          <w:rFonts w:cs="Arial"/>
          <w:lang w:val="fr-FR"/>
        </w:rPr>
        <w:t>P/0/11</w:t>
      </w:r>
      <w:r w:rsidRPr="003B4FCF">
        <w:rPr>
          <w:rFonts w:cs="Arial"/>
          <w:lang w:val="fr-FR"/>
        </w:rPr>
        <w:t xml:space="preserve"> Draft</w:t>
      </w:r>
      <w:r w:rsidR="00A618B2" w:rsidRPr="003B4FCF">
        <w:rPr>
          <w:rFonts w:cs="Arial"/>
          <w:lang w:val="fr-FR"/>
        </w:rPr>
        <w:t> </w:t>
      </w:r>
      <w:r w:rsidR="00920667" w:rsidRPr="003B4FCF">
        <w:rPr>
          <w:rFonts w:cs="Arial"/>
          <w:lang w:val="fr-FR"/>
        </w:rPr>
        <w:t>1 ;</w:t>
      </w:r>
      <w:r w:rsidRPr="003B4FCF">
        <w:rPr>
          <w:rFonts w:cs="Arial"/>
          <w:lang w:val="fr-FR"/>
        </w:rPr>
        <w:t xml:space="preserve"> et</w:t>
      </w:r>
    </w:p>
    <w:p w:rsidR="00465412" w:rsidRPr="003B4FCF" w:rsidRDefault="00465412" w:rsidP="00273B07">
      <w:pPr>
        <w:tabs>
          <w:tab w:val="left" w:pos="1134"/>
        </w:tabs>
        <w:ind w:firstLine="567"/>
        <w:rPr>
          <w:rFonts w:cs="Arial"/>
          <w:lang w:val="fr-FR"/>
        </w:rPr>
      </w:pPr>
    </w:p>
    <w:p w:rsidR="00465412" w:rsidRPr="003B4FCF" w:rsidRDefault="004F4AA6" w:rsidP="004F4AA6">
      <w:pPr>
        <w:tabs>
          <w:tab w:val="left" w:pos="1134"/>
        </w:tabs>
        <w:ind w:firstLine="567"/>
        <w:rPr>
          <w:lang w:val="fr-FR"/>
        </w:rPr>
      </w:pPr>
      <w:r w:rsidRPr="003B4FCF">
        <w:rPr>
          <w:lang w:val="fr-FR"/>
        </w:rPr>
        <w:t>g)</w:t>
      </w:r>
      <w:r w:rsidRPr="003B4FCF">
        <w:rPr>
          <w:lang w:val="fr-FR"/>
        </w:rPr>
        <w:tab/>
        <w:t>examiner le programme d</w:t>
      </w:r>
      <w:r w:rsidR="005D3B5B" w:rsidRPr="003B4FCF">
        <w:rPr>
          <w:lang w:val="fr-FR"/>
        </w:rPr>
        <w:t>’</w:t>
      </w:r>
      <w:r w:rsidRPr="003B4FCF">
        <w:rPr>
          <w:lang w:val="fr-FR"/>
        </w:rPr>
        <w:t>élaboration des documents TGP, tel qu</w:t>
      </w:r>
      <w:r w:rsidR="005D3B5B" w:rsidRPr="003B4FCF">
        <w:rPr>
          <w:lang w:val="fr-FR"/>
        </w:rPr>
        <w:t>’</w:t>
      </w:r>
      <w:r w:rsidRPr="003B4FCF">
        <w:rPr>
          <w:lang w:val="fr-FR"/>
        </w:rPr>
        <w:t>il figure aux paragraphes</w:t>
      </w:r>
      <w:r w:rsidR="00A618B2" w:rsidRPr="003B4FCF">
        <w:rPr>
          <w:lang w:val="fr-FR"/>
        </w:rPr>
        <w:t> </w:t>
      </w:r>
      <w:r w:rsidRPr="003B4FCF">
        <w:rPr>
          <w:lang w:val="fr-FR"/>
        </w:rPr>
        <w:t>38 et 39 du présent document.</w:t>
      </w:r>
    </w:p>
    <w:p w:rsidR="00465412" w:rsidRPr="003B4FCF" w:rsidRDefault="00273B07" w:rsidP="00920667">
      <w:pPr>
        <w:keepNext/>
        <w:rPr>
          <w:rFonts w:cs="Arial"/>
          <w:lang w:val="fr-FR"/>
        </w:rPr>
      </w:pPr>
      <w:r w:rsidRPr="003B4FCF">
        <w:rPr>
          <w:rFonts w:cs="Arial"/>
          <w:lang w:val="fr-FR"/>
        </w:rPr>
        <w:lastRenderedPageBreak/>
        <w:fldChar w:fldCharType="begin"/>
      </w:r>
      <w:r w:rsidRPr="003B4FCF">
        <w:rPr>
          <w:rFonts w:cs="Arial"/>
          <w:lang w:val="fr-FR"/>
        </w:rPr>
        <w:instrText xml:space="preserve"> AUTONUM  </w:instrText>
      </w:r>
      <w:r w:rsidRPr="003B4FCF">
        <w:rPr>
          <w:rFonts w:cs="Arial"/>
          <w:lang w:val="fr-FR"/>
        </w:rPr>
        <w:fldChar w:fldCharType="end"/>
      </w:r>
      <w:r w:rsidRPr="003B4FCF">
        <w:rPr>
          <w:rFonts w:cs="Arial"/>
          <w:lang w:val="fr-FR"/>
        </w:rPr>
        <w:tab/>
      </w:r>
      <w:r w:rsidR="004F4AA6" w:rsidRPr="003B4FCF">
        <w:rPr>
          <w:rFonts w:cs="Arial"/>
          <w:lang w:val="fr-FR"/>
        </w:rPr>
        <w:t>Le présent document est structuré comme suit</w:t>
      </w:r>
      <w:r w:rsidR="005D3B5B" w:rsidRPr="003B4FCF">
        <w:rPr>
          <w:rFonts w:cs="Arial"/>
          <w:lang w:val="fr-FR"/>
        </w:rPr>
        <w:t> :</w:t>
      </w:r>
    </w:p>
    <w:p w:rsidR="00465412" w:rsidRPr="003B4FCF" w:rsidRDefault="00465412" w:rsidP="00920667">
      <w:pPr>
        <w:keepNext/>
        <w:rPr>
          <w:rFonts w:cs="Arial"/>
          <w:lang w:val="fr-FR"/>
        </w:rPr>
      </w:pPr>
    </w:p>
    <w:p w:rsidR="00465412" w:rsidRPr="003B4FCF" w:rsidRDefault="00273B07">
      <w:pPr>
        <w:pStyle w:val="TOC1"/>
        <w:rPr>
          <w:rFonts w:asciiTheme="minorHAnsi" w:eastAsiaTheme="minorEastAsia" w:hAnsiTheme="minorHAnsi" w:cstheme="minorBidi"/>
          <w:caps w:val="0"/>
          <w:snapToGrid/>
          <w:sz w:val="22"/>
          <w:szCs w:val="22"/>
          <w:lang w:val="fr-FR"/>
        </w:rPr>
      </w:pPr>
      <w:r w:rsidRPr="003B4FCF">
        <w:rPr>
          <w:rFonts w:cs="Arial"/>
          <w:bCs/>
          <w:noProof w:val="0"/>
          <w:lang w:val="fr-FR"/>
        </w:rPr>
        <w:fldChar w:fldCharType="begin"/>
      </w:r>
      <w:r w:rsidRPr="003B4FCF">
        <w:rPr>
          <w:rFonts w:cs="Arial"/>
          <w:bCs/>
          <w:noProof w:val="0"/>
          <w:lang w:val="fr-FR"/>
        </w:rPr>
        <w:instrText xml:space="preserve"> TOC \o "1-4" \h \z \u </w:instrText>
      </w:r>
      <w:r w:rsidRPr="003B4FCF">
        <w:rPr>
          <w:rFonts w:cs="Arial"/>
          <w:bCs/>
          <w:noProof w:val="0"/>
          <w:lang w:val="fr-FR"/>
        </w:rPr>
        <w:fldChar w:fldCharType="separate"/>
      </w:r>
      <w:hyperlink w:anchor="_Toc14792928" w:history="1">
        <w:r w:rsidR="00536D59" w:rsidRPr="003B4FCF">
          <w:rPr>
            <w:rStyle w:val="Hyperlink"/>
            <w:color w:val="auto"/>
            <w:lang w:val="fr-FR"/>
          </w:rPr>
          <w:t>Résumé</w:t>
        </w:r>
        <w:r w:rsidR="00536D59" w:rsidRPr="003B4FCF">
          <w:rPr>
            <w:webHidden/>
            <w:lang w:val="fr-FR"/>
          </w:rPr>
          <w:tab/>
        </w:r>
        <w:r w:rsidR="00536D59" w:rsidRPr="003B4FCF">
          <w:rPr>
            <w:webHidden/>
            <w:lang w:val="fr-FR"/>
          </w:rPr>
          <w:fldChar w:fldCharType="begin"/>
        </w:r>
        <w:r w:rsidR="00536D59" w:rsidRPr="003B4FCF">
          <w:rPr>
            <w:webHidden/>
            <w:lang w:val="fr-FR"/>
          </w:rPr>
          <w:instrText xml:space="preserve"> PAGEREF _Toc14792928 \h </w:instrText>
        </w:r>
        <w:r w:rsidR="00536D59" w:rsidRPr="003B4FCF">
          <w:rPr>
            <w:webHidden/>
            <w:lang w:val="fr-FR"/>
          </w:rPr>
        </w:r>
        <w:r w:rsidR="00536D59" w:rsidRPr="003B4FCF">
          <w:rPr>
            <w:webHidden/>
            <w:lang w:val="fr-FR"/>
          </w:rPr>
          <w:fldChar w:fldCharType="separate"/>
        </w:r>
        <w:r w:rsidR="00B014ED">
          <w:rPr>
            <w:webHidden/>
            <w:lang w:val="fr-FR"/>
          </w:rPr>
          <w:t>1</w:t>
        </w:r>
        <w:r w:rsidR="00536D59" w:rsidRPr="003B4FCF">
          <w:rPr>
            <w:webHidden/>
            <w:lang w:val="fr-FR"/>
          </w:rPr>
          <w:fldChar w:fldCharType="end"/>
        </w:r>
      </w:hyperlink>
    </w:p>
    <w:p w:rsidR="00465412" w:rsidRPr="003B4FCF" w:rsidRDefault="00B014ED">
      <w:pPr>
        <w:pStyle w:val="TOC1"/>
        <w:rPr>
          <w:rFonts w:asciiTheme="minorHAnsi" w:eastAsiaTheme="minorEastAsia" w:hAnsiTheme="minorHAnsi" w:cstheme="minorBidi"/>
          <w:caps w:val="0"/>
          <w:snapToGrid/>
          <w:sz w:val="22"/>
          <w:szCs w:val="22"/>
          <w:lang w:val="fr-FR"/>
        </w:rPr>
      </w:pPr>
      <w:hyperlink w:anchor="_Toc14792929" w:history="1">
        <w:r w:rsidR="00536D59" w:rsidRPr="003B4FCF">
          <w:rPr>
            <w:rStyle w:val="Hyperlink"/>
            <w:color w:val="auto"/>
            <w:lang w:val="fr-FR"/>
          </w:rPr>
          <w:t>Généralités</w:t>
        </w:r>
        <w:r w:rsidR="00536D59" w:rsidRPr="003B4FCF">
          <w:rPr>
            <w:webHidden/>
            <w:lang w:val="fr-FR"/>
          </w:rPr>
          <w:tab/>
        </w:r>
        <w:r w:rsidR="00536D59" w:rsidRPr="003B4FCF">
          <w:rPr>
            <w:webHidden/>
            <w:lang w:val="fr-FR"/>
          </w:rPr>
          <w:fldChar w:fldCharType="begin"/>
        </w:r>
        <w:r w:rsidR="00536D59" w:rsidRPr="003B4FCF">
          <w:rPr>
            <w:webHidden/>
            <w:lang w:val="fr-FR"/>
          </w:rPr>
          <w:instrText xml:space="preserve"> PAGEREF _Toc14792929 \h </w:instrText>
        </w:r>
        <w:r w:rsidR="00536D59" w:rsidRPr="003B4FCF">
          <w:rPr>
            <w:webHidden/>
            <w:lang w:val="fr-FR"/>
          </w:rPr>
        </w:r>
        <w:r w:rsidR="00536D59" w:rsidRPr="003B4FCF">
          <w:rPr>
            <w:webHidden/>
            <w:lang w:val="fr-FR"/>
          </w:rPr>
          <w:fldChar w:fldCharType="separate"/>
        </w:r>
        <w:r>
          <w:rPr>
            <w:webHidden/>
            <w:lang w:val="fr-FR"/>
          </w:rPr>
          <w:t>2</w:t>
        </w:r>
        <w:r w:rsidR="00536D59" w:rsidRPr="003B4FCF">
          <w:rPr>
            <w:webHidden/>
            <w:lang w:val="fr-FR"/>
          </w:rPr>
          <w:fldChar w:fldCharType="end"/>
        </w:r>
      </w:hyperlink>
    </w:p>
    <w:p w:rsidR="00465412" w:rsidRPr="003B4FCF" w:rsidRDefault="00B014ED">
      <w:pPr>
        <w:pStyle w:val="TOC1"/>
        <w:rPr>
          <w:rFonts w:asciiTheme="minorHAnsi" w:eastAsiaTheme="minorEastAsia" w:hAnsiTheme="minorHAnsi" w:cstheme="minorBidi"/>
          <w:caps w:val="0"/>
          <w:snapToGrid/>
          <w:sz w:val="22"/>
          <w:szCs w:val="22"/>
          <w:lang w:val="fr-FR"/>
        </w:rPr>
      </w:pPr>
      <w:hyperlink w:anchor="_Toc14792930" w:history="1">
        <w:r w:rsidR="00536D59" w:rsidRPr="003B4FCF">
          <w:rPr>
            <w:rStyle w:val="Hyperlink"/>
            <w:color w:val="auto"/>
            <w:lang w:val="fr-FR"/>
          </w:rPr>
          <w:t>Documents soumis à l</w:t>
        </w:r>
        <w:r w:rsidR="005D3B5B" w:rsidRPr="003B4FCF">
          <w:rPr>
            <w:rStyle w:val="Hyperlink"/>
            <w:color w:val="auto"/>
            <w:lang w:val="fr-FR"/>
          </w:rPr>
          <w:t>’</w:t>
        </w:r>
        <w:r w:rsidR="00536D59" w:rsidRPr="003B4FCF">
          <w:rPr>
            <w:rStyle w:val="Hyperlink"/>
            <w:color w:val="auto"/>
            <w:lang w:val="fr-FR"/>
          </w:rPr>
          <w:t>examen</w:t>
        </w:r>
        <w:r w:rsidR="00067374" w:rsidRPr="003B4FCF">
          <w:rPr>
            <w:rStyle w:val="Hyperlink"/>
            <w:color w:val="auto"/>
            <w:lang w:val="fr-FR"/>
          </w:rPr>
          <w:t xml:space="preserve"> du CAJ</w:t>
        </w:r>
        <w:r w:rsidR="00536D59" w:rsidRPr="003B4FCF">
          <w:rPr>
            <w:webHidden/>
            <w:lang w:val="fr-FR"/>
          </w:rPr>
          <w:tab/>
        </w:r>
        <w:r w:rsidR="00536D59" w:rsidRPr="003B4FCF">
          <w:rPr>
            <w:webHidden/>
            <w:lang w:val="fr-FR"/>
          </w:rPr>
          <w:fldChar w:fldCharType="begin"/>
        </w:r>
        <w:r w:rsidR="00536D59" w:rsidRPr="003B4FCF">
          <w:rPr>
            <w:webHidden/>
            <w:lang w:val="fr-FR"/>
          </w:rPr>
          <w:instrText xml:space="preserve"> PAGEREF _Toc14792930 \h </w:instrText>
        </w:r>
        <w:r w:rsidR="00536D59" w:rsidRPr="003B4FCF">
          <w:rPr>
            <w:webHidden/>
            <w:lang w:val="fr-FR"/>
          </w:rPr>
        </w:r>
        <w:r w:rsidR="00536D59" w:rsidRPr="003B4FCF">
          <w:rPr>
            <w:webHidden/>
            <w:lang w:val="fr-FR"/>
          </w:rPr>
          <w:fldChar w:fldCharType="separate"/>
        </w:r>
        <w:r>
          <w:rPr>
            <w:webHidden/>
            <w:lang w:val="fr-FR"/>
          </w:rPr>
          <w:t>3</w:t>
        </w:r>
        <w:r w:rsidR="00536D59" w:rsidRPr="003B4FCF">
          <w:rPr>
            <w:webHidden/>
            <w:lang w:val="fr-FR"/>
          </w:rPr>
          <w:fldChar w:fldCharType="end"/>
        </w:r>
      </w:hyperlink>
    </w:p>
    <w:p w:rsidR="00465412" w:rsidRPr="003B4FCF" w:rsidRDefault="00B014ED">
      <w:pPr>
        <w:pStyle w:val="TOC2"/>
        <w:rPr>
          <w:rFonts w:asciiTheme="minorHAnsi" w:eastAsiaTheme="minorEastAsia" w:hAnsiTheme="minorHAnsi" w:cstheme="minorBidi"/>
          <w:sz w:val="22"/>
          <w:szCs w:val="22"/>
          <w:lang w:val="fr-FR"/>
        </w:rPr>
      </w:pPr>
      <w:hyperlink w:anchor="_Toc14792931" w:history="1">
        <w:r w:rsidR="00536D59" w:rsidRPr="003B4FCF">
          <w:rPr>
            <w:rStyle w:val="Hyperlink"/>
            <w:color w:val="auto"/>
            <w:lang w:val="fr-FR"/>
          </w:rPr>
          <w:t>Document TGP/7</w:t>
        </w:r>
        <w:r w:rsidR="001545B0" w:rsidRPr="003B4FCF">
          <w:rPr>
            <w:rStyle w:val="Hyperlink"/>
            <w:color w:val="auto"/>
            <w:lang w:val="fr-FR"/>
          </w:rPr>
          <w:t>:</w:t>
        </w:r>
        <w:r w:rsidR="00536D59" w:rsidRPr="003B4FCF">
          <w:rPr>
            <w:rStyle w:val="Hyperlink"/>
            <w:color w:val="auto"/>
            <w:lang w:val="fr-FR"/>
          </w:rPr>
          <w:t xml:space="preserve"> Élaboration des principes directeurs d</w:t>
        </w:r>
        <w:r w:rsidR="005D3B5B" w:rsidRPr="003B4FCF">
          <w:rPr>
            <w:rStyle w:val="Hyperlink"/>
            <w:color w:val="auto"/>
            <w:lang w:val="fr-FR"/>
          </w:rPr>
          <w:t>’</w:t>
        </w:r>
        <w:r w:rsidR="00536D59" w:rsidRPr="003B4FCF">
          <w:rPr>
            <w:rStyle w:val="Hyperlink"/>
            <w:color w:val="auto"/>
            <w:lang w:val="fr-FR"/>
          </w:rPr>
          <w:t>examen (révision) (document TGP/7/7 Draft 1)</w:t>
        </w:r>
        <w:r w:rsidR="00536D59" w:rsidRPr="003B4FCF">
          <w:rPr>
            <w:webHidden/>
            <w:lang w:val="fr-FR"/>
          </w:rPr>
          <w:tab/>
        </w:r>
        <w:r w:rsidR="00536D59" w:rsidRPr="003B4FCF">
          <w:rPr>
            <w:webHidden/>
            <w:lang w:val="fr-FR"/>
          </w:rPr>
          <w:fldChar w:fldCharType="begin"/>
        </w:r>
        <w:r w:rsidR="00536D59" w:rsidRPr="003B4FCF">
          <w:rPr>
            <w:webHidden/>
            <w:lang w:val="fr-FR"/>
          </w:rPr>
          <w:instrText xml:space="preserve"> PAGEREF _Toc14792931 \h </w:instrText>
        </w:r>
        <w:r w:rsidR="00536D59" w:rsidRPr="003B4FCF">
          <w:rPr>
            <w:webHidden/>
            <w:lang w:val="fr-FR"/>
          </w:rPr>
        </w:r>
        <w:r w:rsidR="00536D59" w:rsidRPr="003B4FCF">
          <w:rPr>
            <w:webHidden/>
            <w:lang w:val="fr-FR"/>
          </w:rPr>
          <w:fldChar w:fldCharType="separate"/>
        </w:r>
        <w:r>
          <w:rPr>
            <w:webHidden/>
            <w:lang w:val="fr-FR"/>
          </w:rPr>
          <w:t>3</w:t>
        </w:r>
        <w:r w:rsidR="00536D59" w:rsidRPr="003B4FCF">
          <w:rPr>
            <w:webHidden/>
            <w:lang w:val="fr-FR"/>
          </w:rPr>
          <w:fldChar w:fldCharType="end"/>
        </w:r>
      </w:hyperlink>
    </w:p>
    <w:p w:rsidR="00465412" w:rsidRPr="003B4FCF" w:rsidRDefault="00B014ED">
      <w:pPr>
        <w:pStyle w:val="TOC2"/>
        <w:rPr>
          <w:rFonts w:asciiTheme="minorHAnsi" w:eastAsiaTheme="minorEastAsia" w:hAnsiTheme="minorHAnsi" w:cstheme="minorBidi"/>
          <w:sz w:val="22"/>
          <w:szCs w:val="22"/>
          <w:lang w:val="fr-FR"/>
        </w:rPr>
      </w:pPr>
      <w:hyperlink w:anchor="_Toc14792932" w:history="1">
        <w:r w:rsidR="00536D59" w:rsidRPr="003B4FCF">
          <w:rPr>
            <w:rStyle w:val="Hyperlink"/>
            <w:color w:val="auto"/>
            <w:lang w:val="fr-FR"/>
          </w:rPr>
          <w:t>Document TGP/8</w:t>
        </w:r>
        <w:r w:rsidR="001545B0" w:rsidRPr="003B4FCF">
          <w:rPr>
            <w:rStyle w:val="Hyperlink"/>
            <w:color w:val="auto"/>
            <w:lang w:val="fr-FR"/>
          </w:rPr>
          <w:t>:</w:t>
        </w:r>
        <w:r w:rsidR="00536D59" w:rsidRPr="003B4FCF">
          <w:rPr>
            <w:rStyle w:val="Hyperlink"/>
            <w:color w:val="auto"/>
            <w:lang w:val="fr-FR"/>
          </w:rPr>
          <w:t xml:space="preserve"> Protocole d</w:t>
        </w:r>
        <w:r w:rsidR="005D3B5B" w:rsidRPr="003B4FCF">
          <w:rPr>
            <w:rStyle w:val="Hyperlink"/>
            <w:color w:val="auto"/>
            <w:lang w:val="fr-FR"/>
          </w:rPr>
          <w:t>’</w:t>
        </w:r>
        <w:r w:rsidR="00536D59" w:rsidRPr="003B4FCF">
          <w:rPr>
            <w:rStyle w:val="Hyperlink"/>
            <w:color w:val="auto"/>
            <w:lang w:val="fr-FR"/>
          </w:rPr>
          <w:t>essai et techniques utilisés dans l</w:t>
        </w:r>
        <w:r w:rsidR="005D3B5B" w:rsidRPr="003B4FCF">
          <w:rPr>
            <w:rStyle w:val="Hyperlink"/>
            <w:color w:val="auto"/>
            <w:lang w:val="fr-FR"/>
          </w:rPr>
          <w:t>’</w:t>
        </w:r>
        <w:r w:rsidR="00536D59" w:rsidRPr="003B4FCF">
          <w:rPr>
            <w:rStyle w:val="Hyperlink"/>
            <w:color w:val="auto"/>
            <w:lang w:val="fr-FR"/>
          </w:rPr>
          <w:t>examen de la distinction, de l</w:t>
        </w:r>
        <w:r w:rsidR="005D3B5B" w:rsidRPr="003B4FCF">
          <w:rPr>
            <w:rStyle w:val="Hyperlink"/>
            <w:color w:val="auto"/>
            <w:lang w:val="fr-FR"/>
          </w:rPr>
          <w:t>’</w:t>
        </w:r>
        <w:r w:rsidR="00536D59" w:rsidRPr="003B4FCF">
          <w:rPr>
            <w:rStyle w:val="Hyperlink"/>
            <w:color w:val="auto"/>
            <w:lang w:val="fr-FR"/>
          </w:rPr>
          <w:t>homogénéité et de la stabilité (révision) (document TGP/8/4 Draft 1)</w:t>
        </w:r>
        <w:r w:rsidR="00536D59" w:rsidRPr="003B4FCF">
          <w:rPr>
            <w:webHidden/>
            <w:lang w:val="fr-FR"/>
          </w:rPr>
          <w:tab/>
        </w:r>
        <w:r w:rsidR="00536D59" w:rsidRPr="003B4FCF">
          <w:rPr>
            <w:webHidden/>
            <w:lang w:val="fr-FR"/>
          </w:rPr>
          <w:fldChar w:fldCharType="begin"/>
        </w:r>
        <w:r w:rsidR="00536D59" w:rsidRPr="003B4FCF">
          <w:rPr>
            <w:webHidden/>
            <w:lang w:val="fr-FR"/>
          </w:rPr>
          <w:instrText xml:space="preserve"> PAGEREF _Toc14792932 \h </w:instrText>
        </w:r>
        <w:r w:rsidR="00536D59" w:rsidRPr="003B4FCF">
          <w:rPr>
            <w:webHidden/>
            <w:lang w:val="fr-FR"/>
          </w:rPr>
        </w:r>
        <w:r w:rsidR="00536D59" w:rsidRPr="003B4FCF">
          <w:rPr>
            <w:webHidden/>
            <w:lang w:val="fr-FR"/>
          </w:rPr>
          <w:fldChar w:fldCharType="separate"/>
        </w:r>
        <w:r>
          <w:rPr>
            <w:webHidden/>
            <w:lang w:val="fr-FR"/>
          </w:rPr>
          <w:t>3</w:t>
        </w:r>
        <w:r w:rsidR="00536D59" w:rsidRPr="003B4FCF">
          <w:rPr>
            <w:webHidden/>
            <w:lang w:val="fr-FR"/>
          </w:rPr>
          <w:fldChar w:fldCharType="end"/>
        </w:r>
      </w:hyperlink>
    </w:p>
    <w:p w:rsidR="00465412" w:rsidRPr="003B4FCF" w:rsidRDefault="00B014ED">
      <w:pPr>
        <w:pStyle w:val="TOC2"/>
        <w:rPr>
          <w:rFonts w:asciiTheme="minorHAnsi" w:eastAsiaTheme="minorEastAsia" w:hAnsiTheme="minorHAnsi" w:cstheme="minorBidi"/>
          <w:sz w:val="22"/>
          <w:szCs w:val="22"/>
          <w:lang w:val="fr-FR"/>
        </w:rPr>
      </w:pPr>
      <w:hyperlink w:anchor="_Toc14792933" w:history="1">
        <w:r w:rsidR="00536D59" w:rsidRPr="003B4FCF">
          <w:rPr>
            <w:rStyle w:val="Hyperlink"/>
            <w:color w:val="auto"/>
            <w:lang w:val="fr-FR"/>
          </w:rPr>
          <w:t>Document TGP/10</w:t>
        </w:r>
        <w:r w:rsidR="001545B0" w:rsidRPr="003B4FCF">
          <w:rPr>
            <w:rStyle w:val="Hyperlink"/>
            <w:color w:val="auto"/>
            <w:lang w:val="fr-FR"/>
          </w:rPr>
          <w:t>:</w:t>
        </w:r>
        <w:r w:rsidR="00536D59" w:rsidRPr="003B4FCF">
          <w:rPr>
            <w:rStyle w:val="Hyperlink"/>
            <w:color w:val="auto"/>
            <w:lang w:val="fr-FR"/>
          </w:rPr>
          <w:t xml:space="preserve"> Examen de l</w:t>
        </w:r>
        <w:r w:rsidR="005D3B5B" w:rsidRPr="003B4FCF">
          <w:rPr>
            <w:rStyle w:val="Hyperlink"/>
            <w:color w:val="auto"/>
            <w:lang w:val="fr-FR"/>
          </w:rPr>
          <w:t>’</w:t>
        </w:r>
        <w:r w:rsidR="00536D59" w:rsidRPr="003B4FCF">
          <w:rPr>
            <w:rStyle w:val="Hyperlink"/>
            <w:color w:val="auto"/>
            <w:lang w:val="fr-FR"/>
          </w:rPr>
          <w:t>homogénéité (révision) (document TGP/10/2 Draft 1)</w:t>
        </w:r>
        <w:r w:rsidR="00536D59" w:rsidRPr="003B4FCF">
          <w:rPr>
            <w:webHidden/>
            <w:lang w:val="fr-FR"/>
          </w:rPr>
          <w:tab/>
        </w:r>
        <w:r w:rsidR="00536D59" w:rsidRPr="003B4FCF">
          <w:rPr>
            <w:webHidden/>
            <w:lang w:val="fr-FR"/>
          </w:rPr>
          <w:fldChar w:fldCharType="begin"/>
        </w:r>
        <w:r w:rsidR="00536D59" w:rsidRPr="003B4FCF">
          <w:rPr>
            <w:webHidden/>
            <w:lang w:val="fr-FR"/>
          </w:rPr>
          <w:instrText xml:space="preserve"> PAGEREF _Toc14792933 \h </w:instrText>
        </w:r>
        <w:r w:rsidR="00536D59" w:rsidRPr="003B4FCF">
          <w:rPr>
            <w:webHidden/>
            <w:lang w:val="fr-FR"/>
          </w:rPr>
        </w:r>
        <w:r w:rsidR="00536D59" w:rsidRPr="003B4FCF">
          <w:rPr>
            <w:webHidden/>
            <w:lang w:val="fr-FR"/>
          </w:rPr>
          <w:fldChar w:fldCharType="separate"/>
        </w:r>
        <w:r>
          <w:rPr>
            <w:webHidden/>
            <w:lang w:val="fr-FR"/>
          </w:rPr>
          <w:t>4</w:t>
        </w:r>
        <w:r w:rsidR="00536D59" w:rsidRPr="003B4FCF">
          <w:rPr>
            <w:webHidden/>
            <w:lang w:val="fr-FR"/>
          </w:rPr>
          <w:fldChar w:fldCharType="end"/>
        </w:r>
      </w:hyperlink>
    </w:p>
    <w:p w:rsidR="00465412" w:rsidRPr="003B4FCF" w:rsidRDefault="00B014ED">
      <w:pPr>
        <w:pStyle w:val="TOC2"/>
        <w:rPr>
          <w:rFonts w:asciiTheme="minorHAnsi" w:eastAsiaTheme="minorEastAsia" w:hAnsiTheme="minorHAnsi" w:cstheme="minorBidi"/>
          <w:sz w:val="22"/>
          <w:szCs w:val="22"/>
          <w:lang w:val="fr-FR"/>
        </w:rPr>
      </w:pPr>
      <w:hyperlink w:anchor="_Toc14792934" w:history="1">
        <w:r w:rsidR="00536D59" w:rsidRPr="003B4FCF">
          <w:rPr>
            <w:rStyle w:val="Hyperlink"/>
            <w:color w:val="auto"/>
            <w:lang w:val="fr-FR"/>
          </w:rPr>
          <w:t>Document TGP/14</w:t>
        </w:r>
        <w:r w:rsidR="001545B0" w:rsidRPr="003B4FCF">
          <w:rPr>
            <w:rStyle w:val="Hyperlink"/>
            <w:color w:val="auto"/>
            <w:lang w:val="fr-FR"/>
          </w:rPr>
          <w:t>:</w:t>
        </w:r>
        <w:r w:rsidR="00536D59" w:rsidRPr="003B4FCF">
          <w:rPr>
            <w:rStyle w:val="Hyperlink"/>
            <w:color w:val="auto"/>
            <w:lang w:val="fr-FR"/>
          </w:rPr>
          <w:t xml:space="preserve"> Glossaire de termes utilisés dans les documents de l</w:t>
        </w:r>
        <w:r w:rsidR="005D3B5B" w:rsidRPr="003B4FCF">
          <w:rPr>
            <w:rStyle w:val="Hyperlink"/>
            <w:color w:val="auto"/>
            <w:lang w:val="fr-FR"/>
          </w:rPr>
          <w:t>’</w:t>
        </w:r>
        <w:r w:rsidR="00536D59" w:rsidRPr="003B4FCF">
          <w:rPr>
            <w:rStyle w:val="Hyperlink"/>
            <w:color w:val="auto"/>
            <w:lang w:val="fr-FR"/>
          </w:rPr>
          <w:t>UPOV (document TGP/14/4 Draft 1)</w:t>
        </w:r>
        <w:r w:rsidR="00536D59" w:rsidRPr="003B4FCF">
          <w:rPr>
            <w:webHidden/>
            <w:lang w:val="fr-FR"/>
          </w:rPr>
          <w:tab/>
        </w:r>
        <w:r w:rsidR="00536D59" w:rsidRPr="003B4FCF">
          <w:rPr>
            <w:webHidden/>
            <w:lang w:val="fr-FR"/>
          </w:rPr>
          <w:fldChar w:fldCharType="begin"/>
        </w:r>
        <w:r w:rsidR="00536D59" w:rsidRPr="003B4FCF">
          <w:rPr>
            <w:webHidden/>
            <w:lang w:val="fr-FR"/>
          </w:rPr>
          <w:instrText xml:space="preserve"> PAGEREF _Toc14792934 \h </w:instrText>
        </w:r>
        <w:r w:rsidR="00536D59" w:rsidRPr="003B4FCF">
          <w:rPr>
            <w:webHidden/>
            <w:lang w:val="fr-FR"/>
          </w:rPr>
        </w:r>
        <w:r w:rsidR="00536D59" w:rsidRPr="003B4FCF">
          <w:rPr>
            <w:webHidden/>
            <w:lang w:val="fr-FR"/>
          </w:rPr>
          <w:fldChar w:fldCharType="separate"/>
        </w:r>
        <w:r>
          <w:rPr>
            <w:webHidden/>
            <w:lang w:val="fr-FR"/>
          </w:rPr>
          <w:t>4</w:t>
        </w:r>
        <w:r w:rsidR="00536D59" w:rsidRPr="003B4FCF">
          <w:rPr>
            <w:webHidden/>
            <w:lang w:val="fr-FR"/>
          </w:rPr>
          <w:fldChar w:fldCharType="end"/>
        </w:r>
      </w:hyperlink>
    </w:p>
    <w:p w:rsidR="00465412" w:rsidRPr="003B4FCF" w:rsidRDefault="00B014ED">
      <w:pPr>
        <w:pStyle w:val="TOC2"/>
        <w:rPr>
          <w:rFonts w:asciiTheme="minorHAnsi" w:eastAsiaTheme="minorEastAsia" w:hAnsiTheme="minorHAnsi" w:cstheme="minorBidi"/>
          <w:sz w:val="22"/>
          <w:szCs w:val="22"/>
          <w:lang w:val="fr-FR"/>
        </w:rPr>
      </w:pPr>
      <w:hyperlink w:anchor="_Toc14792935" w:history="1">
        <w:r w:rsidR="00536D59" w:rsidRPr="003B4FCF">
          <w:rPr>
            <w:rStyle w:val="Hyperlink"/>
            <w:color w:val="auto"/>
            <w:lang w:val="fr-FR"/>
          </w:rPr>
          <w:t>Document TGP/15</w:t>
        </w:r>
        <w:r w:rsidR="001545B0" w:rsidRPr="003B4FCF">
          <w:rPr>
            <w:rStyle w:val="Hyperlink"/>
            <w:color w:val="auto"/>
            <w:lang w:val="fr-FR"/>
          </w:rPr>
          <w:t>:</w:t>
        </w:r>
        <w:r w:rsidR="00536D59" w:rsidRPr="003B4FCF">
          <w:rPr>
            <w:rStyle w:val="Hyperlink"/>
            <w:color w:val="auto"/>
            <w:lang w:val="fr-FR"/>
          </w:rPr>
          <w:t xml:space="preserve"> Conseils en ce qui concerne l</w:t>
        </w:r>
        <w:r w:rsidR="005D3B5B" w:rsidRPr="003B4FCF">
          <w:rPr>
            <w:rStyle w:val="Hyperlink"/>
            <w:color w:val="auto"/>
            <w:lang w:val="fr-FR"/>
          </w:rPr>
          <w:t>’</w:t>
        </w:r>
        <w:r w:rsidR="00536D59" w:rsidRPr="003B4FCF">
          <w:rPr>
            <w:rStyle w:val="Hyperlink"/>
            <w:color w:val="auto"/>
            <w:lang w:val="fr-FR"/>
          </w:rPr>
          <w:t>utilisation des marqueurs biochimiques et moléculaires dans l</w:t>
        </w:r>
        <w:r w:rsidR="005D3B5B" w:rsidRPr="003B4FCF">
          <w:rPr>
            <w:rStyle w:val="Hyperlink"/>
            <w:color w:val="auto"/>
            <w:lang w:val="fr-FR"/>
          </w:rPr>
          <w:t>’</w:t>
        </w:r>
        <w:r w:rsidR="00536D59" w:rsidRPr="003B4FCF">
          <w:rPr>
            <w:rStyle w:val="Hyperlink"/>
            <w:color w:val="auto"/>
            <w:lang w:val="fr-FR"/>
          </w:rPr>
          <w:t>examen de la distinction, de l</w:t>
        </w:r>
        <w:r w:rsidR="005D3B5B" w:rsidRPr="003B4FCF">
          <w:rPr>
            <w:rStyle w:val="Hyperlink"/>
            <w:color w:val="auto"/>
            <w:lang w:val="fr-FR"/>
          </w:rPr>
          <w:t>’</w:t>
        </w:r>
        <w:r w:rsidR="00536D59" w:rsidRPr="003B4FCF">
          <w:rPr>
            <w:rStyle w:val="Hyperlink"/>
            <w:color w:val="auto"/>
            <w:lang w:val="fr-FR"/>
          </w:rPr>
          <w:t>homogénéité et de la stabilité (DHS) (révision) (document TGP/15/2 Draft 2)</w:t>
        </w:r>
        <w:r w:rsidR="00536D59" w:rsidRPr="003B4FCF">
          <w:rPr>
            <w:webHidden/>
            <w:lang w:val="fr-FR"/>
          </w:rPr>
          <w:tab/>
        </w:r>
        <w:r w:rsidR="00536D59" w:rsidRPr="003B4FCF">
          <w:rPr>
            <w:webHidden/>
            <w:lang w:val="fr-FR"/>
          </w:rPr>
          <w:fldChar w:fldCharType="begin"/>
        </w:r>
        <w:r w:rsidR="00536D59" w:rsidRPr="003B4FCF">
          <w:rPr>
            <w:webHidden/>
            <w:lang w:val="fr-FR"/>
          </w:rPr>
          <w:instrText xml:space="preserve"> PAGEREF _Toc14792935 \h </w:instrText>
        </w:r>
        <w:r w:rsidR="00536D59" w:rsidRPr="003B4FCF">
          <w:rPr>
            <w:webHidden/>
            <w:lang w:val="fr-FR"/>
          </w:rPr>
        </w:r>
        <w:r w:rsidR="00536D59" w:rsidRPr="003B4FCF">
          <w:rPr>
            <w:webHidden/>
            <w:lang w:val="fr-FR"/>
          </w:rPr>
          <w:fldChar w:fldCharType="separate"/>
        </w:r>
        <w:r>
          <w:rPr>
            <w:webHidden/>
            <w:lang w:val="fr-FR"/>
          </w:rPr>
          <w:t>5</w:t>
        </w:r>
        <w:r w:rsidR="00536D59" w:rsidRPr="003B4FCF">
          <w:rPr>
            <w:webHidden/>
            <w:lang w:val="fr-FR"/>
          </w:rPr>
          <w:fldChar w:fldCharType="end"/>
        </w:r>
      </w:hyperlink>
    </w:p>
    <w:p w:rsidR="00465412" w:rsidRPr="003B4FCF" w:rsidRDefault="00B014ED">
      <w:pPr>
        <w:pStyle w:val="TOC2"/>
        <w:rPr>
          <w:rFonts w:asciiTheme="minorHAnsi" w:eastAsiaTheme="minorEastAsia" w:hAnsiTheme="minorHAnsi" w:cstheme="minorBidi"/>
          <w:sz w:val="22"/>
          <w:szCs w:val="22"/>
          <w:lang w:val="fr-FR"/>
        </w:rPr>
      </w:pPr>
      <w:hyperlink w:anchor="_Toc14792936" w:history="1">
        <w:r w:rsidR="00536D59" w:rsidRPr="003B4FCF">
          <w:rPr>
            <w:rStyle w:val="Hyperlink"/>
            <w:snapToGrid w:val="0"/>
            <w:color w:val="auto"/>
            <w:lang w:val="fr-FR"/>
          </w:rPr>
          <w:t>Document TGP/0</w:t>
        </w:r>
        <w:r w:rsidR="001545B0" w:rsidRPr="003B4FCF">
          <w:rPr>
            <w:rStyle w:val="Hyperlink"/>
            <w:snapToGrid w:val="0"/>
            <w:color w:val="auto"/>
            <w:lang w:val="fr-FR"/>
          </w:rPr>
          <w:t>:</w:t>
        </w:r>
        <w:r w:rsidR="00536D59" w:rsidRPr="003B4FCF">
          <w:rPr>
            <w:rStyle w:val="Hyperlink"/>
            <w:snapToGrid w:val="0"/>
            <w:color w:val="auto"/>
            <w:lang w:val="fr-FR"/>
          </w:rPr>
          <w:t xml:space="preserve"> Liste des documents TGP et date de la version la plus récente de ces documents (révision) (document TGP/0/11 Draft 1)</w:t>
        </w:r>
        <w:r w:rsidR="00536D59" w:rsidRPr="003B4FCF">
          <w:rPr>
            <w:webHidden/>
            <w:lang w:val="fr-FR"/>
          </w:rPr>
          <w:tab/>
        </w:r>
        <w:r w:rsidR="00536D59" w:rsidRPr="003B4FCF">
          <w:rPr>
            <w:webHidden/>
            <w:lang w:val="fr-FR"/>
          </w:rPr>
          <w:fldChar w:fldCharType="begin"/>
        </w:r>
        <w:r w:rsidR="00536D59" w:rsidRPr="003B4FCF">
          <w:rPr>
            <w:webHidden/>
            <w:lang w:val="fr-FR"/>
          </w:rPr>
          <w:instrText xml:space="preserve"> PAGEREF _Toc14792936 \h </w:instrText>
        </w:r>
        <w:r w:rsidR="00536D59" w:rsidRPr="003B4FCF">
          <w:rPr>
            <w:webHidden/>
            <w:lang w:val="fr-FR"/>
          </w:rPr>
        </w:r>
        <w:r w:rsidR="00536D59" w:rsidRPr="003B4FCF">
          <w:rPr>
            <w:webHidden/>
            <w:lang w:val="fr-FR"/>
          </w:rPr>
          <w:fldChar w:fldCharType="separate"/>
        </w:r>
        <w:r>
          <w:rPr>
            <w:webHidden/>
            <w:lang w:val="fr-FR"/>
          </w:rPr>
          <w:t>6</w:t>
        </w:r>
        <w:r w:rsidR="00536D59" w:rsidRPr="003B4FCF">
          <w:rPr>
            <w:webHidden/>
            <w:lang w:val="fr-FR"/>
          </w:rPr>
          <w:fldChar w:fldCharType="end"/>
        </w:r>
      </w:hyperlink>
    </w:p>
    <w:p w:rsidR="00465412" w:rsidRPr="003B4FCF" w:rsidRDefault="00B014ED">
      <w:pPr>
        <w:pStyle w:val="TOC1"/>
        <w:rPr>
          <w:rFonts w:asciiTheme="minorHAnsi" w:eastAsiaTheme="minorEastAsia" w:hAnsiTheme="minorHAnsi" w:cstheme="minorBidi"/>
          <w:caps w:val="0"/>
          <w:snapToGrid/>
          <w:sz w:val="22"/>
          <w:szCs w:val="22"/>
          <w:lang w:val="fr-FR"/>
        </w:rPr>
      </w:pPr>
      <w:hyperlink w:anchor="_Toc14792937" w:history="1">
        <w:r w:rsidR="00536D59" w:rsidRPr="003B4FCF">
          <w:rPr>
            <w:rStyle w:val="Hyperlink"/>
            <w:color w:val="auto"/>
            <w:lang w:val="fr-FR"/>
          </w:rPr>
          <w:t>Programme d</w:t>
        </w:r>
        <w:r w:rsidR="005D3B5B" w:rsidRPr="003B4FCF">
          <w:rPr>
            <w:rStyle w:val="Hyperlink"/>
            <w:color w:val="auto"/>
            <w:lang w:val="fr-FR"/>
          </w:rPr>
          <w:t>’</w:t>
        </w:r>
        <w:r w:rsidR="00536D59" w:rsidRPr="003B4FCF">
          <w:rPr>
            <w:rStyle w:val="Hyperlink"/>
            <w:color w:val="auto"/>
            <w:lang w:val="fr-FR"/>
          </w:rPr>
          <w:t>élaboration des documents TGP</w:t>
        </w:r>
        <w:r w:rsidR="00536D59" w:rsidRPr="003B4FCF">
          <w:rPr>
            <w:webHidden/>
            <w:lang w:val="fr-FR"/>
          </w:rPr>
          <w:tab/>
        </w:r>
        <w:r w:rsidR="00536D59" w:rsidRPr="003B4FCF">
          <w:rPr>
            <w:webHidden/>
            <w:lang w:val="fr-FR"/>
          </w:rPr>
          <w:fldChar w:fldCharType="begin"/>
        </w:r>
        <w:r w:rsidR="00536D59" w:rsidRPr="003B4FCF">
          <w:rPr>
            <w:webHidden/>
            <w:lang w:val="fr-FR"/>
          </w:rPr>
          <w:instrText xml:space="preserve"> PAGEREF _Toc14792937 \h </w:instrText>
        </w:r>
        <w:r w:rsidR="00536D59" w:rsidRPr="003B4FCF">
          <w:rPr>
            <w:webHidden/>
            <w:lang w:val="fr-FR"/>
          </w:rPr>
        </w:r>
        <w:r w:rsidR="00536D59" w:rsidRPr="003B4FCF">
          <w:rPr>
            <w:webHidden/>
            <w:lang w:val="fr-FR"/>
          </w:rPr>
          <w:fldChar w:fldCharType="separate"/>
        </w:r>
        <w:r>
          <w:rPr>
            <w:webHidden/>
            <w:lang w:val="fr-FR"/>
          </w:rPr>
          <w:t>6</w:t>
        </w:r>
        <w:r w:rsidR="00536D59" w:rsidRPr="003B4FCF">
          <w:rPr>
            <w:webHidden/>
            <w:lang w:val="fr-FR"/>
          </w:rPr>
          <w:fldChar w:fldCharType="end"/>
        </w:r>
      </w:hyperlink>
    </w:p>
    <w:p w:rsidR="00067374" w:rsidRPr="003B4FCF" w:rsidRDefault="00273B07" w:rsidP="004F4AA6">
      <w:pPr>
        <w:spacing w:after="120"/>
        <w:rPr>
          <w:sz w:val="18"/>
          <w:szCs w:val="18"/>
          <w:lang w:val="fr-FR"/>
        </w:rPr>
      </w:pPr>
      <w:r w:rsidRPr="003B4FCF">
        <w:rPr>
          <w:snapToGrid w:val="0"/>
          <w:lang w:val="fr-FR"/>
        </w:rPr>
        <w:fldChar w:fldCharType="end"/>
      </w:r>
      <w:r w:rsidR="004F4AA6" w:rsidRPr="003B4FCF">
        <w:rPr>
          <w:snapToGrid w:val="0"/>
          <w:sz w:val="18"/>
          <w:szCs w:val="18"/>
          <w:lang w:val="fr-FR"/>
        </w:rPr>
        <w:t>ANNEXE I</w:t>
      </w:r>
      <w:r w:rsidR="005D3B5B" w:rsidRPr="003B4FCF">
        <w:rPr>
          <w:snapToGrid w:val="0"/>
          <w:sz w:val="18"/>
          <w:szCs w:val="18"/>
          <w:lang w:val="fr-FR"/>
        </w:rPr>
        <w:t> :</w:t>
      </w:r>
      <w:r w:rsidR="001A7E34" w:rsidRPr="003B4FCF">
        <w:rPr>
          <w:snapToGrid w:val="0"/>
          <w:sz w:val="18"/>
          <w:szCs w:val="18"/>
          <w:lang w:val="fr-FR"/>
        </w:rPr>
        <w:t xml:space="preserve"> </w:t>
      </w:r>
      <w:r w:rsidR="004F4AA6" w:rsidRPr="003B4FCF">
        <w:rPr>
          <w:snapToGrid w:val="0"/>
          <w:sz w:val="18"/>
          <w:szCs w:val="18"/>
          <w:lang w:val="fr-FR"/>
        </w:rPr>
        <w:tab/>
        <w:t xml:space="preserve">Révisions du </w:t>
      </w:r>
      <w:r w:rsidR="00067374" w:rsidRPr="003B4FCF">
        <w:rPr>
          <w:snapToGrid w:val="0"/>
          <w:sz w:val="18"/>
          <w:szCs w:val="18"/>
          <w:lang w:val="fr-FR"/>
        </w:rPr>
        <w:t>document TG</w:t>
      </w:r>
      <w:r w:rsidR="004F4AA6" w:rsidRPr="003B4FCF">
        <w:rPr>
          <w:snapToGrid w:val="0"/>
          <w:sz w:val="18"/>
          <w:szCs w:val="18"/>
          <w:lang w:val="fr-FR"/>
        </w:rPr>
        <w:t>P/7</w:t>
      </w:r>
    </w:p>
    <w:p w:rsidR="00465412" w:rsidRPr="003B4FCF" w:rsidRDefault="004F4AA6" w:rsidP="004F4AA6">
      <w:pPr>
        <w:spacing w:after="120"/>
        <w:rPr>
          <w:sz w:val="18"/>
          <w:lang w:val="fr-FR"/>
        </w:rPr>
      </w:pPr>
      <w:r w:rsidRPr="003B4FCF">
        <w:rPr>
          <w:sz w:val="18"/>
          <w:lang w:val="fr-FR"/>
        </w:rPr>
        <w:t>ANNEXE</w:t>
      </w:r>
      <w:r w:rsidR="00A618B2" w:rsidRPr="003B4FCF">
        <w:rPr>
          <w:sz w:val="18"/>
          <w:lang w:val="fr-FR"/>
        </w:rPr>
        <w:t> </w:t>
      </w:r>
      <w:r w:rsidRPr="003B4FCF">
        <w:rPr>
          <w:sz w:val="18"/>
          <w:lang w:val="fr-FR"/>
        </w:rPr>
        <w:t>II</w:t>
      </w:r>
      <w:r w:rsidR="005D3B5B" w:rsidRPr="003B4FCF">
        <w:rPr>
          <w:sz w:val="18"/>
          <w:lang w:val="fr-FR"/>
        </w:rPr>
        <w:t> :</w:t>
      </w:r>
      <w:r w:rsidR="001A7E34" w:rsidRPr="003B4FCF">
        <w:rPr>
          <w:sz w:val="18"/>
          <w:lang w:val="fr-FR"/>
        </w:rPr>
        <w:t xml:space="preserve"> </w:t>
      </w:r>
      <w:r w:rsidRPr="003B4FCF">
        <w:rPr>
          <w:sz w:val="18"/>
          <w:lang w:val="fr-FR"/>
        </w:rPr>
        <w:tab/>
        <w:t xml:space="preserve">Révisions du </w:t>
      </w:r>
      <w:r w:rsidR="00067374" w:rsidRPr="003B4FCF">
        <w:rPr>
          <w:sz w:val="18"/>
          <w:lang w:val="fr-FR"/>
        </w:rPr>
        <w:t>document TG</w:t>
      </w:r>
      <w:r w:rsidRPr="003B4FCF">
        <w:rPr>
          <w:sz w:val="18"/>
          <w:lang w:val="fr-FR"/>
        </w:rPr>
        <w:t>P/8</w:t>
      </w:r>
    </w:p>
    <w:p w:rsidR="00465412" w:rsidRPr="003B4FCF" w:rsidRDefault="004F4AA6" w:rsidP="004F4AA6">
      <w:pPr>
        <w:spacing w:after="120"/>
        <w:rPr>
          <w:sz w:val="18"/>
          <w:lang w:val="fr-FR"/>
        </w:rPr>
      </w:pPr>
      <w:bookmarkStart w:id="5" w:name="_Toc386185971"/>
      <w:bookmarkStart w:id="6" w:name="_Toc419124859"/>
      <w:r w:rsidRPr="003B4FCF">
        <w:rPr>
          <w:sz w:val="18"/>
          <w:lang w:val="fr-FR"/>
        </w:rPr>
        <w:t>ANNEXE</w:t>
      </w:r>
      <w:r w:rsidR="00A618B2" w:rsidRPr="003B4FCF">
        <w:rPr>
          <w:sz w:val="18"/>
          <w:lang w:val="fr-FR"/>
        </w:rPr>
        <w:t> </w:t>
      </w:r>
      <w:r w:rsidRPr="003B4FCF">
        <w:rPr>
          <w:sz w:val="18"/>
          <w:lang w:val="fr-FR"/>
        </w:rPr>
        <w:t>III</w:t>
      </w:r>
      <w:r w:rsidR="005D3B5B" w:rsidRPr="003B4FCF">
        <w:rPr>
          <w:sz w:val="18"/>
          <w:lang w:val="fr-FR"/>
        </w:rPr>
        <w:t> :</w:t>
      </w:r>
      <w:r w:rsidR="001A7E34" w:rsidRPr="003B4FCF">
        <w:rPr>
          <w:sz w:val="18"/>
          <w:lang w:val="fr-FR"/>
        </w:rPr>
        <w:t xml:space="preserve"> </w:t>
      </w:r>
      <w:r w:rsidRPr="003B4FCF">
        <w:rPr>
          <w:sz w:val="18"/>
          <w:lang w:val="fr-FR"/>
        </w:rPr>
        <w:tab/>
        <w:t xml:space="preserve">Révisions du </w:t>
      </w:r>
      <w:r w:rsidR="00067374" w:rsidRPr="003B4FCF">
        <w:rPr>
          <w:sz w:val="18"/>
          <w:lang w:val="fr-FR"/>
        </w:rPr>
        <w:t>document TG</w:t>
      </w:r>
      <w:r w:rsidRPr="003B4FCF">
        <w:rPr>
          <w:sz w:val="18"/>
          <w:lang w:val="fr-FR"/>
        </w:rPr>
        <w:t>P/10</w:t>
      </w:r>
    </w:p>
    <w:p w:rsidR="00465412" w:rsidRPr="003B4FCF" w:rsidRDefault="004F4AA6" w:rsidP="004F4AA6">
      <w:pPr>
        <w:spacing w:after="120"/>
        <w:ind w:left="1134" w:hanging="1134"/>
        <w:rPr>
          <w:sz w:val="18"/>
          <w:lang w:val="fr-FR"/>
        </w:rPr>
      </w:pPr>
      <w:r w:rsidRPr="003B4FCF">
        <w:rPr>
          <w:sz w:val="18"/>
          <w:lang w:val="fr-FR"/>
        </w:rPr>
        <w:t>ANNEXE</w:t>
      </w:r>
      <w:r w:rsidR="00A618B2" w:rsidRPr="003B4FCF">
        <w:rPr>
          <w:sz w:val="18"/>
          <w:lang w:val="fr-FR"/>
        </w:rPr>
        <w:t> </w:t>
      </w:r>
      <w:r w:rsidRPr="003B4FCF">
        <w:rPr>
          <w:sz w:val="18"/>
          <w:lang w:val="fr-FR"/>
        </w:rPr>
        <w:t>IV</w:t>
      </w:r>
      <w:r w:rsidR="005D3B5B" w:rsidRPr="003B4FCF">
        <w:rPr>
          <w:sz w:val="18"/>
          <w:lang w:val="fr-FR"/>
        </w:rPr>
        <w:t> :</w:t>
      </w:r>
      <w:r w:rsidR="001A7E34" w:rsidRPr="003B4FCF">
        <w:rPr>
          <w:sz w:val="18"/>
          <w:lang w:val="fr-FR"/>
        </w:rPr>
        <w:t xml:space="preserve"> </w:t>
      </w:r>
      <w:r w:rsidRPr="003B4FCF">
        <w:rPr>
          <w:sz w:val="18"/>
          <w:lang w:val="fr-FR"/>
        </w:rPr>
        <w:tab/>
        <w:t xml:space="preserve">Révisions du </w:t>
      </w:r>
      <w:r w:rsidR="00067374" w:rsidRPr="003B4FCF">
        <w:rPr>
          <w:sz w:val="18"/>
          <w:lang w:val="fr-FR"/>
        </w:rPr>
        <w:t>document TG</w:t>
      </w:r>
      <w:r w:rsidRPr="003B4FCF">
        <w:rPr>
          <w:sz w:val="18"/>
          <w:lang w:val="fr-FR"/>
        </w:rPr>
        <w:t>P/14</w:t>
      </w:r>
    </w:p>
    <w:p w:rsidR="00465412" w:rsidRPr="003B4FCF" w:rsidRDefault="004F4AA6" w:rsidP="004F4AA6">
      <w:pPr>
        <w:spacing w:after="120"/>
        <w:ind w:left="1134" w:hanging="1134"/>
        <w:rPr>
          <w:sz w:val="18"/>
          <w:lang w:val="fr-FR"/>
        </w:rPr>
      </w:pPr>
      <w:r w:rsidRPr="003B4FCF">
        <w:rPr>
          <w:sz w:val="18"/>
          <w:lang w:val="fr-FR"/>
        </w:rPr>
        <w:t>ANNEXE V</w:t>
      </w:r>
      <w:r w:rsidR="005D3B5B" w:rsidRPr="003B4FCF">
        <w:rPr>
          <w:sz w:val="18"/>
          <w:lang w:val="fr-FR"/>
        </w:rPr>
        <w:t> :</w:t>
      </w:r>
      <w:r w:rsidR="001A7E34" w:rsidRPr="003B4FCF">
        <w:rPr>
          <w:sz w:val="18"/>
          <w:lang w:val="fr-FR"/>
        </w:rPr>
        <w:t xml:space="preserve"> </w:t>
      </w:r>
      <w:r w:rsidRPr="003B4FCF">
        <w:rPr>
          <w:sz w:val="18"/>
          <w:lang w:val="fr-FR"/>
        </w:rPr>
        <w:tab/>
        <w:t xml:space="preserve">Révisions du </w:t>
      </w:r>
      <w:r w:rsidR="00067374" w:rsidRPr="003B4FCF">
        <w:rPr>
          <w:sz w:val="18"/>
          <w:lang w:val="fr-FR"/>
        </w:rPr>
        <w:t>document TG</w:t>
      </w:r>
      <w:r w:rsidRPr="003B4FCF">
        <w:rPr>
          <w:sz w:val="18"/>
          <w:lang w:val="fr-FR"/>
        </w:rPr>
        <w:t>P/15</w:t>
      </w:r>
    </w:p>
    <w:p w:rsidR="00067374" w:rsidRPr="003B4FCF" w:rsidRDefault="004F4AA6" w:rsidP="004F4AA6">
      <w:pPr>
        <w:ind w:left="1134" w:hanging="1134"/>
        <w:rPr>
          <w:sz w:val="18"/>
          <w:lang w:val="fr-FR"/>
        </w:rPr>
      </w:pPr>
      <w:r w:rsidRPr="003B4FCF">
        <w:rPr>
          <w:sz w:val="18"/>
          <w:lang w:val="fr-FR"/>
        </w:rPr>
        <w:t>ANNEXE</w:t>
      </w:r>
      <w:r w:rsidR="00A618B2" w:rsidRPr="003B4FCF">
        <w:rPr>
          <w:sz w:val="18"/>
          <w:lang w:val="fr-FR"/>
        </w:rPr>
        <w:t> </w:t>
      </w:r>
      <w:r w:rsidRPr="003B4FCF">
        <w:rPr>
          <w:sz w:val="18"/>
          <w:lang w:val="fr-FR"/>
        </w:rPr>
        <w:t>VI</w:t>
      </w:r>
      <w:r w:rsidR="005D3B5B" w:rsidRPr="003B4FCF">
        <w:rPr>
          <w:sz w:val="18"/>
          <w:lang w:val="fr-FR"/>
        </w:rPr>
        <w:t> :</w:t>
      </w:r>
      <w:r w:rsidRPr="003B4FCF">
        <w:rPr>
          <w:sz w:val="18"/>
          <w:lang w:val="fr-FR"/>
        </w:rPr>
        <w:t xml:space="preserve"> </w:t>
      </w:r>
      <w:r w:rsidRPr="003B4FCF">
        <w:rPr>
          <w:sz w:val="18"/>
          <w:lang w:val="fr-FR"/>
        </w:rPr>
        <w:tab/>
        <w:t>Programme d</w:t>
      </w:r>
      <w:r w:rsidR="005D3B5B" w:rsidRPr="003B4FCF">
        <w:rPr>
          <w:sz w:val="18"/>
          <w:lang w:val="fr-FR"/>
        </w:rPr>
        <w:t>’</w:t>
      </w:r>
      <w:r w:rsidRPr="003B4FCF">
        <w:rPr>
          <w:sz w:val="18"/>
          <w:lang w:val="fr-FR"/>
        </w:rPr>
        <w:t>élaboration des documents TGP</w:t>
      </w:r>
    </w:p>
    <w:p w:rsidR="00465412" w:rsidRPr="003B4FCF" w:rsidRDefault="00465412" w:rsidP="00273B07">
      <w:pPr>
        <w:ind w:left="1134" w:hanging="1134"/>
        <w:rPr>
          <w:sz w:val="18"/>
          <w:lang w:val="fr-FR"/>
        </w:rPr>
      </w:pPr>
    </w:p>
    <w:p w:rsidR="00465412" w:rsidRPr="003B4FCF" w:rsidRDefault="00465412" w:rsidP="00273B07">
      <w:pPr>
        <w:ind w:left="1134" w:hanging="1134"/>
        <w:rPr>
          <w:sz w:val="18"/>
          <w:lang w:val="fr-FR"/>
        </w:rPr>
      </w:pPr>
    </w:p>
    <w:p w:rsidR="00465412" w:rsidRPr="003B4FCF" w:rsidRDefault="00273B07" w:rsidP="004F4AA6">
      <w:pPr>
        <w:rPr>
          <w:rFonts w:cs="Arial"/>
          <w:lang w:val="fr-FR"/>
        </w:rPr>
      </w:pPr>
      <w:r w:rsidRPr="003B4FCF">
        <w:rPr>
          <w:rFonts w:cs="Arial"/>
          <w:lang w:val="fr-FR"/>
        </w:rPr>
        <w:fldChar w:fldCharType="begin"/>
      </w:r>
      <w:r w:rsidRPr="003B4FCF">
        <w:rPr>
          <w:rFonts w:cs="Arial"/>
          <w:lang w:val="fr-FR"/>
        </w:rPr>
        <w:instrText xml:space="preserve"> AUTONUM  </w:instrText>
      </w:r>
      <w:r w:rsidRPr="003B4FCF">
        <w:rPr>
          <w:rFonts w:cs="Arial"/>
          <w:lang w:val="fr-FR"/>
        </w:rPr>
        <w:fldChar w:fldCharType="end"/>
      </w:r>
      <w:r w:rsidRPr="003B4FCF">
        <w:rPr>
          <w:rFonts w:cs="Arial"/>
          <w:lang w:val="fr-FR"/>
        </w:rPr>
        <w:tab/>
      </w:r>
      <w:r w:rsidR="004F4AA6" w:rsidRPr="003B4FCF">
        <w:rPr>
          <w:rFonts w:cs="Arial"/>
          <w:lang w:val="fr-FR"/>
        </w:rPr>
        <w:t>Les abréviations suivantes sont utilisées dans le présent document</w:t>
      </w:r>
      <w:r w:rsidR="005D3B5B" w:rsidRPr="003B4FCF">
        <w:rPr>
          <w:rFonts w:cs="Arial"/>
          <w:lang w:val="fr-FR"/>
        </w:rPr>
        <w:t> :</w:t>
      </w:r>
    </w:p>
    <w:p w:rsidR="00465412" w:rsidRPr="003B4FCF" w:rsidRDefault="00465412" w:rsidP="00273B07">
      <w:pPr>
        <w:ind w:left="1701" w:hanging="1134"/>
        <w:rPr>
          <w:rFonts w:cs="Arial"/>
          <w:lang w:val="fr-FR"/>
        </w:rPr>
      </w:pPr>
    </w:p>
    <w:p w:rsidR="00465412" w:rsidRPr="003B4FCF" w:rsidRDefault="004F4AA6" w:rsidP="004F4AA6">
      <w:pPr>
        <w:ind w:left="1701" w:hanging="1134"/>
        <w:rPr>
          <w:rFonts w:cs="Arial"/>
          <w:lang w:val="fr-FR"/>
        </w:rPr>
      </w:pPr>
      <w:r w:rsidRPr="003B4FCF">
        <w:rPr>
          <w:rFonts w:cs="Arial"/>
          <w:lang w:val="fr-FR"/>
        </w:rPr>
        <w:t>BMT</w:t>
      </w:r>
      <w:r w:rsidR="005D3B5B" w:rsidRPr="003B4FCF">
        <w:rPr>
          <w:rFonts w:cs="Arial"/>
          <w:lang w:val="fr-FR"/>
        </w:rPr>
        <w:t> :</w:t>
      </w:r>
      <w:r w:rsidRPr="003B4FCF">
        <w:rPr>
          <w:rFonts w:cs="Arial"/>
          <w:lang w:val="fr-FR"/>
        </w:rPr>
        <w:t xml:space="preserve"> </w:t>
      </w:r>
      <w:r w:rsidRPr="003B4FCF">
        <w:rPr>
          <w:rFonts w:cs="Arial"/>
          <w:lang w:val="fr-FR"/>
        </w:rPr>
        <w:tab/>
        <w:t>Groupe de travail sur les techniques biochimiques et moléculaires, notamment les profils d</w:t>
      </w:r>
      <w:r w:rsidR="005D3B5B" w:rsidRPr="003B4FCF">
        <w:rPr>
          <w:rFonts w:cs="Arial"/>
          <w:lang w:val="fr-FR"/>
        </w:rPr>
        <w:t>’</w:t>
      </w:r>
      <w:r w:rsidRPr="003B4FCF">
        <w:rPr>
          <w:rFonts w:cs="Arial"/>
          <w:lang w:val="fr-FR"/>
        </w:rPr>
        <w:t>ADN</w:t>
      </w:r>
    </w:p>
    <w:p w:rsidR="00465412" w:rsidRPr="003B4FCF" w:rsidRDefault="004F4AA6" w:rsidP="004F4AA6">
      <w:pPr>
        <w:ind w:left="1701" w:hanging="1134"/>
        <w:rPr>
          <w:rFonts w:cs="Arial"/>
          <w:lang w:val="fr-FR"/>
        </w:rPr>
      </w:pPr>
      <w:r w:rsidRPr="003B4FCF">
        <w:rPr>
          <w:rFonts w:cs="Arial"/>
          <w:lang w:val="fr-FR"/>
        </w:rPr>
        <w:t>CAJ</w:t>
      </w:r>
      <w:r w:rsidR="005D3B5B" w:rsidRPr="003B4FCF">
        <w:rPr>
          <w:rFonts w:cs="Arial"/>
          <w:lang w:val="fr-FR"/>
        </w:rPr>
        <w:t> :</w:t>
      </w:r>
      <w:r w:rsidRPr="003B4FCF">
        <w:rPr>
          <w:rFonts w:cs="Arial"/>
          <w:lang w:val="fr-FR"/>
        </w:rPr>
        <w:t xml:space="preserve"> </w:t>
      </w:r>
      <w:r w:rsidRPr="003B4FCF">
        <w:rPr>
          <w:rFonts w:cs="Arial"/>
          <w:lang w:val="fr-FR"/>
        </w:rPr>
        <w:tab/>
        <w:t>Comité administratif et juridique</w:t>
      </w:r>
    </w:p>
    <w:p w:rsidR="00465412" w:rsidRPr="003B4FCF" w:rsidRDefault="004F4AA6" w:rsidP="004F4AA6">
      <w:pPr>
        <w:ind w:left="1701" w:hanging="1134"/>
        <w:rPr>
          <w:rFonts w:cs="Arial"/>
          <w:lang w:val="fr-FR"/>
        </w:rPr>
      </w:pPr>
      <w:r w:rsidRPr="003B4FCF">
        <w:rPr>
          <w:rFonts w:cs="Arial"/>
          <w:lang w:val="fr-FR"/>
        </w:rPr>
        <w:t>TC</w:t>
      </w:r>
      <w:r w:rsidR="005D3B5B" w:rsidRPr="003B4FCF">
        <w:rPr>
          <w:rFonts w:cs="Arial"/>
          <w:lang w:val="fr-FR"/>
        </w:rPr>
        <w:t> :</w:t>
      </w:r>
      <w:r w:rsidR="001A7E34" w:rsidRPr="003B4FCF">
        <w:rPr>
          <w:rFonts w:cs="Arial"/>
          <w:lang w:val="fr-FR"/>
        </w:rPr>
        <w:t xml:space="preserve"> </w:t>
      </w:r>
      <w:r w:rsidRPr="003B4FCF">
        <w:rPr>
          <w:rFonts w:cs="Arial"/>
          <w:lang w:val="fr-FR"/>
        </w:rPr>
        <w:tab/>
        <w:t>Comité technique</w:t>
      </w:r>
    </w:p>
    <w:p w:rsidR="00465412" w:rsidRPr="003B4FCF" w:rsidRDefault="004F4AA6" w:rsidP="004F4AA6">
      <w:pPr>
        <w:ind w:left="1701" w:hanging="1134"/>
        <w:rPr>
          <w:rFonts w:cs="Arial"/>
          <w:lang w:val="fr-FR"/>
        </w:rPr>
      </w:pPr>
      <w:r w:rsidRPr="003B4FCF">
        <w:rPr>
          <w:rFonts w:cs="Arial"/>
          <w:lang w:val="fr-FR"/>
        </w:rPr>
        <w:t>TC</w:t>
      </w:r>
      <w:r w:rsidR="005D3B5B" w:rsidRPr="003B4FCF">
        <w:rPr>
          <w:rFonts w:cs="Arial"/>
          <w:lang w:val="fr-FR"/>
        </w:rPr>
        <w:t>-</w:t>
      </w:r>
      <w:r w:rsidRPr="003B4FCF">
        <w:rPr>
          <w:rFonts w:cs="Arial"/>
          <w:lang w:val="fr-FR"/>
        </w:rPr>
        <w:t>EDC</w:t>
      </w:r>
      <w:r w:rsidR="005D3B5B" w:rsidRPr="003B4FCF">
        <w:rPr>
          <w:rFonts w:cs="Arial"/>
          <w:lang w:val="fr-FR"/>
        </w:rPr>
        <w:t> :</w:t>
      </w:r>
      <w:r w:rsidR="001A7E34" w:rsidRPr="003B4FCF">
        <w:rPr>
          <w:rFonts w:cs="Arial"/>
          <w:lang w:val="fr-FR"/>
        </w:rPr>
        <w:t xml:space="preserve"> </w:t>
      </w:r>
      <w:r w:rsidRPr="003B4FCF">
        <w:rPr>
          <w:rFonts w:cs="Arial"/>
          <w:lang w:val="fr-FR"/>
        </w:rPr>
        <w:tab/>
        <w:t>Comité de rédaction élargi</w:t>
      </w:r>
    </w:p>
    <w:p w:rsidR="00067374" w:rsidRPr="003B4FCF" w:rsidRDefault="004F4AA6" w:rsidP="004F4AA6">
      <w:pPr>
        <w:ind w:left="1701" w:hanging="1134"/>
        <w:rPr>
          <w:rFonts w:cs="Arial"/>
          <w:lang w:val="fr-FR"/>
        </w:rPr>
      </w:pPr>
      <w:r w:rsidRPr="003B4FCF">
        <w:rPr>
          <w:rFonts w:cs="Arial"/>
          <w:lang w:val="fr-FR"/>
        </w:rPr>
        <w:t>TWP</w:t>
      </w:r>
      <w:r w:rsidR="005D3B5B" w:rsidRPr="003B4FCF">
        <w:rPr>
          <w:rFonts w:cs="Arial"/>
          <w:lang w:val="fr-FR"/>
        </w:rPr>
        <w:t> :</w:t>
      </w:r>
      <w:r w:rsidRPr="003B4FCF">
        <w:rPr>
          <w:rFonts w:cs="Arial"/>
          <w:lang w:val="fr-FR"/>
        </w:rPr>
        <w:t xml:space="preserve"> </w:t>
      </w:r>
      <w:r w:rsidRPr="003B4FCF">
        <w:rPr>
          <w:rFonts w:cs="Arial"/>
          <w:lang w:val="fr-FR"/>
        </w:rPr>
        <w:tab/>
        <w:t>Groupe de travail technique</w:t>
      </w:r>
    </w:p>
    <w:p w:rsidR="00465412" w:rsidRPr="003B4FCF" w:rsidRDefault="00465412" w:rsidP="0083066D">
      <w:pPr>
        <w:rPr>
          <w:lang w:val="fr-FR"/>
        </w:rPr>
      </w:pPr>
      <w:bookmarkStart w:id="7" w:name="_Toc352678045"/>
      <w:bookmarkStart w:id="8" w:name="_Toc353797725"/>
      <w:bookmarkStart w:id="9" w:name="_Toc386185970"/>
      <w:bookmarkStart w:id="10" w:name="_Toc419124858"/>
    </w:p>
    <w:p w:rsidR="00465412" w:rsidRPr="003B4FCF" w:rsidRDefault="00465412" w:rsidP="0083066D">
      <w:pPr>
        <w:rPr>
          <w:lang w:val="fr-FR"/>
        </w:rPr>
      </w:pPr>
    </w:p>
    <w:p w:rsidR="00465412" w:rsidRPr="003B4FCF" w:rsidRDefault="00465412" w:rsidP="0083066D">
      <w:pPr>
        <w:rPr>
          <w:lang w:val="fr-FR"/>
        </w:rPr>
      </w:pPr>
    </w:p>
    <w:p w:rsidR="00465412" w:rsidRPr="003B4FCF" w:rsidRDefault="004F4AA6" w:rsidP="004F4AA6">
      <w:pPr>
        <w:keepNext/>
        <w:keepLines/>
        <w:outlineLvl w:val="0"/>
        <w:rPr>
          <w:caps/>
          <w:lang w:val="fr-FR"/>
        </w:rPr>
      </w:pPr>
      <w:bookmarkStart w:id="11" w:name="_Toc14792929"/>
      <w:bookmarkEnd w:id="7"/>
      <w:bookmarkEnd w:id="8"/>
      <w:bookmarkEnd w:id="9"/>
      <w:bookmarkEnd w:id="10"/>
      <w:r w:rsidRPr="003B4FCF">
        <w:rPr>
          <w:caps/>
          <w:lang w:val="fr-FR"/>
        </w:rPr>
        <w:t>Généralités</w:t>
      </w:r>
      <w:bookmarkEnd w:id="11"/>
    </w:p>
    <w:p w:rsidR="00465412" w:rsidRPr="003B4FCF" w:rsidRDefault="00465412" w:rsidP="00273B07">
      <w:pPr>
        <w:keepNext/>
        <w:keepLines/>
        <w:rPr>
          <w:rFonts w:cs="Arial"/>
          <w:lang w:val="fr-FR"/>
        </w:rPr>
      </w:pPr>
    </w:p>
    <w:p w:rsidR="00465412" w:rsidRPr="003B4FCF" w:rsidRDefault="00CA16E8" w:rsidP="00072377">
      <w:pPr>
        <w:rPr>
          <w:rFonts w:cs="Arial"/>
          <w:lang w:val="fr-FR"/>
        </w:rPr>
      </w:pPr>
      <w:r w:rsidRPr="003B4FCF">
        <w:rPr>
          <w:rFonts w:cs="Arial"/>
          <w:lang w:val="fr-FR"/>
        </w:rPr>
        <w:fldChar w:fldCharType="begin"/>
      </w:r>
      <w:r w:rsidRPr="003B4FCF">
        <w:rPr>
          <w:rFonts w:cs="Arial"/>
          <w:lang w:val="fr-FR"/>
        </w:rPr>
        <w:instrText xml:space="preserve"> AUTONUM  </w:instrText>
      </w:r>
      <w:r w:rsidRPr="003B4FCF">
        <w:rPr>
          <w:rFonts w:cs="Arial"/>
          <w:lang w:val="fr-FR"/>
        </w:rPr>
        <w:fldChar w:fldCharType="end"/>
      </w:r>
      <w:r w:rsidRPr="003B4FCF">
        <w:rPr>
          <w:rFonts w:cs="Arial"/>
          <w:lang w:val="fr-FR"/>
        </w:rPr>
        <w:tab/>
      </w:r>
      <w:r w:rsidR="00072377" w:rsidRPr="003B4FCF">
        <w:rPr>
          <w:rFonts w:cs="Arial"/>
          <w:lang w:val="fr-FR"/>
        </w:rPr>
        <w:t>Le</w:t>
      </w:r>
      <w:r w:rsidR="005D3B5B" w:rsidRPr="003B4FCF">
        <w:rPr>
          <w:rFonts w:cs="Arial"/>
          <w:lang w:val="fr-FR"/>
        </w:rPr>
        <w:t> TC</w:t>
      </w:r>
      <w:r w:rsidR="00072377" w:rsidRPr="003B4FCF">
        <w:rPr>
          <w:rFonts w:cs="Arial"/>
          <w:lang w:val="fr-FR"/>
        </w:rPr>
        <w:t>, à sa cinquante</w:t>
      </w:r>
      <w:r w:rsidR="005D3B5B" w:rsidRPr="003B4FCF">
        <w:rPr>
          <w:rFonts w:cs="Arial"/>
          <w:lang w:val="fr-FR"/>
        </w:rPr>
        <w:t>-</w:t>
      </w:r>
      <w:r w:rsidR="00072377" w:rsidRPr="003B4FCF">
        <w:rPr>
          <w:rFonts w:cs="Arial"/>
          <w:lang w:val="fr-FR"/>
        </w:rPr>
        <w:t>quatr</w:t>
      </w:r>
      <w:r w:rsidR="005D3B5B" w:rsidRPr="003B4FCF">
        <w:rPr>
          <w:rFonts w:cs="Arial"/>
          <w:lang w:val="fr-FR"/>
        </w:rPr>
        <w:t>ième session</w:t>
      </w:r>
      <w:r w:rsidR="00072377" w:rsidRPr="003B4FCF">
        <w:rPr>
          <w:rStyle w:val="FootnoteReference"/>
          <w:rFonts w:cs="Arial"/>
          <w:lang w:val="fr-FR"/>
        </w:rPr>
        <w:footnoteReference w:id="3"/>
      </w:r>
      <w:r w:rsidR="00072377" w:rsidRPr="003B4FCF">
        <w:rPr>
          <w:rFonts w:cs="Arial"/>
          <w:lang w:val="fr-FR"/>
        </w:rPr>
        <w:t>, et</w:t>
      </w:r>
      <w:r w:rsidR="00067374" w:rsidRPr="003B4FCF">
        <w:rPr>
          <w:rFonts w:cs="Arial"/>
          <w:lang w:val="fr-FR"/>
        </w:rPr>
        <w:t xml:space="preserve"> le CAJ</w:t>
      </w:r>
      <w:r w:rsidR="00072377" w:rsidRPr="003B4FCF">
        <w:rPr>
          <w:rFonts w:cs="Arial"/>
          <w:lang w:val="fr-FR"/>
        </w:rPr>
        <w:t>, à sa soixante</w:t>
      </w:r>
      <w:r w:rsidR="005D3B5B" w:rsidRPr="003B4FCF">
        <w:rPr>
          <w:rFonts w:cs="Arial"/>
          <w:lang w:val="fr-FR"/>
        </w:rPr>
        <w:t>-</w:t>
      </w:r>
      <w:r w:rsidR="00072377" w:rsidRPr="003B4FCF">
        <w:rPr>
          <w:rFonts w:cs="Arial"/>
          <w:lang w:val="fr-FR"/>
        </w:rPr>
        <w:t>quinz</w:t>
      </w:r>
      <w:r w:rsidR="005D3B5B" w:rsidRPr="003B4FCF">
        <w:rPr>
          <w:rFonts w:cs="Arial"/>
          <w:lang w:val="fr-FR"/>
        </w:rPr>
        <w:t>ième session</w:t>
      </w:r>
      <w:r w:rsidR="00072377" w:rsidRPr="003B4FCF">
        <w:rPr>
          <w:rStyle w:val="FootnoteReference"/>
          <w:rFonts w:cs="Arial"/>
          <w:lang w:val="fr-FR"/>
        </w:rPr>
        <w:footnoteReference w:id="4"/>
      </w:r>
      <w:r w:rsidR="00072377" w:rsidRPr="003B4FCF">
        <w:rPr>
          <w:rFonts w:cs="Arial"/>
          <w:lang w:val="fr-FR"/>
        </w:rPr>
        <w:t>, ont approuvé le programme d</w:t>
      </w:r>
      <w:r w:rsidR="005D3B5B" w:rsidRPr="003B4FCF">
        <w:rPr>
          <w:rFonts w:cs="Arial"/>
          <w:lang w:val="fr-FR"/>
        </w:rPr>
        <w:t>’</w:t>
      </w:r>
      <w:r w:rsidR="00072377" w:rsidRPr="003B4FCF">
        <w:rPr>
          <w:rFonts w:cs="Arial"/>
          <w:lang w:val="fr-FR"/>
        </w:rPr>
        <w:t>élaboration des documents TGP, tel qu</w:t>
      </w:r>
      <w:r w:rsidR="005D3B5B" w:rsidRPr="003B4FCF">
        <w:rPr>
          <w:rFonts w:cs="Arial"/>
          <w:lang w:val="fr-FR"/>
        </w:rPr>
        <w:t>’</w:t>
      </w:r>
      <w:r w:rsidR="00072377" w:rsidRPr="003B4FCF">
        <w:rPr>
          <w:rFonts w:cs="Arial"/>
          <w:lang w:val="fr-FR"/>
        </w:rPr>
        <w:t>il f</w:t>
      </w:r>
      <w:r w:rsidR="00A61DDE" w:rsidRPr="003B4FCF">
        <w:rPr>
          <w:rFonts w:cs="Arial"/>
          <w:lang w:val="fr-FR"/>
        </w:rPr>
        <w:t>igure dans les annexes respective</w:t>
      </w:r>
      <w:r w:rsidR="00072377" w:rsidRPr="003B4FCF">
        <w:rPr>
          <w:rFonts w:cs="Arial"/>
          <w:lang w:val="fr-FR"/>
        </w:rPr>
        <w:t>s des documents</w:t>
      </w:r>
      <w:r w:rsidR="00A618B2" w:rsidRPr="003B4FCF">
        <w:rPr>
          <w:rFonts w:cs="Arial"/>
          <w:lang w:val="fr-FR"/>
        </w:rPr>
        <w:t> </w:t>
      </w:r>
      <w:hyperlink r:id="rId9" w:history="1">
        <w:r w:rsidR="00072377" w:rsidRPr="003B4FCF">
          <w:rPr>
            <w:rStyle w:val="Hyperlink"/>
            <w:lang w:val="fr-FR"/>
          </w:rPr>
          <w:t>TC/54/5</w:t>
        </w:r>
        <w:r w:rsidR="001A7E34" w:rsidRPr="003B4FCF">
          <w:rPr>
            <w:rStyle w:val="Hyperlink"/>
            <w:lang w:val="fr-FR"/>
          </w:rPr>
          <w:t> </w:t>
        </w:r>
        <w:r w:rsidR="00072377" w:rsidRPr="003B4FCF">
          <w:rPr>
            <w:rStyle w:val="Hyperlink"/>
            <w:lang w:val="fr-FR"/>
          </w:rPr>
          <w:t>Rev.</w:t>
        </w:r>
      </w:hyperlink>
      <w:r w:rsidR="00072377" w:rsidRPr="003B4FCF">
        <w:rPr>
          <w:rFonts w:cs="Arial"/>
          <w:lang w:val="fr-FR"/>
        </w:rPr>
        <w:t xml:space="preserve"> “Documents TGP” et </w:t>
      </w:r>
      <w:hyperlink r:id="rId10" w:history="1">
        <w:r w:rsidR="00072377" w:rsidRPr="003B4FCF">
          <w:rPr>
            <w:rStyle w:val="Hyperlink"/>
            <w:lang w:val="fr-FR"/>
          </w:rPr>
          <w:t>CAJ/75/13</w:t>
        </w:r>
      </w:hyperlink>
      <w:r w:rsidR="00072377" w:rsidRPr="003B4FCF">
        <w:rPr>
          <w:rFonts w:cs="Arial"/>
          <w:lang w:val="fr-FR"/>
        </w:rPr>
        <w:t xml:space="preserve"> “Rapport sur les faits nouveaux intervenus au sein du Comité technique”, sous réserve des conclusions adoptées à leurs sessions</w:t>
      </w:r>
      <w:r w:rsidR="00072377" w:rsidRPr="003B4FCF">
        <w:rPr>
          <w:rStyle w:val="FootnoteReference"/>
          <w:rFonts w:cs="Arial"/>
          <w:lang w:val="fr-FR"/>
        </w:rPr>
        <w:footnoteReference w:id="5"/>
      </w:r>
      <w:r w:rsidR="00072377" w:rsidRPr="003B4FCF">
        <w:rPr>
          <w:rFonts w:cs="Arial"/>
          <w:lang w:val="fr-FR"/>
        </w:rPr>
        <w:t>.</w:t>
      </w:r>
    </w:p>
    <w:p w:rsidR="00465412" w:rsidRPr="003B4FCF" w:rsidRDefault="00465412" w:rsidP="00CD34A5">
      <w:pPr>
        <w:rPr>
          <w:rFonts w:cs="Arial"/>
          <w:lang w:val="fr-FR"/>
        </w:rPr>
      </w:pPr>
    </w:p>
    <w:p w:rsidR="00465412" w:rsidRPr="003B4FCF" w:rsidRDefault="00273B07" w:rsidP="00072377">
      <w:pPr>
        <w:rPr>
          <w:rFonts w:cs="Arial"/>
          <w:lang w:val="fr-FR"/>
        </w:rPr>
      </w:pPr>
      <w:r w:rsidRPr="003B4FCF">
        <w:rPr>
          <w:rFonts w:cs="Arial"/>
          <w:lang w:val="fr-FR"/>
        </w:rPr>
        <w:fldChar w:fldCharType="begin"/>
      </w:r>
      <w:r w:rsidRPr="003B4FCF">
        <w:rPr>
          <w:rFonts w:cs="Arial"/>
          <w:lang w:val="fr-FR"/>
        </w:rPr>
        <w:instrText xml:space="preserve"> AUTONUM  </w:instrText>
      </w:r>
      <w:r w:rsidRPr="003B4FCF">
        <w:rPr>
          <w:rFonts w:cs="Arial"/>
          <w:lang w:val="fr-FR"/>
        </w:rPr>
        <w:fldChar w:fldCharType="end"/>
      </w:r>
      <w:r w:rsidRPr="003B4FCF">
        <w:rPr>
          <w:rFonts w:cs="Arial"/>
          <w:lang w:val="fr-FR"/>
        </w:rPr>
        <w:tab/>
      </w:r>
      <w:r w:rsidR="00072377" w:rsidRPr="003B4FCF">
        <w:rPr>
          <w:rFonts w:cs="Arial"/>
          <w:lang w:val="fr-FR"/>
        </w:rPr>
        <w:t>Les documents TGP approuvés sont publiés sur le site</w:t>
      </w:r>
      <w:r w:rsidR="001A7E34" w:rsidRPr="003B4FCF">
        <w:rPr>
          <w:rFonts w:cs="Arial"/>
          <w:lang w:val="fr-FR"/>
        </w:rPr>
        <w:t> </w:t>
      </w:r>
      <w:r w:rsidR="00072377" w:rsidRPr="003B4FCF">
        <w:rPr>
          <w:rFonts w:cs="Arial"/>
          <w:lang w:val="fr-FR"/>
        </w:rPr>
        <w:t>Web de l</w:t>
      </w:r>
      <w:r w:rsidR="005D3B5B" w:rsidRPr="003B4FCF">
        <w:rPr>
          <w:rFonts w:cs="Arial"/>
          <w:lang w:val="fr-FR"/>
        </w:rPr>
        <w:t>’</w:t>
      </w:r>
      <w:r w:rsidR="00072377" w:rsidRPr="003B4FCF">
        <w:rPr>
          <w:rFonts w:cs="Arial"/>
          <w:lang w:val="fr-FR"/>
        </w:rPr>
        <w:t>UPOV à l</w:t>
      </w:r>
      <w:r w:rsidR="005D3B5B" w:rsidRPr="003B4FCF">
        <w:rPr>
          <w:rFonts w:cs="Arial"/>
          <w:lang w:val="fr-FR"/>
        </w:rPr>
        <w:t>’</w:t>
      </w:r>
      <w:r w:rsidR="00072377" w:rsidRPr="003B4FCF">
        <w:rPr>
          <w:rFonts w:cs="Arial"/>
          <w:lang w:val="fr-FR"/>
        </w:rPr>
        <w:t xml:space="preserve">adresse </w:t>
      </w:r>
      <w:hyperlink r:id="rId11" w:history="1">
        <w:r w:rsidR="00072377" w:rsidRPr="003B4FCF">
          <w:rPr>
            <w:rStyle w:val="Hyperlink"/>
            <w:lang w:val="fr-FR"/>
          </w:rPr>
          <w:t>http://www.upov.int/upov_collection/fr/</w:t>
        </w:r>
      </w:hyperlink>
      <w:r w:rsidR="00072377" w:rsidRPr="003B4FCF">
        <w:rPr>
          <w:rFonts w:cs="Arial"/>
          <w:lang w:val="fr-FR"/>
        </w:rPr>
        <w:t>.</w:t>
      </w:r>
    </w:p>
    <w:p w:rsidR="00465412" w:rsidRPr="003B4FCF" w:rsidRDefault="00465412" w:rsidP="00273B07">
      <w:pPr>
        <w:rPr>
          <w:rFonts w:cs="Arial"/>
          <w:iCs/>
          <w:lang w:val="fr-FR"/>
        </w:rPr>
      </w:pPr>
      <w:bookmarkStart w:id="15" w:name="_Toc386185983"/>
      <w:bookmarkStart w:id="16" w:name="_Toc419124871"/>
      <w:bookmarkStart w:id="17" w:name="_Toc378251517"/>
      <w:bookmarkStart w:id="18" w:name="_Toc381279978"/>
      <w:bookmarkEnd w:id="5"/>
      <w:bookmarkEnd w:id="6"/>
    </w:p>
    <w:p w:rsidR="00465412" w:rsidRPr="003B4FCF" w:rsidRDefault="00CD34A5" w:rsidP="00072377">
      <w:pPr>
        <w:rPr>
          <w:lang w:val="fr-FR"/>
        </w:rPr>
      </w:pPr>
      <w:r w:rsidRPr="003B4FCF">
        <w:rPr>
          <w:lang w:val="fr-FR"/>
        </w:rPr>
        <w:fldChar w:fldCharType="begin"/>
      </w:r>
      <w:r w:rsidRPr="003B4FCF">
        <w:rPr>
          <w:lang w:val="fr-FR"/>
        </w:rPr>
        <w:instrText xml:space="preserve"> AUTONUM  </w:instrText>
      </w:r>
      <w:r w:rsidRPr="003B4FCF">
        <w:rPr>
          <w:lang w:val="fr-FR"/>
        </w:rPr>
        <w:fldChar w:fldCharType="end"/>
      </w:r>
      <w:r w:rsidRPr="003B4FCF">
        <w:rPr>
          <w:lang w:val="fr-FR"/>
        </w:rPr>
        <w:tab/>
      </w:r>
      <w:r w:rsidR="007B308C" w:rsidRPr="003B4FCF">
        <w:rPr>
          <w:lang w:val="fr-FR"/>
        </w:rPr>
        <w:t>L</w:t>
      </w:r>
      <w:r w:rsidR="00072377" w:rsidRPr="003B4FCF">
        <w:rPr>
          <w:lang w:val="fr-FR"/>
        </w:rPr>
        <w:t>es observations utiles pour l</w:t>
      </w:r>
      <w:r w:rsidR="005D3B5B" w:rsidRPr="003B4FCF">
        <w:rPr>
          <w:lang w:val="fr-FR"/>
        </w:rPr>
        <w:t>’</w:t>
      </w:r>
      <w:r w:rsidR="00072377" w:rsidRPr="003B4FCF">
        <w:rPr>
          <w:lang w:val="fr-FR"/>
        </w:rPr>
        <w:t>examen des documents TGP par</w:t>
      </w:r>
      <w:r w:rsidR="00067374" w:rsidRPr="003B4FCF">
        <w:rPr>
          <w:lang w:val="fr-FR"/>
        </w:rPr>
        <w:t xml:space="preserve"> le CAJ</w:t>
      </w:r>
      <w:r w:rsidR="007B308C" w:rsidRPr="003B4FCF">
        <w:rPr>
          <w:lang w:val="fr-FR"/>
        </w:rPr>
        <w:t>,</w:t>
      </w:r>
      <w:r w:rsidR="00072377" w:rsidRPr="003B4FCF">
        <w:rPr>
          <w:lang w:val="fr-FR"/>
        </w:rPr>
        <w:t xml:space="preserve"> formulées par le</w:t>
      </w:r>
      <w:r w:rsidR="005D3B5B" w:rsidRPr="003B4FCF">
        <w:rPr>
          <w:lang w:val="fr-FR"/>
        </w:rPr>
        <w:t> TC</w:t>
      </w:r>
      <w:r w:rsidR="00072377" w:rsidRPr="003B4FCF">
        <w:rPr>
          <w:lang w:val="fr-FR"/>
        </w:rPr>
        <w:t xml:space="preserve"> à sa cinquante</w:t>
      </w:r>
      <w:r w:rsidR="005D3B5B" w:rsidRPr="003B4FCF">
        <w:rPr>
          <w:lang w:val="fr-FR"/>
        </w:rPr>
        <w:t>-</w:t>
      </w:r>
      <w:r w:rsidR="00072377" w:rsidRPr="003B4FCF">
        <w:rPr>
          <w:lang w:val="fr-FR"/>
        </w:rPr>
        <w:t>cinqu</w:t>
      </w:r>
      <w:r w:rsidR="005D3B5B" w:rsidRPr="003B4FCF">
        <w:rPr>
          <w:lang w:val="fr-FR"/>
        </w:rPr>
        <w:t>ième session</w:t>
      </w:r>
      <w:r w:rsidR="00B014ED" w:rsidRPr="003B4FCF">
        <w:rPr>
          <w:lang w:val="fr-FR"/>
        </w:rPr>
        <w:fldChar w:fldCharType="begin"/>
      </w:r>
      <w:r w:rsidR="00B014ED" w:rsidRPr="003B4FCF">
        <w:rPr>
          <w:lang w:val="fr-FR"/>
        </w:rPr>
        <w:instrText xml:space="preserve"> HYPERLINK \l "notebasdepage1" </w:instrText>
      </w:r>
      <w:r w:rsidR="00B014ED" w:rsidRPr="003B4FCF">
        <w:rPr>
          <w:lang w:val="fr-FR"/>
        </w:rPr>
      </w:r>
      <w:r w:rsidR="00B014ED" w:rsidRPr="003B4FCF">
        <w:rPr>
          <w:lang w:val="fr-FR"/>
        </w:rPr>
        <w:fldChar w:fldCharType="separate"/>
      </w:r>
      <w:r w:rsidR="000E2BAE" w:rsidRPr="003B4FCF">
        <w:rPr>
          <w:rStyle w:val="Hyperlink"/>
          <w:color w:val="auto"/>
          <w:u w:val="none"/>
          <w:vertAlign w:val="superscript"/>
          <w:lang w:val="fr-FR"/>
        </w:rPr>
        <w:t>1</w:t>
      </w:r>
      <w:r w:rsidR="00B014ED" w:rsidRPr="003B4FCF">
        <w:rPr>
          <w:rStyle w:val="Hyperlink"/>
          <w:color w:val="auto"/>
          <w:u w:val="none"/>
          <w:vertAlign w:val="superscript"/>
          <w:lang w:val="fr-FR"/>
        </w:rPr>
        <w:fldChar w:fldCharType="end"/>
      </w:r>
      <w:r w:rsidR="00072377" w:rsidRPr="003B4FCF">
        <w:rPr>
          <w:vertAlign w:val="superscript"/>
          <w:lang w:val="fr-FR"/>
        </w:rPr>
        <w:fldChar w:fldCharType="begin"/>
      </w:r>
      <w:r w:rsidR="00072377" w:rsidRPr="003B4FCF">
        <w:rPr>
          <w:vertAlign w:val="superscript"/>
          <w:lang w:val="fr-FR"/>
        </w:rPr>
        <w:instrText xml:space="preserve"> NOTEREF _Ref13574983 \h  \* MERGEFORMAT </w:instrText>
      </w:r>
      <w:r w:rsidR="00B014ED">
        <w:rPr>
          <w:vertAlign w:val="superscript"/>
          <w:lang w:val="fr-FR"/>
        </w:rPr>
        <w:fldChar w:fldCharType="separate"/>
      </w:r>
      <w:r w:rsidR="00072377" w:rsidRPr="003B4FCF">
        <w:rPr>
          <w:vertAlign w:val="superscript"/>
          <w:lang w:val="fr-FR"/>
        </w:rPr>
        <w:fldChar w:fldCharType="end"/>
      </w:r>
      <w:r w:rsidR="00072377" w:rsidRPr="003B4FCF">
        <w:rPr>
          <w:lang w:val="fr-FR"/>
        </w:rPr>
        <w:t xml:space="preserve">, </w:t>
      </w:r>
      <w:r w:rsidR="007B308C" w:rsidRPr="003B4FCF">
        <w:rPr>
          <w:lang w:val="fr-FR"/>
        </w:rPr>
        <w:t>seront transmises</w:t>
      </w:r>
      <w:r w:rsidR="00067374" w:rsidRPr="003B4FCF">
        <w:rPr>
          <w:lang w:val="fr-FR"/>
        </w:rPr>
        <w:t xml:space="preserve"> au CAJ</w:t>
      </w:r>
      <w:r w:rsidR="007B308C" w:rsidRPr="003B4FCF">
        <w:rPr>
          <w:lang w:val="fr-FR"/>
        </w:rPr>
        <w:t xml:space="preserve"> à sa soixante</w:t>
      </w:r>
      <w:r w:rsidR="005D3B5B" w:rsidRPr="003B4FCF">
        <w:rPr>
          <w:lang w:val="fr-FR"/>
        </w:rPr>
        <w:t>-</w:t>
      </w:r>
      <w:r w:rsidR="007B308C" w:rsidRPr="003B4FCF">
        <w:rPr>
          <w:lang w:val="fr-FR"/>
        </w:rPr>
        <w:t>seiz</w:t>
      </w:r>
      <w:r w:rsidR="005D3B5B" w:rsidRPr="003B4FCF">
        <w:rPr>
          <w:lang w:val="fr-FR"/>
        </w:rPr>
        <w:t>ième session</w:t>
      </w:r>
      <w:r w:rsidR="007B308C" w:rsidRPr="003B4FCF">
        <w:rPr>
          <w:rStyle w:val="FootnoteReference"/>
          <w:lang w:val="fr-FR"/>
        </w:rPr>
        <w:footnoteReference w:id="6"/>
      </w:r>
      <w:r w:rsidR="007B308C" w:rsidRPr="003B4FCF">
        <w:rPr>
          <w:lang w:val="fr-FR"/>
        </w:rPr>
        <w:t xml:space="preserve"> </w:t>
      </w:r>
      <w:r w:rsidR="00072377" w:rsidRPr="003B4FCF">
        <w:rPr>
          <w:lang w:val="fr-FR"/>
        </w:rPr>
        <w:t>dans le document CAJ/76/8 “Rapport sur les faits nouveaux intervenus au sein du Comité technique” qui sera mis à disposition dans la soirée du 29</w:t>
      </w:r>
      <w:r w:rsidR="00A618B2" w:rsidRPr="003B4FCF">
        <w:rPr>
          <w:lang w:val="fr-FR"/>
        </w:rPr>
        <w:t> </w:t>
      </w:r>
      <w:r w:rsidR="00072377" w:rsidRPr="003B4FCF">
        <w:rPr>
          <w:lang w:val="fr-FR"/>
        </w:rPr>
        <w:t>octobre</w:t>
      </w:r>
      <w:r w:rsidR="00A618B2" w:rsidRPr="003B4FCF">
        <w:rPr>
          <w:lang w:val="fr-FR"/>
        </w:rPr>
        <w:t> </w:t>
      </w:r>
      <w:r w:rsidR="00072377" w:rsidRPr="003B4FCF">
        <w:rPr>
          <w:lang w:val="fr-FR"/>
        </w:rPr>
        <w:t>2019.</w:t>
      </w:r>
    </w:p>
    <w:p w:rsidR="007B308C" w:rsidRPr="003B4FCF" w:rsidRDefault="007B308C" w:rsidP="00072377">
      <w:pPr>
        <w:rPr>
          <w:lang w:val="fr-FR"/>
        </w:rPr>
      </w:pPr>
    </w:p>
    <w:p w:rsidR="007B308C" w:rsidRPr="003B4FCF" w:rsidRDefault="007B308C" w:rsidP="00072377">
      <w:pPr>
        <w:rPr>
          <w:lang w:val="fr-FR"/>
        </w:rPr>
      </w:pPr>
    </w:p>
    <w:p w:rsidR="00465412" w:rsidRPr="003B4FCF" w:rsidRDefault="00A61DDE" w:rsidP="00A61DDE">
      <w:pPr>
        <w:pStyle w:val="Heading1"/>
        <w:rPr>
          <w:lang w:val="fr-FR"/>
        </w:rPr>
      </w:pPr>
      <w:bookmarkStart w:id="20" w:name="_Toc14792930"/>
      <w:r w:rsidRPr="003B4FCF">
        <w:rPr>
          <w:lang w:val="fr-FR"/>
        </w:rPr>
        <w:lastRenderedPageBreak/>
        <w:t>Documents soumis à l</w:t>
      </w:r>
      <w:r w:rsidR="005D3B5B" w:rsidRPr="003B4FCF">
        <w:rPr>
          <w:lang w:val="fr-FR"/>
        </w:rPr>
        <w:t>’</w:t>
      </w:r>
      <w:r w:rsidRPr="003B4FCF">
        <w:rPr>
          <w:lang w:val="fr-FR"/>
        </w:rPr>
        <w:t>examen</w:t>
      </w:r>
      <w:r w:rsidR="00067374" w:rsidRPr="003B4FCF">
        <w:rPr>
          <w:lang w:val="fr-FR"/>
        </w:rPr>
        <w:t xml:space="preserve"> du </w:t>
      </w:r>
      <w:bookmarkEnd w:id="20"/>
      <w:r w:rsidR="00067374" w:rsidRPr="003B4FCF">
        <w:rPr>
          <w:lang w:val="fr-FR"/>
        </w:rPr>
        <w:t>CAJ</w:t>
      </w:r>
    </w:p>
    <w:p w:rsidR="00465412" w:rsidRPr="003B4FCF" w:rsidRDefault="00465412" w:rsidP="00993ED3">
      <w:pPr>
        <w:keepNext/>
        <w:rPr>
          <w:lang w:val="fr-FR"/>
        </w:rPr>
      </w:pPr>
    </w:p>
    <w:p w:rsidR="00465412" w:rsidRPr="003B4FCF" w:rsidRDefault="00A61DDE" w:rsidP="00A61DDE">
      <w:pPr>
        <w:keepNext/>
        <w:outlineLvl w:val="1"/>
        <w:rPr>
          <w:u w:val="single"/>
          <w:lang w:val="fr-FR"/>
        </w:rPr>
      </w:pPr>
      <w:bookmarkStart w:id="21" w:name="_Toc14792931"/>
      <w:r w:rsidRPr="003B4FCF">
        <w:rPr>
          <w:u w:val="single"/>
          <w:lang w:val="fr-FR"/>
        </w:rPr>
        <w:t>Document</w:t>
      </w:r>
      <w:r w:rsidR="00A618B2" w:rsidRPr="003B4FCF">
        <w:rPr>
          <w:u w:val="single"/>
          <w:lang w:val="fr-FR"/>
        </w:rPr>
        <w:t> </w:t>
      </w:r>
      <w:r w:rsidRPr="003B4FCF">
        <w:rPr>
          <w:u w:val="single"/>
          <w:lang w:val="fr-FR"/>
        </w:rPr>
        <w:t>TGP/7</w:t>
      </w:r>
      <w:r w:rsidR="005D3B5B" w:rsidRPr="003B4FCF">
        <w:rPr>
          <w:u w:val="single"/>
          <w:lang w:val="fr-FR"/>
        </w:rPr>
        <w:t> :</w:t>
      </w:r>
      <w:r w:rsidRPr="003B4FCF">
        <w:rPr>
          <w:u w:val="single"/>
          <w:lang w:val="fr-FR"/>
        </w:rPr>
        <w:t xml:space="preserve"> Élaboration des principes directeurs d</w:t>
      </w:r>
      <w:r w:rsidR="005D3B5B" w:rsidRPr="003B4FCF">
        <w:rPr>
          <w:u w:val="single"/>
          <w:lang w:val="fr-FR"/>
        </w:rPr>
        <w:t>’</w:t>
      </w:r>
      <w:r w:rsidRPr="003B4FCF">
        <w:rPr>
          <w:u w:val="single"/>
          <w:lang w:val="fr-FR"/>
        </w:rPr>
        <w:t>examen (révision) (</w:t>
      </w:r>
      <w:r w:rsidR="00067374" w:rsidRPr="003B4FCF">
        <w:rPr>
          <w:u w:val="single"/>
          <w:lang w:val="fr-FR"/>
        </w:rPr>
        <w:t>document TG</w:t>
      </w:r>
      <w:r w:rsidRPr="003B4FCF">
        <w:rPr>
          <w:u w:val="single"/>
          <w:lang w:val="fr-FR"/>
        </w:rPr>
        <w:t>P/7/7 Draft</w:t>
      </w:r>
      <w:r w:rsidR="00A618B2" w:rsidRPr="003B4FCF">
        <w:rPr>
          <w:u w:val="single"/>
          <w:lang w:val="fr-FR"/>
        </w:rPr>
        <w:t> </w:t>
      </w:r>
      <w:r w:rsidRPr="003B4FCF">
        <w:rPr>
          <w:u w:val="single"/>
          <w:lang w:val="fr-FR"/>
        </w:rPr>
        <w:t>1)</w:t>
      </w:r>
      <w:bookmarkEnd w:id="21"/>
    </w:p>
    <w:p w:rsidR="00465412" w:rsidRPr="003B4FCF" w:rsidRDefault="00465412" w:rsidP="00993ED3">
      <w:pPr>
        <w:keepNext/>
        <w:rPr>
          <w:highlight w:val="yellow"/>
          <w:lang w:val="fr-FR"/>
        </w:rPr>
      </w:pPr>
    </w:p>
    <w:p w:rsidR="00465412" w:rsidRPr="003B4FCF" w:rsidRDefault="00501AC5" w:rsidP="00A61DDE">
      <w:pPr>
        <w:keepNext/>
        <w:rPr>
          <w:lang w:val="fr-FR"/>
        </w:rPr>
      </w:pPr>
      <w:r w:rsidRPr="003B4FCF">
        <w:rPr>
          <w:lang w:val="fr-FR"/>
        </w:rPr>
        <w:fldChar w:fldCharType="begin"/>
      </w:r>
      <w:r w:rsidRPr="003B4FCF">
        <w:rPr>
          <w:lang w:val="fr-FR"/>
        </w:rPr>
        <w:instrText xml:space="preserve"> AUTONUM  </w:instrText>
      </w:r>
      <w:r w:rsidRPr="003B4FCF">
        <w:rPr>
          <w:lang w:val="fr-FR"/>
        </w:rPr>
        <w:fldChar w:fldCharType="end"/>
      </w:r>
      <w:r w:rsidRPr="003B4FCF">
        <w:rPr>
          <w:lang w:val="fr-FR"/>
        </w:rPr>
        <w:tab/>
      </w:r>
      <w:r w:rsidR="00996A6D" w:rsidRPr="003B4FCF">
        <w:rPr>
          <w:lang w:val="fr-FR"/>
        </w:rPr>
        <w:t>À</w:t>
      </w:r>
      <w:r w:rsidR="00A61DDE" w:rsidRPr="003B4FCF">
        <w:rPr>
          <w:lang w:val="fr-FR"/>
        </w:rPr>
        <w:t xml:space="preserve"> sa cinquante</w:t>
      </w:r>
      <w:r w:rsidR="005D3B5B" w:rsidRPr="003B4FCF">
        <w:rPr>
          <w:lang w:val="fr-FR"/>
        </w:rPr>
        <w:t>-</w:t>
      </w:r>
      <w:r w:rsidR="00A61DDE" w:rsidRPr="003B4FCF">
        <w:rPr>
          <w:lang w:val="fr-FR"/>
        </w:rPr>
        <w:t>quatr</w:t>
      </w:r>
      <w:r w:rsidR="005D3B5B" w:rsidRPr="003B4FCF">
        <w:rPr>
          <w:lang w:val="fr-FR"/>
        </w:rPr>
        <w:t>ième session</w:t>
      </w:r>
      <w:hyperlink w:anchor="notebasdepage2" w:history="1">
        <w:r w:rsidR="000E2BAE" w:rsidRPr="003B4FCF">
          <w:rPr>
            <w:rStyle w:val="Hyperlink"/>
            <w:color w:val="auto"/>
            <w:u w:val="none"/>
            <w:vertAlign w:val="superscript"/>
            <w:lang w:val="fr-FR"/>
          </w:rPr>
          <w:t>2</w:t>
        </w:r>
      </w:hyperlink>
      <w:r w:rsidR="00A61DDE" w:rsidRPr="003B4FCF">
        <w:rPr>
          <w:lang w:val="fr-FR"/>
        </w:rPr>
        <w:t xml:space="preserve">, </w:t>
      </w:r>
      <w:r w:rsidR="00996A6D" w:rsidRPr="003B4FCF">
        <w:rPr>
          <w:lang w:val="fr-FR"/>
        </w:rPr>
        <w:t>le</w:t>
      </w:r>
      <w:r w:rsidR="005D3B5B" w:rsidRPr="003B4FCF">
        <w:rPr>
          <w:lang w:val="fr-FR"/>
        </w:rPr>
        <w:t> TC</w:t>
      </w:r>
      <w:r w:rsidR="00996A6D" w:rsidRPr="003B4FCF">
        <w:rPr>
          <w:lang w:val="fr-FR"/>
        </w:rPr>
        <w:t xml:space="preserve"> </w:t>
      </w:r>
      <w:r w:rsidR="00A61DDE" w:rsidRPr="003B4FCF">
        <w:rPr>
          <w:lang w:val="fr-FR"/>
        </w:rPr>
        <w:t>a approuvé les propositions d</w:t>
      </w:r>
      <w:r w:rsidR="005D3B5B" w:rsidRPr="003B4FCF">
        <w:rPr>
          <w:lang w:val="fr-FR"/>
        </w:rPr>
        <w:t>’</w:t>
      </w:r>
      <w:r w:rsidR="00A61DDE" w:rsidRPr="003B4FCF">
        <w:rPr>
          <w:lang w:val="fr-FR"/>
        </w:rPr>
        <w:t>orien</w:t>
      </w:r>
      <w:r w:rsidR="00996A6D" w:rsidRPr="003B4FCF">
        <w:rPr>
          <w:lang w:val="fr-FR"/>
        </w:rPr>
        <w:t>tations concernant la “Durée de</w:t>
      </w:r>
      <w:r w:rsidR="00A61DDE" w:rsidRPr="003B4FCF">
        <w:rPr>
          <w:lang w:val="fr-FR"/>
        </w:rPr>
        <w:t>s</w:t>
      </w:r>
      <w:r w:rsidR="00996A6D" w:rsidRPr="003B4FCF">
        <w:rPr>
          <w:lang w:val="fr-FR"/>
        </w:rPr>
        <w:t xml:space="preserve"> </w:t>
      </w:r>
      <w:r w:rsidR="00A61DDE" w:rsidRPr="003B4FCF">
        <w:rPr>
          <w:lang w:val="fr-FR"/>
        </w:rPr>
        <w:t>ex</w:t>
      </w:r>
      <w:r w:rsidR="00996A6D" w:rsidRPr="003B4FCF">
        <w:rPr>
          <w:lang w:val="fr-FR"/>
        </w:rPr>
        <w:t>a</w:t>
      </w:r>
      <w:r w:rsidR="00A61DDE" w:rsidRPr="003B4FCF">
        <w:rPr>
          <w:lang w:val="fr-FR"/>
        </w:rPr>
        <w:t>mens DHS” et la “Procédure applicable à l</w:t>
      </w:r>
      <w:r w:rsidR="005D3B5B" w:rsidRPr="003B4FCF">
        <w:rPr>
          <w:lang w:val="fr-FR"/>
        </w:rPr>
        <w:t>’</w:t>
      </w:r>
      <w:r w:rsidR="00A61DDE" w:rsidRPr="003B4FCF">
        <w:rPr>
          <w:lang w:val="fr-FR"/>
        </w:rPr>
        <w:t>adoption des principes directeurs d</w:t>
      </w:r>
      <w:r w:rsidR="005D3B5B" w:rsidRPr="003B4FCF">
        <w:rPr>
          <w:lang w:val="fr-FR"/>
        </w:rPr>
        <w:t>’</w:t>
      </w:r>
      <w:r w:rsidR="00A61DDE" w:rsidRPr="003B4FCF">
        <w:rPr>
          <w:lang w:val="fr-FR"/>
        </w:rPr>
        <w:t>examen”</w:t>
      </w:r>
      <w:r w:rsidR="007B308C" w:rsidRPr="003B4FCF">
        <w:rPr>
          <w:lang w:val="fr-FR"/>
        </w:rPr>
        <w:t xml:space="preserve">, en vue de leur inclusion dans une </w:t>
      </w:r>
      <w:r w:rsidR="00A61DDE" w:rsidRPr="003B4FCF">
        <w:rPr>
          <w:lang w:val="fr-FR"/>
        </w:rPr>
        <w:t>version révisée du document TGP/7 “Élaboration des principes directeurs d</w:t>
      </w:r>
      <w:r w:rsidR="005D3B5B" w:rsidRPr="003B4FCF">
        <w:rPr>
          <w:lang w:val="fr-FR"/>
        </w:rPr>
        <w:t>’</w:t>
      </w:r>
      <w:r w:rsidR="00A61DDE" w:rsidRPr="003B4FCF">
        <w:rPr>
          <w:lang w:val="fr-FR"/>
        </w:rPr>
        <w:t>examen”</w:t>
      </w:r>
      <w:r w:rsidR="00A61DDE" w:rsidRPr="003B4FCF">
        <w:rPr>
          <w:rStyle w:val="FootnoteReference"/>
          <w:lang w:val="fr-FR"/>
        </w:rPr>
        <w:footnoteReference w:id="7"/>
      </w:r>
      <w:r w:rsidR="00A61DDE" w:rsidRPr="003B4FCF">
        <w:rPr>
          <w:lang w:val="fr-FR"/>
        </w:rPr>
        <w:t>.</w:t>
      </w:r>
    </w:p>
    <w:p w:rsidR="00465412" w:rsidRPr="003B4FCF" w:rsidRDefault="00465412" w:rsidP="00501AC5">
      <w:pPr>
        <w:rPr>
          <w:lang w:val="fr-FR"/>
        </w:rPr>
      </w:pPr>
    </w:p>
    <w:p w:rsidR="00465412" w:rsidRPr="003B4FCF" w:rsidRDefault="0019194C" w:rsidP="00572DC7">
      <w:pPr>
        <w:rPr>
          <w:spacing w:val="-2"/>
          <w:lang w:val="fr-FR"/>
        </w:rPr>
      </w:pPr>
      <w:r w:rsidRPr="003B4FCF">
        <w:rPr>
          <w:spacing w:val="-2"/>
          <w:lang w:val="fr-FR"/>
        </w:rPr>
        <w:fldChar w:fldCharType="begin"/>
      </w:r>
      <w:r w:rsidRPr="003B4FCF">
        <w:rPr>
          <w:spacing w:val="-2"/>
          <w:lang w:val="fr-FR"/>
        </w:rPr>
        <w:instrText xml:space="preserve"> AUTONUM  </w:instrText>
      </w:r>
      <w:r w:rsidRPr="003B4FCF">
        <w:rPr>
          <w:spacing w:val="-2"/>
          <w:lang w:val="fr-FR"/>
        </w:rPr>
        <w:fldChar w:fldCharType="end"/>
      </w:r>
      <w:r w:rsidRPr="003B4FCF">
        <w:rPr>
          <w:spacing w:val="-2"/>
          <w:lang w:val="fr-FR"/>
        </w:rPr>
        <w:tab/>
      </w:r>
      <w:r w:rsidR="00572DC7" w:rsidRPr="003B4FCF">
        <w:rPr>
          <w:spacing w:val="-2"/>
          <w:lang w:val="fr-FR"/>
        </w:rPr>
        <w:t>Sur la base de ce qui précède, le</w:t>
      </w:r>
      <w:r w:rsidR="005D3B5B" w:rsidRPr="003B4FCF">
        <w:rPr>
          <w:spacing w:val="-2"/>
          <w:lang w:val="fr-FR"/>
        </w:rPr>
        <w:t> TC</w:t>
      </w:r>
      <w:r w:rsidR="00572DC7" w:rsidRPr="003B4FCF">
        <w:rPr>
          <w:spacing w:val="-2"/>
          <w:lang w:val="fr-FR"/>
        </w:rPr>
        <w:t xml:space="preserve"> est convenu qu</w:t>
      </w:r>
      <w:r w:rsidR="005D3B5B" w:rsidRPr="003B4FCF">
        <w:rPr>
          <w:spacing w:val="-2"/>
          <w:lang w:val="fr-FR"/>
        </w:rPr>
        <w:t>’</w:t>
      </w:r>
      <w:r w:rsidR="00572DC7" w:rsidRPr="003B4FCF">
        <w:rPr>
          <w:spacing w:val="-2"/>
          <w:lang w:val="fr-FR"/>
        </w:rPr>
        <w:t xml:space="preserve">une version révisée du </w:t>
      </w:r>
      <w:r w:rsidR="00067374" w:rsidRPr="003B4FCF">
        <w:rPr>
          <w:spacing w:val="-2"/>
          <w:lang w:val="fr-FR"/>
        </w:rPr>
        <w:t>document TG</w:t>
      </w:r>
      <w:r w:rsidR="00572DC7" w:rsidRPr="003B4FCF">
        <w:rPr>
          <w:spacing w:val="-2"/>
          <w:lang w:val="fr-FR"/>
        </w:rPr>
        <w:t>P/7/6 (</w:t>
      </w:r>
      <w:r w:rsidR="00067374" w:rsidRPr="003B4FCF">
        <w:rPr>
          <w:spacing w:val="-2"/>
          <w:lang w:val="fr-FR"/>
        </w:rPr>
        <w:t>document</w:t>
      </w:r>
      <w:r w:rsidR="00920667" w:rsidRPr="003B4FCF">
        <w:rPr>
          <w:spacing w:val="-2"/>
          <w:lang w:val="fr-FR"/>
        </w:rPr>
        <w:t> </w:t>
      </w:r>
      <w:r w:rsidR="00067374" w:rsidRPr="003B4FCF">
        <w:rPr>
          <w:spacing w:val="-2"/>
          <w:lang w:val="fr-FR"/>
        </w:rPr>
        <w:t>TG</w:t>
      </w:r>
      <w:r w:rsidR="00920667" w:rsidRPr="003B4FCF">
        <w:rPr>
          <w:spacing w:val="-2"/>
          <w:lang w:val="fr-FR"/>
        </w:rPr>
        <w:t>P/7/7 </w:t>
      </w:r>
      <w:r w:rsidR="00572DC7" w:rsidRPr="003B4FCF">
        <w:rPr>
          <w:spacing w:val="-2"/>
          <w:lang w:val="fr-FR"/>
        </w:rPr>
        <w:t>Draft</w:t>
      </w:r>
      <w:r w:rsidR="00A618B2" w:rsidRPr="003B4FCF">
        <w:rPr>
          <w:spacing w:val="-2"/>
          <w:lang w:val="fr-FR"/>
        </w:rPr>
        <w:t> </w:t>
      </w:r>
      <w:r w:rsidR="00572DC7" w:rsidRPr="003B4FCF">
        <w:rPr>
          <w:spacing w:val="-2"/>
          <w:lang w:val="fr-FR"/>
        </w:rPr>
        <w:t>1) devait être soumise au Conseil pour adoption à sa cinquante</w:t>
      </w:r>
      <w:r w:rsidR="005D3B5B" w:rsidRPr="003B4FCF">
        <w:rPr>
          <w:spacing w:val="-2"/>
          <w:lang w:val="fr-FR"/>
        </w:rPr>
        <w:t>-</w:t>
      </w:r>
      <w:r w:rsidR="00572DC7" w:rsidRPr="003B4FCF">
        <w:rPr>
          <w:spacing w:val="-2"/>
          <w:lang w:val="fr-FR"/>
        </w:rPr>
        <w:t>trois</w:t>
      </w:r>
      <w:r w:rsidR="005D3B5B" w:rsidRPr="003B4FCF">
        <w:rPr>
          <w:spacing w:val="-2"/>
          <w:lang w:val="fr-FR"/>
        </w:rPr>
        <w:t>ième session</w:t>
      </w:r>
      <w:r w:rsidR="00572DC7" w:rsidRPr="003B4FCF">
        <w:rPr>
          <w:spacing w:val="-2"/>
          <w:lang w:val="fr-FR"/>
        </w:rPr>
        <w:t xml:space="preserve"> ordinaire, sous réserve de l</w:t>
      </w:r>
      <w:r w:rsidR="005D3B5B" w:rsidRPr="003B4FCF">
        <w:rPr>
          <w:spacing w:val="-2"/>
          <w:lang w:val="fr-FR"/>
        </w:rPr>
        <w:t>’</w:t>
      </w:r>
      <w:r w:rsidR="00572DC7" w:rsidRPr="003B4FCF">
        <w:rPr>
          <w:spacing w:val="-2"/>
          <w:lang w:val="fr-FR"/>
        </w:rPr>
        <w:t>approbation</w:t>
      </w:r>
      <w:r w:rsidR="00067374" w:rsidRPr="003B4FCF">
        <w:rPr>
          <w:spacing w:val="-2"/>
          <w:lang w:val="fr-FR"/>
        </w:rPr>
        <w:t xml:space="preserve"> du CAJ</w:t>
      </w:r>
      <w:r w:rsidR="00572DC7" w:rsidRPr="003B4FCF">
        <w:rPr>
          <w:spacing w:val="-2"/>
          <w:lang w:val="fr-FR"/>
        </w:rPr>
        <w:t xml:space="preserve"> à sa soixante</w:t>
      </w:r>
      <w:r w:rsidR="005D3B5B" w:rsidRPr="003B4FCF">
        <w:rPr>
          <w:spacing w:val="-2"/>
          <w:lang w:val="fr-FR"/>
        </w:rPr>
        <w:t>-</w:t>
      </w:r>
      <w:r w:rsidR="00572DC7" w:rsidRPr="003B4FCF">
        <w:rPr>
          <w:spacing w:val="-2"/>
          <w:lang w:val="fr-FR"/>
        </w:rPr>
        <w:t>s</w:t>
      </w:r>
      <w:r w:rsidR="007A7F15" w:rsidRPr="003B4FCF">
        <w:rPr>
          <w:spacing w:val="-2"/>
          <w:lang w:val="fr-FR"/>
        </w:rPr>
        <w:t>eiz</w:t>
      </w:r>
      <w:r w:rsidR="005D3B5B" w:rsidRPr="003B4FCF">
        <w:rPr>
          <w:spacing w:val="-2"/>
          <w:lang w:val="fr-FR"/>
        </w:rPr>
        <w:t>ième session</w:t>
      </w:r>
      <w:hyperlink w:anchor="notebasdepage5" w:history="1">
        <w:r w:rsidR="000E2BAE" w:rsidRPr="003B4FCF">
          <w:rPr>
            <w:rStyle w:val="Hyperlink"/>
            <w:color w:val="auto"/>
            <w:spacing w:val="-2"/>
            <w:u w:val="none"/>
            <w:vertAlign w:val="superscript"/>
            <w:lang w:val="fr-FR"/>
          </w:rPr>
          <w:t>5</w:t>
        </w:r>
      </w:hyperlink>
      <w:r w:rsidRPr="003B4FCF">
        <w:rPr>
          <w:spacing w:val="-2"/>
          <w:lang w:val="fr-FR"/>
        </w:rPr>
        <w:t>.</w:t>
      </w:r>
    </w:p>
    <w:p w:rsidR="00465412" w:rsidRPr="003B4FCF" w:rsidRDefault="00465412" w:rsidP="0019194C">
      <w:pPr>
        <w:rPr>
          <w:spacing w:val="-2"/>
          <w:lang w:val="fr-FR"/>
        </w:rPr>
      </w:pPr>
    </w:p>
    <w:p w:rsidR="00465412" w:rsidRPr="003B4FCF" w:rsidRDefault="0019194C" w:rsidP="007A6E85">
      <w:pPr>
        <w:rPr>
          <w:bCs/>
          <w:snapToGrid w:val="0"/>
          <w:szCs w:val="24"/>
          <w:lang w:val="fr-FR"/>
        </w:rPr>
      </w:pPr>
      <w:r w:rsidRPr="003B4FCF">
        <w:rPr>
          <w:spacing w:val="-2"/>
          <w:lang w:val="fr-FR"/>
        </w:rPr>
        <w:fldChar w:fldCharType="begin"/>
      </w:r>
      <w:r w:rsidRPr="003B4FCF">
        <w:rPr>
          <w:spacing w:val="-2"/>
          <w:lang w:val="fr-FR"/>
        </w:rPr>
        <w:instrText xml:space="preserve"> AUTONUM  </w:instrText>
      </w:r>
      <w:r w:rsidRPr="003B4FCF">
        <w:rPr>
          <w:spacing w:val="-2"/>
          <w:lang w:val="fr-FR"/>
        </w:rPr>
        <w:fldChar w:fldCharType="end"/>
      </w:r>
      <w:r w:rsidRPr="003B4FCF">
        <w:rPr>
          <w:spacing w:val="-2"/>
          <w:lang w:val="fr-FR"/>
        </w:rPr>
        <w:tab/>
      </w:r>
      <w:r w:rsidR="007A6E85" w:rsidRPr="003B4FCF">
        <w:rPr>
          <w:spacing w:val="-2"/>
          <w:lang w:val="fr-FR"/>
        </w:rPr>
        <w:t xml:space="preserve">Les traductions en français, allemand et espagnol du texte anglais original ont été examinées par les membres concernés du Comité de rédaction avant la présentation du projet de </w:t>
      </w:r>
      <w:r w:rsidR="00067374" w:rsidRPr="003B4FCF">
        <w:rPr>
          <w:spacing w:val="-2"/>
          <w:lang w:val="fr-FR"/>
        </w:rPr>
        <w:t>document TG</w:t>
      </w:r>
      <w:r w:rsidR="007A6E85" w:rsidRPr="003B4FCF">
        <w:rPr>
          <w:spacing w:val="-2"/>
          <w:lang w:val="fr-FR"/>
        </w:rPr>
        <w:t>P/7/7 au Conse</w:t>
      </w:r>
      <w:r w:rsidR="001545B0" w:rsidRPr="003B4FCF">
        <w:rPr>
          <w:spacing w:val="-2"/>
          <w:lang w:val="fr-FR"/>
        </w:rPr>
        <w:t>il.  Le</w:t>
      </w:r>
      <w:r w:rsidR="007A6E85" w:rsidRPr="003B4FCF">
        <w:rPr>
          <w:spacing w:val="-2"/>
          <w:lang w:val="fr-FR"/>
        </w:rPr>
        <w:t xml:space="preserve"> </w:t>
      </w:r>
      <w:r w:rsidR="00067374" w:rsidRPr="003B4FCF">
        <w:rPr>
          <w:spacing w:val="-2"/>
          <w:lang w:val="fr-FR"/>
        </w:rPr>
        <w:t>document TG</w:t>
      </w:r>
      <w:r w:rsidR="007A6E85" w:rsidRPr="003B4FCF">
        <w:rPr>
          <w:spacing w:val="-2"/>
          <w:lang w:val="fr-FR"/>
        </w:rPr>
        <w:t>P/7/7 Draft</w:t>
      </w:r>
      <w:r w:rsidR="00A618B2" w:rsidRPr="003B4FCF">
        <w:rPr>
          <w:spacing w:val="-2"/>
          <w:lang w:val="fr-FR"/>
        </w:rPr>
        <w:t> </w:t>
      </w:r>
      <w:r w:rsidR="007A6E85" w:rsidRPr="003B4FCF">
        <w:rPr>
          <w:spacing w:val="-2"/>
          <w:lang w:val="fr-FR"/>
        </w:rPr>
        <w:t>1 contient les modifications approuvées par le</w:t>
      </w:r>
      <w:r w:rsidR="005D3B5B" w:rsidRPr="003B4FCF">
        <w:rPr>
          <w:spacing w:val="-2"/>
          <w:lang w:val="fr-FR"/>
        </w:rPr>
        <w:t> TC</w:t>
      </w:r>
      <w:r w:rsidR="004C6B04" w:rsidRPr="003B4FCF">
        <w:rPr>
          <w:spacing w:val="-2"/>
          <w:lang w:val="fr-FR"/>
        </w:rPr>
        <w:t xml:space="preserve"> figurant</w:t>
      </w:r>
      <w:r w:rsidR="007A6E85" w:rsidRPr="003B4FCF">
        <w:rPr>
          <w:spacing w:val="-2"/>
          <w:lang w:val="fr-FR"/>
        </w:rPr>
        <w:t xml:space="preserve"> à l</w:t>
      </w:r>
      <w:r w:rsidR="005D3B5B" w:rsidRPr="003B4FCF">
        <w:rPr>
          <w:spacing w:val="-2"/>
          <w:lang w:val="fr-FR"/>
        </w:rPr>
        <w:t>’</w:t>
      </w:r>
      <w:r w:rsidR="00067374" w:rsidRPr="003B4FCF">
        <w:rPr>
          <w:spacing w:val="-2"/>
          <w:lang w:val="fr-FR"/>
        </w:rPr>
        <w:t>annexe I</w:t>
      </w:r>
      <w:r w:rsidR="007A6E85" w:rsidRPr="003B4FCF">
        <w:rPr>
          <w:spacing w:val="-2"/>
          <w:lang w:val="fr-FR"/>
        </w:rPr>
        <w:t xml:space="preserve"> du présent document (</w:t>
      </w:r>
      <w:r w:rsidR="004C6B04" w:rsidRPr="003B4FCF">
        <w:rPr>
          <w:spacing w:val="-2"/>
          <w:lang w:val="fr-FR"/>
        </w:rPr>
        <w:t>avec changements apparents</w:t>
      </w:r>
      <w:r w:rsidR="007A6E85" w:rsidRPr="003B4FCF">
        <w:rPr>
          <w:spacing w:val="-2"/>
          <w:lang w:val="fr-FR"/>
        </w:rPr>
        <w:t>), ainsi que les modifications d</w:t>
      </w:r>
      <w:r w:rsidR="005D3B5B" w:rsidRPr="003B4FCF">
        <w:rPr>
          <w:spacing w:val="-2"/>
          <w:lang w:val="fr-FR"/>
        </w:rPr>
        <w:t>’</w:t>
      </w:r>
      <w:r w:rsidR="007A6E85" w:rsidRPr="003B4FCF">
        <w:rPr>
          <w:spacing w:val="-2"/>
          <w:lang w:val="fr-FR"/>
        </w:rPr>
        <w:t>ordre linguistique apportées par les membres concernés du Comité de rédaction.</w:t>
      </w:r>
    </w:p>
    <w:p w:rsidR="00465412" w:rsidRPr="003B4FCF" w:rsidRDefault="00465412" w:rsidP="0019194C">
      <w:pPr>
        <w:rPr>
          <w:bCs/>
          <w:snapToGrid w:val="0"/>
          <w:szCs w:val="24"/>
          <w:lang w:val="fr-FR"/>
        </w:rPr>
      </w:pPr>
    </w:p>
    <w:p w:rsidR="00067374" w:rsidRPr="003B4FCF" w:rsidRDefault="00FE42F1" w:rsidP="007A6E85">
      <w:pPr>
        <w:rPr>
          <w:lang w:val="fr-FR"/>
        </w:rPr>
      </w:pPr>
      <w:r w:rsidRPr="003B4FCF">
        <w:rPr>
          <w:lang w:val="fr-FR"/>
        </w:rPr>
        <w:fldChar w:fldCharType="begin"/>
      </w:r>
      <w:r w:rsidRPr="003B4FCF">
        <w:rPr>
          <w:lang w:val="fr-FR"/>
        </w:rPr>
        <w:instrText xml:space="preserve"> AUTONUM  </w:instrText>
      </w:r>
      <w:r w:rsidRPr="003B4FCF">
        <w:rPr>
          <w:lang w:val="fr-FR"/>
        </w:rPr>
        <w:fldChar w:fldCharType="end"/>
      </w:r>
      <w:r w:rsidRPr="003B4FCF">
        <w:rPr>
          <w:lang w:val="fr-FR"/>
        </w:rPr>
        <w:tab/>
      </w:r>
      <w:r w:rsidR="00996A6D" w:rsidRPr="003B4FCF">
        <w:rPr>
          <w:lang w:val="fr-FR"/>
        </w:rPr>
        <w:t>À</w:t>
      </w:r>
      <w:r w:rsidR="007A6E85" w:rsidRPr="003B4FCF">
        <w:rPr>
          <w:lang w:val="fr-FR"/>
        </w:rPr>
        <w:t xml:space="preserve"> sa cinquante</w:t>
      </w:r>
      <w:r w:rsidR="005D3B5B" w:rsidRPr="003B4FCF">
        <w:rPr>
          <w:lang w:val="fr-FR"/>
        </w:rPr>
        <w:t>-</w:t>
      </w:r>
      <w:r w:rsidR="007A6E85" w:rsidRPr="003B4FCF">
        <w:rPr>
          <w:lang w:val="fr-FR"/>
        </w:rPr>
        <w:t>cinqu</w:t>
      </w:r>
      <w:r w:rsidR="005D3B5B" w:rsidRPr="003B4FCF">
        <w:rPr>
          <w:lang w:val="fr-FR"/>
        </w:rPr>
        <w:t>ième session</w:t>
      </w:r>
      <w:hyperlink w:anchor="notebasdepage1" w:history="1">
        <w:r w:rsidR="000E2BAE" w:rsidRPr="003B4FCF">
          <w:rPr>
            <w:rStyle w:val="Hyperlink"/>
            <w:color w:val="auto"/>
            <w:u w:val="none"/>
            <w:vertAlign w:val="superscript"/>
            <w:lang w:val="fr-FR"/>
          </w:rPr>
          <w:t>1</w:t>
        </w:r>
      </w:hyperlink>
      <w:r w:rsidR="007A6E85" w:rsidRPr="003B4FCF">
        <w:rPr>
          <w:lang w:val="fr-FR"/>
        </w:rPr>
        <w:t xml:space="preserve">, </w:t>
      </w:r>
      <w:r w:rsidR="00996A6D" w:rsidRPr="003B4FCF">
        <w:rPr>
          <w:lang w:val="fr-FR"/>
        </w:rPr>
        <w:t>le</w:t>
      </w:r>
      <w:r w:rsidR="005D3B5B" w:rsidRPr="003B4FCF">
        <w:rPr>
          <w:lang w:val="fr-FR"/>
        </w:rPr>
        <w:t> TC</w:t>
      </w:r>
      <w:r w:rsidR="00996A6D" w:rsidRPr="003B4FCF">
        <w:rPr>
          <w:lang w:val="fr-FR"/>
        </w:rPr>
        <w:t xml:space="preserve"> </w:t>
      </w:r>
      <w:r w:rsidR="007A6E85" w:rsidRPr="003B4FCF">
        <w:rPr>
          <w:lang w:val="fr-FR"/>
        </w:rPr>
        <w:t xml:space="preserve">examinera le </w:t>
      </w:r>
      <w:r w:rsidR="00067374" w:rsidRPr="003B4FCF">
        <w:rPr>
          <w:lang w:val="fr-FR"/>
        </w:rPr>
        <w:t>document TG</w:t>
      </w:r>
      <w:r w:rsidR="007A6E85" w:rsidRPr="003B4FCF">
        <w:rPr>
          <w:lang w:val="fr-FR"/>
        </w:rPr>
        <w:t>P/7/7 Draft 1.  Il sera rendu compte</w:t>
      </w:r>
      <w:r w:rsidR="00067374" w:rsidRPr="003B4FCF">
        <w:rPr>
          <w:lang w:val="fr-FR"/>
        </w:rPr>
        <w:t xml:space="preserve"> au CAJ</w:t>
      </w:r>
      <w:r w:rsidR="007A6E85" w:rsidRPr="003B4FCF">
        <w:rPr>
          <w:lang w:val="fr-FR"/>
        </w:rPr>
        <w:t>, à sa soixante</w:t>
      </w:r>
      <w:r w:rsidR="005D3B5B" w:rsidRPr="003B4FCF">
        <w:rPr>
          <w:lang w:val="fr-FR"/>
        </w:rPr>
        <w:t>-</w:t>
      </w:r>
      <w:r w:rsidR="007A6E85" w:rsidRPr="003B4FCF">
        <w:rPr>
          <w:lang w:val="fr-FR"/>
        </w:rPr>
        <w:t>seiz</w:t>
      </w:r>
      <w:r w:rsidR="005D3B5B" w:rsidRPr="003B4FCF">
        <w:rPr>
          <w:lang w:val="fr-FR"/>
        </w:rPr>
        <w:t>ième session</w:t>
      </w:r>
      <w:hyperlink w:anchor="notebasdepage5" w:history="1">
        <w:r w:rsidR="000E2BAE" w:rsidRPr="003B4FCF">
          <w:rPr>
            <w:rStyle w:val="Hyperlink"/>
            <w:color w:val="auto"/>
            <w:spacing w:val="-2"/>
            <w:u w:val="none"/>
            <w:vertAlign w:val="superscript"/>
            <w:lang w:val="fr-FR"/>
          </w:rPr>
          <w:t>5</w:t>
        </w:r>
      </w:hyperlink>
      <w:r w:rsidR="003D1367" w:rsidRPr="003B4FCF">
        <w:rPr>
          <w:lang w:val="fr-FR"/>
        </w:rPr>
        <w:t>, des observations formulées par le</w:t>
      </w:r>
      <w:r w:rsidR="005D3B5B" w:rsidRPr="003B4FCF">
        <w:rPr>
          <w:lang w:val="fr-FR"/>
        </w:rPr>
        <w:t> TC</w:t>
      </w:r>
      <w:r w:rsidR="0019194C" w:rsidRPr="003B4FCF">
        <w:rPr>
          <w:lang w:val="fr-FR"/>
        </w:rPr>
        <w:t>.</w:t>
      </w:r>
    </w:p>
    <w:p w:rsidR="00465412" w:rsidRPr="003B4FCF" w:rsidRDefault="00465412" w:rsidP="00501AC5">
      <w:pPr>
        <w:rPr>
          <w:lang w:val="fr-FR"/>
        </w:rPr>
      </w:pPr>
    </w:p>
    <w:p w:rsidR="00465412" w:rsidRPr="003B4FCF" w:rsidRDefault="003A2170" w:rsidP="007A6E85">
      <w:pPr>
        <w:pStyle w:val="DecisionParagraphs"/>
        <w:rPr>
          <w:lang w:val="fr-FR"/>
        </w:rPr>
      </w:pPr>
      <w:r w:rsidRPr="003B4FCF">
        <w:rPr>
          <w:lang w:val="fr-FR"/>
        </w:rPr>
        <w:fldChar w:fldCharType="begin"/>
      </w:r>
      <w:r w:rsidRPr="003B4FCF">
        <w:rPr>
          <w:lang w:val="fr-FR"/>
        </w:rPr>
        <w:instrText xml:space="preserve"> AUTONUM  </w:instrText>
      </w:r>
      <w:r w:rsidRPr="003B4FCF">
        <w:rPr>
          <w:lang w:val="fr-FR"/>
        </w:rPr>
        <w:fldChar w:fldCharType="end"/>
      </w:r>
      <w:r w:rsidRPr="003B4FCF">
        <w:rPr>
          <w:lang w:val="fr-FR"/>
        </w:rPr>
        <w:tab/>
      </w:r>
      <w:r w:rsidR="007A6E85" w:rsidRPr="003B4FCF">
        <w:rPr>
          <w:lang w:val="fr-FR"/>
        </w:rPr>
        <w:t>Le CAJ est invité à examiner la version révisée du document TGP/7 “Élaboration des principes directeurs d</w:t>
      </w:r>
      <w:r w:rsidR="005D3B5B" w:rsidRPr="003B4FCF">
        <w:rPr>
          <w:lang w:val="fr-FR"/>
        </w:rPr>
        <w:t>’</w:t>
      </w:r>
      <w:r w:rsidR="007A6E85" w:rsidRPr="003B4FCF">
        <w:rPr>
          <w:lang w:val="fr-FR"/>
        </w:rPr>
        <w:t>examen” (document TGP/7/7), sur la base du document TGP/7/7 Draft 1, compte tenu des conclusions formulées par le</w:t>
      </w:r>
      <w:r w:rsidR="00920667" w:rsidRPr="003B4FCF">
        <w:rPr>
          <w:lang w:val="fr-FR"/>
        </w:rPr>
        <w:t xml:space="preserve"> </w:t>
      </w:r>
      <w:r w:rsidR="005D3B5B" w:rsidRPr="003B4FCF">
        <w:rPr>
          <w:lang w:val="fr-FR"/>
        </w:rPr>
        <w:t>TC</w:t>
      </w:r>
      <w:r w:rsidR="007A6E85" w:rsidRPr="003B4FCF">
        <w:rPr>
          <w:lang w:val="fr-FR"/>
        </w:rPr>
        <w:t xml:space="preserve"> à sa cinquante</w:t>
      </w:r>
      <w:r w:rsidR="005D3B5B" w:rsidRPr="003B4FCF">
        <w:rPr>
          <w:lang w:val="fr-FR"/>
        </w:rPr>
        <w:t>-</w:t>
      </w:r>
      <w:r w:rsidR="007A6E85" w:rsidRPr="003B4FCF">
        <w:rPr>
          <w:lang w:val="fr-FR"/>
        </w:rPr>
        <w:t>cinqu</w:t>
      </w:r>
      <w:r w:rsidR="00920667" w:rsidRPr="003B4FCF">
        <w:rPr>
          <w:lang w:val="fr-FR"/>
        </w:rPr>
        <w:t xml:space="preserve">ième </w:t>
      </w:r>
      <w:r w:rsidR="005D3B5B" w:rsidRPr="003B4FCF">
        <w:rPr>
          <w:lang w:val="fr-FR"/>
        </w:rPr>
        <w:t>session</w:t>
      </w:r>
      <w:r w:rsidR="007A6E85" w:rsidRPr="003B4FCF">
        <w:rPr>
          <w:lang w:val="fr-FR"/>
        </w:rPr>
        <w:t>.</w:t>
      </w:r>
    </w:p>
    <w:p w:rsidR="00465412" w:rsidRPr="003B4FCF" w:rsidRDefault="00465412" w:rsidP="0050161D">
      <w:pPr>
        <w:rPr>
          <w:rFonts w:eastAsia="MS Mincho"/>
          <w:lang w:val="fr-FR"/>
        </w:rPr>
      </w:pPr>
    </w:p>
    <w:p w:rsidR="00920667" w:rsidRPr="003B4FCF" w:rsidRDefault="00920667" w:rsidP="0050161D">
      <w:pPr>
        <w:rPr>
          <w:rFonts w:eastAsia="MS Mincho"/>
          <w:lang w:val="fr-FR"/>
        </w:rPr>
      </w:pPr>
    </w:p>
    <w:p w:rsidR="00465412" w:rsidRPr="003B4FCF" w:rsidRDefault="00EC2E5A" w:rsidP="00920667">
      <w:pPr>
        <w:pStyle w:val="Heading2"/>
      </w:pPr>
      <w:bookmarkStart w:id="22" w:name="_Toc14792932"/>
      <w:r w:rsidRPr="003B4FCF">
        <w:t>Document</w:t>
      </w:r>
      <w:r w:rsidR="00A618B2" w:rsidRPr="003B4FCF">
        <w:t> </w:t>
      </w:r>
      <w:r w:rsidRPr="003B4FCF">
        <w:t>TGP/8</w:t>
      </w:r>
      <w:r w:rsidR="005D3B5B" w:rsidRPr="003B4FCF">
        <w:t> :</w:t>
      </w:r>
      <w:r w:rsidRPr="003B4FCF">
        <w:t xml:space="preserve"> Protocole d</w:t>
      </w:r>
      <w:r w:rsidR="005D3B5B" w:rsidRPr="003B4FCF">
        <w:t>’</w:t>
      </w:r>
      <w:r w:rsidRPr="003B4FCF">
        <w:t>essai et techniques utilisés dans l</w:t>
      </w:r>
      <w:r w:rsidR="005D3B5B" w:rsidRPr="003B4FCF">
        <w:t>’</w:t>
      </w:r>
      <w:r w:rsidRPr="003B4FCF">
        <w:t>examen de la distinction, de l</w:t>
      </w:r>
      <w:r w:rsidR="005D3B5B" w:rsidRPr="003B4FCF">
        <w:t>’</w:t>
      </w:r>
      <w:r w:rsidRPr="003B4FCF">
        <w:t>homogénéité et de la stabilité (révision) (</w:t>
      </w:r>
      <w:r w:rsidR="00067374" w:rsidRPr="003B4FCF">
        <w:t>document TG</w:t>
      </w:r>
      <w:r w:rsidRPr="003B4FCF">
        <w:t>P/8/4 Draft</w:t>
      </w:r>
      <w:r w:rsidR="00A618B2" w:rsidRPr="003B4FCF">
        <w:t> </w:t>
      </w:r>
      <w:r w:rsidRPr="003B4FCF">
        <w:t>1)</w:t>
      </w:r>
      <w:bookmarkEnd w:id="22"/>
    </w:p>
    <w:p w:rsidR="00465412" w:rsidRPr="003B4FCF" w:rsidRDefault="00465412" w:rsidP="0091141B">
      <w:pPr>
        <w:rPr>
          <w:lang w:val="fr-FR"/>
        </w:rPr>
      </w:pPr>
    </w:p>
    <w:p w:rsidR="00067374" w:rsidRPr="003B4FCF" w:rsidRDefault="0091141B" w:rsidP="00EC2E5A">
      <w:pPr>
        <w:rPr>
          <w:lang w:val="fr-FR"/>
        </w:rPr>
      </w:pPr>
      <w:r w:rsidRPr="003B4FCF">
        <w:rPr>
          <w:lang w:val="fr-FR"/>
        </w:rPr>
        <w:fldChar w:fldCharType="begin"/>
      </w:r>
      <w:r w:rsidRPr="003B4FCF">
        <w:rPr>
          <w:lang w:val="fr-FR"/>
        </w:rPr>
        <w:instrText xml:space="preserve"> AUTONUM  </w:instrText>
      </w:r>
      <w:r w:rsidRPr="003B4FCF">
        <w:rPr>
          <w:lang w:val="fr-FR"/>
        </w:rPr>
        <w:fldChar w:fldCharType="end"/>
      </w:r>
      <w:r w:rsidRPr="003B4FCF">
        <w:rPr>
          <w:lang w:val="fr-FR"/>
        </w:rPr>
        <w:tab/>
      </w:r>
      <w:r w:rsidR="00EC2E5A" w:rsidRPr="003B4FCF">
        <w:rPr>
          <w:lang w:val="fr-FR"/>
        </w:rPr>
        <w:t>À sa cinquante</w:t>
      </w:r>
      <w:r w:rsidR="005D3B5B" w:rsidRPr="003B4FCF">
        <w:rPr>
          <w:lang w:val="fr-FR"/>
        </w:rPr>
        <w:t>-</w:t>
      </w:r>
      <w:r w:rsidR="00EC2E5A" w:rsidRPr="003B4FCF">
        <w:rPr>
          <w:lang w:val="fr-FR"/>
        </w:rPr>
        <w:t>trois</w:t>
      </w:r>
      <w:r w:rsidR="005D3B5B" w:rsidRPr="003B4FCF">
        <w:rPr>
          <w:lang w:val="fr-FR"/>
        </w:rPr>
        <w:t>ième session</w:t>
      </w:r>
      <w:r w:rsidR="00EC2E5A" w:rsidRPr="003B4FCF">
        <w:rPr>
          <w:rStyle w:val="FootnoteReference"/>
          <w:lang w:val="fr-FR"/>
        </w:rPr>
        <w:footnoteReference w:id="8"/>
      </w:r>
      <w:r w:rsidR="00EC2E5A" w:rsidRPr="003B4FCF">
        <w:rPr>
          <w:lang w:val="fr-FR"/>
        </w:rPr>
        <w:t>, le</w:t>
      </w:r>
      <w:r w:rsidR="005D3B5B" w:rsidRPr="003B4FCF">
        <w:rPr>
          <w:lang w:val="fr-FR"/>
        </w:rPr>
        <w:t> TC</w:t>
      </w:r>
      <w:r w:rsidR="00EC2E5A" w:rsidRPr="003B4FCF">
        <w:rPr>
          <w:lang w:val="fr-FR"/>
        </w:rPr>
        <w:t xml:space="preserve"> a approuvé la proposition d</w:t>
      </w:r>
      <w:r w:rsidR="005D3B5B" w:rsidRPr="003B4FCF">
        <w:rPr>
          <w:lang w:val="fr-FR"/>
        </w:rPr>
        <w:t>’</w:t>
      </w:r>
      <w:r w:rsidR="00EC2E5A" w:rsidRPr="003B4FCF">
        <w:rPr>
          <w:lang w:val="fr-FR"/>
        </w:rPr>
        <w:t>orientations sur l</w:t>
      </w:r>
      <w:r w:rsidR="005D3B5B" w:rsidRPr="003B4FCF">
        <w:rPr>
          <w:lang w:val="fr-FR"/>
        </w:rPr>
        <w:t>’</w:t>
      </w:r>
      <w:r w:rsidR="00EC2E5A" w:rsidRPr="003B4FCF">
        <w:rPr>
          <w:lang w:val="fr-FR"/>
        </w:rPr>
        <w:t>“Examen des caractères DHS sur la base d</w:t>
      </w:r>
      <w:r w:rsidR="005D3B5B" w:rsidRPr="003B4FCF">
        <w:rPr>
          <w:lang w:val="fr-FR"/>
        </w:rPr>
        <w:t>’</w:t>
      </w:r>
      <w:r w:rsidR="00EC2E5A" w:rsidRPr="003B4FCF">
        <w:rPr>
          <w:lang w:val="fr-FR"/>
        </w:rPr>
        <w:t>échantillons globaux” en vue de leur inclusion dans une version révisée du document TGP/8 “Protocole d</w:t>
      </w:r>
      <w:r w:rsidR="005D3B5B" w:rsidRPr="003B4FCF">
        <w:rPr>
          <w:lang w:val="fr-FR"/>
        </w:rPr>
        <w:t>’</w:t>
      </w:r>
      <w:r w:rsidR="00EC2E5A" w:rsidRPr="003B4FCF">
        <w:rPr>
          <w:lang w:val="fr-FR"/>
        </w:rPr>
        <w:t>essai et techniques utilisés dans l</w:t>
      </w:r>
      <w:r w:rsidR="005D3B5B" w:rsidRPr="003B4FCF">
        <w:rPr>
          <w:lang w:val="fr-FR"/>
        </w:rPr>
        <w:t>’</w:t>
      </w:r>
      <w:r w:rsidR="00EC2E5A" w:rsidRPr="003B4FCF">
        <w:rPr>
          <w:lang w:val="fr-FR"/>
        </w:rPr>
        <w:t>examen de la distinction, de l</w:t>
      </w:r>
      <w:r w:rsidR="005D3B5B" w:rsidRPr="003B4FCF">
        <w:rPr>
          <w:lang w:val="fr-FR"/>
        </w:rPr>
        <w:t>’</w:t>
      </w:r>
      <w:r w:rsidR="00EC2E5A" w:rsidRPr="003B4FCF">
        <w:rPr>
          <w:lang w:val="fr-FR"/>
        </w:rPr>
        <w:t>homogénéité et de la stabilité”</w:t>
      </w:r>
      <w:r w:rsidR="00EC2E5A" w:rsidRPr="003B4FCF">
        <w:rPr>
          <w:rStyle w:val="FootnoteReference"/>
          <w:lang w:val="fr-FR"/>
        </w:rPr>
        <w:footnoteReference w:id="9"/>
      </w:r>
      <w:r w:rsidR="00EC2E5A" w:rsidRPr="003B4FCF">
        <w:rPr>
          <w:lang w:val="fr-FR"/>
        </w:rPr>
        <w:t>.</w:t>
      </w:r>
    </w:p>
    <w:p w:rsidR="00465412" w:rsidRPr="003B4FCF" w:rsidRDefault="00465412" w:rsidP="0091141B">
      <w:pPr>
        <w:rPr>
          <w:lang w:val="fr-FR"/>
        </w:rPr>
      </w:pPr>
    </w:p>
    <w:p w:rsidR="00465412" w:rsidRPr="003B4FCF" w:rsidRDefault="0091141B" w:rsidP="00E80C47">
      <w:pPr>
        <w:rPr>
          <w:lang w:val="fr-FR"/>
        </w:rPr>
      </w:pPr>
      <w:r w:rsidRPr="003B4FCF">
        <w:rPr>
          <w:lang w:val="fr-FR"/>
        </w:rPr>
        <w:fldChar w:fldCharType="begin"/>
      </w:r>
      <w:r w:rsidRPr="003B4FCF">
        <w:rPr>
          <w:lang w:val="fr-FR"/>
        </w:rPr>
        <w:instrText xml:space="preserve"> AUTONUM  </w:instrText>
      </w:r>
      <w:r w:rsidRPr="003B4FCF">
        <w:rPr>
          <w:lang w:val="fr-FR"/>
        </w:rPr>
        <w:fldChar w:fldCharType="end"/>
      </w:r>
      <w:r w:rsidRPr="003B4FCF">
        <w:rPr>
          <w:lang w:val="fr-FR"/>
        </w:rPr>
        <w:tab/>
      </w:r>
      <w:r w:rsidR="00536D59" w:rsidRPr="003B4FCF">
        <w:rPr>
          <w:lang w:val="fr-FR"/>
        </w:rPr>
        <w:t>À</w:t>
      </w:r>
      <w:r w:rsidR="00EC2E5A" w:rsidRPr="003B4FCF">
        <w:rPr>
          <w:lang w:val="fr-FR"/>
        </w:rPr>
        <w:t xml:space="preserve"> sa cinquante</w:t>
      </w:r>
      <w:r w:rsidR="005D3B5B" w:rsidRPr="003B4FCF">
        <w:rPr>
          <w:lang w:val="fr-FR"/>
        </w:rPr>
        <w:t>-</w:t>
      </w:r>
      <w:r w:rsidR="00EC2E5A" w:rsidRPr="003B4FCF">
        <w:rPr>
          <w:lang w:val="fr-FR"/>
        </w:rPr>
        <w:t>quatr</w:t>
      </w:r>
      <w:r w:rsidR="005D3B5B" w:rsidRPr="003B4FCF">
        <w:rPr>
          <w:lang w:val="fr-FR"/>
        </w:rPr>
        <w:t>ième session</w:t>
      </w:r>
      <w:hyperlink w:anchor="notebasdepage2" w:history="1">
        <w:r w:rsidR="000E2BAE" w:rsidRPr="003B4FCF">
          <w:rPr>
            <w:rStyle w:val="Hyperlink"/>
            <w:color w:val="auto"/>
            <w:u w:val="none"/>
            <w:vertAlign w:val="superscript"/>
            <w:lang w:val="fr-FR"/>
          </w:rPr>
          <w:t>2</w:t>
        </w:r>
      </w:hyperlink>
      <w:r w:rsidR="00E80C47" w:rsidRPr="003B4FCF">
        <w:rPr>
          <w:lang w:val="fr-FR"/>
        </w:rPr>
        <w:t xml:space="preserve">, </w:t>
      </w:r>
      <w:r w:rsidR="00536D59" w:rsidRPr="003B4FCF">
        <w:rPr>
          <w:lang w:val="fr-FR"/>
        </w:rPr>
        <w:t>le</w:t>
      </w:r>
      <w:r w:rsidR="005D3B5B" w:rsidRPr="003B4FCF">
        <w:rPr>
          <w:lang w:val="fr-FR"/>
        </w:rPr>
        <w:t> TC</w:t>
      </w:r>
      <w:r w:rsidR="00536D59" w:rsidRPr="003B4FCF">
        <w:rPr>
          <w:lang w:val="fr-FR"/>
        </w:rPr>
        <w:t xml:space="preserve"> </w:t>
      </w:r>
      <w:r w:rsidR="00E80C47" w:rsidRPr="003B4FCF">
        <w:rPr>
          <w:lang w:val="fr-FR"/>
        </w:rPr>
        <w:t xml:space="preserve">est convenu de remplacer les orientations figurant dans le document TGP/8/2, deuxième partie, </w:t>
      </w:r>
      <w:r w:rsidR="00067374" w:rsidRPr="003B4FCF">
        <w:rPr>
          <w:lang w:val="fr-FR"/>
        </w:rPr>
        <w:t>section 8</w:t>
      </w:r>
      <w:r w:rsidR="00E80C47" w:rsidRPr="003B4FCF">
        <w:rPr>
          <w:lang w:val="fr-FR"/>
        </w:rPr>
        <w:t>, sous</w:t>
      </w:r>
      <w:r w:rsidR="005D3B5B" w:rsidRPr="003B4FCF">
        <w:rPr>
          <w:lang w:val="fr-FR"/>
        </w:rPr>
        <w:t>-</w:t>
      </w:r>
      <w:r w:rsidR="00067374" w:rsidRPr="003B4FCF">
        <w:rPr>
          <w:lang w:val="fr-FR"/>
        </w:rPr>
        <w:t>section 8</w:t>
      </w:r>
      <w:r w:rsidR="00E80C47" w:rsidRPr="003B4FCF">
        <w:rPr>
          <w:lang w:val="fr-FR"/>
        </w:rPr>
        <w:t>.1.7</w:t>
      </w:r>
      <w:r w:rsidR="004C6B04" w:rsidRPr="003B4FCF">
        <w:rPr>
          <w:lang w:val="fr-FR"/>
        </w:rPr>
        <w:t>,</w:t>
      </w:r>
      <w:r w:rsidR="00E80C47" w:rsidRPr="003B4FCF">
        <w:rPr>
          <w:lang w:val="fr-FR"/>
        </w:rPr>
        <w:t xml:space="preserve"> par un renvoi aux nouvelles orientations sur l</w:t>
      </w:r>
      <w:r w:rsidR="005D3B5B" w:rsidRPr="003B4FCF">
        <w:rPr>
          <w:lang w:val="fr-FR"/>
        </w:rPr>
        <w:t>’</w:t>
      </w:r>
      <w:r w:rsidR="001C3657" w:rsidRPr="003B4FCF">
        <w:rPr>
          <w:lang w:val="fr-FR"/>
        </w:rPr>
        <w:t>“</w:t>
      </w:r>
      <w:r w:rsidR="00E80C47" w:rsidRPr="003B4FCF">
        <w:rPr>
          <w:lang w:val="fr-FR"/>
        </w:rPr>
        <w:t>Évaluation de l</w:t>
      </w:r>
      <w:r w:rsidR="005D3B5B" w:rsidRPr="003B4FCF">
        <w:rPr>
          <w:lang w:val="fr-FR"/>
        </w:rPr>
        <w:t>’</w:t>
      </w:r>
      <w:r w:rsidR="00E80C47" w:rsidRPr="003B4FCF">
        <w:rPr>
          <w:lang w:val="fr-FR"/>
        </w:rPr>
        <w:t>homogénéité d</w:t>
      </w:r>
      <w:r w:rsidR="005D3B5B" w:rsidRPr="003B4FCF">
        <w:rPr>
          <w:lang w:val="fr-FR"/>
        </w:rPr>
        <w:t>’</w:t>
      </w:r>
      <w:r w:rsidR="00E80C47" w:rsidRPr="003B4FCF">
        <w:rPr>
          <w:lang w:val="fr-FR"/>
        </w:rPr>
        <w:t>après les plantes hors</w:t>
      </w:r>
      <w:r w:rsidR="005D3B5B" w:rsidRPr="003B4FCF">
        <w:rPr>
          <w:lang w:val="fr-FR"/>
        </w:rPr>
        <w:t>-</w:t>
      </w:r>
      <w:r w:rsidR="00E80C47" w:rsidRPr="003B4FCF">
        <w:rPr>
          <w:lang w:val="fr-FR"/>
        </w:rPr>
        <w:t>type sur la base de plusieurs cycles de végétation ou sur la base de sous</w:t>
      </w:r>
      <w:r w:rsidR="005D3B5B" w:rsidRPr="003B4FCF">
        <w:rPr>
          <w:lang w:val="fr-FR"/>
        </w:rPr>
        <w:t>-</w:t>
      </w:r>
      <w:r w:rsidR="00E80C47" w:rsidRPr="003B4FCF">
        <w:rPr>
          <w:lang w:val="fr-FR"/>
        </w:rPr>
        <w:t>échantillons” en vue de leur inclusion dans le document TGP/10 “Examen de l</w:t>
      </w:r>
      <w:r w:rsidR="005D3B5B" w:rsidRPr="003B4FCF">
        <w:rPr>
          <w:lang w:val="fr-FR"/>
        </w:rPr>
        <w:t>’</w:t>
      </w:r>
      <w:r w:rsidR="00E80C47" w:rsidRPr="003B4FCF">
        <w:rPr>
          <w:lang w:val="fr-FR"/>
        </w:rPr>
        <w:t>homogénéité”</w:t>
      </w:r>
      <w:r w:rsidR="00E80C47" w:rsidRPr="003B4FCF">
        <w:rPr>
          <w:rStyle w:val="FootnoteReference"/>
          <w:lang w:val="fr-FR"/>
        </w:rPr>
        <w:footnoteReference w:id="10"/>
      </w:r>
      <w:r w:rsidR="00E80C47" w:rsidRPr="003B4FCF">
        <w:rPr>
          <w:lang w:val="fr-FR"/>
        </w:rPr>
        <w:t>.</w:t>
      </w:r>
    </w:p>
    <w:p w:rsidR="00465412" w:rsidRPr="003B4FCF" w:rsidRDefault="00465412" w:rsidP="00B74047">
      <w:pPr>
        <w:rPr>
          <w:lang w:val="fr-FR"/>
        </w:rPr>
      </w:pPr>
    </w:p>
    <w:p w:rsidR="00067374" w:rsidRPr="003B4FCF" w:rsidRDefault="00824EE7" w:rsidP="00E80C47">
      <w:pPr>
        <w:rPr>
          <w:spacing w:val="-2"/>
          <w:lang w:val="fr-FR"/>
        </w:rPr>
      </w:pPr>
      <w:r w:rsidRPr="003B4FCF">
        <w:rPr>
          <w:spacing w:val="-2"/>
          <w:lang w:val="fr-FR"/>
        </w:rPr>
        <w:fldChar w:fldCharType="begin"/>
      </w:r>
      <w:r w:rsidRPr="003B4FCF">
        <w:rPr>
          <w:spacing w:val="-2"/>
          <w:lang w:val="fr-FR"/>
        </w:rPr>
        <w:instrText xml:space="preserve"> AUTONUM  </w:instrText>
      </w:r>
      <w:r w:rsidRPr="003B4FCF">
        <w:rPr>
          <w:spacing w:val="-2"/>
          <w:lang w:val="fr-FR"/>
        </w:rPr>
        <w:fldChar w:fldCharType="end"/>
      </w:r>
      <w:r w:rsidRPr="003B4FCF">
        <w:rPr>
          <w:spacing w:val="-2"/>
          <w:lang w:val="fr-FR"/>
        </w:rPr>
        <w:tab/>
      </w:r>
      <w:r w:rsidR="00E80C47" w:rsidRPr="003B4FCF">
        <w:rPr>
          <w:spacing w:val="-2"/>
          <w:lang w:val="fr-FR"/>
        </w:rPr>
        <w:t>Sur la base de ce qui précède, le</w:t>
      </w:r>
      <w:r w:rsidR="005D3B5B" w:rsidRPr="003B4FCF">
        <w:rPr>
          <w:spacing w:val="-2"/>
          <w:lang w:val="fr-FR"/>
        </w:rPr>
        <w:t> TC</w:t>
      </w:r>
      <w:r w:rsidR="00E80C47" w:rsidRPr="003B4FCF">
        <w:rPr>
          <w:spacing w:val="-2"/>
          <w:lang w:val="fr-FR"/>
        </w:rPr>
        <w:t xml:space="preserve"> est convenu qu</w:t>
      </w:r>
      <w:r w:rsidR="005D3B5B" w:rsidRPr="003B4FCF">
        <w:rPr>
          <w:spacing w:val="-2"/>
          <w:lang w:val="fr-FR"/>
        </w:rPr>
        <w:t>’</w:t>
      </w:r>
      <w:r w:rsidR="00E80C47" w:rsidRPr="003B4FCF">
        <w:rPr>
          <w:spacing w:val="-2"/>
          <w:lang w:val="fr-FR"/>
        </w:rPr>
        <w:t xml:space="preserve">une version révisée du </w:t>
      </w:r>
      <w:r w:rsidR="00067374" w:rsidRPr="003B4FCF">
        <w:rPr>
          <w:spacing w:val="-2"/>
          <w:lang w:val="fr-FR"/>
        </w:rPr>
        <w:t>document TG</w:t>
      </w:r>
      <w:r w:rsidR="00E80C47" w:rsidRPr="003B4FCF">
        <w:rPr>
          <w:spacing w:val="-2"/>
          <w:lang w:val="fr-FR"/>
        </w:rPr>
        <w:t>P/8/3 (</w:t>
      </w:r>
      <w:r w:rsidR="00067374" w:rsidRPr="003B4FCF">
        <w:rPr>
          <w:spacing w:val="-2"/>
          <w:lang w:val="fr-FR"/>
        </w:rPr>
        <w:t>document</w:t>
      </w:r>
      <w:r w:rsidR="00920667" w:rsidRPr="003B4FCF">
        <w:rPr>
          <w:spacing w:val="-2"/>
          <w:lang w:val="fr-FR"/>
        </w:rPr>
        <w:t> </w:t>
      </w:r>
      <w:r w:rsidR="00067374" w:rsidRPr="003B4FCF">
        <w:rPr>
          <w:spacing w:val="-2"/>
          <w:lang w:val="fr-FR"/>
        </w:rPr>
        <w:t>TG</w:t>
      </w:r>
      <w:r w:rsidR="00920667" w:rsidRPr="003B4FCF">
        <w:rPr>
          <w:spacing w:val="-2"/>
          <w:lang w:val="fr-FR"/>
        </w:rPr>
        <w:t>P/8/4 </w:t>
      </w:r>
      <w:r w:rsidR="00E80C47" w:rsidRPr="003B4FCF">
        <w:rPr>
          <w:spacing w:val="-2"/>
          <w:lang w:val="fr-FR"/>
        </w:rPr>
        <w:t>Draft</w:t>
      </w:r>
      <w:r w:rsidR="00A618B2" w:rsidRPr="003B4FCF">
        <w:rPr>
          <w:spacing w:val="-2"/>
          <w:lang w:val="fr-FR"/>
        </w:rPr>
        <w:t> </w:t>
      </w:r>
      <w:r w:rsidR="00E80C47" w:rsidRPr="003B4FCF">
        <w:rPr>
          <w:spacing w:val="-2"/>
          <w:lang w:val="fr-FR"/>
        </w:rPr>
        <w:t>1) devait être soumise au Conseil pour adoption à sa cinquante</w:t>
      </w:r>
      <w:r w:rsidR="005D3B5B" w:rsidRPr="003B4FCF">
        <w:rPr>
          <w:spacing w:val="-2"/>
          <w:lang w:val="fr-FR"/>
        </w:rPr>
        <w:t>-</w:t>
      </w:r>
      <w:r w:rsidR="00E80C47" w:rsidRPr="003B4FCF">
        <w:rPr>
          <w:spacing w:val="-2"/>
          <w:lang w:val="fr-FR"/>
        </w:rPr>
        <w:t>trois</w:t>
      </w:r>
      <w:r w:rsidR="005D3B5B" w:rsidRPr="003B4FCF">
        <w:rPr>
          <w:spacing w:val="-2"/>
          <w:lang w:val="fr-FR"/>
        </w:rPr>
        <w:t>ième session</w:t>
      </w:r>
      <w:r w:rsidR="00E80C47" w:rsidRPr="003B4FCF">
        <w:rPr>
          <w:spacing w:val="-2"/>
          <w:lang w:val="fr-FR"/>
        </w:rPr>
        <w:t xml:space="preserve"> ordinaire, sous réserve de l</w:t>
      </w:r>
      <w:r w:rsidR="005D3B5B" w:rsidRPr="003B4FCF">
        <w:rPr>
          <w:spacing w:val="-2"/>
          <w:lang w:val="fr-FR"/>
        </w:rPr>
        <w:t>’</w:t>
      </w:r>
      <w:r w:rsidR="00E80C47" w:rsidRPr="003B4FCF">
        <w:rPr>
          <w:spacing w:val="-2"/>
          <w:lang w:val="fr-FR"/>
        </w:rPr>
        <w:t>approbation</w:t>
      </w:r>
      <w:r w:rsidR="00067374" w:rsidRPr="003B4FCF">
        <w:rPr>
          <w:spacing w:val="-2"/>
          <w:lang w:val="fr-FR"/>
        </w:rPr>
        <w:t xml:space="preserve"> du CAJ</w:t>
      </w:r>
      <w:r w:rsidR="00E80C47" w:rsidRPr="003B4FCF">
        <w:rPr>
          <w:spacing w:val="-2"/>
          <w:lang w:val="fr-FR"/>
        </w:rPr>
        <w:t xml:space="preserve"> à sa soixante</w:t>
      </w:r>
      <w:r w:rsidR="005D3B5B" w:rsidRPr="003B4FCF">
        <w:rPr>
          <w:spacing w:val="-2"/>
          <w:lang w:val="fr-FR"/>
        </w:rPr>
        <w:t>-</w:t>
      </w:r>
      <w:r w:rsidR="00E80C47" w:rsidRPr="003B4FCF">
        <w:rPr>
          <w:spacing w:val="-2"/>
          <w:lang w:val="fr-FR"/>
        </w:rPr>
        <w:t>s</w:t>
      </w:r>
      <w:r w:rsidR="007A7F15" w:rsidRPr="003B4FCF">
        <w:rPr>
          <w:spacing w:val="-2"/>
          <w:lang w:val="fr-FR"/>
        </w:rPr>
        <w:t>eiz</w:t>
      </w:r>
      <w:r w:rsidR="005D3B5B" w:rsidRPr="003B4FCF">
        <w:rPr>
          <w:spacing w:val="-2"/>
          <w:lang w:val="fr-FR"/>
        </w:rPr>
        <w:t>ième session</w:t>
      </w:r>
      <w:hyperlink w:anchor="notebasdepage5" w:history="1">
        <w:r w:rsidR="000E2BAE" w:rsidRPr="003B4FCF">
          <w:rPr>
            <w:rStyle w:val="Hyperlink"/>
            <w:color w:val="auto"/>
            <w:spacing w:val="-2"/>
            <w:u w:val="none"/>
            <w:vertAlign w:val="superscript"/>
            <w:lang w:val="fr-FR"/>
          </w:rPr>
          <w:t>5</w:t>
        </w:r>
      </w:hyperlink>
      <w:r w:rsidRPr="003B4FCF">
        <w:rPr>
          <w:spacing w:val="-2"/>
          <w:lang w:val="fr-FR"/>
        </w:rPr>
        <w:t>.</w:t>
      </w:r>
    </w:p>
    <w:p w:rsidR="00465412" w:rsidRPr="003B4FCF" w:rsidRDefault="00465412" w:rsidP="00824EE7">
      <w:pPr>
        <w:rPr>
          <w:spacing w:val="-2"/>
          <w:lang w:val="fr-FR"/>
        </w:rPr>
      </w:pPr>
    </w:p>
    <w:p w:rsidR="00465412" w:rsidRPr="003B4FCF" w:rsidRDefault="00824EE7" w:rsidP="00E80C47">
      <w:pPr>
        <w:rPr>
          <w:bCs/>
          <w:snapToGrid w:val="0"/>
          <w:szCs w:val="24"/>
          <w:lang w:val="fr-FR"/>
        </w:rPr>
      </w:pPr>
      <w:r w:rsidRPr="003B4FCF">
        <w:rPr>
          <w:spacing w:val="-2"/>
          <w:lang w:val="fr-FR"/>
        </w:rPr>
        <w:fldChar w:fldCharType="begin"/>
      </w:r>
      <w:r w:rsidRPr="003B4FCF">
        <w:rPr>
          <w:spacing w:val="-2"/>
          <w:lang w:val="fr-FR"/>
        </w:rPr>
        <w:instrText xml:space="preserve"> AUTONUM  </w:instrText>
      </w:r>
      <w:r w:rsidRPr="003B4FCF">
        <w:rPr>
          <w:spacing w:val="-2"/>
          <w:lang w:val="fr-FR"/>
        </w:rPr>
        <w:fldChar w:fldCharType="end"/>
      </w:r>
      <w:r w:rsidRPr="003B4FCF">
        <w:rPr>
          <w:spacing w:val="-2"/>
          <w:lang w:val="fr-FR"/>
        </w:rPr>
        <w:tab/>
      </w:r>
      <w:r w:rsidR="00E80C47" w:rsidRPr="003B4FCF">
        <w:rPr>
          <w:spacing w:val="-2"/>
          <w:lang w:val="fr-FR"/>
        </w:rPr>
        <w:t xml:space="preserve">Les traductions en français, allemand et espagnol du texte anglais original ont été examinées par les membres concernés du Comité de rédaction avant la présentation du projet de </w:t>
      </w:r>
      <w:r w:rsidR="00067374" w:rsidRPr="003B4FCF">
        <w:rPr>
          <w:spacing w:val="-2"/>
          <w:lang w:val="fr-FR"/>
        </w:rPr>
        <w:t>document TG</w:t>
      </w:r>
      <w:r w:rsidR="00E80C47" w:rsidRPr="003B4FCF">
        <w:rPr>
          <w:spacing w:val="-2"/>
          <w:lang w:val="fr-FR"/>
        </w:rPr>
        <w:t>P/8/4 au Conse</w:t>
      </w:r>
      <w:r w:rsidR="001545B0" w:rsidRPr="003B4FCF">
        <w:rPr>
          <w:spacing w:val="-2"/>
          <w:lang w:val="fr-FR"/>
        </w:rPr>
        <w:t>il.  Le</w:t>
      </w:r>
      <w:r w:rsidR="00E80C47" w:rsidRPr="003B4FCF">
        <w:rPr>
          <w:spacing w:val="-2"/>
          <w:lang w:val="fr-FR"/>
        </w:rPr>
        <w:t xml:space="preserve"> </w:t>
      </w:r>
      <w:r w:rsidR="00067374" w:rsidRPr="003B4FCF">
        <w:rPr>
          <w:spacing w:val="-2"/>
          <w:lang w:val="fr-FR"/>
        </w:rPr>
        <w:t>document TG</w:t>
      </w:r>
      <w:r w:rsidR="00E80C47" w:rsidRPr="003B4FCF">
        <w:rPr>
          <w:spacing w:val="-2"/>
          <w:lang w:val="fr-FR"/>
        </w:rPr>
        <w:t>P/8/4 Draft</w:t>
      </w:r>
      <w:r w:rsidR="00A618B2" w:rsidRPr="003B4FCF">
        <w:rPr>
          <w:spacing w:val="-2"/>
          <w:lang w:val="fr-FR"/>
        </w:rPr>
        <w:t> </w:t>
      </w:r>
      <w:r w:rsidR="00E80C47" w:rsidRPr="003B4FCF">
        <w:rPr>
          <w:spacing w:val="-2"/>
          <w:lang w:val="fr-FR"/>
        </w:rPr>
        <w:t>1 contient les modifications approuvées par le</w:t>
      </w:r>
      <w:r w:rsidR="005D3B5B" w:rsidRPr="003B4FCF">
        <w:rPr>
          <w:spacing w:val="-2"/>
          <w:lang w:val="fr-FR"/>
        </w:rPr>
        <w:t> TC</w:t>
      </w:r>
      <w:r w:rsidR="004C6B04" w:rsidRPr="003B4FCF">
        <w:rPr>
          <w:spacing w:val="-2"/>
          <w:lang w:val="fr-FR"/>
        </w:rPr>
        <w:t xml:space="preserve"> figurant</w:t>
      </w:r>
      <w:r w:rsidR="00E80C47" w:rsidRPr="003B4FCF">
        <w:rPr>
          <w:spacing w:val="-2"/>
          <w:lang w:val="fr-FR"/>
        </w:rPr>
        <w:t xml:space="preserve"> à l</w:t>
      </w:r>
      <w:r w:rsidR="005D3B5B" w:rsidRPr="003B4FCF">
        <w:rPr>
          <w:spacing w:val="-2"/>
          <w:lang w:val="fr-FR"/>
        </w:rPr>
        <w:t>’</w:t>
      </w:r>
      <w:r w:rsidR="00E80C47" w:rsidRPr="003B4FCF">
        <w:rPr>
          <w:spacing w:val="-2"/>
          <w:lang w:val="fr-FR"/>
        </w:rPr>
        <w:t>annexe</w:t>
      </w:r>
      <w:r w:rsidR="00A618B2" w:rsidRPr="003B4FCF">
        <w:rPr>
          <w:spacing w:val="-2"/>
          <w:lang w:val="fr-FR"/>
        </w:rPr>
        <w:t> </w:t>
      </w:r>
      <w:r w:rsidR="00E80C47" w:rsidRPr="003B4FCF">
        <w:rPr>
          <w:spacing w:val="-2"/>
          <w:lang w:val="fr-FR"/>
        </w:rPr>
        <w:t>II du présent document (</w:t>
      </w:r>
      <w:r w:rsidR="004C6B04" w:rsidRPr="003B4FCF">
        <w:rPr>
          <w:spacing w:val="-2"/>
          <w:lang w:val="fr-FR"/>
        </w:rPr>
        <w:t>avec changements apparents</w:t>
      </w:r>
      <w:r w:rsidR="00E80C47" w:rsidRPr="003B4FCF">
        <w:rPr>
          <w:spacing w:val="-2"/>
          <w:lang w:val="fr-FR"/>
        </w:rPr>
        <w:t>), ainsi que les modifications d</w:t>
      </w:r>
      <w:r w:rsidR="005D3B5B" w:rsidRPr="003B4FCF">
        <w:rPr>
          <w:spacing w:val="-2"/>
          <w:lang w:val="fr-FR"/>
        </w:rPr>
        <w:t>’</w:t>
      </w:r>
      <w:r w:rsidR="00E80C47" w:rsidRPr="003B4FCF">
        <w:rPr>
          <w:spacing w:val="-2"/>
          <w:lang w:val="fr-FR"/>
        </w:rPr>
        <w:t>ordre linguistique apportées par les membres concernés du Comité de rédaction.</w:t>
      </w:r>
    </w:p>
    <w:p w:rsidR="00465412" w:rsidRPr="003B4FCF" w:rsidRDefault="00465412" w:rsidP="00824EE7">
      <w:pPr>
        <w:rPr>
          <w:bCs/>
          <w:snapToGrid w:val="0"/>
          <w:szCs w:val="24"/>
          <w:lang w:val="fr-FR"/>
        </w:rPr>
      </w:pPr>
    </w:p>
    <w:p w:rsidR="00465412" w:rsidRPr="003B4FCF" w:rsidRDefault="0091141B" w:rsidP="00E80C47">
      <w:pPr>
        <w:rPr>
          <w:lang w:val="fr-FR"/>
        </w:rPr>
      </w:pPr>
      <w:r w:rsidRPr="003B4FCF">
        <w:rPr>
          <w:lang w:val="fr-FR"/>
        </w:rPr>
        <w:fldChar w:fldCharType="begin"/>
      </w:r>
      <w:r w:rsidRPr="003B4FCF">
        <w:rPr>
          <w:lang w:val="fr-FR"/>
        </w:rPr>
        <w:instrText xml:space="preserve"> AUTONUM  </w:instrText>
      </w:r>
      <w:r w:rsidRPr="003B4FCF">
        <w:rPr>
          <w:lang w:val="fr-FR"/>
        </w:rPr>
        <w:fldChar w:fldCharType="end"/>
      </w:r>
      <w:r w:rsidRPr="003B4FCF">
        <w:rPr>
          <w:lang w:val="fr-FR"/>
        </w:rPr>
        <w:tab/>
      </w:r>
      <w:r w:rsidR="00536D59" w:rsidRPr="003B4FCF">
        <w:rPr>
          <w:lang w:val="fr-FR"/>
        </w:rPr>
        <w:t>À</w:t>
      </w:r>
      <w:r w:rsidR="00E80C47" w:rsidRPr="003B4FCF">
        <w:rPr>
          <w:lang w:val="fr-FR"/>
        </w:rPr>
        <w:t xml:space="preserve"> sa cinquante</w:t>
      </w:r>
      <w:r w:rsidR="005D3B5B" w:rsidRPr="003B4FCF">
        <w:rPr>
          <w:lang w:val="fr-FR"/>
        </w:rPr>
        <w:t>-</w:t>
      </w:r>
      <w:r w:rsidR="00E80C47" w:rsidRPr="003B4FCF">
        <w:rPr>
          <w:lang w:val="fr-FR"/>
        </w:rPr>
        <w:t>cinqu</w:t>
      </w:r>
      <w:r w:rsidR="005D3B5B" w:rsidRPr="003B4FCF">
        <w:rPr>
          <w:lang w:val="fr-FR"/>
        </w:rPr>
        <w:t>ième session</w:t>
      </w:r>
      <w:hyperlink w:anchor="notebasdepage1" w:history="1">
        <w:r w:rsidR="000E2BAE" w:rsidRPr="003B4FCF">
          <w:rPr>
            <w:rStyle w:val="Hyperlink"/>
            <w:color w:val="auto"/>
            <w:u w:val="none"/>
            <w:vertAlign w:val="superscript"/>
            <w:lang w:val="fr-FR"/>
          </w:rPr>
          <w:t>1</w:t>
        </w:r>
      </w:hyperlink>
      <w:r w:rsidR="00E80C47" w:rsidRPr="003B4FCF">
        <w:rPr>
          <w:lang w:val="fr-FR"/>
        </w:rPr>
        <w:t xml:space="preserve">, </w:t>
      </w:r>
      <w:r w:rsidR="00536D59" w:rsidRPr="003B4FCF">
        <w:rPr>
          <w:lang w:val="fr-FR"/>
        </w:rPr>
        <w:t>le</w:t>
      </w:r>
      <w:r w:rsidR="005D3B5B" w:rsidRPr="003B4FCF">
        <w:rPr>
          <w:lang w:val="fr-FR"/>
        </w:rPr>
        <w:t> TC</w:t>
      </w:r>
      <w:r w:rsidR="00536D59" w:rsidRPr="003B4FCF">
        <w:rPr>
          <w:lang w:val="fr-FR"/>
        </w:rPr>
        <w:t xml:space="preserve"> </w:t>
      </w:r>
      <w:r w:rsidR="00E80C47" w:rsidRPr="003B4FCF">
        <w:rPr>
          <w:lang w:val="fr-FR"/>
        </w:rPr>
        <w:t xml:space="preserve">examinera le </w:t>
      </w:r>
      <w:r w:rsidR="00067374" w:rsidRPr="003B4FCF">
        <w:rPr>
          <w:lang w:val="fr-FR"/>
        </w:rPr>
        <w:t>document TG</w:t>
      </w:r>
      <w:r w:rsidR="00E80C47" w:rsidRPr="003B4FCF">
        <w:rPr>
          <w:lang w:val="fr-FR"/>
        </w:rPr>
        <w:t>P/8/4 Draft 1.  Il sera rendu compte</w:t>
      </w:r>
      <w:r w:rsidR="00067374" w:rsidRPr="003B4FCF">
        <w:rPr>
          <w:lang w:val="fr-FR"/>
        </w:rPr>
        <w:t xml:space="preserve"> au CAJ</w:t>
      </w:r>
      <w:r w:rsidR="00E80C47" w:rsidRPr="003B4FCF">
        <w:rPr>
          <w:lang w:val="fr-FR"/>
        </w:rPr>
        <w:t>, à sa soixante</w:t>
      </w:r>
      <w:r w:rsidR="005D3B5B" w:rsidRPr="003B4FCF">
        <w:rPr>
          <w:lang w:val="fr-FR"/>
        </w:rPr>
        <w:t>-</w:t>
      </w:r>
      <w:r w:rsidR="00E80C47" w:rsidRPr="003B4FCF">
        <w:rPr>
          <w:lang w:val="fr-FR"/>
        </w:rPr>
        <w:t>seiz</w:t>
      </w:r>
      <w:r w:rsidR="005D3B5B" w:rsidRPr="003B4FCF">
        <w:rPr>
          <w:lang w:val="fr-FR"/>
        </w:rPr>
        <w:t>ième session</w:t>
      </w:r>
      <w:hyperlink w:anchor="notebasdepage5" w:history="1">
        <w:r w:rsidR="000E2BAE" w:rsidRPr="003B4FCF">
          <w:rPr>
            <w:rStyle w:val="Hyperlink"/>
            <w:color w:val="auto"/>
            <w:u w:val="none"/>
            <w:vertAlign w:val="superscript"/>
            <w:lang w:val="fr-FR"/>
          </w:rPr>
          <w:t>5</w:t>
        </w:r>
      </w:hyperlink>
      <w:r w:rsidR="00E80C47" w:rsidRPr="003B4FCF">
        <w:rPr>
          <w:lang w:val="fr-FR"/>
        </w:rPr>
        <w:t>, des observations formulées par le</w:t>
      </w:r>
      <w:r w:rsidR="005D3B5B" w:rsidRPr="003B4FCF">
        <w:rPr>
          <w:lang w:val="fr-FR"/>
        </w:rPr>
        <w:t> TC</w:t>
      </w:r>
      <w:r w:rsidR="004C6B04" w:rsidRPr="003B4FCF">
        <w:rPr>
          <w:lang w:val="fr-FR"/>
        </w:rPr>
        <w:t>.</w:t>
      </w:r>
    </w:p>
    <w:p w:rsidR="00465412" w:rsidRPr="003B4FCF" w:rsidRDefault="00465412" w:rsidP="0091141B">
      <w:pPr>
        <w:rPr>
          <w:lang w:val="fr-FR"/>
        </w:rPr>
      </w:pPr>
    </w:p>
    <w:p w:rsidR="00067374" w:rsidRPr="003B4FCF" w:rsidRDefault="00C33E97" w:rsidP="00920667">
      <w:pPr>
        <w:pStyle w:val="DecisionParagraphs"/>
        <w:keepLines/>
        <w:rPr>
          <w:lang w:val="fr-FR"/>
        </w:rPr>
      </w:pPr>
      <w:r w:rsidRPr="003B4FCF">
        <w:rPr>
          <w:lang w:val="fr-FR"/>
        </w:rPr>
        <w:lastRenderedPageBreak/>
        <w:fldChar w:fldCharType="begin"/>
      </w:r>
      <w:r w:rsidRPr="003B4FCF">
        <w:rPr>
          <w:lang w:val="fr-FR"/>
        </w:rPr>
        <w:instrText xml:space="preserve"> AUTONUM  </w:instrText>
      </w:r>
      <w:r w:rsidRPr="003B4FCF">
        <w:rPr>
          <w:lang w:val="fr-FR"/>
        </w:rPr>
        <w:fldChar w:fldCharType="end"/>
      </w:r>
      <w:r w:rsidRPr="003B4FCF">
        <w:rPr>
          <w:lang w:val="fr-FR"/>
        </w:rPr>
        <w:tab/>
      </w:r>
      <w:r w:rsidR="00301D9F" w:rsidRPr="003B4FCF">
        <w:rPr>
          <w:lang w:val="fr-FR"/>
        </w:rPr>
        <w:t>Le CAJ est invité à examiner la version révisée du document TGP/8 “Protocole d</w:t>
      </w:r>
      <w:r w:rsidR="005D3B5B" w:rsidRPr="003B4FCF">
        <w:rPr>
          <w:lang w:val="fr-FR"/>
        </w:rPr>
        <w:t>’</w:t>
      </w:r>
      <w:r w:rsidR="00301D9F" w:rsidRPr="003B4FCF">
        <w:rPr>
          <w:lang w:val="fr-FR"/>
        </w:rPr>
        <w:t>essai et techniques utilisés dans l</w:t>
      </w:r>
      <w:r w:rsidR="005D3B5B" w:rsidRPr="003B4FCF">
        <w:rPr>
          <w:lang w:val="fr-FR"/>
        </w:rPr>
        <w:t>’</w:t>
      </w:r>
      <w:r w:rsidR="00301D9F" w:rsidRPr="003B4FCF">
        <w:rPr>
          <w:lang w:val="fr-FR"/>
        </w:rPr>
        <w:t>examen de la distinction, de l</w:t>
      </w:r>
      <w:r w:rsidR="005D3B5B" w:rsidRPr="003B4FCF">
        <w:rPr>
          <w:lang w:val="fr-FR"/>
        </w:rPr>
        <w:t>’</w:t>
      </w:r>
      <w:r w:rsidR="00301D9F" w:rsidRPr="003B4FCF">
        <w:rPr>
          <w:lang w:val="fr-FR"/>
        </w:rPr>
        <w:t>homogénéité et de la stabilité” (document TGP/8/</w:t>
      </w:r>
      <w:r w:rsidR="004C6B04" w:rsidRPr="003B4FCF">
        <w:rPr>
          <w:lang w:val="fr-FR"/>
        </w:rPr>
        <w:t>3</w:t>
      </w:r>
      <w:r w:rsidR="00301D9F" w:rsidRPr="003B4FCF">
        <w:rPr>
          <w:lang w:val="fr-FR"/>
        </w:rPr>
        <w:t>),</w:t>
      </w:r>
      <w:r w:rsidR="004C6B04" w:rsidRPr="003B4FCF">
        <w:rPr>
          <w:lang w:val="fr-FR"/>
        </w:rPr>
        <w:t xml:space="preserve"> sur la base du document TGP/8/4</w:t>
      </w:r>
      <w:r w:rsidR="00301D9F" w:rsidRPr="003B4FCF">
        <w:rPr>
          <w:lang w:val="fr-FR"/>
        </w:rPr>
        <w:t xml:space="preserve"> Draft 1, compte tenu des conclusions </w:t>
      </w:r>
      <w:r w:rsidR="00481BC8" w:rsidRPr="003B4FCF">
        <w:rPr>
          <w:lang w:val="fr-FR"/>
        </w:rPr>
        <w:t xml:space="preserve">formulées </w:t>
      </w:r>
      <w:r w:rsidR="00301D9F" w:rsidRPr="003B4FCF">
        <w:rPr>
          <w:lang w:val="fr-FR"/>
        </w:rPr>
        <w:t>par le</w:t>
      </w:r>
      <w:r w:rsidR="005D3B5B" w:rsidRPr="003B4FCF">
        <w:rPr>
          <w:lang w:val="fr-FR"/>
        </w:rPr>
        <w:t> TC</w:t>
      </w:r>
      <w:r w:rsidR="00301D9F" w:rsidRPr="003B4FCF">
        <w:rPr>
          <w:lang w:val="fr-FR"/>
        </w:rPr>
        <w:t xml:space="preserve"> à sa cinquante</w:t>
      </w:r>
      <w:r w:rsidR="005D3B5B" w:rsidRPr="003B4FCF">
        <w:rPr>
          <w:lang w:val="fr-FR"/>
        </w:rPr>
        <w:t>-</w:t>
      </w:r>
      <w:r w:rsidR="00301D9F" w:rsidRPr="003B4FCF">
        <w:rPr>
          <w:lang w:val="fr-FR"/>
        </w:rPr>
        <w:t>cinqu</w:t>
      </w:r>
      <w:r w:rsidR="005D3B5B" w:rsidRPr="003B4FCF">
        <w:rPr>
          <w:lang w:val="fr-FR"/>
        </w:rPr>
        <w:t>ième session</w:t>
      </w:r>
      <w:r w:rsidR="00301D9F" w:rsidRPr="003B4FCF">
        <w:rPr>
          <w:lang w:val="fr-FR"/>
        </w:rPr>
        <w:t>.</w:t>
      </w:r>
    </w:p>
    <w:p w:rsidR="00465412" w:rsidRPr="003B4FCF" w:rsidRDefault="00465412" w:rsidP="00273B07">
      <w:pPr>
        <w:rPr>
          <w:lang w:val="fr-FR"/>
        </w:rPr>
      </w:pPr>
    </w:p>
    <w:p w:rsidR="00920667" w:rsidRPr="003B4FCF" w:rsidRDefault="00920667" w:rsidP="00273B07">
      <w:pPr>
        <w:rPr>
          <w:lang w:val="fr-FR"/>
        </w:rPr>
      </w:pPr>
    </w:p>
    <w:p w:rsidR="00465412" w:rsidRPr="003B4FCF" w:rsidRDefault="003E3DBE" w:rsidP="00920667">
      <w:pPr>
        <w:pStyle w:val="Heading2"/>
      </w:pPr>
      <w:bookmarkStart w:id="24" w:name="_Toc14792933"/>
      <w:r w:rsidRPr="003B4FCF">
        <w:t>Document</w:t>
      </w:r>
      <w:r w:rsidR="00A618B2" w:rsidRPr="003B4FCF">
        <w:t> </w:t>
      </w:r>
      <w:r w:rsidRPr="003B4FCF">
        <w:t>TGP/10</w:t>
      </w:r>
      <w:r w:rsidR="005D3B5B" w:rsidRPr="003B4FCF">
        <w:t> :</w:t>
      </w:r>
      <w:r w:rsidRPr="003B4FCF">
        <w:t xml:space="preserve"> Examen de l</w:t>
      </w:r>
      <w:r w:rsidR="005D3B5B" w:rsidRPr="003B4FCF">
        <w:t>’</w:t>
      </w:r>
      <w:r w:rsidRPr="003B4FCF">
        <w:t>homogénéité (révision) (</w:t>
      </w:r>
      <w:r w:rsidR="00067374" w:rsidRPr="003B4FCF">
        <w:t>document TG</w:t>
      </w:r>
      <w:r w:rsidRPr="003B4FCF">
        <w:t>P/10/2 Draft</w:t>
      </w:r>
      <w:r w:rsidR="00A618B2" w:rsidRPr="003B4FCF">
        <w:t> </w:t>
      </w:r>
      <w:r w:rsidRPr="003B4FCF">
        <w:t>1)</w:t>
      </w:r>
      <w:bookmarkEnd w:id="24"/>
    </w:p>
    <w:p w:rsidR="00465412" w:rsidRPr="003B4FCF" w:rsidRDefault="00465412" w:rsidP="003E76C2">
      <w:pPr>
        <w:keepNext/>
        <w:rPr>
          <w:rFonts w:eastAsia="MS Mincho"/>
          <w:i/>
          <w:lang w:val="fr-FR"/>
        </w:rPr>
      </w:pPr>
    </w:p>
    <w:p w:rsidR="00067374" w:rsidRPr="003B4FCF" w:rsidRDefault="00F928F4" w:rsidP="003E3DBE">
      <w:pPr>
        <w:keepNext/>
        <w:rPr>
          <w:rFonts w:eastAsia="MS Mincho"/>
          <w:szCs w:val="24"/>
          <w:lang w:val="fr-FR" w:eastAsia="ja-JP"/>
        </w:rPr>
      </w:pPr>
      <w:r w:rsidRPr="003B4FCF">
        <w:rPr>
          <w:lang w:val="fr-FR"/>
        </w:rPr>
        <w:fldChar w:fldCharType="begin"/>
      </w:r>
      <w:r w:rsidRPr="003B4FCF">
        <w:rPr>
          <w:lang w:val="fr-FR"/>
        </w:rPr>
        <w:instrText xml:space="preserve"> AUTONUM  </w:instrText>
      </w:r>
      <w:r w:rsidRPr="003B4FCF">
        <w:rPr>
          <w:lang w:val="fr-FR"/>
        </w:rPr>
        <w:fldChar w:fldCharType="end"/>
      </w:r>
      <w:r w:rsidRPr="003B4FCF">
        <w:rPr>
          <w:lang w:val="fr-FR"/>
        </w:rPr>
        <w:tab/>
      </w:r>
      <w:r w:rsidR="00536D59" w:rsidRPr="003B4FCF">
        <w:rPr>
          <w:lang w:val="fr-FR"/>
        </w:rPr>
        <w:t>À</w:t>
      </w:r>
      <w:r w:rsidR="003E3DBE" w:rsidRPr="003B4FCF">
        <w:rPr>
          <w:lang w:val="fr-FR"/>
        </w:rPr>
        <w:t xml:space="preserve"> sa cinquante</w:t>
      </w:r>
      <w:r w:rsidR="005D3B5B" w:rsidRPr="003B4FCF">
        <w:rPr>
          <w:lang w:val="fr-FR"/>
        </w:rPr>
        <w:t>-</w:t>
      </w:r>
      <w:r w:rsidR="003E3DBE" w:rsidRPr="003B4FCF">
        <w:rPr>
          <w:lang w:val="fr-FR"/>
        </w:rPr>
        <w:t>quatr</w:t>
      </w:r>
      <w:r w:rsidR="005D3B5B" w:rsidRPr="003B4FCF">
        <w:rPr>
          <w:lang w:val="fr-FR"/>
        </w:rPr>
        <w:t>ième session</w:t>
      </w:r>
      <w:hyperlink w:anchor="notebasdepage2" w:history="1">
        <w:r w:rsidR="000E2BAE" w:rsidRPr="003B4FCF">
          <w:rPr>
            <w:rStyle w:val="Hyperlink"/>
            <w:color w:val="auto"/>
            <w:u w:val="none"/>
            <w:vertAlign w:val="superscript"/>
            <w:lang w:val="fr-FR"/>
          </w:rPr>
          <w:t>2</w:t>
        </w:r>
      </w:hyperlink>
      <w:r w:rsidR="003E3DBE" w:rsidRPr="003B4FCF">
        <w:rPr>
          <w:lang w:val="fr-FR"/>
        </w:rPr>
        <w:t xml:space="preserve">, </w:t>
      </w:r>
      <w:r w:rsidR="00536D59" w:rsidRPr="003B4FCF">
        <w:rPr>
          <w:lang w:val="fr-FR"/>
        </w:rPr>
        <w:t>le</w:t>
      </w:r>
      <w:r w:rsidR="005D3B5B" w:rsidRPr="003B4FCF">
        <w:rPr>
          <w:lang w:val="fr-FR"/>
        </w:rPr>
        <w:t> TC</w:t>
      </w:r>
      <w:r w:rsidR="00536D59" w:rsidRPr="003B4FCF">
        <w:rPr>
          <w:lang w:val="fr-FR"/>
        </w:rPr>
        <w:t xml:space="preserve"> </w:t>
      </w:r>
      <w:r w:rsidR="003E3DBE" w:rsidRPr="003B4FCF">
        <w:rPr>
          <w:lang w:val="fr-FR"/>
        </w:rPr>
        <w:t>est convenu que le projet d</w:t>
      </w:r>
      <w:r w:rsidR="005D3B5B" w:rsidRPr="003B4FCF">
        <w:rPr>
          <w:lang w:val="fr-FR"/>
        </w:rPr>
        <w:t>’</w:t>
      </w:r>
      <w:r w:rsidR="003E3DBE" w:rsidRPr="003B4FCF">
        <w:rPr>
          <w:lang w:val="fr-FR"/>
        </w:rPr>
        <w:t>orientations sur l</w:t>
      </w:r>
      <w:r w:rsidR="005D3B5B" w:rsidRPr="003B4FCF">
        <w:rPr>
          <w:lang w:val="fr-FR"/>
        </w:rPr>
        <w:t>’</w:t>
      </w:r>
      <w:r w:rsidR="003E3DBE" w:rsidRPr="003B4FCF">
        <w:rPr>
          <w:lang w:val="fr-FR"/>
        </w:rPr>
        <w:t>“Évaluation de l</w:t>
      </w:r>
      <w:r w:rsidR="005D3B5B" w:rsidRPr="003B4FCF">
        <w:rPr>
          <w:lang w:val="fr-FR"/>
        </w:rPr>
        <w:t>’</w:t>
      </w:r>
      <w:r w:rsidR="003E3DBE" w:rsidRPr="003B4FCF">
        <w:rPr>
          <w:lang w:val="fr-FR"/>
        </w:rPr>
        <w:t>homogénéité d</w:t>
      </w:r>
      <w:r w:rsidR="005D3B5B" w:rsidRPr="003B4FCF">
        <w:rPr>
          <w:lang w:val="fr-FR"/>
        </w:rPr>
        <w:t>’</w:t>
      </w:r>
      <w:r w:rsidR="003E3DBE" w:rsidRPr="003B4FCF">
        <w:rPr>
          <w:lang w:val="fr-FR"/>
        </w:rPr>
        <w:t>après les plantes hors</w:t>
      </w:r>
      <w:r w:rsidR="005D3B5B" w:rsidRPr="003B4FCF">
        <w:rPr>
          <w:lang w:val="fr-FR"/>
        </w:rPr>
        <w:t>-</w:t>
      </w:r>
      <w:r w:rsidR="003E3DBE" w:rsidRPr="003B4FCF">
        <w:rPr>
          <w:lang w:val="fr-FR"/>
        </w:rPr>
        <w:t>type sur la base de plusieurs cycles de végétation ou sur la base de sous</w:t>
      </w:r>
      <w:r w:rsidR="005D3B5B" w:rsidRPr="003B4FCF">
        <w:rPr>
          <w:lang w:val="fr-FR"/>
        </w:rPr>
        <w:t>-</w:t>
      </w:r>
      <w:r w:rsidR="003E3DBE" w:rsidRPr="003B4FCF">
        <w:rPr>
          <w:lang w:val="fr-FR"/>
        </w:rPr>
        <w:t>échantillons” devrait être soumis au Conseil pour adoption en vue de son inclusion dans une future version révisée du document TGP/10 “Examen d</w:t>
      </w:r>
      <w:r w:rsidR="004C6B04" w:rsidRPr="003B4FCF">
        <w:rPr>
          <w:lang w:val="fr-FR"/>
        </w:rPr>
        <w:t>e</w:t>
      </w:r>
      <w:r w:rsidR="003E3DBE" w:rsidRPr="003B4FCF">
        <w:rPr>
          <w:lang w:val="fr-FR"/>
        </w:rPr>
        <w:t xml:space="preserve"> l</w:t>
      </w:r>
      <w:r w:rsidR="005D3B5B" w:rsidRPr="003B4FCF">
        <w:rPr>
          <w:lang w:val="fr-FR"/>
        </w:rPr>
        <w:t>’</w:t>
      </w:r>
      <w:r w:rsidR="003E3DBE" w:rsidRPr="003B4FCF">
        <w:rPr>
          <w:lang w:val="fr-FR"/>
        </w:rPr>
        <w:t>homogénéité”</w:t>
      </w:r>
      <w:r w:rsidR="003E3DBE" w:rsidRPr="003B4FCF">
        <w:rPr>
          <w:rStyle w:val="FootnoteReference"/>
          <w:lang w:val="fr-FR"/>
        </w:rPr>
        <w:footnoteReference w:id="11"/>
      </w:r>
      <w:r w:rsidR="003E3DBE" w:rsidRPr="003B4FCF">
        <w:rPr>
          <w:lang w:val="fr-FR"/>
        </w:rPr>
        <w:t>.</w:t>
      </w:r>
    </w:p>
    <w:p w:rsidR="00465412" w:rsidRPr="003B4FCF" w:rsidRDefault="00465412" w:rsidP="00F928F4">
      <w:pPr>
        <w:rPr>
          <w:lang w:val="fr-FR"/>
        </w:rPr>
      </w:pPr>
    </w:p>
    <w:p w:rsidR="00465412" w:rsidRPr="003B4FCF" w:rsidRDefault="00824EE7" w:rsidP="003E3DBE">
      <w:pPr>
        <w:rPr>
          <w:bCs/>
          <w:snapToGrid w:val="0"/>
          <w:szCs w:val="24"/>
          <w:lang w:val="fr-FR"/>
        </w:rPr>
      </w:pPr>
      <w:r w:rsidRPr="003B4FCF">
        <w:rPr>
          <w:spacing w:val="-2"/>
          <w:lang w:val="fr-FR"/>
        </w:rPr>
        <w:fldChar w:fldCharType="begin"/>
      </w:r>
      <w:r w:rsidRPr="003B4FCF">
        <w:rPr>
          <w:spacing w:val="-2"/>
          <w:lang w:val="fr-FR"/>
        </w:rPr>
        <w:instrText xml:space="preserve"> AUTONUM  </w:instrText>
      </w:r>
      <w:r w:rsidRPr="003B4FCF">
        <w:rPr>
          <w:spacing w:val="-2"/>
          <w:lang w:val="fr-FR"/>
        </w:rPr>
        <w:fldChar w:fldCharType="end"/>
      </w:r>
      <w:r w:rsidRPr="003B4FCF">
        <w:rPr>
          <w:spacing w:val="-2"/>
          <w:lang w:val="fr-FR"/>
        </w:rPr>
        <w:tab/>
      </w:r>
      <w:r w:rsidR="003E3DBE" w:rsidRPr="003B4FCF">
        <w:rPr>
          <w:spacing w:val="-2"/>
          <w:lang w:val="fr-FR"/>
        </w:rPr>
        <w:t xml:space="preserve">Les traductions en français, allemand et espagnol du texte anglais original ont été examinées par les membres concernés du Comité de rédaction avant la présentation du projet de </w:t>
      </w:r>
      <w:r w:rsidR="00067374" w:rsidRPr="003B4FCF">
        <w:rPr>
          <w:spacing w:val="-2"/>
          <w:lang w:val="fr-FR"/>
        </w:rPr>
        <w:t>document TG</w:t>
      </w:r>
      <w:r w:rsidR="003E3DBE" w:rsidRPr="003B4FCF">
        <w:rPr>
          <w:spacing w:val="-2"/>
          <w:lang w:val="fr-FR"/>
        </w:rPr>
        <w:t>P/10/2 au Conse</w:t>
      </w:r>
      <w:r w:rsidR="001545B0" w:rsidRPr="003B4FCF">
        <w:rPr>
          <w:spacing w:val="-2"/>
          <w:lang w:val="fr-FR"/>
        </w:rPr>
        <w:t>il.  Le</w:t>
      </w:r>
      <w:r w:rsidR="003E3DBE" w:rsidRPr="003B4FCF">
        <w:rPr>
          <w:spacing w:val="-2"/>
          <w:lang w:val="fr-FR"/>
        </w:rPr>
        <w:t xml:space="preserve"> </w:t>
      </w:r>
      <w:r w:rsidR="00067374" w:rsidRPr="003B4FCF">
        <w:rPr>
          <w:spacing w:val="-2"/>
          <w:lang w:val="fr-FR"/>
        </w:rPr>
        <w:t>document TG</w:t>
      </w:r>
      <w:r w:rsidR="003E3DBE" w:rsidRPr="003B4FCF">
        <w:rPr>
          <w:spacing w:val="-2"/>
          <w:lang w:val="fr-FR"/>
        </w:rPr>
        <w:t>P/10/2 Draft</w:t>
      </w:r>
      <w:r w:rsidR="00A618B2" w:rsidRPr="003B4FCF">
        <w:rPr>
          <w:spacing w:val="-2"/>
          <w:lang w:val="fr-FR"/>
        </w:rPr>
        <w:t> </w:t>
      </w:r>
      <w:r w:rsidR="003E3DBE" w:rsidRPr="003B4FCF">
        <w:rPr>
          <w:spacing w:val="-2"/>
          <w:lang w:val="fr-FR"/>
        </w:rPr>
        <w:t>1 contient les modifications approuvées par le</w:t>
      </w:r>
      <w:r w:rsidR="005D3B5B" w:rsidRPr="003B4FCF">
        <w:rPr>
          <w:spacing w:val="-2"/>
          <w:lang w:val="fr-FR"/>
        </w:rPr>
        <w:t> TC</w:t>
      </w:r>
      <w:r w:rsidR="004C6B04" w:rsidRPr="003B4FCF">
        <w:rPr>
          <w:spacing w:val="-2"/>
          <w:lang w:val="fr-FR"/>
        </w:rPr>
        <w:t xml:space="preserve"> figurant</w:t>
      </w:r>
      <w:r w:rsidR="003E3DBE" w:rsidRPr="003B4FCF">
        <w:rPr>
          <w:spacing w:val="-2"/>
          <w:lang w:val="fr-FR"/>
        </w:rPr>
        <w:t xml:space="preserve"> à l</w:t>
      </w:r>
      <w:r w:rsidR="005D3B5B" w:rsidRPr="003B4FCF">
        <w:rPr>
          <w:spacing w:val="-2"/>
          <w:lang w:val="fr-FR"/>
        </w:rPr>
        <w:t>’</w:t>
      </w:r>
      <w:r w:rsidR="003E3DBE" w:rsidRPr="003B4FCF">
        <w:rPr>
          <w:spacing w:val="-2"/>
          <w:lang w:val="fr-FR"/>
        </w:rPr>
        <w:t>annexe</w:t>
      </w:r>
      <w:r w:rsidR="00A618B2" w:rsidRPr="003B4FCF">
        <w:rPr>
          <w:spacing w:val="-2"/>
          <w:lang w:val="fr-FR"/>
        </w:rPr>
        <w:t> </w:t>
      </w:r>
      <w:r w:rsidR="003E3DBE" w:rsidRPr="003B4FCF">
        <w:rPr>
          <w:spacing w:val="-2"/>
          <w:lang w:val="fr-FR"/>
        </w:rPr>
        <w:t>III du présent document, ainsi que les modifications d</w:t>
      </w:r>
      <w:r w:rsidR="005D3B5B" w:rsidRPr="003B4FCF">
        <w:rPr>
          <w:spacing w:val="-2"/>
          <w:lang w:val="fr-FR"/>
        </w:rPr>
        <w:t>’</w:t>
      </w:r>
      <w:r w:rsidR="003E3DBE" w:rsidRPr="003B4FCF">
        <w:rPr>
          <w:spacing w:val="-2"/>
          <w:lang w:val="fr-FR"/>
        </w:rPr>
        <w:t>ordre linguistique apportées par les membres concernés du Comité de rédaction.</w:t>
      </w:r>
    </w:p>
    <w:p w:rsidR="00465412" w:rsidRPr="003B4FCF" w:rsidRDefault="00465412" w:rsidP="00824EE7">
      <w:pPr>
        <w:rPr>
          <w:bCs/>
          <w:snapToGrid w:val="0"/>
          <w:szCs w:val="24"/>
          <w:lang w:val="fr-FR"/>
        </w:rPr>
      </w:pPr>
    </w:p>
    <w:p w:rsidR="00465412" w:rsidRPr="003B4FCF" w:rsidRDefault="00D241D3" w:rsidP="005E7396">
      <w:pPr>
        <w:rPr>
          <w:lang w:val="fr-FR"/>
        </w:rPr>
      </w:pPr>
      <w:r w:rsidRPr="003B4FCF">
        <w:rPr>
          <w:lang w:val="fr-FR"/>
        </w:rPr>
        <w:fldChar w:fldCharType="begin"/>
      </w:r>
      <w:r w:rsidRPr="003B4FCF">
        <w:rPr>
          <w:lang w:val="fr-FR"/>
        </w:rPr>
        <w:instrText xml:space="preserve"> AUTONUM  </w:instrText>
      </w:r>
      <w:r w:rsidRPr="003B4FCF">
        <w:rPr>
          <w:lang w:val="fr-FR"/>
        </w:rPr>
        <w:fldChar w:fldCharType="end"/>
      </w:r>
      <w:r w:rsidRPr="003B4FCF">
        <w:rPr>
          <w:lang w:val="fr-FR"/>
        </w:rPr>
        <w:tab/>
      </w:r>
      <w:r w:rsidR="00536D59" w:rsidRPr="003B4FCF">
        <w:rPr>
          <w:lang w:val="fr-FR"/>
        </w:rPr>
        <w:t>À</w:t>
      </w:r>
      <w:r w:rsidR="003E3DBE" w:rsidRPr="003B4FCF">
        <w:rPr>
          <w:lang w:val="fr-FR"/>
        </w:rPr>
        <w:t xml:space="preserve"> sa cinquante</w:t>
      </w:r>
      <w:r w:rsidR="005D3B5B" w:rsidRPr="003B4FCF">
        <w:rPr>
          <w:lang w:val="fr-FR"/>
        </w:rPr>
        <w:t>-</w:t>
      </w:r>
      <w:r w:rsidR="003E3DBE" w:rsidRPr="003B4FCF">
        <w:rPr>
          <w:lang w:val="fr-FR"/>
        </w:rPr>
        <w:t>cinqu</w:t>
      </w:r>
      <w:r w:rsidR="005D3B5B" w:rsidRPr="003B4FCF">
        <w:rPr>
          <w:lang w:val="fr-FR"/>
        </w:rPr>
        <w:t>ième session</w:t>
      </w:r>
      <w:hyperlink w:anchor="notebasdepage1" w:history="1">
        <w:r w:rsidR="005D7A45" w:rsidRPr="003B4FCF">
          <w:rPr>
            <w:rStyle w:val="Hyperlink"/>
            <w:color w:val="auto"/>
            <w:u w:val="none"/>
            <w:vertAlign w:val="superscript"/>
            <w:lang w:val="fr-FR"/>
          </w:rPr>
          <w:t>1</w:t>
        </w:r>
      </w:hyperlink>
      <w:r w:rsidR="005E7396" w:rsidRPr="003B4FCF">
        <w:rPr>
          <w:lang w:val="fr-FR"/>
        </w:rPr>
        <w:t xml:space="preserve">, </w:t>
      </w:r>
      <w:r w:rsidR="00536D59" w:rsidRPr="003B4FCF">
        <w:rPr>
          <w:lang w:val="fr-FR"/>
        </w:rPr>
        <w:t>le</w:t>
      </w:r>
      <w:r w:rsidR="005D3B5B" w:rsidRPr="003B4FCF">
        <w:rPr>
          <w:lang w:val="fr-FR"/>
        </w:rPr>
        <w:t> TC</w:t>
      </w:r>
      <w:r w:rsidR="00536D59" w:rsidRPr="003B4FCF">
        <w:rPr>
          <w:lang w:val="fr-FR"/>
        </w:rPr>
        <w:t xml:space="preserve"> </w:t>
      </w:r>
      <w:r w:rsidR="005E7396" w:rsidRPr="003B4FCF">
        <w:rPr>
          <w:lang w:val="fr-FR"/>
        </w:rPr>
        <w:t xml:space="preserve">examinera le </w:t>
      </w:r>
      <w:r w:rsidR="00067374" w:rsidRPr="003B4FCF">
        <w:rPr>
          <w:lang w:val="fr-FR"/>
        </w:rPr>
        <w:t>document TG</w:t>
      </w:r>
      <w:r w:rsidR="005E7396" w:rsidRPr="003B4FCF">
        <w:rPr>
          <w:lang w:val="fr-FR"/>
        </w:rPr>
        <w:t>P/10/2 Draft 1.  Il sera rendu compte</w:t>
      </w:r>
      <w:r w:rsidR="00067374" w:rsidRPr="003B4FCF">
        <w:rPr>
          <w:lang w:val="fr-FR"/>
        </w:rPr>
        <w:t xml:space="preserve"> au CAJ</w:t>
      </w:r>
      <w:r w:rsidR="005E7396" w:rsidRPr="003B4FCF">
        <w:rPr>
          <w:lang w:val="fr-FR"/>
        </w:rPr>
        <w:t>, à sa soixante</w:t>
      </w:r>
      <w:r w:rsidR="005D3B5B" w:rsidRPr="003B4FCF">
        <w:rPr>
          <w:lang w:val="fr-FR"/>
        </w:rPr>
        <w:t>-</w:t>
      </w:r>
      <w:r w:rsidR="005E7396" w:rsidRPr="003B4FCF">
        <w:rPr>
          <w:lang w:val="fr-FR"/>
        </w:rPr>
        <w:t>seiz</w:t>
      </w:r>
      <w:r w:rsidR="005D3B5B" w:rsidRPr="003B4FCF">
        <w:rPr>
          <w:lang w:val="fr-FR"/>
        </w:rPr>
        <w:t>ième session</w:t>
      </w:r>
      <w:hyperlink w:anchor="notebasdepage5" w:history="1">
        <w:r w:rsidR="005D7A45" w:rsidRPr="003B4FCF">
          <w:rPr>
            <w:rStyle w:val="Hyperlink"/>
            <w:color w:val="auto"/>
            <w:u w:val="none"/>
            <w:vertAlign w:val="superscript"/>
            <w:lang w:val="fr-FR"/>
          </w:rPr>
          <w:t>5</w:t>
        </w:r>
      </w:hyperlink>
      <w:r w:rsidR="005E7396" w:rsidRPr="003B4FCF">
        <w:rPr>
          <w:lang w:val="fr-FR"/>
        </w:rPr>
        <w:t>, des observations formulées par le</w:t>
      </w:r>
      <w:r w:rsidR="005D3B5B" w:rsidRPr="003B4FCF">
        <w:rPr>
          <w:lang w:val="fr-FR"/>
        </w:rPr>
        <w:t> TC</w:t>
      </w:r>
      <w:r w:rsidRPr="003B4FCF">
        <w:rPr>
          <w:lang w:val="fr-FR"/>
        </w:rPr>
        <w:t>.</w:t>
      </w:r>
    </w:p>
    <w:p w:rsidR="00465412" w:rsidRPr="003B4FCF" w:rsidRDefault="00465412" w:rsidP="00F928F4">
      <w:pPr>
        <w:rPr>
          <w:lang w:val="fr-FR"/>
        </w:rPr>
      </w:pPr>
    </w:p>
    <w:p w:rsidR="00067374" w:rsidRPr="003B4FCF" w:rsidRDefault="00F928F4" w:rsidP="006B21D6">
      <w:pPr>
        <w:pStyle w:val="DecisionParagraphs"/>
        <w:rPr>
          <w:lang w:val="fr-FR"/>
        </w:rPr>
      </w:pPr>
      <w:r w:rsidRPr="003B4FCF">
        <w:rPr>
          <w:lang w:val="fr-FR"/>
        </w:rPr>
        <w:fldChar w:fldCharType="begin"/>
      </w:r>
      <w:r w:rsidRPr="003B4FCF">
        <w:rPr>
          <w:lang w:val="fr-FR"/>
        </w:rPr>
        <w:instrText xml:space="preserve"> AUTONUM  </w:instrText>
      </w:r>
      <w:r w:rsidRPr="003B4FCF">
        <w:rPr>
          <w:lang w:val="fr-FR"/>
        </w:rPr>
        <w:fldChar w:fldCharType="end"/>
      </w:r>
      <w:r w:rsidRPr="003B4FCF">
        <w:rPr>
          <w:lang w:val="fr-FR"/>
        </w:rPr>
        <w:tab/>
      </w:r>
      <w:r w:rsidR="006B21D6" w:rsidRPr="003B4FCF">
        <w:rPr>
          <w:lang w:val="fr-FR"/>
        </w:rPr>
        <w:t>Le CAJ est invité à examiner la version révisée du document TGP/10 “Examen de l</w:t>
      </w:r>
      <w:r w:rsidR="005D3B5B" w:rsidRPr="003B4FCF">
        <w:rPr>
          <w:lang w:val="fr-FR"/>
        </w:rPr>
        <w:t>’</w:t>
      </w:r>
      <w:r w:rsidR="006B21D6" w:rsidRPr="003B4FCF">
        <w:rPr>
          <w:lang w:val="fr-FR"/>
        </w:rPr>
        <w:t>homogénéité” (document TGP/10/1), s</w:t>
      </w:r>
      <w:r w:rsidR="00920667" w:rsidRPr="003B4FCF">
        <w:rPr>
          <w:lang w:val="fr-FR"/>
        </w:rPr>
        <w:t>ur la base du document TGP/10/2 Draft </w:t>
      </w:r>
      <w:r w:rsidR="006B21D6" w:rsidRPr="003B4FCF">
        <w:rPr>
          <w:lang w:val="fr-FR"/>
        </w:rPr>
        <w:t>1, compte tenu des conclusions formulées par le</w:t>
      </w:r>
      <w:r w:rsidR="005D3B5B" w:rsidRPr="003B4FCF">
        <w:rPr>
          <w:lang w:val="fr-FR"/>
        </w:rPr>
        <w:t> TC</w:t>
      </w:r>
      <w:r w:rsidR="006B21D6" w:rsidRPr="003B4FCF">
        <w:rPr>
          <w:lang w:val="fr-FR"/>
        </w:rPr>
        <w:t xml:space="preserve"> à sa cinquante</w:t>
      </w:r>
      <w:r w:rsidR="005D3B5B" w:rsidRPr="003B4FCF">
        <w:rPr>
          <w:lang w:val="fr-FR"/>
        </w:rPr>
        <w:t>-</w:t>
      </w:r>
      <w:r w:rsidR="006B21D6" w:rsidRPr="003B4FCF">
        <w:rPr>
          <w:lang w:val="fr-FR"/>
        </w:rPr>
        <w:t>cinqu</w:t>
      </w:r>
      <w:r w:rsidR="005D3B5B" w:rsidRPr="003B4FCF">
        <w:rPr>
          <w:lang w:val="fr-FR"/>
        </w:rPr>
        <w:t>ième session</w:t>
      </w:r>
      <w:r w:rsidR="006B21D6" w:rsidRPr="003B4FCF">
        <w:rPr>
          <w:lang w:val="fr-FR"/>
        </w:rPr>
        <w:t>.</w:t>
      </w:r>
    </w:p>
    <w:p w:rsidR="00465412" w:rsidRPr="003B4FCF" w:rsidRDefault="00465412" w:rsidP="00273B07">
      <w:pPr>
        <w:rPr>
          <w:lang w:val="fr-FR"/>
        </w:rPr>
      </w:pPr>
    </w:p>
    <w:p w:rsidR="00465412" w:rsidRPr="003B4FCF" w:rsidRDefault="00465412" w:rsidP="00273B07">
      <w:pPr>
        <w:rPr>
          <w:lang w:val="fr-FR"/>
        </w:rPr>
      </w:pPr>
    </w:p>
    <w:p w:rsidR="00465412" w:rsidRPr="003B4FCF" w:rsidRDefault="006B21D6" w:rsidP="006B21D6">
      <w:pPr>
        <w:keepNext/>
        <w:outlineLvl w:val="1"/>
        <w:rPr>
          <w:u w:val="single"/>
          <w:lang w:val="fr-FR"/>
        </w:rPr>
      </w:pPr>
      <w:bookmarkStart w:id="25" w:name="_Toc14792934"/>
      <w:r w:rsidRPr="003B4FCF">
        <w:rPr>
          <w:u w:val="single"/>
          <w:lang w:val="fr-FR"/>
        </w:rPr>
        <w:t>Document</w:t>
      </w:r>
      <w:r w:rsidR="00A618B2" w:rsidRPr="003B4FCF">
        <w:rPr>
          <w:u w:val="single"/>
          <w:lang w:val="fr-FR"/>
        </w:rPr>
        <w:t> </w:t>
      </w:r>
      <w:r w:rsidRPr="003B4FCF">
        <w:rPr>
          <w:u w:val="single"/>
          <w:lang w:val="fr-FR"/>
        </w:rPr>
        <w:t>TGP/14</w:t>
      </w:r>
      <w:r w:rsidR="005D3B5B" w:rsidRPr="003B4FCF">
        <w:rPr>
          <w:u w:val="single"/>
          <w:lang w:val="fr-FR"/>
        </w:rPr>
        <w:t> :</w:t>
      </w:r>
      <w:r w:rsidRPr="003B4FCF">
        <w:rPr>
          <w:u w:val="single"/>
          <w:lang w:val="fr-FR"/>
        </w:rPr>
        <w:t xml:space="preserve"> Glossaire de termes utilisés dans les documents de l</w:t>
      </w:r>
      <w:r w:rsidR="005D3B5B" w:rsidRPr="003B4FCF">
        <w:rPr>
          <w:u w:val="single"/>
          <w:lang w:val="fr-FR"/>
        </w:rPr>
        <w:t>’</w:t>
      </w:r>
      <w:r w:rsidRPr="003B4FCF">
        <w:rPr>
          <w:u w:val="single"/>
          <w:lang w:val="fr-FR"/>
        </w:rPr>
        <w:t>UPOV (</w:t>
      </w:r>
      <w:r w:rsidR="00067374" w:rsidRPr="003B4FCF">
        <w:rPr>
          <w:u w:val="single"/>
          <w:lang w:val="fr-FR"/>
        </w:rPr>
        <w:t>document TG</w:t>
      </w:r>
      <w:r w:rsidRPr="003B4FCF">
        <w:rPr>
          <w:u w:val="single"/>
          <w:lang w:val="fr-FR"/>
        </w:rPr>
        <w:t>P/14/4 Draft</w:t>
      </w:r>
      <w:r w:rsidR="00A618B2" w:rsidRPr="003B4FCF">
        <w:rPr>
          <w:u w:val="single"/>
          <w:lang w:val="fr-FR"/>
        </w:rPr>
        <w:t> </w:t>
      </w:r>
      <w:r w:rsidRPr="003B4FCF">
        <w:rPr>
          <w:u w:val="single"/>
          <w:lang w:val="fr-FR"/>
        </w:rPr>
        <w:t>1)</w:t>
      </w:r>
      <w:bookmarkEnd w:id="25"/>
    </w:p>
    <w:p w:rsidR="00465412" w:rsidRPr="003B4FCF" w:rsidRDefault="00465412" w:rsidP="003035E1">
      <w:pPr>
        <w:rPr>
          <w:i/>
          <w:lang w:val="fr-FR"/>
        </w:rPr>
      </w:pPr>
    </w:p>
    <w:p w:rsidR="00465412" w:rsidRPr="003B4FCF" w:rsidRDefault="003035E1" w:rsidP="006B21D6">
      <w:pPr>
        <w:rPr>
          <w:lang w:val="fr-FR"/>
        </w:rPr>
      </w:pPr>
      <w:r w:rsidRPr="003B4FCF">
        <w:rPr>
          <w:lang w:val="fr-FR"/>
        </w:rPr>
        <w:fldChar w:fldCharType="begin"/>
      </w:r>
      <w:r w:rsidRPr="003B4FCF">
        <w:rPr>
          <w:lang w:val="fr-FR"/>
        </w:rPr>
        <w:instrText xml:space="preserve"> AUTONUM  </w:instrText>
      </w:r>
      <w:r w:rsidRPr="003B4FCF">
        <w:rPr>
          <w:lang w:val="fr-FR"/>
        </w:rPr>
        <w:fldChar w:fldCharType="end"/>
      </w:r>
      <w:r w:rsidRPr="003B4FCF">
        <w:rPr>
          <w:lang w:val="fr-FR"/>
        </w:rPr>
        <w:tab/>
      </w:r>
      <w:r w:rsidR="00536D59" w:rsidRPr="003B4FCF">
        <w:rPr>
          <w:lang w:val="fr-FR"/>
        </w:rPr>
        <w:t>À</w:t>
      </w:r>
      <w:r w:rsidR="006B21D6" w:rsidRPr="003B4FCF">
        <w:rPr>
          <w:lang w:val="fr-FR"/>
        </w:rPr>
        <w:t xml:space="preserve"> sa cinquante</w:t>
      </w:r>
      <w:r w:rsidR="005D3B5B" w:rsidRPr="003B4FCF">
        <w:rPr>
          <w:lang w:val="fr-FR"/>
        </w:rPr>
        <w:t>-</w:t>
      </w:r>
      <w:r w:rsidR="006B21D6" w:rsidRPr="003B4FCF">
        <w:rPr>
          <w:lang w:val="fr-FR"/>
        </w:rPr>
        <w:t>trois</w:t>
      </w:r>
      <w:r w:rsidR="005D3B5B" w:rsidRPr="003B4FCF">
        <w:rPr>
          <w:lang w:val="fr-FR"/>
        </w:rPr>
        <w:t>ième session</w:t>
      </w:r>
      <w:hyperlink w:anchor="notebasdepage7" w:history="1">
        <w:r w:rsidR="00E24AB6" w:rsidRPr="003B4FCF">
          <w:rPr>
            <w:rStyle w:val="Hyperlink"/>
            <w:color w:val="auto"/>
            <w:u w:val="none"/>
            <w:vertAlign w:val="superscript"/>
            <w:lang w:val="fr-FR"/>
          </w:rPr>
          <w:t>7</w:t>
        </w:r>
      </w:hyperlink>
      <w:r w:rsidR="006B21D6" w:rsidRPr="003B4FCF">
        <w:rPr>
          <w:lang w:val="fr-FR"/>
        </w:rPr>
        <w:t xml:space="preserve">, </w:t>
      </w:r>
      <w:r w:rsidR="00536D59" w:rsidRPr="003B4FCF">
        <w:rPr>
          <w:lang w:val="fr-FR"/>
        </w:rPr>
        <w:t>le</w:t>
      </w:r>
      <w:r w:rsidR="005D3B5B" w:rsidRPr="003B4FCF">
        <w:rPr>
          <w:lang w:val="fr-FR"/>
        </w:rPr>
        <w:t> TC</w:t>
      </w:r>
      <w:r w:rsidR="00536D59" w:rsidRPr="003B4FCF">
        <w:rPr>
          <w:lang w:val="fr-FR"/>
        </w:rPr>
        <w:t xml:space="preserve"> </w:t>
      </w:r>
      <w:r w:rsidR="006B21D6" w:rsidRPr="003B4FCF">
        <w:rPr>
          <w:lang w:val="fr-FR"/>
        </w:rPr>
        <w:t>est convenu de réviser le document TGP/14</w:t>
      </w:r>
      <w:r w:rsidR="005D3B5B" w:rsidRPr="003B4FCF">
        <w:rPr>
          <w:lang w:val="fr-FR"/>
        </w:rPr>
        <w:t> :</w:t>
      </w:r>
      <w:r w:rsidR="006B21D6" w:rsidRPr="003B4FCF">
        <w:rPr>
          <w:lang w:val="fr-FR"/>
        </w:rPr>
        <w:t xml:space="preserve"> section</w:t>
      </w:r>
      <w:r w:rsidR="00A618B2" w:rsidRPr="003B4FCF">
        <w:rPr>
          <w:lang w:val="fr-FR"/>
        </w:rPr>
        <w:t> </w:t>
      </w:r>
      <w:r w:rsidR="006B21D6" w:rsidRPr="003B4FCF">
        <w:rPr>
          <w:lang w:val="fr-FR"/>
        </w:rPr>
        <w:t>2</w:t>
      </w:r>
      <w:r w:rsidR="005D3B5B" w:rsidRPr="003B4FCF">
        <w:rPr>
          <w:lang w:val="fr-FR"/>
        </w:rPr>
        <w:t> :</w:t>
      </w:r>
      <w:r w:rsidR="006B21D6" w:rsidRPr="003B4FCF">
        <w:rPr>
          <w:lang w:val="fr-FR"/>
        </w:rPr>
        <w:t xml:space="preserve"> sous</w:t>
      </w:r>
      <w:r w:rsidR="00920667" w:rsidRPr="003B4FCF">
        <w:rPr>
          <w:lang w:val="fr-FR"/>
        </w:rPr>
        <w:noBreakHyphen/>
      </w:r>
      <w:r w:rsidR="006B21D6" w:rsidRPr="003B4FCF">
        <w:rPr>
          <w:lang w:val="fr-FR"/>
        </w:rPr>
        <w:t>section</w:t>
      </w:r>
      <w:r w:rsidR="00A618B2" w:rsidRPr="003B4FCF">
        <w:rPr>
          <w:lang w:val="fr-FR"/>
        </w:rPr>
        <w:t> </w:t>
      </w:r>
      <w:r w:rsidR="006B21D6" w:rsidRPr="003B4FCF">
        <w:rPr>
          <w:lang w:val="fr-FR"/>
        </w:rPr>
        <w:t>2</w:t>
      </w:r>
      <w:r w:rsidR="005D3B5B" w:rsidRPr="003B4FCF">
        <w:rPr>
          <w:lang w:val="fr-FR"/>
        </w:rPr>
        <w:t> :</w:t>
      </w:r>
      <w:r w:rsidR="006B21D6" w:rsidRPr="003B4FCF">
        <w:rPr>
          <w:lang w:val="fr-FR"/>
        </w:rPr>
        <w:t xml:space="preserve"> </w:t>
      </w:r>
      <w:r w:rsidR="001C3657" w:rsidRPr="003B4FCF">
        <w:rPr>
          <w:lang w:val="fr-FR"/>
        </w:rPr>
        <w:t>“</w:t>
      </w:r>
      <w:r w:rsidR="006B21D6" w:rsidRPr="003B4FCF">
        <w:rPr>
          <w:lang w:val="fr-FR"/>
        </w:rPr>
        <w:t>Formes et structures</w:t>
      </w:r>
      <w:r w:rsidR="001C3657" w:rsidRPr="003B4FCF">
        <w:rPr>
          <w:lang w:val="fr-FR"/>
        </w:rPr>
        <w:t>”</w:t>
      </w:r>
      <w:r w:rsidR="006B21D6" w:rsidRPr="003B4FCF">
        <w:rPr>
          <w:lang w:val="fr-FR"/>
        </w:rPr>
        <w:t xml:space="preserve"> pour modifier le tableau figurant dans la variante</w:t>
      </w:r>
      <w:r w:rsidR="00A618B2" w:rsidRPr="003B4FCF">
        <w:rPr>
          <w:lang w:val="fr-FR"/>
        </w:rPr>
        <w:t> </w:t>
      </w:r>
      <w:r w:rsidR="006B21D6" w:rsidRPr="003B4FCF">
        <w:rPr>
          <w:lang w:val="fr-FR"/>
        </w:rPr>
        <w:t>2 de l</w:t>
      </w:r>
      <w:r w:rsidR="005D3B5B" w:rsidRPr="003B4FCF">
        <w:rPr>
          <w:lang w:val="fr-FR"/>
        </w:rPr>
        <w:t>’</w:t>
      </w:r>
      <w:r w:rsidR="006B21D6" w:rsidRPr="003B4FCF">
        <w:rPr>
          <w:lang w:val="fr-FR"/>
        </w:rPr>
        <w:t>exemple</w:t>
      </w:r>
      <w:r w:rsidR="00A618B2" w:rsidRPr="003B4FCF">
        <w:rPr>
          <w:lang w:val="fr-FR"/>
        </w:rPr>
        <w:t> </w:t>
      </w:r>
      <w:r w:rsidR="006B21D6" w:rsidRPr="003B4FCF">
        <w:rPr>
          <w:lang w:val="fr-FR"/>
        </w:rPr>
        <w:t>5, comme indiqué à l</w:t>
      </w:r>
      <w:r w:rsidR="005D3B5B" w:rsidRPr="003B4FCF">
        <w:rPr>
          <w:lang w:val="fr-FR"/>
        </w:rPr>
        <w:t>’</w:t>
      </w:r>
      <w:r w:rsidR="006B21D6" w:rsidRPr="003B4FCF">
        <w:rPr>
          <w:lang w:val="fr-FR"/>
        </w:rPr>
        <w:t>annexe</w:t>
      </w:r>
      <w:r w:rsidR="00A618B2" w:rsidRPr="003B4FCF">
        <w:rPr>
          <w:lang w:val="fr-FR"/>
        </w:rPr>
        <w:t> </w:t>
      </w:r>
      <w:r w:rsidR="006B21D6" w:rsidRPr="003B4FCF">
        <w:rPr>
          <w:lang w:val="fr-FR"/>
        </w:rPr>
        <w:t>IV du présent document</w:t>
      </w:r>
      <w:r w:rsidR="006B21D6" w:rsidRPr="003B4FCF">
        <w:rPr>
          <w:rStyle w:val="FootnoteReference"/>
          <w:lang w:val="fr-FR"/>
        </w:rPr>
        <w:footnoteReference w:id="12"/>
      </w:r>
      <w:r w:rsidR="006B21D6" w:rsidRPr="003B4FCF">
        <w:rPr>
          <w:lang w:val="fr-FR"/>
        </w:rPr>
        <w:t>.</w:t>
      </w:r>
    </w:p>
    <w:p w:rsidR="00465412" w:rsidRPr="003B4FCF" w:rsidRDefault="00465412" w:rsidP="00273B07">
      <w:pPr>
        <w:keepNext/>
        <w:outlineLvl w:val="2"/>
        <w:rPr>
          <w:rFonts w:eastAsia="MS Mincho"/>
          <w:i/>
          <w:lang w:val="fr-FR"/>
        </w:rPr>
      </w:pPr>
    </w:p>
    <w:p w:rsidR="00067374" w:rsidRPr="003B4FCF" w:rsidRDefault="00555B9E" w:rsidP="006B21D6">
      <w:pPr>
        <w:rPr>
          <w:lang w:val="fr-FR"/>
        </w:rPr>
      </w:pPr>
      <w:r w:rsidRPr="003B4FCF">
        <w:rPr>
          <w:lang w:val="fr-FR"/>
        </w:rPr>
        <w:fldChar w:fldCharType="begin"/>
      </w:r>
      <w:r w:rsidRPr="003B4FCF">
        <w:rPr>
          <w:lang w:val="fr-FR"/>
        </w:rPr>
        <w:instrText xml:space="preserve"> AUTONUM  </w:instrText>
      </w:r>
      <w:r w:rsidRPr="003B4FCF">
        <w:rPr>
          <w:lang w:val="fr-FR"/>
        </w:rPr>
        <w:fldChar w:fldCharType="end"/>
      </w:r>
      <w:r w:rsidRPr="003B4FCF">
        <w:rPr>
          <w:lang w:val="fr-FR"/>
        </w:rPr>
        <w:tab/>
      </w:r>
      <w:r w:rsidR="00536D59" w:rsidRPr="003B4FCF">
        <w:rPr>
          <w:lang w:val="fr-FR"/>
        </w:rPr>
        <w:t>À</w:t>
      </w:r>
      <w:r w:rsidR="006B21D6" w:rsidRPr="003B4FCF">
        <w:rPr>
          <w:lang w:val="fr-FR"/>
        </w:rPr>
        <w:t xml:space="preserve"> sa cinquante</w:t>
      </w:r>
      <w:r w:rsidR="005D3B5B" w:rsidRPr="003B4FCF">
        <w:rPr>
          <w:lang w:val="fr-FR"/>
        </w:rPr>
        <w:t>-</w:t>
      </w:r>
      <w:r w:rsidR="006B21D6" w:rsidRPr="003B4FCF">
        <w:rPr>
          <w:lang w:val="fr-FR"/>
        </w:rPr>
        <w:t>quatr</w:t>
      </w:r>
      <w:r w:rsidR="005D3B5B" w:rsidRPr="003B4FCF">
        <w:rPr>
          <w:lang w:val="fr-FR"/>
        </w:rPr>
        <w:t>ième session</w:t>
      </w:r>
      <w:hyperlink w:anchor="notebasdepage2" w:history="1">
        <w:r w:rsidR="005D7A45" w:rsidRPr="003B4FCF">
          <w:rPr>
            <w:rStyle w:val="Hyperlink"/>
            <w:color w:val="auto"/>
            <w:u w:val="none"/>
            <w:vertAlign w:val="superscript"/>
            <w:lang w:val="fr-FR"/>
          </w:rPr>
          <w:t>2</w:t>
        </w:r>
      </w:hyperlink>
      <w:r w:rsidR="006B21D6" w:rsidRPr="003B4FCF">
        <w:rPr>
          <w:lang w:val="fr-FR"/>
        </w:rPr>
        <w:t xml:space="preserve">, </w:t>
      </w:r>
      <w:r w:rsidR="00536D59" w:rsidRPr="003B4FCF">
        <w:rPr>
          <w:lang w:val="fr-FR"/>
        </w:rPr>
        <w:t>le</w:t>
      </w:r>
      <w:r w:rsidR="005D3B5B" w:rsidRPr="003B4FCF">
        <w:rPr>
          <w:lang w:val="fr-FR"/>
        </w:rPr>
        <w:t> TC</w:t>
      </w:r>
      <w:r w:rsidR="00536D59" w:rsidRPr="003B4FCF">
        <w:rPr>
          <w:lang w:val="fr-FR"/>
        </w:rPr>
        <w:t xml:space="preserve"> </w:t>
      </w:r>
      <w:r w:rsidR="006B21D6" w:rsidRPr="003B4FCF">
        <w:rPr>
          <w:lang w:val="fr-FR"/>
        </w:rPr>
        <w:t>a approuvé les propositions de révision du document TGP/14 “Glossaire de termes utilisés dans les documents de l</w:t>
      </w:r>
      <w:r w:rsidR="005D3B5B" w:rsidRPr="003B4FCF">
        <w:rPr>
          <w:lang w:val="fr-FR"/>
        </w:rPr>
        <w:t>’</w:t>
      </w:r>
      <w:r w:rsidR="006B21D6" w:rsidRPr="003B4FCF">
        <w:rPr>
          <w:lang w:val="fr-FR"/>
        </w:rPr>
        <w:t>UPOV” pour inclure des orientations sur les facteurs à prendre en considération pour la création de groupes de couleurs aux fins du regroupement des variétés et de l</w:t>
      </w:r>
      <w:r w:rsidR="005D3B5B" w:rsidRPr="003B4FCF">
        <w:rPr>
          <w:lang w:val="fr-FR"/>
        </w:rPr>
        <w:t>’</w:t>
      </w:r>
      <w:r w:rsidR="006B21D6" w:rsidRPr="003B4FCF">
        <w:rPr>
          <w:lang w:val="fr-FR"/>
        </w:rPr>
        <w:t>organisation des essais en culture</w:t>
      </w:r>
      <w:r w:rsidR="006B21D6" w:rsidRPr="003B4FCF">
        <w:rPr>
          <w:rStyle w:val="FootnoteReference"/>
          <w:lang w:val="fr-FR"/>
        </w:rPr>
        <w:footnoteReference w:id="13"/>
      </w:r>
      <w:r w:rsidR="006B21D6" w:rsidRPr="003B4FCF">
        <w:rPr>
          <w:lang w:val="fr-FR"/>
        </w:rPr>
        <w:t>.</w:t>
      </w:r>
    </w:p>
    <w:p w:rsidR="00465412" w:rsidRPr="003B4FCF" w:rsidRDefault="00465412" w:rsidP="00555B9E">
      <w:pPr>
        <w:rPr>
          <w:lang w:val="fr-FR"/>
        </w:rPr>
      </w:pPr>
    </w:p>
    <w:p w:rsidR="00067374" w:rsidRPr="003B4FCF" w:rsidRDefault="006F6881" w:rsidP="006B21D6">
      <w:pPr>
        <w:rPr>
          <w:spacing w:val="-2"/>
          <w:lang w:val="fr-FR"/>
        </w:rPr>
      </w:pPr>
      <w:r w:rsidRPr="003B4FCF">
        <w:rPr>
          <w:spacing w:val="-2"/>
          <w:lang w:val="fr-FR"/>
        </w:rPr>
        <w:fldChar w:fldCharType="begin"/>
      </w:r>
      <w:r w:rsidRPr="003B4FCF">
        <w:rPr>
          <w:spacing w:val="-2"/>
          <w:lang w:val="fr-FR"/>
        </w:rPr>
        <w:instrText xml:space="preserve"> AUTONUM  </w:instrText>
      </w:r>
      <w:r w:rsidRPr="003B4FCF">
        <w:rPr>
          <w:spacing w:val="-2"/>
          <w:lang w:val="fr-FR"/>
        </w:rPr>
        <w:fldChar w:fldCharType="end"/>
      </w:r>
      <w:r w:rsidRPr="003B4FCF">
        <w:rPr>
          <w:spacing w:val="-2"/>
          <w:lang w:val="fr-FR"/>
        </w:rPr>
        <w:tab/>
      </w:r>
      <w:r w:rsidR="006B21D6" w:rsidRPr="003B4FCF">
        <w:rPr>
          <w:spacing w:val="-2"/>
          <w:lang w:val="fr-FR"/>
        </w:rPr>
        <w:t>Sur la base de ce qui précède, le</w:t>
      </w:r>
      <w:r w:rsidR="005D3B5B" w:rsidRPr="003B4FCF">
        <w:rPr>
          <w:spacing w:val="-2"/>
          <w:lang w:val="fr-FR"/>
        </w:rPr>
        <w:t> TC</w:t>
      </w:r>
      <w:r w:rsidR="006B21D6" w:rsidRPr="003B4FCF">
        <w:rPr>
          <w:spacing w:val="-2"/>
          <w:lang w:val="fr-FR"/>
        </w:rPr>
        <w:t xml:space="preserve"> est convenu qu</w:t>
      </w:r>
      <w:r w:rsidR="005D3B5B" w:rsidRPr="003B4FCF">
        <w:rPr>
          <w:spacing w:val="-2"/>
          <w:lang w:val="fr-FR"/>
        </w:rPr>
        <w:t>’</w:t>
      </w:r>
      <w:r w:rsidR="006B21D6" w:rsidRPr="003B4FCF">
        <w:rPr>
          <w:spacing w:val="-2"/>
          <w:lang w:val="fr-FR"/>
        </w:rPr>
        <w:t xml:space="preserve">une version révisée du </w:t>
      </w:r>
      <w:r w:rsidR="00067374" w:rsidRPr="003B4FCF">
        <w:rPr>
          <w:spacing w:val="-2"/>
          <w:lang w:val="fr-FR"/>
        </w:rPr>
        <w:t>document TG</w:t>
      </w:r>
      <w:r w:rsidR="006B21D6" w:rsidRPr="003B4FCF">
        <w:rPr>
          <w:spacing w:val="-2"/>
          <w:lang w:val="fr-FR"/>
        </w:rPr>
        <w:t>P/14/3 (</w:t>
      </w:r>
      <w:r w:rsidR="00067374" w:rsidRPr="003B4FCF">
        <w:rPr>
          <w:spacing w:val="-2"/>
          <w:lang w:val="fr-FR"/>
        </w:rPr>
        <w:t>document TG</w:t>
      </w:r>
      <w:r w:rsidR="006B21D6" w:rsidRPr="003B4FCF">
        <w:rPr>
          <w:spacing w:val="-2"/>
          <w:lang w:val="fr-FR"/>
        </w:rPr>
        <w:t>P/14/4 Draft</w:t>
      </w:r>
      <w:r w:rsidR="00A618B2" w:rsidRPr="003B4FCF">
        <w:rPr>
          <w:spacing w:val="-2"/>
          <w:lang w:val="fr-FR"/>
        </w:rPr>
        <w:t> </w:t>
      </w:r>
      <w:r w:rsidR="006B21D6" w:rsidRPr="003B4FCF">
        <w:rPr>
          <w:spacing w:val="-2"/>
          <w:lang w:val="fr-FR"/>
        </w:rPr>
        <w:t>1) devait être soumise au Conseil pour adoption à sa cinquante</w:t>
      </w:r>
      <w:r w:rsidR="005D3B5B" w:rsidRPr="003B4FCF">
        <w:rPr>
          <w:spacing w:val="-2"/>
          <w:lang w:val="fr-FR"/>
        </w:rPr>
        <w:t>-</w:t>
      </w:r>
      <w:r w:rsidR="006B21D6" w:rsidRPr="003B4FCF">
        <w:rPr>
          <w:spacing w:val="-2"/>
          <w:lang w:val="fr-FR"/>
        </w:rPr>
        <w:t>trois</w:t>
      </w:r>
      <w:r w:rsidR="005D3B5B" w:rsidRPr="003B4FCF">
        <w:rPr>
          <w:spacing w:val="-2"/>
          <w:lang w:val="fr-FR"/>
        </w:rPr>
        <w:t>ième session</w:t>
      </w:r>
      <w:r w:rsidR="006B21D6" w:rsidRPr="003B4FCF">
        <w:rPr>
          <w:spacing w:val="-2"/>
          <w:lang w:val="fr-FR"/>
        </w:rPr>
        <w:t xml:space="preserve"> ordinaire, sous réserve de l</w:t>
      </w:r>
      <w:r w:rsidR="005D3B5B" w:rsidRPr="003B4FCF">
        <w:rPr>
          <w:spacing w:val="-2"/>
          <w:lang w:val="fr-FR"/>
        </w:rPr>
        <w:t>’</w:t>
      </w:r>
      <w:r w:rsidR="006B21D6" w:rsidRPr="003B4FCF">
        <w:rPr>
          <w:spacing w:val="-2"/>
          <w:lang w:val="fr-FR"/>
        </w:rPr>
        <w:t>approbation</w:t>
      </w:r>
      <w:r w:rsidR="00067374" w:rsidRPr="003B4FCF">
        <w:rPr>
          <w:spacing w:val="-2"/>
          <w:lang w:val="fr-FR"/>
        </w:rPr>
        <w:t xml:space="preserve"> du CAJ</w:t>
      </w:r>
      <w:r w:rsidR="006B21D6" w:rsidRPr="003B4FCF">
        <w:rPr>
          <w:spacing w:val="-2"/>
          <w:lang w:val="fr-FR"/>
        </w:rPr>
        <w:t xml:space="preserve"> à sa soixante</w:t>
      </w:r>
      <w:r w:rsidR="005D3B5B" w:rsidRPr="003B4FCF">
        <w:rPr>
          <w:spacing w:val="-2"/>
          <w:lang w:val="fr-FR"/>
        </w:rPr>
        <w:t>-</w:t>
      </w:r>
      <w:r w:rsidR="006B21D6" w:rsidRPr="003B4FCF">
        <w:rPr>
          <w:spacing w:val="-2"/>
          <w:lang w:val="fr-FR"/>
        </w:rPr>
        <w:t>s</w:t>
      </w:r>
      <w:r w:rsidR="007A7F15" w:rsidRPr="003B4FCF">
        <w:rPr>
          <w:spacing w:val="-2"/>
          <w:lang w:val="fr-FR"/>
        </w:rPr>
        <w:t>eiz</w:t>
      </w:r>
      <w:r w:rsidR="005D3B5B" w:rsidRPr="003B4FCF">
        <w:rPr>
          <w:spacing w:val="-2"/>
          <w:lang w:val="fr-FR"/>
        </w:rPr>
        <w:t>ième session</w:t>
      </w:r>
      <w:hyperlink w:anchor="notebasdepage5" w:history="1">
        <w:r w:rsidR="005D7A45" w:rsidRPr="003B4FCF">
          <w:rPr>
            <w:rStyle w:val="Hyperlink"/>
            <w:color w:val="auto"/>
            <w:u w:val="none"/>
            <w:vertAlign w:val="superscript"/>
            <w:lang w:val="fr-FR"/>
          </w:rPr>
          <w:t>5</w:t>
        </w:r>
      </w:hyperlink>
      <w:r w:rsidRPr="003B4FCF">
        <w:rPr>
          <w:spacing w:val="-2"/>
          <w:lang w:val="fr-FR"/>
        </w:rPr>
        <w:t>.</w:t>
      </w:r>
    </w:p>
    <w:p w:rsidR="00465412" w:rsidRPr="003B4FCF" w:rsidRDefault="00465412" w:rsidP="006F6881">
      <w:pPr>
        <w:rPr>
          <w:spacing w:val="-2"/>
          <w:lang w:val="fr-FR"/>
        </w:rPr>
      </w:pPr>
    </w:p>
    <w:p w:rsidR="00465412" w:rsidRPr="003B4FCF" w:rsidRDefault="00824EE7" w:rsidP="00472A9F">
      <w:pPr>
        <w:rPr>
          <w:bCs/>
          <w:snapToGrid w:val="0"/>
          <w:szCs w:val="24"/>
          <w:lang w:val="fr-FR"/>
        </w:rPr>
      </w:pPr>
      <w:r w:rsidRPr="003B4FCF">
        <w:rPr>
          <w:spacing w:val="-2"/>
          <w:lang w:val="fr-FR"/>
        </w:rPr>
        <w:fldChar w:fldCharType="begin"/>
      </w:r>
      <w:r w:rsidRPr="003B4FCF">
        <w:rPr>
          <w:spacing w:val="-2"/>
          <w:lang w:val="fr-FR"/>
        </w:rPr>
        <w:instrText xml:space="preserve"> AUTONUM  </w:instrText>
      </w:r>
      <w:r w:rsidRPr="003B4FCF">
        <w:rPr>
          <w:spacing w:val="-2"/>
          <w:lang w:val="fr-FR"/>
        </w:rPr>
        <w:fldChar w:fldCharType="end"/>
      </w:r>
      <w:r w:rsidRPr="003B4FCF">
        <w:rPr>
          <w:spacing w:val="-2"/>
          <w:lang w:val="fr-FR"/>
        </w:rPr>
        <w:tab/>
      </w:r>
      <w:r w:rsidR="00472A9F" w:rsidRPr="003B4FCF">
        <w:rPr>
          <w:spacing w:val="-2"/>
          <w:lang w:val="fr-FR"/>
        </w:rPr>
        <w:t xml:space="preserve">Les traductions en français, allemand et espagnol du texte anglais original ont été examinées par les membres concernés du Comité de rédaction avant la présentation du projet de </w:t>
      </w:r>
      <w:r w:rsidR="00067374" w:rsidRPr="003B4FCF">
        <w:rPr>
          <w:spacing w:val="-2"/>
          <w:lang w:val="fr-FR"/>
        </w:rPr>
        <w:t>document TG</w:t>
      </w:r>
      <w:r w:rsidR="00472A9F" w:rsidRPr="003B4FCF">
        <w:rPr>
          <w:spacing w:val="-2"/>
          <w:lang w:val="fr-FR"/>
        </w:rPr>
        <w:t>P/14/4 au Conse</w:t>
      </w:r>
      <w:r w:rsidR="001545B0" w:rsidRPr="003B4FCF">
        <w:rPr>
          <w:spacing w:val="-2"/>
          <w:lang w:val="fr-FR"/>
        </w:rPr>
        <w:t>il.  Le</w:t>
      </w:r>
      <w:r w:rsidR="00472A9F" w:rsidRPr="003B4FCF">
        <w:rPr>
          <w:spacing w:val="-2"/>
          <w:lang w:val="fr-FR"/>
        </w:rPr>
        <w:t xml:space="preserve"> </w:t>
      </w:r>
      <w:r w:rsidR="00067374" w:rsidRPr="003B4FCF">
        <w:rPr>
          <w:spacing w:val="-2"/>
          <w:lang w:val="fr-FR"/>
        </w:rPr>
        <w:t>document TG</w:t>
      </w:r>
      <w:r w:rsidR="00472A9F" w:rsidRPr="003B4FCF">
        <w:rPr>
          <w:spacing w:val="-2"/>
          <w:lang w:val="fr-FR"/>
        </w:rPr>
        <w:t>P/14/4 Draft</w:t>
      </w:r>
      <w:r w:rsidR="00A618B2" w:rsidRPr="003B4FCF">
        <w:rPr>
          <w:spacing w:val="-2"/>
          <w:lang w:val="fr-FR"/>
        </w:rPr>
        <w:t> </w:t>
      </w:r>
      <w:r w:rsidR="00472A9F" w:rsidRPr="003B4FCF">
        <w:rPr>
          <w:spacing w:val="-2"/>
          <w:lang w:val="fr-FR"/>
        </w:rPr>
        <w:t>1 contient les modifications approuvées par le</w:t>
      </w:r>
      <w:r w:rsidR="005D3B5B" w:rsidRPr="003B4FCF">
        <w:rPr>
          <w:spacing w:val="-2"/>
          <w:lang w:val="fr-FR"/>
        </w:rPr>
        <w:t> TC</w:t>
      </w:r>
      <w:r w:rsidR="004C6B04" w:rsidRPr="003B4FCF">
        <w:rPr>
          <w:spacing w:val="-2"/>
          <w:lang w:val="fr-FR"/>
        </w:rPr>
        <w:t xml:space="preserve"> figurant</w:t>
      </w:r>
      <w:r w:rsidR="00472A9F" w:rsidRPr="003B4FCF">
        <w:rPr>
          <w:spacing w:val="-2"/>
          <w:lang w:val="fr-FR"/>
        </w:rPr>
        <w:t xml:space="preserve"> à l</w:t>
      </w:r>
      <w:r w:rsidR="005D3B5B" w:rsidRPr="003B4FCF">
        <w:rPr>
          <w:spacing w:val="-2"/>
          <w:lang w:val="fr-FR"/>
        </w:rPr>
        <w:t>’</w:t>
      </w:r>
      <w:r w:rsidR="00472A9F" w:rsidRPr="003B4FCF">
        <w:rPr>
          <w:spacing w:val="-2"/>
          <w:lang w:val="fr-FR"/>
        </w:rPr>
        <w:t>annexe</w:t>
      </w:r>
      <w:r w:rsidR="00A618B2" w:rsidRPr="003B4FCF">
        <w:rPr>
          <w:spacing w:val="-2"/>
          <w:lang w:val="fr-FR"/>
        </w:rPr>
        <w:t> </w:t>
      </w:r>
      <w:r w:rsidR="00472A9F" w:rsidRPr="003B4FCF">
        <w:rPr>
          <w:spacing w:val="-2"/>
          <w:lang w:val="fr-FR"/>
        </w:rPr>
        <w:t>IV du présent document, ainsi que les modifications d</w:t>
      </w:r>
      <w:r w:rsidR="005D3B5B" w:rsidRPr="003B4FCF">
        <w:rPr>
          <w:spacing w:val="-2"/>
          <w:lang w:val="fr-FR"/>
        </w:rPr>
        <w:t>’</w:t>
      </w:r>
      <w:r w:rsidR="00472A9F" w:rsidRPr="003B4FCF">
        <w:rPr>
          <w:spacing w:val="-2"/>
          <w:lang w:val="fr-FR"/>
        </w:rPr>
        <w:t>ordre linguistique apportées par les membres concernés du Comité de rédaction.</w:t>
      </w:r>
    </w:p>
    <w:p w:rsidR="00465412" w:rsidRPr="003B4FCF" w:rsidRDefault="00465412" w:rsidP="00824EE7">
      <w:pPr>
        <w:rPr>
          <w:bCs/>
          <w:snapToGrid w:val="0"/>
          <w:szCs w:val="24"/>
          <w:lang w:val="fr-FR"/>
        </w:rPr>
      </w:pPr>
    </w:p>
    <w:p w:rsidR="00465412" w:rsidRPr="003B4FCF" w:rsidRDefault="00691F62" w:rsidP="00472A9F">
      <w:pPr>
        <w:rPr>
          <w:lang w:val="fr-FR"/>
        </w:rPr>
      </w:pPr>
      <w:r w:rsidRPr="003B4FCF">
        <w:rPr>
          <w:lang w:val="fr-FR"/>
        </w:rPr>
        <w:fldChar w:fldCharType="begin"/>
      </w:r>
      <w:r w:rsidRPr="003B4FCF">
        <w:rPr>
          <w:lang w:val="fr-FR"/>
        </w:rPr>
        <w:instrText xml:space="preserve"> AUTONUM  </w:instrText>
      </w:r>
      <w:r w:rsidRPr="003B4FCF">
        <w:rPr>
          <w:lang w:val="fr-FR"/>
        </w:rPr>
        <w:fldChar w:fldCharType="end"/>
      </w:r>
      <w:r w:rsidRPr="003B4FCF">
        <w:rPr>
          <w:lang w:val="fr-FR"/>
        </w:rPr>
        <w:tab/>
      </w:r>
      <w:r w:rsidR="00536D59" w:rsidRPr="003B4FCF">
        <w:rPr>
          <w:lang w:val="fr-FR"/>
        </w:rPr>
        <w:t>À</w:t>
      </w:r>
      <w:r w:rsidR="00472A9F" w:rsidRPr="003B4FCF">
        <w:rPr>
          <w:lang w:val="fr-FR"/>
        </w:rPr>
        <w:t xml:space="preserve"> sa cinquante</w:t>
      </w:r>
      <w:r w:rsidR="005D3B5B" w:rsidRPr="003B4FCF">
        <w:rPr>
          <w:lang w:val="fr-FR"/>
        </w:rPr>
        <w:t>-</w:t>
      </w:r>
      <w:r w:rsidR="00472A9F" w:rsidRPr="003B4FCF">
        <w:rPr>
          <w:lang w:val="fr-FR"/>
        </w:rPr>
        <w:t>cinqu</w:t>
      </w:r>
      <w:r w:rsidR="005D3B5B" w:rsidRPr="003B4FCF">
        <w:rPr>
          <w:lang w:val="fr-FR"/>
        </w:rPr>
        <w:t>ième session</w:t>
      </w:r>
      <w:hyperlink w:anchor="notebasdepage1" w:history="1">
        <w:r w:rsidR="005D7A45" w:rsidRPr="003B4FCF">
          <w:rPr>
            <w:rStyle w:val="Hyperlink"/>
            <w:color w:val="auto"/>
            <w:u w:val="none"/>
            <w:vertAlign w:val="superscript"/>
            <w:lang w:val="fr-FR"/>
          </w:rPr>
          <w:t>1</w:t>
        </w:r>
      </w:hyperlink>
      <w:r w:rsidR="00472A9F" w:rsidRPr="003B4FCF">
        <w:rPr>
          <w:lang w:val="fr-FR"/>
        </w:rPr>
        <w:t xml:space="preserve">, </w:t>
      </w:r>
      <w:r w:rsidR="00536D59" w:rsidRPr="003B4FCF">
        <w:rPr>
          <w:lang w:val="fr-FR"/>
        </w:rPr>
        <w:t>le</w:t>
      </w:r>
      <w:r w:rsidR="005D3B5B" w:rsidRPr="003B4FCF">
        <w:rPr>
          <w:lang w:val="fr-FR"/>
        </w:rPr>
        <w:t> TC</w:t>
      </w:r>
      <w:r w:rsidR="00536D59" w:rsidRPr="003B4FCF">
        <w:rPr>
          <w:lang w:val="fr-FR"/>
        </w:rPr>
        <w:t xml:space="preserve"> </w:t>
      </w:r>
      <w:r w:rsidR="00472A9F" w:rsidRPr="003B4FCF">
        <w:rPr>
          <w:lang w:val="fr-FR"/>
        </w:rPr>
        <w:t xml:space="preserve">examinera le </w:t>
      </w:r>
      <w:r w:rsidR="00067374" w:rsidRPr="003B4FCF">
        <w:rPr>
          <w:lang w:val="fr-FR"/>
        </w:rPr>
        <w:t>document TG</w:t>
      </w:r>
      <w:r w:rsidR="00472A9F" w:rsidRPr="003B4FCF">
        <w:rPr>
          <w:lang w:val="fr-FR"/>
        </w:rPr>
        <w:t>P/14/4 Draft 1.  Il sera rendu compte</w:t>
      </w:r>
      <w:r w:rsidR="00067374" w:rsidRPr="003B4FCF">
        <w:rPr>
          <w:lang w:val="fr-FR"/>
        </w:rPr>
        <w:t xml:space="preserve"> au CAJ</w:t>
      </w:r>
      <w:r w:rsidR="00472A9F" w:rsidRPr="003B4FCF">
        <w:rPr>
          <w:lang w:val="fr-FR"/>
        </w:rPr>
        <w:t>, à sa soixante</w:t>
      </w:r>
      <w:r w:rsidR="005D3B5B" w:rsidRPr="003B4FCF">
        <w:rPr>
          <w:lang w:val="fr-FR"/>
        </w:rPr>
        <w:t>-</w:t>
      </w:r>
      <w:r w:rsidR="00472A9F" w:rsidRPr="003B4FCF">
        <w:rPr>
          <w:lang w:val="fr-FR"/>
        </w:rPr>
        <w:t>seiz</w:t>
      </w:r>
      <w:r w:rsidR="005D3B5B" w:rsidRPr="003B4FCF">
        <w:rPr>
          <w:lang w:val="fr-FR"/>
        </w:rPr>
        <w:t>ième session</w:t>
      </w:r>
      <w:hyperlink w:anchor="notebasdepage5" w:history="1">
        <w:r w:rsidR="005D7A45" w:rsidRPr="003B4FCF">
          <w:rPr>
            <w:rStyle w:val="Hyperlink"/>
            <w:color w:val="auto"/>
            <w:u w:val="none"/>
            <w:vertAlign w:val="superscript"/>
            <w:lang w:val="fr-FR"/>
          </w:rPr>
          <w:t>5</w:t>
        </w:r>
      </w:hyperlink>
      <w:r w:rsidR="00472A9F" w:rsidRPr="003B4FCF">
        <w:rPr>
          <w:lang w:val="fr-FR"/>
        </w:rPr>
        <w:t>, des observations formulées par le</w:t>
      </w:r>
      <w:r w:rsidR="005D3B5B" w:rsidRPr="003B4FCF">
        <w:rPr>
          <w:lang w:val="fr-FR"/>
        </w:rPr>
        <w:t> TC</w:t>
      </w:r>
      <w:r w:rsidRPr="003B4FCF">
        <w:rPr>
          <w:lang w:val="fr-FR"/>
        </w:rPr>
        <w:t>.</w:t>
      </w:r>
    </w:p>
    <w:p w:rsidR="00465412" w:rsidRPr="003B4FCF" w:rsidRDefault="00465412" w:rsidP="00691F62">
      <w:pPr>
        <w:rPr>
          <w:lang w:val="fr-FR"/>
        </w:rPr>
      </w:pPr>
    </w:p>
    <w:p w:rsidR="00067374" w:rsidRPr="003B4FCF" w:rsidRDefault="00555B9E" w:rsidP="00920667">
      <w:pPr>
        <w:pStyle w:val="DecisionParagraphs"/>
        <w:keepLines/>
        <w:rPr>
          <w:lang w:val="fr-FR"/>
        </w:rPr>
      </w:pPr>
      <w:r w:rsidRPr="003B4FCF">
        <w:rPr>
          <w:lang w:val="fr-FR"/>
        </w:rPr>
        <w:lastRenderedPageBreak/>
        <w:fldChar w:fldCharType="begin"/>
      </w:r>
      <w:r w:rsidRPr="003B4FCF">
        <w:rPr>
          <w:lang w:val="fr-FR"/>
        </w:rPr>
        <w:instrText xml:space="preserve"> AUTONUM  </w:instrText>
      </w:r>
      <w:r w:rsidRPr="003B4FCF">
        <w:rPr>
          <w:lang w:val="fr-FR"/>
        </w:rPr>
        <w:fldChar w:fldCharType="end"/>
      </w:r>
      <w:r w:rsidRPr="003B4FCF">
        <w:rPr>
          <w:lang w:val="fr-FR"/>
        </w:rPr>
        <w:tab/>
      </w:r>
      <w:r w:rsidR="00472A9F" w:rsidRPr="003B4FCF">
        <w:rPr>
          <w:lang w:val="fr-FR"/>
        </w:rPr>
        <w:t>Le CAJ est invité à examiner la version révisée du document TGP/14 “Examen de l</w:t>
      </w:r>
      <w:r w:rsidR="005D3B5B" w:rsidRPr="003B4FCF">
        <w:rPr>
          <w:lang w:val="fr-FR"/>
        </w:rPr>
        <w:t>’</w:t>
      </w:r>
      <w:r w:rsidR="00472A9F" w:rsidRPr="003B4FCF">
        <w:rPr>
          <w:lang w:val="fr-FR"/>
        </w:rPr>
        <w:t>homogénéité” (document TGP/14/3), s</w:t>
      </w:r>
      <w:r w:rsidR="00377158">
        <w:rPr>
          <w:lang w:val="fr-FR"/>
        </w:rPr>
        <w:t>ur la base du document TGP/14/4 Draft </w:t>
      </w:r>
      <w:r w:rsidR="00472A9F" w:rsidRPr="003B4FCF">
        <w:rPr>
          <w:lang w:val="fr-FR"/>
        </w:rPr>
        <w:t>1, compte tenu des conclusions formulées par le</w:t>
      </w:r>
      <w:r w:rsidR="005D3B5B" w:rsidRPr="003B4FCF">
        <w:rPr>
          <w:lang w:val="fr-FR"/>
        </w:rPr>
        <w:t> TC</w:t>
      </w:r>
      <w:r w:rsidR="00472A9F" w:rsidRPr="003B4FCF">
        <w:rPr>
          <w:lang w:val="fr-FR"/>
        </w:rPr>
        <w:t xml:space="preserve"> à sa cinquante</w:t>
      </w:r>
      <w:r w:rsidR="005D3B5B" w:rsidRPr="003B4FCF">
        <w:rPr>
          <w:lang w:val="fr-FR"/>
        </w:rPr>
        <w:t>-</w:t>
      </w:r>
      <w:r w:rsidR="00472A9F" w:rsidRPr="003B4FCF">
        <w:rPr>
          <w:lang w:val="fr-FR"/>
        </w:rPr>
        <w:t>cinqu</w:t>
      </w:r>
      <w:r w:rsidR="005D3B5B" w:rsidRPr="003B4FCF">
        <w:rPr>
          <w:lang w:val="fr-FR"/>
        </w:rPr>
        <w:t>ième session</w:t>
      </w:r>
      <w:r w:rsidR="00472A9F" w:rsidRPr="003B4FCF">
        <w:rPr>
          <w:lang w:val="fr-FR"/>
        </w:rPr>
        <w:t>.</w:t>
      </w:r>
    </w:p>
    <w:p w:rsidR="00465412" w:rsidRPr="003B4FCF" w:rsidRDefault="00465412" w:rsidP="00273B07">
      <w:pPr>
        <w:rPr>
          <w:lang w:val="fr-FR"/>
        </w:rPr>
      </w:pPr>
    </w:p>
    <w:p w:rsidR="00465412" w:rsidRPr="003B4FCF" w:rsidRDefault="00465412" w:rsidP="00273B07">
      <w:pPr>
        <w:rPr>
          <w:lang w:val="fr-FR"/>
        </w:rPr>
      </w:pPr>
    </w:p>
    <w:p w:rsidR="00067374" w:rsidRPr="003B4FCF" w:rsidRDefault="00472A9F" w:rsidP="00920667">
      <w:pPr>
        <w:pStyle w:val="Heading2"/>
      </w:pPr>
      <w:bookmarkStart w:id="26" w:name="_Toc14792935"/>
      <w:r w:rsidRPr="003B4FCF">
        <w:t>Document</w:t>
      </w:r>
      <w:r w:rsidR="00A618B2" w:rsidRPr="003B4FCF">
        <w:t> </w:t>
      </w:r>
      <w:r w:rsidRPr="003B4FCF">
        <w:t>TGP/15</w:t>
      </w:r>
      <w:r w:rsidR="005D3B5B" w:rsidRPr="003B4FCF">
        <w:t> :</w:t>
      </w:r>
      <w:r w:rsidRPr="003B4FCF">
        <w:t xml:space="preserve"> Conseils en ce qui concerne l</w:t>
      </w:r>
      <w:r w:rsidR="005D3B5B" w:rsidRPr="003B4FCF">
        <w:t>’</w:t>
      </w:r>
      <w:r w:rsidRPr="003B4FCF">
        <w:t>utilisation des marqueurs biochimiques et moléculaires dans l</w:t>
      </w:r>
      <w:r w:rsidR="005D3B5B" w:rsidRPr="003B4FCF">
        <w:t>’</w:t>
      </w:r>
      <w:r w:rsidRPr="003B4FCF">
        <w:t>examen de la distinction, de l</w:t>
      </w:r>
      <w:r w:rsidR="005D3B5B" w:rsidRPr="003B4FCF">
        <w:t>’</w:t>
      </w:r>
      <w:r w:rsidRPr="003B4FCF">
        <w:t>homogénéité et de la stabilité (DHS) (révision) (</w:t>
      </w:r>
      <w:r w:rsidR="00067374" w:rsidRPr="003B4FCF">
        <w:t>document TG</w:t>
      </w:r>
      <w:r w:rsidR="00920667" w:rsidRPr="003B4FCF">
        <w:t>P/15/2 </w:t>
      </w:r>
      <w:r w:rsidRPr="003B4FCF">
        <w:t>Draft</w:t>
      </w:r>
      <w:r w:rsidR="00A618B2" w:rsidRPr="003B4FCF">
        <w:t> </w:t>
      </w:r>
      <w:r w:rsidRPr="003B4FCF">
        <w:t>2)</w:t>
      </w:r>
      <w:bookmarkEnd w:id="26"/>
    </w:p>
    <w:p w:rsidR="00465412" w:rsidRPr="003B4FCF" w:rsidRDefault="00465412" w:rsidP="00AD378E">
      <w:pPr>
        <w:ind w:left="567" w:hanging="567"/>
        <w:rPr>
          <w:rFonts w:cs="Arial"/>
          <w:lang w:val="fr-FR"/>
        </w:rPr>
      </w:pPr>
    </w:p>
    <w:p w:rsidR="00465412" w:rsidRPr="003B4FCF" w:rsidRDefault="00A62A4B" w:rsidP="00472A9F">
      <w:pPr>
        <w:rPr>
          <w:lang w:val="fr-FR"/>
        </w:rPr>
      </w:pPr>
      <w:r w:rsidRPr="003B4FCF">
        <w:rPr>
          <w:rFonts w:cs="Arial"/>
          <w:lang w:val="fr-FR"/>
        </w:rPr>
        <w:fldChar w:fldCharType="begin"/>
      </w:r>
      <w:r w:rsidRPr="003B4FCF">
        <w:rPr>
          <w:rFonts w:cs="Arial"/>
          <w:lang w:val="fr-FR"/>
        </w:rPr>
        <w:instrText xml:space="preserve"> AUTONUM  </w:instrText>
      </w:r>
      <w:r w:rsidRPr="003B4FCF">
        <w:rPr>
          <w:rFonts w:cs="Arial"/>
          <w:lang w:val="fr-FR"/>
        </w:rPr>
        <w:fldChar w:fldCharType="end"/>
      </w:r>
      <w:r w:rsidRPr="003B4FCF">
        <w:rPr>
          <w:rFonts w:cs="Arial"/>
          <w:lang w:val="fr-FR"/>
        </w:rPr>
        <w:tab/>
      </w:r>
      <w:r w:rsidR="00536D59" w:rsidRPr="003B4FCF">
        <w:rPr>
          <w:rFonts w:cs="Arial"/>
          <w:lang w:val="fr-FR"/>
        </w:rPr>
        <w:t>À</w:t>
      </w:r>
      <w:r w:rsidR="00472A9F" w:rsidRPr="003B4FCF">
        <w:rPr>
          <w:rFonts w:cs="Arial"/>
          <w:lang w:val="fr-FR"/>
        </w:rPr>
        <w:t xml:space="preserve"> sa cinquante</w:t>
      </w:r>
      <w:r w:rsidR="005D3B5B" w:rsidRPr="003B4FCF">
        <w:rPr>
          <w:rFonts w:cs="Arial"/>
          <w:lang w:val="fr-FR"/>
        </w:rPr>
        <w:t>-</w:t>
      </w:r>
      <w:r w:rsidR="00472A9F" w:rsidRPr="003B4FCF">
        <w:rPr>
          <w:rFonts w:cs="Arial"/>
          <w:lang w:val="fr-FR"/>
        </w:rPr>
        <w:t>quatr</w:t>
      </w:r>
      <w:r w:rsidR="005D3B5B" w:rsidRPr="003B4FCF">
        <w:rPr>
          <w:rFonts w:cs="Arial"/>
          <w:lang w:val="fr-FR"/>
        </w:rPr>
        <w:t>ième session</w:t>
      </w:r>
      <w:hyperlink w:anchor="notebasdepage2" w:history="1">
        <w:r w:rsidR="005D7A45" w:rsidRPr="003B4FCF">
          <w:rPr>
            <w:rStyle w:val="Hyperlink"/>
            <w:rFonts w:cs="Arial"/>
            <w:color w:val="auto"/>
            <w:u w:val="none"/>
            <w:vertAlign w:val="superscript"/>
            <w:lang w:val="fr-FR"/>
          </w:rPr>
          <w:t>2</w:t>
        </w:r>
      </w:hyperlink>
      <w:r w:rsidR="00472A9F" w:rsidRPr="003B4FCF">
        <w:rPr>
          <w:rFonts w:cs="Arial"/>
          <w:lang w:val="fr-FR"/>
        </w:rPr>
        <w:t xml:space="preserve">, </w:t>
      </w:r>
      <w:r w:rsidR="00536D59" w:rsidRPr="003B4FCF">
        <w:rPr>
          <w:rFonts w:cs="Arial"/>
          <w:lang w:val="fr-FR"/>
        </w:rPr>
        <w:t>le</w:t>
      </w:r>
      <w:r w:rsidR="005D3B5B" w:rsidRPr="003B4FCF">
        <w:rPr>
          <w:rFonts w:cs="Arial"/>
          <w:lang w:val="fr-FR"/>
        </w:rPr>
        <w:t> TC</w:t>
      </w:r>
      <w:r w:rsidR="00536D59" w:rsidRPr="003B4FCF">
        <w:rPr>
          <w:rFonts w:cs="Arial"/>
          <w:lang w:val="fr-FR"/>
        </w:rPr>
        <w:t xml:space="preserve"> </w:t>
      </w:r>
      <w:r w:rsidR="00472A9F" w:rsidRPr="003B4FCF">
        <w:rPr>
          <w:rFonts w:cs="Arial"/>
          <w:lang w:val="fr-FR"/>
        </w:rPr>
        <w:t>est convenu d</w:t>
      </w:r>
      <w:r w:rsidR="005D3B5B" w:rsidRPr="003B4FCF">
        <w:rPr>
          <w:rFonts w:cs="Arial"/>
          <w:lang w:val="fr-FR"/>
        </w:rPr>
        <w:t>’</w:t>
      </w:r>
      <w:r w:rsidR="00472A9F" w:rsidRPr="003B4FCF">
        <w:rPr>
          <w:rFonts w:cs="Arial"/>
          <w:lang w:val="fr-FR"/>
        </w:rPr>
        <w:t>insérer le texte ci</w:t>
      </w:r>
      <w:r w:rsidR="005D3B5B" w:rsidRPr="003B4FCF">
        <w:rPr>
          <w:rFonts w:cs="Arial"/>
          <w:lang w:val="fr-FR"/>
        </w:rPr>
        <w:t>-</w:t>
      </w:r>
      <w:r w:rsidR="00472A9F" w:rsidRPr="003B4FCF">
        <w:rPr>
          <w:rFonts w:cs="Arial"/>
          <w:lang w:val="fr-FR"/>
        </w:rPr>
        <w:t xml:space="preserve">après tiré du </w:t>
      </w:r>
      <w:r w:rsidR="00067374" w:rsidRPr="003B4FCF">
        <w:rPr>
          <w:rFonts w:cs="Arial"/>
          <w:lang w:val="fr-FR"/>
        </w:rPr>
        <w:t>document UP</w:t>
      </w:r>
      <w:r w:rsidR="00472A9F" w:rsidRPr="003B4FCF">
        <w:rPr>
          <w:rFonts w:cs="Arial"/>
          <w:lang w:val="fr-FR"/>
        </w:rPr>
        <w:t>OV/INF/18/1 “Utilisation possible des marqueurs moléculaires dans l</w:t>
      </w:r>
      <w:r w:rsidR="005D3B5B" w:rsidRPr="003B4FCF">
        <w:rPr>
          <w:rFonts w:cs="Arial"/>
          <w:lang w:val="fr-FR"/>
        </w:rPr>
        <w:t>’</w:t>
      </w:r>
      <w:r w:rsidR="00472A9F" w:rsidRPr="003B4FCF">
        <w:rPr>
          <w:rFonts w:cs="Arial"/>
          <w:lang w:val="fr-FR"/>
        </w:rPr>
        <w:t>examen de la distinction, de l</w:t>
      </w:r>
      <w:r w:rsidR="005D3B5B" w:rsidRPr="003B4FCF">
        <w:rPr>
          <w:rFonts w:cs="Arial"/>
          <w:lang w:val="fr-FR"/>
        </w:rPr>
        <w:t>’</w:t>
      </w:r>
      <w:r w:rsidR="00472A9F" w:rsidRPr="003B4FCF">
        <w:rPr>
          <w:rFonts w:cs="Arial"/>
          <w:lang w:val="fr-FR"/>
        </w:rPr>
        <w:t xml:space="preserve">homogénéité et de la stabilité (DHS)” dans le </w:t>
      </w:r>
      <w:r w:rsidR="00067374" w:rsidRPr="003B4FCF">
        <w:rPr>
          <w:rFonts w:cs="Arial"/>
          <w:lang w:val="fr-FR"/>
        </w:rPr>
        <w:t>document TG</w:t>
      </w:r>
      <w:r w:rsidR="00472A9F" w:rsidRPr="003B4FCF">
        <w:rPr>
          <w:rFonts w:cs="Arial"/>
          <w:lang w:val="fr-FR"/>
        </w:rPr>
        <w:t>P/15 “Conseils en ce qui concerne l</w:t>
      </w:r>
      <w:r w:rsidR="005D3B5B" w:rsidRPr="003B4FCF">
        <w:rPr>
          <w:rFonts w:cs="Arial"/>
          <w:lang w:val="fr-FR"/>
        </w:rPr>
        <w:t>’</w:t>
      </w:r>
      <w:r w:rsidR="00472A9F" w:rsidRPr="003B4FCF">
        <w:rPr>
          <w:rFonts w:cs="Arial"/>
          <w:lang w:val="fr-FR"/>
        </w:rPr>
        <w:t>utilisation des marqueurs biochimiques et moléculaires dans l</w:t>
      </w:r>
      <w:r w:rsidR="005D3B5B" w:rsidRPr="003B4FCF">
        <w:rPr>
          <w:rFonts w:cs="Arial"/>
          <w:lang w:val="fr-FR"/>
        </w:rPr>
        <w:t>’</w:t>
      </w:r>
      <w:r w:rsidR="00472A9F" w:rsidRPr="003B4FCF">
        <w:rPr>
          <w:rFonts w:cs="Arial"/>
          <w:lang w:val="fr-FR"/>
        </w:rPr>
        <w:t>examen de la distinction, de l</w:t>
      </w:r>
      <w:r w:rsidR="005D3B5B" w:rsidRPr="003B4FCF">
        <w:rPr>
          <w:rFonts w:cs="Arial"/>
          <w:lang w:val="fr-FR"/>
        </w:rPr>
        <w:t>’</w:t>
      </w:r>
      <w:r w:rsidR="00472A9F" w:rsidRPr="003B4FCF">
        <w:rPr>
          <w:rFonts w:cs="Arial"/>
          <w:lang w:val="fr-FR"/>
        </w:rPr>
        <w:t xml:space="preserve">homogénéité et de la stabilité (DHS)” </w:t>
      </w:r>
      <w:r w:rsidR="004C6B04" w:rsidRPr="003B4FCF">
        <w:rPr>
          <w:rFonts w:cs="Arial"/>
          <w:lang w:val="fr-FR"/>
        </w:rPr>
        <w:t>afin de</w:t>
      </w:r>
      <w:r w:rsidR="00472A9F" w:rsidRPr="003B4FCF">
        <w:rPr>
          <w:rFonts w:cs="Arial"/>
          <w:lang w:val="fr-FR"/>
        </w:rPr>
        <w:t xml:space="preserve"> préciser qu</w:t>
      </w:r>
      <w:r w:rsidR="005D3B5B" w:rsidRPr="003B4FCF">
        <w:rPr>
          <w:rFonts w:cs="Arial"/>
          <w:lang w:val="fr-FR"/>
        </w:rPr>
        <w:t>’</w:t>
      </w:r>
      <w:r w:rsidR="00472A9F" w:rsidRPr="003B4FCF">
        <w:rPr>
          <w:rFonts w:cs="Arial"/>
          <w:lang w:val="fr-FR"/>
        </w:rPr>
        <w:t>il incombe à l</w:t>
      </w:r>
      <w:r w:rsidR="005D3B5B" w:rsidRPr="003B4FCF">
        <w:rPr>
          <w:rFonts w:cs="Arial"/>
          <w:lang w:val="fr-FR"/>
        </w:rPr>
        <w:t>’</w:t>
      </w:r>
      <w:r w:rsidR="00472A9F" w:rsidRPr="003B4FCF">
        <w:rPr>
          <w:rFonts w:cs="Arial"/>
          <w:lang w:val="fr-FR"/>
        </w:rPr>
        <w:t>a</w:t>
      </w:r>
      <w:r w:rsidR="004C6B04" w:rsidRPr="003B4FCF">
        <w:rPr>
          <w:rFonts w:cs="Arial"/>
          <w:lang w:val="fr-FR"/>
        </w:rPr>
        <w:t xml:space="preserve">dministration </w:t>
      </w:r>
      <w:r w:rsidR="00472A9F" w:rsidRPr="003B4FCF">
        <w:rPr>
          <w:rFonts w:cs="Arial"/>
          <w:lang w:val="fr-FR"/>
        </w:rPr>
        <w:t>de se prononcer sur la fiabilité du lien entre le gène et l</w:t>
      </w:r>
      <w:r w:rsidR="005D3B5B" w:rsidRPr="003B4FCF">
        <w:rPr>
          <w:rFonts w:cs="Arial"/>
          <w:lang w:val="fr-FR"/>
        </w:rPr>
        <w:t>’</w:t>
      </w:r>
      <w:r w:rsidR="00472A9F" w:rsidRPr="003B4FCF">
        <w:rPr>
          <w:rFonts w:cs="Arial"/>
          <w:lang w:val="fr-FR"/>
        </w:rPr>
        <w:t>expression du caractère</w:t>
      </w:r>
      <w:r w:rsidR="00472A9F" w:rsidRPr="003B4FCF">
        <w:rPr>
          <w:rStyle w:val="FootnoteReference"/>
          <w:rFonts w:cs="Arial"/>
          <w:lang w:val="fr-FR"/>
        </w:rPr>
        <w:footnoteReference w:id="14"/>
      </w:r>
      <w:r w:rsidR="005D3B5B" w:rsidRPr="003B4FCF">
        <w:rPr>
          <w:rFonts w:cs="Arial"/>
          <w:lang w:val="fr-FR"/>
        </w:rPr>
        <w:t> :</w:t>
      </w:r>
    </w:p>
    <w:p w:rsidR="00465412" w:rsidRPr="003B4FCF" w:rsidRDefault="00465412" w:rsidP="005755F0">
      <w:pPr>
        <w:rPr>
          <w:rFonts w:cs="Arial"/>
          <w:lang w:val="fr-FR"/>
        </w:rPr>
      </w:pPr>
    </w:p>
    <w:p w:rsidR="00067374" w:rsidRPr="003B4FCF" w:rsidRDefault="00752EE2" w:rsidP="00752EE2">
      <w:pPr>
        <w:autoSpaceDE w:val="0"/>
        <w:autoSpaceDN w:val="0"/>
        <w:adjustRightInd w:val="0"/>
        <w:ind w:left="567" w:right="567"/>
        <w:rPr>
          <w:sz w:val="18"/>
          <w:lang w:val="fr-FR" w:eastAsia="ja-JP"/>
        </w:rPr>
      </w:pPr>
      <w:r w:rsidRPr="003B4FCF">
        <w:rPr>
          <w:sz w:val="18"/>
          <w:lang w:val="fr-FR" w:eastAsia="ja-JP"/>
        </w:rPr>
        <w:t>“3.1.4 Aux fins de l</w:t>
      </w:r>
      <w:r w:rsidR="005D3B5B" w:rsidRPr="003B4FCF">
        <w:rPr>
          <w:sz w:val="18"/>
          <w:lang w:val="fr-FR" w:eastAsia="ja-JP"/>
        </w:rPr>
        <w:t>’</w:t>
      </w:r>
      <w:r w:rsidRPr="003B4FCF">
        <w:rPr>
          <w:sz w:val="18"/>
          <w:lang w:val="fr-FR" w:eastAsia="ja-JP"/>
        </w:rPr>
        <w:t>examen du modèle et de l</w:t>
      </w:r>
      <w:r w:rsidR="005D3B5B" w:rsidRPr="003B4FCF">
        <w:rPr>
          <w:sz w:val="18"/>
          <w:lang w:val="fr-FR" w:eastAsia="ja-JP"/>
        </w:rPr>
        <w:t>’</w:t>
      </w:r>
      <w:r w:rsidRPr="003B4FCF">
        <w:rPr>
          <w:sz w:val="18"/>
          <w:lang w:val="fr-FR" w:eastAsia="ja-JP"/>
        </w:rPr>
        <w:t>exemple, tels que figurant dans l</w:t>
      </w:r>
      <w:r w:rsidR="005D3B5B" w:rsidRPr="003B4FCF">
        <w:rPr>
          <w:sz w:val="18"/>
          <w:lang w:val="fr-FR" w:eastAsia="ja-JP"/>
        </w:rPr>
        <w:t>’</w:t>
      </w:r>
      <w:r w:rsidRPr="003B4FCF">
        <w:rPr>
          <w:sz w:val="18"/>
          <w:lang w:val="fr-FR" w:eastAsia="ja-JP"/>
        </w:rPr>
        <w:t>annexe</w:t>
      </w:r>
      <w:r w:rsidR="00A618B2" w:rsidRPr="003B4FCF">
        <w:rPr>
          <w:sz w:val="18"/>
          <w:lang w:val="fr-FR" w:eastAsia="ja-JP"/>
        </w:rPr>
        <w:t> </w:t>
      </w:r>
      <w:r w:rsidRPr="003B4FCF">
        <w:rPr>
          <w:sz w:val="18"/>
          <w:lang w:val="fr-FR" w:eastAsia="ja-JP"/>
        </w:rPr>
        <w:t>1 du présent document, le</w:t>
      </w:r>
      <w:r w:rsidR="005D3B5B" w:rsidRPr="003B4FCF">
        <w:rPr>
          <w:sz w:val="18"/>
          <w:lang w:val="fr-FR" w:eastAsia="ja-JP"/>
        </w:rPr>
        <w:t> TC</w:t>
      </w:r>
      <w:r w:rsidRPr="003B4FCF">
        <w:rPr>
          <w:sz w:val="18"/>
          <w:lang w:val="fr-FR" w:eastAsia="ja-JP"/>
        </w:rPr>
        <w:t xml:space="preserve"> a souligné l</w:t>
      </w:r>
      <w:r w:rsidR="005D3B5B" w:rsidRPr="003B4FCF">
        <w:rPr>
          <w:sz w:val="18"/>
          <w:lang w:val="fr-FR" w:eastAsia="ja-JP"/>
        </w:rPr>
        <w:t>’</w:t>
      </w:r>
      <w:r w:rsidRPr="003B4FCF">
        <w:rPr>
          <w:sz w:val="18"/>
          <w:lang w:val="fr-FR" w:eastAsia="ja-JP"/>
        </w:rPr>
        <w:t>importance du respect des hypothès</w:t>
      </w:r>
      <w:r w:rsidR="001545B0" w:rsidRPr="003B4FCF">
        <w:rPr>
          <w:sz w:val="18"/>
          <w:lang w:val="fr-FR" w:eastAsia="ja-JP"/>
        </w:rPr>
        <w:t xml:space="preserve">es.  À </w:t>
      </w:r>
      <w:r w:rsidRPr="003B4FCF">
        <w:rPr>
          <w:sz w:val="18"/>
          <w:lang w:val="fr-FR" w:eastAsia="ja-JP"/>
        </w:rPr>
        <w:t>cet égard, il a expliqué qu</w:t>
      </w:r>
      <w:r w:rsidR="005D3B5B" w:rsidRPr="003B4FCF">
        <w:rPr>
          <w:sz w:val="18"/>
          <w:lang w:val="fr-FR" w:eastAsia="ja-JP"/>
        </w:rPr>
        <w:t>’</w:t>
      </w:r>
      <w:r w:rsidRPr="003B4FCF">
        <w:rPr>
          <w:sz w:val="18"/>
          <w:lang w:val="fr-FR" w:eastAsia="ja-JP"/>
        </w:rPr>
        <w:t>il s</w:t>
      </w:r>
      <w:r w:rsidR="005D3B5B" w:rsidRPr="003B4FCF">
        <w:rPr>
          <w:sz w:val="18"/>
          <w:lang w:val="fr-FR" w:eastAsia="ja-JP"/>
        </w:rPr>
        <w:t>’</w:t>
      </w:r>
      <w:r w:rsidRPr="003B4FCF">
        <w:rPr>
          <w:sz w:val="18"/>
          <w:lang w:val="fr-FR" w:eastAsia="ja-JP"/>
        </w:rPr>
        <w:t>agissait d</w:t>
      </w:r>
      <w:r w:rsidR="005D3B5B" w:rsidRPr="003B4FCF">
        <w:rPr>
          <w:sz w:val="18"/>
          <w:lang w:val="fr-FR" w:eastAsia="ja-JP"/>
        </w:rPr>
        <w:t>’</w:t>
      </w:r>
      <w:r w:rsidRPr="003B4FCF">
        <w:rPr>
          <w:sz w:val="18"/>
          <w:lang w:val="fr-FR" w:eastAsia="ja-JP"/>
        </w:rPr>
        <w:t>une question que l</w:t>
      </w:r>
      <w:r w:rsidR="005D3B5B" w:rsidRPr="003B4FCF">
        <w:rPr>
          <w:sz w:val="18"/>
          <w:lang w:val="fr-FR" w:eastAsia="ja-JP"/>
        </w:rPr>
        <w:t>’</w:t>
      </w:r>
      <w:r w:rsidRPr="003B4FCF">
        <w:rPr>
          <w:sz w:val="18"/>
          <w:lang w:val="fr-FR" w:eastAsia="ja-JP"/>
        </w:rPr>
        <w:t>administration compétente devait examiner pour vérifier qu</w:t>
      </w:r>
      <w:r w:rsidR="005D3B5B" w:rsidRPr="003B4FCF">
        <w:rPr>
          <w:sz w:val="18"/>
          <w:lang w:val="fr-FR" w:eastAsia="ja-JP"/>
        </w:rPr>
        <w:t>’</w:t>
      </w:r>
      <w:r w:rsidRPr="003B4FCF">
        <w:rPr>
          <w:sz w:val="18"/>
          <w:lang w:val="fr-FR" w:eastAsia="ja-JP"/>
        </w:rPr>
        <w:t xml:space="preserve">il était satisfait aux hypothèses (voir le </w:t>
      </w:r>
      <w:r w:rsidR="005D3B5B" w:rsidRPr="003B4FCF">
        <w:rPr>
          <w:sz w:val="18"/>
          <w:lang w:val="fr-FR" w:eastAsia="ja-JP"/>
        </w:rPr>
        <w:t>document TC</w:t>
      </w:r>
      <w:r w:rsidRPr="003B4FCF">
        <w:rPr>
          <w:sz w:val="18"/>
          <w:lang w:val="fr-FR" w:eastAsia="ja-JP"/>
        </w:rPr>
        <w:t>/45/16 “Report”, paragraphe</w:t>
      </w:r>
      <w:r w:rsidR="00A618B2" w:rsidRPr="003B4FCF">
        <w:rPr>
          <w:sz w:val="18"/>
          <w:lang w:val="fr-FR" w:eastAsia="ja-JP"/>
        </w:rPr>
        <w:t> </w:t>
      </w:r>
      <w:r w:rsidRPr="003B4FCF">
        <w:rPr>
          <w:sz w:val="18"/>
          <w:lang w:val="fr-FR" w:eastAsia="ja-JP"/>
        </w:rPr>
        <w:t>152).”</w:t>
      </w:r>
    </w:p>
    <w:p w:rsidR="00465412" w:rsidRPr="003B4FCF" w:rsidRDefault="00465412" w:rsidP="005755F0">
      <w:pPr>
        <w:pStyle w:val="EndnoteText"/>
        <w:rPr>
          <w:lang w:val="fr-FR"/>
        </w:rPr>
      </w:pPr>
    </w:p>
    <w:p w:rsidR="00465412" w:rsidRPr="003B4FCF" w:rsidRDefault="005755F0" w:rsidP="00752EE2">
      <w:pPr>
        <w:rPr>
          <w:lang w:val="fr-FR"/>
        </w:rPr>
      </w:pPr>
      <w:r w:rsidRPr="003B4FCF">
        <w:rPr>
          <w:rFonts w:cs="Arial"/>
          <w:lang w:val="fr-FR"/>
        </w:rPr>
        <w:fldChar w:fldCharType="begin"/>
      </w:r>
      <w:r w:rsidRPr="003B4FCF">
        <w:rPr>
          <w:rFonts w:cs="Arial"/>
          <w:lang w:val="fr-FR"/>
        </w:rPr>
        <w:instrText xml:space="preserve"> AUTONUM  </w:instrText>
      </w:r>
      <w:r w:rsidRPr="003B4FCF">
        <w:rPr>
          <w:rFonts w:cs="Arial"/>
          <w:lang w:val="fr-FR"/>
        </w:rPr>
        <w:fldChar w:fldCharType="end"/>
      </w:r>
      <w:r w:rsidRPr="003B4FCF">
        <w:rPr>
          <w:rFonts w:cs="Arial"/>
          <w:lang w:val="fr-FR"/>
        </w:rPr>
        <w:tab/>
      </w:r>
      <w:r w:rsidR="00752EE2" w:rsidRPr="003B4FCF">
        <w:rPr>
          <w:rFonts w:cs="Arial"/>
          <w:lang w:val="fr-FR"/>
        </w:rPr>
        <w:t>À sa cinquante</w:t>
      </w:r>
      <w:r w:rsidR="005D3B5B" w:rsidRPr="003B4FCF">
        <w:rPr>
          <w:rFonts w:cs="Arial"/>
          <w:lang w:val="fr-FR"/>
        </w:rPr>
        <w:t>-</w:t>
      </w:r>
      <w:r w:rsidR="00752EE2" w:rsidRPr="003B4FCF">
        <w:rPr>
          <w:rFonts w:cs="Arial"/>
          <w:lang w:val="fr-FR"/>
        </w:rPr>
        <w:t>quatr</w:t>
      </w:r>
      <w:r w:rsidR="005D3B5B" w:rsidRPr="003B4FCF">
        <w:rPr>
          <w:rFonts w:cs="Arial"/>
          <w:lang w:val="fr-FR"/>
        </w:rPr>
        <w:t>ième session</w:t>
      </w:r>
      <w:r w:rsidR="00752EE2" w:rsidRPr="003B4FCF">
        <w:rPr>
          <w:rFonts w:cs="Arial"/>
          <w:lang w:val="fr-FR"/>
        </w:rPr>
        <w:t>, le</w:t>
      </w:r>
      <w:r w:rsidR="005D3B5B" w:rsidRPr="003B4FCF">
        <w:rPr>
          <w:rFonts w:cs="Arial"/>
          <w:lang w:val="fr-FR"/>
        </w:rPr>
        <w:t> TC</w:t>
      </w:r>
      <w:r w:rsidR="00752EE2" w:rsidRPr="003B4FCF">
        <w:rPr>
          <w:rFonts w:cs="Arial"/>
          <w:lang w:val="fr-FR"/>
        </w:rPr>
        <w:t xml:space="preserve"> a examiné la proposition</w:t>
      </w:r>
      <w:r w:rsidR="00067374" w:rsidRPr="003B4FCF">
        <w:rPr>
          <w:rFonts w:cs="Arial"/>
          <w:lang w:val="fr-FR"/>
        </w:rPr>
        <w:t xml:space="preserve"> du BMT</w:t>
      </w:r>
      <w:r w:rsidR="00752EE2" w:rsidRPr="003B4FCF">
        <w:rPr>
          <w:rFonts w:cs="Arial"/>
          <w:lang w:val="fr-FR"/>
        </w:rPr>
        <w:t xml:space="preserve"> et </w:t>
      </w:r>
      <w:r w:rsidR="00E96240" w:rsidRPr="003B4FCF">
        <w:rPr>
          <w:rFonts w:cs="Arial"/>
          <w:lang w:val="fr-FR"/>
        </w:rPr>
        <w:t>il est convenu</w:t>
      </w:r>
      <w:r w:rsidR="00752EE2" w:rsidRPr="003B4FCF">
        <w:rPr>
          <w:rFonts w:cs="Arial"/>
          <w:lang w:val="fr-FR"/>
        </w:rPr>
        <w:t xml:space="preserve"> de faire figurer dans le </w:t>
      </w:r>
      <w:r w:rsidR="00067374" w:rsidRPr="003B4FCF">
        <w:rPr>
          <w:rFonts w:cs="Arial"/>
          <w:lang w:val="fr-FR"/>
        </w:rPr>
        <w:t>document TG</w:t>
      </w:r>
      <w:r w:rsidR="00752EE2" w:rsidRPr="003B4FCF">
        <w:rPr>
          <w:rFonts w:cs="Arial"/>
          <w:lang w:val="fr-FR"/>
        </w:rPr>
        <w:t>P/15 une explication selon laquelle il appartiendrait aux groupes de travail techniques concernés et au</w:t>
      </w:r>
      <w:r w:rsidR="005D3B5B" w:rsidRPr="003B4FCF">
        <w:rPr>
          <w:rFonts w:cs="Arial"/>
          <w:lang w:val="fr-FR"/>
        </w:rPr>
        <w:t> TC</w:t>
      </w:r>
      <w:r w:rsidR="00752EE2" w:rsidRPr="003B4FCF">
        <w:rPr>
          <w:rFonts w:cs="Arial"/>
          <w:lang w:val="fr-FR"/>
        </w:rPr>
        <w:t xml:space="preserve"> de déterminer s</w:t>
      </w:r>
      <w:r w:rsidR="005D3B5B" w:rsidRPr="003B4FCF">
        <w:rPr>
          <w:rFonts w:cs="Arial"/>
          <w:lang w:val="fr-FR"/>
        </w:rPr>
        <w:t>’</w:t>
      </w:r>
      <w:r w:rsidR="00752EE2" w:rsidRPr="003B4FCF">
        <w:rPr>
          <w:rFonts w:cs="Arial"/>
          <w:lang w:val="fr-FR"/>
        </w:rPr>
        <w:t>il était répondu à l</w:t>
      </w:r>
      <w:r w:rsidR="005D3B5B" w:rsidRPr="003B4FCF">
        <w:rPr>
          <w:rFonts w:cs="Arial"/>
          <w:lang w:val="fr-FR"/>
        </w:rPr>
        <w:t>’</w:t>
      </w:r>
      <w:r w:rsidR="00752EE2" w:rsidRPr="003B4FCF">
        <w:rPr>
          <w:rFonts w:cs="Arial"/>
          <w:lang w:val="fr-FR"/>
        </w:rPr>
        <w:t>exigence de fiabilité du lien entre le gène et l</w:t>
      </w:r>
      <w:r w:rsidR="005D3B5B" w:rsidRPr="003B4FCF">
        <w:rPr>
          <w:rFonts w:cs="Arial"/>
          <w:lang w:val="fr-FR"/>
        </w:rPr>
        <w:t>’</w:t>
      </w:r>
      <w:r w:rsidR="00752EE2" w:rsidRPr="003B4FCF">
        <w:rPr>
          <w:rFonts w:cs="Arial"/>
          <w:lang w:val="fr-FR"/>
        </w:rPr>
        <w:t>expression du caractère afin d</w:t>
      </w:r>
      <w:r w:rsidR="005D3B5B" w:rsidRPr="003B4FCF">
        <w:rPr>
          <w:rFonts w:cs="Arial"/>
          <w:lang w:val="fr-FR"/>
        </w:rPr>
        <w:t>’</w:t>
      </w:r>
      <w:r w:rsidR="00752EE2" w:rsidRPr="003B4FCF">
        <w:rPr>
          <w:rFonts w:cs="Arial"/>
          <w:lang w:val="fr-FR"/>
        </w:rPr>
        <w:t xml:space="preserve">incorporer une méthode dans les </w:t>
      </w:r>
      <w:r w:rsidR="004C6B04" w:rsidRPr="003B4FCF">
        <w:rPr>
          <w:rFonts w:cs="Arial"/>
          <w:lang w:val="fr-FR"/>
        </w:rPr>
        <w:t>p</w:t>
      </w:r>
      <w:r w:rsidR="00752EE2" w:rsidRPr="003B4FCF">
        <w:rPr>
          <w:rFonts w:cs="Arial"/>
          <w:lang w:val="fr-FR"/>
        </w:rPr>
        <w:t>rincipes directeurs d</w:t>
      </w:r>
      <w:r w:rsidR="005D3B5B" w:rsidRPr="003B4FCF">
        <w:rPr>
          <w:rFonts w:cs="Arial"/>
          <w:lang w:val="fr-FR"/>
        </w:rPr>
        <w:t>’</w:t>
      </w:r>
      <w:r w:rsidR="00752EE2" w:rsidRPr="003B4FCF">
        <w:rPr>
          <w:rFonts w:cs="Arial"/>
          <w:lang w:val="fr-FR"/>
        </w:rPr>
        <w:t>examen.</w:t>
      </w:r>
    </w:p>
    <w:p w:rsidR="00465412" w:rsidRPr="003B4FCF" w:rsidRDefault="00465412" w:rsidP="00AD378E">
      <w:pPr>
        <w:rPr>
          <w:lang w:val="fr-FR"/>
        </w:rPr>
      </w:pPr>
    </w:p>
    <w:p w:rsidR="00465412" w:rsidRPr="003B4FCF" w:rsidRDefault="00A62A4B" w:rsidP="00752EE2">
      <w:pPr>
        <w:rPr>
          <w:lang w:val="fr-FR"/>
        </w:rPr>
      </w:pPr>
      <w:r w:rsidRPr="003B4FCF">
        <w:rPr>
          <w:lang w:val="fr-FR"/>
        </w:rPr>
        <w:fldChar w:fldCharType="begin"/>
      </w:r>
      <w:r w:rsidRPr="003B4FCF">
        <w:rPr>
          <w:lang w:val="fr-FR"/>
        </w:rPr>
        <w:instrText xml:space="preserve"> AUTONUM  </w:instrText>
      </w:r>
      <w:r w:rsidRPr="003B4FCF">
        <w:rPr>
          <w:lang w:val="fr-FR"/>
        </w:rPr>
        <w:fldChar w:fldCharType="end"/>
      </w:r>
      <w:r w:rsidRPr="003B4FCF">
        <w:rPr>
          <w:lang w:val="fr-FR"/>
        </w:rPr>
        <w:tab/>
      </w:r>
      <w:r w:rsidR="00752EE2" w:rsidRPr="003B4FCF">
        <w:rPr>
          <w:lang w:val="fr-FR"/>
        </w:rPr>
        <w:t>À sa cinquante</w:t>
      </w:r>
      <w:r w:rsidR="005D3B5B" w:rsidRPr="003B4FCF">
        <w:rPr>
          <w:lang w:val="fr-FR"/>
        </w:rPr>
        <w:t>-</w:t>
      </w:r>
      <w:r w:rsidR="00752EE2" w:rsidRPr="003B4FCF">
        <w:rPr>
          <w:lang w:val="fr-FR"/>
        </w:rPr>
        <w:t>quatr</w:t>
      </w:r>
      <w:r w:rsidR="005D3B5B" w:rsidRPr="003B4FCF">
        <w:rPr>
          <w:lang w:val="fr-FR"/>
        </w:rPr>
        <w:t>ième session</w:t>
      </w:r>
      <w:r w:rsidR="00752EE2" w:rsidRPr="003B4FCF">
        <w:rPr>
          <w:lang w:val="fr-FR"/>
        </w:rPr>
        <w:t>, le</w:t>
      </w:r>
      <w:r w:rsidR="005D3B5B" w:rsidRPr="003B4FCF">
        <w:rPr>
          <w:lang w:val="fr-FR"/>
        </w:rPr>
        <w:t> TC</w:t>
      </w:r>
      <w:r w:rsidR="00752EE2" w:rsidRPr="003B4FCF">
        <w:rPr>
          <w:lang w:val="fr-FR"/>
        </w:rPr>
        <w:t xml:space="preserve"> est également convenu de l</w:t>
      </w:r>
      <w:r w:rsidR="005D3B5B" w:rsidRPr="003B4FCF">
        <w:rPr>
          <w:lang w:val="fr-FR"/>
        </w:rPr>
        <w:t>’</w:t>
      </w:r>
      <w:r w:rsidR="00752EE2" w:rsidRPr="003B4FCF">
        <w:rPr>
          <w:lang w:val="fr-FR"/>
        </w:rPr>
        <w:t>inclusion d</w:t>
      </w:r>
      <w:r w:rsidR="005D3B5B" w:rsidRPr="003B4FCF">
        <w:rPr>
          <w:lang w:val="fr-FR"/>
        </w:rPr>
        <w:t>’</w:t>
      </w:r>
      <w:r w:rsidR="00752EE2" w:rsidRPr="003B4FCF">
        <w:rPr>
          <w:lang w:val="fr-FR"/>
        </w:rPr>
        <w:t>un nouveau modèle “Sélection génétique de variétés voisines pour le premier cycle de végétation — exemple</w:t>
      </w:r>
      <w:r w:rsidR="005D3B5B" w:rsidRPr="003B4FCF">
        <w:rPr>
          <w:lang w:val="fr-FR"/>
        </w:rPr>
        <w:t> :</w:t>
      </w:r>
      <w:r w:rsidR="00752EE2" w:rsidRPr="003B4FCF">
        <w:rPr>
          <w:lang w:val="fr-FR"/>
        </w:rPr>
        <w:t xml:space="preserve"> haricot vert” dans le document TGP/15 pour l</w:t>
      </w:r>
      <w:r w:rsidR="005D3B5B" w:rsidRPr="003B4FCF">
        <w:rPr>
          <w:lang w:val="fr-FR"/>
        </w:rPr>
        <w:t>’</w:t>
      </w:r>
      <w:r w:rsidR="00752EE2" w:rsidRPr="003B4FCF">
        <w:rPr>
          <w:lang w:val="fr-FR"/>
        </w:rPr>
        <w:t>utilisation des marqueurs biochimiques et moléculaires dans l</w:t>
      </w:r>
      <w:r w:rsidR="005D3B5B" w:rsidRPr="003B4FCF">
        <w:rPr>
          <w:lang w:val="fr-FR"/>
        </w:rPr>
        <w:t>’</w:t>
      </w:r>
      <w:r w:rsidR="00752EE2" w:rsidRPr="003B4FCF">
        <w:rPr>
          <w:lang w:val="fr-FR"/>
        </w:rPr>
        <w:t>examen de la distinction, de l</w:t>
      </w:r>
      <w:r w:rsidR="005D3B5B" w:rsidRPr="003B4FCF">
        <w:rPr>
          <w:lang w:val="fr-FR"/>
        </w:rPr>
        <w:t>’</w:t>
      </w:r>
      <w:r w:rsidR="00752EE2" w:rsidRPr="003B4FCF">
        <w:rPr>
          <w:lang w:val="fr-FR"/>
        </w:rPr>
        <w:t>homogénéité et de la stabilité (DHS), sur la base du document TGP/15/2 Draft</w:t>
      </w:r>
      <w:r w:rsidR="00A618B2" w:rsidRPr="003B4FCF">
        <w:rPr>
          <w:lang w:val="fr-FR"/>
        </w:rPr>
        <w:t> </w:t>
      </w:r>
      <w:r w:rsidR="00752EE2" w:rsidRPr="003B4FCF">
        <w:rPr>
          <w:lang w:val="fr-FR"/>
        </w:rPr>
        <w:t>1 révisé par le</w:t>
      </w:r>
      <w:r w:rsidR="005D3B5B" w:rsidRPr="003B4FCF">
        <w:rPr>
          <w:lang w:val="fr-FR"/>
        </w:rPr>
        <w:t> TC-EDC</w:t>
      </w:r>
      <w:r w:rsidR="00752EE2" w:rsidRPr="003B4FCF">
        <w:rPr>
          <w:lang w:val="fr-FR"/>
        </w:rPr>
        <w:t>, comme indiqué à l</w:t>
      </w:r>
      <w:r w:rsidR="005D3B5B" w:rsidRPr="003B4FCF">
        <w:rPr>
          <w:lang w:val="fr-FR"/>
        </w:rPr>
        <w:t>’</w:t>
      </w:r>
      <w:r w:rsidR="00752EE2" w:rsidRPr="003B4FCF">
        <w:rPr>
          <w:lang w:val="fr-FR"/>
        </w:rPr>
        <w:t>annexe</w:t>
      </w:r>
      <w:r w:rsidR="00A618B2" w:rsidRPr="003B4FCF">
        <w:rPr>
          <w:lang w:val="fr-FR"/>
        </w:rPr>
        <w:t> </w:t>
      </w:r>
      <w:r w:rsidR="00752EE2" w:rsidRPr="003B4FCF">
        <w:rPr>
          <w:lang w:val="fr-FR"/>
        </w:rPr>
        <w:t>III du document</w:t>
      </w:r>
      <w:r w:rsidR="00A618B2" w:rsidRPr="003B4FCF">
        <w:rPr>
          <w:lang w:val="fr-FR"/>
        </w:rPr>
        <w:t> </w:t>
      </w:r>
      <w:hyperlink r:id="rId12" w:history="1">
        <w:r w:rsidR="00B44BD9">
          <w:rPr>
            <w:rStyle w:val="Hyperlink"/>
            <w:lang w:val="fr-FR"/>
          </w:rPr>
          <w:t>TC/54/31 Corr.</w:t>
        </w:r>
      </w:hyperlink>
      <w:r w:rsidR="00752EE2" w:rsidRPr="003B4FCF">
        <w:rPr>
          <w:lang w:val="fr-FR"/>
        </w:rPr>
        <w:t xml:space="preserve"> “</w:t>
      </w:r>
      <w:r w:rsidR="00E1103E" w:rsidRPr="003B4FCF">
        <w:rPr>
          <w:lang w:val="fr-FR"/>
        </w:rPr>
        <w:t>Compte rendu</w:t>
      </w:r>
      <w:r w:rsidR="00752EE2" w:rsidRPr="003B4FCF">
        <w:rPr>
          <w:lang w:val="fr-FR"/>
        </w:rPr>
        <w:t>”</w:t>
      </w:r>
      <w:r w:rsidR="00752EE2" w:rsidRPr="003B4FCF">
        <w:rPr>
          <w:rStyle w:val="FootnoteReference"/>
          <w:lang w:val="fr-FR"/>
        </w:rPr>
        <w:footnoteReference w:id="15"/>
      </w:r>
      <w:r w:rsidR="00752EE2" w:rsidRPr="003B4FCF">
        <w:rPr>
          <w:lang w:val="fr-FR"/>
        </w:rPr>
        <w:t>.</w:t>
      </w:r>
    </w:p>
    <w:p w:rsidR="00465412" w:rsidRPr="003B4FCF" w:rsidRDefault="00465412" w:rsidP="003A7637">
      <w:pPr>
        <w:rPr>
          <w:lang w:val="fr-FR"/>
        </w:rPr>
      </w:pPr>
    </w:p>
    <w:p w:rsidR="00465412" w:rsidRPr="003B4FCF" w:rsidRDefault="00A8721B" w:rsidP="009E41B1">
      <w:pPr>
        <w:rPr>
          <w:spacing w:val="-2"/>
          <w:lang w:val="fr-FR"/>
        </w:rPr>
      </w:pPr>
      <w:r w:rsidRPr="003B4FCF">
        <w:rPr>
          <w:spacing w:val="-2"/>
          <w:lang w:val="fr-FR"/>
        </w:rPr>
        <w:fldChar w:fldCharType="begin"/>
      </w:r>
      <w:r w:rsidRPr="003B4FCF">
        <w:rPr>
          <w:spacing w:val="-2"/>
          <w:lang w:val="fr-FR"/>
        </w:rPr>
        <w:instrText xml:space="preserve"> AUTONUM  </w:instrText>
      </w:r>
      <w:r w:rsidRPr="003B4FCF">
        <w:rPr>
          <w:spacing w:val="-2"/>
          <w:lang w:val="fr-FR"/>
        </w:rPr>
        <w:fldChar w:fldCharType="end"/>
      </w:r>
      <w:r w:rsidRPr="003B4FCF">
        <w:rPr>
          <w:spacing w:val="-2"/>
          <w:lang w:val="fr-FR"/>
        </w:rPr>
        <w:tab/>
      </w:r>
      <w:r w:rsidR="009E41B1" w:rsidRPr="003B4FCF">
        <w:rPr>
          <w:spacing w:val="-2"/>
          <w:lang w:val="fr-FR"/>
        </w:rPr>
        <w:t>Sur la base de ce qui précède, le</w:t>
      </w:r>
      <w:r w:rsidR="005D3B5B" w:rsidRPr="003B4FCF">
        <w:rPr>
          <w:spacing w:val="-2"/>
          <w:lang w:val="fr-FR"/>
        </w:rPr>
        <w:t> TC</w:t>
      </w:r>
      <w:r w:rsidR="009E41B1" w:rsidRPr="003B4FCF">
        <w:rPr>
          <w:spacing w:val="-2"/>
          <w:lang w:val="fr-FR"/>
        </w:rPr>
        <w:t xml:space="preserve"> est convenu qu</w:t>
      </w:r>
      <w:r w:rsidR="005D3B5B" w:rsidRPr="003B4FCF">
        <w:rPr>
          <w:spacing w:val="-2"/>
          <w:lang w:val="fr-FR"/>
        </w:rPr>
        <w:t>’</w:t>
      </w:r>
      <w:r w:rsidR="009E41B1" w:rsidRPr="003B4FCF">
        <w:rPr>
          <w:spacing w:val="-2"/>
          <w:lang w:val="fr-FR"/>
        </w:rPr>
        <w:t xml:space="preserve">une version révisée du </w:t>
      </w:r>
      <w:r w:rsidR="00067374" w:rsidRPr="003B4FCF">
        <w:rPr>
          <w:spacing w:val="-2"/>
          <w:lang w:val="fr-FR"/>
        </w:rPr>
        <w:t>document TG</w:t>
      </w:r>
      <w:r w:rsidR="009E41B1" w:rsidRPr="003B4FCF">
        <w:rPr>
          <w:spacing w:val="-2"/>
          <w:lang w:val="fr-FR"/>
        </w:rPr>
        <w:t>P/15/1 (</w:t>
      </w:r>
      <w:r w:rsidR="00067374" w:rsidRPr="003B4FCF">
        <w:rPr>
          <w:spacing w:val="-2"/>
          <w:lang w:val="fr-FR"/>
        </w:rPr>
        <w:t>document TG</w:t>
      </w:r>
      <w:r w:rsidR="009E41B1" w:rsidRPr="003B4FCF">
        <w:rPr>
          <w:spacing w:val="-2"/>
          <w:lang w:val="fr-FR"/>
        </w:rPr>
        <w:t>P/15/2 Draft</w:t>
      </w:r>
      <w:r w:rsidR="00A618B2" w:rsidRPr="003B4FCF">
        <w:rPr>
          <w:spacing w:val="-2"/>
          <w:lang w:val="fr-FR"/>
        </w:rPr>
        <w:t> </w:t>
      </w:r>
      <w:r w:rsidR="009E41B1" w:rsidRPr="003B4FCF">
        <w:rPr>
          <w:spacing w:val="-2"/>
          <w:lang w:val="fr-FR"/>
        </w:rPr>
        <w:t>2) devait être soumise au Conseil pour adoption à sa cinquante</w:t>
      </w:r>
      <w:r w:rsidR="005D3B5B" w:rsidRPr="003B4FCF">
        <w:rPr>
          <w:spacing w:val="-2"/>
          <w:lang w:val="fr-FR"/>
        </w:rPr>
        <w:t>-</w:t>
      </w:r>
      <w:r w:rsidR="009E41B1" w:rsidRPr="003B4FCF">
        <w:rPr>
          <w:spacing w:val="-2"/>
          <w:lang w:val="fr-FR"/>
        </w:rPr>
        <w:t>trois</w:t>
      </w:r>
      <w:r w:rsidR="005D3B5B" w:rsidRPr="003B4FCF">
        <w:rPr>
          <w:spacing w:val="-2"/>
          <w:lang w:val="fr-FR"/>
        </w:rPr>
        <w:t>ième session</w:t>
      </w:r>
      <w:r w:rsidR="009E41B1" w:rsidRPr="003B4FCF">
        <w:rPr>
          <w:spacing w:val="-2"/>
          <w:lang w:val="fr-FR"/>
        </w:rPr>
        <w:t xml:space="preserve"> ordinaire, sous réserve de l</w:t>
      </w:r>
      <w:r w:rsidR="005D3B5B" w:rsidRPr="003B4FCF">
        <w:rPr>
          <w:spacing w:val="-2"/>
          <w:lang w:val="fr-FR"/>
        </w:rPr>
        <w:t>’</w:t>
      </w:r>
      <w:r w:rsidR="009E41B1" w:rsidRPr="003B4FCF">
        <w:rPr>
          <w:spacing w:val="-2"/>
          <w:lang w:val="fr-FR"/>
        </w:rPr>
        <w:t>approbation</w:t>
      </w:r>
      <w:r w:rsidR="00067374" w:rsidRPr="003B4FCF">
        <w:rPr>
          <w:spacing w:val="-2"/>
          <w:lang w:val="fr-FR"/>
        </w:rPr>
        <w:t xml:space="preserve"> du CAJ</w:t>
      </w:r>
      <w:r w:rsidR="009E41B1" w:rsidRPr="003B4FCF">
        <w:rPr>
          <w:spacing w:val="-2"/>
          <w:lang w:val="fr-FR"/>
        </w:rPr>
        <w:t xml:space="preserve"> à sa soixante</w:t>
      </w:r>
      <w:r w:rsidR="005D3B5B" w:rsidRPr="003B4FCF">
        <w:rPr>
          <w:spacing w:val="-2"/>
          <w:lang w:val="fr-FR"/>
        </w:rPr>
        <w:t>-</w:t>
      </w:r>
      <w:r w:rsidR="009E41B1" w:rsidRPr="003B4FCF">
        <w:rPr>
          <w:spacing w:val="-2"/>
          <w:lang w:val="fr-FR"/>
        </w:rPr>
        <w:t>s</w:t>
      </w:r>
      <w:r w:rsidR="00E1103E" w:rsidRPr="003B4FCF">
        <w:rPr>
          <w:spacing w:val="-2"/>
          <w:lang w:val="fr-FR"/>
        </w:rPr>
        <w:t>eiz</w:t>
      </w:r>
      <w:r w:rsidR="005D3B5B" w:rsidRPr="003B4FCF">
        <w:rPr>
          <w:spacing w:val="-2"/>
          <w:lang w:val="fr-FR"/>
        </w:rPr>
        <w:t>ième session</w:t>
      </w:r>
      <w:hyperlink w:anchor="notebasdepage5" w:history="1">
        <w:r w:rsidR="005D7A45" w:rsidRPr="003B4FCF">
          <w:rPr>
            <w:rStyle w:val="Hyperlink"/>
            <w:color w:val="auto"/>
            <w:u w:val="none"/>
            <w:vertAlign w:val="superscript"/>
            <w:lang w:val="fr-FR"/>
          </w:rPr>
          <w:t>5</w:t>
        </w:r>
      </w:hyperlink>
      <w:r w:rsidRPr="003B4FCF">
        <w:rPr>
          <w:spacing w:val="-2"/>
          <w:lang w:val="fr-FR"/>
        </w:rPr>
        <w:t>.</w:t>
      </w:r>
    </w:p>
    <w:p w:rsidR="00465412" w:rsidRPr="003B4FCF" w:rsidRDefault="00465412" w:rsidP="00A8721B">
      <w:pPr>
        <w:rPr>
          <w:spacing w:val="-2"/>
          <w:lang w:val="fr-FR"/>
        </w:rPr>
      </w:pPr>
    </w:p>
    <w:p w:rsidR="00465412" w:rsidRPr="003B4FCF" w:rsidRDefault="00A8721B" w:rsidP="00CE3F0C">
      <w:pPr>
        <w:rPr>
          <w:bCs/>
          <w:snapToGrid w:val="0"/>
          <w:szCs w:val="24"/>
          <w:lang w:val="fr-FR"/>
        </w:rPr>
      </w:pPr>
      <w:r w:rsidRPr="003B4FCF">
        <w:rPr>
          <w:spacing w:val="-2"/>
          <w:lang w:val="fr-FR"/>
        </w:rPr>
        <w:fldChar w:fldCharType="begin"/>
      </w:r>
      <w:r w:rsidRPr="003B4FCF">
        <w:rPr>
          <w:spacing w:val="-2"/>
          <w:lang w:val="fr-FR"/>
        </w:rPr>
        <w:instrText xml:space="preserve"> AUTONUM  </w:instrText>
      </w:r>
      <w:r w:rsidRPr="003B4FCF">
        <w:rPr>
          <w:spacing w:val="-2"/>
          <w:lang w:val="fr-FR"/>
        </w:rPr>
        <w:fldChar w:fldCharType="end"/>
      </w:r>
      <w:r w:rsidRPr="003B4FCF">
        <w:rPr>
          <w:spacing w:val="-2"/>
          <w:lang w:val="fr-FR"/>
        </w:rPr>
        <w:tab/>
      </w:r>
      <w:r w:rsidR="009E41B1" w:rsidRPr="003B4FCF">
        <w:rPr>
          <w:spacing w:val="-2"/>
          <w:lang w:val="fr-FR"/>
        </w:rPr>
        <w:t xml:space="preserve">Les traductions en français, allemand et espagnol du texte anglais original ont été examinées par les membres concernés du Comité de rédaction avant la présentation du projet de </w:t>
      </w:r>
      <w:r w:rsidR="00067374" w:rsidRPr="003B4FCF">
        <w:rPr>
          <w:spacing w:val="-2"/>
          <w:lang w:val="fr-FR"/>
        </w:rPr>
        <w:t>document TG</w:t>
      </w:r>
      <w:r w:rsidR="009E41B1" w:rsidRPr="003B4FCF">
        <w:rPr>
          <w:spacing w:val="-2"/>
          <w:lang w:val="fr-FR"/>
        </w:rPr>
        <w:t>P/15/2 au Conse</w:t>
      </w:r>
      <w:r w:rsidR="001545B0" w:rsidRPr="003B4FCF">
        <w:rPr>
          <w:spacing w:val="-2"/>
          <w:lang w:val="fr-FR"/>
        </w:rPr>
        <w:t>il.  Le</w:t>
      </w:r>
      <w:r w:rsidR="00CE3F0C" w:rsidRPr="003B4FCF">
        <w:rPr>
          <w:spacing w:val="-2"/>
          <w:lang w:val="fr-FR"/>
        </w:rPr>
        <w:t xml:space="preserve"> </w:t>
      </w:r>
      <w:r w:rsidR="00067374" w:rsidRPr="003B4FCF">
        <w:rPr>
          <w:spacing w:val="-2"/>
          <w:lang w:val="fr-FR"/>
        </w:rPr>
        <w:t>document TG</w:t>
      </w:r>
      <w:r w:rsidR="00CE3F0C" w:rsidRPr="003B4FCF">
        <w:rPr>
          <w:spacing w:val="-2"/>
          <w:lang w:val="fr-FR"/>
        </w:rPr>
        <w:t>P/15/2 Draft</w:t>
      </w:r>
      <w:r w:rsidR="00A618B2" w:rsidRPr="003B4FCF">
        <w:rPr>
          <w:spacing w:val="-2"/>
          <w:lang w:val="fr-FR"/>
        </w:rPr>
        <w:t> </w:t>
      </w:r>
      <w:r w:rsidR="00CE3F0C" w:rsidRPr="003B4FCF">
        <w:rPr>
          <w:spacing w:val="-2"/>
          <w:lang w:val="fr-FR"/>
        </w:rPr>
        <w:t>2 contient les mod</w:t>
      </w:r>
      <w:r w:rsidR="004C6B04" w:rsidRPr="003B4FCF">
        <w:rPr>
          <w:spacing w:val="-2"/>
          <w:lang w:val="fr-FR"/>
        </w:rPr>
        <w:t>ifications approuvées par le</w:t>
      </w:r>
      <w:r w:rsidR="005D3B5B" w:rsidRPr="003B4FCF">
        <w:rPr>
          <w:spacing w:val="-2"/>
          <w:lang w:val="fr-FR"/>
        </w:rPr>
        <w:t> TC</w:t>
      </w:r>
      <w:r w:rsidR="004C6B04" w:rsidRPr="003B4FCF">
        <w:rPr>
          <w:spacing w:val="-2"/>
          <w:lang w:val="fr-FR"/>
        </w:rPr>
        <w:t xml:space="preserve"> figurant</w:t>
      </w:r>
      <w:r w:rsidR="00CE3F0C" w:rsidRPr="003B4FCF">
        <w:rPr>
          <w:spacing w:val="-2"/>
          <w:lang w:val="fr-FR"/>
        </w:rPr>
        <w:t xml:space="preserve"> à l</w:t>
      </w:r>
      <w:r w:rsidR="005D3B5B" w:rsidRPr="003B4FCF">
        <w:rPr>
          <w:spacing w:val="-2"/>
          <w:lang w:val="fr-FR"/>
        </w:rPr>
        <w:t>’</w:t>
      </w:r>
      <w:r w:rsidR="00067374" w:rsidRPr="003B4FCF">
        <w:rPr>
          <w:spacing w:val="-2"/>
          <w:lang w:val="fr-FR"/>
        </w:rPr>
        <w:t>annexe V</w:t>
      </w:r>
      <w:r w:rsidR="00CE3F0C" w:rsidRPr="003B4FCF">
        <w:rPr>
          <w:spacing w:val="-2"/>
          <w:lang w:val="fr-FR"/>
        </w:rPr>
        <w:t xml:space="preserve"> du présent document, ainsi que les modifications d</w:t>
      </w:r>
      <w:r w:rsidR="005D3B5B" w:rsidRPr="003B4FCF">
        <w:rPr>
          <w:spacing w:val="-2"/>
          <w:lang w:val="fr-FR"/>
        </w:rPr>
        <w:t>’</w:t>
      </w:r>
      <w:r w:rsidR="00CE3F0C" w:rsidRPr="003B4FCF">
        <w:rPr>
          <w:spacing w:val="-2"/>
          <w:lang w:val="fr-FR"/>
        </w:rPr>
        <w:t>ordre linguistique apportées par les membres concernés du Comité de rédaction.</w:t>
      </w:r>
    </w:p>
    <w:p w:rsidR="00465412" w:rsidRPr="003B4FCF" w:rsidRDefault="00465412" w:rsidP="00A8721B">
      <w:pPr>
        <w:rPr>
          <w:bCs/>
          <w:snapToGrid w:val="0"/>
          <w:szCs w:val="24"/>
          <w:lang w:val="fr-FR"/>
        </w:rPr>
      </w:pPr>
    </w:p>
    <w:p w:rsidR="00465412" w:rsidRPr="003B4FCF" w:rsidRDefault="003A7637" w:rsidP="00CE3F0C">
      <w:pPr>
        <w:rPr>
          <w:lang w:val="fr-FR"/>
        </w:rPr>
      </w:pPr>
      <w:r w:rsidRPr="003B4FCF">
        <w:rPr>
          <w:lang w:val="fr-FR"/>
        </w:rPr>
        <w:fldChar w:fldCharType="begin"/>
      </w:r>
      <w:r w:rsidRPr="003B4FCF">
        <w:rPr>
          <w:lang w:val="fr-FR"/>
        </w:rPr>
        <w:instrText xml:space="preserve"> AUTONUM  </w:instrText>
      </w:r>
      <w:r w:rsidRPr="003B4FCF">
        <w:rPr>
          <w:lang w:val="fr-FR"/>
        </w:rPr>
        <w:fldChar w:fldCharType="end"/>
      </w:r>
      <w:r w:rsidRPr="003B4FCF">
        <w:rPr>
          <w:lang w:val="fr-FR"/>
        </w:rPr>
        <w:tab/>
      </w:r>
      <w:r w:rsidR="00536D59" w:rsidRPr="003B4FCF">
        <w:rPr>
          <w:lang w:val="fr-FR"/>
        </w:rPr>
        <w:t>À</w:t>
      </w:r>
      <w:r w:rsidR="00CE3F0C" w:rsidRPr="003B4FCF">
        <w:rPr>
          <w:lang w:val="fr-FR"/>
        </w:rPr>
        <w:t xml:space="preserve"> sa cinquante</w:t>
      </w:r>
      <w:r w:rsidR="005D3B5B" w:rsidRPr="003B4FCF">
        <w:rPr>
          <w:lang w:val="fr-FR"/>
        </w:rPr>
        <w:t>-</w:t>
      </w:r>
      <w:r w:rsidR="00CE3F0C" w:rsidRPr="003B4FCF">
        <w:rPr>
          <w:lang w:val="fr-FR"/>
        </w:rPr>
        <w:t>cinqu</w:t>
      </w:r>
      <w:r w:rsidR="005D3B5B" w:rsidRPr="003B4FCF">
        <w:rPr>
          <w:lang w:val="fr-FR"/>
        </w:rPr>
        <w:t>ième session</w:t>
      </w:r>
      <w:hyperlink w:anchor="notebasdepage1" w:history="1">
        <w:r w:rsidR="005D7A45" w:rsidRPr="003B4FCF">
          <w:rPr>
            <w:rStyle w:val="Hyperlink"/>
            <w:color w:val="auto"/>
            <w:u w:val="none"/>
            <w:vertAlign w:val="superscript"/>
            <w:lang w:val="fr-FR"/>
          </w:rPr>
          <w:t>1</w:t>
        </w:r>
      </w:hyperlink>
      <w:r w:rsidR="00CE3F0C" w:rsidRPr="003B4FCF">
        <w:rPr>
          <w:lang w:val="fr-FR"/>
        </w:rPr>
        <w:t xml:space="preserve">, </w:t>
      </w:r>
      <w:r w:rsidR="00536D59" w:rsidRPr="003B4FCF">
        <w:rPr>
          <w:lang w:val="fr-FR"/>
        </w:rPr>
        <w:t>le</w:t>
      </w:r>
      <w:r w:rsidR="005D3B5B" w:rsidRPr="003B4FCF">
        <w:rPr>
          <w:lang w:val="fr-FR"/>
        </w:rPr>
        <w:t> TC</w:t>
      </w:r>
      <w:r w:rsidR="00536D59" w:rsidRPr="003B4FCF">
        <w:rPr>
          <w:lang w:val="fr-FR"/>
        </w:rPr>
        <w:t xml:space="preserve"> </w:t>
      </w:r>
      <w:r w:rsidR="00CE3F0C" w:rsidRPr="003B4FCF">
        <w:rPr>
          <w:lang w:val="fr-FR"/>
        </w:rPr>
        <w:t xml:space="preserve">examinera le </w:t>
      </w:r>
      <w:r w:rsidR="00067374" w:rsidRPr="003B4FCF">
        <w:rPr>
          <w:lang w:val="fr-FR"/>
        </w:rPr>
        <w:t>document TG</w:t>
      </w:r>
      <w:r w:rsidR="00CE3F0C" w:rsidRPr="003B4FCF">
        <w:rPr>
          <w:lang w:val="fr-FR"/>
        </w:rPr>
        <w:t>P/15/2 Draft 2.  Il sera rendu compte</w:t>
      </w:r>
      <w:r w:rsidR="00067374" w:rsidRPr="003B4FCF">
        <w:rPr>
          <w:lang w:val="fr-FR"/>
        </w:rPr>
        <w:t xml:space="preserve"> au CAJ</w:t>
      </w:r>
      <w:r w:rsidR="00CE3F0C" w:rsidRPr="003B4FCF">
        <w:rPr>
          <w:lang w:val="fr-FR"/>
        </w:rPr>
        <w:t>, à sa soixante</w:t>
      </w:r>
      <w:r w:rsidR="005D3B5B" w:rsidRPr="003B4FCF">
        <w:rPr>
          <w:lang w:val="fr-FR"/>
        </w:rPr>
        <w:t>-</w:t>
      </w:r>
      <w:r w:rsidR="00CE3F0C" w:rsidRPr="003B4FCF">
        <w:rPr>
          <w:lang w:val="fr-FR"/>
        </w:rPr>
        <w:t>seiz</w:t>
      </w:r>
      <w:r w:rsidR="005D3B5B" w:rsidRPr="003B4FCF">
        <w:rPr>
          <w:lang w:val="fr-FR"/>
        </w:rPr>
        <w:t>ième session</w:t>
      </w:r>
      <w:hyperlink w:anchor="notebasdepage5" w:history="1">
        <w:r w:rsidR="005D7A45" w:rsidRPr="003B4FCF">
          <w:rPr>
            <w:rStyle w:val="Hyperlink"/>
            <w:color w:val="auto"/>
            <w:u w:val="none"/>
            <w:vertAlign w:val="superscript"/>
            <w:lang w:val="fr-FR"/>
          </w:rPr>
          <w:t>5</w:t>
        </w:r>
      </w:hyperlink>
      <w:r w:rsidR="00CE3F0C" w:rsidRPr="003B4FCF">
        <w:rPr>
          <w:lang w:val="fr-FR"/>
        </w:rPr>
        <w:t>, des observations formulées par le</w:t>
      </w:r>
      <w:r w:rsidR="005D3B5B" w:rsidRPr="003B4FCF">
        <w:rPr>
          <w:lang w:val="fr-FR"/>
        </w:rPr>
        <w:t> TC</w:t>
      </w:r>
      <w:r w:rsidRPr="003B4FCF">
        <w:rPr>
          <w:lang w:val="fr-FR"/>
        </w:rPr>
        <w:t>.</w:t>
      </w:r>
    </w:p>
    <w:p w:rsidR="00465412" w:rsidRPr="003B4FCF" w:rsidRDefault="00465412" w:rsidP="003A7637">
      <w:pPr>
        <w:rPr>
          <w:lang w:val="fr-FR"/>
        </w:rPr>
      </w:pPr>
    </w:p>
    <w:p w:rsidR="00067374" w:rsidRPr="003B4FCF" w:rsidRDefault="00AD378E" w:rsidP="00EB6515">
      <w:pPr>
        <w:pStyle w:val="DecisionParagraphs"/>
        <w:keepNext/>
        <w:keepLines/>
        <w:rPr>
          <w:lang w:val="fr-FR"/>
        </w:rPr>
      </w:pPr>
      <w:r w:rsidRPr="003B4FCF">
        <w:rPr>
          <w:lang w:val="fr-FR"/>
        </w:rPr>
        <w:fldChar w:fldCharType="begin"/>
      </w:r>
      <w:r w:rsidRPr="003B4FCF">
        <w:rPr>
          <w:lang w:val="fr-FR"/>
        </w:rPr>
        <w:instrText xml:space="preserve"> AUTONUM  </w:instrText>
      </w:r>
      <w:r w:rsidRPr="003B4FCF">
        <w:rPr>
          <w:lang w:val="fr-FR"/>
        </w:rPr>
        <w:fldChar w:fldCharType="end"/>
      </w:r>
      <w:r w:rsidRPr="003B4FCF">
        <w:rPr>
          <w:lang w:val="fr-FR"/>
        </w:rPr>
        <w:tab/>
      </w:r>
      <w:r w:rsidR="00EB6515" w:rsidRPr="003B4FCF">
        <w:rPr>
          <w:lang w:val="fr-FR"/>
        </w:rPr>
        <w:t>Le CAJ est invité à examiner la version révisée du document TGP/15 “Conseils en ce qui concerne l</w:t>
      </w:r>
      <w:r w:rsidR="005D3B5B" w:rsidRPr="003B4FCF">
        <w:rPr>
          <w:lang w:val="fr-FR"/>
        </w:rPr>
        <w:t>’</w:t>
      </w:r>
      <w:r w:rsidR="00EB6515" w:rsidRPr="003B4FCF">
        <w:rPr>
          <w:lang w:val="fr-FR"/>
        </w:rPr>
        <w:t>utilisation des marqueurs biochimiques et moléculaires dans l</w:t>
      </w:r>
      <w:r w:rsidR="005D3B5B" w:rsidRPr="003B4FCF">
        <w:rPr>
          <w:lang w:val="fr-FR"/>
        </w:rPr>
        <w:t>’</w:t>
      </w:r>
      <w:r w:rsidR="00EB6515" w:rsidRPr="003B4FCF">
        <w:rPr>
          <w:lang w:val="fr-FR"/>
        </w:rPr>
        <w:t>examen de la distinction, de l</w:t>
      </w:r>
      <w:r w:rsidR="005D3B5B" w:rsidRPr="003B4FCF">
        <w:rPr>
          <w:lang w:val="fr-FR"/>
        </w:rPr>
        <w:t>’</w:t>
      </w:r>
      <w:r w:rsidR="00EB6515" w:rsidRPr="003B4FCF">
        <w:rPr>
          <w:lang w:val="fr-FR"/>
        </w:rPr>
        <w:t>homogénéité et de la stabilité (DHS) (</w:t>
      </w:r>
      <w:r w:rsidR="00067374" w:rsidRPr="003B4FCF">
        <w:rPr>
          <w:lang w:val="fr-FR"/>
        </w:rPr>
        <w:t>document</w:t>
      </w:r>
      <w:r w:rsidR="00920667" w:rsidRPr="003B4FCF">
        <w:rPr>
          <w:lang w:val="fr-FR"/>
        </w:rPr>
        <w:t> </w:t>
      </w:r>
      <w:r w:rsidR="00067374" w:rsidRPr="003B4FCF">
        <w:rPr>
          <w:lang w:val="fr-FR"/>
        </w:rPr>
        <w:t>TG</w:t>
      </w:r>
      <w:r w:rsidR="00EB6515" w:rsidRPr="003B4FCF">
        <w:rPr>
          <w:lang w:val="fr-FR"/>
        </w:rPr>
        <w:t xml:space="preserve">P/15/1), sur la base du </w:t>
      </w:r>
      <w:r w:rsidR="00067374" w:rsidRPr="003B4FCF">
        <w:rPr>
          <w:lang w:val="fr-FR"/>
        </w:rPr>
        <w:t>document TG</w:t>
      </w:r>
      <w:r w:rsidR="00920667" w:rsidRPr="003B4FCF">
        <w:rPr>
          <w:lang w:val="fr-FR"/>
        </w:rPr>
        <w:t>P/15/2 </w:t>
      </w:r>
      <w:r w:rsidR="00EB6515" w:rsidRPr="003B4FCF">
        <w:rPr>
          <w:lang w:val="fr-FR"/>
        </w:rPr>
        <w:t>Draft 2, compte tenu des conclusions formulées par le</w:t>
      </w:r>
      <w:r w:rsidR="005D3B5B" w:rsidRPr="003B4FCF">
        <w:rPr>
          <w:lang w:val="fr-FR"/>
        </w:rPr>
        <w:t> TC</w:t>
      </w:r>
      <w:r w:rsidR="00EB6515" w:rsidRPr="003B4FCF">
        <w:rPr>
          <w:lang w:val="fr-FR"/>
        </w:rPr>
        <w:t xml:space="preserve"> à sa cinquante</w:t>
      </w:r>
      <w:r w:rsidR="005D3B5B" w:rsidRPr="003B4FCF">
        <w:rPr>
          <w:lang w:val="fr-FR"/>
        </w:rPr>
        <w:t>-</w:t>
      </w:r>
      <w:r w:rsidR="00EB6515" w:rsidRPr="003B4FCF">
        <w:rPr>
          <w:lang w:val="fr-FR"/>
        </w:rPr>
        <w:t>cinqu</w:t>
      </w:r>
      <w:r w:rsidR="005D3B5B" w:rsidRPr="003B4FCF">
        <w:rPr>
          <w:lang w:val="fr-FR"/>
        </w:rPr>
        <w:t>ième session</w:t>
      </w:r>
      <w:r w:rsidR="00EB6515" w:rsidRPr="003B4FCF">
        <w:rPr>
          <w:lang w:val="fr-FR"/>
        </w:rPr>
        <w:t>.</w:t>
      </w:r>
    </w:p>
    <w:p w:rsidR="00465412" w:rsidRPr="003B4FCF" w:rsidRDefault="00465412" w:rsidP="00273B07">
      <w:pPr>
        <w:tabs>
          <w:tab w:val="left" w:pos="5387"/>
        </w:tabs>
        <w:rPr>
          <w:lang w:val="fr-FR"/>
        </w:rPr>
      </w:pPr>
    </w:p>
    <w:p w:rsidR="00465412" w:rsidRPr="003B4FCF" w:rsidRDefault="00465412" w:rsidP="00273B07">
      <w:pPr>
        <w:tabs>
          <w:tab w:val="left" w:pos="5387"/>
        </w:tabs>
        <w:rPr>
          <w:lang w:val="fr-FR"/>
        </w:rPr>
      </w:pPr>
    </w:p>
    <w:p w:rsidR="008954E5" w:rsidRPr="003B4FCF" w:rsidRDefault="008954E5">
      <w:pPr>
        <w:jc w:val="left"/>
        <w:rPr>
          <w:snapToGrid w:val="0"/>
          <w:spacing w:val="-2"/>
          <w:u w:val="single"/>
          <w:lang w:val="fr-FR"/>
        </w:rPr>
      </w:pPr>
      <w:bookmarkStart w:id="27" w:name="_Toc14792936"/>
      <w:r w:rsidRPr="003B4FCF">
        <w:rPr>
          <w:snapToGrid w:val="0"/>
          <w:lang w:val="fr-FR"/>
        </w:rPr>
        <w:br w:type="page"/>
      </w:r>
    </w:p>
    <w:p w:rsidR="00067374" w:rsidRPr="003B4FCF" w:rsidRDefault="00EB6515" w:rsidP="00920667">
      <w:pPr>
        <w:pStyle w:val="Heading2"/>
        <w:rPr>
          <w:snapToGrid w:val="0"/>
        </w:rPr>
      </w:pPr>
      <w:r w:rsidRPr="003B4FCF">
        <w:rPr>
          <w:snapToGrid w:val="0"/>
        </w:rPr>
        <w:lastRenderedPageBreak/>
        <w:t>Document</w:t>
      </w:r>
      <w:r w:rsidR="00A618B2" w:rsidRPr="003B4FCF">
        <w:rPr>
          <w:snapToGrid w:val="0"/>
        </w:rPr>
        <w:t> </w:t>
      </w:r>
      <w:r w:rsidRPr="003B4FCF">
        <w:rPr>
          <w:snapToGrid w:val="0"/>
        </w:rPr>
        <w:t>TGP/0</w:t>
      </w:r>
      <w:r w:rsidR="005D3B5B" w:rsidRPr="003B4FCF">
        <w:rPr>
          <w:snapToGrid w:val="0"/>
        </w:rPr>
        <w:t> :</w:t>
      </w:r>
      <w:r w:rsidRPr="003B4FCF">
        <w:rPr>
          <w:snapToGrid w:val="0"/>
        </w:rPr>
        <w:t xml:space="preserve"> Liste des documents TGP et date de la version la plus récente de ces documents (révision) (</w:t>
      </w:r>
      <w:r w:rsidR="00067374" w:rsidRPr="003B4FCF">
        <w:rPr>
          <w:snapToGrid w:val="0"/>
        </w:rPr>
        <w:t>document TG</w:t>
      </w:r>
      <w:r w:rsidRPr="003B4FCF">
        <w:rPr>
          <w:snapToGrid w:val="0"/>
        </w:rPr>
        <w:t>P/0/11 Draft</w:t>
      </w:r>
      <w:r w:rsidR="00A618B2" w:rsidRPr="003B4FCF">
        <w:rPr>
          <w:snapToGrid w:val="0"/>
        </w:rPr>
        <w:t> </w:t>
      </w:r>
      <w:r w:rsidRPr="003B4FCF">
        <w:rPr>
          <w:snapToGrid w:val="0"/>
        </w:rPr>
        <w:t>1)</w:t>
      </w:r>
      <w:bookmarkEnd w:id="27"/>
    </w:p>
    <w:p w:rsidR="00465412" w:rsidRPr="003B4FCF" w:rsidRDefault="00465412" w:rsidP="00027ED8">
      <w:pPr>
        <w:keepNext/>
        <w:rPr>
          <w:lang w:val="fr-FR"/>
        </w:rPr>
      </w:pPr>
    </w:p>
    <w:p w:rsidR="00465412" w:rsidRPr="003B4FCF" w:rsidRDefault="00027ED8" w:rsidP="00EB6515">
      <w:pPr>
        <w:keepNext/>
        <w:rPr>
          <w:rFonts w:cs="Arial"/>
          <w:lang w:val="fr-FR"/>
        </w:rPr>
      </w:pPr>
      <w:r w:rsidRPr="003B4FCF">
        <w:rPr>
          <w:lang w:val="fr-FR"/>
        </w:rPr>
        <w:fldChar w:fldCharType="begin"/>
      </w:r>
      <w:r w:rsidRPr="003B4FCF">
        <w:rPr>
          <w:lang w:val="fr-FR"/>
        </w:rPr>
        <w:instrText xml:space="preserve"> AUTONUM  </w:instrText>
      </w:r>
      <w:r w:rsidRPr="003B4FCF">
        <w:rPr>
          <w:lang w:val="fr-FR"/>
        </w:rPr>
        <w:fldChar w:fldCharType="end"/>
      </w:r>
      <w:r w:rsidRPr="003B4FCF">
        <w:rPr>
          <w:lang w:val="fr-FR"/>
        </w:rPr>
        <w:tab/>
      </w:r>
      <w:r w:rsidR="00EB6515" w:rsidRPr="003B4FCF">
        <w:rPr>
          <w:lang w:val="fr-FR"/>
        </w:rPr>
        <w:t>Le CAJ est invité à noter que, parallèlement à l</w:t>
      </w:r>
      <w:r w:rsidR="005D3B5B" w:rsidRPr="003B4FCF">
        <w:rPr>
          <w:lang w:val="fr-FR"/>
        </w:rPr>
        <w:t>’</w:t>
      </w:r>
      <w:r w:rsidR="00EB6515" w:rsidRPr="003B4FCF">
        <w:rPr>
          <w:lang w:val="fr-FR"/>
        </w:rPr>
        <w:t>adoption des documents TGP révisés, le Conseil</w:t>
      </w:r>
      <w:r w:rsidR="004C6B04" w:rsidRPr="003B4FCF">
        <w:rPr>
          <w:lang w:val="fr-FR"/>
        </w:rPr>
        <w:t xml:space="preserve"> sera invité</w:t>
      </w:r>
      <w:r w:rsidR="00EB6515" w:rsidRPr="003B4FCF">
        <w:rPr>
          <w:lang w:val="fr-FR"/>
        </w:rPr>
        <w:t>, à sa cinquante</w:t>
      </w:r>
      <w:r w:rsidR="005D3B5B" w:rsidRPr="003B4FCF">
        <w:rPr>
          <w:lang w:val="fr-FR"/>
        </w:rPr>
        <w:t>-</w:t>
      </w:r>
      <w:r w:rsidR="00EB6515" w:rsidRPr="003B4FCF">
        <w:rPr>
          <w:lang w:val="fr-FR"/>
        </w:rPr>
        <w:t>trois</w:t>
      </w:r>
      <w:r w:rsidR="005D3B5B" w:rsidRPr="003B4FCF">
        <w:rPr>
          <w:lang w:val="fr-FR"/>
        </w:rPr>
        <w:t>ième session</w:t>
      </w:r>
      <w:r w:rsidR="00EB6515" w:rsidRPr="003B4FCF">
        <w:rPr>
          <w:lang w:val="fr-FR"/>
        </w:rPr>
        <w:t xml:space="preserve"> ordinaire, à adopter une version révisée du document TGP/0 “Liste des documents TGP et date de la version la plus récente de c</w:t>
      </w:r>
      <w:r w:rsidR="004C6B04" w:rsidRPr="003B4FCF">
        <w:rPr>
          <w:lang w:val="fr-FR"/>
        </w:rPr>
        <w:t>es documents” (document TGP/0/10</w:t>
      </w:r>
      <w:r w:rsidR="00EB6515" w:rsidRPr="003B4FCF">
        <w:rPr>
          <w:lang w:val="fr-FR"/>
        </w:rPr>
        <w:t>), sur la base du document TGP/0/1</w:t>
      </w:r>
      <w:r w:rsidR="004C6B04" w:rsidRPr="003B4FCF">
        <w:rPr>
          <w:lang w:val="fr-FR"/>
        </w:rPr>
        <w:t>1</w:t>
      </w:r>
      <w:r w:rsidR="00EB6515" w:rsidRPr="003B4FCF">
        <w:rPr>
          <w:lang w:val="fr-FR"/>
        </w:rPr>
        <w:t xml:space="preserve"> Draft 1.</w:t>
      </w:r>
    </w:p>
    <w:p w:rsidR="00465412" w:rsidRPr="003B4FCF" w:rsidRDefault="00465412" w:rsidP="00027ED8">
      <w:pPr>
        <w:rPr>
          <w:lang w:val="fr-FR"/>
        </w:rPr>
      </w:pPr>
    </w:p>
    <w:p w:rsidR="00067374" w:rsidRPr="003B4FCF" w:rsidRDefault="00027ED8" w:rsidP="00EB6515">
      <w:pPr>
        <w:tabs>
          <w:tab w:val="left" w:pos="5387"/>
          <w:tab w:val="left" w:pos="5954"/>
        </w:tabs>
        <w:ind w:left="4820"/>
        <w:rPr>
          <w:lang w:val="fr-FR"/>
        </w:rPr>
      </w:pPr>
      <w:r w:rsidRPr="003B4FCF">
        <w:rPr>
          <w:i/>
          <w:lang w:val="fr-FR"/>
        </w:rPr>
        <w:fldChar w:fldCharType="begin"/>
      </w:r>
      <w:r w:rsidRPr="003B4FCF">
        <w:rPr>
          <w:i/>
          <w:lang w:val="fr-FR"/>
        </w:rPr>
        <w:instrText xml:space="preserve"> AUTONUM  </w:instrText>
      </w:r>
      <w:r w:rsidRPr="003B4FCF">
        <w:rPr>
          <w:i/>
          <w:lang w:val="fr-FR"/>
        </w:rPr>
        <w:fldChar w:fldCharType="end"/>
      </w:r>
      <w:r w:rsidRPr="003B4FCF">
        <w:rPr>
          <w:i/>
          <w:lang w:val="fr-FR"/>
        </w:rPr>
        <w:tab/>
      </w:r>
      <w:r w:rsidR="00EB6515" w:rsidRPr="003B4FCF">
        <w:rPr>
          <w:i/>
          <w:lang w:val="fr-FR"/>
        </w:rPr>
        <w:t>Le CAJ est invité à noter que, parallèlement à l</w:t>
      </w:r>
      <w:r w:rsidR="005D3B5B" w:rsidRPr="003B4FCF">
        <w:rPr>
          <w:i/>
          <w:lang w:val="fr-FR"/>
        </w:rPr>
        <w:t>’</w:t>
      </w:r>
      <w:r w:rsidR="00EB6515" w:rsidRPr="003B4FCF">
        <w:rPr>
          <w:i/>
          <w:lang w:val="fr-FR"/>
        </w:rPr>
        <w:t>adoption des documents TGP révisés, le Conseil</w:t>
      </w:r>
      <w:r w:rsidR="004C6B04" w:rsidRPr="003B4FCF">
        <w:rPr>
          <w:i/>
          <w:lang w:val="fr-FR"/>
        </w:rPr>
        <w:t xml:space="preserve"> sera invité</w:t>
      </w:r>
      <w:r w:rsidR="00EB6515" w:rsidRPr="003B4FCF">
        <w:rPr>
          <w:i/>
          <w:lang w:val="fr-FR"/>
        </w:rPr>
        <w:t>, à sa cinquante</w:t>
      </w:r>
      <w:r w:rsidR="005D3B5B" w:rsidRPr="003B4FCF">
        <w:rPr>
          <w:i/>
          <w:lang w:val="fr-FR"/>
        </w:rPr>
        <w:t>-</w:t>
      </w:r>
      <w:r w:rsidR="00EB6515" w:rsidRPr="003B4FCF">
        <w:rPr>
          <w:i/>
          <w:lang w:val="fr-FR"/>
        </w:rPr>
        <w:t>trois</w:t>
      </w:r>
      <w:r w:rsidR="005D3B5B" w:rsidRPr="003B4FCF">
        <w:rPr>
          <w:i/>
          <w:lang w:val="fr-FR"/>
        </w:rPr>
        <w:t>ième session</w:t>
      </w:r>
      <w:r w:rsidR="00EB6515" w:rsidRPr="003B4FCF">
        <w:rPr>
          <w:i/>
          <w:lang w:val="fr-FR"/>
        </w:rPr>
        <w:t xml:space="preserve"> ordinaire, à adopter une version révisée du document TGP/0 “Liste des documents TGP et date de la version la plus récente de ces documents” (document TGP/0/1</w:t>
      </w:r>
      <w:r w:rsidR="004C6B04" w:rsidRPr="003B4FCF">
        <w:rPr>
          <w:i/>
          <w:lang w:val="fr-FR"/>
        </w:rPr>
        <w:t>0</w:t>
      </w:r>
      <w:r w:rsidR="00EB6515" w:rsidRPr="003B4FCF">
        <w:rPr>
          <w:i/>
          <w:lang w:val="fr-FR"/>
        </w:rPr>
        <w:t>), sur la base du document TGP/0/1</w:t>
      </w:r>
      <w:r w:rsidR="004C6B04" w:rsidRPr="003B4FCF">
        <w:rPr>
          <w:i/>
          <w:lang w:val="fr-FR"/>
        </w:rPr>
        <w:t>1</w:t>
      </w:r>
      <w:r w:rsidR="00EB6515" w:rsidRPr="003B4FCF">
        <w:rPr>
          <w:i/>
          <w:lang w:val="fr-FR"/>
        </w:rPr>
        <w:t xml:space="preserve"> Draft 1.</w:t>
      </w:r>
    </w:p>
    <w:p w:rsidR="00465412" w:rsidRPr="003B4FCF" w:rsidRDefault="00465412" w:rsidP="00273B07">
      <w:pPr>
        <w:tabs>
          <w:tab w:val="left" w:pos="5387"/>
        </w:tabs>
        <w:rPr>
          <w:lang w:val="fr-FR"/>
        </w:rPr>
      </w:pPr>
    </w:p>
    <w:p w:rsidR="00465412" w:rsidRPr="003B4FCF" w:rsidRDefault="00465412" w:rsidP="00273B07">
      <w:pPr>
        <w:rPr>
          <w:lang w:val="fr-FR"/>
        </w:rPr>
      </w:pPr>
      <w:bookmarkStart w:id="28" w:name="_Toc352678076"/>
      <w:bookmarkStart w:id="29" w:name="_Toc353797757"/>
      <w:bookmarkStart w:id="30" w:name="_Toc386185988"/>
      <w:bookmarkStart w:id="31" w:name="_Toc419124879"/>
      <w:bookmarkEnd w:id="15"/>
      <w:bookmarkEnd w:id="16"/>
      <w:bookmarkEnd w:id="17"/>
      <w:bookmarkEnd w:id="18"/>
    </w:p>
    <w:p w:rsidR="00465412" w:rsidRPr="003B4FCF" w:rsidRDefault="00465412" w:rsidP="00273B07">
      <w:pPr>
        <w:rPr>
          <w:lang w:val="fr-FR"/>
        </w:rPr>
      </w:pPr>
    </w:p>
    <w:p w:rsidR="00465412" w:rsidRPr="003B4FCF" w:rsidRDefault="00EB6515" w:rsidP="00EB6515">
      <w:pPr>
        <w:keepNext/>
        <w:outlineLvl w:val="0"/>
        <w:rPr>
          <w:caps/>
          <w:lang w:val="fr-FR"/>
        </w:rPr>
      </w:pPr>
      <w:bookmarkStart w:id="32" w:name="_Toc14792937"/>
      <w:r w:rsidRPr="003B4FCF">
        <w:rPr>
          <w:caps/>
          <w:lang w:val="fr-FR"/>
        </w:rPr>
        <w:t>Programme d</w:t>
      </w:r>
      <w:r w:rsidR="005D3B5B" w:rsidRPr="003B4FCF">
        <w:rPr>
          <w:caps/>
          <w:lang w:val="fr-FR"/>
        </w:rPr>
        <w:t>’</w:t>
      </w:r>
      <w:r w:rsidRPr="003B4FCF">
        <w:rPr>
          <w:caps/>
          <w:lang w:val="fr-FR"/>
        </w:rPr>
        <w:t>élaboration des documents TGP</w:t>
      </w:r>
      <w:bookmarkEnd w:id="32"/>
    </w:p>
    <w:p w:rsidR="00465412" w:rsidRPr="003B4FCF" w:rsidRDefault="00465412" w:rsidP="007B24A5">
      <w:pPr>
        <w:keepNext/>
        <w:rPr>
          <w:rFonts w:cs="Arial"/>
          <w:lang w:val="fr-FR" w:eastAsia="ja-JP"/>
        </w:rPr>
      </w:pPr>
    </w:p>
    <w:p w:rsidR="00465412" w:rsidRPr="003B4FCF" w:rsidRDefault="007B24A5" w:rsidP="00EB6515">
      <w:pPr>
        <w:keepNext/>
        <w:keepLines/>
        <w:rPr>
          <w:lang w:val="fr-FR"/>
        </w:rPr>
      </w:pPr>
      <w:r w:rsidRPr="003B4FCF">
        <w:rPr>
          <w:rFonts w:cs="Arial"/>
          <w:lang w:val="fr-FR"/>
        </w:rPr>
        <w:fldChar w:fldCharType="begin"/>
      </w:r>
      <w:r w:rsidRPr="003B4FCF">
        <w:rPr>
          <w:rFonts w:cs="Arial"/>
          <w:lang w:val="fr-FR"/>
        </w:rPr>
        <w:instrText xml:space="preserve"> AUTONUM  </w:instrText>
      </w:r>
      <w:r w:rsidRPr="003B4FCF">
        <w:rPr>
          <w:rFonts w:cs="Arial"/>
          <w:lang w:val="fr-FR"/>
        </w:rPr>
        <w:fldChar w:fldCharType="end"/>
      </w:r>
      <w:r w:rsidRPr="003B4FCF">
        <w:rPr>
          <w:rFonts w:cs="Arial"/>
          <w:lang w:val="fr-FR"/>
        </w:rPr>
        <w:tab/>
      </w:r>
      <w:bookmarkStart w:id="33" w:name="OLE_LINK10"/>
      <w:r w:rsidR="00EB6515" w:rsidRPr="003B4FCF">
        <w:rPr>
          <w:rFonts w:cs="Arial"/>
          <w:lang w:val="fr-FR"/>
        </w:rPr>
        <w:t>L</w:t>
      </w:r>
      <w:r w:rsidR="005D3B5B" w:rsidRPr="003B4FCF">
        <w:rPr>
          <w:rFonts w:cs="Arial"/>
          <w:lang w:val="fr-FR"/>
        </w:rPr>
        <w:t>’</w:t>
      </w:r>
      <w:r w:rsidR="00EB6515" w:rsidRPr="003B4FCF">
        <w:rPr>
          <w:rFonts w:cs="Arial"/>
          <w:lang w:val="fr-FR"/>
        </w:rPr>
        <w:t>annexe</w:t>
      </w:r>
      <w:r w:rsidR="00A618B2" w:rsidRPr="003B4FCF">
        <w:rPr>
          <w:rFonts w:cs="Arial"/>
          <w:lang w:val="fr-FR"/>
        </w:rPr>
        <w:t> </w:t>
      </w:r>
      <w:r w:rsidR="00EB6515" w:rsidRPr="003B4FCF">
        <w:rPr>
          <w:rFonts w:cs="Arial"/>
          <w:lang w:val="fr-FR"/>
        </w:rPr>
        <w:t xml:space="preserve">VI du présent document </w:t>
      </w:r>
      <w:r w:rsidR="00132392" w:rsidRPr="003B4FCF">
        <w:rPr>
          <w:rFonts w:cs="Arial"/>
          <w:lang w:val="fr-FR"/>
        </w:rPr>
        <w:t>contient</w:t>
      </w:r>
      <w:r w:rsidR="00EB6515" w:rsidRPr="003B4FCF">
        <w:rPr>
          <w:rFonts w:cs="Arial"/>
          <w:lang w:val="fr-FR"/>
        </w:rPr>
        <w:t xml:space="preserve"> le programme d</w:t>
      </w:r>
      <w:r w:rsidR="005D3B5B" w:rsidRPr="003B4FCF">
        <w:rPr>
          <w:rFonts w:cs="Arial"/>
          <w:lang w:val="fr-FR"/>
        </w:rPr>
        <w:t>’</w:t>
      </w:r>
      <w:r w:rsidR="00EB6515" w:rsidRPr="003B4FCF">
        <w:rPr>
          <w:rFonts w:cs="Arial"/>
          <w:lang w:val="fr-FR"/>
        </w:rPr>
        <w:t>élaboration des documents TGP tel que convenu par le</w:t>
      </w:r>
      <w:r w:rsidR="005D3B5B" w:rsidRPr="003B4FCF">
        <w:rPr>
          <w:rFonts w:cs="Arial"/>
          <w:lang w:val="fr-FR"/>
        </w:rPr>
        <w:t> TC</w:t>
      </w:r>
      <w:r w:rsidR="00EB6515" w:rsidRPr="003B4FCF">
        <w:rPr>
          <w:rFonts w:cs="Arial"/>
          <w:lang w:val="fr-FR"/>
        </w:rPr>
        <w:t>, à sa cinquante</w:t>
      </w:r>
      <w:r w:rsidR="005D3B5B" w:rsidRPr="003B4FCF">
        <w:rPr>
          <w:rFonts w:cs="Arial"/>
          <w:lang w:val="fr-FR"/>
        </w:rPr>
        <w:t>-</w:t>
      </w:r>
      <w:r w:rsidR="00EB6515" w:rsidRPr="003B4FCF">
        <w:rPr>
          <w:rFonts w:cs="Arial"/>
          <w:lang w:val="fr-FR"/>
        </w:rPr>
        <w:t>quatr</w:t>
      </w:r>
      <w:r w:rsidR="005D3B5B" w:rsidRPr="003B4FCF">
        <w:rPr>
          <w:rFonts w:cs="Arial"/>
          <w:lang w:val="fr-FR"/>
        </w:rPr>
        <w:t>ième session</w:t>
      </w:r>
      <w:hyperlink w:anchor="notebasdepage2" w:history="1">
        <w:r w:rsidR="00126ED9" w:rsidRPr="003B4FCF">
          <w:rPr>
            <w:rStyle w:val="Hyperlink"/>
            <w:rFonts w:cs="Arial"/>
            <w:color w:val="auto"/>
            <w:u w:val="none"/>
            <w:vertAlign w:val="superscript"/>
            <w:lang w:val="fr-FR"/>
          </w:rPr>
          <w:t>2</w:t>
        </w:r>
      </w:hyperlink>
      <w:r w:rsidR="00EB6515" w:rsidRPr="003B4FCF">
        <w:rPr>
          <w:rFonts w:cs="Arial"/>
          <w:lang w:val="fr-FR"/>
        </w:rPr>
        <w:t>, et</w:t>
      </w:r>
      <w:r w:rsidR="00067374" w:rsidRPr="003B4FCF">
        <w:rPr>
          <w:rFonts w:cs="Arial"/>
          <w:lang w:val="fr-FR"/>
        </w:rPr>
        <w:t xml:space="preserve"> le CAJ</w:t>
      </w:r>
      <w:r w:rsidR="00EB6515" w:rsidRPr="003B4FCF">
        <w:rPr>
          <w:rFonts w:cs="Arial"/>
          <w:lang w:val="fr-FR"/>
        </w:rPr>
        <w:t>, à sa soixante</w:t>
      </w:r>
      <w:r w:rsidR="005D3B5B" w:rsidRPr="003B4FCF">
        <w:rPr>
          <w:rFonts w:cs="Arial"/>
          <w:lang w:val="fr-FR"/>
        </w:rPr>
        <w:t>-</w:t>
      </w:r>
      <w:r w:rsidR="00EB6515" w:rsidRPr="003B4FCF">
        <w:rPr>
          <w:rFonts w:cs="Arial"/>
          <w:lang w:val="fr-FR"/>
        </w:rPr>
        <w:t>quinz</w:t>
      </w:r>
      <w:r w:rsidR="005D3B5B" w:rsidRPr="003B4FCF">
        <w:rPr>
          <w:rFonts w:cs="Arial"/>
          <w:lang w:val="fr-FR"/>
        </w:rPr>
        <w:t>ième session</w:t>
      </w:r>
      <w:hyperlink w:anchor="notebasdepage3" w:history="1">
        <w:r w:rsidR="00126ED9" w:rsidRPr="003B4FCF">
          <w:rPr>
            <w:rStyle w:val="Hyperlink"/>
            <w:color w:val="auto"/>
            <w:u w:val="none"/>
            <w:vertAlign w:val="superscript"/>
            <w:lang w:val="fr-FR"/>
          </w:rPr>
          <w:t>3</w:t>
        </w:r>
      </w:hyperlink>
      <w:r w:rsidR="00CB2F7B" w:rsidRPr="003B4FCF">
        <w:rPr>
          <w:vertAlign w:val="superscript"/>
          <w:lang w:val="fr-FR"/>
        </w:rPr>
        <w:t>,</w:t>
      </w:r>
      <w:r w:rsidR="00115EC9" w:rsidRPr="003B4FCF">
        <w:rPr>
          <w:rStyle w:val="FootnoteReference"/>
          <w:lang w:val="fr-FR"/>
        </w:rPr>
        <w:footnoteReference w:id="16"/>
      </w:r>
      <w:r w:rsidR="00C95164" w:rsidRPr="003B4FCF">
        <w:rPr>
          <w:lang w:val="fr-FR"/>
        </w:rPr>
        <w:t>.</w:t>
      </w:r>
    </w:p>
    <w:p w:rsidR="00465412" w:rsidRPr="003B4FCF" w:rsidRDefault="00465412" w:rsidP="007B24A5">
      <w:pPr>
        <w:keepNext/>
        <w:keepLines/>
        <w:rPr>
          <w:lang w:val="fr-FR"/>
        </w:rPr>
      </w:pPr>
    </w:p>
    <w:bookmarkEnd w:id="33"/>
    <w:p w:rsidR="00465412" w:rsidRPr="003B4FCF" w:rsidRDefault="00C95164" w:rsidP="001704A4">
      <w:pPr>
        <w:keepNext/>
        <w:keepLines/>
        <w:rPr>
          <w:rFonts w:cs="Arial"/>
          <w:lang w:val="fr-FR" w:eastAsia="ja-JP"/>
        </w:rPr>
      </w:pPr>
      <w:r w:rsidRPr="003B4FCF">
        <w:rPr>
          <w:rFonts w:cs="Arial"/>
          <w:lang w:val="fr-FR"/>
        </w:rPr>
        <w:fldChar w:fldCharType="begin"/>
      </w:r>
      <w:r w:rsidRPr="003B4FCF">
        <w:rPr>
          <w:rFonts w:cs="Arial"/>
          <w:lang w:val="fr-FR"/>
        </w:rPr>
        <w:instrText xml:space="preserve"> AUTONUM  </w:instrText>
      </w:r>
      <w:r w:rsidRPr="003B4FCF">
        <w:rPr>
          <w:rFonts w:cs="Arial"/>
          <w:lang w:val="fr-FR"/>
        </w:rPr>
        <w:fldChar w:fldCharType="end"/>
      </w:r>
      <w:r w:rsidRPr="003B4FCF">
        <w:rPr>
          <w:rFonts w:cs="Arial"/>
          <w:lang w:val="fr-FR"/>
        </w:rPr>
        <w:tab/>
      </w:r>
      <w:r w:rsidR="00EB6515" w:rsidRPr="003B4FCF">
        <w:rPr>
          <w:rFonts w:cs="Arial"/>
          <w:lang w:val="fr-FR"/>
        </w:rPr>
        <w:t xml:space="preserve">Il sera rendu compte des </w:t>
      </w:r>
      <w:r w:rsidR="007B24A5" w:rsidRPr="003B4FCF">
        <w:rPr>
          <w:rFonts w:cs="Arial"/>
          <w:lang w:val="fr-FR"/>
        </w:rPr>
        <w:t xml:space="preserve">conclusions </w:t>
      </w:r>
      <w:r w:rsidR="00481BC8" w:rsidRPr="003B4FCF">
        <w:rPr>
          <w:rFonts w:cs="Arial"/>
          <w:lang w:val="fr-FR"/>
        </w:rPr>
        <w:t>formulées</w:t>
      </w:r>
      <w:r w:rsidR="00EB6515" w:rsidRPr="003B4FCF">
        <w:rPr>
          <w:rFonts w:cs="Arial"/>
          <w:lang w:val="fr-FR"/>
        </w:rPr>
        <w:t xml:space="preserve"> par le</w:t>
      </w:r>
      <w:r w:rsidR="005D3B5B" w:rsidRPr="003B4FCF">
        <w:rPr>
          <w:rFonts w:cs="Arial"/>
          <w:lang w:val="fr-FR"/>
        </w:rPr>
        <w:t> TC</w:t>
      </w:r>
      <w:r w:rsidR="00EB6515" w:rsidRPr="003B4FCF">
        <w:rPr>
          <w:rFonts w:cs="Arial"/>
          <w:lang w:val="fr-FR"/>
        </w:rPr>
        <w:t xml:space="preserve"> à sa cinquante</w:t>
      </w:r>
      <w:r w:rsidR="005D3B5B" w:rsidRPr="003B4FCF">
        <w:rPr>
          <w:rFonts w:cs="Arial"/>
          <w:lang w:val="fr-FR"/>
        </w:rPr>
        <w:t>-</w:t>
      </w:r>
      <w:r w:rsidR="00EB6515" w:rsidRPr="003B4FCF">
        <w:rPr>
          <w:rFonts w:cs="Arial"/>
          <w:lang w:val="fr-FR"/>
        </w:rPr>
        <w:t>cinqu</w:t>
      </w:r>
      <w:r w:rsidR="005D3B5B" w:rsidRPr="003B4FCF">
        <w:rPr>
          <w:rFonts w:cs="Arial"/>
          <w:lang w:val="fr-FR"/>
        </w:rPr>
        <w:t>ième session</w:t>
      </w:r>
      <w:hyperlink w:anchor="notebasdepage1" w:history="1">
        <w:r w:rsidR="00126ED9" w:rsidRPr="003B4FCF">
          <w:rPr>
            <w:rStyle w:val="Hyperlink"/>
            <w:color w:val="auto"/>
            <w:u w:val="none"/>
            <w:vertAlign w:val="superscript"/>
            <w:lang w:val="fr-FR"/>
          </w:rPr>
          <w:t>1</w:t>
        </w:r>
      </w:hyperlink>
      <w:r w:rsidR="007B24A5" w:rsidRPr="003B4FCF">
        <w:rPr>
          <w:lang w:val="fr-FR"/>
        </w:rPr>
        <w:t xml:space="preserve"> </w:t>
      </w:r>
      <w:r w:rsidR="00EB6515" w:rsidRPr="003B4FCF">
        <w:rPr>
          <w:lang w:val="fr-FR"/>
        </w:rPr>
        <w:t xml:space="preserve">dans le </w:t>
      </w:r>
      <w:r w:rsidR="007B24A5" w:rsidRPr="003B4FCF">
        <w:rPr>
          <w:lang w:val="fr-FR"/>
        </w:rPr>
        <w:t>document CAJ/7</w:t>
      </w:r>
      <w:r w:rsidR="00543F98" w:rsidRPr="003B4FCF">
        <w:rPr>
          <w:lang w:val="fr-FR"/>
        </w:rPr>
        <w:t>6</w:t>
      </w:r>
      <w:r w:rsidR="007B24A5" w:rsidRPr="003B4FCF">
        <w:rPr>
          <w:lang w:val="fr-FR"/>
        </w:rPr>
        <w:t>/</w:t>
      </w:r>
      <w:r w:rsidR="00543F98" w:rsidRPr="003B4FCF">
        <w:rPr>
          <w:lang w:val="fr-FR"/>
        </w:rPr>
        <w:t>8</w:t>
      </w:r>
      <w:r w:rsidR="007B24A5" w:rsidRPr="003B4FCF">
        <w:rPr>
          <w:lang w:val="fr-FR"/>
        </w:rPr>
        <w:t xml:space="preserve"> “</w:t>
      </w:r>
      <w:r w:rsidR="001704A4" w:rsidRPr="003B4FCF">
        <w:rPr>
          <w:lang w:val="fr-FR"/>
        </w:rPr>
        <w:t>Rapport sur les faits nouveaux intervenus au sein du Comité technique</w:t>
      </w:r>
      <w:r w:rsidR="001C3657" w:rsidRPr="003B4FCF">
        <w:rPr>
          <w:lang w:val="fr-FR"/>
        </w:rPr>
        <w:t>”</w:t>
      </w:r>
      <w:r w:rsidR="001704A4" w:rsidRPr="003B4FCF">
        <w:rPr>
          <w:lang w:val="fr-FR"/>
        </w:rPr>
        <w:t>.</w:t>
      </w:r>
    </w:p>
    <w:p w:rsidR="00465412" w:rsidRPr="003B4FCF" w:rsidRDefault="00465412" w:rsidP="007B24A5">
      <w:pPr>
        <w:rPr>
          <w:lang w:val="fr-FR"/>
        </w:rPr>
      </w:pPr>
    </w:p>
    <w:p w:rsidR="00465412" w:rsidRPr="003B4FCF" w:rsidRDefault="007B24A5" w:rsidP="001704A4">
      <w:pPr>
        <w:tabs>
          <w:tab w:val="left" w:pos="5387"/>
        </w:tabs>
        <w:ind w:left="4820"/>
        <w:rPr>
          <w:i/>
          <w:lang w:val="fr-FR"/>
        </w:rPr>
      </w:pPr>
      <w:r w:rsidRPr="003B4FCF">
        <w:rPr>
          <w:i/>
          <w:lang w:val="fr-FR"/>
        </w:rPr>
        <w:fldChar w:fldCharType="begin"/>
      </w:r>
      <w:r w:rsidRPr="003B4FCF">
        <w:rPr>
          <w:i/>
          <w:lang w:val="fr-FR"/>
        </w:rPr>
        <w:instrText xml:space="preserve"> AUTONUM  </w:instrText>
      </w:r>
      <w:r w:rsidRPr="003B4FCF">
        <w:rPr>
          <w:i/>
          <w:lang w:val="fr-FR"/>
        </w:rPr>
        <w:fldChar w:fldCharType="end"/>
      </w:r>
      <w:r w:rsidRPr="003B4FCF">
        <w:rPr>
          <w:i/>
          <w:lang w:val="fr-FR"/>
        </w:rPr>
        <w:tab/>
      </w:r>
      <w:r w:rsidR="001704A4" w:rsidRPr="003B4FCF">
        <w:rPr>
          <w:i/>
          <w:lang w:val="fr-FR"/>
        </w:rPr>
        <w:t>Le CAJ est invité à examiner le programme d</w:t>
      </w:r>
      <w:r w:rsidR="005D3B5B" w:rsidRPr="003B4FCF">
        <w:rPr>
          <w:i/>
          <w:lang w:val="fr-FR"/>
        </w:rPr>
        <w:t>’</w:t>
      </w:r>
      <w:r w:rsidR="001704A4" w:rsidRPr="003B4FCF">
        <w:rPr>
          <w:i/>
          <w:lang w:val="fr-FR"/>
        </w:rPr>
        <w:t>élaboration des documents TGP, tel qu</w:t>
      </w:r>
      <w:r w:rsidR="005D3B5B" w:rsidRPr="003B4FCF">
        <w:rPr>
          <w:i/>
          <w:lang w:val="fr-FR"/>
        </w:rPr>
        <w:t>’</w:t>
      </w:r>
      <w:r w:rsidR="001704A4" w:rsidRPr="003B4FCF">
        <w:rPr>
          <w:i/>
          <w:lang w:val="fr-FR"/>
        </w:rPr>
        <w:t>il figure dans les paragraphes</w:t>
      </w:r>
      <w:r w:rsidR="00A618B2" w:rsidRPr="003B4FCF">
        <w:rPr>
          <w:i/>
          <w:lang w:val="fr-FR"/>
        </w:rPr>
        <w:t> </w:t>
      </w:r>
      <w:r w:rsidR="001704A4" w:rsidRPr="003B4FCF">
        <w:rPr>
          <w:i/>
          <w:lang w:val="fr-FR"/>
        </w:rPr>
        <w:t xml:space="preserve">38 et 39 du présent document, compte tenu des conclusions </w:t>
      </w:r>
      <w:r w:rsidR="00481BC8" w:rsidRPr="003B4FCF">
        <w:rPr>
          <w:i/>
          <w:lang w:val="fr-FR"/>
        </w:rPr>
        <w:t>formulées</w:t>
      </w:r>
      <w:r w:rsidR="001704A4" w:rsidRPr="003B4FCF">
        <w:rPr>
          <w:i/>
          <w:lang w:val="fr-FR"/>
        </w:rPr>
        <w:t xml:space="preserve"> par le</w:t>
      </w:r>
      <w:r w:rsidR="008954E5" w:rsidRPr="003B4FCF">
        <w:rPr>
          <w:i/>
          <w:lang w:val="fr-FR"/>
        </w:rPr>
        <w:t xml:space="preserve"> </w:t>
      </w:r>
      <w:r w:rsidR="005D3B5B" w:rsidRPr="003B4FCF">
        <w:rPr>
          <w:i/>
          <w:lang w:val="fr-FR"/>
        </w:rPr>
        <w:t>TC</w:t>
      </w:r>
      <w:r w:rsidR="001704A4" w:rsidRPr="003B4FCF">
        <w:rPr>
          <w:i/>
          <w:lang w:val="fr-FR"/>
        </w:rPr>
        <w:t xml:space="preserve"> à sa cinquante</w:t>
      </w:r>
      <w:r w:rsidR="005D3B5B" w:rsidRPr="003B4FCF">
        <w:rPr>
          <w:i/>
          <w:lang w:val="fr-FR"/>
        </w:rPr>
        <w:t>-</w:t>
      </w:r>
      <w:r w:rsidR="001704A4" w:rsidRPr="003B4FCF">
        <w:rPr>
          <w:i/>
          <w:lang w:val="fr-FR"/>
        </w:rPr>
        <w:t>cinqu</w:t>
      </w:r>
      <w:r w:rsidR="005D3B5B" w:rsidRPr="003B4FCF">
        <w:rPr>
          <w:i/>
          <w:lang w:val="fr-FR"/>
        </w:rPr>
        <w:t>ième session</w:t>
      </w:r>
      <w:r w:rsidR="001704A4" w:rsidRPr="003B4FCF">
        <w:rPr>
          <w:i/>
          <w:lang w:val="fr-FR"/>
        </w:rPr>
        <w:t>.</w:t>
      </w:r>
    </w:p>
    <w:p w:rsidR="00465412" w:rsidRPr="003B4FCF" w:rsidRDefault="00465412" w:rsidP="00995691">
      <w:pPr>
        <w:rPr>
          <w:lang w:val="fr-FR"/>
        </w:rPr>
      </w:pPr>
    </w:p>
    <w:p w:rsidR="00465412" w:rsidRPr="003B4FCF" w:rsidRDefault="00465412" w:rsidP="00273B07">
      <w:pPr>
        <w:rPr>
          <w:rFonts w:cs="Arial"/>
          <w:bCs/>
          <w:snapToGrid w:val="0"/>
          <w:lang w:val="fr-FR"/>
        </w:rPr>
      </w:pPr>
    </w:p>
    <w:p w:rsidR="00465412" w:rsidRPr="003B4FCF" w:rsidRDefault="00465412" w:rsidP="00273B07">
      <w:pPr>
        <w:rPr>
          <w:rFonts w:cs="Arial"/>
          <w:bCs/>
          <w:snapToGrid w:val="0"/>
          <w:lang w:val="fr-FR"/>
        </w:rPr>
      </w:pPr>
    </w:p>
    <w:bookmarkEnd w:id="28"/>
    <w:bookmarkEnd w:id="29"/>
    <w:bookmarkEnd w:id="30"/>
    <w:bookmarkEnd w:id="31"/>
    <w:p w:rsidR="00465412" w:rsidRPr="003B4FCF" w:rsidRDefault="001704A4" w:rsidP="001704A4">
      <w:pPr>
        <w:jc w:val="right"/>
        <w:rPr>
          <w:snapToGrid w:val="0"/>
          <w:lang w:val="fr-FR"/>
        </w:rPr>
      </w:pPr>
      <w:r w:rsidRPr="003B4FCF">
        <w:rPr>
          <w:snapToGrid w:val="0"/>
          <w:lang w:val="fr-FR"/>
        </w:rPr>
        <w:t>[Les annexes suivent]</w:t>
      </w:r>
    </w:p>
    <w:p w:rsidR="00273B07" w:rsidRPr="003B4FCF" w:rsidRDefault="00273B07" w:rsidP="00273B07">
      <w:pPr>
        <w:jc w:val="right"/>
        <w:rPr>
          <w:snapToGrid w:val="0"/>
          <w:lang w:val="fr-FR"/>
        </w:rPr>
        <w:sectPr w:rsidR="00273B07" w:rsidRPr="003B4FCF" w:rsidSect="00920667">
          <w:headerReference w:type="default" r:id="rId13"/>
          <w:footnotePr>
            <w:numRestart w:val="eachSect"/>
          </w:footnotePr>
          <w:pgSz w:w="11907" w:h="16840" w:code="9"/>
          <w:pgMar w:top="567" w:right="1134" w:bottom="709" w:left="1134" w:header="510" w:footer="680" w:gutter="0"/>
          <w:pgNumType w:start="1"/>
          <w:cols w:space="720"/>
          <w:titlePg/>
        </w:sectPr>
      </w:pPr>
    </w:p>
    <w:p w:rsidR="00067374" w:rsidRPr="003B4FCF" w:rsidRDefault="00130457" w:rsidP="00A66FC4">
      <w:pPr>
        <w:jc w:val="center"/>
        <w:rPr>
          <w:lang w:val="fr-FR"/>
        </w:rPr>
      </w:pPr>
      <w:r w:rsidRPr="003B4FCF">
        <w:rPr>
          <w:lang w:val="fr-FR"/>
        </w:rPr>
        <w:lastRenderedPageBreak/>
        <w:t>RÉVISIONS DU DOCUMENT</w:t>
      </w:r>
      <w:r w:rsidR="00A618B2" w:rsidRPr="003B4FCF">
        <w:rPr>
          <w:lang w:val="fr-FR"/>
        </w:rPr>
        <w:t> </w:t>
      </w:r>
      <w:r w:rsidRPr="003B4FCF">
        <w:rPr>
          <w:lang w:val="fr-FR"/>
        </w:rPr>
        <w:t>TGP/7 “ÉLABORATION DES PRINCIPES DIRECTEURS D</w:t>
      </w:r>
      <w:r w:rsidR="005D3B5B" w:rsidRPr="003B4FCF">
        <w:rPr>
          <w:lang w:val="fr-FR"/>
        </w:rPr>
        <w:t>’</w:t>
      </w:r>
      <w:r w:rsidRPr="003B4FCF">
        <w:rPr>
          <w:lang w:val="fr-FR"/>
        </w:rPr>
        <w:t>EXAMEN”</w:t>
      </w:r>
    </w:p>
    <w:p w:rsidR="00465412" w:rsidRPr="003B4FCF" w:rsidRDefault="00130457" w:rsidP="00A66FC4">
      <w:pPr>
        <w:jc w:val="center"/>
        <w:rPr>
          <w:lang w:val="fr-FR"/>
        </w:rPr>
      </w:pPr>
      <w:r w:rsidRPr="003B4FCF">
        <w:rPr>
          <w:lang w:val="fr-FR"/>
        </w:rPr>
        <w:t>APPROUVÉES PAR LE COMITÉ TECHNIQUE À SA CINQUANTE</w:t>
      </w:r>
      <w:r w:rsidR="005D3B5B" w:rsidRPr="003B4FCF">
        <w:rPr>
          <w:lang w:val="fr-FR"/>
        </w:rPr>
        <w:t>-</w:t>
      </w:r>
      <w:r w:rsidRPr="003B4FCF">
        <w:rPr>
          <w:lang w:val="fr-FR"/>
        </w:rPr>
        <w:t>QUATRIÈME SESSION</w:t>
      </w:r>
      <w:r w:rsidR="00A66FC4" w:rsidRPr="003B4FCF">
        <w:rPr>
          <w:rStyle w:val="FootnoteReference"/>
          <w:lang w:val="fr-FR"/>
        </w:rPr>
        <w:footnoteReference w:id="17"/>
      </w:r>
    </w:p>
    <w:p w:rsidR="00BD693E" w:rsidRPr="003B4FCF" w:rsidRDefault="00BD693E" w:rsidP="00BD693E">
      <w:pPr>
        <w:jc w:val="center"/>
        <w:rPr>
          <w:lang w:val="fr-FR"/>
        </w:rPr>
      </w:pPr>
    </w:p>
    <w:p w:rsidR="007709DA" w:rsidRPr="003B4FCF" w:rsidRDefault="007709DA" w:rsidP="007709DA">
      <w:pPr>
        <w:jc w:val="center"/>
        <w:rPr>
          <w:lang w:val="fr-FR"/>
        </w:rPr>
      </w:pPr>
    </w:p>
    <w:p w:rsidR="007709DA" w:rsidRPr="003B4FCF" w:rsidRDefault="007709DA" w:rsidP="007709DA">
      <w:pPr>
        <w:rPr>
          <w:lang w:val="fr-FR"/>
        </w:rPr>
      </w:pPr>
      <w:r w:rsidRPr="003B4FCF">
        <w:rPr>
          <w:lang w:val="fr-FR"/>
        </w:rPr>
        <mc:AlternateContent>
          <mc:Choice Requires="wps">
            <w:drawing>
              <wp:anchor distT="0" distB="0" distL="114300" distR="114300" simplePos="0" relativeHeight="251663360" behindDoc="0" locked="0" layoutInCell="1" allowOverlap="1" wp14:anchorId="1F439666" wp14:editId="7EED88C3">
                <wp:simplePos x="0" y="0"/>
                <wp:positionH relativeFrom="column">
                  <wp:align>center</wp:align>
                </wp:positionH>
                <wp:positionV relativeFrom="paragraph">
                  <wp:posOffset>0</wp:posOffset>
                </wp:positionV>
                <wp:extent cx="4119842" cy="402609"/>
                <wp:effectExtent l="0" t="0" r="14605"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842" cy="402609"/>
                        </a:xfrm>
                        <a:prstGeom prst="rect">
                          <a:avLst/>
                        </a:prstGeom>
                        <a:solidFill>
                          <a:srgbClr val="FFFFFF"/>
                        </a:solidFill>
                        <a:ln w="9525">
                          <a:solidFill>
                            <a:srgbClr val="000000"/>
                          </a:solidFill>
                          <a:miter lim="800000"/>
                          <a:headEnd/>
                          <a:tailEnd/>
                        </a:ln>
                      </wps:spPr>
                      <wps:txbx>
                        <w:txbxContent>
                          <w:p w:rsidR="007709DA" w:rsidRPr="008E5756" w:rsidRDefault="007709DA" w:rsidP="007709DA">
                            <w:pPr>
                              <w:jc w:val="center"/>
                              <w:rPr>
                                <w:lang w:val="fr-CH"/>
                              </w:rPr>
                            </w:pPr>
                            <w:r w:rsidRPr="008E5756">
                              <w:rPr>
                                <w:strike/>
                                <w:highlight w:val="lightGray"/>
                                <w:lang w:val="fr-CH"/>
                              </w:rPr>
                              <w:t>Le texte biffé</w:t>
                            </w:r>
                            <w:r w:rsidRPr="008E5756">
                              <w:rPr>
                                <w:highlight w:val="lightGray"/>
                                <w:lang w:val="fr-CH"/>
                              </w:rPr>
                              <w:t xml:space="preserve"> en surbrillance </w:t>
                            </w:r>
                            <w:r w:rsidRPr="008E5756">
                              <w:rPr>
                                <w:lang w:val="fr-CH"/>
                              </w:rPr>
                              <w:t xml:space="preserve">a été supprimé et </w:t>
                            </w:r>
                            <w:r w:rsidRPr="008E5756">
                              <w:rPr>
                                <w:highlight w:val="lightGray"/>
                                <w:u w:val="single"/>
                                <w:lang w:val="fr-CH"/>
                              </w:rPr>
                              <w:t>le texte souligné</w:t>
                            </w:r>
                            <w:r w:rsidRPr="008E5756">
                              <w:rPr>
                                <w:highlight w:val="lightGray"/>
                                <w:lang w:val="fr-CH"/>
                              </w:rPr>
                              <w:t xml:space="preserve"> en surbrillance </w:t>
                            </w:r>
                            <w:r w:rsidRPr="008E5756">
                              <w:rPr>
                                <w:lang w:val="fr-CH"/>
                              </w:rPr>
                              <w:t>a été ajouté.</w:t>
                            </w:r>
                          </w:p>
                          <w:p w:rsidR="007709DA" w:rsidRPr="008E5756" w:rsidRDefault="007709DA" w:rsidP="007709DA">
                            <w:pPr>
                              <w:rPr>
                                <w:lang w:val="fr-C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439666" id="_x0000_t202" coordsize="21600,21600" o:spt="202" path="m,l,21600r21600,l21600,xe">
                <v:stroke joinstyle="miter"/>
                <v:path gradientshapeok="t" o:connecttype="rect"/>
              </v:shapetype>
              <v:shape id="Text Box 2" o:spid="_x0000_s1026" type="#_x0000_t202" style="position:absolute;left:0;text-align:left;margin-left:0;margin-top:0;width:324.4pt;height:31.7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">
                <v:textbox>
                  <w:txbxContent>
                    <w:p w:rsidR="007709DA" w:rsidRPr="008E5756" w:rsidRDefault="007709DA" w:rsidP="007709DA">
                      <w:pPr>
                        <w:jc w:val="center"/>
                        <w:rPr>
                          <w:lang w:val="fr-CH"/>
                        </w:rPr>
                      </w:pPr>
                      <w:r w:rsidRPr="008E5756">
                        <w:rPr>
                          <w:strike/>
                          <w:highlight w:val="lightGray"/>
                          <w:lang w:val="fr-CH"/>
                        </w:rPr>
                        <w:t>Le texte biffé</w:t>
                      </w:r>
                      <w:r w:rsidRPr="008E5756">
                        <w:rPr>
                          <w:highlight w:val="lightGray"/>
                          <w:lang w:val="fr-CH"/>
                        </w:rPr>
                        <w:t xml:space="preserve"> en surbrillance </w:t>
                      </w:r>
                      <w:r w:rsidRPr="008E5756">
                        <w:rPr>
                          <w:lang w:val="fr-CH"/>
                        </w:rPr>
                        <w:t xml:space="preserve">a été supprimé et </w:t>
                      </w:r>
                      <w:r w:rsidRPr="008E5756">
                        <w:rPr>
                          <w:highlight w:val="lightGray"/>
                          <w:u w:val="single"/>
                          <w:lang w:val="fr-CH"/>
                        </w:rPr>
                        <w:t>le texte souligné</w:t>
                      </w:r>
                      <w:r w:rsidRPr="008E5756">
                        <w:rPr>
                          <w:highlight w:val="lightGray"/>
                          <w:lang w:val="fr-CH"/>
                        </w:rPr>
                        <w:t xml:space="preserve"> en surbrillance </w:t>
                      </w:r>
                      <w:r w:rsidRPr="008E5756">
                        <w:rPr>
                          <w:lang w:val="fr-CH"/>
                        </w:rPr>
                        <w:t>a été ajouté.</w:t>
                      </w:r>
                    </w:p>
                    <w:p w:rsidR="007709DA" w:rsidRPr="008E5756" w:rsidRDefault="007709DA" w:rsidP="007709DA">
                      <w:pPr>
                        <w:rPr>
                          <w:lang w:val="fr-CH"/>
                        </w:rPr>
                      </w:pPr>
                    </w:p>
                  </w:txbxContent>
                </v:textbox>
              </v:shape>
            </w:pict>
          </mc:Fallback>
        </mc:AlternateContent>
      </w:r>
    </w:p>
    <w:p w:rsidR="007709DA" w:rsidRPr="003B4FCF" w:rsidRDefault="007709DA" w:rsidP="007709DA">
      <w:pPr>
        <w:rPr>
          <w:lang w:val="fr-FR"/>
        </w:rPr>
      </w:pPr>
    </w:p>
    <w:p w:rsidR="007709DA" w:rsidRPr="003B4FCF" w:rsidRDefault="007709DA" w:rsidP="007709DA">
      <w:pPr>
        <w:rPr>
          <w:lang w:val="fr-FR"/>
        </w:rPr>
      </w:pPr>
    </w:p>
    <w:p w:rsidR="007709DA" w:rsidRPr="003B4FCF" w:rsidRDefault="007709DA" w:rsidP="007709DA">
      <w:pPr>
        <w:rPr>
          <w:lang w:val="fr-FR"/>
        </w:rPr>
      </w:pPr>
    </w:p>
    <w:p w:rsidR="007709DA" w:rsidRPr="003B4FCF" w:rsidRDefault="007709DA" w:rsidP="007709DA">
      <w:pPr>
        <w:rPr>
          <w:lang w:val="fr-FR"/>
        </w:rPr>
      </w:pPr>
    </w:p>
    <w:p w:rsidR="007709DA" w:rsidRPr="003B4FCF" w:rsidRDefault="007709DA" w:rsidP="007709DA">
      <w:pPr>
        <w:rPr>
          <w:u w:val="single"/>
          <w:lang w:val="fr-FR"/>
        </w:rPr>
      </w:pPr>
      <w:r w:rsidRPr="003B4FCF">
        <w:rPr>
          <w:u w:val="single"/>
          <w:lang w:val="fr-FR"/>
        </w:rPr>
        <w:t>Durée de l’examen DHS</w:t>
      </w:r>
    </w:p>
    <w:p w:rsidR="007709DA" w:rsidRPr="003B4FCF" w:rsidRDefault="007709DA" w:rsidP="007709DA">
      <w:pPr>
        <w:rPr>
          <w:u w:val="single"/>
          <w:lang w:val="fr-FR"/>
        </w:rPr>
      </w:pPr>
    </w:p>
    <w:p w:rsidR="007709DA" w:rsidRPr="003B4FCF" w:rsidRDefault="007709DA" w:rsidP="007709DA">
      <w:pPr>
        <w:rPr>
          <w:i/>
          <w:lang w:val="fr-FR"/>
        </w:rPr>
      </w:pPr>
      <w:r w:rsidRPr="003B4FCF">
        <w:rPr>
          <w:i/>
          <w:lang w:val="fr-FR"/>
        </w:rPr>
        <w:t>Texte standard général: Section 3.1: Nombre de cycles de végétation</w:t>
      </w:r>
    </w:p>
    <w:p w:rsidR="007709DA" w:rsidRPr="003B4FCF" w:rsidRDefault="007709DA" w:rsidP="007709DA">
      <w:pPr>
        <w:rPr>
          <w:lang w:val="fr-FR"/>
        </w:rPr>
      </w:pPr>
    </w:p>
    <w:p w:rsidR="007709DA" w:rsidRPr="003B4FCF" w:rsidRDefault="007709DA" w:rsidP="007709DA">
      <w:pPr>
        <w:rPr>
          <w:lang w:val="fr-FR"/>
        </w:rPr>
      </w:pPr>
      <w:r w:rsidRPr="003B4FCF">
        <w:rPr>
          <w:lang w:val="fr-FR"/>
        </w:rPr>
        <w:t>Le TC est convenu d’ajouter la phrase suivante comme texte standard des principes directeurs d’examen  (voir le document TC/54/31 “Compte rendu”, paragraphes 210 à 212):</w:t>
      </w:r>
    </w:p>
    <w:p w:rsidR="007709DA" w:rsidRPr="003B4FCF" w:rsidRDefault="007709DA" w:rsidP="007709DA">
      <w:pPr>
        <w:rPr>
          <w:sz w:val="18"/>
          <w:highlight w:val="yellow"/>
          <w:lang w:val="fr-FR"/>
        </w:rPr>
      </w:pPr>
    </w:p>
    <w:p w:rsidR="007709DA" w:rsidRPr="003B4FCF" w:rsidRDefault="007709DA" w:rsidP="007709DA">
      <w:pPr>
        <w:ind w:left="567" w:right="567"/>
        <w:rPr>
          <w:sz w:val="18"/>
          <w:u w:val="single"/>
          <w:lang w:val="fr-FR"/>
        </w:rPr>
      </w:pPr>
      <w:r w:rsidRPr="003B4FCF">
        <w:rPr>
          <w:sz w:val="18"/>
          <w:highlight w:val="lightGray"/>
          <w:u w:val="single"/>
          <w:lang w:val="fr-FR"/>
        </w:rPr>
        <w:t>“L’examen d’une variété peut être achevé quand le service compétent peut déterminer avec certitude le résultat de l’examen.”</w:t>
      </w:r>
    </w:p>
    <w:p w:rsidR="007709DA" w:rsidRPr="003B4FCF" w:rsidRDefault="007709DA" w:rsidP="007709DA">
      <w:pPr>
        <w:rPr>
          <w:lang w:val="fr-FR"/>
        </w:rPr>
      </w:pPr>
    </w:p>
    <w:p w:rsidR="007709DA" w:rsidRPr="003B4FCF" w:rsidRDefault="007709DA" w:rsidP="007709DA">
      <w:pPr>
        <w:rPr>
          <w:rFonts w:eastAsia="MS Mincho"/>
          <w:u w:val="single"/>
          <w:lang w:val="fr-FR"/>
        </w:rPr>
      </w:pPr>
    </w:p>
    <w:p w:rsidR="007709DA" w:rsidRPr="003B4FCF" w:rsidRDefault="007709DA" w:rsidP="007709DA">
      <w:pPr>
        <w:rPr>
          <w:rFonts w:eastAsia="MS Mincho"/>
          <w:u w:val="single"/>
          <w:lang w:val="fr-FR"/>
        </w:rPr>
      </w:pPr>
      <w:r w:rsidRPr="003B4FCF">
        <w:rPr>
          <w:rFonts w:eastAsia="MS Mincho"/>
          <w:u w:val="single"/>
          <w:lang w:val="fr-FR"/>
        </w:rPr>
        <w:t>Procédure d’adoption des principes directeurs d’examen par correspondance</w:t>
      </w:r>
    </w:p>
    <w:p w:rsidR="007709DA" w:rsidRPr="003B4FCF" w:rsidRDefault="007709DA" w:rsidP="007709DA">
      <w:pPr>
        <w:rPr>
          <w:i/>
          <w:lang w:val="fr-FR"/>
        </w:rPr>
      </w:pPr>
    </w:p>
    <w:p w:rsidR="007709DA" w:rsidRPr="003B4FCF" w:rsidRDefault="007709DA" w:rsidP="007709DA">
      <w:pPr>
        <w:rPr>
          <w:i/>
          <w:lang w:val="fr-FR"/>
        </w:rPr>
      </w:pPr>
      <w:r w:rsidRPr="003B4FCF">
        <w:rPr>
          <w:i/>
          <w:lang w:val="fr-FR"/>
        </w:rPr>
        <w:t>Section 2.2 “Procédure applicable à l’adoption des principes directeurs d’examen”</w:t>
      </w:r>
    </w:p>
    <w:p w:rsidR="007709DA" w:rsidRPr="003B4FCF" w:rsidRDefault="007709DA" w:rsidP="007709DA">
      <w:pPr>
        <w:rPr>
          <w:i/>
          <w:lang w:val="fr-FR"/>
        </w:rPr>
      </w:pPr>
    </w:p>
    <w:p w:rsidR="007709DA" w:rsidRPr="003B4FCF" w:rsidRDefault="007709DA" w:rsidP="007709DA">
      <w:pPr>
        <w:rPr>
          <w:lang w:val="fr-FR"/>
        </w:rPr>
      </w:pPr>
      <w:r w:rsidRPr="003B4FCF">
        <w:rPr>
          <w:lang w:val="fr-FR"/>
        </w:rPr>
        <w:t>Le TC est convenu que les orientations figurant dans le document TGP/7 doivent être modifiées comme suit (voir le document TC/54/31 “Compte rendu”, paragraphes 217 à 220):</w:t>
      </w:r>
    </w:p>
    <w:p w:rsidR="007709DA" w:rsidRPr="003B4FCF" w:rsidRDefault="007709DA" w:rsidP="007709DA">
      <w:pPr>
        <w:rPr>
          <w:sz w:val="18"/>
          <w:highlight w:val="yellow"/>
          <w:lang w:val="fr-FR"/>
        </w:rPr>
      </w:pPr>
    </w:p>
    <w:p w:rsidR="007709DA" w:rsidRPr="003B4FCF" w:rsidRDefault="007709DA" w:rsidP="007709DA">
      <w:pPr>
        <w:keepNext/>
        <w:ind w:left="567" w:right="567"/>
        <w:rPr>
          <w:sz w:val="18"/>
          <w:szCs w:val="18"/>
          <w:u w:val="single"/>
          <w:lang w:val="fr-FR"/>
        </w:rPr>
      </w:pPr>
      <w:r w:rsidRPr="003B4FCF">
        <w:rPr>
          <w:sz w:val="18"/>
          <w:szCs w:val="18"/>
          <w:u w:val="single"/>
          <w:lang w:val="fr-FR"/>
        </w:rPr>
        <w:t>"2.2.7</w:t>
      </w:r>
      <w:r w:rsidRPr="003B4FCF">
        <w:rPr>
          <w:sz w:val="18"/>
          <w:szCs w:val="18"/>
          <w:u w:val="single"/>
          <w:lang w:val="fr-FR"/>
        </w:rPr>
        <w:tab/>
      </w:r>
      <w:r w:rsidRPr="003B4FCF">
        <w:rPr>
          <w:sz w:val="18"/>
          <w:szCs w:val="18"/>
          <w:u w:val="single"/>
          <w:bdr w:val="single" w:sz="4" w:space="0" w:color="auto"/>
          <w:lang w:val="fr-FR"/>
        </w:rPr>
        <w:t>ÉTAPE 7</w:t>
      </w:r>
      <w:r w:rsidRPr="003B4FCF">
        <w:rPr>
          <w:sz w:val="18"/>
          <w:szCs w:val="18"/>
          <w:u w:val="single"/>
          <w:lang w:val="fr-FR"/>
        </w:rPr>
        <w:tab/>
        <w:t>Examen des projets de principes directeurs par le TC</w:t>
      </w:r>
      <w:r w:rsidRPr="003B4FCF">
        <w:rPr>
          <w:sz w:val="18"/>
          <w:szCs w:val="18"/>
          <w:u w:val="single"/>
          <w:lang w:val="fr-FR"/>
        </w:rPr>
        <w:noBreakHyphen/>
        <w:t>EDC</w:t>
      </w:r>
    </w:p>
    <w:p w:rsidR="007709DA" w:rsidRPr="003B4FCF" w:rsidRDefault="007709DA" w:rsidP="007709DA">
      <w:pPr>
        <w:ind w:left="567" w:right="567"/>
        <w:rPr>
          <w:sz w:val="18"/>
          <w:szCs w:val="18"/>
          <w:lang w:val="fr-FR"/>
        </w:rPr>
      </w:pPr>
    </w:p>
    <w:p w:rsidR="007709DA" w:rsidRPr="003B4FCF" w:rsidRDefault="007709DA" w:rsidP="007709DA">
      <w:pPr>
        <w:ind w:left="567" w:right="567"/>
        <w:rPr>
          <w:sz w:val="18"/>
          <w:szCs w:val="18"/>
          <w:lang w:val="fr-FR"/>
        </w:rPr>
      </w:pPr>
      <w:r w:rsidRPr="003B4FCF">
        <w:rPr>
          <w:sz w:val="18"/>
          <w:szCs w:val="18"/>
          <w:lang w:val="fr-FR"/>
        </w:rPr>
        <w:t>"2.2.7.1</w:t>
      </w:r>
      <w:r w:rsidRPr="003B4FCF">
        <w:rPr>
          <w:sz w:val="18"/>
          <w:szCs w:val="18"/>
          <w:lang w:val="fr-FR"/>
        </w:rPr>
        <w:tab/>
        <w:t>Le TC</w:t>
      </w:r>
      <w:r w:rsidRPr="003B4FCF">
        <w:rPr>
          <w:sz w:val="18"/>
          <w:szCs w:val="18"/>
          <w:lang w:val="fr-FR"/>
        </w:rPr>
        <w:noBreakHyphen/>
        <w:t>EDC a été créé par le Comité technique afin d’examiner tous les projets de principes directeurs d’examen établis par les TWP avant qu’ils ne soient soumis au Comité technique pour adoption.  Le TC</w:t>
      </w:r>
      <w:r w:rsidRPr="003B4FCF">
        <w:rPr>
          <w:sz w:val="18"/>
          <w:szCs w:val="18"/>
          <w:lang w:val="fr-FR"/>
        </w:rPr>
        <w:noBreakHyphen/>
        <w:t>EDC a pour rôle de s’assurer que les principes directeurs d’examen ont été élaborés conformément aux exigences énumérées dans le document TGP/7 et que toutes les versions linguistiques officielles de l’UPOV concordent.  Il ne procède pas à un examen technique des principes directeurs d’examen quant au fond.  Les membres du TC</w:t>
      </w:r>
      <w:r w:rsidRPr="003B4FCF">
        <w:rPr>
          <w:sz w:val="18"/>
          <w:szCs w:val="18"/>
          <w:lang w:val="fr-FR"/>
        </w:rPr>
        <w:noBreakHyphen/>
        <w:t>EDC sont choisis par le TC de manière à réunir une vaste expérience du système de l’UPOV et à représenter les langues de l’UPOV, à savoir le français, l’allemand, l’anglais et l’espagnol.  Le président du TC</w:t>
      </w:r>
      <w:r w:rsidRPr="003B4FCF">
        <w:rPr>
          <w:sz w:val="18"/>
          <w:szCs w:val="18"/>
          <w:lang w:val="fr-FR"/>
        </w:rPr>
        <w:noBreakHyphen/>
        <w:t>EDC est un membre du Secrétariat de l’UPOV.</w:t>
      </w:r>
    </w:p>
    <w:p w:rsidR="007709DA" w:rsidRPr="003B4FCF" w:rsidRDefault="007709DA" w:rsidP="007709DA">
      <w:pPr>
        <w:ind w:left="567" w:right="567"/>
        <w:rPr>
          <w:sz w:val="18"/>
          <w:szCs w:val="18"/>
          <w:lang w:val="fr-FR"/>
        </w:rPr>
      </w:pPr>
    </w:p>
    <w:p w:rsidR="007709DA" w:rsidRPr="003B4FCF" w:rsidRDefault="007709DA" w:rsidP="007709DA">
      <w:pPr>
        <w:ind w:left="567" w:right="567"/>
        <w:rPr>
          <w:sz w:val="18"/>
          <w:szCs w:val="18"/>
          <w:lang w:val="fr-FR"/>
        </w:rPr>
      </w:pPr>
      <w:r w:rsidRPr="003B4FCF">
        <w:rPr>
          <w:sz w:val="18"/>
          <w:szCs w:val="18"/>
          <w:lang w:val="fr-FR"/>
        </w:rPr>
        <w:t>"2.2.7.2</w:t>
      </w:r>
      <w:r w:rsidRPr="003B4FCF">
        <w:rPr>
          <w:sz w:val="18"/>
          <w:szCs w:val="18"/>
          <w:lang w:val="fr-FR"/>
        </w:rPr>
        <w:tab/>
        <w:t>Le TC</w:t>
      </w:r>
      <w:r w:rsidRPr="003B4FCF">
        <w:rPr>
          <w:sz w:val="18"/>
          <w:szCs w:val="18"/>
          <w:lang w:val="fr-FR"/>
        </w:rPr>
        <w:noBreakHyphen/>
        <w:t>EDC examine le projet de principes directeurs d’examen compte tenu de toutes instructions particulières données par le Comité technique et formule une recommandation quant à la possibilité d’adopter ces principes directeurs (étape 8).</w:t>
      </w:r>
      <w:r w:rsidRPr="003B4FCF">
        <w:rPr>
          <w:sz w:val="18"/>
          <w:lang w:val="fr-FR"/>
        </w:rPr>
        <w:t xml:space="preserve"> </w:t>
      </w:r>
      <w:r w:rsidRPr="003B4FCF">
        <w:rPr>
          <w:sz w:val="18"/>
          <w:szCs w:val="18"/>
          <w:lang w:val="fr-FR"/>
        </w:rPr>
        <w:t xml:space="preserve"> Il peut présenter au Comité technique une proposition d’adoption sous réserve de modifications d’ordre rédactionnel, qu’il indique expressément.</w:t>
      </w:r>
    </w:p>
    <w:p w:rsidR="007709DA" w:rsidRPr="003B4FCF" w:rsidRDefault="007709DA" w:rsidP="007709DA">
      <w:pPr>
        <w:ind w:left="567" w:right="567"/>
        <w:rPr>
          <w:sz w:val="18"/>
          <w:szCs w:val="18"/>
          <w:lang w:val="fr-FR"/>
        </w:rPr>
      </w:pPr>
    </w:p>
    <w:p w:rsidR="007709DA" w:rsidRPr="003B4FCF" w:rsidRDefault="007709DA" w:rsidP="007709DA">
      <w:pPr>
        <w:ind w:left="567" w:right="567"/>
        <w:rPr>
          <w:strike/>
          <w:sz w:val="18"/>
          <w:szCs w:val="18"/>
          <w:highlight w:val="lightGray"/>
          <w:lang w:val="fr-FR"/>
        </w:rPr>
      </w:pPr>
      <w:r w:rsidRPr="003B4FCF">
        <w:rPr>
          <w:sz w:val="18"/>
          <w:szCs w:val="18"/>
          <w:highlight w:val="lightGray"/>
          <w:u w:val="single"/>
          <w:lang w:val="fr-FR"/>
        </w:rPr>
        <w:t>"</w:t>
      </w:r>
      <w:r w:rsidRPr="003B4FCF">
        <w:rPr>
          <w:strike/>
          <w:sz w:val="18"/>
          <w:szCs w:val="18"/>
          <w:highlight w:val="lightGray"/>
          <w:lang w:val="fr-FR"/>
        </w:rPr>
        <w:t>2.2.7.3</w:t>
      </w:r>
      <w:r w:rsidRPr="003B4FCF">
        <w:rPr>
          <w:strike/>
          <w:sz w:val="18"/>
          <w:szCs w:val="18"/>
          <w:highlight w:val="lightGray"/>
          <w:lang w:val="fr-FR"/>
        </w:rPr>
        <w:tab/>
        <w:t>S’il considère que des problèmes techniques doivent être résolus, le TC</w:t>
      </w:r>
      <w:r w:rsidRPr="003B4FCF">
        <w:rPr>
          <w:strike/>
          <w:sz w:val="18"/>
          <w:szCs w:val="18"/>
          <w:highlight w:val="lightGray"/>
          <w:lang w:val="fr-FR"/>
        </w:rPr>
        <w:noBreakHyphen/>
        <w:t>EDC peut chercher à résoudre les problèmes avec l’expert principal avant que le Comité technique examine les principes directeurs d’examen.  Lorsque ceci n’est pas possible, le TC</w:t>
      </w:r>
      <w:r w:rsidRPr="003B4FCF">
        <w:rPr>
          <w:strike/>
          <w:sz w:val="18"/>
          <w:szCs w:val="18"/>
          <w:highlight w:val="lightGray"/>
          <w:lang w:val="fr-FR"/>
        </w:rPr>
        <w:noBreakHyphen/>
        <w:t>EDC peut recommander au Comité technique :</w:t>
      </w:r>
    </w:p>
    <w:p w:rsidR="007709DA" w:rsidRPr="003B4FCF" w:rsidRDefault="007709DA" w:rsidP="007709DA">
      <w:pPr>
        <w:ind w:left="567" w:right="567"/>
        <w:rPr>
          <w:strike/>
          <w:sz w:val="18"/>
          <w:szCs w:val="18"/>
          <w:highlight w:val="lightGray"/>
          <w:lang w:val="fr-FR"/>
        </w:rPr>
      </w:pPr>
    </w:p>
    <w:p w:rsidR="007709DA" w:rsidRPr="003B4FCF" w:rsidRDefault="007709DA" w:rsidP="007709DA">
      <w:pPr>
        <w:ind w:left="567" w:right="567"/>
        <w:rPr>
          <w:strike/>
          <w:sz w:val="18"/>
          <w:szCs w:val="18"/>
          <w:highlight w:val="lightGray"/>
          <w:lang w:val="fr-FR"/>
        </w:rPr>
      </w:pPr>
      <w:r w:rsidRPr="003B4FCF">
        <w:rPr>
          <w:strike/>
          <w:sz w:val="18"/>
          <w:szCs w:val="18"/>
          <w:highlight w:val="lightGray"/>
          <w:lang w:val="fr-FR"/>
        </w:rPr>
        <w:tab/>
        <w:t>a)</w:t>
      </w:r>
      <w:r w:rsidRPr="003B4FCF">
        <w:rPr>
          <w:strike/>
          <w:sz w:val="18"/>
          <w:szCs w:val="18"/>
          <w:highlight w:val="lightGray"/>
          <w:lang w:val="fr-FR"/>
        </w:rPr>
        <w:tab/>
        <w:t>de renvoyer les principes directeurs d’examen au groupe de travail technique (étape 4), ou</w:t>
      </w:r>
    </w:p>
    <w:p w:rsidR="007709DA" w:rsidRPr="003B4FCF" w:rsidRDefault="007709DA" w:rsidP="007709DA">
      <w:pPr>
        <w:ind w:left="567" w:right="567"/>
        <w:rPr>
          <w:strike/>
          <w:sz w:val="18"/>
          <w:szCs w:val="18"/>
          <w:lang w:val="fr-FR"/>
        </w:rPr>
      </w:pPr>
      <w:r w:rsidRPr="003B4FCF">
        <w:rPr>
          <w:strike/>
          <w:sz w:val="18"/>
          <w:szCs w:val="18"/>
          <w:highlight w:val="lightGray"/>
          <w:lang w:val="fr-FR"/>
        </w:rPr>
        <w:tab/>
        <w:t>b)</w:t>
      </w:r>
      <w:r w:rsidRPr="003B4FCF">
        <w:rPr>
          <w:strike/>
          <w:sz w:val="18"/>
          <w:szCs w:val="18"/>
          <w:highlight w:val="lightGray"/>
          <w:lang w:val="fr-FR"/>
        </w:rPr>
        <w:tab/>
        <w:t>d’adopter les principes directeurs d’examen sous réserve de renseignements supplémentaires fournis par l’expert principal en accord avec tous les experts intéressés et le président du groupe de travail technique concerné.</w:t>
      </w:r>
    </w:p>
    <w:p w:rsidR="007709DA" w:rsidRPr="003B4FCF" w:rsidRDefault="007709DA" w:rsidP="007709DA">
      <w:pPr>
        <w:ind w:right="567"/>
        <w:rPr>
          <w:sz w:val="18"/>
          <w:szCs w:val="18"/>
          <w:lang w:val="fr-FR"/>
        </w:rPr>
      </w:pPr>
    </w:p>
    <w:p w:rsidR="007709DA" w:rsidRPr="003B4FCF" w:rsidRDefault="007709DA" w:rsidP="007709DA">
      <w:pPr>
        <w:ind w:left="567" w:right="567"/>
        <w:rPr>
          <w:sz w:val="18"/>
          <w:szCs w:val="18"/>
          <w:highlight w:val="lightGray"/>
          <w:u w:val="single"/>
          <w:lang w:val="fr-FR"/>
        </w:rPr>
      </w:pPr>
      <w:r w:rsidRPr="003B4FCF">
        <w:rPr>
          <w:sz w:val="18"/>
          <w:szCs w:val="18"/>
          <w:highlight w:val="lightGray"/>
          <w:u w:val="single"/>
          <w:lang w:val="fr-FR"/>
        </w:rPr>
        <w:t>“NOUVEAU</w:t>
      </w:r>
      <w:r w:rsidRPr="003B4FCF">
        <w:rPr>
          <w:sz w:val="18"/>
          <w:szCs w:val="18"/>
          <w:highlight w:val="lightGray"/>
          <w:u w:val="single"/>
          <w:lang w:val="fr-FR"/>
        </w:rPr>
        <w:tab/>
        <w:t>Sauf décision contraire du TC, le TC</w:t>
      </w:r>
      <w:r w:rsidRPr="003B4FCF">
        <w:rPr>
          <w:sz w:val="18"/>
          <w:szCs w:val="18"/>
          <w:highlight w:val="lightGray"/>
          <w:u w:val="single"/>
          <w:lang w:val="fr-FR"/>
        </w:rPr>
        <w:noBreakHyphen/>
        <w:t>EDC se réunit deux fois par an, une fois en mars</w:t>
      </w:r>
      <w:r w:rsidRPr="003B4FCF">
        <w:rPr>
          <w:sz w:val="18"/>
          <w:szCs w:val="18"/>
          <w:highlight w:val="lightGray"/>
          <w:u w:val="single"/>
          <w:lang w:val="fr-FR"/>
        </w:rPr>
        <w:noBreakHyphen/>
        <w:t>avril et une fois dans le cadre de la session du TC (octobre</w:t>
      </w:r>
      <w:r w:rsidRPr="003B4FCF">
        <w:rPr>
          <w:sz w:val="18"/>
          <w:szCs w:val="18"/>
          <w:highlight w:val="lightGray"/>
          <w:u w:val="single"/>
          <w:lang w:val="fr-FR"/>
        </w:rPr>
        <w:noBreakHyphen/>
        <w:t>novembre).  Le TC</w:t>
      </w:r>
      <w:r w:rsidRPr="003B4FCF">
        <w:rPr>
          <w:sz w:val="18"/>
          <w:szCs w:val="18"/>
          <w:highlight w:val="lightGray"/>
          <w:u w:val="single"/>
          <w:lang w:val="fr-FR"/>
        </w:rPr>
        <w:noBreakHyphen/>
        <w:t>EDC examinera les principes directeurs d’examen soumis par les TWP au moins 14 semaines avant la réunion du TC</w:t>
      </w:r>
      <w:r w:rsidRPr="003B4FCF">
        <w:rPr>
          <w:sz w:val="18"/>
          <w:szCs w:val="18"/>
          <w:highlight w:val="lightGray"/>
          <w:u w:val="single"/>
          <w:lang w:val="fr-FR"/>
        </w:rPr>
        <w:noBreakHyphen/>
        <w:t>EDC.  Les principes directeurs d’examen soumis moins de 14 semaines avant la réunion du TC</w:t>
      </w:r>
      <w:r w:rsidRPr="003B4FCF">
        <w:rPr>
          <w:sz w:val="18"/>
          <w:szCs w:val="18"/>
          <w:highlight w:val="lightGray"/>
          <w:u w:val="single"/>
          <w:lang w:val="fr-FR"/>
        </w:rPr>
        <w:noBreakHyphen/>
        <w:t>EDC seront examinés à sa réunion suivante.</w:t>
      </w:r>
    </w:p>
    <w:p w:rsidR="007709DA" w:rsidRPr="003B4FCF" w:rsidRDefault="007709DA" w:rsidP="007709DA">
      <w:pPr>
        <w:tabs>
          <w:tab w:val="left" w:pos="567"/>
          <w:tab w:val="left" w:pos="1134"/>
          <w:tab w:val="left" w:pos="5387"/>
        </w:tabs>
        <w:ind w:left="567" w:right="567"/>
        <w:rPr>
          <w:sz w:val="18"/>
          <w:szCs w:val="18"/>
          <w:highlight w:val="lightGray"/>
          <w:u w:val="single"/>
          <w:lang w:val="fr-FR"/>
        </w:rPr>
      </w:pPr>
    </w:p>
    <w:p w:rsidR="007709DA" w:rsidRPr="003B4FCF" w:rsidRDefault="007709DA" w:rsidP="007709DA">
      <w:pPr>
        <w:ind w:left="567" w:right="567"/>
        <w:rPr>
          <w:sz w:val="18"/>
          <w:szCs w:val="18"/>
          <w:highlight w:val="lightGray"/>
          <w:u w:val="single"/>
          <w:lang w:val="fr-FR"/>
        </w:rPr>
      </w:pPr>
      <w:r w:rsidRPr="003B4FCF">
        <w:rPr>
          <w:sz w:val="18"/>
          <w:szCs w:val="18"/>
          <w:highlight w:val="lightGray"/>
          <w:u w:val="single"/>
          <w:lang w:val="fr-FR"/>
        </w:rPr>
        <w:t>“NOUVEAU</w:t>
      </w:r>
      <w:r w:rsidRPr="003B4FCF">
        <w:rPr>
          <w:sz w:val="18"/>
          <w:szCs w:val="18"/>
          <w:highlight w:val="lightGray"/>
          <w:u w:val="single"/>
          <w:lang w:val="fr-FR"/>
        </w:rPr>
        <w:tab/>
        <w:t>L’examen des principes directeurs d’examen par le TC</w:t>
      </w:r>
      <w:r w:rsidRPr="003B4FCF">
        <w:rPr>
          <w:sz w:val="18"/>
          <w:szCs w:val="18"/>
          <w:highlight w:val="lightGray"/>
          <w:u w:val="single"/>
          <w:lang w:val="fr-FR"/>
        </w:rPr>
        <w:noBreakHyphen/>
        <w:t>EDC peut avoir l’un des résultats suivants :</w:t>
      </w:r>
    </w:p>
    <w:p w:rsidR="007709DA" w:rsidRPr="003B4FCF" w:rsidRDefault="007709DA" w:rsidP="007709DA">
      <w:pPr>
        <w:ind w:left="567" w:right="567"/>
        <w:rPr>
          <w:sz w:val="18"/>
          <w:szCs w:val="18"/>
          <w:highlight w:val="lightGray"/>
          <w:u w:val="single"/>
          <w:lang w:val="fr-FR"/>
        </w:rPr>
      </w:pPr>
    </w:p>
    <w:p w:rsidR="007709DA" w:rsidRPr="003B4FCF" w:rsidRDefault="007709DA" w:rsidP="007709DA">
      <w:pPr>
        <w:numPr>
          <w:ilvl w:val="0"/>
          <w:numId w:val="6"/>
        </w:numPr>
        <w:ind w:left="1134" w:right="567" w:hanging="567"/>
        <w:contextualSpacing/>
        <w:rPr>
          <w:rFonts w:cs="Arial"/>
          <w:sz w:val="18"/>
          <w:szCs w:val="18"/>
          <w:highlight w:val="lightGray"/>
          <w:u w:val="single"/>
          <w:lang w:val="fr-FR" w:eastAsia="en-GB"/>
        </w:rPr>
      </w:pPr>
      <w:r w:rsidRPr="003B4FCF">
        <w:rPr>
          <w:rFonts w:cs="Arial"/>
          <w:sz w:val="18"/>
          <w:szCs w:val="18"/>
          <w:highlight w:val="lightGray"/>
          <w:u w:val="single"/>
          <w:lang w:val="fr-FR" w:eastAsia="en-GB"/>
        </w:rPr>
        <w:t>aucun changement ne devra être apporté aux principes directeurs d’examen, si ce n’est des modifications d’ordre purement rédactionnel, à propos desquelles des recommandations ont été approuvées par le TC</w:t>
      </w:r>
      <w:r w:rsidRPr="003B4FCF">
        <w:rPr>
          <w:rFonts w:cs="Arial"/>
          <w:sz w:val="18"/>
          <w:szCs w:val="18"/>
          <w:highlight w:val="lightGray"/>
          <w:u w:val="single"/>
          <w:lang w:val="fr-FR" w:eastAsia="en-GB"/>
        </w:rPr>
        <w:noBreakHyphen/>
        <w:t>EDC; ou</w:t>
      </w:r>
    </w:p>
    <w:p w:rsidR="007709DA" w:rsidRPr="003B4FCF" w:rsidRDefault="007709DA" w:rsidP="007709DA">
      <w:pPr>
        <w:numPr>
          <w:ilvl w:val="0"/>
          <w:numId w:val="6"/>
        </w:numPr>
        <w:ind w:left="567" w:right="567" w:firstLine="0"/>
        <w:contextualSpacing/>
        <w:rPr>
          <w:rFonts w:cs="Arial"/>
          <w:sz w:val="18"/>
          <w:szCs w:val="18"/>
          <w:highlight w:val="lightGray"/>
          <w:u w:val="single"/>
          <w:lang w:val="fr-FR" w:eastAsia="en-GB"/>
        </w:rPr>
      </w:pPr>
      <w:r w:rsidRPr="003B4FCF">
        <w:rPr>
          <w:rFonts w:cs="Arial"/>
          <w:sz w:val="18"/>
          <w:szCs w:val="18"/>
          <w:highlight w:val="lightGray"/>
          <w:u w:val="single"/>
          <w:lang w:val="fr-FR" w:eastAsia="en-GB"/>
        </w:rPr>
        <w:t>des précisions d’ordre rédactionnel sont nécessaires; ou</w:t>
      </w:r>
    </w:p>
    <w:p w:rsidR="007709DA" w:rsidRPr="003B4FCF" w:rsidRDefault="007709DA" w:rsidP="007709DA">
      <w:pPr>
        <w:numPr>
          <w:ilvl w:val="0"/>
          <w:numId w:val="6"/>
        </w:numPr>
        <w:ind w:left="567" w:right="567" w:firstLine="0"/>
        <w:contextualSpacing/>
        <w:rPr>
          <w:rFonts w:cs="Arial"/>
          <w:sz w:val="18"/>
          <w:szCs w:val="18"/>
          <w:highlight w:val="lightGray"/>
          <w:u w:val="single"/>
          <w:lang w:val="fr-FR" w:eastAsia="en-GB"/>
        </w:rPr>
      </w:pPr>
      <w:r w:rsidRPr="003B4FCF">
        <w:rPr>
          <w:rFonts w:cs="Arial"/>
          <w:sz w:val="18"/>
          <w:szCs w:val="18"/>
          <w:highlight w:val="lightGray"/>
          <w:u w:val="single"/>
          <w:lang w:val="fr-FR" w:eastAsia="en-GB"/>
        </w:rPr>
        <w:t>des problèmes techniques doivent être résolus.</w:t>
      </w:r>
    </w:p>
    <w:p w:rsidR="007709DA" w:rsidRPr="003B4FCF" w:rsidRDefault="007709DA" w:rsidP="007709DA">
      <w:pPr>
        <w:ind w:left="567" w:right="567"/>
        <w:rPr>
          <w:sz w:val="18"/>
          <w:szCs w:val="18"/>
          <w:highlight w:val="lightGray"/>
          <w:u w:val="single"/>
          <w:lang w:val="fr-FR"/>
        </w:rPr>
      </w:pPr>
    </w:p>
    <w:p w:rsidR="007709DA" w:rsidRPr="003B4FCF" w:rsidRDefault="007709DA" w:rsidP="007709DA">
      <w:pPr>
        <w:ind w:left="567" w:right="567"/>
        <w:rPr>
          <w:sz w:val="18"/>
          <w:szCs w:val="18"/>
          <w:highlight w:val="lightGray"/>
          <w:u w:val="single"/>
          <w:lang w:val="fr-FR"/>
        </w:rPr>
      </w:pPr>
      <w:r w:rsidRPr="003B4FCF">
        <w:rPr>
          <w:sz w:val="18"/>
          <w:szCs w:val="18"/>
          <w:highlight w:val="lightGray"/>
          <w:u w:val="single"/>
          <w:lang w:val="fr-FR"/>
        </w:rPr>
        <w:t>“NOUVEAU</w:t>
      </w:r>
      <w:r w:rsidRPr="003B4FCF">
        <w:rPr>
          <w:sz w:val="18"/>
          <w:szCs w:val="18"/>
          <w:highlight w:val="lightGray"/>
          <w:u w:val="single"/>
          <w:lang w:val="fr-FR"/>
        </w:rPr>
        <w:tab/>
        <w:t>Dans les cas où aucun changement ne doit être apporté aux principes directeurs d’examen, si ce n’est des modifications d’ordre purement rédactionnel, à propos desquelles des recommandations ont été approuvées par le TC</w:t>
      </w:r>
      <w:r w:rsidRPr="003B4FCF">
        <w:rPr>
          <w:sz w:val="18"/>
          <w:szCs w:val="18"/>
          <w:highlight w:val="lightGray"/>
          <w:u w:val="single"/>
          <w:lang w:val="fr-FR"/>
        </w:rPr>
        <w:noBreakHyphen/>
        <w:t>EDC, les principes directeurs d’examen sont communiqués pour adoption au Comité technique.</w:t>
      </w:r>
    </w:p>
    <w:p w:rsidR="007709DA" w:rsidRPr="003B4FCF" w:rsidRDefault="007709DA" w:rsidP="007709DA">
      <w:pPr>
        <w:ind w:left="567" w:right="567"/>
        <w:rPr>
          <w:sz w:val="18"/>
          <w:szCs w:val="18"/>
          <w:highlight w:val="lightGray"/>
          <w:u w:val="single"/>
          <w:lang w:val="fr-FR"/>
        </w:rPr>
      </w:pPr>
    </w:p>
    <w:p w:rsidR="007709DA" w:rsidRPr="003B4FCF" w:rsidRDefault="007709DA" w:rsidP="007709DA">
      <w:pPr>
        <w:ind w:left="567" w:right="567"/>
        <w:rPr>
          <w:sz w:val="18"/>
          <w:szCs w:val="18"/>
          <w:highlight w:val="lightGray"/>
          <w:u w:val="single"/>
          <w:lang w:val="fr-FR"/>
        </w:rPr>
      </w:pPr>
      <w:r w:rsidRPr="003B4FCF">
        <w:rPr>
          <w:sz w:val="18"/>
          <w:szCs w:val="18"/>
          <w:highlight w:val="lightGray"/>
          <w:u w:val="single"/>
          <w:lang w:val="fr-FR"/>
        </w:rPr>
        <w:t>“NOUVEAU</w:t>
      </w:r>
      <w:r w:rsidRPr="003B4FCF">
        <w:rPr>
          <w:sz w:val="18"/>
          <w:szCs w:val="18"/>
          <w:highlight w:val="lightGray"/>
          <w:u w:val="single"/>
          <w:lang w:val="fr-FR"/>
        </w:rPr>
        <w:tab/>
        <w:t>La procédure ci</w:t>
      </w:r>
      <w:r w:rsidRPr="003B4FCF">
        <w:rPr>
          <w:sz w:val="18"/>
          <w:szCs w:val="18"/>
          <w:highlight w:val="lightGray"/>
          <w:u w:val="single"/>
          <w:lang w:val="fr-FR"/>
        </w:rPr>
        <w:noBreakHyphen/>
        <w:t>après s’applique aux principes directeurs d’examen pour lesquels des précisions d’ordre rédactionnel sont nécessaires :</w:t>
      </w:r>
    </w:p>
    <w:p w:rsidR="007709DA" w:rsidRPr="003B4FCF" w:rsidRDefault="007709DA" w:rsidP="007709DA">
      <w:pPr>
        <w:ind w:left="567" w:right="567"/>
        <w:rPr>
          <w:rFonts w:cs="Arial"/>
          <w:sz w:val="18"/>
          <w:szCs w:val="18"/>
          <w:highlight w:val="lightGray"/>
          <w:u w:val="single"/>
          <w:lang w:val="fr-FR"/>
        </w:rPr>
      </w:pPr>
    </w:p>
    <w:p w:rsidR="007709DA" w:rsidRPr="003B4FCF" w:rsidRDefault="007709DA" w:rsidP="007709DA">
      <w:pPr>
        <w:numPr>
          <w:ilvl w:val="0"/>
          <w:numId w:val="4"/>
        </w:numPr>
        <w:ind w:left="1134" w:right="567" w:hanging="567"/>
        <w:contextualSpacing/>
        <w:rPr>
          <w:rFonts w:cs="Arial"/>
          <w:sz w:val="18"/>
          <w:szCs w:val="18"/>
          <w:highlight w:val="lightGray"/>
          <w:u w:val="single"/>
          <w:lang w:val="fr-FR" w:eastAsia="en-GB"/>
        </w:rPr>
      </w:pPr>
      <w:r w:rsidRPr="003B4FCF">
        <w:rPr>
          <w:rFonts w:cs="Arial"/>
          <w:sz w:val="18"/>
          <w:szCs w:val="18"/>
          <w:highlight w:val="lightGray"/>
          <w:u w:val="single"/>
          <w:lang w:val="fr-FR" w:eastAsia="en-GB"/>
        </w:rPr>
        <w:t>la demande de précisions est transmise à l’expert principal;</w:t>
      </w:r>
    </w:p>
    <w:p w:rsidR="007709DA" w:rsidRPr="003B4FCF" w:rsidRDefault="007709DA" w:rsidP="007709DA">
      <w:pPr>
        <w:numPr>
          <w:ilvl w:val="0"/>
          <w:numId w:val="4"/>
        </w:numPr>
        <w:ind w:left="1134" w:right="567" w:hanging="567"/>
        <w:contextualSpacing/>
        <w:rPr>
          <w:rFonts w:cs="Arial"/>
          <w:sz w:val="18"/>
          <w:szCs w:val="18"/>
          <w:highlight w:val="lightGray"/>
          <w:u w:val="single"/>
          <w:lang w:val="fr-FR" w:eastAsia="en-GB"/>
        </w:rPr>
      </w:pPr>
      <w:r w:rsidRPr="003B4FCF">
        <w:rPr>
          <w:rFonts w:cs="Arial"/>
          <w:sz w:val="18"/>
          <w:szCs w:val="18"/>
          <w:highlight w:val="lightGray"/>
          <w:u w:val="single"/>
          <w:lang w:val="fr-FR" w:eastAsia="en-GB"/>
        </w:rPr>
        <w:t>les précisions doivent être apportées dans un délai de quatre semaines;</w:t>
      </w:r>
    </w:p>
    <w:p w:rsidR="007709DA" w:rsidRPr="003B4FCF" w:rsidRDefault="007709DA" w:rsidP="007709DA">
      <w:pPr>
        <w:numPr>
          <w:ilvl w:val="0"/>
          <w:numId w:val="4"/>
        </w:numPr>
        <w:ind w:left="1134" w:right="567" w:hanging="567"/>
        <w:contextualSpacing/>
        <w:rPr>
          <w:rFonts w:cs="Arial"/>
          <w:sz w:val="18"/>
          <w:szCs w:val="18"/>
          <w:highlight w:val="lightGray"/>
          <w:u w:val="single"/>
          <w:lang w:val="fr-FR" w:eastAsia="en-GB"/>
        </w:rPr>
      </w:pPr>
      <w:r w:rsidRPr="003B4FCF">
        <w:rPr>
          <w:rFonts w:cs="Arial"/>
          <w:sz w:val="18"/>
          <w:szCs w:val="18"/>
          <w:highlight w:val="lightGray"/>
          <w:u w:val="single"/>
          <w:lang w:val="fr-FR" w:eastAsia="en-GB"/>
        </w:rPr>
        <w:t>si les précisions sont approuvées par le TC</w:t>
      </w:r>
      <w:r w:rsidRPr="003B4FCF">
        <w:rPr>
          <w:rFonts w:cs="Arial"/>
          <w:sz w:val="18"/>
          <w:szCs w:val="18"/>
          <w:highlight w:val="lightGray"/>
          <w:u w:val="single"/>
          <w:lang w:val="fr-FR" w:eastAsia="en-GB"/>
        </w:rPr>
        <w:noBreakHyphen/>
        <w:t>EDC, les principes directeurs d’examen seront recommandés pour adoption à la réunion du TC</w:t>
      </w:r>
      <w:r w:rsidRPr="003B4FCF">
        <w:rPr>
          <w:rFonts w:cs="Arial"/>
          <w:sz w:val="18"/>
          <w:szCs w:val="18"/>
          <w:highlight w:val="lightGray"/>
          <w:u w:val="single"/>
          <w:lang w:val="fr-FR" w:eastAsia="en-GB"/>
        </w:rPr>
        <w:noBreakHyphen/>
        <w:t>EDC;</w:t>
      </w:r>
    </w:p>
    <w:p w:rsidR="007709DA" w:rsidRPr="003B4FCF" w:rsidRDefault="007709DA" w:rsidP="007709DA">
      <w:pPr>
        <w:numPr>
          <w:ilvl w:val="0"/>
          <w:numId w:val="4"/>
        </w:numPr>
        <w:ind w:left="1134" w:right="567" w:hanging="567"/>
        <w:contextualSpacing/>
        <w:rPr>
          <w:rFonts w:cs="Arial"/>
          <w:sz w:val="18"/>
          <w:szCs w:val="18"/>
          <w:highlight w:val="lightGray"/>
          <w:u w:val="single"/>
          <w:lang w:val="fr-FR" w:eastAsia="en-GB"/>
        </w:rPr>
      </w:pPr>
      <w:r w:rsidRPr="003B4FCF">
        <w:rPr>
          <w:rFonts w:cs="Arial"/>
          <w:sz w:val="18"/>
          <w:szCs w:val="18"/>
          <w:highlight w:val="lightGray"/>
          <w:u w:val="single"/>
          <w:lang w:val="fr-FR" w:eastAsia="en-GB"/>
        </w:rPr>
        <w:t>les principes directeurs d’examen sont examinés en vue de leur adoption par le TC.</w:t>
      </w:r>
    </w:p>
    <w:p w:rsidR="007709DA" w:rsidRPr="003B4FCF" w:rsidRDefault="007709DA" w:rsidP="007709DA">
      <w:pPr>
        <w:ind w:left="993" w:right="567" w:hanging="426"/>
        <w:rPr>
          <w:sz w:val="18"/>
          <w:szCs w:val="18"/>
          <w:highlight w:val="lightGray"/>
          <w:u w:val="single"/>
          <w:lang w:val="fr-FR"/>
        </w:rPr>
      </w:pPr>
    </w:p>
    <w:p w:rsidR="007709DA" w:rsidRPr="003B4FCF" w:rsidRDefault="007709DA" w:rsidP="007709DA">
      <w:pPr>
        <w:ind w:left="993" w:right="567" w:hanging="426"/>
        <w:rPr>
          <w:sz w:val="18"/>
          <w:szCs w:val="18"/>
          <w:highlight w:val="lightGray"/>
          <w:u w:val="single"/>
          <w:lang w:val="fr-FR"/>
        </w:rPr>
      </w:pPr>
      <w:r w:rsidRPr="003B4FCF">
        <w:rPr>
          <w:sz w:val="18"/>
          <w:szCs w:val="18"/>
          <w:highlight w:val="lightGray"/>
          <w:u w:val="single"/>
          <w:lang w:val="fr-FR"/>
        </w:rPr>
        <w:t>“NOUVEAU</w:t>
      </w:r>
      <w:r w:rsidRPr="003B4FCF">
        <w:rPr>
          <w:sz w:val="18"/>
          <w:szCs w:val="18"/>
          <w:highlight w:val="lightGray"/>
          <w:u w:val="single"/>
          <w:lang w:val="fr-FR"/>
        </w:rPr>
        <w:tab/>
        <w:t>La procédure ci</w:t>
      </w:r>
      <w:r w:rsidRPr="003B4FCF">
        <w:rPr>
          <w:sz w:val="18"/>
          <w:szCs w:val="18"/>
          <w:highlight w:val="lightGray"/>
          <w:u w:val="single"/>
          <w:lang w:val="fr-FR"/>
        </w:rPr>
        <w:noBreakHyphen/>
        <w:t>après s’applique aux principes directeurs lorsque des problèmes techniques doivent être résolus :</w:t>
      </w:r>
    </w:p>
    <w:p w:rsidR="007709DA" w:rsidRPr="003B4FCF" w:rsidRDefault="007709DA" w:rsidP="007709DA">
      <w:pPr>
        <w:ind w:left="993" w:right="567" w:hanging="426"/>
        <w:rPr>
          <w:rFonts w:cs="Arial"/>
          <w:sz w:val="18"/>
          <w:szCs w:val="18"/>
          <w:highlight w:val="lightGray"/>
          <w:u w:val="single"/>
          <w:lang w:val="fr-FR"/>
        </w:rPr>
      </w:pPr>
    </w:p>
    <w:p w:rsidR="007709DA" w:rsidRPr="003B4FCF" w:rsidRDefault="007709DA" w:rsidP="007709DA">
      <w:pPr>
        <w:numPr>
          <w:ilvl w:val="0"/>
          <w:numId w:val="5"/>
        </w:numPr>
        <w:ind w:left="993" w:right="567" w:hanging="426"/>
        <w:contextualSpacing/>
        <w:rPr>
          <w:rFonts w:cs="Arial"/>
          <w:sz w:val="18"/>
          <w:szCs w:val="18"/>
          <w:highlight w:val="lightGray"/>
          <w:u w:val="single"/>
          <w:lang w:val="fr-FR" w:eastAsia="en-GB"/>
        </w:rPr>
      </w:pPr>
      <w:r w:rsidRPr="003B4FCF">
        <w:rPr>
          <w:rFonts w:cs="Arial"/>
          <w:sz w:val="18"/>
          <w:szCs w:val="18"/>
          <w:highlight w:val="lightGray"/>
          <w:u w:val="single"/>
          <w:lang w:val="fr-FR" w:eastAsia="en-GB"/>
        </w:rPr>
        <w:t>les problèmes techniques sont transmis à l’expert principal;</w:t>
      </w:r>
    </w:p>
    <w:p w:rsidR="007709DA" w:rsidRPr="003B4FCF" w:rsidRDefault="007709DA" w:rsidP="007709DA">
      <w:pPr>
        <w:numPr>
          <w:ilvl w:val="0"/>
          <w:numId w:val="5"/>
        </w:numPr>
        <w:ind w:left="993" w:right="567" w:hanging="426"/>
        <w:contextualSpacing/>
        <w:rPr>
          <w:rFonts w:cs="Arial"/>
          <w:sz w:val="18"/>
          <w:szCs w:val="18"/>
          <w:highlight w:val="lightGray"/>
          <w:u w:val="single"/>
          <w:lang w:val="fr-FR" w:eastAsia="en-GB"/>
        </w:rPr>
      </w:pPr>
      <w:r w:rsidRPr="003B4FCF">
        <w:rPr>
          <w:rFonts w:cs="Arial"/>
          <w:sz w:val="18"/>
          <w:szCs w:val="18"/>
          <w:highlight w:val="lightGray"/>
          <w:u w:val="single"/>
          <w:lang w:val="fr-FR" w:eastAsia="en-GB"/>
        </w:rPr>
        <w:t>les problèmes techniques doivent être examinés par le groupe de travail technique correspondant sur la base du document TWP établi par l’expert principal au moins quatre semaines avant la session du TWP (il n’y a pas lieu d’établir un nouveau projet de principes directeurs d’examen);</w:t>
      </w:r>
    </w:p>
    <w:p w:rsidR="007709DA" w:rsidRPr="003B4FCF" w:rsidRDefault="007709DA" w:rsidP="007709DA">
      <w:pPr>
        <w:numPr>
          <w:ilvl w:val="0"/>
          <w:numId w:val="5"/>
        </w:numPr>
        <w:ind w:left="993" w:right="567" w:hanging="426"/>
        <w:contextualSpacing/>
        <w:rPr>
          <w:rFonts w:cs="Arial"/>
          <w:sz w:val="18"/>
          <w:szCs w:val="18"/>
          <w:highlight w:val="lightGray"/>
          <w:u w:val="single"/>
          <w:lang w:val="fr-FR" w:eastAsia="en-GB"/>
        </w:rPr>
      </w:pPr>
      <w:r w:rsidRPr="003B4FCF">
        <w:rPr>
          <w:rFonts w:cs="Arial"/>
          <w:sz w:val="18"/>
          <w:szCs w:val="18"/>
          <w:highlight w:val="lightGray"/>
          <w:u w:val="single"/>
          <w:lang w:val="fr-FR" w:eastAsia="en-GB"/>
        </w:rPr>
        <w:t>la résolution des problèmes doit être communiquée au TC</w:t>
      </w:r>
      <w:r w:rsidRPr="003B4FCF">
        <w:rPr>
          <w:rFonts w:cs="Arial"/>
          <w:sz w:val="18"/>
          <w:szCs w:val="18"/>
          <w:highlight w:val="lightGray"/>
          <w:u w:val="single"/>
          <w:lang w:val="fr-FR" w:eastAsia="en-GB"/>
        </w:rPr>
        <w:noBreakHyphen/>
        <w:t>EDC au moins sept semaines avant la réunion du TC</w:t>
      </w:r>
      <w:r w:rsidRPr="003B4FCF">
        <w:rPr>
          <w:rFonts w:cs="Arial"/>
          <w:sz w:val="18"/>
          <w:szCs w:val="18"/>
          <w:highlight w:val="lightGray"/>
          <w:u w:val="single"/>
          <w:lang w:val="fr-FR" w:eastAsia="en-GB"/>
        </w:rPr>
        <w:noBreakHyphen/>
        <w:t>EDC;</w:t>
      </w:r>
    </w:p>
    <w:p w:rsidR="007709DA" w:rsidRPr="003B4FCF" w:rsidRDefault="007709DA" w:rsidP="007709DA">
      <w:pPr>
        <w:numPr>
          <w:ilvl w:val="0"/>
          <w:numId w:val="4"/>
        </w:numPr>
        <w:ind w:left="993" w:right="567" w:hanging="426"/>
        <w:contextualSpacing/>
        <w:rPr>
          <w:rFonts w:cs="Arial"/>
          <w:sz w:val="18"/>
          <w:szCs w:val="18"/>
          <w:highlight w:val="lightGray"/>
          <w:u w:val="single"/>
          <w:lang w:val="fr-FR" w:eastAsia="en-GB"/>
        </w:rPr>
      </w:pPr>
      <w:r w:rsidRPr="003B4FCF">
        <w:rPr>
          <w:rFonts w:cs="Arial"/>
          <w:sz w:val="18"/>
          <w:szCs w:val="18"/>
          <w:highlight w:val="lightGray"/>
          <w:u w:val="single"/>
          <w:lang w:val="fr-FR" w:eastAsia="en-GB"/>
        </w:rPr>
        <w:t>en cas d’approbation par le TC</w:t>
      </w:r>
      <w:r w:rsidRPr="003B4FCF">
        <w:rPr>
          <w:rFonts w:cs="Arial"/>
          <w:sz w:val="18"/>
          <w:szCs w:val="18"/>
          <w:highlight w:val="lightGray"/>
          <w:u w:val="single"/>
          <w:lang w:val="fr-FR" w:eastAsia="en-GB"/>
        </w:rPr>
        <w:noBreakHyphen/>
        <w:t>EDC, les principes directeurs d’examen seraient recommandés pour adoption à la réunion du TC</w:t>
      </w:r>
      <w:r w:rsidRPr="003B4FCF">
        <w:rPr>
          <w:rFonts w:cs="Arial"/>
          <w:sz w:val="18"/>
          <w:szCs w:val="18"/>
          <w:highlight w:val="lightGray"/>
          <w:u w:val="single"/>
          <w:lang w:val="fr-FR" w:eastAsia="en-GB"/>
        </w:rPr>
        <w:noBreakHyphen/>
        <w:t>EDC;</w:t>
      </w:r>
    </w:p>
    <w:p w:rsidR="007709DA" w:rsidRPr="003B4FCF" w:rsidRDefault="007709DA" w:rsidP="007709DA">
      <w:pPr>
        <w:numPr>
          <w:ilvl w:val="0"/>
          <w:numId w:val="4"/>
        </w:numPr>
        <w:ind w:left="993" w:right="567" w:hanging="426"/>
        <w:contextualSpacing/>
        <w:rPr>
          <w:rFonts w:cs="Arial"/>
          <w:sz w:val="18"/>
          <w:szCs w:val="18"/>
          <w:highlight w:val="lightGray"/>
          <w:u w:val="single"/>
          <w:lang w:val="fr-FR" w:eastAsia="en-GB"/>
        </w:rPr>
      </w:pPr>
      <w:r w:rsidRPr="003B4FCF">
        <w:rPr>
          <w:rFonts w:cs="Arial"/>
          <w:sz w:val="18"/>
          <w:szCs w:val="18"/>
          <w:highlight w:val="lightGray"/>
          <w:u w:val="single"/>
          <w:lang w:val="fr-FR" w:eastAsia="en-GB"/>
        </w:rPr>
        <w:t>les principes directeurs d’examen sont examinés en vue de leur adoption par le TC.</w:t>
      </w:r>
    </w:p>
    <w:p w:rsidR="007709DA" w:rsidRPr="003B4FCF" w:rsidRDefault="007709DA" w:rsidP="007709DA">
      <w:pPr>
        <w:ind w:left="567" w:right="567"/>
        <w:rPr>
          <w:sz w:val="18"/>
          <w:szCs w:val="18"/>
          <w:lang w:val="fr-FR"/>
        </w:rPr>
      </w:pPr>
    </w:p>
    <w:p w:rsidR="007709DA" w:rsidRPr="003B4FCF" w:rsidRDefault="007709DA" w:rsidP="007709DA">
      <w:pPr>
        <w:ind w:left="567" w:right="567"/>
        <w:rPr>
          <w:sz w:val="18"/>
          <w:szCs w:val="18"/>
          <w:u w:val="single"/>
          <w:lang w:val="fr-FR"/>
        </w:rPr>
      </w:pPr>
      <w:r w:rsidRPr="003B4FCF">
        <w:rPr>
          <w:sz w:val="18"/>
          <w:szCs w:val="18"/>
          <w:highlight w:val="lightGray"/>
          <w:u w:val="single"/>
          <w:lang w:val="fr-FR"/>
        </w:rPr>
        <w:t>"</w:t>
      </w:r>
      <w:r w:rsidRPr="003B4FCF">
        <w:rPr>
          <w:sz w:val="18"/>
          <w:szCs w:val="18"/>
          <w:u w:val="single"/>
          <w:lang w:val="fr-FR"/>
        </w:rPr>
        <w:t>2.2.8</w:t>
      </w:r>
      <w:r w:rsidRPr="003B4FCF">
        <w:rPr>
          <w:sz w:val="18"/>
          <w:szCs w:val="18"/>
          <w:u w:val="single"/>
          <w:lang w:val="fr-FR"/>
        </w:rPr>
        <w:tab/>
      </w:r>
      <w:r w:rsidRPr="003B4FCF">
        <w:rPr>
          <w:sz w:val="18"/>
          <w:szCs w:val="18"/>
          <w:u w:val="single"/>
          <w:bdr w:val="single" w:sz="4" w:space="0" w:color="auto"/>
          <w:lang w:val="fr-FR"/>
        </w:rPr>
        <w:t>ÉTAPE 8</w:t>
      </w:r>
      <w:r w:rsidRPr="003B4FCF">
        <w:rPr>
          <w:sz w:val="18"/>
          <w:szCs w:val="18"/>
          <w:u w:val="single"/>
          <w:lang w:val="fr-FR"/>
        </w:rPr>
        <w:t xml:space="preserve"> </w:t>
      </w:r>
      <w:r w:rsidRPr="003B4FCF">
        <w:rPr>
          <w:sz w:val="18"/>
          <w:szCs w:val="18"/>
          <w:u w:val="single"/>
          <w:lang w:val="fr-FR"/>
        </w:rPr>
        <w:tab/>
        <w:t>Adoption des projets de principes directeurs d’examen par le Comité technique</w:t>
      </w:r>
    </w:p>
    <w:p w:rsidR="007709DA" w:rsidRPr="003B4FCF" w:rsidRDefault="007709DA" w:rsidP="007709DA">
      <w:pPr>
        <w:ind w:left="567" w:right="567"/>
        <w:rPr>
          <w:sz w:val="18"/>
          <w:szCs w:val="18"/>
          <w:lang w:val="fr-FR"/>
        </w:rPr>
      </w:pPr>
    </w:p>
    <w:p w:rsidR="007709DA" w:rsidRPr="003B4FCF" w:rsidRDefault="007709DA" w:rsidP="007709DA">
      <w:pPr>
        <w:ind w:left="567" w:right="567"/>
        <w:rPr>
          <w:sz w:val="18"/>
          <w:szCs w:val="18"/>
          <w:lang w:val="fr-FR"/>
        </w:rPr>
      </w:pPr>
      <w:r w:rsidRPr="003B4FCF">
        <w:rPr>
          <w:sz w:val="18"/>
          <w:szCs w:val="18"/>
          <w:lang w:val="fr-FR"/>
        </w:rPr>
        <w:t>"2.2.8.1</w:t>
      </w:r>
      <w:r w:rsidRPr="003B4FCF">
        <w:rPr>
          <w:sz w:val="18"/>
          <w:szCs w:val="18"/>
          <w:lang w:val="fr-FR"/>
        </w:rPr>
        <w:tab/>
        <w:t>Sur la base des recommandations formulées par le TC</w:t>
      </w:r>
      <w:r w:rsidRPr="003B4FCF">
        <w:rPr>
          <w:sz w:val="18"/>
          <w:szCs w:val="18"/>
          <w:lang w:val="fr-FR"/>
        </w:rPr>
        <w:noBreakHyphen/>
        <w:t>EDC, le Comité technique décide d’adopter les principes directeurs d’examen ou de les renvoyer au TWP concerné.</w:t>
      </w:r>
    </w:p>
    <w:p w:rsidR="007709DA" w:rsidRPr="003B4FCF" w:rsidRDefault="007709DA" w:rsidP="007709DA">
      <w:pPr>
        <w:ind w:left="567" w:right="567"/>
        <w:rPr>
          <w:sz w:val="18"/>
          <w:szCs w:val="18"/>
          <w:lang w:val="fr-FR"/>
        </w:rPr>
      </w:pPr>
    </w:p>
    <w:p w:rsidR="007709DA" w:rsidRPr="003B4FCF" w:rsidRDefault="007709DA" w:rsidP="007709DA">
      <w:pPr>
        <w:ind w:left="567" w:right="567"/>
        <w:rPr>
          <w:sz w:val="18"/>
          <w:szCs w:val="18"/>
          <w:highlight w:val="lightGray"/>
          <w:u w:val="single"/>
          <w:lang w:val="fr-FR"/>
        </w:rPr>
      </w:pPr>
      <w:r w:rsidRPr="003B4FCF">
        <w:rPr>
          <w:sz w:val="18"/>
          <w:szCs w:val="18"/>
          <w:highlight w:val="lightGray"/>
          <w:u w:val="single"/>
          <w:lang w:val="fr-FR"/>
        </w:rPr>
        <w:t>“NOUVEAU</w:t>
      </w:r>
      <w:r w:rsidRPr="003B4FCF">
        <w:rPr>
          <w:sz w:val="18"/>
          <w:szCs w:val="18"/>
          <w:highlight w:val="lightGray"/>
          <w:u w:val="single"/>
          <w:lang w:val="fr-FR"/>
        </w:rPr>
        <w:tab/>
        <w:t>Le Comité technique peut adopter les principes directeurs d’examen à sa session ou par correspondance.  Les principes directeurs d’examen peuvent être adoptés par correspondance selon la procédure suivante :</w:t>
      </w:r>
    </w:p>
    <w:p w:rsidR="007709DA" w:rsidRPr="003B4FCF" w:rsidRDefault="007709DA" w:rsidP="007709DA">
      <w:pPr>
        <w:ind w:left="567" w:right="567"/>
        <w:rPr>
          <w:sz w:val="18"/>
          <w:szCs w:val="18"/>
          <w:highlight w:val="lightGray"/>
          <w:u w:val="single"/>
          <w:lang w:val="fr-FR"/>
        </w:rPr>
      </w:pPr>
    </w:p>
    <w:p w:rsidR="007709DA" w:rsidRPr="003B4FCF" w:rsidRDefault="007709DA" w:rsidP="007709DA">
      <w:pPr>
        <w:numPr>
          <w:ilvl w:val="0"/>
          <w:numId w:val="3"/>
        </w:numPr>
        <w:tabs>
          <w:tab w:val="left" w:pos="1134"/>
          <w:tab w:val="left" w:pos="5387"/>
        </w:tabs>
        <w:ind w:left="1134" w:right="567" w:hanging="567"/>
        <w:contextualSpacing/>
        <w:rPr>
          <w:rFonts w:cs="Arial"/>
          <w:sz w:val="18"/>
          <w:szCs w:val="18"/>
          <w:highlight w:val="lightGray"/>
          <w:u w:val="single"/>
          <w:lang w:val="fr-FR" w:eastAsia="en-GB"/>
        </w:rPr>
      </w:pPr>
      <w:r w:rsidRPr="003B4FCF">
        <w:rPr>
          <w:rFonts w:cs="Arial"/>
          <w:sz w:val="18"/>
          <w:szCs w:val="18"/>
          <w:highlight w:val="lightGray"/>
          <w:u w:val="single"/>
          <w:lang w:val="fr-FR" w:eastAsia="en-GB"/>
        </w:rPr>
        <w:t>Les projets de principes directeurs d’examen sont communiqués au TC pour adoption par correspondance avec les recommandations formulées par le TC</w:t>
      </w:r>
      <w:r w:rsidRPr="003B4FCF">
        <w:rPr>
          <w:rFonts w:cs="Arial"/>
          <w:sz w:val="18"/>
          <w:szCs w:val="18"/>
          <w:highlight w:val="lightGray"/>
          <w:u w:val="single"/>
          <w:lang w:val="fr-FR" w:eastAsia="en-GB"/>
        </w:rPr>
        <w:noBreakHyphen/>
        <w:t>EDC;</w:t>
      </w:r>
    </w:p>
    <w:p w:rsidR="007709DA" w:rsidRPr="003B4FCF" w:rsidRDefault="007709DA" w:rsidP="007709DA">
      <w:pPr>
        <w:numPr>
          <w:ilvl w:val="0"/>
          <w:numId w:val="3"/>
        </w:numPr>
        <w:tabs>
          <w:tab w:val="left" w:pos="1134"/>
          <w:tab w:val="left" w:pos="5387"/>
        </w:tabs>
        <w:ind w:left="1134" w:right="567" w:hanging="567"/>
        <w:contextualSpacing/>
        <w:rPr>
          <w:rFonts w:cs="Arial"/>
          <w:sz w:val="18"/>
          <w:szCs w:val="18"/>
          <w:highlight w:val="lightGray"/>
          <w:u w:val="single"/>
          <w:lang w:val="fr-FR" w:eastAsia="en-GB"/>
        </w:rPr>
      </w:pPr>
      <w:r w:rsidRPr="003B4FCF">
        <w:rPr>
          <w:rFonts w:cs="Arial"/>
          <w:sz w:val="18"/>
          <w:szCs w:val="18"/>
          <w:highlight w:val="lightGray"/>
          <w:u w:val="single"/>
          <w:lang w:val="fr-FR" w:eastAsia="en-GB"/>
        </w:rPr>
        <w:t>Les projets de principes directeurs d’examen sont considérés comme adoptés si aucune observation n’a été reçue dans un délai de six semaines;</w:t>
      </w:r>
    </w:p>
    <w:p w:rsidR="007709DA" w:rsidRPr="003B4FCF" w:rsidRDefault="007709DA" w:rsidP="007709DA">
      <w:pPr>
        <w:numPr>
          <w:ilvl w:val="0"/>
          <w:numId w:val="3"/>
        </w:numPr>
        <w:tabs>
          <w:tab w:val="left" w:pos="1134"/>
          <w:tab w:val="left" w:pos="5387"/>
        </w:tabs>
        <w:ind w:left="1134" w:right="567" w:hanging="567"/>
        <w:contextualSpacing/>
        <w:rPr>
          <w:rFonts w:cs="Arial"/>
          <w:sz w:val="18"/>
          <w:szCs w:val="18"/>
          <w:highlight w:val="lightGray"/>
          <w:u w:val="single"/>
          <w:lang w:val="fr-FR" w:eastAsia="en-GB"/>
        </w:rPr>
      </w:pPr>
      <w:r w:rsidRPr="003B4FCF">
        <w:rPr>
          <w:rFonts w:cs="Arial"/>
          <w:sz w:val="18"/>
          <w:szCs w:val="18"/>
          <w:highlight w:val="lightGray"/>
          <w:u w:val="single"/>
          <w:lang w:val="fr-FR" w:eastAsia="en-GB"/>
        </w:rPr>
        <w:t>Si des observations sont formulées, les projets de principes directeurs d’examen sont renvoyés au TWP concerné pour qu’il en tienne compte.</w:t>
      </w:r>
    </w:p>
    <w:p w:rsidR="007709DA" w:rsidRPr="003B4FCF" w:rsidRDefault="007709DA" w:rsidP="007709DA">
      <w:pPr>
        <w:ind w:left="567" w:right="567"/>
        <w:rPr>
          <w:sz w:val="18"/>
          <w:szCs w:val="18"/>
          <w:lang w:val="fr-FR"/>
        </w:rPr>
      </w:pPr>
    </w:p>
    <w:p w:rsidR="007709DA" w:rsidRPr="003B4FCF" w:rsidRDefault="007709DA" w:rsidP="007709DA">
      <w:pPr>
        <w:ind w:left="567" w:right="567"/>
        <w:rPr>
          <w:sz w:val="18"/>
          <w:szCs w:val="18"/>
          <w:lang w:val="fr-FR"/>
        </w:rPr>
      </w:pPr>
      <w:r w:rsidRPr="003B4FCF">
        <w:rPr>
          <w:sz w:val="18"/>
          <w:szCs w:val="18"/>
          <w:lang w:val="fr-FR"/>
        </w:rPr>
        <w:t>"2.2.8.2</w:t>
      </w:r>
      <w:r w:rsidRPr="003B4FCF">
        <w:rPr>
          <w:sz w:val="18"/>
          <w:szCs w:val="18"/>
          <w:lang w:val="fr-FR"/>
        </w:rPr>
        <w:tab/>
        <w:t>Une fois que le Comité technique a adopté les principes directeurs d’examen, le Bureau apporte toutes les modifications arrêtées par le Comité technique, qui sont consignées dans le rapport sur la réunion pertinente du Comité technique.  Le Bureau publie ensuite les principes directeurs d’examen adoptés.</w:t>
      </w:r>
    </w:p>
    <w:p w:rsidR="007709DA" w:rsidRPr="003B4FCF" w:rsidRDefault="007709DA" w:rsidP="007709DA">
      <w:pPr>
        <w:ind w:left="567" w:right="567"/>
        <w:rPr>
          <w:strike/>
          <w:sz w:val="18"/>
          <w:szCs w:val="18"/>
          <w:lang w:val="fr-FR"/>
        </w:rPr>
      </w:pPr>
    </w:p>
    <w:p w:rsidR="007709DA" w:rsidRPr="003B4FCF" w:rsidRDefault="007709DA" w:rsidP="007709DA">
      <w:pPr>
        <w:ind w:left="567" w:right="567"/>
        <w:rPr>
          <w:strike/>
          <w:sz w:val="18"/>
          <w:szCs w:val="18"/>
          <w:lang w:val="fr-FR"/>
        </w:rPr>
      </w:pPr>
      <w:r w:rsidRPr="003B4FCF">
        <w:rPr>
          <w:strike/>
          <w:sz w:val="18"/>
          <w:szCs w:val="18"/>
          <w:highlight w:val="lightGray"/>
          <w:lang w:val="fr-FR"/>
        </w:rPr>
        <w:t>"2.2.8.3</w:t>
      </w:r>
      <w:r w:rsidRPr="003B4FCF">
        <w:rPr>
          <w:strike/>
          <w:sz w:val="18"/>
          <w:szCs w:val="18"/>
          <w:highlight w:val="lightGray"/>
          <w:lang w:val="fr-FR"/>
        </w:rPr>
        <w:tab/>
        <w:t>Si le Comité technique adopte les principes directeurs d’examen sous réserve de renseignements supplémentaires à présenter par l’expert principal avec l’accord de tous les experts intéressés et du président du TWP concerné (voir la section 2.2.7.3.b)), les renseignements nécessaires, approuvés par tous les experts intéressés, doivent être fournis au Bureau dans un délai de trois mois suivant la réunion du Comité technique ou avant la session suivante du TWP concerné si ce délai est plus court.  Si les renseignements nécessaires ne sont pas communiqués dans ce délai, les principes directeurs d’examen concernés ne sont pas adoptés et sont soumis de nouveau au TWP concerné (étape 4).</w:t>
      </w:r>
    </w:p>
    <w:p w:rsidR="007709DA" w:rsidRPr="003B4FCF" w:rsidRDefault="007709DA" w:rsidP="007709DA">
      <w:pPr>
        <w:rPr>
          <w:lang w:val="fr-FR"/>
        </w:rPr>
      </w:pPr>
    </w:p>
    <w:p w:rsidR="00BD693E" w:rsidRPr="003B4FCF" w:rsidRDefault="00BD693E" w:rsidP="00BD693E">
      <w:pPr>
        <w:rPr>
          <w:lang w:val="fr-FR"/>
        </w:rPr>
      </w:pPr>
    </w:p>
    <w:p w:rsidR="00BD693E" w:rsidRPr="003B4FCF" w:rsidRDefault="00BD693E" w:rsidP="00BD693E">
      <w:pPr>
        <w:rPr>
          <w:lang w:val="fr-FR"/>
        </w:rPr>
      </w:pPr>
    </w:p>
    <w:p w:rsidR="00465412" w:rsidRPr="003B4FCF" w:rsidRDefault="00273B07" w:rsidP="00273B07">
      <w:pPr>
        <w:jc w:val="right"/>
        <w:rPr>
          <w:lang w:val="fr-FR"/>
        </w:rPr>
      </w:pPr>
      <w:r w:rsidRPr="003B4FCF">
        <w:rPr>
          <w:lang w:val="fr-FR"/>
        </w:rPr>
        <w:t>[</w:t>
      </w:r>
      <w:r w:rsidR="00A66FC4" w:rsidRPr="003B4FCF">
        <w:rPr>
          <w:lang w:val="fr-FR"/>
        </w:rPr>
        <w:t>L</w:t>
      </w:r>
      <w:r w:rsidR="005D3B5B" w:rsidRPr="003B4FCF">
        <w:rPr>
          <w:lang w:val="fr-FR"/>
        </w:rPr>
        <w:t>’</w:t>
      </w:r>
      <w:r w:rsidR="00A66FC4" w:rsidRPr="003B4FCF">
        <w:rPr>
          <w:lang w:val="fr-FR"/>
        </w:rPr>
        <w:t>a</w:t>
      </w:r>
      <w:r w:rsidRPr="003B4FCF">
        <w:rPr>
          <w:lang w:val="fr-FR"/>
        </w:rPr>
        <w:t>nnex</w:t>
      </w:r>
      <w:r w:rsidR="00A66FC4" w:rsidRPr="003B4FCF">
        <w:rPr>
          <w:lang w:val="fr-FR"/>
        </w:rPr>
        <w:t>e</w:t>
      </w:r>
      <w:r w:rsidR="00A618B2" w:rsidRPr="003B4FCF">
        <w:rPr>
          <w:lang w:val="fr-FR"/>
        </w:rPr>
        <w:t> </w:t>
      </w:r>
      <w:r w:rsidRPr="003B4FCF">
        <w:rPr>
          <w:lang w:val="fr-FR"/>
        </w:rPr>
        <w:t xml:space="preserve">II </w:t>
      </w:r>
      <w:r w:rsidR="00A66FC4" w:rsidRPr="003B4FCF">
        <w:rPr>
          <w:lang w:val="fr-FR"/>
        </w:rPr>
        <w:t>suit</w:t>
      </w:r>
      <w:r w:rsidRPr="003B4FCF">
        <w:rPr>
          <w:lang w:val="fr-FR"/>
        </w:rPr>
        <w:t>]</w:t>
      </w:r>
    </w:p>
    <w:p w:rsidR="00465412" w:rsidRPr="003B4FCF" w:rsidRDefault="00465412" w:rsidP="00273B07">
      <w:pPr>
        <w:rPr>
          <w:lang w:val="fr-FR"/>
        </w:rPr>
      </w:pPr>
    </w:p>
    <w:p w:rsidR="00273B07" w:rsidRPr="003B4FCF" w:rsidRDefault="00273B07" w:rsidP="00273B07">
      <w:pPr>
        <w:rPr>
          <w:lang w:val="fr-FR"/>
        </w:rPr>
        <w:sectPr w:rsidR="00273B07" w:rsidRPr="003B4FCF" w:rsidSect="00273B07">
          <w:headerReference w:type="default" r:id="rId14"/>
          <w:footerReference w:type="default" r:id="rId15"/>
          <w:headerReference w:type="first" r:id="rId16"/>
          <w:footnotePr>
            <w:numRestart w:val="eachSect"/>
          </w:footnotePr>
          <w:pgSz w:w="11907" w:h="16840" w:code="9"/>
          <w:pgMar w:top="510" w:right="1134" w:bottom="709" w:left="1134" w:header="510" w:footer="680" w:gutter="0"/>
          <w:pgNumType w:start="1"/>
          <w:cols w:space="720"/>
          <w:titlePg/>
        </w:sectPr>
      </w:pPr>
    </w:p>
    <w:p w:rsidR="00E23344" w:rsidRPr="003B4FCF" w:rsidRDefault="00E23344" w:rsidP="00E23344">
      <w:pPr>
        <w:jc w:val="center"/>
        <w:rPr>
          <w:lang w:val="fr-FR"/>
        </w:rPr>
      </w:pPr>
      <w:r w:rsidRPr="003B4FCF">
        <w:rPr>
          <w:lang w:val="fr-FR"/>
        </w:rPr>
        <w:lastRenderedPageBreak/>
        <w:t>RÉVISIONS DU DOCUMENT TGP/8 “PROTOCOLE D’ESSAI ET TECHNIQUES UTILISÉS DANS L’EXAMEN DE LA DISTINCTION, DE L’HOMOGÉNÉITÉ ET DE LA STABILITÉ”</w:t>
      </w:r>
    </w:p>
    <w:p w:rsidR="00E23344" w:rsidRPr="003B4FCF" w:rsidRDefault="00E23344" w:rsidP="00E23344">
      <w:pPr>
        <w:jc w:val="center"/>
        <w:rPr>
          <w:lang w:val="fr-FR"/>
        </w:rPr>
      </w:pPr>
      <w:r w:rsidRPr="003B4FCF">
        <w:rPr>
          <w:lang w:val="fr-FR"/>
        </w:rPr>
        <w:t xml:space="preserve">APPROUVÉES PAR LE COMITÉ TECHNIQUE À SES </w:t>
      </w:r>
      <w:r w:rsidRPr="003B4FCF">
        <w:rPr>
          <w:lang w:val="fr-FR"/>
        </w:rPr>
        <w:br/>
        <w:t>CINQUANTE-TROISIÈME</w:t>
      </w:r>
      <w:r w:rsidRPr="003B4FCF">
        <w:rPr>
          <w:rStyle w:val="FootnoteReference"/>
          <w:lang w:val="fr-FR"/>
        </w:rPr>
        <w:footnoteReference w:id="18"/>
      </w:r>
      <w:r w:rsidRPr="003B4FCF">
        <w:rPr>
          <w:lang w:val="fr-FR"/>
        </w:rPr>
        <w:t xml:space="preserve"> ET CINQUANTE-QUATRIÈME</w:t>
      </w:r>
      <w:r w:rsidRPr="003B4FCF">
        <w:rPr>
          <w:rStyle w:val="FootnoteReference"/>
          <w:lang w:val="fr-FR"/>
        </w:rPr>
        <w:footnoteReference w:id="19"/>
      </w:r>
      <w:r w:rsidRPr="003B4FCF">
        <w:rPr>
          <w:lang w:val="fr-FR"/>
        </w:rPr>
        <w:t xml:space="preserve"> SESSIONS</w:t>
      </w:r>
    </w:p>
    <w:p w:rsidR="00E23344" w:rsidRPr="003B4FCF" w:rsidRDefault="00E23344" w:rsidP="00E23344">
      <w:pPr>
        <w:jc w:val="center"/>
        <w:rPr>
          <w:caps/>
          <w:lang w:val="fr-FR"/>
        </w:rPr>
      </w:pPr>
    </w:p>
    <w:p w:rsidR="00E23344" w:rsidRPr="003B4FCF" w:rsidRDefault="00E23344" w:rsidP="00E23344">
      <w:pPr>
        <w:jc w:val="center"/>
        <w:rPr>
          <w:lang w:val="fr-FR"/>
        </w:rPr>
      </w:pPr>
    </w:p>
    <w:p w:rsidR="00E23344" w:rsidRPr="003B4FCF" w:rsidRDefault="00E23344" w:rsidP="00E23344">
      <w:pPr>
        <w:rPr>
          <w:lang w:val="fr-FR"/>
        </w:rPr>
      </w:pPr>
      <w:r w:rsidRPr="003B4FCF">
        <w:rPr>
          <w:lang w:val="fr-FR"/>
        </w:rPr>
        <mc:AlternateContent>
          <mc:Choice Requires="wps">
            <w:drawing>
              <wp:anchor distT="0" distB="0" distL="114300" distR="114300" simplePos="0" relativeHeight="251665408" behindDoc="0" locked="0" layoutInCell="1" allowOverlap="1" wp14:anchorId="15EA49DB" wp14:editId="58200217">
                <wp:simplePos x="0" y="0"/>
                <wp:positionH relativeFrom="column">
                  <wp:align>center</wp:align>
                </wp:positionH>
                <wp:positionV relativeFrom="paragraph">
                  <wp:posOffset>0</wp:posOffset>
                </wp:positionV>
                <wp:extent cx="4119842" cy="402609"/>
                <wp:effectExtent l="0" t="0" r="14605"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842" cy="402609"/>
                        </a:xfrm>
                        <a:prstGeom prst="rect">
                          <a:avLst/>
                        </a:prstGeom>
                        <a:solidFill>
                          <a:srgbClr val="FFFFFF"/>
                        </a:solidFill>
                        <a:ln w="9525">
                          <a:solidFill>
                            <a:srgbClr val="000000"/>
                          </a:solidFill>
                          <a:miter lim="800000"/>
                          <a:headEnd/>
                          <a:tailEnd/>
                        </a:ln>
                      </wps:spPr>
                      <wps:txbx>
                        <w:txbxContent>
                          <w:p w:rsidR="00E23344" w:rsidRPr="008E5756" w:rsidRDefault="00E23344" w:rsidP="00E23344">
                            <w:pPr>
                              <w:jc w:val="center"/>
                              <w:rPr>
                                <w:lang w:val="fr-CH"/>
                              </w:rPr>
                            </w:pPr>
                            <w:r w:rsidRPr="008E5756">
                              <w:rPr>
                                <w:strike/>
                                <w:highlight w:val="lightGray"/>
                                <w:lang w:val="fr-CH"/>
                              </w:rPr>
                              <w:t>Le texte biffé</w:t>
                            </w:r>
                            <w:r w:rsidRPr="008E5756">
                              <w:rPr>
                                <w:highlight w:val="lightGray"/>
                                <w:lang w:val="fr-CH"/>
                              </w:rPr>
                              <w:t xml:space="preserve"> en surbrillance </w:t>
                            </w:r>
                            <w:r w:rsidRPr="008E5756">
                              <w:rPr>
                                <w:lang w:val="fr-CH"/>
                              </w:rPr>
                              <w:t xml:space="preserve">a été supprimé et </w:t>
                            </w:r>
                            <w:r w:rsidRPr="008E5756">
                              <w:rPr>
                                <w:highlight w:val="lightGray"/>
                                <w:u w:val="single"/>
                                <w:lang w:val="fr-CH"/>
                              </w:rPr>
                              <w:t>le texte souligné</w:t>
                            </w:r>
                            <w:r w:rsidRPr="008E5756">
                              <w:rPr>
                                <w:highlight w:val="lightGray"/>
                                <w:lang w:val="fr-CH"/>
                              </w:rPr>
                              <w:t xml:space="preserve"> en surbrillance </w:t>
                            </w:r>
                            <w:r w:rsidRPr="008E5756">
                              <w:rPr>
                                <w:lang w:val="fr-CH"/>
                              </w:rPr>
                              <w:t>a été ajouté.</w:t>
                            </w:r>
                          </w:p>
                          <w:p w:rsidR="00E23344" w:rsidRPr="008E5756" w:rsidRDefault="00E23344" w:rsidP="00E23344">
                            <w:pPr>
                              <w:rPr>
                                <w:lang w:val="fr-C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A49DB" id="_x0000_s1027" type="#_x0000_t202" style="position:absolute;left:0;text-align:left;margin-left:0;margin-top:0;width:324.4pt;height:31.7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">
                <v:textbox>
                  <w:txbxContent>
                    <w:p w:rsidR="00E23344" w:rsidRPr="008E5756" w:rsidRDefault="00E23344" w:rsidP="00E23344">
                      <w:pPr>
                        <w:jc w:val="center"/>
                        <w:rPr>
                          <w:lang w:val="fr-CH"/>
                        </w:rPr>
                      </w:pPr>
                      <w:r w:rsidRPr="008E5756">
                        <w:rPr>
                          <w:strike/>
                          <w:highlight w:val="lightGray"/>
                          <w:lang w:val="fr-CH"/>
                        </w:rPr>
                        <w:t>Le texte biffé</w:t>
                      </w:r>
                      <w:r w:rsidRPr="008E5756">
                        <w:rPr>
                          <w:highlight w:val="lightGray"/>
                          <w:lang w:val="fr-CH"/>
                        </w:rPr>
                        <w:t xml:space="preserve"> en surbrillance </w:t>
                      </w:r>
                      <w:r w:rsidRPr="008E5756">
                        <w:rPr>
                          <w:lang w:val="fr-CH"/>
                        </w:rPr>
                        <w:t xml:space="preserve">a été supprimé et </w:t>
                      </w:r>
                      <w:r w:rsidRPr="008E5756">
                        <w:rPr>
                          <w:highlight w:val="lightGray"/>
                          <w:u w:val="single"/>
                          <w:lang w:val="fr-CH"/>
                        </w:rPr>
                        <w:t>le texte souligné</w:t>
                      </w:r>
                      <w:r w:rsidRPr="008E5756">
                        <w:rPr>
                          <w:highlight w:val="lightGray"/>
                          <w:lang w:val="fr-CH"/>
                        </w:rPr>
                        <w:t xml:space="preserve"> en surbrillance </w:t>
                      </w:r>
                      <w:r w:rsidRPr="008E5756">
                        <w:rPr>
                          <w:lang w:val="fr-CH"/>
                        </w:rPr>
                        <w:t>a été ajouté.</w:t>
                      </w:r>
                    </w:p>
                    <w:p w:rsidR="00E23344" w:rsidRPr="008E5756" w:rsidRDefault="00E23344" w:rsidP="00E23344">
                      <w:pPr>
                        <w:rPr>
                          <w:lang w:val="fr-CH"/>
                        </w:rPr>
                      </w:pPr>
                    </w:p>
                  </w:txbxContent>
                </v:textbox>
              </v:shape>
            </w:pict>
          </mc:Fallback>
        </mc:AlternateContent>
      </w:r>
    </w:p>
    <w:p w:rsidR="00E23344" w:rsidRPr="003B4FCF" w:rsidRDefault="00E23344" w:rsidP="00E23344">
      <w:pPr>
        <w:rPr>
          <w:lang w:val="fr-FR"/>
        </w:rPr>
      </w:pPr>
    </w:p>
    <w:p w:rsidR="00E23344" w:rsidRPr="003B4FCF" w:rsidRDefault="00E23344" w:rsidP="00E23344">
      <w:pPr>
        <w:rPr>
          <w:lang w:val="fr-FR"/>
        </w:rPr>
      </w:pPr>
    </w:p>
    <w:p w:rsidR="00E23344" w:rsidRPr="003B4FCF" w:rsidRDefault="00E23344" w:rsidP="00E23344">
      <w:pPr>
        <w:rPr>
          <w:lang w:val="fr-FR"/>
        </w:rPr>
      </w:pPr>
    </w:p>
    <w:p w:rsidR="00E23344" w:rsidRPr="003B4FCF" w:rsidRDefault="00E23344" w:rsidP="00E23344">
      <w:pPr>
        <w:rPr>
          <w:lang w:val="fr-FR"/>
        </w:rPr>
      </w:pPr>
    </w:p>
    <w:p w:rsidR="00E23344" w:rsidRPr="003B4FCF" w:rsidRDefault="00E23344" w:rsidP="00E23344">
      <w:pPr>
        <w:keepNext/>
        <w:rPr>
          <w:u w:val="single"/>
          <w:lang w:val="fr-FR"/>
        </w:rPr>
      </w:pPr>
      <w:r w:rsidRPr="003B4FCF">
        <w:rPr>
          <w:u w:val="single"/>
          <w:lang w:val="fr-FR"/>
        </w:rPr>
        <w:t>Examen DHS sur des échantillons globaux</w:t>
      </w:r>
    </w:p>
    <w:p w:rsidR="00E23344" w:rsidRPr="003B4FCF" w:rsidRDefault="00E23344" w:rsidP="00E23344">
      <w:pPr>
        <w:keepNext/>
        <w:rPr>
          <w:lang w:val="fr-FR"/>
        </w:rPr>
      </w:pPr>
    </w:p>
    <w:p w:rsidR="00E23344" w:rsidRPr="003B4FCF" w:rsidRDefault="00E23344" w:rsidP="00E23344">
      <w:pPr>
        <w:keepNext/>
        <w:rPr>
          <w:i/>
          <w:lang w:val="fr-FR"/>
        </w:rPr>
      </w:pPr>
      <w:r w:rsidRPr="003B4FCF">
        <w:rPr>
          <w:i/>
          <w:lang w:val="fr-FR"/>
        </w:rPr>
        <w:t>Nouvelle section 12 : Examen des caractères sur la base d’échantillons globaux</w:t>
      </w:r>
    </w:p>
    <w:p w:rsidR="00E23344" w:rsidRPr="003B4FCF" w:rsidRDefault="00E23344" w:rsidP="00E23344">
      <w:pPr>
        <w:keepNext/>
        <w:rPr>
          <w:lang w:val="fr-FR"/>
        </w:rPr>
      </w:pPr>
    </w:p>
    <w:p w:rsidR="00E23344" w:rsidRPr="003B4FCF" w:rsidRDefault="00E23344" w:rsidP="00E23344">
      <w:pPr>
        <w:keepNext/>
        <w:rPr>
          <w:lang w:val="fr-FR"/>
        </w:rPr>
      </w:pPr>
      <w:r w:rsidRPr="003B4FCF">
        <w:rPr>
          <w:lang w:val="fr-FR"/>
        </w:rPr>
        <w:t>Le TC, à sa cinquante-troisième session</w:t>
      </w:r>
      <w:r w:rsidRPr="003B4FCF">
        <w:rPr>
          <w:vertAlign w:val="superscript"/>
          <w:lang w:val="fr-FR"/>
        </w:rPr>
        <w:fldChar w:fldCharType="begin"/>
      </w:r>
      <w:r w:rsidRPr="003B4FCF">
        <w:rPr>
          <w:vertAlign w:val="superscript"/>
          <w:lang w:val="fr-FR"/>
        </w:rPr>
        <w:instrText xml:space="preserve"> NOTEREF _Ref13509596 \h  \* MERGEFORMAT </w:instrText>
      </w:r>
      <w:r w:rsidRPr="003B4FCF">
        <w:rPr>
          <w:vertAlign w:val="superscript"/>
          <w:lang w:val="fr-FR"/>
        </w:rPr>
        <w:fldChar w:fldCharType="separate"/>
      </w:r>
      <w:r w:rsidR="00B014ED">
        <w:rPr>
          <w:b/>
          <w:bCs/>
          <w:vertAlign w:val="superscript"/>
        </w:rPr>
        <w:t>Error! Bookmark not defined.</w:t>
      </w:r>
      <w:r w:rsidRPr="003B4FCF">
        <w:rPr>
          <w:vertAlign w:val="superscript"/>
          <w:lang w:val="fr-FR"/>
        </w:rPr>
        <w:fldChar w:fldCharType="end"/>
      </w:r>
      <w:r w:rsidRPr="003B4FCF">
        <w:rPr>
          <w:lang w:val="fr-FR"/>
        </w:rPr>
        <w:t>, a approuvé une liste de critères, qui servira de base à l’élaboration d’orientations, aux fins de leur inclusion dans une future version révisée du document TGP/8, comme suit (voir le document TC/53/31 “Compte rendu”, paragraphes 113 à 116):</w:t>
      </w:r>
    </w:p>
    <w:p w:rsidR="00E23344" w:rsidRPr="003B4FCF" w:rsidRDefault="00E23344" w:rsidP="00E23344">
      <w:pPr>
        <w:keepNext/>
        <w:rPr>
          <w:lang w:val="fr-FR"/>
        </w:rPr>
      </w:pPr>
    </w:p>
    <w:p w:rsidR="00E23344" w:rsidRPr="003B4FCF" w:rsidRDefault="00E23344" w:rsidP="00E23344">
      <w:pPr>
        <w:keepNext/>
        <w:ind w:left="567" w:right="567"/>
        <w:rPr>
          <w:b/>
          <w:sz w:val="18"/>
          <w:highlight w:val="lightGray"/>
          <w:u w:val="single"/>
          <w:lang w:val="fr-FR"/>
        </w:rPr>
      </w:pPr>
      <w:r w:rsidRPr="003B4FCF">
        <w:rPr>
          <w:b/>
          <w:sz w:val="18"/>
          <w:highlight w:val="lightGray"/>
          <w:u w:val="single"/>
          <w:lang w:val="fr-FR"/>
        </w:rPr>
        <w:t>12.</w:t>
      </w:r>
      <w:r w:rsidRPr="003B4FCF">
        <w:rPr>
          <w:b/>
          <w:sz w:val="18"/>
          <w:highlight w:val="lightGray"/>
          <w:u w:val="single"/>
          <w:lang w:val="fr-FR"/>
        </w:rPr>
        <w:tab/>
        <w:t>EXAMEN DES CARACTÈRES SUR LA BASE D’ÉCHANTILLONS GLOBAUX</w:t>
      </w:r>
    </w:p>
    <w:p w:rsidR="00E23344" w:rsidRPr="003B4FCF" w:rsidRDefault="00E23344" w:rsidP="00E23344">
      <w:pPr>
        <w:keepNext/>
        <w:ind w:left="567" w:right="567"/>
        <w:rPr>
          <w:sz w:val="18"/>
          <w:highlight w:val="lightGray"/>
          <w:u w:val="single"/>
          <w:lang w:val="fr-FR"/>
        </w:rPr>
      </w:pPr>
    </w:p>
    <w:p w:rsidR="00E23344" w:rsidRPr="003B4FCF" w:rsidRDefault="00E23344" w:rsidP="00E23344">
      <w:pPr>
        <w:keepNext/>
        <w:ind w:left="567" w:right="567"/>
        <w:rPr>
          <w:sz w:val="18"/>
          <w:highlight w:val="lightGray"/>
          <w:u w:val="single"/>
          <w:lang w:val="fr-FR"/>
        </w:rPr>
      </w:pPr>
      <w:r w:rsidRPr="003B4FCF">
        <w:rPr>
          <w:sz w:val="18"/>
          <w:highlight w:val="lightGray"/>
          <w:u w:val="single"/>
          <w:lang w:val="fr-FR"/>
        </w:rPr>
        <w:t>Des observations doivent porter sur les critères ci-après lors de l’examen des caractères sur la base d’échantillons globaux :</w:t>
      </w:r>
    </w:p>
    <w:p w:rsidR="00E23344" w:rsidRPr="003B4FCF" w:rsidRDefault="00E23344" w:rsidP="00E23344">
      <w:pPr>
        <w:keepNext/>
        <w:ind w:left="567" w:right="567"/>
        <w:rPr>
          <w:sz w:val="18"/>
          <w:highlight w:val="lightGray"/>
          <w:u w:val="single"/>
          <w:lang w:val="fr-FR"/>
        </w:rPr>
      </w:pPr>
    </w:p>
    <w:p w:rsidR="00E23344" w:rsidRPr="003B4FCF" w:rsidRDefault="00E23344" w:rsidP="00E23344">
      <w:pPr>
        <w:numPr>
          <w:ilvl w:val="0"/>
          <w:numId w:val="17"/>
        </w:numPr>
        <w:ind w:left="1134" w:right="567" w:hanging="567"/>
        <w:rPr>
          <w:sz w:val="18"/>
          <w:highlight w:val="lightGray"/>
          <w:u w:val="single"/>
          <w:lang w:val="fr-FR"/>
        </w:rPr>
      </w:pPr>
      <w:r w:rsidRPr="003B4FCF">
        <w:rPr>
          <w:iCs/>
          <w:sz w:val="18"/>
          <w:highlight w:val="lightGray"/>
          <w:u w:val="single"/>
          <w:lang w:val="fr-FR"/>
        </w:rPr>
        <w:t>le caractère devrait remplir les conditions relatives à un caractère, énoncées dans l’Introduction générale à l’examen de la distinction, de l’homogénéité et de la stabilité et à l’harmonisation des descriptions des obtentions végétales’ (voir la section 4.2.1 du document TG/1/3</w:t>
      </w:r>
      <w:r w:rsidRPr="003B4FCF">
        <w:rPr>
          <w:sz w:val="18"/>
          <w:highlight w:val="lightGray"/>
          <w:u w:val="single"/>
          <w:lang w:val="fr-FR"/>
        </w:rPr>
        <w:t>),</w:t>
      </w:r>
    </w:p>
    <w:p w:rsidR="00E23344" w:rsidRPr="003B4FCF" w:rsidRDefault="00E23344" w:rsidP="00E23344">
      <w:pPr>
        <w:ind w:left="1134" w:right="567" w:hanging="567"/>
        <w:rPr>
          <w:sz w:val="18"/>
          <w:highlight w:val="lightGray"/>
          <w:u w:val="single"/>
          <w:lang w:val="fr-FR"/>
        </w:rPr>
      </w:pPr>
    </w:p>
    <w:p w:rsidR="00E23344" w:rsidRPr="003B4FCF" w:rsidRDefault="00E23344" w:rsidP="00E23344">
      <w:pPr>
        <w:numPr>
          <w:ilvl w:val="0"/>
          <w:numId w:val="17"/>
        </w:numPr>
        <w:ind w:left="1134" w:right="567" w:hanging="567"/>
        <w:rPr>
          <w:iCs/>
          <w:sz w:val="18"/>
          <w:highlight w:val="lightGray"/>
          <w:u w:val="single"/>
          <w:lang w:val="fr-FR"/>
        </w:rPr>
      </w:pPr>
      <w:r w:rsidRPr="003B4FCF">
        <w:rPr>
          <w:sz w:val="18"/>
          <w:highlight w:val="lightGray"/>
          <w:u w:val="single"/>
          <w:lang w:val="fr-FR"/>
        </w:rPr>
        <w:t>des informations devraient être disponibles sur le déterminisme génétique du caractère,</w:t>
      </w:r>
    </w:p>
    <w:p w:rsidR="00E23344" w:rsidRPr="003B4FCF" w:rsidRDefault="00E23344" w:rsidP="00E23344">
      <w:pPr>
        <w:ind w:left="1134" w:right="567" w:hanging="567"/>
        <w:rPr>
          <w:iCs/>
          <w:sz w:val="18"/>
          <w:highlight w:val="lightGray"/>
          <w:u w:val="single"/>
          <w:lang w:val="fr-FR"/>
        </w:rPr>
      </w:pPr>
    </w:p>
    <w:p w:rsidR="00E23344" w:rsidRPr="003B4FCF" w:rsidRDefault="00E23344" w:rsidP="00E23344">
      <w:pPr>
        <w:numPr>
          <w:ilvl w:val="0"/>
          <w:numId w:val="17"/>
        </w:numPr>
        <w:ind w:left="1134" w:right="567" w:hanging="567"/>
        <w:rPr>
          <w:iCs/>
          <w:sz w:val="18"/>
          <w:highlight w:val="lightGray"/>
          <w:u w:val="single"/>
          <w:lang w:val="fr-FR"/>
        </w:rPr>
      </w:pPr>
      <w:r w:rsidRPr="003B4FCF">
        <w:rPr>
          <w:iCs/>
          <w:sz w:val="18"/>
          <w:highlight w:val="lightGray"/>
          <w:u w:val="single"/>
          <w:lang w:val="fr-FR"/>
        </w:rPr>
        <w:t>la pertinence du caractère devrait être validée par une évaluation initiale de l’homogénéité à partir de plantes isolées,</w:t>
      </w:r>
    </w:p>
    <w:p w:rsidR="00E23344" w:rsidRPr="003B4FCF" w:rsidRDefault="00E23344" w:rsidP="00E23344">
      <w:pPr>
        <w:ind w:left="1134" w:right="567" w:hanging="567"/>
        <w:rPr>
          <w:iCs/>
          <w:sz w:val="18"/>
          <w:highlight w:val="lightGray"/>
          <w:u w:val="single"/>
          <w:lang w:val="fr-FR"/>
        </w:rPr>
      </w:pPr>
    </w:p>
    <w:p w:rsidR="00E23344" w:rsidRPr="003B4FCF" w:rsidRDefault="00E23344" w:rsidP="00E23344">
      <w:pPr>
        <w:numPr>
          <w:ilvl w:val="0"/>
          <w:numId w:val="17"/>
        </w:numPr>
        <w:ind w:left="1134" w:right="567" w:hanging="567"/>
        <w:rPr>
          <w:iCs/>
          <w:sz w:val="18"/>
          <w:highlight w:val="lightGray"/>
          <w:u w:val="single"/>
          <w:lang w:val="fr-FR"/>
        </w:rPr>
      </w:pPr>
      <w:r w:rsidRPr="003B4FCF">
        <w:rPr>
          <w:sz w:val="18"/>
          <w:highlight w:val="lightGray"/>
          <w:u w:val="single"/>
          <w:lang w:val="fr-FR"/>
        </w:rPr>
        <w:t>des informations devraient être fournies sur la variabilité entre plantes et leurs différences au cours des cycles de végétation (données extraites de mesures de routine relatives à un caractère sur plusieurs années</w:t>
      </w:r>
      <w:r w:rsidRPr="003B4FCF">
        <w:rPr>
          <w:iCs/>
          <w:sz w:val="18"/>
          <w:highlight w:val="lightGray"/>
          <w:u w:val="single"/>
          <w:lang w:val="fr-FR"/>
        </w:rPr>
        <w:t>),</w:t>
      </w:r>
    </w:p>
    <w:p w:rsidR="00E23344" w:rsidRPr="003B4FCF" w:rsidRDefault="00E23344" w:rsidP="00E23344">
      <w:pPr>
        <w:ind w:left="1134" w:right="567" w:hanging="567"/>
        <w:rPr>
          <w:iCs/>
          <w:sz w:val="18"/>
          <w:highlight w:val="lightGray"/>
          <w:u w:val="single"/>
          <w:lang w:val="fr-FR"/>
        </w:rPr>
      </w:pPr>
    </w:p>
    <w:p w:rsidR="00E23344" w:rsidRPr="003B4FCF" w:rsidRDefault="00E23344" w:rsidP="00E23344">
      <w:pPr>
        <w:numPr>
          <w:ilvl w:val="0"/>
          <w:numId w:val="17"/>
        </w:numPr>
        <w:ind w:left="1134" w:right="567" w:hanging="567"/>
        <w:rPr>
          <w:sz w:val="18"/>
          <w:highlight w:val="lightGray"/>
          <w:u w:val="single"/>
          <w:lang w:val="fr-FR"/>
        </w:rPr>
      </w:pPr>
      <w:r w:rsidRPr="003B4FCF">
        <w:rPr>
          <w:sz w:val="18"/>
          <w:highlight w:val="lightGray"/>
          <w:u w:val="single"/>
          <w:lang w:val="fr-FR"/>
        </w:rPr>
        <w:t>une description complète de la méthode d’évaluation devrait être fournie,</w:t>
      </w:r>
    </w:p>
    <w:p w:rsidR="00E23344" w:rsidRPr="003B4FCF" w:rsidRDefault="00E23344" w:rsidP="00E23344">
      <w:pPr>
        <w:ind w:left="1134" w:right="567" w:hanging="567"/>
        <w:rPr>
          <w:sz w:val="18"/>
          <w:highlight w:val="lightGray"/>
          <w:u w:val="single"/>
          <w:lang w:val="fr-FR"/>
        </w:rPr>
      </w:pPr>
    </w:p>
    <w:p w:rsidR="00E23344" w:rsidRPr="003B4FCF" w:rsidRDefault="00E23344" w:rsidP="00E23344">
      <w:pPr>
        <w:numPr>
          <w:ilvl w:val="0"/>
          <w:numId w:val="17"/>
        </w:numPr>
        <w:ind w:left="1134" w:right="567" w:hanging="567"/>
        <w:rPr>
          <w:sz w:val="18"/>
          <w:lang w:val="fr-FR"/>
        </w:rPr>
      </w:pPr>
      <w:r w:rsidRPr="003B4FCF">
        <w:rPr>
          <w:sz w:val="18"/>
          <w:highlight w:val="lightGray"/>
          <w:u w:val="single"/>
          <w:lang w:val="fr-FR"/>
        </w:rPr>
        <w:t>la détermination des niveaux d’expression devrait être fondée sur la variation existante entre les variétés et tenir compte de l’influence de l’environnement.”</w:t>
      </w:r>
    </w:p>
    <w:p w:rsidR="00E23344" w:rsidRPr="003B4FCF" w:rsidRDefault="00E23344" w:rsidP="00E23344">
      <w:pPr>
        <w:rPr>
          <w:u w:val="single"/>
          <w:lang w:val="fr-FR"/>
        </w:rPr>
      </w:pPr>
    </w:p>
    <w:p w:rsidR="00E23344" w:rsidRPr="003B4FCF" w:rsidRDefault="00E23344" w:rsidP="00E23344">
      <w:pPr>
        <w:rPr>
          <w:u w:val="single"/>
          <w:lang w:val="fr-FR"/>
        </w:rPr>
      </w:pPr>
    </w:p>
    <w:p w:rsidR="00E23344" w:rsidRPr="003B4FCF" w:rsidRDefault="00E23344" w:rsidP="00E23344">
      <w:pPr>
        <w:keepNext/>
        <w:rPr>
          <w:i/>
          <w:lang w:val="fr-FR"/>
        </w:rPr>
      </w:pPr>
      <w:r w:rsidRPr="003B4FCF">
        <w:rPr>
          <w:i/>
          <w:lang w:val="fr-FR"/>
        </w:rPr>
        <w:t>Méthode au-delà d’un essai unique (année)</w:t>
      </w:r>
    </w:p>
    <w:p w:rsidR="00E23344" w:rsidRPr="003B4FCF" w:rsidRDefault="00E23344" w:rsidP="00E23344">
      <w:pPr>
        <w:keepNext/>
        <w:rPr>
          <w:lang w:val="fr-FR"/>
        </w:rPr>
      </w:pPr>
    </w:p>
    <w:p w:rsidR="00E23344" w:rsidRPr="003B4FCF" w:rsidRDefault="00E23344" w:rsidP="00E23344">
      <w:pPr>
        <w:keepNext/>
        <w:rPr>
          <w:lang w:val="fr-FR"/>
        </w:rPr>
      </w:pPr>
      <w:r w:rsidRPr="003B4FCF">
        <w:rPr>
          <w:lang w:val="fr-FR"/>
        </w:rPr>
        <w:t>Le TC a noté que les orientations sur l’“Examen des caractères sur la base d’échantillons globaux” avaient été élaborées en vue de leur insertion dans le document TGP/10 et il est convenu que les orientations figurant dans le document TGP/8/2, deuxième partie, Section 8, sous</w:t>
      </w:r>
      <w:r w:rsidRPr="003B4FCF">
        <w:rPr>
          <w:lang w:val="fr-FR"/>
        </w:rPr>
        <w:noBreakHyphen/>
        <w:t>section 8.1.7, devraient être remplacées par un renvoi aux nouvelles orientations sur l’“Évaluation de l’homogénéité d’après les plantes hors</w:t>
      </w:r>
      <w:r w:rsidRPr="003B4FCF">
        <w:rPr>
          <w:lang w:val="fr-FR"/>
        </w:rPr>
        <w:noBreakHyphen/>
        <w:t>type sur la base de plusieurs cycles de végétation ou sur la base de sous</w:t>
      </w:r>
      <w:r w:rsidRPr="003B4FCF">
        <w:rPr>
          <w:lang w:val="fr-FR"/>
        </w:rPr>
        <w:noBreakHyphen/>
        <w:t>échantillons” devant être incluses dans le document TGP/10 “Examen de l’homogénéité”.</w:t>
      </w:r>
    </w:p>
    <w:p w:rsidR="00E23344" w:rsidRPr="003B4FCF" w:rsidRDefault="00E23344" w:rsidP="00E23344">
      <w:pPr>
        <w:keepNext/>
        <w:rPr>
          <w:lang w:val="fr-FR"/>
        </w:rPr>
      </w:pPr>
    </w:p>
    <w:p w:rsidR="00E23344" w:rsidRPr="003B4FCF" w:rsidRDefault="00E23344" w:rsidP="00E23344">
      <w:pPr>
        <w:keepNext/>
        <w:tabs>
          <w:tab w:val="left" w:pos="1276"/>
        </w:tabs>
        <w:ind w:left="567" w:right="567"/>
        <w:rPr>
          <w:sz w:val="18"/>
          <w:lang w:val="fr-FR"/>
        </w:rPr>
      </w:pPr>
      <w:r w:rsidRPr="003B4FCF">
        <w:rPr>
          <w:sz w:val="18"/>
          <w:lang w:val="fr-FR"/>
        </w:rPr>
        <w:t>8.1.7</w:t>
      </w:r>
      <w:r w:rsidRPr="003B4FCF">
        <w:rPr>
          <w:sz w:val="18"/>
          <w:lang w:val="fr-FR"/>
        </w:rPr>
        <w:tab/>
        <w:t>Méthode au-delà d’un essai unique (année)</w:t>
      </w:r>
    </w:p>
    <w:p w:rsidR="00E23344" w:rsidRPr="003B4FCF" w:rsidRDefault="00E23344" w:rsidP="00E23344">
      <w:pPr>
        <w:keepNext/>
        <w:tabs>
          <w:tab w:val="left" w:pos="1276"/>
        </w:tabs>
        <w:ind w:left="567" w:right="567"/>
        <w:rPr>
          <w:sz w:val="18"/>
          <w:lang w:val="fr-FR"/>
        </w:rPr>
      </w:pPr>
    </w:p>
    <w:p w:rsidR="00E23344" w:rsidRPr="003B4FCF" w:rsidRDefault="00E23344" w:rsidP="00E23344">
      <w:pPr>
        <w:keepNext/>
        <w:tabs>
          <w:tab w:val="left" w:pos="1276"/>
        </w:tabs>
        <w:ind w:left="567" w:right="567"/>
        <w:rPr>
          <w:sz w:val="18"/>
          <w:u w:val="single"/>
          <w:lang w:val="fr-FR"/>
        </w:rPr>
      </w:pPr>
      <w:r w:rsidRPr="003B4FCF">
        <w:rPr>
          <w:sz w:val="18"/>
          <w:highlight w:val="lightGray"/>
          <w:u w:val="single"/>
          <w:lang w:val="fr-FR"/>
        </w:rPr>
        <w:t>8.1.7.1</w:t>
      </w:r>
      <w:r w:rsidRPr="003B4FCF">
        <w:rPr>
          <w:sz w:val="18"/>
          <w:highlight w:val="lightGray"/>
          <w:u w:val="single"/>
          <w:lang w:val="fr-FR"/>
        </w:rPr>
        <w:tab/>
        <w:t>Des orientations sur l’évaluation de l’homogénéité d’après les plantes hors-type sur la base de plusieurs cycles de végétation ou sur la base de sous-échantillons dans le cadre d’un seul examen/essai figurent dans le document TGP/10 “Examen de l’homogénéité”.</w:t>
      </w:r>
    </w:p>
    <w:p w:rsidR="00E23344" w:rsidRPr="003B4FCF" w:rsidRDefault="00E23344" w:rsidP="00E23344">
      <w:pPr>
        <w:rPr>
          <w:lang w:val="fr-FR"/>
        </w:rPr>
      </w:pPr>
    </w:p>
    <w:p w:rsidR="00BD693E" w:rsidRPr="003B4FCF" w:rsidRDefault="00BD693E" w:rsidP="00BD693E">
      <w:pPr>
        <w:rPr>
          <w:lang w:val="fr-FR"/>
        </w:rPr>
      </w:pPr>
    </w:p>
    <w:p w:rsidR="00BD693E" w:rsidRPr="003B4FCF" w:rsidRDefault="00BD693E" w:rsidP="00BD693E">
      <w:pPr>
        <w:rPr>
          <w:lang w:val="fr-FR"/>
        </w:rPr>
      </w:pPr>
    </w:p>
    <w:p w:rsidR="00465412" w:rsidRPr="003B4FCF" w:rsidRDefault="00273B07" w:rsidP="00BD693E">
      <w:pPr>
        <w:jc w:val="right"/>
        <w:rPr>
          <w:lang w:val="fr-FR"/>
        </w:rPr>
      </w:pPr>
      <w:r w:rsidRPr="003B4FCF">
        <w:rPr>
          <w:lang w:val="fr-FR"/>
        </w:rPr>
        <w:t>[</w:t>
      </w:r>
      <w:r w:rsidR="00A66FC4" w:rsidRPr="003B4FCF">
        <w:rPr>
          <w:lang w:val="fr-FR"/>
        </w:rPr>
        <w:t>L</w:t>
      </w:r>
      <w:r w:rsidR="005D3B5B" w:rsidRPr="003B4FCF">
        <w:rPr>
          <w:lang w:val="fr-FR"/>
        </w:rPr>
        <w:t>’</w:t>
      </w:r>
      <w:r w:rsidR="00067374" w:rsidRPr="003B4FCF">
        <w:rPr>
          <w:lang w:val="fr-FR"/>
        </w:rPr>
        <w:t>annexe I</w:t>
      </w:r>
      <w:r w:rsidRPr="003B4FCF">
        <w:rPr>
          <w:lang w:val="fr-FR"/>
        </w:rPr>
        <w:t xml:space="preserve">II </w:t>
      </w:r>
      <w:r w:rsidR="00A66FC4" w:rsidRPr="003B4FCF">
        <w:rPr>
          <w:lang w:val="fr-FR"/>
        </w:rPr>
        <w:t>suit</w:t>
      </w:r>
      <w:r w:rsidRPr="003B4FCF">
        <w:rPr>
          <w:lang w:val="fr-FR"/>
        </w:rPr>
        <w:t>]</w:t>
      </w:r>
    </w:p>
    <w:p w:rsidR="00465412" w:rsidRPr="003B4FCF" w:rsidRDefault="00465412" w:rsidP="00273B07">
      <w:pPr>
        <w:rPr>
          <w:lang w:val="fr-FR"/>
        </w:rPr>
      </w:pPr>
    </w:p>
    <w:p w:rsidR="00273B07" w:rsidRPr="003B4FCF" w:rsidRDefault="00273B07" w:rsidP="00273B07">
      <w:pPr>
        <w:rPr>
          <w:lang w:val="fr-FR"/>
        </w:rPr>
        <w:sectPr w:rsidR="00273B07" w:rsidRPr="003B4FCF" w:rsidSect="00273B07">
          <w:headerReference w:type="first" r:id="rId17"/>
          <w:footnotePr>
            <w:numRestart w:val="eachSect"/>
          </w:footnotePr>
          <w:pgSz w:w="11907" w:h="16840" w:code="9"/>
          <w:pgMar w:top="510" w:right="1134" w:bottom="709" w:left="1134" w:header="510" w:footer="680" w:gutter="0"/>
          <w:pgNumType w:start="1"/>
          <w:cols w:space="720"/>
          <w:titlePg/>
        </w:sectPr>
      </w:pPr>
    </w:p>
    <w:p w:rsidR="00E23344" w:rsidRPr="003B4FCF" w:rsidRDefault="00E23344" w:rsidP="00E23344">
      <w:pPr>
        <w:jc w:val="center"/>
        <w:rPr>
          <w:lang w:val="fr-FR"/>
        </w:rPr>
      </w:pPr>
      <w:r w:rsidRPr="003B4FCF">
        <w:rPr>
          <w:lang w:val="fr-FR"/>
        </w:rPr>
        <w:lastRenderedPageBreak/>
        <w:t>RÉVISIONS DU DOCUMENT TGP/10 “EXAMEN DE L’HOMOGÉNÉITÉ”</w:t>
      </w:r>
    </w:p>
    <w:p w:rsidR="00E23344" w:rsidRPr="003B4FCF" w:rsidRDefault="00E23344" w:rsidP="00E23344">
      <w:pPr>
        <w:jc w:val="center"/>
        <w:rPr>
          <w:lang w:val="fr-FR"/>
        </w:rPr>
      </w:pPr>
      <w:r w:rsidRPr="003B4FCF">
        <w:rPr>
          <w:lang w:val="fr-FR"/>
        </w:rPr>
        <w:t>APPROUVÉES PAR LE COMITÉ TECHNIQUE À SA CINQUANTE-QUATRIÈME SESSION</w:t>
      </w:r>
      <w:r w:rsidRPr="003B4FCF">
        <w:rPr>
          <w:rStyle w:val="FootnoteReference"/>
          <w:lang w:val="fr-FR"/>
        </w:rPr>
        <w:footnoteReference w:id="20"/>
      </w:r>
    </w:p>
    <w:p w:rsidR="00E23344" w:rsidRPr="003B4FCF" w:rsidRDefault="00E23344" w:rsidP="00E23344">
      <w:pPr>
        <w:rPr>
          <w:sz w:val="18"/>
          <w:lang w:val="fr-FR"/>
        </w:rPr>
      </w:pPr>
    </w:p>
    <w:p w:rsidR="00E23344" w:rsidRPr="003B4FCF" w:rsidRDefault="00E23344" w:rsidP="00E23344">
      <w:pPr>
        <w:rPr>
          <w:sz w:val="18"/>
          <w:lang w:val="fr-FR"/>
        </w:rPr>
      </w:pPr>
    </w:p>
    <w:p w:rsidR="00E23344" w:rsidRPr="003B4FCF" w:rsidRDefault="00E23344" w:rsidP="00E23344">
      <w:pPr>
        <w:rPr>
          <w:u w:val="single"/>
          <w:lang w:val="fr-FR"/>
        </w:rPr>
      </w:pPr>
      <w:r w:rsidRPr="003B4FCF">
        <w:rPr>
          <w:rFonts w:eastAsia="MS Mincho"/>
          <w:u w:val="single"/>
          <w:lang w:val="fr-FR"/>
        </w:rPr>
        <w:t>Nouvelle Section 4.7: Évaluation de l’homogénéité d’après les plantes hors-type sur la base de plusieurs cycles de végétation</w:t>
      </w:r>
    </w:p>
    <w:p w:rsidR="00E23344" w:rsidRPr="003B4FCF" w:rsidRDefault="00E23344" w:rsidP="00E23344">
      <w:pPr>
        <w:rPr>
          <w:lang w:val="fr-FR"/>
        </w:rPr>
      </w:pPr>
    </w:p>
    <w:p w:rsidR="00E23344" w:rsidRPr="003B4FCF" w:rsidRDefault="00E23344" w:rsidP="00E23344">
      <w:pPr>
        <w:rPr>
          <w:szCs w:val="24"/>
          <w:lang w:val="fr-FR"/>
        </w:rPr>
      </w:pPr>
      <w:r w:rsidRPr="003B4FCF">
        <w:rPr>
          <w:lang w:val="fr-FR"/>
        </w:rPr>
        <w:t>Deux cycles de végétation indépendants pourraient avoir lieu en un seul endroit sur plusieurs années ou en différents endroits la même année, selon ce qui figure dans le document TGP/8, première partie, sections 1.2 et 1.3.</w:t>
      </w:r>
    </w:p>
    <w:p w:rsidR="00E23344" w:rsidRPr="003B4FCF" w:rsidRDefault="00E23344" w:rsidP="00E23344">
      <w:pPr>
        <w:rPr>
          <w:szCs w:val="24"/>
          <w:lang w:val="fr-FR"/>
        </w:rPr>
      </w:pPr>
    </w:p>
    <w:p w:rsidR="00E23344" w:rsidRPr="003B4FCF" w:rsidRDefault="00E23344" w:rsidP="00E23344">
      <w:pPr>
        <w:rPr>
          <w:szCs w:val="24"/>
          <w:lang w:val="fr-FR"/>
        </w:rPr>
      </w:pPr>
      <w:r w:rsidRPr="003B4FCF">
        <w:rPr>
          <w:lang w:val="fr-FR"/>
        </w:rPr>
        <w:t>Les orientations ci-après ne sont pas destinées à être utilisées pour l’évaluation de l’homogénéité d’après les plantes hors-type sur les mêmes plantes pendant deux cycles de végétation.  Les résultats issus de cycles de végétation fondés sur des lots différents de matériel végétal ne devraient pas être combinés.</w:t>
      </w:r>
    </w:p>
    <w:p w:rsidR="00E23344" w:rsidRPr="003B4FCF" w:rsidRDefault="00E23344" w:rsidP="00E23344">
      <w:pPr>
        <w:rPr>
          <w:sz w:val="22"/>
          <w:szCs w:val="24"/>
          <w:lang w:val="fr-FR"/>
        </w:rPr>
      </w:pPr>
    </w:p>
    <w:p w:rsidR="00E23344" w:rsidRPr="003B4FCF" w:rsidRDefault="00E23344" w:rsidP="00E23344">
      <w:pPr>
        <w:ind w:firstLine="567"/>
        <w:rPr>
          <w:i/>
          <w:szCs w:val="24"/>
          <w:lang w:val="fr-FR"/>
        </w:rPr>
      </w:pPr>
      <w:r w:rsidRPr="003B4FCF">
        <w:rPr>
          <w:i/>
          <w:szCs w:val="24"/>
          <w:lang w:val="fr-FR"/>
        </w:rPr>
        <w:t>Méthode 1 : Troisième cycle de végétation si les résultats sont incompatibles</w:t>
      </w:r>
    </w:p>
    <w:p w:rsidR="00E23344" w:rsidRPr="003B4FCF" w:rsidRDefault="00E23344" w:rsidP="00E23344">
      <w:pPr>
        <w:jc w:val="center"/>
        <w:rPr>
          <w:b/>
          <w:szCs w:val="24"/>
          <w:lang w:val="fr-FR"/>
        </w:rPr>
      </w:pPr>
    </w:p>
    <w:p w:rsidR="00E23344" w:rsidRPr="003B4FCF" w:rsidRDefault="00E23344" w:rsidP="00E23344">
      <w:pPr>
        <w:rPr>
          <w:rFonts w:eastAsia="SimSun"/>
          <w:lang w:val="fr-FR"/>
        </w:rPr>
      </w:pPr>
      <w:r w:rsidRPr="003B4FCF">
        <w:rPr>
          <w:rFonts w:eastAsia="SimSun"/>
          <w:lang w:val="fr-FR"/>
        </w:rPr>
        <w:t>Une variété est réputée homogène si elle se situe dans les limites de la norme d’homogénéité sur les deux cycles de végétation.</w:t>
      </w:r>
    </w:p>
    <w:p w:rsidR="00E23344" w:rsidRPr="003B4FCF" w:rsidRDefault="00E23344" w:rsidP="00E23344">
      <w:pPr>
        <w:rPr>
          <w:rFonts w:eastAsia="SimSun"/>
          <w:lang w:val="fr-FR"/>
        </w:rPr>
      </w:pPr>
    </w:p>
    <w:p w:rsidR="00E23344" w:rsidRPr="003B4FCF" w:rsidRDefault="00E23344" w:rsidP="00E23344">
      <w:pPr>
        <w:rPr>
          <w:rFonts w:eastAsia="SimSun"/>
          <w:lang w:val="fr-FR"/>
        </w:rPr>
      </w:pPr>
      <w:r w:rsidRPr="003B4FCF">
        <w:rPr>
          <w:rFonts w:eastAsia="SimSun"/>
          <w:lang w:val="fr-FR"/>
        </w:rPr>
        <w:t>Une variété est réputée non homogène si elle ne se situe pas dans les limites de la norme d’homogénéité sur les deux cycles de végétation.</w:t>
      </w:r>
    </w:p>
    <w:p w:rsidR="00E23344" w:rsidRPr="003B4FCF" w:rsidRDefault="00E23344" w:rsidP="00E23344">
      <w:pPr>
        <w:rPr>
          <w:rFonts w:eastAsia="SimSun"/>
          <w:lang w:val="fr-FR"/>
        </w:rPr>
      </w:pPr>
    </w:p>
    <w:p w:rsidR="00E23344" w:rsidRPr="003B4FCF" w:rsidRDefault="00E23344" w:rsidP="00E23344">
      <w:pPr>
        <w:rPr>
          <w:rFonts w:eastAsia="SimSun"/>
          <w:lang w:val="fr-FR"/>
        </w:rPr>
      </w:pPr>
      <w:r w:rsidRPr="003B4FCF">
        <w:rPr>
          <w:rFonts w:eastAsia="SimSun"/>
          <w:lang w:val="fr-FR"/>
        </w:rPr>
        <w:t>Si, à l’issue des deux cycles de végétation, la variété se situe dans les limites de la norme d’homogénéité pour un cycle et pas l’autre, l’homogénéité peut être évaluée sur un troisième cycle de végétation.  Si, pour ce troisième cycle, elle se situe dans les limites de la norme d’homogénéité, elle est réputée homogène.  Si, à la fin du troisième cycle de végétation, la variété ne se situe pas dans la norme d’homogénéité, elle est réputée non homogène.</w:t>
      </w:r>
    </w:p>
    <w:p w:rsidR="00E23344" w:rsidRPr="003B4FCF" w:rsidRDefault="00E23344" w:rsidP="00E23344">
      <w:pPr>
        <w:rPr>
          <w:lang w:val="fr-FR"/>
        </w:rPr>
      </w:pPr>
    </w:p>
    <w:p w:rsidR="00E23344" w:rsidRPr="003B4FCF" w:rsidRDefault="00E23344" w:rsidP="00E23344">
      <w:pPr>
        <w:rPr>
          <w:lang w:val="fr-FR"/>
        </w:rPr>
      </w:pPr>
      <w:r w:rsidRPr="003B4FCF">
        <w:rPr>
          <w:lang w:val="fr-FR"/>
        </w:rPr>
        <w:t>Il faut faire preuve de prudence lorsqu’on examine des résultats très différents dans chacun des cycles de végétation, notamment lorsqu’un type de plante hors-type a été observé à un niveau élevé dans un cycle de végétation tout en étant absent dans un autre.  Il est important d’identifier si la variation du nombre de plantes hors-type entre les cycles s’explique par des conditions environnementales ou des fluctuations d’échantillonnage.</w:t>
      </w:r>
    </w:p>
    <w:p w:rsidR="00E23344" w:rsidRPr="003B4FCF" w:rsidRDefault="00E23344" w:rsidP="00E23344">
      <w:pPr>
        <w:rPr>
          <w:lang w:val="fr-FR"/>
        </w:rPr>
      </w:pPr>
    </w:p>
    <w:p w:rsidR="00E23344" w:rsidRPr="003B4FCF" w:rsidRDefault="00E23344" w:rsidP="00E23344">
      <w:pPr>
        <w:rPr>
          <w:rFonts w:eastAsia="SimSun"/>
          <w:lang w:val="fr-FR"/>
        </w:rPr>
      </w:pPr>
      <w:r w:rsidRPr="003B4FCF">
        <w:rPr>
          <w:rFonts w:eastAsia="SimSun"/>
          <w:lang w:val="fr-FR"/>
        </w:rPr>
        <w:t>En outre, si au cours du premier cycle de végétation, le nombre de plantes hors-type dépasse une limite supérieure prédéfinie, la variété peut être rejetée après un seul cycle de végétation.</w:t>
      </w:r>
    </w:p>
    <w:p w:rsidR="00E23344" w:rsidRPr="003B4FCF" w:rsidRDefault="00E23344" w:rsidP="00E23344">
      <w:pPr>
        <w:rPr>
          <w:rFonts w:eastAsia="SimSun"/>
          <w:lang w:val="fr-FR"/>
        </w:rPr>
      </w:pPr>
    </w:p>
    <w:p w:rsidR="00E23344" w:rsidRPr="003B4FCF" w:rsidRDefault="00E23344" w:rsidP="00E23344">
      <w:pPr>
        <w:ind w:firstLine="567"/>
        <w:rPr>
          <w:i/>
          <w:szCs w:val="24"/>
          <w:lang w:val="fr-FR"/>
        </w:rPr>
      </w:pPr>
      <w:r w:rsidRPr="003B4FCF">
        <w:rPr>
          <w:i/>
          <w:szCs w:val="24"/>
          <w:lang w:val="fr-FR"/>
        </w:rPr>
        <w:t>Méthode 2 : Combiner les résultats de deux cycles de végétation si les résultats sont incompatibles</w:t>
      </w:r>
    </w:p>
    <w:p w:rsidR="00E23344" w:rsidRPr="003B4FCF" w:rsidRDefault="00E23344" w:rsidP="00E23344">
      <w:pPr>
        <w:rPr>
          <w:rFonts w:eastAsia="MS Mincho"/>
          <w:lang w:val="fr-FR"/>
        </w:rPr>
      </w:pPr>
    </w:p>
    <w:p w:rsidR="00E23344" w:rsidRPr="003B4FCF" w:rsidRDefault="00E23344" w:rsidP="00E23344">
      <w:pPr>
        <w:rPr>
          <w:rFonts w:eastAsia="SimSun"/>
          <w:lang w:val="fr-FR"/>
        </w:rPr>
      </w:pPr>
      <w:r w:rsidRPr="003B4FCF">
        <w:rPr>
          <w:rFonts w:eastAsia="SimSun"/>
          <w:lang w:val="fr-FR"/>
        </w:rPr>
        <w:t>Une variété est réputée homogène si elle se situe dans les limites de la norme d’homogénéité sur les deux cycles de végétation.</w:t>
      </w:r>
    </w:p>
    <w:p w:rsidR="00E23344" w:rsidRPr="003B4FCF" w:rsidRDefault="00E23344" w:rsidP="00E23344">
      <w:pPr>
        <w:rPr>
          <w:rFonts w:eastAsia="SimSun"/>
          <w:lang w:val="fr-FR"/>
        </w:rPr>
      </w:pPr>
    </w:p>
    <w:p w:rsidR="00E23344" w:rsidRPr="003B4FCF" w:rsidRDefault="00E23344" w:rsidP="00E23344">
      <w:pPr>
        <w:rPr>
          <w:rFonts w:eastAsia="SimSun"/>
          <w:lang w:val="fr-FR"/>
        </w:rPr>
      </w:pPr>
      <w:r w:rsidRPr="003B4FCF">
        <w:rPr>
          <w:rFonts w:eastAsia="SimSun"/>
          <w:lang w:val="fr-FR"/>
        </w:rPr>
        <w:t>Une variété est réputée non homogène si elle ne se situe pas dans les limites de la norme d’homogénéité sur les deux cycles de végétation.</w:t>
      </w:r>
    </w:p>
    <w:p w:rsidR="00E23344" w:rsidRPr="003B4FCF" w:rsidRDefault="00E23344" w:rsidP="00E23344">
      <w:pPr>
        <w:rPr>
          <w:rFonts w:eastAsia="SimSun"/>
          <w:lang w:val="fr-FR"/>
        </w:rPr>
      </w:pPr>
    </w:p>
    <w:p w:rsidR="00E23344" w:rsidRPr="003B4FCF" w:rsidRDefault="00E23344" w:rsidP="00E23344">
      <w:pPr>
        <w:rPr>
          <w:rFonts w:eastAsia="SimSun"/>
          <w:lang w:val="fr-FR"/>
        </w:rPr>
      </w:pPr>
      <w:r w:rsidRPr="003B4FCF">
        <w:rPr>
          <w:rFonts w:eastAsia="SimSun"/>
          <w:lang w:val="fr-FR"/>
        </w:rPr>
        <w:t>Si, à l’issue des deux cycles de végétation, la variété se situe dans les limites de la norme d’homogénéité pour un cycle et pas l’autre, une variété est réputée homogène si le nombre total de plantes hors-type à l’issue des deux cycles de végétation ne dépasse pas le nombre de plantes hors-type autorisé pour la taille de l’échantillon des cycles de végétation 1 et 2 combinés.</w:t>
      </w:r>
    </w:p>
    <w:p w:rsidR="00E23344" w:rsidRPr="003B4FCF" w:rsidRDefault="00E23344" w:rsidP="00E23344">
      <w:pPr>
        <w:rPr>
          <w:rFonts w:eastAsia="SimSun"/>
          <w:lang w:val="fr-FR"/>
        </w:rPr>
      </w:pPr>
    </w:p>
    <w:p w:rsidR="00E23344" w:rsidRPr="003B4FCF" w:rsidRDefault="00E23344" w:rsidP="00E23344">
      <w:pPr>
        <w:rPr>
          <w:rFonts w:eastAsia="SimSun"/>
          <w:lang w:val="fr-FR"/>
        </w:rPr>
      </w:pPr>
      <w:r w:rsidRPr="003B4FCF">
        <w:rPr>
          <w:rFonts w:eastAsia="SimSun"/>
          <w:lang w:val="fr-FR"/>
        </w:rPr>
        <w:t xml:space="preserve">Il faut faire preuve de prudence lorsqu’on examine des résultats très différents dans chacun des cycles de végétation, notamment lorsqu’un type de plante hors-type a été observé à un niveau élevé dans un cycle de végétation tout en étant absent dans un autre.  </w:t>
      </w:r>
      <w:r w:rsidRPr="003B4FCF">
        <w:rPr>
          <w:lang w:val="fr-FR"/>
        </w:rPr>
        <w:t>Un test statistique d’homogénéité devrait être pratiqué, le cas échéant.  Il est important d’identifier si la variation du nombre de plantes hors-type entre les cycles s’explique par des conditions environnementales ou des fluctuations d’échantillonnage.</w:t>
      </w:r>
    </w:p>
    <w:p w:rsidR="00E23344" w:rsidRPr="003B4FCF" w:rsidRDefault="00E23344" w:rsidP="00E23344">
      <w:pPr>
        <w:rPr>
          <w:lang w:val="fr-FR"/>
        </w:rPr>
      </w:pPr>
    </w:p>
    <w:p w:rsidR="00E23344" w:rsidRPr="003B4FCF" w:rsidRDefault="00E23344" w:rsidP="00E23344">
      <w:pPr>
        <w:rPr>
          <w:rFonts w:eastAsia="SimSun"/>
          <w:lang w:val="fr-FR"/>
        </w:rPr>
      </w:pPr>
      <w:r w:rsidRPr="003B4FCF">
        <w:rPr>
          <w:rFonts w:eastAsia="SimSun"/>
          <w:lang w:val="fr-FR"/>
        </w:rPr>
        <w:t>En outre, si au cours du premier cycle de végétation, le nombre de plantes hors-type dépasse une limite supérieure prédéfinie, la variété peut être rejetée après un seul cycle de végétation.</w:t>
      </w:r>
    </w:p>
    <w:p w:rsidR="00E23344" w:rsidRPr="003B4FCF" w:rsidRDefault="00E23344" w:rsidP="00E23344">
      <w:pPr>
        <w:rPr>
          <w:rFonts w:eastAsia="SimSun"/>
          <w:szCs w:val="24"/>
          <w:lang w:val="fr-FR" w:eastAsia="zh-CN"/>
        </w:rPr>
      </w:pPr>
    </w:p>
    <w:p w:rsidR="00E23344" w:rsidRPr="003B4FCF" w:rsidRDefault="00E23344" w:rsidP="00E23344">
      <w:pPr>
        <w:keepNext/>
        <w:ind w:firstLine="567"/>
        <w:rPr>
          <w:bCs/>
          <w:i/>
          <w:lang w:val="fr-FR"/>
        </w:rPr>
      </w:pPr>
      <w:r w:rsidRPr="003B4FCF">
        <w:rPr>
          <w:bCs/>
          <w:i/>
          <w:lang w:val="fr-FR"/>
        </w:rPr>
        <w:lastRenderedPageBreak/>
        <w:t>Méthode 3 : Combiner les résultats de deux cycles de végétation</w:t>
      </w:r>
    </w:p>
    <w:p w:rsidR="00E23344" w:rsidRPr="003B4FCF" w:rsidRDefault="00E23344" w:rsidP="00E23344">
      <w:pPr>
        <w:rPr>
          <w:lang w:val="fr-FR"/>
        </w:rPr>
      </w:pPr>
    </w:p>
    <w:p w:rsidR="00E23344" w:rsidRPr="003B4FCF" w:rsidRDefault="00E23344" w:rsidP="00E23344">
      <w:pPr>
        <w:rPr>
          <w:lang w:val="fr-FR"/>
        </w:rPr>
      </w:pPr>
      <w:r w:rsidRPr="003B4FCF">
        <w:rPr>
          <w:lang w:val="fr-FR"/>
        </w:rPr>
        <w:t>Une variété est réputée homogène si le nombre total de plantes hors-type à l’issue des deux cycles de végétation ne dépasse pas le nombre de plantes hors-type autorisé pour l’échantillon combiné.</w:t>
      </w:r>
    </w:p>
    <w:p w:rsidR="00E23344" w:rsidRPr="003B4FCF" w:rsidRDefault="00E23344" w:rsidP="00E23344">
      <w:pPr>
        <w:rPr>
          <w:lang w:val="fr-FR"/>
        </w:rPr>
      </w:pPr>
    </w:p>
    <w:p w:rsidR="00E23344" w:rsidRPr="003B4FCF" w:rsidRDefault="00E23344" w:rsidP="00E23344">
      <w:pPr>
        <w:rPr>
          <w:lang w:val="fr-FR"/>
        </w:rPr>
      </w:pPr>
      <w:r w:rsidRPr="003B4FCF">
        <w:rPr>
          <w:lang w:val="fr-FR"/>
        </w:rPr>
        <w:t>Une variété est réputée non homogène si le nombre total de plantes hors-type à la fin des deux cycles de végétation dépasse le nombre de plantes hors-type autorisé pour l’échantillon combiné.</w:t>
      </w:r>
    </w:p>
    <w:p w:rsidR="00E23344" w:rsidRPr="003B4FCF" w:rsidRDefault="00E23344" w:rsidP="00E23344">
      <w:pPr>
        <w:rPr>
          <w:lang w:val="fr-FR"/>
        </w:rPr>
      </w:pPr>
    </w:p>
    <w:p w:rsidR="00E23344" w:rsidRPr="003B4FCF" w:rsidRDefault="00E23344" w:rsidP="00E23344">
      <w:pPr>
        <w:rPr>
          <w:lang w:val="fr-FR"/>
        </w:rPr>
      </w:pPr>
      <w:r w:rsidRPr="003B4FCF">
        <w:rPr>
          <w:lang w:val="fr-FR"/>
        </w:rPr>
        <w:t>Une variété peut être rejetée après un seul cycle de végétation si le nombre de plantes hors-type dépasse le nombre de plantes hors-type autorisé pour l’échantillon combiné (sur deux cycles).</w:t>
      </w:r>
    </w:p>
    <w:p w:rsidR="00E23344" w:rsidRPr="003B4FCF" w:rsidRDefault="00E23344" w:rsidP="00E23344">
      <w:pPr>
        <w:rPr>
          <w:lang w:val="fr-FR"/>
        </w:rPr>
      </w:pPr>
    </w:p>
    <w:p w:rsidR="00E23344" w:rsidRPr="003B4FCF" w:rsidRDefault="00E23344" w:rsidP="00E23344">
      <w:pPr>
        <w:rPr>
          <w:rFonts w:eastAsia="SimSun"/>
          <w:lang w:val="fr-FR"/>
        </w:rPr>
      </w:pPr>
      <w:r w:rsidRPr="003B4FCF">
        <w:rPr>
          <w:lang w:val="fr-FR"/>
        </w:rPr>
        <w:t xml:space="preserve">Il faut faire preuve de prudence lorsqu’on examine des résultats très différents dans chacun des cycles de végétation, notamment lorsqu’un type de plante hors-type est observé à un niveau élevé dans un cycle de végétation tout en étant absent dans un autre.  </w:t>
      </w:r>
      <w:r w:rsidRPr="003B4FCF">
        <w:rPr>
          <w:rFonts w:eastAsia="SimSun"/>
          <w:lang w:val="fr-FR"/>
        </w:rPr>
        <w:t xml:space="preserve">Un test statistique d’homogénéité devrait être pratiqué, le cas échéant.  </w:t>
      </w:r>
      <w:r w:rsidRPr="003B4FCF">
        <w:rPr>
          <w:lang w:val="fr-FR"/>
        </w:rPr>
        <w:t>Il est important d’identifier si la variation du nombre de plantes hors-type entre les cycles s’explique par des conditions environnementales ou des fluctuations d’échantillonnage.</w:t>
      </w:r>
    </w:p>
    <w:p w:rsidR="00E23344" w:rsidRPr="003B4FCF" w:rsidRDefault="00E23344" w:rsidP="00E23344">
      <w:pPr>
        <w:keepNext/>
        <w:keepLines/>
        <w:jc w:val="left"/>
        <w:rPr>
          <w:sz w:val="22"/>
          <w:szCs w:val="24"/>
          <w:lang w:val="fr-FR"/>
        </w:rPr>
      </w:pPr>
    </w:p>
    <w:p w:rsidR="00E23344" w:rsidRPr="003B4FCF" w:rsidRDefault="00E23344" w:rsidP="00E23344">
      <w:pPr>
        <w:keepNext/>
        <w:keepLines/>
        <w:ind w:firstLine="567"/>
        <w:jc w:val="left"/>
        <w:rPr>
          <w:i/>
          <w:szCs w:val="24"/>
          <w:lang w:val="fr-FR"/>
        </w:rPr>
      </w:pPr>
      <w:r w:rsidRPr="003B4FCF">
        <w:rPr>
          <w:i/>
          <w:szCs w:val="24"/>
          <w:lang w:val="fr-FR"/>
        </w:rPr>
        <w:t>Exemple:</w:t>
      </w:r>
    </w:p>
    <w:p w:rsidR="00E23344" w:rsidRPr="003B4FCF" w:rsidRDefault="00E23344" w:rsidP="00E23344">
      <w:pPr>
        <w:keepNext/>
        <w:keepLines/>
        <w:jc w:val="left"/>
        <w:rPr>
          <w:szCs w:val="24"/>
          <w:lang w:val="fr-FR"/>
        </w:rPr>
      </w:pPr>
    </w:p>
    <w:tbl>
      <w:tblPr>
        <w:tblW w:w="9148" w:type="dxa"/>
        <w:tblInd w:w="600" w:type="dxa"/>
        <w:tblLayout w:type="fixed"/>
        <w:tblLook w:val="04A0" w:firstRow="1" w:lastRow="0" w:firstColumn="1" w:lastColumn="0" w:noHBand="0" w:noVBand="1"/>
      </w:tblPr>
      <w:tblGrid>
        <w:gridCol w:w="697"/>
        <w:gridCol w:w="1134"/>
        <w:gridCol w:w="180"/>
        <w:gridCol w:w="954"/>
        <w:gridCol w:w="1807"/>
        <w:gridCol w:w="320"/>
        <w:gridCol w:w="2431"/>
        <w:gridCol w:w="1625"/>
      </w:tblGrid>
      <w:tr w:rsidR="00E23344" w:rsidRPr="003B4FCF" w:rsidTr="00004824">
        <w:trPr>
          <w:gridAfter w:val="1"/>
          <w:wAfter w:w="1625" w:type="dxa"/>
          <w:trHeight w:val="255"/>
        </w:trPr>
        <w:tc>
          <w:tcPr>
            <w:tcW w:w="697" w:type="dxa"/>
            <w:tcBorders>
              <w:top w:val="nil"/>
              <w:left w:val="nil"/>
              <w:bottom w:val="nil"/>
            </w:tcBorders>
            <w:shd w:val="clear" w:color="auto" w:fill="auto"/>
            <w:noWrap/>
            <w:vAlign w:val="bottom"/>
          </w:tcPr>
          <w:p w:rsidR="00E23344" w:rsidRPr="003B4FCF" w:rsidRDefault="00E23344" w:rsidP="00004824">
            <w:pPr>
              <w:jc w:val="left"/>
              <w:rPr>
                <w:rFonts w:cs="Arial"/>
                <w:color w:val="000000"/>
                <w:lang w:val="fr-FR"/>
              </w:rPr>
            </w:pPr>
          </w:p>
        </w:tc>
        <w:tc>
          <w:tcPr>
            <w:tcW w:w="6826" w:type="dxa"/>
            <w:gridSpan w:val="6"/>
            <w:tcBorders>
              <w:top w:val="nil"/>
            </w:tcBorders>
            <w:shd w:val="clear" w:color="auto" w:fill="auto"/>
            <w:vAlign w:val="bottom"/>
          </w:tcPr>
          <w:p w:rsidR="00E23344" w:rsidRPr="003B4FCF" w:rsidRDefault="00E23344" w:rsidP="00004824">
            <w:pPr>
              <w:jc w:val="left"/>
              <w:rPr>
                <w:rFonts w:cs="Arial"/>
                <w:color w:val="000000"/>
                <w:lang w:val="fr-FR"/>
              </w:rPr>
            </w:pPr>
            <w:r w:rsidRPr="003B4FCF">
              <w:rPr>
                <w:rFonts w:cs="Arial"/>
                <w:color w:val="000000"/>
                <w:lang w:val="fr-FR"/>
              </w:rPr>
              <w:t xml:space="preserve">Norme de population = 1% </w:t>
            </w:r>
          </w:p>
        </w:tc>
      </w:tr>
      <w:tr w:rsidR="00E23344" w:rsidRPr="003B4FCF" w:rsidTr="00004824">
        <w:trPr>
          <w:gridAfter w:val="1"/>
          <w:wAfter w:w="1625" w:type="dxa"/>
          <w:trHeight w:val="270"/>
        </w:trPr>
        <w:tc>
          <w:tcPr>
            <w:tcW w:w="697" w:type="dxa"/>
            <w:tcBorders>
              <w:top w:val="nil"/>
              <w:left w:val="nil"/>
              <w:bottom w:val="nil"/>
            </w:tcBorders>
            <w:shd w:val="clear" w:color="auto" w:fill="auto"/>
            <w:noWrap/>
            <w:vAlign w:val="bottom"/>
            <w:hideMark/>
          </w:tcPr>
          <w:p w:rsidR="00E23344" w:rsidRPr="003B4FCF" w:rsidRDefault="00E23344" w:rsidP="00004824">
            <w:pPr>
              <w:jc w:val="left"/>
              <w:rPr>
                <w:rFonts w:cs="Arial"/>
                <w:color w:val="000000"/>
                <w:lang w:val="fr-FR"/>
              </w:rPr>
            </w:pPr>
          </w:p>
        </w:tc>
        <w:tc>
          <w:tcPr>
            <w:tcW w:w="6826" w:type="dxa"/>
            <w:gridSpan w:val="6"/>
            <w:tcBorders>
              <w:top w:val="nil"/>
              <w:bottom w:val="single" w:sz="4" w:space="0" w:color="auto"/>
            </w:tcBorders>
            <w:shd w:val="clear" w:color="auto" w:fill="auto"/>
            <w:vAlign w:val="bottom"/>
          </w:tcPr>
          <w:p w:rsidR="00E23344" w:rsidRPr="003B4FCF" w:rsidRDefault="00E23344" w:rsidP="00004824">
            <w:pPr>
              <w:jc w:val="left"/>
              <w:rPr>
                <w:rFonts w:cs="Arial"/>
                <w:color w:val="000000"/>
                <w:lang w:val="fr-FR"/>
              </w:rPr>
            </w:pPr>
            <w:r w:rsidRPr="003B4FCF">
              <w:rPr>
                <w:rFonts w:cs="Arial"/>
                <w:color w:val="000000"/>
                <w:lang w:val="fr-FR"/>
              </w:rPr>
              <w:t>Probabilité d’acceptation ≥ 95%</w:t>
            </w:r>
          </w:p>
        </w:tc>
      </w:tr>
      <w:tr w:rsidR="00E23344" w:rsidRPr="003B4FCF" w:rsidTr="00004824">
        <w:trPr>
          <w:gridBefore w:val="1"/>
          <w:gridAfter w:val="1"/>
          <w:wBefore w:w="697" w:type="dxa"/>
          <w:wAfter w:w="1625" w:type="dxa"/>
          <w:trHeight w:val="255"/>
        </w:trPr>
        <w:tc>
          <w:tcPr>
            <w:tcW w:w="6826" w:type="dxa"/>
            <w:gridSpan w:val="6"/>
            <w:tcBorders>
              <w:top w:val="single" w:sz="4" w:space="0" w:color="auto"/>
              <w:left w:val="single" w:sz="4" w:space="0" w:color="auto"/>
              <w:bottom w:val="single" w:sz="6" w:space="0" w:color="auto"/>
              <w:right w:val="single" w:sz="4" w:space="0" w:color="auto"/>
            </w:tcBorders>
            <w:shd w:val="clear" w:color="auto" w:fill="auto"/>
            <w:vAlign w:val="bottom"/>
          </w:tcPr>
          <w:p w:rsidR="00E23344" w:rsidRPr="003B4FCF" w:rsidRDefault="00E23344" w:rsidP="00004824">
            <w:pPr>
              <w:jc w:val="left"/>
              <w:rPr>
                <w:rFonts w:cs="Arial"/>
                <w:color w:val="000000"/>
                <w:lang w:val="fr-FR"/>
              </w:rPr>
            </w:pPr>
            <w:r w:rsidRPr="003B4FCF">
              <w:rPr>
                <w:rFonts w:cs="Arial"/>
                <w:color w:val="000000"/>
                <w:lang w:val="fr-FR"/>
              </w:rPr>
              <w:t>Taille de l’échantillon dans chacun des cycles de végétation 1 et 2 = 50</w:t>
            </w:r>
          </w:p>
        </w:tc>
      </w:tr>
      <w:tr w:rsidR="00E23344" w:rsidRPr="003B4FCF" w:rsidTr="00004824">
        <w:trPr>
          <w:gridBefore w:val="1"/>
          <w:gridAfter w:val="1"/>
          <w:wBefore w:w="697" w:type="dxa"/>
          <w:wAfter w:w="1625" w:type="dxa"/>
          <w:trHeight w:val="270"/>
        </w:trPr>
        <w:tc>
          <w:tcPr>
            <w:tcW w:w="6826" w:type="dxa"/>
            <w:gridSpan w:val="6"/>
            <w:tcBorders>
              <w:top w:val="single" w:sz="6" w:space="0" w:color="auto"/>
              <w:left w:val="single" w:sz="4" w:space="0" w:color="auto"/>
              <w:bottom w:val="single" w:sz="4" w:space="0" w:color="auto"/>
              <w:right w:val="single" w:sz="4" w:space="0" w:color="auto"/>
            </w:tcBorders>
            <w:shd w:val="clear" w:color="auto" w:fill="auto"/>
            <w:vAlign w:val="bottom"/>
          </w:tcPr>
          <w:p w:rsidR="00E23344" w:rsidRPr="003B4FCF" w:rsidRDefault="00E23344" w:rsidP="00004824">
            <w:pPr>
              <w:jc w:val="left"/>
              <w:rPr>
                <w:rFonts w:cs="Arial"/>
                <w:color w:val="000000"/>
                <w:lang w:val="fr-FR"/>
              </w:rPr>
            </w:pPr>
            <w:r w:rsidRPr="003B4FCF">
              <w:rPr>
                <w:rFonts w:cs="Arial"/>
                <w:color w:val="000000"/>
                <w:lang w:val="fr-FR"/>
              </w:rPr>
              <w:t>Nombre maximum de plantes hors-type = 2</w:t>
            </w:r>
          </w:p>
        </w:tc>
      </w:tr>
      <w:tr w:rsidR="00E23344" w:rsidRPr="003B4FCF" w:rsidTr="00004824">
        <w:trPr>
          <w:gridBefore w:val="1"/>
          <w:gridAfter w:val="1"/>
          <w:wBefore w:w="697" w:type="dxa"/>
          <w:wAfter w:w="1625" w:type="dxa"/>
          <w:trHeight w:val="270"/>
        </w:trPr>
        <w:tc>
          <w:tcPr>
            <w:tcW w:w="6826" w:type="dxa"/>
            <w:gridSpan w:val="6"/>
            <w:tcBorders>
              <w:top w:val="single" w:sz="4" w:space="0" w:color="auto"/>
              <w:left w:val="single" w:sz="4" w:space="0" w:color="auto"/>
              <w:bottom w:val="nil"/>
              <w:right w:val="single" w:sz="4" w:space="0" w:color="auto"/>
            </w:tcBorders>
            <w:shd w:val="clear" w:color="auto" w:fill="auto"/>
            <w:vAlign w:val="bottom"/>
          </w:tcPr>
          <w:p w:rsidR="00E23344" w:rsidRPr="003B4FCF" w:rsidRDefault="00E23344" w:rsidP="00004824">
            <w:pPr>
              <w:jc w:val="left"/>
              <w:rPr>
                <w:rFonts w:cs="Arial"/>
                <w:color w:val="000000"/>
                <w:lang w:val="fr-FR"/>
              </w:rPr>
            </w:pPr>
            <w:r w:rsidRPr="003B4FCF">
              <w:rPr>
                <w:rFonts w:cs="Arial"/>
                <w:color w:val="000000"/>
                <w:lang w:val="fr-FR"/>
              </w:rPr>
              <w:t>Taille de l’échantillon dans les cycles de végétation 1 et 2 combinés = 100</w:t>
            </w:r>
          </w:p>
        </w:tc>
      </w:tr>
      <w:tr w:rsidR="00E23344" w:rsidRPr="003B4FCF" w:rsidTr="00004824">
        <w:trPr>
          <w:gridBefore w:val="1"/>
          <w:gridAfter w:val="1"/>
          <w:wBefore w:w="697" w:type="dxa"/>
          <w:wAfter w:w="1625" w:type="dxa"/>
          <w:trHeight w:val="270"/>
        </w:trPr>
        <w:tc>
          <w:tcPr>
            <w:tcW w:w="6826" w:type="dxa"/>
            <w:gridSpan w:val="6"/>
            <w:tcBorders>
              <w:top w:val="nil"/>
              <w:left w:val="single" w:sz="4" w:space="0" w:color="auto"/>
              <w:bottom w:val="single" w:sz="4" w:space="0" w:color="auto"/>
              <w:right w:val="single" w:sz="4" w:space="0" w:color="auto"/>
            </w:tcBorders>
            <w:shd w:val="clear" w:color="auto" w:fill="auto"/>
            <w:vAlign w:val="bottom"/>
          </w:tcPr>
          <w:p w:rsidR="00E23344" w:rsidRPr="003B4FCF" w:rsidRDefault="00E23344" w:rsidP="00004824">
            <w:pPr>
              <w:jc w:val="left"/>
              <w:rPr>
                <w:rFonts w:cs="Arial"/>
                <w:color w:val="000000"/>
                <w:lang w:val="fr-FR"/>
              </w:rPr>
            </w:pPr>
            <w:r w:rsidRPr="003B4FCF">
              <w:rPr>
                <w:rFonts w:cs="Arial"/>
                <w:color w:val="000000"/>
                <w:lang w:val="fr-FR"/>
              </w:rPr>
              <w:t>Nombre maximum de plantes hors-type = 3</w:t>
            </w:r>
          </w:p>
        </w:tc>
      </w:tr>
      <w:tr w:rsidR="00E23344" w:rsidRPr="003B4FCF" w:rsidTr="00004824">
        <w:trPr>
          <w:gridBefore w:val="1"/>
          <w:gridAfter w:val="1"/>
          <w:wBefore w:w="697" w:type="dxa"/>
          <w:wAfter w:w="1625" w:type="dxa"/>
          <w:trHeight w:val="239"/>
        </w:trPr>
        <w:tc>
          <w:tcPr>
            <w:tcW w:w="1314" w:type="dxa"/>
            <w:gridSpan w:val="2"/>
            <w:tcBorders>
              <w:top w:val="nil"/>
              <w:left w:val="nil"/>
              <w:bottom w:val="single" w:sz="4" w:space="0" w:color="auto"/>
              <w:right w:val="nil"/>
            </w:tcBorders>
            <w:shd w:val="clear" w:color="auto" w:fill="auto"/>
            <w:noWrap/>
            <w:vAlign w:val="bottom"/>
            <w:hideMark/>
          </w:tcPr>
          <w:p w:rsidR="00E23344" w:rsidRPr="003B4FCF" w:rsidRDefault="00E23344" w:rsidP="00004824">
            <w:pPr>
              <w:jc w:val="left"/>
              <w:rPr>
                <w:rFonts w:cs="Arial"/>
                <w:color w:val="000000"/>
                <w:lang w:val="fr-FR"/>
              </w:rPr>
            </w:pPr>
            <w:r w:rsidRPr="003B4FCF">
              <w:rPr>
                <w:rFonts w:cs="Arial"/>
                <w:color w:val="000000"/>
                <w:lang w:val="fr-FR"/>
              </w:rPr>
              <w:t> </w:t>
            </w:r>
          </w:p>
        </w:tc>
        <w:tc>
          <w:tcPr>
            <w:tcW w:w="954" w:type="dxa"/>
            <w:tcBorders>
              <w:top w:val="nil"/>
              <w:left w:val="nil"/>
              <w:bottom w:val="single" w:sz="4" w:space="0" w:color="auto"/>
              <w:right w:val="nil"/>
            </w:tcBorders>
            <w:shd w:val="clear" w:color="auto" w:fill="auto"/>
            <w:noWrap/>
            <w:vAlign w:val="bottom"/>
            <w:hideMark/>
          </w:tcPr>
          <w:p w:rsidR="00E23344" w:rsidRPr="003B4FCF" w:rsidRDefault="00E23344" w:rsidP="00004824">
            <w:pPr>
              <w:jc w:val="left"/>
              <w:rPr>
                <w:rFonts w:cs="Arial"/>
                <w:color w:val="000000"/>
                <w:lang w:val="fr-FR"/>
              </w:rPr>
            </w:pPr>
            <w:r w:rsidRPr="003B4FCF">
              <w:rPr>
                <w:rFonts w:cs="Arial"/>
                <w:color w:val="000000"/>
                <w:lang w:val="fr-FR"/>
              </w:rPr>
              <w:t> </w:t>
            </w:r>
          </w:p>
        </w:tc>
        <w:tc>
          <w:tcPr>
            <w:tcW w:w="1807" w:type="dxa"/>
            <w:tcBorders>
              <w:top w:val="nil"/>
              <w:left w:val="nil"/>
              <w:bottom w:val="single" w:sz="4" w:space="0" w:color="auto"/>
              <w:right w:val="nil"/>
            </w:tcBorders>
            <w:shd w:val="clear" w:color="auto" w:fill="auto"/>
            <w:noWrap/>
            <w:vAlign w:val="bottom"/>
            <w:hideMark/>
          </w:tcPr>
          <w:p w:rsidR="00E23344" w:rsidRPr="003B4FCF" w:rsidRDefault="00E23344" w:rsidP="00004824">
            <w:pPr>
              <w:jc w:val="left"/>
              <w:rPr>
                <w:rFonts w:cs="Arial"/>
                <w:color w:val="000000"/>
                <w:lang w:val="fr-FR"/>
              </w:rPr>
            </w:pPr>
            <w:r w:rsidRPr="003B4FCF">
              <w:rPr>
                <w:rFonts w:cs="Arial"/>
                <w:color w:val="000000"/>
                <w:lang w:val="fr-FR"/>
              </w:rPr>
              <w:t> </w:t>
            </w:r>
          </w:p>
        </w:tc>
        <w:tc>
          <w:tcPr>
            <w:tcW w:w="2751" w:type="dxa"/>
            <w:gridSpan w:val="2"/>
            <w:tcBorders>
              <w:top w:val="nil"/>
              <w:left w:val="nil"/>
              <w:bottom w:val="single" w:sz="4" w:space="0" w:color="auto"/>
            </w:tcBorders>
            <w:shd w:val="clear" w:color="auto" w:fill="auto"/>
            <w:noWrap/>
            <w:vAlign w:val="bottom"/>
            <w:hideMark/>
          </w:tcPr>
          <w:p w:rsidR="00E23344" w:rsidRPr="003B4FCF" w:rsidRDefault="00E23344" w:rsidP="00004824">
            <w:pPr>
              <w:jc w:val="left"/>
              <w:rPr>
                <w:rFonts w:cs="Arial"/>
                <w:color w:val="000000"/>
                <w:lang w:val="fr-FR"/>
              </w:rPr>
            </w:pPr>
            <w:r w:rsidRPr="003B4FCF">
              <w:rPr>
                <w:rFonts w:cs="Arial"/>
                <w:color w:val="000000"/>
                <w:lang w:val="fr-FR"/>
              </w:rPr>
              <w:t> </w:t>
            </w:r>
          </w:p>
        </w:tc>
      </w:tr>
      <w:tr w:rsidR="00E23344" w:rsidRPr="003B4FCF" w:rsidTr="00004824">
        <w:trPr>
          <w:trHeight w:val="380"/>
        </w:trPr>
        <w:tc>
          <w:tcPr>
            <w:tcW w:w="697" w:type="dxa"/>
            <w:tcBorders>
              <w:top w:val="nil"/>
              <w:left w:val="nil"/>
              <w:bottom w:val="nil"/>
              <w:right w:val="single" w:sz="4" w:space="0" w:color="auto"/>
            </w:tcBorders>
            <w:shd w:val="clear" w:color="auto" w:fill="auto"/>
            <w:noWrap/>
            <w:vAlign w:val="bottom"/>
            <w:hideMark/>
          </w:tcPr>
          <w:p w:rsidR="00E23344" w:rsidRPr="003B4FCF" w:rsidRDefault="00E23344" w:rsidP="00004824">
            <w:pPr>
              <w:jc w:val="left"/>
              <w:rPr>
                <w:rFonts w:cs="Arial"/>
                <w:color w:val="000000"/>
                <w:lang w:val="fr-FR"/>
              </w:rPr>
            </w:pPr>
            <w:r w:rsidRPr="003B4FCF">
              <w:rPr>
                <w:rFonts w:cs="Arial"/>
                <w:color w:val="000000"/>
                <w:lang w:val="fr-FR"/>
              </w:rPr>
              <w:t> </w:t>
            </w:r>
          </w:p>
        </w:tc>
        <w:tc>
          <w:tcPr>
            <w:tcW w:w="2268" w:type="dxa"/>
            <w:gridSpan w:val="3"/>
            <w:tcBorders>
              <w:top w:val="nil"/>
              <w:left w:val="nil"/>
              <w:bottom w:val="single" w:sz="4" w:space="0" w:color="auto"/>
              <w:right w:val="single" w:sz="4" w:space="0" w:color="000000"/>
            </w:tcBorders>
            <w:shd w:val="clear" w:color="auto" w:fill="auto"/>
            <w:noWrap/>
            <w:vAlign w:val="center"/>
            <w:hideMark/>
          </w:tcPr>
          <w:p w:rsidR="00E23344" w:rsidRPr="003B4FCF" w:rsidRDefault="00E23344" w:rsidP="00004824">
            <w:pPr>
              <w:jc w:val="center"/>
              <w:rPr>
                <w:rFonts w:cs="Arial"/>
                <w:color w:val="000000"/>
                <w:lang w:val="fr-FR"/>
              </w:rPr>
            </w:pPr>
            <w:r w:rsidRPr="003B4FCF">
              <w:rPr>
                <w:rFonts w:cs="Arial"/>
                <w:color w:val="000000"/>
                <w:lang w:val="fr-FR"/>
              </w:rPr>
              <w:t>Cycle de végétation</w:t>
            </w:r>
          </w:p>
        </w:tc>
        <w:tc>
          <w:tcPr>
            <w:tcW w:w="6183" w:type="dxa"/>
            <w:gridSpan w:val="4"/>
            <w:tcBorders>
              <w:top w:val="single" w:sz="4" w:space="0" w:color="auto"/>
              <w:left w:val="nil"/>
              <w:bottom w:val="single" w:sz="4" w:space="0" w:color="auto"/>
              <w:right w:val="single" w:sz="4" w:space="0" w:color="auto"/>
            </w:tcBorders>
            <w:shd w:val="clear" w:color="auto" w:fill="auto"/>
            <w:noWrap/>
            <w:vAlign w:val="center"/>
            <w:hideMark/>
          </w:tcPr>
          <w:p w:rsidR="00E23344" w:rsidRPr="003B4FCF" w:rsidRDefault="00E23344" w:rsidP="00004824">
            <w:pPr>
              <w:jc w:val="center"/>
              <w:rPr>
                <w:lang w:val="fr-FR"/>
              </w:rPr>
            </w:pPr>
            <w:r w:rsidRPr="003B4FCF">
              <w:rPr>
                <w:rFonts w:cs="Arial"/>
                <w:color w:val="000000"/>
                <w:lang w:val="fr-FR"/>
              </w:rPr>
              <w:t>Décision</w:t>
            </w:r>
          </w:p>
        </w:tc>
      </w:tr>
      <w:tr w:rsidR="00E23344" w:rsidRPr="003B4FCF" w:rsidTr="00004824">
        <w:trPr>
          <w:trHeight w:val="236"/>
        </w:trPr>
        <w:tc>
          <w:tcPr>
            <w:tcW w:w="697" w:type="dxa"/>
            <w:tcBorders>
              <w:top w:val="nil"/>
              <w:left w:val="nil"/>
              <w:bottom w:val="single" w:sz="4" w:space="0" w:color="auto"/>
              <w:right w:val="single" w:sz="4" w:space="0" w:color="auto"/>
            </w:tcBorders>
            <w:shd w:val="clear" w:color="auto" w:fill="auto"/>
            <w:noWrap/>
            <w:vAlign w:val="bottom"/>
            <w:hideMark/>
          </w:tcPr>
          <w:p w:rsidR="00E23344" w:rsidRPr="003B4FCF" w:rsidRDefault="00E23344" w:rsidP="00004824">
            <w:pPr>
              <w:jc w:val="left"/>
              <w:rPr>
                <w:rFonts w:cs="Arial"/>
                <w:color w:val="000000"/>
                <w:lang w:val="fr-FR"/>
              </w:rPr>
            </w:pPr>
            <w:r w:rsidRPr="003B4FCF">
              <w:rPr>
                <w:rFonts w:cs="Arial"/>
                <w:color w:val="000000"/>
                <w:lang w:val="fr-FR"/>
              </w:rPr>
              <w:t> </w:t>
            </w:r>
          </w:p>
        </w:tc>
        <w:tc>
          <w:tcPr>
            <w:tcW w:w="1134" w:type="dxa"/>
            <w:tcBorders>
              <w:top w:val="nil"/>
              <w:left w:val="nil"/>
              <w:bottom w:val="single" w:sz="4" w:space="0" w:color="auto"/>
              <w:right w:val="single" w:sz="4" w:space="0" w:color="auto"/>
            </w:tcBorders>
            <w:shd w:val="clear" w:color="auto" w:fill="auto"/>
            <w:noWrap/>
            <w:vAlign w:val="bottom"/>
            <w:hideMark/>
          </w:tcPr>
          <w:p w:rsidR="00E23344" w:rsidRPr="003B4FCF" w:rsidRDefault="00E23344" w:rsidP="00004824">
            <w:pPr>
              <w:spacing w:after="100" w:afterAutospacing="1"/>
              <w:jc w:val="center"/>
              <w:rPr>
                <w:rFonts w:cs="Arial"/>
                <w:color w:val="000000"/>
                <w:lang w:val="fr-FR"/>
              </w:rPr>
            </w:pPr>
            <w:r w:rsidRPr="003B4FCF">
              <w:rPr>
                <w:rFonts w:cs="Arial"/>
                <w:color w:val="000000"/>
                <w:lang w:val="fr-FR"/>
              </w:rPr>
              <w:t>Premier</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23344" w:rsidRPr="003B4FCF" w:rsidRDefault="00E23344" w:rsidP="00004824">
            <w:pPr>
              <w:jc w:val="center"/>
              <w:rPr>
                <w:rFonts w:cs="Arial"/>
                <w:color w:val="000000"/>
                <w:lang w:val="fr-FR"/>
              </w:rPr>
            </w:pPr>
            <w:r w:rsidRPr="003B4FCF">
              <w:rPr>
                <w:rFonts w:cs="Arial"/>
                <w:color w:val="000000"/>
                <w:lang w:val="fr-FR"/>
              </w:rPr>
              <w:t>Deuxième</w:t>
            </w:r>
          </w:p>
        </w:tc>
        <w:tc>
          <w:tcPr>
            <w:tcW w:w="2127" w:type="dxa"/>
            <w:gridSpan w:val="2"/>
            <w:tcBorders>
              <w:top w:val="nil"/>
              <w:left w:val="nil"/>
              <w:bottom w:val="single" w:sz="4" w:space="0" w:color="auto"/>
              <w:right w:val="single" w:sz="4" w:space="0" w:color="auto"/>
            </w:tcBorders>
            <w:shd w:val="clear" w:color="auto" w:fill="auto"/>
            <w:noWrap/>
            <w:vAlign w:val="center"/>
            <w:hideMark/>
          </w:tcPr>
          <w:p w:rsidR="00E23344" w:rsidRPr="003B4FCF" w:rsidRDefault="00E23344" w:rsidP="00004824">
            <w:pPr>
              <w:jc w:val="center"/>
              <w:rPr>
                <w:rFonts w:cs="Arial"/>
                <w:color w:val="000000"/>
                <w:lang w:val="fr-FR"/>
              </w:rPr>
            </w:pPr>
            <w:r w:rsidRPr="003B4FCF">
              <w:rPr>
                <w:rFonts w:cs="Arial"/>
                <w:color w:val="000000"/>
                <w:lang w:val="fr-FR"/>
              </w:rPr>
              <w:t>Méthode 1</w:t>
            </w:r>
          </w:p>
        </w:tc>
        <w:tc>
          <w:tcPr>
            <w:tcW w:w="2431" w:type="dxa"/>
            <w:tcBorders>
              <w:top w:val="nil"/>
              <w:left w:val="nil"/>
              <w:bottom w:val="single" w:sz="4" w:space="0" w:color="auto"/>
              <w:right w:val="single" w:sz="4" w:space="0" w:color="auto"/>
            </w:tcBorders>
            <w:shd w:val="clear" w:color="auto" w:fill="auto"/>
            <w:noWrap/>
            <w:vAlign w:val="center"/>
            <w:hideMark/>
          </w:tcPr>
          <w:p w:rsidR="00E23344" w:rsidRPr="003B4FCF" w:rsidRDefault="00E23344" w:rsidP="00004824">
            <w:pPr>
              <w:jc w:val="center"/>
              <w:rPr>
                <w:rFonts w:cs="Arial"/>
                <w:color w:val="000000"/>
                <w:lang w:val="fr-FR"/>
              </w:rPr>
            </w:pPr>
            <w:r w:rsidRPr="003B4FCF">
              <w:rPr>
                <w:rFonts w:cs="Arial"/>
                <w:color w:val="000000"/>
                <w:lang w:val="fr-FR"/>
              </w:rPr>
              <w:t>Méthode 2</w:t>
            </w:r>
          </w:p>
        </w:tc>
        <w:tc>
          <w:tcPr>
            <w:tcW w:w="1624" w:type="dxa"/>
            <w:tcBorders>
              <w:top w:val="single" w:sz="4" w:space="0" w:color="auto"/>
              <w:bottom w:val="single" w:sz="4" w:space="0" w:color="auto"/>
              <w:right w:val="single" w:sz="4" w:space="0" w:color="auto"/>
            </w:tcBorders>
            <w:shd w:val="clear" w:color="auto" w:fill="auto"/>
            <w:vAlign w:val="center"/>
          </w:tcPr>
          <w:p w:rsidR="00E23344" w:rsidRPr="003B4FCF" w:rsidRDefault="00E23344" w:rsidP="00004824">
            <w:pPr>
              <w:jc w:val="center"/>
              <w:rPr>
                <w:lang w:val="fr-FR"/>
              </w:rPr>
            </w:pPr>
            <w:r w:rsidRPr="003B4FCF">
              <w:rPr>
                <w:lang w:val="fr-FR"/>
              </w:rPr>
              <w:t>Méthode 3</w:t>
            </w:r>
          </w:p>
        </w:tc>
      </w:tr>
      <w:tr w:rsidR="00E23344" w:rsidRPr="003B4FCF" w:rsidTr="00004824">
        <w:trPr>
          <w:trHeight w:val="240"/>
        </w:trPr>
        <w:tc>
          <w:tcPr>
            <w:tcW w:w="697" w:type="dxa"/>
            <w:vMerge w:val="restart"/>
            <w:tcBorders>
              <w:top w:val="nil"/>
              <w:left w:val="single" w:sz="4" w:space="0" w:color="auto"/>
              <w:right w:val="single" w:sz="4" w:space="0" w:color="auto"/>
            </w:tcBorders>
            <w:shd w:val="clear" w:color="auto" w:fill="auto"/>
            <w:textDirection w:val="btLr"/>
            <w:vAlign w:val="center"/>
          </w:tcPr>
          <w:p w:rsidR="00E23344" w:rsidRPr="003B4FCF" w:rsidRDefault="00E23344" w:rsidP="00004824">
            <w:pPr>
              <w:jc w:val="center"/>
              <w:rPr>
                <w:rFonts w:cs="Arial"/>
                <w:color w:val="000000"/>
                <w:lang w:val="fr-FR"/>
              </w:rPr>
            </w:pPr>
            <w:r w:rsidRPr="003B4FCF">
              <w:rPr>
                <w:rFonts w:cs="Arial"/>
                <w:color w:val="000000"/>
                <w:lang w:val="fr-FR"/>
              </w:rPr>
              <w:t xml:space="preserve">Nombre de plantes </w:t>
            </w:r>
            <w:r w:rsidRPr="003B4FCF">
              <w:rPr>
                <w:rFonts w:cs="Arial"/>
                <w:color w:val="000000"/>
                <w:lang w:val="fr-FR"/>
              </w:rPr>
              <w:br/>
              <w:t>hors-type</w:t>
            </w:r>
          </w:p>
        </w:tc>
        <w:tc>
          <w:tcPr>
            <w:tcW w:w="1134" w:type="dxa"/>
            <w:tcBorders>
              <w:top w:val="single" w:sz="4" w:space="0" w:color="auto"/>
              <w:left w:val="single" w:sz="4" w:space="0" w:color="auto"/>
              <w:bottom w:val="single" w:sz="6" w:space="0" w:color="auto"/>
              <w:right w:val="single" w:sz="6" w:space="0" w:color="auto"/>
            </w:tcBorders>
            <w:shd w:val="clear" w:color="auto" w:fill="auto"/>
            <w:noWrap/>
            <w:vAlign w:val="center"/>
          </w:tcPr>
          <w:p w:rsidR="00E23344" w:rsidRPr="003B4FCF" w:rsidRDefault="00E23344" w:rsidP="00004824">
            <w:pPr>
              <w:jc w:val="center"/>
              <w:rPr>
                <w:rFonts w:cs="Arial"/>
                <w:color w:val="000000"/>
                <w:lang w:val="fr-FR"/>
              </w:rPr>
            </w:pPr>
            <w:r w:rsidRPr="003B4FCF">
              <w:rPr>
                <w:rFonts w:cs="Arial"/>
                <w:color w:val="000000"/>
                <w:lang w:val="fr-FR"/>
              </w:rPr>
              <w:t>1</w:t>
            </w:r>
          </w:p>
        </w:tc>
        <w:tc>
          <w:tcPr>
            <w:tcW w:w="1134" w:type="dxa"/>
            <w:gridSpan w:val="2"/>
            <w:tcBorders>
              <w:top w:val="single" w:sz="4" w:space="0" w:color="auto"/>
              <w:left w:val="single" w:sz="6" w:space="0" w:color="auto"/>
              <w:bottom w:val="single" w:sz="6" w:space="0" w:color="auto"/>
              <w:right w:val="single" w:sz="6" w:space="0" w:color="auto"/>
            </w:tcBorders>
            <w:shd w:val="clear" w:color="auto" w:fill="auto"/>
            <w:noWrap/>
            <w:vAlign w:val="center"/>
          </w:tcPr>
          <w:p w:rsidR="00E23344" w:rsidRPr="003B4FCF" w:rsidRDefault="00E23344" w:rsidP="00004824">
            <w:pPr>
              <w:jc w:val="center"/>
              <w:rPr>
                <w:rFonts w:cs="Arial"/>
                <w:color w:val="000000"/>
                <w:lang w:val="fr-FR"/>
              </w:rPr>
            </w:pPr>
            <w:r w:rsidRPr="003B4FCF">
              <w:rPr>
                <w:rFonts w:cs="Arial"/>
                <w:color w:val="000000"/>
                <w:lang w:val="fr-FR"/>
              </w:rPr>
              <w:t>1</w:t>
            </w:r>
          </w:p>
        </w:tc>
        <w:tc>
          <w:tcPr>
            <w:tcW w:w="2127" w:type="dxa"/>
            <w:gridSpan w:val="2"/>
            <w:tcBorders>
              <w:top w:val="single" w:sz="4" w:space="0" w:color="auto"/>
              <w:left w:val="single" w:sz="6" w:space="0" w:color="auto"/>
              <w:bottom w:val="single" w:sz="6" w:space="0" w:color="auto"/>
              <w:right w:val="single" w:sz="6" w:space="0" w:color="auto"/>
            </w:tcBorders>
            <w:shd w:val="clear" w:color="auto" w:fill="auto"/>
            <w:noWrap/>
            <w:vAlign w:val="center"/>
          </w:tcPr>
          <w:p w:rsidR="00E23344" w:rsidRPr="003B4FCF" w:rsidRDefault="00E23344" w:rsidP="00004824">
            <w:pPr>
              <w:jc w:val="center"/>
              <w:rPr>
                <w:rFonts w:cs="Arial"/>
                <w:color w:val="000000"/>
                <w:lang w:val="fr-FR"/>
              </w:rPr>
            </w:pPr>
            <w:r w:rsidRPr="003B4FCF">
              <w:rPr>
                <w:rFonts w:cs="Arial"/>
                <w:color w:val="000000"/>
                <w:lang w:val="fr-FR"/>
              </w:rPr>
              <w:t>homogène</w:t>
            </w:r>
          </w:p>
        </w:tc>
        <w:tc>
          <w:tcPr>
            <w:tcW w:w="2431" w:type="dxa"/>
            <w:tcBorders>
              <w:top w:val="single" w:sz="4" w:space="0" w:color="auto"/>
              <w:left w:val="single" w:sz="6" w:space="0" w:color="auto"/>
              <w:bottom w:val="single" w:sz="6" w:space="0" w:color="auto"/>
              <w:right w:val="single" w:sz="4" w:space="0" w:color="auto"/>
            </w:tcBorders>
            <w:shd w:val="clear" w:color="auto" w:fill="auto"/>
            <w:vAlign w:val="center"/>
          </w:tcPr>
          <w:p w:rsidR="00E23344" w:rsidRPr="003B4FCF" w:rsidRDefault="00E23344" w:rsidP="00004824">
            <w:pPr>
              <w:jc w:val="center"/>
              <w:rPr>
                <w:rFonts w:cs="Arial"/>
                <w:color w:val="000000"/>
                <w:lang w:val="fr-FR"/>
              </w:rPr>
            </w:pPr>
            <w:r w:rsidRPr="003B4FCF">
              <w:rPr>
                <w:rFonts w:cs="Arial"/>
                <w:color w:val="000000"/>
                <w:lang w:val="fr-FR"/>
              </w:rPr>
              <w:t>homogène</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E23344" w:rsidRPr="003B4FCF" w:rsidRDefault="00E23344" w:rsidP="00004824">
            <w:pPr>
              <w:jc w:val="center"/>
              <w:rPr>
                <w:lang w:val="fr-FR"/>
              </w:rPr>
            </w:pPr>
            <w:r w:rsidRPr="003B4FCF">
              <w:rPr>
                <w:rFonts w:cs="Arial"/>
                <w:color w:val="000000"/>
                <w:lang w:val="fr-FR"/>
              </w:rPr>
              <w:t>homogène</w:t>
            </w:r>
          </w:p>
        </w:tc>
      </w:tr>
      <w:tr w:rsidR="00E23344" w:rsidRPr="003B4FCF" w:rsidTr="00004824">
        <w:trPr>
          <w:trHeight w:val="240"/>
        </w:trPr>
        <w:tc>
          <w:tcPr>
            <w:tcW w:w="697" w:type="dxa"/>
            <w:vMerge/>
            <w:tcBorders>
              <w:left w:val="single" w:sz="4" w:space="0" w:color="auto"/>
              <w:right w:val="single" w:sz="4" w:space="0" w:color="auto"/>
            </w:tcBorders>
            <w:shd w:val="clear" w:color="auto" w:fill="auto"/>
            <w:textDirection w:val="btLr"/>
            <w:vAlign w:val="center"/>
            <w:hideMark/>
          </w:tcPr>
          <w:p w:rsidR="00E23344" w:rsidRPr="003B4FCF" w:rsidRDefault="00E23344" w:rsidP="00004824">
            <w:pPr>
              <w:jc w:val="center"/>
              <w:rPr>
                <w:rFonts w:cs="Arial"/>
                <w:color w:val="000000"/>
                <w:lang w:val="fr-FR"/>
              </w:rPr>
            </w:pPr>
          </w:p>
        </w:tc>
        <w:tc>
          <w:tcPr>
            <w:tcW w:w="1134" w:type="dxa"/>
            <w:tcBorders>
              <w:top w:val="single" w:sz="6" w:space="0" w:color="auto"/>
              <w:left w:val="single" w:sz="4" w:space="0" w:color="auto"/>
              <w:bottom w:val="single" w:sz="4" w:space="0" w:color="auto"/>
              <w:right w:val="single" w:sz="6" w:space="0" w:color="auto"/>
            </w:tcBorders>
            <w:shd w:val="clear" w:color="auto" w:fill="auto"/>
            <w:noWrap/>
            <w:vAlign w:val="center"/>
            <w:hideMark/>
          </w:tcPr>
          <w:p w:rsidR="00E23344" w:rsidRPr="003B4FCF" w:rsidRDefault="00E23344" w:rsidP="00004824">
            <w:pPr>
              <w:jc w:val="center"/>
              <w:rPr>
                <w:rFonts w:cs="Arial"/>
                <w:color w:val="000000"/>
                <w:lang w:val="fr-FR"/>
              </w:rPr>
            </w:pPr>
            <w:r w:rsidRPr="003B4FCF">
              <w:rPr>
                <w:rFonts w:cs="Arial"/>
                <w:color w:val="000000"/>
                <w:lang w:val="fr-FR"/>
              </w:rPr>
              <w:t>2</w:t>
            </w:r>
          </w:p>
        </w:tc>
        <w:tc>
          <w:tcPr>
            <w:tcW w:w="1134" w:type="dxa"/>
            <w:gridSpan w:val="2"/>
            <w:tcBorders>
              <w:top w:val="single" w:sz="6" w:space="0" w:color="auto"/>
              <w:left w:val="single" w:sz="6" w:space="0" w:color="auto"/>
              <w:bottom w:val="single" w:sz="4" w:space="0" w:color="auto"/>
              <w:right w:val="single" w:sz="6" w:space="0" w:color="auto"/>
            </w:tcBorders>
            <w:shd w:val="clear" w:color="auto" w:fill="auto"/>
            <w:noWrap/>
            <w:vAlign w:val="center"/>
            <w:hideMark/>
          </w:tcPr>
          <w:p w:rsidR="00E23344" w:rsidRPr="003B4FCF" w:rsidRDefault="00E23344" w:rsidP="00004824">
            <w:pPr>
              <w:jc w:val="center"/>
              <w:rPr>
                <w:rFonts w:cs="Arial"/>
                <w:color w:val="000000"/>
                <w:lang w:val="fr-FR"/>
              </w:rPr>
            </w:pPr>
            <w:r w:rsidRPr="003B4FCF">
              <w:rPr>
                <w:rFonts w:cs="Arial"/>
                <w:color w:val="000000"/>
                <w:lang w:val="fr-FR"/>
              </w:rPr>
              <w:t>2</w:t>
            </w:r>
          </w:p>
        </w:tc>
        <w:tc>
          <w:tcPr>
            <w:tcW w:w="2127" w:type="dxa"/>
            <w:gridSpan w:val="2"/>
            <w:tcBorders>
              <w:top w:val="single" w:sz="6" w:space="0" w:color="auto"/>
              <w:left w:val="single" w:sz="6" w:space="0" w:color="auto"/>
              <w:bottom w:val="single" w:sz="4" w:space="0" w:color="auto"/>
              <w:right w:val="single" w:sz="6" w:space="0" w:color="auto"/>
            </w:tcBorders>
            <w:shd w:val="clear" w:color="auto" w:fill="auto"/>
            <w:noWrap/>
            <w:vAlign w:val="center"/>
            <w:hideMark/>
          </w:tcPr>
          <w:p w:rsidR="00E23344" w:rsidRPr="003B4FCF" w:rsidRDefault="00E23344" w:rsidP="00004824">
            <w:pPr>
              <w:jc w:val="center"/>
              <w:rPr>
                <w:rFonts w:cs="Arial"/>
                <w:color w:val="000000"/>
                <w:lang w:val="fr-FR"/>
              </w:rPr>
            </w:pPr>
            <w:r w:rsidRPr="003B4FCF">
              <w:rPr>
                <w:rFonts w:cs="Arial"/>
                <w:color w:val="000000"/>
                <w:lang w:val="fr-FR"/>
              </w:rPr>
              <w:t>homogène</w:t>
            </w:r>
          </w:p>
        </w:tc>
        <w:tc>
          <w:tcPr>
            <w:tcW w:w="2431" w:type="dxa"/>
            <w:tcBorders>
              <w:top w:val="single" w:sz="6" w:space="0" w:color="auto"/>
              <w:left w:val="single" w:sz="6" w:space="0" w:color="auto"/>
              <w:bottom w:val="single" w:sz="4" w:space="0" w:color="auto"/>
              <w:right w:val="single" w:sz="4" w:space="0" w:color="auto"/>
            </w:tcBorders>
            <w:shd w:val="clear" w:color="auto" w:fill="auto"/>
            <w:vAlign w:val="center"/>
            <w:hideMark/>
          </w:tcPr>
          <w:p w:rsidR="00E23344" w:rsidRPr="003B4FCF" w:rsidRDefault="00E23344" w:rsidP="00004824">
            <w:pPr>
              <w:jc w:val="center"/>
              <w:rPr>
                <w:rFonts w:cs="Arial"/>
                <w:color w:val="000000"/>
                <w:lang w:val="fr-FR"/>
              </w:rPr>
            </w:pPr>
            <w:r w:rsidRPr="003B4FCF">
              <w:rPr>
                <w:rFonts w:cs="Arial"/>
                <w:color w:val="000000"/>
                <w:lang w:val="fr-FR"/>
              </w:rPr>
              <w:t>homogène</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E23344" w:rsidRPr="003B4FCF" w:rsidRDefault="00E23344" w:rsidP="00004824">
            <w:pPr>
              <w:jc w:val="center"/>
              <w:rPr>
                <w:lang w:val="fr-FR"/>
              </w:rPr>
            </w:pPr>
            <w:r w:rsidRPr="003B4FCF">
              <w:rPr>
                <w:lang w:val="fr-FR"/>
              </w:rPr>
              <w:t>non homogène</w:t>
            </w:r>
          </w:p>
        </w:tc>
      </w:tr>
      <w:tr w:rsidR="00E23344" w:rsidRPr="003B4FCF" w:rsidTr="00004824">
        <w:trPr>
          <w:trHeight w:val="273"/>
        </w:trPr>
        <w:tc>
          <w:tcPr>
            <w:tcW w:w="697" w:type="dxa"/>
            <w:vMerge/>
            <w:tcBorders>
              <w:left w:val="single" w:sz="4" w:space="0" w:color="auto"/>
              <w:right w:val="single" w:sz="4" w:space="0" w:color="000000"/>
            </w:tcBorders>
            <w:vAlign w:val="center"/>
            <w:hideMark/>
          </w:tcPr>
          <w:p w:rsidR="00E23344" w:rsidRPr="003B4FCF" w:rsidRDefault="00E23344" w:rsidP="00004824">
            <w:pPr>
              <w:jc w:val="left"/>
              <w:rPr>
                <w:rFonts w:cs="Arial"/>
                <w:color w:val="000000"/>
                <w:lang w:val="fr-FR"/>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23344" w:rsidRPr="003B4FCF" w:rsidRDefault="00E23344" w:rsidP="00004824">
            <w:pPr>
              <w:jc w:val="center"/>
              <w:rPr>
                <w:rFonts w:cs="Arial"/>
                <w:color w:val="000000"/>
                <w:lang w:val="fr-FR"/>
              </w:rPr>
            </w:pPr>
            <w:r w:rsidRPr="003B4FCF">
              <w:rPr>
                <w:rFonts w:cs="Arial"/>
                <w:color w:val="000000"/>
                <w:lang w:val="fr-FR"/>
              </w:rPr>
              <w:t>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E23344" w:rsidRPr="003B4FCF" w:rsidRDefault="00E23344" w:rsidP="00004824">
            <w:pPr>
              <w:jc w:val="center"/>
              <w:rPr>
                <w:rFonts w:cs="Arial"/>
                <w:color w:val="000000"/>
                <w:lang w:val="fr-FR"/>
              </w:rPr>
            </w:pPr>
            <w:r w:rsidRPr="003B4FCF">
              <w:rPr>
                <w:rFonts w:cs="Arial"/>
                <w:color w:val="000000"/>
                <w:lang w:val="fr-FR"/>
              </w:rPr>
              <w:t>3*</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E23344" w:rsidRPr="003B4FCF" w:rsidRDefault="00E23344" w:rsidP="00004824">
            <w:pPr>
              <w:jc w:val="center"/>
              <w:rPr>
                <w:rFonts w:cs="Arial"/>
                <w:color w:val="000000"/>
                <w:lang w:val="fr-FR"/>
              </w:rPr>
            </w:pPr>
            <w:r w:rsidRPr="003B4FCF">
              <w:rPr>
                <w:rFonts w:cs="Arial"/>
                <w:color w:val="000000"/>
                <w:lang w:val="fr-FR"/>
              </w:rPr>
              <w:t>troisième cycle de végétation*</w:t>
            </w:r>
          </w:p>
        </w:tc>
        <w:tc>
          <w:tcPr>
            <w:tcW w:w="2431" w:type="dxa"/>
            <w:tcBorders>
              <w:top w:val="single" w:sz="4" w:space="0" w:color="auto"/>
              <w:left w:val="nil"/>
              <w:bottom w:val="single" w:sz="4" w:space="0" w:color="auto"/>
              <w:right w:val="single" w:sz="4" w:space="0" w:color="auto"/>
            </w:tcBorders>
            <w:shd w:val="clear" w:color="auto" w:fill="auto"/>
            <w:vAlign w:val="center"/>
            <w:hideMark/>
          </w:tcPr>
          <w:p w:rsidR="00E23344" w:rsidRPr="003B4FCF" w:rsidRDefault="00E23344" w:rsidP="00004824">
            <w:pPr>
              <w:jc w:val="center"/>
              <w:rPr>
                <w:rFonts w:cs="Arial"/>
                <w:color w:val="000000"/>
                <w:lang w:val="fr-FR"/>
              </w:rPr>
            </w:pPr>
            <w:r w:rsidRPr="003B4FCF">
              <w:rPr>
                <w:rFonts w:cs="Arial"/>
                <w:color w:val="000000"/>
                <w:lang w:val="fr-FR"/>
              </w:rPr>
              <w:t>homogène*</w:t>
            </w:r>
          </w:p>
        </w:tc>
        <w:tc>
          <w:tcPr>
            <w:tcW w:w="1624" w:type="dxa"/>
            <w:tcBorders>
              <w:top w:val="single" w:sz="4" w:space="0" w:color="auto"/>
              <w:bottom w:val="single" w:sz="4" w:space="0" w:color="auto"/>
              <w:right w:val="single" w:sz="4" w:space="0" w:color="auto"/>
            </w:tcBorders>
            <w:shd w:val="clear" w:color="auto" w:fill="auto"/>
            <w:vAlign w:val="center"/>
          </w:tcPr>
          <w:p w:rsidR="00E23344" w:rsidRPr="003B4FCF" w:rsidRDefault="00E23344" w:rsidP="00004824">
            <w:pPr>
              <w:jc w:val="center"/>
              <w:rPr>
                <w:lang w:val="fr-FR"/>
              </w:rPr>
            </w:pPr>
            <w:r w:rsidRPr="003B4FCF">
              <w:rPr>
                <w:lang w:val="fr-FR"/>
              </w:rPr>
              <w:t>homogène*</w:t>
            </w:r>
          </w:p>
        </w:tc>
      </w:tr>
      <w:tr w:rsidR="00E23344" w:rsidRPr="003B4FCF" w:rsidTr="00004824">
        <w:trPr>
          <w:trHeight w:val="248"/>
        </w:trPr>
        <w:tc>
          <w:tcPr>
            <w:tcW w:w="697" w:type="dxa"/>
            <w:vMerge/>
            <w:tcBorders>
              <w:left w:val="single" w:sz="4" w:space="0" w:color="auto"/>
              <w:right w:val="single" w:sz="4" w:space="0" w:color="auto"/>
            </w:tcBorders>
            <w:vAlign w:val="center"/>
            <w:hideMark/>
          </w:tcPr>
          <w:p w:rsidR="00E23344" w:rsidRPr="003B4FCF" w:rsidRDefault="00E23344" w:rsidP="00004824">
            <w:pPr>
              <w:jc w:val="left"/>
              <w:rPr>
                <w:rFonts w:cs="Arial"/>
                <w:color w:val="000000"/>
                <w:lang w:val="fr-FR"/>
              </w:rPr>
            </w:pPr>
          </w:p>
        </w:tc>
        <w:tc>
          <w:tcPr>
            <w:tcW w:w="1134" w:type="dxa"/>
            <w:tcBorders>
              <w:top w:val="single" w:sz="4" w:space="0" w:color="auto"/>
              <w:left w:val="single" w:sz="4" w:space="0" w:color="auto"/>
              <w:bottom w:val="single" w:sz="4" w:space="0" w:color="auto"/>
              <w:right w:val="single" w:sz="6" w:space="0" w:color="auto"/>
            </w:tcBorders>
            <w:shd w:val="clear" w:color="auto" w:fill="auto"/>
            <w:vAlign w:val="center"/>
            <w:hideMark/>
          </w:tcPr>
          <w:p w:rsidR="00E23344" w:rsidRPr="003B4FCF" w:rsidRDefault="00E23344" w:rsidP="00004824">
            <w:pPr>
              <w:jc w:val="center"/>
              <w:rPr>
                <w:rFonts w:cs="Arial"/>
                <w:color w:val="000000"/>
                <w:lang w:val="fr-FR"/>
              </w:rPr>
            </w:pPr>
            <w:r w:rsidRPr="003B4FCF">
              <w:rPr>
                <w:rFonts w:cs="Arial"/>
                <w:color w:val="000000"/>
                <w:lang w:val="fr-FR"/>
              </w:rPr>
              <w:t>1</w:t>
            </w:r>
          </w:p>
        </w:tc>
        <w:tc>
          <w:tcPr>
            <w:tcW w:w="1134" w:type="dxa"/>
            <w:gridSpan w:val="2"/>
            <w:tcBorders>
              <w:top w:val="single" w:sz="4" w:space="0" w:color="auto"/>
              <w:left w:val="single" w:sz="6" w:space="0" w:color="auto"/>
              <w:bottom w:val="single" w:sz="4" w:space="0" w:color="auto"/>
              <w:right w:val="single" w:sz="6" w:space="0" w:color="auto"/>
            </w:tcBorders>
            <w:shd w:val="clear" w:color="auto" w:fill="auto"/>
            <w:vAlign w:val="center"/>
            <w:hideMark/>
          </w:tcPr>
          <w:p w:rsidR="00E23344" w:rsidRPr="003B4FCF" w:rsidRDefault="00E23344" w:rsidP="00004824">
            <w:pPr>
              <w:jc w:val="center"/>
              <w:rPr>
                <w:rFonts w:cs="Arial"/>
                <w:color w:val="000000"/>
                <w:lang w:val="fr-FR"/>
              </w:rPr>
            </w:pPr>
            <w:r w:rsidRPr="003B4FCF">
              <w:rPr>
                <w:rFonts w:cs="Arial"/>
                <w:color w:val="000000"/>
                <w:lang w:val="fr-FR"/>
              </w:rPr>
              <w:t>3*</w:t>
            </w:r>
          </w:p>
        </w:tc>
        <w:tc>
          <w:tcPr>
            <w:tcW w:w="2127" w:type="dxa"/>
            <w:gridSpan w:val="2"/>
            <w:tcBorders>
              <w:top w:val="single" w:sz="4" w:space="0" w:color="auto"/>
              <w:left w:val="single" w:sz="6" w:space="0" w:color="auto"/>
              <w:bottom w:val="single" w:sz="4" w:space="0" w:color="auto"/>
              <w:right w:val="single" w:sz="6" w:space="0" w:color="auto"/>
            </w:tcBorders>
            <w:shd w:val="clear" w:color="auto" w:fill="auto"/>
            <w:vAlign w:val="center"/>
            <w:hideMark/>
          </w:tcPr>
          <w:p w:rsidR="00E23344" w:rsidRPr="003B4FCF" w:rsidRDefault="00E23344" w:rsidP="00004824">
            <w:pPr>
              <w:jc w:val="center"/>
              <w:rPr>
                <w:rFonts w:cs="Arial"/>
                <w:color w:val="000000"/>
                <w:lang w:val="fr-FR"/>
              </w:rPr>
            </w:pPr>
            <w:r w:rsidRPr="003B4FCF">
              <w:rPr>
                <w:rFonts w:cs="Arial"/>
                <w:color w:val="000000"/>
                <w:lang w:val="fr-FR"/>
              </w:rPr>
              <w:t>troisième cycle de végétation*</w:t>
            </w:r>
          </w:p>
        </w:tc>
        <w:tc>
          <w:tcPr>
            <w:tcW w:w="2431"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E23344" w:rsidRPr="003B4FCF" w:rsidRDefault="00E23344" w:rsidP="00004824">
            <w:pPr>
              <w:jc w:val="center"/>
              <w:rPr>
                <w:rFonts w:cs="Arial"/>
                <w:color w:val="000000"/>
                <w:lang w:val="fr-FR"/>
              </w:rPr>
            </w:pPr>
            <w:r w:rsidRPr="003B4FCF">
              <w:rPr>
                <w:rFonts w:cs="Arial"/>
                <w:color w:val="000000"/>
                <w:lang w:val="fr-FR"/>
              </w:rPr>
              <w:t>non homogène*</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E23344" w:rsidRPr="003B4FCF" w:rsidRDefault="00E23344" w:rsidP="00004824">
            <w:pPr>
              <w:jc w:val="center"/>
              <w:rPr>
                <w:lang w:val="fr-FR"/>
              </w:rPr>
            </w:pPr>
            <w:r w:rsidRPr="003B4FCF">
              <w:rPr>
                <w:lang w:val="fr-FR"/>
              </w:rPr>
              <w:t>non homogène*</w:t>
            </w:r>
          </w:p>
        </w:tc>
      </w:tr>
      <w:tr w:rsidR="00E23344" w:rsidRPr="003B4FCF" w:rsidTr="00004824">
        <w:trPr>
          <w:trHeight w:val="267"/>
        </w:trPr>
        <w:tc>
          <w:tcPr>
            <w:tcW w:w="697" w:type="dxa"/>
            <w:vMerge/>
            <w:tcBorders>
              <w:left w:val="single" w:sz="4" w:space="0" w:color="auto"/>
              <w:right w:val="single" w:sz="4" w:space="0" w:color="000000"/>
            </w:tcBorders>
            <w:vAlign w:val="center"/>
            <w:hideMark/>
          </w:tcPr>
          <w:p w:rsidR="00E23344" w:rsidRPr="003B4FCF" w:rsidRDefault="00E23344" w:rsidP="00004824">
            <w:pPr>
              <w:jc w:val="left"/>
              <w:rPr>
                <w:rFonts w:cs="Arial"/>
                <w:color w:val="000000"/>
                <w:lang w:val="fr-FR"/>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23344" w:rsidRPr="003B4FCF" w:rsidRDefault="00E23344" w:rsidP="00004824">
            <w:pPr>
              <w:jc w:val="center"/>
              <w:rPr>
                <w:rFonts w:cs="Arial"/>
                <w:color w:val="000000"/>
                <w:lang w:val="fr-FR"/>
              </w:rPr>
            </w:pPr>
            <w:r w:rsidRPr="003B4FCF">
              <w:rPr>
                <w:rFonts w:cs="Arial"/>
                <w:color w:val="000000"/>
                <w:lang w:val="fr-FR"/>
              </w:rPr>
              <w:t>1</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E23344" w:rsidRPr="003B4FCF" w:rsidRDefault="00E23344" w:rsidP="00004824">
            <w:pPr>
              <w:ind w:left="49"/>
              <w:jc w:val="center"/>
              <w:rPr>
                <w:rFonts w:cs="Arial"/>
                <w:color w:val="000000"/>
                <w:lang w:val="fr-FR"/>
              </w:rPr>
            </w:pPr>
            <w:r w:rsidRPr="003B4FCF">
              <w:rPr>
                <w:rFonts w:cs="Arial"/>
                <w:color w:val="000000"/>
                <w:lang w:val="fr-FR"/>
              </w:rPr>
              <w:t>4*</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E23344" w:rsidRPr="003B4FCF" w:rsidRDefault="00E23344" w:rsidP="00004824">
            <w:pPr>
              <w:jc w:val="center"/>
              <w:rPr>
                <w:rFonts w:cs="Arial"/>
                <w:color w:val="000000"/>
                <w:lang w:val="fr-FR"/>
              </w:rPr>
            </w:pPr>
            <w:r w:rsidRPr="003B4FCF">
              <w:rPr>
                <w:rFonts w:cs="Arial"/>
                <w:color w:val="000000"/>
                <w:lang w:val="fr-FR"/>
              </w:rPr>
              <w:t>troisième cycle de végétation*</w:t>
            </w:r>
          </w:p>
        </w:tc>
        <w:tc>
          <w:tcPr>
            <w:tcW w:w="2431" w:type="dxa"/>
            <w:tcBorders>
              <w:top w:val="single" w:sz="4" w:space="0" w:color="auto"/>
              <w:left w:val="nil"/>
              <w:bottom w:val="single" w:sz="4" w:space="0" w:color="auto"/>
              <w:right w:val="single" w:sz="4" w:space="0" w:color="auto"/>
            </w:tcBorders>
            <w:shd w:val="clear" w:color="auto" w:fill="auto"/>
            <w:vAlign w:val="center"/>
            <w:hideMark/>
          </w:tcPr>
          <w:p w:rsidR="00E23344" w:rsidRPr="003B4FCF" w:rsidRDefault="00E23344" w:rsidP="00004824">
            <w:pPr>
              <w:jc w:val="center"/>
              <w:rPr>
                <w:rFonts w:cs="Arial"/>
                <w:color w:val="000000"/>
                <w:lang w:val="fr-FR"/>
              </w:rPr>
            </w:pPr>
            <w:r w:rsidRPr="003B4FCF">
              <w:rPr>
                <w:rFonts w:cs="Arial"/>
                <w:color w:val="000000"/>
                <w:lang w:val="fr-FR"/>
              </w:rPr>
              <w:t>non homogène*</w:t>
            </w:r>
          </w:p>
        </w:tc>
        <w:tc>
          <w:tcPr>
            <w:tcW w:w="1624" w:type="dxa"/>
            <w:tcBorders>
              <w:top w:val="single" w:sz="4" w:space="0" w:color="auto"/>
              <w:bottom w:val="single" w:sz="4" w:space="0" w:color="auto"/>
              <w:right w:val="single" w:sz="4" w:space="0" w:color="auto"/>
            </w:tcBorders>
            <w:shd w:val="clear" w:color="auto" w:fill="auto"/>
            <w:vAlign w:val="center"/>
          </w:tcPr>
          <w:p w:rsidR="00E23344" w:rsidRPr="003B4FCF" w:rsidRDefault="00E23344" w:rsidP="00004824">
            <w:pPr>
              <w:jc w:val="center"/>
              <w:rPr>
                <w:lang w:val="fr-FR"/>
              </w:rPr>
            </w:pPr>
            <w:r w:rsidRPr="003B4FCF">
              <w:rPr>
                <w:lang w:val="fr-FR"/>
              </w:rPr>
              <w:t>non homogène*</w:t>
            </w:r>
          </w:p>
        </w:tc>
      </w:tr>
      <w:tr w:rsidR="00E23344" w:rsidRPr="003B4FCF" w:rsidTr="00004824">
        <w:trPr>
          <w:trHeight w:val="266"/>
        </w:trPr>
        <w:tc>
          <w:tcPr>
            <w:tcW w:w="697" w:type="dxa"/>
            <w:vMerge/>
            <w:tcBorders>
              <w:left w:val="single" w:sz="4" w:space="0" w:color="auto"/>
              <w:bottom w:val="single" w:sz="4" w:space="0" w:color="auto"/>
              <w:right w:val="single" w:sz="4" w:space="0" w:color="000000"/>
            </w:tcBorders>
            <w:shd w:val="clear" w:color="auto" w:fill="auto"/>
            <w:noWrap/>
            <w:vAlign w:val="bottom"/>
            <w:hideMark/>
          </w:tcPr>
          <w:p w:rsidR="00E23344" w:rsidRPr="003B4FCF" w:rsidRDefault="00E23344" w:rsidP="00004824">
            <w:pPr>
              <w:jc w:val="left"/>
              <w:rPr>
                <w:rFonts w:cs="Arial"/>
                <w:color w:val="000000"/>
                <w:lang w:val="fr-FR"/>
              </w:rPr>
            </w:pPr>
          </w:p>
        </w:tc>
        <w:tc>
          <w:tcPr>
            <w:tcW w:w="1134" w:type="dxa"/>
            <w:tcBorders>
              <w:top w:val="nil"/>
              <w:left w:val="single" w:sz="4" w:space="0" w:color="000000"/>
              <w:bottom w:val="single" w:sz="4" w:space="0" w:color="auto"/>
              <w:right w:val="single" w:sz="4" w:space="0" w:color="auto"/>
            </w:tcBorders>
            <w:shd w:val="clear" w:color="auto" w:fill="auto"/>
            <w:noWrap/>
            <w:vAlign w:val="center"/>
            <w:hideMark/>
          </w:tcPr>
          <w:p w:rsidR="00E23344" w:rsidRPr="003B4FCF" w:rsidRDefault="00E23344" w:rsidP="00004824">
            <w:pPr>
              <w:ind w:left="49"/>
              <w:jc w:val="center"/>
              <w:rPr>
                <w:rFonts w:cs="Arial"/>
                <w:color w:val="000000"/>
                <w:lang w:val="fr-FR"/>
              </w:rPr>
            </w:pPr>
            <w:r w:rsidRPr="003B4FCF">
              <w:rPr>
                <w:rFonts w:cs="Arial"/>
                <w:color w:val="000000"/>
                <w:lang w:val="fr-FR"/>
              </w:rPr>
              <w:t>4**</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23344" w:rsidRPr="003B4FCF" w:rsidRDefault="00E23344" w:rsidP="00004824">
            <w:pPr>
              <w:ind w:right="-123"/>
              <w:jc w:val="center"/>
              <w:rPr>
                <w:rFonts w:cs="Arial"/>
                <w:color w:val="000000"/>
                <w:lang w:val="fr-FR"/>
              </w:rPr>
            </w:pPr>
            <w:r w:rsidRPr="003B4FCF">
              <w:rPr>
                <w:rFonts w:cs="Arial"/>
                <w:color w:val="000000"/>
                <w:lang w:val="fr-FR"/>
              </w:rPr>
              <w:t>1*</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3344" w:rsidRPr="003B4FCF" w:rsidRDefault="00E23344" w:rsidP="00004824">
            <w:pPr>
              <w:ind w:right="-122"/>
              <w:jc w:val="center"/>
              <w:rPr>
                <w:rFonts w:cs="Arial"/>
                <w:color w:val="000000"/>
                <w:lang w:val="fr-FR"/>
              </w:rPr>
            </w:pPr>
            <w:r w:rsidRPr="003B4FCF">
              <w:rPr>
                <w:rFonts w:cs="Arial"/>
                <w:color w:val="000000"/>
                <w:lang w:val="fr-FR"/>
              </w:rPr>
              <w:t>troisième cycle de végétation*</w:t>
            </w:r>
          </w:p>
        </w:tc>
        <w:tc>
          <w:tcPr>
            <w:tcW w:w="2431" w:type="dxa"/>
            <w:tcBorders>
              <w:top w:val="nil"/>
              <w:left w:val="single" w:sz="4" w:space="0" w:color="auto"/>
              <w:bottom w:val="single" w:sz="4" w:space="0" w:color="auto"/>
              <w:right w:val="single" w:sz="4" w:space="0" w:color="auto"/>
            </w:tcBorders>
            <w:shd w:val="clear" w:color="auto" w:fill="auto"/>
            <w:noWrap/>
            <w:vAlign w:val="center"/>
            <w:hideMark/>
          </w:tcPr>
          <w:p w:rsidR="00E23344" w:rsidRPr="003B4FCF" w:rsidRDefault="00E23344" w:rsidP="00004824">
            <w:pPr>
              <w:jc w:val="center"/>
              <w:rPr>
                <w:rFonts w:cs="Arial"/>
                <w:color w:val="000000"/>
                <w:lang w:val="fr-FR"/>
              </w:rPr>
            </w:pPr>
            <w:r w:rsidRPr="003B4FCF">
              <w:rPr>
                <w:rFonts w:cs="Arial"/>
                <w:color w:val="000000"/>
                <w:lang w:val="fr-FR"/>
              </w:rPr>
              <w:t>non homogène*</w:t>
            </w:r>
          </w:p>
        </w:tc>
        <w:tc>
          <w:tcPr>
            <w:tcW w:w="1624" w:type="dxa"/>
            <w:tcBorders>
              <w:top w:val="single" w:sz="4" w:space="0" w:color="auto"/>
              <w:bottom w:val="single" w:sz="4" w:space="0" w:color="auto"/>
              <w:right w:val="single" w:sz="4" w:space="0" w:color="auto"/>
            </w:tcBorders>
            <w:shd w:val="clear" w:color="auto" w:fill="auto"/>
            <w:vAlign w:val="center"/>
          </w:tcPr>
          <w:p w:rsidR="00E23344" w:rsidRPr="003B4FCF" w:rsidRDefault="00E23344" w:rsidP="00004824">
            <w:pPr>
              <w:jc w:val="center"/>
              <w:rPr>
                <w:lang w:val="fr-FR"/>
              </w:rPr>
            </w:pPr>
            <w:r w:rsidRPr="003B4FCF">
              <w:rPr>
                <w:lang w:val="fr-FR"/>
              </w:rPr>
              <w:t>non homogène*</w:t>
            </w:r>
          </w:p>
        </w:tc>
      </w:tr>
    </w:tbl>
    <w:p w:rsidR="00E23344" w:rsidRPr="003B4FCF" w:rsidRDefault="00E23344" w:rsidP="00E23344">
      <w:pPr>
        <w:pStyle w:val="Titleofdoc0"/>
        <w:spacing w:before="0"/>
        <w:jc w:val="both"/>
        <w:rPr>
          <w:sz w:val="12"/>
          <w:szCs w:val="24"/>
          <w:lang w:val="fr-FR"/>
        </w:rPr>
      </w:pPr>
    </w:p>
    <w:p w:rsidR="00E23344" w:rsidRPr="003B4FCF" w:rsidRDefault="00E23344" w:rsidP="00E23344">
      <w:pPr>
        <w:keepNext/>
        <w:keepLines/>
        <w:ind w:left="34"/>
        <w:rPr>
          <w:sz w:val="16"/>
          <w:u w:val="single"/>
          <w:lang w:val="fr-FR"/>
        </w:rPr>
      </w:pPr>
      <w:r w:rsidRPr="003B4FCF">
        <w:rPr>
          <w:sz w:val="18"/>
          <w:szCs w:val="24"/>
          <w:lang w:val="fr-FR"/>
        </w:rPr>
        <w:t xml:space="preserve">* </w:t>
      </w:r>
      <w:r w:rsidRPr="003B4FCF">
        <w:rPr>
          <w:rFonts w:eastAsia="SimSun"/>
          <w:sz w:val="18"/>
          <w:lang w:val="fr-FR"/>
        </w:rPr>
        <w:t xml:space="preserve">Il faut faire preuve de prudence lorsqu’on examine des résultats très différents dans chacun des cycles de végétation, notamment lorsqu’un type de plante hors-type a été observé à un niveau élevé dans un cycle de végétation tout en étant absent dans un autre.  </w:t>
      </w:r>
      <w:r w:rsidRPr="003B4FCF">
        <w:rPr>
          <w:sz w:val="18"/>
          <w:lang w:val="fr-FR"/>
        </w:rPr>
        <w:t>Un test statistique d’homogénéité devrait être pratiqué, le cas échéant.  Il est important d’identifier si la variation du nombre de plantes hors-type entre les cycles s’explique par des conditions environnementales ou des fluctuations d’échantillonnage.</w:t>
      </w:r>
    </w:p>
    <w:p w:rsidR="00E23344" w:rsidRPr="003B4FCF" w:rsidRDefault="00E23344" w:rsidP="00E23344">
      <w:pPr>
        <w:keepNext/>
        <w:keepLines/>
        <w:ind w:left="34"/>
        <w:rPr>
          <w:sz w:val="18"/>
          <w:lang w:val="fr-FR"/>
        </w:rPr>
      </w:pPr>
    </w:p>
    <w:p w:rsidR="00E23344" w:rsidRPr="003B4FCF" w:rsidRDefault="00E23344" w:rsidP="00E23344">
      <w:pPr>
        <w:keepNext/>
        <w:keepLines/>
        <w:spacing w:after="120"/>
        <w:ind w:left="34"/>
        <w:rPr>
          <w:sz w:val="18"/>
          <w:lang w:val="fr-FR"/>
        </w:rPr>
      </w:pPr>
      <w:r w:rsidRPr="003B4FCF">
        <w:rPr>
          <w:sz w:val="18"/>
          <w:lang w:val="fr-FR"/>
        </w:rPr>
        <w:t>** Si au cours du premier cycle de végétation, le nombre de plantes hors-type dépasse une limite supérieure prédéfinie, la variété peut être rejetée après un seul cycle de végétation.</w:t>
      </w:r>
    </w:p>
    <w:p w:rsidR="00E23344" w:rsidRPr="003B4FCF" w:rsidRDefault="00E23344" w:rsidP="00E23344">
      <w:pPr>
        <w:rPr>
          <w:lang w:val="fr-FR"/>
        </w:rPr>
      </w:pPr>
    </w:p>
    <w:p w:rsidR="00E23344" w:rsidRPr="003B4FCF" w:rsidRDefault="00E23344" w:rsidP="00E23344">
      <w:pPr>
        <w:rPr>
          <w:lang w:val="fr-FR"/>
        </w:rPr>
      </w:pPr>
    </w:p>
    <w:p w:rsidR="00E23344" w:rsidRPr="003B4FCF" w:rsidRDefault="00E23344" w:rsidP="00E23344">
      <w:pPr>
        <w:rPr>
          <w:u w:val="single"/>
          <w:lang w:val="fr-FR"/>
        </w:rPr>
      </w:pPr>
      <w:r w:rsidRPr="003B4FCF">
        <w:rPr>
          <w:u w:val="single"/>
          <w:lang w:val="fr-FR"/>
        </w:rPr>
        <w:t>Nouvelle Section 4.8: Évaluation de l’homogénéité d’après les plantes hors-type sur la base de sous-échantillons dans le cadre d’un seul examen/essai</w:t>
      </w:r>
    </w:p>
    <w:p w:rsidR="00E23344" w:rsidRPr="003B4FCF" w:rsidRDefault="00E23344" w:rsidP="00E23344">
      <w:pPr>
        <w:rPr>
          <w:lang w:val="fr-FR"/>
        </w:rPr>
      </w:pPr>
    </w:p>
    <w:p w:rsidR="00E23344" w:rsidRPr="003B4FCF" w:rsidRDefault="00E23344" w:rsidP="00E23344">
      <w:pPr>
        <w:ind w:firstLine="567"/>
        <w:rPr>
          <w:i/>
          <w:lang w:val="fr-FR"/>
        </w:rPr>
      </w:pPr>
      <w:r w:rsidRPr="003B4FCF">
        <w:rPr>
          <w:i/>
          <w:lang w:val="fr-FR"/>
        </w:rPr>
        <w:t>Méthode : Utilisation du sous-échantillon comme première étape d’évaluation</w:t>
      </w:r>
    </w:p>
    <w:p w:rsidR="00E23344" w:rsidRPr="003B4FCF" w:rsidRDefault="00E23344" w:rsidP="00E23344">
      <w:pPr>
        <w:rPr>
          <w:lang w:val="fr-FR"/>
        </w:rPr>
      </w:pPr>
    </w:p>
    <w:p w:rsidR="00E23344" w:rsidRPr="003B4FCF" w:rsidRDefault="00E23344" w:rsidP="00E23344">
      <w:pPr>
        <w:rPr>
          <w:lang w:val="fr-FR"/>
        </w:rPr>
      </w:pPr>
      <w:r w:rsidRPr="003B4FCF">
        <w:rPr>
          <w:lang w:val="fr-FR"/>
        </w:rPr>
        <w:t>Une variété est réputée homogène si le nombre de plantes hors-type ne dépasse pas une limite inférieure prédéfinie dans le sous-échantillon.</w:t>
      </w:r>
    </w:p>
    <w:p w:rsidR="00E23344" w:rsidRPr="003B4FCF" w:rsidRDefault="00E23344" w:rsidP="00E23344">
      <w:pPr>
        <w:rPr>
          <w:lang w:val="fr-FR"/>
        </w:rPr>
      </w:pPr>
    </w:p>
    <w:p w:rsidR="00E23344" w:rsidRPr="003B4FCF" w:rsidRDefault="00E23344" w:rsidP="00E23344">
      <w:pPr>
        <w:rPr>
          <w:lang w:val="fr-FR"/>
        </w:rPr>
      </w:pPr>
      <w:r w:rsidRPr="003B4FCF">
        <w:rPr>
          <w:lang w:val="fr-FR"/>
        </w:rPr>
        <w:t>Une variété est réputée non homogène si le nombre de plantes hors-type dépasse une limite supérieure prédéfinie dans le sous-échantillon.</w:t>
      </w:r>
    </w:p>
    <w:p w:rsidR="00E23344" w:rsidRPr="003B4FCF" w:rsidRDefault="00E23344" w:rsidP="00E23344">
      <w:pPr>
        <w:rPr>
          <w:lang w:val="fr-FR"/>
        </w:rPr>
      </w:pPr>
    </w:p>
    <w:p w:rsidR="00E23344" w:rsidRPr="003B4FCF" w:rsidRDefault="00E23344" w:rsidP="00E23344">
      <w:pPr>
        <w:rPr>
          <w:lang w:val="fr-FR"/>
        </w:rPr>
      </w:pPr>
      <w:r w:rsidRPr="003B4FCF">
        <w:rPr>
          <w:lang w:val="fr-FR"/>
        </w:rPr>
        <w:lastRenderedPageBreak/>
        <w:t>Si le nombre de plantes hors-type se situe entre les limites inférieure et supérieure prédéfinies, l’échantillon tout entier est évalué.  Les limites inférieure et supérieure doivent être choisies compte tenu des probabilités d’erreurs de type I et de type II comparables entre le sous-échantillon et l’échantillon tout entier.</w:t>
      </w:r>
    </w:p>
    <w:p w:rsidR="00E23344" w:rsidRPr="003B4FCF" w:rsidRDefault="00E23344" w:rsidP="00E23344">
      <w:pPr>
        <w:rPr>
          <w:lang w:val="fr-FR"/>
        </w:rPr>
      </w:pPr>
    </w:p>
    <w:p w:rsidR="00E23344" w:rsidRPr="003B4FCF" w:rsidRDefault="00E23344" w:rsidP="00E23344">
      <w:pPr>
        <w:ind w:firstLine="567"/>
        <w:rPr>
          <w:i/>
          <w:szCs w:val="24"/>
          <w:lang w:val="fr-FR"/>
        </w:rPr>
      </w:pPr>
      <w:r w:rsidRPr="003B4FCF">
        <w:rPr>
          <w:i/>
          <w:szCs w:val="24"/>
          <w:lang w:val="fr-FR"/>
        </w:rPr>
        <w:t>Exemple:</w:t>
      </w:r>
    </w:p>
    <w:p w:rsidR="00E23344" w:rsidRPr="003B4FCF" w:rsidRDefault="00E23344" w:rsidP="00E23344">
      <w:pPr>
        <w:rPr>
          <w:szCs w:val="24"/>
          <w:lang w:val="fr-FR"/>
        </w:rPr>
      </w:pPr>
    </w:p>
    <w:p w:rsidR="00E23344" w:rsidRPr="003B4FCF" w:rsidRDefault="00E23344" w:rsidP="00E23344">
      <w:pPr>
        <w:autoSpaceDE w:val="0"/>
        <w:autoSpaceDN w:val="0"/>
        <w:adjustRightInd w:val="0"/>
        <w:rPr>
          <w:color w:val="000000"/>
          <w:szCs w:val="24"/>
          <w:lang w:val="fr-FR"/>
        </w:rPr>
      </w:pPr>
      <w:r w:rsidRPr="003B4FCF">
        <w:rPr>
          <w:color w:val="000000"/>
          <w:szCs w:val="24"/>
          <w:lang w:val="fr-FR"/>
        </w:rPr>
        <w:t>Dans un échantillon de 100 plantes, le nombre acceptable de plantes hors-type est de 3 (sur la base d’une norme de population de 1% et d’une probabilité d’acceptation d’au moins 95%).</w:t>
      </w:r>
    </w:p>
    <w:p w:rsidR="00E23344" w:rsidRPr="003B4FCF" w:rsidRDefault="00E23344" w:rsidP="00E23344">
      <w:pPr>
        <w:autoSpaceDE w:val="0"/>
        <w:autoSpaceDN w:val="0"/>
        <w:adjustRightInd w:val="0"/>
        <w:rPr>
          <w:color w:val="000000"/>
          <w:szCs w:val="24"/>
          <w:lang w:val="fr-FR"/>
        </w:rPr>
      </w:pPr>
    </w:p>
    <w:p w:rsidR="00E23344" w:rsidRPr="003B4FCF" w:rsidRDefault="00E23344" w:rsidP="00E23344">
      <w:pPr>
        <w:autoSpaceDE w:val="0"/>
        <w:autoSpaceDN w:val="0"/>
        <w:adjustRightInd w:val="0"/>
        <w:rPr>
          <w:color w:val="000000"/>
          <w:szCs w:val="24"/>
          <w:lang w:val="fr-FR"/>
        </w:rPr>
      </w:pPr>
      <w:r w:rsidRPr="003B4FCF">
        <w:rPr>
          <w:color w:val="000000"/>
          <w:szCs w:val="24"/>
          <w:lang w:val="fr-FR"/>
        </w:rPr>
        <w:t>Dans un sous-échantillon de 20 plantes utilisé dans le contexte de l’échantillon de 100 plantes ci-dessus :</w:t>
      </w:r>
    </w:p>
    <w:p w:rsidR="00E23344" w:rsidRPr="003B4FCF" w:rsidRDefault="00E23344" w:rsidP="00E23344">
      <w:pPr>
        <w:autoSpaceDE w:val="0"/>
        <w:autoSpaceDN w:val="0"/>
        <w:adjustRightInd w:val="0"/>
        <w:rPr>
          <w:color w:val="000000"/>
          <w:szCs w:val="24"/>
          <w:lang w:val="fr-FR"/>
        </w:rPr>
      </w:pPr>
    </w:p>
    <w:p w:rsidR="00E23344" w:rsidRPr="003B4FCF" w:rsidRDefault="00E23344" w:rsidP="00E23344">
      <w:pPr>
        <w:ind w:left="567"/>
        <w:rPr>
          <w:lang w:val="fr-FR"/>
        </w:rPr>
      </w:pPr>
      <w:r w:rsidRPr="003B4FCF">
        <w:rPr>
          <w:lang w:val="fr-FR"/>
        </w:rPr>
        <w:t>Une variété est réputée homogène si aucune plante hors-type n’est observée dans le sous</w:t>
      </w:r>
      <w:r w:rsidRPr="003B4FCF">
        <w:rPr>
          <w:lang w:val="fr-FR"/>
        </w:rPr>
        <w:noBreakHyphen/>
        <w:t>échantillon.</w:t>
      </w:r>
    </w:p>
    <w:p w:rsidR="00E23344" w:rsidRPr="003B4FCF" w:rsidRDefault="00E23344" w:rsidP="00E23344">
      <w:pPr>
        <w:rPr>
          <w:lang w:val="fr-FR"/>
        </w:rPr>
      </w:pPr>
    </w:p>
    <w:p w:rsidR="00E23344" w:rsidRPr="003B4FCF" w:rsidRDefault="00E23344" w:rsidP="00E23344">
      <w:pPr>
        <w:ind w:left="567"/>
        <w:rPr>
          <w:lang w:val="fr-FR"/>
        </w:rPr>
      </w:pPr>
      <w:r w:rsidRPr="003B4FCF">
        <w:rPr>
          <w:lang w:val="fr-FR"/>
        </w:rPr>
        <w:t>Une variété est réputée non homogène si le nombre de plantes hors-type dans le sous-échantillon dépasse 3.</w:t>
      </w:r>
    </w:p>
    <w:p w:rsidR="00E23344" w:rsidRPr="003B4FCF" w:rsidRDefault="00E23344" w:rsidP="00E23344">
      <w:pPr>
        <w:rPr>
          <w:lang w:val="fr-FR"/>
        </w:rPr>
      </w:pPr>
    </w:p>
    <w:p w:rsidR="00E23344" w:rsidRPr="003B4FCF" w:rsidRDefault="00E23344" w:rsidP="00E23344">
      <w:pPr>
        <w:ind w:left="567"/>
        <w:rPr>
          <w:lang w:val="fr-FR"/>
        </w:rPr>
      </w:pPr>
      <w:r w:rsidRPr="003B4FCF">
        <w:rPr>
          <w:lang w:val="fr-FR"/>
        </w:rPr>
        <w:t>Si le nombre de plantes hors-type varie entre 1 et 3, l’échantillon tout entier de 100 plantes est évalué.</w:t>
      </w:r>
    </w:p>
    <w:p w:rsidR="00E23344" w:rsidRPr="003B4FCF" w:rsidRDefault="00E23344" w:rsidP="00E23344">
      <w:pPr>
        <w:ind w:left="567"/>
        <w:rPr>
          <w:lang w:val="fr-FR"/>
        </w:rPr>
      </w:pPr>
    </w:p>
    <w:p w:rsidR="00E23344" w:rsidRPr="003B4FCF" w:rsidRDefault="00E23344" w:rsidP="00E23344">
      <w:pPr>
        <w:ind w:left="567"/>
        <w:rPr>
          <w:lang w:val="fr-FR"/>
        </w:rPr>
      </w:pPr>
      <w:r w:rsidRPr="003B4FCF">
        <w:rPr>
          <w:rFonts w:cs="Arial"/>
          <w:lang w:val="fr-FR"/>
        </w:rPr>
        <w:t>Dans l’échantillon de 100 plantes, si le nombre de plantes hors-type dépasse 3, la variété est réputée non homogène.</w:t>
      </w:r>
    </w:p>
    <w:p w:rsidR="00E23344" w:rsidRPr="003B4FCF" w:rsidRDefault="00E23344" w:rsidP="00E23344">
      <w:pPr>
        <w:jc w:val="right"/>
        <w:rPr>
          <w:lang w:val="fr-FR"/>
        </w:rPr>
      </w:pPr>
    </w:p>
    <w:p w:rsidR="00BD693E" w:rsidRPr="003B4FCF" w:rsidRDefault="00BD693E" w:rsidP="00BD693E">
      <w:pPr>
        <w:rPr>
          <w:lang w:val="fr-FR"/>
        </w:rPr>
      </w:pPr>
    </w:p>
    <w:p w:rsidR="00BD693E" w:rsidRPr="003B4FCF" w:rsidRDefault="00BD693E" w:rsidP="00BD693E">
      <w:pPr>
        <w:rPr>
          <w:lang w:val="fr-FR"/>
        </w:rPr>
      </w:pPr>
    </w:p>
    <w:p w:rsidR="00465412" w:rsidRPr="003B4FCF" w:rsidRDefault="00273B07" w:rsidP="006C40C4">
      <w:pPr>
        <w:jc w:val="right"/>
        <w:rPr>
          <w:lang w:val="fr-FR"/>
        </w:rPr>
      </w:pPr>
      <w:r w:rsidRPr="003B4FCF">
        <w:rPr>
          <w:lang w:val="fr-FR"/>
        </w:rPr>
        <w:t>[</w:t>
      </w:r>
      <w:r w:rsidR="0014146E" w:rsidRPr="003B4FCF">
        <w:rPr>
          <w:lang w:val="fr-FR"/>
        </w:rPr>
        <w:t>L</w:t>
      </w:r>
      <w:r w:rsidR="005D3B5B" w:rsidRPr="003B4FCF">
        <w:rPr>
          <w:lang w:val="fr-FR"/>
        </w:rPr>
        <w:t>’</w:t>
      </w:r>
      <w:r w:rsidR="00067374" w:rsidRPr="003B4FCF">
        <w:rPr>
          <w:lang w:val="fr-FR"/>
        </w:rPr>
        <w:t>annexe I</w:t>
      </w:r>
      <w:r w:rsidRPr="003B4FCF">
        <w:rPr>
          <w:lang w:val="fr-FR"/>
        </w:rPr>
        <w:t xml:space="preserve">V </w:t>
      </w:r>
      <w:r w:rsidR="0014146E" w:rsidRPr="003B4FCF">
        <w:rPr>
          <w:lang w:val="fr-FR"/>
        </w:rPr>
        <w:t>suit</w:t>
      </w:r>
      <w:r w:rsidRPr="003B4FCF">
        <w:rPr>
          <w:lang w:val="fr-FR"/>
        </w:rPr>
        <w:t>]</w:t>
      </w:r>
    </w:p>
    <w:p w:rsidR="00273B07" w:rsidRPr="003B4FCF" w:rsidRDefault="00273B07" w:rsidP="00273B07">
      <w:pPr>
        <w:rPr>
          <w:lang w:val="fr-FR"/>
        </w:rPr>
        <w:sectPr w:rsidR="00273B07" w:rsidRPr="003B4FCF" w:rsidSect="00273B07">
          <w:headerReference w:type="default" r:id="rId18"/>
          <w:headerReference w:type="first" r:id="rId19"/>
          <w:footnotePr>
            <w:numRestart w:val="eachSect"/>
          </w:footnotePr>
          <w:pgSz w:w="11907" w:h="16840" w:code="9"/>
          <w:pgMar w:top="510" w:right="1134" w:bottom="709" w:left="1134" w:header="510" w:footer="680" w:gutter="0"/>
          <w:pgNumType w:start="1"/>
          <w:cols w:space="720"/>
          <w:titlePg/>
        </w:sectPr>
      </w:pPr>
    </w:p>
    <w:p w:rsidR="003B4FCF" w:rsidRPr="003B4FCF" w:rsidRDefault="003B4FCF" w:rsidP="003B4FCF">
      <w:pPr>
        <w:jc w:val="center"/>
        <w:rPr>
          <w:lang w:val="fr-FR"/>
        </w:rPr>
      </w:pPr>
      <w:r w:rsidRPr="003B4FCF">
        <w:rPr>
          <w:lang w:val="fr-FR"/>
        </w:rPr>
        <w:lastRenderedPageBreak/>
        <w:t xml:space="preserve">RÉVISIONS DU DOCUMENT TGP/14 “GLOSSAIRE DE TERMES UTILISÉS DANS LES DOCUMENTS DE L’UPOV” APPROUVÉES PAR LE COMITÉ TECHNIQUE À SES </w:t>
      </w:r>
      <w:r w:rsidRPr="003B4FCF">
        <w:rPr>
          <w:lang w:val="fr-FR"/>
        </w:rPr>
        <w:br/>
        <w:t>CINQUANTE-TROISIÈME</w:t>
      </w:r>
      <w:r w:rsidRPr="003B4FCF">
        <w:rPr>
          <w:rStyle w:val="FootnoteReference"/>
          <w:lang w:val="fr-FR"/>
        </w:rPr>
        <w:footnoteReference w:id="21"/>
      </w:r>
      <w:r w:rsidRPr="003B4FCF">
        <w:rPr>
          <w:lang w:val="fr-FR"/>
        </w:rPr>
        <w:t xml:space="preserve"> ET CINQUANTE-QUATRIÈME</w:t>
      </w:r>
      <w:r w:rsidRPr="003B4FCF">
        <w:rPr>
          <w:rStyle w:val="FootnoteReference"/>
          <w:lang w:val="fr-FR"/>
        </w:rPr>
        <w:footnoteReference w:id="22"/>
      </w:r>
      <w:r w:rsidRPr="003B4FCF">
        <w:rPr>
          <w:lang w:val="fr-FR"/>
        </w:rPr>
        <w:t xml:space="preserve"> SESSIONS</w:t>
      </w:r>
    </w:p>
    <w:p w:rsidR="003B4FCF" w:rsidRPr="003B4FCF" w:rsidRDefault="003B4FCF" w:rsidP="003B4FCF">
      <w:pPr>
        <w:rPr>
          <w:lang w:val="fr-FR"/>
        </w:rPr>
      </w:pPr>
    </w:p>
    <w:p w:rsidR="003B4FCF" w:rsidRPr="003B4FCF" w:rsidRDefault="003B4FCF" w:rsidP="003B4FCF">
      <w:pPr>
        <w:rPr>
          <w:lang w:val="fr-FR"/>
        </w:rPr>
      </w:pPr>
    </w:p>
    <w:p w:rsidR="003B4FCF" w:rsidRPr="003B4FCF" w:rsidRDefault="003B4FCF" w:rsidP="003B4FCF">
      <w:pPr>
        <w:rPr>
          <w:u w:val="single"/>
          <w:lang w:val="fr-FR"/>
        </w:rPr>
      </w:pPr>
      <w:r w:rsidRPr="003B4FCF">
        <w:rPr>
          <w:u w:val="single"/>
          <w:lang w:val="fr-FR"/>
        </w:rPr>
        <w:t>(i)</w:t>
      </w:r>
      <w:r w:rsidRPr="003B4FCF">
        <w:rPr>
          <w:u w:val="single"/>
          <w:lang w:val="fr-FR"/>
        </w:rPr>
        <w:tab/>
        <w:t>Illustrations des caractères liés à la forme et au ratio</w:t>
      </w:r>
    </w:p>
    <w:p w:rsidR="003B4FCF" w:rsidRPr="003B4FCF" w:rsidRDefault="003B4FCF" w:rsidP="003B4FCF">
      <w:pPr>
        <w:rPr>
          <w:snapToGrid w:val="0"/>
          <w:lang w:val="fr-FR"/>
        </w:rPr>
      </w:pPr>
    </w:p>
    <w:p w:rsidR="003B4FCF" w:rsidRPr="003B4FCF" w:rsidRDefault="003B4FCF" w:rsidP="003B4FCF">
      <w:pPr>
        <w:rPr>
          <w:lang w:val="fr-FR"/>
        </w:rPr>
      </w:pPr>
      <w:r w:rsidRPr="003B4FCF">
        <w:rPr>
          <w:lang w:val="fr-FR"/>
        </w:rPr>
        <w:t>Le TC, à sa cinquante-troisième session, est convenu de réviser le document TGP/14 : section 2 : sous</w:t>
      </w:r>
      <w:r w:rsidRPr="003B4FCF">
        <w:rPr>
          <w:lang w:val="fr-FR"/>
        </w:rPr>
        <w:noBreakHyphen/>
        <w:t>section 2 : “Formes et structures” pour modifier le tableau des positions de la partie la plus large et des rapports longueur/largeur présenté dans l’exemple 5, variante 2, afin de supprimer le terme “rapport” et de faire figurer “largeur” dans une colonne distincte de l’échelle “large à étroit”, comme suit (voir le document TC/53/31 “Compte rendu”, paragraphe 141) (</w:t>
      </w:r>
      <w:r w:rsidRPr="003B4FCF">
        <w:rPr>
          <w:strike/>
          <w:highlight w:val="lightGray"/>
          <w:lang w:val="fr-FR"/>
        </w:rPr>
        <w:t>en surbrillance et biffé</w:t>
      </w:r>
      <w:r w:rsidRPr="003B4FCF">
        <w:rPr>
          <w:lang w:val="fr-FR"/>
        </w:rPr>
        <w:t xml:space="preserve"> pour les suppressions et </w:t>
      </w:r>
      <w:r w:rsidRPr="003B4FCF">
        <w:rPr>
          <w:highlight w:val="lightGray"/>
          <w:u w:val="single"/>
          <w:lang w:val="fr-FR"/>
        </w:rPr>
        <w:t xml:space="preserve">en surbrillance et souligné </w:t>
      </w:r>
      <w:r w:rsidRPr="003B4FCF">
        <w:rPr>
          <w:lang w:val="fr-FR"/>
        </w:rPr>
        <w:t>pour les insertions) :</w:t>
      </w:r>
    </w:p>
    <w:p w:rsidR="003B4FCF" w:rsidRPr="003B4FCF" w:rsidRDefault="003B4FCF" w:rsidP="003B4FCF">
      <w:pPr>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
        <w:gridCol w:w="422"/>
        <w:gridCol w:w="7"/>
        <w:gridCol w:w="276"/>
        <w:gridCol w:w="7"/>
        <w:gridCol w:w="1420"/>
        <w:gridCol w:w="1389"/>
        <w:gridCol w:w="19"/>
        <w:gridCol w:w="1370"/>
        <w:gridCol w:w="48"/>
        <w:gridCol w:w="1340"/>
        <w:gridCol w:w="1311"/>
        <w:gridCol w:w="1453"/>
        <w:gridCol w:w="14"/>
      </w:tblGrid>
      <w:tr w:rsidR="003B4FCF" w:rsidRPr="003B4FCF" w:rsidTr="00004824">
        <w:trPr>
          <w:gridBefore w:val="1"/>
          <w:gridAfter w:val="1"/>
          <w:wBefore w:w="379" w:type="dxa"/>
          <w:wAfter w:w="14" w:type="dxa"/>
          <w:cantSplit/>
          <w:jc w:val="center"/>
        </w:trPr>
        <w:tc>
          <w:tcPr>
            <w:tcW w:w="422" w:type="dxa"/>
            <w:tcBorders>
              <w:top w:val="nil"/>
              <w:left w:val="nil"/>
              <w:bottom w:val="nil"/>
              <w:right w:val="nil"/>
            </w:tcBorders>
          </w:tcPr>
          <w:p w:rsidR="003B4FCF" w:rsidRPr="003B4FCF" w:rsidRDefault="003B4FCF" w:rsidP="00004824">
            <w:pPr>
              <w:keepNext/>
              <w:keepLines/>
              <w:jc w:val="center"/>
              <w:rPr>
                <w:lang w:val="fr-FR"/>
              </w:rPr>
            </w:pPr>
          </w:p>
        </w:tc>
        <w:tc>
          <w:tcPr>
            <w:tcW w:w="283" w:type="dxa"/>
            <w:gridSpan w:val="2"/>
            <w:tcBorders>
              <w:top w:val="nil"/>
              <w:left w:val="nil"/>
              <w:bottom w:val="nil"/>
              <w:right w:val="nil"/>
            </w:tcBorders>
          </w:tcPr>
          <w:p w:rsidR="003B4FCF" w:rsidRPr="003B4FCF" w:rsidRDefault="003B4FCF" w:rsidP="00004824">
            <w:pPr>
              <w:keepNext/>
              <w:keepLines/>
              <w:jc w:val="center"/>
              <w:rPr>
                <w:lang w:val="fr-FR"/>
              </w:rPr>
            </w:pPr>
          </w:p>
        </w:tc>
        <w:tc>
          <w:tcPr>
            <w:tcW w:w="8357" w:type="dxa"/>
            <w:gridSpan w:val="9"/>
            <w:tcBorders>
              <w:left w:val="single" w:sz="4" w:space="0" w:color="auto"/>
              <w:bottom w:val="nil"/>
            </w:tcBorders>
          </w:tcPr>
          <w:p w:rsidR="003B4FCF" w:rsidRPr="003B4FCF" w:rsidRDefault="003B4FCF" w:rsidP="00004824">
            <w:pPr>
              <w:keepNext/>
              <w:keepLines/>
              <w:jc w:val="center"/>
              <w:rPr>
                <w:lang w:val="fr-FR"/>
              </w:rPr>
            </w:pPr>
            <w:r w:rsidRPr="003B4FCF">
              <w:rPr>
                <w:lang w:val="fr-FR"/>
              </w:rPr>
              <w:tab/>
            </w:r>
            <w:r w:rsidRPr="003B4FCF">
              <w:rPr>
                <w:lang w:val="fr-FR"/>
              </w:rPr>
              <w:sym w:font="Wingdings" w:char="F0DF"/>
            </w:r>
            <w:r w:rsidRPr="003B4FCF">
              <w:rPr>
                <w:lang w:val="fr-FR"/>
              </w:rPr>
              <w:tab/>
              <w:t>partie la plus large</w:t>
            </w:r>
            <w:r w:rsidRPr="003B4FCF">
              <w:rPr>
                <w:lang w:val="fr-FR"/>
              </w:rPr>
              <w:tab/>
            </w:r>
            <w:r w:rsidRPr="003B4FCF">
              <w:rPr>
                <w:lang w:val="fr-FR"/>
              </w:rPr>
              <w:tab/>
            </w:r>
            <w:r w:rsidRPr="003B4FCF">
              <w:rPr>
                <w:lang w:val="fr-FR"/>
              </w:rPr>
              <w:sym w:font="Wingdings" w:char="F0E0"/>
            </w:r>
            <w:r w:rsidRPr="003B4FCF">
              <w:rPr>
                <w:lang w:val="fr-FR"/>
              </w:rPr>
              <w:t xml:space="preserve"> </w:t>
            </w:r>
            <w:r w:rsidRPr="003B4FCF">
              <w:rPr>
                <w:lang w:val="fr-FR"/>
              </w:rPr>
              <w:tab/>
            </w:r>
          </w:p>
        </w:tc>
      </w:tr>
      <w:tr w:rsidR="003B4FCF" w:rsidRPr="003B4FCF" w:rsidTr="00004824">
        <w:trPr>
          <w:gridBefore w:val="1"/>
          <w:gridAfter w:val="1"/>
          <w:wBefore w:w="379" w:type="dxa"/>
          <w:wAfter w:w="14" w:type="dxa"/>
          <w:cantSplit/>
          <w:jc w:val="center"/>
        </w:trPr>
        <w:tc>
          <w:tcPr>
            <w:tcW w:w="422" w:type="dxa"/>
            <w:tcBorders>
              <w:top w:val="nil"/>
              <w:left w:val="nil"/>
              <w:bottom w:val="nil"/>
              <w:right w:val="nil"/>
            </w:tcBorders>
          </w:tcPr>
          <w:p w:rsidR="003B4FCF" w:rsidRPr="003B4FCF" w:rsidRDefault="003B4FCF" w:rsidP="00004824">
            <w:pPr>
              <w:jc w:val="center"/>
              <w:rPr>
                <w:lang w:val="fr-FR"/>
              </w:rPr>
            </w:pPr>
          </w:p>
        </w:tc>
        <w:tc>
          <w:tcPr>
            <w:tcW w:w="283" w:type="dxa"/>
            <w:gridSpan w:val="2"/>
            <w:tcBorders>
              <w:top w:val="nil"/>
              <w:left w:val="nil"/>
              <w:bottom w:val="nil"/>
              <w:right w:val="nil"/>
            </w:tcBorders>
          </w:tcPr>
          <w:p w:rsidR="003B4FCF" w:rsidRPr="003B4FCF" w:rsidRDefault="003B4FCF" w:rsidP="00004824">
            <w:pPr>
              <w:jc w:val="center"/>
              <w:rPr>
                <w:lang w:val="fr-FR"/>
              </w:rPr>
            </w:pPr>
          </w:p>
        </w:tc>
        <w:tc>
          <w:tcPr>
            <w:tcW w:w="2835" w:type="dxa"/>
            <w:gridSpan w:val="4"/>
            <w:tcBorders>
              <w:top w:val="single" w:sz="4" w:space="0" w:color="auto"/>
              <w:left w:val="single" w:sz="4" w:space="0" w:color="auto"/>
              <w:bottom w:val="single" w:sz="4" w:space="0" w:color="auto"/>
              <w:right w:val="single" w:sz="4" w:space="0" w:color="auto"/>
            </w:tcBorders>
          </w:tcPr>
          <w:p w:rsidR="003B4FCF" w:rsidRPr="003B4FCF" w:rsidRDefault="003B4FCF" w:rsidP="00004824">
            <w:pPr>
              <w:jc w:val="center"/>
              <w:rPr>
                <w:lang w:val="fr-FR"/>
              </w:rPr>
            </w:pPr>
            <w:r w:rsidRPr="003B4FCF">
              <w:rPr>
                <w:lang w:val="fr-FR"/>
              </w:rPr>
              <w:t>(au</w:t>
            </w:r>
            <w:r w:rsidRPr="003B4FCF">
              <w:rPr>
                <w:lang w:val="fr-FR"/>
              </w:rPr>
              <w:noBreakHyphen/>
              <w:t>dessous du milieu)</w:t>
            </w:r>
          </w:p>
        </w:tc>
        <w:tc>
          <w:tcPr>
            <w:tcW w:w="1418" w:type="dxa"/>
            <w:gridSpan w:val="2"/>
            <w:tcBorders>
              <w:top w:val="single" w:sz="4" w:space="0" w:color="auto"/>
              <w:left w:val="single" w:sz="4" w:space="0" w:color="auto"/>
              <w:bottom w:val="single" w:sz="4" w:space="0" w:color="auto"/>
              <w:right w:val="single" w:sz="4" w:space="0" w:color="auto"/>
            </w:tcBorders>
          </w:tcPr>
          <w:p w:rsidR="003B4FCF" w:rsidRPr="003B4FCF" w:rsidRDefault="003B4FCF" w:rsidP="00004824">
            <w:pPr>
              <w:jc w:val="center"/>
              <w:rPr>
                <w:lang w:val="fr-FR"/>
              </w:rPr>
            </w:pPr>
            <w:r w:rsidRPr="003B4FCF">
              <w:rPr>
                <w:lang w:val="fr-FR"/>
              </w:rPr>
              <w:t>au milieu</w:t>
            </w:r>
          </w:p>
        </w:tc>
        <w:tc>
          <w:tcPr>
            <w:tcW w:w="4104" w:type="dxa"/>
            <w:gridSpan w:val="3"/>
            <w:tcBorders>
              <w:top w:val="single" w:sz="4" w:space="0" w:color="auto"/>
              <w:left w:val="single" w:sz="4" w:space="0" w:color="auto"/>
              <w:bottom w:val="single" w:sz="4" w:space="0" w:color="auto"/>
              <w:right w:val="single" w:sz="4" w:space="0" w:color="auto"/>
            </w:tcBorders>
          </w:tcPr>
          <w:p w:rsidR="003B4FCF" w:rsidRPr="003B4FCF" w:rsidRDefault="003B4FCF" w:rsidP="00004824">
            <w:pPr>
              <w:jc w:val="center"/>
              <w:rPr>
                <w:lang w:val="fr-FR"/>
              </w:rPr>
            </w:pPr>
            <w:r w:rsidRPr="003B4FCF">
              <w:rPr>
                <w:lang w:val="fr-FR"/>
              </w:rPr>
              <w:t>(au</w:t>
            </w:r>
            <w:r w:rsidRPr="003B4FCF">
              <w:rPr>
                <w:lang w:val="fr-FR"/>
              </w:rPr>
              <w:noBreakHyphen/>
              <w:t>dessus du milieu)</w:t>
            </w:r>
          </w:p>
        </w:tc>
      </w:tr>
      <w:tr w:rsidR="003B4FCF" w:rsidRPr="003B4FCF" w:rsidTr="00004824">
        <w:trPr>
          <w:gridBefore w:val="1"/>
          <w:wBefore w:w="379" w:type="dxa"/>
          <w:trHeight w:val="163"/>
          <w:jc w:val="center"/>
        </w:trPr>
        <w:tc>
          <w:tcPr>
            <w:tcW w:w="429" w:type="dxa"/>
            <w:gridSpan w:val="2"/>
            <w:tcBorders>
              <w:top w:val="nil"/>
              <w:left w:val="nil"/>
              <w:bottom w:val="nil"/>
              <w:right w:val="nil"/>
            </w:tcBorders>
          </w:tcPr>
          <w:p w:rsidR="003B4FCF" w:rsidRPr="003B4FCF" w:rsidRDefault="003B4FCF" w:rsidP="00004824">
            <w:pPr>
              <w:jc w:val="center"/>
              <w:rPr>
                <w:lang w:val="fr-FR"/>
              </w:rPr>
            </w:pPr>
          </w:p>
        </w:tc>
        <w:tc>
          <w:tcPr>
            <w:tcW w:w="283" w:type="dxa"/>
            <w:gridSpan w:val="2"/>
            <w:tcBorders>
              <w:top w:val="nil"/>
              <w:left w:val="nil"/>
              <w:bottom w:val="nil"/>
              <w:right w:val="nil"/>
            </w:tcBorders>
          </w:tcPr>
          <w:p w:rsidR="003B4FCF" w:rsidRPr="003B4FCF" w:rsidRDefault="003B4FCF" w:rsidP="00004824">
            <w:pPr>
              <w:jc w:val="center"/>
              <w:rPr>
                <w:lang w:val="fr-FR"/>
              </w:rPr>
            </w:pPr>
          </w:p>
        </w:tc>
        <w:tc>
          <w:tcPr>
            <w:tcW w:w="1420" w:type="dxa"/>
            <w:tcBorders>
              <w:top w:val="nil"/>
              <w:left w:val="nil"/>
              <w:bottom w:val="nil"/>
              <w:right w:val="nil"/>
            </w:tcBorders>
          </w:tcPr>
          <w:p w:rsidR="003B4FCF" w:rsidRPr="003B4FCF" w:rsidRDefault="003B4FCF" w:rsidP="00004824">
            <w:pPr>
              <w:jc w:val="center"/>
              <w:rPr>
                <w:lang w:val="fr-FR"/>
              </w:rPr>
            </w:pPr>
          </w:p>
        </w:tc>
        <w:tc>
          <w:tcPr>
            <w:tcW w:w="1389" w:type="dxa"/>
            <w:tcBorders>
              <w:top w:val="nil"/>
              <w:left w:val="nil"/>
              <w:bottom w:val="nil"/>
              <w:right w:val="nil"/>
            </w:tcBorders>
          </w:tcPr>
          <w:p w:rsidR="003B4FCF" w:rsidRPr="003B4FCF" w:rsidRDefault="003B4FCF" w:rsidP="00004824">
            <w:pPr>
              <w:jc w:val="center"/>
              <w:rPr>
                <w:lang w:val="fr-FR"/>
              </w:rPr>
            </w:pPr>
          </w:p>
        </w:tc>
        <w:tc>
          <w:tcPr>
            <w:tcW w:w="1389" w:type="dxa"/>
            <w:gridSpan w:val="2"/>
            <w:tcBorders>
              <w:top w:val="nil"/>
              <w:left w:val="nil"/>
              <w:bottom w:val="nil"/>
              <w:right w:val="nil"/>
            </w:tcBorders>
          </w:tcPr>
          <w:p w:rsidR="003B4FCF" w:rsidRPr="003B4FCF" w:rsidRDefault="003B4FCF" w:rsidP="00004824">
            <w:pPr>
              <w:jc w:val="center"/>
              <w:rPr>
                <w:lang w:val="fr-FR"/>
              </w:rPr>
            </w:pPr>
          </w:p>
        </w:tc>
        <w:tc>
          <w:tcPr>
            <w:tcW w:w="1388" w:type="dxa"/>
            <w:gridSpan w:val="2"/>
            <w:tcBorders>
              <w:top w:val="nil"/>
              <w:left w:val="nil"/>
              <w:bottom w:val="nil"/>
              <w:right w:val="nil"/>
            </w:tcBorders>
          </w:tcPr>
          <w:p w:rsidR="003B4FCF" w:rsidRPr="003B4FCF" w:rsidRDefault="003B4FCF" w:rsidP="00004824">
            <w:pPr>
              <w:jc w:val="center"/>
              <w:rPr>
                <w:lang w:val="fr-FR"/>
              </w:rPr>
            </w:pPr>
          </w:p>
        </w:tc>
        <w:tc>
          <w:tcPr>
            <w:tcW w:w="1311" w:type="dxa"/>
            <w:tcBorders>
              <w:top w:val="nil"/>
              <w:left w:val="nil"/>
              <w:bottom w:val="nil"/>
              <w:right w:val="nil"/>
            </w:tcBorders>
          </w:tcPr>
          <w:p w:rsidR="003B4FCF" w:rsidRPr="003B4FCF" w:rsidRDefault="003B4FCF" w:rsidP="00004824">
            <w:pPr>
              <w:jc w:val="center"/>
              <w:rPr>
                <w:lang w:val="fr-FR"/>
              </w:rPr>
            </w:pPr>
          </w:p>
        </w:tc>
        <w:tc>
          <w:tcPr>
            <w:tcW w:w="1467" w:type="dxa"/>
            <w:gridSpan w:val="2"/>
            <w:tcBorders>
              <w:top w:val="nil"/>
              <w:left w:val="nil"/>
              <w:bottom w:val="nil"/>
              <w:right w:val="nil"/>
            </w:tcBorders>
          </w:tcPr>
          <w:p w:rsidR="003B4FCF" w:rsidRPr="003B4FCF" w:rsidRDefault="003B4FCF" w:rsidP="00004824">
            <w:pPr>
              <w:jc w:val="center"/>
              <w:rPr>
                <w:lang w:val="fr-FR"/>
              </w:rPr>
            </w:pPr>
          </w:p>
        </w:tc>
      </w:tr>
      <w:tr w:rsidR="003B4FCF" w:rsidRPr="003B4FCF" w:rsidTr="00004824">
        <w:trPr>
          <w:cantSplit/>
          <w:jc w:val="center"/>
        </w:trPr>
        <w:tc>
          <w:tcPr>
            <w:tcW w:w="379" w:type="dxa"/>
            <w:vMerge w:val="restart"/>
            <w:shd w:val="clear" w:color="auto" w:fill="auto"/>
            <w:textDirection w:val="btLr"/>
          </w:tcPr>
          <w:p w:rsidR="003B4FCF" w:rsidRPr="003B4FCF" w:rsidRDefault="003B4FCF" w:rsidP="00004824">
            <w:pPr>
              <w:ind w:left="113" w:right="113"/>
              <w:jc w:val="center"/>
              <w:rPr>
                <w:lang w:val="fr-FR"/>
              </w:rPr>
            </w:pPr>
            <w:r w:rsidRPr="003B4FCF">
              <w:rPr>
                <w:lang w:val="fr-FR"/>
              </w:rPr>
              <w:sym w:font="Wingdings" w:char="F0DF"/>
            </w:r>
            <w:r w:rsidRPr="003B4FCF">
              <w:rPr>
                <w:sz w:val="18"/>
                <w:lang w:val="fr-FR"/>
              </w:rPr>
              <w:tab/>
            </w:r>
            <w:r w:rsidRPr="003B4FCF">
              <w:rPr>
                <w:sz w:val="18"/>
                <w:lang w:val="fr-FR"/>
              </w:rPr>
              <w:tab/>
            </w:r>
            <w:r w:rsidRPr="003B4FCF">
              <w:rPr>
                <w:lang w:val="fr-FR"/>
              </w:rPr>
              <w:t>largeur relative</w:t>
            </w:r>
            <w:r w:rsidRPr="003B4FCF">
              <w:rPr>
                <w:sz w:val="18"/>
                <w:lang w:val="fr-FR"/>
              </w:rPr>
              <w:tab/>
            </w:r>
            <w:r w:rsidRPr="003B4FCF">
              <w:rPr>
                <w:sz w:val="18"/>
                <w:lang w:val="fr-FR"/>
              </w:rPr>
              <w:tab/>
            </w:r>
            <w:r w:rsidRPr="003B4FCF">
              <w:rPr>
                <w:lang w:val="fr-FR"/>
              </w:rPr>
              <w:sym w:font="Wingdings" w:char="F0E0"/>
            </w:r>
          </w:p>
        </w:tc>
        <w:tc>
          <w:tcPr>
            <w:tcW w:w="429" w:type="dxa"/>
            <w:gridSpan w:val="2"/>
            <w:vMerge w:val="restart"/>
            <w:tcBorders>
              <w:top w:val="single" w:sz="4" w:space="0" w:color="auto"/>
              <w:right w:val="single" w:sz="4" w:space="0" w:color="auto"/>
            </w:tcBorders>
            <w:textDirection w:val="btLr"/>
          </w:tcPr>
          <w:p w:rsidR="003B4FCF" w:rsidRPr="003B4FCF" w:rsidRDefault="003B4FCF" w:rsidP="00004824">
            <w:pPr>
              <w:ind w:left="113" w:right="113"/>
              <w:jc w:val="center"/>
              <w:rPr>
                <w:lang w:val="fr-FR"/>
              </w:rPr>
            </w:pPr>
            <w:r w:rsidRPr="003B4FCF">
              <w:rPr>
                <w:lang w:val="fr-FR"/>
              </w:rPr>
              <w:t xml:space="preserve">large </w:t>
            </w:r>
            <w:r w:rsidRPr="003B4FCF">
              <w:rPr>
                <w:lang w:val="fr-FR"/>
              </w:rPr>
              <w:sym w:font="Wingdings" w:char="F0DF"/>
            </w:r>
            <w:r w:rsidRPr="003B4FCF">
              <w:rPr>
                <w:sz w:val="18"/>
                <w:lang w:val="fr-FR"/>
              </w:rPr>
              <w:tab/>
            </w:r>
            <w:r w:rsidRPr="003B4FCF">
              <w:rPr>
                <w:sz w:val="18"/>
                <w:lang w:val="fr-FR"/>
              </w:rPr>
              <w:tab/>
            </w:r>
            <w:r w:rsidRPr="003B4FCF">
              <w:rPr>
                <w:sz w:val="18"/>
                <w:lang w:val="fr-FR"/>
              </w:rPr>
              <w:tab/>
            </w:r>
            <w:r w:rsidRPr="003B4FCF">
              <w:rPr>
                <w:sz w:val="18"/>
                <w:lang w:val="fr-FR"/>
              </w:rPr>
              <w:tab/>
            </w:r>
            <w:r w:rsidRPr="003B4FCF">
              <w:rPr>
                <w:sz w:val="18"/>
                <w:lang w:val="fr-FR"/>
              </w:rPr>
              <w:tab/>
            </w:r>
            <w:r w:rsidRPr="003B4FCF">
              <w:rPr>
                <w:sz w:val="18"/>
                <w:lang w:val="fr-FR"/>
              </w:rPr>
              <w:tab/>
            </w:r>
            <w:r w:rsidRPr="003B4FCF">
              <w:rPr>
                <w:sz w:val="18"/>
                <w:lang w:val="fr-FR"/>
              </w:rPr>
              <w:tab/>
            </w:r>
            <w:r w:rsidRPr="003B4FCF">
              <w:rPr>
                <w:sz w:val="18"/>
                <w:lang w:val="fr-FR"/>
              </w:rPr>
              <w:tab/>
            </w:r>
            <w:r w:rsidRPr="003B4FCF">
              <w:rPr>
                <w:lang w:val="fr-FR"/>
              </w:rPr>
              <w:sym w:font="Wingdings" w:char="F0E0"/>
            </w:r>
            <w:r w:rsidRPr="003B4FCF">
              <w:rPr>
                <w:lang w:val="fr-FR"/>
              </w:rPr>
              <w:t xml:space="preserve"> étroite </w:t>
            </w:r>
          </w:p>
        </w:tc>
        <w:tc>
          <w:tcPr>
            <w:tcW w:w="283" w:type="dxa"/>
            <w:gridSpan w:val="2"/>
            <w:tcBorders>
              <w:top w:val="nil"/>
              <w:left w:val="nil"/>
              <w:bottom w:val="nil"/>
              <w:right w:val="nil"/>
            </w:tcBorders>
          </w:tcPr>
          <w:p w:rsidR="003B4FCF" w:rsidRPr="003B4FCF" w:rsidRDefault="003B4FCF" w:rsidP="00004824">
            <w:pPr>
              <w:jc w:val="center"/>
              <w:rPr>
                <w:lang w:val="fr-FR"/>
              </w:rPr>
            </w:pPr>
          </w:p>
        </w:tc>
        <w:tc>
          <w:tcPr>
            <w:tcW w:w="1420" w:type="dxa"/>
            <w:tcBorders>
              <w:left w:val="single" w:sz="4" w:space="0" w:color="auto"/>
            </w:tcBorders>
          </w:tcPr>
          <w:p w:rsidR="003B4FCF" w:rsidRPr="003B4FCF" w:rsidRDefault="003B4FCF" w:rsidP="00004824">
            <w:pPr>
              <w:jc w:val="center"/>
              <w:rPr>
                <w:lang w:val="fr-FR"/>
              </w:rPr>
            </w:pPr>
          </w:p>
        </w:tc>
        <w:tc>
          <w:tcPr>
            <w:tcW w:w="1389" w:type="dxa"/>
          </w:tcPr>
          <w:p w:rsidR="003B4FCF" w:rsidRPr="003B4FCF" w:rsidRDefault="003B4FCF" w:rsidP="00004824">
            <w:pPr>
              <w:jc w:val="center"/>
              <w:rPr>
                <w:lang w:val="fr-FR"/>
              </w:rPr>
            </w:pPr>
          </w:p>
        </w:tc>
        <w:tc>
          <w:tcPr>
            <w:tcW w:w="1389" w:type="dxa"/>
            <w:gridSpan w:val="2"/>
          </w:tcPr>
          <w:p w:rsidR="003B4FCF" w:rsidRPr="003B4FCF" w:rsidRDefault="003B4FCF" w:rsidP="00004824">
            <w:pPr>
              <w:jc w:val="center"/>
              <w:rPr>
                <w:lang w:val="fr-FR"/>
              </w:rPr>
            </w:pPr>
            <w:r w:rsidRPr="003B4FCF">
              <w:rPr>
                <w:lang w:val="fr-FR"/>
              </w:rPr>
              <w:drawing>
                <wp:inline distT="0" distB="0" distL="0" distR="0" wp14:anchorId="5207EB34" wp14:editId="14D70801">
                  <wp:extent cx="171450" cy="1085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450" cy="1085850"/>
                          </a:xfrm>
                          <a:prstGeom prst="rect">
                            <a:avLst/>
                          </a:prstGeom>
                          <a:noFill/>
                          <a:ln>
                            <a:noFill/>
                          </a:ln>
                        </pic:spPr>
                      </pic:pic>
                    </a:graphicData>
                  </a:graphic>
                </wp:inline>
              </w:drawing>
            </w:r>
          </w:p>
          <w:p w:rsidR="003B4FCF" w:rsidRPr="003B4FCF" w:rsidRDefault="003B4FCF" w:rsidP="00004824">
            <w:pPr>
              <w:jc w:val="center"/>
              <w:rPr>
                <w:lang w:val="fr-FR"/>
              </w:rPr>
            </w:pPr>
            <w:r w:rsidRPr="003B4FCF">
              <w:rPr>
                <w:lang w:val="fr-FR"/>
              </w:rPr>
              <w:t>6</w:t>
            </w:r>
          </w:p>
          <w:p w:rsidR="003B4FCF" w:rsidRPr="003B4FCF" w:rsidRDefault="003B4FCF" w:rsidP="00004824">
            <w:pPr>
              <w:jc w:val="center"/>
              <w:rPr>
                <w:lang w:val="fr-FR"/>
              </w:rPr>
            </w:pPr>
            <w:r w:rsidRPr="003B4FCF">
              <w:rPr>
                <w:lang w:val="fr-FR"/>
              </w:rPr>
              <w:t>linéaire</w:t>
            </w:r>
          </w:p>
        </w:tc>
        <w:tc>
          <w:tcPr>
            <w:tcW w:w="1388" w:type="dxa"/>
            <w:gridSpan w:val="2"/>
          </w:tcPr>
          <w:p w:rsidR="003B4FCF" w:rsidRPr="003B4FCF" w:rsidRDefault="003B4FCF" w:rsidP="00004824">
            <w:pPr>
              <w:jc w:val="center"/>
              <w:rPr>
                <w:lang w:val="fr-FR"/>
              </w:rPr>
            </w:pPr>
          </w:p>
        </w:tc>
        <w:tc>
          <w:tcPr>
            <w:tcW w:w="1311" w:type="dxa"/>
          </w:tcPr>
          <w:p w:rsidR="003B4FCF" w:rsidRPr="003B4FCF" w:rsidRDefault="003B4FCF" w:rsidP="00004824">
            <w:pPr>
              <w:jc w:val="center"/>
              <w:rPr>
                <w:lang w:val="fr-FR"/>
              </w:rPr>
            </w:pPr>
          </w:p>
        </w:tc>
        <w:tc>
          <w:tcPr>
            <w:tcW w:w="1467" w:type="dxa"/>
            <w:gridSpan w:val="2"/>
          </w:tcPr>
          <w:p w:rsidR="003B4FCF" w:rsidRPr="003B4FCF" w:rsidRDefault="003B4FCF" w:rsidP="00004824">
            <w:pPr>
              <w:jc w:val="center"/>
              <w:rPr>
                <w:lang w:val="fr-FR"/>
              </w:rPr>
            </w:pPr>
          </w:p>
        </w:tc>
      </w:tr>
      <w:tr w:rsidR="003B4FCF" w:rsidRPr="003B4FCF" w:rsidTr="00004824">
        <w:trPr>
          <w:cantSplit/>
          <w:jc w:val="center"/>
        </w:trPr>
        <w:tc>
          <w:tcPr>
            <w:tcW w:w="379" w:type="dxa"/>
            <w:vMerge/>
            <w:shd w:val="clear" w:color="auto" w:fill="auto"/>
          </w:tcPr>
          <w:p w:rsidR="003B4FCF" w:rsidRPr="003B4FCF" w:rsidRDefault="003B4FCF" w:rsidP="00004824">
            <w:pPr>
              <w:jc w:val="center"/>
              <w:rPr>
                <w:lang w:val="fr-FR"/>
              </w:rPr>
            </w:pPr>
          </w:p>
        </w:tc>
        <w:tc>
          <w:tcPr>
            <w:tcW w:w="429" w:type="dxa"/>
            <w:gridSpan w:val="2"/>
            <w:vMerge/>
            <w:tcBorders>
              <w:right w:val="single" w:sz="4" w:space="0" w:color="auto"/>
            </w:tcBorders>
          </w:tcPr>
          <w:p w:rsidR="003B4FCF" w:rsidRPr="003B4FCF" w:rsidRDefault="003B4FCF" w:rsidP="00004824">
            <w:pPr>
              <w:jc w:val="center"/>
              <w:rPr>
                <w:lang w:val="fr-FR"/>
              </w:rPr>
            </w:pPr>
          </w:p>
        </w:tc>
        <w:tc>
          <w:tcPr>
            <w:tcW w:w="283" w:type="dxa"/>
            <w:gridSpan w:val="2"/>
            <w:tcBorders>
              <w:top w:val="nil"/>
              <w:left w:val="nil"/>
              <w:bottom w:val="nil"/>
              <w:right w:val="nil"/>
            </w:tcBorders>
          </w:tcPr>
          <w:p w:rsidR="003B4FCF" w:rsidRPr="003B4FCF" w:rsidRDefault="003B4FCF" w:rsidP="00004824">
            <w:pPr>
              <w:jc w:val="center"/>
              <w:rPr>
                <w:lang w:val="fr-FR"/>
              </w:rPr>
            </w:pPr>
          </w:p>
        </w:tc>
        <w:tc>
          <w:tcPr>
            <w:tcW w:w="1420" w:type="dxa"/>
            <w:tcBorders>
              <w:left w:val="single" w:sz="4" w:space="0" w:color="auto"/>
            </w:tcBorders>
          </w:tcPr>
          <w:p w:rsidR="003B4FCF" w:rsidRPr="003B4FCF" w:rsidRDefault="003B4FCF" w:rsidP="00004824">
            <w:pPr>
              <w:jc w:val="center"/>
              <w:rPr>
                <w:lang w:val="fr-FR"/>
              </w:rPr>
            </w:pPr>
          </w:p>
        </w:tc>
        <w:tc>
          <w:tcPr>
            <w:tcW w:w="1389" w:type="dxa"/>
          </w:tcPr>
          <w:p w:rsidR="003B4FCF" w:rsidRPr="003B4FCF" w:rsidRDefault="003B4FCF" w:rsidP="00004824">
            <w:pPr>
              <w:jc w:val="center"/>
              <w:rPr>
                <w:lang w:val="fr-FR"/>
              </w:rPr>
            </w:pPr>
          </w:p>
        </w:tc>
        <w:tc>
          <w:tcPr>
            <w:tcW w:w="1389" w:type="dxa"/>
            <w:gridSpan w:val="2"/>
          </w:tcPr>
          <w:p w:rsidR="003B4FCF" w:rsidRPr="003B4FCF" w:rsidRDefault="003B4FCF" w:rsidP="00004824">
            <w:pPr>
              <w:jc w:val="center"/>
              <w:rPr>
                <w:lang w:val="fr-FR"/>
              </w:rPr>
            </w:pPr>
            <w:r w:rsidRPr="003B4FCF">
              <w:rPr>
                <w:lang w:val="fr-FR"/>
              </w:rPr>
              <w:drawing>
                <wp:inline distT="0" distB="0" distL="0" distR="0" wp14:anchorId="185AC73D" wp14:editId="6D9A1D77">
                  <wp:extent cx="371475" cy="10858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1475" cy="1085850"/>
                          </a:xfrm>
                          <a:prstGeom prst="rect">
                            <a:avLst/>
                          </a:prstGeom>
                          <a:noFill/>
                          <a:ln>
                            <a:noFill/>
                          </a:ln>
                        </pic:spPr>
                      </pic:pic>
                    </a:graphicData>
                  </a:graphic>
                </wp:inline>
              </w:drawing>
            </w:r>
          </w:p>
          <w:p w:rsidR="003B4FCF" w:rsidRPr="003B4FCF" w:rsidRDefault="003B4FCF" w:rsidP="00004824">
            <w:pPr>
              <w:jc w:val="center"/>
              <w:rPr>
                <w:lang w:val="fr-FR"/>
              </w:rPr>
            </w:pPr>
            <w:r w:rsidRPr="003B4FCF">
              <w:rPr>
                <w:lang w:val="fr-FR"/>
              </w:rPr>
              <w:t>5</w:t>
            </w:r>
          </w:p>
          <w:p w:rsidR="003B4FCF" w:rsidRPr="003B4FCF" w:rsidRDefault="003B4FCF" w:rsidP="00004824">
            <w:pPr>
              <w:jc w:val="center"/>
              <w:rPr>
                <w:lang w:val="fr-FR"/>
              </w:rPr>
            </w:pPr>
            <w:r w:rsidRPr="003B4FCF">
              <w:rPr>
                <w:lang w:val="fr-FR"/>
              </w:rPr>
              <w:t>oblongue</w:t>
            </w:r>
          </w:p>
        </w:tc>
        <w:tc>
          <w:tcPr>
            <w:tcW w:w="1388" w:type="dxa"/>
            <w:gridSpan w:val="2"/>
          </w:tcPr>
          <w:p w:rsidR="003B4FCF" w:rsidRPr="003B4FCF" w:rsidRDefault="003B4FCF" w:rsidP="00004824">
            <w:pPr>
              <w:jc w:val="center"/>
              <w:rPr>
                <w:lang w:val="fr-FR"/>
              </w:rPr>
            </w:pPr>
            <w:r w:rsidRPr="003B4FCF">
              <w:rPr>
                <w:lang w:val="fr-FR"/>
              </w:rPr>
              <w:drawing>
                <wp:inline distT="0" distB="0" distL="0" distR="0" wp14:anchorId="4C6941CF" wp14:editId="7D0E8B78">
                  <wp:extent cx="266700" cy="10858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6700" cy="1085850"/>
                          </a:xfrm>
                          <a:prstGeom prst="rect">
                            <a:avLst/>
                          </a:prstGeom>
                          <a:noFill/>
                          <a:ln>
                            <a:noFill/>
                          </a:ln>
                        </pic:spPr>
                      </pic:pic>
                    </a:graphicData>
                  </a:graphic>
                </wp:inline>
              </w:drawing>
            </w:r>
          </w:p>
          <w:p w:rsidR="003B4FCF" w:rsidRPr="003B4FCF" w:rsidRDefault="003B4FCF" w:rsidP="00004824">
            <w:pPr>
              <w:jc w:val="center"/>
              <w:rPr>
                <w:lang w:val="fr-FR"/>
              </w:rPr>
            </w:pPr>
            <w:r w:rsidRPr="003B4FCF">
              <w:rPr>
                <w:lang w:val="fr-FR"/>
              </w:rPr>
              <w:t>8</w:t>
            </w:r>
          </w:p>
          <w:p w:rsidR="003B4FCF" w:rsidRPr="003B4FCF" w:rsidRDefault="003B4FCF" w:rsidP="00004824">
            <w:pPr>
              <w:jc w:val="center"/>
              <w:rPr>
                <w:lang w:val="fr-FR"/>
              </w:rPr>
            </w:pPr>
            <w:r w:rsidRPr="003B4FCF">
              <w:rPr>
                <w:lang w:val="fr-FR"/>
              </w:rPr>
              <w:t>oblancéolée</w:t>
            </w:r>
          </w:p>
        </w:tc>
        <w:tc>
          <w:tcPr>
            <w:tcW w:w="1311" w:type="dxa"/>
          </w:tcPr>
          <w:p w:rsidR="003B4FCF" w:rsidRPr="003B4FCF" w:rsidRDefault="003B4FCF" w:rsidP="00004824">
            <w:pPr>
              <w:jc w:val="center"/>
              <w:rPr>
                <w:lang w:val="fr-FR"/>
              </w:rPr>
            </w:pPr>
            <w:r w:rsidRPr="003B4FCF">
              <w:rPr>
                <w:lang w:val="fr-FR"/>
              </w:rPr>
              <w:drawing>
                <wp:inline distT="0" distB="0" distL="0" distR="0" wp14:anchorId="320982AA" wp14:editId="31E68834">
                  <wp:extent cx="304800" cy="10763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4800" cy="1076325"/>
                          </a:xfrm>
                          <a:prstGeom prst="rect">
                            <a:avLst/>
                          </a:prstGeom>
                          <a:noFill/>
                          <a:ln>
                            <a:noFill/>
                          </a:ln>
                        </pic:spPr>
                      </pic:pic>
                    </a:graphicData>
                  </a:graphic>
                </wp:inline>
              </w:drawing>
            </w:r>
          </w:p>
          <w:p w:rsidR="003B4FCF" w:rsidRPr="003B4FCF" w:rsidRDefault="003B4FCF" w:rsidP="00004824">
            <w:pPr>
              <w:jc w:val="center"/>
              <w:rPr>
                <w:lang w:val="fr-FR"/>
              </w:rPr>
            </w:pPr>
            <w:r w:rsidRPr="003B4FCF">
              <w:rPr>
                <w:lang w:val="fr-FR"/>
              </w:rPr>
              <w:t>9</w:t>
            </w:r>
          </w:p>
          <w:p w:rsidR="003B4FCF" w:rsidRPr="003B4FCF" w:rsidRDefault="003B4FCF" w:rsidP="00004824">
            <w:pPr>
              <w:jc w:val="center"/>
              <w:rPr>
                <w:lang w:val="fr-FR"/>
              </w:rPr>
            </w:pPr>
            <w:r w:rsidRPr="003B4FCF">
              <w:rPr>
                <w:lang w:val="fr-FR"/>
              </w:rPr>
              <w:t>spatulée</w:t>
            </w:r>
          </w:p>
        </w:tc>
        <w:tc>
          <w:tcPr>
            <w:tcW w:w="1467" w:type="dxa"/>
            <w:gridSpan w:val="2"/>
          </w:tcPr>
          <w:p w:rsidR="003B4FCF" w:rsidRPr="003B4FCF" w:rsidRDefault="003B4FCF" w:rsidP="00004824">
            <w:pPr>
              <w:jc w:val="center"/>
              <w:rPr>
                <w:lang w:val="fr-FR"/>
              </w:rPr>
            </w:pPr>
          </w:p>
        </w:tc>
      </w:tr>
      <w:tr w:rsidR="003B4FCF" w:rsidRPr="003B4FCF" w:rsidTr="00004824">
        <w:trPr>
          <w:cantSplit/>
          <w:jc w:val="center"/>
        </w:trPr>
        <w:tc>
          <w:tcPr>
            <w:tcW w:w="379" w:type="dxa"/>
            <w:vMerge/>
            <w:shd w:val="clear" w:color="auto" w:fill="auto"/>
          </w:tcPr>
          <w:p w:rsidR="003B4FCF" w:rsidRPr="003B4FCF" w:rsidRDefault="003B4FCF" w:rsidP="00004824">
            <w:pPr>
              <w:jc w:val="center"/>
              <w:rPr>
                <w:lang w:val="fr-FR"/>
              </w:rPr>
            </w:pPr>
          </w:p>
        </w:tc>
        <w:tc>
          <w:tcPr>
            <w:tcW w:w="429" w:type="dxa"/>
            <w:gridSpan w:val="2"/>
            <w:vMerge/>
            <w:tcBorders>
              <w:right w:val="single" w:sz="4" w:space="0" w:color="auto"/>
            </w:tcBorders>
          </w:tcPr>
          <w:p w:rsidR="003B4FCF" w:rsidRPr="003B4FCF" w:rsidRDefault="003B4FCF" w:rsidP="00004824">
            <w:pPr>
              <w:jc w:val="center"/>
              <w:rPr>
                <w:lang w:val="fr-FR"/>
              </w:rPr>
            </w:pPr>
          </w:p>
        </w:tc>
        <w:tc>
          <w:tcPr>
            <w:tcW w:w="283" w:type="dxa"/>
            <w:gridSpan w:val="2"/>
            <w:tcBorders>
              <w:top w:val="nil"/>
              <w:left w:val="nil"/>
              <w:bottom w:val="nil"/>
              <w:right w:val="nil"/>
            </w:tcBorders>
          </w:tcPr>
          <w:p w:rsidR="003B4FCF" w:rsidRPr="003B4FCF" w:rsidRDefault="003B4FCF" w:rsidP="00004824">
            <w:pPr>
              <w:jc w:val="center"/>
              <w:rPr>
                <w:lang w:val="fr-FR"/>
              </w:rPr>
            </w:pPr>
          </w:p>
        </w:tc>
        <w:tc>
          <w:tcPr>
            <w:tcW w:w="1420" w:type="dxa"/>
            <w:tcBorders>
              <w:left w:val="single" w:sz="4" w:space="0" w:color="auto"/>
            </w:tcBorders>
          </w:tcPr>
          <w:p w:rsidR="003B4FCF" w:rsidRPr="003B4FCF" w:rsidRDefault="003B4FCF" w:rsidP="00004824">
            <w:pPr>
              <w:jc w:val="center"/>
              <w:rPr>
                <w:lang w:val="fr-FR"/>
              </w:rPr>
            </w:pPr>
            <w:r w:rsidRPr="003B4FCF">
              <w:rPr>
                <w:lang w:val="fr-FR"/>
              </w:rPr>
              <w:drawing>
                <wp:inline distT="0" distB="0" distL="0" distR="0" wp14:anchorId="74040190" wp14:editId="58BCE6E0">
                  <wp:extent cx="581025" cy="10477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81025" cy="1047750"/>
                          </a:xfrm>
                          <a:prstGeom prst="rect">
                            <a:avLst/>
                          </a:prstGeom>
                          <a:noFill/>
                          <a:ln>
                            <a:noFill/>
                          </a:ln>
                        </pic:spPr>
                      </pic:pic>
                    </a:graphicData>
                  </a:graphic>
                </wp:inline>
              </w:drawing>
            </w:r>
          </w:p>
          <w:p w:rsidR="003B4FCF" w:rsidRPr="003B4FCF" w:rsidRDefault="003B4FCF" w:rsidP="00004824">
            <w:pPr>
              <w:jc w:val="center"/>
              <w:rPr>
                <w:lang w:val="fr-FR"/>
              </w:rPr>
            </w:pPr>
            <w:r w:rsidRPr="003B4FCF">
              <w:rPr>
                <w:lang w:val="fr-FR"/>
              </w:rPr>
              <w:t>1</w:t>
            </w:r>
          </w:p>
          <w:p w:rsidR="003B4FCF" w:rsidRPr="003B4FCF" w:rsidRDefault="003B4FCF" w:rsidP="00004824">
            <w:pPr>
              <w:jc w:val="center"/>
              <w:rPr>
                <w:lang w:val="fr-FR"/>
              </w:rPr>
            </w:pPr>
            <w:r w:rsidRPr="003B4FCF">
              <w:rPr>
                <w:lang w:val="fr-FR"/>
              </w:rPr>
              <w:t>triangulaire</w:t>
            </w:r>
          </w:p>
        </w:tc>
        <w:tc>
          <w:tcPr>
            <w:tcW w:w="1389" w:type="dxa"/>
          </w:tcPr>
          <w:p w:rsidR="003B4FCF" w:rsidRPr="003B4FCF" w:rsidRDefault="003B4FCF" w:rsidP="00004824">
            <w:pPr>
              <w:jc w:val="center"/>
              <w:rPr>
                <w:lang w:val="fr-FR"/>
              </w:rPr>
            </w:pPr>
            <w:r w:rsidRPr="003B4FCF">
              <w:rPr>
                <w:lang w:val="fr-FR"/>
              </w:rPr>
              <w:drawing>
                <wp:inline distT="0" distB="0" distL="0" distR="0" wp14:anchorId="61F1F910" wp14:editId="1AECC4EA">
                  <wp:extent cx="504825" cy="10858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4825" cy="1085850"/>
                          </a:xfrm>
                          <a:prstGeom prst="rect">
                            <a:avLst/>
                          </a:prstGeom>
                          <a:noFill/>
                          <a:ln>
                            <a:noFill/>
                          </a:ln>
                        </pic:spPr>
                      </pic:pic>
                    </a:graphicData>
                  </a:graphic>
                </wp:inline>
              </w:drawing>
            </w:r>
          </w:p>
          <w:p w:rsidR="003B4FCF" w:rsidRPr="003B4FCF" w:rsidRDefault="003B4FCF" w:rsidP="00004824">
            <w:pPr>
              <w:jc w:val="center"/>
              <w:rPr>
                <w:lang w:val="fr-FR"/>
              </w:rPr>
            </w:pPr>
            <w:r w:rsidRPr="003B4FCF">
              <w:rPr>
                <w:lang w:val="fr-FR"/>
              </w:rPr>
              <w:t>2</w:t>
            </w:r>
          </w:p>
          <w:p w:rsidR="003B4FCF" w:rsidRPr="003B4FCF" w:rsidRDefault="003B4FCF" w:rsidP="00004824">
            <w:pPr>
              <w:jc w:val="center"/>
              <w:rPr>
                <w:lang w:val="fr-FR"/>
              </w:rPr>
            </w:pPr>
            <w:r w:rsidRPr="003B4FCF">
              <w:rPr>
                <w:lang w:val="fr-FR"/>
              </w:rPr>
              <w:t>ovale</w:t>
            </w:r>
          </w:p>
        </w:tc>
        <w:tc>
          <w:tcPr>
            <w:tcW w:w="1389" w:type="dxa"/>
            <w:gridSpan w:val="2"/>
          </w:tcPr>
          <w:p w:rsidR="003B4FCF" w:rsidRPr="003B4FCF" w:rsidRDefault="003B4FCF" w:rsidP="00004824">
            <w:pPr>
              <w:jc w:val="center"/>
              <w:rPr>
                <w:lang w:val="fr-FR"/>
              </w:rPr>
            </w:pPr>
            <w:r w:rsidRPr="003B4FCF">
              <w:rPr>
                <w:lang w:val="fr-FR"/>
              </w:rPr>
              <w:drawing>
                <wp:inline distT="0" distB="0" distL="0" distR="0" wp14:anchorId="084B0048" wp14:editId="40567145">
                  <wp:extent cx="457200" cy="10763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7200" cy="1076325"/>
                          </a:xfrm>
                          <a:prstGeom prst="rect">
                            <a:avLst/>
                          </a:prstGeom>
                          <a:noFill/>
                          <a:ln>
                            <a:noFill/>
                          </a:ln>
                        </pic:spPr>
                      </pic:pic>
                    </a:graphicData>
                  </a:graphic>
                </wp:inline>
              </w:drawing>
            </w:r>
          </w:p>
          <w:p w:rsidR="003B4FCF" w:rsidRPr="003B4FCF" w:rsidRDefault="003B4FCF" w:rsidP="00004824">
            <w:pPr>
              <w:jc w:val="center"/>
              <w:rPr>
                <w:lang w:val="fr-FR"/>
              </w:rPr>
            </w:pPr>
            <w:r w:rsidRPr="003B4FCF">
              <w:rPr>
                <w:lang w:val="fr-FR"/>
              </w:rPr>
              <w:t>4</w:t>
            </w:r>
          </w:p>
          <w:p w:rsidR="003B4FCF" w:rsidRPr="003B4FCF" w:rsidRDefault="003B4FCF" w:rsidP="00004824">
            <w:pPr>
              <w:jc w:val="center"/>
              <w:rPr>
                <w:lang w:val="fr-FR"/>
              </w:rPr>
            </w:pPr>
            <w:r w:rsidRPr="003B4FCF">
              <w:rPr>
                <w:lang w:val="fr-FR"/>
              </w:rPr>
              <w:t>elliptique</w:t>
            </w:r>
          </w:p>
        </w:tc>
        <w:tc>
          <w:tcPr>
            <w:tcW w:w="1388" w:type="dxa"/>
            <w:gridSpan w:val="2"/>
          </w:tcPr>
          <w:p w:rsidR="003B4FCF" w:rsidRPr="003B4FCF" w:rsidRDefault="003B4FCF" w:rsidP="00004824">
            <w:pPr>
              <w:jc w:val="center"/>
              <w:rPr>
                <w:lang w:val="fr-FR"/>
              </w:rPr>
            </w:pPr>
            <w:r w:rsidRPr="003B4FCF">
              <w:rPr>
                <w:lang w:val="fr-FR"/>
              </w:rPr>
              <w:drawing>
                <wp:inline distT="0" distB="0" distL="0" distR="0" wp14:anchorId="4F4436DD" wp14:editId="06F98B1D">
                  <wp:extent cx="533400" cy="10763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3400" cy="1076325"/>
                          </a:xfrm>
                          <a:prstGeom prst="rect">
                            <a:avLst/>
                          </a:prstGeom>
                          <a:noFill/>
                          <a:ln>
                            <a:noFill/>
                          </a:ln>
                        </pic:spPr>
                      </pic:pic>
                    </a:graphicData>
                  </a:graphic>
                </wp:inline>
              </w:drawing>
            </w:r>
          </w:p>
          <w:p w:rsidR="003B4FCF" w:rsidRPr="003B4FCF" w:rsidRDefault="003B4FCF" w:rsidP="00004824">
            <w:pPr>
              <w:jc w:val="center"/>
              <w:rPr>
                <w:lang w:val="fr-FR"/>
              </w:rPr>
            </w:pPr>
            <w:r w:rsidRPr="003B4FCF">
              <w:rPr>
                <w:lang w:val="fr-FR"/>
              </w:rPr>
              <w:t>7</w:t>
            </w:r>
          </w:p>
          <w:p w:rsidR="003B4FCF" w:rsidRPr="003B4FCF" w:rsidRDefault="003B4FCF" w:rsidP="00004824">
            <w:pPr>
              <w:jc w:val="center"/>
              <w:rPr>
                <w:lang w:val="fr-FR"/>
              </w:rPr>
            </w:pPr>
            <w:r w:rsidRPr="003B4FCF">
              <w:rPr>
                <w:lang w:val="fr-FR"/>
              </w:rPr>
              <w:t>obovale</w:t>
            </w:r>
          </w:p>
        </w:tc>
        <w:tc>
          <w:tcPr>
            <w:tcW w:w="1311" w:type="dxa"/>
          </w:tcPr>
          <w:p w:rsidR="003B4FCF" w:rsidRPr="003B4FCF" w:rsidRDefault="003B4FCF" w:rsidP="00004824">
            <w:pPr>
              <w:jc w:val="center"/>
              <w:rPr>
                <w:lang w:val="fr-FR"/>
              </w:rPr>
            </w:pPr>
          </w:p>
        </w:tc>
        <w:tc>
          <w:tcPr>
            <w:tcW w:w="1467" w:type="dxa"/>
            <w:gridSpan w:val="2"/>
          </w:tcPr>
          <w:p w:rsidR="003B4FCF" w:rsidRPr="003B4FCF" w:rsidRDefault="003B4FCF" w:rsidP="00004824">
            <w:pPr>
              <w:jc w:val="center"/>
              <w:rPr>
                <w:lang w:val="fr-FR"/>
              </w:rPr>
            </w:pPr>
            <w:r w:rsidRPr="003B4FCF">
              <w:rPr>
                <w:lang w:val="fr-FR"/>
              </w:rPr>
              <w:drawing>
                <wp:inline distT="0" distB="0" distL="0" distR="0" wp14:anchorId="2E5A8E4F" wp14:editId="63123E12">
                  <wp:extent cx="523875" cy="10858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23875" cy="1085850"/>
                          </a:xfrm>
                          <a:prstGeom prst="rect">
                            <a:avLst/>
                          </a:prstGeom>
                          <a:noFill/>
                          <a:ln>
                            <a:noFill/>
                          </a:ln>
                        </pic:spPr>
                      </pic:pic>
                    </a:graphicData>
                  </a:graphic>
                </wp:inline>
              </w:drawing>
            </w:r>
          </w:p>
          <w:p w:rsidR="003B4FCF" w:rsidRPr="003B4FCF" w:rsidRDefault="003B4FCF" w:rsidP="00004824">
            <w:pPr>
              <w:jc w:val="center"/>
              <w:rPr>
                <w:lang w:val="fr-FR"/>
              </w:rPr>
            </w:pPr>
            <w:r w:rsidRPr="003B4FCF">
              <w:rPr>
                <w:lang w:val="fr-FR"/>
              </w:rPr>
              <w:t xml:space="preserve">10 </w:t>
            </w:r>
            <w:r w:rsidRPr="003B4FCF">
              <w:rPr>
                <w:spacing w:val="-2"/>
                <w:lang w:val="fr-FR"/>
              </w:rPr>
              <w:t>obtriangulaire</w:t>
            </w:r>
          </w:p>
        </w:tc>
      </w:tr>
      <w:tr w:rsidR="003B4FCF" w:rsidRPr="003B4FCF" w:rsidTr="00004824">
        <w:trPr>
          <w:cantSplit/>
          <w:trHeight w:val="2035"/>
          <w:jc w:val="center"/>
        </w:trPr>
        <w:tc>
          <w:tcPr>
            <w:tcW w:w="379" w:type="dxa"/>
            <w:vMerge/>
            <w:shd w:val="clear" w:color="auto" w:fill="auto"/>
          </w:tcPr>
          <w:p w:rsidR="003B4FCF" w:rsidRPr="003B4FCF" w:rsidRDefault="003B4FCF" w:rsidP="00004824">
            <w:pPr>
              <w:jc w:val="center"/>
              <w:rPr>
                <w:lang w:val="fr-FR"/>
              </w:rPr>
            </w:pPr>
          </w:p>
        </w:tc>
        <w:tc>
          <w:tcPr>
            <w:tcW w:w="429" w:type="dxa"/>
            <w:gridSpan w:val="2"/>
            <w:vMerge/>
            <w:tcBorders>
              <w:right w:val="single" w:sz="4" w:space="0" w:color="auto"/>
            </w:tcBorders>
          </w:tcPr>
          <w:p w:rsidR="003B4FCF" w:rsidRPr="003B4FCF" w:rsidRDefault="003B4FCF" w:rsidP="00004824">
            <w:pPr>
              <w:jc w:val="center"/>
              <w:rPr>
                <w:lang w:val="fr-FR"/>
              </w:rPr>
            </w:pPr>
          </w:p>
        </w:tc>
        <w:tc>
          <w:tcPr>
            <w:tcW w:w="283" w:type="dxa"/>
            <w:gridSpan w:val="2"/>
            <w:tcBorders>
              <w:top w:val="nil"/>
              <w:left w:val="nil"/>
              <w:bottom w:val="nil"/>
              <w:right w:val="nil"/>
            </w:tcBorders>
          </w:tcPr>
          <w:p w:rsidR="003B4FCF" w:rsidRPr="003B4FCF" w:rsidRDefault="003B4FCF" w:rsidP="00004824">
            <w:pPr>
              <w:jc w:val="center"/>
              <w:rPr>
                <w:lang w:val="fr-FR"/>
              </w:rPr>
            </w:pPr>
          </w:p>
        </w:tc>
        <w:tc>
          <w:tcPr>
            <w:tcW w:w="1420" w:type="dxa"/>
            <w:tcBorders>
              <w:left w:val="single" w:sz="4" w:space="0" w:color="auto"/>
            </w:tcBorders>
          </w:tcPr>
          <w:p w:rsidR="003B4FCF" w:rsidRPr="003B4FCF" w:rsidRDefault="003B4FCF" w:rsidP="00004824">
            <w:pPr>
              <w:jc w:val="center"/>
              <w:rPr>
                <w:lang w:val="fr-FR"/>
              </w:rPr>
            </w:pPr>
          </w:p>
        </w:tc>
        <w:tc>
          <w:tcPr>
            <w:tcW w:w="1389" w:type="dxa"/>
          </w:tcPr>
          <w:p w:rsidR="003B4FCF" w:rsidRPr="003B4FCF" w:rsidRDefault="003B4FCF" w:rsidP="00004824">
            <w:pPr>
              <w:jc w:val="center"/>
              <w:rPr>
                <w:lang w:val="fr-FR"/>
              </w:rPr>
            </w:pPr>
          </w:p>
        </w:tc>
        <w:tc>
          <w:tcPr>
            <w:tcW w:w="1389" w:type="dxa"/>
            <w:gridSpan w:val="2"/>
          </w:tcPr>
          <w:p w:rsidR="003B4FCF" w:rsidRPr="003B4FCF" w:rsidRDefault="003B4FCF" w:rsidP="00004824">
            <w:pPr>
              <w:jc w:val="center"/>
              <w:rPr>
                <w:lang w:val="fr-FR"/>
              </w:rPr>
            </w:pPr>
            <w:r w:rsidRPr="003B4FCF">
              <w:rPr>
                <w:lang w:val="fr-FR"/>
              </w:rPr>
              <w:drawing>
                <wp:inline distT="0" distB="0" distL="0" distR="0" wp14:anchorId="4DE41C6B" wp14:editId="43231395">
                  <wp:extent cx="600075" cy="8572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0075" cy="857250"/>
                          </a:xfrm>
                          <a:prstGeom prst="rect">
                            <a:avLst/>
                          </a:prstGeom>
                          <a:noFill/>
                          <a:ln>
                            <a:noFill/>
                          </a:ln>
                        </pic:spPr>
                      </pic:pic>
                    </a:graphicData>
                  </a:graphic>
                </wp:inline>
              </w:drawing>
            </w:r>
          </w:p>
          <w:p w:rsidR="003B4FCF" w:rsidRPr="003B4FCF" w:rsidRDefault="003B4FCF" w:rsidP="00004824">
            <w:pPr>
              <w:jc w:val="center"/>
              <w:rPr>
                <w:lang w:val="fr-FR"/>
              </w:rPr>
            </w:pPr>
            <w:r w:rsidRPr="003B4FCF">
              <w:rPr>
                <w:lang w:val="fr-FR"/>
              </w:rPr>
              <w:t>3</w:t>
            </w:r>
          </w:p>
          <w:p w:rsidR="003B4FCF" w:rsidRPr="003B4FCF" w:rsidRDefault="003B4FCF" w:rsidP="00004824">
            <w:pPr>
              <w:jc w:val="center"/>
              <w:rPr>
                <w:lang w:val="fr-FR"/>
              </w:rPr>
            </w:pPr>
            <w:r w:rsidRPr="003B4FCF">
              <w:rPr>
                <w:lang w:val="fr-FR"/>
              </w:rPr>
              <w:t>circulaire</w:t>
            </w:r>
          </w:p>
        </w:tc>
        <w:tc>
          <w:tcPr>
            <w:tcW w:w="1388" w:type="dxa"/>
            <w:gridSpan w:val="2"/>
          </w:tcPr>
          <w:p w:rsidR="003B4FCF" w:rsidRPr="003B4FCF" w:rsidRDefault="003B4FCF" w:rsidP="00004824">
            <w:pPr>
              <w:jc w:val="center"/>
              <w:rPr>
                <w:lang w:val="fr-FR"/>
              </w:rPr>
            </w:pPr>
          </w:p>
        </w:tc>
        <w:tc>
          <w:tcPr>
            <w:tcW w:w="1311" w:type="dxa"/>
          </w:tcPr>
          <w:p w:rsidR="003B4FCF" w:rsidRPr="003B4FCF" w:rsidRDefault="003B4FCF" w:rsidP="00004824">
            <w:pPr>
              <w:jc w:val="center"/>
              <w:rPr>
                <w:lang w:val="fr-FR"/>
              </w:rPr>
            </w:pPr>
          </w:p>
        </w:tc>
        <w:tc>
          <w:tcPr>
            <w:tcW w:w="1467" w:type="dxa"/>
            <w:gridSpan w:val="2"/>
          </w:tcPr>
          <w:p w:rsidR="003B4FCF" w:rsidRPr="003B4FCF" w:rsidRDefault="003B4FCF" w:rsidP="00004824">
            <w:pPr>
              <w:jc w:val="center"/>
              <w:rPr>
                <w:lang w:val="fr-FR"/>
              </w:rPr>
            </w:pPr>
          </w:p>
        </w:tc>
      </w:tr>
    </w:tbl>
    <w:p w:rsidR="003B4FCF" w:rsidRPr="003B4FCF" w:rsidRDefault="003B4FCF" w:rsidP="003B4FCF">
      <w:pPr>
        <w:rPr>
          <w:rFonts w:eastAsia="MS Mincho"/>
          <w:lang w:val="fr-FR"/>
        </w:rPr>
      </w:pPr>
    </w:p>
    <w:p w:rsidR="003B4FCF" w:rsidRPr="003B4FCF" w:rsidRDefault="003B4FCF" w:rsidP="003B4FCF">
      <w:pPr>
        <w:rPr>
          <w:lang w:val="fr-FR"/>
        </w:rPr>
      </w:pPr>
    </w:p>
    <w:p w:rsidR="003B4FCF" w:rsidRPr="003B4FCF" w:rsidRDefault="003B4FCF" w:rsidP="003B4FCF">
      <w:pPr>
        <w:jc w:val="left"/>
        <w:rPr>
          <w:lang w:val="fr-FR"/>
        </w:rPr>
      </w:pPr>
      <w:r w:rsidRPr="003B4FCF">
        <w:rPr>
          <w:lang w:val="fr-FR"/>
        </w:rPr>
        <w:br w:type="page"/>
      </w:r>
    </w:p>
    <w:p w:rsidR="003B4FCF" w:rsidRPr="003B4FCF" w:rsidRDefault="003B4FCF" w:rsidP="003B4FCF">
      <w:pPr>
        <w:rPr>
          <w:rFonts w:eastAsia="MS Mincho"/>
          <w:u w:val="single"/>
          <w:lang w:val="fr-FR"/>
        </w:rPr>
      </w:pPr>
      <w:r w:rsidRPr="003B4FCF">
        <w:rPr>
          <w:rFonts w:eastAsia="MS Mincho"/>
          <w:u w:val="single"/>
          <w:lang w:val="fr-FR"/>
        </w:rPr>
        <w:lastRenderedPageBreak/>
        <w:t>(ii)</w:t>
      </w:r>
      <w:r w:rsidRPr="003B4FCF">
        <w:rPr>
          <w:rFonts w:eastAsia="MS Mincho"/>
          <w:u w:val="single"/>
          <w:lang w:val="fr-FR"/>
        </w:rPr>
        <w:tab/>
        <w:t>Facteurs à prendre en considération pour la création de groupes de couleurs</w:t>
      </w:r>
    </w:p>
    <w:p w:rsidR="003B4FCF" w:rsidRPr="003B4FCF" w:rsidRDefault="003B4FCF" w:rsidP="003B4FCF">
      <w:pPr>
        <w:rPr>
          <w:lang w:val="fr-FR"/>
        </w:rPr>
      </w:pPr>
    </w:p>
    <w:p w:rsidR="003B4FCF" w:rsidRPr="003B4FCF" w:rsidRDefault="003B4FCF" w:rsidP="003B4FCF">
      <w:pPr>
        <w:rPr>
          <w:lang w:val="fr-FR"/>
        </w:rPr>
      </w:pPr>
      <w:r w:rsidRPr="003B4FCF">
        <w:rPr>
          <w:lang w:val="fr-FR"/>
        </w:rPr>
        <w:t>Le TC, à sa cinquante-quatrième session, a examiné le document TC/54/22 “Noms de couleur pour le code RHS des couleurs” (voir le document TC/54/31 “Compte rendu”, paragraphe 244).</w:t>
      </w:r>
    </w:p>
    <w:p w:rsidR="003B4FCF" w:rsidRPr="003B4FCF" w:rsidRDefault="003B4FCF" w:rsidP="003B4FCF">
      <w:pPr>
        <w:rPr>
          <w:lang w:val="fr-FR"/>
        </w:rPr>
      </w:pPr>
    </w:p>
    <w:p w:rsidR="003B4FCF" w:rsidRPr="003B4FCF" w:rsidRDefault="003B4FCF" w:rsidP="003B4FCF">
      <w:pPr>
        <w:rPr>
          <w:lang w:val="fr-FR"/>
        </w:rPr>
      </w:pPr>
      <w:r w:rsidRPr="003B4FCF">
        <w:rPr>
          <w:lang w:val="fr-FR"/>
        </w:rPr>
        <w:t>Le TC est convenu de proposer de modifier comme suit le document TGP/14 pour y inclure des orientations sur les facteurs à prendre en considération pour la création de groupes de couleurs aux fins du groupement de variétés et de l’organisation d’essais en culture :</w:t>
      </w:r>
    </w:p>
    <w:p w:rsidR="003B4FCF" w:rsidRPr="003B4FCF" w:rsidRDefault="003B4FCF" w:rsidP="003B4FCF">
      <w:pPr>
        <w:rPr>
          <w:rFonts w:eastAsiaTheme="minorEastAsia" w:cs="Arial"/>
          <w:lang w:val="fr-FR"/>
        </w:rPr>
      </w:pPr>
    </w:p>
    <w:p w:rsidR="003B4FCF" w:rsidRPr="003B4FCF" w:rsidRDefault="003B4FCF" w:rsidP="003B4FCF">
      <w:pPr>
        <w:ind w:left="567" w:right="567"/>
        <w:rPr>
          <w:rFonts w:eastAsiaTheme="minorEastAsia" w:cs="Arial"/>
          <w:szCs w:val="18"/>
          <w:lang w:val="fr-FR"/>
        </w:rPr>
      </w:pPr>
      <w:r w:rsidRPr="003B4FCF">
        <w:rPr>
          <w:rFonts w:eastAsiaTheme="minorEastAsia" w:cs="Arial"/>
          <w:szCs w:val="18"/>
          <w:lang w:val="fr-FR"/>
        </w:rPr>
        <w:t>Sous-section 3: Couleur: Nouvelle section: 5 “Facteurs à prendre en considération pour la création de groupes de couleurs”</w:t>
      </w:r>
    </w:p>
    <w:p w:rsidR="003B4FCF" w:rsidRPr="003B4FCF" w:rsidRDefault="003B4FCF" w:rsidP="003B4FCF">
      <w:pPr>
        <w:ind w:left="567" w:right="567"/>
        <w:rPr>
          <w:rFonts w:eastAsiaTheme="minorEastAsia" w:cs="Arial"/>
          <w:lang w:val="fr-FR"/>
        </w:rPr>
      </w:pPr>
    </w:p>
    <w:p w:rsidR="003B4FCF" w:rsidRPr="003B4FCF" w:rsidRDefault="003B4FCF" w:rsidP="003B4FCF">
      <w:pPr>
        <w:keepNext/>
        <w:ind w:left="567" w:right="567"/>
        <w:rPr>
          <w:rFonts w:eastAsiaTheme="minorEastAsia" w:cs="Arial"/>
          <w:lang w:val="fr-FR"/>
        </w:rPr>
      </w:pPr>
      <w:r w:rsidRPr="003B4FCF">
        <w:rPr>
          <w:rFonts w:eastAsiaTheme="minorEastAsia" w:cs="Arial"/>
          <w:lang w:val="fr-FR"/>
        </w:rPr>
        <w:t>“Lorsqu’on utilise la couleur d’une partie de plante aux fins du groupement des variétés, une très nette différence entre les couleurs est requise.  Cependant, les groupes de couleurs sont également utilisés dans le questionnaire technique pour les demandeurs qui n’ont pas de code RHS des couleurs.  Par conséquent, les groupes doivent être suffisamment petits pour que les demandeurs puissent indiquer un niveau d’expression adapté pour le caractère.</w:t>
      </w:r>
    </w:p>
    <w:p w:rsidR="003B4FCF" w:rsidRPr="003B4FCF" w:rsidRDefault="003B4FCF" w:rsidP="003B4FCF">
      <w:pPr>
        <w:ind w:left="567" w:right="567"/>
        <w:rPr>
          <w:rFonts w:eastAsiaTheme="minorEastAsia" w:cs="Arial"/>
          <w:lang w:val="fr-FR"/>
        </w:rPr>
      </w:pPr>
    </w:p>
    <w:p w:rsidR="003B4FCF" w:rsidRPr="003B4FCF" w:rsidRDefault="003B4FCF" w:rsidP="003B4FCF">
      <w:pPr>
        <w:ind w:left="567" w:right="567"/>
        <w:rPr>
          <w:rFonts w:eastAsiaTheme="minorEastAsia" w:cs="Arial"/>
          <w:lang w:val="fr-FR"/>
        </w:rPr>
      </w:pPr>
      <w:r w:rsidRPr="003B4FCF">
        <w:rPr>
          <w:rFonts w:eastAsiaTheme="minorEastAsia" w:cs="Arial"/>
          <w:lang w:val="fr-FR"/>
        </w:rPr>
        <w:t>“Les facteurs ci</w:t>
      </w:r>
      <w:r w:rsidRPr="003B4FCF">
        <w:rPr>
          <w:rFonts w:eastAsiaTheme="minorEastAsia" w:cs="Arial"/>
          <w:lang w:val="fr-FR"/>
        </w:rPr>
        <w:noBreakHyphen/>
        <w:t>après sont à prendre en considération pour la création de groupes de couleurs aux fins du groupement des variétés :</w:t>
      </w:r>
    </w:p>
    <w:p w:rsidR="003B4FCF" w:rsidRPr="003B4FCF" w:rsidRDefault="003B4FCF" w:rsidP="003B4FCF">
      <w:pPr>
        <w:ind w:left="567" w:right="567"/>
        <w:rPr>
          <w:rFonts w:eastAsiaTheme="minorEastAsia" w:cs="Arial"/>
          <w:sz w:val="12"/>
          <w:lang w:val="fr-FR"/>
        </w:rPr>
      </w:pPr>
    </w:p>
    <w:p w:rsidR="003B4FCF" w:rsidRPr="003B4FCF" w:rsidRDefault="003B4FCF" w:rsidP="003B4FCF">
      <w:pPr>
        <w:numPr>
          <w:ilvl w:val="0"/>
          <w:numId w:val="8"/>
        </w:numPr>
        <w:ind w:left="1701" w:right="567" w:hanging="567"/>
        <w:contextualSpacing/>
        <w:rPr>
          <w:rFonts w:eastAsiaTheme="minorEastAsia" w:cs="Arial"/>
          <w:lang w:val="fr-FR"/>
        </w:rPr>
      </w:pPr>
      <w:r w:rsidRPr="003B4FCF">
        <w:rPr>
          <w:rFonts w:eastAsiaTheme="minorEastAsia" w:cs="Arial"/>
          <w:lang w:val="fr-FR"/>
        </w:rPr>
        <w:t>gamme des variations de la couleur de la partie de plante au sein de l’espèce</w:t>
      </w:r>
    </w:p>
    <w:p w:rsidR="003B4FCF" w:rsidRPr="003B4FCF" w:rsidRDefault="003B4FCF" w:rsidP="003B4FCF">
      <w:pPr>
        <w:numPr>
          <w:ilvl w:val="0"/>
          <w:numId w:val="8"/>
        </w:numPr>
        <w:ind w:left="1701" w:right="567" w:hanging="567"/>
        <w:contextualSpacing/>
        <w:rPr>
          <w:rFonts w:eastAsiaTheme="minorEastAsia" w:cs="Arial"/>
          <w:lang w:val="fr-FR"/>
        </w:rPr>
      </w:pPr>
      <w:r w:rsidRPr="003B4FCF">
        <w:rPr>
          <w:rFonts w:eastAsiaTheme="minorEastAsia" w:cs="Arial"/>
          <w:lang w:val="fr-FR"/>
        </w:rPr>
        <w:t>différences de couleurs nécessaires pour que les variétés soient considérées comme étant nettement distinctes</w:t>
      </w:r>
    </w:p>
    <w:p w:rsidR="003B4FCF" w:rsidRPr="003B4FCF" w:rsidRDefault="003B4FCF" w:rsidP="003B4FCF">
      <w:pPr>
        <w:numPr>
          <w:ilvl w:val="0"/>
          <w:numId w:val="8"/>
        </w:numPr>
        <w:ind w:left="1701" w:right="567" w:hanging="567"/>
        <w:contextualSpacing/>
        <w:rPr>
          <w:rFonts w:eastAsiaTheme="minorEastAsia" w:cs="Arial"/>
          <w:lang w:val="fr-FR"/>
        </w:rPr>
      </w:pPr>
      <w:r w:rsidRPr="003B4FCF">
        <w:rPr>
          <w:rFonts w:eastAsiaTheme="minorEastAsia" w:cs="Arial"/>
          <w:lang w:val="fr-FR"/>
        </w:rPr>
        <w:t>influence possible de l’environnement sur la couleur de la partie de plante.</w:t>
      </w:r>
    </w:p>
    <w:p w:rsidR="003B4FCF" w:rsidRPr="003B4FCF" w:rsidRDefault="003B4FCF" w:rsidP="003B4FCF">
      <w:pPr>
        <w:rPr>
          <w:rFonts w:eastAsiaTheme="minorEastAsia"/>
          <w:sz w:val="22"/>
          <w:lang w:val="fr-FR"/>
        </w:rPr>
      </w:pPr>
    </w:p>
    <w:p w:rsidR="003B4FCF" w:rsidRPr="003B4FCF" w:rsidRDefault="003B4FCF" w:rsidP="003B4FCF">
      <w:pPr>
        <w:ind w:left="567" w:right="567"/>
        <w:rPr>
          <w:rFonts w:eastAsiaTheme="minorEastAsia" w:cs="Arial"/>
          <w:lang w:val="fr-FR"/>
        </w:rPr>
      </w:pPr>
      <w:r w:rsidRPr="003B4FCF">
        <w:rPr>
          <w:rFonts w:eastAsiaTheme="minorEastAsia" w:cs="Arial"/>
          <w:lang w:val="fr-FR"/>
        </w:rPr>
        <w:t>“Selon l’espèce et la partie de plante observée, les groupes de couleurs aux fins du groupement peuvent varier.  Le tableau ci</w:t>
      </w:r>
      <w:r w:rsidRPr="003B4FCF">
        <w:rPr>
          <w:rFonts w:eastAsiaTheme="minorEastAsia" w:cs="Arial"/>
          <w:lang w:val="fr-FR"/>
        </w:rPr>
        <w:noBreakHyphen/>
        <w:t>dessous contient des exemples de groupes de couleurs aux fins des caractères de groupement de plusieurs principes directeurs d’examen.</w:t>
      </w:r>
    </w:p>
    <w:p w:rsidR="003B4FCF" w:rsidRPr="003B4FCF" w:rsidRDefault="003B4FCF" w:rsidP="003B4FCF">
      <w:pPr>
        <w:tabs>
          <w:tab w:val="left" w:pos="8556"/>
        </w:tabs>
        <w:rPr>
          <w:rFonts w:eastAsiaTheme="minorEastAsia" w:cs="Arial"/>
          <w:lang w:val="fr-FR"/>
        </w:rPr>
      </w:pPr>
    </w:p>
    <w:tbl>
      <w:tblPr>
        <w:tblW w:w="8738" w:type="dxa"/>
        <w:jc w:val="center"/>
        <w:tblLayout w:type="fixed"/>
        <w:tblCellMar>
          <w:top w:w="57" w:type="dxa"/>
          <w:left w:w="57" w:type="dxa"/>
          <w:bottom w:w="28" w:type="dxa"/>
          <w:right w:w="57" w:type="dxa"/>
        </w:tblCellMar>
        <w:tblLook w:val="04A0" w:firstRow="1" w:lastRow="0" w:firstColumn="1" w:lastColumn="0" w:noHBand="0" w:noVBand="1"/>
      </w:tblPr>
      <w:tblGrid>
        <w:gridCol w:w="1508"/>
        <w:gridCol w:w="1786"/>
        <w:gridCol w:w="2002"/>
        <w:gridCol w:w="1741"/>
        <w:gridCol w:w="1701"/>
      </w:tblGrid>
      <w:tr w:rsidR="003B4FCF" w:rsidRPr="003B4FCF" w:rsidTr="00004824">
        <w:trPr>
          <w:cantSplit/>
          <w:trHeight w:val="397"/>
          <w:jc w:val="center"/>
        </w:trPr>
        <w:tc>
          <w:tcPr>
            <w:tcW w:w="1508" w:type="dxa"/>
            <w:tcBorders>
              <w:top w:val="single" w:sz="4" w:space="0" w:color="auto"/>
              <w:left w:val="nil"/>
              <w:bottom w:val="single" w:sz="4" w:space="0" w:color="auto"/>
              <w:right w:val="single" w:sz="4" w:space="0" w:color="auto"/>
            </w:tcBorders>
          </w:tcPr>
          <w:p w:rsidR="003B4FCF" w:rsidRPr="003B4FCF" w:rsidRDefault="003B4FCF" w:rsidP="00004824">
            <w:pPr>
              <w:keepNext/>
              <w:rPr>
                <w:sz w:val="18"/>
                <w:lang w:val="fr-FR"/>
              </w:rPr>
            </w:pPr>
            <w:r w:rsidRPr="003B4FCF">
              <w:rPr>
                <w:sz w:val="18"/>
                <w:lang w:val="fr-FR"/>
              </w:rPr>
              <w:t>Principes directeurs d’examen</w:t>
            </w:r>
          </w:p>
        </w:tc>
        <w:tc>
          <w:tcPr>
            <w:tcW w:w="1786" w:type="dxa"/>
            <w:tcBorders>
              <w:top w:val="single" w:sz="4" w:space="0" w:color="auto"/>
              <w:left w:val="single" w:sz="4" w:space="0" w:color="auto"/>
              <w:bottom w:val="single" w:sz="4" w:space="0" w:color="auto"/>
              <w:right w:val="single" w:sz="4" w:space="0" w:color="auto"/>
            </w:tcBorders>
            <w:hideMark/>
          </w:tcPr>
          <w:p w:rsidR="003B4FCF" w:rsidRPr="003B4FCF" w:rsidRDefault="003B4FCF" w:rsidP="00004824">
            <w:pPr>
              <w:keepNext/>
              <w:rPr>
                <w:sz w:val="18"/>
                <w:lang w:val="fr-FR"/>
              </w:rPr>
            </w:pPr>
            <w:r w:rsidRPr="003B4FCF">
              <w:rPr>
                <w:sz w:val="18"/>
                <w:lang w:val="fr-FR"/>
              </w:rPr>
              <w:t>Campanule (TG/305/1)</w:t>
            </w:r>
          </w:p>
        </w:tc>
        <w:tc>
          <w:tcPr>
            <w:tcW w:w="2002" w:type="dxa"/>
            <w:tcBorders>
              <w:top w:val="single" w:sz="4" w:space="0" w:color="auto"/>
              <w:left w:val="single" w:sz="4" w:space="0" w:color="auto"/>
              <w:bottom w:val="single" w:sz="4" w:space="0" w:color="auto"/>
              <w:right w:val="single" w:sz="4" w:space="0" w:color="auto"/>
            </w:tcBorders>
            <w:hideMark/>
          </w:tcPr>
          <w:p w:rsidR="003B4FCF" w:rsidRPr="003B4FCF" w:rsidRDefault="003B4FCF" w:rsidP="00004824">
            <w:pPr>
              <w:keepNext/>
              <w:rPr>
                <w:sz w:val="18"/>
                <w:lang w:val="fr-FR"/>
              </w:rPr>
            </w:pPr>
            <w:r w:rsidRPr="003B4FCF">
              <w:rPr>
                <w:sz w:val="18"/>
                <w:lang w:val="fr-FR"/>
              </w:rPr>
              <w:t>Funkia (TG/299/1)</w:t>
            </w:r>
          </w:p>
        </w:tc>
        <w:tc>
          <w:tcPr>
            <w:tcW w:w="1741" w:type="dxa"/>
            <w:tcBorders>
              <w:top w:val="single" w:sz="4" w:space="0" w:color="auto"/>
              <w:left w:val="single" w:sz="4" w:space="0" w:color="auto"/>
              <w:bottom w:val="single" w:sz="4" w:space="0" w:color="auto"/>
              <w:right w:val="single" w:sz="4" w:space="0" w:color="auto"/>
            </w:tcBorders>
            <w:hideMark/>
          </w:tcPr>
          <w:p w:rsidR="003B4FCF" w:rsidRPr="003B4FCF" w:rsidRDefault="003B4FCF" w:rsidP="00004824">
            <w:pPr>
              <w:keepNext/>
              <w:rPr>
                <w:sz w:val="18"/>
                <w:lang w:val="fr-FR"/>
              </w:rPr>
            </w:pPr>
            <w:r w:rsidRPr="003B4FCF">
              <w:rPr>
                <w:sz w:val="18"/>
                <w:lang w:val="fr-FR"/>
              </w:rPr>
              <w:t>Cordyline (TG/317/1)</w:t>
            </w:r>
          </w:p>
        </w:tc>
        <w:tc>
          <w:tcPr>
            <w:tcW w:w="1701" w:type="dxa"/>
            <w:tcBorders>
              <w:top w:val="single" w:sz="4" w:space="0" w:color="auto"/>
              <w:left w:val="single" w:sz="4" w:space="0" w:color="auto"/>
              <w:bottom w:val="single" w:sz="4" w:space="0" w:color="auto"/>
            </w:tcBorders>
            <w:hideMark/>
          </w:tcPr>
          <w:p w:rsidR="003B4FCF" w:rsidRPr="003B4FCF" w:rsidRDefault="003B4FCF" w:rsidP="00004824">
            <w:pPr>
              <w:keepNext/>
              <w:rPr>
                <w:sz w:val="18"/>
                <w:lang w:val="fr-FR"/>
              </w:rPr>
            </w:pPr>
            <w:r w:rsidRPr="003B4FCF">
              <w:rPr>
                <w:sz w:val="18"/>
                <w:lang w:val="fr-FR"/>
              </w:rPr>
              <w:t>Ostéospermum (TG/175/5)</w:t>
            </w:r>
          </w:p>
        </w:tc>
      </w:tr>
      <w:tr w:rsidR="003B4FCF" w:rsidRPr="003B4FCF" w:rsidTr="00004824">
        <w:trPr>
          <w:cantSplit/>
          <w:jc w:val="center"/>
        </w:trPr>
        <w:tc>
          <w:tcPr>
            <w:tcW w:w="1508" w:type="dxa"/>
            <w:tcBorders>
              <w:top w:val="nil"/>
              <w:left w:val="nil"/>
              <w:bottom w:val="single" w:sz="4" w:space="0" w:color="auto"/>
              <w:right w:val="single" w:sz="4" w:space="0" w:color="auto"/>
            </w:tcBorders>
          </w:tcPr>
          <w:p w:rsidR="003B4FCF" w:rsidRPr="003B4FCF" w:rsidRDefault="003B4FCF" w:rsidP="00004824">
            <w:pPr>
              <w:keepNext/>
              <w:jc w:val="left"/>
              <w:rPr>
                <w:sz w:val="18"/>
                <w:lang w:val="fr-FR"/>
              </w:rPr>
            </w:pPr>
            <w:r w:rsidRPr="003B4FCF">
              <w:rPr>
                <w:sz w:val="18"/>
                <w:lang w:val="fr-FR"/>
              </w:rPr>
              <w:t>Caractère</w:t>
            </w:r>
          </w:p>
        </w:tc>
        <w:tc>
          <w:tcPr>
            <w:tcW w:w="1786" w:type="dxa"/>
            <w:tcBorders>
              <w:top w:val="nil"/>
              <w:left w:val="single" w:sz="4" w:space="0" w:color="auto"/>
              <w:bottom w:val="single" w:sz="4" w:space="0" w:color="auto"/>
              <w:right w:val="single" w:sz="4" w:space="0" w:color="auto"/>
            </w:tcBorders>
            <w:hideMark/>
          </w:tcPr>
          <w:p w:rsidR="003B4FCF" w:rsidRPr="003B4FCF" w:rsidRDefault="003B4FCF" w:rsidP="00004824">
            <w:pPr>
              <w:keepNext/>
              <w:jc w:val="left"/>
              <w:rPr>
                <w:sz w:val="18"/>
                <w:lang w:val="fr-FR"/>
              </w:rPr>
            </w:pPr>
            <w:r w:rsidRPr="003B4FCF">
              <w:rPr>
                <w:sz w:val="18"/>
                <w:lang w:val="fr-FR"/>
              </w:rPr>
              <w:t>Corolle : couleur principale de la face interne</w:t>
            </w:r>
          </w:p>
        </w:tc>
        <w:tc>
          <w:tcPr>
            <w:tcW w:w="2002" w:type="dxa"/>
            <w:tcBorders>
              <w:top w:val="nil"/>
              <w:left w:val="single" w:sz="4" w:space="0" w:color="auto"/>
              <w:bottom w:val="single" w:sz="4" w:space="0" w:color="auto"/>
              <w:right w:val="single" w:sz="4" w:space="0" w:color="auto"/>
            </w:tcBorders>
            <w:hideMark/>
          </w:tcPr>
          <w:p w:rsidR="003B4FCF" w:rsidRPr="003B4FCF" w:rsidRDefault="003B4FCF" w:rsidP="00004824">
            <w:pPr>
              <w:keepNext/>
              <w:jc w:val="left"/>
              <w:rPr>
                <w:sz w:val="18"/>
                <w:lang w:val="fr-FR"/>
              </w:rPr>
            </w:pPr>
            <w:r w:rsidRPr="003B4FCF">
              <w:rPr>
                <w:sz w:val="18"/>
                <w:lang w:val="fr-FR"/>
              </w:rPr>
              <w:t>Limbe : couleur qui occupe la surface la plus grande</w:t>
            </w:r>
          </w:p>
        </w:tc>
        <w:tc>
          <w:tcPr>
            <w:tcW w:w="1741" w:type="dxa"/>
            <w:tcBorders>
              <w:top w:val="nil"/>
              <w:left w:val="single" w:sz="4" w:space="0" w:color="auto"/>
              <w:bottom w:val="single" w:sz="4" w:space="0" w:color="auto"/>
              <w:right w:val="single" w:sz="4" w:space="0" w:color="auto"/>
            </w:tcBorders>
            <w:hideMark/>
          </w:tcPr>
          <w:p w:rsidR="003B4FCF" w:rsidRPr="003B4FCF" w:rsidRDefault="003B4FCF" w:rsidP="00004824">
            <w:pPr>
              <w:keepNext/>
              <w:jc w:val="left"/>
              <w:rPr>
                <w:sz w:val="18"/>
                <w:lang w:val="fr-FR"/>
              </w:rPr>
            </w:pPr>
            <w:r w:rsidRPr="003B4FCF">
              <w:rPr>
                <w:sz w:val="18"/>
                <w:lang w:val="fr-FR"/>
              </w:rPr>
              <w:t>Feuille : couleur secondaire</w:t>
            </w:r>
          </w:p>
        </w:tc>
        <w:tc>
          <w:tcPr>
            <w:tcW w:w="1701" w:type="dxa"/>
            <w:tcBorders>
              <w:top w:val="nil"/>
              <w:left w:val="single" w:sz="4" w:space="0" w:color="auto"/>
              <w:bottom w:val="single" w:sz="4" w:space="0" w:color="auto"/>
            </w:tcBorders>
            <w:hideMark/>
          </w:tcPr>
          <w:p w:rsidR="003B4FCF" w:rsidRPr="003B4FCF" w:rsidRDefault="003B4FCF" w:rsidP="00004824">
            <w:pPr>
              <w:keepNext/>
              <w:jc w:val="left"/>
              <w:rPr>
                <w:sz w:val="18"/>
                <w:lang w:val="fr-FR"/>
              </w:rPr>
            </w:pPr>
            <w:r w:rsidRPr="003B4FCF">
              <w:rPr>
                <w:sz w:val="18"/>
                <w:lang w:val="fr-FR"/>
              </w:rPr>
              <w:t>Fleur ligulée : couleur principale de la partie médiane</w:t>
            </w:r>
          </w:p>
        </w:tc>
      </w:tr>
      <w:tr w:rsidR="003B4FCF" w:rsidRPr="003B4FCF" w:rsidTr="00004824">
        <w:trPr>
          <w:cantSplit/>
          <w:jc w:val="center"/>
        </w:trPr>
        <w:tc>
          <w:tcPr>
            <w:tcW w:w="1508" w:type="dxa"/>
            <w:vMerge w:val="restart"/>
            <w:tcBorders>
              <w:top w:val="nil"/>
              <w:left w:val="nil"/>
              <w:right w:val="single" w:sz="4" w:space="0" w:color="auto"/>
            </w:tcBorders>
            <w:hideMark/>
          </w:tcPr>
          <w:p w:rsidR="003B4FCF" w:rsidRPr="003B4FCF" w:rsidRDefault="003B4FCF" w:rsidP="00004824">
            <w:pPr>
              <w:keepNext/>
              <w:jc w:val="left"/>
              <w:rPr>
                <w:sz w:val="18"/>
                <w:lang w:val="fr-FR"/>
              </w:rPr>
            </w:pPr>
            <w:r w:rsidRPr="003B4FCF">
              <w:rPr>
                <w:sz w:val="18"/>
                <w:lang w:val="fr-FR"/>
              </w:rPr>
              <w:t>Groupes de couleurs aux fins du groupement des variétés</w:t>
            </w:r>
          </w:p>
        </w:tc>
        <w:tc>
          <w:tcPr>
            <w:tcW w:w="1786" w:type="dxa"/>
            <w:tcBorders>
              <w:top w:val="nil"/>
              <w:left w:val="single" w:sz="4" w:space="0" w:color="auto"/>
              <w:bottom w:val="nil"/>
              <w:right w:val="single" w:sz="4" w:space="0" w:color="auto"/>
            </w:tcBorders>
            <w:hideMark/>
          </w:tcPr>
          <w:p w:rsidR="003B4FCF" w:rsidRPr="003B4FCF" w:rsidRDefault="003B4FCF" w:rsidP="00004824">
            <w:pPr>
              <w:keepNext/>
              <w:rPr>
                <w:sz w:val="18"/>
                <w:lang w:val="fr-FR"/>
              </w:rPr>
            </w:pPr>
            <w:r w:rsidRPr="003B4FCF">
              <w:rPr>
                <w:sz w:val="18"/>
                <w:lang w:val="fr-FR"/>
              </w:rPr>
              <w:t>blanc</w:t>
            </w:r>
          </w:p>
        </w:tc>
        <w:tc>
          <w:tcPr>
            <w:tcW w:w="2002" w:type="dxa"/>
            <w:tcBorders>
              <w:top w:val="nil"/>
              <w:left w:val="single" w:sz="4" w:space="0" w:color="auto"/>
              <w:bottom w:val="nil"/>
              <w:right w:val="single" w:sz="4" w:space="0" w:color="auto"/>
            </w:tcBorders>
            <w:hideMark/>
          </w:tcPr>
          <w:p w:rsidR="003B4FCF" w:rsidRPr="003B4FCF" w:rsidRDefault="003B4FCF" w:rsidP="00004824">
            <w:pPr>
              <w:keepNext/>
              <w:rPr>
                <w:sz w:val="18"/>
                <w:lang w:val="fr-FR"/>
              </w:rPr>
            </w:pPr>
            <w:r w:rsidRPr="003B4FCF">
              <w:rPr>
                <w:sz w:val="18"/>
                <w:lang w:val="fr-FR"/>
              </w:rPr>
              <w:t>blanc</w:t>
            </w:r>
          </w:p>
        </w:tc>
        <w:tc>
          <w:tcPr>
            <w:tcW w:w="1741" w:type="dxa"/>
            <w:tcBorders>
              <w:top w:val="nil"/>
              <w:left w:val="single" w:sz="4" w:space="0" w:color="auto"/>
              <w:bottom w:val="nil"/>
              <w:right w:val="single" w:sz="4" w:space="0" w:color="auto"/>
            </w:tcBorders>
            <w:hideMark/>
          </w:tcPr>
          <w:p w:rsidR="003B4FCF" w:rsidRPr="003B4FCF" w:rsidRDefault="003B4FCF" w:rsidP="00004824">
            <w:pPr>
              <w:keepNext/>
              <w:rPr>
                <w:sz w:val="18"/>
                <w:lang w:val="fr-FR"/>
              </w:rPr>
            </w:pPr>
            <w:r w:rsidRPr="003B4FCF">
              <w:rPr>
                <w:sz w:val="18"/>
                <w:lang w:val="fr-FR"/>
              </w:rPr>
              <w:t>blanc</w:t>
            </w:r>
          </w:p>
        </w:tc>
        <w:tc>
          <w:tcPr>
            <w:tcW w:w="1701" w:type="dxa"/>
            <w:tcBorders>
              <w:top w:val="nil"/>
              <w:left w:val="single" w:sz="4" w:space="0" w:color="auto"/>
              <w:bottom w:val="nil"/>
            </w:tcBorders>
            <w:hideMark/>
          </w:tcPr>
          <w:p w:rsidR="003B4FCF" w:rsidRPr="003B4FCF" w:rsidRDefault="003B4FCF" w:rsidP="00004824">
            <w:pPr>
              <w:keepNext/>
              <w:rPr>
                <w:sz w:val="18"/>
                <w:lang w:val="fr-FR"/>
              </w:rPr>
            </w:pPr>
            <w:r w:rsidRPr="003B4FCF">
              <w:rPr>
                <w:sz w:val="18"/>
                <w:lang w:val="fr-FR"/>
              </w:rPr>
              <w:t>blanc</w:t>
            </w:r>
          </w:p>
        </w:tc>
      </w:tr>
      <w:tr w:rsidR="003B4FCF" w:rsidRPr="003B4FCF" w:rsidTr="00004824">
        <w:trPr>
          <w:cantSplit/>
          <w:jc w:val="center"/>
        </w:trPr>
        <w:tc>
          <w:tcPr>
            <w:tcW w:w="1508" w:type="dxa"/>
            <w:vMerge/>
            <w:tcBorders>
              <w:left w:val="nil"/>
              <w:bottom w:val="nil"/>
              <w:right w:val="single" w:sz="4" w:space="0" w:color="auto"/>
            </w:tcBorders>
            <w:hideMark/>
          </w:tcPr>
          <w:p w:rsidR="003B4FCF" w:rsidRPr="003B4FCF" w:rsidRDefault="003B4FCF" w:rsidP="00004824">
            <w:pPr>
              <w:keepNext/>
              <w:rPr>
                <w:sz w:val="18"/>
                <w:lang w:val="fr-FR"/>
              </w:rPr>
            </w:pPr>
          </w:p>
        </w:tc>
        <w:tc>
          <w:tcPr>
            <w:tcW w:w="1786" w:type="dxa"/>
            <w:tcBorders>
              <w:top w:val="nil"/>
              <w:left w:val="single" w:sz="4" w:space="0" w:color="auto"/>
              <w:bottom w:val="nil"/>
              <w:right w:val="single" w:sz="4" w:space="0" w:color="auto"/>
            </w:tcBorders>
            <w:hideMark/>
          </w:tcPr>
          <w:p w:rsidR="003B4FCF" w:rsidRPr="003B4FCF" w:rsidRDefault="003B4FCF" w:rsidP="00004824">
            <w:pPr>
              <w:keepNext/>
              <w:rPr>
                <w:sz w:val="18"/>
                <w:lang w:val="fr-FR"/>
              </w:rPr>
            </w:pPr>
            <w:r w:rsidRPr="003B4FCF">
              <w:rPr>
                <w:sz w:val="18"/>
                <w:lang w:val="fr-FR"/>
              </w:rPr>
              <w:t>rose</w:t>
            </w:r>
          </w:p>
        </w:tc>
        <w:tc>
          <w:tcPr>
            <w:tcW w:w="2002" w:type="dxa"/>
            <w:tcBorders>
              <w:top w:val="nil"/>
              <w:left w:val="single" w:sz="4" w:space="0" w:color="auto"/>
              <w:bottom w:val="nil"/>
              <w:right w:val="single" w:sz="4" w:space="0" w:color="auto"/>
            </w:tcBorders>
            <w:hideMark/>
          </w:tcPr>
          <w:p w:rsidR="003B4FCF" w:rsidRPr="003B4FCF" w:rsidRDefault="003B4FCF" w:rsidP="00004824">
            <w:pPr>
              <w:keepNext/>
              <w:rPr>
                <w:sz w:val="18"/>
                <w:lang w:val="fr-FR"/>
              </w:rPr>
            </w:pPr>
            <w:r w:rsidRPr="003B4FCF">
              <w:rPr>
                <w:sz w:val="18"/>
                <w:lang w:val="fr-FR"/>
              </w:rPr>
              <w:t>jaune clair</w:t>
            </w:r>
          </w:p>
        </w:tc>
        <w:tc>
          <w:tcPr>
            <w:tcW w:w="1741" w:type="dxa"/>
            <w:tcBorders>
              <w:top w:val="nil"/>
              <w:left w:val="single" w:sz="4" w:space="0" w:color="auto"/>
              <w:bottom w:val="nil"/>
              <w:right w:val="single" w:sz="4" w:space="0" w:color="auto"/>
            </w:tcBorders>
            <w:hideMark/>
          </w:tcPr>
          <w:p w:rsidR="003B4FCF" w:rsidRPr="003B4FCF" w:rsidRDefault="003B4FCF" w:rsidP="00004824">
            <w:pPr>
              <w:keepNext/>
              <w:rPr>
                <w:sz w:val="18"/>
                <w:lang w:val="fr-FR"/>
              </w:rPr>
            </w:pPr>
            <w:r w:rsidRPr="003B4FCF">
              <w:rPr>
                <w:sz w:val="18"/>
                <w:lang w:val="fr-FR"/>
              </w:rPr>
              <w:t>jaune</w:t>
            </w:r>
          </w:p>
        </w:tc>
        <w:tc>
          <w:tcPr>
            <w:tcW w:w="1701" w:type="dxa"/>
            <w:tcBorders>
              <w:top w:val="nil"/>
              <w:left w:val="single" w:sz="4" w:space="0" w:color="auto"/>
              <w:bottom w:val="nil"/>
            </w:tcBorders>
            <w:hideMark/>
          </w:tcPr>
          <w:p w:rsidR="003B4FCF" w:rsidRPr="003B4FCF" w:rsidRDefault="003B4FCF" w:rsidP="00004824">
            <w:pPr>
              <w:keepNext/>
              <w:rPr>
                <w:sz w:val="18"/>
                <w:lang w:val="fr-FR"/>
              </w:rPr>
            </w:pPr>
            <w:r w:rsidRPr="003B4FCF">
              <w:rPr>
                <w:sz w:val="18"/>
                <w:lang w:val="fr-FR"/>
              </w:rPr>
              <w:t>jaune</w:t>
            </w:r>
          </w:p>
        </w:tc>
      </w:tr>
      <w:tr w:rsidR="003B4FCF" w:rsidRPr="003B4FCF" w:rsidTr="00004824">
        <w:trPr>
          <w:cantSplit/>
          <w:jc w:val="center"/>
        </w:trPr>
        <w:tc>
          <w:tcPr>
            <w:tcW w:w="1508" w:type="dxa"/>
            <w:tcBorders>
              <w:top w:val="nil"/>
              <w:left w:val="nil"/>
              <w:bottom w:val="nil"/>
              <w:right w:val="single" w:sz="4" w:space="0" w:color="auto"/>
            </w:tcBorders>
          </w:tcPr>
          <w:p w:rsidR="003B4FCF" w:rsidRPr="003B4FCF" w:rsidRDefault="003B4FCF" w:rsidP="00004824">
            <w:pPr>
              <w:keepNext/>
              <w:rPr>
                <w:sz w:val="18"/>
                <w:lang w:val="fr-FR"/>
              </w:rPr>
            </w:pPr>
          </w:p>
        </w:tc>
        <w:tc>
          <w:tcPr>
            <w:tcW w:w="1786" w:type="dxa"/>
            <w:tcBorders>
              <w:top w:val="nil"/>
              <w:left w:val="single" w:sz="4" w:space="0" w:color="auto"/>
              <w:bottom w:val="nil"/>
              <w:right w:val="single" w:sz="4" w:space="0" w:color="auto"/>
            </w:tcBorders>
            <w:hideMark/>
          </w:tcPr>
          <w:p w:rsidR="003B4FCF" w:rsidRPr="003B4FCF" w:rsidRDefault="003B4FCF" w:rsidP="00004824">
            <w:pPr>
              <w:keepNext/>
              <w:rPr>
                <w:sz w:val="18"/>
                <w:lang w:val="fr-FR"/>
              </w:rPr>
            </w:pPr>
            <w:r w:rsidRPr="003B4FCF">
              <w:rPr>
                <w:sz w:val="18"/>
                <w:lang w:val="fr-FR"/>
              </w:rPr>
              <w:t>pourpre-rouge</w:t>
            </w:r>
          </w:p>
        </w:tc>
        <w:tc>
          <w:tcPr>
            <w:tcW w:w="2002" w:type="dxa"/>
            <w:tcBorders>
              <w:top w:val="nil"/>
              <w:left w:val="single" w:sz="4" w:space="0" w:color="auto"/>
              <w:bottom w:val="nil"/>
              <w:right w:val="single" w:sz="4" w:space="0" w:color="auto"/>
            </w:tcBorders>
            <w:hideMark/>
          </w:tcPr>
          <w:p w:rsidR="003B4FCF" w:rsidRPr="003B4FCF" w:rsidRDefault="003B4FCF" w:rsidP="00004824">
            <w:pPr>
              <w:keepNext/>
              <w:rPr>
                <w:sz w:val="18"/>
                <w:lang w:val="fr-FR"/>
              </w:rPr>
            </w:pPr>
            <w:r w:rsidRPr="003B4FCF">
              <w:rPr>
                <w:sz w:val="18"/>
                <w:lang w:val="fr-FR"/>
              </w:rPr>
              <w:t>jaune moyen</w:t>
            </w:r>
          </w:p>
        </w:tc>
        <w:tc>
          <w:tcPr>
            <w:tcW w:w="1741" w:type="dxa"/>
            <w:tcBorders>
              <w:top w:val="nil"/>
              <w:left w:val="single" w:sz="4" w:space="0" w:color="auto"/>
              <w:bottom w:val="nil"/>
              <w:right w:val="single" w:sz="4" w:space="0" w:color="auto"/>
            </w:tcBorders>
            <w:hideMark/>
          </w:tcPr>
          <w:p w:rsidR="003B4FCF" w:rsidRPr="003B4FCF" w:rsidRDefault="003B4FCF" w:rsidP="00004824">
            <w:pPr>
              <w:keepNext/>
              <w:rPr>
                <w:sz w:val="18"/>
                <w:lang w:val="fr-FR"/>
              </w:rPr>
            </w:pPr>
            <w:r w:rsidRPr="003B4FCF">
              <w:rPr>
                <w:sz w:val="18"/>
                <w:lang w:val="fr-FR"/>
              </w:rPr>
              <w:t>vert</w:t>
            </w:r>
          </w:p>
        </w:tc>
        <w:tc>
          <w:tcPr>
            <w:tcW w:w="1701" w:type="dxa"/>
            <w:tcBorders>
              <w:top w:val="nil"/>
              <w:left w:val="single" w:sz="4" w:space="0" w:color="auto"/>
              <w:bottom w:val="nil"/>
            </w:tcBorders>
            <w:hideMark/>
          </w:tcPr>
          <w:p w:rsidR="003B4FCF" w:rsidRPr="003B4FCF" w:rsidRDefault="003B4FCF" w:rsidP="00004824">
            <w:pPr>
              <w:keepNext/>
              <w:rPr>
                <w:sz w:val="18"/>
                <w:lang w:val="fr-FR"/>
              </w:rPr>
            </w:pPr>
            <w:r w:rsidRPr="003B4FCF">
              <w:rPr>
                <w:sz w:val="18"/>
                <w:lang w:val="fr-FR"/>
              </w:rPr>
              <w:t>orange</w:t>
            </w:r>
          </w:p>
        </w:tc>
      </w:tr>
      <w:tr w:rsidR="003B4FCF" w:rsidRPr="003B4FCF" w:rsidTr="00004824">
        <w:trPr>
          <w:cantSplit/>
          <w:jc w:val="center"/>
        </w:trPr>
        <w:tc>
          <w:tcPr>
            <w:tcW w:w="1508" w:type="dxa"/>
            <w:tcBorders>
              <w:top w:val="nil"/>
              <w:left w:val="nil"/>
              <w:bottom w:val="nil"/>
              <w:right w:val="single" w:sz="4" w:space="0" w:color="auto"/>
            </w:tcBorders>
          </w:tcPr>
          <w:p w:rsidR="003B4FCF" w:rsidRPr="003B4FCF" w:rsidRDefault="003B4FCF" w:rsidP="00004824">
            <w:pPr>
              <w:keepNext/>
              <w:rPr>
                <w:sz w:val="18"/>
                <w:lang w:val="fr-FR"/>
              </w:rPr>
            </w:pPr>
          </w:p>
        </w:tc>
        <w:tc>
          <w:tcPr>
            <w:tcW w:w="1786" w:type="dxa"/>
            <w:tcBorders>
              <w:top w:val="nil"/>
              <w:left w:val="single" w:sz="4" w:space="0" w:color="auto"/>
              <w:bottom w:val="nil"/>
              <w:right w:val="single" w:sz="4" w:space="0" w:color="auto"/>
            </w:tcBorders>
            <w:hideMark/>
          </w:tcPr>
          <w:p w:rsidR="003B4FCF" w:rsidRPr="003B4FCF" w:rsidRDefault="003B4FCF" w:rsidP="00004824">
            <w:pPr>
              <w:keepNext/>
              <w:rPr>
                <w:sz w:val="18"/>
                <w:lang w:val="fr-FR"/>
              </w:rPr>
            </w:pPr>
            <w:r w:rsidRPr="003B4FCF">
              <w:rPr>
                <w:sz w:val="18"/>
                <w:lang w:val="fr-FR"/>
              </w:rPr>
              <w:t>pourpre</w:t>
            </w:r>
          </w:p>
        </w:tc>
        <w:tc>
          <w:tcPr>
            <w:tcW w:w="2002" w:type="dxa"/>
            <w:tcBorders>
              <w:top w:val="nil"/>
              <w:left w:val="single" w:sz="4" w:space="0" w:color="auto"/>
              <w:bottom w:val="nil"/>
              <w:right w:val="single" w:sz="4" w:space="0" w:color="auto"/>
            </w:tcBorders>
            <w:hideMark/>
          </w:tcPr>
          <w:p w:rsidR="003B4FCF" w:rsidRPr="003B4FCF" w:rsidRDefault="003B4FCF" w:rsidP="00004824">
            <w:pPr>
              <w:keepNext/>
              <w:rPr>
                <w:sz w:val="18"/>
                <w:lang w:val="fr-FR"/>
              </w:rPr>
            </w:pPr>
            <w:r w:rsidRPr="003B4FCF">
              <w:rPr>
                <w:sz w:val="18"/>
                <w:lang w:val="fr-FR"/>
              </w:rPr>
              <w:t>jaune foncé</w:t>
            </w:r>
          </w:p>
        </w:tc>
        <w:tc>
          <w:tcPr>
            <w:tcW w:w="1741" w:type="dxa"/>
            <w:tcBorders>
              <w:top w:val="nil"/>
              <w:left w:val="single" w:sz="4" w:space="0" w:color="auto"/>
              <w:bottom w:val="nil"/>
              <w:right w:val="single" w:sz="4" w:space="0" w:color="auto"/>
            </w:tcBorders>
            <w:hideMark/>
          </w:tcPr>
          <w:p w:rsidR="003B4FCF" w:rsidRPr="003B4FCF" w:rsidRDefault="003B4FCF" w:rsidP="00004824">
            <w:pPr>
              <w:keepNext/>
              <w:rPr>
                <w:sz w:val="18"/>
                <w:lang w:val="fr-FR"/>
              </w:rPr>
            </w:pPr>
            <w:r w:rsidRPr="003B4FCF">
              <w:rPr>
                <w:sz w:val="18"/>
                <w:lang w:val="fr-FR"/>
              </w:rPr>
              <w:t>rouge</w:t>
            </w:r>
          </w:p>
        </w:tc>
        <w:tc>
          <w:tcPr>
            <w:tcW w:w="1701" w:type="dxa"/>
            <w:tcBorders>
              <w:top w:val="nil"/>
              <w:left w:val="single" w:sz="4" w:space="0" w:color="auto"/>
              <w:bottom w:val="nil"/>
            </w:tcBorders>
            <w:hideMark/>
          </w:tcPr>
          <w:p w:rsidR="003B4FCF" w:rsidRPr="003B4FCF" w:rsidRDefault="003B4FCF" w:rsidP="00004824">
            <w:pPr>
              <w:keepNext/>
              <w:rPr>
                <w:sz w:val="18"/>
                <w:lang w:val="fr-FR"/>
              </w:rPr>
            </w:pPr>
            <w:r w:rsidRPr="003B4FCF">
              <w:rPr>
                <w:sz w:val="18"/>
                <w:lang w:val="fr-FR"/>
              </w:rPr>
              <w:t>rose</w:t>
            </w:r>
          </w:p>
        </w:tc>
      </w:tr>
      <w:tr w:rsidR="003B4FCF" w:rsidRPr="003B4FCF" w:rsidTr="00004824">
        <w:trPr>
          <w:cantSplit/>
          <w:jc w:val="center"/>
        </w:trPr>
        <w:tc>
          <w:tcPr>
            <w:tcW w:w="1508" w:type="dxa"/>
            <w:tcBorders>
              <w:top w:val="nil"/>
              <w:left w:val="nil"/>
              <w:bottom w:val="nil"/>
              <w:right w:val="single" w:sz="4" w:space="0" w:color="auto"/>
            </w:tcBorders>
          </w:tcPr>
          <w:p w:rsidR="003B4FCF" w:rsidRPr="003B4FCF" w:rsidRDefault="003B4FCF" w:rsidP="00004824">
            <w:pPr>
              <w:keepNext/>
              <w:rPr>
                <w:sz w:val="18"/>
                <w:lang w:val="fr-FR"/>
              </w:rPr>
            </w:pPr>
          </w:p>
        </w:tc>
        <w:tc>
          <w:tcPr>
            <w:tcW w:w="1786" w:type="dxa"/>
            <w:tcBorders>
              <w:top w:val="nil"/>
              <w:left w:val="single" w:sz="4" w:space="0" w:color="auto"/>
              <w:bottom w:val="nil"/>
              <w:right w:val="single" w:sz="4" w:space="0" w:color="auto"/>
            </w:tcBorders>
            <w:hideMark/>
          </w:tcPr>
          <w:p w:rsidR="003B4FCF" w:rsidRPr="003B4FCF" w:rsidRDefault="003B4FCF" w:rsidP="00004824">
            <w:pPr>
              <w:keepNext/>
              <w:rPr>
                <w:sz w:val="18"/>
                <w:lang w:val="fr-FR"/>
              </w:rPr>
            </w:pPr>
            <w:r w:rsidRPr="003B4FCF">
              <w:rPr>
                <w:sz w:val="18"/>
                <w:lang w:val="fr-FR"/>
              </w:rPr>
              <w:t>bleu</w:t>
            </w:r>
          </w:p>
        </w:tc>
        <w:tc>
          <w:tcPr>
            <w:tcW w:w="2002" w:type="dxa"/>
            <w:tcBorders>
              <w:top w:val="nil"/>
              <w:left w:val="single" w:sz="4" w:space="0" w:color="auto"/>
              <w:bottom w:val="nil"/>
              <w:right w:val="single" w:sz="4" w:space="0" w:color="auto"/>
            </w:tcBorders>
            <w:hideMark/>
          </w:tcPr>
          <w:p w:rsidR="003B4FCF" w:rsidRPr="003B4FCF" w:rsidRDefault="003B4FCF" w:rsidP="00004824">
            <w:pPr>
              <w:keepNext/>
              <w:rPr>
                <w:sz w:val="18"/>
                <w:lang w:val="fr-FR"/>
              </w:rPr>
            </w:pPr>
            <w:r w:rsidRPr="003B4FCF">
              <w:rPr>
                <w:sz w:val="18"/>
                <w:lang w:val="fr-FR"/>
              </w:rPr>
              <w:t>vert clair</w:t>
            </w:r>
          </w:p>
        </w:tc>
        <w:tc>
          <w:tcPr>
            <w:tcW w:w="1741" w:type="dxa"/>
            <w:tcBorders>
              <w:top w:val="nil"/>
              <w:left w:val="single" w:sz="4" w:space="0" w:color="auto"/>
              <w:bottom w:val="nil"/>
              <w:right w:val="single" w:sz="4" w:space="0" w:color="auto"/>
            </w:tcBorders>
            <w:hideMark/>
          </w:tcPr>
          <w:p w:rsidR="003B4FCF" w:rsidRPr="003B4FCF" w:rsidRDefault="003B4FCF" w:rsidP="00004824">
            <w:pPr>
              <w:keepNext/>
              <w:rPr>
                <w:sz w:val="18"/>
                <w:lang w:val="fr-FR"/>
              </w:rPr>
            </w:pPr>
            <w:r w:rsidRPr="003B4FCF">
              <w:rPr>
                <w:sz w:val="18"/>
                <w:lang w:val="fr-FR"/>
              </w:rPr>
              <w:t>pourpre</w:t>
            </w:r>
          </w:p>
        </w:tc>
        <w:tc>
          <w:tcPr>
            <w:tcW w:w="1701" w:type="dxa"/>
            <w:tcBorders>
              <w:top w:val="nil"/>
              <w:left w:val="single" w:sz="4" w:space="0" w:color="auto"/>
              <w:bottom w:val="nil"/>
            </w:tcBorders>
            <w:hideMark/>
          </w:tcPr>
          <w:p w:rsidR="003B4FCF" w:rsidRPr="003B4FCF" w:rsidRDefault="003B4FCF" w:rsidP="00004824">
            <w:pPr>
              <w:keepNext/>
              <w:rPr>
                <w:sz w:val="18"/>
                <w:lang w:val="fr-FR"/>
              </w:rPr>
            </w:pPr>
            <w:r w:rsidRPr="003B4FCF">
              <w:rPr>
                <w:sz w:val="18"/>
                <w:lang w:val="fr-FR"/>
              </w:rPr>
              <w:t>rouge</w:t>
            </w:r>
          </w:p>
        </w:tc>
      </w:tr>
      <w:tr w:rsidR="003B4FCF" w:rsidRPr="003B4FCF" w:rsidTr="00004824">
        <w:trPr>
          <w:cantSplit/>
          <w:jc w:val="center"/>
        </w:trPr>
        <w:tc>
          <w:tcPr>
            <w:tcW w:w="1508" w:type="dxa"/>
            <w:tcBorders>
              <w:top w:val="nil"/>
              <w:left w:val="nil"/>
              <w:bottom w:val="nil"/>
              <w:right w:val="single" w:sz="4" w:space="0" w:color="auto"/>
            </w:tcBorders>
          </w:tcPr>
          <w:p w:rsidR="003B4FCF" w:rsidRPr="003B4FCF" w:rsidRDefault="003B4FCF" w:rsidP="00004824">
            <w:pPr>
              <w:keepNext/>
              <w:rPr>
                <w:sz w:val="18"/>
                <w:lang w:val="fr-FR"/>
              </w:rPr>
            </w:pPr>
          </w:p>
        </w:tc>
        <w:tc>
          <w:tcPr>
            <w:tcW w:w="1786" w:type="dxa"/>
            <w:tcBorders>
              <w:top w:val="nil"/>
              <w:left w:val="single" w:sz="4" w:space="0" w:color="auto"/>
              <w:bottom w:val="nil"/>
              <w:right w:val="single" w:sz="4" w:space="0" w:color="auto"/>
            </w:tcBorders>
          </w:tcPr>
          <w:p w:rsidR="003B4FCF" w:rsidRPr="003B4FCF" w:rsidRDefault="003B4FCF" w:rsidP="00004824">
            <w:pPr>
              <w:keepNext/>
              <w:rPr>
                <w:sz w:val="18"/>
                <w:lang w:val="fr-FR"/>
              </w:rPr>
            </w:pPr>
          </w:p>
        </w:tc>
        <w:tc>
          <w:tcPr>
            <w:tcW w:w="2002" w:type="dxa"/>
            <w:tcBorders>
              <w:top w:val="nil"/>
              <w:left w:val="single" w:sz="4" w:space="0" w:color="auto"/>
              <w:bottom w:val="nil"/>
              <w:right w:val="single" w:sz="4" w:space="0" w:color="auto"/>
            </w:tcBorders>
            <w:hideMark/>
          </w:tcPr>
          <w:p w:rsidR="003B4FCF" w:rsidRPr="003B4FCF" w:rsidRDefault="003B4FCF" w:rsidP="00004824">
            <w:pPr>
              <w:keepNext/>
              <w:rPr>
                <w:sz w:val="18"/>
                <w:lang w:val="fr-FR"/>
              </w:rPr>
            </w:pPr>
            <w:r w:rsidRPr="003B4FCF">
              <w:rPr>
                <w:sz w:val="18"/>
                <w:lang w:val="fr-FR"/>
              </w:rPr>
              <w:t>vert moyen</w:t>
            </w:r>
          </w:p>
        </w:tc>
        <w:tc>
          <w:tcPr>
            <w:tcW w:w="1741" w:type="dxa"/>
            <w:tcBorders>
              <w:top w:val="nil"/>
              <w:left w:val="single" w:sz="4" w:space="0" w:color="auto"/>
              <w:bottom w:val="nil"/>
              <w:right w:val="single" w:sz="4" w:space="0" w:color="auto"/>
            </w:tcBorders>
            <w:hideMark/>
          </w:tcPr>
          <w:p w:rsidR="003B4FCF" w:rsidRPr="003B4FCF" w:rsidRDefault="003B4FCF" w:rsidP="00004824">
            <w:pPr>
              <w:keepNext/>
              <w:rPr>
                <w:sz w:val="18"/>
                <w:lang w:val="fr-FR"/>
              </w:rPr>
            </w:pPr>
            <w:r w:rsidRPr="003B4FCF">
              <w:rPr>
                <w:sz w:val="18"/>
                <w:lang w:val="fr-FR"/>
              </w:rPr>
              <w:t>marron</w:t>
            </w:r>
          </w:p>
        </w:tc>
        <w:tc>
          <w:tcPr>
            <w:tcW w:w="1701" w:type="dxa"/>
            <w:tcBorders>
              <w:top w:val="nil"/>
              <w:left w:val="single" w:sz="4" w:space="0" w:color="auto"/>
              <w:bottom w:val="nil"/>
            </w:tcBorders>
            <w:hideMark/>
          </w:tcPr>
          <w:p w:rsidR="003B4FCF" w:rsidRPr="003B4FCF" w:rsidRDefault="003B4FCF" w:rsidP="00004824">
            <w:pPr>
              <w:keepNext/>
              <w:rPr>
                <w:sz w:val="18"/>
                <w:lang w:val="fr-FR"/>
              </w:rPr>
            </w:pPr>
            <w:r w:rsidRPr="003B4FCF">
              <w:rPr>
                <w:sz w:val="18"/>
                <w:lang w:val="fr-FR"/>
              </w:rPr>
              <w:t>pourpre</w:t>
            </w:r>
          </w:p>
        </w:tc>
      </w:tr>
      <w:tr w:rsidR="003B4FCF" w:rsidRPr="003B4FCF" w:rsidTr="00004824">
        <w:trPr>
          <w:cantSplit/>
          <w:jc w:val="center"/>
        </w:trPr>
        <w:tc>
          <w:tcPr>
            <w:tcW w:w="1508" w:type="dxa"/>
            <w:tcBorders>
              <w:top w:val="nil"/>
              <w:left w:val="nil"/>
              <w:bottom w:val="nil"/>
              <w:right w:val="single" w:sz="4" w:space="0" w:color="auto"/>
            </w:tcBorders>
          </w:tcPr>
          <w:p w:rsidR="003B4FCF" w:rsidRPr="003B4FCF" w:rsidRDefault="003B4FCF" w:rsidP="00004824">
            <w:pPr>
              <w:keepNext/>
              <w:rPr>
                <w:sz w:val="18"/>
                <w:lang w:val="fr-FR"/>
              </w:rPr>
            </w:pPr>
          </w:p>
        </w:tc>
        <w:tc>
          <w:tcPr>
            <w:tcW w:w="1786" w:type="dxa"/>
            <w:tcBorders>
              <w:top w:val="nil"/>
              <w:left w:val="single" w:sz="4" w:space="0" w:color="auto"/>
              <w:bottom w:val="nil"/>
              <w:right w:val="single" w:sz="4" w:space="0" w:color="auto"/>
            </w:tcBorders>
          </w:tcPr>
          <w:p w:rsidR="003B4FCF" w:rsidRPr="003B4FCF" w:rsidRDefault="003B4FCF" w:rsidP="00004824">
            <w:pPr>
              <w:keepNext/>
              <w:rPr>
                <w:sz w:val="18"/>
                <w:lang w:val="fr-FR"/>
              </w:rPr>
            </w:pPr>
          </w:p>
        </w:tc>
        <w:tc>
          <w:tcPr>
            <w:tcW w:w="2002" w:type="dxa"/>
            <w:tcBorders>
              <w:top w:val="nil"/>
              <w:left w:val="single" w:sz="4" w:space="0" w:color="auto"/>
              <w:bottom w:val="nil"/>
              <w:right w:val="single" w:sz="4" w:space="0" w:color="auto"/>
            </w:tcBorders>
            <w:hideMark/>
          </w:tcPr>
          <w:p w:rsidR="003B4FCF" w:rsidRPr="003B4FCF" w:rsidRDefault="003B4FCF" w:rsidP="00004824">
            <w:pPr>
              <w:keepNext/>
              <w:rPr>
                <w:sz w:val="18"/>
                <w:lang w:val="fr-FR"/>
              </w:rPr>
            </w:pPr>
            <w:r w:rsidRPr="003B4FCF">
              <w:rPr>
                <w:sz w:val="18"/>
                <w:lang w:val="fr-FR"/>
              </w:rPr>
              <w:t>vert foncé</w:t>
            </w:r>
          </w:p>
        </w:tc>
        <w:tc>
          <w:tcPr>
            <w:tcW w:w="1741" w:type="dxa"/>
            <w:tcBorders>
              <w:top w:val="nil"/>
              <w:left w:val="single" w:sz="4" w:space="0" w:color="auto"/>
              <w:bottom w:val="nil"/>
              <w:right w:val="single" w:sz="4" w:space="0" w:color="auto"/>
            </w:tcBorders>
            <w:hideMark/>
          </w:tcPr>
          <w:p w:rsidR="003B4FCF" w:rsidRPr="003B4FCF" w:rsidRDefault="003B4FCF" w:rsidP="00004824">
            <w:pPr>
              <w:keepNext/>
              <w:rPr>
                <w:sz w:val="18"/>
                <w:lang w:val="fr-FR"/>
              </w:rPr>
            </w:pPr>
            <w:r w:rsidRPr="003B4FCF">
              <w:rPr>
                <w:sz w:val="18"/>
                <w:lang w:val="fr-FR"/>
              </w:rPr>
              <w:t>noirâtre</w:t>
            </w:r>
          </w:p>
        </w:tc>
        <w:tc>
          <w:tcPr>
            <w:tcW w:w="1701" w:type="dxa"/>
            <w:tcBorders>
              <w:top w:val="nil"/>
              <w:left w:val="single" w:sz="4" w:space="0" w:color="auto"/>
              <w:bottom w:val="nil"/>
            </w:tcBorders>
            <w:hideMark/>
          </w:tcPr>
          <w:p w:rsidR="003B4FCF" w:rsidRPr="003B4FCF" w:rsidRDefault="003B4FCF" w:rsidP="00004824">
            <w:pPr>
              <w:keepNext/>
              <w:rPr>
                <w:sz w:val="18"/>
                <w:lang w:val="fr-FR"/>
              </w:rPr>
            </w:pPr>
            <w:r w:rsidRPr="003B4FCF">
              <w:rPr>
                <w:sz w:val="18"/>
                <w:lang w:val="fr-FR"/>
              </w:rPr>
              <w:t>violet</w:t>
            </w:r>
          </w:p>
        </w:tc>
      </w:tr>
      <w:tr w:rsidR="003B4FCF" w:rsidRPr="003B4FCF" w:rsidTr="00004824">
        <w:trPr>
          <w:cantSplit/>
          <w:jc w:val="center"/>
        </w:trPr>
        <w:tc>
          <w:tcPr>
            <w:tcW w:w="1508" w:type="dxa"/>
            <w:tcBorders>
              <w:top w:val="nil"/>
              <w:left w:val="nil"/>
              <w:bottom w:val="nil"/>
              <w:right w:val="single" w:sz="4" w:space="0" w:color="auto"/>
            </w:tcBorders>
          </w:tcPr>
          <w:p w:rsidR="003B4FCF" w:rsidRPr="003B4FCF" w:rsidRDefault="003B4FCF" w:rsidP="00004824">
            <w:pPr>
              <w:rPr>
                <w:sz w:val="18"/>
                <w:lang w:val="fr-FR"/>
              </w:rPr>
            </w:pPr>
          </w:p>
        </w:tc>
        <w:tc>
          <w:tcPr>
            <w:tcW w:w="1786" w:type="dxa"/>
            <w:tcBorders>
              <w:top w:val="nil"/>
              <w:left w:val="single" w:sz="4" w:space="0" w:color="auto"/>
              <w:bottom w:val="nil"/>
              <w:right w:val="single" w:sz="4" w:space="0" w:color="auto"/>
            </w:tcBorders>
          </w:tcPr>
          <w:p w:rsidR="003B4FCF" w:rsidRPr="003B4FCF" w:rsidRDefault="003B4FCF" w:rsidP="00004824">
            <w:pPr>
              <w:rPr>
                <w:sz w:val="18"/>
                <w:lang w:val="fr-FR"/>
              </w:rPr>
            </w:pPr>
          </w:p>
        </w:tc>
        <w:tc>
          <w:tcPr>
            <w:tcW w:w="2002" w:type="dxa"/>
            <w:tcBorders>
              <w:top w:val="nil"/>
              <w:left w:val="single" w:sz="4" w:space="0" w:color="auto"/>
              <w:bottom w:val="nil"/>
              <w:right w:val="single" w:sz="4" w:space="0" w:color="auto"/>
            </w:tcBorders>
            <w:hideMark/>
          </w:tcPr>
          <w:p w:rsidR="003B4FCF" w:rsidRPr="003B4FCF" w:rsidRDefault="003B4FCF" w:rsidP="00004824">
            <w:pPr>
              <w:rPr>
                <w:sz w:val="18"/>
                <w:lang w:val="fr-FR"/>
              </w:rPr>
            </w:pPr>
            <w:r w:rsidRPr="003B4FCF">
              <w:rPr>
                <w:sz w:val="18"/>
                <w:lang w:val="fr-FR"/>
              </w:rPr>
              <w:t>vert-bleu</w:t>
            </w:r>
          </w:p>
        </w:tc>
        <w:tc>
          <w:tcPr>
            <w:tcW w:w="1741" w:type="dxa"/>
            <w:tcBorders>
              <w:top w:val="nil"/>
              <w:left w:val="single" w:sz="4" w:space="0" w:color="auto"/>
              <w:bottom w:val="nil"/>
              <w:right w:val="single" w:sz="4" w:space="0" w:color="auto"/>
            </w:tcBorders>
          </w:tcPr>
          <w:p w:rsidR="003B4FCF" w:rsidRPr="003B4FCF" w:rsidRDefault="003B4FCF" w:rsidP="00004824">
            <w:pPr>
              <w:rPr>
                <w:sz w:val="18"/>
                <w:lang w:val="fr-FR"/>
              </w:rPr>
            </w:pPr>
          </w:p>
        </w:tc>
        <w:tc>
          <w:tcPr>
            <w:tcW w:w="1701" w:type="dxa"/>
            <w:tcBorders>
              <w:top w:val="nil"/>
              <w:left w:val="single" w:sz="4" w:space="0" w:color="auto"/>
              <w:bottom w:val="nil"/>
            </w:tcBorders>
          </w:tcPr>
          <w:p w:rsidR="003B4FCF" w:rsidRPr="003B4FCF" w:rsidRDefault="003B4FCF" w:rsidP="00004824">
            <w:pPr>
              <w:rPr>
                <w:sz w:val="18"/>
                <w:lang w:val="fr-FR"/>
              </w:rPr>
            </w:pPr>
          </w:p>
        </w:tc>
      </w:tr>
    </w:tbl>
    <w:p w:rsidR="003B4FCF" w:rsidRPr="003B4FCF" w:rsidRDefault="003B4FCF" w:rsidP="003B4FCF">
      <w:pPr>
        <w:rPr>
          <w:rFonts w:eastAsiaTheme="minorEastAsia" w:cs="Arial"/>
          <w:lang w:val="fr-FR"/>
        </w:rPr>
      </w:pPr>
    </w:p>
    <w:p w:rsidR="003B4FCF" w:rsidRPr="003B4FCF" w:rsidRDefault="003B4FCF" w:rsidP="003B4FCF">
      <w:pPr>
        <w:ind w:left="567" w:right="567"/>
        <w:rPr>
          <w:rFonts w:eastAsiaTheme="minorEastAsia" w:cs="Arial"/>
          <w:lang w:val="fr-FR"/>
        </w:rPr>
      </w:pPr>
      <w:r w:rsidRPr="003B4FCF">
        <w:rPr>
          <w:rFonts w:eastAsiaTheme="minorEastAsia" w:cs="Arial"/>
          <w:lang w:val="fr-FR"/>
        </w:rPr>
        <w:t>“Il y a lieu de souligner que tous les groupes ne sont pas nécessairement nettement distincts les uns des autres lorsque les renseignements utilisés ne proviennent pas de la même source (même site, même observateur) et qu’ils ne peuvent pas toujours être utilisés pour exclure des variétés de l’essai.  Par exemple, concernant le caractère ‘Feuille : couleur secondaire’ pour la cordyline, il peut être impossible de faire une distinction nette entre ‘brun’ et ‘noirâtre’ lorsqu’on examine des photographies sur Internet ou dans un catalogue de plantes”.</w:t>
      </w:r>
    </w:p>
    <w:p w:rsidR="003B4FCF" w:rsidRPr="003B4FCF" w:rsidRDefault="003B4FCF" w:rsidP="003B4FCF">
      <w:pPr>
        <w:jc w:val="left"/>
        <w:rPr>
          <w:lang w:val="fr-FR"/>
        </w:rPr>
      </w:pPr>
    </w:p>
    <w:p w:rsidR="00BD693E" w:rsidRPr="003B4FCF" w:rsidRDefault="00BD693E" w:rsidP="00BD693E">
      <w:pPr>
        <w:jc w:val="left"/>
        <w:rPr>
          <w:lang w:val="fr-FR"/>
        </w:rPr>
      </w:pPr>
    </w:p>
    <w:p w:rsidR="00BD693E" w:rsidRPr="003B4FCF" w:rsidRDefault="00BD693E" w:rsidP="00BD693E">
      <w:pPr>
        <w:jc w:val="left"/>
        <w:rPr>
          <w:lang w:val="fr-FR"/>
        </w:rPr>
      </w:pPr>
    </w:p>
    <w:p w:rsidR="00465412" w:rsidRPr="003B4FCF" w:rsidRDefault="00273B07" w:rsidP="00273B07">
      <w:pPr>
        <w:jc w:val="right"/>
        <w:rPr>
          <w:lang w:val="fr-FR"/>
        </w:rPr>
      </w:pPr>
      <w:r w:rsidRPr="003B4FCF">
        <w:rPr>
          <w:lang w:val="fr-FR"/>
        </w:rPr>
        <w:t>[</w:t>
      </w:r>
      <w:r w:rsidR="003C6261" w:rsidRPr="003B4FCF">
        <w:rPr>
          <w:lang w:val="fr-FR"/>
        </w:rPr>
        <w:t>L</w:t>
      </w:r>
      <w:r w:rsidR="005D3B5B" w:rsidRPr="003B4FCF">
        <w:rPr>
          <w:lang w:val="fr-FR"/>
        </w:rPr>
        <w:t>’</w:t>
      </w:r>
      <w:r w:rsidR="00067374" w:rsidRPr="003B4FCF">
        <w:rPr>
          <w:lang w:val="fr-FR"/>
        </w:rPr>
        <w:t>annexe V</w:t>
      </w:r>
      <w:r w:rsidRPr="003B4FCF">
        <w:rPr>
          <w:lang w:val="fr-FR"/>
        </w:rPr>
        <w:t xml:space="preserve"> </w:t>
      </w:r>
      <w:r w:rsidR="003C6261" w:rsidRPr="003B4FCF">
        <w:rPr>
          <w:lang w:val="fr-FR"/>
        </w:rPr>
        <w:t>suit</w:t>
      </w:r>
      <w:r w:rsidRPr="003B4FCF">
        <w:rPr>
          <w:lang w:val="fr-FR"/>
        </w:rPr>
        <w:t>]</w:t>
      </w:r>
    </w:p>
    <w:p w:rsidR="00465412" w:rsidRPr="003B4FCF" w:rsidRDefault="00465412" w:rsidP="00273B07">
      <w:pPr>
        <w:jc w:val="left"/>
        <w:rPr>
          <w:lang w:val="fr-FR"/>
        </w:rPr>
      </w:pPr>
    </w:p>
    <w:p w:rsidR="00273B07" w:rsidRPr="003B4FCF" w:rsidRDefault="00273B07" w:rsidP="00273B07">
      <w:pPr>
        <w:jc w:val="left"/>
        <w:rPr>
          <w:lang w:val="fr-FR"/>
        </w:rPr>
        <w:sectPr w:rsidR="00273B07" w:rsidRPr="003B4FCF" w:rsidSect="00273B07">
          <w:headerReference w:type="default" r:id="rId30"/>
          <w:headerReference w:type="first" r:id="rId31"/>
          <w:footnotePr>
            <w:numRestart w:val="eachSect"/>
          </w:footnotePr>
          <w:pgSz w:w="11907" w:h="16840" w:code="9"/>
          <w:pgMar w:top="510" w:right="1134" w:bottom="709" w:left="1134" w:header="510" w:footer="680" w:gutter="0"/>
          <w:pgNumType w:start="1"/>
          <w:cols w:space="720"/>
          <w:titlePg/>
        </w:sectPr>
      </w:pPr>
    </w:p>
    <w:p w:rsidR="003B4FCF" w:rsidRPr="003B4FCF" w:rsidRDefault="003B4FCF" w:rsidP="003B4FCF">
      <w:pPr>
        <w:ind w:left="-180" w:right="-171"/>
        <w:jc w:val="center"/>
        <w:rPr>
          <w:lang w:val="fr-FR"/>
        </w:rPr>
      </w:pPr>
      <w:r w:rsidRPr="003B4FCF">
        <w:rPr>
          <w:lang w:val="fr-FR"/>
        </w:rPr>
        <w:lastRenderedPageBreak/>
        <w:t xml:space="preserve">RÉVISIONS DU DOCUMENT TGP/15 </w:t>
      </w:r>
      <w:r w:rsidRPr="003B4FCF">
        <w:rPr>
          <w:lang w:val="fr-FR"/>
        </w:rPr>
        <w:br/>
        <w:t>“CONSEILS EN CE QUI CONCERNE L’UTILISATION DES MARQUEURS BIOCHIMIQUES ET MOLÉCULAIRES DANS L’EXAMEN DE LA DISTINCTION, DE L’HOMOGÉNÉITÉ ET DE LA STABILITÉ (DHS)”</w:t>
      </w:r>
    </w:p>
    <w:p w:rsidR="003B4FCF" w:rsidRPr="003B4FCF" w:rsidRDefault="003B4FCF" w:rsidP="003B4FCF">
      <w:pPr>
        <w:jc w:val="center"/>
        <w:rPr>
          <w:lang w:val="fr-FR"/>
        </w:rPr>
      </w:pPr>
      <w:r w:rsidRPr="003B4FCF">
        <w:rPr>
          <w:lang w:val="fr-FR"/>
        </w:rPr>
        <w:t>APPROUVÉES PAR LE COMITÉ TECHNIQUE À SA CINQUANTE-QUATRIÈME SESSION</w:t>
      </w:r>
      <w:r w:rsidRPr="003B4FCF">
        <w:rPr>
          <w:rStyle w:val="FootnoteReference"/>
          <w:lang w:val="fr-FR"/>
        </w:rPr>
        <w:footnoteReference w:id="23"/>
      </w:r>
    </w:p>
    <w:p w:rsidR="003B4FCF" w:rsidRPr="003B4FCF" w:rsidRDefault="003B4FCF" w:rsidP="003B4FCF">
      <w:pPr>
        <w:rPr>
          <w:lang w:val="fr-FR"/>
        </w:rPr>
      </w:pPr>
    </w:p>
    <w:p w:rsidR="003B4FCF" w:rsidRPr="003B4FCF" w:rsidRDefault="003B4FCF" w:rsidP="003B4FCF">
      <w:pPr>
        <w:rPr>
          <w:lang w:val="fr-FR"/>
        </w:rPr>
      </w:pPr>
    </w:p>
    <w:p w:rsidR="003B4FCF" w:rsidRPr="003B4FCF" w:rsidRDefault="003B4FCF" w:rsidP="003B4FCF">
      <w:pPr>
        <w:rPr>
          <w:u w:val="single"/>
          <w:lang w:val="fr-FR"/>
        </w:rPr>
      </w:pPr>
      <w:r w:rsidRPr="003B4FCF">
        <w:rPr>
          <w:u w:val="single"/>
          <w:lang w:val="fr-FR"/>
        </w:rPr>
        <w:t>Révision du modèle 1: nouveau texte sur la fiabilité du lien entre le gène et l’expression du caractère</w:t>
      </w:r>
    </w:p>
    <w:p w:rsidR="003B4FCF" w:rsidRPr="003B4FCF" w:rsidRDefault="003B4FCF" w:rsidP="003B4FCF">
      <w:pPr>
        <w:rPr>
          <w:lang w:val="fr-FR"/>
        </w:rPr>
      </w:pPr>
    </w:p>
    <w:p w:rsidR="003B4FCF" w:rsidRPr="003B4FCF" w:rsidRDefault="003B4FCF" w:rsidP="003B4FCF">
      <w:pPr>
        <w:rPr>
          <w:lang w:val="fr-FR"/>
        </w:rPr>
      </w:pPr>
      <w:r w:rsidRPr="003B4FCF">
        <w:rPr>
          <w:lang w:val="fr-FR"/>
        </w:rPr>
        <w:t>Suite aux propositions approuvées par le TC à sa cinquante-quatrième session, il est proposé d’inclure les phrases suivantes dans le document TGP/15:</w:t>
      </w:r>
    </w:p>
    <w:p w:rsidR="003B4FCF" w:rsidRPr="003B4FCF" w:rsidRDefault="003B4FCF" w:rsidP="003B4FCF">
      <w:pPr>
        <w:rPr>
          <w:lang w:val="fr-FR"/>
        </w:rPr>
      </w:pPr>
    </w:p>
    <w:p w:rsidR="003B4FCF" w:rsidRPr="003B4FCF" w:rsidRDefault="003B4FCF" w:rsidP="003B4FCF">
      <w:pPr>
        <w:tabs>
          <w:tab w:val="left" w:pos="1276"/>
        </w:tabs>
        <w:ind w:left="567"/>
        <w:rPr>
          <w:rFonts w:cs="Arial"/>
          <w:lang w:val="fr-FR"/>
        </w:rPr>
      </w:pPr>
      <w:r w:rsidRPr="003B4FCF">
        <w:rPr>
          <w:rFonts w:cs="Arial"/>
          <w:lang w:val="fr-FR"/>
        </w:rPr>
        <w:t>2.1.2</w:t>
      </w:r>
      <w:r w:rsidRPr="003B4FCF">
        <w:rPr>
          <w:rFonts w:cs="Arial"/>
          <w:lang w:val="fr-FR"/>
        </w:rPr>
        <w:tab/>
        <w:t xml:space="preserve">Il appartient aux services compétents d’examiner si les hypothèses formulées se vérifient lorsque le modèle et l’exemple sont utilisés, comme indiqué dans l’annexe I du présent document.  </w:t>
      </w:r>
    </w:p>
    <w:p w:rsidR="003B4FCF" w:rsidRPr="003B4FCF" w:rsidRDefault="003B4FCF" w:rsidP="003B4FCF">
      <w:pPr>
        <w:tabs>
          <w:tab w:val="left" w:pos="1276"/>
        </w:tabs>
        <w:ind w:left="567"/>
        <w:rPr>
          <w:rFonts w:cs="Arial"/>
          <w:lang w:val="fr-FR"/>
        </w:rPr>
      </w:pPr>
    </w:p>
    <w:p w:rsidR="003B4FCF" w:rsidRPr="003B4FCF" w:rsidRDefault="003B4FCF" w:rsidP="003B4FCF">
      <w:pPr>
        <w:tabs>
          <w:tab w:val="left" w:pos="1276"/>
        </w:tabs>
        <w:ind w:left="567"/>
        <w:rPr>
          <w:rFonts w:cs="Arial"/>
          <w:lang w:val="fr-FR"/>
        </w:rPr>
      </w:pPr>
      <w:r w:rsidRPr="003B4FCF">
        <w:rPr>
          <w:rFonts w:cs="Arial"/>
          <w:lang w:val="fr-FR"/>
        </w:rPr>
        <w:t>2.1.3.</w:t>
      </w:r>
      <w:r w:rsidRPr="003B4FCF">
        <w:rPr>
          <w:rFonts w:cs="Arial"/>
          <w:lang w:val="fr-FR"/>
        </w:rPr>
        <w:tab/>
        <w:t>Pour inclure dans les principes directeurs d’examen une méthode fondée sur le modèle figurant à l’annexe I du présent document, il faudrait que le groupe de travail technique concerné et le TC considèrent qu’il satisfasse à l’exigence de fiabilité du lien entre le gène et l’expression du caractère.</w:t>
      </w:r>
    </w:p>
    <w:p w:rsidR="003B4FCF" w:rsidRPr="003B4FCF" w:rsidRDefault="003B4FCF" w:rsidP="003B4FCF">
      <w:pPr>
        <w:rPr>
          <w:lang w:val="fr-FR"/>
        </w:rPr>
      </w:pPr>
    </w:p>
    <w:p w:rsidR="003B4FCF" w:rsidRPr="003B4FCF" w:rsidRDefault="003B4FCF" w:rsidP="003B4FCF">
      <w:pPr>
        <w:jc w:val="left"/>
        <w:rPr>
          <w:lang w:val="fr-FR"/>
        </w:rPr>
      </w:pPr>
    </w:p>
    <w:p w:rsidR="003B4FCF" w:rsidRPr="003B4FCF" w:rsidRDefault="003B4FCF" w:rsidP="003B4FCF">
      <w:pPr>
        <w:rPr>
          <w:u w:val="single"/>
          <w:lang w:val="fr-FR"/>
        </w:rPr>
      </w:pPr>
      <w:r w:rsidRPr="003B4FCF">
        <w:rPr>
          <w:u w:val="single"/>
          <w:lang w:val="fr-FR"/>
        </w:rPr>
        <w:t>Nouveau modèle: “</w:t>
      </w:r>
      <w:r w:rsidRPr="003B4FCF">
        <w:rPr>
          <w:rFonts w:cs="Arial"/>
          <w:iCs/>
          <w:u w:val="single"/>
          <w:lang w:val="fr-FR"/>
        </w:rPr>
        <w:t>Sélection génétique de variétés voisines pour le premier cycle de végétation”</w:t>
      </w:r>
    </w:p>
    <w:p w:rsidR="003B4FCF" w:rsidRPr="003B4FCF" w:rsidRDefault="003B4FCF" w:rsidP="003B4FCF">
      <w:pPr>
        <w:rPr>
          <w:lang w:val="fr-FR"/>
        </w:rPr>
      </w:pPr>
    </w:p>
    <w:p w:rsidR="003B4FCF" w:rsidRPr="003B4FCF" w:rsidRDefault="003B4FCF" w:rsidP="003B4FCF">
      <w:pPr>
        <w:rPr>
          <w:lang w:val="fr-FR"/>
        </w:rPr>
      </w:pPr>
      <w:r w:rsidRPr="003B4FCF">
        <w:rPr>
          <w:lang w:val="fr-FR"/>
        </w:rPr>
        <w:t>Le TC, à sa cinquante-quatrième session, est convenu d’inclure un nouveau modèle dans le document TGP/15, comme suit (voir le document TC/54/31 “Compte rendu”, paragraphes 290 et 291):</w:t>
      </w:r>
    </w:p>
    <w:p w:rsidR="003B4FCF" w:rsidRPr="003B4FCF" w:rsidRDefault="003B4FCF" w:rsidP="003B4FCF">
      <w:pPr>
        <w:rPr>
          <w:lang w:val="fr-FR"/>
        </w:rPr>
      </w:pPr>
    </w:p>
    <w:p w:rsidR="003B4FCF" w:rsidRPr="003B4FCF" w:rsidRDefault="003B4FCF" w:rsidP="003B4FCF">
      <w:pPr>
        <w:ind w:left="567" w:right="567"/>
        <w:rPr>
          <w:i/>
          <w:lang w:val="fr-FR"/>
        </w:rPr>
      </w:pPr>
      <w:r w:rsidRPr="003B4FCF">
        <w:rPr>
          <w:i/>
          <w:lang w:val="fr-FR"/>
        </w:rPr>
        <w:t>Nouvelle section 2.3 “Sélection génétique de variétés voisines pour le premier cycle de végétation”</w:t>
      </w:r>
    </w:p>
    <w:p w:rsidR="003B4FCF" w:rsidRPr="003B4FCF" w:rsidRDefault="003B4FCF" w:rsidP="003B4FCF">
      <w:pPr>
        <w:ind w:left="567" w:right="567"/>
        <w:rPr>
          <w:lang w:val="fr-FR"/>
        </w:rPr>
      </w:pPr>
    </w:p>
    <w:p w:rsidR="003B4FCF" w:rsidRPr="003B4FCF" w:rsidRDefault="003B4FCF" w:rsidP="003B4FCF">
      <w:pPr>
        <w:ind w:left="567" w:right="567"/>
        <w:rPr>
          <w:lang w:val="fr-FR"/>
        </w:rPr>
      </w:pPr>
      <w:r w:rsidRPr="003B4FCF">
        <w:rPr>
          <w:lang w:val="fr-FR"/>
        </w:rPr>
        <w:t>2.3</w:t>
      </w:r>
      <w:r w:rsidRPr="003B4FCF">
        <w:rPr>
          <w:lang w:val="fr-FR"/>
        </w:rPr>
        <w:tab/>
        <w:t>Sélection génétique de variétés voisines pour le premier cycle de végétation (voir l’annexe III)</w:t>
      </w:r>
    </w:p>
    <w:p w:rsidR="003B4FCF" w:rsidRPr="003B4FCF" w:rsidRDefault="003B4FCF" w:rsidP="003B4FCF">
      <w:pPr>
        <w:ind w:left="567" w:right="567"/>
        <w:rPr>
          <w:lang w:val="fr-FR"/>
        </w:rPr>
      </w:pPr>
    </w:p>
    <w:p w:rsidR="003B4FCF" w:rsidRPr="003B4FCF" w:rsidRDefault="003B4FCF" w:rsidP="003B4FCF">
      <w:pPr>
        <w:ind w:left="567" w:right="567"/>
        <w:rPr>
          <w:lang w:val="fr-FR"/>
        </w:rPr>
      </w:pPr>
      <w:r w:rsidRPr="003B4FCF">
        <w:rPr>
          <w:lang w:val="fr-FR"/>
        </w:rPr>
        <w:t xml:space="preserve">2.3.1 </w:t>
      </w:r>
      <w:r w:rsidRPr="003B4FCF">
        <w:rPr>
          <w:lang w:val="fr-FR"/>
        </w:rPr>
        <w:tab/>
        <w:t>La présente méthode comprend une étape permettant de vérifier la similarité génétique avant le premier cycle de végétation.</w:t>
      </w:r>
    </w:p>
    <w:p w:rsidR="003B4FCF" w:rsidRPr="003B4FCF" w:rsidRDefault="003B4FCF" w:rsidP="003B4FCF">
      <w:pPr>
        <w:ind w:left="567" w:right="567"/>
        <w:rPr>
          <w:lang w:val="fr-FR"/>
        </w:rPr>
      </w:pPr>
    </w:p>
    <w:p w:rsidR="003B4FCF" w:rsidRPr="003B4FCF" w:rsidRDefault="003B4FCF" w:rsidP="003B4FCF">
      <w:pPr>
        <w:ind w:left="567" w:right="567"/>
        <w:rPr>
          <w:lang w:val="fr-FR"/>
        </w:rPr>
      </w:pPr>
      <w:r w:rsidRPr="003B4FCF">
        <w:rPr>
          <w:lang w:val="fr-FR"/>
        </w:rPr>
        <w:t>2.3.2</w:t>
      </w:r>
      <w:r w:rsidRPr="003B4FCF">
        <w:rPr>
          <w:lang w:val="fr-FR"/>
        </w:rPr>
        <w:tab/>
        <w:t>Dans les cas où la durée minimale des essais est normalement de deux cycles de végétation, des variétés voisines sont sélectionnées dans la collection de variétés afin de les comparer aux variétés candidates pendant le premier cycle de végétation, sur la base de la similarité génétique.  Dans l’étape suivante, les informations fournies par le demandeur figurant dans le questionnaire technique sont utilisées pour déterminer si certaines des variétés génétiquement similaires ne doivent pas faire l’objet d’une comparaison dans un essai en culture du fait des différences entre les caractères DHS.</w:t>
      </w:r>
    </w:p>
    <w:p w:rsidR="003B4FCF" w:rsidRPr="003B4FCF" w:rsidRDefault="003B4FCF" w:rsidP="003B4FCF">
      <w:pPr>
        <w:ind w:left="567" w:right="567"/>
        <w:rPr>
          <w:lang w:val="fr-FR"/>
        </w:rPr>
      </w:pPr>
    </w:p>
    <w:p w:rsidR="003B4FCF" w:rsidRPr="003B4FCF" w:rsidRDefault="003B4FCF" w:rsidP="003B4FCF">
      <w:pPr>
        <w:ind w:left="567" w:right="567"/>
        <w:rPr>
          <w:lang w:val="fr-FR"/>
        </w:rPr>
      </w:pPr>
      <w:r w:rsidRPr="003B4FCF">
        <w:rPr>
          <w:lang w:val="fr-FR"/>
        </w:rPr>
        <w:t>2.3.3</w:t>
      </w:r>
      <w:r w:rsidRPr="003B4FCF">
        <w:rPr>
          <w:lang w:val="fr-FR"/>
        </w:rPr>
        <w:tab/>
        <w:t>Compte tenu de la description variétale des caractères DHS produite dans le premier cycle de végétation, une recherche supplémentaire est effectuée afin de recenser, dans la collection de variétés, des variétés voisines n’ayant pas fait l’objet d’une comparaison dans le premier cycle de végétation qui devraient être comparées à la variété candidate dans le second cycle de végétation.</w:t>
      </w:r>
    </w:p>
    <w:p w:rsidR="003B4FCF" w:rsidRPr="003B4FCF" w:rsidRDefault="003B4FCF" w:rsidP="003B4FCF">
      <w:pPr>
        <w:ind w:left="567" w:right="567"/>
        <w:rPr>
          <w:lang w:val="fr-FR"/>
        </w:rPr>
      </w:pPr>
    </w:p>
    <w:p w:rsidR="003B4FCF" w:rsidRPr="003B4FCF" w:rsidRDefault="003B4FCF" w:rsidP="003B4FCF">
      <w:pPr>
        <w:ind w:left="567" w:right="567"/>
        <w:rPr>
          <w:lang w:val="fr-FR"/>
        </w:rPr>
      </w:pPr>
      <w:r w:rsidRPr="003B4FCF">
        <w:rPr>
          <w:lang w:val="fr-FR"/>
        </w:rPr>
        <w:t>2.3.4</w:t>
      </w:r>
      <w:r w:rsidRPr="003B4FCF">
        <w:rPr>
          <w:lang w:val="fr-FR"/>
        </w:rPr>
        <w:tab/>
        <w:t>L’annexe III du présent document “Sélection génétique de variétés voisines pour le premier cycle de végétation” présente un exemple de la sélection génétique de variétés voisines pour le premier cycle de végétation.</w:t>
      </w:r>
    </w:p>
    <w:p w:rsidR="003B4FCF" w:rsidRPr="003B4FCF" w:rsidRDefault="003B4FCF" w:rsidP="003B4FCF">
      <w:pPr>
        <w:ind w:left="567" w:right="567"/>
        <w:rPr>
          <w:lang w:val="fr-FR"/>
        </w:rPr>
      </w:pPr>
    </w:p>
    <w:p w:rsidR="003B4FCF" w:rsidRPr="003B4FCF" w:rsidRDefault="003B4FCF" w:rsidP="003B4FCF">
      <w:pPr>
        <w:ind w:left="567" w:right="567"/>
        <w:rPr>
          <w:i/>
          <w:lang w:val="fr-FR"/>
        </w:rPr>
      </w:pPr>
      <w:r w:rsidRPr="003B4FCF">
        <w:rPr>
          <w:i/>
          <w:lang w:val="fr-FR"/>
        </w:rPr>
        <w:t>Annexe III “Modèle : Sélection génétique de variétés voisines pour le premier cycle de végétation”</w:t>
      </w:r>
    </w:p>
    <w:p w:rsidR="003B4FCF" w:rsidRPr="003B4FCF" w:rsidRDefault="003B4FCF" w:rsidP="003B4FCF">
      <w:pPr>
        <w:ind w:left="567" w:right="567"/>
        <w:jc w:val="center"/>
        <w:rPr>
          <w:snapToGrid w:val="0"/>
          <w:lang w:val="fr-FR"/>
        </w:rPr>
      </w:pPr>
    </w:p>
    <w:p w:rsidR="003B4FCF" w:rsidRPr="003B4FCF" w:rsidRDefault="003B4FCF" w:rsidP="003B4FCF">
      <w:pPr>
        <w:ind w:left="567" w:right="567"/>
        <w:jc w:val="left"/>
        <w:rPr>
          <w:i/>
          <w:lang w:val="fr-FR"/>
        </w:rPr>
      </w:pPr>
      <w:r w:rsidRPr="003B4FCF">
        <w:rPr>
          <w:lang w:val="fr-FR"/>
        </w:rPr>
        <w:t>Exemple:  Haricot (établi par un expert des Pays Bas)</w:t>
      </w:r>
    </w:p>
    <w:p w:rsidR="003B4FCF" w:rsidRPr="003B4FCF" w:rsidRDefault="003B4FCF" w:rsidP="003B4FCF">
      <w:pPr>
        <w:ind w:left="567" w:right="567"/>
        <w:jc w:val="center"/>
        <w:rPr>
          <w:rFonts w:cs="Arial"/>
          <w:i/>
          <w:lang w:val="fr-FR"/>
        </w:rPr>
      </w:pPr>
    </w:p>
    <w:p w:rsidR="003B4FCF" w:rsidRPr="003B4FCF" w:rsidRDefault="003B4FCF" w:rsidP="003B4FCF">
      <w:pPr>
        <w:ind w:left="567" w:right="567"/>
        <w:rPr>
          <w:lang w:val="fr-FR"/>
        </w:rPr>
      </w:pPr>
      <w:r w:rsidRPr="003B4FCF">
        <w:rPr>
          <w:lang w:val="fr-FR"/>
        </w:rPr>
        <w:t>1.</w:t>
      </w:r>
      <w:r w:rsidRPr="003B4FCF">
        <w:rPr>
          <w:lang w:val="fr-FR"/>
        </w:rPr>
        <w:tab/>
      </w:r>
      <w:r w:rsidRPr="003B4FCF">
        <w:rPr>
          <w:u w:val="single"/>
          <w:lang w:val="fr-FR"/>
        </w:rPr>
        <w:t>Introduction</w:t>
      </w:r>
    </w:p>
    <w:p w:rsidR="003B4FCF" w:rsidRPr="003B4FCF" w:rsidRDefault="003B4FCF" w:rsidP="003B4FCF">
      <w:pPr>
        <w:ind w:left="567" w:right="567"/>
        <w:rPr>
          <w:lang w:val="fr-FR"/>
        </w:rPr>
      </w:pPr>
    </w:p>
    <w:p w:rsidR="003B4FCF" w:rsidRPr="003B4FCF" w:rsidRDefault="003B4FCF" w:rsidP="003B4FCF">
      <w:pPr>
        <w:ind w:left="562" w:right="562"/>
        <w:rPr>
          <w:lang w:val="fr-FR"/>
        </w:rPr>
      </w:pPr>
      <w:r w:rsidRPr="003B4FCF">
        <w:rPr>
          <w:lang w:val="fr-FR"/>
        </w:rPr>
        <w:t xml:space="preserve">1.1 </w:t>
      </w:r>
      <w:r w:rsidRPr="003B4FCF">
        <w:rPr>
          <w:lang w:val="fr-FR"/>
        </w:rPr>
        <w:tab/>
        <w:t>La présente méthode comprend une étape permettant de vérifier la similarité génétique avant le premier cycle de végétation.</w:t>
      </w:r>
    </w:p>
    <w:p w:rsidR="003B4FCF" w:rsidRPr="003B4FCF" w:rsidRDefault="003B4FCF" w:rsidP="003B4FCF">
      <w:pPr>
        <w:ind w:left="562" w:right="562"/>
        <w:rPr>
          <w:lang w:val="fr-FR"/>
        </w:rPr>
      </w:pPr>
    </w:p>
    <w:p w:rsidR="003B4FCF" w:rsidRPr="003B4FCF" w:rsidRDefault="003B4FCF" w:rsidP="003B4FCF">
      <w:pPr>
        <w:ind w:left="562" w:right="562"/>
        <w:rPr>
          <w:lang w:val="fr-FR"/>
        </w:rPr>
      </w:pPr>
      <w:r w:rsidRPr="003B4FCF">
        <w:rPr>
          <w:lang w:val="fr-FR"/>
        </w:rPr>
        <w:t>1.2</w:t>
      </w:r>
      <w:r w:rsidRPr="003B4FCF">
        <w:rPr>
          <w:lang w:val="fr-FR"/>
        </w:rPr>
        <w:tab/>
        <w:t xml:space="preserve">Dans les cas où la durée minimale des essais est normalement de deux cycles de végétation, des variétés voisines sont sélectionnées dans la collection de variétés afin de les </w:t>
      </w:r>
      <w:r w:rsidRPr="003B4FCF">
        <w:rPr>
          <w:lang w:val="fr-FR"/>
        </w:rPr>
        <w:lastRenderedPageBreak/>
        <w:t>comparer aux variétés candidates pendant le premier cycle de végétation, sur la base de la similarité génétique.  Dans l’étape suivante, les informations fournies par le demandeur figurant dans le questionnaire technique sont utilisées pour déterminer si certaines des variétés génétiquement similaires ne doivent pas faire l’objet d’une comparaison dans un essai en culture du fait des différences entre les caractères DHS.</w:t>
      </w:r>
    </w:p>
    <w:p w:rsidR="003B4FCF" w:rsidRPr="003B4FCF" w:rsidRDefault="003B4FCF" w:rsidP="003B4FCF">
      <w:pPr>
        <w:ind w:left="562" w:right="562"/>
        <w:rPr>
          <w:lang w:val="fr-FR"/>
        </w:rPr>
      </w:pPr>
    </w:p>
    <w:p w:rsidR="003B4FCF" w:rsidRPr="003B4FCF" w:rsidRDefault="003B4FCF" w:rsidP="003B4FCF">
      <w:pPr>
        <w:ind w:left="562" w:right="562"/>
        <w:rPr>
          <w:lang w:val="fr-FR"/>
        </w:rPr>
      </w:pPr>
      <w:r w:rsidRPr="003B4FCF">
        <w:rPr>
          <w:lang w:val="fr-FR"/>
        </w:rPr>
        <w:t>1.3</w:t>
      </w:r>
      <w:r w:rsidRPr="003B4FCF">
        <w:rPr>
          <w:lang w:val="fr-FR"/>
        </w:rPr>
        <w:tab/>
        <w:t>Compte tenu de la description variétale des caractères DHS produite dans le premier cycle de végétation, une recherche supplémentaire est effectuée afin de recenser, dans la collection de variétés, des variétés voisines n’ayant pas fait l’objet d’une comparaison dans le premier cycle de végétation qui devraient être comparées à la variété candidate dans le second cycle de végétation.</w:t>
      </w:r>
    </w:p>
    <w:p w:rsidR="003B4FCF" w:rsidRPr="003B4FCF" w:rsidRDefault="003B4FCF" w:rsidP="003B4FCF">
      <w:pPr>
        <w:ind w:left="562" w:right="562"/>
        <w:rPr>
          <w:lang w:val="fr-FR"/>
        </w:rPr>
      </w:pPr>
    </w:p>
    <w:p w:rsidR="003B4FCF" w:rsidRPr="003B4FCF" w:rsidRDefault="003B4FCF" w:rsidP="003B4FCF">
      <w:pPr>
        <w:pStyle w:val="Heading2"/>
        <w:ind w:left="562" w:right="562"/>
      </w:pPr>
      <w:r w:rsidRPr="003B4FCF">
        <w:rPr>
          <w:u w:val="none"/>
        </w:rPr>
        <w:t>2.</w:t>
      </w:r>
      <w:r w:rsidRPr="003B4FCF">
        <w:rPr>
          <w:u w:val="none"/>
        </w:rPr>
        <w:tab/>
      </w:r>
      <w:r w:rsidRPr="003B4FCF">
        <w:t>Procédure</w:t>
      </w:r>
    </w:p>
    <w:p w:rsidR="003B4FCF" w:rsidRPr="003B4FCF" w:rsidRDefault="003B4FCF" w:rsidP="003B4FCF">
      <w:pPr>
        <w:pStyle w:val="Heading3"/>
        <w:ind w:left="562" w:right="562"/>
        <w:rPr>
          <w:sz w:val="18"/>
          <w:lang w:val="fr-FR"/>
        </w:rPr>
      </w:pPr>
    </w:p>
    <w:p w:rsidR="003B4FCF" w:rsidRPr="003B4FCF" w:rsidRDefault="003B4FCF" w:rsidP="003B4FCF">
      <w:pPr>
        <w:pStyle w:val="Heading3"/>
        <w:ind w:left="562" w:right="562"/>
        <w:rPr>
          <w:lang w:val="fr-FR"/>
        </w:rPr>
      </w:pPr>
      <w:r w:rsidRPr="003B4FCF">
        <w:rPr>
          <w:lang w:val="fr-FR"/>
        </w:rPr>
        <w:t>Détermination de la similarité génétique</w:t>
      </w:r>
    </w:p>
    <w:p w:rsidR="003B4FCF" w:rsidRPr="003B4FCF" w:rsidRDefault="003B4FCF" w:rsidP="003B4FCF">
      <w:pPr>
        <w:ind w:left="562" w:right="562"/>
        <w:rPr>
          <w:lang w:val="fr-FR"/>
        </w:rPr>
      </w:pPr>
    </w:p>
    <w:p w:rsidR="003B4FCF" w:rsidRPr="003B4FCF" w:rsidRDefault="003B4FCF" w:rsidP="003B4FCF">
      <w:pPr>
        <w:ind w:left="562" w:right="562"/>
        <w:rPr>
          <w:lang w:val="fr-FR"/>
        </w:rPr>
      </w:pPr>
      <w:r w:rsidRPr="003B4FCF">
        <w:rPr>
          <w:lang w:val="fr-FR"/>
        </w:rPr>
        <w:t>2.1</w:t>
      </w:r>
      <w:r w:rsidRPr="003B4FCF">
        <w:rPr>
          <w:lang w:val="fr-FR"/>
        </w:rPr>
        <w:tab/>
        <w:t>Le profil d’ADN de la variété candidate est produit sitôt le matériel végétal reçu.</w:t>
      </w:r>
    </w:p>
    <w:p w:rsidR="003B4FCF" w:rsidRPr="003B4FCF" w:rsidRDefault="003B4FCF" w:rsidP="003B4FCF">
      <w:pPr>
        <w:ind w:left="562" w:right="562"/>
        <w:rPr>
          <w:sz w:val="14"/>
          <w:lang w:val="fr-FR"/>
        </w:rPr>
      </w:pPr>
    </w:p>
    <w:p w:rsidR="003B4FCF" w:rsidRPr="003B4FCF" w:rsidRDefault="003B4FCF" w:rsidP="003B4FCF">
      <w:pPr>
        <w:ind w:left="562" w:right="562"/>
        <w:rPr>
          <w:lang w:val="fr-FR"/>
        </w:rPr>
      </w:pPr>
      <w:r w:rsidRPr="003B4FCF">
        <w:rPr>
          <w:lang w:val="fr-FR"/>
        </w:rPr>
        <w:t>2.2</w:t>
      </w:r>
      <w:r w:rsidRPr="003B4FCF">
        <w:rPr>
          <w:lang w:val="fr-FR"/>
        </w:rPr>
        <w:tab/>
        <w:t>Le profil d’ADN est comparé aux profils de toutes les variétés figurant dans la collection de variétés, puis les variétés génétiquement similaires sont recensées.</w:t>
      </w:r>
    </w:p>
    <w:p w:rsidR="003B4FCF" w:rsidRPr="003B4FCF" w:rsidRDefault="003B4FCF" w:rsidP="003B4FCF">
      <w:pPr>
        <w:ind w:left="562" w:right="562"/>
        <w:rPr>
          <w:sz w:val="12"/>
          <w:lang w:val="fr-FR"/>
        </w:rPr>
      </w:pPr>
    </w:p>
    <w:p w:rsidR="003B4FCF" w:rsidRPr="003B4FCF" w:rsidRDefault="003B4FCF" w:rsidP="003B4FCF">
      <w:pPr>
        <w:pStyle w:val="Heading3"/>
        <w:ind w:left="562" w:right="562"/>
        <w:rPr>
          <w:lang w:val="fr-FR"/>
        </w:rPr>
      </w:pPr>
      <w:r w:rsidRPr="003B4FCF">
        <w:rPr>
          <w:lang w:val="fr-FR"/>
        </w:rPr>
        <w:t>Informations figurant dans le questionnaire technique</w:t>
      </w:r>
    </w:p>
    <w:p w:rsidR="003B4FCF" w:rsidRPr="003B4FCF" w:rsidRDefault="003B4FCF" w:rsidP="003B4FCF">
      <w:pPr>
        <w:ind w:left="562" w:right="562"/>
        <w:rPr>
          <w:sz w:val="12"/>
          <w:lang w:val="fr-FR"/>
        </w:rPr>
      </w:pPr>
    </w:p>
    <w:p w:rsidR="003B4FCF" w:rsidRPr="003B4FCF" w:rsidRDefault="003B4FCF" w:rsidP="003B4FCF">
      <w:pPr>
        <w:ind w:left="562" w:right="562"/>
        <w:rPr>
          <w:lang w:val="fr-FR"/>
        </w:rPr>
      </w:pPr>
      <w:r w:rsidRPr="003B4FCF">
        <w:rPr>
          <w:lang w:val="fr-FR"/>
        </w:rPr>
        <w:t>2.3</w:t>
      </w:r>
      <w:r w:rsidRPr="003B4FCF">
        <w:rPr>
          <w:lang w:val="fr-FR"/>
        </w:rPr>
        <w:tab/>
        <w:t>Les informations fournies par le demandeur figurant dans le questionnaire technique sont ensuite utilisées pour déterminer s’il existe des différences nettes entre les caractères DHS pour certaines des variétés génétiquement similaires, afin que celles</w:t>
      </w:r>
      <w:r w:rsidRPr="003B4FCF">
        <w:rPr>
          <w:lang w:val="fr-FR"/>
        </w:rPr>
        <w:noBreakHyphen/>
        <w:t>ci ne soient pas comparées aux variétés candidates dans un essai en culture.</w:t>
      </w:r>
    </w:p>
    <w:p w:rsidR="003B4FCF" w:rsidRPr="003B4FCF" w:rsidRDefault="003B4FCF" w:rsidP="003B4FCF">
      <w:pPr>
        <w:ind w:left="562" w:right="562"/>
        <w:rPr>
          <w:lang w:val="fr-FR"/>
        </w:rPr>
      </w:pPr>
    </w:p>
    <w:p w:rsidR="003B4FCF" w:rsidRPr="003B4FCF" w:rsidRDefault="003B4FCF" w:rsidP="003B4FCF">
      <w:pPr>
        <w:pStyle w:val="Heading3"/>
        <w:ind w:left="562" w:right="562"/>
        <w:rPr>
          <w:lang w:val="fr-FR"/>
        </w:rPr>
      </w:pPr>
      <w:r w:rsidRPr="003B4FCF">
        <w:rPr>
          <w:lang w:val="fr-FR"/>
        </w:rPr>
        <w:t>Essai en plein champ</w:t>
      </w:r>
    </w:p>
    <w:p w:rsidR="003B4FCF" w:rsidRPr="003B4FCF" w:rsidRDefault="003B4FCF" w:rsidP="003B4FCF">
      <w:pPr>
        <w:ind w:left="562" w:right="562"/>
        <w:rPr>
          <w:lang w:val="fr-FR"/>
        </w:rPr>
      </w:pPr>
    </w:p>
    <w:p w:rsidR="003B4FCF" w:rsidRPr="003B4FCF" w:rsidRDefault="003B4FCF" w:rsidP="003B4FCF">
      <w:pPr>
        <w:pStyle w:val="Heading4"/>
        <w:ind w:left="562" w:right="562"/>
      </w:pPr>
      <w:r w:rsidRPr="003B4FCF">
        <w:t>Premier cycle de végétation</w:t>
      </w:r>
      <w:r w:rsidRPr="003B4FCF">
        <w:rPr>
          <w:u w:val="none"/>
        </w:rPr>
        <w:t> :</w:t>
      </w:r>
    </w:p>
    <w:p w:rsidR="003B4FCF" w:rsidRPr="003B4FCF" w:rsidRDefault="003B4FCF" w:rsidP="003B4FCF">
      <w:pPr>
        <w:ind w:left="562" w:right="562"/>
        <w:rPr>
          <w:sz w:val="14"/>
          <w:lang w:val="fr-FR"/>
        </w:rPr>
      </w:pPr>
    </w:p>
    <w:p w:rsidR="003B4FCF" w:rsidRPr="003B4FCF" w:rsidRDefault="003B4FCF" w:rsidP="003B4FCF">
      <w:pPr>
        <w:ind w:left="562" w:right="562"/>
        <w:rPr>
          <w:lang w:val="fr-FR"/>
        </w:rPr>
      </w:pPr>
      <w:r w:rsidRPr="003B4FCF">
        <w:rPr>
          <w:lang w:val="fr-FR"/>
        </w:rPr>
        <w:t>2.4</w:t>
      </w:r>
      <w:r w:rsidRPr="003B4FCF">
        <w:rPr>
          <w:lang w:val="fr-FR"/>
        </w:rPr>
        <w:tab/>
        <w:t>La variété candidate et les variétés génétiquement similaires sélectionnées conformément à la procédure susmentionnée font l’objet d’un essai un plein champ.  Une description complète des caractères DHS de la variété candidate est produite, puis comparée aux descriptions de toutes les variétés figurant dans la collection de variétés au moyen d’une base de données contenant les descriptions produites au même endroit au cours des années précédentes.</w:t>
      </w:r>
    </w:p>
    <w:p w:rsidR="003B4FCF" w:rsidRPr="003B4FCF" w:rsidRDefault="003B4FCF" w:rsidP="003B4FCF">
      <w:pPr>
        <w:ind w:left="562" w:right="562"/>
        <w:rPr>
          <w:sz w:val="12"/>
          <w:lang w:val="fr-FR"/>
        </w:rPr>
      </w:pPr>
    </w:p>
    <w:p w:rsidR="003B4FCF" w:rsidRPr="003B4FCF" w:rsidRDefault="003B4FCF" w:rsidP="003B4FCF">
      <w:pPr>
        <w:ind w:left="562" w:right="562"/>
        <w:rPr>
          <w:lang w:val="fr-FR"/>
        </w:rPr>
      </w:pPr>
      <w:r w:rsidRPr="003B4FCF">
        <w:rPr>
          <w:lang w:val="fr-FR"/>
        </w:rPr>
        <w:t>2.5</w:t>
      </w:r>
      <w:r w:rsidRPr="003B4FCF">
        <w:rPr>
          <w:lang w:val="fr-FR"/>
        </w:rPr>
        <w:tab/>
        <w:t>Résultats possibles :</w:t>
      </w:r>
    </w:p>
    <w:p w:rsidR="003B4FCF" w:rsidRPr="003B4FCF" w:rsidRDefault="003B4FCF" w:rsidP="003B4FCF">
      <w:pPr>
        <w:ind w:left="562" w:right="562"/>
        <w:rPr>
          <w:sz w:val="12"/>
          <w:lang w:val="fr-FR"/>
        </w:rPr>
      </w:pPr>
    </w:p>
    <w:p w:rsidR="003B4FCF" w:rsidRPr="003B4FCF" w:rsidRDefault="003B4FCF" w:rsidP="003B4FCF">
      <w:pPr>
        <w:ind w:left="562" w:right="562"/>
        <w:rPr>
          <w:lang w:val="fr-FR"/>
        </w:rPr>
      </w:pPr>
      <w:r w:rsidRPr="003B4FCF">
        <w:rPr>
          <w:lang w:val="fr-FR"/>
        </w:rPr>
        <w:t>Si la variété candidate ne se distingue pas des variétés génétiquement similaires du point de vue des caractères DHS, l’essai se poursuit dans le cadre d’un second cycle de végétation.</w:t>
      </w:r>
    </w:p>
    <w:p w:rsidR="003B4FCF" w:rsidRPr="003B4FCF" w:rsidRDefault="003B4FCF" w:rsidP="003B4FCF">
      <w:pPr>
        <w:ind w:left="562" w:right="562"/>
        <w:rPr>
          <w:sz w:val="12"/>
          <w:lang w:val="fr-FR"/>
        </w:rPr>
      </w:pPr>
    </w:p>
    <w:p w:rsidR="003B4FCF" w:rsidRPr="003B4FCF" w:rsidRDefault="003B4FCF" w:rsidP="003B4FCF">
      <w:pPr>
        <w:ind w:left="562" w:right="562"/>
        <w:rPr>
          <w:lang w:val="fr-FR"/>
        </w:rPr>
      </w:pPr>
      <w:r w:rsidRPr="003B4FCF">
        <w:rPr>
          <w:lang w:val="fr-FR"/>
        </w:rPr>
        <w:t>Dans tous les cas, la description de la variété candidate produite dans le premier cycle de végétation est comparée aux descriptions des variétés figurant dans la collection de variétés au moyen d’une base de données contenant les descriptions produites au même endroit.</w:t>
      </w:r>
    </w:p>
    <w:p w:rsidR="003B4FCF" w:rsidRPr="003B4FCF" w:rsidRDefault="003B4FCF" w:rsidP="003B4FCF">
      <w:pPr>
        <w:ind w:left="562" w:right="562"/>
        <w:rPr>
          <w:sz w:val="12"/>
          <w:lang w:val="fr-FR"/>
        </w:rPr>
      </w:pPr>
    </w:p>
    <w:p w:rsidR="003B4FCF" w:rsidRPr="003B4FCF" w:rsidRDefault="003B4FCF" w:rsidP="003B4FCF">
      <w:pPr>
        <w:ind w:left="562" w:right="562"/>
        <w:rPr>
          <w:lang w:val="fr-FR"/>
        </w:rPr>
      </w:pPr>
      <w:r w:rsidRPr="003B4FCF">
        <w:rPr>
          <w:lang w:val="fr-FR"/>
        </w:rPr>
        <w:tab/>
      </w:r>
      <w:r w:rsidRPr="003B4FCF">
        <w:rPr>
          <w:lang w:val="fr-FR"/>
        </w:rPr>
        <w:tab/>
        <w:t xml:space="preserve">a) </w:t>
      </w:r>
      <w:r w:rsidRPr="003B4FCF">
        <w:rPr>
          <w:lang w:val="fr-FR"/>
        </w:rPr>
        <w:tab/>
        <w:t>Si la variété candidate est jugée distincte de toutes les variétés ayant fait l’objet du premier cycle de végétation et de toutes les autres variétés figurant dans la collection de variétés à la fin du premier cycle de végétation et qu’elle remplit les conditions d’homogénéité et de stabilité, l’essai DHS s’achève après le premier cycle de végétation.</w:t>
      </w:r>
    </w:p>
    <w:p w:rsidR="003B4FCF" w:rsidRPr="003B4FCF" w:rsidRDefault="003B4FCF" w:rsidP="003B4FCF">
      <w:pPr>
        <w:ind w:left="562" w:right="562"/>
        <w:rPr>
          <w:sz w:val="12"/>
          <w:lang w:val="fr-FR"/>
        </w:rPr>
      </w:pPr>
    </w:p>
    <w:p w:rsidR="003B4FCF" w:rsidRPr="003B4FCF" w:rsidRDefault="003B4FCF" w:rsidP="003B4FCF">
      <w:pPr>
        <w:ind w:left="562" w:right="562"/>
        <w:rPr>
          <w:lang w:val="fr-FR"/>
        </w:rPr>
      </w:pPr>
      <w:r w:rsidRPr="003B4FCF">
        <w:rPr>
          <w:lang w:val="fr-FR"/>
        </w:rPr>
        <w:tab/>
      </w:r>
      <w:r w:rsidRPr="003B4FCF">
        <w:rPr>
          <w:lang w:val="fr-FR"/>
        </w:rPr>
        <w:tab/>
        <w:t xml:space="preserve">b) </w:t>
      </w:r>
      <w:r w:rsidRPr="003B4FCF">
        <w:rPr>
          <w:lang w:val="fr-FR"/>
        </w:rPr>
        <w:tab/>
        <w:t>Dans tous les autres cas, un second cycle de végétation est nécessaire.</w:t>
      </w:r>
    </w:p>
    <w:p w:rsidR="003B4FCF" w:rsidRPr="003B4FCF" w:rsidRDefault="003B4FCF" w:rsidP="003B4FCF">
      <w:pPr>
        <w:ind w:left="562" w:right="562"/>
        <w:rPr>
          <w:sz w:val="12"/>
          <w:lang w:val="fr-FR"/>
        </w:rPr>
      </w:pPr>
    </w:p>
    <w:p w:rsidR="003B4FCF" w:rsidRPr="003B4FCF" w:rsidRDefault="003B4FCF" w:rsidP="003B4FCF">
      <w:pPr>
        <w:ind w:left="562" w:right="562"/>
        <w:rPr>
          <w:sz w:val="12"/>
          <w:lang w:val="fr-FR"/>
        </w:rPr>
      </w:pPr>
    </w:p>
    <w:p w:rsidR="003B4FCF" w:rsidRPr="003B4FCF" w:rsidRDefault="003B4FCF" w:rsidP="003B4FCF">
      <w:pPr>
        <w:pStyle w:val="Heading4"/>
        <w:ind w:left="562" w:right="562"/>
      </w:pPr>
      <w:r w:rsidRPr="003B4FCF">
        <w:t>Second cycle de végétation</w:t>
      </w:r>
    </w:p>
    <w:p w:rsidR="003B4FCF" w:rsidRPr="003B4FCF" w:rsidRDefault="003B4FCF" w:rsidP="003B4FCF">
      <w:pPr>
        <w:ind w:left="562" w:right="562"/>
        <w:rPr>
          <w:lang w:val="fr-FR"/>
        </w:rPr>
      </w:pPr>
    </w:p>
    <w:p w:rsidR="003B4FCF" w:rsidRPr="003B4FCF" w:rsidRDefault="003B4FCF" w:rsidP="003B4FCF">
      <w:pPr>
        <w:ind w:left="562" w:right="562"/>
        <w:rPr>
          <w:lang w:val="fr-FR"/>
        </w:rPr>
      </w:pPr>
      <w:r w:rsidRPr="003B4FCF">
        <w:rPr>
          <w:lang w:val="fr-FR"/>
        </w:rPr>
        <w:t>2.6</w:t>
      </w:r>
      <w:r w:rsidRPr="003B4FCF">
        <w:rPr>
          <w:lang w:val="fr-FR"/>
        </w:rPr>
        <w:tab/>
        <w:t>Dans le second cycle de végétation, la variété candidate est mise en culture avec toutes les variétés figurant dans la collection de variétés à l’égard desquelles il n’a pas été possible d’établir la distinction à la fin du premier cycle de végétation.</w:t>
      </w:r>
    </w:p>
    <w:p w:rsidR="003B4FCF" w:rsidRPr="003B4FCF" w:rsidRDefault="003B4FCF" w:rsidP="003B4FCF">
      <w:pPr>
        <w:ind w:left="562" w:right="562"/>
        <w:rPr>
          <w:sz w:val="12"/>
          <w:lang w:val="fr-FR"/>
        </w:rPr>
      </w:pPr>
    </w:p>
    <w:p w:rsidR="003B4FCF" w:rsidRPr="003B4FCF" w:rsidRDefault="003B4FCF" w:rsidP="003B4FCF">
      <w:pPr>
        <w:ind w:left="562" w:right="562"/>
        <w:rPr>
          <w:lang w:val="fr-FR"/>
        </w:rPr>
      </w:pPr>
      <w:r w:rsidRPr="003B4FCF">
        <w:rPr>
          <w:lang w:val="fr-FR"/>
        </w:rPr>
        <w:t>2.7</w:t>
      </w:r>
      <w:r w:rsidRPr="003B4FCF">
        <w:rPr>
          <w:lang w:val="fr-FR"/>
        </w:rPr>
        <w:tab/>
        <w:t>À la fin du second cycle de végétation, on procède à une évaluation DHS.  S’il n’est pas possible de se prononcer quant à l’examen DHS à la fin du second cycle de végétation, un cycle de végétation supplémentaire peut être nécessaire.</w:t>
      </w:r>
    </w:p>
    <w:p w:rsidR="00BD693E" w:rsidRPr="003B4FCF" w:rsidRDefault="00BD693E" w:rsidP="00BD693E">
      <w:pPr>
        <w:rPr>
          <w:lang w:val="fr-FR"/>
        </w:rPr>
      </w:pPr>
    </w:p>
    <w:p w:rsidR="00BD693E" w:rsidRPr="003B4FCF" w:rsidRDefault="00BD693E" w:rsidP="00BD693E">
      <w:pPr>
        <w:rPr>
          <w:lang w:val="fr-FR"/>
        </w:rPr>
      </w:pPr>
    </w:p>
    <w:p w:rsidR="00465412" w:rsidRPr="003B4FCF" w:rsidRDefault="00273B07" w:rsidP="00273B07">
      <w:pPr>
        <w:jc w:val="right"/>
        <w:rPr>
          <w:lang w:val="fr-FR"/>
        </w:rPr>
      </w:pPr>
      <w:r w:rsidRPr="003B4FCF">
        <w:rPr>
          <w:lang w:val="fr-FR"/>
        </w:rPr>
        <w:t>[</w:t>
      </w:r>
      <w:r w:rsidR="00DE0BC1" w:rsidRPr="003B4FCF">
        <w:rPr>
          <w:lang w:val="fr-FR"/>
        </w:rPr>
        <w:t>L</w:t>
      </w:r>
      <w:r w:rsidR="005D3B5B" w:rsidRPr="003B4FCF">
        <w:rPr>
          <w:lang w:val="fr-FR"/>
        </w:rPr>
        <w:t>’</w:t>
      </w:r>
      <w:r w:rsidR="00067374" w:rsidRPr="003B4FCF">
        <w:rPr>
          <w:lang w:val="fr-FR"/>
        </w:rPr>
        <w:t>annexe V</w:t>
      </w:r>
      <w:r w:rsidRPr="003B4FCF">
        <w:rPr>
          <w:lang w:val="fr-FR"/>
        </w:rPr>
        <w:t xml:space="preserve">I </w:t>
      </w:r>
      <w:r w:rsidR="00DE0BC1" w:rsidRPr="003B4FCF">
        <w:rPr>
          <w:lang w:val="fr-FR"/>
        </w:rPr>
        <w:t>suit</w:t>
      </w:r>
      <w:r w:rsidRPr="003B4FCF">
        <w:rPr>
          <w:lang w:val="fr-FR"/>
        </w:rPr>
        <w:t>]</w:t>
      </w:r>
    </w:p>
    <w:p w:rsidR="00273B07" w:rsidRPr="003B4FCF" w:rsidRDefault="00273B07" w:rsidP="00273B07">
      <w:pPr>
        <w:jc w:val="right"/>
        <w:rPr>
          <w:lang w:val="fr-FR"/>
        </w:rPr>
        <w:sectPr w:rsidR="00273B07" w:rsidRPr="003B4FCF" w:rsidSect="003B4FCF">
          <w:headerReference w:type="default" r:id="rId32"/>
          <w:headerReference w:type="first" r:id="rId33"/>
          <w:footnotePr>
            <w:numRestart w:val="eachSect"/>
          </w:footnotePr>
          <w:pgSz w:w="11907" w:h="16840" w:code="9"/>
          <w:pgMar w:top="510" w:right="1134" w:bottom="567" w:left="1134" w:header="510" w:footer="448" w:gutter="0"/>
          <w:pgNumType w:start="1"/>
          <w:cols w:space="720"/>
          <w:titlePg/>
        </w:sectPr>
      </w:pPr>
    </w:p>
    <w:p w:rsidR="00465412" w:rsidRPr="003B4FCF" w:rsidRDefault="005D6892" w:rsidP="003B4FCF">
      <w:pPr>
        <w:tabs>
          <w:tab w:val="left" w:pos="14480"/>
        </w:tabs>
        <w:jc w:val="center"/>
        <w:rPr>
          <w:lang w:val="fr-FR"/>
        </w:rPr>
      </w:pPr>
      <w:r w:rsidRPr="005D6892">
        <w:lastRenderedPageBreak/>
        <w:drawing>
          <wp:inline distT="0" distB="0" distL="0" distR="0">
            <wp:extent cx="8908164" cy="6257676"/>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941453" cy="6281060"/>
                    </a:xfrm>
                    <a:prstGeom prst="rect">
                      <a:avLst/>
                    </a:prstGeom>
                    <a:noFill/>
                    <a:ln>
                      <a:noFill/>
                    </a:ln>
                  </pic:spPr>
                </pic:pic>
              </a:graphicData>
            </a:graphic>
          </wp:inline>
        </w:drawing>
      </w:r>
    </w:p>
    <w:sectPr w:rsidR="00465412" w:rsidRPr="003B4FCF" w:rsidSect="005D6892">
      <w:headerReference w:type="default" r:id="rId35"/>
      <w:headerReference w:type="first" r:id="rId36"/>
      <w:footerReference w:type="first" r:id="rId37"/>
      <w:footnotePr>
        <w:numRestart w:val="eachSect"/>
      </w:footnotePr>
      <w:pgSz w:w="16840" w:h="11907" w:orient="landscape" w:code="9"/>
      <w:pgMar w:top="993" w:right="510" w:bottom="567" w:left="1134" w:header="510" w:footer="4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93E" w:rsidRDefault="00BD693E" w:rsidP="006655D3">
      <w:r>
        <w:separator/>
      </w:r>
    </w:p>
    <w:p w:rsidR="00BD693E" w:rsidRDefault="00BD693E" w:rsidP="006655D3"/>
    <w:p w:rsidR="00BD693E" w:rsidRDefault="00BD693E" w:rsidP="006655D3"/>
  </w:endnote>
  <w:endnote w:type="continuationSeparator" w:id="0">
    <w:p w:rsidR="00BD693E" w:rsidRDefault="00BD693E" w:rsidP="006655D3">
      <w:r>
        <w:separator/>
      </w:r>
    </w:p>
    <w:p w:rsidR="00BD693E" w:rsidRPr="00294751" w:rsidRDefault="00BD693E" w:rsidP="00DE42A3">
      <w:pPr>
        <w:pStyle w:val="Footer"/>
        <w:rPr>
          <w:lang w:val="fr-FR"/>
        </w:rPr>
      </w:pPr>
      <w:r w:rsidRPr="00294751">
        <w:rPr>
          <w:lang w:val="fr-FR"/>
        </w:rPr>
        <w:t>[Suite de la note de la page précédente]</w:t>
      </w:r>
    </w:p>
    <w:p w:rsidR="00BD693E" w:rsidRPr="00294751" w:rsidRDefault="00BD693E" w:rsidP="006655D3">
      <w:pPr>
        <w:rPr>
          <w:lang w:val="fr-FR"/>
        </w:rPr>
      </w:pPr>
    </w:p>
    <w:p w:rsidR="00BD693E" w:rsidRPr="00294751" w:rsidRDefault="00BD693E" w:rsidP="006655D3">
      <w:pPr>
        <w:rPr>
          <w:lang w:val="fr-FR"/>
        </w:rPr>
      </w:pPr>
    </w:p>
  </w:endnote>
  <w:endnote w:type="continuationNotice" w:id="1">
    <w:p w:rsidR="00BD693E" w:rsidRPr="00294751" w:rsidRDefault="00BD693E" w:rsidP="006655D3">
      <w:pPr>
        <w:rPr>
          <w:lang w:val="fr-FR"/>
        </w:rPr>
      </w:pPr>
      <w:r w:rsidRPr="00294751">
        <w:rPr>
          <w:lang w:val="fr-FR"/>
        </w:rPr>
        <w:t>[Suite de la note page suivante]</w:t>
      </w:r>
    </w:p>
    <w:p w:rsidR="00BD693E" w:rsidRPr="00294751" w:rsidRDefault="00BD693E" w:rsidP="006655D3">
      <w:pPr>
        <w:rPr>
          <w:lang w:val="fr-FR"/>
        </w:rPr>
      </w:pPr>
    </w:p>
    <w:p w:rsidR="00BD693E" w:rsidRPr="00294751" w:rsidRDefault="00BD693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93E" w:rsidRPr="00DE7D82" w:rsidRDefault="00BD693E" w:rsidP="00DE42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93E" w:rsidRPr="005D18AC" w:rsidRDefault="00BD693E" w:rsidP="00DE42A3">
    <w:pPr>
      <w:pStyle w:val="Footer"/>
      <w:rPr>
        <w:lang w:val="fr-CH"/>
      </w:rPr>
    </w:pPr>
    <w:r w:rsidRPr="005D18AC">
      <w:rPr>
        <w:lang w:val="fr-CH"/>
      </w:rPr>
      <w:t xml:space="preserve">[Fin de l’annexe </w:t>
    </w:r>
    <w:r>
      <w:rPr>
        <w:lang w:val="fr-CH"/>
      </w:rPr>
      <w:t xml:space="preserve">VI </w:t>
    </w:r>
    <w:r w:rsidRPr="005D18AC">
      <w:rPr>
        <w:lang w:val="fr-CH"/>
      </w:rPr>
      <w:t>et du document]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93E" w:rsidRDefault="00BD693E" w:rsidP="006655D3">
      <w:r>
        <w:separator/>
      </w:r>
    </w:p>
  </w:footnote>
  <w:footnote w:type="continuationSeparator" w:id="0">
    <w:p w:rsidR="00BD693E" w:rsidRDefault="00BD693E" w:rsidP="006655D3">
      <w:r>
        <w:separator/>
      </w:r>
    </w:p>
  </w:footnote>
  <w:footnote w:type="continuationNotice" w:id="1">
    <w:p w:rsidR="00BD693E" w:rsidRPr="00AB530F" w:rsidRDefault="00BD693E" w:rsidP="00DE42A3">
      <w:pPr>
        <w:pStyle w:val="Footer"/>
      </w:pPr>
    </w:p>
  </w:footnote>
  <w:footnote w:id="2">
    <w:p w:rsidR="00BD693E" w:rsidRPr="00284C65" w:rsidRDefault="00BD693E" w:rsidP="00B97146">
      <w:pPr>
        <w:pStyle w:val="FootnoteText"/>
        <w:rPr>
          <w:lang w:val="fr-CH"/>
        </w:rPr>
      </w:pPr>
      <w:r w:rsidRPr="00284C65">
        <w:rPr>
          <w:rStyle w:val="FootnoteReference"/>
          <w:lang w:val="fr-CH"/>
        </w:rPr>
        <w:footnoteRef/>
      </w:r>
      <w:r w:rsidRPr="00284C65">
        <w:rPr>
          <w:lang w:val="fr-CH"/>
        </w:rPr>
        <w:t xml:space="preserve"> </w:t>
      </w:r>
      <w:r w:rsidRPr="00284C65">
        <w:rPr>
          <w:lang w:val="fr-CH"/>
        </w:rPr>
        <w:tab/>
      </w:r>
      <w:bookmarkStart w:id="4" w:name="notebasdepage1"/>
      <w:bookmarkEnd w:id="4"/>
      <w:r w:rsidRPr="00284C65">
        <w:rPr>
          <w:lang w:val="fr-CH"/>
        </w:rPr>
        <w:t>Prévue à Genève les 28 et 29</w:t>
      </w:r>
      <w:r>
        <w:rPr>
          <w:lang w:val="fr-CH"/>
        </w:rPr>
        <w:t> </w:t>
      </w:r>
      <w:r w:rsidRPr="00284C65">
        <w:rPr>
          <w:lang w:val="fr-CH"/>
        </w:rPr>
        <w:t>octobre</w:t>
      </w:r>
      <w:r>
        <w:rPr>
          <w:lang w:val="fr-CH"/>
        </w:rPr>
        <w:t> </w:t>
      </w:r>
      <w:r w:rsidRPr="00284C65">
        <w:rPr>
          <w:lang w:val="fr-CH"/>
        </w:rPr>
        <w:t>2019.</w:t>
      </w:r>
    </w:p>
  </w:footnote>
  <w:footnote w:id="3">
    <w:p w:rsidR="00BD693E" w:rsidRPr="00284C65" w:rsidRDefault="00BD693E" w:rsidP="00072377">
      <w:pPr>
        <w:pStyle w:val="FootnoteText"/>
        <w:rPr>
          <w:lang w:val="fr-CH"/>
        </w:rPr>
      </w:pPr>
      <w:r w:rsidRPr="00284C65">
        <w:rPr>
          <w:rStyle w:val="FootnoteReference"/>
          <w:lang w:val="fr-CH"/>
        </w:rPr>
        <w:footnoteRef/>
      </w:r>
      <w:r w:rsidRPr="00284C65">
        <w:rPr>
          <w:lang w:val="fr-CH"/>
        </w:rPr>
        <w:t xml:space="preserve"> </w:t>
      </w:r>
      <w:r w:rsidRPr="00284C65">
        <w:rPr>
          <w:lang w:val="fr-CH"/>
        </w:rPr>
        <w:tab/>
      </w:r>
      <w:bookmarkStart w:id="12" w:name="notebasdepage2"/>
      <w:bookmarkEnd w:id="12"/>
      <w:r w:rsidRPr="00284C65">
        <w:rPr>
          <w:lang w:val="fr-CH"/>
        </w:rPr>
        <w:t>Tenue à Genève les 28 et 29</w:t>
      </w:r>
      <w:r>
        <w:rPr>
          <w:lang w:val="fr-CH"/>
        </w:rPr>
        <w:t> </w:t>
      </w:r>
      <w:r w:rsidRPr="00284C65">
        <w:rPr>
          <w:lang w:val="fr-CH"/>
        </w:rPr>
        <w:t>octobre</w:t>
      </w:r>
      <w:r>
        <w:rPr>
          <w:lang w:val="fr-CH"/>
        </w:rPr>
        <w:t> </w:t>
      </w:r>
      <w:r w:rsidRPr="00284C65">
        <w:rPr>
          <w:lang w:val="fr-CH"/>
        </w:rPr>
        <w:t>2018.</w:t>
      </w:r>
    </w:p>
  </w:footnote>
  <w:footnote w:id="4">
    <w:p w:rsidR="00BD693E" w:rsidRPr="00284C65" w:rsidRDefault="00BD693E" w:rsidP="00072377">
      <w:pPr>
        <w:pStyle w:val="FootnoteText"/>
        <w:rPr>
          <w:lang w:val="fr-CH"/>
        </w:rPr>
      </w:pPr>
      <w:r w:rsidRPr="00284C65">
        <w:rPr>
          <w:rStyle w:val="FootnoteReference"/>
          <w:lang w:val="fr-CH"/>
        </w:rPr>
        <w:footnoteRef/>
      </w:r>
      <w:r w:rsidRPr="00284C65">
        <w:rPr>
          <w:lang w:val="fr-CH"/>
        </w:rPr>
        <w:t xml:space="preserve"> </w:t>
      </w:r>
      <w:r w:rsidRPr="00284C65">
        <w:rPr>
          <w:lang w:val="fr-CH"/>
        </w:rPr>
        <w:tab/>
      </w:r>
      <w:bookmarkStart w:id="13" w:name="notebasdepage3"/>
      <w:bookmarkEnd w:id="13"/>
      <w:r w:rsidRPr="00284C65">
        <w:rPr>
          <w:lang w:val="fr-CH"/>
        </w:rPr>
        <w:t>Tenue à Genève le 30</w:t>
      </w:r>
      <w:r>
        <w:rPr>
          <w:lang w:val="fr-CH"/>
        </w:rPr>
        <w:t> </w:t>
      </w:r>
      <w:r w:rsidRPr="00284C65">
        <w:rPr>
          <w:lang w:val="fr-CH"/>
        </w:rPr>
        <w:t>octobre</w:t>
      </w:r>
      <w:r>
        <w:rPr>
          <w:lang w:val="fr-CH"/>
        </w:rPr>
        <w:t> </w:t>
      </w:r>
      <w:r w:rsidRPr="00284C65">
        <w:rPr>
          <w:lang w:val="fr-CH"/>
        </w:rPr>
        <w:t>2018.</w:t>
      </w:r>
    </w:p>
  </w:footnote>
  <w:footnote w:id="5">
    <w:p w:rsidR="00BD693E" w:rsidRPr="00284C65" w:rsidRDefault="00BD693E" w:rsidP="00072377">
      <w:pPr>
        <w:pStyle w:val="FootnoteText"/>
        <w:rPr>
          <w:lang w:val="fr-CH"/>
        </w:rPr>
      </w:pPr>
      <w:r w:rsidRPr="00284C65">
        <w:rPr>
          <w:rStyle w:val="FootnoteReference"/>
          <w:lang w:val="fr-CH"/>
        </w:rPr>
        <w:footnoteRef/>
      </w:r>
      <w:r w:rsidRPr="00284C65">
        <w:rPr>
          <w:lang w:val="fr-CH"/>
        </w:rPr>
        <w:t xml:space="preserve"> </w:t>
      </w:r>
      <w:r w:rsidRPr="00284C65">
        <w:rPr>
          <w:lang w:val="fr-CH"/>
        </w:rPr>
        <w:tab/>
      </w:r>
      <w:bookmarkStart w:id="14" w:name="notebasdepage4"/>
      <w:bookmarkEnd w:id="14"/>
      <w:r w:rsidRPr="00284C65">
        <w:rPr>
          <w:lang w:val="fr-CH"/>
        </w:rPr>
        <w:t>Voir le paragraphe</w:t>
      </w:r>
      <w:r>
        <w:rPr>
          <w:lang w:val="fr-CH"/>
        </w:rPr>
        <w:t> </w:t>
      </w:r>
      <w:r w:rsidRPr="00284C65">
        <w:rPr>
          <w:lang w:val="fr-CH"/>
        </w:rPr>
        <w:t xml:space="preserve">251 du document </w:t>
      </w:r>
      <w:hyperlink r:id="rId1" w:history="1">
        <w:r w:rsidR="00B44BD9">
          <w:rPr>
            <w:rStyle w:val="Hyperlink"/>
          </w:rPr>
          <w:t>TC/54/31 Corr.</w:t>
        </w:r>
      </w:hyperlink>
      <w:r w:rsidRPr="00284C65">
        <w:rPr>
          <w:lang w:val="fr-CH"/>
        </w:rPr>
        <w:t xml:space="preserve"> “Compte rendu” et le paragraphe</w:t>
      </w:r>
      <w:r>
        <w:rPr>
          <w:lang w:val="fr-CH"/>
        </w:rPr>
        <w:t> </w:t>
      </w:r>
      <w:r w:rsidRPr="00284C65">
        <w:rPr>
          <w:lang w:val="fr-CH"/>
        </w:rPr>
        <w:t xml:space="preserve">13 du document </w:t>
      </w:r>
      <w:hyperlink r:id="rId2" w:history="1">
        <w:r w:rsidRPr="00920667">
          <w:rPr>
            <w:rStyle w:val="Hyperlink"/>
          </w:rPr>
          <w:t>CAJ/75/14</w:t>
        </w:r>
      </w:hyperlink>
      <w:r w:rsidRPr="00284C65">
        <w:rPr>
          <w:lang w:val="fr-CH"/>
        </w:rPr>
        <w:t xml:space="preserve"> “Compte rendu”.</w:t>
      </w:r>
    </w:p>
  </w:footnote>
  <w:footnote w:id="6">
    <w:p w:rsidR="00BD693E" w:rsidRPr="00284C65" w:rsidRDefault="00BD693E" w:rsidP="007B308C">
      <w:pPr>
        <w:pStyle w:val="FootnoteText"/>
        <w:rPr>
          <w:lang w:val="fr-CH"/>
        </w:rPr>
      </w:pPr>
      <w:r w:rsidRPr="00284C65">
        <w:rPr>
          <w:rStyle w:val="FootnoteReference"/>
          <w:lang w:val="fr-CH"/>
        </w:rPr>
        <w:footnoteRef/>
      </w:r>
      <w:r w:rsidRPr="00284C65">
        <w:rPr>
          <w:lang w:val="fr-CH"/>
        </w:rPr>
        <w:t xml:space="preserve"> </w:t>
      </w:r>
      <w:r w:rsidRPr="00284C65">
        <w:rPr>
          <w:lang w:val="fr-CH"/>
        </w:rPr>
        <w:tab/>
      </w:r>
      <w:bookmarkStart w:id="19" w:name="notebasdepage5"/>
      <w:bookmarkEnd w:id="19"/>
      <w:r w:rsidRPr="00284C65">
        <w:rPr>
          <w:lang w:val="fr-CH"/>
        </w:rPr>
        <w:t>Prévue à Genève le 30</w:t>
      </w:r>
      <w:r>
        <w:rPr>
          <w:lang w:val="fr-CH"/>
        </w:rPr>
        <w:t> </w:t>
      </w:r>
      <w:r w:rsidRPr="00284C65">
        <w:rPr>
          <w:lang w:val="fr-CH"/>
        </w:rPr>
        <w:t>octobre</w:t>
      </w:r>
      <w:r>
        <w:rPr>
          <w:lang w:val="fr-CH"/>
        </w:rPr>
        <w:t> </w:t>
      </w:r>
      <w:r w:rsidRPr="00284C65">
        <w:rPr>
          <w:lang w:val="fr-CH"/>
        </w:rPr>
        <w:t>2019.</w:t>
      </w:r>
    </w:p>
  </w:footnote>
  <w:footnote w:id="7">
    <w:p w:rsidR="00BD693E" w:rsidRPr="00284C65" w:rsidRDefault="00BD693E" w:rsidP="00A61DDE">
      <w:pPr>
        <w:pStyle w:val="FootnoteText"/>
        <w:rPr>
          <w:lang w:val="fr-CH"/>
        </w:rPr>
      </w:pPr>
      <w:r w:rsidRPr="00284C65">
        <w:rPr>
          <w:rStyle w:val="FootnoteReference"/>
          <w:lang w:val="fr-CH"/>
        </w:rPr>
        <w:footnoteRef/>
      </w:r>
      <w:r w:rsidRPr="00284C65">
        <w:rPr>
          <w:lang w:val="fr-CH"/>
        </w:rPr>
        <w:t xml:space="preserve"> </w:t>
      </w:r>
      <w:r w:rsidRPr="00284C65">
        <w:rPr>
          <w:lang w:val="fr-CH"/>
        </w:rPr>
        <w:tab/>
        <w:t>Voir les paragraphes</w:t>
      </w:r>
      <w:r>
        <w:rPr>
          <w:lang w:val="fr-CH"/>
        </w:rPr>
        <w:t> </w:t>
      </w:r>
      <w:r w:rsidRPr="00284C65">
        <w:rPr>
          <w:lang w:val="fr-CH"/>
        </w:rPr>
        <w:t>210 à 212 et 217 à 220 du document </w:t>
      </w:r>
      <w:hyperlink r:id="rId3" w:history="1">
        <w:r w:rsidR="00B44BD9">
          <w:rPr>
            <w:rStyle w:val="Hyperlink"/>
          </w:rPr>
          <w:t>TC/54/31 Corr.</w:t>
        </w:r>
      </w:hyperlink>
      <w:r w:rsidRPr="00284C65">
        <w:rPr>
          <w:lang w:val="fr-CH"/>
        </w:rPr>
        <w:t xml:space="preserve"> “Compte rendu”.</w:t>
      </w:r>
    </w:p>
  </w:footnote>
  <w:footnote w:id="8">
    <w:p w:rsidR="00BD693E" w:rsidRPr="00284C65" w:rsidRDefault="00BD693E" w:rsidP="00EC2E5A">
      <w:pPr>
        <w:pStyle w:val="FootnoteText"/>
        <w:rPr>
          <w:lang w:val="fr-CH"/>
        </w:rPr>
      </w:pPr>
      <w:r w:rsidRPr="00284C65">
        <w:rPr>
          <w:rStyle w:val="FootnoteReference"/>
          <w:lang w:val="fr-CH"/>
        </w:rPr>
        <w:footnoteRef/>
      </w:r>
      <w:r w:rsidRPr="00284C65">
        <w:rPr>
          <w:lang w:val="fr-CH"/>
        </w:rPr>
        <w:t xml:space="preserve"> </w:t>
      </w:r>
      <w:r w:rsidRPr="00284C65">
        <w:rPr>
          <w:lang w:val="fr-CH"/>
        </w:rPr>
        <w:tab/>
      </w:r>
      <w:bookmarkStart w:id="23" w:name="notebasdepage7"/>
      <w:bookmarkEnd w:id="23"/>
      <w:r w:rsidRPr="00284C65">
        <w:rPr>
          <w:lang w:val="fr-CH"/>
        </w:rPr>
        <w:t>Tenue à Genève du 3 au 5</w:t>
      </w:r>
      <w:r>
        <w:rPr>
          <w:lang w:val="fr-CH"/>
        </w:rPr>
        <w:t> </w:t>
      </w:r>
      <w:r w:rsidRPr="00284C65">
        <w:rPr>
          <w:lang w:val="fr-CH"/>
        </w:rPr>
        <w:t>avril</w:t>
      </w:r>
      <w:r>
        <w:rPr>
          <w:lang w:val="fr-CH"/>
        </w:rPr>
        <w:t> </w:t>
      </w:r>
      <w:r w:rsidRPr="00284C65">
        <w:rPr>
          <w:lang w:val="fr-CH"/>
        </w:rPr>
        <w:t>2017.</w:t>
      </w:r>
    </w:p>
  </w:footnote>
  <w:footnote w:id="9">
    <w:p w:rsidR="00BD693E" w:rsidRPr="00284C65" w:rsidRDefault="00BD693E" w:rsidP="00EC2E5A">
      <w:pPr>
        <w:pStyle w:val="FootnoteText"/>
        <w:rPr>
          <w:lang w:val="fr-CH"/>
        </w:rPr>
      </w:pPr>
      <w:r w:rsidRPr="00284C65">
        <w:rPr>
          <w:rStyle w:val="FootnoteReference"/>
          <w:lang w:val="fr-CH"/>
        </w:rPr>
        <w:footnoteRef/>
      </w:r>
      <w:r w:rsidRPr="00284C65">
        <w:rPr>
          <w:lang w:val="fr-CH"/>
        </w:rPr>
        <w:t xml:space="preserve"> </w:t>
      </w:r>
      <w:r w:rsidRPr="00284C65">
        <w:rPr>
          <w:lang w:val="fr-CH"/>
        </w:rPr>
        <w:tab/>
        <w:t>Voir les paragraphes</w:t>
      </w:r>
      <w:r>
        <w:rPr>
          <w:lang w:val="fr-CH"/>
        </w:rPr>
        <w:t> </w:t>
      </w:r>
      <w:r w:rsidRPr="00284C65">
        <w:rPr>
          <w:lang w:val="fr-CH"/>
        </w:rPr>
        <w:t xml:space="preserve">113 à 116 du document </w:t>
      </w:r>
      <w:hyperlink r:id="rId4" w:history="1">
        <w:r w:rsidRPr="00920667">
          <w:rPr>
            <w:rStyle w:val="Hyperlink"/>
          </w:rPr>
          <w:t>TC/53/31</w:t>
        </w:r>
      </w:hyperlink>
      <w:r w:rsidRPr="00284C65">
        <w:rPr>
          <w:lang w:val="fr-CH"/>
        </w:rPr>
        <w:t xml:space="preserve"> “Compte rendu”.</w:t>
      </w:r>
    </w:p>
  </w:footnote>
  <w:footnote w:id="10">
    <w:p w:rsidR="00BD693E" w:rsidRPr="00284C65" w:rsidRDefault="00BD693E" w:rsidP="00E80C47">
      <w:pPr>
        <w:pStyle w:val="FootnoteText"/>
        <w:rPr>
          <w:lang w:val="fr-CH"/>
        </w:rPr>
      </w:pPr>
      <w:r w:rsidRPr="00284C65">
        <w:rPr>
          <w:rStyle w:val="FootnoteReference"/>
          <w:lang w:val="fr-CH"/>
        </w:rPr>
        <w:footnoteRef/>
      </w:r>
      <w:r w:rsidRPr="00284C65">
        <w:rPr>
          <w:lang w:val="fr-CH"/>
        </w:rPr>
        <w:t xml:space="preserve"> </w:t>
      </w:r>
      <w:r w:rsidRPr="00284C65">
        <w:rPr>
          <w:lang w:val="fr-CH"/>
        </w:rPr>
        <w:tab/>
        <w:t>Voir les paragraphes</w:t>
      </w:r>
      <w:r>
        <w:rPr>
          <w:lang w:val="fr-CH"/>
        </w:rPr>
        <w:t> </w:t>
      </w:r>
      <w:r w:rsidRPr="00284C65">
        <w:rPr>
          <w:lang w:val="fr-CH"/>
        </w:rPr>
        <w:t xml:space="preserve">231 et 232 du document </w:t>
      </w:r>
      <w:hyperlink r:id="rId5" w:history="1">
        <w:r w:rsidR="00B44BD9">
          <w:rPr>
            <w:rStyle w:val="Hyperlink"/>
          </w:rPr>
          <w:t>TC/54/31 Corr.</w:t>
        </w:r>
      </w:hyperlink>
      <w:r w:rsidRPr="00284C65">
        <w:rPr>
          <w:lang w:val="fr-CH"/>
        </w:rPr>
        <w:t xml:space="preserve"> “Compte rendu”.</w:t>
      </w:r>
    </w:p>
  </w:footnote>
  <w:footnote w:id="11">
    <w:p w:rsidR="00BD693E" w:rsidRPr="00284C65" w:rsidRDefault="00BD693E" w:rsidP="003E3DBE">
      <w:pPr>
        <w:pStyle w:val="FootnoteText"/>
        <w:rPr>
          <w:lang w:val="fr-CH"/>
        </w:rPr>
      </w:pPr>
      <w:r w:rsidRPr="00284C65">
        <w:rPr>
          <w:rStyle w:val="FootnoteReference"/>
          <w:lang w:val="fr-CH"/>
        </w:rPr>
        <w:footnoteRef/>
      </w:r>
      <w:r w:rsidRPr="00284C65">
        <w:rPr>
          <w:lang w:val="fr-CH"/>
        </w:rPr>
        <w:t xml:space="preserve"> </w:t>
      </w:r>
      <w:r w:rsidRPr="00284C65">
        <w:rPr>
          <w:lang w:val="fr-CH"/>
        </w:rPr>
        <w:tab/>
        <w:t>Voir les paragraphes</w:t>
      </w:r>
      <w:r>
        <w:rPr>
          <w:lang w:val="fr-CH"/>
        </w:rPr>
        <w:t> </w:t>
      </w:r>
      <w:r w:rsidRPr="00284C65">
        <w:rPr>
          <w:lang w:val="fr-CH"/>
        </w:rPr>
        <w:t xml:space="preserve">233 et 234 du document </w:t>
      </w:r>
      <w:hyperlink r:id="rId6" w:history="1">
        <w:r w:rsidR="00B44BD9">
          <w:rPr>
            <w:rStyle w:val="Hyperlink"/>
          </w:rPr>
          <w:t>TC/54/31 Corr.</w:t>
        </w:r>
      </w:hyperlink>
      <w:r w:rsidRPr="00284C65">
        <w:rPr>
          <w:lang w:val="fr-CH"/>
        </w:rPr>
        <w:t xml:space="preserve"> “Compte rendu”.</w:t>
      </w:r>
    </w:p>
  </w:footnote>
  <w:footnote w:id="12">
    <w:p w:rsidR="00BD693E" w:rsidRPr="00284C65" w:rsidRDefault="00BD693E" w:rsidP="006B21D6">
      <w:pPr>
        <w:pStyle w:val="FootnoteText"/>
        <w:rPr>
          <w:lang w:val="fr-CH"/>
        </w:rPr>
      </w:pPr>
      <w:r w:rsidRPr="00284C65">
        <w:rPr>
          <w:rStyle w:val="FootnoteReference"/>
          <w:lang w:val="fr-CH"/>
        </w:rPr>
        <w:footnoteRef/>
      </w:r>
      <w:r w:rsidRPr="00284C65">
        <w:rPr>
          <w:lang w:val="fr-CH"/>
        </w:rPr>
        <w:t xml:space="preserve"> </w:t>
      </w:r>
      <w:r w:rsidRPr="00284C65">
        <w:rPr>
          <w:lang w:val="fr-CH"/>
        </w:rPr>
        <w:tab/>
        <w:t>Voir le paragraphe</w:t>
      </w:r>
      <w:r>
        <w:rPr>
          <w:lang w:val="fr-CH"/>
        </w:rPr>
        <w:t> </w:t>
      </w:r>
      <w:r w:rsidRPr="00284C65">
        <w:rPr>
          <w:lang w:val="fr-CH"/>
        </w:rPr>
        <w:t xml:space="preserve">141 du document </w:t>
      </w:r>
      <w:hyperlink r:id="rId7" w:history="1">
        <w:r w:rsidR="00B44BD9" w:rsidRPr="00920667">
          <w:rPr>
            <w:rStyle w:val="Hyperlink"/>
          </w:rPr>
          <w:t>TC/53/31</w:t>
        </w:r>
      </w:hyperlink>
      <w:r w:rsidRPr="00284C65">
        <w:rPr>
          <w:lang w:val="fr-CH"/>
        </w:rPr>
        <w:t xml:space="preserve"> “Compte rendu”.</w:t>
      </w:r>
    </w:p>
  </w:footnote>
  <w:footnote w:id="13">
    <w:p w:rsidR="00BD693E" w:rsidRPr="00284C65" w:rsidRDefault="00BD693E" w:rsidP="006B21D6">
      <w:pPr>
        <w:pStyle w:val="FootnoteText"/>
        <w:rPr>
          <w:lang w:val="fr-CH"/>
        </w:rPr>
      </w:pPr>
      <w:r w:rsidRPr="00284C65">
        <w:rPr>
          <w:rStyle w:val="FootnoteReference"/>
          <w:lang w:val="fr-CH"/>
        </w:rPr>
        <w:footnoteRef/>
      </w:r>
      <w:r w:rsidRPr="00284C65">
        <w:rPr>
          <w:lang w:val="fr-CH"/>
        </w:rPr>
        <w:t xml:space="preserve"> </w:t>
      </w:r>
      <w:r w:rsidRPr="00284C65">
        <w:rPr>
          <w:lang w:val="fr-CH"/>
        </w:rPr>
        <w:tab/>
        <w:t>Voir le paragraphe</w:t>
      </w:r>
      <w:r>
        <w:rPr>
          <w:lang w:val="fr-CH"/>
        </w:rPr>
        <w:t> </w:t>
      </w:r>
      <w:r w:rsidRPr="00284C65">
        <w:rPr>
          <w:lang w:val="fr-CH"/>
        </w:rPr>
        <w:t xml:space="preserve">244 du document </w:t>
      </w:r>
      <w:hyperlink r:id="rId8" w:history="1">
        <w:r w:rsidR="00B44BD9">
          <w:rPr>
            <w:rStyle w:val="Hyperlink"/>
          </w:rPr>
          <w:t>TC/54/31 Corr.</w:t>
        </w:r>
      </w:hyperlink>
      <w:r w:rsidRPr="00284C65">
        <w:rPr>
          <w:lang w:val="fr-CH"/>
        </w:rPr>
        <w:t xml:space="preserve"> “Compte rendu”.</w:t>
      </w:r>
    </w:p>
  </w:footnote>
  <w:footnote w:id="14">
    <w:p w:rsidR="00BD693E" w:rsidRPr="00284C65" w:rsidRDefault="00BD693E" w:rsidP="00472A9F">
      <w:pPr>
        <w:pStyle w:val="FootnoteText"/>
        <w:rPr>
          <w:lang w:val="fr-CH"/>
        </w:rPr>
      </w:pPr>
      <w:r w:rsidRPr="00284C65">
        <w:rPr>
          <w:rStyle w:val="FootnoteReference"/>
          <w:lang w:val="fr-CH"/>
        </w:rPr>
        <w:footnoteRef/>
      </w:r>
      <w:r w:rsidRPr="00284C65">
        <w:rPr>
          <w:lang w:val="fr-CH"/>
        </w:rPr>
        <w:t xml:space="preserve"> </w:t>
      </w:r>
      <w:r w:rsidRPr="00284C65">
        <w:rPr>
          <w:lang w:val="fr-CH"/>
        </w:rPr>
        <w:tab/>
        <w:t>Voir les paragraphes</w:t>
      </w:r>
      <w:r>
        <w:rPr>
          <w:lang w:val="fr-CH"/>
        </w:rPr>
        <w:t> </w:t>
      </w:r>
      <w:r w:rsidRPr="00284C65">
        <w:rPr>
          <w:lang w:val="fr-CH"/>
        </w:rPr>
        <w:t xml:space="preserve">272 et 273 du document </w:t>
      </w:r>
      <w:hyperlink r:id="rId9" w:history="1">
        <w:r w:rsidR="00B44BD9">
          <w:rPr>
            <w:rStyle w:val="Hyperlink"/>
          </w:rPr>
          <w:t>TC/54/31 Corr.</w:t>
        </w:r>
      </w:hyperlink>
      <w:r w:rsidRPr="00284C65">
        <w:rPr>
          <w:lang w:val="fr-CH"/>
        </w:rPr>
        <w:t xml:space="preserve"> “Compte rendu”.</w:t>
      </w:r>
    </w:p>
  </w:footnote>
  <w:footnote w:id="15">
    <w:p w:rsidR="00BD693E" w:rsidRPr="00284C65" w:rsidRDefault="00BD693E" w:rsidP="009E41B1">
      <w:pPr>
        <w:pStyle w:val="FootnoteText"/>
        <w:rPr>
          <w:lang w:val="fr-CH"/>
        </w:rPr>
      </w:pPr>
      <w:r w:rsidRPr="00284C65">
        <w:rPr>
          <w:rStyle w:val="FootnoteReference"/>
          <w:lang w:val="fr-CH"/>
        </w:rPr>
        <w:footnoteRef/>
      </w:r>
      <w:r w:rsidRPr="00284C65">
        <w:rPr>
          <w:lang w:val="fr-CH"/>
        </w:rPr>
        <w:t xml:space="preserve"> </w:t>
      </w:r>
      <w:r w:rsidRPr="00284C65">
        <w:rPr>
          <w:lang w:val="fr-CH"/>
        </w:rPr>
        <w:tab/>
        <w:t>Voir les paragraphes</w:t>
      </w:r>
      <w:r>
        <w:rPr>
          <w:lang w:val="fr-CH"/>
        </w:rPr>
        <w:t> </w:t>
      </w:r>
      <w:r w:rsidRPr="00284C65">
        <w:rPr>
          <w:lang w:val="fr-CH"/>
        </w:rPr>
        <w:t xml:space="preserve">290 et 291 du document </w:t>
      </w:r>
      <w:hyperlink r:id="rId10" w:history="1">
        <w:r w:rsidR="00B44BD9">
          <w:rPr>
            <w:rStyle w:val="Hyperlink"/>
          </w:rPr>
          <w:t>TC/54/31 Corr.</w:t>
        </w:r>
      </w:hyperlink>
      <w:r w:rsidRPr="00284C65">
        <w:rPr>
          <w:lang w:val="fr-CH"/>
        </w:rPr>
        <w:t xml:space="preserve"> “Compte rendu”.</w:t>
      </w:r>
    </w:p>
  </w:footnote>
  <w:footnote w:id="16">
    <w:p w:rsidR="00BD693E" w:rsidRPr="00284C65" w:rsidRDefault="00BD693E" w:rsidP="00AF3246">
      <w:pPr>
        <w:pStyle w:val="FootnoteText"/>
        <w:rPr>
          <w:lang w:val="fr-CH"/>
        </w:rPr>
      </w:pPr>
      <w:r w:rsidRPr="00284C65">
        <w:rPr>
          <w:rStyle w:val="FootnoteReference"/>
          <w:lang w:val="fr-CH"/>
        </w:rPr>
        <w:footnoteRef/>
      </w:r>
      <w:r w:rsidRPr="00284C65">
        <w:rPr>
          <w:lang w:val="fr-CH"/>
        </w:rPr>
        <w:t xml:space="preserve"> </w:t>
      </w:r>
      <w:r w:rsidRPr="00284C65">
        <w:rPr>
          <w:lang w:val="fr-CH"/>
        </w:rPr>
        <w:tab/>
        <w:t>Voir le paragraphe</w:t>
      </w:r>
      <w:r>
        <w:rPr>
          <w:lang w:val="fr-CH"/>
        </w:rPr>
        <w:t> </w:t>
      </w:r>
      <w:r w:rsidRPr="00284C65">
        <w:rPr>
          <w:lang w:val="fr-CH"/>
        </w:rPr>
        <w:t xml:space="preserve">251 du document </w:t>
      </w:r>
      <w:hyperlink r:id="rId11" w:history="1">
        <w:r w:rsidR="00B44BD9">
          <w:rPr>
            <w:rStyle w:val="Hyperlink"/>
          </w:rPr>
          <w:t>TC/54/31 Corr.</w:t>
        </w:r>
      </w:hyperlink>
      <w:r w:rsidRPr="00284C65">
        <w:rPr>
          <w:lang w:val="fr-CH"/>
        </w:rPr>
        <w:t xml:space="preserve"> “Compte rendu” et le paragraphe</w:t>
      </w:r>
      <w:r>
        <w:rPr>
          <w:lang w:val="fr-CH"/>
        </w:rPr>
        <w:t> </w:t>
      </w:r>
      <w:r w:rsidRPr="00284C65">
        <w:rPr>
          <w:lang w:val="fr-CH"/>
        </w:rPr>
        <w:t xml:space="preserve">13 du document </w:t>
      </w:r>
      <w:hyperlink r:id="rId12" w:history="1">
        <w:r w:rsidRPr="00920667">
          <w:rPr>
            <w:rStyle w:val="Hyperlink"/>
          </w:rPr>
          <w:t>CAJ/75/14</w:t>
        </w:r>
      </w:hyperlink>
      <w:r w:rsidRPr="00284C65">
        <w:rPr>
          <w:lang w:val="fr-CH"/>
        </w:rPr>
        <w:t xml:space="preserve"> “Compte rendu”.</w:t>
      </w:r>
    </w:p>
  </w:footnote>
  <w:footnote w:id="17">
    <w:p w:rsidR="00BD693E" w:rsidRPr="00284C65" w:rsidRDefault="00BD693E" w:rsidP="00A66FC4">
      <w:pPr>
        <w:pStyle w:val="FootnoteText"/>
        <w:rPr>
          <w:lang w:val="fr-CH"/>
        </w:rPr>
      </w:pPr>
      <w:r w:rsidRPr="00284C65">
        <w:rPr>
          <w:rStyle w:val="FootnoteReference"/>
          <w:lang w:val="fr-CH"/>
        </w:rPr>
        <w:footnoteRef/>
      </w:r>
      <w:r w:rsidRPr="00284C65">
        <w:rPr>
          <w:lang w:val="fr-CH"/>
        </w:rPr>
        <w:t xml:space="preserve"> </w:t>
      </w:r>
      <w:r w:rsidRPr="00284C65">
        <w:rPr>
          <w:lang w:val="fr-CH"/>
        </w:rPr>
        <w:tab/>
        <w:t>Tenue à Genève les 28 et 29</w:t>
      </w:r>
      <w:r>
        <w:rPr>
          <w:lang w:val="fr-CH"/>
        </w:rPr>
        <w:t> </w:t>
      </w:r>
      <w:r w:rsidRPr="00284C65">
        <w:rPr>
          <w:lang w:val="fr-CH"/>
        </w:rPr>
        <w:t>octobre</w:t>
      </w:r>
      <w:r>
        <w:rPr>
          <w:lang w:val="fr-CH"/>
        </w:rPr>
        <w:t> </w:t>
      </w:r>
      <w:r w:rsidRPr="00284C65">
        <w:rPr>
          <w:lang w:val="fr-CH"/>
        </w:rPr>
        <w:t>2018.</w:t>
      </w:r>
    </w:p>
  </w:footnote>
  <w:footnote w:id="18">
    <w:p w:rsidR="00E23344" w:rsidRPr="00461106" w:rsidRDefault="00E23344" w:rsidP="00E23344">
      <w:pPr>
        <w:pStyle w:val="FootnoteText"/>
        <w:rPr>
          <w:lang w:val="fr-CH"/>
        </w:rPr>
      </w:pPr>
      <w:r w:rsidRPr="00461106">
        <w:rPr>
          <w:rStyle w:val="FootnoteReference"/>
          <w:lang w:val="fr-CH"/>
        </w:rPr>
        <w:footnoteRef/>
      </w:r>
      <w:r w:rsidRPr="00461106">
        <w:rPr>
          <w:lang w:val="fr-CH"/>
        </w:rPr>
        <w:t xml:space="preserve"> </w:t>
      </w:r>
      <w:r w:rsidRPr="00461106">
        <w:rPr>
          <w:lang w:val="fr-CH"/>
        </w:rPr>
        <w:tab/>
        <w:t>Tenue à Genève du 3 au 5 avril 2017.</w:t>
      </w:r>
    </w:p>
  </w:footnote>
  <w:footnote w:id="19">
    <w:p w:rsidR="00E23344" w:rsidRPr="00461106" w:rsidRDefault="00E23344" w:rsidP="00E23344">
      <w:pPr>
        <w:pStyle w:val="FootnoteText"/>
        <w:rPr>
          <w:lang w:val="fr-CH"/>
        </w:rPr>
      </w:pPr>
      <w:r w:rsidRPr="00461106">
        <w:rPr>
          <w:rStyle w:val="FootnoteReference"/>
          <w:lang w:val="fr-CH"/>
        </w:rPr>
        <w:footnoteRef/>
      </w:r>
      <w:r w:rsidRPr="00461106">
        <w:rPr>
          <w:lang w:val="fr-CH"/>
        </w:rPr>
        <w:t xml:space="preserve"> </w:t>
      </w:r>
      <w:r w:rsidRPr="00461106">
        <w:rPr>
          <w:lang w:val="fr-CH"/>
        </w:rPr>
        <w:tab/>
        <w:t>Tenue à Genève les 28 et 29 octobre 2018.</w:t>
      </w:r>
    </w:p>
  </w:footnote>
  <w:footnote w:id="20">
    <w:p w:rsidR="00E23344" w:rsidRPr="00461106" w:rsidRDefault="00E23344" w:rsidP="00E23344">
      <w:pPr>
        <w:pStyle w:val="FootnoteText"/>
        <w:rPr>
          <w:lang w:val="fr-CH"/>
        </w:rPr>
      </w:pPr>
      <w:r w:rsidRPr="00461106">
        <w:rPr>
          <w:rStyle w:val="FootnoteReference"/>
          <w:lang w:val="fr-CH"/>
        </w:rPr>
        <w:footnoteRef/>
      </w:r>
      <w:r w:rsidRPr="00461106">
        <w:rPr>
          <w:lang w:val="fr-CH"/>
        </w:rPr>
        <w:t xml:space="preserve"> </w:t>
      </w:r>
      <w:r w:rsidRPr="00461106">
        <w:rPr>
          <w:lang w:val="fr-CH"/>
        </w:rPr>
        <w:tab/>
        <w:t>Tenue à Genève les 28 et 29 octobre 2018.</w:t>
      </w:r>
    </w:p>
  </w:footnote>
  <w:footnote w:id="21">
    <w:p w:rsidR="003B4FCF" w:rsidRPr="00461106" w:rsidRDefault="003B4FCF" w:rsidP="003B4FCF">
      <w:pPr>
        <w:pStyle w:val="FootnoteText"/>
        <w:rPr>
          <w:lang w:val="fr-CH"/>
        </w:rPr>
      </w:pPr>
      <w:r w:rsidRPr="00461106">
        <w:rPr>
          <w:rStyle w:val="FootnoteReference"/>
          <w:lang w:val="fr-CH"/>
        </w:rPr>
        <w:footnoteRef/>
      </w:r>
      <w:r w:rsidRPr="00461106">
        <w:rPr>
          <w:lang w:val="fr-CH"/>
        </w:rPr>
        <w:tab/>
        <w:t>Tenue à Genève du 3 au 5 avril 2017.</w:t>
      </w:r>
    </w:p>
  </w:footnote>
  <w:footnote w:id="22">
    <w:p w:rsidR="003B4FCF" w:rsidRPr="00461106" w:rsidRDefault="003B4FCF" w:rsidP="003B4FCF">
      <w:pPr>
        <w:pStyle w:val="FootnoteText"/>
        <w:rPr>
          <w:lang w:val="fr-CH"/>
        </w:rPr>
      </w:pPr>
      <w:r w:rsidRPr="00461106">
        <w:rPr>
          <w:rStyle w:val="FootnoteReference"/>
          <w:lang w:val="fr-CH"/>
        </w:rPr>
        <w:footnoteRef/>
      </w:r>
      <w:r w:rsidRPr="00461106">
        <w:rPr>
          <w:lang w:val="fr-CH"/>
        </w:rPr>
        <w:t xml:space="preserve"> </w:t>
      </w:r>
      <w:r w:rsidRPr="00461106">
        <w:rPr>
          <w:lang w:val="fr-CH"/>
        </w:rPr>
        <w:tab/>
        <w:t>Tenue à Genève les 28 et 29 octobre 2018.</w:t>
      </w:r>
    </w:p>
  </w:footnote>
  <w:footnote w:id="23">
    <w:p w:rsidR="003B4FCF" w:rsidRPr="00461106" w:rsidRDefault="003B4FCF" w:rsidP="003B4FCF">
      <w:pPr>
        <w:pStyle w:val="FootnoteText"/>
        <w:rPr>
          <w:lang w:val="fr-CH"/>
        </w:rPr>
      </w:pPr>
      <w:r w:rsidRPr="00461106">
        <w:rPr>
          <w:rStyle w:val="FootnoteReference"/>
        </w:rPr>
        <w:footnoteRef/>
      </w:r>
      <w:r w:rsidRPr="00461106">
        <w:rPr>
          <w:lang w:val="fr-CH"/>
        </w:rPr>
        <w:t xml:space="preserve"> </w:t>
      </w:r>
      <w:r w:rsidRPr="00461106">
        <w:rPr>
          <w:lang w:val="fr-CH"/>
        </w:rPr>
        <w:tab/>
        <w:t>Tenue à Genève les 28 et 29 octobre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93E" w:rsidRPr="002E1B40" w:rsidRDefault="00BD693E" w:rsidP="00273B07">
    <w:pPr>
      <w:jc w:val="center"/>
      <w:rPr>
        <w:lang w:val="pt-BR"/>
      </w:rPr>
    </w:pPr>
    <w:r>
      <w:t>CAJ/76/5</w:t>
    </w:r>
  </w:p>
  <w:p w:rsidR="00BD693E" w:rsidRDefault="00BD693E" w:rsidP="00273B07">
    <w:pPr>
      <w:jc w:val="center"/>
    </w:pPr>
    <w:r w:rsidRPr="002E1B40">
      <w:rPr>
        <w:lang w:val="pt-BR"/>
      </w:rPr>
      <w:t>page</w:t>
    </w:r>
    <w:r>
      <w:rPr>
        <w:lang w:val="pt-BR"/>
      </w:rPr>
      <w:t> </w:t>
    </w:r>
    <w:r w:rsidRPr="00C5280D">
      <w:fldChar w:fldCharType="begin"/>
    </w:r>
    <w:r w:rsidRPr="002E1B40">
      <w:rPr>
        <w:lang w:val="pt-BR"/>
      </w:rPr>
      <w:instrText xml:space="preserve"> PAGE </w:instrText>
    </w:r>
    <w:r w:rsidRPr="00C5280D">
      <w:fldChar w:fldCharType="separate"/>
    </w:r>
    <w:r w:rsidR="00B014ED">
      <w:rPr>
        <w:noProof/>
        <w:lang w:val="pt-BR"/>
      </w:rPr>
      <w:t>6</w:t>
    </w:r>
    <w:r w:rsidRPr="00C5280D">
      <w:fldChar w:fldCharType="end"/>
    </w:r>
  </w:p>
  <w:p w:rsidR="00BD693E" w:rsidRPr="002E1B40" w:rsidRDefault="00BD693E" w:rsidP="00273B07">
    <w:pPr>
      <w:jc w:val="center"/>
      <w:rPr>
        <w:lang w:val="pt-BR"/>
      </w:rPr>
    </w:pPr>
  </w:p>
  <w:p w:rsidR="00BD693E" w:rsidRPr="002E1B40" w:rsidRDefault="00BD693E" w:rsidP="006655D3">
    <w:pPr>
      <w:rPr>
        <w:lang w:val="pt-BR"/>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93E" w:rsidRDefault="00BD693E" w:rsidP="00273B07">
    <w:pPr>
      <w:jc w:val="center"/>
    </w:pPr>
    <w:r>
      <w:t>CAJ/76/5</w:t>
    </w:r>
  </w:p>
  <w:p w:rsidR="000B52F2" w:rsidRDefault="000B52F2" w:rsidP="00273B07">
    <w:pPr>
      <w:jc w:val="center"/>
    </w:pPr>
  </w:p>
  <w:p w:rsidR="00BD693E" w:rsidRDefault="00BD693E" w:rsidP="00273B07">
    <w:pPr>
      <w:jc w:val="center"/>
    </w:pPr>
    <w:r>
      <w:t xml:space="preserve">ANNEXE V </w:t>
    </w:r>
  </w:p>
  <w:p w:rsidR="00BD693E" w:rsidRPr="004A75CB" w:rsidRDefault="00BD693E" w:rsidP="00273B07">
    <w:pPr>
      <w:jc w:val="cent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93E" w:rsidRPr="00C5280D" w:rsidRDefault="00BD693E" w:rsidP="00EB048E">
    <w:pPr>
      <w:pStyle w:val="Header"/>
      <w:rPr>
        <w:rStyle w:val="PageNumber"/>
        <w:lang w:val="en-US"/>
      </w:rPr>
    </w:pPr>
    <w:r>
      <w:rPr>
        <w:rStyle w:val="PageNumber"/>
        <w:lang w:val="en-US"/>
      </w:rPr>
      <w:t>CAJ/76/5</w:t>
    </w:r>
  </w:p>
  <w:p w:rsidR="00BD693E" w:rsidRPr="00C5280D" w:rsidRDefault="00BD693E"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014ED">
      <w:rPr>
        <w:rStyle w:val="PageNumber"/>
        <w:noProof/>
        <w:lang w:val="en-US"/>
      </w:rPr>
      <w:t>6</w:t>
    </w:r>
    <w:r w:rsidRPr="00C5280D">
      <w:rPr>
        <w:rStyle w:val="PageNumber"/>
        <w:lang w:val="en-US"/>
      </w:rPr>
      <w:fldChar w:fldCharType="end"/>
    </w:r>
  </w:p>
  <w:p w:rsidR="00BD693E" w:rsidRPr="00C5280D" w:rsidRDefault="00BD693E" w:rsidP="006655D3"/>
  <w:p w:rsidR="00BD693E" w:rsidRDefault="00BD693E"/>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93E" w:rsidRPr="009E73DD" w:rsidRDefault="00BD693E" w:rsidP="005D6892">
    <w:pPr>
      <w:spacing w:after="120"/>
      <w:jc w:val="center"/>
      <w:rPr>
        <w:lang w:val="fr-CH"/>
      </w:rPr>
    </w:pPr>
    <w:r w:rsidRPr="009E73DD">
      <w:rPr>
        <w:lang w:val="fr-CH"/>
      </w:rPr>
      <w:t>CAJ/76/5</w:t>
    </w:r>
  </w:p>
  <w:p w:rsidR="00BD693E" w:rsidRPr="00C01B33" w:rsidRDefault="00BD693E" w:rsidP="005D6892">
    <w:pPr>
      <w:spacing w:after="120"/>
      <w:jc w:val="center"/>
      <w:rPr>
        <w:lang w:val="fr-CH"/>
      </w:rPr>
    </w:pPr>
    <w:r w:rsidRPr="00C01B33">
      <w:rPr>
        <w:lang w:val="fr-CH"/>
      </w:rPr>
      <w:t xml:space="preserve">ANNEXE VI  -  PROGRAMME D’ÉLABORATION DES DOCUMENTS TGP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93E" w:rsidRPr="000B52F2" w:rsidRDefault="00BD693E" w:rsidP="00EB048E">
    <w:pPr>
      <w:pStyle w:val="Header"/>
      <w:rPr>
        <w:rStyle w:val="PageNumber"/>
      </w:rPr>
    </w:pPr>
    <w:r w:rsidRPr="000B52F2">
      <w:t>CAJ/76/5</w:t>
    </w:r>
  </w:p>
  <w:p w:rsidR="00BD693E" w:rsidRPr="000B52F2" w:rsidRDefault="00BD693E" w:rsidP="00EB048E">
    <w:pPr>
      <w:pStyle w:val="Header"/>
      <w:rPr>
        <w:rStyle w:val="PageNumber"/>
      </w:rPr>
    </w:pPr>
    <w:r w:rsidRPr="000B52F2">
      <w:t xml:space="preserve">Annexe I, page </w:t>
    </w:r>
    <w:r w:rsidRPr="000B52F2">
      <w:rPr>
        <w:rStyle w:val="PageNumber"/>
      </w:rPr>
      <w:fldChar w:fldCharType="begin"/>
    </w:r>
    <w:r w:rsidRPr="000B52F2">
      <w:rPr>
        <w:rStyle w:val="PageNumber"/>
      </w:rPr>
      <w:instrText xml:space="preserve"> PAGE </w:instrText>
    </w:r>
    <w:r w:rsidRPr="000B52F2">
      <w:rPr>
        <w:rStyle w:val="PageNumber"/>
      </w:rPr>
      <w:fldChar w:fldCharType="separate"/>
    </w:r>
    <w:r w:rsidR="00B014ED">
      <w:rPr>
        <w:rStyle w:val="PageNumber"/>
        <w:noProof/>
      </w:rPr>
      <w:t>2</w:t>
    </w:r>
    <w:r w:rsidRPr="000B52F2">
      <w:rPr>
        <w:rStyle w:val="PageNumber"/>
      </w:rPr>
      <w:fldChar w:fldCharType="end"/>
    </w:r>
  </w:p>
  <w:p w:rsidR="009A020C" w:rsidRPr="000B52F2" w:rsidRDefault="009A020C" w:rsidP="00EB048E">
    <w:pPr>
      <w:pStyle w:val="Header"/>
    </w:pPr>
  </w:p>
  <w:p w:rsidR="00BD693E" w:rsidRPr="000B52F2" w:rsidRDefault="00BD693E" w:rsidP="006655D3">
    <w:pP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93E" w:rsidRDefault="00BD693E" w:rsidP="00273B07">
    <w:pPr>
      <w:jc w:val="center"/>
    </w:pPr>
    <w:r>
      <w:t>CAJ/76/5</w:t>
    </w:r>
  </w:p>
  <w:p w:rsidR="00BD693E" w:rsidRDefault="00BD693E" w:rsidP="00273B07">
    <w:pPr>
      <w:jc w:val="center"/>
    </w:pPr>
  </w:p>
  <w:p w:rsidR="00BD693E" w:rsidRDefault="000B52F2" w:rsidP="00273B07">
    <w:pPr>
      <w:jc w:val="center"/>
    </w:pPr>
    <w:r>
      <w:t>ANNEXE I</w:t>
    </w:r>
  </w:p>
  <w:p w:rsidR="00BD693E" w:rsidRPr="004A75CB" w:rsidRDefault="00BD693E" w:rsidP="00273B07">
    <w:pP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93E" w:rsidRDefault="00BD693E" w:rsidP="00273B07">
    <w:pPr>
      <w:jc w:val="center"/>
    </w:pPr>
    <w:r>
      <w:t>CAJ/76/5</w:t>
    </w:r>
  </w:p>
  <w:p w:rsidR="000B52F2" w:rsidRDefault="000B52F2" w:rsidP="00273B07">
    <w:pPr>
      <w:jc w:val="center"/>
    </w:pPr>
  </w:p>
  <w:p w:rsidR="00BD693E" w:rsidRDefault="00BD693E" w:rsidP="00273B07">
    <w:pPr>
      <w:jc w:val="center"/>
    </w:pPr>
    <w:r>
      <w:t xml:space="preserve">ANNEXE II </w:t>
    </w:r>
  </w:p>
  <w:p w:rsidR="00BD693E" w:rsidRPr="004A75CB" w:rsidRDefault="00BD693E" w:rsidP="00273B07">
    <w:pP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93E" w:rsidRPr="00436698" w:rsidRDefault="00BD693E" w:rsidP="00EB048E">
    <w:pPr>
      <w:pStyle w:val="Header"/>
      <w:rPr>
        <w:rStyle w:val="PageNumber"/>
        <w:lang w:val="fr-CH"/>
      </w:rPr>
    </w:pPr>
    <w:r>
      <w:t>CAJ/76/5</w:t>
    </w:r>
  </w:p>
  <w:p w:rsidR="00BD693E" w:rsidRPr="00436698" w:rsidRDefault="00BD693E" w:rsidP="00EB048E">
    <w:pPr>
      <w:pStyle w:val="Header"/>
      <w:rPr>
        <w:lang w:val="fr-CH"/>
      </w:rPr>
    </w:pPr>
    <w:r w:rsidRPr="00436698">
      <w:rPr>
        <w:lang w:val="fr-CH"/>
      </w:rPr>
      <w:t>Annex</w:t>
    </w:r>
    <w:r>
      <w:rPr>
        <w:lang w:val="fr-CH"/>
      </w:rPr>
      <w:t>e</w:t>
    </w:r>
    <w:r w:rsidRPr="00436698">
      <w:rPr>
        <w:lang w:val="fr-CH"/>
      </w:rPr>
      <w:t xml:space="preserve"> III, page </w:t>
    </w:r>
    <w:r w:rsidRPr="00C5280D">
      <w:rPr>
        <w:rStyle w:val="PageNumber"/>
        <w:lang w:val="en-US"/>
      </w:rPr>
      <w:fldChar w:fldCharType="begin"/>
    </w:r>
    <w:r w:rsidRPr="00436698">
      <w:rPr>
        <w:rStyle w:val="PageNumber"/>
        <w:lang w:val="fr-CH"/>
      </w:rPr>
      <w:instrText xml:space="preserve"> PAGE </w:instrText>
    </w:r>
    <w:r w:rsidRPr="00C5280D">
      <w:rPr>
        <w:rStyle w:val="PageNumber"/>
        <w:lang w:val="en-US"/>
      </w:rPr>
      <w:fldChar w:fldCharType="separate"/>
    </w:r>
    <w:r w:rsidR="00B014ED">
      <w:rPr>
        <w:rStyle w:val="PageNumber"/>
        <w:noProof/>
        <w:lang w:val="fr-CH"/>
      </w:rPr>
      <w:t>3</w:t>
    </w:r>
    <w:r w:rsidRPr="00C5280D">
      <w:rPr>
        <w:rStyle w:val="PageNumber"/>
        <w:lang w:val="en-US"/>
      </w:rPr>
      <w:fldChar w:fldCharType="end"/>
    </w:r>
  </w:p>
  <w:p w:rsidR="00BD693E" w:rsidRDefault="00BD693E" w:rsidP="006655D3">
    <w:pPr>
      <w:rPr>
        <w:lang w:val="fr-CH"/>
      </w:rPr>
    </w:pPr>
  </w:p>
  <w:p w:rsidR="00BD693E" w:rsidRPr="00436698" w:rsidRDefault="00BD693E" w:rsidP="006655D3">
    <w:pP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93E" w:rsidRDefault="00BD693E" w:rsidP="00273B07">
    <w:pPr>
      <w:jc w:val="center"/>
    </w:pPr>
    <w:r>
      <w:t>CAJ/76/5</w:t>
    </w:r>
  </w:p>
  <w:p w:rsidR="000B52F2" w:rsidRDefault="000B52F2" w:rsidP="00273B07">
    <w:pPr>
      <w:jc w:val="center"/>
    </w:pPr>
  </w:p>
  <w:p w:rsidR="00BD693E" w:rsidRDefault="00BD693E" w:rsidP="00273B07">
    <w:pPr>
      <w:jc w:val="center"/>
    </w:pPr>
    <w:r>
      <w:t xml:space="preserve">ANNEXE III </w:t>
    </w:r>
  </w:p>
  <w:p w:rsidR="00BD693E" w:rsidRPr="004A75CB" w:rsidRDefault="00BD693E" w:rsidP="00273B07">
    <w:pP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93E" w:rsidRPr="00436698" w:rsidRDefault="00BD693E" w:rsidP="00EB048E">
    <w:pPr>
      <w:pStyle w:val="Header"/>
      <w:rPr>
        <w:rStyle w:val="PageNumber"/>
        <w:lang w:val="fr-CH"/>
      </w:rPr>
    </w:pPr>
    <w:r>
      <w:t>CAJ/76/5</w:t>
    </w:r>
  </w:p>
  <w:p w:rsidR="00BD693E" w:rsidRPr="00436698" w:rsidRDefault="00BD693E" w:rsidP="00EB048E">
    <w:pPr>
      <w:pStyle w:val="Header"/>
      <w:rPr>
        <w:lang w:val="fr-CH"/>
      </w:rPr>
    </w:pPr>
    <w:r w:rsidRPr="00436698">
      <w:rPr>
        <w:lang w:val="fr-CH"/>
      </w:rPr>
      <w:t>Annex</w:t>
    </w:r>
    <w:r>
      <w:rPr>
        <w:lang w:val="fr-CH"/>
      </w:rPr>
      <w:t>e</w:t>
    </w:r>
    <w:r w:rsidRPr="00436698">
      <w:rPr>
        <w:lang w:val="fr-CH"/>
      </w:rPr>
      <w:t xml:space="preserve"> IV, page </w:t>
    </w:r>
    <w:r w:rsidRPr="00C5280D">
      <w:rPr>
        <w:rStyle w:val="PageNumber"/>
        <w:lang w:val="en-US"/>
      </w:rPr>
      <w:fldChar w:fldCharType="begin"/>
    </w:r>
    <w:r w:rsidRPr="00436698">
      <w:rPr>
        <w:rStyle w:val="PageNumber"/>
        <w:lang w:val="fr-CH"/>
      </w:rPr>
      <w:instrText xml:space="preserve"> PAGE </w:instrText>
    </w:r>
    <w:r w:rsidRPr="00C5280D">
      <w:rPr>
        <w:rStyle w:val="PageNumber"/>
        <w:lang w:val="en-US"/>
      </w:rPr>
      <w:fldChar w:fldCharType="separate"/>
    </w:r>
    <w:r w:rsidR="00B014ED">
      <w:rPr>
        <w:rStyle w:val="PageNumber"/>
        <w:noProof/>
        <w:lang w:val="fr-CH"/>
      </w:rPr>
      <w:t>2</w:t>
    </w:r>
    <w:r w:rsidRPr="00C5280D">
      <w:rPr>
        <w:rStyle w:val="PageNumber"/>
        <w:lang w:val="en-US"/>
      </w:rPr>
      <w:fldChar w:fldCharType="end"/>
    </w:r>
  </w:p>
  <w:p w:rsidR="00BD693E" w:rsidRDefault="00BD693E" w:rsidP="006655D3">
    <w:pPr>
      <w:rPr>
        <w:lang w:val="fr-CH"/>
      </w:rPr>
    </w:pPr>
  </w:p>
  <w:p w:rsidR="009A020C" w:rsidRPr="00436698" w:rsidRDefault="009A020C" w:rsidP="006655D3">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93E" w:rsidRDefault="00BD693E" w:rsidP="00273B07">
    <w:pPr>
      <w:jc w:val="center"/>
    </w:pPr>
    <w:r>
      <w:t>CAJ/76/5</w:t>
    </w:r>
  </w:p>
  <w:p w:rsidR="000B52F2" w:rsidRDefault="000B52F2" w:rsidP="00273B07">
    <w:pPr>
      <w:jc w:val="center"/>
    </w:pPr>
  </w:p>
  <w:p w:rsidR="00BD693E" w:rsidRDefault="00BD693E" w:rsidP="00273B07">
    <w:pPr>
      <w:jc w:val="center"/>
    </w:pPr>
    <w:r>
      <w:t xml:space="preserve">ANNEXE IV </w:t>
    </w:r>
  </w:p>
  <w:p w:rsidR="00BD693E" w:rsidRPr="004A75CB" w:rsidRDefault="00BD693E" w:rsidP="00273B07">
    <w:pPr>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93E" w:rsidRPr="00436698" w:rsidRDefault="00BD693E" w:rsidP="00EB048E">
    <w:pPr>
      <w:pStyle w:val="Header"/>
      <w:rPr>
        <w:rStyle w:val="PageNumber"/>
        <w:lang w:val="fr-CH"/>
      </w:rPr>
    </w:pPr>
    <w:r>
      <w:t>CAJ/76/5</w:t>
    </w:r>
  </w:p>
  <w:p w:rsidR="00BD693E" w:rsidRPr="00436698" w:rsidRDefault="00BD693E" w:rsidP="00EB048E">
    <w:pPr>
      <w:pStyle w:val="Header"/>
      <w:rPr>
        <w:lang w:val="fr-CH"/>
      </w:rPr>
    </w:pPr>
    <w:r w:rsidRPr="00436698">
      <w:rPr>
        <w:lang w:val="fr-CH"/>
      </w:rPr>
      <w:t>Annex</w:t>
    </w:r>
    <w:r>
      <w:rPr>
        <w:lang w:val="fr-CH"/>
      </w:rPr>
      <w:t>e</w:t>
    </w:r>
    <w:r w:rsidRPr="00436698">
      <w:rPr>
        <w:lang w:val="fr-CH"/>
      </w:rPr>
      <w:t xml:space="preserve"> V, page </w:t>
    </w:r>
    <w:r w:rsidRPr="00C5280D">
      <w:rPr>
        <w:rStyle w:val="PageNumber"/>
        <w:lang w:val="en-US"/>
      </w:rPr>
      <w:fldChar w:fldCharType="begin"/>
    </w:r>
    <w:r w:rsidRPr="00436698">
      <w:rPr>
        <w:rStyle w:val="PageNumber"/>
        <w:lang w:val="fr-CH"/>
      </w:rPr>
      <w:instrText xml:space="preserve"> PAGE </w:instrText>
    </w:r>
    <w:r w:rsidRPr="00C5280D">
      <w:rPr>
        <w:rStyle w:val="PageNumber"/>
        <w:lang w:val="en-US"/>
      </w:rPr>
      <w:fldChar w:fldCharType="separate"/>
    </w:r>
    <w:r w:rsidR="00B014ED">
      <w:rPr>
        <w:rStyle w:val="PageNumber"/>
        <w:noProof/>
        <w:lang w:val="fr-CH"/>
      </w:rPr>
      <w:t>2</w:t>
    </w:r>
    <w:r w:rsidRPr="00C5280D">
      <w:rPr>
        <w:rStyle w:val="PageNumber"/>
        <w:lang w:val="en-US"/>
      </w:rPr>
      <w:fldChar w:fldCharType="end"/>
    </w:r>
  </w:p>
  <w:p w:rsidR="00BD693E" w:rsidRDefault="00BD693E" w:rsidP="006655D3">
    <w:pPr>
      <w:rPr>
        <w:lang w:val="fr-CH"/>
      </w:rPr>
    </w:pPr>
  </w:p>
  <w:p w:rsidR="009A020C" w:rsidRPr="00436698" w:rsidRDefault="009A020C" w:rsidP="006655D3">
    <w:pP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7F96"/>
    <w:multiLevelType w:val="hybridMultilevel"/>
    <w:tmpl w:val="CFBAB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E260C"/>
    <w:multiLevelType w:val="hybridMultilevel"/>
    <w:tmpl w:val="FB582102"/>
    <w:lvl w:ilvl="0" w:tplc="D65050B0">
      <w:start w:val="1"/>
      <w:numFmt w:val="lowerLetter"/>
      <w:lvlText w:val="(%1)"/>
      <w:lvlJc w:val="left"/>
      <w:pPr>
        <w:ind w:left="5750" w:hanging="360"/>
      </w:pPr>
      <w:rPr>
        <w:rFonts w:cs="Times New Roman"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 w15:restartNumberingAfterBreak="0">
    <w:nsid w:val="17AD7199"/>
    <w:multiLevelType w:val="hybridMultilevel"/>
    <w:tmpl w:val="AE209784"/>
    <w:lvl w:ilvl="0" w:tplc="0E4CF37C">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E0B4C7E"/>
    <w:multiLevelType w:val="hybridMultilevel"/>
    <w:tmpl w:val="05E8F502"/>
    <w:lvl w:ilvl="0" w:tplc="4CC0E2E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4" w15:restartNumberingAfterBreak="0">
    <w:nsid w:val="26AA139A"/>
    <w:multiLevelType w:val="hybridMultilevel"/>
    <w:tmpl w:val="0D3E884A"/>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825A4E"/>
    <w:multiLevelType w:val="hybridMultilevel"/>
    <w:tmpl w:val="4C0E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770E4"/>
    <w:multiLevelType w:val="hybridMultilevel"/>
    <w:tmpl w:val="66843ACC"/>
    <w:lvl w:ilvl="0" w:tplc="EB04B3C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306C5"/>
    <w:multiLevelType w:val="hybridMultilevel"/>
    <w:tmpl w:val="E74AB398"/>
    <w:lvl w:ilvl="0" w:tplc="C7385F10">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 w15:restartNumberingAfterBreak="0">
    <w:nsid w:val="42817DDD"/>
    <w:multiLevelType w:val="hybridMultilevel"/>
    <w:tmpl w:val="05E8F502"/>
    <w:lvl w:ilvl="0" w:tplc="4CC0E2E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9" w15:restartNumberingAfterBreak="0">
    <w:nsid w:val="4508156C"/>
    <w:multiLevelType w:val="hybridMultilevel"/>
    <w:tmpl w:val="7666A288"/>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6B5934"/>
    <w:multiLevelType w:val="hybridMultilevel"/>
    <w:tmpl w:val="2388A26E"/>
    <w:lvl w:ilvl="0" w:tplc="A674507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1" w15:restartNumberingAfterBreak="0">
    <w:nsid w:val="51086AB5"/>
    <w:multiLevelType w:val="hybridMultilevel"/>
    <w:tmpl w:val="F85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EF287E"/>
    <w:multiLevelType w:val="hybridMultilevel"/>
    <w:tmpl w:val="7666A288"/>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1A5454"/>
    <w:multiLevelType w:val="hybridMultilevel"/>
    <w:tmpl w:val="9334C074"/>
    <w:lvl w:ilvl="0" w:tplc="9F3E7D0C">
      <w:start w:val="1"/>
      <w:numFmt w:val="lowerLetter"/>
      <w:lvlText w:val="(%1)"/>
      <w:lvlJc w:val="left"/>
      <w:pPr>
        <w:ind w:left="1140" w:hanging="570"/>
      </w:pPr>
      <w:rPr>
        <w:rFonts w:cs="Arial"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4" w15:restartNumberingAfterBreak="0">
    <w:nsid w:val="62EC4B75"/>
    <w:multiLevelType w:val="hybridMultilevel"/>
    <w:tmpl w:val="133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1E0910"/>
    <w:multiLevelType w:val="hybridMultilevel"/>
    <w:tmpl w:val="1BA05412"/>
    <w:lvl w:ilvl="0" w:tplc="159E95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6D7D76"/>
    <w:multiLevelType w:val="hybridMultilevel"/>
    <w:tmpl w:val="E74AB398"/>
    <w:lvl w:ilvl="0" w:tplc="C7385F10">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6"/>
  </w:num>
  <w:num w:numId="2">
    <w:abstractNumId w:val="1"/>
  </w:num>
  <w:num w:numId="3">
    <w:abstractNumId w:val="11"/>
  </w:num>
  <w:num w:numId="4">
    <w:abstractNumId w:val="14"/>
  </w:num>
  <w:num w:numId="5">
    <w:abstractNumId w:val="5"/>
  </w:num>
  <w:num w:numId="6">
    <w:abstractNumId w:val="4"/>
  </w:num>
  <w:num w:numId="7">
    <w:abstractNumId w:val="9"/>
  </w:num>
  <w:num w:numId="8">
    <w:abstractNumId w:val="2"/>
  </w:num>
  <w:num w:numId="9">
    <w:abstractNumId w:val="3"/>
  </w:num>
  <w:num w:numId="10">
    <w:abstractNumId w:val="10"/>
  </w:num>
  <w:num w:numId="11">
    <w:abstractNumId w:val="8"/>
  </w:num>
  <w:num w:numId="12">
    <w:abstractNumId w:val="16"/>
  </w:num>
  <w:num w:numId="13">
    <w:abstractNumId w:val="13"/>
  </w:num>
  <w:num w:numId="14">
    <w:abstractNumId w:val="7"/>
  </w:num>
  <w:num w:numId="15">
    <w:abstractNumId w:val="12"/>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300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xUPOV L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am Server TMs\French"/>
    <w:docVar w:name="TextBaseURL" w:val="empty"/>
    <w:docVar w:name="UILng" w:val="en"/>
  </w:docVars>
  <w:rsids>
    <w:rsidRoot w:val="00CB2272"/>
    <w:rsid w:val="0000377F"/>
    <w:rsid w:val="00010CF3"/>
    <w:rsid w:val="00011E27"/>
    <w:rsid w:val="000148BC"/>
    <w:rsid w:val="00024AB8"/>
    <w:rsid w:val="00027ED8"/>
    <w:rsid w:val="00030854"/>
    <w:rsid w:val="00033DC7"/>
    <w:rsid w:val="00036028"/>
    <w:rsid w:val="00044642"/>
    <w:rsid w:val="000446B9"/>
    <w:rsid w:val="00047E21"/>
    <w:rsid w:val="00050E16"/>
    <w:rsid w:val="00066219"/>
    <w:rsid w:val="00067374"/>
    <w:rsid w:val="00072377"/>
    <w:rsid w:val="000771BD"/>
    <w:rsid w:val="00085505"/>
    <w:rsid w:val="00095E9B"/>
    <w:rsid w:val="000963B5"/>
    <w:rsid w:val="000A0EE8"/>
    <w:rsid w:val="000A2621"/>
    <w:rsid w:val="000A6EA8"/>
    <w:rsid w:val="000B52F2"/>
    <w:rsid w:val="000C4E25"/>
    <w:rsid w:val="000C7021"/>
    <w:rsid w:val="000D6BBC"/>
    <w:rsid w:val="000D7780"/>
    <w:rsid w:val="000E2BAE"/>
    <w:rsid w:val="000E636A"/>
    <w:rsid w:val="000F2F11"/>
    <w:rsid w:val="000F7CEF"/>
    <w:rsid w:val="00100DEF"/>
    <w:rsid w:val="00105929"/>
    <w:rsid w:val="001060C1"/>
    <w:rsid w:val="00106AE2"/>
    <w:rsid w:val="00110BED"/>
    <w:rsid w:val="00110C36"/>
    <w:rsid w:val="001131D5"/>
    <w:rsid w:val="00115EC9"/>
    <w:rsid w:val="00126ED9"/>
    <w:rsid w:val="00130457"/>
    <w:rsid w:val="00132392"/>
    <w:rsid w:val="0014146E"/>
    <w:rsid w:val="00141DB8"/>
    <w:rsid w:val="001545B0"/>
    <w:rsid w:val="001704A4"/>
    <w:rsid w:val="00172084"/>
    <w:rsid w:val="0017474A"/>
    <w:rsid w:val="001758C6"/>
    <w:rsid w:val="00182B99"/>
    <w:rsid w:val="001841C5"/>
    <w:rsid w:val="001867DA"/>
    <w:rsid w:val="0019194C"/>
    <w:rsid w:val="001A7E34"/>
    <w:rsid w:val="001B2AAD"/>
    <w:rsid w:val="001C1525"/>
    <w:rsid w:val="001C26EF"/>
    <w:rsid w:val="001C3657"/>
    <w:rsid w:val="001C5C35"/>
    <w:rsid w:val="001D6F7D"/>
    <w:rsid w:val="001D6F91"/>
    <w:rsid w:val="001E1491"/>
    <w:rsid w:val="0021332C"/>
    <w:rsid w:val="00213982"/>
    <w:rsid w:val="0021694A"/>
    <w:rsid w:val="00230C3B"/>
    <w:rsid w:val="0024416D"/>
    <w:rsid w:val="00271911"/>
    <w:rsid w:val="00273B07"/>
    <w:rsid w:val="0027574C"/>
    <w:rsid w:val="002800A0"/>
    <w:rsid w:val="002801B3"/>
    <w:rsid w:val="00281060"/>
    <w:rsid w:val="00284C65"/>
    <w:rsid w:val="002940E8"/>
    <w:rsid w:val="00294751"/>
    <w:rsid w:val="002A6E50"/>
    <w:rsid w:val="002B4298"/>
    <w:rsid w:val="002B73B3"/>
    <w:rsid w:val="002B7A36"/>
    <w:rsid w:val="002C256A"/>
    <w:rsid w:val="002E23C8"/>
    <w:rsid w:val="002E39F3"/>
    <w:rsid w:val="002F6D41"/>
    <w:rsid w:val="00301D9F"/>
    <w:rsid w:val="003035E1"/>
    <w:rsid w:val="00305A7F"/>
    <w:rsid w:val="003152FE"/>
    <w:rsid w:val="00326370"/>
    <w:rsid w:val="00327436"/>
    <w:rsid w:val="00344BD6"/>
    <w:rsid w:val="0035528D"/>
    <w:rsid w:val="00361821"/>
    <w:rsid w:val="00361E9E"/>
    <w:rsid w:val="00377158"/>
    <w:rsid w:val="00386A20"/>
    <w:rsid w:val="00392E8B"/>
    <w:rsid w:val="003A2170"/>
    <w:rsid w:val="003A7637"/>
    <w:rsid w:val="003B033C"/>
    <w:rsid w:val="003B4D6B"/>
    <w:rsid w:val="003B4FCF"/>
    <w:rsid w:val="003C55FC"/>
    <w:rsid w:val="003C6261"/>
    <w:rsid w:val="003C6F01"/>
    <w:rsid w:val="003C7FBE"/>
    <w:rsid w:val="003D1367"/>
    <w:rsid w:val="003D227C"/>
    <w:rsid w:val="003D2B4D"/>
    <w:rsid w:val="003E3DBE"/>
    <w:rsid w:val="003E3EC0"/>
    <w:rsid w:val="003E76C2"/>
    <w:rsid w:val="003F2C68"/>
    <w:rsid w:val="0041246A"/>
    <w:rsid w:val="004162B6"/>
    <w:rsid w:val="00444A88"/>
    <w:rsid w:val="00457E49"/>
    <w:rsid w:val="00465412"/>
    <w:rsid w:val="00472A9F"/>
    <w:rsid w:val="00474DA4"/>
    <w:rsid w:val="00474EB8"/>
    <w:rsid w:val="00476B4D"/>
    <w:rsid w:val="004774B1"/>
    <w:rsid w:val="004805FA"/>
    <w:rsid w:val="00481BC8"/>
    <w:rsid w:val="00487379"/>
    <w:rsid w:val="004935D2"/>
    <w:rsid w:val="004A12AE"/>
    <w:rsid w:val="004A65CA"/>
    <w:rsid w:val="004B1215"/>
    <w:rsid w:val="004C3068"/>
    <w:rsid w:val="004C6B04"/>
    <w:rsid w:val="004D047D"/>
    <w:rsid w:val="004D4680"/>
    <w:rsid w:val="004E123D"/>
    <w:rsid w:val="004F1E9E"/>
    <w:rsid w:val="004F305A"/>
    <w:rsid w:val="004F4AA6"/>
    <w:rsid w:val="004F5BEF"/>
    <w:rsid w:val="0050161D"/>
    <w:rsid w:val="00501AC5"/>
    <w:rsid w:val="00511E92"/>
    <w:rsid w:val="00512164"/>
    <w:rsid w:val="0051462F"/>
    <w:rsid w:val="00520297"/>
    <w:rsid w:val="00525015"/>
    <w:rsid w:val="005338F9"/>
    <w:rsid w:val="00536D59"/>
    <w:rsid w:val="00541776"/>
    <w:rsid w:val="0054281C"/>
    <w:rsid w:val="00543F98"/>
    <w:rsid w:val="00544581"/>
    <w:rsid w:val="0055268D"/>
    <w:rsid w:val="00555B9E"/>
    <w:rsid w:val="005638F9"/>
    <w:rsid w:val="0056533D"/>
    <w:rsid w:val="0057143A"/>
    <w:rsid w:val="00572DC7"/>
    <w:rsid w:val="005755F0"/>
    <w:rsid w:val="005768BF"/>
    <w:rsid w:val="00576A55"/>
    <w:rsid w:val="00576BE4"/>
    <w:rsid w:val="005779DB"/>
    <w:rsid w:val="00597C41"/>
    <w:rsid w:val="005A400A"/>
    <w:rsid w:val="005B72F4"/>
    <w:rsid w:val="005C045D"/>
    <w:rsid w:val="005C282E"/>
    <w:rsid w:val="005C5A47"/>
    <w:rsid w:val="005D18AC"/>
    <w:rsid w:val="005D3B5B"/>
    <w:rsid w:val="005D6892"/>
    <w:rsid w:val="005D7A45"/>
    <w:rsid w:val="005E125A"/>
    <w:rsid w:val="005E1850"/>
    <w:rsid w:val="005E7396"/>
    <w:rsid w:val="005F08BB"/>
    <w:rsid w:val="005F7B92"/>
    <w:rsid w:val="00612379"/>
    <w:rsid w:val="00612BB3"/>
    <w:rsid w:val="006153B6"/>
    <w:rsid w:val="0061555F"/>
    <w:rsid w:val="00616F18"/>
    <w:rsid w:val="00636CA6"/>
    <w:rsid w:val="00641200"/>
    <w:rsid w:val="00645CA8"/>
    <w:rsid w:val="006655D3"/>
    <w:rsid w:val="00667404"/>
    <w:rsid w:val="006846C6"/>
    <w:rsid w:val="00685185"/>
    <w:rsid w:val="00685AE9"/>
    <w:rsid w:val="00687EB4"/>
    <w:rsid w:val="00690400"/>
    <w:rsid w:val="00691F62"/>
    <w:rsid w:val="00695C56"/>
    <w:rsid w:val="006A5CDE"/>
    <w:rsid w:val="006A644A"/>
    <w:rsid w:val="006B0A48"/>
    <w:rsid w:val="006B17D2"/>
    <w:rsid w:val="006B21D6"/>
    <w:rsid w:val="006B682C"/>
    <w:rsid w:val="006C224E"/>
    <w:rsid w:val="006C3063"/>
    <w:rsid w:val="006C3AB9"/>
    <w:rsid w:val="006C40C4"/>
    <w:rsid w:val="006D1FE0"/>
    <w:rsid w:val="006D5DC8"/>
    <w:rsid w:val="006D780A"/>
    <w:rsid w:val="006E0086"/>
    <w:rsid w:val="006F17F3"/>
    <w:rsid w:val="006F6881"/>
    <w:rsid w:val="0071271E"/>
    <w:rsid w:val="00732DEC"/>
    <w:rsid w:val="007355B8"/>
    <w:rsid w:val="00735BD5"/>
    <w:rsid w:val="007451EC"/>
    <w:rsid w:val="00751613"/>
    <w:rsid w:val="00752EE2"/>
    <w:rsid w:val="00753EE9"/>
    <w:rsid w:val="007556F6"/>
    <w:rsid w:val="00760EEF"/>
    <w:rsid w:val="007612CE"/>
    <w:rsid w:val="007614DE"/>
    <w:rsid w:val="007709DA"/>
    <w:rsid w:val="00777EE5"/>
    <w:rsid w:val="00784836"/>
    <w:rsid w:val="0079023E"/>
    <w:rsid w:val="007A2800"/>
    <w:rsid w:val="007A2854"/>
    <w:rsid w:val="007A6E85"/>
    <w:rsid w:val="007A7F15"/>
    <w:rsid w:val="007B24A5"/>
    <w:rsid w:val="007B308C"/>
    <w:rsid w:val="007C1D92"/>
    <w:rsid w:val="007C269B"/>
    <w:rsid w:val="007C2FEB"/>
    <w:rsid w:val="007C4CB9"/>
    <w:rsid w:val="007D0B9D"/>
    <w:rsid w:val="007D19B0"/>
    <w:rsid w:val="007F498F"/>
    <w:rsid w:val="0080679D"/>
    <w:rsid w:val="008108B0"/>
    <w:rsid w:val="00811B20"/>
    <w:rsid w:val="00812162"/>
    <w:rsid w:val="00812609"/>
    <w:rsid w:val="00812FB5"/>
    <w:rsid w:val="008200AE"/>
    <w:rsid w:val="008211B5"/>
    <w:rsid w:val="0082296E"/>
    <w:rsid w:val="00824099"/>
    <w:rsid w:val="00824EE7"/>
    <w:rsid w:val="0083066D"/>
    <w:rsid w:val="008312EA"/>
    <w:rsid w:val="008370F2"/>
    <w:rsid w:val="00846D7C"/>
    <w:rsid w:val="008534A6"/>
    <w:rsid w:val="00867AC1"/>
    <w:rsid w:val="0087652D"/>
    <w:rsid w:val="00884E6C"/>
    <w:rsid w:val="00890DF8"/>
    <w:rsid w:val="008954E5"/>
    <w:rsid w:val="008A743F"/>
    <w:rsid w:val="008A7633"/>
    <w:rsid w:val="008C0970"/>
    <w:rsid w:val="008D0BC5"/>
    <w:rsid w:val="008D2CF7"/>
    <w:rsid w:val="008F5C8B"/>
    <w:rsid w:val="008F7048"/>
    <w:rsid w:val="00900C26"/>
    <w:rsid w:val="0090197F"/>
    <w:rsid w:val="00903264"/>
    <w:rsid w:val="00906523"/>
    <w:rsid w:val="00906DDC"/>
    <w:rsid w:val="0091141B"/>
    <w:rsid w:val="00920667"/>
    <w:rsid w:val="00934E09"/>
    <w:rsid w:val="00936253"/>
    <w:rsid w:val="009379D4"/>
    <w:rsid w:val="00940D46"/>
    <w:rsid w:val="00952DD4"/>
    <w:rsid w:val="0095487F"/>
    <w:rsid w:val="00965AE7"/>
    <w:rsid w:val="00970FED"/>
    <w:rsid w:val="00992D82"/>
    <w:rsid w:val="00993ED3"/>
    <w:rsid w:val="0099568D"/>
    <w:rsid w:val="00995691"/>
    <w:rsid w:val="00996A6D"/>
    <w:rsid w:val="00997029"/>
    <w:rsid w:val="009A020C"/>
    <w:rsid w:val="009A7339"/>
    <w:rsid w:val="009B440E"/>
    <w:rsid w:val="009C2233"/>
    <w:rsid w:val="009D3A71"/>
    <w:rsid w:val="009D690D"/>
    <w:rsid w:val="009E41B1"/>
    <w:rsid w:val="009E65B6"/>
    <w:rsid w:val="009E73DD"/>
    <w:rsid w:val="009F4C91"/>
    <w:rsid w:val="009F77CF"/>
    <w:rsid w:val="00A0355F"/>
    <w:rsid w:val="00A15001"/>
    <w:rsid w:val="00A20189"/>
    <w:rsid w:val="00A24C10"/>
    <w:rsid w:val="00A42AC3"/>
    <w:rsid w:val="00A430CF"/>
    <w:rsid w:val="00A54309"/>
    <w:rsid w:val="00A5775F"/>
    <w:rsid w:val="00A618B2"/>
    <w:rsid w:val="00A61DDE"/>
    <w:rsid w:val="00A62A4B"/>
    <w:rsid w:val="00A66FC4"/>
    <w:rsid w:val="00A722BC"/>
    <w:rsid w:val="00A75A38"/>
    <w:rsid w:val="00A80F2A"/>
    <w:rsid w:val="00A81377"/>
    <w:rsid w:val="00A8721B"/>
    <w:rsid w:val="00A943E6"/>
    <w:rsid w:val="00AB2B93"/>
    <w:rsid w:val="00AB530F"/>
    <w:rsid w:val="00AB7E5B"/>
    <w:rsid w:val="00AC2883"/>
    <w:rsid w:val="00AC69C9"/>
    <w:rsid w:val="00AD378E"/>
    <w:rsid w:val="00AD6D1D"/>
    <w:rsid w:val="00AE0EF1"/>
    <w:rsid w:val="00AE2937"/>
    <w:rsid w:val="00AE31A6"/>
    <w:rsid w:val="00AF2C7C"/>
    <w:rsid w:val="00AF3246"/>
    <w:rsid w:val="00AF3E1E"/>
    <w:rsid w:val="00B014ED"/>
    <w:rsid w:val="00B0556F"/>
    <w:rsid w:val="00B07301"/>
    <w:rsid w:val="00B11F3E"/>
    <w:rsid w:val="00B12265"/>
    <w:rsid w:val="00B224DE"/>
    <w:rsid w:val="00B324D4"/>
    <w:rsid w:val="00B3296F"/>
    <w:rsid w:val="00B4171A"/>
    <w:rsid w:val="00B43C19"/>
    <w:rsid w:val="00B44BD9"/>
    <w:rsid w:val="00B46575"/>
    <w:rsid w:val="00B61777"/>
    <w:rsid w:val="00B622E6"/>
    <w:rsid w:val="00B642D5"/>
    <w:rsid w:val="00B74047"/>
    <w:rsid w:val="00B80398"/>
    <w:rsid w:val="00B844E4"/>
    <w:rsid w:val="00B84BBD"/>
    <w:rsid w:val="00B91569"/>
    <w:rsid w:val="00B91A3D"/>
    <w:rsid w:val="00B97146"/>
    <w:rsid w:val="00BA43FB"/>
    <w:rsid w:val="00BA666A"/>
    <w:rsid w:val="00BC127D"/>
    <w:rsid w:val="00BC1FE6"/>
    <w:rsid w:val="00BD693E"/>
    <w:rsid w:val="00BF010E"/>
    <w:rsid w:val="00C01B33"/>
    <w:rsid w:val="00C061B6"/>
    <w:rsid w:val="00C07BC4"/>
    <w:rsid w:val="00C2446C"/>
    <w:rsid w:val="00C33E97"/>
    <w:rsid w:val="00C36AE5"/>
    <w:rsid w:val="00C41F17"/>
    <w:rsid w:val="00C52246"/>
    <w:rsid w:val="00C527FA"/>
    <w:rsid w:val="00C5280D"/>
    <w:rsid w:val="00C53EB3"/>
    <w:rsid w:val="00C53FE3"/>
    <w:rsid w:val="00C5791C"/>
    <w:rsid w:val="00C64766"/>
    <w:rsid w:val="00C66290"/>
    <w:rsid w:val="00C72B7A"/>
    <w:rsid w:val="00C936F0"/>
    <w:rsid w:val="00C95164"/>
    <w:rsid w:val="00C973F2"/>
    <w:rsid w:val="00CA16E8"/>
    <w:rsid w:val="00CA304C"/>
    <w:rsid w:val="00CA774A"/>
    <w:rsid w:val="00CB2272"/>
    <w:rsid w:val="00CB2F7B"/>
    <w:rsid w:val="00CC11B0"/>
    <w:rsid w:val="00CC2841"/>
    <w:rsid w:val="00CD34A5"/>
    <w:rsid w:val="00CD62D8"/>
    <w:rsid w:val="00CE3F0C"/>
    <w:rsid w:val="00CF1330"/>
    <w:rsid w:val="00CF7E36"/>
    <w:rsid w:val="00D118C7"/>
    <w:rsid w:val="00D1372C"/>
    <w:rsid w:val="00D241D3"/>
    <w:rsid w:val="00D3708D"/>
    <w:rsid w:val="00D40426"/>
    <w:rsid w:val="00D57C96"/>
    <w:rsid w:val="00D57D18"/>
    <w:rsid w:val="00D72F7D"/>
    <w:rsid w:val="00D82405"/>
    <w:rsid w:val="00D91203"/>
    <w:rsid w:val="00D95174"/>
    <w:rsid w:val="00DA1E95"/>
    <w:rsid w:val="00DA4973"/>
    <w:rsid w:val="00DA6F36"/>
    <w:rsid w:val="00DB04F5"/>
    <w:rsid w:val="00DB596E"/>
    <w:rsid w:val="00DB7773"/>
    <w:rsid w:val="00DC00EA"/>
    <w:rsid w:val="00DC3802"/>
    <w:rsid w:val="00DE0BC1"/>
    <w:rsid w:val="00DE42A3"/>
    <w:rsid w:val="00DE4929"/>
    <w:rsid w:val="00DE4939"/>
    <w:rsid w:val="00DF7B75"/>
    <w:rsid w:val="00E046B0"/>
    <w:rsid w:val="00E07D87"/>
    <w:rsid w:val="00E1103E"/>
    <w:rsid w:val="00E13E52"/>
    <w:rsid w:val="00E23344"/>
    <w:rsid w:val="00E249C8"/>
    <w:rsid w:val="00E24AB6"/>
    <w:rsid w:val="00E30E84"/>
    <w:rsid w:val="00E32F7E"/>
    <w:rsid w:val="00E3538E"/>
    <w:rsid w:val="00E44682"/>
    <w:rsid w:val="00E5267B"/>
    <w:rsid w:val="00E54FF8"/>
    <w:rsid w:val="00E628C2"/>
    <w:rsid w:val="00E63C0E"/>
    <w:rsid w:val="00E7252C"/>
    <w:rsid w:val="00E72D49"/>
    <w:rsid w:val="00E75593"/>
    <w:rsid w:val="00E7593C"/>
    <w:rsid w:val="00E7678A"/>
    <w:rsid w:val="00E77F37"/>
    <w:rsid w:val="00E80C47"/>
    <w:rsid w:val="00E81C16"/>
    <w:rsid w:val="00E92852"/>
    <w:rsid w:val="00E935F1"/>
    <w:rsid w:val="00E94A81"/>
    <w:rsid w:val="00E96240"/>
    <w:rsid w:val="00EA0432"/>
    <w:rsid w:val="00EA1FFB"/>
    <w:rsid w:val="00EB048E"/>
    <w:rsid w:val="00EB4E9C"/>
    <w:rsid w:val="00EB6515"/>
    <w:rsid w:val="00EC19C5"/>
    <w:rsid w:val="00EC2E5A"/>
    <w:rsid w:val="00EC5814"/>
    <w:rsid w:val="00ED0947"/>
    <w:rsid w:val="00ED567F"/>
    <w:rsid w:val="00ED5DD2"/>
    <w:rsid w:val="00EE34DF"/>
    <w:rsid w:val="00EF2F89"/>
    <w:rsid w:val="00EF4894"/>
    <w:rsid w:val="00F03E98"/>
    <w:rsid w:val="00F05CFF"/>
    <w:rsid w:val="00F1022E"/>
    <w:rsid w:val="00F1237A"/>
    <w:rsid w:val="00F14645"/>
    <w:rsid w:val="00F22CBD"/>
    <w:rsid w:val="00F272F1"/>
    <w:rsid w:val="00F31412"/>
    <w:rsid w:val="00F4205C"/>
    <w:rsid w:val="00F45372"/>
    <w:rsid w:val="00F549A0"/>
    <w:rsid w:val="00F560F7"/>
    <w:rsid w:val="00F6334D"/>
    <w:rsid w:val="00F63599"/>
    <w:rsid w:val="00F643C9"/>
    <w:rsid w:val="00F65508"/>
    <w:rsid w:val="00F928F4"/>
    <w:rsid w:val="00FA0E6E"/>
    <w:rsid w:val="00FA49AB"/>
    <w:rsid w:val="00FC6207"/>
    <w:rsid w:val="00FD5E2C"/>
    <w:rsid w:val="00FE39C7"/>
    <w:rsid w:val="00FE42F1"/>
    <w:rsid w:val="00FE56BA"/>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56B917C"/>
  <w15:docId w15:val="{244BBE0B-3E4B-45FC-82FC-F333C562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920667"/>
    <w:pPr>
      <w:keepNext/>
      <w:jc w:val="both"/>
      <w:outlineLvl w:val="1"/>
    </w:pPr>
    <w:rPr>
      <w:rFonts w:ascii="Arial" w:hAnsi="Arial"/>
      <w:spacing w:val="-2"/>
      <w:u w:val="single"/>
      <w:lang w:val="fr-FR"/>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semiHidden/>
    <w:unhideWhenUsed/>
    <w:qFormat/>
    <w:rsid w:val="00273B07"/>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MMON NAME Char,common Char"/>
    <w:basedOn w:val="DefaultParagraphFont"/>
    <w:link w:val="Heading1"/>
    <w:rsid w:val="00273B07"/>
    <w:rPr>
      <w:rFonts w:ascii="Arial" w:hAnsi="Arial"/>
      <w:caps/>
    </w:rPr>
  </w:style>
  <w:style w:type="character" w:customStyle="1" w:styleId="Heading2Char">
    <w:name w:val="Heading 2 Char"/>
    <w:link w:val="Heading2"/>
    <w:locked/>
    <w:rsid w:val="00920667"/>
    <w:rPr>
      <w:rFonts w:ascii="Arial" w:hAnsi="Arial"/>
      <w:spacing w:val="-2"/>
      <w:u w:val="single"/>
      <w:lang w:val="fr-FR"/>
    </w:rPr>
  </w:style>
  <w:style w:type="character" w:customStyle="1" w:styleId="Heading3Char">
    <w:name w:val="Heading 3 Char"/>
    <w:basedOn w:val="DefaultParagraphFont"/>
    <w:link w:val="Heading3"/>
    <w:rsid w:val="00273B07"/>
    <w:rPr>
      <w:rFonts w:ascii="Arial" w:hAnsi="Arial"/>
      <w:i/>
    </w:rPr>
  </w:style>
  <w:style w:type="character" w:customStyle="1" w:styleId="Heading4Char">
    <w:name w:val="Heading 4 Char"/>
    <w:link w:val="Heading4"/>
    <w:rsid w:val="00273B07"/>
    <w:rPr>
      <w:rFonts w:ascii="Arial" w:hAnsi="Arial"/>
      <w:u w:val="single"/>
      <w:lang w:val="fr-FR"/>
    </w:rPr>
  </w:style>
  <w:style w:type="character" w:customStyle="1" w:styleId="Heading6Char">
    <w:name w:val="Heading 6 Char"/>
    <w:basedOn w:val="DefaultParagraphFont"/>
    <w:link w:val="Heading6"/>
    <w:semiHidden/>
    <w:rsid w:val="00273B07"/>
    <w:rPr>
      <w:rFonts w:asciiTheme="majorHAnsi" w:eastAsiaTheme="majorEastAsia" w:hAnsiTheme="majorHAnsi" w:cstheme="majorBidi"/>
      <w:color w:val="243F60" w:themeColor="accent1" w:themeShade="7F"/>
    </w:rPr>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273B07"/>
    <w:rPr>
      <w:rFonts w:ascii="Arial" w:hAnsi="Arial"/>
      <w:lang w:val="fr-FR"/>
    </w:rPr>
  </w:style>
  <w:style w:type="paragraph" w:styleId="Footer">
    <w:name w:val="footer"/>
    <w:aliases w:val="doc_path_name"/>
    <w:autoRedefine/>
    <w:rsid w:val="00DE42A3"/>
    <w:pPr>
      <w:ind w:right="595"/>
      <w:jc w:val="right"/>
    </w:pPr>
    <w:rPr>
      <w:rFonts w:ascii="Arial" w:hAnsi="Arial"/>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autoRedefine/>
    <w:rsid w:val="00AF3246"/>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uiPriority w:val="39"/>
    <w:qFormat/>
    <w:rsid w:val="00106AE2"/>
    <w:pPr>
      <w:tabs>
        <w:tab w:val="right" w:leader="dot" w:pos="9639"/>
      </w:tabs>
      <w:spacing w:after="120"/>
      <w:ind w:left="284" w:right="283"/>
    </w:pPr>
    <w:rPr>
      <w:rFonts w:ascii="Arial" w:hAnsi="Arial"/>
      <w:noProof/>
      <w:sz w:val="18"/>
    </w:rPr>
  </w:style>
  <w:style w:type="paragraph" w:styleId="TOC3">
    <w:name w:val="toc 3"/>
    <w:next w:val="Normal"/>
    <w:autoRedefine/>
    <w:uiPriority w:val="39"/>
    <w:qFormat/>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106AE2"/>
    <w:pPr>
      <w:tabs>
        <w:tab w:val="right" w:leader="dot" w:pos="9639"/>
      </w:tabs>
      <w:spacing w:after="120"/>
      <w:jc w:val="center"/>
    </w:pPr>
    <w:rPr>
      <w:rFonts w:ascii="Arial" w:hAnsi="Arial"/>
      <w:caps/>
      <w:noProof/>
      <w:snapToGrid w:val="0"/>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essiontwp">
    <w:name w:val="Session_twp"/>
    <w:basedOn w:val="Normal"/>
    <w:next w:val="Normal"/>
    <w:qFormat/>
    <w:rsid w:val="00273B07"/>
    <w:rPr>
      <w:b/>
    </w:rPr>
  </w:style>
  <w:style w:type="paragraph" w:customStyle="1" w:styleId="Sessiontwpplacedate">
    <w:name w:val="Session_twp_place_date"/>
    <w:basedOn w:val="Normal"/>
    <w:next w:val="Normal"/>
    <w:qFormat/>
    <w:rsid w:val="00273B07"/>
  </w:style>
  <w:style w:type="paragraph" w:styleId="ListParagraph">
    <w:name w:val="List Paragraph"/>
    <w:basedOn w:val="Normal"/>
    <w:uiPriority w:val="34"/>
    <w:qFormat/>
    <w:rsid w:val="00273B07"/>
    <w:pPr>
      <w:ind w:left="720"/>
      <w:contextualSpacing/>
    </w:pPr>
  </w:style>
  <w:style w:type="table" w:styleId="TableGrid">
    <w:name w:val="Table Grid"/>
    <w:basedOn w:val="TableNormal"/>
    <w:rsid w:val="00273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273B07"/>
    <w:rPr>
      <w:color w:val="800080" w:themeColor="followedHyperlink"/>
      <w:u w:val="single"/>
    </w:rPr>
  </w:style>
  <w:style w:type="character" w:customStyle="1" w:styleId="DecisionParagraphsChar">
    <w:name w:val="DecisionParagraphs Char"/>
    <w:basedOn w:val="DefaultParagraphFont"/>
    <w:link w:val="DecisionParagraphs"/>
    <w:rsid w:val="003A2170"/>
    <w:rPr>
      <w:rFonts w:ascii="Arial" w:hAnsi="Arial"/>
      <w:i/>
    </w:rPr>
  </w:style>
  <w:style w:type="character" w:styleId="CommentReference">
    <w:name w:val="annotation reference"/>
    <w:basedOn w:val="DefaultParagraphFont"/>
    <w:semiHidden/>
    <w:unhideWhenUsed/>
    <w:rsid w:val="00A722BC"/>
    <w:rPr>
      <w:sz w:val="16"/>
      <w:szCs w:val="16"/>
    </w:rPr>
  </w:style>
  <w:style w:type="paragraph" w:styleId="CommentText">
    <w:name w:val="annotation text"/>
    <w:basedOn w:val="Normal"/>
    <w:link w:val="CommentTextChar"/>
    <w:semiHidden/>
    <w:unhideWhenUsed/>
    <w:rsid w:val="00A722BC"/>
  </w:style>
  <w:style w:type="character" w:customStyle="1" w:styleId="CommentTextChar">
    <w:name w:val="Comment Text Char"/>
    <w:basedOn w:val="DefaultParagraphFont"/>
    <w:link w:val="CommentText"/>
    <w:semiHidden/>
    <w:rsid w:val="00A722BC"/>
    <w:rPr>
      <w:rFonts w:ascii="Arial" w:hAnsi="Arial"/>
    </w:rPr>
  </w:style>
  <w:style w:type="paragraph" w:styleId="CommentSubject">
    <w:name w:val="annotation subject"/>
    <w:basedOn w:val="CommentText"/>
    <w:next w:val="CommentText"/>
    <w:link w:val="CommentSubjectChar"/>
    <w:semiHidden/>
    <w:unhideWhenUsed/>
    <w:rsid w:val="00A722BC"/>
    <w:rPr>
      <w:b/>
      <w:bCs/>
    </w:rPr>
  </w:style>
  <w:style w:type="character" w:customStyle="1" w:styleId="CommentSubjectChar">
    <w:name w:val="Comment Subject Char"/>
    <w:basedOn w:val="CommentTextChar"/>
    <w:link w:val="CommentSubject"/>
    <w:semiHidden/>
    <w:rsid w:val="00A722BC"/>
    <w:rPr>
      <w:rFonts w:ascii="Arial" w:hAnsi="Arial"/>
      <w:b/>
      <w:bCs/>
    </w:rPr>
  </w:style>
  <w:style w:type="character" w:customStyle="1" w:styleId="EndnoteTextChar">
    <w:name w:val="Endnote Text Char"/>
    <w:basedOn w:val="DefaultParagraphFont"/>
    <w:link w:val="EndnoteText"/>
    <w:semiHidden/>
    <w:rsid w:val="005755F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2450">
      <w:bodyDiv w:val="1"/>
      <w:marLeft w:val="0"/>
      <w:marRight w:val="0"/>
      <w:marTop w:val="0"/>
      <w:marBottom w:val="0"/>
      <w:divBdr>
        <w:top w:val="none" w:sz="0" w:space="0" w:color="auto"/>
        <w:left w:val="none" w:sz="0" w:space="0" w:color="auto"/>
        <w:bottom w:val="none" w:sz="0" w:space="0" w:color="auto"/>
        <w:right w:val="none" w:sz="0" w:space="0" w:color="auto"/>
      </w:divBdr>
    </w:div>
    <w:div w:id="449326419">
      <w:bodyDiv w:val="1"/>
      <w:marLeft w:val="0"/>
      <w:marRight w:val="0"/>
      <w:marTop w:val="0"/>
      <w:marBottom w:val="0"/>
      <w:divBdr>
        <w:top w:val="none" w:sz="0" w:space="0" w:color="auto"/>
        <w:left w:val="none" w:sz="0" w:space="0" w:color="auto"/>
        <w:bottom w:val="none" w:sz="0" w:space="0" w:color="auto"/>
        <w:right w:val="none" w:sz="0" w:space="0" w:color="auto"/>
      </w:divBdr>
    </w:div>
    <w:div w:id="1896962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image" Target="media/image8.wmf"/><Relationship Id="rId39" Type="http://schemas.openxmlformats.org/officeDocument/2006/relationships/theme" Target="theme/theme1.xml"/><Relationship Id="rId21" Type="http://schemas.openxmlformats.org/officeDocument/2006/relationships/image" Target="media/image3.wmf"/><Relationship Id="rId34"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hyperlink" Target="https://www.upov.int/edocs/mdocs/upov/fr/tc_54/tc_54_31.pdf" TargetMode="External"/><Relationship Id="rId17" Type="http://schemas.openxmlformats.org/officeDocument/2006/relationships/header" Target="header4.xml"/><Relationship Id="rId25" Type="http://schemas.openxmlformats.org/officeDocument/2006/relationships/image" Target="media/image7.wmf"/><Relationship Id="rId33" Type="http://schemas.openxmlformats.org/officeDocument/2006/relationships/header" Target="header10.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2.wmf"/><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ov.int/upov_collection/fr/" TargetMode="External"/><Relationship Id="rId24" Type="http://schemas.openxmlformats.org/officeDocument/2006/relationships/image" Target="media/image6.wmf"/><Relationship Id="rId32" Type="http://schemas.openxmlformats.org/officeDocument/2006/relationships/header" Target="header9.xm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wmf"/><Relationship Id="rId28" Type="http://schemas.openxmlformats.org/officeDocument/2006/relationships/image" Target="media/image10.wmf"/><Relationship Id="rId36" Type="http://schemas.openxmlformats.org/officeDocument/2006/relationships/header" Target="header12.xml"/><Relationship Id="rId10" Type="http://schemas.openxmlformats.org/officeDocument/2006/relationships/hyperlink" Target="https://www.upov.int/edocs/mdocs/upov/fr/caj_75/caj_75_13.pdf" TargetMode="External"/><Relationship Id="rId19" Type="http://schemas.openxmlformats.org/officeDocument/2006/relationships/header" Target="header6.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s://www.upov.int/edocs/mdocs/upov/fr/tc_54/tc_54_5_rev.pdf" TargetMode="External"/><Relationship Id="rId14" Type="http://schemas.openxmlformats.org/officeDocument/2006/relationships/header" Target="header2.xml"/><Relationship Id="rId22" Type="http://schemas.openxmlformats.org/officeDocument/2006/relationships/image" Target="media/image4.wmf"/><Relationship Id="rId27" Type="http://schemas.openxmlformats.org/officeDocument/2006/relationships/image" Target="media/image9.wmf"/><Relationship Id="rId30" Type="http://schemas.openxmlformats.org/officeDocument/2006/relationships/header" Target="header7.xml"/><Relationship Id="rId35" Type="http://schemas.openxmlformats.org/officeDocument/2006/relationships/header" Target="header11.xm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upov.int/edocs/mdocs/upov/fr/tc_54/tc_54_31.pdf" TargetMode="External"/><Relationship Id="rId3" Type="http://schemas.openxmlformats.org/officeDocument/2006/relationships/hyperlink" Target="https://www.upov.int/edocs/mdocs/upov/fr/tc_54/tc_54_31.pdf" TargetMode="External"/><Relationship Id="rId7" Type="http://schemas.openxmlformats.org/officeDocument/2006/relationships/hyperlink" Target="https://www.upov.int/edocs/mdocs/upov/fr/tc_53/tc_53_31.pdf" TargetMode="External"/><Relationship Id="rId12" Type="http://schemas.openxmlformats.org/officeDocument/2006/relationships/hyperlink" Target="https://www.upov.int/edocs/mdocs/upov/fr/caj_75/caj_75_14.pdf" TargetMode="External"/><Relationship Id="rId2" Type="http://schemas.openxmlformats.org/officeDocument/2006/relationships/hyperlink" Target="https://www.upov.int/edocs/mdocs/upov/fr/caj_75/caj_75_14.pdf" TargetMode="External"/><Relationship Id="rId1" Type="http://schemas.openxmlformats.org/officeDocument/2006/relationships/hyperlink" Target="https://www.upov.int/edocs/mdocs/upov/fr/tc_54/tc_54_31.pdf" TargetMode="External"/><Relationship Id="rId6" Type="http://schemas.openxmlformats.org/officeDocument/2006/relationships/hyperlink" Target="https://www.upov.int/edocs/mdocs/upov/fr/tc_54/tc_54_31.pdf" TargetMode="External"/><Relationship Id="rId11" Type="http://schemas.openxmlformats.org/officeDocument/2006/relationships/hyperlink" Target="https://www.upov.int/edocs/mdocs/upov/fr/tc_54/tc_54_31.pdf" TargetMode="External"/><Relationship Id="rId5" Type="http://schemas.openxmlformats.org/officeDocument/2006/relationships/hyperlink" Target="https://www.upov.int/edocs/mdocs/upov/fr/tc_54/tc_54_31.pdf" TargetMode="External"/><Relationship Id="rId10" Type="http://schemas.openxmlformats.org/officeDocument/2006/relationships/hyperlink" Target="https://www.upov.int/edocs/mdocs/upov/fr/tc_54/tc_54_31.pdf" TargetMode="External"/><Relationship Id="rId4" Type="http://schemas.openxmlformats.org/officeDocument/2006/relationships/hyperlink" Target="https://www.upov.int/edocs/mdocs/upov/fr/tc_53/tc_53_31.pdf" TargetMode="External"/><Relationship Id="rId9" Type="http://schemas.openxmlformats.org/officeDocument/2006/relationships/hyperlink" Target="https://www.upov.int/edocs/mdocs/upov/fr/tc_54/tc_54_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72C21-33B7-4FA0-8453-28BF61FD7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17</Pages>
  <Words>6999</Words>
  <Characters>41337</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CAJ/76/5</vt:lpstr>
    </vt:vector>
  </TitlesOfParts>
  <Company>UPOV</Company>
  <LinksUpToDate>false</LinksUpToDate>
  <CharactersWithSpaces>48240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CAJ/76/5</dc:title>
  <dc:creator>SANCHEZ VIZCAINO GOMEZ Rosa Maria</dc:creator>
  <cp:lastModifiedBy>SANCHEZ VIZCAINO GOMEZ Rosa Maria</cp:lastModifiedBy>
  <cp:revision>68</cp:revision>
  <cp:lastPrinted>2019-08-02T11:46:00Z</cp:lastPrinted>
  <dcterms:created xsi:type="dcterms:W3CDTF">2019-07-23T09:28:00Z</dcterms:created>
  <dcterms:modified xsi:type="dcterms:W3CDTF">2019-08-02T12:00:00Z</dcterms:modified>
</cp:coreProperties>
</file>