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4444F5" w:rsidRPr="00815738" w:rsidTr="00B9093E">
        <w:tc>
          <w:tcPr>
            <w:tcW w:w="6522" w:type="dxa"/>
          </w:tcPr>
          <w:p w:rsidR="004444F5" w:rsidRPr="00AC2883" w:rsidRDefault="004444F5" w:rsidP="00B9093E">
            <w:r w:rsidRPr="00D250C5">
              <w:rPr>
                <w:noProof/>
              </w:rPr>
              <w:drawing>
                <wp:inline distT="0" distB="0" distL="0" distR="0" wp14:anchorId="3B22B8E2" wp14:editId="3E1B8EE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4444F5" w:rsidRPr="007C1D92" w:rsidRDefault="004444F5" w:rsidP="00B9093E">
            <w:pPr>
              <w:pStyle w:val="Lettrine"/>
            </w:pPr>
            <w:r>
              <w:t>F</w:t>
            </w:r>
          </w:p>
        </w:tc>
      </w:tr>
      <w:tr w:rsidR="004444F5" w:rsidRPr="00A82455" w:rsidTr="00B9093E">
        <w:trPr>
          <w:trHeight w:val="219"/>
        </w:trPr>
        <w:tc>
          <w:tcPr>
            <w:tcW w:w="6522" w:type="dxa"/>
          </w:tcPr>
          <w:p w:rsidR="004444F5" w:rsidRPr="004444F5" w:rsidRDefault="004444F5" w:rsidP="00B9093E">
            <w:pPr>
              <w:pStyle w:val="upove"/>
              <w:rPr>
                <w:lang w:val="fr-CH"/>
              </w:rPr>
            </w:pPr>
            <w:r w:rsidRPr="004444F5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4444F5" w:rsidRPr="004444F5" w:rsidRDefault="004444F5" w:rsidP="00B9093E">
            <w:pPr>
              <w:rPr>
                <w:lang w:val="fr-CH"/>
              </w:rPr>
            </w:pPr>
          </w:p>
        </w:tc>
      </w:tr>
    </w:tbl>
    <w:p w:rsidR="004444F5" w:rsidRPr="004444F5" w:rsidRDefault="004444F5" w:rsidP="004444F5">
      <w:pPr>
        <w:rPr>
          <w:lang w:val="fr-CH"/>
        </w:rPr>
      </w:pPr>
    </w:p>
    <w:p w:rsidR="004444F5" w:rsidRPr="004444F5" w:rsidRDefault="004444F5" w:rsidP="004444F5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44F5" w:rsidRPr="00A82455" w:rsidTr="00B9093E">
        <w:tc>
          <w:tcPr>
            <w:tcW w:w="6512" w:type="dxa"/>
          </w:tcPr>
          <w:p w:rsidR="004444F5" w:rsidRPr="004444F5" w:rsidRDefault="004444F5" w:rsidP="00B9093E">
            <w:pPr>
              <w:pStyle w:val="Sessiontc"/>
              <w:spacing w:line="240" w:lineRule="auto"/>
              <w:rPr>
                <w:lang w:val="fr-CH"/>
              </w:rPr>
            </w:pPr>
            <w:r w:rsidRPr="004444F5">
              <w:rPr>
                <w:lang w:val="fr-CH"/>
              </w:rPr>
              <w:t>Comité administratif et juridique</w:t>
            </w:r>
          </w:p>
          <w:p w:rsidR="004444F5" w:rsidRPr="004444F5" w:rsidRDefault="004444F5" w:rsidP="00B9093E">
            <w:pPr>
              <w:pStyle w:val="Sessiontcplacedate"/>
              <w:rPr>
                <w:sz w:val="22"/>
                <w:lang w:val="fr-CH"/>
              </w:rPr>
            </w:pPr>
            <w:r w:rsidRPr="004444F5">
              <w:rPr>
                <w:lang w:val="fr-CH"/>
              </w:rPr>
              <w:t>Soixante</w:t>
            </w:r>
            <w:r w:rsidR="008418D4">
              <w:rPr>
                <w:lang w:val="fr-CH"/>
              </w:rPr>
              <w:t>-</w:t>
            </w:r>
            <w:r w:rsidRPr="004444F5">
              <w:rPr>
                <w:lang w:val="fr-CH"/>
              </w:rPr>
              <w:t>seiz</w:t>
            </w:r>
            <w:r w:rsidR="008418D4">
              <w:rPr>
                <w:lang w:val="fr-CH"/>
              </w:rPr>
              <w:t>ième session</w:t>
            </w:r>
            <w:r w:rsidRPr="004444F5">
              <w:rPr>
                <w:lang w:val="fr-CH"/>
              </w:rPr>
              <w:br/>
              <w:t>Genève, 3</w:t>
            </w:r>
            <w:r w:rsidR="008418D4" w:rsidRPr="004444F5">
              <w:rPr>
                <w:lang w:val="fr-CH"/>
              </w:rPr>
              <w:t>0</w:t>
            </w:r>
            <w:r w:rsidR="008418D4">
              <w:rPr>
                <w:lang w:val="fr-CH"/>
              </w:rPr>
              <w:t> </w:t>
            </w:r>
            <w:r w:rsidR="008418D4" w:rsidRPr="004444F5">
              <w:rPr>
                <w:lang w:val="fr-CH"/>
              </w:rPr>
              <w:t>octobre</w:t>
            </w:r>
            <w:r w:rsidR="008418D4">
              <w:rPr>
                <w:lang w:val="fr-CH"/>
              </w:rPr>
              <w:t> </w:t>
            </w:r>
            <w:r w:rsidR="008418D4" w:rsidRPr="004444F5">
              <w:rPr>
                <w:lang w:val="fr-CH"/>
              </w:rPr>
              <w:t>20</w:t>
            </w:r>
            <w:r w:rsidRPr="004444F5">
              <w:rPr>
                <w:lang w:val="fr-CH"/>
              </w:rPr>
              <w:t>19</w:t>
            </w:r>
          </w:p>
        </w:tc>
        <w:tc>
          <w:tcPr>
            <w:tcW w:w="3127" w:type="dxa"/>
          </w:tcPr>
          <w:p w:rsidR="004444F5" w:rsidRPr="008C66BC" w:rsidRDefault="004444F5" w:rsidP="00B9093E">
            <w:pPr>
              <w:pStyle w:val="Doccode"/>
              <w:rPr>
                <w:lang w:val="fr-CH"/>
              </w:rPr>
            </w:pPr>
            <w:proofErr w:type="spellStart"/>
            <w:r w:rsidRPr="008C66BC">
              <w:rPr>
                <w:lang w:val="fr-CH"/>
              </w:rPr>
              <w:t>CAJ</w:t>
            </w:r>
            <w:proofErr w:type="spellEnd"/>
            <w:r w:rsidRPr="008C66BC">
              <w:rPr>
                <w:lang w:val="fr-CH"/>
              </w:rPr>
              <w:t>/76/</w:t>
            </w:r>
            <w:r>
              <w:rPr>
                <w:lang w:val="fr-CH"/>
              </w:rPr>
              <w:t>4</w:t>
            </w:r>
          </w:p>
          <w:p w:rsidR="004444F5" w:rsidRPr="004444F5" w:rsidRDefault="004444F5" w:rsidP="00B9093E">
            <w:pPr>
              <w:pStyle w:val="Docoriginal"/>
              <w:rPr>
                <w:lang w:val="fr-CH"/>
              </w:rPr>
            </w:pPr>
            <w:r w:rsidRPr="004444F5">
              <w:rPr>
                <w:lang w:val="fr-CH"/>
              </w:rPr>
              <w:t>Original</w:t>
            </w:r>
            <w:r w:rsidR="001670D4">
              <w:rPr>
                <w:lang w:val="fr-CH"/>
              </w:rPr>
              <w:t> :</w:t>
            </w:r>
            <w:r w:rsidRPr="004444F5">
              <w:rPr>
                <w:b w:val="0"/>
                <w:spacing w:val="0"/>
                <w:lang w:val="fr-CH"/>
              </w:rPr>
              <w:t xml:space="preserve"> anglais</w:t>
            </w:r>
          </w:p>
          <w:p w:rsidR="004444F5" w:rsidRPr="004444F5" w:rsidRDefault="004444F5" w:rsidP="00B9093E">
            <w:pPr>
              <w:pStyle w:val="Docoriginal"/>
              <w:rPr>
                <w:lang w:val="fr-CH"/>
              </w:rPr>
            </w:pPr>
            <w:r w:rsidRPr="004444F5">
              <w:rPr>
                <w:lang w:val="fr-CH"/>
              </w:rPr>
              <w:t>Date</w:t>
            </w:r>
            <w:r w:rsidR="001670D4">
              <w:rPr>
                <w:lang w:val="fr-CH"/>
              </w:rPr>
              <w:t> :</w:t>
            </w:r>
            <w:r w:rsidRPr="004444F5">
              <w:rPr>
                <w:b w:val="0"/>
                <w:spacing w:val="0"/>
                <w:lang w:val="fr-CH"/>
              </w:rPr>
              <w:t xml:space="preserve"> </w:t>
            </w:r>
            <w:r w:rsidRPr="00F97D68">
              <w:rPr>
                <w:b w:val="0"/>
                <w:spacing w:val="0"/>
                <w:lang w:val="fr-CH"/>
              </w:rPr>
              <w:t>23 juillet 2019</w:t>
            </w:r>
          </w:p>
        </w:tc>
      </w:tr>
    </w:tbl>
    <w:p w:rsidR="004444F5" w:rsidRPr="003F1438" w:rsidRDefault="004444F5" w:rsidP="004444F5">
      <w:pPr>
        <w:pStyle w:val="Titleofdoc0"/>
        <w:rPr>
          <w:lang w:val="fr-CH"/>
        </w:rPr>
      </w:pPr>
      <w:bookmarkStart w:id="0" w:name="TitleOfDoc"/>
      <w:bookmarkStart w:id="1" w:name="Prepared"/>
      <w:bookmarkEnd w:id="0"/>
      <w:bookmarkEnd w:id="1"/>
      <w:r w:rsidRPr="003F1438">
        <w:rPr>
          <w:lang w:val="fr-CH"/>
        </w:rPr>
        <w:t>Élaboration de matériel d</w:t>
      </w:r>
      <w:r w:rsidR="008418D4">
        <w:rPr>
          <w:lang w:val="fr-CH"/>
        </w:rPr>
        <w:t>’</w:t>
      </w:r>
      <w:r w:rsidRPr="003F1438">
        <w:rPr>
          <w:lang w:val="fr-CH"/>
        </w:rPr>
        <w:t xml:space="preserve">information concernant la </w:t>
      </w:r>
      <w:r w:rsidR="008418D4">
        <w:rPr>
          <w:lang w:val="fr-CH"/>
        </w:rPr>
        <w:t>Convention UPOV</w:t>
      </w:r>
    </w:p>
    <w:p w:rsidR="004444F5" w:rsidRPr="004444F5" w:rsidRDefault="004444F5" w:rsidP="004444F5">
      <w:pPr>
        <w:pStyle w:val="preparedby1"/>
        <w:jc w:val="left"/>
        <w:rPr>
          <w:lang w:val="fr-CH"/>
        </w:rPr>
      </w:pPr>
      <w:r w:rsidRPr="004444F5">
        <w:rPr>
          <w:lang w:val="fr-CH"/>
        </w:rPr>
        <w:t>Document établi par le Bureau de l</w:t>
      </w:r>
      <w:r w:rsidR="008418D4">
        <w:rPr>
          <w:lang w:val="fr-CH"/>
        </w:rPr>
        <w:t>’</w:t>
      </w:r>
      <w:r w:rsidRPr="004444F5">
        <w:rPr>
          <w:lang w:val="fr-CH"/>
        </w:rPr>
        <w:t>Union</w:t>
      </w:r>
    </w:p>
    <w:p w:rsidR="004444F5" w:rsidRPr="004444F5" w:rsidRDefault="004444F5" w:rsidP="004444F5">
      <w:pPr>
        <w:pStyle w:val="Disclaimer"/>
        <w:rPr>
          <w:lang w:val="fr-CH"/>
        </w:rPr>
      </w:pPr>
      <w:r w:rsidRPr="004444F5">
        <w:rPr>
          <w:lang w:val="fr-CH"/>
        </w:rPr>
        <w:t>Avertissement</w:t>
      </w:r>
      <w:r w:rsidR="008418D4">
        <w:rPr>
          <w:lang w:val="fr-CH"/>
        </w:rPr>
        <w:t> :</w:t>
      </w:r>
      <w:r w:rsidRPr="004444F5">
        <w:rPr>
          <w:lang w:val="fr-CH"/>
        </w:rPr>
        <w:t xml:space="preserve"> le présent document ne représente pas les principes ou les orientations de l</w:t>
      </w:r>
      <w:r w:rsidR="008418D4">
        <w:rPr>
          <w:lang w:val="fr-CH"/>
        </w:rPr>
        <w:t>’</w:t>
      </w:r>
      <w:r w:rsidRPr="004444F5">
        <w:rPr>
          <w:lang w:val="fr-CH"/>
        </w:rPr>
        <w:t>UPOV</w:t>
      </w:r>
    </w:p>
    <w:p w:rsidR="00AE0651" w:rsidRPr="003F1438" w:rsidRDefault="00274FF7" w:rsidP="00274FF7">
      <w:pPr>
        <w:pStyle w:val="Heading1"/>
        <w:rPr>
          <w:snapToGrid w:val="0"/>
          <w:lang w:val="fr-CH"/>
        </w:rPr>
      </w:pPr>
      <w:bookmarkStart w:id="2" w:name="_Toc15397229"/>
      <w:r w:rsidRPr="003F1438">
        <w:rPr>
          <w:snapToGrid w:val="0"/>
          <w:lang w:val="fr-CH"/>
        </w:rPr>
        <w:t>Résumé</w:t>
      </w:r>
      <w:bookmarkEnd w:id="2"/>
    </w:p>
    <w:p w:rsidR="00AE0651" w:rsidRPr="003F1438" w:rsidRDefault="00AE0651" w:rsidP="00ED4336">
      <w:pPr>
        <w:rPr>
          <w:snapToGrid w:val="0"/>
          <w:lang w:val="fr-CH"/>
        </w:rPr>
      </w:pPr>
    </w:p>
    <w:p w:rsidR="00AE0651" w:rsidRPr="003F1438" w:rsidRDefault="00ED4336" w:rsidP="00274FF7">
      <w:pPr>
        <w:rPr>
          <w:lang w:val="fr-CH"/>
        </w:rPr>
      </w:pPr>
      <w:r w:rsidRPr="003F1438">
        <w:rPr>
          <w:lang w:val="fr-CH"/>
        </w:rPr>
        <w:fldChar w:fldCharType="begin"/>
      </w:r>
      <w:r w:rsidRPr="003F1438">
        <w:rPr>
          <w:lang w:val="fr-CH"/>
        </w:rPr>
        <w:instrText xml:space="preserve"> AUTONUM  </w:instrText>
      </w:r>
      <w:r w:rsidRPr="003F1438">
        <w:rPr>
          <w:lang w:val="fr-CH"/>
        </w:rPr>
        <w:fldChar w:fldCharType="end"/>
      </w:r>
      <w:r w:rsidRPr="003F1438">
        <w:rPr>
          <w:lang w:val="fr-CH"/>
        </w:rPr>
        <w:tab/>
      </w:r>
      <w:r w:rsidR="00274FF7" w:rsidRPr="003F1438">
        <w:rPr>
          <w:lang w:val="fr-CH"/>
        </w:rPr>
        <w:t>L</w:t>
      </w:r>
      <w:r w:rsidR="008418D4">
        <w:rPr>
          <w:lang w:val="fr-CH"/>
        </w:rPr>
        <w:t>’</w:t>
      </w:r>
      <w:r w:rsidR="00274FF7" w:rsidRPr="003F1438">
        <w:rPr>
          <w:lang w:val="fr-CH"/>
        </w:rPr>
        <w:t>objet du présent document est de</w:t>
      </w:r>
      <w:r w:rsidR="00A11D92">
        <w:rPr>
          <w:lang w:val="fr-CH"/>
        </w:rPr>
        <w:t xml:space="preserve"> fournir des informations générales afin de</w:t>
      </w:r>
      <w:r w:rsidR="00274FF7" w:rsidRPr="003F1438">
        <w:rPr>
          <w:lang w:val="fr-CH"/>
        </w:rPr>
        <w:t xml:space="preserve"> faciliter l</w:t>
      </w:r>
      <w:r w:rsidR="008418D4">
        <w:rPr>
          <w:lang w:val="fr-CH"/>
        </w:rPr>
        <w:t>’</w:t>
      </w:r>
      <w:r w:rsidR="00274FF7" w:rsidRPr="003F1438">
        <w:rPr>
          <w:lang w:val="fr-CH"/>
        </w:rPr>
        <w:t>examen par le Comité administratif et juridique (</w:t>
      </w:r>
      <w:proofErr w:type="spellStart"/>
      <w:r w:rsidR="00274FF7" w:rsidRPr="003F1438">
        <w:rPr>
          <w:lang w:val="fr-CH"/>
        </w:rPr>
        <w:t>CAJ</w:t>
      </w:r>
      <w:proofErr w:type="spellEnd"/>
      <w:r w:rsidR="00274FF7" w:rsidRPr="003F1438">
        <w:rPr>
          <w:lang w:val="fr-CH"/>
        </w:rPr>
        <w:t>) des questions pertinentes concernant l</w:t>
      </w:r>
      <w:r w:rsidR="008418D4">
        <w:rPr>
          <w:lang w:val="fr-CH"/>
        </w:rPr>
        <w:t>’</w:t>
      </w:r>
      <w:r w:rsidR="00274FF7" w:rsidRPr="003F1438">
        <w:rPr>
          <w:lang w:val="fr-CH"/>
        </w:rPr>
        <w:t>élaboration de matériel d</w:t>
      </w:r>
      <w:r w:rsidR="008418D4">
        <w:rPr>
          <w:lang w:val="fr-CH"/>
        </w:rPr>
        <w:t>’</w:t>
      </w:r>
      <w:r w:rsidR="00274FF7" w:rsidRPr="003F1438">
        <w:rPr>
          <w:lang w:val="fr-CH"/>
        </w:rPr>
        <w:t>information.</w:t>
      </w:r>
    </w:p>
    <w:p w:rsidR="00AE0651" w:rsidRPr="003F1438" w:rsidRDefault="00AE0651" w:rsidP="00ED4336">
      <w:pPr>
        <w:rPr>
          <w:lang w:val="fr-CH"/>
        </w:rPr>
      </w:pPr>
    </w:p>
    <w:p w:rsidR="00AE0651" w:rsidRPr="003F1438" w:rsidRDefault="00ED4336" w:rsidP="00274FF7">
      <w:pPr>
        <w:keepNext/>
        <w:rPr>
          <w:u w:val="single"/>
          <w:lang w:val="fr-CH"/>
        </w:rPr>
      </w:pPr>
      <w:r w:rsidRPr="003F1438">
        <w:rPr>
          <w:lang w:val="fr-CH"/>
        </w:rPr>
        <w:fldChar w:fldCharType="begin"/>
      </w:r>
      <w:r w:rsidRPr="003F1438">
        <w:rPr>
          <w:lang w:val="fr-CH"/>
        </w:rPr>
        <w:instrText xml:space="preserve"> AUTONUM  </w:instrText>
      </w:r>
      <w:r w:rsidRPr="003F1438">
        <w:rPr>
          <w:lang w:val="fr-CH"/>
        </w:rPr>
        <w:fldChar w:fldCharType="end"/>
      </w:r>
      <w:r w:rsidRPr="003F1438">
        <w:rPr>
          <w:lang w:val="fr-CH"/>
        </w:rPr>
        <w:tab/>
      </w:r>
      <w:r w:rsidR="00274FF7" w:rsidRPr="003F1438">
        <w:rPr>
          <w:lang w:val="fr-CH"/>
        </w:rPr>
        <w:t xml:space="preserve">Le </w:t>
      </w:r>
      <w:proofErr w:type="spellStart"/>
      <w:r w:rsidR="00274FF7" w:rsidRPr="003F1438">
        <w:rPr>
          <w:lang w:val="fr-CH"/>
        </w:rPr>
        <w:t>CAJ</w:t>
      </w:r>
      <w:proofErr w:type="spellEnd"/>
      <w:r w:rsidR="00274FF7" w:rsidRPr="003F1438">
        <w:rPr>
          <w:lang w:val="fr-CH"/>
        </w:rPr>
        <w:t xml:space="preserve"> est invité</w:t>
      </w:r>
      <w:r w:rsidR="00A82455">
        <w:rPr>
          <w:lang w:val="fr-CH"/>
        </w:rPr>
        <w:t xml:space="preserve"> </w:t>
      </w:r>
      <w:r w:rsidR="00A82455" w:rsidRPr="003F1438">
        <w:rPr>
          <w:lang w:val="fr-CH"/>
        </w:rPr>
        <w:t>à</w:t>
      </w:r>
      <w:r w:rsidR="00A82455">
        <w:rPr>
          <w:lang w:val="fr-CH"/>
        </w:rPr>
        <w:t> :</w:t>
      </w:r>
    </w:p>
    <w:p w:rsidR="00AE0651" w:rsidRPr="003F1438" w:rsidRDefault="00AE0651" w:rsidP="00ED4336">
      <w:pPr>
        <w:rPr>
          <w:lang w:val="fr-CH"/>
        </w:rPr>
      </w:pPr>
    </w:p>
    <w:p w:rsidR="008418D4" w:rsidRDefault="00ED4336" w:rsidP="00274FF7">
      <w:pPr>
        <w:rPr>
          <w:lang w:val="fr-CH"/>
        </w:rPr>
      </w:pPr>
      <w:r w:rsidRPr="003F1438">
        <w:rPr>
          <w:lang w:val="fr-CH"/>
        </w:rPr>
        <w:tab/>
      </w:r>
      <w:r w:rsidR="00274FF7" w:rsidRPr="003F1438">
        <w:rPr>
          <w:lang w:val="fr-CH"/>
        </w:rPr>
        <w:t>a)</w:t>
      </w:r>
      <w:r w:rsidR="00274FF7" w:rsidRPr="003F1438">
        <w:rPr>
          <w:lang w:val="fr-CH"/>
        </w:rPr>
        <w:tab/>
        <w:t xml:space="preserve">noter que les questions relatives aux variétés essentiellement dérivées sont examinées dans le </w:t>
      </w:r>
      <w:r w:rsidR="008418D4" w:rsidRPr="003F1438">
        <w:rPr>
          <w:lang w:val="fr-CH"/>
        </w:rPr>
        <w:t>document</w:t>
      </w:r>
      <w:r w:rsidR="008418D4">
        <w:rPr>
          <w:lang w:val="fr-CH"/>
        </w:rPr>
        <w:t xml:space="preserve"> </w:t>
      </w:r>
      <w:proofErr w:type="spellStart"/>
      <w:r w:rsidR="008418D4" w:rsidRPr="003F1438">
        <w:rPr>
          <w:lang w:val="fr-CH"/>
        </w:rPr>
        <w:t>CA</w:t>
      </w:r>
      <w:r w:rsidR="00274FF7" w:rsidRPr="003F1438">
        <w:rPr>
          <w:lang w:val="fr-CH"/>
        </w:rPr>
        <w:t>J</w:t>
      </w:r>
      <w:proofErr w:type="spellEnd"/>
      <w:r w:rsidR="00274FF7" w:rsidRPr="003F1438">
        <w:rPr>
          <w:lang w:val="fr-CH"/>
        </w:rPr>
        <w:t>/76/3,</w:t>
      </w:r>
    </w:p>
    <w:p w:rsidR="00AE0651" w:rsidRPr="003F1438" w:rsidRDefault="00AE0651" w:rsidP="004A7B3B">
      <w:pPr>
        <w:rPr>
          <w:lang w:val="fr-CH"/>
        </w:rPr>
      </w:pPr>
    </w:p>
    <w:p w:rsidR="00AE0651" w:rsidRPr="003F1438" w:rsidRDefault="004A7B3B" w:rsidP="00274FF7">
      <w:pPr>
        <w:rPr>
          <w:lang w:val="fr-CH"/>
        </w:rPr>
      </w:pPr>
      <w:r w:rsidRPr="003F1438">
        <w:rPr>
          <w:lang w:val="fr-CH"/>
        </w:rPr>
        <w:tab/>
      </w:r>
      <w:r w:rsidR="00274FF7" w:rsidRPr="003F1438">
        <w:rPr>
          <w:lang w:val="fr-CH"/>
        </w:rPr>
        <w:t>b)</w:t>
      </w:r>
      <w:r w:rsidR="00274FF7" w:rsidRPr="003F1438">
        <w:rPr>
          <w:lang w:val="fr-CH"/>
        </w:rPr>
        <w:tab/>
        <w:t xml:space="preserve">noter que les questions relatives aux dénominations variétales sont examinées dans le </w:t>
      </w:r>
      <w:r w:rsidR="008418D4" w:rsidRPr="003F1438">
        <w:rPr>
          <w:lang w:val="fr-CH"/>
        </w:rPr>
        <w:t>document</w:t>
      </w:r>
      <w:r w:rsidR="008418D4">
        <w:rPr>
          <w:lang w:val="fr-CH"/>
        </w:rPr>
        <w:t xml:space="preserve"> </w:t>
      </w:r>
      <w:proofErr w:type="spellStart"/>
      <w:r w:rsidR="008418D4" w:rsidRPr="003F1438">
        <w:rPr>
          <w:lang w:val="fr-CH"/>
        </w:rPr>
        <w:t>CA</w:t>
      </w:r>
      <w:r w:rsidR="00274FF7" w:rsidRPr="003F1438">
        <w:rPr>
          <w:lang w:val="fr-CH"/>
        </w:rPr>
        <w:t>J</w:t>
      </w:r>
      <w:proofErr w:type="spellEnd"/>
      <w:r w:rsidR="00274FF7" w:rsidRPr="003F1438">
        <w:rPr>
          <w:lang w:val="fr-CH"/>
        </w:rPr>
        <w:t>/76/6 “Dénominations variétales” et</w:t>
      </w:r>
    </w:p>
    <w:p w:rsidR="00AE0651" w:rsidRPr="003F1438" w:rsidRDefault="00AE0651" w:rsidP="004A7B3B">
      <w:pPr>
        <w:rPr>
          <w:lang w:val="fr-CH"/>
        </w:rPr>
      </w:pPr>
    </w:p>
    <w:p w:rsidR="00AE0651" w:rsidRPr="003F1438" w:rsidRDefault="004A7B3B" w:rsidP="00274FF7">
      <w:pPr>
        <w:rPr>
          <w:lang w:val="fr-CH"/>
        </w:rPr>
      </w:pPr>
      <w:r w:rsidRPr="003F1438">
        <w:rPr>
          <w:lang w:val="fr-CH"/>
        </w:rPr>
        <w:tab/>
      </w:r>
      <w:r w:rsidR="00274FF7" w:rsidRPr="003F1438">
        <w:rPr>
          <w:lang w:val="fr-CH"/>
        </w:rPr>
        <w:t>c)</w:t>
      </w:r>
      <w:r w:rsidR="00274FF7" w:rsidRPr="003F1438">
        <w:rPr>
          <w:lang w:val="fr-CH"/>
        </w:rPr>
        <w:tab/>
        <w:t>examiner le programme d</w:t>
      </w:r>
      <w:r w:rsidR="008418D4">
        <w:rPr>
          <w:lang w:val="fr-CH"/>
        </w:rPr>
        <w:t>’</w:t>
      </w:r>
      <w:r w:rsidR="00274FF7" w:rsidRPr="003F1438">
        <w:rPr>
          <w:lang w:val="fr-CH"/>
        </w:rPr>
        <w:t>élaboration d</w:t>
      </w:r>
      <w:bookmarkStart w:id="3" w:name="_GoBack"/>
      <w:bookmarkEnd w:id="3"/>
      <w:r w:rsidR="00274FF7" w:rsidRPr="003F1438">
        <w:rPr>
          <w:lang w:val="fr-CH"/>
        </w:rPr>
        <w:t>e matériel d</w:t>
      </w:r>
      <w:r w:rsidR="008418D4">
        <w:rPr>
          <w:lang w:val="fr-CH"/>
        </w:rPr>
        <w:t>’</w:t>
      </w:r>
      <w:r w:rsidR="00274FF7" w:rsidRPr="003F1438">
        <w:rPr>
          <w:lang w:val="fr-CH"/>
        </w:rPr>
        <w:t>information.</w:t>
      </w:r>
    </w:p>
    <w:p w:rsidR="00AE0651" w:rsidRPr="003F1438" w:rsidRDefault="00AE0651" w:rsidP="00ED4336">
      <w:pPr>
        <w:jc w:val="left"/>
        <w:rPr>
          <w:rFonts w:cs="Arial"/>
          <w:lang w:val="fr-CH"/>
        </w:rPr>
      </w:pPr>
    </w:p>
    <w:p w:rsidR="00AE0651" w:rsidRPr="003F1438" w:rsidRDefault="00AE0651" w:rsidP="00ED4336">
      <w:pPr>
        <w:jc w:val="left"/>
        <w:rPr>
          <w:rFonts w:cs="Arial"/>
          <w:lang w:val="fr-CH"/>
        </w:rPr>
      </w:pPr>
    </w:p>
    <w:p w:rsidR="00AE0651" w:rsidRPr="003F1438" w:rsidRDefault="00274FF7" w:rsidP="00274FF7">
      <w:pPr>
        <w:keepNext/>
        <w:rPr>
          <w:u w:val="single"/>
          <w:lang w:val="fr-CH"/>
        </w:rPr>
      </w:pPr>
      <w:r w:rsidRPr="003F1438">
        <w:rPr>
          <w:u w:val="single"/>
          <w:lang w:val="fr-CH"/>
        </w:rPr>
        <w:t>Table des matières</w:t>
      </w:r>
    </w:p>
    <w:p w:rsidR="00AE0651" w:rsidRPr="003F1438" w:rsidRDefault="00AE0651" w:rsidP="00ED4336">
      <w:pPr>
        <w:keepNext/>
        <w:rPr>
          <w:lang w:val="fr-CH"/>
        </w:rPr>
      </w:pPr>
    </w:p>
    <w:p w:rsidR="00A218D5" w:rsidRPr="00A218D5" w:rsidRDefault="00ED433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/>
        </w:rPr>
      </w:pPr>
      <w:r w:rsidRPr="003F1438">
        <w:rPr>
          <w:rFonts w:eastAsia="Arial Unicode MS"/>
          <w:b/>
          <w:bCs/>
          <w:noProof/>
          <w:lang w:val="fr-CH"/>
        </w:rPr>
        <w:fldChar w:fldCharType="begin"/>
      </w:r>
      <w:r w:rsidRPr="004444F5">
        <w:rPr>
          <w:rFonts w:eastAsia="Arial Unicode MS"/>
          <w:b/>
          <w:lang w:val="fr-CH"/>
        </w:rPr>
        <w:instrText xml:space="preserve"> TOC \"Heading 1;1" </w:instrText>
      </w:r>
      <w:r w:rsidRPr="003F1438">
        <w:rPr>
          <w:rFonts w:eastAsia="Arial Unicode MS"/>
          <w:b/>
          <w:bCs/>
          <w:noProof/>
          <w:lang w:val="fr-CH"/>
        </w:rPr>
        <w:fldChar w:fldCharType="separate"/>
      </w:r>
      <w:r w:rsidR="00A218D5" w:rsidRPr="00A93AD5">
        <w:rPr>
          <w:noProof/>
          <w:snapToGrid w:val="0"/>
          <w:lang w:val="fr-CH"/>
        </w:rPr>
        <w:t>Résumé</w:t>
      </w:r>
      <w:r w:rsidR="00A218D5" w:rsidRPr="00A218D5">
        <w:rPr>
          <w:noProof/>
          <w:lang w:val="fr-CH"/>
        </w:rPr>
        <w:tab/>
      </w:r>
      <w:r w:rsidR="00A218D5">
        <w:rPr>
          <w:noProof/>
        </w:rPr>
        <w:fldChar w:fldCharType="begin"/>
      </w:r>
      <w:r w:rsidR="00A218D5" w:rsidRPr="00A218D5">
        <w:rPr>
          <w:noProof/>
          <w:lang w:val="fr-CH"/>
        </w:rPr>
        <w:instrText xml:space="preserve"> PAGEREF _Toc15397229 \h </w:instrText>
      </w:r>
      <w:r w:rsidR="00A218D5">
        <w:rPr>
          <w:noProof/>
        </w:rPr>
      </w:r>
      <w:r w:rsidR="00A218D5">
        <w:rPr>
          <w:noProof/>
        </w:rPr>
        <w:fldChar w:fldCharType="separate"/>
      </w:r>
      <w:r w:rsidR="006A5B34">
        <w:rPr>
          <w:noProof/>
          <w:lang w:val="fr-CH"/>
        </w:rPr>
        <w:t>1</w:t>
      </w:r>
      <w:r w:rsidR="00A218D5">
        <w:rPr>
          <w:noProof/>
        </w:rPr>
        <w:fldChar w:fldCharType="end"/>
      </w:r>
    </w:p>
    <w:p w:rsidR="00A218D5" w:rsidRPr="00A218D5" w:rsidRDefault="00A218D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/>
        </w:rPr>
      </w:pPr>
      <w:r w:rsidRPr="00A93AD5">
        <w:rPr>
          <w:noProof/>
          <w:lang w:val="fr-CH"/>
        </w:rPr>
        <w:t>Introduction</w:t>
      </w:r>
      <w:r w:rsidRPr="00A218D5">
        <w:rPr>
          <w:noProof/>
          <w:lang w:val="fr-CH"/>
        </w:rPr>
        <w:tab/>
      </w:r>
      <w:r>
        <w:rPr>
          <w:noProof/>
        </w:rPr>
        <w:fldChar w:fldCharType="begin"/>
      </w:r>
      <w:r w:rsidRPr="00A218D5">
        <w:rPr>
          <w:noProof/>
          <w:lang w:val="fr-CH"/>
        </w:rPr>
        <w:instrText xml:space="preserve"> PAGEREF _Toc15397230 \h </w:instrText>
      </w:r>
      <w:r>
        <w:rPr>
          <w:noProof/>
        </w:rPr>
      </w:r>
      <w:r>
        <w:rPr>
          <w:noProof/>
        </w:rPr>
        <w:fldChar w:fldCharType="separate"/>
      </w:r>
      <w:r w:rsidR="006A5B34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A218D5" w:rsidRPr="00A218D5" w:rsidRDefault="00A218D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/>
        </w:rPr>
      </w:pPr>
      <w:r w:rsidRPr="00A93AD5">
        <w:rPr>
          <w:caps w:val="0"/>
          <w:noProof/>
          <w:lang w:val="fr-CH"/>
        </w:rPr>
        <w:t>PRÉSENTATION GÉNÉRALE DU MATÉRIEL D’INFORMATION</w:t>
      </w:r>
      <w:r w:rsidRPr="00A218D5">
        <w:rPr>
          <w:noProof/>
          <w:lang w:val="fr-CH"/>
        </w:rPr>
        <w:tab/>
      </w:r>
      <w:r>
        <w:rPr>
          <w:noProof/>
        </w:rPr>
        <w:fldChar w:fldCharType="begin"/>
      </w:r>
      <w:r w:rsidRPr="00A218D5">
        <w:rPr>
          <w:noProof/>
          <w:lang w:val="fr-CH"/>
        </w:rPr>
        <w:instrText xml:space="preserve"> PAGEREF _Toc15397231 \h </w:instrText>
      </w:r>
      <w:r>
        <w:rPr>
          <w:noProof/>
        </w:rPr>
      </w:r>
      <w:r>
        <w:rPr>
          <w:noProof/>
        </w:rPr>
        <w:fldChar w:fldCharType="separate"/>
      </w:r>
      <w:r w:rsidR="006A5B34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A218D5" w:rsidRPr="00A218D5" w:rsidRDefault="00A218D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/>
        </w:rPr>
      </w:pPr>
      <w:r w:rsidRPr="00A93AD5">
        <w:rPr>
          <w:rFonts w:cs="Arial"/>
          <w:noProof/>
          <w:lang w:val="fr-CH"/>
        </w:rPr>
        <w:t>matériel d’information</w:t>
      </w:r>
      <w:r w:rsidRPr="00A218D5">
        <w:rPr>
          <w:noProof/>
          <w:lang w:val="fr-CH"/>
        </w:rPr>
        <w:tab/>
      </w:r>
      <w:r>
        <w:rPr>
          <w:noProof/>
        </w:rPr>
        <w:fldChar w:fldCharType="begin"/>
      </w:r>
      <w:r w:rsidRPr="00A218D5">
        <w:rPr>
          <w:noProof/>
          <w:lang w:val="fr-CH"/>
        </w:rPr>
        <w:instrText xml:space="preserve"> PAGEREF _Toc15397232 \h </w:instrText>
      </w:r>
      <w:r>
        <w:rPr>
          <w:noProof/>
        </w:rPr>
      </w:r>
      <w:r>
        <w:rPr>
          <w:noProof/>
        </w:rPr>
        <w:fldChar w:fldCharType="separate"/>
      </w:r>
      <w:r w:rsidR="006A5B34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A218D5" w:rsidRPr="00A218D5" w:rsidRDefault="00A218D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A93AD5">
        <w:rPr>
          <w:noProof/>
          <w:lang w:val="fr-CH"/>
        </w:rPr>
        <w:t>Variétés essentiellement dérivées</w:t>
      </w:r>
      <w:r w:rsidRPr="00A218D5">
        <w:rPr>
          <w:noProof/>
          <w:lang w:val="fr-CH"/>
        </w:rPr>
        <w:tab/>
      </w:r>
      <w:r>
        <w:rPr>
          <w:noProof/>
        </w:rPr>
        <w:fldChar w:fldCharType="begin"/>
      </w:r>
      <w:r w:rsidRPr="00A218D5">
        <w:rPr>
          <w:noProof/>
          <w:lang w:val="fr-CH"/>
        </w:rPr>
        <w:instrText xml:space="preserve"> PAGEREF _Toc15397233 \h </w:instrText>
      </w:r>
      <w:r>
        <w:rPr>
          <w:noProof/>
        </w:rPr>
      </w:r>
      <w:r>
        <w:rPr>
          <w:noProof/>
        </w:rPr>
        <w:fldChar w:fldCharType="separate"/>
      </w:r>
      <w:r w:rsidR="006A5B34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A218D5" w:rsidRPr="00A218D5" w:rsidRDefault="00A218D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A93AD5">
        <w:rPr>
          <w:noProof/>
          <w:lang w:val="fr-CH"/>
        </w:rPr>
        <w:t>Dénominations variétales</w:t>
      </w:r>
      <w:r w:rsidRPr="00A218D5">
        <w:rPr>
          <w:noProof/>
          <w:lang w:val="fr-CH"/>
        </w:rPr>
        <w:tab/>
      </w:r>
      <w:r>
        <w:rPr>
          <w:noProof/>
        </w:rPr>
        <w:fldChar w:fldCharType="begin"/>
      </w:r>
      <w:r w:rsidRPr="00A218D5">
        <w:rPr>
          <w:noProof/>
          <w:lang w:val="fr-CH"/>
        </w:rPr>
        <w:instrText xml:space="preserve"> PAGEREF _Toc15397234 \h </w:instrText>
      </w:r>
      <w:r>
        <w:rPr>
          <w:noProof/>
        </w:rPr>
      </w:r>
      <w:r>
        <w:rPr>
          <w:noProof/>
        </w:rPr>
        <w:fldChar w:fldCharType="separate"/>
      </w:r>
      <w:r w:rsidR="006A5B34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A218D5" w:rsidRPr="00A218D5" w:rsidRDefault="00A218D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/>
        </w:rPr>
      </w:pPr>
      <w:r w:rsidRPr="00A93AD5">
        <w:rPr>
          <w:noProof/>
          <w:lang w:val="fr-CH"/>
        </w:rPr>
        <w:t>Programme provisoire d’élaboration de matériel d’information</w:t>
      </w:r>
      <w:r w:rsidRPr="00A218D5">
        <w:rPr>
          <w:noProof/>
          <w:lang w:val="fr-CH"/>
        </w:rPr>
        <w:tab/>
      </w:r>
      <w:r>
        <w:rPr>
          <w:noProof/>
        </w:rPr>
        <w:fldChar w:fldCharType="begin"/>
      </w:r>
      <w:r w:rsidRPr="00A218D5">
        <w:rPr>
          <w:noProof/>
          <w:lang w:val="fr-CH"/>
        </w:rPr>
        <w:instrText xml:space="preserve"> PAGEREF _Toc15397235 \h </w:instrText>
      </w:r>
      <w:r>
        <w:rPr>
          <w:noProof/>
        </w:rPr>
      </w:r>
      <w:r>
        <w:rPr>
          <w:noProof/>
        </w:rPr>
        <w:fldChar w:fldCharType="separate"/>
      </w:r>
      <w:r w:rsidR="006A5B34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AE0651" w:rsidRPr="00BE481E" w:rsidRDefault="00ED4336" w:rsidP="00C32765">
      <w:pPr>
        <w:spacing w:after="120"/>
        <w:ind w:left="1134" w:right="1134" w:hanging="1134"/>
        <w:jc w:val="left"/>
        <w:rPr>
          <w:rFonts w:eastAsia="Arial Unicode MS"/>
          <w:lang w:val="fr-CH"/>
        </w:rPr>
      </w:pPr>
      <w:r w:rsidRPr="003F1438">
        <w:rPr>
          <w:rFonts w:eastAsia="Arial Unicode MS" w:cs="Arial"/>
          <w:b/>
          <w:lang w:val="fr-CH"/>
        </w:rPr>
        <w:fldChar w:fldCharType="end"/>
      </w:r>
      <w:r w:rsidR="00274FF7" w:rsidRPr="00BE481E">
        <w:rPr>
          <w:rFonts w:eastAsia="Arial Unicode MS" w:cs="Arial"/>
          <w:lang w:val="fr-CH"/>
        </w:rPr>
        <w:t>ANNEXE</w:t>
      </w:r>
      <w:r w:rsidR="00274FF7" w:rsidRPr="00BE481E">
        <w:rPr>
          <w:rFonts w:eastAsia="Arial Unicode MS" w:cs="Arial"/>
          <w:lang w:val="fr-CH"/>
        </w:rPr>
        <w:tab/>
      </w:r>
      <w:r w:rsidR="00BE481E" w:rsidRPr="00BE481E">
        <w:rPr>
          <w:rFonts w:eastAsia="Arial Unicode MS" w:cs="Arial"/>
          <w:lang w:val="fr-CH"/>
        </w:rPr>
        <w:t>APERÇU GÉNÉRAL DES DOCUMENTS D</w:t>
      </w:r>
      <w:r w:rsidR="008418D4">
        <w:rPr>
          <w:rFonts w:eastAsia="Arial Unicode MS" w:cs="Arial"/>
          <w:lang w:val="fr-CH"/>
        </w:rPr>
        <w:t>’</w:t>
      </w:r>
      <w:r w:rsidR="00BE481E" w:rsidRPr="00BE481E">
        <w:rPr>
          <w:rFonts w:eastAsia="Arial Unicode MS" w:cs="Arial"/>
          <w:lang w:val="fr-CH"/>
        </w:rPr>
        <w:t>INFORMATION ÉLABORÉS ET EN COURS D</w:t>
      </w:r>
      <w:r w:rsidR="008418D4">
        <w:rPr>
          <w:rFonts w:eastAsia="Arial Unicode MS" w:cs="Arial"/>
          <w:lang w:val="fr-CH"/>
        </w:rPr>
        <w:t>’</w:t>
      </w:r>
      <w:r w:rsidR="00BE481E" w:rsidRPr="00BE481E">
        <w:rPr>
          <w:rFonts w:eastAsia="Arial Unicode MS" w:cs="Arial"/>
          <w:lang w:val="fr-CH"/>
        </w:rPr>
        <w:t>ÉLABORATION</w:t>
      </w:r>
    </w:p>
    <w:p w:rsidR="00AE0651" w:rsidRPr="003F1438" w:rsidRDefault="00AE0651" w:rsidP="00ED4336">
      <w:pPr>
        <w:rPr>
          <w:lang w:val="fr-CH"/>
        </w:rPr>
      </w:pPr>
    </w:p>
    <w:p w:rsidR="00AE0651" w:rsidRPr="003F1438" w:rsidRDefault="00AE0651" w:rsidP="00ED4336">
      <w:pPr>
        <w:rPr>
          <w:lang w:val="fr-CH"/>
        </w:rPr>
      </w:pPr>
    </w:p>
    <w:p w:rsidR="00AE0651" w:rsidRPr="003F1438" w:rsidRDefault="00AE0651" w:rsidP="00ED4336">
      <w:pPr>
        <w:rPr>
          <w:lang w:val="fr-CH"/>
        </w:rPr>
      </w:pPr>
    </w:p>
    <w:p w:rsidR="00AE0651" w:rsidRPr="003F1438" w:rsidRDefault="00274FF7" w:rsidP="00BA2CA0">
      <w:pPr>
        <w:pStyle w:val="Heading1"/>
        <w:keepLines/>
        <w:rPr>
          <w:lang w:val="fr-CH"/>
        </w:rPr>
      </w:pPr>
      <w:bookmarkStart w:id="4" w:name="_Toc15397230"/>
      <w:r w:rsidRPr="003F1438">
        <w:rPr>
          <w:lang w:val="fr-CH"/>
        </w:rPr>
        <w:lastRenderedPageBreak/>
        <w:t>Introduction</w:t>
      </w:r>
      <w:bookmarkEnd w:id="4"/>
    </w:p>
    <w:p w:rsidR="00AE0651" w:rsidRPr="003F1438" w:rsidRDefault="00AE0651" w:rsidP="00BA2CA0">
      <w:pPr>
        <w:keepNext/>
        <w:keepLines/>
        <w:rPr>
          <w:lang w:val="fr-CH"/>
        </w:rPr>
      </w:pPr>
    </w:p>
    <w:p w:rsidR="008418D4" w:rsidRDefault="00ED4336" w:rsidP="00BA2CA0">
      <w:pPr>
        <w:keepLines/>
        <w:autoSpaceDE w:val="0"/>
        <w:rPr>
          <w:rFonts w:cs="Arial"/>
          <w:lang w:val="fr-CH"/>
        </w:rPr>
      </w:pPr>
      <w:r w:rsidRPr="003F1438">
        <w:rPr>
          <w:rFonts w:cs="Arial"/>
          <w:lang w:val="fr-CH"/>
        </w:rPr>
        <w:fldChar w:fldCharType="begin"/>
      </w:r>
      <w:r w:rsidRPr="003F1438">
        <w:rPr>
          <w:rFonts w:cs="Arial"/>
          <w:lang w:val="fr-CH"/>
        </w:rPr>
        <w:instrText xml:space="preserve"> AUTONUM  </w:instrText>
      </w:r>
      <w:r w:rsidRPr="003F1438">
        <w:rPr>
          <w:rFonts w:cs="Arial"/>
          <w:lang w:val="fr-CH"/>
        </w:rPr>
        <w:fldChar w:fldCharType="end"/>
      </w:r>
      <w:r w:rsidRPr="003F1438">
        <w:rPr>
          <w:rFonts w:cs="Arial"/>
          <w:lang w:val="fr-CH"/>
        </w:rPr>
        <w:tab/>
      </w:r>
      <w:r w:rsidR="009203A9" w:rsidRPr="003F1438">
        <w:rPr>
          <w:rFonts w:cs="Arial"/>
          <w:lang w:val="fr-FR"/>
        </w:rPr>
        <w:t>À sa cinquante</w:t>
      </w:r>
      <w:r w:rsidR="008418D4">
        <w:rPr>
          <w:rFonts w:cs="Arial"/>
          <w:lang w:val="fr-FR"/>
        </w:rPr>
        <w:t>-</w:t>
      </w:r>
      <w:r w:rsidR="009203A9" w:rsidRPr="003F1438">
        <w:rPr>
          <w:rFonts w:cs="Arial"/>
          <w:lang w:val="fr-FR"/>
        </w:rPr>
        <w:t>deux</w:t>
      </w:r>
      <w:r w:rsidR="008418D4">
        <w:rPr>
          <w:rFonts w:cs="Arial"/>
          <w:lang w:val="fr-FR"/>
        </w:rPr>
        <w:t>ième session</w:t>
      </w:r>
      <w:r w:rsidR="009203A9" w:rsidRPr="003F1438">
        <w:rPr>
          <w:rStyle w:val="FootnoteReference"/>
          <w:rFonts w:cs="Arial"/>
        </w:rPr>
        <w:footnoteReference w:id="2"/>
      </w:r>
      <w:r w:rsidR="009203A9" w:rsidRPr="003F1438">
        <w:rPr>
          <w:rFonts w:cs="Arial"/>
          <w:lang w:val="fr-FR"/>
        </w:rPr>
        <w:t>, le </w:t>
      </w:r>
      <w:proofErr w:type="spellStart"/>
      <w:r w:rsidR="009203A9" w:rsidRPr="003F1438">
        <w:rPr>
          <w:rFonts w:cs="Arial"/>
          <w:lang w:val="fr-FR"/>
        </w:rPr>
        <w:t>CAJ</w:t>
      </w:r>
      <w:proofErr w:type="spellEnd"/>
      <w:r w:rsidR="009203A9" w:rsidRPr="003F1438">
        <w:rPr>
          <w:rFonts w:cs="Arial"/>
          <w:lang w:val="fr-FR"/>
        </w:rPr>
        <w:t xml:space="preserve"> était convenu d</w:t>
      </w:r>
      <w:r w:rsidR="008418D4">
        <w:rPr>
          <w:rFonts w:cs="Arial"/>
          <w:lang w:val="fr-FR"/>
        </w:rPr>
        <w:t>’</w:t>
      </w:r>
      <w:r w:rsidR="009203A9" w:rsidRPr="003F1438">
        <w:rPr>
          <w:rFonts w:cs="Arial"/>
          <w:lang w:val="fr-FR"/>
        </w:rPr>
        <w:t>une méthode pour l</w:t>
      </w:r>
      <w:r w:rsidR="008418D4">
        <w:rPr>
          <w:rFonts w:cs="Arial"/>
          <w:lang w:val="fr-FR"/>
        </w:rPr>
        <w:t>’</w:t>
      </w:r>
      <w:r w:rsidR="009203A9" w:rsidRPr="003F1438">
        <w:rPr>
          <w:rFonts w:cs="Arial"/>
          <w:lang w:val="fr-FR"/>
        </w:rPr>
        <w:t>élaboration de matériel d</w:t>
      </w:r>
      <w:r w:rsidR="008418D4">
        <w:rPr>
          <w:rFonts w:cs="Arial"/>
          <w:lang w:val="fr-FR"/>
        </w:rPr>
        <w:t>’</w:t>
      </w:r>
      <w:r w:rsidR="009203A9" w:rsidRPr="003F1438">
        <w:rPr>
          <w:rFonts w:cs="Arial"/>
          <w:lang w:val="fr-FR"/>
        </w:rPr>
        <w:t xml:space="preserve">information concernant la </w:t>
      </w:r>
      <w:r w:rsidR="008418D4">
        <w:rPr>
          <w:rFonts w:cs="Arial"/>
          <w:lang w:val="fr-FR"/>
        </w:rPr>
        <w:t>Convention UPOV</w:t>
      </w:r>
      <w:r w:rsidR="009203A9" w:rsidRPr="003F1438">
        <w:rPr>
          <w:rStyle w:val="FootnoteReference"/>
          <w:rFonts w:cs="Arial"/>
        </w:rPr>
        <w:footnoteReference w:id="3"/>
      </w:r>
      <w:r w:rsidR="009203A9" w:rsidRPr="003F1438">
        <w:rPr>
          <w:rFonts w:cs="Arial"/>
          <w:lang w:val="fr-FR"/>
        </w:rPr>
        <w:t>.  Il était également convenu de la création d</w:t>
      </w:r>
      <w:r w:rsidR="008418D4">
        <w:rPr>
          <w:rFonts w:cs="Arial"/>
          <w:lang w:val="fr-FR"/>
        </w:rPr>
        <w:t>’</w:t>
      </w:r>
      <w:r w:rsidR="00053988">
        <w:rPr>
          <w:rFonts w:cs="Arial"/>
          <w:lang w:val="fr-FR"/>
        </w:rPr>
        <w:t>un groupe </w:t>
      </w:r>
      <w:r w:rsidR="009203A9" w:rsidRPr="003F1438">
        <w:rPr>
          <w:rFonts w:cs="Arial"/>
          <w:lang w:val="fr-FR"/>
        </w:rPr>
        <w:t>consultatif du </w:t>
      </w:r>
      <w:proofErr w:type="spellStart"/>
      <w:r w:rsidR="009203A9" w:rsidRPr="003F1438">
        <w:rPr>
          <w:rFonts w:cs="Arial"/>
          <w:lang w:val="fr-FR"/>
        </w:rPr>
        <w:t>CAJ</w:t>
      </w:r>
      <w:proofErr w:type="spellEnd"/>
      <w:r w:rsidR="009203A9" w:rsidRPr="003F1438">
        <w:rPr>
          <w:rFonts w:cs="Arial"/>
          <w:lang w:val="fr-FR"/>
        </w:rPr>
        <w:t xml:space="preserve"> (“</w:t>
      </w:r>
      <w:proofErr w:type="spellStart"/>
      <w:r w:rsidR="009203A9" w:rsidRPr="003F1438">
        <w:rPr>
          <w:rFonts w:cs="Arial"/>
          <w:lang w:val="fr-FR"/>
        </w:rPr>
        <w:t>CAJ</w:t>
      </w:r>
      <w:proofErr w:type="spellEnd"/>
      <w:r w:rsidR="008418D4">
        <w:rPr>
          <w:rFonts w:cs="Arial"/>
          <w:lang w:val="fr-FR"/>
        </w:rPr>
        <w:t>-</w:t>
      </w:r>
      <w:r w:rsidR="009203A9" w:rsidRPr="003F1438">
        <w:rPr>
          <w:rFonts w:cs="Arial"/>
          <w:lang w:val="fr-FR"/>
        </w:rPr>
        <w:t>AG”) chargé d</w:t>
      </w:r>
      <w:r w:rsidR="008418D4">
        <w:rPr>
          <w:rFonts w:cs="Arial"/>
          <w:lang w:val="fr-FR"/>
        </w:rPr>
        <w:t>’</w:t>
      </w:r>
      <w:r w:rsidR="009203A9" w:rsidRPr="003F1438">
        <w:rPr>
          <w:rFonts w:cs="Arial"/>
          <w:lang w:val="fr-FR"/>
        </w:rPr>
        <w:t>aider à élaborer des documents relatifs à ce matériel</w:t>
      </w:r>
      <w:r w:rsidR="009203A9" w:rsidRPr="003F1438">
        <w:rPr>
          <w:rStyle w:val="FootnoteReference"/>
          <w:rFonts w:cs="Arial"/>
        </w:rPr>
        <w:footnoteReference w:id="4"/>
      </w:r>
      <w:r w:rsidR="00053988">
        <w:rPr>
          <w:rFonts w:cs="Arial"/>
          <w:lang w:val="fr-FR"/>
        </w:rPr>
        <w:t>.  La </w:t>
      </w:r>
      <w:r w:rsidR="009203A9" w:rsidRPr="003F1438">
        <w:rPr>
          <w:rFonts w:cs="Arial"/>
          <w:lang w:val="fr-FR"/>
        </w:rPr>
        <w:t>méthode convenue était résumée comme suit</w:t>
      </w:r>
      <w:r w:rsidR="008418D4">
        <w:rPr>
          <w:rFonts w:cs="Arial"/>
          <w:lang w:val="fr-FR"/>
        </w:rPr>
        <w:t> :</w:t>
      </w:r>
      <w:r w:rsidR="009203A9" w:rsidRPr="003F1438">
        <w:rPr>
          <w:rFonts w:cs="Arial"/>
          <w:lang w:val="fr-FR"/>
        </w:rPr>
        <w:t xml:space="preserve"> le Bureau de l</w:t>
      </w:r>
      <w:r w:rsidR="008418D4">
        <w:rPr>
          <w:rFonts w:cs="Arial"/>
          <w:lang w:val="fr-FR"/>
        </w:rPr>
        <w:t>’</w:t>
      </w:r>
      <w:r w:rsidR="009203A9" w:rsidRPr="003F1438">
        <w:rPr>
          <w:rFonts w:cs="Arial"/>
          <w:lang w:val="fr-FR"/>
        </w:rPr>
        <w:t>Union élaborerait certains projets de matériel traitant de questions qu</w:t>
      </w:r>
      <w:r w:rsidR="008418D4">
        <w:rPr>
          <w:rFonts w:cs="Arial"/>
          <w:lang w:val="fr-FR"/>
        </w:rPr>
        <w:t>’</w:t>
      </w:r>
      <w:r w:rsidR="009203A9" w:rsidRPr="003F1438">
        <w:rPr>
          <w:rFonts w:cs="Arial"/>
          <w:lang w:val="fr-FR"/>
        </w:rPr>
        <w:t>il estimait simples et il les diffuserait auprès du </w:t>
      </w:r>
      <w:proofErr w:type="spellStart"/>
      <w:r w:rsidR="009203A9" w:rsidRPr="003F1438">
        <w:rPr>
          <w:rFonts w:cs="Arial"/>
          <w:lang w:val="fr-FR"/>
        </w:rPr>
        <w:t>CAJ</w:t>
      </w:r>
      <w:proofErr w:type="spellEnd"/>
      <w:r w:rsidR="009203A9" w:rsidRPr="003F1438">
        <w:rPr>
          <w:rFonts w:cs="Arial"/>
          <w:lang w:val="fr-FR"/>
        </w:rPr>
        <w:t xml:space="preserve"> pour que soient formulées des observations dans un délai impar</w:t>
      </w:r>
      <w:r w:rsidR="00EF7483" w:rsidRPr="003F1438">
        <w:rPr>
          <w:rFonts w:cs="Arial"/>
          <w:lang w:val="fr-FR"/>
        </w:rPr>
        <w:t>ti</w:t>
      </w:r>
      <w:r w:rsidR="00EF7483">
        <w:rPr>
          <w:rFonts w:cs="Arial"/>
          <w:lang w:val="fr-FR"/>
        </w:rPr>
        <w:t xml:space="preserve">.  </w:t>
      </w:r>
      <w:r w:rsidR="00EF7483" w:rsidRPr="003F1438">
        <w:rPr>
          <w:rFonts w:cs="Arial"/>
          <w:lang w:val="fr-FR"/>
        </w:rPr>
        <w:t>Da</w:t>
      </w:r>
      <w:r w:rsidR="009203A9" w:rsidRPr="003F1438">
        <w:rPr>
          <w:rFonts w:cs="Arial"/>
          <w:lang w:val="fr-FR"/>
        </w:rPr>
        <w:t>ns d</w:t>
      </w:r>
      <w:r w:rsidR="008418D4">
        <w:rPr>
          <w:rFonts w:cs="Arial"/>
          <w:lang w:val="fr-FR"/>
        </w:rPr>
        <w:t>’</w:t>
      </w:r>
      <w:r w:rsidR="009203A9" w:rsidRPr="003F1438">
        <w:rPr>
          <w:rFonts w:cs="Arial"/>
          <w:lang w:val="fr-FR"/>
        </w:rPr>
        <w:t>autres cas, lorsqu</w:t>
      </w:r>
      <w:r w:rsidR="008418D4">
        <w:rPr>
          <w:rFonts w:cs="Arial"/>
          <w:lang w:val="fr-FR"/>
        </w:rPr>
        <w:t>’</w:t>
      </w:r>
      <w:r w:rsidR="009203A9" w:rsidRPr="003F1438">
        <w:rPr>
          <w:rFonts w:cs="Arial"/>
          <w:lang w:val="fr-FR"/>
        </w:rPr>
        <w:t>il était estimé que les questions étaient délicates et que les délibérations à une session du </w:t>
      </w:r>
      <w:proofErr w:type="spellStart"/>
      <w:r w:rsidR="009203A9" w:rsidRPr="003F1438">
        <w:rPr>
          <w:rFonts w:cs="Arial"/>
          <w:lang w:val="fr-FR"/>
        </w:rPr>
        <w:t>CAJ</w:t>
      </w:r>
      <w:proofErr w:type="spellEnd"/>
      <w:r w:rsidR="009203A9" w:rsidRPr="003F1438">
        <w:rPr>
          <w:rFonts w:cs="Arial"/>
          <w:lang w:val="fr-FR"/>
        </w:rPr>
        <w:t xml:space="preserve"> revêtaient de l</w:t>
      </w:r>
      <w:r w:rsidR="008418D4">
        <w:rPr>
          <w:rFonts w:cs="Arial"/>
          <w:lang w:val="fr-FR"/>
        </w:rPr>
        <w:t>’</w:t>
      </w:r>
      <w:r w:rsidR="009203A9" w:rsidRPr="003F1438">
        <w:rPr>
          <w:rFonts w:cs="Arial"/>
          <w:lang w:val="fr-FR"/>
        </w:rPr>
        <w:t>importance pour l</w:t>
      </w:r>
      <w:r w:rsidR="008418D4">
        <w:rPr>
          <w:rFonts w:cs="Arial"/>
          <w:lang w:val="fr-FR"/>
        </w:rPr>
        <w:t>’</w:t>
      </w:r>
      <w:r w:rsidR="009203A9" w:rsidRPr="003F1438">
        <w:rPr>
          <w:rFonts w:cs="Arial"/>
          <w:lang w:val="fr-FR"/>
        </w:rPr>
        <w:t>élaboration de matériel d</w:t>
      </w:r>
      <w:r w:rsidR="008418D4">
        <w:rPr>
          <w:rFonts w:cs="Arial"/>
          <w:lang w:val="fr-FR"/>
        </w:rPr>
        <w:t>’</w:t>
      </w:r>
      <w:r w:rsidR="009203A9" w:rsidRPr="003F1438">
        <w:rPr>
          <w:rFonts w:cs="Arial"/>
          <w:lang w:val="fr-FR"/>
        </w:rPr>
        <w:t>information approprié, mais également dans les cas où un projet de texte traitant d</w:t>
      </w:r>
      <w:r w:rsidR="008418D4">
        <w:rPr>
          <w:rFonts w:cs="Arial"/>
          <w:lang w:val="fr-FR"/>
        </w:rPr>
        <w:t>’</w:t>
      </w:r>
      <w:r w:rsidR="009203A9" w:rsidRPr="003F1438">
        <w:rPr>
          <w:rFonts w:cs="Arial"/>
          <w:lang w:val="fr-FR"/>
        </w:rPr>
        <w:t>une question apparemment simple aurait soulevé des difficultés inattendues lors de sa diffusion pour observations, il serait fait appel au </w:t>
      </w:r>
      <w:proofErr w:type="spellStart"/>
      <w:r w:rsidR="009203A9" w:rsidRPr="003F1438">
        <w:rPr>
          <w:rFonts w:cs="Arial"/>
          <w:lang w:val="fr-FR"/>
        </w:rPr>
        <w:t>CAJ</w:t>
      </w:r>
      <w:proofErr w:type="spellEnd"/>
      <w:r w:rsidR="00053988">
        <w:rPr>
          <w:rFonts w:cs="Arial"/>
          <w:lang w:val="fr-FR"/>
        </w:rPr>
        <w:noBreakHyphen/>
      </w:r>
      <w:r w:rsidR="009203A9" w:rsidRPr="003F1438">
        <w:rPr>
          <w:rFonts w:cs="Arial"/>
          <w:lang w:val="fr-FR"/>
        </w:rPr>
        <w:t>AG avant que le </w:t>
      </w:r>
      <w:proofErr w:type="spellStart"/>
      <w:r w:rsidR="009203A9" w:rsidRPr="003F1438">
        <w:rPr>
          <w:rFonts w:cs="Arial"/>
          <w:lang w:val="fr-FR"/>
        </w:rPr>
        <w:t>CAJ</w:t>
      </w:r>
      <w:proofErr w:type="spellEnd"/>
      <w:r w:rsidR="009203A9" w:rsidRPr="003F1438">
        <w:rPr>
          <w:rFonts w:cs="Arial"/>
          <w:lang w:val="fr-FR"/>
        </w:rPr>
        <w:t xml:space="preserve"> soit invité à en délibérer à sa session</w:t>
      </w:r>
      <w:r w:rsidRPr="003F1438">
        <w:rPr>
          <w:rFonts w:cs="Arial"/>
          <w:lang w:val="fr-CH"/>
        </w:rPr>
        <w:t>.</w:t>
      </w:r>
    </w:p>
    <w:p w:rsidR="00AE0651" w:rsidRPr="003F1438" w:rsidRDefault="00AE0651" w:rsidP="00ED4336">
      <w:pPr>
        <w:rPr>
          <w:rFonts w:cs="Arial"/>
          <w:lang w:val="fr-CH"/>
        </w:rPr>
      </w:pPr>
    </w:p>
    <w:p w:rsidR="00AE0651" w:rsidRPr="003F1438" w:rsidRDefault="00ED4336" w:rsidP="00ED4336">
      <w:pPr>
        <w:tabs>
          <w:tab w:val="left" w:pos="567"/>
        </w:tabs>
        <w:autoSpaceDE w:val="0"/>
        <w:rPr>
          <w:rFonts w:cs="Arial"/>
          <w:lang w:val="fr-CH"/>
        </w:rPr>
      </w:pPr>
      <w:r w:rsidRPr="003F1438">
        <w:rPr>
          <w:rFonts w:cs="Arial"/>
          <w:lang w:val="fr-CH"/>
        </w:rPr>
        <w:fldChar w:fldCharType="begin"/>
      </w:r>
      <w:r w:rsidRPr="003F1438">
        <w:rPr>
          <w:rFonts w:cs="Arial"/>
          <w:lang w:val="fr-CH"/>
        </w:rPr>
        <w:instrText xml:space="preserve"> AUTONUM  </w:instrText>
      </w:r>
      <w:r w:rsidRPr="003F1438">
        <w:rPr>
          <w:rFonts w:cs="Arial"/>
          <w:lang w:val="fr-CH"/>
        </w:rPr>
        <w:fldChar w:fldCharType="end"/>
      </w:r>
      <w:r w:rsidRPr="003F1438">
        <w:rPr>
          <w:rFonts w:cs="Arial"/>
          <w:lang w:val="fr-CH"/>
        </w:rPr>
        <w:tab/>
      </w:r>
      <w:r w:rsidR="009203A9" w:rsidRPr="003F1438">
        <w:rPr>
          <w:rFonts w:cs="Arial"/>
          <w:lang w:val="fr-FR"/>
        </w:rPr>
        <w:t>À sa soixante</w:t>
      </w:r>
      <w:r w:rsidR="008418D4">
        <w:rPr>
          <w:rFonts w:cs="Arial"/>
          <w:lang w:val="fr-FR"/>
        </w:rPr>
        <w:t>-</w:t>
      </w:r>
      <w:r w:rsidR="009203A9" w:rsidRPr="003F1438">
        <w:rPr>
          <w:rFonts w:cs="Arial"/>
          <w:lang w:val="fr-FR"/>
        </w:rPr>
        <w:t>dix</w:t>
      </w:r>
      <w:r w:rsidR="008418D4">
        <w:rPr>
          <w:rFonts w:cs="Arial"/>
          <w:lang w:val="fr-FR"/>
        </w:rPr>
        <w:t>ième session</w:t>
      </w:r>
      <w:r w:rsidR="009203A9" w:rsidRPr="003F1438">
        <w:rPr>
          <w:rStyle w:val="FootnoteReference"/>
          <w:rFonts w:cs="Arial"/>
        </w:rPr>
        <w:footnoteReference w:id="5"/>
      </w:r>
      <w:r w:rsidR="009203A9" w:rsidRPr="003F1438">
        <w:rPr>
          <w:rFonts w:cs="Arial"/>
          <w:lang w:val="fr-FR"/>
        </w:rPr>
        <w:t>, le </w:t>
      </w:r>
      <w:proofErr w:type="spellStart"/>
      <w:r w:rsidR="009203A9" w:rsidRPr="003F1438">
        <w:rPr>
          <w:rFonts w:cs="Arial"/>
          <w:lang w:val="fr-FR"/>
        </w:rPr>
        <w:t>CAJ</w:t>
      </w:r>
      <w:proofErr w:type="spellEnd"/>
      <w:r w:rsidR="009203A9" w:rsidRPr="003F1438">
        <w:rPr>
          <w:rFonts w:cs="Arial"/>
          <w:lang w:val="fr-FR"/>
        </w:rPr>
        <w:t xml:space="preserve"> était convenu que toutes les questions examinées par le </w:t>
      </w:r>
      <w:proofErr w:type="spellStart"/>
      <w:r w:rsidR="009203A9" w:rsidRPr="003F1438">
        <w:rPr>
          <w:rFonts w:cs="Arial"/>
          <w:lang w:val="fr-FR"/>
        </w:rPr>
        <w:t>CAJ</w:t>
      </w:r>
      <w:proofErr w:type="spellEnd"/>
      <w:r w:rsidR="00053988">
        <w:rPr>
          <w:rFonts w:cs="Arial"/>
          <w:lang w:val="fr-FR"/>
        </w:rPr>
        <w:noBreakHyphen/>
      </w:r>
      <w:r w:rsidR="009203A9" w:rsidRPr="003F1438">
        <w:rPr>
          <w:rFonts w:cs="Arial"/>
          <w:lang w:val="fr-FR"/>
        </w:rPr>
        <w:t>AG à sa neuv</w:t>
      </w:r>
      <w:r w:rsidR="008418D4">
        <w:rPr>
          <w:rFonts w:cs="Arial"/>
          <w:lang w:val="fr-FR"/>
        </w:rPr>
        <w:t>ième session</w:t>
      </w:r>
      <w:r w:rsidR="009203A9" w:rsidRPr="003F1438">
        <w:rPr>
          <w:rStyle w:val="FootnoteReference"/>
          <w:rFonts w:cs="Arial"/>
        </w:rPr>
        <w:footnoteReference w:id="6"/>
      </w:r>
      <w:r w:rsidR="009203A9" w:rsidRPr="003F1438">
        <w:rPr>
          <w:rFonts w:cs="Arial"/>
          <w:lang w:val="fr-FR"/>
        </w:rPr>
        <w:t xml:space="preserve"> devraient, après ladite session du </w:t>
      </w:r>
      <w:proofErr w:type="spellStart"/>
      <w:r w:rsidR="009203A9" w:rsidRPr="003F1438">
        <w:rPr>
          <w:rFonts w:cs="Arial"/>
          <w:lang w:val="fr-FR"/>
        </w:rPr>
        <w:t>CAJ</w:t>
      </w:r>
      <w:proofErr w:type="spellEnd"/>
      <w:r w:rsidR="008418D4">
        <w:rPr>
          <w:rFonts w:cs="Arial"/>
          <w:lang w:val="fr-FR"/>
        </w:rPr>
        <w:t>-</w:t>
      </w:r>
      <w:r w:rsidR="009203A9" w:rsidRPr="003F1438">
        <w:rPr>
          <w:rFonts w:cs="Arial"/>
          <w:lang w:val="fr-FR"/>
        </w:rPr>
        <w:t>AG, être examinées par le </w:t>
      </w:r>
      <w:proofErr w:type="spellStart"/>
      <w:r w:rsidR="009203A9" w:rsidRPr="003F1438">
        <w:rPr>
          <w:rFonts w:cs="Arial"/>
          <w:lang w:val="fr-FR"/>
        </w:rPr>
        <w:t>CAJ</w:t>
      </w:r>
      <w:proofErr w:type="spellEnd"/>
      <w:r w:rsidR="009203A9" w:rsidRPr="003F1438">
        <w:rPr>
          <w:rFonts w:cs="Arial"/>
          <w:lang w:val="fr-FR"/>
        </w:rPr>
        <w:t>, et que le </w:t>
      </w:r>
      <w:proofErr w:type="spellStart"/>
      <w:r w:rsidR="009203A9" w:rsidRPr="003F1438">
        <w:rPr>
          <w:rFonts w:cs="Arial"/>
          <w:lang w:val="fr-FR"/>
        </w:rPr>
        <w:t>CAJ</w:t>
      </w:r>
      <w:proofErr w:type="spellEnd"/>
      <w:r w:rsidR="008418D4">
        <w:rPr>
          <w:rFonts w:cs="Arial"/>
          <w:lang w:val="fr-FR"/>
        </w:rPr>
        <w:t>-</w:t>
      </w:r>
      <w:r w:rsidR="009203A9" w:rsidRPr="003F1438">
        <w:rPr>
          <w:rFonts w:cs="Arial"/>
          <w:lang w:val="fr-FR"/>
        </w:rPr>
        <w:t>AG devrait uniquement se réunir de façon ponctuelle, selon que le </w:t>
      </w:r>
      <w:proofErr w:type="spellStart"/>
      <w:r w:rsidR="009203A9" w:rsidRPr="003F1438">
        <w:rPr>
          <w:rFonts w:cs="Arial"/>
          <w:lang w:val="fr-FR"/>
        </w:rPr>
        <w:t>CAJ</w:t>
      </w:r>
      <w:proofErr w:type="spellEnd"/>
      <w:r w:rsidR="009203A9" w:rsidRPr="003F1438">
        <w:rPr>
          <w:rFonts w:cs="Arial"/>
          <w:lang w:val="fr-FR"/>
        </w:rPr>
        <w:t xml:space="preserve"> le jugerait approprié</w:t>
      </w:r>
      <w:r w:rsidR="009203A9" w:rsidRPr="003F1438">
        <w:rPr>
          <w:rStyle w:val="FootnoteReference"/>
          <w:rFonts w:cs="Arial"/>
        </w:rPr>
        <w:footnoteReference w:id="7"/>
      </w:r>
      <w:r w:rsidR="009203A9" w:rsidRPr="003F1438">
        <w:rPr>
          <w:rFonts w:cs="Arial"/>
          <w:lang w:val="fr-FR"/>
        </w:rPr>
        <w:t>.</w:t>
      </w:r>
    </w:p>
    <w:p w:rsidR="00AE0651" w:rsidRPr="003F1438" w:rsidRDefault="00AE0651" w:rsidP="00ED4336">
      <w:pPr>
        <w:rPr>
          <w:rFonts w:cs="Arial"/>
          <w:lang w:val="fr-CH"/>
        </w:rPr>
      </w:pPr>
    </w:p>
    <w:p w:rsidR="00AE0651" w:rsidRDefault="00AE0651" w:rsidP="00ED4336">
      <w:pPr>
        <w:rPr>
          <w:rFonts w:cs="Arial"/>
          <w:lang w:val="fr-CH"/>
        </w:rPr>
      </w:pPr>
    </w:p>
    <w:p w:rsidR="008225E9" w:rsidRPr="003F1438" w:rsidRDefault="008225E9" w:rsidP="00ED4336">
      <w:pPr>
        <w:rPr>
          <w:rFonts w:cs="Arial"/>
          <w:lang w:val="fr-CH"/>
        </w:rPr>
      </w:pPr>
    </w:p>
    <w:p w:rsidR="00AE0651" w:rsidRPr="003F1438" w:rsidRDefault="00FC6B78" w:rsidP="00FC6B78">
      <w:pPr>
        <w:pStyle w:val="Heading1"/>
        <w:rPr>
          <w:rFonts w:cs="Arial"/>
          <w:lang w:val="fr-CH"/>
        </w:rPr>
      </w:pPr>
      <w:bookmarkStart w:id="5" w:name="_Toc525113844"/>
      <w:bookmarkStart w:id="6" w:name="_Toc15397231"/>
      <w:r w:rsidRPr="003F1438">
        <w:rPr>
          <w:caps w:val="0"/>
          <w:lang w:val="fr-CH"/>
        </w:rPr>
        <w:t>PRÉSENTATION GÉNÉRALE DU MATÉRIEL D</w:t>
      </w:r>
      <w:r w:rsidR="008418D4">
        <w:rPr>
          <w:caps w:val="0"/>
          <w:lang w:val="fr-CH"/>
        </w:rPr>
        <w:t>’</w:t>
      </w:r>
      <w:r w:rsidRPr="003F1438">
        <w:rPr>
          <w:caps w:val="0"/>
          <w:lang w:val="fr-CH"/>
        </w:rPr>
        <w:t>INFORMATION</w:t>
      </w:r>
      <w:bookmarkEnd w:id="5"/>
      <w:bookmarkEnd w:id="6"/>
    </w:p>
    <w:p w:rsidR="00AE0651" w:rsidRPr="003F1438" w:rsidRDefault="00AE0651" w:rsidP="00ED4336">
      <w:pPr>
        <w:keepNext/>
        <w:rPr>
          <w:rFonts w:cs="Arial"/>
          <w:lang w:val="fr-CH"/>
        </w:rPr>
      </w:pPr>
    </w:p>
    <w:p w:rsidR="008418D4" w:rsidRDefault="00ED4336" w:rsidP="00ED4336">
      <w:pPr>
        <w:rPr>
          <w:rFonts w:cs="Arial"/>
          <w:lang w:val="fr-CH"/>
        </w:rPr>
      </w:pPr>
      <w:r w:rsidRPr="003F1438">
        <w:rPr>
          <w:rFonts w:cs="Arial"/>
          <w:lang w:val="fr-CH"/>
        </w:rPr>
        <w:fldChar w:fldCharType="begin"/>
      </w:r>
      <w:r w:rsidRPr="003F1438">
        <w:rPr>
          <w:rFonts w:cs="Arial"/>
          <w:lang w:val="fr-CH"/>
        </w:rPr>
        <w:instrText xml:space="preserve"> AUTONUM  </w:instrText>
      </w:r>
      <w:r w:rsidRPr="003F1438">
        <w:rPr>
          <w:rFonts w:cs="Arial"/>
          <w:lang w:val="fr-CH"/>
        </w:rPr>
        <w:fldChar w:fldCharType="end"/>
      </w:r>
      <w:r w:rsidRPr="003F1438">
        <w:rPr>
          <w:rFonts w:cs="Arial"/>
          <w:lang w:val="fr-CH"/>
        </w:rPr>
        <w:tab/>
      </w:r>
      <w:r w:rsidR="00FC6B78" w:rsidRPr="003F1438">
        <w:rPr>
          <w:rFonts w:cs="Arial"/>
          <w:lang w:val="fr-FR"/>
        </w:rPr>
        <w:t>L</w:t>
      </w:r>
      <w:r w:rsidR="008418D4">
        <w:rPr>
          <w:rFonts w:cs="Arial"/>
          <w:lang w:val="fr-FR"/>
        </w:rPr>
        <w:t>’</w:t>
      </w:r>
      <w:r w:rsidR="00FC6B78" w:rsidRPr="003F1438">
        <w:rPr>
          <w:rFonts w:cs="Arial"/>
          <w:lang w:val="fr-FR"/>
        </w:rPr>
        <w:t>annexe du présent document contient une présentation générale du matériel d</w:t>
      </w:r>
      <w:r w:rsidR="008418D4">
        <w:rPr>
          <w:rFonts w:cs="Arial"/>
          <w:lang w:val="fr-FR"/>
        </w:rPr>
        <w:t>’</w:t>
      </w:r>
      <w:r w:rsidR="00FC6B78" w:rsidRPr="003F1438">
        <w:rPr>
          <w:rFonts w:cs="Arial"/>
          <w:lang w:val="fr-FR"/>
        </w:rPr>
        <w:t>information élaboré et en cours d</w:t>
      </w:r>
      <w:r w:rsidR="008418D4">
        <w:rPr>
          <w:rFonts w:cs="Arial"/>
          <w:lang w:val="fr-FR"/>
        </w:rPr>
        <w:t>’</w:t>
      </w:r>
      <w:r w:rsidR="00FC6B78" w:rsidRPr="003F1438">
        <w:rPr>
          <w:rFonts w:cs="Arial"/>
          <w:lang w:val="fr-FR"/>
        </w:rPr>
        <w:t>élaboration</w:t>
      </w:r>
      <w:r w:rsidRPr="003F1438">
        <w:rPr>
          <w:rFonts w:cs="Arial"/>
          <w:spacing w:val="-2"/>
          <w:lang w:val="fr-CH"/>
        </w:rPr>
        <w:t>.</w:t>
      </w:r>
    </w:p>
    <w:p w:rsidR="00AE0651" w:rsidRDefault="00AE0651" w:rsidP="00ED4336">
      <w:pPr>
        <w:rPr>
          <w:rFonts w:cs="Arial"/>
          <w:lang w:val="fr-CH"/>
        </w:rPr>
      </w:pPr>
    </w:p>
    <w:p w:rsidR="008225E9" w:rsidRPr="003F1438" w:rsidRDefault="008225E9" w:rsidP="00ED4336">
      <w:pPr>
        <w:rPr>
          <w:rFonts w:cs="Arial"/>
          <w:lang w:val="fr-CH"/>
        </w:rPr>
      </w:pPr>
    </w:p>
    <w:p w:rsidR="00AE0651" w:rsidRPr="003F1438" w:rsidRDefault="00AE0651" w:rsidP="00ED4336">
      <w:pPr>
        <w:rPr>
          <w:rFonts w:cs="Arial"/>
          <w:lang w:val="fr-CH"/>
        </w:rPr>
      </w:pPr>
    </w:p>
    <w:p w:rsidR="008418D4" w:rsidRDefault="00FC6B78" w:rsidP="00ED4336">
      <w:pPr>
        <w:pStyle w:val="Heading1"/>
        <w:rPr>
          <w:rFonts w:cs="Arial"/>
          <w:lang w:val="fr-CH"/>
        </w:rPr>
      </w:pPr>
      <w:bookmarkStart w:id="7" w:name="_Toc522523022"/>
      <w:bookmarkStart w:id="8" w:name="_Toc15397232"/>
      <w:r w:rsidRPr="003F1438">
        <w:rPr>
          <w:rFonts w:cs="Arial"/>
          <w:lang w:val="fr-CH"/>
        </w:rPr>
        <w:t>matériel d</w:t>
      </w:r>
      <w:r w:rsidR="008418D4">
        <w:rPr>
          <w:rFonts w:cs="Arial"/>
          <w:lang w:val="fr-CH"/>
        </w:rPr>
        <w:t>’</w:t>
      </w:r>
      <w:r w:rsidRPr="003F1438">
        <w:rPr>
          <w:rFonts w:cs="Arial"/>
          <w:lang w:val="fr-CH"/>
        </w:rPr>
        <w:t>information</w:t>
      </w:r>
      <w:bookmarkEnd w:id="7"/>
      <w:bookmarkEnd w:id="8"/>
    </w:p>
    <w:p w:rsidR="00AE0651" w:rsidRPr="003F1438" w:rsidRDefault="00AE0651" w:rsidP="00ED4336">
      <w:pPr>
        <w:rPr>
          <w:rFonts w:cs="Arial"/>
          <w:lang w:val="fr-CH"/>
        </w:rPr>
      </w:pPr>
    </w:p>
    <w:p w:rsidR="00AE0651" w:rsidRPr="003F1438" w:rsidRDefault="00AE0651" w:rsidP="00AE0651">
      <w:pPr>
        <w:pStyle w:val="Heading2"/>
        <w:rPr>
          <w:lang w:val="fr-CH"/>
        </w:rPr>
      </w:pPr>
      <w:bookmarkStart w:id="9" w:name="_Toc15397233"/>
      <w:r w:rsidRPr="003F1438">
        <w:rPr>
          <w:lang w:val="fr-CH"/>
        </w:rPr>
        <w:t>Variétés essentiellement dérivées</w:t>
      </w:r>
      <w:bookmarkEnd w:id="9"/>
    </w:p>
    <w:p w:rsidR="00AE0651" w:rsidRPr="003F1438" w:rsidRDefault="00AE0651" w:rsidP="00E06B56">
      <w:pPr>
        <w:rPr>
          <w:lang w:val="fr-CH"/>
        </w:rPr>
      </w:pPr>
    </w:p>
    <w:p w:rsidR="00AE0651" w:rsidRPr="003F1438" w:rsidRDefault="00E06B56" w:rsidP="00AE0651">
      <w:pPr>
        <w:rPr>
          <w:lang w:val="fr-CH"/>
        </w:rPr>
      </w:pPr>
      <w:r w:rsidRPr="003F1438">
        <w:rPr>
          <w:lang w:val="fr-CH"/>
        </w:rPr>
        <w:fldChar w:fldCharType="begin"/>
      </w:r>
      <w:r w:rsidRPr="003F1438">
        <w:rPr>
          <w:lang w:val="fr-CH"/>
        </w:rPr>
        <w:instrText xml:space="preserve"> AUTONUM  </w:instrText>
      </w:r>
      <w:r w:rsidRPr="003F1438">
        <w:rPr>
          <w:lang w:val="fr-CH"/>
        </w:rPr>
        <w:fldChar w:fldCharType="end"/>
      </w:r>
      <w:r w:rsidRPr="003F1438">
        <w:rPr>
          <w:lang w:val="fr-CH"/>
        </w:rPr>
        <w:tab/>
      </w:r>
      <w:r w:rsidR="00AE0651" w:rsidRPr="003F1438">
        <w:rPr>
          <w:lang w:val="fr-CH"/>
        </w:rPr>
        <w:t xml:space="preserve">Le </w:t>
      </w:r>
      <w:proofErr w:type="spellStart"/>
      <w:r w:rsidR="00AE0651" w:rsidRPr="003F1438">
        <w:rPr>
          <w:lang w:val="fr-CH"/>
        </w:rPr>
        <w:t>CAJ</w:t>
      </w:r>
      <w:proofErr w:type="spellEnd"/>
      <w:r w:rsidR="00AE0651" w:rsidRPr="003F1438">
        <w:rPr>
          <w:lang w:val="fr-CH"/>
        </w:rPr>
        <w:t xml:space="preserve"> est invité à noter q</w:t>
      </w:r>
      <w:r w:rsidR="003F1438">
        <w:rPr>
          <w:lang w:val="fr-CH"/>
        </w:rPr>
        <w:t>ue</w:t>
      </w:r>
      <w:r w:rsidR="00AE0651" w:rsidRPr="003F1438">
        <w:rPr>
          <w:lang w:val="fr-CH"/>
        </w:rPr>
        <w:t xml:space="preserve"> les questions relatives aux variétés essentiellement dérivées sont examinées dans le document </w:t>
      </w:r>
      <w:proofErr w:type="spellStart"/>
      <w:r w:rsidR="00AE0651" w:rsidRPr="003F1438">
        <w:rPr>
          <w:lang w:val="fr-CH"/>
        </w:rPr>
        <w:t>CAJ</w:t>
      </w:r>
      <w:proofErr w:type="spellEnd"/>
      <w:r w:rsidR="00AE0651" w:rsidRPr="003F1438">
        <w:rPr>
          <w:lang w:val="fr-CH"/>
        </w:rPr>
        <w:t>/76/3 “Variétés essentiellement dérivées”.</w:t>
      </w:r>
    </w:p>
    <w:p w:rsidR="00AE0651" w:rsidRPr="003F1438" w:rsidRDefault="00AE0651" w:rsidP="00E06B56">
      <w:pPr>
        <w:rPr>
          <w:lang w:val="fr-CH"/>
        </w:rPr>
      </w:pPr>
    </w:p>
    <w:p w:rsidR="00AE0651" w:rsidRPr="003F1438" w:rsidRDefault="00E06B56" w:rsidP="00AE0651">
      <w:pPr>
        <w:rPr>
          <w:rFonts w:eastAsiaTheme="minorEastAsia"/>
          <w:lang w:val="fr-CH"/>
        </w:rPr>
      </w:pPr>
      <w:r w:rsidRPr="003F1438">
        <w:rPr>
          <w:lang w:val="fr-CH"/>
        </w:rPr>
        <w:fldChar w:fldCharType="begin"/>
      </w:r>
      <w:r w:rsidRPr="003F1438">
        <w:rPr>
          <w:lang w:val="fr-CH"/>
        </w:rPr>
        <w:instrText xml:space="preserve"> AUTONUM  </w:instrText>
      </w:r>
      <w:r w:rsidRPr="003F1438">
        <w:rPr>
          <w:lang w:val="fr-CH"/>
        </w:rPr>
        <w:fldChar w:fldCharType="end"/>
      </w:r>
      <w:r w:rsidRPr="003F1438">
        <w:rPr>
          <w:lang w:val="fr-CH"/>
        </w:rPr>
        <w:tab/>
      </w:r>
      <w:r w:rsidR="00AE0651" w:rsidRPr="003F1438">
        <w:rPr>
          <w:lang w:val="fr-CH"/>
        </w:rPr>
        <w:t>À sa soixante</w:t>
      </w:r>
      <w:r w:rsidR="008418D4">
        <w:rPr>
          <w:lang w:val="fr-CH"/>
        </w:rPr>
        <w:t>-</w:t>
      </w:r>
      <w:r w:rsidR="00AE0651" w:rsidRPr="003F1438">
        <w:rPr>
          <w:lang w:val="fr-CH"/>
        </w:rPr>
        <w:t>quinz</w:t>
      </w:r>
      <w:r w:rsidR="008418D4">
        <w:rPr>
          <w:lang w:val="fr-CH"/>
        </w:rPr>
        <w:t>ième session</w:t>
      </w:r>
      <w:r w:rsidR="00AE0651" w:rsidRPr="003F1438">
        <w:rPr>
          <w:rStyle w:val="FootnoteReference"/>
          <w:lang w:val="fr-CH"/>
        </w:rPr>
        <w:footnoteReference w:id="8"/>
      </w:r>
      <w:r w:rsidR="00AE0651" w:rsidRPr="003F1438">
        <w:rPr>
          <w:lang w:val="fr-CH"/>
        </w:rPr>
        <w:t>,</w:t>
      </w:r>
      <w:r w:rsidR="008418D4" w:rsidRPr="003F1438">
        <w:rPr>
          <w:lang w:val="fr-CH"/>
        </w:rPr>
        <w:t xml:space="preserve"> le</w:t>
      </w:r>
      <w:r w:rsidR="008418D4">
        <w:rPr>
          <w:lang w:val="fr-CH"/>
        </w:rPr>
        <w:t> </w:t>
      </w:r>
      <w:proofErr w:type="spellStart"/>
      <w:r w:rsidR="008418D4" w:rsidRPr="003F1438">
        <w:rPr>
          <w:lang w:val="fr-CH"/>
        </w:rPr>
        <w:t>CAJ</w:t>
      </w:r>
      <w:proofErr w:type="spellEnd"/>
      <w:r w:rsidR="00AE0651" w:rsidRPr="003F1438">
        <w:rPr>
          <w:lang w:val="fr-CH"/>
        </w:rPr>
        <w:t xml:space="preserve"> est convenu que l</w:t>
      </w:r>
      <w:r w:rsidR="008418D4">
        <w:rPr>
          <w:lang w:val="fr-CH"/>
        </w:rPr>
        <w:t>’</w:t>
      </w:r>
      <w:r w:rsidR="00AE0651" w:rsidRPr="003F1438">
        <w:rPr>
          <w:lang w:val="fr-CH"/>
        </w:rPr>
        <w:t>examen de la révision des notes explicatives sur les variétés essentiellement dérivées serait inscrit à l</w:t>
      </w:r>
      <w:r w:rsidR="008418D4">
        <w:rPr>
          <w:lang w:val="fr-CH"/>
        </w:rPr>
        <w:t>’</w:t>
      </w:r>
      <w:r w:rsidR="00AE0651" w:rsidRPr="003F1438">
        <w:rPr>
          <w:lang w:val="fr-CH"/>
        </w:rPr>
        <w:t>ordre du jour de sa soixante</w:t>
      </w:r>
      <w:r w:rsidR="00053988">
        <w:rPr>
          <w:lang w:val="fr-CH"/>
        </w:rPr>
        <w:noBreakHyphen/>
      </w:r>
      <w:r w:rsidR="00AE0651" w:rsidRPr="003F1438">
        <w:rPr>
          <w:lang w:val="fr-CH"/>
        </w:rPr>
        <w:t>seiz</w:t>
      </w:r>
      <w:r w:rsidR="008418D4">
        <w:rPr>
          <w:lang w:val="fr-CH"/>
        </w:rPr>
        <w:t>ième session</w:t>
      </w:r>
      <w:r w:rsidR="00AE0651" w:rsidRPr="003F1438">
        <w:rPr>
          <w:rStyle w:val="FootnoteReference"/>
          <w:lang w:val="fr-CH"/>
        </w:rPr>
        <w:footnoteReference w:id="9"/>
      </w:r>
      <w:r w:rsidR="00AE0651" w:rsidRPr="003F1438">
        <w:rPr>
          <w:lang w:val="fr-CH"/>
        </w:rPr>
        <w:t xml:space="preserve"> et que les conclusions du séminaire serviraient de point de départ à cet examen (voir le paragraphe</w:t>
      </w:r>
      <w:r w:rsidR="003F1438">
        <w:rPr>
          <w:lang w:val="fr-CH"/>
        </w:rPr>
        <w:t> </w:t>
      </w:r>
      <w:r w:rsidR="00AE0651" w:rsidRPr="003F1438">
        <w:rPr>
          <w:lang w:val="fr-CH"/>
        </w:rPr>
        <w:t xml:space="preserve">17 du document </w:t>
      </w:r>
      <w:hyperlink r:id="rId9" w:history="1">
        <w:proofErr w:type="spellStart"/>
        <w:r w:rsidR="00AE0651" w:rsidRPr="00A11D92">
          <w:rPr>
            <w:rStyle w:val="Hyperlink"/>
            <w:lang w:val="fr-CH"/>
          </w:rPr>
          <w:t>CAJ</w:t>
        </w:r>
        <w:proofErr w:type="spellEnd"/>
        <w:r w:rsidR="00AE0651" w:rsidRPr="00A11D92">
          <w:rPr>
            <w:rStyle w:val="Hyperlink"/>
            <w:lang w:val="fr-CH"/>
          </w:rPr>
          <w:t>/75/14</w:t>
        </w:r>
      </w:hyperlink>
      <w:r w:rsidR="00AE0651" w:rsidRPr="003F1438">
        <w:rPr>
          <w:lang w:val="fr-CH"/>
        </w:rPr>
        <w:t xml:space="preserve"> “Compte rendu”).</w:t>
      </w:r>
    </w:p>
    <w:p w:rsidR="00AE0651" w:rsidRPr="003F1438" w:rsidRDefault="00AE0651" w:rsidP="00E06B56">
      <w:pPr>
        <w:rPr>
          <w:lang w:val="fr-CH"/>
        </w:rPr>
      </w:pPr>
    </w:p>
    <w:p w:rsidR="00AE0651" w:rsidRPr="003F1438" w:rsidRDefault="009C4083" w:rsidP="00AE0651">
      <w:pPr>
        <w:pStyle w:val="DecisionParagraphs"/>
        <w:rPr>
          <w:lang w:val="fr-CH"/>
        </w:rPr>
      </w:pPr>
      <w:r w:rsidRPr="003F1438">
        <w:rPr>
          <w:lang w:val="fr-CH"/>
        </w:rPr>
        <w:fldChar w:fldCharType="begin"/>
      </w:r>
      <w:r w:rsidRPr="003F1438">
        <w:rPr>
          <w:lang w:val="fr-CH"/>
        </w:rPr>
        <w:instrText xml:space="preserve"> AUTONUM  </w:instrText>
      </w:r>
      <w:r w:rsidRPr="003F1438">
        <w:rPr>
          <w:lang w:val="fr-CH"/>
        </w:rPr>
        <w:fldChar w:fldCharType="end"/>
      </w:r>
      <w:r w:rsidRPr="003F1438">
        <w:rPr>
          <w:lang w:val="fr-CH"/>
        </w:rPr>
        <w:tab/>
      </w:r>
      <w:r w:rsidR="00AE0651" w:rsidRPr="003F1438">
        <w:rPr>
          <w:lang w:val="fr-CH"/>
        </w:rPr>
        <w:t xml:space="preserve">Le </w:t>
      </w:r>
      <w:proofErr w:type="spellStart"/>
      <w:r w:rsidR="00AE0651" w:rsidRPr="003F1438">
        <w:rPr>
          <w:lang w:val="fr-CH"/>
        </w:rPr>
        <w:t>CAJ</w:t>
      </w:r>
      <w:proofErr w:type="spellEnd"/>
      <w:r w:rsidR="00AE0651" w:rsidRPr="003F1438">
        <w:rPr>
          <w:lang w:val="fr-CH"/>
        </w:rPr>
        <w:t xml:space="preserve"> est invité à noter que les questions relatives aux variétés essentiellement dérivées sont examinées dans le </w:t>
      </w:r>
      <w:r w:rsidR="008418D4" w:rsidRPr="003F1438">
        <w:rPr>
          <w:lang w:val="fr-CH"/>
        </w:rPr>
        <w:t>document</w:t>
      </w:r>
      <w:r w:rsidR="008418D4">
        <w:rPr>
          <w:lang w:val="fr-CH"/>
        </w:rPr>
        <w:t xml:space="preserve"> </w:t>
      </w:r>
      <w:proofErr w:type="spellStart"/>
      <w:r w:rsidR="008418D4" w:rsidRPr="003F1438">
        <w:rPr>
          <w:lang w:val="fr-CH"/>
        </w:rPr>
        <w:t>CA</w:t>
      </w:r>
      <w:r w:rsidR="00AE0651" w:rsidRPr="003F1438">
        <w:rPr>
          <w:lang w:val="fr-CH"/>
        </w:rPr>
        <w:t>J</w:t>
      </w:r>
      <w:proofErr w:type="spellEnd"/>
      <w:r w:rsidR="00AE0651" w:rsidRPr="003F1438">
        <w:rPr>
          <w:lang w:val="fr-CH"/>
        </w:rPr>
        <w:t>/76/3.</w:t>
      </w:r>
    </w:p>
    <w:p w:rsidR="00AE0651" w:rsidRPr="003F1438" w:rsidRDefault="00AE0651" w:rsidP="003507D5">
      <w:pPr>
        <w:rPr>
          <w:lang w:val="fr-CH"/>
        </w:rPr>
      </w:pPr>
    </w:p>
    <w:p w:rsidR="00AE0651" w:rsidRPr="003F1438" w:rsidRDefault="00AE0651" w:rsidP="003507D5">
      <w:pPr>
        <w:rPr>
          <w:lang w:val="fr-CH"/>
        </w:rPr>
      </w:pPr>
    </w:p>
    <w:p w:rsidR="00AE0651" w:rsidRPr="003F1438" w:rsidRDefault="00AE0651" w:rsidP="00AE0651">
      <w:pPr>
        <w:pStyle w:val="Heading2"/>
        <w:rPr>
          <w:lang w:val="fr-CH"/>
        </w:rPr>
      </w:pPr>
      <w:bookmarkStart w:id="11" w:name="_Toc15397234"/>
      <w:r w:rsidRPr="003F1438">
        <w:rPr>
          <w:lang w:val="fr-CH"/>
        </w:rPr>
        <w:t>Dénominations variétales</w:t>
      </w:r>
      <w:bookmarkEnd w:id="11"/>
    </w:p>
    <w:p w:rsidR="00AE0651" w:rsidRPr="003F1438" w:rsidRDefault="00AE0651" w:rsidP="001218B3">
      <w:pPr>
        <w:rPr>
          <w:lang w:val="fr-CH"/>
        </w:rPr>
      </w:pPr>
    </w:p>
    <w:p w:rsidR="00AE0651" w:rsidRPr="003F1438" w:rsidRDefault="004A7B3B" w:rsidP="00AE0651">
      <w:pPr>
        <w:rPr>
          <w:lang w:val="fr-CH"/>
        </w:rPr>
      </w:pPr>
      <w:r w:rsidRPr="003F1438">
        <w:rPr>
          <w:lang w:val="fr-CH"/>
        </w:rPr>
        <w:fldChar w:fldCharType="begin"/>
      </w:r>
      <w:r w:rsidRPr="003F1438">
        <w:rPr>
          <w:lang w:val="fr-CH"/>
        </w:rPr>
        <w:instrText xml:space="preserve"> AUTONUM  </w:instrText>
      </w:r>
      <w:r w:rsidRPr="003F1438">
        <w:rPr>
          <w:lang w:val="fr-CH"/>
        </w:rPr>
        <w:fldChar w:fldCharType="end"/>
      </w:r>
      <w:r w:rsidRPr="003F1438">
        <w:rPr>
          <w:lang w:val="fr-CH"/>
        </w:rPr>
        <w:tab/>
      </w:r>
      <w:r w:rsidR="00AE0651" w:rsidRPr="003F1438">
        <w:rPr>
          <w:lang w:val="fr-CH"/>
        </w:rPr>
        <w:t xml:space="preserve">Les questions relatives aux dénominations variétales sont examinées dans le document </w:t>
      </w:r>
      <w:proofErr w:type="spellStart"/>
      <w:r w:rsidR="00AE0651" w:rsidRPr="003F1438">
        <w:rPr>
          <w:lang w:val="fr-CH"/>
        </w:rPr>
        <w:t>CAJ</w:t>
      </w:r>
      <w:proofErr w:type="spellEnd"/>
      <w:r w:rsidR="00AE0651" w:rsidRPr="003F1438">
        <w:rPr>
          <w:lang w:val="fr-CH"/>
        </w:rPr>
        <w:t>/76/6 “Dénominations variétales”.</w:t>
      </w:r>
    </w:p>
    <w:p w:rsidR="00AE0651" w:rsidRPr="003F1438" w:rsidRDefault="00AE0651" w:rsidP="00F71C4C">
      <w:pPr>
        <w:pStyle w:val="DecisionParagraphs"/>
        <w:keepLines/>
        <w:tabs>
          <w:tab w:val="clear" w:pos="5387"/>
          <w:tab w:val="clear" w:pos="5954"/>
        </w:tabs>
        <w:ind w:left="0"/>
        <w:rPr>
          <w:highlight w:val="yellow"/>
          <w:lang w:val="fr-CH"/>
        </w:rPr>
      </w:pPr>
    </w:p>
    <w:p w:rsidR="001E4FA0" w:rsidRDefault="004A7B3B" w:rsidP="008225E9">
      <w:pPr>
        <w:pStyle w:val="DecisionParagraphs"/>
        <w:keepLines/>
        <w:rPr>
          <w:lang w:val="fr-CH" w:eastAsia="zh-CN"/>
        </w:rPr>
      </w:pPr>
      <w:r w:rsidRPr="003F1438">
        <w:rPr>
          <w:lang w:val="fr-CH"/>
        </w:rPr>
        <w:fldChar w:fldCharType="begin"/>
      </w:r>
      <w:r w:rsidRPr="003F1438">
        <w:rPr>
          <w:lang w:val="fr-CH"/>
        </w:rPr>
        <w:instrText xml:space="preserve"> AUTONUM  </w:instrText>
      </w:r>
      <w:r w:rsidRPr="003F1438">
        <w:rPr>
          <w:lang w:val="fr-CH"/>
        </w:rPr>
        <w:fldChar w:fldCharType="end"/>
      </w:r>
      <w:r w:rsidRPr="003F1438">
        <w:rPr>
          <w:lang w:val="fr-CH"/>
        </w:rPr>
        <w:tab/>
      </w:r>
      <w:r w:rsidR="00AE0651" w:rsidRPr="003F1438">
        <w:rPr>
          <w:lang w:val="fr-CH"/>
        </w:rPr>
        <w:t xml:space="preserve">Le </w:t>
      </w:r>
      <w:proofErr w:type="spellStart"/>
      <w:r w:rsidR="00AE0651" w:rsidRPr="003F1438">
        <w:rPr>
          <w:lang w:val="fr-CH"/>
        </w:rPr>
        <w:t>CAJ</w:t>
      </w:r>
      <w:proofErr w:type="spellEnd"/>
      <w:r w:rsidR="00AE0651" w:rsidRPr="003F1438">
        <w:rPr>
          <w:lang w:val="fr-CH"/>
        </w:rPr>
        <w:t xml:space="preserve"> est invité à noter que les questions relatives aux dénominations variétales sont examinées dans le document </w:t>
      </w:r>
      <w:proofErr w:type="spellStart"/>
      <w:r w:rsidR="00AE0651" w:rsidRPr="003F1438">
        <w:rPr>
          <w:lang w:val="fr-CH"/>
        </w:rPr>
        <w:t>CAJ</w:t>
      </w:r>
      <w:proofErr w:type="spellEnd"/>
      <w:r w:rsidR="00AE0651" w:rsidRPr="003F1438">
        <w:rPr>
          <w:lang w:val="fr-CH"/>
        </w:rPr>
        <w:t>/76/6 “Dénominations variétales”.</w:t>
      </w:r>
      <w:r w:rsidR="001E4FA0">
        <w:rPr>
          <w:lang w:val="fr-CH" w:eastAsia="zh-CN"/>
        </w:rPr>
        <w:br w:type="page"/>
      </w:r>
    </w:p>
    <w:p w:rsidR="008418D4" w:rsidRDefault="00AE0651" w:rsidP="00AE0651">
      <w:pPr>
        <w:pStyle w:val="Heading1"/>
        <w:rPr>
          <w:lang w:val="fr-CH"/>
        </w:rPr>
      </w:pPr>
      <w:bookmarkStart w:id="12" w:name="_Toc15397235"/>
      <w:r w:rsidRPr="003F1438">
        <w:rPr>
          <w:lang w:val="fr-CH"/>
        </w:rPr>
        <w:lastRenderedPageBreak/>
        <w:t>Programme provisoire d</w:t>
      </w:r>
      <w:r w:rsidR="008418D4">
        <w:rPr>
          <w:lang w:val="fr-CH"/>
        </w:rPr>
        <w:t>’</w:t>
      </w:r>
      <w:r w:rsidRPr="003F1438">
        <w:rPr>
          <w:lang w:val="fr-CH"/>
        </w:rPr>
        <w:t>élaboration de matériel d</w:t>
      </w:r>
      <w:r w:rsidR="008418D4">
        <w:rPr>
          <w:lang w:val="fr-CH"/>
        </w:rPr>
        <w:t>’</w:t>
      </w:r>
      <w:r w:rsidRPr="003F1438">
        <w:rPr>
          <w:lang w:val="fr-CH"/>
        </w:rPr>
        <w:t>information</w:t>
      </w:r>
      <w:bookmarkEnd w:id="12"/>
    </w:p>
    <w:p w:rsidR="00AE0651" w:rsidRPr="003F1438" w:rsidRDefault="00AE0651" w:rsidP="00ED4336">
      <w:pPr>
        <w:pStyle w:val="Heading2"/>
        <w:rPr>
          <w:lang w:val="fr-CH"/>
        </w:rPr>
      </w:pPr>
    </w:p>
    <w:p w:rsidR="00AE0651" w:rsidRPr="003F1438" w:rsidRDefault="00ED4336" w:rsidP="00AE0651">
      <w:pPr>
        <w:rPr>
          <w:rFonts w:eastAsia="MS Mincho"/>
          <w:lang w:val="fr-CH"/>
        </w:rPr>
      </w:pPr>
      <w:r w:rsidRPr="003F1438">
        <w:rPr>
          <w:rFonts w:eastAsia="MS Mincho"/>
          <w:lang w:val="fr-CH"/>
        </w:rPr>
        <w:fldChar w:fldCharType="begin"/>
      </w:r>
      <w:r w:rsidRPr="003F1438">
        <w:rPr>
          <w:rFonts w:eastAsia="MS Mincho"/>
          <w:lang w:val="fr-CH"/>
        </w:rPr>
        <w:instrText xml:space="preserve"> AUTONUM  </w:instrText>
      </w:r>
      <w:r w:rsidRPr="003F1438">
        <w:rPr>
          <w:rFonts w:eastAsia="MS Mincho"/>
          <w:lang w:val="fr-CH"/>
        </w:rPr>
        <w:fldChar w:fldCharType="end"/>
      </w:r>
      <w:r w:rsidRPr="003F1438">
        <w:rPr>
          <w:rFonts w:eastAsia="MS Mincho"/>
          <w:lang w:val="fr-CH"/>
        </w:rPr>
        <w:tab/>
      </w:r>
      <w:r w:rsidR="00AE0651" w:rsidRPr="003F1438">
        <w:rPr>
          <w:rFonts w:eastAsia="MS Mincho"/>
          <w:lang w:val="fr-CH"/>
        </w:rPr>
        <w:t xml:space="preserve">Le </w:t>
      </w:r>
      <w:proofErr w:type="spellStart"/>
      <w:r w:rsidR="00AE0651" w:rsidRPr="003F1438">
        <w:rPr>
          <w:rFonts w:eastAsia="MS Mincho"/>
          <w:lang w:val="fr-CH"/>
        </w:rPr>
        <w:t>CAJ</w:t>
      </w:r>
      <w:proofErr w:type="spellEnd"/>
      <w:r w:rsidR="00AE0651" w:rsidRPr="003F1438">
        <w:rPr>
          <w:rFonts w:eastAsia="MS Mincho"/>
          <w:lang w:val="fr-CH"/>
        </w:rPr>
        <w:t xml:space="preserve"> est invité à examiner le programme d</w:t>
      </w:r>
      <w:r w:rsidR="008418D4">
        <w:rPr>
          <w:rFonts w:eastAsia="MS Mincho"/>
          <w:lang w:val="fr-CH"/>
        </w:rPr>
        <w:t>’</w:t>
      </w:r>
      <w:r w:rsidR="00AE0651" w:rsidRPr="003F1438">
        <w:rPr>
          <w:rFonts w:eastAsia="MS Mincho"/>
          <w:lang w:val="fr-CH"/>
        </w:rPr>
        <w:t>élaboration de matériel d</w:t>
      </w:r>
      <w:r w:rsidR="008418D4">
        <w:rPr>
          <w:rFonts w:eastAsia="MS Mincho"/>
          <w:lang w:val="fr-CH"/>
        </w:rPr>
        <w:t>’</w:t>
      </w:r>
      <w:r w:rsidR="00AE0651" w:rsidRPr="003F1438">
        <w:rPr>
          <w:rFonts w:eastAsia="MS Mincho"/>
          <w:lang w:val="fr-CH"/>
        </w:rPr>
        <w:t>information, tel qu</w:t>
      </w:r>
      <w:r w:rsidR="008418D4">
        <w:rPr>
          <w:rFonts w:eastAsia="MS Mincho"/>
          <w:lang w:val="fr-CH"/>
        </w:rPr>
        <w:t>’</w:t>
      </w:r>
      <w:r w:rsidR="00AE0651" w:rsidRPr="003F1438">
        <w:rPr>
          <w:rFonts w:eastAsia="MS Mincho"/>
          <w:lang w:val="fr-CH"/>
        </w:rPr>
        <w:t>il est proposé dans l</w:t>
      </w:r>
      <w:r w:rsidR="008418D4">
        <w:rPr>
          <w:rFonts w:eastAsia="MS Mincho"/>
          <w:lang w:val="fr-CH"/>
        </w:rPr>
        <w:t>’</w:t>
      </w:r>
      <w:r w:rsidR="00AE0651" w:rsidRPr="003F1438">
        <w:rPr>
          <w:rFonts w:eastAsia="MS Mincho"/>
          <w:lang w:val="fr-CH"/>
        </w:rPr>
        <w:t>annexe du présent document, sous réserve des conclusions qu</w:t>
      </w:r>
      <w:r w:rsidR="008418D4">
        <w:rPr>
          <w:rFonts w:eastAsia="MS Mincho"/>
          <w:lang w:val="fr-CH"/>
        </w:rPr>
        <w:t>’</w:t>
      </w:r>
      <w:r w:rsidR="00AE0651" w:rsidRPr="003F1438">
        <w:rPr>
          <w:rFonts w:eastAsia="MS Mincho"/>
          <w:lang w:val="fr-CH"/>
        </w:rPr>
        <w:t>il adoptera à sa soixante</w:t>
      </w:r>
      <w:r w:rsidR="00F23F03">
        <w:rPr>
          <w:rFonts w:eastAsia="MS Mincho"/>
          <w:lang w:val="fr-CH"/>
        </w:rPr>
        <w:noBreakHyphen/>
      </w:r>
      <w:r w:rsidR="00AE0651" w:rsidRPr="003F1438">
        <w:rPr>
          <w:rFonts w:eastAsia="MS Mincho"/>
          <w:lang w:val="fr-CH"/>
        </w:rPr>
        <w:t>seiz</w:t>
      </w:r>
      <w:r w:rsidR="008418D4">
        <w:rPr>
          <w:rFonts w:eastAsia="MS Mincho"/>
          <w:lang w:val="fr-CH"/>
        </w:rPr>
        <w:t>ième session</w:t>
      </w:r>
      <w:hyperlink w:anchor="notebasdepage8" w:history="1">
        <w:r w:rsidR="00A11D92" w:rsidRPr="00A11D92">
          <w:rPr>
            <w:rStyle w:val="Hyperlink"/>
            <w:rFonts w:eastAsia="MS Mincho"/>
            <w:color w:val="auto"/>
            <w:u w:val="none"/>
            <w:vertAlign w:val="superscript"/>
            <w:lang w:val="fr-CH"/>
          </w:rPr>
          <w:t>8</w:t>
        </w:r>
      </w:hyperlink>
      <w:r w:rsidRPr="003F1438">
        <w:rPr>
          <w:rFonts w:eastAsia="MS Mincho"/>
          <w:lang w:val="fr-CH"/>
        </w:rPr>
        <w:t xml:space="preserve"> </w:t>
      </w:r>
      <w:r w:rsidR="00AE0651" w:rsidRPr="003F1438">
        <w:rPr>
          <w:rFonts w:eastAsia="MS Mincho"/>
          <w:lang w:val="fr-CH"/>
        </w:rPr>
        <w:t>sur les questions susmentionnées.</w:t>
      </w:r>
    </w:p>
    <w:p w:rsidR="00AE0651" w:rsidRPr="003F1438" w:rsidRDefault="00AE0651" w:rsidP="00ED4336">
      <w:pPr>
        <w:rPr>
          <w:rFonts w:eastAsia="MS Mincho"/>
          <w:lang w:val="fr-CH"/>
        </w:rPr>
      </w:pPr>
    </w:p>
    <w:p w:rsidR="00AE0651" w:rsidRPr="003F1438" w:rsidRDefault="00ED4336" w:rsidP="00AE0651">
      <w:pPr>
        <w:pStyle w:val="DecisionParagraphs"/>
        <w:rPr>
          <w:lang w:val="fr-CH"/>
        </w:rPr>
      </w:pPr>
      <w:r w:rsidRPr="003F1438">
        <w:rPr>
          <w:lang w:val="fr-CH"/>
        </w:rPr>
        <w:fldChar w:fldCharType="begin"/>
      </w:r>
      <w:r w:rsidRPr="003F1438">
        <w:rPr>
          <w:lang w:val="fr-CH"/>
        </w:rPr>
        <w:instrText xml:space="preserve"> AUTONUM  </w:instrText>
      </w:r>
      <w:r w:rsidRPr="003F1438">
        <w:rPr>
          <w:lang w:val="fr-CH"/>
        </w:rPr>
        <w:fldChar w:fldCharType="end"/>
      </w:r>
      <w:r w:rsidRPr="003F1438">
        <w:rPr>
          <w:lang w:val="fr-CH"/>
        </w:rPr>
        <w:tab/>
      </w:r>
      <w:r w:rsidR="00AE0651" w:rsidRPr="003F1438">
        <w:rPr>
          <w:lang w:val="fr-CH"/>
        </w:rPr>
        <w:t xml:space="preserve">Le </w:t>
      </w:r>
      <w:proofErr w:type="spellStart"/>
      <w:r w:rsidR="00AE0651" w:rsidRPr="003F1438">
        <w:rPr>
          <w:lang w:val="fr-CH"/>
        </w:rPr>
        <w:t>CAJ</w:t>
      </w:r>
      <w:proofErr w:type="spellEnd"/>
      <w:r w:rsidR="00AE0651" w:rsidRPr="003F1438">
        <w:rPr>
          <w:lang w:val="fr-CH"/>
        </w:rPr>
        <w:t xml:space="preserve"> est invité à examiner le programme d</w:t>
      </w:r>
      <w:r w:rsidR="008418D4">
        <w:rPr>
          <w:lang w:val="fr-CH"/>
        </w:rPr>
        <w:t>’</w:t>
      </w:r>
      <w:r w:rsidR="00AE0651" w:rsidRPr="003F1438">
        <w:rPr>
          <w:lang w:val="fr-CH"/>
        </w:rPr>
        <w:t>élaboration de matériel d</w:t>
      </w:r>
      <w:r w:rsidR="008418D4">
        <w:rPr>
          <w:lang w:val="fr-CH"/>
        </w:rPr>
        <w:t>’</w:t>
      </w:r>
      <w:r w:rsidR="00AE0651" w:rsidRPr="003F1438">
        <w:rPr>
          <w:lang w:val="fr-CH"/>
        </w:rPr>
        <w:t>information.</w:t>
      </w:r>
    </w:p>
    <w:p w:rsidR="00AE0651" w:rsidRPr="003F1438" w:rsidRDefault="00AE0651" w:rsidP="00ED4336">
      <w:pPr>
        <w:pStyle w:val="DecisionParagraphs"/>
        <w:rPr>
          <w:lang w:val="fr-CH"/>
        </w:rPr>
      </w:pPr>
    </w:p>
    <w:p w:rsidR="00AE0651" w:rsidRPr="003F1438" w:rsidRDefault="00AE0651" w:rsidP="00ED4336">
      <w:pPr>
        <w:pStyle w:val="DecisionParagraphs"/>
        <w:rPr>
          <w:lang w:val="fr-CH"/>
        </w:rPr>
      </w:pPr>
    </w:p>
    <w:p w:rsidR="00AE0651" w:rsidRPr="003F1438" w:rsidRDefault="00AE0651" w:rsidP="00ED4336">
      <w:pPr>
        <w:pStyle w:val="DecisionParagraphs"/>
        <w:rPr>
          <w:lang w:val="fr-CH"/>
        </w:rPr>
      </w:pPr>
    </w:p>
    <w:p w:rsidR="00AE0651" w:rsidRPr="003F1438" w:rsidRDefault="00AE0651" w:rsidP="00AE0651">
      <w:pPr>
        <w:pStyle w:val="DecisionParagraphs"/>
        <w:jc w:val="right"/>
        <w:rPr>
          <w:i w:val="0"/>
          <w:lang w:val="fr-CH"/>
        </w:rPr>
      </w:pPr>
      <w:r w:rsidRPr="003F1438">
        <w:rPr>
          <w:i w:val="0"/>
          <w:lang w:val="fr-CH"/>
        </w:rPr>
        <w:t>[L</w:t>
      </w:r>
      <w:r w:rsidR="008418D4">
        <w:rPr>
          <w:i w:val="0"/>
          <w:lang w:val="fr-CH"/>
        </w:rPr>
        <w:t>’</w:t>
      </w:r>
      <w:r w:rsidRPr="003F1438">
        <w:rPr>
          <w:i w:val="0"/>
          <w:lang w:val="fr-CH"/>
        </w:rPr>
        <w:t>annexe suit]</w:t>
      </w:r>
    </w:p>
    <w:p w:rsidR="00AE0651" w:rsidRPr="003F1438" w:rsidRDefault="00AE0651" w:rsidP="00ED4336">
      <w:pPr>
        <w:pStyle w:val="DecisionParagraphs"/>
        <w:jc w:val="right"/>
        <w:rPr>
          <w:i w:val="0"/>
          <w:lang w:val="fr-CH"/>
        </w:rPr>
      </w:pPr>
    </w:p>
    <w:p w:rsidR="00AE0651" w:rsidRPr="003F1438" w:rsidRDefault="00AE0651" w:rsidP="00ED4336">
      <w:pPr>
        <w:pStyle w:val="DecisionParagraphs"/>
        <w:rPr>
          <w:lang w:val="fr-CH"/>
        </w:rPr>
      </w:pPr>
    </w:p>
    <w:p w:rsidR="00ED4336" w:rsidRPr="003F1438" w:rsidRDefault="00ED4336" w:rsidP="00ED4336">
      <w:pPr>
        <w:jc w:val="left"/>
        <w:rPr>
          <w:lang w:val="fr-CH"/>
        </w:rPr>
        <w:sectPr w:rsidR="00ED4336" w:rsidRPr="003F1438" w:rsidSect="00906B72">
          <w:headerReference w:type="default" r:id="rId10"/>
          <w:pgSz w:w="11907" w:h="16840" w:code="9"/>
          <w:pgMar w:top="510" w:right="1134" w:bottom="1134" w:left="1134" w:header="510" w:footer="624" w:gutter="0"/>
          <w:cols w:space="720"/>
          <w:titlePg/>
        </w:sectPr>
      </w:pPr>
    </w:p>
    <w:p w:rsidR="00AE0651" w:rsidRPr="003F1438" w:rsidRDefault="00E65C6F" w:rsidP="00ED4336">
      <w:pPr>
        <w:jc w:val="center"/>
        <w:rPr>
          <w:lang w:val="fr-CH"/>
        </w:rPr>
      </w:pPr>
      <w:proofErr w:type="spellStart"/>
      <w:r w:rsidRPr="003F1438">
        <w:rPr>
          <w:lang w:val="fr-CH"/>
        </w:rPr>
        <w:lastRenderedPageBreak/>
        <w:t>CAJ</w:t>
      </w:r>
      <w:proofErr w:type="spellEnd"/>
      <w:r w:rsidRPr="003F1438">
        <w:rPr>
          <w:lang w:val="fr-CH"/>
        </w:rPr>
        <w:t>/76/4</w:t>
      </w:r>
    </w:p>
    <w:p w:rsidR="00AE0651" w:rsidRPr="003F1438" w:rsidRDefault="00AE0651" w:rsidP="00ED4336">
      <w:pPr>
        <w:jc w:val="center"/>
        <w:rPr>
          <w:lang w:val="fr-CH"/>
        </w:rPr>
      </w:pPr>
    </w:p>
    <w:p w:rsidR="00AE0651" w:rsidRPr="003F1438" w:rsidRDefault="00ED4336" w:rsidP="00ED4336">
      <w:pPr>
        <w:jc w:val="center"/>
        <w:rPr>
          <w:lang w:val="fr-CH"/>
        </w:rPr>
      </w:pPr>
      <w:r w:rsidRPr="003F1438">
        <w:rPr>
          <w:lang w:val="fr-CH"/>
        </w:rPr>
        <w:t>ANNEX</w:t>
      </w:r>
      <w:r w:rsidR="00AE0651" w:rsidRPr="003F1438">
        <w:rPr>
          <w:lang w:val="fr-CH"/>
        </w:rPr>
        <w:t>E</w:t>
      </w:r>
    </w:p>
    <w:p w:rsidR="00AE0651" w:rsidRPr="003F1438" w:rsidRDefault="00AE0651" w:rsidP="00ED4336">
      <w:pPr>
        <w:jc w:val="center"/>
        <w:rPr>
          <w:lang w:val="fr-CH"/>
        </w:rPr>
      </w:pPr>
    </w:p>
    <w:p w:rsidR="00AE0651" w:rsidRPr="003F1438" w:rsidRDefault="00AE0651" w:rsidP="00454FD7">
      <w:pPr>
        <w:jc w:val="center"/>
        <w:rPr>
          <w:lang w:val="fr-CH"/>
        </w:rPr>
      </w:pPr>
    </w:p>
    <w:p w:rsidR="00AE0651" w:rsidRPr="003F1438" w:rsidRDefault="00AE0651" w:rsidP="00AE0651">
      <w:pPr>
        <w:jc w:val="center"/>
        <w:rPr>
          <w:lang w:val="fr-FR"/>
        </w:rPr>
      </w:pPr>
      <w:r w:rsidRPr="003F1438">
        <w:rPr>
          <w:lang w:val="fr-FR"/>
        </w:rPr>
        <w:t xml:space="preserve">APERÇU GÉNÉRAL DES </w:t>
      </w:r>
      <w:r w:rsidR="000D44C3">
        <w:rPr>
          <w:lang w:val="fr-FR"/>
        </w:rPr>
        <w:t>DOCUMENTS</w:t>
      </w:r>
      <w:r w:rsidRPr="003F1438">
        <w:rPr>
          <w:lang w:val="fr-FR"/>
        </w:rPr>
        <w:t xml:space="preserve"> D</w:t>
      </w:r>
      <w:r w:rsidR="008418D4">
        <w:rPr>
          <w:lang w:val="fr-FR"/>
        </w:rPr>
        <w:t>’</w:t>
      </w:r>
      <w:r w:rsidRPr="003F1438">
        <w:rPr>
          <w:lang w:val="fr-FR"/>
        </w:rPr>
        <w:t>INFORMATION ÉLABORÉS ET EN COURS D</w:t>
      </w:r>
      <w:r w:rsidR="008418D4">
        <w:rPr>
          <w:lang w:val="fr-FR"/>
        </w:rPr>
        <w:t>’</w:t>
      </w:r>
      <w:r w:rsidRPr="003F1438">
        <w:rPr>
          <w:lang w:val="fr-FR"/>
        </w:rPr>
        <w:t>ÉLABORATION</w:t>
      </w:r>
    </w:p>
    <w:p w:rsidR="00AE0651" w:rsidRPr="003F1438" w:rsidRDefault="00AE0651" w:rsidP="00AE0651">
      <w:pPr>
        <w:jc w:val="left"/>
        <w:rPr>
          <w:lang w:val="fr-FR"/>
        </w:rPr>
      </w:pPr>
    </w:p>
    <w:p w:rsidR="00AE0651" w:rsidRPr="003F1438" w:rsidRDefault="00AE0651" w:rsidP="00AE0651">
      <w:pPr>
        <w:jc w:val="left"/>
        <w:rPr>
          <w:lang w:val="fr-FR"/>
        </w:rPr>
      </w:pPr>
    </w:p>
    <w:p w:rsidR="00AE0651" w:rsidRPr="003F1438" w:rsidRDefault="00AE0651" w:rsidP="00AE0651">
      <w:pPr>
        <w:jc w:val="left"/>
      </w:pPr>
      <w:r w:rsidRPr="003F1438">
        <w:t xml:space="preserve">NOTES </w:t>
      </w:r>
      <w:proofErr w:type="spellStart"/>
      <w:r w:rsidRPr="003F1438">
        <w:t>EXPLICATIVES</w:t>
      </w:r>
      <w:proofErr w:type="spellEnd"/>
    </w:p>
    <w:p w:rsidR="00AE0651" w:rsidRPr="003F1438" w:rsidRDefault="00AE0651" w:rsidP="00AE0651"/>
    <w:tbl>
      <w:tblPr>
        <w:tblW w:w="103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41"/>
        <w:gridCol w:w="4717"/>
        <w:gridCol w:w="3912"/>
      </w:tblGrid>
      <w:tr w:rsidR="003F1438" w:rsidRPr="003F1438" w:rsidTr="00B9093E">
        <w:trPr>
          <w:cantSplit/>
          <w:jc w:val="center"/>
        </w:trPr>
        <w:tc>
          <w:tcPr>
            <w:tcW w:w="1741" w:type="dxa"/>
            <w:shd w:val="clear" w:color="auto" w:fill="D9D9D9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Référence</w:t>
            </w:r>
          </w:p>
        </w:tc>
        <w:tc>
          <w:tcPr>
            <w:tcW w:w="4717" w:type="dxa"/>
            <w:shd w:val="clear" w:color="auto" w:fill="D9D9D9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Notes explicatives sur</w:t>
            </w:r>
            <w:r w:rsidR="008418D4">
              <w:rPr>
                <w:sz w:val="18"/>
                <w:szCs w:val="18"/>
                <w:lang w:val="fr-FR"/>
              </w:rPr>
              <w:t> :</w:t>
            </w:r>
          </w:p>
        </w:tc>
        <w:tc>
          <w:tcPr>
            <w:tcW w:w="3912" w:type="dxa"/>
            <w:shd w:val="clear" w:color="auto" w:fill="D9D9D9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État d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avancement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41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</w:t>
            </w:r>
            <w:proofErr w:type="spellStart"/>
            <w:r w:rsidRPr="003F1438">
              <w:rPr>
                <w:sz w:val="18"/>
                <w:szCs w:val="18"/>
              </w:rPr>
              <w:t>EXN</w:t>
            </w:r>
            <w:proofErr w:type="spellEnd"/>
            <w:r w:rsidRPr="003F1438">
              <w:rPr>
                <w:sz w:val="18"/>
                <w:szCs w:val="18"/>
              </w:rPr>
              <w:t>/</w:t>
            </w:r>
            <w:proofErr w:type="spellStart"/>
            <w:r w:rsidRPr="003F1438">
              <w:rPr>
                <w:sz w:val="18"/>
                <w:szCs w:val="18"/>
              </w:rPr>
              <w:t>BRD</w:t>
            </w:r>
            <w:proofErr w:type="spellEnd"/>
          </w:p>
        </w:tc>
        <w:tc>
          <w:tcPr>
            <w:tcW w:w="471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Définition de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obtenteur selon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 xml:space="preserve">Acte de 1991 de la </w:t>
            </w:r>
            <w:r w:rsidR="008418D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E0651" w:rsidRPr="003F1438" w:rsidRDefault="00AE0651" w:rsidP="00B9093E">
            <w:pPr>
              <w:jc w:val="left"/>
              <w:rPr>
                <w:strike/>
                <w:sz w:val="18"/>
                <w:szCs w:val="18"/>
                <w:lang w:val="fr-FR"/>
              </w:rPr>
            </w:pPr>
            <w:r w:rsidRPr="003F1438">
              <w:rPr>
                <w:iCs/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iCs/>
                <w:sz w:val="18"/>
                <w:szCs w:val="18"/>
                <w:lang w:val="fr-FR"/>
              </w:rPr>
              <w:t>EXN</w:t>
            </w:r>
            <w:proofErr w:type="spellEnd"/>
            <w:r w:rsidRPr="003F1438">
              <w:rPr>
                <w:iCs/>
                <w:sz w:val="18"/>
                <w:szCs w:val="18"/>
                <w:lang w:val="fr-FR"/>
              </w:rPr>
              <w:t>/</w:t>
            </w:r>
            <w:proofErr w:type="spellStart"/>
            <w:r w:rsidRPr="003F1438">
              <w:rPr>
                <w:iCs/>
                <w:sz w:val="18"/>
                <w:szCs w:val="18"/>
                <w:lang w:val="fr-FR"/>
              </w:rPr>
              <w:t>BRD</w:t>
            </w:r>
            <w:proofErr w:type="spellEnd"/>
            <w:r w:rsidRPr="003F1438">
              <w:rPr>
                <w:iCs/>
                <w:sz w:val="18"/>
                <w:szCs w:val="18"/>
                <w:lang w:val="fr-FR"/>
              </w:rPr>
              <w:t>/1 adopté en octobre 2013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41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</w:t>
            </w:r>
            <w:proofErr w:type="spellStart"/>
            <w:r w:rsidRPr="003F1438">
              <w:rPr>
                <w:sz w:val="18"/>
                <w:szCs w:val="18"/>
              </w:rPr>
              <w:t>EXN</w:t>
            </w:r>
            <w:proofErr w:type="spellEnd"/>
            <w:r w:rsidRPr="003F1438">
              <w:rPr>
                <w:sz w:val="18"/>
                <w:szCs w:val="18"/>
              </w:rPr>
              <w:t>/CAL</w:t>
            </w:r>
          </w:p>
        </w:tc>
        <w:tc>
          <w:tcPr>
            <w:tcW w:w="471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Les conditions et limitations concernant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autorisation de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 xml:space="preserve">obtenteur </w:t>
            </w:r>
            <w:r w:rsidR="008418D4">
              <w:rPr>
                <w:sz w:val="18"/>
                <w:szCs w:val="18"/>
                <w:lang w:val="fr-FR"/>
              </w:rPr>
              <w:t>à l’égard</w:t>
            </w:r>
            <w:r w:rsidRPr="003F1438">
              <w:rPr>
                <w:sz w:val="18"/>
                <w:szCs w:val="18"/>
                <w:lang w:val="fr-FR"/>
              </w:rPr>
              <w:t xml:space="preserve"> du matériel de reproduction ou de multiplication selon la </w:t>
            </w:r>
            <w:r w:rsidR="008418D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E0651" w:rsidRPr="003F1438" w:rsidRDefault="00AE0651" w:rsidP="00B9093E">
            <w:pPr>
              <w:jc w:val="left"/>
              <w:rPr>
                <w:iCs/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EXN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/CAL/1 adopté en octobre</w:t>
            </w:r>
            <w:r w:rsidRPr="003F1438">
              <w:rPr>
                <w:iCs/>
                <w:sz w:val="18"/>
                <w:szCs w:val="18"/>
                <w:lang w:val="fr-FR"/>
              </w:rPr>
              <w:t> 2010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41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</w:t>
            </w:r>
            <w:proofErr w:type="spellStart"/>
            <w:r w:rsidRPr="003F1438">
              <w:rPr>
                <w:sz w:val="18"/>
                <w:szCs w:val="18"/>
              </w:rPr>
              <w:t>EXN</w:t>
            </w:r>
            <w:proofErr w:type="spellEnd"/>
            <w:r w:rsidRPr="003F1438">
              <w:rPr>
                <w:sz w:val="18"/>
                <w:szCs w:val="18"/>
              </w:rPr>
              <w:t>/CAN</w:t>
            </w:r>
          </w:p>
        </w:tc>
        <w:tc>
          <w:tcPr>
            <w:tcW w:w="471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Déchéance de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 xml:space="preserve">obtenteur selon la </w:t>
            </w:r>
            <w:r w:rsidR="008418D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EXN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/CAN/2 adopté en octobre 2015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41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</w:t>
            </w:r>
            <w:proofErr w:type="spellStart"/>
            <w:r w:rsidRPr="003F1438">
              <w:rPr>
                <w:sz w:val="18"/>
                <w:szCs w:val="18"/>
              </w:rPr>
              <w:t>EXN</w:t>
            </w:r>
            <w:proofErr w:type="spellEnd"/>
            <w:r w:rsidRPr="003F1438">
              <w:rPr>
                <w:sz w:val="18"/>
                <w:szCs w:val="18"/>
              </w:rPr>
              <w:t>/</w:t>
            </w:r>
            <w:proofErr w:type="spellStart"/>
            <w:r w:rsidRPr="003F1438">
              <w:rPr>
                <w:sz w:val="18"/>
                <w:szCs w:val="18"/>
              </w:rPr>
              <w:t>EDV</w:t>
            </w:r>
            <w:proofErr w:type="spellEnd"/>
          </w:p>
        </w:tc>
        <w:tc>
          <w:tcPr>
            <w:tcW w:w="471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Variétés essentiellement dérivées selon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 xml:space="preserve">Acte de 1991 de la </w:t>
            </w:r>
            <w:r w:rsidR="008418D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EXN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EDV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/2 adopté en avril 2017</w:t>
            </w:r>
          </w:p>
          <w:p w:rsidR="00AE0651" w:rsidRPr="003F1438" w:rsidRDefault="00AE0651" w:rsidP="00B9093E">
            <w:pPr>
              <w:jc w:val="left"/>
              <w:rPr>
                <w:i/>
                <w:strike/>
                <w:sz w:val="18"/>
                <w:szCs w:val="18"/>
                <w:lang w:val="fr-FR"/>
              </w:rPr>
            </w:pPr>
            <w:r w:rsidRPr="003F1438">
              <w:rPr>
                <w:i/>
                <w:sz w:val="18"/>
                <w:szCs w:val="18"/>
                <w:lang w:val="fr-FR"/>
              </w:rPr>
              <w:t>La nécessité de procéder à une révision sera examinée par le </w:t>
            </w:r>
            <w:proofErr w:type="spellStart"/>
            <w:r w:rsidRPr="003F1438">
              <w:rPr>
                <w:i/>
                <w:sz w:val="18"/>
                <w:szCs w:val="18"/>
                <w:lang w:val="fr-FR"/>
              </w:rPr>
              <w:t>CAJ</w:t>
            </w:r>
            <w:proofErr w:type="spellEnd"/>
            <w:r w:rsidR="00777F9C" w:rsidRPr="003F1438">
              <w:rPr>
                <w:i/>
                <w:sz w:val="18"/>
                <w:szCs w:val="18"/>
                <w:lang w:val="fr-FR"/>
              </w:rPr>
              <w:t xml:space="preserve"> en octobre 2019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41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</w:t>
            </w:r>
            <w:proofErr w:type="spellStart"/>
            <w:r w:rsidRPr="003F1438">
              <w:rPr>
                <w:sz w:val="18"/>
                <w:szCs w:val="18"/>
              </w:rPr>
              <w:t>EXN</w:t>
            </w:r>
            <w:proofErr w:type="spellEnd"/>
            <w:r w:rsidRPr="003F1438">
              <w:rPr>
                <w:sz w:val="18"/>
                <w:szCs w:val="18"/>
              </w:rPr>
              <w:t>/</w:t>
            </w:r>
            <w:proofErr w:type="spellStart"/>
            <w:r w:rsidRPr="003F1438">
              <w:rPr>
                <w:sz w:val="18"/>
                <w:szCs w:val="18"/>
              </w:rPr>
              <w:t>ENF</w:t>
            </w:r>
            <w:proofErr w:type="spellEnd"/>
          </w:p>
        </w:tc>
        <w:tc>
          <w:tcPr>
            <w:tcW w:w="471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Défense des droits d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 xml:space="preserve">obtenteur selon la </w:t>
            </w:r>
            <w:r w:rsidR="008418D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EXN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ENF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/1 adopté en octobre 2009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41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</w:t>
            </w:r>
            <w:proofErr w:type="spellStart"/>
            <w:r w:rsidRPr="003F1438">
              <w:rPr>
                <w:sz w:val="18"/>
                <w:szCs w:val="18"/>
              </w:rPr>
              <w:t>EXN</w:t>
            </w:r>
            <w:proofErr w:type="spellEnd"/>
            <w:r w:rsidRPr="003F1438">
              <w:rPr>
                <w:sz w:val="18"/>
                <w:szCs w:val="18"/>
              </w:rPr>
              <w:t>/</w:t>
            </w:r>
            <w:proofErr w:type="spellStart"/>
            <w:r w:rsidRPr="003F1438">
              <w:rPr>
                <w:sz w:val="18"/>
                <w:szCs w:val="18"/>
              </w:rPr>
              <w:t>EXC</w:t>
            </w:r>
            <w:proofErr w:type="spellEnd"/>
          </w:p>
        </w:tc>
        <w:tc>
          <w:tcPr>
            <w:tcW w:w="471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Exceptions au droit d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obtenteur selon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 xml:space="preserve">Acte de 1991 de la </w:t>
            </w:r>
            <w:r w:rsidR="008418D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EXN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EXC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/1 adopté en octobre 2009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41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</w:t>
            </w:r>
            <w:proofErr w:type="spellStart"/>
            <w:r w:rsidRPr="003F1438">
              <w:rPr>
                <w:sz w:val="18"/>
                <w:szCs w:val="18"/>
              </w:rPr>
              <w:t>EXN</w:t>
            </w:r>
            <w:proofErr w:type="spellEnd"/>
            <w:r w:rsidRPr="003F1438">
              <w:rPr>
                <w:sz w:val="18"/>
                <w:szCs w:val="18"/>
              </w:rPr>
              <w:t>/GEN</w:t>
            </w:r>
          </w:p>
        </w:tc>
        <w:tc>
          <w:tcPr>
            <w:tcW w:w="471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Genres et espèces devant être protégés selon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="00227172">
              <w:rPr>
                <w:sz w:val="18"/>
                <w:szCs w:val="18"/>
                <w:lang w:val="fr-FR"/>
              </w:rPr>
              <w:t>Acte </w:t>
            </w:r>
            <w:r w:rsidRPr="003F1438">
              <w:rPr>
                <w:sz w:val="18"/>
                <w:szCs w:val="18"/>
                <w:lang w:val="fr-FR"/>
              </w:rPr>
              <w:t xml:space="preserve">de 1991 de la </w:t>
            </w:r>
            <w:r w:rsidR="008418D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EXN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GEN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/1 adopté en octobre 2009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41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</w:t>
            </w:r>
            <w:proofErr w:type="spellStart"/>
            <w:r w:rsidRPr="003F1438">
              <w:rPr>
                <w:sz w:val="18"/>
                <w:szCs w:val="18"/>
              </w:rPr>
              <w:t>EXN</w:t>
            </w:r>
            <w:proofErr w:type="spellEnd"/>
            <w:r w:rsidRPr="003F1438">
              <w:rPr>
                <w:sz w:val="18"/>
                <w:szCs w:val="18"/>
              </w:rPr>
              <w:t>/</w:t>
            </w:r>
            <w:proofErr w:type="spellStart"/>
            <w:r w:rsidRPr="003F1438">
              <w:rPr>
                <w:sz w:val="18"/>
                <w:szCs w:val="18"/>
              </w:rPr>
              <w:t>HRV</w:t>
            </w:r>
            <w:proofErr w:type="spellEnd"/>
          </w:p>
        </w:tc>
        <w:tc>
          <w:tcPr>
            <w:tcW w:w="471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 xml:space="preserve">Actes </w:t>
            </w:r>
            <w:r w:rsidR="008418D4">
              <w:rPr>
                <w:sz w:val="18"/>
                <w:szCs w:val="18"/>
                <w:lang w:val="fr-FR"/>
              </w:rPr>
              <w:t>à l’égard</w:t>
            </w:r>
            <w:r w:rsidRPr="003F1438">
              <w:rPr>
                <w:sz w:val="18"/>
                <w:szCs w:val="18"/>
                <w:lang w:val="fr-FR"/>
              </w:rPr>
              <w:t xml:space="preserve"> du produit de la récolte selon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="00227172">
              <w:rPr>
                <w:sz w:val="18"/>
                <w:szCs w:val="18"/>
                <w:lang w:val="fr-FR"/>
              </w:rPr>
              <w:t>Acte </w:t>
            </w:r>
            <w:r w:rsidRPr="003F1438">
              <w:rPr>
                <w:sz w:val="18"/>
                <w:szCs w:val="18"/>
                <w:lang w:val="fr-FR"/>
              </w:rPr>
              <w:t xml:space="preserve">de 1991 de la </w:t>
            </w:r>
            <w:r w:rsidR="008418D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iCs/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iCs/>
                <w:sz w:val="18"/>
                <w:szCs w:val="18"/>
                <w:lang w:val="fr-FR"/>
              </w:rPr>
              <w:t>EXN</w:t>
            </w:r>
            <w:proofErr w:type="spellEnd"/>
            <w:r w:rsidRPr="003F1438">
              <w:rPr>
                <w:iCs/>
                <w:sz w:val="18"/>
                <w:szCs w:val="18"/>
                <w:lang w:val="fr-FR"/>
              </w:rPr>
              <w:t>/</w:t>
            </w:r>
            <w:proofErr w:type="spellStart"/>
            <w:r w:rsidRPr="003F1438">
              <w:rPr>
                <w:iCs/>
                <w:sz w:val="18"/>
                <w:szCs w:val="18"/>
                <w:lang w:val="fr-FR"/>
              </w:rPr>
              <w:t>HRV</w:t>
            </w:r>
            <w:proofErr w:type="spellEnd"/>
            <w:r w:rsidRPr="003F1438">
              <w:rPr>
                <w:iCs/>
                <w:sz w:val="18"/>
                <w:szCs w:val="18"/>
                <w:lang w:val="fr-FR"/>
              </w:rPr>
              <w:t>/1 adopté en octobre 2013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41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</w:t>
            </w:r>
            <w:proofErr w:type="spellStart"/>
            <w:r w:rsidRPr="003F1438">
              <w:rPr>
                <w:sz w:val="18"/>
                <w:szCs w:val="18"/>
              </w:rPr>
              <w:t>EXN</w:t>
            </w:r>
            <w:proofErr w:type="spellEnd"/>
            <w:r w:rsidRPr="003F1438">
              <w:rPr>
                <w:sz w:val="18"/>
                <w:szCs w:val="18"/>
              </w:rPr>
              <w:t>/NAT</w:t>
            </w:r>
          </w:p>
        </w:tc>
        <w:tc>
          <w:tcPr>
            <w:tcW w:w="471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Traitement national selon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 xml:space="preserve">Acte de 1991 de la </w:t>
            </w:r>
            <w:r w:rsidR="008418D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EXN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/NAT/1 adopté en octobre 2009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41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</w:t>
            </w:r>
            <w:proofErr w:type="spellStart"/>
            <w:r w:rsidRPr="003F1438">
              <w:rPr>
                <w:sz w:val="18"/>
                <w:szCs w:val="18"/>
              </w:rPr>
              <w:t>EXN</w:t>
            </w:r>
            <w:proofErr w:type="spellEnd"/>
            <w:r w:rsidRPr="003F1438">
              <w:rPr>
                <w:sz w:val="18"/>
                <w:szCs w:val="18"/>
              </w:rPr>
              <w:t>/NOV</w:t>
            </w:r>
          </w:p>
        </w:tc>
        <w:tc>
          <w:tcPr>
            <w:tcW w:w="471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 xml:space="preserve">Nouveauté selon la </w:t>
            </w:r>
            <w:r w:rsidR="008418D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EXN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NOV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/1 adopté en octobre 2009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41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</w:t>
            </w:r>
            <w:proofErr w:type="spellStart"/>
            <w:r w:rsidRPr="003F1438">
              <w:rPr>
                <w:sz w:val="18"/>
                <w:szCs w:val="18"/>
              </w:rPr>
              <w:t>EXN</w:t>
            </w:r>
            <w:proofErr w:type="spellEnd"/>
            <w:r w:rsidRPr="003F1438">
              <w:rPr>
                <w:sz w:val="18"/>
                <w:szCs w:val="18"/>
              </w:rPr>
              <w:t>/</w:t>
            </w:r>
            <w:proofErr w:type="spellStart"/>
            <w:r w:rsidRPr="003F1438">
              <w:rPr>
                <w:sz w:val="18"/>
                <w:szCs w:val="18"/>
              </w:rPr>
              <w:t>NUL</w:t>
            </w:r>
            <w:proofErr w:type="spellEnd"/>
          </w:p>
        </w:tc>
        <w:tc>
          <w:tcPr>
            <w:tcW w:w="471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Nullité du droit d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 xml:space="preserve">obtenteur selon la </w:t>
            </w:r>
            <w:r w:rsidR="008418D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EXN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/NUL/2 adopté en octobre 2015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41" w:type="dxa"/>
            <w:tcBorders>
              <w:bottom w:val="single" w:sz="2" w:space="0" w:color="auto"/>
            </w:tcBorders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</w:t>
            </w:r>
            <w:proofErr w:type="spellStart"/>
            <w:r w:rsidRPr="003F1438">
              <w:rPr>
                <w:sz w:val="18"/>
                <w:szCs w:val="18"/>
              </w:rPr>
              <w:t>EXN</w:t>
            </w:r>
            <w:proofErr w:type="spellEnd"/>
            <w:r w:rsidRPr="003F1438">
              <w:rPr>
                <w:sz w:val="18"/>
                <w:szCs w:val="18"/>
              </w:rPr>
              <w:t>/PPM</w:t>
            </w:r>
          </w:p>
        </w:tc>
        <w:tc>
          <w:tcPr>
            <w:tcW w:w="4717" w:type="dxa"/>
            <w:tcBorders>
              <w:bottom w:val="single" w:sz="2" w:space="0" w:color="auto"/>
            </w:tcBorders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Matériel de reproduction ou de multiplication selon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="00227172">
              <w:rPr>
                <w:sz w:val="18"/>
                <w:szCs w:val="18"/>
                <w:lang w:val="fr-FR"/>
              </w:rPr>
              <w:t>Acte </w:t>
            </w:r>
            <w:r w:rsidRPr="003F1438">
              <w:rPr>
                <w:sz w:val="18"/>
                <w:szCs w:val="18"/>
                <w:lang w:val="fr-FR"/>
              </w:rPr>
              <w:t xml:space="preserve">de 1991 de la </w:t>
            </w:r>
            <w:r w:rsidR="008418D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Borders>
              <w:bottom w:val="single" w:sz="2" w:space="0" w:color="auto"/>
            </w:tcBorders>
          </w:tcPr>
          <w:p w:rsidR="00AE0651" w:rsidRPr="003F1438" w:rsidRDefault="00AE0651" w:rsidP="00B9093E">
            <w:pPr>
              <w:jc w:val="left"/>
              <w:rPr>
                <w:spacing w:val="-2"/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EXN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/PPM/1 adopté en avril 2017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41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</w:t>
            </w:r>
            <w:proofErr w:type="spellStart"/>
            <w:r w:rsidRPr="003F1438">
              <w:rPr>
                <w:sz w:val="18"/>
                <w:szCs w:val="18"/>
              </w:rPr>
              <w:t>EXN</w:t>
            </w:r>
            <w:proofErr w:type="spellEnd"/>
            <w:r w:rsidRPr="003F1438">
              <w:rPr>
                <w:sz w:val="18"/>
                <w:szCs w:val="18"/>
              </w:rPr>
              <w:t>/PRI</w:t>
            </w:r>
          </w:p>
        </w:tc>
        <w:tc>
          <w:tcPr>
            <w:tcW w:w="471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 xml:space="preserve">Le droit de priorité selon la </w:t>
            </w:r>
            <w:r w:rsidR="008418D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EXN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PRI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/1 adopté en octobre 2009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41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</w:t>
            </w:r>
            <w:proofErr w:type="spellStart"/>
            <w:r w:rsidRPr="003F1438">
              <w:rPr>
                <w:sz w:val="18"/>
                <w:szCs w:val="18"/>
              </w:rPr>
              <w:t>EXN</w:t>
            </w:r>
            <w:proofErr w:type="spellEnd"/>
            <w:r w:rsidRPr="003F1438">
              <w:rPr>
                <w:sz w:val="18"/>
                <w:szCs w:val="18"/>
              </w:rPr>
              <w:t>/</w:t>
            </w:r>
            <w:proofErr w:type="spellStart"/>
            <w:r w:rsidRPr="003F1438">
              <w:rPr>
                <w:sz w:val="18"/>
                <w:szCs w:val="18"/>
              </w:rPr>
              <w:t>PRP</w:t>
            </w:r>
            <w:proofErr w:type="spellEnd"/>
          </w:p>
        </w:tc>
        <w:tc>
          <w:tcPr>
            <w:tcW w:w="471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 xml:space="preserve">La protection provisoire selon la </w:t>
            </w:r>
            <w:r w:rsidR="008418D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E0651" w:rsidRPr="003F1438" w:rsidRDefault="00AE0651" w:rsidP="00B9093E">
            <w:pPr>
              <w:jc w:val="left"/>
              <w:rPr>
                <w:spacing w:val="-2"/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EXN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/PRP/2 adopté en octobre 2015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41" w:type="dxa"/>
            <w:tcBorders>
              <w:bottom w:val="single" w:sz="2" w:space="0" w:color="auto"/>
            </w:tcBorders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</w:t>
            </w:r>
            <w:proofErr w:type="spellStart"/>
            <w:r w:rsidRPr="003F1438">
              <w:rPr>
                <w:sz w:val="18"/>
                <w:szCs w:val="18"/>
              </w:rPr>
              <w:t>EXN</w:t>
            </w:r>
            <w:proofErr w:type="spellEnd"/>
            <w:r w:rsidRPr="003F1438">
              <w:rPr>
                <w:sz w:val="18"/>
                <w:szCs w:val="18"/>
              </w:rPr>
              <w:t>/VAR</w:t>
            </w:r>
          </w:p>
        </w:tc>
        <w:tc>
          <w:tcPr>
            <w:tcW w:w="4717" w:type="dxa"/>
            <w:tcBorders>
              <w:bottom w:val="single" w:sz="2" w:space="0" w:color="auto"/>
            </w:tcBorders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Définition de la variété selon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 xml:space="preserve">Acte de 1991 de la </w:t>
            </w:r>
            <w:r w:rsidR="008418D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Borders>
              <w:bottom w:val="single" w:sz="2" w:space="0" w:color="auto"/>
            </w:tcBorders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EXN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/VAR/1 adopté en octobre 2010</w:t>
            </w:r>
          </w:p>
        </w:tc>
      </w:tr>
    </w:tbl>
    <w:p w:rsidR="00AE0651" w:rsidRPr="003F1438" w:rsidRDefault="00AE0651" w:rsidP="00AE0651">
      <w:r w:rsidRPr="003F1438">
        <w:rPr>
          <w:sz w:val="18"/>
          <w:szCs w:val="18"/>
          <w:lang w:val="fr-FR"/>
        </w:rPr>
        <w:br w:type="page"/>
      </w:r>
      <w:r w:rsidRPr="003F1438">
        <w:lastRenderedPageBreak/>
        <w:t xml:space="preserve">DOCUMENTS </w:t>
      </w:r>
      <w:proofErr w:type="spellStart"/>
      <w:r w:rsidRPr="003F1438">
        <w:t>D</w:t>
      </w:r>
      <w:r w:rsidR="008418D4">
        <w:t>’</w:t>
      </w:r>
      <w:r w:rsidRPr="003F1438">
        <w:t>INFORMATION</w:t>
      </w:r>
      <w:proofErr w:type="spellEnd"/>
    </w:p>
    <w:p w:rsidR="00AE0651" w:rsidRPr="003F1438" w:rsidRDefault="00AE0651" w:rsidP="00AE0651"/>
    <w:tbl>
      <w:tblPr>
        <w:tblW w:w="104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58"/>
        <w:gridCol w:w="4807"/>
        <w:gridCol w:w="3920"/>
      </w:tblGrid>
      <w:tr w:rsidR="003F1438" w:rsidRPr="003F1438" w:rsidTr="00B9093E">
        <w:trPr>
          <w:cantSplit/>
          <w:jc w:val="center"/>
        </w:trPr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Dernière référence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E0651" w:rsidRPr="003F1438" w:rsidRDefault="00AE0651" w:rsidP="00B9093E">
            <w:pPr>
              <w:jc w:val="center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 xml:space="preserve">Documents 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État d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avancement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58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UPOV/INF</w:t>
            </w:r>
            <w:r w:rsidR="008418D4">
              <w:rPr>
                <w:sz w:val="18"/>
                <w:szCs w:val="18"/>
              </w:rPr>
              <w:t>-</w:t>
            </w:r>
            <w:proofErr w:type="spellStart"/>
            <w:r w:rsidRPr="003F1438">
              <w:rPr>
                <w:sz w:val="18"/>
                <w:szCs w:val="18"/>
              </w:rPr>
              <w:t>EXN</w:t>
            </w:r>
            <w:proofErr w:type="spellEnd"/>
          </w:p>
        </w:tc>
        <w:tc>
          <w:tcPr>
            <w:tcW w:w="480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Liste des documents 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r w:rsidR="008418D4">
              <w:rPr>
                <w:sz w:val="18"/>
                <w:szCs w:val="18"/>
                <w:lang w:val="fr-FR"/>
              </w:rPr>
              <w:t>-</w:t>
            </w:r>
            <w:r w:rsidRPr="003F1438">
              <w:rPr>
                <w:sz w:val="18"/>
                <w:szCs w:val="18"/>
                <w:lang w:val="fr-FR"/>
              </w:rPr>
              <w:t>EXN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 xml:space="preserve"> et date de la version la plus récente de ces documents</w:t>
            </w:r>
          </w:p>
        </w:tc>
        <w:tc>
          <w:tcPr>
            <w:tcW w:w="3920" w:type="dxa"/>
          </w:tcPr>
          <w:p w:rsidR="00777F9C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r w:rsidR="008418D4">
              <w:rPr>
                <w:sz w:val="18"/>
                <w:szCs w:val="18"/>
                <w:lang w:val="fr-FR"/>
              </w:rPr>
              <w:t>-</w:t>
            </w:r>
            <w:r w:rsidRPr="003F1438">
              <w:rPr>
                <w:sz w:val="18"/>
                <w:szCs w:val="18"/>
                <w:lang w:val="fr-FR"/>
              </w:rPr>
              <w:t>EXN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/12 </w:t>
            </w:r>
            <w:r w:rsidR="00777F9C" w:rsidRPr="003F1438">
              <w:rPr>
                <w:sz w:val="18"/>
                <w:szCs w:val="18"/>
                <w:lang w:val="fr-FR"/>
              </w:rPr>
              <w:t>adopté en novembre 2018</w:t>
            </w:r>
          </w:p>
          <w:p w:rsidR="00AE0651" w:rsidRPr="003F1438" w:rsidRDefault="00777F9C" w:rsidP="00777F9C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i/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i/>
                <w:sz w:val="18"/>
                <w:szCs w:val="18"/>
                <w:lang w:val="fr-FR"/>
              </w:rPr>
              <w:t>INF</w:t>
            </w:r>
            <w:r w:rsidR="008418D4">
              <w:rPr>
                <w:i/>
                <w:sz w:val="18"/>
                <w:szCs w:val="18"/>
                <w:lang w:val="fr-FR"/>
              </w:rPr>
              <w:t>-</w:t>
            </w:r>
            <w:r w:rsidRPr="003F1438">
              <w:rPr>
                <w:i/>
                <w:sz w:val="18"/>
                <w:szCs w:val="18"/>
                <w:lang w:val="fr-FR"/>
              </w:rPr>
              <w:t>EXN</w:t>
            </w:r>
            <w:proofErr w:type="spellEnd"/>
            <w:r w:rsidRPr="003F1438">
              <w:rPr>
                <w:i/>
                <w:sz w:val="18"/>
                <w:szCs w:val="18"/>
                <w:lang w:val="fr-FR"/>
              </w:rPr>
              <w:t xml:space="preserve">/13 </w:t>
            </w:r>
            <w:proofErr w:type="spellStart"/>
            <w:r w:rsidRPr="003F1438">
              <w:rPr>
                <w:i/>
                <w:sz w:val="18"/>
                <w:szCs w:val="18"/>
                <w:lang w:val="fr-FR"/>
              </w:rPr>
              <w:t>Draft</w:t>
            </w:r>
            <w:proofErr w:type="spellEnd"/>
            <w:r w:rsidR="003F1438">
              <w:rPr>
                <w:i/>
                <w:sz w:val="18"/>
                <w:szCs w:val="18"/>
                <w:lang w:val="fr-FR"/>
              </w:rPr>
              <w:t> </w:t>
            </w:r>
            <w:r w:rsidRPr="003F1438">
              <w:rPr>
                <w:i/>
                <w:sz w:val="18"/>
                <w:szCs w:val="18"/>
                <w:lang w:val="fr-FR"/>
              </w:rPr>
              <w:t>1</w:t>
            </w:r>
            <w:r w:rsidR="00AE0651" w:rsidRPr="003F1438">
              <w:rPr>
                <w:i/>
                <w:sz w:val="18"/>
                <w:szCs w:val="18"/>
                <w:lang w:val="fr-FR"/>
              </w:rPr>
              <w:t xml:space="preserve"> devant être examiné</w:t>
            </w:r>
            <w:r w:rsidR="001102E9">
              <w:rPr>
                <w:i/>
                <w:sz w:val="18"/>
                <w:szCs w:val="18"/>
                <w:lang w:val="fr-FR"/>
              </w:rPr>
              <w:t xml:space="preserve"> par le Conseil en novembre 2019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58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UPOV/INF/4</w:t>
            </w:r>
          </w:p>
        </w:tc>
        <w:tc>
          <w:tcPr>
            <w:tcW w:w="480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Règlement financier et règlement d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exécution du Règlement financier de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</w:tcPr>
          <w:p w:rsidR="00AE0651" w:rsidRPr="003F1438" w:rsidRDefault="00AE0651" w:rsidP="00A11D92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/4/5 </w:t>
            </w:r>
            <w:r w:rsidR="00777F9C" w:rsidRPr="003F1438">
              <w:rPr>
                <w:sz w:val="18"/>
                <w:szCs w:val="18"/>
                <w:lang w:val="fr-FR"/>
              </w:rPr>
              <w:t xml:space="preserve">adopté </w:t>
            </w:r>
            <w:r w:rsidRPr="003F1438">
              <w:rPr>
                <w:sz w:val="18"/>
                <w:szCs w:val="18"/>
                <w:lang w:val="fr-FR"/>
              </w:rPr>
              <w:t>en novembre 2018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58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UPOV/INF/5</w:t>
            </w:r>
          </w:p>
        </w:tc>
        <w:tc>
          <w:tcPr>
            <w:tcW w:w="480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Bulletin type de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UPOV de la protection des obtentions végétales</w:t>
            </w:r>
          </w:p>
        </w:tc>
        <w:tc>
          <w:tcPr>
            <w:tcW w:w="3920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/5 adopté en octobre 1979</w:t>
            </w:r>
          </w:p>
          <w:p w:rsidR="00AE0651" w:rsidRPr="003F1438" w:rsidRDefault="00AE0651" w:rsidP="00777F9C">
            <w:pPr>
              <w:jc w:val="left"/>
              <w:rPr>
                <w:i/>
                <w:sz w:val="18"/>
                <w:szCs w:val="18"/>
                <w:lang w:val="fr-FR"/>
              </w:rPr>
            </w:pPr>
            <w:r w:rsidRPr="003F1438">
              <w:rPr>
                <w:i/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i/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i/>
                <w:sz w:val="18"/>
                <w:szCs w:val="18"/>
                <w:lang w:val="fr-FR"/>
              </w:rPr>
              <w:t>/5/2 </w:t>
            </w:r>
            <w:proofErr w:type="spellStart"/>
            <w:r w:rsidRPr="003F1438">
              <w:rPr>
                <w:i/>
                <w:sz w:val="18"/>
                <w:szCs w:val="18"/>
                <w:lang w:val="fr-FR"/>
              </w:rPr>
              <w:t>Draft</w:t>
            </w:r>
            <w:proofErr w:type="spellEnd"/>
            <w:r w:rsidRPr="003F1438">
              <w:rPr>
                <w:i/>
                <w:sz w:val="18"/>
                <w:szCs w:val="18"/>
                <w:lang w:val="fr-FR"/>
              </w:rPr>
              <w:t> </w:t>
            </w:r>
            <w:r w:rsidR="00777F9C" w:rsidRPr="003F1438">
              <w:rPr>
                <w:i/>
                <w:sz w:val="18"/>
                <w:szCs w:val="18"/>
                <w:lang w:val="fr-FR"/>
              </w:rPr>
              <w:t>2</w:t>
            </w:r>
            <w:r w:rsidRPr="003F1438">
              <w:rPr>
                <w:i/>
                <w:sz w:val="18"/>
                <w:szCs w:val="18"/>
                <w:lang w:val="fr-FR"/>
              </w:rPr>
              <w:t xml:space="preserve"> devant être examiné par le C</w:t>
            </w:r>
            <w:r w:rsidR="00777F9C" w:rsidRPr="003F1438">
              <w:rPr>
                <w:i/>
                <w:sz w:val="18"/>
                <w:szCs w:val="18"/>
                <w:lang w:val="fr-FR"/>
              </w:rPr>
              <w:t>onseil en novembre 2019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58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UPOV/INF/6</w:t>
            </w:r>
          </w:p>
        </w:tc>
        <w:tc>
          <w:tcPr>
            <w:tcW w:w="480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Orientations générales en vue de la rédaction de lois fondées sur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 xml:space="preserve">Acte de 1991 de la </w:t>
            </w:r>
            <w:r w:rsidR="008418D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20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/6/5 adopté en avril 2017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58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UPOV/INF/7</w:t>
            </w:r>
          </w:p>
        </w:tc>
        <w:tc>
          <w:tcPr>
            <w:tcW w:w="480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Règlement intérieur du Conseil</w:t>
            </w:r>
          </w:p>
        </w:tc>
        <w:tc>
          <w:tcPr>
            <w:tcW w:w="3920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/7 adopté en octobre 1982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58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UPOV/INF/8</w:t>
            </w:r>
          </w:p>
        </w:tc>
        <w:tc>
          <w:tcPr>
            <w:tcW w:w="480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Accord entre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Organisation Mondiale de la Propriété Intellectuelle et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Union internationale pour la protection des obtentions végétales</w:t>
            </w:r>
          </w:p>
        </w:tc>
        <w:tc>
          <w:tcPr>
            <w:tcW w:w="3920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/8 signé en novembre 1982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58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UPOV/INF/9</w:t>
            </w:r>
          </w:p>
        </w:tc>
        <w:tc>
          <w:tcPr>
            <w:tcW w:w="480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Accord entre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3920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/9 signé en novembre 1983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58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UPOV/INF/10</w:t>
            </w:r>
          </w:p>
        </w:tc>
        <w:tc>
          <w:tcPr>
            <w:tcW w:w="480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Audit interne</w:t>
            </w:r>
          </w:p>
        </w:tc>
        <w:tc>
          <w:tcPr>
            <w:tcW w:w="3920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/10/1 adopté en octobre 2010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58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UPOV/INF/12</w:t>
            </w:r>
          </w:p>
        </w:tc>
        <w:tc>
          <w:tcPr>
            <w:tcW w:w="480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 xml:space="preserve">Notes explicatives concernant les dénominations variétales en vertu de la </w:t>
            </w:r>
            <w:r w:rsidR="008418D4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20" w:type="dxa"/>
          </w:tcPr>
          <w:p w:rsidR="00AE0651" w:rsidRPr="003F1438" w:rsidRDefault="00AE0651" w:rsidP="00B9093E">
            <w:pPr>
              <w:jc w:val="left"/>
              <w:rPr>
                <w:bCs/>
                <w:snapToGrid w:val="0"/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/12/5 adopté</w:t>
            </w:r>
            <w:r w:rsidRPr="003F1438">
              <w:rPr>
                <w:bCs/>
                <w:snapToGrid w:val="0"/>
                <w:sz w:val="18"/>
                <w:szCs w:val="18"/>
                <w:lang w:val="fr-FR"/>
              </w:rPr>
              <w:t xml:space="preserve"> en octobre 2015</w:t>
            </w:r>
          </w:p>
          <w:p w:rsidR="00AE0651" w:rsidRPr="003F1438" w:rsidRDefault="00AE0651" w:rsidP="00777F9C">
            <w:pPr>
              <w:jc w:val="left"/>
              <w:rPr>
                <w:spacing w:val="-2"/>
                <w:sz w:val="18"/>
                <w:szCs w:val="18"/>
                <w:lang w:val="fr-FR"/>
              </w:rPr>
            </w:pPr>
            <w:r w:rsidRPr="003F1438">
              <w:rPr>
                <w:i/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i/>
                <w:sz w:val="18"/>
                <w:szCs w:val="18"/>
                <w:lang w:val="fr-FR"/>
              </w:rPr>
              <w:t>EXN</w:t>
            </w:r>
            <w:proofErr w:type="spellEnd"/>
            <w:r w:rsidRPr="003F1438">
              <w:rPr>
                <w:i/>
                <w:sz w:val="18"/>
                <w:szCs w:val="18"/>
                <w:lang w:val="fr-FR"/>
              </w:rPr>
              <w:t>/DEN/1 </w:t>
            </w:r>
            <w:proofErr w:type="spellStart"/>
            <w:r w:rsidRPr="003F1438">
              <w:rPr>
                <w:i/>
                <w:sz w:val="18"/>
                <w:szCs w:val="18"/>
                <w:lang w:val="fr-FR"/>
              </w:rPr>
              <w:t>Draft</w:t>
            </w:r>
            <w:proofErr w:type="spellEnd"/>
            <w:r w:rsidRPr="003F1438">
              <w:rPr>
                <w:i/>
                <w:sz w:val="18"/>
                <w:szCs w:val="18"/>
                <w:lang w:val="fr-FR"/>
              </w:rPr>
              <w:t> </w:t>
            </w:r>
            <w:r w:rsidR="00777F9C" w:rsidRPr="003F1438">
              <w:rPr>
                <w:i/>
                <w:sz w:val="18"/>
                <w:szCs w:val="18"/>
                <w:lang w:val="fr-FR"/>
              </w:rPr>
              <w:t>2</w:t>
            </w:r>
            <w:r w:rsidRPr="003F1438">
              <w:rPr>
                <w:sz w:val="18"/>
                <w:szCs w:val="18"/>
                <w:lang w:val="fr-FR"/>
              </w:rPr>
              <w:t xml:space="preserve"> </w:t>
            </w:r>
            <w:r w:rsidRPr="003F1438">
              <w:rPr>
                <w:i/>
                <w:sz w:val="18"/>
                <w:szCs w:val="18"/>
                <w:lang w:val="fr-FR"/>
              </w:rPr>
              <w:t>devant être examiné par</w:t>
            </w:r>
            <w:r w:rsidR="008418D4" w:rsidRPr="003F1438">
              <w:rPr>
                <w:i/>
                <w:sz w:val="18"/>
                <w:szCs w:val="18"/>
                <w:lang w:val="fr-FR"/>
              </w:rPr>
              <w:t xml:space="preserve"> le</w:t>
            </w:r>
            <w:r w:rsidR="008418D4">
              <w:rPr>
                <w:i/>
                <w:sz w:val="18"/>
                <w:szCs w:val="18"/>
                <w:lang w:val="fr-FR"/>
              </w:rPr>
              <w:t> </w:t>
            </w:r>
            <w:proofErr w:type="spellStart"/>
            <w:r w:rsidR="008418D4" w:rsidRPr="003F1438">
              <w:rPr>
                <w:i/>
                <w:sz w:val="18"/>
                <w:szCs w:val="18"/>
                <w:lang w:val="fr-FR"/>
              </w:rPr>
              <w:t>CAJ</w:t>
            </w:r>
            <w:proofErr w:type="spellEnd"/>
            <w:r w:rsidR="00777F9C" w:rsidRPr="003F1438">
              <w:rPr>
                <w:i/>
                <w:sz w:val="18"/>
                <w:szCs w:val="18"/>
                <w:lang w:val="fr-FR"/>
              </w:rPr>
              <w:t xml:space="preserve"> </w:t>
            </w:r>
            <w:r w:rsidR="00777F9C" w:rsidRPr="003F1438">
              <w:rPr>
                <w:bCs/>
                <w:i/>
                <w:snapToGrid w:val="0"/>
                <w:sz w:val="18"/>
                <w:szCs w:val="18"/>
                <w:lang w:val="fr-FR"/>
              </w:rPr>
              <w:t>en octobre 2019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58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UPOV/INF/13</w:t>
            </w:r>
          </w:p>
        </w:tc>
        <w:tc>
          <w:tcPr>
            <w:tcW w:w="480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Document d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orientation concernant la procédure à suivre pour devenir membre de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/13/2 adopté en octobre 2017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58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UPOV/INF/14</w:t>
            </w:r>
          </w:p>
        </w:tc>
        <w:tc>
          <w:tcPr>
            <w:tcW w:w="480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Document d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orientation destiné aux membres de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UPOV concernant la procédure à suivre pour ratifier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 xml:space="preserve">Acte de 1991 de la </w:t>
            </w:r>
            <w:r w:rsidR="008418D4">
              <w:rPr>
                <w:sz w:val="18"/>
                <w:szCs w:val="18"/>
                <w:lang w:val="fr-FR"/>
              </w:rPr>
              <w:t>Convention UPOV</w:t>
            </w:r>
            <w:r w:rsidRPr="003F1438">
              <w:rPr>
                <w:sz w:val="18"/>
                <w:szCs w:val="18"/>
                <w:lang w:val="fr-FR"/>
              </w:rPr>
              <w:t xml:space="preserve"> ou y adhérer</w:t>
            </w:r>
          </w:p>
        </w:tc>
        <w:tc>
          <w:tcPr>
            <w:tcW w:w="3920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/14/1 adopté en octobre 2009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58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UPOV/INF/15</w:t>
            </w:r>
          </w:p>
        </w:tc>
        <w:tc>
          <w:tcPr>
            <w:tcW w:w="4807" w:type="dxa"/>
          </w:tcPr>
          <w:p w:rsidR="00AE0651" w:rsidRPr="003F1438" w:rsidRDefault="00AE0651" w:rsidP="00777F9C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Document d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orientation destiné aux membres de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="00777F9C" w:rsidRPr="003F1438">
              <w:rPr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 xml:space="preserve">/15/3 adopté en mars 2015 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58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UPOV/INF/16</w:t>
            </w:r>
          </w:p>
        </w:tc>
        <w:tc>
          <w:tcPr>
            <w:tcW w:w="480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Logiciels échangeables</w:t>
            </w:r>
          </w:p>
        </w:tc>
        <w:tc>
          <w:tcPr>
            <w:tcW w:w="3920" w:type="dxa"/>
          </w:tcPr>
          <w:p w:rsidR="00AE0651" w:rsidRPr="003F1438" w:rsidRDefault="00AE0651" w:rsidP="00777F9C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/16/8 </w:t>
            </w:r>
            <w:r w:rsidR="00777F9C" w:rsidRPr="003F1438">
              <w:rPr>
                <w:sz w:val="18"/>
                <w:szCs w:val="18"/>
                <w:lang w:val="fr-FR"/>
              </w:rPr>
              <w:t xml:space="preserve">adopté </w:t>
            </w:r>
            <w:r w:rsidRPr="003F1438">
              <w:rPr>
                <w:sz w:val="18"/>
                <w:szCs w:val="18"/>
                <w:lang w:val="fr-FR"/>
              </w:rPr>
              <w:t>en novembre 2018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58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UPOV/INF/17</w:t>
            </w:r>
          </w:p>
        </w:tc>
        <w:tc>
          <w:tcPr>
            <w:tcW w:w="480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Directives concernant les profils d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ADN</w:t>
            </w:r>
            <w:r w:rsidR="008418D4">
              <w:rPr>
                <w:sz w:val="18"/>
                <w:szCs w:val="18"/>
                <w:lang w:val="fr-FR"/>
              </w:rPr>
              <w:t> :</w:t>
            </w:r>
            <w:r w:rsidRPr="003F1438">
              <w:rPr>
                <w:sz w:val="18"/>
                <w:szCs w:val="18"/>
                <w:lang w:val="fr-FR"/>
              </w:rPr>
              <w:t xml:space="preserve"> choix des marqueurs moléculaires et construction d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 xml:space="preserve">une base de données y relative (“Directives 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BMT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”)</w:t>
            </w:r>
          </w:p>
        </w:tc>
        <w:tc>
          <w:tcPr>
            <w:tcW w:w="3920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/17/1 adopté en octobre 2010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58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UPOV/INF/18</w:t>
            </w:r>
          </w:p>
        </w:tc>
        <w:tc>
          <w:tcPr>
            <w:tcW w:w="480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Utilisation possible des marqueurs moléculaires dans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examen de la distinction, de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homogénéité et de la stabilité (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DHS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)</w:t>
            </w:r>
          </w:p>
        </w:tc>
        <w:tc>
          <w:tcPr>
            <w:tcW w:w="3920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/18/1 adopté en octobre 2011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58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UPOV/INF/19</w:t>
            </w:r>
          </w:p>
        </w:tc>
        <w:tc>
          <w:tcPr>
            <w:tcW w:w="480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Règles concernant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octroi à des États et à des organisations intergouvernementales ou des organisations internationales non gouvernementales du statut d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observateur auprès des organes de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</w:tcPr>
          <w:p w:rsidR="00AE0651" w:rsidRPr="003F1438" w:rsidRDefault="00AE0651" w:rsidP="00B9093E">
            <w:pPr>
              <w:jc w:val="left"/>
              <w:rPr>
                <w:iCs/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 xml:space="preserve">/19/1 </w:t>
            </w:r>
            <w:r w:rsidRPr="003F1438">
              <w:rPr>
                <w:iCs/>
                <w:sz w:val="18"/>
                <w:szCs w:val="18"/>
                <w:lang w:val="fr-FR"/>
              </w:rPr>
              <w:t>adopté en novembre 2012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58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UPOV/INF/20</w:t>
            </w:r>
          </w:p>
        </w:tc>
        <w:tc>
          <w:tcPr>
            <w:tcW w:w="480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Règles concernant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accès aux documents de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</w:tcPr>
          <w:p w:rsidR="00AE0651" w:rsidRPr="003F1438" w:rsidRDefault="00AE0651" w:rsidP="00B9093E">
            <w:pPr>
              <w:jc w:val="left"/>
              <w:rPr>
                <w:iCs/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 xml:space="preserve">/20/1 </w:t>
            </w:r>
            <w:r w:rsidRPr="003F1438">
              <w:rPr>
                <w:iCs/>
                <w:sz w:val="18"/>
                <w:szCs w:val="18"/>
                <w:lang w:val="fr-FR"/>
              </w:rPr>
              <w:t>adopté en novembre 2012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58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UPOV/INF/21</w:t>
            </w:r>
          </w:p>
        </w:tc>
        <w:tc>
          <w:tcPr>
            <w:tcW w:w="4807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Mécanismes extrajudiciaires de règlement des litiges</w:t>
            </w:r>
          </w:p>
        </w:tc>
        <w:tc>
          <w:tcPr>
            <w:tcW w:w="3920" w:type="dxa"/>
          </w:tcPr>
          <w:p w:rsidR="00AE0651" w:rsidRPr="003F1438" w:rsidRDefault="00AE0651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/21/1 adopté en novembre 2012</w:t>
            </w:r>
          </w:p>
        </w:tc>
      </w:tr>
      <w:tr w:rsidR="003F1438" w:rsidRPr="00A82455" w:rsidTr="00B9093E">
        <w:trPr>
          <w:cantSplit/>
          <w:jc w:val="center"/>
        </w:trPr>
        <w:tc>
          <w:tcPr>
            <w:tcW w:w="1758" w:type="dxa"/>
          </w:tcPr>
          <w:p w:rsidR="00AE0651" w:rsidRPr="003F1438" w:rsidRDefault="00AE0651" w:rsidP="00B9093E">
            <w:pPr>
              <w:rPr>
                <w:sz w:val="18"/>
                <w:szCs w:val="18"/>
              </w:rPr>
            </w:pPr>
            <w:r w:rsidRPr="003F1438">
              <w:rPr>
                <w:sz w:val="18"/>
                <w:szCs w:val="18"/>
              </w:rPr>
              <w:t>UPOV/INF/22</w:t>
            </w:r>
          </w:p>
        </w:tc>
        <w:tc>
          <w:tcPr>
            <w:tcW w:w="4807" w:type="dxa"/>
          </w:tcPr>
          <w:p w:rsidR="00AE0651" w:rsidRPr="003F1438" w:rsidRDefault="00AE0651" w:rsidP="00B9093E">
            <w:pPr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Logiciels et équipements utilisés par les membres de l</w:t>
            </w:r>
            <w:r w:rsidR="008418D4">
              <w:rPr>
                <w:sz w:val="18"/>
                <w:szCs w:val="18"/>
                <w:lang w:val="fr-FR"/>
              </w:rPr>
              <w:t>’</w:t>
            </w:r>
            <w:r w:rsidRPr="003F1438">
              <w:rPr>
                <w:sz w:val="18"/>
                <w:szCs w:val="18"/>
                <w:lang w:val="fr-FR"/>
              </w:rPr>
              <w:t>Union</w:t>
            </w:r>
          </w:p>
        </w:tc>
        <w:tc>
          <w:tcPr>
            <w:tcW w:w="3920" w:type="dxa"/>
          </w:tcPr>
          <w:p w:rsidR="00777F9C" w:rsidRPr="003F1438" w:rsidRDefault="00777F9C" w:rsidP="00B9093E">
            <w:pPr>
              <w:jc w:val="left"/>
              <w:rPr>
                <w:sz w:val="18"/>
                <w:szCs w:val="18"/>
                <w:lang w:val="fr-FR"/>
              </w:rPr>
            </w:pPr>
            <w:r w:rsidRPr="003F1438">
              <w:rPr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sz w:val="18"/>
                <w:szCs w:val="18"/>
                <w:lang w:val="fr-FR"/>
              </w:rPr>
              <w:t>/22/5 adopté en novembre 2018</w:t>
            </w:r>
          </w:p>
          <w:p w:rsidR="00AE0651" w:rsidRPr="003F1438" w:rsidRDefault="00AE0651" w:rsidP="00777F9C">
            <w:pPr>
              <w:jc w:val="left"/>
              <w:rPr>
                <w:i/>
                <w:sz w:val="18"/>
                <w:szCs w:val="18"/>
                <w:lang w:val="fr-FR"/>
              </w:rPr>
            </w:pPr>
            <w:r w:rsidRPr="003F1438">
              <w:rPr>
                <w:i/>
                <w:sz w:val="18"/>
                <w:szCs w:val="18"/>
                <w:lang w:val="fr-FR"/>
              </w:rPr>
              <w:t>UPOV/</w:t>
            </w:r>
            <w:proofErr w:type="spellStart"/>
            <w:r w:rsidRPr="003F1438">
              <w:rPr>
                <w:i/>
                <w:sz w:val="18"/>
                <w:szCs w:val="18"/>
                <w:lang w:val="fr-FR"/>
              </w:rPr>
              <w:t>INF</w:t>
            </w:r>
            <w:proofErr w:type="spellEnd"/>
            <w:r w:rsidRPr="003F1438">
              <w:rPr>
                <w:i/>
                <w:sz w:val="18"/>
                <w:szCs w:val="18"/>
                <w:lang w:val="fr-FR"/>
              </w:rPr>
              <w:t>/22/</w:t>
            </w:r>
            <w:r w:rsidR="00777F9C" w:rsidRPr="003F1438">
              <w:rPr>
                <w:i/>
                <w:sz w:val="18"/>
                <w:szCs w:val="18"/>
                <w:lang w:val="fr-FR"/>
              </w:rPr>
              <w:t>6</w:t>
            </w:r>
            <w:r w:rsidRPr="003F1438">
              <w:rPr>
                <w:i/>
                <w:sz w:val="18"/>
                <w:szCs w:val="18"/>
                <w:lang w:val="fr-FR"/>
              </w:rPr>
              <w:t> </w:t>
            </w:r>
            <w:proofErr w:type="spellStart"/>
            <w:r w:rsidRPr="003F1438">
              <w:rPr>
                <w:i/>
                <w:sz w:val="18"/>
                <w:szCs w:val="18"/>
                <w:lang w:val="fr-FR"/>
              </w:rPr>
              <w:t>Draft</w:t>
            </w:r>
            <w:proofErr w:type="spellEnd"/>
            <w:r w:rsidRPr="003F1438">
              <w:rPr>
                <w:i/>
                <w:sz w:val="18"/>
                <w:szCs w:val="18"/>
                <w:lang w:val="fr-FR"/>
              </w:rPr>
              <w:t> 1 devant être examiné par le </w:t>
            </w:r>
            <w:proofErr w:type="spellStart"/>
            <w:r w:rsidRPr="003F1438">
              <w:rPr>
                <w:i/>
                <w:sz w:val="18"/>
                <w:szCs w:val="18"/>
                <w:lang w:val="fr-FR"/>
              </w:rPr>
              <w:t>CAJ</w:t>
            </w:r>
            <w:proofErr w:type="spellEnd"/>
            <w:r w:rsidRPr="003F1438">
              <w:rPr>
                <w:i/>
                <w:sz w:val="18"/>
                <w:szCs w:val="18"/>
                <w:lang w:val="fr-FR"/>
              </w:rPr>
              <w:t xml:space="preserve"> et le Conseil en novembre 201</w:t>
            </w:r>
            <w:r w:rsidR="00777F9C" w:rsidRPr="003F1438">
              <w:rPr>
                <w:i/>
                <w:sz w:val="18"/>
                <w:szCs w:val="18"/>
                <w:lang w:val="fr-FR"/>
              </w:rPr>
              <w:t>9</w:t>
            </w:r>
          </w:p>
        </w:tc>
      </w:tr>
    </w:tbl>
    <w:p w:rsidR="00AE0651" w:rsidRPr="003F1438" w:rsidRDefault="00AE0651" w:rsidP="00AE0651">
      <w:pPr>
        <w:rPr>
          <w:lang w:val="fr-FR"/>
        </w:rPr>
      </w:pPr>
    </w:p>
    <w:p w:rsidR="00AE0651" w:rsidRDefault="00AE0651" w:rsidP="00AE0651">
      <w:pPr>
        <w:rPr>
          <w:lang w:val="fr-FR"/>
        </w:rPr>
      </w:pPr>
    </w:p>
    <w:p w:rsidR="00227172" w:rsidRPr="003F1438" w:rsidRDefault="00227172" w:rsidP="00AE0651">
      <w:pPr>
        <w:rPr>
          <w:lang w:val="fr-FR"/>
        </w:rPr>
      </w:pPr>
    </w:p>
    <w:p w:rsidR="00AE0651" w:rsidRPr="003F1438" w:rsidRDefault="00AE0651" w:rsidP="00AE0651">
      <w:pPr>
        <w:jc w:val="right"/>
        <w:rPr>
          <w:lang w:val="fr-FR"/>
        </w:rPr>
      </w:pPr>
      <w:r w:rsidRPr="003F1438">
        <w:rPr>
          <w:lang w:val="fr-FR"/>
        </w:rPr>
        <w:t>[Fin de l</w:t>
      </w:r>
      <w:r w:rsidR="008418D4">
        <w:rPr>
          <w:lang w:val="fr-FR"/>
        </w:rPr>
        <w:t>’</w:t>
      </w:r>
      <w:r w:rsidRPr="003F1438">
        <w:rPr>
          <w:lang w:val="fr-FR"/>
        </w:rPr>
        <w:t>annexe et du document]</w:t>
      </w:r>
    </w:p>
    <w:p w:rsidR="00AE0651" w:rsidRPr="003F1438" w:rsidRDefault="00AE0651" w:rsidP="00ED4336">
      <w:pPr>
        <w:jc w:val="left"/>
        <w:rPr>
          <w:lang w:val="fr-FR"/>
        </w:rPr>
      </w:pPr>
    </w:p>
    <w:p w:rsidR="00AE0651" w:rsidRPr="003F1438" w:rsidRDefault="00AE0651" w:rsidP="00ED4336">
      <w:pPr>
        <w:jc w:val="left"/>
        <w:rPr>
          <w:lang w:val="fr-CH"/>
        </w:rPr>
      </w:pPr>
    </w:p>
    <w:p w:rsidR="00AE0651" w:rsidRPr="003F1438" w:rsidRDefault="00AE0651" w:rsidP="00ED4336">
      <w:pPr>
        <w:jc w:val="left"/>
        <w:rPr>
          <w:lang w:val="fr-CH"/>
        </w:rPr>
      </w:pPr>
    </w:p>
    <w:p w:rsidR="00ED4336" w:rsidRPr="003F1438" w:rsidRDefault="00ED4336" w:rsidP="00ED4336">
      <w:pPr>
        <w:jc w:val="left"/>
        <w:rPr>
          <w:lang w:val="fr-CH"/>
        </w:rPr>
      </w:pPr>
    </w:p>
    <w:sectPr w:rsidR="00ED4336" w:rsidRPr="003F1438" w:rsidSect="009C5CAF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C9" w:rsidRDefault="00676DC9" w:rsidP="006655D3">
      <w:r>
        <w:separator/>
      </w:r>
    </w:p>
    <w:p w:rsidR="00676DC9" w:rsidRDefault="00676DC9" w:rsidP="006655D3"/>
    <w:p w:rsidR="00676DC9" w:rsidRDefault="00676DC9" w:rsidP="006655D3"/>
  </w:endnote>
  <w:endnote w:type="continuationSeparator" w:id="0">
    <w:p w:rsidR="00676DC9" w:rsidRDefault="00676DC9" w:rsidP="006655D3">
      <w:r>
        <w:separator/>
      </w:r>
    </w:p>
    <w:p w:rsidR="00676DC9" w:rsidRPr="00294751" w:rsidRDefault="00676DC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76DC9" w:rsidRPr="00294751" w:rsidRDefault="00676DC9" w:rsidP="006655D3">
      <w:pPr>
        <w:rPr>
          <w:lang w:val="fr-FR"/>
        </w:rPr>
      </w:pPr>
    </w:p>
    <w:p w:rsidR="00676DC9" w:rsidRPr="00294751" w:rsidRDefault="00676DC9" w:rsidP="006655D3">
      <w:pPr>
        <w:rPr>
          <w:lang w:val="fr-FR"/>
        </w:rPr>
      </w:pPr>
    </w:p>
  </w:endnote>
  <w:endnote w:type="continuationNotice" w:id="1">
    <w:p w:rsidR="00676DC9" w:rsidRPr="00294751" w:rsidRDefault="00676DC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76DC9" w:rsidRPr="00294751" w:rsidRDefault="00676DC9" w:rsidP="006655D3">
      <w:pPr>
        <w:rPr>
          <w:lang w:val="fr-FR"/>
        </w:rPr>
      </w:pPr>
    </w:p>
    <w:p w:rsidR="00676DC9" w:rsidRPr="00294751" w:rsidRDefault="00676DC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C9" w:rsidRDefault="00676DC9" w:rsidP="006655D3">
      <w:r>
        <w:separator/>
      </w:r>
    </w:p>
  </w:footnote>
  <w:footnote w:type="continuationSeparator" w:id="0">
    <w:p w:rsidR="00676DC9" w:rsidRDefault="00676DC9" w:rsidP="006655D3">
      <w:r>
        <w:separator/>
      </w:r>
    </w:p>
  </w:footnote>
  <w:footnote w:type="continuationNotice" w:id="1">
    <w:p w:rsidR="00676DC9" w:rsidRPr="00AB530F" w:rsidRDefault="00676DC9" w:rsidP="00AB530F">
      <w:pPr>
        <w:pStyle w:val="Footer"/>
      </w:pPr>
    </w:p>
  </w:footnote>
  <w:footnote w:id="2">
    <w:p w:rsidR="009203A9" w:rsidRPr="00BE481E" w:rsidRDefault="009203A9" w:rsidP="009203A9">
      <w:pPr>
        <w:pStyle w:val="FootnoteText"/>
        <w:rPr>
          <w:lang w:val="fr-FR"/>
        </w:rPr>
      </w:pPr>
      <w:r w:rsidRPr="00BE481E">
        <w:rPr>
          <w:rStyle w:val="FootnoteReference"/>
          <w:szCs w:val="16"/>
        </w:rPr>
        <w:footnoteRef/>
      </w:r>
      <w:r w:rsidRPr="00BE481E">
        <w:rPr>
          <w:lang w:val="fr-FR"/>
        </w:rPr>
        <w:t xml:space="preserve"> </w:t>
      </w:r>
      <w:r w:rsidRPr="00BE481E">
        <w:rPr>
          <w:lang w:val="fr-FR"/>
        </w:rPr>
        <w:tab/>
        <w:t>Tenue à Genève le 24 octobre 2005.</w:t>
      </w:r>
    </w:p>
  </w:footnote>
  <w:footnote w:id="3">
    <w:p w:rsidR="009203A9" w:rsidRPr="00BE481E" w:rsidRDefault="009203A9" w:rsidP="009203A9">
      <w:pPr>
        <w:pStyle w:val="FootnoteText"/>
        <w:rPr>
          <w:lang w:val="fr-FR"/>
        </w:rPr>
      </w:pPr>
      <w:r w:rsidRPr="00BE481E">
        <w:rPr>
          <w:rStyle w:val="FootnoteReference"/>
          <w:szCs w:val="16"/>
        </w:rPr>
        <w:footnoteRef/>
      </w:r>
      <w:r w:rsidRPr="00BE481E">
        <w:rPr>
          <w:lang w:val="fr-FR"/>
        </w:rPr>
        <w:t xml:space="preserve"> </w:t>
      </w:r>
      <w:r w:rsidRPr="00BE481E">
        <w:rPr>
          <w:lang w:val="fr-FR"/>
        </w:rPr>
        <w:tab/>
        <w:t>Voir les paragraphes 8 à 10 du document </w:t>
      </w:r>
      <w:hyperlink r:id="rId1" w:history="1">
        <w:proofErr w:type="spellStart"/>
        <w:r w:rsidR="00327DF6" w:rsidRPr="00327DF6">
          <w:rPr>
            <w:rStyle w:val="Hyperlink"/>
            <w:lang w:val="fr-CH"/>
          </w:rPr>
          <w:t>CAJ</w:t>
        </w:r>
        <w:proofErr w:type="spellEnd"/>
        <w:r w:rsidR="00327DF6" w:rsidRPr="00327DF6">
          <w:rPr>
            <w:rStyle w:val="Hyperlink"/>
            <w:lang w:val="fr-CH"/>
          </w:rPr>
          <w:t>/52/4</w:t>
        </w:r>
      </w:hyperlink>
      <w:r w:rsidR="00327DF6">
        <w:rPr>
          <w:lang w:val="fr-FR"/>
        </w:rPr>
        <w:t xml:space="preserve"> </w:t>
      </w:r>
      <w:r w:rsidRPr="00BE481E">
        <w:rPr>
          <w:lang w:val="fr-FR"/>
        </w:rPr>
        <w:t>“Méthode d</w:t>
      </w:r>
      <w:r w:rsidR="006D5EF9">
        <w:rPr>
          <w:lang w:val="fr-FR"/>
        </w:rPr>
        <w:t>’</w:t>
      </w:r>
      <w:r w:rsidRPr="00BE481E">
        <w:rPr>
          <w:lang w:val="fr-FR"/>
        </w:rPr>
        <w:t>élaboration de matériels d</w:t>
      </w:r>
      <w:r w:rsidR="006D5EF9">
        <w:rPr>
          <w:lang w:val="fr-FR"/>
        </w:rPr>
        <w:t>’</w:t>
      </w:r>
      <w:r w:rsidRPr="00BE481E">
        <w:rPr>
          <w:lang w:val="fr-FR"/>
        </w:rPr>
        <w:t>information concernant l</w:t>
      </w:r>
      <w:r w:rsidR="006D5EF9">
        <w:rPr>
          <w:lang w:val="fr-FR"/>
        </w:rPr>
        <w:t>’</w:t>
      </w:r>
      <w:r w:rsidRPr="00BE481E">
        <w:rPr>
          <w:lang w:val="fr-FR"/>
        </w:rPr>
        <w:t xml:space="preserve">Acte de 1991 de la </w:t>
      </w:r>
      <w:r w:rsidR="006D5EF9">
        <w:rPr>
          <w:lang w:val="fr-FR"/>
        </w:rPr>
        <w:t>Convention UPOV</w:t>
      </w:r>
      <w:r w:rsidRPr="00BE481E">
        <w:rPr>
          <w:lang w:val="fr-FR"/>
        </w:rPr>
        <w:t>”.</w:t>
      </w:r>
    </w:p>
  </w:footnote>
  <w:footnote w:id="4">
    <w:p w:rsidR="009203A9" w:rsidRPr="00BE481E" w:rsidRDefault="009203A9" w:rsidP="009203A9">
      <w:pPr>
        <w:pStyle w:val="FootnoteText"/>
        <w:rPr>
          <w:lang w:val="fr-FR"/>
        </w:rPr>
      </w:pPr>
      <w:r w:rsidRPr="00BE481E">
        <w:rPr>
          <w:rStyle w:val="FootnoteReference"/>
          <w:szCs w:val="16"/>
        </w:rPr>
        <w:footnoteRef/>
      </w:r>
      <w:r w:rsidRPr="00BE481E">
        <w:rPr>
          <w:lang w:val="fr-FR"/>
        </w:rPr>
        <w:t xml:space="preserve"> </w:t>
      </w:r>
      <w:r w:rsidRPr="00BE481E">
        <w:rPr>
          <w:lang w:val="fr-FR"/>
        </w:rPr>
        <w:tab/>
        <w:t>Voir les paragraphes 11 à 14 du document </w:t>
      </w:r>
      <w:proofErr w:type="spellStart"/>
      <w:r w:rsidR="00327DF6">
        <w:rPr>
          <w:lang w:val="fr-FR"/>
        </w:rPr>
        <w:fldChar w:fldCharType="begin"/>
      </w:r>
      <w:r w:rsidR="00327DF6">
        <w:rPr>
          <w:lang w:val="fr-FR"/>
        </w:rPr>
        <w:instrText xml:space="preserve"> HYPERLINK "https://www.upov.int/meetings/fr/details.jsp?meeting_id=8907" </w:instrText>
      </w:r>
      <w:r w:rsidR="00327DF6">
        <w:rPr>
          <w:lang w:val="fr-FR"/>
        </w:rPr>
        <w:fldChar w:fldCharType="separate"/>
      </w:r>
      <w:r w:rsidRPr="00327DF6">
        <w:rPr>
          <w:rStyle w:val="Hyperlink"/>
          <w:lang w:val="fr-FR"/>
        </w:rPr>
        <w:t>CAJ</w:t>
      </w:r>
      <w:proofErr w:type="spellEnd"/>
      <w:r w:rsidRPr="00327DF6">
        <w:rPr>
          <w:rStyle w:val="Hyperlink"/>
          <w:lang w:val="fr-FR"/>
        </w:rPr>
        <w:t>/52/4</w:t>
      </w:r>
      <w:r w:rsidR="00327DF6">
        <w:rPr>
          <w:lang w:val="fr-FR"/>
        </w:rPr>
        <w:fldChar w:fldCharType="end"/>
      </w:r>
      <w:r w:rsidRPr="00BE481E">
        <w:rPr>
          <w:lang w:val="fr-FR"/>
        </w:rPr>
        <w:t xml:space="preserve"> et le paragraphe 67 du document </w:t>
      </w:r>
      <w:proofErr w:type="spellStart"/>
      <w:r w:rsidR="00053988">
        <w:rPr>
          <w:lang w:val="fr-FR"/>
        </w:rPr>
        <w:fldChar w:fldCharType="begin"/>
      </w:r>
      <w:r w:rsidR="00053988">
        <w:rPr>
          <w:lang w:val="fr-FR"/>
        </w:rPr>
        <w:instrText xml:space="preserve"> HYPERLINK "https://www.upov.int/meetings/fr/details.jsp?meeting_id=8907" </w:instrText>
      </w:r>
      <w:r w:rsidR="00053988">
        <w:rPr>
          <w:lang w:val="fr-FR"/>
        </w:rPr>
        <w:fldChar w:fldCharType="separate"/>
      </w:r>
      <w:r w:rsidRPr="00053988">
        <w:rPr>
          <w:rStyle w:val="Hyperlink"/>
          <w:lang w:val="fr-FR"/>
        </w:rPr>
        <w:t>CAJ</w:t>
      </w:r>
      <w:proofErr w:type="spellEnd"/>
      <w:r w:rsidRPr="00053988">
        <w:rPr>
          <w:rStyle w:val="Hyperlink"/>
          <w:lang w:val="fr-FR"/>
        </w:rPr>
        <w:t>/52/5</w:t>
      </w:r>
      <w:r w:rsidR="00053988">
        <w:rPr>
          <w:lang w:val="fr-FR"/>
        </w:rPr>
        <w:fldChar w:fldCharType="end"/>
      </w:r>
      <w:r w:rsidR="00053988">
        <w:rPr>
          <w:lang w:val="fr-FR"/>
        </w:rPr>
        <w:t xml:space="preserve"> </w:t>
      </w:r>
      <w:r w:rsidRPr="00BE481E">
        <w:rPr>
          <w:lang w:val="fr-FR"/>
        </w:rPr>
        <w:t>“Compte rendu”.</w:t>
      </w:r>
    </w:p>
  </w:footnote>
  <w:footnote w:id="5">
    <w:p w:rsidR="009203A9" w:rsidRPr="00BE481E" w:rsidRDefault="009203A9" w:rsidP="009203A9">
      <w:pPr>
        <w:pStyle w:val="FootnoteText"/>
        <w:rPr>
          <w:lang w:val="fr-FR"/>
        </w:rPr>
      </w:pPr>
      <w:r w:rsidRPr="00BE481E">
        <w:rPr>
          <w:rStyle w:val="FootnoteReference"/>
          <w:szCs w:val="16"/>
        </w:rPr>
        <w:footnoteRef/>
      </w:r>
      <w:r w:rsidRPr="00BE481E">
        <w:rPr>
          <w:lang w:val="fr-FR"/>
        </w:rPr>
        <w:t xml:space="preserve"> </w:t>
      </w:r>
      <w:r w:rsidRPr="00BE481E">
        <w:rPr>
          <w:lang w:val="fr-FR"/>
        </w:rPr>
        <w:tab/>
        <w:t>Tenue à Genève le 13 octobre 2014.</w:t>
      </w:r>
    </w:p>
  </w:footnote>
  <w:footnote w:id="6">
    <w:p w:rsidR="009203A9" w:rsidRPr="00BE481E" w:rsidRDefault="009203A9" w:rsidP="009203A9">
      <w:pPr>
        <w:pStyle w:val="FootnoteText"/>
        <w:rPr>
          <w:lang w:val="fr-FR"/>
        </w:rPr>
      </w:pPr>
      <w:r w:rsidRPr="00BE481E">
        <w:rPr>
          <w:rStyle w:val="FootnoteReference"/>
          <w:szCs w:val="16"/>
        </w:rPr>
        <w:footnoteRef/>
      </w:r>
      <w:r w:rsidRPr="00BE481E">
        <w:rPr>
          <w:lang w:val="fr-FR"/>
        </w:rPr>
        <w:t xml:space="preserve"> </w:t>
      </w:r>
      <w:r w:rsidRPr="00BE481E">
        <w:rPr>
          <w:lang w:val="fr-FR"/>
        </w:rPr>
        <w:tab/>
        <w:t>Tenue à Genève les 14 et 17 octobre 2014.</w:t>
      </w:r>
    </w:p>
  </w:footnote>
  <w:footnote w:id="7">
    <w:p w:rsidR="009203A9" w:rsidRPr="00BE481E" w:rsidRDefault="009203A9" w:rsidP="009203A9">
      <w:pPr>
        <w:pStyle w:val="FootnoteText"/>
        <w:rPr>
          <w:lang w:val="fr-FR"/>
        </w:rPr>
      </w:pPr>
      <w:r w:rsidRPr="00BE481E">
        <w:rPr>
          <w:rStyle w:val="FootnoteReference"/>
          <w:szCs w:val="16"/>
        </w:rPr>
        <w:footnoteRef/>
      </w:r>
      <w:r w:rsidRPr="00BE481E">
        <w:rPr>
          <w:lang w:val="fr-FR"/>
        </w:rPr>
        <w:t xml:space="preserve"> </w:t>
      </w:r>
      <w:r w:rsidRPr="00BE481E">
        <w:rPr>
          <w:lang w:val="fr-FR"/>
        </w:rPr>
        <w:tab/>
        <w:t>Voir les paragraphes 38 à 41 du document </w:t>
      </w:r>
      <w:proofErr w:type="spellStart"/>
      <w:r w:rsidR="00327DF6">
        <w:rPr>
          <w:lang w:val="fr-FR"/>
        </w:rPr>
        <w:fldChar w:fldCharType="begin"/>
      </w:r>
      <w:r w:rsidR="00327DF6">
        <w:rPr>
          <w:lang w:val="fr-FR"/>
        </w:rPr>
        <w:instrText xml:space="preserve"> HYPERLINK "https://www.upov.int/meetings/fr/details.jsp?meeting_id=33387" </w:instrText>
      </w:r>
      <w:r w:rsidR="00327DF6">
        <w:rPr>
          <w:lang w:val="fr-FR"/>
        </w:rPr>
        <w:fldChar w:fldCharType="separate"/>
      </w:r>
      <w:r w:rsidRPr="00327DF6">
        <w:rPr>
          <w:rStyle w:val="Hyperlink"/>
          <w:lang w:val="fr-FR"/>
        </w:rPr>
        <w:t>CAJ</w:t>
      </w:r>
      <w:proofErr w:type="spellEnd"/>
      <w:r w:rsidRPr="00327DF6">
        <w:rPr>
          <w:rStyle w:val="Hyperlink"/>
          <w:lang w:val="fr-FR"/>
        </w:rPr>
        <w:t>/70/10</w:t>
      </w:r>
      <w:r w:rsidR="00327DF6">
        <w:rPr>
          <w:lang w:val="fr-FR"/>
        </w:rPr>
        <w:fldChar w:fldCharType="end"/>
      </w:r>
      <w:r w:rsidRPr="00BE481E">
        <w:rPr>
          <w:lang w:val="fr-FR"/>
        </w:rPr>
        <w:t xml:space="preserve"> “Compte rendu des conclusions”.</w:t>
      </w:r>
    </w:p>
  </w:footnote>
  <w:footnote w:id="8">
    <w:p w:rsidR="00AE0651" w:rsidRPr="00BE481E" w:rsidRDefault="00AE0651" w:rsidP="00AE0651">
      <w:pPr>
        <w:pStyle w:val="FootnoteText"/>
        <w:rPr>
          <w:lang w:val="fr-CH"/>
        </w:rPr>
      </w:pPr>
      <w:r w:rsidRPr="00BE481E">
        <w:rPr>
          <w:rStyle w:val="FootnoteReference"/>
        </w:rPr>
        <w:footnoteRef/>
      </w:r>
      <w:r w:rsidRPr="00BE481E">
        <w:rPr>
          <w:lang w:val="fr-CH"/>
        </w:rPr>
        <w:t xml:space="preserve"> </w:t>
      </w:r>
      <w:r w:rsidRPr="00BE481E">
        <w:rPr>
          <w:lang w:val="fr-CH"/>
        </w:rPr>
        <w:tab/>
        <w:t>Tenue à Genève le 31</w:t>
      </w:r>
      <w:r w:rsidR="003F1438" w:rsidRPr="00BE481E">
        <w:rPr>
          <w:lang w:val="fr-CH"/>
        </w:rPr>
        <w:t> </w:t>
      </w:r>
      <w:r w:rsidRPr="00BE481E">
        <w:rPr>
          <w:lang w:val="fr-CH"/>
        </w:rPr>
        <w:t>octobre</w:t>
      </w:r>
      <w:r w:rsidR="003F1438" w:rsidRPr="00BE481E">
        <w:rPr>
          <w:lang w:val="fr-CH"/>
        </w:rPr>
        <w:t> </w:t>
      </w:r>
      <w:r w:rsidRPr="00BE481E">
        <w:rPr>
          <w:lang w:val="fr-CH"/>
        </w:rPr>
        <w:t>2018.</w:t>
      </w:r>
    </w:p>
  </w:footnote>
  <w:footnote w:id="9">
    <w:p w:rsidR="00AE0651" w:rsidRPr="00BE481E" w:rsidRDefault="00AE0651" w:rsidP="00AE0651">
      <w:pPr>
        <w:pStyle w:val="FootnoteText"/>
        <w:rPr>
          <w:lang w:val="fr-CH"/>
        </w:rPr>
      </w:pPr>
      <w:r w:rsidRPr="00BE481E">
        <w:rPr>
          <w:rStyle w:val="FootnoteReference"/>
        </w:rPr>
        <w:footnoteRef/>
      </w:r>
      <w:r w:rsidRPr="00BE481E">
        <w:rPr>
          <w:lang w:val="fr-CH"/>
        </w:rPr>
        <w:t xml:space="preserve"> </w:t>
      </w:r>
      <w:r w:rsidRPr="00BE481E">
        <w:rPr>
          <w:lang w:val="fr-CH"/>
        </w:rPr>
        <w:tab/>
      </w:r>
      <w:bookmarkStart w:id="10" w:name="notebasdepage8"/>
      <w:bookmarkEnd w:id="10"/>
      <w:r w:rsidRPr="00BE481E">
        <w:rPr>
          <w:lang w:val="fr-CH"/>
        </w:rPr>
        <w:t>Prévue à Genève le 30</w:t>
      </w:r>
      <w:r w:rsidR="003F1438" w:rsidRPr="00BE481E">
        <w:rPr>
          <w:lang w:val="fr-CH"/>
        </w:rPr>
        <w:t> </w:t>
      </w:r>
      <w:r w:rsidRPr="00BE481E">
        <w:rPr>
          <w:lang w:val="fr-CH"/>
        </w:rPr>
        <w:t>octobre</w:t>
      </w:r>
      <w:r w:rsidR="003F1438" w:rsidRPr="00BE481E">
        <w:rPr>
          <w:lang w:val="fr-CH"/>
        </w:rPr>
        <w:t> </w:t>
      </w:r>
      <w:r w:rsidRPr="00BE481E">
        <w:rPr>
          <w:lang w:val="fr-CH"/>
        </w:rPr>
        <w:t>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A0" w:rsidRPr="00C5280D" w:rsidRDefault="001E4FA0" w:rsidP="001E4FA0">
    <w:pPr>
      <w:pStyle w:val="Header"/>
      <w:rPr>
        <w:rStyle w:val="PageNumber"/>
        <w:lang w:val="en-US"/>
      </w:rPr>
    </w:pPr>
    <w:proofErr w:type="spellStart"/>
    <w:r>
      <w:rPr>
        <w:rStyle w:val="PageNumber"/>
        <w:lang w:val="en-US"/>
      </w:rPr>
      <w:t>CAJ</w:t>
    </w:r>
    <w:proofErr w:type="spellEnd"/>
    <w:r>
      <w:rPr>
        <w:rStyle w:val="PageNumber"/>
        <w:lang w:val="en-US"/>
      </w:rPr>
      <w:t>/76/4</w:t>
    </w:r>
  </w:p>
  <w:p w:rsidR="001E4FA0" w:rsidRPr="00C5280D" w:rsidRDefault="001E4FA0" w:rsidP="001E4FA0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A5B34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ED4336" w:rsidRPr="00C5280D" w:rsidRDefault="00ED4336" w:rsidP="00906B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CAF" w:rsidRPr="00C5280D" w:rsidRDefault="009C5CAF" w:rsidP="009C5CAF">
    <w:pPr>
      <w:pStyle w:val="Header"/>
      <w:rPr>
        <w:rStyle w:val="PageNumber"/>
        <w:lang w:val="en-US"/>
      </w:rPr>
    </w:pPr>
    <w:proofErr w:type="spellStart"/>
    <w:r>
      <w:rPr>
        <w:rStyle w:val="PageNumber"/>
        <w:lang w:val="en-US"/>
      </w:rPr>
      <w:t>CAJ</w:t>
    </w:r>
    <w:proofErr w:type="spellEnd"/>
    <w:r>
      <w:rPr>
        <w:rStyle w:val="PageNumber"/>
        <w:lang w:val="en-US"/>
      </w:rPr>
      <w:t>/76/4</w:t>
    </w:r>
  </w:p>
  <w:p w:rsidR="009C5CAF" w:rsidRPr="00C5280D" w:rsidRDefault="009C5CAF" w:rsidP="009C5CAF">
    <w:pPr>
      <w:pStyle w:val="Header"/>
      <w:rPr>
        <w:lang w:val="en-US"/>
      </w:rPr>
    </w:pPr>
    <w:proofErr w:type="spellStart"/>
    <w:r>
      <w:rPr>
        <w:lang w:val="en-US"/>
      </w:rPr>
      <w:t>Annex</w:t>
    </w:r>
    <w:r w:rsidR="00714FAF">
      <w:rPr>
        <w:lang w:val="en-US"/>
      </w:rPr>
      <w:t>e</w:t>
    </w:r>
    <w:proofErr w:type="spellEnd"/>
    <w:r>
      <w:rPr>
        <w:lang w:val="en-US"/>
      </w:rPr>
      <w:t xml:space="preserve">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A5B3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Default="00182B99" w:rsidP="009C5CAF">
    <w:pPr>
      <w:jc w:val="center"/>
    </w:pPr>
  </w:p>
  <w:p w:rsidR="00714FAF" w:rsidRPr="00C5280D" w:rsidRDefault="00714FAF" w:rsidP="009C5CA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309C6"/>
    <w:multiLevelType w:val="hybridMultilevel"/>
    <w:tmpl w:val="546044F2"/>
    <w:lvl w:ilvl="0" w:tplc="3132AA86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4DE33CB8"/>
    <w:multiLevelType w:val="hybridMultilevel"/>
    <w:tmpl w:val="786AFC40"/>
    <w:lvl w:ilvl="0" w:tplc="83D892F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273BB"/>
    <w:multiLevelType w:val="hybridMultilevel"/>
    <w:tmpl w:val="4956DB84"/>
    <w:lvl w:ilvl="0" w:tplc="E990ED32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CB2272"/>
    <w:rsid w:val="00010CF3"/>
    <w:rsid w:val="00011E27"/>
    <w:rsid w:val="000148BC"/>
    <w:rsid w:val="00024AB8"/>
    <w:rsid w:val="00025EB1"/>
    <w:rsid w:val="00030854"/>
    <w:rsid w:val="00036028"/>
    <w:rsid w:val="00043D56"/>
    <w:rsid w:val="00044642"/>
    <w:rsid w:val="000446B9"/>
    <w:rsid w:val="00047E21"/>
    <w:rsid w:val="00050E16"/>
    <w:rsid w:val="00053988"/>
    <w:rsid w:val="00061A89"/>
    <w:rsid w:val="00085505"/>
    <w:rsid w:val="000C4E25"/>
    <w:rsid w:val="000C7021"/>
    <w:rsid w:val="000D44C3"/>
    <w:rsid w:val="000D6BBC"/>
    <w:rsid w:val="000D7780"/>
    <w:rsid w:val="000E636A"/>
    <w:rsid w:val="000F2F11"/>
    <w:rsid w:val="000F3948"/>
    <w:rsid w:val="00105929"/>
    <w:rsid w:val="001102E9"/>
    <w:rsid w:val="00110BED"/>
    <w:rsid w:val="00110C36"/>
    <w:rsid w:val="001131D5"/>
    <w:rsid w:val="001218B3"/>
    <w:rsid w:val="00141DB8"/>
    <w:rsid w:val="00142156"/>
    <w:rsid w:val="001670D4"/>
    <w:rsid w:val="00172084"/>
    <w:rsid w:val="0017474A"/>
    <w:rsid w:val="001758C6"/>
    <w:rsid w:val="00182B99"/>
    <w:rsid w:val="001C1525"/>
    <w:rsid w:val="001E4FA0"/>
    <w:rsid w:val="0021332C"/>
    <w:rsid w:val="00213982"/>
    <w:rsid w:val="00227172"/>
    <w:rsid w:val="0024416D"/>
    <w:rsid w:val="00271911"/>
    <w:rsid w:val="00274FF7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27DF6"/>
    <w:rsid w:val="003358AC"/>
    <w:rsid w:val="00344BD6"/>
    <w:rsid w:val="003507D5"/>
    <w:rsid w:val="0035528D"/>
    <w:rsid w:val="00361821"/>
    <w:rsid w:val="00361E9E"/>
    <w:rsid w:val="003952E2"/>
    <w:rsid w:val="003C7FBE"/>
    <w:rsid w:val="003D227C"/>
    <w:rsid w:val="003D2B4D"/>
    <w:rsid w:val="003F1438"/>
    <w:rsid w:val="00443F99"/>
    <w:rsid w:val="004444F5"/>
    <w:rsid w:val="00444A88"/>
    <w:rsid w:val="0044526F"/>
    <w:rsid w:val="00454FD7"/>
    <w:rsid w:val="00474DA4"/>
    <w:rsid w:val="00476B4D"/>
    <w:rsid w:val="004805FA"/>
    <w:rsid w:val="004935D2"/>
    <w:rsid w:val="004A7B3B"/>
    <w:rsid w:val="004B1215"/>
    <w:rsid w:val="004C330F"/>
    <w:rsid w:val="004D047D"/>
    <w:rsid w:val="004E4103"/>
    <w:rsid w:val="004F1E9E"/>
    <w:rsid w:val="004F305A"/>
    <w:rsid w:val="00510349"/>
    <w:rsid w:val="00511E92"/>
    <w:rsid w:val="00512164"/>
    <w:rsid w:val="00520297"/>
    <w:rsid w:val="005262ED"/>
    <w:rsid w:val="005338F9"/>
    <w:rsid w:val="0054281C"/>
    <w:rsid w:val="00544581"/>
    <w:rsid w:val="0055268D"/>
    <w:rsid w:val="00556D8A"/>
    <w:rsid w:val="005638F9"/>
    <w:rsid w:val="00576BE4"/>
    <w:rsid w:val="005779DB"/>
    <w:rsid w:val="005A400A"/>
    <w:rsid w:val="005F3DD5"/>
    <w:rsid w:val="005F7B92"/>
    <w:rsid w:val="00612379"/>
    <w:rsid w:val="006153B6"/>
    <w:rsid w:val="0061555F"/>
    <w:rsid w:val="00636CA6"/>
    <w:rsid w:val="00641200"/>
    <w:rsid w:val="00645CA8"/>
    <w:rsid w:val="00664838"/>
    <w:rsid w:val="006655D3"/>
    <w:rsid w:val="00667404"/>
    <w:rsid w:val="00676DC9"/>
    <w:rsid w:val="0067753D"/>
    <w:rsid w:val="00687EB4"/>
    <w:rsid w:val="00695C56"/>
    <w:rsid w:val="006A5B34"/>
    <w:rsid w:val="006A5CDE"/>
    <w:rsid w:val="006A644A"/>
    <w:rsid w:val="006B17D2"/>
    <w:rsid w:val="006B682C"/>
    <w:rsid w:val="006C224E"/>
    <w:rsid w:val="006D4190"/>
    <w:rsid w:val="006D5EF9"/>
    <w:rsid w:val="006D780A"/>
    <w:rsid w:val="0071271E"/>
    <w:rsid w:val="00714FAF"/>
    <w:rsid w:val="00732DEC"/>
    <w:rsid w:val="00735BD5"/>
    <w:rsid w:val="007451EC"/>
    <w:rsid w:val="00745870"/>
    <w:rsid w:val="00751613"/>
    <w:rsid w:val="00753EE9"/>
    <w:rsid w:val="007556F6"/>
    <w:rsid w:val="00760EEF"/>
    <w:rsid w:val="00777EE5"/>
    <w:rsid w:val="00777F9C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07C2A"/>
    <w:rsid w:val="008108B0"/>
    <w:rsid w:val="00811B20"/>
    <w:rsid w:val="00812609"/>
    <w:rsid w:val="008211B5"/>
    <w:rsid w:val="008225E9"/>
    <w:rsid w:val="0082296E"/>
    <w:rsid w:val="00824099"/>
    <w:rsid w:val="008418D4"/>
    <w:rsid w:val="00846D7C"/>
    <w:rsid w:val="00867AC1"/>
    <w:rsid w:val="00877B9B"/>
    <w:rsid w:val="00890DF8"/>
    <w:rsid w:val="008A20FB"/>
    <w:rsid w:val="008A743F"/>
    <w:rsid w:val="008C0970"/>
    <w:rsid w:val="008D0BC5"/>
    <w:rsid w:val="008D2CF7"/>
    <w:rsid w:val="008D7E15"/>
    <w:rsid w:val="00900C26"/>
    <w:rsid w:val="0090197F"/>
    <w:rsid w:val="00903264"/>
    <w:rsid w:val="00906DDC"/>
    <w:rsid w:val="009203A9"/>
    <w:rsid w:val="00934E09"/>
    <w:rsid w:val="00936253"/>
    <w:rsid w:val="00940D46"/>
    <w:rsid w:val="00946B32"/>
    <w:rsid w:val="00952DD4"/>
    <w:rsid w:val="009538C4"/>
    <w:rsid w:val="00965AE7"/>
    <w:rsid w:val="00970FED"/>
    <w:rsid w:val="00977D28"/>
    <w:rsid w:val="00992D82"/>
    <w:rsid w:val="00997029"/>
    <w:rsid w:val="009A7339"/>
    <w:rsid w:val="009B3507"/>
    <w:rsid w:val="009B440E"/>
    <w:rsid w:val="009C4083"/>
    <w:rsid w:val="009C5CAF"/>
    <w:rsid w:val="009D690D"/>
    <w:rsid w:val="009D7CAB"/>
    <w:rsid w:val="009E4242"/>
    <w:rsid w:val="009E65B6"/>
    <w:rsid w:val="009F77CF"/>
    <w:rsid w:val="00A06FCF"/>
    <w:rsid w:val="00A11D92"/>
    <w:rsid w:val="00A218D5"/>
    <w:rsid w:val="00A24C10"/>
    <w:rsid w:val="00A42AC3"/>
    <w:rsid w:val="00A430CF"/>
    <w:rsid w:val="00A54309"/>
    <w:rsid w:val="00A7259F"/>
    <w:rsid w:val="00A80F2A"/>
    <w:rsid w:val="00A82455"/>
    <w:rsid w:val="00AB2B93"/>
    <w:rsid w:val="00AB530F"/>
    <w:rsid w:val="00AB7E5B"/>
    <w:rsid w:val="00AC2883"/>
    <w:rsid w:val="00AD6D1D"/>
    <w:rsid w:val="00AE0651"/>
    <w:rsid w:val="00AE0EF1"/>
    <w:rsid w:val="00AE2937"/>
    <w:rsid w:val="00B07301"/>
    <w:rsid w:val="00B11F3E"/>
    <w:rsid w:val="00B224DE"/>
    <w:rsid w:val="00B25BFB"/>
    <w:rsid w:val="00B324D4"/>
    <w:rsid w:val="00B46575"/>
    <w:rsid w:val="00B61777"/>
    <w:rsid w:val="00B622E6"/>
    <w:rsid w:val="00B84BBD"/>
    <w:rsid w:val="00BA2CA0"/>
    <w:rsid w:val="00BA43FB"/>
    <w:rsid w:val="00BC127D"/>
    <w:rsid w:val="00BC1FE6"/>
    <w:rsid w:val="00BD32F6"/>
    <w:rsid w:val="00BE481E"/>
    <w:rsid w:val="00BF010E"/>
    <w:rsid w:val="00C01333"/>
    <w:rsid w:val="00C061B6"/>
    <w:rsid w:val="00C06E7D"/>
    <w:rsid w:val="00C2446C"/>
    <w:rsid w:val="00C25AC1"/>
    <w:rsid w:val="00C32765"/>
    <w:rsid w:val="00C36AE5"/>
    <w:rsid w:val="00C370D2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2272"/>
    <w:rsid w:val="00CC11B0"/>
    <w:rsid w:val="00CC2841"/>
    <w:rsid w:val="00CF1330"/>
    <w:rsid w:val="00CF7E36"/>
    <w:rsid w:val="00D1634D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6B56"/>
    <w:rsid w:val="00E07D87"/>
    <w:rsid w:val="00E249C8"/>
    <w:rsid w:val="00E32F7E"/>
    <w:rsid w:val="00E5267B"/>
    <w:rsid w:val="00E63C0E"/>
    <w:rsid w:val="00E65C6F"/>
    <w:rsid w:val="00E72D49"/>
    <w:rsid w:val="00E7593C"/>
    <w:rsid w:val="00E7678A"/>
    <w:rsid w:val="00E935F1"/>
    <w:rsid w:val="00E94A81"/>
    <w:rsid w:val="00EA1FFB"/>
    <w:rsid w:val="00EA3AB1"/>
    <w:rsid w:val="00EB048E"/>
    <w:rsid w:val="00EB0CE5"/>
    <w:rsid w:val="00EB4E9C"/>
    <w:rsid w:val="00ED2A67"/>
    <w:rsid w:val="00ED4336"/>
    <w:rsid w:val="00EE34DF"/>
    <w:rsid w:val="00EE4664"/>
    <w:rsid w:val="00EF2F89"/>
    <w:rsid w:val="00EF7483"/>
    <w:rsid w:val="00EF7AAA"/>
    <w:rsid w:val="00F03E98"/>
    <w:rsid w:val="00F1237A"/>
    <w:rsid w:val="00F22CBD"/>
    <w:rsid w:val="00F23F03"/>
    <w:rsid w:val="00F272F1"/>
    <w:rsid w:val="00F31412"/>
    <w:rsid w:val="00F32329"/>
    <w:rsid w:val="00F45372"/>
    <w:rsid w:val="00F560F7"/>
    <w:rsid w:val="00F6334D"/>
    <w:rsid w:val="00F63599"/>
    <w:rsid w:val="00F71C4C"/>
    <w:rsid w:val="00F97D68"/>
    <w:rsid w:val="00FA49AB"/>
    <w:rsid w:val="00FC6B78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7B12A8D"/>
  <w15:docId w15:val="{244BBE0B-3E4B-45FC-82FC-F333C562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A7B3B"/>
    <w:pPr>
      <w:keepNext/>
      <w:jc w:val="both"/>
      <w:outlineLvl w:val="1"/>
    </w:pPr>
    <w:rPr>
      <w:rFonts w:ascii="Arial" w:hAnsi="Arial" w:cs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507D5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6A5B34"/>
    <w:pPr>
      <w:tabs>
        <w:tab w:val="right" w:leader="dot" w:pos="9639"/>
      </w:tabs>
      <w:spacing w:after="120"/>
      <w:ind w:left="432" w:right="562"/>
    </w:pPr>
    <w:rPr>
      <w:rFonts w:ascii="Arial" w:hAnsi="Arial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ED4336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4A7B3B"/>
    <w:rPr>
      <w:rFonts w:ascii="Arial" w:hAnsi="Arial" w:cs="Arial"/>
      <w:u w:val="single"/>
    </w:rPr>
  </w:style>
  <w:style w:type="character" w:customStyle="1" w:styleId="HeaderChar">
    <w:name w:val="Header Char"/>
    <w:basedOn w:val="DefaultParagraphFont"/>
    <w:link w:val="Header"/>
    <w:rsid w:val="00ED4336"/>
    <w:rPr>
      <w:rFonts w:ascii="Arial" w:hAnsi="Arial"/>
      <w:lang w:val="fr-FR"/>
    </w:rPr>
  </w:style>
  <w:style w:type="character" w:customStyle="1" w:styleId="DecisionParagraphsChar">
    <w:name w:val="DecisionParagraphs Char"/>
    <w:basedOn w:val="DefaultParagraphFont"/>
    <w:link w:val="DecisionParagraphs"/>
    <w:rsid w:val="00ED4336"/>
    <w:rPr>
      <w:rFonts w:ascii="Arial" w:hAnsi="Arial"/>
      <w:i/>
    </w:rPr>
  </w:style>
  <w:style w:type="character" w:customStyle="1" w:styleId="FootnoteTextChar">
    <w:name w:val="Footnote Text Char"/>
    <w:basedOn w:val="DefaultParagraphFont"/>
    <w:link w:val="FootnoteText"/>
    <w:rsid w:val="003507D5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1218B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50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fr/caj_75/caj_75_14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pov.int/meetings/fr/details.jsp?meeting_id=89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4E3A3-B84E-4DE3-8420-E5A7F1AD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1329</Words>
  <Characters>8634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CAJ/76/4</vt:lpstr>
    </vt:vector>
  </TitlesOfParts>
  <Company>UPOV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CAJ/76/4</dc:title>
  <dc:creator>SANCHEZ VIZCAINO GOMEZ Rosa Maria</dc:creator>
  <cp:lastModifiedBy>SANTOS Carla Marina</cp:lastModifiedBy>
  <cp:revision>32</cp:revision>
  <cp:lastPrinted>2019-07-29T15:26:00Z</cp:lastPrinted>
  <dcterms:created xsi:type="dcterms:W3CDTF">2019-07-29T14:26:00Z</dcterms:created>
  <dcterms:modified xsi:type="dcterms:W3CDTF">2019-08-01T09:53:00Z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c83df636-b98e-4339-9791-79e91db0c5d3</vt:lpwstr>
  </property>
</Properties>
</file>