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852C1" w:rsidRPr="00815738" w:rsidTr="00B92BDD">
        <w:tc>
          <w:tcPr>
            <w:tcW w:w="6522" w:type="dxa"/>
          </w:tcPr>
          <w:p w:rsidR="00B852C1" w:rsidRPr="00AC2883" w:rsidRDefault="00B852C1" w:rsidP="00B92BDD">
            <w:r w:rsidRPr="00D250C5">
              <w:rPr>
                <w:noProof/>
              </w:rPr>
              <w:drawing>
                <wp:inline distT="0" distB="0" distL="0" distR="0" wp14:anchorId="11CED6E8" wp14:editId="4717303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852C1" w:rsidRPr="007C1D92" w:rsidRDefault="00B852C1" w:rsidP="00B92BDD">
            <w:pPr>
              <w:pStyle w:val="Lettrine"/>
            </w:pPr>
            <w:r>
              <w:t>F</w:t>
            </w:r>
          </w:p>
        </w:tc>
      </w:tr>
      <w:tr w:rsidR="00B852C1" w:rsidRPr="007E57B5" w:rsidTr="00B92BDD">
        <w:trPr>
          <w:trHeight w:val="219"/>
        </w:trPr>
        <w:tc>
          <w:tcPr>
            <w:tcW w:w="6522" w:type="dxa"/>
          </w:tcPr>
          <w:p w:rsidR="00B852C1" w:rsidRPr="00B852C1" w:rsidRDefault="00B852C1" w:rsidP="00B92BDD">
            <w:pPr>
              <w:pStyle w:val="upove"/>
              <w:rPr>
                <w:lang w:val="fr-CH"/>
              </w:rPr>
            </w:pPr>
            <w:r w:rsidRPr="00B852C1">
              <w:rPr>
                <w:lang w:val="fr-CH"/>
              </w:rPr>
              <w:t>Union internationale pour la protection des obtentions végétales</w:t>
            </w:r>
          </w:p>
        </w:tc>
        <w:tc>
          <w:tcPr>
            <w:tcW w:w="3117" w:type="dxa"/>
          </w:tcPr>
          <w:p w:rsidR="00B852C1" w:rsidRPr="00B852C1" w:rsidRDefault="00B852C1" w:rsidP="00B92BDD">
            <w:pPr>
              <w:rPr>
                <w:lang w:val="fr-CH"/>
              </w:rPr>
            </w:pPr>
          </w:p>
        </w:tc>
      </w:tr>
    </w:tbl>
    <w:p w:rsidR="00B852C1" w:rsidRPr="00B852C1" w:rsidRDefault="00B852C1" w:rsidP="00B852C1">
      <w:pPr>
        <w:rPr>
          <w:lang w:val="fr-CH"/>
        </w:rPr>
      </w:pPr>
    </w:p>
    <w:p w:rsidR="00B852C1" w:rsidRPr="00B852C1" w:rsidRDefault="00B852C1" w:rsidP="00B852C1">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852C1" w:rsidRPr="007E57B5" w:rsidTr="00B92BDD">
        <w:tc>
          <w:tcPr>
            <w:tcW w:w="6512" w:type="dxa"/>
          </w:tcPr>
          <w:p w:rsidR="00B852C1" w:rsidRPr="00B852C1" w:rsidRDefault="00B852C1" w:rsidP="00B92BDD">
            <w:pPr>
              <w:pStyle w:val="Sessiontc"/>
              <w:spacing w:line="240" w:lineRule="auto"/>
              <w:rPr>
                <w:lang w:val="fr-CH"/>
              </w:rPr>
            </w:pPr>
            <w:r w:rsidRPr="00B852C1">
              <w:rPr>
                <w:lang w:val="fr-CH"/>
              </w:rPr>
              <w:t>Comité administratif et juridique</w:t>
            </w:r>
          </w:p>
          <w:p w:rsidR="00B852C1" w:rsidRPr="00B852C1" w:rsidRDefault="00B852C1" w:rsidP="00B92BDD">
            <w:pPr>
              <w:pStyle w:val="Sessiontcplacedate"/>
              <w:rPr>
                <w:sz w:val="22"/>
                <w:lang w:val="fr-CH"/>
              </w:rPr>
            </w:pPr>
            <w:r w:rsidRPr="00B852C1">
              <w:rPr>
                <w:lang w:val="fr-CH"/>
              </w:rPr>
              <w:t>Soixante</w:t>
            </w:r>
            <w:r w:rsidR="00AE08C2">
              <w:rPr>
                <w:lang w:val="fr-CH"/>
              </w:rPr>
              <w:t>-</w:t>
            </w:r>
            <w:r w:rsidRPr="00B852C1">
              <w:rPr>
                <w:lang w:val="fr-CH"/>
              </w:rPr>
              <w:t>seiz</w:t>
            </w:r>
            <w:r w:rsidR="00AE08C2">
              <w:rPr>
                <w:lang w:val="fr-CH"/>
              </w:rPr>
              <w:t>ième session</w:t>
            </w:r>
            <w:r w:rsidRPr="00B852C1">
              <w:rPr>
                <w:lang w:val="fr-CH"/>
              </w:rPr>
              <w:br/>
              <w:t>Genève, 3</w:t>
            </w:r>
            <w:r w:rsidR="00AE08C2" w:rsidRPr="00B852C1">
              <w:rPr>
                <w:lang w:val="fr-CH"/>
              </w:rPr>
              <w:t>0</w:t>
            </w:r>
            <w:r w:rsidR="00AE08C2">
              <w:rPr>
                <w:lang w:val="fr-CH"/>
              </w:rPr>
              <w:t> </w:t>
            </w:r>
            <w:r w:rsidR="00AE08C2" w:rsidRPr="00B852C1">
              <w:rPr>
                <w:lang w:val="fr-CH"/>
              </w:rPr>
              <w:t>octobre</w:t>
            </w:r>
            <w:r w:rsidR="00AE08C2">
              <w:rPr>
                <w:lang w:val="fr-CH"/>
              </w:rPr>
              <w:t> </w:t>
            </w:r>
            <w:r w:rsidR="00AE08C2" w:rsidRPr="00B852C1">
              <w:rPr>
                <w:lang w:val="fr-CH"/>
              </w:rPr>
              <w:t>20</w:t>
            </w:r>
            <w:r w:rsidRPr="00B852C1">
              <w:rPr>
                <w:lang w:val="fr-CH"/>
              </w:rPr>
              <w:t>19</w:t>
            </w:r>
          </w:p>
        </w:tc>
        <w:tc>
          <w:tcPr>
            <w:tcW w:w="3127" w:type="dxa"/>
          </w:tcPr>
          <w:p w:rsidR="00B852C1" w:rsidRPr="00135CB8" w:rsidRDefault="00B852C1" w:rsidP="00B92BDD">
            <w:pPr>
              <w:pStyle w:val="Doccode"/>
              <w:rPr>
                <w:lang w:val="fr-CH"/>
              </w:rPr>
            </w:pPr>
            <w:r w:rsidRPr="00135CB8">
              <w:rPr>
                <w:lang w:val="fr-CH"/>
              </w:rPr>
              <w:t>CAJ/76/</w:t>
            </w:r>
            <w:r>
              <w:rPr>
                <w:lang w:val="fr-CH"/>
              </w:rPr>
              <w:t>3</w:t>
            </w:r>
          </w:p>
          <w:p w:rsidR="00B852C1" w:rsidRPr="00B852C1" w:rsidRDefault="00B852C1" w:rsidP="00B92BDD">
            <w:pPr>
              <w:pStyle w:val="Docoriginal"/>
              <w:rPr>
                <w:lang w:val="fr-CH"/>
              </w:rPr>
            </w:pPr>
            <w:r w:rsidRPr="00B852C1">
              <w:rPr>
                <w:lang w:val="fr-CH"/>
              </w:rPr>
              <w:t>Original</w:t>
            </w:r>
            <w:r w:rsidR="00AB2A1A">
              <w:rPr>
                <w:lang w:val="fr-CH"/>
              </w:rPr>
              <w:t> :</w:t>
            </w:r>
            <w:r w:rsidRPr="00B852C1">
              <w:rPr>
                <w:b w:val="0"/>
                <w:spacing w:val="0"/>
                <w:lang w:val="fr-CH"/>
              </w:rPr>
              <w:t xml:space="preserve"> anglais</w:t>
            </w:r>
          </w:p>
          <w:p w:rsidR="00B852C1" w:rsidRPr="00B852C1" w:rsidRDefault="00B852C1" w:rsidP="00B92BDD">
            <w:pPr>
              <w:pStyle w:val="Docoriginal"/>
              <w:rPr>
                <w:lang w:val="fr-CH"/>
              </w:rPr>
            </w:pPr>
            <w:r w:rsidRPr="00B852C1">
              <w:rPr>
                <w:lang w:val="fr-CH"/>
              </w:rPr>
              <w:t>Date</w:t>
            </w:r>
            <w:r w:rsidR="00AB2A1A">
              <w:rPr>
                <w:lang w:val="fr-CH"/>
              </w:rPr>
              <w:t> :</w:t>
            </w:r>
            <w:r w:rsidRPr="00B852C1">
              <w:rPr>
                <w:b w:val="0"/>
                <w:spacing w:val="0"/>
                <w:lang w:val="fr-CH"/>
              </w:rPr>
              <w:t xml:space="preserve"> </w:t>
            </w:r>
            <w:r w:rsidRPr="00534825">
              <w:rPr>
                <w:b w:val="0"/>
                <w:spacing w:val="0"/>
                <w:lang w:val="fr-CH"/>
              </w:rPr>
              <w:t>2</w:t>
            </w:r>
            <w:r w:rsidR="00AE08C2" w:rsidRPr="00534825">
              <w:rPr>
                <w:b w:val="0"/>
                <w:spacing w:val="0"/>
                <w:lang w:val="fr-CH"/>
              </w:rPr>
              <w:t>3 juillet 20</w:t>
            </w:r>
            <w:r w:rsidRPr="00534825">
              <w:rPr>
                <w:b w:val="0"/>
                <w:spacing w:val="0"/>
                <w:lang w:val="fr-CH"/>
              </w:rPr>
              <w:t>19</w:t>
            </w:r>
          </w:p>
        </w:tc>
      </w:tr>
    </w:tbl>
    <w:p w:rsidR="00B852C1" w:rsidRPr="00B852C1" w:rsidRDefault="00B852C1" w:rsidP="00B852C1">
      <w:pPr>
        <w:pStyle w:val="Titleofdoc0"/>
        <w:rPr>
          <w:lang w:val="fr-CH"/>
        </w:rPr>
      </w:pPr>
      <w:bookmarkStart w:id="0" w:name="TitleOfDoc"/>
      <w:bookmarkEnd w:id="0"/>
      <w:r w:rsidRPr="00F346D7">
        <w:rPr>
          <w:lang w:val="fr-CH"/>
        </w:rPr>
        <w:t>Variétés essentiellement dérivées</w:t>
      </w:r>
    </w:p>
    <w:p w:rsidR="00B852C1" w:rsidRPr="00B852C1" w:rsidRDefault="00B852C1" w:rsidP="00B852C1">
      <w:pPr>
        <w:pStyle w:val="preparedby1"/>
        <w:jc w:val="left"/>
        <w:rPr>
          <w:lang w:val="fr-CH"/>
        </w:rPr>
      </w:pPr>
      <w:bookmarkStart w:id="1" w:name="Prepared"/>
      <w:bookmarkEnd w:id="1"/>
      <w:r w:rsidRPr="00B852C1">
        <w:rPr>
          <w:lang w:val="fr-CH"/>
        </w:rPr>
        <w:t>Document établi par le Bureau de l</w:t>
      </w:r>
      <w:r w:rsidR="00AE08C2">
        <w:rPr>
          <w:lang w:val="fr-CH"/>
        </w:rPr>
        <w:t>’</w:t>
      </w:r>
      <w:r w:rsidRPr="00B852C1">
        <w:rPr>
          <w:lang w:val="fr-CH"/>
        </w:rPr>
        <w:t>Union</w:t>
      </w:r>
    </w:p>
    <w:p w:rsidR="00285FF7" w:rsidRPr="00B852C1" w:rsidRDefault="00B852C1" w:rsidP="00796754">
      <w:pPr>
        <w:pStyle w:val="Disclaimer"/>
        <w:rPr>
          <w:lang w:val="fr-CH"/>
        </w:rPr>
      </w:pPr>
      <w:r w:rsidRPr="00B852C1">
        <w:rPr>
          <w:lang w:val="fr-CH"/>
        </w:rPr>
        <w:t>Avertissement</w:t>
      </w:r>
      <w:r w:rsidR="00AE08C2">
        <w:rPr>
          <w:lang w:val="fr-CH"/>
        </w:rPr>
        <w:t> :</w:t>
      </w:r>
      <w:r w:rsidRPr="00B852C1">
        <w:rPr>
          <w:lang w:val="fr-CH"/>
        </w:rPr>
        <w:t xml:space="preserve"> le présent document ne représente pas les principes ou les orientations de l</w:t>
      </w:r>
      <w:r w:rsidR="00AE08C2">
        <w:rPr>
          <w:lang w:val="fr-CH"/>
        </w:rPr>
        <w:t>’</w:t>
      </w:r>
      <w:r w:rsidRPr="00B852C1">
        <w:rPr>
          <w:lang w:val="fr-CH"/>
        </w:rPr>
        <w:t>UPOV</w:t>
      </w:r>
    </w:p>
    <w:p w:rsidR="00AE08C2" w:rsidRDefault="00796754" w:rsidP="00796754">
      <w:pPr>
        <w:pStyle w:val="Heading1"/>
        <w:rPr>
          <w:snapToGrid w:val="0"/>
          <w:lang w:val="fr-CH"/>
        </w:rPr>
      </w:pPr>
      <w:bookmarkStart w:id="2" w:name="_Toc15391236"/>
      <w:r w:rsidRPr="00F346D7">
        <w:rPr>
          <w:snapToGrid w:val="0"/>
          <w:lang w:val="fr-CH"/>
        </w:rPr>
        <w:t>Résumé</w:t>
      </w:r>
      <w:bookmarkEnd w:id="2"/>
    </w:p>
    <w:p w:rsidR="00285FF7" w:rsidRPr="0063766A" w:rsidRDefault="00285FF7" w:rsidP="00CA61EA">
      <w:pPr>
        <w:rPr>
          <w:snapToGrid w:val="0"/>
          <w:sz w:val="18"/>
          <w:lang w:val="fr-CH"/>
        </w:rPr>
      </w:pPr>
    </w:p>
    <w:p w:rsidR="00285FF7" w:rsidRPr="00F346D7" w:rsidRDefault="00CA61EA" w:rsidP="00796754">
      <w:pPr>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796754" w:rsidRPr="00F346D7">
        <w:rPr>
          <w:lang w:val="fr-CH"/>
        </w:rPr>
        <w:t>L</w:t>
      </w:r>
      <w:r w:rsidR="00AE08C2">
        <w:rPr>
          <w:lang w:val="fr-CH"/>
        </w:rPr>
        <w:t>’</w:t>
      </w:r>
      <w:r w:rsidR="00796754" w:rsidRPr="00F346D7">
        <w:rPr>
          <w:lang w:val="fr-CH"/>
        </w:rPr>
        <w:t xml:space="preserve">objet du présent document est de fournir des informations générales sur les variétés essentiellement dérivées et de rendre compte des faits nouveaux intervenus dans ce domaine, </w:t>
      </w:r>
      <w:r w:rsidR="00AE08C2">
        <w:rPr>
          <w:lang w:val="fr-CH"/>
        </w:rPr>
        <w:t>y compris</w:t>
      </w:r>
      <w:r w:rsidR="00796754" w:rsidRPr="00F346D7">
        <w:rPr>
          <w:lang w:val="fr-CH"/>
        </w:rPr>
        <w:t xml:space="preserve"> des questions pertinentes</w:t>
      </w:r>
      <w:r w:rsidR="00775FA9">
        <w:rPr>
          <w:lang w:val="fr-CH"/>
        </w:rPr>
        <w:t xml:space="preserve"> concernant le “Séminaire sur l</w:t>
      </w:r>
      <w:r w:rsidR="00AE08C2">
        <w:rPr>
          <w:lang w:val="fr-CH"/>
        </w:rPr>
        <w:t>’</w:t>
      </w:r>
      <w:r w:rsidR="00775FA9">
        <w:rPr>
          <w:lang w:val="fr-CH"/>
        </w:rPr>
        <w:t>incidence</w:t>
      </w:r>
      <w:r w:rsidR="00796754" w:rsidRPr="00F346D7">
        <w:rPr>
          <w:lang w:val="fr-CH"/>
        </w:rPr>
        <w:t xml:space="preserve"> de la politique relative aux variétés essentiellement dérivées sur la stratégie </w:t>
      </w:r>
      <w:r w:rsidR="00775FA9">
        <w:rPr>
          <w:lang w:val="fr-CH"/>
        </w:rPr>
        <w:t xml:space="preserve">en matière de création </w:t>
      </w:r>
      <w:r w:rsidR="00796754" w:rsidRPr="00F346D7">
        <w:rPr>
          <w:lang w:val="fr-CH"/>
        </w:rPr>
        <w:t>variétale” afin de faciliter l</w:t>
      </w:r>
      <w:r w:rsidR="00AE08C2">
        <w:rPr>
          <w:lang w:val="fr-CH"/>
        </w:rPr>
        <w:t>’</w:t>
      </w:r>
      <w:r w:rsidR="00796754" w:rsidRPr="00F346D7">
        <w:rPr>
          <w:lang w:val="fr-CH"/>
        </w:rPr>
        <w:t xml:space="preserve">examen par le Comité administratif et juridique (CAJ) des orientations sur les variétés essentiellement dérivées fournies dans le document UPOV/EXN/EDV/2 “Notes explicatives sur les dénominations variétales selon la </w:t>
      </w:r>
      <w:r w:rsidR="00AE08C2">
        <w:rPr>
          <w:lang w:val="fr-CH"/>
        </w:rPr>
        <w:t>Convention UPOV</w:t>
      </w:r>
      <w:r w:rsidR="00796754" w:rsidRPr="00F346D7">
        <w:rPr>
          <w:lang w:val="fr-CH"/>
        </w:rPr>
        <w:t>”.</w:t>
      </w:r>
    </w:p>
    <w:p w:rsidR="00285FF7" w:rsidRPr="0063766A" w:rsidRDefault="00285FF7" w:rsidP="004A55FB">
      <w:pPr>
        <w:jc w:val="left"/>
        <w:rPr>
          <w:rFonts w:cs="Arial"/>
          <w:sz w:val="18"/>
          <w:u w:val="single"/>
          <w:lang w:val="fr-CH"/>
        </w:rPr>
      </w:pPr>
    </w:p>
    <w:p w:rsidR="00285FF7" w:rsidRPr="00F346D7" w:rsidRDefault="00DB51B4" w:rsidP="00796754">
      <w:pPr>
        <w:jc w:val="left"/>
        <w:rPr>
          <w:rFonts w:eastAsiaTheme="minorEastAsia" w:cs="Arial"/>
          <w:snapToGrid w:val="0"/>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796754" w:rsidRPr="00F346D7">
        <w:rPr>
          <w:lang w:val="fr-CH"/>
        </w:rPr>
        <w:t>Le CAJ est invité</w:t>
      </w:r>
      <w:r w:rsidR="007E57B5">
        <w:rPr>
          <w:lang w:val="fr-CH"/>
        </w:rPr>
        <w:t xml:space="preserve"> </w:t>
      </w:r>
      <w:r w:rsidR="007E57B5" w:rsidRPr="00F346D7">
        <w:rPr>
          <w:rFonts w:eastAsiaTheme="minorEastAsia"/>
          <w:snapToGrid w:val="0"/>
          <w:lang w:val="fr-CH"/>
        </w:rPr>
        <w:t>à</w:t>
      </w:r>
      <w:r w:rsidR="007E57B5">
        <w:rPr>
          <w:rFonts w:eastAsiaTheme="minorEastAsia"/>
          <w:snapToGrid w:val="0"/>
          <w:lang w:val="fr-CH"/>
        </w:rPr>
        <w:t> :</w:t>
      </w:r>
    </w:p>
    <w:p w:rsidR="00285FF7" w:rsidRPr="0063766A" w:rsidRDefault="00285FF7" w:rsidP="004A55FB">
      <w:pPr>
        <w:jc w:val="left"/>
        <w:rPr>
          <w:rFonts w:cs="Arial"/>
          <w:sz w:val="18"/>
          <w:u w:val="single"/>
          <w:lang w:val="fr-CH"/>
        </w:rPr>
      </w:pPr>
    </w:p>
    <w:p w:rsidR="00285FF7" w:rsidRPr="00F346D7" w:rsidRDefault="00A15F46" w:rsidP="00796754">
      <w:pPr>
        <w:rPr>
          <w:rFonts w:eastAsiaTheme="minorEastAsia"/>
          <w:snapToGrid w:val="0"/>
          <w:lang w:val="fr-CH"/>
        </w:rPr>
      </w:pPr>
      <w:r w:rsidRPr="00F346D7">
        <w:rPr>
          <w:rFonts w:eastAsiaTheme="minorEastAsia"/>
          <w:snapToGrid w:val="0"/>
          <w:lang w:val="fr-CH"/>
        </w:rPr>
        <w:tab/>
      </w:r>
      <w:r w:rsidR="00796754" w:rsidRPr="00F346D7">
        <w:rPr>
          <w:rFonts w:eastAsiaTheme="minorEastAsia"/>
          <w:snapToGrid w:val="0"/>
          <w:lang w:val="fr-CH"/>
        </w:rPr>
        <w:t>a)</w:t>
      </w:r>
      <w:r w:rsidR="00796754" w:rsidRPr="00F346D7">
        <w:rPr>
          <w:rFonts w:eastAsiaTheme="minorEastAsia"/>
          <w:snapToGrid w:val="0"/>
          <w:lang w:val="fr-CH"/>
        </w:rPr>
        <w:tab/>
        <w:t xml:space="preserve">prendre note des informations générales sur les variétés essentiellement dérivées et des faits nouveaux intervenus dans ce domaine, </w:t>
      </w:r>
      <w:r w:rsidR="00AE08C2">
        <w:rPr>
          <w:rFonts w:eastAsiaTheme="minorEastAsia"/>
          <w:snapToGrid w:val="0"/>
          <w:lang w:val="fr-CH"/>
        </w:rPr>
        <w:t>y compris</w:t>
      </w:r>
      <w:r w:rsidR="00796754" w:rsidRPr="00F346D7">
        <w:rPr>
          <w:rFonts w:eastAsiaTheme="minorEastAsia"/>
          <w:snapToGrid w:val="0"/>
          <w:lang w:val="fr-CH"/>
        </w:rPr>
        <w:t xml:space="preserve"> des questions pertinentes concernant le “Séminaire sur l</w:t>
      </w:r>
      <w:r w:rsidR="00AE08C2">
        <w:rPr>
          <w:rFonts w:eastAsiaTheme="minorEastAsia"/>
          <w:snapToGrid w:val="0"/>
          <w:lang w:val="fr-CH"/>
        </w:rPr>
        <w:t>’</w:t>
      </w:r>
      <w:r w:rsidR="00775FA9">
        <w:rPr>
          <w:rFonts w:eastAsiaTheme="minorEastAsia"/>
          <w:snapToGrid w:val="0"/>
          <w:lang w:val="fr-CH"/>
        </w:rPr>
        <w:t>incidence</w:t>
      </w:r>
      <w:r w:rsidR="00796754" w:rsidRPr="00F346D7">
        <w:rPr>
          <w:rFonts w:eastAsiaTheme="minorEastAsia"/>
          <w:snapToGrid w:val="0"/>
          <w:lang w:val="fr-CH"/>
        </w:rPr>
        <w:t xml:space="preserve"> de la politique relative aux variétés essentiellement dérivées sur la stratégie </w:t>
      </w:r>
      <w:r w:rsidR="00775FA9">
        <w:rPr>
          <w:rFonts w:eastAsiaTheme="minorEastAsia"/>
          <w:snapToGrid w:val="0"/>
          <w:lang w:val="fr-CH"/>
        </w:rPr>
        <w:t xml:space="preserve">en matière de création </w:t>
      </w:r>
      <w:r w:rsidR="00796754" w:rsidRPr="00F346D7">
        <w:rPr>
          <w:rFonts w:eastAsiaTheme="minorEastAsia"/>
          <w:snapToGrid w:val="0"/>
          <w:lang w:val="fr-CH"/>
        </w:rPr>
        <w:t>variétale”, comme indiqué aux paragraphes</w:t>
      </w:r>
      <w:r w:rsidR="00973659">
        <w:rPr>
          <w:rFonts w:eastAsiaTheme="minorEastAsia"/>
          <w:snapToGrid w:val="0"/>
          <w:lang w:val="fr-CH"/>
        </w:rPr>
        <w:t> </w:t>
      </w:r>
      <w:r w:rsidR="00796754" w:rsidRPr="00F346D7">
        <w:rPr>
          <w:rFonts w:eastAsiaTheme="minorEastAsia"/>
          <w:snapToGrid w:val="0"/>
          <w:lang w:val="fr-CH"/>
        </w:rPr>
        <w:t>4 à 15 du présent document,</w:t>
      </w:r>
    </w:p>
    <w:p w:rsidR="00285FF7" w:rsidRPr="0063766A" w:rsidRDefault="00285FF7" w:rsidP="00A15F46">
      <w:pPr>
        <w:rPr>
          <w:rFonts w:eastAsiaTheme="minorEastAsia"/>
          <w:snapToGrid w:val="0"/>
          <w:sz w:val="18"/>
          <w:lang w:val="fr-CH"/>
        </w:rPr>
      </w:pPr>
    </w:p>
    <w:p w:rsidR="00AE08C2" w:rsidRDefault="00A15F46" w:rsidP="008A7B22">
      <w:pPr>
        <w:rPr>
          <w:rFonts w:eastAsiaTheme="minorEastAsia"/>
          <w:snapToGrid w:val="0"/>
          <w:lang w:val="fr-CH"/>
        </w:rPr>
      </w:pPr>
      <w:r w:rsidRPr="00F346D7">
        <w:rPr>
          <w:rFonts w:eastAsiaTheme="minorEastAsia"/>
          <w:snapToGrid w:val="0"/>
          <w:lang w:val="fr-CH"/>
        </w:rPr>
        <w:tab/>
      </w:r>
      <w:r w:rsidR="008A7B22" w:rsidRPr="00F346D7">
        <w:rPr>
          <w:rFonts w:eastAsiaTheme="minorEastAsia"/>
          <w:snapToGrid w:val="0"/>
          <w:lang w:val="fr-CH"/>
        </w:rPr>
        <w:t>b)</w:t>
      </w:r>
      <w:r w:rsidR="008A7B22" w:rsidRPr="00F346D7">
        <w:rPr>
          <w:rFonts w:eastAsiaTheme="minorEastAsia"/>
          <w:snapToGrid w:val="0"/>
          <w:lang w:val="fr-CH"/>
        </w:rPr>
        <w:tab/>
        <w:t xml:space="preserve">examiner les </w:t>
      </w:r>
      <w:r w:rsidR="00775FA9">
        <w:rPr>
          <w:rFonts w:eastAsiaTheme="minorEastAsia"/>
          <w:snapToGrid w:val="0"/>
          <w:lang w:val="fr-CH"/>
        </w:rPr>
        <w:t>conclusions</w:t>
      </w:r>
      <w:r w:rsidR="008A7B22" w:rsidRPr="00F346D7">
        <w:rPr>
          <w:rFonts w:eastAsiaTheme="minorEastAsia"/>
          <w:snapToGrid w:val="0"/>
          <w:lang w:val="fr-CH"/>
        </w:rPr>
        <w:t xml:space="preserve"> du </w:t>
      </w:r>
      <w:r w:rsidR="00775FA9" w:rsidRPr="00F346D7">
        <w:rPr>
          <w:rFonts w:eastAsiaTheme="minorEastAsia"/>
          <w:snapToGrid w:val="0"/>
          <w:lang w:val="fr-CH"/>
        </w:rPr>
        <w:t>S</w:t>
      </w:r>
      <w:r w:rsidR="008A7B22" w:rsidRPr="00F346D7">
        <w:rPr>
          <w:rFonts w:eastAsiaTheme="minorEastAsia"/>
          <w:snapToGrid w:val="0"/>
          <w:lang w:val="fr-CH"/>
        </w:rPr>
        <w:t xml:space="preserve">éminaire sur les variétés essentiellement dérivées, qui seront </w:t>
      </w:r>
      <w:r w:rsidR="00775FA9">
        <w:rPr>
          <w:rFonts w:eastAsiaTheme="minorEastAsia"/>
          <w:snapToGrid w:val="0"/>
          <w:lang w:val="fr-CH"/>
        </w:rPr>
        <w:t>présentées</w:t>
      </w:r>
      <w:r w:rsidR="00AE08C2" w:rsidRPr="00F346D7">
        <w:rPr>
          <w:rFonts w:eastAsiaTheme="minorEastAsia"/>
          <w:snapToGrid w:val="0"/>
          <w:lang w:val="fr-CH"/>
        </w:rPr>
        <w:t xml:space="preserve"> au</w:t>
      </w:r>
      <w:r w:rsidR="00AE08C2">
        <w:rPr>
          <w:rFonts w:eastAsiaTheme="minorEastAsia"/>
          <w:snapToGrid w:val="0"/>
          <w:lang w:val="fr-CH"/>
        </w:rPr>
        <w:t> </w:t>
      </w:r>
      <w:r w:rsidR="00AE08C2" w:rsidRPr="00F346D7">
        <w:rPr>
          <w:rFonts w:eastAsiaTheme="minorEastAsia"/>
          <w:snapToGrid w:val="0"/>
          <w:lang w:val="fr-CH"/>
        </w:rPr>
        <w:t>CAJ</w:t>
      </w:r>
      <w:r w:rsidR="008A7B22" w:rsidRPr="00F346D7">
        <w:rPr>
          <w:rFonts w:eastAsiaTheme="minorEastAsia"/>
          <w:snapToGrid w:val="0"/>
          <w:lang w:val="fr-CH"/>
        </w:rPr>
        <w:t xml:space="preserve"> à sa soixante</w:t>
      </w:r>
      <w:r w:rsidR="00AE08C2">
        <w:rPr>
          <w:rFonts w:eastAsiaTheme="minorEastAsia"/>
          <w:snapToGrid w:val="0"/>
          <w:lang w:val="fr-CH"/>
        </w:rPr>
        <w:t>-</w:t>
      </w:r>
      <w:r w:rsidR="008A7B22" w:rsidRPr="00F346D7">
        <w:rPr>
          <w:rFonts w:eastAsiaTheme="minorEastAsia"/>
          <w:snapToGrid w:val="0"/>
          <w:lang w:val="fr-CH"/>
        </w:rPr>
        <w:t>seiz</w:t>
      </w:r>
      <w:r w:rsidR="00AE08C2">
        <w:rPr>
          <w:rFonts w:eastAsiaTheme="minorEastAsia"/>
          <w:snapToGrid w:val="0"/>
          <w:lang w:val="fr-CH"/>
        </w:rPr>
        <w:t>ième session</w:t>
      </w:r>
      <w:r w:rsidR="008A7B22" w:rsidRPr="00F346D7">
        <w:rPr>
          <w:rFonts w:eastAsiaTheme="minorEastAsia"/>
          <w:snapToGrid w:val="0"/>
          <w:lang w:val="fr-CH"/>
        </w:rPr>
        <w:t xml:space="preserve"> dans un rapport présenté oralement par le président</w:t>
      </w:r>
      <w:r w:rsidR="00AE08C2" w:rsidRPr="00F346D7">
        <w:rPr>
          <w:rFonts w:eastAsiaTheme="minorEastAsia"/>
          <w:snapToGrid w:val="0"/>
          <w:lang w:val="fr-CH"/>
        </w:rPr>
        <w:t xml:space="preserve"> du</w:t>
      </w:r>
      <w:r w:rsidR="00AE08C2">
        <w:rPr>
          <w:rFonts w:eastAsiaTheme="minorEastAsia"/>
          <w:snapToGrid w:val="0"/>
          <w:lang w:val="fr-CH"/>
        </w:rPr>
        <w:t> </w:t>
      </w:r>
      <w:r w:rsidR="00AE08C2" w:rsidRPr="00F346D7">
        <w:rPr>
          <w:rFonts w:eastAsiaTheme="minorEastAsia"/>
          <w:snapToGrid w:val="0"/>
          <w:lang w:val="fr-CH"/>
        </w:rPr>
        <w:t>CAJ</w:t>
      </w:r>
      <w:r w:rsidR="008A7B22" w:rsidRPr="00F346D7">
        <w:rPr>
          <w:rFonts w:eastAsiaTheme="minorEastAsia"/>
          <w:snapToGrid w:val="0"/>
          <w:lang w:val="fr-CH"/>
        </w:rPr>
        <w:t>, comme indiqué aux paragraphes</w:t>
      </w:r>
      <w:r w:rsidR="00973659">
        <w:rPr>
          <w:rFonts w:eastAsiaTheme="minorEastAsia"/>
          <w:snapToGrid w:val="0"/>
          <w:lang w:val="fr-CH"/>
        </w:rPr>
        <w:t> </w:t>
      </w:r>
      <w:r w:rsidR="008A7B22" w:rsidRPr="00F346D7">
        <w:rPr>
          <w:rFonts w:eastAsiaTheme="minorEastAsia"/>
          <w:snapToGrid w:val="0"/>
          <w:lang w:val="fr-CH"/>
        </w:rPr>
        <w:t>16 à 18 du présent document,</w:t>
      </w:r>
    </w:p>
    <w:p w:rsidR="00285FF7" w:rsidRPr="0063766A" w:rsidRDefault="00285FF7" w:rsidP="00A15F46">
      <w:pPr>
        <w:rPr>
          <w:rFonts w:eastAsiaTheme="minorEastAsia"/>
          <w:snapToGrid w:val="0"/>
          <w:spacing w:val="-2"/>
          <w:sz w:val="18"/>
          <w:lang w:val="fr-CH"/>
        </w:rPr>
      </w:pPr>
    </w:p>
    <w:p w:rsidR="00285FF7" w:rsidRPr="002F7F91" w:rsidRDefault="00A15F46" w:rsidP="008A7B22">
      <w:pPr>
        <w:rPr>
          <w:rFonts w:eastAsiaTheme="minorEastAsia"/>
          <w:snapToGrid w:val="0"/>
          <w:spacing w:val="-4"/>
          <w:lang w:val="fr-CH"/>
        </w:rPr>
      </w:pPr>
      <w:r w:rsidRPr="002F7F91">
        <w:rPr>
          <w:rFonts w:eastAsiaTheme="minorEastAsia"/>
          <w:snapToGrid w:val="0"/>
          <w:spacing w:val="-2"/>
          <w:lang w:val="fr-CH"/>
        </w:rPr>
        <w:tab/>
      </w:r>
      <w:r w:rsidR="008A7B22" w:rsidRPr="002F7F91">
        <w:rPr>
          <w:rFonts w:eastAsiaTheme="minorEastAsia"/>
          <w:snapToGrid w:val="0"/>
          <w:spacing w:val="-2"/>
          <w:lang w:val="fr-CH"/>
        </w:rPr>
        <w:t>c)</w:t>
      </w:r>
      <w:r w:rsidR="008A7B22" w:rsidRPr="002F7F91">
        <w:rPr>
          <w:rFonts w:eastAsiaTheme="minorEastAsia"/>
          <w:snapToGrid w:val="0"/>
          <w:spacing w:val="-2"/>
          <w:lang w:val="fr-CH"/>
        </w:rPr>
        <w:tab/>
        <w:t>noter qu</w:t>
      </w:r>
      <w:r w:rsidR="00AE08C2" w:rsidRPr="002F7F91">
        <w:rPr>
          <w:rFonts w:eastAsiaTheme="minorEastAsia"/>
          <w:snapToGrid w:val="0"/>
          <w:spacing w:val="-2"/>
          <w:lang w:val="fr-CH"/>
        </w:rPr>
        <w:t>’</w:t>
      </w:r>
      <w:r w:rsidR="008A7B22" w:rsidRPr="002F7F91">
        <w:rPr>
          <w:rFonts w:eastAsiaTheme="minorEastAsia"/>
          <w:snapToGrid w:val="0"/>
          <w:spacing w:val="-2"/>
          <w:lang w:val="fr-CH"/>
        </w:rPr>
        <w:t>aucun fait nouveau n</w:t>
      </w:r>
      <w:r w:rsidR="00AE08C2" w:rsidRPr="002F7F91">
        <w:rPr>
          <w:rFonts w:eastAsiaTheme="minorEastAsia"/>
          <w:snapToGrid w:val="0"/>
          <w:spacing w:val="-2"/>
          <w:lang w:val="fr-CH"/>
        </w:rPr>
        <w:t>’</w:t>
      </w:r>
      <w:r w:rsidR="008A7B22" w:rsidRPr="002F7F91">
        <w:rPr>
          <w:rFonts w:eastAsiaTheme="minorEastAsia"/>
          <w:snapToGrid w:val="0"/>
          <w:spacing w:val="-2"/>
          <w:lang w:val="fr-CH"/>
        </w:rPr>
        <w:t>est intervenu en ce qui concerne la tenue éventuelle d</w:t>
      </w:r>
      <w:r w:rsidR="00AE08C2" w:rsidRPr="002F7F91">
        <w:rPr>
          <w:rFonts w:eastAsiaTheme="minorEastAsia"/>
          <w:snapToGrid w:val="0"/>
          <w:spacing w:val="-2"/>
          <w:lang w:val="fr-CH"/>
        </w:rPr>
        <w:t>’</w:t>
      </w:r>
      <w:r w:rsidR="008A7B22" w:rsidRPr="002F7F91">
        <w:rPr>
          <w:rFonts w:eastAsiaTheme="minorEastAsia"/>
          <w:snapToGrid w:val="0"/>
          <w:spacing w:val="-2"/>
          <w:lang w:val="fr-CH"/>
        </w:rPr>
        <w:t>une réunion du Bureau de l</w:t>
      </w:r>
      <w:r w:rsidR="00AE08C2" w:rsidRPr="002F7F91">
        <w:rPr>
          <w:rFonts w:eastAsiaTheme="minorEastAsia"/>
          <w:snapToGrid w:val="0"/>
          <w:spacing w:val="-2"/>
          <w:lang w:val="fr-CH"/>
        </w:rPr>
        <w:t>’</w:t>
      </w:r>
      <w:r w:rsidR="008A7B22" w:rsidRPr="002F7F91">
        <w:rPr>
          <w:rFonts w:eastAsiaTheme="minorEastAsia"/>
          <w:snapToGrid w:val="0"/>
          <w:spacing w:val="-2"/>
          <w:lang w:val="fr-CH"/>
        </w:rPr>
        <w:t>Union avec la CIOPORA, l</w:t>
      </w:r>
      <w:r w:rsidR="00AE08C2" w:rsidRPr="002F7F91">
        <w:rPr>
          <w:rFonts w:eastAsiaTheme="minorEastAsia"/>
          <w:snapToGrid w:val="0"/>
          <w:spacing w:val="-2"/>
          <w:lang w:val="fr-CH"/>
        </w:rPr>
        <w:t>’</w:t>
      </w:r>
      <w:r w:rsidR="005B6350">
        <w:rPr>
          <w:rFonts w:eastAsiaTheme="minorEastAsia"/>
          <w:snapToGrid w:val="0"/>
          <w:spacing w:val="-2"/>
          <w:lang w:val="fr-CH"/>
        </w:rPr>
        <w:t>ISF</w:t>
      </w:r>
      <w:r w:rsidR="008A7B22" w:rsidRPr="002F7F91">
        <w:rPr>
          <w:rFonts w:eastAsiaTheme="minorEastAsia"/>
          <w:snapToGrid w:val="0"/>
          <w:spacing w:val="-2"/>
          <w:lang w:val="fr-CH"/>
        </w:rPr>
        <w:t xml:space="preserve"> et l</w:t>
      </w:r>
      <w:r w:rsidR="00AE08C2" w:rsidRPr="002F7F91">
        <w:rPr>
          <w:rFonts w:eastAsiaTheme="minorEastAsia"/>
          <w:snapToGrid w:val="0"/>
          <w:spacing w:val="-2"/>
          <w:lang w:val="fr-CH"/>
        </w:rPr>
        <w:t>’</w:t>
      </w:r>
      <w:r w:rsidR="008A7B22" w:rsidRPr="002F7F91">
        <w:rPr>
          <w:rFonts w:eastAsiaTheme="minorEastAsia"/>
          <w:snapToGrid w:val="0"/>
          <w:spacing w:val="-2"/>
          <w:lang w:val="fr-CH"/>
        </w:rPr>
        <w:t>OMPI en vue d</w:t>
      </w:r>
      <w:r w:rsidR="00AE08C2" w:rsidRPr="002F7F91">
        <w:rPr>
          <w:rFonts w:eastAsiaTheme="minorEastAsia"/>
          <w:snapToGrid w:val="0"/>
          <w:spacing w:val="-2"/>
          <w:lang w:val="fr-CH"/>
        </w:rPr>
        <w:t>’</w:t>
      </w:r>
      <w:r w:rsidR="008A7B22" w:rsidRPr="002F7F91">
        <w:rPr>
          <w:rFonts w:eastAsiaTheme="minorEastAsia"/>
          <w:snapToGrid w:val="0"/>
          <w:spacing w:val="-2"/>
          <w:lang w:val="fr-CH"/>
        </w:rPr>
        <w:t>étudier le rôle que l</w:t>
      </w:r>
      <w:r w:rsidR="00AE08C2" w:rsidRPr="002F7F91">
        <w:rPr>
          <w:rFonts w:eastAsiaTheme="minorEastAsia"/>
          <w:snapToGrid w:val="0"/>
          <w:spacing w:val="-2"/>
          <w:lang w:val="fr-CH"/>
        </w:rPr>
        <w:t>’</w:t>
      </w:r>
      <w:r w:rsidR="008A7B22" w:rsidRPr="002F7F91">
        <w:rPr>
          <w:rFonts w:eastAsiaTheme="minorEastAsia"/>
          <w:snapToGrid w:val="0"/>
          <w:spacing w:val="-2"/>
          <w:lang w:val="fr-CH"/>
        </w:rPr>
        <w:t>UPOV pourrait jouer dans les mécanismes extrajudiciaires de règlement des litiges pour les questions relatives aux variétés essentiellement dérivées,</w:t>
      </w:r>
      <w:r w:rsidR="008A7B22" w:rsidRPr="002F7F91">
        <w:rPr>
          <w:rFonts w:eastAsiaTheme="minorEastAsia"/>
          <w:snapToGrid w:val="0"/>
          <w:spacing w:val="-4"/>
          <w:lang w:val="fr-CH"/>
        </w:rPr>
        <w:t xml:space="preserve"> </w:t>
      </w:r>
      <w:r w:rsidR="00AE08C2" w:rsidRPr="002F7F91">
        <w:rPr>
          <w:rFonts w:eastAsiaTheme="minorEastAsia"/>
          <w:snapToGrid w:val="0"/>
          <w:spacing w:val="-4"/>
          <w:lang w:val="fr-CH"/>
        </w:rPr>
        <w:t>y compris</w:t>
      </w:r>
      <w:r w:rsidR="008A7B22" w:rsidRPr="002F7F91">
        <w:rPr>
          <w:rFonts w:eastAsiaTheme="minorEastAsia"/>
          <w:snapToGrid w:val="0"/>
          <w:spacing w:val="-4"/>
          <w:lang w:val="fr-CH"/>
        </w:rPr>
        <w:t xml:space="preserve"> la mise à disposition d</w:t>
      </w:r>
      <w:r w:rsidR="00AE08C2" w:rsidRPr="002F7F91">
        <w:rPr>
          <w:rFonts w:eastAsiaTheme="minorEastAsia"/>
          <w:snapToGrid w:val="0"/>
          <w:spacing w:val="-4"/>
          <w:lang w:val="fr-CH"/>
        </w:rPr>
        <w:t>’</w:t>
      </w:r>
      <w:r w:rsidR="008A7B22" w:rsidRPr="002F7F91">
        <w:rPr>
          <w:rFonts w:eastAsiaTheme="minorEastAsia"/>
          <w:snapToGrid w:val="0"/>
          <w:spacing w:val="-4"/>
          <w:lang w:val="fr-CH"/>
        </w:rPr>
        <w:t>experts concernant les questions relatives aux variétés essentiellement dérivées</w:t>
      </w:r>
      <w:r w:rsidR="00775FA9" w:rsidRPr="002F7F91">
        <w:rPr>
          <w:rFonts w:eastAsiaTheme="minorEastAsia"/>
          <w:snapToGrid w:val="0"/>
          <w:spacing w:val="-4"/>
          <w:lang w:val="fr-CH"/>
        </w:rPr>
        <w:t>.</w:t>
      </w:r>
    </w:p>
    <w:p w:rsidR="00285FF7" w:rsidRPr="0063766A" w:rsidRDefault="00285FF7" w:rsidP="00A15F46">
      <w:pPr>
        <w:rPr>
          <w:sz w:val="18"/>
          <w:u w:val="single"/>
          <w:lang w:val="fr-CH"/>
        </w:rPr>
      </w:pPr>
    </w:p>
    <w:p w:rsidR="00285FF7" w:rsidRPr="00F346D7" w:rsidRDefault="00DB51B4" w:rsidP="008A7B22">
      <w:pPr>
        <w:jc w:val="left"/>
        <w:rPr>
          <w:rFonts w:cs="Arial"/>
          <w:lang w:val="fr-CH"/>
        </w:rPr>
      </w:pPr>
      <w:r w:rsidRPr="00F346D7">
        <w:rPr>
          <w:rFonts w:cs="Arial"/>
          <w:lang w:val="fr-CH"/>
        </w:rPr>
        <w:fldChar w:fldCharType="begin"/>
      </w:r>
      <w:r w:rsidRPr="00F346D7">
        <w:rPr>
          <w:rFonts w:cs="Arial"/>
          <w:lang w:val="fr-CH"/>
        </w:rPr>
        <w:instrText xml:space="preserve"> AUTONUM  </w:instrText>
      </w:r>
      <w:r w:rsidRPr="00F346D7">
        <w:rPr>
          <w:rFonts w:cs="Arial"/>
          <w:lang w:val="fr-CH"/>
        </w:rPr>
        <w:fldChar w:fldCharType="end"/>
      </w:r>
      <w:r w:rsidRPr="00F346D7">
        <w:rPr>
          <w:rFonts w:cs="Arial"/>
          <w:lang w:val="fr-CH"/>
        </w:rPr>
        <w:tab/>
      </w:r>
      <w:r w:rsidR="008A7B22" w:rsidRPr="00F346D7">
        <w:rPr>
          <w:rFonts w:cs="Arial"/>
          <w:lang w:val="fr-CH"/>
        </w:rPr>
        <w:t>Le présent document est structuré comme suit</w:t>
      </w:r>
      <w:r w:rsidR="00AE08C2">
        <w:rPr>
          <w:rFonts w:cs="Arial"/>
          <w:lang w:val="fr-CH"/>
        </w:rPr>
        <w:t> :</w:t>
      </w:r>
    </w:p>
    <w:p w:rsidR="00285FF7" w:rsidRPr="0063766A" w:rsidRDefault="00285FF7" w:rsidP="00DB51B4">
      <w:pPr>
        <w:rPr>
          <w:snapToGrid w:val="0"/>
          <w:sz w:val="18"/>
          <w:lang w:val="fr-CH"/>
        </w:rPr>
      </w:pPr>
    </w:p>
    <w:p w:rsidR="001538E7" w:rsidRDefault="00DB51B4">
      <w:pPr>
        <w:pStyle w:val="TOC1"/>
        <w:rPr>
          <w:rFonts w:asciiTheme="minorHAnsi" w:eastAsiaTheme="minorEastAsia" w:hAnsiTheme="minorHAnsi" w:cstheme="minorBidi"/>
          <w:caps w:val="0"/>
          <w:noProof/>
          <w:sz w:val="22"/>
          <w:szCs w:val="22"/>
        </w:rPr>
      </w:pPr>
      <w:r w:rsidRPr="00F346D7">
        <w:rPr>
          <w:snapToGrid w:val="0"/>
          <w:lang w:val="fr-CH"/>
        </w:rPr>
        <w:fldChar w:fldCharType="begin"/>
      </w:r>
      <w:r w:rsidRPr="00F346D7">
        <w:rPr>
          <w:snapToGrid w:val="0"/>
          <w:lang w:val="fr-CH"/>
        </w:rPr>
        <w:instrText xml:space="preserve"> TOC \o "1-3" \h \z \u </w:instrText>
      </w:r>
      <w:r w:rsidRPr="00F346D7">
        <w:rPr>
          <w:snapToGrid w:val="0"/>
          <w:lang w:val="fr-CH"/>
        </w:rPr>
        <w:fldChar w:fldCharType="separate"/>
      </w:r>
      <w:hyperlink w:anchor="_Toc15391236" w:history="1">
        <w:r w:rsidR="001538E7" w:rsidRPr="00B62DDE">
          <w:rPr>
            <w:rStyle w:val="Hyperlink"/>
            <w:noProof/>
            <w:snapToGrid w:val="0"/>
            <w:lang w:val="fr-CH"/>
          </w:rPr>
          <w:t>Résumé</w:t>
        </w:r>
        <w:r w:rsidR="001538E7">
          <w:rPr>
            <w:noProof/>
            <w:webHidden/>
          </w:rPr>
          <w:tab/>
        </w:r>
        <w:r w:rsidR="001538E7">
          <w:rPr>
            <w:noProof/>
            <w:webHidden/>
          </w:rPr>
          <w:fldChar w:fldCharType="begin"/>
        </w:r>
        <w:r w:rsidR="001538E7">
          <w:rPr>
            <w:noProof/>
            <w:webHidden/>
          </w:rPr>
          <w:instrText xml:space="preserve"> PAGEREF _Toc15391236 \h </w:instrText>
        </w:r>
        <w:r w:rsidR="001538E7">
          <w:rPr>
            <w:noProof/>
            <w:webHidden/>
          </w:rPr>
        </w:r>
        <w:r w:rsidR="001538E7">
          <w:rPr>
            <w:noProof/>
            <w:webHidden/>
          </w:rPr>
          <w:fldChar w:fldCharType="separate"/>
        </w:r>
        <w:r w:rsidR="001538E7">
          <w:rPr>
            <w:noProof/>
            <w:webHidden/>
          </w:rPr>
          <w:t>1</w:t>
        </w:r>
        <w:r w:rsidR="001538E7">
          <w:rPr>
            <w:noProof/>
            <w:webHidden/>
          </w:rPr>
          <w:fldChar w:fldCharType="end"/>
        </w:r>
      </w:hyperlink>
    </w:p>
    <w:p w:rsidR="001538E7" w:rsidRDefault="006D63CA">
      <w:pPr>
        <w:pStyle w:val="TOC1"/>
        <w:rPr>
          <w:rFonts w:asciiTheme="minorHAnsi" w:eastAsiaTheme="minorEastAsia" w:hAnsiTheme="minorHAnsi" w:cstheme="minorBidi"/>
          <w:caps w:val="0"/>
          <w:noProof/>
          <w:sz w:val="22"/>
          <w:szCs w:val="22"/>
        </w:rPr>
      </w:pPr>
      <w:hyperlink w:anchor="_Toc15391237" w:history="1">
        <w:r w:rsidR="001538E7" w:rsidRPr="00B62DDE">
          <w:rPr>
            <w:rStyle w:val="Hyperlink"/>
            <w:noProof/>
            <w:lang w:val="fr-CH"/>
          </w:rPr>
          <w:t>Informations générales</w:t>
        </w:r>
        <w:r w:rsidR="001538E7">
          <w:rPr>
            <w:noProof/>
            <w:webHidden/>
          </w:rPr>
          <w:tab/>
        </w:r>
        <w:r w:rsidR="001538E7">
          <w:rPr>
            <w:noProof/>
            <w:webHidden/>
          </w:rPr>
          <w:fldChar w:fldCharType="begin"/>
        </w:r>
        <w:r w:rsidR="001538E7">
          <w:rPr>
            <w:noProof/>
            <w:webHidden/>
          </w:rPr>
          <w:instrText xml:space="preserve"> PAGEREF _Toc15391237 \h </w:instrText>
        </w:r>
        <w:r w:rsidR="001538E7">
          <w:rPr>
            <w:noProof/>
            <w:webHidden/>
          </w:rPr>
        </w:r>
        <w:r w:rsidR="001538E7">
          <w:rPr>
            <w:noProof/>
            <w:webHidden/>
          </w:rPr>
          <w:fldChar w:fldCharType="separate"/>
        </w:r>
        <w:r w:rsidR="001538E7">
          <w:rPr>
            <w:noProof/>
            <w:webHidden/>
          </w:rPr>
          <w:t>2</w:t>
        </w:r>
        <w:r w:rsidR="001538E7">
          <w:rPr>
            <w:noProof/>
            <w:webHidden/>
          </w:rPr>
          <w:fldChar w:fldCharType="end"/>
        </w:r>
      </w:hyperlink>
    </w:p>
    <w:p w:rsidR="001538E7" w:rsidRDefault="006D63CA">
      <w:pPr>
        <w:pStyle w:val="TOC2"/>
        <w:rPr>
          <w:rFonts w:asciiTheme="minorHAnsi" w:eastAsiaTheme="minorEastAsia" w:hAnsiTheme="minorHAnsi" w:cstheme="minorBidi"/>
          <w:noProof/>
          <w:sz w:val="22"/>
          <w:szCs w:val="22"/>
        </w:rPr>
      </w:pPr>
      <w:hyperlink w:anchor="_Toc15391238" w:history="1">
        <w:r w:rsidR="001538E7" w:rsidRPr="00B62DDE">
          <w:rPr>
            <w:rStyle w:val="Hyperlink"/>
            <w:noProof/>
            <w:lang w:val="fr-CH"/>
          </w:rPr>
          <w:t>Réponses à la circulaire UPOV E-19/032 : propositions de questions et de points à aborder lors du Séminaire sur les variétés essentiellement dérivées</w:t>
        </w:r>
        <w:r w:rsidR="001538E7">
          <w:rPr>
            <w:noProof/>
            <w:webHidden/>
          </w:rPr>
          <w:tab/>
        </w:r>
        <w:r w:rsidR="001538E7">
          <w:rPr>
            <w:noProof/>
            <w:webHidden/>
          </w:rPr>
          <w:fldChar w:fldCharType="begin"/>
        </w:r>
        <w:r w:rsidR="001538E7">
          <w:rPr>
            <w:noProof/>
            <w:webHidden/>
          </w:rPr>
          <w:instrText xml:space="preserve"> PAGEREF _Toc15391238 \h </w:instrText>
        </w:r>
        <w:r w:rsidR="001538E7">
          <w:rPr>
            <w:noProof/>
            <w:webHidden/>
          </w:rPr>
        </w:r>
        <w:r w:rsidR="001538E7">
          <w:rPr>
            <w:noProof/>
            <w:webHidden/>
          </w:rPr>
          <w:fldChar w:fldCharType="separate"/>
        </w:r>
        <w:r w:rsidR="001538E7">
          <w:rPr>
            <w:noProof/>
            <w:webHidden/>
          </w:rPr>
          <w:t>2</w:t>
        </w:r>
        <w:r w:rsidR="001538E7">
          <w:rPr>
            <w:noProof/>
            <w:webHidden/>
          </w:rPr>
          <w:fldChar w:fldCharType="end"/>
        </w:r>
      </w:hyperlink>
    </w:p>
    <w:p w:rsidR="001538E7" w:rsidRDefault="006D63CA">
      <w:pPr>
        <w:pStyle w:val="TOC2"/>
        <w:rPr>
          <w:rFonts w:asciiTheme="minorHAnsi" w:eastAsiaTheme="minorEastAsia" w:hAnsiTheme="minorHAnsi" w:cstheme="minorBidi"/>
          <w:noProof/>
          <w:sz w:val="22"/>
          <w:szCs w:val="22"/>
        </w:rPr>
      </w:pPr>
      <w:hyperlink w:anchor="_Toc15391239" w:history="1">
        <w:r w:rsidR="001538E7" w:rsidRPr="00B62DDE">
          <w:rPr>
            <w:rStyle w:val="Hyperlink"/>
            <w:noProof/>
            <w:lang w:val="fr-CH"/>
          </w:rPr>
          <w:t>Élaboration du projet de programme du Séminaire sur les variétés essentiellement dérivées pour approbation par le CAJ par correspondance</w:t>
        </w:r>
        <w:r w:rsidR="001538E7">
          <w:rPr>
            <w:noProof/>
            <w:webHidden/>
          </w:rPr>
          <w:tab/>
        </w:r>
        <w:r w:rsidR="001538E7">
          <w:rPr>
            <w:noProof/>
            <w:webHidden/>
          </w:rPr>
          <w:fldChar w:fldCharType="begin"/>
        </w:r>
        <w:r w:rsidR="001538E7">
          <w:rPr>
            <w:noProof/>
            <w:webHidden/>
          </w:rPr>
          <w:instrText xml:space="preserve"> PAGEREF _Toc15391239 \h </w:instrText>
        </w:r>
        <w:r w:rsidR="001538E7">
          <w:rPr>
            <w:noProof/>
            <w:webHidden/>
          </w:rPr>
        </w:r>
        <w:r w:rsidR="001538E7">
          <w:rPr>
            <w:noProof/>
            <w:webHidden/>
          </w:rPr>
          <w:fldChar w:fldCharType="separate"/>
        </w:r>
        <w:r w:rsidR="001538E7">
          <w:rPr>
            <w:noProof/>
            <w:webHidden/>
          </w:rPr>
          <w:t>3</w:t>
        </w:r>
        <w:r w:rsidR="001538E7">
          <w:rPr>
            <w:noProof/>
            <w:webHidden/>
          </w:rPr>
          <w:fldChar w:fldCharType="end"/>
        </w:r>
      </w:hyperlink>
    </w:p>
    <w:p w:rsidR="001538E7" w:rsidRDefault="006D63CA">
      <w:pPr>
        <w:pStyle w:val="TOC1"/>
        <w:rPr>
          <w:rFonts w:asciiTheme="minorHAnsi" w:eastAsiaTheme="minorEastAsia" w:hAnsiTheme="minorHAnsi" w:cstheme="minorBidi"/>
          <w:caps w:val="0"/>
          <w:noProof/>
          <w:sz w:val="22"/>
          <w:szCs w:val="22"/>
        </w:rPr>
      </w:pPr>
      <w:hyperlink w:anchor="_Toc15391240" w:history="1">
        <w:r w:rsidR="001538E7" w:rsidRPr="00B62DDE">
          <w:rPr>
            <w:rStyle w:val="Hyperlink"/>
            <w:noProof/>
            <w:lang w:val="fr-CH"/>
          </w:rPr>
          <w:t>CONCLUSIONS du séminaire sur les variétés essentiellement dérivées et examen des orientations sur les variétés essentiellement dérivées fournies dans le document UPOV/EXN/EDV/2 “Notes explicatives sur les variétés essentiellement dérivées selon l’Acte de 1991 de la Convention UPOV”</w:t>
        </w:r>
        <w:r w:rsidR="001538E7">
          <w:rPr>
            <w:noProof/>
            <w:webHidden/>
          </w:rPr>
          <w:tab/>
        </w:r>
        <w:r w:rsidR="001538E7">
          <w:rPr>
            <w:noProof/>
            <w:webHidden/>
          </w:rPr>
          <w:fldChar w:fldCharType="begin"/>
        </w:r>
        <w:r w:rsidR="001538E7">
          <w:rPr>
            <w:noProof/>
            <w:webHidden/>
          </w:rPr>
          <w:instrText xml:space="preserve"> PAGEREF _Toc15391240 \h </w:instrText>
        </w:r>
        <w:r w:rsidR="001538E7">
          <w:rPr>
            <w:noProof/>
            <w:webHidden/>
          </w:rPr>
        </w:r>
        <w:r w:rsidR="001538E7">
          <w:rPr>
            <w:noProof/>
            <w:webHidden/>
          </w:rPr>
          <w:fldChar w:fldCharType="separate"/>
        </w:r>
        <w:r w:rsidR="001538E7">
          <w:rPr>
            <w:noProof/>
            <w:webHidden/>
          </w:rPr>
          <w:t>4</w:t>
        </w:r>
        <w:r w:rsidR="001538E7">
          <w:rPr>
            <w:noProof/>
            <w:webHidden/>
          </w:rPr>
          <w:fldChar w:fldCharType="end"/>
        </w:r>
      </w:hyperlink>
    </w:p>
    <w:p w:rsidR="001538E7" w:rsidRDefault="006D63CA">
      <w:pPr>
        <w:pStyle w:val="TOC1"/>
        <w:rPr>
          <w:rFonts w:asciiTheme="minorHAnsi" w:eastAsiaTheme="minorEastAsia" w:hAnsiTheme="minorHAnsi" w:cstheme="minorBidi"/>
          <w:caps w:val="0"/>
          <w:noProof/>
          <w:sz w:val="22"/>
          <w:szCs w:val="22"/>
        </w:rPr>
      </w:pPr>
      <w:hyperlink w:anchor="_Toc15391241" w:history="1">
        <w:r w:rsidR="001538E7" w:rsidRPr="00B62DDE">
          <w:rPr>
            <w:rStyle w:val="Hyperlink"/>
            <w:rFonts w:cs="Arial"/>
            <w:noProof/>
            <w:spacing w:val="-2"/>
            <w:lang w:val="fr-CH"/>
          </w:rPr>
          <w:t>Mécanismes extrajudiciaires de règlement des litiges pour les questions relatives aux variétés essentiellement dérivées</w:t>
        </w:r>
        <w:r w:rsidR="001538E7">
          <w:rPr>
            <w:noProof/>
            <w:webHidden/>
          </w:rPr>
          <w:tab/>
        </w:r>
        <w:r w:rsidR="001538E7">
          <w:rPr>
            <w:noProof/>
            <w:webHidden/>
          </w:rPr>
          <w:fldChar w:fldCharType="begin"/>
        </w:r>
        <w:r w:rsidR="001538E7">
          <w:rPr>
            <w:noProof/>
            <w:webHidden/>
          </w:rPr>
          <w:instrText xml:space="preserve"> PAGEREF _Toc15391241 \h </w:instrText>
        </w:r>
        <w:r w:rsidR="001538E7">
          <w:rPr>
            <w:noProof/>
            <w:webHidden/>
          </w:rPr>
        </w:r>
        <w:r w:rsidR="001538E7">
          <w:rPr>
            <w:noProof/>
            <w:webHidden/>
          </w:rPr>
          <w:fldChar w:fldCharType="separate"/>
        </w:r>
        <w:r w:rsidR="001538E7">
          <w:rPr>
            <w:noProof/>
            <w:webHidden/>
          </w:rPr>
          <w:t>4</w:t>
        </w:r>
        <w:r w:rsidR="001538E7">
          <w:rPr>
            <w:noProof/>
            <w:webHidden/>
          </w:rPr>
          <w:fldChar w:fldCharType="end"/>
        </w:r>
      </w:hyperlink>
    </w:p>
    <w:p w:rsidR="00545E16" w:rsidRDefault="00DB51B4" w:rsidP="006D63CA">
      <w:pPr>
        <w:tabs>
          <w:tab w:val="left" w:pos="1134"/>
        </w:tabs>
        <w:ind w:left="1134" w:right="283" w:hanging="1134"/>
        <w:rPr>
          <w:snapToGrid w:val="0"/>
          <w:lang w:val="fr-CH"/>
        </w:rPr>
        <w:sectPr w:rsidR="00545E16" w:rsidSect="007B78B4">
          <w:headerReference w:type="default" r:id="rId9"/>
          <w:pgSz w:w="11907" w:h="16840" w:code="9"/>
          <w:pgMar w:top="567" w:right="1134" w:bottom="992" w:left="1134" w:header="510" w:footer="680" w:gutter="0"/>
          <w:cols w:space="720"/>
          <w:titlePg/>
        </w:sectPr>
      </w:pPr>
      <w:r w:rsidRPr="00F346D7">
        <w:rPr>
          <w:snapToGrid w:val="0"/>
          <w:lang w:val="fr-CH"/>
        </w:rPr>
        <w:fldChar w:fldCharType="end"/>
      </w:r>
      <w:r w:rsidR="008A7B22" w:rsidRPr="00F346D7">
        <w:rPr>
          <w:snapToGrid w:val="0"/>
          <w:lang w:val="fr-CH"/>
        </w:rPr>
        <w:t>ANNEXE</w:t>
      </w:r>
      <w:r w:rsidR="00AE08C2">
        <w:rPr>
          <w:snapToGrid w:val="0"/>
          <w:lang w:val="fr-CH"/>
        </w:rPr>
        <w:t> :</w:t>
      </w:r>
      <w:r w:rsidR="00AB2A1A">
        <w:rPr>
          <w:snapToGrid w:val="0"/>
          <w:lang w:val="fr-CH"/>
        </w:rPr>
        <w:t xml:space="preserve"> </w:t>
      </w:r>
      <w:r w:rsidR="008A7B22" w:rsidRPr="00F346D7">
        <w:rPr>
          <w:snapToGrid w:val="0"/>
          <w:lang w:val="fr-CH"/>
        </w:rPr>
        <w:tab/>
      </w:r>
      <w:r w:rsidR="007B78B4" w:rsidRPr="00F346D7">
        <w:rPr>
          <w:snapToGrid w:val="0"/>
          <w:lang w:val="fr-CH"/>
        </w:rPr>
        <w:t>PROJET DE PROGRAMME POUR LE “SÉMINAIRE SUR L</w:t>
      </w:r>
      <w:r w:rsidR="007B78B4">
        <w:rPr>
          <w:snapToGrid w:val="0"/>
          <w:lang w:val="fr-CH"/>
        </w:rPr>
        <w:t>’INCIDENCE</w:t>
      </w:r>
      <w:r w:rsidR="007B78B4" w:rsidRPr="00F346D7">
        <w:rPr>
          <w:snapToGrid w:val="0"/>
          <w:lang w:val="fr-CH"/>
        </w:rPr>
        <w:t xml:space="preserve"> DE LA POLITIQUE RELATIVE AUX VARIÉTÉS ESSENTIELLEMENT DÉRIVÉES SUR LA STRATÉGIE </w:t>
      </w:r>
      <w:r w:rsidR="007B78B4">
        <w:rPr>
          <w:snapToGrid w:val="0"/>
          <w:lang w:val="fr-CH"/>
        </w:rPr>
        <w:t xml:space="preserve">EN </w:t>
      </w:r>
      <w:bookmarkStart w:id="3" w:name="_GoBack"/>
      <w:bookmarkEnd w:id="3"/>
      <w:r w:rsidR="007B78B4">
        <w:rPr>
          <w:snapToGrid w:val="0"/>
          <w:lang w:val="fr-CH"/>
        </w:rPr>
        <w:t xml:space="preserve">MATIÈRE DE CRÉATION </w:t>
      </w:r>
      <w:r w:rsidR="007B78B4" w:rsidRPr="00F346D7">
        <w:rPr>
          <w:snapToGrid w:val="0"/>
          <w:lang w:val="fr-CH"/>
        </w:rPr>
        <w:t>VARIÉTALE”</w:t>
      </w:r>
    </w:p>
    <w:p w:rsidR="00285FF7" w:rsidRPr="00F346D7" w:rsidRDefault="008A7B22" w:rsidP="008A7B22">
      <w:pPr>
        <w:pStyle w:val="Heading1"/>
        <w:rPr>
          <w:lang w:val="fr-CH"/>
        </w:rPr>
      </w:pPr>
      <w:bookmarkStart w:id="4" w:name="_Toc15391237"/>
      <w:r w:rsidRPr="00F346D7">
        <w:rPr>
          <w:lang w:val="fr-CH"/>
        </w:rPr>
        <w:lastRenderedPageBreak/>
        <w:t>Informations générales</w:t>
      </w:r>
      <w:bookmarkEnd w:id="4"/>
      <w:r w:rsidR="00931508">
        <w:rPr>
          <w:lang w:val="fr-CH"/>
        </w:rPr>
        <w:t xml:space="preserve"> </w:t>
      </w:r>
    </w:p>
    <w:p w:rsidR="00285FF7" w:rsidRPr="00F346D7" w:rsidRDefault="00285FF7" w:rsidP="004A55FB">
      <w:pPr>
        <w:jc w:val="left"/>
        <w:rPr>
          <w:rFonts w:cs="Arial"/>
          <w:u w:val="single"/>
          <w:lang w:val="fr-CH"/>
        </w:rPr>
      </w:pPr>
    </w:p>
    <w:p w:rsidR="00285FF7" w:rsidRPr="00F346D7" w:rsidRDefault="004A55FB" w:rsidP="002326BB">
      <w:pPr>
        <w:keepNext/>
        <w:rPr>
          <w:kern w:val="28"/>
          <w:lang w:val="fr-CH"/>
        </w:rPr>
      </w:pPr>
      <w:r w:rsidRPr="00F346D7">
        <w:rPr>
          <w:spacing w:val="-2"/>
          <w:lang w:val="fr-CH"/>
        </w:rPr>
        <w:fldChar w:fldCharType="begin"/>
      </w:r>
      <w:r w:rsidRPr="00F346D7">
        <w:rPr>
          <w:spacing w:val="-2"/>
          <w:lang w:val="fr-CH"/>
        </w:rPr>
        <w:instrText xml:space="preserve"> AUTONUM  </w:instrText>
      </w:r>
      <w:r w:rsidRPr="00F346D7">
        <w:rPr>
          <w:spacing w:val="-2"/>
          <w:lang w:val="fr-CH"/>
        </w:rPr>
        <w:fldChar w:fldCharType="end"/>
      </w:r>
      <w:r w:rsidRPr="00F346D7">
        <w:rPr>
          <w:spacing w:val="-2"/>
          <w:lang w:val="fr-CH"/>
        </w:rPr>
        <w:tab/>
      </w:r>
      <w:r w:rsidR="003E5E2C" w:rsidRPr="00F346D7">
        <w:rPr>
          <w:spacing w:val="-2"/>
          <w:lang w:val="fr-CH"/>
        </w:rPr>
        <w:t>À sa soixante</w:t>
      </w:r>
      <w:r w:rsidR="00AE08C2">
        <w:rPr>
          <w:spacing w:val="-2"/>
          <w:lang w:val="fr-CH"/>
        </w:rPr>
        <w:t>-</w:t>
      </w:r>
      <w:r w:rsidR="003E5E2C" w:rsidRPr="00F346D7">
        <w:rPr>
          <w:spacing w:val="-2"/>
          <w:lang w:val="fr-CH"/>
        </w:rPr>
        <w:t>quinz</w:t>
      </w:r>
      <w:r w:rsidR="00AE08C2">
        <w:rPr>
          <w:spacing w:val="-2"/>
          <w:lang w:val="fr-CH"/>
        </w:rPr>
        <w:t>ième session</w:t>
      </w:r>
      <w:bookmarkStart w:id="5" w:name="_Ref14793986"/>
      <w:r w:rsidR="00822A0B" w:rsidRPr="00F346D7">
        <w:rPr>
          <w:rStyle w:val="FootnoteReference"/>
          <w:spacing w:val="-2"/>
          <w:kern w:val="28"/>
          <w:lang w:val="fr-CH"/>
        </w:rPr>
        <w:footnoteReference w:id="2"/>
      </w:r>
      <w:bookmarkEnd w:id="5"/>
      <w:r w:rsidRPr="00F346D7">
        <w:rPr>
          <w:spacing w:val="-2"/>
          <w:kern w:val="28"/>
          <w:lang w:val="fr-CH"/>
        </w:rPr>
        <w:t>,</w:t>
      </w:r>
      <w:r w:rsidR="00AE08C2" w:rsidRPr="00F346D7">
        <w:rPr>
          <w:spacing w:val="-2"/>
          <w:kern w:val="28"/>
          <w:lang w:val="fr-CH"/>
        </w:rPr>
        <w:t xml:space="preserve"> le</w:t>
      </w:r>
      <w:r w:rsidR="00AE08C2">
        <w:rPr>
          <w:spacing w:val="-2"/>
          <w:kern w:val="28"/>
          <w:lang w:val="fr-CH"/>
        </w:rPr>
        <w:t> </w:t>
      </w:r>
      <w:r w:rsidR="00AE08C2" w:rsidRPr="00F346D7">
        <w:rPr>
          <w:spacing w:val="-2"/>
          <w:kern w:val="28"/>
          <w:lang w:val="fr-CH"/>
        </w:rPr>
        <w:t>CAJ</w:t>
      </w:r>
      <w:r w:rsidR="003E5E2C" w:rsidRPr="00F346D7">
        <w:rPr>
          <w:spacing w:val="-2"/>
          <w:kern w:val="28"/>
          <w:lang w:val="fr-CH"/>
        </w:rPr>
        <w:t xml:space="preserve"> a examiné le </w:t>
      </w:r>
      <w:r w:rsidR="00AE08C2" w:rsidRPr="00F346D7">
        <w:rPr>
          <w:spacing w:val="-2"/>
          <w:kern w:val="28"/>
          <w:lang w:val="fr-CH"/>
        </w:rPr>
        <w:t>document</w:t>
      </w:r>
      <w:r w:rsidR="00AE08C2">
        <w:rPr>
          <w:spacing w:val="-2"/>
          <w:kern w:val="28"/>
          <w:lang w:val="fr-CH"/>
        </w:rPr>
        <w:t xml:space="preserve"> </w:t>
      </w:r>
      <w:r w:rsidR="00AE08C2" w:rsidRPr="00F346D7">
        <w:rPr>
          <w:spacing w:val="-2"/>
          <w:kern w:val="28"/>
          <w:lang w:val="fr-CH"/>
        </w:rPr>
        <w:t>CA</w:t>
      </w:r>
      <w:r w:rsidRPr="00F346D7">
        <w:rPr>
          <w:spacing w:val="-2"/>
          <w:kern w:val="28"/>
          <w:lang w:val="fr-CH"/>
        </w:rPr>
        <w:t>J/75/3 “</w:t>
      </w:r>
      <w:r w:rsidR="003E5E2C" w:rsidRPr="00F346D7">
        <w:rPr>
          <w:spacing w:val="-2"/>
          <w:kern w:val="28"/>
          <w:lang w:val="fr-CH"/>
        </w:rPr>
        <w:t>Exposés sur les variétés essentiellement dérivées</w:t>
      </w:r>
      <w:r w:rsidRPr="00F346D7">
        <w:rPr>
          <w:spacing w:val="-2"/>
          <w:kern w:val="28"/>
          <w:lang w:val="fr-CH"/>
        </w:rPr>
        <w:t xml:space="preserve">” </w:t>
      </w:r>
      <w:r w:rsidR="002326BB" w:rsidRPr="00F346D7">
        <w:rPr>
          <w:spacing w:val="-2"/>
          <w:kern w:val="28"/>
          <w:lang w:val="fr-CH"/>
        </w:rPr>
        <w:t>et pris note des exposés présentés par les États</w:t>
      </w:r>
      <w:r w:rsidR="00AE08C2">
        <w:rPr>
          <w:spacing w:val="-2"/>
          <w:kern w:val="28"/>
          <w:lang w:val="fr-CH"/>
        </w:rPr>
        <w:t>-</w:t>
      </w:r>
      <w:r w:rsidR="002326BB" w:rsidRPr="00F346D7">
        <w:rPr>
          <w:spacing w:val="-2"/>
          <w:kern w:val="28"/>
          <w:lang w:val="fr-CH"/>
        </w:rPr>
        <w:t>Unis d</w:t>
      </w:r>
      <w:r w:rsidR="00AE08C2">
        <w:rPr>
          <w:spacing w:val="-2"/>
          <w:kern w:val="28"/>
          <w:lang w:val="fr-CH"/>
        </w:rPr>
        <w:t>’</w:t>
      </w:r>
      <w:r w:rsidR="002326BB" w:rsidRPr="00F346D7">
        <w:rPr>
          <w:spacing w:val="-2"/>
          <w:kern w:val="28"/>
          <w:lang w:val="fr-CH"/>
        </w:rPr>
        <w:t>Amérique,</w:t>
      </w:r>
      <w:r w:rsidR="00AE08C2" w:rsidRPr="00F346D7">
        <w:rPr>
          <w:spacing w:val="-2"/>
          <w:kern w:val="28"/>
          <w:lang w:val="fr-CH"/>
        </w:rPr>
        <w:t xml:space="preserve"> la</w:t>
      </w:r>
      <w:r w:rsidR="00AE08C2">
        <w:rPr>
          <w:spacing w:val="-2"/>
          <w:kern w:val="28"/>
          <w:lang w:val="fr-CH"/>
        </w:rPr>
        <w:t> </w:t>
      </w:r>
      <w:r w:rsidR="005F3737">
        <w:rPr>
          <w:rFonts w:eastAsiaTheme="minorEastAsia"/>
          <w:snapToGrid w:val="0"/>
          <w:spacing w:val="-2"/>
          <w:lang w:val="fr-CH"/>
        </w:rPr>
        <w:t>Communauté </w:t>
      </w:r>
      <w:r w:rsidR="005B6350" w:rsidRPr="002F7F91">
        <w:rPr>
          <w:rFonts w:eastAsiaTheme="minorEastAsia"/>
          <w:snapToGrid w:val="0"/>
          <w:spacing w:val="-2"/>
          <w:lang w:val="fr-CH"/>
        </w:rPr>
        <w:t>internationale des obtenteurs de plantes ornementales et fruitières à reproduction asexuée</w:t>
      </w:r>
      <w:r w:rsidR="005B6350" w:rsidRPr="00F346D7">
        <w:rPr>
          <w:spacing w:val="-2"/>
          <w:kern w:val="28"/>
          <w:lang w:val="fr-CH"/>
        </w:rPr>
        <w:t xml:space="preserve"> </w:t>
      </w:r>
      <w:r w:rsidR="005B6350">
        <w:rPr>
          <w:spacing w:val="-2"/>
          <w:kern w:val="28"/>
          <w:lang w:val="fr-CH"/>
        </w:rPr>
        <w:t>(</w:t>
      </w:r>
      <w:r w:rsidR="00AE08C2" w:rsidRPr="00F346D7">
        <w:rPr>
          <w:spacing w:val="-2"/>
          <w:kern w:val="28"/>
          <w:lang w:val="fr-CH"/>
        </w:rPr>
        <w:t>CIO</w:t>
      </w:r>
      <w:r w:rsidR="002326BB" w:rsidRPr="00F346D7">
        <w:rPr>
          <w:spacing w:val="-2"/>
          <w:kern w:val="28"/>
          <w:lang w:val="fr-CH"/>
        </w:rPr>
        <w:t>PORA</w:t>
      </w:r>
      <w:r w:rsidR="005B6350">
        <w:rPr>
          <w:spacing w:val="-2"/>
          <w:kern w:val="28"/>
          <w:lang w:val="fr-CH"/>
        </w:rPr>
        <w:t>)</w:t>
      </w:r>
      <w:r w:rsidR="00731CF1">
        <w:rPr>
          <w:spacing w:val="-2"/>
          <w:kern w:val="28"/>
          <w:lang w:val="fr-CH"/>
        </w:rPr>
        <w:t>, l</w:t>
      </w:r>
      <w:r w:rsidR="00AE08C2">
        <w:rPr>
          <w:spacing w:val="-2"/>
          <w:kern w:val="28"/>
          <w:lang w:val="fr-CH"/>
        </w:rPr>
        <w:t>’</w:t>
      </w:r>
      <w:r w:rsidR="005B6350" w:rsidRPr="005B6350">
        <w:rPr>
          <w:i/>
          <w:spacing w:val="-2"/>
          <w:kern w:val="28"/>
          <w:lang w:val="fr-CH"/>
        </w:rPr>
        <w:t>European Seed Association</w:t>
      </w:r>
      <w:r w:rsidR="005B6350" w:rsidRPr="005B6350">
        <w:rPr>
          <w:spacing w:val="-2"/>
          <w:kern w:val="28"/>
          <w:lang w:val="fr-CH"/>
        </w:rPr>
        <w:t xml:space="preserve"> </w:t>
      </w:r>
      <w:r w:rsidR="005B6350">
        <w:rPr>
          <w:spacing w:val="-2"/>
          <w:kern w:val="28"/>
          <w:lang w:val="fr-CH"/>
        </w:rPr>
        <w:t>(</w:t>
      </w:r>
      <w:r w:rsidR="002326BB" w:rsidRPr="00F346D7">
        <w:rPr>
          <w:spacing w:val="-2"/>
          <w:kern w:val="28"/>
          <w:lang w:val="fr-CH"/>
        </w:rPr>
        <w:t>ESA</w:t>
      </w:r>
      <w:r w:rsidR="005B6350">
        <w:rPr>
          <w:spacing w:val="-2"/>
          <w:kern w:val="28"/>
          <w:lang w:val="fr-CH"/>
        </w:rPr>
        <w:t>)</w:t>
      </w:r>
      <w:r w:rsidR="002326BB" w:rsidRPr="00F346D7">
        <w:rPr>
          <w:spacing w:val="-2"/>
          <w:kern w:val="28"/>
          <w:lang w:val="fr-CH"/>
        </w:rPr>
        <w:t xml:space="preserve"> et l</w:t>
      </w:r>
      <w:r w:rsidR="00AE08C2">
        <w:rPr>
          <w:spacing w:val="-2"/>
          <w:kern w:val="28"/>
          <w:lang w:val="fr-CH"/>
        </w:rPr>
        <w:t>’</w:t>
      </w:r>
      <w:r w:rsidR="005B6350" w:rsidRPr="002F7F91">
        <w:rPr>
          <w:rFonts w:eastAsiaTheme="minorEastAsia"/>
          <w:i/>
          <w:snapToGrid w:val="0"/>
          <w:spacing w:val="-2"/>
          <w:lang w:val="fr-CH"/>
        </w:rPr>
        <w:t xml:space="preserve">International Seed </w:t>
      </w:r>
      <w:r w:rsidR="005B6350" w:rsidRPr="005B6350">
        <w:rPr>
          <w:rFonts w:eastAsiaTheme="minorEastAsia"/>
          <w:i/>
          <w:snapToGrid w:val="0"/>
          <w:spacing w:val="-2"/>
          <w:lang w:val="fr-CH"/>
        </w:rPr>
        <w:t xml:space="preserve">Federation </w:t>
      </w:r>
      <w:r w:rsidR="005B6350" w:rsidRPr="005B6350">
        <w:rPr>
          <w:rFonts w:eastAsiaTheme="minorEastAsia"/>
          <w:snapToGrid w:val="0"/>
          <w:spacing w:val="-2"/>
          <w:lang w:val="fr-CH"/>
        </w:rPr>
        <w:t>(</w:t>
      </w:r>
      <w:r w:rsidR="002326BB" w:rsidRPr="005B6350">
        <w:rPr>
          <w:spacing w:val="-2"/>
          <w:kern w:val="28"/>
          <w:lang w:val="fr-CH"/>
        </w:rPr>
        <w:t>ISF</w:t>
      </w:r>
      <w:r w:rsidR="005B6350">
        <w:rPr>
          <w:spacing w:val="-2"/>
          <w:kern w:val="28"/>
          <w:lang w:val="fr-CH"/>
        </w:rPr>
        <w:t>)</w:t>
      </w:r>
      <w:r w:rsidR="002326BB" w:rsidRPr="00F346D7">
        <w:rPr>
          <w:spacing w:val="-2"/>
          <w:kern w:val="28"/>
          <w:lang w:val="fr-CH"/>
        </w:rPr>
        <w:t xml:space="preserve"> sur les variétés essentiellement dérivées.</w:t>
      </w:r>
    </w:p>
    <w:p w:rsidR="00285FF7" w:rsidRPr="00F346D7" w:rsidRDefault="00285FF7" w:rsidP="002E603E">
      <w:pPr>
        <w:rPr>
          <w:lang w:val="fr-CH"/>
        </w:rPr>
      </w:pPr>
    </w:p>
    <w:p w:rsidR="00285FF7" w:rsidRPr="00F346D7" w:rsidRDefault="002E603E" w:rsidP="00212555">
      <w:pPr>
        <w:keepNext/>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1A61FA" w:rsidRPr="00F346D7">
        <w:rPr>
          <w:lang w:val="fr-CH"/>
        </w:rPr>
        <w:t>L</w:t>
      </w:r>
      <w:r w:rsidRPr="00F346D7">
        <w:rPr>
          <w:lang w:val="fr-CH"/>
        </w:rPr>
        <w:t xml:space="preserve">e CAJ </w:t>
      </w:r>
      <w:r w:rsidR="001A61FA" w:rsidRPr="00F346D7">
        <w:rPr>
          <w:lang w:val="fr-CH"/>
        </w:rPr>
        <w:t>est convenu</w:t>
      </w:r>
      <w:r w:rsidR="00800BF6">
        <w:rPr>
          <w:lang w:val="fr-CH"/>
        </w:rPr>
        <w:t> :</w:t>
      </w:r>
    </w:p>
    <w:p w:rsidR="00285FF7" w:rsidRPr="00F346D7" w:rsidRDefault="00285FF7" w:rsidP="00212555">
      <w:pPr>
        <w:keepNext/>
        <w:rPr>
          <w:lang w:val="fr-CH"/>
        </w:rPr>
      </w:pPr>
    </w:p>
    <w:p w:rsidR="00285FF7" w:rsidRPr="00F346D7" w:rsidRDefault="002E603E" w:rsidP="00212555">
      <w:pPr>
        <w:keepNext/>
        <w:numPr>
          <w:ilvl w:val="0"/>
          <w:numId w:val="2"/>
        </w:numPr>
        <w:rPr>
          <w:lang w:val="fr-CH"/>
        </w:rPr>
      </w:pPr>
      <w:r w:rsidRPr="00F346D7">
        <w:rPr>
          <w:lang w:val="fr-CH"/>
        </w:rPr>
        <w:t>“</w:t>
      </w:r>
      <w:r w:rsidR="001A61FA" w:rsidRPr="00F346D7">
        <w:rPr>
          <w:lang w:val="fr-FR"/>
        </w:rPr>
        <w:t>de proposer au Conseil d</w:t>
      </w:r>
      <w:r w:rsidR="00AE08C2">
        <w:rPr>
          <w:lang w:val="fr-FR"/>
        </w:rPr>
        <w:t>’</w:t>
      </w:r>
      <w:r w:rsidR="00775FA9">
        <w:rPr>
          <w:lang w:val="fr-FR"/>
        </w:rPr>
        <w:t xml:space="preserve">organiser un </w:t>
      </w:r>
      <w:r w:rsidR="00775FA9">
        <w:rPr>
          <w:rFonts w:cs="Arial"/>
          <w:lang w:val="fr-FR"/>
        </w:rPr>
        <w:t>‛</w:t>
      </w:r>
      <w:r w:rsidR="001A61FA" w:rsidRPr="00F346D7">
        <w:rPr>
          <w:lang w:val="fr-FR"/>
        </w:rPr>
        <w:t>Séminaire sur l</w:t>
      </w:r>
      <w:r w:rsidR="00AE08C2">
        <w:rPr>
          <w:lang w:val="fr-FR"/>
        </w:rPr>
        <w:t>’</w:t>
      </w:r>
      <w:r w:rsidR="001A61FA" w:rsidRPr="00F346D7">
        <w:rPr>
          <w:lang w:val="fr-FR"/>
        </w:rPr>
        <w:t>incidence de la politique relative aux variétés essentiellement dérivées sur la stratégie en matière de création variétale</w:t>
      </w:r>
      <w:r w:rsidR="00AE08C2">
        <w:rPr>
          <w:rFonts w:cs="Arial"/>
          <w:lang w:val="fr-FR"/>
        </w:rPr>
        <w:t>’</w:t>
      </w:r>
      <w:r w:rsidR="001A61FA" w:rsidRPr="00F346D7">
        <w:rPr>
          <w:lang w:val="fr-FR"/>
        </w:rPr>
        <w:t xml:space="preserve"> dans la matinée du 30 octobre 2019,</w:t>
      </w:r>
    </w:p>
    <w:p w:rsidR="00285FF7" w:rsidRPr="00F346D7" w:rsidRDefault="00285FF7" w:rsidP="002E603E">
      <w:pPr>
        <w:rPr>
          <w:lang w:val="fr-CH"/>
        </w:rPr>
      </w:pPr>
    </w:p>
    <w:p w:rsidR="00CC1990" w:rsidRPr="00CC1990" w:rsidRDefault="002E603E" w:rsidP="00E03F4D">
      <w:pPr>
        <w:numPr>
          <w:ilvl w:val="0"/>
          <w:numId w:val="2"/>
        </w:numPr>
        <w:rPr>
          <w:lang w:val="fr-CH"/>
        </w:rPr>
      </w:pPr>
      <w:r w:rsidRPr="00CC1990">
        <w:rPr>
          <w:lang w:val="fr-CH"/>
        </w:rPr>
        <w:t>“</w:t>
      </w:r>
      <w:r w:rsidR="00CC1990" w:rsidRPr="00CC1990">
        <w:rPr>
          <w:lang w:val="fr-CH"/>
        </w:rPr>
        <w:t>que le séminaire comprendra des exposés présentés par des obtenteurs, des magistrats, des universitaires et des services des membres de l’UPOV afin d’étudier divers points de vue sur le sujet.  Le Bureau de l’Union invitera les membres et les observateurs à proposer des questions et des points qu’ils souhaiteraient aborder durant le séminaire.  Le Bureau de l’Union établira ensuite, en consultation avec le président du CAJ, un projet de programme qui sera soumis au CAJ pour observations par correspondance.  Sur la base des observations reçues, le président du CAJ finalisera le programme en consultation avec le Bureau de l’Union,</w:t>
      </w:r>
    </w:p>
    <w:p w:rsidR="00285FF7" w:rsidRPr="00F346D7" w:rsidRDefault="00285FF7" w:rsidP="002E603E">
      <w:pPr>
        <w:rPr>
          <w:lang w:val="fr-CH"/>
        </w:rPr>
      </w:pPr>
    </w:p>
    <w:p w:rsidR="00AE08C2" w:rsidRDefault="002E603E" w:rsidP="00CC1990">
      <w:pPr>
        <w:numPr>
          <w:ilvl w:val="0"/>
          <w:numId w:val="2"/>
        </w:numPr>
        <w:rPr>
          <w:lang w:val="fr-CH"/>
        </w:rPr>
      </w:pPr>
      <w:r w:rsidRPr="00F346D7">
        <w:rPr>
          <w:lang w:val="fr-CH"/>
        </w:rPr>
        <w:t>“</w:t>
      </w:r>
      <w:r w:rsidR="00CC1990" w:rsidRPr="00CC1990">
        <w:rPr>
          <w:rFonts w:eastAsiaTheme="minorEastAsia"/>
          <w:lang w:val="fr-FR"/>
        </w:rPr>
        <w:t>que la participation au séminaire doit être ouverte au public, sous réserve de la mise à disposition de l’enregistrement du séminaire sur le site Web de l’UPOV après un délai approprié</w:t>
      </w:r>
      <w:r w:rsidR="006816C0" w:rsidRPr="00F346D7">
        <w:rPr>
          <w:lang w:val="fr-CH"/>
        </w:rPr>
        <w:t>” (</w:t>
      </w:r>
      <w:r w:rsidR="001A61FA" w:rsidRPr="00F346D7">
        <w:rPr>
          <w:lang w:val="fr-CH"/>
        </w:rPr>
        <w:t>voir les paragraphes</w:t>
      </w:r>
      <w:r w:rsidR="00973659">
        <w:rPr>
          <w:lang w:val="fr-CH"/>
        </w:rPr>
        <w:t> </w:t>
      </w:r>
      <w:r w:rsidR="001A61FA" w:rsidRPr="00F346D7">
        <w:rPr>
          <w:lang w:val="fr-CH"/>
        </w:rPr>
        <w:t xml:space="preserve">15 et 16 du </w:t>
      </w:r>
      <w:r w:rsidR="006816C0" w:rsidRPr="00F346D7">
        <w:rPr>
          <w:lang w:val="fr-CH"/>
        </w:rPr>
        <w:t>document CAJ/75/14 “</w:t>
      </w:r>
      <w:r w:rsidR="001A61FA" w:rsidRPr="00F346D7">
        <w:rPr>
          <w:lang w:val="fr-CH"/>
        </w:rPr>
        <w:t>Compte rendu</w:t>
      </w:r>
      <w:r w:rsidR="006816C0" w:rsidRPr="00F346D7">
        <w:rPr>
          <w:lang w:val="fr-CH"/>
        </w:rPr>
        <w:t>”</w:t>
      </w:r>
      <w:r w:rsidRPr="00F346D7">
        <w:rPr>
          <w:lang w:val="fr-CH"/>
        </w:rPr>
        <w:t>).</w:t>
      </w:r>
    </w:p>
    <w:p w:rsidR="00285FF7" w:rsidRPr="00F346D7" w:rsidRDefault="00285FF7" w:rsidP="002E603E">
      <w:pPr>
        <w:pStyle w:val="ListParagraph"/>
        <w:rPr>
          <w:lang w:val="fr-CH"/>
        </w:rPr>
      </w:pPr>
    </w:p>
    <w:p w:rsidR="00285FF7" w:rsidRPr="00F346D7" w:rsidRDefault="002E603E" w:rsidP="002E603E">
      <w:pPr>
        <w:rPr>
          <w:rFonts w:eastAsiaTheme="minorEastAsia"/>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A1512B" w:rsidRPr="00F346D7">
        <w:rPr>
          <w:lang w:val="fr-FR"/>
        </w:rPr>
        <w:t>Le CAJ est convenu que l</w:t>
      </w:r>
      <w:r w:rsidR="00AE08C2">
        <w:rPr>
          <w:lang w:val="fr-FR"/>
        </w:rPr>
        <w:t>’</w:t>
      </w:r>
      <w:r w:rsidR="00A1512B" w:rsidRPr="00F346D7">
        <w:rPr>
          <w:lang w:val="fr-FR"/>
        </w:rPr>
        <w:t>examen de la révision des notes explicatives sur les variétés essentiellement dérivées serait inscrit à l</w:t>
      </w:r>
      <w:r w:rsidR="00AE08C2">
        <w:rPr>
          <w:lang w:val="fr-FR"/>
        </w:rPr>
        <w:t>’</w:t>
      </w:r>
      <w:r w:rsidR="00A1512B" w:rsidRPr="00F346D7">
        <w:rPr>
          <w:lang w:val="fr-FR"/>
        </w:rPr>
        <w:t>ordre du jour de sa soixante</w:t>
      </w:r>
      <w:r w:rsidR="00AE08C2">
        <w:rPr>
          <w:lang w:val="fr-FR"/>
        </w:rPr>
        <w:t>-</w:t>
      </w:r>
      <w:r w:rsidR="00A1512B" w:rsidRPr="00F346D7">
        <w:rPr>
          <w:lang w:val="fr-FR"/>
        </w:rPr>
        <w:t>seiz</w:t>
      </w:r>
      <w:r w:rsidR="00AE08C2">
        <w:rPr>
          <w:lang w:val="fr-FR"/>
        </w:rPr>
        <w:t>ième session</w:t>
      </w:r>
      <w:r w:rsidR="00A1512B" w:rsidRPr="00F346D7">
        <w:rPr>
          <w:lang w:val="fr-FR"/>
        </w:rPr>
        <w:t xml:space="preserve"> et que les conclusions du séminaire serviraient de point de départ à cet examen </w:t>
      </w:r>
      <w:r w:rsidRPr="00F346D7">
        <w:rPr>
          <w:rFonts w:eastAsiaTheme="minorEastAsia"/>
          <w:lang w:val="fr-CH"/>
        </w:rPr>
        <w:t>(</w:t>
      </w:r>
      <w:r w:rsidR="00A1512B" w:rsidRPr="00F346D7">
        <w:rPr>
          <w:rFonts w:eastAsiaTheme="minorEastAsia"/>
          <w:lang w:val="fr-CH"/>
        </w:rPr>
        <w:t>voir le paragraphe</w:t>
      </w:r>
      <w:r w:rsidR="00973659">
        <w:rPr>
          <w:rFonts w:eastAsiaTheme="minorEastAsia"/>
          <w:lang w:val="fr-CH"/>
        </w:rPr>
        <w:t> </w:t>
      </w:r>
      <w:r w:rsidR="00A1512B" w:rsidRPr="00F346D7">
        <w:rPr>
          <w:rFonts w:eastAsiaTheme="minorEastAsia"/>
          <w:lang w:val="fr-CH"/>
        </w:rPr>
        <w:t xml:space="preserve">17 du </w:t>
      </w:r>
      <w:r w:rsidRPr="00F346D7">
        <w:rPr>
          <w:rFonts w:eastAsiaTheme="minorEastAsia"/>
          <w:lang w:val="fr-CH"/>
        </w:rPr>
        <w:t>document CAJ/75/14 “</w:t>
      </w:r>
      <w:r w:rsidR="00A1512B" w:rsidRPr="00F346D7">
        <w:rPr>
          <w:rFonts w:eastAsiaTheme="minorEastAsia"/>
          <w:lang w:val="fr-CH"/>
        </w:rPr>
        <w:t>Compte rendu</w:t>
      </w:r>
      <w:r w:rsidRPr="00F346D7">
        <w:rPr>
          <w:rFonts w:eastAsiaTheme="minorEastAsia"/>
          <w:lang w:val="fr-CH"/>
        </w:rPr>
        <w:t>”).</w:t>
      </w:r>
    </w:p>
    <w:p w:rsidR="00285FF7" w:rsidRPr="00F346D7" w:rsidRDefault="00285FF7" w:rsidP="002E603E">
      <w:pPr>
        <w:rPr>
          <w:lang w:val="fr-CH"/>
        </w:rPr>
      </w:pPr>
    </w:p>
    <w:p w:rsidR="00285FF7" w:rsidRPr="00F346D7" w:rsidRDefault="002E603E" w:rsidP="00D323F5">
      <w:pPr>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D323F5" w:rsidRPr="00F346D7">
        <w:rPr>
          <w:lang w:val="fr-CH"/>
        </w:rPr>
        <w:t>À sa cinquante</w:t>
      </w:r>
      <w:r w:rsidR="00AE08C2">
        <w:rPr>
          <w:lang w:val="fr-CH"/>
        </w:rPr>
        <w:t>-</w:t>
      </w:r>
      <w:r w:rsidR="00D323F5" w:rsidRPr="00F346D7">
        <w:rPr>
          <w:lang w:val="fr-CH"/>
        </w:rPr>
        <w:t>deux</w:t>
      </w:r>
      <w:r w:rsidR="00AE08C2">
        <w:rPr>
          <w:lang w:val="fr-CH"/>
        </w:rPr>
        <w:t>ième session</w:t>
      </w:r>
      <w:r w:rsidR="00D323F5" w:rsidRPr="00F346D7">
        <w:rPr>
          <w:lang w:val="fr-CH"/>
        </w:rPr>
        <w:t xml:space="preserve"> ordinaire</w:t>
      </w:r>
      <w:r w:rsidR="00D323F5" w:rsidRPr="00F346D7">
        <w:rPr>
          <w:rStyle w:val="FootnoteReference"/>
          <w:lang w:val="fr-CH"/>
        </w:rPr>
        <w:footnoteReference w:id="3"/>
      </w:r>
      <w:r w:rsidR="00D323F5" w:rsidRPr="00F346D7">
        <w:rPr>
          <w:lang w:val="fr-CH"/>
        </w:rPr>
        <w:t>, le Conseil a approuvé “l</w:t>
      </w:r>
      <w:r w:rsidR="00AE08C2">
        <w:rPr>
          <w:lang w:val="fr-CH"/>
        </w:rPr>
        <w:t>’</w:t>
      </w:r>
      <w:r w:rsidR="00D323F5" w:rsidRPr="00F346D7">
        <w:rPr>
          <w:lang w:val="fr-CH"/>
        </w:rPr>
        <w:t>organisation d</w:t>
      </w:r>
      <w:r w:rsidR="00AE08C2">
        <w:rPr>
          <w:lang w:val="fr-CH"/>
        </w:rPr>
        <w:t>’</w:t>
      </w:r>
      <w:r w:rsidR="00D323F5" w:rsidRPr="00F346D7">
        <w:rPr>
          <w:lang w:val="fr-CH"/>
        </w:rPr>
        <w:t xml:space="preserve">un </w:t>
      </w:r>
      <w:r w:rsidR="00775FA9">
        <w:rPr>
          <w:rFonts w:cs="Arial"/>
          <w:lang w:val="fr-CH"/>
        </w:rPr>
        <w:t>‛</w:t>
      </w:r>
      <w:r w:rsidR="00775FA9">
        <w:rPr>
          <w:lang w:val="fr-CH"/>
        </w:rPr>
        <w:t>Séminaire sur l</w:t>
      </w:r>
      <w:r w:rsidR="00AE08C2">
        <w:rPr>
          <w:lang w:val="fr-CH"/>
        </w:rPr>
        <w:t>’</w:t>
      </w:r>
      <w:r w:rsidR="00775FA9">
        <w:rPr>
          <w:lang w:val="fr-CH"/>
        </w:rPr>
        <w:t>incidence</w:t>
      </w:r>
      <w:r w:rsidR="00D323F5" w:rsidRPr="00F346D7">
        <w:rPr>
          <w:lang w:val="fr-CH"/>
        </w:rPr>
        <w:t xml:space="preserve"> de la politique relative aux variétés essentiellement dérivées sur la stratégie </w:t>
      </w:r>
      <w:r w:rsidR="00775FA9">
        <w:rPr>
          <w:lang w:val="fr-CH"/>
        </w:rPr>
        <w:t xml:space="preserve">en matière de création </w:t>
      </w:r>
      <w:r w:rsidR="00D323F5" w:rsidRPr="00F346D7">
        <w:rPr>
          <w:lang w:val="fr-CH"/>
        </w:rPr>
        <w:t>variétale</w:t>
      </w:r>
      <w:r w:rsidR="00AE08C2">
        <w:rPr>
          <w:rFonts w:cs="Arial"/>
          <w:lang w:val="fr-CH"/>
        </w:rPr>
        <w:t>’</w:t>
      </w:r>
      <w:r w:rsidR="00D323F5" w:rsidRPr="00F346D7">
        <w:rPr>
          <w:lang w:val="fr-CH"/>
        </w:rPr>
        <w:t xml:space="preserve"> dans la matinée du 30</w:t>
      </w:r>
      <w:r w:rsidR="00973659">
        <w:rPr>
          <w:lang w:val="fr-CH"/>
        </w:rPr>
        <w:t> </w:t>
      </w:r>
      <w:r w:rsidR="00D323F5" w:rsidRPr="00F346D7">
        <w:rPr>
          <w:lang w:val="fr-CH"/>
        </w:rPr>
        <w:t>octobre</w:t>
      </w:r>
      <w:r w:rsidR="00973659">
        <w:rPr>
          <w:lang w:val="fr-CH"/>
        </w:rPr>
        <w:t> </w:t>
      </w:r>
      <w:r w:rsidR="00D323F5" w:rsidRPr="00F346D7">
        <w:rPr>
          <w:lang w:val="fr-CH"/>
        </w:rPr>
        <w:t>2019” (voir le paragraphe</w:t>
      </w:r>
      <w:r w:rsidR="00973659">
        <w:rPr>
          <w:lang w:val="fr-CH"/>
        </w:rPr>
        <w:t> </w:t>
      </w:r>
      <w:r w:rsidR="00D323F5" w:rsidRPr="00F346D7">
        <w:rPr>
          <w:lang w:val="fr-CH"/>
        </w:rPr>
        <w:t>12.b) du document</w:t>
      </w:r>
      <w:r w:rsidR="00973659">
        <w:rPr>
          <w:lang w:val="fr-CH"/>
        </w:rPr>
        <w:t> </w:t>
      </w:r>
      <w:r w:rsidR="0022379C">
        <w:rPr>
          <w:lang w:val="fr-CH"/>
        </w:rPr>
        <w:t>C/52/20 “Compte </w:t>
      </w:r>
      <w:r w:rsidR="00D323F5" w:rsidRPr="00F346D7">
        <w:rPr>
          <w:lang w:val="fr-CH"/>
        </w:rPr>
        <w:t>rendu”).</w:t>
      </w:r>
    </w:p>
    <w:p w:rsidR="00285FF7" w:rsidRPr="00F346D7" w:rsidRDefault="00285FF7" w:rsidP="002E603E">
      <w:pPr>
        <w:rPr>
          <w:rFonts w:cs="Arial"/>
          <w:lang w:val="fr-CH"/>
        </w:rPr>
      </w:pPr>
    </w:p>
    <w:p w:rsidR="00285FF7" w:rsidRPr="00F346D7" w:rsidRDefault="00285FF7" w:rsidP="004A55FB">
      <w:pPr>
        <w:jc w:val="left"/>
        <w:rPr>
          <w:rFonts w:cs="Arial"/>
          <w:lang w:val="fr-CH"/>
        </w:rPr>
      </w:pPr>
    </w:p>
    <w:p w:rsidR="00285FF7" w:rsidRPr="00F346D7" w:rsidRDefault="00D323F5" w:rsidP="00D323F5">
      <w:pPr>
        <w:pStyle w:val="Heading2"/>
        <w:rPr>
          <w:lang w:val="fr-CH"/>
        </w:rPr>
      </w:pPr>
      <w:bookmarkStart w:id="8" w:name="_Toc15391238"/>
      <w:r w:rsidRPr="00F346D7">
        <w:rPr>
          <w:lang w:val="fr-CH"/>
        </w:rPr>
        <w:t>Réponses à la circulaire UPOV</w:t>
      </w:r>
      <w:r w:rsidR="00973659">
        <w:rPr>
          <w:lang w:val="fr-CH"/>
        </w:rPr>
        <w:t> </w:t>
      </w:r>
      <w:r w:rsidRPr="00F346D7">
        <w:rPr>
          <w:lang w:val="fr-CH"/>
        </w:rPr>
        <w:t>E</w:t>
      </w:r>
      <w:r w:rsidR="00AE08C2">
        <w:rPr>
          <w:lang w:val="fr-CH"/>
        </w:rPr>
        <w:t>-</w:t>
      </w:r>
      <w:r w:rsidRPr="00F346D7">
        <w:rPr>
          <w:lang w:val="fr-CH"/>
        </w:rPr>
        <w:t>19/032</w:t>
      </w:r>
      <w:r w:rsidR="00AE08C2">
        <w:rPr>
          <w:lang w:val="fr-CH"/>
        </w:rPr>
        <w:t> :</w:t>
      </w:r>
      <w:r w:rsidRPr="00F346D7">
        <w:rPr>
          <w:lang w:val="fr-CH"/>
        </w:rPr>
        <w:t xml:space="preserve"> propositions de questions et de points à aborder lors du Séminaire sur les variétés essentiellement dérivées</w:t>
      </w:r>
      <w:bookmarkEnd w:id="8"/>
    </w:p>
    <w:p w:rsidR="00285FF7" w:rsidRPr="00F346D7" w:rsidRDefault="00285FF7" w:rsidP="004A55FB">
      <w:pPr>
        <w:jc w:val="left"/>
        <w:rPr>
          <w:rFonts w:cs="Arial"/>
          <w:spacing w:val="-2"/>
          <w:lang w:val="fr-CH"/>
        </w:rPr>
      </w:pPr>
    </w:p>
    <w:p w:rsidR="00285FF7" w:rsidRPr="00F346D7" w:rsidRDefault="00E843F0" w:rsidP="00F23D40">
      <w:pPr>
        <w:rPr>
          <w:rFonts w:cs="Arial"/>
          <w:spacing w:val="-2"/>
          <w:lang w:val="fr-CH"/>
        </w:rPr>
      </w:pPr>
      <w:r w:rsidRPr="00F346D7">
        <w:rPr>
          <w:rFonts w:cs="Arial"/>
          <w:spacing w:val="-2"/>
          <w:lang w:val="fr-CH"/>
        </w:rPr>
        <w:fldChar w:fldCharType="begin"/>
      </w:r>
      <w:r w:rsidRPr="00F346D7">
        <w:rPr>
          <w:rFonts w:cs="Arial"/>
          <w:spacing w:val="-2"/>
          <w:lang w:val="fr-CH"/>
        </w:rPr>
        <w:instrText xml:space="preserve"> AUTONUM  </w:instrText>
      </w:r>
      <w:r w:rsidRPr="00F346D7">
        <w:rPr>
          <w:rFonts w:cs="Arial"/>
          <w:spacing w:val="-2"/>
          <w:lang w:val="fr-CH"/>
        </w:rPr>
        <w:fldChar w:fldCharType="end"/>
      </w:r>
      <w:r w:rsidRPr="00F346D7">
        <w:rPr>
          <w:rFonts w:cs="Arial"/>
          <w:spacing w:val="-2"/>
          <w:lang w:val="fr-CH"/>
        </w:rPr>
        <w:tab/>
      </w:r>
      <w:r w:rsidR="00F23D40" w:rsidRPr="00F346D7">
        <w:rPr>
          <w:rFonts w:cs="Arial"/>
          <w:spacing w:val="-2"/>
          <w:lang w:val="fr-CH"/>
        </w:rPr>
        <w:t>Conformément à la méthode adoptée et décrite ci</w:t>
      </w:r>
      <w:r w:rsidR="00AE08C2">
        <w:rPr>
          <w:rFonts w:cs="Arial"/>
          <w:spacing w:val="-2"/>
          <w:lang w:val="fr-CH"/>
        </w:rPr>
        <w:t>-</w:t>
      </w:r>
      <w:r w:rsidR="00F23D40" w:rsidRPr="00F346D7">
        <w:rPr>
          <w:rFonts w:cs="Arial"/>
          <w:spacing w:val="-2"/>
          <w:lang w:val="fr-CH"/>
        </w:rPr>
        <w:t>dessus, les membres et observateurs ci</w:t>
      </w:r>
      <w:r w:rsidR="00AE08C2">
        <w:rPr>
          <w:rFonts w:cs="Arial"/>
          <w:spacing w:val="-2"/>
          <w:lang w:val="fr-CH"/>
        </w:rPr>
        <w:t>-</w:t>
      </w:r>
      <w:r w:rsidR="00F23D40" w:rsidRPr="00F346D7">
        <w:rPr>
          <w:rFonts w:cs="Arial"/>
          <w:spacing w:val="-2"/>
          <w:lang w:val="fr-CH"/>
        </w:rPr>
        <w:t xml:space="preserve">après ont envoyé des propositions de questions et de points à aborder lors du </w:t>
      </w:r>
      <w:r w:rsidR="007C028B" w:rsidRPr="00F346D7">
        <w:rPr>
          <w:rFonts w:cs="Arial"/>
          <w:spacing w:val="-2"/>
          <w:lang w:val="fr-CH"/>
        </w:rPr>
        <w:t>S</w:t>
      </w:r>
      <w:r w:rsidR="00F23D40" w:rsidRPr="00F346D7">
        <w:rPr>
          <w:rFonts w:cs="Arial"/>
          <w:spacing w:val="-2"/>
          <w:lang w:val="fr-CH"/>
        </w:rPr>
        <w:t>éminaire sur les variétés essentiellement dérivées dans leurs réponses à la circulaire UPOV</w:t>
      </w:r>
      <w:r w:rsidR="00973659">
        <w:rPr>
          <w:rFonts w:cs="Arial"/>
          <w:spacing w:val="-2"/>
          <w:lang w:val="fr-CH"/>
        </w:rPr>
        <w:t> </w:t>
      </w:r>
      <w:r w:rsidR="00F23D40" w:rsidRPr="00F346D7">
        <w:rPr>
          <w:rFonts w:cs="Arial"/>
          <w:spacing w:val="-2"/>
          <w:lang w:val="fr-CH"/>
        </w:rPr>
        <w:t>E</w:t>
      </w:r>
      <w:r w:rsidR="00AE08C2">
        <w:rPr>
          <w:rFonts w:cs="Arial"/>
          <w:spacing w:val="-2"/>
          <w:lang w:val="fr-CH"/>
        </w:rPr>
        <w:t>-</w:t>
      </w:r>
      <w:r w:rsidR="00F23D40" w:rsidRPr="00F346D7">
        <w:rPr>
          <w:rFonts w:cs="Arial"/>
          <w:spacing w:val="-2"/>
          <w:lang w:val="fr-CH"/>
        </w:rPr>
        <w:t>19/032 du 8</w:t>
      </w:r>
      <w:r w:rsidR="00973659">
        <w:rPr>
          <w:rFonts w:cs="Arial"/>
          <w:spacing w:val="-2"/>
          <w:lang w:val="fr-CH"/>
        </w:rPr>
        <w:t> </w:t>
      </w:r>
      <w:r w:rsidR="00F23D40" w:rsidRPr="00F346D7">
        <w:rPr>
          <w:rFonts w:cs="Arial"/>
          <w:spacing w:val="-2"/>
          <w:lang w:val="fr-CH"/>
        </w:rPr>
        <w:t>mars</w:t>
      </w:r>
      <w:r w:rsidR="00973659">
        <w:rPr>
          <w:rFonts w:cs="Arial"/>
          <w:spacing w:val="-2"/>
          <w:lang w:val="fr-CH"/>
        </w:rPr>
        <w:t> </w:t>
      </w:r>
      <w:r w:rsidR="00F23D40" w:rsidRPr="00F346D7">
        <w:rPr>
          <w:rFonts w:cs="Arial"/>
          <w:spacing w:val="-2"/>
          <w:lang w:val="fr-CH"/>
        </w:rPr>
        <w:t>2019</w:t>
      </w:r>
      <w:r w:rsidR="00AE08C2">
        <w:rPr>
          <w:rFonts w:cs="Arial"/>
          <w:spacing w:val="-2"/>
          <w:lang w:val="fr-CH"/>
        </w:rPr>
        <w:t> :</w:t>
      </w:r>
      <w:r w:rsidR="00F23D40" w:rsidRPr="00F346D7">
        <w:rPr>
          <w:rFonts w:cs="Arial"/>
          <w:spacing w:val="-2"/>
          <w:lang w:val="fr-CH"/>
        </w:rPr>
        <w:t xml:space="preserve"> Chine, Fédération de Russie, Suède, Union européenne, CIOPORA, ESA et ISF.</w:t>
      </w:r>
    </w:p>
    <w:p w:rsidR="00285FF7" w:rsidRPr="00F346D7" w:rsidRDefault="00285FF7" w:rsidP="00E843F0">
      <w:pPr>
        <w:rPr>
          <w:rFonts w:cs="Arial"/>
          <w:lang w:val="fr-CH"/>
        </w:rPr>
      </w:pPr>
    </w:p>
    <w:p w:rsidR="00285FF7" w:rsidRPr="00F346D7" w:rsidRDefault="00E843F0" w:rsidP="00F23D40">
      <w:pPr>
        <w:jc w:val="left"/>
        <w:rPr>
          <w:rFonts w:cs="Arial"/>
          <w:u w:val="single"/>
          <w:lang w:val="fr-CH"/>
        </w:rPr>
      </w:pPr>
      <w:r w:rsidRPr="00E91880">
        <w:rPr>
          <w:rFonts w:cs="Arial"/>
          <w:spacing w:val="-2"/>
          <w:lang w:val="fr-CH"/>
        </w:rPr>
        <w:fldChar w:fldCharType="begin"/>
      </w:r>
      <w:r w:rsidRPr="00E91880">
        <w:rPr>
          <w:rFonts w:cs="Arial"/>
          <w:spacing w:val="-2"/>
          <w:lang w:val="fr-CH"/>
        </w:rPr>
        <w:instrText xml:space="preserve"> AUTONUM  </w:instrText>
      </w:r>
      <w:r w:rsidRPr="00E91880">
        <w:rPr>
          <w:rFonts w:cs="Arial"/>
          <w:spacing w:val="-2"/>
          <w:lang w:val="fr-CH"/>
        </w:rPr>
        <w:fldChar w:fldCharType="end"/>
      </w:r>
      <w:r w:rsidRPr="00E91880">
        <w:rPr>
          <w:rFonts w:cs="Arial"/>
          <w:spacing w:val="-2"/>
          <w:lang w:val="fr-CH"/>
        </w:rPr>
        <w:tab/>
      </w:r>
      <w:r w:rsidR="00F23D40" w:rsidRPr="00E91880">
        <w:rPr>
          <w:rFonts w:cs="Arial"/>
          <w:spacing w:val="-2"/>
          <w:lang w:val="fr-CH"/>
        </w:rPr>
        <w:t>Les propositions de questions et de points à aborder reçues en réponse à la circulaire UPOV</w:t>
      </w:r>
      <w:r w:rsidR="00973659" w:rsidRPr="00E91880">
        <w:rPr>
          <w:rFonts w:cs="Arial"/>
          <w:spacing w:val="-2"/>
          <w:lang w:val="fr-CH"/>
        </w:rPr>
        <w:t> </w:t>
      </w:r>
      <w:r w:rsidR="00F23D40" w:rsidRPr="00E91880">
        <w:rPr>
          <w:rFonts w:cs="Arial"/>
          <w:spacing w:val="-2"/>
          <w:lang w:val="fr-CH"/>
        </w:rPr>
        <w:t>E</w:t>
      </w:r>
      <w:r w:rsidR="00E91880" w:rsidRPr="00E91880">
        <w:rPr>
          <w:rFonts w:cs="Arial"/>
          <w:spacing w:val="-2"/>
          <w:lang w:val="fr-CH"/>
        </w:rPr>
        <w:noBreakHyphen/>
      </w:r>
      <w:r w:rsidR="00F23D40" w:rsidRPr="00E91880">
        <w:rPr>
          <w:rFonts w:cs="Arial"/>
          <w:spacing w:val="-2"/>
          <w:lang w:val="fr-CH"/>
        </w:rPr>
        <w:t>19/032</w:t>
      </w:r>
      <w:r w:rsidR="00F23D40" w:rsidRPr="00F346D7">
        <w:rPr>
          <w:rFonts w:cs="Arial"/>
          <w:lang w:val="fr-CH"/>
        </w:rPr>
        <w:t xml:space="preserve"> sont résumées </w:t>
      </w:r>
      <w:r w:rsidR="00775FA9">
        <w:rPr>
          <w:rFonts w:cs="Arial"/>
          <w:lang w:val="fr-CH"/>
        </w:rPr>
        <w:t>comme suit</w:t>
      </w:r>
      <w:r w:rsidR="00AE08C2">
        <w:rPr>
          <w:rFonts w:cs="Arial"/>
          <w:lang w:val="fr-CH"/>
        </w:rPr>
        <w:t> :</w:t>
      </w:r>
    </w:p>
    <w:p w:rsidR="00285FF7" w:rsidRPr="00F346D7" w:rsidRDefault="00285FF7" w:rsidP="008A55F6">
      <w:pPr>
        <w:jc w:val="left"/>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origine de la notion de variété essentiellement dérivée et expérience relative à sa mise en œuvre (par exemple, variétés mutantes et techniques modernes);</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rapport entre les méthodes de création variétale et la détermination des variétés essentiellement dérivées;</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défis posés par le nombre croissant de nouvelles variétés mises au point à l</w:t>
      </w:r>
      <w:r w:rsidR="00AE08C2">
        <w:rPr>
          <w:rFonts w:cs="Arial"/>
          <w:lang w:val="fr-CH"/>
        </w:rPr>
        <w:t>’</w:t>
      </w:r>
      <w:r w:rsidRPr="00F346D7">
        <w:rPr>
          <w:rFonts w:cs="Arial"/>
          <w:lang w:val="fr-CH"/>
        </w:rPr>
        <w:t>aide de techniques modernes de sélection;</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comment la notion de variété essentiellement dérivée peut</w:t>
      </w:r>
      <w:r w:rsidR="00AE08C2">
        <w:rPr>
          <w:rFonts w:cs="Arial"/>
          <w:lang w:val="fr-CH"/>
        </w:rPr>
        <w:t>-</w:t>
      </w:r>
      <w:r w:rsidRPr="00F346D7">
        <w:rPr>
          <w:rFonts w:cs="Arial"/>
          <w:lang w:val="fr-CH"/>
        </w:rPr>
        <w:t>elle garantir aux obtenteurs de variétés initiales une source supplémentaire de rémunération?</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lastRenderedPageBreak/>
        <w:t>quel est le juste équilibre entre la notion de variété essentiellement dérivée et l</w:t>
      </w:r>
      <w:r w:rsidR="00AE08C2">
        <w:rPr>
          <w:rFonts w:cs="Arial"/>
          <w:lang w:val="fr-CH"/>
        </w:rPr>
        <w:t>’</w:t>
      </w:r>
      <w:r w:rsidRPr="00F346D7">
        <w:rPr>
          <w:rFonts w:cs="Arial"/>
          <w:lang w:val="fr-CH"/>
        </w:rPr>
        <w:t>exception en faveur de l</w:t>
      </w:r>
      <w:r w:rsidR="00AE08C2">
        <w:rPr>
          <w:rFonts w:cs="Arial"/>
          <w:lang w:val="fr-CH"/>
        </w:rPr>
        <w:t>’</w:t>
      </w:r>
      <w:r w:rsidRPr="00F346D7">
        <w:rPr>
          <w:rFonts w:cs="Arial"/>
          <w:lang w:val="fr-CH"/>
        </w:rPr>
        <w:t>obtenteur?</w:t>
      </w:r>
    </w:p>
    <w:p w:rsidR="00285FF7" w:rsidRPr="00F346D7" w:rsidRDefault="00285FF7" w:rsidP="008A55F6">
      <w:pPr>
        <w:ind w:left="1134" w:hanging="567"/>
        <w:rPr>
          <w:rFonts w:cs="Arial"/>
          <w:lang w:val="fr-CH"/>
        </w:rPr>
      </w:pPr>
    </w:p>
    <w:p w:rsidR="00AE08C2" w:rsidRDefault="00F23D40" w:rsidP="008A55F6">
      <w:pPr>
        <w:numPr>
          <w:ilvl w:val="0"/>
          <w:numId w:val="1"/>
        </w:numPr>
        <w:ind w:left="1134" w:hanging="567"/>
        <w:rPr>
          <w:rFonts w:cs="Arial"/>
          <w:lang w:val="fr-CH"/>
        </w:rPr>
      </w:pPr>
      <w:r w:rsidRPr="00F346D7">
        <w:rPr>
          <w:rFonts w:cs="Arial"/>
          <w:lang w:val="fr-CH"/>
        </w:rPr>
        <w:t>orientations possibles sur la condition de “conformité” prévue à l</w:t>
      </w:r>
      <w:r w:rsidR="00AE08C2">
        <w:rPr>
          <w:rFonts w:cs="Arial"/>
          <w:lang w:val="fr-CH"/>
        </w:rPr>
        <w:t>’</w:t>
      </w:r>
      <w:r w:rsidRPr="00F346D7">
        <w:rPr>
          <w:rFonts w:cs="Arial"/>
          <w:lang w:val="fr-CH"/>
        </w:rPr>
        <w:t>article</w:t>
      </w:r>
      <w:r w:rsidR="00973659">
        <w:rPr>
          <w:rFonts w:cs="Arial"/>
          <w:lang w:val="fr-CH"/>
        </w:rPr>
        <w:t> </w:t>
      </w:r>
      <w:r w:rsidRPr="00F346D7">
        <w:rPr>
          <w:rFonts w:cs="Arial"/>
          <w:lang w:val="fr-CH"/>
        </w:rPr>
        <w:t>14.5)b)iii) de l</w:t>
      </w:r>
      <w:r w:rsidR="00AE08C2">
        <w:rPr>
          <w:rFonts w:cs="Arial"/>
          <w:lang w:val="fr-CH"/>
        </w:rPr>
        <w:t>’</w:t>
      </w:r>
      <w:r w:rsidR="00DE63F8">
        <w:rPr>
          <w:rFonts w:cs="Arial"/>
          <w:lang w:val="fr-CH"/>
        </w:rPr>
        <w:t>Acte </w:t>
      </w:r>
      <w:r w:rsidR="00AE08C2" w:rsidRPr="00F346D7">
        <w:rPr>
          <w:rFonts w:cs="Arial"/>
          <w:lang w:val="fr-CH"/>
        </w:rPr>
        <w:t>de</w:t>
      </w:r>
      <w:r w:rsidR="00AE08C2">
        <w:rPr>
          <w:rFonts w:cs="Arial"/>
          <w:lang w:val="fr-CH"/>
        </w:rPr>
        <w:t> </w:t>
      </w:r>
      <w:r w:rsidR="00AE08C2" w:rsidRPr="00F346D7">
        <w:rPr>
          <w:rFonts w:cs="Arial"/>
          <w:lang w:val="fr-CH"/>
        </w:rPr>
        <w:t>1991</w:t>
      </w:r>
      <w:r w:rsidRPr="00F346D7">
        <w:rPr>
          <w:rFonts w:cs="Arial"/>
          <w:lang w:val="fr-CH"/>
        </w:rPr>
        <w:t xml:space="preserve"> pour ce qui est de la notion de “caractères essentiels”;</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comment la notion de variété essentiellement dérivée est</w:t>
      </w:r>
      <w:r w:rsidR="00AE08C2">
        <w:rPr>
          <w:rFonts w:cs="Arial"/>
          <w:lang w:val="fr-CH"/>
        </w:rPr>
        <w:t>-</w:t>
      </w:r>
      <w:r w:rsidRPr="00F346D7">
        <w:rPr>
          <w:rFonts w:cs="Arial"/>
          <w:lang w:val="fr-CH"/>
        </w:rPr>
        <w:t>elle interprétée par les juges?</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comment l</w:t>
      </w:r>
      <w:r w:rsidR="00AE08C2">
        <w:rPr>
          <w:rFonts w:cs="Arial"/>
          <w:lang w:val="fr-CH"/>
        </w:rPr>
        <w:t>’</w:t>
      </w:r>
      <w:r w:rsidRPr="00F346D7">
        <w:rPr>
          <w:rFonts w:cs="Arial"/>
          <w:lang w:val="fr-CH"/>
        </w:rPr>
        <w:t>évolution du nombre de cas de variétés essentiellement dérivées est</w:t>
      </w:r>
      <w:r w:rsidR="00AE08C2">
        <w:rPr>
          <w:rFonts w:cs="Arial"/>
          <w:lang w:val="fr-CH"/>
        </w:rPr>
        <w:t>-</w:t>
      </w:r>
      <w:r w:rsidRPr="00F346D7">
        <w:rPr>
          <w:rFonts w:cs="Arial"/>
          <w:lang w:val="fr-CH"/>
        </w:rPr>
        <w:t>elle perçue?</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comment prouver la conformité génétique avec la variété initiale et la conformité dans l</w:t>
      </w:r>
      <w:r w:rsidR="00AE08C2">
        <w:rPr>
          <w:rFonts w:cs="Arial"/>
          <w:lang w:val="fr-CH"/>
        </w:rPr>
        <w:t>’</w:t>
      </w:r>
      <w:r w:rsidRPr="00F346D7">
        <w:rPr>
          <w:rFonts w:cs="Arial"/>
          <w:lang w:val="fr-CH"/>
        </w:rPr>
        <w:t>expression des caractères essentiels de la variété initiale?</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qu</w:t>
      </w:r>
      <w:r w:rsidR="00AE08C2">
        <w:rPr>
          <w:rFonts w:cs="Arial"/>
          <w:lang w:val="fr-CH"/>
        </w:rPr>
        <w:t>’</w:t>
      </w:r>
      <w:r w:rsidRPr="00F346D7">
        <w:rPr>
          <w:rFonts w:cs="Arial"/>
          <w:lang w:val="fr-CH"/>
        </w:rPr>
        <w:t>est</w:t>
      </w:r>
      <w:r w:rsidR="00AE08C2">
        <w:rPr>
          <w:rFonts w:cs="Arial"/>
          <w:lang w:val="fr-CH"/>
        </w:rPr>
        <w:t>-</w:t>
      </w:r>
      <w:r w:rsidRPr="00F346D7">
        <w:rPr>
          <w:rFonts w:cs="Arial"/>
          <w:lang w:val="fr-CH"/>
        </w:rPr>
        <w:t>ce qui devrait déterminer le renversement de la charge de la preuve concernant les variétés essentiellement dérivées?</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quelles sont les stratégies des programmes de création variétale utilisant différentes méthodes, plantes et espèces (par exemple, agricoles, fruitières, potagères et ornementales)?</w:t>
      </w:r>
    </w:p>
    <w:p w:rsidR="00285FF7" w:rsidRPr="00F346D7" w:rsidRDefault="00285FF7" w:rsidP="008A55F6">
      <w:pPr>
        <w:ind w:left="1134" w:hanging="567"/>
        <w:rPr>
          <w:rFonts w:cs="Arial"/>
          <w:lang w:val="fr-CH"/>
        </w:rPr>
      </w:pPr>
    </w:p>
    <w:p w:rsidR="00AE08C2" w:rsidRDefault="00F23D40" w:rsidP="008A55F6">
      <w:pPr>
        <w:numPr>
          <w:ilvl w:val="0"/>
          <w:numId w:val="1"/>
        </w:numPr>
        <w:ind w:left="1134" w:hanging="567"/>
        <w:rPr>
          <w:rFonts w:cs="Arial"/>
          <w:lang w:val="fr-CH"/>
        </w:rPr>
      </w:pPr>
      <w:r w:rsidRPr="00F346D7">
        <w:rPr>
          <w:rFonts w:cs="Arial"/>
          <w:lang w:val="fr-CH"/>
        </w:rPr>
        <w:t>expérience relative aux différences dans les caractères essentiels des variétés à l</w:t>
      </w:r>
      <w:r w:rsidR="00AE08C2">
        <w:rPr>
          <w:rFonts w:cs="Arial"/>
          <w:lang w:val="fr-CH"/>
        </w:rPr>
        <w:t>’</w:t>
      </w:r>
      <w:r w:rsidRPr="00F346D7">
        <w:rPr>
          <w:rFonts w:cs="Arial"/>
          <w:lang w:val="fr-CH"/>
        </w:rPr>
        <w:t>aide d</w:t>
      </w:r>
      <w:r w:rsidR="00AE08C2">
        <w:rPr>
          <w:rFonts w:cs="Arial"/>
          <w:lang w:val="fr-CH"/>
        </w:rPr>
        <w:t>’</w:t>
      </w:r>
      <w:r w:rsidRPr="00F346D7">
        <w:rPr>
          <w:rFonts w:cs="Arial"/>
          <w:lang w:val="fr-CH"/>
        </w:rPr>
        <w:t>exemples précis selon les espèces et les méthodes de création variétale;</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incidence sur la notion de variété essentiellement dérivée de l</w:t>
      </w:r>
      <w:r w:rsidR="00AE08C2">
        <w:rPr>
          <w:rFonts w:cs="Arial"/>
          <w:lang w:val="fr-CH"/>
        </w:rPr>
        <w:t>’</w:t>
      </w:r>
      <w:r w:rsidRPr="00F346D7">
        <w:rPr>
          <w:rFonts w:cs="Arial"/>
          <w:lang w:val="fr-CH"/>
        </w:rPr>
        <w:t>évolution des techniques de création variétale (mutagenèse dirigée, génome de variété mutante presque identique à celui de la variété initiale alors que le phénotype peut être sensiblement différent;  rétrocroisement répété;  modification du génome);  et</w:t>
      </w:r>
    </w:p>
    <w:p w:rsidR="00285FF7" w:rsidRPr="00F346D7" w:rsidRDefault="00285FF7" w:rsidP="008A55F6">
      <w:pPr>
        <w:ind w:left="1134" w:hanging="567"/>
        <w:rPr>
          <w:rFonts w:cs="Arial"/>
          <w:lang w:val="fr-CH"/>
        </w:rPr>
      </w:pPr>
    </w:p>
    <w:p w:rsidR="00285FF7" w:rsidRPr="00F346D7" w:rsidRDefault="00F23D40" w:rsidP="008A55F6">
      <w:pPr>
        <w:numPr>
          <w:ilvl w:val="0"/>
          <w:numId w:val="1"/>
        </w:numPr>
        <w:ind w:left="1134" w:hanging="567"/>
        <w:rPr>
          <w:rFonts w:cs="Arial"/>
          <w:lang w:val="fr-CH"/>
        </w:rPr>
      </w:pPr>
      <w:r w:rsidRPr="00F346D7">
        <w:rPr>
          <w:rFonts w:cs="Arial"/>
          <w:lang w:val="fr-CH"/>
        </w:rPr>
        <w:t xml:space="preserve">les orientations figurant actuellement dans le </w:t>
      </w:r>
      <w:r w:rsidR="00AE08C2" w:rsidRPr="00F346D7">
        <w:rPr>
          <w:rFonts w:cs="Arial"/>
          <w:lang w:val="fr-CH"/>
        </w:rPr>
        <w:t>document</w:t>
      </w:r>
      <w:r w:rsidR="00AE08C2">
        <w:rPr>
          <w:rFonts w:cs="Arial"/>
          <w:lang w:val="fr-CH"/>
        </w:rPr>
        <w:t xml:space="preserve"> </w:t>
      </w:r>
      <w:r w:rsidR="00AE08C2" w:rsidRPr="00F346D7">
        <w:rPr>
          <w:rFonts w:cs="Arial"/>
          <w:lang w:val="fr-CH"/>
        </w:rPr>
        <w:t>UP</w:t>
      </w:r>
      <w:r w:rsidRPr="00F346D7">
        <w:rPr>
          <w:rFonts w:cs="Arial"/>
          <w:lang w:val="fr-CH"/>
        </w:rPr>
        <w:t>OV/EXN/EDV/2 sont</w:t>
      </w:r>
      <w:r w:rsidR="00AE08C2">
        <w:rPr>
          <w:rFonts w:cs="Arial"/>
          <w:lang w:val="fr-CH"/>
        </w:rPr>
        <w:t>-</w:t>
      </w:r>
      <w:r w:rsidRPr="00F346D7">
        <w:rPr>
          <w:rFonts w:cs="Arial"/>
          <w:lang w:val="fr-CH"/>
        </w:rPr>
        <w:t>elles destinées à répondre aux besoins de tous les types de programmes de création variétale?</w:t>
      </w:r>
    </w:p>
    <w:p w:rsidR="00285FF7" w:rsidRPr="00F346D7" w:rsidRDefault="00285FF7" w:rsidP="008A55F6">
      <w:pPr>
        <w:rPr>
          <w:rFonts w:cs="Arial"/>
          <w:lang w:val="fr-CH"/>
        </w:rPr>
      </w:pPr>
    </w:p>
    <w:p w:rsidR="00285FF7" w:rsidRPr="00F346D7" w:rsidRDefault="00285FF7" w:rsidP="008A55F6">
      <w:pPr>
        <w:rPr>
          <w:rFonts w:cs="Arial"/>
          <w:lang w:val="fr-CH"/>
        </w:rPr>
      </w:pPr>
    </w:p>
    <w:p w:rsidR="00285FF7" w:rsidRPr="00F346D7" w:rsidRDefault="00F820C6" w:rsidP="00F820C6">
      <w:pPr>
        <w:pStyle w:val="Heading2"/>
        <w:rPr>
          <w:lang w:val="fr-CH"/>
        </w:rPr>
      </w:pPr>
      <w:bookmarkStart w:id="9" w:name="_Toc15391239"/>
      <w:r w:rsidRPr="00F346D7">
        <w:rPr>
          <w:lang w:val="fr-CH"/>
        </w:rPr>
        <w:t xml:space="preserve">Élaboration du projet de programme du </w:t>
      </w:r>
      <w:r w:rsidR="00775FA9" w:rsidRPr="00F346D7">
        <w:rPr>
          <w:lang w:val="fr-CH"/>
        </w:rPr>
        <w:t>S</w:t>
      </w:r>
      <w:r w:rsidRPr="00F346D7">
        <w:rPr>
          <w:lang w:val="fr-CH"/>
        </w:rPr>
        <w:t>éminaire sur les variétés essentiellement dérivées pour approbation par</w:t>
      </w:r>
      <w:r w:rsidR="00AE08C2" w:rsidRPr="00F346D7">
        <w:rPr>
          <w:lang w:val="fr-CH"/>
        </w:rPr>
        <w:t xml:space="preserve"> le</w:t>
      </w:r>
      <w:r w:rsidR="00AE08C2">
        <w:rPr>
          <w:lang w:val="fr-CH"/>
        </w:rPr>
        <w:t> </w:t>
      </w:r>
      <w:r w:rsidR="00AE08C2" w:rsidRPr="00F346D7">
        <w:rPr>
          <w:lang w:val="fr-CH"/>
        </w:rPr>
        <w:t>CAJ</w:t>
      </w:r>
      <w:r w:rsidRPr="00F346D7">
        <w:rPr>
          <w:lang w:val="fr-CH"/>
        </w:rPr>
        <w:t xml:space="preserve"> par correspondance</w:t>
      </w:r>
      <w:bookmarkEnd w:id="9"/>
    </w:p>
    <w:p w:rsidR="00285FF7" w:rsidRPr="00F346D7" w:rsidRDefault="00285FF7" w:rsidP="004A55FB">
      <w:pPr>
        <w:rPr>
          <w:rFonts w:cs="Arial"/>
          <w:lang w:val="fr-CH"/>
        </w:rPr>
      </w:pPr>
    </w:p>
    <w:p w:rsidR="00285FF7" w:rsidRPr="00F346D7" w:rsidRDefault="00E843F0" w:rsidP="002362C6">
      <w:pPr>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2362C6" w:rsidRPr="00F346D7">
        <w:rPr>
          <w:lang w:val="fr-CH"/>
        </w:rPr>
        <w:t>Lors de</w:t>
      </w:r>
      <w:r w:rsidR="00775FA9">
        <w:rPr>
          <w:lang w:val="fr-CH"/>
        </w:rPr>
        <w:t>s</w:t>
      </w:r>
      <w:r w:rsidR="002362C6" w:rsidRPr="00F346D7">
        <w:rPr>
          <w:lang w:val="fr-CH"/>
        </w:rPr>
        <w:t xml:space="preserve"> discussions avec le président</w:t>
      </w:r>
      <w:r w:rsidR="00AE08C2" w:rsidRPr="00F346D7">
        <w:rPr>
          <w:lang w:val="fr-CH"/>
        </w:rPr>
        <w:t xml:space="preserve"> du</w:t>
      </w:r>
      <w:r w:rsidR="00AE08C2">
        <w:rPr>
          <w:lang w:val="fr-CH"/>
        </w:rPr>
        <w:t> </w:t>
      </w:r>
      <w:r w:rsidR="00AE08C2" w:rsidRPr="00F346D7">
        <w:rPr>
          <w:lang w:val="fr-CH"/>
        </w:rPr>
        <w:t>CAJ</w:t>
      </w:r>
      <w:r w:rsidR="002362C6" w:rsidRPr="00F346D7">
        <w:rPr>
          <w:lang w:val="fr-CH"/>
        </w:rPr>
        <w:t xml:space="preserve"> pour l</w:t>
      </w:r>
      <w:r w:rsidR="00AE08C2">
        <w:rPr>
          <w:lang w:val="fr-CH"/>
        </w:rPr>
        <w:t>’</w:t>
      </w:r>
      <w:r w:rsidR="002362C6" w:rsidRPr="00F346D7">
        <w:rPr>
          <w:lang w:val="fr-CH"/>
        </w:rPr>
        <w:t xml:space="preserve">élaboration du projet de programme du séminaire, il a été rappelé que le </w:t>
      </w:r>
      <w:r w:rsidR="00973659">
        <w:rPr>
          <w:lang w:val="fr-CH"/>
        </w:rPr>
        <w:t>“</w:t>
      </w:r>
      <w:r w:rsidR="00775FA9" w:rsidRPr="00F346D7">
        <w:rPr>
          <w:lang w:val="fr-CH"/>
        </w:rPr>
        <w:t>S</w:t>
      </w:r>
      <w:r w:rsidR="002362C6" w:rsidRPr="00F346D7">
        <w:rPr>
          <w:lang w:val="fr-CH"/>
        </w:rPr>
        <w:t>éminaire sur les variétés essentiellement dérivées</w:t>
      </w:r>
      <w:r w:rsidR="00973659">
        <w:rPr>
          <w:lang w:val="fr-CH"/>
        </w:rPr>
        <w:t>”</w:t>
      </w:r>
      <w:r w:rsidR="002362C6" w:rsidRPr="00F346D7">
        <w:rPr>
          <w:lang w:val="fr-CH"/>
        </w:rPr>
        <w:t xml:space="preserve"> </w:t>
      </w:r>
      <w:r w:rsidR="00AE08C2" w:rsidRPr="00F346D7">
        <w:rPr>
          <w:lang w:val="fr-CH"/>
        </w:rPr>
        <w:t>de</w:t>
      </w:r>
      <w:r w:rsidR="00AE08C2">
        <w:rPr>
          <w:lang w:val="fr-CH"/>
        </w:rPr>
        <w:t> </w:t>
      </w:r>
      <w:r w:rsidR="00AE08C2" w:rsidRPr="00F346D7">
        <w:rPr>
          <w:lang w:val="fr-CH"/>
        </w:rPr>
        <w:t>2013</w:t>
      </w:r>
      <w:r w:rsidR="002362C6" w:rsidRPr="00F346D7">
        <w:rPr>
          <w:lang w:val="fr-CH"/>
        </w:rPr>
        <w:t xml:space="preserve"> incluait déjà des exposés présentés par les services des membres de l</w:t>
      </w:r>
      <w:r w:rsidR="00AE08C2">
        <w:rPr>
          <w:lang w:val="fr-CH"/>
        </w:rPr>
        <w:t>’</w:t>
      </w:r>
      <w:r w:rsidR="002362C6" w:rsidRPr="00F346D7">
        <w:rPr>
          <w:lang w:val="fr-CH"/>
        </w:rPr>
        <w:t xml:space="preserve">UPOV et des exposés sur les décisions de justice relatives aux variétés essentiellement dérivées (voir </w:t>
      </w:r>
      <w:hyperlink r:id="rId10" w:history="1">
        <w:r w:rsidR="00EA2418" w:rsidRPr="00EA2418">
          <w:rPr>
            <w:rStyle w:val="Hyperlink"/>
            <w:lang w:val="fr-CH"/>
          </w:rPr>
          <w:t>https://www.upov.int/meetings/fr/details.jsp?meeting_id=29782</w:t>
        </w:r>
      </w:hyperlink>
      <w:r w:rsidR="002362C6" w:rsidRPr="00F346D7">
        <w:rPr>
          <w:lang w:val="fr-CH"/>
        </w:rPr>
        <w:t>).</w:t>
      </w:r>
    </w:p>
    <w:p w:rsidR="00285FF7" w:rsidRPr="00F346D7" w:rsidRDefault="00285FF7" w:rsidP="00E843F0">
      <w:pPr>
        <w:rPr>
          <w:lang w:val="fr-CH"/>
        </w:rPr>
      </w:pPr>
    </w:p>
    <w:p w:rsidR="00AE08C2" w:rsidRDefault="00E843F0" w:rsidP="002362C6">
      <w:pPr>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2362C6" w:rsidRPr="00F346D7">
        <w:rPr>
          <w:lang w:val="fr-CH"/>
        </w:rPr>
        <w:t xml:space="preserve">Par conséquent, la session I dans le projet de programme vise à donner un aperçu des faits nouveaux intervenus depuis le séminaire </w:t>
      </w:r>
      <w:r w:rsidR="00AE08C2" w:rsidRPr="00F346D7">
        <w:rPr>
          <w:lang w:val="fr-CH"/>
        </w:rPr>
        <w:t>de</w:t>
      </w:r>
      <w:r w:rsidR="00AE08C2">
        <w:rPr>
          <w:lang w:val="fr-CH"/>
        </w:rPr>
        <w:t> </w:t>
      </w:r>
      <w:r w:rsidR="00AE08C2" w:rsidRPr="00F346D7">
        <w:rPr>
          <w:lang w:val="fr-CH"/>
        </w:rPr>
        <w:t>2013</w:t>
      </w:r>
      <w:r w:rsidR="002362C6" w:rsidRPr="00F346D7">
        <w:rPr>
          <w:lang w:val="fr-CH"/>
        </w:rPr>
        <w:t xml:space="preserve"> concernant les points de vue des universités et l</w:t>
      </w:r>
      <w:r w:rsidR="00AE08C2">
        <w:rPr>
          <w:lang w:val="fr-CH"/>
        </w:rPr>
        <w:t>’</w:t>
      </w:r>
      <w:r w:rsidR="002362C6" w:rsidRPr="00F346D7">
        <w:rPr>
          <w:lang w:val="fr-CH"/>
        </w:rPr>
        <w:t>expérience des juges et des services.</w:t>
      </w:r>
    </w:p>
    <w:p w:rsidR="00285FF7" w:rsidRPr="00187DC7" w:rsidRDefault="00285FF7" w:rsidP="00E843F0">
      <w:pPr>
        <w:rPr>
          <w:lang w:val="fr-CH"/>
        </w:rPr>
      </w:pPr>
    </w:p>
    <w:p w:rsidR="00AE08C2" w:rsidRPr="00187DC7" w:rsidRDefault="00E843F0" w:rsidP="002362C6">
      <w:pPr>
        <w:rPr>
          <w:lang w:val="fr-CH"/>
        </w:rPr>
      </w:pPr>
      <w:r w:rsidRPr="00187DC7">
        <w:rPr>
          <w:lang w:val="fr-CH"/>
        </w:rPr>
        <w:fldChar w:fldCharType="begin"/>
      </w:r>
      <w:r w:rsidRPr="00187DC7">
        <w:rPr>
          <w:lang w:val="fr-CH"/>
        </w:rPr>
        <w:instrText xml:space="preserve"> AUTONUM  </w:instrText>
      </w:r>
      <w:r w:rsidRPr="00187DC7">
        <w:rPr>
          <w:lang w:val="fr-CH"/>
        </w:rPr>
        <w:fldChar w:fldCharType="end"/>
      </w:r>
      <w:r w:rsidRPr="00187DC7">
        <w:rPr>
          <w:lang w:val="fr-CH"/>
        </w:rPr>
        <w:tab/>
      </w:r>
      <w:r w:rsidR="002362C6" w:rsidRPr="00187DC7">
        <w:rPr>
          <w:lang w:val="fr-CH"/>
        </w:rPr>
        <w:t>Il a également été rappelé que le séminaire avait pour objet d</w:t>
      </w:r>
      <w:r w:rsidR="00AE08C2" w:rsidRPr="00187DC7">
        <w:rPr>
          <w:lang w:val="fr-CH"/>
        </w:rPr>
        <w:t>’</w:t>
      </w:r>
      <w:r w:rsidR="002362C6" w:rsidRPr="00187DC7">
        <w:rPr>
          <w:lang w:val="fr-CH"/>
        </w:rPr>
        <w:t>examiner l</w:t>
      </w:r>
      <w:r w:rsidR="00AE08C2" w:rsidRPr="00187DC7">
        <w:rPr>
          <w:lang w:val="fr-CH"/>
        </w:rPr>
        <w:t>’</w:t>
      </w:r>
      <w:r w:rsidR="002362C6" w:rsidRPr="00187DC7">
        <w:rPr>
          <w:lang w:val="fr-CH"/>
        </w:rPr>
        <w:t>incidence des variétés essentiellement dérivées sur la stratégie en matière de création variétale, ce qui nécessiterait la contribution des obtenteurs en particuli</w:t>
      </w:r>
      <w:r w:rsidR="00DC49E8" w:rsidRPr="00187DC7">
        <w:rPr>
          <w:lang w:val="fr-CH"/>
        </w:rPr>
        <w:t>er.  Pa</w:t>
      </w:r>
      <w:r w:rsidR="002362C6" w:rsidRPr="00187DC7">
        <w:rPr>
          <w:lang w:val="fr-CH"/>
        </w:rPr>
        <w:t>r conséquent, compte tenu de la brièveté du séminaire, les exposés présentés dans le cadre de la session</w:t>
      </w:r>
      <w:r w:rsidR="00973659" w:rsidRPr="00187DC7">
        <w:rPr>
          <w:lang w:val="fr-CH"/>
        </w:rPr>
        <w:t> </w:t>
      </w:r>
      <w:r w:rsidR="002362C6" w:rsidRPr="00187DC7">
        <w:rPr>
          <w:lang w:val="fr-CH"/>
        </w:rPr>
        <w:t>II portent sur les points de vue des obtenteu</w:t>
      </w:r>
      <w:r w:rsidR="00DC49E8" w:rsidRPr="00187DC7">
        <w:rPr>
          <w:lang w:val="fr-CH"/>
        </w:rPr>
        <w:t>rs.  Le</w:t>
      </w:r>
      <w:r w:rsidR="002362C6" w:rsidRPr="00187DC7">
        <w:rPr>
          <w:lang w:val="fr-CH"/>
        </w:rPr>
        <w:t>s conférenciers seront invités à examiner les</w:t>
      </w:r>
      <w:r w:rsidR="00775FA9" w:rsidRPr="00187DC7">
        <w:rPr>
          <w:lang w:val="fr-CH"/>
        </w:rPr>
        <w:t xml:space="preserve"> propositions de</w:t>
      </w:r>
      <w:r w:rsidR="002362C6" w:rsidRPr="00187DC7">
        <w:rPr>
          <w:lang w:val="fr-CH"/>
        </w:rPr>
        <w:t xml:space="preserve"> questions et </w:t>
      </w:r>
      <w:r w:rsidR="00775FA9" w:rsidRPr="00187DC7">
        <w:rPr>
          <w:lang w:val="fr-CH"/>
        </w:rPr>
        <w:t xml:space="preserve">de </w:t>
      </w:r>
      <w:r w:rsidR="002362C6" w:rsidRPr="00187DC7">
        <w:rPr>
          <w:lang w:val="fr-CH"/>
        </w:rPr>
        <w:t xml:space="preserve">points à aborder </w:t>
      </w:r>
      <w:r w:rsidR="00775FA9" w:rsidRPr="00187DC7">
        <w:rPr>
          <w:lang w:val="fr-CH"/>
        </w:rPr>
        <w:t xml:space="preserve">figurant </w:t>
      </w:r>
      <w:r w:rsidR="002362C6" w:rsidRPr="00187DC7">
        <w:rPr>
          <w:lang w:val="fr-CH"/>
        </w:rPr>
        <w:t>dans les réponses à la circulaire</w:t>
      </w:r>
      <w:r w:rsidR="00973659" w:rsidRPr="00187DC7">
        <w:rPr>
          <w:lang w:val="fr-CH"/>
        </w:rPr>
        <w:t> </w:t>
      </w:r>
      <w:r w:rsidR="002362C6" w:rsidRPr="00187DC7">
        <w:rPr>
          <w:lang w:val="fr-CH"/>
        </w:rPr>
        <w:t>E</w:t>
      </w:r>
      <w:r w:rsidR="00AE08C2" w:rsidRPr="00187DC7">
        <w:rPr>
          <w:lang w:val="fr-CH"/>
        </w:rPr>
        <w:t>-</w:t>
      </w:r>
      <w:r w:rsidR="002362C6" w:rsidRPr="00187DC7">
        <w:rPr>
          <w:lang w:val="fr-CH"/>
        </w:rPr>
        <w:t>19/032 (voir le paragraphe</w:t>
      </w:r>
      <w:r w:rsidR="00973659" w:rsidRPr="00187DC7">
        <w:rPr>
          <w:lang w:val="fr-CH"/>
        </w:rPr>
        <w:t> </w:t>
      </w:r>
      <w:r w:rsidR="002362C6" w:rsidRPr="00187DC7">
        <w:rPr>
          <w:lang w:val="fr-CH"/>
        </w:rPr>
        <w:t>9), le cas échéant.</w:t>
      </w:r>
    </w:p>
    <w:p w:rsidR="00285FF7" w:rsidRPr="00187DC7" w:rsidRDefault="00285FF7" w:rsidP="00E843F0">
      <w:pPr>
        <w:rPr>
          <w:rFonts w:cs="Arial"/>
          <w:lang w:val="fr-CH"/>
        </w:rPr>
      </w:pPr>
    </w:p>
    <w:p w:rsidR="00AE08C2" w:rsidRPr="00187DC7" w:rsidRDefault="00761618" w:rsidP="006A09D4">
      <w:pPr>
        <w:rPr>
          <w:rFonts w:cs="Arial"/>
          <w:lang w:val="fr-CH"/>
        </w:rPr>
      </w:pPr>
      <w:r w:rsidRPr="00187DC7">
        <w:rPr>
          <w:rFonts w:cs="Arial"/>
          <w:lang w:val="fr-CH"/>
        </w:rPr>
        <w:fldChar w:fldCharType="begin"/>
      </w:r>
      <w:r w:rsidRPr="00187DC7">
        <w:rPr>
          <w:rFonts w:cs="Arial"/>
          <w:lang w:val="fr-CH"/>
        </w:rPr>
        <w:instrText xml:space="preserve"> AUTONUM  </w:instrText>
      </w:r>
      <w:r w:rsidRPr="00187DC7">
        <w:rPr>
          <w:rFonts w:cs="Arial"/>
          <w:lang w:val="fr-CH"/>
        </w:rPr>
        <w:fldChar w:fldCharType="end"/>
      </w:r>
      <w:r w:rsidRPr="00187DC7">
        <w:rPr>
          <w:rFonts w:cs="Arial"/>
          <w:lang w:val="fr-CH"/>
        </w:rPr>
        <w:tab/>
      </w:r>
      <w:r w:rsidR="006A09D4" w:rsidRPr="00187DC7">
        <w:rPr>
          <w:rFonts w:cs="Arial"/>
          <w:lang w:val="fr-CH"/>
        </w:rPr>
        <w:t>Le projet de programme du séminaire sur les variétés essentiellement dérivées, élaboré en consultation avec le président</w:t>
      </w:r>
      <w:r w:rsidR="00AE08C2" w:rsidRPr="00187DC7">
        <w:rPr>
          <w:rFonts w:cs="Arial"/>
          <w:lang w:val="fr-CH"/>
        </w:rPr>
        <w:t xml:space="preserve"> du</w:t>
      </w:r>
      <w:r w:rsidR="00187DC7" w:rsidRPr="00187DC7">
        <w:rPr>
          <w:rFonts w:cs="Arial"/>
          <w:lang w:val="fr-CH"/>
        </w:rPr>
        <w:t xml:space="preserve"> </w:t>
      </w:r>
      <w:r w:rsidR="00AE08C2" w:rsidRPr="00187DC7">
        <w:rPr>
          <w:rFonts w:cs="Arial"/>
          <w:lang w:val="fr-CH"/>
        </w:rPr>
        <w:t>CAJ</w:t>
      </w:r>
      <w:r w:rsidR="006A09D4" w:rsidRPr="00187DC7">
        <w:rPr>
          <w:rFonts w:cs="Arial"/>
          <w:lang w:val="fr-CH"/>
        </w:rPr>
        <w:t>, a été diffusé aux membres</w:t>
      </w:r>
      <w:r w:rsidR="00AE08C2" w:rsidRPr="00187DC7">
        <w:rPr>
          <w:rFonts w:cs="Arial"/>
          <w:lang w:val="fr-CH"/>
        </w:rPr>
        <w:t xml:space="preserve"> du</w:t>
      </w:r>
      <w:r w:rsidR="00187DC7" w:rsidRPr="00187DC7">
        <w:rPr>
          <w:rFonts w:cs="Arial"/>
          <w:lang w:val="fr-CH"/>
        </w:rPr>
        <w:t xml:space="preserve"> </w:t>
      </w:r>
      <w:r w:rsidR="00AE08C2" w:rsidRPr="00187DC7">
        <w:rPr>
          <w:rFonts w:cs="Arial"/>
          <w:lang w:val="fr-CH"/>
        </w:rPr>
        <w:t>CAJ</w:t>
      </w:r>
      <w:r w:rsidR="006A09D4" w:rsidRPr="00187DC7">
        <w:rPr>
          <w:rFonts w:cs="Arial"/>
          <w:lang w:val="fr-CH"/>
        </w:rPr>
        <w:t xml:space="preserve"> pour approbation par correspondance avec la circulaire UPOV</w:t>
      </w:r>
      <w:r w:rsidR="00973659" w:rsidRPr="00187DC7">
        <w:rPr>
          <w:rFonts w:cs="Arial"/>
          <w:lang w:val="fr-CH"/>
        </w:rPr>
        <w:t> </w:t>
      </w:r>
      <w:r w:rsidR="006A09D4" w:rsidRPr="00187DC7">
        <w:rPr>
          <w:rFonts w:cs="Arial"/>
          <w:lang w:val="fr-CH"/>
        </w:rPr>
        <w:t>E</w:t>
      </w:r>
      <w:r w:rsidR="00AE08C2" w:rsidRPr="00187DC7">
        <w:rPr>
          <w:rFonts w:cs="Arial"/>
          <w:lang w:val="fr-CH"/>
        </w:rPr>
        <w:t>-</w:t>
      </w:r>
      <w:r w:rsidR="006A09D4" w:rsidRPr="00187DC7">
        <w:rPr>
          <w:rFonts w:cs="Arial"/>
          <w:lang w:val="fr-CH"/>
        </w:rPr>
        <w:t>19/090 du 20</w:t>
      </w:r>
      <w:r w:rsidR="00973659" w:rsidRPr="00187DC7">
        <w:rPr>
          <w:rFonts w:cs="Arial"/>
          <w:lang w:val="fr-CH"/>
        </w:rPr>
        <w:t> </w:t>
      </w:r>
      <w:r w:rsidR="006A09D4" w:rsidRPr="00187DC7">
        <w:rPr>
          <w:rFonts w:cs="Arial"/>
          <w:lang w:val="fr-CH"/>
        </w:rPr>
        <w:t>juin</w:t>
      </w:r>
      <w:r w:rsidR="00973659" w:rsidRPr="00187DC7">
        <w:rPr>
          <w:rFonts w:cs="Arial"/>
          <w:lang w:val="fr-CH"/>
        </w:rPr>
        <w:t> </w:t>
      </w:r>
      <w:r w:rsidR="006A09D4" w:rsidRPr="00187DC7">
        <w:rPr>
          <w:rFonts w:cs="Arial"/>
          <w:lang w:val="fr-CH"/>
        </w:rPr>
        <w:t>2019.</w:t>
      </w:r>
      <w:r w:rsidRPr="00187DC7">
        <w:rPr>
          <w:rFonts w:cs="Arial"/>
          <w:lang w:val="fr-CH"/>
        </w:rPr>
        <w:t xml:space="preserve">  </w:t>
      </w:r>
      <w:r w:rsidR="006A09D4" w:rsidRPr="00187DC7">
        <w:rPr>
          <w:rFonts w:cs="Arial"/>
          <w:lang w:val="fr-CH"/>
        </w:rPr>
        <w:t>Aucune observation n</w:t>
      </w:r>
      <w:r w:rsidR="00AE08C2" w:rsidRPr="00187DC7">
        <w:rPr>
          <w:rFonts w:cs="Arial"/>
          <w:lang w:val="fr-CH"/>
        </w:rPr>
        <w:t>’</w:t>
      </w:r>
      <w:r w:rsidR="006A09D4" w:rsidRPr="00187DC7">
        <w:rPr>
          <w:rFonts w:cs="Arial"/>
          <w:lang w:val="fr-CH"/>
        </w:rPr>
        <w:t>a été reçue concernant le projet de programme figurant dans l</w:t>
      </w:r>
      <w:r w:rsidR="00AE08C2" w:rsidRPr="00187DC7">
        <w:rPr>
          <w:rFonts w:cs="Arial"/>
          <w:lang w:val="fr-CH"/>
        </w:rPr>
        <w:t>’</w:t>
      </w:r>
      <w:r w:rsidR="006A09D4" w:rsidRPr="00187DC7">
        <w:rPr>
          <w:rFonts w:cs="Arial"/>
          <w:lang w:val="fr-CH"/>
        </w:rPr>
        <w:t>annexe du présent document.</w:t>
      </w:r>
    </w:p>
    <w:p w:rsidR="00285FF7" w:rsidRPr="00187DC7" w:rsidRDefault="00285FF7" w:rsidP="004A55FB">
      <w:pPr>
        <w:rPr>
          <w:rFonts w:cs="Arial"/>
          <w:spacing w:val="-4"/>
          <w:lang w:val="fr-CH"/>
        </w:rPr>
      </w:pPr>
    </w:p>
    <w:p w:rsidR="00285FF7" w:rsidRPr="00187DC7" w:rsidRDefault="00AD316B" w:rsidP="00285FF7">
      <w:pPr>
        <w:rPr>
          <w:rFonts w:cs="Arial"/>
          <w:spacing w:val="-4"/>
          <w:lang w:val="fr-CH"/>
        </w:rPr>
      </w:pPr>
      <w:r w:rsidRPr="00187DC7">
        <w:rPr>
          <w:rFonts w:cs="Arial"/>
          <w:spacing w:val="-4"/>
          <w:lang w:val="fr-CH"/>
        </w:rPr>
        <w:fldChar w:fldCharType="begin"/>
      </w:r>
      <w:r w:rsidRPr="00187DC7">
        <w:rPr>
          <w:rFonts w:cs="Arial"/>
          <w:spacing w:val="-4"/>
          <w:lang w:val="fr-CH"/>
        </w:rPr>
        <w:instrText xml:space="preserve"> AUTONUM  </w:instrText>
      </w:r>
      <w:r w:rsidRPr="00187DC7">
        <w:rPr>
          <w:rFonts w:cs="Arial"/>
          <w:spacing w:val="-4"/>
          <w:lang w:val="fr-CH"/>
        </w:rPr>
        <w:fldChar w:fldCharType="end"/>
      </w:r>
      <w:r w:rsidRPr="00187DC7">
        <w:rPr>
          <w:rFonts w:cs="Arial"/>
          <w:spacing w:val="-4"/>
          <w:lang w:val="fr-CH"/>
        </w:rPr>
        <w:tab/>
      </w:r>
      <w:r w:rsidR="006A09D4" w:rsidRPr="00187DC7">
        <w:rPr>
          <w:rFonts w:cs="Arial"/>
          <w:spacing w:val="-4"/>
          <w:lang w:val="fr-CH"/>
        </w:rPr>
        <w:t>Le CAJ est convenu que la participation au séminaire devait être ouverte au public, sous réserve de la mise à disposition de l</w:t>
      </w:r>
      <w:r w:rsidR="00AE08C2" w:rsidRPr="00187DC7">
        <w:rPr>
          <w:rFonts w:cs="Arial"/>
          <w:spacing w:val="-4"/>
          <w:lang w:val="fr-CH"/>
        </w:rPr>
        <w:t>’</w:t>
      </w:r>
      <w:r w:rsidR="006A09D4" w:rsidRPr="00187DC7">
        <w:rPr>
          <w:rFonts w:cs="Arial"/>
          <w:spacing w:val="-4"/>
          <w:lang w:val="fr-CH"/>
        </w:rPr>
        <w:t>enregistrement du séminaire sur le site</w:t>
      </w:r>
      <w:r w:rsidR="00AB2A1A" w:rsidRPr="00187DC7">
        <w:rPr>
          <w:rFonts w:cs="Arial"/>
          <w:spacing w:val="-4"/>
          <w:lang w:val="fr-CH"/>
        </w:rPr>
        <w:t> </w:t>
      </w:r>
      <w:r w:rsidR="006A09D4" w:rsidRPr="00187DC7">
        <w:rPr>
          <w:rFonts w:cs="Arial"/>
          <w:spacing w:val="-4"/>
          <w:lang w:val="fr-CH"/>
        </w:rPr>
        <w:t>Web de l</w:t>
      </w:r>
      <w:r w:rsidR="00AE08C2" w:rsidRPr="00187DC7">
        <w:rPr>
          <w:rFonts w:cs="Arial"/>
          <w:spacing w:val="-4"/>
          <w:lang w:val="fr-CH"/>
        </w:rPr>
        <w:t>’</w:t>
      </w:r>
      <w:r w:rsidR="006A09D4" w:rsidRPr="00187DC7">
        <w:rPr>
          <w:rFonts w:cs="Arial"/>
          <w:spacing w:val="-4"/>
          <w:lang w:val="fr-CH"/>
        </w:rPr>
        <w:t>UPOV après un délai appropr</w:t>
      </w:r>
      <w:r w:rsidR="00DC49E8" w:rsidRPr="00187DC7">
        <w:rPr>
          <w:rFonts w:cs="Arial"/>
          <w:spacing w:val="-4"/>
          <w:lang w:val="fr-CH"/>
        </w:rPr>
        <w:t>ié.  L’e</w:t>
      </w:r>
      <w:r w:rsidR="00285FF7" w:rsidRPr="00187DC7">
        <w:rPr>
          <w:rFonts w:cs="Arial"/>
          <w:spacing w:val="-4"/>
          <w:lang w:val="fr-CH"/>
        </w:rPr>
        <w:t>nregistrement en ligne et le projet de programme du séminaire sur les variétés essentiellement dérivées approuvé par</w:t>
      </w:r>
      <w:r w:rsidR="00AE08C2" w:rsidRPr="00187DC7">
        <w:rPr>
          <w:rFonts w:cs="Arial"/>
          <w:spacing w:val="-4"/>
          <w:lang w:val="fr-CH"/>
        </w:rPr>
        <w:t xml:space="preserve"> le</w:t>
      </w:r>
      <w:r w:rsidR="00D17F2C" w:rsidRPr="00187DC7">
        <w:rPr>
          <w:rFonts w:cs="Arial"/>
          <w:spacing w:val="-4"/>
          <w:lang w:val="fr-CH"/>
        </w:rPr>
        <w:t xml:space="preserve"> </w:t>
      </w:r>
      <w:r w:rsidR="00AE08C2" w:rsidRPr="00187DC7">
        <w:rPr>
          <w:rFonts w:cs="Arial"/>
          <w:spacing w:val="-4"/>
          <w:lang w:val="fr-CH"/>
        </w:rPr>
        <w:t>CAJ</w:t>
      </w:r>
      <w:r w:rsidR="00285FF7" w:rsidRPr="00187DC7">
        <w:rPr>
          <w:rFonts w:cs="Arial"/>
          <w:spacing w:val="-4"/>
          <w:lang w:val="fr-CH"/>
        </w:rPr>
        <w:t xml:space="preserve"> sont disponibles à l</w:t>
      </w:r>
      <w:r w:rsidR="00AE08C2" w:rsidRPr="00187DC7">
        <w:rPr>
          <w:rFonts w:cs="Arial"/>
          <w:spacing w:val="-4"/>
          <w:lang w:val="fr-CH"/>
        </w:rPr>
        <w:t>’</w:t>
      </w:r>
      <w:r w:rsidR="00285FF7" w:rsidRPr="00187DC7">
        <w:rPr>
          <w:rFonts w:cs="Arial"/>
          <w:spacing w:val="-4"/>
          <w:lang w:val="fr-CH"/>
        </w:rPr>
        <w:t>adresse</w:t>
      </w:r>
      <w:r w:rsidR="00187DC7" w:rsidRPr="00187DC7">
        <w:rPr>
          <w:rFonts w:cs="Arial"/>
          <w:spacing w:val="-4"/>
          <w:lang w:val="fr-CH"/>
        </w:rPr>
        <w:t> </w:t>
      </w:r>
      <w:hyperlink r:id="rId11" w:history="1">
        <w:r w:rsidR="00775FA9" w:rsidRPr="00187DC7">
          <w:rPr>
            <w:rStyle w:val="Hyperlink"/>
            <w:spacing w:val="-4"/>
            <w:lang w:val="fr-CH"/>
          </w:rPr>
          <w:t>https://www.upov.int/meetings/fr/details.jsp?meeting_id=50787</w:t>
        </w:r>
      </w:hyperlink>
      <w:r w:rsidR="00EA2418" w:rsidRPr="00187DC7">
        <w:rPr>
          <w:rStyle w:val="Hyperlink"/>
          <w:color w:val="auto"/>
          <w:spacing w:val="-4"/>
          <w:u w:val="none"/>
          <w:lang w:val="fr-CH"/>
        </w:rPr>
        <w:t>.</w:t>
      </w:r>
    </w:p>
    <w:p w:rsidR="00285FF7" w:rsidRPr="00F346D7" w:rsidRDefault="00285FF7" w:rsidP="004A55FB">
      <w:pPr>
        <w:rPr>
          <w:rFonts w:cs="Arial"/>
          <w:spacing w:val="-2"/>
          <w:lang w:val="fr-CH"/>
        </w:rPr>
      </w:pPr>
    </w:p>
    <w:p w:rsidR="00187DC7" w:rsidRDefault="00D100ED" w:rsidP="00187DC7">
      <w:pPr>
        <w:rPr>
          <w:rFonts w:cs="Arial"/>
          <w:spacing w:val="-2"/>
          <w:lang w:val="fr-CH"/>
        </w:rPr>
      </w:pPr>
      <w:r w:rsidRPr="00F346D7">
        <w:rPr>
          <w:rFonts w:cs="Arial"/>
          <w:spacing w:val="-2"/>
          <w:lang w:val="fr-CH"/>
        </w:rPr>
        <w:fldChar w:fldCharType="begin"/>
      </w:r>
      <w:r w:rsidRPr="00F346D7">
        <w:rPr>
          <w:rFonts w:cs="Arial"/>
          <w:spacing w:val="-2"/>
          <w:lang w:val="fr-CH"/>
        </w:rPr>
        <w:instrText xml:space="preserve"> AUTONUM  </w:instrText>
      </w:r>
      <w:r w:rsidRPr="00F346D7">
        <w:rPr>
          <w:rFonts w:cs="Arial"/>
          <w:spacing w:val="-2"/>
          <w:lang w:val="fr-CH"/>
        </w:rPr>
        <w:fldChar w:fldCharType="end"/>
      </w:r>
      <w:r w:rsidRPr="00F346D7">
        <w:rPr>
          <w:rFonts w:cs="Arial"/>
          <w:spacing w:val="-2"/>
          <w:lang w:val="fr-CH"/>
        </w:rPr>
        <w:tab/>
      </w:r>
      <w:r w:rsidR="007774E7" w:rsidRPr="00F346D7">
        <w:rPr>
          <w:rFonts w:cs="Arial"/>
          <w:spacing w:val="-2"/>
          <w:lang w:val="fr-CH"/>
        </w:rPr>
        <w:t xml:space="preserve">Il est prévu de publier les discussions du </w:t>
      </w:r>
      <w:r w:rsidR="00775FA9" w:rsidRPr="00F346D7">
        <w:rPr>
          <w:rFonts w:cs="Arial"/>
          <w:spacing w:val="-2"/>
          <w:lang w:val="fr-CH"/>
        </w:rPr>
        <w:t>S</w:t>
      </w:r>
      <w:r w:rsidR="007774E7" w:rsidRPr="00F346D7">
        <w:rPr>
          <w:rFonts w:cs="Arial"/>
          <w:spacing w:val="-2"/>
          <w:lang w:val="fr-CH"/>
        </w:rPr>
        <w:t>éminaire sur les variétés essentiellement dérivées dans les quatre</w:t>
      </w:r>
      <w:r w:rsidR="00AB2A1A">
        <w:rPr>
          <w:rFonts w:cs="Arial"/>
          <w:spacing w:val="-2"/>
          <w:lang w:val="fr-CH"/>
        </w:rPr>
        <w:t> </w:t>
      </w:r>
      <w:r w:rsidR="007774E7" w:rsidRPr="00F346D7">
        <w:rPr>
          <w:rFonts w:cs="Arial"/>
          <w:spacing w:val="-2"/>
          <w:lang w:val="fr-CH"/>
        </w:rPr>
        <w:t>langues de travail de l</w:t>
      </w:r>
      <w:r w:rsidR="00AE08C2">
        <w:rPr>
          <w:rFonts w:cs="Arial"/>
          <w:spacing w:val="-2"/>
          <w:lang w:val="fr-CH"/>
        </w:rPr>
        <w:t>’</w:t>
      </w:r>
      <w:r w:rsidR="007774E7" w:rsidRPr="00F346D7">
        <w:rPr>
          <w:rFonts w:cs="Arial"/>
          <w:spacing w:val="-2"/>
          <w:lang w:val="fr-CH"/>
        </w:rPr>
        <w:t>UPOV (français, allemand, anglais</w:t>
      </w:r>
      <w:r w:rsidR="00F346D7" w:rsidRPr="00F346D7">
        <w:rPr>
          <w:rFonts w:cs="Arial"/>
          <w:spacing w:val="-2"/>
          <w:lang w:val="fr-CH"/>
        </w:rPr>
        <w:t xml:space="preserve"> </w:t>
      </w:r>
      <w:r w:rsidR="007774E7" w:rsidRPr="00F346D7">
        <w:rPr>
          <w:rFonts w:cs="Arial"/>
          <w:spacing w:val="-2"/>
          <w:lang w:val="fr-CH"/>
        </w:rPr>
        <w:t xml:space="preserve">et espagnol), </w:t>
      </w:r>
      <w:r w:rsidR="00AE08C2">
        <w:rPr>
          <w:rFonts w:cs="Arial"/>
          <w:spacing w:val="-2"/>
          <w:lang w:val="fr-CH"/>
        </w:rPr>
        <w:t>y compris</w:t>
      </w:r>
      <w:r w:rsidR="007774E7" w:rsidRPr="00F346D7">
        <w:rPr>
          <w:rFonts w:cs="Arial"/>
          <w:spacing w:val="-2"/>
          <w:lang w:val="fr-CH"/>
        </w:rPr>
        <w:t xml:space="preserve"> les exposés et les débats, dès que possible après le séminaire.</w:t>
      </w:r>
      <w:r w:rsidR="00B51CCE">
        <w:rPr>
          <w:rFonts w:cs="Arial"/>
          <w:spacing w:val="-2"/>
          <w:lang w:val="fr-CH"/>
        </w:rPr>
        <w:t xml:space="preserve">  </w:t>
      </w:r>
      <w:r w:rsidR="00187DC7">
        <w:rPr>
          <w:rFonts w:cs="Arial"/>
          <w:spacing w:val="-2"/>
          <w:lang w:val="fr-CH"/>
        </w:rPr>
        <w:br w:type="page"/>
      </w:r>
    </w:p>
    <w:p w:rsidR="00285FF7" w:rsidRPr="00F346D7" w:rsidRDefault="00775FA9" w:rsidP="007774E7">
      <w:pPr>
        <w:pStyle w:val="Heading1"/>
        <w:rPr>
          <w:lang w:val="fr-CH"/>
        </w:rPr>
      </w:pPr>
      <w:bookmarkStart w:id="10" w:name="_Toc15391240"/>
      <w:r>
        <w:rPr>
          <w:caps w:val="0"/>
          <w:lang w:val="fr-CH"/>
        </w:rPr>
        <w:lastRenderedPageBreak/>
        <w:t>CONCLUSIONS</w:t>
      </w:r>
      <w:r w:rsidRPr="00F346D7">
        <w:rPr>
          <w:caps w:val="0"/>
          <w:lang w:val="fr-CH"/>
        </w:rPr>
        <w:t xml:space="preserve"> </w:t>
      </w:r>
      <w:r w:rsidR="007774E7" w:rsidRPr="00F346D7">
        <w:rPr>
          <w:lang w:val="fr-CH"/>
        </w:rPr>
        <w:t xml:space="preserve">du séminaire sur les variétés essentiellement dérivées et examen des orientations sur les variétés essentiellement dérivées fournies dans le </w:t>
      </w:r>
      <w:r w:rsidR="00AE08C2" w:rsidRPr="00F346D7">
        <w:rPr>
          <w:lang w:val="fr-CH"/>
        </w:rPr>
        <w:t>document</w:t>
      </w:r>
      <w:r w:rsidR="00AE08C2">
        <w:rPr>
          <w:lang w:val="fr-CH"/>
        </w:rPr>
        <w:t xml:space="preserve"> </w:t>
      </w:r>
      <w:r w:rsidR="00AE08C2" w:rsidRPr="00F346D7">
        <w:rPr>
          <w:lang w:val="fr-CH"/>
        </w:rPr>
        <w:t>UP</w:t>
      </w:r>
      <w:r w:rsidR="007774E7" w:rsidRPr="00F346D7">
        <w:rPr>
          <w:lang w:val="fr-CH"/>
        </w:rPr>
        <w:t>OV/EXN/EDV/2 “Notes explicatives sur les variétés essentiellement dérivées selon l</w:t>
      </w:r>
      <w:r w:rsidR="00AE08C2">
        <w:rPr>
          <w:lang w:val="fr-CH"/>
        </w:rPr>
        <w:t>’</w:t>
      </w:r>
      <w:r w:rsidR="007774E7" w:rsidRPr="00F346D7">
        <w:rPr>
          <w:lang w:val="fr-CH"/>
        </w:rPr>
        <w:t xml:space="preserve">Acte </w:t>
      </w:r>
      <w:r w:rsidR="00AE08C2" w:rsidRPr="00F346D7">
        <w:rPr>
          <w:lang w:val="fr-CH"/>
        </w:rPr>
        <w:t>de</w:t>
      </w:r>
      <w:r w:rsidR="00AE08C2">
        <w:rPr>
          <w:lang w:val="fr-CH"/>
        </w:rPr>
        <w:t> </w:t>
      </w:r>
      <w:r w:rsidR="00AE08C2" w:rsidRPr="00F346D7">
        <w:rPr>
          <w:lang w:val="fr-CH"/>
        </w:rPr>
        <w:t>1991</w:t>
      </w:r>
      <w:r w:rsidR="007774E7" w:rsidRPr="00F346D7">
        <w:rPr>
          <w:lang w:val="fr-CH"/>
        </w:rPr>
        <w:t xml:space="preserve"> de la </w:t>
      </w:r>
      <w:r w:rsidR="00AE08C2">
        <w:rPr>
          <w:lang w:val="fr-CH"/>
        </w:rPr>
        <w:t>Convention UPOV</w:t>
      </w:r>
      <w:r w:rsidR="00973659">
        <w:rPr>
          <w:lang w:val="fr-CH"/>
        </w:rPr>
        <w:t>”</w:t>
      </w:r>
      <w:bookmarkEnd w:id="10"/>
    </w:p>
    <w:p w:rsidR="00285FF7" w:rsidRPr="003530C7" w:rsidRDefault="00285FF7" w:rsidP="004A55FB">
      <w:pPr>
        <w:rPr>
          <w:rFonts w:cs="Arial"/>
          <w:spacing w:val="-2"/>
          <w:sz w:val="19"/>
          <w:szCs w:val="19"/>
          <w:lang w:val="fr-CH"/>
        </w:rPr>
      </w:pPr>
    </w:p>
    <w:p w:rsidR="00285FF7" w:rsidRPr="00F346D7" w:rsidRDefault="00D100ED" w:rsidP="007774E7">
      <w:pPr>
        <w:rPr>
          <w:rFonts w:cs="Arial"/>
          <w:spacing w:val="-2"/>
          <w:lang w:val="fr-CH"/>
        </w:rPr>
      </w:pPr>
      <w:r w:rsidRPr="00F346D7">
        <w:rPr>
          <w:rFonts w:cs="Arial"/>
          <w:spacing w:val="-2"/>
          <w:lang w:val="fr-CH"/>
        </w:rPr>
        <w:fldChar w:fldCharType="begin"/>
      </w:r>
      <w:r w:rsidRPr="00F346D7">
        <w:rPr>
          <w:rFonts w:cs="Arial"/>
          <w:spacing w:val="-2"/>
          <w:lang w:val="fr-CH"/>
        </w:rPr>
        <w:instrText xml:space="preserve"> AUTONUM  </w:instrText>
      </w:r>
      <w:r w:rsidRPr="00F346D7">
        <w:rPr>
          <w:rFonts w:cs="Arial"/>
          <w:spacing w:val="-2"/>
          <w:lang w:val="fr-CH"/>
        </w:rPr>
        <w:fldChar w:fldCharType="end"/>
      </w:r>
      <w:r w:rsidRPr="00F346D7">
        <w:rPr>
          <w:rFonts w:cs="Arial"/>
          <w:spacing w:val="-2"/>
          <w:lang w:val="fr-CH"/>
        </w:rPr>
        <w:tab/>
      </w:r>
      <w:r w:rsidR="007774E7" w:rsidRPr="00F346D7">
        <w:rPr>
          <w:rFonts w:cs="Arial"/>
          <w:spacing w:val="-2"/>
          <w:lang w:val="fr-CH"/>
        </w:rPr>
        <w:t>À sa soixante</w:t>
      </w:r>
      <w:r w:rsidR="00AE08C2">
        <w:rPr>
          <w:rFonts w:cs="Arial"/>
          <w:spacing w:val="-2"/>
          <w:lang w:val="fr-CH"/>
        </w:rPr>
        <w:t>-</w:t>
      </w:r>
      <w:r w:rsidR="007774E7" w:rsidRPr="00F346D7">
        <w:rPr>
          <w:rFonts w:cs="Arial"/>
          <w:spacing w:val="-2"/>
          <w:lang w:val="fr-CH"/>
        </w:rPr>
        <w:t>quinz</w:t>
      </w:r>
      <w:r w:rsidR="00AE08C2">
        <w:rPr>
          <w:rFonts w:cs="Arial"/>
          <w:spacing w:val="-2"/>
          <w:lang w:val="fr-CH"/>
        </w:rPr>
        <w:t>ième session</w:t>
      </w:r>
      <w:r w:rsidR="00E85C19" w:rsidRPr="00F346D7">
        <w:rPr>
          <w:spacing w:val="-2"/>
          <w:kern w:val="28"/>
          <w:vertAlign w:val="superscript"/>
          <w:lang w:val="fr-CH"/>
        </w:rPr>
        <w:fldChar w:fldCharType="begin"/>
      </w:r>
      <w:r w:rsidR="00E85C19" w:rsidRPr="00F346D7">
        <w:rPr>
          <w:spacing w:val="-2"/>
          <w:kern w:val="28"/>
          <w:vertAlign w:val="superscript"/>
          <w:lang w:val="fr-CH"/>
        </w:rPr>
        <w:instrText xml:space="preserve"> NOTEREF _Ref14793986 \h  \* MERGEFORMAT </w:instrText>
      </w:r>
      <w:r w:rsidR="00E85C19" w:rsidRPr="00F346D7">
        <w:rPr>
          <w:spacing w:val="-2"/>
          <w:kern w:val="28"/>
          <w:vertAlign w:val="superscript"/>
          <w:lang w:val="fr-CH"/>
        </w:rPr>
      </w:r>
      <w:r w:rsidR="00E85C19" w:rsidRPr="00F346D7">
        <w:rPr>
          <w:spacing w:val="-2"/>
          <w:kern w:val="28"/>
          <w:vertAlign w:val="superscript"/>
          <w:lang w:val="fr-CH"/>
        </w:rPr>
        <w:fldChar w:fldCharType="separate"/>
      </w:r>
      <w:r w:rsidR="001538E7">
        <w:rPr>
          <w:spacing w:val="-2"/>
          <w:kern w:val="28"/>
          <w:vertAlign w:val="superscript"/>
          <w:lang w:val="fr-CH"/>
        </w:rPr>
        <w:t>1</w:t>
      </w:r>
      <w:r w:rsidR="00E85C19" w:rsidRPr="00F346D7">
        <w:rPr>
          <w:spacing w:val="-2"/>
          <w:kern w:val="28"/>
          <w:vertAlign w:val="superscript"/>
          <w:lang w:val="fr-CH"/>
        </w:rPr>
        <w:fldChar w:fldCharType="end"/>
      </w:r>
      <w:r w:rsidR="007774E7" w:rsidRPr="00731CF1">
        <w:rPr>
          <w:spacing w:val="-2"/>
          <w:kern w:val="28"/>
          <w:lang w:val="fr-CH"/>
        </w:rPr>
        <w:t>,</w:t>
      </w:r>
      <w:r w:rsidR="00AE08C2" w:rsidRPr="00731CF1">
        <w:rPr>
          <w:spacing w:val="-2"/>
          <w:kern w:val="28"/>
          <w:lang w:val="fr-CH"/>
        </w:rPr>
        <w:t xml:space="preserve"> </w:t>
      </w:r>
      <w:r w:rsidR="00AE08C2">
        <w:rPr>
          <w:spacing w:val="-2"/>
          <w:kern w:val="28"/>
          <w:lang w:val="fr-CH"/>
        </w:rPr>
        <w:t>le CAJ</w:t>
      </w:r>
      <w:r w:rsidR="007774E7" w:rsidRPr="00731CF1">
        <w:rPr>
          <w:spacing w:val="-2"/>
          <w:kern w:val="28"/>
          <w:lang w:val="fr-CH"/>
        </w:rPr>
        <w:t xml:space="preserve"> </w:t>
      </w:r>
      <w:r w:rsidR="007774E7" w:rsidRPr="00F346D7">
        <w:rPr>
          <w:spacing w:val="-2"/>
          <w:kern w:val="28"/>
          <w:lang w:val="fr-CH"/>
        </w:rPr>
        <w:t>est convenu que l</w:t>
      </w:r>
      <w:r w:rsidR="00AE08C2">
        <w:rPr>
          <w:spacing w:val="-2"/>
          <w:kern w:val="28"/>
          <w:lang w:val="fr-CH"/>
        </w:rPr>
        <w:t>’</w:t>
      </w:r>
      <w:r w:rsidR="007774E7" w:rsidRPr="00F346D7">
        <w:rPr>
          <w:spacing w:val="-2"/>
          <w:kern w:val="28"/>
          <w:lang w:val="fr-CH"/>
        </w:rPr>
        <w:t>examen de la révision des notes explicatives sur les variétés essentiellement dérivées serait inscrit à l</w:t>
      </w:r>
      <w:r w:rsidR="00AE08C2">
        <w:rPr>
          <w:spacing w:val="-2"/>
          <w:kern w:val="28"/>
          <w:lang w:val="fr-CH"/>
        </w:rPr>
        <w:t>’</w:t>
      </w:r>
      <w:r w:rsidR="007774E7" w:rsidRPr="00F346D7">
        <w:rPr>
          <w:spacing w:val="-2"/>
          <w:kern w:val="28"/>
          <w:lang w:val="fr-CH"/>
        </w:rPr>
        <w:t xml:space="preserve">ordre du jour </w:t>
      </w:r>
      <w:r w:rsidR="00775FA9">
        <w:rPr>
          <w:spacing w:val="-2"/>
          <w:kern w:val="28"/>
          <w:lang w:val="fr-CH"/>
        </w:rPr>
        <w:t>de sa soixante</w:t>
      </w:r>
      <w:r w:rsidR="00AE08C2">
        <w:rPr>
          <w:spacing w:val="-2"/>
          <w:kern w:val="28"/>
          <w:lang w:val="fr-CH"/>
        </w:rPr>
        <w:t>-</w:t>
      </w:r>
      <w:r w:rsidR="00775FA9">
        <w:rPr>
          <w:spacing w:val="-2"/>
          <w:kern w:val="28"/>
          <w:lang w:val="fr-CH"/>
        </w:rPr>
        <w:t>seiz</w:t>
      </w:r>
      <w:r w:rsidR="00AE08C2">
        <w:rPr>
          <w:spacing w:val="-2"/>
          <w:kern w:val="28"/>
          <w:lang w:val="fr-CH"/>
        </w:rPr>
        <w:t>ième session</w:t>
      </w:r>
      <w:r w:rsidR="007774E7" w:rsidRPr="00F346D7">
        <w:rPr>
          <w:spacing w:val="-2"/>
          <w:kern w:val="28"/>
          <w:lang w:val="fr-CH"/>
        </w:rPr>
        <w:t xml:space="preserve"> et que les conclusions du séminaire serviraient de point de départ à cet examen (voir le paragraphe</w:t>
      </w:r>
      <w:r w:rsidR="00973659">
        <w:rPr>
          <w:spacing w:val="-2"/>
          <w:kern w:val="28"/>
          <w:lang w:val="fr-CH"/>
        </w:rPr>
        <w:t> </w:t>
      </w:r>
      <w:r w:rsidR="007774E7" w:rsidRPr="00F346D7">
        <w:rPr>
          <w:spacing w:val="-2"/>
          <w:kern w:val="28"/>
          <w:lang w:val="fr-CH"/>
        </w:rPr>
        <w:t>17 du document CAJ/75/14 “Compte rendu”).</w:t>
      </w:r>
    </w:p>
    <w:p w:rsidR="00285FF7" w:rsidRPr="003530C7" w:rsidRDefault="00285FF7" w:rsidP="004A55FB">
      <w:pPr>
        <w:rPr>
          <w:rFonts w:cs="Arial"/>
          <w:spacing w:val="-2"/>
          <w:sz w:val="19"/>
          <w:szCs w:val="19"/>
          <w:lang w:val="fr-CH"/>
        </w:rPr>
      </w:pPr>
    </w:p>
    <w:p w:rsidR="00AE08C2" w:rsidRDefault="00600A9C" w:rsidP="00113565">
      <w:pPr>
        <w:rPr>
          <w:rFonts w:cs="Arial"/>
          <w:spacing w:val="-2"/>
          <w:lang w:val="fr-CH"/>
        </w:rPr>
      </w:pPr>
      <w:r w:rsidRPr="00F346D7">
        <w:rPr>
          <w:rFonts w:cs="Arial"/>
          <w:spacing w:val="-2"/>
          <w:lang w:val="fr-CH"/>
        </w:rPr>
        <w:fldChar w:fldCharType="begin"/>
      </w:r>
      <w:r w:rsidRPr="00F346D7">
        <w:rPr>
          <w:rFonts w:cs="Arial"/>
          <w:spacing w:val="-2"/>
          <w:lang w:val="fr-CH"/>
        </w:rPr>
        <w:instrText xml:space="preserve"> AUTONUM  </w:instrText>
      </w:r>
      <w:r w:rsidRPr="00F346D7">
        <w:rPr>
          <w:rFonts w:cs="Arial"/>
          <w:spacing w:val="-2"/>
          <w:lang w:val="fr-CH"/>
        </w:rPr>
        <w:fldChar w:fldCharType="end"/>
      </w:r>
      <w:r w:rsidRPr="00F346D7">
        <w:rPr>
          <w:rFonts w:cs="Arial"/>
          <w:spacing w:val="-2"/>
          <w:lang w:val="fr-CH"/>
        </w:rPr>
        <w:tab/>
      </w:r>
      <w:r w:rsidR="00113565" w:rsidRPr="00F346D7">
        <w:rPr>
          <w:rFonts w:cs="Arial"/>
          <w:spacing w:val="-2"/>
          <w:lang w:val="fr-CH"/>
        </w:rPr>
        <w:t>Un résumé des conclusions du séminaire sera présenté</w:t>
      </w:r>
      <w:r w:rsidR="00AE08C2" w:rsidRPr="00F346D7">
        <w:rPr>
          <w:rFonts w:cs="Arial"/>
          <w:spacing w:val="-2"/>
          <w:lang w:val="fr-CH"/>
        </w:rPr>
        <w:t xml:space="preserve"> au</w:t>
      </w:r>
      <w:r w:rsidR="00AE08C2">
        <w:rPr>
          <w:rFonts w:cs="Arial"/>
          <w:spacing w:val="-2"/>
          <w:lang w:val="fr-CH"/>
        </w:rPr>
        <w:t> </w:t>
      </w:r>
      <w:r w:rsidR="00AE08C2" w:rsidRPr="00F346D7">
        <w:rPr>
          <w:rFonts w:cs="Arial"/>
          <w:spacing w:val="-2"/>
          <w:lang w:val="fr-CH"/>
        </w:rPr>
        <w:t>CAJ</w:t>
      </w:r>
      <w:r w:rsidR="00113565" w:rsidRPr="00F346D7">
        <w:rPr>
          <w:rFonts w:cs="Arial"/>
          <w:spacing w:val="-2"/>
          <w:lang w:val="fr-CH"/>
        </w:rPr>
        <w:t xml:space="preserve"> à sa soixante</w:t>
      </w:r>
      <w:r w:rsidR="00AE08C2">
        <w:rPr>
          <w:rFonts w:cs="Arial"/>
          <w:spacing w:val="-2"/>
          <w:lang w:val="fr-CH"/>
        </w:rPr>
        <w:t>-</w:t>
      </w:r>
      <w:r w:rsidR="00113565" w:rsidRPr="00F346D7">
        <w:rPr>
          <w:rFonts w:cs="Arial"/>
          <w:spacing w:val="-2"/>
          <w:lang w:val="fr-CH"/>
        </w:rPr>
        <w:t>seiz</w:t>
      </w:r>
      <w:r w:rsidR="00AE08C2">
        <w:rPr>
          <w:rFonts w:cs="Arial"/>
          <w:spacing w:val="-2"/>
          <w:lang w:val="fr-CH"/>
        </w:rPr>
        <w:t>ième session</w:t>
      </w:r>
      <w:r w:rsidR="00113565" w:rsidRPr="00F346D7">
        <w:rPr>
          <w:rStyle w:val="FootnoteReference"/>
          <w:rFonts w:cs="Arial"/>
          <w:spacing w:val="-2"/>
          <w:lang w:val="fr-CH"/>
        </w:rPr>
        <w:footnoteReference w:id="4"/>
      </w:r>
      <w:r w:rsidR="00113565" w:rsidRPr="00F346D7">
        <w:rPr>
          <w:rFonts w:cs="Arial"/>
          <w:spacing w:val="-2"/>
          <w:lang w:val="fr-CH"/>
        </w:rPr>
        <w:t>, dans un rapport présenté oralement par le président</w:t>
      </w:r>
      <w:r w:rsidR="00AE08C2" w:rsidRPr="00F346D7">
        <w:rPr>
          <w:rFonts w:cs="Arial"/>
          <w:spacing w:val="-2"/>
          <w:lang w:val="fr-CH"/>
        </w:rPr>
        <w:t xml:space="preserve"> du</w:t>
      </w:r>
      <w:r w:rsidR="00AE08C2">
        <w:rPr>
          <w:rFonts w:cs="Arial"/>
          <w:spacing w:val="-2"/>
          <w:lang w:val="fr-CH"/>
        </w:rPr>
        <w:t> </w:t>
      </w:r>
      <w:r w:rsidR="00AE08C2" w:rsidRPr="00F346D7">
        <w:rPr>
          <w:rFonts w:cs="Arial"/>
          <w:spacing w:val="-2"/>
          <w:lang w:val="fr-CH"/>
        </w:rPr>
        <w:t>CAJ</w:t>
      </w:r>
      <w:r w:rsidR="00113565" w:rsidRPr="00F346D7">
        <w:rPr>
          <w:rFonts w:cs="Arial"/>
          <w:spacing w:val="-2"/>
          <w:lang w:val="fr-CH"/>
        </w:rPr>
        <w:t>.</w:t>
      </w:r>
    </w:p>
    <w:p w:rsidR="00285FF7" w:rsidRPr="003530C7" w:rsidRDefault="00285FF7" w:rsidP="00600A9C">
      <w:pPr>
        <w:rPr>
          <w:rFonts w:cs="Arial"/>
          <w:spacing w:val="-2"/>
          <w:sz w:val="19"/>
          <w:szCs w:val="19"/>
          <w:lang w:val="fr-CH"/>
        </w:rPr>
      </w:pPr>
    </w:p>
    <w:p w:rsidR="00285FF7" w:rsidRPr="00F346D7" w:rsidRDefault="00600A9C" w:rsidP="00113565">
      <w:pPr>
        <w:rPr>
          <w:rFonts w:cs="Arial"/>
          <w:spacing w:val="-2"/>
          <w:lang w:val="fr-CH"/>
        </w:rPr>
      </w:pPr>
      <w:r w:rsidRPr="00F346D7">
        <w:rPr>
          <w:rFonts w:cs="Arial"/>
          <w:spacing w:val="-2"/>
          <w:lang w:val="fr-CH"/>
        </w:rPr>
        <w:fldChar w:fldCharType="begin"/>
      </w:r>
      <w:r w:rsidRPr="00F346D7">
        <w:rPr>
          <w:rFonts w:cs="Arial"/>
          <w:spacing w:val="-2"/>
          <w:lang w:val="fr-CH"/>
        </w:rPr>
        <w:instrText xml:space="preserve"> AUTONUM  </w:instrText>
      </w:r>
      <w:r w:rsidRPr="00F346D7">
        <w:rPr>
          <w:rFonts w:cs="Arial"/>
          <w:spacing w:val="-2"/>
          <w:lang w:val="fr-CH"/>
        </w:rPr>
        <w:fldChar w:fldCharType="end"/>
      </w:r>
      <w:r w:rsidRPr="00F346D7">
        <w:rPr>
          <w:rFonts w:cs="Arial"/>
          <w:spacing w:val="-2"/>
          <w:lang w:val="fr-CH"/>
        </w:rPr>
        <w:tab/>
      </w:r>
      <w:r w:rsidR="00113565" w:rsidRPr="00F346D7">
        <w:rPr>
          <w:rFonts w:cs="Arial"/>
          <w:spacing w:val="-2"/>
          <w:lang w:val="fr-CH"/>
        </w:rPr>
        <w:t>Compte tenu de ce qui précède,</w:t>
      </w:r>
      <w:r w:rsidR="00AE08C2" w:rsidRPr="00F346D7">
        <w:rPr>
          <w:rFonts w:cs="Arial"/>
          <w:spacing w:val="-2"/>
          <w:lang w:val="fr-CH"/>
        </w:rPr>
        <w:t xml:space="preserve"> le</w:t>
      </w:r>
      <w:r w:rsidR="00AE08C2">
        <w:rPr>
          <w:rFonts w:cs="Arial"/>
          <w:spacing w:val="-2"/>
          <w:lang w:val="fr-CH"/>
        </w:rPr>
        <w:t> </w:t>
      </w:r>
      <w:r w:rsidR="00AE08C2" w:rsidRPr="00F346D7">
        <w:rPr>
          <w:rFonts w:cs="Arial"/>
          <w:spacing w:val="-2"/>
          <w:lang w:val="fr-CH"/>
        </w:rPr>
        <w:t>CAJ</w:t>
      </w:r>
      <w:r w:rsidR="00113565" w:rsidRPr="00F346D7">
        <w:rPr>
          <w:rFonts w:cs="Arial"/>
          <w:spacing w:val="-2"/>
          <w:lang w:val="fr-CH"/>
        </w:rPr>
        <w:t xml:space="preserve"> sera invité à examiner s</w:t>
      </w:r>
      <w:r w:rsidR="00AE08C2">
        <w:rPr>
          <w:rFonts w:cs="Arial"/>
          <w:spacing w:val="-2"/>
          <w:lang w:val="fr-CH"/>
        </w:rPr>
        <w:t>’</w:t>
      </w:r>
      <w:r w:rsidR="00113565" w:rsidRPr="00F346D7">
        <w:rPr>
          <w:rFonts w:cs="Arial"/>
          <w:spacing w:val="-2"/>
          <w:lang w:val="fr-CH"/>
        </w:rPr>
        <w:t xml:space="preserve">il convient de lancer une révision des orientations sur les variétés essentiellement dérivées fournies dans le </w:t>
      </w:r>
      <w:r w:rsidR="00AE08C2" w:rsidRPr="00F346D7">
        <w:rPr>
          <w:rFonts w:cs="Arial"/>
          <w:spacing w:val="-2"/>
          <w:lang w:val="fr-CH"/>
        </w:rPr>
        <w:t>document</w:t>
      </w:r>
      <w:r w:rsidR="00AE08C2">
        <w:rPr>
          <w:rFonts w:cs="Arial"/>
          <w:spacing w:val="-2"/>
          <w:lang w:val="fr-CH"/>
        </w:rPr>
        <w:t xml:space="preserve"> </w:t>
      </w:r>
      <w:r w:rsidR="00AE08C2" w:rsidRPr="00F346D7">
        <w:rPr>
          <w:rFonts w:cs="Arial"/>
          <w:spacing w:val="-2"/>
          <w:lang w:val="fr-CH"/>
        </w:rPr>
        <w:t>UP</w:t>
      </w:r>
      <w:r w:rsidR="00113565" w:rsidRPr="00F346D7">
        <w:rPr>
          <w:rFonts w:cs="Arial"/>
          <w:spacing w:val="-2"/>
          <w:lang w:val="fr-CH"/>
        </w:rPr>
        <w:t>OV/EXN/EDV/2 “Notes explicatives sur les variétés essentiellement dérivées selon l</w:t>
      </w:r>
      <w:r w:rsidR="00AE08C2">
        <w:rPr>
          <w:rFonts w:cs="Arial"/>
          <w:spacing w:val="-2"/>
          <w:lang w:val="fr-CH"/>
        </w:rPr>
        <w:t>’</w:t>
      </w:r>
      <w:r w:rsidR="00113565" w:rsidRPr="00F346D7">
        <w:rPr>
          <w:rFonts w:cs="Arial"/>
          <w:spacing w:val="-2"/>
          <w:lang w:val="fr-CH"/>
        </w:rPr>
        <w:t xml:space="preserve">Acte </w:t>
      </w:r>
      <w:r w:rsidR="00AE08C2" w:rsidRPr="00F346D7">
        <w:rPr>
          <w:rFonts w:cs="Arial"/>
          <w:spacing w:val="-2"/>
          <w:lang w:val="fr-CH"/>
        </w:rPr>
        <w:t>de</w:t>
      </w:r>
      <w:r w:rsidR="00AE08C2">
        <w:rPr>
          <w:rFonts w:cs="Arial"/>
          <w:spacing w:val="-2"/>
          <w:lang w:val="fr-CH"/>
        </w:rPr>
        <w:t> </w:t>
      </w:r>
      <w:r w:rsidR="00AE08C2" w:rsidRPr="00F346D7">
        <w:rPr>
          <w:rFonts w:cs="Arial"/>
          <w:spacing w:val="-2"/>
          <w:lang w:val="fr-CH"/>
        </w:rPr>
        <w:t>1991</w:t>
      </w:r>
      <w:r w:rsidR="00113565" w:rsidRPr="00F346D7">
        <w:rPr>
          <w:rFonts w:cs="Arial"/>
          <w:spacing w:val="-2"/>
          <w:lang w:val="fr-CH"/>
        </w:rPr>
        <w:t xml:space="preserve"> de la </w:t>
      </w:r>
      <w:r w:rsidR="00AE08C2">
        <w:rPr>
          <w:rFonts w:cs="Arial"/>
          <w:spacing w:val="-2"/>
          <w:lang w:val="fr-CH"/>
        </w:rPr>
        <w:t>Convention UPOV</w:t>
      </w:r>
      <w:r w:rsidR="00973659">
        <w:rPr>
          <w:rFonts w:cs="Arial"/>
          <w:spacing w:val="-2"/>
          <w:lang w:val="fr-CH"/>
        </w:rPr>
        <w:t>”</w:t>
      </w:r>
      <w:r w:rsidR="00113565" w:rsidRPr="00F346D7">
        <w:rPr>
          <w:rFonts w:cs="Arial"/>
          <w:spacing w:val="-2"/>
          <w:lang w:val="fr-CH"/>
        </w:rPr>
        <w:t>.</w:t>
      </w:r>
    </w:p>
    <w:p w:rsidR="00285FF7" w:rsidRPr="003530C7" w:rsidRDefault="00285FF7" w:rsidP="004A55FB">
      <w:pPr>
        <w:rPr>
          <w:rFonts w:cs="Arial"/>
          <w:spacing w:val="-2"/>
          <w:sz w:val="19"/>
          <w:szCs w:val="19"/>
          <w:lang w:val="fr-CH"/>
        </w:rPr>
      </w:pPr>
    </w:p>
    <w:p w:rsidR="00285FF7" w:rsidRDefault="00285FF7" w:rsidP="004A55FB">
      <w:pPr>
        <w:rPr>
          <w:rFonts w:cs="Arial"/>
          <w:spacing w:val="-2"/>
          <w:sz w:val="19"/>
          <w:szCs w:val="19"/>
          <w:lang w:val="fr-CH"/>
        </w:rPr>
      </w:pPr>
    </w:p>
    <w:p w:rsidR="008A6CB5" w:rsidRPr="003530C7" w:rsidRDefault="008A6CB5" w:rsidP="004A55FB">
      <w:pPr>
        <w:rPr>
          <w:rFonts w:cs="Arial"/>
          <w:spacing w:val="-2"/>
          <w:sz w:val="19"/>
          <w:szCs w:val="19"/>
          <w:lang w:val="fr-CH"/>
        </w:rPr>
      </w:pPr>
    </w:p>
    <w:p w:rsidR="00285FF7" w:rsidRPr="00F346D7" w:rsidRDefault="00113565" w:rsidP="00113565">
      <w:pPr>
        <w:pStyle w:val="Heading1"/>
        <w:rPr>
          <w:rFonts w:cs="Arial"/>
          <w:spacing w:val="-2"/>
          <w:lang w:val="fr-CH"/>
        </w:rPr>
      </w:pPr>
      <w:bookmarkStart w:id="12" w:name="_Toc15391241"/>
      <w:r w:rsidRPr="00F346D7">
        <w:rPr>
          <w:rFonts w:cs="Arial"/>
          <w:spacing w:val="-2"/>
          <w:lang w:val="fr-CH"/>
        </w:rPr>
        <w:t>Mécanismes extrajudiciaires de règlement des litiges pour les questions relatives aux variétés essentiellement dérivées</w:t>
      </w:r>
      <w:bookmarkEnd w:id="12"/>
    </w:p>
    <w:p w:rsidR="00285FF7" w:rsidRPr="003530C7" w:rsidRDefault="00285FF7" w:rsidP="004A55FB">
      <w:pPr>
        <w:rPr>
          <w:rFonts w:cs="Arial"/>
          <w:sz w:val="19"/>
          <w:szCs w:val="19"/>
          <w:lang w:val="fr-CH"/>
        </w:rPr>
      </w:pPr>
    </w:p>
    <w:p w:rsidR="00AE08C2" w:rsidRDefault="00E843F0" w:rsidP="00113565">
      <w:pPr>
        <w:rPr>
          <w:lang w:val="fr-CH"/>
        </w:rPr>
      </w:pPr>
      <w:r w:rsidRPr="00F346D7">
        <w:rPr>
          <w:rFonts w:eastAsiaTheme="minorEastAsia"/>
          <w:lang w:val="fr-CH"/>
        </w:rPr>
        <w:fldChar w:fldCharType="begin"/>
      </w:r>
      <w:r w:rsidRPr="00F346D7">
        <w:rPr>
          <w:rFonts w:eastAsiaTheme="minorEastAsia"/>
          <w:lang w:val="fr-CH"/>
        </w:rPr>
        <w:instrText xml:space="preserve"> AUTONUM  </w:instrText>
      </w:r>
      <w:r w:rsidRPr="00F346D7">
        <w:rPr>
          <w:rFonts w:eastAsiaTheme="minorEastAsia"/>
          <w:lang w:val="fr-CH"/>
        </w:rPr>
        <w:fldChar w:fldCharType="end"/>
      </w:r>
      <w:r w:rsidRPr="00F346D7">
        <w:rPr>
          <w:rFonts w:eastAsiaTheme="minorEastAsia"/>
          <w:lang w:val="fr-CH"/>
        </w:rPr>
        <w:tab/>
      </w:r>
      <w:r w:rsidR="00113565" w:rsidRPr="00F346D7">
        <w:rPr>
          <w:rFonts w:eastAsiaTheme="minorEastAsia"/>
          <w:lang w:val="fr-CH"/>
        </w:rPr>
        <w:t>Aucun fait nouveau n</w:t>
      </w:r>
      <w:r w:rsidR="00AE08C2">
        <w:rPr>
          <w:rFonts w:eastAsiaTheme="minorEastAsia"/>
          <w:lang w:val="fr-CH"/>
        </w:rPr>
        <w:t>’</w:t>
      </w:r>
      <w:r w:rsidR="00113565" w:rsidRPr="00F346D7">
        <w:rPr>
          <w:rFonts w:eastAsiaTheme="minorEastAsia"/>
          <w:lang w:val="fr-CH"/>
        </w:rPr>
        <w:t>est intervenu en ce qui concerne la tenue éventuelle d</w:t>
      </w:r>
      <w:r w:rsidR="00AE08C2">
        <w:rPr>
          <w:rFonts w:eastAsiaTheme="minorEastAsia"/>
          <w:lang w:val="fr-CH"/>
        </w:rPr>
        <w:t>’</w:t>
      </w:r>
      <w:r w:rsidR="00113565" w:rsidRPr="00F346D7">
        <w:rPr>
          <w:rFonts w:eastAsiaTheme="minorEastAsia"/>
          <w:lang w:val="fr-CH"/>
        </w:rPr>
        <w:t>une réunion du Bureau de l</w:t>
      </w:r>
      <w:r w:rsidR="00AE08C2">
        <w:rPr>
          <w:rFonts w:eastAsiaTheme="minorEastAsia"/>
          <w:lang w:val="fr-CH"/>
        </w:rPr>
        <w:t>’</w:t>
      </w:r>
      <w:r w:rsidR="00113565" w:rsidRPr="00F346D7">
        <w:rPr>
          <w:rFonts w:eastAsiaTheme="minorEastAsia"/>
          <w:lang w:val="fr-CH"/>
        </w:rPr>
        <w:t>Union avec</w:t>
      </w:r>
      <w:r w:rsidR="00AE08C2" w:rsidRPr="00F346D7">
        <w:rPr>
          <w:rFonts w:eastAsiaTheme="minorEastAsia"/>
          <w:lang w:val="fr-CH"/>
        </w:rPr>
        <w:t xml:space="preserve"> la</w:t>
      </w:r>
      <w:r w:rsidR="00AE08C2">
        <w:rPr>
          <w:rFonts w:eastAsiaTheme="minorEastAsia"/>
          <w:lang w:val="fr-CH"/>
        </w:rPr>
        <w:t> </w:t>
      </w:r>
      <w:r w:rsidR="00AE08C2" w:rsidRPr="00F346D7">
        <w:rPr>
          <w:rFonts w:eastAsiaTheme="minorEastAsia"/>
          <w:lang w:val="fr-CH"/>
        </w:rPr>
        <w:t>CIO</w:t>
      </w:r>
      <w:r w:rsidR="00113565" w:rsidRPr="00F346D7">
        <w:rPr>
          <w:rFonts w:eastAsiaTheme="minorEastAsia"/>
          <w:lang w:val="fr-CH"/>
        </w:rPr>
        <w:t>PORA, l</w:t>
      </w:r>
      <w:r w:rsidR="00AE08C2">
        <w:rPr>
          <w:rFonts w:eastAsiaTheme="minorEastAsia"/>
          <w:lang w:val="fr-CH"/>
        </w:rPr>
        <w:t>’</w:t>
      </w:r>
      <w:r w:rsidR="00113565" w:rsidRPr="00F346D7">
        <w:rPr>
          <w:rFonts w:eastAsiaTheme="minorEastAsia"/>
          <w:lang w:val="fr-CH"/>
        </w:rPr>
        <w:t>ISF et l</w:t>
      </w:r>
      <w:r w:rsidR="00AE08C2">
        <w:rPr>
          <w:rFonts w:eastAsiaTheme="minorEastAsia"/>
          <w:lang w:val="fr-CH"/>
        </w:rPr>
        <w:t>’</w:t>
      </w:r>
      <w:r w:rsidR="00B973F4" w:rsidRPr="00B973F4">
        <w:rPr>
          <w:rFonts w:eastAsiaTheme="minorEastAsia"/>
          <w:snapToGrid w:val="0"/>
          <w:spacing w:val="-2"/>
          <w:lang w:val="fr-CH"/>
        </w:rPr>
        <w:t xml:space="preserve"> </w:t>
      </w:r>
      <w:r w:rsidR="00B973F4" w:rsidRPr="002F7F91">
        <w:rPr>
          <w:rFonts w:eastAsiaTheme="minorEastAsia"/>
          <w:snapToGrid w:val="0"/>
          <w:spacing w:val="-2"/>
          <w:lang w:val="fr-CH"/>
        </w:rPr>
        <w:t xml:space="preserve">Organisation Mondiale de la Propriété Intellectuelle </w:t>
      </w:r>
      <w:r w:rsidR="00B973F4">
        <w:rPr>
          <w:rFonts w:eastAsiaTheme="minorEastAsia"/>
          <w:snapToGrid w:val="0"/>
          <w:spacing w:val="-2"/>
          <w:lang w:val="fr-CH"/>
        </w:rPr>
        <w:t>(</w:t>
      </w:r>
      <w:r w:rsidR="00113565" w:rsidRPr="00F346D7">
        <w:rPr>
          <w:rFonts w:eastAsiaTheme="minorEastAsia"/>
          <w:lang w:val="fr-CH"/>
        </w:rPr>
        <w:t>OMPI</w:t>
      </w:r>
      <w:r w:rsidR="00B973F4">
        <w:rPr>
          <w:rFonts w:eastAsiaTheme="minorEastAsia"/>
          <w:lang w:val="fr-CH"/>
        </w:rPr>
        <w:t>)</w:t>
      </w:r>
      <w:r w:rsidR="00113565" w:rsidRPr="00F346D7">
        <w:rPr>
          <w:rFonts w:eastAsiaTheme="minorEastAsia"/>
          <w:lang w:val="fr-CH"/>
        </w:rPr>
        <w:t xml:space="preserve"> en vue d</w:t>
      </w:r>
      <w:r w:rsidR="00AE08C2">
        <w:rPr>
          <w:rFonts w:eastAsiaTheme="minorEastAsia"/>
          <w:lang w:val="fr-CH"/>
        </w:rPr>
        <w:t>’</w:t>
      </w:r>
      <w:r w:rsidR="00113565" w:rsidRPr="00F346D7">
        <w:rPr>
          <w:rFonts w:eastAsiaTheme="minorEastAsia"/>
          <w:lang w:val="fr-CH"/>
        </w:rPr>
        <w:t>étudier le rôle que l</w:t>
      </w:r>
      <w:r w:rsidR="00AE08C2">
        <w:rPr>
          <w:rFonts w:eastAsiaTheme="minorEastAsia"/>
          <w:lang w:val="fr-CH"/>
        </w:rPr>
        <w:t>’</w:t>
      </w:r>
      <w:r w:rsidR="00113565" w:rsidRPr="00F346D7">
        <w:rPr>
          <w:rFonts w:eastAsiaTheme="minorEastAsia"/>
          <w:lang w:val="fr-CH"/>
        </w:rPr>
        <w:t xml:space="preserve">UPOV pourrait jouer dans les mécanismes extrajudiciaires de règlement des litiges pour les questions relatives aux variétés essentiellement dérivées, </w:t>
      </w:r>
      <w:r w:rsidR="00AE08C2">
        <w:rPr>
          <w:rFonts w:eastAsiaTheme="minorEastAsia"/>
          <w:lang w:val="fr-CH"/>
        </w:rPr>
        <w:t>y compris</w:t>
      </w:r>
      <w:r w:rsidR="00113565" w:rsidRPr="00F346D7">
        <w:rPr>
          <w:rFonts w:eastAsiaTheme="minorEastAsia"/>
          <w:lang w:val="fr-CH"/>
        </w:rPr>
        <w:t xml:space="preserve"> la mise à di</w:t>
      </w:r>
      <w:r w:rsidR="00971975">
        <w:rPr>
          <w:rFonts w:eastAsiaTheme="minorEastAsia"/>
          <w:lang w:val="fr-CH"/>
        </w:rPr>
        <w:t>sposition d</w:t>
      </w:r>
      <w:r w:rsidR="00AE08C2">
        <w:rPr>
          <w:rFonts w:eastAsiaTheme="minorEastAsia"/>
          <w:lang w:val="fr-CH"/>
        </w:rPr>
        <w:t>’</w:t>
      </w:r>
      <w:r w:rsidR="00971975">
        <w:rPr>
          <w:rFonts w:eastAsiaTheme="minorEastAsia"/>
          <w:lang w:val="fr-CH"/>
        </w:rPr>
        <w:t>experts concernant c</w:t>
      </w:r>
      <w:r w:rsidR="00113565" w:rsidRPr="00F346D7">
        <w:rPr>
          <w:rFonts w:eastAsiaTheme="minorEastAsia"/>
          <w:lang w:val="fr-CH"/>
        </w:rPr>
        <w:t>es questions, et le Bureau de l</w:t>
      </w:r>
      <w:r w:rsidR="00AE08C2">
        <w:rPr>
          <w:rFonts w:eastAsiaTheme="minorEastAsia"/>
          <w:lang w:val="fr-CH"/>
        </w:rPr>
        <w:t>’</w:t>
      </w:r>
      <w:r w:rsidR="00113565" w:rsidRPr="00F346D7">
        <w:rPr>
          <w:rFonts w:eastAsiaTheme="minorEastAsia"/>
          <w:lang w:val="fr-CH"/>
        </w:rPr>
        <w:t xml:space="preserve">Union ne prévoit pas de donner suite à cette question si </w:t>
      </w:r>
      <w:r w:rsidR="00775FA9">
        <w:rPr>
          <w:rFonts w:eastAsiaTheme="minorEastAsia"/>
          <w:lang w:val="fr-CH"/>
        </w:rPr>
        <w:t>aucun changement n</w:t>
      </w:r>
      <w:r w:rsidR="00AE08C2">
        <w:rPr>
          <w:rFonts w:eastAsiaTheme="minorEastAsia"/>
          <w:lang w:val="fr-CH"/>
        </w:rPr>
        <w:t>’</w:t>
      </w:r>
      <w:r w:rsidR="00775FA9">
        <w:rPr>
          <w:rFonts w:eastAsiaTheme="minorEastAsia"/>
          <w:lang w:val="fr-CH"/>
        </w:rPr>
        <w:t>intervient</w:t>
      </w:r>
      <w:r w:rsidR="00113565" w:rsidRPr="00F346D7">
        <w:rPr>
          <w:rFonts w:eastAsiaTheme="minorEastAsia"/>
          <w:lang w:val="fr-CH"/>
        </w:rPr>
        <w:t>.</w:t>
      </w:r>
    </w:p>
    <w:p w:rsidR="00285FF7" w:rsidRPr="003530C7" w:rsidRDefault="00285FF7" w:rsidP="00CA61EA">
      <w:pPr>
        <w:rPr>
          <w:sz w:val="19"/>
          <w:szCs w:val="19"/>
          <w:lang w:val="fr-CH"/>
        </w:rPr>
      </w:pPr>
    </w:p>
    <w:p w:rsidR="00285FF7" w:rsidRPr="00F346D7" w:rsidRDefault="00EF6650" w:rsidP="00113565">
      <w:pPr>
        <w:pStyle w:val="DecisionParagraphs"/>
        <w:rPr>
          <w:lang w:val="fr-CH"/>
        </w:rPr>
      </w:pPr>
      <w:r w:rsidRPr="00F346D7">
        <w:rPr>
          <w:lang w:val="fr-CH"/>
        </w:rPr>
        <w:fldChar w:fldCharType="begin"/>
      </w:r>
      <w:r w:rsidRPr="00F346D7">
        <w:rPr>
          <w:lang w:val="fr-CH"/>
        </w:rPr>
        <w:instrText xml:space="preserve"> AUTONUM  </w:instrText>
      </w:r>
      <w:r w:rsidRPr="00F346D7">
        <w:rPr>
          <w:lang w:val="fr-CH"/>
        </w:rPr>
        <w:fldChar w:fldCharType="end"/>
      </w:r>
      <w:r w:rsidRPr="00F346D7">
        <w:rPr>
          <w:lang w:val="fr-CH"/>
        </w:rPr>
        <w:tab/>
      </w:r>
      <w:r w:rsidR="00113565" w:rsidRPr="00F346D7">
        <w:rPr>
          <w:lang w:val="fr-CH"/>
        </w:rPr>
        <w:t>Le CAJ est invité</w:t>
      </w:r>
      <w:r w:rsidR="008A6CB5" w:rsidRPr="008A6CB5">
        <w:rPr>
          <w:lang w:val="fr-CH"/>
        </w:rPr>
        <w:t xml:space="preserve"> </w:t>
      </w:r>
      <w:r w:rsidR="008A6CB5" w:rsidRPr="00F346D7">
        <w:rPr>
          <w:lang w:val="fr-CH"/>
        </w:rPr>
        <w:t>à</w:t>
      </w:r>
      <w:r w:rsidR="008A6CB5">
        <w:rPr>
          <w:lang w:val="fr-CH"/>
        </w:rPr>
        <w:t> :</w:t>
      </w:r>
    </w:p>
    <w:p w:rsidR="00285FF7" w:rsidRPr="003530C7" w:rsidRDefault="00285FF7" w:rsidP="007040FB">
      <w:pPr>
        <w:pStyle w:val="DecisionParagraphs"/>
        <w:rPr>
          <w:sz w:val="19"/>
          <w:szCs w:val="19"/>
          <w:lang w:val="fr-CH"/>
        </w:rPr>
      </w:pPr>
    </w:p>
    <w:p w:rsidR="00285FF7" w:rsidRPr="00F346D7" w:rsidRDefault="007040FB" w:rsidP="00113565">
      <w:pPr>
        <w:pStyle w:val="DecisionParagraphs"/>
        <w:rPr>
          <w:lang w:val="fr-CH"/>
        </w:rPr>
      </w:pPr>
      <w:r w:rsidRPr="00F346D7">
        <w:rPr>
          <w:lang w:val="fr-CH"/>
        </w:rPr>
        <w:tab/>
      </w:r>
      <w:r w:rsidR="00113565" w:rsidRPr="00F346D7">
        <w:rPr>
          <w:lang w:val="fr-CH"/>
        </w:rPr>
        <w:t>a)</w:t>
      </w:r>
      <w:r w:rsidR="00113565" w:rsidRPr="00F346D7">
        <w:rPr>
          <w:lang w:val="fr-CH"/>
        </w:rPr>
        <w:tab/>
        <w:t xml:space="preserve">prendre note des informations générales sur les variétés essentiellement dérivées et des faits nouveaux intervenus dans ce domaine, </w:t>
      </w:r>
      <w:r w:rsidR="00AE08C2">
        <w:rPr>
          <w:lang w:val="fr-CH"/>
        </w:rPr>
        <w:t>y compris</w:t>
      </w:r>
      <w:r w:rsidR="00113565" w:rsidRPr="00F346D7">
        <w:rPr>
          <w:lang w:val="fr-CH"/>
        </w:rPr>
        <w:t xml:space="preserve"> des questions pertinentes concernant le “Séminaire sur l</w:t>
      </w:r>
      <w:r w:rsidR="00AE08C2">
        <w:rPr>
          <w:lang w:val="fr-CH"/>
        </w:rPr>
        <w:t>’</w:t>
      </w:r>
      <w:r w:rsidR="00775FA9">
        <w:rPr>
          <w:lang w:val="fr-CH"/>
        </w:rPr>
        <w:t>incidence</w:t>
      </w:r>
      <w:r w:rsidR="00113565" w:rsidRPr="00F346D7">
        <w:rPr>
          <w:lang w:val="fr-CH"/>
        </w:rPr>
        <w:t xml:space="preserve"> de la politique relative aux variétés essentiellement dérivées sur la stratégie </w:t>
      </w:r>
      <w:r w:rsidR="00775FA9">
        <w:rPr>
          <w:lang w:val="fr-CH"/>
        </w:rPr>
        <w:t xml:space="preserve">en matière de création </w:t>
      </w:r>
      <w:r w:rsidR="00113565" w:rsidRPr="00F346D7">
        <w:rPr>
          <w:lang w:val="fr-CH"/>
        </w:rPr>
        <w:t>variétale”, comme indiqué aux paragraphes</w:t>
      </w:r>
      <w:r w:rsidR="00973659">
        <w:rPr>
          <w:lang w:val="fr-CH"/>
        </w:rPr>
        <w:t> </w:t>
      </w:r>
      <w:r w:rsidR="00113565" w:rsidRPr="00F346D7">
        <w:rPr>
          <w:lang w:val="fr-CH"/>
        </w:rPr>
        <w:t>4 à 15 du présent document,</w:t>
      </w:r>
    </w:p>
    <w:p w:rsidR="00285FF7" w:rsidRPr="003530C7" w:rsidRDefault="00285FF7" w:rsidP="007040FB">
      <w:pPr>
        <w:pStyle w:val="DecisionParagraphs"/>
        <w:rPr>
          <w:sz w:val="19"/>
          <w:szCs w:val="19"/>
          <w:lang w:val="fr-CH"/>
        </w:rPr>
      </w:pPr>
    </w:p>
    <w:p w:rsidR="00AE08C2" w:rsidRDefault="007040FB" w:rsidP="00113565">
      <w:pPr>
        <w:pStyle w:val="DecisionParagraphs"/>
        <w:rPr>
          <w:lang w:val="fr-CH"/>
        </w:rPr>
      </w:pPr>
      <w:r w:rsidRPr="00F346D7">
        <w:rPr>
          <w:lang w:val="fr-CH"/>
        </w:rPr>
        <w:tab/>
      </w:r>
      <w:r w:rsidR="00113565" w:rsidRPr="00F346D7">
        <w:rPr>
          <w:lang w:val="fr-CH"/>
        </w:rPr>
        <w:t>b)</w:t>
      </w:r>
      <w:r w:rsidR="00113565" w:rsidRPr="00F346D7">
        <w:rPr>
          <w:lang w:val="fr-CH"/>
        </w:rPr>
        <w:tab/>
        <w:t xml:space="preserve">examiner les </w:t>
      </w:r>
      <w:r w:rsidR="00775FA9">
        <w:rPr>
          <w:lang w:val="fr-CH"/>
        </w:rPr>
        <w:t>conclusions</w:t>
      </w:r>
      <w:r w:rsidR="00113565" w:rsidRPr="00F346D7">
        <w:rPr>
          <w:lang w:val="fr-CH"/>
        </w:rPr>
        <w:t xml:space="preserve"> du </w:t>
      </w:r>
      <w:r w:rsidR="007C028B" w:rsidRPr="00F346D7">
        <w:rPr>
          <w:lang w:val="fr-CH"/>
        </w:rPr>
        <w:t>S</w:t>
      </w:r>
      <w:r w:rsidR="00113565" w:rsidRPr="00F346D7">
        <w:rPr>
          <w:lang w:val="fr-CH"/>
        </w:rPr>
        <w:t xml:space="preserve">éminaire sur les variétés essentiellement dérivées, qui seront </w:t>
      </w:r>
      <w:r w:rsidR="00775FA9">
        <w:rPr>
          <w:lang w:val="fr-CH"/>
        </w:rPr>
        <w:t>présentées</w:t>
      </w:r>
      <w:r w:rsidR="00AE08C2">
        <w:rPr>
          <w:lang w:val="fr-CH"/>
        </w:rPr>
        <w:t xml:space="preserve"> </w:t>
      </w:r>
      <w:r w:rsidR="00AE08C2" w:rsidRPr="00F346D7">
        <w:rPr>
          <w:lang w:val="fr-CH"/>
        </w:rPr>
        <w:t>au</w:t>
      </w:r>
      <w:r w:rsidR="00AE08C2">
        <w:rPr>
          <w:lang w:val="fr-CH"/>
        </w:rPr>
        <w:t> </w:t>
      </w:r>
      <w:r w:rsidR="00AE08C2" w:rsidRPr="00F346D7">
        <w:rPr>
          <w:lang w:val="fr-CH"/>
        </w:rPr>
        <w:t>CAJ</w:t>
      </w:r>
      <w:r w:rsidR="00113565" w:rsidRPr="00F346D7">
        <w:rPr>
          <w:lang w:val="fr-CH"/>
        </w:rPr>
        <w:t xml:space="preserve"> à sa soixante</w:t>
      </w:r>
      <w:r w:rsidR="00AE08C2">
        <w:rPr>
          <w:lang w:val="fr-CH"/>
        </w:rPr>
        <w:t>-</w:t>
      </w:r>
      <w:r w:rsidR="00113565" w:rsidRPr="00F346D7">
        <w:rPr>
          <w:lang w:val="fr-CH"/>
        </w:rPr>
        <w:t>seiz</w:t>
      </w:r>
      <w:r w:rsidR="00AE08C2">
        <w:rPr>
          <w:lang w:val="fr-CH"/>
        </w:rPr>
        <w:t>ième session</w:t>
      </w:r>
      <w:hyperlink w:anchor="notebasdepage3" w:history="1">
        <w:r w:rsidR="00775FA9" w:rsidRPr="00971975">
          <w:rPr>
            <w:rStyle w:val="Hyperlink"/>
            <w:color w:val="auto"/>
            <w:spacing w:val="-2"/>
            <w:u w:val="none"/>
            <w:vertAlign w:val="superscript"/>
            <w:lang w:val="fr-CH"/>
          </w:rPr>
          <w:t>3</w:t>
        </w:r>
      </w:hyperlink>
      <w:r w:rsidR="00113565" w:rsidRPr="00731CF1">
        <w:rPr>
          <w:spacing w:val="-2"/>
          <w:lang w:val="fr-CH"/>
        </w:rPr>
        <w:t>, dans un rapport présenté oralement par le président</w:t>
      </w:r>
      <w:r w:rsidR="00AE08C2" w:rsidRPr="00731CF1">
        <w:rPr>
          <w:spacing w:val="-2"/>
          <w:lang w:val="fr-CH"/>
        </w:rPr>
        <w:t xml:space="preserve"> du</w:t>
      </w:r>
      <w:r w:rsidR="00AE08C2">
        <w:rPr>
          <w:spacing w:val="-2"/>
          <w:lang w:val="fr-CH"/>
        </w:rPr>
        <w:t> </w:t>
      </w:r>
      <w:r w:rsidR="00AE08C2" w:rsidRPr="00731CF1">
        <w:rPr>
          <w:spacing w:val="-2"/>
          <w:lang w:val="fr-CH"/>
        </w:rPr>
        <w:t>CAJ</w:t>
      </w:r>
      <w:r w:rsidR="00113565" w:rsidRPr="00731CF1">
        <w:rPr>
          <w:spacing w:val="-2"/>
          <w:lang w:val="fr-CH"/>
        </w:rPr>
        <w:t>, comme indiqué aux paragraphes 16 à 18 du présent document,</w:t>
      </w:r>
    </w:p>
    <w:p w:rsidR="00285FF7" w:rsidRPr="003530C7" w:rsidRDefault="00285FF7" w:rsidP="007040FB">
      <w:pPr>
        <w:pStyle w:val="DecisionParagraphs"/>
        <w:rPr>
          <w:sz w:val="19"/>
          <w:szCs w:val="19"/>
          <w:lang w:val="fr-CH"/>
        </w:rPr>
      </w:pPr>
    </w:p>
    <w:p w:rsidR="00285FF7" w:rsidRPr="00F346D7" w:rsidRDefault="007040FB" w:rsidP="00122146">
      <w:pPr>
        <w:pStyle w:val="DecisionParagraphs"/>
        <w:rPr>
          <w:lang w:val="fr-CH"/>
        </w:rPr>
      </w:pPr>
      <w:r w:rsidRPr="00F346D7">
        <w:rPr>
          <w:lang w:val="fr-CH"/>
        </w:rPr>
        <w:tab/>
      </w:r>
      <w:r w:rsidR="00113565" w:rsidRPr="00F346D7">
        <w:rPr>
          <w:lang w:val="fr-CH"/>
        </w:rPr>
        <w:t>c)</w:t>
      </w:r>
      <w:r w:rsidR="00113565" w:rsidRPr="00F346D7">
        <w:rPr>
          <w:lang w:val="fr-CH"/>
        </w:rPr>
        <w:tab/>
        <w:t>noter qu</w:t>
      </w:r>
      <w:r w:rsidR="00AE08C2">
        <w:rPr>
          <w:lang w:val="fr-CH"/>
        </w:rPr>
        <w:t>’</w:t>
      </w:r>
      <w:r w:rsidR="00113565" w:rsidRPr="00F346D7">
        <w:rPr>
          <w:lang w:val="fr-CH"/>
        </w:rPr>
        <w:t>aucun fait nouveau n</w:t>
      </w:r>
      <w:r w:rsidR="00AE08C2">
        <w:rPr>
          <w:lang w:val="fr-CH"/>
        </w:rPr>
        <w:t>’</w:t>
      </w:r>
      <w:r w:rsidR="00113565" w:rsidRPr="00F346D7">
        <w:rPr>
          <w:lang w:val="fr-CH"/>
        </w:rPr>
        <w:t>est intervenu en ce qui concerne la tenue éventuelle d</w:t>
      </w:r>
      <w:r w:rsidR="00AE08C2">
        <w:rPr>
          <w:lang w:val="fr-CH"/>
        </w:rPr>
        <w:t>’</w:t>
      </w:r>
      <w:r w:rsidR="00113565" w:rsidRPr="00F346D7">
        <w:rPr>
          <w:lang w:val="fr-CH"/>
        </w:rPr>
        <w:t>une réunion du Bureau de l</w:t>
      </w:r>
      <w:r w:rsidR="00AE08C2">
        <w:rPr>
          <w:lang w:val="fr-CH"/>
        </w:rPr>
        <w:t>’</w:t>
      </w:r>
      <w:r w:rsidR="00113565" w:rsidRPr="00F346D7">
        <w:rPr>
          <w:lang w:val="fr-CH"/>
        </w:rPr>
        <w:t>Union avec</w:t>
      </w:r>
      <w:r w:rsidR="00AE08C2" w:rsidRPr="00F346D7">
        <w:rPr>
          <w:lang w:val="fr-CH"/>
        </w:rPr>
        <w:t xml:space="preserve"> la</w:t>
      </w:r>
      <w:r w:rsidR="00AE08C2">
        <w:rPr>
          <w:lang w:val="fr-CH"/>
        </w:rPr>
        <w:t> </w:t>
      </w:r>
      <w:r w:rsidR="00AE08C2" w:rsidRPr="00F346D7">
        <w:rPr>
          <w:lang w:val="fr-CH"/>
        </w:rPr>
        <w:t>CIO</w:t>
      </w:r>
      <w:r w:rsidR="00113565" w:rsidRPr="00F346D7">
        <w:rPr>
          <w:lang w:val="fr-CH"/>
        </w:rPr>
        <w:t>PORA, l</w:t>
      </w:r>
      <w:r w:rsidR="00AE08C2">
        <w:rPr>
          <w:lang w:val="fr-CH"/>
        </w:rPr>
        <w:t>’</w:t>
      </w:r>
      <w:r w:rsidR="00113565" w:rsidRPr="00F346D7">
        <w:rPr>
          <w:lang w:val="fr-CH"/>
        </w:rPr>
        <w:t>ISF et l</w:t>
      </w:r>
      <w:r w:rsidR="00AE08C2">
        <w:rPr>
          <w:lang w:val="fr-CH"/>
        </w:rPr>
        <w:t>’</w:t>
      </w:r>
      <w:r w:rsidR="00113565" w:rsidRPr="00F346D7">
        <w:rPr>
          <w:lang w:val="fr-CH"/>
        </w:rPr>
        <w:t>OMPI en vue d</w:t>
      </w:r>
      <w:r w:rsidR="00AE08C2">
        <w:rPr>
          <w:lang w:val="fr-CH"/>
        </w:rPr>
        <w:t>’</w:t>
      </w:r>
      <w:r w:rsidR="00113565" w:rsidRPr="00F346D7">
        <w:rPr>
          <w:lang w:val="fr-CH"/>
        </w:rPr>
        <w:t>étudier le rôle que l</w:t>
      </w:r>
      <w:r w:rsidR="00AE08C2">
        <w:rPr>
          <w:lang w:val="fr-CH"/>
        </w:rPr>
        <w:t>’</w:t>
      </w:r>
      <w:r w:rsidR="00113565" w:rsidRPr="00F346D7">
        <w:rPr>
          <w:lang w:val="fr-CH"/>
        </w:rPr>
        <w:t xml:space="preserve">UPOV pourrait jouer dans les mécanismes extrajudiciaires de règlement des litiges pour les questions relatives aux variétés essentiellement dérivées, </w:t>
      </w:r>
      <w:r w:rsidR="00AE08C2">
        <w:rPr>
          <w:lang w:val="fr-CH"/>
        </w:rPr>
        <w:t>y compris</w:t>
      </w:r>
      <w:r w:rsidR="00113565" w:rsidRPr="00F346D7">
        <w:rPr>
          <w:lang w:val="fr-CH"/>
        </w:rPr>
        <w:t xml:space="preserve"> la mise à disposition d</w:t>
      </w:r>
      <w:r w:rsidR="00AE08C2">
        <w:rPr>
          <w:lang w:val="fr-CH"/>
        </w:rPr>
        <w:t>’</w:t>
      </w:r>
      <w:r w:rsidR="00113565" w:rsidRPr="00F346D7">
        <w:rPr>
          <w:lang w:val="fr-CH"/>
        </w:rPr>
        <w:t xml:space="preserve">experts concernant </w:t>
      </w:r>
      <w:r w:rsidR="00971975">
        <w:rPr>
          <w:lang w:val="fr-CH"/>
        </w:rPr>
        <w:t>ces</w:t>
      </w:r>
      <w:r w:rsidR="00113565" w:rsidRPr="00F346D7">
        <w:rPr>
          <w:lang w:val="fr-CH"/>
        </w:rPr>
        <w:t xml:space="preserve"> questions</w:t>
      </w:r>
      <w:r w:rsidR="00D370FB">
        <w:rPr>
          <w:lang w:val="fr-CH"/>
        </w:rPr>
        <w:t>.</w:t>
      </w:r>
    </w:p>
    <w:p w:rsidR="00285FF7" w:rsidRPr="003530C7" w:rsidRDefault="00285FF7" w:rsidP="00D370FB">
      <w:pPr>
        <w:keepNext/>
        <w:keepLines/>
        <w:jc w:val="right"/>
        <w:rPr>
          <w:sz w:val="16"/>
          <w:szCs w:val="19"/>
          <w:lang w:val="fr-CH"/>
        </w:rPr>
      </w:pPr>
    </w:p>
    <w:p w:rsidR="003530C7" w:rsidRPr="003530C7" w:rsidRDefault="003530C7" w:rsidP="00D370FB">
      <w:pPr>
        <w:keepNext/>
        <w:keepLines/>
        <w:jc w:val="right"/>
        <w:rPr>
          <w:sz w:val="16"/>
          <w:szCs w:val="19"/>
          <w:lang w:val="fr-CH"/>
        </w:rPr>
      </w:pPr>
      <w:r>
        <w:rPr>
          <w:noProof/>
        </w:rPr>
        <mc:AlternateContent>
          <mc:Choice Requires="wps">
            <w:drawing>
              <wp:anchor distT="0" distB="0" distL="114300" distR="114300" simplePos="0" relativeHeight="251659264" behindDoc="0" locked="0" layoutInCell="1" allowOverlap="1">
                <wp:simplePos x="0" y="0"/>
                <wp:positionH relativeFrom="column">
                  <wp:posOffset>5204460</wp:posOffset>
                </wp:positionH>
                <wp:positionV relativeFrom="paragraph">
                  <wp:posOffset>117475</wp:posOffset>
                </wp:positionV>
                <wp:extent cx="1028700" cy="333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wps:spPr>
                      <wps:txbx>
                        <w:txbxContent>
                          <w:p w:rsidR="00122146" w:rsidRDefault="00122146">
                            <w:r w:rsidRPr="00F346D7">
                              <w:rPr>
                                <w:lang w:val="fr-CH"/>
                              </w:rPr>
                              <w:t>[L</w:t>
                            </w:r>
                            <w:r>
                              <w:rPr>
                                <w:lang w:val="fr-CH"/>
                              </w:rPr>
                              <w:t>’</w:t>
                            </w:r>
                            <w:r w:rsidRPr="00F346D7">
                              <w:rPr>
                                <w:lang w:val="fr-CH"/>
                              </w:rPr>
                              <w:t>annexe suit]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9.8pt;margin-top:9.25pt;width:8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" filled="f" stroked="f" strokeweight=".5pt">
                <v:textbox>
                  <w:txbxContent>
                    <w:p w:rsidR="00122146" w:rsidRDefault="00122146">
                      <w:r w:rsidRPr="00F346D7">
                        <w:rPr>
                          <w:lang w:val="fr-CH"/>
                        </w:rPr>
                        <w:t>[L</w:t>
                      </w:r>
                      <w:r>
                        <w:rPr>
                          <w:lang w:val="fr-CH"/>
                        </w:rPr>
                        <w:t>’</w:t>
                      </w:r>
                      <w:r w:rsidRPr="00F346D7">
                        <w:rPr>
                          <w:lang w:val="fr-CH"/>
                        </w:rPr>
                        <w:t>annexe suit]</w:t>
                      </w:r>
                    </w:p>
                  </w:txbxContent>
                </v:textbox>
              </v:shape>
            </w:pict>
          </mc:Fallback>
        </mc:AlternateContent>
      </w:r>
    </w:p>
    <w:p w:rsidR="00285FF7" w:rsidRPr="00F346D7" w:rsidRDefault="00285FF7">
      <w:pPr>
        <w:jc w:val="left"/>
        <w:rPr>
          <w:lang w:val="fr-CH"/>
        </w:rPr>
      </w:pPr>
    </w:p>
    <w:p w:rsidR="004D0FC7" w:rsidRPr="00F346D7" w:rsidRDefault="004D0FC7" w:rsidP="009B440E">
      <w:pPr>
        <w:jc w:val="left"/>
        <w:rPr>
          <w:lang w:val="fr-CH"/>
        </w:rPr>
        <w:sectPr w:rsidR="004D0FC7" w:rsidRPr="00F346D7" w:rsidSect="00B51CCE">
          <w:headerReference w:type="first" r:id="rId12"/>
          <w:pgSz w:w="11907" w:h="16840" w:code="9"/>
          <w:pgMar w:top="567" w:right="1134" w:bottom="1134" w:left="1134" w:header="510" w:footer="680"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370FB" w:rsidRPr="00BA5073" w:rsidTr="00B92BDD">
        <w:tc>
          <w:tcPr>
            <w:tcW w:w="6522" w:type="dxa"/>
          </w:tcPr>
          <w:p w:rsidR="00D370FB" w:rsidRPr="00BA5073" w:rsidRDefault="00D370FB" w:rsidP="00B92BDD">
            <w:pPr>
              <w:rPr>
                <w:lang w:val="fr-CH"/>
              </w:rPr>
            </w:pPr>
            <w:r w:rsidRPr="00BA5073">
              <w:rPr>
                <w:noProof/>
              </w:rPr>
              <w:lastRenderedPageBreak/>
              <w:drawing>
                <wp:inline distT="0" distB="0" distL="0" distR="0" wp14:anchorId="79BDBE76" wp14:editId="7F40A781">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370FB" w:rsidRPr="00BA5073" w:rsidRDefault="00D370FB" w:rsidP="00B92BDD">
            <w:pPr>
              <w:pStyle w:val="Lettrine"/>
              <w:rPr>
                <w:lang w:val="fr-CH"/>
              </w:rPr>
            </w:pPr>
            <w:r w:rsidRPr="00BA5073">
              <w:rPr>
                <w:lang w:val="fr-CH"/>
              </w:rPr>
              <w:t>F</w:t>
            </w:r>
          </w:p>
        </w:tc>
      </w:tr>
      <w:tr w:rsidR="00D370FB" w:rsidRPr="007E57B5" w:rsidTr="00B92BDD">
        <w:trPr>
          <w:trHeight w:val="219"/>
        </w:trPr>
        <w:tc>
          <w:tcPr>
            <w:tcW w:w="6522" w:type="dxa"/>
          </w:tcPr>
          <w:p w:rsidR="00D370FB" w:rsidRPr="00BA5073" w:rsidRDefault="00D370FB" w:rsidP="00B92BDD">
            <w:pPr>
              <w:pStyle w:val="upove"/>
              <w:rPr>
                <w:lang w:val="fr-CH"/>
              </w:rPr>
            </w:pPr>
            <w:r w:rsidRPr="00BA5073">
              <w:rPr>
                <w:lang w:val="fr-CH"/>
              </w:rPr>
              <w:t>Union internationale pour la protection des obtentions végétales</w:t>
            </w:r>
          </w:p>
        </w:tc>
        <w:tc>
          <w:tcPr>
            <w:tcW w:w="3117" w:type="dxa"/>
          </w:tcPr>
          <w:p w:rsidR="00D370FB" w:rsidRPr="00BA5073" w:rsidRDefault="00D370FB" w:rsidP="00B92BDD">
            <w:pPr>
              <w:rPr>
                <w:lang w:val="fr-CH"/>
              </w:rPr>
            </w:pPr>
          </w:p>
        </w:tc>
      </w:tr>
    </w:tbl>
    <w:p w:rsidR="00D370FB" w:rsidRPr="00BA5073" w:rsidRDefault="00D370FB" w:rsidP="00D370FB">
      <w:pPr>
        <w:rPr>
          <w:lang w:val="fr-CH"/>
        </w:rPr>
      </w:pPr>
    </w:p>
    <w:p w:rsidR="00D370FB" w:rsidRPr="00BA5073" w:rsidRDefault="00D370FB" w:rsidP="00D370F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370FB" w:rsidRPr="001F125C" w:rsidTr="00B92BDD">
        <w:tc>
          <w:tcPr>
            <w:tcW w:w="6512" w:type="dxa"/>
          </w:tcPr>
          <w:p w:rsidR="00D370FB" w:rsidRPr="007E7454" w:rsidRDefault="00D370FB" w:rsidP="00B92BDD">
            <w:pPr>
              <w:pStyle w:val="Sessiontcplacedate"/>
              <w:spacing w:before="0"/>
              <w:rPr>
                <w:lang w:val="fr-CH"/>
              </w:rPr>
            </w:pPr>
            <w:r w:rsidRPr="007E7454">
              <w:rPr>
                <w:lang w:val="fr-CH"/>
              </w:rPr>
              <w:t>Séminaire sur l</w:t>
            </w:r>
            <w:r w:rsidR="00AE08C2">
              <w:rPr>
                <w:lang w:val="fr-CH"/>
              </w:rPr>
              <w:t>’</w:t>
            </w:r>
            <w:r w:rsidRPr="007E7454">
              <w:rPr>
                <w:lang w:val="fr-CH"/>
              </w:rPr>
              <w:t>incidence de la politique relative aux variétés essentiellement dérivées sur la stratégie en matière de création variétale</w:t>
            </w:r>
            <w:r w:rsidRPr="007E7454">
              <w:rPr>
                <w:lang w:val="fr-CH"/>
              </w:rPr>
              <w:br/>
            </w:r>
          </w:p>
          <w:p w:rsidR="00D370FB" w:rsidRPr="007E7454" w:rsidRDefault="00D370FB" w:rsidP="00B92BDD">
            <w:pPr>
              <w:pStyle w:val="Sessiontcplacedate"/>
              <w:rPr>
                <w:sz w:val="22"/>
                <w:lang w:val="fr-CH"/>
              </w:rPr>
            </w:pPr>
            <w:r w:rsidRPr="007E7454">
              <w:rPr>
                <w:lang w:val="fr-CH"/>
              </w:rPr>
              <w:t>Genève, 30 octobre 2019</w:t>
            </w:r>
          </w:p>
        </w:tc>
        <w:tc>
          <w:tcPr>
            <w:tcW w:w="3127" w:type="dxa"/>
          </w:tcPr>
          <w:p w:rsidR="00D370FB" w:rsidRPr="001A58F9" w:rsidRDefault="00D370FB" w:rsidP="00B92BDD">
            <w:pPr>
              <w:pStyle w:val="Doccode"/>
              <w:rPr>
                <w:lang w:val="pt-PT"/>
              </w:rPr>
            </w:pPr>
            <w:r w:rsidRPr="001A58F9">
              <w:rPr>
                <w:lang w:val="pt-PT"/>
              </w:rPr>
              <w:t>UPOV/SEM/GE/19/1</w:t>
            </w:r>
            <w:r w:rsidR="00AB2A1A">
              <w:rPr>
                <w:lang w:val="pt-PT"/>
              </w:rPr>
              <w:t> </w:t>
            </w:r>
            <w:r w:rsidRPr="001A58F9">
              <w:rPr>
                <w:lang w:val="pt-PT"/>
              </w:rPr>
              <w:t xml:space="preserve">Prov. </w:t>
            </w:r>
            <w:r>
              <w:rPr>
                <w:lang w:val="pt-PT"/>
              </w:rPr>
              <w:t>1</w:t>
            </w:r>
          </w:p>
          <w:p w:rsidR="00D370FB" w:rsidRPr="001A58F9" w:rsidRDefault="00D370FB" w:rsidP="00B92BDD">
            <w:pPr>
              <w:pStyle w:val="Docoriginal"/>
              <w:spacing w:before="480"/>
              <w:rPr>
                <w:lang w:val="pt-PT"/>
              </w:rPr>
            </w:pPr>
            <w:r w:rsidRPr="001A58F9">
              <w:rPr>
                <w:lang w:val="pt-PT"/>
              </w:rPr>
              <w:t>Original</w:t>
            </w:r>
            <w:r w:rsidR="00AE08C2">
              <w:rPr>
                <w:lang w:val="pt-PT"/>
              </w:rPr>
              <w:t> :</w:t>
            </w:r>
            <w:r w:rsidRPr="001A58F9">
              <w:rPr>
                <w:b w:val="0"/>
                <w:spacing w:val="0"/>
                <w:lang w:val="pt-PT"/>
              </w:rPr>
              <w:t xml:space="preserve"> anglais</w:t>
            </w:r>
          </w:p>
          <w:p w:rsidR="00D370FB" w:rsidRPr="007E7454" w:rsidRDefault="00D370FB" w:rsidP="00B92BDD">
            <w:pPr>
              <w:pStyle w:val="Docoriginal"/>
              <w:rPr>
                <w:lang w:val="fr-CH"/>
              </w:rPr>
            </w:pPr>
            <w:r w:rsidRPr="007E7454">
              <w:rPr>
                <w:lang w:val="fr-CH"/>
              </w:rPr>
              <w:t>Date</w:t>
            </w:r>
            <w:r w:rsidR="00AE08C2">
              <w:rPr>
                <w:lang w:val="fr-CH"/>
              </w:rPr>
              <w:t> :</w:t>
            </w:r>
            <w:r w:rsidRPr="007E7454">
              <w:rPr>
                <w:b w:val="0"/>
                <w:spacing w:val="0"/>
                <w:lang w:val="fr-CH"/>
              </w:rPr>
              <w:t xml:space="preserve"> </w:t>
            </w:r>
            <w:r w:rsidRPr="00BD132A">
              <w:rPr>
                <w:b w:val="0"/>
                <w:spacing w:val="0"/>
                <w:lang w:val="fr-CH"/>
              </w:rPr>
              <w:t>2</w:t>
            </w:r>
            <w:r>
              <w:rPr>
                <w:b w:val="0"/>
                <w:spacing w:val="0"/>
                <w:lang w:val="fr-CH"/>
              </w:rPr>
              <w:t>5</w:t>
            </w:r>
            <w:r w:rsidRPr="00BD132A">
              <w:rPr>
                <w:b w:val="0"/>
                <w:spacing w:val="0"/>
                <w:lang w:val="fr-CH"/>
              </w:rPr>
              <w:t> juillet 2019</w:t>
            </w:r>
          </w:p>
        </w:tc>
      </w:tr>
    </w:tbl>
    <w:p w:rsidR="00AE08C2" w:rsidRDefault="00D370FB" w:rsidP="00D370FB">
      <w:pPr>
        <w:pStyle w:val="Titleofdoc0"/>
        <w:rPr>
          <w:lang w:val="fr-CH"/>
        </w:rPr>
      </w:pPr>
      <w:r>
        <w:rPr>
          <w:lang w:val="fr-CH"/>
        </w:rPr>
        <w:t>Projet de programme</w:t>
      </w:r>
    </w:p>
    <w:p w:rsidR="00D370FB" w:rsidRPr="001E6EE8" w:rsidRDefault="00D370FB" w:rsidP="00D370FB">
      <w:pPr>
        <w:pStyle w:val="preparedby1"/>
        <w:jc w:val="left"/>
        <w:rPr>
          <w:lang w:val="fr-CH"/>
        </w:rPr>
      </w:pPr>
      <w:r>
        <w:rPr>
          <w:lang w:val="fr-CH"/>
        </w:rPr>
        <w:t xml:space="preserve">approuvé </w:t>
      </w:r>
      <w:r w:rsidRPr="001E6EE8">
        <w:rPr>
          <w:lang w:val="fr-CH"/>
        </w:rPr>
        <w:t>par le Comité administratif et juridique</w:t>
      </w:r>
    </w:p>
    <w:p w:rsidR="00D370FB" w:rsidRPr="00327A83" w:rsidRDefault="00D370FB" w:rsidP="00D370FB">
      <w:pPr>
        <w:pStyle w:val="Disclaimer"/>
        <w:rPr>
          <w:color w:val="A6A6A6"/>
          <w:lang w:val="fr-CH"/>
        </w:rPr>
      </w:pPr>
      <w:r w:rsidRPr="00327A83">
        <w:rPr>
          <w:color w:val="A6A6A6"/>
          <w:lang w:val="fr-CH"/>
        </w:rPr>
        <w:t>Avertissement</w:t>
      </w:r>
      <w:r w:rsidR="00AE08C2">
        <w:rPr>
          <w:color w:val="A6A6A6"/>
          <w:lang w:val="fr-CH"/>
        </w:rPr>
        <w:t> :</w:t>
      </w:r>
      <w:r w:rsidRPr="00327A83">
        <w:rPr>
          <w:color w:val="A6A6A6"/>
          <w:lang w:val="fr-CH"/>
        </w:rPr>
        <w:t xml:space="preserve"> le présent document ne représente pas les principes ou les orientations de l</w:t>
      </w:r>
      <w:r w:rsidR="00AE08C2">
        <w:rPr>
          <w:color w:val="A6A6A6"/>
          <w:lang w:val="fr-CH"/>
        </w:rPr>
        <w:t>’</w:t>
      </w:r>
      <w:r w:rsidRPr="00327A83">
        <w:rPr>
          <w:color w:val="A6A6A6"/>
          <w:lang w:val="fr-CH"/>
        </w:rPr>
        <w:t>UPOV</w:t>
      </w:r>
    </w:p>
    <w:tbl>
      <w:tblPr>
        <w:tblW w:w="8085" w:type="dxa"/>
        <w:jc w:val="center"/>
        <w:tblBorders>
          <w:top w:val="single" w:sz="4" w:space="0" w:color="auto"/>
          <w:left w:val="single" w:sz="4" w:space="0" w:color="auto"/>
          <w:bottom w:val="single" w:sz="4" w:space="0" w:color="auto"/>
          <w:right w:val="single" w:sz="4" w:space="0" w:color="auto"/>
        </w:tblBorders>
        <w:tblCellMar>
          <w:top w:w="113" w:type="dxa"/>
          <w:left w:w="113" w:type="dxa"/>
          <w:bottom w:w="113" w:type="dxa"/>
          <w:right w:w="113" w:type="dxa"/>
        </w:tblCellMar>
        <w:tblLook w:val="01E0" w:firstRow="1" w:lastRow="1" w:firstColumn="1" w:lastColumn="1" w:noHBand="0" w:noVBand="0"/>
      </w:tblPr>
      <w:tblGrid>
        <w:gridCol w:w="8085"/>
      </w:tblGrid>
      <w:tr w:rsidR="0089121F" w:rsidRPr="007E57B5" w:rsidTr="00BE07FA">
        <w:trPr>
          <w:cantSplit/>
          <w:trHeight w:val="255"/>
          <w:jc w:val="center"/>
        </w:trPr>
        <w:tc>
          <w:tcPr>
            <w:tcW w:w="8085" w:type="dxa"/>
            <w:shd w:val="clear" w:color="auto" w:fill="auto"/>
            <w:noWrap/>
          </w:tcPr>
          <w:p w:rsidR="0089121F" w:rsidRPr="009F5288" w:rsidRDefault="0089121F" w:rsidP="00BE07FA">
            <w:pPr>
              <w:rPr>
                <w:b/>
                <w:color w:val="006600"/>
                <w:sz w:val="18"/>
                <w:lang w:val="fr-FR"/>
              </w:rPr>
            </w:pPr>
            <w:r w:rsidRPr="009F5288">
              <w:rPr>
                <w:b/>
                <w:color w:val="006600"/>
                <w:sz w:val="18"/>
                <w:lang w:val="fr-FR"/>
              </w:rPr>
              <w:t>Résumé</w:t>
            </w:r>
          </w:p>
          <w:p w:rsidR="0089121F" w:rsidRPr="009F5288" w:rsidRDefault="0089121F" w:rsidP="00BE07FA">
            <w:pPr>
              <w:rPr>
                <w:sz w:val="18"/>
                <w:lang w:val="fr-FR"/>
              </w:rPr>
            </w:pPr>
          </w:p>
          <w:p w:rsidR="0089121F" w:rsidRPr="009F5288" w:rsidRDefault="0089121F" w:rsidP="00BE07FA">
            <w:pPr>
              <w:rPr>
                <w:sz w:val="18"/>
                <w:lang w:val="fr-FR"/>
              </w:rPr>
            </w:pPr>
            <w:r w:rsidRPr="009F5288">
              <w:rPr>
                <w:sz w:val="18"/>
                <w:lang w:val="fr-FR"/>
              </w:rPr>
              <w:t>La notion de variétés essentiellement dérivées a été introduite dans l’Acte de 1991 de la Convention UPOV.  Le but est d’encourager efficacement la création variétale afin de tirer le meilleur parti des progrès accomplis dans la mise au point de nouvelles variétés, améliorées, dans l’intérêt de tous.</w:t>
            </w:r>
          </w:p>
          <w:p w:rsidR="0089121F" w:rsidRPr="009F5288" w:rsidRDefault="0089121F" w:rsidP="00BE07FA">
            <w:pPr>
              <w:rPr>
                <w:sz w:val="18"/>
                <w:lang w:val="fr-FR"/>
              </w:rPr>
            </w:pPr>
          </w:p>
          <w:p w:rsidR="0089121F" w:rsidRPr="009F5288" w:rsidRDefault="0089121F" w:rsidP="00BE07FA">
            <w:pPr>
              <w:rPr>
                <w:sz w:val="18"/>
                <w:lang w:val="fr-CH"/>
              </w:rPr>
            </w:pPr>
            <w:r w:rsidRPr="009F5288">
              <w:rPr>
                <w:sz w:val="18"/>
                <w:lang w:val="fr-CH"/>
              </w:rPr>
              <w:t xml:space="preserve">Le séminaire a pour objet d’examiner l’incidence de la politique relative aux variétés essentiellement dérivées sur la stratégie en matière de création variétale et les conséquences pour la mise au point de nouvelles variétés végétales, améliorées.  Ce sera l’occasion d’étudier divers points de vue sur différentes méthodes de création variétale et plusieurs types de plante.  Le séminaire devrait faciliter </w:t>
            </w:r>
            <w:r>
              <w:rPr>
                <w:sz w:val="18"/>
                <w:lang w:val="fr-CH"/>
              </w:rPr>
              <w:t>la révision</w:t>
            </w:r>
            <w:r w:rsidRPr="009F5288">
              <w:rPr>
                <w:sz w:val="18"/>
                <w:lang w:val="fr-CH"/>
              </w:rPr>
              <w:t xml:space="preserve"> par le Comité administratif et juridique (CAJ) des orientations fournies dans le document </w:t>
            </w:r>
            <w:hyperlink r:id="rId13" w:history="1">
              <w:r w:rsidRPr="009F5288">
                <w:rPr>
                  <w:rStyle w:val="Hyperlink"/>
                  <w:sz w:val="18"/>
                  <w:lang w:val="fr-FR"/>
                </w:rPr>
                <w:t>UPOV/EXN/EDV/2.</w:t>
              </w:r>
            </w:hyperlink>
          </w:p>
        </w:tc>
      </w:tr>
    </w:tbl>
    <w:p w:rsidR="00D370FB" w:rsidRPr="00623437" w:rsidRDefault="00D370FB" w:rsidP="00D370FB">
      <w:pPr>
        <w:rPr>
          <w:sz w:val="18"/>
          <w:lang w:val="fr-CH"/>
        </w:rPr>
      </w:pPr>
    </w:p>
    <w:p w:rsidR="00D370FB" w:rsidRPr="00623437" w:rsidRDefault="00D370FB" w:rsidP="00D370FB">
      <w:pPr>
        <w:rPr>
          <w:sz w:val="18"/>
          <w:lang w:val="fr-FR"/>
        </w:rPr>
      </w:pPr>
    </w:p>
    <w:tbl>
      <w:tblPr>
        <w:tblW w:w="5000" w:type="pct"/>
        <w:tblCellMar>
          <w:left w:w="28" w:type="dxa"/>
          <w:right w:w="28" w:type="dxa"/>
        </w:tblCellMar>
        <w:tblLook w:val="01E0" w:firstRow="1" w:lastRow="1" w:firstColumn="1" w:lastColumn="1" w:noHBand="0" w:noVBand="0"/>
      </w:tblPr>
      <w:tblGrid>
        <w:gridCol w:w="1134"/>
        <w:gridCol w:w="8505"/>
      </w:tblGrid>
      <w:tr w:rsidR="00D370FB" w:rsidRPr="00BA5073" w:rsidTr="00B92BDD">
        <w:trPr>
          <w:cantSplit/>
        </w:trPr>
        <w:tc>
          <w:tcPr>
            <w:tcW w:w="1134" w:type="dxa"/>
            <w:shd w:val="clear" w:color="auto" w:fill="auto"/>
            <w:noWrap/>
          </w:tcPr>
          <w:p w:rsidR="00D370FB" w:rsidRPr="00BA5073" w:rsidRDefault="00D370FB" w:rsidP="00B92BDD">
            <w:pPr>
              <w:jc w:val="left"/>
              <w:rPr>
                <w:rFonts w:cs="Arial"/>
                <w:b/>
                <w:color w:val="006600"/>
                <w:lang w:val="fr-CH"/>
              </w:rPr>
            </w:pPr>
            <w:r w:rsidRPr="00BA5073">
              <w:rPr>
                <w:rFonts w:cs="Arial"/>
                <w:b/>
                <w:color w:val="006600"/>
                <w:lang w:val="fr-CH"/>
              </w:rPr>
              <w:t>8 </w:t>
            </w:r>
            <w:r>
              <w:rPr>
                <w:rFonts w:cs="Arial"/>
                <w:b/>
                <w:color w:val="006600"/>
                <w:lang w:val="fr-CH"/>
              </w:rPr>
              <w:t>h</w:t>
            </w:r>
            <w:r w:rsidRPr="00BA5073">
              <w:rPr>
                <w:rFonts w:cs="Arial"/>
                <w:b/>
                <w:color w:val="006600"/>
                <w:lang w:val="fr-CH"/>
              </w:rPr>
              <w:t> 30</w:t>
            </w:r>
          </w:p>
        </w:tc>
        <w:tc>
          <w:tcPr>
            <w:tcW w:w="8505" w:type="dxa"/>
            <w:shd w:val="clear" w:color="auto" w:fill="auto"/>
            <w:noWrap/>
          </w:tcPr>
          <w:p w:rsidR="00D370FB" w:rsidRPr="00BA5073" w:rsidRDefault="00D370FB" w:rsidP="00B92BDD">
            <w:pPr>
              <w:rPr>
                <w:rFonts w:cs="Arial"/>
                <w:b/>
                <w:color w:val="006600"/>
                <w:lang w:val="fr-CH"/>
              </w:rPr>
            </w:pPr>
            <w:r w:rsidRPr="00BA5073">
              <w:rPr>
                <w:rFonts w:cs="Arial"/>
                <w:b/>
                <w:color w:val="006600"/>
                <w:lang w:val="fr-CH"/>
              </w:rPr>
              <w:t>Enregistrement</w:t>
            </w:r>
          </w:p>
        </w:tc>
      </w:tr>
      <w:tr w:rsidR="00D370FB" w:rsidRPr="00BA5073" w:rsidTr="00B92BDD">
        <w:trPr>
          <w:cantSplit/>
        </w:trPr>
        <w:tc>
          <w:tcPr>
            <w:tcW w:w="1134" w:type="dxa"/>
            <w:shd w:val="clear" w:color="auto" w:fill="auto"/>
            <w:noWrap/>
          </w:tcPr>
          <w:p w:rsidR="00D370FB" w:rsidRPr="00BA5073" w:rsidRDefault="00D370FB" w:rsidP="00B92BDD">
            <w:pPr>
              <w:jc w:val="left"/>
              <w:rPr>
                <w:rFonts w:cs="Arial"/>
                <w:color w:val="006600"/>
                <w:lang w:val="fr-CH"/>
              </w:rPr>
            </w:pPr>
          </w:p>
        </w:tc>
        <w:tc>
          <w:tcPr>
            <w:tcW w:w="8505" w:type="dxa"/>
            <w:shd w:val="clear" w:color="auto" w:fill="auto"/>
            <w:noWrap/>
          </w:tcPr>
          <w:p w:rsidR="00D370FB" w:rsidRPr="00BA5073" w:rsidRDefault="00D370FB" w:rsidP="00B92BDD">
            <w:pPr>
              <w:rPr>
                <w:rFonts w:cs="Arial"/>
                <w:color w:val="006600"/>
                <w:lang w:val="fr-CH"/>
              </w:rPr>
            </w:pPr>
          </w:p>
        </w:tc>
      </w:tr>
      <w:tr w:rsidR="00D370FB" w:rsidRPr="007E57B5" w:rsidTr="00B92BDD">
        <w:trPr>
          <w:cantSplit/>
        </w:trPr>
        <w:tc>
          <w:tcPr>
            <w:tcW w:w="1134" w:type="dxa"/>
            <w:shd w:val="clear" w:color="auto" w:fill="auto"/>
            <w:noWrap/>
          </w:tcPr>
          <w:p w:rsidR="00D370FB" w:rsidRPr="00BA5073" w:rsidRDefault="00D370FB" w:rsidP="00B92BDD">
            <w:pPr>
              <w:jc w:val="left"/>
              <w:rPr>
                <w:rFonts w:cs="Arial"/>
                <w:b/>
                <w:color w:val="006600"/>
                <w:lang w:val="fr-CH"/>
              </w:rPr>
            </w:pPr>
            <w:r w:rsidRPr="00BA5073">
              <w:rPr>
                <w:rFonts w:cs="Arial"/>
                <w:b/>
                <w:color w:val="006600"/>
                <w:lang w:val="fr-CH"/>
              </w:rPr>
              <w:t>9 </w:t>
            </w:r>
            <w:r>
              <w:rPr>
                <w:rFonts w:cs="Arial"/>
                <w:b/>
                <w:color w:val="006600"/>
                <w:lang w:val="fr-CH"/>
              </w:rPr>
              <w:t>h</w:t>
            </w:r>
            <w:r w:rsidRPr="00BA5073">
              <w:rPr>
                <w:rFonts w:cs="Arial"/>
                <w:b/>
                <w:color w:val="006600"/>
                <w:lang w:val="fr-CH"/>
              </w:rPr>
              <w:t> 30</w:t>
            </w:r>
          </w:p>
        </w:tc>
        <w:tc>
          <w:tcPr>
            <w:tcW w:w="8505" w:type="dxa"/>
            <w:shd w:val="clear" w:color="auto" w:fill="auto"/>
            <w:noWrap/>
          </w:tcPr>
          <w:p w:rsidR="00D370FB" w:rsidRPr="00BA5073" w:rsidRDefault="00D370FB" w:rsidP="00B92BDD">
            <w:pPr>
              <w:rPr>
                <w:rFonts w:cs="Arial"/>
                <w:b/>
                <w:color w:val="006600"/>
                <w:lang w:val="fr-CH"/>
              </w:rPr>
            </w:pPr>
            <w:r w:rsidRPr="00BA5073">
              <w:rPr>
                <w:rFonts w:cs="Arial"/>
                <w:b/>
                <w:color w:val="006600"/>
                <w:lang w:val="fr-CH"/>
              </w:rPr>
              <w:t xml:space="preserve">Allocution de bienvenue et ouverture </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rPr>
                <w:rFonts w:cs="Arial"/>
                <w:i/>
                <w:sz w:val="18"/>
                <w:lang w:val="fr-CH"/>
              </w:rPr>
            </w:pPr>
            <w:r w:rsidRPr="009F5288">
              <w:rPr>
                <w:rFonts w:cs="Arial"/>
                <w:i/>
                <w:sz w:val="18"/>
                <w:lang w:val="fr-CH"/>
              </w:rPr>
              <w:t>M. Peter Button, Secrétaire général adjoint, UPOV</w:t>
            </w:r>
          </w:p>
          <w:p w:rsidR="00D370FB" w:rsidRPr="009F5288" w:rsidRDefault="00D370FB" w:rsidP="00B92BDD">
            <w:pPr>
              <w:rPr>
                <w:rFonts w:cs="Arial"/>
                <w:sz w:val="18"/>
                <w:lang w:val="fr-CH"/>
              </w:rPr>
            </w:pPr>
          </w:p>
        </w:tc>
      </w:tr>
      <w:tr w:rsidR="00D370FB" w:rsidRPr="007E57B5" w:rsidTr="00B92BDD">
        <w:trPr>
          <w:cantSplit/>
        </w:trPr>
        <w:tc>
          <w:tcPr>
            <w:tcW w:w="1134" w:type="dxa"/>
            <w:shd w:val="clear" w:color="auto" w:fill="auto"/>
            <w:noWrap/>
          </w:tcPr>
          <w:p w:rsidR="00D370FB" w:rsidRPr="00BA5073" w:rsidRDefault="00D370FB" w:rsidP="00B92BDD">
            <w:pPr>
              <w:jc w:val="left"/>
              <w:rPr>
                <w:rFonts w:cs="Arial"/>
                <w:color w:val="006600"/>
                <w:lang w:val="fr-CH"/>
              </w:rPr>
            </w:pPr>
          </w:p>
        </w:tc>
        <w:tc>
          <w:tcPr>
            <w:tcW w:w="8505" w:type="dxa"/>
            <w:shd w:val="clear" w:color="auto" w:fill="auto"/>
            <w:noWrap/>
          </w:tcPr>
          <w:p w:rsidR="00D370FB" w:rsidRPr="005B51C8" w:rsidRDefault="00D370FB" w:rsidP="00B92BDD">
            <w:pPr>
              <w:spacing w:before="240"/>
              <w:jc w:val="left"/>
              <w:rPr>
                <w:rFonts w:cs="Arial"/>
                <w:b/>
                <w:u w:val="single"/>
                <w:lang w:val="fr-CH"/>
              </w:rPr>
            </w:pPr>
            <w:r w:rsidRPr="005B51C8">
              <w:rPr>
                <w:rFonts w:cs="Arial"/>
                <w:b/>
                <w:color w:val="006600"/>
                <w:u w:val="single"/>
                <w:lang w:val="fr-CH"/>
              </w:rPr>
              <w:t>SESSION I</w:t>
            </w:r>
            <w:r w:rsidR="00AE08C2">
              <w:rPr>
                <w:rFonts w:cs="Arial"/>
                <w:b/>
                <w:color w:val="006600"/>
                <w:u w:val="single"/>
                <w:lang w:val="fr-CH"/>
              </w:rPr>
              <w:t> :</w:t>
            </w:r>
            <w:r>
              <w:rPr>
                <w:rFonts w:cs="Arial"/>
                <w:b/>
                <w:color w:val="006600"/>
                <w:u w:val="single"/>
                <w:lang w:val="fr-CH"/>
              </w:rPr>
              <w:t xml:space="preserve"> VERS UNE</w:t>
            </w:r>
            <w:r w:rsidRPr="005B51C8">
              <w:rPr>
                <w:rFonts w:cs="Arial"/>
                <w:b/>
                <w:color w:val="006600"/>
                <w:u w:val="single"/>
                <w:lang w:val="fr-CH"/>
              </w:rPr>
              <w:t xml:space="preserve"> NOTION DE VARIÉTÉ ESSENTIELLEMENT DÉRIVÉE</w:t>
            </w:r>
            <w:r>
              <w:rPr>
                <w:rFonts w:cs="Arial"/>
                <w:b/>
                <w:color w:val="006600"/>
                <w:u w:val="single"/>
                <w:lang w:val="fr-CH"/>
              </w:rPr>
              <w:t xml:space="preserve"> </w:t>
            </w:r>
            <w:r w:rsidRPr="005B51C8">
              <w:rPr>
                <w:rFonts w:cs="Arial"/>
                <w:b/>
                <w:color w:val="006600"/>
                <w:u w:val="single"/>
                <w:lang w:val="fr-CH"/>
              </w:rPr>
              <w:t>POUR LE PRÉSENT ET POUR L</w:t>
            </w:r>
            <w:r w:rsidR="00AE08C2">
              <w:rPr>
                <w:rFonts w:cs="Arial"/>
                <w:b/>
                <w:color w:val="006600"/>
                <w:u w:val="single"/>
                <w:lang w:val="fr-CH"/>
              </w:rPr>
              <w:t>’</w:t>
            </w:r>
            <w:r>
              <w:rPr>
                <w:rFonts w:cs="Arial"/>
                <w:b/>
                <w:color w:val="006600"/>
                <w:u w:val="single"/>
                <w:lang w:val="fr-CH"/>
              </w:rPr>
              <w:t>AVENIR</w:t>
            </w:r>
          </w:p>
        </w:tc>
      </w:tr>
      <w:tr w:rsidR="00D370FB" w:rsidRPr="009F5288"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rPr>
                <w:rFonts w:cs="Arial"/>
                <w:i/>
                <w:sz w:val="18"/>
                <w:lang w:val="fr-CH"/>
              </w:rPr>
            </w:pPr>
            <w:r w:rsidRPr="009F5288">
              <w:rPr>
                <w:rFonts w:cs="Arial"/>
                <w:i/>
                <w:sz w:val="18"/>
                <w:lang w:val="fr-CH"/>
              </w:rPr>
              <w:t>Animateur</w:t>
            </w:r>
            <w:r w:rsidR="00AE08C2">
              <w:rPr>
                <w:rFonts w:cs="Arial"/>
                <w:i/>
                <w:sz w:val="18"/>
                <w:lang w:val="fr-CH"/>
              </w:rPr>
              <w:t> :</w:t>
            </w:r>
            <w:r w:rsidRPr="009F5288">
              <w:rPr>
                <w:rFonts w:cs="Arial"/>
                <w:i/>
                <w:sz w:val="18"/>
                <w:lang w:val="fr-CH"/>
              </w:rPr>
              <w:t xml:space="preserve"> M. </w:t>
            </w:r>
            <w:r>
              <w:rPr>
                <w:rFonts w:cs="Arial"/>
                <w:i/>
                <w:sz w:val="18"/>
                <w:lang w:val="fr-CH"/>
              </w:rPr>
              <w:t xml:space="preserve">Peter </w:t>
            </w:r>
            <w:r w:rsidRPr="009F5288">
              <w:rPr>
                <w:rFonts w:cs="Arial"/>
                <w:i/>
                <w:sz w:val="18"/>
                <w:lang w:val="fr-CH"/>
              </w:rPr>
              <w:t>Button</w:t>
            </w:r>
          </w:p>
        </w:tc>
      </w:tr>
      <w:tr w:rsidR="00D370FB" w:rsidRPr="00115F3B"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rPr>
                <w:rFonts w:cs="Arial"/>
                <w:sz w:val="16"/>
                <w:lang w:val="fr-CH"/>
              </w:rPr>
            </w:pPr>
          </w:p>
        </w:tc>
      </w:tr>
      <w:tr w:rsidR="00D370FB" w:rsidRPr="007E57B5" w:rsidTr="00B92BDD">
        <w:trPr>
          <w:cantSplit/>
        </w:trPr>
        <w:tc>
          <w:tcPr>
            <w:tcW w:w="1134" w:type="dxa"/>
            <w:shd w:val="clear" w:color="auto" w:fill="auto"/>
            <w:noWrap/>
          </w:tcPr>
          <w:p w:rsidR="00D370FB" w:rsidRPr="00BA5073" w:rsidRDefault="00D370FB" w:rsidP="00B92BDD">
            <w:pPr>
              <w:jc w:val="left"/>
              <w:rPr>
                <w:rFonts w:cs="Arial"/>
                <w:b/>
                <w:color w:val="006600"/>
                <w:lang w:val="fr-CH"/>
              </w:rPr>
            </w:pPr>
            <w:r w:rsidRPr="00BA5073">
              <w:rPr>
                <w:rFonts w:cs="Arial"/>
                <w:b/>
                <w:color w:val="006600"/>
                <w:lang w:val="fr-CH"/>
              </w:rPr>
              <w:t>9 </w:t>
            </w:r>
            <w:r>
              <w:rPr>
                <w:rFonts w:cs="Arial"/>
                <w:b/>
                <w:color w:val="006600"/>
                <w:lang w:val="fr-CH"/>
              </w:rPr>
              <w:t>h</w:t>
            </w:r>
            <w:r w:rsidRPr="00BA5073">
              <w:rPr>
                <w:rFonts w:cs="Arial"/>
                <w:b/>
                <w:color w:val="006600"/>
                <w:lang w:val="fr-CH"/>
              </w:rPr>
              <w:t> 40</w:t>
            </w:r>
          </w:p>
        </w:tc>
        <w:tc>
          <w:tcPr>
            <w:tcW w:w="8505" w:type="dxa"/>
            <w:shd w:val="clear" w:color="auto" w:fill="auto"/>
            <w:noWrap/>
          </w:tcPr>
          <w:p w:rsidR="00D370FB" w:rsidRPr="00BA5073" w:rsidRDefault="00D370FB" w:rsidP="00B92BDD">
            <w:pPr>
              <w:jc w:val="left"/>
              <w:rPr>
                <w:rFonts w:cs="Arial"/>
                <w:b/>
                <w:lang w:val="fr-CH"/>
              </w:rPr>
            </w:pPr>
            <w:r w:rsidRPr="005B51C8">
              <w:rPr>
                <w:rFonts w:cs="Arial"/>
                <w:b/>
                <w:color w:val="006600"/>
                <w:lang w:val="fr-CH"/>
              </w:rPr>
              <w:t xml:space="preserve">La </w:t>
            </w:r>
            <w:r w:rsidRPr="00426174">
              <w:rPr>
                <w:rFonts w:cs="Arial"/>
                <w:b/>
                <w:color w:val="006600"/>
                <w:lang w:val="fr-CH"/>
              </w:rPr>
              <w:t xml:space="preserve">création variétale </w:t>
            </w:r>
            <w:r w:rsidRPr="005B51C8">
              <w:rPr>
                <w:rFonts w:cs="Arial"/>
                <w:b/>
                <w:color w:val="006600"/>
                <w:lang w:val="fr-CH"/>
              </w:rPr>
              <w:t>et la notion de variété essentiellement dérivée</w:t>
            </w:r>
            <w:r w:rsidR="00AE08C2">
              <w:rPr>
                <w:rFonts w:cs="Arial"/>
                <w:b/>
                <w:color w:val="006600"/>
                <w:lang w:val="fr-CH"/>
              </w:rPr>
              <w:t> :</w:t>
            </w:r>
            <w:r w:rsidRPr="005B51C8">
              <w:rPr>
                <w:rFonts w:cs="Arial"/>
                <w:b/>
                <w:color w:val="006600"/>
                <w:lang w:val="fr-CH"/>
              </w:rPr>
              <w:t xml:space="preserve"> défis du passé</w:t>
            </w:r>
            <w:r>
              <w:rPr>
                <w:rFonts w:cs="Arial"/>
                <w:b/>
                <w:color w:val="006600"/>
                <w:lang w:val="fr-CH"/>
              </w:rPr>
              <w:t xml:space="preserve"> et </w:t>
            </w:r>
            <w:r w:rsidRPr="005B51C8">
              <w:rPr>
                <w:rFonts w:cs="Arial"/>
                <w:b/>
                <w:color w:val="006600"/>
                <w:lang w:val="fr-CH"/>
              </w:rPr>
              <w:t xml:space="preserve">opportunités </w:t>
            </w:r>
            <w:r>
              <w:rPr>
                <w:rFonts w:cs="Arial"/>
                <w:b/>
                <w:color w:val="006600"/>
                <w:lang w:val="fr-CH"/>
              </w:rPr>
              <w:t>pour l</w:t>
            </w:r>
            <w:r w:rsidR="00AE08C2">
              <w:rPr>
                <w:rFonts w:cs="Arial"/>
                <w:b/>
                <w:color w:val="006600"/>
                <w:lang w:val="fr-CH"/>
              </w:rPr>
              <w:t>’</w:t>
            </w:r>
            <w:r>
              <w:rPr>
                <w:rFonts w:cs="Arial"/>
                <w:b/>
                <w:color w:val="006600"/>
                <w:lang w:val="fr-CH"/>
              </w:rPr>
              <w:t>avenir?</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sz w:val="18"/>
                <w:lang w:val="fr-CH"/>
              </w:rPr>
            </w:pPr>
            <w:r w:rsidRPr="009F5288">
              <w:rPr>
                <w:rFonts w:cs="Arial"/>
                <w:i/>
                <w:sz w:val="18"/>
                <w:lang w:val="fr-CH"/>
              </w:rPr>
              <w:t>Conférencier principal</w:t>
            </w:r>
            <w:r w:rsidR="00AE08C2">
              <w:rPr>
                <w:rFonts w:cs="Arial"/>
                <w:i/>
                <w:sz w:val="18"/>
                <w:lang w:val="fr-CH"/>
              </w:rPr>
              <w:t> :</w:t>
            </w:r>
            <w:r w:rsidRPr="009F5288">
              <w:rPr>
                <w:rFonts w:cs="Arial"/>
                <w:i/>
                <w:sz w:val="18"/>
                <w:lang w:val="fr-CH"/>
              </w:rPr>
              <w:t xml:space="preserve"> M. Sven J. R. Bostyn, Université de Copenhague, Faculté de droit, </w:t>
            </w:r>
            <w:r w:rsidRPr="00E33551">
              <w:rPr>
                <w:rFonts w:cs="Arial"/>
                <w:sz w:val="18"/>
                <w:lang w:val="fr-CH"/>
              </w:rPr>
              <w:t>Centre for Advanced studies in Biomedical Innovation Law (CeBIL)</w:t>
            </w:r>
            <w:r w:rsidRPr="009F5288">
              <w:rPr>
                <w:rFonts w:cs="Arial"/>
                <w:i/>
                <w:sz w:val="18"/>
                <w:lang w:val="fr-CH"/>
              </w:rPr>
              <w:t xml:space="preserve"> (Danemark)</w:t>
            </w:r>
          </w:p>
        </w:tc>
      </w:tr>
      <w:tr w:rsidR="00D370FB" w:rsidRPr="007E57B5" w:rsidTr="00B92BDD">
        <w:trPr>
          <w:cantSplit/>
        </w:trPr>
        <w:tc>
          <w:tcPr>
            <w:tcW w:w="1134" w:type="dxa"/>
            <w:shd w:val="clear" w:color="auto" w:fill="auto"/>
            <w:noWrap/>
          </w:tcPr>
          <w:p w:rsidR="00D370FB" w:rsidRPr="00BA5073" w:rsidRDefault="00D370FB" w:rsidP="00B92BDD">
            <w:pPr>
              <w:jc w:val="left"/>
              <w:rPr>
                <w:rFonts w:cs="Arial"/>
                <w:color w:val="006600"/>
                <w:lang w:val="fr-CH"/>
              </w:rPr>
            </w:pPr>
          </w:p>
        </w:tc>
        <w:tc>
          <w:tcPr>
            <w:tcW w:w="8505" w:type="dxa"/>
            <w:shd w:val="clear" w:color="auto" w:fill="auto"/>
            <w:noWrap/>
          </w:tcPr>
          <w:p w:rsidR="00D370FB" w:rsidRPr="00BA5073" w:rsidRDefault="00D370FB" w:rsidP="00B92BDD">
            <w:pPr>
              <w:jc w:val="left"/>
              <w:rPr>
                <w:rFonts w:cs="Arial"/>
                <w:lang w:val="fr-CH"/>
              </w:rPr>
            </w:pPr>
          </w:p>
        </w:tc>
      </w:tr>
      <w:tr w:rsidR="00D370FB" w:rsidRPr="007E57B5" w:rsidTr="00B92BDD">
        <w:trPr>
          <w:cantSplit/>
        </w:trPr>
        <w:tc>
          <w:tcPr>
            <w:tcW w:w="1134" w:type="dxa"/>
            <w:shd w:val="clear" w:color="auto" w:fill="auto"/>
            <w:noWrap/>
          </w:tcPr>
          <w:p w:rsidR="00D370FB" w:rsidRPr="00BA5073" w:rsidRDefault="00D370FB" w:rsidP="00B92BDD">
            <w:pPr>
              <w:jc w:val="left"/>
              <w:rPr>
                <w:rFonts w:cs="Arial"/>
                <w:b/>
                <w:color w:val="006600"/>
                <w:lang w:val="fr-CH"/>
              </w:rPr>
            </w:pPr>
            <w:r w:rsidRPr="00BA5073">
              <w:rPr>
                <w:rFonts w:cs="Arial"/>
                <w:b/>
                <w:color w:val="006600"/>
                <w:lang w:val="fr-CH"/>
              </w:rPr>
              <w:t>10 </w:t>
            </w:r>
            <w:r>
              <w:rPr>
                <w:rFonts w:cs="Arial"/>
                <w:b/>
                <w:color w:val="006600"/>
                <w:lang w:val="fr-CH"/>
              </w:rPr>
              <w:t>h</w:t>
            </w:r>
            <w:r w:rsidRPr="00BA5073">
              <w:rPr>
                <w:rFonts w:cs="Arial"/>
                <w:b/>
                <w:color w:val="006600"/>
                <w:lang w:val="fr-CH"/>
              </w:rPr>
              <w:t> 10</w:t>
            </w:r>
          </w:p>
        </w:tc>
        <w:tc>
          <w:tcPr>
            <w:tcW w:w="8505"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Orientations de l</w:t>
            </w:r>
            <w:r w:rsidR="00AE08C2">
              <w:rPr>
                <w:rFonts w:cs="Arial"/>
                <w:b/>
                <w:color w:val="006600"/>
                <w:lang w:val="fr-CH"/>
              </w:rPr>
              <w:t>’</w:t>
            </w:r>
            <w:r w:rsidRPr="005B51C8">
              <w:rPr>
                <w:rFonts w:cs="Arial"/>
                <w:b/>
                <w:color w:val="006600"/>
                <w:lang w:val="fr-CH"/>
              </w:rPr>
              <w:t>UPOV sur les variétés essentiellement dérivées</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sz w:val="18"/>
                <w:lang w:val="fr-CH"/>
              </w:rPr>
            </w:pPr>
            <w:r w:rsidRPr="009F5288">
              <w:rPr>
                <w:rFonts w:cs="Arial"/>
                <w:i/>
                <w:iCs/>
                <w:sz w:val="18"/>
                <w:lang w:val="fr-CH"/>
              </w:rPr>
              <w:t>Mme Yolanda Huerta, Conseillère juridique et Directrice chargée de la formation et de l</w:t>
            </w:r>
            <w:r w:rsidR="00AE08C2">
              <w:rPr>
                <w:rFonts w:cs="Arial"/>
                <w:i/>
                <w:iCs/>
                <w:sz w:val="18"/>
                <w:lang w:val="fr-CH"/>
              </w:rPr>
              <w:t>’</w:t>
            </w:r>
            <w:r w:rsidRPr="009F5288">
              <w:rPr>
                <w:rFonts w:cs="Arial"/>
                <w:i/>
                <w:iCs/>
                <w:sz w:val="18"/>
                <w:lang w:val="fr-CH"/>
              </w:rPr>
              <w:t xml:space="preserve">assistance, UPOV </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7E57B5" w:rsidTr="00B92BDD">
        <w:trPr>
          <w:cantSplit/>
        </w:trPr>
        <w:tc>
          <w:tcPr>
            <w:tcW w:w="1134" w:type="dxa"/>
            <w:shd w:val="clear" w:color="auto" w:fill="auto"/>
            <w:noWrap/>
          </w:tcPr>
          <w:p w:rsidR="00D370FB" w:rsidRPr="005B51C8" w:rsidRDefault="00D370FB" w:rsidP="00B92BDD">
            <w:pPr>
              <w:jc w:val="left"/>
              <w:rPr>
                <w:rFonts w:cs="Arial"/>
                <w:color w:val="006600"/>
                <w:lang w:val="fr-CH"/>
              </w:rPr>
            </w:pPr>
          </w:p>
        </w:tc>
        <w:tc>
          <w:tcPr>
            <w:tcW w:w="8505" w:type="dxa"/>
            <w:shd w:val="clear" w:color="auto" w:fill="auto"/>
            <w:noWrap/>
          </w:tcPr>
          <w:p w:rsidR="00D370FB" w:rsidRPr="00BA5073" w:rsidRDefault="00D370FB" w:rsidP="00B92BDD">
            <w:pPr>
              <w:spacing w:before="240"/>
              <w:jc w:val="left"/>
              <w:rPr>
                <w:rFonts w:cs="Arial"/>
                <w:lang w:val="fr-CH"/>
              </w:rPr>
            </w:pPr>
            <w:r w:rsidRPr="005B51C8">
              <w:rPr>
                <w:rFonts w:cs="Arial"/>
                <w:b/>
                <w:color w:val="006600"/>
                <w:u w:val="single"/>
                <w:lang w:val="fr-CH"/>
              </w:rPr>
              <w:t>SESSION</w:t>
            </w:r>
            <w:r>
              <w:rPr>
                <w:rFonts w:cs="Arial"/>
                <w:b/>
                <w:color w:val="006600"/>
                <w:u w:val="single"/>
                <w:lang w:val="fr-CH"/>
              </w:rPr>
              <w:t> </w:t>
            </w:r>
            <w:r w:rsidRPr="005B51C8">
              <w:rPr>
                <w:rFonts w:cs="Arial"/>
                <w:b/>
                <w:color w:val="006600"/>
                <w:u w:val="single"/>
                <w:lang w:val="fr-CH"/>
              </w:rPr>
              <w:t>II</w:t>
            </w:r>
            <w:r w:rsidR="00AE08C2">
              <w:rPr>
                <w:rFonts w:cs="Arial"/>
                <w:b/>
                <w:color w:val="006600"/>
                <w:u w:val="single"/>
                <w:lang w:val="fr-CH"/>
              </w:rPr>
              <w:t> :</w:t>
            </w:r>
            <w:r w:rsidRPr="005B51C8">
              <w:rPr>
                <w:rFonts w:cs="Arial"/>
                <w:b/>
                <w:color w:val="006600"/>
                <w:u w:val="single"/>
                <w:lang w:val="fr-CH"/>
              </w:rPr>
              <w:t xml:space="preserve"> INCIDENCE DE LA NOTION DE VARIÉTÉ ESSENTIELLEMENT DÉRIVÉE SUR LA </w:t>
            </w:r>
            <w:r w:rsidRPr="00426174">
              <w:rPr>
                <w:rFonts w:cs="Arial"/>
                <w:b/>
                <w:color w:val="006600"/>
                <w:u w:val="single"/>
                <w:lang w:val="fr-CH"/>
              </w:rPr>
              <w:t>CRÉATION VARIÉTALE</w:t>
            </w:r>
            <w:r w:rsidRPr="005B51C8">
              <w:rPr>
                <w:rFonts w:cs="Arial"/>
                <w:b/>
                <w:color w:val="006600"/>
                <w:u w:val="single"/>
                <w:lang w:val="fr-CH"/>
              </w:rPr>
              <w:t xml:space="preserve"> </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spacing w:val="-2"/>
                <w:sz w:val="18"/>
                <w:lang w:val="fr-CH"/>
              </w:rPr>
            </w:pPr>
            <w:r w:rsidRPr="009F5288">
              <w:rPr>
                <w:rFonts w:cs="Arial"/>
                <w:i/>
                <w:spacing w:val="-2"/>
                <w:sz w:val="18"/>
                <w:lang w:val="fr-CH"/>
              </w:rPr>
              <w:t>Animateur</w:t>
            </w:r>
            <w:r w:rsidR="00AE08C2">
              <w:rPr>
                <w:rFonts w:cs="Arial"/>
                <w:i/>
                <w:spacing w:val="-2"/>
                <w:sz w:val="18"/>
                <w:lang w:val="fr-CH"/>
              </w:rPr>
              <w:t> :</w:t>
            </w:r>
            <w:r w:rsidRPr="009F5288">
              <w:rPr>
                <w:rFonts w:cs="Arial"/>
                <w:i/>
                <w:spacing w:val="-2"/>
                <w:sz w:val="18"/>
                <w:lang w:val="fr-CH"/>
              </w:rPr>
              <w:t xml:space="preserve"> M. Anthony Parker, Président du Comité administratif et juridique (CAJ), UPOV</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7E57B5" w:rsidTr="00B92BDD">
        <w:trPr>
          <w:cantSplit/>
        </w:trPr>
        <w:tc>
          <w:tcPr>
            <w:tcW w:w="1134"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10 </w:t>
            </w:r>
            <w:r>
              <w:rPr>
                <w:rFonts w:cs="Arial"/>
                <w:b/>
                <w:color w:val="006600"/>
                <w:lang w:val="fr-CH"/>
              </w:rPr>
              <w:t>h</w:t>
            </w:r>
            <w:r w:rsidRPr="005B51C8">
              <w:rPr>
                <w:rFonts w:cs="Arial"/>
                <w:b/>
                <w:color w:val="006600"/>
                <w:lang w:val="fr-CH"/>
              </w:rPr>
              <w:t> 20</w:t>
            </w:r>
          </w:p>
        </w:tc>
        <w:tc>
          <w:tcPr>
            <w:tcW w:w="8505" w:type="dxa"/>
            <w:shd w:val="clear" w:color="auto" w:fill="auto"/>
            <w:noWrap/>
          </w:tcPr>
          <w:p w:rsidR="00D370FB" w:rsidRPr="00BA5073" w:rsidRDefault="00D370FB" w:rsidP="00B92BDD">
            <w:pPr>
              <w:jc w:val="left"/>
              <w:rPr>
                <w:rFonts w:cs="Arial"/>
                <w:b/>
                <w:lang w:val="fr-CH"/>
              </w:rPr>
            </w:pPr>
            <w:r w:rsidRPr="005B51C8">
              <w:rPr>
                <w:rFonts w:cs="Arial"/>
                <w:b/>
                <w:color w:val="006600"/>
                <w:lang w:val="fr-CH"/>
              </w:rPr>
              <w:t>Perspectives pour les cultures agricoles</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pacing w:val="-4"/>
                <w:sz w:val="18"/>
                <w:lang w:val="fr-CH"/>
              </w:rPr>
            </w:pPr>
          </w:p>
        </w:tc>
        <w:tc>
          <w:tcPr>
            <w:tcW w:w="8505" w:type="dxa"/>
            <w:shd w:val="clear" w:color="auto" w:fill="auto"/>
            <w:noWrap/>
          </w:tcPr>
          <w:p w:rsidR="00D370FB" w:rsidRPr="009F5288" w:rsidRDefault="00D370FB" w:rsidP="00B92BDD">
            <w:pPr>
              <w:jc w:val="left"/>
              <w:rPr>
                <w:rFonts w:cs="Arial"/>
                <w:i/>
                <w:spacing w:val="-4"/>
                <w:sz w:val="18"/>
                <w:lang w:val="fr-CH"/>
              </w:rPr>
            </w:pPr>
            <w:r w:rsidRPr="009F5288">
              <w:rPr>
                <w:rFonts w:cs="Arial"/>
                <w:i/>
                <w:spacing w:val="-4"/>
                <w:sz w:val="18"/>
                <w:lang w:val="fr-CH"/>
              </w:rPr>
              <w:t>Mme Magali Pla, Directrice adjointe chargée des questions de propriété industrielle, Limagrain, France</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7E57B5" w:rsidTr="00B92BDD">
        <w:trPr>
          <w:cantSplit/>
        </w:trPr>
        <w:tc>
          <w:tcPr>
            <w:tcW w:w="1134" w:type="dxa"/>
            <w:shd w:val="clear" w:color="auto" w:fill="auto"/>
            <w:noWrap/>
          </w:tcPr>
          <w:p w:rsidR="00D370FB" w:rsidRPr="005B51C8" w:rsidRDefault="00D370FB" w:rsidP="00B92BDD">
            <w:pPr>
              <w:keepNext/>
              <w:jc w:val="left"/>
              <w:rPr>
                <w:rFonts w:cs="Arial"/>
                <w:b/>
                <w:color w:val="006600"/>
                <w:lang w:val="fr-CH"/>
              </w:rPr>
            </w:pPr>
            <w:r w:rsidRPr="005B51C8">
              <w:rPr>
                <w:rFonts w:cs="Arial"/>
                <w:b/>
                <w:color w:val="006600"/>
                <w:lang w:val="fr-CH"/>
              </w:rPr>
              <w:t>10 </w:t>
            </w:r>
            <w:r>
              <w:rPr>
                <w:rFonts w:cs="Arial"/>
                <w:b/>
                <w:color w:val="006600"/>
                <w:lang w:val="fr-CH"/>
              </w:rPr>
              <w:t>h</w:t>
            </w:r>
            <w:r w:rsidRPr="005B51C8">
              <w:rPr>
                <w:rFonts w:cs="Arial"/>
                <w:b/>
                <w:color w:val="006600"/>
                <w:lang w:val="fr-CH"/>
              </w:rPr>
              <w:t> 40</w:t>
            </w:r>
          </w:p>
        </w:tc>
        <w:tc>
          <w:tcPr>
            <w:tcW w:w="8505"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Perspectives pour les plantes ornementales</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iCs/>
                <w:sz w:val="18"/>
                <w:lang w:val="de-CH"/>
              </w:rPr>
            </w:pPr>
            <w:r w:rsidRPr="009F5288">
              <w:rPr>
                <w:rFonts w:cs="Arial"/>
                <w:i/>
                <w:iCs/>
                <w:sz w:val="18"/>
                <w:lang w:val="de-CH"/>
              </w:rPr>
              <w:t>M. Micha Danziger, Danziger “Dan” Flower Farm (Israël)</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de-CH"/>
              </w:rPr>
            </w:pPr>
          </w:p>
        </w:tc>
        <w:tc>
          <w:tcPr>
            <w:tcW w:w="8505" w:type="dxa"/>
            <w:shd w:val="clear" w:color="auto" w:fill="auto"/>
            <w:noWrap/>
          </w:tcPr>
          <w:p w:rsidR="00D370FB" w:rsidRPr="00115F3B" w:rsidRDefault="00D370FB" w:rsidP="00B92BDD">
            <w:pPr>
              <w:jc w:val="left"/>
              <w:rPr>
                <w:rFonts w:cs="Arial"/>
                <w:sz w:val="16"/>
                <w:lang w:val="de-CH"/>
              </w:rPr>
            </w:pPr>
          </w:p>
        </w:tc>
      </w:tr>
      <w:tr w:rsidR="00D370FB" w:rsidRPr="00BC4EA0" w:rsidTr="00B92BDD">
        <w:trPr>
          <w:cantSplit/>
        </w:trPr>
        <w:tc>
          <w:tcPr>
            <w:tcW w:w="1134" w:type="dxa"/>
            <w:shd w:val="clear" w:color="auto" w:fill="auto"/>
            <w:noWrap/>
          </w:tcPr>
          <w:p w:rsidR="00D370FB" w:rsidRPr="00BC4EA0" w:rsidRDefault="00D370FB" w:rsidP="00B92BDD">
            <w:pPr>
              <w:jc w:val="left"/>
              <w:rPr>
                <w:sz w:val="18"/>
              </w:rPr>
            </w:pPr>
            <w:r w:rsidRPr="00BC4EA0">
              <w:rPr>
                <w:rFonts w:cs="Arial"/>
                <w:b/>
                <w:i/>
                <w:sz w:val="18"/>
                <w:lang w:val="fr-CH"/>
              </w:rPr>
              <w:t>11 heures</w:t>
            </w:r>
          </w:p>
        </w:tc>
        <w:tc>
          <w:tcPr>
            <w:tcW w:w="8505" w:type="dxa"/>
            <w:shd w:val="clear" w:color="auto" w:fill="auto"/>
            <w:noWrap/>
          </w:tcPr>
          <w:p w:rsidR="00D370FB" w:rsidRPr="00BC4EA0" w:rsidRDefault="00D370FB" w:rsidP="00B92BDD">
            <w:pPr>
              <w:jc w:val="left"/>
              <w:rPr>
                <w:rFonts w:cs="Arial"/>
                <w:b/>
                <w:i/>
                <w:sz w:val="18"/>
                <w:lang w:val="fr-CH"/>
              </w:rPr>
            </w:pPr>
            <w:r w:rsidRPr="00BC4EA0">
              <w:rPr>
                <w:rFonts w:cs="Arial"/>
                <w:b/>
                <w:i/>
                <w:sz w:val="18"/>
                <w:lang w:val="fr-CH"/>
              </w:rPr>
              <w:t>Pause café</w:t>
            </w:r>
          </w:p>
        </w:tc>
      </w:tr>
      <w:tr w:rsidR="00D370FB" w:rsidRPr="00115F3B"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7E57B5" w:rsidTr="00B92BDD">
        <w:trPr>
          <w:cantSplit/>
        </w:trPr>
        <w:tc>
          <w:tcPr>
            <w:tcW w:w="1134" w:type="dxa"/>
            <w:shd w:val="clear" w:color="auto" w:fill="auto"/>
            <w:noWrap/>
          </w:tcPr>
          <w:p w:rsidR="00D370FB" w:rsidRPr="001A58F9" w:rsidRDefault="00D370FB" w:rsidP="00B92BDD">
            <w:pPr>
              <w:keepNext/>
              <w:jc w:val="left"/>
              <w:rPr>
                <w:lang w:val="fr-CH"/>
              </w:rPr>
            </w:pPr>
            <w:r w:rsidRPr="001A58F9">
              <w:rPr>
                <w:lang w:val="fr-CH"/>
              </w:rPr>
              <w:br w:type="page"/>
            </w:r>
            <w:r w:rsidRPr="005B51C8">
              <w:rPr>
                <w:rFonts w:cs="Arial"/>
                <w:b/>
                <w:color w:val="006600"/>
                <w:lang w:val="fr-CH"/>
              </w:rPr>
              <w:t>11 </w:t>
            </w:r>
            <w:r>
              <w:rPr>
                <w:rFonts w:cs="Arial"/>
                <w:b/>
                <w:color w:val="006600"/>
                <w:lang w:val="fr-CH"/>
              </w:rPr>
              <w:t>h</w:t>
            </w:r>
            <w:r w:rsidRPr="005B51C8">
              <w:rPr>
                <w:rFonts w:cs="Arial"/>
                <w:b/>
                <w:color w:val="006600"/>
                <w:lang w:val="fr-CH"/>
              </w:rPr>
              <w:t> 20</w:t>
            </w:r>
          </w:p>
        </w:tc>
        <w:tc>
          <w:tcPr>
            <w:tcW w:w="8505"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 xml:space="preserve">Perspectives pour les plantes potagères </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iCs/>
                <w:sz w:val="18"/>
                <w:lang w:val="fr-CH"/>
              </w:rPr>
            </w:pPr>
            <w:r w:rsidRPr="009F5288">
              <w:rPr>
                <w:rFonts w:cs="Arial"/>
                <w:i/>
                <w:iCs/>
                <w:sz w:val="18"/>
                <w:lang w:val="fr-CH"/>
              </w:rPr>
              <w:t>M. Laurens Kroon, Directeur de recherche, Bejo (Pays</w:t>
            </w:r>
            <w:r w:rsidR="00AE08C2">
              <w:rPr>
                <w:rFonts w:cs="Arial"/>
                <w:i/>
                <w:iCs/>
                <w:sz w:val="18"/>
                <w:lang w:val="fr-CH"/>
              </w:rPr>
              <w:t>-</w:t>
            </w:r>
            <w:r w:rsidRPr="009F5288">
              <w:rPr>
                <w:rFonts w:cs="Arial"/>
                <w:i/>
                <w:iCs/>
                <w:sz w:val="18"/>
                <w:lang w:val="fr-CH"/>
              </w:rPr>
              <w:t>Bas)</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7E57B5" w:rsidTr="00B92BDD">
        <w:trPr>
          <w:cantSplit/>
        </w:trPr>
        <w:tc>
          <w:tcPr>
            <w:tcW w:w="1134"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11 </w:t>
            </w:r>
            <w:r>
              <w:rPr>
                <w:rFonts w:cs="Arial"/>
                <w:b/>
                <w:color w:val="006600"/>
                <w:lang w:val="fr-CH"/>
              </w:rPr>
              <w:t>h</w:t>
            </w:r>
            <w:r w:rsidRPr="005B51C8">
              <w:rPr>
                <w:rFonts w:cs="Arial"/>
                <w:b/>
                <w:color w:val="006600"/>
                <w:lang w:val="fr-CH"/>
              </w:rPr>
              <w:t> 40</w:t>
            </w:r>
          </w:p>
        </w:tc>
        <w:tc>
          <w:tcPr>
            <w:tcW w:w="8505" w:type="dxa"/>
            <w:shd w:val="clear" w:color="auto" w:fill="auto"/>
            <w:noWrap/>
          </w:tcPr>
          <w:p w:rsidR="00D370FB" w:rsidRPr="00BA5073" w:rsidRDefault="00D370FB" w:rsidP="00B92BDD">
            <w:pPr>
              <w:jc w:val="left"/>
              <w:rPr>
                <w:rFonts w:cs="Arial"/>
                <w:b/>
                <w:lang w:val="fr-CH"/>
              </w:rPr>
            </w:pPr>
            <w:r w:rsidRPr="005B51C8">
              <w:rPr>
                <w:rFonts w:cs="Arial"/>
                <w:b/>
                <w:color w:val="006600"/>
                <w:lang w:val="fr-CH"/>
              </w:rPr>
              <w:t xml:space="preserve">Perspectives pour les plantes fruitières </w:t>
            </w:r>
          </w:p>
        </w:tc>
      </w:tr>
      <w:tr w:rsidR="00D370FB" w:rsidRPr="007E57B5"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iCs/>
                <w:sz w:val="18"/>
                <w:lang w:val="fr-CH"/>
              </w:rPr>
            </w:pPr>
            <w:r w:rsidRPr="009F5288">
              <w:rPr>
                <w:rFonts w:cs="Arial"/>
                <w:i/>
                <w:iCs/>
                <w:sz w:val="18"/>
                <w:lang w:val="fr-CH"/>
              </w:rPr>
              <w:t xml:space="preserve">Mme Emma Brown, Responsable du développement commercial, </w:t>
            </w:r>
            <w:r w:rsidRPr="00E33551">
              <w:rPr>
                <w:rFonts w:cs="Arial"/>
                <w:iCs/>
                <w:sz w:val="18"/>
                <w:lang w:val="fr-CH"/>
              </w:rPr>
              <w:t>Plant &amp; Food Research</w:t>
            </w:r>
            <w:r>
              <w:rPr>
                <w:rFonts w:cs="Arial"/>
                <w:i/>
                <w:iCs/>
                <w:sz w:val="18"/>
                <w:lang w:val="fr-CH"/>
              </w:rPr>
              <w:t xml:space="preserve"> (Nouvelle</w:t>
            </w:r>
            <w:r w:rsidR="00AE08C2">
              <w:rPr>
                <w:rFonts w:cs="Arial"/>
                <w:i/>
                <w:iCs/>
                <w:sz w:val="18"/>
                <w:lang w:val="fr-CH"/>
              </w:rPr>
              <w:t>-</w:t>
            </w:r>
            <w:r w:rsidRPr="009F5288">
              <w:rPr>
                <w:rFonts w:cs="Arial"/>
                <w:i/>
                <w:iCs/>
                <w:sz w:val="18"/>
                <w:lang w:val="fr-CH"/>
              </w:rPr>
              <w:t xml:space="preserve">Zélande) </w:t>
            </w:r>
          </w:p>
        </w:tc>
      </w:tr>
      <w:tr w:rsidR="00D370FB" w:rsidRPr="007E57B5"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sz w:val="16"/>
                <w:lang w:val="fr-CH"/>
              </w:rPr>
            </w:pPr>
          </w:p>
        </w:tc>
      </w:tr>
      <w:tr w:rsidR="00D370FB" w:rsidRPr="00BA5073" w:rsidTr="00B92BDD">
        <w:trPr>
          <w:cantSplit/>
        </w:trPr>
        <w:tc>
          <w:tcPr>
            <w:tcW w:w="1134"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12 </w:t>
            </w:r>
            <w:r>
              <w:rPr>
                <w:rFonts w:cs="Arial"/>
                <w:b/>
                <w:color w:val="006600"/>
                <w:lang w:val="fr-CH"/>
              </w:rPr>
              <w:t>heures</w:t>
            </w:r>
          </w:p>
        </w:tc>
        <w:tc>
          <w:tcPr>
            <w:tcW w:w="8505" w:type="dxa"/>
            <w:shd w:val="clear" w:color="auto" w:fill="auto"/>
            <w:noWrap/>
          </w:tcPr>
          <w:p w:rsidR="00D370FB" w:rsidRPr="005B51C8" w:rsidRDefault="00D370FB" w:rsidP="00B92BDD">
            <w:pPr>
              <w:jc w:val="left"/>
              <w:rPr>
                <w:rFonts w:cs="Arial"/>
                <w:b/>
                <w:bCs/>
                <w:i/>
                <w:color w:val="006600"/>
                <w:lang w:val="fr-CH"/>
              </w:rPr>
            </w:pPr>
            <w:r w:rsidRPr="005B51C8">
              <w:rPr>
                <w:rFonts w:cs="Arial"/>
                <w:b/>
                <w:bCs/>
                <w:color w:val="006600"/>
                <w:lang w:val="fr-CH"/>
              </w:rPr>
              <w:t>Débat d</w:t>
            </w:r>
            <w:r w:rsidR="00AE08C2">
              <w:rPr>
                <w:rFonts w:cs="Arial"/>
                <w:b/>
                <w:bCs/>
                <w:color w:val="006600"/>
                <w:lang w:val="fr-CH"/>
              </w:rPr>
              <w:t>’</w:t>
            </w:r>
            <w:r w:rsidRPr="005B51C8">
              <w:rPr>
                <w:rFonts w:cs="Arial"/>
                <w:b/>
                <w:bCs/>
                <w:color w:val="006600"/>
                <w:lang w:val="fr-CH"/>
              </w:rPr>
              <w:t xml:space="preserve">experts et questions </w:t>
            </w:r>
          </w:p>
        </w:tc>
      </w:tr>
      <w:tr w:rsidR="00D370FB" w:rsidRPr="00115F3B" w:rsidTr="00B92BDD">
        <w:trPr>
          <w:cantSplit/>
        </w:trPr>
        <w:tc>
          <w:tcPr>
            <w:tcW w:w="1134" w:type="dxa"/>
            <w:shd w:val="clear" w:color="auto" w:fill="auto"/>
            <w:noWrap/>
          </w:tcPr>
          <w:p w:rsidR="00D370FB" w:rsidRPr="00115F3B" w:rsidRDefault="00D370FB" w:rsidP="00B92BDD">
            <w:pPr>
              <w:jc w:val="left"/>
              <w:rPr>
                <w:rFonts w:cs="Arial"/>
                <w:color w:val="006600"/>
                <w:sz w:val="16"/>
                <w:lang w:val="fr-CH"/>
              </w:rPr>
            </w:pPr>
          </w:p>
        </w:tc>
        <w:tc>
          <w:tcPr>
            <w:tcW w:w="8505" w:type="dxa"/>
            <w:shd w:val="clear" w:color="auto" w:fill="auto"/>
            <w:noWrap/>
          </w:tcPr>
          <w:p w:rsidR="00D370FB" w:rsidRPr="00115F3B" w:rsidRDefault="00D370FB" w:rsidP="00B92BDD">
            <w:pPr>
              <w:jc w:val="left"/>
              <w:rPr>
                <w:rFonts w:cs="Arial"/>
                <w:color w:val="006600"/>
                <w:sz w:val="16"/>
                <w:lang w:val="fr-CH"/>
              </w:rPr>
            </w:pPr>
          </w:p>
        </w:tc>
      </w:tr>
      <w:tr w:rsidR="00D370FB" w:rsidRPr="00BA5073" w:rsidTr="00B92BDD">
        <w:trPr>
          <w:cantSplit/>
        </w:trPr>
        <w:tc>
          <w:tcPr>
            <w:tcW w:w="1134" w:type="dxa"/>
            <w:shd w:val="clear" w:color="auto" w:fill="auto"/>
            <w:noWrap/>
          </w:tcPr>
          <w:p w:rsidR="00D370FB" w:rsidRPr="005B51C8" w:rsidRDefault="00D370FB" w:rsidP="00B92BDD">
            <w:pPr>
              <w:jc w:val="left"/>
              <w:rPr>
                <w:rFonts w:cs="Arial"/>
                <w:b/>
                <w:color w:val="006600"/>
                <w:lang w:val="fr-CH"/>
              </w:rPr>
            </w:pPr>
            <w:r w:rsidRPr="005B51C8">
              <w:rPr>
                <w:rFonts w:cs="Arial"/>
                <w:b/>
                <w:color w:val="006600"/>
                <w:lang w:val="fr-CH"/>
              </w:rPr>
              <w:t>12 </w:t>
            </w:r>
            <w:r>
              <w:rPr>
                <w:rFonts w:cs="Arial"/>
                <w:b/>
                <w:color w:val="006600"/>
                <w:lang w:val="fr-CH"/>
              </w:rPr>
              <w:t>h</w:t>
            </w:r>
            <w:r w:rsidRPr="005B51C8">
              <w:rPr>
                <w:rFonts w:cs="Arial"/>
                <w:b/>
                <w:color w:val="006600"/>
                <w:lang w:val="fr-CH"/>
              </w:rPr>
              <w:t> 25</w:t>
            </w:r>
          </w:p>
        </w:tc>
        <w:tc>
          <w:tcPr>
            <w:tcW w:w="8505" w:type="dxa"/>
            <w:shd w:val="clear" w:color="auto" w:fill="auto"/>
            <w:noWrap/>
          </w:tcPr>
          <w:p w:rsidR="00D370FB" w:rsidRPr="005B51C8" w:rsidRDefault="00D370FB" w:rsidP="00B92BDD">
            <w:pPr>
              <w:jc w:val="left"/>
              <w:rPr>
                <w:rFonts w:cs="Arial"/>
                <w:b/>
                <w:bCs/>
                <w:color w:val="006600"/>
                <w:lang w:val="fr-CH"/>
              </w:rPr>
            </w:pPr>
            <w:r w:rsidRPr="005B51C8">
              <w:rPr>
                <w:rFonts w:cs="Arial"/>
                <w:b/>
                <w:bCs/>
                <w:color w:val="006600"/>
                <w:lang w:val="fr-CH"/>
              </w:rPr>
              <w:t xml:space="preserve">Allocution de clôture </w:t>
            </w:r>
          </w:p>
        </w:tc>
      </w:tr>
      <w:tr w:rsidR="00D370FB" w:rsidRPr="009F5288" w:rsidTr="00B92BDD">
        <w:trPr>
          <w:cantSplit/>
        </w:trPr>
        <w:tc>
          <w:tcPr>
            <w:tcW w:w="1134" w:type="dxa"/>
            <w:shd w:val="clear" w:color="auto" w:fill="auto"/>
            <w:noWrap/>
          </w:tcPr>
          <w:p w:rsidR="00D370FB" w:rsidRPr="009F5288" w:rsidRDefault="00D370FB" w:rsidP="00B92BDD">
            <w:pPr>
              <w:jc w:val="left"/>
              <w:rPr>
                <w:rFonts w:cs="Arial"/>
                <w:color w:val="006600"/>
                <w:sz w:val="18"/>
                <w:lang w:val="fr-CH"/>
              </w:rPr>
            </w:pPr>
          </w:p>
        </w:tc>
        <w:tc>
          <w:tcPr>
            <w:tcW w:w="8505" w:type="dxa"/>
            <w:shd w:val="clear" w:color="auto" w:fill="auto"/>
            <w:noWrap/>
          </w:tcPr>
          <w:p w:rsidR="00D370FB" w:rsidRPr="009F5288" w:rsidRDefault="00D370FB" w:rsidP="00B92BDD">
            <w:pPr>
              <w:jc w:val="left"/>
              <w:rPr>
                <w:rFonts w:cs="Arial"/>
                <w:i/>
                <w:spacing w:val="-2"/>
                <w:sz w:val="18"/>
                <w:lang w:val="fr-CH"/>
              </w:rPr>
            </w:pPr>
            <w:r w:rsidRPr="009F5288">
              <w:rPr>
                <w:rFonts w:cs="Arial"/>
                <w:i/>
                <w:spacing w:val="-2"/>
                <w:sz w:val="18"/>
                <w:lang w:val="fr-CH"/>
              </w:rPr>
              <w:t>M. Anthony Parker</w:t>
            </w:r>
          </w:p>
          <w:p w:rsidR="00D370FB" w:rsidRPr="009F5288" w:rsidRDefault="00D370FB" w:rsidP="00B92BDD">
            <w:pPr>
              <w:jc w:val="left"/>
              <w:rPr>
                <w:rFonts w:cs="Arial"/>
                <w:sz w:val="18"/>
                <w:lang w:val="fr-CH"/>
              </w:rPr>
            </w:pPr>
          </w:p>
        </w:tc>
      </w:tr>
      <w:tr w:rsidR="00D370FB" w:rsidRPr="00B75C31" w:rsidTr="00B92BDD">
        <w:trPr>
          <w:cantSplit/>
        </w:trPr>
        <w:tc>
          <w:tcPr>
            <w:tcW w:w="1134" w:type="dxa"/>
            <w:shd w:val="clear" w:color="auto" w:fill="auto"/>
            <w:noWrap/>
          </w:tcPr>
          <w:p w:rsidR="00D370FB" w:rsidRPr="005B51C8" w:rsidRDefault="00D370FB" w:rsidP="00B92BDD">
            <w:pPr>
              <w:jc w:val="left"/>
              <w:rPr>
                <w:rFonts w:cs="Arial"/>
                <w:color w:val="006600"/>
                <w:lang w:val="fr-CH"/>
              </w:rPr>
            </w:pPr>
          </w:p>
        </w:tc>
        <w:tc>
          <w:tcPr>
            <w:tcW w:w="8505" w:type="dxa"/>
            <w:shd w:val="clear" w:color="auto" w:fill="auto"/>
            <w:noWrap/>
          </w:tcPr>
          <w:p w:rsidR="00D370FB" w:rsidRPr="00BA5073" w:rsidRDefault="00D370FB" w:rsidP="00B92BDD">
            <w:pPr>
              <w:jc w:val="left"/>
              <w:rPr>
                <w:rFonts w:cs="Arial"/>
                <w:i/>
                <w:spacing w:val="-2"/>
                <w:lang w:val="fr-CH"/>
              </w:rPr>
            </w:pPr>
          </w:p>
        </w:tc>
      </w:tr>
    </w:tbl>
    <w:p w:rsidR="00D370FB" w:rsidRPr="00BA5073" w:rsidRDefault="00D370FB" w:rsidP="00D370FB">
      <w:pPr>
        <w:rPr>
          <w:sz w:val="12"/>
          <w:lang w:val="fr-CH"/>
        </w:rPr>
      </w:pPr>
    </w:p>
    <w:p w:rsidR="00D370FB" w:rsidRDefault="00D370FB" w:rsidP="00D370FB">
      <w:pPr>
        <w:jc w:val="right"/>
        <w:rPr>
          <w:lang w:val="fr-CH"/>
        </w:rPr>
      </w:pPr>
    </w:p>
    <w:p w:rsidR="00D370FB" w:rsidRPr="00BA5073" w:rsidRDefault="00D370FB" w:rsidP="00D370FB">
      <w:pPr>
        <w:jc w:val="right"/>
        <w:rPr>
          <w:lang w:val="fr-CH"/>
        </w:rPr>
      </w:pPr>
    </w:p>
    <w:p w:rsidR="00AE08C2" w:rsidRDefault="00AE08C2" w:rsidP="00D370FB">
      <w:pPr>
        <w:jc w:val="right"/>
        <w:rPr>
          <w:lang w:val="fr-CH"/>
        </w:rPr>
      </w:pPr>
    </w:p>
    <w:p w:rsidR="00285FF7" w:rsidRPr="00F346D7" w:rsidRDefault="00F346D7" w:rsidP="007A6080">
      <w:pPr>
        <w:jc w:val="right"/>
        <w:rPr>
          <w:lang w:val="fr-CH"/>
        </w:rPr>
      </w:pPr>
      <w:r w:rsidRPr="00F346D7">
        <w:rPr>
          <w:lang w:val="fr-CH"/>
        </w:rPr>
        <w:t>[Fin de l</w:t>
      </w:r>
      <w:r w:rsidR="00AE08C2">
        <w:rPr>
          <w:lang w:val="fr-CH"/>
        </w:rPr>
        <w:t>’</w:t>
      </w:r>
      <w:r w:rsidRPr="00F346D7">
        <w:rPr>
          <w:lang w:val="fr-CH"/>
        </w:rPr>
        <w:t xml:space="preserve">annexe et du </w:t>
      </w:r>
      <w:r w:rsidR="007A6080" w:rsidRPr="00F346D7">
        <w:rPr>
          <w:lang w:val="fr-CH"/>
        </w:rPr>
        <w:t>document]</w:t>
      </w:r>
    </w:p>
    <w:p w:rsidR="00285FF7" w:rsidRPr="00F346D7" w:rsidRDefault="00285FF7" w:rsidP="007A6080">
      <w:pPr>
        <w:jc w:val="right"/>
        <w:rPr>
          <w:lang w:val="fr-CH"/>
        </w:rPr>
      </w:pPr>
    </w:p>
    <w:p w:rsidR="00285FF7" w:rsidRPr="00F346D7" w:rsidRDefault="00285FF7" w:rsidP="007A6080">
      <w:pPr>
        <w:jc w:val="right"/>
        <w:rPr>
          <w:lang w:val="fr-CH"/>
        </w:rPr>
      </w:pPr>
    </w:p>
    <w:p w:rsidR="00285FF7" w:rsidRPr="00F346D7" w:rsidRDefault="00285FF7" w:rsidP="007A6080">
      <w:pPr>
        <w:jc w:val="right"/>
        <w:rPr>
          <w:lang w:val="fr-CH"/>
        </w:rPr>
      </w:pPr>
    </w:p>
    <w:p w:rsidR="007A6080" w:rsidRPr="00F346D7" w:rsidRDefault="007A6080" w:rsidP="007A6080">
      <w:pPr>
        <w:jc w:val="right"/>
        <w:rPr>
          <w:lang w:val="fr-CH"/>
        </w:rPr>
      </w:pPr>
    </w:p>
    <w:sectPr w:rsidR="007A6080" w:rsidRPr="00F346D7" w:rsidSect="00623437">
      <w:headerReference w:type="default" r:id="rId14"/>
      <w:headerReference w:type="first" r:id="rId1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F38" w:rsidRDefault="009D1F38" w:rsidP="006655D3">
      <w:r>
        <w:separator/>
      </w:r>
    </w:p>
    <w:p w:rsidR="009D1F38" w:rsidRDefault="009D1F38" w:rsidP="006655D3"/>
    <w:p w:rsidR="009D1F38" w:rsidRDefault="009D1F38" w:rsidP="006655D3"/>
  </w:endnote>
  <w:endnote w:type="continuationSeparator" w:id="0">
    <w:p w:rsidR="009D1F38" w:rsidRDefault="009D1F38" w:rsidP="006655D3">
      <w:r>
        <w:separator/>
      </w:r>
    </w:p>
    <w:p w:rsidR="009D1F38" w:rsidRPr="00294751" w:rsidRDefault="009D1F38">
      <w:pPr>
        <w:pStyle w:val="Footer"/>
        <w:spacing w:after="60"/>
        <w:rPr>
          <w:sz w:val="18"/>
          <w:lang w:val="fr-FR"/>
        </w:rPr>
      </w:pPr>
      <w:r w:rsidRPr="00294751">
        <w:rPr>
          <w:sz w:val="18"/>
          <w:lang w:val="fr-FR"/>
        </w:rPr>
        <w:t>[Suite de la note de la page précédente]</w:t>
      </w:r>
    </w:p>
    <w:p w:rsidR="009D1F38" w:rsidRPr="00294751" w:rsidRDefault="009D1F38" w:rsidP="006655D3">
      <w:pPr>
        <w:rPr>
          <w:lang w:val="fr-FR"/>
        </w:rPr>
      </w:pPr>
    </w:p>
    <w:p w:rsidR="009D1F38" w:rsidRPr="00294751" w:rsidRDefault="009D1F38" w:rsidP="006655D3">
      <w:pPr>
        <w:rPr>
          <w:lang w:val="fr-FR"/>
        </w:rPr>
      </w:pPr>
    </w:p>
  </w:endnote>
  <w:endnote w:type="continuationNotice" w:id="1">
    <w:p w:rsidR="009D1F38" w:rsidRPr="00294751" w:rsidRDefault="009D1F38" w:rsidP="006655D3">
      <w:pPr>
        <w:rPr>
          <w:lang w:val="fr-FR"/>
        </w:rPr>
      </w:pPr>
      <w:r w:rsidRPr="00294751">
        <w:rPr>
          <w:lang w:val="fr-FR"/>
        </w:rPr>
        <w:t>[Suite de la note page suivante]</w:t>
      </w:r>
    </w:p>
    <w:p w:rsidR="009D1F38" w:rsidRPr="00294751" w:rsidRDefault="009D1F38" w:rsidP="006655D3">
      <w:pPr>
        <w:rPr>
          <w:lang w:val="fr-FR"/>
        </w:rPr>
      </w:pPr>
    </w:p>
    <w:p w:rsidR="009D1F38" w:rsidRPr="00294751" w:rsidRDefault="009D1F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F38" w:rsidRDefault="009D1F38" w:rsidP="006655D3">
      <w:r>
        <w:separator/>
      </w:r>
    </w:p>
  </w:footnote>
  <w:footnote w:type="continuationSeparator" w:id="0">
    <w:p w:rsidR="009D1F38" w:rsidRDefault="009D1F38" w:rsidP="006655D3">
      <w:r>
        <w:separator/>
      </w:r>
    </w:p>
  </w:footnote>
  <w:footnote w:type="continuationNotice" w:id="1">
    <w:p w:rsidR="009D1F38" w:rsidRPr="00AB530F" w:rsidRDefault="009D1F38" w:rsidP="00AB530F">
      <w:pPr>
        <w:pStyle w:val="Footer"/>
      </w:pPr>
    </w:p>
  </w:footnote>
  <w:footnote w:id="2">
    <w:p w:rsidR="00822A0B" w:rsidRPr="00731CF1" w:rsidRDefault="00822A0B" w:rsidP="002326BB">
      <w:pPr>
        <w:pStyle w:val="FootnoteText"/>
        <w:rPr>
          <w:lang w:val="fr-CH"/>
        </w:rPr>
      </w:pPr>
      <w:r w:rsidRPr="00731CF1">
        <w:rPr>
          <w:rStyle w:val="FootnoteReference"/>
        </w:rPr>
        <w:footnoteRef/>
      </w:r>
      <w:r w:rsidRPr="00731CF1">
        <w:rPr>
          <w:lang w:val="fr-CH"/>
        </w:rPr>
        <w:tab/>
      </w:r>
      <w:bookmarkStart w:id="6" w:name="notebasdepage1"/>
      <w:bookmarkEnd w:id="6"/>
      <w:r w:rsidR="002326BB" w:rsidRPr="00731CF1">
        <w:rPr>
          <w:lang w:val="fr-CH"/>
        </w:rPr>
        <w:t>Tenue à Genève le 31</w:t>
      </w:r>
      <w:r w:rsidR="00973659">
        <w:rPr>
          <w:lang w:val="fr-CH"/>
        </w:rPr>
        <w:t> </w:t>
      </w:r>
      <w:r w:rsidR="002326BB" w:rsidRPr="00731CF1">
        <w:rPr>
          <w:lang w:val="fr-CH"/>
        </w:rPr>
        <w:t>octobre</w:t>
      </w:r>
      <w:r w:rsidR="00973659">
        <w:rPr>
          <w:lang w:val="fr-CH"/>
        </w:rPr>
        <w:t> </w:t>
      </w:r>
      <w:r w:rsidR="002326BB" w:rsidRPr="00731CF1">
        <w:rPr>
          <w:lang w:val="fr-CH"/>
        </w:rPr>
        <w:t>2018.</w:t>
      </w:r>
    </w:p>
  </w:footnote>
  <w:footnote w:id="3">
    <w:p w:rsidR="00D323F5" w:rsidRPr="00731CF1" w:rsidRDefault="00D323F5" w:rsidP="00D323F5">
      <w:pPr>
        <w:pStyle w:val="FootnoteText"/>
        <w:rPr>
          <w:lang w:val="fr-CH"/>
        </w:rPr>
      </w:pPr>
      <w:r w:rsidRPr="00731CF1">
        <w:rPr>
          <w:rStyle w:val="FootnoteReference"/>
        </w:rPr>
        <w:footnoteRef/>
      </w:r>
      <w:r w:rsidRPr="00731CF1">
        <w:rPr>
          <w:lang w:val="fr-CH"/>
        </w:rPr>
        <w:t xml:space="preserve"> </w:t>
      </w:r>
      <w:r w:rsidRPr="00731CF1">
        <w:rPr>
          <w:lang w:val="fr-CH"/>
        </w:rPr>
        <w:tab/>
      </w:r>
      <w:bookmarkStart w:id="7" w:name="notebasdepage2"/>
      <w:bookmarkEnd w:id="7"/>
      <w:r w:rsidRPr="00731CF1">
        <w:rPr>
          <w:lang w:val="fr-CH"/>
        </w:rPr>
        <w:t>Tenue à Genève le 2</w:t>
      </w:r>
      <w:r w:rsidR="00973659">
        <w:rPr>
          <w:lang w:val="fr-CH"/>
        </w:rPr>
        <w:t> </w:t>
      </w:r>
      <w:r w:rsidRPr="00731CF1">
        <w:rPr>
          <w:lang w:val="fr-CH"/>
        </w:rPr>
        <w:t>novembre</w:t>
      </w:r>
      <w:r w:rsidR="00973659">
        <w:rPr>
          <w:lang w:val="fr-CH"/>
        </w:rPr>
        <w:t> </w:t>
      </w:r>
      <w:r w:rsidRPr="00731CF1">
        <w:rPr>
          <w:lang w:val="fr-CH"/>
        </w:rPr>
        <w:t>2018.</w:t>
      </w:r>
    </w:p>
  </w:footnote>
  <w:footnote w:id="4">
    <w:p w:rsidR="00113565" w:rsidRPr="00731CF1" w:rsidRDefault="00113565" w:rsidP="00113565">
      <w:pPr>
        <w:pStyle w:val="FootnoteText"/>
        <w:rPr>
          <w:lang w:val="fr-CH"/>
        </w:rPr>
      </w:pPr>
      <w:r w:rsidRPr="00731CF1">
        <w:rPr>
          <w:rStyle w:val="FootnoteReference"/>
        </w:rPr>
        <w:footnoteRef/>
      </w:r>
      <w:r w:rsidRPr="00731CF1">
        <w:rPr>
          <w:lang w:val="fr-CH"/>
        </w:rPr>
        <w:t xml:space="preserve"> </w:t>
      </w:r>
      <w:r w:rsidRPr="00731CF1">
        <w:rPr>
          <w:lang w:val="fr-CH"/>
        </w:rPr>
        <w:tab/>
      </w:r>
      <w:bookmarkStart w:id="11" w:name="notebasdepage3"/>
      <w:bookmarkEnd w:id="11"/>
      <w:r w:rsidRPr="00731CF1">
        <w:rPr>
          <w:lang w:val="fr-CH"/>
        </w:rPr>
        <w:t>Prévue à Genève le 30</w:t>
      </w:r>
      <w:r w:rsidR="00973659">
        <w:rPr>
          <w:lang w:val="fr-CH"/>
        </w:rPr>
        <w:t> </w:t>
      </w:r>
      <w:r w:rsidRPr="00731CF1">
        <w:rPr>
          <w:lang w:val="fr-CH"/>
        </w:rPr>
        <w:t>octobre</w:t>
      </w:r>
      <w:r w:rsidR="00973659">
        <w:rPr>
          <w:lang w:val="fr-CH"/>
        </w:rPr>
        <w:t> </w:t>
      </w:r>
      <w:r w:rsidRPr="00731CF1">
        <w:rPr>
          <w:lang w:val="fr-CH"/>
        </w:rP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31412" w:rsidP="00EB048E">
    <w:pPr>
      <w:pStyle w:val="Header"/>
      <w:rPr>
        <w:rStyle w:val="PageNumber"/>
        <w:lang w:val="en-US"/>
      </w:rPr>
    </w:pPr>
    <w:r>
      <w:rPr>
        <w:rStyle w:val="PageNumber"/>
        <w:lang w:val="en-US"/>
      </w:rPr>
      <w:t>CAJ</w:t>
    </w:r>
    <w:r w:rsidR="005638F9">
      <w:rPr>
        <w:rStyle w:val="PageNumber"/>
        <w:lang w:val="en-US"/>
      </w:rPr>
      <w:t>/76/3</w:t>
    </w:r>
  </w:p>
  <w:p w:rsidR="00182B99" w:rsidRDefault="00182B99" w:rsidP="00EB048E">
    <w:pPr>
      <w:pStyle w:val="Header"/>
      <w:rPr>
        <w:rStyle w:val="PageNumber"/>
        <w:lang w:val="en-US"/>
      </w:rPr>
    </w:pPr>
    <w:r w:rsidRPr="00C5280D">
      <w:rPr>
        <w:lang w:val="en-US"/>
      </w:rPr>
      <w:t>page</w:t>
    </w:r>
    <w:r w:rsidR="0097365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63CA">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16" w:rsidRPr="00C5280D" w:rsidRDefault="00545E16" w:rsidP="00545E16">
    <w:pPr>
      <w:pStyle w:val="Header"/>
      <w:rPr>
        <w:rStyle w:val="PageNumber"/>
        <w:lang w:val="en-US"/>
      </w:rPr>
    </w:pPr>
    <w:r>
      <w:rPr>
        <w:rStyle w:val="PageNumber"/>
        <w:lang w:val="en-US"/>
      </w:rPr>
      <w:t>CAJ/76/3</w:t>
    </w:r>
  </w:p>
  <w:p w:rsidR="00545E16" w:rsidRDefault="00545E16" w:rsidP="00545E16">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63CA">
      <w:rPr>
        <w:rStyle w:val="PageNumber"/>
        <w:noProof/>
        <w:lang w:val="en-US"/>
      </w:rPr>
      <w:t>2</w:t>
    </w:r>
    <w:r w:rsidRPr="00C5280D">
      <w:rPr>
        <w:rStyle w:val="PageNumber"/>
        <w:lang w:val="en-US"/>
      </w:rPr>
      <w:fldChar w:fldCharType="end"/>
    </w:r>
  </w:p>
  <w:p w:rsidR="00545E16" w:rsidRDefault="00545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080" w:rsidRDefault="007A6080" w:rsidP="007A6080">
    <w:pPr>
      <w:pStyle w:val="Header"/>
      <w:rPr>
        <w:rStyle w:val="PageNumber"/>
        <w:lang w:val="en-US"/>
      </w:rPr>
    </w:pPr>
    <w:r>
      <w:rPr>
        <w:rStyle w:val="PageNumber"/>
        <w:lang w:val="en-US"/>
      </w:rPr>
      <w:t>CAJ/76/3</w:t>
    </w:r>
  </w:p>
  <w:p w:rsidR="007A6080" w:rsidRPr="00C5280D" w:rsidRDefault="007A6080" w:rsidP="007A6080">
    <w:pPr>
      <w:pStyle w:val="Header"/>
      <w:rPr>
        <w:lang w:val="en-US"/>
      </w:rPr>
    </w:pPr>
    <w:r>
      <w:rPr>
        <w:rStyle w:val="PageNumber"/>
        <w:lang w:val="en-US"/>
      </w:rPr>
      <w:t>Annex</w:t>
    </w:r>
    <w:r w:rsidR="00F346D7">
      <w:rPr>
        <w:rStyle w:val="PageNumber"/>
        <w:lang w:val="en-US"/>
      </w:rPr>
      <w:t>e</w:t>
    </w:r>
    <w:r>
      <w:rPr>
        <w:rStyle w:val="PageNumbe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63CA">
      <w:rPr>
        <w:rStyle w:val="PageNumber"/>
        <w:noProof/>
        <w:lang w:val="en-US"/>
      </w:rPr>
      <w:t>2</w:t>
    </w:r>
    <w:r w:rsidRPr="00C5280D">
      <w:rPr>
        <w:rStyle w:val="PageNumber"/>
        <w:lang w:val="en-US"/>
      </w:rPr>
      <w:fldChar w:fldCharType="end"/>
    </w:r>
  </w:p>
  <w:p w:rsidR="007A6080" w:rsidRDefault="007A6080" w:rsidP="006655D3"/>
  <w:p w:rsidR="00F346D7" w:rsidRPr="00C5280D" w:rsidRDefault="00F346D7"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6D7" w:rsidRDefault="004D0FC7" w:rsidP="00F346D7">
    <w:pPr>
      <w:pStyle w:val="Header"/>
      <w:rPr>
        <w:lang w:val="en-US"/>
      </w:rPr>
    </w:pPr>
    <w:r>
      <w:rPr>
        <w:lang w:val="en-US"/>
      </w:rPr>
      <w:t>CAJ/76/3</w:t>
    </w:r>
  </w:p>
  <w:p w:rsidR="004D0FC7" w:rsidRDefault="004D0FC7" w:rsidP="004D0FC7">
    <w:pPr>
      <w:pStyle w:val="Header"/>
      <w:rPr>
        <w:lang w:val="en-US"/>
      </w:rPr>
    </w:pPr>
    <w:r>
      <w:rPr>
        <w:lang w:val="en-US"/>
      </w:rPr>
      <w:t>ANNEX</w:t>
    </w:r>
    <w:r w:rsidR="00F346D7">
      <w:rPr>
        <w:lang w:val="en-US"/>
      </w:rPr>
      <w:t>E</w:t>
    </w:r>
  </w:p>
  <w:p w:rsidR="004D0FC7" w:rsidRDefault="004D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90CEC"/>
    <w:multiLevelType w:val="hybridMultilevel"/>
    <w:tmpl w:val="AF3C35B2"/>
    <w:lvl w:ilvl="0" w:tplc="6EC0539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71B61"/>
    <w:multiLevelType w:val="hybridMultilevel"/>
    <w:tmpl w:val="AE928E16"/>
    <w:lvl w:ilvl="0" w:tplc="0E9250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834DF"/>
    <w:multiLevelType w:val="hybridMultilevel"/>
    <w:tmpl w:val="E85EF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E33CB8"/>
    <w:multiLevelType w:val="hybridMultilevel"/>
    <w:tmpl w:val="786AFC40"/>
    <w:lvl w:ilvl="0" w:tplc="83D892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81B7B"/>
    <w:multiLevelType w:val="hybridMultilevel"/>
    <w:tmpl w:val="56B60C34"/>
    <w:lvl w:ilvl="0" w:tplc="12CEB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CB2272"/>
    <w:rsid w:val="00010CF3"/>
    <w:rsid w:val="00011E27"/>
    <w:rsid w:val="000148BC"/>
    <w:rsid w:val="00024AB8"/>
    <w:rsid w:val="00030854"/>
    <w:rsid w:val="00036028"/>
    <w:rsid w:val="00044642"/>
    <w:rsid w:val="000446B9"/>
    <w:rsid w:val="00047E21"/>
    <w:rsid w:val="00050E16"/>
    <w:rsid w:val="000543A1"/>
    <w:rsid w:val="00085505"/>
    <w:rsid w:val="000857C9"/>
    <w:rsid w:val="000C4E25"/>
    <w:rsid w:val="000C7021"/>
    <w:rsid w:val="000D6BBC"/>
    <w:rsid w:val="000D7780"/>
    <w:rsid w:val="000E636A"/>
    <w:rsid w:val="000F2F11"/>
    <w:rsid w:val="000F7BFE"/>
    <w:rsid w:val="00105929"/>
    <w:rsid w:val="001061F1"/>
    <w:rsid w:val="00110BED"/>
    <w:rsid w:val="00110C36"/>
    <w:rsid w:val="001131D5"/>
    <w:rsid w:val="00113565"/>
    <w:rsid w:val="00122146"/>
    <w:rsid w:val="00141DB8"/>
    <w:rsid w:val="001538E7"/>
    <w:rsid w:val="00172084"/>
    <w:rsid w:val="0017474A"/>
    <w:rsid w:val="001758C6"/>
    <w:rsid w:val="00182B99"/>
    <w:rsid w:val="00187DC7"/>
    <w:rsid w:val="001A61FA"/>
    <w:rsid w:val="001C1525"/>
    <w:rsid w:val="001E099C"/>
    <w:rsid w:val="001F2922"/>
    <w:rsid w:val="00212555"/>
    <w:rsid w:val="0021332C"/>
    <w:rsid w:val="00213982"/>
    <w:rsid w:val="0022379C"/>
    <w:rsid w:val="002326BB"/>
    <w:rsid w:val="002362C6"/>
    <w:rsid w:val="0024416D"/>
    <w:rsid w:val="00264BEF"/>
    <w:rsid w:val="00271911"/>
    <w:rsid w:val="002800A0"/>
    <w:rsid w:val="002801B3"/>
    <w:rsid w:val="00281060"/>
    <w:rsid w:val="00284BA4"/>
    <w:rsid w:val="00285FF7"/>
    <w:rsid w:val="002940E8"/>
    <w:rsid w:val="00294751"/>
    <w:rsid w:val="002A6E50"/>
    <w:rsid w:val="002B4298"/>
    <w:rsid w:val="002B7A36"/>
    <w:rsid w:val="002C256A"/>
    <w:rsid w:val="002E603E"/>
    <w:rsid w:val="002F7F91"/>
    <w:rsid w:val="00305A7F"/>
    <w:rsid w:val="003152FE"/>
    <w:rsid w:val="00325CE1"/>
    <w:rsid w:val="00327436"/>
    <w:rsid w:val="003379F3"/>
    <w:rsid w:val="00344BD6"/>
    <w:rsid w:val="003530C7"/>
    <w:rsid w:val="0035528D"/>
    <w:rsid w:val="00361821"/>
    <w:rsid w:val="00361E9E"/>
    <w:rsid w:val="00387E9E"/>
    <w:rsid w:val="003C7FBE"/>
    <w:rsid w:val="003D227C"/>
    <w:rsid w:val="003D2B4D"/>
    <w:rsid w:val="003E5E2C"/>
    <w:rsid w:val="00444A88"/>
    <w:rsid w:val="00474DA4"/>
    <w:rsid w:val="00476B4D"/>
    <w:rsid w:val="004805FA"/>
    <w:rsid w:val="004935D2"/>
    <w:rsid w:val="004A55FB"/>
    <w:rsid w:val="004B1215"/>
    <w:rsid w:val="004C02D2"/>
    <w:rsid w:val="004C1CD0"/>
    <w:rsid w:val="004C64D6"/>
    <w:rsid w:val="004D047D"/>
    <w:rsid w:val="004D0FC7"/>
    <w:rsid w:val="004F1E9E"/>
    <w:rsid w:val="004F305A"/>
    <w:rsid w:val="00512164"/>
    <w:rsid w:val="00520297"/>
    <w:rsid w:val="005338F9"/>
    <w:rsid w:val="00534825"/>
    <w:rsid w:val="0054281C"/>
    <w:rsid w:val="00544581"/>
    <w:rsid w:val="00545E16"/>
    <w:rsid w:val="0055268D"/>
    <w:rsid w:val="005638F9"/>
    <w:rsid w:val="0056504E"/>
    <w:rsid w:val="00576BE4"/>
    <w:rsid w:val="005779DB"/>
    <w:rsid w:val="005A400A"/>
    <w:rsid w:val="005B6350"/>
    <w:rsid w:val="005F3737"/>
    <w:rsid w:val="005F7B92"/>
    <w:rsid w:val="00600A9C"/>
    <w:rsid w:val="00612379"/>
    <w:rsid w:val="006153B6"/>
    <w:rsid w:val="0061555F"/>
    <w:rsid w:val="00623437"/>
    <w:rsid w:val="00636CA6"/>
    <w:rsid w:val="0063766A"/>
    <w:rsid w:val="00641200"/>
    <w:rsid w:val="00642841"/>
    <w:rsid w:val="00645CA8"/>
    <w:rsid w:val="006655D3"/>
    <w:rsid w:val="00667404"/>
    <w:rsid w:val="006816C0"/>
    <w:rsid w:val="00687EB4"/>
    <w:rsid w:val="00695C56"/>
    <w:rsid w:val="006A09D4"/>
    <w:rsid w:val="006A5CDE"/>
    <w:rsid w:val="006A644A"/>
    <w:rsid w:val="006B17D2"/>
    <w:rsid w:val="006C224E"/>
    <w:rsid w:val="006D224A"/>
    <w:rsid w:val="006D380B"/>
    <w:rsid w:val="006D63CA"/>
    <w:rsid w:val="006D780A"/>
    <w:rsid w:val="007040FB"/>
    <w:rsid w:val="0070548A"/>
    <w:rsid w:val="0071271E"/>
    <w:rsid w:val="00731CF1"/>
    <w:rsid w:val="00732DEC"/>
    <w:rsid w:val="00735BD5"/>
    <w:rsid w:val="007451EC"/>
    <w:rsid w:val="00751613"/>
    <w:rsid w:val="00753EE9"/>
    <w:rsid w:val="007556F6"/>
    <w:rsid w:val="00760EEF"/>
    <w:rsid w:val="00761618"/>
    <w:rsid w:val="00767E42"/>
    <w:rsid w:val="00775FA9"/>
    <w:rsid w:val="007774E7"/>
    <w:rsid w:val="00777EE5"/>
    <w:rsid w:val="00784836"/>
    <w:rsid w:val="0079023E"/>
    <w:rsid w:val="00796754"/>
    <w:rsid w:val="007A2854"/>
    <w:rsid w:val="007A6080"/>
    <w:rsid w:val="007B4B4C"/>
    <w:rsid w:val="007B59E8"/>
    <w:rsid w:val="007B78B4"/>
    <w:rsid w:val="007C028B"/>
    <w:rsid w:val="007C1D92"/>
    <w:rsid w:val="007C4CB9"/>
    <w:rsid w:val="007C76BA"/>
    <w:rsid w:val="007D0B9D"/>
    <w:rsid w:val="007D19B0"/>
    <w:rsid w:val="007D299D"/>
    <w:rsid w:val="007E57B5"/>
    <w:rsid w:val="007F498F"/>
    <w:rsid w:val="00800BF6"/>
    <w:rsid w:val="0080591C"/>
    <w:rsid w:val="0080679D"/>
    <w:rsid w:val="008108B0"/>
    <w:rsid w:val="00811B20"/>
    <w:rsid w:val="00812609"/>
    <w:rsid w:val="008211B5"/>
    <w:rsid w:val="0082296E"/>
    <w:rsid w:val="00822A0B"/>
    <w:rsid w:val="00824099"/>
    <w:rsid w:val="00846D7C"/>
    <w:rsid w:val="00867AC1"/>
    <w:rsid w:val="00890DF8"/>
    <w:rsid w:val="0089121F"/>
    <w:rsid w:val="008A55F6"/>
    <w:rsid w:val="008A6CB5"/>
    <w:rsid w:val="008A743F"/>
    <w:rsid w:val="008A7B22"/>
    <w:rsid w:val="008C0970"/>
    <w:rsid w:val="008D067F"/>
    <w:rsid w:val="008D0BC5"/>
    <w:rsid w:val="008D2430"/>
    <w:rsid w:val="008D2CF7"/>
    <w:rsid w:val="008E6B2B"/>
    <w:rsid w:val="00900C26"/>
    <w:rsid w:val="0090197F"/>
    <w:rsid w:val="00903264"/>
    <w:rsid w:val="00906DDC"/>
    <w:rsid w:val="00931508"/>
    <w:rsid w:val="00934E09"/>
    <w:rsid w:val="00936253"/>
    <w:rsid w:val="00940D46"/>
    <w:rsid w:val="00943DB3"/>
    <w:rsid w:val="00952DD4"/>
    <w:rsid w:val="00965AE7"/>
    <w:rsid w:val="00970FED"/>
    <w:rsid w:val="009713BB"/>
    <w:rsid w:val="00971975"/>
    <w:rsid w:val="00973659"/>
    <w:rsid w:val="00992D82"/>
    <w:rsid w:val="00997029"/>
    <w:rsid w:val="009A7339"/>
    <w:rsid w:val="009B440E"/>
    <w:rsid w:val="009D1F38"/>
    <w:rsid w:val="009D690D"/>
    <w:rsid w:val="009E65B6"/>
    <w:rsid w:val="009F77CF"/>
    <w:rsid w:val="00A1512B"/>
    <w:rsid w:val="00A15F46"/>
    <w:rsid w:val="00A24C10"/>
    <w:rsid w:val="00A30861"/>
    <w:rsid w:val="00A33B9D"/>
    <w:rsid w:val="00A42AC3"/>
    <w:rsid w:val="00A430CF"/>
    <w:rsid w:val="00A54309"/>
    <w:rsid w:val="00A710E1"/>
    <w:rsid w:val="00A80F2A"/>
    <w:rsid w:val="00A925C7"/>
    <w:rsid w:val="00AB2A1A"/>
    <w:rsid w:val="00AB2B93"/>
    <w:rsid w:val="00AB530F"/>
    <w:rsid w:val="00AB7E5B"/>
    <w:rsid w:val="00AC2883"/>
    <w:rsid w:val="00AD2677"/>
    <w:rsid w:val="00AD316B"/>
    <w:rsid w:val="00AD6D1D"/>
    <w:rsid w:val="00AE08C2"/>
    <w:rsid w:val="00AE0EF1"/>
    <w:rsid w:val="00AE2937"/>
    <w:rsid w:val="00AE7AFE"/>
    <w:rsid w:val="00B07301"/>
    <w:rsid w:val="00B11F3E"/>
    <w:rsid w:val="00B224DE"/>
    <w:rsid w:val="00B324D4"/>
    <w:rsid w:val="00B46575"/>
    <w:rsid w:val="00B51CCE"/>
    <w:rsid w:val="00B61777"/>
    <w:rsid w:val="00B622E6"/>
    <w:rsid w:val="00B746A5"/>
    <w:rsid w:val="00B84BBD"/>
    <w:rsid w:val="00B852C1"/>
    <w:rsid w:val="00B973F4"/>
    <w:rsid w:val="00BA43FB"/>
    <w:rsid w:val="00BC127D"/>
    <w:rsid w:val="00BC1FE6"/>
    <w:rsid w:val="00BF010E"/>
    <w:rsid w:val="00C061B6"/>
    <w:rsid w:val="00C2446C"/>
    <w:rsid w:val="00C36AE5"/>
    <w:rsid w:val="00C41F17"/>
    <w:rsid w:val="00C527FA"/>
    <w:rsid w:val="00C5280D"/>
    <w:rsid w:val="00C53EB3"/>
    <w:rsid w:val="00C5791C"/>
    <w:rsid w:val="00C66290"/>
    <w:rsid w:val="00C72B7A"/>
    <w:rsid w:val="00C973F2"/>
    <w:rsid w:val="00CA304C"/>
    <w:rsid w:val="00CA61EA"/>
    <w:rsid w:val="00CA774A"/>
    <w:rsid w:val="00CB2272"/>
    <w:rsid w:val="00CC11B0"/>
    <w:rsid w:val="00CC1990"/>
    <w:rsid w:val="00CC2841"/>
    <w:rsid w:val="00CF1330"/>
    <w:rsid w:val="00CF1E57"/>
    <w:rsid w:val="00CF7DE5"/>
    <w:rsid w:val="00CF7E36"/>
    <w:rsid w:val="00D100ED"/>
    <w:rsid w:val="00D17F2C"/>
    <w:rsid w:val="00D323F5"/>
    <w:rsid w:val="00D3708D"/>
    <w:rsid w:val="00D370FB"/>
    <w:rsid w:val="00D40426"/>
    <w:rsid w:val="00D560FA"/>
    <w:rsid w:val="00D57C96"/>
    <w:rsid w:val="00D57D18"/>
    <w:rsid w:val="00D76A2D"/>
    <w:rsid w:val="00D91203"/>
    <w:rsid w:val="00D95174"/>
    <w:rsid w:val="00DA4973"/>
    <w:rsid w:val="00DA6F36"/>
    <w:rsid w:val="00DB51B4"/>
    <w:rsid w:val="00DB596E"/>
    <w:rsid w:val="00DB7773"/>
    <w:rsid w:val="00DC00EA"/>
    <w:rsid w:val="00DC3802"/>
    <w:rsid w:val="00DC49E8"/>
    <w:rsid w:val="00DE63F8"/>
    <w:rsid w:val="00DF696A"/>
    <w:rsid w:val="00E07D87"/>
    <w:rsid w:val="00E249C8"/>
    <w:rsid w:val="00E32F7E"/>
    <w:rsid w:val="00E5267B"/>
    <w:rsid w:val="00E63C0E"/>
    <w:rsid w:val="00E64D24"/>
    <w:rsid w:val="00E72D49"/>
    <w:rsid w:val="00E7593C"/>
    <w:rsid w:val="00E7678A"/>
    <w:rsid w:val="00E843F0"/>
    <w:rsid w:val="00E85C19"/>
    <w:rsid w:val="00E91880"/>
    <w:rsid w:val="00E935F1"/>
    <w:rsid w:val="00E94A81"/>
    <w:rsid w:val="00EA1FFB"/>
    <w:rsid w:val="00EA2418"/>
    <w:rsid w:val="00EB048E"/>
    <w:rsid w:val="00EB4E9C"/>
    <w:rsid w:val="00EC0E3C"/>
    <w:rsid w:val="00ED4EA4"/>
    <w:rsid w:val="00EE34DF"/>
    <w:rsid w:val="00EF2F89"/>
    <w:rsid w:val="00EF6650"/>
    <w:rsid w:val="00EF749C"/>
    <w:rsid w:val="00EF7FB8"/>
    <w:rsid w:val="00F03E98"/>
    <w:rsid w:val="00F1237A"/>
    <w:rsid w:val="00F22CBD"/>
    <w:rsid w:val="00F23D40"/>
    <w:rsid w:val="00F272F1"/>
    <w:rsid w:val="00F31412"/>
    <w:rsid w:val="00F346D7"/>
    <w:rsid w:val="00F45372"/>
    <w:rsid w:val="00F560F7"/>
    <w:rsid w:val="00F6334D"/>
    <w:rsid w:val="00F63599"/>
    <w:rsid w:val="00F820C6"/>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EF6650"/>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822A0B"/>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B51B4"/>
    <w:pPr>
      <w:tabs>
        <w:tab w:val="right" w:leader="dot" w:pos="9639"/>
      </w:tabs>
      <w:spacing w:after="120"/>
      <w:ind w:left="425" w:right="567"/>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33B9D"/>
    <w:pPr>
      <w:tabs>
        <w:tab w:val="right" w:leader="dot" w:pos="9639"/>
      </w:tabs>
      <w:spacing w:after="120"/>
      <w:ind w:right="284"/>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CA61EA"/>
    <w:rPr>
      <w:rFonts w:ascii="Arial" w:hAnsi="Arial"/>
      <w:i/>
    </w:rPr>
  </w:style>
  <w:style w:type="character" w:customStyle="1" w:styleId="FootnoteTextChar">
    <w:name w:val="Footnote Text Char"/>
    <w:basedOn w:val="DefaultParagraphFont"/>
    <w:link w:val="FootnoteText"/>
    <w:rsid w:val="00822A0B"/>
    <w:rPr>
      <w:rFonts w:ascii="Arial" w:hAnsi="Arial"/>
      <w:sz w:val="16"/>
    </w:rPr>
  </w:style>
  <w:style w:type="character" w:customStyle="1" w:styleId="Heading1Char">
    <w:name w:val="Heading 1 Char"/>
    <w:basedOn w:val="DefaultParagraphFont"/>
    <w:link w:val="Heading1"/>
    <w:rsid w:val="00CA61EA"/>
    <w:rPr>
      <w:rFonts w:ascii="Arial" w:hAnsi="Arial"/>
      <w:caps/>
    </w:rPr>
  </w:style>
  <w:style w:type="paragraph" w:styleId="ListParagraph">
    <w:name w:val="List Paragraph"/>
    <w:basedOn w:val="Normal"/>
    <w:uiPriority w:val="34"/>
    <w:qFormat/>
    <w:rsid w:val="002E603E"/>
    <w:pPr>
      <w:ind w:left="720"/>
      <w:contextualSpacing/>
    </w:pPr>
  </w:style>
  <w:style w:type="character" w:customStyle="1" w:styleId="HeaderChar">
    <w:name w:val="Header Char"/>
    <w:basedOn w:val="DefaultParagraphFont"/>
    <w:link w:val="Header"/>
    <w:uiPriority w:val="99"/>
    <w:rsid w:val="004D0FC7"/>
    <w:rPr>
      <w:rFonts w:ascii="Arial" w:hAnsi="Arial"/>
      <w:lang w:val="fr-FR"/>
    </w:rPr>
  </w:style>
  <w:style w:type="character" w:styleId="FollowedHyperlink">
    <w:name w:val="FollowedHyperlink"/>
    <w:basedOn w:val="DefaultParagraphFont"/>
    <w:semiHidden/>
    <w:unhideWhenUsed/>
    <w:rsid w:val="00777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expndocs/fr/upov_exn_ed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fr/details.jsp?meeting_id=50787"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meetings/fr/details.jsp?meeting_id=2978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35FB1-DC64-4873-A0B6-F2B49C76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2412</Words>
  <Characters>14890</Characters>
  <Application>Microsoft Office Word</Application>
  <DocSecurity>0</DocSecurity>
  <Lines>451</Lines>
  <Paragraphs>180</Paragraphs>
  <ScaleCrop>false</ScaleCrop>
  <HeadingPairs>
    <vt:vector size="2" baseType="variant">
      <vt:variant>
        <vt:lpstr>Title</vt:lpstr>
      </vt:variant>
      <vt:variant>
        <vt:i4>1</vt:i4>
      </vt:variant>
    </vt:vector>
  </HeadingPairs>
  <TitlesOfParts>
    <vt:vector size="1" baseType="lpstr">
      <vt:lpstr>CAJ/76/3</vt:lpstr>
    </vt:vector>
  </TitlesOfParts>
  <Company>UPOV</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CAJ/76/3</dc:title>
  <dc:creator>SANCHEZ VIZCAINO GOMEZ Rosa Maria</dc:creator>
  <cp:lastModifiedBy>SANCHEZ VIZCAINO GOMEZ Rosa Maria</cp:lastModifiedBy>
  <cp:revision>63</cp:revision>
  <cp:lastPrinted>2019-07-29T13:12:00Z</cp:lastPrinted>
  <dcterms:created xsi:type="dcterms:W3CDTF">2019-07-26T13:56:00Z</dcterms:created>
  <dcterms:modified xsi:type="dcterms:W3CDTF">2019-08-02T16:08:00Z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1d34bb3c-8673-4b50-9095-17dc1550e04f</vt:lpwstr>
  </property>
</Properties>
</file>