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351627" w:rsidRPr="00815738" w:rsidTr="00FD2379">
        <w:tc>
          <w:tcPr>
            <w:tcW w:w="6522" w:type="dxa"/>
          </w:tcPr>
          <w:p w:rsidR="00351627" w:rsidRPr="00AC2883" w:rsidRDefault="00351627" w:rsidP="00FD2379">
            <w:r w:rsidRPr="00D250C5">
              <w:rPr>
                <w:noProof/>
                <w:lang w:val="en-US"/>
              </w:rPr>
              <w:drawing>
                <wp:inline distT="0" distB="0" distL="0" distR="0" wp14:anchorId="1FE74EB3" wp14:editId="07C2E6ED">
                  <wp:extent cx="952031" cy="244054"/>
                  <wp:effectExtent l="0" t="0" r="63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351627" w:rsidRPr="007C1D92" w:rsidRDefault="00351627" w:rsidP="00FD2379">
            <w:pPr>
              <w:pStyle w:val="Lettrine"/>
            </w:pPr>
            <w:r>
              <w:t>F</w:t>
            </w:r>
          </w:p>
        </w:tc>
      </w:tr>
      <w:tr w:rsidR="00351627" w:rsidRPr="00DA4973" w:rsidTr="00FD2379">
        <w:trPr>
          <w:trHeight w:val="219"/>
        </w:trPr>
        <w:tc>
          <w:tcPr>
            <w:tcW w:w="6522" w:type="dxa"/>
          </w:tcPr>
          <w:p w:rsidR="00351627" w:rsidRPr="00AC2883" w:rsidRDefault="00351627" w:rsidP="00FD2379">
            <w:pPr>
              <w:pStyle w:val="upove"/>
            </w:pPr>
            <w:r w:rsidRPr="00AC2883">
              <w:t xml:space="preserve">Union </w:t>
            </w:r>
            <w:r>
              <w:t>i</w:t>
            </w:r>
            <w:r w:rsidRPr="00AC2883">
              <w:t>nternational</w:t>
            </w:r>
            <w:r>
              <w:t>e</w:t>
            </w:r>
            <w:r w:rsidRPr="00AC2883">
              <w:t xml:space="preserve"> </w:t>
            </w:r>
            <w:r>
              <w:t>pour la protection des obtentions végétales</w:t>
            </w:r>
          </w:p>
        </w:tc>
        <w:tc>
          <w:tcPr>
            <w:tcW w:w="3117" w:type="dxa"/>
          </w:tcPr>
          <w:p w:rsidR="00351627" w:rsidRPr="00DA4973" w:rsidRDefault="00351627" w:rsidP="00FD2379"/>
        </w:tc>
      </w:tr>
    </w:tbl>
    <w:p w:rsidR="00351627" w:rsidRDefault="00351627" w:rsidP="00351627"/>
    <w:p w:rsidR="00351627" w:rsidRPr="00365DC1" w:rsidRDefault="00351627" w:rsidP="0035162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51627" w:rsidRPr="00C5280D" w:rsidTr="00FD2379">
        <w:tc>
          <w:tcPr>
            <w:tcW w:w="6512" w:type="dxa"/>
          </w:tcPr>
          <w:p w:rsidR="00351627" w:rsidRPr="00DC3802" w:rsidRDefault="00351627" w:rsidP="00FD2379">
            <w:pPr>
              <w:pStyle w:val="Sessiontcplacedate"/>
              <w:rPr>
                <w:sz w:val="22"/>
              </w:rPr>
            </w:pPr>
          </w:p>
        </w:tc>
        <w:tc>
          <w:tcPr>
            <w:tcW w:w="3127" w:type="dxa"/>
          </w:tcPr>
          <w:p w:rsidR="00351627" w:rsidRPr="00B764A0" w:rsidRDefault="00EE63CB" w:rsidP="00FD2379">
            <w:pPr>
              <w:pStyle w:val="Doccode"/>
              <w:rPr>
                <w:lang w:val="fr-CH"/>
              </w:rPr>
            </w:pPr>
            <w:r w:rsidRPr="00BB7847">
              <w:rPr>
                <w:lang w:val="fr-CH"/>
              </w:rPr>
              <w:t>TGP/</w:t>
            </w:r>
            <w:r w:rsidR="00E8475B" w:rsidRPr="00BB7847">
              <w:rPr>
                <w:lang w:val="fr-CH"/>
              </w:rPr>
              <w:t xml:space="preserve">5: </w:t>
            </w:r>
            <w:r w:rsidR="00E8475B" w:rsidRPr="00B764A0">
              <w:rPr>
                <w:lang w:val="fr-CH"/>
              </w:rPr>
              <w:t>Section 1/3</w:t>
            </w:r>
            <w:r w:rsidR="00351627" w:rsidRPr="00B764A0">
              <w:rPr>
                <w:lang w:val="fr-CH"/>
              </w:rPr>
              <w:t xml:space="preserve"> </w:t>
            </w:r>
            <w:proofErr w:type="spellStart"/>
            <w:r w:rsidR="00351627" w:rsidRPr="00B764A0">
              <w:rPr>
                <w:lang w:val="fr-CH"/>
              </w:rPr>
              <w:t>Draft</w:t>
            </w:r>
            <w:proofErr w:type="spellEnd"/>
            <w:r w:rsidR="00351627" w:rsidRPr="00B764A0">
              <w:rPr>
                <w:lang w:val="fr-CH"/>
              </w:rPr>
              <w:t xml:space="preserve"> </w:t>
            </w:r>
            <w:r w:rsidR="00534088" w:rsidRPr="00B764A0">
              <w:rPr>
                <w:lang w:val="fr-CH"/>
              </w:rPr>
              <w:t>2</w:t>
            </w:r>
          </w:p>
          <w:p w:rsidR="00351627" w:rsidRPr="00B764A0" w:rsidRDefault="00351627" w:rsidP="00FD2379">
            <w:pPr>
              <w:pStyle w:val="Docoriginal"/>
            </w:pPr>
            <w:r w:rsidRPr="00B764A0">
              <w:t>Original</w:t>
            </w:r>
            <w:proofErr w:type="gramStart"/>
            <w:r w:rsidRPr="00B764A0">
              <w:t>:</w:t>
            </w:r>
            <w:r w:rsidRPr="00B764A0">
              <w:rPr>
                <w:b w:val="0"/>
                <w:spacing w:val="0"/>
              </w:rPr>
              <w:t xml:space="preserve">  anglais</w:t>
            </w:r>
            <w:proofErr w:type="gramEnd"/>
          </w:p>
          <w:p w:rsidR="00351627" w:rsidRPr="007C1D92" w:rsidRDefault="00351627" w:rsidP="005C6A7E">
            <w:pPr>
              <w:pStyle w:val="Docoriginal"/>
            </w:pPr>
            <w:r w:rsidRPr="00B764A0">
              <w:t>Date</w:t>
            </w:r>
            <w:proofErr w:type="gramStart"/>
            <w:r w:rsidRPr="00B764A0">
              <w:t>:</w:t>
            </w:r>
            <w:r w:rsidR="00B764A0">
              <w:rPr>
                <w:b w:val="0"/>
                <w:spacing w:val="0"/>
              </w:rPr>
              <w:t xml:space="preserve"> </w:t>
            </w:r>
            <w:r w:rsidRPr="00B764A0">
              <w:rPr>
                <w:b w:val="0"/>
                <w:spacing w:val="0"/>
              </w:rPr>
              <w:t xml:space="preserve"> </w:t>
            </w:r>
            <w:r w:rsidR="005C6A7E">
              <w:rPr>
                <w:b w:val="0"/>
                <w:spacing w:val="0"/>
              </w:rPr>
              <w:t>16</w:t>
            </w:r>
            <w:proofErr w:type="gramEnd"/>
            <w:r w:rsidR="005C6A7E">
              <w:rPr>
                <w:b w:val="0"/>
                <w:spacing w:val="0"/>
              </w:rPr>
              <w:t xml:space="preserve"> août</w:t>
            </w:r>
            <w:r w:rsidR="00822076" w:rsidRPr="00B764A0">
              <w:rPr>
                <w:b w:val="0"/>
                <w:spacing w:val="0"/>
              </w:rPr>
              <w:t xml:space="preserve"> </w:t>
            </w:r>
            <w:r w:rsidRPr="00B764A0">
              <w:rPr>
                <w:b w:val="0"/>
                <w:spacing w:val="0"/>
              </w:rPr>
              <w:t>2018</w:t>
            </w:r>
          </w:p>
        </w:tc>
      </w:tr>
    </w:tbl>
    <w:p w:rsidR="00351627" w:rsidRDefault="00351627" w:rsidP="00351627">
      <w:bookmarkStart w:id="0" w:name="TitleOfDoc"/>
      <w:bookmarkStart w:id="1" w:name="Prepared"/>
      <w:bookmarkEnd w:id="0"/>
      <w:bookmarkEnd w:id="1"/>
    </w:p>
    <w:p w:rsidR="00351627" w:rsidRDefault="00351627" w:rsidP="00351627"/>
    <w:p w:rsidR="00351627" w:rsidRDefault="00351627" w:rsidP="00351627"/>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49"/>
      </w:tblGrid>
      <w:tr w:rsidR="00351627" w:rsidRPr="00C5280D" w:rsidTr="00351627">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1627" w:rsidRDefault="00351627" w:rsidP="00FD2379">
            <w:pPr>
              <w:jc w:val="center"/>
              <w:rPr>
                <w:b/>
              </w:rPr>
            </w:pPr>
            <w:r>
              <w:rPr>
                <w:b/>
              </w:rPr>
              <w:t>PROJET</w:t>
            </w:r>
          </w:p>
          <w:p w:rsidR="00351627" w:rsidRPr="007C1D92" w:rsidRDefault="00351627" w:rsidP="00FD2379">
            <w:pPr>
              <w:jc w:val="center"/>
            </w:pPr>
            <w:r>
              <w:rPr>
                <w:b/>
              </w:rPr>
              <w:t>(RÉVISION)</w:t>
            </w:r>
          </w:p>
        </w:tc>
      </w:tr>
    </w:tbl>
    <w:p w:rsidR="004F6CA1" w:rsidRDefault="004F6CA1" w:rsidP="004F6CA1">
      <w:pPr>
        <w:pStyle w:val="TitleofDoc"/>
      </w:pPr>
    </w:p>
    <w:p w:rsidR="004F6CA1" w:rsidRDefault="004F6CA1" w:rsidP="004F6CA1">
      <w:pPr>
        <w:pStyle w:val="TitleofDoc"/>
      </w:pPr>
    </w:p>
    <w:p w:rsidR="004F6CA1" w:rsidRDefault="004F6CA1" w:rsidP="004F6CA1">
      <w:pPr>
        <w:pStyle w:val="TitleofDoc"/>
      </w:pPr>
    </w:p>
    <w:p w:rsidR="004F6CA1" w:rsidRDefault="004F6CA1" w:rsidP="004F6CA1">
      <w:pPr>
        <w:pStyle w:val="TitleofDoc"/>
      </w:pPr>
      <w:r>
        <w:t xml:space="preserve">Document connexe à </w:t>
      </w:r>
      <w:r>
        <w:br/>
        <w:t xml:space="preserve">l’introduction générale à l’examen de la distinction, de l’homogénéité et de la stabilité </w:t>
      </w:r>
    </w:p>
    <w:p w:rsidR="004F6CA1" w:rsidRDefault="004F6CA1" w:rsidP="004F6CA1">
      <w:pPr>
        <w:pStyle w:val="TitleofDoc"/>
      </w:pPr>
      <w:proofErr w:type="gramStart"/>
      <w:r>
        <w:t>et</w:t>
      </w:r>
      <w:proofErr w:type="gramEnd"/>
      <w:r>
        <w:t xml:space="preserve"> à l’harmonisation des descriptions des obtentions végétales (document TG/1/3)</w:t>
      </w:r>
    </w:p>
    <w:p w:rsidR="00E8475B" w:rsidRPr="006A644A" w:rsidRDefault="00E8475B" w:rsidP="00E8475B">
      <w:pPr>
        <w:pStyle w:val="Titleofdoc0"/>
      </w:pPr>
      <w:r>
        <w:t>DOCUMENT TGP/5</w:t>
      </w:r>
      <w:r w:rsidR="00351627">
        <w:br/>
      </w:r>
      <w:r w:rsidR="00351627">
        <w:br/>
      </w:r>
      <w:r w:rsidRPr="00E8475B">
        <w:t>“EXPÉRIENCE ET COOPÉRATION EN MATIÈRE D'EXAMEN DHS”</w:t>
      </w:r>
      <w:r>
        <w:br/>
      </w:r>
      <w:r>
        <w:br/>
      </w:r>
      <w:r>
        <w:br/>
        <w:t xml:space="preserve">Section 1 </w:t>
      </w:r>
      <w:proofErr w:type="gramStart"/>
      <w:r>
        <w:t>:</w:t>
      </w:r>
      <w:proofErr w:type="gramEnd"/>
      <w:r>
        <w:br/>
      </w:r>
      <w:r>
        <w:br/>
        <w:t>Accord administratif type pour la coopération internationale en matière d’examen des variétés</w:t>
      </w:r>
      <w:r>
        <w:br/>
      </w:r>
    </w:p>
    <w:p w:rsidR="00351627" w:rsidRDefault="00351627" w:rsidP="00351627">
      <w:pPr>
        <w:pStyle w:val="preparedby1"/>
        <w:jc w:val="left"/>
      </w:pPr>
      <w:r w:rsidRPr="000C4E25">
        <w:t xml:space="preserve">Document </w:t>
      </w:r>
      <w:r>
        <w:t>établi par le Bureau de l’Union</w:t>
      </w:r>
    </w:p>
    <w:p w:rsidR="00351627" w:rsidRPr="00B764A0" w:rsidRDefault="00351627" w:rsidP="00351627">
      <w:pPr>
        <w:pStyle w:val="preparedby1"/>
        <w:jc w:val="left"/>
      </w:pPr>
      <w:proofErr w:type="gramStart"/>
      <w:r w:rsidRPr="00B764A0">
        <w:t>aux</w:t>
      </w:r>
      <w:proofErr w:type="gramEnd"/>
      <w:r w:rsidRPr="00B764A0">
        <w:t xml:space="preserve"> fins d’examen par </w:t>
      </w:r>
    </w:p>
    <w:p w:rsidR="000A48E5" w:rsidRPr="00B764A0" w:rsidRDefault="00FB7061" w:rsidP="000A48E5">
      <w:pPr>
        <w:pStyle w:val="preparedby1"/>
        <w:jc w:val="left"/>
        <w:rPr>
          <w:lang w:val="fr-CH"/>
        </w:rPr>
      </w:pPr>
      <w:proofErr w:type="gramStart"/>
      <w:r w:rsidRPr="00B764A0">
        <w:rPr>
          <w:lang w:val="fr-CH"/>
        </w:rPr>
        <w:t>le</w:t>
      </w:r>
      <w:proofErr w:type="gramEnd"/>
      <w:r w:rsidRPr="00B764A0">
        <w:rPr>
          <w:lang w:val="fr-CH"/>
        </w:rPr>
        <w:t xml:space="preserve"> </w:t>
      </w:r>
      <w:r w:rsidR="000A48E5" w:rsidRPr="00B764A0">
        <w:rPr>
          <w:lang w:val="fr-CH"/>
        </w:rPr>
        <w:t>Comité technique à sa cinquante-quatrième session</w:t>
      </w:r>
      <w:r w:rsidR="000A48E5" w:rsidRPr="00B764A0">
        <w:rPr>
          <w:lang w:val="fr-CH"/>
        </w:rPr>
        <w:br/>
        <w:t>qui se tiendra à Genève les 29 et 30 octobre 2018</w:t>
      </w:r>
      <w:r w:rsidR="005C6A7E">
        <w:rPr>
          <w:lang w:val="fr-CH"/>
        </w:rPr>
        <w:t>,</w:t>
      </w:r>
    </w:p>
    <w:p w:rsidR="00534088" w:rsidRPr="00B764A0" w:rsidRDefault="00534088" w:rsidP="000A48E5">
      <w:pPr>
        <w:pStyle w:val="preparedby1"/>
        <w:jc w:val="left"/>
        <w:rPr>
          <w:lang w:val="fr-CH"/>
        </w:rPr>
      </w:pPr>
      <w:proofErr w:type="gramStart"/>
      <w:r w:rsidRPr="00B764A0">
        <w:rPr>
          <w:lang w:val="fr-CH"/>
        </w:rPr>
        <w:t>le</w:t>
      </w:r>
      <w:proofErr w:type="gramEnd"/>
      <w:r w:rsidRPr="00B764A0">
        <w:rPr>
          <w:lang w:val="fr-CH"/>
        </w:rPr>
        <w:t xml:space="preserve"> Comité administratif et juridique à sa soixante-</w:t>
      </w:r>
      <w:r w:rsidR="005A7EF7" w:rsidRPr="00B764A0">
        <w:rPr>
          <w:lang w:val="fr-CH"/>
        </w:rPr>
        <w:t>quinzième</w:t>
      </w:r>
      <w:r w:rsidRPr="00B764A0">
        <w:rPr>
          <w:lang w:val="fr-CH"/>
        </w:rPr>
        <w:t xml:space="preserve"> session</w:t>
      </w:r>
      <w:bookmarkStart w:id="2" w:name="_GoBack"/>
      <w:bookmarkEnd w:id="2"/>
      <w:r w:rsidRPr="00B764A0">
        <w:rPr>
          <w:lang w:val="fr-CH"/>
        </w:rPr>
        <w:br/>
        <w:t xml:space="preserve">qui se tiendra à Genève le </w:t>
      </w:r>
      <w:r w:rsidR="005A7EF7" w:rsidRPr="00B764A0">
        <w:rPr>
          <w:lang w:val="fr-CH"/>
        </w:rPr>
        <w:t>31</w:t>
      </w:r>
      <w:r w:rsidRPr="00B764A0">
        <w:rPr>
          <w:lang w:val="fr-CH"/>
        </w:rPr>
        <w:t xml:space="preserve"> octobre 201</w:t>
      </w:r>
      <w:r w:rsidR="005A7EF7" w:rsidRPr="00B764A0">
        <w:rPr>
          <w:lang w:val="fr-CH"/>
        </w:rPr>
        <w:t>8</w:t>
      </w:r>
    </w:p>
    <w:p w:rsidR="00534088" w:rsidRDefault="00534088" w:rsidP="00534088">
      <w:pPr>
        <w:pStyle w:val="preparedby1"/>
        <w:jc w:val="left"/>
        <w:rPr>
          <w:lang w:val="fr-CH"/>
        </w:rPr>
      </w:pPr>
      <w:proofErr w:type="gramStart"/>
      <w:r w:rsidRPr="00B764A0">
        <w:rPr>
          <w:lang w:val="fr-CH"/>
        </w:rPr>
        <w:t>et</w:t>
      </w:r>
      <w:proofErr w:type="gramEnd"/>
      <w:r w:rsidRPr="00B764A0">
        <w:rPr>
          <w:lang w:val="fr-CH"/>
        </w:rPr>
        <w:t xml:space="preserve"> le Conseil à sa cinquante</w:t>
      </w:r>
      <w:r w:rsidR="005A7EF7" w:rsidRPr="00B764A0">
        <w:t>-deuxième</w:t>
      </w:r>
      <w:r w:rsidRPr="00B764A0">
        <w:rPr>
          <w:lang w:val="fr-CH"/>
        </w:rPr>
        <w:t xml:space="preserve"> session ordinaire</w:t>
      </w:r>
      <w:r w:rsidRPr="00B764A0">
        <w:rPr>
          <w:lang w:val="fr-CH"/>
        </w:rPr>
        <w:br/>
        <w:t xml:space="preserve">qui se tiendra à Genève le 2 </w:t>
      </w:r>
      <w:r w:rsidR="005A7EF7" w:rsidRPr="00B764A0">
        <w:rPr>
          <w:lang w:val="fr-CH"/>
        </w:rPr>
        <w:t>novembre</w:t>
      </w:r>
      <w:r w:rsidRPr="00B764A0">
        <w:rPr>
          <w:lang w:val="fr-CH"/>
        </w:rPr>
        <w:t xml:space="preserve"> 201</w:t>
      </w:r>
      <w:r w:rsidR="005A7EF7" w:rsidRPr="00B764A0">
        <w:rPr>
          <w:lang w:val="fr-CH"/>
        </w:rPr>
        <w:t>8</w:t>
      </w:r>
    </w:p>
    <w:p w:rsidR="00351627" w:rsidRPr="000A48E5" w:rsidRDefault="00351627" w:rsidP="00534088">
      <w:pPr>
        <w:pStyle w:val="Disclaimer"/>
        <w:spacing w:after="1200"/>
        <w:rPr>
          <w:lang w:val="fr-CH"/>
        </w:rPr>
      </w:pPr>
      <w:r w:rsidRPr="000A48E5">
        <w:rPr>
          <w:lang w:val="fr-CH"/>
        </w:rPr>
        <w:t>Avertissement : le présent document ne représente pas les principes ou les orientations de l’UPOV</w:t>
      </w:r>
    </w:p>
    <w:p w:rsidR="00351627" w:rsidRPr="004B1215" w:rsidRDefault="00351627" w:rsidP="00351627"/>
    <w:p w:rsidR="00C87D01" w:rsidRPr="00242238" w:rsidRDefault="007D7C07" w:rsidP="00C87D01">
      <w:pPr>
        <w:jc w:val="center"/>
        <w:rPr>
          <w:lang w:val="fr-CH"/>
        </w:rPr>
      </w:pPr>
      <w:r w:rsidRPr="00A16BB4">
        <w:rPr>
          <w:rFonts w:cs="Arial"/>
        </w:rPr>
        <w:br w:type="page"/>
      </w:r>
      <w:r w:rsidR="00C87D01" w:rsidRPr="00242238">
        <w:rPr>
          <w:lang w:val="fr-CH"/>
        </w:rPr>
        <w:lastRenderedPageBreak/>
        <w:t>ACCORD ADMINISTRATIF TYPE POUR LA COOPÉRATION INTERNATIONALE</w:t>
      </w:r>
      <w:r w:rsidR="00C87D01" w:rsidRPr="00242238">
        <w:rPr>
          <w:lang w:val="fr-CH"/>
        </w:rPr>
        <w:br/>
        <w:t>EN MATIÈRE D’EXAMEN DES VARIÉTÉS</w:t>
      </w:r>
    </w:p>
    <w:p w:rsidR="00C87D01" w:rsidRDefault="00C87D01" w:rsidP="00C87D01">
      <w:pPr>
        <w:rPr>
          <w:lang w:val="fr-CH"/>
        </w:rPr>
      </w:pPr>
    </w:p>
    <w:p w:rsidR="00C87D01" w:rsidRDefault="00C87D01" w:rsidP="00C87D01">
      <w:pPr>
        <w:rPr>
          <w:lang w:val="fr-CH"/>
        </w:rPr>
      </w:pPr>
    </w:p>
    <w:p w:rsidR="00C87D01" w:rsidRPr="00242238" w:rsidRDefault="00C87D01" w:rsidP="00C87D01">
      <w:pPr>
        <w:ind w:left="567" w:hanging="567"/>
        <w:rPr>
          <w:lang w:val="fr-CH"/>
        </w:rPr>
      </w:pPr>
      <w:r w:rsidRPr="00242238">
        <w:rPr>
          <w:lang w:val="fr-CH"/>
        </w:rPr>
        <w:t>-</w:t>
      </w:r>
      <w:r w:rsidRPr="00242238">
        <w:rPr>
          <w:lang w:val="fr-CH"/>
        </w:rPr>
        <w:tab/>
        <w:t>CONSCIENTES de l’importance que revêt la coopération entre les membres de l’Union internationale pour la protection des obtentions végétales (UPOV) dans le domaine de l’examen de la distinction, de l’homogénéité et de la stabilité (</w:t>
      </w:r>
      <w:r w:rsidRPr="00BE3088">
        <w:rPr>
          <w:lang w:val="fr-CH"/>
        </w:rPr>
        <w:t>DHS</w:t>
      </w:r>
      <w:r w:rsidRPr="00242238">
        <w:rPr>
          <w:lang w:val="fr-CH"/>
        </w:rPr>
        <w:t>) des variétés faisant l’objet de demandes de droits d’obtenteur, en tant que moyen d’optimiser la gestion de leur système de protection des obtentions végétales,</w:t>
      </w:r>
    </w:p>
    <w:p w:rsidR="00C87D01" w:rsidRDefault="00C87D01" w:rsidP="00C87D01">
      <w:pPr>
        <w:ind w:left="567" w:hanging="567"/>
        <w:rPr>
          <w:lang w:val="fr-CH"/>
        </w:rPr>
      </w:pPr>
    </w:p>
    <w:p w:rsidR="00C87D01" w:rsidRPr="00242238" w:rsidRDefault="00C87D01" w:rsidP="00C87D01">
      <w:pPr>
        <w:ind w:left="567" w:hanging="567"/>
        <w:rPr>
          <w:lang w:val="fr-CH"/>
        </w:rPr>
      </w:pPr>
      <w:r w:rsidRPr="00242238">
        <w:rPr>
          <w:lang w:val="fr-CH"/>
        </w:rPr>
        <w:t>-</w:t>
      </w:r>
      <w:r w:rsidRPr="00242238">
        <w:rPr>
          <w:lang w:val="fr-CH"/>
        </w:rPr>
        <w:tab/>
        <w:t>CONSIDÉRANT que le présent Accord doit être conçu de telle manière qu’il puisse aussi servir de base pour une coopération dans des domaines voisins de la protection des obtentions végétales, notamment dans la gestion des catalogues des variétés admises à la commercialisation,</w:t>
      </w:r>
    </w:p>
    <w:p w:rsidR="00C87D01" w:rsidRDefault="00C87D01" w:rsidP="00C87D01">
      <w:pPr>
        <w:ind w:left="567" w:hanging="567"/>
        <w:rPr>
          <w:lang w:val="fr-CH"/>
        </w:rPr>
      </w:pPr>
    </w:p>
    <w:p w:rsidR="00C87D01" w:rsidRPr="00242238" w:rsidRDefault="00C87D01" w:rsidP="00C87D01">
      <w:pPr>
        <w:ind w:left="567" w:hanging="567"/>
        <w:rPr>
          <w:lang w:val="fr-CH"/>
        </w:rPr>
      </w:pPr>
      <w:r w:rsidRPr="00242238">
        <w:rPr>
          <w:lang w:val="fr-CH"/>
        </w:rPr>
        <w:t>-</w:t>
      </w:r>
      <w:r w:rsidRPr="00242238">
        <w:rPr>
          <w:lang w:val="fr-CH"/>
        </w:rPr>
        <w:tab/>
        <w:t xml:space="preserve">CONSIDÉRANT que les parties sont également désireuses de conclure des accords comparables avec d’autres membres de l’Union, et qu’il est de ce fait nécessaire de fonder </w:t>
      </w:r>
      <w:r w:rsidRPr="00BE3088">
        <w:rPr>
          <w:lang w:val="fr-CH"/>
        </w:rPr>
        <w:t>ces accords sur le présent Accord</w:t>
      </w:r>
      <w:r w:rsidRPr="00242238">
        <w:rPr>
          <w:lang w:val="fr-CH"/>
        </w:rPr>
        <w:t xml:space="preserve"> administratif type pour la coopération internationale en matière d’examen des variétés </w:t>
      </w:r>
      <w:r w:rsidRPr="00BE3088">
        <w:rPr>
          <w:lang w:val="fr-CH"/>
        </w:rPr>
        <w:t>(Accord administratif type)</w:t>
      </w:r>
      <w:r w:rsidRPr="00242238">
        <w:rPr>
          <w:lang w:val="fr-CH"/>
        </w:rPr>
        <w:t>,</w:t>
      </w:r>
    </w:p>
    <w:p w:rsidR="00C87D01" w:rsidRDefault="00C87D01" w:rsidP="00C87D01">
      <w:pPr>
        <w:ind w:left="567" w:hanging="567"/>
        <w:rPr>
          <w:lang w:val="fr-CH"/>
        </w:rPr>
      </w:pPr>
    </w:p>
    <w:p w:rsidR="00C87D01" w:rsidRPr="00242238" w:rsidRDefault="00C87D01" w:rsidP="00C87D01">
      <w:pPr>
        <w:ind w:left="567" w:hanging="567"/>
        <w:rPr>
          <w:lang w:val="fr-CH"/>
        </w:rPr>
      </w:pPr>
      <w:r w:rsidRPr="00242238">
        <w:rPr>
          <w:lang w:val="fr-CH"/>
        </w:rPr>
        <w:t>-</w:t>
      </w:r>
      <w:r w:rsidRPr="00242238">
        <w:rPr>
          <w:lang w:val="fr-CH"/>
        </w:rPr>
        <w:tab/>
        <w:t>CONSIDÉRANT que tout accord en la matière doit nécessairement être réexaminé, évalué et ajusté périodiquement,</w:t>
      </w:r>
    </w:p>
    <w:p w:rsidR="00C87D01" w:rsidRPr="00242238" w:rsidRDefault="00C87D01" w:rsidP="00C87D01">
      <w:pPr>
        <w:ind w:left="567" w:hanging="567"/>
        <w:rPr>
          <w:lang w:val="fr-CH"/>
        </w:rPr>
      </w:pPr>
    </w:p>
    <w:p w:rsidR="00C87D01" w:rsidRPr="00242238" w:rsidRDefault="00C87D01" w:rsidP="00C87D01">
      <w:pPr>
        <w:rPr>
          <w:lang w:val="fr-CH"/>
        </w:rPr>
      </w:pPr>
    </w:p>
    <w:p w:rsidR="00C87D01" w:rsidRPr="00242238" w:rsidRDefault="00C87D01" w:rsidP="00C87D01">
      <w:pPr>
        <w:ind w:left="600"/>
        <w:rPr>
          <w:lang w:val="fr-CH"/>
        </w:rPr>
      </w:pPr>
      <w:proofErr w:type="gramStart"/>
      <w:r w:rsidRPr="00242238">
        <w:rPr>
          <w:lang w:val="fr-CH"/>
        </w:rPr>
        <w:t>la</w:t>
      </w:r>
      <w:proofErr w:type="gramEnd"/>
      <w:r w:rsidRPr="00242238">
        <w:rPr>
          <w:lang w:val="fr-CH"/>
        </w:rPr>
        <w:t xml:space="preserve"> partie A</w:t>
      </w:r>
    </w:p>
    <w:p w:rsidR="00C87D01" w:rsidRPr="00242238" w:rsidRDefault="00C87D01" w:rsidP="00C87D01">
      <w:pPr>
        <w:ind w:left="600"/>
        <w:rPr>
          <w:lang w:val="fr-CH"/>
        </w:rPr>
      </w:pPr>
    </w:p>
    <w:p w:rsidR="00C87D01" w:rsidRPr="00242238" w:rsidRDefault="00C87D01" w:rsidP="00C87D01">
      <w:pPr>
        <w:ind w:left="600"/>
        <w:rPr>
          <w:lang w:val="fr-CH"/>
        </w:rPr>
      </w:pPr>
      <w:proofErr w:type="gramStart"/>
      <w:r w:rsidRPr="00242238">
        <w:rPr>
          <w:lang w:val="fr-CH"/>
        </w:rPr>
        <w:t>et</w:t>
      </w:r>
      <w:proofErr w:type="gramEnd"/>
    </w:p>
    <w:p w:rsidR="00C87D01" w:rsidRDefault="00C87D01" w:rsidP="00C87D01">
      <w:pPr>
        <w:ind w:left="600"/>
        <w:rPr>
          <w:lang w:val="fr-CH"/>
        </w:rPr>
      </w:pPr>
    </w:p>
    <w:p w:rsidR="00C87D01" w:rsidRPr="00242238" w:rsidRDefault="00C87D01" w:rsidP="00C87D01">
      <w:pPr>
        <w:ind w:left="600"/>
        <w:rPr>
          <w:lang w:val="fr-CH"/>
        </w:rPr>
      </w:pPr>
      <w:proofErr w:type="gramStart"/>
      <w:r w:rsidRPr="00242238">
        <w:rPr>
          <w:lang w:val="fr-CH"/>
        </w:rPr>
        <w:t>la</w:t>
      </w:r>
      <w:proofErr w:type="gramEnd"/>
      <w:r w:rsidRPr="00242238">
        <w:rPr>
          <w:lang w:val="fr-CH"/>
        </w:rPr>
        <w:t xml:space="preserve"> partie B</w:t>
      </w:r>
    </w:p>
    <w:p w:rsidR="00C87D01" w:rsidRDefault="00C87D01" w:rsidP="00C87D01">
      <w:pPr>
        <w:ind w:left="600"/>
        <w:rPr>
          <w:lang w:val="fr-CH"/>
        </w:rPr>
      </w:pPr>
    </w:p>
    <w:p w:rsidR="00C87D01" w:rsidRPr="00242238" w:rsidRDefault="00C87D01" w:rsidP="00C87D01">
      <w:pPr>
        <w:ind w:left="600"/>
        <w:rPr>
          <w:lang w:val="fr-CH"/>
        </w:rPr>
      </w:pPr>
      <w:proofErr w:type="gramStart"/>
      <w:r w:rsidRPr="00242238">
        <w:rPr>
          <w:lang w:val="fr-CH"/>
        </w:rPr>
        <w:t>sont</w:t>
      </w:r>
      <w:proofErr w:type="gramEnd"/>
      <w:r w:rsidRPr="00242238">
        <w:rPr>
          <w:lang w:val="fr-CH"/>
        </w:rPr>
        <w:t xml:space="preserve"> convenues de ce qui suit :</w:t>
      </w:r>
    </w:p>
    <w:p w:rsidR="00C87D01" w:rsidRPr="00242238" w:rsidRDefault="00C87D01" w:rsidP="00C87D01">
      <w:pPr>
        <w:rPr>
          <w:lang w:val="fr-CH"/>
        </w:rPr>
      </w:pPr>
    </w:p>
    <w:p w:rsidR="00C87D01" w:rsidRPr="00242238" w:rsidRDefault="00C87D01" w:rsidP="00C87D01">
      <w:pPr>
        <w:rPr>
          <w:lang w:val="fr-CH"/>
        </w:rPr>
      </w:pPr>
    </w:p>
    <w:p w:rsidR="00C87D01" w:rsidRPr="00242238" w:rsidRDefault="00C87D01" w:rsidP="00C87D01">
      <w:pPr>
        <w:rPr>
          <w:lang w:val="fr-CH"/>
        </w:rPr>
      </w:pPr>
      <w:r>
        <w:rPr>
          <w:rStyle w:val="underline"/>
          <w:lang w:val="fr-CH"/>
        </w:rPr>
        <w:br w:type="page"/>
      </w:r>
      <w:r w:rsidRPr="00242238">
        <w:rPr>
          <w:rStyle w:val="underline"/>
          <w:lang w:val="fr-CH"/>
        </w:rPr>
        <w:lastRenderedPageBreak/>
        <w:t>Article premier</w:t>
      </w:r>
    </w:p>
    <w:p w:rsidR="00C87D01" w:rsidRPr="00242238" w:rsidRDefault="00C87D01" w:rsidP="00C87D01">
      <w:pPr>
        <w:rPr>
          <w:lang w:val="fr-CH"/>
        </w:rPr>
      </w:pPr>
    </w:p>
    <w:p w:rsidR="00C87D01" w:rsidRPr="00242238" w:rsidRDefault="00C87D01" w:rsidP="00C87D01">
      <w:pPr>
        <w:rPr>
          <w:lang w:val="fr-CH"/>
        </w:rPr>
      </w:pPr>
      <w:r w:rsidRPr="00242238">
        <w:rPr>
          <w:lang w:val="fr-CH"/>
        </w:rPr>
        <w:t>1)</w:t>
      </w:r>
      <w:r w:rsidRPr="00242238">
        <w:rPr>
          <w:lang w:val="fr-CH"/>
        </w:rPr>
        <w:tab/>
        <w:t xml:space="preserve">Le service A </w:t>
      </w:r>
      <w:proofErr w:type="spellStart"/>
      <w:r w:rsidRPr="00242238">
        <w:rPr>
          <w:lang w:val="fr-CH"/>
        </w:rPr>
        <w:t>assure</w:t>
      </w:r>
      <w:proofErr w:type="spellEnd"/>
      <w:r w:rsidRPr="00242238">
        <w:rPr>
          <w:lang w:val="fr-CH"/>
        </w:rPr>
        <w:t xml:space="preserve"> les prestations suivantes au service B, à la demande de celui-ci, pour les variétés qui font l’objet, auprès du service B, d’une demande de droit d’obtenteur, conformément à la Convention internationale pour la protection des obtentions </w:t>
      </w:r>
      <w:proofErr w:type="gramStart"/>
      <w:r w:rsidRPr="00242238">
        <w:rPr>
          <w:lang w:val="fr-CH"/>
        </w:rPr>
        <w:t>vé</w:t>
      </w:r>
      <w:r w:rsidRPr="00BE3088">
        <w:rPr>
          <w:lang w:val="fr-CH"/>
        </w:rPr>
        <w:t>gétales[</w:t>
      </w:r>
      <w:proofErr w:type="gramEnd"/>
      <w:r w:rsidRPr="00BE3088">
        <w:rPr>
          <w:lang w:val="fr-CH"/>
        </w:rPr>
        <w:t>, ou d’inscription au […………………] (à compléter par le service, le cas échéant)</w:t>
      </w:r>
      <w:r w:rsidRPr="00BE3088">
        <w:rPr>
          <w:rStyle w:val="FootnoteReference"/>
          <w:lang w:val="fr-CH"/>
        </w:rPr>
        <w:footnoteReference w:id="2"/>
      </w:r>
      <w:r w:rsidRPr="00BE3088">
        <w:rPr>
          <w:lang w:val="fr-CH"/>
        </w:rPr>
        <w:t>] :</w:t>
      </w:r>
    </w:p>
    <w:p w:rsidR="00C87D01" w:rsidRPr="00242238" w:rsidRDefault="00C87D01" w:rsidP="00C87D01">
      <w:pPr>
        <w:rPr>
          <w:lang w:val="fr-CH"/>
        </w:rPr>
      </w:pPr>
    </w:p>
    <w:p w:rsidR="00C87D01" w:rsidRPr="00242238" w:rsidRDefault="00C87D01" w:rsidP="00C87D01">
      <w:pPr>
        <w:numPr>
          <w:ilvl w:val="0"/>
          <w:numId w:val="23"/>
        </w:numPr>
        <w:tabs>
          <w:tab w:val="clear" w:pos="814"/>
          <w:tab w:val="num" w:pos="1080"/>
        </w:tabs>
        <w:ind w:left="0" w:firstLine="840"/>
        <w:rPr>
          <w:lang w:val="fr-CH"/>
        </w:rPr>
      </w:pPr>
      <w:r w:rsidRPr="00242238">
        <w:rPr>
          <w:lang w:val="fr-CH"/>
        </w:rPr>
        <w:t>pour les genres et espèces dont la liste figure à l’</w:t>
      </w:r>
      <w:r w:rsidRPr="00242238">
        <w:rPr>
          <w:rStyle w:val="underline"/>
          <w:lang w:val="fr-CH"/>
        </w:rPr>
        <w:t>annexe A.1</w:t>
      </w:r>
      <w:r w:rsidRPr="00242238">
        <w:rPr>
          <w:lang w:val="fr-CH"/>
        </w:rPr>
        <w:t>, l’exécution de l’examen de la distinction, de l’homogénéité et de la stabilité de la variété en cause;</w:t>
      </w:r>
    </w:p>
    <w:p w:rsidR="00C87D01" w:rsidRPr="00242238" w:rsidRDefault="00C87D01" w:rsidP="00C87D01">
      <w:pPr>
        <w:tabs>
          <w:tab w:val="num" w:pos="1080"/>
        </w:tabs>
        <w:ind w:left="567" w:firstLine="284"/>
        <w:rPr>
          <w:lang w:val="fr-CH"/>
        </w:rPr>
      </w:pPr>
    </w:p>
    <w:p w:rsidR="00C87D01" w:rsidRPr="00242238" w:rsidRDefault="00C87D01" w:rsidP="00C87D01">
      <w:pPr>
        <w:numPr>
          <w:ilvl w:val="0"/>
          <w:numId w:val="23"/>
        </w:numPr>
        <w:tabs>
          <w:tab w:val="clear" w:pos="814"/>
          <w:tab w:val="num" w:pos="1080"/>
        </w:tabs>
        <w:ind w:left="0" w:firstLine="851"/>
        <w:rPr>
          <w:lang w:val="fr-CH"/>
        </w:rPr>
      </w:pPr>
      <w:r w:rsidRPr="00242238">
        <w:rPr>
          <w:lang w:val="fr-CH"/>
        </w:rPr>
        <w:t>pour les genres et espèces dont la liste figure à l’</w:t>
      </w:r>
      <w:r w:rsidRPr="00242238">
        <w:rPr>
          <w:rStyle w:val="underline"/>
          <w:lang w:val="fr-CH"/>
        </w:rPr>
        <w:t>annexe A.2</w:t>
      </w:r>
      <w:r w:rsidRPr="00242238">
        <w:rPr>
          <w:lang w:val="fr-CH"/>
        </w:rPr>
        <w:t xml:space="preserve"> [ou </w:t>
      </w:r>
      <w:r w:rsidRPr="00242238">
        <w:rPr>
          <w:rStyle w:val="underline"/>
          <w:lang w:val="fr-CH"/>
        </w:rPr>
        <w:t>A.2/B.2</w:t>
      </w:r>
      <w:r w:rsidRPr="00242238">
        <w:rPr>
          <w:lang w:val="fr-CH"/>
        </w:rPr>
        <w:t>], l’exécution de la partie de l’examen spécifiée dans ladite annexe;</w:t>
      </w:r>
    </w:p>
    <w:p w:rsidR="00C87D01" w:rsidRPr="00242238" w:rsidRDefault="00C87D01" w:rsidP="00C87D01">
      <w:pPr>
        <w:tabs>
          <w:tab w:val="num" w:pos="1080"/>
        </w:tabs>
        <w:ind w:left="567" w:firstLine="284"/>
        <w:rPr>
          <w:lang w:val="fr-CH"/>
        </w:rPr>
      </w:pPr>
    </w:p>
    <w:p w:rsidR="00C87D01" w:rsidRPr="00242238" w:rsidRDefault="00C87D01" w:rsidP="00C87D01">
      <w:pPr>
        <w:numPr>
          <w:ilvl w:val="0"/>
          <w:numId w:val="23"/>
        </w:numPr>
        <w:tabs>
          <w:tab w:val="clear" w:pos="814"/>
          <w:tab w:val="num" w:pos="1080"/>
        </w:tabs>
        <w:ind w:left="0" w:firstLine="851"/>
        <w:rPr>
          <w:lang w:val="fr-CH"/>
        </w:rPr>
      </w:pPr>
      <w:r w:rsidRPr="00242238">
        <w:rPr>
          <w:lang w:val="fr-CH"/>
        </w:rPr>
        <w:t>pour les genres et espèces dont la liste figure à l’</w:t>
      </w:r>
      <w:r w:rsidRPr="00242238">
        <w:rPr>
          <w:rStyle w:val="underline"/>
          <w:lang w:val="fr-CH"/>
        </w:rPr>
        <w:t>annexe A.3</w:t>
      </w:r>
      <w:r w:rsidRPr="00242238">
        <w:rPr>
          <w:lang w:val="fr-CH"/>
        </w:rPr>
        <w:t>, la supervision de l’examen de la variété, lorsque celui-ci est effectué sur son territoire par le déposant</w:t>
      </w:r>
      <w:r w:rsidRPr="00BE3088">
        <w:rPr>
          <w:rStyle w:val="FootnoteReference"/>
          <w:lang w:val="fr-CH"/>
        </w:rPr>
        <w:footnoteReference w:id="3"/>
      </w:r>
      <w:r w:rsidRPr="00242238">
        <w:rPr>
          <w:lang w:val="fr-CH"/>
        </w:rPr>
        <w:t xml:space="preserve"> ou, pour le compte de celui-ci, par un tiers, et l’évaluation de ses résultats.</w:t>
      </w:r>
    </w:p>
    <w:p w:rsidR="00C87D01" w:rsidRPr="00242238" w:rsidRDefault="00C87D01" w:rsidP="00C87D01">
      <w:pPr>
        <w:tabs>
          <w:tab w:val="num" w:pos="1080"/>
        </w:tabs>
        <w:ind w:left="567" w:firstLine="284"/>
        <w:rPr>
          <w:lang w:val="fr-CH"/>
        </w:rPr>
      </w:pPr>
    </w:p>
    <w:p w:rsidR="00C87D01" w:rsidRPr="00242238" w:rsidRDefault="00C87D01" w:rsidP="00C87D01">
      <w:pPr>
        <w:numPr>
          <w:ilvl w:val="0"/>
          <w:numId w:val="23"/>
        </w:numPr>
        <w:tabs>
          <w:tab w:val="clear" w:pos="814"/>
          <w:tab w:val="num" w:pos="1080"/>
        </w:tabs>
        <w:ind w:left="0" w:firstLine="851"/>
        <w:rPr>
          <w:lang w:val="fr-CH"/>
        </w:rPr>
      </w:pPr>
      <w:r w:rsidRPr="00242238">
        <w:rPr>
          <w:lang w:val="fr-CH"/>
        </w:rPr>
        <w:t>pour les genres et espèces dont la liste figure à l’</w:t>
      </w:r>
      <w:r w:rsidRPr="00242238">
        <w:rPr>
          <w:rStyle w:val="underline"/>
          <w:lang w:val="fr-CH"/>
        </w:rPr>
        <w:t>annexe A.4</w:t>
      </w:r>
      <w:r w:rsidRPr="00242238">
        <w:rPr>
          <w:lang w:val="fr-CH"/>
        </w:rPr>
        <w:t xml:space="preserve"> [ou </w:t>
      </w:r>
      <w:r w:rsidRPr="00242238">
        <w:rPr>
          <w:rStyle w:val="underline"/>
          <w:lang w:val="fr-CH"/>
        </w:rPr>
        <w:t>A.4/B.4</w:t>
      </w:r>
      <w:r w:rsidRPr="00242238">
        <w:rPr>
          <w:lang w:val="fr-CH"/>
        </w:rPr>
        <w:t>], la fourniture des résultats de l’examen ou de la supervision qu’il aura effectué(e) ou accepté d’effectuer à la suite d’une demande antérieure;</w:t>
      </w:r>
    </w:p>
    <w:p w:rsidR="00C87D01" w:rsidRPr="00242238" w:rsidRDefault="00C87D01" w:rsidP="00C87D01">
      <w:pPr>
        <w:ind w:left="567"/>
        <w:rPr>
          <w:lang w:val="fr-CH"/>
        </w:rPr>
      </w:pPr>
    </w:p>
    <w:p w:rsidR="00C87D01" w:rsidRPr="00242238" w:rsidRDefault="00C87D01" w:rsidP="00C87D01">
      <w:pPr>
        <w:rPr>
          <w:lang w:val="fr-CH"/>
        </w:rPr>
      </w:pPr>
      <w:r w:rsidRPr="00242238">
        <w:rPr>
          <w:lang w:val="fr-CH"/>
        </w:rPr>
        <w:t>2)</w:t>
      </w:r>
      <w:r w:rsidRPr="00242238">
        <w:rPr>
          <w:lang w:val="fr-CH"/>
        </w:rPr>
        <w:tab/>
        <w:t xml:space="preserve">Le service B assure, dans les mêmes conditions, les prestations précitées au service A, pour les genres et espèces dont les listes figurent aux </w:t>
      </w:r>
      <w:r w:rsidRPr="00242238">
        <w:rPr>
          <w:rStyle w:val="underline"/>
          <w:lang w:val="fr-CH"/>
        </w:rPr>
        <w:t>annexes B.1</w:t>
      </w:r>
      <w:r w:rsidRPr="00242238">
        <w:rPr>
          <w:lang w:val="fr-CH"/>
        </w:rPr>
        <w:t xml:space="preserve">, </w:t>
      </w:r>
      <w:r w:rsidRPr="00242238">
        <w:rPr>
          <w:rStyle w:val="underline"/>
          <w:lang w:val="fr-CH"/>
        </w:rPr>
        <w:t>B.2</w:t>
      </w:r>
      <w:r w:rsidRPr="00242238">
        <w:rPr>
          <w:lang w:val="fr-CH"/>
        </w:rPr>
        <w:t xml:space="preserve"> [ou </w:t>
      </w:r>
      <w:r w:rsidRPr="00242238">
        <w:rPr>
          <w:rStyle w:val="underline"/>
          <w:lang w:val="fr-CH"/>
        </w:rPr>
        <w:t>A.2/B.2</w:t>
      </w:r>
      <w:r w:rsidRPr="00242238">
        <w:rPr>
          <w:lang w:val="fr-CH"/>
        </w:rPr>
        <w:t xml:space="preserve">], </w:t>
      </w:r>
      <w:r w:rsidRPr="00242238">
        <w:rPr>
          <w:rStyle w:val="underline"/>
          <w:lang w:val="fr-CH"/>
        </w:rPr>
        <w:t>B.3</w:t>
      </w:r>
      <w:r w:rsidRPr="00242238">
        <w:rPr>
          <w:lang w:val="fr-CH"/>
        </w:rPr>
        <w:t xml:space="preserve"> et </w:t>
      </w:r>
      <w:r w:rsidRPr="00242238">
        <w:rPr>
          <w:rStyle w:val="underline"/>
          <w:lang w:val="fr-CH"/>
        </w:rPr>
        <w:t>B.4</w:t>
      </w:r>
      <w:r w:rsidRPr="00242238">
        <w:rPr>
          <w:lang w:val="fr-CH"/>
        </w:rPr>
        <w:t xml:space="preserve"> [ou </w:t>
      </w:r>
      <w:r w:rsidRPr="00242238">
        <w:rPr>
          <w:rStyle w:val="underline"/>
          <w:lang w:val="fr-CH"/>
        </w:rPr>
        <w:t>A.4/B.4</w:t>
      </w:r>
      <w:r w:rsidRPr="00242238">
        <w:rPr>
          <w:lang w:val="fr-CH"/>
        </w:rPr>
        <w:t>], respectivement.</w:t>
      </w:r>
    </w:p>
    <w:p w:rsidR="00C87D01" w:rsidRPr="00242238" w:rsidRDefault="00C87D01" w:rsidP="00C87D01">
      <w:pPr>
        <w:rPr>
          <w:lang w:val="fr-CH"/>
        </w:rPr>
      </w:pPr>
    </w:p>
    <w:p w:rsidR="00C87D01" w:rsidRPr="00242238" w:rsidRDefault="00C87D01" w:rsidP="00C87D01">
      <w:pPr>
        <w:rPr>
          <w:lang w:val="fr-CH"/>
        </w:rPr>
      </w:pPr>
      <w:r w:rsidRPr="00242238">
        <w:rPr>
          <w:lang w:val="fr-CH"/>
        </w:rPr>
        <w:t>3)</w:t>
      </w:r>
      <w:r w:rsidRPr="00242238">
        <w:rPr>
          <w:lang w:val="fr-CH"/>
        </w:rPr>
        <w:tab/>
        <w:t xml:space="preserve">Les services peuvent convenir, sur une base </w:t>
      </w:r>
      <w:r w:rsidRPr="00242238">
        <w:rPr>
          <w:rStyle w:val="underline"/>
          <w:lang w:val="fr-CH"/>
        </w:rPr>
        <w:t>ad</w:t>
      </w:r>
      <w:r w:rsidRPr="00242238">
        <w:rPr>
          <w:lang w:val="fr-CH"/>
        </w:rPr>
        <w:t xml:space="preserve"> </w:t>
      </w:r>
      <w:r w:rsidRPr="00242238">
        <w:rPr>
          <w:rStyle w:val="underline"/>
          <w:lang w:val="fr-CH"/>
        </w:rPr>
        <w:t>hoc</w:t>
      </w:r>
      <w:r w:rsidRPr="00242238">
        <w:rPr>
          <w:lang w:val="fr-CH"/>
        </w:rPr>
        <w:t>, d’appliquer le présent Accord à une variété d’un genre ou d’une espèce ne figurant pas à l’annexe pertinente.</w:t>
      </w:r>
    </w:p>
    <w:p w:rsidR="00C87D01" w:rsidRPr="00242238" w:rsidRDefault="00C87D01" w:rsidP="00C87D01">
      <w:pPr>
        <w:rPr>
          <w:lang w:val="fr-CH"/>
        </w:rPr>
      </w:pPr>
    </w:p>
    <w:p w:rsidR="00C87D01" w:rsidRPr="00242238" w:rsidRDefault="00C87D01" w:rsidP="00C87D01">
      <w:pPr>
        <w:rPr>
          <w:lang w:val="fr-CH"/>
        </w:rPr>
      </w:pPr>
      <w:r w:rsidRPr="00242238">
        <w:rPr>
          <w:lang w:val="fr-CH"/>
        </w:rPr>
        <w:t>4)</w:t>
      </w:r>
      <w:r w:rsidRPr="00242238">
        <w:rPr>
          <w:lang w:val="fr-CH"/>
        </w:rPr>
        <w:tab/>
        <w:t>Aux fins du présent Accord, on entend par :</w:t>
      </w:r>
    </w:p>
    <w:p w:rsidR="00C87D01" w:rsidRPr="00242238" w:rsidRDefault="00C87D01" w:rsidP="00C87D01">
      <w:pPr>
        <w:rPr>
          <w:lang w:val="fr-CH"/>
        </w:rPr>
      </w:pPr>
    </w:p>
    <w:p w:rsidR="00C87D01" w:rsidRPr="00242238" w:rsidRDefault="00C87D01" w:rsidP="00C87D01">
      <w:pPr>
        <w:numPr>
          <w:ilvl w:val="0"/>
          <w:numId w:val="24"/>
        </w:numPr>
        <w:tabs>
          <w:tab w:val="clear" w:pos="814"/>
          <w:tab w:val="left" w:pos="1080"/>
        </w:tabs>
        <w:ind w:left="0" w:firstLine="737"/>
        <w:rPr>
          <w:lang w:val="fr-CH"/>
        </w:rPr>
      </w:pPr>
      <w:r w:rsidRPr="00242238">
        <w:rPr>
          <w:lang w:val="fr-CH"/>
        </w:rPr>
        <w:t>“service prestataire” le service qui procède à l’une des activités spécifiées aux sous</w:t>
      </w:r>
      <w:r w:rsidRPr="00242238">
        <w:rPr>
          <w:lang w:val="fr-CH"/>
        </w:rPr>
        <w:noBreakHyphen/>
        <w:t xml:space="preserve">alinéas i) à iv) de l’alinéa 1) </w:t>
      </w:r>
      <w:r w:rsidRPr="00BE3088">
        <w:rPr>
          <w:lang w:val="fr-CH"/>
        </w:rPr>
        <w:t>ou aux activités correspondantes de l’alinéa 2</w:t>
      </w:r>
      <w:r>
        <w:rPr>
          <w:lang w:val="fr-CH"/>
        </w:rPr>
        <w:t>)</w:t>
      </w:r>
      <w:r w:rsidRPr="00242238">
        <w:rPr>
          <w:lang w:val="fr-CH"/>
        </w:rPr>
        <w:t xml:space="preserve"> ci</w:t>
      </w:r>
      <w:r>
        <w:rPr>
          <w:lang w:val="fr-CH"/>
        </w:rPr>
        <w:noBreakHyphen/>
      </w:r>
      <w:r w:rsidRPr="00242238">
        <w:rPr>
          <w:lang w:val="fr-CH"/>
        </w:rPr>
        <w:t>dessus;</w:t>
      </w:r>
    </w:p>
    <w:p w:rsidR="00C87D01" w:rsidRPr="00242238" w:rsidRDefault="00C87D01" w:rsidP="00C87D01">
      <w:pPr>
        <w:tabs>
          <w:tab w:val="left" w:pos="993"/>
        </w:tabs>
        <w:ind w:left="567"/>
        <w:rPr>
          <w:lang w:val="fr-CH"/>
        </w:rPr>
      </w:pPr>
    </w:p>
    <w:p w:rsidR="00C87D01" w:rsidRPr="00242238" w:rsidRDefault="00C87D01" w:rsidP="00C87D01">
      <w:pPr>
        <w:numPr>
          <w:ilvl w:val="0"/>
          <w:numId w:val="24"/>
        </w:numPr>
        <w:tabs>
          <w:tab w:val="clear" w:pos="814"/>
          <w:tab w:val="left" w:pos="1080"/>
        </w:tabs>
        <w:ind w:left="0" w:firstLine="737"/>
        <w:rPr>
          <w:lang w:val="fr-CH"/>
        </w:rPr>
      </w:pPr>
      <w:r w:rsidRPr="00242238">
        <w:rPr>
          <w:lang w:val="fr-CH"/>
        </w:rPr>
        <w:t>“service récepteur” le service pour le compte duquel l’une des activités précitées est exécutée.</w:t>
      </w:r>
    </w:p>
    <w:p w:rsidR="00C87D01" w:rsidRPr="00C87D01" w:rsidRDefault="00C87D01" w:rsidP="00C87D01"/>
    <w:p w:rsidR="00C87D01" w:rsidRPr="00242238" w:rsidRDefault="00C87D01" w:rsidP="00C87D01">
      <w:pPr>
        <w:rPr>
          <w:lang w:val="fr-CH"/>
        </w:rPr>
      </w:pPr>
    </w:p>
    <w:p w:rsidR="00C87D01" w:rsidRPr="00242238" w:rsidRDefault="00C87D01" w:rsidP="00C87D01">
      <w:pPr>
        <w:rPr>
          <w:lang w:val="fr-CH"/>
        </w:rPr>
      </w:pPr>
      <w:r w:rsidRPr="00242238">
        <w:rPr>
          <w:rStyle w:val="underline"/>
          <w:lang w:val="fr-CH"/>
        </w:rPr>
        <w:t>Article 2</w:t>
      </w:r>
    </w:p>
    <w:p w:rsidR="00C87D01" w:rsidRPr="00242238" w:rsidRDefault="00C87D01" w:rsidP="00C87D01">
      <w:pPr>
        <w:rPr>
          <w:lang w:val="fr-CH"/>
        </w:rPr>
      </w:pPr>
    </w:p>
    <w:p w:rsidR="00C87D01" w:rsidRPr="00242238" w:rsidRDefault="00C87D01" w:rsidP="00C87D01">
      <w:pPr>
        <w:rPr>
          <w:lang w:val="fr-CH"/>
        </w:rPr>
      </w:pPr>
      <w:r w:rsidRPr="00242238">
        <w:rPr>
          <w:lang w:val="fr-CH"/>
        </w:rPr>
        <w:t xml:space="preserve">Lorsque le Conseil de l’UPOV a adopté des </w:t>
      </w:r>
      <w:r w:rsidRPr="00BE3088">
        <w:rPr>
          <w:lang w:val="fr-CH"/>
        </w:rPr>
        <w:t>Principes directeurs pour la conduite de l’examen de la distinction, de l’homogénéité et de la stabilité (ci-après les “Principes directeurs d’examen”) pour un genre ou une espèce visé(e) par le présent Accord</w:t>
      </w:r>
      <w:r w:rsidRPr="00242238">
        <w:rPr>
          <w:lang w:val="fr-CH"/>
        </w:rPr>
        <w:t xml:space="preserve">, l’examen est conduit conformément à ces Principes directeurs </w:t>
      </w:r>
      <w:r w:rsidRPr="00BE3088">
        <w:rPr>
          <w:lang w:val="fr-CH"/>
        </w:rPr>
        <w:t>d’examen</w:t>
      </w:r>
      <w:r w:rsidRPr="00242238">
        <w:rPr>
          <w:lang w:val="fr-CH"/>
        </w:rPr>
        <w:t xml:space="preserve">.  À défaut, les services adoptent d’un commun accord les méthodes à suivre pour l’examen avant que le présent Accord ne soit appliqué </w:t>
      </w:r>
      <w:r w:rsidRPr="00BE3088">
        <w:rPr>
          <w:lang w:val="fr-CH"/>
        </w:rPr>
        <w:t>au genre ou</w:t>
      </w:r>
      <w:r w:rsidRPr="00242238">
        <w:rPr>
          <w:lang w:val="fr-CH"/>
        </w:rPr>
        <w:t xml:space="preserve"> à l’espèce en question.</w:t>
      </w:r>
    </w:p>
    <w:p w:rsidR="00C87D01" w:rsidRPr="00242238" w:rsidRDefault="00C87D01" w:rsidP="00C87D01">
      <w:pPr>
        <w:rPr>
          <w:lang w:val="fr-CH"/>
        </w:rPr>
      </w:pPr>
    </w:p>
    <w:p w:rsidR="00C87D01" w:rsidRPr="00242238" w:rsidRDefault="00C87D01" w:rsidP="00C87D01">
      <w:pPr>
        <w:rPr>
          <w:lang w:val="fr-CH"/>
        </w:rPr>
      </w:pPr>
    </w:p>
    <w:p w:rsidR="00C87D01" w:rsidRPr="00242238" w:rsidRDefault="00C87D01" w:rsidP="00C87D01">
      <w:pPr>
        <w:rPr>
          <w:lang w:val="fr-CH"/>
        </w:rPr>
      </w:pPr>
      <w:r w:rsidRPr="00242238">
        <w:rPr>
          <w:rStyle w:val="underline"/>
          <w:lang w:val="fr-CH"/>
        </w:rPr>
        <w:t>Article 3</w:t>
      </w:r>
    </w:p>
    <w:p w:rsidR="00C87D01" w:rsidRPr="00242238" w:rsidRDefault="00C87D01" w:rsidP="00C87D01">
      <w:pPr>
        <w:rPr>
          <w:lang w:val="fr-CH"/>
        </w:rPr>
      </w:pPr>
    </w:p>
    <w:p w:rsidR="00C87D01" w:rsidRPr="00242238" w:rsidRDefault="00C87D01" w:rsidP="00C87D01">
      <w:pPr>
        <w:rPr>
          <w:lang w:val="fr-CH"/>
        </w:rPr>
      </w:pPr>
      <w:r w:rsidRPr="00242238">
        <w:rPr>
          <w:lang w:val="fr-CH"/>
        </w:rPr>
        <w:t>1)</w:t>
      </w:r>
      <w:r w:rsidRPr="00242238">
        <w:rPr>
          <w:lang w:val="fr-CH"/>
        </w:rPr>
        <w:tab/>
        <w:t>Pour chaque variété, le service prestataire soumet au service récepteur, selon le cas :</w:t>
      </w:r>
    </w:p>
    <w:p w:rsidR="00C87D01" w:rsidRPr="00242238" w:rsidRDefault="00C87D01" w:rsidP="00C87D01">
      <w:pPr>
        <w:rPr>
          <w:lang w:val="fr-CH"/>
        </w:rPr>
      </w:pPr>
    </w:p>
    <w:p w:rsidR="00C87D01" w:rsidRPr="00242238" w:rsidRDefault="00C87D01" w:rsidP="00C87D01">
      <w:pPr>
        <w:numPr>
          <w:ilvl w:val="0"/>
          <w:numId w:val="25"/>
        </w:numPr>
        <w:tabs>
          <w:tab w:val="clear" w:pos="814"/>
          <w:tab w:val="num" w:pos="1134"/>
        </w:tabs>
        <w:ind w:left="567" w:firstLine="284"/>
        <w:rPr>
          <w:lang w:val="fr-CH"/>
        </w:rPr>
      </w:pPr>
      <w:r w:rsidRPr="00242238">
        <w:rPr>
          <w:lang w:val="fr-CH"/>
        </w:rPr>
        <w:t>les rapports relatifs à chaque période d’examen et un rapport final d’examen;</w:t>
      </w:r>
    </w:p>
    <w:p w:rsidR="00C87D01" w:rsidRPr="00242238" w:rsidRDefault="00C87D01" w:rsidP="00C87D01">
      <w:pPr>
        <w:tabs>
          <w:tab w:val="num" w:pos="1134"/>
        </w:tabs>
        <w:ind w:left="567" w:firstLine="284"/>
        <w:rPr>
          <w:lang w:val="fr-CH"/>
        </w:rPr>
      </w:pPr>
    </w:p>
    <w:p w:rsidR="00C87D01" w:rsidRPr="00242238" w:rsidRDefault="00C87D01" w:rsidP="00C87D01">
      <w:pPr>
        <w:numPr>
          <w:ilvl w:val="0"/>
          <w:numId w:val="25"/>
        </w:numPr>
        <w:tabs>
          <w:tab w:val="clear" w:pos="814"/>
          <w:tab w:val="num" w:pos="1134"/>
        </w:tabs>
        <w:ind w:left="567" w:firstLine="284"/>
        <w:rPr>
          <w:lang w:val="fr-CH"/>
        </w:rPr>
      </w:pPr>
      <w:r w:rsidRPr="00242238">
        <w:rPr>
          <w:lang w:val="fr-CH"/>
        </w:rPr>
        <w:t>les rapports relatifs à la partie de l’examen qu’il est chargé d’exécuter;</w:t>
      </w:r>
    </w:p>
    <w:p w:rsidR="00C87D01" w:rsidRPr="00242238" w:rsidRDefault="00C87D01" w:rsidP="00C87D01">
      <w:pPr>
        <w:tabs>
          <w:tab w:val="num" w:pos="1134"/>
        </w:tabs>
        <w:ind w:left="567" w:firstLine="284"/>
        <w:rPr>
          <w:lang w:val="fr-CH"/>
        </w:rPr>
      </w:pPr>
    </w:p>
    <w:p w:rsidR="00C87D01" w:rsidRPr="00242238" w:rsidRDefault="00C87D01" w:rsidP="00C87D01">
      <w:pPr>
        <w:numPr>
          <w:ilvl w:val="0"/>
          <w:numId w:val="25"/>
        </w:numPr>
        <w:tabs>
          <w:tab w:val="clear" w:pos="814"/>
          <w:tab w:val="num" w:pos="1134"/>
        </w:tabs>
        <w:ind w:left="0" w:firstLine="851"/>
        <w:rPr>
          <w:lang w:val="fr-CH"/>
        </w:rPr>
      </w:pPr>
      <w:r w:rsidRPr="00242238">
        <w:rPr>
          <w:lang w:val="fr-CH"/>
        </w:rPr>
        <w:t>les rapports relatifs à la supervision de l’examen effectué par le déposant ou pour son compte et à l’évaluation de ses résultats, et un rapport final d’examen.</w:t>
      </w:r>
    </w:p>
    <w:p w:rsidR="00C87D01" w:rsidRPr="00242238" w:rsidRDefault="00C87D01" w:rsidP="00C87D01">
      <w:pPr>
        <w:rPr>
          <w:lang w:val="fr-CH"/>
        </w:rPr>
      </w:pPr>
    </w:p>
    <w:p w:rsidR="00C87D01" w:rsidRPr="00242238" w:rsidRDefault="00C87D01" w:rsidP="00C87D01">
      <w:pPr>
        <w:pStyle w:val="BodyText"/>
        <w:rPr>
          <w:lang w:val="fr-CH"/>
        </w:rPr>
      </w:pPr>
      <w:r w:rsidRPr="00242238">
        <w:rPr>
          <w:lang w:val="fr-CH"/>
        </w:rPr>
        <w:t>2)</w:t>
      </w:r>
      <w:r w:rsidRPr="00242238">
        <w:rPr>
          <w:lang w:val="fr-CH"/>
        </w:rPr>
        <w:tab/>
        <w:t>Le rapport final d’examen expose dans le détail les résultats des essais concernant les caractères de la variété et donne l’avis du service prestataire sur la distinction, l’homogénéité et la stabilité de la variété.  Lorsque celle-ci est jugée présenter les qualités en question ou lorsque le service récepteur en fait la demande, une description de la variété est jointe au rapport.</w:t>
      </w:r>
    </w:p>
    <w:p w:rsidR="00C87D01" w:rsidRPr="00242238" w:rsidRDefault="00C87D01" w:rsidP="00C87D01">
      <w:pPr>
        <w:rPr>
          <w:lang w:val="fr-CH"/>
        </w:rPr>
      </w:pPr>
    </w:p>
    <w:p w:rsidR="00C87D01" w:rsidRPr="00242238" w:rsidRDefault="00C87D01" w:rsidP="00C87D01">
      <w:pPr>
        <w:rPr>
          <w:lang w:val="fr-CH"/>
        </w:rPr>
      </w:pPr>
      <w:r w:rsidRPr="00242238">
        <w:rPr>
          <w:lang w:val="fr-CH"/>
        </w:rPr>
        <w:t>3)</w:t>
      </w:r>
      <w:r w:rsidRPr="00242238">
        <w:rPr>
          <w:lang w:val="fr-CH"/>
        </w:rPr>
        <w:tab/>
        <w:t xml:space="preserve">Les rapports et les descriptions doivent être rédigés en </w:t>
      </w:r>
      <w:r w:rsidRPr="00BE3088">
        <w:rPr>
          <w:lang w:val="fr-CH"/>
        </w:rPr>
        <w:t>[</w:t>
      </w:r>
      <w:proofErr w:type="gramStart"/>
      <w:r w:rsidRPr="00BE3088">
        <w:rPr>
          <w:lang w:val="fr-CH"/>
        </w:rPr>
        <w:t>.…………</w:t>
      </w:r>
      <w:proofErr w:type="gramEnd"/>
      <w:r w:rsidRPr="00BE3088">
        <w:rPr>
          <w:lang w:val="fr-CH"/>
        </w:rPr>
        <w:t>]</w:t>
      </w:r>
      <w:r w:rsidRPr="00242238">
        <w:rPr>
          <w:lang w:val="fr-CH"/>
        </w:rPr>
        <w:t xml:space="preserve"> (langue).</w:t>
      </w:r>
    </w:p>
    <w:p w:rsidR="00C87D01" w:rsidRPr="00242238" w:rsidRDefault="00C87D01" w:rsidP="00C87D01">
      <w:pPr>
        <w:rPr>
          <w:lang w:val="fr-CH"/>
        </w:rPr>
      </w:pPr>
    </w:p>
    <w:p w:rsidR="00C87D01" w:rsidRPr="00242238" w:rsidRDefault="00C87D01" w:rsidP="00C87D01">
      <w:pPr>
        <w:rPr>
          <w:lang w:val="fr-CH"/>
        </w:rPr>
      </w:pPr>
      <w:r w:rsidRPr="00242238">
        <w:rPr>
          <w:lang w:val="fr-CH"/>
        </w:rPr>
        <w:t>4)</w:t>
      </w:r>
      <w:r w:rsidRPr="00242238">
        <w:rPr>
          <w:lang w:val="fr-CH"/>
        </w:rPr>
        <w:tab/>
        <w:t>Tout problème doit immédiatement être signalé au service récepteur.</w:t>
      </w:r>
    </w:p>
    <w:p w:rsidR="00C87D01" w:rsidRPr="00242238" w:rsidRDefault="00C87D01" w:rsidP="00C87D01">
      <w:pPr>
        <w:rPr>
          <w:lang w:val="fr-CH"/>
        </w:rPr>
      </w:pPr>
    </w:p>
    <w:p w:rsidR="00C87D01" w:rsidRPr="00242238" w:rsidRDefault="00C87D01" w:rsidP="00C87D01">
      <w:pPr>
        <w:rPr>
          <w:lang w:val="fr-CH"/>
        </w:rPr>
      </w:pPr>
      <w:r w:rsidRPr="00242238">
        <w:rPr>
          <w:lang w:val="fr-CH"/>
        </w:rPr>
        <w:t>5)</w:t>
      </w:r>
      <w:r w:rsidRPr="00242238">
        <w:rPr>
          <w:lang w:val="fr-CH"/>
        </w:rPr>
        <w:tab/>
        <w:t>En ce qui concerne les conditions de distinction, d’homogénéité et de stabilité, le service récepteur statue sur la demande, en principe, sur la base du rapport final d’examen, ou en prenant dûment compte des rapports partiels fournis par le service prestataire.  Lorsque des circonstances exceptionnelles le justifient, il peut procéder à des essais complémentaires.  S’il choisit d’y procéder, il en informera le service prestataire.</w:t>
      </w:r>
    </w:p>
    <w:p w:rsidR="00C87D01" w:rsidRPr="00242238" w:rsidRDefault="00C87D01" w:rsidP="00C87D01">
      <w:pPr>
        <w:rPr>
          <w:lang w:val="fr-CH"/>
        </w:rPr>
      </w:pPr>
    </w:p>
    <w:p w:rsidR="00C87D01" w:rsidRPr="00242238" w:rsidRDefault="00C87D01" w:rsidP="00C87D01">
      <w:pPr>
        <w:rPr>
          <w:lang w:val="fr-CH"/>
        </w:rPr>
      </w:pPr>
    </w:p>
    <w:p w:rsidR="00C87D01" w:rsidRPr="00242238" w:rsidRDefault="00C87D01" w:rsidP="00C87D01">
      <w:pPr>
        <w:rPr>
          <w:lang w:val="fr-CH"/>
        </w:rPr>
      </w:pPr>
      <w:r w:rsidRPr="00242238">
        <w:rPr>
          <w:rStyle w:val="underline"/>
          <w:lang w:val="fr-CH"/>
        </w:rPr>
        <w:t>Article 4</w:t>
      </w:r>
    </w:p>
    <w:p w:rsidR="00C87D01" w:rsidRPr="00242238" w:rsidRDefault="00C87D01" w:rsidP="00C87D01">
      <w:pPr>
        <w:rPr>
          <w:lang w:val="fr-CH"/>
        </w:rPr>
      </w:pPr>
    </w:p>
    <w:p w:rsidR="00C87D01" w:rsidRPr="00242238" w:rsidRDefault="00C87D01" w:rsidP="00C87D01">
      <w:pPr>
        <w:rPr>
          <w:lang w:val="fr-CH"/>
        </w:rPr>
      </w:pPr>
      <w:r w:rsidRPr="00242238">
        <w:rPr>
          <w:lang w:val="fr-CH"/>
        </w:rPr>
        <w:t>1)</w:t>
      </w:r>
      <w:r w:rsidRPr="00242238">
        <w:rPr>
          <w:lang w:val="fr-CH"/>
        </w:rPr>
        <w:tab/>
        <w:t>Les services prennent toutes les mesures nécessaires pour protéger les droits du déposant.</w:t>
      </w:r>
    </w:p>
    <w:p w:rsidR="00C87D01" w:rsidRPr="00242238" w:rsidRDefault="00C87D01" w:rsidP="00C87D01">
      <w:pPr>
        <w:rPr>
          <w:lang w:val="fr-CH"/>
        </w:rPr>
      </w:pPr>
    </w:p>
    <w:p w:rsidR="00C87D01" w:rsidRPr="00242238" w:rsidRDefault="00C87D01" w:rsidP="00C87D01">
      <w:pPr>
        <w:rPr>
          <w:lang w:val="fr-CH"/>
        </w:rPr>
      </w:pPr>
      <w:r w:rsidRPr="00242238">
        <w:rPr>
          <w:lang w:val="fr-CH"/>
        </w:rPr>
        <w:t>2)</w:t>
      </w:r>
      <w:r w:rsidRPr="00242238">
        <w:rPr>
          <w:lang w:val="fr-CH"/>
        </w:rPr>
        <w:tab/>
        <w:t>Sauf autorisation expresse du service récepteur et du déposant, le service prestataire doit s’abstenir de fournir à un tiers du matériel</w:t>
      </w:r>
      <w:r w:rsidR="00246E54" w:rsidRPr="00246E54">
        <w:rPr>
          <w:lang w:val="fr-CH"/>
        </w:rPr>
        <w:t xml:space="preserve">, notamment l’ADN, ou des données moléculaires, </w:t>
      </w:r>
      <w:r w:rsidRPr="00242238">
        <w:rPr>
          <w:lang w:val="fr-CH"/>
        </w:rPr>
        <w:t>des variétés dont l’examen a été sollicité.</w:t>
      </w:r>
    </w:p>
    <w:p w:rsidR="00C87D01" w:rsidRPr="00242238" w:rsidRDefault="00C87D01" w:rsidP="00C87D01">
      <w:pPr>
        <w:rPr>
          <w:lang w:val="fr-CH"/>
        </w:rPr>
      </w:pPr>
    </w:p>
    <w:p w:rsidR="00C87D01" w:rsidRPr="00242238" w:rsidRDefault="00C87D01" w:rsidP="00C87D01">
      <w:pPr>
        <w:rPr>
          <w:lang w:val="fr-CH"/>
        </w:rPr>
      </w:pPr>
      <w:r w:rsidRPr="00242238">
        <w:rPr>
          <w:lang w:val="fr-CH"/>
        </w:rPr>
        <w:t>3)</w:t>
      </w:r>
      <w:r w:rsidRPr="00242238">
        <w:rPr>
          <w:lang w:val="fr-CH"/>
        </w:rPr>
        <w:tab/>
        <w:t>Seuls auront accès aux documents et aux parcelles d’essais :</w:t>
      </w:r>
    </w:p>
    <w:p w:rsidR="00C87D01" w:rsidRPr="00242238" w:rsidRDefault="00C87D01" w:rsidP="00C87D01">
      <w:pPr>
        <w:rPr>
          <w:lang w:val="fr-CH"/>
        </w:rPr>
      </w:pPr>
    </w:p>
    <w:p w:rsidR="00C87D01" w:rsidRPr="00242238" w:rsidRDefault="00C87D01" w:rsidP="00C87D01">
      <w:pPr>
        <w:numPr>
          <w:ilvl w:val="0"/>
          <w:numId w:val="26"/>
        </w:numPr>
        <w:tabs>
          <w:tab w:val="clear" w:pos="814"/>
          <w:tab w:val="num" w:pos="993"/>
        </w:tabs>
        <w:ind w:left="567" w:firstLine="284"/>
        <w:rPr>
          <w:lang w:val="fr-CH"/>
        </w:rPr>
      </w:pPr>
      <w:r w:rsidRPr="00242238">
        <w:rPr>
          <w:lang w:val="fr-CH"/>
        </w:rPr>
        <w:t>le service récepteur, le déposant et toute personne dûment autorisée;</w:t>
      </w:r>
    </w:p>
    <w:p w:rsidR="00C87D01" w:rsidRPr="00242238" w:rsidRDefault="00C87D01" w:rsidP="00C87D01">
      <w:pPr>
        <w:tabs>
          <w:tab w:val="num" w:pos="993"/>
        </w:tabs>
        <w:ind w:left="567" w:firstLine="284"/>
        <w:rPr>
          <w:lang w:val="fr-CH"/>
        </w:rPr>
      </w:pPr>
    </w:p>
    <w:p w:rsidR="00C87D01" w:rsidRPr="00242238" w:rsidRDefault="00C87D01" w:rsidP="00C87D01">
      <w:pPr>
        <w:keepNext/>
        <w:keepLines/>
        <w:numPr>
          <w:ilvl w:val="0"/>
          <w:numId w:val="26"/>
        </w:numPr>
        <w:tabs>
          <w:tab w:val="clear" w:pos="814"/>
          <w:tab w:val="num" w:pos="993"/>
        </w:tabs>
        <w:ind w:left="0" w:firstLine="851"/>
        <w:rPr>
          <w:lang w:val="fr-CH"/>
        </w:rPr>
      </w:pPr>
      <w:r w:rsidRPr="00242238">
        <w:rPr>
          <w:lang w:val="fr-CH"/>
        </w:rPr>
        <w:t>le personnel nécessaire de l’institution qui effectue l’examen et les experts spécialement appelés à cet effet et qui sont tenus au secret professionnel en service public.  Ces experts n’ont accès aux formules des variétés hybrides que si cela est strictement indispensable et si le déposant ne formule aucune objection.</w:t>
      </w:r>
    </w:p>
    <w:p w:rsidR="00C87D01" w:rsidRPr="00242238" w:rsidRDefault="00C87D01" w:rsidP="00C87D01">
      <w:pPr>
        <w:rPr>
          <w:lang w:val="fr-CH"/>
        </w:rPr>
      </w:pPr>
    </w:p>
    <w:p w:rsidR="00C87D01" w:rsidRPr="00242238" w:rsidRDefault="00C87D01" w:rsidP="00C87D01">
      <w:pPr>
        <w:rPr>
          <w:lang w:val="fr-CH"/>
        </w:rPr>
      </w:pPr>
      <w:r w:rsidRPr="00242238">
        <w:rPr>
          <w:lang w:val="fr-CH"/>
        </w:rPr>
        <w:t>Le présent alinéa n’exclut pas l’accès général des visiteurs aux parcelles d’essais, à condition qu’il soit dûment tenu compte de l’alinéa 1) ci-dessus.</w:t>
      </w:r>
    </w:p>
    <w:p w:rsidR="00C87D01" w:rsidRPr="00242238" w:rsidRDefault="00C87D01" w:rsidP="00C87D01">
      <w:pPr>
        <w:rPr>
          <w:lang w:val="fr-CH"/>
        </w:rPr>
      </w:pPr>
    </w:p>
    <w:p w:rsidR="00C87D01" w:rsidRPr="00242238" w:rsidRDefault="00C87D01" w:rsidP="00C87D01">
      <w:pPr>
        <w:rPr>
          <w:lang w:val="fr-CH"/>
        </w:rPr>
      </w:pPr>
      <w:r w:rsidRPr="00242238">
        <w:rPr>
          <w:lang w:val="fr-CH"/>
        </w:rPr>
        <w:t>4)</w:t>
      </w:r>
      <w:r w:rsidRPr="00242238">
        <w:rPr>
          <w:lang w:val="fr-CH"/>
        </w:rPr>
        <w:tab/>
        <w:t>Si un autre service a la qualité de service récepteur en vertu d’un accord similaire, l’accès peut également être accordé conformément aux règles applicables en vertu de cet accord.</w:t>
      </w:r>
    </w:p>
    <w:p w:rsidR="00C87D01" w:rsidRPr="00242238" w:rsidRDefault="00C87D01" w:rsidP="00C87D01">
      <w:pPr>
        <w:rPr>
          <w:lang w:val="fr-CH"/>
        </w:rPr>
      </w:pPr>
    </w:p>
    <w:p w:rsidR="00C87D01" w:rsidRPr="00242238" w:rsidRDefault="00C87D01" w:rsidP="00C87D01">
      <w:pPr>
        <w:rPr>
          <w:lang w:val="fr-CH"/>
        </w:rPr>
      </w:pPr>
    </w:p>
    <w:p w:rsidR="00C87D01" w:rsidRPr="00242238" w:rsidRDefault="00C87D01" w:rsidP="00C87D01">
      <w:pPr>
        <w:keepNext/>
        <w:keepLines/>
        <w:rPr>
          <w:lang w:val="fr-CH"/>
        </w:rPr>
      </w:pPr>
      <w:r w:rsidRPr="00242238">
        <w:rPr>
          <w:rStyle w:val="underline"/>
          <w:lang w:val="fr-CH"/>
        </w:rPr>
        <w:t>Article 5</w:t>
      </w:r>
    </w:p>
    <w:p w:rsidR="00C87D01" w:rsidRPr="00242238" w:rsidRDefault="00C87D01" w:rsidP="00C87D01">
      <w:pPr>
        <w:keepNext/>
        <w:keepLines/>
        <w:rPr>
          <w:lang w:val="fr-CH"/>
        </w:rPr>
      </w:pPr>
    </w:p>
    <w:p w:rsidR="00C87D01" w:rsidRPr="00242238" w:rsidRDefault="00C87D01" w:rsidP="00C87D01">
      <w:pPr>
        <w:keepNext/>
        <w:keepLines/>
        <w:rPr>
          <w:lang w:val="fr-CH"/>
        </w:rPr>
      </w:pPr>
      <w:r w:rsidRPr="00242238">
        <w:rPr>
          <w:lang w:val="fr-CH"/>
        </w:rPr>
        <w:t>Si, dans le cas d’une prestation mentionnée à l’article 1.1</w:t>
      </w:r>
      <w:proofErr w:type="gramStart"/>
      <w:r w:rsidRPr="00242238">
        <w:rPr>
          <w:lang w:val="fr-CH"/>
        </w:rPr>
        <w:t>)iv</w:t>
      </w:r>
      <w:proofErr w:type="gramEnd"/>
      <w:r w:rsidRPr="00242238">
        <w:rPr>
          <w:lang w:val="fr-CH"/>
        </w:rPr>
        <w:t>) ci-dessus, la demande antérieure est rejetée ou retirée, les services peuvent convenir de la poursuite de l’examen ou de la supervision pour le compte du service récepteur.</w:t>
      </w:r>
    </w:p>
    <w:p w:rsidR="00C87D01" w:rsidRPr="00242238" w:rsidRDefault="00C87D01" w:rsidP="00C87D01">
      <w:pPr>
        <w:rPr>
          <w:lang w:val="fr-CH"/>
        </w:rPr>
      </w:pPr>
    </w:p>
    <w:p w:rsidR="00C87D01" w:rsidRPr="00242238" w:rsidRDefault="00C87D01" w:rsidP="00C87D01">
      <w:pPr>
        <w:rPr>
          <w:lang w:val="fr-CH"/>
        </w:rPr>
      </w:pPr>
    </w:p>
    <w:p w:rsidR="00C87D01" w:rsidRPr="00242238" w:rsidRDefault="00C87D01" w:rsidP="00C87D01">
      <w:pPr>
        <w:rPr>
          <w:lang w:val="fr-CH"/>
        </w:rPr>
      </w:pPr>
      <w:r w:rsidRPr="00242238">
        <w:rPr>
          <w:rStyle w:val="underline"/>
          <w:lang w:val="fr-CH"/>
        </w:rPr>
        <w:t>Article 6</w:t>
      </w:r>
    </w:p>
    <w:p w:rsidR="00C87D01" w:rsidRPr="00242238" w:rsidRDefault="00C87D01" w:rsidP="00C87D01">
      <w:pPr>
        <w:rPr>
          <w:lang w:val="fr-CH"/>
        </w:rPr>
      </w:pPr>
    </w:p>
    <w:p w:rsidR="00C87D01" w:rsidRPr="00242238" w:rsidRDefault="00C87D01" w:rsidP="00C87D01">
      <w:pPr>
        <w:rPr>
          <w:lang w:val="fr-CH"/>
        </w:rPr>
      </w:pPr>
      <w:r w:rsidRPr="00242238">
        <w:rPr>
          <w:lang w:val="fr-CH"/>
        </w:rPr>
        <w:t xml:space="preserve">Les détails pratiques relatifs à l’application du présent Accord </w:t>
      </w:r>
      <w:r w:rsidRPr="00BB7847">
        <w:rPr>
          <w:lang w:val="fr-CH"/>
        </w:rPr>
        <w:t>–</w:t>
      </w:r>
      <w:r w:rsidRPr="00242238">
        <w:rPr>
          <w:lang w:val="fr-CH"/>
        </w:rPr>
        <w:t xml:space="preserve"> notamment toutes dispositions ayant trait aux émoluments, aux formulaires de demande, aux questionnaires techniques et aux conditions prescrites en ce qui concerne le matériel de reproduction ou de multiplication, les méthodes à appliquer pour les essais, les échanges de contre-échantillons,</w:t>
      </w:r>
      <w:r w:rsidR="00246E54" w:rsidRPr="00246E54">
        <w:rPr>
          <w:lang w:val="fr-CH"/>
        </w:rPr>
        <w:t xml:space="preserve"> l’échange de données moléculaires, </w:t>
      </w:r>
      <w:r w:rsidRPr="00242238">
        <w:rPr>
          <w:lang w:val="fr-CH"/>
        </w:rPr>
        <w:t xml:space="preserve">l’entretien de collections de référence et la présentation des résultats </w:t>
      </w:r>
      <w:r w:rsidRPr="00BB7847">
        <w:rPr>
          <w:lang w:val="fr-CH"/>
        </w:rPr>
        <w:t xml:space="preserve">– </w:t>
      </w:r>
      <w:r w:rsidRPr="00BE3088">
        <w:rPr>
          <w:lang w:val="fr-CH"/>
        </w:rPr>
        <w:t>sont indiqués dans le présent Accord ou</w:t>
      </w:r>
      <w:r w:rsidRPr="00242238">
        <w:rPr>
          <w:lang w:val="fr-CH"/>
        </w:rPr>
        <w:t xml:space="preserve"> fixés d’entente, par correspondance, entre les deux services.</w:t>
      </w:r>
    </w:p>
    <w:p w:rsidR="00C87D01" w:rsidRPr="00242238" w:rsidRDefault="00C87D01" w:rsidP="00C87D01">
      <w:pPr>
        <w:rPr>
          <w:lang w:val="fr-CH"/>
        </w:rPr>
      </w:pPr>
    </w:p>
    <w:p w:rsidR="00C87D01" w:rsidRPr="00242238" w:rsidRDefault="00C87D01" w:rsidP="00C87D01">
      <w:pPr>
        <w:rPr>
          <w:lang w:val="fr-CH"/>
        </w:rPr>
      </w:pPr>
    </w:p>
    <w:p w:rsidR="00C87D01" w:rsidRDefault="00C87D01">
      <w:pPr>
        <w:jc w:val="left"/>
        <w:rPr>
          <w:rStyle w:val="underline"/>
          <w:lang w:val="fr-CH"/>
        </w:rPr>
      </w:pPr>
      <w:r>
        <w:rPr>
          <w:rStyle w:val="underline"/>
          <w:lang w:val="fr-CH"/>
        </w:rPr>
        <w:br w:type="page"/>
      </w:r>
    </w:p>
    <w:p w:rsidR="00C87D01" w:rsidRPr="00242238" w:rsidRDefault="00C87D01" w:rsidP="00C87D01">
      <w:pPr>
        <w:rPr>
          <w:lang w:val="fr-CH"/>
        </w:rPr>
      </w:pPr>
      <w:r w:rsidRPr="00242238">
        <w:rPr>
          <w:rStyle w:val="underline"/>
          <w:lang w:val="fr-CH"/>
        </w:rPr>
        <w:t>Article 7</w:t>
      </w:r>
    </w:p>
    <w:p w:rsidR="00C87D01" w:rsidRPr="00242238" w:rsidRDefault="00C87D01" w:rsidP="00C87D01">
      <w:pPr>
        <w:rPr>
          <w:lang w:val="fr-CH"/>
        </w:rPr>
      </w:pPr>
    </w:p>
    <w:p w:rsidR="00C87D01" w:rsidRPr="00242238" w:rsidRDefault="00C87D01" w:rsidP="00C87D01">
      <w:pPr>
        <w:rPr>
          <w:lang w:val="fr-CH"/>
        </w:rPr>
      </w:pPr>
      <w:r w:rsidRPr="00242238">
        <w:rPr>
          <w:lang w:val="fr-CH"/>
        </w:rPr>
        <w:t>1)</w:t>
      </w:r>
      <w:r w:rsidRPr="00242238">
        <w:rPr>
          <w:lang w:val="fr-CH"/>
        </w:rPr>
        <w:tab/>
        <w:t>Le service récepteur doit payer au service prestataire l’émolument convenu en application de l’article 6.</w:t>
      </w:r>
    </w:p>
    <w:p w:rsidR="00C87D01" w:rsidRPr="00242238" w:rsidRDefault="00C87D01" w:rsidP="00C87D01">
      <w:pPr>
        <w:rPr>
          <w:lang w:val="fr-CH"/>
        </w:rPr>
      </w:pPr>
    </w:p>
    <w:p w:rsidR="00C87D01" w:rsidRPr="00242238" w:rsidRDefault="00C87D01" w:rsidP="00C87D01">
      <w:pPr>
        <w:rPr>
          <w:lang w:val="fr-CH"/>
        </w:rPr>
      </w:pPr>
      <w:r w:rsidRPr="00242238">
        <w:rPr>
          <w:lang w:val="fr-CH"/>
        </w:rPr>
        <w:t>2)</w:t>
      </w:r>
      <w:r w:rsidRPr="00242238">
        <w:rPr>
          <w:lang w:val="fr-CH"/>
        </w:rPr>
        <w:tab/>
        <w:t xml:space="preserve"> i)  Dans le cas d’une prestation mentionnée à l’article 1.1</w:t>
      </w:r>
      <w:proofErr w:type="gramStart"/>
      <w:r w:rsidRPr="00242238">
        <w:rPr>
          <w:lang w:val="fr-CH"/>
        </w:rPr>
        <w:t>)iv</w:t>
      </w:r>
      <w:proofErr w:type="gramEnd"/>
      <w:r w:rsidRPr="00242238">
        <w:rPr>
          <w:lang w:val="fr-CH"/>
        </w:rPr>
        <w:t>) ci-dessus, il sera perçu un émolument administratif d’un montant correspondant à 350 francs suisses ou d’un autre montant convenu, par correspondance, entre les services.</w:t>
      </w:r>
    </w:p>
    <w:p w:rsidR="00C87D01" w:rsidRPr="00242238" w:rsidRDefault="00C87D01" w:rsidP="00C87D01">
      <w:pPr>
        <w:rPr>
          <w:lang w:val="fr-CH"/>
        </w:rPr>
      </w:pPr>
    </w:p>
    <w:p w:rsidR="00C87D01" w:rsidRPr="00242238" w:rsidRDefault="00C87D01" w:rsidP="00C87D01">
      <w:pPr>
        <w:rPr>
          <w:lang w:val="fr-CH"/>
        </w:rPr>
      </w:pPr>
      <w:r w:rsidRPr="00242238">
        <w:rPr>
          <w:lang w:val="fr-CH"/>
        </w:rPr>
        <w:tab/>
        <w:t>ii)  Lorsque la demande antérieure a été rejetée ou retirée et que, en application de l’article 5 ci-dessus, les services sont convenus de la poursuite de l’examen ou de la supervision pour le compte du service récepteur, la somme exigible est égale au coût supplémentaire résultant de la poursuite de l’examen ou de la supervision.</w:t>
      </w:r>
    </w:p>
    <w:p w:rsidR="00C87D01" w:rsidRPr="00242238" w:rsidRDefault="00C87D01" w:rsidP="00C87D01">
      <w:pPr>
        <w:rPr>
          <w:lang w:val="fr-CH"/>
        </w:rPr>
      </w:pPr>
    </w:p>
    <w:p w:rsidR="00C87D01" w:rsidRPr="00242238" w:rsidRDefault="00C87D01" w:rsidP="00C87D01">
      <w:pPr>
        <w:rPr>
          <w:lang w:val="fr-CH"/>
        </w:rPr>
      </w:pPr>
      <w:r w:rsidRPr="00242238">
        <w:rPr>
          <w:lang w:val="fr-CH"/>
        </w:rPr>
        <w:t>3)</w:t>
      </w:r>
      <w:r w:rsidRPr="00242238">
        <w:rPr>
          <w:lang w:val="fr-CH"/>
        </w:rPr>
        <w:tab/>
        <w:t>Le paiement doit être effectué dans un délai de trois mois suivant la réception de la facture indiquant le montant à acquitter.</w:t>
      </w:r>
    </w:p>
    <w:p w:rsidR="00C87D01" w:rsidRDefault="00C87D01" w:rsidP="00C87D01">
      <w:pPr>
        <w:rPr>
          <w:lang w:val="fr-CH"/>
        </w:rPr>
      </w:pPr>
    </w:p>
    <w:p w:rsidR="00C87D01" w:rsidRPr="00242238" w:rsidRDefault="00C87D01" w:rsidP="00C87D01">
      <w:pPr>
        <w:rPr>
          <w:lang w:val="fr-CH"/>
        </w:rPr>
      </w:pPr>
    </w:p>
    <w:p w:rsidR="00C87D01" w:rsidRPr="00242238" w:rsidRDefault="00C87D01" w:rsidP="00C87D01">
      <w:pPr>
        <w:keepNext/>
        <w:rPr>
          <w:lang w:val="fr-CH"/>
        </w:rPr>
      </w:pPr>
      <w:r w:rsidRPr="00242238">
        <w:rPr>
          <w:rStyle w:val="underline"/>
          <w:lang w:val="fr-CH"/>
        </w:rPr>
        <w:t>Article 8</w:t>
      </w:r>
    </w:p>
    <w:p w:rsidR="00C87D01" w:rsidRPr="00242238" w:rsidRDefault="00C87D01" w:rsidP="00C87D01">
      <w:pPr>
        <w:keepNext/>
        <w:rPr>
          <w:lang w:val="fr-CH"/>
        </w:rPr>
      </w:pPr>
    </w:p>
    <w:p w:rsidR="00C87D01" w:rsidRPr="00242238" w:rsidRDefault="00C87D01" w:rsidP="00C87D01">
      <w:pPr>
        <w:rPr>
          <w:lang w:val="fr-CH"/>
        </w:rPr>
      </w:pPr>
      <w:r w:rsidRPr="00242238">
        <w:rPr>
          <w:lang w:val="fr-CH"/>
        </w:rPr>
        <w:t>Chaque service convient de mettre à la disposition de l’autre service tous renseignements, moyens ou services d’experts supplémentaires dont celui-ci peut avoir besoin, à condition que cet autre service s’engage à prendre à sa charge les frais encourus.</w:t>
      </w:r>
    </w:p>
    <w:p w:rsidR="00C87D01" w:rsidRPr="00242238" w:rsidRDefault="00C87D01" w:rsidP="00C87D01">
      <w:pPr>
        <w:rPr>
          <w:lang w:val="fr-CH"/>
        </w:rPr>
      </w:pPr>
    </w:p>
    <w:p w:rsidR="00C87D01" w:rsidRPr="00242238" w:rsidRDefault="00C87D01" w:rsidP="00C87D01">
      <w:pPr>
        <w:rPr>
          <w:lang w:val="fr-CH"/>
        </w:rPr>
      </w:pPr>
    </w:p>
    <w:p w:rsidR="00C87D01" w:rsidRPr="00242238" w:rsidRDefault="00C87D01" w:rsidP="00C87D01">
      <w:pPr>
        <w:rPr>
          <w:lang w:val="fr-CH"/>
        </w:rPr>
      </w:pPr>
      <w:r w:rsidRPr="00242238">
        <w:rPr>
          <w:rStyle w:val="underline"/>
          <w:lang w:val="fr-CH"/>
        </w:rPr>
        <w:t>Article 9</w:t>
      </w:r>
    </w:p>
    <w:p w:rsidR="00C87D01" w:rsidRPr="00242238" w:rsidRDefault="00C87D01" w:rsidP="00C87D01">
      <w:pPr>
        <w:rPr>
          <w:lang w:val="fr-CH"/>
        </w:rPr>
      </w:pPr>
    </w:p>
    <w:p w:rsidR="00C87D01" w:rsidRPr="00242238" w:rsidRDefault="00C87D01" w:rsidP="00C87D01">
      <w:pPr>
        <w:rPr>
          <w:lang w:val="fr-CH"/>
        </w:rPr>
      </w:pPr>
      <w:r w:rsidRPr="00242238">
        <w:rPr>
          <w:lang w:val="fr-CH"/>
        </w:rPr>
        <w:t>1)</w:t>
      </w:r>
      <w:r w:rsidRPr="00242238">
        <w:rPr>
          <w:lang w:val="fr-CH"/>
        </w:rPr>
        <w:tab/>
        <w:t xml:space="preserve">Le présent Accord entrera en vigueur le </w:t>
      </w:r>
      <w:r w:rsidRPr="00BE3088">
        <w:rPr>
          <w:lang w:val="fr-CH"/>
        </w:rPr>
        <w:t>[</w:t>
      </w:r>
      <w:proofErr w:type="gramStart"/>
      <w:r w:rsidRPr="00BE3088">
        <w:rPr>
          <w:lang w:val="fr-CH"/>
        </w:rPr>
        <w:t>.…………</w:t>
      </w:r>
      <w:proofErr w:type="gramEnd"/>
      <w:r w:rsidRPr="00BE3088">
        <w:rPr>
          <w:lang w:val="fr-CH"/>
        </w:rPr>
        <w:t>]</w:t>
      </w:r>
      <w:r w:rsidRPr="00242238">
        <w:rPr>
          <w:lang w:val="fr-CH"/>
        </w:rPr>
        <w:t xml:space="preserve"> (date) [et remplacera l’accord du </w:t>
      </w:r>
      <w:r w:rsidRPr="00BE3088">
        <w:rPr>
          <w:lang w:val="fr-CH"/>
        </w:rPr>
        <w:t>[.…………]</w:t>
      </w:r>
      <w:r w:rsidRPr="00242238">
        <w:rPr>
          <w:lang w:val="fr-CH"/>
        </w:rPr>
        <w:t xml:space="preserve"> (date) pour la coopération en matière d’examen des variétés].</w:t>
      </w:r>
    </w:p>
    <w:p w:rsidR="00C87D01" w:rsidRPr="00242238" w:rsidRDefault="00C87D01" w:rsidP="00C87D01">
      <w:pPr>
        <w:rPr>
          <w:lang w:val="fr-CH"/>
        </w:rPr>
      </w:pPr>
    </w:p>
    <w:p w:rsidR="00C87D01" w:rsidRPr="00242238" w:rsidRDefault="00C87D01" w:rsidP="00C87D01">
      <w:pPr>
        <w:rPr>
          <w:lang w:val="fr-CH"/>
        </w:rPr>
      </w:pPr>
      <w:r w:rsidRPr="00242238">
        <w:rPr>
          <w:lang w:val="fr-CH"/>
        </w:rPr>
        <w:t>2)</w:t>
      </w:r>
      <w:r w:rsidRPr="00242238">
        <w:rPr>
          <w:lang w:val="fr-CH"/>
        </w:rPr>
        <w:tab/>
        <w:t>Le présent Accord et ses annexes pourront être modifiés par consentement mutuel.</w:t>
      </w:r>
    </w:p>
    <w:p w:rsidR="00C87D01" w:rsidRPr="00242238" w:rsidRDefault="00C87D01" w:rsidP="00C87D01">
      <w:pPr>
        <w:rPr>
          <w:lang w:val="fr-CH"/>
        </w:rPr>
      </w:pPr>
    </w:p>
    <w:p w:rsidR="00C87D01" w:rsidRPr="00242238" w:rsidRDefault="00C87D01" w:rsidP="00C87D01">
      <w:pPr>
        <w:rPr>
          <w:lang w:val="fr-CH"/>
        </w:rPr>
      </w:pPr>
      <w:r w:rsidRPr="00242238">
        <w:rPr>
          <w:lang w:val="fr-CH"/>
        </w:rPr>
        <w:t>3)</w:t>
      </w:r>
      <w:r w:rsidRPr="00242238">
        <w:rPr>
          <w:lang w:val="fr-CH"/>
        </w:rPr>
        <w:tab/>
        <w:t>Toute partie souhaitant résilier le présent Accord dans sa totalité ou partiellement en avisera l’autre partie.</w:t>
      </w:r>
    </w:p>
    <w:p w:rsidR="00C87D01" w:rsidRPr="00242238" w:rsidRDefault="00C87D01" w:rsidP="00C87D01">
      <w:pPr>
        <w:rPr>
          <w:lang w:val="fr-CH"/>
        </w:rPr>
      </w:pPr>
    </w:p>
    <w:p w:rsidR="00C87D01" w:rsidRPr="00242238" w:rsidRDefault="00C87D01" w:rsidP="00C87D01">
      <w:pPr>
        <w:rPr>
          <w:lang w:val="fr-CH"/>
        </w:rPr>
      </w:pPr>
      <w:r w:rsidRPr="00242238">
        <w:rPr>
          <w:lang w:val="fr-CH"/>
        </w:rPr>
        <w:t>4)</w:t>
      </w:r>
      <w:r w:rsidRPr="00242238">
        <w:rPr>
          <w:lang w:val="fr-CH"/>
        </w:rPr>
        <w:tab/>
        <w:t>Sauf accord contraire entre les parties, toute résiliation prendra effet seulement après que le préavis de deux ans aura été respecté, que les examens en cours auront été achevés et que les rapports pertinents auront été transmis.</w:t>
      </w:r>
    </w:p>
    <w:p w:rsidR="00C87D01" w:rsidRDefault="00C87D01" w:rsidP="00C87D01">
      <w:pPr>
        <w:rPr>
          <w:lang w:val="fr-CH"/>
        </w:rPr>
      </w:pPr>
    </w:p>
    <w:p w:rsidR="00C87D01" w:rsidRPr="00242238" w:rsidRDefault="00C87D01" w:rsidP="00C87D01">
      <w:pPr>
        <w:rPr>
          <w:lang w:val="fr-CH"/>
        </w:rPr>
      </w:pPr>
    </w:p>
    <w:p w:rsidR="00C87D01" w:rsidRPr="00BE3088" w:rsidRDefault="00C87D01" w:rsidP="00C87D01">
      <w:pPr>
        <w:rPr>
          <w:u w:val="single"/>
          <w:lang w:val="fr-CH"/>
        </w:rPr>
      </w:pPr>
      <w:r w:rsidRPr="00BE3088">
        <w:rPr>
          <w:u w:val="single"/>
          <w:lang w:val="fr-CH"/>
        </w:rPr>
        <w:t>Article 10</w:t>
      </w:r>
    </w:p>
    <w:p w:rsidR="00C87D01" w:rsidRPr="00242238" w:rsidRDefault="00C87D01" w:rsidP="00C87D01">
      <w:pPr>
        <w:rPr>
          <w:lang w:val="fr-CH"/>
        </w:rPr>
      </w:pPr>
    </w:p>
    <w:p w:rsidR="00C87D01" w:rsidRPr="00BE3088" w:rsidRDefault="00C87D01" w:rsidP="00C87D01">
      <w:pPr>
        <w:rPr>
          <w:lang w:val="fr-CH"/>
        </w:rPr>
      </w:pPr>
      <w:r w:rsidRPr="00BE3088">
        <w:rPr>
          <w:lang w:val="fr-CH"/>
        </w:rPr>
        <w:t>Si un service reçoit une demande de droit d’obtenteur pour une variété dont l’examen sera demandé à un autre service, le déposant doit en être informé à l’avance.</w:t>
      </w:r>
    </w:p>
    <w:p w:rsidR="00C87D01" w:rsidRPr="00242238" w:rsidRDefault="00C87D01" w:rsidP="00C87D01">
      <w:pPr>
        <w:rPr>
          <w:lang w:val="fr-CH"/>
        </w:rPr>
      </w:pPr>
    </w:p>
    <w:p w:rsidR="00C87D01" w:rsidRPr="00242238" w:rsidRDefault="00C87D01" w:rsidP="00C87D01">
      <w:pPr>
        <w:rPr>
          <w:lang w:val="fr-CH"/>
        </w:rPr>
      </w:pPr>
    </w:p>
    <w:p w:rsidR="00C87D01" w:rsidRPr="00242238" w:rsidRDefault="00C87D01" w:rsidP="00C87D01">
      <w:pPr>
        <w:rPr>
          <w:lang w:val="fr-CH"/>
        </w:rPr>
      </w:pPr>
    </w:p>
    <w:p w:rsidR="00C87D01" w:rsidRPr="00242238" w:rsidRDefault="00C87D01" w:rsidP="00C87D01">
      <w:pPr>
        <w:jc w:val="right"/>
        <w:rPr>
          <w:lang w:val="fr-CH"/>
        </w:rPr>
      </w:pPr>
      <w:r w:rsidRPr="00242238">
        <w:rPr>
          <w:lang w:val="fr-CH"/>
        </w:rPr>
        <w:t>[Fin de la section 1]</w:t>
      </w:r>
    </w:p>
    <w:p w:rsidR="007D7C07" w:rsidRPr="00A16BB4" w:rsidRDefault="007D7C07">
      <w:pPr>
        <w:jc w:val="left"/>
        <w:rPr>
          <w:rFonts w:cs="Arial"/>
        </w:rPr>
      </w:pPr>
    </w:p>
    <w:sectPr w:rsidR="007D7C07" w:rsidRPr="00A16BB4" w:rsidSect="00C87D01">
      <w:headerReference w:type="default" r:id="rId10"/>
      <w:endnotePr>
        <w:numFmt w:val="lowerLetter"/>
      </w:endnotePr>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379" w:rsidRDefault="00FD2379" w:rsidP="006655D3">
      <w:r>
        <w:separator/>
      </w:r>
    </w:p>
    <w:p w:rsidR="00FD2379" w:rsidRDefault="00FD2379" w:rsidP="006655D3"/>
    <w:p w:rsidR="00FD2379" w:rsidRDefault="00FD2379" w:rsidP="006655D3"/>
  </w:endnote>
  <w:endnote w:type="continuationSeparator" w:id="0">
    <w:p w:rsidR="00FD2379" w:rsidRDefault="00FD2379" w:rsidP="006655D3">
      <w:r>
        <w:separator/>
      </w:r>
    </w:p>
    <w:p w:rsidR="00FD2379" w:rsidRPr="00BB7847" w:rsidRDefault="00FD2379">
      <w:pPr>
        <w:pStyle w:val="Footer"/>
        <w:spacing w:after="60"/>
        <w:rPr>
          <w:sz w:val="18"/>
          <w:lang w:val="fr-CH"/>
        </w:rPr>
      </w:pPr>
      <w:r w:rsidRPr="00BB7847">
        <w:rPr>
          <w:sz w:val="18"/>
          <w:lang w:val="fr-CH"/>
        </w:rPr>
        <w:t>[Suite de la note de la page précédente]</w:t>
      </w:r>
    </w:p>
    <w:p w:rsidR="00FD2379" w:rsidRDefault="00FD2379" w:rsidP="006655D3"/>
    <w:p w:rsidR="00FD2379" w:rsidRDefault="00FD2379" w:rsidP="006655D3"/>
  </w:endnote>
  <w:endnote w:type="continuationNotice" w:id="1">
    <w:p w:rsidR="00FD2379" w:rsidRDefault="00FD2379" w:rsidP="006655D3">
      <w:r>
        <w:t>[Suite de la note page suivante]</w:t>
      </w:r>
    </w:p>
    <w:p w:rsidR="00FD2379" w:rsidRDefault="00FD2379" w:rsidP="006655D3"/>
    <w:p w:rsidR="00FD2379" w:rsidRDefault="00FD2379"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379" w:rsidRDefault="00FD2379" w:rsidP="006655D3">
      <w:r>
        <w:separator/>
      </w:r>
    </w:p>
  </w:footnote>
  <w:footnote w:type="continuationSeparator" w:id="0">
    <w:p w:rsidR="00FD2379" w:rsidRDefault="00FD2379" w:rsidP="006655D3">
      <w:r>
        <w:separator/>
      </w:r>
    </w:p>
  </w:footnote>
  <w:footnote w:type="continuationNotice" w:id="1">
    <w:p w:rsidR="00FD2379" w:rsidRPr="00C416F1" w:rsidRDefault="00FD2379" w:rsidP="00C416F1">
      <w:pPr>
        <w:pStyle w:val="Footer"/>
      </w:pPr>
    </w:p>
  </w:footnote>
  <w:footnote w:id="2">
    <w:p w:rsidR="00C87D01" w:rsidRPr="00BE3088" w:rsidRDefault="00C87D01" w:rsidP="00C87D01">
      <w:pPr>
        <w:pStyle w:val="FootnoteText"/>
        <w:ind w:left="360" w:hanging="360"/>
        <w:rPr>
          <w:lang w:val="fr-FR"/>
        </w:rPr>
      </w:pPr>
      <w:r w:rsidRPr="00BE3088">
        <w:rPr>
          <w:rStyle w:val="FootnoteReference"/>
        </w:rPr>
        <w:footnoteRef/>
      </w:r>
      <w:r w:rsidRPr="00BE3088">
        <w:rPr>
          <w:lang w:val="fr-FR"/>
        </w:rPr>
        <w:t xml:space="preserve"> </w:t>
      </w:r>
      <w:r w:rsidRPr="00BE3088">
        <w:rPr>
          <w:lang w:val="fr-FR"/>
        </w:rPr>
        <w:tab/>
        <w:t>Ajouter, le cas échéant, le nom du registre officiel approprié (par exemple liste nationale, catalogue officiel, etc.) des variétés admises à la commercialisation.</w:t>
      </w:r>
    </w:p>
  </w:footnote>
  <w:footnote w:id="3">
    <w:p w:rsidR="00C87D01" w:rsidRPr="00BE3088" w:rsidRDefault="00C87D01" w:rsidP="00C87D01">
      <w:pPr>
        <w:pStyle w:val="FootnoteText"/>
        <w:ind w:left="360" w:hanging="360"/>
        <w:rPr>
          <w:lang w:val="fr-FR"/>
        </w:rPr>
      </w:pPr>
      <w:r w:rsidRPr="00BE3088">
        <w:rPr>
          <w:rStyle w:val="FootnoteReference"/>
        </w:rPr>
        <w:footnoteRef/>
      </w:r>
      <w:r w:rsidRPr="00BE3088">
        <w:rPr>
          <w:lang w:val="fr-FR"/>
        </w:rPr>
        <w:t xml:space="preserve"> </w:t>
      </w:r>
      <w:r w:rsidRPr="00BE3088">
        <w:rPr>
          <w:lang w:val="fr-FR"/>
        </w:rPr>
        <w:tab/>
        <w:t>Le “déposant” doit être l’“obtenteur” au sens défini à l’article 1.iv) de l’Acte de 1991 de la Convention UPOV, selon lequel on entend par “obtenteur” :</w:t>
      </w:r>
    </w:p>
    <w:p w:rsidR="00C87D01" w:rsidRPr="00BE3088" w:rsidRDefault="00C87D01" w:rsidP="00C87D01">
      <w:pPr>
        <w:pStyle w:val="FootnoteText"/>
        <w:ind w:left="360" w:hanging="360"/>
        <w:rPr>
          <w:lang w:val="fr-FR"/>
        </w:rPr>
      </w:pPr>
      <w:r w:rsidRPr="00BE3088">
        <w:rPr>
          <w:lang w:val="fr-FR"/>
        </w:rPr>
        <w:tab/>
        <w:t>“</w:t>
      </w:r>
      <w:r>
        <w:rPr>
          <w:lang w:val="fr-FR"/>
        </w:rPr>
        <w:t xml:space="preserve">– </w:t>
      </w:r>
      <w:r w:rsidRPr="00BE3088">
        <w:rPr>
          <w:lang w:val="fr-FR"/>
        </w:rPr>
        <w:t>la personne qui a créé ou qui a découvert et mis au point une variété,</w:t>
      </w:r>
    </w:p>
    <w:p w:rsidR="00C87D01" w:rsidRPr="00BE3088" w:rsidRDefault="00C87D01" w:rsidP="00C87D01">
      <w:pPr>
        <w:pStyle w:val="FootnoteText"/>
        <w:ind w:left="360" w:hanging="360"/>
        <w:rPr>
          <w:lang w:val="fr-FR"/>
        </w:rPr>
      </w:pPr>
      <w:r w:rsidRPr="00BE3088">
        <w:rPr>
          <w:lang w:val="fr-FR"/>
        </w:rPr>
        <w:tab/>
        <w:t xml:space="preserve">– </w:t>
      </w:r>
      <w:r w:rsidRPr="00BE3088">
        <w:rPr>
          <w:lang w:val="fr-FR"/>
        </w:rPr>
        <w:tab/>
        <w:t xml:space="preserve">la personne qui est l’employeur de la personne précitée ou qui a commandé son travail, lorsque la </w:t>
      </w:r>
      <w:r w:rsidRPr="00BE3088">
        <w:rPr>
          <w:lang w:val="fr-FR"/>
        </w:rPr>
        <w:tab/>
        <w:t>législation de la Partie contractante en cause prévoit que le droit d’obtenteur lui appartient, ou</w:t>
      </w:r>
    </w:p>
    <w:p w:rsidR="00C87D01" w:rsidRPr="00872D72" w:rsidRDefault="00C87D01" w:rsidP="00C87D01">
      <w:pPr>
        <w:pStyle w:val="FootnoteText"/>
        <w:ind w:left="360" w:hanging="360"/>
        <w:rPr>
          <w:u w:val="single"/>
          <w:lang w:val="fr-FR"/>
        </w:rPr>
      </w:pPr>
      <w:r w:rsidRPr="00BE3088">
        <w:rPr>
          <w:lang w:val="fr-FR"/>
        </w:rPr>
        <w:tab/>
        <w:t xml:space="preserve">– </w:t>
      </w:r>
      <w:r w:rsidRPr="00BE3088">
        <w:rPr>
          <w:lang w:val="fr-FR"/>
        </w:rPr>
        <w:tab/>
        <w:t>l’ayant droit ou l’ayant cause de la première ou de la deuxième personne précitée, selon le 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D01" w:rsidRDefault="00C87D01">
    <w:pPr>
      <w:pStyle w:val="Header"/>
      <w:rPr>
        <w:noProof/>
      </w:rPr>
    </w:pPr>
    <w:r w:rsidRPr="00C87D01">
      <w:t xml:space="preserve">TGP/5: Section 1/3 </w:t>
    </w:r>
    <w:proofErr w:type="spellStart"/>
    <w:r w:rsidRPr="00C87D01">
      <w:t>Draft</w:t>
    </w:r>
    <w:proofErr w:type="spellEnd"/>
    <w:r w:rsidRPr="00C87D01">
      <w:t xml:space="preserve"> </w:t>
    </w:r>
    <w:r w:rsidR="00534088">
      <w:t>2</w:t>
    </w:r>
    <w:r>
      <w:br/>
      <w:t xml:space="preserve">page </w:t>
    </w:r>
    <w:r>
      <w:fldChar w:fldCharType="begin"/>
    </w:r>
    <w:r>
      <w:instrText xml:space="preserve"> PAGE   \* MERGEFORMAT </w:instrText>
    </w:r>
    <w:r>
      <w:fldChar w:fldCharType="separate"/>
    </w:r>
    <w:r w:rsidR="005C6A7E">
      <w:rPr>
        <w:noProof/>
      </w:rPr>
      <w:t>5</w:t>
    </w:r>
    <w:r>
      <w:rPr>
        <w:noProof/>
      </w:rPr>
      <w:fldChar w:fldCharType="end"/>
    </w:r>
  </w:p>
  <w:p w:rsidR="00C87D01" w:rsidRDefault="00C87D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5EE3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9AE16D9"/>
    <w:multiLevelType w:val="singleLevel"/>
    <w:tmpl w:val="9064CCF2"/>
    <w:lvl w:ilvl="0">
      <w:start w:val="1"/>
      <w:numFmt w:val="lowerRoman"/>
      <w:lvlText w:val="%1)"/>
      <w:lvlJc w:val="right"/>
      <w:pPr>
        <w:tabs>
          <w:tab w:val="num" w:pos="814"/>
        </w:tabs>
        <w:ind w:left="284" w:firstLine="170"/>
      </w:pPr>
      <w:rPr>
        <w:rFonts w:hint="default"/>
      </w:rPr>
    </w:lvl>
  </w:abstractNum>
  <w:abstractNum w:abstractNumId="4">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024753B"/>
    <w:multiLevelType w:val="hybridMultilevel"/>
    <w:tmpl w:val="6E62117A"/>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D1250E"/>
    <w:multiLevelType w:val="singleLevel"/>
    <w:tmpl w:val="4A46B1B6"/>
    <w:lvl w:ilvl="0">
      <w:start w:val="1"/>
      <w:numFmt w:val="lowerRoman"/>
      <w:lvlText w:val="%1)"/>
      <w:lvlJc w:val="right"/>
      <w:pPr>
        <w:tabs>
          <w:tab w:val="num" w:pos="814"/>
        </w:tabs>
        <w:ind w:left="284" w:firstLine="170"/>
      </w:pPr>
      <w:rPr>
        <w:rFonts w:hint="default"/>
      </w:rPr>
    </w:lvl>
  </w:abstractNum>
  <w:abstractNum w:abstractNumId="7">
    <w:nsid w:val="16265CD9"/>
    <w:multiLevelType w:val="singleLevel"/>
    <w:tmpl w:val="4A46B1B6"/>
    <w:lvl w:ilvl="0">
      <w:start w:val="1"/>
      <w:numFmt w:val="lowerRoman"/>
      <w:lvlText w:val="%1)"/>
      <w:lvlJc w:val="right"/>
      <w:pPr>
        <w:tabs>
          <w:tab w:val="num" w:pos="814"/>
        </w:tabs>
        <w:ind w:left="284" w:firstLine="170"/>
      </w:pPr>
      <w:rPr>
        <w:rFonts w:hint="default"/>
      </w:rPr>
    </w:lvl>
  </w:abstractNum>
  <w:abstractNum w:abstractNumId="8">
    <w:nsid w:val="1C895A8C"/>
    <w:multiLevelType w:val="hybridMultilevel"/>
    <w:tmpl w:val="F392DF16"/>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9">
    <w:nsid w:val="22833C7A"/>
    <w:multiLevelType w:val="hybridMultilevel"/>
    <w:tmpl w:val="CC347F8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A1D4697"/>
    <w:multiLevelType w:val="singleLevel"/>
    <w:tmpl w:val="4A46B1B6"/>
    <w:lvl w:ilvl="0">
      <w:start w:val="1"/>
      <w:numFmt w:val="lowerRoman"/>
      <w:lvlText w:val="%1)"/>
      <w:lvlJc w:val="right"/>
      <w:pPr>
        <w:tabs>
          <w:tab w:val="num" w:pos="814"/>
        </w:tabs>
        <w:ind w:left="284" w:firstLine="170"/>
      </w:pPr>
      <w:rPr>
        <w:rFonts w:hint="default"/>
      </w:rPr>
    </w:lvl>
  </w:abstractNum>
  <w:abstractNum w:abstractNumId="13">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CFA3E59"/>
    <w:multiLevelType w:val="hybridMultilevel"/>
    <w:tmpl w:val="470622C6"/>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15">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EA089E"/>
    <w:multiLevelType w:val="hybridMultilevel"/>
    <w:tmpl w:val="7494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C14174F"/>
    <w:multiLevelType w:val="hybridMultilevel"/>
    <w:tmpl w:val="B906A15C"/>
    <w:lvl w:ilvl="0" w:tplc="F8BCEF02">
      <w:start w:val="1"/>
      <w:numFmt w:val="bullet"/>
      <w:lvlText w:val=""/>
      <w:lvlJc w:val="left"/>
      <w:pPr>
        <w:tabs>
          <w:tab w:val="num" w:pos="1701"/>
        </w:tabs>
        <w:ind w:left="1701"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CFB2B96"/>
    <w:multiLevelType w:val="hybridMultilevel"/>
    <w:tmpl w:val="04C6A050"/>
    <w:lvl w:ilvl="0" w:tplc="A93AC7D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0C45CE3"/>
    <w:multiLevelType w:val="hybridMultilevel"/>
    <w:tmpl w:val="CDE2F5B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2">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20"/>
  </w:num>
  <w:num w:numId="2">
    <w:abstractNumId w:val="2"/>
  </w:num>
  <w:num w:numId="3">
    <w:abstractNumId w:val="11"/>
  </w:num>
  <w:num w:numId="4">
    <w:abstractNumId w:val="10"/>
  </w:num>
  <w:num w:numId="5">
    <w:abstractNumId w:val="22"/>
  </w:num>
  <w:num w:numId="6">
    <w:abstractNumId w:val="4"/>
  </w:num>
  <w:num w:numId="7">
    <w:abstractNumId w:val="18"/>
  </w:num>
  <w:num w:numId="8">
    <w:abstractNumId w:val="23"/>
  </w:num>
  <w:num w:numId="9">
    <w:abstractNumId w:val="17"/>
  </w:num>
  <w:num w:numId="10">
    <w:abstractNumId w:val="13"/>
  </w:num>
  <w:num w:numId="11">
    <w:abstractNumId w:val="19"/>
  </w:num>
  <w:num w:numId="12">
    <w:abstractNumId w:val="0"/>
  </w:num>
  <w:num w:numId="13">
    <w:abstractNumId w:val="1"/>
  </w:num>
  <w:num w:numId="14">
    <w:abstractNumId w:val="15"/>
  </w:num>
  <w:num w:numId="15">
    <w:abstractNumId w:val="23"/>
  </w:num>
  <w:num w:numId="16">
    <w:abstractNumId w:val="23"/>
  </w:num>
  <w:num w:numId="17">
    <w:abstractNumId w:val="21"/>
  </w:num>
  <w:num w:numId="18">
    <w:abstractNumId w:val="8"/>
  </w:num>
  <w:num w:numId="19">
    <w:abstractNumId w:val="14"/>
  </w:num>
  <w:num w:numId="20">
    <w:abstractNumId w:val="9"/>
  </w:num>
  <w:num w:numId="21">
    <w:abstractNumId w:val="16"/>
  </w:num>
  <w:num w:numId="22">
    <w:abstractNumId w:val="5"/>
  </w:num>
  <w:num w:numId="23">
    <w:abstractNumId w:val="3"/>
  </w:num>
  <w:num w:numId="24">
    <w:abstractNumId w:val="6"/>
  </w:num>
  <w:num w:numId="25">
    <w:abstractNumId w:val="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A2"/>
    <w:rsid w:val="00002D2A"/>
    <w:rsid w:val="00002F82"/>
    <w:rsid w:val="000057C4"/>
    <w:rsid w:val="000103BB"/>
    <w:rsid w:val="00010CF3"/>
    <w:rsid w:val="00011E27"/>
    <w:rsid w:val="000148BC"/>
    <w:rsid w:val="00024AB8"/>
    <w:rsid w:val="00030854"/>
    <w:rsid w:val="00032510"/>
    <w:rsid w:val="00036028"/>
    <w:rsid w:val="00044642"/>
    <w:rsid w:val="000446B9"/>
    <w:rsid w:val="000447E1"/>
    <w:rsid w:val="00046C61"/>
    <w:rsid w:val="00047D7F"/>
    <w:rsid w:val="00047E21"/>
    <w:rsid w:val="000761CA"/>
    <w:rsid w:val="00081D8B"/>
    <w:rsid w:val="00085505"/>
    <w:rsid w:val="00091AEB"/>
    <w:rsid w:val="000A1E07"/>
    <w:rsid w:val="000A48E5"/>
    <w:rsid w:val="000A68B4"/>
    <w:rsid w:val="000B0441"/>
    <w:rsid w:val="000C62C5"/>
    <w:rsid w:val="000C7021"/>
    <w:rsid w:val="000D6BBC"/>
    <w:rsid w:val="000D7780"/>
    <w:rsid w:val="000E6849"/>
    <w:rsid w:val="000F4EA1"/>
    <w:rsid w:val="000F66BA"/>
    <w:rsid w:val="000F7B79"/>
    <w:rsid w:val="00105929"/>
    <w:rsid w:val="001131D5"/>
    <w:rsid w:val="00113E48"/>
    <w:rsid w:val="001417D8"/>
    <w:rsid w:val="00141DB8"/>
    <w:rsid w:val="00166797"/>
    <w:rsid w:val="0017474A"/>
    <w:rsid w:val="001758C6"/>
    <w:rsid w:val="00182B99"/>
    <w:rsid w:val="00184D11"/>
    <w:rsid w:val="001866D8"/>
    <w:rsid w:val="001B18DD"/>
    <w:rsid w:val="001B2219"/>
    <w:rsid w:val="001B5948"/>
    <w:rsid w:val="001C394F"/>
    <w:rsid w:val="001E1128"/>
    <w:rsid w:val="001F08D5"/>
    <w:rsid w:val="001F1CE6"/>
    <w:rsid w:val="00210C94"/>
    <w:rsid w:val="0021332C"/>
    <w:rsid w:val="00213982"/>
    <w:rsid w:val="00226939"/>
    <w:rsid w:val="00233C6C"/>
    <w:rsid w:val="0024416D"/>
    <w:rsid w:val="00246E54"/>
    <w:rsid w:val="00250FC2"/>
    <w:rsid w:val="00252F7A"/>
    <w:rsid w:val="00253C36"/>
    <w:rsid w:val="00277130"/>
    <w:rsid w:val="002800A0"/>
    <w:rsid w:val="002801B3"/>
    <w:rsid w:val="00281060"/>
    <w:rsid w:val="002815D0"/>
    <w:rsid w:val="002852D1"/>
    <w:rsid w:val="00287F78"/>
    <w:rsid w:val="0029286F"/>
    <w:rsid w:val="00294032"/>
    <w:rsid w:val="002940E8"/>
    <w:rsid w:val="00295044"/>
    <w:rsid w:val="00295414"/>
    <w:rsid w:val="002A6E50"/>
    <w:rsid w:val="002C256A"/>
    <w:rsid w:val="002D1739"/>
    <w:rsid w:val="002D2BBF"/>
    <w:rsid w:val="002E4023"/>
    <w:rsid w:val="00304FFF"/>
    <w:rsid w:val="00305A7F"/>
    <w:rsid w:val="003152FE"/>
    <w:rsid w:val="003171DB"/>
    <w:rsid w:val="00327436"/>
    <w:rsid w:val="003436D9"/>
    <w:rsid w:val="00344BD6"/>
    <w:rsid w:val="00351627"/>
    <w:rsid w:val="0035528D"/>
    <w:rsid w:val="0035791E"/>
    <w:rsid w:val="00361821"/>
    <w:rsid w:val="00363B5A"/>
    <w:rsid w:val="003B027E"/>
    <w:rsid w:val="003C4716"/>
    <w:rsid w:val="003D227C"/>
    <w:rsid w:val="003D2B4D"/>
    <w:rsid w:val="003F60DF"/>
    <w:rsid w:val="003F6C09"/>
    <w:rsid w:val="00405267"/>
    <w:rsid w:val="00407144"/>
    <w:rsid w:val="00417C46"/>
    <w:rsid w:val="00417DA4"/>
    <w:rsid w:val="0042245E"/>
    <w:rsid w:val="00423762"/>
    <w:rsid w:val="0043658A"/>
    <w:rsid w:val="00437872"/>
    <w:rsid w:val="004378C3"/>
    <w:rsid w:val="0044287B"/>
    <w:rsid w:val="00444A88"/>
    <w:rsid w:val="00456DF3"/>
    <w:rsid w:val="004675CA"/>
    <w:rsid w:val="00474914"/>
    <w:rsid w:val="00474DA4"/>
    <w:rsid w:val="00476B4D"/>
    <w:rsid w:val="004805FA"/>
    <w:rsid w:val="00487CD9"/>
    <w:rsid w:val="00492A65"/>
    <w:rsid w:val="00495433"/>
    <w:rsid w:val="004C0241"/>
    <w:rsid w:val="004D047D"/>
    <w:rsid w:val="004D2BEE"/>
    <w:rsid w:val="004E1779"/>
    <w:rsid w:val="004E6B88"/>
    <w:rsid w:val="004F305A"/>
    <w:rsid w:val="004F6CA1"/>
    <w:rsid w:val="0050175C"/>
    <w:rsid w:val="00512164"/>
    <w:rsid w:val="00514DC1"/>
    <w:rsid w:val="00520297"/>
    <w:rsid w:val="005338F9"/>
    <w:rsid w:val="00534088"/>
    <w:rsid w:val="0054281C"/>
    <w:rsid w:val="00543A5C"/>
    <w:rsid w:val="00543C85"/>
    <w:rsid w:val="0055268D"/>
    <w:rsid w:val="00555E79"/>
    <w:rsid w:val="00567FBE"/>
    <w:rsid w:val="00576BE4"/>
    <w:rsid w:val="00587DC0"/>
    <w:rsid w:val="00591AFC"/>
    <w:rsid w:val="00595C8E"/>
    <w:rsid w:val="005966EE"/>
    <w:rsid w:val="005A1D4D"/>
    <w:rsid w:val="005A400A"/>
    <w:rsid w:val="005A637B"/>
    <w:rsid w:val="005A7EF7"/>
    <w:rsid w:val="005B1EA3"/>
    <w:rsid w:val="005B3FE3"/>
    <w:rsid w:val="005C2B4F"/>
    <w:rsid w:val="005C6A7E"/>
    <w:rsid w:val="005D13C8"/>
    <w:rsid w:val="005F05B6"/>
    <w:rsid w:val="005F2C30"/>
    <w:rsid w:val="005F2CA6"/>
    <w:rsid w:val="006004A2"/>
    <w:rsid w:val="00612379"/>
    <w:rsid w:val="00613228"/>
    <w:rsid w:val="006145BB"/>
    <w:rsid w:val="006149F2"/>
    <w:rsid w:val="0061555F"/>
    <w:rsid w:val="006158A1"/>
    <w:rsid w:val="00624019"/>
    <w:rsid w:val="00624971"/>
    <w:rsid w:val="00641200"/>
    <w:rsid w:val="00646C7D"/>
    <w:rsid w:val="006562D7"/>
    <w:rsid w:val="006655D3"/>
    <w:rsid w:val="00676455"/>
    <w:rsid w:val="006843E6"/>
    <w:rsid w:val="00687EB4"/>
    <w:rsid w:val="00693A84"/>
    <w:rsid w:val="006A247A"/>
    <w:rsid w:val="006A456C"/>
    <w:rsid w:val="006A51BD"/>
    <w:rsid w:val="006B17D2"/>
    <w:rsid w:val="006B7CF6"/>
    <w:rsid w:val="006C11EC"/>
    <w:rsid w:val="006C224E"/>
    <w:rsid w:val="006C2863"/>
    <w:rsid w:val="006D25EF"/>
    <w:rsid w:val="006D4692"/>
    <w:rsid w:val="006D780A"/>
    <w:rsid w:val="006F198C"/>
    <w:rsid w:val="006F30F0"/>
    <w:rsid w:val="0070551D"/>
    <w:rsid w:val="007141D4"/>
    <w:rsid w:val="00717052"/>
    <w:rsid w:val="00732DEC"/>
    <w:rsid w:val="00735BD5"/>
    <w:rsid w:val="00746B88"/>
    <w:rsid w:val="007556D2"/>
    <w:rsid w:val="007556F6"/>
    <w:rsid w:val="00760EEF"/>
    <w:rsid w:val="00765B55"/>
    <w:rsid w:val="00766F1B"/>
    <w:rsid w:val="00777EE5"/>
    <w:rsid w:val="00784836"/>
    <w:rsid w:val="0079023E"/>
    <w:rsid w:val="00793743"/>
    <w:rsid w:val="007958B7"/>
    <w:rsid w:val="007A2854"/>
    <w:rsid w:val="007A3726"/>
    <w:rsid w:val="007A3C0F"/>
    <w:rsid w:val="007A54DE"/>
    <w:rsid w:val="007A591C"/>
    <w:rsid w:val="007C61BD"/>
    <w:rsid w:val="007D0B9D"/>
    <w:rsid w:val="007D19B0"/>
    <w:rsid w:val="007D1C54"/>
    <w:rsid w:val="007D439B"/>
    <w:rsid w:val="007D5358"/>
    <w:rsid w:val="007D7C07"/>
    <w:rsid w:val="007F2EA9"/>
    <w:rsid w:val="007F498F"/>
    <w:rsid w:val="0080679D"/>
    <w:rsid w:val="008108B0"/>
    <w:rsid w:val="008112AC"/>
    <w:rsid w:val="00811B20"/>
    <w:rsid w:val="00822076"/>
    <w:rsid w:val="0082296E"/>
    <w:rsid w:val="00824099"/>
    <w:rsid w:val="0083109B"/>
    <w:rsid w:val="0083751C"/>
    <w:rsid w:val="0084502C"/>
    <w:rsid w:val="00847889"/>
    <w:rsid w:val="0085604F"/>
    <w:rsid w:val="0086011B"/>
    <w:rsid w:val="00860D33"/>
    <w:rsid w:val="00866F80"/>
    <w:rsid w:val="00867AC1"/>
    <w:rsid w:val="008708AC"/>
    <w:rsid w:val="008716DF"/>
    <w:rsid w:val="00872632"/>
    <w:rsid w:val="00883D93"/>
    <w:rsid w:val="00885650"/>
    <w:rsid w:val="00886E68"/>
    <w:rsid w:val="00887525"/>
    <w:rsid w:val="00895A6F"/>
    <w:rsid w:val="008A170E"/>
    <w:rsid w:val="008A580D"/>
    <w:rsid w:val="008A743F"/>
    <w:rsid w:val="008C0970"/>
    <w:rsid w:val="008C19D2"/>
    <w:rsid w:val="008D23E5"/>
    <w:rsid w:val="008D2CF7"/>
    <w:rsid w:val="008D6917"/>
    <w:rsid w:val="008E54A3"/>
    <w:rsid w:val="00900C26"/>
    <w:rsid w:val="0090197F"/>
    <w:rsid w:val="00901A3F"/>
    <w:rsid w:val="00906DDC"/>
    <w:rsid w:val="00931508"/>
    <w:rsid w:val="00934E09"/>
    <w:rsid w:val="00936253"/>
    <w:rsid w:val="00944D7B"/>
    <w:rsid w:val="00952DD4"/>
    <w:rsid w:val="00970FED"/>
    <w:rsid w:val="00976278"/>
    <w:rsid w:val="00977D92"/>
    <w:rsid w:val="00994397"/>
    <w:rsid w:val="00997029"/>
    <w:rsid w:val="009973DB"/>
    <w:rsid w:val="009B0F62"/>
    <w:rsid w:val="009B5E62"/>
    <w:rsid w:val="009D4171"/>
    <w:rsid w:val="009D690D"/>
    <w:rsid w:val="009D77A0"/>
    <w:rsid w:val="009E65B6"/>
    <w:rsid w:val="009F3920"/>
    <w:rsid w:val="009F6155"/>
    <w:rsid w:val="00A037F7"/>
    <w:rsid w:val="00A07DBE"/>
    <w:rsid w:val="00A16BB4"/>
    <w:rsid w:val="00A17741"/>
    <w:rsid w:val="00A307F3"/>
    <w:rsid w:val="00A311E8"/>
    <w:rsid w:val="00A378E5"/>
    <w:rsid w:val="00A408C3"/>
    <w:rsid w:val="00A4126D"/>
    <w:rsid w:val="00A42AC3"/>
    <w:rsid w:val="00A430CF"/>
    <w:rsid w:val="00A47866"/>
    <w:rsid w:val="00A50B1E"/>
    <w:rsid w:val="00A54309"/>
    <w:rsid w:val="00A7300E"/>
    <w:rsid w:val="00A7450F"/>
    <w:rsid w:val="00A77192"/>
    <w:rsid w:val="00A92DFD"/>
    <w:rsid w:val="00A95BAF"/>
    <w:rsid w:val="00AA256C"/>
    <w:rsid w:val="00AB2B93"/>
    <w:rsid w:val="00AB4D94"/>
    <w:rsid w:val="00AB7E5B"/>
    <w:rsid w:val="00AC57D1"/>
    <w:rsid w:val="00AC7EF5"/>
    <w:rsid w:val="00AD27F1"/>
    <w:rsid w:val="00AD2947"/>
    <w:rsid w:val="00AD789A"/>
    <w:rsid w:val="00AE0EF1"/>
    <w:rsid w:val="00AE2937"/>
    <w:rsid w:val="00B07301"/>
    <w:rsid w:val="00B11583"/>
    <w:rsid w:val="00B224DE"/>
    <w:rsid w:val="00B275C8"/>
    <w:rsid w:val="00B46575"/>
    <w:rsid w:val="00B764A0"/>
    <w:rsid w:val="00B84BBD"/>
    <w:rsid w:val="00B90A70"/>
    <w:rsid w:val="00B95EE4"/>
    <w:rsid w:val="00BA43FB"/>
    <w:rsid w:val="00BB094E"/>
    <w:rsid w:val="00BB5265"/>
    <w:rsid w:val="00BB7847"/>
    <w:rsid w:val="00BC127D"/>
    <w:rsid w:val="00BC1FE6"/>
    <w:rsid w:val="00BC5943"/>
    <w:rsid w:val="00BD1B1F"/>
    <w:rsid w:val="00BD1B61"/>
    <w:rsid w:val="00BE01E7"/>
    <w:rsid w:val="00C00A20"/>
    <w:rsid w:val="00C042B4"/>
    <w:rsid w:val="00C061B6"/>
    <w:rsid w:val="00C1133D"/>
    <w:rsid w:val="00C127D9"/>
    <w:rsid w:val="00C2446C"/>
    <w:rsid w:val="00C25E62"/>
    <w:rsid w:val="00C36221"/>
    <w:rsid w:val="00C36AE5"/>
    <w:rsid w:val="00C416F1"/>
    <w:rsid w:val="00C41F17"/>
    <w:rsid w:val="00C44DE0"/>
    <w:rsid w:val="00C51D44"/>
    <w:rsid w:val="00C5280D"/>
    <w:rsid w:val="00C5791C"/>
    <w:rsid w:val="00C63606"/>
    <w:rsid w:val="00C66290"/>
    <w:rsid w:val="00C72B7A"/>
    <w:rsid w:val="00C75236"/>
    <w:rsid w:val="00C87D01"/>
    <w:rsid w:val="00C973F2"/>
    <w:rsid w:val="00CA304C"/>
    <w:rsid w:val="00CA774A"/>
    <w:rsid w:val="00CB5087"/>
    <w:rsid w:val="00CB79FE"/>
    <w:rsid w:val="00CC11B0"/>
    <w:rsid w:val="00CC1BC7"/>
    <w:rsid w:val="00CD4C10"/>
    <w:rsid w:val="00CF7A6E"/>
    <w:rsid w:val="00CF7CF3"/>
    <w:rsid w:val="00CF7E36"/>
    <w:rsid w:val="00D1479E"/>
    <w:rsid w:val="00D20957"/>
    <w:rsid w:val="00D20E0E"/>
    <w:rsid w:val="00D337C2"/>
    <w:rsid w:val="00D3708D"/>
    <w:rsid w:val="00D40426"/>
    <w:rsid w:val="00D57C96"/>
    <w:rsid w:val="00D61B40"/>
    <w:rsid w:val="00D62223"/>
    <w:rsid w:val="00D648A0"/>
    <w:rsid w:val="00D64FA0"/>
    <w:rsid w:val="00D704F2"/>
    <w:rsid w:val="00D91203"/>
    <w:rsid w:val="00D95174"/>
    <w:rsid w:val="00DA2B15"/>
    <w:rsid w:val="00DA3495"/>
    <w:rsid w:val="00DA5D52"/>
    <w:rsid w:val="00DA6F36"/>
    <w:rsid w:val="00DB4771"/>
    <w:rsid w:val="00DB596E"/>
    <w:rsid w:val="00DC00EA"/>
    <w:rsid w:val="00DC6574"/>
    <w:rsid w:val="00DC748D"/>
    <w:rsid w:val="00DD26CB"/>
    <w:rsid w:val="00DD642A"/>
    <w:rsid w:val="00DE75D7"/>
    <w:rsid w:val="00E050F6"/>
    <w:rsid w:val="00E20AE8"/>
    <w:rsid w:val="00E23C8B"/>
    <w:rsid w:val="00E32F7E"/>
    <w:rsid w:val="00E36502"/>
    <w:rsid w:val="00E4276D"/>
    <w:rsid w:val="00E46F81"/>
    <w:rsid w:val="00E51E50"/>
    <w:rsid w:val="00E72D49"/>
    <w:rsid w:val="00E7593C"/>
    <w:rsid w:val="00E7678A"/>
    <w:rsid w:val="00E8475B"/>
    <w:rsid w:val="00E90C2F"/>
    <w:rsid w:val="00E935F1"/>
    <w:rsid w:val="00E94A81"/>
    <w:rsid w:val="00EA1FFB"/>
    <w:rsid w:val="00EA7607"/>
    <w:rsid w:val="00EB048E"/>
    <w:rsid w:val="00EB0918"/>
    <w:rsid w:val="00EB5CAD"/>
    <w:rsid w:val="00EE34DF"/>
    <w:rsid w:val="00EE357B"/>
    <w:rsid w:val="00EE4FF0"/>
    <w:rsid w:val="00EE63CB"/>
    <w:rsid w:val="00EF2F89"/>
    <w:rsid w:val="00F03AF3"/>
    <w:rsid w:val="00F1237A"/>
    <w:rsid w:val="00F14677"/>
    <w:rsid w:val="00F2061E"/>
    <w:rsid w:val="00F22CBD"/>
    <w:rsid w:val="00F37319"/>
    <w:rsid w:val="00F45372"/>
    <w:rsid w:val="00F4577C"/>
    <w:rsid w:val="00F560F7"/>
    <w:rsid w:val="00F6334D"/>
    <w:rsid w:val="00F71944"/>
    <w:rsid w:val="00F82576"/>
    <w:rsid w:val="00FA1CB0"/>
    <w:rsid w:val="00FA35F9"/>
    <w:rsid w:val="00FA49AB"/>
    <w:rsid w:val="00FB6825"/>
    <w:rsid w:val="00FB7061"/>
    <w:rsid w:val="00FB7537"/>
    <w:rsid w:val="00FC7E92"/>
    <w:rsid w:val="00FD2379"/>
    <w:rsid w:val="00FE314D"/>
    <w:rsid w:val="00FE39C7"/>
    <w:rsid w:val="00FF5EC3"/>
    <w:rsid w:val="00FF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BB4"/>
    <w:pPr>
      <w:jc w:val="both"/>
    </w:pPr>
    <w:rPr>
      <w:rFonts w:ascii="Arial" w:hAnsi="Arial"/>
      <w:lang w:val="fr-FR"/>
    </w:rPr>
  </w:style>
  <w:style w:type="paragraph" w:styleId="Heading1">
    <w:name w:val="heading 1"/>
    <w:next w:val="Normal"/>
    <w:qFormat/>
    <w:rsid w:val="00A16BB4"/>
    <w:pPr>
      <w:keepNext/>
      <w:spacing w:after="360"/>
      <w:jc w:val="both"/>
      <w:outlineLvl w:val="0"/>
    </w:pPr>
    <w:rPr>
      <w:rFonts w:ascii="Arial Bold" w:hAnsi="Arial Bold"/>
      <w:b/>
      <w:caps/>
    </w:rPr>
  </w:style>
  <w:style w:type="paragraph" w:styleId="Heading2">
    <w:name w:val="heading 2"/>
    <w:next w:val="Normal"/>
    <w:link w:val="Heading2Char"/>
    <w:autoRedefine/>
    <w:qFormat/>
    <w:rsid w:val="00FF7E84"/>
    <w:pPr>
      <w:keepNext/>
      <w:spacing w:after="240"/>
      <w:ind w:left="851" w:hanging="851"/>
      <w:jc w:val="both"/>
      <w:outlineLvl w:val="1"/>
    </w:pPr>
    <w:rPr>
      <w:rFonts w:ascii="Arial" w:hAnsi="Arial"/>
      <w:b/>
      <w:lang w:val="fr-FR"/>
    </w:rPr>
  </w:style>
  <w:style w:type="paragraph" w:styleId="Heading3">
    <w:name w:val="heading 3"/>
    <w:next w:val="Normal"/>
    <w:qFormat/>
    <w:rsid w:val="00A16BB4"/>
    <w:pPr>
      <w:keepNext/>
      <w:spacing w:after="240"/>
      <w:jc w:val="both"/>
      <w:outlineLvl w:val="2"/>
    </w:pPr>
    <w:rPr>
      <w:rFonts w:ascii="Arial" w:hAnsi="Arial"/>
      <w:u w:val="single"/>
    </w:rPr>
  </w:style>
  <w:style w:type="paragraph" w:styleId="Heading4">
    <w:name w:val="heading 4"/>
    <w:next w:val="Normal"/>
    <w:autoRedefine/>
    <w:qFormat/>
    <w:rsid w:val="001E1128"/>
    <w:pPr>
      <w:keepNext/>
      <w:spacing w:after="240"/>
      <w:jc w:val="both"/>
      <w:outlineLvl w:val="3"/>
    </w:pPr>
    <w:rPr>
      <w:rFonts w:ascii="Arial" w:hAnsi="Arial" w:cs="Arial"/>
      <w:i/>
      <w:noProof/>
      <w:lang w:val="fr-FR"/>
    </w:rPr>
  </w:style>
  <w:style w:type="paragraph" w:styleId="Heading5">
    <w:name w:val="heading 5"/>
    <w:next w:val="Normal"/>
    <w:link w:val="Heading5Char"/>
    <w:autoRedefine/>
    <w:rsid w:val="008716DF"/>
    <w:pPr>
      <w:keepNext/>
      <w:spacing w:after="240"/>
      <w:ind w:left="851" w:hanging="851"/>
      <w:jc w:val="both"/>
      <w:outlineLvl w:val="4"/>
    </w:pPr>
    <w:rPr>
      <w:rFonts w:ascii="Arial" w:hAnsi="Arial" w:cs="Arial"/>
      <w:i/>
      <w:szCs w:val="18"/>
      <w:lang w:val="fr-FR"/>
    </w:rPr>
  </w:style>
  <w:style w:type="paragraph" w:styleId="Heading6">
    <w:name w:val="heading 6"/>
    <w:basedOn w:val="Normal"/>
    <w:next w:val="Normal"/>
    <w:link w:val="Heading6Char"/>
    <w:autoRedefine/>
    <w:qFormat/>
    <w:rsid w:val="00A16BB4"/>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16BB4"/>
    <w:pPr>
      <w:keepNext/>
      <w:spacing w:before="60" w:after="60"/>
      <w:outlineLvl w:val="6"/>
    </w:pPr>
  </w:style>
  <w:style w:type="paragraph" w:styleId="Heading8">
    <w:name w:val="heading 8"/>
    <w:basedOn w:val="Normal"/>
    <w:next w:val="Normal"/>
    <w:link w:val="Heading8Char"/>
    <w:autoRedefine/>
    <w:qFormat/>
    <w:rsid w:val="0044287B"/>
    <w:pPr>
      <w:keepNext/>
      <w:ind w:left="993" w:hanging="993"/>
      <w:outlineLvl w:val="7"/>
    </w:pPr>
    <w:rPr>
      <w:rFonts w:cs="Arial"/>
      <w:i/>
      <w:iCs/>
      <w:noProof/>
      <w:szCs w:val="22"/>
      <w:lang w:eastAsia="ja-JP" w:bidi="th-TH"/>
    </w:rPr>
  </w:style>
  <w:style w:type="paragraph" w:styleId="Heading9">
    <w:name w:val="heading 9"/>
    <w:basedOn w:val="Normal"/>
    <w:next w:val="Normal"/>
    <w:qFormat/>
    <w:rsid w:val="00A16BB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A16BB4"/>
    <w:pPr>
      <w:jc w:val="center"/>
    </w:pPr>
    <w:rPr>
      <w:rFonts w:ascii="Arial" w:hAnsi="Arial"/>
      <w:lang w:val="fr-FR"/>
    </w:rPr>
  </w:style>
  <w:style w:type="paragraph" w:styleId="Footer">
    <w:name w:val="footer"/>
    <w:aliases w:val="doc_path_name"/>
    <w:autoRedefine/>
    <w:rsid w:val="00A16BB4"/>
    <w:pPr>
      <w:jc w:val="both"/>
    </w:pPr>
    <w:rPr>
      <w:rFonts w:ascii="Arial" w:hAnsi="Arial"/>
      <w:sz w:val="14"/>
    </w:rPr>
  </w:style>
  <w:style w:type="character" w:styleId="PageNumber">
    <w:name w:val="page number"/>
    <w:basedOn w:val="DefaultParagraphFont"/>
    <w:rsid w:val="00A16BB4"/>
    <w:rPr>
      <w:rFonts w:ascii="Arial" w:hAnsi="Arial"/>
      <w:sz w:val="20"/>
    </w:rPr>
  </w:style>
  <w:style w:type="paragraph" w:styleId="Title">
    <w:name w:val="Title"/>
    <w:basedOn w:val="Normal"/>
    <w:qFormat/>
    <w:rsid w:val="00351627"/>
    <w:pPr>
      <w:spacing w:after="300"/>
      <w:jc w:val="center"/>
    </w:pPr>
    <w:rPr>
      <w:b/>
      <w:caps/>
      <w:kern w:val="28"/>
      <w:sz w:val="30"/>
    </w:rPr>
  </w:style>
  <w:style w:type="paragraph" w:customStyle="1" w:styleId="preparedby">
    <w:name w:val="preparedby"/>
    <w:basedOn w:val="Normal"/>
    <w:next w:val="Normal"/>
    <w:semiHidden/>
    <w:rsid w:val="00351627"/>
    <w:pPr>
      <w:spacing w:after="600"/>
      <w:jc w:val="center"/>
    </w:pPr>
    <w:rPr>
      <w:i/>
    </w:rPr>
  </w:style>
  <w:style w:type="paragraph" w:customStyle="1" w:styleId="Docoriginal">
    <w:name w:val="Doc_original"/>
    <w:basedOn w:val="Code"/>
    <w:link w:val="DocoriginalChar"/>
    <w:rsid w:val="00351627"/>
    <w:pPr>
      <w:spacing w:before="240" w:line="240" w:lineRule="exact"/>
      <w:ind w:left="0"/>
      <w:contextualSpacing/>
      <w:jc w:val="left"/>
    </w:pPr>
    <w:rPr>
      <w:sz w:val="18"/>
    </w:rPr>
  </w:style>
  <w:style w:type="paragraph" w:customStyle="1" w:styleId="DecisionParagraphs">
    <w:name w:val="DecisionParagraphs"/>
    <w:basedOn w:val="Normal"/>
    <w:rsid w:val="00A16BB4"/>
    <w:pPr>
      <w:tabs>
        <w:tab w:val="left" w:pos="5387"/>
      </w:tabs>
      <w:ind w:left="4820"/>
    </w:pPr>
    <w:rPr>
      <w:i/>
    </w:rPr>
  </w:style>
  <w:style w:type="paragraph" w:styleId="FootnoteText">
    <w:name w:val="footnote text"/>
    <w:autoRedefine/>
    <w:rsid w:val="00A16BB4"/>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A16BB4"/>
    <w:rPr>
      <w:vertAlign w:val="superscript"/>
    </w:rPr>
  </w:style>
  <w:style w:type="paragraph" w:styleId="Closing">
    <w:name w:val="Closing"/>
    <w:basedOn w:val="Normal"/>
    <w:rsid w:val="00A16BB4"/>
    <w:pPr>
      <w:ind w:left="4536"/>
      <w:jc w:val="center"/>
    </w:pPr>
  </w:style>
  <w:style w:type="paragraph" w:styleId="Index1">
    <w:name w:val="index 1"/>
    <w:basedOn w:val="Normal"/>
    <w:next w:val="Normal"/>
    <w:semiHidden/>
    <w:rsid w:val="00A16BB4"/>
    <w:pPr>
      <w:tabs>
        <w:tab w:val="right" w:leader="dot" w:pos="9071"/>
      </w:tabs>
      <w:ind w:left="284" w:hanging="284"/>
    </w:pPr>
    <w:rPr>
      <w:sz w:val="24"/>
    </w:rPr>
  </w:style>
  <w:style w:type="paragraph" w:styleId="Index2">
    <w:name w:val="index 2"/>
    <w:basedOn w:val="Normal"/>
    <w:next w:val="Normal"/>
    <w:semiHidden/>
    <w:rsid w:val="00A16BB4"/>
    <w:pPr>
      <w:tabs>
        <w:tab w:val="right" w:leader="dot" w:pos="9071"/>
      </w:tabs>
      <w:ind w:left="568" w:hanging="284"/>
    </w:pPr>
    <w:rPr>
      <w:sz w:val="24"/>
    </w:rPr>
  </w:style>
  <w:style w:type="paragraph" w:styleId="Index3">
    <w:name w:val="index 3"/>
    <w:basedOn w:val="Normal"/>
    <w:next w:val="Normal"/>
    <w:semiHidden/>
    <w:rsid w:val="00A16BB4"/>
    <w:pPr>
      <w:tabs>
        <w:tab w:val="right" w:leader="dot" w:pos="9071"/>
      </w:tabs>
      <w:ind w:left="851" w:hanging="284"/>
    </w:pPr>
    <w:rPr>
      <w:sz w:val="24"/>
    </w:rPr>
  </w:style>
  <w:style w:type="paragraph" w:styleId="MacroText">
    <w:name w:val="macro"/>
    <w:semiHidden/>
    <w:rsid w:val="00A16B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A16BB4"/>
    <w:pPr>
      <w:ind w:left="4536"/>
      <w:jc w:val="center"/>
    </w:pPr>
  </w:style>
  <w:style w:type="character" w:customStyle="1" w:styleId="Doclang">
    <w:name w:val="Doc_lang"/>
    <w:basedOn w:val="DefaultParagraphFont"/>
    <w:rsid w:val="00351627"/>
    <w:rPr>
      <w:rFonts w:ascii="Arial" w:hAnsi="Arial"/>
      <w:sz w:val="20"/>
      <w:lang w:val="en-US"/>
    </w:rPr>
  </w:style>
  <w:style w:type="paragraph" w:customStyle="1" w:styleId="Session">
    <w:name w:val="Session"/>
    <w:basedOn w:val="Normal"/>
    <w:rsid w:val="00351627"/>
    <w:pPr>
      <w:spacing w:before="60"/>
      <w:jc w:val="center"/>
    </w:pPr>
    <w:rPr>
      <w:b/>
    </w:rPr>
  </w:style>
  <w:style w:type="paragraph" w:customStyle="1" w:styleId="Organizer">
    <w:name w:val="Organizer"/>
    <w:basedOn w:val="Normal"/>
    <w:rsid w:val="00351627"/>
    <w:pPr>
      <w:spacing w:after="600"/>
      <w:ind w:left="-993" w:right="-994"/>
      <w:jc w:val="center"/>
    </w:pPr>
    <w:rPr>
      <w:b/>
      <w:caps/>
      <w:kern w:val="26"/>
      <w:sz w:val="26"/>
    </w:rPr>
  </w:style>
  <w:style w:type="paragraph" w:styleId="BodyText">
    <w:name w:val="Body Text"/>
    <w:basedOn w:val="Normal"/>
    <w:rsid w:val="00A16BB4"/>
  </w:style>
  <w:style w:type="paragraph" w:customStyle="1" w:styleId="StyleDocoriginalNotBold">
    <w:name w:val="Style Doc_original + Not Bold"/>
    <w:basedOn w:val="Docoriginal"/>
    <w:link w:val="StyleDocoriginalNotBoldChar"/>
    <w:autoRedefine/>
    <w:rsid w:val="00A16BB4"/>
    <w:pPr>
      <w:ind w:left="1589"/>
    </w:pPr>
  </w:style>
  <w:style w:type="paragraph" w:customStyle="1" w:styleId="upove">
    <w:name w:val="upov_e"/>
    <w:basedOn w:val="Normal"/>
    <w:rsid w:val="00351627"/>
    <w:pPr>
      <w:spacing w:before="120"/>
    </w:pPr>
    <w:rPr>
      <w:sz w:val="16"/>
    </w:rPr>
  </w:style>
  <w:style w:type="paragraph" w:customStyle="1" w:styleId="TitleofDoc">
    <w:name w:val="Title of Doc"/>
    <w:basedOn w:val="Normal"/>
    <w:link w:val="TitleofDocChar"/>
    <w:rsid w:val="004F6CA1"/>
    <w:pPr>
      <w:jc w:val="left"/>
    </w:pPr>
  </w:style>
  <w:style w:type="paragraph" w:customStyle="1" w:styleId="preparedby0">
    <w:name w:val="prepared by"/>
    <w:basedOn w:val="Normal"/>
    <w:rsid w:val="00351627"/>
    <w:pPr>
      <w:spacing w:before="600" w:after="600"/>
      <w:jc w:val="center"/>
    </w:pPr>
    <w:rPr>
      <w:i/>
    </w:rPr>
  </w:style>
  <w:style w:type="paragraph" w:customStyle="1" w:styleId="PlaceAndDate">
    <w:name w:val="PlaceAndDate"/>
    <w:basedOn w:val="Session"/>
    <w:rsid w:val="00351627"/>
  </w:style>
  <w:style w:type="paragraph" w:styleId="EndnoteText">
    <w:name w:val="endnote text"/>
    <w:basedOn w:val="Normal"/>
    <w:link w:val="EndnoteTextChar"/>
    <w:semiHidden/>
    <w:rsid w:val="00A16BB4"/>
  </w:style>
  <w:style w:type="character" w:styleId="EndnoteReference">
    <w:name w:val="endnote reference"/>
    <w:basedOn w:val="DefaultParagraphFont"/>
    <w:semiHidden/>
    <w:rsid w:val="00A16BB4"/>
    <w:rPr>
      <w:vertAlign w:val="superscript"/>
    </w:rPr>
  </w:style>
  <w:style w:type="paragraph" w:customStyle="1" w:styleId="SessionMeetingPlace">
    <w:name w:val="Session_MeetingPlace"/>
    <w:basedOn w:val="Normal"/>
    <w:semiHidden/>
    <w:rsid w:val="00351627"/>
    <w:pPr>
      <w:spacing w:before="480"/>
      <w:jc w:val="center"/>
    </w:pPr>
    <w:rPr>
      <w:b/>
      <w:bCs/>
      <w:kern w:val="28"/>
      <w:sz w:val="24"/>
    </w:rPr>
  </w:style>
  <w:style w:type="paragraph" w:customStyle="1" w:styleId="Original">
    <w:name w:val="Original"/>
    <w:basedOn w:val="Normal"/>
    <w:rsid w:val="00351627"/>
    <w:pPr>
      <w:spacing w:before="60"/>
      <w:ind w:left="1276"/>
    </w:pPr>
    <w:rPr>
      <w:b/>
      <w:sz w:val="22"/>
    </w:rPr>
  </w:style>
  <w:style w:type="paragraph" w:styleId="Date">
    <w:name w:val="Date"/>
    <w:basedOn w:val="Normal"/>
    <w:rsid w:val="00A16BB4"/>
    <w:pPr>
      <w:spacing w:line="340" w:lineRule="exact"/>
      <w:ind w:left="1276"/>
    </w:pPr>
    <w:rPr>
      <w:b/>
      <w:sz w:val="22"/>
    </w:rPr>
  </w:style>
  <w:style w:type="paragraph" w:customStyle="1" w:styleId="Code">
    <w:name w:val="Code"/>
    <w:basedOn w:val="Normal"/>
    <w:link w:val="CodeChar"/>
    <w:semiHidden/>
    <w:rsid w:val="00351627"/>
    <w:pPr>
      <w:spacing w:line="340" w:lineRule="atLeast"/>
      <w:ind w:left="1276"/>
    </w:pPr>
    <w:rPr>
      <w:b/>
      <w:bCs/>
      <w:spacing w:val="10"/>
    </w:rPr>
  </w:style>
  <w:style w:type="paragraph" w:customStyle="1" w:styleId="Country">
    <w:name w:val="Country"/>
    <w:basedOn w:val="Normal"/>
    <w:semiHidden/>
    <w:rsid w:val="00A16BB4"/>
    <w:pPr>
      <w:spacing w:before="60" w:after="480"/>
      <w:jc w:val="center"/>
    </w:pPr>
  </w:style>
  <w:style w:type="paragraph" w:customStyle="1" w:styleId="Lettrine">
    <w:name w:val="Lettrine"/>
    <w:basedOn w:val="Normal"/>
    <w:rsid w:val="00351627"/>
    <w:pPr>
      <w:spacing w:line="340" w:lineRule="atLeast"/>
      <w:jc w:val="right"/>
    </w:pPr>
    <w:rPr>
      <w:b/>
      <w:bCs/>
      <w:sz w:val="36"/>
    </w:rPr>
  </w:style>
  <w:style w:type="paragraph" w:customStyle="1" w:styleId="LogoUPOV">
    <w:name w:val="LogoUPOV"/>
    <w:basedOn w:val="Normal"/>
    <w:rsid w:val="00351627"/>
    <w:pPr>
      <w:spacing w:before="600" w:after="80"/>
      <w:jc w:val="center"/>
    </w:pPr>
    <w:rPr>
      <w:snapToGrid w:val="0"/>
    </w:rPr>
  </w:style>
  <w:style w:type="paragraph" w:customStyle="1" w:styleId="Sessiontc">
    <w:name w:val="Session_tc"/>
    <w:basedOn w:val="StyleSessionAllcaps"/>
    <w:rsid w:val="00351627"/>
    <w:pPr>
      <w:spacing w:before="0" w:line="280" w:lineRule="exact"/>
      <w:jc w:val="left"/>
    </w:pPr>
    <w:rPr>
      <w:caps w:val="0"/>
      <w:sz w:val="20"/>
    </w:rPr>
  </w:style>
  <w:style w:type="paragraph" w:customStyle="1" w:styleId="TitreUpov">
    <w:name w:val="TitreUpov"/>
    <w:basedOn w:val="Normal"/>
    <w:semiHidden/>
    <w:rsid w:val="00351627"/>
    <w:pPr>
      <w:spacing w:before="60"/>
      <w:jc w:val="center"/>
    </w:pPr>
    <w:rPr>
      <w:b/>
      <w:sz w:val="24"/>
    </w:rPr>
  </w:style>
  <w:style w:type="paragraph" w:customStyle="1" w:styleId="StyleSessionAllcaps">
    <w:name w:val="Style Session + All caps"/>
    <w:basedOn w:val="Session"/>
    <w:semiHidden/>
    <w:rsid w:val="00A16BB4"/>
    <w:pPr>
      <w:spacing w:before="480"/>
    </w:pPr>
    <w:rPr>
      <w:bCs/>
      <w:caps/>
      <w:kern w:val="28"/>
      <w:sz w:val="24"/>
    </w:rPr>
  </w:style>
  <w:style w:type="paragraph" w:customStyle="1" w:styleId="plcountry">
    <w:name w:val="plcountry"/>
    <w:basedOn w:val="Normal"/>
    <w:rsid w:val="00A16BB4"/>
    <w:pPr>
      <w:keepNext/>
      <w:keepLines/>
      <w:spacing w:before="180" w:after="120"/>
      <w:jc w:val="left"/>
    </w:pPr>
    <w:rPr>
      <w:caps/>
      <w:noProof/>
      <w:snapToGrid w:val="0"/>
      <w:u w:val="single"/>
    </w:rPr>
  </w:style>
  <w:style w:type="paragraph" w:customStyle="1" w:styleId="pldetails">
    <w:name w:val="pldetails"/>
    <w:basedOn w:val="Normal"/>
    <w:rsid w:val="00A16BB4"/>
    <w:pPr>
      <w:keepLines/>
      <w:spacing w:before="60" w:after="60"/>
      <w:jc w:val="left"/>
    </w:pPr>
    <w:rPr>
      <w:noProof/>
      <w:snapToGrid w:val="0"/>
    </w:rPr>
  </w:style>
  <w:style w:type="paragraph" w:customStyle="1" w:styleId="plheading">
    <w:name w:val="plheading"/>
    <w:basedOn w:val="Normal"/>
    <w:rsid w:val="00A16BB4"/>
    <w:pPr>
      <w:keepNext/>
      <w:spacing w:before="480" w:after="120"/>
      <w:jc w:val="center"/>
    </w:pPr>
    <w:rPr>
      <w:caps/>
      <w:snapToGrid w:val="0"/>
      <w:u w:val="single"/>
    </w:rPr>
  </w:style>
  <w:style w:type="paragraph" w:customStyle="1" w:styleId="Sessiontcplacedate">
    <w:name w:val="Session_tc_place_date"/>
    <w:basedOn w:val="SessionMeetingPlace"/>
    <w:rsid w:val="00351627"/>
    <w:pPr>
      <w:spacing w:before="240"/>
      <w:contextualSpacing/>
      <w:jc w:val="left"/>
    </w:pPr>
    <w:rPr>
      <w:sz w:val="20"/>
    </w:rPr>
  </w:style>
  <w:style w:type="paragraph" w:customStyle="1" w:styleId="Titleofdoc0">
    <w:name w:val="Title_of_doc"/>
    <w:basedOn w:val="TitleofDoc"/>
    <w:rsid w:val="00351627"/>
    <w:pPr>
      <w:spacing w:before="600" w:after="240"/>
    </w:pPr>
    <w:rPr>
      <w:b/>
    </w:rPr>
  </w:style>
  <w:style w:type="paragraph" w:customStyle="1" w:styleId="preparedby1">
    <w:name w:val="prepared_by"/>
    <w:basedOn w:val="preparedby0"/>
    <w:rsid w:val="00351627"/>
    <w:pPr>
      <w:spacing w:before="0" w:after="240"/>
    </w:pPr>
    <w:rPr>
      <w:iCs/>
    </w:rPr>
  </w:style>
  <w:style w:type="character" w:customStyle="1" w:styleId="CodeChar">
    <w:name w:val="Code Char"/>
    <w:basedOn w:val="DefaultParagraphFont"/>
    <w:link w:val="Code"/>
    <w:semiHidden/>
    <w:rsid w:val="00351627"/>
    <w:rPr>
      <w:rFonts w:ascii="Arial" w:hAnsi="Arial"/>
      <w:b/>
      <w:bCs/>
      <w:spacing w:val="10"/>
      <w:lang w:val="fr-FR"/>
    </w:rPr>
  </w:style>
  <w:style w:type="paragraph" w:customStyle="1" w:styleId="endofdoc">
    <w:name w:val="end_of_doc"/>
    <w:next w:val="Header"/>
    <w:autoRedefine/>
    <w:rsid w:val="00351627"/>
    <w:pPr>
      <w:spacing w:before="480"/>
      <w:ind w:left="567" w:hanging="567"/>
      <w:jc w:val="right"/>
    </w:pPr>
    <w:rPr>
      <w:rFonts w:ascii="Arial" w:hAnsi="Arial"/>
    </w:rPr>
  </w:style>
  <w:style w:type="character" w:customStyle="1" w:styleId="DocoriginalChar">
    <w:name w:val="Doc_original Char"/>
    <w:basedOn w:val="CodeChar"/>
    <w:link w:val="Docoriginal"/>
    <w:rsid w:val="00351627"/>
    <w:rPr>
      <w:rFonts w:ascii="Arial" w:hAnsi="Arial"/>
      <w:b/>
      <w:bCs/>
      <w:spacing w:val="10"/>
      <w:sz w:val="18"/>
      <w:lang w:val="fr-FR"/>
    </w:rPr>
  </w:style>
  <w:style w:type="character" w:customStyle="1" w:styleId="StyleDocoriginalNotBoldChar">
    <w:name w:val="Style Doc_original + Not Bold Char"/>
    <w:basedOn w:val="DocoriginalChar"/>
    <w:link w:val="StyleDocoriginalNotBold"/>
    <w:rsid w:val="00A16BB4"/>
    <w:rPr>
      <w:rFonts w:ascii="Arial" w:hAnsi="Arial"/>
      <w:b/>
      <w:bCs/>
      <w:spacing w:val="10"/>
      <w:sz w:val="18"/>
      <w:lang w:val="fr-FR"/>
    </w:rPr>
  </w:style>
  <w:style w:type="paragraph" w:customStyle="1" w:styleId="StyleDocnumber">
    <w:name w:val="Style Doc_number"/>
    <w:basedOn w:val="Docoriginal"/>
    <w:rsid w:val="00A16BB4"/>
    <w:pPr>
      <w:ind w:left="1589"/>
    </w:pPr>
  </w:style>
  <w:style w:type="paragraph" w:customStyle="1" w:styleId="StyleDocoriginal">
    <w:name w:val="Style Doc_original"/>
    <w:basedOn w:val="Docoriginal"/>
    <w:link w:val="StyleDocoriginalChar"/>
    <w:rsid w:val="00A16BB4"/>
  </w:style>
  <w:style w:type="character" w:customStyle="1" w:styleId="StyleDocoriginalChar">
    <w:name w:val="Style Doc_original Char"/>
    <w:basedOn w:val="DocoriginalChar"/>
    <w:link w:val="StyleDocoriginal"/>
    <w:rsid w:val="00A16BB4"/>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16BB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16BB4"/>
    <w:rPr>
      <w:rFonts w:ascii="Arial" w:hAnsi="Arial"/>
      <w:b w:val="0"/>
      <w:bCs w:val="0"/>
      <w:spacing w:val="10"/>
      <w:sz w:val="18"/>
      <w:lang w:val="fr-FR"/>
    </w:rPr>
  </w:style>
  <w:style w:type="character" w:customStyle="1" w:styleId="StyleDocoriginalNotBold1">
    <w:name w:val="Style Doc_original + Not Bold1"/>
    <w:basedOn w:val="DefaultParagraphFont"/>
    <w:rsid w:val="00A16BB4"/>
    <w:rPr>
      <w:rFonts w:ascii="Arial" w:hAnsi="Arial"/>
      <w:b/>
      <w:bCs/>
      <w:spacing w:val="10"/>
      <w:lang w:val="en-US" w:eastAsia="en-US" w:bidi="ar-SA"/>
    </w:rPr>
  </w:style>
  <w:style w:type="character" w:customStyle="1" w:styleId="StyleDoclangBold">
    <w:name w:val="Style Doc_lang + Bold"/>
    <w:basedOn w:val="Doclang"/>
    <w:rsid w:val="00A16BB4"/>
    <w:rPr>
      <w:rFonts w:ascii="Arial" w:hAnsi="Arial"/>
      <w:b/>
      <w:bCs/>
      <w:sz w:val="20"/>
      <w:lang w:val="en-US"/>
    </w:rPr>
  </w:style>
  <w:style w:type="paragraph" w:styleId="TOC2">
    <w:name w:val="toc 2"/>
    <w:next w:val="Normal"/>
    <w:autoRedefine/>
    <w:uiPriority w:val="39"/>
    <w:rsid w:val="00A16BB4"/>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A16BB4"/>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A16BB4"/>
    <w:rPr>
      <w:rFonts w:ascii="Arial" w:hAnsi="Arial"/>
      <w:color w:val="0000FF"/>
      <w:u w:val="single"/>
    </w:rPr>
  </w:style>
  <w:style w:type="paragraph" w:styleId="TOC4">
    <w:name w:val="toc 4"/>
    <w:next w:val="Normal"/>
    <w:autoRedefine/>
    <w:uiPriority w:val="39"/>
    <w:rsid w:val="00A16BB4"/>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A16BB4"/>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A16BB4"/>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A16BB4"/>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A16BB4"/>
    <w:pPr>
      <w:jc w:val="left"/>
    </w:pPr>
    <w:rPr>
      <w:rFonts w:ascii="Times New Roman" w:hAnsi="Times New Roman"/>
      <w:sz w:val="22"/>
    </w:rPr>
  </w:style>
  <w:style w:type="paragraph" w:customStyle="1" w:styleId="TitleofSection">
    <w:name w:val="Title of Section"/>
    <w:basedOn w:val="TitleofDoc"/>
    <w:rsid w:val="00A16BB4"/>
    <w:pPr>
      <w:spacing w:before="120" w:after="120"/>
    </w:pPr>
    <w:rPr>
      <w:b/>
      <w:bCs/>
      <w:caps/>
    </w:rPr>
  </w:style>
  <w:style w:type="paragraph" w:customStyle="1" w:styleId="Normaltg">
    <w:name w:val="Normaltg"/>
    <w:basedOn w:val="Normal"/>
    <w:rsid w:val="00A16BB4"/>
    <w:pPr>
      <w:tabs>
        <w:tab w:val="left" w:pos="709"/>
        <w:tab w:val="left" w:pos="1418"/>
      </w:tabs>
    </w:pPr>
  </w:style>
  <w:style w:type="paragraph" w:styleId="BalloonText">
    <w:name w:val="Balloon Text"/>
    <w:basedOn w:val="Normal"/>
    <w:semiHidden/>
    <w:rsid w:val="00A16BB4"/>
    <w:rPr>
      <w:rFonts w:ascii="Tahoma" w:hAnsi="Tahoma" w:cs="Tahoma"/>
      <w:sz w:val="16"/>
      <w:szCs w:val="16"/>
    </w:rPr>
  </w:style>
  <w:style w:type="paragraph" w:styleId="BodyTextIndent">
    <w:name w:val="Body Text Indent"/>
    <w:basedOn w:val="Normal"/>
    <w:link w:val="BodyTextIndentChar"/>
    <w:rsid w:val="00A16BB4"/>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16BB4"/>
    <w:rPr>
      <w:rFonts w:ascii="Arial" w:hAnsi="Arial" w:cs="Angsana New"/>
      <w:szCs w:val="24"/>
      <w:lang w:eastAsia="ja-JP" w:bidi="th-TH"/>
    </w:rPr>
  </w:style>
  <w:style w:type="paragraph" w:customStyle="1" w:styleId="strikethrough">
    <w:name w:val="strikethrough"/>
    <w:basedOn w:val="Heading2"/>
    <w:link w:val="strikethroughChar"/>
    <w:rsid w:val="00A307F3"/>
    <w:pPr>
      <w:tabs>
        <w:tab w:val="left" w:pos="992"/>
      </w:tabs>
      <w:ind w:left="992" w:hanging="992"/>
    </w:pPr>
    <w:rPr>
      <w:szCs w:val="24"/>
      <w:lang w:eastAsia="es-ES_tradnl"/>
    </w:rPr>
  </w:style>
  <w:style w:type="character" w:customStyle="1" w:styleId="TitleofDocChar">
    <w:name w:val="Title of Doc Char"/>
    <w:basedOn w:val="DefaultParagraphFont"/>
    <w:link w:val="TitleofDoc"/>
    <w:rsid w:val="004F6CA1"/>
    <w:rPr>
      <w:rFonts w:ascii="Arial" w:hAnsi="Arial"/>
      <w:lang w:val="fr-FR"/>
    </w:rPr>
  </w:style>
  <w:style w:type="character" w:customStyle="1" w:styleId="strikethroughChar">
    <w:name w:val="strikethrough Char"/>
    <w:basedOn w:val="DefaultParagraphFont"/>
    <w:link w:val="strikethrough"/>
    <w:rsid w:val="00A307F3"/>
    <w:rPr>
      <w:rFonts w:ascii="Arial" w:hAnsi="Arial"/>
      <w:szCs w:val="24"/>
      <w:lang w:eastAsia="es-ES_tradnl"/>
    </w:rPr>
  </w:style>
  <w:style w:type="character" w:customStyle="1" w:styleId="Heading6Char">
    <w:name w:val="Heading 6 Char"/>
    <w:basedOn w:val="DefaultParagraphFont"/>
    <w:link w:val="Heading6"/>
    <w:rsid w:val="00A16BB4"/>
    <w:rPr>
      <w:rFonts w:ascii="Arial" w:hAnsi="Arial" w:cs="Angsana New"/>
      <w:i/>
      <w:iCs/>
      <w:szCs w:val="24"/>
      <w:u w:val="single"/>
      <w:lang w:eastAsia="ja-JP" w:bidi="th-TH"/>
    </w:rPr>
  </w:style>
  <w:style w:type="character" w:customStyle="1" w:styleId="Heading8Char">
    <w:name w:val="Heading 8 Char"/>
    <w:basedOn w:val="DefaultParagraphFont"/>
    <w:link w:val="Heading8"/>
    <w:rsid w:val="0044287B"/>
    <w:rPr>
      <w:rFonts w:ascii="Arial" w:hAnsi="Arial" w:cs="Arial"/>
      <w:i/>
      <w:iCs/>
      <w:noProof/>
      <w:szCs w:val="22"/>
      <w:lang w:val="fr-FR" w:eastAsia="ja-JP" w:bidi="th-TH"/>
    </w:rPr>
  </w:style>
  <w:style w:type="paragraph" w:styleId="TOC6">
    <w:name w:val="toc 6"/>
    <w:basedOn w:val="Normal"/>
    <w:next w:val="Normal"/>
    <w:autoRedefine/>
    <w:uiPriority w:val="39"/>
    <w:rsid w:val="00A16BB4"/>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A16BB4"/>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A16BB4"/>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A16BB4"/>
    <w:pPr>
      <w:tabs>
        <w:tab w:val="right" w:leader="dot" w:pos="9639"/>
      </w:tabs>
      <w:spacing w:before="60" w:after="120"/>
      <w:ind w:left="992" w:right="851" w:hanging="567"/>
      <w:contextualSpacing/>
      <w:jc w:val="left"/>
    </w:pPr>
    <w:rPr>
      <w:smallCaps/>
      <w:noProof/>
      <w:sz w:val="18"/>
      <w:lang w:eastAsia="ja-JP"/>
    </w:rPr>
  </w:style>
  <w:style w:type="paragraph" w:customStyle="1" w:styleId="Heading3tg">
    <w:name w:val="Heading 3tg"/>
    <w:basedOn w:val="Heading3"/>
    <w:rsid w:val="00A16BB4"/>
    <w:pPr>
      <w:numPr>
        <w:numId w:val="16"/>
      </w:numPr>
    </w:pPr>
    <w:rPr>
      <w:rFonts w:cs="Angsana New"/>
      <w:szCs w:val="24"/>
      <w:lang w:val="en-GB" w:eastAsia="ja-JP" w:bidi="th-TH"/>
    </w:rPr>
  </w:style>
  <w:style w:type="paragraph" w:customStyle="1" w:styleId="Normalt">
    <w:name w:val="Normalt"/>
    <w:basedOn w:val="Normal"/>
    <w:rsid w:val="0044287B"/>
    <w:pPr>
      <w:spacing w:before="120" w:after="120"/>
      <w:jc w:val="left"/>
    </w:pPr>
    <w:rPr>
      <w:rFonts w:cs="Angsana New"/>
      <w:snapToGrid w:val="0"/>
      <w:sz w:val="16"/>
      <w:lang w:eastAsia="ja-JP" w:bidi="th-TH"/>
    </w:rPr>
  </w:style>
  <w:style w:type="paragraph" w:customStyle="1" w:styleId="Normaltb">
    <w:name w:val="Normaltb"/>
    <w:basedOn w:val="Normalt"/>
    <w:rsid w:val="00A16BB4"/>
    <w:pPr>
      <w:keepNext/>
    </w:pPr>
    <w:rPr>
      <w:b/>
      <w:bCs/>
    </w:rPr>
  </w:style>
  <w:style w:type="paragraph" w:customStyle="1" w:styleId="Annex">
    <w:name w:val="Annex"/>
    <w:basedOn w:val="Heading1"/>
    <w:next w:val="Normal"/>
    <w:rsid w:val="00A16BB4"/>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A16BB4"/>
    <w:pPr>
      <w:keepLines/>
      <w:tabs>
        <w:tab w:val="left" w:pos="709"/>
      </w:tabs>
      <w:ind w:left="709" w:hanging="709"/>
    </w:pPr>
    <w:rPr>
      <w:rFonts w:cs="Angsana New"/>
      <w:iCs/>
      <w:szCs w:val="24"/>
      <w:lang w:val="en-US" w:eastAsia="ja-JP" w:bidi="th-TH"/>
    </w:rPr>
  </w:style>
  <w:style w:type="paragraph" w:customStyle="1" w:styleId="tqparabox">
    <w:name w:val="tqparabox"/>
    <w:basedOn w:val="Normal"/>
    <w:rsid w:val="00A16BB4"/>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OC1tg">
    <w:name w:val="TOC 1tg"/>
    <w:basedOn w:val="TOC1"/>
    <w:rsid w:val="00A16BB4"/>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A16BB4"/>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A16BB4"/>
    <w:pPr>
      <w:spacing w:before="120" w:after="120"/>
      <w:jc w:val="center"/>
    </w:pPr>
    <w:rPr>
      <w:caps/>
      <w:sz w:val="28"/>
    </w:rPr>
  </w:style>
  <w:style w:type="paragraph" w:styleId="BodyTextIndent2">
    <w:name w:val="Body Text Indent 2"/>
    <w:basedOn w:val="Normal"/>
    <w:link w:val="BodyTextIndent2Char"/>
    <w:rsid w:val="00A16BB4"/>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16BB4"/>
    <w:rPr>
      <w:rFonts w:ascii="Arial" w:hAnsi="Arial" w:cs="Angsana New"/>
      <w:szCs w:val="24"/>
      <w:lang w:eastAsia="ja-JP" w:bidi="th-TH"/>
    </w:rPr>
  </w:style>
  <w:style w:type="paragraph" w:styleId="BodyText2">
    <w:name w:val="Body Text 2"/>
    <w:basedOn w:val="Normal"/>
    <w:link w:val="BodyText2Char"/>
    <w:rsid w:val="00A16BB4"/>
    <w:rPr>
      <w:rFonts w:cs="Angsana New"/>
      <w:color w:val="000000"/>
      <w:szCs w:val="24"/>
      <w:lang w:eastAsia="ja-JP" w:bidi="th-TH"/>
    </w:rPr>
  </w:style>
  <w:style w:type="character" w:customStyle="1" w:styleId="BodyText2Char">
    <w:name w:val="Body Text 2 Char"/>
    <w:basedOn w:val="DefaultParagraphFont"/>
    <w:link w:val="BodyText2"/>
    <w:rsid w:val="00A16BB4"/>
    <w:rPr>
      <w:rFonts w:ascii="Arial" w:hAnsi="Arial" w:cs="Angsana New"/>
      <w:color w:val="000000"/>
      <w:szCs w:val="24"/>
      <w:lang w:eastAsia="ja-JP" w:bidi="th-TH"/>
    </w:rPr>
  </w:style>
  <w:style w:type="paragraph" w:styleId="BodyTextIndent3">
    <w:name w:val="Body Text Indent 3"/>
    <w:basedOn w:val="Normal"/>
    <w:link w:val="BodyTextIndent3Char"/>
    <w:rsid w:val="00A16BB4"/>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16BB4"/>
    <w:rPr>
      <w:rFonts w:ascii="Arial" w:hAnsi="Arial" w:cs="Angsana New"/>
      <w:szCs w:val="24"/>
      <w:lang w:eastAsia="ja-JP" w:bidi="th-TH"/>
    </w:rPr>
  </w:style>
  <w:style w:type="paragraph" w:styleId="BlockText">
    <w:name w:val="Block Text"/>
    <w:basedOn w:val="Normal"/>
    <w:rsid w:val="00A16BB4"/>
    <w:pPr>
      <w:ind w:left="1985" w:right="-2"/>
    </w:pPr>
    <w:rPr>
      <w:rFonts w:cs="Angsana New"/>
      <w:szCs w:val="24"/>
      <w:lang w:eastAsia="ja-JP" w:bidi="th-TH"/>
    </w:rPr>
  </w:style>
  <w:style w:type="paragraph" w:styleId="Caption">
    <w:name w:val="caption"/>
    <w:basedOn w:val="Normal"/>
    <w:next w:val="Normal"/>
    <w:unhideWhenUsed/>
    <w:qFormat/>
    <w:rsid w:val="00A16BB4"/>
    <w:pPr>
      <w:spacing w:after="200"/>
    </w:pPr>
    <w:rPr>
      <w:b/>
      <w:bCs/>
      <w:color w:val="4F81BD" w:themeColor="accent1"/>
      <w:sz w:val="18"/>
      <w:szCs w:val="18"/>
    </w:rPr>
  </w:style>
  <w:style w:type="table" w:styleId="TableGrid">
    <w:name w:val="Table Grid"/>
    <w:basedOn w:val="TableNormal"/>
    <w:rsid w:val="00A16BB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D7C07"/>
    <w:pPr>
      <w:numPr>
        <w:numId w:val="12"/>
      </w:numPr>
    </w:pPr>
    <w:rPr>
      <w:rFonts w:ascii="Times New Roman" w:hAnsi="Times New Roman"/>
      <w:sz w:val="24"/>
      <w:szCs w:val="24"/>
      <w:lang w:eastAsia="ja-JP"/>
    </w:rPr>
  </w:style>
  <w:style w:type="paragraph" w:customStyle="1" w:styleId="StyleHeading6Nounderline">
    <w:name w:val="Style Heading 6 + No underline"/>
    <w:basedOn w:val="Heading6"/>
    <w:rsid w:val="007D7C07"/>
  </w:style>
  <w:style w:type="paragraph" w:customStyle="1" w:styleId="StyleHeading5NotItalicUnderline">
    <w:name w:val="Style Heading 5 + Not Italic Underline"/>
    <w:basedOn w:val="Heading5"/>
    <w:link w:val="StyleHeading5NotItalicUnderlineChar"/>
    <w:rsid w:val="007D7C07"/>
    <w:pPr>
      <w:tabs>
        <w:tab w:val="left" w:pos="1680"/>
      </w:tabs>
      <w:ind w:left="567"/>
    </w:pPr>
    <w:rPr>
      <w:u w:val="single"/>
    </w:rPr>
  </w:style>
  <w:style w:type="character" w:customStyle="1" w:styleId="Heading5Char">
    <w:name w:val="Heading 5 Char"/>
    <w:basedOn w:val="DefaultParagraphFont"/>
    <w:link w:val="Heading5"/>
    <w:rsid w:val="008716DF"/>
    <w:rPr>
      <w:rFonts w:ascii="Arial" w:hAnsi="Arial" w:cs="Arial"/>
      <w:i/>
      <w:szCs w:val="18"/>
      <w:lang w:val="fr-FR"/>
    </w:rPr>
  </w:style>
  <w:style w:type="character" w:customStyle="1" w:styleId="StyleHeading5NotItalicUnderlineChar">
    <w:name w:val="Style Heading 5 + Not Italic Underline Char"/>
    <w:basedOn w:val="Heading5Char"/>
    <w:link w:val="StyleHeading5NotItalicUnderline"/>
    <w:rsid w:val="007D7C07"/>
    <w:rPr>
      <w:rFonts w:ascii="Arial" w:hAnsi="Arial" w:cs="Arial"/>
      <w:i/>
      <w:szCs w:val="18"/>
      <w:u w:val="single"/>
      <w:lang w:val="fr-FR"/>
    </w:rPr>
  </w:style>
  <w:style w:type="paragraph" w:styleId="BodyText3">
    <w:name w:val="Body Text 3"/>
    <w:basedOn w:val="Normal"/>
    <w:link w:val="BodyText3Char"/>
    <w:rsid w:val="00A16BB4"/>
    <w:pPr>
      <w:jc w:val="center"/>
    </w:pPr>
    <w:rPr>
      <w:rFonts w:cs="Angsana New"/>
      <w:szCs w:val="24"/>
      <w:lang w:eastAsia="ja-JP" w:bidi="th-TH"/>
    </w:rPr>
  </w:style>
  <w:style w:type="character" w:customStyle="1" w:styleId="BodyText3Char">
    <w:name w:val="Body Text 3 Char"/>
    <w:basedOn w:val="DefaultParagraphFont"/>
    <w:link w:val="BodyText3"/>
    <w:rsid w:val="00A16BB4"/>
    <w:rPr>
      <w:rFonts w:ascii="Arial" w:hAnsi="Arial" w:cs="Angsana New"/>
      <w:szCs w:val="24"/>
      <w:lang w:eastAsia="ja-JP" w:bidi="th-TH"/>
    </w:rPr>
  </w:style>
  <w:style w:type="paragraph" w:styleId="DocumentMap">
    <w:name w:val="Document Map"/>
    <w:basedOn w:val="Normal"/>
    <w:link w:val="DocumentMapChar"/>
    <w:rsid w:val="00A16BB4"/>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A16BB4"/>
    <w:rPr>
      <w:rFonts w:ascii="Tahoma" w:hAnsi="Tahoma" w:cs="Tahoma"/>
      <w:sz w:val="24"/>
      <w:szCs w:val="24"/>
      <w:shd w:val="clear" w:color="auto" w:fill="000080"/>
      <w:lang w:eastAsia="ja-JP" w:bidi="th-TH"/>
    </w:rPr>
  </w:style>
  <w:style w:type="character" w:customStyle="1" w:styleId="EndnoteTextChar">
    <w:name w:val="Endnote Text Char"/>
    <w:basedOn w:val="DefaultParagraphFont"/>
    <w:link w:val="EndnoteText"/>
    <w:semiHidden/>
    <w:rsid w:val="00A16BB4"/>
    <w:rPr>
      <w:rFonts w:ascii="Arial" w:hAnsi="Arial"/>
    </w:rPr>
  </w:style>
  <w:style w:type="character" w:styleId="FollowedHyperlink">
    <w:name w:val="FollowedHyperlink"/>
    <w:basedOn w:val="DefaultParagraphFont"/>
    <w:rsid w:val="00A16BB4"/>
    <w:rPr>
      <w:color w:val="800080" w:themeColor="followedHyperlink"/>
      <w:u w:val="single"/>
    </w:rPr>
  </w:style>
  <w:style w:type="character" w:customStyle="1" w:styleId="HeaderChar">
    <w:name w:val="Header Char"/>
    <w:basedOn w:val="DefaultParagraphFont"/>
    <w:link w:val="Header"/>
    <w:rsid w:val="00A16BB4"/>
    <w:rPr>
      <w:rFonts w:ascii="Arial" w:hAnsi="Arial"/>
      <w:lang w:val="fr-FR"/>
    </w:rPr>
  </w:style>
  <w:style w:type="character" w:customStyle="1" w:styleId="Heading2Char">
    <w:name w:val="Heading 2 Char"/>
    <w:basedOn w:val="DefaultParagraphFont"/>
    <w:link w:val="Heading2"/>
    <w:rsid w:val="00FF7E84"/>
    <w:rPr>
      <w:rFonts w:ascii="Arial" w:hAnsi="Arial"/>
      <w:b/>
      <w:lang w:val="fr-FR"/>
    </w:rPr>
  </w:style>
  <w:style w:type="paragraph" w:styleId="ListParagraph">
    <w:name w:val="List Paragraph"/>
    <w:basedOn w:val="Normal"/>
    <w:uiPriority w:val="34"/>
    <w:qFormat/>
    <w:rsid w:val="00A16BB4"/>
    <w:pPr>
      <w:ind w:left="720"/>
      <w:contextualSpacing/>
    </w:pPr>
  </w:style>
  <w:style w:type="paragraph" w:customStyle="1" w:styleId="StyleHeading2Justified">
    <w:name w:val="Style Heading 2 + Justified"/>
    <w:basedOn w:val="Heading2"/>
    <w:rsid w:val="00A16BB4"/>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A16BB4"/>
    <w:rPr>
      <w:rFonts w:ascii="Arial" w:hAnsi="Arial"/>
      <w:smallCaps/>
      <w:noProof/>
      <w:sz w:val="18"/>
      <w:lang w:val="fr-FR" w:eastAsia="ja-JP"/>
    </w:rPr>
  </w:style>
  <w:style w:type="paragraph" w:customStyle="1" w:styleId="Disclaimer">
    <w:name w:val="Disclaimer"/>
    <w:next w:val="Normal"/>
    <w:qFormat/>
    <w:rsid w:val="00351627"/>
    <w:pPr>
      <w:spacing w:after="600"/>
    </w:pPr>
    <w:rPr>
      <w:rFonts w:ascii="Arial" w:hAnsi="Arial"/>
      <w:i/>
      <w:iCs/>
      <w:color w:val="A6A6A6" w:themeColor="background1" w:themeShade="A6"/>
      <w:lang w:val="fr-FR"/>
    </w:rPr>
  </w:style>
  <w:style w:type="paragraph" w:customStyle="1" w:styleId="Doccode">
    <w:name w:val="Doc_code"/>
    <w:qFormat/>
    <w:rsid w:val="00351627"/>
    <w:rPr>
      <w:rFonts w:ascii="Arial" w:hAnsi="Arial"/>
      <w:b/>
      <w:bCs/>
      <w:spacing w:val="10"/>
      <w:sz w:val="18"/>
    </w:rPr>
  </w:style>
  <w:style w:type="paragraph" w:customStyle="1" w:styleId="tgchartextcentered">
    <w:name w:val="tg_char_text_centered"/>
    <w:basedOn w:val="Normal"/>
    <w:rsid w:val="00295414"/>
    <w:pPr>
      <w:spacing w:before="80" w:after="80"/>
      <w:jc w:val="center"/>
    </w:pPr>
    <w:rPr>
      <w:b/>
      <w:sz w:val="16"/>
      <w:lang w:val="en-US"/>
    </w:rPr>
  </w:style>
  <w:style w:type="paragraph" w:customStyle="1" w:styleId="tgchartext">
    <w:name w:val="tg_char_text"/>
    <w:basedOn w:val="Normal"/>
    <w:rsid w:val="00295414"/>
    <w:pPr>
      <w:spacing w:before="80" w:after="80"/>
      <w:jc w:val="left"/>
    </w:pPr>
    <w:rPr>
      <w:sz w:val="16"/>
      <w:lang w:val="en-US"/>
    </w:rPr>
  </w:style>
  <w:style w:type="character" w:customStyle="1" w:styleId="underline">
    <w:name w:val="underline"/>
    <w:basedOn w:val="DefaultParagraphFont"/>
    <w:rsid w:val="00C87D01"/>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BB4"/>
    <w:pPr>
      <w:jc w:val="both"/>
    </w:pPr>
    <w:rPr>
      <w:rFonts w:ascii="Arial" w:hAnsi="Arial"/>
      <w:lang w:val="fr-FR"/>
    </w:rPr>
  </w:style>
  <w:style w:type="paragraph" w:styleId="Heading1">
    <w:name w:val="heading 1"/>
    <w:next w:val="Normal"/>
    <w:qFormat/>
    <w:rsid w:val="00A16BB4"/>
    <w:pPr>
      <w:keepNext/>
      <w:spacing w:after="360"/>
      <w:jc w:val="both"/>
      <w:outlineLvl w:val="0"/>
    </w:pPr>
    <w:rPr>
      <w:rFonts w:ascii="Arial Bold" w:hAnsi="Arial Bold"/>
      <w:b/>
      <w:caps/>
    </w:rPr>
  </w:style>
  <w:style w:type="paragraph" w:styleId="Heading2">
    <w:name w:val="heading 2"/>
    <w:next w:val="Normal"/>
    <w:link w:val="Heading2Char"/>
    <w:autoRedefine/>
    <w:qFormat/>
    <w:rsid w:val="00FF7E84"/>
    <w:pPr>
      <w:keepNext/>
      <w:spacing w:after="240"/>
      <w:ind w:left="851" w:hanging="851"/>
      <w:jc w:val="both"/>
      <w:outlineLvl w:val="1"/>
    </w:pPr>
    <w:rPr>
      <w:rFonts w:ascii="Arial" w:hAnsi="Arial"/>
      <w:b/>
      <w:lang w:val="fr-FR"/>
    </w:rPr>
  </w:style>
  <w:style w:type="paragraph" w:styleId="Heading3">
    <w:name w:val="heading 3"/>
    <w:next w:val="Normal"/>
    <w:qFormat/>
    <w:rsid w:val="00A16BB4"/>
    <w:pPr>
      <w:keepNext/>
      <w:spacing w:after="240"/>
      <w:jc w:val="both"/>
      <w:outlineLvl w:val="2"/>
    </w:pPr>
    <w:rPr>
      <w:rFonts w:ascii="Arial" w:hAnsi="Arial"/>
      <w:u w:val="single"/>
    </w:rPr>
  </w:style>
  <w:style w:type="paragraph" w:styleId="Heading4">
    <w:name w:val="heading 4"/>
    <w:next w:val="Normal"/>
    <w:autoRedefine/>
    <w:qFormat/>
    <w:rsid w:val="001E1128"/>
    <w:pPr>
      <w:keepNext/>
      <w:spacing w:after="240"/>
      <w:jc w:val="both"/>
      <w:outlineLvl w:val="3"/>
    </w:pPr>
    <w:rPr>
      <w:rFonts w:ascii="Arial" w:hAnsi="Arial" w:cs="Arial"/>
      <w:i/>
      <w:noProof/>
      <w:lang w:val="fr-FR"/>
    </w:rPr>
  </w:style>
  <w:style w:type="paragraph" w:styleId="Heading5">
    <w:name w:val="heading 5"/>
    <w:next w:val="Normal"/>
    <w:link w:val="Heading5Char"/>
    <w:autoRedefine/>
    <w:rsid w:val="008716DF"/>
    <w:pPr>
      <w:keepNext/>
      <w:spacing w:after="240"/>
      <w:ind w:left="851" w:hanging="851"/>
      <w:jc w:val="both"/>
      <w:outlineLvl w:val="4"/>
    </w:pPr>
    <w:rPr>
      <w:rFonts w:ascii="Arial" w:hAnsi="Arial" w:cs="Arial"/>
      <w:i/>
      <w:szCs w:val="18"/>
      <w:lang w:val="fr-FR"/>
    </w:rPr>
  </w:style>
  <w:style w:type="paragraph" w:styleId="Heading6">
    <w:name w:val="heading 6"/>
    <w:basedOn w:val="Normal"/>
    <w:next w:val="Normal"/>
    <w:link w:val="Heading6Char"/>
    <w:autoRedefine/>
    <w:qFormat/>
    <w:rsid w:val="00A16BB4"/>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16BB4"/>
    <w:pPr>
      <w:keepNext/>
      <w:spacing w:before="60" w:after="60"/>
      <w:outlineLvl w:val="6"/>
    </w:pPr>
  </w:style>
  <w:style w:type="paragraph" w:styleId="Heading8">
    <w:name w:val="heading 8"/>
    <w:basedOn w:val="Normal"/>
    <w:next w:val="Normal"/>
    <w:link w:val="Heading8Char"/>
    <w:autoRedefine/>
    <w:qFormat/>
    <w:rsid w:val="0044287B"/>
    <w:pPr>
      <w:keepNext/>
      <w:ind w:left="993" w:hanging="993"/>
      <w:outlineLvl w:val="7"/>
    </w:pPr>
    <w:rPr>
      <w:rFonts w:cs="Arial"/>
      <w:i/>
      <w:iCs/>
      <w:noProof/>
      <w:szCs w:val="22"/>
      <w:lang w:eastAsia="ja-JP" w:bidi="th-TH"/>
    </w:rPr>
  </w:style>
  <w:style w:type="paragraph" w:styleId="Heading9">
    <w:name w:val="heading 9"/>
    <w:basedOn w:val="Normal"/>
    <w:next w:val="Normal"/>
    <w:qFormat/>
    <w:rsid w:val="00A16BB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A16BB4"/>
    <w:pPr>
      <w:jc w:val="center"/>
    </w:pPr>
    <w:rPr>
      <w:rFonts w:ascii="Arial" w:hAnsi="Arial"/>
      <w:lang w:val="fr-FR"/>
    </w:rPr>
  </w:style>
  <w:style w:type="paragraph" w:styleId="Footer">
    <w:name w:val="footer"/>
    <w:aliases w:val="doc_path_name"/>
    <w:autoRedefine/>
    <w:rsid w:val="00A16BB4"/>
    <w:pPr>
      <w:jc w:val="both"/>
    </w:pPr>
    <w:rPr>
      <w:rFonts w:ascii="Arial" w:hAnsi="Arial"/>
      <w:sz w:val="14"/>
    </w:rPr>
  </w:style>
  <w:style w:type="character" w:styleId="PageNumber">
    <w:name w:val="page number"/>
    <w:basedOn w:val="DefaultParagraphFont"/>
    <w:rsid w:val="00A16BB4"/>
    <w:rPr>
      <w:rFonts w:ascii="Arial" w:hAnsi="Arial"/>
      <w:sz w:val="20"/>
    </w:rPr>
  </w:style>
  <w:style w:type="paragraph" w:styleId="Title">
    <w:name w:val="Title"/>
    <w:basedOn w:val="Normal"/>
    <w:qFormat/>
    <w:rsid w:val="00351627"/>
    <w:pPr>
      <w:spacing w:after="300"/>
      <w:jc w:val="center"/>
    </w:pPr>
    <w:rPr>
      <w:b/>
      <w:caps/>
      <w:kern w:val="28"/>
      <w:sz w:val="30"/>
    </w:rPr>
  </w:style>
  <w:style w:type="paragraph" w:customStyle="1" w:styleId="preparedby">
    <w:name w:val="preparedby"/>
    <w:basedOn w:val="Normal"/>
    <w:next w:val="Normal"/>
    <w:semiHidden/>
    <w:rsid w:val="00351627"/>
    <w:pPr>
      <w:spacing w:after="600"/>
      <w:jc w:val="center"/>
    </w:pPr>
    <w:rPr>
      <w:i/>
    </w:rPr>
  </w:style>
  <w:style w:type="paragraph" w:customStyle="1" w:styleId="Docoriginal">
    <w:name w:val="Doc_original"/>
    <w:basedOn w:val="Code"/>
    <w:link w:val="DocoriginalChar"/>
    <w:rsid w:val="00351627"/>
    <w:pPr>
      <w:spacing w:before="240" w:line="240" w:lineRule="exact"/>
      <w:ind w:left="0"/>
      <w:contextualSpacing/>
      <w:jc w:val="left"/>
    </w:pPr>
    <w:rPr>
      <w:sz w:val="18"/>
    </w:rPr>
  </w:style>
  <w:style w:type="paragraph" w:customStyle="1" w:styleId="DecisionParagraphs">
    <w:name w:val="DecisionParagraphs"/>
    <w:basedOn w:val="Normal"/>
    <w:rsid w:val="00A16BB4"/>
    <w:pPr>
      <w:tabs>
        <w:tab w:val="left" w:pos="5387"/>
      </w:tabs>
      <w:ind w:left="4820"/>
    </w:pPr>
    <w:rPr>
      <w:i/>
    </w:rPr>
  </w:style>
  <w:style w:type="paragraph" w:styleId="FootnoteText">
    <w:name w:val="footnote text"/>
    <w:autoRedefine/>
    <w:rsid w:val="00A16BB4"/>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A16BB4"/>
    <w:rPr>
      <w:vertAlign w:val="superscript"/>
    </w:rPr>
  </w:style>
  <w:style w:type="paragraph" w:styleId="Closing">
    <w:name w:val="Closing"/>
    <w:basedOn w:val="Normal"/>
    <w:rsid w:val="00A16BB4"/>
    <w:pPr>
      <w:ind w:left="4536"/>
      <w:jc w:val="center"/>
    </w:pPr>
  </w:style>
  <w:style w:type="paragraph" w:styleId="Index1">
    <w:name w:val="index 1"/>
    <w:basedOn w:val="Normal"/>
    <w:next w:val="Normal"/>
    <w:semiHidden/>
    <w:rsid w:val="00A16BB4"/>
    <w:pPr>
      <w:tabs>
        <w:tab w:val="right" w:leader="dot" w:pos="9071"/>
      </w:tabs>
      <w:ind w:left="284" w:hanging="284"/>
    </w:pPr>
    <w:rPr>
      <w:sz w:val="24"/>
    </w:rPr>
  </w:style>
  <w:style w:type="paragraph" w:styleId="Index2">
    <w:name w:val="index 2"/>
    <w:basedOn w:val="Normal"/>
    <w:next w:val="Normal"/>
    <w:semiHidden/>
    <w:rsid w:val="00A16BB4"/>
    <w:pPr>
      <w:tabs>
        <w:tab w:val="right" w:leader="dot" w:pos="9071"/>
      </w:tabs>
      <w:ind w:left="568" w:hanging="284"/>
    </w:pPr>
    <w:rPr>
      <w:sz w:val="24"/>
    </w:rPr>
  </w:style>
  <w:style w:type="paragraph" w:styleId="Index3">
    <w:name w:val="index 3"/>
    <w:basedOn w:val="Normal"/>
    <w:next w:val="Normal"/>
    <w:semiHidden/>
    <w:rsid w:val="00A16BB4"/>
    <w:pPr>
      <w:tabs>
        <w:tab w:val="right" w:leader="dot" w:pos="9071"/>
      </w:tabs>
      <w:ind w:left="851" w:hanging="284"/>
    </w:pPr>
    <w:rPr>
      <w:sz w:val="24"/>
    </w:rPr>
  </w:style>
  <w:style w:type="paragraph" w:styleId="MacroText">
    <w:name w:val="macro"/>
    <w:semiHidden/>
    <w:rsid w:val="00A16B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A16BB4"/>
    <w:pPr>
      <w:ind w:left="4536"/>
      <w:jc w:val="center"/>
    </w:pPr>
  </w:style>
  <w:style w:type="character" w:customStyle="1" w:styleId="Doclang">
    <w:name w:val="Doc_lang"/>
    <w:basedOn w:val="DefaultParagraphFont"/>
    <w:rsid w:val="00351627"/>
    <w:rPr>
      <w:rFonts w:ascii="Arial" w:hAnsi="Arial"/>
      <w:sz w:val="20"/>
      <w:lang w:val="en-US"/>
    </w:rPr>
  </w:style>
  <w:style w:type="paragraph" w:customStyle="1" w:styleId="Session">
    <w:name w:val="Session"/>
    <w:basedOn w:val="Normal"/>
    <w:rsid w:val="00351627"/>
    <w:pPr>
      <w:spacing w:before="60"/>
      <w:jc w:val="center"/>
    </w:pPr>
    <w:rPr>
      <w:b/>
    </w:rPr>
  </w:style>
  <w:style w:type="paragraph" w:customStyle="1" w:styleId="Organizer">
    <w:name w:val="Organizer"/>
    <w:basedOn w:val="Normal"/>
    <w:rsid w:val="00351627"/>
    <w:pPr>
      <w:spacing w:after="600"/>
      <w:ind w:left="-993" w:right="-994"/>
      <w:jc w:val="center"/>
    </w:pPr>
    <w:rPr>
      <w:b/>
      <w:caps/>
      <w:kern w:val="26"/>
      <w:sz w:val="26"/>
    </w:rPr>
  </w:style>
  <w:style w:type="paragraph" w:styleId="BodyText">
    <w:name w:val="Body Text"/>
    <w:basedOn w:val="Normal"/>
    <w:rsid w:val="00A16BB4"/>
  </w:style>
  <w:style w:type="paragraph" w:customStyle="1" w:styleId="StyleDocoriginalNotBold">
    <w:name w:val="Style Doc_original + Not Bold"/>
    <w:basedOn w:val="Docoriginal"/>
    <w:link w:val="StyleDocoriginalNotBoldChar"/>
    <w:autoRedefine/>
    <w:rsid w:val="00A16BB4"/>
    <w:pPr>
      <w:ind w:left="1589"/>
    </w:pPr>
  </w:style>
  <w:style w:type="paragraph" w:customStyle="1" w:styleId="upove">
    <w:name w:val="upov_e"/>
    <w:basedOn w:val="Normal"/>
    <w:rsid w:val="00351627"/>
    <w:pPr>
      <w:spacing w:before="120"/>
    </w:pPr>
    <w:rPr>
      <w:sz w:val="16"/>
    </w:rPr>
  </w:style>
  <w:style w:type="paragraph" w:customStyle="1" w:styleId="TitleofDoc">
    <w:name w:val="Title of Doc"/>
    <w:basedOn w:val="Normal"/>
    <w:link w:val="TitleofDocChar"/>
    <w:rsid w:val="004F6CA1"/>
    <w:pPr>
      <w:jc w:val="left"/>
    </w:pPr>
  </w:style>
  <w:style w:type="paragraph" w:customStyle="1" w:styleId="preparedby0">
    <w:name w:val="prepared by"/>
    <w:basedOn w:val="Normal"/>
    <w:rsid w:val="00351627"/>
    <w:pPr>
      <w:spacing w:before="600" w:after="600"/>
      <w:jc w:val="center"/>
    </w:pPr>
    <w:rPr>
      <w:i/>
    </w:rPr>
  </w:style>
  <w:style w:type="paragraph" w:customStyle="1" w:styleId="PlaceAndDate">
    <w:name w:val="PlaceAndDate"/>
    <w:basedOn w:val="Session"/>
    <w:rsid w:val="00351627"/>
  </w:style>
  <w:style w:type="paragraph" w:styleId="EndnoteText">
    <w:name w:val="endnote text"/>
    <w:basedOn w:val="Normal"/>
    <w:link w:val="EndnoteTextChar"/>
    <w:semiHidden/>
    <w:rsid w:val="00A16BB4"/>
  </w:style>
  <w:style w:type="character" w:styleId="EndnoteReference">
    <w:name w:val="endnote reference"/>
    <w:basedOn w:val="DefaultParagraphFont"/>
    <w:semiHidden/>
    <w:rsid w:val="00A16BB4"/>
    <w:rPr>
      <w:vertAlign w:val="superscript"/>
    </w:rPr>
  </w:style>
  <w:style w:type="paragraph" w:customStyle="1" w:styleId="SessionMeetingPlace">
    <w:name w:val="Session_MeetingPlace"/>
    <w:basedOn w:val="Normal"/>
    <w:semiHidden/>
    <w:rsid w:val="00351627"/>
    <w:pPr>
      <w:spacing w:before="480"/>
      <w:jc w:val="center"/>
    </w:pPr>
    <w:rPr>
      <w:b/>
      <w:bCs/>
      <w:kern w:val="28"/>
      <w:sz w:val="24"/>
    </w:rPr>
  </w:style>
  <w:style w:type="paragraph" w:customStyle="1" w:styleId="Original">
    <w:name w:val="Original"/>
    <w:basedOn w:val="Normal"/>
    <w:rsid w:val="00351627"/>
    <w:pPr>
      <w:spacing w:before="60"/>
      <w:ind w:left="1276"/>
    </w:pPr>
    <w:rPr>
      <w:b/>
      <w:sz w:val="22"/>
    </w:rPr>
  </w:style>
  <w:style w:type="paragraph" w:styleId="Date">
    <w:name w:val="Date"/>
    <w:basedOn w:val="Normal"/>
    <w:rsid w:val="00A16BB4"/>
    <w:pPr>
      <w:spacing w:line="340" w:lineRule="exact"/>
      <w:ind w:left="1276"/>
    </w:pPr>
    <w:rPr>
      <w:b/>
      <w:sz w:val="22"/>
    </w:rPr>
  </w:style>
  <w:style w:type="paragraph" w:customStyle="1" w:styleId="Code">
    <w:name w:val="Code"/>
    <w:basedOn w:val="Normal"/>
    <w:link w:val="CodeChar"/>
    <w:semiHidden/>
    <w:rsid w:val="00351627"/>
    <w:pPr>
      <w:spacing w:line="340" w:lineRule="atLeast"/>
      <w:ind w:left="1276"/>
    </w:pPr>
    <w:rPr>
      <w:b/>
      <w:bCs/>
      <w:spacing w:val="10"/>
    </w:rPr>
  </w:style>
  <w:style w:type="paragraph" w:customStyle="1" w:styleId="Country">
    <w:name w:val="Country"/>
    <w:basedOn w:val="Normal"/>
    <w:semiHidden/>
    <w:rsid w:val="00A16BB4"/>
    <w:pPr>
      <w:spacing w:before="60" w:after="480"/>
      <w:jc w:val="center"/>
    </w:pPr>
  </w:style>
  <w:style w:type="paragraph" w:customStyle="1" w:styleId="Lettrine">
    <w:name w:val="Lettrine"/>
    <w:basedOn w:val="Normal"/>
    <w:rsid w:val="00351627"/>
    <w:pPr>
      <w:spacing w:line="340" w:lineRule="atLeast"/>
      <w:jc w:val="right"/>
    </w:pPr>
    <w:rPr>
      <w:b/>
      <w:bCs/>
      <w:sz w:val="36"/>
    </w:rPr>
  </w:style>
  <w:style w:type="paragraph" w:customStyle="1" w:styleId="LogoUPOV">
    <w:name w:val="LogoUPOV"/>
    <w:basedOn w:val="Normal"/>
    <w:rsid w:val="00351627"/>
    <w:pPr>
      <w:spacing w:before="600" w:after="80"/>
      <w:jc w:val="center"/>
    </w:pPr>
    <w:rPr>
      <w:snapToGrid w:val="0"/>
    </w:rPr>
  </w:style>
  <w:style w:type="paragraph" w:customStyle="1" w:styleId="Sessiontc">
    <w:name w:val="Session_tc"/>
    <w:basedOn w:val="StyleSessionAllcaps"/>
    <w:rsid w:val="00351627"/>
    <w:pPr>
      <w:spacing w:before="0" w:line="280" w:lineRule="exact"/>
      <w:jc w:val="left"/>
    </w:pPr>
    <w:rPr>
      <w:caps w:val="0"/>
      <w:sz w:val="20"/>
    </w:rPr>
  </w:style>
  <w:style w:type="paragraph" w:customStyle="1" w:styleId="TitreUpov">
    <w:name w:val="TitreUpov"/>
    <w:basedOn w:val="Normal"/>
    <w:semiHidden/>
    <w:rsid w:val="00351627"/>
    <w:pPr>
      <w:spacing w:before="60"/>
      <w:jc w:val="center"/>
    </w:pPr>
    <w:rPr>
      <w:b/>
      <w:sz w:val="24"/>
    </w:rPr>
  </w:style>
  <w:style w:type="paragraph" w:customStyle="1" w:styleId="StyleSessionAllcaps">
    <w:name w:val="Style Session + All caps"/>
    <w:basedOn w:val="Session"/>
    <w:semiHidden/>
    <w:rsid w:val="00A16BB4"/>
    <w:pPr>
      <w:spacing w:before="480"/>
    </w:pPr>
    <w:rPr>
      <w:bCs/>
      <w:caps/>
      <w:kern w:val="28"/>
      <w:sz w:val="24"/>
    </w:rPr>
  </w:style>
  <w:style w:type="paragraph" w:customStyle="1" w:styleId="plcountry">
    <w:name w:val="plcountry"/>
    <w:basedOn w:val="Normal"/>
    <w:rsid w:val="00A16BB4"/>
    <w:pPr>
      <w:keepNext/>
      <w:keepLines/>
      <w:spacing w:before="180" w:after="120"/>
      <w:jc w:val="left"/>
    </w:pPr>
    <w:rPr>
      <w:caps/>
      <w:noProof/>
      <w:snapToGrid w:val="0"/>
      <w:u w:val="single"/>
    </w:rPr>
  </w:style>
  <w:style w:type="paragraph" w:customStyle="1" w:styleId="pldetails">
    <w:name w:val="pldetails"/>
    <w:basedOn w:val="Normal"/>
    <w:rsid w:val="00A16BB4"/>
    <w:pPr>
      <w:keepLines/>
      <w:spacing w:before="60" w:after="60"/>
      <w:jc w:val="left"/>
    </w:pPr>
    <w:rPr>
      <w:noProof/>
      <w:snapToGrid w:val="0"/>
    </w:rPr>
  </w:style>
  <w:style w:type="paragraph" w:customStyle="1" w:styleId="plheading">
    <w:name w:val="plheading"/>
    <w:basedOn w:val="Normal"/>
    <w:rsid w:val="00A16BB4"/>
    <w:pPr>
      <w:keepNext/>
      <w:spacing w:before="480" w:after="120"/>
      <w:jc w:val="center"/>
    </w:pPr>
    <w:rPr>
      <w:caps/>
      <w:snapToGrid w:val="0"/>
      <w:u w:val="single"/>
    </w:rPr>
  </w:style>
  <w:style w:type="paragraph" w:customStyle="1" w:styleId="Sessiontcplacedate">
    <w:name w:val="Session_tc_place_date"/>
    <w:basedOn w:val="SessionMeetingPlace"/>
    <w:rsid w:val="00351627"/>
    <w:pPr>
      <w:spacing w:before="240"/>
      <w:contextualSpacing/>
      <w:jc w:val="left"/>
    </w:pPr>
    <w:rPr>
      <w:sz w:val="20"/>
    </w:rPr>
  </w:style>
  <w:style w:type="paragraph" w:customStyle="1" w:styleId="Titleofdoc0">
    <w:name w:val="Title_of_doc"/>
    <w:basedOn w:val="TitleofDoc"/>
    <w:rsid w:val="00351627"/>
    <w:pPr>
      <w:spacing w:before="600" w:after="240"/>
    </w:pPr>
    <w:rPr>
      <w:b/>
    </w:rPr>
  </w:style>
  <w:style w:type="paragraph" w:customStyle="1" w:styleId="preparedby1">
    <w:name w:val="prepared_by"/>
    <w:basedOn w:val="preparedby0"/>
    <w:rsid w:val="00351627"/>
    <w:pPr>
      <w:spacing w:before="0" w:after="240"/>
    </w:pPr>
    <w:rPr>
      <w:iCs/>
    </w:rPr>
  </w:style>
  <w:style w:type="character" w:customStyle="1" w:styleId="CodeChar">
    <w:name w:val="Code Char"/>
    <w:basedOn w:val="DefaultParagraphFont"/>
    <w:link w:val="Code"/>
    <w:semiHidden/>
    <w:rsid w:val="00351627"/>
    <w:rPr>
      <w:rFonts w:ascii="Arial" w:hAnsi="Arial"/>
      <w:b/>
      <w:bCs/>
      <w:spacing w:val="10"/>
      <w:lang w:val="fr-FR"/>
    </w:rPr>
  </w:style>
  <w:style w:type="paragraph" w:customStyle="1" w:styleId="endofdoc">
    <w:name w:val="end_of_doc"/>
    <w:next w:val="Header"/>
    <w:autoRedefine/>
    <w:rsid w:val="00351627"/>
    <w:pPr>
      <w:spacing w:before="480"/>
      <w:ind w:left="567" w:hanging="567"/>
      <w:jc w:val="right"/>
    </w:pPr>
    <w:rPr>
      <w:rFonts w:ascii="Arial" w:hAnsi="Arial"/>
    </w:rPr>
  </w:style>
  <w:style w:type="character" w:customStyle="1" w:styleId="DocoriginalChar">
    <w:name w:val="Doc_original Char"/>
    <w:basedOn w:val="CodeChar"/>
    <w:link w:val="Docoriginal"/>
    <w:rsid w:val="00351627"/>
    <w:rPr>
      <w:rFonts w:ascii="Arial" w:hAnsi="Arial"/>
      <w:b/>
      <w:bCs/>
      <w:spacing w:val="10"/>
      <w:sz w:val="18"/>
      <w:lang w:val="fr-FR"/>
    </w:rPr>
  </w:style>
  <w:style w:type="character" w:customStyle="1" w:styleId="StyleDocoriginalNotBoldChar">
    <w:name w:val="Style Doc_original + Not Bold Char"/>
    <w:basedOn w:val="DocoriginalChar"/>
    <w:link w:val="StyleDocoriginalNotBold"/>
    <w:rsid w:val="00A16BB4"/>
    <w:rPr>
      <w:rFonts w:ascii="Arial" w:hAnsi="Arial"/>
      <w:b/>
      <w:bCs/>
      <w:spacing w:val="10"/>
      <w:sz w:val="18"/>
      <w:lang w:val="fr-FR"/>
    </w:rPr>
  </w:style>
  <w:style w:type="paragraph" w:customStyle="1" w:styleId="StyleDocnumber">
    <w:name w:val="Style Doc_number"/>
    <w:basedOn w:val="Docoriginal"/>
    <w:rsid w:val="00A16BB4"/>
    <w:pPr>
      <w:ind w:left="1589"/>
    </w:pPr>
  </w:style>
  <w:style w:type="paragraph" w:customStyle="1" w:styleId="StyleDocoriginal">
    <w:name w:val="Style Doc_original"/>
    <w:basedOn w:val="Docoriginal"/>
    <w:link w:val="StyleDocoriginalChar"/>
    <w:rsid w:val="00A16BB4"/>
  </w:style>
  <w:style w:type="character" w:customStyle="1" w:styleId="StyleDocoriginalChar">
    <w:name w:val="Style Doc_original Char"/>
    <w:basedOn w:val="DocoriginalChar"/>
    <w:link w:val="StyleDocoriginal"/>
    <w:rsid w:val="00A16BB4"/>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16BB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16BB4"/>
    <w:rPr>
      <w:rFonts w:ascii="Arial" w:hAnsi="Arial"/>
      <w:b w:val="0"/>
      <w:bCs w:val="0"/>
      <w:spacing w:val="10"/>
      <w:sz w:val="18"/>
      <w:lang w:val="fr-FR"/>
    </w:rPr>
  </w:style>
  <w:style w:type="character" w:customStyle="1" w:styleId="StyleDocoriginalNotBold1">
    <w:name w:val="Style Doc_original + Not Bold1"/>
    <w:basedOn w:val="DefaultParagraphFont"/>
    <w:rsid w:val="00A16BB4"/>
    <w:rPr>
      <w:rFonts w:ascii="Arial" w:hAnsi="Arial"/>
      <w:b/>
      <w:bCs/>
      <w:spacing w:val="10"/>
      <w:lang w:val="en-US" w:eastAsia="en-US" w:bidi="ar-SA"/>
    </w:rPr>
  </w:style>
  <w:style w:type="character" w:customStyle="1" w:styleId="StyleDoclangBold">
    <w:name w:val="Style Doc_lang + Bold"/>
    <w:basedOn w:val="Doclang"/>
    <w:rsid w:val="00A16BB4"/>
    <w:rPr>
      <w:rFonts w:ascii="Arial" w:hAnsi="Arial"/>
      <w:b/>
      <w:bCs/>
      <w:sz w:val="20"/>
      <w:lang w:val="en-US"/>
    </w:rPr>
  </w:style>
  <w:style w:type="paragraph" w:styleId="TOC2">
    <w:name w:val="toc 2"/>
    <w:next w:val="Normal"/>
    <w:autoRedefine/>
    <w:uiPriority w:val="39"/>
    <w:rsid w:val="00A16BB4"/>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A16BB4"/>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A16BB4"/>
    <w:rPr>
      <w:rFonts w:ascii="Arial" w:hAnsi="Arial"/>
      <w:color w:val="0000FF"/>
      <w:u w:val="single"/>
    </w:rPr>
  </w:style>
  <w:style w:type="paragraph" w:styleId="TOC4">
    <w:name w:val="toc 4"/>
    <w:next w:val="Normal"/>
    <w:autoRedefine/>
    <w:uiPriority w:val="39"/>
    <w:rsid w:val="00A16BB4"/>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A16BB4"/>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A16BB4"/>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A16BB4"/>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A16BB4"/>
    <w:pPr>
      <w:jc w:val="left"/>
    </w:pPr>
    <w:rPr>
      <w:rFonts w:ascii="Times New Roman" w:hAnsi="Times New Roman"/>
      <w:sz w:val="22"/>
    </w:rPr>
  </w:style>
  <w:style w:type="paragraph" w:customStyle="1" w:styleId="TitleofSection">
    <w:name w:val="Title of Section"/>
    <w:basedOn w:val="TitleofDoc"/>
    <w:rsid w:val="00A16BB4"/>
    <w:pPr>
      <w:spacing w:before="120" w:after="120"/>
    </w:pPr>
    <w:rPr>
      <w:b/>
      <w:bCs/>
      <w:caps/>
    </w:rPr>
  </w:style>
  <w:style w:type="paragraph" w:customStyle="1" w:styleId="Normaltg">
    <w:name w:val="Normaltg"/>
    <w:basedOn w:val="Normal"/>
    <w:rsid w:val="00A16BB4"/>
    <w:pPr>
      <w:tabs>
        <w:tab w:val="left" w:pos="709"/>
        <w:tab w:val="left" w:pos="1418"/>
      </w:tabs>
    </w:pPr>
  </w:style>
  <w:style w:type="paragraph" w:styleId="BalloonText">
    <w:name w:val="Balloon Text"/>
    <w:basedOn w:val="Normal"/>
    <w:semiHidden/>
    <w:rsid w:val="00A16BB4"/>
    <w:rPr>
      <w:rFonts w:ascii="Tahoma" w:hAnsi="Tahoma" w:cs="Tahoma"/>
      <w:sz w:val="16"/>
      <w:szCs w:val="16"/>
    </w:rPr>
  </w:style>
  <w:style w:type="paragraph" w:styleId="BodyTextIndent">
    <w:name w:val="Body Text Indent"/>
    <w:basedOn w:val="Normal"/>
    <w:link w:val="BodyTextIndentChar"/>
    <w:rsid w:val="00A16BB4"/>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16BB4"/>
    <w:rPr>
      <w:rFonts w:ascii="Arial" w:hAnsi="Arial" w:cs="Angsana New"/>
      <w:szCs w:val="24"/>
      <w:lang w:eastAsia="ja-JP" w:bidi="th-TH"/>
    </w:rPr>
  </w:style>
  <w:style w:type="paragraph" w:customStyle="1" w:styleId="strikethrough">
    <w:name w:val="strikethrough"/>
    <w:basedOn w:val="Heading2"/>
    <w:link w:val="strikethroughChar"/>
    <w:rsid w:val="00A307F3"/>
    <w:pPr>
      <w:tabs>
        <w:tab w:val="left" w:pos="992"/>
      </w:tabs>
      <w:ind w:left="992" w:hanging="992"/>
    </w:pPr>
    <w:rPr>
      <w:szCs w:val="24"/>
      <w:lang w:eastAsia="es-ES_tradnl"/>
    </w:rPr>
  </w:style>
  <w:style w:type="character" w:customStyle="1" w:styleId="TitleofDocChar">
    <w:name w:val="Title of Doc Char"/>
    <w:basedOn w:val="DefaultParagraphFont"/>
    <w:link w:val="TitleofDoc"/>
    <w:rsid w:val="004F6CA1"/>
    <w:rPr>
      <w:rFonts w:ascii="Arial" w:hAnsi="Arial"/>
      <w:lang w:val="fr-FR"/>
    </w:rPr>
  </w:style>
  <w:style w:type="character" w:customStyle="1" w:styleId="strikethroughChar">
    <w:name w:val="strikethrough Char"/>
    <w:basedOn w:val="DefaultParagraphFont"/>
    <w:link w:val="strikethrough"/>
    <w:rsid w:val="00A307F3"/>
    <w:rPr>
      <w:rFonts w:ascii="Arial" w:hAnsi="Arial"/>
      <w:szCs w:val="24"/>
      <w:lang w:eastAsia="es-ES_tradnl"/>
    </w:rPr>
  </w:style>
  <w:style w:type="character" w:customStyle="1" w:styleId="Heading6Char">
    <w:name w:val="Heading 6 Char"/>
    <w:basedOn w:val="DefaultParagraphFont"/>
    <w:link w:val="Heading6"/>
    <w:rsid w:val="00A16BB4"/>
    <w:rPr>
      <w:rFonts w:ascii="Arial" w:hAnsi="Arial" w:cs="Angsana New"/>
      <w:i/>
      <w:iCs/>
      <w:szCs w:val="24"/>
      <w:u w:val="single"/>
      <w:lang w:eastAsia="ja-JP" w:bidi="th-TH"/>
    </w:rPr>
  </w:style>
  <w:style w:type="character" w:customStyle="1" w:styleId="Heading8Char">
    <w:name w:val="Heading 8 Char"/>
    <w:basedOn w:val="DefaultParagraphFont"/>
    <w:link w:val="Heading8"/>
    <w:rsid w:val="0044287B"/>
    <w:rPr>
      <w:rFonts w:ascii="Arial" w:hAnsi="Arial" w:cs="Arial"/>
      <w:i/>
      <w:iCs/>
      <w:noProof/>
      <w:szCs w:val="22"/>
      <w:lang w:val="fr-FR" w:eastAsia="ja-JP" w:bidi="th-TH"/>
    </w:rPr>
  </w:style>
  <w:style w:type="paragraph" w:styleId="TOC6">
    <w:name w:val="toc 6"/>
    <w:basedOn w:val="Normal"/>
    <w:next w:val="Normal"/>
    <w:autoRedefine/>
    <w:uiPriority w:val="39"/>
    <w:rsid w:val="00A16BB4"/>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A16BB4"/>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A16BB4"/>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A16BB4"/>
    <w:pPr>
      <w:tabs>
        <w:tab w:val="right" w:leader="dot" w:pos="9639"/>
      </w:tabs>
      <w:spacing w:before="60" w:after="120"/>
      <w:ind w:left="992" w:right="851" w:hanging="567"/>
      <w:contextualSpacing/>
      <w:jc w:val="left"/>
    </w:pPr>
    <w:rPr>
      <w:smallCaps/>
      <w:noProof/>
      <w:sz w:val="18"/>
      <w:lang w:eastAsia="ja-JP"/>
    </w:rPr>
  </w:style>
  <w:style w:type="paragraph" w:customStyle="1" w:styleId="Heading3tg">
    <w:name w:val="Heading 3tg"/>
    <w:basedOn w:val="Heading3"/>
    <w:rsid w:val="00A16BB4"/>
    <w:pPr>
      <w:numPr>
        <w:numId w:val="16"/>
      </w:numPr>
    </w:pPr>
    <w:rPr>
      <w:rFonts w:cs="Angsana New"/>
      <w:szCs w:val="24"/>
      <w:lang w:val="en-GB" w:eastAsia="ja-JP" w:bidi="th-TH"/>
    </w:rPr>
  </w:style>
  <w:style w:type="paragraph" w:customStyle="1" w:styleId="Normalt">
    <w:name w:val="Normalt"/>
    <w:basedOn w:val="Normal"/>
    <w:rsid w:val="0044287B"/>
    <w:pPr>
      <w:spacing w:before="120" w:after="120"/>
      <w:jc w:val="left"/>
    </w:pPr>
    <w:rPr>
      <w:rFonts w:cs="Angsana New"/>
      <w:snapToGrid w:val="0"/>
      <w:sz w:val="16"/>
      <w:lang w:eastAsia="ja-JP" w:bidi="th-TH"/>
    </w:rPr>
  </w:style>
  <w:style w:type="paragraph" w:customStyle="1" w:styleId="Normaltb">
    <w:name w:val="Normaltb"/>
    <w:basedOn w:val="Normalt"/>
    <w:rsid w:val="00A16BB4"/>
    <w:pPr>
      <w:keepNext/>
    </w:pPr>
    <w:rPr>
      <w:b/>
      <w:bCs/>
    </w:rPr>
  </w:style>
  <w:style w:type="paragraph" w:customStyle="1" w:styleId="Annex">
    <w:name w:val="Annex"/>
    <w:basedOn w:val="Heading1"/>
    <w:next w:val="Normal"/>
    <w:rsid w:val="00A16BB4"/>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A16BB4"/>
    <w:pPr>
      <w:keepLines/>
      <w:tabs>
        <w:tab w:val="left" w:pos="709"/>
      </w:tabs>
      <w:ind w:left="709" w:hanging="709"/>
    </w:pPr>
    <w:rPr>
      <w:rFonts w:cs="Angsana New"/>
      <w:iCs/>
      <w:szCs w:val="24"/>
      <w:lang w:val="en-US" w:eastAsia="ja-JP" w:bidi="th-TH"/>
    </w:rPr>
  </w:style>
  <w:style w:type="paragraph" w:customStyle="1" w:styleId="tqparabox">
    <w:name w:val="tqparabox"/>
    <w:basedOn w:val="Normal"/>
    <w:rsid w:val="00A16BB4"/>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OC1tg">
    <w:name w:val="TOC 1tg"/>
    <w:basedOn w:val="TOC1"/>
    <w:rsid w:val="00A16BB4"/>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A16BB4"/>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A16BB4"/>
    <w:pPr>
      <w:spacing w:before="120" w:after="120"/>
      <w:jc w:val="center"/>
    </w:pPr>
    <w:rPr>
      <w:caps/>
      <w:sz w:val="28"/>
    </w:rPr>
  </w:style>
  <w:style w:type="paragraph" w:styleId="BodyTextIndent2">
    <w:name w:val="Body Text Indent 2"/>
    <w:basedOn w:val="Normal"/>
    <w:link w:val="BodyTextIndent2Char"/>
    <w:rsid w:val="00A16BB4"/>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16BB4"/>
    <w:rPr>
      <w:rFonts w:ascii="Arial" w:hAnsi="Arial" w:cs="Angsana New"/>
      <w:szCs w:val="24"/>
      <w:lang w:eastAsia="ja-JP" w:bidi="th-TH"/>
    </w:rPr>
  </w:style>
  <w:style w:type="paragraph" w:styleId="BodyText2">
    <w:name w:val="Body Text 2"/>
    <w:basedOn w:val="Normal"/>
    <w:link w:val="BodyText2Char"/>
    <w:rsid w:val="00A16BB4"/>
    <w:rPr>
      <w:rFonts w:cs="Angsana New"/>
      <w:color w:val="000000"/>
      <w:szCs w:val="24"/>
      <w:lang w:eastAsia="ja-JP" w:bidi="th-TH"/>
    </w:rPr>
  </w:style>
  <w:style w:type="character" w:customStyle="1" w:styleId="BodyText2Char">
    <w:name w:val="Body Text 2 Char"/>
    <w:basedOn w:val="DefaultParagraphFont"/>
    <w:link w:val="BodyText2"/>
    <w:rsid w:val="00A16BB4"/>
    <w:rPr>
      <w:rFonts w:ascii="Arial" w:hAnsi="Arial" w:cs="Angsana New"/>
      <w:color w:val="000000"/>
      <w:szCs w:val="24"/>
      <w:lang w:eastAsia="ja-JP" w:bidi="th-TH"/>
    </w:rPr>
  </w:style>
  <w:style w:type="paragraph" w:styleId="BodyTextIndent3">
    <w:name w:val="Body Text Indent 3"/>
    <w:basedOn w:val="Normal"/>
    <w:link w:val="BodyTextIndent3Char"/>
    <w:rsid w:val="00A16BB4"/>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16BB4"/>
    <w:rPr>
      <w:rFonts w:ascii="Arial" w:hAnsi="Arial" w:cs="Angsana New"/>
      <w:szCs w:val="24"/>
      <w:lang w:eastAsia="ja-JP" w:bidi="th-TH"/>
    </w:rPr>
  </w:style>
  <w:style w:type="paragraph" w:styleId="BlockText">
    <w:name w:val="Block Text"/>
    <w:basedOn w:val="Normal"/>
    <w:rsid w:val="00A16BB4"/>
    <w:pPr>
      <w:ind w:left="1985" w:right="-2"/>
    </w:pPr>
    <w:rPr>
      <w:rFonts w:cs="Angsana New"/>
      <w:szCs w:val="24"/>
      <w:lang w:eastAsia="ja-JP" w:bidi="th-TH"/>
    </w:rPr>
  </w:style>
  <w:style w:type="paragraph" w:styleId="Caption">
    <w:name w:val="caption"/>
    <w:basedOn w:val="Normal"/>
    <w:next w:val="Normal"/>
    <w:unhideWhenUsed/>
    <w:qFormat/>
    <w:rsid w:val="00A16BB4"/>
    <w:pPr>
      <w:spacing w:after="200"/>
    </w:pPr>
    <w:rPr>
      <w:b/>
      <w:bCs/>
      <w:color w:val="4F81BD" w:themeColor="accent1"/>
      <w:sz w:val="18"/>
      <w:szCs w:val="18"/>
    </w:rPr>
  </w:style>
  <w:style w:type="table" w:styleId="TableGrid">
    <w:name w:val="Table Grid"/>
    <w:basedOn w:val="TableNormal"/>
    <w:rsid w:val="00A16BB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D7C07"/>
    <w:pPr>
      <w:numPr>
        <w:numId w:val="12"/>
      </w:numPr>
    </w:pPr>
    <w:rPr>
      <w:rFonts w:ascii="Times New Roman" w:hAnsi="Times New Roman"/>
      <w:sz w:val="24"/>
      <w:szCs w:val="24"/>
      <w:lang w:eastAsia="ja-JP"/>
    </w:rPr>
  </w:style>
  <w:style w:type="paragraph" w:customStyle="1" w:styleId="StyleHeading6Nounderline">
    <w:name w:val="Style Heading 6 + No underline"/>
    <w:basedOn w:val="Heading6"/>
    <w:rsid w:val="007D7C07"/>
  </w:style>
  <w:style w:type="paragraph" w:customStyle="1" w:styleId="StyleHeading5NotItalicUnderline">
    <w:name w:val="Style Heading 5 + Not Italic Underline"/>
    <w:basedOn w:val="Heading5"/>
    <w:link w:val="StyleHeading5NotItalicUnderlineChar"/>
    <w:rsid w:val="007D7C07"/>
    <w:pPr>
      <w:tabs>
        <w:tab w:val="left" w:pos="1680"/>
      </w:tabs>
      <w:ind w:left="567"/>
    </w:pPr>
    <w:rPr>
      <w:u w:val="single"/>
    </w:rPr>
  </w:style>
  <w:style w:type="character" w:customStyle="1" w:styleId="Heading5Char">
    <w:name w:val="Heading 5 Char"/>
    <w:basedOn w:val="DefaultParagraphFont"/>
    <w:link w:val="Heading5"/>
    <w:rsid w:val="008716DF"/>
    <w:rPr>
      <w:rFonts w:ascii="Arial" w:hAnsi="Arial" w:cs="Arial"/>
      <w:i/>
      <w:szCs w:val="18"/>
      <w:lang w:val="fr-FR"/>
    </w:rPr>
  </w:style>
  <w:style w:type="character" w:customStyle="1" w:styleId="StyleHeading5NotItalicUnderlineChar">
    <w:name w:val="Style Heading 5 + Not Italic Underline Char"/>
    <w:basedOn w:val="Heading5Char"/>
    <w:link w:val="StyleHeading5NotItalicUnderline"/>
    <w:rsid w:val="007D7C07"/>
    <w:rPr>
      <w:rFonts w:ascii="Arial" w:hAnsi="Arial" w:cs="Arial"/>
      <w:i/>
      <w:szCs w:val="18"/>
      <w:u w:val="single"/>
      <w:lang w:val="fr-FR"/>
    </w:rPr>
  </w:style>
  <w:style w:type="paragraph" w:styleId="BodyText3">
    <w:name w:val="Body Text 3"/>
    <w:basedOn w:val="Normal"/>
    <w:link w:val="BodyText3Char"/>
    <w:rsid w:val="00A16BB4"/>
    <w:pPr>
      <w:jc w:val="center"/>
    </w:pPr>
    <w:rPr>
      <w:rFonts w:cs="Angsana New"/>
      <w:szCs w:val="24"/>
      <w:lang w:eastAsia="ja-JP" w:bidi="th-TH"/>
    </w:rPr>
  </w:style>
  <w:style w:type="character" w:customStyle="1" w:styleId="BodyText3Char">
    <w:name w:val="Body Text 3 Char"/>
    <w:basedOn w:val="DefaultParagraphFont"/>
    <w:link w:val="BodyText3"/>
    <w:rsid w:val="00A16BB4"/>
    <w:rPr>
      <w:rFonts w:ascii="Arial" w:hAnsi="Arial" w:cs="Angsana New"/>
      <w:szCs w:val="24"/>
      <w:lang w:eastAsia="ja-JP" w:bidi="th-TH"/>
    </w:rPr>
  </w:style>
  <w:style w:type="paragraph" w:styleId="DocumentMap">
    <w:name w:val="Document Map"/>
    <w:basedOn w:val="Normal"/>
    <w:link w:val="DocumentMapChar"/>
    <w:rsid w:val="00A16BB4"/>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A16BB4"/>
    <w:rPr>
      <w:rFonts w:ascii="Tahoma" w:hAnsi="Tahoma" w:cs="Tahoma"/>
      <w:sz w:val="24"/>
      <w:szCs w:val="24"/>
      <w:shd w:val="clear" w:color="auto" w:fill="000080"/>
      <w:lang w:eastAsia="ja-JP" w:bidi="th-TH"/>
    </w:rPr>
  </w:style>
  <w:style w:type="character" w:customStyle="1" w:styleId="EndnoteTextChar">
    <w:name w:val="Endnote Text Char"/>
    <w:basedOn w:val="DefaultParagraphFont"/>
    <w:link w:val="EndnoteText"/>
    <w:semiHidden/>
    <w:rsid w:val="00A16BB4"/>
    <w:rPr>
      <w:rFonts w:ascii="Arial" w:hAnsi="Arial"/>
    </w:rPr>
  </w:style>
  <w:style w:type="character" w:styleId="FollowedHyperlink">
    <w:name w:val="FollowedHyperlink"/>
    <w:basedOn w:val="DefaultParagraphFont"/>
    <w:rsid w:val="00A16BB4"/>
    <w:rPr>
      <w:color w:val="800080" w:themeColor="followedHyperlink"/>
      <w:u w:val="single"/>
    </w:rPr>
  </w:style>
  <w:style w:type="character" w:customStyle="1" w:styleId="HeaderChar">
    <w:name w:val="Header Char"/>
    <w:basedOn w:val="DefaultParagraphFont"/>
    <w:link w:val="Header"/>
    <w:rsid w:val="00A16BB4"/>
    <w:rPr>
      <w:rFonts w:ascii="Arial" w:hAnsi="Arial"/>
      <w:lang w:val="fr-FR"/>
    </w:rPr>
  </w:style>
  <w:style w:type="character" w:customStyle="1" w:styleId="Heading2Char">
    <w:name w:val="Heading 2 Char"/>
    <w:basedOn w:val="DefaultParagraphFont"/>
    <w:link w:val="Heading2"/>
    <w:rsid w:val="00FF7E84"/>
    <w:rPr>
      <w:rFonts w:ascii="Arial" w:hAnsi="Arial"/>
      <w:b/>
      <w:lang w:val="fr-FR"/>
    </w:rPr>
  </w:style>
  <w:style w:type="paragraph" w:styleId="ListParagraph">
    <w:name w:val="List Paragraph"/>
    <w:basedOn w:val="Normal"/>
    <w:uiPriority w:val="34"/>
    <w:qFormat/>
    <w:rsid w:val="00A16BB4"/>
    <w:pPr>
      <w:ind w:left="720"/>
      <w:contextualSpacing/>
    </w:pPr>
  </w:style>
  <w:style w:type="paragraph" w:customStyle="1" w:styleId="StyleHeading2Justified">
    <w:name w:val="Style Heading 2 + Justified"/>
    <w:basedOn w:val="Heading2"/>
    <w:rsid w:val="00A16BB4"/>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A16BB4"/>
    <w:rPr>
      <w:rFonts w:ascii="Arial" w:hAnsi="Arial"/>
      <w:smallCaps/>
      <w:noProof/>
      <w:sz w:val="18"/>
      <w:lang w:val="fr-FR" w:eastAsia="ja-JP"/>
    </w:rPr>
  </w:style>
  <w:style w:type="paragraph" w:customStyle="1" w:styleId="Disclaimer">
    <w:name w:val="Disclaimer"/>
    <w:next w:val="Normal"/>
    <w:qFormat/>
    <w:rsid w:val="00351627"/>
    <w:pPr>
      <w:spacing w:after="600"/>
    </w:pPr>
    <w:rPr>
      <w:rFonts w:ascii="Arial" w:hAnsi="Arial"/>
      <w:i/>
      <w:iCs/>
      <w:color w:val="A6A6A6" w:themeColor="background1" w:themeShade="A6"/>
      <w:lang w:val="fr-FR"/>
    </w:rPr>
  </w:style>
  <w:style w:type="paragraph" w:customStyle="1" w:styleId="Doccode">
    <w:name w:val="Doc_code"/>
    <w:qFormat/>
    <w:rsid w:val="00351627"/>
    <w:rPr>
      <w:rFonts w:ascii="Arial" w:hAnsi="Arial"/>
      <w:b/>
      <w:bCs/>
      <w:spacing w:val="10"/>
      <w:sz w:val="18"/>
    </w:rPr>
  </w:style>
  <w:style w:type="paragraph" w:customStyle="1" w:styleId="tgchartextcentered">
    <w:name w:val="tg_char_text_centered"/>
    <w:basedOn w:val="Normal"/>
    <w:rsid w:val="00295414"/>
    <w:pPr>
      <w:spacing w:before="80" w:after="80"/>
      <w:jc w:val="center"/>
    </w:pPr>
    <w:rPr>
      <w:b/>
      <w:sz w:val="16"/>
      <w:lang w:val="en-US"/>
    </w:rPr>
  </w:style>
  <w:style w:type="paragraph" w:customStyle="1" w:styleId="tgchartext">
    <w:name w:val="tg_char_text"/>
    <w:basedOn w:val="Normal"/>
    <w:rsid w:val="00295414"/>
    <w:pPr>
      <w:spacing w:before="80" w:after="80"/>
      <w:jc w:val="left"/>
    </w:pPr>
    <w:rPr>
      <w:sz w:val="16"/>
      <w:lang w:val="en-US"/>
    </w:rPr>
  </w:style>
  <w:style w:type="character" w:customStyle="1" w:styleId="underline">
    <w:name w:val="underline"/>
    <w:basedOn w:val="DefaultParagraphFont"/>
    <w:rsid w:val="00C87D01"/>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draft_tgp_template_F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85218-EBB7-45D7-9C44-F9B72F964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draft_tgp_template_FR.dotm</Template>
  <TotalTime>13</TotalTime>
  <Pages>5</Pages>
  <Words>1549</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TGP/5 Section 1/3 Draft 1</vt:lpstr>
    </vt:vector>
  </TitlesOfParts>
  <Company>UPOV</Company>
  <LinksUpToDate>false</LinksUpToDate>
  <CharactersWithSpaces>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TGP/5 Section 1/3 Draft 1</dc:title>
  <dc:creator>SANCHEZ VIZCAINO GOMEZ Rosa Maria</dc:creator>
  <cp:lastModifiedBy>SANCHEZ VIZCAINO GOMEZ Rosa Maria</cp:lastModifiedBy>
  <cp:revision>21</cp:revision>
  <cp:lastPrinted>2018-06-28T15:06:00Z</cp:lastPrinted>
  <dcterms:created xsi:type="dcterms:W3CDTF">2018-06-22T08:21:00Z</dcterms:created>
  <dcterms:modified xsi:type="dcterms:W3CDTF">2018-08-24T14:30:00Z</dcterms:modified>
</cp:coreProperties>
</file>