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2315B" w:rsidRPr="00815738" w:rsidTr="001911FB">
        <w:tc>
          <w:tcPr>
            <w:tcW w:w="6522" w:type="dxa"/>
          </w:tcPr>
          <w:p w:rsidR="0002315B" w:rsidRPr="00AC2883" w:rsidRDefault="0002315B" w:rsidP="001911FB">
            <w:bookmarkStart w:id="0" w:name="_Toc438657852"/>
            <w:bookmarkStart w:id="1" w:name="_Toc477797635"/>
            <w:r w:rsidRPr="00D250C5">
              <w:rPr>
                <w:noProof/>
                <w:lang w:val="en-US"/>
              </w:rPr>
              <w:drawing>
                <wp:inline distT="0" distB="0" distL="0" distR="0" wp14:anchorId="6D7732B6" wp14:editId="10E1607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2315B" w:rsidRPr="007C1D92" w:rsidRDefault="0002315B" w:rsidP="001911FB">
            <w:pPr>
              <w:pStyle w:val="Lettrine"/>
            </w:pPr>
            <w:r>
              <w:t>F</w:t>
            </w:r>
          </w:p>
        </w:tc>
      </w:tr>
      <w:tr w:rsidR="0002315B" w:rsidRPr="00DA4973" w:rsidTr="001911FB">
        <w:trPr>
          <w:trHeight w:val="219"/>
        </w:trPr>
        <w:tc>
          <w:tcPr>
            <w:tcW w:w="6522" w:type="dxa"/>
          </w:tcPr>
          <w:p w:rsidR="0002315B" w:rsidRPr="00AC2883" w:rsidRDefault="0002315B" w:rsidP="001911FB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02315B" w:rsidRPr="00DA4973" w:rsidRDefault="0002315B" w:rsidP="001911FB"/>
        </w:tc>
      </w:tr>
    </w:tbl>
    <w:p w:rsidR="0002315B" w:rsidRDefault="0002315B" w:rsidP="0002315B"/>
    <w:p w:rsidR="0002315B" w:rsidRPr="00365DC1" w:rsidRDefault="0002315B" w:rsidP="0002315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2315B" w:rsidRPr="00C5280D" w:rsidTr="001911FB">
        <w:tc>
          <w:tcPr>
            <w:tcW w:w="6512" w:type="dxa"/>
          </w:tcPr>
          <w:p w:rsidR="0002315B" w:rsidRPr="00AC2883" w:rsidRDefault="0002315B" w:rsidP="001911FB">
            <w:pPr>
              <w:pStyle w:val="Sessiontc"/>
              <w:spacing w:line="240" w:lineRule="auto"/>
            </w:pPr>
            <w:r w:rsidRPr="001C176C">
              <w:t>Comité administratif et juridique</w:t>
            </w:r>
          </w:p>
          <w:p w:rsidR="0002315B" w:rsidRPr="00DC3802" w:rsidRDefault="0002315B" w:rsidP="001911FB">
            <w:pPr>
              <w:pStyle w:val="Sessiontcplacedate"/>
              <w:rPr>
                <w:sz w:val="22"/>
              </w:rPr>
            </w:pPr>
            <w:r>
              <w:t>Soixante</w:t>
            </w:r>
            <w:r w:rsidR="00293C51">
              <w:t>-</w:t>
            </w:r>
            <w:r>
              <w:t>quinz</w:t>
            </w:r>
            <w:r w:rsidR="00293C51">
              <w:t>ième session</w:t>
            </w:r>
            <w:r w:rsidRPr="00DA4973">
              <w:br/>
              <w:t>Gen</w:t>
            </w:r>
            <w:r>
              <w:t>è</w:t>
            </w:r>
            <w:r w:rsidRPr="00DA4973">
              <w:t>v</w:t>
            </w:r>
            <w:r>
              <w:t>e</w:t>
            </w:r>
            <w:r w:rsidRPr="00DA4973">
              <w:t xml:space="preserve">, </w:t>
            </w:r>
            <w:r>
              <w:t>3</w:t>
            </w:r>
            <w:r w:rsidR="00293C51">
              <w:t>1 octobre 20</w:t>
            </w:r>
            <w:r>
              <w:t>18</w:t>
            </w:r>
          </w:p>
        </w:tc>
        <w:tc>
          <w:tcPr>
            <w:tcW w:w="3127" w:type="dxa"/>
          </w:tcPr>
          <w:p w:rsidR="0002315B" w:rsidRPr="003C7FBE" w:rsidRDefault="0002315B" w:rsidP="001911FB">
            <w:pPr>
              <w:pStyle w:val="Doccode"/>
            </w:pPr>
            <w:r>
              <w:t>CAJ/75</w:t>
            </w:r>
            <w:r w:rsidRPr="00AC2883">
              <w:t>/</w:t>
            </w:r>
            <w:r>
              <w:t>9</w:t>
            </w:r>
          </w:p>
          <w:p w:rsidR="0002315B" w:rsidRPr="003C7FBE" w:rsidRDefault="0002315B" w:rsidP="001911FB">
            <w:pPr>
              <w:pStyle w:val="Docoriginal"/>
            </w:pPr>
            <w:r w:rsidRPr="00AC2883">
              <w:t>Original</w:t>
            </w:r>
            <w:r w:rsidR="00AB72E0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781BFF">
              <w:rPr>
                <w:b w:val="0"/>
                <w:spacing w:val="0"/>
              </w:rPr>
              <w:t xml:space="preserve"> </w:t>
            </w:r>
            <w:bookmarkStart w:id="2" w:name="_GoBack"/>
            <w:bookmarkEnd w:id="2"/>
            <w:r>
              <w:rPr>
                <w:b w:val="0"/>
                <w:spacing w:val="0"/>
              </w:rPr>
              <w:t>anglais</w:t>
            </w:r>
          </w:p>
          <w:p w:rsidR="0002315B" w:rsidRPr="007C1D92" w:rsidRDefault="0002315B" w:rsidP="001911FB">
            <w:pPr>
              <w:pStyle w:val="Docoriginal"/>
            </w:pPr>
            <w:r w:rsidRPr="00AC2883">
              <w:t>Date</w:t>
            </w:r>
            <w:r w:rsidR="00AB72E0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781BFF">
              <w:rPr>
                <w:b w:val="0"/>
                <w:spacing w:val="0"/>
              </w:rPr>
              <w:t xml:space="preserve"> </w:t>
            </w:r>
            <w:r w:rsidR="001911FB">
              <w:rPr>
                <w:b w:val="0"/>
                <w:spacing w:val="0"/>
              </w:rPr>
              <w:t>2</w:t>
            </w:r>
            <w:r w:rsidR="001911FB" w:rsidRPr="001911FB">
              <w:rPr>
                <w:b w:val="0"/>
                <w:spacing w:val="0"/>
              </w:rPr>
              <w:t xml:space="preserve"> octobre 2018</w:t>
            </w:r>
          </w:p>
        </w:tc>
      </w:tr>
    </w:tbl>
    <w:p w:rsidR="0002315B" w:rsidRDefault="0002315B" w:rsidP="0002315B">
      <w:pPr>
        <w:pStyle w:val="Titleofdoc0"/>
        <w:rPr>
          <w:b w:val="0"/>
        </w:rPr>
      </w:pPr>
      <w:bookmarkStart w:id="3" w:name="TitleOfDoc"/>
      <w:bookmarkStart w:id="4" w:name="Prepared"/>
      <w:bookmarkEnd w:id="3"/>
      <w:bookmarkEnd w:id="4"/>
      <w:r>
        <w:t>BASE DE DONNÉES D</w:t>
      </w:r>
      <w:r w:rsidR="00293C51">
        <w:t>’</w:t>
      </w:r>
      <w:r>
        <w:t>INFORMATION DE L</w:t>
      </w:r>
      <w:r w:rsidR="00293C51">
        <w:t>’</w:t>
      </w:r>
      <w:r>
        <w:t>UPOV</w:t>
      </w:r>
    </w:p>
    <w:p w:rsidR="0002315B" w:rsidRPr="006A644A" w:rsidRDefault="0002315B" w:rsidP="0002315B">
      <w:pPr>
        <w:pStyle w:val="preparedby1"/>
        <w:jc w:val="left"/>
      </w:pPr>
      <w:r w:rsidRPr="000C4E25">
        <w:t xml:space="preserve">Document </w:t>
      </w:r>
      <w:r>
        <w:t>établi par le Bureau de l</w:t>
      </w:r>
      <w:r w:rsidR="00293C51">
        <w:t>’</w:t>
      </w:r>
      <w:r>
        <w:t>Union</w:t>
      </w:r>
    </w:p>
    <w:p w:rsidR="0002315B" w:rsidRPr="006A644A" w:rsidRDefault="0002315B" w:rsidP="0002315B">
      <w:pPr>
        <w:pStyle w:val="Disclaimer"/>
      </w:pPr>
      <w:r w:rsidRPr="00A706D3">
        <w:t>Avertissement</w:t>
      </w:r>
      <w:r w:rsidR="00293C51">
        <w:t> :</w:t>
      </w:r>
      <w:r w:rsidRPr="00A706D3">
        <w:t xml:space="preserve"> le présent document ne représente pas les principes ou les orientations de l</w:t>
      </w:r>
      <w:r w:rsidR="00293C51">
        <w:t>’</w:t>
      </w:r>
      <w:r w:rsidRPr="00A706D3">
        <w:t>UPOV</w:t>
      </w:r>
    </w:p>
    <w:p w:rsidR="00247D47" w:rsidRDefault="00B643F0" w:rsidP="0002315B">
      <w:pPr>
        <w:pStyle w:val="Heading1"/>
      </w:pPr>
      <w:bookmarkStart w:id="5" w:name="_Toc526786901"/>
      <w:r>
        <w:t>Résumé</w:t>
      </w:r>
      <w:bookmarkEnd w:id="0"/>
      <w:bookmarkEnd w:id="1"/>
      <w:bookmarkEnd w:id="5"/>
    </w:p>
    <w:p w:rsidR="00247D47" w:rsidRDefault="00247D47"/>
    <w:p w:rsidR="00247D47" w:rsidRDefault="00B643F0">
      <w:r>
        <w:fldChar w:fldCharType="begin"/>
      </w:r>
      <w:r>
        <w:instrText xml:space="preserve"> AUTONUM  </w:instrText>
      </w:r>
      <w:r>
        <w:fldChar w:fldCharType="end"/>
      </w:r>
      <w:r>
        <w:tab/>
        <w:t>Le présent document a pour objet d</w:t>
      </w:r>
      <w:r w:rsidR="00293C51">
        <w:t>’</w:t>
      </w:r>
      <w:r>
        <w:t>actualiser les faits nouveaux concernant les codes UPOV et la base de données PLUTO.</w:t>
      </w:r>
    </w:p>
    <w:p w:rsidR="00247D47" w:rsidRDefault="00247D47"/>
    <w:p w:rsidR="00247D47" w:rsidRDefault="00B643F0">
      <w:r>
        <w:fldChar w:fldCharType="begin"/>
      </w:r>
      <w:r>
        <w:instrText xml:space="preserve"> AUTONUM  </w:instrText>
      </w:r>
      <w:r>
        <w:fldChar w:fldCharType="end"/>
      </w:r>
      <w:r>
        <w:tab/>
        <w:t>Le CAJ est invité</w:t>
      </w:r>
    </w:p>
    <w:p w:rsidR="00247D47" w:rsidRDefault="00247D47">
      <w:pPr>
        <w:rPr>
          <w:rFonts w:eastAsiaTheme="minorEastAsia" w:cs="Arial"/>
        </w:rPr>
      </w:pPr>
    </w:p>
    <w:p w:rsidR="00247D47" w:rsidRDefault="00B643F0">
      <w:pPr>
        <w:ind w:firstLine="567"/>
        <w:rPr>
          <w:rFonts w:eastAsiaTheme="minorEastAsia"/>
        </w:rPr>
      </w:pPr>
      <w:r>
        <w:t>a)</w:t>
      </w:r>
      <w:r>
        <w:tab/>
        <w:t xml:space="preserve">à noter que 440 nouveaux codes UPOV ont été créés en 2017 et que la base de données GENIE contient un total de </w:t>
      </w:r>
      <w:r w:rsidR="00AB72E0">
        <w:t>8589</w:t>
      </w:r>
      <w:r>
        <w:t> codes UPOV,</w:t>
      </w:r>
    </w:p>
    <w:p w:rsidR="00247D47" w:rsidRDefault="00247D47">
      <w:pPr>
        <w:rPr>
          <w:rFonts w:eastAsiaTheme="minorEastAsia"/>
        </w:rPr>
      </w:pPr>
    </w:p>
    <w:p w:rsidR="00247D47" w:rsidRDefault="00B643F0">
      <w:pPr>
        <w:ind w:firstLine="567"/>
        <w:rPr>
          <w:rFonts w:eastAsiaTheme="minorEastAsia"/>
        </w:rPr>
      </w:pPr>
      <w:r>
        <w:t>b)</w:t>
      </w:r>
      <w:r>
        <w:tab/>
        <w:t>à noter que, jusqu</w:t>
      </w:r>
      <w:r w:rsidR="00293C51">
        <w:t>’</w:t>
      </w:r>
      <w:r>
        <w:t>en septembre 2017, le Bureau de l</w:t>
      </w:r>
      <w:r w:rsidR="00293C51">
        <w:t>’</w:t>
      </w:r>
      <w:r>
        <w:t>Union a introduit de nouveaux codes UPOV pour 191 espèces d</w:t>
      </w:r>
      <w:r w:rsidR="00293C51">
        <w:t>’</w:t>
      </w:r>
      <w:r>
        <w:t>arbres forestiers sur la demande de DG SANTE, comme indiqué au paragraphe 7 du présent document,</w:t>
      </w:r>
    </w:p>
    <w:p w:rsidR="00247D47" w:rsidRDefault="00247D47">
      <w:pPr>
        <w:rPr>
          <w:rFonts w:eastAsiaTheme="minorEastAsia"/>
        </w:rPr>
      </w:pPr>
    </w:p>
    <w:p w:rsidR="00247D47" w:rsidRDefault="00B643F0">
      <w:pPr>
        <w:ind w:firstLine="567"/>
        <w:rPr>
          <w:rFonts w:eastAsiaTheme="minorEastAsia"/>
        </w:rPr>
      </w:pPr>
      <w:r>
        <w:t>c)</w:t>
      </w:r>
      <w:r>
        <w:tab/>
        <w:t>à noter que DG SANT</w:t>
      </w:r>
      <w:r w:rsidR="00115B25">
        <w:t>E</w:t>
      </w:r>
      <w:r>
        <w:t xml:space="preserve"> a proposé l</w:t>
      </w:r>
      <w:r w:rsidR="00293C51">
        <w:t>’</w:t>
      </w:r>
      <w:r>
        <w:t>établissement d</w:t>
      </w:r>
      <w:r w:rsidR="00293C51">
        <w:t>’</w:t>
      </w:r>
      <w:r>
        <w:t>un arrangement administratif entre le Bureau de l</w:t>
      </w:r>
      <w:r w:rsidR="00293C51">
        <w:t>’</w:t>
      </w:r>
      <w:r>
        <w:t>Union et la Commission européenne en vue de couvrir la collaboration en matière de noms scientifiques d</w:t>
      </w:r>
      <w:r w:rsidR="00293C51">
        <w:t>’</w:t>
      </w:r>
      <w:r>
        <w:t>espèces végétales présentes dans les bases de données de l</w:t>
      </w:r>
      <w:r w:rsidR="00293C51">
        <w:t>’</w:t>
      </w:r>
      <w:r>
        <w:t>un et de l</w:t>
      </w:r>
      <w:r w:rsidR="00293C51">
        <w:t>’</w:t>
      </w:r>
      <w:r>
        <w:t>autre et, en particulier, s</w:t>
      </w:r>
      <w:r w:rsidR="00293C51">
        <w:t>’</w:t>
      </w:r>
      <w:r>
        <w:t>agissant de l</w:t>
      </w:r>
      <w:r w:rsidR="00293C51">
        <w:t>’</w:t>
      </w:r>
      <w:r>
        <w:t>attribution de codes UPOV aux espèces végétales dans FOREMATIS, comme indiqué au paragraphe 8 du présent document,</w:t>
      </w:r>
    </w:p>
    <w:p w:rsidR="00247D47" w:rsidRDefault="00247D47">
      <w:pPr>
        <w:ind w:firstLine="567"/>
        <w:rPr>
          <w:rFonts w:eastAsia="MS Mincho"/>
        </w:rPr>
      </w:pPr>
    </w:p>
    <w:p w:rsidR="00247D47" w:rsidRDefault="00B643F0">
      <w:pPr>
        <w:ind w:firstLine="567"/>
        <w:rPr>
          <w:rFonts w:eastAsia="MS Mincho"/>
        </w:rPr>
      </w:pPr>
      <w:r>
        <w:t>d)</w:t>
      </w:r>
      <w:r>
        <w:tab/>
        <w:t>à prendre note de la synthèse des contributions à la base de données PLUTO de 2014 à 2017 et de l</w:t>
      </w:r>
      <w:r w:rsidR="00293C51">
        <w:t>’</w:t>
      </w:r>
      <w:r>
        <w:t>état actuel des apports de données par les membres de l</w:t>
      </w:r>
      <w:r w:rsidR="00293C51">
        <w:t>’</w:t>
      </w:r>
      <w:r>
        <w:t>Union, qui figure à l</w:t>
      </w:r>
      <w:r w:rsidR="00293C51">
        <w:t>’</w:t>
      </w:r>
      <w:r>
        <w:t>annexe du présent document, et</w:t>
      </w:r>
    </w:p>
    <w:p w:rsidR="00247D47" w:rsidRDefault="00247D47">
      <w:pPr>
        <w:ind w:firstLine="567"/>
        <w:rPr>
          <w:rFonts w:eastAsia="MS Mincho"/>
        </w:rPr>
      </w:pPr>
    </w:p>
    <w:p w:rsidR="00247D47" w:rsidRDefault="00B643F0">
      <w:pPr>
        <w:ind w:firstLine="567"/>
        <w:rPr>
          <w:rFonts w:eastAsia="MS Mincho"/>
        </w:rPr>
      </w:pPr>
      <w:r>
        <w:t>e)</w:t>
      </w:r>
      <w:r>
        <w:tab/>
        <w:t>à noter que, à sa quatrième réunion, le WG</w:t>
      </w:r>
      <w:r w:rsidR="00FA774F">
        <w:noBreakHyphen/>
      </w:r>
      <w:r>
        <w:t>DEN est convenu que les questions relatives au point 5 de l</w:t>
      </w:r>
      <w:r w:rsidR="00293C51">
        <w:t>’</w:t>
      </w:r>
      <w:r>
        <w:t>ordre du jour “Élargissement du contenu de la base de données PLUTO” seraient examinées lors de sa cinquième réunion, comme indiqué au paragraphe 15 du présent document.</w:t>
      </w:r>
    </w:p>
    <w:p w:rsidR="00247D47" w:rsidRDefault="00247D47">
      <w:pPr>
        <w:jc w:val="left"/>
        <w:rPr>
          <w:rFonts w:eastAsia="MS Mincho" w:cs="Arial"/>
          <w:snapToGrid w:val="0"/>
        </w:rPr>
      </w:pPr>
    </w:p>
    <w:p w:rsidR="00247D47" w:rsidRDefault="00B643F0">
      <w:pPr>
        <w:keepNext/>
        <w:keepLines/>
        <w:rPr>
          <w:rFonts w:eastAsia="MS Mincho"/>
        </w:rPr>
      </w:pPr>
      <w:r>
        <w:rPr>
          <w:rFonts w:eastAsia="MS Mincho"/>
        </w:rPr>
        <w:fldChar w:fldCharType="begin"/>
      </w:r>
      <w:r>
        <w:rPr>
          <w:rFonts w:eastAsia="MS Mincho"/>
        </w:rPr>
        <w:instrText xml:space="preserve"> AUTONUM  </w:instrText>
      </w:r>
      <w:r>
        <w:rPr>
          <w:rFonts w:eastAsia="MS Mincho"/>
        </w:rPr>
        <w:fldChar w:fldCharType="end"/>
      </w:r>
      <w:r>
        <w:tab/>
        <w:t>Le présent document est structuré comme suit</w:t>
      </w:r>
      <w:r w:rsidR="00293C51">
        <w:t> :</w:t>
      </w:r>
    </w:p>
    <w:p w:rsidR="00247D47" w:rsidRDefault="00247D47">
      <w:pPr>
        <w:keepNext/>
        <w:keepLines/>
        <w:rPr>
          <w:rFonts w:eastAsia="MS Mincho"/>
        </w:rPr>
      </w:pPr>
    </w:p>
    <w:p w:rsidR="00A12D0E" w:rsidRDefault="00B643F0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en-US" w:eastAsia="en-US"/>
        </w:rPr>
      </w:pPr>
      <w:r>
        <w:rPr>
          <w:bCs w:val="0"/>
        </w:rPr>
        <w:fldChar w:fldCharType="begin"/>
      </w:r>
      <w:r>
        <w:instrText xml:space="preserve"> TOC \o "1-3" \h \z \u </w:instrText>
      </w:r>
      <w:r>
        <w:rPr>
          <w:bCs w:val="0"/>
        </w:rPr>
        <w:fldChar w:fldCharType="separate"/>
      </w:r>
      <w:hyperlink w:anchor="_Toc526786901" w:history="1">
        <w:r w:rsidR="00A12D0E" w:rsidRPr="00174ED3">
          <w:rPr>
            <w:rStyle w:val="Hyperlink"/>
          </w:rPr>
          <w:t>Résumé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_Toc526786901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1</w:t>
        </w:r>
        <w:r w:rsidR="00A12D0E">
          <w:rPr>
            <w:webHidden/>
          </w:rPr>
          <w:fldChar w:fldCharType="end"/>
        </w:r>
      </w:hyperlink>
    </w:p>
    <w:p w:rsidR="00A12D0E" w:rsidRDefault="00781BFF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en-US" w:eastAsia="en-US"/>
        </w:rPr>
      </w:pPr>
      <w:hyperlink w:anchor="_Toc526786902" w:history="1">
        <w:r w:rsidR="00A12D0E" w:rsidRPr="00174ED3">
          <w:rPr>
            <w:rStyle w:val="Hyperlink"/>
          </w:rPr>
          <w:t>Système de codes UPOV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_Toc526786902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2</w:t>
        </w:r>
        <w:r w:rsidR="00A12D0E">
          <w:rPr>
            <w:webHidden/>
          </w:rPr>
          <w:fldChar w:fldCharType="end"/>
        </w:r>
      </w:hyperlink>
    </w:p>
    <w:p w:rsidR="00A12D0E" w:rsidRDefault="00781BF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526786903" w:history="1">
        <w:r w:rsidR="00A12D0E" w:rsidRPr="00174ED3">
          <w:rPr>
            <w:rStyle w:val="Hyperlink"/>
          </w:rPr>
          <w:t>Introduction au système de codes UPOV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_Toc526786903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2</w:t>
        </w:r>
        <w:r w:rsidR="00A12D0E">
          <w:rPr>
            <w:webHidden/>
          </w:rPr>
          <w:fldChar w:fldCharType="end"/>
        </w:r>
      </w:hyperlink>
    </w:p>
    <w:p w:rsidR="00A12D0E" w:rsidRDefault="00781BF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526786904" w:history="1">
        <w:r w:rsidR="00A12D0E" w:rsidRPr="00174ED3">
          <w:rPr>
            <w:rStyle w:val="Hyperlink"/>
          </w:rPr>
          <w:t>Faits nouveaux concernant les codes UPOV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_Toc526786904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2</w:t>
        </w:r>
        <w:r w:rsidR="00A12D0E">
          <w:rPr>
            <w:webHidden/>
          </w:rPr>
          <w:fldChar w:fldCharType="end"/>
        </w:r>
      </w:hyperlink>
    </w:p>
    <w:p w:rsidR="00A12D0E" w:rsidRDefault="00781BFF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en-US" w:eastAsia="en-US"/>
        </w:rPr>
      </w:pPr>
      <w:hyperlink w:anchor="_Toc526786905" w:history="1">
        <w:r w:rsidR="00A12D0E" w:rsidRPr="00174ED3">
          <w:rPr>
            <w:rStyle w:val="Hyperlink"/>
          </w:rPr>
          <w:t>BASE DE DONNÉES PLUTO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_Toc526786905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3</w:t>
        </w:r>
        <w:r w:rsidR="00A12D0E">
          <w:rPr>
            <w:webHidden/>
          </w:rPr>
          <w:fldChar w:fldCharType="end"/>
        </w:r>
      </w:hyperlink>
    </w:p>
    <w:p w:rsidR="00A12D0E" w:rsidRDefault="00781BF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526786906" w:history="1">
        <w:r w:rsidR="00A12D0E" w:rsidRPr="00174ED3">
          <w:rPr>
            <w:rStyle w:val="Hyperlink"/>
          </w:rPr>
          <w:t>Programme d’améliorations de la base de données PLUTO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_Toc526786906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3</w:t>
        </w:r>
        <w:r w:rsidR="00A12D0E">
          <w:rPr>
            <w:webHidden/>
          </w:rPr>
          <w:fldChar w:fldCharType="end"/>
        </w:r>
      </w:hyperlink>
    </w:p>
    <w:p w:rsidR="00A12D0E" w:rsidRDefault="00781BF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526786907" w:history="1">
        <w:r w:rsidR="00A12D0E" w:rsidRPr="00174ED3">
          <w:rPr>
            <w:rStyle w:val="Hyperlink"/>
          </w:rPr>
          <w:t>Outils de recherche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_Toc526786907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3</w:t>
        </w:r>
        <w:r w:rsidR="00A12D0E">
          <w:rPr>
            <w:webHidden/>
          </w:rPr>
          <w:fldChar w:fldCharType="end"/>
        </w:r>
      </w:hyperlink>
    </w:p>
    <w:p w:rsidR="00A12D0E" w:rsidRDefault="00781BFF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526786908" w:history="1">
        <w:r w:rsidR="00A12D0E" w:rsidRPr="00174ED3">
          <w:rPr>
            <w:rStyle w:val="Hyperlink"/>
          </w:rPr>
          <w:t>Contenu de la base de données PLUTO</w:t>
        </w:r>
        <w:r w:rsidR="00A12D0E">
          <w:rPr>
            <w:webHidden/>
          </w:rPr>
          <w:tab/>
        </w:r>
        <w:r w:rsidR="00A12D0E">
          <w:rPr>
            <w:webHidden/>
          </w:rPr>
          <w:fldChar w:fldCharType="begin"/>
        </w:r>
        <w:r w:rsidR="00A12D0E">
          <w:rPr>
            <w:webHidden/>
          </w:rPr>
          <w:instrText xml:space="preserve"> PAGEREF _Toc526786908 \h </w:instrText>
        </w:r>
        <w:r w:rsidR="00A12D0E">
          <w:rPr>
            <w:webHidden/>
          </w:rPr>
        </w:r>
        <w:r w:rsidR="00A12D0E">
          <w:rPr>
            <w:webHidden/>
          </w:rPr>
          <w:fldChar w:fldCharType="separate"/>
        </w:r>
        <w:r w:rsidR="00A12D0E">
          <w:rPr>
            <w:webHidden/>
          </w:rPr>
          <w:t>3</w:t>
        </w:r>
        <w:r w:rsidR="00A12D0E">
          <w:rPr>
            <w:webHidden/>
          </w:rPr>
          <w:fldChar w:fldCharType="end"/>
        </w:r>
      </w:hyperlink>
    </w:p>
    <w:p w:rsidR="00247D47" w:rsidRDefault="00B643F0">
      <w:pPr>
        <w:pStyle w:val="TOC1"/>
        <w:rPr>
          <w:rFonts w:eastAsia="MS Mincho"/>
          <w:b/>
        </w:rPr>
      </w:pPr>
      <w:r>
        <w:rPr>
          <w:bCs w:val="0"/>
        </w:rPr>
        <w:fldChar w:fldCharType="end"/>
      </w:r>
    </w:p>
    <w:p w:rsidR="00247D47" w:rsidRDefault="00B643F0">
      <w:pPr>
        <w:ind w:left="993" w:hanging="993"/>
        <w:rPr>
          <w:rFonts w:cs="Arial"/>
          <w:spacing w:val="-2"/>
          <w:sz w:val="18"/>
          <w:szCs w:val="18"/>
        </w:rPr>
      </w:pPr>
      <w:r>
        <w:rPr>
          <w:sz w:val="18"/>
          <w:szCs w:val="18"/>
        </w:rPr>
        <w:t>ANNEXE</w:t>
      </w:r>
      <w:r>
        <w:rPr>
          <w:sz w:val="18"/>
          <w:szCs w:val="18"/>
        </w:rPr>
        <w:tab/>
        <w:t>RAPPORT SUR LES DONNÉES FOURNIES À LA BASE DE DONNÉES SUR LES VARIÉTÉS VÉGÉTALES PAR LES MEMBRES DE L</w:t>
      </w:r>
      <w:r w:rsidR="00293C51">
        <w:rPr>
          <w:sz w:val="18"/>
          <w:szCs w:val="18"/>
        </w:rPr>
        <w:t>’</w:t>
      </w:r>
      <w:r>
        <w:rPr>
          <w:sz w:val="18"/>
          <w:szCs w:val="18"/>
        </w:rPr>
        <w:t>UNION ET D</w:t>
      </w:r>
      <w:r w:rsidR="00293C51">
        <w:rPr>
          <w:sz w:val="18"/>
          <w:szCs w:val="18"/>
        </w:rPr>
        <w:t>’</w:t>
      </w:r>
      <w:r>
        <w:rPr>
          <w:sz w:val="18"/>
          <w:szCs w:val="18"/>
        </w:rPr>
        <w:t>AUTRES FOURNISSEURS DE DONNÉES ET L</w:t>
      </w:r>
      <w:r w:rsidR="00293C51">
        <w:rPr>
          <w:sz w:val="18"/>
          <w:szCs w:val="18"/>
        </w:rPr>
        <w:t>’</w:t>
      </w:r>
      <w:r>
        <w:rPr>
          <w:sz w:val="18"/>
          <w:szCs w:val="18"/>
        </w:rPr>
        <w:t>ASSISTANCE À LA FOURNITURE DE DONNÉES</w:t>
      </w:r>
    </w:p>
    <w:p w:rsidR="00093FC9" w:rsidRDefault="00093FC9">
      <w:pPr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247D47" w:rsidRDefault="00B643F0" w:rsidP="00FA774F">
      <w:pPr>
        <w:keepNext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AUTONUM  </w:instrText>
      </w:r>
      <w:r>
        <w:rPr>
          <w:color w:val="000000"/>
        </w:rPr>
        <w:fldChar w:fldCharType="end"/>
      </w:r>
      <w:r>
        <w:rPr>
          <w:color w:val="000000"/>
        </w:rPr>
        <w:tab/>
        <w:t>Les abréviations ci</w:t>
      </w:r>
      <w:r w:rsidR="00FA774F">
        <w:rPr>
          <w:color w:val="000000"/>
        </w:rPr>
        <w:noBreakHyphen/>
      </w:r>
      <w:r>
        <w:rPr>
          <w:color w:val="000000"/>
        </w:rPr>
        <w:t>après sont utilisées dans le présent document</w:t>
      </w:r>
      <w:r w:rsidR="00293C51">
        <w:rPr>
          <w:color w:val="000000"/>
        </w:rPr>
        <w:t> :</w:t>
      </w:r>
    </w:p>
    <w:p w:rsidR="00247D47" w:rsidRPr="00FD785B" w:rsidRDefault="00247D47">
      <w:pPr>
        <w:ind w:left="1692" w:hanging="1125"/>
        <w:jc w:val="left"/>
        <w:rPr>
          <w:color w:val="000000"/>
          <w:sz w:val="18"/>
          <w:szCs w:val="18"/>
        </w:rPr>
      </w:pPr>
    </w:p>
    <w:p w:rsidR="00247D47" w:rsidRDefault="00B643F0">
      <w:pPr>
        <w:tabs>
          <w:tab w:val="left" w:pos="2268"/>
        </w:tabs>
        <w:ind w:left="567"/>
      </w:pPr>
      <w:r>
        <w:lastRenderedPageBreak/>
        <w:t>DG SANT</w:t>
      </w:r>
      <w:r w:rsidR="00115B25">
        <w:t>E</w:t>
      </w:r>
      <w:r w:rsidR="00293C51">
        <w:t> :</w:t>
      </w:r>
      <w:r w:rsidR="00AB72E0">
        <w:t xml:space="preserve"> </w:t>
      </w:r>
      <w:r>
        <w:tab/>
      </w:r>
      <w:r>
        <w:tab/>
        <w:t>Direction générale santé et protection des consommateurs de la Commission</w:t>
      </w:r>
      <w:r>
        <w:tab/>
        <w:t>européenne</w:t>
      </w:r>
    </w:p>
    <w:p w:rsidR="00247D47" w:rsidRDefault="00B643F0">
      <w:pPr>
        <w:tabs>
          <w:tab w:val="left" w:pos="567"/>
          <w:tab w:val="left" w:pos="1843"/>
        </w:tabs>
        <w:ind w:left="2268" w:hanging="1701"/>
      </w:pPr>
      <w:r>
        <w:t>FOREMATIS</w:t>
      </w:r>
      <w:r w:rsidR="00293C51">
        <w:t> :</w:t>
      </w:r>
      <w:r w:rsidR="00AB72E0">
        <w:t xml:space="preserve"> </w:t>
      </w:r>
      <w:r>
        <w:tab/>
        <w:t>Système d</w:t>
      </w:r>
      <w:r w:rsidR="00293C51">
        <w:t>’</w:t>
      </w:r>
      <w:r>
        <w:t>information sur le matériel forestier de reproduction de la Commission européenne</w:t>
      </w:r>
    </w:p>
    <w:p w:rsidR="00247D47" w:rsidRDefault="00B643F0">
      <w:pPr>
        <w:tabs>
          <w:tab w:val="left" w:pos="567"/>
          <w:tab w:val="left" w:pos="1843"/>
        </w:tabs>
        <w:ind w:left="567"/>
      </w:pPr>
      <w:r>
        <w:t>OCDE</w:t>
      </w:r>
      <w:r w:rsidR="00293C51">
        <w:t> :</w:t>
      </w:r>
      <w:r w:rsidR="00AB72E0">
        <w:t xml:space="preserve"> </w:t>
      </w:r>
      <w:r>
        <w:tab/>
      </w:r>
      <w:r>
        <w:tab/>
        <w:t>Organisation de coopération et de développement économiques</w:t>
      </w:r>
    </w:p>
    <w:p w:rsidR="00247D47" w:rsidRDefault="00B643F0" w:rsidP="00FD785B">
      <w:pPr>
        <w:tabs>
          <w:tab w:val="left" w:pos="567"/>
          <w:tab w:val="left" w:pos="1843"/>
        </w:tabs>
      </w:pPr>
      <w:r>
        <w:tab/>
      </w:r>
      <w:r>
        <w:rPr>
          <w:snapToGrid w:val="0"/>
        </w:rPr>
        <w:t>WG</w:t>
      </w:r>
      <w:r w:rsidR="00FA774F">
        <w:rPr>
          <w:snapToGrid w:val="0"/>
        </w:rPr>
        <w:noBreakHyphen/>
      </w:r>
      <w:r>
        <w:rPr>
          <w:snapToGrid w:val="0"/>
        </w:rPr>
        <w:t>DEN</w:t>
      </w:r>
      <w:r w:rsidR="00293C51">
        <w:rPr>
          <w:snapToGrid w:val="0"/>
        </w:rPr>
        <w:t> :</w:t>
      </w:r>
      <w:r w:rsidR="00AB72E0">
        <w:rPr>
          <w:snapToGrid w:val="0"/>
        </w:rPr>
        <w:t xml:space="preserve"> </w:t>
      </w:r>
      <w:r>
        <w:rPr>
          <w:snapToGrid w:val="0"/>
        </w:rPr>
        <w:tab/>
      </w:r>
      <w:r>
        <w:rPr>
          <w:snapToGrid w:val="0"/>
        </w:rPr>
        <w:tab/>
      </w:r>
      <w:r>
        <w:t>Groupe de travail sur les dénominations variétales</w:t>
      </w:r>
    </w:p>
    <w:p w:rsidR="00FD785B" w:rsidRPr="00FD785B" w:rsidRDefault="00FD785B" w:rsidP="00FD785B">
      <w:pPr>
        <w:tabs>
          <w:tab w:val="left" w:pos="567"/>
          <w:tab w:val="left" w:pos="1843"/>
        </w:tabs>
        <w:rPr>
          <w:sz w:val="18"/>
          <w:szCs w:val="18"/>
        </w:rPr>
      </w:pPr>
    </w:p>
    <w:p w:rsidR="00FD785B" w:rsidRPr="00FD785B" w:rsidRDefault="00FD785B" w:rsidP="00FD785B">
      <w:pPr>
        <w:tabs>
          <w:tab w:val="left" w:pos="567"/>
          <w:tab w:val="left" w:pos="1843"/>
        </w:tabs>
        <w:rPr>
          <w:rFonts w:cs="Arial"/>
          <w:sz w:val="18"/>
          <w:szCs w:val="18"/>
        </w:rPr>
      </w:pPr>
    </w:p>
    <w:p w:rsidR="00247D47" w:rsidRDefault="00B643F0" w:rsidP="0002315B">
      <w:pPr>
        <w:pStyle w:val="Heading1"/>
        <w:rPr>
          <w:rFonts w:eastAsiaTheme="minorEastAsia"/>
        </w:rPr>
      </w:pPr>
      <w:bookmarkStart w:id="6" w:name="_Toc522275158"/>
      <w:bookmarkStart w:id="7" w:name="_Toc526786902"/>
      <w:r>
        <w:t>Système de codes UPOV</w:t>
      </w:r>
      <w:bookmarkEnd w:id="6"/>
      <w:bookmarkEnd w:id="7"/>
    </w:p>
    <w:p w:rsidR="00247D47" w:rsidRPr="00FD785B" w:rsidRDefault="00247D47">
      <w:pPr>
        <w:keepNext/>
        <w:rPr>
          <w:rFonts w:eastAsiaTheme="minorEastAsia"/>
          <w:sz w:val="18"/>
          <w:szCs w:val="18"/>
        </w:rPr>
      </w:pPr>
    </w:p>
    <w:p w:rsidR="00247D47" w:rsidRDefault="00B643F0">
      <w:pPr>
        <w:pStyle w:val="Heading2"/>
        <w:rPr>
          <w:rFonts w:eastAsiaTheme="minorEastAsia"/>
        </w:rPr>
      </w:pPr>
      <w:bookmarkStart w:id="8" w:name="_Toc522275159"/>
      <w:bookmarkStart w:id="9" w:name="_Toc526786903"/>
      <w:r>
        <w:t>Introduction au système de codes UPOV</w:t>
      </w:r>
      <w:bookmarkEnd w:id="8"/>
      <w:bookmarkEnd w:id="9"/>
    </w:p>
    <w:p w:rsidR="00247D47" w:rsidRPr="00FD785B" w:rsidRDefault="00247D47">
      <w:pPr>
        <w:keepNext/>
        <w:rPr>
          <w:rFonts w:eastAsiaTheme="minorEastAsia" w:cs="Arial"/>
          <w:snapToGrid w:val="0"/>
          <w:sz w:val="18"/>
          <w:szCs w:val="18"/>
        </w:rPr>
      </w:pPr>
    </w:p>
    <w:p w:rsidR="00247D47" w:rsidRDefault="00B643F0">
      <w:pPr>
        <w:keepNext/>
        <w:rPr>
          <w:rFonts w:eastAsiaTheme="minorEastAsia" w:cs="Arial"/>
          <w:snapToGrid w:val="0"/>
        </w:rPr>
      </w:pPr>
      <w:r>
        <w:rPr>
          <w:rFonts w:eastAsiaTheme="minorEastAsia" w:cs="Arial"/>
          <w:snapToGrid w:val="0"/>
        </w:rPr>
        <w:fldChar w:fldCharType="begin"/>
      </w:r>
      <w:r>
        <w:rPr>
          <w:rFonts w:eastAsiaTheme="minorEastAsia" w:cs="Arial"/>
          <w:snapToGrid w:val="0"/>
        </w:rPr>
        <w:instrText xml:space="preserve"> AUTONUM  </w:instrText>
      </w:r>
      <w:r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>L</w:t>
      </w:r>
      <w:r w:rsidR="00293C51">
        <w:rPr>
          <w:snapToGrid w:val="0"/>
        </w:rPr>
        <w:t>’</w:t>
      </w:r>
      <w:r>
        <w:rPr>
          <w:snapToGrid w:val="0"/>
        </w:rPr>
        <w:t>“Introduction au système de codes UPOV”</w:t>
      </w:r>
      <w:r>
        <w:t xml:space="preserve"> </w:t>
      </w:r>
      <w:r>
        <w:rPr>
          <w:snapToGrid w:val="0"/>
        </w:rPr>
        <w:t>est disponible sur le site</w:t>
      </w:r>
      <w:r w:rsidR="00AB72E0">
        <w:rPr>
          <w:snapToGrid w:val="0"/>
        </w:rPr>
        <w:t> </w:t>
      </w:r>
      <w:r>
        <w:rPr>
          <w:snapToGrid w:val="0"/>
        </w:rPr>
        <w:t>Web de l</w:t>
      </w:r>
      <w:r w:rsidR="00293C51">
        <w:rPr>
          <w:snapToGrid w:val="0"/>
        </w:rPr>
        <w:t>’</w:t>
      </w:r>
      <w:r>
        <w:rPr>
          <w:snapToGrid w:val="0"/>
        </w:rPr>
        <w:t>UPOV</w:t>
      </w:r>
      <w:r>
        <w:t xml:space="preserve"> (voir </w:t>
      </w:r>
      <w:hyperlink r:id="rId8" w:history="1">
        <w:r>
          <w:rPr>
            <w:color w:val="0000FF"/>
            <w:u w:val="single"/>
          </w:rPr>
          <w:t>http://www.upov.int/genie/resources/pdfs/upov_code_system_fr.pdf</w:t>
        </w:r>
      </w:hyperlink>
      <w:r>
        <w:t>)</w:t>
      </w:r>
      <w:r>
        <w:rPr>
          <w:snapToGrid w:val="0"/>
        </w:rPr>
        <w:t>.</w:t>
      </w:r>
    </w:p>
    <w:p w:rsidR="00247D47" w:rsidRPr="00FD785B" w:rsidRDefault="00247D47">
      <w:pPr>
        <w:rPr>
          <w:rFonts w:eastAsiaTheme="minorEastAsia" w:cs="Arial"/>
          <w:snapToGrid w:val="0"/>
          <w:sz w:val="18"/>
          <w:szCs w:val="18"/>
        </w:rPr>
      </w:pPr>
    </w:p>
    <w:p w:rsidR="00247D47" w:rsidRDefault="00B643F0">
      <w:pPr>
        <w:pStyle w:val="Heading2"/>
        <w:rPr>
          <w:rFonts w:eastAsiaTheme="minorEastAsia"/>
        </w:rPr>
      </w:pPr>
      <w:bookmarkStart w:id="10" w:name="_Toc522275160"/>
      <w:bookmarkStart w:id="11" w:name="_Toc526786904"/>
      <w:r>
        <w:t>Faits nouveaux concernant les codes UPOV</w:t>
      </w:r>
      <w:bookmarkEnd w:id="10"/>
      <w:bookmarkEnd w:id="11"/>
    </w:p>
    <w:p w:rsidR="00247D47" w:rsidRPr="00FD785B" w:rsidRDefault="00247D47">
      <w:pPr>
        <w:keepNext/>
        <w:keepLines/>
        <w:rPr>
          <w:rFonts w:eastAsiaTheme="minorEastAsia" w:cs="Arial"/>
          <w:snapToGrid w:val="0"/>
          <w:sz w:val="18"/>
          <w:szCs w:val="18"/>
        </w:rPr>
      </w:pPr>
    </w:p>
    <w:p w:rsidR="00247D47" w:rsidRDefault="00B643F0">
      <w:pPr>
        <w:keepNext/>
        <w:keepLines/>
        <w:rPr>
          <w:rFonts w:eastAsiaTheme="minorEastAsia" w:cs="Arial"/>
          <w:snapToGrid w:val="0"/>
        </w:rPr>
      </w:pPr>
      <w:r>
        <w:rPr>
          <w:rFonts w:eastAsiaTheme="minorEastAsia" w:cs="Arial"/>
          <w:snapToGrid w:val="0"/>
        </w:rPr>
        <w:fldChar w:fldCharType="begin"/>
      </w:r>
      <w:r>
        <w:rPr>
          <w:rFonts w:eastAsiaTheme="minorEastAsia" w:cs="Arial"/>
          <w:snapToGrid w:val="0"/>
        </w:rPr>
        <w:instrText xml:space="preserve"> AUTONUM  </w:instrText>
      </w:r>
      <w:r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  <w:t>En 2017, 440 nouveaux codes UPOV ont été créés et un code UPOV existant a été modif</w:t>
      </w:r>
      <w:r w:rsidR="00115B25">
        <w:rPr>
          <w:snapToGrid w:val="0"/>
        </w:rPr>
        <w:t>ié.  Le</w:t>
      </w:r>
      <w:r>
        <w:rPr>
          <w:snapToGrid w:val="0"/>
        </w:rPr>
        <w:t xml:space="preserve"> nombre total de codes UPOV figurant dans la base de données GENIE était de </w:t>
      </w:r>
      <w:r w:rsidR="00AB72E0">
        <w:rPr>
          <w:snapToGrid w:val="0"/>
        </w:rPr>
        <w:t>8589</w:t>
      </w:r>
      <w:r>
        <w:rPr>
          <w:snapToGrid w:val="0"/>
        </w:rPr>
        <w:t xml:space="preserve"> à la fin de 2017.</w:t>
      </w:r>
    </w:p>
    <w:p w:rsidR="00247D47" w:rsidRPr="00FD785B" w:rsidRDefault="00247D47">
      <w:pPr>
        <w:keepNext/>
        <w:rPr>
          <w:rFonts w:eastAsiaTheme="minorEastAsia"/>
          <w:snapToGrid w:val="0"/>
          <w:sz w:val="18"/>
          <w:szCs w:val="18"/>
          <w:highlight w:val="cyan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00"/>
        <w:gridCol w:w="967"/>
        <w:gridCol w:w="810"/>
        <w:gridCol w:w="938"/>
        <w:gridCol w:w="852"/>
        <w:gridCol w:w="852"/>
        <w:gridCol w:w="853"/>
        <w:gridCol w:w="852"/>
        <w:gridCol w:w="852"/>
        <w:gridCol w:w="853"/>
        <w:gridCol w:w="10"/>
      </w:tblGrid>
      <w:tr w:rsidR="00247D47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247D47" w:rsidRDefault="00247D47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  <w:highlight w:val="cyan"/>
              </w:rPr>
            </w:pPr>
          </w:p>
        </w:tc>
        <w:tc>
          <w:tcPr>
            <w:tcW w:w="7839" w:type="dxa"/>
            <w:gridSpan w:val="10"/>
            <w:tcBorders>
              <w:bottom w:val="dotted" w:sz="4" w:space="0" w:color="auto"/>
            </w:tcBorders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highlight w:val="cyan"/>
              </w:rPr>
            </w:pPr>
            <w:r>
              <w:rPr>
                <w:snapToGrid w:val="0"/>
                <w:sz w:val="18"/>
                <w:szCs w:val="18"/>
              </w:rPr>
              <w:t>Année</w:t>
            </w:r>
          </w:p>
        </w:tc>
      </w:tr>
      <w:tr w:rsidR="00247D4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247D47" w:rsidRDefault="00247D47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4"/>
                <w:szCs w:val="18"/>
                <w:highlight w:val="cyan"/>
              </w:rPr>
            </w:pPr>
          </w:p>
        </w:tc>
        <w:tc>
          <w:tcPr>
            <w:tcW w:w="7839" w:type="dxa"/>
            <w:gridSpan w:val="10"/>
            <w:tcBorders>
              <w:left w:val="nil"/>
              <w:right w:val="nil"/>
            </w:tcBorders>
          </w:tcPr>
          <w:p w:rsidR="00247D47" w:rsidRDefault="00247D47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4"/>
                <w:szCs w:val="18"/>
                <w:highlight w:val="cyan"/>
              </w:rPr>
            </w:pPr>
          </w:p>
        </w:tc>
      </w:tr>
      <w:tr w:rsidR="00247D47">
        <w:trPr>
          <w:gridAfter w:val="1"/>
          <w:wAfter w:w="10" w:type="dxa"/>
        </w:trPr>
        <w:tc>
          <w:tcPr>
            <w:tcW w:w="1800" w:type="dxa"/>
            <w:tcBorders>
              <w:top w:val="nil"/>
              <w:left w:val="nil"/>
            </w:tcBorders>
          </w:tcPr>
          <w:p w:rsidR="00247D47" w:rsidRDefault="00247D47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highlight w:val="cyan"/>
                <w:u w:val="single"/>
              </w:rPr>
            </w:pPr>
          </w:p>
        </w:tc>
        <w:tc>
          <w:tcPr>
            <w:tcW w:w="967" w:type="dxa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2009</w:t>
            </w:r>
          </w:p>
        </w:tc>
        <w:tc>
          <w:tcPr>
            <w:tcW w:w="810" w:type="dxa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2010</w:t>
            </w:r>
          </w:p>
        </w:tc>
        <w:tc>
          <w:tcPr>
            <w:tcW w:w="938" w:type="dxa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2011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2012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2013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highlight w:val="cyan"/>
                <w:u w:val="single"/>
              </w:rPr>
            </w:pPr>
            <w:r>
              <w:rPr>
                <w:snapToGrid w:val="0"/>
                <w:sz w:val="18"/>
                <w:szCs w:val="18"/>
                <w:u w:val="single"/>
              </w:rPr>
              <w:t>2017</w:t>
            </w:r>
          </w:p>
        </w:tc>
      </w:tr>
      <w:tr w:rsidR="00247D47">
        <w:trPr>
          <w:gridAfter w:val="1"/>
          <w:wAfter w:w="10" w:type="dxa"/>
          <w:trHeight w:val="495"/>
        </w:trPr>
        <w:tc>
          <w:tcPr>
            <w:tcW w:w="1800" w:type="dxa"/>
          </w:tcPr>
          <w:p w:rsidR="00247D47" w:rsidRDefault="00B643F0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Nouveaux codes UPOV</w:t>
            </w:r>
          </w:p>
        </w:tc>
        <w:tc>
          <w:tcPr>
            <w:tcW w:w="967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148</w:t>
            </w:r>
          </w:p>
        </w:tc>
        <w:tc>
          <w:tcPr>
            <w:tcW w:w="810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114</w:t>
            </w:r>
          </w:p>
        </w:tc>
        <w:tc>
          <w:tcPr>
            <w:tcW w:w="938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173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212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209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577</w:t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188</w:t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173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440</w:t>
            </w:r>
          </w:p>
        </w:tc>
      </w:tr>
      <w:tr w:rsidR="00247D47">
        <w:trPr>
          <w:gridAfter w:val="1"/>
          <w:wAfter w:w="10" w:type="dxa"/>
          <w:trHeight w:val="495"/>
        </w:trPr>
        <w:tc>
          <w:tcPr>
            <w:tcW w:w="1800" w:type="dxa"/>
          </w:tcPr>
          <w:p w:rsidR="00247D47" w:rsidRDefault="00B643F0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Modifications</w:t>
            </w:r>
          </w:p>
        </w:tc>
        <w:tc>
          <w:tcPr>
            <w:tcW w:w="967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17</w:t>
            </w:r>
          </w:p>
        </w:tc>
        <w:tc>
          <w:tcPr>
            <w:tcW w:w="810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</w:t>
            </w:r>
          </w:p>
        </w:tc>
        <w:tc>
          <w:tcPr>
            <w:tcW w:w="938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5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 xml:space="preserve"> 47*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37</w:t>
            </w:r>
            <w:r>
              <w:rPr>
                <w:snapToGrid w:val="0"/>
                <w:sz w:val="18"/>
                <w:szCs w:val="18"/>
              </w:rPr>
              <w:br/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16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spacing w:before="40" w:after="40"/>
              <w:ind w:right="165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</w:tr>
      <w:tr w:rsidR="00247D47">
        <w:trPr>
          <w:gridAfter w:val="1"/>
          <w:wAfter w:w="10" w:type="dxa"/>
          <w:trHeight w:val="495"/>
        </w:trPr>
        <w:tc>
          <w:tcPr>
            <w:tcW w:w="1800" w:type="dxa"/>
          </w:tcPr>
          <w:p w:rsidR="00247D47" w:rsidRDefault="00B643F0">
            <w:pPr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Nombre total de codes UPOV (à la fin de l</w:t>
            </w:r>
            <w:r w:rsidR="00293C51">
              <w:rPr>
                <w:snapToGrid w:val="0"/>
                <w:sz w:val="18"/>
                <w:szCs w:val="18"/>
              </w:rPr>
              <w:t>’</w:t>
            </w:r>
            <w:r>
              <w:rPr>
                <w:snapToGrid w:val="0"/>
                <w:sz w:val="18"/>
                <w:szCs w:val="18"/>
              </w:rPr>
              <w:t>année)</w:t>
            </w:r>
          </w:p>
        </w:tc>
        <w:tc>
          <w:tcPr>
            <w:tcW w:w="967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6 582</w:t>
            </w:r>
          </w:p>
        </w:tc>
        <w:tc>
          <w:tcPr>
            <w:tcW w:w="810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6 683</w:t>
            </w:r>
          </w:p>
        </w:tc>
        <w:tc>
          <w:tcPr>
            <w:tcW w:w="938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6 851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spacing w:before="40" w:after="40"/>
              <w:ind w:right="113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7 061</w:t>
            </w:r>
          </w:p>
        </w:tc>
        <w:tc>
          <w:tcPr>
            <w:tcW w:w="852" w:type="dxa"/>
          </w:tcPr>
          <w:p w:rsidR="00247D47" w:rsidRDefault="00B643F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</w:rPr>
              <w:t>7 251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7 808</w:t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7 992</w:t>
            </w:r>
          </w:p>
        </w:tc>
        <w:tc>
          <w:tcPr>
            <w:tcW w:w="852" w:type="dxa"/>
            <w:shd w:val="clear" w:color="auto" w:fill="auto"/>
          </w:tcPr>
          <w:p w:rsidR="00247D47" w:rsidRDefault="00B643F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8 149</w:t>
            </w:r>
          </w:p>
        </w:tc>
        <w:tc>
          <w:tcPr>
            <w:tcW w:w="853" w:type="dxa"/>
          </w:tcPr>
          <w:p w:rsidR="00247D47" w:rsidRDefault="00B643F0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8 589</w:t>
            </w:r>
          </w:p>
        </w:tc>
      </w:tr>
    </w:tbl>
    <w:p w:rsidR="00247D47" w:rsidRDefault="00B643F0">
      <w:pPr>
        <w:spacing w:before="120"/>
        <w:ind w:left="851" w:hanging="284"/>
        <w:rPr>
          <w:rFonts w:eastAsiaTheme="minorEastAsia" w:cs="Arial"/>
          <w:sz w:val="16"/>
          <w:szCs w:val="18"/>
        </w:rPr>
      </w:pPr>
      <w:r>
        <w:rPr>
          <w:sz w:val="16"/>
          <w:szCs w:val="18"/>
        </w:rPr>
        <w:t xml:space="preserve">* </w:t>
      </w:r>
      <w:r>
        <w:rPr>
          <w:sz w:val="16"/>
          <w:szCs w:val="18"/>
        </w:rPr>
        <w:tab/>
      </w:r>
      <w:r w:rsidR="00293C51">
        <w:rPr>
          <w:sz w:val="16"/>
          <w:szCs w:val="18"/>
        </w:rPr>
        <w:t>y compris</w:t>
      </w:r>
      <w:r>
        <w:rPr>
          <w:sz w:val="16"/>
          <w:szCs w:val="18"/>
        </w:rPr>
        <w:t xml:space="preserve"> les modifications des codes UPOV résultant de la modification de l</w:t>
      </w:r>
      <w:r w:rsidR="00293C51">
        <w:rPr>
          <w:sz w:val="16"/>
          <w:szCs w:val="18"/>
        </w:rPr>
        <w:t>’</w:t>
      </w:r>
      <w:r>
        <w:rPr>
          <w:sz w:val="16"/>
          <w:szCs w:val="18"/>
        </w:rPr>
        <w:t xml:space="preserve">”Introduction au système de codes UPOV” concernant les hybrides (voir le </w:t>
      </w:r>
      <w:r w:rsidR="00293C51">
        <w:rPr>
          <w:sz w:val="16"/>
          <w:szCs w:val="18"/>
        </w:rPr>
        <w:t>document</w:t>
      </w:r>
      <w:r w:rsidR="00115B25">
        <w:rPr>
          <w:sz w:val="16"/>
          <w:szCs w:val="18"/>
        </w:rPr>
        <w:t> </w:t>
      </w:r>
      <w:r w:rsidR="00293C51">
        <w:rPr>
          <w:sz w:val="16"/>
          <w:szCs w:val="18"/>
        </w:rPr>
        <w:t>TC</w:t>
      </w:r>
      <w:r>
        <w:rPr>
          <w:sz w:val="16"/>
          <w:szCs w:val="18"/>
        </w:rPr>
        <w:t>/49/6).</w:t>
      </w:r>
    </w:p>
    <w:p w:rsidR="00247D47" w:rsidRPr="00FD785B" w:rsidRDefault="00247D47">
      <w:pPr>
        <w:rPr>
          <w:rFonts w:cs="Arial"/>
          <w:snapToGrid w:val="0"/>
          <w:sz w:val="18"/>
          <w:szCs w:val="18"/>
        </w:rPr>
      </w:pPr>
    </w:p>
    <w:p w:rsidR="00247D47" w:rsidRDefault="00B643F0">
      <w:pPr>
        <w:rPr>
          <w:rFonts w:eastAsiaTheme="minorEastAsia" w:cs="Arial"/>
        </w:rPr>
      </w:pPr>
      <w:r>
        <w:rPr>
          <w:rFonts w:eastAsiaTheme="minorEastAsia" w:cs="Arial"/>
          <w:snapToGrid w:val="0"/>
        </w:rPr>
        <w:fldChar w:fldCharType="begin"/>
      </w:r>
      <w:r>
        <w:rPr>
          <w:rFonts w:eastAsiaTheme="minorEastAsia" w:cs="Arial"/>
          <w:snapToGrid w:val="0"/>
        </w:rPr>
        <w:instrText xml:space="preserve"> AUTONUM  </w:instrText>
      </w:r>
      <w:r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</w:r>
      <w:r>
        <w:t>En mars 2017, le Bureau de l</w:t>
      </w:r>
      <w:r w:rsidR="00293C51">
        <w:t>’</w:t>
      </w:r>
      <w:r>
        <w:t>Union a reçu une demande de la Direction générale santé et protection des consommateurs de la Commission européenne (DG SANT</w:t>
      </w:r>
      <w:r w:rsidR="00115B25">
        <w:t>E</w:t>
      </w:r>
      <w:r>
        <w:t>) aux fins de créer des codes UPOV pour 191 espèces d</w:t>
      </w:r>
      <w:r w:rsidR="00293C51">
        <w:t>’</w:t>
      </w:r>
      <w:r>
        <w:t>arbres forestiers entrant dans le commerce international conformément aux programmes de certification de l</w:t>
      </w:r>
      <w:r w:rsidR="00293C51">
        <w:t>’</w:t>
      </w:r>
      <w:r>
        <w:t>OCDE, dans le contexte de l</w:t>
      </w:r>
      <w:r w:rsidR="00293C51">
        <w:t>’</w:t>
      </w:r>
      <w:r>
        <w:t>extension du système d</w:t>
      </w:r>
      <w:r w:rsidR="00293C51">
        <w:t>’</w:t>
      </w:r>
      <w:r>
        <w:t>information sur le matériel forestier de reproduction de la Commission européenne (FOREMATIS) en vue d</w:t>
      </w:r>
      <w:r w:rsidR="00293C51">
        <w:t>’</w:t>
      </w:r>
      <w:r>
        <w:t>inclure des données à la base de données de l</w:t>
      </w:r>
      <w:r w:rsidR="00293C51">
        <w:t>’</w:t>
      </w:r>
      <w:r>
        <w:t>OCDE sur les forê</w:t>
      </w:r>
      <w:r w:rsidR="00115B25">
        <w:t>ts.  Le</w:t>
      </w:r>
      <w:r>
        <w:t>s codes UPOV demandés ont été introduits dans GENIE en septembre 2017.</w:t>
      </w:r>
    </w:p>
    <w:p w:rsidR="00247D47" w:rsidRPr="00FD785B" w:rsidRDefault="00247D47">
      <w:pPr>
        <w:rPr>
          <w:rFonts w:eastAsiaTheme="minorEastAsia" w:cs="Arial"/>
          <w:sz w:val="18"/>
          <w:szCs w:val="18"/>
        </w:rPr>
      </w:pPr>
    </w:p>
    <w:p w:rsidR="00247D47" w:rsidRDefault="00B643F0">
      <w:pPr>
        <w:rPr>
          <w:rFonts w:eastAsiaTheme="minorEastAsia" w:cs="Arial"/>
        </w:rPr>
      </w:pPr>
      <w:r>
        <w:rPr>
          <w:rFonts w:eastAsiaTheme="minorEastAsia" w:cs="Arial"/>
          <w:snapToGrid w:val="0"/>
        </w:rPr>
        <w:fldChar w:fldCharType="begin"/>
      </w:r>
      <w:r>
        <w:rPr>
          <w:rFonts w:eastAsiaTheme="minorEastAsia" w:cs="Arial"/>
          <w:snapToGrid w:val="0"/>
        </w:rPr>
        <w:instrText xml:space="preserve"> AUTONUM  </w:instrText>
      </w:r>
      <w:r>
        <w:rPr>
          <w:rFonts w:eastAsiaTheme="minorEastAsia" w:cs="Arial"/>
          <w:snapToGrid w:val="0"/>
        </w:rPr>
        <w:fldChar w:fldCharType="end"/>
      </w:r>
      <w:r>
        <w:rPr>
          <w:snapToGrid w:val="0"/>
        </w:rPr>
        <w:tab/>
      </w:r>
      <w:r>
        <w:t>DG SANT</w:t>
      </w:r>
      <w:r w:rsidR="00115B25">
        <w:t>E</w:t>
      </w:r>
      <w:r>
        <w:t xml:space="preserve"> a proposé l</w:t>
      </w:r>
      <w:r w:rsidR="00293C51">
        <w:t>’</w:t>
      </w:r>
      <w:r>
        <w:t>établissement d</w:t>
      </w:r>
      <w:r w:rsidR="00293C51">
        <w:t>’</w:t>
      </w:r>
      <w:r>
        <w:t>un arrangement administratif entre le Bureau de l</w:t>
      </w:r>
      <w:r w:rsidR="00293C51">
        <w:t>’</w:t>
      </w:r>
      <w:r>
        <w:t>Union et la Commission européenne en vue de couvrir la collaboration en matière de noms scientifiques d</w:t>
      </w:r>
      <w:r w:rsidR="00293C51">
        <w:t>’</w:t>
      </w:r>
      <w:r>
        <w:t>espèces végétales présentes dans les bases de données de l</w:t>
      </w:r>
      <w:r w:rsidR="00293C51">
        <w:t>’</w:t>
      </w:r>
      <w:r>
        <w:t>un et de l</w:t>
      </w:r>
      <w:r w:rsidR="00293C51">
        <w:t>’</w:t>
      </w:r>
      <w:r>
        <w:t>autre et, en particulier, s</w:t>
      </w:r>
      <w:r w:rsidR="00293C51">
        <w:t>’</w:t>
      </w:r>
      <w:r>
        <w:t>agissant de l</w:t>
      </w:r>
      <w:r w:rsidR="00293C51">
        <w:t>’</w:t>
      </w:r>
      <w:r>
        <w:t>attribution de codes UPOV aux espèces végétales dans FOREMATIS.</w:t>
      </w:r>
    </w:p>
    <w:p w:rsidR="00247D47" w:rsidRPr="00FD785B" w:rsidRDefault="00247D47">
      <w:pPr>
        <w:rPr>
          <w:rFonts w:eastAsiaTheme="minorEastAsia" w:cs="Arial"/>
          <w:i/>
          <w:sz w:val="18"/>
          <w:szCs w:val="18"/>
        </w:rPr>
      </w:pPr>
    </w:p>
    <w:p w:rsidR="00247D47" w:rsidRDefault="00B643F0" w:rsidP="00FD785B">
      <w:pPr>
        <w:keepLines/>
        <w:tabs>
          <w:tab w:val="left" w:pos="5387"/>
        </w:tabs>
        <w:ind w:left="4820"/>
        <w:rPr>
          <w:rFonts w:eastAsiaTheme="minorEastAsia"/>
          <w:i/>
        </w:rPr>
      </w:pPr>
      <w:r>
        <w:rPr>
          <w:rFonts w:eastAsiaTheme="minorEastAsia"/>
          <w:i/>
        </w:rPr>
        <w:fldChar w:fldCharType="begin"/>
      </w:r>
      <w:r>
        <w:rPr>
          <w:rFonts w:eastAsiaTheme="minorEastAsia"/>
          <w:i/>
        </w:rPr>
        <w:instrText xml:space="preserve"> AUTONUM  </w:instrText>
      </w:r>
      <w:r>
        <w:rPr>
          <w:rFonts w:eastAsiaTheme="minorEastAsia"/>
          <w:i/>
        </w:rPr>
        <w:fldChar w:fldCharType="end"/>
      </w:r>
      <w:r>
        <w:rPr>
          <w:i/>
        </w:rPr>
        <w:tab/>
        <w:t>Le CAJ est invité</w:t>
      </w:r>
    </w:p>
    <w:p w:rsidR="00247D47" w:rsidRPr="00FD785B" w:rsidRDefault="00247D47" w:rsidP="00FD785B">
      <w:pPr>
        <w:keepLines/>
        <w:tabs>
          <w:tab w:val="left" w:pos="5387"/>
        </w:tabs>
        <w:ind w:left="4820"/>
        <w:rPr>
          <w:rFonts w:eastAsiaTheme="minorEastAsia"/>
          <w:i/>
          <w:sz w:val="18"/>
          <w:szCs w:val="18"/>
        </w:rPr>
      </w:pPr>
    </w:p>
    <w:p w:rsidR="00247D47" w:rsidRDefault="00B643F0" w:rsidP="00FD785B">
      <w:pPr>
        <w:keepLines/>
        <w:tabs>
          <w:tab w:val="left" w:pos="5954"/>
        </w:tabs>
        <w:ind w:left="4820" w:firstLine="567"/>
        <w:rPr>
          <w:rFonts w:eastAsiaTheme="minorEastAsia"/>
          <w:i/>
        </w:rPr>
      </w:pPr>
      <w:r>
        <w:rPr>
          <w:i/>
        </w:rPr>
        <w:t>a)</w:t>
      </w:r>
      <w:r>
        <w:rPr>
          <w:i/>
        </w:rPr>
        <w:tab/>
        <w:t xml:space="preserve">à noter que 440 nouveaux codes UPOV ont été créés en 2017 et que la base de données GENIE contient un total de </w:t>
      </w:r>
      <w:r w:rsidR="00AB72E0">
        <w:rPr>
          <w:i/>
        </w:rPr>
        <w:t>8589</w:t>
      </w:r>
      <w:r>
        <w:rPr>
          <w:i/>
        </w:rPr>
        <w:t> codes UPOV,</w:t>
      </w:r>
    </w:p>
    <w:p w:rsidR="00247D47" w:rsidRPr="00FD785B" w:rsidRDefault="00247D47" w:rsidP="00FD785B">
      <w:pPr>
        <w:keepLines/>
        <w:tabs>
          <w:tab w:val="left" w:pos="5954"/>
        </w:tabs>
        <w:ind w:left="5387" w:hanging="567"/>
        <w:rPr>
          <w:rFonts w:eastAsiaTheme="minorEastAsia"/>
          <w:i/>
          <w:sz w:val="18"/>
          <w:szCs w:val="18"/>
          <w:lang w:eastAsia="ja-JP"/>
        </w:rPr>
      </w:pPr>
    </w:p>
    <w:p w:rsidR="00247D47" w:rsidRDefault="00B643F0" w:rsidP="00FD785B">
      <w:pPr>
        <w:keepLines/>
        <w:tabs>
          <w:tab w:val="left" w:pos="5954"/>
        </w:tabs>
        <w:ind w:left="4820" w:firstLine="567"/>
        <w:rPr>
          <w:rFonts w:eastAsiaTheme="minorEastAsia"/>
          <w:i/>
        </w:rPr>
      </w:pPr>
      <w:r>
        <w:rPr>
          <w:i/>
        </w:rPr>
        <w:t>b)</w:t>
      </w:r>
      <w:r>
        <w:rPr>
          <w:i/>
        </w:rPr>
        <w:tab/>
        <w:t>à noter que, jusqu</w:t>
      </w:r>
      <w:r w:rsidR="00293C51">
        <w:rPr>
          <w:i/>
        </w:rPr>
        <w:t>’</w:t>
      </w:r>
      <w:r>
        <w:rPr>
          <w:i/>
        </w:rPr>
        <w:t>en septembre 2017, le Bureau de l</w:t>
      </w:r>
      <w:r w:rsidR="00293C51">
        <w:rPr>
          <w:i/>
        </w:rPr>
        <w:t>’</w:t>
      </w:r>
      <w:r>
        <w:rPr>
          <w:i/>
        </w:rPr>
        <w:t>Union a introduit de nouveaux codes UPOV pour 191 espèces d</w:t>
      </w:r>
      <w:r w:rsidR="00293C51">
        <w:rPr>
          <w:i/>
        </w:rPr>
        <w:t>’</w:t>
      </w:r>
      <w:r>
        <w:rPr>
          <w:i/>
        </w:rPr>
        <w:t>arbres forestiers sur la demande de DG SANT</w:t>
      </w:r>
      <w:r w:rsidR="00115B25">
        <w:rPr>
          <w:i/>
        </w:rPr>
        <w:t>E</w:t>
      </w:r>
      <w:r>
        <w:rPr>
          <w:i/>
        </w:rPr>
        <w:t xml:space="preserve">, comme indiqué au paragraphe 7 du présent </w:t>
      </w:r>
      <w:proofErr w:type="gramStart"/>
      <w:r>
        <w:rPr>
          <w:i/>
        </w:rPr>
        <w:t xml:space="preserve">document, </w:t>
      </w:r>
      <w:r w:rsidR="00FD785B">
        <w:rPr>
          <w:i/>
        </w:rPr>
        <w:t xml:space="preserve"> </w:t>
      </w:r>
      <w:r>
        <w:rPr>
          <w:i/>
        </w:rPr>
        <w:t>et</w:t>
      </w:r>
      <w:proofErr w:type="gramEnd"/>
    </w:p>
    <w:p w:rsidR="00247D47" w:rsidRPr="00FD785B" w:rsidRDefault="00247D47" w:rsidP="00FD785B">
      <w:pPr>
        <w:keepLines/>
        <w:tabs>
          <w:tab w:val="left" w:pos="5954"/>
        </w:tabs>
        <w:ind w:left="4820" w:firstLine="567"/>
        <w:rPr>
          <w:rFonts w:eastAsiaTheme="minorEastAsia"/>
          <w:i/>
          <w:sz w:val="18"/>
          <w:szCs w:val="18"/>
        </w:rPr>
      </w:pPr>
    </w:p>
    <w:p w:rsidR="00247D47" w:rsidRDefault="00B643F0" w:rsidP="00FD785B">
      <w:pPr>
        <w:keepLines/>
        <w:tabs>
          <w:tab w:val="left" w:pos="5954"/>
        </w:tabs>
        <w:ind w:left="4820" w:firstLine="567"/>
        <w:rPr>
          <w:rFonts w:eastAsiaTheme="minorEastAsia"/>
          <w:i/>
        </w:rPr>
      </w:pPr>
      <w:r>
        <w:rPr>
          <w:i/>
        </w:rPr>
        <w:t>c)</w:t>
      </w:r>
      <w:r>
        <w:rPr>
          <w:i/>
        </w:rPr>
        <w:tab/>
        <w:t>à noter que DG SANT</w:t>
      </w:r>
      <w:r w:rsidR="00115B25">
        <w:rPr>
          <w:i/>
        </w:rPr>
        <w:t>E</w:t>
      </w:r>
      <w:r>
        <w:rPr>
          <w:i/>
        </w:rPr>
        <w:t xml:space="preserve"> a proposé l</w:t>
      </w:r>
      <w:r w:rsidR="00293C51">
        <w:rPr>
          <w:i/>
        </w:rPr>
        <w:t>’</w:t>
      </w:r>
      <w:r>
        <w:rPr>
          <w:i/>
        </w:rPr>
        <w:t>établissement d</w:t>
      </w:r>
      <w:r w:rsidR="00293C51">
        <w:rPr>
          <w:i/>
        </w:rPr>
        <w:t>’</w:t>
      </w:r>
      <w:r>
        <w:rPr>
          <w:i/>
        </w:rPr>
        <w:t>un arrangement administratif entre le Bureau de l</w:t>
      </w:r>
      <w:r w:rsidR="00293C51">
        <w:rPr>
          <w:i/>
        </w:rPr>
        <w:t>’</w:t>
      </w:r>
      <w:r>
        <w:rPr>
          <w:i/>
        </w:rPr>
        <w:t>Union et la Commission européenne en vue de couvrir la collaboration en matière de noms scientifiques d</w:t>
      </w:r>
      <w:r w:rsidR="00293C51">
        <w:rPr>
          <w:i/>
        </w:rPr>
        <w:t>’</w:t>
      </w:r>
      <w:r>
        <w:rPr>
          <w:i/>
        </w:rPr>
        <w:t>espèces végétales présentes dans les bases de données de l</w:t>
      </w:r>
      <w:r w:rsidR="00293C51">
        <w:rPr>
          <w:i/>
        </w:rPr>
        <w:t>’</w:t>
      </w:r>
      <w:r>
        <w:rPr>
          <w:i/>
        </w:rPr>
        <w:t>un et de l</w:t>
      </w:r>
      <w:r w:rsidR="00293C51">
        <w:rPr>
          <w:i/>
        </w:rPr>
        <w:t>’</w:t>
      </w:r>
      <w:r>
        <w:rPr>
          <w:i/>
        </w:rPr>
        <w:t>autre et, en particulier, s</w:t>
      </w:r>
      <w:r w:rsidR="00293C51">
        <w:rPr>
          <w:i/>
        </w:rPr>
        <w:t>’</w:t>
      </w:r>
      <w:r>
        <w:rPr>
          <w:i/>
        </w:rPr>
        <w:t>agissant de l</w:t>
      </w:r>
      <w:r w:rsidR="00293C51">
        <w:rPr>
          <w:i/>
        </w:rPr>
        <w:t>’</w:t>
      </w:r>
      <w:r>
        <w:rPr>
          <w:i/>
        </w:rPr>
        <w:t>attribution de codes UPOV aux espèces végétales dans FOREMATIS, comme indiqué au paragraphe 8 du présent document.</w:t>
      </w:r>
    </w:p>
    <w:p w:rsidR="00247D47" w:rsidRPr="00FD785B" w:rsidRDefault="00247D47" w:rsidP="00FD785B">
      <w:pPr>
        <w:keepLines/>
        <w:rPr>
          <w:rFonts w:eastAsiaTheme="minorEastAsia"/>
          <w:sz w:val="18"/>
          <w:szCs w:val="18"/>
        </w:rPr>
      </w:pPr>
    </w:p>
    <w:p w:rsidR="00247D47" w:rsidRPr="00FD785B" w:rsidRDefault="00247D47">
      <w:pPr>
        <w:rPr>
          <w:rFonts w:eastAsiaTheme="minorEastAsia"/>
          <w:sz w:val="18"/>
          <w:szCs w:val="18"/>
        </w:rPr>
      </w:pPr>
    </w:p>
    <w:p w:rsidR="00247D47" w:rsidRDefault="00B643F0" w:rsidP="0002315B">
      <w:pPr>
        <w:pStyle w:val="Heading1"/>
        <w:rPr>
          <w:rFonts w:eastAsiaTheme="minorEastAsia"/>
        </w:rPr>
      </w:pPr>
      <w:bookmarkStart w:id="12" w:name="_Toc522275168"/>
      <w:bookmarkStart w:id="13" w:name="_Toc526786905"/>
      <w:r>
        <w:t>BASE DE DONNÉES PLUTO</w:t>
      </w:r>
      <w:bookmarkEnd w:id="12"/>
      <w:bookmarkEnd w:id="13"/>
    </w:p>
    <w:p w:rsidR="00247D47" w:rsidRPr="00FD785B" w:rsidRDefault="00247D47">
      <w:pPr>
        <w:keepNext/>
        <w:keepLines/>
        <w:rPr>
          <w:rFonts w:eastAsiaTheme="minorEastAsia"/>
          <w:sz w:val="18"/>
          <w:szCs w:val="18"/>
        </w:rPr>
      </w:pPr>
    </w:p>
    <w:p w:rsidR="00293C51" w:rsidRDefault="00B643F0">
      <w:pPr>
        <w:pStyle w:val="Heading2"/>
      </w:pPr>
      <w:bookmarkStart w:id="14" w:name="_Toc522275169"/>
      <w:bookmarkStart w:id="15" w:name="_Toc526786906"/>
      <w:r>
        <w:t>Programme d</w:t>
      </w:r>
      <w:r w:rsidR="00293C51">
        <w:t>’</w:t>
      </w:r>
      <w:r>
        <w:t>améliorations de la base de données PLUTO</w:t>
      </w:r>
      <w:bookmarkEnd w:id="14"/>
      <w:bookmarkEnd w:id="15"/>
    </w:p>
    <w:p w:rsidR="00247D47" w:rsidRPr="00FD785B" w:rsidRDefault="00247D47">
      <w:pPr>
        <w:rPr>
          <w:rFonts w:eastAsiaTheme="minorEastAsia" w:cs="Arial"/>
          <w:bCs/>
          <w:sz w:val="18"/>
          <w:szCs w:val="18"/>
        </w:rPr>
      </w:pPr>
    </w:p>
    <w:p w:rsidR="00247D47" w:rsidRDefault="00B643F0">
      <w:pPr>
        <w:rPr>
          <w:rFonts w:eastAsiaTheme="minorEastAsia" w:cs="Arial"/>
          <w:bCs/>
        </w:rPr>
      </w:pPr>
      <w:r>
        <w:rPr>
          <w:rFonts w:eastAsiaTheme="minorEastAsia" w:cs="Arial"/>
          <w:bCs/>
        </w:rPr>
        <w:fldChar w:fldCharType="begin"/>
      </w:r>
      <w:r>
        <w:rPr>
          <w:rFonts w:eastAsiaTheme="minorEastAsia" w:cs="Arial"/>
          <w:bCs/>
        </w:rPr>
        <w:instrText xml:space="preserve"> AUTONUM  </w:instrText>
      </w:r>
      <w:r>
        <w:rPr>
          <w:rFonts w:eastAsiaTheme="minorEastAsia" w:cs="Arial"/>
          <w:bCs/>
        </w:rPr>
        <w:fldChar w:fldCharType="end"/>
      </w:r>
      <w:r>
        <w:tab/>
        <w:t>À sa soixante</w:t>
      </w:r>
      <w:r w:rsidR="00FA774F">
        <w:noBreakHyphen/>
      </w:r>
      <w:r>
        <w:t>huit</w:t>
      </w:r>
      <w:r w:rsidR="00293C51">
        <w:t>ième session</w:t>
      </w:r>
      <w:r>
        <w:rPr>
          <w:rFonts w:eastAsiaTheme="minorEastAsia" w:cs="Arial"/>
          <w:bCs/>
          <w:vertAlign w:val="superscript"/>
        </w:rPr>
        <w:footnoteReference w:id="2"/>
      </w:r>
      <w:r>
        <w:t>,</w:t>
      </w:r>
      <w:r w:rsidR="00293C51">
        <w:t xml:space="preserve"> le CAJ</w:t>
      </w:r>
      <w:r>
        <w:t xml:space="preserve"> a examiné le document</w:t>
      </w:r>
      <w:r w:rsidR="00115B25">
        <w:t> </w:t>
      </w:r>
      <w:r>
        <w:t xml:space="preserve">CAJ/68/6 </w:t>
      </w:r>
      <w:r w:rsidR="00293C51">
        <w:t>“B</w:t>
      </w:r>
      <w:r>
        <w:t>ases de données d</w:t>
      </w:r>
      <w:r w:rsidR="00293C51">
        <w:t>’</w:t>
      </w:r>
      <w:r>
        <w:t>information de l</w:t>
      </w:r>
      <w:r w:rsidR="00293C51">
        <w:t>’</w:t>
      </w:r>
      <w:r>
        <w:t>UPO</w:t>
      </w:r>
      <w:r w:rsidR="00293C51">
        <w:t>V”</w:t>
      </w:r>
      <w:r>
        <w:t xml:space="preserve"> et approuvé les modifications apportées au programme d</w:t>
      </w:r>
      <w:r w:rsidR="00293C51">
        <w:t>’</w:t>
      </w:r>
      <w:r>
        <w:t>améliorations de la base de données PLUTO (ci</w:t>
      </w:r>
      <w:r w:rsidR="00FA774F">
        <w:noBreakHyphen/>
      </w:r>
      <w:r>
        <w:t xml:space="preserve">après dénommé </w:t>
      </w:r>
      <w:r w:rsidR="00293C51">
        <w:t>“p</w:t>
      </w:r>
      <w:r>
        <w:t>rogramm</w:t>
      </w:r>
      <w:r w:rsidR="00293C51">
        <w:t>e”</w:t>
      </w:r>
      <w:r>
        <w:t>), qui figurent à l</w:t>
      </w:r>
      <w:r w:rsidR="00293C51">
        <w:t>’</w:t>
      </w:r>
      <w:r>
        <w:t>annexe II du document</w:t>
      </w:r>
      <w:r w:rsidR="00115B25">
        <w:t> </w:t>
      </w:r>
      <w:r>
        <w:t>CAJ/68/6, sous réserve de certaines modifications additionnelles approuvées à cette session</w:t>
      </w:r>
      <w:r>
        <w:rPr>
          <w:rFonts w:eastAsiaTheme="minorEastAsia" w:cs="Arial"/>
          <w:bCs/>
          <w:vertAlign w:val="superscript"/>
        </w:rPr>
        <w:footnoteReference w:id="3"/>
      </w:r>
      <w:r>
        <w:t>.</w:t>
      </w:r>
    </w:p>
    <w:p w:rsidR="00247D47" w:rsidRPr="00FD785B" w:rsidRDefault="00247D47">
      <w:pPr>
        <w:rPr>
          <w:rFonts w:eastAsiaTheme="minorEastAsia" w:cs="Arial"/>
          <w:bCs/>
          <w:sz w:val="18"/>
          <w:szCs w:val="18"/>
        </w:rPr>
      </w:pPr>
    </w:p>
    <w:p w:rsidR="00247D47" w:rsidRDefault="00B643F0">
      <w:pPr>
        <w:rPr>
          <w:rFonts w:eastAsiaTheme="minorEastAsia" w:cs="Arial"/>
          <w:bCs/>
        </w:rPr>
      </w:pPr>
      <w:r>
        <w:rPr>
          <w:rFonts w:eastAsiaTheme="minorEastAsia" w:cs="Arial"/>
          <w:bCs/>
        </w:rPr>
        <w:fldChar w:fldCharType="begin"/>
      </w:r>
      <w:r>
        <w:rPr>
          <w:rFonts w:eastAsiaTheme="minorEastAsia" w:cs="Arial"/>
          <w:bCs/>
        </w:rPr>
        <w:instrText xml:space="preserve"> AUTONUM  </w:instrText>
      </w:r>
      <w:r>
        <w:rPr>
          <w:rFonts w:eastAsiaTheme="minorEastAsia" w:cs="Arial"/>
          <w:bCs/>
        </w:rPr>
        <w:fldChar w:fldCharType="end"/>
      </w:r>
      <w:r>
        <w:tab/>
        <w:t>Le programme contenant les modifications approuvées lors de sessions précédentes est disponible à l</w:t>
      </w:r>
      <w:r w:rsidR="00293C51">
        <w:t>’</w:t>
      </w:r>
      <w:r>
        <w:t>annexe I du document</w:t>
      </w:r>
      <w:r w:rsidR="00115B25">
        <w:t> </w:t>
      </w:r>
      <w:r>
        <w:t>CAJ/69/6 “Bases de données d</w:t>
      </w:r>
      <w:r w:rsidR="00293C51">
        <w:t>’</w:t>
      </w:r>
      <w:r>
        <w:t>information de l</w:t>
      </w:r>
      <w:r w:rsidR="00293C51">
        <w:t>’</w:t>
      </w:r>
      <w:r>
        <w:t>UPOV”.</w:t>
      </w:r>
    </w:p>
    <w:p w:rsidR="00247D47" w:rsidRPr="00FD785B" w:rsidRDefault="00247D47">
      <w:pPr>
        <w:rPr>
          <w:rFonts w:eastAsiaTheme="minorEastAsia" w:cs="Arial"/>
          <w:bCs/>
          <w:sz w:val="18"/>
          <w:szCs w:val="18"/>
        </w:rPr>
      </w:pPr>
    </w:p>
    <w:p w:rsidR="00247D47" w:rsidRDefault="00B643F0">
      <w:pPr>
        <w:rPr>
          <w:rFonts w:eastAsiaTheme="minorEastAsia" w:cs="Arial"/>
          <w:bCs/>
        </w:rPr>
      </w:pPr>
      <w:r>
        <w:rPr>
          <w:rFonts w:eastAsiaTheme="minorEastAsia" w:cs="Arial"/>
          <w:bCs/>
        </w:rPr>
        <w:fldChar w:fldCharType="begin"/>
      </w:r>
      <w:r>
        <w:rPr>
          <w:rFonts w:eastAsiaTheme="minorEastAsia" w:cs="Arial"/>
          <w:bCs/>
        </w:rPr>
        <w:instrText xml:space="preserve"> AUTONUM  </w:instrText>
      </w:r>
      <w:r>
        <w:rPr>
          <w:rFonts w:eastAsiaTheme="minorEastAsia" w:cs="Arial"/>
          <w:bCs/>
        </w:rPr>
        <w:fldChar w:fldCharType="end"/>
      </w:r>
      <w:r>
        <w:tab/>
        <w:t>L</w:t>
      </w:r>
      <w:r w:rsidR="00293C51">
        <w:t>’</w:t>
      </w:r>
      <w:r>
        <w:t>annexe du présent document contient une synthèse des contributions à la base de données PLUTO de 2014 à 2017 et de l</w:t>
      </w:r>
      <w:r w:rsidR="00293C51">
        <w:t>’</w:t>
      </w:r>
      <w:r>
        <w:t>état actuel des apports de données par les membres de l</w:t>
      </w:r>
      <w:r w:rsidR="00293C51">
        <w:t>’</w:t>
      </w:r>
      <w:r>
        <w:t>Union.</w:t>
      </w:r>
    </w:p>
    <w:p w:rsidR="00247D47" w:rsidRPr="00FD785B" w:rsidRDefault="00247D47">
      <w:pPr>
        <w:rPr>
          <w:rFonts w:eastAsiaTheme="minorEastAsia"/>
          <w:sz w:val="18"/>
          <w:szCs w:val="18"/>
        </w:rPr>
      </w:pPr>
    </w:p>
    <w:p w:rsidR="00247D47" w:rsidRDefault="00B643F0">
      <w:pPr>
        <w:pStyle w:val="Heading2"/>
        <w:rPr>
          <w:rFonts w:eastAsiaTheme="minorEastAsia"/>
        </w:rPr>
      </w:pPr>
      <w:bookmarkStart w:id="16" w:name="_Toc522275170"/>
      <w:bookmarkStart w:id="17" w:name="_Toc526786907"/>
      <w:r>
        <w:t>Outils de recherche</w:t>
      </w:r>
      <w:bookmarkEnd w:id="16"/>
      <w:bookmarkEnd w:id="17"/>
    </w:p>
    <w:p w:rsidR="00247D47" w:rsidRPr="00FD785B" w:rsidRDefault="00247D47">
      <w:pPr>
        <w:autoSpaceDE w:val="0"/>
        <w:autoSpaceDN w:val="0"/>
        <w:adjustRightInd w:val="0"/>
        <w:rPr>
          <w:rFonts w:eastAsiaTheme="minorEastAsia" w:cs="Arial"/>
          <w:bCs/>
          <w:color w:val="000000" w:themeColor="text1"/>
          <w:spacing w:val="-2"/>
          <w:sz w:val="18"/>
          <w:szCs w:val="18"/>
        </w:rPr>
      </w:pPr>
    </w:p>
    <w:p w:rsidR="00247D47" w:rsidRDefault="00B643F0">
      <w:pPr>
        <w:autoSpaceDE w:val="0"/>
        <w:autoSpaceDN w:val="0"/>
        <w:adjustRightInd w:val="0"/>
        <w:rPr>
          <w:rFonts w:eastAsiaTheme="minorEastAsia" w:cs="Arial"/>
          <w:bCs/>
          <w:color w:val="000000" w:themeColor="text1"/>
          <w:spacing w:val="-2"/>
        </w:rPr>
      </w:pPr>
      <w:r>
        <w:rPr>
          <w:rFonts w:eastAsiaTheme="minorEastAsia" w:cs="Arial"/>
          <w:bCs/>
          <w:color w:val="000000" w:themeColor="text1"/>
        </w:rPr>
        <w:fldChar w:fldCharType="begin"/>
      </w:r>
      <w:r>
        <w:rPr>
          <w:rFonts w:eastAsiaTheme="minorEastAsia" w:cs="Arial"/>
          <w:bCs/>
          <w:color w:val="000000" w:themeColor="text1"/>
        </w:rPr>
        <w:instrText xml:space="preserve"> AUTONUM  </w:instrText>
      </w:r>
      <w:r>
        <w:rPr>
          <w:rFonts w:eastAsiaTheme="minorEastAsia" w:cs="Arial"/>
          <w:bCs/>
          <w:color w:val="000000" w:themeColor="text1"/>
        </w:rPr>
        <w:fldChar w:fldCharType="end"/>
      </w:r>
      <w:r>
        <w:rPr>
          <w:bCs/>
          <w:color w:val="000000" w:themeColor="text1"/>
        </w:rPr>
        <w:tab/>
        <w:t>Les questions concernant la possibilité d</w:t>
      </w:r>
      <w:r w:rsidR="00293C51">
        <w:rPr>
          <w:bCs/>
          <w:color w:val="000000" w:themeColor="text1"/>
        </w:rPr>
        <w:t>’</w:t>
      </w:r>
      <w:r>
        <w:rPr>
          <w:bCs/>
          <w:color w:val="000000" w:themeColor="text1"/>
        </w:rPr>
        <w:t>élaboration d</w:t>
      </w:r>
      <w:r w:rsidR="00293C51">
        <w:rPr>
          <w:bCs/>
          <w:color w:val="000000" w:themeColor="text1"/>
        </w:rPr>
        <w:t>’</w:t>
      </w:r>
      <w:r>
        <w:rPr>
          <w:bCs/>
          <w:color w:val="000000" w:themeColor="text1"/>
        </w:rPr>
        <w:t>un outil de recherche de similarité aux fins de la dénomination variétale relèvent du document</w:t>
      </w:r>
      <w:r w:rsidR="00115B25">
        <w:rPr>
          <w:bCs/>
          <w:color w:val="000000" w:themeColor="text1"/>
        </w:rPr>
        <w:t> </w:t>
      </w:r>
      <w:r>
        <w:rPr>
          <w:bCs/>
          <w:color w:val="000000" w:themeColor="text1"/>
        </w:rPr>
        <w:t>CAJ/75/7 “Dénominations variétales”.</w:t>
      </w:r>
    </w:p>
    <w:p w:rsidR="00247D47" w:rsidRPr="00FD785B" w:rsidRDefault="00247D47">
      <w:pPr>
        <w:rPr>
          <w:rFonts w:eastAsiaTheme="minorEastAsia" w:cs="Arial"/>
          <w:sz w:val="18"/>
          <w:szCs w:val="18"/>
        </w:rPr>
      </w:pPr>
    </w:p>
    <w:p w:rsidR="00247D47" w:rsidRDefault="00B643F0">
      <w:pPr>
        <w:pStyle w:val="Heading2"/>
        <w:rPr>
          <w:rFonts w:eastAsiaTheme="minorEastAsia"/>
        </w:rPr>
      </w:pPr>
      <w:bookmarkStart w:id="18" w:name="_Toc522275171"/>
      <w:bookmarkStart w:id="19" w:name="_Toc526786908"/>
      <w:r>
        <w:t>Contenu de la base de données PLUTO</w:t>
      </w:r>
      <w:bookmarkEnd w:id="18"/>
      <w:bookmarkEnd w:id="19"/>
    </w:p>
    <w:p w:rsidR="00247D47" w:rsidRPr="00FD785B" w:rsidRDefault="00247D47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  <w:sz w:val="18"/>
          <w:szCs w:val="18"/>
        </w:rPr>
      </w:pPr>
    </w:p>
    <w:p w:rsidR="00247D47" w:rsidRDefault="00B643F0">
      <w:pPr>
        <w:tabs>
          <w:tab w:val="left" w:pos="540"/>
        </w:tabs>
        <w:autoSpaceDE w:val="0"/>
        <w:autoSpaceDN w:val="0"/>
        <w:adjustRightInd w:val="0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AUTONUM  </w:instrText>
      </w:r>
      <w:r>
        <w:rPr>
          <w:rFonts w:eastAsiaTheme="minorEastAsia"/>
        </w:rPr>
        <w:fldChar w:fldCharType="end"/>
      </w:r>
      <w:r>
        <w:tab/>
        <w:t>Les informations générales sur cette question figurent aux paragraphes 18 à 21 du document</w:t>
      </w:r>
      <w:r w:rsidR="00115B25">
        <w:t> </w:t>
      </w:r>
      <w:r>
        <w:t xml:space="preserve">CAJ/74/5 </w:t>
      </w:r>
      <w:r w:rsidR="00293C51">
        <w:t>“B</w:t>
      </w:r>
      <w:r>
        <w:t>ases de données d</w:t>
      </w:r>
      <w:r w:rsidR="00293C51">
        <w:t>’</w:t>
      </w:r>
      <w:r>
        <w:t>information de l</w:t>
      </w:r>
      <w:r w:rsidR="00293C51">
        <w:t>’</w:t>
      </w:r>
      <w:r>
        <w:t>UPO</w:t>
      </w:r>
      <w:r w:rsidR="00293C51">
        <w:t>V”</w:t>
      </w:r>
      <w:r>
        <w:t>.</w:t>
      </w:r>
    </w:p>
    <w:p w:rsidR="00247D47" w:rsidRPr="00FD785B" w:rsidRDefault="00247D47">
      <w:pPr>
        <w:rPr>
          <w:rFonts w:eastAsiaTheme="minorEastAsia" w:cs="Arial"/>
          <w:sz w:val="18"/>
          <w:szCs w:val="18"/>
          <w:highlight w:val="cyan"/>
        </w:rPr>
      </w:pPr>
    </w:p>
    <w:p w:rsidR="00247D47" w:rsidRDefault="00B643F0">
      <w:pPr>
        <w:rPr>
          <w:rFonts w:eastAsiaTheme="minorEastAsia" w:cs="Arial"/>
        </w:rPr>
      </w:pPr>
      <w:r>
        <w:rPr>
          <w:rFonts w:eastAsiaTheme="minorEastAsia" w:cs="Arial"/>
        </w:rPr>
        <w:fldChar w:fldCharType="begin"/>
      </w:r>
      <w:r>
        <w:rPr>
          <w:rFonts w:eastAsiaTheme="minorEastAsia" w:cs="Arial"/>
        </w:rPr>
        <w:instrText xml:space="preserve"> AUTONUM  </w:instrText>
      </w:r>
      <w:r>
        <w:rPr>
          <w:rFonts w:eastAsiaTheme="minorEastAsia" w:cs="Arial"/>
        </w:rPr>
        <w:fldChar w:fldCharType="end"/>
      </w:r>
      <w:r>
        <w:tab/>
        <w:t>À sa quatrième réunion</w:t>
      </w:r>
      <w:r>
        <w:rPr>
          <w:rStyle w:val="FootnoteReference"/>
          <w:rFonts w:cs="Arial"/>
        </w:rPr>
        <w:footnoteReference w:id="4"/>
      </w:r>
      <w:r>
        <w:t>, le WG</w:t>
      </w:r>
      <w:r w:rsidR="00FA774F">
        <w:noBreakHyphen/>
      </w:r>
      <w:r>
        <w:t>DEN est convenu que les questions relatives au point 5 de l</w:t>
      </w:r>
      <w:r w:rsidR="00293C51">
        <w:t>’</w:t>
      </w:r>
      <w:r>
        <w:t>ordre du jour “Élargissement du contenu de la base de données PLUTO” seraient examinées lors d</w:t>
      </w:r>
      <w:r w:rsidR="00293C51">
        <w:t>’</w:t>
      </w:r>
      <w:r>
        <w:t>une réunion ultérieure sur la base du document présenté à la deuxième réuni</w:t>
      </w:r>
      <w:r w:rsidR="00115B25">
        <w:t>on.  Il</w:t>
      </w:r>
      <w:r>
        <w:t xml:space="preserve"> a été convenu que le Bureau de l</w:t>
      </w:r>
      <w:r w:rsidR="00293C51">
        <w:t>’</w:t>
      </w:r>
      <w:r>
        <w:t>Union ferait des propositions quant aux moyens de faire avancer la discussion sur ces questions à la cinquième réunion du WG</w:t>
      </w:r>
      <w:r w:rsidR="00FA774F">
        <w:noBreakHyphen/>
      </w:r>
      <w:r>
        <w:t>DEN.</w:t>
      </w:r>
    </w:p>
    <w:p w:rsidR="00247D47" w:rsidRPr="00FD785B" w:rsidRDefault="00247D47">
      <w:pPr>
        <w:rPr>
          <w:rFonts w:eastAsiaTheme="minorEastAsia"/>
          <w:sz w:val="18"/>
          <w:szCs w:val="18"/>
        </w:rPr>
      </w:pPr>
    </w:p>
    <w:p w:rsidR="00247D47" w:rsidRDefault="00B643F0">
      <w:pPr>
        <w:rPr>
          <w:rFonts w:eastAsiaTheme="minorEastAsia" w:cs="Arial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AUTONUM  </w:instrText>
      </w:r>
      <w:r>
        <w:rPr>
          <w:rFonts w:eastAsiaTheme="minorEastAsia"/>
        </w:rPr>
        <w:fldChar w:fldCharType="end"/>
      </w:r>
      <w:r>
        <w:tab/>
        <w:t>La cinquième réunion du WG</w:t>
      </w:r>
      <w:r w:rsidR="00FA774F">
        <w:noBreakHyphen/>
      </w:r>
      <w:r>
        <w:t>DEN se tiendra à Genève le 30 octobre 2018.</w:t>
      </w:r>
    </w:p>
    <w:p w:rsidR="00293C51" w:rsidRPr="00FD785B" w:rsidRDefault="00293C51">
      <w:pPr>
        <w:autoSpaceDE w:val="0"/>
        <w:autoSpaceDN w:val="0"/>
        <w:adjustRightInd w:val="0"/>
        <w:rPr>
          <w:snapToGrid w:val="0"/>
          <w:sz w:val="18"/>
          <w:szCs w:val="18"/>
        </w:rPr>
      </w:pPr>
    </w:p>
    <w:p w:rsidR="00247D47" w:rsidRDefault="00B643F0">
      <w:pPr>
        <w:tabs>
          <w:tab w:val="left" w:pos="5387"/>
        </w:tabs>
        <w:ind w:left="4820"/>
        <w:rPr>
          <w:rFonts w:eastAsiaTheme="minorEastAsia"/>
          <w:i/>
        </w:rPr>
      </w:pPr>
      <w:r>
        <w:rPr>
          <w:rFonts w:eastAsiaTheme="minorEastAsia"/>
          <w:i/>
        </w:rPr>
        <w:fldChar w:fldCharType="begin"/>
      </w:r>
      <w:r>
        <w:rPr>
          <w:rFonts w:eastAsiaTheme="minorEastAsia"/>
          <w:i/>
        </w:rPr>
        <w:instrText xml:space="preserve"> AUTONUM  </w:instrText>
      </w:r>
      <w:r>
        <w:rPr>
          <w:rFonts w:eastAsiaTheme="minorEastAsia"/>
          <w:i/>
        </w:rPr>
        <w:fldChar w:fldCharType="end"/>
      </w:r>
      <w:r>
        <w:rPr>
          <w:i/>
        </w:rPr>
        <w:tab/>
        <w:t>Le CAJ est invité</w:t>
      </w:r>
    </w:p>
    <w:p w:rsidR="00247D47" w:rsidRPr="00FD785B" w:rsidRDefault="00247D47">
      <w:pPr>
        <w:tabs>
          <w:tab w:val="left" w:pos="5387"/>
        </w:tabs>
        <w:ind w:left="4820"/>
        <w:rPr>
          <w:rFonts w:eastAsiaTheme="minorEastAsia"/>
          <w:i/>
          <w:sz w:val="18"/>
          <w:szCs w:val="18"/>
        </w:rPr>
      </w:pPr>
    </w:p>
    <w:p w:rsidR="00247D47" w:rsidRDefault="00B643F0">
      <w:pPr>
        <w:tabs>
          <w:tab w:val="left" w:pos="5954"/>
        </w:tabs>
        <w:ind w:left="4820" w:firstLine="567"/>
        <w:rPr>
          <w:rFonts w:eastAsiaTheme="minorEastAsia"/>
          <w:i/>
        </w:rPr>
      </w:pPr>
      <w:r>
        <w:rPr>
          <w:i/>
        </w:rPr>
        <w:t>a)</w:t>
      </w:r>
      <w:r>
        <w:rPr>
          <w:i/>
        </w:rPr>
        <w:tab/>
        <w:t>à prendre note de la synthèse des contributions à la base de données PLUTO de 2014 à 2017 et de l</w:t>
      </w:r>
      <w:r w:rsidR="00293C51">
        <w:rPr>
          <w:i/>
        </w:rPr>
        <w:t>’</w:t>
      </w:r>
      <w:r>
        <w:rPr>
          <w:i/>
        </w:rPr>
        <w:t>état actuel des apports de données par les membres de l</w:t>
      </w:r>
      <w:r w:rsidR="00293C51">
        <w:rPr>
          <w:i/>
        </w:rPr>
        <w:t>’</w:t>
      </w:r>
      <w:r>
        <w:rPr>
          <w:i/>
        </w:rPr>
        <w:t>Union, qui figure à l</w:t>
      </w:r>
      <w:r w:rsidR="00293C51">
        <w:rPr>
          <w:i/>
        </w:rPr>
        <w:t>’</w:t>
      </w:r>
      <w:r>
        <w:rPr>
          <w:i/>
        </w:rPr>
        <w:t xml:space="preserve">annexe du présent </w:t>
      </w:r>
      <w:proofErr w:type="gramStart"/>
      <w:r>
        <w:rPr>
          <w:i/>
        </w:rPr>
        <w:t xml:space="preserve">document, </w:t>
      </w:r>
      <w:r w:rsidR="00DF7076">
        <w:rPr>
          <w:i/>
        </w:rPr>
        <w:t xml:space="preserve"> </w:t>
      </w:r>
      <w:r>
        <w:rPr>
          <w:i/>
        </w:rPr>
        <w:t>et</w:t>
      </w:r>
      <w:proofErr w:type="gramEnd"/>
    </w:p>
    <w:p w:rsidR="00247D47" w:rsidRPr="00FD785B" w:rsidRDefault="00247D47">
      <w:pPr>
        <w:tabs>
          <w:tab w:val="left" w:pos="5387"/>
        </w:tabs>
        <w:ind w:left="4820"/>
        <w:rPr>
          <w:rFonts w:eastAsiaTheme="minorEastAsia"/>
          <w:i/>
          <w:sz w:val="18"/>
          <w:szCs w:val="18"/>
        </w:rPr>
      </w:pPr>
    </w:p>
    <w:p w:rsidR="00247D47" w:rsidRDefault="00B643F0">
      <w:pPr>
        <w:tabs>
          <w:tab w:val="left" w:pos="5954"/>
        </w:tabs>
        <w:ind w:left="4820" w:firstLine="567"/>
        <w:rPr>
          <w:rFonts w:eastAsiaTheme="minorEastAsia"/>
          <w:i/>
        </w:rPr>
      </w:pPr>
      <w:r>
        <w:rPr>
          <w:i/>
        </w:rPr>
        <w:t>b)</w:t>
      </w:r>
      <w:r>
        <w:rPr>
          <w:i/>
        </w:rPr>
        <w:tab/>
        <w:t>à noter que, à sa quatrième réunion, le WG</w:t>
      </w:r>
      <w:r w:rsidR="00FA774F">
        <w:rPr>
          <w:i/>
        </w:rPr>
        <w:noBreakHyphen/>
      </w:r>
      <w:r>
        <w:rPr>
          <w:i/>
        </w:rPr>
        <w:t>DEN est convenu que les questions relatives au point 5 de l</w:t>
      </w:r>
      <w:r w:rsidR="00293C51">
        <w:rPr>
          <w:i/>
        </w:rPr>
        <w:t>’</w:t>
      </w:r>
      <w:r>
        <w:rPr>
          <w:i/>
        </w:rPr>
        <w:t>ordre du jour “Élargissement du contenu de la base de données PLUTO” seraient examinées lors de sa cinquième réunion, comme indiqué au paragraphe 15 du présent document.</w:t>
      </w:r>
    </w:p>
    <w:p w:rsidR="00247D47" w:rsidRPr="00FD785B" w:rsidRDefault="00247D47">
      <w:pPr>
        <w:jc w:val="right"/>
        <w:rPr>
          <w:rFonts w:cs="Arial"/>
          <w:sz w:val="18"/>
          <w:szCs w:val="18"/>
        </w:rPr>
      </w:pPr>
    </w:p>
    <w:p w:rsidR="00247D47" w:rsidRPr="00FD785B" w:rsidRDefault="00247D47">
      <w:pPr>
        <w:keepNext/>
        <w:keepLines/>
        <w:jc w:val="right"/>
        <w:rPr>
          <w:rFonts w:eastAsia="MS Mincho"/>
          <w:snapToGrid w:val="0"/>
          <w:sz w:val="18"/>
          <w:szCs w:val="18"/>
        </w:rPr>
      </w:pPr>
    </w:p>
    <w:p w:rsidR="00247D47" w:rsidRDefault="00FD785B" w:rsidP="00FD785B">
      <w:pPr>
        <w:jc w:val="center"/>
        <w:rPr>
          <w:rFonts w:eastAsiaTheme="minorEastAsia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20320</wp:posOffset>
                </wp:positionV>
                <wp:extent cx="1724025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785B" w:rsidRDefault="00FD785B" w:rsidP="00FD785B">
                            <w:pPr>
                              <w:jc w:val="right"/>
                            </w:pPr>
                            <w:r>
                              <w:t>[L’annexe suit]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3.55pt;margin-top:1.6pt;width:13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" filled="f" stroked="f" strokeweight=".5pt">
                <v:textbox>
                  <w:txbxContent>
                    <w:p w:rsidR="00FD785B" w:rsidRDefault="00FD785B" w:rsidP="00FD785B">
                      <w:pPr>
                        <w:jc w:val="right"/>
                      </w:pPr>
                      <w:r>
                        <w:t>[L’annexe suit]</w:t>
                      </w:r>
                    </w:p>
                  </w:txbxContent>
                </v:textbox>
              </v:shape>
            </w:pict>
          </mc:Fallback>
        </mc:AlternateContent>
      </w:r>
    </w:p>
    <w:p w:rsidR="00247D47" w:rsidRDefault="00247D47">
      <w:pPr>
        <w:jc w:val="center"/>
        <w:rPr>
          <w:rFonts w:eastAsiaTheme="minorEastAsia" w:cs="Arial"/>
        </w:rPr>
        <w:sectPr w:rsidR="00247D47" w:rsidSect="00FD785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247D47" w:rsidRDefault="00247D47">
      <w:pPr>
        <w:jc w:val="center"/>
        <w:rPr>
          <w:rFonts w:eastAsiaTheme="minorEastAsia" w:cs="Arial"/>
        </w:rPr>
      </w:pPr>
    </w:p>
    <w:p w:rsidR="00247D47" w:rsidRDefault="00247D47">
      <w:pPr>
        <w:jc w:val="center"/>
        <w:rPr>
          <w:rFonts w:eastAsiaTheme="minorEastAsia" w:cs="Arial"/>
        </w:rPr>
      </w:pPr>
    </w:p>
    <w:p w:rsidR="00247D47" w:rsidRDefault="00B643F0">
      <w:pPr>
        <w:jc w:val="center"/>
        <w:rPr>
          <w:rFonts w:eastAsiaTheme="minorEastAsia" w:cs="Arial"/>
        </w:rPr>
      </w:pPr>
      <w:r>
        <w:t>RAPPORT SUR LES DONNÉES FOURNIES À LA BASE DE DONNÉES SUR LES VARIÉTÉS VÉGÉTALES PAR LES MEMBRES DE L</w:t>
      </w:r>
      <w:r w:rsidR="00293C51">
        <w:t>’</w:t>
      </w:r>
      <w:r>
        <w:t>UNION ET D</w:t>
      </w:r>
      <w:r w:rsidR="00293C51">
        <w:t>’</w:t>
      </w:r>
      <w:r>
        <w:t>AUTRES FOURNISSEURS DE DONNÉES ET</w:t>
      </w:r>
      <w:r w:rsidR="00FA774F">
        <w:t> </w:t>
      </w:r>
      <w:r>
        <w:t>L</w:t>
      </w:r>
      <w:r w:rsidR="00293C51">
        <w:t>’</w:t>
      </w:r>
      <w:r>
        <w:t>ASSISTANCE À LA FOURNITURE DE DONNÉES</w:t>
      </w:r>
    </w:p>
    <w:p w:rsidR="00247D47" w:rsidRDefault="00247D47">
      <w:pPr>
        <w:jc w:val="center"/>
        <w:rPr>
          <w:rFonts w:eastAsiaTheme="minorEastAsia" w:cs="Arial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08"/>
        <w:gridCol w:w="1156"/>
        <w:gridCol w:w="1156"/>
        <w:gridCol w:w="1156"/>
        <w:gridCol w:w="1156"/>
        <w:gridCol w:w="1109"/>
        <w:gridCol w:w="3969"/>
      </w:tblGrid>
      <w:tr w:rsidR="00247D47">
        <w:trPr>
          <w:cantSplit/>
          <w:tblHeader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D47" w:rsidRDefault="00B643F0">
            <w:pPr>
              <w:jc w:val="center"/>
              <w:rPr>
                <w:rFonts w:eastAsiaTheme="minorEastAsia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Fournisseur de données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D47" w:rsidRDefault="00B643F0">
            <w:pPr>
              <w:jc w:val="center"/>
              <w:rPr>
                <w:rFonts w:eastAsiaTheme="minorEastAsia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Nombre de demandes de droits d</w:t>
            </w:r>
            <w:r w:rsidR="00293C51">
              <w:rPr>
                <w:color w:val="000000"/>
                <w:sz w:val="18"/>
                <w:szCs w:val="18"/>
              </w:rPr>
              <w:t>’</w:t>
            </w:r>
            <w:r>
              <w:rPr>
                <w:color w:val="000000"/>
                <w:sz w:val="18"/>
                <w:szCs w:val="18"/>
              </w:rPr>
              <w:t>obtenteur en 2016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D47" w:rsidRDefault="00B643F0">
            <w:pPr>
              <w:jc w:val="center"/>
              <w:rPr>
                <w:rFonts w:eastAsiaTheme="minorEastAsia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Nouveaux apports de données à la base de données sur les variétés végétales en 2014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D47" w:rsidRDefault="00B643F0">
            <w:pPr>
              <w:jc w:val="center"/>
              <w:rPr>
                <w:rFonts w:eastAsiaTheme="minorEastAsia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Nouveaux apports de données à la base de données sur les variétés végétales en 2015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D47" w:rsidRDefault="00B643F0">
            <w:pPr>
              <w:jc w:val="center"/>
              <w:rPr>
                <w:rFonts w:eastAsiaTheme="minorEastAsia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Nouveaux apports de données à la</w:t>
            </w:r>
            <w:r>
              <w:rPr>
                <w:color w:val="000000"/>
                <w:sz w:val="18"/>
                <w:szCs w:val="18"/>
              </w:rPr>
              <w:br/>
              <w:t>base de données sur les variétés végétales en 2016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D47" w:rsidRDefault="00B643F0">
            <w:pPr>
              <w:jc w:val="center"/>
              <w:rPr>
                <w:rFonts w:eastAsiaTheme="minorEastAsia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Nouveaux apports de données à la base de données sur les variétés végétales en 2017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47D47" w:rsidRDefault="00B643F0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À la date du 31 août 2018</w:t>
            </w:r>
          </w:p>
          <w:p w:rsidR="00247D47" w:rsidRDefault="00247D4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Afrique du Sud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Albanie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Dernières données en cours de préparation.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rFonts w:eastAsiaTheme="minorEastAsia" w:cs="Arial"/>
                <w:sz w:val="18"/>
                <w:szCs w:val="18"/>
                <w:vertAlign w:val="superscript"/>
              </w:rPr>
              <w:footnoteReference w:customMarkFollows="1" w:id="5"/>
              <w:sym w:font="Symbol" w:char="F02A"/>
            </w:r>
            <w:r>
              <w:rPr>
                <w:sz w:val="18"/>
                <w:szCs w:val="18"/>
              </w:rPr>
              <w:t>Allemagne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Argentine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Rappel demandant les dernières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*Autriche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Azerbaïdjan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19 (2014)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Bélarus</w:t>
            </w:r>
            <w:proofErr w:type="spellEnd"/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janvier 2018.</w:t>
            </w:r>
          </w:p>
        </w:tc>
      </w:tr>
      <w:tr w:rsidR="00247D47">
        <w:trPr>
          <w:cantSplit/>
          <w:trHeight w:val="392"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*Belgique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Bolivie (État plurinational de)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Bosnie</w:t>
            </w:r>
            <w:r w:rsidR="00293C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Herzégovine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Données en cours de préparation.  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Brésil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326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*Bulgarie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Canada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282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Chili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Chine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2 923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 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Colombie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Costa Rica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*Croatie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*Danemark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Équateur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*Espagne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*Estonie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États</w:t>
            </w:r>
            <w:r w:rsidR="00FA774F">
              <w:rPr>
                <w:sz w:val="18"/>
                <w:szCs w:val="18"/>
              </w:rPr>
              <w:noBreakHyphen/>
            </w:r>
            <w:r>
              <w:rPr>
                <w:sz w:val="18"/>
                <w:szCs w:val="18"/>
              </w:rPr>
              <w:t>Unis d</w:t>
            </w:r>
            <w:r w:rsidR="00293C51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Amérique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1 604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69" w:type="dxa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Ex</w:t>
            </w:r>
            <w:r w:rsidR="00293C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République yougoslave de Macédoine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 participé au cours de formation en 2014 et prévoyait de soumettre des données à la réception des demand</w:t>
            </w:r>
            <w:r w:rsidR="00115B25">
              <w:rPr>
                <w:sz w:val="18"/>
                <w:szCs w:val="18"/>
              </w:rPr>
              <w:t>es.  En</w:t>
            </w:r>
            <w:r>
              <w:rPr>
                <w:sz w:val="18"/>
                <w:szCs w:val="18"/>
              </w:rPr>
              <w:t xml:space="preserve"> attente de réponse au courrier électronique demandant des données envoyé en mars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Fédération de Russie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772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*Finlande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*France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i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Géorgie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*Hongrie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*Irlande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 (2014)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*Islande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 (2012)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Israël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*Italie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Japon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Jordanie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mai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Kenya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août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Kirghizistan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Dernières données en cours de préparati</w:t>
            </w:r>
            <w:r w:rsidR="00115B25">
              <w:rPr>
                <w:sz w:val="18"/>
                <w:szCs w:val="18"/>
              </w:rPr>
              <w:t>on.  En</w:t>
            </w:r>
            <w:r>
              <w:rPr>
                <w:sz w:val="18"/>
                <w:szCs w:val="18"/>
              </w:rPr>
              <w:t xml:space="preserve"> attente de réponse au courrier électronique envoyé en août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*Lettonie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*Lituanie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Maroc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janvier 2017.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Mexique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Monténégro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  <w:szCs w:val="18"/>
              </w:rPr>
              <w:t>s.o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293C51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avril 2017.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Nicaragua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12 (2015)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pacing w:val="-2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 participé au cours de formation en 2015 et prévoyait de soumettre des données d</w:t>
            </w:r>
            <w:r w:rsidR="00293C51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ici fin novembre 2015.  En attente de réponse au courrier électronique demandant des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*Norvège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Nouvelle</w:t>
            </w:r>
            <w:r w:rsidR="00293C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Zélande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OCDE</w:t>
            </w:r>
          </w:p>
        </w:tc>
        <w:tc>
          <w:tcPr>
            <w:tcW w:w="1156" w:type="dxa"/>
          </w:tcPr>
          <w:p w:rsidR="00247D47" w:rsidRDefault="00293C51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247D47" w:rsidRDefault="00247D47">
            <w:pPr>
              <w:rPr>
                <w:rFonts w:eastAsiaTheme="minorEastAsia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247D47" w:rsidRDefault="00247D47">
            <w:pPr>
              <w:jc w:val="left"/>
              <w:rPr>
                <w:rFonts w:eastAsiaTheme="minorEastAsia"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Oman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africaine de la propriété intellectuelle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Courrier électronique contenant des instructions pour la fourniture de données envoyé en janvier 2018 suite à la réception de données incomplètes.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Ouzbékistan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 participé au cours de formation en 2014 et prévoyait de soumettre des données en 2015.  En attente de réponse au courrier électronique demandant des données envoyé en mai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Panama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Paraguay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*Pays</w:t>
            </w:r>
            <w:r w:rsidR="00FA774F">
              <w:rPr>
                <w:sz w:val="18"/>
                <w:szCs w:val="18"/>
              </w:rPr>
              <w:noBreakHyphen/>
            </w:r>
            <w:r>
              <w:rPr>
                <w:sz w:val="18"/>
                <w:szCs w:val="18"/>
              </w:rPr>
              <w:t>Bas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804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Pérou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*Pologne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*Portugal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 de Corée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966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Clarifications nécessaires s</w:t>
            </w:r>
            <w:r w:rsidR="00293C51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agissant du téléchargement des dernières données dans PLUTO.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 de Moldova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 dominicaine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 (2011)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*République tchèque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République</w:t>
            </w:r>
            <w:r w:rsidR="00293C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Unie de Tanzanie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293C51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mai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*Roumanie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tabs>
                <w:tab w:val="center" w:pos="663"/>
              </w:tabs>
              <w:jc w:val="center"/>
              <w:rPr>
                <w:rFonts w:eastAsiaTheme="minorEastAsia" w:cs="Arial"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iCs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*Royaume</w:t>
            </w:r>
            <w:r w:rsidR="00293C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Uni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Serbie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Singapour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Aucune donnée fourn</w:t>
            </w:r>
            <w:r w:rsidR="00115B25">
              <w:rPr>
                <w:sz w:val="18"/>
                <w:szCs w:val="18"/>
              </w:rPr>
              <w:t>ie.  En</w:t>
            </w:r>
            <w:r>
              <w:rPr>
                <w:sz w:val="18"/>
                <w:szCs w:val="18"/>
              </w:rPr>
              <w:t xml:space="preserve"> attente de réponse au courrier électronique demandant des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*Slovaquie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*Slovénie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 (2015)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*Suède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*Suisse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Trinité</w:t>
            </w:r>
            <w:r w:rsidR="00293C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et</w:t>
            </w:r>
            <w:r w:rsidR="00293C51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Tobago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115B25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B643F0">
              <w:rPr>
                <w:sz w:val="18"/>
                <w:szCs w:val="18"/>
              </w:rPr>
              <w:t xml:space="preserve"> participé au cours de formation en 2014.  En attente de réponse au courrier électronique demandant des données envoyé en mars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Tunisie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mars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*Turquie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09" w:type="dxa"/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Ukraine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1 274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En attente de réponse au courrier électronique demandant des données envoyé en mai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*Union européenne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3 299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CCC"/>
          </w:tcPr>
          <w:p w:rsidR="00247D47" w:rsidRDefault="00247D47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247D47">
        <w:trPr>
          <w:cantSplit/>
          <w:jc w:val="center"/>
        </w:trPr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Uruguay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47D47" w:rsidRDefault="00B643F0">
            <w:pPr>
              <w:jc w:val="lef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Clarifications nécessaires s</w:t>
            </w:r>
            <w:r w:rsidR="00293C51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agissant du téléchargement des dernières données dans PL</w:t>
            </w:r>
            <w:r w:rsidR="00115B25">
              <w:rPr>
                <w:sz w:val="18"/>
                <w:szCs w:val="18"/>
              </w:rPr>
              <w:t>UTO.  En</w:t>
            </w:r>
            <w:r>
              <w:rPr>
                <w:sz w:val="18"/>
                <w:szCs w:val="18"/>
              </w:rPr>
              <w:t xml:space="preserve"> attente de réponse au courrier électronique demandant des données envoyé en janvier 2018.</w:t>
            </w:r>
          </w:p>
        </w:tc>
      </w:tr>
      <w:tr w:rsidR="00247D47">
        <w:trPr>
          <w:cantSplit/>
          <w:jc w:val="center"/>
        </w:trPr>
        <w:tc>
          <w:tcPr>
            <w:tcW w:w="1208" w:type="dxa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Viet Nam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cyan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6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09" w:type="dxa"/>
          </w:tcPr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:rsidR="00247D47" w:rsidRDefault="00B643F0">
            <w:pPr>
              <w:jc w:val="left"/>
              <w:rPr>
                <w:rFonts w:cs="Arial"/>
                <w:spacing w:val="-2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Données en cours de préparati</w:t>
            </w:r>
            <w:r w:rsidR="00115B25">
              <w:rPr>
                <w:sz w:val="18"/>
                <w:szCs w:val="18"/>
              </w:rPr>
              <w:t>on.  En</w:t>
            </w:r>
            <w:r>
              <w:rPr>
                <w:sz w:val="18"/>
                <w:szCs w:val="18"/>
              </w:rPr>
              <w:t xml:space="preserve"> attente de réponse au courrier électronique demandant des données envoyé en mai 2018.</w:t>
            </w:r>
          </w:p>
        </w:tc>
      </w:tr>
      <w:tr w:rsidR="00247D47">
        <w:trPr>
          <w:cantSplit/>
          <w:jc w:val="center"/>
        </w:trPr>
        <w:tc>
          <w:tcPr>
            <w:tcW w:w="2364" w:type="dxa"/>
            <w:gridSpan w:val="2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Nombre de membres de l</w:t>
            </w:r>
            <w:r w:rsidR="00293C51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UPOV ayant contribué à la base de données PLUTO</w:t>
            </w:r>
          </w:p>
        </w:tc>
        <w:tc>
          <w:tcPr>
            <w:tcW w:w="1156" w:type="dxa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6" w:type="dxa"/>
            <w:shd w:val="clear" w:color="auto" w:fill="auto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6" w:type="dxa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09" w:type="dxa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969" w:type="dxa"/>
          </w:tcPr>
          <w:p w:rsidR="00247D47" w:rsidRDefault="00247D47">
            <w:pPr>
              <w:jc w:val="left"/>
              <w:rPr>
                <w:rFonts w:eastAsiaTheme="minorEastAsia" w:cs="Arial"/>
                <w:sz w:val="18"/>
                <w:szCs w:val="18"/>
              </w:rPr>
            </w:pPr>
          </w:p>
        </w:tc>
      </w:tr>
      <w:tr w:rsidR="00247D47">
        <w:trPr>
          <w:cantSplit/>
          <w:jc w:val="center"/>
        </w:trPr>
        <w:tc>
          <w:tcPr>
            <w:tcW w:w="2364" w:type="dxa"/>
            <w:gridSpan w:val="2"/>
            <w:shd w:val="clear" w:color="auto" w:fill="auto"/>
          </w:tcPr>
          <w:p w:rsidR="00247D47" w:rsidRDefault="00B643F0">
            <w:pPr>
              <w:jc w:val="left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Pourcentage de membres de l</w:t>
            </w:r>
            <w:r w:rsidR="00293C51">
              <w:rPr>
                <w:sz w:val="18"/>
                <w:szCs w:val="18"/>
              </w:rPr>
              <w:t>’</w:t>
            </w:r>
            <w:r>
              <w:rPr>
                <w:sz w:val="18"/>
                <w:szCs w:val="18"/>
              </w:rPr>
              <w:t>UPOV ayant contribué à la base de données PLUTO</w:t>
            </w:r>
          </w:p>
        </w:tc>
        <w:tc>
          <w:tcPr>
            <w:tcW w:w="1156" w:type="dxa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62%</w:t>
            </w:r>
          </w:p>
        </w:tc>
        <w:tc>
          <w:tcPr>
            <w:tcW w:w="1156" w:type="dxa"/>
            <w:shd w:val="clear" w:color="auto" w:fill="auto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67%</w:t>
            </w:r>
          </w:p>
        </w:tc>
        <w:tc>
          <w:tcPr>
            <w:tcW w:w="1156" w:type="dxa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61%</w:t>
            </w:r>
          </w:p>
        </w:tc>
        <w:tc>
          <w:tcPr>
            <w:tcW w:w="1109" w:type="dxa"/>
          </w:tcPr>
          <w:p w:rsidR="00247D47" w:rsidRDefault="00247D47">
            <w:pPr>
              <w:jc w:val="center"/>
              <w:rPr>
                <w:rFonts w:eastAsiaTheme="minorEastAsia" w:cs="Arial"/>
                <w:sz w:val="18"/>
                <w:szCs w:val="18"/>
                <w:highlight w:val="yellow"/>
              </w:rPr>
            </w:pPr>
          </w:p>
          <w:p w:rsidR="00247D47" w:rsidRDefault="00B643F0">
            <w:pPr>
              <w:jc w:val="center"/>
              <w:rPr>
                <w:rFonts w:eastAsiaTheme="minorEastAsia" w:cs="Arial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64%</w:t>
            </w:r>
          </w:p>
        </w:tc>
        <w:tc>
          <w:tcPr>
            <w:tcW w:w="3969" w:type="dxa"/>
          </w:tcPr>
          <w:p w:rsidR="00247D47" w:rsidRDefault="00247D47">
            <w:pPr>
              <w:jc w:val="left"/>
              <w:rPr>
                <w:rFonts w:eastAsiaTheme="minorEastAsia" w:cs="Arial"/>
                <w:sz w:val="18"/>
                <w:szCs w:val="18"/>
                <w:highlight w:val="yellow"/>
              </w:rPr>
            </w:pPr>
          </w:p>
        </w:tc>
      </w:tr>
    </w:tbl>
    <w:p w:rsidR="00247D47" w:rsidRDefault="00247D47">
      <w:pPr>
        <w:jc w:val="left"/>
        <w:rPr>
          <w:rFonts w:eastAsiaTheme="minorEastAsia"/>
        </w:rPr>
      </w:pPr>
    </w:p>
    <w:p w:rsidR="00247D47" w:rsidRDefault="00247D47">
      <w:pPr>
        <w:jc w:val="left"/>
        <w:rPr>
          <w:rFonts w:eastAsiaTheme="minorEastAsia"/>
        </w:rPr>
      </w:pPr>
    </w:p>
    <w:p w:rsidR="00247D47" w:rsidRDefault="00247D47">
      <w:pPr>
        <w:jc w:val="left"/>
        <w:rPr>
          <w:rFonts w:eastAsiaTheme="minorEastAsia"/>
        </w:rPr>
      </w:pPr>
    </w:p>
    <w:p w:rsidR="00247D47" w:rsidRDefault="00B643F0">
      <w:pPr>
        <w:jc w:val="right"/>
        <w:rPr>
          <w:rFonts w:eastAsiaTheme="minorEastAsia"/>
          <w:snapToGrid w:val="0"/>
        </w:rPr>
      </w:pPr>
      <w:r>
        <w:rPr>
          <w:snapToGrid w:val="0"/>
        </w:rPr>
        <w:t>[Fin de l</w:t>
      </w:r>
      <w:r w:rsidR="00293C51">
        <w:rPr>
          <w:snapToGrid w:val="0"/>
        </w:rPr>
        <w:t>’</w:t>
      </w:r>
      <w:r>
        <w:rPr>
          <w:snapToGrid w:val="0"/>
        </w:rPr>
        <w:t>annexe et du document]</w:t>
      </w:r>
    </w:p>
    <w:sectPr w:rsidR="00247D47">
      <w:headerReference w:type="default" r:id="rId15"/>
      <w:head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FB" w:rsidRDefault="001911FB">
      <w:r>
        <w:separator/>
      </w:r>
    </w:p>
    <w:p w:rsidR="001911FB" w:rsidRDefault="001911FB"/>
    <w:p w:rsidR="001911FB" w:rsidRDefault="001911FB"/>
  </w:endnote>
  <w:endnote w:type="continuationSeparator" w:id="0">
    <w:p w:rsidR="001911FB" w:rsidRDefault="001911FB">
      <w:r>
        <w:separator/>
      </w:r>
    </w:p>
    <w:p w:rsidR="001911FB" w:rsidRDefault="001911FB">
      <w:pPr>
        <w:pStyle w:val="Footer"/>
        <w:spacing w:after="60"/>
        <w:rPr>
          <w:sz w:val="18"/>
        </w:rPr>
      </w:pPr>
      <w:r>
        <w:rPr>
          <w:sz w:val="18"/>
        </w:rPr>
        <w:t>[Suite de la note de la page précédente]</w:t>
      </w:r>
    </w:p>
    <w:p w:rsidR="001911FB" w:rsidRDefault="001911FB"/>
    <w:p w:rsidR="001911FB" w:rsidRDefault="001911FB"/>
  </w:endnote>
  <w:endnote w:type="continuationNotice" w:id="1">
    <w:p w:rsidR="001911FB" w:rsidRDefault="001911FB">
      <w:r>
        <w:t>[Suite de la note page suivante]</w:t>
      </w:r>
    </w:p>
    <w:p w:rsidR="001911FB" w:rsidRDefault="001911FB"/>
    <w:p w:rsidR="001911FB" w:rsidRDefault="001911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FB" w:rsidRDefault="001911FB">
      <w:r>
        <w:separator/>
      </w:r>
    </w:p>
  </w:footnote>
  <w:footnote w:type="continuationSeparator" w:id="0">
    <w:p w:rsidR="001911FB" w:rsidRDefault="001911FB">
      <w:r>
        <w:separator/>
      </w:r>
    </w:p>
  </w:footnote>
  <w:footnote w:type="continuationNotice" w:id="1">
    <w:p w:rsidR="001911FB" w:rsidRDefault="001911FB">
      <w:pPr>
        <w:pStyle w:val="Footer"/>
      </w:pPr>
    </w:p>
  </w:footnote>
  <w:footnote w:id="2">
    <w:p w:rsidR="001911FB" w:rsidRDefault="001911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à Genève le 21 octobre 2013.</w:t>
      </w:r>
    </w:p>
  </w:footnote>
  <w:footnote w:id="3">
    <w:p w:rsidR="001911FB" w:rsidRDefault="001911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Voir les paragraphes 23 à 26 du document </w:t>
      </w:r>
      <w:hyperlink r:id="rId1" w:history="1">
        <w:r>
          <w:rPr>
            <w:rStyle w:val="Hyperlink"/>
          </w:rPr>
          <w:t>CAJ/68/10</w:t>
        </w:r>
      </w:hyperlink>
      <w:r>
        <w:t xml:space="preserve"> “Compte rendu des conclusions”.</w:t>
      </w:r>
    </w:p>
  </w:footnote>
  <w:footnote w:id="4">
    <w:p w:rsidR="001911FB" w:rsidRDefault="001911F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à Genève le 27 octobre 2017.</w:t>
      </w:r>
    </w:p>
  </w:footnote>
  <w:footnote w:id="5">
    <w:p w:rsidR="001911FB" w:rsidRDefault="001911FB">
      <w:pPr>
        <w:pStyle w:val="FootnoteText"/>
        <w:rPr>
          <w:highlight w:val="lightGray"/>
        </w:rPr>
      </w:pPr>
      <w:proofErr w:type="gramStart"/>
      <w:r>
        <w:t>( )</w:t>
      </w:r>
      <w:proofErr w:type="gramEnd"/>
      <w:r>
        <w:tab/>
        <w:t>Les parenthèses indiquent que les données sont en cours de traitement.</w:t>
      </w:r>
    </w:p>
    <w:p w:rsidR="001911FB" w:rsidRDefault="001911FB">
      <w:pPr>
        <w:pStyle w:val="FootnoteText"/>
      </w:pPr>
      <w:r>
        <w:rPr>
          <w:rStyle w:val="FootnoteReference"/>
          <w:highlight w:val="lightGray"/>
        </w:rPr>
        <w:sym w:font="Symbol" w:char="F02A"/>
      </w:r>
      <w:r>
        <w:rPr>
          <w:highlight w:val="lightGray"/>
        </w:rPr>
        <w:tab/>
        <w:t>Données fournies par l’intermédiaire de l’OCVV.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Header"/>
      <w:rPr>
        <w:rStyle w:val="PageNumber"/>
      </w:rPr>
    </w:pPr>
    <w:r>
      <w:rPr>
        <w:rStyle w:val="PageNumber"/>
      </w:rPr>
      <w:t>CAJ/75/9</w:t>
    </w:r>
  </w:p>
  <w:p w:rsidR="001911FB" w:rsidRDefault="001911FB">
    <w:pPr>
      <w:pStyle w:val="Header"/>
    </w:pPr>
    <w:r>
      <w:t>page 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1BFF">
      <w:rPr>
        <w:rStyle w:val="PageNumber"/>
        <w:noProof/>
      </w:rPr>
      <w:t>3</w:t>
    </w:r>
    <w:r>
      <w:rPr>
        <w:rStyle w:val="PageNumber"/>
      </w:rPr>
      <w:fldChar w:fldCharType="end"/>
    </w:r>
  </w:p>
  <w:p w:rsidR="001911FB" w:rsidRDefault="001911F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Header"/>
      <w:rPr>
        <w:rStyle w:val="PageNumber"/>
      </w:rPr>
    </w:pPr>
    <w:r>
      <w:rPr>
        <w:rStyle w:val="PageNumber"/>
      </w:rPr>
      <w:t>CAJ/75/9</w:t>
    </w:r>
  </w:p>
  <w:p w:rsidR="001911FB" w:rsidRDefault="001911FB">
    <w:pPr>
      <w:pStyle w:val="Header"/>
    </w:pPr>
    <w:r>
      <w:t xml:space="preserve">Annexe,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81BFF">
      <w:rPr>
        <w:rStyle w:val="PageNumber"/>
        <w:noProof/>
      </w:rPr>
      <w:t>4</w:t>
    </w:r>
    <w:r>
      <w:rPr>
        <w:rStyle w:val="PageNumber"/>
      </w:rPr>
      <w:fldChar w:fldCharType="end"/>
    </w:r>
  </w:p>
  <w:p w:rsidR="001911FB" w:rsidRDefault="001911F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1FB" w:rsidRDefault="001911FB">
    <w:pPr>
      <w:pStyle w:val="Header"/>
    </w:pPr>
    <w:r>
      <w:t>CAJ/75/9</w:t>
    </w:r>
  </w:p>
  <w:p w:rsidR="001911FB" w:rsidRDefault="001911FB">
    <w:pPr>
      <w:pStyle w:val="Header"/>
      <w:rPr>
        <w:lang w:val="en-US"/>
      </w:rPr>
    </w:pPr>
  </w:p>
  <w:p w:rsidR="001911FB" w:rsidRDefault="001911FB">
    <w:pPr>
      <w:pStyle w:val="Header"/>
    </w:pPr>
    <w:r>
      <w:t>ANNEXE</w:t>
    </w:r>
  </w:p>
  <w:p w:rsidR="001911FB" w:rsidRDefault="001911FB">
    <w:pPr>
      <w:pStyle w:val="Header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47"/>
    <w:rsid w:val="0002315B"/>
    <w:rsid w:val="00093FC9"/>
    <w:rsid w:val="00115B25"/>
    <w:rsid w:val="001911FB"/>
    <w:rsid w:val="00203C80"/>
    <w:rsid w:val="00247D47"/>
    <w:rsid w:val="00293C51"/>
    <w:rsid w:val="00781BFF"/>
    <w:rsid w:val="009171D3"/>
    <w:rsid w:val="009B40C6"/>
    <w:rsid w:val="00A12D0E"/>
    <w:rsid w:val="00AB72E0"/>
    <w:rsid w:val="00B643F0"/>
    <w:rsid w:val="00DF7076"/>
    <w:rsid w:val="00FA774F"/>
    <w:rsid w:val="00FD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082FD47"/>
  <w15:docId w15:val="{D68003F5-187E-4F63-92A9-BCE52DD0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02315B"/>
    <w:pPr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Disclaimer">
    <w:name w:val="Disclaimer"/>
    <w:next w:val="Normal"/>
    <w:qFormat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eastAsia="ja-JP"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pPr>
      <w:ind w:left="1589"/>
    </w:pPr>
    <w:rPr>
      <w:rFonts w:eastAsiaTheme="minorEastAsia"/>
    </w:rPr>
  </w:style>
  <w:style w:type="character" w:customStyle="1" w:styleId="StyleDocoriginalNotBoldChar">
    <w:name w:val="Style Doc_original + Not Bold Char"/>
    <w:basedOn w:val="DocoriginalChar"/>
    <w:link w:val="StyleDocoriginalNotBold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pPr>
      <w:ind w:left="1589"/>
    </w:pPr>
    <w:rPr>
      <w:rFonts w:eastAsiaTheme="minorEastAsia"/>
    </w:rPr>
  </w:style>
  <w:style w:type="paragraph" w:customStyle="1" w:styleId="StyleDocoriginal">
    <w:name w:val="Style Doc_original"/>
    <w:basedOn w:val="Docoriginal"/>
    <w:link w:val="StyleDocoriginalChar"/>
    <w:rPr>
      <w:rFonts w:eastAsiaTheme="minorEastAsia"/>
    </w:rPr>
  </w:style>
  <w:style w:type="character" w:customStyle="1" w:styleId="StyleDocoriginalChar">
    <w:name w:val="Style Doc_original Char"/>
    <w:basedOn w:val="DocoriginalChar"/>
    <w:link w:val="StyleDocoriginal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Pr>
      <w:rFonts w:ascii="Arial" w:hAnsi="Arial"/>
      <w:b/>
      <w:bCs/>
      <w:sz w:val="20"/>
      <w:lang w:val="fr-FR"/>
    </w:rPr>
  </w:style>
  <w:style w:type="character" w:customStyle="1" w:styleId="HeaderChar">
    <w:name w:val="Header Char"/>
    <w:basedOn w:val="DefaultParagraphFont"/>
    <w:link w:val="Header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pPr>
      <w:ind w:left="4536"/>
    </w:pPr>
    <w:rPr>
      <w:rFonts w:eastAsiaTheme="minorEastAsia"/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02315B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genie/resources/pdfs/upov_code_system_fr.pd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fr/details.jsp?meeting_id=29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728F-5871-418E-9986-72665B9E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2084</Words>
  <Characters>11881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CAJ/75/9</vt:lpstr>
      <vt:lpstr>CAJ/75/9</vt:lpstr>
    </vt:vector>
  </TitlesOfParts>
  <Company>UPOV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CAJ/75/9</dc:title>
  <dc:creator>FALQUET Kasumi</dc:creator>
  <cp:lastModifiedBy>SANTOS Carla Marina</cp:lastModifiedBy>
  <cp:revision>39</cp:revision>
  <cp:lastPrinted>2018-10-08T16:28:00Z</cp:lastPrinted>
  <dcterms:created xsi:type="dcterms:W3CDTF">2018-09-27T07:34:00Z</dcterms:created>
  <dcterms:modified xsi:type="dcterms:W3CDTF">2018-10-09T13:11:00Z</dcterms:modified>
</cp:coreProperties>
</file>