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F</w:t>
            </w:r>
          </w:p>
        </w:tc>
      </w:tr>
      <w:tr w:rsidR="00DC3802" w:rsidRPr="006D61F0" w:rsidTr="00645CA8">
        <w:trPr>
          <w:trHeight w:val="219"/>
        </w:trPr>
        <w:tc>
          <w:tcPr>
            <w:tcW w:w="6522" w:type="dxa"/>
          </w:tcPr>
          <w:p w:rsidR="00DC3802" w:rsidRPr="001A2BC6" w:rsidRDefault="00DC3802" w:rsidP="00AC2883">
            <w:pPr>
              <w:pStyle w:val="upove"/>
              <w:rPr>
                <w:lang w:val="fr-FR"/>
              </w:rPr>
            </w:pPr>
            <w:r w:rsidRPr="001A2BC6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1A2BC6" w:rsidRDefault="00DC3802" w:rsidP="00DA4973">
            <w:pPr>
              <w:rPr>
                <w:lang w:val="fr-FR"/>
              </w:rPr>
            </w:pPr>
          </w:p>
        </w:tc>
      </w:tr>
    </w:tbl>
    <w:p w:rsidR="00DC3802" w:rsidRPr="001A2BC6" w:rsidRDefault="00DC3802" w:rsidP="00DC3802">
      <w:pPr>
        <w:rPr>
          <w:lang w:val="fr-FR"/>
        </w:rPr>
      </w:pPr>
    </w:p>
    <w:p w:rsidR="00DA4973" w:rsidRPr="001A2BC6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D61F0" w:rsidTr="00EB4E9C">
        <w:tc>
          <w:tcPr>
            <w:tcW w:w="6512" w:type="dxa"/>
          </w:tcPr>
          <w:p w:rsidR="00EB4E9C" w:rsidRPr="001A2BC6" w:rsidRDefault="00B622E6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1A2BC6">
              <w:rPr>
                <w:lang w:val="fr-FR"/>
              </w:rPr>
              <w:t>Comité administratif et juridique</w:t>
            </w:r>
          </w:p>
          <w:p w:rsidR="00EB4E9C" w:rsidRPr="001A2BC6" w:rsidRDefault="00B622E6" w:rsidP="00110BED">
            <w:pPr>
              <w:pStyle w:val="Sessiontcplacedate"/>
              <w:rPr>
                <w:sz w:val="22"/>
                <w:lang w:val="fr-FR"/>
              </w:rPr>
            </w:pPr>
            <w:r w:rsidRPr="001A2BC6">
              <w:rPr>
                <w:lang w:val="fr-FR"/>
              </w:rPr>
              <w:t>Soixante</w:t>
            </w:r>
            <w:r w:rsidR="00C27E30">
              <w:rPr>
                <w:lang w:val="fr-FR"/>
              </w:rPr>
              <w:noBreakHyphen/>
            </w:r>
            <w:r w:rsidRPr="001A2BC6">
              <w:rPr>
                <w:lang w:val="fr-FR"/>
              </w:rPr>
              <w:t>quinz</w:t>
            </w:r>
            <w:r w:rsidR="00867AFB">
              <w:rPr>
                <w:lang w:val="fr-FR"/>
              </w:rPr>
              <w:t>ième session</w:t>
            </w:r>
            <w:r w:rsidR="00EB4E9C" w:rsidRPr="001A2BC6">
              <w:rPr>
                <w:lang w:val="fr-FR"/>
              </w:rPr>
              <w:br/>
              <w:t xml:space="preserve">Genève, </w:t>
            </w:r>
            <w:r w:rsidRPr="001A2BC6">
              <w:rPr>
                <w:lang w:val="fr-FR"/>
              </w:rPr>
              <w:t>31 octobre 2018</w:t>
            </w:r>
          </w:p>
        </w:tc>
        <w:tc>
          <w:tcPr>
            <w:tcW w:w="3127" w:type="dxa"/>
          </w:tcPr>
          <w:p w:rsidR="00EB4E9C" w:rsidRPr="001A2BC6" w:rsidRDefault="00110BED" w:rsidP="003C7FBE">
            <w:pPr>
              <w:pStyle w:val="Doccode"/>
              <w:rPr>
                <w:lang w:val="fr-FR"/>
              </w:rPr>
            </w:pPr>
            <w:r w:rsidRPr="001A2BC6">
              <w:rPr>
                <w:lang w:val="fr-FR"/>
              </w:rPr>
              <w:t>CAJ/75/6</w:t>
            </w:r>
          </w:p>
          <w:p w:rsidR="00EB4E9C" w:rsidRPr="001A2BC6" w:rsidRDefault="00EB4E9C" w:rsidP="003C7FBE">
            <w:pPr>
              <w:pStyle w:val="Docoriginal"/>
              <w:rPr>
                <w:lang w:val="fr-FR"/>
              </w:rPr>
            </w:pPr>
            <w:r w:rsidRPr="001A2BC6">
              <w:rPr>
                <w:lang w:val="fr-FR"/>
              </w:rPr>
              <w:t>Original</w:t>
            </w:r>
            <w:r w:rsidR="00867AFB">
              <w:rPr>
                <w:lang w:val="fr-FR"/>
              </w:rPr>
              <w:t> :</w:t>
            </w:r>
            <w:r w:rsidR="00C7626A">
              <w:rPr>
                <w:b w:val="0"/>
                <w:lang w:val="fr-FR"/>
              </w:rPr>
              <w:t xml:space="preserve"> </w:t>
            </w:r>
            <w:r w:rsidRPr="001A2BC6">
              <w:rPr>
                <w:b w:val="0"/>
                <w:lang w:val="fr-FR"/>
              </w:rPr>
              <w:t>anglais</w:t>
            </w:r>
          </w:p>
          <w:p w:rsidR="00EB4E9C" w:rsidRPr="001A2BC6" w:rsidRDefault="00EB4E9C" w:rsidP="00C00305">
            <w:pPr>
              <w:pStyle w:val="Docoriginal"/>
              <w:rPr>
                <w:lang w:val="fr-FR"/>
              </w:rPr>
            </w:pPr>
            <w:r w:rsidRPr="001A2BC6">
              <w:rPr>
                <w:lang w:val="fr-FR"/>
              </w:rPr>
              <w:t>Date</w:t>
            </w:r>
            <w:r w:rsidR="00867AFB">
              <w:rPr>
                <w:lang w:val="fr-FR"/>
              </w:rPr>
              <w:t> :</w:t>
            </w:r>
            <w:r w:rsidR="00C7626A">
              <w:rPr>
                <w:b w:val="0"/>
                <w:lang w:val="fr-FR"/>
              </w:rPr>
              <w:t xml:space="preserve"> </w:t>
            </w:r>
            <w:r w:rsidR="00CF6569" w:rsidRPr="00C00305">
              <w:rPr>
                <w:b w:val="0"/>
                <w:lang w:val="fr-FR"/>
              </w:rPr>
              <w:t>1</w:t>
            </w:r>
            <w:r w:rsidR="00C00305" w:rsidRPr="00C00305">
              <w:rPr>
                <w:b w:val="0"/>
                <w:lang w:val="fr-FR"/>
              </w:rPr>
              <w:t>6</w:t>
            </w:r>
            <w:r w:rsidR="00CF6569" w:rsidRPr="00C00305">
              <w:rPr>
                <w:b w:val="0"/>
                <w:lang w:val="fr-FR"/>
              </w:rPr>
              <w:t> </w:t>
            </w:r>
            <w:r w:rsidR="00867AFB" w:rsidRPr="00C00305">
              <w:rPr>
                <w:b w:val="0"/>
                <w:lang w:val="fr-FR"/>
              </w:rPr>
              <w:t>août 20</w:t>
            </w:r>
            <w:r w:rsidR="00CF6569" w:rsidRPr="00C00305">
              <w:rPr>
                <w:b w:val="0"/>
                <w:lang w:val="fr-FR"/>
              </w:rPr>
              <w:t>18</w:t>
            </w:r>
          </w:p>
        </w:tc>
      </w:tr>
    </w:tbl>
    <w:p w:rsidR="000D7780" w:rsidRPr="001A2BC6" w:rsidRDefault="001D5883" w:rsidP="006A644A">
      <w:pPr>
        <w:pStyle w:val="Titleofdoc0"/>
        <w:rPr>
          <w:lang w:val="fr-FR"/>
        </w:rPr>
      </w:pPr>
      <w:bookmarkStart w:id="0" w:name="TitleOfDoc"/>
      <w:bookmarkEnd w:id="0"/>
      <w:r w:rsidRPr="001A2BC6">
        <w:rPr>
          <w:lang w:val="fr-FR"/>
        </w:rPr>
        <w:t>Élaboration de matériel d</w:t>
      </w:r>
      <w:r w:rsidR="00867AFB">
        <w:rPr>
          <w:lang w:val="fr-FR"/>
        </w:rPr>
        <w:t>’</w:t>
      </w:r>
      <w:r w:rsidRPr="001A2BC6">
        <w:rPr>
          <w:lang w:val="fr-FR"/>
        </w:rPr>
        <w:t xml:space="preserve">information concernant la </w:t>
      </w:r>
      <w:r w:rsidR="00867AFB">
        <w:rPr>
          <w:lang w:val="fr-FR"/>
        </w:rPr>
        <w:t>Convention UPOV</w:t>
      </w:r>
    </w:p>
    <w:p w:rsidR="006A644A" w:rsidRPr="001A2BC6" w:rsidRDefault="00AE0EF1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r w:rsidRPr="001A2BC6">
        <w:rPr>
          <w:lang w:val="fr-FR"/>
        </w:rPr>
        <w:t>Document établi par le Bureau de l</w:t>
      </w:r>
      <w:r w:rsidR="00867AFB">
        <w:rPr>
          <w:lang w:val="fr-FR"/>
        </w:rPr>
        <w:t>’</w:t>
      </w:r>
      <w:r w:rsidRPr="001A2BC6">
        <w:rPr>
          <w:lang w:val="fr-FR"/>
        </w:rPr>
        <w:t>Union</w:t>
      </w:r>
    </w:p>
    <w:p w:rsidR="00050E16" w:rsidRPr="001A2BC6" w:rsidRDefault="00050E16" w:rsidP="006A644A">
      <w:pPr>
        <w:pStyle w:val="Disclaimer"/>
        <w:rPr>
          <w:lang w:val="fr-FR"/>
        </w:rPr>
      </w:pPr>
      <w:r w:rsidRPr="001A2BC6">
        <w:rPr>
          <w:lang w:val="fr-FR"/>
        </w:rPr>
        <w:t>Avertissement</w:t>
      </w:r>
      <w:r w:rsidR="00867AFB">
        <w:rPr>
          <w:lang w:val="fr-FR"/>
        </w:rPr>
        <w:t> :</w:t>
      </w:r>
      <w:r w:rsidRPr="001A2BC6">
        <w:rPr>
          <w:lang w:val="fr-FR"/>
        </w:rPr>
        <w:t xml:space="preserve"> le présent document ne représente pas les principes ou les orientations de l</w:t>
      </w:r>
      <w:r w:rsidR="00867AFB">
        <w:rPr>
          <w:lang w:val="fr-FR"/>
        </w:rPr>
        <w:t>’</w:t>
      </w:r>
      <w:r w:rsidRPr="001A2BC6">
        <w:rPr>
          <w:lang w:val="fr-FR"/>
        </w:rPr>
        <w:t>UPOV</w:t>
      </w:r>
    </w:p>
    <w:p w:rsidR="00F61FAC" w:rsidRPr="00F61FAC" w:rsidRDefault="00F61FAC" w:rsidP="0080591E">
      <w:pPr>
        <w:pStyle w:val="Heading1"/>
      </w:pPr>
      <w:bookmarkStart w:id="2" w:name="_Toc522522918"/>
      <w:bookmarkStart w:id="3" w:name="_Toc525113842"/>
      <w:r w:rsidRPr="00F61FAC">
        <w:t>RÉSUMÉ</w:t>
      </w:r>
      <w:bookmarkEnd w:id="2"/>
      <w:bookmarkEnd w:id="3"/>
    </w:p>
    <w:p w:rsidR="001D5883" w:rsidRPr="00F61FAC" w:rsidRDefault="001D5883" w:rsidP="0080591E">
      <w:pPr>
        <w:pStyle w:val="Heading1"/>
      </w:pPr>
    </w:p>
    <w:p w:rsidR="001D5883" w:rsidRPr="001A2BC6" w:rsidRDefault="001D5883" w:rsidP="001D5883">
      <w:pPr>
        <w:rPr>
          <w:lang w:val="fr-FR"/>
        </w:rPr>
      </w:pPr>
      <w:r w:rsidRPr="004B0FC0">
        <w:fldChar w:fldCharType="begin"/>
      </w:r>
      <w:r w:rsidRPr="001A2BC6">
        <w:rPr>
          <w:lang w:val="fr-FR"/>
        </w:rPr>
        <w:instrText xml:space="preserve"> AUTONUM  </w:instrText>
      </w:r>
      <w:r w:rsidRPr="004B0FC0">
        <w:fldChar w:fldCharType="end"/>
      </w:r>
      <w:r w:rsidRPr="001A2BC6">
        <w:rPr>
          <w:lang w:val="fr-FR"/>
        </w:rPr>
        <w:tab/>
        <w:t>Le présent document a pour objet d</w:t>
      </w:r>
      <w:r w:rsidR="00867AFB">
        <w:rPr>
          <w:lang w:val="fr-FR"/>
        </w:rPr>
        <w:t>’</w:t>
      </w:r>
      <w:r w:rsidRPr="001A2BC6">
        <w:rPr>
          <w:lang w:val="fr-FR"/>
        </w:rPr>
        <w:t>apporter des informations générales en vue de faciliter l</w:t>
      </w:r>
      <w:r w:rsidR="00867AFB">
        <w:rPr>
          <w:lang w:val="fr-FR"/>
        </w:rPr>
        <w:t>’</w:t>
      </w:r>
      <w:r w:rsidRPr="001A2BC6">
        <w:rPr>
          <w:lang w:val="fr-FR"/>
        </w:rPr>
        <w:t>examen des questions pertinentes par le Comité administratif et juridique (CAJ) à sa soixante</w:t>
      </w:r>
      <w:r w:rsidR="00C27E30">
        <w:rPr>
          <w:lang w:val="fr-FR"/>
        </w:rPr>
        <w:noBreakHyphen/>
      </w:r>
      <w:r w:rsidRPr="001A2BC6">
        <w:rPr>
          <w:lang w:val="fr-FR"/>
        </w:rPr>
        <w:t>quinz</w:t>
      </w:r>
      <w:r w:rsidR="00867AFB">
        <w:rPr>
          <w:lang w:val="fr-FR"/>
        </w:rPr>
        <w:t>ième session</w:t>
      </w:r>
      <w:r w:rsidRPr="001A2BC6">
        <w:rPr>
          <w:lang w:val="fr-FR"/>
        </w:rPr>
        <w:t xml:space="preserve"> et de présenter un programme provisoire d</w:t>
      </w:r>
      <w:r w:rsidR="00867AFB">
        <w:rPr>
          <w:lang w:val="fr-FR"/>
        </w:rPr>
        <w:t>’</w:t>
      </w:r>
      <w:r w:rsidRPr="001A2BC6">
        <w:rPr>
          <w:lang w:val="fr-FR"/>
        </w:rPr>
        <w:t>élaboration de matériel d</w:t>
      </w:r>
      <w:r w:rsidR="00867AFB">
        <w:rPr>
          <w:lang w:val="fr-FR"/>
        </w:rPr>
        <w:t>’</w:t>
      </w:r>
      <w:r w:rsidRPr="001A2BC6">
        <w:rPr>
          <w:lang w:val="fr-FR"/>
        </w:rPr>
        <w:t>information.</w:t>
      </w:r>
    </w:p>
    <w:p w:rsidR="001D5883" w:rsidRPr="001A2BC6" w:rsidRDefault="001D5883" w:rsidP="001D5883">
      <w:pPr>
        <w:rPr>
          <w:lang w:val="fr-FR"/>
        </w:rPr>
      </w:pPr>
    </w:p>
    <w:p w:rsidR="001D5883" w:rsidRPr="001A2BC6" w:rsidRDefault="001D5883" w:rsidP="001D5883">
      <w:pPr>
        <w:keepNext/>
        <w:rPr>
          <w:u w:val="single"/>
          <w:lang w:val="fr-FR"/>
        </w:rPr>
      </w:pPr>
      <w:r w:rsidRPr="004B0FC0">
        <w:fldChar w:fldCharType="begin"/>
      </w:r>
      <w:r w:rsidRPr="001A2BC6">
        <w:rPr>
          <w:lang w:val="fr-FR"/>
        </w:rPr>
        <w:instrText xml:space="preserve"> AUTONUM  </w:instrText>
      </w:r>
      <w:r w:rsidRPr="004B0FC0">
        <w:fldChar w:fldCharType="end"/>
      </w:r>
      <w:r w:rsidR="00C7626A">
        <w:rPr>
          <w:lang w:val="fr-FR"/>
        </w:rPr>
        <w:tab/>
        <w:t xml:space="preserve">Le CAJ est invité </w:t>
      </w:r>
    </w:p>
    <w:p w:rsidR="00846E9C" w:rsidRPr="001A2BC6" w:rsidRDefault="00846E9C" w:rsidP="00846E9C">
      <w:pPr>
        <w:rPr>
          <w:lang w:val="fr-FR"/>
        </w:rPr>
      </w:pPr>
    </w:p>
    <w:p w:rsidR="00846E9C" w:rsidRPr="001A2BC6" w:rsidRDefault="00846E9C" w:rsidP="00846E9C">
      <w:pPr>
        <w:rPr>
          <w:lang w:val="fr-FR"/>
        </w:rPr>
      </w:pPr>
      <w:r w:rsidRPr="001A2BC6">
        <w:rPr>
          <w:lang w:val="fr-FR"/>
        </w:rPr>
        <w:tab/>
        <w:t xml:space="preserve">a) </w:t>
      </w:r>
      <w:r w:rsidRPr="001A2BC6">
        <w:rPr>
          <w:lang w:val="fr-FR"/>
        </w:rPr>
        <w:tab/>
      </w:r>
      <w:r w:rsidR="008349BA">
        <w:rPr>
          <w:lang w:val="fr-FR"/>
        </w:rPr>
        <w:t xml:space="preserve">à </w:t>
      </w:r>
      <w:r w:rsidRPr="001A2BC6">
        <w:rPr>
          <w:lang w:val="fr-FR"/>
        </w:rPr>
        <w:t>noter que les informations concernant les exposés sur les variétés essentiellement dérivées, les conditions et limitations relatives à l</w:t>
      </w:r>
      <w:r w:rsidR="00867AFB">
        <w:rPr>
          <w:lang w:val="fr-FR"/>
        </w:rPr>
        <w:t>’</w:t>
      </w:r>
      <w:r w:rsidRPr="001A2BC6">
        <w:rPr>
          <w:lang w:val="fr-FR"/>
        </w:rPr>
        <w:t>autorisation de l</w:t>
      </w:r>
      <w:r w:rsidR="00867AFB">
        <w:rPr>
          <w:lang w:val="fr-FR"/>
        </w:rPr>
        <w:t>’</w:t>
      </w:r>
      <w:r w:rsidRPr="001A2BC6">
        <w:rPr>
          <w:lang w:val="fr-FR"/>
        </w:rPr>
        <w:t xml:space="preserve">obtenteur </w:t>
      </w:r>
      <w:r w:rsidR="00867AFB">
        <w:rPr>
          <w:lang w:val="fr-FR"/>
        </w:rPr>
        <w:t>à l’égard</w:t>
      </w:r>
      <w:r w:rsidRPr="001A2BC6">
        <w:rPr>
          <w:lang w:val="fr-FR"/>
        </w:rPr>
        <w:t xml:space="preserve"> du matériel de reproduction ou de multiplication et l</w:t>
      </w:r>
      <w:r w:rsidR="00867AFB">
        <w:rPr>
          <w:lang w:val="fr-FR"/>
        </w:rPr>
        <w:t>’</w:t>
      </w:r>
      <w:r w:rsidRPr="001A2BC6">
        <w:rPr>
          <w:lang w:val="fr-FR"/>
        </w:rPr>
        <w:t xml:space="preserve">étendue de la protection provisoire figurent respectivement dans les documents </w:t>
      </w:r>
      <w:r w:rsidR="00C7626A">
        <w:rPr>
          <w:lang w:val="fr-FR"/>
        </w:rPr>
        <w:t>CAJ/75/3, CAJ/75/4 et CAJ/75/5;</w:t>
      </w:r>
    </w:p>
    <w:p w:rsidR="00846E9C" w:rsidRPr="001A2BC6" w:rsidRDefault="00846E9C" w:rsidP="00846E9C">
      <w:pPr>
        <w:rPr>
          <w:lang w:val="fr-FR"/>
        </w:rPr>
      </w:pPr>
    </w:p>
    <w:p w:rsidR="001D5883" w:rsidRPr="001A2BC6" w:rsidRDefault="00CF6569" w:rsidP="00846E9C">
      <w:pPr>
        <w:rPr>
          <w:lang w:val="fr-FR"/>
        </w:rPr>
      </w:pPr>
      <w:r w:rsidRPr="001A2BC6">
        <w:rPr>
          <w:lang w:val="fr-FR"/>
        </w:rPr>
        <w:tab/>
        <w:t>b)</w:t>
      </w:r>
      <w:r w:rsidRPr="001A2BC6">
        <w:rPr>
          <w:lang w:val="fr-FR"/>
        </w:rPr>
        <w:tab/>
      </w:r>
      <w:r w:rsidR="008349BA">
        <w:rPr>
          <w:lang w:val="fr-FR"/>
        </w:rPr>
        <w:t xml:space="preserve">à </w:t>
      </w:r>
      <w:r w:rsidRPr="001A2BC6">
        <w:rPr>
          <w:lang w:val="fr-FR"/>
        </w:rPr>
        <w:t>noter qu</w:t>
      </w:r>
      <w:r w:rsidR="00867AFB">
        <w:rPr>
          <w:lang w:val="fr-FR"/>
        </w:rPr>
        <w:t>’</w:t>
      </w:r>
      <w:r w:rsidRPr="001A2BC6">
        <w:rPr>
          <w:lang w:val="fr-FR"/>
        </w:rPr>
        <w:t>aucun fait</w:t>
      </w:r>
      <w:r w:rsidR="00846E9C" w:rsidRPr="001A2BC6">
        <w:rPr>
          <w:lang w:val="fr-FR"/>
        </w:rPr>
        <w:t xml:space="preserve"> nouveau n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est intervenu en ce qui concerne la tenue éventuelle d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une réunion du Bureau de l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Union avec la Communauté internationale des obtenteurs de plantes ornementales et fruitières à reproduction asexuée (CIOPORA), l</w:t>
      </w:r>
      <w:r w:rsidR="00867AFB">
        <w:rPr>
          <w:lang w:val="fr-FR"/>
        </w:rPr>
        <w:t>’</w:t>
      </w:r>
      <w:r w:rsidR="00846E9C" w:rsidRPr="00C7626A">
        <w:rPr>
          <w:i/>
          <w:lang w:val="fr-FR"/>
        </w:rPr>
        <w:t>International Seed Federation</w:t>
      </w:r>
      <w:r w:rsidR="00846E9C" w:rsidRPr="001A2BC6">
        <w:rPr>
          <w:lang w:val="fr-FR"/>
        </w:rPr>
        <w:t xml:space="preserve"> (ISF) et l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Organisation Mondiale de la Propriété Intellectuelle (OMPI) en vue d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étudier le rôle que l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867AFB">
        <w:rPr>
          <w:lang w:val="fr-FR"/>
        </w:rPr>
        <w:t>y compris</w:t>
      </w:r>
      <w:r w:rsidR="00846E9C" w:rsidRPr="001A2BC6">
        <w:rPr>
          <w:lang w:val="fr-FR"/>
        </w:rPr>
        <w:t xml:space="preserve"> la mise à disposition d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experts concernant les questions relatives aux variétés essentiellement dérivées;</w:t>
      </w:r>
    </w:p>
    <w:p w:rsidR="00846E9C" w:rsidRPr="001A2BC6" w:rsidRDefault="00846E9C" w:rsidP="00846E9C">
      <w:pPr>
        <w:rPr>
          <w:lang w:val="fr-FR"/>
        </w:rPr>
      </w:pPr>
    </w:p>
    <w:p w:rsidR="00846E9C" w:rsidRPr="001A2BC6" w:rsidRDefault="00A877B5" w:rsidP="00846E9C">
      <w:pPr>
        <w:ind w:firstLine="567"/>
        <w:rPr>
          <w:lang w:val="fr-FR"/>
        </w:rPr>
      </w:pPr>
      <w:r w:rsidRPr="001A2BC6">
        <w:rPr>
          <w:lang w:val="fr-FR"/>
        </w:rPr>
        <w:t>c)</w:t>
      </w:r>
      <w:r w:rsidR="00846E9C" w:rsidRPr="001A2BC6">
        <w:rPr>
          <w:lang w:val="fr-FR"/>
        </w:rPr>
        <w:tab/>
      </w:r>
      <w:r w:rsidR="008349BA">
        <w:rPr>
          <w:lang w:val="fr-FR"/>
        </w:rPr>
        <w:t xml:space="preserve">à </w:t>
      </w:r>
      <w:r w:rsidR="00846E9C" w:rsidRPr="001A2BC6">
        <w:rPr>
          <w:lang w:val="fr-FR"/>
        </w:rPr>
        <w:t>examiner</w:t>
      </w:r>
      <w:r w:rsidR="004A52D9">
        <w:rPr>
          <w:lang w:val="fr-FR"/>
        </w:rPr>
        <w:t xml:space="preserve"> la version révisée du document </w:t>
      </w:r>
      <w:r w:rsidR="00846E9C" w:rsidRPr="001A2BC6">
        <w:rPr>
          <w:lang w:val="fr-FR"/>
        </w:rPr>
        <w:t>UPOV/INF/5 “Bulletin type de l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>UPOV de la protection des obtentions végétales” contenu</w:t>
      </w:r>
      <w:r w:rsidR="004A52D9">
        <w:rPr>
          <w:lang w:val="fr-FR"/>
        </w:rPr>
        <w:t>e dans le document </w:t>
      </w:r>
      <w:r w:rsidR="00C7626A">
        <w:rPr>
          <w:lang w:val="fr-FR"/>
        </w:rPr>
        <w:t>UPOV/INF/5/2 </w:t>
      </w:r>
      <w:r w:rsidR="00846E9C" w:rsidRPr="001A2BC6">
        <w:rPr>
          <w:lang w:val="fr-FR"/>
        </w:rPr>
        <w:t>Draft 1 “Publication type de l</w:t>
      </w:r>
      <w:r w:rsidR="00867AFB">
        <w:rPr>
          <w:lang w:val="fr-FR"/>
        </w:rPr>
        <w:t>’</w:t>
      </w:r>
      <w:r w:rsidR="00846E9C" w:rsidRPr="001A2BC6">
        <w:rPr>
          <w:lang w:val="fr-FR"/>
        </w:rPr>
        <w:t xml:space="preserve">UPOV de la protection des </w:t>
      </w:r>
      <w:r w:rsidR="00C7626A">
        <w:rPr>
          <w:lang w:val="fr-FR"/>
        </w:rPr>
        <w:t>obtentions végétales (révision)</w:t>
      </w:r>
      <w:r w:rsidR="00846E9C" w:rsidRPr="001A2BC6">
        <w:rPr>
          <w:lang w:val="fr-FR"/>
        </w:rPr>
        <w:t>”;</w:t>
      </w:r>
    </w:p>
    <w:p w:rsidR="00A877B5" w:rsidRPr="001A2BC6" w:rsidRDefault="00A877B5" w:rsidP="00846E9C">
      <w:pPr>
        <w:ind w:firstLine="567"/>
        <w:rPr>
          <w:lang w:val="fr-FR"/>
        </w:rPr>
      </w:pPr>
    </w:p>
    <w:p w:rsidR="00A877B5" w:rsidRPr="001A2BC6" w:rsidRDefault="00A877B5" w:rsidP="00846E9C">
      <w:pPr>
        <w:ind w:firstLine="567"/>
        <w:rPr>
          <w:lang w:val="fr-FR"/>
        </w:rPr>
      </w:pPr>
      <w:r w:rsidRPr="001A2BC6">
        <w:rPr>
          <w:lang w:val="fr-FR"/>
        </w:rPr>
        <w:t>d)</w:t>
      </w:r>
      <w:r w:rsidRPr="001A2BC6">
        <w:rPr>
          <w:lang w:val="fr-FR"/>
        </w:rPr>
        <w:tab/>
      </w:r>
      <w:r w:rsidR="008349BA">
        <w:rPr>
          <w:lang w:val="fr-FR"/>
        </w:rPr>
        <w:t xml:space="preserve">à </w:t>
      </w:r>
      <w:r w:rsidRPr="001A2BC6">
        <w:rPr>
          <w:lang w:val="fr-FR"/>
        </w:rPr>
        <w:t>noter qu</w:t>
      </w:r>
      <w:r w:rsidR="00867AFB">
        <w:rPr>
          <w:lang w:val="fr-FR"/>
        </w:rPr>
        <w:t>’</w:t>
      </w:r>
      <w:r w:rsidRPr="001A2BC6">
        <w:rPr>
          <w:lang w:val="fr-FR"/>
        </w:rPr>
        <w:t>un rapport sur les travaux concernant la possibilité d</w:t>
      </w:r>
      <w:r w:rsidR="00867AFB">
        <w:rPr>
          <w:lang w:val="fr-FR"/>
        </w:rPr>
        <w:t>’</w:t>
      </w:r>
      <w:r w:rsidRPr="001A2BC6">
        <w:rPr>
          <w:lang w:val="fr-FR"/>
        </w:rPr>
        <w:t>élaboration d</w:t>
      </w:r>
      <w:r w:rsidR="00867AFB">
        <w:rPr>
          <w:lang w:val="fr-FR"/>
        </w:rPr>
        <w:t>’</w:t>
      </w:r>
      <w:r w:rsidRPr="001A2BC6">
        <w:rPr>
          <w:lang w:val="fr-FR"/>
        </w:rPr>
        <w:t>un moteur de recherche des similitudes pour l</w:t>
      </w:r>
      <w:r w:rsidR="00867AFB">
        <w:rPr>
          <w:lang w:val="fr-FR"/>
        </w:rPr>
        <w:t>’</w:t>
      </w:r>
      <w:r w:rsidRPr="001A2BC6">
        <w:rPr>
          <w:lang w:val="fr-FR"/>
        </w:rPr>
        <w:t>UPOV aux fins des dénominations variétales</w:t>
      </w:r>
      <w:r w:rsidR="004F3C0D">
        <w:rPr>
          <w:lang w:val="fr-FR"/>
        </w:rPr>
        <w:t>, de même que</w:t>
      </w:r>
      <w:r w:rsidRPr="001A2BC6">
        <w:rPr>
          <w:lang w:val="fr-FR"/>
        </w:rPr>
        <w:t xml:space="preserve"> des propositions de </w:t>
      </w:r>
      <w:r w:rsidR="004A52D9">
        <w:rPr>
          <w:lang w:val="fr-FR"/>
        </w:rPr>
        <w:t>révision éventuelle du document </w:t>
      </w:r>
      <w:r w:rsidRPr="001A2BC6">
        <w:rPr>
          <w:lang w:val="fr-FR"/>
        </w:rPr>
        <w:t xml:space="preserve">UPOV/INF/12 “Notes explicatives concernant les dénominations variétales en vertu de la </w:t>
      </w:r>
      <w:r w:rsidR="00867AFB">
        <w:rPr>
          <w:lang w:val="fr-FR"/>
        </w:rPr>
        <w:t>Convention UPOV</w:t>
      </w:r>
      <w:r w:rsidRPr="001A2BC6">
        <w:rPr>
          <w:lang w:val="fr-FR"/>
        </w:rPr>
        <w:t>”</w:t>
      </w:r>
      <w:r w:rsidR="004F3C0D">
        <w:rPr>
          <w:lang w:val="fr-FR"/>
        </w:rPr>
        <w:t>,</w:t>
      </w:r>
      <w:r w:rsidRPr="001A2BC6">
        <w:rPr>
          <w:lang w:val="fr-FR"/>
        </w:rPr>
        <w:t xml:space="preserve"> figurent dans le document CAJ/75/7</w:t>
      </w:r>
      <w:r w:rsidR="00CA1BA0">
        <w:rPr>
          <w:lang w:val="fr-FR"/>
        </w:rPr>
        <w:t xml:space="preserve"> “Dénominations variétales”, et</w:t>
      </w:r>
    </w:p>
    <w:p w:rsidR="00A877B5" w:rsidRPr="001A2BC6" w:rsidRDefault="00A877B5" w:rsidP="00846E9C">
      <w:pPr>
        <w:ind w:firstLine="567"/>
        <w:rPr>
          <w:lang w:val="fr-FR"/>
        </w:rPr>
      </w:pPr>
    </w:p>
    <w:p w:rsidR="00A877B5" w:rsidRPr="001A2BC6" w:rsidRDefault="00A877B5" w:rsidP="00846E9C">
      <w:pPr>
        <w:ind w:firstLine="567"/>
        <w:rPr>
          <w:lang w:val="fr-FR"/>
        </w:rPr>
      </w:pPr>
      <w:r w:rsidRPr="001A2BC6">
        <w:rPr>
          <w:lang w:val="fr-FR"/>
        </w:rPr>
        <w:t xml:space="preserve">e) </w:t>
      </w:r>
      <w:r w:rsidRPr="001A2BC6">
        <w:rPr>
          <w:lang w:val="fr-FR"/>
        </w:rPr>
        <w:tab/>
      </w:r>
      <w:r w:rsidR="008349BA">
        <w:rPr>
          <w:lang w:val="fr-FR"/>
        </w:rPr>
        <w:t xml:space="preserve">à </w:t>
      </w:r>
      <w:r w:rsidRPr="001A2BC6">
        <w:rPr>
          <w:lang w:val="fr-FR"/>
        </w:rPr>
        <w:t>examiner le programme d</w:t>
      </w:r>
      <w:r w:rsidR="00867AFB">
        <w:rPr>
          <w:lang w:val="fr-FR"/>
        </w:rPr>
        <w:t>’</w:t>
      </w:r>
      <w:r w:rsidRPr="001A2BC6">
        <w:rPr>
          <w:lang w:val="fr-FR"/>
        </w:rPr>
        <w:t>élaboration de matériel d</w:t>
      </w:r>
      <w:r w:rsidR="00867AFB">
        <w:rPr>
          <w:lang w:val="fr-FR"/>
        </w:rPr>
        <w:t>’</w:t>
      </w:r>
      <w:r w:rsidRPr="001A2BC6">
        <w:rPr>
          <w:lang w:val="fr-FR"/>
        </w:rPr>
        <w:t>information dans le cadre des délibérations prévues au point intitulé</w:t>
      </w:r>
      <w:r w:rsidRPr="001A2BC6">
        <w:rPr>
          <w:rFonts w:eastAsia="MS Mincho"/>
          <w:lang w:val="fr-FR"/>
        </w:rPr>
        <w:t xml:space="preserve"> “Programme de la soixante</w:t>
      </w:r>
      <w:r w:rsidR="00C27E30">
        <w:rPr>
          <w:rFonts w:eastAsia="MS Mincho"/>
          <w:lang w:val="fr-FR"/>
        </w:rPr>
        <w:noBreakHyphen/>
      </w:r>
      <w:r w:rsidRPr="001A2BC6">
        <w:rPr>
          <w:rFonts w:eastAsia="MS Mincho"/>
          <w:lang w:val="fr-FR"/>
        </w:rPr>
        <w:t>seiz</w:t>
      </w:r>
      <w:r w:rsidR="00867AFB">
        <w:rPr>
          <w:rFonts w:eastAsia="MS Mincho"/>
          <w:lang w:val="fr-FR"/>
        </w:rPr>
        <w:t>ième session</w:t>
      </w:r>
      <w:r w:rsidRPr="001A2BC6">
        <w:rPr>
          <w:rFonts w:eastAsia="MS Mincho"/>
          <w:lang w:val="fr-FR"/>
        </w:rPr>
        <w:t>”.</w:t>
      </w:r>
    </w:p>
    <w:p w:rsidR="00A877B5" w:rsidRPr="001A2BC6" w:rsidRDefault="00A877B5" w:rsidP="00155275">
      <w:pPr>
        <w:rPr>
          <w:lang w:val="fr-FR"/>
        </w:rPr>
      </w:pPr>
    </w:p>
    <w:p w:rsidR="00A877B5" w:rsidRPr="001A2BC6" w:rsidRDefault="00A877B5" w:rsidP="00155275">
      <w:pPr>
        <w:rPr>
          <w:lang w:val="fr-FR"/>
        </w:rPr>
      </w:pPr>
    </w:p>
    <w:p w:rsidR="001D5883" w:rsidRPr="001A2BC6" w:rsidRDefault="001D5883" w:rsidP="001D5883">
      <w:pPr>
        <w:rPr>
          <w:lang w:val="fr-FR"/>
        </w:rPr>
      </w:pPr>
    </w:p>
    <w:p w:rsidR="001D5883" w:rsidRPr="001A2BC6" w:rsidRDefault="001D5883" w:rsidP="001D5883">
      <w:pPr>
        <w:rPr>
          <w:lang w:val="fr-FR"/>
        </w:rPr>
      </w:pPr>
    </w:p>
    <w:p w:rsidR="001D5883" w:rsidRPr="001A2BC6" w:rsidRDefault="001D5883" w:rsidP="00155275">
      <w:pPr>
        <w:rPr>
          <w:rFonts w:cs="Arial"/>
          <w:lang w:val="fr-FR"/>
        </w:rPr>
      </w:pPr>
    </w:p>
    <w:p w:rsidR="001D5883" w:rsidRPr="001A2BC6" w:rsidRDefault="001D5883" w:rsidP="00155275">
      <w:pPr>
        <w:rPr>
          <w:rFonts w:cs="Arial"/>
          <w:lang w:val="fr-FR"/>
        </w:rPr>
      </w:pPr>
    </w:p>
    <w:p w:rsidR="001D5883" w:rsidRPr="001A2BC6" w:rsidRDefault="001D5883" w:rsidP="00155275">
      <w:pPr>
        <w:rPr>
          <w:rFonts w:cs="Arial"/>
          <w:lang w:val="fr-FR"/>
        </w:rPr>
      </w:pPr>
    </w:p>
    <w:p w:rsidR="001D5883" w:rsidRPr="001A2BC6" w:rsidRDefault="001D5883">
      <w:pPr>
        <w:jc w:val="left"/>
        <w:rPr>
          <w:rFonts w:cs="Arial"/>
          <w:lang w:val="fr-FR"/>
        </w:rPr>
      </w:pPr>
      <w:r w:rsidRPr="001A2BC6">
        <w:rPr>
          <w:rFonts w:cs="Arial"/>
          <w:lang w:val="fr-FR"/>
        </w:rPr>
        <w:br w:type="page"/>
      </w:r>
    </w:p>
    <w:p w:rsidR="001D5883" w:rsidRPr="001A2BC6" w:rsidRDefault="001D5883" w:rsidP="001D5883">
      <w:pPr>
        <w:keepNext/>
        <w:rPr>
          <w:u w:val="single"/>
          <w:lang w:val="fr-FR"/>
        </w:rPr>
      </w:pPr>
      <w:r w:rsidRPr="001A2BC6">
        <w:rPr>
          <w:u w:val="single"/>
          <w:lang w:val="fr-FR"/>
        </w:rPr>
        <w:lastRenderedPageBreak/>
        <w:t>Table des matières</w:t>
      </w:r>
    </w:p>
    <w:p w:rsidR="001D5883" w:rsidRPr="001A2BC6" w:rsidRDefault="001D5883" w:rsidP="001D5883">
      <w:pPr>
        <w:keepNext/>
        <w:rPr>
          <w:lang w:val="fr-FR"/>
        </w:rPr>
      </w:pPr>
    </w:p>
    <w:p w:rsidR="003F1CB3" w:rsidRPr="003F1CB3" w:rsidRDefault="001D5883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fr-CH"/>
        </w:rPr>
      </w:pPr>
      <w:r w:rsidRPr="004B0FC0">
        <w:rPr>
          <w:rFonts w:eastAsia="Arial Unicode MS"/>
          <w:b/>
          <w:noProof w:val="0"/>
          <w:sz w:val="20"/>
        </w:rPr>
        <w:fldChar w:fldCharType="begin"/>
      </w:r>
      <w:r w:rsidRPr="001A2BC6">
        <w:rPr>
          <w:rFonts w:eastAsia="Arial Unicode MS"/>
          <w:b/>
        </w:rPr>
        <w:instrText xml:space="preserve"> TOC \</w:instrText>
      </w:r>
      <w:r w:rsidR="001072EC" w:rsidRPr="001A2BC6">
        <w:rPr>
          <w:rFonts w:eastAsia="Arial Unicode MS"/>
          <w:b/>
        </w:rPr>
        <w:instrText>"Heading 1;1</w:instrText>
      </w:r>
      <w:r w:rsidRPr="001A2BC6">
        <w:rPr>
          <w:rFonts w:eastAsia="Arial Unicode MS"/>
          <w:b/>
        </w:rPr>
        <w:instrText xml:space="preserve">" </w:instrText>
      </w:r>
      <w:r w:rsidRPr="004B0FC0">
        <w:rPr>
          <w:rFonts w:eastAsia="Arial Unicode MS"/>
          <w:b/>
          <w:noProof w:val="0"/>
          <w:sz w:val="20"/>
        </w:rPr>
        <w:fldChar w:fldCharType="separate"/>
      </w:r>
      <w:r w:rsidR="003F1CB3">
        <w:t>RÉSUMÉ</w:t>
      </w:r>
      <w:r w:rsidR="003F1CB3">
        <w:tab/>
      </w:r>
      <w:r w:rsidR="003F1CB3">
        <w:fldChar w:fldCharType="begin"/>
      </w:r>
      <w:r w:rsidR="003F1CB3">
        <w:instrText xml:space="preserve"> PAGEREF _Toc525113842 \h </w:instrText>
      </w:r>
      <w:r w:rsidR="003F1CB3">
        <w:fldChar w:fldCharType="separate"/>
      </w:r>
      <w:r w:rsidR="006D61F0">
        <w:t>1</w:t>
      </w:r>
      <w:r w:rsidR="003F1CB3">
        <w:fldChar w:fldCharType="end"/>
      </w:r>
    </w:p>
    <w:p w:rsidR="003F1CB3" w:rsidRPr="003F1CB3" w:rsidRDefault="003F1CB3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fr-CH"/>
        </w:rPr>
      </w:pPr>
      <w:r>
        <w:t>Introduction</w:t>
      </w:r>
      <w:r>
        <w:tab/>
      </w:r>
      <w:r>
        <w:fldChar w:fldCharType="begin"/>
      </w:r>
      <w:r>
        <w:instrText xml:space="preserve"> PAGEREF _Toc525113843 \h </w:instrText>
      </w:r>
      <w:r>
        <w:fldChar w:fldCharType="separate"/>
      </w:r>
      <w:r w:rsidR="006D61F0">
        <w:t>2</w:t>
      </w:r>
      <w:r>
        <w:fldChar w:fldCharType="end"/>
      </w:r>
    </w:p>
    <w:p w:rsidR="003F1CB3" w:rsidRPr="003F1CB3" w:rsidRDefault="003F1CB3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fr-CH"/>
        </w:rPr>
      </w:pPr>
      <w:r>
        <w:t>PrÉsentation gÉnÉrale du matÉriel d’information</w:t>
      </w:r>
      <w:r>
        <w:tab/>
      </w:r>
      <w:r>
        <w:fldChar w:fldCharType="begin"/>
      </w:r>
      <w:r>
        <w:instrText xml:space="preserve"> PAGEREF _Toc525113844 \h </w:instrText>
      </w:r>
      <w:r>
        <w:fldChar w:fldCharType="separate"/>
      </w:r>
      <w:r w:rsidR="006D61F0">
        <w:t>2</w:t>
      </w:r>
      <w:r>
        <w:fldChar w:fldCharType="end"/>
      </w:r>
    </w:p>
    <w:p w:rsidR="003F1CB3" w:rsidRPr="003F1CB3" w:rsidRDefault="003F1CB3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fr-CH"/>
        </w:rPr>
      </w:pPr>
      <w:r>
        <w:t>MatÉriel d’information</w:t>
      </w:r>
      <w:r>
        <w:tab/>
      </w:r>
      <w:r>
        <w:fldChar w:fldCharType="begin"/>
      </w:r>
      <w:r>
        <w:instrText xml:space="preserve"> PAGEREF _Toc525113845 \h </w:instrText>
      </w:r>
      <w:r>
        <w:fldChar w:fldCharType="separate"/>
      </w:r>
      <w:r w:rsidR="006D61F0">
        <w:t>2</w:t>
      </w:r>
      <w:r>
        <w:fldChar w:fldCharType="end"/>
      </w:r>
    </w:p>
    <w:p w:rsidR="003F1CB3" w:rsidRPr="003F1CB3" w:rsidRDefault="003F1C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6C4698">
        <w:rPr>
          <w:rFonts w:cs="Arial"/>
          <w:noProof/>
          <w:lang w:val="fr-FR"/>
        </w:rPr>
        <w:t>Bulletin type de l’UPOV de la protection des obtentions végétales (révision)</w:t>
      </w:r>
      <w:r w:rsidRPr="003F1CB3">
        <w:rPr>
          <w:noProof/>
          <w:lang w:val="fr-CH"/>
        </w:rPr>
        <w:tab/>
      </w:r>
      <w:r>
        <w:rPr>
          <w:noProof/>
        </w:rPr>
        <w:fldChar w:fldCharType="begin"/>
      </w:r>
      <w:r w:rsidRPr="003F1CB3">
        <w:rPr>
          <w:noProof/>
          <w:lang w:val="fr-CH"/>
        </w:rPr>
        <w:instrText xml:space="preserve"> PAGEREF _Toc525113846 \h </w:instrText>
      </w:r>
      <w:r>
        <w:rPr>
          <w:noProof/>
        </w:rPr>
      </w:r>
      <w:r>
        <w:rPr>
          <w:noProof/>
        </w:rPr>
        <w:fldChar w:fldCharType="separate"/>
      </w:r>
      <w:r w:rsidR="006D61F0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3F1CB3" w:rsidRPr="003F1CB3" w:rsidRDefault="003F1C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6C4698">
        <w:rPr>
          <w:rFonts w:cs="Arial"/>
          <w:noProof/>
          <w:lang w:val="fr-FR"/>
        </w:rPr>
        <w:t>Notes explicatives sur les dénominations variétales selon la Convention UPOV (révision)</w:t>
      </w:r>
      <w:r w:rsidRPr="003F1CB3">
        <w:rPr>
          <w:noProof/>
          <w:lang w:val="fr-CH"/>
        </w:rPr>
        <w:tab/>
      </w:r>
      <w:r>
        <w:rPr>
          <w:noProof/>
        </w:rPr>
        <w:fldChar w:fldCharType="begin"/>
      </w:r>
      <w:r w:rsidRPr="003F1CB3">
        <w:rPr>
          <w:noProof/>
          <w:lang w:val="fr-CH"/>
        </w:rPr>
        <w:instrText xml:space="preserve"> PAGEREF _Toc525113847 \h </w:instrText>
      </w:r>
      <w:r>
        <w:rPr>
          <w:noProof/>
        </w:rPr>
      </w:r>
      <w:r>
        <w:rPr>
          <w:noProof/>
        </w:rPr>
        <w:fldChar w:fldCharType="separate"/>
      </w:r>
      <w:r w:rsidR="006D61F0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3F1CB3" w:rsidRPr="003F1CB3" w:rsidRDefault="003F1CB3">
      <w:pPr>
        <w:pStyle w:val="TOC1"/>
        <w:rPr>
          <w:rFonts w:asciiTheme="minorHAnsi" w:eastAsiaTheme="minorEastAsia" w:hAnsiTheme="minorHAnsi" w:cstheme="minorBidi"/>
          <w:caps w:val="0"/>
          <w:snapToGrid/>
          <w:sz w:val="22"/>
          <w:szCs w:val="22"/>
          <w:lang w:val="fr-CH"/>
        </w:rPr>
      </w:pPr>
      <w:r>
        <w:t>Programme provisoire d’</w:t>
      </w:r>
      <w:r w:rsidRPr="006C4698">
        <w:rPr>
          <w:rFonts w:cs="Arial"/>
        </w:rPr>
        <w:t>é</w:t>
      </w:r>
      <w:r>
        <w:t>laboration de mat</w:t>
      </w:r>
      <w:r w:rsidRPr="006C4698">
        <w:rPr>
          <w:rFonts w:cs="Arial"/>
        </w:rPr>
        <w:t>é</w:t>
      </w:r>
      <w:r>
        <w:t>riel d’information</w:t>
      </w:r>
      <w:r>
        <w:tab/>
      </w:r>
      <w:r>
        <w:fldChar w:fldCharType="begin"/>
      </w:r>
      <w:r>
        <w:instrText xml:space="preserve"> PAGEREF _Toc525113848 \h </w:instrText>
      </w:r>
      <w:r>
        <w:fldChar w:fldCharType="separate"/>
      </w:r>
      <w:r w:rsidR="006D61F0">
        <w:t>5</w:t>
      </w:r>
      <w:r>
        <w:fldChar w:fldCharType="end"/>
      </w:r>
    </w:p>
    <w:p w:rsidR="001D5883" w:rsidRPr="0080591E" w:rsidRDefault="001D5883" w:rsidP="0080591E">
      <w:pPr>
        <w:tabs>
          <w:tab w:val="left" w:pos="9214"/>
        </w:tabs>
        <w:spacing w:before="200" w:after="120"/>
        <w:ind w:left="1134" w:hanging="1134"/>
        <w:rPr>
          <w:rFonts w:eastAsia="Arial Unicode MS" w:cs="Arial"/>
          <w:b/>
          <w:bCs/>
          <w:caps/>
          <w:noProof/>
          <w:sz w:val="18"/>
          <w:lang w:val="fr-CH"/>
        </w:rPr>
      </w:pPr>
      <w:r w:rsidRPr="004B0FC0">
        <w:rPr>
          <w:rFonts w:eastAsia="Arial Unicode MS" w:cs="Arial"/>
          <w:b/>
          <w:bCs/>
          <w:caps/>
          <w:noProof/>
          <w:sz w:val="18"/>
        </w:rPr>
        <w:fldChar w:fldCharType="end"/>
      </w:r>
      <w:r w:rsidR="0039205E">
        <w:rPr>
          <w:rFonts w:eastAsia="Arial Unicode MS"/>
          <w:sz w:val="18"/>
          <w:szCs w:val="18"/>
          <w:lang w:val="fr-FR"/>
        </w:rPr>
        <w:t>ANNEXE</w:t>
      </w:r>
      <w:r w:rsidR="0080591E">
        <w:rPr>
          <w:rFonts w:eastAsia="Arial Unicode MS"/>
          <w:sz w:val="18"/>
          <w:szCs w:val="18"/>
          <w:lang w:val="fr-FR"/>
        </w:rPr>
        <w:tab/>
      </w:r>
      <w:r w:rsidR="00A63181" w:rsidRPr="001A2BC6">
        <w:rPr>
          <w:rFonts w:eastAsia="Arial Unicode MS"/>
          <w:sz w:val="18"/>
          <w:szCs w:val="18"/>
          <w:lang w:val="fr-FR"/>
        </w:rPr>
        <w:t>APERÇU GÉNÉRAL DES MATÉRIELS D</w:t>
      </w:r>
      <w:r w:rsidR="00867AFB">
        <w:rPr>
          <w:rFonts w:eastAsia="Arial Unicode MS"/>
          <w:sz w:val="18"/>
          <w:szCs w:val="18"/>
          <w:lang w:val="fr-FR"/>
        </w:rPr>
        <w:t>’</w:t>
      </w:r>
      <w:r w:rsidR="00A63181" w:rsidRPr="001A2BC6">
        <w:rPr>
          <w:rFonts w:eastAsia="Arial Unicode MS"/>
          <w:sz w:val="18"/>
          <w:szCs w:val="18"/>
          <w:lang w:val="fr-FR"/>
        </w:rPr>
        <w:t>INFORMATION ÉLABORÉS ET EN COURS D</w:t>
      </w:r>
      <w:r w:rsidR="00867AFB">
        <w:rPr>
          <w:rFonts w:eastAsia="Arial Unicode MS"/>
          <w:sz w:val="18"/>
          <w:szCs w:val="18"/>
          <w:lang w:val="fr-FR"/>
        </w:rPr>
        <w:t>’</w:t>
      </w:r>
      <w:r w:rsidR="00A63181" w:rsidRPr="001A2BC6">
        <w:rPr>
          <w:rFonts w:eastAsia="Arial Unicode MS"/>
          <w:sz w:val="18"/>
          <w:szCs w:val="18"/>
          <w:lang w:val="fr-FR"/>
        </w:rPr>
        <w:t>ÉLABORATION</w:t>
      </w:r>
    </w:p>
    <w:p w:rsidR="001D5883" w:rsidRDefault="001D5883" w:rsidP="001D5883">
      <w:pPr>
        <w:rPr>
          <w:lang w:val="fr-FR"/>
        </w:rPr>
      </w:pPr>
    </w:p>
    <w:p w:rsidR="0080591E" w:rsidRPr="001A2BC6" w:rsidRDefault="0080591E" w:rsidP="001D5883">
      <w:pPr>
        <w:rPr>
          <w:lang w:val="fr-FR"/>
        </w:rPr>
      </w:pPr>
    </w:p>
    <w:p w:rsidR="001D5883" w:rsidRPr="001A2BC6" w:rsidRDefault="001D5883" w:rsidP="001D5883">
      <w:pPr>
        <w:rPr>
          <w:lang w:val="fr-FR"/>
        </w:rPr>
      </w:pPr>
    </w:p>
    <w:p w:rsidR="001D5883" w:rsidRPr="0080591E" w:rsidRDefault="001004A5" w:rsidP="0080591E">
      <w:pPr>
        <w:pStyle w:val="Heading1"/>
      </w:pPr>
      <w:bookmarkStart w:id="4" w:name="_Toc525113843"/>
      <w:r w:rsidRPr="0080591E">
        <w:t>Introduction</w:t>
      </w:r>
      <w:bookmarkEnd w:id="4"/>
    </w:p>
    <w:p w:rsidR="001D5883" w:rsidRPr="001A2BC6" w:rsidRDefault="001D5883" w:rsidP="001D5883">
      <w:pPr>
        <w:keepNext/>
        <w:rPr>
          <w:lang w:val="fr-FR"/>
        </w:rPr>
      </w:pPr>
    </w:p>
    <w:p w:rsidR="00867AFB" w:rsidRDefault="001D5883" w:rsidP="001D5883">
      <w:pPr>
        <w:autoSpaceDE w:val="0"/>
        <w:rPr>
          <w:rFonts w:cs="Arial"/>
          <w:lang w:val="fr-FR"/>
        </w:rPr>
      </w:pPr>
      <w:r w:rsidRPr="00980611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980611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c</w:t>
      </w:r>
      <w:r w:rsidR="00980611" w:rsidRPr="001A2BC6">
        <w:rPr>
          <w:rFonts w:cs="Arial"/>
          <w:lang w:val="fr-FR"/>
        </w:rPr>
        <w:t>inquante</w:t>
      </w:r>
      <w:r w:rsidR="00C27E30">
        <w:rPr>
          <w:rFonts w:cs="Arial"/>
          <w:lang w:val="fr-FR"/>
        </w:rPr>
        <w:noBreakHyphen/>
      </w:r>
      <w:r w:rsidR="00980611" w:rsidRPr="001A2BC6">
        <w:rPr>
          <w:rFonts w:cs="Arial"/>
          <w:lang w:val="fr-FR"/>
        </w:rPr>
        <w:t>deux</w:t>
      </w:r>
      <w:r w:rsidR="00867AFB">
        <w:rPr>
          <w:rFonts w:cs="Arial"/>
          <w:lang w:val="fr-FR"/>
        </w:rPr>
        <w:t>ième session</w:t>
      </w:r>
      <w:r w:rsidR="0039205E" w:rsidRPr="00980611">
        <w:rPr>
          <w:rStyle w:val="FootnoteReference"/>
          <w:rFonts w:cs="Arial"/>
        </w:rPr>
        <w:footnoteReference w:id="2"/>
      </w:r>
      <w:r w:rsidR="00980611" w:rsidRPr="001A2BC6">
        <w:rPr>
          <w:rFonts w:cs="Arial"/>
          <w:lang w:val="fr-FR"/>
        </w:rPr>
        <w:t>,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B35316" w:rsidRPr="001A2BC6">
        <w:rPr>
          <w:rFonts w:cs="Arial"/>
          <w:lang w:val="fr-FR"/>
        </w:rPr>
        <w:t xml:space="preserve"> était convenu d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une méthode pour l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élaboration de matériel d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 xml:space="preserve">information concernant la </w:t>
      </w:r>
      <w:r w:rsidR="00867AFB">
        <w:rPr>
          <w:rFonts w:cs="Arial"/>
          <w:lang w:val="fr-FR"/>
        </w:rPr>
        <w:t>Convention UPOV</w:t>
      </w:r>
      <w:r w:rsidRPr="00980611">
        <w:rPr>
          <w:rStyle w:val="FootnoteReference"/>
          <w:rFonts w:cs="Arial"/>
        </w:rPr>
        <w:footnoteReference w:id="3"/>
      </w:r>
      <w:r w:rsidR="00522BE0">
        <w:rPr>
          <w:rFonts w:cs="Arial"/>
          <w:lang w:val="fr-FR"/>
        </w:rPr>
        <w:t xml:space="preserve">. </w:t>
      </w:r>
      <w:r w:rsidR="00C7626A">
        <w:rPr>
          <w:rFonts w:cs="Arial"/>
          <w:lang w:val="fr-FR"/>
        </w:rPr>
        <w:t xml:space="preserve"> </w:t>
      </w:r>
      <w:r w:rsidR="00980611" w:rsidRPr="001A2BC6">
        <w:rPr>
          <w:rFonts w:cs="Arial"/>
          <w:lang w:val="fr-FR"/>
        </w:rPr>
        <w:t>Il était également convenu de la création d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un groupe consultatif</w:t>
      </w:r>
      <w:r w:rsidR="00867AFB" w:rsidRPr="001A2BC6">
        <w:rPr>
          <w:rFonts w:cs="Arial"/>
          <w:lang w:val="fr-FR"/>
        </w:rPr>
        <w:t xml:space="preserve"> du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980611" w:rsidRPr="001A2BC6">
        <w:rPr>
          <w:rFonts w:cs="Arial"/>
          <w:lang w:val="fr-FR"/>
        </w:rPr>
        <w:t xml:space="preserve"> (“CAJ</w:t>
      </w:r>
      <w:r w:rsidR="00C27E30">
        <w:rPr>
          <w:rFonts w:cs="Arial"/>
          <w:lang w:val="fr-FR"/>
        </w:rPr>
        <w:noBreakHyphen/>
      </w:r>
      <w:r w:rsidR="00980611" w:rsidRPr="001A2BC6">
        <w:rPr>
          <w:rFonts w:cs="Arial"/>
          <w:lang w:val="fr-FR"/>
        </w:rPr>
        <w:t>AG”) chargé d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aider à élaborer des d</w:t>
      </w:r>
      <w:r w:rsidR="00522BE0">
        <w:rPr>
          <w:rFonts w:cs="Arial"/>
          <w:lang w:val="fr-FR"/>
        </w:rPr>
        <w:t>ocuments relatifs à ce matériel</w:t>
      </w:r>
      <w:r w:rsidRPr="00980611">
        <w:rPr>
          <w:rStyle w:val="FootnoteReference"/>
          <w:rFonts w:cs="Arial"/>
        </w:rPr>
        <w:footnoteReference w:id="4"/>
      </w:r>
      <w:r w:rsidR="00522BE0">
        <w:rPr>
          <w:rFonts w:cs="Arial"/>
          <w:lang w:val="fr-FR"/>
        </w:rPr>
        <w:t xml:space="preserve">. </w:t>
      </w:r>
      <w:r w:rsidR="00AB2DA2">
        <w:rPr>
          <w:rFonts w:cs="Arial"/>
          <w:lang w:val="fr-FR"/>
        </w:rPr>
        <w:t xml:space="preserve"> </w:t>
      </w:r>
      <w:r w:rsidR="00980611" w:rsidRPr="001A2BC6">
        <w:rPr>
          <w:rFonts w:cs="Arial"/>
          <w:lang w:val="fr-FR"/>
        </w:rPr>
        <w:t>La méthode convenue était résumée comme suit</w:t>
      </w:r>
      <w:r w:rsidR="00867AFB">
        <w:rPr>
          <w:rFonts w:cs="Arial"/>
          <w:lang w:val="fr-FR"/>
        </w:rPr>
        <w:t> :</w:t>
      </w:r>
      <w:r w:rsidR="00980611" w:rsidRPr="001A2BC6">
        <w:rPr>
          <w:rFonts w:cs="Arial"/>
          <w:lang w:val="fr-FR"/>
        </w:rPr>
        <w:t xml:space="preserve"> le Bureau de l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Union élaborerait certains projets de matériel traitant de questions qu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il estimait simples et il les diffuserait auprès</w:t>
      </w:r>
      <w:r w:rsidR="00867AFB" w:rsidRPr="001A2BC6">
        <w:rPr>
          <w:rFonts w:cs="Arial"/>
          <w:lang w:val="fr-FR"/>
        </w:rPr>
        <w:t xml:space="preserve"> du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980611" w:rsidRPr="001A2BC6">
        <w:rPr>
          <w:rFonts w:cs="Arial"/>
          <w:lang w:val="fr-FR"/>
        </w:rPr>
        <w:t xml:space="preserve"> pour que soient formulées des observations dans un délai impar</w:t>
      </w:r>
      <w:r w:rsidR="004A52D9" w:rsidRPr="001A2BC6">
        <w:rPr>
          <w:rFonts w:cs="Arial"/>
          <w:lang w:val="fr-FR"/>
        </w:rPr>
        <w:t>ti</w:t>
      </w:r>
      <w:r w:rsidR="004A52D9">
        <w:rPr>
          <w:rFonts w:cs="Arial"/>
          <w:lang w:val="fr-FR"/>
        </w:rPr>
        <w:t xml:space="preserve">.  </w:t>
      </w:r>
      <w:r w:rsidR="004A52D9" w:rsidRPr="001A2BC6">
        <w:rPr>
          <w:rFonts w:cs="Arial"/>
          <w:lang w:val="fr-FR"/>
        </w:rPr>
        <w:t>Da</w:t>
      </w:r>
      <w:r w:rsidR="00980611" w:rsidRPr="001A2BC6">
        <w:rPr>
          <w:rFonts w:cs="Arial"/>
          <w:lang w:val="fr-FR"/>
        </w:rPr>
        <w:t>ns d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autres cas, lorsqu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il était estimé que les questions étaient délicates et que les délibérations à une session</w:t>
      </w:r>
      <w:r w:rsidR="00867AFB" w:rsidRPr="001A2BC6">
        <w:rPr>
          <w:rFonts w:cs="Arial"/>
          <w:lang w:val="fr-FR"/>
        </w:rPr>
        <w:t xml:space="preserve"> du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980611" w:rsidRPr="001A2BC6">
        <w:rPr>
          <w:rFonts w:cs="Arial"/>
          <w:lang w:val="fr-FR"/>
        </w:rPr>
        <w:t xml:space="preserve"> revêtaient de l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importance pour l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élaboration de matériel d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information approprié, mais également dans les cas où un projet de texte traitant d</w:t>
      </w:r>
      <w:r w:rsidR="00867AFB">
        <w:rPr>
          <w:rFonts w:cs="Arial"/>
          <w:lang w:val="fr-FR"/>
        </w:rPr>
        <w:t>’</w:t>
      </w:r>
      <w:r w:rsidR="00980611" w:rsidRPr="001A2BC6">
        <w:rPr>
          <w:rFonts w:cs="Arial"/>
          <w:lang w:val="fr-FR"/>
        </w:rPr>
        <w:t>une question apparemment simple aurait soulevé des difficultés inattendues lors de sa diffusion pour observations, il serait fait appel</w:t>
      </w:r>
      <w:r w:rsidR="00867AFB" w:rsidRPr="001A2BC6">
        <w:rPr>
          <w:rFonts w:cs="Arial"/>
          <w:lang w:val="fr-FR"/>
        </w:rPr>
        <w:t xml:space="preserve"> au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C27E30">
        <w:rPr>
          <w:rFonts w:cs="Arial"/>
          <w:lang w:val="fr-FR"/>
        </w:rPr>
        <w:noBreakHyphen/>
      </w:r>
      <w:r w:rsidR="00980611" w:rsidRPr="001A2BC6">
        <w:rPr>
          <w:rFonts w:cs="Arial"/>
          <w:lang w:val="fr-FR"/>
        </w:rPr>
        <w:t>AG avant que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980611" w:rsidRPr="001A2BC6">
        <w:rPr>
          <w:rFonts w:cs="Arial"/>
          <w:lang w:val="fr-FR"/>
        </w:rPr>
        <w:t xml:space="preserve"> soit invité à en délibérer à sa session</w:t>
      </w:r>
      <w:r w:rsidR="00522BE0">
        <w:rPr>
          <w:rFonts w:cs="Arial"/>
          <w:lang w:val="fr-FR"/>
        </w:rPr>
        <w:t>.</w:t>
      </w: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tabs>
          <w:tab w:val="left" w:pos="567"/>
        </w:tabs>
        <w:autoSpaceDE w:val="0"/>
        <w:rPr>
          <w:rFonts w:cs="Arial"/>
          <w:lang w:val="fr-FR"/>
        </w:rPr>
      </w:pPr>
      <w:r w:rsidRPr="00980611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980611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dix</w:t>
      </w:r>
      <w:r w:rsidR="00867AFB">
        <w:rPr>
          <w:rFonts w:cs="Arial"/>
          <w:lang w:val="fr-FR"/>
        </w:rPr>
        <w:t>ième session</w:t>
      </w:r>
      <w:r w:rsidRPr="00980611">
        <w:rPr>
          <w:rStyle w:val="FootnoteReference"/>
          <w:rFonts w:cs="Arial"/>
        </w:rPr>
        <w:footnoteReference w:id="5"/>
      </w:r>
      <w:r w:rsidR="00522BE0">
        <w:rPr>
          <w:rFonts w:cs="Arial"/>
          <w:lang w:val="fr-FR"/>
        </w:rPr>
        <w:t>,</w:t>
      </w:r>
      <w:r w:rsidR="00867AFB">
        <w:rPr>
          <w:rFonts w:cs="Arial"/>
          <w:lang w:val="fr-FR"/>
        </w:rPr>
        <w:t xml:space="preserve"> </w:t>
      </w:r>
      <w:r w:rsidR="00867AFB" w:rsidRPr="001A2BC6">
        <w:rPr>
          <w:rFonts w:cs="Arial"/>
          <w:lang w:val="fr-FR"/>
        </w:rPr>
        <w:t>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</w:t>
      </w:r>
      <w:r w:rsidR="00522BE0">
        <w:rPr>
          <w:rFonts w:cs="Arial"/>
          <w:lang w:val="fr-FR"/>
        </w:rPr>
        <w:t>était</w:t>
      </w:r>
      <w:r w:rsidRPr="001A2BC6">
        <w:rPr>
          <w:rFonts w:cs="Arial"/>
          <w:lang w:val="fr-FR"/>
        </w:rPr>
        <w:t xml:space="preserve"> convenu que toutes les questions examinées par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AG à sa neuv</w:t>
      </w:r>
      <w:r w:rsidR="00867AFB">
        <w:rPr>
          <w:rFonts w:cs="Arial"/>
          <w:lang w:val="fr-FR"/>
        </w:rPr>
        <w:t>ième session</w:t>
      </w:r>
      <w:r w:rsidRPr="00980611">
        <w:rPr>
          <w:rStyle w:val="FootnoteReference"/>
          <w:rFonts w:cs="Arial"/>
        </w:rPr>
        <w:footnoteReference w:id="6"/>
      </w:r>
      <w:r w:rsidRPr="001A2BC6">
        <w:rPr>
          <w:rFonts w:cs="Arial"/>
          <w:lang w:val="fr-FR"/>
        </w:rPr>
        <w:t xml:space="preserve"> devraient, après ladite session</w:t>
      </w:r>
      <w:r w:rsidR="00867AFB" w:rsidRPr="001A2BC6">
        <w:rPr>
          <w:rFonts w:cs="Arial"/>
          <w:lang w:val="fr-FR"/>
        </w:rPr>
        <w:t xml:space="preserve"> du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AG, être examinées par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>, et que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AG devrait uniquement se réunir de façon ponctuelle, selon que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le jugerait approprié</w:t>
      </w:r>
      <w:r w:rsidRPr="00980611">
        <w:rPr>
          <w:rStyle w:val="FootnoteReference"/>
          <w:rFonts w:cs="Arial"/>
        </w:rPr>
        <w:footnoteReference w:id="7"/>
      </w:r>
      <w:r w:rsidR="00522BE0">
        <w:rPr>
          <w:rFonts w:cs="Arial"/>
          <w:lang w:val="fr-FR"/>
        </w:rPr>
        <w:t>.</w:t>
      </w:r>
    </w:p>
    <w:p w:rsidR="001D5883" w:rsidRPr="001A2BC6" w:rsidRDefault="001D5883" w:rsidP="001D5883">
      <w:pPr>
        <w:tabs>
          <w:tab w:val="left" w:pos="567"/>
        </w:tabs>
        <w:rPr>
          <w:rFonts w:cs="Arial"/>
          <w:lang w:val="fr-FR"/>
        </w:rPr>
      </w:pP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004A5" w:rsidP="0080591E">
      <w:pPr>
        <w:pStyle w:val="Heading1"/>
      </w:pPr>
      <w:bookmarkStart w:id="5" w:name="_Toc525113844"/>
      <w:r w:rsidRPr="001A2BC6">
        <w:t>Pr</w:t>
      </w:r>
      <w:r w:rsidR="008671FE" w:rsidRPr="008671FE">
        <w:t>É</w:t>
      </w:r>
      <w:r w:rsidRPr="001A2BC6">
        <w:t>sentation g</w:t>
      </w:r>
      <w:r w:rsidR="008671FE" w:rsidRPr="008671FE">
        <w:t>É</w:t>
      </w:r>
      <w:r w:rsidRPr="001A2BC6">
        <w:t>n</w:t>
      </w:r>
      <w:r w:rsidR="008671FE" w:rsidRPr="008671FE">
        <w:t>É</w:t>
      </w:r>
      <w:r w:rsidRPr="001A2BC6">
        <w:t>rale du mat</w:t>
      </w:r>
      <w:r w:rsidR="008671FE" w:rsidRPr="008671FE">
        <w:t>É</w:t>
      </w:r>
      <w:r w:rsidRPr="001A2BC6">
        <w:t>riel d</w:t>
      </w:r>
      <w:r>
        <w:t>’</w:t>
      </w:r>
      <w:r w:rsidRPr="001A2BC6">
        <w:t>information</w:t>
      </w:r>
      <w:bookmarkEnd w:id="5"/>
      <w:r w:rsidR="008671FE">
        <w:t xml:space="preserve"> </w:t>
      </w:r>
    </w:p>
    <w:p w:rsidR="001D5883" w:rsidRPr="001A2BC6" w:rsidRDefault="001D5883" w:rsidP="001D5883">
      <w:pPr>
        <w:keepNext/>
        <w:rPr>
          <w:rFonts w:cs="Arial"/>
          <w:lang w:val="fr-FR"/>
        </w:rPr>
      </w:pPr>
    </w:p>
    <w:p w:rsidR="001D5883" w:rsidRPr="001A2BC6" w:rsidRDefault="001D5883" w:rsidP="001D5883">
      <w:pPr>
        <w:rPr>
          <w:rFonts w:cs="Arial"/>
          <w:lang w:val="fr-FR"/>
        </w:rPr>
      </w:pPr>
      <w:r w:rsidRPr="00980611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980611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annexe du présent document contient une présentation générale du matériel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information élaboré et en cours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élaboration</w:t>
      </w:r>
      <w:r w:rsidR="00522BE0">
        <w:rPr>
          <w:rFonts w:cs="Arial"/>
          <w:lang w:val="fr-FR"/>
        </w:rPr>
        <w:t>.</w:t>
      </w:r>
    </w:p>
    <w:p w:rsidR="001D5883" w:rsidRPr="001A2BC6" w:rsidRDefault="001D5883" w:rsidP="001D5883">
      <w:pPr>
        <w:rPr>
          <w:rFonts w:cs="Arial"/>
          <w:lang w:val="fr-FR"/>
        </w:rPr>
      </w:pPr>
    </w:p>
    <w:p w:rsidR="00127ABF" w:rsidRDefault="00127ABF" w:rsidP="001D5883">
      <w:pPr>
        <w:rPr>
          <w:rFonts w:cs="Arial"/>
          <w:lang w:val="fr-FR"/>
        </w:rPr>
      </w:pPr>
    </w:p>
    <w:p w:rsidR="00F41CD6" w:rsidRPr="001A2BC6" w:rsidRDefault="00F41CD6" w:rsidP="001D5883">
      <w:pPr>
        <w:rPr>
          <w:rFonts w:cs="Arial"/>
          <w:lang w:val="fr-FR"/>
        </w:rPr>
      </w:pPr>
    </w:p>
    <w:p w:rsidR="001D5883" w:rsidRPr="001A2BC6" w:rsidRDefault="001004A5" w:rsidP="0080591E">
      <w:pPr>
        <w:pStyle w:val="Heading1"/>
      </w:pPr>
      <w:bookmarkStart w:id="6" w:name="_Toc525113845"/>
      <w:r w:rsidRPr="001A2BC6">
        <w:t>Mat</w:t>
      </w:r>
      <w:r w:rsidR="008671FE" w:rsidRPr="008671FE">
        <w:t>É</w:t>
      </w:r>
      <w:r w:rsidRPr="001A2BC6">
        <w:t>riel d</w:t>
      </w:r>
      <w:r>
        <w:t>’</w:t>
      </w:r>
      <w:r w:rsidRPr="001A2BC6">
        <w:t>information</w:t>
      </w:r>
      <w:bookmarkEnd w:id="6"/>
    </w:p>
    <w:p w:rsidR="001D5883" w:rsidRPr="001A2BC6" w:rsidRDefault="001D5883" w:rsidP="001D5883">
      <w:pPr>
        <w:rPr>
          <w:rFonts w:cs="Arial"/>
          <w:lang w:val="fr-FR"/>
        </w:rPr>
      </w:pPr>
    </w:p>
    <w:p w:rsidR="00B1388A" w:rsidRPr="001A2BC6" w:rsidRDefault="00D07235" w:rsidP="006D7748">
      <w:pPr>
        <w:rPr>
          <w:rFonts w:cs="Arial"/>
          <w:lang w:val="fr-FR"/>
        </w:rPr>
      </w:pPr>
      <w:r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</w:r>
      <w:r w:rsidR="006D7748" w:rsidRPr="001A2BC6">
        <w:rPr>
          <w:rFonts w:cs="Arial"/>
          <w:lang w:val="fr-FR"/>
        </w:rPr>
        <w:t>À sa soixante</w:t>
      </w:r>
      <w:r w:rsidR="00C27E30">
        <w:rPr>
          <w:rFonts w:cs="Arial"/>
          <w:lang w:val="fr-FR"/>
        </w:rPr>
        <w:noBreakHyphen/>
      </w:r>
      <w:r w:rsidR="006D7748" w:rsidRPr="001A2BC6">
        <w:rPr>
          <w:rFonts w:cs="Arial"/>
          <w:lang w:val="fr-FR"/>
        </w:rPr>
        <w:t>quatorz</w:t>
      </w:r>
      <w:r w:rsidR="00867AFB">
        <w:rPr>
          <w:rFonts w:cs="Arial"/>
          <w:lang w:val="fr-FR"/>
        </w:rPr>
        <w:t>ième session</w:t>
      </w:r>
      <w:r w:rsidR="00B35316" w:rsidRPr="00DC1C2A">
        <w:rPr>
          <w:rStyle w:val="FootnoteReference"/>
          <w:rFonts w:cs="Arial"/>
        </w:rPr>
        <w:footnoteReference w:id="8"/>
      </w:r>
      <w:r w:rsidR="005D4EB2">
        <w:rPr>
          <w:rFonts w:cs="Arial"/>
          <w:lang w:val="fr-FR"/>
        </w:rPr>
        <w:t>,</w:t>
      </w:r>
      <w:r w:rsidR="00867AFB">
        <w:rPr>
          <w:rFonts w:cs="Arial"/>
          <w:lang w:val="fr-FR"/>
        </w:rPr>
        <w:t xml:space="preserve"> </w:t>
      </w:r>
      <w:r w:rsidR="00867AFB" w:rsidRPr="001A2BC6">
        <w:rPr>
          <w:rFonts w:cs="Arial"/>
          <w:lang w:val="fr-FR"/>
        </w:rPr>
        <w:t>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6D7748" w:rsidRPr="001A2BC6">
        <w:rPr>
          <w:rFonts w:cs="Arial"/>
          <w:lang w:val="fr-FR"/>
        </w:rPr>
        <w:t xml:space="preserve"> a examiné les observations</w:t>
      </w:r>
      <w:r w:rsidR="004A52D9">
        <w:rPr>
          <w:rFonts w:cs="Arial"/>
          <w:lang w:val="fr-FR"/>
        </w:rPr>
        <w:t xml:space="preserve"> formulées au sujet du document </w:t>
      </w:r>
      <w:r w:rsidR="006D7748" w:rsidRPr="001A2BC6">
        <w:rPr>
          <w:rFonts w:cs="Arial"/>
          <w:lang w:val="fr-FR"/>
        </w:rPr>
        <w:t>UPOV/EXN/EDV/2 “Notes explicatives sur les variétés essentiellement dérivées selon l</w:t>
      </w:r>
      <w:r w:rsidR="00867AFB">
        <w:rPr>
          <w:rFonts w:cs="Arial"/>
          <w:lang w:val="fr-FR"/>
        </w:rPr>
        <w:t>’</w:t>
      </w:r>
      <w:r w:rsidR="006D7748" w:rsidRPr="001A2BC6">
        <w:rPr>
          <w:rFonts w:cs="Arial"/>
          <w:lang w:val="fr-FR"/>
        </w:rPr>
        <w:t xml:space="preserve">Acte </w:t>
      </w:r>
      <w:r w:rsidR="00867AFB" w:rsidRPr="001A2BC6">
        <w:rPr>
          <w:rFonts w:cs="Arial"/>
          <w:lang w:val="fr-FR"/>
        </w:rPr>
        <w:t>de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1991</w:t>
      </w:r>
      <w:r w:rsidR="006D7748" w:rsidRPr="001A2BC6">
        <w:rPr>
          <w:rFonts w:cs="Arial"/>
          <w:lang w:val="fr-FR"/>
        </w:rPr>
        <w:t xml:space="preserve"> de la </w:t>
      </w:r>
      <w:r w:rsidR="00867AFB">
        <w:rPr>
          <w:rFonts w:cs="Arial"/>
          <w:lang w:val="fr-FR"/>
        </w:rPr>
        <w:t>Convention UPOV</w:t>
      </w:r>
      <w:r w:rsidR="004A52D9">
        <w:rPr>
          <w:rFonts w:cs="Arial"/>
          <w:lang w:val="fr-FR"/>
        </w:rPr>
        <w:t>”, du document </w:t>
      </w:r>
      <w:r w:rsidR="006D7748" w:rsidRPr="001A2BC6">
        <w:rPr>
          <w:rFonts w:cs="Arial"/>
          <w:lang w:val="fr-FR"/>
        </w:rPr>
        <w:t>UPOV/EXN/CAL/1 “Notes explicatives sur les conditions et limitations relatives à l</w:t>
      </w:r>
      <w:r w:rsidR="00867AFB">
        <w:rPr>
          <w:rFonts w:cs="Arial"/>
          <w:lang w:val="fr-FR"/>
        </w:rPr>
        <w:t>’</w:t>
      </w:r>
      <w:r w:rsidR="006D7748" w:rsidRPr="001A2BC6">
        <w:rPr>
          <w:rFonts w:cs="Arial"/>
          <w:lang w:val="fr-FR"/>
        </w:rPr>
        <w:t>autorisation de l</w:t>
      </w:r>
      <w:r w:rsidR="00867AFB">
        <w:rPr>
          <w:rFonts w:cs="Arial"/>
          <w:lang w:val="fr-FR"/>
        </w:rPr>
        <w:t>’</w:t>
      </w:r>
      <w:r w:rsidR="006D7748" w:rsidRPr="001A2BC6">
        <w:rPr>
          <w:rFonts w:cs="Arial"/>
          <w:lang w:val="fr-FR"/>
        </w:rPr>
        <w:t xml:space="preserve">obtenteur </w:t>
      </w:r>
      <w:r w:rsidR="00867AFB">
        <w:rPr>
          <w:rFonts w:cs="Arial"/>
          <w:lang w:val="fr-FR"/>
        </w:rPr>
        <w:t>à l’égard</w:t>
      </w:r>
      <w:r w:rsidR="006D7748" w:rsidRPr="001A2BC6">
        <w:rPr>
          <w:rFonts w:cs="Arial"/>
          <w:lang w:val="fr-FR"/>
        </w:rPr>
        <w:t xml:space="preserve"> du matériel de reproduction ou de multiplication selon la </w:t>
      </w:r>
      <w:r w:rsidR="00867AFB">
        <w:rPr>
          <w:rFonts w:cs="Arial"/>
          <w:lang w:val="fr-FR"/>
        </w:rPr>
        <w:t>Convention UPOV</w:t>
      </w:r>
      <w:r w:rsidR="004A52D9">
        <w:rPr>
          <w:rFonts w:cs="Arial"/>
          <w:lang w:val="fr-FR"/>
        </w:rPr>
        <w:t>” et du document </w:t>
      </w:r>
      <w:r w:rsidR="006D7748" w:rsidRPr="001A2BC6">
        <w:rPr>
          <w:rFonts w:cs="Arial"/>
          <w:lang w:val="fr-FR"/>
        </w:rPr>
        <w:t xml:space="preserve">UPOV/EXN/PRP/2 “Notes explicatives sur la protection provisoire selon la </w:t>
      </w:r>
      <w:r w:rsidR="00867AFB">
        <w:rPr>
          <w:rFonts w:cs="Arial"/>
          <w:lang w:val="fr-FR"/>
        </w:rPr>
        <w:t>Convention UPOV</w:t>
      </w:r>
      <w:r w:rsidR="006D7748" w:rsidRPr="001A2BC6">
        <w:rPr>
          <w:rFonts w:cs="Arial"/>
          <w:lang w:val="fr-FR"/>
        </w:rPr>
        <w:t>”</w:t>
      </w:r>
      <w:r w:rsidR="00522BE0">
        <w:rPr>
          <w:rFonts w:cs="Arial"/>
          <w:lang w:val="fr-FR"/>
        </w:rPr>
        <w:t xml:space="preserve">.  </w:t>
      </w:r>
      <w:r w:rsidR="006D7748" w:rsidRPr="001A2BC6">
        <w:rPr>
          <w:rFonts w:cs="Arial"/>
          <w:lang w:val="fr-FR"/>
        </w:rPr>
        <w:t>Des informations générales concernant ces observations figu</w:t>
      </w:r>
      <w:r w:rsidR="00B304AD">
        <w:rPr>
          <w:rFonts w:cs="Arial"/>
          <w:lang w:val="fr-FR"/>
        </w:rPr>
        <w:t>rent dans les paragraphes 6 à 29</w:t>
      </w:r>
      <w:r w:rsidR="006D7748" w:rsidRPr="001A2BC6">
        <w:rPr>
          <w:rFonts w:cs="Arial"/>
          <w:lang w:val="fr-FR"/>
        </w:rPr>
        <w:t xml:space="preserve"> du document</w:t>
      </w:r>
      <w:r w:rsidR="004A52D9">
        <w:rPr>
          <w:rFonts w:cs="Arial"/>
          <w:lang w:val="fr-FR"/>
        </w:rPr>
        <w:t> </w:t>
      </w:r>
      <w:r w:rsidR="00B304AD">
        <w:rPr>
          <w:rFonts w:cs="Arial"/>
          <w:lang w:val="fr-FR"/>
        </w:rPr>
        <w:t>CAJ/74</w:t>
      </w:r>
      <w:r w:rsidR="006D7748" w:rsidRPr="001A2BC6">
        <w:rPr>
          <w:rFonts w:cs="Arial"/>
          <w:lang w:val="fr-FR"/>
        </w:rPr>
        <w:t>/2 “Élaboration de matériel d</w:t>
      </w:r>
      <w:r w:rsidR="00867AFB">
        <w:rPr>
          <w:rFonts w:cs="Arial"/>
          <w:lang w:val="fr-FR"/>
        </w:rPr>
        <w:t>’</w:t>
      </w:r>
      <w:r w:rsidR="006D7748" w:rsidRPr="001A2BC6">
        <w:rPr>
          <w:rFonts w:cs="Arial"/>
          <w:lang w:val="fr-FR"/>
        </w:rPr>
        <w:t xml:space="preserve">information concernant la </w:t>
      </w:r>
      <w:r w:rsidR="00867AFB">
        <w:rPr>
          <w:rFonts w:cs="Arial"/>
          <w:lang w:val="fr-FR"/>
        </w:rPr>
        <w:t>Convention UPOV</w:t>
      </w:r>
      <w:r w:rsidR="006D7748" w:rsidRPr="001A2BC6">
        <w:rPr>
          <w:rFonts w:cs="Arial"/>
          <w:lang w:val="fr-FR"/>
        </w:rPr>
        <w:t>”.</w:t>
      </w:r>
    </w:p>
    <w:p w:rsidR="00D07235" w:rsidRPr="001A2BC6" w:rsidRDefault="00D07235" w:rsidP="006D7748">
      <w:pPr>
        <w:rPr>
          <w:rFonts w:cs="Arial"/>
          <w:lang w:val="fr-FR"/>
        </w:rPr>
      </w:pPr>
    </w:p>
    <w:p w:rsidR="001D5883" w:rsidRPr="001A2BC6" w:rsidRDefault="001D5883" w:rsidP="001D5883">
      <w:pPr>
        <w:keepLines/>
        <w:rPr>
          <w:rFonts w:cs="Arial"/>
          <w:lang w:val="fr-FR"/>
        </w:rPr>
      </w:pPr>
      <w:r w:rsidRPr="00DC1C2A">
        <w:rPr>
          <w:rFonts w:cs="Arial"/>
        </w:rPr>
        <w:lastRenderedPageBreak/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Après examen des commentaires figurant dans le 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CAJ/74/2,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</w:t>
      </w:r>
      <w:r w:rsidR="00814C3D">
        <w:rPr>
          <w:rFonts w:cs="Arial"/>
          <w:lang w:val="fr-FR"/>
        </w:rPr>
        <w:t>est</w:t>
      </w:r>
      <w:r w:rsidR="00814C3D" w:rsidRPr="001A2BC6">
        <w:rPr>
          <w:rFonts w:cs="Arial"/>
          <w:lang w:val="fr-FR"/>
        </w:rPr>
        <w:t xml:space="preserve"> </w:t>
      </w:r>
      <w:r w:rsidRPr="001A2BC6">
        <w:rPr>
          <w:rFonts w:cs="Arial"/>
          <w:lang w:val="fr-FR"/>
        </w:rPr>
        <w:t>convenu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inclure les trois</w:t>
      </w:r>
      <w:r w:rsidR="00AB2DA2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points ci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après dans le programme de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quinz</w:t>
      </w:r>
      <w:r w:rsidR="00867AFB">
        <w:rPr>
          <w:rFonts w:cs="Arial"/>
          <w:lang w:val="fr-FR"/>
        </w:rPr>
        <w:t>ième session</w:t>
      </w:r>
      <w:r w:rsidRPr="001A2BC6">
        <w:rPr>
          <w:rFonts w:cs="Arial"/>
          <w:lang w:val="fr-FR"/>
        </w:rPr>
        <w:t xml:space="preserve"> et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inviter les membres et les observateurs à présenter leurs points de vue sur les questions de fond indiquées</w:t>
      </w:r>
      <w:r w:rsidR="00867AFB">
        <w:rPr>
          <w:rFonts w:cs="Arial"/>
          <w:lang w:val="fr-FR"/>
        </w:rPr>
        <w:t> :</w:t>
      </w:r>
    </w:p>
    <w:p w:rsidR="001D5883" w:rsidRPr="001A2BC6" w:rsidRDefault="001D5883" w:rsidP="001D5883">
      <w:pPr>
        <w:keepLines/>
        <w:rPr>
          <w:rFonts w:cs="Arial"/>
          <w:lang w:val="fr-FR"/>
        </w:rPr>
      </w:pPr>
    </w:p>
    <w:p w:rsidR="001D5883" w:rsidRPr="001A2BC6" w:rsidRDefault="00CD7512" w:rsidP="00CD7512">
      <w:pPr>
        <w:keepLines/>
        <w:ind w:left="567" w:right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“a)</w:t>
      </w:r>
      <w:r w:rsidR="001D5883" w:rsidRPr="001A2BC6">
        <w:rPr>
          <w:rFonts w:cs="Arial"/>
          <w:sz w:val="18"/>
          <w:lang w:val="fr-FR"/>
        </w:rPr>
        <w:tab/>
        <w:t>Variétés essentiellement dérivées</w:t>
      </w: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</w:p>
    <w:p w:rsidR="001D5883" w:rsidRPr="001A2BC6" w:rsidRDefault="00021B8A" w:rsidP="00CD7512">
      <w:pPr>
        <w:keepLines/>
        <w:ind w:left="567" w:right="567" w:firstLine="567"/>
        <w:rPr>
          <w:rFonts w:cs="Arial"/>
          <w:sz w:val="18"/>
          <w:lang w:val="fr-FR"/>
        </w:rPr>
      </w:pPr>
      <w:r>
        <w:rPr>
          <w:rFonts w:cs="Arial"/>
          <w:sz w:val="18"/>
          <w:lang w:val="fr-FR"/>
        </w:rPr>
        <w:t>i)</w:t>
      </w:r>
      <w:r>
        <w:rPr>
          <w:rFonts w:cs="Arial"/>
          <w:sz w:val="18"/>
          <w:lang w:val="fr-FR"/>
        </w:rPr>
        <w:tab/>
        <w:t>caractères essentiels</w:t>
      </w:r>
    </w:p>
    <w:p w:rsidR="001D5883" w:rsidRPr="001A2BC6" w:rsidRDefault="001D5883" w:rsidP="00CD7512">
      <w:pPr>
        <w:keepLines/>
        <w:ind w:left="567" w:right="567" w:firstLine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ii)</w:t>
      </w:r>
      <w:r w:rsidRPr="001A2BC6">
        <w:rPr>
          <w:rFonts w:cs="Arial"/>
          <w:sz w:val="18"/>
          <w:lang w:val="fr-FR"/>
        </w:rPr>
        <w:tab/>
        <w:t>principalement dérivées</w:t>
      </w:r>
    </w:p>
    <w:p w:rsidR="001D5883" w:rsidRPr="001A2BC6" w:rsidRDefault="001D5883" w:rsidP="00CD7512">
      <w:pPr>
        <w:keepLines/>
        <w:ind w:left="567" w:right="567" w:firstLine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iii)</w:t>
      </w:r>
      <w:r w:rsidRPr="001A2BC6">
        <w:rPr>
          <w:rFonts w:cs="Arial"/>
          <w:sz w:val="18"/>
          <w:lang w:val="fr-FR"/>
        </w:rPr>
        <w:tab/>
        <w:t xml:space="preserve">dérivation indirecte, </w:t>
      </w:r>
      <w:r w:rsidR="00867AFB">
        <w:rPr>
          <w:rFonts w:cs="Arial"/>
          <w:sz w:val="18"/>
          <w:lang w:val="fr-FR"/>
        </w:rPr>
        <w:t>y compris</w:t>
      </w:r>
      <w:r w:rsidRPr="001A2BC6">
        <w:rPr>
          <w:rFonts w:cs="Arial"/>
          <w:sz w:val="18"/>
          <w:lang w:val="fr-FR"/>
        </w:rPr>
        <w:t xml:space="preserve"> par rapport aux lig</w:t>
      </w:r>
      <w:r w:rsidR="00021B8A">
        <w:rPr>
          <w:rFonts w:cs="Arial"/>
          <w:sz w:val="18"/>
          <w:lang w:val="fr-FR"/>
        </w:rPr>
        <w:t>nées parentales et aux hybrides</w:t>
      </w:r>
    </w:p>
    <w:p w:rsidR="001D5883" w:rsidRPr="001A2BC6" w:rsidRDefault="001D5883" w:rsidP="00CD7512">
      <w:pPr>
        <w:keepLines/>
        <w:ind w:left="567" w:right="567" w:firstLine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iv)</w:t>
      </w:r>
      <w:r w:rsidRPr="001A2BC6">
        <w:rPr>
          <w:rFonts w:cs="Arial"/>
          <w:sz w:val="18"/>
          <w:lang w:val="fr-FR"/>
        </w:rPr>
        <w:tab/>
        <w:t>évaluation des va</w:t>
      </w:r>
      <w:r w:rsidR="007106A6">
        <w:rPr>
          <w:rFonts w:cs="Arial"/>
          <w:sz w:val="18"/>
          <w:lang w:val="fr-FR"/>
        </w:rPr>
        <w:t>riétés essentiellement dérivées</w:t>
      </w: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b)</w:t>
      </w:r>
      <w:r w:rsidRPr="001A2BC6">
        <w:rPr>
          <w:rFonts w:cs="Arial"/>
          <w:sz w:val="18"/>
          <w:lang w:val="fr-FR"/>
        </w:rPr>
        <w:tab/>
        <w:t>Conditions et limitations relatives à l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>autorisation de l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 xml:space="preserve">obtenteur </w:t>
      </w:r>
      <w:r w:rsidR="00867AFB">
        <w:rPr>
          <w:rFonts w:cs="Arial"/>
          <w:sz w:val="18"/>
          <w:lang w:val="fr-FR"/>
        </w:rPr>
        <w:t>à l’égard</w:t>
      </w:r>
      <w:r w:rsidRPr="001A2BC6">
        <w:rPr>
          <w:rFonts w:cs="Arial"/>
          <w:sz w:val="18"/>
          <w:lang w:val="fr-FR"/>
        </w:rPr>
        <w:t xml:space="preserve"> du matériel de reproduction ou de multiplication</w:t>
      </w: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</w:p>
    <w:p w:rsidR="001D5883" w:rsidRPr="001A2BC6" w:rsidRDefault="00021B8A" w:rsidP="00CD7512">
      <w:pPr>
        <w:keepLines/>
        <w:ind w:left="567" w:right="567"/>
        <w:rPr>
          <w:rFonts w:cs="Arial"/>
          <w:sz w:val="18"/>
          <w:lang w:val="fr-FR"/>
        </w:rPr>
      </w:pPr>
      <w:r>
        <w:rPr>
          <w:rFonts w:cs="Arial"/>
          <w:sz w:val="18"/>
          <w:lang w:val="fr-FR"/>
        </w:rPr>
        <w:tab/>
      </w:r>
      <w:r w:rsidR="00867AFB">
        <w:rPr>
          <w:rFonts w:cs="Arial"/>
          <w:sz w:val="18"/>
          <w:lang w:val="fr-FR"/>
        </w:rPr>
        <w:t>-</w:t>
      </w:r>
      <w:r w:rsidR="001D5883" w:rsidRPr="001A2BC6">
        <w:rPr>
          <w:rFonts w:cs="Arial"/>
          <w:sz w:val="18"/>
          <w:lang w:val="fr-FR"/>
        </w:rPr>
        <w:t xml:space="preserve"> exemples appropriés de conditions et de limitations</w:t>
      </w: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</w:p>
    <w:p w:rsidR="001D5883" w:rsidRPr="001A2BC6" w:rsidRDefault="001D5883" w:rsidP="00CD7512">
      <w:pPr>
        <w:keepLines/>
        <w:ind w:left="567" w:right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>c)</w:t>
      </w:r>
      <w:r w:rsidRPr="001A2BC6">
        <w:rPr>
          <w:rFonts w:cs="Arial"/>
          <w:sz w:val="18"/>
          <w:lang w:val="fr-FR"/>
        </w:rPr>
        <w:tab/>
        <w:t>Étendue de la protection provisoire”</w:t>
      </w:r>
      <w:r w:rsidR="00CD7512" w:rsidRPr="001A2BC6">
        <w:rPr>
          <w:rFonts w:cs="Arial"/>
          <w:sz w:val="18"/>
          <w:lang w:val="fr-FR"/>
        </w:rPr>
        <w:t>.</w:t>
      </w:r>
    </w:p>
    <w:p w:rsidR="001D5883" w:rsidRPr="001A2BC6" w:rsidRDefault="001D5883" w:rsidP="00385538">
      <w:pPr>
        <w:rPr>
          <w:lang w:val="fr-FR"/>
        </w:rPr>
      </w:pPr>
    </w:p>
    <w:p w:rsidR="00D07235" w:rsidRPr="001A2BC6" w:rsidRDefault="001D5883" w:rsidP="001D5883">
      <w:pPr>
        <w:keepLines/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C</w:t>
      </w:r>
      <w:r w:rsidR="00513D05" w:rsidRPr="001A2BC6">
        <w:rPr>
          <w:rFonts w:cs="Arial"/>
          <w:lang w:val="fr-FR"/>
        </w:rPr>
        <w:t>ompte tenu de ce qui précède,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513D05" w:rsidRPr="001A2BC6">
        <w:rPr>
          <w:rFonts w:cs="Arial"/>
          <w:lang w:val="fr-FR"/>
        </w:rPr>
        <w:t xml:space="preserve"> sera invité à examiner, lors de sa soixante</w:t>
      </w:r>
      <w:r w:rsidR="00C27E30">
        <w:rPr>
          <w:rFonts w:cs="Arial"/>
          <w:lang w:val="fr-FR"/>
        </w:rPr>
        <w:noBreakHyphen/>
      </w:r>
      <w:r w:rsidR="00513D05" w:rsidRPr="001A2BC6">
        <w:rPr>
          <w:rFonts w:cs="Arial"/>
          <w:lang w:val="fr-FR"/>
        </w:rPr>
        <w:t>quinz</w:t>
      </w:r>
      <w:r w:rsidR="00867AFB">
        <w:rPr>
          <w:rFonts w:cs="Arial"/>
          <w:lang w:val="fr-FR"/>
        </w:rPr>
        <w:t>ième session</w:t>
      </w:r>
      <w:r w:rsidR="00513D05" w:rsidRPr="001A2BC6">
        <w:rPr>
          <w:rFonts w:cs="Arial"/>
          <w:lang w:val="fr-FR"/>
        </w:rPr>
        <w:t>, la nécessité de procéder à une révision des orientations actuelles</w:t>
      </w:r>
      <w:r w:rsidR="00330FD9" w:rsidRPr="00CD7512">
        <w:rPr>
          <w:rStyle w:val="FootnoteReference"/>
          <w:rFonts w:cs="Arial"/>
          <w:sz w:val="18"/>
        </w:rPr>
        <w:footnoteReference w:id="9"/>
      </w:r>
      <w:r w:rsidR="00522BE0">
        <w:rPr>
          <w:rFonts w:cs="Arial"/>
          <w:lang w:val="fr-FR"/>
        </w:rPr>
        <w:t xml:space="preserve">.  </w:t>
      </w:r>
      <w:r w:rsidR="00814C3D">
        <w:rPr>
          <w:rFonts w:cs="Arial"/>
          <w:lang w:val="fr-FR"/>
        </w:rPr>
        <w:t>D</w:t>
      </w:r>
      <w:r w:rsidR="00814C3D" w:rsidRPr="001A2BC6">
        <w:rPr>
          <w:rFonts w:cs="Arial"/>
          <w:lang w:val="fr-FR"/>
        </w:rPr>
        <w:t xml:space="preserve">es </w:t>
      </w:r>
      <w:r w:rsidR="00513D05" w:rsidRPr="001A2BC6">
        <w:rPr>
          <w:rFonts w:cs="Arial"/>
          <w:lang w:val="fr-FR"/>
        </w:rPr>
        <w:t>informations concernant les exposés sur les variétés essentiellement dérivées, les conditions et limitations relatives à l</w:t>
      </w:r>
      <w:r w:rsidR="00867AFB">
        <w:rPr>
          <w:rFonts w:cs="Arial"/>
          <w:lang w:val="fr-FR"/>
        </w:rPr>
        <w:t>’</w:t>
      </w:r>
      <w:r w:rsidR="00513D05" w:rsidRPr="001A2BC6">
        <w:rPr>
          <w:rFonts w:cs="Arial"/>
          <w:lang w:val="fr-FR"/>
        </w:rPr>
        <w:t>autorisation de l</w:t>
      </w:r>
      <w:r w:rsidR="00867AFB">
        <w:rPr>
          <w:rFonts w:cs="Arial"/>
          <w:lang w:val="fr-FR"/>
        </w:rPr>
        <w:t>’</w:t>
      </w:r>
      <w:r w:rsidR="00513D05" w:rsidRPr="001A2BC6">
        <w:rPr>
          <w:rFonts w:cs="Arial"/>
          <w:lang w:val="fr-FR"/>
        </w:rPr>
        <w:t xml:space="preserve">obtenteur </w:t>
      </w:r>
      <w:r w:rsidR="00867AFB">
        <w:rPr>
          <w:rFonts w:cs="Arial"/>
          <w:lang w:val="fr-FR"/>
        </w:rPr>
        <w:t>à l’égard</w:t>
      </w:r>
      <w:r w:rsidR="00513D05" w:rsidRPr="001A2BC6">
        <w:rPr>
          <w:rFonts w:cs="Arial"/>
          <w:lang w:val="fr-FR"/>
        </w:rPr>
        <w:t xml:space="preserve"> du matériel de reproduction ou de multiplication et l</w:t>
      </w:r>
      <w:r w:rsidR="00867AFB">
        <w:rPr>
          <w:rFonts w:cs="Arial"/>
          <w:lang w:val="fr-FR"/>
        </w:rPr>
        <w:t>’</w:t>
      </w:r>
      <w:r w:rsidR="00513D05" w:rsidRPr="001A2BC6">
        <w:rPr>
          <w:rFonts w:cs="Arial"/>
          <w:lang w:val="fr-FR"/>
        </w:rPr>
        <w:t>étendue de la protection provisoire figurent respectivement dans les documents</w:t>
      </w:r>
      <w:r w:rsidR="004A52D9">
        <w:rPr>
          <w:rFonts w:cs="Arial"/>
          <w:lang w:val="fr-FR"/>
        </w:rPr>
        <w:t> </w:t>
      </w:r>
      <w:r w:rsidR="00513D05" w:rsidRPr="001A2BC6">
        <w:rPr>
          <w:rFonts w:cs="Arial"/>
          <w:lang w:val="fr-FR"/>
        </w:rPr>
        <w:t>CAJ/75/3, CAJ/75/4 et CAJ/75/5.</w:t>
      </w:r>
    </w:p>
    <w:p w:rsidR="00D07235" w:rsidRPr="001A2BC6" w:rsidRDefault="00D07235" w:rsidP="00D07235">
      <w:pPr>
        <w:rPr>
          <w:rFonts w:cs="Arial"/>
          <w:lang w:val="fr-FR"/>
        </w:rPr>
      </w:pPr>
    </w:p>
    <w:p w:rsidR="00D07235" w:rsidRPr="001A2BC6" w:rsidRDefault="00D07235" w:rsidP="00D07235">
      <w:pPr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quatorz</w:t>
      </w:r>
      <w:r w:rsidR="00867AFB">
        <w:rPr>
          <w:rFonts w:cs="Arial"/>
          <w:lang w:val="fr-FR"/>
        </w:rPr>
        <w:t>ième session</w:t>
      </w:r>
      <w:r w:rsidRPr="001A2BC6">
        <w:rPr>
          <w:rFonts w:cs="Arial"/>
          <w:snapToGrid w:val="0"/>
          <w:lang w:val="fr-FR"/>
        </w:rPr>
        <w:t>,</w:t>
      </w:r>
      <w:r w:rsidR="00867AFB" w:rsidRPr="001A2BC6">
        <w:rPr>
          <w:rFonts w:cs="Arial"/>
          <w:lang w:val="fr-FR"/>
        </w:rPr>
        <w:t xml:space="preserve"> </w:t>
      </w:r>
      <w:bookmarkStart w:id="7" w:name="_Ref518635412"/>
      <w:r w:rsidR="00867AFB" w:rsidRPr="001A2BC6">
        <w:rPr>
          <w:rFonts w:cs="Arial"/>
          <w:lang w:val="fr-FR"/>
        </w:rPr>
        <w:t>l</w:t>
      </w:r>
      <w:bookmarkEnd w:id="7"/>
      <w:r w:rsidR="00867AFB" w:rsidRPr="001A2BC6">
        <w:rPr>
          <w:rFonts w:cs="Arial"/>
          <w:lang w:val="fr-FR"/>
        </w:rPr>
        <w:t>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snapToGrid w:val="0"/>
          <w:lang w:val="fr-FR"/>
        </w:rPr>
        <w:t>CAJ</w:t>
      </w:r>
      <w:r w:rsidRPr="001A2BC6">
        <w:rPr>
          <w:rFonts w:cs="Arial"/>
          <w:lang w:val="fr-FR"/>
        </w:rPr>
        <w:t xml:space="preserve"> a pris note de la demande de</w:t>
      </w:r>
      <w:r w:rsidR="00867AFB" w:rsidRPr="001A2BC6">
        <w:rPr>
          <w:rFonts w:cs="Arial"/>
          <w:lang w:val="fr-FR"/>
        </w:rPr>
        <w:t xml:space="preserve"> </w:t>
      </w:r>
      <w:r w:rsidR="00B304AD">
        <w:rPr>
          <w:rFonts w:cs="Arial"/>
          <w:lang w:val="fr-FR"/>
        </w:rPr>
        <w:t>la CIOPORA</w:t>
      </w:r>
      <w:r w:rsidRPr="001A2BC6">
        <w:rPr>
          <w:rFonts w:cs="Arial"/>
          <w:lang w:val="fr-FR"/>
        </w:rPr>
        <w:t xml:space="preserve"> et de l</w:t>
      </w:r>
      <w:r w:rsidR="00867AFB">
        <w:rPr>
          <w:rFonts w:cs="Arial"/>
          <w:lang w:val="fr-FR"/>
        </w:rPr>
        <w:t>’</w:t>
      </w:r>
      <w:r w:rsidR="00B304AD">
        <w:rPr>
          <w:rFonts w:cs="Arial"/>
          <w:lang w:val="fr-FR"/>
        </w:rPr>
        <w:t xml:space="preserve">ISF </w:t>
      </w:r>
      <w:r w:rsidRPr="001A2BC6">
        <w:rPr>
          <w:rFonts w:cs="Arial"/>
          <w:lang w:val="fr-FR"/>
        </w:rPr>
        <w:t>concernant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ajournement de la réunion du Bureau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Union avec</w:t>
      </w:r>
      <w:r w:rsidR="00B304AD">
        <w:rPr>
          <w:rFonts w:cs="Arial"/>
          <w:lang w:val="fr-FR"/>
        </w:rPr>
        <w:t xml:space="preserve"> la </w:t>
      </w:r>
      <w:r w:rsidR="00867AFB" w:rsidRPr="001A2BC6">
        <w:rPr>
          <w:rFonts w:cs="Arial"/>
          <w:lang w:val="fr-FR"/>
        </w:rPr>
        <w:t>CIO</w:t>
      </w:r>
      <w:r w:rsidRPr="001A2BC6">
        <w:rPr>
          <w:rFonts w:cs="Arial"/>
          <w:lang w:val="fr-FR"/>
        </w:rPr>
        <w:t>PORA,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ISF et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OMPI en vue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étudier le rôle que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867AFB">
        <w:rPr>
          <w:rFonts w:cs="Arial"/>
          <w:lang w:val="fr-FR"/>
        </w:rPr>
        <w:t>y compris</w:t>
      </w:r>
      <w:r w:rsidRPr="001A2BC6">
        <w:rPr>
          <w:rFonts w:cs="Arial"/>
          <w:lang w:val="fr-FR"/>
        </w:rPr>
        <w:t xml:space="preserve"> la mise à disposition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experts concernant les questions relatives aux variétés essentiellement dérivé</w:t>
      </w:r>
      <w:r w:rsidR="004A52D9" w:rsidRPr="001A2BC6">
        <w:rPr>
          <w:rFonts w:cs="Arial"/>
          <w:lang w:val="fr-FR"/>
        </w:rPr>
        <w:t>es</w:t>
      </w:r>
      <w:r w:rsidR="004A52D9">
        <w:rPr>
          <w:rFonts w:cs="Arial"/>
          <w:lang w:val="fr-FR"/>
        </w:rPr>
        <w:t xml:space="preserve">.  </w:t>
      </w:r>
      <w:r w:rsidR="004A52D9" w:rsidRPr="001A2BC6">
        <w:rPr>
          <w:rFonts w:cs="Arial"/>
          <w:lang w:val="fr-FR"/>
        </w:rPr>
        <w:t>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a noté que tout fait nouveau concernant la réunion serait présenté lors de ses futures sessions</w:t>
      </w:r>
      <w:r w:rsidRPr="00DC1C2A">
        <w:rPr>
          <w:rStyle w:val="FootnoteReference"/>
          <w:rFonts w:cs="Arial"/>
        </w:rPr>
        <w:footnoteReference w:id="10"/>
      </w:r>
      <w:r w:rsidR="00522BE0">
        <w:rPr>
          <w:rFonts w:cs="Arial"/>
          <w:lang w:val="fr-FR"/>
        </w:rPr>
        <w:t xml:space="preserve">.  </w:t>
      </w:r>
      <w:r w:rsidRPr="001A2BC6">
        <w:rPr>
          <w:rFonts w:cs="Arial"/>
          <w:lang w:val="fr-FR"/>
        </w:rPr>
        <w:t>Aucun fait nouveau n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est à signaler à ce</w:t>
      </w:r>
      <w:r w:rsidR="007106A6">
        <w:rPr>
          <w:rFonts w:cs="Arial"/>
          <w:lang w:val="fr-FR"/>
        </w:rPr>
        <w:t xml:space="preserve"> </w:t>
      </w:r>
      <w:r w:rsidRPr="001A2BC6">
        <w:rPr>
          <w:rFonts w:cs="Arial"/>
          <w:lang w:val="fr-FR"/>
        </w:rPr>
        <w:t>sujet</w:t>
      </w:r>
      <w:r w:rsidR="00522BE0">
        <w:rPr>
          <w:rFonts w:cs="Arial"/>
          <w:lang w:val="fr-FR"/>
        </w:rPr>
        <w:t>.</w:t>
      </w:r>
    </w:p>
    <w:p w:rsidR="00D07235" w:rsidRPr="001A2BC6" w:rsidRDefault="00D07235" w:rsidP="00D07235">
      <w:pPr>
        <w:rPr>
          <w:rFonts w:cs="Arial"/>
          <w:lang w:val="fr-FR"/>
        </w:rPr>
      </w:pPr>
    </w:p>
    <w:p w:rsidR="00D07235" w:rsidRPr="001A2BC6" w:rsidRDefault="00B721AD" w:rsidP="00385538">
      <w:pPr>
        <w:pStyle w:val="DecisionParagraphs"/>
        <w:rPr>
          <w:rFonts w:cs="Arial"/>
          <w:spacing w:val="-2"/>
          <w:lang w:val="fr-FR"/>
        </w:rPr>
      </w:pPr>
      <w:r w:rsidRPr="00411E74">
        <w:rPr>
          <w:rFonts w:cs="Arial"/>
          <w:spacing w:val="-2"/>
        </w:rPr>
        <w:fldChar w:fldCharType="begin"/>
      </w:r>
      <w:r w:rsidRPr="001A2BC6">
        <w:rPr>
          <w:rFonts w:cs="Arial"/>
          <w:spacing w:val="-2"/>
          <w:lang w:val="fr-FR"/>
        </w:rPr>
        <w:instrText xml:space="preserve"> AUTONUM  </w:instrText>
      </w:r>
      <w:r w:rsidRPr="00411E74">
        <w:rPr>
          <w:rFonts w:cs="Arial"/>
          <w:spacing w:val="-2"/>
        </w:rPr>
        <w:fldChar w:fldCharType="end"/>
      </w:r>
      <w:r w:rsidRPr="001A2BC6">
        <w:rPr>
          <w:rFonts w:cs="Arial"/>
          <w:lang w:val="fr-FR"/>
        </w:rPr>
        <w:tab/>
      </w:r>
      <w:r w:rsidR="009C1979" w:rsidRPr="001A2BC6">
        <w:rPr>
          <w:rFonts w:cs="Arial"/>
          <w:lang w:val="fr-FR"/>
        </w:rPr>
        <w:t>Le CAJ est invité à noter</w:t>
      </w:r>
      <w:r w:rsidR="00867AFB">
        <w:rPr>
          <w:rFonts w:cs="Arial"/>
          <w:lang w:val="fr-FR"/>
        </w:rPr>
        <w:t> :</w:t>
      </w:r>
    </w:p>
    <w:p w:rsidR="00D07235" w:rsidRPr="001A2BC6" w:rsidRDefault="00D07235" w:rsidP="00385538">
      <w:pPr>
        <w:pStyle w:val="DecisionParagraphs"/>
        <w:rPr>
          <w:rFonts w:cs="Arial"/>
          <w:spacing w:val="-2"/>
          <w:lang w:val="fr-FR"/>
        </w:rPr>
      </w:pPr>
    </w:p>
    <w:p w:rsidR="00B721AD" w:rsidRPr="001A2BC6" w:rsidRDefault="00D07235" w:rsidP="00385538">
      <w:pPr>
        <w:pStyle w:val="DecisionParagraphs"/>
        <w:rPr>
          <w:rFonts w:cs="Arial"/>
          <w:spacing w:val="-2"/>
          <w:lang w:val="fr-FR"/>
        </w:rPr>
      </w:pPr>
      <w:r w:rsidRPr="001A2BC6">
        <w:rPr>
          <w:rFonts w:cs="Arial"/>
          <w:lang w:val="fr-FR"/>
        </w:rPr>
        <w:tab/>
        <w:t xml:space="preserve">a) </w:t>
      </w:r>
      <w:r w:rsidRPr="001A2BC6">
        <w:rPr>
          <w:rFonts w:cs="Arial"/>
          <w:lang w:val="fr-FR"/>
        </w:rPr>
        <w:tab/>
      </w:r>
      <w:r w:rsidR="003A099C" w:rsidRPr="001A2BC6">
        <w:rPr>
          <w:rFonts w:cs="Arial"/>
          <w:lang w:val="fr-FR"/>
        </w:rPr>
        <w:t>que les informations concernant les exposés sur les variétés essentiellement dérivées, les conditions et limitations relatives à l</w:t>
      </w:r>
      <w:r w:rsidR="00867AFB">
        <w:rPr>
          <w:rFonts w:cs="Arial"/>
          <w:lang w:val="fr-FR"/>
        </w:rPr>
        <w:t>’</w:t>
      </w:r>
      <w:r w:rsidR="003A099C" w:rsidRPr="001A2BC6">
        <w:rPr>
          <w:rFonts w:cs="Arial"/>
          <w:lang w:val="fr-FR"/>
        </w:rPr>
        <w:t>autorisation de l</w:t>
      </w:r>
      <w:r w:rsidR="00867AFB">
        <w:rPr>
          <w:rFonts w:cs="Arial"/>
          <w:lang w:val="fr-FR"/>
        </w:rPr>
        <w:t>’</w:t>
      </w:r>
      <w:r w:rsidR="003A099C" w:rsidRPr="001A2BC6">
        <w:rPr>
          <w:rFonts w:cs="Arial"/>
          <w:lang w:val="fr-FR"/>
        </w:rPr>
        <w:t xml:space="preserve">obtenteur </w:t>
      </w:r>
      <w:r w:rsidR="00867AFB">
        <w:rPr>
          <w:rFonts w:cs="Arial"/>
          <w:lang w:val="fr-FR"/>
        </w:rPr>
        <w:t>à l’égard</w:t>
      </w:r>
      <w:r w:rsidR="003A099C" w:rsidRPr="001A2BC6">
        <w:rPr>
          <w:rFonts w:cs="Arial"/>
          <w:lang w:val="fr-FR"/>
        </w:rPr>
        <w:t xml:space="preserve"> du matériel de reproduction ou de multiplication et l</w:t>
      </w:r>
      <w:r w:rsidR="00867AFB">
        <w:rPr>
          <w:rFonts w:cs="Arial"/>
          <w:lang w:val="fr-FR"/>
        </w:rPr>
        <w:t>’</w:t>
      </w:r>
      <w:r w:rsidR="003A099C" w:rsidRPr="001A2BC6">
        <w:rPr>
          <w:rFonts w:cs="Arial"/>
          <w:lang w:val="fr-FR"/>
        </w:rPr>
        <w:t>étendue de la protection provisoire figurent respectivement dans les documents CAJ/75/3, CAJ/75/4 et CAJ/75/5</w:t>
      </w:r>
      <w:r w:rsidR="00C7626A">
        <w:rPr>
          <w:rFonts w:cs="Arial"/>
          <w:lang w:val="fr-FR"/>
        </w:rPr>
        <w:t xml:space="preserve">;  </w:t>
      </w:r>
      <w:r w:rsidR="003A099C" w:rsidRPr="001A2BC6">
        <w:rPr>
          <w:rFonts w:cs="Arial"/>
          <w:lang w:val="fr-FR"/>
        </w:rPr>
        <w:t>et</w:t>
      </w:r>
    </w:p>
    <w:p w:rsidR="00D07235" w:rsidRPr="001A2BC6" w:rsidRDefault="00D07235" w:rsidP="00385538">
      <w:pPr>
        <w:pStyle w:val="DecisionParagraphs"/>
        <w:rPr>
          <w:rFonts w:cs="Arial"/>
          <w:spacing w:val="-2"/>
          <w:lang w:val="fr-FR"/>
        </w:rPr>
      </w:pPr>
    </w:p>
    <w:p w:rsidR="00D07235" w:rsidRPr="001A2BC6" w:rsidRDefault="00D07235" w:rsidP="00385538">
      <w:pPr>
        <w:pStyle w:val="DecisionParagraphs"/>
        <w:rPr>
          <w:rFonts w:cs="Arial"/>
          <w:spacing w:val="-2"/>
          <w:lang w:val="fr-FR"/>
        </w:rPr>
      </w:pPr>
      <w:r w:rsidRPr="001A2BC6">
        <w:rPr>
          <w:rFonts w:cs="Arial"/>
          <w:lang w:val="fr-FR"/>
        </w:rPr>
        <w:tab/>
        <w:t xml:space="preserve">b) </w:t>
      </w:r>
      <w:r w:rsidRPr="001A2BC6">
        <w:rPr>
          <w:rFonts w:cs="Arial"/>
          <w:lang w:val="fr-FR"/>
        </w:rPr>
        <w:tab/>
      </w:r>
      <w:r w:rsidR="00B35316" w:rsidRPr="001A2BC6">
        <w:rPr>
          <w:rFonts w:cs="Arial"/>
          <w:lang w:val="fr-FR"/>
        </w:rPr>
        <w:t>qu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aucun fait nouveau n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est intervenu en ce qui concerne la tenue éventuelle d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une réunion du Bureau de l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Union avec</w:t>
      </w:r>
      <w:r w:rsidR="00867AFB" w:rsidRPr="001A2BC6">
        <w:rPr>
          <w:rFonts w:cs="Arial"/>
          <w:lang w:val="fr-FR"/>
        </w:rPr>
        <w:t xml:space="preserve"> la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CIO</w:t>
      </w:r>
      <w:r w:rsidR="00B35316" w:rsidRPr="001A2BC6">
        <w:rPr>
          <w:rFonts w:cs="Arial"/>
          <w:lang w:val="fr-FR"/>
        </w:rPr>
        <w:t>PORA, l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ISF et l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OMPI en vue d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étudier le rôle que l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867AFB">
        <w:rPr>
          <w:rFonts w:cs="Arial"/>
          <w:lang w:val="fr-FR"/>
        </w:rPr>
        <w:t>y compris</w:t>
      </w:r>
      <w:r w:rsidR="00B35316" w:rsidRPr="001A2BC6">
        <w:rPr>
          <w:rFonts w:cs="Arial"/>
          <w:lang w:val="fr-FR"/>
        </w:rPr>
        <w:t xml:space="preserve"> la mise à disposition d</w:t>
      </w:r>
      <w:r w:rsidR="00867AFB">
        <w:rPr>
          <w:rFonts w:cs="Arial"/>
          <w:lang w:val="fr-FR"/>
        </w:rPr>
        <w:t>’</w:t>
      </w:r>
      <w:r w:rsidR="00B35316" w:rsidRPr="001A2BC6">
        <w:rPr>
          <w:rFonts w:cs="Arial"/>
          <w:lang w:val="fr-FR"/>
        </w:rPr>
        <w:t>experts concernant les questions relatives aux variét</w:t>
      </w:r>
      <w:r w:rsidR="00560A24">
        <w:rPr>
          <w:rFonts w:cs="Arial"/>
          <w:lang w:val="fr-FR"/>
        </w:rPr>
        <w:t>és essentiellement dérivées.</w:t>
      </w:r>
    </w:p>
    <w:p w:rsidR="001D5883" w:rsidRDefault="001D5883" w:rsidP="001D5883">
      <w:pPr>
        <w:rPr>
          <w:rFonts w:cs="Arial"/>
          <w:spacing w:val="-3"/>
          <w:highlight w:val="lightGray"/>
          <w:lang w:val="fr-FR"/>
        </w:rPr>
      </w:pP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pStyle w:val="Heading2"/>
        <w:rPr>
          <w:rFonts w:cs="Arial"/>
          <w:lang w:val="fr-FR"/>
        </w:rPr>
      </w:pPr>
      <w:bookmarkStart w:id="8" w:name="_Toc525113846"/>
      <w:r w:rsidRPr="001A2BC6">
        <w:rPr>
          <w:rFonts w:cs="Arial"/>
          <w:lang w:val="fr-FR"/>
        </w:rPr>
        <w:t>Bulletin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de la protection des obtentions végétales (révision)</w:t>
      </w:r>
      <w:bookmarkEnd w:id="8"/>
    </w:p>
    <w:p w:rsidR="00B174FF" w:rsidRPr="001A2BC6" w:rsidRDefault="00B174FF" w:rsidP="00B174FF">
      <w:pPr>
        <w:rPr>
          <w:rFonts w:cs="Arial"/>
          <w:lang w:val="fr-FR"/>
        </w:rPr>
      </w:pPr>
    </w:p>
    <w:p w:rsidR="001D5883" w:rsidRDefault="001D5883" w:rsidP="001D5883">
      <w:pPr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Le “Bulletin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de la protection des obtentions végétales” (document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UPOV/INF/5) a été adopté par le Conseil le 18 octobre 1979 (voir les paragraphes 12 et 12a du 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C/XIII/17)</w:t>
      </w:r>
      <w:r w:rsidR="00522BE0">
        <w:rPr>
          <w:rFonts w:cs="Arial"/>
          <w:lang w:val="fr-FR"/>
        </w:rPr>
        <w:t xml:space="preserve">.  </w:t>
      </w:r>
      <w:r w:rsidRPr="001A2BC6">
        <w:rPr>
          <w:rFonts w:cs="Arial"/>
          <w:lang w:val="fr-FR"/>
        </w:rPr>
        <w:t>Un</w:t>
      </w:r>
      <w:r w:rsidR="00155275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exemplaire du 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 xml:space="preserve">UPOV/INF/5 est accessible dans la Collection UPOV (voir </w:t>
      </w:r>
      <w:hyperlink r:id="rId9" w:history="1">
        <w:r w:rsidRPr="001A2BC6">
          <w:rPr>
            <w:rStyle w:val="Hyperlink"/>
            <w:rFonts w:cs="Arial"/>
            <w:lang w:val="fr-FR"/>
          </w:rPr>
          <w:t>http://www.upov.int/upov_collection/fr/</w:t>
        </w:r>
      </w:hyperlink>
      <w:r w:rsidRPr="001A2BC6">
        <w:rPr>
          <w:rFonts w:cs="Arial"/>
          <w:lang w:val="fr-FR"/>
        </w:rPr>
        <w:t>).</w:t>
      </w:r>
    </w:p>
    <w:p w:rsidR="00F41CD6" w:rsidRPr="001A2BC6" w:rsidRDefault="00F41CD6" w:rsidP="001D5883">
      <w:pPr>
        <w:rPr>
          <w:rFonts w:cs="Arial"/>
          <w:spacing w:val="-2"/>
          <w:lang w:val="fr-FR"/>
        </w:rPr>
      </w:pPr>
    </w:p>
    <w:p w:rsidR="001D5883" w:rsidRPr="001A2BC6" w:rsidRDefault="001D5883" w:rsidP="00F41CD6">
      <w:pPr>
        <w:autoSpaceDE w:val="0"/>
        <w:rPr>
          <w:rFonts w:cs="Arial"/>
          <w:spacing w:val="-2"/>
          <w:lang w:val="fr-FR"/>
        </w:rPr>
      </w:pPr>
      <w:r w:rsidRPr="00DC1C2A">
        <w:rPr>
          <w:rFonts w:cs="Arial"/>
          <w:spacing w:val="-2"/>
        </w:rPr>
        <w:lastRenderedPageBreak/>
        <w:fldChar w:fldCharType="begin"/>
      </w:r>
      <w:r w:rsidRPr="001A2BC6">
        <w:rPr>
          <w:rFonts w:cs="Arial"/>
          <w:spacing w:val="-2"/>
          <w:lang w:val="fr-FR"/>
        </w:rPr>
        <w:instrText xml:space="preserve"> AUTONUM  </w:instrText>
      </w:r>
      <w:r w:rsidRPr="00DC1C2A">
        <w:rPr>
          <w:rFonts w:cs="Arial"/>
          <w:spacing w:val="-2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quatr</w:t>
      </w:r>
      <w:r w:rsidR="00867AFB">
        <w:rPr>
          <w:rFonts w:cs="Arial"/>
          <w:lang w:val="fr-FR"/>
        </w:rPr>
        <w:t>ième session</w:t>
      </w:r>
      <w:r w:rsidR="00597AA5" w:rsidRPr="00DC1C2A">
        <w:rPr>
          <w:rStyle w:val="FootnoteReference"/>
          <w:rFonts w:cs="Arial"/>
        </w:rPr>
        <w:footnoteReference w:id="11"/>
      </w:r>
      <w:r w:rsidRPr="001A2BC6">
        <w:rPr>
          <w:rFonts w:cs="Arial"/>
          <w:lang w:val="fr-FR"/>
        </w:rPr>
        <w:t>,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="004A52D9">
        <w:rPr>
          <w:rFonts w:cs="Arial"/>
          <w:lang w:val="fr-FR"/>
        </w:rPr>
        <w:t xml:space="preserve"> était convenu que le document </w:t>
      </w:r>
      <w:r w:rsidR="00B174FF" w:rsidRPr="001A2BC6">
        <w:rPr>
          <w:rFonts w:cs="Arial"/>
          <w:lang w:val="fr-FR"/>
        </w:rPr>
        <w:t>UPOV/INF/5 devait être actualisé afin de</w:t>
      </w:r>
      <w:r w:rsidR="00867AFB">
        <w:rPr>
          <w:rFonts w:cs="Arial"/>
          <w:lang w:val="fr-FR"/>
        </w:rPr>
        <w:t> :</w:t>
      </w: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8F4336">
      <w:pPr>
        <w:ind w:left="567" w:right="567"/>
        <w:rPr>
          <w:rFonts w:cs="Arial"/>
          <w:sz w:val="18"/>
          <w:lang w:val="fr-FR"/>
        </w:rPr>
      </w:pPr>
      <w:r w:rsidRPr="001A2BC6">
        <w:rPr>
          <w:rFonts w:cs="Arial"/>
          <w:lang w:val="fr-FR"/>
        </w:rPr>
        <w:tab/>
      </w:r>
      <w:r w:rsidR="0007333E" w:rsidRPr="001A2BC6">
        <w:rPr>
          <w:rFonts w:cs="Arial"/>
          <w:sz w:val="18"/>
          <w:lang w:val="fr-FR"/>
        </w:rPr>
        <w:t>“a)</w:t>
      </w:r>
      <w:r w:rsidRPr="001A2BC6">
        <w:rPr>
          <w:rFonts w:cs="Arial"/>
          <w:sz w:val="18"/>
          <w:lang w:val="fr-FR"/>
        </w:rPr>
        <w:tab/>
        <w:t>tenir compte de l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>énoncé de l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 xml:space="preserve">Acte de 1991 de la </w:t>
      </w:r>
      <w:r w:rsidR="00867AFB">
        <w:rPr>
          <w:rFonts w:cs="Arial"/>
          <w:sz w:val="18"/>
          <w:lang w:val="fr-FR"/>
        </w:rPr>
        <w:t>Convention UPOV</w:t>
      </w:r>
      <w:r w:rsidRPr="001A2BC6">
        <w:rPr>
          <w:rFonts w:cs="Arial"/>
          <w:sz w:val="18"/>
          <w:lang w:val="fr-FR"/>
        </w:rPr>
        <w:t xml:space="preserve"> et des documents récemment adoptés par le Conseil (tels que le formulaire type de l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>UPOV pour la demande de protection d</w:t>
      </w:r>
      <w:r w:rsidR="00867AFB">
        <w:rPr>
          <w:rFonts w:cs="Arial"/>
          <w:sz w:val="18"/>
          <w:lang w:val="fr-FR"/>
        </w:rPr>
        <w:t>’</w:t>
      </w:r>
      <w:r w:rsidRPr="001A2BC6">
        <w:rPr>
          <w:rFonts w:cs="Arial"/>
          <w:sz w:val="18"/>
          <w:lang w:val="fr-FR"/>
        </w:rPr>
        <w:t>une obtention végétale (document</w:t>
      </w:r>
      <w:r w:rsidR="004A52D9">
        <w:rPr>
          <w:rFonts w:cs="Arial"/>
          <w:sz w:val="18"/>
          <w:lang w:val="fr-FR"/>
        </w:rPr>
        <w:t> </w:t>
      </w:r>
      <w:r w:rsidRPr="001A2BC6">
        <w:rPr>
          <w:rFonts w:cs="Arial"/>
          <w:sz w:val="18"/>
          <w:lang w:val="fr-FR"/>
        </w:rPr>
        <w:t>TGP/5</w:t>
      </w:r>
      <w:r w:rsidR="00560A24">
        <w:rPr>
          <w:rFonts w:cs="Arial"/>
          <w:sz w:val="18"/>
          <w:lang w:val="fr-FR"/>
        </w:rPr>
        <w:t xml:space="preserve"> S</w:t>
      </w:r>
      <w:r w:rsidR="00560A24" w:rsidRPr="001A2BC6">
        <w:rPr>
          <w:rFonts w:cs="Arial"/>
          <w:sz w:val="18"/>
          <w:lang w:val="fr-FR"/>
        </w:rPr>
        <w:t>ection 2/3</w:t>
      </w:r>
      <w:r w:rsidRPr="001A2BC6">
        <w:rPr>
          <w:rFonts w:cs="Arial"/>
          <w:sz w:val="18"/>
          <w:lang w:val="fr-FR"/>
        </w:rPr>
        <w:t>));</w:t>
      </w:r>
    </w:p>
    <w:p w:rsidR="001D5883" w:rsidRPr="001A2BC6" w:rsidRDefault="001D5883" w:rsidP="008F4336">
      <w:pPr>
        <w:ind w:left="567" w:right="567"/>
        <w:rPr>
          <w:rFonts w:cs="Arial"/>
          <w:sz w:val="18"/>
          <w:lang w:val="fr-FR"/>
        </w:rPr>
      </w:pPr>
    </w:p>
    <w:p w:rsidR="001D5883" w:rsidRPr="001A2BC6" w:rsidRDefault="00155275" w:rsidP="008F4336">
      <w:pPr>
        <w:ind w:left="567" w:right="567"/>
        <w:rPr>
          <w:rFonts w:cs="Arial"/>
          <w:sz w:val="18"/>
          <w:lang w:val="fr-FR"/>
        </w:rPr>
      </w:pPr>
      <w:r>
        <w:rPr>
          <w:rFonts w:cs="Arial"/>
          <w:sz w:val="18"/>
          <w:lang w:val="fr-FR"/>
        </w:rPr>
        <w:tab/>
        <w:t>b)</w:t>
      </w:r>
      <w:r w:rsidR="001D5883" w:rsidRPr="001A2BC6">
        <w:rPr>
          <w:rFonts w:cs="Arial"/>
          <w:sz w:val="18"/>
          <w:lang w:val="fr-FR"/>
        </w:rPr>
        <w:tab/>
        <w:t xml:space="preserve">examiner les faits nouveaux importants en ce qui concerne les formats des bulletins nationaux et régionaux des membres de </w:t>
      </w:r>
      <w:r w:rsidR="007B220D" w:rsidRPr="001A2BC6">
        <w:rPr>
          <w:rFonts w:cs="Arial"/>
          <w:sz w:val="18"/>
          <w:lang w:val="fr-FR"/>
        </w:rPr>
        <w:t>l</w:t>
      </w:r>
      <w:r w:rsidR="007B220D">
        <w:rPr>
          <w:rFonts w:cs="Arial"/>
          <w:sz w:val="18"/>
          <w:lang w:val="fr-FR"/>
        </w:rPr>
        <w:t>’</w:t>
      </w:r>
      <w:r w:rsidR="007B220D" w:rsidRPr="001A2BC6">
        <w:rPr>
          <w:rFonts w:cs="Arial"/>
          <w:sz w:val="18"/>
          <w:lang w:val="fr-FR"/>
        </w:rPr>
        <w:t>Union</w:t>
      </w:r>
      <w:r w:rsidR="007B220D">
        <w:rPr>
          <w:rFonts w:cs="Arial"/>
          <w:sz w:val="18"/>
          <w:lang w:val="fr-FR"/>
        </w:rPr>
        <w:t>;  et</w:t>
      </w:r>
    </w:p>
    <w:p w:rsidR="001D5883" w:rsidRPr="001A2BC6" w:rsidRDefault="001D5883" w:rsidP="008F4336">
      <w:pPr>
        <w:ind w:left="567" w:right="567"/>
        <w:rPr>
          <w:rFonts w:cs="Arial"/>
          <w:sz w:val="18"/>
          <w:lang w:val="fr-FR"/>
        </w:rPr>
      </w:pPr>
    </w:p>
    <w:p w:rsidR="001D5883" w:rsidRPr="001A2BC6" w:rsidRDefault="001D5883" w:rsidP="008F4336">
      <w:pPr>
        <w:ind w:left="567" w:right="567"/>
        <w:rPr>
          <w:rFonts w:cs="Arial"/>
          <w:sz w:val="18"/>
          <w:lang w:val="fr-FR"/>
        </w:rPr>
      </w:pPr>
      <w:r w:rsidRPr="001A2BC6">
        <w:rPr>
          <w:rFonts w:cs="Arial"/>
          <w:sz w:val="18"/>
          <w:lang w:val="fr-FR"/>
        </w:rPr>
        <w:tab/>
        <w:t>c)</w:t>
      </w:r>
      <w:r w:rsidRPr="001A2BC6">
        <w:rPr>
          <w:rFonts w:cs="Arial"/>
          <w:sz w:val="18"/>
          <w:lang w:val="fr-FR"/>
        </w:rPr>
        <w:tab/>
      </w:r>
      <w:r w:rsidRPr="001A2BC6">
        <w:rPr>
          <w:rFonts w:cs="Arial"/>
          <w:sz w:val="18"/>
          <w:szCs w:val="18"/>
          <w:lang w:val="fr-FR"/>
        </w:rPr>
        <w:t>simpli</w:t>
      </w:r>
      <w:r w:rsidR="00560A24">
        <w:rPr>
          <w:rFonts w:cs="Arial"/>
          <w:sz w:val="18"/>
          <w:szCs w:val="18"/>
          <w:lang w:val="fr-FR"/>
        </w:rPr>
        <w:t>fier la structure du document”</w:t>
      </w:r>
      <w:r w:rsidR="00560A24" w:rsidRPr="00CD7512">
        <w:rPr>
          <w:rStyle w:val="FootnoteReference"/>
          <w:rFonts w:cs="Arial"/>
          <w:sz w:val="18"/>
          <w:szCs w:val="18"/>
        </w:rPr>
        <w:footnoteReference w:id="12"/>
      </w:r>
      <w:r w:rsidR="00560A24">
        <w:rPr>
          <w:rFonts w:cs="Arial"/>
          <w:sz w:val="18"/>
          <w:szCs w:val="18"/>
          <w:lang w:val="fr-FR"/>
        </w:rPr>
        <w:t>.</w:t>
      </w:r>
    </w:p>
    <w:p w:rsidR="001D5883" w:rsidRPr="001A2BC6" w:rsidRDefault="001D5883" w:rsidP="001D5883">
      <w:pPr>
        <w:pStyle w:val="Heading2"/>
        <w:rPr>
          <w:rFonts w:cs="Arial"/>
          <w:lang w:val="fr-FR"/>
        </w:rPr>
      </w:pPr>
    </w:p>
    <w:p w:rsidR="001D5883" w:rsidRPr="001A2BC6" w:rsidRDefault="001D5883" w:rsidP="001D5883">
      <w:pPr>
        <w:autoSpaceDE w:val="0"/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treiz</w:t>
      </w:r>
      <w:r w:rsidR="00867AFB">
        <w:rPr>
          <w:rFonts w:cs="Arial"/>
          <w:lang w:val="fr-FR"/>
        </w:rPr>
        <w:t>ième session</w:t>
      </w:r>
      <w:r w:rsidR="008F4336" w:rsidRPr="00DC1C2A">
        <w:rPr>
          <w:rStyle w:val="FootnoteReference"/>
          <w:rFonts w:cs="Arial"/>
        </w:rPr>
        <w:footnoteReference w:id="13"/>
      </w:r>
      <w:r w:rsidRPr="001A2BC6">
        <w:rPr>
          <w:rFonts w:cs="Arial"/>
          <w:lang w:val="fr-FR"/>
        </w:rPr>
        <w:t>,</w:t>
      </w:r>
      <w:r w:rsidR="00867AFB" w:rsidRPr="001A2BC6">
        <w:rPr>
          <w:rFonts w:cs="Arial"/>
          <w:snapToGrid w:val="0"/>
          <w:lang w:val="fr-FR"/>
        </w:rPr>
        <w:t xml:space="preserve"> </w:t>
      </w:r>
      <w:r w:rsidR="00867AFB" w:rsidRPr="001A2BC6">
        <w:rPr>
          <w:rFonts w:cs="Arial"/>
          <w:lang w:val="fr-FR"/>
        </w:rPr>
        <w:t>le</w:t>
      </w:r>
      <w:r w:rsidR="00867AFB">
        <w:rPr>
          <w:rFonts w:cs="Arial"/>
          <w:snapToGrid w:val="0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était convenu de continuer de reporter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élaboration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 projet de révision du 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UPOV/INF/5 “Bulletin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de la protection des obtentions végétales (ré</w:t>
      </w:r>
      <w:r w:rsidR="00560A24">
        <w:rPr>
          <w:rFonts w:cs="Arial"/>
          <w:lang w:val="fr-FR"/>
        </w:rPr>
        <w:t>vision)” (</w:t>
      </w:r>
      <w:r w:rsidR="004A52D9">
        <w:rPr>
          <w:rFonts w:cs="Arial"/>
          <w:lang w:val="fr-FR"/>
        </w:rPr>
        <w:t>document </w:t>
      </w:r>
      <w:r w:rsidR="00560A24">
        <w:rPr>
          <w:rFonts w:cs="Arial"/>
          <w:lang w:val="fr-FR"/>
        </w:rPr>
        <w:t>UPOV/INF/5/1 Draft </w:t>
      </w:r>
      <w:r w:rsidRPr="001A2BC6">
        <w:rPr>
          <w:rFonts w:cs="Arial"/>
          <w:lang w:val="fr-FR"/>
        </w:rPr>
        <w:t>1), en attendant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avancement des travaux concernant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élaboration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 prototype de formulaire électronique (voir le document CAJ/73/4 “Formulaire de demande électronique”)</w:t>
      </w:r>
      <w:r w:rsidR="00560A24" w:rsidRPr="00DC1C2A">
        <w:rPr>
          <w:rStyle w:val="FootnoteReference"/>
          <w:rFonts w:cs="Arial"/>
        </w:rPr>
        <w:footnoteReference w:id="14"/>
      </w:r>
      <w:r w:rsidR="00522BE0">
        <w:rPr>
          <w:rFonts w:cs="Arial"/>
          <w:lang w:val="fr-FR"/>
        </w:rPr>
        <w:t>.</w:t>
      </w: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autoSpaceDE w:val="0"/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cinquant</w:t>
      </w:r>
      <w:r w:rsidR="00867AFB">
        <w:rPr>
          <w:rFonts w:cs="Arial"/>
          <w:lang w:val="fr-FR"/>
        </w:rPr>
        <w:t>ième session</w:t>
      </w:r>
      <w:r w:rsidRPr="001A2BC6">
        <w:rPr>
          <w:rFonts w:cs="Arial"/>
          <w:lang w:val="fr-FR"/>
        </w:rPr>
        <w:t xml:space="preserve"> ordinaire tenue à Genève le 28 octobre 2016, le Conseil a approuvé le lancement du formulaire de demande électronique</w:t>
      </w:r>
      <w:r w:rsidR="00DC1C2A" w:rsidRPr="001A2BC6">
        <w:rPr>
          <w:rFonts w:cs="Arial"/>
          <w:lang w:val="fr-FR"/>
        </w:rPr>
        <w:t xml:space="preserve"> en janvier 2017</w:t>
      </w:r>
      <w:r w:rsidR="00560A24" w:rsidRPr="00DC1C2A">
        <w:rPr>
          <w:rStyle w:val="FootnoteReference"/>
          <w:rFonts w:cs="Arial"/>
        </w:rPr>
        <w:footnoteReference w:id="15"/>
      </w:r>
      <w:r w:rsidR="00522BE0">
        <w:rPr>
          <w:rFonts w:cs="Arial"/>
          <w:lang w:val="fr-FR"/>
        </w:rPr>
        <w:t>.</w:t>
      </w: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autoSpaceDE w:val="0"/>
        <w:rPr>
          <w:rFonts w:cs="Arial"/>
          <w:lang w:val="fr-FR"/>
        </w:rPr>
      </w:pPr>
      <w:r w:rsidRPr="00DC1C2A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C1C2A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huit</w:t>
      </w:r>
      <w:r w:rsidR="00867AFB">
        <w:rPr>
          <w:rFonts w:cs="Arial"/>
          <w:lang w:val="fr-FR"/>
        </w:rPr>
        <w:t>ième session</w:t>
      </w:r>
      <w:r w:rsidRPr="00DC1C2A">
        <w:rPr>
          <w:rStyle w:val="FootnoteReference"/>
          <w:rFonts w:cs="Arial"/>
        </w:rPr>
        <w:footnoteReference w:id="16"/>
      </w:r>
      <w:r w:rsidR="00CD7512" w:rsidRPr="001A2BC6">
        <w:rPr>
          <w:rFonts w:cs="Arial"/>
          <w:bCs/>
          <w:color w:val="000000" w:themeColor="text1"/>
          <w:lang w:val="fr-FR"/>
        </w:rPr>
        <w:t>,</w:t>
      </w:r>
      <w:r w:rsidR="00867AFB" w:rsidRPr="001A2BC6">
        <w:rPr>
          <w:rFonts w:cs="Arial"/>
          <w:bCs/>
          <w:color w:val="000000" w:themeColor="text1"/>
          <w:lang w:val="fr-FR"/>
        </w:rPr>
        <w:t xml:space="preserve"> le</w:t>
      </w:r>
      <w:r w:rsidR="00867AFB">
        <w:rPr>
          <w:rFonts w:cs="Arial"/>
          <w:bCs/>
          <w:color w:val="000000" w:themeColor="text1"/>
          <w:lang w:val="fr-FR"/>
        </w:rPr>
        <w:t> </w:t>
      </w:r>
      <w:r w:rsidR="00867AFB" w:rsidRPr="001A2BC6">
        <w:rPr>
          <w:rFonts w:cs="Arial"/>
          <w:bCs/>
          <w:color w:val="000000" w:themeColor="text1"/>
          <w:lang w:val="fr-FR"/>
        </w:rPr>
        <w:t>CAJ</w:t>
      </w:r>
      <w:r w:rsidR="00CD7512" w:rsidRPr="001A2BC6">
        <w:rPr>
          <w:rFonts w:cs="Arial"/>
          <w:bCs/>
          <w:color w:val="000000" w:themeColor="text1"/>
          <w:lang w:val="fr-FR"/>
        </w:rPr>
        <w:t xml:space="preserve"> a approuvé les modifications apportées au programme d</w:t>
      </w:r>
      <w:r w:rsidR="00867AFB">
        <w:rPr>
          <w:rFonts w:cs="Arial"/>
          <w:bCs/>
          <w:color w:val="000000" w:themeColor="text1"/>
          <w:lang w:val="fr-FR"/>
        </w:rPr>
        <w:t>’</w:t>
      </w:r>
      <w:r w:rsidR="00CD7512" w:rsidRPr="001A2BC6">
        <w:rPr>
          <w:rFonts w:cs="Arial"/>
          <w:bCs/>
          <w:color w:val="000000" w:themeColor="text1"/>
          <w:lang w:val="fr-FR"/>
        </w:rPr>
        <w:t>amélioration de la base de données PLUTO (ci</w:t>
      </w:r>
      <w:r w:rsidR="00C27E30">
        <w:rPr>
          <w:rFonts w:cs="Arial"/>
          <w:bCs/>
          <w:color w:val="000000" w:themeColor="text1"/>
          <w:lang w:val="fr-FR"/>
        </w:rPr>
        <w:noBreakHyphen/>
      </w:r>
      <w:r w:rsidR="00CD7512" w:rsidRPr="001A2BC6">
        <w:rPr>
          <w:rFonts w:cs="Arial"/>
          <w:bCs/>
          <w:color w:val="000000" w:themeColor="text1"/>
          <w:lang w:val="fr-FR"/>
        </w:rPr>
        <w:t>après dénommé “programme”) (voir l</w:t>
      </w:r>
      <w:r w:rsidR="00867AFB">
        <w:rPr>
          <w:rFonts w:cs="Arial"/>
          <w:bCs/>
          <w:color w:val="000000" w:themeColor="text1"/>
          <w:lang w:val="fr-FR"/>
        </w:rPr>
        <w:t>’</w:t>
      </w:r>
      <w:r w:rsidR="00CD7512" w:rsidRPr="001A2BC6">
        <w:rPr>
          <w:rFonts w:cs="Arial"/>
          <w:bCs/>
          <w:color w:val="000000" w:themeColor="text1"/>
          <w:lang w:val="fr-FR"/>
        </w:rPr>
        <w:t>annexe I du document CAJ/69/6 “Bases de données d</w:t>
      </w:r>
      <w:r w:rsidR="00867AFB">
        <w:rPr>
          <w:rFonts w:cs="Arial"/>
          <w:bCs/>
          <w:color w:val="000000" w:themeColor="text1"/>
          <w:lang w:val="fr-FR"/>
        </w:rPr>
        <w:t>’</w:t>
      </w:r>
      <w:r w:rsidR="00CD7512" w:rsidRPr="001A2BC6">
        <w:rPr>
          <w:rFonts w:cs="Arial"/>
          <w:bCs/>
          <w:color w:val="000000" w:themeColor="text1"/>
          <w:lang w:val="fr-FR"/>
        </w:rPr>
        <w:t>information de l</w:t>
      </w:r>
      <w:r w:rsidR="00867AFB">
        <w:rPr>
          <w:rFonts w:cs="Arial"/>
          <w:bCs/>
          <w:color w:val="000000" w:themeColor="text1"/>
          <w:lang w:val="fr-FR"/>
        </w:rPr>
        <w:t>’</w:t>
      </w:r>
      <w:r w:rsidR="00CD7512" w:rsidRPr="001A2BC6">
        <w:rPr>
          <w:rFonts w:cs="Arial"/>
          <w:bCs/>
          <w:color w:val="000000" w:themeColor="text1"/>
          <w:lang w:val="fr-FR"/>
        </w:rPr>
        <w:t>UPOV”)</w:t>
      </w:r>
      <w:r w:rsidR="00560A24" w:rsidRPr="00DC1C2A">
        <w:rPr>
          <w:rStyle w:val="FootnoteReference"/>
          <w:rFonts w:cs="Arial"/>
        </w:rPr>
        <w:footnoteReference w:id="17"/>
      </w:r>
      <w:r w:rsidR="00522BE0">
        <w:rPr>
          <w:rFonts w:cs="Arial"/>
          <w:bCs/>
          <w:color w:val="000000" w:themeColor="text1"/>
          <w:lang w:val="fr-FR"/>
        </w:rPr>
        <w:t>.</w:t>
      </w:r>
    </w:p>
    <w:p w:rsidR="001D5883" w:rsidRPr="001A2BC6" w:rsidRDefault="001D5883" w:rsidP="001D5883">
      <w:pPr>
        <w:rPr>
          <w:rFonts w:cs="Arial"/>
          <w:bCs/>
          <w:color w:val="000000" w:themeColor="text1"/>
          <w:spacing w:val="-2"/>
          <w:lang w:val="fr-FR" w:eastAsia="ja-JP"/>
        </w:rPr>
      </w:pPr>
    </w:p>
    <w:p w:rsidR="00B174FF" w:rsidRPr="001A2BC6" w:rsidRDefault="00B174FF" w:rsidP="00B174FF">
      <w:pPr>
        <w:rPr>
          <w:rFonts w:cs="Arial"/>
          <w:lang w:val="fr-FR"/>
        </w:rPr>
      </w:pPr>
      <w:r w:rsidRPr="00CF6569">
        <w:rPr>
          <w:rFonts w:cs="Arial"/>
          <w:i/>
          <w:spacing w:val="-2"/>
        </w:rPr>
        <w:fldChar w:fldCharType="begin"/>
      </w:r>
      <w:r w:rsidRPr="001A2BC6">
        <w:rPr>
          <w:rFonts w:cs="Arial"/>
          <w:spacing w:val="-2"/>
          <w:lang w:val="fr-FR"/>
        </w:rPr>
        <w:instrText xml:space="preserve"> AUTONUM  </w:instrText>
      </w:r>
      <w:r w:rsidRPr="00CF6569">
        <w:rPr>
          <w:rFonts w:cs="Arial"/>
          <w:i/>
          <w:spacing w:val="-2"/>
        </w:rPr>
        <w:fldChar w:fldCharType="end"/>
      </w:r>
      <w:r w:rsidRPr="001A2BC6">
        <w:rPr>
          <w:rFonts w:cs="Arial"/>
          <w:lang w:val="fr-FR"/>
        </w:rPr>
        <w:tab/>
        <w:t>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quatorz</w:t>
      </w:r>
      <w:r w:rsidR="00867AFB">
        <w:rPr>
          <w:rFonts w:cs="Arial"/>
          <w:lang w:val="fr-FR"/>
        </w:rPr>
        <w:t>ième session</w:t>
      </w:r>
      <w:r w:rsidR="00560A24" w:rsidRPr="00DC1C2A">
        <w:rPr>
          <w:rStyle w:val="FootnoteReference"/>
          <w:rFonts w:cs="Arial"/>
        </w:rPr>
        <w:footnoteReference w:id="18"/>
      </w:r>
      <w:r w:rsidRPr="001A2BC6">
        <w:rPr>
          <w:rFonts w:cs="Arial"/>
          <w:lang w:val="fr-FR"/>
        </w:rPr>
        <w:t>,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a demandé au Bureau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Union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élaborer des propositions pour examen par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quinz</w:t>
      </w:r>
      <w:r w:rsidR="00867AFB">
        <w:rPr>
          <w:rFonts w:cs="Arial"/>
          <w:lang w:val="fr-FR"/>
        </w:rPr>
        <w:t>ième session</w:t>
      </w:r>
      <w:r w:rsidRPr="001A2BC6">
        <w:rPr>
          <w:rFonts w:cs="Arial"/>
          <w:lang w:val="fr-FR"/>
        </w:rPr>
        <w:t xml:space="preserve"> en vue de la révision du document UPOV/INF/5 “Bulletin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de la protection des obtentions végétales (révision)”, en prenant en considération les questions relatives à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actualisation du document recensées par</w:t>
      </w:r>
      <w:r w:rsidR="00867AFB" w:rsidRPr="001A2BC6">
        <w:rPr>
          <w:rFonts w:cs="Arial"/>
          <w:lang w:val="fr-FR"/>
        </w:rPr>
        <w:t xml:space="preserve"> le</w:t>
      </w:r>
      <w:r w:rsidR="00867AFB">
        <w:rPr>
          <w:rFonts w:cs="Arial"/>
          <w:lang w:val="fr-FR"/>
        </w:rPr>
        <w:t> </w:t>
      </w:r>
      <w:r w:rsidR="00867AFB" w:rsidRPr="001A2BC6">
        <w:rPr>
          <w:rFonts w:cs="Arial"/>
          <w:lang w:val="fr-FR"/>
        </w:rPr>
        <w:t>CAJ</w:t>
      </w:r>
      <w:r w:rsidRPr="001A2BC6">
        <w:rPr>
          <w:rFonts w:cs="Arial"/>
          <w:lang w:val="fr-FR"/>
        </w:rPr>
        <w:t xml:space="preserve"> à sa soixante</w:t>
      </w:r>
      <w:r w:rsidR="00C27E30">
        <w:rPr>
          <w:rFonts w:cs="Arial"/>
          <w:lang w:val="fr-FR"/>
        </w:rPr>
        <w:noBreakHyphen/>
      </w:r>
      <w:r w:rsidRPr="001A2BC6">
        <w:rPr>
          <w:rFonts w:cs="Arial"/>
          <w:lang w:val="fr-FR"/>
        </w:rPr>
        <w:t>quatr</w:t>
      </w:r>
      <w:r w:rsidR="00867AFB">
        <w:rPr>
          <w:rFonts w:cs="Arial"/>
          <w:lang w:val="fr-FR"/>
        </w:rPr>
        <w:t>ième session</w:t>
      </w:r>
      <w:r w:rsidRPr="001A2BC6">
        <w:rPr>
          <w:rFonts w:cs="Arial"/>
          <w:lang w:val="fr-FR"/>
        </w:rPr>
        <w:t xml:space="preserve"> et témoignant des faits nouveaux concernant le formulaire de demande électronique, ainsi que les champs pertinents de la base de données PLUTO, comme suit</w:t>
      </w:r>
      <w:r w:rsidR="00867AFB">
        <w:rPr>
          <w:rFonts w:cs="Arial"/>
          <w:lang w:val="fr-FR"/>
        </w:rPr>
        <w:t> :</w:t>
      </w:r>
    </w:p>
    <w:p w:rsidR="00B174FF" w:rsidRPr="001A2BC6" w:rsidRDefault="00B174FF" w:rsidP="00B174FF">
      <w:pPr>
        <w:rPr>
          <w:rFonts w:cs="Arial"/>
          <w:lang w:val="fr-FR"/>
        </w:rPr>
      </w:pPr>
    </w:p>
    <w:p w:rsidR="00B174FF" w:rsidRPr="001A2BC6" w:rsidRDefault="00B174FF" w:rsidP="00B174FF">
      <w:pPr>
        <w:ind w:firstLine="567"/>
        <w:rPr>
          <w:rFonts w:cs="Arial"/>
          <w:lang w:val="fr-FR"/>
        </w:rPr>
      </w:pPr>
      <w:r w:rsidRPr="001A2BC6">
        <w:rPr>
          <w:rFonts w:cs="Arial"/>
          <w:lang w:val="fr-FR"/>
        </w:rPr>
        <w:t>a)</w:t>
      </w:r>
      <w:r w:rsidRPr="001A2BC6">
        <w:rPr>
          <w:rFonts w:cs="Arial"/>
          <w:lang w:val="fr-FR"/>
        </w:rPr>
        <w:tab/>
        <w:t>tenir compte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énoncé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 xml:space="preserve">Acte de 1991 de la </w:t>
      </w:r>
      <w:r w:rsidR="00867AFB">
        <w:rPr>
          <w:rFonts w:cs="Arial"/>
          <w:lang w:val="fr-FR"/>
        </w:rPr>
        <w:t>Convention UPOV</w:t>
      </w:r>
      <w:r w:rsidRPr="001A2BC6">
        <w:rPr>
          <w:rFonts w:cs="Arial"/>
          <w:lang w:val="fr-FR"/>
        </w:rPr>
        <w:t xml:space="preserve"> et des documents récemment adoptés par le Conseil (tels que le formulaire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pour la demande de protection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une obtention végétale (document</w:t>
      </w:r>
      <w:r w:rsidR="004A52D9">
        <w:rPr>
          <w:rFonts w:cs="Arial"/>
          <w:lang w:val="fr-FR"/>
        </w:rPr>
        <w:t> </w:t>
      </w:r>
      <w:r w:rsidRPr="001A2BC6">
        <w:rPr>
          <w:rFonts w:cs="Arial"/>
          <w:lang w:val="fr-FR"/>
        </w:rPr>
        <w:t>TGP/5</w:t>
      </w:r>
      <w:r w:rsidR="00560A24">
        <w:rPr>
          <w:rFonts w:cs="Arial"/>
          <w:lang w:val="fr-FR"/>
        </w:rPr>
        <w:t xml:space="preserve"> Section 2/3</w:t>
      </w:r>
      <w:r w:rsidRPr="001A2BC6">
        <w:rPr>
          <w:rFonts w:cs="Arial"/>
          <w:lang w:val="fr-FR"/>
        </w:rPr>
        <w:t>)</w:t>
      </w:r>
      <w:r w:rsidR="007B220D" w:rsidRPr="001A2BC6">
        <w:rPr>
          <w:rFonts w:cs="Arial"/>
          <w:lang w:val="fr-FR"/>
        </w:rPr>
        <w:t>);</w:t>
      </w:r>
    </w:p>
    <w:p w:rsidR="00B174FF" w:rsidRPr="001A2BC6" w:rsidRDefault="00B174FF" w:rsidP="00B174FF">
      <w:pPr>
        <w:rPr>
          <w:rFonts w:cs="Arial"/>
          <w:lang w:val="fr-FR"/>
        </w:rPr>
      </w:pPr>
    </w:p>
    <w:p w:rsidR="00B174FF" w:rsidRPr="001A2BC6" w:rsidRDefault="00B174FF" w:rsidP="00B174FF">
      <w:pPr>
        <w:ind w:firstLine="567"/>
        <w:rPr>
          <w:rFonts w:cs="Arial"/>
          <w:lang w:val="fr-FR"/>
        </w:rPr>
      </w:pPr>
      <w:r w:rsidRPr="001A2BC6">
        <w:rPr>
          <w:rFonts w:cs="Arial"/>
          <w:lang w:val="fr-FR"/>
        </w:rPr>
        <w:t>b)</w:t>
      </w:r>
      <w:r w:rsidRPr="001A2BC6">
        <w:rPr>
          <w:rFonts w:cs="Arial"/>
          <w:lang w:val="fr-FR"/>
        </w:rPr>
        <w:tab/>
        <w:t>examiner les faits nouveaux pertinents concernant les formats des bulletins nationaux et régionaux des membres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Union, ainsi que les champs correspondants de la base de données PLUTO en tant qu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outil supplémentaire permettant de renseigner le public sur les demandes de droit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obtenteur et les droits d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 xml:space="preserve">obtenteur délivrés, et sur les dénominations proposées et </w:t>
      </w:r>
      <w:r w:rsidR="007B220D">
        <w:rPr>
          <w:rFonts w:cs="Arial"/>
          <w:lang w:val="fr-FR"/>
        </w:rPr>
        <w:t>approuvées</w:t>
      </w:r>
      <w:r w:rsidR="007B220D" w:rsidRPr="001A2BC6">
        <w:rPr>
          <w:rFonts w:cs="Arial"/>
          <w:lang w:val="fr-FR"/>
        </w:rPr>
        <w:t>;</w:t>
      </w:r>
    </w:p>
    <w:p w:rsidR="00B174FF" w:rsidRPr="001A2BC6" w:rsidRDefault="00B174FF" w:rsidP="00B174FF">
      <w:pPr>
        <w:ind w:firstLine="567"/>
        <w:rPr>
          <w:rFonts w:cs="Arial"/>
          <w:lang w:val="fr-FR"/>
        </w:rPr>
      </w:pPr>
    </w:p>
    <w:p w:rsidR="00B174FF" w:rsidRPr="001A2BC6" w:rsidRDefault="00B174FF" w:rsidP="00B174FF">
      <w:pPr>
        <w:ind w:firstLine="567"/>
        <w:rPr>
          <w:rFonts w:cs="Arial"/>
          <w:lang w:val="fr-FR"/>
        </w:rPr>
      </w:pPr>
      <w:r w:rsidRPr="001A2BC6">
        <w:rPr>
          <w:rFonts w:cs="Arial"/>
          <w:lang w:val="fr-FR"/>
        </w:rPr>
        <w:t>c)</w:t>
      </w:r>
      <w:r w:rsidRPr="001A2BC6">
        <w:rPr>
          <w:rFonts w:cs="Arial"/>
          <w:lang w:val="fr-FR"/>
        </w:rPr>
        <w:tab/>
        <w:t>simplifier la structure du document</w:t>
      </w:r>
      <w:r w:rsidRPr="00DC1C2A">
        <w:rPr>
          <w:rStyle w:val="FootnoteReference"/>
          <w:rFonts w:cs="Arial"/>
        </w:rPr>
        <w:footnoteReference w:id="19"/>
      </w:r>
      <w:r w:rsidR="00E02739">
        <w:rPr>
          <w:rFonts w:cs="Arial"/>
          <w:lang w:val="fr-FR"/>
        </w:rPr>
        <w:t>.</w:t>
      </w:r>
    </w:p>
    <w:p w:rsidR="007A40B1" w:rsidRPr="001A2BC6" w:rsidRDefault="007A40B1" w:rsidP="006311FB">
      <w:pPr>
        <w:rPr>
          <w:rFonts w:cs="Arial"/>
          <w:highlight w:val="yellow"/>
          <w:lang w:val="fr-FR"/>
        </w:rPr>
      </w:pPr>
    </w:p>
    <w:p w:rsidR="007A40B1" w:rsidRPr="001A2BC6" w:rsidRDefault="007A40B1" w:rsidP="007A40B1">
      <w:pPr>
        <w:rPr>
          <w:rFonts w:cs="Arial"/>
          <w:lang w:val="fr-FR"/>
        </w:rPr>
      </w:pPr>
      <w:r w:rsidRPr="00D53442">
        <w:rPr>
          <w:rFonts w:cs="Arial"/>
        </w:rPr>
        <w:fldChar w:fldCharType="begin"/>
      </w:r>
      <w:r w:rsidRPr="001A2BC6">
        <w:rPr>
          <w:rFonts w:cs="Arial"/>
          <w:lang w:val="fr-FR"/>
        </w:rPr>
        <w:instrText xml:space="preserve"> AUTONUM  </w:instrText>
      </w:r>
      <w:r w:rsidRPr="00D53442">
        <w:rPr>
          <w:rFonts w:cs="Arial"/>
        </w:rPr>
        <w:fldChar w:fldCharType="end"/>
      </w:r>
      <w:r w:rsidRPr="001A2BC6">
        <w:rPr>
          <w:rFonts w:cs="Arial"/>
          <w:lang w:val="fr-FR"/>
        </w:rPr>
        <w:tab/>
      </w:r>
      <w:r w:rsidR="00D53442" w:rsidRPr="001A2BC6">
        <w:rPr>
          <w:rFonts w:cs="Arial"/>
          <w:lang w:val="fr-FR"/>
        </w:rPr>
        <w:t>Compte tenu du fait que les membres de l</w:t>
      </w:r>
      <w:r w:rsidR="00867AFB">
        <w:rPr>
          <w:rFonts w:cs="Arial"/>
          <w:lang w:val="fr-FR"/>
        </w:rPr>
        <w:t>’</w:t>
      </w:r>
      <w:r w:rsidR="00D53442" w:rsidRPr="001A2BC6">
        <w:rPr>
          <w:rFonts w:cs="Arial"/>
          <w:lang w:val="fr-FR"/>
        </w:rPr>
        <w:t>Union ont recours à différents moyens pour communiquer au public des informations</w:t>
      </w:r>
      <w:r w:rsidRPr="001A2BC6">
        <w:rPr>
          <w:lang w:val="fr-FR"/>
        </w:rPr>
        <w:t xml:space="preserve"> sur les questions relatives aux droits d</w:t>
      </w:r>
      <w:r w:rsidR="00867AFB">
        <w:rPr>
          <w:lang w:val="fr-FR"/>
        </w:rPr>
        <w:t>’</w:t>
      </w:r>
      <w:r w:rsidRPr="001A2BC6">
        <w:rPr>
          <w:lang w:val="fr-FR"/>
        </w:rPr>
        <w:t>obtenteur (support papier et/ou électronique), et notamment à</w:t>
      </w:r>
      <w:r w:rsidRPr="001A2BC6">
        <w:rPr>
          <w:rFonts w:cs="Arial"/>
          <w:lang w:val="fr-FR"/>
        </w:rPr>
        <w:t xml:space="preserve"> des publications électroniques, il est proposé de modifier le titre de la version révisée du document UPOV/INF/5 en remplaçant le terme “bulletin” par le terme “publication”, comme suit</w:t>
      </w:r>
      <w:r w:rsidR="00867AFB">
        <w:rPr>
          <w:rFonts w:cs="Arial"/>
          <w:lang w:val="fr-FR"/>
        </w:rPr>
        <w:t> :</w:t>
      </w:r>
      <w:r w:rsidRPr="001A2BC6">
        <w:rPr>
          <w:rFonts w:cs="Arial"/>
          <w:lang w:val="fr-FR"/>
        </w:rPr>
        <w:t xml:space="preserve"> “Publication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 xml:space="preserve">UPOV </w:t>
      </w:r>
      <w:r w:rsidR="00130602">
        <w:rPr>
          <w:rFonts w:cs="Arial"/>
          <w:lang w:val="fr-FR"/>
        </w:rPr>
        <w:t>sur les droits d’obtenteur</w:t>
      </w:r>
      <w:r w:rsidRPr="001A2BC6">
        <w:rPr>
          <w:rFonts w:cs="Arial"/>
          <w:lang w:val="fr-FR"/>
        </w:rPr>
        <w:t>”.</w:t>
      </w:r>
    </w:p>
    <w:p w:rsidR="007A40B1" w:rsidRPr="001A2BC6" w:rsidRDefault="007A40B1" w:rsidP="006311FB">
      <w:pPr>
        <w:rPr>
          <w:rFonts w:cs="Arial"/>
          <w:lang w:val="fr-FR"/>
        </w:rPr>
      </w:pPr>
    </w:p>
    <w:p w:rsidR="001E252B" w:rsidRPr="001A2BC6" w:rsidRDefault="00BC5BBB" w:rsidP="00F602FF">
      <w:pPr>
        <w:keepNext/>
        <w:keepLines/>
        <w:rPr>
          <w:rFonts w:cs="Arial"/>
          <w:lang w:val="fr-FR"/>
        </w:rPr>
      </w:pPr>
      <w:r w:rsidRPr="00846E9C">
        <w:rPr>
          <w:rFonts w:cs="Arial"/>
          <w:i/>
          <w:spacing w:val="-2"/>
        </w:rPr>
        <w:lastRenderedPageBreak/>
        <w:fldChar w:fldCharType="begin"/>
      </w:r>
      <w:r w:rsidRPr="001A2BC6">
        <w:rPr>
          <w:rFonts w:cs="Arial"/>
          <w:spacing w:val="-2"/>
          <w:lang w:val="fr-FR"/>
        </w:rPr>
        <w:instrText xml:space="preserve"> AUTONUM  </w:instrText>
      </w:r>
      <w:r w:rsidRPr="00846E9C">
        <w:rPr>
          <w:rFonts w:cs="Arial"/>
          <w:i/>
          <w:spacing w:val="-2"/>
        </w:rPr>
        <w:fldChar w:fldCharType="end"/>
      </w:r>
      <w:r w:rsidRPr="001A2BC6">
        <w:rPr>
          <w:rFonts w:cs="Arial"/>
          <w:lang w:val="fr-FR"/>
        </w:rPr>
        <w:tab/>
      </w:r>
      <w:bookmarkStart w:id="9" w:name="_GoBack"/>
      <w:bookmarkEnd w:id="9"/>
      <w:r w:rsidR="004A52D9">
        <w:rPr>
          <w:rFonts w:cs="Arial"/>
          <w:lang w:val="fr-FR"/>
        </w:rPr>
        <w:t>Étant donné que le document </w:t>
      </w:r>
      <w:r w:rsidR="00846E9C" w:rsidRPr="001A2BC6">
        <w:rPr>
          <w:rFonts w:cs="Arial"/>
          <w:lang w:val="fr-FR"/>
        </w:rPr>
        <w:t>UPOV/INF/5/2 Draft 1 “Publication type de l</w:t>
      </w:r>
      <w:r w:rsidR="00867AFB">
        <w:rPr>
          <w:rFonts w:cs="Arial"/>
          <w:lang w:val="fr-FR"/>
        </w:rPr>
        <w:t>’</w:t>
      </w:r>
      <w:r w:rsidR="00846E9C" w:rsidRPr="001A2BC6">
        <w:rPr>
          <w:rFonts w:cs="Arial"/>
          <w:lang w:val="fr-FR"/>
        </w:rPr>
        <w:t xml:space="preserve">UPOV </w:t>
      </w:r>
      <w:r w:rsidR="00F53F2F">
        <w:rPr>
          <w:rFonts w:cs="Arial"/>
          <w:lang w:val="fr-FR"/>
        </w:rPr>
        <w:t>sur les droits d’</w:t>
      </w:r>
      <w:r w:rsidR="00E64597">
        <w:rPr>
          <w:rFonts w:cs="Arial"/>
          <w:lang w:val="fr-FR"/>
        </w:rPr>
        <w:t>obtenteur</w:t>
      </w:r>
      <w:r w:rsidR="00846E9C" w:rsidRPr="001A2BC6">
        <w:rPr>
          <w:rFonts w:cs="Arial"/>
          <w:lang w:val="fr-FR"/>
        </w:rPr>
        <w:t xml:space="preserve"> (révision)” a été établi </w:t>
      </w:r>
      <w:r w:rsidR="00E02739">
        <w:rPr>
          <w:rFonts w:cs="Arial"/>
          <w:lang w:val="fr-FR"/>
        </w:rPr>
        <w:t xml:space="preserve">à partir de la </w:t>
      </w:r>
      <w:r w:rsidR="00846E9C" w:rsidRPr="001A2BC6">
        <w:rPr>
          <w:rFonts w:cs="Arial"/>
          <w:lang w:val="fr-FR"/>
        </w:rPr>
        <w:t xml:space="preserve">structure simplifiée </w:t>
      </w:r>
      <w:r w:rsidR="00E02739">
        <w:rPr>
          <w:rFonts w:cs="Arial"/>
          <w:lang w:val="fr-FR"/>
        </w:rPr>
        <w:t xml:space="preserve">et </w:t>
      </w:r>
      <w:r w:rsidR="00846E9C" w:rsidRPr="001A2BC6">
        <w:rPr>
          <w:rFonts w:cs="Arial"/>
          <w:lang w:val="fr-FR"/>
        </w:rPr>
        <w:t>des faits nouveaux dont il est question au paragraphe 16 ci</w:t>
      </w:r>
      <w:r w:rsidR="00C27E30">
        <w:rPr>
          <w:rFonts w:cs="Arial"/>
          <w:lang w:val="fr-FR"/>
        </w:rPr>
        <w:noBreakHyphen/>
      </w:r>
      <w:r w:rsidR="00846E9C" w:rsidRPr="001A2BC6">
        <w:rPr>
          <w:rFonts w:cs="Arial"/>
          <w:lang w:val="fr-FR"/>
        </w:rPr>
        <w:t>dessus, les propositions ne sont pas présentées en mode “changements apparents”.</w:t>
      </w:r>
    </w:p>
    <w:p w:rsidR="001E252B" w:rsidRPr="001A2BC6" w:rsidRDefault="001E252B" w:rsidP="001E252B">
      <w:pPr>
        <w:rPr>
          <w:rFonts w:cs="Arial"/>
          <w:lang w:val="fr-FR"/>
        </w:rPr>
      </w:pPr>
    </w:p>
    <w:p w:rsidR="001D5883" w:rsidRPr="001A2BC6" w:rsidRDefault="001D5883" w:rsidP="001D5883">
      <w:pPr>
        <w:pStyle w:val="DecisionParagraphs"/>
        <w:rPr>
          <w:rFonts w:cs="Arial"/>
          <w:lang w:val="fr-FR"/>
        </w:rPr>
      </w:pPr>
      <w:r w:rsidRPr="00846E9C">
        <w:rPr>
          <w:rFonts w:cs="Arial"/>
          <w:spacing w:val="-2"/>
        </w:rPr>
        <w:fldChar w:fldCharType="begin"/>
      </w:r>
      <w:r w:rsidRPr="001A2BC6">
        <w:rPr>
          <w:rFonts w:cs="Arial"/>
          <w:spacing w:val="-2"/>
          <w:lang w:val="fr-FR"/>
        </w:rPr>
        <w:instrText xml:space="preserve"> AUTONUM  </w:instrText>
      </w:r>
      <w:r w:rsidRPr="00846E9C">
        <w:rPr>
          <w:rFonts w:cs="Arial"/>
          <w:spacing w:val="-2"/>
        </w:rPr>
        <w:fldChar w:fldCharType="end"/>
      </w:r>
      <w:r w:rsidRPr="001A2BC6">
        <w:rPr>
          <w:rFonts w:cs="Arial"/>
          <w:lang w:val="fr-FR"/>
        </w:rPr>
        <w:tab/>
        <w:t>Le CAJ est invité à examiner</w:t>
      </w:r>
      <w:r w:rsidR="004A52D9">
        <w:rPr>
          <w:rFonts w:cs="Arial"/>
          <w:lang w:val="fr-FR"/>
        </w:rPr>
        <w:t xml:space="preserve"> la version révisée du document </w:t>
      </w:r>
      <w:r w:rsidRPr="001A2BC6">
        <w:rPr>
          <w:rFonts w:cs="Arial"/>
          <w:lang w:val="fr-FR"/>
        </w:rPr>
        <w:t>UPOV/INF/5 “Bulletin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>UPOV de la protection des obtentions végét</w:t>
      </w:r>
      <w:r w:rsidR="004A52D9">
        <w:rPr>
          <w:rFonts w:cs="Arial"/>
          <w:lang w:val="fr-FR"/>
        </w:rPr>
        <w:t>ales” contenue dans le document </w:t>
      </w:r>
      <w:r w:rsidRPr="001A2BC6">
        <w:rPr>
          <w:rFonts w:cs="Arial"/>
          <w:lang w:val="fr-FR"/>
        </w:rPr>
        <w:t>UPOV/INF/5/2 Draft 1 “Publication type de l</w:t>
      </w:r>
      <w:r w:rsidR="00867AFB">
        <w:rPr>
          <w:rFonts w:cs="Arial"/>
          <w:lang w:val="fr-FR"/>
        </w:rPr>
        <w:t>’</w:t>
      </w:r>
      <w:r w:rsidRPr="001A2BC6">
        <w:rPr>
          <w:rFonts w:cs="Arial"/>
          <w:lang w:val="fr-FR"/>
        </w:rPr>
        <w:t xml:space="preserve">UPOV </w:t>
      </w:r>
      <w:r w:rsidR="00E64597">
        <w:rPr>
          <w:rFonts w:cs="Arial"/>
          <w:lang w:val="fr-FR"/>
        </w:rPr>
        <w:t>sur les droits d’obtenteur</w:t>
      </w:r>
      <w:r w:rsidRPr="00F53F2F">
        <w:rPr>
          <w:rFonts w:cs="Arial"/>
          <w:lang w:val="fr-FR"/>
        </w:rPr>
        <w:t xml:space="preserve"> </w:t>
      </w:r>
      <w:r w:rsidRPr="001A2BC6">
        <w:rPr>
          <w:rFonts w:cs="Arial"/>
          <w:lang w:val="fr-FR"/>
        </w:rPr>
        <w:t>(révision)”.</w:t>
      </w:r>
    </w:p>
    <w:p w:rsidR="00A877B5" w:rsidRPr="001A2BC6" w:rsidRDefault="00A877B5" w:rsidP="001D5883">
      <w:pPr>
        <w:rPr>
          <w:rFonts w:cs="Arial"/>
          <w:i/>
          <w:lang w:val="fr-FR"/>
        </w:rPr>
      </w:pPr>
    </w:p>
    <w:p w:rsidR="001D5883" w:rsidRPr="001A2BC6" w:rsidRDefault="001D5883" w:rsidP="001D5883">
      <w:pPr>
        <w:rPr>
          <w:rFonts w:cs="Arial"/>
          <w:lang w:val="fr-FR"/>
        </w:rPr>
      </w:pPr>
    </w:p>
    <w:p w:rsidR="001D5883" w:rsidRPr="001A2BC6" w:rsidRDefault="001D5883" w:rsidP="001D5883">
      <w:pPr>
        <w:pStyle w:val="Heading2"/>
        <w:rPr>
          <w:rFonts w:cs="Arial"/>
          <w:lang w:val="fr-FR"/>
        </w:rPr>
      </w:pPr>
      <w:bookmarkStart w:id="10" w:name="_Toc525113847"/>
      <w:r w:rsidRPr="001A2BC6">
        <w:rPr>
          <w:rFonts w:cs="Arial"/>
          <w:lang w:val="fr-FR"/>
        </w:rPr>
        <w:t xml:space="preserve">Notes explicatives sur les dénominations variétales selon la </w:t>
      </w:r>
      <w:r w:rsidR="00867AFB">
        <w:rPr>
          <w:rFonts w:cs="Arial"/>
          <w:lang w:val="fr-FR"/>
        </w:rPr>
        <w:t>Convention UPOV</w:t>
      </w:r>
      <w:r w:rsidRPr="001A2BC6">
        <w:rPr>
          <w:rFonts w:cs="Arial"/>
          <w:lang w:val="fr-FR"/>
        </w:rPr>
        <w:t xml:space="preserve"> (révision)</w:t>
      </w:r>
      <w:bookmarkEnd w:id="10"/>
    </w:p>
    <w:p w:rsidR="001D5883" w:rsidRPr="001A2BC6" w:rsidRDefault="001D5883" w:rsidP="001D5883">
      <w:pPr>
        <w:rPr>
          <w:lang w:val="fr-FR"/>
        </w:rPr>
      </w:pPr>
    </w:p>
    <w:p w:rsidR="004D079C" w:rsidRPr="001A2BC6" w:rsidRDefault="004D079C" w:rsidP="004D079C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  <w:lang w:val="fr-FR"/>
        </w:rPr>
      </w:pPr>
      <w:r w:rsidRPr="001971D3">
        <w:rPr>
          <w:i w:val="0"/>
        </w:rPr>
        <w:fldChar w:fldCharType="begin"/>
      </w:r>
      <w:r w:rsidRPr="001A2BC6">
        <w:rPr>
          <w:i w:val="0"/>
          <w:lang w:val="fr-FR"/>
        </w:rPr>
        <w:instrText xml:space="preserve"> AUTONUM  </w:instrText>
      </w:r>
      <w:r w:rsidRPr="001971D3">
        <w:rPr>
          <w:i w:val="0"/>
        </w:rPr>
        <w:fldChar w:fldCharType="end"/>
      </w:r>
      <w:r w:rsidRPr="001A2BC6">
        <w:rPr>
          <w:i w:val="0"/>
          <w:lang w:val="fr-FR"/>
        </w:rPr>
        <w:tab/>
        <w:t>Le CAJ</w:t>
      </w:r>
      <w:r w:rsidR="004F1804" w:rsidRPr="001A2BC6">
        <w:rPr>
          <w:i w:val="0"/>
          <w:lang w:val="fr-FR"/>
        </w:rPr>
        <w:t xml:space="preserve"> est invité à prendre note qu</w:t>
      </w:r>
      <w:r w:rsidR="00867AFB">
        <w:rPr>
          <w:i w:val="0"/>
          <w:lang w:val="fr-FR"/>
        </w:rPr>
        <w:t>’</w:t>
      </w:r>
      <w:r w:rsidR="004F1804" w:rsidRPr="001A2BC6">
        <w:rPr>
          <w:i w:val="0"/>
          <w:lang w:val="fr-FR"/>
        </w:rPr>
        <w:t>un rapport sur les travaux concernant la possibilité d</w:t>
      </w:r>
      <w:r w:rsidR="00867AFB">
        <w:rPr>
          <w:i w:val="0"/>
          <w:lang w:val="fr-FR"/>
        </w:rPr>
        <w:t>’</w:t>
      </w:r>
      <w:r w:rsidR="004F1804" w:rsidRPr="001A2BC6">
        <w:rPr>
          <w:i w:val="0"/>
          <w:lang w:val="fr-FR"/>
        </w:rPr>
        <w:t>élaboration d</w:t>
      </w:r>
      <w:r w:rsidR="00867AFB">
        <w:rPr>
          <w:i w:val="0"/>
          <w:lang w:val="fr-FR"/>
        </w:rPr>
        <w:t>’</w:t>
      </w:r>
      <w:r w:rsidR="004F1804" w:rsidRPr="001A2BC6">
        <w:rPr>
          <w:i w:val="0"/>
          <w:lang w:val="fr-FR"/>
        </w:rPr>
        <w:t>un moteur de recherche des similitudes pour l</w:t>
      </w:r>
      <w:r w:rsidR="00867AFB">
        <w:rPr>
          <w:i w:val="0"/>
          <w:lang w:val="fr-FR"/>
        </w:rPr>
        <w:t>’</w:t>
      </w:r>
      <w:r w:rsidR="004F1804" w:rsidRPr="001A2BC6">
        <w:rPr>
          <w:i w:val="0"/>
          <w:lang w:val="fr-FR"/>
        </w:rPr>
        <w:t xml:space="preserve">UPOV aux fins des dénominations variétales, de même que des propositions concernant la </w:t>
      </w:r>
      <w:r w:rsidR="004A52D9">
        <w:rPr>
          <w:i w:val="0"/>
          <w:lang w:val="fr-FR"/>
        </w:rPr>
        <w:t>révision éventuelle du document </w:t>
      </w:r>
      <w:r w:rsidR="004F1804" w:rsidRPr="001A2BC6">
        <w:rPr>
          <w:i w:val="0"/>
          <w:lang w:val="fr-FR"/>
        </w:rPr>
        <w:t xml:space="preserve">UPOV/INF/12 “Notes explicatives concernant les dénominations variétales en vertu de la </w:t>
      </w:r>
      <w:r w:rsidR="00867AFB">
        <w:rPr>
          <w:i w:val="0"/>
          <w:lang w:val="fr-FR"/>
        </w:rPr>
        <w:t>Convention UPOV</w:t>
      </w:r>
      <w:r w:rsidR="004F1804" w:rsidRPr="001A2BC6">
        <w:rPr>
          <w:i w:val="0"/>
          <w:lang w:val="fr-FR"/>
        </w:rPr>
        <w:t>”, figurent dans le document CAJ/75/7 “Dénominations variétales”</w:t>
      </w:r>
      <w:r>
        <w:rPr>
          <w:rStyle w:val="FootnoteReference"/>
          <w:i w:val="0"/>
        </w:rPr>
        <w:footnoteReference w:id="20"/>
      </w:r>
      <w:r w:rsidRPr="001A2BC6">
        <w:rPr>
          <w:i w:val="0"/>
          <w:lang w:val="fr-FR"/>
        </w:rPr>
        <w:t>.</w:t>
      </w:r>
    </w:p>
    <w:p w:rsidR="004D079C" w:rsidRPr="001A2BC6" w:rsidRDefault="004D079C" w:rsidP="001D5883">
      <w:pPr>
        <w:rPr>
          <w:highlight w:val="yellow"/>
          <w:lang w:val="fr-FR"/>
        </w:rPr>
      </w:pPr>
    </w:p>
    <w:p w:rsidR="001D5883" w:rsidRPr="001A2BC6" w:rsidRDefault="001D5883" w:rsidP="001D5883">
      <w:pPr>
        <w:pStyle w:val="DecisionParagraphs"/>
        <w:keepLines/>
        <w:rPr>
          <w:lang w:val="fr-FR"/>
        </w:rPr>
      </w:pPr>
      <w:r w:rsidRPr="004F1804">
        <w:fldChar w:fldCharType="begin"/>
      </w:r>
      <w:r w:rsidRPr="001A2BC6">
        <w:rPr>
          <w:lang w:val="fr-FR"/>
        </w:rPr>
        <w:instrText xml:space="preserve"> AUTONUM  </w:instrText>
      </w:r>
      <w:r w:rsidRPr="004F1804">
        <w:fldChar w:fldCharType="end"/>
      </w:r>
      <w:r w:rsidRPr="001A2BC6">
        <w:rPr>
          <w:lang w:val="fr-FR"/>
        </w:rPr>
        <w:tab/>
        <w:t>Le CAJ est invité à prendre note qu</w:t>
      </w:r>
      <w:r w:rsidR="00867AFB">
        <w:rPr>
          <w:lang w:val="fr-FR"/>
        </w:rPr>
        <w:t>’</w:t>
      </w:r>
      <w:r w:rsidRPr="001A2BC6">
        <w:rPr>
          <w:lang w:val="fr-FR"/>
        </w:rPr>
        <w:t>un rapport sur les travaux concernant la possibilité d</w:t>
      </w:r>
      <w:r w:rsidR="00867AFB">
        <w:rPr>
          <w:lang w:val="fr-FR"/>
        </w:rPr>
        <w:t>’</w:t>
      </w:r>
      <w:r w:rsidRPr="001A2BC6">
        <w:rPr>
          <w:lang w:val="fr-FR"/>
        </w:rPr>
        <w:t>élaboration d</w:t>
      </w:r>
      <w:r w:rsidR="00867AFB">
        <w:rPr>
          <w:lang w:val="fr-FR"/>
        </w:rPr>
        <w:t>’</w:t>
      </w:r>
      <w:r w:rsidRPr="001A2BC6">
        <w:rPr>
          <w:lang w:val="fr-FR"/>
        </w:rPr>
        <w:t>un moteur de recherche des similitudes pour l</w:t>
      </w:r>
      <w:r w:rsidR="00867AFB">
        <w:rPr>
          <w:lang w:val="fr-FR"/>
        </w:rPr>
        <w:t>’</w:t>
      </w:r>
      <w:r w:rsidRPr="001A2BC6">
        <w:rPr>
          <w:lang w:val="fr-FR"/>
        </w:rPr>
        <w:t xml:space="preserve">UPOV aux fins des dénominations variétales, de même que des propositions concernant la </w:t>
      </w:r>
      <w:r w:rsidR="004A52D9">
        <w:rPr>
          <w:lang w:val="fr-FR"/>
        </w:rPr>
        <w:t>révision éventuelle du document </w:t>
      </w:r>
      <w:r w:rsidRPr="001A2BC6">
        <w:rPr>
          <w:lang w:val="fr-FR"/>
        </w:rPr>
        <w:t>UPOV/INF/12 “Notes explicatives concernant les dénom</w:t>
      </w:r>
      <w:r w:rsidR="00C00305">
        <w:rPr>
          <w:lang w:val="fr-FR"/>
        </w:rPr>
        <w:t>inations variétales en vertu de </w:t>
      </w:r>
      <w:r w:rsidRPr="001A2BC6">
        <w:rPr>
          <w:lang w:val="fr-FR"/>
        </w:rPr>
        <w:t xml:space="preserve">la </w:t>
      </w:r>
      <w:r w:rsidR="00867AFB">
        <w:rPr>
          <w:lang w:val="fr-FR"/>
        </w:rPr>
        <w:t>Convention UPOV</w:t>
      </w:r>
      <w:r w:rsidRPr="001A2BC6">
        <w:rPr>
          <w:lang w:val="fr-FR"/>
        </w:rPr>
        <w:t>”, f</w:t>
      </w:r>
      <w:r w:rsidR="00C00305">
        <w:rPr>
          <w:lang w:val="fr-FR"/>
        </w:rPr>
        <w:t>igurent dans le document </w:t>
      </w:r>
      <w:r w:rsidR="004D079C" w:rsidRPr="001A2BC6">
        <w:rPr>
          <w:lang w:val="fr-FR"/>
        </w:rPr>
        <w:t>CAJ/75/7 “Dénominations variétales”.</w:t>
      </w:r>
    </w:p>
    <w:p w:rsidR="001D5883" w:rsidRPr="001A2BC6" w:rsidRDefault="001D5883" w:rsidP="001D5883">
      <w:pPr>
        <w:rPr>
          <w:lang w:val="fr-FR" w:eastAsia="zh-CN"/>
        </w:rPr>
      </w:pPr>
    </w:p>
    <w:p w:rsidR="004F1804" w:rsidRPr="001A2BC6" w:rsidRDefault="004F1804" w:rsidP="001D5883">
      <w:pPr>
        <w:rPr>
          <w:lang w:val="fr-FR" w:eastAsia="zh-CN"/>
        </w:rPr>
      </w:pPr>
    </w:p>
    <w:p w:rsidR="001D5883" w:rsidRPr="001A2BC6" w:rsidRDefault="001D5883" w:rsidP="001D5883">
      <w:pPr>
        <w:rPr>
          <w:lang w:val="fr-FR"/>
        </w:rPr>
      </w:pPr>
    </w:p>
    <w:p w:rsidR="001D5883" w:rsidRPr="001A2BC6" w:rsidRDefault="001004A5" w:rsidP="0080591E">
      <w:pPr>
        <w:pStyle w:val="Heading1"/>
      </w:pPr>
      <w:bookmarkStart w:id="11" w:name="_Toc525113848"/>
      <w:r w:rsidRPr="001A2BC6">
        <w:t>Programme provisoire d</w:t>
      </w:r>
      <w:r>
        <w:t>’</w:t>
      </w:r>
      <w:r w:rsidRPr="001A2BC6">
        <w:rPr>
          <w:rFonts w:cs="Arial"/>
        </w:rPr>
        <w:t>é</w:t>
      </w:r>
      <w:r w:rsidRPr="001A2BC6">
        <w:t>laboration de mat</w:t>
      </w:r>
      <w:r w:rsidRPr="001A2BC6">
        <w:rPr>
          <w:rFonts w:cs="Arial"/>
        </w:rPr>
        <w:t>é</w:t>
      </w:r>
      <w:r w:rsidRPr="001A2BC6">
        <w:t>riel d</w:t>
      </w:r>
      <w:r>
        <w:t>’</w:t>
      </w:r>
      <w:r w:rsidRPr="001A2BC6">
        <w:t>information</w:t>
      </w:r>
      <w:bookmarkEnd w:id="11"/>
    </w:p>
    <w:p w:rsidR="001D5883" w:rsidRPr="001A2BC6" w:rsidRDefault="001D5883" w:rsidP="001D5883">
      <w:pPr>
        <w:pStyle w:val="Heading2"/>
        <w:rPr>
          <w:lang w:val="fr-FR"/>
        </w:rPr>
      </w:pPr>
    </w:p>
    <w:p w:rsidR="001D5883" w:rsidRPr="001A2BC6" w:rsidRDefault="001D5883" w:rsidP="001D5883">
      <w:pPr>
        <w:rPr>
          <w:rFonts w:eastAsia="MS Mincho"/>
          <w:lang w:val="fr-FR"/>
        </w:rPr>
      </w:pPr>
      <w:r w:rsidRPr="004F1804">
        <w:rPr>
          <w:rFonts w:eastAsia="MS Mincho"/>
        </w:rPr>
        <w:fldChar w:fldCharType="begin"/>
      </w:r>
      <w:r w:rsidRPr="001A2BC6">
        <w:rPr>
          <w:rFonts w:eastAsia="MS Mincho"/>
          <w:lang w:val="fr-FR"/>
        </w:rPr>
        <w:instrText xml:space="preserve"> AUTONUM  </w:instrText>
      </w:r>
      <w:r w:rsidRPr="004F1804">
        <w:rPr>
          <w:rFonts w:eastAsia="MS Mincho"/>
        </w:rPr>
        <w:fldChar w:fldCharType="end"/>
      </w:r>
      <w:r w:rsidRPr="001A2BC6">
        <w:rPr>
          <w:rFonts w:eastAsia="MS Mincho"/>
          <w:lang w:val="fr-FR"/>
        </w:rPr>
        <w:tab/>
        <w:t>Le CAJ est invité à examiner le programme d</w:t>
      </w:r>
      <w:r w:rsidR="00867AFB">
        <w:rPr>
          <w:rFonts w:eastAsia="MS Mincho"/>
          <w:lang w:val="fr-FR"/>
        </w:rPr>
        <w:t>’</w:t>
      </w:r>
      <w:r w:rsidRPr="001A2BC6">
        <w:rPr>
          <w:rFonts w:eastAsia="MS Mincho"/>
          <w:lang w:val="fr-FR"/>
        </w:rPr>
        <w:t>élaboration de matériel d</w:t>
      </w:r>
      <w:r w:rsidR="00867AFB">
        <w:rPr>
          <w:rFonts w:eastAsia="MS Mincho"/>
          <w:lang w:val="fr-FR"/>
        </w:rPr>
        <w:t>’</w:t>
      </w:r>
      <w:r w:rsidRPr="001A2BC6">
        <w:rPr>
          <w:rFonts w:eastAsia="MS Mincho"/>
          <w:lang w:val="fr-FR"/>
        </w:rPr>
        <w:t>information, tel qu</w:t>
      </w:r>
      <w:r w:rsidR="00867AFB">
        <w:rPr>
          <w:rFonts w:eastAsia="MS Mincho"/>
          <w:lang w:val="fr-FR"/>
        </w:rPr>
        <w:t>’</w:t>
      </w:r>
      <w:r w:rsidRPr="001A2BC6">
        <w:rPr>
          <w:rFonts w:eastAsia="MS Mincho"/>
          <w:lang w:val="fr-FR"/>
        </w:rPr>
        <w:t xml:space="preserve">il est proposé </w:t>
      </w:r>
      <w:r w:rsidR="003A099C" w:rsidRPr="001A2BC6">
        <w:rPr>
          <w:rFonts w:eastAsia="MS Mincho"/>
          <w:lang w:val="fr-FR"/>
        </w:rPr>
        <w:t>dans l</w:t>
      </w:r>
      <w:r w:rsidR="00867AFB">
        <w:rPr>
          <w:rFonts w:eastAsia="MS Mincho"/>
          <w:lang w:val="fr-FR"/>
        </w:rPr>
        <w:t>’</w:t>
      </w:r>
      <w:r w:rsidR="003A099C" w:rsidRPr="001A2BC6">
        <w:rPr>
          <w:rFonts w:eastAsia="MS Mincho"/>
          <w:lang w:val="fr-FR"/>
        </w:rPr>
        <w:t>annexe du présent document, sur la base des conclusions auxquelles</w:t>
      </w:r>
      <w:r w:rsidR="00867AFB" w:rsidRPr="001A2BC6">
        <w:rPr>
          <w:rFonts w:eastAsia="MS Mincho"/>
          <w:lang w:val="fr-FR"/>
        </w:rPr>
        <w:t xml:space="preserve"> le</w:t>
      </w:r>
      <w:r w:rsidR="00867AFB">
        <w:rPr>
          <w:rFonts w:eastAsia="MS Mincho"/>
          <w:lang w:val="fr-FR"/>
        </w:rPr>
        <w:t> </w:t>
      </w:r>
      <w:r w:rsidR="00867AFB" w:rsidRPr="001A2BC6">
        <w:rPr>
          <w:rFonts w:eastAsia="MS Mincho"/>
          <w:lang w:val="fr-FR"/>
        </w:rPr>
        <w:t>CAJ</w:t>
      </w:r>
      <w:r w:rsidR="003A099C" w:rsidRPr="001A2BC6">
        <w:rPr>
          <w:rFonts w:eastAsia="MS Mincho"/>
          <w:lang w:val="fr-FR"/>
        </w:rPr>
        <w:t xml:space="preserve"> est parvenu à ce sujet à sa soixante</w:t>
      </w:r>
      <w:r w:rsidR="00C27E30">
        <w:rPr>
          <w:rFonts w:eastAsia="MS Mincho"/>
          <w:lang w:val="fr-FR"/>
        </w:rPr>
        <w:noBreakHyphen/>
      </w:r>
      <w:r w:rsidR="003A099C" w:rsidRPr="001A2BC6">
        <w:rPr>
          <w:rFonts w:eastAsia="MS Mincho"/>
          <w:lang w:val="fr-FR"/>
        </w:rPr>
        <w:t>quinz</w:t>
      </w:r>
      <w:r w:rsidR="00867AFB">
        <w:rPr>
          <w:rFonts w:eastAsia="MS Mincho"/>
          <w:lang w:val="fr-FR"/>
        </w:rPr>
        <w:t>ième session</w:t>
      </w:r>
      <w:r w:rsidR="003A099C" w:rsidRPr="001A2BC6">
        <w:rPr>
          <w:rFonts w:eastAsia="MS Mincho"/>
          <w:lang w:val="fr-FR"/>
        </w:rPr>
        <w:t>, dans le cadre des délibérations prévues au point intitulé “Programme de la soixante</w:t>
      </w:r>
      <w:r w:rsidR="00C27E30">
        <w:rPr>
          <w:rFonts w:eastAsia="MS Mincho"/>
          <w:lang w:val="fr-FR"/>
        </w:rPr>
        <w:noBreakHyphen/>
      </w:r>
      <w:r w:rsidR="003A099C" w:rsidRPr="001A2BC6">
        <w:rPr>
          <w:rFonts w:eastAsia="MS Mincho"/>
          <w:lang w:val="fr-FR"/>
        </w:rPr>
        <w:t>seiz</w:t>
      </w:r>
      <w:r w:rsidR="00867AFB">
        <w:rPr>
          <w:rFonts w:eastAsia="MS Mincho"/>
          <w:lang w:val="fr-FR"/>
        </w:rPr>
        <w:t>ième session</w:t>
      </w:r>
      <w:r w:rsidR="003A099C" w:rsidRPr="001A2BC6">
        <w:rPr>
          <w:rFonts w:eastAsia="MS Mincho"/>
          <w:lang w:val="fr-FR"/>
        </w:rPr>
        <w:t>”.</w:t>
      </w:r>
    </w:p>
    <w:p w:rsidR="001D5883" w:rsidRPr="001A2BC6" w:rsidRDefault="001D5883" w:rsidP="001D5883">
      <w:pPr>
        <w:rPr>
          <w:rFonts w:eastAsia="MS Mincho"/>
          <w:lang w:val="fr-FR"/>
        </w:rPr>
      </w:pPr>
    </w:p>
    <w:p w:rsidR="001D5883" w:rsidRPr="001A2BC6" w:rsidRDefault="001D5883" w:rsidP="001D5883">
      <w:pPr>
        <w:pStyle w:val="DecisionParagraphs"/>
        <w:rPr>
          <w:lang w:val="fr-FR"/>
        </w:rPr>
      </w:pPr>
      <w:r w:rsidRPr="004F1804">
        <w:fldChar w:fldCharType="begin"/>
      </w:r>
      <w:r w:rsidRPr="001A2BC6">
        <w:rPr>
          <w:lang w:val="fr-FR"/>
        </w:rPr>
        <w:instrText xml:space="preserve"> AUTONUM  </w:instrText>
      </w:r>
      <w:r w:rsidRPr="004F1804">
        <w:fldChar w:fldCharType="end"/>
      </w:r>
      <w:r w:rsidRPr="001A2BC6">
        <w:rPr>
          <w:lang w:val="fr-FR"/>
        </w:rPr>
        <w:tab/>
        <w:t>Le CAJ est invité à examiner le programme d</w:t>
      </w:r>
      <w:r w:rsidR="00867AFB">
        <w:rPr>
          <w:lang w:val="fr-FR"/>
        </w:rPr>
        <w:t>’</w:t>
      </w:r>
      <w:r w:rsidRPr="001A2BC6">
        <w:rPr>
          <w:lang w:val="fr-FR"/>
        </w:rPr>
        <w:t>élaboration de matériel d</w:t>
      </w:r>
      <w:r w:rsidR="00867AFB">
        <w:rPr>
          <w:lang w:val="fr-FR"/>
        </w:rPr>
        <w:t>’</w:t>
      </w:r>
      <w:r w:rsidRPr="001A2BC6">
        <w:rPr>
          <w:lang w:val="fr-FR"/>
        </w:rPr>
        <w:t>information dans le cadre des</w:t>
      </w:r>
      <w:r w:rsidRPr="001A2BC6">
        <w:rPr>
          <w:rFonts w:eastAsia="MS Mincho"/>
          <w:lang w:val="fr-FR"/>
        </w:rPr>
        <w:t xml:space="preserve"> délibérations prévues au point intitulé “Programme de la soixante</w:t>
      </w:r>
      <w:r w:rsidR="00C27E30">
        <w:rPr>
          <w:rFonts w:eastAsia="MS Mincho"/>
          <w:lang w:val="fr-FR"/>
        </w:rPr>
        <w:noBreakHyphen/>
      </w:r>
      <w:r w:rsidRPr="001A2BC6">
        <w:rPr>
          <w:rFonts w:eastAsia="MS Mincho"/>
          <w:lang w:val="fr-FR"/>
        </w:rPr>
        <w:t>seiz</w:t>
      </w:r>
      <w:r w:rsidR="00867AFB">
        <w:rPr>
          <w:rFonts w:eastAsia="MS Mincho"/>
          <w:lang w:val="fr-FR"/>
        </w:rPr>
        <w:t>ième session</w:t>
      </w:r>
      <w:r w:rsidRPr="001A2BC6">
        <w:rPr>
          <w:rFonts w:eastAsia="MS Mincho"/>
          <w:lang w:val="fr-FR"/>
        </w:rPr>
        <w:t>”</w:t>
      </w:r>
      <w:r w:rsidRPr="001A2BC6">
        <w:rPr>
          <w:lang w:val="fr-FR"/>
        </w:rPr>
        <w:t>.</w:t>
      </w:r>
    </w:p>
    <w:p w:rsidR="001D5883" w:rsidRPr="001A2BC6" w:rsidRDefault="001D5883" w:rsidP="001D5883">
      <w:pPr>
        <w:pStyle w:val="DecisionParagraphs"/>
        <w:rPr>
          <w:lang w:val="fr-FR"/>
        </w:rPr>
      </w:pPr>
    </w:p>
    <w:p w:rsidR="001D5883" w:rsidRPr="001A2BC6" w:rsidRDefault="001D5883" w:rsidP="001D5883">
      <w:pPr>
        <w:pStyle w:val="DecisionParagraphs"/>
        <w:rPr>
          <w:lang w:val="fr-FR"/>
        </w:rPr>
      </w:pPr>
    </w:p>
    <w:p w:rsidR="001D5883" w:rsidRDefault="00E26C7C" w:rsidP="001D5883">
      <w:pPr>
        <w:pStyle w:val="DecisionParagraphs"/>
        <w:jc w:val="right"/>
        <w:rPr>
          <w:i w:val="0"/>
          <w:lang w:val="fr-FR"/>
        </w:rPr>
      </w:pPr>
      <w:r w:rsidRPr="001A2BC6">
        <w:rPr>
          <w:i w:val="0"/>
          <w:lang w:val="fr-FR"/>
        </w:rPr>
        <w:t>[L</w:t>
      </w:r>
      <w:r w:rsidR="00867AFB">
        <w:rPr>
          <w:i w:val="0"/>
          <w:lang w:val="fr-FR"/>
        </w:rPr>
        <w:t>’</w:t>
      </w:r>
      <w:r w:rsidRPr="001A2BC6">
        <w:rPr>
          <w:i w:val="0"/>
          <w:lang w:val="fr-FR"/>
        </w:rPr>
        <w:t>annexe suit]</w:t>
      </w:r>
    </w:p>
    <w:p w:rsidR="00F602FF" w:rsidRPr="001A2BC6" w:rsidRDefault="00F602FF" w:rsidP="001D5883">
      <w:pPr>
        <w:pStyle w:val="DecisionParagraphs"/>
        <w:jc w:val="right"/>
        <w:rPr>
          <w:i w:val="0"/>
          <w:lang w:val="fr-FR"/>
        </w:rPr>
      </w:pPr>
    </w:p>
    <w:p w:rsidR="001D5883" w:rsidRPr="001A2BC6" w:rsidRDefault="001D5883" w:rsidP="001D5883">
      <w:pPr>
        <w:pStyle w:val="DecisionParagraphs"/>
        <w:rPr>
          <w:lang w:val="fr-FR"/>
        </w:rPr>
      </w:pPr>
    </w:p>
    <w:p w:rsidR="001D5883" w:rsidRPr="001A2BC6" w:rsidRDefault="001D5883" w:rsidP="001D5883">
      <w:pPr>
        <w:jc w:val="left"/>
        <w:rPr>
          <w:lang w:val="fr-FR"/>
        </w:rPr>
        <w:sectPr w:rsidR="001D5883" w:rsidRPr="001A2BC6" w:rsidSect="00906B72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1D5883" w:rsidRPr="001A2BC6" w:rsidRDefault="004F1804" w:rsidP="001D5883">
      <w:pPr>
        <w:jc w:val="center"/>
        <w:rPr>
          <w:lang w:val="fr-FR"/>
        </w:rPr>
      </w:pPr>
      <w:r w:rsidRPr="001A2BC6">
        <w:rPr>
          <w:lang w:val="fr-FR"/>
        </w:rPr>
        <w:lastRenderedPageBreak/>
        <w:t>CAJ/75/6</w:t>
      </w:r>
    </w:p>
    <w:p w:rsidR="001D5883" w:rsidRPr="001A2BC6" w:rsidRDefault="001D5883" w:rsidP="001D5883">
      <w:pPr>
        <w:jc w:val="center"/>
        <w:rPr>
          <w:lang w:val="fr-FR"/>
        </w:rPr>
      </w:pPr>
    </w:p>
    <w:p w:rsidR="006D444B" w:rsidRPr="001A2BC6" w:rsidRDefault="00897B3C" w:rsidP="006D444B">
      <w:pPr>
        <w:jc w:val="center"/>
        <w:rPr>
          <w:lang w:val="fr-FR"/>
        </w:rPr>
      </w:pPr>
      <w:r>
        <w:rPr>
          <w:lang w:val="fr-FR"/>
        </w:rPr>
        <w:t>ANNEXE</w:t>
      </w:r>
    </w:p>
    <w:p w:rsidR="001D5883" w:rsidRPr="001A2BC6" w:rsidRDefault="001D5883" w:rsidP="001D5883">
      <w:pPr>
        <w:jc w:val="center"/>
        <w:rPr>
          <w:lang w:val="fr-FR"/>
        </w:rPr>
      </w:pPr>
    </w:p>
    <w:p w:rsidR="001D5883" w:rsidRPr="001A2BC6" w:rsidRDefault="001D5883" w:rsidP="00F602FF">
      <w:pPr>
        <w:jc w:val="center"/>
        <w:rPr>
          <w:lang w:val="fr-FR"/>
        </w:rPr>
      </w:pPr>
    </w:p>
    <w:p w:rsidR="001D5883" w:rsidRPr="001A2BC6" w:rsidRDefault="0039205E" w:rsidP="001D5883">
      <w:pPr>
        <w:jc w:val="center"/>
        <w:rPr>
          <w:lang w:val="fr-FR"/>
        </w:rPr>
      </w:pPr>
      <w:r>
        <w:rPr>
          <w:lang w:val="fr-FR"/>
        </w:rPr>
        <w:t>APERÇU GÉNÉRAL DES</w:t>
      </w:r>
      <w:r w:rsidR="001D5883" w:rsidRPr="001A2BC6">
        <w:rPr>
          <w:lang w:val="fr-FR"/>
        </w:rPr>
        <w:t xml:space="preserve"> MATÉRIEL</w:t>
      </w:r>
      <w:r>
        <w:rPr>
          <w:lang w:val="fr-FR"/>
        </w:rPr>
        <w:t>S</w:t>
      </w:r>
      <w:r w:rsidR="001D5883" w:rsidRPr="001A2BC6">
        <w:rPr>
          <w:lang w:val="fr-FR"/>
        </w:rPr>
        <w:t xml:space="preserve"> D</w:t>
      </w:r>
      <w:r w:rsidR="00867AFB">
        <w:rPr>
          <w:lang w:val="fr-FR"/>
        </w:rPr>
        <w:t>’</w:t>
      </w:r>
      <w:r w:rsidR="001D5883" w:rsidRPr="001A2BC6">
        <w:rPr>
          <w:lang w:val="fr-FR"/>
        </w:rPr>
        <w:t>INFORMATION</w:t>
      </w:r>
      <w:r>
        <w:rPr>
          <w:lang w:val="fr-FR"/>
        </w:rPr>
        <w:t xml:space="preserve"> ÉLABORÉS ET EN COURS D</w:t>
      </w:r>
      <w:r w:rsidR="00867AFB">
        <w:rPr>
          <w:lang w:val="fr-FR"/>
        </w:rPr>
        <w:t>’</w:t>
      </w:r>
      <w:r>
        <w:rPr>
          <w:lang w:val="fr-FR"/>
        </w:rPr>
        <w:t>ÉLABORATION</w:t>
      </w:r>
    </w:p>
    <w:p w:rsidR="001D5883" w:rsidRPr="001A2BC6" w:rsidRDefault="001D5883" w:rsidP="001D5883">
      <w:pPr>
        <w:jc w:val="left"/>
        <w:rPr>
          <w:lang w:val="fr-FR"/>
        </w:rPr>
      </w:pPr>
    </w:p>
    <w:p w:rsidR="004D079C" w:rsidRPr="004B0FC0" w:rsidRDefault="004D079C" w:rsidP="004D079C">
      <w:pPr>
        <w:jc w:val="left"/>
      </w:pPr>
      <w:r w:rsidRPr="004B0FC0">
        <w:t>NOTES EXPLICATIVES</w:t>
      </w:r>
    </w:p>
    <w:p w:rsidR="004D079C" w:rsidRPr="004B0FC0" w:rsidRDefault="004D079C" w:rsidP="004D079C"/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4D079C" w:rsidRPr="00155275" w:rsidTr="00906B72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Référence</w:t>
            </w:r>
          </w:p>
        </w:tc>
        <w:tc>
          <w:tcPr>
            <w:tcW w:w="4717" w:type="dxa"/>
            <w:shd w:val="clear" w:color="auto" w:fill="D9D9D9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Notes explicatives sur</w:t>
            </w:r>
            <w:r w:rsidR="00867AFB" w:rsidRPr="00155275"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3912" w:type="dxa"/>
            <w:shd w:val="clear" w:color="auto" w:fill="D9D9D9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État d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UPOV/EXN/BRD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Définition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>obtenteur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trike/>
                <w:sz w:val="18"/>
                <w:szCs w:val="18"/>
                <w:lang w:val="fr-FR"/>
              </w:rPr>
            </w:pPr>
            <w:r w:rsidRPr="001A2BC6">
              <w:rPr>
                <w:iCs/>
                <w:sz w:val="18"/>
                <w:szCs w:val="18"/>
                <w:lang w:val="fr-FR"/>
              </w:rPr>
              <w:t>UPOV/EXN/BRD/1 adopté en octobre 2013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UPOV/EXN/CAL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Les conditions et limitations concernant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>autorisation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obtenteur </w:t>
            </w:r>
            <w:r w:rsidR="00867AFB">
              <w:rPr>
                <w:sz w:val="18"/>
                <w:szCs w:val="18"/>
                <w:lang w:val="fr-FR"/>
              </w:rPr>
              <w:t>à l’égard</w:t>
            </w:r>
            <w:r w:rsidRPr="001A2BC6">
              <w:rPr>
                <w:sz w:val="18"/>
                <w:szCs w:val="18"/>
                <w:lang w:val="fr-FR"/>
              </w:rPr>
              <w:t xml:space="preserve"> du matériel de reproduction ou de multiplication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UPOV/EXN/CAL/1 adopté en octobre</w:t>
            </w:r>
            <w:r w:rsidRPr="001A2BC6">
              <w:rPr>
                <w:iCs/>
                <w:sz w:val="18"/>
                <w:szCs w:val="18"/>
                <w:lang w:val="fr-FR"/>
              </w:rPr>
              <w:t> 2010</w:t>
            </w:r>
          </w:p>
          <w:p w:rsidR="004D079C" w:rsidRPr="001A2BC6" w:rsidRDefault="003A099C" w:rsidP="00906B72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1A2BC6">
              <w:rPr>
                <w:i/>
                <w:color w:val="000000"/>
                <w:sz w:val="18"/>
                <w:szCs w:val="18"/>
                <w:lang w:val="fr-FR"/>
              </w:rPr>
              <w:t>La nécessité de procéder à une révision sera</w:t>
            </w:r>
            <w:r w:rsidR="004D079C" w:rsidRPr="001A2BC6">
              <w:rPr>
                <w:i/>
                <w:sz w:val="18"/>
                <w:szCs w:val="18"/>
                <w:lang w:val="fr-FR"/>
              </w:rPr>
              <w:t xml:space="preserve"> examinée par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 xml:space="preserve"> le</w:t>
            </w:r>
            <w:r w:rsidR="00867AFB">
              <w:rPr>
                <w:i/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>CAJ</w:t>
            </w:r>
            <w:r w:rsidR="004D079C" w:rsidRPr="001A2BC6">
              <w:rPr>
                <w:i/>
                <w:sz w:val="18"/>
                <w:szCs w:val="18"/>
                <w:lang w:val="fr-FR"/>
              </w:rPr>
              <w:t xml:space="preserve"> en octobre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UPOV/EXN/CAN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Déchéance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obtenteur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UPOV/EXN/CAN/2 adopté en octobre 2015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color w:val="000000"/>
                <w:sz w:val="18"/>
                <w:szCs w:val="18"/>
              </w:rPr>
              <w:t>UPOV/EXN/EDV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1A2BC6">
              <w:rPr>
                <w:color w:val="000000"/>
                <w:sz w:val="18"/>
                <w:szCs w:val="18"/>
                <w:lang w:val="fr-FR"/>
              </w:rPr>
              <w:t xml:space="preserve">Variétés essentiellement dérivées selon </w:t>
            </w:r>
            <w:r w:rsidRPr="001A2BC6">
              <w:rPr>
                <w:sz w:val="18"/>
                <w:szCs w:val="18"/>
                <w:lang w:val="fr-FR"/>
              </w:rPr>
              <w:t>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color w:val="000000"/>
                <w:sz w:val="18"/>
                <w:szCs w:val="18"/>
                <w:lang w:val="fr-FR"/>
              </w:rPr>
              <w:t>UPOV/EXN/EDV/2 adopté en avril 2017</w:t>
            </w:r>
          </w:p>
          <w:p w:rsidR="004D079C" w:rsidRPr="001A2BC6" w:rsidRDefault="00411E74" w:rsidP="00906B72">
            <w:pPr>
              <w:jc w:val="left"/>
              <w:rPr>
                <w:i/>
                <w:strike/>
                <w:sz w:val="18"/>
                <w:szCs w:val="18"/>
                <w:lang w:val="fr-FR"/>
              </w:rPr>
            </w:pPr>
            <w:r w:rsidRPr="001A2BC6">
              <w:rPr>
                <w:i/>
                <w:color w:val="000000"/>
                <w:sz w:val="18"/>
                <w:szCs w:val="18"/>
                <w:lang w:val="fr-FR"/>
              </w:rPr>
              <w:t>La nécessité de procéder à une révision sera</w:t>
            </w:r>
            <w:r w:rsidRPr="001A2BC6">
              <w:rPr>
                <w:i/>
                <w:sz w:val="18"/>
                <w:szCs w:val="18"/>
                <w:lang w:val="fr-FR"/>
              </w:rPr>
              <w:t xml:space="preserve"> examinée par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 xml:space="preserve"> le</w:t>
            </w:r>
            <w:r w:rsidR="00867AFB">
              <w:rPr>
                <w:i/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>CAJ</w:t>
            </w:r>
            <w:r w:rsidRPr="001A2BC6">
              <w:rPr>
                <w:i/>
                <w:sz w:val="18"/>
                <w:szCs w:val="18"/>
                <w:lang w:val="fr-FR"/>
              </w:rPr>
              <w:t xml:space="preserve"> en octobre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color w:val="000000"/>
                <w:sz w:val="18"/>
                <w:szCs w:val="18"/>
              </w:rPr>
              <w:t>UPOV/EXN/ENF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Défense des droits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obtenteur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color w:val="000000"/>
                <w:sz w:val="18"/>
                <w:szCs w:val="18"/>
                <w:lang w:val="fr-FR"/>
              </w:rPr>
              <w:t>UPOV/EXN/ENF/1 a</w:t>
            </w:r>
            <w:r w:rsidRPr="001A2BC6">
              <w:rPr>
                <w:sz w:val="18"/>
                <w:szCs w:val="18"/>
                <w:lang w:val="fr-FR"/>
              </w:rPr>
              <w:t>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color w:val="000000"/>
                <w:sz w:val="18"/>
                <w:szCs w:val="18"/>
              </w:rPr>
            </w:pPr>
            <w:r w:rsidRPr="004B0FC0">
              <w:rPr>
                <w:color w:val="000000"/>
                <w:sz w:val="18"/>
                <w:szCs w:val="18"/>
              </w:rPr>
              <w:t>UPOV/EXN/EXC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1A2BC6">
              <w:rPr>
                <w:color w:val="000000"/>
                <w:sz w:val="18"/>
                <w:szCs w:val="18"/>
                <w:lang w:val="fr-FR"/>
              </w:rPr>
              <w:t>Exceptions au droit d</w:t>
            </w:r>
            <w:r w:rsidR="00867AFB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1A2BC6">
              <w:rPr>
                <w:color w:val="000000"/>
                <w:sz w:val="18"/>
                <w:szCs w:val="18"/>
                <w:lang w:val="fr-FR"/>
              </w:rPr>
              <w:t xml:space="preserve">obtenteur selon </w:t>
            </w:r>
            <w:r w:rsidRPr="001A2BC6">
              <w:rPr>
                <w:sz w:val="18"/>
                <w:szCs w:val="18"/>
                <w:lang w:val="fr-FR"/>
              </w:rPr>
              <w:t>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color w:val="000000"/>
                <w:sz w:val="18"/>
                <w:szCs w:val="18"/>
                <w:lang w:val="fr-FR"/>
              </w:rPr>
              <w:t>UPOV/EXN/EXC/1 a</w:t>
            </w:r>
            <w:r w:rsidRPr="001A2BC6">
              <w:rPr>
                <w:sz w:val="18"/>
                <w:szCs w:val="18"/>
                <w:lang w:val="fr-FR"/>
              </w:rPr>
              <w:t>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UPOV/EXN/GEN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Genres et espèces devant être protégés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UPOV/EXN/GEN/1 adopté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UPOV/EXN/HRV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 xml:space="preserve">Actes </w:t>
            </w:r>
            <w:r w:rsidR="00867AFB">
              <w:rPr>
                <w:sz w:val="18"/>
                <w:szCs w:val="18"/>
                <w:lang w:val="fr-FR"/>
              </w:rPr>
              <w:t>à l’égard</w:t>
            </w:r>
            <w:r w:rsidRPr="001A2BC6">
              <w:rPr>
                <w:sz w:val="18"/>
                <w:szCs w:val="18"/>
                <w:lang w:val="fr-FR"/>
              </w:rPr>
              <w:t xml:space="preserve"> du produit de la récolte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1A2BC6">
              <w:rPr>
                <w:iCs/>
                <w:sz w:val="18"/>
                <w:szCs w:val="18"/>
                <w:lang w:val="fr-FR"/>
              </w:rPr>
              <w:t>UPOV/EXN/HRV/1 adopté en octobre 2013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UPOV/EXN/NAT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Traitement national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UPOV/EXN/NAT/1 adopté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UPOV/EXN/NOV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 xml:space="preserve">Nouveauté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UPOV/EXN/NOV/1 adopté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color w:val="000000"/>
                <w:sz w:val="18"/>
                <w:szCs w:val="18"/>
              </w:rPr>
            </w:pPr>
            <w:r w:rsidRPr="004B0FC0">
              <w:rPr>
                <w:color w:val="000000"/>
                <w:sz w:val="18"/>
                <w:szCs w:val="18"/>
              </w:rPr>
              <w:t>UPOV/EXN/NUL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Nullité du droit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obtenteur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UPOV/EXN/NUL/2 adopté en octobre 2015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Matériel de reproduction ou de multiplication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4D079C" w:rsidRPr="001A2BC6" w:rsidRDefault="004D079C" w:rsidP="00906B7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UPOV/EXN/PPM/1 adopté en avril 2017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UPOV/EXN/PRI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 xml:space="preserve">Le droit de priorité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UPOV/EXN/PRI/1 adopté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UPOV/EXN/PRP</w:t>
            </w:r>
          </w:p>
        </w:tc>
        <w:tc>
          <w:tcPr>
            <w:tcW w:w="471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 xml:space="preserve">La protection provisoire selon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4D079C" w:rsidRPr="001A2BC6" w:rsidRDefault="004D079C" w:rsidP="00906B7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UPOV/EXN/PRP/2 adopté en octobre 2015</w:t>
            </w:r>
          </w:p>
          <w:p w:rsidR="004D079C" w:rsidRPr="001A2BC6" w:rsidRDefault="00411E74" w:rsidP="00906B72">
            <w:pPr>
              <w:jc w:val="left"/>
              <w:rPr>
                <w:i/>
                <w:strike/>
                <w:spacing w:val="-2"/>
                <w:sz w:val="18"/>
                <w:szCs w:val="18"/>
                <w:lang w:val="fr-FR"/>
              </w:rPr>
            </w:pPr>
            <w:r w:rsidRPr="001A2BC6">
              <w:rPr>
                <w:i/>
                <w:color w:val="000000"/>
                <w:sz w:val="18"/>
                <w:szCs w:val="18"/>
                <w:lang w:val="fr-FR"/>
              </w:rPr>
              <w:t>La nécessité de procéder à une révision sera</w:t>
            </w:r>
            <w:r w:rsidRPr="001A2BC6">
              <w:rPr>
                <w:i/>
                <w:sz w:val="18"/>
                <w:szCs w:val="18"/>
                <w:lang w:val="fr-FR"/>
              </w:rPr>
              <w:t xml:space="preserve"> examinée par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 xml:space="preserve"> le</w:t>
            </w:r>
            <w:r w:rsidR="00867AFB">
              <w:rPr>
                <w:i/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i/>
                <w:sz w:val="18"/>
                <w:szCs w:val="18"/>
                <w:lang w:val="fr-FR"/>
              </w:rPr>
              <w:t>CAJ</w:t>
            </w:r>
            <w:r w:rsidRPr="001A2BC6">
              <w:rPr>
                <w:i/>
                <w:sz w:val="18"/>
                <w:szCs w:val="18"/>
                <w:lang w:val="fr-FR"/>
              </w:rPr>
              <w:t xml:space="preserve"> en octobre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UPOV/EXN/VAR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Définition de la variété selon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UPOV/EXN/VAR/1 adopté en octobre 2010</w:t>
            </w:r>
          </w:p>
        </w:tc>
      </w:tr>
    </w:tbl>
    <w:p w:rsidR="004D079C" w:rsidRPr="004B0FC0" w:rsidRDefault="004D079C" w:rsidP="004D079C">
      <w:r w:rsidRPr="001A2BC6">
        <w:rPr>
          <w:sz w:val="18"/>
          <w:szCs w:val="18"/>
          <w:lang w:val="fr-FR"/>
        </w:rPr>
        <w:br w:type="page"/>
      </w:r>
      <w:r w:rsidRPr="004B0FC0">
        <w:lastRenderedPageBreak/>
        <w:t>DOCUMENTS D</w:t>
      </w:r>
      <w:r w:rsidR="00867AFB">
        <w:t>’</w:t>
      </w:r>
      <w:r w:rsidRPr="004B0FC0">
        <w:t>INFORMATION</w:t>
      </w:r>
    </w:p>
    <w:p w:rsidR="004D079C" w:rsidRPr="004B0FC0" w:rsidRDefault="004D079C" w:rsidP="004D079C"/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4D079C" w:rsidRPr="00155275" w:rsidTr="00906B72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Dernière référence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155275" w:rsidRDefault="004D079C" w:rsidP="00906B72">
            <w:pPr>
              <w:jc w:val="center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Documents INF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État d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</w:t>
            </w:r>
            <w:r w:rsidR="00867AFB">
              <w:rPr>
                <w:sz w:val="18"/>
                <w:szCs w:val="18"/>
              </w:rPr>
              <w:t>-</w:t>
            </w:r>
            <w:r w:rsidRPr="004B0FC0">
              <w:rPr>
                <w:sz w:val="18"/>
                <w:szCs w:val="18"/>
              </w:rPr>
              <w:t>EXN</w:t>
            </w:r>
          </w:p>
        </w:tc>
        <w:tc>
          <w:tcPr>
            <w:tcW w:w="480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Liste des documents UPOV/INF</w:t>
            </w:r>
            <w:r w:rsidR="00867AFB">
              <w:rPr>
                <w:sz w:val="18"/>
                <w:szCs w:val="18"/>
                <w:lang w:val="fr-FR"/>
              </w:rPr>
              <w:t>-</w:t>
            </w:r>
            <w:r w:rsidRPr="001A2BC6">
              <w:rPr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</w:t>
            </w:r>
            <w:r w:rsidR="00867AFB">
              <w:rPr>
                <w:sz w:val="18"/>
                <w:szCs w:val="18"/>
                <w:lang w:val="fr-FR"/>
              </w:rPr>
              <w:t>-</w:t>
            </w:r>
            <w:r w:rsidRPr="001A2BC6">
              <w:rPr>
                <w:sz w:val="18"/>
                <w:szCs w:val="18"/>
                <w:lang w:val="fr-FR"/>
              </w:rPr>
              <w:t>EXN/11 adopté en octobre 2017</w:t>
            </w:r>
          </w:p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i/>
                <w:sz w:val="18"/>
                <w:szCs w:val="18"/>
                <w:lang w:val="fr-FR"/>
              </w:rPr>
              <w:t>UPOV/INF</w:t>
            </w:r>
            <w:r w:rsidR="00867AFB">
              <w:rPr>
                <w:i/>
                <w:sz w:val="18"/>
                <w:szCs w:val="18"/>
                <w:lang w:val="fr-FR"/>
              </w:rPr>
              <w:t>-</w:t>
            </w:r>
            <w:r w:rsidRPr="001A2BC6">
              <w:rPr>
                <w:i/>
                <w:sz w:val="18"/>
                <w:szCs w:val="18"/>
                <w:lang w:val="fr-FR"/>
              </w:rPr>
              <w:t>EXN/12 Draft 1 devant être examiné par le Conseil en novembre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UPOV/INF/4</w:t>
            </w:r>
          </w:p>
        </w:tc>
        <w:tc>
          <w:tcPr>
            <w:tcW w:w="480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Règlement financier et règlement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>exécution du Règlement financier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411E74" w:rsidRPr="001A2BC6" w:rsidRDefault="00411E74" w:rsidP="006D444B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UPOV/INF/4/4 adopté en mars 2015</w:t>
            </w:r>
          </w:p>
          <w:p w:rsidR="004D079C" w:rsidRPr="001A2BC6" w:rsidRDefault="00906B72" w:rsidP="006D444B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i/>
                <w:sz w:val="18"/>
                <w:szCs w:val="18"/>
                <w:lang w:val="fr-FR"/>
              </w:rPr>
              <w:t>UPOV/INF/4/5 Draft1</w:t>
            </w:r>
            <w:r w:rsidRPr="001A2BC6">
              <w:rPr>
                <w:sz w:val="18"/>
                <w:szCs w:val="18"/>
                <w:lang w:val="fr-FR"/>
              </w:rPr>
              <w:t xml:space="preserve"> </w:t>
            </w:r>
            <w:r w:rsidRPr="001A2BC6">
              <w:rPr>
                <w:i/>
                <w:sz w:val="18"/>
                <w:szCs w:val="18"/>
                <w:lang w:val="fr-FR"/>
              </w:rPr>
              <w:t>devant être examiné par le Conseil en novembre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UPOV/INF/5</w:t>
            </w:r>
          </w:p>
        </w:tc>
        <w:tc>
          <w:tcPr>
            <w:tcW w:w="480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Bulletin type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>UPOV de la protection des obtentions végétales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UPOV/INF/5 adopté en octobre 1979</w:t>
            </w:r>
          </w:p>
          <w:p w:rsidR="004D079C" w:rsidRPr="009171FA" w:rsidRDefault="00906B72" w:rsidP="00906B72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9171FA">
              <w:rPr>
                <w:i/>
                <w:sz w:val="18"/>
                <w:szCs w:val="18"/>
                <w:lang w:val="fr-FR"/>
              </w:rPr>
              <w:t>UPOV/INF/5/2 Draft 1 devant être examiné par</w:t>
            </w:r>
            <w:r w:rsidR="00867AFB" w:rsidRPr="009171FA">
              <w:rPr>
                <w:i/>
                <w:sz w:val="18"/>
                <w:szCs w:val="18"/>
                <w:lang w:val="fr-FR"/>
              </w:rPr>
              <w:t xml:space="preserve"> le CAJ</w:t>
            </w:r>
            <w:r w:rsidRPr="009171FA">
              <w:rPr>
                <w:i/>
                <w:sz w:val="18"/>
                <w:szCs w:val="18"/>
                <w:lang w:val="fr-FR"/>
              </w:rPr>
              <w:t xml:space="preserve"> en octobre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UPOV/INF/6</w:t>
            </w:r>
          </w:p>
        </w:tc>
        <w:tc>
          <w:tcPr>
            <w:tcW w:w="4807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Orientations générales en vue de la rédaction de lois fondées sur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1A2BC6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A2BC6">
              <w:rPr>
                <w:sz w:val="18"/>
                <w:szCs w:val="18"/>
                <w:lang w:val="fr-FR"/>
              </w:rPr>
              <w:t>de</w:t>
            </w:r>
            <w:r w:rsidR="00867AFB">
              <w:rPr>
                <w:sz w:val="18"/>
                <w:szCs w:val="18"/>
                <w:lang w:val="fr-FR"/>
              </w:rPr>
              <w:t> </w:t>
            </w:r>
            <w:r w:rsidR="00867AFB" w:rsidRPr="001A2BC6">
              <w:rPr>
                <w:sz w:val="18"/>
                <w:szCs w:val="18"/>
                <w:lang w:val="fr-FR"/>
              </w:rPr>
              <w:t>1991</w:t>
            </w:r>
            <w:r w:rsidRPr="001A2BC6">
              <w:rPr>
                <w:sz w:val="18"/>
                <w:szCs w:val="18"/>
                <w:lang w:val="fr-FR"/>
              </w:rPr>
              <w:t xml:space="preserve"> de la </w:t>
            </w:r>
            <w:r w:rsidR="00867AFB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UPOV/INF/6/5 adopté en avril 2017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UPOV/INF/7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Règlement intérieur du Conseil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UPOV/INF/7 adopté en octobre 1982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UPOV/INF/8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Accord entre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Organisation Mondiale de la Propriété Intellectuelle et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Union internationale pour la protection des obtentions végétales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UPOV/INF/8 signé en novembre 1982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UPOV/INF/9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Accord entre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UPOV/INF/9 signé en novembre 1983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UPOV/INF/10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UPOV/INF/10/1 adopté en octobre 2010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UPOV/INF/12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867AFB" w:rsidRPr="00155275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bCs/>
                <w:snapToGrid w:val="0"/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UPOV/INF/12/5 adopté</w:t>
            </w:r>
            <w:r w:rsidRPr="001A2BC6">
              <w:rPr>
                <w:bCs/>
                <w:snapToGrid w:val="0"/>
                <w:sz w:val="18"/>
                <w:szCs w:val="18"/>
                <w:lang w:val="fr-FR"/>
              </w:rPr>
              <w:t xml:space="preserve"> en octobre 2015</w:t>
            </w:r>
          </w:p>
          <w:p w:rsidR="004D079C" w:rsidRPr="001A2BC6" w:rsidRDefault="00411E74" w:rsidP="00906B7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1A2BC6">
              <w:rPr>
                <w:i/>
                <w:sz w:val="18"/>
                <w:szCs w:val="18"/>
                <w:lang w:val="fr-FR"/>
              </w:rPr>
              <w:t>UPOV/EXN/DEN/1 Draft 1</w:t>
            </w:r>
            <w:r w:rsidRPr="001A2BC6">
              <w:rPr>
                <w:sz w:val="18"/>
                <w:szCs w:val="18"/>
                <w:lang w:val="fr-FR"/>
              </w:rPr>
              <w:t xml:space="preserve"> </w:t>
            </w:r>
            <w:r w:rsidR="004D079C" w:rsidRPr="001A2BC6">
              <w:rPr>
                <w:i/>
                <w:sz w:val="18"/>
                <w:szCs w:val="18"/>
                <w:lang w:val="fr-FR"/>
              </w:rPr>
              <w:t>devant être examiné par le WG</w:t>
            </w:r>
            <w:r w:rsidR="00867AFB">
              <w:rPr>
                <w:i/>
                <w:sz w:val="18"/>
                <w:szCs w:val="18"/>
                <w:lang w:val="fr-FR"/>
              </w:rPr>
              <w:t>-</w:t>
            </w:r>
            <w:r w:rsidR="004D079C" w:rsidRPr="001A2BC6">
              <w:rPr>
                <w:i/>
                <w:sz w:val="18"/>
                <w:szCs w:val="18"/>
                <w:lang w:val="fr-FR"/>
              </w:rPr>
              <w:t>DEN</w:t>
            </w:r>
            <w:r w:rsidRPr="001A2BC6">
              <w:rPr>
                <w:bCs/>
                <w:i/>
                <w:snapToGrid w:val="0"/>
                <w:sz w:val="18"/>
                <w:szCs w:val="18"/>
                <w:lang w:val="fr-FR"/>
              </w:rPr>
              <w:t xml:space="preserve"> en octobre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UPOV/INF/13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Document d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4D079C" w:rsidRPr="001A2BC6" w:rsidRDefault="00906B72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UPOV/INF/13/2 adopté en octobre 2017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UPOV/INF/14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Document d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orientation destiné aux membres de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UPOV concernant la procédure à suivre pour ratifier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 xml:space="preserve">Acte </w:t>
            </w:r>
            <w:r w:rsidR="00867AFB" w:rsidRPr="00155275">
              <w:rPr>
                <w:sz w:val="18"/>
                <w:szCs w:val="18"/>
                <w:lang w:val="fr-FR"/>
              </w:rPr>
              <w:t>de 1991</w:t>
            </w:r>
            <w:r w:rsidRPr="00155275">
              <w:rPr>
                <w:sz w:val="18"/>
                <w:szCs w:val="18"/>
                <w:lang w:val="fr-FR"/>
              </w:rPr>
              <w:t xml:space="preserve"> de la </w:t>
            </w:r>
            <w:r w:rsidR="00867AFB" w:rsidRPr="00155275">
              <w:rPr>
                <w:sz w:val="18"/>
                <w:szCs w:val="18"/>
                <w:lang w:val="fr-FR"/>
              </w:rPr>
              <w:t>Convention UPOV</w:t>
            </w:r>
            <w:r w:rsidRPr="00155275">
              <w:rPr>
                <w:sz w:val="18"/>
                <w:szCs w:val="18"/>
                <w:lang w:val="fr-FR"/>
              </w:rPr>
              <w:t xml:space="preserve"> ou y adhérer</w:t>
            </w:r>
          </w:p>
        </w:tc>
        <w:tc>
          <w:tcPr>
            <w:tcW w:w="3920" w:type="dxa"/>
          </w:tcPr>
          <w:p w:rsidR="004D079C" w:rsidRPr="001A2BC6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A2BC6">
              <w:rPr>
                <w:sz w:val="18"/>
                <w:szCs w:val="18"/>
                <w:lang w:val="fr-FR"/>
              </w:rPr>
              <w:t>UPOV/INF/14/1 adopté en octobre 2009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UPOV/INF/15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Document d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orientation destiné aux membres de l</w:t>
            </w:r>
            <w:r w:rsidR="00867AFB" w:rsidRPr="00155275">
              <w:rPr>
                <w:sz w:val="18"/>
                <w:szCs w:val="18"/>
                <w:lang w:val="fr-FR"/>
              </w:rPr>
              <w:t>’</w:t>
            </w:r>
            <w:r w:rsidRPr="00155275">
              <w:rPr>
                <w:sz w:val="18"/>
                <w:szCs w:val="18"/>
                <w:lang w:val="fr-FR"/>
              </w:rPr>
              <w:t>UPOV concernant les obligations en cours et les notifications connexes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 xml:space="preserve">UPOV/INF/15/3 adopté en mars 2015 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UPOV/INF/16</w:t>
            </w:r>
          </w:p>
        </w:tc>
        <w:tc>
          <w:tcPr>
            <w:tcW w:w="4807" w:type="dxa"/>
          </w:tcPr>
          <w:p w:rsidR="004D079C" w:rsidRPr="00155275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155275">
              <w:rPr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</w:tcPr>
          <w:p w:rsidR="00867AFB" w:rsidRDefault="00A85842" w:rsidP="00A8584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UPOV/INF/16/7 adopté en octobre 2017</w:t>
            </w:r>
          </w:p>
          <w:p w:rsidR="004D079C" w:rsidRPr="009171FA" w:rsidRDefault="00306F1E" w:rsidP="00A85842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9171FA">
              <w:rPr>
                <w:i/>
                <w:sz w:val="18"/>
                <w:szCs w:val="18"/>
                <w:lang w:val="fr-FR"/>
              </w:rPr>
              <w:t>UPOV/INF/16/8 Draft 1 devant être examiné par</w:t>
            </w:r>
            <w:r w:rsidR="00867AFB" w:rsidRPr="009171FA">
              <w:rPr>
                <w:i/>
                <w:sz w:val="18"/>
                <w:szCs w:val="18"/>
                <w:lang w:val="fr-FR"/>
              </w:rPr>
              <w:t xml:space="preserve"> le CAJ</w:t>
            </w:r>
            <w:r w:rsidRPr="009171FA">
              <w:rPr>
                <w:i/>
                <w:sz w:val="18"/>
                <w:szCs w:val="18"/>
                <w:lang w:val="fr-FR"/>
              </w:rPr>
              <w:t xml:space="preserve"> et le Conseil en novembre 2018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UPOV/INF/17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Directives concernant les profils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ADN</w:t>
            </w:r>
            <w:r w:rsidR="00867AFB">
              <w:rPr>
                <w:sz w:val="18"/>
                <w:szCs w:val="18"/>
                <w:lang w:val="fr-FR"/>
              </w:rPr>
              <w:t> :</w:t>
            </w:r>
            <w:r w:rsidRPr="00C7626A">
              <w:rPr>
                <w:sz w:val="18"/>
                <w:szCs w:val="18"/>
                <w:lang w:val="fr-FR"/>
              </w:rPr>
              <w:t xml:space="preserve"> choix des marqueurs moléculaires et construction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une base de données y relative (“Directives BMT”)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UPOV/INF/17/1 adopté en octobre 2010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UPOV/INF/18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Utilisation possible des marqueurs moléculaires dans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examen de la distinction,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homogénéité et de la stabilité (DHS)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UPOV/INF/18/1 adopté en octobre 2011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UPOV/INF/19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Règles concernant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observateur auprès des organes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 xml:space="preserve">UPOV/INF/19/1 </w:t>
            </w:r>
            <w:r w:rsidRPr="00C7626A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UPOV/INF/20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Règles concernant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accès aux documents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Pr="00C7626A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 xml:space="preserve">UPOV/INF/20/1 </w:t>
            </w:r>
            <w:r w:rsidRPr="00C7626A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jc w:val="left"/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UPOV/INF/21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Mécanismes extrajudiciaires de règlement des litiges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UPOV/INF/21/1 adopté en novembre 2012</w:t>
            </w:r>
          </w:p>
        </w:tc>
      </w:tr>
      <w:tr w:rsidR="004D079C" w:rsidRPr="006D61F0" w:rsidTr="00906B72">
        <w:trPr>
          <w:cantSplit/>
          <w:jc w:val="center"/>
        </w:trPr>
        <w:tc>
          <w:tcPr>
            <w:tcW w:w="1758" w:type="dxa"/>
          </w:tcPr>
          <w:p w:rsidR="004D079C" w:rsidRPr="004B0FC0" w:rsidRDefault="004D079C" w:rsidP="00906B72">
            <w:pPr>
              <w:rPr>
                <w:sz w:val="18"/>
                <w:szCs w:val="18"/>
              </w:rPr>
            </w:pPr>
            <w:r w:rsidRPr="004B0FC0">
              <w:rPr>
                <w:sz w:val="18"/>
                <w:szCs w:val="18"/>
              </w:rPr>
              <w:t>UPOV/INF/22</w:t>
            </w:r>
          </w:p>
        </w:tc>
        <w:tc>
          <w:tcPr>
            <w:tcW w:w="4807" w:type="dxa"/>
          </w:tcPr>
          <w:p w:rsidR="004D079C" w:rsidRPr="00C7626A" w:rsidRDefault="004D079C" w:rsidP="00906B72">
            <w:pPr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Logiciels et équipements util</w:t>
            </w:r>
            <w:r w:rsidR="00897B3C">
              <w:rPr>
                <w:sz w:val="18"/>
                <w:szCs w:val="18"/>
                <w:lang w:val="fr-FR"/>
              </w:rPr>
              <w:t>isés par les membres de l</w:t>
            </w:r>
            <w:r w:rsidR="00867AFB">
              <w:rPr>
                <w:sz w:val="18"/>
                <w:szCs w:val="18"/>
                <w:lang w:val="fr-FR"/>
              </w:rPr>
              <w:t>’</w:t>
            </w:r>
            <w:r w:rsidR="00897B3C">
              <w:rPr>
                <w:sz w:val="18"/>
                <w:szCs w:val="18"/>
                <w:lang w:val="fr-FR"/>
              </w:rPr>
              <w:t>Union</w:t>
            </w:r>
          </w:p>
        </w:tc>
        <w:tc>
          <w:tcPr>
            <w:tcW w:w="3920" w:type="dxa"/>
          </w:tcPr>
          <w:p w:rsidR="004D079C" w:rsidRPr="00C7626A" w:rsidRDefault="004D079C" w:rsidP="00906B72">
            <w:pPr>
              <w:jc w:val="left"/>
              <w:rPr>
                <w:sz w:val="18"/>
                <w:szCs w:val="18"/>
                <w:lang w:val="fr-FR"/>
              </w:rPr>
            </w:pPr>
            <w:r w:rsidRPr="00C7626A">
              <w:rPr>
                <w:sz w:val="18"/>
                <w:szCs w:val="18"/>
                <w:lang w:val="fr-FR"/>
              </w:rPr>
              <w:t>UPOV/INF/22/4 adopté en octobre 2017</w:t>
            </w:r>
          </w:p>
          <w:p w:rsidR="004D079C" w:rsidRPr="00C7626A" w:rsidRDefault="00306F1E" w:rsidP="00306F1E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C7626A">
              <w:rPr>
                <w:i/>
                <w:sz w:val="18"/>
                <w:szCs w:val="18"/>
                <w:lang w:val="fr-FR"/>
              </w:rPr>
              <w:t>UPOV/INF/22/5 Draft 1 devant être examiné par</w:t>
            </w:r>
            <w:r w:rsidR="00867AFB" w:rsidRPr="00C7626A">
              <w:rPr>
                <w:i/>
                <w:sz w:val="18"/>
                <w:szCs w:val="18"/>
                <w:lang w:val="fr-FR"/>
              </w:rPr>
              <w:t xml:space="preserve"> le</w:t>
            </w:r>
            <w:r w:rsidR="00867AFB">
              <w:rPr>
                <w:i/>
                <w:sz w:val="18"/>
                <w:szCs w:val="18"/>
                <w:lang w:val="fr-FR"/>
              </w:rPr>
              <w:t> </w:t>
            </w:r>
            <w:r w:rsidR="00867AFB" w:rsidRPr="00C7626A">
              <w:rPr>
                <w:i/>
                <w:sz w:val="18"/>
                <w:szCs w:val="18"/>
                <w:lang w:val="fr-FR"/>
              </w:rPr>
              <w:t>CAJ</w:t>
            </w:r>
            <w:r w:rsidRPr="00C7626A">
              <w:rPr>
                <w:i/>
                <w:sz w:val="18"/>
                <w:szCs w:val="18"/>
                <w:lang w:val="fr-FR"/>
              </w:rPr>
              <w:t xml:space="preserve"> et le Conseil en novembre 2018</w:t>
            </w:r>
          </w:p>
        </w:tc>
      </w:tr>
    </w:tbl>
    <w:p w:rsidR="004D079C" w:rsidRPr="00C7626A" w:rsidRDefault="004D079C" w:rsidP="004D079C">
      <w:pPr>
        <w:rPr>
          <w:lang w:val="fr-FR"/>
        </w:rPr>
      </w:pPr>
    </w:p>
    <w:p w:rsidR="004D079C" w:rsidRPr="00C7626A" w:rsidRDefault="004D079C" w:rsidP="004D079C">
      <w:pPr>
        <w:rPr>
          <w:lang w:val="fr-FR"/>
        </w:rPr>
      </w:pPr>
    </w:p>
    <w:p w:rsidR="009B440E" w:rsidRPr="00C7626A" w:rsidRDefault="00050E16" w:rsidP="00050E16">
      <w:pPr>
        <w:jc w:val="right"/>
        <w:rPr>
          <w:lang w:val="fr-FR"/>
        </w:rPr>
      </w:pPr>
      <w:r w:rsidRPr="00C7626A">
        <w:rPr>
          <w:lang w:val="fr-FR"/>
        </w:rPr>
        <w:t>[Fin de l</w:t>
      </w:r>
      <w:r w:rsidR="00867AFB">
        <w:rPr>
          <w:lang w:val="fr-FR"/>
        </w:rPr>
        <w:t>’</w:t>
      </w:r>
      <w:r w:rsidRPr="00C7626A">
        <w:rPr>
          <w:lang w:val="fr-FR"/>
        </w:rPr>
        <w:t>annexe et du document]</w:t>
      </w:r>
    </w:p>
    <w:p w:rsidR="00050E16" w:rsidRPr="00C7626A" w:rsidRDefault="00050E16" w:rsidP="009B440E">
      <w:pPr>
        <w:jc w:val="left"/>
        <w:rPr>
          <w:lang w:val="fr-FR"/>
        </w:rPr>
      </w:pPr>
    </w:p>
    <w:sectPr w:rsidR="00050E16" w:rsidRPr="00C7626A" w:rsidSect="006D444B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72" w:rsidRDefault="00906B72" w:rsidP="006655D3">
      <w:r>
        <w:separator/>
      </w:r>
    </w:p>
    <w:p w:rsidR="00906B72" w:rsidRDefault="00906B72" w:rsidP="006655D3"/>
    <w:p w:rsidR="00906B72" w:rsidRDefault="00906B72" w:rsidP="006655D3"/>
  </w:endnote>
  <w:endnote w:type="continuationSeparator" w:id="0">
    <w:p w:rsidR="00906B72" w:rsidRDefault="00906B72" w:rsidP="006655D3">
      <w:r>
        <w:separator/>
      </w:r>
    </w:p>
    <w:p w:rsidR="00906B72" w:rsidRPr="00294751" w:rsidRDefault="00906B72">
      <w:pPr>
        <w:pStyle w:val="Footer"/>
        <w:spacing w:after="60"/>
        <w:rPr>
          <w:sz w:val="18"/>
          <w:lang w:val="fr-FR"/>
        </w:rPr>
      </w:pPr>
      <w:r w:rsidRPr="00C7626A">
        <w:rPr>
          <w:sz w:val="18"/>
          <w:lang w:val="fr-FR"/>
        </w:rPr>
        <w:t>[Suite de la note de la page précédente]</w:t>
      </w:r>
    </w:p>
    <w:p w:rsidR="00906B72" w:rsidRPr="00294751" w:rsidRDefault="00906B72" w:rsidP="006655D3">
      <w:pPr>
        <w:rPr>
          <w:lang w:val="fr-FR"/>
        </w:rPr>
      </w:pPr>
    </w:p>
    <w:p w:rsidR="00906B72" w:rsidRPr="00294751" w:rsidRDefault="00906B72" w:rsidP="006655D3">
      <w:pPr>
        <w:rPr>
          <w:lang w:val="fr-FR"/>
        </w:rPr>
      </w:pPr>
    </w:p>
  </w:endnote>
  <w:endnote w:type="continuationNotice" w:id="1">
    <w:p w:rsidR="00906B72" w:rsidRPr="00294751" w:rsidRDefault="00906B72" w:rsidP="006655D3">
      <w:pPr>
        <w:rPr>
          <w:lang w:val="fr-FR"/>
        </w:rPr>
      </w:pPr>
      <w:r w:rsidRPr="00C7626A">
        <w:rPr>
          <w:lang w:val="fr-FR"/>
        </w:rPr>
        <w:t>[Suite de la note page suivante]</w:t>
      </w:r>
    </w:p>
    <w:p w:rsidR="00906B72" w:rsidRPr="00294751" w:rsidRDefault="00906B72" w:rsidP="006655D3">
      <w:pPr>
        <w:rPr>
          <w:lang w:val="fr-FR"/>
        </w:rPr>
      </w:pPr>
    </w:p>
    <w:p w:rsidR="00906B72" w:rsidRPr="00294751" w:rsidRDefault="00906B7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72" w:rsidRDefault="00906B72" w:rsidP="006655D3">
      <w:r>
        <w:separator/>
      </w:r>
    </w:p>
  </w:footnote>
  <w:footnote w:type="continuationSeparator" w:id="0">
    <w:p w:rsidR="00906B72" w:rsidRDefault="00906B72" w:rsidP="006655D3">
      <w:r>
        <w:separator/>
      </w:r>
    </w:p>
  </w:footnote>
  <w:footnote w:type="continuationNotice" w:id="1">
    <w:p w:rsidR="00906B72" w:rsidRPr="00AB530F" w:rsidRDefault="00906B72" w:rsidP="00AB530F">
      <w:pPr>
        <w:pStyle w:val="Footer"/>
      </w:pPr>
    </w:p>
  </w:footnote>
  <w:footnote w:id="2">
    <w:p w:rsidR="0039205E" w:rsidRPr="00C7626A" w:rsidRDefault="0039205E" w:rsidP="0039205E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 24 octobre 2005.</w:t>
      </w:r>
    </w:p>
  </w:footnote>
  <w:footnote w:id="3">
    <w:p w:rsidR="00906B72" w:rsidRPr="00C7626A" w:rsidRDefault="00906B72" w:rsidP="001D5883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Voir les</w:t>
      </w:r>
      <w:r w:rsidR="000474B1">
        <w:rPr>
          <w:lang w:val="fr-FR"/>
        </w:rPr>
        <w:t xml:space="preserve"> paragraphes 8 à 10 du document </w:t>
      </w:r>
      <w:hyperlink r:id="rId1" w:history="1">
        <w:r w:rsidRPr="00C7626A">
          <w:rPr>
            <w:rStyle w:val="Hyperlink"/>
            <w:lang w:val="fr-FR"/>
          </w:rPr>
          <w:t>CAJ/52/4</w:t>
        </w:r>
      </w:hyperlink>
      <w:r w:rsidRPr="00C7626A">
        <w:rPr>
          <w:lang w:val="fr-FR"/>
        </w:rPr>
        <w:t xml:space="preserve"> “Méthode d</w:t>
      </w:r>
      <w:r w:rsidR="0075754B">
        <w:rPr>
          <w:lang w:val="fr-FR"/>
        </w:rPr>
        <w:t>’</w:t>
      </w:r>
      <w:r w:rsidRPr="00C7626A">
        <w:rPr>
          <w:lang w:val="fr-FR"/>
        </w:rPr>
        <w:t>élaboration de matériels d</w:t>
      </w:r>
      <w:r w:rsidR="0075754B">
        <w:rPr>
          <w:lang w:val="fr-FR"/>
        </w:rPr>
        <w:t>’</w:t>
      </w:r>
      <w:r w:rsidRPr="00C7626A">
        <w:rPr>
          <w:lang w:val="fr-FR"/>
        </w:rPr>
        <w:t>information concernant l</w:t>
      </w:r>
      <w:r w:rsidR="0075754B">
        <w:rPr>
          <w:lang w:val="fr-FR"/>
        </w:rPr>
        <w:t>’</w:t>
      </w:r>
      <w:r w:rsidRPr="00C7626A">
        <w:rPr>
          <w:lang w:val="fr-FR"/>
        </w:rPr>
        <w:t xml:space="preserve">Acte </w:t>
      </w:r>
      <w:r w:rsidR="0075754B" w:rsidRPr="00C7626A">
        <w:rPr>
          <w:lang w:val="fr-FR"/>
        </w:rPr>
        <w:t>de</w:t>
      </w:r>
      <w:r w:rsidR="0075754B">
        <w:rPr>
          <w:lang w:val="fr-FR"/>
        </w:rPr>
        <w:t> </w:t>
      </w:r>
      <w:r w:rsidR="0075754B" w:rsidRPr="00C7626A">
        <w:rPr>
          <w:lang w:val="fr-FR"/>
        </w:rPr>
        <w:t>1991</w:t>
      </w:r>
      <w:r w:rsidRPr="00C7626A">
        <w:rPr>
          <w:lang w:val="fr-FR"/>
        </w:rPr>
        <w:t xml:space="preserve"> de la </w:t>
      </w:r>
      <w:r w:rsidR="0075754B">
        <w:rPr>
          <w:lang w:val="fr-FR"/>
        </w:rPr>
        <w:t>Convention UPOV</w:t>
      </w:r>
      <w:r w:rsidRPr="00C7626A">
        <w:rPr>
          <w:lang w:val="fr-FR"/>
        </w:rPr>
        <w:t>”.</w:t>
      </w:r>
    </w:p>
  </w:footnote>
  <w:footnote w:id="4">
    <w:p w:rsidR="00906B72" w:rsidRPr="00C7626A" w:rsidRDefault="00906B72" w:rsidP="001D5883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 xml:space="preserve">Voir les </w:t>
      </w:r>
      <w:r w:rsidR="004A52D9">
        <w:rPr>
          <w:lang w:val="fr-FR"/>
        </w:rPr>
        <w:t>paragraphes 11 à 14 du document </w:t>
      </w:r>
      <w:hyperlink r:id="rId2" w:history="1">
        <w:r w:rsidRPr="00C7626A">
          <w:rPr>
            <w:rStyle w:val="Hyperlink"/>
            <w:lang w:val="fr-FR"/>
          </w:rPr>
          <w:t>CAJ/52/4</w:t>
        </w:r>
      </w:hyperlink>
      <w:r w:rsidRPr="00C7626A">
        <w:rPr>
          <w:lang w:val="fr-FR"/>
        </w:rPr>
        <w:t xml:space="preserve"> </w:t>
      </w:r>
      <w:r w:rsidR="000474B1">
        <w:rPr>
          <w:lang w:val="fr-FR"/>
        </w:rPr>
        <w:t>et le paragraphe 67 du document </w:t>
      </w:r>
      <w:hyperlink r:id="rId3" w:history="1">
        <w:r w:rsidRPr="00C7626A">
          <w:rPr>
            <w:rStyle w:val="Hyperlink"/>
            <w:lang w:val="fr-FR"/>
          </w:rPr>
          <w:t>CAJ/52/5</w:t>
        </w:r>
      </w:hyperlink>
      <w:r w:rsidRPr="00C7626A">
        <w:rPr>
          <w:lang w:val="fr-FR"/>
        </w:rPr>
        <w:t xml:space="preserve"> “Compte rendu”.</w:t>
      </w:r>
    </w:p>
  </w:footnote>
  <w:footnote w:id="5">
    <w:p w:rsidR="00906B72" w:rsidRPr="00C7626A" w:rsidRDefault="00906B72" w:rsidP="001D5883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 13 octobre 2014.</w:t>
      </w:r>
    </w:p>
  </w:footnote>
  <w:footnote w:id="6">
    <w:p w:rsidR="00906B72" w:rsidRPr="00C7626A" w:rsidRDefault="00906B72" w:rsidP="001D5883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les 14 et 17 octobre 2014.</w:t>
      </w:r>
    </w:p>
  </w:footnote>
  <w:footnote w:id="7">
    <w:p w:rsidR="00906B72" w:rsidRPr="00C7626A" w:rsidRDefault="00906B72" w:rsidP="001D5883">
      <w:pPr>
        <w:pStyle w:val="FootnoteText"/>
        <w:rPr>
          <w:lang w:val="fr-FR"/>
        </w:rPr>
      </w:pPr>
      <w:r w:rsidRPr="0021431F">
        <w:rPr>
          <w:rStyle w:val="FootnoteReference"/>
          <w:szCs w:val="16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 xml:space="preserve">Voir les </w:t>
      </w:r>
      <w:r w:rsidR="000474B1">
        <w:rPr>
          <w:lang w:val="fr-FR"/>
        </w:rPr>
        <w:t>paragraphes 38 à 41 du document </w:t>
      </w:r>
      <w:hyperlink r:id="rId4" w:history="1">
        <w:r w:rsidRPr="00C7626A">
          <w:rPr>
            <w:rStyle w:val="Hyperlink"/>
            <w:lang w:val="fr-FR"/>
          </w:rPr>
          <w:t>CAJ/70/10</w:t>
        </w:r>
      </w:hyperlink>
      <w:r w:rsidRPr="00C7626A">
        <w:rPr>
          <w:lang w:val="fr-FR"/>
        </w:rPr>
        <w:t xml:space="preserve"> “Compte rendu des conclusions”.</w:t>
      </w:r>
    </w:p>
  </w:footnote>
  <w:footnote w:id="8">
    <w:p w:rsidR="00B35316" w:rsidRPr="00C7626A" w:rsidRDefault="00B35316" w:rsidP="00B3531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les 23 et 24 octobre 2017.</w:t>
      </w:r>
    </w:p>
  </w:footnote>
  <w:footnote w:id="9">
    <w:p w:rsidR="00330FD9" w:rsidRPr="00C7626A" w:rsidRDefault="00330FD9" w:rsidP="00330FD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Voir les p</w:t>
      </w:r>
      <w:r w:rsidR="000474B1">
        <w:rPr>
          <w:lang w:val="fr-FR"/>
        </w:rPr>
        <w:t>aragraphes 10 et 11 du document </w:t>
      </w:r>
      <w:hyperlink r:id="rId5" w:history="1">
        <w:r w:rsidRPr="00C7626A">
          <w:rPr>
            <w:rStyle w:val="Hyperlink"/>
            <w:lang w:val="fr-FR"/>
          </w:rPr>
          <w:t>CAJ/74/10</w:t>
        </w:r>
      </w:hyperlink>
      <w:r w:rsidR="00597AA5">
        <w:rPr>
          <w:lang w:val="fr-FR"/>
        </w:rPr>
        <w:t xml:space="preserve"> “Compte rendu”</w:t>
      </w:r>
      <w:r w:rsidRPr="00C7626A">
        <w:rPr>
          <w:lang w:val="fr-FR"/>
        </w:rPr>
        <w:t>.</w:t>
      </w:r>
    </w:p>
  </w:footnote>
  <w:footnote w:id="10">
    <w:p w:rsidR="00D07235" w:rsidRPr="00C7626A" w:rsidRDefault="00D07235" w:rsidP="00D0723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Voir le paragraphe 9 du document</w:t>
      </w:r>
      <w:r w:rsidR="000474B1">
        <w:rPr>
          <w:lang w:val="fr-FR"/>
        </w:rPr>
        <w:t> </w:t>
      </w:r>
      <w:hyperlink r:id="rId6" w:history="1">
        <w:r w:rsidRPr="00C7626A">
          <w:rPr>
            <w:rStyle w:val="Hyperlink"/>
            <w:lang w:val="fr-FR"/>
          </w:rPr>
          <w:t>CAJ/74/10</w:t>
        </w:r>
      </w:hyperlink>
      <w:r w:rsidRPr="00C7626A">
        <w:rPr>
          <w:lang w:val="fr-FR"/>
        </w:rPr>
        <w:t xml:space="preserve"> “Compte rendu”.</w:t>
      </w:r>
    </w:p>
  </w:footnote>
  <w:footnote w:id="11">
    <w:p w:rsidR="00597AA5" w:rsidRPr="00C7626A" w:rsidRDefault="00597AA5" w:rsidP="00597AA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ab/>
        <w:t>Tenue à Genève le 17 octobre 2011</w:t>
      </w:r>
      <w:r>
        <w:rPr>
          <w:lang w:val="fr-FR"/>
        </w:rPr>
        <w:t>.</w:t>
      </w:r>
    </w:p>
  </w:footnote>
  <w:footnote w:id="12">
    <w:p w:rsidR="00560A24" w:rsidRPr="00C7626A" w:rsidRDefault="00560A24" w:rsidP="00560A2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</w:t>
      </w:r>
      <w:r w:rsidR="000474B1">
        <w:rPr>
          <w:lang w:val="fr-FR"/>
        </w:rPr>
        <w:t>oir le paragraphe 8 du document </w:t>
      </w:r>
      <w:hyperlink r:id="rId7" w:history="1">
        <w:r w:rsidRPr="00C7626A">
          <w:rPr>
            <w:rStyle w:val="Hyperlink"/>
            <w:lang w:val="fr-FR"/>
          </w:rPr>
          <w:t>CAJ/64/2</w:t>
        </w:r>
      </w:hyperlink>
      <w:r w:rsidRPr="00C7626A">
        <w:rPr>
          <w:lang w:val="fr-FR"/>
        </w:rPr>
        <w:t xml:space="preserve"> “Élaboration de matériel d</w:t>
      </w:r>
      <w:r w:rsidR="0075754B">
        <w:rPr>
          <w:lang w:val="fr-FR"/>
        </w:rPr>
        <w:t>’</w:t>
      </w:r>
      <w:r w:rsidRPr="00C7626A">
        <w:rPr>
          <w:lang w:val="fr-FR"/>
        </w:rPr>
        <w:t xml:space="preserve">information concernant la </w:t>
      </w:r>
      <w:r w:rsidR="0075754B">
        <w:rPr>
          <w:lang w:val="fr-FR"/>
        </w:rPr>
        <w:t>Convention UPOV</w:t>
      </w:r>
      <w:r w:rsidRPr="00C7626A">
        <w:rPr>
          <w:lang w:val="fr-FR"/>
        </w:rPr>
        <w:t>”.</w:t>
      </w:r>
    </w:p>
  </w:footnote>
  <w:footnote w:id="13">
    <w:p w:rsidR="008F4336" w:rsidRPr="00C7626A" w:rsidRDefault="008F433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 25 octobre 2016.</w:t>
      </w:r>
    </w:p>
  </w:footnote>
  <w:footnote w:id="14">
    <w:p w:rsidR="00560A24" w:rsidRPr="00C7626A" w:rsidRDefault="00560A24" w:rsidP="00560A2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</w:t>
      </w:r>
      <w:r w:rsidR="000474B1">
        <w:rPr>
          <w:lang w:val="fr-FR"/>
        </w:rPr>
        <w:t>ir le paragraphe 21 du document </w:t>
      </w:r>
      <w:hyperlink r:id="rId8" w:history="1">
        <w:r w:rsidRPr="00C7626A">
          <w:rPr>
            <w:rStyle w:val="Hyperlink"/>
            <w:lang w:val="fr-FR"/>
          </w:rPr>
          <w:t>CAJ/73/10</w:t>
        </w:r>
      </w:hyperlink>
      <w:r w:rsidRPr="00C7626A">
        <w:rPr>
          <w:lang w:val="fr-FR"/>
        </w:rPr>
        <w:t xml:space="preserve"> “Compte rendu des conclusions”.</w:t>
      </w:r>
    </w:p>
  </w:footnote>
  <w:footnote w:id="15">
    <w:p w:rsidR="00560A24" w:rsidRPr="00C7626A" w:rsidRDefault="00560A24" w:rsidP="00560A24">
      <w:pPr>
        <w:pStyle w:val="FootnoteText"/>
        <w:rPr>
          <w:lang w:val="fr-FR"/>
        </w:rPr>
      </w:pPr>
      <w:r w:rsidRPr="00D76B0E"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 xml:space="preserve">Voir le paragraphe 10.d) </w:t>
      </w:r>
      <w:r w:rsidR="008C2565">
        <w:rPr>
          <w:lang w:val="fr-FR"/>
        </w:rPr>
        <w:t xml:space="preserve">du </w:t>
      </w:r>
      <w:r w:rsidR="000474B1">
        <w:rPr>
          <w:lang w:val="fr-FR"/>
        </w:rPr>
        <w:t>document </w:t>
      </w:r>
      <w:hyperlink r:id="rId9" w:history="1">
        <w:r w:rsidRPr="00C7626A">
          <w:rPr>
            <w:rStyle w:val="Hyperlink"/>
            <w:lang w:val="fr-FR"/>
          </w:rPr>
          <w:t>C/50/20</w:t>
        </w:r>
      </w:hyperlink>
      <w:r w:rsidRPr="00C7626A">
        <w:rPr>
          <w:lang w:val="fr-FR"/>
        </w:rPr>
        <w:t xml:space="preserve"> “Compte rendu”.</w:t>
      </w:r>
    </w:p>
  </w:footnote>
  <w:footnote w:id="16">
    <w:p w:rsidR="00906B72" w:rsidRPr="00C7626A" w:rsidRDefault="00906B72" w:rsidP="001D5883">
      <w:pPr>
        <w:pStyle w:val="FootnoteText"/>
        <w:rPr>
          <w:lang w:val="fr-FR" w:eastAsia="ja-JP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="004F1804" w:rsidRPr="00C7626A">
        <w:rPr>
          <w:rFonts w:hint="eastAsia"/>
          <w:lang w:val="fr-FR"/>
        </w:rPr>
        <w:tab/>
        <w:t>Tenue à Genève</w:t>
      </w:r>
      <w:r w:rsidR="004F1804" w:rsidRPr="00C7626A">
        <w:rPr>
          <w:lang w:val="fr-FR"/>
        </w:rPr>
        <w:t xml:space="preserve"> le 21 octobre 2013.</w:t>
      </w:r>
    </w:p>
  </w:footnote>
  <w:footnote w:id="17">
    <w:p w:rsidR="00560A24" w:rsidRPr="00C7626A" w:rsidRDefault="00560A24" w:rsidP="00560A24">
      <w:pPr>
        <w:pStyle w:val="FootnoteText"/>
        <w:rPr>
          <w:lang w:val="fr-FR" w:eastAsia="ja-JP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rFonts w:hint="eastAsia"/>
          <w:lang w:val="fr-FR"/>
        </w:rPr>
        <w:tab/>
        <w:t>V</w:t>
      </w:r>
      <w:r w:rsidRPr="00C7626A">
        <w:rPr>
          <w:lang w:val="fr-FR"/>
        </w:rPr>
        <w:t xml:space="preserve">oir les paragraphes 23 à 26 du </w:t>
      </w:r>
      <w:r w:rsidR="000474B1">
        <w:rPr>
          <w:lang w:val="fr-FR"/>
        </w:rPr>
        <w:t>document </w:t>
      </w:r>
      <w:hyperlink r:id="rId10" w:history="1">
        <w:r w:rsidRPr="00C7626A">
          <w:rPr>
            <w:rStyle w:val="Hyperlink"/>
            <w:lang w:val="fr-FR"/>
          </w:rPr>
          <w:t>CAJ/68/10</w:t>
        </w:r>
      </w:hyperlink>
      <w:r w:rsidRPr="00C7626A">
        <w:rPr>
          <w:lang w:val="fr-FR"/>
        </w:rPr>
        <w:t xml:space="preserve"> “Compte rendu des conclusions”.</w:t>
      </w:r>
    </w:p>
  </w:footnote>
  <w:footnote w:id="18">
    <w:p w:rsidR="00560A24" w:rsidRPr="00C7626A" w:rsidRDefault="00560A24" w:rsidP="00560A2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Tenue à Genève les 23 et 24 octobre 2017.</w:t>
      </w:r>
    </w:p>
  </w:footnote>
  <w:footnote w:id="19">
    <w:p w:rsidR="00B174FF" w:rsidRPr="00C7626A" w:rsidRDefault="00B174FF" w:rsidP="00B174F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Voir le paragraphe 12 du document</w:t>
      </w:r>
      <w:r w:rsidR="004A52D9">
        <w:rPr>
          <w:lang w:val="fr-FR"/>
        </w:rPr>
        <w:t> </w:t>
      </w:r>
      <w:hyperlink r:id="rId11" w:history="1">
        <w:r w:rsidRPr="00F602FF">
          <w:rPr>
            <w:rStyle w:val="Hyperlink"/>
            <w:lang w:val="fr-FR"/>
          </w:rPr>
          <w:t>CAJ/74/10</w:t>
        </w:r>
      </w:hyperlink>
      <w:r w:rsidRPr="00C7626A">
        <w:rPr>
          <w:lang w:val="fr-FR"/>
        </w:rPr>
        <w:t xml:space="preserve"> “Compte</w:t>
      </w:r>
      <w:r w:rsidR="0075754B">
        <w:rPr>
          <w:lang w:val="fr-FR"/>
        </w:rPr>
        <w:t>-</w:t>
      </w:r>
      <w:r w:rsidRPr="00C7626A">
        <w:rPr>
          <w:lang w:val="fr-FR"/>
        </w:rPr>
        <w:t>rendu”.</w:t>
      </w:r>
    </w:p>
  </w:footnote>
  <w:footnote w:id="20">
    <w:p w:rsidR="00906B72" w:rsidRPr="00C7626A" w:rsidRDefault="00906B72" w:rsidP="004D079C">
      <w:pPr>
        <w:pStyle w:val="FootnoteText"/>
        <w:rPr>
          <w:lang w:val="fr-FR"/>
        </w:rPr>
      </w:pPr>
      <w:r w:rsidRPr="004F1804">
        <w:rPr>
          <w:rStyle w:val="FootnoteReference"/>
        </w:rPr>
        <w:footnoteRef/>
      </w:r>
      <w:r w:rsidRPr="00C7626A">
        <w:rPr>
          <w:lang w:val="fr-FR"/>
        </w:rPr>
        <w:t xml:space="preserve"> </w:t>
      </w:r>
      <w:r w:rsidRPr="00C7626A">
        <w:rPr>
          <w:lang w:val="fr-FR"/>
        </w:rPr>
        <w:tab/>
        <w:t>Voir le paragraphe 13 du do</w:t>
      </w:r>
      <w:r w:rsidR="00897B3C">
        <w:rPr>
          <w:lang w:val="fr-FR"/>
        </w:rPr>
        <w:t>cument</w:t>
      </w:r>
      <w:r w:rsidR="004A52D9">
        <w:rPr>
          <w:lang w:val="fr-FR"/>
        </w:rPr>
        <w:t> </w:t>
      </w:r>
      <w:hyperlink r:id="rId12" w:history="1">
        <w:r w:rsidR="00897B3C" w:rsidRPr="00F602FF">
          <w:rPr>
            <w:rStyle w:val="Hyperlink"/>
            <w:lang w:val="fr-FR"/>
          </w:rPr>
          <w:t>CAJ/74/10</w:t>
        </w:r>
      </w:hyperlink>
      <w:r w:rsidR="00897B3C">
        <w:rPr>
          <w:lang w:val="fr-FR"/>
        </w:rPr>
        <w:t xml:space="preserve"> “Compte rendu”</w:t>
      </w:r>
      <w:r w:rsidRPr="00C7626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72" w:rsidRPr="00C5280D" w:rsidRDefault="001072EC" w:rsidP="00906B72">
    <w:pPr>
      <w:pStyle w:val="Header"/>
      <w:rPr>
        <w:rStyle w:val="PageNumber"/>
        <w:lang w:val="en-US"/>
      </w:rPr>
    </w:pPr>
    <w:r>
      <w:rPr>
        <w:rStyle w:val="PageNumber"/>
      </w:rPr>
      <w:t>CAJ/75/6</w:t>
    </w:r>
  </w:p>
  <w:p w:rsidR="00906B72" w:rsidRPr="00C5280D" w:rsidRDefault="00906B72" w:rsidP="00906B72">
    <w:pPr>
      <w:pStyle w:val="Header"/>
      <w:rPr>
        <w:lang w:val="en-US"/>
      </w:rPr>
    </w:pPr>
    <w:r w:rsidRPr="00C5280D">
      <w:t>page</w:t>
    </w:r>
    <w:r w:rsidR="004A52D9"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D61F0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906B72" w:rsidRPr="00C5280D" w:rsidRDefault="00906B72" w:rsidP="00906B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72" w:rsidRDefault="00906B72" w:rsidP="00EB048E">
    <w:pPr>
      <w:pStyle w:val="Header"/>
      <w:rPr>
        <w:rStyle w:val="PageNumber"/>
        <w:lang w:val="en-US"/>
      </w:rPr>
    </w:pPr>
    <w:r>
      <w:rPr>
        <w:rStyle w:val="PageNumber"/>
      </w:rPr>
      <w:t>CAJ/75/6</w:t>
    </w:r>
  </w:p>
  <w:p w:rsidR="006D444B" w:rsidRDefault="006D444B" w:rsidP="00EB048E">
    <w:pPr>
      <w:pStyle w:val="Header"/>
      <w:rPr>
        <w:rStyle w:val="PageNumber"/>
        <w:lang w:val="en-US"/>
      </w:rPr>
    </w:pPr>
  </w:p>
  <w:p w:rsidR="006D444B" w:rsidRPr="00E66616" w:rsidRDefault="00E66616" w:rsidP="00E66616">
    <w:pPr>
      <w:jc w:val="center"/>
    </w:pPr>
    <w:r w:rsidRPr="00155275">
      <w:rPr>
        <w:lang w:val="fr-FR"/>
      </w:rPr>
      <w:t>Annexe</w:t>
    </w:r>
    <w:r>
      <w:t xml:space="preserve">, </w:t>
    </w:r>
    <w:r w:rsidR="006D444B" w:rsidRPr="00C81650">
      <w:rPr>
        <w:rFonts w:cs="Arial"/>
      </w:rPr>
      <w:t xml:space="preserve">page </w:t>
    </w:r>
    <w:r w:rsidR="006D444B" w:rsidRPr="00FE1D1B">
      <w:rPr>
        <w:rStyle w:val="PageNumber"/>
        <w:rFonts w:cs="Arial"/>
      </w:rPr>
      <w:fldChar w:fldCharType="begin"/>
    </w:r>
    <w:r w:rsidR="006D444B" w:rsidRPr="00C81650">
      <w:rPr>
        <w:rStyle w:val="PageNumber"/>
        <w:rFonts w:cs="Arial"/>
        <w:lang w:val="es-ES"/>
      </w:rPr>
      <w:instrText xml:space="preserve"> PAGE </w:instrText>
    </w:r>
    <w:r w:rsidR="006D444B" w:rsidRPr="00FE1D1B">
      <w:rPr>
        <w:rStyle w:val="PageNumber"/>
        <w:rFonts w:cs="Arial"/>
      </w:rPr>
      <w:fldChar w:fldCharType="separate"/>
    </w:r>
    <w:r w:rsidR="006D61F0">
      <w:rPr>
        <w:rStyle w:val="PageNumber"/>
        <w:rFonts w:cs="Arial"/>
        <w:noProof/>
        <w:lang w:val="es-ES"/>
      </w:rPr>
      <w:t>2</w:t>
    </w:r>
    <w:r w:rsidR="006D444B" w:rsidRPr="00FE1D1B">
      <w:rPr>
        <w:rStyle w:val="PageNumber"/>
        <w:rFonts w:cs="Arial"/>
      </w:rPr>
      <w:fldChar w:fldCharType="end"/>
    </w:r>
    <w:r w:rsidR="006D444B" w:rsidRPr="00C81650">
      <w:rPr>
        <w:rStyle w:val="PageNumber"/>
        <w:rFonts w:cs="Arial"/>
      </w:rPr>
      <w:t xml:space="preserve"> </w:t>
    </w:r>
  </w:p>
  <w:p w:rsidR="00906B72" w:rsidRPr="00C5280D" w:rsidRDefault="00906B7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791"/>
    <w:multiLevelType w:val="multilevel"/>
    <w:tmpl w:val="901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3145C"/>
    <w:multiLevelType w:val="multilevel"/>
    <w:tmpl w:val="9E80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24AE3"/>
    <w:multiLevelType w:val="multilevel"/>
    <w:tmpl w:val="54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A0"/>
    <w:rsid w:val="00010CF3"/>
    <w:rsid w:val="00011E27"/>
    <w:rsid w:val="000148BC"/>
    <w:rsid w:val="00021B8A"/>
    <w:rsid w:val="00024AB8"/>
    <w:rsid w:val="00030854"/>
    <w:rsid w:val="00036028"/>
    <w:rsid w:val="00044642"/>
    <w:rsid w:val="000446B9"/>
    <w:rsid w:val="000474B1"/>
    <w:rsid w:val="00047E21"/>
    <w:rsid w:val="00050E16"/>
    <w:rsid w:val="0007333E"/>
    <w:rsid w:val="00085505"/>
    <w:rsid w:val="000C4E25"/>
    <w:rsid w:val="000C7021"/>
    <w:rsid w:val="000D6BBC"/>
    <w:rsid w:val="000D7780"/>
    <w:rsid w:val="000E636A"/>
    <w:rsid w:val="000F2F11"/>
    <w:rsid w:val="001004A5"/>
    <w:rsid w:val="00105929"/>
    <w:rsid w:val="001072EC"/>
    <w:rsid w:val="00110BED"/>
    <w:rsid w:val="00110C36"/>
    <w:rsid w:val="00111B46"/>
    <w:rsid w:val="001131D5"/>
    <w:rsid w:val="00127ABF"/>
    <w:rsid w:val="00130602"/>
    <w:rsid w:val="00141DB8"/>
    <w:rsid w:val="00155275"/>
    <w:rsid w:val="00172084"/>
    <w:rsid w:val="0017474A"/>
    <w:rsid w:val="001758C6"/>
    <w:rsid w:val="00182B99"/>
    <w:rsid w:val="001A2BC6"/>
    <w:rsid w:val="001C1525"/>
    <w:rsid w:val="001D5883"/>
    <w:rsid w:val="001E252B"/>
    <w:rsid w:val="0021332C"/>
    <w:rsid w:val="00213982"/>
    <w:rsid w:val="0024416D"/>
    <w:rsid w:val="0027069F"/>
    <w:rsid w:val="00271911"/>
    <w:rsid w:val="002800A0"/>
    <w:rsid w:val="002801B3"/>
    <w:rsid w:val="00281060"/>
    <w:rsid w:val="0028478A"/>
    <w:rsid w:val="002940E8"/>
    <w:rsid w:val="00294751"/>
    <w:rsid w:val="002A6E50"/>
    <w:rsid w:val="002B125B"/>
    <w:rsid w:val="002B4298"/>
    <w:rsid w:val="002B7A36"/>
    <w:rsid w:val="002C256A"/>
    <w:rsid w:val="002F30AE"/>
    <w:rsid w:val="00305A7F"/>
    <w:rsid w:val="00306F1E"/>
    <w:rsid w:val="003152FE"/>
    <w:rsid w:val="00327436"/>
    <w:rsid w:val="00330FD9"/>
    <w:rsid w:val="00344BD6"/>
    <w:rsid w:val="0035528D"/>
    <w:rsid w:val="00361821"/>
    <w:rsid w:val="00361E9E"/>
    <w:rsid w:val="00385538"/>
    <w:rsid w:val="0039205E"/>
    <w:rsid w:val="003A099C"/>
    <w:rsid w:val="003A744C"/>
    <w:rsid w:val="003C7FBE"/>
    <w:rsid w:val="003D227C"/>
    <w:rsid w:val="003D2B4D"/>
    <w:rsid w:val="003F1CB3"/>
    <w:rsid w:val="00411E74"/>
    <w:rsid w:val="00444A88"/>
    <w:rsid w:val="00474DA4"/>
    <w:rsid w:val="00476B4D"/>
    <w:rsid w:val="004805FA"/>
    <w:rsid w:val="00493088"/>
    <w:rsid w:val="004935D2"/>
    <w:rsid w:val="004A52D9"/>
    <w:rsid w:val="004B1215"/>
    <w:rsid w:val="004D047D"/>
    <w:rsid w:val="004D079C"/>
    <w:rsid w:val="004F1804"/>
    <w:rsid w:val="004F1E9E"/>
    <w:rsid w:val="004F305A"/>
    <w:rsid w:val="004F3C0D"/>
    <w:rsid w:val="004F79E3"/>
    <w:rsid w:val="00512164"/>
    <w:rsid w:val="00513D05"/>
    <w:rsid w:val="00517916"/>
    <w:rsid w:val="0052000E"/>
    <w:rsid w:val="00520297"/>
    <w:rsid w:val="00522BE0"/>
    <w:rsid w:val="005338F9"/>
    <w:rsid w:val="0054281C"/>
    <w:rsid w:val="00544581"/>
    <w:rsid w:val="0055268D"/>
    <w:rsid w:val="00560A24"/>
    <w:rsid w:val="005636F2"/>
    <w:rsid w:val="00567D29"/>
    <w:rsid w:val="00576BE4"/>
    <w:rsid w:val="005779DB"/>
    <w:rsid w:val="00597AA5"/>
    <w:rsid w:val="005A400A"/>
    <w:rsid w:val="005D4EB2"/>
    <w:rsid w:val="005E0D62"/>
    <w:rsid w:val="005E2F21"/>
    <w:rsid w:val="005E2F93"/>
    <w:rsid w:val="005F33DE"/>
    <w:rsid w:val="005F7B92"/>
    <w:rsid w:val="006016D5"/>
    <w:rsid w:val="00612379"/>
    <w:rsid w:val="006153B6"/>
    <w:rsid w:val="0061555F"/>
    <w:rsid w:val="006311FB"/>
    <w:rsid w:val="00636CA6"/>
    <w:rsid w:val="00641200"/>
    <w:rsid w:val="00645CA8"/>
    <w:rsid w:val="00653240"/>
    <w:rsid w:val="006655D3"/>
    <w:rsid w:val="00667404"/>
    <w:rsid w:val="00687EB4"/>
    <w:rsid w:val="00695C56"/>
    <w:rsid w:val="006A5CDE"/>
    <w:rsid w:val="006A644A"/>
    <w:rsid w:val="006B17D2"/>
    <w:rsid w:val="006C224E"/>
    <w:rsid w:val="006D444B"/>
    <w:rsid w:val="006D61F0"/>
    <w:rsid w:val="006D7748"/>
    <w:rsid w:val="006D780A"/>
    <w:rsid w:val="007106A6"/>
    <w:rsid w:val="0071271E"/>
    <w:rsid w:val="00732DEC"/>
    <w:rsid w:val="00735BD5"/>
    <w:rsid w:val="007451EC"/>
    <w:rsid w:val="00751613"/>
    <w:rsid w:val="00753EE9"/>
    <w:rsid w:val="007556F6"/>
    <w:rsid w:val="0075754B"/>
    <w:rsid w:val="00760EEF"/>
    <w:rsid w:val="00777EE5"/>
    <w:rsid w:val="00784836"/>
    <w:rsid w:val="0079023E"/>
    <w:rsid w:val="007A2854"/>
    <w:rsid w:val="007A40B1"/>
    <w:rsid w:val="007B220D"/>
    <w:rsid w:val="007C1D92"/>
    <w:rsid w:val="007C4CB9"/>
    <w:rsid w:val="007D0B9D"/>
    <w:rsid w:val="007D19B0"/>
    <w:rsid w:val="007F498F"/>
    <w:rsid w:val="0080591E"/>
    <w:rsid w:val="0080679D"/>
    <w:rsid w:val="008108B0"/>
    <w:rsid w:val="00811B20"/>
    <w:rsid w:val="00812609"/>
    <w:rsid w:val="00814C3D"/>
    <w:rsid w:val="008211B5"/>
    <w:rsid w:val="0082296E"/>
    <w:rsid w:val="00824099"/>
    <w:rsid w:val="008349BA"/>
    <w:rsid w:val="00846D7C"/>
    <w:rsid w:val="00846E9C"/>
    <w:rsid w:val="008671FE"/>
    <w:rsid w:val="00867AC1"/>
    <w:rsid w:val="00867AFB"/>
    <w:rsid w:val="008759AB"/>
    <w:rsid w:val="00890DF8"/>
    <w:rsid w:val="00897B3C"/>
    <w:rsid w:val="008A743F"/>
    <w:rsid w:val="008C0970"/>
    <w:rsid w:val="008C2565"/>
    <w:rsid w:val="008D0BC5"/>
    <w:rsid w:val="008D2CF7"/>
    <w:rsid w:val="008F4336"/>
    <w:rsid w:val="00900C26"/>
    <w:rsid w:val="0090197F"/>
    <w:rsid w:val="00903264"/>
    <w:rsid w:val="00906B72"/>
    <w:rsid w:val="00906DDC"/>
    <w:rsid w:val="009171FA"/>
    <w:rsid w:val="00934E09"/>
    <w:rsid w:val="00936253"/>
    <w:rsid w:val="00940D46"/>
    <w:rsid w:val="00952DD4"/>
    <w:rsid w:val="00965AE7"/>
    <w:rsid w:val="00970FED"/>
    <w:rsid w:val="00980611"/>
    <w:rsid w:val="009923D5"/>
    <w:rsid w:val="00992D82"/>
    <w:rsid w:val="00997029"/>
    <w:rsid w:val="009A7339"/>
    <w:rsid w:val="009B440E"/>
    <w:rsid w:val="009C1979"/>
    <w:rsid w:val="009D690D"/>
    <w:rsid w:val="009E65B6"/>
    <w:rsid w:val="009F77CF"/>
    <w:rsid w:val="00A24C10"/>
    <w:rsid w:val="00A42AC3"/>
    <w:rsid w:val="00A430CF"/>
    <w:rsid w:val="00A54309"/>
    <w:rsid w:val="00A63181"/>
    <w:rsid w:val="00A80F2A"/>
    <w:rsid w:val="00A8147D"/>
    <w:rsid w:val="00A85842"/>
    <w:rsid w:val="00A877B5"/>
    <w:rsid w:val="00AB2B93"/>
    <w:rsid w:val="00AB2DA2"/>
    <w:rsid w:val="00AB530F"/>
    <w:rsid w:val="00AB7E5B"/>
    <w:rsid w:val="00AC2883"/>
    <w:rsid w:val="00AE0EF1"/>
    <w:rsid w:val="00AE0F02"/>
    <w:rsid w:val="00AE2937"/>
    <w:rsid w:val="00B07301"/>
    <w:rsid w:val="00B11F3E"/>
    <w:rsid w:val="00B1388A"/>
    <w:rsid w:val="00B174FF"/>
    <w:rsid w:val="00B224DE"/>
    <w:rsid w:val="00B304AD"/>
    <w:rsid w:val="00B324D4"/>
    <w:rsid w:val="00B35316"/>
    <w:rsid w:val="00B46575"/>
    <w:rsid w:val="00B61097"/>
    <w:rsid w:val="00B61777"/>
    <w:rsid w:val="00B622E6"/>
    <w:rsid w:val="00B721AD"/>
    <w:rsid w:val="00B84BBD"/>
    <w:rsid w:val="00BA43FB"/>
    <w:rsid w:val="00BC127D"/>
    <w:rsid w:val="00BC1FE6"/>
    <w:rsid w:val="00BC5BBB"/>
    <w:rsid w:val="00C00305"/>
    <w:rsid w:val="00C061B6"/>
    <w:rsid w:val="00C2446C"/>
    <w:rsid w:val="00C27E30"/>
    <w:rsid w:val="00C307A0"/>
    <w:rsid w:val="00C3460B"/>
    <w:rsid w:val="00C36AE5"/>
    <w:rsid w:val="00C41F17"/>
    <w:rsid w:val="00C527FA"/>
    <w:rsid w:val="00C5280D"/>
    <w:rsid w:val="00C53EB3"/>
    <w:rsid w:val="00C5791C"/>
    <w:rsid w:val="00C66290"/>
    <w:rsid w:val="00C72B7A"/>
    <w:rsid w:val="00C7626A"/>
    <w:rsid w:val="00C973F2"/>
    <w:rsid w:val="00CA1BA0"/>
    <w:rsid w:val="00CA304C"/>
    <w:rsid w:val="00CA774A"/>
    <w:rsid w:val="00CB6303"/>
    <w:rsid w:val="00CC11B0"/>
    <w:rsid w:val="00CC2841"/>
    <w:rsid w:val="00CD7512"/>
    <w:rsid w:val="00CF1330"/>
    <w:rsid w:val="00CF6569"/>
    <w:rsid w:val="00CF7E36"/>
    <w:rsid w:val="00D07235"/>
    <w:rsid w:val="00D3708D"/>
    <w:rsid w:val="00D40426"/>
    <w:rsid w:val="00D53442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1C2A"/>
    <w:rsid w:val="00DC3802"/>
    <w:rsid w:val="00DE05B2"/>
    <w:rsid w:val="00E02739"/>
    <w:rsid w:val="00E07D87"/>
    <w:rsid w:val="00E125A8"/>
    <w:rsid w:val="00E249C8"/>
    <w:rsid w:val="00E26C7C"/>
    <w:rsid w:val="00E32F7E"/>
    <w:rsid w:val="00E5267B"/>
    <w:rsid w:val="00E63C0E"/>
    <w:rsid w:val="00E64597"/>
    <w:rsid w:val="00E66616"/>
    <w:rsid w:val="00E72D49"/>
    <w:rsid w:val="00E7593C"/>
    <w:rsid w:val="00E7678A"/>
    <w:rsid w:val="00E935F1"/>
    <w:rsid w:val="00E94A81"/>
    <w:rsid w:val="00EA1FFB"/>
    <w:rsid w:val="00EB048E"/>
    <w:rsid w:val="00EB4E9C"/>
    <w:rsid w:val="00EE2025"/>
    <w:rsid w:val="00EE34DF"/>
    <w:rsid w:val="00EF2F89"/>
    <w:rsid w:val="00F03E98"/>
    <w:rsid w:val="00F1237A"/>
    <w:rsid w:val="00F22CBD"/>
    <w:rsid w:val="00F272F1"/>
    <w:rsid w:val="00F41CD6"/>
    <w:rsid w:val="00F45372"/>
    <w:rsid w:val="00F53F2F"/>
    <w:rsid w:val="00F560F7"/>
    <w:rsid w:val="00F602FF"/>
    <w:rsid w:val="00F61FAC"/>
    <w:rsid w:val="00F6334D"/>
    <w:rsid w:val="00F63599"/>
    <w:rsid w:val="00F734A5"/>
    <w:rsid w:val="00F87B82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BA8A270D-2416-492A-95A7-B7080AD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80591E"/>
    <w:pPr>
      <w:jc w:val="both"/>
      <w:outlineLvl w:val="0"/>
    </w:pPr>
    <w:rPr>
      <w:rFonts w:ascii="Arial" w:eastAsia="MS Mincho" w:hAnsi="Arial"/>
      <w:caps/>
      <w:snapToGrid w:val="0"/>
      <w:lang w:val="fr-FR"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D5883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1D588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1D5883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91E"/>
    <w:rPr>
      <w:rFonts w:ascii="Arial" w:eastAsia="MS Mincho" w:hAnsi="Arial"/>
      <w:caps/>
      <w:snapToGrid w:val="0"/>
      <w:lang w:val="fr-FR"/>
    </w:rPr>
  </w:style>
  <w:style w:type="character" w:customStyle="1" w:styleId="Heading2Char">
    <w:name w:val="Heading 2 Char"/>
    <w:basedOn w:val="DefaultParagraphFont"/>
    <w:link w:val="Heading2"/>
    <w:rsid w:val="001D5883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1D5883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1D5883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1D5883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1D5883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1D5883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character" w:customStyle="1" w:styleId="BodyTextChar1">
    <w:name w:val="Body Text Char1"/>
    <w:basedOn w:val="DefaultParagraphFont"/>
    <w:link w:val="BodyText"/>
    <w:rsid w:val="001D5883"/>
    <w:rPr>
      <w:rFonts w:ascii="Arial" w:hAnsi="Arial"/>
    </w:rPr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1D5883"/>
    <w:rPr>
      <w:rFonts w:ascii="Arial" w:hAnsi="Arial"/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locked/>
    <w:rsid w:val="001D5883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qFormat/>
    <w:rsid w:val="0080591E"/>
    <w:pPr>
      <w:tabs>
        <w:tab w:val="right" w:leader="dot" w:pos="9639"/>
      </w:tabs>
      <w:spacing w:before="60"/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80591E"/>
    <w:pPr>
      <w:tabs>
        <w:tab w:val="right" w:leader="dot" w:pos="9639"/>
      </w:tabs>
      <w:spacing w:before="60"/>
      <w:ind w:right="1418"/>
      <w:jc w:val="left"/>
    </w:pPr>
    <w:rPr>
      <w:caps/>
      <w:noProof/>
      <w:snapToGrid w:val="0"/>
      <w:sz w:val="18"/>
      <w:lang w:val="fr-FR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NormalWeb">
    <w:name w:val="Normal (Web)"/>
    <w:basedOn w:val="Normal"/>
    <w:rsid w:val="001D5883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1D5883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1D5883"/>
    <w:pPr>
      <w:spacing w:before="720" w:after="480"/>
      <w:jc w:val="center"/>
    </w:pPr>
    <w:rPr>
      <w:caps/>
      <w:sz w:val="28"/>
    </w:rPr>
  </w:style>
  <w:style w:type="paragraph" w:customStyle="1" w:styleId="tqparabox">
    <w:name w:val="tqparabox"/>
    <w:basedOn w:val="Normal"/>
    <w:rsid w:val="001D588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1D5883"/>
    <w:pPr>
      <w:ind w:left="1200"/>
    </w:pPr>
  </w:style>
  <w:style w:type="paragraph" w:styleId="BodyTextIndent">
    <w:name w:val="Body Text Indent"/>
    <w:basedOn w:val="Normal"/>
    <w:link w:val="BodyTextIndentChar"/>
    <w:rsid w:val="001D5883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1D5883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1D5883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1D5883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1D5883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1D5883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1D588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1D5883"/>
  </w:style>
  <w:style w:type="character" w:customStyle="1" w:styleId="E-mailSignatureChar">
    <w:name w:val="E-mail Signature Char"/>
    <w:basedOn w:val="DefaultParagraphFont"/>
    <w:link w:val="E-mailSignature"/>
    <w:rsid w:val="001D5883"/>
    <w:rPr>
      <w:rFonts w:ascii="Arial" w:hAnsi="Arial"/>
    </w:rPr>
  </w:style>
  <w:style w:type="character" w:styleId="Emphasis">
    <w:name w:val="Emphasis"/>
    <w:basedOn w:val="DefaultParagraphFont"/>
    <w:qFormat/>
    <w:rsid w:val="001D5883"/>
    <w:rPr>
      <w:i/>
      <w:iCs/>
    </w:rPr>
  </w:style>
  <w:style w:type="paragraph" w:styleId="EnvelopeAddress">
    <w:name w:val="envelope address"/>
    <w:basedOn w:val="Normal"/>
    <w:rsid w:val="001D5883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1D5883"/>
  </w:style>
  <w:style w:type="character" w:styleId="HTMLAcronym">
    <w:name w:val="HTML Acronym"/>
    <w:basedOn w:val="DefaultParagraphFont"/>
    <w:rsid w:val="001D5883"/>
  </w:style>
  <w:style w:type="paragraph" w:styleId="HTMLAddress">
    <w:name w:val="HTML Address"/>
    <w:basedOn w:val="Normal"/>
    <w:link w:val="HTMLAddressChar"/>
    <w:rsid w:val="001D58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5883"/>
    <w:rPr>
      <w:rFonts w:ascii="Arial" w:hAnsi="Arial"/>
      <w:i/>
      <w:iCs/>
    </w:rPr>
  </w:style>
  <w:style w:type="character" w:styleId="HTMLCite">
    <w:name w:val="HTML Cite"/>
    <w:basedOn w:val="DefaultParagraphFont"/>
    <w:rsid w:val="001D5883"/>
    <w:rPr>
      <w:i/>
      <w:iCs/>
    </w:rPr>
  </w:style>
  <w:style w:type="character" w:styleId="HTMLCode">
    <w:name w:val="HTML Code"/>
    <w:basedOn w:val="DefaultParagraphFont"/>
    <w:rsid w:val="001D58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5883"/>
    <w:rPr>
      <w:i/>
      <w:iCs/>
    </w:rPr>
  </w:style>
  <w:style w:type="character" w:styleId="HTMLKeyboard">
    <w:name w:val="HTML Keyboard"/>
    <w:basedOn w:val="DefaultParagraphFont"/>
    <w:rsid w:val="001D58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588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58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58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58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5883"/>
    <w:rPr>
      <w:i/>
      <w:iCs/>
    </w:rPr>
  </w:style>
  <w:style w:type="character" w:styleId="LineNumber">
    <w:name w:val="line number"/>
    <w:basedOn w:val="DefaultParagraphFont"/>
    <w:rsid w:val="001D5883"/>
  </w:style>
  <w:style w:type="paragraph" w:styleId="List">
    <w:name w:val="List"/>
    <w:basedOn w:val="Normal"/>
    <w:rsid w:val="001D5883"/>
    <w:pPr>
      <w:ind w:left="360" w:hanging="360"/>
    </w:pPr>
  </w:style>
  <w:style w:type="paragraph" w:styleId="List2">
    <w:name w:val="List 2"/>
    <w:basedOn w:val="Normal"/>
    <w:rsid w:val="001D5883"/>
    <w:pPr>
      <w:ind w:left="720" w:hanging="360"/>
    </w:pPr>
  </w:style>
  <w:style w:type="paragraph" w:styleId="List3">
    <w:name w:val="List 3"/>
    <w:basedOn w:val="Normal"/>
    <w:rsid w:val="001D5883"/>
    <w:pPr>
      <w:ind w:left="1080" w:hanging="360"/>
    </w:pPr>
  </w:style>
  <w:style w:type="paragraph" w:styleId="List4">
    <w:name w:val="List 4"/>
    <w:basedOn w:val="Normal"/>
    <w:rsid w:val="001D5883"/>
    <w:pPr>
      <w:ind w:left="1440" w:hanging="360"/>
    </w:pPr>
  </w:style>
  <w:style w:type="paragraph" w:styleId="List5">
    <w:name w:val="List 5"/>
    <w:basedOn w:val="Normal"/>
    <w:rsid w:val="001D5883"/>
    <w:pPr>
      <w:ind w:left="1800" w:hanging="360"/>
    </w:pPr>
  </w:style>
  <w:style w:type="paragraph" w:styleId="ListBullet">
    <w:name w:val="List Bullet"/>
    <w:basedOn w:val="Normal"/>
    <w:autoRedefine/>
    <w:rsid w:val="001D5883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1D588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1D588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1D588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1D588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1D5883"/>
    <w:pPr>
      <w:spacing w:after="120"/>
      <w:ind w:left="360"/>
    </w:pPr>
  </w:style>
  <w:style w:type="paragraph" w:styleId="ListContinue2">
    <w:name w:val="List Continue 2"/>
    <w:basedOn w:val="Normal"/>
    <w:rsid w:val="001D5883"/>
    <w:pPr>
      <w:spacing w:after="120"/>
      <w:ind w:left="720"/>
    </w:pPr>
  </w:style>
  <w:style w:type="paragraph" w:styleId="ListContinue3">
    <w:name w:val="List Continue 3"/>
    <w:basedOn w:val="Normal"/>
    <w:rsid w:val="001D5883"/>
    <w:pPr>
      <w:spacing w:after="120"/>
      <w:ind w:left="1080"/>
    </w:pPr>
  </w:style>
  <w:style w:type="paragraph" w:styleId="ListContinue4">
    <w:name w:val="List Continue 4"/>
    <w:basedOn w:val="Normal"/>
    <w:rsid w:val="001D5883"/>
    <w:pPr>
      <w:spacing w:after="120"/>
      <w:ind w:left="1440"/>
    </w:pPr>
  </w:style>
  <w:style w:type="paragraph" w:styleId="ListContinue5">
    <w:name w:val="List Continue 5"/>
    <w:basedOn w:val="Normal"/>
    <w:rsid w:val="001D5883"/>
    <w:pPr>
      <w:spacing w:after="120"/>
      <w:ind w:left="1800"/>
    </w:pPr>
  </w:style>
  <w:style w:type="paragraph" w:styleId="ListNumber">
    <w:name w:val="List Number"/>
    <w:basedOn w:val="Normal"/>
    <w:rsid w:val="001D588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D588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D588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1D588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1D5883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1D58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D5883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D5883"/>
  </w:style>
  <w:style w:type="character" w:customStyle="1" w:styleId="NoteHeadingChar">
    <w:name w:val="Note Heading Char"/>
    <w:basedOn w:val="DefaultParagraphFont"/>
    <w:link w:val="NoteHeading"/>
    <w:rsid w:val="001D5883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1D5883"/>
  </w:style>
  <w:style w:type="character" w:customStyle="1" w:styleId="SalutationChar">
    <w:name w:val="Salutation Char"/>
    <w:basedOn w:val="DefaultParagraphFont"/>
    <w:link w:val="Salutation"/>
    <w:rsid w:val="001D5883"/>
    <w:rPr>
      <w:rFonts w:ascii="Arial" w:hAnsi="Arial"/>
    </w:rPr>
  </w:style>
  <w:style w:type="character" w:styleId="Strong">
    <w:name w:val="Strong"/>
    <w:basedOn w:val="DefaultParagraphFont"/>
    <w:qFormat/>
    <w:rsid w:val="001D5883"/>
    <w:rPr>
      <w:b/>
      <w:bCs/>
    </w:rPr>
  </w:style>
  <w:style w:type="paragraph" w:styleId="Subtitle">
    <w:name w:val="Subtitle"/>
    <w:basedOn w:val="Normal"/>
    <w:link w:val="SubtitleChar"/>
    <w:qFormat/>
    <w:rsid w:val="001D5883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1D5883"/>
    <w:rPr>
      <w:rFonts w:ascii="Arial" w:hAnsi="Arial"/>
      <w:szCs w:val="24"/>
    </w:rPr>
  </w:style>
  <w:style w:type="table" w:styleId="Table3Deffects2">
    <w:name w:val="Table 3D effects 2"/>
    <w:basedOn w:val="TableNormal"/>
    <w:rsid w:val="001D5883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D5883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1D5883"/>
    <w:pPr>
      <w:ind w:left="1440"/>
    </w:pPr>
  </w:style>
  <w:style w:type="paragraph" w:styleId="TOC8">
    <w:name w:val="toc 8"/>
    <w:basedOn w:val="Normal"/>
    <w:next w:val="Normal"/>
    <w:autoRedefine/>
    <w:rsid w:val="001D5883"/>
    <w:pPr>
      <w:ind w:left="1680"/>
    </w:pPr>
  </w:style>
  <w:style w:type="paragraph" w:styleId="TOC9">
    <w:name w:val="toc 9"/>
    <w:basedOn w:val="Normal"/>
    <w:next w:val="Normal"/>
    <w:autoRedefine/>
    <w:rsid w:val="001D5883"/>
    <w:pPr>
      <w:ind w:left="1920"/>
    </w:pPr>
  </w:style>
  <w:style w:type="character" w:styleId="FollowedHyperlink">
    <w:name w:val="FollowedHyperlink"/>
    <w:basedOn w:val="DefaultParagraphFont"/>
    <w:rsid w:val="001D5883"/>
    <w:rPr>
      <w:color w:val="606420"/>
      <w:u w:val="single"/>
    </w:rPr>
  </w:style>
  <w:style w:type="paragraph" w:styleId="BlockText">
    <w:name w:val="Block Text"/>
    <w:basedOn w:val="Normal"/>
    <w:rsid w:val="001D5883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1D5883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1D5883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1D5883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1D5883"/>
    <w:rPr>
      <w:caps w:val="0"/>
      <w:lang w:val="es-ES_tradnl"/>
    </w:rPr>
  </w:style>
  <w:style w:type="paragraph" w:customStyle="1" w:styleId="n">
    <w:name w:val="n"/>
    <w:basedOn w:val="Header"/>
    <w:rsid w:val="001D5883"/>
  </w:style>
  <w:style w:type="paragraph" w:customStyle="1" w:styleId="TitleofSection">
    <w:name w:val="Title of Section"/>
    <w:basedOn w:val="TitleofDoc"/>
    <w:rsid w:val="001D5883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1D5883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1D5883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1D5883"/>
    <w:rPr>
      <w:rFonts w:ascii="Courier New" w:hAnsi="Courier New" w:cs="Courier New"/>
      <w:lang w:eastAsia="fr-FR"/>
    </w:rPr>
  </w:style>
  <w:style w:type="character" w:customStyle="1" w:styleId="BodyTextChar">
    <w:name w:val="Body Text Char"/>
    <w:basedOn w:val="DefaultParagraphFont"/>
    <w:rsid w:val="001D5883"/>
  </w:style>
  <w:style w:type="paragraph" w:customStyle="1" w:styleId="Inf6Titre4">
    <w:name w:val="Inf6_Titre4"/>
    <w:basedOn w:val="Normal"/>
    <w:next w:val="Normal"/>
    <w:rsid w:val="001D5883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1D5883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1D5883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1D5883"/>
    <w:pPr>
      <w:spacing w:after="240" w:line="240" w:lineRule="auto"/>
    </w:pPr>
    <w:rPr>
      <w:b/>
      <w:caps w:val="0"/>
    </w:rPr>
  </w:style>
  <w:style w:type="paragraph" w:styleId="ListParagraph">
    <w:name w:val="List Paragraph"/>
    <w:basedOn w:val="Normal"/>
    <w:uiPriority w:val="34"/>
    <w:qFormat/>
    <w:rsid w:val="001D5883"/>
    <w:pPr>
      <w:ind w:left="720"/>
      <w:contextualSpacing/>
    </w:pPr>
    <w:rPr>
      <w:rFonts w:cs="Arial"/>
    </w:rPr>
  </w:style>
  <w:style w:type="paragraph" w:styleId="BodyText2">
    <w:name w:val="Body Text 2"/>
    <w:basedOn w:val="Normal"/>
    <w:link w:val="BodyText2Char"/>
    <w:rsid w:val="001D5883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1D5883"/>
    <w:rPr>
      <w:color w:val="008000"/>
      <w:sz w:val="24"/>
    </w:rPr>
  </w:style>
  <w:style w:type="paragraph" w:customStyle="1" w:styleId="indentpara">
    <w:name w:val="indentpara"/>
    <w:basedOn w:val="Normal"/>
    <w:rsid w:val="001D5883"/>
    <w:pPr>
      <w:ind w:firstLine="425"/>
    </w:pPr>
    <w:rPr>
      <w:rFonts w:ascii="Times New Roman" w:hAnsi="Times New Roman"/>
      <w:sz w:val="22"/>
    </w:rPr>
  </w:style>
  <w:style w:type="paragraph" w:customStyle="1" w:styleId="Style1">
    <w:name w:val="Style1"/>
    <w:basedOn w:val="Normal"/>
    <w:rsid w:val="001D5883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inf61normal">
    <w:name w:val="inf_6_1_normal"/>
    <w:basedOn w:val="Normal"/>
    <w:link w:val="inf61normalChar"/>
    <w:rsid w:val="001D5883"/>
    <w:pPr>
      <w:tabs>
        <w:tab w:val="left" w:pos="426"/>
        <w:tab w:val="left" w:pos="992"/>
      </w:tabs>
    </w:pPr>
    <w:rPr>
      <w:rFonts w:ascii="Times New Roman" w:hAnsi="Times New Roman"/>
      <w:sz w:val="24"/>
    </w:rPr>
  </w:style>
  <w:style w:type="character" w:customStyle="1" w:styleId="inf61normalChar">
    <w:name w:val="inf_6_1_normal Char"/>
    <w:basedOn w:val="DefaultParagraphFont"/>
    <w:link w:val="inf61normal"/>
    <w:rsid w:val="001D5883"/>
    <w:rPr>
      <w:sz w:val="24"/>
    </w:rPr>
  </w:style>
  <w:style w:type="paragraph" w:customStyle="1" w:styleId="Inf61normalBold">
    <w:name w:val="Inf_6_1_normal + Bold"/>
    <w:basedOn w:val="inf61normal"/>
    <w:link w:val="Inf61normalBoldChar"/>
    <w:rsid w:val="001D5883"/>
    <w:rPr>
      <w:b/>
      <w:bCs/>
    </w:rPr>
  </w:style>
  <w:style w:type="character" w:customStyle="1" w:styleId="Inf61normalBoldChar">
    <w:name w:val="Inf_6_1_normal + Bold Char"/>
    <w:basedOn w:val="inf61normalChar"/>
    <w:link w:val="Inf61normalBold"/>
    <w:rsid w:val="001D5883"/>
    <w:rPr>
      <w:b/>
      <w:bCs/>
      <w:sz w:val="24"/>
    </w:rPr>
  </w:style>
  <w:style w:type="paragraph" w:customStyle="1" w:styleId="Inf6Enum-">
    <w:name w:val="Inf6_Enum_-"/>
    <w:basedOn w:val="Normal"/>
    <w:rsid w:val="001D5883"/>
    <w:pPr>
      <w:tabs>
        <w:tab w:val="right" w:pos="709"/>
      </w:tabs>
      <w:spacing w:before="120"/>
      <w:ind w:left="992" w:hanging="992"/>
    </w:pPr>
    <w:rPr>
      <w:rFonts w:cs="Arial"/>
    </w:rPr>
  </w:style>
  <w:style w:type="paragraph" w:customStyle="1" w:styleId="Inf6normal">
    <w:name w:val="Inf6_normal"/>
    <w:basedOn w:val="Normal"/>
    <w:link w:val="Inf6normalChar"/>
    <w:rsid w:val="001D5883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1D5883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5883"/>
  </w:style>
  <w:style w:type="paragraph" w:styleId="BodyText3">
    <w:name w:val="Body Text 3"/>
    <w:basedOn w:val="Normal"/>
    <w:link w:val="BodyText3Char"/>
    <w:rsid w:val="001D58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88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D5883"/>
    <w:pPr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rsid w:val="001D5883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1D5883"/>
    <w:pPr>
      <w:ind w:left="360" w:firstLine="360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D5883"/>
    <w:rPr>
      <w:rFonts w:ascii="Arial" w:hAnsi="Arial"/>
      <w:lang w:val="es-ES_tradnl"/>
    </w:rPr>
  </w:style>
  <w:style w:type="paragraph" w:styleId="BodyTextIndent2">
    <w:name w:val="Body Text Indent 2"/>
    <w:basedOn w:val="Normal"/>
    <w:link w:val="BodyTextIndent2Char"/>
    <w:rsid w:val="001D5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5883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1D58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883"/>
    <w:rPr>
      <w:rFonts w:ascii="Arial" w:hAnsi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D5883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1D5883"/>
    <w:rPr>
      <w:rFonts w:ascii="Arial" w:hAnsi="Arial"/>
      <w:b/>
      <w:bCs/>
      <w:sz w:val="22"/>
      <w:lang w:val="es-ES_tradnl"/>
    </w:rPr>
  </w:style>
  <w:style w:type="paragraph" w:styleId="DocumentMap">
    <w:name w:val="Document Map"/>
    <w:basedOn w:val="Normal"/>
    <w:link w:val="DocumentMapChar"/>
    <w:rsid w:val="001D58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D5883"/>
    <w:rPr>
      <w:rFonts w:ascii="Tahoma" w:hAnsi="Tahoma" w:cs="Tahoma"/>
      <w:sz w:val="16"/>
      <w:szCs w:val="16"/>
    </w:rPr>
  </w:style>
  <w:style w:type="paragraph" w:styleId="Index4">
    <w:name w:val="index 4"/>
    <w:basedOn w:val="Normal"/>
    <w:next w:val="Normal"/>
    <w:autoRedefine/>
    <w:rsid w:val="001D5883"/>
    <w:pPr>
      <w:ind w:left="800" w:hanging="200"/>
    </w:pPr>
  </w:style>
  <w:style w:type="paragraph" w:styleId="Index5">
    <w:name w:val="index 5"/>
    <w:basedOn w:val="Normal"/>
    <w:next w:val="Normal"/>
    <w:autoRedefine/>
    <w:rsid w:val="001D5883"/>
    <w:pPr>
      <w:ind w:left="1000" w:hanging="200"/>
    </w:pPr>
  </w:style>
  <w:style w:type="paragraph" w:styleId="Index6">
    <w:name w:val="index 6"/>
    <w:basedOn w:val="Normal"/>
    <w:next w:val="Normal"/>
    <w:autoRedefine/>
    <w:rsid w:val="001D5883"/>
    <w:pPr>
      <w:ind w:left="1200" w:hanging="200"/>
    </w:pPr>
  </w:style>
  <w:style w:type="paragraph" w:styleId="Index7">
    <w:name w:val="index 7"/>
    <w:basedOn w:val="Normal"/>
    <w:next w:val="Normal"/>
    <w:autoRedefine/>
    <w:rsid w:val="001D5883"/>
    <w:pPr>
      <w:ind w:left="1400" w:hanging="200"/>
    </w:pPr>
  </w:style>
  <w:style w:type="paragraph" w:styleId="Index8">
    <w:name w:val="index 8"/>
    <w:basedOn w:val="Normal"/>
    <w:next w:val="Normal"/>
    <w:autoRedefine/>
    <w:rsid w:val="001D5883"/>
    <w:pPr>
      <w:ind w:left="1600" w:hanging="200"/>
    </w:pPr>
  </w:style>
  <w:style w:type="paragraph" w:styleId="Index9">
    <w:name w:val="index 9"/>
    <w:basedOn w:val="Normal"/>
    <w:next w:val="Normal"/>
    <w:autoRedefine/>
    <w:rsid w:val="001D5883"/>
    <w:pPr>
      <w:ind w:left="1800" w:hanging="200"/>
    </w:pPr>
  </w:style>
  <w:style w:type="paragraph" w:styleId="IndexHeading">
    <w:name w:val="index heading"/>
    <w:basedOn w:val="Normal"/>
    <w:next w:val="Index1"/>
    <w:rsid w:val="001D58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83"/>
    <w:rPr>
      <w:rFonts w:ascii="Arial" w:hAnsi="Arial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D5883"/>
    <w:pPr>
      <w:jc w:val="both"/>
    </w:pPr>
    <w:rPr>
      <w:rFonts w:ascii="Arial" w:hAnsi="Arial"/>
    </w:rPr>
  </w:style>
  <w:style w:type="paragraph" w:styleId="NormalIndent">
    <w:name w:val="Normal Indent"/>
    <w:basedOn w:val="Normal"/>
    <w:rsid w:val="001D5883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1D58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5883"/>
    <w:rPr>
      <w:rFonts w:ascii="Arial" w:hAnsi="Arial"/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rsid w:val="001D5883"/>
    <w:pPr>
      <w:ind w:left="200" w:hanging="200"/>
    </w:pPr>
  </w:style>
  <w:style w:type="paragraph" w:styleId="TableofFigures">
    <w:name w:val="table of figures"/>
    <w:basedOn w:val="Normal"/>
    <w:next w:val="Normal"/>
    <w:rsid w:val="001D5883"/>
  </w:style>
  <w:style w:type="paragraph" w:styleId="TOAHeading">
    <w:name w:val="toa heading"/>
    <w:basedOn w:val="Normal"/>
    <w:next w:val="Normal"/>
    <w:rsid w:val="001D58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rsid w:val="00E02739"/>
    <w:rPr>
      <w:sz w:val="16"/>
      <w:szCs w:val="16"/>
    </w:rPr>
  </w:style>
  <w:style w:type="paragraph" w:styleId="Revision">
    <w:name w:val="Revision"/>
    <w:hidden/>
    <w:uiPriority w:val="99"/>
    <w:semiHidden/>
    <w:rsid w:val="004A52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fr/details.jsp?meeting_id=38922" TargetMode="External"/><Relationship Id="rId3" Type="http://schemas.openxmlformats.org/officeDocument/2006/relationships/hyperlink" Target="http://www.upov.int/meetings/fr/details.jsp?meeting_id=8907" TargetMode="External"/><Relationship Id="rId7" Type="http://schemas.openxmlformats.org/officeDocument/2006/relationships/hyperlink" Target="http://www.upov.int/meetings/fr/details.jsp?meeting_id=24137" TargetMode="External"/><Relationship Id="rId12" Type="http://schemas.openxmlformats.org/officeDocument/2006/relationships/hyperlink" Target="http://www.upov.int/meetings/fr/details.jsp?meeting_id=44404" TargetMode="External"/><Relationship Id="rId2" Type="http://schemas.openxmlformats.org/officeDocument/2006/relationships/hyperlink" Target="http://www.upov.int/meetings/fr/details.jsp?meeting_id=8907" TargetMode="External"/><Relationship Id="rId1" Type="http://schemas.openxmlformats.org/officeDocument/2006/relationships/hyperlink" Target="http://www.upov.int/meetings/fr/details.jsp?meeting_id=8907" TargetMode="External"/><Relationship Id="rId6" Type="http://schemas.openxmlformats.org/officeDocument/2006/relationships/hyperlink" Target="http://www.upov.int/meetings/fr/details.jsp?meeting_id=44404" TargetMode="External"/><Relationship Id="rId11" Type="http://schemas.openxmlformats.org/officeDocument/2006/relationships/hyperlink" Target="http://www.upov.int/meetings/fr/details.jsp?meeting_id=44404" TargetMode="External"/><Relationship Id="rId5" Type="http://schemas.openxmlformats.org/officeDocument/2006/relationships/hyperlink" Target="http://www.upov.int/meetings/fr/details.jsp?meeting_id=44404" TargetMode="External"/><Relationship Id="rId10" Type="http://schemas.openxmlformats.org/officeDocument/2006/relationships/hyperlink" Target="http://www.upov.int/meetings/fr/details.jsp?meeting_id=29784" TargetMode="External"/><Relationship Id="rId4" Type="http://schemas.openxmlformats.org/officeDocument/2006/relationships/hyperlink" Target="http://www.upov.int/meetings/fr/details.jsp?meeting_id=33387" TargetMode="External"/><Relationship Id="rId9" Type="http://schemas.openxmlformats.org/officeDocument/2006/relationships/hyperlink" Target="http://www.upov.int/meetings/fr/details.jsp?meeting_id=4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6D54-5DB8-4560-9612-614CA915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18</cp:revision>
  <cp:lastPrinted>2018-09-19T13:17:00Z</cp:lastPrinted>
  <dcterms:created xsi:type="dcterms:W3CDTF">2018-08-22T10:03:00Z</dcterms:created>
  <dcterms:modified xsi:type="dcterms:W3CDTF">2018-09-19T13:17:00Z</dcterms:modified>
</cp:coreProperties>
</file>