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A2679" w:rsidRPr="003A2679" w:rsidTr="006B4CB4">
        <w:tc>
          <w:tcPr>
            <w:tcW w:w="6522" w:type="dxa"/>
          </w:tcPr>
          <w:p w:rsidR="003A2679" w:rsidRPr="003A2679" w:rsidRDefault="003A2679" w:rsidP="006B4CB4">
            <w:pPr>
              <w:rPr>
                <w:lang w:val="fr-FR"/>
              </w:rPr>
            </w:pPr>
            <w:bookmarkStart w:id="0" w:name="TitleOfDoc"/>
            <w:bookmarkEnd w:id="0"/>
            <w:r w:rsidRPr="003A2679">
              <w:rPr>
                <w:noProof/>
              </w:rPr>
              <w:drawing>
                <wp:inline distT="0" distB="0" distL="0" distR="0" wp14:anchorId="660A983C" wp14:editId="3F7F31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A2679" w:rsidRPr="003A2679" w:rsidRDefault="003A2679" w:rsidP="006B4CB4">
            <w:pPr>
              <w:pStyle w:val="Lettrine"/>
              <w:rPr>
                <w:lang w:val="fr-FR"/>
              </w:rPr>
            </w:pPr>
            <w:r w:rsidRPr="003A2679">
              <w:rPr>
                <w:lang w:val="fr-FR"/>
              </w:rPr>
              <w:t>F</w:t>
            </w:r>
          </w:p>
        </w:tc>
      </w:tr>
      <w:tr w:rsidR="003A2679" w:rsidRPr="003A2679" w:rsidTr="006B4CB4">
        <w:trPr>
          <w:trHeight w:val="219"/>
        </w:trPr>
        <w:tc>
          <w:tcPr>
            <w:tcW w:w="6522" w:type="dxa"/>
          </w:tcPr>
          <w:p w:rsidR="003A2679" w:rsidRPr="003A2679" w:rsidRDefault="003A2679" w:rsidP="006B4CB4">
            <w:pPr>
              <w:pStyle w:val="upove"/>
              <w:rPr>
                <w:lang w:val="fr-FR"/>
              </w:rPr>
            </w:pPr>
            <w:r w:rsidRPr="003A2679">
              <w:rPr>
                <w:lang w:val="fr-FR"/>
              </w:rPr>
              <w:t>Union internationale pour la protection des obtentions végétales</w:t>
            </w:r>
          </w:p>
        </w:tc>
        <w:tc>
          <w:tcPr>
            <w:tcW w:w="3117" w:type="dxa"/>
          </w:tcPr>
          <w:p w:rsidR="003A2679" w:rsidRPr="003A2679" w:rsidRDefault="003A2679" w:rsidP="006B4CB4">
            <w:pPr>
              <w:rPr>
                <w:lang w:val="fr-FR"/>
              </w:rPr>
            </w:pPr>
          </w:p>
        </w:tc>
      </w:tr>
    </w:tbl>
    <w:p w:rsidR="003A2679" w:rsidRPr="003A2679" w:rsidRDefault="003A2679" w:rsidP="003A2679">
      <w:pPr>
        <w:rPr>
          <w:lang w:val="fr-FR"/>
        </w:rPr>
      </w:pPr>
    </w:p>
    <w:p w:rsidR="003A2679" w:rsidRPr="003A2679" w:rsidRDefault="003A2679" w:rsidP="003A267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A2679" w:rsidRPr="003A2679" w:rsidTr="006B4CB4">
        <w:tc>
          <w:tcPr>
            <w:tcW w:w="6512" w:type="dxa"/>
          </w:tcPr>
          <w:p w:rsidR="003A2679" w:rsidRPr="003A2679" w:rsidRDefault="003A2679" w:rsidP="006B4CB4">
            <w:pPr>
              <w:pStyle w:val="Sessiontc"/>
              <w:spacing w:line="240" w:lineRule="auto"/>
              <w:rPr>
                <w:lang w:val="fr-FR"/>
              </w:rPr>
            </w:pPr>
            <w:r w:rsidRPr="003A2679">
              <w:rPr>
                <w:lang w:val="fr-FR"/>
              </w:rPr>
              <w:t>Comité administratif et juridique</w:t>
            </w:r>
          </w:p>
          <w:p w:rsidR="003A2679" w:rsidRPr="003A2679" w:rsidRDefault="003A2679" w:rsidP="006B4CB4">
            <w:pPr>
              <w:pStyle w:val="Sessiontcplacedate"/>
              <w:rPr>
                <w:sz w:val="22"/>
                <w:lang w:val="fr-FR"/>
              </w:rPr>
            </w:pPr>
            <w:r w:rsidRPr="003A2679">
              <w:rPr>
                <w:lang w:val="fr-FR"/>
              </w:rPr>
              <w:t>Soixante</w:t>
            </w:r>
            <w:r w:rsidR="00283621">
              <w:rPr>
                <w:lang w:val="fr-FR"/>
              </w:rPr>
              <w:noBreakHyphen/>
            </w:r>
            <w:r w:rsidRPr="003A2679">
              <w:rPr>
                <w:lang w:val="fr-FR"/>
              </w:rPr>
              <w:t>quatorz</w:t>
            </w:r>
            <w:r w:rsidR="00056270">
              <w:rPr>
                <w:lang w:val="fr-FR"/>
              </w:rPr>
              <w:t>ième session</w:t>
            </w:r>
            <w:r w:rsidRPr="003A2679">
              <w:rPr>
                <w:lang w:val="fr-FR"/>
              </w:rPr>
              <w:br/>
              <w:t>Genève, 23 et 2</w:t>
            </w:r>
            <w:r w:rsidR="00056270" w:rsidRPr="003A2679">
              <w:rPr>
                <w:lang w:val="fr-FR"/>
              </w:rPr>
              <w:t>4</w:t>
            </w:r>
            <w:r w:rsidR="00056270">
              <w:rPr>
                <w:lang w:val="fr-FR"/>
              </w:rPr>
              <w:t> </w:t>
            </w:r>
            <w:r w:rsidR="00056270" w:rsidRPr="003A2679">
              <w:rPr>
                <w:lang w:val="fr-FR"/>
              </w:rPr>
              <w:t>octobre</w:t>
            </w:r>
            <w:r w:rsidR="00056270">
              <w:rPr>
                <w:lang w:val="fr-FR"/>
              </w:rPr>
              <w:t> </w:t>
            </w:r>
            <w:r w:rsidR="00056270" w:rsidRPr="003A2679">
              <w:rPr>
                <w:lang w:val="fr-FR"/>
              </w:rPr>
              <w:t>20</w:t>
            </w:r>
            <w:r w:rsidRPr="003A2679">
              <w:rPr>
                <w:lang w:val="fr-FR"/>
              </w:rPr>
              <w:t>17</w:t>
            </w:r>
          </w:p>
        </w:tc>
        <w:tc>
          <w:tcPr>
            <w:tcW w:w="3127" w:type="dxa"/>
          </w:tcPr>
          <w:p w:rsidR="003A2679" w:rsidRPr="003A2679" w:rsidRDefault="003A2679" w:rsidP="006B4CB4">
            <w:pPr>
              <w:pStyle w:val="Doccode"/>
              <w:rPr>
                <w:lang w:val="fr-FR"/>
              </w:rPr>
            </w:pPr>
            <w:r w:rsidRPr="003A2679">
              <w:rPr>
                <w:lang w:val="fr-FR"/>
              </w:rPr>
              <w:t>CAJ/74/8</w:t>
            </w:r>
          </w:p>
          <w:p w:rsidR="003A2679" w:rsidRPr="003A2679" w:rsidRDefault="003A2679" w:rsidP="006B4CB4">
            <w:pPr>
              <w:pStyle w:val="Docoriginal"/>
              <w:rPr>
                <w:lang w:val="fr-FR"/>
              </w:rPr>
            </w:pPr>
            <w:r w:rsidRPr="003A2679">
              <w:rPr>
                <w:lang w:val="fr-FR"/>
              </w:rPr>
              <w:t>Original</w:t>
            </w:r>
            <w:r w:rsidR="00056270">
              <w:rPr>
                <w:lang w:val="fr-FR"/>
              </w:rPr>
              <w:t> :</w:t>
            </w:r>
            <w:r w:rsidRPr="003A2679">
              <w:rPr>
                <w:b w:val="0"/>
                <w:spacing w:val="0"/>
                <w:lang w:val="fr-FR"/>
              </w:rPr>
              <w:t xml:space="preserve"> anglais</w:t>
            </w:r>
          </w:p>
          <w:p w:rsidR="003A2679" w:rsidRPr="003A2679" w:rsidRDefault="003A2679" w:rsidP="006B4CB4">
            <w:pPr>
              <w:pStyle w:val="Docoriginal"/>
              <w:rPr>
                <w:lang w:val="fr-FR"/>
              </w:rPr>
            </w:pPr>
            <w:r w:rsidRPr="003A2679">
              <w:rPr>
                <w:lang w:val="fr-FR"/>
              </w:rPr>
              <w:t>Date</w:t>
            </w:r>
            <w:r w:rsidR="00056270">
              <w:rPr>
                <w:lang w:val="fr-FR"/>
              </w:rPr>
              <w:t> :</w:t>
            </w:r>
            <w:r w:rsidRPr="003A2679">
              <w:rPr>
                <w:b w:val="0"/>
                <w:spacing w:val="0"/>
                <w:lang w:val="fr-FR"/>
              </w:rPr>
              <w:t xml:space="preserve"> 6 octobre 2017</w:t>
            </w:r>
          </w:p>
        </w:tc>
      </w:tr>
    </w:tbl>
    <w:p w:rsidR="00C30D44" w:rsidRPr="003A2679" w:rsidRDefault="006A1AC7" w:rsidP="006A644A">
      <w:pPr>
        <w:pStyle w:val="Titleofdoc0"/>
        <w:rPr>
          <w:lang w:val="fr-FR"/>
        </w:rPr>
      </w:pPr>
      <w:r w:rsidRPr="003A2679">
        <w:rPr>
          <w:lang w:val="fr-FR"/>
        </w:rPr>
        <w:t>T</w:t>
      </w:r>
      <w:r w:rsidR="00283621">
        <w:rPr>
          <w:lang w:val="fr-FR"/>
        </w:rPr>
        <w:t>echniques moléculaires</w:t>
      </w:r>
    </w:p>
    <w:p w:rsidR="00C30D44" w:rsidRPr="003A2679" w:rsidRDefault="00C30D44" w:rsidP="006A644A">
      <w:pPr>
        <w:pStyle w:val="preparedby0"/>
        <w:jc w:val="left"/>
        <w:rPr>
          <w:lang w:val="fr-FR"/>
        </w:rPr>
      </w:pPr>
      <w:bookmarkStart w:id="1" w:name="Prepared"/>
      <w:bookmarkEnd w:id="1"/>
      <w:r w:rsidRPr="003A2679">
        <w:rPr>
          <w:lang w:val="fr-FR"/>
        </w:rPr>
        <w:t xml:space="preserve">Document </w:t>
      </w:r>
      <w:r w:rsidR="006A1AC7" w:rsidRPr="003A2679">
        <w:rPr>
          <w:lang w:val="fr-FR"/>
        </w:rPr>
        <w:t>établi par le Bureau de l</w:t>
      </w:r>
      <w:r w:rsidR="00056270">
        <w:rPr>
          <w:lang w:val="fr-FR"/>
        </w:rPr>
        <w:t>’</w:t>
      </w:r>
      <w:r w:rsidR="006A1AC7" w:rsidRPr="003A2679">
        <w:rPr>
          <w:lang w:val="fr-FR"/>
        </w:rPr>
        <w:t>Union</w:t>
      </w:r>
    </w:p>
    <w:p w:rsidR="00C30D44" w:rsidRPr="003A2679" w:rsidRDefault="006A1AC7" w:rsidP="006A644A">
      <w:pPr>
        <w:pStyle w:val="Disclaimer"/>
        <w:rPr>
          <w:lang w:val="fr-FR"/>
        </w:rPr>
      </w:pPr>
      <w:r w:rsidRPr="003A2679">
        <w:rPr>
          <w:lang w:val="fr-FR"/>
        </w:rPr>
        <w:t>Avertissement</w:t>
      </w:r>
      <w:r w:rsidR="00056270">
        <w:rPr>
          <w:lang w:val="fr-FR"/>
        </w:rPr>
        <w:t> :</w:t>
      </w:r>
      <w:r w:rsidRPr="003A2679">
        <w:rPr>
          <w:lang w:val="fr-FR"/>
        </w:rPr>
        <w:t xml:space="preserve"> le présent document ne représente pas les principes ou les orientations de l</w:t>
      </w:r>
      <w:r w:rsidR="00056270">
        <w:rPr>
          <w:lang w:val="fr-FR"/>
        </w:rPr>
        <w:t>’</w:t>
      </w:r>
      <w:r w:rsidRPr="003A2679">
        <w:rPr>
          <w:lang w:val="fr-FR"/>
        </w:rPr>
        <w:t>UPOV</w:t>
      </w:r>
    </w:p>
    <w:p w:rsidR="00C30D44" w:rsidRPr="003A2679" w:rsidRDefault="00283621" w:rsidP="00283621">
      <w:pPr>
        <w:pStyle w:val="Heading1"/>
        <w:rPr>
          <w:lang w:val="fr-FR" w:eastAsia="ja-JP"/>
        </w:rPr>
      </w:pPr>
      <w:bookmarkStart w:id="2" w:name="_Toc495915965"/>
      <w:r w:rsidRPr="003A2679">
        <w:rPr>
          <w:lang w:val="fr-FR" w:eastAsia="ja-JP"/>
        </w:rPr>
        <w:t>Résumé</w:t>
      </w:r>
      <w:bookmarkEnd w:id="2"/>
    </w:p>
    <w:p w:rsidR="00C30D44" w:rsidRPr="003A2679" w:rsidRDefault="00C30D44" w:rsidP="003D060A">
      <w:pPr>
        <w:rPr>
          <w:lang w:val="fr-FR" w:eastAsia="ja-JP"/>
        </w:rPr>
      </w:pPr>
    </w:p>
    <w:p w:rsidR="00C30D44" w:rsidRPr="003A2679" w:rsidRDefault="00C30D44" w:rsidP="003D060A">
      <w:pPr>
        <w:rPr>
          <w:lang w:val="fr-FR"/>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6A1AC7" w:rsidRPr="003A2679">
        <w:rPr>
          <w:lang w:val="fr-FR"/>
        </w:rPr>
        <w:t>L</w:t>
      </w:r>
      <w:r w:rsidR="00056270">
        <w:rPr>
          <w:lang w:val="fr-FR"/>
        </w:rPr>
        <w:t>’</w:t>
      </w:r>
      <w:r w:rsidR="006A1AC7" w:rsidRPr="003A2679">
        <w:rPr>
          <w:lang w:val="fr-FR"/>
        </w:rPr>
        <w:t>objet du présent document est de rendre compte des faits nouveaux survenus dans le domaine des techniques moléculaires en rapport avec le Comité technique et le projet de questions et réponses concernant la diffusion d</w:t>
      </w:r>
      <w:r w:rsidR="00056270">
        <w:rPr>
          <w:lang w:val="fr-FR"/>
        </w:rPr>
        <w:t>’</w:t>
      </w:r>
      <w:r w:rsidR="006A1AC7" w:rsidRPr="003A2679">
        <w:rPr>
          <w:lang w:val="fr-FR"/>
        </w:rPr>
        <w:t xml:space="preserve">informations à un large public, </w:t>
      </w:r>
      <w:r w:rsidR="00056270">
        <w:rPr>
          <w:lang w:val="fr-FR"/>
        </w:rPr>
        <w:t>y compris</w:t>
      </w:r>
      <w:r w:rsidR="006A1AC7" w:rsidRPr="003A2679">
        <w:rPr>
          <w:lang w:val="fr-FR"/>
        </w:rPr>
        <w:t xml:space="preserve"> le public en général, sur la situation à l</w:t>
      </w:r>
      <w:r w:rsidR="00056270">
        <w:rPr>
          <w:lang w:val="fr-FR"/>
        </w:rPr>
        <w:t>’</w:t>
      </w:r>
      <w:r w:rsidR="006A1AC7" w:rsidRPr="003A2679">
        <w:rPr>
          <w:lang w:val="fr-FR"/>
        </w:rPr>
        <w:t xml:space="preserve">UPOV </w:t>
      </w:r>
      <w:r w:rsidR="007338A5" w:rsidRPr="003A2679">
        <w:rPr>
          <w:lang w:val="fr-FR"/>
        </w:rPr>
        <w:t>au regard de</w:t>
      </w:r>
      <w:r w:rsidR="006A1AC7" w:rsidRPr="003A2679">
        <w:rPr>
          <w:lang w:val="fr-FR"/>
        </w:rPr>
        <w:t xml:space="preserve"> l</w:t>
      </w:r>
      <w:r w:rsidR="00056270">
        <w:rPr>
          <w:lang w:val="fr-FR"/>
        </w:rPr>
        <w:t>’</w:t>
      </w:r>
      <w:r w:rsidR="006A1AC7" w:rsidRPr="003A2679">
        <w:rPr>
          <w:lang w:val="fr-FR"/>
        </w:rPr>
        <w:t>utilisation de techniques moléculaires.</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3A5A13" w:rsidRPr="003A2679">
        <w:rPr>
          <w:lang w:val="fr-FR" w:eastAsia="ja-JP"/>
        </w:rPr>
        <w:t xml:space="preserve">Le CAJ est invité </w:t>
      </w:r>
      <w:r w:rsidR="00230288" w:rsidRPr="003A2679">
        <w:rPr>
          <w:lang w:val="fr-FR" w:eastAsia="ja-JP"/>
        </w:rPr>
        <w:t>à noter que</w:t>
      </w:r>
    </w:p>
    <w:p w:rsidR="00C30D44" w:rsidRPr="003A2679" w:rsidRDefault="00C30D44" w:rsidP="003D060A">
      <w:pPr>
        <w:ind w:left="540" w:hanging="540"/>
        <w:rPr>
          <w:lang w:val="fr-FR" w:eastAsia="ja-JP"/>
        </w:rPr>
      </w:pPr>
    </w:p>
    <w:p w:rsidR="00C30D44" w:rsidRPr="003A2679" w:rsidRDefault="00F420B2" w:rsidP="00283621">
      <w:pPr>
        <w:ind w:firstLine="567"/>
        <w:rPr>
          <w:lang w:val="fr-FR"/>
        </w:rPr>
      </w:pPr>
      <w:r w:rsidRPr="003A2679">
        <w:rPr>
          <w:lang w:val="fr-FR"/>
        </w:rPr>
        <w:t>a</w:t>
      </w:r>
      <w:r w:rsidR="00C30D44" w:rsidRPr="003A2679">
        <w:rPr>
          <w:lang w:val="fr-FR"/>
        </w:rPr>
        <w:t>)</w:t>
      </w:r>
      <w:r w:rsidR="00C30D44" w:rsidRPr="003A2679">
        <w:rPr>
          <w:lang w:val="fr-FR"/>
        </w:rPr>
        <w:tab/>
      </w:r>
      <w:r w:rsidR="003A5A13" w:rsidRPr="003A2679">
        <w:rPr>
          <w:lang w:val="fr-FR"/>
        </w:rPr>
        <w:t>le projet de questions et réponses concernant la diffusion d</w:t>
      </w:r>
      <w:r w:rsidR="00056270">
        <w:rPr>
          <w:lang w:val="fr-FR"/>
        </w:rPr>
        <w:t>’</w:t>
      </w:r>
      <w:r w:rsidR="003A5A13" w:rsidRPr="003A2679">
        <w:rPr>
          <w:lang w:val="fr-FR"/>
        </w:rPr>
        <w:t xml:space="preserve">informations à un large public, </w:t>
      </w:r>
      <w:r w:rsidR="00056270">
        <w:rPr>
          <w:lang w:val="fr-FR"/>
        </w:rPr>
        <w:t>y compris</w:t>
      </w:r>
      <w:r w:rsidR="003A5A13" w:rsidRPr="003A2679">
        <w:rPr>
          <w:lang w:val="fr-FR"/>
        </w:rPr>
        <w:t xml:space="preserve"> le public en général, sur la situation à l</w:t>
      </w:r>
      <w:r w:rsidR="00056270">
        <w:rPr>
          <w:lang w:val="fr-FR"/>
        </w:rPr>
        <w:t>’</w:t>
      </w:r>
      <w:r w:rsidR="003A5A13" w:rsidRPr="003A2679">
        <w:rPr>
          <w:lang w:val="fr-FR"/>
        </w:rPr>
        <w:t>UPOV au regard de l</w:t>
      </w:r>
      <w:r w:rsidR="00056270">
        <w:rPr>
          <w:lang w:val="fr-FR"/>
        </w:rPr>
        <w:t>’</w:t>
      </w:r>
      <w:r w:rsidR="003A5A13" w:rsidRPr="003A2679">
        <w:rPr>
          <w:lang w:val="fr-FR"/>
        </w:rPr>
        <w:t xml:space="preserve">utilisation de techniques moléculaires, comme indiqué au </w:t>
      </w:r>
      <w:r w:rsidR="00056270" w:rsidRPr="003A2679">
        <w:rPr>
          <w:lang w:val="fr-FR"/>
        </w:rPr>
        <w:t>paragraphe</w:t>
      </w:r>
      <w:r w:rsidR="00056270">
        <w:rPr>
          <w:lang w:val="fr-FR"/>
        </w:rPr>
        <w:t> </w:t>
      </w:r>
      <w:r w:rsidR="00056270" w:rsidRPr="003A2679">
        <w:rPr>
          <w:lang w:val="fr-FR"/>
        </w:rPr>
        <w:t>7</w:t>
      </w:r>
      <w:r w:rsidR="003A5A13" w:rsidRPr="003A2679">
        <w:rPr>
          <w:lang w:val="fr-FR"/>
        </w:rPr>
        <w:t>, a été adopté par le Conseil à sa cinquant</w:t>
      </w:r>
      <w:r w:rsidR="00056270">
        <w:rPr>
          <w:lang w:val="fr-FR"/>
        </w:rPr>
        <w:t>ième session</w:t>
      </w:r>
      <w:r w:rsidR="003A5A13" w:rsidRPr="003A2679">
        <w:rPr>
          <w:lang w:val="fr-FR"/>
        </w:rPr>
        <w:t xml:space="preserve"> ordinaire</w:t>
      </w:r>
      <w:r w:rsidR="00230288" w:rsidRPr="003A2679">
        <w:rPr>
          <w:lang w:val="fr-FR"/>
        </w:rPr>
        <w:t>,</w:t>
      </w:r>
    </w:p>
    <w:p w:rsidR="00C30D44" w:rsidRPr="003A2679" w:rsidRDefault="00C30D44" w:rsidP="003D060A">
      <w:pPr>
        <w:rPr>
          <w:lang w:val="fr-FR" w:eastAsia="ja-JP"/>
        </w:rPr>
      </w:pPr>
    </w:p>
    <w:p w:rsidR="00C30D44" w:rsidRPr="003A2679" w:rsidRDefault="00F420B2" w:rsidP="00283621">
      <w:pPr>
        <w:ind w:firstLine="567"/>
        <w:rPr>
          <w:lang w:val="fr-FR"/>
        </w:rPr>
      </w:pPr>
      <w:r w:rsidRPr="003A2679">
        <w:rPr>
          <w:lang w:val="fr-FR" w:eastAsia="ja-JP"/>
        </w:rPr>
        <w:t>b</w:t>
      </w:r>
      <w:r w:rsidR="00C30D44" w:rsidRPr="003A2679">
        <w:rPr>
          <w:lang w:val="fr-FR"/>
        </w:rPr>
        <w:t>)</w:t>
      </w:r>
      <w:r w:rsidR="00C30D44" w:rsidRPr="003A2679">
        <w:rPr>
          <w:lang w:val="fr-FR"/>
        </w:rPr>
        <w:tab/>
      </w:r>
      <w:r w:rsidR="00230288" w:rsidRPr="003A2679">
        <w:rPr>
          <w:lang w:val="fr-FR"/>
        </w:rPr>
        <w:t>le</w:t>
      </w:r>
      <w:r w:rsidR="00056270" w:rsidRPr="00056270">
        <w:rPr>
          <w:lang w:val="fr-FR"/>
        </w:rPr>
        <w:t> TC</w:t>
      </w:r>
      <w:r w:rsidR="00230288" w:rsidRPr="003A2679">
        <w:rPr>
          <w:lang w:val="fr-FR"/>
        </w:rPr>
        <w:t>, à sa cinquante</w:t>
      </w:r>
      <w:r w:rsidR="00283621">
        <w:rPr>
          <w:lang w:val="fr-FR"/>
        </w:rPr>
        <w:noBreakHyphen/>
      </w:r>
      <w:r w:rsidR="00230288" w:rsidRPr="003A2679">
        <w:rPr>
          <w:lang w:val="fr-FR"/>
        </w:rPr>
        <w:t>trois</w:t>
      </w:r>
      <w:r w:rsidR="00056270">
        <w:rPr>
          <w:lang w:val="fr-FR"/>
        </w:rPr>
        <w:t>ième session</w:t>
      </w:r>
      <w:r w:rsidR="00230288" w:rsidRPr="003A2679">
        <w:rPr>
          <w:lang w:val="fr-FR"/>
        </w:rPr>
        <w:t>, est convenu que les activités futures de collaboration entre l</w:t>
      </w:r>
      <w:r w:rsidR="00056270">
        <w:rPr>
          <w:lang w:val="fr-FR"/>
        </w:rPr>
        <w:t>’</w:t>
      </w:r>
      <w:r w:rsidR="00230288" w:rsidRPr="003A2679">
        <w:rPr>
          <w:lang w:val="fr-FR"/>
        </w:rPr>
        <w:t>UPOV, l</w:t>
      </w:r>
      <w:r w:rsidR="00056270">
        <w:rPr>
          <w:lang w:val="fr-FR"/>
        </w:rPr>
        <w:t>’</w:t>
      </w:r>
      <w:r w:rsidR="00230288" w:rsidRPr="003A2679">
        <w:rPr>
          <w:lang w:val="fr-FR"/>
        </w:rPr>
        <w:t>OCDE et l</w:t>
      </w:r>
      <w:r w:rsidR="00056270">
        <w:rPr>
          <w:lang w:val="fr-FR"/>
        </w:rPr>
        <w:t>’</w:t>
      </w:r>
      <w:r w:rsidR="00230288" w:rsidRPr="003A2679">
        <w:rPr>
          <w:lang w:val="fr-FR"/>
        </w:rPr>
        <w:t>ISTA pourraient inclure l</w:t>
      </w:r>
      <w:r w:rsidR="00056270">
        <w:rPr>
          <w:lang w:val="fr-FR"/>
        </w:rPr>
        <w:t>’</w:t>
      </w:r>
      <w:r w:rsidR="00230288" w:rsidRPr="003A2679">
        <w:rPr>
          <w:lang w:val="fr-FR"/>
        </w:rPr>
        <w:t>harmonisation des conditions et méthodes appliquées pour les différentes plantes et l</w:t>
      </w:r>
      <w:r w:rsidR="00056270">
        <w:rPr>
          <w:lang w:val="fr-FR"/>
        </w:rPr>
        <w:t>’</w:t>
      </w:r>
      <w:r w:rsidR="00230288" w:rsidRPr="003A2679">
        <w:rPr>
          <w:lang w:val="fr-FR"/>
        </w:rPr>
        <w:t>élaboration possible de normes, après obtention de l</w:t>
      </w:r>
      <w:r w:rsidR="00056270">
        <w:rPr>
          <w:lang w:val="fr-FR"/>
        </w:rPr>
        <w:t>’</w:t>
      </w:r>
      <w:r w:rsidR="00230288" w:rsidRPr="003A2679">
        <w:rPr>
          <w:lang w:val="fr-FR"/>
        </w:rPr>
        <w:t>accord de ces organisations,</w:t>
      </w:r>
    </w:p>
    <w:p w:rsidR="00C30D44" w:rsidRPr="003A2679" w:rsidRDefault="00C30D44" w:rsidP="00283621">
      <w:pPr>
        <w:rPr>
          <w:lang w:val="fr-FR"/>
        </w:rPr>
      </w:pPr>
    </w:p>
    <w:p w:rsidR="00C30D44" w:rsidRPr="003A2679" w:rsidRDefault="000D3C80" w:rsidP="003D060A">
      <w:pPr>
        <w:ind w:firstLine="567"/>
        <w:rPr>
          <w:lang w:val="fr-FR"/>
        </w:rPr>
      </w:pPr>
      <w:r w:rsidRPr="003A2679">
        <w:rPr>
          <w:lang w:val="fr-FR"/>
        </w:rPr>
        <w:t>c</w:t>
      </w:r>
      <w:r w:rsidR="00C30D44" w:rsidRPr="003A2679">
        <w:rPr>
          <w:lang w:val="fr-FR"/>
        </w:rPr>
        <w:t>)</w:t>
      </w:r>
      <w:r w:rsidR="00C30D44" w:rsidRPr="003A2679">
        <w:rPr>
          <w:lang w:val="fr-FR"/>
        </w:rPr>
        <w:tab/>
      </w:r>
      <w:r w:rsidR="00230288" w:rsidRPr="003A2679">
        <w:rPr>
          <w:lang w:val="fr-FR"/>
        </w:rPr>
        <w:t>le</w:t>
      </w:r>
      <w:r w:rsidR="00056270" w:rsidRPr="00056270">
        <w:rPr>
          <w:lang w:val="fr-FR"/>
        </w:rPr>
        <w:t> TC</w:t>
      </w:r>
      <w:r w:rsidR="00230288" w:rsidRPr="003A2679">
        <w:rPr>
          <w:lang w:val="fr-FR"/>
        </w:rPr>
        <w:t xml:space="preserve"> est convenu que l</w:t>
      </w:r>
      <w:r w:rsidR="00056270">
        <w:rPr>
          <w:lang w:val="fr-FR"/>
        </w:rPr>
        <w:t>’</w:t>
      </w:r>
      <w:r w:rsidR="00230288" w:rsidRPr="003A2679">
        <w:rPr>
          <w:lang w:val="fr-FR"/>
        </w:rPr>
        <w:t>UPOV et l</w:t>
      </w:r>
      <w:r w:rsidR="00056270">
        <w:rPr>
          <w:lang w:val="fr-FR"/>
        </w:rPr>
        <w:t>’</w:t>
      </w:r>
      <w:r w:rsidR="00230288" w:rsidRPr="003A2679">
        <w:rPr>
          <w:lang w:val="fr-FR"/>
        </w:rPr>
        <w:t>OCDE devraient envisager de faire avancer les questions en collaboration si l</w:t>
      </w:r>
      <w:r w:rsidR="00056270">
        <w:rPr>
          <w:lang w:val="fr-FR"/>
        </w:rPr>
        <w:t>’</w:t>
      </w:r>
      <w:r w:rsidR="00230288" w:rsidRPr="003A2679">
        <w:rPr>
          <w:lang w:val="fr-FR"/>
        </w:rPr>
        <w:t>ISTA n</w:t>
      </w:r>
      <w:r w:rsidR="00056270">
        <w:rPr>
          <w:lang w:val="fr-FR"/>
        </w:rPr>
        <w:t>’</w:t>
      </w:r>
      <w:r w:rsidR="00230288" w:rsidRPr="003A2679">
        <w:rPr>
          <w:lang w:val="fr-FR"/>
        </w:rPr>
        <w:t>était plus en mesure de participer dans un futur proche,</w:t>
      </w:r>
    </w:p>
    <w:p w:rsidR="00C30D44" w:rsidRPr="003A2679" w:rsidRDefault="00C30D44" w:rsidP="003D060A">
      <w:pPr>
        <w:rPr>
          <w:lang w:val="fr-FR"/>
        </w:rPr>
      </w:pPr>
    </w:p>
    <w:p w:rsidR="00C30D44" w:rsidRPr="003A2679" w:rsidRDefault="000D3C80" w:rsidP="003D060A">
      <w:pPr>
        <w:ind w:firstLine="567"/>
        <w:rPr>
          <w:lang w:val="fr-FR" w:eastAsia="ja-JP"/>
        </w:rPr>
      </w:pPr>
      <w:r w:rsidRPr="003A2679">
        <w:rPr>
          <w:lang w:val="fr-FR"/>
        </w:rPr>
        <w:t>d</w:t>
      </w:r>
      <w:r w:rsidR="00C30D44" w:rsidRPr="003A2679">
        <w:rPr>
          <w:lang w:val="fr-FR"/>
        </w:rPr>
        <w:t>)</w:t>
      </w:r>
      <w:r w:rsidR="00C30D44" w:rsidRPr="003A2679">
        <w:rPr>
          <w:lang w:val="fr-FR"/>
        </w:rPr>
        <w:tab/>
      </w:r>
      <w:r w:rsidR="00230288" w:rsidRPr="003A2679">
        <w:rPr>
          <w:lang w:val="fr-FR"/>
        </w:rPr>
        <w:t>le</w:t>
      </w:r>
      <w:r w:rsidR="00056270" w:rsidRPr="00056270">
        <w:rPr>
          <w:lang w:val="fr-FR"/>
        </w:rPr>
        <w:t> TC</w:t>
      </w:r>
      <w:r w:rsidR="00230288" w:rsidRPr="003A2679">
        <w:rPr>
          <w:lang w:val="fr-FR"/>
        </w:rPr>
        <w:t xml:space="preserve"> est convenu de proposer que les réunions du BMT se tiennent chaque année et d</w:t>
      </w:r>
      <w:r w:rsidR="00056270">
        <w:rPr>
          <w:lang w:val="fr-FR"/>
        </w:rPr>
        <w:t>’</w:t>
      </w:r>
      <w:r w:rsidR="00230288" w:rsidRPr="003A2679">
        <w:rPr>
          <w:lang w:val="fr-FR"/>
        </w:rPr>
        <w:t>envisager l</w:t>
      </w:r>
      <w:r w:rsidR="00056270">
        <w:rPr>
          <w:lang w:val="fr-FR"/>
        </w:rPr>
        <w:t>’</w:t>
      </w:r>
      <w:r w:rsidR="00230288" w:rsidRPr="003A2679">
        <w:rPr>
          <w:lang w:val="fr-FR"/>
        </w:rPr>
        <w:t>organisation consécutive des sessions du TWC et du BMT dans la même localité afin de faciliter les échanges d</w:t>
      </w:r>
      <w:r w:rsidR="00056270">
        <w:rPr>
          <w:lang w:val="fr-FR"/>
        </w:rPr>
        <w:t>’</w:t>
      </w:r>
      <w:r w:rsidR="00230288" w:rsidRPr="003A2679">
        <w:rPr>
          <w:lang w:val="fr-FR"/>
        </w:rPr>
        <w:t>informations et</w:t>
      </w:r>
    </w:p>
    <w:p w:rsidR="000D3C80" w:rsidRPr="003A2679" w:rsidRDefault="000D3C80" w:rsidP="000D3C80">
      <w:pPr>
        <w:rPr>
          <w:lang w:val="fr-FR"/>
        </w:rPr>
      </w:pPr>
    </w:p>
    <w:p w:rsidR="000D3C80" w:rsidRPr="003A2679" w:rsidRDefault="000D3C80" w:rsidP="00283621">
      <w:pPr>
        <w:ind w:firstLine="567"/>
        <w:rPr>
          <w:lang w:val="fr-FR"/>
        </w:rPr>
      </w:pPr>
      <w:r w:rsidRPr="003A2679">
        <w:rPr>
          <w:lang w:val="fr-FR"/>
        </w:rPr>
        <w:t>e)</w:t>
      </w:r>
      <w:r w:rsidRPr="003A2679">
        <w:rPr>
          <w:lang w:val="fr-FR"/>
        </w:rPr>
        <w:tab/>
      </w:r>
      <w:r w:rsidR="00230288" w:rsidRPr="003A2679">
        <w:rPr>
          <w:lang w:val="fr-FR"/>
        </w:rPr>
        <w:t>des ateliers pratiques sur l</w:t>
      </w:r>
      <w:r w:rsidR="007C578D" w:rsidRPr="003A2679">
        <w:rPr>
          <w:lang w:val="fr-FR"/>
        </w:rPr>
        <w:t xml:space="preserve">es </w:t>
      </w:r>
      <w:r w:rsidR="00230288" w:rsidRPr="003A2679">
        <w:rPr>
          <w:lang w:val="fr-FR"/>
        </w:rPr>
        <w:t>“</w:t>
      </w:r>
      <w:r w:rsidR="007C578D" w:rsidRPr="003A2679">
        <w:rPr>
          <w:lang w:val="fr-FR"/>
        </w:rPr>
        <w:t>Techniques d</w:t>
      </w:r>
      <w:r w:rsidR="00056270">
        <w:rPr>
          <w:lang w:val="fr-FR"/>
        </w:rPr>
        <w:t>’</w:t>
      </w:r>
      <w:r w:rsidR="007C578D" w:rsidRPr="003A2679">
        <w:rPr>
          <w:lang w:val="fr-FR"/>
        </w:rPr>
        <w:t>analyse de l</w:t>
      </w:r>
      <w:r w:rsidR="00056270">
        <w:rPr>
          <w:lang w:val="fr-FR"/>
        </w:rPr>
        <w:t>’</w:t>
      </w:r>
      <w:r w:rsidR="007C578D" w:rsidRPr="003A2679">
        <w:rPr>
          <w:lang w:val="fr-FR"/>
        </w:rPr>
        <w:t xml:space="preserve">ADN </w:t>
      </w:r>
      <w:r w:rsidR="00230288" w:rsidRPr="003A2679">
        <w:rPr>
          <w:lang w:val="fr-FR"/>
        </w:rPr>
        <w:t>pour l</w:t>
      </w:r>
      <w:r w:rsidR="00056270">
        <w:rPr>
          <w:lang w:val="fr-FR"/>
        </w:rPr>
        <w:t>’</w:t>
      </w:r>
      <w:r w:rsidR="00230288" w:rsidRPr="003A2679">
        <w:rPr>
          <w:lang w:val="fr-FR"/>
        </w:rPr>
        <w:t>identification de</w:t>
      </w:r>
      <w:r w:rsidR="007C578D" w:rsidRPr="003A2679">
        <w:rPr>
          <w:lang w:val="fr-FR"/>
        </w:rPr>
        <w:t>s</w:t>
      </w:r>
      <w:r w:rsidR="00230288" w:rsidRPr="003A2679">
        <w:rPr>
          <w:lang w:val="fr-FR"/>
        </w:rPr>
        <w:t xml:space="preserve"> variété</w:t>
      </w:r>
      <w:r w:rsidR="007C578D" w:rsidRPr="003A2679">
        <w:rPr>
          <w:lang w:val="fr-FR"/>
        </w:rPr>
        <w:t>s</w:t>
      </w:r>
      <w:r w:rsidR="00230288" w:rsidRPr="003A2679">
        <w:rPr>
          <w:lang w:val="fr-FR"/>
        </w:rPr>
        <w:t xml:space="preserve">” se sont tenus à </w:t>
      </w:r>
      <w:r w:rsidRPr="003A2679">
        <w:rPr>
          <w:lang w:val="fr-FR" w:eastAsia="ja-JP"/>
        </w:rPr>
        <w:t>Roelofarendsveen</w:t>
      </w:r>
      <w:r w:rsidR="00230288" w:rsidRPr="003A2679">
        <w:rPr>
          <w:lang w:val="fr-FR" w:eastAsia="ja-JP"/>
        </w:rPr>
        <w:t xml:space="preserve"> (Pays</w:t>
      </w:r>
      <w:r w:rsidR="00283621">
        <w:rPr>
          <w:lang w:val="fr-FR" w:eastAsia="ja-JP"/>
        </w:rPr>
        <w:noBreakHyphen/>
      </w:r>
      <w:r w:rsidR="00230288" w:rsidRPr="003A2679">
        <w:rPr>
          <w:lang w:val="fr-FR" w:eastAsia="ja-JP"/>
        </w:rPr>
        <w:t>Bas) du</w:t>
      </w:r>
      <w:r w:rsidRPr="003A2679">
        <w:rPr>
          <w:lang w:val="fr-FR" w:eastAsia="ja-JP"/>
        </w:rPr>
        <w:t xml:space="preserve"> </w:t>
      </w:r>
      <w:r w:rsidR="00230288" w:rsidRPr="003A2679">
        <w:rPr>
          <w:lang w:val="fr-FR" w:eastAsia="ja-JP"/>
        </w:rPr>
        <w:t>8 au 1</w:t>
      </w:r>
      <w:r w:rsidR="00056270" w:rsidRPr="003A2679">
        <w:rPr>
          <w:lang w:val="fr-FR" w:eastAsia="ja-JP"/>
        </w:rPr>
        <w:t>0</w:t>
      </w:r>
      <w:r w:rsidR="00056270">
        <w:rPr>
          <w:lang w:val="fr-FR" w:eastAsia="ja-JP"/>
        </w:rPr>
        <w:t> </w:t>
      </w:r>
      <w:r w:rsidR="00056270" w:rsidRPr="003A2679">
        <w:rPr>
          <w:lang w:val="fr-FR" w:eastAsia="ja-JP"/>
        </w:rPr>
        <w:t>mai</w:t>
      </w:r>
      <w:r w:rsidR="00056270">
        <w:rPr>
          <w:lang w:val="fr-FR" w:eastAsia="ja-JP"/>
        </w:rPr>
        <w:t> </w:t>
      </w:r>
      <w:r w:rsidR="00056270" w:rsidRPr="003A2679">
        <w:rPr>
          <w:lang w:val="fr-FR" w:eastAsia="ja-JP"/>
        </w:rPr>
        <w:t>20</w:t>
      </w:r>
      <w:r w:rsidRPr="003A2679">
        <w:rPr>
          <w:lang w:val="fr-FR" w:eastAsia="ja-JP"/>
        </w:rPr>
        <w:t>17</w:t>
      </w:r>
      <w:r w:rsidR="00230288" w:rsidRPr="003A2679">
        <w:rPr>
          <w:lang w:val="fr-FR" w:eastAsia="ja-JP"/>
        </w:rPr>
        <w:t xml:space="preserve"> et du 20 au 2</w:t>
      </w:r>
      <w:r w:rsidR="00056270" w:rsidRPr="003A2679">
        <w:rPr>
          <w:lang w:val="fr-FR" w:eastAsia="ja-JP"/>
        </w:rPr>
        <w:t>2</w:t>
      </w:r>
      <w:r w:rsidR="00056270">
        <w:rPr>
          <w:lang w:val="fr-FR" w:eastAsia="ja-JP"/>
        </w:rPr>
        <w:t> </w:t>
      </w:r>
      <w:r w:rsidR="00056270" w:rsidRPr="003A2679">
        <w:rPr>
          <w:lang w:val="fr-FR" w:eastAsia="ja-JP"/>
        </w:rPr>
        <w:t>septembre</w:t>
      </w:r>
      <w:r w:rsidR="00056270">
        <w:rPr>
          <w:lang w:val="fr-FR" w:eastAsia="ja-JP"/>
        </w:rPr>
        <w:t> </w:t>
      </w:r>
      <w:r w:rsidR="00056270" w:rsidRPr="003A2679">
        <w:rPr>
          <w:rFonts w:cs="Arial"/>
          <w:iCs/>
          <w:lang w:val="fr-FR"/>
        </w:rPr>
        <w:t>20</w:t>
      </w:r>
      <w:r w:rsidRPr="003A2679">
        <w:rPr>
          <w:rFonts w:cs="Arial"/>
          <w:iCs/>
          <w:lang w:val="fr-FR"/>
        </w:rPr>
        <w:t>17</w:t>
      </w:r>
      <w:r w:rsidRPr="003A2679">
        <w:rPr>
          <w:lang w:val="fr-FR"/>
        </w:rPr>
        <w:t>.</w:t>
      </w:r>
    </w:p>
    <w:p w:rsidR="00C30D44" w:rsidRPr="003A2679" w:rsidRDefault="00C30D44" w:rsidP="003D060A">
      <w:pPr>
        <w:rPr>
          <w:lang w:val="fr-FR" w:eastAsia="ja-JP"/>
        </w:rPr>
      </w:pPr>
    </w:p>
    <w:p w:rsidR="00C30D44" w:rsidRPr="003A2679" w:rsidRDefault="00C30D44" w:rsidP="00377F7C">
      <w:pPr>
        <w:keepNext/>
        <w:rPr>
          <w:lang w:val="fr-FR"/>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7C578D" w:rsidRPr="003A2679">
        <w:rPr>
          <w:lang w:val="fr-FR"/>
        </w:rPr>
        <w:t>Les abréviations suivantes sont utilisées dans le présent document</w:t>
      </w:r>
      <w:r w:rsidR="00056270">
        <w:rPr>
          <w:lang w:val="fr-FR"/>
        </w:rPr>
        <w:t> :</w:t>
      </w:r>
    </w:p>
    <w:p w:rsidR="00C30D44" w:rsidRPr="003A2679" w:rsidRDefault="00C30D44" w:rsidP="00377F7C">
      <w:pPr>
        <w:keepNext/>
        <w:ind w:left="1692" w:hanging="1125"/>
        <w:jc w:val="left"/>
        <w:rPr>
          <w:color w:val="000000"/>
          <w:lang w:val="fr-FR"/>
        </w:rPr>
      </w:pPr>
    </w:p>
    <w:p w:rsidR="00056270" w:rsidRDefault="00C30D44" w:rsidP="00377F7C">
      <w:pPr>
        <w:keepNext/>
        <w:tabs>
          <w:tab w:val="left" w:pos="567"/>
        </w:tabs>
        <w:ind w:left="1560" w:hanging="993"/>
        <w:rPr>
          <w:lang w:val="fr-FR"/>
        </w:rPr>
      </w:pPr>
      <w:r w:rsidRPr="003A2679">
        <w:rPr>
          <w:lang w:val="fr-FR"/>
        </w:rPr>
        <w:t>BMT</w:t>
      </w:r>
      <w:r w:rsidR="00056270">
        <w:rPr>
          <w:lang w:val="fr-FR"/>
        </w:rPr>
        <w:t> :</w:t>
      </w:r>
      <w:r w:rsidR="000D757D">
        <w:rPr>
          <w:lang w:val="fr-FR"/>
        </w:rPr>
        <w:t xml:space="preserve"> </w:t>
      </w:r>
      <w:r w:rsidRPr="003A2679">
        <w:rPr>
          <w:lang w:val="fr-FR"/>
        </w:rPr>
        <w:tab/>
      </w:r>
      <w:r w:rsidR="007C578D" w:rsidRPr="003A2679">
        <w:rPr>
          <w:lang w:val="fr-FR"/>
        </w:rPr>
        <w:t>Groupe de travail sur les techniques biochimiques et moléculaires, notamment les profils d</w:t>
      </w:r>
      <w:r w:rsidR="00056270">
        <w:rPr>
          <w:lang w:val="fr-FR"/>
        </w:rPr>
        <w:t>’</w:t>
      </w:r>
      <w:r w:rsidR="007C578D" w:rsidRPr="003A2679">
        <w:rPr>
          <w:lang w:val="fr-FR"/>
        </w:rPr>
        <w:t>ADN</w:t>
      </w:r>
    </w:p>
    <w:p w:rsidR="00C30D44" w:rsidRPr="003A2679" w:rsidRDefault="00C30D44" w:rsidP="00377F7C">
      <w:pPr>
        <w:keepNext/>
        <w:tabs>
          <w:tab w:val="left" w:pos="567"/>
        </w:tabs>
        <w:ind w:left="1560" w:hanging="993"/>
        <w:rPr>
          <w:lang w:val="fr-FR"/>
        </w:rPr>
      </w:pPr>
      <w:r w:rsidRPr="003A2679">
        <w:rPr>
          <w:lang w:val="fr-FR"/>
        </w:rPr>
        <w:t>CAJ</w:t>
      </w:r>
      <w:r w:rsidR="00056270">
        <w:rPr>
          <w:lang w:val="fr-FR"/>
        </w:rPr>
        <w:t> :</w:t>
      </w:r>
      <w:r w:rsidR="000D757D">
        <w:rPr>
          <w:lang w:val="fr-FR"/>
        </w:rPr>
        <w:t xml:space="preserve"> </w:t>
      </w:r>
      <w:r w:rsidRPr="003A2679">
        <w:rPr>
          <w:lang w:val="fr-FR"/>
        </w:rPr>
        <w:tab/>
      </w:r>
      <w:r w:rsidR="007C578D" w:rsidRPr="003A2679">
        <w:rPr>
          <w:lang w:val="fr-FR"/>
        </w:rPr>
        <w:t>Comité administratif et juridique</w:t>
      </w:r>
    </w:p>
    <w:p w:rsidR="00C30D44" w:rsidRPr="003A2679" w:rsidRDefault="00C30D44" w:rsidP="00377F7C">
      <w:pPr>
        <w:keepNext/>
        <w:tabs>
          <w:tab w:val="left" w:pos="567"/>
        </w:tabs>
        <w:ind w:left="1560" w:hanging="993"/>
        <w:rPr>
          <w:lang w:val="fr-FR"/>
        </w:rPr>
      </w:pPr>
      <w:r w:rsidRPr="003A2679">
        <w:rPr>
          <w:lang w:val="fr-FR"/>
        </w:rPr>
        <w:t>TC</w:t>
      </w:r>
      <w:r w:rsidR="00056270">
        <w:rPr>
          <w:lang w:val="fr-FR"/>
        </w:rPr>
        <w:t> :</w:t>
      </w:r>
      <w:r w:rsidR="000D757D">
        <w:rPr>
          <w:lang w:val="fr-FR"/>
        </w:rPr>
        <w:t xml:space="preserve"> </w:t>
      </w:r>
      <w:r w:rsidRPr="003A2679">
        <w:rPr>
          <w:lang w:val="fr-FR"/>
        </w:rPr>
        <w:tab/>
      </w:r>
      <w:r w:rsidR="007C578D" w:rsidRPr="003A2679">
        <w:rPr>
          <w:lang w:val="fr-FR"/>
        </w:rPr>
        <w:t>Comité technique</w:t>
      </w:r>
    </w:p>
    <w:p w:rsidR="00C30D44" w:rsidRPr="003A2679" w:rsidRDefault="00C30D44" w:rsidP="00377F7C">
      <w:pPr>
        <w:keepNext/>
        <w:ind w:left="1560" w:hanging="993"/>
        <w:rPr>
          <w:rFonts w:eastAsia="PMingLiU" w:cs="Arial"/>
          <w:szCs w:val="24"/>
          <w:lang w:val="fr-FR"/>
        </w:rPr>
      </w:pPr>
      <w:r w:rsidRPr="003A2679">
        <w:rPr>
          <w:rFonts w:eastAsia="PMingLiU" w:cs="Arial"/>
          <w:szCs w:val="24"/>
          <w:lang w:val="fr-FR"/>
        </w:rPr>
        <w:t>TWC</w:t>
      </w:r>
      <w:r w:rsidR="00056270">
        <w:rPr>
          <w:rFonts w:eastAsia="PMingLiU" w:cs="Arial"/>
          <w:szCs w:val="24"/>
          <w:lang w:val="fr-FR"/>
        </w:rPr>
        <w:t> :</w:t>
      </w:r>
      <w:r w:rsidR="000D757D">
        <w:rPr>
          <w:rFonts w:eastAsia="PMingLiU" w:cs="Arial"/>
          <w:szCs w:val="24"/>
          <w:lang w:val="fr-FR"/>
        </w:rPr>
        <w:t xml:space="preserve"> </w:t>
      </w:r>
      <w:r w:rsidRPr="003A2679">
        <w:rPr>
          <w:rFonts w:eastAsia="PMingLiU" w:cs="Arial"/>
          <w:szCs w:val="24"/>
          <w:lang w:val="fr-FR"/>
        </w:rPr>
        <w:tab/>
      </w:r>
      <w:r w:rsidR="007C578D" w:rsidRPr="003A2679">
        <w:rPr>
          <w:rFonts w:eastAsia="PMingLiU" w:cs="Arial"/>
          <w:szCs w:val="24"/>
          <w:lang w:val="fr-FR"/>
        </w:rPr>
        <w:t>Groupe de travail technique sur les systèmes d</w:t>
      </w:r>
      <w:r w:rsidR="00056270">
        <w:rPr>
          <w:rFonts w:eastAsia="PMingLiU" w:cs="Arial"/>
          <w:szCs w:val="24"/>
          <w:lang w:val="fr-FR"/>
        </w:rPr>
        <w:t>’</w:t>
      </w:r>
      <w:r w:rsidR="007C578D" w:rsidRPr="003A2679">
        <w:rPr>
          <w:rFonts w:eastAsia="PMingLiU" w:cs="Arial"/>
          <w:szCs w:val="24"/>
          <w:lang w:val="fr-FR"/>
        </w:rPr>
        <w:t>automatisation et les programmes d</w:t>
      </w:r>
      <w:r w:rsidR="00056270">
        <w:rPr>
          <w:rFonts w:eastAsia="PMingLiU" w:cs="Arial"/>
          <w:szCs w:val="24"/>
          <w:lang w:val="fr-FR"/>
        </w:rPr>
        <w:t>’</w:t>
      </w:r>
      <w:r w:rsidR="007C578D" w:rsidRPr="003A2679">
        <w:rPr>
          <w:rFonts w:eastAsia="PMingLiU" w:cs="Arial"/>
          <w:szCs w:val="24"/>
          <w:lang w:val="fr-FR"/>
        </w:rPr>
        <w:t>ordinateur</w:t>
      </w:r>
    </w:p>
    <w:p w:rsidR="00C30D44" w:rsidRPr="003A2679" w:rsidRDefault="007C578D" w:rsidP="00377F7C">
      <w:pPr>
        <w:keepNext/>
        <w:ind w:left="1560" w:hanging="993"/>
        <w:rPr>
          <w:rFonts w:eastAsia="PMingLiU" w:cs="Arial"/>
          <w:snapToGrid w:val="0"/>
          <w:szCs w:val="24"/>
          <w:lang w:val="fr-FR"/>
        </w:rPr>
      </w:pPr>
      <w:r w:rsidRPr="003A2679">
        <w:rPr>
          <w:rFonts w:eastAsia="PMingLiU" w:cs="Arial"/>
          <w:szCs w:val="24"/>
          <w:lang w:val="fr-FR"/>
        </w:rPr>
        <w:t>OCDE</w:t>
      </w:r>
      <w:r w:rsidR="00056270">
        <w:rPr>
          <w:rFonts w:eastAsia="PMingLiU" w:cs="Arial"/>
          <w:szCs w:val="24"/>
          <w:lang w:val="fr-FR"/>
        </w:rPr>
        <w:t> :</w:t>
      </w:r>
      <w:r w:rsidR="000D757D">
        <w:rPr>
          <w:rFonts w:eastAsia="PMingLiU" w:cs="Arial"/>
          <w:szCs w:val="24"/>
          <w:lang w:val="fr-FR"/>
        </w:rPr>
        <w:t xml:space="preserve"> </w:t>
      </w:r>
      <w:r w:rsidR="00C30D44" w:rsidRPr="003A2679">
        <w:rPr>
          <w:rFonts w:eastAsia="PMingLiU" w:cs="Arial"/>
          <w:szCs w:val="24"/>
          <w:lang w:val="fr-FR"/>
        </w:rPr>
        <w:tab/>
      </w:r>
      <w:r w:rsidRPr="003A2679">
        <w:rPr>
          <w:lang w:val="fr-FR"/>
        </w:rPr>
        <w:t>Organisation de coopération et de développement économiques</w:t>
      </w:r>
    </w:p>
    <w:p w:rsidR="00C30D44" w:rsidRPr="003A2679" w:rsidRDefault="00C30D44" w:rsidP="00377F7C">
      <w:pPr>
        <w:keepNext/>
        <w:ind w:left="1560" w:hanging="993"/>
        <w:rPr>
          <w:rFonts w:cs="Arial"/>
          <w:szCs w:val="24"/>
          <w:lang w:val="fr-FR" w:eastAsia="ja-JP"/>
        </w:rPr>
      </w:pPr>
      <w:r w:rsidRPr="003A2679">
        <w:rPr>
          <w:rFonts w:cs="Arial"/>
          <w:snapToGrid w:val="0"/>
          <w:szCs w:val="24"/>
          <w:lang w:val="fr-FR" w:eastAsia="ja-JP"/>
        </w:rPr>
        <w:t>AOSA</w:t>
      </w:r>
      <w:r w:rsidR="00056270">
        <w:rPr>
          <w:rFonts w:cs="Arial"/>
          <w:snapToGrid w:val="0"/>
          <w:szCs w:val="24"/>
          <w:lang w:val="fr-FR" w:eastAsia="ja-JP"/>
        </w:rPr>
        <w:t> :</w:t>
      </w:r>
      <w:r w:rsidR="000D757D">
        <w:rPr>
          <w:rFonts w:cs="Arial"/>
          <w:snapToGrid w:val="0"/>
          <w:szCs w:val="24"/>
          <w:lang w:val="fr-FR" w:eastAsia="ja-JP"/>
        </w:rPr>
        <w:t xml:space="preserve"> </w:t>
      </w:r>
      <w:r w:rsidRPr="003A2679">
        <w:rPr>
          <w:rFonts w:cs="Arial"/>
          <w:snapToGrid w:val="0"/>
          <w:szCs w:val="24"/>
          <w:lang w:val="fr-FR" w:eastAsia="ja-JP"/>
        </w:rPr>
        <w:tab/>
      </w:r>
      <w:r w:rsidRPr="003A2679">
        <w:rPr>
          <w:lang w:val="fr-FR" w:eastAsia="ja-JP"/>
        </w:rPr>
        <w:t>Association of Official Seed Analysts</w:t>
      </w:r>
    </w:p>
    <w:p w:rsidR="00C30D44" w:rsidRPr="003A2679" w:rsidRDefault="00C30D44" w:rsidP="00377F7C">
      <w:pPr>
        <w:keepNext/>
        <w:ind w:left="1560" w:hanging="993"/>
        <w:rPr>
          <w:rFonts w:cs="Arial"/>
          <w:snapToGrid w:val="0"/>
          <w:szCs w:val="24"/>
          <w:lang w:val="fr-FR" w:eastAsia="ja-JP"/>
        </w:rPr>
      </w:pPr>
      <w:r w:rsidRPr="003A2679">
        <w:rPr>
          <w:rFonts w:eastAsia="PMingLiU" w:cs="Arial"/>
          <w:snapToGrid w:val="0"/>
          <w:szCs w:val="24"/>
          <w:lang w:val="fr-FR" w:eastAsia="fr-FR"/>
        </w:rPr>
        <w:t>ISTA</w:t>
      </w:r>
      <w:r w:rsidR="00056270">
        <w:rPr>
          <w:rFonts w:eastAsia="PMingLiU" w:cs="Arial"/>
          <w:snapToGrid w:val="0"/>
          <w:szCs w:val="24"/>
          <w:lang w:val="fr-FR" w:eastAsia="fr-FR"/>
        </w:rPr>
        <w:t> :</w:t>
      </w:r>
      <w:r w:rsidRPr="003A2679">
        <w:rPr>
          <w:rFonts w:eastAsia="PMingLiU" w:cs="Arial"/>
          <w:snapToGrid w:val="0"/>
          <w:szCs w:val="24"/>
          <w:lang w:val="fr-FR" w:eastAsia="fr-FR"/>
        </w:rPr>
        <w:t xml:space="preserve"> </w:t>
      </w:r>
      <w:r w:rsidRPr="003A2679">
        <w:rPr>
          <w:rFonts w:eastAsia="PMingLiU" w:cs="Arial"/>
          <w:snapToGrid w:val="0"/>
          <w:szCs w:val="24"/>
          <w:lang w:val="fr-FR" w:eastAsia="fr-FR"/>
        </w:rPr>
        <w:tab/>
      </w:r>
      <w:r w:rsidR="007C578D" w:rsidRPr="003A2679">
        <w:rPr>
          <w:lang w:val="fr-FR"/>
        </w:rPr>
        <w:t>Association internationale d</w:t>
      </w:r>
      <w:r w:rsidR="00056270">
        <w:rPr>
          <w:lang w:val="fr-FR"/>
        </w:rPr>
        <w:t>’</w:t>
      </w:r>
      <w:r w:rsidR="007C578D" w:rsidRPr="003A2679">
        <w:rPr>
          <w:lang w:val="fr-FR"/>
        </w:rPr>
        <w:t>essais de semences</w:t>
      </w:r>
    </w:p>
    <w:p w:rsidR="00C30D44" w:rsidRPr="003A2679" w:rsidRDefault="00C30D44" w:rsidP="003D060A">
      <w:pPr>
        <w:rPr>
          <w:lang w:val="fr-FR"/>
        </w:rPr>
      </w:pPr>
    </w:p>
    <w:p w:rsidR="00283621" w:rsidRDefault="00283621">
      <w:pPr>
        <w:rPr>
          <w:lang w:val="fr-FR"/>
        </w:rPr>
      </w:pPr>
      <w:r>
        <w:rPr>
          <w:lang w:val="fr-FR"/>
        </w:rPr>
        <w:br w:type="page"/>
      </w:r>
    </w:p>
    <w:p w:rsidR="00C30D44" w:rsidRPr="003A2679" w:rsidRDefault="00C30D44" w:rsidP="001A61F9">
      <w:pPr>
        <w:keepNext/>
        <w:rPr>
          <w:lang w:val="fr-FR"/>
        </w:rPr>
      </w:pPr>
      <w:r w:rsidRPr="003A2679">
        <w:rPr>
          <w:lang w:val="fr-FR"/>
        </w:rPr>
        <w:lastRenderedPageBreak/>
        <w:fldChar w:fldCharType="begin"/>
      </w:r>
      <w:r w:rsidRPr="003A2679">
        <w:rPr>
          <w:lang w:val="fr-FR"/>
        </w:rPr>
        <w:instrText xml:space="preserve"> AUTONUM  </w:instrText>
      </w:r>
      <w:r w:rsidRPr="003A2679">
        <w:rPr>
          <w:lang w:val="fr-FR"/>
        </w:rPr>
        <w:fldChar w:fldCharType="end"/>
      </w:r>
      <w:r w:rsidRPr="003A2679">
        <w:rPr>
          <w:lang w:val="fr-FR"/>
        </w:rPr>
        <w:tab/>
      </w:r>
      <w:r w:rsidR="007C578D" w:rsidRPr="003A2679">
        <w:rPr>
          <w:lang w:val="fr-FR"/>
        </w:rPr>
        <w:t>Le présent document est structuré comme suit</w:t>
      </w:r>
      <w:r w:rsidR="00056270">
        <w:rPr>
          <w:lang w:val="fr-FR"/>
        </w:rPr>
        <w:t> :</w:t>
      </w:r>
    </w:p>
    <w:p w:rsidR="00C30D44" w:rsidRPr="003A2679" w:rsidRDefault="00C30D44" w:rsidP="001A61F9">
      <w:pPr>
        <w:keepNext/>
        <w:rPr>
          <w:sz w:val="16"/>
          <w:lang w:val="fr-FR"/>
        </w:rPr>
      </w:pPr>
    </w:p>
    <w:sdt>
      <w:sdtPr>
        <w:rPr>
          <w:smallCaps/>
          <w:lang w:val="fr-FR"/>
        </w:rPr>
        <w:id w:val="-1800911247"/>
        <w:docPartObj>
          <w:docPartGallery w:val="Table of Contents"/>
          <w:docPartUnique/>
        </w:docPartObj>
      </w:sdtPr>
      <w:sdtEndPr>
        <w:rPr>
          <w:smallCaps w:val="0"/>
          <w:sz w:val="12"/>
        </w:rPr>
      </w:sdtEndPr>
      <w:sdtContent>
        <w:p w:rsidR="00C30D44" w:rsidRPr="003A2679" w:rsidRDefault="00C30D44" w:rsidP="001A61F9">
          <w:pPr>
            <w:keepNext/>
            <w:rPr>
              <w:rFonts w:cs="Arial"/>
              <w:b/>
              <w:sz w:val="2"/>
              <w:lang w:val="fr-FR"/>
            </w:rPr>
          </w:pPr>
        </w:p>
        <w:p w:rsidR="007338A5" w:rsidRPr="003A2679" w:rsidRDefault="00C30D44">
          <w:pPr>
            <w:pStyle w:val="TOC1"/>
            <w:rPr>
              <w:rFonts w:asciiTheme="minorHAnsi" w:eastAsiaTheme="minorEastAsia" w:hAnsiTheme="minorHAnsi" w:cstheme="minorBidi"/>
              <w:bCs w:val="0"/>
              <w:caps w:val="0"/>
              <w:sz w:val="22"/>
              <w:szCs w:val="22"/>
              <w:lang w:val="fr-FR" w:eastAsia="fr-FR"/>
            </w:rPr>
          </w:pPr>
          <w:r w:rsidRPr="003A2679">
            <w:rPr>
              <w:bCs w:val="0"/>
              <w:noProof w:val="0"/>
              <w:sz w:val="20"/>
              <w:lang w:val="fr-FR"/>
            </w:rPr>
            <w:fldChar w:fldCharType="begin"/>
          </w:r>
          <w:r w:rsidRPr="003A2679">
            <w:rPr>
              <w:noProof w:val="0"/>
              <w:lang w:val="fr-FR"/>
            </w:rPr>
            <w:instrText xml:space="preserve"> TOC \o "1-3" \h \z \u </w:instrText>
          </w:r>
          <w:r w:rsidRPr="003A2679">
            <w:rPr>
              <w:bCs w:val="0"/>
              <w:noProof w:val="0"/>
              <w:sz w:val="20"/>
              <w:lang w:val="fr-FR"/>
            </w:rPr>
            <w:fldChar w:fldCharType="separate"/>
          </w:r>
          <w:hyperlink w:anchor="_Toc495915965" w:history="1">
            <w:r w:rsidR="007338A5" w:rsidRPr="003A2679">
              <w:rPr>
                <w:rStyle w:val="Hyperlink"/>
                <w:lang w:val="fr-FR" w:eastAsia="ja-JP"/>
              </w:rPr>
              <w:t>RéSUMé</w:t>
            </w:r>
            <w:r w:rsidR="007338A5" w:rsidRPr="003A2679">
              <w:rPr>
                <w:webHidden/>
                <w:lang w:val="fr-FR"/>
              </w:rPr>
              <w:tab/>
            </w:r>
            <w:r w:rsidR="007338A5" w:rsidRPr="003A2679">
              <w:rPr>
                <w:webHidden/>
                <w:lang w:val="fr-FR"/>
              </w:rPr>
              <w:fldChar w:fldCharType="begin"/>
            </w:r>
            <w:r w:rsidR="007338A5" w:rsidRPr="003A2679">
              <w:rPr>
                <w:webHidden/>
                <w:lang w:val="fr-FR"/>
              </w:rPr>
              <w:instrText xml:space="preserve"> PAGEREF _Toc495915965 \h </w:instrText>
            </w:r>
            <w:r w:rsidR="007338A5" w:rsidRPr="003A2679">
              <w:rPr>
                <w:webHidden/>
                <w:lang w:val="fr-FR"/>
              </w:rPr>
            </w:r>
            <w:r w:rsidR="007338A5" w:rsidRPr="003A2679">
              <w:rPr>
                <w:webHidden/>
                <w:lang w:val="fr-FR"/>
              </w:rPr>
              <w:fldChar w:fldCharType="separate"/>
            </w:r>
            <w:r w:rsidR="004B13E4">
              <w:rPr>
                <w:webHidden/>
                <w:lang w:val="fr-FR"/>
              </w:rPr>
              <w:t>1</w:t>
            </w:r>
            <w:r w:rsidR="007338A5" w:rsidRPr="003A2679">
              <w:rPr>
                <w:webHidden/>
                <w:lang w:val="fr-FR"/>
              </w:rPr>
              <w:fldChar w:fldCharType="end"/>
            </w:r>
          </w:hyperlink>
        </w:p>
        <w:p w:rsidR="007338A5" w:rsidRPr="003A2679" w:rsidRDefault="004B13E4">
          <w:pPr>
            <w:pStyle w:val="TOC1"/>
            <w:rPr>
              <w:rFonts w:asciiTheme="minorHAnsi" w:eastAsiaTheme="minorEastAsia" w:hAnsiTheme="minorHAnsi" w:cstheme="minorBidi"/>
              <w:bCs w:val="0"/>
              <w:caps w:val="0"/>
              <w:sz w:val="22"/>
              <w:szCs w:val="22"/>
              <w:lang w:val="fr-FR" w:eastAsia="fr-FR"/>
            </w:rPr>
          </w:pPr>
          <w:hyperlink w:anchor="_Toc495915966" w:history="1">
            <w:r w:rsidR="007338A5" w:rsidRPr="003A2679">
              <w:rPr>
                <w:rStyle w:val="Hyperlink"/>
                <w:lang w:val="fr-FR" w:eastAsia="ja-JP"/>
              </w:rPr>
              <w:t>diffusion d</w:t>
            </w:r>
            <w:r w:rsidR="00056270">
              <w:rPr>
                <w:rStyle w:val="Hyperlink"/>
                <w:lang w:val="fr-FR" w:eastAsia="ja-JP"/>
              </w:rPr>
              <w:t>’</w:t>
            </w:r>
            <w:r w:rsidR="007338A5" w:rsidRPr="003A2679">
              <w:rPr>
                <w:rStyle w:val="Hyperlink"/>
                <w:lang w:val="fr-FR" w:eastAsia="ja-JP"/>
              </w:rPr>
              <w:t>informations sur la situation à l</w:t>
            </w:r>
            <w:r w:rsidR="00056270">
              <w:rPr>
                <w:rStyle w:val="Hyperlink"/>
                <w:lang w:val="fr-FR" w:eastAsia="ja-JP"/>
              </w:rPr>
              <w:t>’</w:t>
            </w:r>
            <w:r w:rsidR="007338A5" w:rsidRPr="003A2679">
              <w:rPr>
                <w:rStyle w:val="Hyperlink"/>
                <w:lang w:val="fr-FR" w:eastAsia="ja-JP"/>
              </w:rPr>
              <w:t>UPOV au regard de l</w:t>
            </w:r>
            <w:r w:rsidR="00056270">
              <w:rPr>
                <w:rStyle w:val="Hyperlink"/>
                <w:lang w:val="fr-FR" w:eastAsia="ja-JP"/>
              </w:rPr>
              <w:t>’</w:t>
            </w:r>
            <w:r w:rsidR="007338A5" w:rsidRPr="003A2679">
              <w:rPr>
                <w:rStyle w:val="Hyperlink"/>
                <w:lang w:val="fr-FR" w:eastAsia="ja-JP"/>
              </w:rPr>
              <w:t>utilisation de techniques moléculaires</w:t>
            </w:r>
            <w:r w:rsidR="007338A5" w:rsidRPr="003A2679">
              <w:rPr>
                <w:webHidden/>
                <w:lang w:val="fr-FR"/>
              </w:rPr>
              <w:tab/>
            </w:r>
            <w:r w:rsidR="007338A5" w:rsidRPr="003A2679">
              <w:rPr>
                <w:webHidden/>
                <w:lang w:val="fr-FR"/>
              </w:rPr>
              <w:fldChar w:fldCharType="begin"/>
            </w:r>
            <w:r w:rsidR="007338A5" w:rsidRPr="003A2679">
              <w:rPr>
                <w:webHidden/>
                <w:lang w:val="fr-FR"/>
              </w:rPr>
              <w:instrText xml:space="preserve"> PAGEREF _Toc495915966 \h </w:instrText>
            </w:r>
            <w:r w:rsidR="007338A5" w:rsidRPr="003A2679">
              <w:rPr>
                <w:webHidden/>
                <w:lang w:val="fr-FR"/>
              </w:rPr>
            </w:r>
            <w:r w:rsidR="007338A5" w:rsidRPr="003A2679">
              <w:rPr>
                <w:webHidden/>
                <w:lang w:val="fr-FR"/>
              </w:rPr>
              <w:fldChar w:fldCharType="separate"/>
            </w:r>
            <w:r>
              <w:rPr>
                <w:webHidden/>
                <w:lang w:val="fr-FR"/>
              </w:rPr>
              <w:t>2</w:t>
            </w:r>
            <w:r w:rsidR="007338A5" w:rsidRPr="003A2679">
              <w:rPr>
                <w:webHidden/>
                <w:lang w:val="fr-FR"/>
              </w:rPr>
              <w:fldChar w:fldCharType="end"/>
            </w:r>
          </w:hyperlink>
        </w:p>
        <w:p w:rsidR="007338A5" w:rsidRPr="003A2679" w:rsidRDefault="004B13E4">
          <w:pPr>
            <w:pStyle w:val="TOC1"/>
            <w:rPr>
              <w:rFonts w:asciiTheme="minorHAnsi" w:eastAsiaTheme="minorEastAsia" w:hAnsiTheme="minorHAnsi" w:cstheme="minorBidi"/>
              <w:bCs w:val="0"/>
              <w:caps w:val="0"/>
              <w:sz w:val="22"/>
              <w:szCs w:val="22"/>
              <w:lang w:val="fr-FR" w:eastAsia="fr-FR"/>
            </w:rPr>
          </w:pPr>
          <w:hyperlink w:anchor="_Toc495915967" w:history="1">
            <w:r w:rsidR="007338A5" w:rsidRPr="003A2679">
              <w:rPr>
                <w:rStyle w:val="Hyperlink"/>
                <w:lang w:val="fr-FR" w:eastAsia="ja-JP"/>
              </w:rPr>
              <w:t>fAITS NOUVEAUX SURVENUS à LA CINQUANTE</w:t>
            </w:r>
            <w:r w:rsidR="00283621">
              <w:rPr>
                <w:rStyle w:val="Hyperlink"/>
                <w:lang w:val="fr-FR" w:eastAsia="ja-JP"/>
              </w:rPr>
              <w:noBreakHyphen/>
            </w:r>
            <w:r w:rsidR="007338A5" w:rsidRPr="003A2679">
              <w:rPr>
                <w:rStyle w:val="Hyperlink"/>
                <w:lang w:val="fr-FR" w:eastAsia="ja-JP"/>
              </w:rPr>
              <w:t>TROISIèME SESSION DU</w:t>
            </w:r>
            <w:r w:rsidR="00056270" w:rsidRPr="00056270">
              <w:rPr>
                <w:rStyle w:val="Hyperlink"/>
                <w:lang w:val="fr-FR" w:eastAsia="ja-JP"/>
              </w:rPr>
              <w:t> TC</w:t>
            </w:r>
            <w:r w:rsidR="007338A5" w:rsidRPr="003A2679">
              <w:rPr>
                <w:webHidden/>
                <w:lang w:val="fr-FR"/>
              </w:rPr>
              <w:tab/>
            </w:r>
            <w:r w:rsidR="007338A5" w:rsidRPr="003A2679">
              <w:rPr>
                <w:webHidden/>
                <w:lang w:val="fr-FR"/>
              </w:rPr>
              <w:fldChar w:fldCharType="begin"/>
            </w:r>
            <w:r w:rsidR="007338A5" w:rsidRPr="003A2679">
              <w:rPr>
                <w:webHidden/>
                <w:lang w:val="fr-FR"/>
              </w:rPr>
              <w:instrText xml:space="preserve"> PAGEREF _Toc495915967 \h </w:instrText>
            </w:r>
            <w:r w:rsidR="007338A5" w:rsidRPr="003A2679">
              <w:rPr>
                <w:webHidden/>
                <w:lang w:val="fr-FR"/>
              </w:rPr>
            </w:r>
            <w:r w:rsidR="007338A5" w:rsidRPr="003A2679">
              <w:rPr>
                <w:webHidden/>
                <w:lang w:val="fr-FR"/>
              </w:rPr>
              <w:fldChar w:fldCharType="separate"/>
            </w:r>
            <w:r>
              <w:rPr>
                <w:webHidden/>
                <w:lang w:val="fr-FR"/>
              </w:rPr>
              <w:t>2</w:t>
            </w:r>
            <w:r w:rsidR="007338A5" w:rsidRPr="003A2679">
              <w:rPr>
                <w:webHidden/>
                <w:lang w:val="fr-FR"/>
              </w:rPr>
              <w:fldChar w:fldCharType="end"/>
            </w:r>
          </w:hyperlink>
        </w:p>
        <w:p w:rsidR="00C30D44" w:rsidRPr="003A2679" w:rsidRDefault="00C30D44" w:rsidP="001A61F9">
          <w:pPr>
            <w:keepNext/>
            <w:rPr>
              <w:lang w:val="fr-FR" w:eastAsia="ja-JP"/>
            </w:rPr>
          </w:pPr>
          <w:r w:rsidRPr="003A2679">
            <w:rPr>
              <w:lang w:val="fr-FR"/>
            </w:rPr>
            <w:fldChar w:fldCharType="end"/>
          </w:r>
        </w:p>
      </w:sdtContent>
    </w:sdt>
    <w:bookmarkStart w:id="3" w:name="_Toc410899581" w:displacedByCustomXml="prev"/>
    <w:bookmarkStart w:id="4" w:name="_Toc410823313" w:displacedByCustomXml="prev"/>
    <w:bookmarkStart w:id="5" w:name="_Toc410822806" w:displacedByCustomXml="prev"/>
    <w:bookmarkStart w:id="6" w:name="_Toc410822402" w:displacedByCustomXml="prev"/>
    <w:bookmarkEnd w:id="6"/>
    <w:bookmarkEnd w:id="5"/>
    <w:bookmarkEnd w:id="4"/>
    <w:bookmarkEnd w:id="3"/>
    <w:p w:rsidR="00C30D44" w:rsidRDefault="00C30D44" w:rsidP="003D060A">
      <w:pPr>
        <w:rPr>
          <w:lang w:val="fr-FR" w:eastAsia="ja-JP"/>
        </w:rPr>
      </w:pPr>
    </w:p>
    <w:p w:rsidR="00B66893" w:rsidRPr="003A2679" w:rsidRDefault="00B66893" w:rsidP="003D060A">
      <w:pPr>
        <w:rPr>
          <w:lang w:val="fr-FR" w:eastAsia="ja-JP"/>
        </w:rPr>
      </w:pPr>
    </w:p>
    <w:p w:rsidR="00C30D44" w:rsidRPr="003A2679" w:rsidRDefault="00283621" w:rsidP="00CD5174">
      <w:pPr>
        <w:pStyle w:val="Heading1"/>
        <w:keepLines/>
        <w:rPr>
          <w:lang w:val="fr-FR" w:eastAsia="ja-JP"/>
        </w:rPr>
      </w:pPr>
      <w:bookmarkStart w:id="7" w:name="_Toc495915966"/>
      <w:r>
        <w:rPr>
          <w:lang w:val="fr-FR" w:eastAsia="ja-JP"/>
        </w:rPr>
        <w:t>D</w:t>
      </w:r>
      <w:r w:rsidR="007C578D" w:rsidRPr="003A2679">
        <w:rPr>
          <w:lang w:val="fr-FR" w:eastAsia="ja-JP"/>
        </w:rPr>
        <w:t>iffusion d</w:t>
      </w:r>
      <w:r w:rsidR="00056270">
        <w:rPr>
          <w:lang w:val="fr-FR" w:eastAsia="ja-JP"/>
        </w:rPr>
        <w:t>’</w:t>
      </w:r>
      <w:r w:rsidR="007C578D" w:rsidRPr="003A2679">
        <w:rPr>
          <w:lang w:val="fr-FR" w:eastAsia="ja-JP"/>
        </w:rPr>
        <w:t>informations sur la situation à l</w:t>
      </w:r>
      <w:r w:rsidR="00056270">
        <w:rPr>
          <w:lang w:val="fr-FR" w:eastAsia="ja-JP"/>
        </w:rPr>
        <w:t>’</w:t>
      </w:r>
      <w:r w:rsidR="007C578D" w:rsidRPr="003A2679">
        <w:rPr>
          <w:lang w:val="fr-FR" w:eastAsia="ja-JP"/>
        </w:rPr>
        <w:t xml:space="preserve">UPOV </w:t>
      </w:r>
      <w:r w:rsidR="007338A5" w:rsidRPr="003A2679">
        <w:rPr>
          <w:lang w:val="fr-FR" w:eastAsia="ja-JP"/>
        </w:rPr>
        <w:t>au regard de</w:t>
      </w:r>
      <w:r w:rsidR="007C578D" w:rsidRPr="003A2679">
        <w:rPr>
          <w:lang w:val="fr-FR" w:eastAsia="ja-JP"/>
        </w:rPr>
        <w:t xml:space="preserve"> l</w:t>
      </w:r>
      <w:r w:rsidR="00056270">
        <w:rPr>
          <w:lang w:val="fr-FR" w:eastAsia="ja-JP"/>
        </w:rPr>
        <w:t>’</w:t>
      </w:r>
      <w:r w:rsidR="007C578D" w:rsidRPr="003A2679">
        <w:rPr>
          <w:lang w:val="fr-FR" w:eastAsia="ja-JP"/>
        </w:rPr>
        <w:t>utilisation de techniques moléculaires</w:t>
      </w:r>
      <w:bookmarkEnd w:id="7"/>
    </w:p>
    <w:p w:rsidR="00C30D44" w:rsidRPr="003A2679" w:rsidRDefault="00C30D44" w:rsidP="00CD5174">
      <w:pPr>
        <w:keepNext/>
        <w:keepLines/>
        <w:rPr>
          <w:lang w:val="fr-FR" w:eastAsia="ja-JP"/>
        </w:rPr>
      </w:pPr>
    </w:p>
    <w:p w:rsidR="00C30D44" w:rsidRPr="003A2679" w:rsidRDefault="00C30D44" w:rsidP="00CD5174">
      <w:pPr>
        <w:keepNext/>
        <w:keepLines/>
        <w:rPr>
          <w:lang w:val="fr-FR"/>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7C578D" w:rsidRPr="003A2679">
        <w:rPr>
          <w:lang w:val="fr-FR"/>
        </w:rPr>
        <w:t xml:space="preserve">Les informations générales sur cette question sont fournies dans le document </w:t>
      </w:r>
      <w:r w:rsidR="00595437" w:rsidRPr="003A2679">
        <w:rPr>
          <w:lang w:val="fr-FR"/>
        </w:rPr>
        <w:t>CAJ/73/9 “</w:t>
      </w:r>
      <w:r w:rsidR="007C578D" w:rsidRPr="003A2679">
        <w:rPr>
          <w:lang w:val="fr-FR"/>
        </w:rPr>
        <w:t>Techniques moléculaires</w:t>
      </w:r>
      <w:r w:rsidR="00595437" w:rsidRPr="003A2679">
        <w:rPr>
          <w:lang w:val="fr-FR"/>
        </w:rPr>
        <w:t>”</w:t>
      </w:r>
      <w:r w:rsidRPr="003A2679">
        <w:rPr>
          <w:rStyle w:val="FootnoteReference"/>
          <w:vertAlign w:val="baseline"/>
          <w:lang w:val="fr-FR"/>
        </w:rPr>
        <w:t>.</w:t>
      </w:r>
    </w:p>
    <w:p w:rsidR="00C30D44" w:rsidRPr="003A2679" w:rsidRDefault="00C30D44" w:rsidP="003D060A">
      <w:pPr>
        <w:rPr>
          <w:snapToGrid w:val="0"/>
          <w:lang w:val="fr-FR" w:eastAsia="ja-JP"/>
        </w:rPr>
      </w:pPr>
    </w:p>
    <w:p w:rsidR="00C30D44" w:rsidRPr="003A2679" w:rsidRDefault="00C30D44" w:rsidP="00FB1D90">
      <w:pPr>
        <w:rPr>
          <w:lang w:val="fr-FR" w:eastAsia="ja-JP"/>
        </w:rPr>
      </w:pPr>
      <w:r w:rsidRPr="003A2679">
        <w:rPr>
          <w:snapToGrid w:val="0"/>
          <w:lang w:val="fr-FR"/>
        </w:rPr>
        <w:fldChar w:fldCharType="begin"/>
      </w:r>
      <w:r w:rsidRPr="003A2679">
        <w:rPr>
          <w:snapToGrid w:val="0"/>
          <w:lang w:val="fr-FR"/>
        </w:rPr>
        <w:instrText xml:space="preserve"> AUTONUM  </w:instrText>
      </w:r>
      <w:r w:rsidRPr="003A2679">
        <w:rPr>
          <w:snapToGrid w:val="0"/>
          <w:lang w:val="fr-FR"/>
        </w:rPr>
        <w:fldChar w:fldCharType="end"/>
      </w:r>
      <w:r w:rsidRPr="003A2679">
        <w:rPr>
          <w:lang w:val="fr-FR"/>
        </w:rPr>
        <w:tab/>
      </w:r>
      <w:r w:rsidR="007C578D" w:rsidRPr="003A2679">
        <w:rPr>
          <w:lang w:val="fr-FR"/>
        </w:rPr>
        <w:t>À sa soixante</w:t>
      </w:r>
      <w:r w:rsidR="00283621">
        <w:rPr>
          <w:lang w:val="fr-FR"/>
        </w:rPr>
        <w:noBreakHyphen/>
      </w:r>
      <w:r w:rsidR="007C578D" w:rsidRPr="003A2679">
        <w:rPr>
          <w:lang w:val="fr-FR"/>
        </w:rPr>
        <w:t>treiz</w:t>
      </w:r>
      <w:r w:rsidR="00056270">
        <w:rPr>
          <w:lang w:val="fr-FR"/>
        </w:rPr>
        <w:t>ième session</w:t>
      </w:r>
      <w:r w:rsidR="007C578D" w:rsidRPr="003A2679">
        <w:rPr>
          <w:rStyle w:val="FootnoteReference"/>
          <w:rFonts w:cs="Arial"/>
          <w:lang w:val="fr-FR"/>
        </w:rPr>
        <w:footnoteReference w:id="2"/>
      </w:r>
      <w:r w:rsidR="007C578D" w:rsidRPr="003A2679">
        <w:rPr>
          <w:lang w:val="fr-FR"/>
        </w:rPr>
        <w:t>, le CAJ a approuvé le projet de questions et réponses concernant la diffusion d</w:t>
      </w:r>
      <w:r w:rsidR="00056270">
        <w:rPr>
          <w:lang w:val="fr-FR"/>
        </w:rPr>
        <w:t>’</w:t>
      </w:r>
      <w:r w:rsidR="007C578D" w:rsidRPr="003A2679">
        <w:rPr>
          <w:lang w:val="fr-FR"/>
        </w:rPr>
        <w:t xml:space="preserve">informations à un large public, </w:t>
      </w:r>
      <w:r w:rsidR="00056270">
        <w:rPr>
          <w:lang w:val="fr-FR"/>
        </w:rPr>
        <w:t>y compris</w:t>
      </w:r>
      <w:r w:rsidR="007C578D" w:rsidRPr="003A2679">
        <w:rPr>
          <w:lang w:val="fr-FR"/>
        </w:rPr>
        <w:t xml:space="preserve"> le public en général, sur la situation à l</w:t>
      </w:r>
      <w:r w:rsidR="00056270">
        <w:rPr>
          <w:lang w:val="fr-FR"/>
        </w:rPr>
        <w:t>’</w:t>
      </w:r>
      <w:r w:rsidR="007C578D" w:rsidRPr="003A2679">
        <w:rPr>
          <w:lang w:val="fr-FR"/>
        </w:rPr>
        <w:t xml:space="preserve">UPOV </w:t>
      </w:r>
      <w:r w:rsidR="003C52A6" w:rsidRPr="003A2679">
        <w:rPr>
          <w:lang w:val="fr-FR"/>
        </w:rPr>
        <w:t>au regard de</w:t>
      </w:r>
      <w:r w:rsidR="007C578D" w:rsidRPr="003A2679">
        <w:rPr>
          <w:lang w:val="fr-FR"/>
        </w:rPr>
        <w:t xml:space="preserve"> l</w:t>
      </w:r>
      <w:r w:rsidR="00056270">
        <w:rPr>
          <w:lang w:val="fr-FR"/>
        </w:rPr>
        <w:t>’</w:t>
      </w:r>
      <w:r w:rsidR="007C578D" w:rsidRPr="003A2679">
        <w:rPr>
          <w:lang w:val="fr-FR"/>
        </w:rPr>
        <w:t>utilisation de techniques moléculaires, tel qu</w:t>
      </w:r>
      <w:r w:rsidR="00056270">
        <w:rPr>
          <w:lang w:val="fr-FR"/>
        </w:rPr>
        <w:t>’</w:t>
      </w:r>
      <w:r w:rsidR="007C578D" w:rsidRPr="003A2679">
        <w:rPr>
          <w:lang w:val="fr-FR"/>
        </w:rPr>
        <w:t>approuvé par le</w:t>
      </w:r>
      <w:r w:rsidR="00056270" w:rsidRPr="00056270">
        <w:rPr>
          <w:lang w:val="fr-FR"/>
        </w:rPr>
        <w:t> TC</w:t>
      </w:r>
      <w:r w:rsidR="007C578D" w:rsidRPr="003A2679">
        <w:rPr>
          <w:lang w:val="fr-FR"/>
        </w:rPr>
        <w:t xml:space="preserve"> à sa cinquante</w:t>
      </w:r>
      <w:r w:rsidR="00283621">
        <w:rPr>
          <w:lang w:val="fr-FR"/>
        </w:rPr>
        <w:noBreakHyphen/>
      </w:r>
      <w:r w:rsidR="007C578D" w:rsidRPr="003A2679">
        <w:rPr>
          <w:lang w:val="fr-FR"/>
        </w:rPr>
        <w:t>deuxième</w:t>
      </w:r>
      <w:r w:rsidRPr="003A2679">
        <w:rPr>
          <w:rStyle w:val="FootnoteReference"/>
          <w:lang w:val="fr-FR"/>
        </w:rPr>
        <w:footnoteReference w:id="3"/>
      </w:r>
      <w:r w:rsidR="007C578D" w:rsidRPr="003A2679">
        <w:rPr>
          <w:lang w:val="fr-FR"/>
        </w:rPr>
        <w:t>.</w:t>
      </w:r>
    </w:p>
    <w:p w:rsidR="00C30D44" w:rsidRPr="003A2679" w:rsidRDefault="00C30D44" w:rsidP="003D060A">
      <w:pPr>
        <w:rPr>
          <w:snapToGrid w:val="0"/>
          <w:lang w:val="fr-FR" w:eastAsia="ja-JP"/>
        </w:rPr>
      </w:pPr>
    </w:p>
    <w:p w:rsidR="00C30D44" w:rsidRPr="003A2679" w:rsidRDefault="00C30D44" w:rsidP="00595437">
      <w:pPr>
        <w:keepNext/>
        <w:keepLines/>
        <w:rPr>
          <w:color w:val="000000"/>
          <w:lang w:val="fr-FR" w:eastAsia="ja-JP"/>
        </w:rPr>
      </w:pPr>
      <w:r w:rsidRPr="003A2679">
        <w:rPr>
          <w:snapToGrid w:val="0"/>
          <w:lang w:val="fr-FR"/>
        </w:rPr>
        <w:fldChar w:fldCharType="begin"/>
      </w:r>
      <w:r w:rsidRPr="003A2679">
        <w:rPr>
          <w:snapToGrid w:val="0"/>
          <w:lang w:val="fr-FR"/>
        </w:rPr>
        <w:instrText xml:space="preserve"> AUTONUM  </w:instrText>
      </w:r>
      <w:r w:rsidRPr="003A2679">
        <w:rPr>
          <w:snapToGrid w:val="0"/>
          <w:lang w:val="fr-FR"/>
        </w:rPr>
        <w:fldChar w:fldCharType="end"/>
      </w:r>
      <w:r w:rsidRPr="003A2679">
        <w:rPr>
          <w:lang w:val="fr-FR"/>
        </w:rPr>
        <w:tab/>
      </w:r>
      <w:r w:rsidR="007C578D" w:rsidRPr="003A2679">
        <w:rPr>
          <w:lang w:val="fr-FR" w:eastAsia="ja-JP"/>
        </w:rPr>
        <w:t>À sa cinquant</w:t>
      </w:r>
      <w:r w:rsidR="00056270">
        <w:rPr>
          <w:lang w:val="fr-FR" w:eastAsia="ja-JP"/>
        </w:rPr>
        <w:t>ième session</w:t>
      </w:r>
      <w:r w:rsidR="003C52A6" w:rsidRPr="003A2679">
        <w:rPr>
          <w:lang w:val="fr-FR" w:eastAsia="ja-JP"/>
        </w:rPr>
        <w:t xml:space="preserve"> ordinaire</w:t>
      </w:r>
      <w:r w:rsidR="007C578D" w:rsidRPr="003A2679">
        <w:rPr>
          <w:lang w:val="fr-FR" w:eastAsia="ja-JP"/>
        </w:rPr>
        <w:t>, le Conseil a adopté le projet de questions et réponses suivant concernant la diffusion d</w:t>
      </w:r>
      <w:r w:rsidR="00056270">
        <w:rPr>
          <w:lang w:val="fr-FR" w:eastAsia="ja-JP"/>
        </w:rPr>
        <w:t>’</w:t>
      </w:r>
      <w:r w:rsidR="007C578D" w:rsidRPr="003A2679">
        <w:rPr>
          <w:lang w:val="fr-FR" w:eastAsia="ja-JP"/>
        </w:rPr>
        <w:t>informations sur la situation à l</w:t>
      </w:r>
      <w:r w:rsidR="00056270">
        <w:rPr>
          <w:lang w:val="fr-FR" w:eastAsia="ja-JP"/>
        </w:rPr>
        <w:t>’</w:t>
      </w:r>
      <w:r w:rsidR="007C578D" w:rsidRPr="003A2679">
        <w:rPr>
          <w:lang w:val="fr-FR" w:eastAsia="ja-JP"/>
        </w:rPr>
        <w:t>UPOV concernant l</w:t>
      </w:r>
      <w:r w:rsidR="00056270">
        <w:rPr>
          <w:lang w:val="fr-FR" w:eastAsia="ja-JP"/>
        </w:rPr>
        <w:t>’</w:t>
      </w:r>
      <w:r w:rsidR="007C578D" w:rsidRPr="003A2679">
        <w:rPr>
          <w:lang w:val="fr-FR" w:eastAsia="ja-JP"/>
        </w:rPr>
        <w:t>utilisation de techniques moléculaires (“questions fréquemment posées sur les techniques moléculaires”) à l</w:t>
      </w:r>
      <w:r w:rsidR="00056270">
        <w:rPr>
          <w:lang w:val="fr-FR" w:eastAsia="ja-JP"/>
        </w:rPr>
        <w:t>’</w:t>
      </w:r>
      <w:r w:rsidR="007C578D" w:rsidRPr="003A2679">
        <w:rPr>
          <w:lang w:val="fr-FR" w:eastAsia="ja-JP"/>
        </w:rPr>
        <w:t>intention du grand public</w:t>
      </w:r>
      <w:r w:rsidR="00FB1D90" w:rsidRPr="003A2679">
        <w:rPr>
          <w:rStyle w:val="FootnoteReference"/>
          <w:lang w:val="fr-FR"/>
        </w:rPr>
        <w:footnoteReference w:id="4"/>
      </w:r>
      <w:r w:rsidR="00056270">
        <w:rPr>
          <w:lang w:val="fr-FR" w:eastAsia="ja-JP"/>
        </w:rPr>
        <w:t> :</w:t>
      </w:r>
    </w:p>
    <w:p w:rsidR="00C30D44" w:rsidRPr="003A2679" w:rsidRDefault="00C30D44" w:rsidP="003D060A">
      <w:pPr>
        <w:rPr>
          <w:lang w:val="fr-FR"/>
        </w:rPr>
      </w:pPr>
    </w:p>
    <w:p w:rsidR="007C578D" w:rsidRPr="003A2679" w:rsidRDefault="007C578D" w:rsidP="007C578D">
      <w:pPr>
        <w:ind w:left="567" w:right="567"/>
        <w:rPr>
          <w:rFonts w:cs="Arial"/>
          <w:sz w:val="18"/>
          <w:szCs w:val="24"/>
          <w:lang w:val="fr-FR"/>
        </w:rPr>
      </w:pPr>
      <w:r w:rsidRPr="003A2679">
        <w:rPr>
          <w:rFonts w:cs="Arial"/>
          <w:sz w:val="18"/>
          <w:szCs w:val="24"/>
          <w:lang w:val="fr-FR"/>
        </w:rPr>
        <w:t>“Est</w:t>
      </w:r>
      <w:r w:rsidR="00283621">
        <w:rPr>
          <w:rFonts w:cs="Arial"/>
          <w:sz w:val="18"/>
          <w:szCs w:val="24"/>
          <w:lang w:val="fr-FR"/>
        </w:rPr>
        <w:noBreakHyphen/>
      </w:r>
      <w:r w:rsidRPr="003A2679">
        <w:rPr>
          <w:rFonts w:cs="Arial"/>
          <w:sz w:val="18"/>
          <w:szCs w:val="24"/>
          <w:lang w:val="fr-FR"/>
        </w:rPr>
        <w:t>il possible d</w:t>
      </w:r>
      <w:r w:rsidR="00056270">
        <w:rPr>
          <w:rFonts w:cs="Arial"/>
          <w:sz w:val="18"/>
          <w:szCs w:val="24"/>
          <w:lang w:val="fr-FR"/>
        </w:rPr>
        <w:t>’</w:t>
      </w:r>
      <w:r w:rsidRPr="003A2679">
        <w:rPr>
          <w:rFonts w:cs="Arial"/>
          <w:sz w:val="18"/>
          <w:szCs w:val="24"/>
          <w:lang w:val="fr-FR"/>
        </w:rPr>
        <w:t>obtenir la protection d</w:t>
      </w:r>
      <w:r w:rsidR="00056270">
        <w:rPr>
          <w:rFonts w:cs="Arial"/>
          <w:sz w:val="18"/>
          <w:szCs w:val="24"/>
          <w:lang w:val="fr-FR"/>
        </w:rPr>
        <w:t>’</w:t>
      </w:r>
      <w:r w:rsidRPr="003A2679">
        <w:rPr>
          <w:rFonts w:cs="Arial"/>
          <w:sz w:val="18"/>
          <w:szCs w:val="24"/>
          <w:lang w:val="fr-FR"/>
        </w:rPr>
        <w:t>une variété sur la base de son profil d</w:t>
      </w:r>
      <w:r w:rsidR="00056270">
        <w:rPr>
          <w:rFonts w:cs="Arial"/>
          <w:sz w:val="18"/>
          <w:szCs w:val="24"/>
          <w:lang w:val="fr-FR"/>
        </w:rPr>
        <w:t>’</w:t>
      </w:r>
      <w:r w:rsidRPr="003A2679">
        <w:rPr>
          <w:rFonts w:cs="Arial"/>
          <w:sz w:val="18"/>
          <w:szCs w:val="24"/>
          <w:lang w:val="fr-FR"/>
        </w:rPr>
        <w:t>ADN?</w:t>
      </w:r>
    </w:p>
    <w:p w:rsidR="007C578D" w:rsidRPr="003A2679" w:rsidRDefault="007C578D" w:rsidP="007C578D">
      <w:pPr>
        <w:ind w:left="567" w:right="567"/>
        <w:rPr>
          <w:rFonts w:cs="Arial"/>
          <w:sz w:val="18"/>
          <w:szCs w:val="24"/>
          <w:lang w:val="fr-FR"/>
        </w:rPr>
      </w:pPr>
    </w:p>
    <w:p w:rsidR="007C578D" w:rsidRPr="003A2679" w:rsidRDefault="007C578D" w:rsidP="007C578D">
      <w:pPr>
        <w:ind w:left="567" w:right="567"/>
        <w:rPr>
          <w:rFonts w:cs="Arial"/>
          <w:sz w:val="18"/>
          <w:szCs w:val="24"/>
          <w:lang w:val="fr-FR"/>
        </w:rPr>
      </w:pPr>
      <w:r w:rsidRPr="003A2679">
        <w:rPr>
          <w:rFonts w:cs="Arial"/>
          <w:sz w:val="18"/>
          <w:szCs w:val="24"/>
          <w:lang w:val="fr-FR"/>
        </w:rPr>
        <w:t>“Pour pouvoir bénéficier d</w:t>
      </w:r>
      <w:r w:rsidR="00056270">
        <w:rPr>
          <w:rFonts w:cs="Arial"/>
          <w:sz w:val="18"/>
          <w:szCs w:val="24"/>
          <w:lang w:val="fr-FR"/>
        </w:rPr>
        <w:t>’</w:t>
      </w:r>
      <w:r w:rsidRPr="003A2679">
        <w:rPr>
          <w:rFonts w:cs="Arial"/>
          <w:sz w:val="18"/>
          <w:szCs w:val="24"/>
          <w:lang w:val="fr-FR"/>
        </w:rPr>
        <w:t>une protection, une variété doit pouvoir être nettement distinguée de toute autre variété existante par des caractères exprimés physiquement, par exemple, la hauteur de la plante, l</w:t>
      </w:r>
      <w:r w:rsidR="00056270">
        <w:rPr>
          <w:rFonts w:cs="Arial"/>
          <w:sz w:val="18"/>
          <w:szCs w:val="24"/>
          <w:lang w:val="fr-FR"/>
        </w:rPr>
        <w:t>’</w:t>
      </w:r>
      <w:r w:rsidRPr="003A2679">
        <w:rPr>
          <w:rFonts w:cs="Arial"/>
          <w:sz w:val="18"/>
          <w:szCs w:val="24"/>
          <w:lang w:val="fr-FR"/>
        </w:rPr>
        <w:t>époque de floraison, la couleur des fruits, la résistance aux maladies, e</w:t>
      </w:r>
      <w:r w:rsidR="00F96F48" w:rsidRPr="003A2679">
        <w:rPr>
          <w:rFonts w:cs="Arial"/>
          <w:sz w:val="18"/>
          <w:szCs w:val="24"/>
          <w:lang w:val="fr-FR"/>
        </w:rPr>
        <w:t>tc</w:t>
      </w:r>
      <w:r w:rsidR="00F96F48">
        <w:rPr>
          <w:rFonts w:cs="Arial"/>
          <w:sz w:val="18"/>
          <w:szCs w:val="24"/>
          <w:lang w:val="fr-FR"/>
        </w:rPr>
        <w:t xml:space="preserve">.  </w:t>
      </w:r>
      <w:r w:rsidR="00F96F48" w:rsidRPr="003A2679">
        <w:rPr>
          <w:rFonts w:cs="Arial"/>
          <w:sz w:val="18"/>
          <w:szCs w:val="24"/>
          <w:lang w:val="fr-FR"/>
        </w:rPr>
        <w:t>Le</w:t>
      </w:r>
      <w:r w:rsidRPr="003A2679">
        <w:rPr>
          <w:rFonts w:cs="Arial"/>
          <w:sz w:val="18"/>
          <w:szCs w:val="24"/>
          <w:lang w:val="fr-FR"/>
        </w:rPr>
        <w:t xml:space="preserve"> profil d</w:t>
      </w:r>
      <w:r w:rsidR="00056270">
        <w:rPr>
          <w:rFonts w:cs="Arial"/>
          <w:sz w:val="18"/>
          <w:szCs w:val="24"/>
          <w:lang w:val="fr-FR"/>
        </w:rPr>
        <w:t>’</w:t>
      </w:r>
      <w:r w:rsidRPr="003A2679">
        <w:rPr>
          <w:rFonts w:cs="Arial"/>
          <w:sz w:val="18"/>
          <w:szCs w:val="24"/>
          <w:lang w:val="fr-FR"/>
        </w:rPr>
        <w:t>ADN ne constitue pas une base suffisante permettant d</w:t>
      </w:r>
      <w:r w:rsidR="00056270">
        <w:rPr>
          <w:rFonts w:cs="Arial"/>
          <w:sz w:val="18"/>
          <w:szCs w:val="24"/>
          <w:lang w:val="fr-FR"/>
        </w:rPr>
        <w:t>’</w:t>
      </w:r>
      <w:r w:rsidRPr="003A2679">
        <w:rPr>
          <w:rFonts w:cs="Arial"/>
          <w:sz w:val="18"/>
          <w:szCs w:val="24"/>
          <w:lang w:val="fr-FR"/>
        </w:rPr>
        <w:t>obtenir la protection d</w:t>
      </w:r>
      <w:r w:rsidR="00056270">
        <w:rPr>
          <w:rFonts w:cs="Arial"/>
          <w:sz w:val="18"/>
          <w:szCs w:val="24"/>
          <w:lang w:val="fr-FR"/>
        </w:rPr>
        <w:t>’</w:t>
      </w:r>
      <w:r w:rsidRPr="003A2679">
        <w:rPr>
          <w:rFonts w:cs="Arial"/>
          <w:sz w:val="18"/>
          <w:szCs w:val="24"/>
          <w:lang w:val="fr-FR"/>
        </w:rPr>
        <w:t>une variété, bien que ces informations puissent être utilisées comme information complémentaire.</w:t>
      </w:r>
    </w:p>
    <w:p w:rsidR="003C52A6" w:rsidRPr="003A2679" w:rsidRDefault="003C52A6" w:rsidP="007C578D">
      <w:pPr>
        <w:ind w:left="567" w:right="567"/>
        <w:rPr>
          <w:rFonts w:cs="Arial"/>
          <w:sz w:val="18"/>
          <w:szCs w:val="24"/>
          <w:lang w:val="fr-FR"/>
        </w:rPr>
      </w:pPr>
    </w:p>
    <w:p w:rsidR="007C578D" w:rsidRPr="003A2679" w:rsidRDefault="007C578D" w:rsidP="007C578D">
      <w:pPr>
        <w:ind w:left="567" w:right="567"/>
        <w:rPr>
          <w:rFonts w:cs="Arial"/>
          <w:sz w:val="18"/>
          <w:szCs w:val="24"/>
          <w:lang w:val="fr-FR"/>
        </w:rPr>
      </w:pPr>
      <w:r w:rsidRPr="003A2679">
        <w:rPr>
          <w:rFonts w:cs="Arial"/>
          <w:sz w:val="18"/>
          <w:szCs w:val="24"/>
          <w:lang w:val="fr-FR"/>
        </w:rPr>
        <w:t>“Des explications plus détaillées sont fournies dans les réponses aux questions fréquemment posées</w:t>
      </w:r>
      <w:r w:rsidR="003C52A6" w:rsidRPr="003A2679">
        <w:rPr>
          <w:rFonts w:cs="Arial"/>
          <w:sz w:val="18"/>
          <w:szCs w:val="24"/>
          <w:lang w:val="fr-FR"/>
        </w:rPr>
        <w:t xml:space="preserve"> </w:t>
      </w:r>
      <w:r w:rsidR="00056270">
        <w:rPr>
          <w:rFonts w:cs="Arial"/>
          <w:sz w:val="18"/>
          <w:szCs w:val="24"/>
          <w:lang w:val="fr-FR"/>
        </w:rPr>
        <w:t>‘</w:t>
      </w:r>
      <w:r w:rsidRPr="003A2679">
        <w:rPr>
          <w:rFonts w:cs="Arial"/>
          <w:sz w:val="18"/>
          <w:szCs w:val="24"/>
          <w:lang w:val="fr-FR"/>
        </w:rPr>
        <w:t>L</w:t>
      </w:r>
      <w:r w:rsidR="00056270">
        <w:rPr>
          <w:rFonts w:cs="Arial"/>
          <w:sz w:val="18"/>
          <w:szCs w:val="24"/>
          <w:lang w:val="fr-FR"/>
        </w:rPr>
        <w:t>’</w:t>
      </w:r>
      <w:r w:rsidRPr="003A2679">
        <w:rPr>
          <w:rFonts w:cs="Arial"/>
          <w:sz w:val="18"/>
          <w:szCs w:val="24"/>
          <w:lang w:val="fr-FR"/>
        </w:rPr>
        <w:t>UPOV permet</w:t>
      </w:r>
      <w:r w:rsidR="00283621">
        <w:rPr>
          <w:rFonts w:cs="Arial"/>
          <w:sz w:val="18"/>
          <w:szCs w:val="24"/>
          <w:lang w:val="fr-FR"/>
        </w:rPr>
        <w:noBreakHyphen/>
      </w:r>
      <w:r w:rsidRPr="003A2679">
        <w:rPr>
          <w:rFonts w:cs="Arial"/>
          <w:sz w:val="18"/>
          <w:szCs w:val="24"/>
          <w:lang w:val="fr-FR"/>
        </w:rPr>
        <w:t>elle de recourir à des techniques moléculaires (profils d</w:t>
      </w:r>
      <w:r w:rsidR="00056270">
        <w:rPr>
          <w:rFonts w:cs="Arial"/>
          <w:sz w:val="18"/>
          <w:szCs w:val="24"/>
          <w:lang w:val="fr-FR"/>
        </w:rPr>
        <w:t>’</w:t>
      </w:r>
      <w:r w:rsidRPr="003A2679">
        <w:rPr>
          <w:rFonts w:cs="Arial"/>
          <w:sz w:val="18"/>
          <w:szCs w:val="24"/>
          <w:lang w:val="fr-FR"/>
        </w:rPr>
        <w:t>ADN) dans l</w:t>
      </w:r>
      <w:r w:rsidR="00056270">
        <w:rPr>
          <w:rFonts w:cs="Arial"/>
          <w:sz w:val="18"/>
          <w:szCs w:val="24"/>
          <w:lang w:val="fr-FR"/>
        </w:rPr>
        <w:t>’</w:t>
      </w:r>
      <w:r w:rsidRPr="003A2679">
        <w:rPr>
          <w:rFonts w:cs="Arial"/>
          <w:sz w:val="18"/>
          <w:szCs w:val="24"/>
          <w:lang w:val="fr-FR"/>
        </w:rPr>
        <w:t>examen de la</w:t>
      </w:r>
      <w:r w:rsidR="003C52A6" w:rsidRPr="003A2679">
        <w:rPr>
          <w:rFonts w:cs="Arial"/>
          <w:sz w:val="18"/>
          <w:szCs w:val="24"/>
          <w:lang w:val="fr-FR"/>
        </w:rPr>
        <w:t xml:space="preserve"> </w:t>
      </w:r>
      <w:r w:rsidRPr="003A2679">
        <w:rPr>
          <w:rFonts w:cs="Arial"/>
          <w:sz w:val="18"/>
          <w:szCs w:val="24"/>
          <w:lang w:val="fr-FR"/>
        </w:rPr>
        <w:t>distinction, de l</w:t>
      </w:r>
      <w:r w:rsidR="00056270">
        <w:rPr>
          <w:rFonts w:cs="Arial"/>
          <w:sz w:val="18"/>
          <w:szCs w:val="24"/>
          <w:lang w:val="fr-FR"/>
        </w:rPr>
        <w:t>’</w:t>
      </w:r>
      <w:r w:rsidRPr="003A2679">
        <w:rPr>
          <w:rFonts w:cs="Arial"/>
          <w:sz w:val="18"/>
          <w:szCs w:val="24"/>
          <w:lang w:val="fr-FR"/>
        </w:rPr>
        <w:t>homogénéité et de la stabilité (examen</w:t>
      </w:r>
      <w:r w:rsidR="000D757D">
        <w:rPr>
          <w:rFonts w:cs="Arial"/>
          <w:sz w:val="18"/>
          <w:szCs w:val="24"/>
          <w:lang w:val="fr-FR"/>
        </w:rPr>
        <w:t> </w:t>
      </w:r>
      <w:r w:rsidRPr="003A2679">
        <w:rPr>
          <w:rFonts w:cs="Arial"/>
          <w:sz w:val="18"/>
          <w:szCs w:val="24"/>
          <w:lang w:val="fr-FR"/>
        </w:rPr>
        <w:t>DHS)?</w:t>
      </w:r>
      <w:r w:rsidR="00056270">
        <w:rPr>
          <w:rFonts w:cs="Arial"/>
          <w:sz w:val="18"/>
          <w:szCs w:val="24"/>
          <w:lang w:val="fr-FR"/>
        </w:rPr>
        <w:t>’</w:t>
      </w:r>
    </w:p>
    <w:p w:rsidR="003C52A6" w:rsidRPr="003A2679" w:rsidRDefault="003C52A6" w:rsidP="007C578D">
      <w:pPr>
        <w:ind w:left="567" w:right="567"/>
        <w:rPr>
          <w:rFonts w:cs="Arial"/>
          <w:sz w:val="18"/>
          <w:szCs w:val="24"/>
          <w:lang w:val="fr-FR"/>
        </w:rPr>
      </w:pPr>
    </w:p>
    <w:p w:rsidR="007C578D" w:rsidRPr="003A2679" w:rsidRDefault="007C578D" w:rsidP="007C578D">
      <w:pPr>
        <w:ind w:left="567" w:right="567"/>
        <w:rPr>
          <w:rFonts w:cs="Arial"/>
          <w:sz w:val="18"/>
          <w:szCs w:val="24"/>
          <w:lang w:val="fr-FR"/>
        </w:rPr>
      </w:pPr>
      <w:r w:rsidRPr="003A2679">
        <w:rPr>
          <w:rFonts w:cs="Arial"/>
          <w:sz w:val="18"/>
          <w:szCs w:val="24"/>
          <w:lang w:val="fr-FR"/>
        </w:rPr>
        <w:t>“Voir également</w:t>
      </w:r>
      <w:r w:rsidR="00056270">
        <w:rPr>
          <w:rFonts w:cs="Arial"/>
          <w:sz w:val="18"/>
          <w:szCs w:val="24"/>
          <w:lang w:val="fr-FR"/>
        </w:rPr>
        <w:t> :</w:t>
      </w:r>
    </w:p>
    <w:p w:rsidR="00FB1D90" w:rsidRPr="003A2679" w:rsidRDefault="007C578D" w:rsidP="003C52A6">
      <w:pPr>
        <w:ind w:left="567" w:right="567"/>
        <w:rPr>
          <w:rFonts w:cs="Arial"/>
          <w:sz w:val="18"/>
          <w:szCs w:val="24"/>
          <w:lang w:val="fr-FR"/>
        </w:rPr>
      </w:pPr>
      <w:r w:rsidRPr="003A2679">
        <w:rPr>
          <w:rFonts w:cs="Arial"/>
          <w:sz w:val="18"/>
          <w:szCs w:val="24"/>
          <w:lang w:val="fr-FR"/>
        </w:rPr>
        <w:t>“Quelles sont les conditions à remplir pour pouvoir protéger une nouvelle variété végétale?”</w:t>
      </w:r>
    </w:p>
    <w:p w:rsidR="003C52A6" w:rsidRPr="003A2679" w:rsidRDefault="003C52A6" w:rsidP="00283621">
      <w:pPr>
        <w:ind w:right="567"/>
        <w:rPr>
          <w:lang w:val="fr-FR" w:eastAsia="ja-JP"/>
        </w:rPr>
      </w:pPr>
    </w:p>
    <w:p w:rsidR="00C30D44" w:rsidRDefault="00C30D44" w:rsidP="003D060A">
      <w:pPr>
        <w:rPr>
          <w:rFonts w:cs="Arial"/>
          <w:lang w:val="fr-FR"/>
        </w:rPr>
      </w:pPr>
    </w:p>
    <w:p w:rsidR="00B66893" w:rsidRPr="003A2679" w:rsidRDefault="00B66893" w:rsidP="003D060A">
      <w:pPr>
        <w:rPr>
          <w:rFonts w:cs="Arial"/>
          <w:lang w:val="fr-FR"/>
        </w:rPr>
      </w:pPr>
      <w:bookmarkStart w:id="8" w:name="_GoBack"/>
      <w:bookmarkEnd w:id="8"/>
    </w:p>
    <w:p w:rsidR="00C30D44" w:rsidRPr="003A2679" w:rsidRDefault="00283621" w:rsidP="00283621">
      <w:pPr>
        <w:pStyle w:val="Heading1"/>
        <w:rPr>
          <w:lang w:val="fr-FR" w:eastAsia="ja-JP"/>
        </w:rPr>
      </w:pPr>
      <w:bookmarkStart w:id="9" w:name="_Toc495915967"/>
      <w:r>
        <w:rPr>
          <w:lang w:val="fr-FR" w:eastAsia="ja-JP"/>
        </w:rPr>
        <w:t>F</w:t>
      </w:r>
      <w:r w:rsidRPr="003A2679">
        <w:rPr>
          <w:lang w:val="fr-FR" w:eastAsia="ja-JP"/>
        </w:rPr>
        <w:t>aits nouveaux survenus à la cinquante</w:t>
      </w:r>
      <w:r>
        <w:rPr>
          <w:lang w:val="fr-FR" w:eastAsia="ja-JP"/>
        </w:rPr>
        <w:noBreakHyphen/>
      </w:r>
      <w:r w:rsidRPr="003A2679">
        <w:rPr>
          <w:lang w:val="fr-FR" w:eastAsia="ja-JP"/>
        </w:rPr>
        <w:t>troisième session du</w:t>
      </w:r>
      <w:r w:rsidRPr="00056270">
        <w:rPr>
          <w:lang w:val="fr-FR" w:eastAsia="ja-JP"/>
        </w:rPr>
        <w:t> </w:t>
      </w:r>
      <w:r>
        <w:rPr>
          <w:lang w:val="fr-FR" w:eastAsia="ja-JP"/>
        </w:rPr>
        <w:t>TC</w:t>
      </w:r>
      <w:bookmarkEnd w:id="9"/>
    </w:p>
    <w:p w:rsidR="00C30D44" w:rsidRPr="003A2679" w:rsidRDefault="00C30D44" w:rsidP="003D060A">
      <w:pPr>
        <w:rPr>
          <w:rFonts w:cs="Arial"/>
          <w:lang w:val="fr-FR"/>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3C52A6" w:rsidRPr="003A2679">
        <w:rPr>
          <w:lang w:val="fr-FR"/>
        </w:rPr>
        <w:t>À sa cinquante</w:t>
      </w:r>
      <w:r w:rsidR="00283621">
        <w:rPr>
          <w:lang w:val="fr-FR"/>
        </w:rPr>
        <w:noBreakHyphen/>
      </w:r>
      <w:r w:rsidR="003C52A6" w:rsidRPr="003A2679">
        <w:rPr>
          <w:lang w:val="fr-FR"/>
        </w:rPr>
        <w:t>trois</w:t>
      </w:r>
      <w:r w:rsidR="00056270">
        <w:rPr>
          <w:lang w:val="fr-FR"/>
        </w:rPr>
        <w:t>ième session</w:t>
      </w:r>
      <w:r w:rsidR="003C52A6" w:rsidRPr="003A2679">
        <w:rPr>
          <w:lang w:val="fr-FR"/>
        </w:rPr>
        <w:t>, le</w:t>
      </w:r>
      <w:r w:rsidR="00056270" w:rsidRPr="00056270">
        <w:rPr>
          <w:lang w:val="fr-FR"/>
        </w:rPr>
        <w:t> TC</w:t>
      </w:r>
      <w:r w:rsidR="003C52A6" w:rsidRPr="003A2679">
        <w:rPr>
          <w:lang w:val="fr-FR"/>
        </w:rPr>
        <w:t xml:space="preserve"> a pris note du rapport sur les faits nouveaux relatifs aux travaux des groupes de travail techniques et du BMT, tel qu</w:t>
      </w:r>
      <w:r w:rsidR="00056270">
        <w:rPr>
          <w:lang w:val="fr-FR"/>
        </w:rPr>
        <w:t>’</w:t>
      </w:r>
      <w:r w:rsidR="003C52A6" w:rsidRPr="003A2679">
        <w:rPr>
          <w:lang w:val="fr-FR"/>
        </w:rPr>
        <w:t xml:space="preserve">il figurait aux paragraphes 5 à 24 du </w:t>
      </w:r>
      <w:r w:rsidR="00056270" w:rsidRPr="00056270">
        <w:rPr>
          <w:lang w:val="fr-FR"/>
        </w:rPr>
        <w:t>document TC</w:t>
      </w:r>
      <w:r w:rsidR="003C52A6" w:rsidRPr="003A2679">
        <w:rPr>
          <w:lang w:val="fr-FR"/>
        </w:rPr>
        <w:t>/53/11</w:t>
      </w:r>
      <w:r w:rsidRPr="003A2679">
        <w:rPr>
          <w:rStyle w:val="FootnoteReference"/>
          <w:lang w:val="fr-FR"/>
        </w:rPr>
        <w:footnoteReference w:id="5"/>
      </w:r>
      <w:r w:rsidR="003C52A6" w:rsidRPr="003A2679">
        <w:rPr>
          <w:lang w:val="fr-FR"/>
        </w:rPr>
        <w:t>.</w:t>
      </w:r>
    </w:p>
    <w:p w:rsidR="00C30D44" w:rsidRPr="003A2679" w:rsidRDefault="00C30D44" w:rsidP="003D060A">
      <w:pPr>
        <w:rPr>
          <w:lang w:val="fr-FR" w:eastAsia="ja-JP"/>
        </w:rPr>
      </w:pPr>
    </w:p>
    <w:p w:rsidR="00056270" w:rsidRDefault="00C30D44" w:rsidP="003D060A">
      <w:pPr>
        <w:rPr>
          <w:rStyle w:val="FootnoteReference"/>
          <w:lang w:val="fr-FR"/>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3C52A6" w:rsidRPr="003A2679">
        <w:rPr>
          <w:lang w:val="fr-FR"/>
        </w:rPr>
        <w:t>Le</w:t>
      </w:r>
      <w:r w:rsidR="00056270" w:rsidRPr="00056270">
        <w:rPr>
          <w:lang w:val="fr-FR"/>
        </w:rPr>
        <w:t> TC</w:t>
      </w:r>
      <w:r w:rsidR="003C52A6" w:rsidRPr="003A2679">
        <w:rPr>
          <w:lang w:val="fr-FR"/>
        </w:rPr>
        <w:t xml:space="preserve"> a pris note que l</w:t>
      </w:r>
      <w:r w:rsidR="00056270">
        <w:rPr>
          <w:lang w:val="fr-FR"/>
        </w:rPr>
        <w:t>’</w:t>
      </w:r>
      <w:r w:rsidR="003C52A6" w:rsidRPr="003A2679">
        <w:rPr>
          <w:lang w:val="fr-FR"/>
        </w:rPr>
        <w:t>élaboration éventuelle d</w:t>
      </w:r>
      <w:r w:rsidR="00056270">
        <w:rPr>
          <w:lang w:val="fr-FR"/>
        </w:rPr>
        <w:t>’</w:t>
      </w:r>
      <w:r w:rsidR="003C52A6" w:rsidRPr="003A2679">
        <w:rPr>
          <w:lang w:val="fr-FR"/>
        </w:rPr>
        <w:t>un document commun présentant les particularités des systèmes de l</w:t>
      </w:r>
      <w:r w:rsidR="00056270">
        <w:rPr>
          <w:lang w:val="fr-FR"/>
        </w:rPr>
        <w:t>’</w:t>
      </w:r>
      <w:r w:rsidR="003C52A6" w:rsidRPr="003A2679">
        <w:rPr>
          <w:lang w:val="fr-FR"/>
        </w:rPr>
        <w:t>OCDE</w:t>
      </w:r>
      <w:r w:rsidR="00154CF0" w:rsidRPr="003A2679">
        <w:rPr>
          <w:lang w:val="fr-FR"/>
        </w:rPr>
        <w:t>, de l</w:t>
      </w:r>
      <w:r w:rsidR="00056270">
        <w:rPr>
          <w:lang w:val="fr-FR"/>
        </w:rPr>
        <w:t>’</w:t>
      </w:r>
      <w:r w:rsidR="00154CF0" w:rsidRPr="003A2679">
        <w:rPr>
          <w:lang w:val="fr-FR"/>
        </w:rPr>
        <w:t>UPOV et de l</w:t>
      </w:r>
      <w:r w:rsidR="00056270">
        <w:rPr>
          <w:lang w:val="fr-FR"/>
        </w:rPr>
        <w:t>’</w:t>
      </w:r>
      <w:r w:rsidR="00154CF0" w:rsidRPr="003A2679">
        <w:rPr>
          <w:lang w:val="fr-FR"/>
        </w:rPr>
        <w:t>ISTA ne pourr</w:t>
      </w:r>
      <w:r w:rsidR="003C52A6" w:rsidRPr="003A2679">
        <w:rPr>
          <w:lang w:val="fr-FR"/>
        </w:rPr>
        <w:t>ait commencer qu</w:t>
      </w:r>
      <w:r w:rsidR="00056270">
        <w:rPr>
          <w:lang w:val="fr-FR"/>
        </w:rPr>
        <w:t>’</w:t>
      </w:r>
      <w:r w:rsidR="003C52A6" w:rsidRPr="003A2679">
        <w:rPr>
          <w:lang w:val="fr-FR"/>
        </w:rPr>
        <w:t>après obtention de l</w:t>
      </w:r>
      <w:r w:rsidR="00056270">
        <w:rPr>
          <w:lang w:val="fr-FR"/>
        </w:rPr>
        <w:t>’</w:t>
      </w:r>
      <w:r w:rsidR="003C52A6" w:rsidRPr="003A2679">
        <w:rPr>
          <w:lang w:val="fr-FR"/>
        </w:rPr>
        <w:t>accord de l</w:t>
      </w:r>
      <w:r w:rsidR="00056270">
        <w:rPr>
          <w:lang w:val="fr-FR"/>
        </w:rPr>
        <w:t>’</w:t>
      </w:r>
      <w:r w:rsidR="003C52A6" w:rsidRPr="003A2679">
        <w:rPr>
          <w:lang w:val="fr-FR"/>
        </w:rPr>
        <w:t>OCDE et de l</w:t>
      </w:r>
      <w:r w:rsidR="00056270">
        <w:rPr>
          <w:lang w:val="fr-FR"/>
        </w:rPr>
        <w:t>’</w:t>
      </w:r>
      <w:r w:rsidR="003C52A6" w:rsidRPr="003A2679">
        <w:rPr>
          <w:lang w:val="fr-FR"/>
        </w:rPr>
        <w:t>ISTA.</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3C52A6" w:rsidRPr="003A2679">
        <w:rPr>
          <w:lang w:val="fr-FR"/>
        </w:rPr>
        <w:t>Le</w:t>
      </w:r>
      <w:r w:rsidR="00056270" w:rsidRPr="00056270">
        <w:rPr>
          <w:lang w:val="fr-FR"/>
        </w:rPr>
        <w:t> TC</w:t>
      </w:r>
      <w:r w:rsidR="003C52A6" w:rsidRPr="003A2679">
        <w:rPr>
          <w:lang w:val="fr-FR"/>
        </w:rPr>
        <w:t xml:space="preserve"> a pris note que l</w:t>
      </w:r>
      <w:r w:rsidR="00056270">
        <w:rPr>
          <w:lang w:val="fr-FR"/>
        </w:rPr>
        <w:t>’</w:t>
      </w:r>
      <w:r w:rsidR="003C52A6" w:rsidRPr="003A2679">
        <w:rPr>
          <w:lang w:val="fr-FR"/>
        </w:rPr>
        <w:t>élaboration éventuelle d</w:t>
      </w:r>
      <w:r w:rsidR="00056270">
        <w:rPr>
          <w:lang w:val="fr-FR"/>
        </w:rPr>
        <w:t>’</w:t>
      </w:r>
      <w:r w:rsidR="003C52A6" w:rsidRPr="003A2679">
        <w:rPr>
          <w:lang w:val="fr-FR"/>
        </w:rPr>
        <w:t>un document commun à l</w:t>
      </w:r>
      <w:r w:rsidR="00056270">
        <w:rPr>
          <w:lang w:val="fr-FR"/>
        </w:rPr>
        <w:t>’</w:t>
      </w:r>
      <w:r w:rsidR="003C52A6" w:rsidRPr="003A2679">
        <w:rPr>
          <w:lang w:val="fr-FR"/>
        </w:rPr>
        <w:t>OCDE, à l</w:t>
      </w:r>
      <w:r w:rsidR="00056270">
        <w:rPr>
          <w:lang w:val="fr-FR"/>
        </w:rPr>
        <w:t>’</w:t>
      </w:r>
      <w:r w:rsidR="003C52A6" w:rsidRPr="003A2679">
        <w:rPr>
          <w:lang w:val="fr-FR"/>
        </w:rPr>
        <w:t>UPOV et à l</w:t>
      </w:r>
      <w:r w:rsidR="00056270">
        <w:rPr>
          <w:lang w:val="fr-FR"/>
        </w:rPr>
        <w:t>’</w:t>
      </w:r>
      <w:r w:rsidR="003C52A6" w:rsidRPr="003A2679">
        <w:rPr>
          <w:lang w:val="fr-FR"/>
        </w:rPr>
        <w:t>ISTA contenant un inventaire, par plante, de l</w:t>
      </w:r>
      <w:r w:rsidR="00056270">
        <w:rPr>
          <w:lang w:val="fr-FR"/>
        </w:rPr>
        <w:t>’</w:t>
      </w:r>
      <w:r w:rsidR="003C52A6" w:rsidRPr="003A2679">
        <w:rPr>
          <w:lang w:val="fr-FR"/>
        </w:rPr>
        <w:t>utilisation qui était faite des techniques faisant intervenir de</w:t>
      </w:r>
      <w:r w:rsidR="00154CF0" w:rsidRPr="003A2679">
        <w:rPr>
          <w:lang w:val="fr-FR"/>
        </w:rPr>
        <w:t>s marqueurs moléculaires ne pourr</w:t>
      </w:r>
      <w:r w:rsidR="003C52A6" w:rsidRPr="003A2679">
        <w:rPr>
          <w:lang w:val="fr-FR"/>
        </w:rPr>
        <w:t>ait démarrer qu</w:t>
      </w:r>
      <w:r w:rsidR="00056270">
        <w:rPr>
          <w:lang w:val="fr-FR"/>
        </w:rPr>
        <w:t>’</w:t>
      </w:r>
      <w:r w:rsidR="003C52A6" w:rsidRPr="003A2679">
        <w:rPr>
          <w:lang w:val="fr-FR"/>
        </w:rPr>
        <w:t>après obtention de l</w:t>
      </w:r>
      <w:r w:rsidR="00056270">
        <w:rPr>
          <w:lang w:val="fr-FR"/>
        </w:rPr>
        <w:t>’</w:t>
      </w:r>
      <w:r w:rsidR="003C52A6" w:rsidRPr="003A2679">
        <w:rPr>
          <w:lang w:val="fr-FR"/>
        </w:rPr>
        <w:t>accord de l</w:t>
      </w:r>
      <w:r w:rsidR="00056270">
        <w:rPr>
          <w:lang w:val="fr-FR"/>
        </w:rPr>
        <w:t>’</w:t>
      </w:r>
      <w:r w:rsidR="003C52A6" w:rsidRPr="003A2679">
        <w:rPr>
          <w:lang w:val="fr-FR"/>
        </w:rPr>
        <w:t>OCDE et de l</w:t>
      </w:r>
      <w:r w:rsidR="00056270">
        <w:rPr>
          <w:lang w:val="fr-FR"/>
        </w:rPr>
        <w:t>’</w:t>
      </w:r>
      <w:r w:rsidR="003C52A6" w:rsidRPr="003A2679">
        <w:rPr>
          <w:lang w:val="fr-FR"/>
        </w:rPr>
        <w:t>ISTA.</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3C52A6" w:rsidRPr="003A2679">
        <w:rPr>
          <w:lang w:val="fr-FR"/>
        </w:rPr>
        <w:t>Le</w:t>
      </w:r>
      <w:r w:rsidR="00056270" w:rsidRPr="00056270">
        <w:rPr>
          <w:lang w:val="fr-FR"/>
        </w:rPr>
        <w:t> TC</w:t>
      </w:r>
      <w:r w:rsidR="003C52A6" w:rsidRPr="003A2679">
        <w:rPr>
          <w:lang w:val="fr-FR"/>
        </w:rPr>
        <w:t xml:space="preserve"> est convenu que les activités futures de collaboration entre l</w:t>
      </w:r>
      <w:r w:rsidR="00056270">
        <w:rPr>
          <w:lang w:val="fr-FR"/>
        </w:rPr>
        <w:t>’</w:t>
      </w:r>
      <w:r w:rsidR="003C52A6" w:rsidRPr="003A2679">
        <w:rPr>
          <w:lang w:val="fr-FR"/>
        </w:rPr>
        <w:t>UPOV, l</w:t>
      </w:r>
      <w:r w:rsidR="00056270">
        <w:rPr>
          <w:lang w:val="fr-FR"/>
        </w:rPr>
        <w:t>’</w:t>
      </w:r>
      <w:r w:rsidR="003C52A6" w:rsidRPr="003A2679">
        <w:rPr>
          <w:lang w:val="fr-FR"/>
        </w:rPr>
        <w:t>OCDE et l</w:t>
      </w:r>
      <w:r w:rsidR="00056270">
        <w:rPr>
          <w:lang w:val="fr-FR"/>
        </w:rPr>
        <w:t>’</w:t>
      </w:r>
      <w:r w:rsidR="003C52A6" w:rsidRPr="003A2679">
        <w:rPr>
          <w:lang w:val="fr-FR"/>
        </w:rPr>
        <w:t>ISTA pou</w:t>
      </w:r>
      <w:r w:rsidR="00154CF0" w:rsidRPr="003A2679">
        <w:rPr>
          <w:lang w:val="fr-FR"/>
        </w:rPr>
        <w:t>rr</w:t>
      </w:r>
      <w:r w:rsidR="003C52A6" w:rsidRPr="003A2679">
        <w:rPr>
          <w:lang w:val="fr-FR"/>
        </w:rPr>
        <w:t>aient inclure l</w:t>
      </w:r>
      <w:r w:rsidR="00056270">
        <w:rPr>
          <w:lang w:val="fr-FR"/>
        </w:rPr>
        <w:t>’</w:t>
      </w:r>
      <w:r w:rsidR="003C52A6" w:rsidRPr="003A2679">
        <w:rPr>
          <w:lang w:val="fr-FR"/>
        </w:rPr>
        <w:t>harmonisation des conditions et méthodes appliquées pour les différentes plantes et l</w:t>
      </w:r>
      <w:r w:rsidR="00056270">
        <w:rPr>
          <w:lang w:val="fr-FR"/>
        </w:rPr>
        <w:t>’</w:t>
      </w:r>
      <w:r w:rsidR="003C52A6" w:rsidRPr="003A2679">
        <w:rPr>
          <w:lang w:val="fr-FR"/>
        </w:rPr>
        <w:t>éventuelle élaboration de normes, après obtention de l</w:t>
      </w:r>
      <w:r w:rsidR="00056270">
        <w:rPr>
          <w:lang w:val="fr-FR"/>
        </w:rPr>
        <w:t>’</w:t>
      </w:r>
      <w:r w:rsidR="003C52A6" w:rsidRPr="003A2679">
        <w:rPr>
          <w:lang w:val="fr-FR"/>
        </w:rPr>
        <w:t>accord de ces organisations.</w:t>
      </w:r>
    </w:p>
    <w:p w:rsidR="00C30D44" w:rsidRPr="003A2679" w:rsidRDefault="00C30D44" w:rsidP="003D060A">
      <w:pPr>
        <w:rPr>
          <w:lang w:val="fr-FR" w:eastAsia="ja-JP"/>
        </w:rPr>
      </w:pPr>
    </w:p>
    <w:p w:rsidR="00C30D44" w:rsidRPr="003A2679" w:rsidRDefault="00C30D44" w:rsidP="003B5A65">
      <w:pPr>
        <w:keepLines/>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envisagé d</w:t>
      </w:r>
      <w:r w:rsidR="00056270">
        <w:rPr>
          <w:lang w:val="fr-FR"/>
        </w:rPr>
        <w:t>’</w:t>
      </w:r>
      <w:r w:rsidR="00000FBC" w:rsidRPr="003A2679">
        <w:rPr>
          <w:lang w:val="fr-FR"/>
        </w:rPr>
        <w:t>examiner les circonstances dans lesquelles les mêmes techniques et informations pourraient être utilisées par l</w:t>
      </w:r>
      <w:r w:rsidR="00056270">
        <w:rPr>
          <w:lang w:val="fr-FR"/>
        </w:rPr>
        <w:t>’</w:t>
      </w:r>
      <w:r w:rsidR="00000FBC" w:rsidRPr="003A2679">
        <w:rPr>
          <w:lang w:val="fr-FR"/>
        </w:rPr>
        <w:t>OCDE, l</w:t>
      </w:r>
      <w:r w:rsidR="00056270">
        <w:rPr>
          <w:lang w:val="fr-FR"/>
        </w:rPr>
        <w:t>’</w:t>
      </w:r>
      <w:r w:rsidR="00000FBC" w:rsidRPr="003A2679">
        <w:rPr>
          <w:lang w:val="fr-FR"/>
        </w:rPr>
        <w:t>ISTA et l</w:t>
      </w:r>
      <w:r w:rsidR="00056270">
        <w:rPr>
          <w:lang w:val="fr-FR"/>
        </w:rPr>
        <w:t>’</w:t>
      </w:r>
      <w:r w:rsidR="00000FBC" w:rsidRPr="003A2679">
        <w:rPr>
          <w:lang w:val="fr-FR"/>
        </w:rPr>
        <w:t>UPOV, compte tenu des objectifs différents poursuivis par les organisations, et est convenu que l</w:t>
      </w:r>
      <w:r w:rsidR="00056270">
        <w:rPr>
          <w:lang w:val="fr-FR"/>
        </w:rPr>
        <w:t>’</w:t>
      </w:r>
      <w:r w:rsidR="00000FBC" w:rsidRPr="003A2679">
        <w:rPr>
          <w:lang w:val="fr-FR"/>
        </w:rPr>
        <w:t>organisation par Naktuinbouw d</w:t>
      </w:r>
      <w:r w:rsidR="00056270">
        <w:rPr>
          <w:lang w:val="fr-FR"/>
        </w:rPr>
        <w:t>’</w:t>
      </w:r>
      <w:r w:rsidR="00000FBC" w:rsidRPr="003A2679">
        <w:rPr>
          <w:lang w:val="fr-FR"/>
        </w:rPr>
        <w:t xml:space="preserve">un atelier pratique </w:t>
      </w:r>
      <w:r w:rsidR="00056270" w:rsidRPr="003A2679">
        <w:rPr>
          <w:lang w:val="fr-FR"/>
        </w:rPr>
        <w:t>en</w:t>
      </w:r>
      <w:r w:rsidR="00056270">
        <w:rPr>
          <w:lang w:val="fr-FR"/>
        </w:rPr>
        <w:t> </w:t>
      </w:r>
      <w:r w:rsidR="00056270" w:rsidRPr="003A2679">
        <w:rPr>
          <w:lang w:val="fr-FR"/>
        </w:rPr>
        <w:t>2017</w:t>
      </w:r>
      <w:r w:rsidR="00000FBC" w:rsidRPr="003A2679">
        <w:rPr>
          <w:lang w:val="fr-FR"/>
        </w:rPr>
        <w:t>, à Roelofarendsveen (Pays</w:t>
      </w:r>
      <w:r w:rsidR="00283621">
        <w:rPr>
          <w:lang w:val="fr-FR"/>
        </w:rPr>
        <w:noBreakHyphen/>
      </w:r>
      <w:r w:rsidR="00000FBC" w:rsidRPr="003A2679">
        <w:rPr>
          <w:lang w:val="fr-FR"/>
        </w:rPr>
        <w:t>Bas) du 8 au 1</w:t>
      </w:r>
      <w:r w:rsidR="00056270" w:rsidRPr="003A2679">
        <w:rPr>
          <w:lang w:val="fr-FR"/>
        </w:rPr>
        <w:t>0</w:t>
      </w:r>
      <w:r w:rsidR="00056270">
        <w:rPr>
          <w:lang w:val="fr-FR"/>
        </w:rPr>
        <w:t> </w:t>
      </w:r>
      <w:r w:rsidR="00056270" w:rsidRPr="003A2679">
        <w:rPr>
          <w:lang w:val="fr-FR"/>
        </w:rPr>
        <w:t>mai</w:t>
      </w:r>
      <w:r w:rsidR="00056270">
        <w:rPr>
          <w:lang w:val="fr-FR"/>
        </w:rPr>
        <w:t> </w:t>
      </w:r>
      <w:r w:rsidR="00056270" w:rsidRPr="003A2679">
        <w:rPr>
          <w:lang w:val="fr-FR"/>
        </w:rPr>
        <w:t>20</w:t>
      </w:r>
      <w:r w:rsidR="00000FBC" w:rsidRPr="003A2679">
        <w:rPr>
          <w:lang w:val="fr-FR"/>
        </w:rPr>
        <w:t>17, permettrait d</w:t>
      </w:r>
      <w:r w:rsidR="00056270">
        <w:rPr>
          <w:lang w:val="fr-FR"/>
        </w:rPr>
        <w:t>’</w:t>
      </w:r>
      <w:r w:rsidR="00000FBC" w:rsidRPr="003A2679">
        <w:rPr>
          <w:lang w:val="fr-FR"/>
        </w:rPr>
        <w:t>examiner ces possibilités sur la base de situations concrètes</w:t>
      </w:r>
      <w:r w:rsidR="00263FE5" w:rsidRPr="003A2679">
        <w:rPr>
          <w:rStyle w:val="FootnoteReference"/>
          <w:lang w:val="fr-FR"/>
        </w:rPr>
        <w:footnoteReference w:id="6"/>
      </w:r>
      <w:r w:rsidR="00000FBC" w:rsidRPr="003A2679">
        <w:rPr>
          <w:lang w:val="fr-FR"/>
        </w:rPr>
        <w:t>.</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eastAsia="ja-JP"/>
        </w:rPr>
        <w:fldChar w:fldCharType="begin"/>
      </w:r>
      <w:r w:rsidRPr="003A2679">
        <w:rPr>
          <w:lang w:val="fr-FR" w:eastAsia="ja-JP"/>
        </w:rPr>
        <w:instrText xml:space="preserve"> AUTONUM  </w:instrText>
      </w:r>
      <w:r w:rsidRPr="003A2679">
        <w:rPr>
          <w:lang w:val="fr-FR" w:eastAsia="ja-JP"/>
        </w:rPr>
        <w:fldChar w:fldCharType="end"/>
      </w:r>
      <w:r w:rsidRPr="003A2679">
        <w:rPr>
          <w:lang w:val="fr-FR" w:eastAsia="ja-JP"/>
        </w:rPr>
        <w:tab/>
      </w:r>
      <w:r w:rsidR="00000FBC" w:rsidRPr="003A2679">
        <w:rPr>
          <w:lang w:val="fr-FR" w:eastAsia="ja-JP"/>
        </w:rPr>
        <w:t>À sa cinquante</w:t>
      </w:r>
      <w:r w:rsidR="00283621">
        <w:rPr>
          <w:lang w:val="fr-FR" w:eastAsia="ja-JP"/>
        </w:rPr>
        <w:noBreakHyphen/>
      </w:r>
      <w:r w:rsidR="00000FBC" w:rsidRPr="003A2679">
        <w:rPr>
          <w:lang w:val="fr-FR" w:eastAsia="ja-JP"/>
        </w:rPr>
        <w:t>trois</w:t>
      </w:r>
      <w:r w:rsidR="00056270">
        <w:rPr>
          <w:lang w:val="fr-FR" w:eastAsia="ja-JP"/>
        </w:rPr>
        <w:t>ième session</w:t>
      </w:r>
      <w:r w:rsidR="00000FBC" w:rsidRPr="003A2679">
        <w:rPr>
          <w:lang w:val="fr-FR" w:eastAsia="ja-JP"/>
        </w:rPr>
        <w:t>, le</w:t>
      </w:r>
      <w:r w:rsidR="00056270" w:rsidRPr="00056270">
        <w:rPr>
          <w:lang w:val="fr-FR" w:eastAsia="ja-JP"/>
        </w:rPr>
        <w:t> TC</w:t>
      </w:r>
      <w:r w:rsidR="00000FBC" w:rsidRPr="003A2679">
        <w:rPr>
          <w:lang w:val="fr-FR" w:eastAsia="ja-JP"/>
        </w:rPr>
        <w:t xml:space="preserve"> est convenu </w:t>
      </w:r>
      <w:r w:rsidR="00000FBC" w:rsidRPr="003A2679">
        <w:rPr>
          <w:lang w:val="fr-FR"/>
        </w:rPr>
        <w:t>que l</w:t>
      </w:r>
      <w:r w:rsidR="00056270">
        <w:rPr>
          <w:lang w:val="fr-FR"/>
        </w:rPr>
        <w:t>’</w:t>
      </w:r>
      <w:r w:rsidR="00000FBC" w:rsidRPr="003A2679">
        <w:rPr>
          <w:lang w:val="fr-FR"/>
        </w:rPr>
        <w:t>UPOV et l</w:t>
      </w:r>
      <w:r w:rsidR="00056270">
        <w:rPr>
          <w:lang w:val="fr-FR"/>
        </w:rPr>
        <w:t>’</w:t>
      </w:r>
      <w:r w:rsidR="00000FBC" w:rsidRPr="003A2679">
        <w:rPr>
          <w:lang w:val="fr-FR"/>
        </w:rPr>
        <w:t>OCDE devraient envisager de faire avancer les questions mentionnées ci</w:t>
      </w:r>
      <w:r w:rsidR="00283621">
        <w:rPr>
          <w:lang w:val="fr-FR"/>
        </w:rPr>
        <w:noBreakHyphen/>
      </w:r>
      <w:r w:rsidR="00000FBC" w:rsidRPr="003A2679">
        <w:rPr>
          <w:lang w:val="fr-FR"/>
        </w:rPr>
        <w:t>dessus si l</w:t>
      </w:r>
      <w:r w:rsidR="00056270">
        <w:rPr>
          <w:lang w:val="fr-FR"/>
        </w:rPr>
        <w:t>’</w:t>
      </w:r>
      <w:r w:rsidR="00000FBC" w:rsidRPr="003A2679">
        <w:rPr>
          <w:lang w:val="fr-FR"/>
        </w:rPr>
        <w:t>ISTA n</w:t>
      </w:r>
      <w:r w:rsidR="00056270">
        <w:rPr>
          <w:lang w:val="fr-FR"/>
        </w:rPr>
        <w:t>’</w:t>
      </w:r>
      <w:r w:rsidR="00000FBC" w:rsidRPr="003A2679">
        <w:rPr>
          <w:lang w:val="fr-FR"/>
        </w:rPr>
        <w:t>était plus en mesure de participer dans un futur proche</w:t>
      </w:r>
      <w:r w:rsidRPr="003A2679">
        <w:rPr>
          <w:lang w:val="fr-FR" w:eastAsia="ja-JP"/>
        </w:rPr>
        <w:t>.</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de la proposition des Pays</w:t>
      </w:r>
      <w:r w:rsidR="00283621">
        <w:rPr>
          <w:lang w:val="fr-FR"/>
        </w:rPr>
        <w:noBreakHyphen/>
      </w:r>
      <w:r w:rsidR="00000FBC" w:rsidRPr="003A2679">
        <w:rPr>
          <w:lang w:val="fr-FR"/>
        </w:rPr>
        <w:t>Bas de présenter</w:t>
      </w:r>
      <w:r w:rsidR="00056270" w:rsidRPr="00056270">
        <w:rPr>
          <w:lang w:val="fr-FR"/>
        </w:rPr>
        <w:t xml:space="preserve"> au TWC</w:t>
      </w:r>
      <w:r w:rsidR="00000FBC" w:rsidRPr="003A2679">
        <w:rPr>
          <w:lang w:val="fr-FR"/>
        </w:rPr>
        <w:t xml:space="preserve"> un compte rendu des projets sur l</w:t>
      </w:r>
      <w:r w:rsidR="00056270">
        <w:rPr>
          <w:lang w:val="fr-FR"/>
        </w:rPr>
        <w:t>’</w:t>
      </w:r>
      <w:r w:rsidR="00000FBC" w:rsidRPr="003A2679">
        <w:rPr>
          <w:lang w:val="fr-FR"/>
        </w:rPr>
        <w:t>utilisation des techniques moléculaires dans le cadre de l</w:t>
      </w:r>
      <w:r w:rsidR="00056270">
        <w:rPr>
          <w:lang w:val="fr-FR"/>
        </w:rPr>
        <w:t>’</w:t>
      </w:r>
      <w:r w:rsidR="00000FBC" w:rsidRPr="003A2679">
        <w:rPr>
          <w:lang w:val="fr-FR"/>
        </w:rPr>
        <w:t>examen</w:t>
      </w:r>
      <w:r w:rsidR="000D757D">
        <w:rPr>
          <w:lang w:val="fr-FR"/>
        </w:rPr>
        <w:t> </w:t>
      </w:r>
      <w:r w:rsidR="00000FBC" w:rsidRPr="003A2679">
        <w:rPr>
          <w:lang w:val="fr-FR"/>
        </w:rPr>
        <w:t>DHS.</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de la proposition de la Chine de faire part</w:t>
      </w:r>
      <w:r w:rsidR="00056270" w:rsidRPr="00056270">
        <w:rPr>
          <w:lang w:val="fr-FR"/>
        </w:rPr>
        <w:t xml:space="preserve"> au TWC</w:t>
      </w:r>
      <w:r w:rsidR="00000FBC" w:rsidRPr="003A2679">
        <w:rPr>
          <w:lang w:val="fr-FR"/>
        </w:rPr>
        <w:t xml:space="preserve"> de son expérience dans l</w:t>
      </w:r>
      <w:r w:rsidR="00056270">
        <w:rPr>
          <w:lang w:val="fr-FR"/>
        </w:rPr>
        <w:t>’</w:t>
      </w:r>
      <w:r w:rsidR="00000FBC" w:rsidRPr="003A2679">
        <w:rPr>
          <w:lang w:val="fr-FR"/>
        </w:rPr>
        <w:t>utilisation des bases de données sur l</w:t>
      </w:r>
      <w:r w:rsidR="00056270">
        <w:rPr>
          <w:lang w:val="fr-FR"/>
        </w:rPr>
        <w:t>’</w:t>
      </w:r>
      <w:r w:rsidR="00000FBC" w:rsidRPr="003A2679">
        <w:rPr>
          <w:lang w:val="fr-FR"/>
        </w:rPr>
        <w:t>ADN pour le maïs, le riz et le blé pour la sélection de variétés similaires aux fins de l</w:t>
      </w:r>
      <w:r w:rsidR="00056270">
        <w:rPr>
          <w:lang w:val="fr-FR"/>
        </w:rPr>
        <w:t>’</w:t>
      </w:r>
      <w:r w:rsidR="00000FBC" w:rsidRPr="003A2679">
        <w:rPr>
          <w:lang w:val="fr-FR"/>
        </w:rPr>
        <w:t>examen de la distinction.</w:t>
      </w:r>
    </w:p>
    <w:p w:rsidR="00C30D44" w:rsidRPr="003A2679" w:rsidRDefault="00C30D44" w:rsidP="003D060A">
      <w:pPr>
        <w:rPr>
          <w:lang w:val="fr-FR" w:eastAsia="ja-JP"/>
        </w:rPr>
      </w:pPr>
    </w:p>
    <w:p w:rsidR="00C30D44" w:rsidRPr="003A2679" w:rsidRDefault="00C30D44" w:rsidP="00FB1D90">
      <w:pPr>
        <w:keepNext/>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que</w:t>
      </w:r>
      <w:r w:rsidR="00056270" w:rsidRPr="00056270">
        <w:rPr>
          <w:lang w:val="fr-FR"/>
        </w:rPr>
        <w:t xml:space="preserve"> le TWC</w:t>
      </w:r>
      <w:r w:rsidR="00000FBC" w:rsidRPr="003A2679">
        <w:rPr>
          <w:lang w:val="fr-FR"/>
        </w:rPr>
        <w:t xml:space="preserve"> était convenu d</w:t>
      </w:r>
      <w:r w:rsidR="00056270">
        <w:rPr>
          <w:lang w:val="fr-FR"/>
        </w:rPr>
        <w:t>’</w:t>
      </w:r>
      <w:r w:rsidR="00000FBC" w:rsidRPr="003A2679">
        <w:rPr>
          <w:lang w:val="fr-FR"/>
        </w:rPr>
        <w:t>inviter les membres à présenter des exposés sur les aspects statistiques dans l</w:t>
      </w:r>
      <w:r w:rsidR="00056270">
        <w:rPr>
          <w:lang w:val="fr-FR"/>
        </w:rPr>
        <w:t>’</w:t>
      </w:r>
      <w:r w:rsidR="00000FBC" w:rsidRPr="003A2679">
        <w:rPr>
          <w:lang w:val="fr-FR"/>
        </w:rPr>
        <w:t>utilisation de marqueurs moléculaires dans l</w:t>
      </w:r>
      <w:r w:rsidR="00056270">
        <w:rPr>
          <w:lang w:val="fr-FR"/>
        </w:rPr>
        <w:t>’</w:t>
      </w:r>
      <w:r w:rsidR="00000FBC" w:rsidRPr="003A2679">
        <w:rPr>
          <w:lang w:val="fr-FR"/>
        </w:rPr>
        <w:t>examen</w:t>
      </w:r>
      <w:r w:rsidR="000D757D">
        <w:rPr>
          <w:lang w:val="fr-FR"/>
        </w:rPr>
        <w:t> </w:t>
      </w:r>
      <w:r w:rsidR="00000FBC" w:rsidRPr="003A2679">
        <w:rPr>
          <w:lang w:val="fr-FR"/>
        </w:rPr>
        <w:t xml:space="preserve">DHS, </w:t>
      </w:r>
      <w:r w:rsidR="00056270">
        <w:rPr>
          <w:lang w:val="fr-FR"/>
        </w:rPr>
        <w:t>y compris</w:t>
      </w:r>
      <w:r w:rsidR="00000FBC" w:rsidRPr="003A2679">
        <w:rPr>
          <w:lang w:val="fr-FR"/>
        </w:rPr>
        <w:t xml:space="preserve"> la sélection de variétés similaires et l</w:t>
      </w:r>
      <w:r w:rsidR="00056270">
        <w:rPr>
          <w:lang w:val="fr-FR"/>
        </w:rPr>
        <w:t>’</w:t>
      </w:r>
      <w:r w:rsidR="00000FBC" w:rsidRPr="003A2679">
        <w:rPr>
          <w:lang w:val="fr-FR"/>
        </w:rPr>
        <w:t>organisation d</w:t>
      </w:r>
      <w:r w:rsidR="00056270">
        <w:rPr>
          <w:lang w:val="fr-FR"/>
        </w:rPr>
        <w:t>’</w:t>
      </w:r>
      <w:r w:rsidR="00000FBC" w:rsidRPr="003A2679">
        <w:rPr>
          <w:lang w:val="fr-FR"/>
        </w:rPr>
        <w:t>essais en culture.</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de la proposition de la France de présenter, à la trente</w:t>
      </w:r>
      <w:r w:rsidR="00283621">
        <w:rPr>
          <w:lang w:val="fr-FR"/>
        </w:rPr>
        <w:noBreakHyphen/>
      </w:r>
      <w:r w:rsidR="00000FBC" w:rsidRPr="003A2679">
        <w:rPr>
          <w:lang w:val="fr-FR"/>
        </w:rPr>
        <w:t>cinqu</w:t>
      </w:r>
      <w:r w:rsidR="00056270">
        <w:rPr>
          <w:lang w:val="fr-FR"/>
        </w:rPr>
        <w:t>ième session</w:t>
      </w:r>
      <w:r w:rsidR="00056270" w:rsidRPr="00056270">
        <w:rPr>
          <w:lang w:val="fr-FR"/>
        </w:rPr>
        <w:t xml:space="preserve"> du TWC</w:t>
      </w:r>
      <w:r w:rsidR="00000FBC" w:rsidRPr="003A2679">
        <w:rPr>
          <w:lang w:val="fr-FR"/>
        </w:rPr>
        <w:t>, un exposé sur les travaux en cours concernant les bases de données contenant des données moléculaires avec calcul des distances moléculaires au moyen du logiciel GAIA.</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que</w:t>
      </w:r>
      <w:r w:rsidR="00056270" w:rsidRPr="00056270">
        <w:rPr>
          <w:lang w:val="fr-FR"/>
        </w:rPr>
        <w:t xml:space="preserve"> le TWC</w:t>
      </w:r>
      <w:r w:rsidR="00000FBC" w:rsidRPr="003A2679">
        <w:rPr>
          <w:lang w:val="fr-FR"/>
        </w:rPr>
        <w:t xml:space="preserve"> était convenu que les logiciels et les bases de données ainsi que les méthodes statistiques associées étaient des éléments importants de l</w:t>
      </w:r>
      <w:r w:rsidR="00056270">
        <w:rPr>
          <w:lang w:val="fr-FR"/>
        </w:rPr>
        <w:t>’</w:t>
      </w:r>
      <w:r w:rsidR="00000FBC" w:rsidRPr="003A2679">
        <w:rPr>
          <w:lang w:val="fr-FR"/>
        </w:rPr>
        <w:t>examen</w:t>
      </w:r>
      <w:r w:rsidR="000D757D">
        <w:rPr>
          <w:lang w:val="fr-FR"/>
        </w:rPr>
        <w:t> </w:t>
      </w:r>
      <w:r w:rsidR="00000FBC" w:rsidRPr="003A2679">
        <w:rPr>
          <w:lang w:val="fr-FR"/>
        </w:rPr>
        <w:t>DHS et qu</w:t>
      </w:r>
      <w:r w:rsidR="00056270">
        <w:rPr>
          <w:lang w:val="fr-FR"/>
        </w:rPr>
        <w:t>’</w:t>
      </w:r>
      <w:r w:rsidR="00000FBC" w:rsidRPr="003A2679">
        <w:rPr>
          <w:lang w:val="fr-FR"/>
        </w:rPr>
        <w:t>ils présentaient un intérêt croissant pour la protection des obtentions végétales, et que le président</w:t>
      </w:r>
      <w:r w:rsidR="00056270" w:rsidRPr="00056270">
        <w:rPr>
          <w:lang w:val="fr-FR"/>
        </w:rPr>
        <w:t xml:space="preserve"> du TWC</w:t>
      </w:r>
      <w:r w:rsidR="00000FBC" w:rsidRPr="003A2679">
        <w:rPr>
          <w:lang w:val="fr-FR"/>
        </w:rPr>
        <w:t xml:space="preserve"> devrait présenter au</w:t>
      </w:r>
      <w:r w:rsidR="00056270" w:rsidRPr="00056270">
        <w:rPr>
          <w:lang w:val="fr-FR"/>
        </w:rPr>
        <w:t> TC</w:t>
      </w:r>
      <w:r w:rsidR="00000FBC" w:rsidRPr="003A2679">
        <w:rPr>
          <w:lang w:val="fr-FR"/>
        </w:rPr>
        <w:t xml:space="preserve"> un compte rendu sur ces éléments particuliers.</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qu</w:t>
      </w:r>
      <w:r w:rsidR="00056270">
        <w:rPr>
          <w:lang w:val="fr-FR"/>
        </w:rPr>
        <w:t>’</w:t>
      </w:r>
      <w:r w:rsidR="00000FBC" w:rsidRPr="003A2679">
        <w:rPr>
          <w:lang w:val="fr-FR"/>
        </w:rPr>
        <w:t>un Atelier conjoint de l</w:t>
      </w:r>
      <w:r w:rsidR="00056270">
        <w:rPr>
          <w:lang w:val="fr-FR"/>
        </w:rPr>
        <w:t>’</w:t>
      </w:r>
      <w:r w:rsidR="00000FBC" w:rsidRPr="003A2679">
        <w:rPr>
          <w:lang w:val="fr-FR"/>
        </w:rPr>
        <w:t>OCDE, de l</w:t>
      </w:r>
      <w:r w:rsidR="00056270">
        <w:rPr>
          <w:lang w:val="fr-FR"/>
        </w:rPr>
        <w:t>’</w:t>
      </w:r>
      <w:r w:rsidR="00000FBC" w:rsidRPr="003A2679">
        <w:rPr>
          <w:lang w:val="fr-FR"/>
        </w:rPr>
        <w:t>UPOV, de l</w:t>
      </w:r>
      <w:r w:rsidR="00056270">
        <w:rPr>
          <w:lang w:val="fr-FR"/>
        </w:rPr>
        <w:t>’</w:t>
      </w:r>
      <w:r w:rsidR="00000FBC" w:rsidRPr="003A2679">
        <w:rPr>
          <w:lang w:val="fr-FR"/>
        </w:rPr>
        <w:t>ISTA et de l</w:t>
      </w:r>
      <w:r w:rsidR="00056270">
        <w:rPr>
          <w:lang w:val="fr-FR"/>
        </w:rPr>
        <w:t>’</w:t>
      </w:r>
      <w:r w:rsidR="00000FBC" w:rsidRPr="003A2679">
        <w:rPr>
          <w:lang w:val="fr-FR"/>
        </w:rPr>
        <w:t xml:space="preserve">AOSA sur les méthodes biochimiques et moléculaires avait eu lieu à Paris le </w:t>
      </w:r>
      <w:r w:rsidR="00056270" w:rsidRPr="003A2679">
        <w:rPr>
          <w:lang w:val="fr-FR"/>
        </w:rPr>
        <w:t>8</w:t>
      </w:r>
      <w:r w:rsidR="00056270">
        <w:rPr>
          <w:lang w:val="fr-FR"/>
        </w:rPr>
        <w:t> </w:t>
      </w:r>
      <w:r w:rsidR="00056270" w:rsidRPr="003A2679">
        <w:rPr>
          <w:lang w:val="fr-FR"/>
        </w:rPr>
        <w:t>juin</w:t>
      </w:r>
      <w:r w:rsidR="00056270">
        <w:rPr>
          <w:lang w:val="fr-FR"/>
        </w:rPr>
        <w:t> </w:t>
      </w:r>
      <w:r w:rsidR="00056270" w:rsidRPr="003A2679">
        <w:rPr>
          <w:lang w:val="fr-FR"/>
        </w:rPr>
        <w:t>20</w:t>
      </w:r>
      <w:r w:rsidR="00000FBC" w:rsidRPr="003A2679">
        <w:rPr>
          <w:lang w:val="fr-FR"/>
        </w:rPr>
        <w:t>16, et que les recommandations de l</w:t>
      </w:r>
      <w:r w:rsidR="00056270">
        <w:rPr>
          <w:lang w:val="fr-FR"/>
        </w:rPr>
        <w:t>’</w:t>
      </w:r>
      <w:r w:rsidR="00000FBC" w:rsidRPr="003A2679">
        <w:rPr>
          <w:lang w:val="fr-FR"/>
        </w:rPr>
        <w:t>OCDE, de l</w:t>
      </w:r>
      <w:r w:rsidR="00056270">
        <w:rPr>
          <w:lang w:val="fr-FR"/>
        </w:rPr>
        <w:t>’</w:t>
      </w:r>
      <w:r w:rsidR="00000FBC" w:rsidRPr="003A2679">
        <w:rPr>
          <w:lang w:val="fr-FR"/>
        </w:rPr>
        <w:t>UPOV, de l</w:t>
      </w:r>
      <w:r w:rsidR="00056270">
        <w:rPr>
          <w:lang w:val="fr-FR"/>
        </w:rPr>
        <w:t>’</w:t>
      </w:r>
      <w:r w:rsidR="00000FBC" w:rsidRPr="003A2679">
        <w:rPr>
          <w:lang w:val="fr-FR"/>
        </w:rPr>
        <w:t>ISTA et de l</w:t>
      </w:r>
      <w:r w:rsidR="00056270">
        <w:rPr>
          <w:lang w:val="fr-FR"/>
        </w:rPr>
        <w:t>’</w:t>
      </w:r>
      <w:r w:rsidR="00000FBC" w:rsidRPr="003A2679">
        <w:rPr>
          <w:lang w:val="fr-FR"/>
        </w:rPr>
        <w:t xml:space="preserve">AOSA, présentées au </w:t>
      </w:r>
      <w:r w:rsidR="00056270" w:rsidRPr="003A2679">
        <w:rPr>
          <w:lang w:val="fr-FR"/>
        </w:rPr>
        <w:t>paragraphe</w:t>
      </w:r>
      <w:r w:rsidR="00056270">
        <w:rPr>
          <w:lang w:val="fr-FR"/>
        </w:rPr>
        <w:t> </w:t>
      </w:r>
      <w:r w:rsidR="00056270" w:rsidRPr="003A2679">
        <w:rPr>
          <w:lang w:val="fr-FR"/>
        </w:rPr>
        <w:t>2</w:t>
      </w:r>
      <w:r w:rsidR="00000FBC" w:rsidRPr="003A2679">
        <w:rPr>
          <w:lang w:val="fr-FR"/>
        </w:rPr>
        <w:t xml:space="preserve">5 du </w:t>
      </w:r>
      <w:r w:rsidR="00056270" w:rsidRPr="00056270">
        <w:rPr>
          <w:lang w:val="fr-FR"/>
        </w:rPr>
        <w:t>document TC</w:t>
      </w:r>
      <w:r w:rsidR="00000FBC" w:rsidRPr="003A2679">
        <w:rPr>
          <w:lang w:val="fr-FR"/>
        </w:rPr>
        <w:t>/53/11, avaient été approuvées lors de la réunion annuelle sur les Systèmes des semences de l</w:t>
      </w:r>
      <w:r w:rsidR="00056270">
        <w:rPr>
          <w:lang w:val="fr-FR"/>
        </w:rPr>
        <w:t>’</w:t>
      </w:r>
      <w:r w:rsidR="00000FBC" w:rsidRPr="003A2679">
        <w:rPr>
          <w:lang w:val="fr-FR"/>
        </w:rPr>
        <w:t>OCDE qui s</w:t>
      </w:r>
      <w:r w:rsidR="00056270">
        <w:rPr>
          <w:lang w:val="fr-FR"/>
        </w:rPr>
        <w:t>’</w:t>
      </w:r>
      <w:r w:rsidR="00000FBC" w:rsidRPr="003A2679">
        <w:rPr>
          <w:lang w:val="fr-FR"/>
        </w:rPr>
        <w:t>était tenue à Paris les 9 et 1</w:t>
      </w:r>
      <w:r w:rsidR="00056270" w:rsidRPr="003A2679">
        <w:rPr>
          <w:lang w:val="fr-FR"/>
        </w:rPr>
        <w:t>0</w:t>
      </w:r>
      <w:r w:rsidR="00056270">
        <w:rPr>
          <w:lang w:val="fr-FR"/>
        </w:rPr>
        <w:t> </w:t>
      </w:r>
      <w:r w:rsidR="00056270" w:rsidRPr="003A2679">
        <w:rPr>
          <w:lang w:val="fr-FR"/>
        </w:rPr>
        <w:t>juin</w:t>
      </w:r>
      <w:r w:rsidR="00056270">
        <w:rPr>
          <w:lang w:val="fr-FR"/>
        </w:rPr>
        <w:t> </w:t>
      </w:r>
      <w:r w:rsidR="00056270" w:rsidRPr="003A2679">
        <w:rPr>
          <w:lang w:val="fr-FR"/>
        </w:rPr>
        <w:t>20</w:t>
      </w:r>
      <w:r w:rsidR="00000FBC" w:rsidRPr="003A2679">
        <w:rPr>
          <w:lang w:val="fr-FR"/>
        </w:rPr>
        <w:t>16</w:t>
      </w:r>
      <w:r w:rsidRPr="003A2679">
        <w:rPr>
          <w:lang w:val="fr-FR" w:eastAsia="ja-JP"/>
        </w:rPr>
        <w:t>.</w:t>
      </w:r>
    </w:p>
    <w:p w:rsidR="00C30D44" w:rsidRPr="003A2679" w:rsidRDefault="00C30D44" w:rsidP="003D060A">
      <w:pPr>
        <w:rPr>
          <w:lang w:val="fr-FR" w:eastAsia="ja-JP"/>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a pris note que le projet de questions et réponses concernant la diffusion d</w:t>
      </w:r>
      <w:r w:rsidR="00056270">
        <w:rPr>
          <w:lang w:val="fr-FR"/>
        </w:rPr>
        <w:t>’</w:t>
      </w:r>
      <w:r w:rsidR="00000FBC" w:rsidRPr="003A2679">
        <w:rPr>
          <w:lang w:val="fr-FR"/>
        </w:rPr>
        <w:t xml:space="preserve">informations à un large public, </w:t>
      </w:r>
      <w:r w:rsidR="00056270">
        <w:rPr>
          <w:lang w:val="fr-FR"/>
        </w:rPr>
        <w:t>y compris</w:t>
      </w:r>
      <w:r w:rsidR="00000FBC" w:rsidRPr="003A2679">
        <w:rPr>
          <w:lang w:val="fr-FR"/>
        </w:rPr>
        <w:t xml:space="preserve"> le public en général, sur la situation à l</w:t>
      </w:r>
      <w:r w:rsidR="00056270">
        <w:rPr>
          <w:lang w:val="fr-FR"/>
        </w:rPr>
        <w:t>’</w:t>
      </w:r>
      <w:r w:rsidR="00000FBC" w:rsidRPr="003A2679">
        <w:rPr>
          <w:lang w:val="fr-FR"/>
        </w:rPr>
        <w:t>UPOV concernant l</w:t>
      </w:r>
      <w:r w:rsidR="00056270">
        <w:rPr>
          <w:lang w:val="fr-FR"/>
        </w:rPr>
        <w:t>’</w:t>
      </w:r>
      <w:r w:rsidR="00000FBC" w:rsidRPr="003A2679">
        <w:rPr>
          <w:lang w:val="fr-FR"/>
        </w:rPr>
        <w:t>utilisation de techniques moléculaires, avait été approuvé par le Conseil à sa cinquant</w:t>
      </w:r>
      <w:r w:rsidR="00056270">
        <w:rPr>
          <w:lang w:val="fr-FR"/>
        </w:rPr>
        <w:t>ième session</w:t>
      </w:r>
      <w:r w:rsidRPr="003A2679">
        <w:rPr>
          <w:lang w:val="fr-FR" w:eastAsia="ja-JP"/>
        </w:rPr>
        <w:t>.</w:t>
      </w:r>
    </w:p>
    <w:p w:rsidR="00C30D44" w:rsidRPr="003A2679" w:rsidRDefault="00C30D44" w:rsidP="003D060A">
      <w:pPr>
        <w:ind w:left="567" w:hanging="567"/>
        <w:rPr>
          <w:lang w:val="fr-FR"/>
        </w:rPr>
      </w:pPr>
    </w:p>
    <w:p w:rsidR="00C30D44" w:rsidRPr="003A2679" w:rsidRDefault="00C30D44" w:rsidP="003D060A">
      <w:pPr>
        <w:rPr>
          <w:lang w:val="fr-FR" w:eastAsia="ja-JP"/>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w:t>
      </w:r>
      <w:r w:rsidR="00056270" w:rsidRPr="00056270">
        <w:rPr>
          <w:lang w:val="fr-FR"/>
        </w:rPr>
        <w:t> TC</w:t>
      </w:r>
      <w:r w:rsidR="00000FBC" w:rsidRPr="003A2679">
        <w:rPr>
          <w:lang w:val="fr-FR"/>
        </w:rPr>
        <w:t xml:space="preserve"> est convenu de proposer que les réunions</w:t>
      </w:r>
      <w:r w:rsidR="00056270" w:rsidRPr="00056270">
        <w:rPr>
          <w:lang w:val="fr-FR"/>
        </w:rPr>
        <w:t xml:space="preserve"> du BMT</w:t>
      </w:r>
      <w:r w:rsidR="00000FBC" w:rsidRPr="003A2679">
        <w:rPr>
          <w:lang w:val="fr-FR"/>
        </w:rPr>
        <w:t xml:space="preserve"> se tiennent chaque année et d</w:t>
      </w:r>
      <w:r w:rsidR="00056270">
        <w:rPr>
          <w:lang w:val="fr-FR"/>
        </w:rPr>
        <w:t>’</w:t>
      </w:r>
      <w:r w:rsidR="00000FBC" w:rsidRPr="003A2679">
        <w:rPr>
          <w:lang w:val="fr-FR"/>
        </w:rPr>
        <w:t>envisager l</w:t>
      </w:r>
      <w:r w:rsidR="00056270">
        <w:rPr>
          <w:lang w:val="fr-FR"/>
        </w:rPr>
        <w:t>’</w:t>
      </w:r>
      <w:r w:rsidR="00000FBC" w:rsidRPr="003A2679">
        <w:rPr>
          <w:lang w:val="fr-FR"/>
        </w:rPr>
        <w:t>organisation consécutive des sessions</w:t>
      </w:r>
      <w:r w:rsidR="00056270" w:rsidRPr="00056270">
        <w:rPr>
          <w:lang w:val="fr-FR"/>
        </w:rPr>
        <w:t xml:space="preserve"> du TWC</w:t>
      </w:r>
      <w:r w:rsidR="00000FBC" w:rsidRPr="003A2679">
        <w:rPr>
          <w:lang w:val="fr-FR"/>
        </w:rPr>
        <w:t xml:space="preserve"> et</w:t>
      </w:r>
      <w:r w:rsidR="00056270" w:rsidRPr="00056270">
        <w:rPr>
          <w:lang w:val="fr-FR"/>
        </w:rPr>
        <w:t xml:space="preserve"> du BMT</w:t>
      </w:r>
      <w:r w:rsidR="00000FBC" w:rsidRPr="003A2679">
        <w:rPr>
          <w:lang w:val="fr-FR"/>
        </w:rPr>
        <w:t xml:space="preserve"> dans la même localité afin de faciliter les échanges d</w:t>
      </w:r>
      <w:r w:rsidR="00056270">
        <w:rPr>
          <w:lang w:val="fr-FR"/>
        </w:rPr>
        <w:t>’</w:t>
      </w:r>
      <w:r w:rsidR="00000FBC" w:rsidRPr="003A2679">
        <w:rPr>
          <w:lang w:val="fr-FR"/>
        </w:rPr>
        <w:t>informations</w:t>
      </w:r>
      <w:r w:rsidRPr="003A2679">
        <w:rPr>
          <w:lang w:val="fr-FR" w:eastAsia="ja-JP"/>
        </w:rPr>
        <w:t>.</w:t>
      </w:r>
    </w:p>
    <w:p w:rsidR="003B5A65" w:rsidRPr="003A2679" w:rsidRDefault="003B5A65" w:rsidP="003D060A">
      <w:pPr>
        <w:rPr>
          <w:snapToGrid w:val="0"/>
          <w:color w:val="000000" w:themeColor="text1"/>
          <w:lang w:val="fr-FR" w:eastAsia="ja-JP"/>
        </w:rPr>
      </w:pPr>
    </w:p>
    <w:p w:rsidR="00C30D44" w:rsidRPr="003A2679" w:rsidRDefault="00C30D44" w:rsidP="003D060A">
      <w:pPr>
        <w:pStyle w:val="DecisionParagraphs"/>
        <w:rPr>
          <w:lang w:val="fr-FR"/>
        </w:rPr>
      </w:pPr>
      <w:r w:rsidRPr="003A2679">
        <w:rPr>
          <w:lang w:val="fr-FR"/>
        </w:rPr>
        <w:fldChar w:fldCharType="begin"/>
      </w:r>
      <w:r w:rsidRPr="003A2679">
        <w:rPr>
          <w:lang w:val="fr-FR"/>
        </w:rPr>
        <w:instrText xml:space="preserve"> AUTONUM  </w:instrText>
      </w:r>
      <w:r w:rsidRPr="003A2679">
        <w:rPr>
          <w:lang w:val="fr-FR"/>
        </w:rPr>
        <w:fldChar w:fldCharType="end"/>
      </w:r>
      <w:r w:rsidRPr="003A2679">
        <w:rPr>
          <w:lang w:val="fr-FR"/>
        </w:rPr>
        <w:tab/>
      </w:r>
      <w:r w:rsidR="00000FBC" w:rsidRPr="003A2679">
        <w:rPr>
          <w:lang w:val="fr-FR"/>
        </w:rPr>
        <w:t>Le CAJ est invité à noter que</w:t>
      </w:r>
    </w:p>
    <w:p w:rsidR="00056270" w:rsidRDefault="00056270" w:rsidP="003D060A">
      <w:pPr>
        <w:pStyle w:val="DecisionParagraphs"/>
        <w:rPr>
          <w:lang w:val="fr-FR"/>
        </w:rPr>
      </w:pPr>
    </w:p>
    <w:p w:rsidR="00C30D44" w:rsidRPr="003A2679" w:rsidRDefault="00000FBC" w:rsidP="00FB1D90">
      <w:pPr>
        <w:pStyle w:val="DecisionParagraphs"/>
        <w:tabs>
          <w:tab w:val="left" w:pos="5954"/>
        </w:tabs>
        <w:rPr>
          <w:lang w:val="fr-FR"/>
        </w:rPr>
      </w:pPr>
      <w:r w:rsidRPr="003A2679">
        <w:rPr>
          <w:lang w:val="fr-FR"/>
        </w:rPr>
        <w:tab/>
      </w:r>
      <w:r w:rsidR="00F420B2" w:rsidRPr="003A2679">
        <w:rPr>
          <w:lang w:val="fr-FR"/>
        </w:rPr>
        <w:t>a</w:t>
      </w:r>
      <w:r w:rsidR="00C30D44" w:rsidRPr="003A2679">
        <w:rPr>
          <w:lang w:val="fr-FR"/>
        </w:rPr>
        <w:t>)</w:t>
      </w:r>
      <w:r w:rsidR="00C30D44" w:rsidRPr="003A2679">
        <w:rPr>
          <w:lang w:val="fr-FR"/>
        </w:rPr>
        <w:tab/>
      </w:r>
      <w:r w:rsidRPr="003A2679">
        <w:rPr>
          <w:lang w:val="fr-FR"/>
        </w:rPr>
        <w:t>le projet de questions et réponses concernant la diffusion d</w:t>
      </w:r>
      <w:r w:rsidR="00056270">
        <w:rPr>
          <w:lang w:val="fr-FR"/>
        </w:rPr>
        <w:t>’</w:t>
      </w:r>
      <w:r w:rsidRPr="003A2679">
        <w:rPr>
          <w:lang w:val="fr-FR"/>
        </w:rPr>
        <w:t xml:space="preserve">informations à un large public, </w:t>
      </w:r>
      <w:r w:rsidR="00056270">
        <w:rPr>
          <w:lang w:val="fr-FR"/>
        </w:rPr>
        <w:t>y compris</w:t>
      </w:r>
      <w:r w:rsidRPr="003A2679">
        <w:rPr>
          <w:lang w:val="fr-FR"/>
        </w:rPr>
        <w:t xml:space="preserve"> le public en général, sur la situation à l</w:t>
      </w:r>
      <w:r w:rsidR="00056270">
        <w:rPr>
          <w:lang w:val="fr-FR"/>
        </w:rPr>
        <w:t>’</w:t>
      </w:r>
      <w:r w:rsidRPr="003A2679">
        <w:rPr>
          <w:lang w:val="fr-FR"/>
        </w:rPr>
        <w:t>UPOV au regard de l</w:t>
      </w:r>
      <w:r w:rsidR="00056270">
        <w:rPr>
          <w:lang w:val="fr-FR"/>
        </w:rPr>
        <w:t>’</w:t>
      </w:r>
      <w:r w:rsidRPr="003A2679">
        <w:rPr>
          <w:lang w:val="fr-FR"/>
        </w:rPr>
        <w:t xml:space="preserve">utilisation de techniques moléculaires, comme indiqué au </w:t>
      </w:r>
      <w:r w:rsidR="00056270" w:rsidRPr="003A2679">
        <w:rPr>
          <w:lang w:val="fr-FR"/>
        </w:rPr>
        <w:t>paragraphe</w:t>
      </w:r>
      <w:r w:rsidR="00056270">
        <w:rPr>
          <w:lang w:val="fr-FR"/>
        </w:rPr>
        <w:t> </w:t>
      </w:r>
      <w:r w:rsidR="00056270" w:rsidRPr="003A2679">
        <w:rPr>
          <w:lang w:val="fr-FR"/>
        </w:rPr>
        <w:t>7</w:t>
      </w:r>
      <w:r w:rsidRPr="003A2679">
        <w:rPr>
          <w:lang w:val="fr-FR"/>
        </w:rPr>
        <w:t>, a été adopté par le Conseil à sa cinquant</w:t>
      </w:r>
      <w:r w:rsidR="00056270">
        <w:rPr>
          <w:lang w:val="fr-FR"/>
        </w:rPr>
        <w:t>ième session</w:t>
      </w:r>
      <w:r w:rsidRPr="003A2679">
        <w:rPr>
          <w:lang w:val="fr-FR"/>
        </w:rPr>
        <w:t xml:space="preserve"> ordinaire,</w:t>
      </w:r>
    </w:p>
    <w:p w:rsidR="00E34F46" w:rsidRDefault="00E34F46">
      <w:pPr>
        <w:rPr>
          <w:i/>
          <w:lang w:val="fr-FR" w:eastAsia="ja-JP"/>
        </w:rPr>
      </w:pPr>
      <w:r>
        <w:rPr>
          <w:lang w:val="fr-FR" w:eastAsia="ja-JP"/>
        </w:rPr>
        <w:br w:type="page"/>
      </w:r>
    </w:p>
    <w:p w:rsidR="00C30D44" w:rsidRPr="003A2679" w:rsidRDefault="00C30D44" w:rsidP="00FB1D90">
      <w:pPr>
        <w:pStyle w:val="DecisionParagraphs"/>
        <w:tabs>
          <w:tab w:val="left" w:pos="5954"/>
        </w:tabs>
        <w:rPr>
          <w:lang w:val="fr-FR"/>
        </w:rPr>
      </w:pPr>
      <w:r w:rsidRPr="003A2679">
        <w:rPr>
          <w:lang w:val="fr-FR"/>
        </w:rPr>
        <w:tab/>
      </w:r>
      <w:r w:rsidR="00F420B2" w:rsidRPr="003A2679">
        <w:rPr>
          <w:lang w:val="fr-FR" w:eastAsia="ja-JP"/>
        </w:rPr>
        <w:t>b</w:t>
      </w:r>
      <w:r w:rsidRPr="003A2679">
        <w:rPr>
          <w:lang w:val="fr-FR"/>
        </w:rPr>
        <w:t>)</w:t>
      </w:r>
      <w:r w:rsidRPr="003A2679">
        <w:rPr>
          <w:lang w:val="fr-FR"/>
        </w:rPr>
        <w:tab/>
      </w:r>
      <w:r w:rsidR="00000FBC" w:rsidRPr="003A2679">
        <w:rPr>
          <w:lang w:val="fr-FR"/>
        </w:rPr>
        <w:t>le</w:t>
      </w:r>
      <w:r w:rsidR="00056270" w:rsidRPr="00056270">
        <w:rPr>
          <w:lang w:val="fr-FR"/>
        </w:rPr>
        <w:t> TC</w:t>
      </w:r>
      <w:r w:rsidR="00000FBC" w:rsidRPr="003A2679">
        <w:rPr>
          <w:lang w:val="fr-FR"/>
        </w:rPr>
        <w:t>, à sa cinquante</w:t>
      </w:r>
      <w:r w:rsidR="00283621">
        <w:rPr>
          <w:lang w:val="fr-FR"/>
        </w:rPr>
        <w:noBreakHyphen/>
      </w:r>
      <w:r w:rsidR="00000FBC" w:rsidRPr="003A2679">
        <w:rPr>
          <w:lang w:val="fr-FR"/>
        </w:rPr>
        <w:t>trois</w:t>
      </w:r>
      <w:r w:rsidR="00056270">
        <w:rPr>
          <w:lang w:val="fr-FR"/>
        </w:rPr>
        <w:t>ième session</w:t>
      </w:r>
      <w:r w:rsidR="00000FBC" w:rsidRPr="003A2679">
        <w:rPr>
          <w:lang w:val="fr-FR"/>
        </w:rPr>
        <w:t>, est convenu que les activités futures de collaboration entre l</w:t>
      </w:r>
      <w:r w:rsidR="00056270">
        <w:rPr>
          <w:lang w:val="fr-FR"/>
        </w:rPr>
        <w:t>’</w:t>
      </w:r>
      <w:r w:rsidR="00000FBC" w:rsidRPr="003A2679">
        <w:rPr>
          <w:lang w:val="fr-FR"/>
        </w:rPr>
        <w:t>UPOV, l</w:t>
      </w:r>
      <w:r w:rsidR="00056270">
        <w:rPr>
          <w:lang w:val="fr-FR"/>
        </w:rPr>
        <w:t>’</w:t>
      </w:r>
      <w:r w:rsidR="00000FBC" w:rsidRPr="003A2679">
        <w:rPr>
          <w:lang w:val="fr-FR"/>
        </w:rPr>
        <w:t>OCDE et l</w:t>
      </w:r>
      <w:r w:rsidR="00056270">
        <w:rPr>
          <w:lang w:val="fr-FR"/>
        </w:rPr>
        <w:t>’</w:t>
      </w:r>
      <w:r w:rsidR="00000FBC" w:rsidRPr="003A2679">
        <w:rPr>
          <w:lang w:val="fr-FR"/>
        </w:rPr>
        <w:t>ISTA pourraient inclure l</w:t>
      </w:r>
      <w:r w:rsidR="00056270">
        <w:rPr>
          <w:lang w:val="fr-FR"/>
        </w:rPr>
        <w:t>’</w:t>
      </w:r>
      <w:r w:rsidR="00000FBC" w:rsidRPr="003A2679">
        <w:rPr>
          <w:lang w:val="fr-FR"/>
        </w:rPr>
        <w:t>harmonisation des conditions et méthodes appliquées pour les différentes plantes et l</w:t>
      </w:r>
      <w:r w:rsidR="00056270">
        <w:rPr>
          <w:lang w:val="fr-FR"/>
        </w:rPr>
        <w:t>’</w:t>
      </w:r>
      <w:r w:rsidR="00000FBC" w:rsidRPr="003A2679">
        <w:rPr>
          <w:lang w:val="fr-FR"/>
        </w:rPr>
        <w:t>élaboration possible de normes, après obtention de l</w:t>
      </w:r>
      <w:r w:rsidR="00056270">
        <w:rPr>
          <w:lang w:val="fr-FR"/>
        </w:rPr>
        <w:t>’</w:t>
      </w:r>
      <w:r w:rsidR="00000FBC" w:rsidRPr="003A2679">
        <w:rPr>
          <w:lang w:val="fr-FR"/>
        </w:rPr>
        <w:t>accord de ces organisations,</w:t>
      </w:r>
    </w:p>
    <w:p w:rsidR="00056270" w:rsidRDefault="00056270" w:rsidP="00FB1D90">
      <w:pPr>
        <w:pStyle w:val="DecisionParagraphs"/>
        <w:tabs>
          <w:tab w:val="left" w:pos="5954"/>
        </w:tabs>
        <w:rPr>
          <w:lang w:val="fr-FR"/>
        </w:rPr>
      </w:pPr>
    </w:p>
    <w:p w:rsidR="000804B1" w:rsidRPr="003A2679" w:rsidRDefault="00000FBC" w:rsidP="000804B1">
      <w:pPr>
        <w:pStyle w:val="DecisionParagraphs"/>
        <w:keepLines/>
        <w:tabs>
          <w:tab w:val="left" w:pos="5954"/>
        </w:tabs>
        <w:rPr>
          <w:lang w:val="fr-FR"/>
        </w:rPr>
      </w:pPr>
      <w:r w:rsidRPr="003A2679">
        <w:rPr>
          <w:lang w:val="fr-FR"/>
        </w:rPr>
        <w:tab/>
      </w:r>
      <w:r w:rsidR="000D3C80" w:rsidRPr="003A2679">
        <w:rPr>
          <w:lang w:val="fr-FR"/>
        </w:rPr>
        <w:t>c</w:t>
      </w:r>
      <w:r w:rsidR="00C30D44" w:rsidRPr="003A2679">
        <w:rPr>
          <w:lang w:val="fr-FR"/>
        </w:rPr>
        <w:t>)</w:t>
      </w:r>
      <w:r w:rsidR="00C30D44" w:rsidRPr="003A2679">
        <w:rPr>
          <w:lang w:val="fr-FR"/>
        </w:rPr>
        <w:tab/>
      </w:r>
      <w:r w:rsidR="000804B1" w:rsidRPr="003A2679">
        <w:rPr>
          <w:lang w:val="fr-FR"/>
        </w:rPr>
        <w:t>le</w:t>
      </w:r>
      <w:r w:rsidR="00056270" w:rsidRPr="00056270">
        <w:rPr>
          <w:lang w:val="fr-FR"/>
        </w:rPr>
        <w:t> TC</w:t>
      </w:r>
      <w:r w:rsidR="000804B1" w:rsidRPr="003A2679">
        <w:rPr>
          <w:lang w:val="fr-FR"/>
        </w:rPr>
        <w:t xml:space="preserve"> est convenu que l</w:t>
      </w:r>
      <w:r w:rsidR="00056270">
        <w:rPr>
          <w:lang w:val="fr-FR"/>
        </w:rPr>
        <w:t>’</w:t>
      </w:r>
      <w:r w:rsidR="000804B1" w:rsidRPr="003A2679">
        <w:rPr>
          <w:lang w:val="fr-FR"/>
        </w:rPr>
        <w:t>UPOV et l</w:t>
      </w:r>
      <w:r w:rsidR="00056270">
        <w:rPr>
          <w:lang w:val="fr-FR"/>
        </w:rPr>
        <w:t>’</w:t>
      </w:r>
      <w:r w:rsidR="000804B1" w:rsidRPr="003A2679">
        <w:rPr>
          <w:lang w:val="fr-FR"/>
        </w:rPr>
        <w:t>OCDE devraient envisager de faire avancer les questions en collaboration si l</w:t>
      </w:r>
      <w:r w:rsidR="00056270">
        <w:rPr>
          <w:lang w:val="fr-FR"/>
        </w:rPr>
        <w:t>’</w:t>
      </w:r>
      <w:r w:rsidR="000804B1" w:rsidRPr="003A2679">
        <w:rPr>
          <w:lang w:val="fr-FR"/>
        </w:rPr>
        <w:t>ISTA n</w:t>
      </w:r>
      <w:r w:rsidR="00056270">
        <w:rPr>
          <w:lang w:val="fr-FR"/>
        </w:rPr>
        <w:t>’</w:t>
      </w:r>
      <w:r w:rsidR="000804B1" w:rsidRPr="003A2679">
        <w:rPr>
          <w:lang w:val="fr-FR"/>
        </w:rPr>
        <w:t>était plus en mesure de participer dans un futur proche,</w:t>
      </w:r>
    </w:p>
    <w:p w:rsidR="00056270" w:rsidRDefault="00056270" w:rsidP="000804B1">
      <w:pPr>
        <w:pStyle w:val="DecisionParagraphs"/>
        <w:keepLines/>
        <w:tabs>
          <w:tab w:val="left" w:pos="5954"/>
        </w:tabs>
        <w:rPr>
          <w:lang w:val="fr-FR"/>
        </w:rPr>
      </w:pPr>
    </w:p>
    <w:p w:rsidR="000804B1" w:rsidRPr="003A2679" w:rsidRDefault="000804B1" w:rsidP="000804B1">
      <w:pPr>
        <w:pStyle w:val="DecisionParagraphs"/>
        <w:keepLines/>
        <w:tabs>
          <w:tab w:val="left" w:pos="5954"/>
        </w:tabs>
        <w:rPr>
          <w:lang w:val="fr-FR"/>
        </w:rPr>
      </w:pPr>
      <w:r w:rsidRPr="003A2679">
        <w:rPr>
          <w:lang w:val="fr-FR"/>
        </w:rPr>
        <w:tab/>
        <w:t>d)</w:t>
      </w:r>
      <w:r w:rsidRPr="003A2679">
        <w:rPr>
          <w:lang w:val="fr-FR"/>
        </w:rPr>
        <w:tab/>
        <w:t>le</w:t>
      </w:r>
      <w:r w:rsidR="00056270" w:rsidRPr="00056270">
        <w:rPr>
          <w:lang w:val="fr-FR"/>
        </w:rPr>
        <w:t> TC</w:t>
      </w:r>
      <w:r w:rsidRPr="003A2679">
        <w:rPr>
          <w:lang w:val="fr-FR"/>
        </w:rPr>
        <w:t xml:space="preserve"> est convenu de proposer que les réunions</w:t>
      </w:r>
      <w:r w:rsidR="00056270" w:rsidRPr="00056270">
        <w:rPr>
          <w:lang w:val="fr-FR"/>
        </w:rPr>
        <w:t xml:space="preserve"> du BMT</w:t>
      </w:r>
      <w:r w:rsidRPr="003A2679">
        <w:rPr>
          <w:lang w:val="fr-FR"/>
        </w:rPr>
        <w:t xml:space="preserve"> se tiennent chaque année et d</w:t>
      </w:r>
      <w:r w:rsidR="00056270">
        <w:rPr>
          <w:lang w:val="fr-FR"/>
        </w:rPr>
        <w:t>’</w:t>
      </w:r>
      <w:r w:rsidRPr="003A2679">
        <w:rPr>
          <w:lang w:val="fr-FR"/>
        </w:rPr>
        <w:t>envisager l</w:t>
      </w:r>
      <w:r w:rsidR="00056270">
        <w:rPr>
          <w:lang w:val="fr-FR"/>
        </w:rPr>
        <w:t>’</w:t>
      </w:r>
      <w:r w:rsidRPr="003A2679">
        <w:rPr>
          <w:lang w:val="fr-FR"/>
        </w:rPr>
        <w:t>organisation consécutive des sessions</w:t>
      </w:r>
      <w:r w:rsidR="00056270" w:rsidRPr="00056270">
        <w:rPr>
          <w:lang w:val="fr-FR"/>
        </w:rPr>
        <w:t xml:space="preserve"> du TWC</w:t>
      </w:r>
      <w:r w:rsidRPr="003A2679">
        <w:rPr>
          <w:lang w:val="fr-FR"/>
        </w:rPr>
        <w:t xml:space="preserve"> et</w:t>
      </w:r>
      <w:r w:rsidR="00056270" w:rsidRPr="00056270">
        <w:rPr>
          <w:lang w:val="fr-FR"/>
        </w:rPr>
        <w:t xml:space="preserve"> du BMT</w:t>
      </w:r>
      <w:r w:rsidRPr="003A2679">
        <w:rPr>
          <w:lang w:val="fr-FR"/>
        </w:rPr>
        <w:t xml:space="preserve"> dans la même localité afin de faciliter les échanges d</w:t>
      </w:r>
      <w:r w:rsidR="00056270">
        <w:rPr>
          <w:lang w:val="fr-FR"/>
        </w:rPr>
        <w:t>’</w:t>
      </w:r>
      <w:r w:rsidRPr="003A2679">
        <w:rPr>
          <w:lang w:val="fr-FR"/>
        </w:rPr>
        <w:t>informations et</w:t>
      </w:r>
    </w:p>
    <w:p w:rsidR="00056270" w:rsidRDefault="00056270" w:rsidP="000804B1">
      <w:pPr>
        <w:pStyle w:val="DecisionParagraphs"/>
        <w:keepLines/>
        <w:tabs>
          <w:tab w:val="left" w:pos="5954"/>
        </w:tabs>
        <w:rPr>
          <w:lang w:val="fr-FR"/>
        </w:rPr>
      </w:pPr>
    </w:p>
    <w:p w:rsidR="000804B1" w:rsidRPr="003A2679" w:rsidRDefault="000804B1" w:rsidP="000804B1">
      <w:pPr>
        <w:pStyle w:val="DecisionParagraphs"/>
        <w:keepLines/>
        <w:tabs>
          <w:tab w:val="left" w:pos="5954"/>
        </w:tabs>
        <w:rPr>
          <w:lang w:val="fr-FR"/>
        </w:rPr>
      </w:pPr>
      <w:r w:rsidRPr="003A2679">
        <w:rPr>
          <w:lang w:val="fr-FR"/>
        </w:rPr>
        <w:tab/>
        <w:t>e)</w:t>
      </w:r>
      <w:r w:rsidRPr="003A2679">
        <w:rPr>
          <w:lang w:val="fr-FR"/>
        </w:rPr>
        <w:tab/>
        <w:t>des ateliers pratiques sur les “Techniques d</w:t>
      </w:r>
      <w:r w:rsidR="00056270">
        <w:rPr>
          <w:lang w:val="fr-FR"/>
        </w:rPr>
        <w:t>’</w:t>
      </w:r>
      <w:r w:rsidRPr="003A2679">
        <w:rPr>
          <w:lang w:val="fr-FR"/>
        </w:rPr>
        <w:t>analyse de l</w:t>
      </w:r>
      <w:r w:rsidR="00056270">
        <w:rPr>
          <w:lang w:val="fr-FR"/>
        </w:rPr>
        <w:t>’</w:t>
      </w:r>
      <w:r w:rsidRPr="003A2679">
        <w:rPr>
          <w:lang w:val="fr-FR"/>
        </w:rPr>
        <w:t>ADN pour l</w:t>
      </w:r>
      <w:r w:rsidR="00056270">
        <w:rPr>
          <w:lang w:val="fr-FR"/>
        </w:rPr>
        <w:t>’</w:t>
      </w:r>
      <w:r w:rsidRPr="003A2679">
        <w:rPr>
          <w:lang w:val="fr-FR"/>
        </w:rPr>
        <w:t>identification des variétés” se sont tenus à Roelofarendsveen (Pays</w:t>
      </w:r>
      <w:r w:rsidR="00283621">
        <w:rPr>
          <w:lang w:val="fr-FR"/>
        </w:rPr>
        <w:noBreakHyphen/>
      </w:r>
      <w:r w:rsidRPr="003A2679">
        <w:rPr>
          <w:lang w:val="fr-FR"/>
        </w:rPr>
        <w:t>Bas) du 8 au 1</w:t>
      </w:r>
      <w:r w:rsidR="00056270" w:rsidRPr="003A2679">
        <w:rPr>
          <w:lang w:val="fr-FR"/>
        </w:rPr>
        <w:t>0</w:t>
      </w:r>
      <w:r w:rsidR="00056270">
        <w:rPr>
          <w:lang w:val="fr-FR"/>
        </w:rPr>
        <w:t> </w:t>
      </w:r>
      <w:r w:rsidR="00056270" w:rsidRPr="003A2679">
        <w:rPr>
          <w:lang w:val="fr-FR"/>
        </w:rPr>
        <w:t>mai</w:t>
      </w:r>
      <w:r w:rsidR="00056270">
        <w:rPr>
          <w:lang w:val="fr-FR"/>
        </w:rPr>
        <w:t> </w:t>
      </w:r>
      <w:r w:rsidR="00056270" w:rsidRPr="003A2679">
        <w:rPr>
          <w:lang w:val="fr-FR"/>
        </w:rPr>
        <w:t>20</w:t>
      </w:r>
      <w:r w:rsidRPr="003A2679">
        <w:rPr>
          <w:lang w:val="fr-FR"/>
        </w:rPr>
        <w:t>17 et du 20 au 2</w:t>
      </w:r>
      <w:r w:rsidR="00056270" w:rsidRPr="003A2679">
        <w:rPr>
          <w:lang w:val="fr-FR"/>
        </w:rPr>
        <w:t>2</w:t>
      </w:r>
      <w:r w:rsidR="00056270">
        <w:rPr>
          <w:lang w:val="fr-FR"/>
        </w:rPr>
        <w:t> </w:t>
      </w:r>
      <w:r w:rsidR="00056270" w:rsidRPr="003A2679">
        <w:rPr>
          <w:lang w:val="fr-FR"/>
        </w:rPr>
        <w:t>septembre</w:t>
      </w:r>
      <w:r w:rsidR="00056270">
        <w:rPr>
          <w:lang w:val="fr-FR"/>
        </w:rPr>
        <w:t> </w:t>
      </w:r>
      <w:r w:rsidR="00056270" w:rsidRPr="003A2679">
        <w:rPr>
          <w:lang w:val="fr-FR"/>
        </w:rPr>
        <w:t>20</w:t>
      </w:r>
      <w:r w:rsidRPr="003A2679">
        <w:rPr>
          <w:lang w:val="fr-FR"/>
        </w:rPr>
        <w:t>17.</w:t>
      </w:r>
    </w:p>
    <w:p w:rsidR="003A0D44" w:rsidRPr="003A2679" w:rsidRDefault="003A0D44" w:rsidP="00F8552E">
      <w:pPr>
        <w:spacing w:before="480"/>
        <w:jc w:val="right"/>
        <w:rPr>
          <w:lang w:val="fr-FR"/>
        </w:rPr>
      </w:pPr>
      <w:r w:rsidRPr="003A2679">
        <w:rPr>
          <w:lang w:val="fr-FR"/>
        </w:rPr>
        <w:t>[</w:t>
      </w:r>
      <w:r w:rsidR="000804B1" w:rsidRPr="003A2679">
        <w:rPr>
          <w:lang w:val="fr-FR"/>
        </w:rPr>
        <w:t>Fin du</w:t>
      </w:r>
      <w:r w:rsidRPr="003A2679">
        <w:rPr>
          <w:lang w:val="fr-FR"/>
        </w:rPr>
        <w:t xml:space="preserve"> document]</w:t>
      </w:r>
    </w:p>
    <w:sectPr w:rsidR="003A0D44" w:rsidRPr="003A2679"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44" w:rsidRDefault="00C30D44" w:rsidP="00C30D44">
      <w:r>
        <w:separator/>
      </w:r>
    </w:p>
  </w:endnote>
  <w:endnote w:type="continuationSeparator" w:id="0">
    <w:p w:rsidR="00C30D44" w:rsidRDefault="00C30D44" w:rsidP="00C30D44">
      <w:r>
        <w:continuationSeparator/>
      </w:r>
    </w:p>
  </w:endnote>
  <w:endnote w:type="continuationNotice" w:id="1">
    <w:p w:rsidR="00F96F48" w:rsidRDefault="00F9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21" w:rsidRDefault="00283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48" w:rsidRDefault="00F96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21" w:rsidRDefault="00283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44" w:rsidRDefault="00C30D44" w:rsidP="00C30D44">
      <w:r>
        <w:separator/>
      </w:r>
    </w:p>
  </w:footnote>
  <w:footnote w:type="continuationSeparator" w:id="0">
    <w:p w:rsidR="00C30D44" w:rsidRDefault="00C30D44" w:rsidP="00C30D44">
      <w:r>
        <w:continuationSeparator/>
      </w:r>
    </w:p>
  </w:footnote>
  <w:footnote w:type="continuationNotice" w:id="1">
    <w:p w:rsidR="00F96F48" w:rsidRDefault="00F96F48"/>
  </w:footnote>
  <w:footnote w:id="2">
    <w:p w:rsidR="007C578D" w:rsidRPr="003C52A6" w:rsidRDefault="007C578D" w:rsidP="00283621">
      <w:pPr>
        <w:pStyle w:val="FootnoteText"/>
        <w:rPr>
          <w:lang w:val="fr-FR" w:eastAsia="ja-JP"/>
        </w:rPr>
      </w:pPr>
      <w:r w:rsidRPr="003C52A6">
        <w:rPr>
          <w:rStyle w:val="FootnoteReference"/>
          <w:lang w:val="fr-FR"/>
        </w:rPr>
        <w:footnoteRef/>
      </w:r>
      <w:r w:rsidRPr="003C52A6">
        <w:rPr>
          <w:lang w:val="fr-FR"/>
        </w:rPr>
        <w:t xml:space="preserve"> </w:t>
      </w:r>
      <w:r w:rsidRPr="003C52A6">
        <w:rPr>
          <w:lang w:val="fr-FR" w:eastAsia="ja-JP"/>
        </w:rPr>
        <w:tab/>
      </w:r>
      <w:r w:rsidR="003C52A6" w:rsidRPr="003C52A6">
        <w:rPr>
          <w:lang w:val="fr-FR" w:eastAsia="ja-JP"/>
        </w:rPr>
        <w:t>Tenue à Genève le 2</w:t>
      </w:r>
      <w:r w:rsidR="00E0652D" w:rsidRPr="003C52A6">
        <w:rPr>
          <w:lang w:val="fr-FR" w:eastAsia="ja-JP"/>
        </w:rPr>
        <w:t>5</w:t>
      </w:r>
      <w:r w:rsidR="00E0652D">
        <w:rPr>
          <w:lang w:val="fr-FR" w:eastAsia="ja-JP"/>
        </w:rPr>
        <w:t> </w:t>
      </w:r>
      <w:r w:rsidR="00E0652D" w:rsidRPr="003C52A6">
        <w:rPr>
          <w:lang w:val="fr-FR" w:eastAsia="ja-JP"/>
        </w:rPr>
        <w:t>octobre</w:t>
      </w:r>
      <w:r w:rsidR="00E0652D">
        <w:rPr>
          <w:lang w:val="fr-FR" w:eastAsia="ja-JP"/>
        </w:rPr>
        <w:t> </w:t>
      </w:r>
      <w:r w:rsidR="00E0652D" w:rsidRPr="003C52A6">
        <w:rPr>
          <w:lang w:val="fr-FR" w:eastAsia="ja-JP"/>
        </w:rPr>
        <w:t>20</w:t>
      </w:r>
      <w:r w:rsidR="003C52A6" w:rsidRPr="003C52A6">
        <w:rPr>
          <w:lang w:val="fr-FR" w:eastAsia="ja-JP"/>
        </w:rPr>
        <w:t>16</w:t>
      </w:r>
      <w:r w:rsidRPr="003C52A6">
        <w:rPr>
          <w:szCs w:val="16"/>
          <w:lang w:val="fr-FR" w:eastAsia="ja-JP"/>
        </w:rPr>
        <w:t>.</w:t>
      </w:r>
    </w:p>
  </w:footnote>
  <w:footnote w:id="3">
    <w:p w:rsidR="00C30D44" w:rsidRPr="003C52A6" w:rsidRDefault="00C30D44" w:rsidP="00283621">
      <w:pPr>
        <w:pStyle w:val="FootnoteText"/>
        <w:rPr>
          <w:lang w:val="fr-FR" w:eastAsia="ja-JP"/>
        </w:rPr>
      </w:pPr>
      <w:r w:rsidRPr="003C52A6">
        <w:rPr>
          <w:rStyle w:val="FootnoteReference"/>
          <w:lang w:val="fr-FR"/>
        </w:rPr>
        <w:footnoteRef/>
      </w:r>
      <w:r w:rsidRPr="003C52A6">
        <w:rPr>
          <w:lang w:val="fr-FR"/>
        </w:rPr>
        <w:t xml:space="preserve"> </w:t>
      </w:r>
      <w:r w:rsidRPr="003C52A6">
        <w:rPr>
          <w:lang w:val="fr-FR" w:eastAsia="ja-JP"/>
        </w:rPr>
        <w:tab/>
      </w:r>
      <w:r w:rsidR="003C52A6">
        <w:rPr>
          <w:lang w:val="fr-FR" w:eastAsia="ja-JP"/>
        </w:rPr>
        <w:t xml:space="preserve">Voir le </w:t>
      </w:r>
      <w:r w:rsidR="00E0652D">
        <w:rPr>
          <w:lang w:val="fr-FR" w:eastAsia="ja-JP"/>
        </w:rPr>
        <w:t>paragraphe 5</w:t>
      </w:r>
      <w:r w:rsidR="003C52A6">
        <w:rPr>
          <w:lang w:val="fr-FR" w:eastAsia="ja-JP"/>
        </w:rPr>
        <w:t>7 du</w:t>
      </w:r>
      <w:r w:rsidRPr="003C52A6">
        <w:rPr>
          <w:lang w:val="fr-FR" w:eastAsia="ja-JP"/>
        </w:rPr>
        <w:t xml:space="preserve"> document </w:t>
      </w:r>
      <w:hyperlink r:id="rId1" w:history="1">
        <w:r w:rsidR="00E34F46" w:rsidRPr="00E34F46">
          <w:rPr>
            <w:rStyle w:val="Hyperlink"/>
            <w:rFonts w:hint="eastAsia"/>
            <w:snapToGrid w:val="0"/>
            <w:lang w:val="fr-CH" w:eastAsia="ja-JP"/>
          </w:rPr>
          <w:t>CAJ/73/10</w:t>
        </w:r>
      </w:hyperlink>
      <w:r w:rsidRPr="003C52A6">
        <w:rPr>
          <w:snapToGrid w:val="0"/>
          <w:lang w:val="fr-FR" w:eastAsia="ja-JP"/>
        </w:rPr>
        <w:t>“</w:t>
      </w:r>
      <w:r w:rsidR="003C52A6">
        <w:rPr>
          <w:snapToGrid w:val="0"/>
          <w:lang w:val="fr-FR" w:eastAsia="ja-JP"/>
        </w:rPr>
        <w:t>Compte rendu des conclusions</w:t>
      </w:r>
      <w:r w:rsidRPr="003C52A6">
        <w:rPr>
          <w:snapToGrid w:val="0"/>
          <w:lang w:val="fr-FR" w:eastAsia="ja-JP"/>
        </w:rPr>
        <w:t>”</w:t>
      </w:r>
      <w:r w:rsidRPr="003C52A6">
        <w:rPr>
          <w:lang w:val="fr-FR" w:eastAsia="ja-JP"/>
        </w:rPr>
        <w:t>.</w:t>
      </w:r>
    </w:p>
  </w:footnote>
  <w:footnote w:id="4">
    <w:p w:rsidR="00FB1D90" w:rsidRPr="003C52A6" w:rsidRDefault="00FB1D90" w:rsidP="00283621">
      <w:pPr>
        <w:pStyle w:val="FootnoteText"/>
        <w:rPr>
          <w:lang w:val="fr-FR" w:eastAsia="ja-JP"/>
        </w:rPr>
      </w:pPr>
      <w:r w:rsidRPr="003C52A6">
        <w:rPr>
          <w:rStyle w:val="FootnoteReference"/>
          <w:spacing w:val="-2"/>
          <w:lang w:val="fr-FR"/>
        </w:rPr>
        <w:footnoteRef/>
      </w:r>
      <w:r w:rsidRPr="003C52A6">
        <w:rPr>
          <w:lang w:val="fr-FR"/>
        </w:rPr>
        <w:t xml:space="preserve"> </w:t>
      </w:r>
      <w:r w:rsidRPr="003C52A6">
        <w:rPr>
          <w:lang w:val="fr-FR" w:eastAsia="ja-JP"/>
        </w:rPr>
        <w:tab/>
      </w:r>
      <w:r w:rsidR="00E2772E">
        <w:rPr>
          <w:lang w:val="fr-FR" w:eastAsia="ja-JP"/>
        </w:rPr>
        <w:t xml:space="preserve">Voir le </w:t>
      </w:r>
      <w:r w:rsidR="00E0652D">
        <w:rPr>
          <w:lang w:val="fr-FR" w:eastAsia="ja-JP"/>
        </w:rPr>
        <w:t>paragraphe 1</w:t>
      </w:r>
      <w:r w:rsidR="00E2772E">
        <w:rPr>
          <w:lang w:val="fr-FR" w:eastAsia="ja-JP"/>
        </w:rPr>
        <w:t>1 du</w:t>
      </w:r>
      <w:r w:rsidRPr="003C52A6">
        <w:rPr>
          <w:lang w:val="fr-FR" w:eastAsia="ja-JP"/>
        </w:rPr>
        <w:t xml:space="preserve"> document </w:t>
      </w:r>
      <w:hyperlink r:id="rId2" w:history="1">
        <w:r w:rsidRPr="003C52A6">
          <w:rPr>
            <w:rStyle w:val="Hyperlink"/>
            <w:rFonts w:eastAsiaTheme="minorEastAsia"/>
            <w:spacing w:val="-2"/>
            <w:lang w:val="fr-FR" w:eastAsia="ja-JP"/>
          </w:rPr>
          <w:t>C/50/19</w:t>
        </w:r>
      </w:hyperlink>
      <w:r w:rsidRPr="003C52A6">
        <w:rPr>
          <w:lang w:val="fr-FR" w:eastAsia="ja-JP"/>
        </w:rPr>
        <w:t xml:space="preserve"> “</w:t>
      </w:r>
      <w:r w:rsidR="00E2772E">
        <w:rPr>
          <w:lang w:val="fr-FR" w:eastAsia="ja-JP"/>
        </w:rPr>
        <w:t>Compte rendu des décisions</w:t>
      </w:r>
      <w:r w:rsidRPr="003C52A6">
        <w:rPr>
          <w:lang w:val="fr-FR" w:eastAsia="ja-JP"/>
        </w:rPr>
        <w:t>”</w:t>
      </w:r>
      <w:r w:rsidRPr="003C52A6">
        <w:rPr>
          <w:color w:val="000000"/>
          <w:lang w:val="fr-FR" w:eastAsia="ja-JP"/>
        </w:rPr>
        <w:t xml:space="preserve">.  </w:t>
      </w:r>
      <w:r w:rsidR="00E2772E">
        <w:rPr>
          <w:color w:val="000000"/>
          <w:lang w:val="fr-FR" w:eastAsia="ja-JP"/>
        </w:rPr>
        <w:t>Les questions et réponses peuvent être consultées à l</w:t>
      </w:r>
      <w:r w:rsidR="00E0652D">
        <w:rPr>
          <w:color w:val="000000"/>
          <w:lang w:val="fr-FR" w:eastAsia="ja-JP"/>
        </w:rPr>
        <w:t>’</w:t>
      </w:r>
      <w:r w:rsidR="00E2772E">
        <w:rPr>
          <w:color w:val="000000"/>
          <w:lang w:val="fr-FR" w:eastAsia="ja-JP"/>
        </w:rPr>
        <w:t>adresse suivante</w:t>
      </w:r>
      <w:r w:rsidR="00E0652D">
        <w:rPr>
          <w:color w:val="000000"/>
          <w:lang w:val="fr-FR" w:eastAsia="ja-JP"/>
        </w:rPr>
        <w:t> :</w:t>
      </w:r>
      <w:r w:rsidRPr="003C52A6">
        <w:rPr>
          <w:color w:val="000000"/>
          <w:lang w:val="fr-FR" w:eastAsia="ja-JP"/>
        </w:rPr>
        <w:t xml:space="preserve"> </w:t>
      </w:r>
      <w:hyperlink r:id="rId3" w:anchor="QG121" w:history="1">
        <w:r w:rsidR="00E2772E">
          <w:rPr>
            <w:rStyle w:val="Hyperlink"/>
            <w:lang w:val="fr-FR" w:eastAsia="ja-JP"/>
          </w:rPr>
          <w:t>http://www.upov.int/about/fr/faq.html#QG121</w:t>
        </w:r>
      </w:hyperlink>
      <w:r w:rsidRPr="003C52A6">
        <w:rPr>
          <w:lang w:val="fr-FR" w:eastAsia="ja-JP"/>
        </w:rPr>
        <w:t>.</w:t>
      </w:r>
    </w:p>
  </w:footnote>
  <w:footnote w:id="5">
    <w:p w:rsidR="00C30D44" w:rsidRPr="003C52A6" w:rsidRDefault="00C30D44" w:rsidP="00283621">
      <w:pPr>
        <w:pStyle w:val="FootnoteText"/>
        <w:rPr>
          <w:lang w:val="fr-FR" w:eastAsia="ja-JP"/>
        </w:rPr>
      </w:pPr>
      <w:r w:rsidRPr="003C52A6">
        <w:rPr>
          <w:rStyle w:val="FootnoteReference"/>
          <w:lang w:val="fr-FR"/>
        </w:rPr>
        <w:footnoteRef/>
      </w:r>
      <w:r w:rsidRPr="003C52A6">
        <w:rPr>
          <w:lang w:val="fr-FR"/>
        </w:rPr>
        <w:t xml:space="preserve"> </w:t>
      </w:r>
      <w:r w:rsidRPr="003C52A6">
        <w:rPr>
          <w:lang w:val="fr-FR" w:eastAsia="ja-JP"/>
        </w:rPr>
        <w:tab/>
      </w:r>
      <w:r w:rsidR="00E2772E">
        <w:rPr>
          <w:lang w:val="fr-FR" w:eastAsia="ja-JP"/>
        </w:rPr>
        <w:t xml:space="preserve">Voir les </w:t>
      </w:r>
      <w:r w:rsidR="00E0652D">
        <w:rPr>
          <w:lang w:val="fr-FR" w:eastAsia="ja-JP"/>
        </w:rPr>
        <w:t>paragraphes 1</w:t>
      </w:r>
      <w:r w:rsidR="00283621">
        <w:rPr>
          <w:lang w:val="fr-FR" w:eastAsia="ja-JP"/>
        </w:rPr>
        <w:t>98 à </w:t>
      </w:r>
      <w:r w:rsidR="00E2772E">
        <w:rPr>
          <w:lang w:val="fr-FR" w:eastAsia="ja-JP"/>
        </w:rPr>
        <w:t>211 du</w:t>
      </w:r>
      <w:r w:rsidRPr="003C52A6">
        <w:rPr>
          <w:lang w:val="fr-FR" w:eastAsia="ja-JP"/>
        </w:rPr>
        <w:t xml:space="preserve"> </w:t>
      </w:r>
      <w:r w:rsidR="00E0652D" w:rsidRPr="00E0652D">
        <w:rPr>
          <w:lang w:val="fr-FR" w:eastAsia="ja-JP"/>
        </w:rPr>
        <w:t xml:space="preserve">document </w:t>
      </w:r>
      <w:hyperlink r:id="rId4" w:history="1">
        <w:r w:rsidR="00E34F46" w:rsidRPr="00E34F46">
          <w:rPr>
            <w:rStyle w:val="Hyperlink"/>
            <w:rFonts w:eastAsiaTheme="minorEastAsia" w:hint="eastAsia"/>
            <w:snapToGrid w:val="0"/>
            <w:lang w:val="fr-CH" w:eastAsia="ja-JP"/>
          </w:rPr>
          <w:t>T</w:t>
        </w:r>
        <w:r w:rsidR="00E34F46" w:rsidRPr="00E34F46">
          <w:rPr>
            <w:rStyle w:val="Hyperlink"/>
            <w:rFonts w:eastAsiaTheme="minorEastAsia"/>
            <w:snapToGrid w:val="0"/>
            <w:lang w:val="fr-CH" w:eastAsia="ja-JP"/>
          </w:rPr>
          <w:t>C</w:t>
        </w:r>
        <w:r w:rsidR="00E34F46" w:rsidRPr="00E34F46">
          <w:rPr>
            <w:rStyle w:val="Hyperlink"/>
            <w:rFonts w:eastAsiaTheme="minorEastAsia" w:hint="eastAsia"/>
            <w:snapToGrid w:val="0"/>
            <w:lang w:val="fr-CH" w:eastAsia="ja-JP"/>
          </w:rPr>
          <w:t>/5</w:t>
        </w:r>
        <w:r w:rsidR="00E34F46" w:rsidRPr="00E34F46">
          <w:rPr>
            <w:rStyle w:val="Hyperlink"/>
            <w:rFonts w:eastAsiaTheme="minorEastAsia"/>
            <w:snapToGrid w:val="0"/>
            <w:lang w:val="fr-CH" w:eastAsia="ja-JP"/>
          </w:rPr>
          <w:t>3</w:t>
        </w:r>
        <w:r w:rsidR="00E34F46" w:rsidRPr="00E34F46">
          <w:rPr>
            <w:rStyle w:val="Hyperlink"/>
            <w:rFonts w:eastAsiaTheme="minorEastAsia" w:hint="eastAsia"/>
            <w:snapToGrid w:val="0"/>
            <w:lang w:val="fr-CH" w:eastAsia="ja-JP"/>
          </w:rPr>
          <w:t>/</w:t>
        </w:r>
        <w:r w:rsidR="00E34F46" w:rsidRPr="00E34F46">
          <w:rPr>
            <w:rStyle w:val="Hyperlink"/>
            <w:rFonts w:eastAsiaTheme="minorEastAsia"/>
            <w:snapToGrid w:val="0"/>
            <w:lang w:val="fr-CH" w:eastAsia="ja-JP"/>
          </w:rPr>
          <w:t>31</w:t>
        </w:r>
      </w:hyperlink>
      <w:r w:rsidRPr="003C52A6">
        <w:rPr>
          <w:lang w:val="fr-FR" w:eastAsia="ja-JP"/>
        </w:rPr>
        <w:t>.</w:t>
      </w:r>
    </w:p>
  </w:footnote>
  <w:footnote w:id="6">
    <w:p w:rsidR="00263FE5" w:rsidRPr="003C52A6" w:rsidRDefault="00263FE5" w:rsidP="00283621">
      <w:pPr>
        <w:pStyle w:val="FootnoteText"/>
        <w:rPr>
          <w:lang w:val="fr-FR" w:eastAsia="ja-JP"/>
        </w:rPr>
      </w:pPr>
      <w:r w:rsidRPr="003C52A6">
        <w:rPr>
          <w:rStyle w:val="FootnoteReference"/>
          <w:lang w:val="fr-FR"/>
        </w:rPr>
        <w:footnoteRef/>
      </w:r>
      <w:r w:rsidRPr="003C52A6">
        <w:rPr>
          <w:lang w:val="fr-FR"/>
        </w:rPr>
        <w:t xml:space="preserve"> </w:t>
      </w:r>
      <w:r w:rsidRPr="003C52A6">
        <w:rPr>
          <w:lang w:val="fr-FR" w:eastAsia="ja-JP"/>
        </w:rPr>
        <w:tab/>
      </w:r>
      <w:r w:rsidR="00E82196">
        <w:rPr>
          <w:lang w:val="fr-FR" w:eastAsia="ja-JP"/>
        </w:rPr>
        <w:t>Des ateliers pratiques sur les</w:t>
      </w:r>
      <w:r w:rsidRPr="003C52A6">
        <w:rPr>
          <w:lang w:val="fr-FR"/>
        </w:rPr>
        <w:t xml:space="preserve"> “</w:t>
      </w:r>
      <w:r w:rsidR="00E82196" w:rsidRPr="00E82196">
        <w:rPr>
          <w:noProof/>
          <w:lang w:val="fr-FR"/>
        </w:rPr>
        <w:t>Techniques d</w:t>
      </w:r>
      <w:r w:rsidR="00E0652D">
        <w:rPr>
          <w:noProof/>
          <w:lang w:val="fr-FR"/>
        </w:rPr>
        <w:t>’</w:t>
      </w:r>
      <w:r w:rsidR="00E82196" w:rsidRPr="00E82196">
        <w:rPr>
          <w:noProof/>
          <w:lang w:val="fr-FR"/>
        </w:rPr>
        <w:t>analyse de l</w:t>
      </w:r>
      <w:r w:rsidR="00E0652D">
        <w:rPr>
          <w:noProof/>
          <w:lang w:val="fr-FR"/>
        </w:rPr>
        <w:t>’</w:t>
      </w:r>
      <w:r w:rsidR="00E82196" w:rsidRPr="00E82196">
        <w:rPr>
          <w:noProof/>
          <w:lang w:val="fr-FR"/>
        </w:rPr>
        <w:t>ADN pour l</w:t>
      </w:r>
      <w:r w:rsidR="00E0652D">
        <w:rPr>
          <w:noProof/>
          <w:lang w:val="fr-FR"/>
        </w:rPr>
        <w:t>’</w:t>
      </w:r>
      <w:r w:rsidR="00E82196" w:rsidRPr="00E82196">
        <w:rPr>
          <w:noProof/>
          <w:lang w:val="fr-FR"/>
        </w:rPr>
        <w:t xml:space="preserve">identification des variétés” </w:t>
      </w:r>
      <w:r w:rsidR="00E82196">
        <w:rPr>
          <w:noProof/>
          <w:lang w:val="fr-FR"/>
        </w:rPr>
        <w:t>ont été organisés par Naktuinbouw</w:t>
      </w:r>
      <w:r w:rsidR="00E82196" w:rsidRPr="00E82196">
        <w:rPr>
          <w:noProof/>
          <w:lang w:val="fr-FR"/>
        </w:rPr>
        <w:t xml:space="preserve"> à </w:t>
      </w:r>
      <w:r w:rsidR="00E82196" w:rsidRPr="00E82196">
        <w:rPr>
          <w:noProof/>
          <w:lang w:val="fr-FR" w:eastAsia="ja-JP"/>
        </w:rPr>
        <w:t>Roelofarendsveen (Pays</w:t>
      </w:r>
      <w:r w:rsidR="00E0652D">
        <w:rPr>
          <w:noProof/>
          <w:lang w:val="fr-FR" w:eastAsia="ja-JP"/>
        </w:rPr>
        <w:t>-</w:t>
      </w:r>
      <w:r w:rsidR="00E82196" w:rsidRPr="00E82196">
        <w:rPr>
          <w:noProof/>
          <w:lang w:val="fr-FR" w:eastAsia="ja-JP"/>
        </w:rPr>
        <w:t>Bas) du 8 au 1</w:t>
      </w:r>
      <w:r w:rsidR="00E0652D" w:rsidRPr="00E82196">
        <w:rPr>
          <w:noProof/>
          <w:lang w:val="fr-FR" w:eastAsia="ja-JP"/>
        </w:rPr>
        <w:t>0</w:t>
      </w:r>
      <w:r w:rsidR="00E0652D">
        <w:rPr>
          <w:noProof/>
          <w:lang w:val="fr-FR" w:eastAsia="ja-JP"/>
        </w:rPr>
        <w:t> </w:t>
      </w:r>
      <w:r w:rsidR="00E0652D" w:rsidRPr="00E82196">
        <w:rPr>
          <w:noProof/>
          <w:lang w:val="fr-FR" w:eastAsia="ja-JP"/>
        </w:rPr>
        <w:t>mai</w:t>
      </w:r>
      <w:r w:rsidR="00E0652D">
        <w:rPr>
          <w:noProof/>
          <w:lang w:val="fr-FR" w:eastAsia="ja-JP"/>
        </w:rPr>
        <w:t> </w:t>
      </w:r>
      <w:r w:rsidR="00E0652D" w:rsidRPr="00E82196">
        <w:rPr>
          <w:noProof/>
          <w:lang w:val="fr-FR" w:eastAsia="ja-JP"/>
        </w:rPr>
        <w:t>20</w:t>
      </w:r>
      <w:r w:rsidR="00E82196" w:rsidRPr="00E82196">
        <w:rPr>
          <w:noProof/>
          <w:lang w:val="fr-FR" w:eastAsia="ja-JP"/>
        </w:rPr>
        <w:t>17 et du 20 au 2</w:t>
      </w:r>
      <w:r w:rsidR="00E0652D" w:rsidRPr="00E82196">
        <w:rPr>
          <w:noProof/>
          <w:lang w:val="fr-FR" w:eastAsia="ja-JP"/>
        </w:rPr>
        <w:t>2</w:t>
      </w:r>
      <w:r w:rsidR="00E0652D">
        <w:rPr>
          <w:noProof/>
          <w:lang w:val="fr-FR" w:eastAsia="ja-JP"/>
        </w:rPr>
        <w:t> </w:t>
      </w:r>
      <w:r w:rsidR="00E0652D" w:rsidRPr="00E82196">
        <w:rPr>
          <w:noProof/>
          <w:lang w:val="fr-FR" w:eastAsia="ja-JP"/>
        </w:rPr>
        <w:t>septembre</w:t>
      </w:r>
      <w:r w:rsidR="00E0652D">
        <w:rPr>
          <w:noProof/>
          <w:lang w:val="fr-FR" w:eastAsia="ja-JP"/>
        </w:rPr>
        <w:t> </w:t>
      </w:r>
      <w:r w:rsidR="00E0652D" w:rsidRPr="00E82196">
        <w:rPr>
          <w:rFonts w:cs="Arial"/>
          <w:iCs/>
          <w:noProof/>
          <w:lang w:val="fr-FR"/>
        </w:rPr>
        <w:t>20</w:t>
      </w:r>
      <w:r w:rsidR="00E82196" w:rsidRPr="00E82196">
        <w:rPr>
          <w:rFonts w:cs="Arial"/>
          <w:iCs/>
          <w:noProof/>
          <w:lang w:val="fr-FR"/>
        </w:rPr>
        <w:t>17</w:t>
      </w:r>
      <w:r w:rsidRPr="003C52A6">
        <w:rPr>
          <w:rFonts w:cs="Arial"/>
          <w:iCs/>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21" w:rsidRDefault="00283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524AB" w:rsidP="00EB048E">
    <w:pPr>
      <w:pStyle w:val="Header"/>
      <w:rPr>
        <w:rStyle w:val="PageNumber"/>
        <w:lang w:val="en-US"/>
      </w:rPr>
    </w:pPr>
    <w:r>
      <w:rPr>
        <w:rStyle w:val="PageNumber"/>
        <w:lang w:val="en-US"/>
      </w:rPr>
      <w:t>CAJ/74/</w:t>
    </w:r>
    <w:r w:rsidR="001A61F9">
      <w:rPr>
        <w:rStyle w:val="PageNumber"/>
        <w:lang w:val="en-US"/>
      </w:rPr>
      <w:t>8</w:t>
    </w:r>
  </w:p>
  <w:p w:rsidR="00182B99" w:rsidRPr="00C5280D" w:rsidRDefault="00F524AB" w:rsidP="00EB048E">
    <w:pPr>
      <w:pStyle w:val="Header"/>
      <w:rPr>
        <w:lang w:val="en-US"/>
      </w:rPr>
    </w:pPr>
    <w:r w:rsidRPr="00C5280D">
      <w:rPr>
        <w:lang w:val="en-US"/>
      </w:rPr>
      <w:t>page</w:t>
    </w:r>
    <w:r w:rsidR="00283621">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13E4">
      <w:rPr>
        <w:rStyle w:val="PageNumber"/>
        <w:noProof/>
        <w:lang w:val="en-US"/>
      </w:rPr>
      <w:t>2</w:t>
    </w:r>
    <w:r w:rsidRPr="00C5280D">
      <w:rPr>
        <w:rStyle w:val="PageNumber"/>
        <w:lang w:val="en-US"/>
      </w:rPr>
      <w:fldChar w:fldCharType="end"/>
    </w:r>
  </w:p>
  <w:p w:rsidR="00182B99" w:rsidRPr="00C5280D" w:rsidRDefault="004B13E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21" w:rsidRDefault="00283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44"/>
    <w:rsid w:val="00000531"/>
    <w:rsid w:val="00000FBC"/>
    <w:rsid w:val="00001BE4"/>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270"/>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4B1"/>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3765"/>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3C80"/>
    <w:rsid w:val="000D53B7"/>
    <w:rsid w:val="000D625B"/>
    <w:rsid w:val="000D69BA"/>
    <w:rsid w:val="000D757D"/>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4CF0"/>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1F9"/>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380"/>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288"/>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3FE5"/>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621"/>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34"/>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162A"/>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0D44"/>
    <w:rsid w:val="003A1164"/>
    <w:rsid w:val="003A128B"/>
    <w:rsid w:val="003A16CD"/>
    <w:rsid w:val="003A2018"/>
    <w:rsid w:val="003A2679"/>
    <w:rsid w:val="003A359E"/>
    <w:rsid w:val="003A3DB3"/>
    <w:rsid w:val="003A4336"/>
    <w:rsid w:val="003A465F"/>
    <w:rsid w:val="003A489B"/>
    <w:rsid w:val="003A5A13"/>
    <w:rsid w:val="003A7078"/>
    <w:rsid w:val="003A70A0"/>
    <w:rsid w:val="003A7AD9"/>
    <w:rsid w:val="003A7E1D"/>
    <w:rsid w:val="003A7FC2"/>
    <w:rsid w:val="003B001D"/>
    <w:rsid w:val="003B0B59"/>
    <w:rsid w:val="003B215F"/>
    <w:rsid w:val="003B2370"/>
    <w:rsid w:val="003B2927"/>
    <w:rsid w:val="003B5A65"/>
    <w:rsid w:val="003B5C6C"/>
    <w:rsid w:val="003B670A"/>
    <w:rsid w:val="003B74CD"/>
    <w:rsid w:val="003C0AC2"/>
    <w:rsid w:val="003C0C8B"/>
    <w:rsid w:val="003C106A"/>
    <w:rsid w:val="003C11E2"/>
    <w:rsid w:val="003C13EA"/>
    <w:rsid w:val="003C18DB"/>
    <w:rsid w:val="003C196A"/>
    <w:rsid w:val="003C1C4A"/>
    <w:rsid w:val="003C3DE3"/>
    <w:rsid w:val="003C52A6"/>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70D"/>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3CE3"/>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3E4"/>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D7CD8"/>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6A62"/>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1247"/>
    <w:rsid w:val="00592C5D"/>
    <w:rsid w:val="00593AF1"/>
    <w:rsid w:val="0059428F"/>
    <w:rsid w:val="00594384"/>
    <w:rsid w:val="00594B41"/>
    <w:rsid w:val="00595437"/>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4B29"/>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AC7"/>
    <w:rsid w:val="006A1CD0"/>
    <w:rsid w:val="006A46EF"/>
    <w:rsid w:val="006A4E70"/>
    <w:rsid w:val="006A59E4"/>
    <w:rsid w:val="006B03E2"/>
    <w:rsid w:val="006B0539"/>
    <w:rsid w:val="006B1269"/>
    <w:rsid w:val="006B26A6"/>
    <w:rsid w:val="006B379D"/>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4E29"/>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38A5"/>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412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578D"/>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0E6"/>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2BA"/>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7CB"/>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2F7"/>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6893"/>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0D44"/>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00D8"/>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199"/>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4CC"/>
    <w:rsid w:val="00DD0AEB"/>
    <w:rsid w:val="00DD13BE"/>
    <w:rsid w:val="00DD1527"/>
    <w:rsid w:val="00DD2324"/>
    <w:rsid w:val="00DD2805"/>
    <w:rsid w:val="00DD4364"/>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652D"/>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2772E"/>
    <w:rsid w:val="00E306E0"/>
    <w:rsid w:val="00E31065"/>
    <w:rsid w:val="00E31E68"/>
    <w:rsid w:val="00E33A0B"/>
    <w:rsid w:val="00E340D5"/>
    <w:rsid w:val="00E342AE"/>
    <w:rsid w:val="00E343FB"/>
    <w:rsid w:val="00E34F4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03"/>
    <w:rsid w:val="00E74FF9"/>
    <w:rsid w:val="00E75D7C"/>
    <w:rsid w:val="00E81422"/>
    <w:rsid w:val="00E81B14"/>
    <w:rsid w:val="00E82196"/>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0B2"/>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24AB"/>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657"/>
    <w:rsid w:val="00F82D6B"/>
    <w:rsid w:val="00F841D3"/>
    <w:rsid w:val="00F8491C"/>
    <w:rsid w:val="00F84E0D"/>
    <w:rsid w:val="00F853C1"/>
    <w:rsid w:val="00F8552E"/>
    <w:rsid w:val="00F8690E"/>
    <w:rsid w:val="00F9048F"/>
    <w:rsid w:val="00F9151B"/>
    <w:rsid w:val="00F9213D"/>
    <w:rsid w:val="00F92D3A"/>
    <w:rsid w:val="00F9468A"/>
    <w:rsid w:val="00F94B2A"/>
    <w:rsid w:val="00F96285"/>
    <w:rsid w:val="00F96CB3"/>
    <w:rsid w:val="00F96F48"/>
    <w:rsid w:val="00FA07DA"/>
    <w:rsid w:val="00FA093F"/>
    <w:rsid w:val="00FA26D6"/>
    <w:rsid w:val="00FA347D"/>
    <w:rsid w:val="00FA3CC3"/>
    <w:rsid w:val="00FA4498"/>
    <w:rsid w:val="00FA5C99"/>
    <w:rsid w:val="00FA5CC5"/>
    <w:rsid w:val="00FA731B"/>
    <w:rsid w:val="00FA75EC"/>
    <w:rsid w:val="00FB100C"/>
    <w:rsid w:val="00FB19B4"/>
    <w:rsid w:val="00FB1C3A"/>
    <w:rsid w:val="00FB1D90"/>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3FBE"/>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2E11"/>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28362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283621"/>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28362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283621"/>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about/fr/faq.html" TargetMode="External"/><Relationship Id="rId2" Type="http://schemas.openxmlformats.org/officeDocument/2006/relationships/hyperlink" Target="http://www.upov.int/meetings/fr/details.jsp?meeting_id=36742" TargetMode="External"/><Relationship Id="rId1" Type="http://schemas.openxmlformats.org/officeDocument/2006/relationships/hyperlink" Target="http://www.upov.int/meetings/en/details.jsp?meeting_id=38922" TargetMode="External"/><Relationship Id="rId4" Type="http://schemas.openxmlformats.org/officeDocument/2006/relationships/hyperlink" Target="http://www.upov.int/meetings/en/details.jsp?meeting_id=42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2017-10-16T10:28:00Z</dcterms:created>
  <dcterms:modified xsi:type="dcterms:W3CDTF">2017-10-18T18:38:00Z</dcterms:modified>
</cp:coreProperties>
</file>