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5F6603" w:rsidRPr="00485283" w:rsidTr="000938C2">
        <w:tc>
          <w:tcPr>
            <w:tcW w:w="6522" w:type="dxa"/>
          </w:tcPr>
          <w:p w:rsidR="005F6603" w:rsidRPr="00485283" w:rsidRDefault="005F6603" w:rsidP="000938C2">
            <w:pPr>
              <w:rPr>
                <w:lang w:val="fr-FR"/>
              </w:rPr>
            </w:pPr>
            <w:bookmarkStart w:id="0" w:name="TitleOfDoc"/>
            <w:bookmarkStart w:id="1" w:name="_GoBack"/>
            <w:bookmarkEnd w:id="0"/>
            <w:bookmarkEnd w:id="1"/>
            <w:r w:rsidRPr="00485283">
              <w:rPr>
                <w:noProof/>
              </w:rPr>
              <w:drawing>
                <wp:inline distT="0" distB="0" distL="0" distR="0" wp14:anchorId="1545C455" wp14:editId="30899DFD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5F6603" w:rsidRPr="00485283" w:rsidRDefault="005F6603" w:rsidP="000938C2">
            <w:pPr>
              <w:pStyle w:val="Lettrine"/>
              <w:rPr>
                <w:lang w:val="fr-FR"/>
              </w:rPr>
            </w:pPr>
            <w:r w:rsidRPr="00485283">
              <w:rPr>
                <w:lang w:val="fr-FR"/>
              </w:rPr>
              <w:t>F</w:t>
            </w:r>
          </w:p>
        </w:tc>
      </w:tr>
      <w:tr w:rsidR="005F6603" w:rsidRPr="00485283" w:rsidTr="000938C2">
        <w:trPr>
          <w:trHeight w:val="219"/>
        </w:trPr>
        <w:tc>
          <w:tcPr>
            <w:tcW w:w="6522" w:type="dxa"/>
          </w:tcPr>
          <w:p w:rsidR="005F6603" w:rsidRPr="00485283" w:rsidRDefault="005F6603" w:rsidP="000938C2">
            <w:pPr>
              <w:pStyle w:val="upove"/>
              <w:rPr>
                <w:lang w:val="fr-FR"/>
              </w:rPr>
            </w:pPr>
            <w:r w:rsidRPr="00485283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5F6603" w:rsidRPr="00485283" w:rsidRDefault="005F6603" w:rsidP="000938C2">
            <w:pPr>
              <w:rPr>
                <w:lang w:val="fr-FR"/>
              </w:rPr>
            </w:pPr>
          </w:p>
        </w:tc>
      </w:tr>
    </w:tbl>
    <w:p w:rsidR="005F6603" w:rsidRPr="00485283" w:rsidRDefault="005F6603" w:rsidP="005F6603">
      <w:pPr>
        <w:rPr>
          <w:lang w:val="fr-FR"/>
        </w:rPr>
      </w:pPr>
    </w:p>
    <w:p w:rsidR="005F6603" w:rsidRPr="00485283" w:rsidRDefault="005F6603" w:rsidP="005F6603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5F6603" w:rsidRPr="00485283" w:rsidTr="000938C2">
        <w:tc>
          <w:tcPr>
            <w:tcW w:w="6512" w:type="dxa"/>
          </w:tcPr>
          <w:p w:rsidR="005F6603" w:rsidRPr="00485283" w:rsidRDefault="005F6603" w:rsidP="000938C2">
            <w:pPr>
              <w:pStyle w:val="Sessiontc"/>
              <w:spacing w:line="240" w:lineRule="auto"/>
              <w:rPr>
                <w:lang w:val="fr-FR"/>
              </w:rPr>
            </w:pPr>
            <w:r w:rsidRPr="00485283">
              <w:rPr>
                <w:lang w:val="fr-FR"/>
              </w:rPr>
              <w:t>Comité administratif et juridique</w:t>
            </w:r>
          </w:p>
          <w:p w:rsidR="005F6603" w:rsidRPr="00485283" w:rsidRDefault="005F6603" w:rsidP="000938C2">
            <w:pPr>
              <w:pStyle w:val="Sessiontcplacedate"/>
              <w:rPr>
                <w:sz w:val="22"/>
                <w:lang w:val="fr-FR"/>
              </w:rPr>
            </w:pPr>
            <w:r w:rsidRPr="00485283">
              <w:rPr>
                <w:lang w:val="fr-FR"/>
              </w:rPr>
              <w:t>Soixante</w:t>
            </w:r>
            <w:r w:rsidR="00F93994">
              <w:rPr>
                <w:lang w:val="fr-FR"/>
              </w:rPr>
              <w:noBreakHyphen/>
            </w:r>
            <w:r w:rsidRPr="00485283">
              <w:rPr>
                <w:lang w:val="fr-FR"/>
              </w:rPr>
              <w:t>quatorz</w:t>
            </w:r>
            <w:r w:rsidR="003C1CF1" w:rsidRPr="00485283">
              <w:rPr>
                <w:lang w:val="fr-FR"/>
              </w:rPr>
              <w:t>ième session</w:t>
            </w:r>
            <w:r w:rsidRPr="00485283">
              <w:rPr>
                <w:lang w:val="fr-FR"/>
              </w:rPr>
              <w:br/>
              <w:t>Genève, 23 et 2</w:t>
            </w:r>
            <w:r w:rsidR="00B83237" w:rsidRPr="00485283">
              <w:rPr>
                <w:lang w:val="fr-FR"/>
              </w:rPr>
              <w:t>4 octobre 20</w:t>
            </w:r>
            <w:r w:rsidRPr="00485283">
              <w:rPr>
                <w:lang w:val="fr-FR"/>
              </w:rPr>
              <w:t>17</w:t>
            </w:r>
          </w:p>
        </w:tc>
        <w:tc>
          <w:tcPr>
            <w:tcW w:w="3127" w:type="dxa"/>
          </w:tcPr>
          <w:p w:rsidR="005F6603" w:rsidRPr="00485283" w:rsidRDefault="005F6603" w:rsidP="000938C2">
            <w:pPr>
              <w:pStyle w:val="Doccode"/>
              <w:rPr>
                <w:lang w:val="fr-FR"/>
              </w:rPr>
            </w:pPr>
            <w:r w:rsidRPr="00485283">
              <w:rPr>
                <w:lang w:val="fr-FR"/>
              </w:rPr>
              <w:t>CAJ/74/10</w:t>
            </w:r>
          </w:p>
          <w:p w:rsidR="005F6603" w:rsidRPr="00485283" w:rsidRDefault="005F6603" w:rsidP="000938C2">
            <w:pPr>
              <w:pStyle w:val="Docoriginal"/>
              <w:rPr>
                <w:lang w:val="fr-FR"/>
              </w:rPr>
            </w:pPr>
            <w:r w:rsidRPr="00485283">
              <w:rPr>
                <w:lang w:val="fr-FR"/>
              </w:rPr>
              <w:t>Original</w:t>
            </w:r>
            <w:r w:rsidR="003C1CF1" w:rsidRPr="00485283">
              <w:rPr>
                <w:lang w:val="fr-FR"/>
              </w:rPr>
              <w:t> :</w:t>
            </w:r>
            <w:r w:rsidRPr="00485283">
              <w:rPr>
                <w:b w:val="0"/>
                <w:spacing w:val="0"/>
                <w:lang w:val="fr-FR"/>
              </w:rPr>
              <w:t xml:space="preserve"> anglais</w:t>
            </w:r>
          </w:p>
          <w:p w:rsidR="005F6603" w:rsidRPr="00485283" w:rsidRDefault="005F6603" w:rsidP="000938C2">
            <w:pPr>
              <w:pStyle w:val="Docoriginal"/>
              <w:rPr>
                <w:lang w:val="fr-FR"/>
              </w:rPr>
            </w:pPr>
            <w:r w:rsidRPr="00485283">
              <w:rPr>
                <w:lang w:val="fr-FR"/>
              </w:rPr>
              <w:t>Date</w:t>
            </w:r>
            <w:r w:rsidR="003C1CF1" w:rsidRPr="00485283">
              <w:rPr>
                <w:lang w:val="fr-FR"/>
              </w:rPr>
              <w:t> :</w:t>
            </w:r>
            <w:r w:rsidRPr="00485283">
              <w:rPr>
                <w:b w:val="0"/>
                <w:spacing w:val="0"/>
                <w:lang w:val="fr-FR"/>
              </w:rPr>
              <w:t xml:space="preserve"> 24 octobre 2017</w:t>
            </w:r>
          </w:p>
        </w:tc>
      </w:tr>
    </w:tbl>
    <w:p w:rsidR="0059127D" w:rsidRPr="00E81E4C" w:rsidRDefault="00AE4663" w:rsidP="00E81E4C">
      <w:pPr>
        <w:pStyle w:val="Titleofdoc0"/>
        <w:rPr>
          <w:lang w:val="fr-FR"/>
        </w:rPr>
      </w:pPr>
      <w:r w:rsidRPr="00E81E4C">
        <w:rPr>
          <w:lang w:val="fr-FR"/>
        </w:rPr>
        <w:t>Compte rendu</w:t>
      </w:r>
    </w:p>
    <w:p w:rsidR="0059127D" w:rsidRPr="00E81E4C" w:rsidRDefault="00CB1E6B" w:rsidP="00E81E4C">
      <w:pPr>
        <w:pStyle w:val="preparedby1"/>
        <w:jc w:val="left"/>
        <w:rPr>
          <w:lang w:val="fr-FR"/>
        </w:rPr>
      </w:pPr>
      <w:bookmarkStart w:id="2" w:name="Prepared"/>
      <w:bookmarkEnd w:id="2"/>
      <w:r w:rsidRPr="00E81E4C">
        <w:rPr>
          <w:lang w:val="fr-FR"/>
        </w:rPr>
        <w:t>adopté par le Comité administratif et juridique</w:t>
      </w:r>
    </w:p>
    <w:p w:rsidR="0059127D" w:rsidRPr="00E81E4C" w:rsidRDefault="00CB1E6B" w:rsidP="00E81E4C">
      <w:pPr>
        <w:pStyle w:val="Disclaimer"/>
        <w:rPr>
          <w:lang w:val="fr-FR"/>
        </w:rPr>
      </w:pPr>
      <w:r w:rsidRPr="00E81E4C">
        <w:rPr>
          <w:lang w:val="fr-FR"/>
        </w:rPr>
        <w:t>Avertissement</w:t>
      </w:r>
      <w:r w:rsidR="003C1CF1" w:rsidRPr="00E81E4C">
        <w:rPr>
          <w:lang w:val="fr-FR"/>
        </w:rPr>
        <w:t> :</w:t>
      </w:r>
      <w:r w:rsidRPr="00E81E4C">
        <w:rPr>
          <w:lang w:val="fr-FR"/>
        </w:rPr>
        <w:t xml:space="preserve"> le présent document ne représente pas les principes ou les orientations de l</w:t>
      </w:r>
      <w:r w:rsidR="003C1CF1" w:rsidRPr="00E81E4C">
        <w:rPr>
          <w:lang w:val="fr-FR"/>
        </w:rPr>
        <w:t>’</w:t>
      </w:r>
      <w:r w:rsidRPr="00E81E4C">
        <w:rPr>
          <w:lang w:val="fr-FR"/>
        </w:rPr>
        <w:t>UPOV</w:t>
      </w:r>
    </w:p>
    <w:p w:rsidR="0059127D" w:rsidRPr="00E81E4C" w:rsidRDefault="00CB1E6B" w:rsidP="00E81E4C">
      <w:pPr>
        <w:pStyle w:val="Heading2"/>
        <w:rPr>
          <w:snapToGrid w:val="0"/>
          <w:lang w:val="fr-FR"/>
        </w:rPr>
      </w:pPr>
      <w:r w:rsidRPr="00E81E4C">
        <w:rPr>
          <w:snapToGrid w:val="0"/>
          <w:lang w:val="fr-FR"/>
        </w:rPr>
        <w:t>Ouverture de la session</w:t>
      </w:r>
    </w:p>
    <w:p w:rsidR="0059127D" w:rsidRPr="00E81E4C" w:rsidRDefault="0059127D" w:rsidP="00E81E4C">
      <w:pPr>
        <w:keepNext/>
        <w:outlineLvl w:val="0"/>
        <w:rPr>
          <w:snapToGrid w:val="0"/>
          <w:u w:val="single"/>
          <w:lang w:val="fr-FR"/>
        </w:rPr>
      </w:pPr>
    </w:p>
    <w:p w:rsidR="0059127D" w:rsidRPr="00E81E4C" w:rsidRDefault="00FE0090" w:rsidP="00E81E4C">
      <w:pPr>
        <w:rPr>
          <w:lang w:val="fr-FR"/>
        </w:rPr>
      </w:pPr>
      <w:r w:rsidRPr="00E81E4C">
        <w:rPr>
          <w:lang w:val="fr-FR"/>
        </w:rPr>
        <w:fldChar w:fldCharType="begin"/>
      </w:r>
      <w:r w:rsidRPr="00E81E4C">
        <w:rPr>
          <w:lang w:val="fr-FR"/>
        </w:rPr>
        <w:instrText xml:space="preserve"> AUTONUM  </w:instrText>
      </w:r>
      <w:r w:rsidRPr="00E81E4C">
        <w:rPr>
          <w:lang w:val="fr-FR"/>
        </w:rPr>
        <w:fldChar w:fldCharType="end"/>
      </w:r>
      <w:r w:rsidRPr="00E81E4C">
        <w:rPr>
          <w:lang w:val="fr-FR"/>
        </w:rPr>
        <w:tab/>
      </w:r>
      <w:r w:rsidR="00CB1E6B" w:rsidRPr="00E81E4C">
        <w:rPr>
          <w:lang w:val="fr-FR"/>
        </w:rPr>
        <w:t>Le Comité administratif et juridique (CAJ) a tenu sa soixante</w:t>
      </w:r>
      <w:r w:rsidR="00F93994" w:rsidRPr="00E81E4C">
        <w:rPr>
          <w:lang w:val="fr-FR"/>
        </w:rPr>
        <w:noBreakHyphen/>
      </w:r>
      <w:r w:rsidR="00CB1E6B" w:rsidRPr="00E81E4C">
        <w:rPr>
          <w:lang w:val="fr-FR"/>
        </w:rPr>
        <w:t>quatorz</w:t>
      </w:r>
      <w:r w:rsidR="003C1CF1" w:rsidRPr="00E81E4C">
        <w:rPr>
          <w:lang w:val="fr-FR"/>
        </w:rPr>
        <w:t>ième session</w:t>
      </w:r>
      <w:r w:rsidR="00CB1E6B" w:rsidRPr="00E81E4C">
        <w:rPr>
          <w:lang w:val="fr-FR"/>
        </w:rPr>
        <w:t xml:space="preserve"> à Genève les 23 et 2</w:t>
      </w:r>
      <w:r w:rsidR="00B83237" w:rsidRPr="00E81E4C">
        <w:rPr>
          <w:lang w:val="fr-FR"/>
        </w:rPr>
        <w:t>4 octobre 20</w:t>
      </w:r>
      <w:r w:rsidR="00CB1E6B" w:rsidRPr="00E81E4C">
        <w:rPr>
          <w:lang w:val="fr-FR"/>
        </w:rPr>
        <w:t>17, sous la présidence de M.</w:t>
      </w:r>
      <w:r w:rsidR="00CB611C" w:rsidRPr="00E81E4C">
        <w:rPr>
          <w:lang w:val="fr-FR"/>
        </w:rPr>
        <w:t> </w:t>
      </w:r>
      <w:r w:rsidR="00CB1E6B" w:rsidRPr="00E81E4C">
        <w:rPr>
          <w:lang w:val="fr-FR"/>
        </w:rPr>
        <w:t>Anthony</w:t>
      </w:r>
      <w:r w:rsidR="00A04267" w:rsidRPr="00E81E4C">
        <w:rPr>
          <w:lang w:val="fr-FR"/>
        </w:rPr>
        <w:t> </w:t>
      </w:r>
      <w:r w:rsidR="00CB1E6B" w:rsidRPr="00E81E4C">
        <w:rPr>
          <w:lang w:val="fr-FR"/>
        </w:rPr>
        <w:t>Parker (Canada).</w:t>
      </w:r>
    </w:p>
    <w:p w:rsidR="0059127D" w:rsidRPr="00E81E4C" w:rsidRDefault="0059127D" w:rsidP="00977497">
      <w:pPr>
        <w:outlineLvl w:val="0"/>
        <w:rPr>
          <w:lang w:val="fr-FR"/>
        </w:rPr>
      </w:pPr>
    </w:p>
    <w:p w:rsidR="0059127D" w:rsidRPr="00E81E4C" w:rsidRDefault="00FE0090" w:rsidP="00E81E4C">
      <w:pPr>
        <w:rPr>
          <w:lang w:val="fr-FR"/>
        </w:rPr>
      </w:pPr>
      <w:r w:rsidRPr="00E81E4C">
        <w:rPr>
          <w:lang w:val="fr-FR"/>
        </w:rPr>
        <w:fldChar w:fldCharType="begin"/>
      </w:r>
      <w:r w:rsidRPr="00E81E4C">
        <w:rPr>
          <w:lang w:val="fr-FR"/>
        </w:rPr>
        <w:instrText xml:space="preserve"> AUTONUM  </w:instrText>
      </w:r>
      <w:r w:rsidRPr="00E81E4C">
        <w:rPr>
          <w:lang w:val="fr-FR"/>
        </w:rPr>
        <w:fldChar w:fldCharType="end"/>
      </w:r>
      <w:r w:rsidRPr="00E81E4C">
        <w:rPr>
          <w:lang w:val="fr-FR"/>
        </w:rPr>
        <w:tab/>
      </w:r>
      <w:r w:rsidR="00CB1E6B" w:rsidRPr="00E81E4C">
        <w:rPr>
          <w:lang w:val="fr-FR"/>
        </w:rPr>
        <w:t>Le président ouvre la session et souhaite la bienvenue aux participan</w:t>
      </w:r>
      <w:r w:rsidR="00485283" w:rsidRPr="00E81E4C">
        <w:rPr>
          <w:lang w:val="fr-FR"/>
        </w:rPr>
        <w:t>ts.  La</w:t>
      </w:r>
      <w:r w:rsidR="00CB1E6B" w:rsidRPr="00E81E4C">
        <w:rPr>
          <w:lang w:val="fr-FR"/>
        </w:rPr>
        <w:t xml:space="preserve"> liste des participants fait l</w:t>
      </w:r>
      <w:r w:rsidR="003C1CF1" w:rsidRPr="00E81E4C">
        <w:rPr>
          <w:lang w:val="fr-FR"/>
        </w:rPr>
        <w:t>’</w:t>
      </w:r>
      <w:r w:rsidR="00CB1E6B" w:rsidRPr="00E81E4C">
        <w:rPr>
          <w:lang w:val="fr-FR"/>
        </w:rPr>
        <w:t>objet de l</w:t>
      </w:r>
      <w:r w:rsidR="003C1CF1" w:rsidRPr="00E81E4C">
        <w:rPr>
          <w:lang w:val="fr-FR"/>
        </w:rPr>
        <w:t>’</w:t>
      </w:r>
      <w:r w:rsidR="00CB1E6B" w:rsidRPr="00E81E4C">
        <w:rPr>
          <w:lang w:val="fr-FR"/>
        </w:rPr>
        <w:t>annexe du présent compte rendu.</w:t>
      </w:r>
    </w:p>
    <w:p w:rsidR="0059127D" w:rsidRPr="00E81E4C" w:rsidRDefault="0059127D" w:rsidP="00E81E4C">
      <w:pPr>
        <w:rPr>
          <w:lang w:val="fr-FR"/>
        </w:rPr>
      </w:pPr>
    </w:p>
    <w:p w:rsidR="0059127D" w:rsidRPr="00E81E4C" w:rsidRDefault="00FE0090" w:rsidP="00E81E4C">
      <w:pPr>
        <w:rPr>
          <w:lang w:val="fr-FR"/>
        </w:rPr>
      </w:pPr>
      <w:r w:rsidRPr="00E81E4C">
        <w:rPr>
          <w:lang w:val="fr-FR"/>
        </w:rPr>
        <w:fldChar w:fldCharType="begin"/>
      </w:r>
      <w:r w:rsidRPr="00E81E4C">
        <w:rPr>
          <w:lang w:val="fr-FR"/>
        </w:rPr>
        <w:instrText xml:space="preserve"> AUTONUM  </w:instrText>
      </w:r>
      <w:r w:rsidRPr="00E81E4C">
        <w:rPr>
          <w:lang w:val="fr-FR"/>
        </w:rPr>
        <w:fldChar w:fldCharType="end"/>
      </w:r>
      <w:r w:rsidRPr="00E81E4C">
        <w:rPr>
          <w:lang w:val="fr-FR"/>
        </w:rPr>
        <w:tab/>
      </w:r>
      <w:r w:rsidR="00CB1E6B" w:rsidRPr="00E81E4C">
        <w:rPr>
          <w:lang w:val="fr-FR"/>
        </w:rPr>
        <w:t>Le président fait savoir que la Bosnie</w:t>
      </w:r>
      <w:r w:rsidR="00F93994" w:rsidRPr="00E81E4C">
        <w:rPr>
          <w:lang w:val="fr-FR"/>
        </w:rPr>
        <w:noBreakHyphen/>
      </w:r>
      <w:r w:rsidR="00CB1E6B" w:rsidRPr="00E81E4C">
        <w:rPr>
          <w:lang w:val="fr-FR"/>
        </w:rPr>
        <w:t>Herzégovine a déposé son instrument d</w:t>
      </w:r>
      <w:r w:rsidR="003C1CF1" w:rsidRPr="00E81E4C">
        <w:rPr>
          <w:lang w:val="fr-FR"/>
        </w:rPr>
        <w:t>’</w:t>
      </w:r>
      <w:r w:rsidR="00CB1E6B" w:rsidRPr="00E81E4C">
        <w:rPr>
          <w:lang w:val="fr-FR"/>
        </w:rPr>
        <w:t>adhésion à l</w:t>
      </w:r>
      <w:r w:rsidR="003C1CF1" w:rsidRPr="00E81E4C">
        <w:rPr>
          <w:lang w:val="fr-FR"/>
        </w:rPr>
        <w:t>’</w:t>
      </w:r>
      <w:r w:rsidR="00CB1E6B" w:rsidRPr="00E81E4C">
        <w:rPr>
          <w:lang w:val="fr-FR"/>
        </w:rPr>
        <w:t xml:space="preserve">Acte </w:t>
      </w:r>
      <w:r w:rsidR="00B83237" w:rsidRPr="00E81E4C">
        <w:rPr>
          <w:lang w:val="fr-FR"/>
        </w:rPr>
        <w:t>de 1991</w:t>
      </w:r>
      <w:r w:rsidR="00CB1E6B" w:rsidRPr="00E81E4C">
        <w:rPr>
          <w:lang w:val="fr-FR"/>
        </w:rPr>
        <w:t xml:space="preserve"> de la </w:t>
      </w:r>
      <w:r w:rsidR="003C1CF1" w:rsidRPr="00E81E4C">
        <w:rPr>
          <w:lang w:val="fr-FR"/>
        </w:rPr>
        <w:t>Convention UPOV</w:t>
      </w:r>
      <w:r w:rsidR="00CB1E6B" w:rsidRPr="00E81E4C">
        <w:rPr>
          <w:lang w:val="fr-FR"/>
        </w:rPr>
        <w:t xml:space="preserve"> le 1</w:t>
      </w:r>
      <w:r w:rsidR="00B83237" w:rsidRPr="00E81E4C">
        <w:rPr>
          <w:lang w:val="fr-FR"/>
        </w:rPr>
        <w:t>0 octobre 20</w:t>
      </w:r>
      <w:r w:rsidR="00CB1E6B" w:rsidRPr="00E81E4C">
        <w:rPr>
          <w:lang w:val="fr-FR"/>
        </w:rPr>
        <w:t>17 et qu</w:t>
      </w:r>
      <w:r w:rsidR="003C1CF1" w:rsidRPr="00E81E4C">
        <w:rPr>
          <w:lang w:val="fr-FR"/>
        </w:rPr>
        <w:t>’</w:t>
      </w:r>
      <w:r w:rsidR="00CB1E6B" w:rsidRPr="00E81E4C">
        <w:rPr>
          <w:lang w:val="fr-FR"/>
        </w:rPr>
        <w:t>elle est devenue liée par cet Acte le 1</w:t>
      </w:r>
      <w:r w:rsidR="00B83237" w:rsidRPr="00E81E4C">
        <w:rPr>
          <w:lang w:val="fr-FR"/>
        </w:rPr>
        <w:t>0 novembre 20</w:t>
      </w:r>
      <w:r w:rsidR="00CB1E6B" w:rsidRPr="00E81E4C">
        <w:rPr>
          <w:lang w:val="fr-FR"/>
        </w:rPr>
        <w:t>17.</w:t>
      </w:r>
      <w:r w:rsidR="007B1350" w:rsidRPr="00E81E4C">
        <w:rPr>
          <w:lang w:val="fr-FR"/>
        </w:rPr>
        <w:t xml:space="preserve"> </w:t>
      </w:r>
      <w:r w:rsidR="006466C7" w:rsidRPr="00E81E4C">
        <w:rPr>
          <w:lang w:val="fr-FR"/>
        </w:rPr>
        <w:t xml:space="preserve"> </w:t>
      </w:r>
      <w:r w:rsidR="00CB1E6B" w:rsidRPr="00E81E4C">
        <w:rPr>
          <w:lang w:val="fr-FR"/>
        </w:rPr>
        <w:t>La Bosnie</w:t>
      </w:r>
      <w:r w:rsidR="00F93994" w:rsidRPr="00E81E4C">
        <w:rPr>
          <w:lang w:val="fr-FR"/>
        </w:rPr>
        <w:noBreakHyphen/>
      </w:r>
      <w:r w:rsidR="00CB1E6B" w:rsidRPr="00E81E4C">
        <w:rPr>
          <w:lang w:val="fr-FR"/>
        </w:rPr>
        <w:t>Herzégovine devien</w:t>
      </w:r>
      <w:r w:rsidR="000D5002" w:rsidRPr="00E81E4C">
        <w:rPr>
          <w:lang w:val="fr-FR"/>
        </w:rPr>
        <w:t>dra</w:t>
      </w:r>
      <w:r w:rsidR="00CB1E6B" w:rsidRPr="00E81E4C">
        <w:rPr>
          <w:lang w:val="fr-FR"/>
        </w:rPr>
        <w:t xml:space="preserve"> le soixante</w:t>
      </w:r>
      <w:r w:rsidR="00F93994" w:rsidRPr="00E81E4C">
        <w:rPr>
          <w:lang w:val="fr-FR"/>
        </w:rPr>
        <w:noBreakHyphen/>
      </w:r>
      <w:r w:rsidR="00CB1E6B" w:rsidRPr="00E81E4C">
        <w:rPr>
          <w:lang w:val="fr-FR"/>
        </w:rPr>
        <w:t>quinzième membre de l</w:t>
      </w:r>
      <w:r w:rsidR="003C1CF1" w:rsidRPr="00E81E4C">
        <w:rPr>
          <w:lang w:val="fr-FR"/>
        </w:rPr>
        <w:t>’</w:t>
      </w:r>
      <w:r w:rsidR="00CB1E6B" w:rsidRPr="00E81E4C">
        <w:rPr>
          <w:lang w:val="fr-FR"/>
        </w:rPr>
        <w:t>Union.</w:t>
      </w:r>
    </w:p>
    <w:p w:rsidR="0059127D" w:rsidRPr="00E81E4C" w:rsidRDefault="0059127D" w:rsidP="00E81E4C">
      <w:pPr>
        <w:rPr>
          <w:lang w:val="fr-FR"/>
        </w:rPr>
      </w:pPr>
    </w:p>
    <w:p w:rsidR="0059127D" w:rsidRPr="00E81E4C" w:rsidRDefault="00FE0090" w:rsidP="00E81E4C">
      <w:pPr>
        <w:rPr>
          <w:lang w:val="fr-FR"/>
        </w:rPr>
      </w:pPr>
      <w:r w:rsidRPr="00E81E4C">
        <w:rPr>
          <w:lang w:val="fr-FR"/>
        </w:rPr>
        <w:fldChar w:fldCharType="begin"/>
      </w:r>
      <w:r w:rsidRPr="00E81E4C">
        <w:rPr>
          <w:lang w:val="fr-FR"/>
        </w:rPr>
        <w:instrText xml:space="preserve"> AUTONUM  </w:instrText>
      </w:r>
      <w:r w:rsidRPr="00E81E4C">
        <w:rPr>
          <w:lang w:val="fr-FR"/>
        </w:rPr>
        <w:fldChar w:fldCharType="end"/>
      </w:r>
      <w:r w:rsidRPr="00E81E4C">
        <w:rPr>
          <w:lang w:val="fr-FR"/>
        </w:rPr>
        <w:tab/>
      </w:r>
      <w:r w:rsidR="00CB1E6B" w:rsidRPr="00E81E4C">
        <w:rPr>
          <w:lang w:val="fr-FR"/>
        </w:rPr>
        <w:t>Le président confirme que le compte rendu de la soixante</w:t>
      </w:r>
      <w:r w:rsidR="00F93994" w:rsidRPr="00E81E4C">
        <w:rPr>
          <w:lang w:val="fr-FR"/>
        </w:rPr>
        <w:noBreakHyphen/>
      </w:r>
      <w:r w:rsidR="00CB1E6B" w:rsidRPr="00E81E4C">
        <w:rPr>
          <w:lang w:val="fr-FR"/>
        </w:rPr>
        <w:t>treiz</w:t>
      </w:r>
      <w:r w:rsidR="003C1CF1" w:rsidRPr="00E81E4C">
        <w:rPr>
          <w:lang w:val="fr-FR"/>
        </w:rPr>
        <w:t>ième session</w:t>
      </w:r>
      <w:r w:rsidR="00B83237" w:rsidRPr="00E81E4C">
        <w:rPr>
          <w:lang w:val="fr-FR"/>
        </w:rPr>
        <w:t xml:space="preserve"> du CAJ</w:t>
      </w:r>
      <w:r w:rsidR="00CB1E6B" w:rsidRPr="00E81E4C">
        <w:rPr>
          <w:lang w:val="fr-FR"/>
        </w:rPr>
        <w:t xml:space="preserve"> tenue à Genève le 2</w:t>
      </w:r>
      <w:r w:rsidR="00B83237" w:rsidRPr="00E81E4C">
        <w:rPr>
          <w:lang w:val="fr-FR"/>
        </w:rPr>
        <w:t>5 octobre 20</w:t>
      </w:r>
      <w:r w:rsidR="00CB1E6B" w:rsidRPr="00E81E4C">
        <w:rPr>
          <w:lang w:val="fr-FR"/>
        </w:rPr>
        <w:t>16 (document CAJ/73/10) a été approuvé par correspondance et</w:t>
      </w:r>
      <w:r w:rsidR="000D5002" w:rsidRPr="00E81E4C">
        <w:rPr>
          <w:lang w:val="fr-FR"/>
        </w:rPr>
        <w:t xml:space="preserve"> mis à disposition </w:t>
      </w:r>
      <w:r w:rsidR="00CB1E6B" w:rsidRPr="00E81E4C">
        <w:rPr>
          <w:lang w:val="fr-FR"/>
        </w:rPr>
        <w:t>sur le site</w:t>
      </w:r>
      <w:r w:rsidR="00CB611C" w:rsidRPr="00E81E4C">
        <w:rPr>
          <w:lang w:val="fr-FR"/>
        </w:rPr>
        <w:t> </w:t>
      </w:r>
      <w:r w:rsidR="00CB1E6B" w:rsidRPr="00E81E4C">
        <w:rPr>
          <w:lang w:val="fr-FR"/>
        </w:rPr>
        <w:t>Web de l</w:t>
      </w:r>
      <w:r w:rsidR="003C1CF1" w:rsidRPr="00E81E4C">
        <w:rPr>
          <w:lang w:val="fr-FR"/>
        </w:rPr>
        <w:t>’</w:t>
      </w:r>
      <w:r w:rsidR="00CB1E6B" w:rsidRPr="00E81E4C">
        <w:rPr>
          <w:lang w:val="fr-FR"/>
        </w:rPr>
        <w:t>UPOV.</w:t>
      </w:r>
    </w:p>
    <w:p w:rsidR="0059127D" w:rsidRPr="00E81E4C" w:rsidRDefault="0059127D" w:rsidP="00E81E4C">
      <w:pPr>
        <w:rPr>
          <w:lang w:val="fr-FR"/>
        </w:rPr>
      </w:pPr>
    </w:p>
    <w:p w:rsidR="0059127D" w:rsidRPr="00E81E4C" w:rsidRDefault="0059127D" w:rsidP="00E81E4C">
      <w:pPr>
        <w:rPr>
          <w:lang w:val="fr-FR"/>
        </w:rPr>
      </w:pPr>
    </w:p>
    <w:p w:rsidR="0059127D" w:rsidRPr="00E81E4C" w:rsidRDefault="00CB1E6B" w:rsidP="00E81E4C">
      <w:pPr>
        <w:pStyle w:val="Heading2"/>
        <w:rPr>
          <w:lang w:val="fr-FR"/>
        </w:rPr>
      </w:pPr>
      <w:r w:rsidRPr="00E81E4C">
        <w:rPr>
          <w:lang w:val="fr-FR"/>
        </w:rPr>
        <w:t>Adoption de l</w:t>
      </w:r>
      <w:r w:rsidR="003C1CF1" w:rsidRPr="00E81E4C">
        <w:rPr>
          <w:lang w:val="fr-FR"/>
        </w:rPr>
        <w:t>’</w:t>
      </w:r>
      <w:r w:rsidRPr="00E81E4C">
        <w:rPr>
          <w:lang w:val="fr-FR"/>
        </w:rPr>
        <w:t>ordre du jour</w:t>
      </w:r>
    </w:p>
    <w:p w:rsidR="0059127D" w:rsidRPr="00E81E4C" w:rsidRDefault="0059127D" w:rsidP="00E81E4C">
      <w:pPr>
        <w:keepNext/>
        <w:jc w:val="left"/>
        <w:outlineLvl w:val="0"/>
        <w:rPr>
          <w:snapToGrid w:val="0"/>
          <w:u w:val="single"/>
          <w:lang w:val="fr-FR"/>
        </w:rPr>
      </w:pPr>
    </w:p>
    <w:p w:rsidR="0059127D" w:rsidRPr="00E81E4C" w:rsidRDefault="00FE0090" w:rsidP="00E81E4C">
      <w:pPr>
        <w:rPr>
          <w:lang w:val="fr-FR"/>
        </w:rPr>
      </w:pPr>
      <w:r w:rsidRPr="00E81E4C">
        <w:rPr>
          <w:snapToGrid w:val="0"/>
          <w:lang w:val="fr-FR"/>
        </w:rPr>
        <w:fldChar w:fldCharType="begin"/>
      </w:r>
      <w:r w:rsidRPr="00E81E4C">
        <w:rPr>
          <w:snapToGrid w:val="0"/>
          <w:lang w:val="fr-FR"/>
        </w:rPr>
        <w:instrText xml:space="preserve"> AUTONUM  </w:instrText>
      </w:r>
      <w:r w:rsidRPr="00E81E4C">
        <w:rPr>
          <w:snapToGrid w:val="0"/>
          <w:lang w:val="fr-FR"/>
        </w:rPr>
        <w:fldChar w:fldCharType="end"/>
      </w:r>
      <w:r w:rsidRPr="00E81E4C">
        <w:rPr>
          <w:snapToGrid w:val="0"/>
          <w:lang w:val="fr-FR"/>
        </w:rPr>
        <w:tab/>
      </w:r>
      <w:r w:rsidR="00CB1E6B" w:rsidRPr="00E81E4C">
        <w:rPr>
          <w:snapToGrid w:val="0"/>
          <w:lang w:val="fr-FR"/>
        </w:rPr>
        <w:t>Le CAJ adopte le projet d</w:t>
      </w:r>
      <w:r w:rsidR="003C1CF1" w:rsidRPr="00E81E4C">
        <w:rPr>
          <w:snapToGrid w:val="0"/>
          <w:lang w:val="fr-FR"/>
        </w:rPr>
        <w:t>’</w:t>
      </w:r>
      <w:r w:rsidR="00CB1E6B" w:rsidRPr="00E81E4C">
        <w:rPr>
          <w:snapToGrid w:val="0"/>
          <w:lang w:val="fr-FR"/>
        </w:rPr>
        <w:t>ordre du jour, tel qu</w:t>
      </w:r>
      <w:r w:rsidR="003C1CF1" w:rsidRPr="00E81E4C">
        <w:rPr>
          <w:snapToGrid w:val="0"/>
          <w:lang w:val="fr-FR"/>
        </w:rPr>
        <w:t>’</w:t>
      </w:r>
      <w:r w:rsidR="00CB1E6B" w:rsidRPr="00E81E4C">
        <w:rPr>
          <w:snapToGrid w:val="0"/>
          <w:lang w:val="fr-FR"/>
        </w:rPr>
        <w:t>il figure dans le document CAJ/74/1</w:t>
      </w:r>
      <w:r w:rsidR="00CB611C" w:rsidRPr="00E81E4C">
        <w:rPr>
          <w:snapToGrid w:val="0"/>
          <w:lang w:val="fr-FR"/>
        </w:rPr>
        <w:t> </w:t>
      </w:r>
      <w:r w:rsidR="00CB1E6B" w:rsidRPr="00E81E4C">
        <w:rPr>
          <w:snapToGrid w:val="0"/>
          <w:lang w:val="fr-FR"/>
        </w:rPr>
        <w:t>Rev.</w:t>
      </w:r>
    </w:p>
    <w:p w:rsidR="0059127D" w:rsidRPr="00E81E4C" w:rsidRDefault="0059127D" w:rsidP="00E81E4C">
      <w:pPr>
        <w:rPr>
          <w:lang w:val="fr-FR"/>
        </w:rPr>
      </w:pPr>
    </w:p>
    <w:p w:rsidR="0059127D" w:rsidRPr="00E81E4C" w:rsidRDefault="0059127D" w:rsidP="00E81E4C">
      <w:pPr>
        <w:rPr>
          <w:lang w:val="fr-FR"/>
        </w:rPr>
      </w:pPr>
    </w:p>
    <w:p w:rsidR="0059127D" w:rsidRPr="00E81E4C" w:rsidRDefault="00CB1E6B" w:rsidP="00E81E4C">
      <w:pPr>
        <w:pStyle w:val="Heading2"/>
        <w:rPr>
          <w:snapToGrid w:val="0"/>
          <w:lang w:val="fr-FR"/>
        </w:rPr>
      </w:pPr>
      <w:r w:rsidRPr="00E81E4C">
        <w:rPr>
          <w:snapToGrid w:val="0"/>
          <w:lang w:val="fr-FR"/>
        </w:rPr>
        <w:t>Rapport sur les faits nouveaux intervenus au sein du Comité technique</w:t>
      </w:r>
    </w:p>
    <w:p w:rsidR="0059127D" w:rsidRPr="00E81E4C" w:rsidRDefault="0059127D" w:rsidP="00E81E4C">
      <w:pPr>
        <w:jc w:val="left"/>
        <w:rPr>
          <w:snapToGrid w:val="0"/>
          <w:lang w:val="fr-FR"/>
        </w:rPr>
      </w:pPr>
    </w:p>
    <w:p w:rsidR="0059127D" w:rsidRPr="00E81E4C" w:rsidRDefault="00FE0090" w:rsidP="00E81E4C">
      <w:pPr>
        <w:rPr>
          <w:snapToGrid w:val="0"/>
          <w:lang w:val="fr-FR"/>
        </w:rPr>
      </w:pPr>
      <w:r w:rsidRPr="00E81E4C">
        <w:rPr>
          <w:snapToGrid w:val="0"/>
          <w:lang w:val="fr-FR"/>
        </w:rPr>
        <w:fldChar w:fldCharType="begin"/>
      </w:r>
      <w:r w:rsidRPr="00E81E4C">
        <w:rPr>
          <w:snapToGrid w:val="0"/>
          <w:lang w:val="fr-FR"/>
        </w:rPr>
        <w:instrText xml:space="preserve"> AUTONUM  </w:instrText>
      </w:r>
      <w:r w:rsidRPr="00E81E4C">
        <w:rPr>
          <w:snapToGrid w:val="0"/>
          <w:lang w:val="fr-FR"/>
        </w:rPr>
        <w:fldChar w:fldCharType="end"/>
      </w:r>
      <w:r w:rsidRPr="00E81E4C">
        <w:rPr>
          <w:snapToGrid w:val="0"/>
          <w:lang w:val="fr-FR"/>
        </w:rPr>
        <w:tab/>
      </w:r>
      <w:r w:rsidR="00CB1E6B" w:rsidRPr="00E81E4C">
        <w:rPr>
          <w:snapToGrid w:val="0"/>
          <w:lang w:val="fr-FR"/>
        </w:rPr>
        <w:t>Le CAJ examine le document CAJ/74/9.</w:t>
      </w:r>
    </w:p>
    <w:p w:rsidR="0059127D" w:rsidRPr="00E81E4C" w:rsidRDefault="0059127D" w:rsidP="00E81E4C">
      <w:pPr>
        <w:rPr>
          <w:lang w:val="fr-FR"/>
        </w:rPr>
      </w:pPr>
    </w:p>
    <w:p w:rsidR="0059127D" w:rsidRPr="00E81E4C" w:rsidRDefault="006466C7" w:rsidP="00E81E4C">
      <w:pPr>
        <w:rPr>
          <w:lang w:val="fr-FR"/>
        </w:rPr>
      </w:pPr>
      <w:r w:rsidRPr="00E81E4C">
        <w:rPr>
          <w:lang w:val="fr-FR"/>
        </w:rPr>
        <w:fldChar w:fldCharType="begin"/>
      </w:r>
      <w:r w:rsidRPr="00E81E4C">
        <w:rPr>
          <w:lang w:val="fr-FR"/>
        </w:rPr>
        <w:instrText xml:space="preserve"> AUTONUM  </w:instrText>
      </w:r>
      <w:r w:rsidRPr="00E81E4C">
        <w:rPr>
          <w:lang w:val="fr-FR"/>
        </w:rPr>
        <w:fldChar w:fldCharType="end"/>
      </w:r>
      <w:r w:rsidRPr="00E81E4C">
        <w:rPr>
          <w:lang w:val="fr-FR"/>
        </w:rPr>
        <w:tab/>
      </w:r>
      <w:r w:rsidR="00CB1E6B" w:rsidRPr="00E81E4C">
        <w:rPr>
          <w:lang w:val="fr-FR"/>
        </w:rPr>
        <w:t>Le CAJ prend note des faits nouveaux survenus au sein du</w:t>
      </w:r>
      <w:r w:rsidR="003C1CF1" w:rsidRPr="00E81E4C">
        <w:rPr>
          <w:lang w:val="fr-FR"/>
        </w:rPr>
        <w:t> TC</w:t>
      </w:r>
      <w:r w:rsidR="00CB1E6B" w:rsidRPr="00E81E4C">
        <w:rPr>
          <w:lang w:val="fr-FR"/>
        </w:rPr>
        <w:t xml:space="preserve"> à sa </w:t>
      </w:r>
      <w:r w:rsidR="000D5002" w:rsidRPr="00E81E4C">
        <w:rPr>
          <w:lang w:val="fr-FR"/>
        </w:rPr>
        <w:t>cinquante</w:t>
      </w:r>
      <w:r w:rsidR="00F93994" w:rsidRPr="00E81E4C">
        <w:rPr>
          <w:lang w:val="fr-FR"/>
        </w:rPr>
        <w:noBreakHyphen/>
      </w:r>
      <w:r w:rsidR="000D5002" w:rsidRPr="00E81E4C">
        <w:rPr>
          <w:lang w:val="fr-FR"/>
        </w:rPr>
        <w:t>trois</w:t>
      </w:r>
      <w:r w:rsidR="003C1CF1" w:rsidRPr="00E81E4C">
        <w:rPr>
          <w:lang w:val="fr-FR"/>
        </w:rPr>
        <w:t>ième session</w:t>
      </w:r>
      <w:r w:rsidR="00CB1E6B" w:rsidRPr="00E81E4C">
        <w:rPr>
          <w:lang w:val="fr-FR"/>
        </w:rPr>
        <w:t xml:space="preserve"> tenue à Genève du 3 au </w:t>
      </w:r>
      <w:r w:rsidR="00B83237" w:rsidRPr="00E81E4C">
        <w:rPr>
          <w:lang w:val="fr-FR"/>
        </w:rPr>
        <w:t>5 avril 20</w:t>
      </w:r>
      <w:r w:rsidR="00CB1E6B" w:rsidRPr="00E81E4C">
        <w:rPr>
          <w:lang w:val="fr-FR"/>
        </w:rPr>
        <w:t>17.</w:t>
      </w:r>
      <w:r w:rsidRPr="00E81E4C">
        <w:rPr>
          <w:lang w:val="fr-FR"/>
        </w:rPr>
        <w:t xml:space="preserve">  </w:t>
      </w:r>
      <w:r w:rsidR="00122590" w:rsidRPr="00E81E4C">
        <w:rPr>
          <w:lang w:val="fr-FR"/>
        </w:rPr>
        <w:t>Il</w:t>
      </w:r>
      <w:r w:rsidR="004A0332" w:rsidRPr="00E81E4C">
        <w:rPr>
          <w:lang w:val="fr-FR"/>
        </w:rPr>
        <w:t xml:space="preserve"> note qu</w:t>
      </w:r>
      <w:r w:rsidR="003C1CF1" w:rsidRPr="00E81E4C">
        <w:rPr>
          <w:lang w:val="fr-FR"/>
        </w:rPr>
        <w:t>’</w:t>
      </w:r>
      <w:r w:rsidR="004A0332" w:rsidRPr="00E81E4C">
        <w:rPr>
          <w:lang w:val="fr-FR"/>
        </w:rPr>
        <w:t xml:space="preserve">il a été rendu compte </w:t>
      </w:r>
      <w:r w:rsidR="000D5002" w:rsidRPr="00E81E4C">
        <w:rPr>
          <w:lang w:val="fr-FR"/>
        </w:rPr>
        <w:t xml:space="preserve">dans les documents </w:t>
      </w:r>
      <w:r w:rsidR="00122590" w:rsidRPr="00E81E4C">
        <w:rPr>
          <w:lang w:val="fr-FR"/>
        </w:rPr>
        <w:t>pertinents</w:t>
      </w:r>
      <w:r w:rsidR="000D5002" w:rsidRPr="00E81E4C">
        <w:rPr>
          <w:lang w:val="fr-FR"/>
        </w:rPr>
        <w:t xml:space="preserve"> des conclusions adoptées par le</w:t>
      </w:r>
      <w:r w:rsidR="003C1CF1" w:rsidRPr="00E81E4C">
        <w:rPr>
          <w:lang w:val="fr-FR"/>
        </w:rPr>
        <w:t> TC</w:t>
      </w:r>
      <w:r w:rsidR="004A0332" w:rsidRPr="00E81E4C">
        <w:rPr>
          <w:lang w:val="fr-FR"/>
        </w:rPr>
        <w:t xml:space="preserve"> concernant les questions devant être examinées par le </w:t>
      </w:r>
      <w:r w:rsidR="00485283" w:rsidRPr="00E81E4C">
        <w:rPr>
          <w:lang w:val="fr-FR"/>
        </w:rPr>
        <w:t>CAJ.  Il</w:t>
      </w:r>
      <w:r w:rsidR="004A0332" w:rsidRPr="00E81E4C">
        <w:rPr>
          <w:lang w:val="fr-FR"/>
        </w:rPr>
        <w:t xml:space="preserve"> note également que le compte rendu du</w:t>
      </w:r>
      <w:r w:rsidR="003C1CF1" w:rsidRPr="00E81E4C">
        <w:rPr>
          <w:lang w:val="fr-FR"/>
        </w:rPr>
        <w:t> TC</w:t>
      </w:r>
      <w:r w:rsidR="004A0332" w:rsidRPr="00E81E4C">
        <w:rPr>
          <w:lang w:val="fr-FR"/>
        </w:rPr>
        <w:t xml:space="preserve"> </w:t>
      </w:r>
      <w:r w:rsidR="000D5002" w:rsidRPr="00E81E4C">
        <w:rPr>
          <w:lang w:val="fr-FR"/>
        </w:rPr>
        <w:t>fait l</w:t>
      </w:r>
      <w:r w:rsidR="003C1CF1" w:rsidRPr="00E81E4C">
        <w:rPr>
          <w:lang w:val="fr-FR"/>
        </w:rPr>
        <w:t>’</w:t>
      </w:r>
      <w:r w:rsidR="000D5002" w:rsidRPr="00E81E4C">
        <w:rPr>
          <w:lang w:val="fr-FR"/>
        </w:rPr>
        <w:t>objet du</w:t>
      </w:r>
      <w:r w:rsidR="004A0332" w:rsidRPr="00E81E4C">
        <w:rPr>
          <w:lang w:val="fr-FR"/>
        </w:rPr>
        <w:t xml:space="preserve"> </w:t>
      </w:r>
      <w:r w:rsidR="003C1CF1" w:rsidRPr="00E81E4C">
        <w:rPr>
          <w:lang w:val="fr-FR"/>
        </w:rPr>
        <w:t>document TC</w:t>
      </w:r>
      <w:r w:rsidR="004A0332" w:rsidRPr="00E81E4C">
        <w:rPr>
          <w:lang w:val="fr-FR"/>
        </w:rPr>
        <w:t>/53/31 “Compte rendu”.</w:t>
      </w:r>
    </w:p>
    <w:p w:rsidR="0059127D" w:rsidRPr="00E81E4C" w:rsidRDefault="0059127D" w:rsidP="00E81E4C">
      <w:pPr>
        <w:rPr>
          <w:lang w:val="fr-FR"/>
        </w:rPr>
      </w:pPr>
    </w:p>
    <w:p w:rsidR="0059127D" w:rsidRPr="00E81E4C" w:rsidRDefault="0059127D" w:rsidP="00E81E4C">
      <w:pPr>
        <w:rPr>
          <w:lang w:val="fr-FR"/>
        </w:rPr>
      </w:pPr>
    </w:p>
    <w:p w:rsidR="0059127D" w:rsidRPr="00E81E4C" w:rsidRDefault="004A0332" w:rsidP="00E81E4C">
      <w:pPr>
        <w:pStyle w:val="Heading2"/>
        <w:rPr>
          <w:snapToGrid w:val="0"/>
          <w:lang w:val="fr-FR"/>
        </w:rPr>
      </w:pPr>
      <w:r w:rsidRPr="00E81E4C">
        <w:rPr>
          <w:snapToGrid w:val="0"/>
          <w:lang w:val="fr-FR"/>
        </w:rPr>
        <w:t>Élaboration de matériel d</w:t>
      </w:r>
      <w:r w:rsidR="003C1CF1" w:rsidRPr="00E81E4C">
        <w:rPr>
          <w:snapToGrid w:val="0"/>
          <w:lang w:val="fr-FR"/>
        </w:rPr>
        <w:t>’</w:t>
      </w:r>
      <w:r w:rsidRPr="00E81E4C">
        <w:rPr>
          <w:snapToGrid w:val="0"/>
          <w:lang w:val="fr-FR"/>
        </w:rPr>
        <w:t xml:space="preserve">information concernant la </w:t>
      </w:r>
      <w:r w:rsidR="003C1CF1" w:rsidRPr="00E81E4C">
        <w:rPr>
          <w:snapToGrid w:val="0"/>
          <w:lang w:val="fr-FR"/>
        </w:rPr>
        <w:t>Convention UPOV</w:t>
      </w:r>
    </w:p>
    <w:p w:rsidR="0059127D" w:rsidRPr="00E81E4C" w:rsidRDefault="0059127D" w:rsidP="00E81E4C">
      <w:pPr>
        <w:keepNext/>
        <w:rPr>
          <w:lang w:val="fr-FR"/>
        </w:rPr>
      </w:pPr>
    </w:p>
    <w:p w:rsidR="0059127D" w:rsidRPr="00E81E4C" w:rsidRDefault="00FE0090" w:rsidP="00E81E4C">
      <w:pPr>
        <w:rPr>
          <w:snapToGrid w:val="0"/>
          <w:lang w:val="fr-FR"/>
        </w:rPr>
      </w:pPr>
      <w:r w:rsidRPr="00E81E4C">
        <w:rPr>
          <w:snapToGrid w:val="0"/>
          <w:lang w:val="fr-FR"/>
        </w:rPr>
        <w:fldChar w:fldCharType="begin"/>
      </w:r>
      <w:r w:rsidRPr="00E81E4C">
        <w:rPr>
          <w:snapToGrid w:val="0"/>
          <w:lang w:val="fr-FR"/>
        </w:rPr>
        <w:instrText xml:space="preserve"> AUTONUM  </w:instrText>
      </w:r>
      <w:r w:rsidRPr="00E81E4C">
        <w:rPr>
          <w:snapToGrid w:val="0"/>
          <w:lang w:val="fr-FR"/>
        </w:rPr>
        <w:fldChar w:fldCharType="end"/>
      </w:r>
      <w:r w:rsidR="007C0276" w:rsidRPr="00E81E4C">
        <w:rPr>
          <w:snapToGrid w:val="0"/>
          <w:lang w:val="fr-FR"/>
        </w:rPr>
        <w:tab/>
      </w:r>
      <w:r w:rsidR="004A0332" w:rsidRPr="00E81E4C">
        <w:rPr>
          <w:snapToGrid w:val="0"/>
          <w:lang w:val="fr-FR"/>
        </w:rPr>
        <w:t>Le CAJ examine le document CAJ/74/2.</w:t>
      </w:r>
    </w:p>
    <w:p w:rsidR="0059127D" w:rsidRPr="00E81E4C" w:rsidRDefault="0059127D" w:rsidP="00E81E4C">
      <w:pPr>
        <w:rPr>
          <w:lang w:val="fr-FR"/>
        </w:rPr>
      </w:pPr>
    </w:p>
    <w:p w:rsidR="0059127D" w:rsidRPr="00E81E4C" w:rsidRDefault="0039115E" w:rsidP="00E81E4C">
      <w:pPr>
        <w:rPr>
          <w:lang w:val="fr-FR"/>
        </w:rPr>
      </w:pPr>
      <w:r w:rsidRPr="00E81E4C">
        <w:rPr>
          <w:lang w:val="fr-FR"/>
        </w:rPr>
        <w:fldChar w:fldCharType="begin"/>
      </w:r>
      <w:r w:rsidRPr="00E81E4C">
        <w:rPr>
          <w:lang w:val="fr-FR"/>
        </w:rPr>
        <w:instrText xml:space="preserve"> AUTONUM  </w:instrText>
      </w:r>
      <w:r w:rsidRPr="00E81E4C">
        <w:rPr>
          <w:lang w:val="fr-FR"/>
        </w:rPr>
        <w:fldChar w:fldCharType="end"/>
      </w:r>
      <w:r w:rsidRPr="00E81E4C">
        <w:rPr>
          <w:lang w:val="fr-FR"/>
        </w:rPr>
        <w:tab/>
      </w:r>
      <w:r w:rsidR="004A0332" w:rsidRPr="00E81E4C">
        <w:rPr>
          <w:lang w:val="fr-FR"/>
        </w:rPr>
        <w:t>Le CAJ prend note de la demande de la Communauté internationale des obtenteurs de plantes ornementales et fruitières à reproduction asexuée (CIOPORA) et de l</w:t>
      </w:r>
      <w:r w:rsidR="003C1CF1" w:rsidRPr="00E81E4C">
        <w:rPr>
          <w:lang w:val="fr-FR"/>
        </w:rPr>
        <w:t>’</w:t>
      </w:r>
      <w:r w:rsidR="004A0332" w:rsidRPr="00E81E4C">
        <w:rPr>
          <w:lang w:val="fr-FR"/>
        </w:rPr>
        <w:t>International Seed Federation (ISF) concernant l</w:t>
      </w:r>
      <w:r w:rsidR="003C1CF1" w:rsidRPr="00E81E4C">
        <w:rPr>
          <w:lang w:val="fr-FR"/>
        </w:rPr>
        <w:t>’</w:t>
      </w:r>
      <w:r w:rsidR="004A0332" w:rsidRPr="00E81E4C">
        <w:rPr>
          <w:lang w:val="fr-FR"/>
        </w:rPr>
        <w:t>ajournement de la réunion du Bureau de l</w:t>
      </w:r>
      <w:r w:rsidR="003C1CF1" w:rsidRPr="00E81E4C">
        <w:rPr>
          <w:lang w:val="fr-FR"/>
        </w:rPr>
        <w:t>’</w:t>
      </w:r>
      <w:r w:rsidR="004A0332" w:rsidRPr="00E81E4C">
        <w:rPr>
          <w:lang w:val="fr-FR"/>
        </w:rPr>
        <w:t>Union avec</w:t>
      </w:r>
      <w:r w:rsidR="00B83237" w:rsidRPr="00E81E4C">
        <w:rPr>
          <w:lang w:val="fr-FR"/>
        </w:rPr>
        <w:t xml:space="preserve"> la CIO</w:t>
      </w:r>
      <w:r w:rsidR="004A0332" w:rsidRPr="00E81E4C">
        <w:rPr>
          <w:lang w:val="fr-FR"/>
        </w:rPr>
        <w:t>PORA, l</w:t>
      </w:r>
      <w:r w:rsidR="003C1CF1" w:rsidRPr="00E81E4C">
        <w:rPr>
          <w:lang w:val="fr-FR"/>
        </w:rPr>
        <w:t>’</w:t>
      </w:r>
      <w:r w:rsidR="004A0332" w:rsidRPr="00E81E4C">
        <w:rPr>
          <w:lang w:val="fr-FR"/>
        </w:rPr>
        <w:t>ISF et l</w:t>
      </w:r>
      <w:r w:rsidR="003C1CF1" w:rsidRPr="00E81E4C">
        <w:rPr>
          <w:lang w:val="fr-FR"/>
        </w:rPr>
        <w:t>’</w:t>
      </w:r>
      <w:r w:rsidR="004A0332" w:rsidRPr="00E81E4C">
        <w:rPr>
          <w:lang w:val="fr-FR"/>
        </w:rPr>
        <w:t>Organisation Mondiale de la Propriété Intellectuelle (OMPI) en vue d</w:t>
      </w:r>
      <w:r w:rsidR="003C1CF1" w:rsidRPr="00E81E4C">
        <w:rPr>
          <w:lang w:val="fr-FR"/>
        </w:rPr>
        <w:t>’</w:t>
      </w:r>
      <w:r w:rsidR="004A0332" w:rsidRPr="00E81E4C">
        <w:rPr>
          <w:lang w:val="fr-FR"/>
        </w:rPr>
        <w:t>étudier le rôle que l</w:t>
      </w:r>
      <w:r w:rsidR="003C1CF1" w:rsidRPr="00E81E4C">
        <w:rPr>
          <w:lang w:val="fr-FR"/>
        </w:rPr>
        <w:t>’</w:t>
      </w:r>
      <w:r w:rsidR="004A0332" w:rsidRPr="00E81E4C">
        <w:rPr>
          <w:lang w:val="fr-FR"/>
        </w:rPr>
        <w:t xml:space="preserve">UPOV pourrait jouer dans les mécanismes extrajudiciaires de règlement des litiges pour les questions relatives aux variétés essentiellement dérivées, </w:t>
      </w:r>
      <w:r w:rsidR="003C1CF1" w:rsidRPr="00E81E4C">
        <w:rPr>
          <w:lang w:val="fr-FR"/>
        </w:rPr>
        <w:t>y compris</w:t>
      </w:r>
      <w:r w:rsidR="004A0332" w:rsidRPr="00E81E4C">
        <w:rPr>
          <w:lang w:val="fr-FR"/>
        </w:rPr>
        <w:t xml:space="preserve"> la mise à disposition d</w:t>
      </w:r>
      <w:r w:rsidR="003C1CF1" w:rsidRPr="00E81E4C">
        <w:rPr>
          <w:lang w:val="fr-FR"/>
        </w:rPr>
        <w:t>’</w:t>
      </w:r>
      <w:r w:rsidR="004A0332" w:rsidRPr="00E81E4C">
        <w:rPr>
          <w:lang w:val="fr-FR"/>
        </w:rPr>
        <w:t>experts concernant les questions relatives aux variétés essentiellement dérivé</w:t>
      </w:r>
      <w:r w:rsidR="00485283" w:rsidRPr="00E81E4C">
        <w:rPr>
          <w:lang w:val="fr-FR"/>
        </w:rPr>
        <w:t>es.  Le</w:t>
      </w:r>
      <w:r w:rsidR="00B83237" w:rsidRPr="00E81E4C">
        <w:rPr>
          <w:lang w:val="fr-FR"/>
        </w:rPr>
        <w:t> CAJ</w:t>
      </w:r>
      <w:r w:rsidR="008C01AA" w:rsidRPr="00E81E4C">
        <w:rPr>
          <w:lang w:val="fr-FR"/>
        </w:rPr>
        <w:t xml:space="preserve"> note que tout fait nouveau concernant la réunion sera présenté lors de ses futures sessions.</w:t>
      </w:r>
    </w:p>
    <w:p w:rsidR="0059127D" w:rsidRPr="00E81E4C" w:rsidRDefault="0059127D" w:rsidP="00E81E4C">
      <w:pPr>
        <w:rPr>
          <w:lang w:val="fr-FR"/>
        </w:rPr>
      </w:pPr>
    </w:p>
    <w:p w:rsidR="0059127D" w:rsidRPr="00E81E4C" w:rsidRDefault="00493FD0" w:rsidP="00E81E4C">
      <w:pPr>
        <w:keepLines/>
        <w:rPr>
          <w:lang w:val="fr-FR"/>
        </w:rPr>
      </w:pPr>
      <w:r w:rsidRPr="00E81E4C">
        <w:rPr>
          <w:lang w:val="fr-FR"/>
        </w:rPr>
        <w:lastRenderedPageBreak/>
        <w:fldChar w:fldCharType="begin"/>
      </w:r>
      <w:r w:rsidRPr="00E81E4C">
        <w:rPr>
          <w:lang w:val="fr-FR"/>
        </w:rPr>
        <w:instrText xml:space="preserve"> AUTONUM  </w:instrText>
      </w:r>
      <w:r w:rsidRPr="00E81E4C">
        <w:rPr>
          <w:lang w:val="fr-FR"/>
        </w:rPr>
        <w:fldChar w:fldCharType="end"/>
      </w:r>
      <w:r w:rsidRPr="00E81E4C">
        <w:rPr>
          <w:lang w:val="fr-FR"/>
        </w:rPr>
        <w:tab/>
      </w:r>
      <w:r w:rsidR="008C01AA" w:rsidRPr="00E81E4C">
        <w:rPr>
          <w:lang w:val="fr-FR"/>
        </w:rPr>
        <w:t>Après examen des commentaires figurant dans le document CAJ/74/2,</w:t>
      </w:r>
      <w:r w:rsidR="00B83237" w:rsidRPr="00E81E4C">
        <w:rPr>
          <w:lang w:val="fr-FR"/>
        </w:rPr>
        <w:t xml:space="preserve"> le CAJ</w:t>
      </w:r>
      <w:r w:rsidR="008C01AA" w:rsidRPr="00E81E4C">
        <w:rPr>
          <w:lang w:val="fr-FR"/>
        </w:rPr>
        <w:t xml:space="preserve"> convient d</w:t>
      </w:r>
      <w:r w:rsidR="003C1CF1" w:rsidRPr="00E81E4C">
        <w:rPr>
          <w:lang w:val="fr-FR"/>
        </w:rPr>
        <w:t>’</w:t>
      </w:r>
      <w:r w:rsidR="008C01AA" w:rsidRPr="00E81E4C">
        <w:rPr>
          <w:lang w:val="fr-FR"/>
        </w:rPr>
        <w:t xml:space="preserve">inclure </w:t>
      </w:r>
      <w:r w:rsidR="000A0F85" w:rsidRPr="00E81E4C">
        <w:rPr>
          <w:lang w:val="fr-FR"/>
        </w:rPr>
        <w:t>les trois</w:t>
      </w:r>
      <w:r w:rsidR="00CB611C" w:rsidRPr="00E81E4C">
        <w:rPr>
          <w:lang w:val="fr-FR"/>
        </w:rPr>
        <w:t> </w:t>
      </w:r>
      <w:r w:rsidR="000A0F85" w:rsidRPr="00E81E4C">
        <w:rPr>
          <w:lang w:val="fr-FR"/>
        </w:rPr>
        <w:t>points ci</w:t>
      </w:r>
      <w:r w:rsidR="00F93994" w:rsidRPr="00E81E4C">
        <w:rPr>
          <w:lang w:val="fr-FR"/>
        </w:rPr>
        <w:noBreakHyphen/>
      </w:r>
      <w:r w:rsidR="000A0F85" w:rsidRPr="00E81E4C">
        <w:rPr>
          <w:lang w:val="fr-FR"/>
        </w:rPr>
        <w:t xml:space="preserve">après </w:t>
      </w:r>
      <w:r w:rsidR="000D5002" w:rsidRPr="00E81E4C">
        <w:rPr>
          <w:lang w:val="fr-FR"/>
        </w:rPr>
        <w:t>dans le programme de sa</w:t>
      </w:r>
      <w:r w:rsidR="008C01AA" w:rsidRPr="00E81E4C">
        <w:rPr>
          <w:lang w:val="fr-FR"/>
        </w:rPr>
        <w:t xml:space="preserve"> soixante</w:t>
      </w:r>
      <w:r w:rsidR="00F93994" w:rsidRPr="00E81E4C">
        <w:rPr>
          <w:lang w:val="fr-FR"/>
        </w:rPr>
        <w:noBreakHyphen/>
      </w:r>
      <w:r w:rsidR="008C01AA" w:rsidRPr="00E81E4C">
        <w:rPr>
          <w:lang w:val="fr-FR"/>
        </w:rPr>
        <w:t>quinz</w:t>
      </w:r>
      <w:r w:rsidR="003C1CF1" w:rsidRPr="00E81E4C">
        <w:rPr>
          <w:lang w:val="fr-FR"/>
        </w:rPr>
        <w:t>ième session</w:t>
      </w:r>
      <w:r w:rsidR="008C01AA" w:rsidRPr="00E81E4C">
        <w:rPr>
          <w:lang w:val="fr-FR"/>
        </w:rPr>
        <w:t xml:space="preserve"> et d</w:t>
      </w:r>
      <w:r w:rsidR="003C1CF1" w:rsidRPr="00E81E4C">
        <w:rPr>
          <w:lang w:val="fr-FR"/>
        </w:rPr>
        <w:t>’</w:t>
      </w:r>
      <w:r w:rsidR="008C01AA" w:rsidRPr="00E81E4C">
        <w:rPr>
          <w:lang w:val="fr-FR"/>
        </w:rPr>
        <w:t>inviter les membres et les observateurs à présenter leurs points de vue sur les questions de fond indiquées</w:t>
      </w:r>
      <w:r w:rsidR="003C1CF1" w:rsidRPr="00E81E4C">
        <w:rPr>
          <w:lang w:val="fr-FR"/>
        </w:rPr>
        <w:t> :</w:t>
      </w:r>
    </w:p>
    <w:p w:rsidR="0059127D" w:rsidRPr="00E81E4C" w:rsidRDefault="0059127D" w:rsidP="00E81E4C">
      <w:pPr>
        <w:keepLines/>
        <w:rPr>
          <w:lang w:val="fr-FR"/>
        </w:rPr>
      </w:pPr>
    </w:p>
    <w:p w:rsidR="0059127D" w:rsidRPr="00E81E4C" w:rsidRDefault="00A04267" w:rsidP="00E81E4C">
      <w:pPr>
        <w:keepLines/>
        <w:ind w:left="567"/>
        <w:rPr>
          <w:lang w:val="fr-FR"/>
        </w:rPr>
      </w:pPr>
      <w:r w:rsidRPr="00E81E4C">
        <w:rPr>
          <w:lang w:val="fr-FR"/>
        </w:rPr>
        <w:t>a)</w:t>
      </w:r>
      <w:r w:rsidR="008C01AA" w:rsidRPr="00E81E4C">
        <w:rPr>
          <w:lang w:val="fr-FR"/>
        </w:rPr>
        <w:tab/>
        <w:t>Variétés essentiellement dérivées</w:t>
      </w:r>
    </w:p>
    <w:p w:rsidR="0059127D" w:rsidRPr="00E81E4C" w:rsidRDefault="0059127D" w:rsidP="00E81E4C">
      <w:pPr>
        <w:keepLines/>
        <w:ind w:left="567"/>
        <w:rPr>
          <w:lang w:val="fr-FR"/>
        </w:rPr>
      </w:pPr>
    </w:p>
    <w:p w:rsidR="00B83237" w:rsidRPr="00AC1BF6" w:rsidRDefault="008C01AA" w:rsidP="00AC1BF6">
      <w:pPr>
        <w:pStyle w:val="ListParagraph"/>
        <w:keepLines/>
        <w:numPr>
          <w:ilvl w:val="0"/>
          <w:numId w:val="6"/>
        </w:numPr>
        <w:ind w:left="1701" w:hanging="425"/>
        <w:rPr>
          <w:lang w:val="fr-FR"/>
        </w:rPr>
      </w:pPr>
      <w:r w:rsidRPr="00AC1BF6">
        <w:rPr>
          <w:lang w:val="fr-FR"/>
        </w:rPr>
        <w:t>caractères essentiels</w:t>
      </w:r>
    </w:p>
    <w:p w:rsidR="00B83237" w:rsidRPr="00AC1BF6" w:rsidRDefault="008C01AA" w:rsidP="00AC1BF6">
      <w:pPr>
        <w:pStyle w:val="ListParagraph"/>
        <w:keepLines/>
        <w:numPr>
          <w:ilvl w:val="0"/>
          <w:numId w:val="6"/>
        </w:numPr>
        <w:ind w:left="1701" w:hanging="425"/>
        <w:rPr>
          <w:lang w:val="fr-FR"/>
        </w:rPr>
      </w:pPr>
      <w:r w:rsidRPr="00AC1BF6">
        <w:rPr>
          <w:lang w:val="fr-FR"/>
        </w:rPr>
        <w:t>principalement dérivées</w:t>
      </w:r>
    </w:p>
    <w:p w:rsidR="00B83237" w:rsidRPr="00AC1BF6" w:rsidRDefault="0080453D" w:rsidP="00AC1BF6">
      <w:pPr>
        <w:pStyle w:val="ListParagraph"/>
        <w:keepLines/>
        <w:numPr>
          <w:ilvl w:val="0"/>
          <w:numId w:val="6"/>
        </w:numPr>
        <w:ind w:left="1701" w:hanging="425"/>
        <w:rPr>
          <w:lang w:val="fr-FR"/>
        </w:rPr>
      </w:pPr>
      <w:r w:rsidRPr="00AC1BF6">
        <w:rPr>
          <w:lang w:val="fr-FR"/>
        </w:rPr>
        <w:t xml:space="preserve">dérivation indirecte, </w:t>
      </w:r>
      <w:r w:rsidR="003C1CF1" w:rsidRPr="00AC1BF6">
        <w:rPr>
          <w:lang w:val="fr-FR"/>
        </w:rPr>
        <w:t>y compris</w:t>
      </w:r>
      <w:r w:rsidRPr="00AC1BF6">
        <w:rPr>
          <w:lang w:val="fr-FR"/>
        </w:rPr>
        <w:t xml:space="preserve"> par rapport aux lignées parentales et aux hybrides</w:t>
      </w:r>
    </w:p>
    <w:p w:rsidR="00B83237" w:rsidRPr="00AC1BF6" w:rsidRDefault="0080453D" w:rsidP="00AC1BF6">
      <w:pPr>
        <w:pStyle w:val="ListParagraph"/>
        <w:keepLines/>
        <w:numPr>
          <w:ilvl w:val="0"/>
          <w:numId w:val="6"/>
        </w:numPr>
        <w:ind w:left="1701" w:hanging="425"/>
        <w:rPr>
          <w:lang w:val="fr-FR"/>
        </w:rPr>
      </w:pPr>
      <w:r w:rsidRPr="00AC1BF6">
        <w:rPr>
          <w:lang w:val="fr-FR"/>
        </w:rPr>
        <w:t>évaluation des variétés essentiellement dérivées</w:t>
      </w:r>
    </w:p>
    <w:p w:rsidR="0059127D" w:rsidRPr="00E81E4C" w:rsidRDefault="0059127D" w:rsidP="00E81E4C">
      <w:pPr>
        <w:keepLines/>
        <w:ind w:left="567"/>
        <w:rPr>
          <w:lang w:val="fr-FR"/>
        </w:rPr>
      </w:pPr>
    </w:p>
    <w:p w:rsidR="0059127D" w:rsidRPr="00E81E4C" w:rsidRDefault="0080453D" w:rsidP="00E81E4C">
      <w:pPr>
        <w:keepLines/>
        <w:ind w:left="567"/>
        <w:rPr>
          <w:lang w:val="fr-FR"/>
        </w:rPr>
      </w:pPr>
      <w:r w:rsidRPr="00E81E4C">
        <w:rPr>
          <w:lang w:val="fr-FR"/>
        </w:rPr>
        <w:t>b)</w:t>
      </w:r>
      <w:r w:rsidRPr="00E81E4C">
        <w:rPr>
          <w:lang w:val="fr-FR"/>
        </w:rPr>
        <w:tab/>
        <w:t>Conditions et limitations relatives à l</w:t>
      </w:r>
      <w:r w:rsidR="003C1CF1" w:rsidRPr="00E81E4C">
        <w:rPr>
          <w:lang w:val="fr-FR"/>
        </w:rPr>
        <w:t>’</w:t>
      </w:r>
      <w:r w:rsidRPr="00E81E4C">
        <w:rPr>
          <w:lang w:val="fr-FR"/>
        </w:rPr>
        <w:t>autorisation de l</w:t>
      </w:r>
      <w:r w:rsidR="003C1CF1" w:rsidRPr="00E81E4C">
        <w:rPr>
          <w:lang w:val="fr-FR"/>
        </w:rPr>
        <w:t>’</w:t>
      </w:r>
      <w:r w:rsidRPr="00E81E4C">
        <w:rPr>
          <w:lang w:val="fr-FR"/>
        </w:rPr>
        <w:t xml:space="preserve">obtenteur </w:t>
      </w:r>
      <w:r w:rsidR="003C1CF1" w:rsidRPr="00E81E4C">
        <w:rPr>
          <w:lang w:val="fr-FR"/>
        </w:rPr>
        <w:t>à l’égard</w:t>
      </w:r>
      <w:r w:rsidRPr="00E81E4C">
        <w:rPr>
          <w:lang w:val="fr-FR"/>
        </w:rPr>
        <w:t xml:space="preserve"> du matériel de reproduction ou de multiplication</w:t>
      </w:r>
    </w:p>
    <w:p w:rsidR="0059127D" w:rsidRPr="00E81E4C" w:rsidRDefault="0059127D" w:rsidP="00E81E4C">
      <w:pPr>
        <w:keepLines/>
        <w:ind w:left="567"/>
        <w:rPr>
          <w:lang w:val="fr-FR"/>
        </w:rPr>
      </w:pPr>
    </w:p>
    <w:p w:rsidR="00B83237" w:rsidRPr="00E81E4C" w:rsidRDefault="0080453D" w:rsidP="00E81E4C">
      <w:pPr>
        <w:pStyle w:val="ListParagraph"/>
        <w:keepLines/>
        <w:numPr>
          <w:ilvl w:val="0"/>
          <w:numId w:val="5"/>
        </w:numPr>
        <w:ind w:left="1418" w:hanging="284"/>
        <w:rPr>
          <w:lang w:val="fr-FR"/>
        </w:rPr>
      </w:pPr>
      <w:r w:rsidRPr="00E81E4C">
        <w:rPr>
          <w:lang w:val="fr-FR"/>
        </w:rPr>
        <w:t>exemples appropriés de conditions et</w:t>
      </w:r>
      <w:r w:rsidR="000D5002" w:rsidRPr="00E81E4C">
        <w:rPr>
          <w:lang w:val="fr-FR"/>
        </w:rPr>
        <w:t xml:space="preserve"> de</w:t>
      </w:r>
      <w:r w:rsidRPr="00E81E4C">
        <w:rPr>
          <w:lang w:val="fr-FR"/>
        </w:rPr>
        <w:t xml:space="preserve"> limitations</w:t>
      </w:r>
    </w:p>
    <w:p w:rsidR="0059127D" w:rsidRPr="00E81E4C" w:rsidRDefault="0059127D" w:rsidP="00E81E4C">
      <w:pPr>
        <w:keepLines/>
        <w:ind w:left="567"/>
        <w:rPr>
          <w:lang w:val="fr-FR"/>
        </w:rPr>
      </w:pPr>
    </w:p>
    <w:p w:rsidR="00B83237" w:rsidRPr="00E81E4C" w:rsidRDefault="0080453D" w:rsidP="00E81E4C">
      <w:pPr>
        <w:keepLines/>
        <w:ind w:left="567"/>
        <w:rPr>
          <w:lang w:val="fr-FR"/>
        </w:rPr>
      </w:pPr>
      <w:r w:rsidRPr="00E81E4C">
        <w:rPr>
          <w:lang w:val="fr-FR"/>
        </w:rPr>
        <w:t>c)</w:t>
      </w:r>
      <w:r w:rsidRPr="00E81E4C">
        <w:rPr>
          <w:lang w:val="fr-FR"/>
        </w:rPr>
        <w:tab/>
        <w:t>Étendue de la protection provisoire</w:t>
      </w:r>
    </w:p>
    <w:p w:rsidR="0059127D" w:rsidRPr="00E81E4C" w:rsidRDefault="0059127D" w:rsidP="00E81E4C">
      <w:pPr>
        <w:keepLines/>
        <w:rPr>
          <w:lang w:val="fr-FR"/>
        </w:rPr>
      </w:pPr>
    </w:p>
    <w:p w:rsidR="00B83237" w:rsidRPr="00E81E4C" w:rsidRDefault="00493FD0" w:rsidP="00E81E4C">
      <w:pPr>
        <w:keepLines/>
        <w:rPr>
          <w:lang w:val="fr-FR"/>
        </w:rPr>
      </w:pPr>
      <w:r w:rsidRPr="00E81E4C">
        <w:rPr>
          <w:lang w:val="fr-FR"/>
        </w:rPr>
        <w:fldChar w:fldCharType="begin"/>
      </w:r>
      <w:r w:rsidRPr="00E81E4C">
        <w:rPr>
          <w:lang w:val="fr-FR"/>
        </w:rPr>
        <w:instrText xml:space="preserve"> AUTONUM  </w:instrText>
      </w:r>
      <w:r w:rsidRPr="00E81E4C">
        <w:rPr>
          <w:lang w:val="fr-FR"/>
        </w:rPr>
        <w:fldChar w:fldCharType="end"/>
      </w:r>
      <w:r w:rsidRPr="00E81E4C">
        <w:rPr>
          <w:lang w:val="fr-FR"/>
        </w:rPr>
        <w:tab/>
      </w:r>
      <w:r w:rsidR="0068431E" w:rsidRPr="00E81E4C">
        <w:rPr>
          <w:lang w:val="fr-FR"/>
        </w:rPr>
        <w:t>Com</w:t>
      </w:r>
      <w:r w:rsidR="000A0F85" w:rsidRPr="00E81E4C">
        <w:rPr>
          <w:lang w:val="fr-FR"/>
        </w:rPr>
        <w:t>p</w:t>
      </w:r>
      <w:r w:rsidR="0068431E" w:rsidRPr="00E81E4C">
        <w:rPr>
          <w:lang w:val="fr-FR"/>
        </w:rPr>
        <w:t>te tenu de ce qui précède,</w:t>
      </w:r>
      <w:r w:rsidR="00B83237" w:rsidRPr="00E81E4C">
        <w:rPr>
          <w:lang w:val="fr-FR"/>
        </w:rPr>
        <w:t xml:space="preserve"> le CAJ</w:t>
      </w:r>
      <w:r w:rsidR="0068431E" w:rsidRPr="00E81E4C">
        <w:rPr>
          <w:lang w:val="fr-FR"/>
        </w:rPr>
        <w:t xml:space="preserve"> examinera la nécessité de procéder à une révision des </w:t>
      </w:r>
      <w:r w:rsidR="000D5002" w:rsidRPr="00E81E4C">
        <w:rPr>
          <w:lang w:val="fr-FR"/>
        </w:rPr>
        <w:t>conseils</w:t>
      </w:r>
      <w:r w:rsidR="0068431E" w:rsidRPr="00E81E4C">
        <w:rPr>
          <w:lang w:val="fr-FR"/>
        </w:rPr>
        <w:t xml:space="preserve"> actuels.</w:t>
      </w:r>
    </w:p>
    <w:p w:rsidR="0059127D" w:rsidRPr="00E81E4C" w:rsidRDefault="0059127D" w:rsidP="00AC1BF6">
      <w:pPr>
        <w:spacing w:line="360" w:lineRule="auto"/>
        <w:rPr>
          <w:lang w:val="fr-FR"/>
        </w:rPr>
      </w:pPr>
    </w:p>
    <w:p w:rsidR="0059127D" w:rsidRPr="00E81E4C" w:rsidRDefault="0068431E" w:rsidP="00E81E4C">
      <w:pPr>
        <w:pStyle w:val="Heading3"/>
        <w:rPr>
          <w:lang w:val="fr-FR"/>
        </w:rPr>
      </w:pPr>
      <w:r w:rsidRPr="00E81E4C">
        <w:rPr>
          <w:lang w:val="fr-FR"/>
        </w:rPr>
        <w:t>Bulletin type de l</w:t>
      </w:r>
      <w:r w:rsidR="003C1CF1" w:rsidRPr="00E81E4C">
        <w:rPr>
          <w:lang w:val="fr-FR"/>
        </w:rPr>
        <w:t>’</w:t>
      </w:r>
      <w:r w:rsidRPr="00E81E4C">
        <w:rPr>
          <w:lang w:val="fr-FR"/>
        </w:rPr>
        <w:t>UPOV de la protection des obtentions végétales (révision)</w:t>
      </w:r>
    </w:p>
    <w:p w:rsidR="0059127D" w:rsidRPr="00E81E4C" w:rsidRDefault="0059127D" w:rsidP="00E81E4C">
      <w:pPr>
        <w:keepNext/>
        <w:rPr>
          <w:lang w:val="fr-FR"/>
        </w:rPr>
      </w:pPr>
    </w:p>
    <w:p w:rsidR="0059127D" w:rsidRPr="00E81E4C" w:rsidRDefault="001971D3" w:rsidP="00E81E4C">
      <w:pPr>
        <w:rPr>
          <w:lang w:val="fr-FR"/>
        </w:rPr>
      </w:pPr>
      <w:r w:rsidRPr="00E81E4C">
        <w:rPr>
          <w:i/>
          <w:spacing w:val="-2"/>
          <w:lang w:val="fr-FR"/>
        </w:rPr>
        <w:fldChar w:fldCharType="begin"/>
      </w:r>
      <w:r w:rsidRPr="00E81E4C">
        <w:rPr>
          <w:spacing w:val="-2"/>
          <w:lang w:val="fr-FR"/>
        </w:rPr>
        <w:instrText xml:space="preserve"> AUTONUM  </w:instrText>
      </w:r>
      <w:r w:rsidRPr="00E81E4C">
        <w:rPr>
          <w:i/>
          <w:spacing w:val="-2"/>
          <w:lang w:val="fr-FR"/>
        </w:rPr>
        <w:fldChar w:fldCharType="end"/>
      </w:r>
      <w:r w:rsidRPr="00E81E4C">
        <w:rPr>
          <w:spacing w:val="-2"/>
          <w:lang w:val="fr-FR"/>
        </w:rPr>
        <w:tab/>
      </w:r>
      <w:r w:rsidR="0068431E" w:rsidRPr="00E81E4C">
        <w:rPr>
          <w:spacing w:val="-2"/>
          <w:lang w:val="fr-FR"/>
        </w:rPr>
        <w:t>Le CAJ demande au Bureau de l</w:t>
      </w:r>
      <w:r w:rsidR="003C1CF1" w:rsidRPr="00E81E4C">
        <w:rPr>
          <w:spacing w:val="-2"/>
          <w:lang w:val="fr-FR"/>
        </w:rPr>
        <w:t>’</w:t>
      </w:r>
      <w:r w:rsidR="0068431E" w:rsidRPr="00E81E4C">
        <w:rPr>
          <w:spacing w:val="-2"/>
          <w:lang w:val="fr-FR"/>
        </w:rPr>
        <w:t>Union d</w:t>
      </w:r>
      <w:r w:rsidR="003C1CF1" w:rsidRPr="00E81E4C">
        <w:rPr>
          <w:spacing w:val="-2"/>
          <w:lang w:val="fr-FR"/>
        </w:rPr>
        <w:t>’</w:t>
      </w:r>
      <w:r w:rsidR="00122590" w:rsidRPr="00E81E4C">
        <w:rPr>
          <w:spacing w:val="-2"/>
          <w:lang w:val="fr-FR"/>
        </w:rPr>
        <w:t>élaborer des propositions</w:t>
      </w:r>
      <w:r w:rsidR="0068431E" w:rsidRPr="00E81E4C">
        <w:rPr>
          <w:spacing w:val="-2"/>
          <w:lang w:val="fr-FR"/>
        </w:rPr>
        <w:t xml:space="preserve"> pour examen par</w:t>
      </w:r>
      <w:r w:rsidR="00B83237" w:rsidRPr="00E81E4C">
        <w:rPr>
          <w:spacing w:val="-2"/>
          <w:lang w:val="fr-FR"/>
        </w:rPr>
        <w:t xml:space="preserve"> le CAJ</w:t>
      </w:r>
      <w:r w:rsidR="0068431E" w:rsidRPr="00E81E4C">
        <w:rPr>
          <w:spacing w:val="-2"/>
          <w:lang w:val="fr-FR"/>
        </w:rPr>
        <w:t xml:space="preserve"> à sa soixante</w:t>
      </w:r>
      <w:r w:rsidR="00F93994" w:rsidRPr="00E81E4C">
        <w:rPr>
          <w:spacing w:val="-2"/>
          <w:lang w:val="fr-FR"/>
        </w:rPr>
        <w:noBreakHyphen/>
      </w:r>
      <w:r w:rsidR="0068431E" w:rsidRPr="00E81E4C">
        <w:rPr>
          <w:spacing w:val="-2"/>
          <w:lang w:val="fr-FR"/>
        </w:rPr>
        <w:t>quinz</w:t>
      </w:r>
      <w:r w:rsidR="003C1CF1" w:rsidRPr="00E81E4C">
        <w:rPr>
          <w:spacing w:val="-2"/>
          <w:lang w:val="fr-FR"/>
        </w:rPr>
        <w:t>ième session</w:t>
      </w:r>
      <w:r w:rsidR="0068431E" w:rsidRPr="00E81E4C">
        <w:rPr>
          <w:spacing w:val="-2"/>
          <w:lang w:val="fr-FR"/>
        </w:rPr>
        <w:t xml:space="preserve"> en vue de la révision du document UPOV/INF/5 “Bulletin type de l</w:t>
      </w:r>
      <w:r w:rsidR="003C1CF1" w:rsidRPr="00E81E4C">
        <w:rPr>
          <w:spacing w:val="-2"/>
          <w:lang w:val="fr-FR"/>
        </w:rPr>
        <w:t>’</w:t>
      </w:r>
      <w:r w:rsidR="0068431E" w:rsidRPr="00E81E4C">
        <w:rPr>
          <w:spacing w:val="-2"/>
          <w:lang w:val="fr-FR"/>
        </w:rPr>
        <w:t>UPOV de la protection des obtentions végétales (révision)”, en prenant en considération les questions relatives à l</w:t>
      </w:r>
      <w:r w:rsidR="003C1CF1" w:rsidRPr="00E81E4C">
        <w:rPr>
          <w:spacing w:val="-2"/>
          <w:lang w:val="fr-FR"/>
        </w:rPr>
        <w:t>’</w:t>
      </w:r>
      <w:r w:rsidR="0068431E" w:rsidRPr="00E81E4C">
        <w:rPr>
          <w:spacing w:val="-2"/>
          <w:lang w:val="fr-FR"/>
        </w:rPr>
        <w:t>actualisation du document recensées par</w:t>
      </w:r>
      <w:r w:rsidR="00B83237" w:rsidRPr="00E81E4C">
        <w:rPr>
          <w:spacing w:val="-2"/>
          <w:lang w:val="fr-FR"/>
        </w:rPr>
        <w:t xml:space="preserve"> le CAJ</w:t>
      </w:r>
      <w:r w:rsidR="0068431E" w:rsidRPr="00E81E4C">
        <w:rPr>
          <w:spacing w:val="-2"/>
          <w:lang w:val="fr-FR"/>
        </w:rPr>
        <w:t xml:space="preserve"> à sa soixante</w:t>
      </w:r>
      <w:r w:rsidR="00F93994" w:rsidRPr="00E81E4C">
        <w:rPr>
          <w:spacing w:val="-2"/>
          <w:lang w:val="fr-FR"/>
        </w:rPr>
        <w:noBreakHyphen/>
      </w:r>
      <w:r w:rsidR="0068431E" w:rsidRPr="00E81E4C">
        <w:rPr>
          <w:spacing w:val="-2"/>
          <w:lang w:val="fr-FR"/>
        </w:rPr>
        <w:t>quatr</w:t>
      </w:r>
      <w:r w:rsidR="003C1CF1" w:rsidRPr="00E81E4C">
        <w:rPr>
          <w:spacing w:val="-2"/>
          <w:lang w:val="fr-FR"/>
        </w:rPr>
        <w:t>ième session</w:t>
      </w:r>
      <w:r w:rsidR="0068431E" w:rsidRPr="00E81E4C">
        <w:rPr>
          <w:spacing w:val="-2"/>
          <w:lang w:val="fr-FR"/>
        </w:rPr>
        <w:t xml:space="preserve"> et témoignant des faits nouveaux concernant le formulaire de demande électronique, ainsi que les champs pertinents de la base de données PLUTO, comme suit</w:t>
      </w:r>
      <w:r w:rsidR="003C1CF1" w:rsidRPr="00E81E4C">
        <w:rPr>
          <w:spacing w:val="-2"/>
          <w:lang w:val="fr-FR"/>
        </w:rPr>
        <w:t> :</w:t>
      </w:r>
    </w:p>
    <w:p w:rsidR="0059127D" w:rsidRPr="00E81E4C" w:rsidRDefault="0059127D" w:rsidP="00E81E4C">
      <w:pPr>
        <w:rPr>
          <w:lang w:val="fr-FR"/>
        </w:rPr>
      </w:pPr>
    </w:p>
    <w:p w:rsidR="0059127D" w:rsidRPr="00E81E4C" w:rsidRDefault="00A04267" w:rsidP="00E81E4C">
      <w:pPr>
        <w:ind w:firstLine="567"/>
        <w:rPr>
          <w:lang w:val="fr-FR"/>
        </w:rPr>
      </w:pPr>
      <w:r w:rsidRPr="00E81E4C">
        <w:rPr>
          <w:lang w:val="fr-FR"/>
        </w:rPr>
        <w:t>a)</w:t>
      </w:r>
      <w:r w:rsidR="0068431E" w:rsidRPr="00E81E4C">
        <w:rPr>
          <w:lang w:val="fr-FR"/>
        </w:rPr>
        <w:tab/>
        <w:t>tenir compte de l</w:t>
      </w:r>
      <w:r w:rsidR="003C1CF1" w:rsidRPr="00E81E4C">
        <w:rPr>
          <w:lang w:val="fr-FR"/>
        </w:rPr>
        <w:t>’</w:t>
      </w:r>
      <w:r w:rsidR="0068431E" w:rsidRPr="00E81E4C">
        <w:rPr>
          <w:lang w:val="fr-FR"/>
        </w:rPr>
        <w:t>énoncé de l</w:t>
      </w:r>
      <w:r w:rsidR="003C1CF1" w:rsidRPr="00E81E4C">
        <w:rPr>
          <w:lang w:val="fr-FR"/>
        </w:rPr>
        <w:t>’</w:t>
      </w:r>
      <w:r w:rsidR="0068431E" w:rsidRPr="00E81E4C">
        <w:rPr>
          <w:lang w:val="fr-FR"/>
        </w:rPr>
        <w:t xml:space="preserve">Acte </w:t>
      </w:r>
      <w:r w:rsidR="00B83237" w:rsidRPr="00E81E4C">
        <w:rPr>
          <w:lang w:val="fr-FR"/>
        </w:rPr>
        <w:t>de 1991</w:t>
      </w:r>
      <w:r w:rsidR="0068431E" w:rsidRPr="00E81E4C">
        <w:rPr>
          <w:lang w:val="fr-FR"/>
        </w:rPr>
        <w:t xml:space="preserve"> de la </w:t>
      </w:r>
      <w:r w:rsidR="003C1CF1" w:rsidRPr="00E81E4C">
        <w:rPr>
          <w:lang w:val="fr-FR"/>
        </w:rPr>
        <w:t>Convention UPOV</w:t>
      </w:r>
      <w:r w:rsidR="0068431E" w:rsidRPr="00E81E4C">
        <w:rPr>
          <w:lang w:val="fr-FR"/>
        </w:rPr>
        <w:t xml:space="preserve"> et des documents récemment adoptés par le Conseil (tels que le formulaire type de l</w:t>
      </w:r>
      <w:r w:rsidR="003C1CF1" w:rsidRPr="00E81E4C">
        <w:rPr>
          <w:lang w:val="fr-FR"/>
        </w:rPr>
        <w:t>’</w:t>
      </w:r>
      <w:r w:rsidR="0068431E" w:rsidRPr="00E81E4C">
        <w:rPr>
          <w:lang w:val="fr-FR"/>
        </w:rPr>
        <w:t>UPOV pour la demande de protection d</w:t>
      </w:r>
      <w:r w:rsidR="003C1CF1" w:rsidRPr="00E81E4C">
        <w:rPr>
          <w:lang w:val="fr-FR"/>
        </w:rPr>
        <w:t>’</w:t>
      </w:r>
      <w:r w:rsidR="0068431E" w:rsidRPr="00E81E4C">
        <w:rPr>
          <w:lang w:val="fr-FR"/>
        </w:rPr>
        <w:t>une obtention végéta</w:t>
      </w:r>
      <w:r w:rsidR="000A0F85" w:rsidRPr="00E81E4C">
        <w:rPr>
          <w:lang w:val="fr-FR"/>
        </w:rPr>
        <w:t xml:space="preserve">le (document TGP/5 </w:t>
      </w:r>
      <w:r w:rsidR="00B83237" w:rsidRPr="00E81E4C">
        <w:rPr>
          <w:lang w:val="fr-FR"/>
        </w:rPr>
        <w:t>section 2</w:t>
      </w:r>
      <w:r w:rsidR="000A0F85" w:rsidRPr="00E81E4C">
        <w:rPr>
          <w:lang w:val="fr-FR"/>
        </w:rPr>
        <w:t>/3</w:t>
      </w:r>
      <w:r w:rsidR="000D5002" w:rsidRPr="00E81E4C">
        <w:rPr>
          <w:lang w:val="fr-FR"/>
        </w:rPr>
        <w:t xml:space="preserve">) et les </w:t>
      </w:r>
      <w:r w:rsidR="0068431E" w:rsidRPr="00E81E4C">
        <w:rPr>
          <w:lang w:val="fr-FR"/>
        </w:rPr>
        <w:t>faits nouveaux concernant le formulaire de demande électronique</w:t>
      </w:r>
      <w:r w:rsidR="000D5002" w:rsidRPr="00E81E4C">
        <w:rPr>
          <w:lang w:val="fr-FR"/>
        </w:rPr>
        <w:t>)</w:t>
      </w:r>
      <w:r w:rsidR="0068431E" w:rsidRPr="00E81E4C">
        <w:rPr>
          <w:lang w:val="fr-FR"/>
        </w:rPr>
        <w:t>;</w:t>
      </w:r>
    </w:p>
    <w:p w:rsidR="0059127D" w:rsidRPr="00E81E4C" w:rsidRDefault="0059127D" w:rsidP="00E81E4C">
      <w:pPr>
        <w:rPr>
          <w:lang w:val="fr-FR"/>
        </w:rPr>
      </w:pPr>
    </w:p>
    <w:p w:rsidR="0059127D" w:rsidRPr="00E81E4C" w:rsidRDefault="0068431E" w:rsidP="00E81E4C">
      <w:pPr>
        <w:ind w:firstLine="567"/>
        <w:rPr>
          <w:lang w:val="fr-FR"/>
        </w:rPr>
      </w:pPr>
      <w:r w:rsidRPr="00E81E4C">
        <w:rPr>
          <w:lang w:val="fr-FR"/>
        </w:rPr>
        <w:t>b)</w:t>
      </w:r>
      <w:r w:rsidRPr="00E81E4C">
        <w:rPr>
          <w:lang w:val="fr-FR"/>
        </w:rPr>
        <w:tab/>
        <w:t xml:space="preserve">examiner les faits nouveaux </w:t>
      </w:r>
      <w:r w:rsidR="000D5002" w:rsidRPr="00E81E4C">
        <w:rPr>
          <w:lang w:val="fr-FR"/>
        </w:rPr>
        <w:t>pertinents concernant</w:t>
      </w:r>
      <w:r w:rsidRPr="00E81E4C">
        <w:rPr>
          <w:lang w:val="fr-FR"/>
        </w:rPr>
        <w:t xml:space="preserve"> les formats des bulletins nationaux et régionaux des membres de l</w:t>
      </w:r>
      <w:r w:rsidR="003C1CF1" w:rsidRPr="00E81E4C">
        <w:rPr>
          <w:lang w:val="fr-FR"/>
        </w:rPr>
        <w:t>’</w:t>
      </w:r>
      <w:r w:rsidRPr="00E81E4C">
        <w:rPr>
          <w:lang w:val="fr-FR"/>
        </w:rPr>
        <w:t>Union</w:t>
      </w:r>
      <w:r w:rsidR="000D5002" w:rsidRPr="00E81E4C">
        <w:rPr>
          <w:lang w:val="fr-FR"/>
        </w:rPr>
        <w:t>,</w:t>
      </w:r>
      <w:r w:rsidRPr="00E81E4C">
        <w:rPr>
          <w:lang w:val="fr-FR"/>
        </w:rPr>
        <w:t xml:space="preserve"> ainsi que les champs </w:t>
      </w:r>
      <w:r w:rsidR="000D5002" w:rsidRPr="00E81E4C">
        <w:rPr>
          <w:lang w:val="fr-FR"/>
        </w:rPr>
        <w:t>correspondants</w:t>
      </w:r>
      <w:r w:rsidRPr="00E81E4C">
        <w:rPr>
          <w:lang w:val="fr-FR"/>
        </w:rPr>
        <w:t xml:space="preserve"> de la base de données PLUTO en tant qu</w:t>
      </w:r>
      <w:r w:rsidR="003C1CF1" w:rsidRPr="00E81E4C">
        <w:rPr>
          <w:lang w:val="fr-FR"/>
        </w:rPr>
        <w:t>’</w:t>
      </w:r>
      <w:r w:rsidRPr="00E81E4C">
        <w:rPr>
          <w:lang w:val="fr-FR"/>
        </w:rPr>
        <w:t>outil supplémentaire permettant de renseigner le public sur les demandes de droit d</w:t>
      </w:r>
      <w:r w:rsidR="003C1CF1" w:rsidRPr="00E81E4C">
        <w:rPr>
          <w:lang w:val="fr-FR"/>
        </w:rPr>
        <w:t>’</w:t>
      </w:r>
      <w:r w:rsidRPr="00E81E4C">
        <w:rPr>
          <w:lang w:val="fr-FR"/>
        </w:rPr>
        <w:t>obtenteur et les droits d</w:t>
      </w:r>
      <w:r w:rsidR="003C1CF1" w:rsidRPr="00E81E4C">
        <w:rPr>
          <w:lang w:val="fr-FR"/>
        </w:rPr>
        <w:t>’</w:t>
      </w:r>
      <w:r w:rsidRPr="00E81E4C">
        <w:rPr>
          <w:lang w:val="fr-FR"/>
        </w:rPr>
        <w:t xml:space="preserve">obtenteur délivrés, </w:t>
      </w:r>
      <w:r w:rsidR="000A0F85" w:rsidRPr="00E81E4C">
        <w:rPr>
          <w:lang w:val="fr-FR"/>
        </w:rPr>
        <w:t>et</w:t>
      </w:r>
      <w:r w:rsidRPr="00E81E4C">
        <w:rPr>
          <w:lang w:val="fr-FR"/>
        </w:rPr>
        <w:t xml:space="preserve"> sur les dénominations proposées et approuvées;</w:t>
      </w:r>
    </w:p>
    <w:p w:rsidR="0059127D" w:rsidRPr="00E81E4C" w:rsidRDefault="0059127D" w:rsidP="00E81E4C">
      <w:pPr>
        <w:rPr>
          <w:lang w:val="fr-FR"/>
        </w:rPr>
      </w:pPr>
    </w:p>
    <w:p w:rsidR="0059127D" w:rsidRPr="00E81E4C" w:rsidRDefault="0068431E" w:rsidP="00E81E4C">
      <w:pPr>
        <w:ind w:firstLine="567"/>
        <w:rPr>
          <w:lang w:val="fr-FR"/>
        </w:rPr>
      </w:pPr>
      <w:r w:rsidRPr="00E81E4C">
        <w:rPr>
          <w:lang w:val="fr-FR"/>
        </w:rPr>
        <w:t>c)</w:t>
      </w:r>
      <w:r w:rsidRPr="00E81E4C">
        <w:rPr>
          <w:lang w:val="fr-FR"/>
        </w:rPr>
        <w:tab/>
        <w:t>simplifier la structure du document.</w:t>
      </w:r>
    </w:p>
    <w:p w:rsidR="0059127D" w:rsidRPr="00E81E4C" w:rsidRDefault="0059127D" w:rsidP="00AC1BF6">
      <w:pPr>
        <w:spacing w:line="360" w:lineRule="auto"/>
        <w:rPr>
          <w:lang w:val="fr-FR"/>
        </w:rPr>
      </w:pPr>
    </w:p>
    <w:p w:rsidR="00B83237" w:rsidRPr="00E81E4C" w:rsidRDefault="0068431E" w:rsidP="00E81E4C">
      <w:pPr>
        <w:pStyle w:val="Heading3"/>
        <w:rPr>
          <w:lang w:val="fr-FR"/>
        </w:rPr>
      </w:pPr>
      <w:r w:rsidRPr="00E81E4C">
        <w:rPr>
          <w:lang w:val="fr-FR"/>
        </w:rPr>
        <w:t>Notes explicatives sur les dénominations variét</w:t>
      </w:r>
      <w:r w:rsidR="000D5002" w:rsidRPr="00E81E4C">
        <w:rPr>
          <w:lang w:val="fr-FR"/>
        </w:rPr>
        <w:t xml:space="preserve">ales selon la </w:t>
      </w:r>
      <w:r w:rsidR="003C1CF1" w:rsidRPr="00E81E4C">
        <w:rPr>
          <w:lang w:val="fr-FR"/>
        </w:rPr>
        <w:t>Convention UPOV</w:t>
      </w:r>
      <w:r w:rsidR="000D5002" w:rsidRPr="00E81E4C">
        <w:rPr>
          <w:lang w:val="fr-FR"/>
        </w:rPr>
        <w:t xml:space="preserve"> (r</w:t>
      </w:r>
      <w:r w:rsidRPr="00E81E4C">
        <w:rPr>
          <w:lang w:val="fr-FR"/>
        </w:rPr>
        <w:t>évision)</w:t>
      </w:r>
    </w:p>
    <w:p w:rsidR="0059127D" w:rsidRPr="00E81E4C" w:rsidRDefault="0059127D" w:rsidP="00E81E4C">
      <w:pPr>
        <w:keepNext/>
        <w:rPr>
          <w:lang w:val="fr-FR"/>
        </w:rPr>
      </w:pPr>
    </w:p>
    <w:p w:rsidR="0059127D" w:rsidRPr="00E81E4C" w:rsidRDefault="001971D3" w:rsidP="00E81E4C">
      <w:pPr>
        <w:pStyle w:val="DecisionParagraphs"/>
        <w:keepLines/>
        <w:tabs>
          <w:tab w:val="clear" w:pos="5387"/>
          <w:tab w:val="clear" w:pos="5954"/>
        </w:tabs>
        <w:ind w:left="0"/>
        <w:rPr>
          <w:i w:val="0"/>
          <w:lang w:val="fr-FR"/>
        </w:rPr>
      </w:pPr>
      <w:r w:rsidRPr="00E81E4C">
        <w:rPr>
          <w:i w:val="0"/>
          <w:lang w:val="fr-FR"/>
        </w:rPr>
        <w:fldChar w:fldCharType="begin"/>
      </w:r>
      <w:r w:rsidRPr="00E81E4C">
        <w:rPr>
          <w:i w:val="0"/>
          <w:lang w:val="fr-FR"/>
        </w:rPr>
        <w:instrText xml:space="preserve"> AUTONUM  </w:instrText>
      </w:r>
      <w:r w:rsidRPr="00E81E4C">
        <w:rPr>
          <w:i w:val="0"/>
          <w:lang w:val="fr-FR"/>
        </w:rPr>
        <w:fldChar w:fldCharType="end"/>
      </w:r>
      <w:r w:rsidRPr="00E81E4C">
        <w:rPr>
          <w:i w:val="0"/>
          <w:lang w:val="fr-FR"/>
        </w:rPr>
        <w:tab/>
      </w:r>
      <w:r w:rsidR="0068431E" w:rsidRPr="00E81E4C">
        <w:rPr>
          <w:i w:val="0"/>
          <w:lang w:val="fr-FR"/>
        </w:rPr>
        <w:t>Le CAJ note qu</w:t>
      </w:r>
      <w:r w:rsidR="003C1CF1" w:rsidRPr="00E81E4C">
        <w:rPr>
          <w:i w:val="0"/>
          <w:lang w:val="fr-FR"/>
        </w:rPr>
        <w:t>’</w:t>
      </w:r>
      <w:r w:rsidR="0068431E" w:rsidRPr="00E81E4C">
        <w:rPr>
          <w:i w:val="0"/>
          <w:lang w:val="fr-FR"/>
        </w:rPr>
        <w:t>un rapport sur les travaux concernant la possibilité d</w:t>
      </w:r>
      <w:r w:rsidR="003C1CF1" w:rsidRPr="00E81E4C">
        <w:rPr>
          <w:i w:val="0"/>
          <w:lang w:val="fr-FR"/>
        </w:rPr>
        <w:t>’</w:t>
      </w:r>
      <w:r w:rsidR="0068431E" w:rsidRPr="00E81E4C">
        <w:rPr>
          <w:i w:val="0"/>
          <w:lang w:val="fr-FR"/>
        </w:rPr>
        <w:t>élaboration d</w:t>
      </w:r>
      <w:r w:rsidR="003C1CF1" w:rsidRPr="00E81E4C">
        <w:rPr>
          <w:i w:val="0"/>
          <w:lang w:val="fr-FR"/>
        </w:rPr>
        <w:t>’</w:t>
      </w:r>
      <w:r w:rsidR="0068431E" w:rsidRPr="00E81E4C">
        <w:rPr>
          <w:i w:val="0"/>
          <w:lang w:val="fr-FR"/>
        </w:rPr>
        <w:t xml:space="preserve">un </w:t>
      </w:r>
      <w:r w:rsidR="000A0F85" w:rsidRPr="00E81E4C">
        <w:rPr>
          <w:i w:val="0"/>
          <w:lang w:val="fr-FR"/>
        </w:rPr>
        <w:t>moteur</w:t>
      </w:r>
      <w:r w:rsidR="0068431E" w:rsidRPr="00E81E4C">
        <w:rPr>
          <w:i w:val="0"/>
          <w:lang w:val="fr-FR"/>
        </w:rPr>
        <w:t xml:space="preserve"> de recherche </w:t>
      </w:r>
      <w:r w:rsidR="000A0F85" w:rsidRPr="00E81E4C">
        <w:rPr>
          <w:i w:val="0"/>
          <w:lang w:val="fr-FR"/>
        </w:rPr>
        <w:t xml:space="preserve">de similitudes </w:t>
      </w:r>
      <w:r w:rsidR="0068431E" w:rsidRPr="00E81E4C">
        <w:rPr>
          <w:i w:val="0"/>
          <w:lang w:val="fr-FR"/>
        </w:rPr>
        <w:t>de l</w:t>
      </w:r>
      <w:r w:rsidR="003C1CF1" w:rsidRPr="00E81E4C">
        <w:rPr>
          <w:i w:val="0"/>
          <w:lang w:val="fr-FR"/>
        </w:rPr>
        <w:t>’</w:t>
      </w:r>
      <w:r w:rsidR="0068431E" w:rsidRPr="00E81E4C">
        <w:rPr>
          <w:i w:val="0"/>
          <w:lang w:val="fr-FR"/>
        </w:rPr>
        <w:t xml:space="preserve">UPOV aux fins de la dénomination variétale et des propositions de révision éventuelle du document UPOV/INF/12 “Notes explicatives concernant les dénominations variétales en vertu de la </w:t>
      </w:r>
      <w:r w:rsidR="003C1CF1" w:rsidRPr="00E81E4C">
        <w:rPr>
          <w:i w:val="0"/>
          <w:lang w:val="fr-FR"/>
        </w:rPr>
        <w:t>Convention UPOV</w:t>
      </w:r>
      <w:r w:rsidR="0068431E" w:rsidRPr="00E81E4C">
        <w:rPr>
          <w:i w:val="0"/>
          <w:lang w:val="fr-FR"/>
        </w:rPr>
        <w:t>” figurent dans le document CAJ/74/3 “Dénominations variétales”.</w:t>
      </w:r>
    </w:p>
    <w:p w:rsidR="0059127D" w:rsidRPr="00E81E4C" w:rsidRDefault="0059127D" w:rsidP="00AC1BF6">
      <w:pPr>
        <w:spacing w:line="360" w:lineRule="auto"/>
        <w:rPr>
          <w:lang w:val="fr-FR"/>
        </w:rPr>
      </w:pPr>
    </w:p>
    <w:p w:rsidR="00B83237" w:rsidRPr="00E81E4C" w:rsidRDefault="000D5002" w:rsidP="00E81E4C">
      <w:pPr>
        <w:pStyle w:val="Heading3"/>
        <w:rPr>
          <w:lang w:val="fr-FR"/>
        </w:rPr>
      </w:pPr>
      <w:r w:rsidRPr="00E81E4C">
        <w:rPr>
          <w:lang w:val="fr-FR"/>
        </w:rPr>
        <w:t>Programme provisoire d</w:t>
      </w:r>
      <w:r w:rsidR="003C1CF1" w:rsidRPr="00E81E4C">
        <w:rPr>
          <w:lang w:val="fr-FR"/>
        </w:rPr>
        <w:t>’</w:t>
      </w:r>
      <w:r w:rsidRPr="00E81E4C">
        <w:rPr>
          <w:lang w:val="fr-FR"/>
        </w:rPr>
        <w:t>élaboration de matériel d</w:t>
      </w:r>
      <w:r w:rsidR="003C1CF1" w:rsidRPr="00E81E4C">
        <w:rPr>
          <w:lang w:val="fr-FR"/>
        </w:rPr>
        <w:t>’</w:t>
      </w:r>
      <w:r w:rsidRPr="00E81E4C">
        <w:rPr>
          <w:lang w:val="fr-FR"/>
        </w:rPr>
        <w:t>information</w:t>
      </w:r>
    </w:p>
    <w:p w:rsidR="0059127D" w:rsidRPr="00E81E4C" w:rsidRDefault="0059127D" w:rsidP="00E81E4C">
      <w:pPr>
        <w:keepNext/>
        <w:rPr>
          <w:lang w:val="fr-FR"/>
        </w:rPr>
      </w:pPr>
    </w:p>
    <w:p w:rsidR="0059127D" w:rsidRPr="00E81E4C" w:rsidRDefault="001971D3" w:rsidP="00E81E4C">
      <w:pPr>
        <w:pStyle w:val="DecisionParagraphs"/>
        <w:tabs>
          <w:tab w:val="clear" w:pos="5387"/>
          <w:tab w:val="clear" w:pos="5954"/>
        </w:tabs>
        <w:ind w:left="0"/>
        <w:rPr>
          <w:i w:val="0"/>
          <w:lang w:val="fr-FR"/>
        </w:rPr>
      </w:pPr>
      <w:r w:rsidRPr="00E81E4C">
        <w:rPr>
          <w:i w:val="0"/>
          <w:lang w:val="fr-FR"/>
        </w:rPr>
        <w:fldChar w:fldCharType="begin"/>
      </w:r>
      <w:r w:rsidRPr="00E81E4C">
        <w:rPr>
          <w:i w:val="0"/>
          <w:lang w:val="fr-FR"/>
        </w:rPr>
        <w:instrText xml:space="preserve"> AUTONUM  </w:instrText>
      </w:r>
      <w:r w:rsidRPr="00E81E4C">
        <w:rPr>
          <w:i w:val="0"/>
          <w:lang w:val="fr-FR"/>
        </w:rPr>
        <w:fldChar w:fldCharType="end"/>
      </w:r>
      <w:r w:rsidRPr="00E81E4C">
        <w:rPr>
          <w:i w:val="0"/>
          <w:lang w:val="fr-FR"/>
        </w:rPr>
        <w:tab/>
      </w:r>
      <w:r w:rsidR="0068431E" w:rsidRPr="00E81E4C">
        <w:rPr>
          <w:i w:val="0"/>
          <w:lang w:val="fr-FR"/>
        </w:rPr>
        <w:t>Le CAJ convient d</w:t>
      </w:r>
      <w:r w:rsidR="003C1CF1" w:rsidRPr="00E81E4C">
        <w:rPr>
          <w:i w:val="0"/>
          <w:lang w:val="fr-FR"/>
        </w:rPr>
        <w:t>’</w:t>
      </w:r>
      <w:r w:rsidR="0068431E" w:rsidRPr="00E81E4C">
        <w:rPr>
          <w:i w:val="0"/>
          <w:lang w:val="fr-FR"/>
        </w:rPr>
        <w:t>examiner le programme d</w:t>
      </w:r>
      <w:r w:rsidR="003C1CF1" w:rsidRPr="00E81E4C">
        <w:rPr>
          <w:i w:val="0"/>
          <w:lang w:val="fr-FR"/>
        </w:rPr>
        <w:t>’</w:t>
      </w:r>
      <w:r w:rsidR="0068431E" w:rsidRPr="00E81E4C">
        <w:rPr>
          <w:i w:val="0"/>
          <w:lang w:val="fr-FR"/>
        </w:rPr>
        <w:t>élaboration de matériel d</w:t>
      </w:r>
      <w:r w:rsidR="003C1CF1" w:rsidRPr="00E81E4C">
        <w:rPr>
          <w:i w:val="0"/>
          <w:lang w:val="fr-FR"/>
        </w:rPr>
        <w:t>’</w:t>
      </w:r>
      <w:r w:rsidR="0068431E" w:rsidRPr="00E81E4C">
        <w:rPr>
          <w:i w:val="0"/>
          <w:lang w:val="fr-FR"/>
        </w:rPr>
        <w:t xml:space="preserve">information dans le cadre des délibérations au </w:t>
      </w:r>
      <w:r w:rsidR="000A0F85" w:rsidRPr="00E81E4C">
        <w:rPr>
          <w:i w:val="0"/>
          <w:lang w:val="fr-FR"/>
        </w:rPr>
        <w:t xml:space="preserve">titre du </w:t>
      </w:r>
      <w:r w:rsidR="0068431E" w:rsidRPr="00E81E4C">
        <w:rPr>
          <w:i w:val="0"/>
          <w:lang w:val="fr-FR"/>
        </w:rPr>
        <w:t>point “Programme de la soixante</w:t>
      </w:r>
      <w:r w:rsidR="00F93994" w:rsidRPr="00E81E4C">
        <w:rPr>
          <w:i w:val="0"/>
          <w:lang w:val="fr-FR"/>
        </w:rPr>
        <w:noBreakHyphen/>
      </w:r>
      <w:r w:rsidR="0068431E" w:rsidRPr="00E81E4C">
        <w:rPr>
          <w:i w:val="0"/>
          <w:lang w:val="fr-FR"/>
        </w:rPr>
        <w:t>quinz</w:t>
      </w:r>
      <w:r w:rsidR="003C1CF1" w:rsidRPr="00E81E4C">
        <w:rPr>
          <w:i w:val="0"/>
          <w:lang w:val="fr-FR"/>
        </w:rPr>
        <w:t>ième session</w:t>
      </w:r>
      <w:r w:rsidR="0068431E" w:rsidRPr="00E81E4C">
        <w:rPr>
          <w:i w:val="0"/>
          <w:lang w:val="fr-FR"/>
        </w:rPr>
        <w:t>”.</w:t>
      </w:r>
    </w:p>
    <w:p w:rsidR="0059127D" w:rsidRPr="00E81E4C" w:rsidRDefault="0059127D" w:rsidP="00E81E4C">
      <w:pPr>
        <w:tabs>
          <w:tab w:val="left" w:pos="3300"/>
        </w:tabs>
        <w:rPr>
          <w:lang w:val="fr-FR"/>
        </w:rPr>
      </w:pPr>
    </w:p>
    <w:p w:rsidR="0059127D" w:rsidRPr="00E81E4C" w:rsidRDefault="0059127D" w:rsidP="00E81E4C">
      <w:pPr>
        <w:tabs>
          <w:tab w:val="left" w:pos="3300"/>
        </w:tabs>
        <w:rPr>
          <w:lang w:val="fr-FR"/>
        </w:rPr>
      </w:pPr>
    </w:p>
    <w:p w:rsidR="0059127D" w:rsidRPr="00E81E4C" w:rsidRDefault="0068431E" w:rsidP="00E81E4C">
      <w:pPr>
        <w:pStyle w:val="Heading2"/>
        <w:rPr>
          <w:lang w:val="fr-FR"/>
        </w:rPr>
      </w:pPr>
      <w:r w:rsidRPr="00E81E4C">
        <w:rPr>
          <w:lang w:val="fr-FR"/>
        </w:rPr>
        <w:lastRenderedPageBreak/>
        <w:t>Dénominations variétales</w:t>
      </w:r>
    </w:p>
    <w:p w:rsidR="0059127D" w:rsidRPr="00E81E4C" w:rsidRDefault="0059127D" w:rsidP="00E81E4C">
      <w:pPr>
        <w:keepNext/>
        <w:rPr>
          <w:kern w:val="28"/>
          <w:lang w:val="fr-FR"/>
        </w:rPr>
      </w:pPr>
    </w:p>
    <w:p w:rsidR="0059127D" w:rsidRPr="00E81E4C" w:rsidRDefault="002859B0" w:rsidP="00E81E4C">
      <w:pPr>
        <w:keepNext/>
        <w:rPr>
          <w:kern w:val="28"/>
          <w:lang w:val="fr-FR"/>
        </w:rPr>
      </w:pPr>
      <w:r w:rsidRPr="00E81E4C">
        <w:rPr>
          <w:kern w:val="28"/>
          <w:lang w:val="fr-FR"/>
        </w:rPr>
        <w:fldChar w:fldCharType="begin"/>
      </w:r>
      <w:r w:rsidRPr="00E81E4C">
        <w:rPr>
          <w:kern w:val="28"/>
          <w:lang w:val="fr-FR"/>
        </w:rPr>
        <w:instrText xml:space="preserve"> AUTONUM  </w:instrText>
      </w:r>
      <w:r w:rsidRPr="00E81E4C">
        <w:rPr>
          <w:kern w:val="28"/>
          <w:lang w:val="fr-FR"/>
        </w:rPr>
        <w:fldChar w:fldCharType="end"/>
      </w:r>
      <w:r w:rsidRPr="00E81E4C">
        <w:rPr>
          <w:kern w:val="28"/>
          <w:lang w:val="fr-FR"/>
        </w:rPr>
        <w:tab/>
      </w:r>
      <w:r w:rsidR="0068431E" w:rsidRPr="00E81E4C">
        <w:rPr>
          <w:kern w:val="28"/>
          <w:lang w:val="fr-FR"/>
        </w:rPr>
        <w:t>Le CAJ examine le document CAJ/74/3.</w:t>
      </w:r>
    </w:p>
    <w:p w:rsidR="0059127D" w:rsidRPr="00E81E4C" w:rsidRDefault="0059127D" w:rsidP="00E81E4C">
      <w:pPr>
        <w:keepNext/>
        <w:rPr>
          <w:kern w:val="28"/>
          <w:lang w:val="fr-FR"/>
        </w:rPr>
      </w:pPr>
    </w:p>
    <w:bookmarkStart w:id="3" w:name="_Toc382388626"/>
    <w:p w:rsidR="0059127D" w:rsidRPr="00E81E4C" w:rsidRDefault="00F5437A" w:rsidP="00AC1BF6">
      <w:pPr>
        <w:rPr>
          <w:rFonts w:eastAsiaTheme="minorEastAsia"/>
          <w:i/>
          <w:snapToGrid w:val="0"/>
          <w:lang w:val="fr-FR" w:eastAsia="ja-JP"/>
        </w:rPr>
      </w:pPr>
      <w:r w:rsidRPr="00E81E4C">
        <w:rPr>
          <w:rFonts w:eastAsiaTheme="minorEastAsia"/>
          <w:i/>
          <w:lang w:val="fr-FR"/>
        </w:rPr>
        <w:fldChar w:fldCharType="begin"/>
      </w:r>
      <w:r w:rsidRPr="00E81E4C">
        <w:rPr>
          <w:rFonts w:eastAsiaTheme="minorEastAsia"/>
          <w:lang w:val="fr-FR"/>
        </w:rPr>
        <w:instrText xml:space="preserve"> AUTONUM  </w:instrText>
      </w:r>
      <w:r w:rsidRPr="00E81E4C">
        <w:rPr>
          <w:rFonts w:eastAsiaTheme="minorEastAsia"/>
          <w:i/>
          <w:lang w:val="fr-FR"/>
        </w:rPr>
        <w:fldChar w:fldCharType="end"/>
      </w:r>
      <w:r w:rsidRPr="00E81E4C">
        <w:rPr>
          <w:rFonts w:eastAsiaTheme="minorEastAsia"/>
          <w:lang w:val="fr-FR"/>
        </w:rPr>
        <w:tab/>
      </w:r>
      <w:bookmarkEnd w:id="3"/>
      <w:r w:rsidR="004215C3" w:rsidRPr="00E81E4C">
        <w:rPr>
          <w:rFonts w:eastAsiaTheme="minorEastAsia"/>
          <w:lang w:val="fr-FR"/>
        </w:rPr>
        <w:t xml:space="preserve">Le CAJ prend note des faits nouveaux concernant la révision éventuelle du document UPOV/INF/12 “Notes explicatives concernant les dénominations variétales en vertu de la </w:t>
      </w:r>
      <w:r w:rsidR="003C1CF1" w:rsidRPr="00E81E4C">
        <w:rPr>
          <w:rFonts w:eastAsiaTheme="minorEastAsia"/>
          <w:lang w:val="fr-FR"/>
        </w:rPr>
        <w:t>Convention UPOV</w:t>
      </w:r>
      <w:r w:rsidR="004215C3" w:rsidRPr="00E81E4C">
        <w:rPr>
          <w:rFonts w:eastAsiaTheme="minorEastAsia"/>
          <w:lang w:val="fr-FR"/>
        </w:rPr>
        <w:t xml:space="preserve">”, dont il est rendu compte aux </w:t>
      </w:r>
      <w:r w:rsidR="00B83237" w:rsidRPr="00E81E4C">
        <w:rPr>
          <w:rFonts w:eastAsiaTheme="minorEastAsia"/>
          <w:lang w:val="fr-FR"/>
        </w:rPr>
        <w:t>paragraphes 6</w:t>
      </w:r>
      <w:r w:rsidR="004215C3" w:rsidRPr="00E81E4C">
        <w:rPr>
          <w:rFonts w:eastAsiaTheme="minorEastAsia"/>
          <w:lang w:val="fr-FR"/>
        </w:rPr>
        <w:t xml:space="preserve"> et 7 du document CAJ/74/3.</w:t>
      </w:r>
    </w:p>
    <w:p w:rsidR="0059127D" w:rsidRPr="00E81E4C" w:rsidRDefault="0059127D" w:rsidP="00E81E4C">
      <w:pPr>
        <w:pStyle w:val="DecisionParagraphs"/>
        <w:tabs>
          <w:tab w:val="clear" w:pos="5387"/>
          <w:tab w:val="clear" w:pos="5954"/>
        </w:tabs>
        <w:ind w:left="0"/>
        <w:rPr>
          <w:rFonts w:eastAsiaTheme="minorEastAsia"/>
          <w:i w:val="0"/>
          <w:snapToGrid w:val="0"/>
          <w:lang w:val="fr-FR" w:eastAsia="ja-JP"/>
        </w:rPr>
      </w:pPr>
    </w:p>
    <w:p w:rsidR="0059127D" w:rsidRPr="00E81E4C" w:rsidRDefault="00C4567A" w:rsidP="00E81E4C">
      <w:pPr>
        <w:rPr>
          <w:rFonts w:eastAsiaTheme="minorEastAsia"/>
          <w:i/>
          <w:snapToGrid w:val="0"/>
          <w:lang w:val="fr-FR" w:eastAsia="ja-JP"/>
        </w:rPr>
      </w:pPr>
      <w:r w:rsidRPr="00E81E4C">
        <w:rPr>
          <w:rFonts w:eastAsiaTheme="minorEastAsia"/>
          <w:i/>
          <w:lang w:val="fr-FR"/>
        </w:rPr>
        <w:fldChar w:fldCharType="begin"/>
      </w:r>
      <w:r w:rsidRPr="00E81E4C">
        <w:rPr>
          <w:rFonts w:eastAsiaTheme="minorEastAsia"/>
          <w:lang w:val="fr-FR"/>
        </w:rPr>
        <w:instrText xml:space="preserve"> AUTONUM  </w:instrText>
      </w:r>
      <w:r w:rsidRPr="00E81E4C">
        <w:rPr>
          <w:rFonts w:eastAsiaTheme="minorEastAsia"/>
          <w:i/>
          <w:lang w:val="fr-FR"/>
        </w:rPr>
        <w:fldChar w:fldCharType="end"/>
      </w:r>
      <w:r w:rsidRPr="00E81E4C">
        <w:rPr>
          <w:rFonts w:eastAsiaTheme="minorEastAsia"/>
          <w:lang w:val="fr-FR"/>
        </w:rPr>
        <w:tab/>
      </w:r>
      <w:r w:rsidR="007F0642" w:rsidRPr="00E81E4C">
        <w:rPr>
          <w:rFonts w:eastAsiaTheme="minorEastAsia"/>
          <w:lang w:val="fr-FR"/>
        </w:rPr>
        <w:t>Le CAJ prend note des faits nouveaux concernant un moteur de recherche de similitudes de l</w:t>
      </w:r>
      <w:r w:rsidR="003C1CF1" w:rsidRPr="00E81E4C">
        <w:rPr>
          <w:rFonts w:eastAsiaTheme="minorEastAsia"/>
          <w:lang w:val="fr-FR"/>
        </w:rPr>
        <w:t>’</w:t>
      </w:r>
      <w:r w:rsidR="007F0642" w:rsidRPr="00E81E4C">
        <w:rPr>
          <w:rFonts w:eastAsiaTheme="minorEastAsia"/>
          <w:lang w:val="fr-FR"/>
        </w:rPr>
        <w:t xml:space="preserve">UPOV aux fins de la dénomination variétale, dont il est rendu compte au </w:t>
      </w:r>
      <w:r w:rsidR="00B83237" w:rsidRPr="00E81E4C">
        <w:rPr>
          <w:rFonts w:eastAsiaTheme="minorEastAsia"/>
          <w:lang w:val="fr-FR"/>
        </w:rPr>
        <w:t>paragraphe 9</w:t>
      </w:r>
      <w:r w:rsidR="007F0642" w:rsidRPr="00E81E4C">
        <w:rPr>
          <w:rFonts w:eastAsiaTheme="minorEastAsia"/>
          <w:lang w:val="fr-FR"/>
        </w:rPr>
        <w:t xml:space="preserve"> du document CAJ/74/3.</w:t>
      </w:r>
    </w:p>
    <w:p w:rsidR="0059127D" w:rsidRPr="00E81E4C" w:rsidRDefault="0059127D" w:rsidP="00E81E4C">
      <w:pPr>
        <w:pStyle w:val="DecisionParagraphs"/>
        <w:tabs>
          <w:tab w:val="clear" w:pos="5387"/>
          <w:tab w:val="clear" w:pos="5954"/>
        </w:tabs>
        <w:ind w:left="0"/>
        <w:rPr>
          <w:rFonts w:eastAsiaTheme="minorEastAsia"/>
          <w:i w:val="0"/>
          <w:snapToGrid w:val="0"/>
          <w:lang w:val="fr-FR" w:eastAsia="ja-JP"/>
        </w:rPr>
      </w:pPr>
    </w:p>
    <w:p w:rsidR="0059127D" w:rsidRPr="00E81E4C" w:rsidRDefault="00C4567A" w:rsidP="00E81E4C">
      <w:pPr>
        <w:pStyle w:val="DecisionParagraphs"/>
        <w:tabs>
          <w:tab w:val="clear" w:pos="5387"/>
          <w:tab w:val="clear" w:pos="5954"/>
        </w:tabs>
        <w:ind w:left="0"/>
        <w:rPr>
          <w:rFonts w:eastAsiaTheme="minorEastAsia"/>
          <w:i w:val="0"/>
          <w:snapToGrid w:val="0"/>
          <w:lang w:val="fr-FR" w:eastAsia="ja-JP"/>
        </w:rPr>
      </w:pPr>
      <w:r w:rsidRPr="00E81E4C">
        <w:rPr>
          <w:rFonts w:eastAsiaTheme="minorEastAsia"/>
          <w:i w:val="0"/>
          <w:lang w:val="fr-FR"/>
        </w:rPr>
        <w:fldChar w:fldCharType="begin"/>
      </w:r>
      <w:r w:rsidRPr="00E81E4C">
        <w:rPr>
          <w:rFonts w:eastAsiaTheme="minorEastAsia"/>
          <w:i w:val="0"/>
          <w:lang w:val="fr-FR"/>
        </w:rPr>
        <w:instrText xml:space="preserve"> AUTONUM  </w:instrText>
      </w:r>
      <w:r w:rsidRPr="00E81E4C">
        <w:rPr>
          <w:rFonts w:eastAsiaTheme="minorEastAsia"/>
          <w:i w:val="0"/>
          <w:lang w:val="fr-FR"/>
        </w:rPr>
        <w:fldChar w:fldCharType="end"/>
      </w:r>
      <w:r w:rsidRPr="00E81E4C">
        <w:rPr>
          <w:rFonts w:eastAsiaTheme="minorEastAsia"/>
          <w:i w:val="0"/>
          <w:lang w:val="fr-FR"/>
        </w:rPr>
        <w:tab/>
      </w:r>
      <w:r w:rsidR="007F0642" w:rsidRPr="00E81E4C">
        <w:rPr>
          <w:rFonts w:eastAsiaTheme="minorEastAsia"/>
          <w:i w:val="0"/>
          <w:lang w:val="fr-FR"/>
        </w:rPr>
        <w:t>Le CAJ prend note des faits nouveaux concernant l</w:t>
      </w:r>
      <w:r w:rsidR="003C1CF1" w:rsidRPr="00E81E4C">
        <w:rPr>
          <w:rFonts w:eastAsiaTheme="minorEastAsia"/>
          <w:i w:val="0"/>
          <w:lang w:val="fr-FR"/>
        </w:rPr>
        <w:t>’</w:t>
      </w:r>
      <w:r w:rsidR="007F0642" w:rsidRPr="00E81E4C">
        <w:rPr>
          <w:rFonts w:eastAsiaTheme="minorEastAsia"/>
          <w:i w:val="0"/>
          <w:lang w:val="fr-FR"/>
        </w:rPr>
        <w:t xml:space="preserve">éventuel élargissement du contenu de la base de données PLUTO, dont il est rendu compte aux </w:t>
      </w:r>
      <w:r w:rsidR="00B83237" w:rsidRPr="00E81E4C">
        <w:rPr>
          <w:rFonts w:eastAsiaTheme="minorEastAsia"/>
          <w:i w:val="0"/>
          <w:lang w:val="fr-FR"/>
        </w:rPr>
        <w:t>paragraphes 1</w:t>
      </w:r>
      <w:r w:rsidR="007F0642" w:rsidRPr="00E81E4C">
        <w:rPr>
          <w:rFonts w:eastAsiaTheme="minorEastAsia"/>
          <w:i w:val="0"/>
          <w:lang w:val="fr-FR"/>
        </w:rPr>
        <w:t>0 et 11 du document CAJ/74/3.</w:t>
      </w:r>
    </w:p>
    <w:p w:rsidR="0059127D" w:rsidRPr="00E81E4C" w:rsidRDefault="0059127D" w:rsidP="00E81E4C">
      <w:pPr>
        <w:pStyle w:val="DecisionParagraphs"/>
        <w:tabs>
          <w:tab w:val="clear" w:pos="5387"/>
          <w:tab w:val="clear" w:pos="5954"/>
        </w:tabs>
        <w:ind w:left="0"/>
        <w:rPr>
          <w:rFonts w:eastAsiaTheme="minorEastAsia"/>
          <w:i w:val="0"/>
          <w:snapToGrid w:val="0"/>
          <w:lang w:val="fr-FR" w:eastAsia="ja-JP"/>
        </w:rPr>
      </w:pPr>
    </w:p>
    <w:p w:rsidR="0059127D" w:rsidRPr="00E81E4C" w:rsidRDefault="00C4567A" w:rsidP="00E81E4C">
      <w:pPr>
        <w:pStyle w:val="DecisionParagraphs"/>
        <w:tabs>
          <w:tab w:val="clear" w:pos="5387"/>
          <w:tab w:val="clear" w:pos="5954"/>
        </w:tabs>
        <w:ind w:left="0"/>
        <w:rPr>
          <w:rFonts w:eastAsiaTheme="minorEastAsia"/>
          <w:i w:val="0"/>
          <w:snapToGrid w:val="0"/>
          <w:lang w:val="fr-FR" w:eastAsia="ja-JP"/>
        </w:rPr>
      </w:pPr>
      <w:r w:rsidRPr="00E81E4C">
        <w:rPr>
          <w:rFonts w:eastAsiaTheme="minorEastAsia"/>
          <w:i w:val="0"/>
          <w:lang w:val="fr-FR"/>
        </w:rPr>
        <w:fldChar w:fldCharType="begin"/>
      </w:r>
      <w:r w:rsidRPr="00E81E4C">
        <w:rPr>
          <w:rFonts w:eastAsiaTheme="minorEastAsia"/>
          <w:i w:val="0"/>
          <w:lang w:val="fr-FR"/>
        </w:rPr>
        <w:instrText xml:space="preserve"> AUTONUM  </w:instrText>
      </w:r>
      <w:r w:rsidRPr="00E81E4C">
        <w:rPr>
          <w:rFonts w:eastAsiaTheme="minorEastAsia"/>
          <w:i w:val="0"/>
          <w:lang w:val="fr-FR"/>
        </w:rPr>
        <w:fldChar w:fldCharType="end"/>
      </w:r>
      <w:r w:rsidRPr="00E81E4C">
        <w:rPr>
          <w:rFonts w:eastAsiaTheme="minorEastAsia"/>
          <w:i w:val="0"/>
          <w:lang w:val="fr-FR"/>
        </w:rPr>
        <w:tab/>
      </w:r>
      <w:r w:rsidR="007F0642" w:rsidRPr="00E81E4C">
        <w:rPr>
          <w:rFonts w:eastAsiaTheme="minorEastAsia"/>
          <w:i w:val="0"/>
          <w:lang w:val="fr-FR"/>
        </w:rPr>
        <w:t xml:space="preserve">Le CAJ prend note des faits nouveaux concernant les termes non acceptables, dont il est rendu compte au </w:t>
      </w:r>
      <w:r w:rsidR="00B83237" w:rsidRPr="00E81E4C">
        <w:rPr>
          <w:rFonts w:eastAsiaTheme="minorEastAsia"/>
          <w:i w:val="0"/>
          <w:lang w:val="fr-FR"/>
        </w:rPr>
        <w:t>paragraphe 1</w:t>
      </w:r>
      <w:r w:rsidR="007F0642" w:rsidRPr="00E81E4C">
        <w:rPr>
          <w:rFonts w:eastAsiaTheme="minorEastAsia"/>
          <w:i w:val="0"/>
          <w:lang w:val="fr-FR"/>
        </w:rPr>
        <w:t>3 du document CAJ/74/3.</w:t>
      </w:r>
    </w:p>
    <w:p w:rsidR="0059127D" w:rsidRPr="00E81E4C" w:rsidRDefault="0059127D" w:rsidP="00E81E4C">
      <w:pPr>
        <w:pStyle w:val="DecisionParagraphs"/>
        <w:tabs>
          <w:tab w:val="clear" w:pos="5387"/>
          <w:tab w:val="clear" w:pos="5954"/>
        </w:tabs>
        <w:ind w:left="0"/>
        <w:rPr>
          <w:rFonts w:eastAsiaTheme="minorEastAsia"/>
          <w:i w:val="0"/>
          <w:snapToGrid w:val="0"/>
          <w:lang w:val="fr-FR" w:eastAsia="ja-JP"/>
        </w:rPr>
      </w:pPr>
    </w:p>
    <w:p w:rsidR="0059127D" w:rsidRPr="00E81E4C" w:rsidRDefault="00C4567A" w:rsidP="00E81E4C">
      <w:pPr>
        <w:pStyle w:val="DecisionParagraphs"/>
        <w:tabs>
          <w:tab w:val="clear" w:pos="5387"/>
          <w:tab w:val="clear" w:pos="5954"/>
        </w:tabs>
        <w:ind w:left="0"/>
        <w:rPr>
          <w:rFonts w:eastAsiaTheme="minorEastAsia"/>
          <w:i w:val="0"/>
          <w:snapToGrid w:val="0"/>
          <w:spacing w:val="-2"/>
          <w:lang w:val="fr-FR" w:eastAsia="ja-JP"/>
        </w:rPr>
      </w:pPr>
      <w:r w:rsidRPr="00E81E4C">
        <w:rPr>
          <w:rFonts w:eastAsiaTheme="minorEastAsia"/>
          <w:i w:val="0"/>
          <w:spacing w:val="-2"/>
          <w:lang w:val="fr-FR"/>
        </w:rPr>
        <w:fldChar w:fldCharType="begin"/>
      </w:r>
      <w:r w:rsidRPr="00E81E4C">
        <w:rPr>
          <w:rFonts w:eastAsiaTheme="minorEastAsia"/>
          <w:i w:val="0"/>
          <w:spacing w:val="-2"/>
          <w:lang w:val="fr-FR"/>
        </w:rPr>
        <w:instrText xml:space="preserve"> AUTONUM  </w:instrText>
      </w:r>
      <w:r w:rsidRPr="00E81E4C">
        <w:rPr>
          <w:rFonts w:eastAsiaTheme="minorEastAsia"/>
          <w:i w:val="0"/>
          <w:spacing w:val="-2"/>
          <w:lang w:val="fr-FR"/>
        </w:rPr>
        <w:fldChar w:fldCharType="end"/>
      </w:r>
      <w:r w:rsidRPr="00E81E4C">
        <w:rPr>
          <w:rFonts w:eastAsiaTheme="minorEastAsia"/>
          <w:i w:val="0"/>
          <w:spacing w:val="-2"/>
          <w:lang w:val="fr-FR"/>
        </w:rPr>
        <w:tab/>
      </w:r>
      <w:r w:rsidR="007F0642" w:rsidRPr="00E81E4C">
        <w:rPr>
          <w:rFonts w:eastAsiaTheme="minorEastAsia"/>
          <w:i w:val="0"/>
          <w:spacing w:val="-2"/>
          <w:lang w:val="fr-FR"/>
        </w:rPr>
        <w:t>Le CAJ note que la quatrième réunion du WG</w:t>
      </w:r>
      <w:r w:rsidR="00F93994" w:rsidRPr="00E81E4C">
        <w:rPr>
          <w:rFonts w:eastAsiaTheme="minorEastAsia"/>
          <w:i w:val="0"/>
          <w:spacing w:val="-2"/>
          <w:lang w:val="fr-FR"/>
        </w:rPr>
        <w:noBreakHyphen/>
      </w:r>
      <w:r w:rsidR="007F0642" w:rsidRPr="00E81E4C">
        <w:rPr>
          <w:rFonts w:eastAsiaTheme="minorEastAsia"/>
          <w:i w:val="0"/>
          <w:spacing w:val="-2"/>
          <w:lang w:val="fr-FR"/>
        </w:rPr>
        <w:t>DEN se tiendra à Genève le 2</w:t>
      </w:r>
      <w:r w:rsidR="00B83237" w:rsidRPr="00E81E4C">
        <w:rPr>
          <w:rFonts w:eastAsiaTheme="minorEastAsia"/>
          <w:i w:val="0"/>
          <w:spacing w:val="-2"/>
          <w:lang w:val="fr-FR"/>
        </w:rPr>
        <w:t>7 octobre 20</w:t>
      </w:r>
      <w:r w:rsidR="007F0642" w:rsidRPr="00E81E4C">
        <w:rPr>
          <w:rFonts w:eastAsiaTheme="minorEastAsia"/>
          <w:i w:val="0"/>
          <w:spacing w:val="-2"/>
          <w:lang w:val="fr-FR"/>
        </w:rPr>
        <w:t>17.</w:t>
      </w:r>
    </w:p>
    <w:p w:rsidR="0059127D" w:rsidRPr="00E81E4C" w:rsidRDefault="0059127D" w:rsidP="00E81E4C">
      <w:pPr>
        <w:pStyle w:val="DecisionParagraphs"/>
        <w:tabs>
          <w:tab w:val="clear" w:pos="5387"/>
          <w:tab w:val="clear" w:pos="5954"/>
        </w:tabs>
        <w:ind w:left="0"/>
        <w:rPr>
          <w:rFonts w:eastAsiaTheme="minorEastAsia"/>
          <w:i w:val="0"/>
          <w:snapToGrid w:val="0"/>
          <w:lang w:val="fr-FR" w:eastAsia="ja-JP"/>
        </w:rPr>
      </w:pPr>
    </w:p>
    <w:p w:rsidR="0059127D" w:rsidRPr="00E81E4C" w:rsidRDefault="00C4567A" w:rsidP="00E81E4C">
      <w:pPr>
        <w:pStyle w:val="DecisionParagraphs"/>
        <w:tabs>
          <w:tab w:val="clear" w:pos="5387"/>
          <w:tab w:val="clear" w:pos="5954"/>
        </w:tabs>
        <w:ind w:left="0"/>
        <w:rPr>
          <w:rFonts w:eastAsiaTheme="minorEastAsia"/>
          <w:i w:val="0"/>
          <w:snapToGrid w:val="0"/>
          <w:lang w:val="fr-FR" w:eastAsia="ja-JP"/>
        </w:rPr>
      </w:pPr>
      <w:r w:rsidRPr="00E81E4C">
        <w:rPr>
          <w:rFonts w:eastAsiaTheme="minorEastAsia"/>
          <w:i w:val="0"/>
          <w:lang w:val="fr-FR"/>
        </w:rPr>
        <w:fldChar w:fldCharType="begin"/>
      </w:r>
      <w:r w:rsidRPr="00E81E4C">
        <w:rPr>
          <w:rFonts w:eastAsiaTheme="minorEastAsia"/>
          <w:i w:val="0"/>
          <w:lang w:val="fr-FR"/>
        </w:rPr>
        <w:instrText xml:space="preserve"> AUTONUM  </w:instrText>
      </w:r>
      <w:r w:rsidRPr="00E81E4C">
        <w:rPr>
          <w:rFonts w:eastAsiaTheme="minorEastAsia"/>
          <w:i w:val="0"/>
          <w:lang w:val="fr-FR"/>
        </w:rPr>
        <w:fldChar w:fldCharType="end"/>
      </w:r>
      <w:r w:rsidRPr="00E81E4C">
        <w:rPr>
          <w:rFonts w:eastAsiaTheme="minorEastAsia"/>
          <w:i w:val="0"/>
          <w:lang w:val="fr-FR"/>
        </w:rPr>
        <w:tab/>
      </w:r>
      <w:r w:rsidR="007F0642" w:rsidRPr="00E81E4C">
        <w:rPr>
          <w:rFonts w:eastAsiaTheme="minorEastAsia"/>
          <w:i w:val="0"/>
          <w:lang w:val="fr-FR"/>
        </w:rPr>
        <w:t>Le CAJ prend note du projet d</w:t>
      </w:r>
      <w:r w:rsidR="003C1CF1" w:rsidRPr="00E81E4C">
        <w:rPr>
          <w:rFonts w:eastAsiaTheme="minorEastAsia"/>
          <w:i w:val="0"/>
          <w:lang w:val="fr-FR"/>
        </w:rPr>
        <w:t>’</w:t>
      </w:r>
      <w:r w:rsidR="007F0642" w:rsidRPr="00E81E4C">
        <w:rPr>
          <w:rFonts w:eastAsiaTheme="minorEastAsia"/>
          <w:i w:val="0"/>
          <w:lang w:val="fr-FR"/>
        </w:rPr>
        <w:t>ordre du jour de la quatrième réunion du WG</w:t>
      </w:r>
      <w:r w:rsidR="00F93994" w:rsidRPr="00E81E4C">
        <w:rPr>
          <w:rFonts w:eastAsiaTheme="minorEastAsia"/>
          <w:i w:val="0"/>
          <w:lang w:val="fr-FR"/>
        </w:rPr>
        <w:noBreakHyphen/>
      </w:r>
      <w:r w:rsidR="007F0642" w:rsidRPr="00E81E4C">
        <w:rPr>
          <w:rFonts w:eastAsiaTheme="minorEastAsia"/>
          <w:i w:val="0"/>
          <w:lang w:val="fr-FR"/>
        </w:rPr>
        <w:t xml:space="preserve">DEN, </w:t>
      </w:r>
      <w:r w:rsidR="000D5002" w:rsidRPr="00E81E4C">
        <w:rPr>
          <w:rFonts w:eastAsiaTheme="minorEastAsia"/>
          <w:i w:val="0"/>
          <w:lang w:val="fr-FR"/>
        </w:rPr>
        <w:t>indiqué</w:t>
      </w:r>
      <w:r w:rsidR="007F0642" w:rsidRPr="00E81E4C">
        <w:rPr>
          <w:rFonts w:eastAsiaTheme="minorEastAsia"/>
          <w:i w:val="0"/>
          <w:lang w:val="fr-FR"/>
        </w:rPr>
        <w:t xml:space="preserve"> au </w:t>
      </w:r>
      <w:r w:rsidR="00B83237" w:rsidRPr="00E81E4C">
        <w:rPr>
          <w:rFonts w:eastAsiaTheme="minorEastAsia"/>
          <w:i w:val="0"/>
          <w:lang w:val="fr-FR"/>
        </w:rPr>
        <w:t>paragraphe 1</w:t>
      </w:r>
      <w:r w:rsidR="007F0642" w:rsidRPr="00E81E4C">
        <w:rPr>
          <w:rFonts w:eastAsiaTheme="minorEastAsia"/>
          <w:i w:val="0"/>
          <w:lang w:val="fr-FR"/>
        </w:rPr>
        <w:t>5 du document CAJ/74/3.</w:t>
      </w:r>
    </w:p>
    <w:p w:rsidR="0059127D" w:rsidRPr="00E81E4C" w:rsidRDefault="0059127D" w:rsidP="00E81E4C">
      <w:pPr>
        <w:rPr>
          <w:kern w:val="28"/>
          <w:lang w:val="fr-FR"/>
        </w:rPr>
      </w:pPr>
    </w:p>
    <w:p w:rsidR="0059127D" w:rsidRPr="00E81E4C" w:rsidRDefault="0059127D" w:rsidP="00E81E4C">
      <w:pPr>
        <w:rPr>
          <w:kern w:val="28"/>
          <w:lang w:val="fr-FR"/>
        </w:rPr>
      </w:pPr>
    </w:p>
    <w:p w:rsidR="0059127D" w:rsidRPr="00E81E4C" w:rsidRDefault="007F0642" w:rsidP="00E81E4C">
      <w:pPr>
        <w:pStyle w:val="Heading2"/>
        <w:rPr>
          <w:lang w:val="fr-FR"/>
        </w:rPr>
      </w:pPr>
      <w:r w:rsidRPr="00E81E4C">
        <w:rPr>
          <w:lang w:val="fr-FR"/>
        </w:rPr>
        <w:t>Information et bases de données</w:t>
      </w:r>
    </w:p>
    <w:p w:rsidR="0059127D" w:rsidRPr="00E81E4C" w:rsidRDefault="0059127D" w:rsidP="00E81E4C">
      <w:pPr>
        <w:keepNext/>
        <w:rPr>
          <w:lang w:val="fr-FR"/>
        </w:rPr>
      </w:pPr>
    </w:p>
    <w:p w:rsidR="0059127D" w:rsidRPr="00E81E4C" w:rsidRDefault="007F0642" w:rsidP="00E81E4C">
      <w:pPr>
        <w:pStyle w:val="Heading3"/>
        <w:rPr>
          <w:lang w:val="fr-FR"/>
        </w:rPr>
      </w:pPr>
      <w:r w:rsidRPr="00E81E4C">
        <w:rPr>
          <w:lang w:val="fr-FR"/>
        </w:rPr>
        <w:t>Formulaire de dépôt électronique des demandes</w:t>
      </w:r>
    </w:p>
    <w:p w:rsidR="0059127D" w:rsidRPr="00E81E4C" w:rsidRDefault="0059127D" w:rsidP="00E81E4C">
      <w:pPr>
        <w:keepNext/>
        <w:rPr>
          <w:lang w:val="fr-FR"/>
        </w:rPr>
      </w:pPr>
    </w:p>
    <w:p w:rsidR="0059127D" w:rsidRPr="00E81E4C" w:rsidRDefault="006466C7" w:rsidP="00E81E4C">
      <w:pPr>
        <w:keepNext/>
        <w:rPr>
          <w:lang w:val="fr-FR"/>
        </w:rPr>
      </w:pPr>
      <w:r w:rsidRPr="00E81E4C">
        <w:rPr>
          <w:kern w:val="28"/>
          <w:lang w:val="fr-FR"/>
        </w:rPr>
        <w:fldChar w:fldCharType="begin"/>
      </w:r>
      <w:r w:rsidRPr="00E81E4C">
        <w:rPr>
          <w:kern w:val="28"/>
          <w:lang w:val="fr-FR"/>
        </w:rPr>
        <w:instrText xml:space="preserve"> AUTONUM  </w:instrText>
      </w:r>
      <w:r w:rsidRPr="00E81E4C">
        <w:rPr>
          <w:kern w:val="28"/>
          <w:lang w:val="fr-FR"/>
        </w:rPr>
        <w:fldChar w:fldCharType="end"/>
      </w:r>
      <w:r w:rsidRPr="00E81E4C">
        <w:rPr>
          <w:kern w:val="28"/>
          <w:lang w:val="fr-FR"/>
        </w:rPr>
        <w:tab/>
      </w:r>
      <w:r w:rsidR="0059127D" w:rsidRPr="00E81E4C">
        <w:rPr>
          <w:kern w:val="28"/>
          <w:lang w:val="fr-FR"/>
        </w:rPr>
        <w:t>Le CAJ examine le document CAJ/74/4 et prend note de l</w:t>
      </w:r>
      <w:r w:rsidR="003C1CF1" w:rsidRPr="00E81E4C">
        <w:rPr>
          <w:kern w:val="28"/>
          <w:lang w:val="fr-FR"/>
        </w:rPr>
        <w:t>’</w:t>
      </w:r>
      <w:r w:rsidR="0059127D" w:rsidRPr="00E81E4C">
        <w:rPr>
          <w:kern w:val="28"/>
          <w:lang w:val="fr-FR"/>
        </w:rPr>
        <w:t>exposé présenté par le Bureau de l</w:t>
      </w:r>
      <w:r w:rsidR="003C1CF1" w:rsidRPr="00E81E4C">
        <w:rPr>
          <w:kern w:val="28"/>
          <w:lang w:val="fr-FR"/>
        </w:rPr>
        <w:t>’</w:t>
      </w:r>
      <w:r w:rsidR="0059127D" w:rsidRPr="00E81E4C">
        <w:rPr>
          <w:kern w:val="28"/>
          <w:lang w:val="fr-FR"/>
        </w:rPr>
        <w:t>Union qui fera l</w:t>
      </w:r>
      <w:r w:rsidR="003C1CF1" w:rsidRPr="00E81E4C">
        <w:rPr>
          <w:kern w:val="28"/>
          <w:lang w:val="fr-FR"/>
        </w:rPr>
        <w:t>’</w:t>
      </w:r>
      <w:r w:rsidR="0059127D" w:rsidRPr="00E81E4C">
        <w:rPr>
          <w:kern w:val="28"/>
          <w:lang w:val="fr-FR"/>
        </w:rPr>
        <w:t>objet du document CAJ/74/4</w:t>
      </w:r>
      <w:r w:rsidR="00CB611C" w:rsidRPr="00E81E4C">
        <w:rPr>
          <w:kern w:val="28"/>
          <w:lang w:val="fr-FR"/>
        </w:rPr>
        <w:t> </w:t>
      </w:r>
      <w:r w:rsidR="0059127D" w:rsidRPr="00E81E4C">
        <w:rPr>
          <w:kern w:val="28"/>
          <w:lang w:val="fr-FR"/>
        </w:rPr>
        <w:t>Add.</w:t>
      </w:r>
    </w:p>
    <w:p w:rsidR="0059127D" w:rsidRPr="00E81E4C" w:rsidRDefault="0059127D" w:rsidP="00E81E4C">
      <w:pPr>
        <w:keepNext/>
        <w:rPr>
          <w:lang w:val="fr-FR"/>
        </w:rPr>
      </w:pPr>
    </w:p>
    <w:p w:rsidR="00B83237" w:rsidRPr="00E81E4C" w:rsidRDefault="00F5437A" w:rsidP="00E81E4C">
      <w:pPr>
        <w:rPr>
          <w:snapToGrid w:val="0"/>
          <w:lang w:val="fr-FR"/>
        </w:rPr>
      </w:pPr>
      <w:r w:rsidRPr="00E81E4C">
        <w:rPr>
          <w:snapToGrid w:val="0"/>
          <w:lang w:val="fr-FR"/>
        </w:rPr>
        <w:fldChar w:fldCharType="begin"/>
      </w:r>
      <w:r w:rsidRPr="00E81E4C">
        <w:rPr>
          <w:snapToGrid w:val="0"/>
          <w:lang w:val="fr-FR"/>
        </w:rPr>
        <w:instrText xml:space="preserve"> AUTONUM  </w:instrText>
      </w:r>
      <w:r w:rsidRPr="00E81E4C">
        <w:rPr>
          <w:snapToGrid w:val="0"/>
          <w:lang w:val="fr-FR"/>
        </w:rPr>
        <w:fldChar w:fldCharType="end"/>
      </w:r>
      <w:r w:rsidRPr="00E81E4C">
        <w:rPr>
          <w:snapToGrid w:val="0"/>
          <w:lang w:val="fr-FR"/>
        </w:rPr>
        <w:tab/>
      </w:r>
      <w:r w:rsidR="0059127D" w:rsidRPr="00E81E4C">
        <w:rPr>
          <w:snapToGrid w:val="0"/>
          <w:lang w:val="fr-FR"/>
        </w:rPr>
        <w:t>Le CAJ prend note des faits nouveaux concernant la version 1.1 du formulaire de demande électronique et des projets pour l</w:t>
      </w:r>
      <w:r w:rsidR="003C1CF1" w:rsidRPr="00E81E4C">
        <w:rPr>
          <w:snapToGrid w:val="0"/>
          <w:lang w:val="fr-FR"/>
        </w:rPr>
        <w:t>’</w:t>
      </w:r>
      <w:r w:rsidR="0059127D" w:rsidRPr="00E81E4C">
        <w:rPr>
          <w:snapToGrid w:val="0"/>
          <w:lang w:val="fr-FR"/>
        </w:rPr>
        <w:t xml:space="preserve">élaboration de la version 2.0, </w:t>
      </w:r>
      <w:r w:rsidR="000A0F85" w:rsidRPr="00E81E4C">
        <w:rPr>
          <w:snapToGrid w:val="0"/>
          <w:lang w:val="fr-FR"/>
        </w:rPr>
        <w:t>dont il est rendu compte</w:t>
      </w:r>
      <w:r w:rsidR="0059127D" w:rsidRPr="00E81E4C">
        <w:rPr>
          <w:snapToGrid w:val="0"/>
          <w:lang w:val="fr-FR"/>
        </w:rPr>
        <w:t xml:space="preserve"> dans le document CAJ/74/4.</w:t>
      </w:r>
    </w:p>
    <w:p w:rsidR="0059127D" w:rsidRPr="00E81E4C" w:rsidRDefault="0059127D" w:rsidP="00E81E4C">
      <w:pPr>
        <w:rPr>
          <w:snapToGrid w:val="0"/>
          <w:lang w:val="fr-FR"/>
        </w:rPr>
      </w:pPr>
    </w:p>
    <w:p w:rsidR="0059127D" w:rsidRPr="00E81E4C" w:rsidRDefault="00B276E9" w:rsidP="00E81E4C">
      <w:pPr>
        <w:rPr>
          <w:snapToGrid w:val="0"/>
          <w:spacing w:val="-2"/>
          <w:lang w:val="fr-FR"/>
        </w:rPr>
      </w:pPr>
      <w:r w:rsidRPr="00E81E4C">
        <w:rPr>
          <w:snapToGrid w:val="0"/>
          <w:lang w:val="fr-FR"/>
        </w:rPr>
        <w:fldChar w:fldCharType="begin"/>
      </w:r>
      <w:r w:rsidRPr="00E81E4C">
        <w:rPr>
          <w:snapToGrid w:val="0"/>
          <w:lang w:val="fr-FR"/>
        </w:rPr>
        <w:instrText xml:space="preserve"> AUTONUM  </w:instrText>
      </w:r>
      <w:r w:rsidRPr="00E81E4C">
        <w:rPr>
          <w:snapToGrid w:val="0"/>
          <w:lang w:val="fr-FR"/>
        </w:rPr>
        <w:fldChar w:fldCharType="end"/>
      </w:r>
      <w:r w:rsidRPr="00E81E4C">
        <w:rPr>
          <w:snapToGrid w:val="0"/>
          <w:lang w:val="fr-FR"/>
        </w:rPr>
        <w:tab/>
      </w:r>
      <w:r w:rsidR="0059127D" w:rsidRPr="00E81E4C">
        <w:rPr>
          <w:snapToGrid w:val="0"/>
          <w:lang w:val="fr-FR"/>
        </w:rPr>
        <w:t>Le CAJ prend note de la stratégie en matière d</w:t>
      </w:r>
      <w:r w:rsidR="003C1CF1" w:rsidRPr="00E81E4C">
        <w:rPr>
          <w:snapToGrid w:val="0"/>
          <w:lang w:val="fr-FR"/>
        </w:rPr>
        <w:t>’</w:t>
      </w:r>
      <w:r w:rsidR="0059127D" w:rsidRPr="00E81E4C">
        <w:rPr>
          <w:snapToGrid w:val="0"/>
          <w:lang w:val="fr-FR"/>
        </w:rPr>
        <w:t>ajout de nouvelles plantes ou espèces, telle qu</w:t>
      </w:r>
      <w:r w:rsidR="003C1CF1" w:rsidRPr="00E81E4C">
        <w:rPr>
          <w:snapToGrid w:val="0"/>
          <w:lang w:val="fr-FR"/>
        </w:rPr>
        <w:t>’</w:t>
      </w:r>
      <w:r w:rsidR="000D5002" w:rsidRPr="00E81E4C">
        <w:rPr>
          <w:snapToGrid w:val="0"/>
          <w:lang w:val="fr-FR"/>
        </w:rPr>
        <w:t xml:space="preserve">elle est présentée </w:t>
      </w:r>
      <w:r w:rsidR="0059127D" w:rsidRPr="00E81E4C">
        <w:rPr>
          <w:snapToGrid w:val="0"/>
          <w:lang w:val="fr-FR"/>
        </w:rPr>
        <w:t xml:space="preserve">aux </w:t>
      </w:r>
      <w:r w:rsidR="00B83237" w:rsidRPr="00E81E4C">
        <w:rPr>
          <w:snapToGrid w:val="0"/>
          <w:lang w:val="fr-FR"/>
        </w:rPr>
        <w:t>paragraphes 1</w:t>
      </w:r>
      <w:r w:rsidR="0059127D" w:rsidRPr="00E81E4C">
        <w:rPr>
          <w:snapToGrid w:val="0"/>
          <w:lang w:val="fr-FR"/>
        </w:rPr>
        <w:t>8 à</w:t>
      </w:r>
      <w:r w:rsidR="00E81E4C">
        <w:rPr>
          <w:snapToGrid w:val="0"/>
          <w:lang w:val="fr-FR"/>
        </w:rPr>
        <w:t> </w:t>
      </w:r>
      <w:r w:rsidR="0059127D" w:rsidRPr="00E81E4C">
        <w:rPr>
          <w:snapToGrid w:val="0"/>
          <w:lang w:val="fr-FR"/>
        </w:rPr>
        <w:t>21 du document CAJ/74/4.</w:t>
      </w:r>
    </w:p>
    <w:p w:rsidR="0059127D" w:rsidRPr="00E81E4C" w:rsidRDefault="0059127D" w:rsidP="00E81E4C">
      <w:pPr>
        <w:rPr>
          <w:snapToGrid w:val="0"/>
          <w:lang w:val="fr-FR"/>
        </w:rPr>
      </w:pPr>
    </w:p>
    <w:p w:rsidR="0059127D" w:rsidRPr="00E81E4C" w:rsidRDefault="00B276E9" w:rsidP="00E81E4C">
      <w:pPr>
        <w:rPr>
          <w:snapToGrid w:val="0"/>
          <w:lang w:val="fr-FR"/>
        </w:rPr>
      </w:pPr>
      <w:r w:rsidRPr="00E81E4C">
        <w:rPr>
          <w:snapToGrid w:val="0"/>
          <w:lang w:val="fr-FR"/>
        </w:rPr>
        <w:fldChar w:fldCharType="begin"/>
      </w:r>
      <w:r w:rsidRPr="00E81E4C">
        <w:rPr>
          <w:snapToGrid w:val="0"/>
          <w:lang w:val="fr-FR"/>
        </w:rPr>
        <w:instrText xml:space="preserve"> AUTONUM  </w:instrText>
      </w:r>
      <w:r w:rsidRPr="00E81E4C">
        <w:rPr>
          <w:snapToGrid w:val="0"/>
          <w:lang w:val="fr-FR"/>
        </w:rPr>
        <w:fldChar w:fldCharType="end"/>
      </w:r>
      <w:r w:rsidRPr="00E81E4C">
        <w:rPr>
          <w:snapToGrid w:val="0"/>
          <w:lang w:val="fr-FR"/>
        </w:rPr>
        <w:tab/>
      </w:r>
      <w:r w:rsidR="009C19CC" w:rsidRPr="00E81E4C">
        <w:rPr>
          <w:snapToGrid w:val="0"/>
          <w:lang w:val="fr-FR"/>
        </w:rPr>
        <w:t xml:space="preserve">Le CAJ note que le nom “PRISMA” et le logo, tels que présentés au </w:t>
      </w:r>
      <w:r w:rsidR="00B83237" w:rsidRPr="00E81E4C">
        <w:rPr>
          <w:snapToGrid w:val="0"/>
          <w:lang w:val="fr-FR"/>
        </w:rPr>
        <w:t>paragraphe 2</w:t>
      </w:r>
      <w:r w:rsidR="009C19CC" w:rsidRPr="00E81E4C">
        <w:rPr>
          <w:snapToGrid w:val="0"/>
          <w:lang w:val="fr-FR"/>
        </w:rPr>
        <w:t>6 du document CAJ/74/4, seront proposés pour approbation à la cinquante</w:t>
      </w:r>
      <w:r w:rsidR="003C1CF1" w:rsidRPr="00E81E4C">
        <w:rPr>
          <w:snapToGrid w:val="0"/>
          <w:lang w:val="fr-FR"/>
        </w:rPr>
        <w:t> et unième session</w:t>
      </w:r>
      <w:r w:rsidR="009C19CC" w:rsidRPr="00E81E4C">
        <w:rPr>
          <w:snapToGrid w:val="0"/>
          <w:lang w:val="fr-FR"/>
        </w:rPr>
        <w:t xml:space="preserve"> ordinaire du Conseil prévue à Genève le 2</w:t>
      </w:r>
      <w:r w:rsidR="00B83237" w:rsidRPr="00E81E4C">
        <w:rPr>
          <w:snapToGrid w:val="0"/>
          <w:lang w:val="fr-FR"/>
        </w:rPr>
        <w:t>6 octobre 20</w:t>
      </w:r>
      <w:r w:rsidR="009C19CC" w:rsidRPr="00E81E4C">
        <w:rPr>
          <w:snapToGrid w:val="0"/>
          <w:lang w:val="fr-FR"/>
        </w:rPr>
        <w:t>17.</w:t>
      </w:r>
    </w:p>
    <w:p w:rsidR="0059127D" w:rsidRPr="00E81E4C" w:rsidRDefault="0059127D" w:rsidP="00E81E4C">
      <w:pPr>
        <w:rPr>
          <w:snapToGrid w:val="0"/>
          <w:lang w:val="fr-FR"/>
        </w:rPr>
      </w:pPr>
    </w:p>
    <w:p w:rsidR="0059127D" w:rsidRPr="00E81E4C" w:rsidRDefault="00B276E9" w:rsidP="00E81E4C">
      <w:pPr>
        <w:rPr>
          <w:snapToGrid w:val="0"/>
          <w:lang w:val="fr-FR"/>
        </w:rPr>
      </w:pPr>
      <w:r w:rsidRPr="00E81E4C">
        <w:rPr>
          <w:snapToGrid w:val="0"/>
          <w:lang w:val="fr-FR"/>
        </w:rPr>
        <w:fldChar w:fldCharType="begin"/>
      </w:r>
      <w:r w:rsidRPr="00E81E4C">
        <w:rPr>
          <w:snapToGrid w:val="0"/>
          <w:lang w:val="fr-FR"/>
        </w:rPr>
        <w:instrText xml:space="preserve"> AUTONUM  </w:instrText>
      </w:r>
      <w:r w:rsidRPr="00E81E4C">
        <w:rPr>
          <w:snapToGrid w:val="0"/>
          <w:lang w:val="fr-FR"/>
        </w:rPr>
        <w:fldChar w:fldCharType="end"/>
      </w:r>
      <w:r w:rsidRPr="00E81E4C">
        <w:rPr>
          <w:snapToGrid w:val="0"/>
          <w:lang w:val="fr-FR"/>
        </w:rPr>
        <w:tab/>
      </w:r>
      <w:r w:rsidR="009C19CC" w:rsidRPr="00E81E4C">
        <w:rPr>
          <w:snapToGrid w:val="0"/>
          <w:lang w:val="fr-FR"/>
        </w:rPr>
        <w:t>Le CAJ note que les propositions concernant les aspects financiers du formulaire de demande électronique seront examinées par le Comité consultatif à sa quatre</w:t>
      </w:r>
      <w:r w:rsidR="00F93994" w:rsidRPr="00E81E4C">
        <w:rPr>
          <w:snapToGrid w:val="0"/>
          <w:lang w:val="fr-FR"/>
        </w:rPr>
        <w:noBreakHyphen/>
      </w:r>
      <w:r w:rsidR="009C19CC" w:rsidRPr="00E81E4C">
        <w:rPr>
          <w:snapToGrid w:val="0"/>
          <w:lang w:val="fr-FR"/>
        </w:rPr>
        <w:t>vingt</w:t>
      </w:r>
      <w:r w:rsidR="00F93994" w:rsidRPr="00E81E4C">
        <w:rPr>
          <w:snapToGrid w:val="0"/>
          <w:lang w:val="fr-FR"/>
        </w:rPr>
        <w:noBreakHyphen/>
      </w:r>
      <w:r w:rsidR="009C19CC" w:rsidRPr="00E81E4C">
        <w:rPr>
          <w:snapToGrid w:val="0"/>
          <w:lang w:val="fr-FR"/>
        </w:rPr>
        <w:t>quatorz</w:t>
      </w:r>
      <w:r w:rsidR="003C1CF1" w:rsidRPr="00E81E4C">
        <w:rPr>
          <w:snapToGrid w:val="0"/>
          <w:lang w:val="fr-FR"/>
        </w:rPr>
        <w:t>ième session</w:t>
      </w:r>
      <w:r w:rsidR="009C19CC" w:rsidRPr="00E81E4C">
        <w:rPr>
          <w:snapToGrid w:val="0"/>
          <w:lang w:val="fr-FR"/>
        </w:rPr>
        <w:t xml:space="preserve"> et, le cas échéant, par le Conseil à sa cinquante</w:t>
      </w:r>
      <w:r w:rsidR="003C1CF1" w:rsidRPr="00E81E4C">
        <w:rPr>
          <w:snapToGrid w:val="0"/>
          <w:lang w:val="fr-FR"/>
        </w:rPr>
        <w:t> et unième session</w:t>
      </w:r>
      <w:r w:rsidR="009C19CC" w:rsidRPr="00E81E4C">
        <w:rPr>
          <w:snapToGrid w:val="0"/>
          <w:lang w:val="fr-FR"/>
        </w:rPr>
        <w:t xml:space="preserve"> ordinaire.</w:t>
      </w:r>
    </w:p>
    <w:p w:rsidR="0059127D" w:rsidRPr="00E81E4C" w:rsidRDefault="0059127D" w:rsidP="00AC1BF6">
      <w:pPr>
        <w:spacing w:line="360" w:lineRule="auto"/>
        <w:rPr>
          <w:lang w:val="fr-FR"/>
        </w:rPr>
      </w:pPr>
    </w:p>
    <w:p w:rsidR="0059127D" w:rsidRPr="00E81E4C" w:rsidRDefault="009C19CC" w:rsidP="00E81E4C">
      <w:pPr>
        <w:pStyle w:val="Heading3"/>
        <w:rPr>
          <w:lang w:val="fr-FR"/>
        </w:rPr>
      </w:pPr>
      <w:r w:rsidRPr="00E81E4C">
        <w:rPr>
          <w:lang w:val="fr-FR"/>
        </w:rPr>
        <w:t>Bases de données d</w:t>
      </w:r>
      <w:r w:rsidR="003C1CF1" w:rsidRPr="00E81E4C">
        <w:rPr>
          <w:lang w:val="fr-FR"/>
        </w:rPr>
        <w:t>’</w:t>
      </w:r>
      <w:r w:rsidRPr="00E81E4C">
        <w:rPr>
          <w:lang w:val="fr-FR"/>
        </w:rPr>
        <w:t>information de l</w:t>
      </w:r>
      <w:r w:rsidR="003C1CF1" w:rsidRPr="00E81E4C">
        <w:rPr>
          <w:lang w:val="fr-FR"/>
        </w:rPr>
        <w:t>’</w:t>
      </w:r>
      <w:r w:rsidRPr="00E81E4C">
        <w:rPr>
          <w:lang w:val="fr-FR"/>
        </w:rPr>
        <w:t>UPOV</w:t>
      </w:r>
    </w:p>
    <w:p w:rsidR="0059127D" w:rsidRPr="00E81E4C" w:rsidRDefault="0059127D" w:rsidP="00E81E4C">
      <w:pPr>
        <w:keepNext/>
        <w:rPr>
          <w:lang w:val="fr-FR"/>
        </w:rPr>
      </w:pPr>
    </w:p>
    <w:p w:rsidR="0059127D" w:rsidRPr="00E81E4C" w:rsidRDefault="00D85F2C" w:rsidP="00E81E4C">
      <w:pPr>
        <w:rPr>
          <w:lang w:val="fr-FR"/>
        </w:rPr>
      </w:pPr>
      <w:r w:rsidRPr="00E81E4C">
        <w:rPr>
          <w:kern w:val="28"/>
          <w:lang w:val="fr-FR"/>
        </w:rPr>
        <w:fldChar w:fldCharType="begin"/>
      </w:r>
      <w:r w:rsidRPr="00E81E4C">
        <w:rPr>
          <w:kern w:val="28"/>
          <w:lang w:val="fr-FR"/>
        </w:rPr>
        <w:instrText xml:space="preserve"> AUTONUM  </w:instrText>
      </w:r>
      <w:r w:rsidRPr="00E81E4C">
        <w:rPr>
          <w:kern w:val="28"/>
          <w:lang w:val="fr-FR"/>
        </w:rPr>
        <w:fldChar w:fldCharType="end"/>
      </w:r>
      <w:r w:rsidRPr="00E81E4C">
        <w:rPr>
          <w:kern w:val="28"/>
          <w:lang w:val="fr-FR"/>
        </w:rPr>
        <w:tab/>
      </w:r>
      <w:r w:rsidR="00A902DD" w:rsidRPr="00E81E4C">
        <w:rPr>
          <w:kern w:val="28"/>
          <w:lang w:val="fr-FR"/>
        </w:rPr>
        <w:t>Le CAJ examine le document CAJ/74/5.</w:t>
      </w:r>
    </w:p>
    <w:p w:rsidR="0059127D" w:rsidRPr="00E81E4C" w:rsidRDefault="0059127D" w:rsidP="00E81E4C">
      <w:pPr>
        <w:rPr>
          <w:lang w:val="fr-FR"/>
        </w:rPr>
      </w:pPr>
    </w:p>
    <w:p w:rsidR="0059127D" w:rsidRPr="00E81E4C" w:rsidRDefault="00A902DD" w:rsidP="00E81E4C">
      <w:pPr>
        <w:pStyle w:val="Heading4"/>
        <w:rPr>
          <w:rFonts w:eastAsiaTheme="minorEastAsia"/>
        </w:rPr>
      </w:pPr>
      <w:r w:rsidRPr="00E81E4C">
        <w:rPr>
          <w:rFonts w:eastAsiaTheme="minorEastAsia"/>
        </w:rPr>
        <w:t>Base de données GENIE</w:t>
      </w:r>
    </w:p>
    <w:p w:rsidR="0059127D" w:rsidRPr="00E81E4C" w:rsidRDefault="0059127D" w:rsidP="00E81E4C">
      <w:pPr>
        <w:keepNext/>
        <w:rPr>
          <w:lang w:val="fr-FR"/>
        </w:rPr>
      </w:pPr>
    </w:p>
    <w:p w:rsidR="0059127D" w:rsidRPr="00E81E4C" w:rsidRDefault="00C72584" w:rsidP="00E81E4C">
      <w:pPr>
        <w:rPr>
          <w:rFonts w:eastAsiaTheme="minorEastAsia"/>
          <w:lang w:val="fr-FR"/>
        </w:rPr>
      </w:pPr>
      <w:r w:rsidRPr="00E81E4C">
        <w:rPr>
          <w:rFonts w:eastAsiaTheme="minorEastAsia"/>
          <w:lang w:val="fr-FR"/>
        </w:rPr>
        <w:fldChar w:fldCharType="begin"/>
      </w:r>
      <w:r w:rsidRPr="00E81E4C">
        <w:rPr>
          <w:rFonts w:eastAsiaTheme="minorEastAsia"/>
          <w:lang w:val="fr-FR"/>
        </w:rPr>
        <w:instrText xml:space="preserve"> AUTONUM  </w:instrText>
      </w:r>
      <w:r w:rsidRPr="00E81E4C">
        <w:rPr>
          <w:rFonts w:eastAsiaTheme="minorEastAsia"/>
          <w:lang w:val="fr-FR"/>
        </w:rPr>
        <w:fldChar w:fldCharType="end"/>
      </w:r>
      <w:r w:rsidRPr="00E81E4C">
        <w:rPr>
          <w:rFonts w:eastAsiaTheme="minorEastAsia"/>
          <w:lang w:val="fr-FR"/>
        </w:rPr>
        <w:tab/>
      </w:r>
      <w:r w:rsidR="00A902DD" w:rsidRPr="00E81E4C">
        <w:rPr>
          <w:rFonts w:eastAsiaTheme="minorEastAsia"/>
          <w:lang w:val="fr-FR"/>
        </w:rPr>
        <w:t>Le CAJ note qu</w:t>
      </w:r>
      <w:r w:rsidR="003C1CF1" w:rsidRPr="00E81E4C">
        <w:rPr>
          <w:rFonts w:eastAsiaTheme="minorEastAsia"/>
          <w:lang w:val="fr-FR"/>
        </w:rPr>
        <w:t>’</w:t>
      </w:r>
      <w:r w:rsidR="00A902DD" w:rsidRPr="00E81E4C">
        <w:rPr>
          <w:rFonts w:eastAsiaTheme="minorEastAsia"/>
          <w:lang w:val="fr-FR"/>
        </w:rPr>
        <w:t>un document de spécification expliquant la structure de</w:t>
      </w:r>
      <w:r w:rsidR="00122590" w:rsidRPr="00E81E4C">
        <w:rPr>
          <w:rFonts w:eastAsiaTheme="minorEastAsia"/>
          <w:lang w:val="fr-FR"/>
        </w:rPr>
        <w:t>s</w:t>
      </w:r>
      <w:r w:rsidR="00A902DD" w:rsidRPr="00E81E4C">
        <w:rPr>
          <w:rFonts w:eastAsiaTheme="minorEastAsia"/>
          <w:lang w:val="fr-FR"/>
        </w:rPr>
        <w:t xml:space="preserve"> données et les fonctions de la base de données GENIE est en cours d</w:t>
      </w:r>
      <w:r w:rsidR="003C1CF1" w:rsidRPr="00E81E4C">
        <w:rPr>
          <w:rFonts w:eastAsiaTheme="minorEastAsia"/>
          <w:lang w:val="fr-FR"/>
        </w:rPr>
        <w:t>’</w:t>
      </w:r>
      <w:r w:rsidR="00A902DD" w:rsidRPr="00E81E4C">
        <w:rPr>
          <w:rFonts w:eastAsiaTheme="minorEastAsia"/>
          <w:lang w:val="fr-FR"/>
        </w:rPr>
        <w:t>élaboration par le Bureau de l</w:t>
      </w:r>
      <w:r w:rsidR="003C1CF1" w:rsidRPr="00E81E4C">
        <w:rPr>
          <w:rFonts w:eastAsiaTheme="minorEastAsia"/>
          <w:lang w:val="fr-FR"/>
        </w:rPr>
        <w:t>’</w:t>
      </w:r>
      <w:r w:rsidR="00A902DD" w:rsidRPr="00E81E4C">
        <w:rPr>
          <w:rFonts w:eastAsiaTheme="minorEastAsia"/>
          <w:lang w:val="fr-FR"/>
        </w:rPr>
        <w:t xml:space="preserve">Union de </w:t>
      </w:r>
      <w:r w:rsidR="000D5002" w:rsidRPr="00E81E4C">
        <w:rPr>
          <w:rFonts w:eastAsiaTheme="minorEastAsia"/>
          <w:lang w:val="fr-FR"/>
        </w:rPr>
        <w:t>telle sorte</w:t>
      </w:r>
      <w:r w:rsidR="00A902DD" w:rsidRPr="00E81E4C">
        <w:rPr>
          <w:rFonts w:eastAsiaTheme="minorEastAsia"/>
          <w:lang w:val="fr-FR"/>
        </w:rPr>
        <w:t xml:space="preserve"> que la maintenance informatique puisse être réalisée à l</w:t>
      </w:r>
      <w:r w:rsidR="003C1CF1" w:rsidRPr="00E81E4C">
        <w:rPr>
          <w:rFonts w:eastAsiaTheme="minorEastAsia"/>
          <w:lang w:val="fr-FR"/>
        </w:rPr>
        <w:t>’</w:t>
      </w:r>
      <w:r w:rsidR="00A902DD" w:rsidRPr="00E81E4C">
        <w:rPr>
          <w:rFonts w:eastAsiaTheme="minorEastAsia"/>
          <w:lang w:val="fr-FR"/>
        </w:rPr>
        <w:t>avenir.</w:t>
      </w:r>
    </w:p>
    <w:p w:rsidR="0059127D" w:rsidRPr="00E81E4C" w:rsidRDefault="0059127D" w:rsidP="00E81E4C">
      <w:pPr>
        <w:rPr>
          <w:lang w:val="fr-FR"/>
        </w:rPr>
      </w:pPr>
    </w:p>
    <w:p w:rsidR="0059127D" w:rsidRPr="00E81E4C" w:rsidRDefault="00A902DD" w:rsidP="00E81E4C">
      <w:pPr>
        <w:pStyle w:val="Heading4"/>
        <w:rPr>
          <w:rFonts w:eastAsiaTheme="minorEastAsia"/>
        </w:rPr>
      </w:pPr>
      <w:r w:rsidRPr="00E81E4C">
        <w:rPr>
          <w:rFonts w:eastAsiaTheme="minorEastAsia"/>
        </w:rPr>
        <w:t>Système de codes UPOV</w:t>
      </w:r>
    </w:p>
    <w:p w:rsidR="0059127D" w:rsidRPr="00E81E4C" w:rsidRDefault="0059127D" w:rsidP="00E81E4C">
      <w:pPr>
        <w:keepNext/>
        <w:rPr>
          <w:lang w:val="fr-FR"/>
        </w:rPr>
      </w:pPr>
    </w:p>
    <w:p w:rsidR="0059127D" w:rsidRPr="00E81E4C" w:rsidRDefault="00C72584" w:rsidP="00E81E4C">
      <w:pPr>
        <w:pStyle w:val="DecisionParagraphs"/>
        <w:tabs>
          <w:tab w:val="clear" w:pos="5387"/>
          <w:tab w:val="clear" w:pos="5954"/>
        </w:tabs>
        <w:ind w:left="0"/>
        <w:rPr>
          <w:rFonts w:eastAsiaTheme="minorEastAsia"/>
          <w:i w:val="0"/>
          <w:lang w:val="fr-FR"/>
        </w:rPr>
      </w:pPr>
      <w:r w:rsidRPr="00E81E4C">
        <w:rPr>
          <w:rFonts w:eastAsiaTheme="minorEastAsia"/>
          <w:i w:val="0"/>
          <w:lang w:val="fr-FR"/>
        </w:rPr>
        <w:fldChar w:fldCharType="begin"/>
      </w:r>
      <w:r w:rsidRPr="00E81E4C">
        <w:rPr>
          <w:rFonts w:eastAsiaTheme="minorEastAsia"/>
          <w:i w:val="0"/>
          <w:lang w:val="fr-FR"/>
        </w:rPr>
        <w:instrText xml:space="preserve"> AUTONUM  </w:instrText>
      </w:r>
      <w:r w:rsidRPr="00E81E4C">
        <w:rPr>
          <w:rFonts w:eastAsiaTheme="minorEastAsia"/>
          <w:i w:val="0"/>
          <w:lang w:val="fr-FR"/>
        </w:rPr>
        <w:fldChar w:fldCharType="end"/>
      </w:r>
      <w:r w:rsidRPr="00E81E4C">
        <w:rPr>
          <w:rFonts w:eastAsiaTheme="minorEastAsia"/>
          <w:i w:val="0"/>
          <w:lang w:val="fr-FR"/>
        </w:rPr>
        <w:tab/>
      </w:r>
      <w:r w:rsidR="00A902DD" w:rsidRPr="00E81E4C">
        <w:rPr>
          <w:rFonts w:eastAsiaTheme="minorEastAsia"/>
          <w:i w:val="0"/>
          <w:lang w:val="fr-FR"/>
        </w:rPr>
        <w:t xml:space="preserve">Le CAJ indique que 173 nouveaux codes UPOV ont été créés </w:t>
      </w:r>
      <w:r w:rsidR="00B83237" w:rsidRPr="00E81E4C">
        <w:rPr>
          <w:rFonts w:eastAsiaTheme="minorEastAsia"/>
          <w:i w:val="0"/>
          <w:lang w:val="fr-FR"/>
        </w:rPr>
        <w:t>en 2016</w:t>
      </w:r>
      <w:r w:rsidR="00A902DD" w:rsidRPr="00E81E4C">
        <w:rPr>
          <w:rFonts w:eastAsiaTheme="minorEastAsia"/>
          <w:i w:val="0"/>
          <w:lang w:val="fr-FR"/>
        </w:rPr>
        <w:t xml:space="preserve"> et que la base de données GENIE contient 8149 codes </w:t>
      </w:r>
      <w:r w:rsidR="000A0F85" w:rsidRPr="00E81E4C">
        <w:rPr>
          <w:rFonts w:eastAsiaTheme="minorEastAsia"/>
          <w:i w:val="0"/>
          <w:lang w:val="fr-FR"/>
        </w:rPr>
        <w:t>UPOV au total</w:t>
      </w:r>
      <w:r w:rsidR="00A902DD" w:rsidRPr="00E81E4C">
        <w:rPr>
          <w:rFonts w:eastAsiaTheme="minorEastAsia"/>
          <w:i w:val="0"/>
          <w:lang w:val="fr-FR"/>
        </w:rPr>
        <w:t>.</w:t>
      </w:r>
    </w:p>
    <w:p w:rsidR="0059127D" w:rsidRPr="00E81E4C" w:rsidRDefault="0059127D" w:rsidP="00E81E4C">
      <w:pPr>
        <w:pStyle w:val="DecisionParagraphs"/>
        <w:tabs>
          <w:tab w:val="clear" w:pos="5387"/>
          <w:tab w:val="clear" w:pos="5954"/>
        </w:tabs>
        <w:ind w:left="0"/>
        <w:rPr>
          <w:rFonts w:eastAsiaTheme="minorEastAsia"/>
          <w:i w:val="0"/>
          <w:sz w:val="18"/>
          <w:lang w:val="fr-FR"/>
        </w:rPr>
      </w:pPr>
    </w:p>
    <w:p w:rsidR="0059127D" w:rsidRPr="00E81E4C" w:rsidRDefault="00E079FF" w:rsidP="00E81E4C">
      <w:pPr>
        <w:pStyle w:val="DecisionParagraphs"/>
        <w:tabs>
          <w:tab w:val="clear" w:pos="5387"/>
          <w:tab w:val="clear" w:pos="5954"/>
        </w:tabs>
        <w:ind w:left="0"/>
        <w:rPr>
          <w:rFonts w:eastAsiaTheme="minorEastAsia"/>
          <w:i w:val="0"/>
          <w:lang w:val="fr-FR"/>
        </w:rPr>
      </w:pPr>
      <w:r w:rsidRPr="00E81E4C">
        <w:rPr>
          <w:rFonts w:eastAsiaTheme="minorEastAsia"/>
          <w:i w:val="0"/>
          <w:lang w:val="fr-FR"/>
        </w:rPr>
        <w:fldChar w:fldCharType="begin"/>
      </w:r>
      <w:r w:rsidRPr="00E81E4C">
        <w:rPr>
          <w:rFonts w:eastAsiaTheme="minorEastAsia"/>
          <w:i w:val="0"/>
          <w:lang w:val="fr-FR"/>
        </w:rPr>
        <w:instrText xml:space="preserve"> AUTONUM  </w:instrText>
      </w:r>
      <w:r w:rsidRPr="00E81E4C">
        <w:rPr>
          <w:rFonts w:eastAsiaTheme="minorEastAsia"/>
          <w:i w:val="0"/>
          <w:lang w:val="fr-FR"/>
        </w:rPr>
        <w:fldChar w:fldCharType="end"/>
      </w:r>
      <w:r w:rsidRPr="00E81E4C">
        <w:rPr>
          <w:rFonts w:eastAsiaTheme="minorEastAsia"/>
          <w:i w:val="0"/>
          <w:lang w:val="fr-FR"/>
        </w:rPr>
        <w:tab/>
      </w:r>
      <w:r w:rsidR="00A902DD" w:rsidRPr="00E81E4C">
        <w:rPr>
          <w:rFonts w:eastAsiaTheme="minorEastAsia"/>
          <w:i w:val="0"/>
          <w:lang w:val="fr-FR"/>
        </w:rPr>
        <w:t>Le CAJ note que le Bureau de l</w:t>
      </w:r>
      <w:r w:rsidR="003C1CF1" w:rsidRPr="00E81E4C">
        <w:rPr>
          <w:rFonts w:eastAsiaTheme="minorEastAsia"/>
          <w:i w:val="0"/>
          <w:lang w:val="fr-FR"/>
        </w:rPr>
        <w:t>’</w:t>
      </w:r>
      <w:r w:rsidR="00A902DD" w:rsidRPr="00E81E4C">
        <w:rPr>
          <w:rFonts w:eastAsiaTheme="minorEastAsia"/>
          <w:i w:val="0"/>
          <w:lang w:val="fr-FR"/>
        </w:rPr>
        <w:t>Union a reçu une demande aux fins de créer de nouveaux codes UPOV pour 191 espèces d</w:t>
      </w:r>
      <w:r w:rsidR="003C1CF1" w:rsidRPr="00E81E4C">
        <w:rPr>
          <w:rFonts w:eastAsiaTheme="minorEastAsia"/>
          <w:i w:val="0"/>
          <w:lang w:val="fr-FR"/>
        </w:rPr>
        <w:t>’</w:t>
      </w:r>
      <w:r w:rsidR="00A902DD" w:rsidRPr="00E81E4C">
        <w:rPr>
          <w:rFonts w:eastAsiaTheme="minorEastAsia"/>
          <w:i w:val="0"/>
          <w:lang w:val="fr-FR"/>
        </w:rPr>
        <w:t>arbres forestiers entrant dans le commerce international conformément aux programmes de certification de l</w:t>
      </w:r>
      <w:r w:rsidR="003C1CF1" w:rsidRPr="00E81E4C">
        <w:rPr>
          <w:rFonts w:eastAsiaTheme="minorEastAsia"/>
          <w:i w:val="0"/>
          <w:lang w:val="fr-FR"/>
        </w:rPr>
        <w:t>’</w:t>
      </w:r>
      <w:r w:rsidR="00A902DD" w:rsidRPr="00E81E4C">
        <w:rPr>
          <w:rFonts w:eastAsiaTheme="minorEastAsia"/>
          <w:i w:val="0"/>
          <w:lang w:val="fr-FR"/>
        </w:rPr>
        <w:t>O</w:t>
      </w:r>
      <w:r w:rsidR="00485283" w:rsidRPr="00E81E4C">
        <w:rPr>
          <w:rFonts w:eastAsiaTheme="minorEastAsia"/>
          <w:i w:val="0"/>
          <w:lang w:val="fr-FR"/>
        </w:rPr>
        <w:t xml:space="preserve">CDE.  </w:t>
      </w:r>
      <w:r w:rsidR="00485283" w:rsidRPr="00E81E4C">
        <w:rPr>
          <w:rFonts w:eastAsiaTheme="minorEastAsia" w:cs="Arial"/>
          <w:i w:val="0"/>
          <w:lang w:val="fr-FR"/>
        </w:rPr>
        <w:t>Le</w:t>
      </w:r>
      <w:r w:rsidR="00A902DD" w:rsidRPr="00E81E4C">
        <w:rPr>
          <w:rFonts w:eastAsiaTheme="minorEastAsia" w:cs="Arial"/>
          <w:i w:val="0"/>
          <w:lang w:val="fr-FR"/>
        </w:rPr>
        <w:t xml:space="preserve">s codes UPOV demandés ont été introduits dans GENIE en </w:t>
      </w:r>
      <w:r w:rsidR="00B83237" w:rsidRPr="00E81E4C">
        <w:rPr>
          <w:rFonts w:eastAsiaTheme="minorEastAsia" w:cs="Arial"/>
          <w:i w:val="0"/>
          <w:lang w:val="fr-FR"/>
        </w:rPr>
        <w:t>septembre 20</w:t>
      </w:r>
      <w:r w:rsidR="00A902DD" w:rsidRPr="00E81E4C">
        <w:rPr>
          <w:rFonts w:eastAsiaTheme="minorEastAsia" w:cs="Arial"/>
          <w:i w:val="0"/>
          <w:lang w:val="fr-FR"/>
        </w:rPr>
        <w:t>17.</w:t>
      </w:r>
      <w:r w:rsidR="00D85F2C" w:rsidRPr="00E81E4C">
        <w:rPr>
          <w:rFonts w:eastAsiaTheme="minorEastAsia"/>
          <w:i w:val="0"/>
          <w:lang w:val="fr-FR"/>
        </w:rPr>
        <w:t xml:space="preserve"> </w:t>
      </w:r>
      <w:r w:rsidR="00B83237" w:rsidRPr="00E81E4C">
        <w:rPr>
          <w:rFonts w:eastAsiaTheme="minorEastAsia"/>
          <w:i w:val="0"/>
          <w:lang w:val="fr-FR"/>
        </w:rPr>
        <w:t xml:space="preserve"> </w:t>
      </w:r>
      <w:r w:rsidR="00B83237" w:rsidRPr="00E81E4C">
        <w:rPr>
          <w:rFonts w:eastAsiaTheme="minorEastAsia" w:cs="Arial"/>
          <w:i w:val="0"/>
          <w:lang w:val="fr-FR"/>
        </w:rPr>
        <w:t>Le CAJ</w:t>
      </w:r>
      <w:r w:rsidR="00A902DD" w:rsidRPr="00E81E4C">
        <w:rPr>
          <w:rFonts w:eastAsiaTheme="minorEastAsia" w:cs="Arial"/>
          <w:i w:val="0"/>
          <w:lang w:val="fr-FR"/>
        </w:rPr>
        <w:t xml:space="preserve"> note également que la Direction générale santé et protection des consommateurs (DG SANT</w:t>
      </w:r>
      <w:r w:rsidR="00122590" w:rsidRPr="00E81E4C">
        <w:rPr>
          <w:rFonts w:eastAsiaTheme="minorEastAsia" w:cs="Arial"/>
          <w:i w:val="0"/>
          <w:lang w:val="fr-FR"/>
        </w:rPr>
        <w:t>É</w:t>
      </w:r>
      <w:r w:rsidR="00A902DD" w:rsidRPr="00E81E4C">
        <w:rPr>
          <w:rFonts w:eastAsiaTheme="minorEastAsia" w:cs="Arial"/>
          <w:i w:val="0"/>
          <w:lang w:val="fr-FR"/>
        </w:rPr>
        <w:t xml:space="preserve">) de la Commission européenne a proposé </w:t>
      </w:r>
      <w:r w:rsidR="000D5002" w:rsidRPr="00E81E4C">
        <w:rPr>
          <w:rFonts w:eastAsiaTheme="minorEastAsia" w:cs="Arial"/>
          <w:i w:val="0"/>
          <w:lang w:val="fr-FR"/>
        </w:rPr>
        <w:t>la mise en place d</w:t>
      </w:r>
      <w:r w:rsidR="003C1CF1" w:rsidRPr="00E81E4C">
        <w:rPr>
          <w:rFonts w:eastAsiaTheme="minorEastAsia" w:cs="Arial"/>
          <w:i w:val="0"/>
          <w:lang w:val="fr-FR"/>
        </w:rPr>
        <w:t>’</w:t>
      </w:r>
      <w:r w:rsidR="000D5002" w:rsidRPr="00E81E4C">
        <w:rPr>
          <w:rFonts w:eastAsiaTheme="minorEastAsia" w:cs="Arial"/>
          <w:i w:val="0"/>
          <w:lang w:val="fr-FR"/>
        </w:rPr>
        <w:t>un arrangement administratif</w:t>
      </w:r>
      <w:r w:rsidR="00A902DD" w:rsidRPr="00E81E4C">
        <w:rPr>
          <w:rFonts w:eastAsiaTheme="minorEastAsia" w:cs="Arial"/>
          <w:i w:val="0"/>
          <w:lang w:val="fr-FR"/>
        </w:rPr>
        <w:t xml:space="preserve"> entre le Bureau de l</w:t>
      </w:r>
      <w:r w:rsidR="003C1CF1" w:rsidRPr="00E81E4C">
        <w:rPr>
          <w:rFonts w:eastAsiaTheme="minorEastAsia" w:cs="Arial"/>
          <w:i w:val="0"/>
          <w:lang w:val="fr-FR"/>
        </w:rPr>
        <w:t>’</w:t>
      </w:r>
      <w:r w:rsidR="00A902DD" w:rsidRPr="00E81E4C">
        <w:rPr>
          <w:rFonts w:eastAsiaTheme="minorEastAsia" w:cs="Arial"/>
          <w:i w:val="0"/>
          <w:lang w:val="fr-FR"/>
        </w:rPr>
        <w:t>Union et la Commission européenne en vue de couvrir la collaboration en matière de noms scientifiques d</w:t>
      </w:r>
      <w:r w:rsidR="003C1CF1" w:rsidRPr="00E81E4C">
        <w:rPr>
          <w:rFonts w:eastAsiaTheme="minorEastAsia" w:cs="Arial"/>
          <w:i w:val="0"/>
          <w:lang w:val="fr-FR"/>
        </w:rPr>
        <w:t>’</w:t>
      </w:r>
      <w:r w:rsidR="00A902DD" w:rsidRPr="00E81E4C">
        <w:rPr>
          <w:rFonts w:eastAsiaTheme="minorEastAsia" w:cs="Arial"/>
          <w:i w:val="0"/>
          <w:lang w:val="fr-FR"/>
        </w:rPr>
        <w:t>espèces végétales présentes dans les bases de données de l</w:t>
      </w:r>
      <w:r w:rsidR="003C1CF1" w:rsidRPr="00E81E4C">
        <w:rPr>
          <w:rFonts w:eastAsiaTheme="minorEastAsia" w:cs="Arial"/>
          <w:i w:val="0"/>
          <w:lang w:val="fr-FR"/>
        </w:rPr>
        <w:t>’</w:t>
      </w:r>
      <w:r w:rsidR="00A902DD" w:rsidRPr="00E81E4C">
        <w:rPr>
          <w:rFonts w:eastAsiaTheme="minorEastAsia" w:cs="Arial"/>
          <w:i w:val="0"/>
          <w:lang w:val="fr-FR"/>
        </w:rPr>
        <w:t>un et de l</w:t>
      </w:r>
      <w:r w:rsidR="003C1CF1" w:rsidRPr="00E81E4C">
        <w:rPr>
          <w:rFonts w:eastAsiaTheme="minorEastAsia" w:cs="Arial"/>
          <w:i w:val="0"/>
          <w:lang w:val="fr-FR"/>
        </w:rPr>
        <w:t>’</w:t>
      </w:r>
      <w:r w:rsidR="00A902DD" w:rsidRPr="00E81E4C">
        <w:rPr>
          <w:rFonts w:eastAsiaTheme="minorEastAsia" w:cs="Arial"/>
          <w:i w:val="0"/>
          <w:lang w:val="fr-FR"/>
        </w:rPr>
        <w:t>autre et, en particulier, s</w:t>
      </w:r>
      <w:r w:rsidR="003C1CF1" w:rsidRPr="00E81E4C">
        <w:rPr>
          <w:rFonts w:eastAsiaTheme="minorEastAsia" w:cs="Arial"/>
          <w:i w:val="0"/>
          <w:lang w:val="fr-FR"/>
        </w:rPr>
        <w:t>’</w:t>
      </w:r>
      <w:r w:rsidR="00A902DD" w:rsidRPr="00E81E4C">
        <w:rPr>
          <w:rFonts w:eastAsiaTheme="minorEastAsia" w:cs="Arial"/>
          <w:i w:val="0"/>
          <w:lang w:val="fr-FR"/>
        </w:rPr>
        <w:t>agissant de l</w:t>
      </w:r>
      <w:r w:rsidR="003C1CF1" w:rsidRPr="00E81E4C">
        <w:rPr>
          <w:rFonts w:eastAsiaTheme="minorEastAsia" w:cs="Arial"/>
          <w:i w:val="0"/>
          <w:lang w:val="fr-FR"/>
        </w:rPr>
        <w:t>’</w:t>
      </w:r>
      <w:r w:rsidR="00A902DD" w:rsidRPr="00E81E4C">
        <w:rPr>
          <w:rFonts w:eastAsiaTheme="minorEastAsia" w:cs="Arial"/>
          <w:i w:val="0"/>
          <w:lang w:val="fr-FR"/>
        </w:rPr>
        <w:t>attribution de codes UPOV aux espèces végétales dans le Système d</w:t>
      </w:r>
      <w:r w:rsidR="003C1CF1" w:rsidRPr="00E81E4C">
        <w:rPr>
          <w:rFonts w:eastAsiaTheme="minorEastAsia" w:cs="Arial"/>
          <w:i w:val="0"/>
          <w:lang w:val="fr-FR"/>
        </w:rPr>
        <w:t>’</w:t>
      </w:r>
      <w:r w:rsidR="00A902DD" w:rsidRPr="00E81E4C">
        <w:rPr>
          <w:rFonts w:eastAsiaTheme="minorEastAsia" w:cs="Arial"/>
          <w:i w:val="0"/>
          <w:lang w:val="fr-FR"/>
        </w:rPr>
        <w:t>information sur le matériel forestier de reproduction de la Commission européenne (FOREMATIS).</w:t>
      </w:r>
    </w:p>
    <w:p w:rsidR="0059127D" w:rsidRPr="00E81E4C" w:rsidRDefault="0059127D" w:rsidP="00E81E4C">
      <w:pPr>
        <w:rPr>
          <w:lang w:val="fr-FR"/>
        </w:rPr>
      </w:pPr>
    </w:p>
    <w:p w:rsidR="0059127D" w:rsidRPr="00E81E4C" w:rsidRDefault="00A902DD" w:rsidP="00E81E4C">
      <w:pPr>
        <w:pStyle w:val="Heading4"/>
        <w:rPr>
          <w:rFonts w:eastAsiaTheme="minorEastAsia"/>
        </w:rPr>
      </w:pPr>
      <w:r w:rsidRPr="00E81E4C">
        <w:rPr>
          <w:rFonts w:eastAsiaTheme="minorEastAsia"/>
        </w:rPr>
        <w:t>Base de données</w:t>
      </w:r>
      <w:r w:rsidRPr="00E81E4C">
        <w:rPr>
          <w:rFonts w:eastAsiaTheme="minorEastAsia"/>
          <w:i w:val="0"/>
        </w:rPr>
        <w:t xml:space="preserve"> </w:t>
      </w:r>
      <w:r w:rsidRPr="00E81E4C">
        <w:rPr>
          <w:rFonts w:eastAsiaTheme="minorEastAsia"/>
        </w:rPr>
        <w:t>PLUTO</w:t>
      </w:r>
    </w:p>
    <w:p w:rsidR="0059127D" w:rsidRPr="00E81E4C" w:rsidRDefault="0059127D" w:rsidP="00E81E4C">
      <w:pPr>
        <w:keepNext/>
        <w:rPr>
          <w:lang w:val="fr-FR"/>
        </w:rPr>
      </w:pPr>
    </w:p>
    <w:p w:rsidR="0059127D" w:rsidRPr="00E81E4C" w:rsidRDefault="00C72584" w:rsidP="00E81E4C">
      <w:pPr>
        <w:pStyle w:val="DecisionParagraphs"/>
        <w:keepNext/>
        <w:keepLines/>
        <w:tabs>
          <w:tab w:val="clear" w:pos="5387"/>
          <w:tab w:val="clear" w:pos="5954"/>
        </w:tabs>
        <w:ind w:left="0"/>
        <w:rPr>
          <w:i w:val="0"/>
          <w:lang w:val="fr-FR" w:eastAsia="ja-JP"/>
        </w:rPr>
      </w:pPr>
      <w:r w:rsidRPr="00E81E4C">
        <w:rPr>
          <w:i w:val="0"/>
          <w:lang w:val="fr-FR"/>
        </w:rPr>
        <w:fldChar w:fldCharType="begin"/>
      </w:r>
      <w:r w:rsidRPr="00E81E4C">
        <w:rPr>
          <w:i w:val="0"/>
          <w:lang w:val="fr-FR"/>
        </w:rPr>
        <w:instrText xml:space="preserve"> AUTONUM  </w:instrText>
      </w:r>
      <w:r w:rsidRPr="00E81E4C">
        <w:rPr>
          <w:i w:val="0"/>
          <w:lang w:val="fr-FR"/>
        </w:rPr>
        <w:fldChar w:fldCharType="end"/>
      </w:r>
      <w:r w:rsidRPr="00E81E4C">
        <w:rPr>
          <w:i w:val="0"/>
          <w:lang w:val="fr-FR"/>
        </w:rPr>
        <w:tab/>
      </w:r>
      <w:r w:rsidR="00A902DD" w:rsidRPr="00E81E4C">
        <w:rPr>
          <w:i w:val="0"/>
          <w:lang w:val="fr-FR"/>
        </w:rPr>
        <w:t>Le</w:t>
      </w:r>
      <w:r w:rsidR="003C1CF1" w:rsidRPr="00E81E4C">
        <w:rPr>
          <w:i w:val="0"/>
          <w:lang w:val="fr-FR"/>
        </w:rPr>
        <w:t> TC</w:t>
      </w:r>
      <w:r w:rsidR="00A902DD" w:rsidRPr="00E81E4C">
        <w:rPr>
          <w:i w:val="0"/>
          <w:lang w:val="fr-FR"/>
        </w:rPr>
        <w:t xml:space="preserve"> prend note de la synthèse des contributions à la base de données PLUTO </w:t>
      </w:r>
      <w:r w:rsidR="00B83237" w:rsidRPr="00E81E4C">
        <w:rPr>
          <w:i w:val="0"/>
          <w:lang w:val="fr-FR"/>
        </w:rPr>
        <w:t>de 2013</w:t>
      </w:r>
      <w:r w:rsidR="00A902DD" w:rsidRPr="00E81E4C">
        <w:rPr>
          <w:i w:val="0"/>
          <w:lang w:val="fr-FR"/>
        </w:rPr>
        <w:t xml:space="preserve"> à 2016 et du niveau des apports de données par les membres de l</w:t>
      </w:r>
      <w:r w:rsidR="003C1CF1" w:rsidRPr="00E81E4C">
        <w:rPr>
          <w:i w:val="0"/>
          <w:lang w:val="fr-FR"/>
        </w:rPr>
        <w:t>’</w:t>
      </w:r>
      <w:r w:rsidR="00A902DD" w:rsidRPr="00E81E4C">
        <w:rPr>
          <w:i w:val="0"/>
          <w:lang w:val="fr-FR"/>
        </w:rPr>
        <w:t>Union figurant à l</w:t>
      </w:r>
      <w:r w:rsidR="003C1CF1" w:rsidRPr="00E81E4C">
        <w:rPr>
          <w:i w:val="0"/>
          <w:lang w:val="fr-FR"/>
        </w:rPr>
        <w:t>’</w:t>
      </w:r>
      <w:r w:rsidR="00A902DD" w:rsidRPr="00E81E4C">
        <w:rPr>
          <w:i w:val="0"/>
          <w:lang w:val="fr-FR"/>
        </w:rPr>
        <w:t>annexe du document CAJ/74/5.</w:t>
      </w:r>
    </w:p>
    <w:p w:rsidR="0059127D" w:rsidRPr="00E81E4C" w:rsidRDefault="0059127D" w:rsidP="00E81E4C">
      <w:pPr>
        <w:pStyle w:val="DecisionParagraphs"/>
        <w:tabs>
          <w:tab w:val="clear" w:pos="5387"/>
          <w:tab w:val="clear" w:pos="5954"/>
        </w:tabs>
        <w:ind w:left="0"/>
        <w:rPr>
          <w:i w:val="0"/>
          <w:lang w:val="fr-FR" w:eastAsia="ja-JP"/>
        </w:rPr>
      </w:pPr>
    </w:p>
    <w:p w:rsidR="0059127D" w:rsidRPr="00E81E4C" w:rsidRDefault="00E079FF" w:rsidP="00E81E4C">
      <w:pPr>
        <w:rPr>
          <w:lang w:val="fr-FR"/>
        </w:rPr>
      </w:pPr>
      <w:r w:rsidRPr="00E81E4C">
        <w:rPr>
          <w:lang w:val="fr-FR"/>
        </w:rPr>
        <w:fldChar w:fldCharType="begin"/>
      </w:r>
      <w:r w:rsidRPr="00E81E4C">
        <w:rPr>
          <w:lang w:val="fr-FR"/>
        </w:rPr>
        <w:instrText xml:space="preserve"> AUTONUM  </w:instrText>
      </w:r>
      <w:r w:rsidRPr="00E81E4C">
        <w:rPr>
          <w:lang w:val="fr-FR"/>
        </w:rPr>
        <w:fldChar w:fldCharType="end"/>
      </w:r>
      <w:r w:rsidRPr="00E81E4C">
        <w:rPr>
          <w:lang w:val="fr-FR"/>
        </w:rPr>
        <w:tab/>
      </w:r>
      <w:r w:rsidR="00A902DD" w:rsidRPr="00E81E4C">
        <w:rPr>
          <w:lang w:val="fr-FR"/>
        </w:rPr>
        <w:t>Le CAJ note que</w:t>
      </w:r>
      <w:r w:rsidR="000D5002" w:rsidRPr="00E81E4C">
        <w:rPr>
          <w:lang w:val="fr-FR"/>
        </w:rPr>
        <w:t xml:space="preserve"> le WG</w:t>
      </w:r>
      <w:r w:rsidR="00F93994" w:rsidRPr="00E81E4C">
        <w:rPr>
          <w:lang w:val="fr-FR"/>
        </w:rPr>
        <w:noBreakHyphen/>
      </w:r>
      <w:r w:rsidR="000D5002" w:rsidRPr="00E81E4C">
        <w:rPr>
          <w:lang w:val="fr-FR"/>
        </w:rPr>
        <w:t>DEN</w:t>
      </w:r>
      <w:r w:rsidR="00A902DD" w:rsidRPr="00E81E4C">
        <w:rPr>
          <w:lang w:val="fr-FR"/>
        </w:rPr>
        <w:t xml:space="preserve">, à sa troisième réunion, est convenu que les questions relatives au </w:t>
      </w:r>
      <w:r w:rsidR="00B83237" w:rsidRPr="00E81E4C">
        <w:rPr>
          <w:lang w:val="fr-FR"/>
        </w:rPr>
        <w:t>point 5</w:t>
      </w:r>
      <w:r w:rsidR="00A902DD" w:rsidRPr="00E81E4C">
        <w:rPr>
          <w:lang w:val="fr-FR"/>
        </w:rPr>
        <w:t xml:space="preserve"> de l</w:t>
      </w:r>
      <w:r w:rsidR="003C1CF1" w:rsidRPr="00E81E4C">
        <w:rPr>
          <w:lang w:val="fr-FR"/>
        </w:rPr>
        <w:t>’</w:t>
      </w:r>
      <w:r w:rsidR="00A902DD" w:rsidRPr="00E81E4C">
        <w:rPr>
          <w:lang w:val="fr-FR"/>
        </w:rPr>
        <w:t>ordre du jour “Élargissement du contenu de la base de données PLUTO” seraient examinées lors d</w:t>
      </w:r>
      <w:r w:rsidR="003C1CF1" w:rsidRPr="00E81E4C">
        <w:rPr>
          <w:lang w:val="fr-FR"/>
        </w:rPr>
        <w:t>’</w:t>
      </w:r>
      <w:r w:rsidR="00A902DD" w:rsidRPr="00E81E4C">
        <w:rPr>
          <w:lang w:val="fr-FR"/>
        </w:rPr>
        <w:t>une réunion ultérieure sur la base du document présenté à la deuxième réunion.</w:t>
      </w:r>
    </w:p>
    <w:p w:rsidR="0059127D" w:rsidRPr="00E81E4C" w:rsidRDefault="0059127D" w:rsidP="00AC1BF6">
      <w:pPr>
        <w:spacing w:line="360" w:lineRule="auto"/>
        <w:rPr>
          <w:lang w:val="fr-FR"/>
        </w:rPr>
      </w:pPr>
    </w:p>
    <w:p w:rsidR="00B83237" w:rsidRPr="00E81E4C" w:rsidRDefault="00A902DD" w:rsidP="00E81E4C">
      <w:pPr>
        <w:pStyle w:val="Heading3"/>
        <w:rPr>
          <w:lang w:val="fr-FR"/>
        </w:rPr>
      </w:pPr>
      <w:r w:rsidRPr="00E81E4C">
        <w:rPr>
          <w:lang w:val="fr-FR"/>
        </w:rPr>
        <w:t>Échange et utilisation de logiciels et d</w:t>
      </w:r>
      <w:r w:rsidR="003C1CF1" w:rsidRPr="00E81E4C">
        <w:rPr>
          <w:lang w:val="fr-FR"/>
        </w:rPr>
        <w:t>’</w:t>
      </w:r>
      <w:r w:rsidRPr="00E81E4C">
        <w:rPr>
          <w:lang w:val="fr-FR"/>
        </w:rPr>
        <w:t>équipements</w:t>
      </w:r>
    </w:p>
    <w:p w:rsidR="0059127D" w:rsidRPr="00E81E4C" w:rsidRDefault="0059127D" w:rsidP="00E81E4C">
      <w:pPr>
        <w:keepNext/>
        <w:rPr>
          <w:kern w:val="28"/>
          <w:lang w:val="fr-FR"/>
        </w:rPr>
      </w:pPr>
    </w:p>
    <w:p w:rsidR="0059127D" w:rsidRPr="00E81E4C" w:rsidRDefault="00D85F2C" w:rsidP="00E81E4C">
      <w:pPr>
        <w:keepNext/>
        <w:rPr>
          <w:lang w:val="fr-FR"/>
        </w:rPr>
      </w:pPr>
      <w:r w:rsidRPr="00E81E4C">
        <w:rPr>
          <w:kern w:val="28"/>
          <w:lang w:val="fr-FR"/>
        </w:rPr>
        <w:fldChar w:fldCharType="begin"/>
      </w:r>
      <w:r w:rsidRPr="00E81E4C">
        <w:rPr>
          <w:kern w:val="28"/>
          <w:lang w:val="fr-FR"/>
        </w:rPr>
        <w:instrText xml:space="preserve"> AUTONUM  </w:instrText>
      </w:r>
      <w:r w:rsidRPr="00E81E4C">
        <w:rPr>
          <w:kern w:val="28"/>
          <w:lang w:val="fr-FR"/>
        </w:rPr>
        <w:fldChar w:fldCharType="end"/>
      </w:r>
      <w:r w:rsidRPr="00E81E4C">
        <w:rPr>
          <w:kern w:val="28"/>
          <w:lang w:val="fr-FR"/>
        </w:rPr>
        <w:tab/>
      </w:r>
      <w:r w:rsidR="00A902DD" w:rsidRPr="00E81E4C">
        <w:rPr>
          <w:kern w:val="28"/>
          <w:lang w:val="fr-FR"/>
        </w:rPr>
        <w:t>Le CA</w:t>
      </w:r>
      <w:r w:rsidR="00122590" w:rsidRPr="00E81E4C">
        <w:rPr>
          <w:kern w:val="28"/>
          <w:lang w:val="fr-FR"/>
        </w:rPr>
        <w:t>J examine les documents CAJ/74/6</w:t>
      </w:r>
      <w:r w:rsidR="00A902DD" w:rsidRPr="00E81E4C">
        <w:rPr>
          <w:kern w:val="28"/>
          <w:lang w:val="fr-FR"/>
        </w:rPr>
        <w:t>, UPOV/INF/16/7</w:t>
      </w:r>
      <w:r w:rsidR="001F355D">
        <w:rPr>
          <w:kern w:val="28"/>
          <w:lang w:val="fr-FR"/>
        </w:rPr>
        <w:t> Draft </w:t>
      </w:r>
      <w:r w:rsidR="00A902DD" w:rsidRPr="00E81E4C">
        <w:rPr>
          <w:kern w:val="28"/>
          <w:lang w:val="fr-FR"/>
        </w:rPr>
        <w:t>1 et UPOV/INF/22/4</w:t>
      </w:r>
      <w:r w:rsidR="00A04267" w:rsidRPr="00E81E4C">
        <w:rPr>
          <w:kern w:val="28"/>
          <w:lang w:val="fr-FR"/>
        </w:rPr>
        <w:t> </w:t>
      </w:r>
      <w:r w:rsidR="00A902DD" w:rsidRPr="00E81E4C">
        <w:rPr>
          <w:kern w:val="28"/>
          <w:lang w:val="fr-FR"/>
        </w:rPr>
        <w:t>Draft</w:t>
      </w:r>
      <w:r w:rsidR="00A04267" w:rsidRPr="00E81E4C">
        <w:rPr>
          <w:kern w:val="28"/>
          <w:lang w:val="fr-FR"/>
        </w:rPr>
        <w:t> </w:t>
      </w:r>
      <w:r w:rsidR="00A902DD" w:rsidRPr="00E81E4C">
        <w:rPr>
          <w:kern w:val="28"/>
          <w:lang w:val="fr-FR"/>
        </w:rPr>
        <w:t>1.</w:t>
      </w:r>
    </w:p>
    <w:p w:rsidR="0059127D" w:rsidRPr="00E81E4C" w:rsidRDefault="0059127D" w:rsidP="00E81E4C">
      <w:pPr>
        <w:keepNext/>
        <w:rPr>
          <w:lang w:val="fr-FR"/>
        </w:rPr>
      </w:pPr>
    </w:p>
    <w:p w:rsidR="0059127D" w:rsidRPr="00E81E4C" w:rsidRDefault="00A902DD" w:rsidP="00E81E4C">
      <w:pPr>
        <w:pStyle w:val="Heading4"/>
      </w:pPr>
      <w:r w:rsidRPr="00E81E4C">
        <w:t>Documents soumis</w:t>
      </w:r>
      <w:r w:rsidR="00B83237" w:rsidRPr="00E81E4C">
        <w:t xml:space="preserve"> au CAJ</w:t>
      </w:r>
      <w:r w:rsidRPr="00E81E4C">
        <w:t xml:space="preserve"> pour examen</w:t>
      </w:r>
    </w:p>
    <w:p w:rsidR="0059127D" w:rsidRPr="00E81E4C" w:rsidRDefault="0059127D" w:rsidP="00E81E4C">
      <w:pPr>
        <w:rPr>
          <w:lang w:val="fr-FR"/>
        </w:rPr>
      </w:pPr>
    </w:p>
    <w:p w:rsidR="0059127D" w:rsidRPr="00E81E4C" w:rsidRDefault="004B639C" w:rsidP="00E81E4C">
      <w:pPr>
        <w:rPr>
          <w:lang w:val="fr-FR" w:eastAsia="ja-JP"/>
        </w:rPr>
      </w:pPr>
      <w:r w:rsidRPr="00E81E4C">
        <w:rPr>
          <w:snapToGrid w:val="0"/>
          <w:lang w:val="fr-FR"/>
        </w:rPr>
        <w:fldChar w:fldCharType="begin"/>
      </w:r>
      <w:r w:rsidRPr="00E81E4C">
        <w:rPr>
          <w:snapToGrid w:val="0"/>
          <w:lang w:val="fr-FR"/>
        </w:rPr>
        <w:instrText xml:space="preserve"> AUTONUM  </w:instrText>
      </w:r>
      <w:r w:rsidRPr="00E81E4C">
        <w:rPr>
          <w:snapToGrid w:val="0"/>
          <w:lang w:val="fr-FR"/>
        </w:rPr>
        <w:fldChar w:fldCharType="end"/>
      </w:r>
      <w:r w:rsidRPr="00E81E4C">
        <w:rPr>
          <w:snapToGrid w:val="0"/>
          <w:lang w:val="fr-FR"/>
        </w:rPr>
        <w:tab/>
      </w:r>
      <w:r w:rsidR="001D46EF" w:rsidRPr="00E81E4C">
        <w:rPr>
          <w:snapToGrid w:val="0"/>
          <w:lang w:val="fr-FR"/>
        </w:rPr>
        <w:t>Le CAJ note que le Conseil, à sa cinquant</w:t>
      </w:r>
      <w:r w:rsidR="003C1CF1" w:rsidRPr="00E81E4C">
        <w:rPr>
          <w:snapToGrid w:val="0"/>
          <w:lang w:val="fr-FR"/>
        </w:rPr>
        <w:t>ième session</w:t>
      </w:r>
      <w:r w:rsidR="001D46EF" w:rsidRPr="00E81E4C">
        <w:rPr>
          <w:snapToGrid w:val="0"/>
          <w:lang w:val="fr-FR"/>
        </w:rPr>
        <w:t xml:space="preserve"> ordinaire, a adopté la révision d</w:t>
      </w:r>
      <w:r w:rsidR="00122590" w:rsidRPr="00E81E4C">
        <w:rPr>
          <w:snapToGrid w:val="0"/>
          <w:lang w:val="fr-FR"/>
        </w:rPr>
        <w:t>es</w:t>
      </w:r>
      <w:r w:rsidR="001D46EF" w:rsidRPr="00E81E4C">
        <w:rPr>
          <w:snapToGrid w:val="0"/>
          <w:lang w:val="fr-FR"/>
        </w:rPr>
        <w:t xml:space="preserve"> document</w:t>
      </w:r>
      <w:r w:rsidR="00122590" w:rsidRPr="00E81E4C">
        <w:rPr>
          <w:snapToGrid w:val="0"/>
          <w:lang w:val="fr-FR"/>
        </w:rPr>
        <w:t>s</w:t>
      </w:r>
      <w:r w:rsidR="001D46EF" w:rsidRPr="00E81E4C">
        <w:rPr>
          <w:snapToGrid w:val="0"/>
          <w:lang w:val="fr-FR"/>
        </w:rPr>
        <w:t xml:space="preserve"> UPOV/INF/16 “Logiciels échangeables” (document UPOV/INF/16/6) et UPOV/INF/22 “Logiciels et équipements utilisés par les membres de l</w:t>
      </w:r>
      <w:r w:rsidR="003C1CF1" w:rsidRPr="00E81E4C">
        <w:rPr>
          <w:snapToGrid w:val="0"/>
          <w:lang w:val="fr-FR"/>
        </w:rPr>
        <w:t>’</w:t>
      </w:r>
      <w:r w:rsidR="001D46EF" w:rsidRPr="00E81E4C">
        <w:rPr>
          <w:snapToGrid w:val="0"/>
          <w:lang w:val="fr-FR"/>
        </w:rPr>
        <w:t>Union” (document UPOV/INF/22/3).</w:t>
      </w:r>
    </w:p>
    <w:p w:rsidR="0059127D" w:rsidRPr="00E81E4C" w:rsidRDefault="0059127D" w:rsidP="00E81E4C">
      <w:pPr>
        <w:rPr>
          <w:lang w:val="fr-FR"/>
        </w:rPr>
      </w:pPr>
    </w:p>
    <w:p w:rsidR="0059127D" w:rsidRPr="00E81E4C" w:rsidRDefault="009F6F32" w:rsidP="00E81E4C">
      <w:pPr>
        <w:rPr>
          <w:rFonts w:eastAsia="SimSun"/>
          <w:snapToGrid w:val="0"/>
          <w:lang w:val="fr-FR" w:eastAsia="ja-JP"/>
        </w:rPr>
      </w:pPr>
      <w:r w:rsidRPr="00E81E4C">
        <w:rPr>
          <w:rFonts w:eastAsia="SimSun"/>
          <w:snapToGrid w:val="0"/>
          <w:lang w:val="fr-FR" w:eastAsia="ja-JP"/>
        </w:rPr>
        <w:fldChar w:fldCharType="begin"/>
      </w:r>
      <w:r w:rsidRPr="00E81E4C">
        <w:rPr>
          <w:rFonts w:eastAsia="SimSun"/>
          <w:snapToGrid w:val="0"/>
          <w:lang w:val="fr-FR" w:eastAsia="ja-JP"/>
        </w:rPr>
        <w:instrText xml:space="preserve"> AUTONUM  </w:instrText>
      </w:r>
      <w:r w:rsidRPr="00E81E4C">
        <w:rPr>
          <w:rFonts w:eastAsia="SimSun"/>
          <w:snapToGrid w:val="0"/>
          <w:lang w:val="fr-FR" w:eastAsia="ja-JP"/>
        </w:rPr>
        <w:fldChar w:fldCharType="end"/>
      </w:r>
      <w:r w:rsidR="009313AE" w:rsidRPr="00E81E4C">
        <w:rPr>
          <w:rFonts w:eastAsia="SimSun"/>
          <w:snapToGrid w:val="0"/>
          <w:lang w:val="fr-FR" w:eastAsia="ja-JP"/>
        </w:rPr>
        <w:tab/>
      </w:r>
      <w:r w:rsidR="001D46EF" w:rsidRPr="00E81E4C">
        <w:rPr>
          <w:rFonts w:eastAsia="SimSun"/>
          <w:snapToGrid w:val="0"/>
          <w:lang w:val="fr-FR" w:eastAsia="ja-JP"/>
        </w:rPr>
        <w:t>Le CAJ a approuvé les propositions de révision d</w:t>
      </w:r>
      <w:r w:rsidR="00122590" w:rsidRPr="00E81E4C">
        <w:rPr>
          <w:rFonts w:eastAsia="SimSun"/>
          <w:snapToGrid w:val="0"/>
          <w:lang w:val="fr-FR" w:eastAsia="ja-JP"/>
        </w:rPr>
        <w:t xml:space="preserve">es </w:t>
      </w:r>
      <w:r w:rsidR="001D46EF" w:rsidRPr="00E81E4C">
        <w:rPr>
          <w:rFonts w:eastAsia="SimSun"/>
          <w:snapToGrid w:val="0"/>
          <w:lang w:val="fr-FR" w:eastAsia="ja-JP"/>
        </w:rPr>
        <w:t>document</w:t>
      </w:r>
      <w:r w:rsidR="00122590" w:rsidRPr="00E81E4C">
        <w:rPr>
          <w:rFonts w:eastAsia="SimSun"/>
          <w:snapToGrid w:val="0"/>
          <w:lang w:val="fr-FR" w:eastAsia="ja-JP"/>
        </w:rPr>
        <w:t>s</w:t>
      </w:r>
      <w:r w:rsidR="001D46EF" w:rsidRPr="00E81E4C">
        <w:rPr>
          <w:rFonts w:eastAsia="SimSun"/>
          <w:snapToGrid w:val="0"/>
          <w:lang w:val="fr-FR" w:eastAsia="ja-JP"/>
        </w:rPr>
        <w:t xml:space="preserve"> UPOV/INF/16 </w:t>
      </w:r>
      <w:r w:rsidR="00122590" w:rsidRPr="00E81E4C">
        <w:rPr>
          <w:rFonts w:eastAsia="SimSun"/>
          <w:snapToGrid w:val="0"/>
          <w:lang w:val="fr-FR" w:eastAsia="ja-JP"/>
        </w:rPr>
        <w:t>(documen</w:t>
      </w:r>
      <w:r w:rsidR="000A0F85" w:rsidRPr="00E81E4C">
        <w:rPr>
          <w:rFonts w:eastAsia="SimSun"/>
          <w:snapToGrid w:val="0"/>
          <w:lang w:val="fr-FR" w:eastAsia="ja-JP"/>
        </w:rPr>
        <w:t>t UPOV/INF/16/7 Draft 1</w:t>
      </w:r>
      <w:r w:rsidR="00122590" w:rsidRPr="00E81E4C">
        <w:rPr>
          <w:rFonts w:eastAsia="SimSun"/>
          <w:snapToGrid w:val="0"/>
          <w:lang w:val="fr-FR" w:eastAsia="ja-JP"/>
        </w:rPr>
        <w:t>)</w:t>
      </w:r>
      <w:r w:rsidR="000A0F85" w:rsidRPr="00E81E4C">
        <w:rPr>
          <w:rFonts w:eastAsia="SimSun"/>
          <w:snapToGrid w:val="0"/>
          <w:lang w:val="fr-FR" w:eastAsia="ja-JP"/>
        </w:rPr>
        <w:t xml:space="preserve"> et UPOV/INF/22</w:t>
      </w:r>
      <w:r w:rsidR="001D46EF" w:rsidRPr="00E81E4C">
        <w:rPr>
          <w:rFonts w:eastAsia="SimSun"/>
          <w:snapToGrid w:val="0"/>
          <w:lang w:val="fr-FR" w:eastAsia="ja-JP"/>
        </w:rPr>
        <w:t xml:space="preserve"> </w:t>
      </w:r>
      <w:r w:rsidR="00122590" w:rsidRPr="00E81E4C">
        <w:rPr>
          <w:rFonts w:eastAsia="SimSun"/>
          <w:snapToGrid w:val="0"/>
          <w:lang w:val="fr-FR" w:eastAsia="ja-JP"/>
        </w:rPr>
        <w:t>(</w:t>
      </w:r>
      <w:r w:rsidR="001D46EF" w:rsidRPr="00E81E4C">
        <w:rPr>
          <w:rFonts w:eastAsia="SimSun"/>
          <w:snapToGrid w:val="0"/>
          <w:lang w:val="fr-FR" w:eastAsia="ja-JP"/>
        </w:rPr>
        <w:t>document UPOV/INF/22/4 Draft 1</w:t>
      </w:r>
      <w:r w:rsidR="00122590" w:rsidRPr="00E81E4C">
        <w:rPr>
          <w:rFonts w:eastAsia="SimSun"/>
          <w:snapToGrid w:val="0"/>
          <w:lang w:val="fr-FR" w:eastAsia="ja-JP"/>
        </w:rPr>
        <w:t>)</w:t>
      </w:r>
      <w:r w:rsidR="001D46EF" w:rsidRPr="00E81E4C">
        <w:rPr>
          <w:rFonts w:eastAsia="SimSun"/>
          <w:snapToGrid w:val="0"/>
          <w:lang w:val="fr-FR" w:eastAsia="ja-JP"/>
        </w:rPr>
        <w:t>.</w:t>
      </w:r>
    </w:p>
    <w:p w:rsidR="0059127D" w:rsidRPr="00E81E4C" w:rsidRDefault="0059127D" w:rsidP="00E81E4C">
      <w:pPr>
        <w:rPr>
          <w:rFonts w:eastAsia="SimSun"/>
          <w:snapToGrid w:val="0"/>
          <w:lang w:val="fr-FR" w:eastAsia="ja-JP"/>
        </w:rPr>
      </w:pPr>
    </w:p>
    <w:p w:rsidR="0059127D" w:rsidRPr="00E81E4C" w:rsidRDefault="00E079FF" w:rsidP="00E81E4C">
      <w:pPr>
        <w:rPr>
          <w:lang w:val="fr-FR"/>
        </w:rPr>
      </w:pPr>
      <w:r w:rsidRPr="00E81E4C">
        <w:rPr>
          <w:lang w:val="fr-FR"/>
        </w:rPr>
        <w:fldChar w:fldCharType="begin"/>
      </w:r>
      <w:r w:rsidRPr="00E81E4C">
        <w:rPr>
          <w:lang w:val="fr-FR"/>
        </w:rPr>
        <w:instrText xml:space="preserve"> AUTONUM  </w:instrText>
      </w:r>
      <w:r w:rsidRPr="00E81E4C">
        <w:rPr>
          <w:lang w:val="fr-FR"/>
        </w:rPr>
        <w:fldChar w:fldCharType="end"/>
      </w:r>
      <w:r w:rsidRPr="00E81E4C">
        <w:rPr>
          <w:lang w:val="fr-FR"/>
        </w:rPr>
        <w:tab/>
      </w:r>
      <w:r w:rsidR="001D46EF" w:rsidRPr="00E81E4C">
        <w:rPr>
          <w:lang w:val="fr-FR"/>
        </w:rPr>
        <w:t>Le CAJ note que le Conseil, à sa cinquant</w:t>
      </w:r>
      <w:r w:rsidR="003C1CF1" w:rsidRPr="00E81E4C">
        <w:rPr>
          <w:lang w:val="fr-FR"/>
        </w:rPr>
        <w:t>ième session</w:t>
      </w:r>
      <w:r w:rsidR="001D46EF" w:rsidRPr="00E81E4C">
        <w:rPr>
          <w:lang w:val="fr-FR"/>
        </w:rPr>
        <w:t xml:space="preserve"> ordinaire, sera invité à examiner, aux fins d</w:t>
      </w:r>
      <w:r w:rsidR="003C1CF1" w:rsidRPr="00E81E4C">
        <w:rPr>
          <w:lang w:val="fr-FR"/>
        </w:rPr>
        <w:t>’</w:t>
      </w:r>
      <w:r w:rsidR="001D46EF" w:rsidRPr="00E81E4C">
        <w:rPr>
          <w:lang w:val="fr-FR"/>
        </w:rPr>
        <w:t>adoption, les propositions de révision des documents UPOV/INF/16 et UPOV/INF/22, figurant respectivement dans les documents UPOV/INF/16/7 Draft 1 et UPOV/INF/22/4 Draft 1, pour adoption à sa cinquante</w:t>
      </w:r>
      <w:r w:rsidR="003C1CF1" w:rsidRPr="00E81E4C">
        <w:rPr>
          <w:lang w:val="fr-FR"/>
        </w:rPr>
        <w:t> et unième session</w:t>
      </w:r>
      <w:r w:rsidR="001D46EF" w:rsidRPr="00E81E4C">
        <w:rPr>
          <w:lang w:val="fr-FR"/>
        </w:rPr>
        <w:t xml:space="preserve"> ordinaire.</w:t>
      </w:r>
    </w:p>
    <w:p w:rsidR="0059127D" w:rsidRPr="00E81E4C" w:rsidRDefault="0059127D" w:rsidP="00E81E4C">
      <w:pPr>
        <w:rPr>
          <w:lang w:val="fr-FR"/>
        </w:rPr>
      </w:pPr>
    </w:p>
    <w:p w:rsidR="0059127D" w:rsidRPr="00E81E4C" w:rsidRDefault="0059127D" w:rsidP="00E81E4C">
      <w:pPr>
        <w:rPr>
          <w:lang w:val="fr-FR"/>
        </w:rPr>
      </w:pPr>
    </w:p>
    <w:p w:rsidR="00B83237" w:rsidRPr="00E81E4C" w:rsidRDefault="001D46EF" w:rsidP="00E81E4C">
      <w:pPr>
        <w:pStyle w:val="Heading2"/>
        <w:rPr>
          <w:lang w:val="fr-FR"/>
        </w:rPr>
      </w:pPr>
      <w:r w:rsidRPr="00E81E4C">
        <w:rPr>
          <w:lang w:val="fr-FR"/>
        </w:rPr>
        <w:t>Documents TGP</w:t>
      </w:r>
    </w:p>
    <w:p w:rsidR="0059127D" w:rsidRPr="00E81E4C" w:rsidRDefault="0059127D" w:rsidP="00E81E4C">
      <w:pPr>
        <w:pStyle w:val="Heading2"/>
        <w:rPr>
          <w:rFonts w:eastAsiaTheme="minorEastAsia"/>
          <w:u w:val="none"/>
          <w:lang w:val="fr-FR"/>
        </w:rPr>
      </w:pPr>
    </w:p>
    <w:p w:rsidR="0059127D" w:rsidRPr="00E81E4C" w:rsidRDefault="00EF57A7" w:rsidP="00E81E4C">
      <w:pPr>
        <w:keepNext/>
        <w:rPr>
          <w:lang w:val="fr-FR"/>
        </w:rPr>
      </w:pPr>
      <w:r w:rsidRPr="00E81E4C">
        <w:rPr>
          <w:lang w:val="fr-FR"/>
        </w:rPr>
        <w:fldChar w:fldCharType="begin"/>
      </w:r>
      <w:r w:rsidRPr="00E81E4C">
        <w:rPr>
          <w:lang w:val="fr-FR"/>
        </w:rPr>
        <w:instrText xml:space="preserve"> AUTONUM  </w:instrText>
      </w:r>
      <w:r w:rsidRPr="00E81E4C">
        <w:rPr>
          <w:lang w:val="fr-FR"/>
        </w:rPr>
        <w:fldChar w:fldCharType="end"/>
      </w:r>
      <w:r w:rsidRPr="00E81E4C">
        <w:rPr>
          <w:lang w:val="fr-FR"/>
        </w:rPr>
        <w:tab/>
      </w:r>
      <w:r w:rsidR="001D46EF" w:rsidRPr="00E81E4C">
        <w:rPr>
          <w:lang w:val="fr-FR"/>
        </w:rPr>
        <w:t>Le CAJ examine le document CAJ/74/7.</w:t>
      </w:r>
    </w:p>
    <w:p w:rsidR="0059127D" w:rsidRPr="00E81E4C" w:rsidRDefault="0059127D" w:rsidP="00E81E4C">
      <w:pPr>
        <w:keepNext/>
        <w:rPr>
          <w:lang w:val="fr-FR"/>
        </w:rPr>
      </w:pPr>
    </w:p>
    <w:p w:rsidR="0059127D" w:rsidRPr="00E81E4C" w:rsidRDefault="003E25B2" w:rsidP="00E81E4C">
      <w:pPr>
        <w:rPr>
          <w:rFonts w:eastAsiaTheme="minorEastAsia"/>
          <w:lang w:val="fr-FR"/>
        </w:rPr>
      </w:pPr>
      <w:r w:rsidRPr="00E81E4C">
        <w:rPr>
          <w:lang w:val="fr-FR"/>
        </w:rPr>
        <w:fldChar w:fldCharType="begin"/>
      </w:r>
      <w:r w:rsidRPr="00E81E4C">
        <w:rPr>
          <w:lang w:val="fr-FR"/>
        </w:rPr>
        <w:instrText xml:space="preserve"> AUTONUM  </w:instrText>
      </w:r>
      <w:r w:rsidRPr="00E81E4C">
        <w:rPr>
          <w:lang w:val="fr-FR"/>
        </w:rPr>
        <w:fldChar w:fldCharType="end"/>
      </w:r>
      <w:r w:rsidRPr="00E81E4C">
        <w:rPr>
          <w:lang w:val="fr-FR"/>
        </w:rPr>
        <w:tab/>
      </w:r>
      <w:r w:rsidR="001D46EF" w:rsidRPr="00E81E4C">
        <w:rPr>
          <w:lang w:val="fr-FR"/>
        </w:rPr>
        <w:t>Le CAJ note que le</w:t>
      </w:r>
      <w:r w:rsidR="003C1CF1" w:rsidRPr="00E81E4C">
        <w:rPr>
          <w:lang w:val="fr-FR"/>
        </w:rPr>
        <w:t> TC</w:t>
      </w:r>
      <w:r w:rsidR="001D46EF" w:rsidRPr="00E81E4C">
        <w:rPr>
          <w:lang w:val="fr-FR"/>
        </w:rPr>
        <w:t xml:space="preserve"> est convenu que les propositions de révision des documents TGP devaient être présentées pour adoption par le Conseil </w:t>
      </w:r>
      <w:r w:rsidR="00B83237" w:rsidRPr="00E81E4C">
        <w:rPr>
          <w:lang w:val="fr-FR"/>
        </w:rPr>
        <w:t>en 2018</w:t>
      </w:r>
      <w:r w:rsidR="001D46EF" w:rsidRPr="00E81E4C">
        <w:rPr>
          <w:lang w:val="fr-FR"/>
        </w:rPr>
        <w:t>, sous réserve de l</w:t>
      </w:r>
      <w:r w:rsidR="003C1CF1" w:rsidRPr="00E81E4C">
        <w:rPr>
          <w:lang w:val="fr-FR"/>
        </w:rPr>
        <w:t>’</w:t>
      </w:r>
      <w:r w:rsidR="001D46EF" w:rsidRPr="00E81E4C">
        <w:rPr>
          <w:lang w:val="fr-FR"/>
        </w:rPr>
        <w:t>approbation</w:t>
      </w:r>
      <w:r w:rsidR="00B83237" w:rsidRPr="00E81E4C">
        <w:rPr>
          <w:lang w:val="fr-FR"/>
        </w:rPr>
        <w:t xml:space="preserve"> du CAJ</w:t>
      </w:r>
      <w:r w:rsidR="001D46EF" w:rsidRPr="00E81E4C">
        <w:rPr>
          <w:lang w:val="fr-FR"/>
        </w:rPr>
        <w:t xml:space="preserve"> à sa soixante</w:t>
      </w:r>
      <w:r w:rsidR="00F93994" w:rsidRPr="00E81E4C">
        <w:rPr>
          <w:lang w:val="fr-FR"/>
        </w:rPr>
        <w:noBreakHyphen/>
      </w:r>
      <w:r w:rsidR="001D46EF" w:rsidRPr="00E81E4C">
        <w:rPr>
          <w:lang w:val="fr-FR"/>
        </w:rPr>
        <w:t>quinz</w:t>
      </w:r>
      <w:r w:rsidR="003C1CF1" w:rsidRPr="00E81E4C">
        <w:rPr>
          <w:lang w:val="fr-FR"/>
        </w:rPr>
        <w:t>ième session</w:t>
      </w:r>
      <w:r w:rsidR="001D46EF" w:rsidRPr="00E81E4C">
        <w:rPr>
          <w:lang w:val="fr-FR"/>
        </w:rPr>
        <w:t>.</w:t>
      </w:r>
    </w:p>
    <w:p w:rsidR="0059127D" w:rsidRPr="00E81E4C" w:rsidRDefault="0059127D" w:rsidP="00E81E4C">
      <w:pPr>
        <w:tabs>
          <w:tab w:val="left" w:pos="567"/>
        </w:tabs>
        <w:rPr>
          <w:rFonts w:eastAsiaTheme="minorEastAsia"/>
          <w:lang w:val="fr-FR"/>
        </w:rPr>
      </w:pPr>
    </w:p>
    <w:p w:rsidR="0059127D" w:rsidRPr="00E81E4C" w:rsidRDefault="00734BC9" w:rsidP="00E81E4C">
      <w:pPr>
        <w:tabs>
          <w:tab w:val="left" w:pos="567"/>
        </w:tabs>
        <w:rPr>
          <w:rFonts w:eastAsiaTheme="minorEastAsia"/>
          <w:lang w:val="fr-FR"/>
        </w:rPr>
      </w:pPr>
      <w:r w:rsidRPr="00E81E4C">
        <w:rPr>
          <w:lang w:val="fr-FR"/>
        </w:rPr>
        <w:fldChar w:fldCharType="begin"/>
      </w:r>
      <w:r w:rsidRPr="00E81E4C">
        <w:rPr>
          <w:lang w:val="fr-FR"/>
        </w:rPr>
        <w:instrText xml:space="preserve"> AUTONUM  </w:instrText>
      </w:r>
      <w:r w:rsidRPr="00E81E4C">
        <w:rPr>
          <w:lang w:val="fr-FR"/>
        </w:rPr>
        <w:fldChar w:fldCharType="end"/>
      </w:r>
      <w:r w:rsidRPr="00E81E4C">
        <w:rPr>
          <w:lang w:val="fr-FR"/>
        </w:rPr>
        <w:tab/>
      </w:r>
      <w:r w:rsidR="001D46EF" w:rsidRPr="00E81E4C">
        <w:rPr>
          <w:lang w:val="fr-FR"/>
        </w:rPr>
        <w:t>Le CAJ approuve le programme d</w:t>
      </w:r>
      <w:r w:rsidR="003C1CF1" w:rsidRPr="00E81E4C">
        <w:rPr>
          <w:lang w:val="fr-FR"/>
        </w:rPr>
        <w:t>’</w:t>
      </w:r>
      <w:r w:rsidR="001D46EF" w:rsidRPr="00E81E4C">
        <w:rPr>
          <w:lang w:val="fr-FR"/>
        </w:rPr>
        <w:t>élaboration des documents TGP, tel qu</w:t>
      </w:r>
      <w:r w:rsidR="003C1CF1" w:rsidRPr="00E81E4C">
        <w:rPr>
          <w:lang w:val="fr-FR"/>
        </w:rPr>
        <w:t>’</w:t>
      </w:r>
      <w:r w:rsidR="001D46EF" w:rsidRPr="00E81E4C">
        <w:rPr>
          <w:lang w:val="fr-FR"/>
        </w:rPr>
        <w:t>il figure dans l</w:t>
      </w:r>
      <w:r w:rsidR="003C1CF1" w:rsidRPr="00E81E4C">
        <w:rPr>
          <w:lang w:val="fr-FR"/>
        </w:rPr>
        <w:t>’</w:t>
      </w:r>
      <w:r w:rsidR="001D46EF" w:rsidRPr="00E81E4C">
        <w:rPr>
          <w:lang w:val="fr-FR"/>
        </w:rPr>
        <w:t>annexe du document CAJ/74/7.</w:t>
      </w:r>
    </w:p>
    <w:p w:rsidR="0059127D" w:rsidRPr="00E81E4C" w:rsidRDefault="0059127D" w:rsidP="00E81E4C">
      <w:pPr>
        <w:rPr>
          <w:lang w:val="fr-FR"/>
        </w:rPr>
      </w:pPr>
    </w:p>
    <w:p w:rsidR="0059127D" w:rsidRPr="00E81E4C" w:rsidRDefault="0059127D" w:rsidP="00E81E4C">
      <w:pPr>
        <w:rPr>
          <w:lang w:val="fr-FR"/>
        </w:rPr>
      </w:pPr>
    </w:p>
    <w:p w:rsidR="00B83237" w:rsidRPr="00E81E4C" w:rsidRDefault="001D46EF" w:rsidP="00E81E4C">
      <w:pPr>
        <w:pStyle w:val="Heading2"/>
        <w:rPr>
          <w:lang w:val="fr-FR"/>
        </w:rPr>
      </w:pPr>
      <w:r w:rsidRPr="00E81E4C">
        <w:rPr>
          <w:lang w:val="fr-FR"/>
        </w:rPr>
        <w:t>Techniques moléculaires</w:t>
      </w:r>
    </w:p>
    <w:p w:rsidR="0059127D" w:rsidRPr="00E81E4C" w:rsidRDefault="0059127D" w:rsidP="00E81E4C">
      <w:pPr>
        <w:keepNext/>
        <w:rPr>
          <w:lang w:val="fr-FR"/>
        </w:rPr>
      </w:pPr>
    </w:p>
    <w:p w:rsidR="0059127D" w:rsidRPr="00E81E4C" w:rsidRDefault="003E25B2" w:rsidP="00E81E4C">
      <w:pPr>
        <w:keepNext/>
        <w:rPr>
          <w:lang w:val="fr-FR"/>
        </w:rPr>
      </w:pPr>
      <w:r w:rsidRPr="00E81E4C">
        <w:rPr>
          <w:lang w:val="fr-FR"/>
        </w:rPr>
        <w:fldChar w:fldCharType="begin"/>
      </w:r>
      <w:r w:rsidRPr="00E81E4C">
        <w:rPr>
          <w:lang w:val="fr-FR"/>
        </w:rPr>
        <w:instrText xml:space="preserve"> AUTONUM  </w:instrText>
      </w:r>
      <w:r w:rsidRPr="00E81E4C">
        <w:rPr>
          <w:lang w:val="fr-FR"/>
        </w:rPr>
        <w:fldChar w:fldCharType="end"/>
      </w:r>
      <w:r w:rsidRPr="00E81E4C">
        <w:rPr>
          <w:lang w:val="fr-FR"/>
        </w:rPr>
        <w:tab/>
      </w:r>
      <w:r w:rsidR="001D46EF" w:rsidRPr="00E81E4C">
        <w:rPr>
          <w:lang w:val="fr-FR"/>
        </w:rPr>
        <w:t>Le CAJ examine le document CAJ/74/8.</w:t>
      </w:r>
    </w:p>
    <w:p w:rsidR="0059127D" w:rsidRPr="00E81E4C" w:rsidRDefault="0059127D" w:rsidP="00E81E4C">
      <w:pPr>
        <w:keepNext/>
        <w:rPr>
          <w:kern w:val="28"/>
          <w:lang w:val="fr-FR"/>
        </w:rPr>
      </w:pPr>
    </w:p>
    <w:p w:rsidR="0059127D" w:rsidRPr="00E81E4C" w:rsidRDefault="00EF57A7" w:rsidP="00E81E4C">
      <w:pPr>
        <w:pStyle w:val="DecisionParagraphs"/>
        <w:tabs>
          <w:tab w:val="clear" w:pos="5387"/>
          <w:tab w:val="clear" w:pos="5954"/>
        </w:tabs>
        <w:ind w:left="0"/>
        <w:rPr>
          <w:i w:val="0"/>
          <w:lang w:val="fr-FR"/>
        </w:rPr>
      </w:pPr>
      <w:r w:rsidRPr="00E81E4C">
        <w:rPr>
          <w:i w:val="0"/>
          <w:lang w:val="fr-FR"/>
        </w:rPr>
        <w:fldChar w:fldCharType="begin"/>
      </w:r>
      <w:r w:rsidRPr="00E81E4C">
        <w:rPr>
          <w:i w:val="0"/>
          <w:lang w:val="fr-FR"/>
        </w:rPr>
        <w:instrText xml:space="preserve"> AUTONUM  </w:instrText>
      </w:r>
      <w:r w:rsidRPr="00E81E4C">
        <w:rPr>
          <w:i w:val="0"/>
          <w:lang w:val="fr-FR"/>
        </w:rPr>
        <w:fldChar w:fldCharType="end"/>
      </w:r>
      <w:r w:rsidRPr="00E81E4C">
        <w:rPr>
          <w:i w:val="0"/>
          <w:lang w:val="fr-FR"/>
        </w:rPr>
        <w:tab/>
      </w:r>
      <w:r w:rsidR="00865855" w:rsidRPr="00E81E4C">
        <w:rPr>
          <w:i w:val="0"/>
          <w:lang w:val="fr-FR"/>
        </w:rPr>
        <w:t>Le CAJ note que le projet de questions et réponses concernant la diffusion d</w:t>
      </w:r>
      <w:r w:rsidR="003C1CF1" w:rsidRPr="00E81E4C">
        <w:rPr>
          <w:i w:val="0"/>
          <w:lang w:val="fr-FR"/>
        </w:rPr>
        <w:t>’</w:t>
      </w:r>
      <w:r w:rsidR="00865855" w:rsidRPr="00E81E4C">
        <w:rPr>
          <w:i w:val="0"/>
          <w:lang w:val="fr-FR"/>
        </w:rPr>
        <w:t xml:space="preserve">informations à un large public, </w:t>
      </w:r>
      <w:r w:rsidR="003C1CF1" w:rsidRPr="00E81E4C">
        <w:rPr>
          <w:i w:val="0"/>
          <w:lang w:val="fr-FR"/>
        </w:rPr>
        <w:t>y compris</w:t>
      </w:r>
      <w:r w:rsidR="00865855" w:rsidRPr="00E81E4C">
        <w:rPr>
          <w:i w:val="0"/>
          <w:lang w:val="fr-FR"/>
        </w:rPr>
        <w:t xml:space="preserve"> le public en général, sur la situation à l</w:t>
      </w:r>
      <w:r w:rsidR="003C1CF1" w:rsidRPr="00E81E4C">
        <w:rPr>
          <w:i w:val="0"/>
          <w:lang w:val="fr-FR"/>
        </w:rPr>
        <w:t>’</w:t>
      </w:r>
      <w:r w:rsidR="00865855" w:rsidRPr="00E81E4C">
        <w:rPr>
          <w:i w:val="0"/>
          <w:lang w:val="fr-FR"/>
        </w:rPr>
        <w:t>UPOV concernant l</w:t>
      </w:r>
      <w:r w:rsidR="003C1CF1" w:rsidRPr="00E81E4C">
        <w:rPr>
          <w:i w:val="0"/>
          <w:lang w:val="fr-FR"/>
        </w:rPr>
        <w:t>’</w:t>
      </w:r>
      <w:r w:rsidR="00865855" w:rsidRPr="00E81E4C">
        <w:rPr>
          <w:i w:val="0"/>
          <w:lang w:val="fr-FR"/>
        </w:rPr>
        <w:t xml:space="preserve">utilisation de techniques moléculaires, présenté au </w:t>
      </w:r>
      <w:r w:rsidR="00B83237" w:rsidRPr="00E81E4C">
        <w:rPr>
          <w:i w:val="0"/>
          <w:lang w:val="fr-FR"/>
        </w:rPr>
        <w:t>paragraphe 7</w:t>
      </w:r>
      <w:r w:rsidR="00865855" w:rsidRPr="00E81E4C">
        <w:rPr>
          <w:i w:val="0"/>
          <w:lang w:val="fr-FR"/>
        </w:rPr>
        <w:t xml:space="preserve"> </w:t>
      </w:r>
      <w:r w:rsidR="00A04267" w:rsidRPr="00E81E4C">
        <w:rPr>
          <w:i w:val="0"/>
          <w:lang w:val="fr-FR"/>
        </w:rPr>
        <w:t>du</w:t>
      </w:r>
      <w:r w:rsidR="00865855" w:rsidRPr="00E81E4C">
        <w:rPr>
          <w:i w:val="0"/>
          <w:lang w:val="fr-FR"/>
        </w:rPr>
        <w:t xml:space="preserve"> document CAJ/74/8, a été approuvé par le Conseil à sa cinquant</w:t>
      </w:r>
      <w:r w:rsidR="003C1CF1" w:rsidRPr="00E81E4C">
        <w:rPr>
          <w:i w:val="0"/>
          <w:lang w:val="fr-FR"/>
        </w:rPr>
        <w:t>ième session</w:t>
      </w:r>
      <w:r w:rsidR="00865855" w:rsidRPr="00E81E4C">
        <w:rPr>
          <w:i w:val="0"/>
          <w:lang w:val="fr-FR"/>
        </w:rPr>
        <w:t xml:space="preserve"> ordinaire.</w:t>
      </w:r>
    </w:p>
    <w:p w:rsidR="0059127D" w:rsidRPr="00E81E4C" w:rsidRDefault="0059127D" w:rsidP="00E81E4C">
      <w:pPr>
        <w:pStyle w:val="DecisionParagraphs"/>
        <w:tabs>
          <w:tab w:val="clear" w:pos="5387"/>
          <w:tab w:val="clear" w:pos="5954"/>
        </w:tabs>
        <w:ind w:left="0"/>
        <w:rPr>
          <w:i w:val="0"/>
          <w:lang w:val="fr-FR" w:eastAsia="ja-JP"/>
        </w:rPr>
      </w:pPr>
    </w:p>
    <w:p w:rsidR="0059127D" w:rsidRPr="00E81E4C" w:rsidRDefault="00734BC9" w:rsidP="0098067A">
      <w:pPr>
        <w:pStyle w:val="DecisionParagraphs"/>
        <w:tabs>
          <w:tab w:val="clear" w:pos="5387"/>
          <w:tab w:val="clear" w:pos="5954"/>
        </w:tabs>
        <w:spacing w:after="240"/>
        <w:ind w:left="0"/>
        <w:rPr>
          <w:i w:val="0"/>
          <w:lang w:val="fr-FR"/>
        </w:rPr>
      </w:pPr>
      <w:r w:rsidRPr="00E81E4C">
        <w:rPr>
          <w:i w:val="0"/>
          <w:lang w:val="fr-FR"/>
        </w:rPr>
        <w:fldChar w:fldCharType="begin"/>
      </w:r>
      <w:r w:rsidRPr="00E81E4C">
        <w:rPr>
          <w:i w:val="0"/>
          <w:lang w:val="fr-FR"/>
        </w:rPr>
        <w:instrText xml:space="preserve"> AUTONUM  </w:instrText>
      </w:r>
      <w:r w:rsidRPr="00E81E4C">
        <w:rPr>
          <w:i w:val="0"/>
          <w:lang w:val="fr-FR"/>
        </w:rPr>
        <w:fldChar w:fldCharType="end"/>
      </w:r>
      <w:r w:rsidRPr="00E81E4C">
        <w:rPr>
          <w:i w:val="0"/>
          <w:lang w:val="fr-FR"/>
        </w:rPr>
        <w:tab/>
      </w:r>
      <w:r w:rsidR="00865855" w:rsidRPr="00E81E4C">
        <w:rPr>
          <w:i w:val="0"/>
          <w:lang w:val="fr-FR"/>
        </w:rPr>
        <w:t>Le CAJ note que le</w:t>
      </w:r>
      <w:r w:rsidR="003C1CF1" w:rsidRPr="00E81E4C">
        <w:rPr>
          <w:i w:val="0"/>
          <w:lang w:val="fr-FR"/>
        </w:rPr>
        <w:t> TC</w:t>
      </w:r>
      <w:r w:rsidR="00865855" w:rsidRPr="00E81E4C">
        <w:rPr>
          <w:i w:val="0"/>
          <w:lang w:val="fr-FR"/>
        </w:rPr>
        <w:t>, à sa cinquante</w:t>
      </w:r>
      <w:r w:rsidR="00F93994" w:rsidRPr="00E81E4C">
        <w:rPr>
          <w:i w:val="0"/>
          <w:lang w:val="fr-FR"/>
        </w:rPr>
        <w:noBreakHyphen/>
      </w:r>
      <w:r w:rsidR="000D5002" w:rsidRPr="00E81E4C">
        <w:rPr>
          <w:i w:val="0"/>
          <w:lang w:val="fr-FR"/>
        </w:rPr>
        <w:t>trois</w:t>
      </w:r>
      <w:r w:rsidR="003C1CF1" w:rsidRPr="00E81E4C">
        <w:rPr>
          <w:i w:val="0"/>
          <w:lang w:val="fr-FR"/>
        </w:rPr>
        <w:t>ième session</w:t>
      </w:r>
      <w:r w:rsidR="00865855" w:rsidRPr="00E81E4C">
        <w:rPr>
          <w:i w:val="0"/>
          <w:lang w:val="fr-FR"/>
        </w:rPr>
        <w:t>, a approuvé la possibilité d</w:t>
      </w:r>
      <w:r w:rsidR="003C1CF1" w:rsidRPr="00E81E4C">
        <w:rPr>
          <w:i w:val="0"/>
          <w:lang w:val="fr-FR"/>
        </w:rPr>
        <w:t>’</w:t>
      </w:r>
      <w:r w:rsidR="00865855" w:rsidRPr="00E81E4C">
        <w:rPr>
          <w:i w:val="0"/>
          <w:lang w:val="fr-FR"/>
        </w:rPr>
        <w:t>inclure</w:t>
      </w:r>
      <w:r w:rsidR="000A0F85" w:rsidRPr="00E81E4C">
        <w:rPr>
          <w:i w:val="0"/>
          <w:lang w:val="fr-FR"/>
        </w:rPr>
        <w:t>,</w:t>
      </w:r>
      <w:r w:rsidR="00865855" w:rsidRPr="00E81E4C">
        <w:rPr>
          <w:i w:val="0"/>
          <w:lang w:val="fr-FR"/>
        </w:rPr>
        <w:t xml:space="preserve"> dans les activités futures de collaboration entre l</w:t>
      </w:r>
      <w:r w:rsidR="003C1CF1" w:rsidRPr="00E81E4C">
        <w:rPr>
          <w:i w:val="0"/>
          <w:lang w:val="fr-FR"/>
        </w:rPr>
        <w:t>’</w:t>
      </w:r>
      <w:r w:rsidR="00865855" w:rsidRPr="00E81E4C">
        <w:rPr>
          <w:i w:val="0"/>
          <w:lang w:val="fr-FR"/>
        </w:rPr>
        <w:t>UPOV, l</w:t>
      </w:r>
      <w:r w:rsidR="003C1CF1" w:rsidRPr="00E81E4C">
        <w:rPr>
          <w:i w:val="0"/>
          <w:lang w:val="fr-FR"/>
        </w:rPr>
        <w:t>’</w:t>
      </w:r>
      <w:r w:rsidR="00865855" w:rsidRPr="00E81E4C">
        <w:rPr>
          <w:i w:val="0"/>
          <w:lang w:val="fr-FR"/>
        </w:rPr>
        <w:t>Organisation de coopération et de développement économiques (OCDE) et l</w:t>
      </w:r>
      <w:r w:rsidR="003C1CF1" w:rsidRPr="00E81E4C">
        <w:rPr>
          <w:i w:val="0"/>
          <w:lang w:val="fr-FR"/>
        </w:rPr>
        <w:t>’</w:t>
      </w:r>
      <w:r w:rsidR="00865855" w:rsidRPr="00E81E4C">
        <w:rPr>
          <w:i w:val="0"/>
          <w:lang w:val="fr-FR"/>
        </w:rPr>
        <w:t>Association internationale d</w:t>
      </w:r>
      <w:r w:rsidR="003C1CF1" w:rsidRPr="00E81E4C">
        <w:rPr>
          <w:i w:val="0"/>
          <w:lang w:val="fr-FR"/>
        </w:rPr>
        <w:t>’</w:t>
      </w:r>
      <w:r w:rsidR="00865855" w:rsidRPr="00E81E4C">
        <w:rPr>
          <w:i w:val="0"/>
          <w:lang w:val="fr-FR"/>
        </w:rPr>
        <w:t>essais de semences (ISTA)</w:t>
      </w:r>
      <w:r w:rsidR="000A0F85" w:rsidRPr="00E81E4C">
        <w:rPr>
          <w:i w:val="0"/>
          <w:lang w:val="fr-FR"/>
        </w:rPr>
        <w:t>,</w:t>
      </w:r>
      <w:r w:rsidR="00865855" w:rsidRPr="00E81E4C">
        <w:rPr>
          <w:i w:val="0"/>
          <w:lang w:val="fr-FR"/>
        </w:rPr>
        <w:t xml:space="preserve"> l</w:t>
      </w:r>
      <w:r w:rsidR="003C1CF1" w:rsidRPr="00E81E4C">
        <w:rPr>
          <w:i w:val="0"/>
          <w:lang w:val="fr-FR"/>
        </w:rPr>
        <w:t>’</w:t>
      </w:r>
      <w:r w:rsidR="00865855" w:rsidRPr="00E81E4C">
        <w:rPr>
          <w:i w:val="0"/>
          <w:lang w:val="fr-FR"/>
        </w:rPr>
        <w:t>harmonisation des conditions et méthodes appliquées pour les différentes plantes et l</w:t>
      </w:r>
      <w:r w:rsidR="003C1CF1" w:rsidRPr="00E81E4C">
        <w:rPr>
          <w:i w:val="0"/>
          <w:lang w:val="fr-FR"/>
        </w:rPr>
        <w:t>’</w:t>
      </w:r>
      <w:r w:rsidR="00865855" w:rsidRPr="00E81E4C">
        <w:rPr>
          <w:i w:val="0"/>
          <w:lang w:val="fr-FR"/>
        </w:rPr>
        <w:t>élaboration possible de normes, après obtention de l</w:t>
      </w:r>
      <w:r w:rsidR="003C1CF1" w:rsidRPr="00E81E4C">
        <w:rPr>
          <w:i w:val="0"/>
          <w:lang w:val="fr-FR"/>
        </w:rPr>
        <w:t>’</w:t>
      </w:r>
      <w:r w:rsidR="00865855" w:rsidRPr="00E81E4C">
        <w:rPr>
          <w:i w:val="0"/>
          <w:lang w:val="fr-FR"/>
        </w:rPr>
        <w:t>accord de ces organisations.</w:t>
      </w:r>
    </w:p>
    <w:p w:rsidR="0059127D" w:rsidRPr="00E81E4C" w:rsidRDefault="00734BC9" w:rsidP="0098067A">
      <w:pPr>
        <w:rPr>
          <w:i/>
          <w:lang w:val="fr-FR"/>
        </w:rPr>
      </w:pPr>
      <w:r w:rsidRPr="00E81E4C">
        <w:rPr>
          <w:i/>
          <w:lang w:val="fr-FR"/>
        </w:rPr>
        <w:fldChar w:fldCharType="begin"/>
      </w:r>
      <w:r w:rsidRPr="00E81E4C">
        <w:rPr>
          <w:lang w:val="fr-FR"/>
        </w:rPr>
        <w:instrText xml:space="preserve"> AUTONUM  </w:instrText>
      </w:r>
      <w:r w:rsidRPr="00E81E4C">
        <w:rPr>
          <w:i/>
          <w:lang w:val="fr-FR"/>
        </w:rPr>
        <w:fldChar w:fldCharType="end"/>
      </w:r>
      <w:r w:rsidRPr="00E81E4C">
        <w:rPr>
          <w:lang w:val="fr-FR"/>
        </w:rPr>
        <w:tab/>
      </w:r>
      <w:r w:rsidR="00D43A7C" w:rsidRPr="00E81E4C">
        <w:rPr>
          <w:lang w:val="fr-FR"/>
        </w:rPr>
        <w:t>Le CAJ note que le</w:t>
      </w:r>
      <w:r w:rsidR="003C1CF1" w:rsidRPr="00E81E4C">
        <w:rPr>
          <w:lang w:val="fr-FR"/>
        </w:rPr>
        <w:t> TC</w:t>
      </w:r>
      <w:r w:rsidR="00D43A7C" w:rsidRPr="00E81E4C">
        <w:rPr>
          <w:lang w:val="fr-FR"/>
        </w:rPr>
        <w:t xml:space="preserve"> est co</w:t>
      </w:r>
      <w:r w:rsidR="000D5002" w:rsidRPr="00E81E4C">
        <w:rPr>
          <w:lang w:val="fr-FR"/>
        </w:rPr>
        <w:t>nvenu que l</w:t>
      </w:r>
      <w:r w:rsidR="003C1CF1" w:rsidRPr="00E81E4C">
        <w:rPr>
          <w:lang w:val="fr-FR"/>
        </w:rPr>
        <w:t>’</w:t>
      </w:r>
      <w:r w:rsidR="000D5002" w:rsidRPr="00E81E4C">
        <w:rPr>
          <w:lang w:val="fr-FR"/>
        </w:rPr>
        <w:t>UPOV et l</w:t>
      </w:r>
      <w:r w:rsidR="003C1CF1" w:rsidRPr="00E81E4C">
        <w:rPr>
          <w:lang w:val="fr-FR"/>
        </w:rPr>
        <w:t>’</w:t>
      </w:r>
      <w:r w:rsidR="000D5002" w:rsidRPr="00E81E4C">
        <w:rPr>
          <w:lang w:val="fr-FR"/>
        </w:rPr>
        <w:t>OCDE devraie</w:t>
      </w:r>
      <w:r w:rsidR="00D43A7C" w:rsidRPr="00E81E4C">
        <w:rPr>
          <w:lang w:val="fr-FR"/>
        </w:rPr>
        <w:t>nt envisager de faire avancer les questions en collaboration si l</w:t>
      </w:r>
      <w:r w:rsidR="003C1CF1" w:rsidRPr="00E81E4C">
        <w:rPr>
          <w:lang w:val="fr-FR"/>
        </w:rPr>
        <w:t>’</w:t>
      </w:r>
      <w:r w:rsidR="00D43A7C" w:rsidRPr="00E81E4C">
        <w:rPr>
          <w:lang w:val="fr-FR"/>
        </w:rPr>
        <w:t>ISTA n</w:t>
      </w:r>
      <w:r w:rsidR="003C1CF1" w:rsidRPr="00E81E4C">
        <w:rPr>
          <w:lang w:val="fr-FR"/>
        </w:rPr>
        <w:t>’</w:t>
      </w:r>
      <w:r w:rsidR="000A0F85" w:rsidRPr="00E81E4C">
        <w:rPr>
          <w:lang w:val="fr-FR"/>
        </w:rPr>
        <w:t>est</w:t>
      </w:r>
      <w:r w:rsidR="00D43A7C" w:rsidRPr="00E81E4C">
        <w:rPr>
          <w:lang w:val="fr-FR"/>
        </w:rPr>
        <w:t xml:space="preserve"> plus en mesure de participer dans un futur proche.</w:t>
      </w:r>
    </w:p>
    <w:p w:rsidR="0059127D" w:rsidRPr="00E81E4C" w:rsidRDefault="0059127D" w:rsidP="00E81E4C">
      <w:pPr>
        <w:pStyle w:val="DecisionParagraphs"/>
        <w:tabs>
          <w:tab w:val="clear" w:pos="5387"/>
          <w:tab w:val="clear" w:pos="5954"/>
        </w:tabs>
        <w:ind w:left="0"/>
        <w:rPr>
          <w:i w:val="0"/>
          <w:lang w:val="fr-FR"/>
        </w:rPr>
      </w:pPr>
    </w:p>
    <w:p w:rsidR="0059127D" w:rsidRPr="00E81E4C" w:rsidRDefault="00734BC9" w:rsidP="00E81E4C">
      <w:pPr>
        <w:pStyle w:val="DecisionParagraphs"/>
        <w:tabs>
          <w:tab w:val="clear" w:pos="5387"/>
          <w:tab w:val="clear" w:pos="5954"/>
        </w:tabs>
        <w:ind w:left="0"/>
        <w:rPr>
          <w:i w:val="0"/>
          <w:lang w:val="fr-FR"/>
        </w:rPr>
      </w:pPr>
      <w:r w:rsidRPr="00E81E4C">
        <w:rPr>
          <w:i w:val="0"/>
          <w:lang w:val="fr-FR"/>
        </w:rPr>
        <w:fldChar w:fldCharType="begin"/>
      </w:r>
      <w:r w:rsidRPr="00E81E4C">
        <w:rPr>
          <w:i w:val="0"/>
          <w:lang w:val="fr-FR"/>
        </w:rPr>
        <w:instrText xml:space="preserve"> AUTONUM  </w:instrText>
      </w:r>
      <w:r w:rsidRPr="00E81E4C">
        <w:rPr>
          <w:i w:val="0"/>
          <w:lang w:val="fr-FR"/>
        </w:rPr>
        <w:fldChar w:fldCharType="end"/>
      </w:r>
      <w:r w:rsidRPr="00E81E4C">
        <w:rPr>
          <w:i w:val="0"/>
          <w:lang w:val="fr-FR"/>
        </w:rPr>
        <w:tab/>
      </w:r>
      <w:r w:rsidR="00D43A7C" w:rsidRPr="00E81E4C">
        <w:rPr>
          <w:i w:val="0"/>
          <w:lang w:val="fr-FR"/>
        </w:rPr>
        <w:t>Le CAJ note que le</w:t>
      </w:r>
      <w:r w:rsidR="003C1CF1" w:rsidRPr="00E81E4C">
        <w:rPr>
          <w:i w:val="0"/>
          <w:lang w:val="fr-FR"/>
        </w:rPr>
        <w:t> TC</w:t>
      </w:r>
      <w:r w:rsidR="00D43A7C" w:rsidRPr="00E81E4C">
        <w:rPr>
          <w:i w:val="0"/>
          <w:lang w:val="fr-FR"/>
        </w:rPr>
        <w:t xml:space="preserve"> est convenu de proposer que les réunions</w:t>
      </w:r>
      <w:r w:rsidR="00B83237" w:rsidRPr="00E81E4C">
        <w:rPr>
          <w:i w:val="0"/>
          <w:lang w:val="fr-FR"/>
        </w:rPr>
        <w:t xml:space="preserve"> du BMT</w:t>
      </w:r>
      <w:r w:rsidR="00D43A7C" w:rsidRPr="00E81E4C">
        <w:rPr>
          <w:i w:val="0"/>
          <w:lang w:val="fr-FR"/>
        </w:rPr>
        <w:t xml:space="preserve"> se tiennent chaque année et d</w:t>
      </w:r>
      <w:r w:rsidR="003C1CF1" w:rsidRPr="00E81E4C">
        <w:rPr>
          <w:i w:val="0"/>
          <w:lang w:val="fr-FR"/>
        </w:rPr>
        <w:t>’</w:t>
      </w:r>
      <w:r w:rsidR="00D43A7C" w:rsidRPr="00E81E4C">
        <w:rPr>
          <w:i w:val="0"/>
          <w:lang w:val="fr-FR"/>
        </w:rPr>
        <w:t>envisager l</w:t>
      </w:r>
      <w:r w:rsidR="003C1CF1" w:rsidRPr="00E81E4C">
        <w:rPr>
          <w:i w:val="0"/>
          <w:lang w:val="fr-FR"/>
        </w:rPr>
        <w:t>’</w:t>
      </w:r>
      <w:r w:rsidR="00D43A7C" w:rsidRPr="00E81E4C">
        <w:rPr>
          <w:i w:val="0"/>
          <w:lang w:val="fr-FR"/>
        </w:rPr>
        <w:t>organisation consécutive des sessions</w:t>
      </w:r>
      <w:r w:rsidR="00B83237" w:rsidRPr="00E81E4C">
        <w:rPr>
          <w:i w:val="0"/>
          <w:lang w:val="fr-FR"/>
        </w:rPr>
        <w:t xml:space="preserve"> du TWC</w:t>
      </w:r>
      <w:r w:rsidR="00D43A7C" w:rsidRPr="00E81E4C">
        <w:rPr>
          <w:i w:val="0"/>
          <w:lang w:val="fr-FR"/>
        </w:rPr>
        <w:t xml:space="preserve"> et</w:t>
      </w:r>
      <w:r w:rsidR="00B83237" w:rsidRPr="00E81E4C">
        <w:rPr>
          <w:i w:val="0"/>
          <w:lang w:val="fr-FR"/>
        </w:rPr>
        <w:t xml:space="preserve"> du BMT</w:t>
      </w:r>
      <w:r w:rsidR="00D43A7C" w:rsidRPr="00E81E4C">
        <w:rPr>
          <w:i w:val="0"/>
          <w:lang w:val="fr-FR"/>
        </w:rPr>
        <w:t xml:space="preserve"> dans la même localité afin de faciliter les échanges d</w:t>
      </w:r>
      <w:r w:rsidR="003C1CF1" w:rsidRPr="00E81E4C">
        <w:rPr>
          <w:i w:val="0"/>
          <w:lang w:val="fr-FR"/>
        </w:rPr>
        <w:t>’</w:t>
      </w:r>
      <w:r w:rsidR="00D43A7C" w:rsidRPr="00E81E4C">
        <w:rPr>
          <w:i w:val="0"/>
          <w:lang w:val="fr-FR"/>
        </w:rPr>
        <w:t>information.</w:t>
      </w:r>
    </w:p>
    <w:p w:rsidR="0059127D" w:rsidRPr="00E81E4C" w:rsidRDefault="0059127D" w:rsidP="00E81E4C">
      <w:pPr>
        <w:pStyle w:val="DecisionParagraphs"/>
        <w:tabs>
          <w:tab w:val="clear" w:pos="5387"/>
          <w:tab w:val="clear" w:pos="5954"/>
        </w:tabs>
        <w:ind w:left="0"/>
        <w:rPr>
          <w:i w:val="0"/>
          <w:lang w:val="fr-FR"/>
        </w:rPr>
      </w:pPr>
    </w:p>
    <w:p w:rsidR="0059127D" w:rsidRPr="00E81E4C" w:rsidRDefault="00734BC9" w:rsidP="00E81E4C">
      <w:pPr>
        <w:pStyle w:val="DecisionParagraphs"/>
        <w:keepLines/>
        <w:tabs>
          <w:tab w:val="clear" w:pos="5387"/>
          <w:tab w:val="clear" w:pos="5954"/>
        </w:tabs>
        <w:ind w:left="0"/>
        <w:rPr>
          <w:i w:val="0"/>
          <w:lang w:val="fr-FR"/>
        </w:rPr>
      </w:pPr>
      <w:r w:rsidRPr="00E81E4C">
        <w:rPr>
          <w:i w:val="0"/>
          <w:lang w:val="fr-FR"/>
        </w:rPr>
        <w:fldChar w:fldCharType="begin"/>
      </w:r>
      <w:r w:rsidRPr="00E81E4C">
        <w:rPr>
          <w:i w:val="0"/>
          <w:lang w:val="fr-FR"/>
        </w:rPr>
        <w:instrText xml:space="preserve"> AUTONUM  </w:instrText>
      </w:r>
      <w:r w:rsidRPr="00E81E4C">
        <w:rPr>
          <w:i w:val="0"/>
          <w:lang w:val="fr-FR"/>
        </w:rPr>
        <w:fldChar w:fldCharType="end"/>
      </w:r>
      <w:r w:rsidRPr="00E81E4C">
        <w:rPr>
          <w:i w:val="0"/>
          <w:lang w:val="fr-FR"/>
        </w:rPr>
        <w:tab/>
      </w:r>
      <w:r w:rsidR="00D43A7C" w:rsidRPr="00E81E4C">
        <w:rPr>
          <w:i w:val="0"/>
          <w:lang w:val="fr-FR"/>
        </w:rPr>
        <w:t>Le CAJ note que des ateliers pratiques sur les “Techniques d</w:t>
      </w:r>
      <w:r w:rsidR="003C1CF1" w:rsidRPr="00E81E4C">
        <w:rPr>
          <w:i w:val="0"/>
          <w:lang w:val="fr-FR"/>
        </w:rPr>
        <w:t>’</w:t>
      </w:r>
      <w:r w:rsidR="00D43A7C" w:rsidRPr="00E81E4C">
        <w:rPr>
          <w:i w:val="0"/>
          <w:lang w:val="fr-FR"/>
        </w:rPr>
        <w:t>analyse de l</w:t>
      </w:r>
      <w:r w:rsidR="003C1CF1" w:rsidRPr="00E81E4C">
        <w:rPr>
          <w:i w:val="0"/>
          <w:lang w:val="fr-FR"/>
        </w:rPr>
        <w:t>’</w:t>
      </w:r>
      <w:r w:rsidR="00D43A7C" w:rsidRPr="00E81E4C">
        <w:rPr>
          <w:i w:val="0"/>
          <w:lang w:val="fr-FR"/>
        </w:rPr>
        <w:t>ADN pour l</w:t>
      </w:r>
      <w:r w:rsidR="003C1CF1" w:rsidRPr="00E81E4C">
        <w:rPr>
          <w:i w:val="0"/>
          <w:lang w:val="fr-FR"/>
        </w:rPr>
        <w:t>’</w:t>
      </w:r>
      <w:r w:rsidR="00D43A7C" w:rsidRPr="00E81E4C">
        <w:rPr>
          <w:i w:val="0"/>
          <w:lang w:val="fr-FR"/>
        </w:rPr>
        <w:t xml:space="preserve">identification des variétés” ont </w:t>
      </w:r>
      <w:r w:rsidR="00CE1676" w:rsidRPr="00E81E4C">
        <w:rPr>
          <w:i w:val="0"/>
          <w:lang w:val="fr-FR"/>
        </w:rPr>
        <w:t xml:space="preserve">eu lieu </w:t>
      </w:r>
      <w:r w:rsidR="00D43A7C" w:rsidRPr="00E81E4C">
        <w:rPr>
          <w:i w:val="0"/>
          <w:lang w:val="fr-FR"/>
        </w:rPr>
        <w:t>à Roelofarendsveen (Pays</w:t>
      </w:r>
      <w:r w:rsidR="00F93994" w:rsidRPr="00E81E4C">
        <w:rPr>
          <w:i w:val="0"/>
          <w:lang w:val="fr-FR"/>
        </w:rPr>
        <w:noBreakHyphen/>
      </w:r>
      <w:r w:rsidR="00D43A7C" w:rsidRPr="00E81E4C">
        <w:rPr>
          <w:i w:val="0"/>
          <w:lang w:val="fr-FR"/>
        </w:rPr>
        <w:t>Bas) du 8 au 1</w:t>
      </w:r>
      <w:r w:rsidR="00B83237" w:rsidRPr="00E81E4C">
        <w:rPr>
          <w:i w:val="0"/>
          <w:lang w:val="fr-FR"/>
        </w:rPr>
        <w:t>0 mai 20</w:t>
      </w:r>
      <w:r w:rsidR="00D43A7C" w:rsidRPr="00E81E4C">
        <w:rPr>
          <w:i w:val="0"/>
          <w:lang w:val="fr-FR"/>
        </w:rPr>
        <w:t>17 et du 20 au 2</w:t>
      </w:r>
      <w:r w:rsidR="00B83237" w:rsidRPr="00E81E4C">
        <w:rPr>
          <w:i w:val="0"/>
          <w:lang w:val="fr-FR"/>
        </w:rPr>
        <w:t>2 septembre 20</w:t>
      </w:r>
      <w:r w:rsidR="00D43A7C" w:rsidRPr="00E81E4C">
        <w:rPr>
          <w:i w:val="0"/>
          <w:lang w:val="fr-FR"/>
        </w:rPr>
        <w:t>17.</w:t>
      </w:r>
    </w:p>
    <w:p w:rsidR="0059127D" w:rsidRPr="00E81E4C" w:rsidRDefault="0059127D" w:rsidP="00E81E4C">
      <w:pPr>
        <w:rPr>
          <w:kern w:val="28"/>
          <w:lang w:val="fr-FR"/>
        </w:rPr>
      </w:pPr>
    </w:p>
    <w:p w:rsidR="0059127D" w:rsidRPr="00E81E4C" w:rsidRDefault="0059127D" w:rsidP="00E81E4C">
      <w:pPr>
        <w:rPr>
          <w:kern w:val="28"/>
          <w:lang w:val="fr-FR"/>
        </w:rPr>
      </w:pPr>
    </w:p>
    <w:p w:rsidR="0059127D" w:rsidRPr="00E81E4C" w:rsidRDefault="00D43A7C" w:rsidP="00E81E4C">
      <w:pPr>
        <w:pStyle w:val="Heading2"/>
        <w:rPr>
          <w:lang w:val="fr-FR"/>
        </w:rPr>
      </w:pPr>
      <w:r w:rsidRPr="00E81E4C">
        <w:rPr>
          <w:lang w:val="fr-FR"/>
        </w:rPr>
        <w:t>Programme de la soixante</w:t>
      </w:r>
      <w:r w:rsidR="00F93994" w:rsidRPr="00E81E4C">
        <w:rPr>
          <w:lang w:val="fr-FR"/>
        </w:rPr>
        <w:noBreakHyphen/>
      </w:r>
      <w:r w:rsidRPr="00E81E4C">
        <w:rPr>
          <w:lang w:val="fr-FR"/>
        </w:rPr>
        <w:t>quinz</w:t>
      </w:r>
      <w:r w:rsidR="003C1CF1" w:rsidRPr="00E81E4C">
        <w:rPr>
          <w:lang w:val="fr-FR"/>
        </w:rPr>
        <w:t>ième session</w:t>
      </w:r>
    </w:p>
    <w:p w:rsidR="0059127D" w:rsidRPr="00E81E4C" w:rsidRDefault="0059127D" w:rsidP="00E81E4C">
      <w:pPr>
        <w:keepNext/>
        <w:tabs>
          <w:tab w:val="left" w:pos="567"/>
          <w:tab w:val="left" w:pos="851"/>
        </w:tabs>
        <w:rPr>
          <w:kern w:val="28"/>
          <w:highlight w:val="lightGray"/>
          <w:lang w:val="fr-FR"/>
        </w:rPr>
      </w:pPr>
    </w:p>
    <w:p w:rsidR="0059127D" w:rsidRPr="00E81E4C" w:rsidRDefault="005C7B4C" w:rsidP="00E81E4C">
      <w:pPr>
        <w:tabs>
          <w:tab w:val="left" w:pos="567"/>
          <w:tab w:val="left" w:pos="851"/>
        </w:tabs>
        <w:rPr>
          <w:kern w:val="28"/>
          <w:lang w:val="fr-FR"/>
        </w:rPr>
      </w:pPr>
      <w:r w:rsidRPr="00E81E4C">
        <w:rPr>
          <w:kern w:val="28"/>
          <w:lang w:val="fr-FR"/>
        </w:rPr>
        <w:fldChar w:fldCharType="begin"/>
      </w:r>
      <w:r w:rsidRPr="00E81E4C">
        <w:rPr>
          <w:kern w:val="28"/>
          <w:lang w:val="fr-FR"/>
        </w:rPr>
        <w:instrText xml:space="preserve"> AUTONUM  </w:instrText>
      </w:r>
      <w:r w:rsidRPr="00E81E4C">
        <w:rPr>
          <w:kern w:val="28"/>
          <w:lang w:val="fr-FR"/>
        </w:rPr>
        <w:fldChar w:fldCharType="end"/>
      </w:r>
      <w:r w:rsidRPr="00E81E4C">
        <w:rPr>
          <w:kern w:val="28"/>
          <w:lang w:val="fr-FR"/>
        </w:rPr>
        <w:tab/>
      </w:r>
      <w:r w:rsidR="00D43A7C" w:rsidRPr="00E81E4C">
        <w:rPr>
          <w:kern w:val="28"/>
          <w:lang w:val="fr-FR"/>
        </w:rPr>
        <w:t>En réponse à une suggestion de</w:t>
      </w:r>
      <w:r w:rsidR="00B83237" w:rsidRPr="00E81E4C">
        <w:rPr>
          <w:kern w:val="28"/>
          <w:lang w:val="fr-FR"/>
        </w:rPr>
        <w:t xml:space="preserve"> la CIO</w:t>
      </w:r>
      <w:r w:rsidR="00D43A7C" w:rsidRPr="00E81E4C">
        <w:rPr>
          <w:kern w:val="28"/>
          <w:lang w:val="fr-FR"/>
        </w:rPr>
        <w:t>PORA et de l</w:t>
      </w:r>
      <w:r w:rsidR="003C1CF1" w:rsidRPr="00E81E4C">
        <w:rPr>
          <w:kern w:val="28"/>
          <w:lang w:val="fr-FR"/>
        </w:rPr>
        <w:t>’</w:t>
      </w:r>
      <w:r w:rsidR="00D43A7C" w:rsidRPr="00E81E4C">
        <w:rPr>
          <w:kern w:val="28"/>
          <w:lang w:val="fr-FR"/>
        </w:rPr>
        <w:t>AIPH tendant à ce que</w:t>
      </w:r>
      <w:r w:rsidR="00B83237" w:rsidRPr="00E81E4C">
        <w:rPr>
          <w:kern w:val="28"/>
          <w:lang w:val="fr-FR"/>
        </w:rPr>
        <w:t xml:space="preserve"> le CAJ</w:t>
      </w:r>
      <w:r w:rsidR="00D43A7C" w:rsidRPr="00E81E4C">
        <w:rPr>
          <w:kern w:val="28"/>
          <w:lang w:val="fr-FR"/>
        </w:rPr>
        <w:t xml:space="preserve"> examine la question de l</w:t>
      </w:r>
      <w:r w:rsidR="003C1CF1" w:rsidRPr="00E81E4C">
        <w:rPr>
          <w:kern w:val="28"/>
          <w:lang w:val="fr-FR"/>
        </w:rPr>
        <w:t>’</w:t>
      </w:r>
      <w:r w:rsidR="00D43A7C" w:rsidRPr="00E81E4C">
        <w:rPr>
          <w:kern w:val="28"/>
          <w:lang w:val="fr-FR"/>
        </w:rPr>
        <w:t>écart minimal, le CAJ convient d</w:t>
      </w:r>
      <w:r w:rsidR="003C1CF1" w:rsidRPr="00E81E4C">
        <w:rPr>
          <w:kern w:val="28"/>
          <w:lang w:val="fr-FR"/>
        </w:rPr>
        <w:t>’</w:t>
      </w:r>
      <w:r w:rsidR="00D43A7C" w:rsidRPr="00E81E4C">
        <w:rPr>
          <w:kern w:val="28"/>
          <w:lang w:val="fr-FR"/>
        </w:rPr>
        <w:t>inviter</w:t>
      </w:r>
      <w:r w:rsidR="00B83237" w:rsidRPr="00E81E4C">
        <w:rPr>
          <w:kern w:val="28"/>
          <w:lang w:val="fr-FR"/>
        </w:rPr>
        <w:t xml:space="preserve"> la CIO</w:t>
      </w:r>
      <w:r w:rsidR="00D43A7C" w:rsidRPr="00E81E4C">
        <w:rPr>
          <w:kern w:val="28"/>
          <w:lang w:val="fr-FR"/>
        </w:rPr>
        <w:t>PORA et l</w:t>
      </w:r>
      <w:r w:rsidR="003C1CF1" w:rsidRPr="00E81E4C">
        <w:rPr>
          <w:kern w:val="28"/>
          <w:lang w:val="fr-FR"/>
        </w:rPr>
        <w:t>’</w:t>
      </w:r>
      <w:r w:rsidR="00D43A7C" w:rsidRPr="00E81E4C">
        <w:rPr>
          <w:kern w:val="28"/>
          <w:lang w:val="fr-FR"/>
        </w:rPr>
        <w:t>AIPH à présenter conjointement un exposé sur l</w:t>
      </w:r>
      <w:r w:rsidR="003C1CF1" w:rsidRPr="00E81E4C">
        <w:rPr>
          <w:kern w:val="28"/>
          <w:lang w:val="fr-FR"/>
        </w:rPr>
        <w:t>’</w:t>
      </w:r>
      <w:r w:rsidR="00D43A7C" w:rsidRPr="00E81E4C">
        <w:rPr>
          <w:kern w:val="28"/>
          <w:lang w:val="fr-FR"/>
        </w:rPr>
        <w:t>écart minimal à sa soixante</w:t>
      </w:r>
      <w:r w:rsidR="00F93994" w:rsidRPr="00E81E4C">
        <w:rPr>
          <w:kern w:val="28"/>
          <w:lang w:val="fr-FR"/>
        </w:rPr>
        <w:noBreakHyphen/>
      </w:r>
      <w:r w:rsidR="00D43A7C" w:rsidRPr="00E81E4C">
        <w:rPr>
          <w:kern w:val="28"/>
          <w:lang w:val="fr-FR"/>
        </w:rPr>
        <w:t>quinz</w:t>
      </w:r>
      <w:r w:rsidR="003C1CF1" w:rsidRPr="00E81E4C">
        <w:rPr>
          <w:kern w:val="28"/>
          <w:lang w:val="fr-FR"/>
        </w:rPr>
        <w:t>ième sessi</w:t>
      </w:r>
      <w:r w:rsidR="00485283" w:rsidRPr="00E81E4C">
        <w:rPr>
          <w:kern w:val="28"/>
          <w:lang w:val="fr-FR"/>
        </w:rPr>
        <w:t>on.  Le</w:t>
      </w:r>
      <w:r w:rsidR="00B83237" w:rsidRPr="00E81E4C">
        <w:rPr>
          <w:kern w:val="28"/>
          <w:lang w:val="fr-FR"/>
        </w:rPr>
        <w:t> CAJ</w:t>
      </w:r>
      <w:r w:rsidR="004E1FA4" w:rsidRPr="00E81E4C">
        <w:rPr>
          <w:kern w:val="28"/>
          <w:lang w:val="fr-FR"/>
        </w:rPr>
        <w:t xml:space="preserve"> note que la question a été examinée par le</w:t>
      </w:r>
      <w:r w:rsidR="003C1CF1" w:rsidRPr="00E81E4C">
        <w:rPr>
          <w:kern w:val="28"/>
          <w:lang w:val="fr-FR"/>
        </w:rPr>
        <w:t> TC</w:t>
      </w:r>
      <w:r w:rsidR="004E1FA4" w:rsidRPr="00E81E4C">
        <w:rPr>
          <w:kern w:val="28"/>
          <w:lang w:val="fr-FR"/>
        </w:rPr>
        <w:t xml:space="preserve"> et qu</w:t>
      </w:r>
      <w:r w:rsidR="003C1CF1" w:rsidRPr="00E81E4C">
        <w:rPr>
          <w:kern w:val="28"/>
          <w:lang w:val="fr-FR"/>
        </w:rPr>
        <w:t>’</w:t>
      </w:r>
      <w:r w:rsidR="004E1FA4" w:rsidRPr="00E81E4C">
        <w:rPr>
          <w:kern w:val="28"/>
          <w:lang w:val="fr-FR"/>
        </w:rPr>
        <w:t xml:space="preserve">un compte rendu des conclusions adoptées par </w:t>
      </w:r>
      <w:r w:rsidR="00CE1676" w:rsidRPr="00E81E4C">
        <w:rPr>
          <w:kern w:val="28"/>
          <w:lang w:val="fr-FR"/>
        </w:rPr>
        <w:t>celui</w:t>
      </w:r>
      <w:r w:rsidR="00F93994" w:rsidRPr="00E81E4C">
        <w:rPr>
          <w:kern w:val="28"/>
          <w:lang w:val="fr-FR"/>
        </w:rPr>
        <w:noBreakHyphen/>
      </w:r>
      <w:r w:rsidR="00CE1676" w:rsidRPr="00E81E4C">
        <w:rPr>
          <w:kern w:val="28"/>
          <w:lang w:val="fr-FR"/>
        </w:rPr>
        <w:t xml:space="preserve">ci </w:t>
      </w:r>
      <w:r w:rsidR="004E1FA4" w:rsidRPr="00E81E4C">
        <w:rPr>
          <w:kern w:val="28"/>
          <w:lang w:val="fr-FR"/>
        </w:rPr>
        <w:t xml:space="preserve">sera présenté au titre du </w:t>
      </w:r>
      <w:r w:rsidR="00B83237" w:rsidRPr="00E81E4C">
        <w:rPr>
          <w:kern w:val="28"/>
          <w:lang w:val="fr-FR"/>
        </w:rPr>
        <w:t>point 3</w:t>
      </w:r>
      <w:r w:rsidR="004E1FA4" w:rsidRPr="00E81E4C">
        <w:rPr>
          <w:kern w:val="28"/>
          <w:lang w:val="fr-FR"/>
        </w:rPr>
        <w:t xml:space="preserve"> de l</w:t>
      </w:r>
      <w:r w:rsidR="003C1CF1" w:rsidRPr="00E81E4C">
        <w:rPr>
          <w:kern w:val="28"/>
          <w:lang w:val="fr-FR"/>
        </w:rPr>
        <w:t>’</w:t>
      </w:r>
      <w:r w:rsidR="004E1FA4" w:rsidRPr="00E81E4C">
        <w:rPr>
          <w:kern w:val="28"/>
          <w:lang w:val="fr-FR"/>
        </w:rPr>
        <w:t>ordre du jour “Rapport sur les faits nouveaux intervenus au sein du Comité technique” à la soixante</w:t>
      </w:r>
      <w:r w:rsidR="00F93994" w:rsidRPr="00E81E4C">
        <w:rPr>
          <w:kern w:val="28"/>
          <w:lang w:val="fr-FR"/>
        </w:rPr>
        <w:noBreakHyphen/>
      </w:r>
      <w:r w:rsidR="004E1FA4" w:rsidRPr="00E81E4C">
        <w:rPr>
          <w:kern w:val="28"/>
          <w:lang w:val="fr-FR"/>
        </w:rPr>
        <w:t>quinz</w:t>
      </w:r>
      <w:r w:rsidR="003C1CF1" w:rsidRPr="00E81E4C">
        <w:rPr>
          <w:kern w:val="28"/>
          <w:lang w:val="fr-FR"/>
        </w:rPr>
        <w:t>ième session</w:t>
      </w:r>
      <w:r w:rsidR="00B83237" w:rsidRPr="00E81E4C">
        <w:rPr>
          <w:kern w:val="28"/>
          <w:lang w:val="fr-FR"/>
        </w:rPr>
        <w:t xml:space="preserve"> du CAJ</w:t>
      </w:r>
      <w:r w:rsidR="004E1FA4" w:rsidRPr="00E81E4C">
        <w:rPr>
          <w:kern w:val="28"/>
          <w:lang w:val="fr-FR"/>
        </w:rPr>
        <w:t>.</w:t>
      </w:r>
    </w:p>
    <w:p w:rsidR="0059127D" w:rsidRPr="00E81E4C" w:rsidRDefault="0059127D" w:rsidP="00E81E4C">
      <w:pPr>
        <w:keepNext/>
        <w:tabs>
          <w:tab w:val="left" w:pos="567"/>
          <w:tab w:val="left" w:pos="851"/>
        </w:tabs>
        <w:rPr>
          <w:kern w:val="28"/>
          <w:lang w:val="fr-FR"/>
        </w:rPr>
      </w:pPr>
    </w:p>
    <w:p w:rsidR="0059127D" w:rsidRPr="00E81E4C" w:rsidRDefault="00493FD0" w:rsidP="00E81E4C">
      <w:pPr>
        <w:keepNext/>
        <w:tabs>
          <w:tab w:val="left" w:pos="567"/>
          <w:tab w:val="left" w:pos="851"/>
        </w:tabs>
        <w:rPr>
          <w:kern w:val="28"/>
          <w:lang w:val="fr-FR"/>
        </w:rPr>
      </w:pPr>
      <w:r w:rsidRPr="00E81E4C">
        <w:rPr>
          <w:kern w:val="28"/>
          <w:lang w:val="fr-FR"/>
        </w:rPr>
        <w:fldChar w:fldCharType="begin"/>
      </w:r>
      <w:r w:rsidRPr="00E81E4C">
        <w:rPr>
          <w:kern w:val="28"/>
          <w:lang w:val="fr-FR"/>
        </w:rPr>
        <w:instrText xml:space="preserve"> AUTONUM  </w:instrText>
      </w:r>
      <w:r w:rsidRPr="00E81E4C">
        <w:rPr>
          <w:kern w:val="28"/>
          <w:lang w:val="fr-FR"/>
        </w:rPr>
        <w:fldChar w:fldCharType="end"/>
      </w:r>
      <w:r w:rsidRPr="00E81E4C">
        <w:rPr>
          <w:kern w:val="28"/>
          <w:lang w:val="fr-FR"/>
        </w:rPr>
        <w:tab/>
      </w:r>
      <w:r w:rsidR="004E1FA4" w:rsidRPr="00E81E4C">
        <w:rPr>
          <w:kern w:val="28"/>
          <w:lang w:val="fr-FR"/>
        </w:rPr>
        <w:t>Le CAJ appro</w:t>
      </w:r>
      <w:r w:rsidR="00CE1676" w:rsidRPr="00E81E4C">
        <w:rPr>
          <w:kern w:val="28"/>
          <w:lang w:val="fr-FR"/>
        </w:rPr>
        <w:t>uve le programme ci</w:t>
      </w:r>
      <w:r w:rsidR="00F93994" w:rsidRPr="00E81E4C">
        <w:rPr>
          <w:kern w:val="28"/>
          <w:lang w:val="fr-FR"/>
        </w:rPr>
        <w:noBreakHyphen/>
      </w:r>
      <w:r w:rsidR="00CE1676" w:rsidRPr="00E81E4C">
        <w:rPr>
          <w:kern w:val="28"/>
          <w:lang w:val="fr-FR"/>
        </w:rPr>
        <w:t>après pour s</w:t>
      </w:r>
      <w:r w:rsidR="004E1FA4" w:rsidRPr="00E81E4C">
        <w:rPr>
          <w:kern w:val="28"/>
          <w:lang w:val="fr-FR"/>
        </w:rPr>
        <w:t>a soixante</w:t>
      </w:r>
      <w:r w:rsidR="00F93994" w:rsidRPr="00E81E4C">
        <w:rPr>
          <w:kern w:val="28"/>
          <w:lang w:val="fr-FR"/>
        </w:rPr>
        <w:noBreakHyphen/>
      </w:r>
      <w:r w:rsidR="004E1FA4" w:rsidRPr="00E81E4C">
        <w:rPr>
          <w:kern w:val="28"/>
          <w:lang w:val="fr-FR"/>
        </w:rPr>
        <w:t>quinz</w:t>
      </w:r>
      <w:r w:rsidR="003C1CF1" w:rsidRPr="00E81E4C">
        <w:rPr>
          <w:kern w:val="28"/>
          <w:lang w:val="fr-FR"/>
        </w:rPr>
        <w:t>ième session</w:t>
      </w:r>
      <w:r w:rsidR="004E1FA4" w:rsidRPr="00E81E4C">
        <w:rPr>
          <w:kern w:val="28"/>
          <w:lang w:val="fr-FR"/>
        </w:rPr>
        <w:t xml:space="preserve"> prévue </w:t>
      </w:r>
      <w:r w:rsidR="00B83237" w:rsidRPr="00E81E4C">
        <w:rPr>
          <w:kern w:val="28"/>
          <w:lang w:val="fr-FR"/>
        </w:rPr>
        <w:t>en 2018</w:t>
      </w:r>
      <w:r w:rsidR="003C1CF1" w:rsidRPr="00E81E4C">
        <w:rPr>
          <w:kern w:val="28"/>
          <w:lang w:val="fr-FR"/>
        </w:rPr>
        <w:t> :</w:t>
      </w:r>
    </w:p>
    <w:p w:rsidR="0059127D" w:rsidRPr="00E81E4C" w:rsidRDefault="0059127D" w:rsidP="00E81E4C">
      <w:pPr>
        <w:keepNext/>
        <w:tabs>
          <w:tab w:val="left" w:pos="567"/>
          <w:tab w:val="left" w:pos="851"/>
        </w:tabs>
        <w:rPr>
          <w:kern w:val="28"/>
          <w:highlight w:val="lightGray"/>
          <w:lang w:val="fr-FR"/>
        </w:rPr>
      </w:pPr>
    </w:p>
    <w:p w:rsidR="0098067A" w:rsidRDefault="004E1FA4" w:rsidP="0098067A">
      <w:pPr>
        <w:keepNext/>
        <w:spacing w:after="200"/>
        <w:ind w:left="567"/>
        <w:rPr>
          <w:kern w:val="28"/>
          <w:lang w:val="fr-FR"/>
        </w:rPr>
      </w:pPr>
      <w:r w:rsidRPr="00E81E4C">
        <w:rPr>
          <w:kern w:val="28"/>
          <w:lang w:val="fr-FR"/>
        </w:rPr>
        <w:t>1.</w:t>
      </w:r>
      <w:r w:rsidRPr="00E81E4C">
        <w:rPr>
          <w:kern w:val="28"/>
          <w:lang w:val="fr-FR"/>
        </w:rPr>
        <w:tab/>
        <w:t>Ouverture de la session</w:t>
      </w:r>
    </w:p>
    <w:p w:rsidR="0098067A" w:rsidRDefault="004E1FA4" w:rsidP="0098067A">
      <w:pPr>
        <w:spacing w:after="200"/>
        <w:ind w:left="567"/>
        <w:rPr>
          <w:kern w:val="28"/>
          <w:lang w:val="fr-FR"/>
        </w:rPr>
      </w:pPr>
      <w:r w:rsidRPr="00E81E4C">
        <w:rPr>
          <w:kern w:val="28"/>
          <w:lang w:val="fr-FR"/>
        </w:rPr>
        <w:t>2.</w:t>
      </w:r>
      <w:r w:rsidRPr="00E81E4C">
        <w:rPr>
          <w:kern w:val="28"/>
          <w:lang w:val="fr-FR"/>
        </w:rPr>
        <w:tab/>
        <w:t>Adoption de l</w:t>
      </w:r>
      <w:r w:rsidR="003C1CF1" w:rsidRPr="00E81E4C">
        <w:rPr>
          <w:kern w:val="28"/>
          <w:lang w:val="fr-FR"/>
        </w:rPr>
        <w:t>’</w:t>
      </w:r>
      <w:r w:rsidRPr="00E81E4C">
        <w:rPr>
          <w:kern w:val="28"/>
          <w:lang w:val="fr-FR"/>
        </w:rPr>
        <w:t>ordre du jour</w:t>
      </w:r>
    </w:p>
    <w:p w:rsidR="0098067A" w:rsidRDefault="004E1FA4" w:rsidP="0098067A">
      <w:pPr>
        <w:spacing w:after="200"/>
        <w:ind w:left="567"/>
        <w:rPr>
          <w:kern w:val="28"/>
          <w:lang w:val="fr-FR"/>
        </w:rPr>
      </w:pPr>
      <w:r w:rsidRPr="00E81E4C">
        <w:rPr>
          <w:kern w:val="28"/>
          <w:lang w:val="fr-FR"/>
        </w:rPr>
        <w:t>3.</w:t>
      </w:r>
      <w:r w:rsidRPr="00E81E4C">
        <w:rPr>
          <w:kern w:val="28"/>
          <w:lang w:val="fr-FR"/>
        </w:rPr>
        <w:tab/>
        <w:t>Rapport sur les faits nouveaux intervenus au sein du Comité technique</w:t>
      </w:r>
    </w:p>
    <w:p w:rsidR="0098067A" w:rsidRDefault="004E1FA4" w:rsidP="0098067A">
      <w:pPr>
        <w:spacing w:after="200"/>
        <w:ind w:left="567"/>
        <w:rPr>
          <w:kern w:val="28"/>
          <w:lang w:val="fr-FR"/>
        </w:rPr>
      </w:pPr>
      <w:r w:rsidRPr="00E81E4C">
        <w:rPr>
          <w:kern w:val="28"/>
          <w:lang w:val="fr-FR"/>
        </w:rPr>
        <w:t>4.</w:t>
      </w:r>
      <w:r w:rsidRPr="00E81E4C">
        <w:rPr>
          <w:kern w:val="28"/>
          <w:lang w:val="fr-FR"/>
        </w:rPr>
        <w:tab/>
        <w:t>Documents TGP</w:t>
      </w:r>
    </w:p>
    <w:p w:rsidR="0098067A" w:rsidRDefault="004E1FA4" w:rsidP="0098067A">
      <w:pPr>
        <w:spacing w:after="200"/>
        <w:ind w:left="567"/>
        <w:rPr>
          <w:kern w:val="28"/>
          <w:lang w:val="fr-FR"/>
        </w:rPr>
      </w:pPr>
      <w:r w:rsidRPr="00E81E4C">
        <w:rPr>
          <w:lang w:val="fr-FR"/>
        </w:rPr>
        <w:t>5.</w:t>
      </w:r>
      <w:r w:rsidRPr="00E81E4C">
        <w:rPr>
          <w:lang w:val="fr-FR"/>
        </w:rPr>
        <w:tab/>
        <w:t>Variétés essentiellement dérivées</w:t>
      </w:r>
    </w:p>
    <w:p w:rsidR="0098067A" w:rsidRDefault="004E1FA4" w:rsidP="0098067A">
      <w:pPr>
        <w:spacing w:after="200"/>
        <w:ind w:left="1134" w:hanging="567"/>
        <w:rPr>
          <w:lang w:val="fr-FR"/>
        </w:rPr>
      </w:pPr>
      <w:r w:rsidRPr="00E81E4C">
        <w:rPr>
          <w:lang w:val="fr-FR"/>
        </w:rPr>
        <w:t>6.</w:t>
      </w:r>
      <w:r w:rsidRPr="00E81E4C">
        <w:rPr>
          <w:lang w:val="fr-FR"/>
        </w:rPr>
        <w:tab/>
        <w:t>Conditions et limitations relatives à l</w:t>
      </w:r>
      <w:r w:rsidR="003C1CF1" w:rsidRPr="00E81E4C">
        <w:rPr>
          <w:lang w:val="fr-FR"/>
        </w:rPr>
        <w:t>’</w:t>
      </w:r>
      <w:r w:rsidRPr="00E81E4C">
        <w:rPr>
          <w:lang w:val="fr-FR"/>
        </w:rPr>
        <w:t>autorisation de l</w:t>
      </w:r>
      <w:r w:rsidR="003C1CF1" w:rsidRPr="00E81E4C">
        <w:rPr>
          <w:lang w:val="fr-FR"/>
        </w:rPr>
        <w:t>’</w:t>
      </w:r>
      <w:r w:rsidRPr="00E81E4C">
        <w:rPr>
          <w:lang w:val="fr-FR"/>
        </w:rPr>
        <w:t xml:space="preserve">obtenteur </w:t>
      </w:r>
      <w:r w:rsidR="003C1CF1" w:rsidRPr="00E81E4C">
        <w:rPr>
          <w:lang w:val="fr-FR"/>
        </w:rPr>
        <w:t>à l’égard</w:t>
      </w:r>
      <w:r w:rsidRPr="00E81E4C">
        <w:rPr>
          <w:lang w:val="fr-FR"/>
        </w:rPr>
        <w:t xml:space="preserve"> du matériel de reproduction ou de multiplication</w:t>
      </w:r>
    </w:p>
    <w:p w:rsidR="0098067A" w:rsidRDefault="00725812" w:rsidP="0098067A">
      <w:pPr>
        <w:spacing w:after="200"/>
        <w:ind w:firstLine="567"/>
        <w:rPr>
          <w:lang w:val="fr-FR"/>
        </w:rPr>
      </w:pPr>
      <w:r w:rsidRPr="00E81E4C">
        <w:rPr>
          <w:lang w:val="fr-FR"/>
        </w:rPr>
        <w:t>7.</w:t>
      </w:r>
      <w:r w:rsidRPr="00E81E4C">
        <w:rPr>
          <w:lang w:val="fr-FR"/>
        </w:rPr>
        <w:tab/>
        <w:t>Protection provisoire</w:t>
      </w:r>
    </w:p>
    <w:p w:rsidR="0098067A" w:rsidRDefault="00725812" w:rsidP="0098067A">
      <w:pPr>
        <w:spacing w:after="120"/>
        <w:ind w:left="567"/>
        <w:rPr>
          <w:kern w:val="28"/>
          <w:lang w:val="fr-FR"/>
        </w:rPr>
      </w:pPr>
      <w:r w:rsidRPr="00E81E4C">
        <w:rPr>
          <w:kern w:val="28"/>
          <w:lang w:val="fr-FR"/>
        </w:rPr>
        <w:t>8.</w:t>
      </w:r>
      <w:r w:rsidRPr="00E81E4C">
        <w:rPr>
          <w:kern w:val="28"/>
          <w:lang w:val="fr-FR"/>
        </w:rPr>
        <w:tab/>
        <w:t>Élaboration de matériel d</w:t>
      </w:r>
      <w:r w:rsidR="003C1CF1" w:rsidRPr="00E81E4C">
        <w:rPr>
          <w:kern w:val="28"/>
          <w:lang w:val="fr-FR"/>
        </w:rPr>
        <w:t>’</w:t>
      </w:r>
      <w:r w:rsidRPr="00E81E4C">
        <w:rPr>
          <w:kern w:val="28"/>
          <w:lang w:val="fr-FR"/>
        </w:rPr>
        <w:t xml:space="preserve">information concernant la </w:t>
      </w:r>
      <w:r w:rsidR="003C1CF1" w:rsidRPr="00E81E4C">
        <w:rPr>
          <w:kern w:val="28"/>
          <w:lang w:val="fr-FR"/>
        </w:rPr>
        <w:t>Convention UPOV</w:t>
      </w:r>
    </w:p>
    <w:p w:rsidR="0098067A" w:rsidRDefault="00725812" w:rsidP="0098067A">
      <w:pPr>
        <w:pStyle w:val="ListParagraph"/>
        <w:numPr>
          <w:ilvl w:val="0"/>
          <w:numId w:val="3"/>
        </w:numPr>
        <w:spacing w:after="200"/>
        <w:ind w:left="1418" w:hanging="284"/>
        <w:rPr>
          <w:lang w:val="fr-FR"/>
        </w:rPr>
      </w:pPr>
      <w:r w:rsidRPr="00E81E4C">
        <w:rPr>
          <w:lang w:val="fr-FR"/>
        </w:rPr>
        <w:t>Bulletin type de l</w:t>
      </w:r>
      <w:r w:rsidR="003C1CF1" w:rsidRPr="00E81E4C">
        <w:rPr>
          <w:lang w:val="fr-FR"/>
        </w:rPr>
        <w:t>’</w:t>
      </w:r>
      <w:r w:rsidRPr="00E81E4C">
        <w:rPr>
          <w:lang w:val="fr-FR"/>
        </w:rPr>
        <w:t>UPOV de la protection des obtentions végétales (révision)</w:t>
      </w:r>
    </w:p>
    <w:p w:rsidR="0098067A" w:rsidRDefault="00725812" w:rsidP="0098067A">
      <w:pPr>
        <w:spacing w:after="200"/>
        <w:ind w:left="567"/>
        <w:rPr>
          <w:kern w:val="28"/>
          <w:lang w:val="fr-FR"/>
        </w:rPr>
      </w:pPr>
      <w:r w:rsidRPr="00E81E4C">
        <w:rPr>
          <w:kern w:val="28"/>
          <w:lang w:val="fr-FR"/>
        </w:rPr>
        <w:t>9.</w:t>
      </w:r>
      <w:r w:rsidRPr="00E81E4C">
        <w:rPr>
          <w:kern w:val="28"/>
          <w:lang w:val="fr-FR"/>
        </w:rPr>
        <w:tab/>
        <w:t>Dénominations variétales</w:t>
      </w:r>
    </w:p>
    <w:p w:rsidR="0098067A" w:rsidRDefault="00725812" w:rsidP="0098067A">
      <w:pPr>
        <w:spacing w:after="120"/>
        <w:ind w:left="567"/>
        <w:rPr>
          <w:kern w:val="28"/>
          <w:lang w:val="fr-FR"/>
        </w:rPr>
      </w:pPr>
      <w:r w:rsidRPr="00E81E4C">
        <w:rPr>
          <w:kern w:val="28"/>
          <w:lang w:val="fr-FR"/>
        </w:rPr>
        <w:t>10.</w:t>
      </w:r>
      <w:r w:rsidRPr="00E81E4C">
        <w:rPr>
          <w:kern w:val="28"/>
          <w:lang w:val="fr-FR"/>
        </w:rPr>
        <w:tab/>
        <w:t>Informations et bases de données</w:t>
      </w:r>
    </w:p>
    <w:p w:rsidR="0098067A" w:rsidRDefault="00725812" w:rsidP="0098067A">
      <w:pPr>
        <w:spacing w:after="120"/>
        <w:ind w:left="1134"/>
        <w:rPr>
          <w:kern w:val="28"/>
          <w:lang w:val="fr-FR"/>
        </w:rPr>
      </w:pPr>
      <w:r w:rsidRPr="00E81E4C">
        <w:rPr>
          <w:kern w:val="28"/>
          <w:lang w:val="fr-FR"/>
        </w:rPr>
        <w:t>a)</w:t>
      </w:r>
      <w:r w:rsidRPr="00E81E4C">
        <w:rPr>
          <w:kern w:val="28"/>
          <w:lang w:val="fr-FR"/>
        </w:rPr>
        <w:tab/>
        <w:t>Formulaire de dépôt électronique des demandes</w:t>
      </w:r>
    </w:p>
    <w:p w:rsidR="0098067A" w:rsidRDefault="00725812" w:rsidP="0098067A">
      <w:pPr>
        <w:spacing w:after="120"/>
        <w:ind w:left="1134"/>
        <w:rPr>
          <w:kern w:val="28"/>
          <w:lang w:val="fr-FR"/>
        </w:rPr>
      </w:pPr>
      <w:r w:rsidRPr="00E81E4C">
        <w:rPr>
          <w:kern w:val="28"/>
          <w:lang w:val="fr-FR"/>
        </w:rPr>
        <w:t>b)</w:t>
      </w:r>
      <w:r w:rsidRPr="00E81E4C">
        <w:rPr>
          <w:kern w:val="28"/>
          <w:lang w:val="fr-FR"/>
        </w:rPr>
        <w:tab/>
        <w:t>Bases de données d</w:t>
      </w:r>
      <w:r w:rsidR="003C1CF1" w:rsidRPr="00E81E4C">
        <w:rPr>
          <w:kern w:val="28"/>
          <w:lang w:val="fr-FR"/>
        </w:rPr>
        <w:t>’</w:t>
      </w:r>
      <w:r w:rsidRPr="00E81E4C">
        <w:rPr>
          <w:kern w:val="28"/>
          <w:lang w:val="fr-FR"/>
        </w:rPr>
        <w:t>information de l</w:t>
      </w:r>
      <w:r w:rsidR="003C1CF1" w:rsidRPr="00E81E4C">
        <w:rPr>
          <w:kern w:val="28"/>
          <w:lang w:val="fr-FR"/>
        </w:rPr>
        <w:t>’</w:t>
      </w:r>
      <w:r w:rsidRPr="00E81E4C">
        <w:rPr>
          <w:kern w:val="28"/>
          <w:lang w:val="fr-FR"/>
        </w:rPr>
        <w:t>UPOV</w:t>
      </w:r>
    </w:p>
    <w:p w:rsidR="0098067A" w:rsidRDefault="00725812" w:rsidP="0098067A">
      <w:pPr>
        <w:spacing w:after="200"/>
        <w:ind w:left="1134"/>
        <w:rPr>
          <w:kern w:val="28"/>
          <w:lang w:val="fr-FR"/>
        </w:rPr>
      </w:pPr>
      <w:r w:rsidRPr="00E81E4C">
        <w:rPr>
          <w:kern w:val="28"/>
          <w:lang w:val="fr-FR"/>
        </w:rPr>
        <w:t>c)</w:t>
      </w:r>
      <w:r w:rsidRPr="00E81E4C">
        <w:rPr>
          <w:kern w:val="28"/>
          <w:lang w:val="fr-FR"/>
        </w:rPr>
        <w:tab/>
        <w:t>Échange et utilisation de logiciels et d</w:t>
      </w:r>
      <w:r w:rsidR="003C1CF1" w:rsidRPr="00E81E4C">
        <w:rPr>
          <w:kern w:val="28"/>
          <w:lang w:val="fr-FR"/>
        </w:rPr>
        <w:t>’</w:t>
      </w:r>
      <w:r w:rsidRPr="00E81E4C">
        <w:rPr>
          <w:kern w:val="28"/>
          <w:lang w:val="fr-FR"/>
        </w:rPr>
        <w:t>équipements</w:t>
      </w:r>
    </w:p>
    <w:p w:rsidR="0098067A" w:rsidRDefault="00725812" w:rsidP="0098067A">
      <w:pPr>
        <w:spacing w:after="200"/>
        <w:ind w:left="567"/>
        <w:rPr>
          <w:kern w:val="28"/>
          <w:lang w:val="fr-FR"/>
        </w:rPr>
      </w:pPr>
      <w:r w:rsidRPr="00E81E4C">
        <w:rPr>
          <w:kern w:val="28"/>
          <w:lang w:val="fr-FR"/>
        </w:rPr>
        <w:t>11.</w:t>
      </w:r>
      <w:r w:rsidRPr="00E81E4C">
        <w:rPr>
          <w:kern w:val="28"/>
          <w:lang w:val="fr-FR"/>
        </w:rPr>
        <w:tab/>
        <w:t>Techniques moléculaires</w:t>
      </w:r>
    </w:p>
    <w:p w:rsidR="0098067A" w:rsidRDefault="00725812" w:rsidP="0098067A">
      <w:pPr>
        <w:spacing w:after="200"/>
        <w:ind w:left="567"/>
        <w:rPr>
          <w:kern w:val="28"/>
          <w:lang w:val="fr-FR"/>
        </w:rPr>
      </w:pPr>
      <w:r w:rsidRPr="00E81E4C">
        <w:rPr>
          <w:kern w:val="28"/>
          <w:lang w:val="fr-FR"/>
        </w:rPr>
        <w:t>12.</w:t>
      </w:r>
      <w:r w:rsidRPr="00E81E4C">
        <w:rPr>
          <w:kern w:val="28"/>
          <w:lang w:val="fr-FR"/>
        </w:rPr>
        <w:tab/>
        <w:t>Écart minimal</w:t>
      </w:r>
    </w:p>
    <w:p w:rsidR="0098067A" w:rsidRDefault="00725812" w:rsidP="0098067A">
      <w:pPr>
        <w:spacing w:after="200"/>
        <w:ind w:left="567"/>
        <w:rPr>
          <w:kern w:val="28"/>
          <w:lang w:val="fr-FR"/>
        </w:rPr>
      </w:pPr>
      <w:r w:rsidRPr="00E81E4C">
        <w:rPr>
          <w:kern w:val="28"/>
          <w:lang w:val="fr-FR"/>
        </w:rPr>
        <w:t>13.</w:t>
      </w:r>
      <w:r w:rsidRPr="00E81E4C">
        <w:rPr>
          <w:kern w:val="28"/>
          <w:lang w:val="fr-FR"/>
        </w:rPr>
        <w:tab/>
        <w:t>Programme de la soixante</w:t>
      </w:r>
      <w:r w:rsidR="00F93994" w:rsidRPr="00E81E4C">
        <w:rPr>
          <w:kern w:val="28"/>
          <w:lang w:val="fr-FR"/>
        </w:rPr>
        <w:noBreakHyphen/>
      </w:r>
      <w:r w:rsidRPr="00E81E4C">
        <w:rPr>
          <w:kern w:val="28"/>
          <w:lang w:val="fr-FR"/>
        </w:rPr>
        <w:t>seiz</w:t>
      </w:r>
      <w:r w:rsidR="003C1CF1" w:rsidRPr="00E81E4C">
        <w:rPr>
          <w:kern w:val="28"/>
          <w:lang w:val="fr-FR"/>
        </w:rPr>
        <w:t>ième session</w:t>
      </w:r>
    </w:p>
    <w:p w:rsidR="0098067A" w:rsidRDefault="00725812" w:rsidP="0098067A">
      <w:pPr>
        <w:spacing w:after="200"/>
        <w:ind w:left="567"/>
        <w:rPr>
          <w:kern w:val="28"/>
          <w:lang w:val="fr-FR"/>
        </w:rPr>
      </w:pPr>
      <w:r w:rsidRPr="00E81E4C">
        <w:rPr>
          <w:kern w:val="28"/>
          <w:lang w:val="fr-FR"/>
        </w:rPr>
        <w:t>14.</w:t>
      </w:r>
      <w:r w:rsidRPr="00E81E4C">
        <w:rPr>
          <w:kern w:val="28"/>
          <w:lang w:val="fr-FR"/>
        </w:rPr>
        <w:tab/>
        <w:t>Adoption du compte rendu des conclusions (selon le temps disponible)</w:t>
      </w:r>
    </w:p>
    <w:p w:rsidR="0059127D" w:rsidRPr="00E81E4C" w:rsidRDefault="00725812" w:rsidP="00E81E4C">
      <w:pPr>
        <w:ind w:left="567"/>
        <w:rPr>
          <w:kern w:val="28"/>
          <w:lang w:val="fr-FR"/>
        </w:rPr>
      </w:pPr>
      <w:r w:rsidRPr="00E81E4C">
        <w:rPr>
          <w:kern w:val="28"/>
          <w:lang w:val="fr-FR"/>
        </w:rPr>
        <w:t>15.</w:t>
      </w:r>
      <w:r w:rsidRPr="00E81E4C">
        <w:rPr>
          <w:kern w:val="28"/>
          <w:lang w:val="fr-FR"/>
        </w:rPr>
        <w:tab/>
        <w:t>Clôture de la session</w:t>
      </w:r>
    </w:p>
    <w:p w:rsidR="0059127D" w:rsidRPr="00E81E4C" w:rsidRDefault="0059127D" w:rsidP="00E81E4C">
      <w:pPr>
        <w:rPr>
          <w:lang w:val="fr-FR"/>
        </w:rPr>
      </w:pPr>
    </w:p>
    <w:p w:rsidR="0059127D" w:rsidRDefault="00B969C9" w:rsidP="0098067A">
      <w:pPr>
        <w:tabs>
          <w:tab w:val="left" w:pos="5387"/>
        </w:tabs>
        <w:ind w:left="4820"/>
        <w:rPr>
          <w:lang w:val="fr-FR"/>
        </w:rPr>
      </w:pPr>
      <w:r w:rsidRPr="00E81E4C">
        <w:rPr>
          <w:i/>
          <w:lang w:val="fr-FR"/>
        </w:rPr>
        <w:fldChar w:fldCharType="begin"/>
      </w:r>
      <w:r w:rsidRPr="00E81E4C">
        <w:rPr>
          <w:i/>
          <w:lang w:val="fr-FR"/>
        </w:rPr>
        <w:instrText xml:space="preserve"> AUTONUM  </w:instrText>
      </w:r>
      <w:r w:rsidRPr="00E81E4C">
        <w:rPr>
          <w:i/>
          <w:lang w:val="fr-FR"/>
        </w:rPr>
        <w:fldChar w:fldCharType="end"/>
      </w:r>
      <w:r w:rsidRPr="00E81E4C">
        <w:rPr>
          <w:i/>
          <w:lang w:val="fr-FR"/>
        </w:rPr>
        <w:tab/>
      </w:r>
      <w:r w:rsidR="00725812" w:rsidRPr="00E81E4C">
        <w:rPr>
          <w:i/>
          <w:lang w:val="fr-FR"/>
        </w:rPr>
        <w:t xml:space="preserve">Le CAJ </w:t>
      </w:r>
      <w:r w:rsidR="0098067A">
        <w:rPr>
          <w:i/>
          <w:lang w:val="fr-FR"/>
        </w:rPr>
        <w:t>adopte</w:t>
      </w:r>
      <w:r w:rsidR="00725812" w:rsidRPr="00E81E4C">
        <w:rPr>
          <w:i/>
          <w:lang w:val="fr-FR"/>
        </w:rPr>
        <w:t xml:space="preserve"> le présent compte rendu à la clôture de sa session le 2</w:t>
      </w:r>
      <w:r w:rsidR="00B83237" w:rsidRPr="00E81E4C">
        <w:rPr>
          <w:i/>
          <w:lang w:val="fr-FR"/>
        </w:rPr>
        <w:t>4 octobre 20</w:t>
      </w:r>
      <w:r w:rsidR="00725812" w:rsidRPr="00E81E4C">
        <w:rPr>
          <w:i/>
          <w:lang w:val="fr-FR"/>
        </w:rPr>
        <w:t>17.</w:t>
      </w:r>
    </w:p>
    <w:p w:rsidR="0098067A" w:rsidRPr="00E81E4C" w:rsidRDefault="0098067A" w:rsidP="00E81E4C">
      <w:pPr>
        <w:rPr>
          <w:lang w:val="fr-FR"/>
        </w:rPr>
      </w:pPr>
    </w:p>
    <w:p w:rsidR="0059127D" w:rsidRPr="00E81E4C" w:rsidRDefault="0098067A" w:rsidP="0098067A">
      <w:pPr>
        <w:jc w:val="right"/>
        <w:rPr>
          <w:lang w:val="fr-FR"/>
        </w:rPr>
      </w:pPr>
      <w:r w:rsidRPr="0098067A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C40519D" wp14:editId="3A87BBD1">
                <wp:simplePos x="0" y="0"/>
                <wp:positionH relativeFrom="column">
                  <wp:posOffset>4294505</wp:posOffset>
                </wp:positionH>
                <wp:positionV relativeFrom="paragraph">
                  <wp:posOffset>298450</wp:posOffset>
                </wp:positionV>
                <wp:extent cx="1920875" cy="228600"/>
                <wp:effectExtent l="0" t="0" r="317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067A" w:rsidRPr="009929A5" w:rsidRDefault="0098067A">
                            <w:pPr>
                              <w:ind w:right="53"/>
                              <w:jc w:val="right"/>
                              <w:rPr>
                                <w:rFonts w:cs="Arial"/>
                              </w:rPr>
                            </w:pPr>
                            <w:r w:rsidRPr="00E81E4C">
                              <w:rPr>
                                <w:lang w:val="fr-FR"/>
                              </w:rPr>
                              <w:t>[L’annexe suit]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8.15pt;margin-top:23.5pt;width:151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7UrgIAAKk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" o:allowincell="f" filled="f" stroked="f">
                <v:textbox inset="0,0,0,0">
                  <w:txbxContent>
                    <w:p w:rsidR="0098067A" w:rsidRPr="009929A5" w:rsidRDefault="0098067A">
                      <w:pPr>
                        <w:ind w:right="53"/>
                        <w:jc w:val="right"/>
                        <w:rPr>
                          <w:rFonts w:cs="Arial"/>
                        </w:rPr>
                      </w:pPr>
                      <w:r w:rsidRPr="00E81E4C">
                        <w:rPr>
                          <w:lang w:val="fr-FR"/>
                        </w:rPr>
                        <w:t>[L’annexe suit]</w:t>
                      </w:r>
                    </w:p>
                  </w:txbxContent>
                </v:textbox>
              </v:shape>
            </w:pict>
          </mc:Fallback>
        </mc:AlternateContent>
      </w:r>
    </w:p>
    <w:p w:rsidR="008A7184" w:rsidRPr="00E81E4C" w:rsidRDefault="008A7184" w:rsidP="00E81E4C">
      <w:pPr>
        <w:jc w:val="left"/>
        <w:rPr>
          <w:lang w:val="fr-FR"/>
        </w:rPr>
        <w:sectPr w:rsidR="008A7184" w:rsidRPr="00E81E4C" w:rsidSect="00B83237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  <w:docGrid w:linePitch="272"/>
        </w:sectPr>
      </w:pPr>
    </w:p>
    <w:p w:rsidR="0059127D" w:rsidRPr="00E81E4C" w:rsidRDefault="008A7184" w:rsidP="00E81E4C">
      <w:pPr>
        <w:jc w:val="center"/>
        <w:rPr>
          <w:lang w:val="fr-FR"/>
        </w:rPr>
      </w:pPr>
      <w:r w:rsidRPr="00E81E4C">
        <w:rPr>
          <w:lang w:val="fr-FR"/>
        </w:rPr>
        <w:t>CAJ/74/10</w:t>
      </w:r>
    </w:p>
    <w:p w:rsidR="0059127D" w:rsidRPr="00E81E4C" w:rsidRDefault="0059127D" w:rsidP="00E81E4C">
      <w:pPr>
        <w:jc w:val="center"/>
        <w:rPr>
          <w:lang w:val="fr-FR"/>
        </w:rPr>
      </w:pPr>
    </w:p>
    <w:p w:rsidR="0059127D" w:rsidRPr="00E81E4C" w:rsidRDefault="008A7184" w:rsidP="00E81E4C">
      <w:pPr>
        <w:jc w:val="center"/>
        <w:rPr>
          <w:lang w:val="fr-FR"/>
        </w:rPr>
      </w:pPr>
      <w:r w:rsidRPr="00E81E4C">
        <w:rPr>
          <w:lang w:val="fr-FR"/>
        </w:rPr>
        <w:t>ANNEXE / ANNEX / ANLAGE / ANEXO</w:t>
      </w:r>
    </w:p>
    <w:p w:rsidR="0059127D" w:rsidRPr="00E81E4C" w:rsidRDefault="0059127D" w:rsidP="00E81E4C">
      <w:pPr>
        <w:jc w:val="center"/>
        <w:rPr>
          <w:lang w:val="fr-FR"/>
        </w:rPr>
      </w:pPr>
    </w:p>
    <w:p w:rsidR="0059127D" w:rsidRPr="00E81E4C" w:rsidRDefault="008A7184" w:rsidP="00E81E4C">
      <w:pPr>
        <w:jc w:val="center"/>
        <w:rPr>
          <w:lang w:val="fr-FR"/>
        </w:rPr>
      </w:pPr>
      <w:r w:rsidRPr="00E81E4C">
        <w:rPr>
          <w:lang w:val="fr-FR"/>
        </w:rPr>
        <w:t xml:space="preserve">LISTE DES PARTICIPANTS / LIST OF PARTICIPANTS / </w:t>
      </w:r>
      <w:r w:rsidRPr="00E81E4C">
        <w:rPr>
          <w:lang w:val="fr-FR"/>
        </w:rPr>
        <w:br/>
        <w:t>TEILNEHMERLISTE / LISTA DE PARTICIPANTES</w:t>
      </w:r>
    </w:p>
    <w:p w:rsidR="0059127D" w:rsidRPr="00E81E4C" w:rsidRDefault="0059127D" w:rsidP="00E81E4C">
      <w:pPr>
        <w:jc w:val="center"/>
        <w:rPr>
          <w:lang w:val="fr-FR"/>
        </w:rPr>
      </w:pPr>
    </w:p>
    <w:p w:rsidR="0059127D" w:rsidRPr="00E81E4C" w:rsidRDefault="008A7184" w:rsidP="00E81E4C">
      <w:pPr>
        <w:jc w:val="center"/>
        <w:rPr>
          <w:lang w:val="fr-FR"/>
        </w:rPr>
      </w:pPr>
      <w:r w:rsidRPr="00E81E4C">
        <w:rPr>
          <w:lang w:val="fr-FR"/>
        </w:rPr>
        <w:t>(dans l</w:t>
      </w:r>
      <w:r w:rsidR="003C1CF1" w:rsidRPr="00E81E4C">
        <w:rPr>
          <w:lang w:val="fr-FR"/>
        </w:rPr>
        <w:t>’</w:t>
      </w:r>
      <w:r w:rsidRPr="00E81E4C">
        <w:rPr>
          <w:lang w:val="fr-FR"/>
        </w:rPr>
        <w:t>ordre alphabétique des noms français des membres / in the alphabetical order of the French names of the members / in alphabetischer Reihenfolge der französischen Namen der Mitglieder / por orden alfabético de los nombres en francés de los miembros)</w:t>
      </w:r>
    </w:p>
    <w:p w:rsidR="0059127D" w:rsidRPr="00E81E4C" w:rsidRDefault="008A7184" w:rsidP="00E81E4C">
      <w:pPr>
        <w:pStyle w:val="plheading"/>
        <w:rPr>
          <w:lang w:val="fr-FR"/>
        </w:rPr>
      </w:pPr>
      <w:r w:rsidRPr="00E81E4C">
        <w:rPr>
          <w:lang w:val="fr-FR"/>
        </w:rPr>
        <w:t xml:space="preserve">I. </w:t>
      </w:r>
      <w:r w:rsidR="00CB611C" w:rsidRPr="00E81E4C">
        <w:rPr>
          <w:lang w:val="fr-FR"/>
        </w:rPr>
        <w:t xml:space="preserve"> </w:t>
      </w:r>
      <w:r w:rsidRPr="00E81E4C">
        <w:rPr>
          <w:lang w:val="fr-FR"/>
        </w:rPr>
        <w:t>MEMBRES / MEMBERS / VERBANDSMITGLIEDER / MIEMBROS</w:t>
      </w:r>
    </w:p>
    <w:p w:rsidR="00985274" w:rsidRPr="001A3400" w:rsidRDefault="00985274" w:rsidP="00985274">
      <w:pPr>
        <w:pStyle w:val="plcountry"/>
        <w:rPr>
          <w:lang w:val="fr-FR"/>
        </w:rPr>
      </w:pPr>
      <w:r w:rsidRPr="001A3400">
        <w:rPr>
          <w:lang w:val="fr-FR"/>
        </w:rPr>
        <w:t>AFRIQUE DU SUD / SOUTH AFRICA / SÜDAFRIKA / SUDÁFRICA</w:t>
      </w:r>
    </w:p>
    <w:p w:rsidR="00985274" w:rsidRPr="001A3400" w:rsidRDefault="00985274" w:rsidP="00985274">
      <w:pPr>
        <w:pStyle w:val="pldetails"/>
        <w:rPr>
          <w:lang w:val="fr-FR"/>
        </w:rPr>
      </w:pPr>
      <w:r w:rsidRPr="001A3400">
        <w:rPr>
          <w:lang w:val="fr-FR"/>
        </w:rPr>
        <w:t xml:space="preserve">Noluthando NETNOU-NKOANA (Ms.), Director, Genetic Resources, Department of Agriculture, Agricultural Technical Service, Pretoria </w:t>
      </w:r>
      <w:r w:rsidRPr="001A3400">
        <w:rPr>
          <w:lang w:val="fr-FR"/>
        </w:rPr>
        <w:br/>
        <w:t>(e-mail: noluthandon@daff.gov.za)</w:t>
      </w:r>
    </w:p>
    <w:p w:rsidR="00985274" w:rsidRPr="00C81650" w:rsidRDefault="00985274" w:rsidP="00985274">
      <w:pPr>
        <w:pStyle w:val="plcountry"/>
        <w:rPr>
          <w:lang w:val="de-DE"/>
        </w:rPr>
      </w:pPr>
      <w:r w:rsidRPr="000B31B8">
        <w:rPr>
          <w:lang w:val="de-DE"/>
        </w:rPr>
        <w:t>ALLEMAGNE / GERMANY / DEUTSCHLAND / ALEMANIA</w:t>
      </w:r>
    </w:p>
    <w:p w:rsidR="00985274" w:rsidRPr="00F26CA1" w:rsidRDefault="00985274" w:rsidP="00985274">
      <w:pPr>
        <w:pStyle w:val="pldetails"/>
        <w:rPr>
          <w:lang w:val="de-DE"/>
        </w:rPr>
      </w:pPr>
      <w:r w:rsidRPr="00C81650">
        <w:rPr>
          <w:lang w:val="de-DE"/>
        </w:rPr>
        <w:t xml:space="preserve">Barbara SOHNEMANN (Frau), Justiziarin, Leiterin, Rechtsangelegenheiten, Sortenverwaltung, Gebühren, Bundessortenamt, Hanover  </w:t>
      </w:r>
      <w:r w:rsidRPr="00C81650">
        <w:rPr>
          <w:lang w:val="de-DE"/>
        </w:rPr>
        <w:br/>
      </w:r>
      <w:r w:rsidRPr="00A959F2">
        <w:rPr>
          <w:lang w:val="de-DE"/>
        </w:rPr>
        <w:t xml:space="preserve">(e-mail: </w:t>
      </w:r>
      <w:r w:rsidRPr="00F26CA1">
        <w:rPr>
          <w:lang w:val="de-DE"/>
        </w:rPr>
        <w:t xml:space="preserve">barbara.sohnemann@bundessortenamt.de) </w:t>
      </w:r>
    </w:p>
    <w:p w:rsidR="00985274" w:rsidRPr="004D23DE" w:rsidRDefault="00985274" w:rsidP="00985274">
      <w:pPr>
        <w:pStyle w:val="plcountry"/>
        <w:rPr>
          <w:lang w:val="es-ES_tradnl"/>
        </w:rPr>
      </w:pPr>
      <w:r w:rsidRPr="004D23DE">
        <w:rPr>
          <w:lang w:val="es-ES_tradnl"/>
        </w:rPr>
        <w:t>ARGENTINE / ARGENTINA / ARGENTINIEN / ARGENTINA</w:t>
      </w:r>
    </w:p>
    <w:p w:rsidR="00985274" w:rsidRPr="004D23DE" w:rsidRDefault="00985274" w:rsidP="00985274">
      <w:pPr>
        <w:pStyle w:val="pldetails"/>
        <w:rPr>
          <w:lang w:val="es-ES_tradnl"/>
        </w:rPr>
      </w:pPr>
      <w:r w:rsidRPr="004D23DE">
        <w:rPr>
          <w:lang w:val="es-ES_tradnl"/>
        </w:rPr>
        <w:t>Raimundo LAVIGNOLLE</w:t>
      </w:r>
      <w:r>
        <w:rPr>
          <w:lang w:val="es-ES_tradnl"/>
        </w:rPr>
        <w:t xml:space="preserve"> (Sr.)</w:t>
      </w:r>
      <w:r w:rsidRPr="004D23DE">
        <w:rPr>
          <w:lang w:val="es-ES_tradnl"/>
        </w:rPr>
        <w:t xml:space="preserve">, Presidente del Directorio, Instituto Nacional de Semillas (INASE), </w:t>
      </w:r>
      <w:r>
        <w:rPr>
          <w:lang w:val="es-ES_tradnl"/>
        </w:rPr>
        <w:br/>
      </w:r>
      <w:r w:rsidRPr="004D23DE">
        <w:rPr>
          <w:lang w:val="es-ES_tradnl"/>
        </w:rPr>
        <w:t xml:space="preserve">Secretaría de Agricultura, Ganadería y Pesca, Ministerio de Economía, Buenos Aires  </w:t>
      </w:r>
      <w:r>
        <w:rPr>
          <w:lang w:val="es-ES_tradnl"/>
        </w:rPr>
        <w:br/>
      </w:r>
      <w:r w:rsidRPr="004D23DE">
        <w:rPr>
          <w:lang w:val="es-ES_tradnl"/>
        </w:rPr>
        <w:t xml:space="preserve">(e-mail: rlavignolle@inase.gov.ar) </w:t>
      </w:r>
    </w:p>
    <w:p w:rsidR="00985274" w:rsidRDefault="00985274" w:rsidP="00985274">
      <w:pPr>
        <w:pStyle w:val="pldetails"/>
        <w:rPr>
          <w:lang w:val="es-ES_tradnl"/>
        </w:rPr>
      </w:pPr>
      <w:r w:rsidRPr="00F26CA1">
        <w:rPr>
          <w:lang w:val="es-ES_tradnl"/>
        </w:rPr>
        <w:t xml:space="preserve">María Laura VILLAMAYOR (Sra.), Abogada, Unidad Presidencia, </w:t>
      </w:r>
      <w:r w:rsidRPr="004D23DE">
        <w:rPr>
          <w:lang w:val="es-ES_tradnl"/>
        </w:rPr>
        <w:t>Instituto Nacional de Semillas (INASE)</w:t>
      </w:r>
      <w:r>
        <w:rPr>
          <w:lang w:val="es-ES_tradnl"/>
        </w:rPr>
        <w:t xml:space="preserve">, </w:t>
      </w:r>
      <w:r w:rsidRPr="00F26CA1">
        <w:rPr>
          <w:lang w:val="es-ES_tradnl"/>
        </w:rPr>
        <w:t xml:space="preserve">Secretaría de Agricultura, Ganadería y Pesca, Ministerio de Economía, Buenos Aires  </w:t>
      </w:r>
      <w:r>
        <w:rPr>
          <w:lang w:val="es-ES_tradnl"/>
        </w:rPr>
        <w:br/>
      </w:r>
      <w:r w:rsidRPr="00F26CA1">
        <w:rPr>
          <w:lang w:val="es-ES_tradnl"/>
        </w:rPr>
        <w:t xml:space="preserve">(e-mail: </w:t>
      </w:r>
      <w:r w:rsidRPr="003D3CDA">
        <w:rPr>
          <w:lang w:val="es-ES_tradnl"/>
        </w:rPr>
        <w:t xml:space="preserve">mlvillamayor@inase.gov.ar) </w:t>
      </w:r>
    </w:p>
    <w:p w:rsidR="00985274" w:rsidRPr="003F5638" w:rsidRDefault="00985274" w:rsidP="00985274">
      <w:pPr>
        <w:pStyle w:val="pldetails"/>
        <w:rPr>
          <w:lang w:val="es-ES"/>
        </w:rPr>
      </w:pPr>
      <w:r w:rsidRPr="000916BF">
        <w:rPr>
          <w:lang w:val="es-ES"/>
        </w:rPr>
        <w:t xml:space="preserve">María Inés RODRIGUEZ (Sra.), Consejera, Misión Permanente de la República Argentina, Ginebra </w:t>
      </w:r>
      <w:r w:rsidRPr="000916BF">
        <w:rPr>
          <w:lang w:val="es-ES"/>
        </w:rPr>
        <w:br/>
        <w:t>(e-mail: mariaines.rodriguez@missionarg.ch)</w:t>
      </w:r>
    </w:p>
    <w:p w:rsidR="00985274" w:rsidRPr="004D23DE" w:rsidRDefault="00985274" w:rsidP="00985274">
      <w:pPr>
        <w:pStyle w:val="plcountry"/>
      </w:pPr>
      <w:r w:rsidRPr="004D23DE">
        <w:t>AUSTRALIE / AUSTRALIA / AUSTRALIEN / AUSTRALIA</w:t>
      </w:r>
    </w:p>
    <w:p w:rsidR="00985274" w:rsidRPr="004D23DE" w:rsidRDefault="00985274" w:rsidP="00985274">
      <w:pPr>
        <w:pStyle w:val="pldetails"/>
      </w:pPr>
      <w:r w:rsidRPr="004D23DE">
        <w:t>Nik HULSE</w:t>
      </w:r>
      <w:r>
        <w:t xml:space="preserve"> (Mr.)</w:t>
      </w:r>
      <w:r w:rsidRPr="004D23DE">
        <w:t>, Chief of Plant Breeders</w:t>
      </w:r>
      <w:r>
        <w:t>’</w:t>
      </w:r>
      <w:r w:rsidRPr="004D23DE">
        <w:t xml:space="preserve"> Rights, Plant Breeder</w:t>
      </w:r>
      <w:r>
        <w:t>’</w:t>
      </w:r>
      <w:r w:rsidRPr="004D23DE">
        <w:t xml:space="preserve">s Rights Office, IP Australia, Woden </w:t>
      </w:r>
      <w:r>
        <w:br/>
      </w:r>
      <w:r w:rsidRPr="004D23DE">
        <w:t xml:space="preserve">(e-mail: nik.hulse@ipaustralia.gov.au) </w:t>
      </w:r>
    </w:p>
    <w:p w:rsidR="00985274" w:rsidRPr="004D23DE" w:rsidRDefault="00985274" w:rsidP="00985274">
      <w:pPr>
        <w:pStyle w:val="plcountry"/>
      </w:pPr>
      <w:r w:rsidRPr="00705429">
        <w:t>BÉLARUS / BELARUS / BELARUS / BELARÚS</w:t>
      </w:r>
    </w:p>
    <w:p w:rsidR="00985274" w:rsidRDefault="00985274" w:rsidP="00985274">
      <w:pPr>
        <w:pStyle w:val="pldetails"/>
      </w:pPr>
      <w:r w:rsidRPr="00705429">
        <w:t>Vladzimir HRAKUN</w:t>
      </w:r>
      <w:r>
        <w:t xml:space="preserve"> (Mr.)</w:t>
      </w:r>
      <w:r w:rsidRPr="00705429">
        <w:t xml:space="preserve">, Deputy Minister, Ministry of Agriculture and Food Production, Minsk </w:t>
      </w:r>
      <w:r>
        <w:br/>
      </w:r>
      <w:r w:rsidRPr="00705429">
        <w:t>(e-mail: belsort@mail.ru)</w:t>
      </w:r>
      <w:r w:rsidRPr="004D23DE">
        <w:t xml:space="preserve"> </w:t>
      </w:r>
    </w:p>
    <w:p w:rsidR="00985274" w:rsidRDefault="00985274" w:rsidP="00985274">
      <w:pPr>
        <w:pStyle w:val="pldetails"/>
      </w:pPr>
      <w:r w:rsidRPr="00705429">
        <w:t>Uladzimir BEINIA</w:t>
      </w:r>
      <w:r>
        <w:t xml:space="preserve"> (Mr.)</w:t>
      </w:r>
      <w:r w:rsidRPr="00705429">
        <w:t>, Director, State Inspection for Testing and Protection of Plant Varieties, Minsk</w:t>
      </w:r>
      <w:r>
        <w:br/>
      </w:r>
      <w:r w:rsidRPr="00705429">
        <w:t>(e-mail: belsort@mail.ru)</w:t>
      </w:r>
    </w:p>
    <w:p w:rsidR="00985274" w:rsidRDefault="00985274" w:rsidP="00985274">
      <w:pPr>
        <w:pStyle w:val="pldetails"/>
      </w:pPr>
      <w:r w:rsidRPr="00705429">
        <w:t xml:space="preserve">Tatsiana SIAMASHKA (Ms.), Deputy Director of DUS Testing, State Inspection for Testing and Protection of Plant Varieties, Minsk </w:t>
      </w:r>
      <w:r>
        <w:br/>
      </w:r>
      <w:r w:rsidRPr="00705429">
        <w:t xml:space="preserve">(e-mail: </w:t>
      </w:r>
      <w:r w:rsidRPr="001B1302">
        <w:t>tatianasortr@mail.ru</w:t>
      </w:r>
      <w:r w:rsidRPr="00705429">
        <w:t>)</w:t>
      </w:r>
    </w:p>
    <w:p w:rsidR="00985274" w:rsidRDefault="00985274" w:rsidP="00985274">
      <w:pPr>
        <w:pStyle w:val="pldetails"/>
      </w:pPr>
      <w:r w:rsidRPr="001B1302">
        <w:t xml:space="preserve">Maryna SALADUKHA (Ms.), Head, International Cooperation Department, State Inspection for Testing and Protection of Plant Varieties, Minsk </w:t>
      </w:r>
      <w:r>
        <w:br/>
      </w:r>
      <w:r w:rsidRPr="001B1302">
        <w:t xml:space="preserve">(e-mail: </w:t>
      </w:r>
      <w:r w:rsidRPr="00042C3A">
        <w:t>belsort@mail.ru</w:t>
      </w:r>
      <w:r w:rsidRPr="001B1302">
        <w:t>)</w:t>
      </w:r>
    </w:p>
    <w:p w:rsidR="00985274" w:rsidRPr="004D23DE" w:rsidRDefault="00985274" w:rsidP="00985274">
      <w:pPr>
        <w:pStyle w:val="pldetails"/>
      </w:pPr>
      <w:r w:rsidRPr="0020794D">
        <w:t>Dmitri FOMCHENKO (Mr.), Deputy Permanent Representative, Permanent Mission of the Republic of Belarus to the United Nations Office, Geneva</w:t>
      </w:r>
      <w:r w:rsidRPr="0020794D">
        <w:br/>
        <w:t>(e-mail: dmitri.fomchenko@mfa.gov.by)</w:t>
      </w:r>
    </w:p>
    <w:p w:rsidR="00985274" w:rsidRPr="00601689" w:rsidRDefault="00985274" w:rsidP="00985274">
      <w:pPr>
        <w:pStyle w:val="plcountry"/>
        <w:rPr>
          <w:lang w:val="es-ES_tradnl"/>
        </w:rPr>
      </w:pPr>
      <w:r w:rsidRPr="007F5DBB">
        <w:rPr>
          <w:lang w:val="es-ES_tradnl"/>
        </w:rPr>
        <w:t xml:space="preserve">BOLIVIE (ÉTAT PLURINATIONAL DE) / BOLIVIA (PLURINATIONAL STATE OF) / </w:t>
      </w:r>
      <w:r w:rsidRPr="007F5DBB">
        <w:rPr>
          <w:lang w:val="es-ES_tradnl"/>
        </w:rPr>
        <w:br/>
        <w:t>BOLIVIEN (PLURINATIONALER STAAT) / BOLIVIA (ESTADO PLURIN</w:t>
      </w:r>
      <w:r w:rsidRPr="00601689">
        <w:rPr>
          <w:lang w:val="es-ES_tradnl"/>
        </w:rPr>
        <w:t>ACIONAL DE)</w:t>
      </w:r>
    </w:p>
    <w:p w:rsidR="00985274" w:rsidRDefault="00985274" w:rsidP="00985274">
      <w:pPr>
        <w:pStyle w:val="pldetails"/>
        <w:rPr>
          <w:lang w:val="es-ES_tradnl"/>
        </w:rPr>
      </w:pPr>
      <w:r w:rsidRPr="00601689">
        <w:rPr>
          <w:lang w:val="es-ES_tradnl"/>
        </w:rPr>
        <w:t>Sergio Rider ANDRADE CÁCERES</w:t>
      </w:r>
      <w:r>
        <w:rPr>
          <w:lang w:val="es-ES_tradnl"/>
        </w:rPr>
        <w:t xml:space="preserve"> (Sr.)</w:t>
      </w:r>
      <w:r w:rsidRPr="00601689">
        <w:rPr>
          <w:lang w:val="es-ES_tradnl"/>
        </w:rPr>
        <w:t xml:space="preserve">, Director Nacional de Semillas, Instituto Nacional de Innovación Agropecuaria y Forestal (INIAF), La Paz </w:t>
      </w:r>
      <w:r>
        <w:rPr>
          <w:lang w:val="es-ES_tradnl"/>
        </w:rPr>
        <w:br/>
      </w:r>
      <w:r w:rsidRPr="00601689">
        <w:rPr>
          <w:lang w:val="es-ES_tradnl"/>
        </w:rPr>
        <w:t xml:space="preserve">(e-mail: </w:t>
      </w:r>
      <w:r w:rsidRPr="006E137A">
        <w:rPr>
          <w:lang w:val="es-ES_tradnl"/>
        </w:rPr>
        <w:t>rideran@yahoo.es</w:t>
      </w:r>
      <w:r w:rsidRPr="00601689">
        <w:rPr>
          <w:lang w:val="es-ES_tradnl"/>
        </w:rPr>
        <w:t xml:space="preserve">) </w:t>
      </w:r>
    </w:p>
    <w:p w:rsidR="00985274" w:rsidRDefault="00985274" w:rsidP="00985274">
      <w:pPr>
        <w:pStyle w:val="pldetails"/>
        <w:rPr>
          <w:lang w:val="es-ES_tradnl"/>
        </w:rPr>
      </w:pPr>
      <w:r w:rsidRPr="00601689">
        <w:rPr>
          <w:lang w:val="es-ES_tradnl"/>
        </w:rPr>
        <w:t>Freddy CABALLERO LEDEZMA</w:t>
      </w:r>
      <w:r>
        <w:rPr>
          <w:lang w:val="es-ES_tradnl"/>
        </w:rPr>
        <w:t xml:space="preserve"> (Sr.)</w:t>
      </w:r>
      <w:r w:rsidRPr="00601689">
        <w:rPr>
          <w:lang w:val="es-ES_tradnl"/>
        </w:rPr>
        <w:t xml:space="preserve">, Responsable de la Unidad de Fiscalización y Registro de Semillas, Registros y protección de Variedades Vegetales, Instituto Nacional de Innovación Agropecuaria y Forestal (INIAF), La Paz </w:t>
      </w:r>
      <w:r>
        <w:rPr>
          <w:lang w:val="es-ES_tradnl"/>
        </w:rPr>
        <w:br/>
      </w:r>
      <w:r w:rsidRPr="00601689">
        <w:rPr>
          <w:lang w:val="es-ES_tradnl"/>
        </w:rPr>
        <w:t xml:space="preserve">(e-mail: </w:t>
      </w:r>
      <w:r w:rsidRPr="006E137A">
        <w:rPr>
          <w:lang w:val="es-ES_tradnl"/>
        </w:rPr>
        <w:t>calefred@yahoo.es</w:t>
      </w:r>
      <w:r w:rsidRPr="00601689">
        <w:rPr>
          <w:lang w:val="es-ES_tradnl"/>
        </w:rPr>
        <w:t>)</w:t>
      </w:r>
    </w:p>
    <w:p w:rsidR="00985274" w:rsidRPr="00601689" w:rsidRDefault="00985274" w:rsidP="00985274">
      <w:pPr>
        <w:pStyle w:val="pldetails"/>
        <w:rPr>
          <w:lang w:val="es-ES_tradnl"/>
        </w:rPr>
      </w:pPr>
      <w:r w:rsidRPr="006E137A">
        <w:rPr>
          <w:lang w:val="es-ES_tradnl"/>
        </w:rPr>
        <w:t>Luis Fernando ROSALES LOZADA</w:t>
      </w:r>
      <w:r>
        <w:rPr>
          <w:lang w:val="es-ES_tradnl"/>
        </w:rPr>
        <w:t xml:space="preserve"> (Sr.)</w:t>
      </w:r>
      <w:r w:rsidRPr="006E137A">
        <w:rPr>
          <w:lang w:val="es-ES_tradnl"/>
        </w:rPr>
        <w:t xml:space="preserve">, Primer Secretario, Misión Permanente, Ginebra </w:t>
      </w:r>
      <w:r>
        <w:rPr>
          <w:lang w:val="es-ES_tradnl"/>
        </w:rPr>
        <w:br/>
      </w:r>
      <w:r w:rsidRPr="006E137A">
        <w:rPr>
          <w:lang w:val="es-ES_tradnl"/>
        </w:rPr>
        <w:t xml:space="preserve">(e-mail: </w:t>
      </w:r>
      <w:r w:rsidRPr="003B7A17">
        <w:rPr>
          <w:lang w:val="es-ES_tradnl"/>
        </w:rPr>
        <w:t>fernando.rosales@bluewin.ch)</w:t>
      </w:r>
    </w:p>
    <w:p w:rsidR="00985274" w:rsidRPr="00C81650" w:rsidRDefault="00985274" w:rsidP="00985274">
      <w:pPr>
        <w:pStyle w:val="plcountry"/>
        <w:rPr>
          <w:lang w:val="es-ES"/>
        </w:rPr>
      </w:pPr>
      <w:r w:rsidRPr="00C81650">
        <w:rPr>
          <w:lang w:val="es-ES"/>
        </w:rPr>
        <w:t>BRÉSIL / BRAZIL / BRASILIEN / BRASIL</w:t>
      </w:r>
    </w:p>
    <w:p w:rsidR="00985274" w:rsidRDefault="00985274" w:rsidP="00985274">
      <w:pPr>
        <w:pStyle w:val="pldetails"/>
        <w:rPr>
          <w:lang w:val="es-ES_tradnl"/>
        </w:rPr>
      </w:pPr>
      <w:r w:rsidRPr="00C81650">
        <w:rPr>
          <w:lang w:val="es-ES"/>
        </w:rPr>
        <w:t>Ricardo ZANATTA MACHADO</w:t>
      </w:r>
      <w:r>
        <w:rPr>
          <w:lang w:val="es-ES"/>
        </w:rPr>
        <w:t xml:space="preserve"> (Sr.)</w:t>
      </w:r>
      <w:r w:rsidRPr="00C81650">
        <w:rPr>
          <w:lang w:val="es-ES"/>
        </w:rPr>
        <w:t>, Fiscal Federal Agropecuário, Coordinador do SNPC, Serviço Nacional de Proteção de Cultivares (SNPC), M</w:t>
      </w:r>
      <w:r w:rsidRPr="004D23DE">
        <w:rPr>
          <w:lang w:val="es-ES_tradnl"/>
        </w:rPr>
        <w:t xml:space="preserve">inistério da Agricultura, Pecuária e Abastecimento, Brasilia , D.F. </w:t>
      </w:r>
      <w:r>
        <w:rPr>
          <w:lang w:val="es-ES_tradnl"/>
        </w:rPr>
        <w:br/>
      </w:r>
      <w:r w:rsidRPr="007C2FB3">
        <w:rPr>
          <w:lang w:val="es-ES_tradnl"/>
        </w:rPr>
        <w:t xml:space="preserve">(e-mail: ricardo.machado@agricultura.gov.br) </w:t>
      </w:r>
    </w:p>
    <w:p w:rsidR="00985274" w:rsidRPr="0055763C" w:rsidRDefault="00985274" w:rsidP="00985274">
      <w:pPr>
        <w:pStyle w:val="plcountry"/>
        <w:rPr>
          <w:lang w:val="es-ES_tradnl"/>
        </w:rPr>
      </w:pPr>
      <w:r w:rsidRPr="0055763C">
        <w:rPr>
          <w:lang w:val="es-ES_tradnl"/>
        </w:rPr>
        <w:t>CANADA / CANADA / KANADA / CANADÁ</w:t>
      </w:r>
    </w:p>
    <w:p w:rsidR="00985274" w:rsidRPr="004D23DE" w:rsidRDefault="00985274" w:rsidP="00985274">
      <w:pPr>
        <w:pStyle w:val="pldetails"/>
      </w:pPr>
      <w:r w:rsidRPr="0055763C">
        <w:t>Anthony PARKER (Mr.), Commissioner, Plant Breeders</w:t>
      </w:r>
      <w:r>
        <w:t>’</w:t>
      </w:r>
      <w:r w:rsidRPr="0055763C">
        <w:t xml:space="preserve"> Rights Office, Canadian Food Inspection Agency (CFIA), Ottawa </w:t>
      </w:r>
      <w:r w:rsidRPr="0055763C">
        <w:br/>
        <w:t>(e-mail: anthony.parker@inspection.gc.ca)</w:t>
      </w:r>
      <w:r w:rsidRPr="004D23DE">
        <w:t xml:space="preserve"> </w:t>
      </w:r>
    </w:p>
    <w:p w:rsidR="00985274" w:rsidRPr="0055763C" w:rsidRDefault="00985274" w:rsidP="00985274">
      <w:pPr>
        <w:pStyle w:val="pldetails"/>
      </w:pPr>
      <w:r>
        <w:t>Jennifer ROACH (Ms.), Examiner, Plant Breeders’ Rights Office, Canadian Food Inspection Agency (CFIA), Ottawa</w:t>
      </w:r>
      <w:r>
        <w:br/>
        <w:t>(e-</w:t>
      </w:r>
      <w:r w:rsidRPr="0055763C">
        <w:t>mail: Jennifer.Roach@inspection.gc.ca</w:t>
      </w:r>
      <w:r>
        <w:t>)</w:t>
      </w:r>
      <w:r w:rsidRPr="0055763C">
        <w:t xml:space="preserve"> </w:t>
      </w:r>
    </w:p>
    <w:p w:rsidR="00985274" w:rsidRPr="00D5606A" w:rsidRDefault="00985274" w:rsidP="00985274">
      <w:pPr>
        <w:pStyle w:val="plcountry"/>
        <w:rPr>
          <w:lang w:val="es-ES_tradnl"/>
        </w:rPr>
      </w:pPr>
      <w:r w:rsidRPr="00D5606A">
        <w:rPr>
          <w:lang w:val="es-ES_tradnl"/>
        </w:rPr>
        <w:t>CHILI / CHILE / CHILE / CHILE</w:t>
      </w:r>
    </w:p>
    <w:p w:rsidR="00985274" w:rsidRPr="00D43CEF" w:rsidRDefault="00985274" w:rsidP="00985274">
      <w:pPr>
        <w:pStyle w:val="pldetails"/>
        <w:rPr>
          <w:lang w:val="es-ES_tradnl"/>
        </w:rPr>
      </w:pPr>
      <w:r w:rsidRPr="00D5606A">
        <w:rPr>
          <w:lang w:val="es-ES_tradnl"/>
        </w:rPr>
        <w:t>Manuel Antonio TORO UGALDE (Sr.), Jefe Sub Departamento, Registro de Variedades Protegidas, Divis</w:t>
      </w:r>
      <w:r w:rsidRPr="00D43CEF">
        <w:rPr>
          <w:lang w:val="es-ES_tradnl"/>
        </w:rPr>
        <w:t xml:space="preserve">ión Semillas, Servicio Agrícola y Ganadero (SAG), Santiago de Chile </w:t>
      </w:r>
      <w:r>
        <w:rPr>
          <w:lang w:val="es-ES_tradnl"/>
        </w:rPr>
        <w:br/>
      </w:r>
      <w:r w:rsidRPr="00D43CEF">
        <w:rPr>
          <w:lang w:val="es-ES_tradnl"/>
        </w:rPr>
        <w:t>(e-mail: manuel.toro@sag.gob.cl)</w:t>
      </w:r>
    </w:p>
    <w:p w:rsidR="00985274" w:rsidRPr="004D23DE" w:rsidRDefault="00985274" w:rsidP="00985274">
      <w:pPr>
        <w:pStyle w:val="pldetails"/>
        <w:rPr>
          <w:lang w:val="es-ES_tradnl"/>
        </w:rPr>
      </w:pPr>
      <w:r w:rsidRPr="004D23DE">
        <w:rPr>
          <w:lang w:val="es-ES_tradnl"/>
        </w:rPr>
        <w:t xml:space="preserve">Natalia SOTOMAYOR CABRERA (Sra.), Abogado, Departamento de Asesoría Jurídica, Oficina de Estudios y Politicas Agrarias (ODEPA), Santiago de Chile  </w:t>
      </w:r>
      <w:r>
        <w:rPr>
          <w:lang w:val="es-ES_tradnl"/>
        </w:rPr>
        <w:br/>
      </w:r>
      <w:r w:rsidRPr="004D23DE">
        <w:rPr>
          <w:lang w:val="es-ES_tradnl"/>
        </w:rPr>
        <w:t xml:space="preserve">(e-mail: nsotomayor@odepa.gob.cl) </w:t>
      </w:r>
    </w:p>
    <w:p w:rsidR="00985274" w:rsidRPr="004D23DE" w:rsidRDefault="00985274" w:rsidP="00985274">
      <w:pPr>
        <w:pStyle w:val="plcountry"/>
      </w:pPr>
      <w:r w:rsidRPr="004D23DE">
        <w:t>CHINE / CHINA / CHINA / CHINA</w:t>
      </w:r>
    </w:p>
    <w:p w:rsidR="00985274" w:rsidRPr="00F45E2A" w:rsidRDefault="00985274" w:rsidP="00985274">
      <w:pPr>
        <w:pStyle w:val="pldetails"/>
      </w:pPr>
      <w:r w:rsidRPr="004D23DE">
        <w:t>Wenjun CHEN</w:t>
      </w:r>
      <w:r>
        <w:t xml:space="preserve"> (Mr.)</w:t>
      </w:r>
      <w:r w:rsidRPr="004D23DE">
        <w:t xml:space="preserve">, Project Officer, State Intellectual Property Office, </w:t>
      </w:r>
      <w:r w:rsidRPr="00F45E2A">
        <w:t xml:space="preserve">Beijing </w:t>
      </w:r>
      <w:r>
        <w:br/>
      </w:r>
      <w:r w:rsidRPr="00F45E2A">
        <w:t xml:space="preserve">(e-mail: chenwenjun@sipo.gov.cn) </w:t>
      </w:r>
    </w:p>
    <w:p w:rsidR="00985274" w:rsidRPr="004D23DE" w:rsidRDefault="00985274" w:rsidP="00985274">
      <w:pPr>
        <w:pStyle w:val="pldetails"/>
      </w:pPr>
      <w:r w:rsidRPr="00107CCB">
        <w:t>Yuanyuan</w:t>
      </w:r>
      <w:r>
        <w:t xml:space="preserve"> </w:t>
      </w:r>
      <w:r w:rsidRPr="00107CCB">
        <w:t>DU</w:t>
      </w:r>
      <w:r>
        <w:t xml:space="preserve"> (Mr.)</w:t>
      </w:r>
      <w:r w:rsidRPr="00107CCB">
        <w:t xml:space="preserve">, Senior Examiner, Division of PVP Examination, Development Center of Science and Technology, Ministry of Agriculture, Beijing </w:t>
      </w:r>
      <w:r>
        <w:br/>
      </w:r>
      <w:r w:rsidRPr="00107CCB">
        <w:t>(e-mail: duyuanyuan8@yahoo.com.cn)</w:t>
      </w:r>
      <w:r w:rsidRPr="004D23DE">
        <w:t xml:space="preserve"> </w:t>
      </w:r>
    </w:p>
    <w:p w:rsidR="00985274" w:rsidRPr="004D23DE" w:rsidRDefault="00985274" w:rsidP="00985274">
      <w:pPr>
        <w:pStyle w:val="plcountry"/>
        <w:rPr>
          <w:lang w:val="es-ES_tradnl"/>
        </w:rPr>
      </w:pPr>
      <w:r w:rsidRPr="004D23DE">
        <w:rPr>
          <w:lang w:val="es-ES_tradnl"/>
        </w:rPr>
        <w:t>COLOMBIE / COLOMBIA / KOLUMBIEN / COLOMBIA</w:t>
      </w:r>
    </w:p>
    <w:p w:rsidR="00985274" w:rsidRPr="00C81650" w:rsidRDefault="00985274" w:rsidP="00985274">
      <w:pPr>
        <w:pStyle w:val="pldetails"/>
        <w:rPr>
          <w:lang w:val="es-ES"/>
        </w:rPr>
      </w:pPr>
      <w:r w:rsidRPr="004D23DE">
        <w:rPr>
          <w:lang w:val="es-ES_tradnl"/>
        </w:rPr>
        <w:t xml:space="preserve">Ana Luisa DÍAZ JIMÉNEZ (Sra.), Directora, Dirección Técnica de Semillas, Instituto Colombiano Agropecuario (ICA), Bogotá D.C. </w:t>
      </w:r>
      <w:r>
        <w:rPr>
          <w:lang w:val="es-ES_tradnl"/>
        </w:rPr>
        <w:br/>
      </w:r>
      <w:r w:rsidRPr="00C81650">
        <w:rPr>
          <w:lang w:val="es-ES"/>
        </w:rPr>
        <w:t xml:space="preserve">(e-mail: analuisadiazj@gmail.com) </w:t>
      </w:r>
    </w:p>
    <w:p w:rsidR="00985274" w:rsidRDefault="00985274" w:rsidP="00985274">
      <w:pPr>
        <w:pStyle w:val="pldetails"/>
        <w:rPr>
          <w:lang w:val="es-ES_tradnl"/>
        </w:rPr>
      </w:pPr>
      <w:r w:rsidRPr="00DF7E4F">
        <w:rPr>
          <w:lang w:val="es-ES_tradnl"/>
        </w:rPr>
        <w:t xml:space="preserve">Juan Camilo SARETZKI-FORERO (Sr.), Ministro Consejero, Misión Permanente, Ginebra </w:t>
      </w:r>
      <w:r w:rsidRPr="00DF7E4F">
        <w:rPr>
          <w:lang w:val="es-ES_tradnl"/>
        </w:rPr>
        <w:br/>
        <w:t>(e-mail: juan.saretzki@misioncolombia.ch)</w:t>
      </w:r>
    </w:p>
    <w:p w:rsidR="00985274" w:rsidRPr="00104B52" w:rsidRDefault="00985274" w:rsidP="00985274">
      <w:pPr>
        <w:pStyle w:val="pldetails"/>
        <w:rPr>
          <w:lang w:val="es-ES_tradnl"/>
        </w:rPr>
      </w:pPr>
      <w:r w:rsidRPr="0020794D">
        <w:rPr>
          <w:lang w:val="es-ES_tradnl"/>
        </w:rPr>
        <w:t>Alfonso Alberto ROSERO (Sr.), Profesional especializado/Ingeniero agronomo, Dirección Técnica de Semillas, Instituto Colombiano Agropecuario (ICA), Bogotá D.C.</w:t>
      </w:r>
      <w:r w:rsidRPr="0020794D">
        <w:rPr>
          <w:lang w:val="es-ES_tradnl"/>
        </w:rPr>
        <w:br/>
        <w:t>(e-mail: alberto.rosero@ica.gov.co)</w:t>
      </w:r>
    </w:p>
    <w:p w:rsidR="00985274" w:rsidRPr="007F5DBB" w:rsidRDefault="00985274" w:rsidP="00985274">
      <w:pPr>
        <w:pStyle w:val="plcountry"/>
      </w:pPr>
      <w:r w:rsidRPr="007F5DBB">
        <w:t>DANEMARK / DENMARK / DÄNEMARK / DINAMARCA</w:t>
      </w:r>
    </w:p>
    <w:p w:rsidR="00985274" w:rsidRDefault="00985274" w:rsidP="00985274">
      <w:pPr>
        <w:pStyle w:val="pldetails"/>
      </w:pPr>
      <w:r w:rsidRPr="007F5DBB">
        <w:t>Kristine Bech KLINDT (Ms.), Special Consultant, Ministry of Environment and Food of D</w:t>
      </w:r>
      <w:r w:rsidRPr="00A959F2">
        <w:t xml:space="preserve">enmark, The Danish AgriFish Agency, Copenhagen </w:t>
      </w:r>
      <w:r>
        <w:br/>
      </w:r>
      <w:r w:rsidRPr="00A959F2">
        <w:t xml:space="preserve">(e-mail: krba@naturerhverv.dk) </w:t>
      </w:r>
    </w:p>
    <w:p w:rsidR="00985274" w:rsidRPr="0015583C" w:rsidRDefault="00985274" w:rsidP="00985274">
      <w:pPr>
        <w:pStyle w:val="plcountry"/>
        <w:rPr>
          <w:lang w:val="es-ES_tradnl"/>
        </w:rPr>
      </w:pPr>
      <w:r w:rsidRPr="0015583C">
        <w:rPr>
          <w:lang w:val="es-ES_tradnl"/>
        </w:rPr>
        <w:t>ESPAGNE / SPAIN / SPANIEN / ESPAÑA</w:t>
      </w:r>
    </w:p>
    <w:p w:rsidR="00985274" w:rsidRPr="0019003B" w:rsidRDefault="00985274" w:rsidP="00985274">
      <w:pPr>
        <w:pStyle w:val="pldetails"/>
        <w:rPr>
          <w:lang w:val="es-ES_tradnl"/>
        </w:rPr>
      </w:pPr>
      <w:r w:rsidRPr="00B72690">
        <w:rPr>
          <w:lang w:val="es-ES_tradnl"/>
        </w:rPr>
        <w:t>José Antonio SOBRINO MATÉ</w:t>
      </w:r>
      <w:r>
        <w:rPr>
          <w:lang w:val="es-ES_tradnl"/>
        </w:rPr>
        <w:t xml:space="preserve"> (Sr.)</w:t>
      </w:r>
      <w:r w:rsidRPr="00B72690">
        <w:rPr>
          <w:lang w:val="es-ES_tradnl"/>
        </w:rPr>
        <w:t xml:space="preserve">, Jefe de área de registro de variedades, Subdirección General de Medios de Producción Agrícolas y Oficina Española de Variedades Vegetales (MPA y OEVV), Ministerio de Agricultura y Pesca, Alimentación y Medio Ambiente (MAPAMA), Madrid </w:t>
      </w:r>
      <w:r>
        <w:rPr>
          <w:lang w:val="es-ES_tradnl"/>
        </w:rPr>
        <w:br/>
      </w:r>
      <w:r w:rsidRPr="00B72690">
        <w:rPr>
          <w:lang w:val="es-ES_tradnl"/>
        </w:rPr>
        <w:t xml:space="preserve">(e-mail: </w:t>
      </w:r>
      <w:r w:rsidRPr="00DD5893">
        <w:rPr>
          <w:lang w:val="es-ES_tradnl"/>
        </w:rPr>
        <w:t>jasobrino@magrama.es)</w:t>
      </w:r>
      <w:r w:rsidRPr="0019003B">
        <w:rPr>
          <w:lang w:val="es-ES_tradnl"/>
        </w:rPr>
        <w:t xml:space="preserve"> </w:t>
      </w:r>
    </w:p>
    <w:p w:rsidR="00985274" w:rsidRPr="0019003B" w:rsidRDefault="00985274" w:rsidP="00985274">
      <w:pPr>
        <w:pStyle w:val="plcountry"/>
      </w:pPr>
      <w:r w:rsidRPr="0019003B">
        <w:t>ESTONIE / ESTONIA / ESTLAND / ESTONIA</w:t>
      </w:r>
    </w:p>
    <w:p w:rsidR="00985274" w:rsidRPr="00F45E2A" w:rsidRDefault="00985274" w:rsidP="00985274">
      <w:pPr>
        <w:pStyle w:val="pldetails"/>
      </w:pPr>
      <w:r w:rsidRPr="004D23DE">
        <w:t xml:space="preserve">Laima PUUR (Ms.), Head, Variety Department, Estonian Agricultural Board, </w:t>
      </w:r>
      <w:r w:rsidRPr="00F45E2A">
        <w:t xml:space="preserve">Viljandi  </w:t>
      </w:r>
      <w:r w:rsidRPr="00F45E2A">
        <w:br/>
        <w:t xml:space="preserve">(e-mail: laima.puur@pma.agri.ee) </w:t>
      </w:r>
    </w:p>
    <w:p w:rsidR="00985274" w:rsidRPr="00F45E2A" w:rsidRDefault="00985274" w:rsidP="00985274">
      <w:pPr>
        <w:pStyle w:val="pldetails"/>
      </w:pPr>
      <w:r w:rsidRPr="004D23DE">
        <w:t xml:space="preserve">Kristiina DIGRYTE (Ms.), Adviser, Plant Health Department, Tallinn  </w:t>
      </w:r>
      <w:r>
        <w:br/>
      </w:r>
      <w:r w:rsidRPr="004D23DE">
        <w:t>(e-</w:t>
      </w:r>
      <w:r w:rsidRPr="00F45E2A">
        <w:t xml:space="preserve">mail: kristiina.digryte@agri.ee) </w:t>
      </w:r>
    </w:p>
    <w:p w:rsidR="00985274" w:rsidRPr="00442956" w:rsidRDefault="00985274" w:rsidP="00985274">
      <w:pPr>
        <w:pStyle w:val="pldetails"/>
        <w:keepNext/>
      </w:pPr>
      <w:r w:rsidRPr="00442956">
        <w:t xml:space="preserve">Renata TSATURJAN (Ms.), Chief Specialist, Plant Production Bureau, Ministry of Rural Affairs, Tallinn  </w:t>
      </w:r>
      <w:r w:rsidRPr="00442956">
        <w:br/>
        <w:t xml:space="preserve">(e-mail: renata.tsaturjan@agri.ee) </w:t>
      </w:r>
    </w:p>
    <w:p w:rsidR="00985274" w:rsidRPr="00F45E2A" w:rsidRDefault="00985274" w:rsidP="00985274">
      <w:pPr>
        <w:pStyle w:val="plcountry"/>
      </w:pPr>
      <w:r w:rsidRPr="00F45E2A">
        <w:t>ÉTATS-UNIS D</w:t>
      </w:r>
      <w:r>
        <w:t>’</w:t>
      </w:r>
      <w:r w:rsidRPr="00F45E2A">
        <w:t xml:space="preserve">AMÉRIQUE / UNITED STATES OF AMERICA / VEREINIGTE STAATEN VON AMERIKA / </w:t>
      </w:r>
      <w:r w:rsidRPr="00F45E2A">
        <w:br/>
        <w:t>ESTADOS UNIDOS DE AMÉRICA</w:t>
      </w:r>
    </w:p>
    <w:p w:rsidR="00985274" w:rsidRDefault="00985274" w:rsidP="00985274">
      <w:pPr>
        <w:pStyle w:val="pldetails"/>
      </w:pPr>
      <w:r>
        <w:t xml:space="preserve">Ruihong GUO (Ms.), Deputy Administrator, AMS, Science &amp; Technology Program, United States Department of Agriculture (USDA), Washington D.C. </w:t>
      </w:r>
      <w:r>
        <w:br/>
        <w:t xml:space="preserve">(e-mail: </w:t>
      </w:r>
      <w:r w:rsidRPr="00062CDD">
        <w:t>ruihong.guo@ams.usda.gov</w:t>
      </w:r>
      <w:r>
        <w:t>)</w:t>
      </w:r>
    </w:p>
    <w:p w:rsidR="00985274" w:rsidRPr="0020794D" w:rsidRDefault="00985274" w:rsidP="00985274">
      <w:pPr>
        <w:pStyle w:val="pldetails"/>
      </w:pPr>
      <w:r w:rsidRPr="0020794D">
        <w:t>Elaine WU (Ms.), Attorney – Advisor, Office of Policy and International Affairs, U.S. Patent and Trademark Office, U.S. Department of Commerce, Alexandria</w:t>
      </w:r>
      <w:r w:rsidRPr="0020794D">
        <w:br/>
        <w:t>(e-mail: elaine.wu@uspto.gov)</w:t>
      </w:r>
    </w:p>
    <w:p w:rsidR="00985274" w:rsidRDefault="00985274" w:rsidP="00985274">
      <w:pPr>
        <w:pStyle w:val="pldetails"/>
      </w:pPr>
      <w:r w:rsidRPr="0020794D">
        <w:t>Christian HANNON (Mr.), Patent Attorney, Office of Policy and International Affairs (OPIA), U.S. Patent and Trademark Office, U.S. Department of Commerce, Alexandria</w:t>
      </w:r>
      <w:r w:rsidRPr="0020794D">
        <w:br/>
        <w:t>(e-mail: christian.hannon@uspto.gov)</w:t>
      </w:r>
    </w:p>
    <w:p w:rsidR="00985274" w:rsidRDefault="00985274" w:rsidP="00985274">
      <w:pPr>
        <w:pStyle w:val="pldetails"/>
      </w:pPr>
      <w:r w:rsidRPr="0034063B">
        <w:t xml:space="preserve">Yasmine Nicole FULENA (Ms.), Intellectual Property Adviser, Permanent Mission, Chambésy </w:t>
      </w:r>
      <w:r w:rsidRPr="0034063B">
        <w:br/>
        <w:t>(e-mail: fulenayn@state.gov)</w:t>
      </w:r>
    </w:p>
    <w:p w:rsidR="00985274" w:rsidRPr="006D423D" w:rsidRDefault="00985274" w:rsidP="00985274">
      <w:pPr>
        <w:pStyle w:val="plcountry"/>
      </w:pPr>
      <w:r w:rsidRPr="006D423D">
        <w:t xml:space="preserve">FÉDÉRATION DE RUSSIE / RUSSIAN FEDERATION / RUSSISCHE FÖDERATION / </w:t>
      </w:r>
      <w:r w:rsidRPr="006D423D">
        <w:br/>
        <w:t>FEDERACIÓN DE RUSIA</w:t>
      </w:r>
    </w:p>
    <w:p w:rsidR="00985274" w:rsidRPr="00F45E2A" w:rsidRDefault="00985274" w:rsidP="00985274">
      <w:pPr>
        <w:pStyle w:val="pldetails"/>
      </w:pPr>
      <w:r w:rsidRPr="004D23DE">
        <w:t>Yur</w:t>
      </w:r>
      <w:r>
        <w:t>ii</w:t>
      </w:r>
      <w:r w:rsidRPr="004D23DE">
        <w:t xml:space="preserve"> A. ROGOVSKI</w:t>
      </w:r>
      <w:r>
        <w:t>I (Mr.)</w:t>
      </w:r>
      <w:r w:rsidRPr="004D23DE">
        <w:t>, Head, Methodology and International Cooperation Department</w:t>
      </w:r>
      <w:r>
        <w:t xml:space="preserve">, </w:t>
      </w:r>
      <w:r w:rsidRPr="004D23DE">
        <w:t xml:space="preserve">Candidate of Agricultural Sciences, State Commission of the Russian Federation for Selection Achievements Test and Protection, Moscow  </w:t>
      </w:r>
      <w:r>
        <w:br/>
      </w:r>
      <w:r w:rsidRPr="004D23DE">
        <w:t xml:space="preserve">(e-mail: </w:t>
      </w:r>
      <w:r w:rsidRPr="00F45E2A">
        <w:t xml:space="preserve">yrogovskij@yandex.ru) </w:t>
      </w:r>
    </w:p>
    <w:p w:rsidR="00985274" w:rsidRPr="004D23DE" w:rsidRDefault="00985274" w:rsidP="00985274">
      <w:pPr>
        <w:pStyle w:val="pldetails"/>
      </w:pPr>
      <w:r w:rsidRPr="00E523BD">
        <w:t xml:space="preserve">Antonina TRETINNIKOVA (Ms.), Deputy Head, Methodology and International Cooperation Department, State Commission of the Russian Federation for Selection Achievements Test and Protection, Moscow </w:t>
      </w:r>
      <w:r>
        <w:br/>
      </w:r>
      <w:r w:rsidRPr="00E523BD">
        <w:t>(e-mail: tretinnikova@mail.ru)</w:t>
      </w:r>
    </w:p>
    <w:p w:rsidR="00985274" w:rsidRPr="00A959F2" w:rsidRDefault="00985274" w:rsidP="00985274">
      <w:pPr>
        <w:pStyle w:val="plcountry"/>
      </w:pPr>
      <w:r w:rsidRPr="00442956">
        <w:t>FINLANDE / FINLAND / FINNLAND / FINLANDIA</w:t>
      </w:r>
    </w:p>
    <w:p w:rsidR="00985274" w:rsidRPr="00A959F2" w:rsidRDefault="00985274" w:rsidP="00985274">
      <w:pPr>
        <w:pStyle w:val="pldetails"/>
      </w:pPr>
      <w:r w:rsidRPr="00A959F2">
        <w:t xml:space="preserve">Tarja Päivikki HIETARANTA (Ms.), Senior Officer, Seed Certification, Finnish Food and Safety Authority (EVIRA), Loimaa  </w:t>
      </w:r>
      <w:r>
        <w:br/>
      </w:r>
      <w:r w:rsidRPr="00A959F2">
        <w:t xml:space="preserve">(e-mail: tarja.hietaranta@evira.fi) </w:t>
      </w:r>
    </w:p>
    <w:p w:rsidR="00985274" w:rsidRPr="00A959F2" w:rsidRDefault="00985274" w:rsidP="00985274">
      <w:pPr>
        <w:pStyle w:val="plcountry"/>
        <w:rPr>
          <w:lang w:val="fr-CH"/>
        </w:rPr>
      </w:pPr>
      <w:r w:rsidRPr="00565AF6">
        <w:rPr>
          <w:lang w:val="fr-CH"/>
        </w:rPr>
        <w:t>France / FRANCE / FRANKREICH / FRANCIA</w:t>
      </w:r>
    </w:p>
    <w:p w:rsidR="00985274" w:rsidRPr="00A959F2" w:rsidRDefault="00985274" w:rsidP="00985274">
      <w:pPr>
        <w:pStyle w:val="pldetails"/>
        <w:rPr>
          <w:lang w:val="fr-CH"/>
        </w:rPr>
      </w:pPr>
      <w:r w:rsidRPr="00A959F2">
        <w:rPr>
          <w:lang w:val="fr-CH"/>
        </w:rPr>
        <w:t>Yvane MERESSE</w:t>
      </w:r>
      <w:r>
        <w:rPr>
          <w:lang w:val="fr-CH"/>
        </w:rPr>
        <w:t xml:space="preserve"> (Mme)</w:t>
      </w:r>
      <w:r w:rsidRPr="00A959F2">
        <w:rPr>
          <w:lang w:val="fr-CH"/>
        </w:rPr>
        <w:t>, Responsable juridique / Legal Expert, Groupe d</w:t>
      </w:r>
      <w:r>
        <w:rPr>
          <w:lang w:val="fr-CH"/>
        </w:rPr>
        <w:t>’</w:t>
      </w:r>
      <w:r w:rsidRPr="00A959F2">
        <w:rPr>
          <w:lang w:val="fr-CH"/>
        </w:rPr>
        <w:t xml:space="preserve">Etude et de Contrôle des Variétés et des Semences (GEVES), Beaucouzé </w:t>
      </w:r>
      <w:r>
        <w:rPr>
          <w:lang w:val="fr-CH"/>
        </w:rPr>
        <w:br/>
      </w:r>
      <w:r w:rsidRPr="00A959F2">
        <w:rPr>
          <w:lang w:val="fr-CH"/>
        </w:rPr>
        <w:t xml:space="preserve">(e-mail: yvane.meresse@geves.fr) </w:t>
      </w:r>
    </w:p>
    <w:p w:rsidR="00985274" w:rsidRPr="00A959F2" w:rsidRDefault="00985274" w:rsidP="00985274">
      <w:pPr>
        <w:pStyle w:val="plcountry"/>
      </w:pPr>
      <w:r w:rsidRPr="00A959F2">
        <w:t>HONGRIE / HUNGARY / UNGARN / HUNGRÍA</w:t>
      </w:r>
    </w:p>
    <w:p w:rsidR="00985274" w:rsidRPr="00A959F2" w:rsidRDefault="00985274" w:rsidP="00985274">
      <w:pPr>
        <w:pStyle w:val="pldetails"/>
      </w:pPr>
      <w:r w:rsidRPr="009A3D18">
        <w:t xml:space="preserve">Dóra GYETVAINÉ VIRÁG (Ms.), Head, Patent Department, Hungarian Intellectual Property Office, Budapest </w:t>
      </w:r>
      <w:r>
        <w:br/>
      </w:r>
      <w:r w:rsidRPr="009A3D18">
        <w:t>(e-mail: dora.virag@hipo.gov.hu)</w:t>
      </w:r>
    </w:p>
    <w:p w:rsidR="00985274" w:rsidRPr="00A959F2" w:rsidRDefault="00985274" w:rsidP="00985274">
      <w:pPr>
        <w:pStyle w:val="pldetails"/>
      </w:pPr>
      <w:r w:rsidRPr="00A959F2">
        <w:t xml:space="preserve">Katalin MIKLÓ (Ms.), Deputy Head, Patent Department, Hungarian Intellectual Property Office, Budapest  </w:t>
      </w:r>
      <w:r>
        <w:br/>
      </w:r>
      <w:r w:rsidRPr="00A959F2">
        <w:t xml:space="preserve">(e-mail: katalin.miklo@hipo.gov.hu) </w:t>
      </w:r>
    </w:p>
    <w:p w:rsidR="00985274" w:rsidRPr="00741891" w:rsidRDefault="00985274" w:rsidP="00985274">
      <w:pPr>
        <w:pStyle w:val="plcountry"/>
      </w:pPr>
      <w:r w:rsidRPr="002A5271">
        <w:t>IRLANDE / IRELAND / IRLAND / IRLANDA</w:t>
      </w:r>
    </w:p>
    <w:p w:rsidR="00985274" w:rsidRPr="00741891" w:rsidRDefault="00985274" w:rsidP="00985274">
      <w:pPr>
        <w:pStyle w:val="plcountry"/>
        <w:rPr>
          <w:caps w:val="0"/>
          <w:u w:val="none"/>
        </w:rPr>
      </w:pPr>
      <w:r w:rsidRPr="00EF68D9">
        <w:rPr>
          <w:caps w:val="0"/>
          <w:u w:val="none"/>
        </w:rPr>
        <w:t>Niall RYAN</w:t>
      </w:r>
      <w:r>
        <w:rPr>
          <w:caps w:val="0"/>
          <w:u w:val="none"/>
        </w:rPr>
        <w:t xml:space="preserve"> (Mr.), </w:t>
      </w:r>
      <w:r w:rsidRPr="00EF68D9">
        <w:rPr>
          <w:caps w:val="0"/>
          <w:u w:val="none"/>
        </w:rPr>
        <w:t>Office of Controller of Plant Breeders</w:t>
      </w:r>
      <w:r>
        <w:rPr>
          <w:caps w:val="0"/>
          <w:u w:val="none"/>
        </w:rPr>
        <w:t>’</w:t>
      </w:r>
      <w:r w:rsidRPr="00EF68D9">
        <w:rPr>
          <w:caps w:val="0"/>
          <w:u w:val="none"/>
        </w:rPr>
        <w:t xml:space="preserve"> Rights</w:t>
      </w:r>
      <w:r>
        <w:rPr>
          <w:caps w:val="0"/>
          <w:u w:val="none"/>
        </w:rPr>
        <w:t xml:space="preserve">, </w:t>
      </w:r>
      <w:r w:rsidRPr="00EF68D9">
        <w:rPr>
          <w:caps w:val="0"/>
          <w:u w:val="none"/>
        </w:rPr>
        <w:t>Crop Evaluation and Certification Division</w:t>
      </w:r>
      <w:r>
        <w:rPr>
          <w:caps w:val="0"/>
          <w:u w:val="none"/>
        </w:rPr>
        <w:t xml:space="preserve">, </w:t>
      </w:r>
      <w:r w:rsidRPr="00EF68D9">
        <w:rPr>
          <w:caps w:val="0"/>
          <w:u w:val="none"/>
        </w:rPr>
        <w:t>Leixlip</w:t>
      </w:r>
      <w:r>
        <w:rPr>
          <w:caps w:val="0"/>
          <w:u w:val="none"/>
        </w:rPr>
        <w:br/>
        <w:t xml:space="preserve">(e-mail: </w:t>
      </w:r>
      <w:r w:rsidRPr="00EF68D9">
        <w:rPr>
          <w:caps w:val="0"/>
          <w:u w:val="none"/>
        </w:rPr>
        <w:t>niall.ryan@agriculture.gov.ie</w:t>
      </w:r>
      <w:r>
        <w:rPr>
          <w:caps w:val="0"/>
          <w:u w:val="none"/>
        </w:rPr>
        <w:t>)</w:t>
      </w:r>
    </w:p>
    <w:p w:rsidR="00985274" w:rsidRPr="009D0F71" w:rsidRDefault="00985274" w:rsidP="00985274">
      <w:pPr>
        <w:pStyle w:val="plcountry"/>
      </w:pPr>
      <w:r w:rsidRPr="009D0F71">
        <w:t>JAPON / JAPAN / JAPAN / JAPÓN</w:t>
      </w:r>
    </w:p>
    <w:p w:rsidR="00985274" w:rsidRDefault="00985274" w:rsidP="00985274">
      <w:pPr>
        <w:pStyle w:val="pldetails"/>
      </w:pPr>
      <w:r w:rsidRPr="00C61381">
        <w:t>Atsuhiro MENO</w:t>
      </w:r>
      <w:r>
        <w:t xml:space="preserve"> (Mr.)</w:t>
      </w:r>
      <w:r w:rsidRPr="00C61381">
        <w:t xml:space="preserve">, Senior Policy Advisor, Intellectual Property Division, Food Industry Affairs Bureau, Ministry of Agriculture, Forestry and Fisheries (MAFF), Tokyo </w:t>
      </w:r>
      <w:r>
        <w:br/>
        <w:t>(</w:t>
      </w:r>
      <w:r w:rsidRPr="00C61381">
        <w:t>e-mail: atsuhiro_meno150@maff.go.jp)</w:t>
      </w:r>
    </w:p>
    <w:p w:rsidR="00985274" w:rsidRDefault="00985274" w:rsidP="00985274">
      <w:pPr>
        <w:pStyle w:val="pldetails"/>
      </w:pPr>
      <w:r w:rsidRPr="009D0F71">
        <w:t xml:space="preserve">Kenji NUMAGUCHI (Mr.), Chief Examiner, Plant Variety Protection Office, Intellectual Property Division, Food Industry Affairs Bureau, Ministry of Agriculture, Forestry and Fisheries (MAFF), Tokyo  </w:t>
      </w:r>
      <w:r w:rsidRPr="009D0F71">
        <w:br/>
        <w:t>(e-mail: kenji_numaguchi760@maff.go.jp)</w:t>
      </w:r>
      <w:r w:rsidRPr="0001070A">
        <w:t xml:space="preserve"> </w:t>
      </w:r>
    </w:p>
    <w:p w:rsidR="00985274" w:rsidRPr="009D0F71" w:rsidRDefault="00985274" w:rsidP="00985274">
      <w:pPr>
        <w:pStyle w:val="pldetails"/>
      </w:pPr>
      <w:r w:rsidRPr="009D0F71">
        <w:t>Manabu SUZUKI</w:t>
      </w:r>
      <w:r>
        <w:t xml:space="preserve"> (Mr.)</w:t>
      </w:r>
      <w:r w:rsidRPr="009D0F71">
        <w:t xml:space="preserve">, Deputy Director for International Affairs, Intellectual Property Division, Food Industry Affairs Bureau, Ministry of Agriculture, Forestry and Fisheries (MAFF), Tokyo </w:t>
      </w:r>
      <w:r w:rsidRPr="009D0F71">
        <w:br/>
        <w:t>(e-mail: manabu_suzuki410@maff.go.jp)</w:t>
      </w:r>
    </w:p>
    <w:p w:rsidR="00985274" w:rsidRPr="0001070A" w:rsidRDefault="00985274" w:rsidP="00985274">
      <w:pPr>
        <w:pStyle w:val="pldetails"/>
      </w:pPr>
      <w:r w:rsidRPr="00C61381">
        <w:t>Manabu OSAKI</w:t>
      </w:r>
      <w:r>
        <w:t xml:space="preserve"> (Mr.)</w:t>
      </w:r>
      <w:r w:rsidRPr="00C61381">
        <w:t>, Senior Examiner, Intellectual Property Division</w:t>
      </w:r>
      <w:r>
        <w:t xml:space="preserve">, </w:t>
      </w:r>
      <w:r w:rsidRPr="00C61381">
        <w:t xml:space="preserve">Food Industry affairs Bureau, New Business and Intellectual Property Division, Food Industry Affairs Bureau, Ministry of Agriculture, Forestry and Fisheries, Tokyo </w:t>
      </w:r>
      <w:r>
        <w:br/>
      </w:r>
      <w:r w:rsidRPr="00C61381">
        <w:t>(e-mail: manabu_oosaki190@maff.go.jp)</w:t>
      </w:r>
    </w:p>
    <w:p w:rsidR="00985274" w:rsidRPr="00A959F2" w:rsidRDefault="00985274" w:rsidP="00985274">
      <w:pPr>
        <w:pStyle w:val="plcountry"/>
        <w:rPr>
          <w:lang w:val="fr-CH"/>
        </w:rPr>
      </w:pPr>
      <w:r w:rsidRPr="00A959F2">
        <w:rPr>
          <w:lang w:val="fr-CH"/>
        </w:rPr>
        <w:t>MAROC / MOROCCO / MAROKKO / MARRUECOS</w:t>
      </w:r>
    </w:p>
    <w:p w:rsidR="00985274" w:rsidRDefault="00985274" w:rsidP="00985274">
      <w:pPr>
        <w:pStyle w:val="pldetails"/>
        <w:rPr>
          <w:lang w:val="fr-CH"/>
        </w:rPr>
      </w:pPr>
      <w:r>
        <w:rPr>
          <w:lang w:val="fr-CH"/>
        </w:rPr>
        <w:t>Zoubida TAOUSSI (M</w:t>
      </w:r>
      <w:r w:rsidRPr="0015583C">
        <w:rPr>
          <w:lang w:val="fr-CH"/>
        </w:rPr>
        <w:t xml:space="preserve">s.), Chargée de la protection des obtentions végétales, Office National de Sécurité de Produits Alimentaires, Rabat  </w:t>
      </w:r>
      <w:r w:rsidRPr="0015583C">
        <w:rPr>
          <w:lang w:val="fr-CH"/>
        </w:rPr>
        <w:br/>
        <w:t xml:space="preserve">(e-mail: ztaoussi67@gmail.com) </w:t>
      </w:r>
    </w:p>
    <w:p w:rsidR="00985274" w:rsidRPr="002416E8" w:rsidRDefault="00985274" w:rsidP="00985274">
      <w:pPr>
        <w:pStyle w:val="plcountry"/>
        <w:rPr>
          <w:lang w:val="es-ES_tradnl"/>
        </w:rPr>
      </w:pPr>
      <w:r w:rsidRPr="002416E8">
        <w:rPr>
          <w:lang w:val="es-ES_tradnl"/>
        </w:rPr>
        <w:t>MEXIQUE / MEXICO / MEXIKO / MÉXICO</w:t>
      </w:r>
    </w:p>
    <w:p w:rsidR="00985274" w:rsidRPr="00436072" w:rsidRDefault="00985274" w:rsidP="00985274">
      <w:pPr>
        <w:pStyle w:val="pldetails"/>
        <w:rPr>
          <w:lang w:val="es-ES_tradnl"/>
        </w:rPr>
      </w:pPr>
      <w:r w:rsidRPr="00436072">
        <w:rPr>
          <w:lang w:val="es-ES_tradnl"/>
        </w:rPr>
        <w:t>Eduardo PADILLA VACA</w:t>
      </w:r>
      <w:r>
        <w:rPr>
          <w:lang w:val="es-ES_tradnl"/>
        </w:rPr>
        <w:t xml:space="preserve"> (Sr.)</w:t>
      </w:r>
      <w:r w:rsidRPr="00436072">
        <w:rPr>
          <w:lang w:val="es-ES_tradnl"/>
        </w:rPr>
        <w:t xml:space="preserve">, Director de Registro de Variedades Vegetales, Servicio Nacional de Inspección y Certificación de Semillas (SNICS), Ciudad de México </w:t>
      </w:r>
      <w:r>
        <w:rPr>
          <w:lang w:val="es-ES_tradnl"/>
        </w:rPr>
        <w:br/>
      </w:r>
      <w:r w:rsidRPr="00436072">
        <w:rPr>
          <w:lang w:val="es-ES_tradnl"/>
        </w:rPr>
        <w:t>(e-mail: eduardo.padilla@sagarpa.gob.mx)</w:t>
      </w:r>
    </w:p>
    <w:p w:rsidR="00985274" w:rsidRPr="00B11C38" w:rsidRDefault="00985274" w:rsidP="00985274">
      <w:pPr>
        <w:pStyle w:val="pldetails"/>
        <w:rPr>
          <w:lang w:val="es-ES_tradnl"/>
        </w:rPr>
      </w:pPr>
      <w:r w:rsidRPr="000D065D">
        <w:rPr>
          <w:lang w:val="es-ES_tradnl"/>
        </w:rPr>
        <w:t>Maria del Pilar ESCOBAR BAUTISTA (Sra.), Consejera, Misión Permanente, Ginebra</w:t>
      </w:r>
      <w:r w:rsidRPr="000D065D">
        <w:rPr>
          <w:lang w:val="es-ES_tradnl"/>
        </w:rPr>
        <w:br/>
        <w:t>(e-mail: pescobar@sre.gob.mx)</w:t>
      </w:r>
    </w:p>
    <w:p w:rsidR="00985274" w:rsidRPr="00A959F2" w:rsidRDefault="00985274" w:rsidP="00985274">
      <w:pPr>
        <w:pStyle w:val="plcountry"/>
      </w:pPr>
      <w:r w:rsidRPr="00A959F2">
        <w:t>NORVÈGE / NORWAY / NORWEGEN / NORUEGA</w:t>
      </w:r>
    </w:p>
    <w:p w:rsidR="00985274" w:rsidRDefault="00985274" w:rsidP="00985274">
      <w:pPr>
        <w:pStyle w:val="pldetails"/>
      </w:pPr>
      <w:r w:rsidRPr="00A959F2">
        <w:t>Tor Erik JØRGENSEN</w:t>
      </w:r>
      <w:r>
        <w:t xml:space="preserve"> (Mr.)</w:t>
      </w:r>
      <w:r w:rsidRPr="00A959F2">
        <w:t xml:space="preserve">, Head of Section, National Approvals, Norwegian Food Safety Authority, Brumunddal  </w:t>
      </w:r>
      <w:r>
        <w:br/>
      </w:r>
      <w:r w:rsidRPr="00A959F2">
        <w:t xml:space="preserve">(e-mail: tor.erik.jorgensen@mattilsynet.no) </w:t>
      </w:r>
    </w:p>
    <w:p w:rsidR="00985274" w:rsidRPr="002F0B4A" w:rsidRDefault="00985274" w:rsidP="00985274">
      <w:pPr>
        <w:pStyle w:val="pldetails"/>
      </w:pPr>
      <w:r w:rsidRPr="00A959F2">
        <w:t xml:space="preserve">Marianne SMITH (Ms.), Senior Advisor, Norwegian Ministry of Agriculture and Food, </w:t>
      </w:r>
      <w:r w:rsidRPr="002F0B4A">
        <w:t xml:space="preserve">Oslo  </w:t>
      </w:r>
      <w:r>
        <w:br/>
      </w:r>
      <w:r w:rsidRPr="002F0B4A">
        <w:t xml:space="preserve">(e-mail: marianne.smith@lmd.dep.no) </w:t>
      </w:r>
    </w:p>
    <w:p w:rsidR="00985274" w:rsidRPr="00554F46" w:rsidRDefault="00985274" w:rsidP="00985274">
      <w:pPr>
        <w:pStyle w:val="pldetails"/>
      </w:pPr>
      <w:r w:rsidRPr="00884054">
        <w:t>Märtha Kristin OIEN FELTON</w:t>
      </w:r>
      <w:r>
        <w:t xml:space="preserve"> (Ms.)</w:t>
      </w:r>
      <w:r w:rsidRPr="00884054">
        <w:t xml:space="preserve">, Legal Advisor, Norwegian Food and Safety Authority, As </w:t>
      </w:r>
      <w:r>
        <w:br/>
      </w:r>
      <w:r w:rsidRPr="00884054">
        <w:t>(e-</w:t>
      </w:r>
      <w:r w:rsidRPr="00554F46">
        <w:t xml:space="preserve">mail: martha.kristin.oien.felton@mattilsynet.no) </w:t>
      </w:r>
    </w:p>
    <w:p w:rsidR="00985274" w:rsidRPr="00F31FF3" w:rsidRDefault="00985274" w:rsidP="00985274">
      <w:pPr>
        <w:pStyle w:val="plcountry"/>
      </w:pPr>
      <w:r w:rsidRPr="00F31FF3">
        <w:t>NOUVELLE-ZÉLANDE / NEW ZEALAND / NEUSEELAND / NUEVA ZELANDIA</w:t>
      </w:r>
    </w:p>
    <w:p w:rsidR="00985274" w:rsidRDefault="00985274" w:rsidP="00985274">
      <w:pPr>
        <w:pStyle w:val="pldetails"/>
      </w:pPr>
      <w:r w:rsidRPr="004D23DE">
        <w:t>Christopher J. BARNABY</w:t>
      </w:r>
      <w:r>
        <w:t xml:space="preserve"> (Mr.)</w:t>
      </w:r>
      <w:r w:rsidRPr="004D23DE">
        <w:t xml:space="preserve">, Assistant Commissioner / Principal Examiner for Plant Variety Rights, Plant Variety Rights Office, Intellectual Property Office of New Zealand, Ministry of Economic Development, Christchurch </w:t>
      </w:r>
      <w:r>
        <w:br/>
      </w:r>
      <w:r w:rsidRPr="004D23DE">
        <w:t xml:space="preserve">(e-mail: </w:t>
      </w:r>
      <w:r w:rsidRPr="00F82057">
        <w:t>Chris.Barnaby@pvr.govt.nz</w:t>
      </w:r>
      <w:r w:rsidRPr="004D23DE">
        <w:t xml:space="preserve">) </w:t>
      </w:r>
    </w:p>
    <w:p w:rsidR="00985274" w:rsidRPr="0020794D" w:rsidRDefault="00985274" w:rsidP="00985274">
      <w:pPr>
        <w:pStyle w:val="plcountry"/>
      </w:pPr>
      <w:r w:rsidRPr="0020794D">
        <w:t>OMAN / OMAN / OMAN / OMÁN</w:t>
      </w:r>
    </w:p>
    <w:p w:rsidR="00985274" w:rsidRPr="004D23DE" w:rsidRDefault="00985274" w:rsidP="00985274">
      <w:pPr>
        <w:pStyle w:val="pldetails"/>
      </w:pPr>
      <w:r w:rsidRPr="0020794D">
        <w:t xml:space="preserve">Mohammed AL-BALUSHI (Mr.), First Secretary, Permanent Mission, Geneva  </w:t>
      </w:r>
      <w:r w:rsidRPr="0020794D">
        <w:br/>
        <w:t>(e-mail: oman_wto@bluewin.ch)</w:t>
      </w:r>
      <w:r w:rsidRPr="004D23DE">
        <w:t xml:space="preserve"> </w:t>
      </w:r>
    </w:p>
    <w:p w:rsidR="00985274" w:rsidRPr="00F82057" w:rsidRDefault="00985274" w:rsidP="00985274">
      <w:pPr>
        <w:pStyle w:val="plcountry"/>
      </w:pPr>
      <w:r w:rsidRPr="00F82057">
        <w:t xml:space="preserve">ORGANISATION AFRICAINE DE LA PROPRIÉTÉ INTELLECTUELLE </w:t>
      </w:r>
      <w:r>
        <w:t xml:space="preserve">(OAPI) </w:t>
      </w:r>
      <w:r w:rsidRPr="00F82057">
        <w:t xml:space="preserve">/ </w:t>
      </w:r>
      <w:r w:rsidRPr="00F82057">
        <w:br/>
        <w:t xml:space="preserve">AFRICAN INTELLECTUAL PROPERTY ORGANIZATION </w:t>
      </w:r>
      <w:r>
        <w:t xml:space="preserve">(OAPI) </w:t>
      </w:r>
      <w:r w:rsidRPr="00F82057">
        <w:t xml:space="preserve">/ </w:t>
      </w:r>
      <w:r w:rsidRPr="00F82057">
        <w:br/>
        <w:t xml:space="preserve">AFRIKANISCHE ORGANISATION FÜR GEISTIGES EIGENTUM </w:t>
      </w:r>
      <w:r>
        <w:t xml:space="preserve">(OAPI) </w:t>
      </w:r>
      <w:r w:rsidRPr="00F82057">
        <w:t xml:space="preserve">/ </w:t>
      </w:r>
      <w:r w:rsidRPr="00F82057">
        <w:br/>
        <w:t>ORGANIZACIÓN AFRICANA DE LA PROPIEDAD INTELECTUAL</w:t>
      </w:r>
      <w:r>
        <w:t xml:space="preserve"> (OAPI)</w:t>
      </w:r>
    </w:p>
    <w:p w:rsidR="00985274" w:rsidRDefault="00985274" w:rsidP="00985274">
      <w:pPr>
        <w:pStyle w:val="pldetails"/>
        <w:rPr>
          <w:lang w:val="fr-CH"/>
        </w:rPr>
      </w:pPr>
      <w:r w:rsidRPr="004D23DE">
        <w:rPr>
          <w:lang w:val="fr-CH"/>
        </w:rPr>
        <w:t>Dosso MÉMASSI</w:t>
      </w:r>
      <w:r>
        <w:rPr>
          <w:lang w:val="fr-CH"/>
        </w:rPr>
        <w:t xml:space="preserve"> (M.)</w:t>
      </w:r>
      <w:r w:rsidRPr="004D23DE">
        <w:rPr>
          <w:lang w:val="fr-CH"/>
        </w:rPr>
        <w:t xml:space="preserve">, Directeur, Département de la protection de la propriété industrielle, </w:t>
      </w:r>
      <w:r>
        <w:rPr>
          <w:lang w:val="fr-CH"/>
        </w:rPr>
        <w:br/>
      </w:r>
      <w:r w:rsidRPr="00AA29D9">
        <w:rPr>
          <w:lang w:val="fr-CH"/>
        </w:rPr>
        <w:t>Organisation africaine de la propriété intellectuelle (OAPI)</w:t>
      </w:r>
      <w:r w:rsidRPr="004D23DE">
        <w:rPr>
          <w:lang w:val="fr-CH"/>
        </w:rPr>
        <w:t xml:space="preserve">, Yaoundé  </w:t>
      </w:r>
      <w:r>
        <w:rPr>
          <w:lang w:val="fr-CH"/>
        </w:rPr>
        <w:br/>
      </w:r>
      <w:r w:rsidRPr="004D23DE">
        <w:rPr>
          <w:lang w:val="fr-CH"/>
        </w:rPr>
        <w:t xml:space="preserve">(e-mail: dossomemassi@gmail.com) </w:t>
      </w:r>
    </w:p>
    <w:p w:rsidR="00985274" w:rsidRPr="007F5DBB" w:rsidRDefault="00985274" w:rsidP="00985274">
      <w:pPr>
        <w:pStyle w:val="plcountry"/>
      </w:pPr>
      <w:r w:rsidRPr="007F5DBB">
        <w:t>PAYS-BAS / NETHERLANDS / NIEDERLANDE / PAÍSES BAJOS</w:t>
      </w:r>
    </w:p>
    <w:p w:rsidR="00985274" w:rsidRPr="00CA557B" w:rsidRDefault="00985274" w:rsidP="00985274">
      <w:pPr>
        <w:pStyle w:val="pldetails"/>
      </w:pPr>
      <w:r w:rsidRPr="0020794D">
        <w:t xml:space="preserve">Marien VALSTAR (Mr.), Senior Policy Officer, Seeds and Plant Propagation Material, Ministry of Economic Affairs, DG AGRO &amp; NATURE, den Haag </w:t>
      </w:r>
      <w:r w:rsidRPr="0020794D">
        <w:br/>
        <w:t>(e-mail: m.valstar@minez.nl)</w:t>
      </w:r>
    </w:p>
    <w:p w:rsidR="00985274" w:rsidRPr="00CA557B" w:rsidRDefault="00985274" w:rsidP="00985274">
      <w:pPr>
        <w:pStyle w:val="pldetails"/>
      </w:pPr>
      <w:r w:rsidRPr="00CA557B">
        <w:t xml:space="preserve">Kees Jan GROENEWOUD (Mr.), Secretary, Dutch Board for Plant Variety (Raad voor Plantenrassen), Naktuinbouw, Roelofarendsveen  </w:t>
      </w:r>
      <w:r w:rsidRPr="00CA557B">
        <w:br/>
        <w:t xml:space="preserve">(e-mail: c.j.a.groenewoud@naktuinbouw.nl) </w:t>
      </w:r>
    </w:p>
    <w:p w:rsidR="00985274" w:rsidRPr="00430D4F" w:rsidRDefault="00985274" w:rsidP="00985274">
      <w:pPr>
        <w:pStyle w:val="pldetails"/>
      </w:pPr>
      <w:r w:rsidRPr="00DE7292">
        <w:t>Kees VAN ETTEKOVEN</w:t>
      </w:r>
      <w:r>
        <w:t xml:space="preserve"> (Mr.)</w:t>
      </w:r>
      <w:r w:rsidRPr="00DE7292">
        <w:t xml:space="preserve">, Senior PVP Policy Advisor, Naktuinbouw NL, Roelofarendsveen </w:t>
      </w:r>
      <w:r>
        <w:br/>
      </w:r>
      <w:r w:rsidRPr="00DE7292">
        <w:t>(e-</w:t>
      </w:r>
      <w:r w:rsidRPr="00430D4F">
        <w:t>mail: c.v.ettekoven@naktuinbouw.nl)</w:t>
      </w:r>
    </w:p>
    <w:p w:rsidR="00985274" w:rsidRPr="00F31FF3" w:rsidRDefault="00985274" w:rsidP="00985274">
      <w:pPr>
        <w:pStyle w:val="plcountry"/>
      </w:pPr>
      <w:r w:rsidRPr="00F31FF3">
        <w:t>POLOGNE / POLAND / POLEN / POLONIA</w:t>
      </w:r>
    </w:p>
    <w:p w:rsidR="00985274" w:rsidRPr="00F31FF3" w:rsidRDefault="00985274" w:rsidP="00985274">
      <w:pPr>
        <w:pStyle w:val="pldetails"/>
      </w:pPr>
      <w:r w:rsidRPr="00430D4F">
        <w:t>Marcin BEHNKE</w:t>
      </w:r>
      <w:r>
        <w:t xml:space="preserve"> (Mr.)</w:t>
      </w:r>
      <w:r w:rsidRPr="00430D4F">
        <w:t xml:space="preserve">, Deputy Director General for Experimental Affairs, Research Centre for Cultivar Testing (COBORU), Slupia Wielka </w:t>
      </w:r>
      <w:r>
        <w:br/>
      </w:r>
      <w:r w:rsidRPr="00430D4F">
        <w:t>(e-mail: m.behnke@coboru.pl)</w:t>
      </w:r>
    </w:p>
    <w:p w:rsidR="00985274" w:rsidRPr="00F31FF3" w:rsidRDefault="00985274" w:rsidP="00985274">
      <w:pPr>
        <w:pStyle w:val="pldetails"/>
      </w:pPr>
      <w:r w:rsidRPr="00A959F2">
        <w:t xml:space="preserve">Alicja </w:t>
      </w:r>
      <w:r w:rsidRPr="00F31FF3">
        <w:t>RUTKOWSKA-ŁOŚ</w:t>
      </w:r>
      <w:r>
        <w:t xml:space="preserve"> (M</w:t>
      </w:r>
      <w:r w:rsidRPr="00A959F2">
        <w:t>s.), Head, National Listing and Plant Breeders</w:t>
      </w:r>
      <w:r>
        <w:t>’ Rights Protection Office, The </w:t>
      </w:r>
      <w:r w:rsidRPr="00A959F2">
        <w:t xml:space="preserve">Research Centre for Cultivar Testing (COBORU), Slupia Wielka  </w:t>
      </w:r>
      <w:r>
        <w:br/>
      </w:r>
      <w:r w:rsidRPr="00A959F2">
        <w:t>(e-</w:t>
      </w:r>
      <w:r w:rsidRPr="00F31FF3">
        <w:t xml:space="preserve">mail: a.rutkowska@coboru.pl) </w:t>
      </w:r>
    </w:p>
    <w:p w:rsidR="00985274" w:rsidRPr="00C855A0" w:rsidRDefault="00985274" w:rsidP="00985274">
      <w:pPr>
        <w:pStyle w:val="plcountry"/>
        <w:rPr>
          <w:lang w:val="es-ES_tradnl"/>
        </w:rPr>
      </w:pPr>
      <w:r w:rsidRPr="00C855A0">
        <w:rPr>
          <w:lang w:val="es-ES_tradnl"/>
        </w:rPr>
        <w:t xml:space="preserve">RÉPUBLIQUE DE MOLDOVA / REPUBLIC OF MOLDOVA / REPUBLIK MOLDAU / </w:t>
      </w:r>
      <w:r>
        <w:rPr>
          <w:lang w:val="es-ES_tradnl"/>
        </w:rPr>
        <w:br/>
      </w:r>
      <w:r w:rsidRPr="00C855A0">
        <w:rPr>
          <w:lang w:val="es-ES_tradnl"/>
        </w:rPr>
        <w:t>REPÚBLICA DE MOLDOVA</w:t>
      </w:r>
    </w:p>
    <w:p w:rsidR="00985274" w:rsidRPr="004D23DE" w:rsidRDefault="00985274" w:rsidP="00985274">
      <w:pPr>
        <w:pStyle w:val="pldetails"/>
      </w:pPr>
      <w:r w:rsidRPr="004D23DE">
        <w:t>Mihail MACHIDON</w:t>
      </w:r>
      <w:r>
        <w:t xml:space="preserve"> (Mr.)</w:t>
      </w:r>
      <w:r w:rsidRPr="004D23DE">
        <w:t xml:space="preserve">, Chairman, State Commission for Crops Variety Testing and Registration (SCCVTR), Chisinau  </w:t>
      </w:r>
      <w:r>
        <w:br/>
      </w:r>
      <w:r w:rsidRPr="004D23DE">
        <w:t xml:space="preserve">(e-mail: info@cstsp.md) </w:t>
      </w:r>
    </w:p>
    <w:p w:rsidR="00985274" w:rsidRPr="006771AA" w:rsidRDefault="00985274" w:rsidP="00985274">
      <w:pPr>
        <w:pStyle w:val="plcountry"/>
        <w:rPr>
          <w:lang w:val="es-ES_tradnl"/>
        </w:rPr>
      </w:pPr>
      <w:r w:rsidRPr="006771AA">
        <w:rPr>
          <w:lang w:val="es-ES_tradnl"/>
        </w:rPr>
        <w:t xml:space="preserve">RÉPUBLIQUE-UNIE DE TANZANIE / UNITED REPUBLIC OF TANZANIA / </w:t>
      </w:r>
      <w:r w:rsidRPr="006771AA">
        <w:rPr>
          <w:lang w:val="es-ES_tradnl"/>
        </w:rPr>
        <w:br/>
        <w:t>VEREINIGTE REPUBLIK TANSANIA / REPÚBLICA UNIDA DE TANZANÍA</w:t>
      </w:r>
    </w:p>
    <w:p w:rsidR="00985274" w:rsidRDefault="00985274" w:rsidP="00985274">
      <w:pPr>
        <w:pStyle w:val="pldetails"/>
      </w:pPr>
      <w:r w:rsidRPr="001D29BE">
        <w:t>Patrick NGWEDIAGI</w:t>
      </w:r>
      <w:r>
        <w:t xml:space="preserve"> (Mr.)</w:t>
      </w:r>
      <w:r w:rsidRPr="001D29BE">
        <w:t xml:space="preserve">, Chief Executive Officer/Director General, Tanzania Official Seed Certification Institute (TOSCI), Dar es Salaam </w:t>
      </w:r>
      <w:r>
        <w:br/>
      </w:r>
      <w:r w:rsidRPr="001D29BE">
        <w:t>(e-mail: ngwedi@yahoo.com)</w:t>
      </w:r>
    </w:p>
    <w:p w:rsidR="00985274" w:rsidRPr="00DF1952" w:rsidRDefault="00985274" w:rsidP="00985274">
      <w:pPr>
        <w:pStyle w:val="pldetails"/>
      </w:pPr>
      <w:r w:rsidRPr="001D29BE">
        <w:t>Joyce Eligi MOSILE (Ms.), Acting Registrar of Plant Breeders</w:t>
      </w:r>
      <w:r>
        <w:t>’</w:t>
      </w:r>
      <w:r w:rsidRPr="001D29BE">
        <w:t xml:space="preserve"> Rights, Ministry of Agriculture Livestock and Fisheries, Dodoma </w:t>
      </w:r>
      <w:r>
        <w:br/>
      </w:r>
      <w:r w:rsidRPr="001D29BE">
        <w:t>(e-mail: Joyce.mosile@kilimo.go.tz)</w:t>
      </w:r>
    </w:p>
    <w:p w:rsidR="00985274" w:rsidRPr="00DF3CAA" w:rsidRDefault="00985274" w:rsidP="00985274">
      <w:pPr>
        <w:pStyle w:val="plcountry"/>
      </w:pPr>
      <w:r w:rsidRPr="00DF3CAA">
        <w:t>ROUMANIE / ROMANIA / RUMÄNIEN / RUMANIA</w:t>
      </w:r>
    </w:p>
    <w:p w:rsidR="00985274" w:rsidRDefault="00985274" w:rsidP="00985274">
      <w:pPr>
        <w:pStyle w:val="pldetails"/>
      </w:pPr>
      <w:r w:rsidRPr="00DB5C7D">
        <w:t>Mihai POPESCU</w:t>
      </w:r>
      <w:r>
        <w:t xml:space="preserve"> (Mr.)</w:t>
      </w:r>
      <w:r w:rsidRPr="00DB5C7D">
        <w:t xml:space="preserve">, Director, State Institute for Variety Testing and Registration (ISTIS), Bucharest </w:t>
      </w:r>
      <w:r>
        <w:br/>
      </w:r>
      <w:r w:rsidRPr="00DB5C7D">
        <w:t>(e-mail: mihai_popescu@istis.ro)</w:t>
      </w:r>
    </w:p>
    <w:p w:rsidR="00985274" w:rsidRPr="00DF1952" w:rsidRDefault="00985274" w:rsidP="00985274">
      <w:pPr>
        <w:pStyle w:val="pldetails"/>
      </w:pPr>
      <w:r w:rsidRPr="004D23DE">
        <w:t>Cristian Irinel MOCANU</w:t>
      </w:r>
      <w:r>
        <w:t xml:space="preserve"> (Mr.)</w:t>
      </w:r>
      <w:r w:rsidRPr="004D23DE">
        <w:t xml:space="preserve">, Head of Legal Department, State Institute for Variety Testing and </w:t>
      </w:r>
      <w:r w:rsidRPr="00DF1952">
        <w:t xml:space="preserve">Registration, Bucarest  </w:t>
      </w:r>
      <w:r>
        <w:br/>
      </w:r>
      <w:r w:rsidRPr="00DF1952">
        <w:t xml:space="preserve">(e-mail: irinel_mocanu@istis.ro) </w:t>
      </w:r>
    </w:p>
    <w:p w:rsidR="00985274" w:rsidRPr="0074002B" w:rsidRDefault="00985274" w:rsidP="00985274">
      <w:pPr>
        <w:pStyle w:val="plcountry"/>
      </w:pPr>
      <w:r w:rsidRPr="0074002B">
        <w:t>ROYAUME-UNI / UNITED KINGDOM / VEREINIGTES KÖNIGREICH / REINO UNIDO</w:t>
      </w:r>
    </w:p>
    <w:p w:rsidR="00985274" w:rsidRPr="004D23DE" w:rsidRDefault="00985274" w:rsidP="00985274">
      <w:pPr>
        <w:pStyle w:val="pldetails"/>
      </w:pPr>
      <w:r w:rsidRPr="004D23DE">
        <w:t>Andrew MITCHELL</w:t>
      </w:r>
      <w:r>
        <w:t xml:space="preserve"> (Mr.)</w:t>
      </w:r>
      <w:r w:rsidRPr="004D23DE">
        <w:t xml:space="preserve">, Head of Varieties and Seeds, Department for Environment, Food and Rural Affairs (DEFRA), Cambridge </w:t>
      </w:r>
      <w:r>
        <w:br/>
      </w:r>
      <w:r w:rsidRPr="004D23DE">
        <w:t xml:space="preserve">(e-mail: andrew.mitchell@defra.gsi.gov.uk) </w:t>
      </w:r>
    </w:p>
    <w:p w:rsidR="00985274" w:rsidRPr="004D23DE" w:rsidRDefault="00985274" w:rsidP="00985274">
      <w:pPr>
        <w:pStyle w:val="plcountry"/>
      </w:pPr>
      <w:r w:rsidRPr="004D23DE">
        <w:t>SLOVAQUIE / SLOVAKIA / SLOWAKEI / ESLOVAQUIA</w:t>
      </w:r>
    </w:p>
    <w:p w:rsidR="00985274" w:rsidRPr="004D23DE" w:rsidRDefault="00985274" w:rsidP="00985274">
      <w:pPr>
        <w:pStyle w:val="pldetails"/>
      </w:pPr>
      <w:r w:rsidRPr="004D23DE">
        <w:t xml:space="preserve">Bronislava BÁTOROVÁ (Ms.), National Coordinator for the Cooperation of the Slovak Republic with UPOV/ Senior Officer, Department of Variety Testing, Central Controlling and Testing Institute in Agriculture (ÚKSÚP), Nitra  </w:t>
      </w:r>
      <w:r>
        <w:br/>
      </w:r>
      <w:r w:rsidRPr="004D23DE">
        <w:t xml:space="preserve">(e-mail: bronislava.batorova@uksup.sk) </w:t>
      </w:r>
    </w:p>
    <w:p w:rsidR="00985274" w:rsidRPr="00A959F2" w:rsidRDefault="00985274" w:rsidP="00985274">
      <w:pPr>
        <w:pStyle w:val="plcountry"/>
      </w:pPr>
      <w:r w:rsidRPr="00A959F2">
        <w:t>SUÈDE / SWEDEN / SCHWEDEN / SUECIA</w:t>
      </w:r>
    </w:p>
    <w:p w:rsidR="00985274" w:rsidRPr="00A959F2" w:rsidRDefault="00985274" w:rsidP="00985274">
      <w:pPr>
        <w:pStyle w:val="pldetails"/>
      </w:pPr>
      <w:r w:rsidRPr="00A959F2">
        <w:t>Olof JOHANSSON</w:t>
      </w:r>
      <w:r>
        <w:t xml:space="preserve"> (Mr.)</w:t>
      </w:r>
      <w:r w:rsidRPr="00A959F2">
        <w:t xml:space="preserve">, Head, Plant and Environment Department, Swedish Board of Agriculture, Jönköping  </w:t>
      </w:r>
      <w:r>
        <w:br/>
      </w:r>
      <w:r w:rsidRPr="00A959F2">
        <w:t xml:space="preserve">(e-mail: olof.johansson@jordbruksverket.se) </w:t>
      </w:r>
    </w:p>
    <w:p w:rsidR="00985274" w:rsidRPr="004D23DE" w:rsidRDefault="00985274" w:rsidP="00985274">
      <w:pPr>
        <w:pStyle w:val="plcountry"/>
      </w:pPr>
      <w:r w:rsidRPr="004D23DE">
        <w:t>SUISSE / SWITZERLAND / SCHWEIZ / SUIZA</w:t>
      </w:r>
    </w:p>
    <w:p w:rsidR="00985274" w:rsidRDefault="00985274" w:rsidP="00985274">
      <w:pPr>
        <w:pStyle w:val="pldetails"/>
      </w:pPr>
      <w:r w:rsidRPr="004D23DE">
        <w:t>Manuela BRAND (Ms.), Plant Variety Rights Office, Plant Health and Varieties, Office fédéral de l</w:t>
      </w:r>
      <w:r>
        <w:t>’</w:t>
      </w:r>
      <w:r w:rsidRPr="004D23DE">
        <w:t xml:space="preserve">agriculture (OFAG), Bern  </w:t>
      </w:r>
      <w:r>
        <w:br/>
      </w:r>
      <w:r w:rsidRPr="004D23DE">
        <w:t xml:space="preserve">(e-mail: </w:t>
      </w:r>
      <w:r w:rsidRPr="005C0CEF">
        <w:t>manuela.brand@blw.admin.ch</w:t>
      </w:r>
      <w:r w:rsidRPr="004D23DE">
        <w:t xml:space="preserve">) </w:t>
      </w:r>
    </w:p>
    <w:p w:rsidR="00985274" w:rsidRDefault="00985274" w:rsidP="00985274">
      <w:pPr>
        <w:pStyle w:val="plcountry"/>
      </w:pPr>
      <w:r w:rsidRPr="00D4512C">
        <w:t>TURQUIE / TURKEY / TÜRKEI / TURQUÍA</w:t>
      </w:r>
    </w:p>
    <w:p w:rsidR="00985274" w:rsidRPr="00D55412" w:rsidRDefault="00985274" w:rsidP="00985274">
      <w:pPr>
        <w:pStyle w:val="pldetails"/>
      </w:pPr>
      <w:r w:rsidRPr="00D55412">
        <w:t>Mehmet CAKMAK</w:t>
      </w:r>
      <w:r>
        <w:t xml:space="preserve"> (Mr.)</w:t>
      </w:r>
      <w:r w:rsidRPr="00D55412">
        <w:t xml:space="preserve">, PBR Expert, Seed Department, General Directorate of Plant Production, Ministry of Food, Agriculture and Livestock, Ankara </w:t>
      </w:r>
      <w:r>
        <w:br/>
      </w:r>
      <w:r w:rsidRPr="00D55412">
        <w:t>(e-mail: mehmet.cakmak@tarim.gov.tr)</w:t>
      </w:r>
    </w:p>
    <w:p w:rsidR="00985274" w:rsidRPr="00A959F2" w:rsidRDefault="00985274" w:rsidP="00985274">
      <w:pPr>
        <w:pStyle w:val="plcountry"/>
      </w:pPr>
      <w:r w:rsidRPr="00A959F2">
        <w:t>UNION EUROPÉENNE / EUROPEAN UNION / EUROPÄISCHE UNION / UNIÓN EUROPEA</w:t>
      </w:r>
    </w:p>
    <w:p w:rsidR="00985274" w:rsidRPr="00F45E2A" w:rsidRDefault="00985274" w:rsidP="00985274">
      <w:pPr>
        <w:pStyle w:val="pldetails"/>
      </w:pPr>
      <w:r w:rsidRPr="004D23DE">
        <w:t xml:space="preserve">Kristiina DIGRYTE (Ms.), Adviser, Plant Health Department, Tallinn  </w:t>
      </w:r>
      <w:r>
        <w:br/>
      </w:r>
      <w:r w:rsidRPr="004D23DE">
        <w:t>(e-</w:t>
      </w:r>
      <w:r w:rsidRPr="00F45E2A">
        <w:t xml:space="preserve">mail: kristiina.digryte@agri.ee) </w:t>
      </w:r>
    </w:p>
    <w:p w:rsidR="00985274" w:rsidRPr="00A37CDF" w:rsidRDefault="00985274" w:rsidP="00985274">
      <w:pPr>
        <w:pStyle w:val="pldetails"/>
      </w:pPr>
      <w:r w:rsidRPr="00442956">
        <w:t xml:space="preserve">Renata TSATURJAN (Ms.), Chief Specialist, Plant Production Bureau, Ministry of Rural Affairs, Tallinn </w:t>
      </w:r>
      <w:r w:rsidRPr="00442956">
        <w:br/>
        <w:t>(e-mail: renata.tsaturjan@agri.ee)</w:t>
      </w:r>
      <w:r>
        <w:t xml:space="preserve"> </w:t>
      </w:r>
    </w:p>
    <w:p w:rsidR="00985274" w:rsidRDefault="00985274" w:rsidP="00985274">
      <w:pPr>
        <w:pStyle w:val="pldetails"/>
      </w:pPr>
      <w:r w:rsidRPr="000E5617">
        <w:t>Martin EKVAD</w:t>
      </w:r>
      <w:r>
        <w:t xml:space="preserve"> (Mr.)</w:t>
      </w:r>
      <w:r w:rsidRPr="000E5617">
        <w:t xml:space="preserve">, President, Community Plant Variety Office (CPVO), Angers </w:t>
      </w:r>
      <w:r>
        <w:br/>
      </w:r>
      <w:r w:rsidRPr="000E5617">
        <w:t>(e-mail: ekvad@cpvo.europa.eu)</w:t>
      </w:r>
    </w:p>
    <w:p w:rsidR="00985274" w:rsidRDefault="00985274" w:rsidP="00985274">
      <w:pPr>
        <w:pStyle w:val="pldetails"/>
      </w:pPr>
      <w:r w:rsidRPr="00A37CDF">
        <w:t>Francesco MATTINA</w:t>
      </w:r>
      <w:r>
        <w:t xml:space="preserve"> (Mr.)</w:t>
      </w:r>
      <w:r w:rsidRPr="00A37CDF">
        <w:t xml:space="preserve">, Vice-President, Community Plant Variety Office (CPVO), Angers </w:t>
      </w:r>
      <w:r>
        <w:br/>
      </w:r>
      <w:r w:rsidRPr="00A37CDF">
        <w:t xml:space="preserve">(e-mail: </w:t>
      </w:r>
      <w:r w:rsidRPr="000E5617">
        <w:t>mattina@cpvo.europa.eu</w:t>
      </w:r>
      <w:r w:rsidRPr="00A37CDF">
        <w:t>)</w:t>
      </w:r>
      <w:r w:rsidRPr="004D23DE">
        <w:t xml:space="preserve"> </w:t>
      </w:r>
    </w:p>
    <w:p w:rsidR="00985274" w:rsidRPr="004D23DE" w:rsidRDefault="00985274" w:rsidP="00985274">
      <w:pPr>
        <w:pStyle w:val="pldetails"/>
      </w:pPr>
      <w:r w:rsidRPr="000E5617">
        <w:t>Päivi MANNERKORPI (Ms.), Team Leader - Plant Reproductive Material, Unit G1 Plant Health, Directorate General for Health and Food Safety (DG SANTE), European Commission, Bru</w:t>
      </w:r>
      <w:r>
        <w:t>ss</w:t>
      </w:r>
      <w:r w:rsidRPr="000E5617">
        <w:t xml:space="preserve">els </w:t>
      </w:r>
      <w:r>
        <w:br/>
      </w:r>
      <w:r w:rsidRPr="000E5617">
        <w:t>(e-mail: paivi.mannerkorpi@ec.europa.eu)</w:t>
      </w:r>
    </w:p>
    <w:p w:rsidR="00985274" w:rsidRPr="00DF3CAA" w:rsidRDefault="00985274" w:rsidP="00985274">
      <w:pPr>
        <w:pStyle w:val="pldetails"/>
      </w:pPr>
      <w:r w:rsidRPr="00A37CDF">
        <w:t>Dirk THEOBALD</w:t>
      </w:r>
      <w:r>
        <w:t xml:space="preserve"> (Mr.)</w:t>
      </w:r>
      <w:r w:rsidRPr="00A37CDF">
        <w:t xml:space="preserve">, Head of the Technical Unit, Community Plant Variety Office (CPVO), Angers </w:t>
      </w:r>
      <w:r>
        <w:br/>
      </w:r>
      <w:r w:rsidRPr="00A37CDF">
        <w:t xml:space="preserve">(e-mail: theobald@cpvo.europa.eu) </w:t>
      </w:r>
      <w:r w:rsidRPr="00A959F2">
        <w:t xml:space="preserve"> </w:t>
      </w:r>
    </w:p>
    <w:p w:rsidR="00985274" w:rsidRPr="000B1CE6" w:rsidRDefault="00985274" w:rsidP="00985274">
      <w:pPr>
        <w:pStyle w:val="plheading"/>
      </w:pPr>
      <w:r w:rsidRPr="000B1CE6">
        <w:t>II. OBSERVATEURS / OBSERVERS / BEOBACHTER / OBSERVADORES</w:t>
      </w:r>
    </w:p>
    <w:p w:rsidR="00985274" w:rsidRPr="0020794D" w:rsidRDefault="00985274" w:rsidP="00985274">
      <w:pPr>
        <w:pStyle w:val="plcountry"/>
      </w:pPr>
      <w:r w:rsidRPr="0020794D">
        <w:t>ARABIE SAOUDITE / SAUDI ARABIA / SAUDI-ARABIEN / ARABIA SAUDITA</w:t>
      </w:r>
    </w:p>
    <w:p w:rsidR="00985274" w:rsidRDefault="00985274" w:rsidP="00985274">
      <w:pPr>
        <w:pStyle w:val="pldetails"/>
      </w:pPr>
      <w:r w:rsidRPr="0020794D">
        <w:t xml:space="preserve">Fhead AL SUBAEI (Mr.), DUS Examiner, General Directorate of Industrial Property, King Abdulaziz City for Science and Technology (KACST), Riyadh </w:t>
      </w:r>
      <w:r w:rsidRPr="0020794D">
        <w:br/>
        <w:t>(e-mail: fsubaei@kacst.edu.sa)</w:t>
      </w:r>
    </w:p>
    <w:p w:rsidR="00985274" w:rsidRPr="000B1CE6" w:rsidRDefault="00985274" w:rsidP="00985274">
      <w:pPr>
        <w:pStyle w:val="plcountry"/>
      </w:pPr>
      <w:r w:rsidRPr="00A5252F">
        <w:t>ÉGYPTE / EGYPT / ÄGYPTEN / EGIPTO</w:t>
      </w:r>
    </w:p>
    <w:p w:rsidR="00985274" w:rsidRDefault="00985274" w:rsidP="00985274">
      <w:pPr>
        <w:pStyle w:val="pldetails"/>
      </w:pPr>
      <w:r w:rsidRPr="00A5252F">
        <w:t>Alaa Azouz Salama ABDELMAKSOUD</w:t>
      </w:r>
      <w:r>
        <w:t xml:space="preserve"> (Mr.)</w:t>
      </w:r>
      <w:r w:rsidRPr="00A5252F">
        <w:t xml:space="preserve">, Deputy Director of Agricultural Research Center, Ministry of Agriculture and Land Reclamation, Giza </w:t>
      </w:r>
      <w:r>
        <w:br/>
      </w:r>
      <w:r w:rsidRPr="00A5252F">
        <w:t>(e-mail: alaazouz@hotmail.com)</w:t>
      </w:r>
      <w:r w:rsidRPr="000B1CE6">
        <w:t xml:space="preserve"> </w:t>
      </w:r>
    </w:p>
    <w:p w:rsidR="00985274" w:rsidRDefault="00985274" w:rsidP="00985274">
      <w:pPr>
        <w:pStyle w:val="pldetails"/>
      </w:pPr>
      <w:r w:rsidRPr="00A5252F">
        <w:t>Gamal Mahmoud ELAZZAB</w:t>
      </w:r>
      <w:r>
        <w:t xml:space="preserve"> (Mr.)</w:t>
      </w:r>
      <w:r w:rsidRPr="00A5252F">
        <w:t xml:space="preserve">, Head, Central Administration for Seed Testing and Certification (CASC), Ministry of Agriculture &amp; Land Reclamation, Giza </w:t>
      </w:r>
      <w:r>
        <w:br/>
      </w:r>
      <w:r w:rsidRPr="00A5252F">
        <w:t>(e-mail: casc.egypt@hotmail.com)</w:t>
      </w:r>
    </w:p>
    <w:p w:rsidR="00985274" w:rsidRDefault="00985274" w:rsidP="00985274">
      <w:pPr>
        <w:pStyle w:val="pldetails"/>
      </w:pPr>
      <w:r w:rsidRPr="00A5252F">
        <w:t>Saad NASSAR</w:t>
      </w:r>
      <w:r>
        <w:t xml:space="preserve"> (Mr.)</w:t>
      </w:r>
      <w:r w:rsidRPr="00A5252F">
        <w:t xml:space="preserve">, Advisor, Ministry of Agriculture and Land Reclamation, Giza </w:t>
      </w:r>
      <w:r>
        <w:br/>
      </w:r>
      <w:r w:rsidRPr="00A5252F">
        <w:t>(e-mail: Casc.egypt@hotmail.com)</w:t>
      </w:r>
    </w:p>
    <w:p w:rsidR="00985274" w:rsidRPr="004D23DE" w:rsidRDefault="00985274" w:rsidP="00985274">
      <w:pPr>
        <w:pStyle w:val="plcountry"/>
      </w:pPr>
      <w:r w:rsidRPr="00862B13">
        <w:t>INDE / INDIA / INDIEN / INDIA</w:t>
      </w:r>
    </w:p>
    <w:p w:rsidR="00985274" w:rsidRDefault="00985274" w:rsidP="00985274">
      <w:pPr>
        <w:pStyle w:val="pldetails"/>
      </w:pPr>
      <w:r w:rsidRPr="00CC7756">
        <w:t>Rakesh Chandra AGRAWAL</w:t>
      </w:r>
      <w:r>
        <w:t xml:space="preserve"> (Mr.)</w:t>
      </w:r>
      <w:r w:rsidRPr="00CC7756">
        <w:t>, Registrar General, Protection of Plant Varieties and Farmers</w:t>
      </w:r>
      <w:r>
        <w:t>’</w:t>
      </w:r>
      <w:r w:rsidRPr="00CC7756">
        <w:t xml:space="preserve"> Rights Authority, New Delhi </w:t>
      </w:r>
      <w:r>
        <w:br/>
      </w:r>
      <w:r w:rsidRPr="00CC7756">
        <w:t xml:space="preserve">(e-mail: </w:t>
      </w:r>
      <w:r w:rsidRPr="00B9197E">
        <w:t>rg-ppvfra@nic.in</w:t>
      </w:r>
      <w:r w:rsidRPr="00CC7756">
        <w:t>)</w:t>
      </w:r>
    </w:p>
    <w:p w:rsidR="00985274" w:rsidRPr="000B1CE6" w:rsidRDefault="00985274" w:rsidP="00985274">
      <w:pPr>
        <w:pStyle w:val="plheading"/>
      </w:pPr>
      <w:r w:rsidRPr="000B1CE6">
        <w:t>III. ORGANISATIONS / ORGANIZATIONS / ORGANISATIONEN / ORGANIZACIONES</w:t>
      </w:r>
    </w:p>
    <w:p w:rsidR="00985274" w:rsidRPr="00841411" w:rsidRDefault="00985274" w:rsidP="00985274">
      <w:pPr>
        <w:pStyle w:val="plcountry"/>
      </w:pPr>
      <w:r w:rsidRPr="00E15B7F">
        <w:t xml:space="preserve">ORGANISATION MONDIALE DU COMMERCE (OMC) / WORLD TRADE </w:t>
      </w:r>
      <w:r w:rsidRPr="00CB48D1">
        <w:t>ORGANIZATION (WTO) / WELTHANDELSORGANISATION (WTO) / ORGANIZACIÓN MUNDIAL DEL COMERCIO (OMC)</w:t>
      </w:r>
    </w:p>
    <w:p w:rsidR="00985274" w:rsidRDefault="00985274" w:rsidP="00985274">
      <w:pPr>
        <w:pStyle w:val="pldetails"/>
      </w:pPr>
      <w:r w:rsidRPr="00E15B7F">
        <w:t>Xiaoping WU (Ms.), Counsellor, Intellectual Property, Government Procurement and Competition Division, World T</w:t>
      </w:r>
      <w:r>
        <w:t>rade Organization (WTO), Geneva</w:t>
      </w:r>
      <w:r w:rsidRPr="00E15B7F">
        <w:t xml:space="preserve"> </w:t>
      </w:r>
      <w:r>
        <w:br/>
      </w:r>
      <w:r w:rsidRPr="00E15B7F">
        <w:t>(e-mail: xiaoping.wu@wto.org)</w:t>
      </w:r>
    </w:p>
    <w:p w:rsidR="00985274" w:rsidRPr="00880B4C" w:rsidRDefault="00985274" w:rsidP="00985274">
      <w:pPr>
        <w:pStyle w:val="plcountry"/>
      </w:pPr>
      <w:r w:rsidRPr="00880B4C">
        <w:t xml:space="preserve">ORGANISATION RÉGIONALE AFRICAINE DE LA PROPRIÉTÉ INTELLECTUELLE (ARIPO) / </w:t>
      </w:r>
      <w:r w:rsidRPr="00880B4C">
        <w:br/>
        <w:t xml:space="preserve">AFRICAN REGIONAL INTELLECTUAL PROPERTY ORGANIZATION (ARIPO) / </w:t>
      </w:r>
      <w:r w:rsidRPr="00880B4C">
        <w:br/>
        <w:t xml:space="preserve">AFRIKANISCHE REGIONALORGANISATION ZUM SCHUTZ GEISTIGEN EIGENTUMS (ARIPO) / </w:t>
      </w:r>
      <w:r w:rsidRPr="00880B4C">
        <w:br/>
        <w:t>ORGANIZACIÓN REGIONAL AFRICANA DE LA PROPIEDAD INTELECTUAL (ARIPO)</w:t>
      </w:r>
    </w:p>
    <w:p w:rsidR="00985274" w:rsidRDefault="00985274" w:rsidP="00985274">
      <w:pPr>
        <w:pStyle w:val="pldetails"/>
      </w:pPr>
      <w:r w:rsidRPr="00A42BF1">
        <w:t>Emmanuel SACKEY</w:t>
      </w:r>
      <w:r>
        <w:t xml:space="preserve"> (Mr.)</w:t>
      </w:r>
      <w:r w:rsidRPr="00A42BF1">
        <w:t xml:space="preserve">, Industrial Property Development Executive, Harare, </w:t>
      </w:r>
      <w:r w:rsidRPr="00880B4C">
        <w:t>Zimbabwe</w:t>
      </w:r>
      <w:r w:rsidRPr="00A42BF1">
        <w:t xml:space="preserve"> </w:t>
      </w:r>
      <w:r>
        <w:br/>
      </w:r>
      <w:r w:rsidRPr="00A42BF1">
        <w:t>(e-mail: esackey@aripo.org)</w:t>
      </w:r>
    </w:p>
    <w:p w:rsidR="00985274" w:rsidRPr="00A42BF1" w:rsidRDefault="00985274" w:rsidP="00985274">
      <w:pPr>
        <w:pStyle w:val="pldetails"/>
      </w:pPr>
      <w:r w:rsidRPr="00A42BF1">
        <w:t>Pierre Claver RUNIGA</w:t>
      </w:r>
      <w:r>
        <w:t xml:space="preserve"> (Mr.)</w:t>
      </w:r>
      <w:r w:rsidRPr="00A42BF1">
        <w:t xml:space="preserve">, Head, Policy, Legal and International Cooperation, African Regional Intellectual Property Organization (ARIPO), </w:t>
      </w:r>
      <w:r>
        <w:t>Harare</w:t>
      </w:r>
      <w:r w:rsidRPr="00A42BF1">
        <w:t xml:space="preserve"> </w:t>
      </w:r>
      <w:r>
        <w:br/>
      </w:r>
      <w:r w:rsidRPr="00A42BF1">
        <w:t>(e-mail: pruniga@aripo.org)</w:t>
      </w:r>
    </w:p>
    <w:p w:rsidR="00985274" w:rsidRPr="00841411" w:rsidRDefault="00985274" w:rsidP="00985274">
      <w:pPr>
        <w:pStyle w:val="plcountry"/>
      </w:pPr>
      <w:r w:rsidRPr="00D657A7">
        <w:t>ASSOCIATION FOR PLANT BREEDING FOR THE BENEFIT OF SOCIETY (APBREBES)</w:t>
      </w:r>
    </w:p>
    <w:p w:rsidR="00985274" w:rsidRDefault="00985274" w:rsidP="00985274">
      <w:pPr>
        <w:pStyle w:val="pldetails"/>
      </w:pPr>
      <w:r w:rsidRPr="006E4B4B">
        <w:t xml:space="preserve">Susanne GURA (Ms.), APBREBES Coordinator, Association for Plant Breeding for the Benefit of Society (APBREBES), Bonn </w:t>
      </w:r>
      <w:r>
        <w:br/>
      </w:r>
      <w:r w:rsidRPr="006E4B4B">
        <w:t xml:space="preserve">(e-mail: </w:t>
      </w:r>
      <w:r w:rsidRPr="00FB76D3">
        <w:t>contact@apbrebes.org</w:t>
      </w:r>
      <w:r w:rsidRPr="006E4B4B">
        <w:t>)</w:t>
      </w:r>
    </w:p>
    <w:p w:rsidR="00985274" w:rsidRPr="00FB76D3" w:rsidRDefault="00985274" w:rsidP="00985274">
      <w:pPr>
        <w:pStyle w:val="pldetails"/>
      </w:pPr>
      <w:r w:rsidRPr="00442956">
        <w:t xml:space="preserve">Carla HOINKES (Ms.), Association for Plant Breeding for the Benefit of Society (APBREBES), Bonn </w:t>
      </w:r>
      <w:r w:rsidRPr="00442956">
        <w:br/>
        <w:t>(e-mail: contact@apbrebes.org)</w:t>
      </w:r>
    </w:p>
    <w:p w:rsidR="00985274" w:rsidRPr="00841411" w:rsidRDefault="00985274" w:rsidP="00985274">
      <w:pPr>
        <w:pStyle w:val="plcountry"/>
      </w:pPr>
      <w:r w:rsidRPr="00382E92">
        <w:t>COMMUNAUTÉ INTERNATIONALE DES OBTENTEURS DE PLANTES ORNEMENTALES ET FRUITIÈRES À REPRODUCTION ASEXUÉE (CIOPORA) / INTERNATIONA</w:t>
      </w:r>
      <w:r>
        <w:t xml:space="preserve">L COMMUNITY </w:t>
      </w:r>
      <w:r w:rsidRPr="00841411">
        <w:t xml:space="preserve">OF BREEDERS OF ASEXUALLY REPRODUCED ORNAMENTAL AND FRUIT PLANTS (CIOPORA) / INTERNATIONALE </w:t>
      </w:r>
      <w:r w:rsidRPr="006E2E5B">
        <w:rPr>
          <w:spacing w:val="-2"/>
        </w:rPr>
        <w:t>GEMEINSCHAFT DER ZÜCHTER VEGETATIV VERMEHRBARER ZIER</w:t>
      </w:r>
      <w:r>
        <w:rPr>
          <w:spacing w:val="-2"/>
        </w:rPr>
        <w:t xml:space="preserve">- </w:t>
      </w:r>
      <w:r w:rsidRPr="006E2E5B">
        <w:rPr>
          <w:spacing w:val="-2"/>
        </w:rPr>
        <w:t xml:space="preserve">UND OBSTPFLANZEN (CIOPORA) / </w:t>
      </w:r>
      <w:r w:rsidRPr="00841411">
        <w:t>COMUNIDAD INTERNACIONAL DE OBTENTORES DE VARIEDADES ORNAMENTALES Y FRUTALES DE REPRODUCCIÓN ASEXUADA (CIOPORA)</w:t>
      </w:r>
    </w:p>
    <w:p w:rsidR="00985274" w:rsidRDefault="00985274" w:rsidP="00985274">
      <w:pPr>
        <w:pStyle w:val="pldetails"/>
      </w:pPr>
      <w:r>
        <w:t>Edgar KRIEGER (Mr.), Secretary General, International Community of Breeders of Asexually Reproduced Ornamental and Fruit Plants (CIOPORA), Hamburg</w:t>
      </w:r>
      <w:r>
        <w:br/>
      </w:r>
      <w:r w:rsidRPr="00FB375F">
        <w:t>(e-mail:</w:t>
      </w:r>
      <w:r>
        <w:t xml:space="preserve"> </w:t>
      </w:r>
      <w:r w:rsidRPr="000D78D7">
        <w:t>info@ciopora.org</w:t>
      </w:r>
      <w:r>
        <w:t>)</w:t>
      </w:r>
    </w:p>
    <w:p w:rsidR="00985274" w:rsidRDefault="00985274" w:rsidP="00985274">
      <w:pPr>
        <w:pStyle w:val="pldetails"/>
      </w:pPr>
      <w:r w:rsidRPr="000D78D7">
        <w:t>Dominique THÉVENON (</w:t>
      </w:r>
      <w:r>
        <w:t>Mme</w:t>
      </w:r>
      <w:r w:rsidRPr="000D78D7">
        <w:t xml:space="preserve">), Board member, Treasurer - CIOPORA, AIGN®, International Community of Breeders of Asexually Reproduced Ornamental and Fruit Plants </w:t>
      </w:r>
      <w:r>
        <w:t xml:space="preserve">(CIOPORA), Hamburg </w:t>
      </w:r>
      <w:r w:rsidRPr="000D78D7">
        <w:br/>
        <w:t xml:space="preserve">(e-mail: </w:t>
      </w:r>
      <w:r w:rsidRPr="004F78FA">
        <w:t>t.dominique4@orange.fr</w:t>
      </w:r>
      <w:r w:rsidRPr="000D78D7">
        <w:t>)</w:t>
      </w:r>
    </w:p>
    <w:p w:rsidR="00985274" w:rsidRPr="000D78D7" w:rsidRDefault="00985274" w:rsidP="00985274">
      <w:pPr>
        <w:pStyle w:val="pldetails"/>
      </w:pPr>
      <w:r w:rsidRPr="005B2AEA">
        <w:t>Maxi KLEMM (Ms.), Intern</w:t>
      </w:r>
      <w:r>
        <w:t>, International Community of Breeders of Asexually Reproduced Ornamental and Fruit Plants (CIOPORA), Freiburg</w:t>
      </w:r>
      <w:r>
        <w:br/>
        <w:t xml:space="preserve">(e-mail: </w:t>
      </w:r>
      <w:r w:rsidRPr="005B2AEA">
        <w:t>maxi.klemm@gmx.de</w:t>
      </w:r>
      <w:r>
        <w:t>)</w:t>
      </w:r>
    </w:p>
    <w:p w:rsidR="00985274" w:rsidRPr="00DE20D8" w:rsidRDefault="00985274" w:rsidP="00985274">
      <w:pPr>
        <w:pStyle w:val="plcountry"/>
      </w:pPr>
      <w:r w:rsidRPr="00DE20D8">
        <w:t>CROPLIFE INTERNATIONAL</w:t>
      </w:r>
    </w:p>
    <w:p w:rsidR="00985274" w:rsidRPr="00DE20D8" w:rsidRDefault="00985274" w:rsidP="00985274">
      <w:pPr>
        <w:pStyle w:val="pldetails"/>
      </w:pPr>
      <w:r w:rsidRPr="00DE20D8">
        <w:t>Marcel BRUINS (Mr.), Consultant, CropLife International, Bru</w:t>
      </w:r>
      <w:r>
        <w:t>ssel</w:t>
      </w:r>
      <w:r w:rsidRPr="00DE20D8">
        <w:t xml:space="preserve">s </w:t>
      </w:r>
      <w:r w:rsidRPr="00DE20D8">
        <w:br/>
        <w:t xml:space="preserve">(e-mail: mbruins1964@gmail.com) </w:t>
      </w:r>
    </w:p>
    <w:p w:rsidR="00985274" w:rsidRPr="004D23DE" w:rsidRDefault="00985274" w:rsidP="00985274">
      <w:pPr>
        <w:pStyle w:val="plcountry"/>
      </w:pPr>
      <w:r w:rsidRPr="004D23DE">
        <w:t>INTERNATIONAL SEED FEDERATION (ISF)</w:t>
      </w:r>
    </w:p>
    <w:p w:rsidR="00985274" w:rsidRPr="00B52354" w:rsidRDefault="00985274" w:rsidP="00985274">
      <w:pPr>
        <w:pStyle w:val="pldetails"/>
      </w:pPr>
      <w:r w:rsidRPr="008B48F0">
        <w:t>Hélène GUILLOT (</w:t>
      </w:r>
      <w:r>
        <w:t>Mme</w:t>
      </w:r>
      <w:r w:rsidRPr="008B48F0">
        <w:t xml:space="preserve">), International Agricultural Manager, International Seed Federation (ISF), Nyon </w:t>
      </w:r>
      <w:r w:rsidRPr="008B48F0">
        <w:br/>
        <w:t xml:space="preserve">(e-mail: h.guillot@worldseed.org) </w:t>
      </w:r>
      <w:r w:rsidRPr="00B52354">
        <w:t xml:space="preserve"> </w:t>
      </w:r>
    </w:p>
    <w:p w:rsidR="00985274" w:rsidRPr="004D23DE" w:rsidRDefault="00985274" w:rsidP="00985274">
      <w:pPr>
        <w:pStyle w:val="pldetails"/>
      </w:pPr>
      <w:r w:rsidRPr="004D23DE">
        <w:t>Stevan MADJARAC</w:t>
      </w:r>
      <w:r>
        <w:t xml:space="preserve"> (Mr.)</w:t>
      </w:r>
      <w:r w:rsidRPr="004D23DE">
        <w:t>, Germplasm IP Lead, American</w:t>
      </w:r>
      <w:r>
        <w:t xml:space="preserve"> Seed Trade Association (ASTA), Alexandria </w:t>
      </w:r>
      <w:r w:rsidRPr="004D23DE">
        <w:t xml:space="preserve"> </w:t>
      </w:r>
      <w:r>
        <w:br/>
      </w:r>
      <w:r w:rsidRPr="004D23DE">
        <w:t>(e-mail: s.madjarac@gmail.com)</w:t>
      </w:r>
    </w:p>
    <w:p w:rsidR="00985274" w:rsidRPr="004D23DE" w:rsidRDefault="00985274" w:rsidP="00985274">
      <w:pPr>
        <w:pStyle w:val="plcountry"/>
      </w:pPr>
      <w:r w:rsidRPr="002F2BF8">
        <w:t>EUROPEAN SEED ASSOCIATION (ESA)</w:t>
      </w:r>
    </w:p>
    <w:p w:rsidR="00985274" w:rsidRDefault="00985274" w:rsidP="00985274">
      <w:pPr>
        <w:pStyle w:val="pldetails"/>
      </w:pPr>
      <w:r w:rsidRPr="002F2BF8">
        <w:t>Szonja CSÖRGÖ (Ms.), Director, Intellectual Property &amp; Legal Affairs, European Seed Association (ESA), Bru</w:t>
      </w:r>
      <w:r>
        <w:t>ssel</w:t>
      </w:r>
      <w:r w:rsidRPr="002F2BF8">
        <w:t>s</w:t>
      </w:r>
      <w:r w:rsidRPr="002F2BF8">
        <w:br/>
        <w:t xml:space="preserve">(e-mail: </w:t>
      </w:r>
      <w:r w:rsidRPr="00955E3F">
        <w:t>szonjacsorgo@euroseeds.eu</w:t>
      </w:r>
      <w:r w:rsidRPr="002F2BF8">
        <w:t>)</w:t>
      </w:r>
    </w:p>
    <w:p w:rsidR="00985274" w:rsidRDefault="00985274" w:rsidP="00985274">
      <w:pPr>
        <w:pStyle w:val="pldetails"/>
      </w:pPr>
      <w:r w:rsidRPr="00955E3F">
        <w:t>Judith DE ROOS - BLOKLAND (Ms.), Legal Advisor, Regulatory and Legal Affairs, Plantum NL,</w:t>
      </w:r>
      <w:r>
        <w:t xml:space="preserve"> Gouda</w:t>
      </w:r>
      <w:r w:rsidRPr="00955E3F">
        <w:t xml:space="preserve"> </w:t>
      </w:r>
      <w:r>
        <w:br/>
        <w:t>(</w:t>
      </w:r>
      <w:r w:rsidRPr="00955E3F">
        <w:t>e-mail: j.deroos@plantum.nl)</w:t>
      </w:r>
    </w:p>
    <w:p w:rsidR="00985274" w:rsidRDefault="00985274" w:rsidP="00985274">
      <w:pPr>
        <w:pStyle w:val="pldetails"/>
      </w:pPr>
      <w:r w:rsidRPr="00667AE8">
        <w:t xml:space="preserve">Eric DEVRON (Mr.), Member of the Board, SICASOV, Paris </w:t>
      </w:r>
      <w:r w:rsidRPr="00667AE8">
        <w:br/>
        <w:t>(e-mail: eric.devron@sicasov.com)</w:t>
      </w:r>
    </w:p>
    <w:p w:rsidR="00985274" w:rsidRPr="00A362B3" w:rsidRDefault="00985274" w:rsidP="00985274">
      <w:pPr>
        <w:pStyle w:val="plcountry"/>
        <w:rPr>
          <w:lang w:val="fr-CH"/>
        </w:rPr>
      </w:pPr>
      <w:r w:rsidRPr="00A362B3">
        <w:rPr>
          <w:lang w:val="fr-CH"/>
        </w:rPr>
        <w:t xml:space="preserve">ASSOCIATION INTERNATIONALE DES PRODUCTEURS HORTICOLES (AIPH) / </w:t>
      </w:r>
      <w:r>
        <w:rPr>
          <w:lang w:val="fr-CH"/>
        </w:rPr>
        <w:br/>
      </w:r>
      <w:r w:rsidRPr="00A362B3">
        <w:rPr>
          <w:lang w:val="fr-CH"/>
        </w:rPr>
        <w:t xml:space="preserve">INTERNATIONAL ASSOCIATION OF HORTICULTURAL PRODUCERS (AIPH) / </w:t>
      </w:r>
      <w:r w:rsidRPr="00A362B3">
        <w:rPr>
          <w:lang w:val="fr-CH"/>
        </w:rPr>
        <w:br/>
        <w:t xml:space="preserve">INTERNATIONALER VERBAND DES ERWERBSGARTENBAUES (AIPH) / </w:t>
      </w:r>
      <w:r>
        <w:rPr>
          <w:lang w:val="fr-CH"/>
        </w:rPr>
        <w:br/>
      </w:r>
      <w:r w:rsidRPr="00A362B3">
        <w:rPr>
          <w:lang w:val="fr-CH"/>
        </w:rPr>
        <w:t>ASOCIACIÓN INTERNACIONAL DE PRODUCTORES HORTÍCOLAS (AIPH)</w:t>
      </w:r>
    </w:p>
    <w:p w:rsidR="00985274" w:rsidRPr="00955E3F" w:rsidRDefault="00985274" w:rsidP="00985274">
      <w:pPr>
        <w:pStyle w:val="pldetails"/>
      </w:pPr>
      <w:r w:rsidRPr="00A362B3">
        <w:t xml:space="preserve">Mia BUMA (Ms.), Secretary, Committee for Novelty Protection, International Association of Horticultural Producers (AIPH), Reading </w:t>
      </w:r>
      <w:r>
        <w:br/>
      </w:r>
      <w:r w:rsidRPr="00A362B3">
        <w:t>(e-mail: info@miabuma.nl)</w:t>
      </w:r>
    </w:p>
    <w:p w:rsidR="00985274" w:rsidRPr="00E13C48" w:rsidRDefault="00985274" w:rsidP="00985274">
      <w:pPr>
        <w:pStyle w:val="plcountry"/>
        <w:rPr>
          <w:lang w:val="es-ES_tradnl"/>
        </w:rPr>
      </w:pPr>
      <w:r w:rsidRPr="00E13C48">
        <w:rPr>
          <w:lang w:val="es-ES_tradnl"/>
        </w:rPr>
        <w:t>EUROPEAN COORDINATION VIA CAMPESINA (ECVC)</w:t>
      </w:r>
    </w:p>
    <w:p w:rsidR="00985274" w:rsidRPr="00E13C48" w:rsidRDefault="00985274" w:rsidP="00985274">
      <w:pPr>
        <w:pStyle w:val="pldetails"/>
        <w:rPr>
          <w:lang w:val="es-ES_tradnl"/>
        </w:rPr>
      </w:pPr>
      <w:r w:rsidRPr="0020794D">
        <w:rPr>
          <w:lang w:val="es-ES_tradnl"/>
        </w:rPr>
        <w:t xml:space="preserve">Guy KASTLER (Mr.), European Coordination Via Campesina (ECVC), La Caunette, France </w:t>
      </w:r>
      <w:r w:rsidRPr="0020794D">
        <w:rPr>
          <w:lang w:val="es-ES_tradnl"/>
        </w:rPr>
        <w:br/>
        <w:t>(e-mail: guy.kastler@wanadoo.fr)</w:t>
      </w:r>
    </w:p>
    <w:p w:rsidR="00985274" w:rsidRPr="00E13C48" w:rsidRDefault="00985274" w:rsidP="00985274">
      <w:pPr>
        <w:pStyle w:val="plheading"/>
        <w:rPr>
          <w:rFonts w:cs="Arial"/>
          <w:lang w:val="es-ES_tradnl"/>
        </w:rPr>
      </w:pPr>
      <w:r w:rsidRPr="00E13C48">
        <w:rPr>
          <w:rFonts w:cs="Arial"/>
          <w:lang w:val="es-ES_tradnl"/>
        </w:rPr>
        <w:t>IV. BUREAU / OFFICER / VORSITZ / OFICINA</w:t>
      </w:r>
    </w:p>
    <w:p w:rsidR="00985274" w:rsidRPr="00537D9A" w:rsidRDefault="00985274" w:rsidP="00985274">
      <w:pPr>
        <w:pStyle w:val="pldetails"/>
        <w:keepNext/>
      </w:pPr>
      <w:r w:rsidRPr="00537D9A">
        <w:t xml:space="preserve">Anthony PARKER (Mr.), </w:t>
      </w:r>
      <w:r>
        <w:t>Chair</w:t>
      </w:r>
    </w:p>
    <w:p w:rsidR="00985274" w:rsidRDefault="00985274" w:rsidP="00985274">
      <w:pPr>
        <w:pStyle w:val="pldetails"/>
        <w:rPr>
          <w:rFonts w:cs="Arial"/>
        </w:rPr>
      </w:pPr>
      <w:r w:rsidRPr="00BA2AE6">
        <w:t>Patrick NGWEDIAGI</w:t>
      </w:r>
      <w:r>
        <w:t xml:space="preserve"> (Mr.)</w:t>
      </w:r>
      <w:r w:rsidRPr="00BA2AE6">
        <w:t>, Vice-</w:t>
      </w:r>
      <w:r>
        <w:t>Chair</w:t>
      </w:r>
    </w:p>
    <w:p w:rsidR="00985274" w:rsidRPr="004071DD" w:rsidRDefault="00985274" w:rsidP="00985274">
      <w:pPr>
        <w:pStyle w:val="plheading"/>
        <w:keepLines/>
        <w:rPr>
          <w:rFonts w:cs="Arial"/>
        </w:rPr>
      </w:pPr>
      <w:r w:rsidRPr="00C81650">
        <w:rPr>
          <w:rFonts w:cs="Arial"/>
        </w:rPr>
        <w:t>V. BUREAU DE L</w:t>
      </w:r>
      <w:r>
        <w:rPr>
          <w:rFonts w:cs="Arial"/>
        </w:rPr>
        <w:t>’</w:t>
      </w:r>
      <w:r w:rsidRPr="00C81650">
        <w:rPr>
          <w:rFonts w:cs="Arial"/>
        </w:rPr>
        <w:t>UPOV / OF</w:t>
      </w:r>
      <w:r w:rsidRPr="004071DD">
        <w:rPr>
          <w:rFonts w:cs="Arial"/>
        </w:rPr>
        <w:t>FICE OF UPOV / BÜRO DER UPOV / OFICINA DE LA UPOV</w:t>
      </w:r>
    </w:p>
    <w:p w:rsidR="00985274" w:rsidRPr="00841411" w:rsidRDefault="00985274" w:rsidP="00985274">
      <w:pPr>
        <w:pStyle w:val="pldetails"/>
        <w:keepNext/>
      </w:pPr>
      <w:r w:rsidRPr="00841411">
        <w:t>Francis GURRY</w:t>
      </w:r>
      <w:r>
        <w:t xml:space="preserve"> (Mr.)</w:t>
      </w:r>
      <w:r w:rsidRPr="00841411">
        <w:t>, Secretary-General</w:t>
      </w:r>
    </w:p>
    <w:p w:rsidR="00985274" w:rsidRPr="00841411" w:rsidRDefault="00985274" w:rsidP="00985274">
      <w:pPr>
        <w:pStyle w:val="pldetails"/>
      </w:pPr>
      <w:r w:rsidRPr="00841411">
        <w:t>Peter BUTTON</w:t>
      </w:r>
      <w:r>
        <w:t xml:space="preserve"> (Mr.)</w:t>
      </w:r>
      <w:r w:rsidRPr="00841411">
        <w:t>, Vice Secretary-General</w:t>
      </w:r>
    </w:p>
    <w:p w:rsidR="00985274" w:rsidRPr="00841411" w:rsidRDefault="00985274" w:rsidP="00985274">
      <w:pPr>
        <w:pStyle w:val="pldetails"/>
      </w:pPr>
      <w:r w:rsidRPr="00841411">
        <w:t>Yolanda HUERTA (Ms.), Legal Counsel</w:t>
      </w:r>
    </w:p>
    <w:p w:rsidR="00985274" w:rsidRPr="00841411" w:rsidRDefault="00985274" w:rsidP="00985274">
      <w:pPr>
        <w:pStyle w:val="pldetails"/>
      </w:pPr>
      <w:r w:rsidRPr="00A479A8">
        <w:t>Tomochika MOTOMURA</w:t>
      </w:r>
      <w:r>
        <w:t xml:space="preserve"> (Mr.)</w:t>
      </w:r>
      <w:r w:rsidRPr="00841411">
        <w:t>, Technical/Regional Officer (Asia)</w:t>
      </w:r>
    </w:p>
    <w:p w:rsidR="00985274" w:rsidRPr="00841411" w:rsidRDefault="00985274" w:rsidP="00985274">
      <w:pPr>
        <w:pStyle w:val="pldetails"/>
      </w:pPr>
      <w:r w:rsidRPr="00841411">
        <w:t>Ben RIVOIRE</w:t>
      </w:r>
      <w:r>
        <w:t xml:space="preserve"> (Mr.)</w:t>
      </w:r>
      <w:r w:rsidRPr="00841411">
        <w:t>, Technical/Regional Officer (Africa, Arab countries)</w:t>
      </w:r>
    </w:p>
    <w:p w:rsidR="00985274" w:rsidRPr="00841411" w:rsidRDefault="00985274" w:rsidP="00985274">
      <w:pPr>
        <w:pStyle w:val="pldetails"/>
      </w:pPr>
      <w:r w:rsidRPr="00841411">
        <w:t>Leontino TAVEIRA</w:t>
      </w:r>
      <w:r>
        <w:t xml:space="preserve"> (Mr.)</w:t>
      </w:r>
      <w:r w:rsidRPr="00841411">
        <w:t>, Technical/Regional Officer (Latin America, Caribbean countries)</w:t>
      </w:r>
    </w:p>
    <w:p w:rsidR="00985274" w:rsidRPr="00040EC3" w:rsidRDefault="00985274" w:rsidP="00985274">
      <w:pPr>
        <w:pStyle w:val="pldetails"/>
      </w:pPr>
      <w:r w:rsidRPr="00040EC3">
        <w:t>Hend MADHOUR (Ms.), Data Modeler and Business Needs Analyst</w:t>
      </w:r>
    </w:p>
    <w:p w:rsidR="00985274" w:rsidRDefault="00985274" w:rsidP="00985274">
      <w:pPr>
        <w:pStyle w:val="pldetails"/>
        <w:rPr>
          <w:lang w:val="fr-CH"/>
        </w:rPr>
      </w:pPr>
      <w:r w:rsidRPr="00442956">
        <w:rPr>
          <w:rFonts w:cs="Arial"/>
          <w:color w:val="000000"/>
          <w:lang w:val="fr-CH"/>
        </w:rPr>
        <w:t xml:space="preserve">Chao DENG </w:t>
      </w:r>
      <w:r w:rsidRPr="00442956">
        <w:rPr>
          <w:rFonts w:cs="Arial"/>
          <w:lang w:val="fr-CH"/>
        </w:rPr>
        <w:t>(Mr.)</w:t>
      </w:r>
      <w:r w:rsidRPr="00442956">
        <w:rPr>
          <w:rFonts w:cs="Arial"/>
          <w:color w:val="000000"/>
          <w:lang w:val="fr-CH"/>
        </w:rPr>
        <w:t>, Intern</w:t>
      </w:r>
    </w:p>
    <w:p w:rsidR="00985274" w:rsidRPr="00663B84" w:rsidRDefault="00985274" w:rsidP="00985274">
      <w:pPr>
        <w:rPr>
          <w:lang w:val="fr-CH"/>
        </w:rPr>
      </w:pPr>
    </w:p>
    <w:p w:rsidR="00985274" w:rsidRPr="00663B84" w:rsidRDefault="00985274" w:rsidP="00985274">
      <w:pPr>
        <w:rPr>
          <w:lang w:val="fr-CH"/>
        </w:rPr>
      </w:pPr>
    </w:p>
    <w:p w:rsidR="00985274" w:rsidRPr="00663B84" w:rsidRDefault="00985274" w:rsidP="00985274">
      <w:pPr>
        <w:rPr>
          <w:lang w:val="fr-CH"/>
        </w:rPr>
      </w:pPr>
    </w:p>
    <w:p w:rsidR="008A7184" w:rsidRPr="00E81E4C" w:rsidRDefault="008A7184" w:rsidP="00985274">
      <w:pPr>
        <w:keepNext/>
        <w:jc w:val="right"/>
        <w:rPr>
          <w:rFonts w:cs="Arial"/>
          <w:lang w:val="fr-FR" w:eastAsia="zh-CN"/>
        </w:rPr>
      </w:pPr>
      <w:r w:rsidRPr="00E81E4C">
        <w:rPr>
          <w:rFonts w:cs="Arial"/>
          <w:lang w:val="fr-FR"/>
        </w:rPr>
        <w:t>[Fin de l</w:t>
      </w:r>
      <w:r w:rsidR="003C1CF1" w:rsidRPr="00E81E4C">
        <w:rPr>
          <w:rFonts w:cs="Arial"/>
          <w:lang w:val="fr-FR"/>
        </w:rPr>
        <w:t>’</w:t>
      </w:r>
      <w:r w:rsidRPr="00E81E4C">
        <w:rPr>
          <w:rFonts w:cs="Arial"/>
          <w:lang w:val="fr-FR"/>
        </w:rPr>
        <w:t>annexe et du document/</w:t>
      </w:r>
      <w:r w:rsidRPr="00E81E4C">
        <w:rPr>
          <w:rFonts w:cs="Arial"/>
          <w:lang w:val="fr-FR"/>
        </w:rPr>
        <w:br/>
        <w:t>End of Annex and of document/</w:t>
      </w:r>
      <w:r w:rsidRPr="00E81E4C">
        <w:rPr>
          <w:rFonts w:cs="Arial"/>
          <w:lang w:val="fr-FR"/>
        </w:rPr>
        <w:br/>
        <w:t>Ende der Anlage und des Dokuments/</w:t>
      </w:r>
      <w:r w:rsidRPr="00E81E4C">
        <w:rPr>
          <w:rFonts w:cs="Arial"/>
          <w:lang w:val="fr-FR"/>
        </w:rPr>
        <w:br/>
        <w:t>Fin del Anexo y del documento]</w:t>
      </w:r>
    </w:p>
    <w:sectPr w:rsidR="008A7184" w:rsidRPr="00E81E4C" w:rsidSect="00B83237">
      <w:headerReference w:type="default" r:id="rId10"/>
      <w:pgSz w:w="11907" w:h="16840" w:code="9"/>
      <w:pgMar w:top="510" w:right="1134" w:bottom="1134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CC8" w:rsidRDefault="00F80CC8" w:rsidP="006655D3">
      <w:r>
        <w:separator/>
      </w:r>
    </w:p>
    <w:p w:rsidR="00F80CC8" w:rsidRDefault="00F80CC8" w:rsidP="006655D3"/>
    <w:p w:rsidR="00F80CC8" w:rsidRDefault="00F80CC8" w:rsidP="006655D3"/>
  </w:endnote>
  <w:endnote w:type="continuationSeparator" w:id="0">
    <w:p w:rsidR="00F80CC8" w:rsidRDefault="00F80CC8" w:rsidP="006655D3">
      <w:r>
        <w:separator/>
      </w:r>
    </w:p>
    <w:p w:rsidR="00F80CC8" w:rsidRPr="00294751" w:rsidRDefault="00F80CC8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F80CC8" w:rsidRPr="00294751" w:rsidRDefault="00F80CC8" w:rsidP="006655D3">
      <w:pPr>
        <w:rPr>
          <w:lang w:val="fr-FR"/>
        </w:rPr>
      </w:pPr>
    </w:p>
    <w:p w:rsidR="00F80CC8" w:rsidRPr="00294751" w:rsidRDefault="00F80CC8" w:rsidP="006655D3">
      <w:pPr>
        <w:rPr>
          <w:lang w:val="fr-FR"/>
        </w:rPr>
      </w:pPr>
    </w:p>
  </w:endnote>
  <w:endnote w:type="continuationNotice" w:id="1">
    <w:p w:rsidR="00F80CC8" w:rsidRPr="00294751" w:rsidRDefault="00F80CC8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F80CC8" w:rsidRPr="00294751" w:rsidRDefault="00F80CC8" w:rsidP="006655D3">
      <w:pPr>
        <w:rPr>
          <w:lang w:val="fr-FR"/>
        </w:rPr>
      </w:pPr>
    </w:p>
    <w:p w:rsidR="00F80CC8" w:rsidRPr="00294751" w:rsidRDefault="00F80CC8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CC8" w:rsidRDefault="00F80CC8" w:rsidP="006655D3">
      <w:r>
        <w:separator/>
      </w:r>
    </w:p>
  </w:footnote>
  <w:footnote w:type="continuationSeparator" w:id="0">
    <w:p w:rsidR="00F80CC8" w:rsidRDefault="00F80CC8" w:rsidP="006655D3">
      <w:r>
        <w:separator/>
      </w:r>
    </w:p>
  </w:footnote>
  <w:footnote w:type="continuationNotice" w:id="1">
    <w:p w:rsidR="00F80CC8" w:rsidRPr="00AB530F" w:rsidRDefault="00F80CC8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B969C9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CAJ/74/10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31DAA">
      <w:rPr>
        <w:rStyle w:val="PageNumber"/>
        <w:noProof/>
        <w:lang w:val="en-US"/>
      </w:rPr>
      <w:t>5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586" w:rsidRPr="00C81650" w:rsidRDefault="008A7184" w:rsidP="00E07586">
    <w:pPr>
      <w:jc w:val="center"/>
      <w:rPr>
        <w:rFonts w:cs="Arial"/>
        <w:lang w:val="es-ES"/>
      </w:rPr>
    </w:pPr>
    <w:r w:rsidRPr="00C81650">
      <w:rPr>
        <w:rFonts w:cs="Arial"/>
        <w:lang w:val="es-ES"/>
      </w:rPr>
      <w:t>CAJ/74</w:t>
    </w:r>
    <w:r>
      <w:rPr>
        <w:rFonts w:cs="Arial"/>
        <w:lang w:val="es-ES"/>
      </w:rPr>
      <w:t>/10</w:t>
    </w:r>
  </w:p>
  <w:p w:rsidR="008A7184" w:rsidRDefault="008A7184" w:rsidP="00E07586">
    <w:pPr>
      <w:jc w:val="center"/>
    </w:pPr>
    <w:r>
      <w:t xml:space="preserve">Annexe / Annex / Anlage / Anexo </w:t>
    </w:r>
  </w:p>
  <w:p w:rsidR="00E07586" w:rsidRPr="00C81650" w:rsidRDefault="008A7184" w:rsidP="00E07586">
    <w:pPr>
      <w:jc w:val="center"/>
      <w:rPr>
        <w:rFonts w:cs="Arial"/>
        <w:lang w:val="es-ES"/>
      </w:rPr>
    </w:pPr>
    <w:r w:rsidRPr="00C81650">
      <w:rPr>
        <w:rFonts w:cs="Arial"/>
        <w:lang w:val="es-ES"/>
      </w:rPr>
      <w:t xml:space="preserve">page </w:t>
    </w:r>
    <w:r w:rsidRPr="00FE1D1B">
      <w:rPr>
        <w:rStyle w:val="PageNumber"/>
        <w:rFonts w:cs="Arial"/>
      </w:rPr>
      <w:fldChar w:fldCharType="begin"/>
    </w:r>
    <w:r w:rsidRPr="00C81650">
      <w:rPr>
        <w:rStyle w:val="PageNumber"/>
        <w:rFonts w:cs="Arial"/>
        <w:lang w:val="es-ES"/>
      </w:rPr>
      <w:instrText xml:space="preserve"> PAGE </w:instrText>
    </w:r>
    <w:r w:rsidRPr="00FE1D1B">
      <w:rPr>
        <w:rStyle w:val="PageNumber"/>
        <w:rFonts w:cs="Arial"/>
      </w:rPr>
      <w:fldChar w:fldCharType="separate"/>
    </w:r>
    <w:r w:rsidR="00231DAA">
      <w:rPr>
        <w:rStyle w:val="PageNumber"/>
        <w:rFonts w:cs="Arial"/>
        <w:noProof/>
        <w:lang w:val="es-ES"/>
      </w:rPr>
      <w:t>8</w:t>
    </w:r>
    <w:r w:rsidRPr="00FE1D1B">
      <w:rPr>
        <w:rStyle w:val="PageNumber"/>
        <w:rFonts w:cs="Arial"/>
      </w:rPr>
      <w:fldChar w:fldCharType="end"/>
    </w:r>
    <w:r w:rsidRPr="00C81650">
      <w:rPr>
        <w:rStyle w:val="PageNumber"/>
        <w:rFonts w:cs="Arial"/>
        <w:lang w:val="es-ES"/>
      </w:rPr>
      <w:t xml:space="preserve"> </w:t>
    </w:r>
    <w:r w:rsidRPr="00C81650">
      <w:rPr>
        <w:rFonts w:cs="Arial"/>
        <w:lang w:val="es-ES"/>
      </w:rPr>
      <w:t xml:space="preserve">/ Seite </w:t>
    </w:r>
    <w:r w:rsidRPr="00FE1D1B">
      <w:rPr>
        <w:rStyle w:val="PageNumber"/>
        <w:rFonts w:cs="Arial"/>
      </w:rPr>
      <w:fldChar w:fldCharType="begin"/>
    </w:r>
    <w:r w:rsidRPr="00C81650">
      <w:rPr>
        <w:rStyle w:val="PageNumber"/>
        <w:rFonts w:cs="Arial"/>
        <w:lang w:val="es-ES"/>
      </w:rPr>
      <w:instrText xml:space="preserve"> PAGE </w:instrText>
    </w:r>
    <w:r w:rsidRPr="00FE1D1B">
      <w:rPr>
        <w:rStyle w:val="PageNumber"/>
        <w:rFonts w:cs="Arial"/>
      </w:rPr>
      <w:fldChar w:fldCharType="separate"/>
    </w:r>
    <w:r w:rsidR="00231DAA">
      <w:rPr>
        <w:rStyle w:val="PageNumber"/>
        <w:rFonts w:cs="Arial"/>
        <w:noProof/>
        <w:lang w:val="es-ES"/>
      </w:rPr>
      <w:t>8</w:t>
    </w:r>
    <w:r w:rsidRPr="00FE1D1B">
      <w:rPr>
        <w:rStyle w:val="PageNumber"/>
        <w:rFonts w:cs="Arial"/>
      </w:rPr>
      <w:fldChar w:fldCharType="end"/>
    </w:r>
    <w:r w:rsidRPr="00C81650">
      <w:rPr>
        <w:rStyle w:val="PageNumber"/>
        <w:rFonts w:cs="Arial"/>
        <w:lang w:val="es-ES"/>
      </w:rPr>
      <w:t xml:space="preserve"> </w:t>
    </w:r>
    <w:r w:rsidRPr="00C81650">
      <w:rPr>
        <w:rFonts w:cs="Arial"/>
        <w:lang w:val="es-ES"/>
      </w:rPr>
      <w:t xml:space="preserve">/ página </w:t>
    </w:r>
    <w:r w:rsidRPr="00FE1D1B">
      <w:rPr>
        <w:rFonts w:cs="Arial"/>
      </w:rPr>
      <w:fldChar w:fldCharType="begin"/>
    </w:r>
    <w:r w:rsidRPr="00C81650">
      <w:rPr>
        <w:rFonts w:cs="Arial"/>
        <w:lang w:val="es-ES"/>
      </w:rPr>
      <w:instrText xml:space="preserve"> PAGE  \* MERGEFORMAT </w:instrText>
    </w:r>
    <w:r w:rsidRPr="00FE1D1B">
      <w:rPr>
        <w:rFonts w:cs="Arial"/>
      </w:rPr>
      <w:fldChar w:fldCharType="separate"/>
    </w:r>
    <w:r w:rsidR="00231DAA">
      <w:rPr>
        <w:rFonts w:cs="Arial"/>
        <w:noProof/>
        <w:lang w:val="es-ES"/>
      </w:rPr>
      <w:t>8</w:t>
    </w:r>
    <w:r w:rsidRPr="00FE1D1B">
      <w:rPr>
        <w:rFonts w:cs="Arial"/>
      </w:rPr>
      <w:fldChar w:fldCharType="end"/>
    </w:r>
  </w:p>
  <w:p w:rsidR="00E07586" w:rsidRPr="00C81650" w:rsidRDefault="00231DAA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2F02"/>
    <w:multiLevelType w:val="hybridMultilevel"/>
    <w:tmpl w:val="5548194A"/>
    <w:lvl w:ilvl="0" w:tplc="43A68C5E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12D778D5"/>
    <w:multiLevelType w:val="hybridMultilevel"/>
    <w:tmpl w:val="C68A25C4"/>
    <w:lvl w:ilvl="0" w:tplc="17101AD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BD9A55EC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127B3"/>
    <w:multiLevelType w:val="hybridMultilevel"/>
    <w:tmpl w:val="85EAE0F4"/>
    <w:lvl w:ilvl="0" w:tplc="BB32EF7C">
      <w:start w:val="1"/>
      <w:numFmt w:val="lowerRoman"/>
      <w:lvlText w:val="%1)"/>
      <w:lvlJc w:val="righ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4AC062A9"/>
    <w:multiLevelType w:val="hybridMultilevel"/>
    <w:tmpl w:val="EE9C927A"/>
    <w:lvl w:ilvl="0" w:tplc="906873B8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5EF7774A"/>
    <w:multiLevelType w:val="hybridMultilevel"/>
    <w:tmpl w:val="473C149E"/>
    <w:lvl w:ilvl="0" w:tplc="B0D8CA40">
      <w:start w:val="1"/>
      <w:numFmt w:val="bullet"/>
      <w:lvlText w:val="–"/>
      <w:lvlJc w:val="left"/>
      <w:pPr>
        <w:ind w:left="1913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5">
    <w:nsid w:val="67980604"/>
    <w:multiLevelType w:val="hybridMultilevel"/>
    <w:tmpl w:val="0A5CD2E8"/>
    <w:lvl w:ilvl="0" w:tplc="B0D8CA40">
      <w:start w:val="1"/>
      <w:numFmt w:val="bullet"/>
      <w:lvlText w:val="–"/>
      <w:lvlJc w:val="left"/>
      <w:pPr>
        <w:ind w:left="1854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73E32D84"/>
    <w:multiLevelType w:val="hybridMultilevel"/>
    <w:tmpl w:val="C994CF74"/>
    <w:lvl w:ilvl="0" w:tplc="17101AD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WIPONew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F80CC8"/>
    <w:rsid w:val="00010CF3"/>
    <w:rsid w:val="00011E27"/>
    <w:rsid w:val="000148BC"/>
    <w:rsid w:val="00017A18"/>
    <w:rsid w:val="00024AB8"/>
    <w:rsid w:val="00030854"/>
    <w:rsid w:val="00036028"/>
    <w:rsid w:val="00044642"/>
    <w:rsid w:val="000446B9"/>
    <w:rsid w:val="00047E21"/>
    <w:rsid w:val="00050E16"/>
    <w:rsid w:val="0006692D"/>
    <w:rsid w:val="00085505"/>
    <w:rsid w:val="00092F04"/>
    <w:rsid w:val="000A0F85"/>
    <w:rsid w:val="000B3CAD"/>
    <w:rsid w:val="000C4E25"/>
    <w:rsid w:val="000C7021"/>
    <w:rsid w:val="000D5002"/>
    <w:rsid w:val="000D6BBC"/>
    <w:rsid w:val="000D7780"/>
    <w:rsid w:val="000E636A"/>
    <w:rsid w:val="000F2F11"/>
    <w:rsid w:val="00105929"/>
    <w:rsid w:val="00110C36"/>
    <w:rsid w:val="001131D5"/>
    <w:rsid w:val="00122590"/>
    <w:rsid w:val="00141DB8"/>
    <w:rsid w:val="001530DD"/>
    <w:rsid w:val="00155400"/>
    <w:rsid w:val="001643AD"/>
    <w:rsid w:val="00172084"/>
    <w:rsid w:val="0017474A"/>
    <w:rsid w:val="00175128"/>
    <w:rsid w:val="001758C6"/>
    <w:rsid w:val="00182B99"/>
    <w:rsid w:val="001971D3"/>
    <w:rsid w:val="001A3400"/>
    <w:rsid w:val="001C1525"/>
    <w:rsid w:val="001D46EF"/>
    <w:rsid w:val="001F355D"/>
    <w:rsid w:val="0021332C"/>
    <w:rsid w:val="00213982"/>
    <w:rsid w:val="00231DAA"/>
    <w:rsid w:val="00237658"/>
    <w:rsid w:val="0024416D"/>
    <w:rsid w:val="002556B2"/>
    <w:rsid w:val="00271911"/>
    <w:rsid w:val="002800A0"/>
    <w:rsid w:val="002801B3"/>
    <w:rsid w:val="00281060"/>
    <w:rsid w:val="002859B0"/>
    <w:rsid w:val="002940E8"/>
    <w:rsid w:val="00294751"/>
    <w:rsid w:val="002A6E50"/>
    <w:rsid w:val="002B4298"/>
    <w:rsid w:val="002B7A36"/>
    <w:rsid w:val="002B7A81"/>
    <w:rsid w:val="002C256A"/>
    <w:rsid w:val="002D451E"/>
    <w:rsid w:val="00305A7F"/>
    <w:rsid w:val="00311091"/>
    <w:rsid w:val="003152FE"/>
    <w:rsid w:val="00327436"/>
    <w:rsid w:val="00344BD6"/>
    <w:rsid w:val="00347CFC"/>
    <w:rsid w:val="0035528D"/>
    <w:rsid w:val="00361821"/>
    <w:rsid w:val="00361E9E"/>
    <w:rsid w:val="003776DA"/>
    <w:rsid w:val="0039115E"/>
    <w:rsid w:val="003C1CF1"/>
    <w:rsid w:val="003C6513"/>
    <w:rsid w:val="003C7FBE"/>
    <w:rsid w:val="003D227C"/>
    <w:rsid w:val="003D2B4D"/>
    <w:rsid w:val="003E0F10"/>
    <w:rsid w:val="003E25B2"/>
    <w:rsid w:val="004215C3"/>
    <w:rsid w:val="00444A88"/>
    <w:rsid w:val="00447A44"/>
    <w:rsid w:val="00474DA4"/>
    <w:rsid w:val="00476B4D"/>
    <w:rsid w:val="004805FA"/>
    <w:rsid w:val="00485283"/>
    <w:rsid w:val="004935D2"/>
    <w:rsid w:val="00493FD0"/>
    <w:rsid w:val="004A0332"/>
    <w:rsid w:val="004A7038"/>
    <w:rsid w:val="004B1215"/>
    <w:rsid w:val="004B1ABA"/>
    <w:rsid w:val="004B639C"/>
    <w:rsid w:val="004D047D"/>
    <w:rsid w:val="004E1FA4"/>
    <w:rsid w:val="004F1E9E"/>
    <w:rsid w:val="004F305A"/>
    <w:rsid w:val="00512164"/>
    <w:rsid w:val="005179E0"/>
    <w:rsid w:val="00520297"/>
    <w:rsid w:val="005338F9"/>
    <w:rsid w:val="0054281C"/>
    <w:rsid w:val="00544581"/>
    <w:rsid w:val="0055268D"/>
    <w:rsid w:val="00553F9D"/>
    <w:rsid w:val="00576BE4"/>
    <w:rsid w:val="00576C7B"/>
    <w:rsid w:val="005779DB"/>
    <w:rsid w:val="0058445D"/>
    <w:rsid w:val="0059127D"/>
    <w:rsid w:val="00594B51"/>
    <w:rsid w:val="005A400A"/>
    <w:rsid w:val="005A7782"/>
    <w:rsid w:val="005C421C"/>
    <w:rsid w:val="005C7B4C"/>
    <w:rsid w:val="005F32D7"/>
    <w:rsid w:val="005F6603"/>
    <w:rsid w:val="005F7B92"/>
    <w:rsid w:val="00612379"/>
    <w:rsid w:val="006153B6"/>
    <w:rsid w:val="0061555F"/>
    <w:rsid w:val="00621C9B"/>
    <w:rsid w:val="00634E9D"/>
    <w:rsid w:val="00636CA6"/>
    <w:rsid w:val="00641200"/>
    <w:rsid w:val="00645CA8"/>
    <w:rsid w:val="006466C7"/>
    <w:rsid w:val="00652F65"/>
    <w:rsid w:val="00664A6B"/>
    <w:rsid w:val="006655D3"/>
    <w:rsid w:val="00667404"/>
    <w:rsid w:val="0068431E"/>
    <w:rsid w:val="00687EB4"/>
    <w:rsid w:val="00690121"/>
    <w:rsid w:val="00690849"/>
    <w:rsid w:val="00695C56"/>
    <w:rsid w:val="006A5CDE"/>
    <w:rsid w:val="006A644A"/>
    <w:rsid w:val="006B17D2"/>
    <w:rsid w:val="006C224E"/>
    <w:rsid w:val="006C7C0C"/>
    <w:rsid w:val="006D780A"/>
    <w:rsid w:val="006E6149"/>
    <w:rsid w:val="00700486"/>
    <w:rsid w:val="0070073B"/>
    <w:rsid w:val="00710937"/>
    <w:rsid w:val="0071271E"/>
    <w:rsid w:val="00725812"/>
    <w:rsid w:val="00732DEC"/>
    <w:rsid w:val="0073364E"/>
    <w:rsid w:val="00734BC9"/>
    <w:rsid w:val="00735BD5"/>
    <w:rsid w:val="007451EC"/>
    <w:rsid w:val="00751613"/>
    <w:rsid w:val="00753EE9"/>
    <w:rsid w:val="007556F6"/>
    <w:rsid w:val="00760EEF"/>
    <w:rsid w:val="00764C21"/>
    <w:rsid w:val="007678BF"/>
    <w:rsid w:val="00777EE5"/>
    <w:rsid w:val="00784836"/>
    <w:rsid w:val="007858D1"/>
    <w:rsid w:val="0079023E"/>
    <w:rsid w:val="007A2854"/>
    <w:rsid w:val="007B1350"/>
    <w:rsid w:val="007C0276"/>
    <w:rsid w:val="007C1D92"/>
    <w:rsid w:val="007C4CB9"/>
    <w:rsid w:val="007D0B9D"/>
    <w:rsid w:val="007D14AD"/>
    <w:rsid w:val="007D19B0"/>
    <w:rsid w:val="007F0642"/>
    <w:rsid w:val="007F498F"/>
    <w:rsid w:val="0080453D"/>
    <w:rsid w:val="00805262"/>
    <w:rsid w:val="0080679D"/>
    <w:rsid w:val="008108B0"/>
    <w:rsid w:val="00811B20"/>
    <w:rsid w:val="00812609"/>
    <w:rsid w:val="008211B5"/>
    <w:rsid w:val="0082296E"/>
    <w:rsid w:val="00824099"/>
    <w:rsid w:val="00846D7C"/>
    <w:rsid w:val="00850C10"/>
    <w:rsid w:val="008511DF"/>
    <w:rsid w:val="00865855"/>
    <w:rsid w:val="00867AC1"/>
    <w:rsid w:val="00867C61"/>
    <w:rsid w:val="00886340"/>
    <w:rsid w:val="00890DF8"/>
    <w:rsid w:val="00891A19"/>
    <w:rsid w:val="008A4950"/>
    <w:rsid w:val="008A7184"/>
    <w:rsid w:val="008A743F"/>
    <w:rsid w:val="008C01AA"/>
    <w:rsid w:val="008C0970"/>
    <w:rsid w:val="008D0BC5"/>
    <w:rsid w:val="008D2CF7"/>
    <w:rsid w:val="00900C26"/>
    <w:rsid w:val="0090197F"/>
    <w:rsid w:val="00903264"/>
    <w:rsid w:val="00906DDC"/>
    <w:rsid w:val="00915FC8"/>
    <w:rsid w:val="00920CAB"/>
    <w:rsid w:val="009313AE"/>
    <w:rsid w:val="00934E09"/>
    <w:rsid w:val="00936253"/>
    <w:rsid w:val="00940D46"/>
    <w:rsid w:val="00952DD4"/>
    <w:rsid w:val="009550CE"/>
    <w:rsid w:val="00965AE7"/>
    <w:rsid w:val="00970FED"/>
    <w:rsid w:val="00977497"/>
    <w:rsid w:val="0098067A"/>
    <w:rsid w:val="00985274"/>
    <w:rsid w:val="00991BC5"/>
    <w:rsid w:val="00992D82"/>
    <w:rsid w:val="00997029"/>
    <w:rsid w:val="009A7339"/>
    <w:rsid w:val="009B440E"/>
    <w:rsid w:val="009C19CC"/>
    <w:rsid w:val="009D690D"/>
    <w:rsid w:val="009E65B6"/>
    <w:rsid w:val="009F6F32"/>
    <w:rsid w:val="009F77CF"/>
    <w:rsid w:val="00A04267"/>
    <w:rsid w:val="00A24C10"/>
    <w:rsid w:val="00A3338E"/>
    <w:rsid w:val="00A42AC3"/>
    <w:rsid w:val="00A42F9F"/>
    <w:rsid w:val="00A430CF"/>
    <w:rsid w:val="00A54309"/>
    <w:rsid w:val="00A80FDD"/>
    <w:rsid w:val="00A8628F"/>
    <w:rsid w:val="00A902DD"/>
    <w:rsid w:val="00AA1DB1"/>
    <w:rsid w:val="00AB2B93"/>
    <w:rsid w:val="00AB530F"/>
    <w:rsid w:val="00AB7E5B"/>
    <w:rsid w:val="00AC1BF6"/>
    <w:rsid w:val="00AC2883"/>
    <w:rsid w:val="00AE0EF1"/>
    <w:rsid w:val="00AE2937"/>
    <w:rsid w:val="00AE4663"/>
    <w:rsid w:val="00AE775F"/>
    <w:rsid w:val="00B07301"/>
    <w:rsid w:val="00B11F3E"/>
    <w:rsid w:val="00B224DE"/>
    <w:rsid w:val="00B22ACC"/>
    <w:rsid w:val="00B276E9"/>
    <w:rsid w:val="00B324D4"/>
    <w:rsid w:val="00B46575"/>
    <w:rsid w:val="00B61777"/>
    <w:rsid w:val="00B622E6"/>
    <w:rsid w:val="00B62C2D"/>
    <w:rsid w:val="00B6426C"/>
    <w:rsid w:val="00B83237"/>
    <w:rsid w:val="00B84BBD"/>
    <w:rsid w:val="00B95B94"/>
    <w:rsid w:val="00B969C9"/>
    <w:rsid w:val="00BA43FB"/>
    <w:rsid w:val="00BC127D"/>
    <w:rsid w:val="00BC1FE6"/>
    <w:rsid w:val="00C061B6"/>
    <w:rsid w:val="00C2446C"/>
    <w:rsid w:val="00C34624"/>
    <w:rsid w:val="00C36AE5"/>
    <w:rsid w:val="00C41F17"/>
    <w:rsid w:val="00C4567A"/>
    <w:rsid w:val="00C527FA"/>
    <w:rsid w:val="00C5280D"/>
    <w:rsid w:val="00C53EB3"/>
    <w:rsid w:val="00C5791C"/>
    <w:rsid w:val="00C66290"/>
    <w:rsid w:val="00C72584"/>
    <w:rsid w:val="00C72B7A"/>
    <w:rsid w:val="00C75858"/>
    <w:rsid w:val="00C973F2"/>
    <w:rsid w:val="00CA304C"/>
    <w:rsid w:val="00CA774A"/>
    <w:rsid w:val="00CB1E6B"/>
    <w:rsid w:val="00CB611C"/>
    <w:rsid w:val="00CC11B0"/>
    <w:rsid w:val="00CC2841"/>
    <w:rsid w:val="00CE1676"/>
    <w:rsid w:val="00CF1330"/>
    <w:rsid w:val="00CF7E36"/>
    <w:rsid w:val="00D3708D"/>
    <w:rsid w:val="00D40426"/>
    <w:rsid w:val="00D43366"/>
    <w:rsid w:val="00D43A7C"/>
    <w:rsid w:val="00D50D77"/>
    <w:rsid w:val="00D56851"/>
    <w:rsid w:val="00D57C96"/>
    <w:rsid w:val="00D57D18"/>
    <w:rsid w:val="00D61070"/>
    <w:rsid w:val="00D81243"/>
    <w:rsid w:val="00D85F2C"/>
    <w:rsid w:val="00D91203"/>
    <w:rsid w:val="00D95174"/>
    <w:rsid w:val="00DA4973"/>
    <w:rsid w:val="00DA6F36"/>
    <w:rsid w:val="00DB596E"/>
    <w:rsid w:val="00DB7773"/>
    <w:rsid w:val="00DC00EA"/>
    <w:rsid w:val="00DC3802"/>
    <w:rsid w:val="00DD0B62"/>
    <w:rsid w:val="00DF431F"/>
    <w:rsid w:val="00E079FF"/>
    <w:rsid w:val="00E07D87"/>
    <w:rsid w:val="00E249C8"/>
    <w:rsid w:val="00E3240D"/>
    <w:rsid w:val="00E32F7E"/>
    <w:rsid w:val="00E502A7"/>
    <w:rsid w:val="00E5267B"/>
    <w:rsid w:val="00E63C0E"/>
    <w:rsid w:val="00E72D49"/>
    <w:rsid w:val="00E7593C"/>
    <w:rsid w:val="00E7678A"/>
    <w:rsid w:val="00E81E4C"/>
    <w:rsid w:val="00E935F1"/>
    <w:rsid w:val="00E94A81"/>
    <w:rsid w:val="00EA1FFB"/>
    <w:rsid w:val="00EA2C14"/>
    <w:rsid w:val="00EB048E"/>
    <w:rsid w:val="00EB4E9C"/>
    <w:rsid w:val="00EC5A5F"/>
    <w:rsid w:val="00EE34DF"/>
    <w:rsid w:val="00EF1B46"/>
    <w:rsid w:val="00EF2F89"/>
    <w:rsid w:val="00EF57A7"/>
    <w:rsid w:val="00EF5E4C"/>
    <w:rsid w:val="00F03E98"/>
    <w:rsid w:val="00F06DEA"/>
    <w:rsid w:val="00F1237A"/>
    <w:rsid w:val="00F17FBC"/>
    <w:rsid w:val="00F22CBD"/>
    <w:rsid w:val="00F272F1"/>
    <w:rsid w:val="00F30104"/>
    <w:rsid w:val="00F3338A"/>
    <w:rsid w:val="00F4454E"/>
    <w:rsid w:val="00F45372"/>
    <w:rsid w:val="00F5437A"/>
    <w:rsid w:val="00F560F7"/>
    <w:rsid w:val="00F6334D"/>
    <w:rsid w:val="00F63599"/>
    <w:rsid w:val="00F80CC8"/>
    <w:rsid w:val="00F93994"/>
    <w:rsid w:val="00FA49AB"/>
    <w:rsid w:val="00FE009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115E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B639C"/>
    <w:pPr>
      <w:keepNext/>
      <w:ind w:left="1985" w:hanging="1418"/>
      <w:jc w:val="both"/>
      <w:outlineLvl w:val="3"/>
    </w:pPr>
    <w:rPr>
      <w:rFonts w:ascii="Arial" w:hAnsi="Arial"/>
      <w:i/>
      <w:snapToGrid w:val="0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link w:val="plcountryChar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basedOn w:val="DefaultParagraphFont"/>
    <w:link w:val="Heading2"/>
    <w:rsid w:val="00FE0090"/>
    <w:rPr>
      <w:rFonts w:ascii="Arial" w:hAnsi="Arial"/>
      <w:u w:val="single"/>
    </w:rPr>
  </w:style>
  <w:style w:type="character" w:customStyle="1" w:styleId="DecisionParagraphsChar">
    <w:name w:val="DecisionParagraphs Char"/>
    <w:basedOn w:val="DefaultParagraphFont"/>
    <w:link w:val="DecisionParagraphs"/>
    <w:rsid w:val="00915FC8"/>
    <w:rPr>
      <w:rFonts w:ascii="Arial" w:hAnsi="Arial"/>
      <w:i/>
    </w:rPr>
  </w:style>
  <w:style w:type="paragraph" w:customStyle="1" w:styleId="Inf6normal">
    <w:name w:val="Inf6_normal"/>
    <w:basedOn w:val="Normal"/>
    <w:link w:val="Inf6normalChar"/>
    <w:rsid w:val="00237658"/>
    <w:pPr>
      <w:tabs>
        <w:tab w:val="left" w:pos="426"/>
        <w:tab w:val="left" w:pos="992"/>
      </w:tabs>
    </w:pPr>
    <w:rPr>
      <w:rFonts w:cs="Arial"/>
    </w:rPr>
  </w:style>
  <w:style w:type="character" w:customStyle="1" w:styleId="Inf6normalChar">
    <w:name w:val="Inf6_normal Char"/>
    <w:basedOn w:val="DefaultParagraphFont"/>
    <w:link w:val="Inf6normal"/>
    <w:rsid w:val="00237658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5179E0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8A7184"/>
    <w:rPr>
      <w:rFonts w:ascii="Arial" w:hAnsi="Arial"/>
      <w:lang w:val="fr-FR"/>
    </w:rPr>
  </w:style>
  <w:style w:type="character" w:customStyle="1" w:styleId="pldetailsChar">
    <w:name w:val="pldetails Char"/>
    <w:link w:val="pldetails"/>
    <w:locked/>
    <w:rsid w:val="008A7184"/>
    <w:rPr>
      <w:rFonts w:ascii="Arial" w:hAnsi="Arial"/>
      <w:noProof/>
      <w:snapToGrid w:val="0"/>
    </w:rPr>
  </w:style>
  <w:style w:type="character" w:customStyle="1" w:styleId="plcountryChar">
    <w:name w:val="plcountry Char"/>
    <w:basedOn w:val="DefaultParagraphFont"/>
    <w:link w:val="plcountry"/>
    <w:rsid w:val="008A7184"/>
    <w:rPr>
      <w:rFonts w:ascii="Arial" w:hAnsi="Arial"/>
      <w:caps/>
      <w:noProof/>
      <w:snapToGrid w:val="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115E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B639C"/>
    <w:pPr>
      <w:keepNext/>
      <w:ind w:left="1985" w:hanging="1418"/>
      <w:jc w:val="both"/>
      <w:outlineLvl w:val="3"/>
    </w:pPr>
    <w:rPr>
      <w:rFonts w:ascii="Arial" w:hAnsi="Arial"/>
      <w:i/>
      <w:snapToGrid w:val="0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link w:val="plcountryChar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basedOn w:val="DefaultParagraphFont"/>
    <w:link w:val="Heading2"/>
    <w:rsid w:val="00FE0090"/>
    <w:rPr>
      <w:rFonts w:ascii="Arial" w:hAnsi="Arial"/>
      <w:u w:val="single"/>
    </w:rPr>
  </w:style>
  <w:style w:type="character" w:customStyle="1" w:styleId="DecisionParagraphsChar">
    <w:name w:val="DecisionParagraphs Char"/>
    <w:basedOn w:val="DefaultParagraphFont"/>
    <w:link w:val="DecisionParagraphs"/>
    <w:rsid w:val="00915FC8"/>
    <w:rPr>
      <w:rFonts w:ascii="Arial" w:hAnsi="Arial"/>
      <w:i/>
    </w:rPr>
  </w:style>
  <w:style w:type="paragraph" w:customStyle="1" w:styleId="Inf6normal">
    <w:name w:val="Inf6_normal"/>
    <w:basedOn w:val="Normal"/>
    <w:link w:val="Inf6normalChar"/>
    <w:rsid w:val="00237658"/>
    <w:pPr>
      <w:tabs>
        <w:tab w:val="left" w:pos="426"/>
        <w:tab w:val="left" w:pos="992"/>
      </w:tabs>
    </w:pPr>
    <w:rPr>
      <w:rFonts w:cs="Arial"/>
    </w:rPr>
  </w:style>
  <w:style w:type="character" w:customStyle="1" w:styleId="Inf6normalChar">
    <w:name w:val="Inf6_normal Char"/>
    <w:basedOn w:val="DefaultParagraphFont"/>
    <w:link w:val="Inf6normal"/>
    <w:rsid w:val="00237658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5179E0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8A7184"/>
    <w:rPr>
      <w:rFonts w:ascii="Arial" w:hAnsi="Arial"/>
      <w:lang w:val="fr-FR"/>
    </w:rPr>
  </w:style>
  <w:style w:type="character" w:customStyle="1" w:styleId="pldetailsChar">
    <w:name w:val="pldetails Char"/>
    <w:link w:val="pldetails"/>
    <w:locked/>
    <w:rsid w:val="008A7184"/>
    <w:rPr>
      <w:rFonts w:ascii="Arial" w:hAnsi="Arial"/>
      <w:noProof/>
      <w:snapToGrid w:val="0"/>
    </w:rPr>
  </w:style>
  <w:style w:type="character" w:customStyle="1" w:styleId="plcountryChar">
    <w:name w:val="plcountry Char"/>
    <w:basedOn w:val="DefaultParagraphFont"/>
    <w:link w:val="plcountry"/>
    <w:rsid w:val="008A7184"/>
    <w:rPr>
      <w:rFonts w:ascii="Arial" w:hAnsi="Arial"/>
      <w:caps/>
      <w:noProof/>
      <w:snapToGrid w:val="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5254</Words>
  <Characters>29954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DB/ko</cp:keywords>
  <cp:lastModifiedBy/>
  <cp:revision>1</cp:revision>
  <dcterms:created xsi:type="dcterms:W3CDTF">2017-11-13T09:50:00Z</dcterms:created>
  <dcterms:modified xsi:type="dcterms:W3CDTF">2017-11-17T18:12:00Z</dcterms:modified>
</cp:coreProperties>
</file>