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4695C" w:rsidRPr="00EB7B33" w:rsidTr="0018060D">
        <w:trPr>
          <w:trHeight w:val="1760"/>
        </w:trPr>
        <w:tc>
          <w:tcPr>
            <w:tcW w:w="4243" w:type="dxa"/>
          </w:tcPr>
          <w:p w:rsidR="0014695C" w:rsidRPr="00EB7B33" w:rsidRDefault="0014695C" w:rsidP="0018060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14695C" w:rsidRPr="004E4A11" w:rsidRDefault="0014695C" w:rsidP="0018060D">
            <w:pPr>
              <w:pStyle w:val="LogoUPOV"/>
              <w:rPr>
                <w:lang w:val="fr-FR"/>
              </w:rPr>
            </w:pPr>
            <w:r w:rsidRPr="004E4A11">
              <w:rPr>
                <w:noProof/>
              </w:rPr>
              <w:drawing>
                <wp:inline distT="0" distB="0" distL="0" distR="0" wp14:anchorId="4019FE4F" wp14:editId="403DF0F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4695C" w:rsidRPr="004E4A11" w:rsidRDefault="0014695C" w:rsidP="0018060D">
            <w:pPr>
              <w:pStyle w:val="Lettrine"/>
              <w:rPr>
                <w:lang w:val="fr-FR"/>
              </w:rPr>
            </w:pPr>
            <w:r w:rsidRPr="004E4A11">
              <w:rPr>
                <w:lang w:val="fr-FR"/>
              </w:rPr>
              <w:t>F</w:t>
            </w:r>
          </w:p>
          <w:p w:rsidR="0014695C" w:rsidRPr="004E4A11" w:rsidRDefault="0014695C" w:rsidP="0018060D">
            <w:pPr>
              <w:pStyle w:val="Docoriginal"/>
              <w:jc w:val="left"/>
              <w:rPr>
                <w:lang w:val="fr-FR"/>
              </w:rPr>
            </w:pPr>
            <w:r w:rsidRPr="004E4A11">
              <w:rPr>
                <w:lang w:val="fr-FR"/>
              </w:rPr>
              <w:t>CAJ/72/</w:t>
            </w:r>
            <w:bookmarkStart w:id="0" w:name="Code"/>
            <w:bookmarkEnd w:id="0"/>
            <w:r w:rsidRPr="004E4A11">
              <w:rPr>
                <w:lang w:val="fr-FR"/>
              </w:rPr>
              <w:t>8</w:t>
            </w:r>
          </w:p>
          <w:p w:rsidR="0014695C" w:rsidRPr="004E4A11" w:rsidRDefault="0014695C" w:rsidP="0018060D">
            <w:pPr>
              <w:pStyle w:val="Docoriginal"/>
              <w:jc w:val="left"/>
              <w:rPr>
                <w:lang w:val="fr-FR"/>
              </w:rPr>
            </w:pPr>
            <w:r w:rsidRPr="004E4A11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734F23" w:rsidRPr="004E4A11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4E4A11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4E4A1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4E4A11">
              <w:rPr>
                <w:b w:val="0"/>
                <w:spacing w:val="0"/>
                <w:lang w:val="fr-FR"/>
              </w:rPr>
              <w:t>anglais</w:t>
            </w:r>
          </w:p>
          <w:p w:rsidR="0014695C" w:rsidRPr="00EB7B33" w:rsidRDefault="0014695C" w:rsidP="0018060D">
            <w:pPr>
              <w:pStyle w:val="Docoriginal"/>
              <w:jc w:val="left"/>
              <w:rPr>
                <w:lang w:val="fr-FR"/>
              </w:rPr>
            </w:pPr>
            <w:r w:rsidRPr="004E4A11">
              <w:rPr>
                <w:spacing w:val="0"/>
                <w:lang w:val="fr-FR"/>
              </w:rPr>
              <w:t>DATE</w:t>
            </w:r>
            <w:r w:rsidR="00734F23" w:rsidRPr="004E4A11">
              <w:rPr>
                <w:spacing w:val="0"/>
                <w:lang w:val="fr-FR"/>
              </w:rPr>
              <w:t> </w:t>
            </w:r>
            <w:r w:rsidRPr="004E4A11">
              <w:rPr>
                <w:spacing w:val="0"/>
                <w:lang w:val="fr-FR"/>
              </w:rPr>
              <w:t>:</w:t>
            </w:r>
            <w:r w:rsidRPr="004E4A11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4E4A11" w:rsidRPr="004E4A11">
              <w:rPr>
                <w:rStyle w:val="StyleDocoriginalNotBold1"/>
                <w:spacing w:val="0"/>
                <w:lang w:val="fr-FR"/>
              </w:rPr>
              <w:t>16</w:t>
            </w:r>
            <w:r w:rsidRPr="004E4A11">
              <w:rPr>
                <w:rStyle w:val="StyleDocoriginalNotBold1"/>
                <w:spacing w:val="0"/>
                <w:lang w:val="fr-FR"/>
              </w:rPr>
              <w:t> septembre 2015</w:t>
            </w:r>
            <w:bookmarkStart w:id="3" w:name="_GoBack"/>
            <w:bookmarkEnd w:id="3"/>
          </w:p>
        </w:tc>
      </w:tr>
      <w:tr w:rsidR="0014695C" w:rsidRPr="00EB7B33" w:rsidTr="0018060D">
        <w:tc>
          <w:tcPr>
            <w:tcW w:w="10131" w:type="dxa"/>
            <w:gridSpan w:val="3"/>
          </w:tcPr>
          <w:p w:rsidR="0014695C" w:rsidRPr="00EB7B33" w:rsidRDefault="0014695C" w:rsidP="0018060D">
            <w:pPr>
              <w:pStyle w:val="upove"/>
              <w:rPr>
                <w:sz w:val="28"/>
                <w:lang w:val="fr-FR"/>
              </w:rPr>
            </w:pPr>
            <w:r w:rsidRPr="00EB7B33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4695C" w:rsidRPr="00EB7B33" w:rsidTr="0018060D">
        <w:tc>
          <w:tcPr>
            <w:tcW w:w="10131" w:type="dxa"/>
            <w:gridSpan w:val="3"/>
          </w:tcPr>
          <w:p w:rsidR="0014695C" w:rsidRPr="00EB7B33" w:rsidRDefault="0014695C" w:rsidP="0018060D">
            <w:pPr>
              <w:pStyle w:val="Country"/>
              <w:rPr>
                <w:lang w:val="fr-FR"/>
              </w:rPr>
            </w:pPr>
            <w:r w:rsidRPr="00EB7B33">
              <w:rPr>
                <w:lang w:val="fr-FR"/>
              </w:rPr>
              <w:t>Genève</w:t>
            </w:r>
          </w:p>
        </w:tc>
      </w:tr>
    </w:tbl>
    <w:p w:rsidR="0014695C" w:rsidRPr="00EB7B33" w:rsidRDefault="0014695C" w:rsidP="0014695C">
      <w:pPr>
        <w:pStyle w:val="Sessiontc"/>
        <w:rPr>
          <w:lang w:val="fr-FR"/>
        </w:rPr>
      </w:pPr>
      <w:r w:rsidRPr="00EB7B33">
        <w:rPr>
          <w:lang w:val="fr-FR"/>
        </w:rPr>
        <w:t>Comité administratif et juridique</w:t>
      </w:r>
    </w:p>
    <w:p w:rsidR="0014695C" w:rsidRPr="00EB7B33" w:rsidRDefault="0014695C" w:rsidP="0014695C">
      <w:pPr>
        <w:pStyle w:val="Sessiontcplacedate"/>
        <w:rPr>
          <w:lang w:val="fr-FR"/>
        </w:rPr>
      </w:pPr>
      <w:r w:rsidRPr="00EB7B33">
        <w:rPr>
          <w:lang w:val="fr-FR"/>
        </w:rPr>
        <w:t>Soixante</w:t>
      </w:r>
      <w:r w:rsidR="00EB7B33" w:rsidRPr="00EB7B33">
        <w:rPr>
          <w:lang w:val="fr-FR"/>
        </w:rPr>
        <w:noBreakHyphen/>
      </w:r>
      <w:r w:rsidRPr="00EB7B33">
        <w:rPr>
          <w:lang w:val="fr-FR"/>
        </w:rPr>
        <w:t>douzième</w:t>
      </w:r>
      <w:r w:rsidR="00734F23" w:rsidRPr="00EB7B33">
        <w:rPr>
          <w:lang w:val="fr-FR"/>
        </w:rPr>
        <w:t> </w:t>
      </w:r>
      <w:r w:rsidRPr="00EB7B33">
        <w:rPr>
          <w:lang w:val="fr-FR"/>
        </w:rPr>
        <w:t>session</w:t>
      </w:r>
      <w:r w:rsidRPr="00EB7B33">
        <w:rPr>
          <w:lang w:val="fr-FR"/>
        </w:rPr>
        <w:br/>
        <w:t>Genève, 26 et 2</w:t>
      </w:r>
      <w:r w:rsidR="008B32F9" w:rsidRPr="00EB7B33">
        <w:rPr>
          <w:lang w:val="fr-FR"/>
        </w:rPr>
        <w:t>7 octobre 20</w:t>
      </w:r>
      <w:r w:rsidRPr="00EB7B33">
        <w:rPr>
          <w:lang w:val="fr-FR"/>
        </w:rPr>
        <w:t>15</w:t>
      </w:r>
    </w:p>
    <w:p w:rsidR="000D7780" w:rsidRPr="00CF77B7" w:rsidRDefault="00870F7C" w:rsidP="0080679D">
      <w:pPr>
        <w:pStyle w:val="Titleofdoc0"/>
        <w:rPr>
          <w:lang w:val="fr-FR"/>
        </w:rPr>
      </w:pPr>
      <w:r w:rsidRPr="00CF77B7">
        <w:rPr>
          <w:lang w:val="fr-FR"/>
        </w:rPr>
        <w:t>calendrier</w:t>
      </w:r>
      <w:r w:rsidR="00631289" w:rsidRPr="00CF77B7">
        <w:rPr>
          <w:lang w:val="fr-FR"/>
        </w:rPr>
        <w:t xml:space="preserve"> </w:t>
      </w:r>
      <w:r w:rsidR="00BD3953" w:rsidRPr="00CF77B7">
        <w:rPr>
          <w:lang w:val="fr-FR"/>
        </w:rPr>
        <w:t xml:space="preserve">des </w:t>
      </w:r>
      <w:r w:rsidR="003941A6" w:rsidRPr="00CF77B7">
        <w:rPr>
          <w:lang w:val="fr-FR"/>
        </w:rPr>
        <w:t>sessions</w:t>
      </w:r>
      <w:r w:rsidR="008B32F9" w:rsidRPr="00CF77B7">
        <w:rPr>
          <w:lang w:val="fr-FR"/>
        </w:rPr>
        <w:t xml:space="preserve"> du CAJ</w:t>
      </w:r>
    </w:p>
    <w:p w:rsidR="00A4666A" w:rsidRPr="00EB7B33" w:rsidRDefault="00A4666A" w:rsidP="00A4666A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CF77B7">
        <w:rPr>
          <w:lang w:val="fr-FR"/>
        </w:rPr>
        <w:t>Document établi par le Bureau de l</w:t>
      </w:r>
      <w:r w:rsidR="008B32F9" w:rsidRPr="00CF77B7">
        <w:rPr>
          <w:lang w:val="fr-FR"/>
        </w:rPr>
        <w:t>’</w:t>
      </w:r>
      <w:r w:rsidRPr="00CF77B7">
        <w:rPr>
          <w:lang w:val="fr-FR"/>
        </w:rPr>
        <w:t>Union</w:t>
      </w:r>
      <w:r w:rsidRPr="00CF77B7">
        <w:rPr>
          <w:highlight w:val="cyan"/>
          <w:lang w:val="fr-FR"/>
        </w:rPr>
        <w:br/>
      </w:r>
      <w:r w:rsidRPr="00EB7B33">
        <w:rPr>
          <w:highlight w:val="cyan"/>
          <w:lang w:val="fr-FR"/>
        </w:rPr>
        <w:br/>
      </w:r>
      <w:r w:rsidRPr="00EB7B33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8B32F9" w:rsidRPr="00EB7B33">
        <w:rPr>
          <w:color w:val="A6A6A6" w:themeColor="background1" w:themeShade="A6"/>
          <w:lang w:val="fr-FR"/>
        </w:rPr>
        <w:t>’</w:t>
      </w:r>
      <w:r w:rsidRPr="00EB7B33">
        <w:rPr>
          <w:color w:val="A6A6A6" w:themeColor="background1" w:themeShade="A6"/>
          <w:lang w:val="fr-FR"/>
        </w:rPr>
        <w:t>UPOV</w:t>
      </w:r>
    </w:p>
    <w:p w:rsidR="00585465" w:rsidRPr="00CF77B7" w:rsidRDefault="00631289" w:rsidP="00CF77B7">
      <w:pPr>
        <w:rPr>
          <w:lang w:val="fr-FR"/>
        </w:rPr>
      </w:pPr>
      <w:r w:rsidRPr="00CF77B7">
        <w:rPr>
          <w:lang w:val="fr-FR"/>
        </w:rPr>
        <w:fldChar w:fldCharType="begin"/>
      </w:r>
      <w:r w:rsidRPr="00CF77B7">
        <w:rPr>
          <w:lang w:val="fr-FR"/>
        </w:rPr>
        <w:instrText xml:space="preserve"> AUTONUM  </w:instrText>
      </w:r>
      <w:r w:rsidRPr="00CF77B7">
        <w:rPr>
          <w:lang w:val="fr-FR"/>
        </w:rPr>
        <w:fldChar w:fldCharType="end"/>
      </w:r>
      <w:r w:rsidRPr="00CF77B7">
        <w:rPr>
          <w:lang w:val="fr-FR"/>
        </w:rPr>
        <w:tab/>
      </w:r>
      <w:r w:rsidR="00585465" w:rsidRPr="00CF77B7">
        <w:rPr>
          <w:lang w:val="fr-FR"/>
        </w:rPr>
        <w:t>À la soixante et onzième session</w:t>
      </w:r>
      <w:r w:rsidR="00585465" w:rsidRPr="00CF77B7">
        <w:rPr>
          <w:rStyle w:val="FootnoteReference"/>
          <w:lang w:val="fr-FR"/>
        </w:rPr>
        <w:footnoteReference w:id="2"/>
      </w:r>
      <w:r w:rsidR="00585465" w:rsidRPr="00CF77B7">
        <w:rPr>
          <w:lang w:val="fr-FR"/>
        </w:rPr>
        <w:t xml:space="preserve"> du Comité administratif et juridique (CAJ), le président a noté que l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ordre du jour</w:t>
      </w:r>
      <w:r w:rsidR="008B32F9" w:rsidRPr="00CF77B7">
        <w:rPr>
          <w:lang w:val="fr-FR"/>
        </w:rPr>
        <w:t xml:space="preserve"> du CAJ</w:t>
      </w:r>
      <w:r w:rsidR="00585465" w:rsidRPr="00CF77B7">
        <w:rPr>
          <w:lang w:val="fr-FR"/>
        </w:rPr>
        <w:t xml:space="preserve"> comprenait plusieurs sujets importants, mais il a observé que seuls un nombre réduit de points étaient à examiner. </w:t>
      </w:r>
      <w:r w:rsidR="00734F23" w:rsidRPr="00CF77B7">
        <w:rPr>
          <w:lang w:val="fr-FR"/>
        </w:rPr>
        <w:t xml:space="preserve"> </w:t>
      </w:r>
      <w:r w:rsidR="00585465" w:rsidRPr="00CF77B7">
        <w:rPr>
          <w:lang w:val="fr-FR"/>
        </w:rPr>
        <w:t>Cela l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a conduit à se demander si ces points pourraient être examinés au cours d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une unique session de deux</w:t>
      </w:r>
      <w:r w:rsidR="00734F23" w:rsidRPr="00CF77B7">
        <w:rPr>
          <w:lang w:val="fr-FR"/>
        </w:rPr>
        <w:t> </w:t>
      </w:r>
      <w:r w:rsidR="00585465" w:rsidRPr="00CF77B7">
        <w:rPr>
          <w:lang w:val="fr-FR"/>
        </w:rPr>
        <w:t>jours, plutôt que selon la pratique actuelle qui consistait en une session</w:t>
      </w:r>
      <w:r w:rsidR="008B32F9" w:rsidRPr="00CF77B7">
        <w:rPr>
          <w:lang w:val="fr-FR"/>
        </w:rPr>
        <w:t xml:space="preserve"> du CAJ</w:t>
      </w:r>
      <w:r w:rsidR="00585465" w:rsidRPr="00CF77B7">
        <w:rPr>
          <w:lang w:val="fr-FR"/>
        </w:rPr>
        <w:t xml:space="preserve"> d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une journée en mars ou avril et une session</w:t>
      </w:r>
      <w:r w:rsidR="008B32F9" w:rsidRPr="00CF77B7">
        <w:rPr>
          <w:lang w:val="fr-FR"/>
        </w:rPr>
        <w:t xml:space="preserve"> du CAJ</w:t>
      </w:r>
      <w:r w:rsidR="00585465" w:rsidRPr="00CF77B7">
        <w:rPr>
          <w:lang w:val="fr-FR"/>
        </w:rPr>
        <w:t xml:space="preserve"> de deux</w:t>
      </w:r>
      <w:r w:rsidR="00734F23" w:rsidRPr="00CF77B7">
        <w:rPr>
          <w:lang w:val="fr-FR"/>
        </w:rPr>
        <w:t> </w:t>
      </w:r>
      <w:r w:rsidR="00585465" w:rsidRPr="00CF77B7">
        <w:rPr>
          <w:lang w:val="fr-FR"/>
        </w:rPr>
        <w:t xml:space="preserve">jours en octobre ou novembre. </w:t>
      </w:r>
      <w:r w:rsidR="00734F23" w:rsidRPr="00CF77B7">
        <w:rPr>
          <w:lang w:val="fr-FR"/>
        </w:rPr>
        <w:t xml:space="preserve"> </w:t>
      </w:r>
      <w:r w:rsidR="00585465" w:rsidRPr="00CF77B7">
        <w:rPr>
          <w:lang w:val="fr-FR"/>
        </w:rPr>
        <w:t>Il était d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avis que deux</w:t>
      </w:r>
      <w:r w:rsidR="00734F23" w:rsidRPr="00CF77B7">
        <w:rPr>
          <w:lang w:val="fr-FR"/>
        </w:rPr>
        <w:t> </w:t>
      </w:r>
      <w:r w:rsidR="00585465" w:rsidRPr="00CF77B7">
        <w:rPr>
          <w:lang w:val="fr-FR"/>
        </w:rPr>
        <w:t>jours seraient suffisants pour examiner les points de l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ordre du jour.</w:t>
      </w:r>
      <w:r w:rsidR="00734F23" w:rsidRPr="00CF77B7">
        <w:rPr>
          <w:lang w:val="fr-FR"/>
        </w:rPr>
        <w:t xml:space="preserve"> </w:t>
      </w:r>
      <w:r w:rsidR="00585465" w:rsidRPr="00CF77B7">
        <w:rPr>
          <w:lang w:val="fr-FR"/>
        </w:rPr>
        <w:t xml:space="preserve"> Il a fait référence au Comité technique (TC), qui se réunissait une fois chaque année, et a suggéré que</w:t>
      </w:r>
      <w:r w:rsidR="008B32F9" w:rsidRPr="00CF77B7">
        <w:rPr>
          <w:lang w:val="fr-FR"/>
        </w:rPr>
        <w:t xml:space="preserve"> le CAJ</w:t>
      </w:r>
      <w:r w:rsidR="00585465" w:rsidRPr="00CF77B7">
        <w:rPr>
          <w:lang w:val="fr-FR"/>
        </w:rPr>
        <w:t xml:space="preserve"> pourrait également souhaiter évaluer les avantages d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 xml:space="preserve">une seule réunion annuelle. </w:t>
      </w:r>
      <w:r w:rsidR="00734F23" w:rsidRPr="00CF77B7">
        <w:rPr>
          <w:lang w:val="fr-FR"/>
        </w:rPr>
        <w:t xml:space="preserve"> </w:t>
      </w:r>
      <w:r w:rsidR="00585465" w:rsidRPr="00CF77B7">
        <w:rPr>
          <w:lang w:val="fr-FR"/>
        </w:rPr>
        <w:t>Il a précisé qu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il n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était pas nécessaire de prendre une décision sur</w:t>
      </w:r>
      <w:r w:rsidR="00EB7B33" w:rsidRPr="00CF77B7">
        <w:rPr>
          <w:lang w:val="fr-FR"/>
        </w:rPr>
        <w:noBreakHyphen/>
      </w:r>
      <w:r w:rsidR="00585465" w:rsidRPr="00CF77B7">
        <w:rPr>
          <w:lang w:val="fr-FR"/>
        </w:rPr>
        <w:t>le</w:t>
      </w:r>
      <w:r w:rsidR="00EB7B33" w:rsidRPr="00CF77B7">
        <w:rPr>
          <w:lang w:val="fr-FR"/>
        </w:rPr>
        <w:noBreakHyphen/>
      </w:r>
      <w:r w:rsidR="00585465" w:rsidRPr="00CF77B7">
        <w:rPr>
          <w:lang w:val="fr-FR"/>
        </w:rPr>
        <w:t>champ, mais a indiqué qu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>il conviendrait d</w:t>
      </w:r>
      <w:r w:rsidR="008B32F9" w:rsidRPr="00CF77B7">
        <w:rPr>
          <w:lang w:val="fr-FR"/>
        </w:rPr>
        <w:t>’</w:t>
      </w:r>
      <w:r w:rsidR="00585465" w:rsidRPr="00CF77B7">
        <w:rPr>
          <w:lang w:val="fr-FR"/>
        </w:rPr>
        <w:t xml:space="preserve">examiner cette question en octobre 2015, au moment </w:t>
      </w:r>
      <w:r w:rsidR="00E55584" w:rsidRPr="00CF77B7">
        <w:rPr>
          <w:lang w:val="fr-FR"/>
        </w:rPr>
        <w:t>d</w:t>
      </w:r>
      <w:r w:rsidR="008B32F9" w:rsidRPr="00CF77B7">
        <w:rPr>
          <w:lang w:val="fr-FR"/>
        </w:rPr>
        <w:t>’</w:t>
      </w:r>
      <w:r w:rsidR="00E55584" w:rsidRPr="00CF77B7">
        <w:rPr>
          <w:lang w:val="fr-FR"/>
        </w:rPr>
        <w:t>examiner</w:t>
      </w:r>
      <w:r w:rsidR="00585465" w:rsidRPr="00CF77B7">
        <w:rPr>
          <w:lang w:val="fr-FR"/>
        </w:rPr>
        <w:t xml:space="preserve"> le programme de la soixante</w:t>
      </w:r>
      <w:r w:rsidR="00EB7B33" w:rsidRPr="00CF77B7">
        <w:rPr>
          <w:lang w:val="fr-FR"/>
        </w:rPr>
        <w:noBreakHyphen/>
      </w:r>
      <w:r w:rsidR="00585465" w:rsidRPr="00CF77B7">
        <w:rPr>
          <w:lang w:val="fr-FR"/>
        </w:rPr>
        <w:t>treizième session</w:t>
      </w:r>
      <w:r w:rsidR="008B32F9" w:rsidRPr="00CF77B7">
        <w:rPr>
          <w:lang w:val="fr-FR"/>
        </w:rPr>
        <w:t xml:space="preserve"> du CAJ</w:t>
      </w:r>
      <w:r w:rsidR="00585465" w:rsidRPr="00CF77B7">
        <w:rPr>
          <w:lang w:val="fr-FR"/>
        </w:rPr>
        <w:t>.</w:t>
      </w:r>
    </w:p>
    <w:p w:rsidR="00585465" w:rsidRPr="00CF77B7" w:rsidRDefault="00585465" w:rsidP="00CF77B7">
      <w:pPr>
        <w:rPr>
          <w:lang w:val="fr-FR"/>
        </w:rPr>
      </w:pPr>
    </w:p>
    <w:p w:rsidR="00585465" w:rsidRPr="00CF77B7" w:rsidRDefault="00631289" w:rsidP="00CF77B7">
      <w:pPr>
        <w:rPr>
          <w:lang w:val="fr-FR"/>
        </w:rPr>
      </w:pPr>
      <w:r w:rsidRPr="00CF77B7">
        <w:rPr>
          <w:lang w:val="fr-FR"/>
        </w:rPr>
        <w:fldChar w:fldCharType="begin"/>
      </w:r>
      <w:r w:rsidRPr="00CF77B7">
        <w:rPr>
          <w:lang w:val="fr-FR"/>
        </w:rPr>
        <w:instrText xml:space="preserve"> AUTONUM  </w:instrText>
      </w:r>
      <w:r w:rsidRPr="00CF77B7">
        <w:rPr>
          <w:lang w:val="fr-FR"/>
        </w:rPr>
        <w:fldChar w:fldCharType="end"/>
      </w:r>
      <w:r w:rsidRPr="00CF77B7">
        <w:rPr>
          <w:lang w:val="fr-FR"/>
        </w:rPr>
        <w:tab/>
      </w:r>
      <w:r w:rsidR="00585465" w:rsidRPr="00CF77B7">
        <w:rPr>
          <w:lang w:val="fr-FR"/>
        </w:rPr>
        <w:t xml:space="preserve">Le </w:t>
      </w:r>
      <w:r w:rsidR="00870F78" w:rsidRPr="00CF77B7">
        <w:rPr>
          <w:lang w:val="fr-FR"/>
        </w:rPr>
        <w:t>secrétaire général adjoint a expliqué</w:t>
      </w:r>
      <w:r w:rsidR="00870F78" w:rsidRPr="00CF77B7">
        <w:rPr>
          <w:rStyle w:val="FootnoteReference"/>
          <w:lang w:val="fr-FR"/>
        </w:rPr>
        <w:footnoteReference w:id="3"/>
      </w:r>
      <w:r w:rsidR="00870F78" w:rsidRPr="00CF77B7">
        <w:rPr>
          <w:lang w:val="fr-FR"/>
        </w:rPr>
        <w:t xml:space="preserve"> que la possibilité de tenir une session</w:t>
      </w:r>
      <w:r w:rsidR="008B32F9" w:rsidRPr="00CF77B7">
        <w:rPr>
          <w:lang w:val="fr-FR"/>
        </w:rPr>
        <w:t xml:space="preserve"> du CAJ</w:t>
      </w:r>
      <w:r w:rsidR="00870F78" w:rsidRPr="00CF77B7">
        <w:rPr>
          <w:lang w:val="fr-FR"/>
        </w:rPr>
        <w:t xml:space="preserve"> par an avait été soulevée par le président après consultation avec le Bureau de l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 xml:space="preserve">Union. </w:t>
      </w:r>
      <w:r w:rsidR="00734F23" w:rsidRPr="00CF77B7">
        <w:rPr>
          <w:lang w:val="fr-FR"/>
        </w:rPr>
        <w:t xml:space="preserve"> </w:t>
      </w:r>
      <w:r w:rsidR="00870F78" w:rsidRPr="00CF77B7">
        <w:rPr>
          <w:lang w:val="fr-FR"/>
        </w:rPr>
        <w:t>Il a fait remarquer que certains délégués, venant en appui de la question soulevée par le président, avaient exprimé leur souhait de voir les projets de matériels d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>information et les notes explicatives être publiés sur le site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>Web de l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>UPOV au plus tard six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 xml:space="preserve">semaines avant la session, afin de disposer de plus de temps pour les consultations. </w:t>
      </w:r>
      <w:r w:rsidR="00734F23" w:rsidRPr="00CF77B7">
        <w:rPr>
          <w:lang w:val="fr-FR"/>
        </w:rPr>
        <w:t xml:space="preserve"> </w:t>
      </w:r>
      <w:r w:rsidR="00870F78" w:rsidRPr="00CF77B7">
        <w:rPr>
          <w:lang w:val="fr-FR"/>
        </w:rPr>
        <w:t>Toutefois, l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>intervalle entre deux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>sessions</w:t>
      </w:r>
      <w:r w:rsidR="008B32F9" w:rsidRPr="00CF77B7">
        <w:rPr>
          <w:lang w:val="fr-FR"/>
        </w:rPr>
        <w:t xml:space="preserve"> du CAJ</w:t>
      </w:r>
      <w:r w:rsidR="00870F78" w:rsidRPr="00CF77B7">
        <w:rPr>
          <w:lang w:val="fr-FR"/>
        </w:rPr>
        <w:t xml:space="preserve"> n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>étant que de six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>mois, il était difficile de préparer de nouvelles versions des documents dans les quatre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>langues dans un laps de temps plus court que six</w:t>
      </w:r>
      <w:r w:rsidR="00734F23" w:rsidRPr="00CF77B7">
        <w:rPr>
          <w:lang w:val="fr-FR"/>
        </w:rPr>
        <w:t> </w:t>
      </w:r>
      <w:r w:rsidR="00870F78" w:rsidRPr="00CF77B7">
        <w:rPr>
          <w:lang w:val="fr-FR"/>
        </w:rPr>
        <w:t>semaines avant une session.</w:t>
      </w:r>
      <w:r w:rsidR="00734F23" w:rsidRPr="00CF77B7">
        <w:rPr>
          <w:lang w:val="fr-FR"/>
        </w:rPr>
        <w:t xml:space="preserve"> </w:t>
      </w:r>
      <w:r w:rsidR="00870F78" w:rsidRPr="00CF77B7">
        <w:rPr>
          <w:lang w:val="fr-FR"/>
        </w:rPr>
        <w:t xml:space="preserve"> Le secrétaire général adjoint a également évoqué les coûts d</w:t>
      </w:r>
      <w:r w:rsidR="008B32F9" w:rsidRPr="00CF77B7">
        <w:rPr>
          <w:lang w:val="fr-FR"/>
        </w:rPr>
        <w:t>’</w:t>
      </w:r>
      <w:r w:rsidR="00870F78" w:rsidRPr="00CF77B7">
        <w:rPr>
          <w:lang w:val="fr-FR"/>
        </w:rPr>
        <w:t>organisation de chaque session</w:t>
      </w:r>
      <w:r w:rsidR="008B32F9" w:rsidRPr="00CF77B7">
        <w:rPr>
          <w:lang w:val="fr-FR"/>
        </w:rPr>
        <w:t xml:space="preserve"> du CAJ</w:t>
      </w:r>
      <w:r w:rsidR="00870F78" w:rsidRPr="00CF77B7">
        <w:rPr>
          <w:lang w:val="fr-FR"/>
        </w:rPr>
        <w:t xml:space="preserve"> et les frais encourus par les participants.</w:t>
      </w:r>
    </w:p>
    <w:p w:rsidR="00585465" w:rsidRPr="00CF77B7" w:rsidRDefault="00585465" w:rsidP="00CF77B7">
      <w:pPr>
        <w:rPr>
          <w:lang w:val="fr-FR"/>
        </w:rPr>
      </w:pPr>
    </w:p>
    <w:p w:rsidR="00870F7C" w:rsidRPr="00CF77B7" w:rsidRDefault="00631289" w:rsidP="00CF77B7">
      <w:pPr>
        <w:rPr>
          <w:lang w:val="fr-FR"/>
        </w:rPr>
      </w:pPr>
      <w:r w:rsidRPr="00CF77B7">
        <w:rPr>
          <w:lang w:val="fr-FR"/>
        </w:rPr>
        <w:fldChar w:fldCharType="begin"/>
      </w:r>
      <w:r w:rsidRPr="00CF77B7">
        <w:rPr>
          <w:lang w:val="fr-FR"/>
        </w:rPr>
        <w:instrText xml:space="preserve"> AUTONUM  </w:instrText>
      </w:r>
      <w:r w:rsidRPr="00CF77B7">
        <w:rPr>
          <w:lang w:val="fr-FR"/>
        </w:rPr>
        <w:fldChar w:fldCharType="end"/>
      </w:r>
      <w:r w:rsidRPr="00CF77B7">
        <w:rPr>
          <w:lang w:val="fr-FR"/>
        </w:rPr>
        <w:tab/>
      </w:r>
      <w:r w:rsidR="00870F7C" w:rsidRPr="00CF77B7">
        <w:rPr>
          <w:lang w:val="fr-FR"/>
        </w:rPr>
        <w:t>Le CAJ a décidé</w:t>
      </w:r>
      <w:r w:rsidR="00870F7C" w:rsidRPr="00CF77B7">
        <w:rPr>
          <w:vertAlign w:val="superscript"/>
          <w:lang w:val="fr-FR"/>
        </w:rPr>
        <w:t>2</w:t>
      </w:r>
      <w:r w:rsidR="00870F7C" w:rsidRPr="00CF77B7">
        <w:rPr>
          <w:lang w:val="fr-FR"/>
        </w:rPr>
        <w:t xml:space="preserve"> d</w:t>
      </w:r>
      <w:r w:rsidR="008B32F9" w:rsidRPr="00CF77B7">
        <w:rPr>
          <w:lang w:val="fr-FR"/>
        </w:rPr>
        <w:t>’</w:t>
      </w:r>
      <w:r w:rsidR="00870F7C" w:rsidRPr="00CF77B7">
        <w:rPr>
          <w:lang w:val="fr-FR"/>
        </w:rPr>
        <w:t>examiner le calendrier de ses sessions prévues en</w:t>
      </w:r>
      <w:r w:rsidR="00734F23" w:rsidRPr="00CF77B7">
        <w:rPr>
          <w:lang w:val="fr-FR"/>
        </w:rPr>
        <w:t> </w:t>
      </w:r>
      <w:r w:rsidR="00870F7C" w:rsidRPr="00CF77B7">
        <w:rPr>
          <w:lang w:val="fr-FR"/>
        </w:rPr>
        <w:t>2016, au titre du point de l</w:t>
      </w:r>
      <w:r w:rsidR="008B32F9" w:rsidRPr="00CF77B7">
        <w:rPr>
          <w:lang w:val="fr-FR"/>
        </w:rPr>
        <w:t>’</w:t>
      </w:r>
      <w:r w:rsidR="00870F7C" w:rsidRPr="00CF77B7">
        <w:rPr>
          <w:lang w:val="fr-FR"/>
        </w:rPr>
        <w:t>ordre du jour “Programme de la soixante</w:t>
      </w:r>
      <w:r w:rsidR="00EB7B33" w:rsidRPr="00CF77B7">
        <w:rPr>
          <w:lang w:val="fr-FR"/>
        </w:rPr>
        <w:noBreakHyphen/>
      </w:r>
      <w:r w:rsidR="00870F7C" w:rsidRPr="00CF77B7">
        <w:rPr>
          <w:lang w:val="fr-FR"/>
        </w:rPr>
        <w:t>treizième</w:t>
      </w:r>
      <w:r w:rsidR="00734F23" w:rsidRPr="00CF77B7">
        <w:rPr>
          <w:lang w:val="fr-FR"/>
        </w:rPr>
        <w:t> </w:t>
      </w:r>
      <w:r w:rsidR="00870F7C" w:rsidRPr="00CF77B7">
        <w:rPr>
          <w:lang w:val="fr-FR"/>
        </w:rPr>
        <w:t>session” de sa soixante</w:t>
      </w:r>
      <w:r w:rsidR="00EB7B33" w:rsidRPr="00CF77B7">
        <w:rPr>
          <w:lang w:val="fr-FR"/>
        </w:rPr>
        <w:noBreakHyphen/>
      </w:r>
      <w:r w:rsidR="00870F7C" w:rsidRPr="00CF77B7">
        <w:rPr>
          <w:lang w:val="fr-FR"/>
        </w:rPr>
        <w:t>douzième</w:t>
      </w:r>
      <w:r w:rsidR="00734F23" w:rsidRPr="00CF77B7">
        <w:rPr>
          <w:lang w:val="fr-FR"/>
        </w:rPr>
        <w:t> </w:t>
      </w:r>
      <w:r w:rsidR="00870F7C" w:rsidRPr="00CF77B7">
        <w:rPr>
          <w:lang w:val="fr-FR"/>
        </w:rPr>
        <w:t xml:space="preserve">session (voir le paragraphe 89 du </w:t>
      </w:r>
      <w:r w:rsidR="008B32F9" w:rsidRPr="00CF77B7">
        <w:rPr>
          <w:lang w:val="fr-FR"/>
        </w:rPr>
        <w:t>document CA</w:t>
      </w:r>
      <w:r w:rsidR="00870F7C" w:rsidRPr="00CF77B7">
        <w:rPr>
          <w:lang w:val="fr-FR"/>
        </w:rPr>
        <w:t>J/71/10 “Compte rendu des conclusions”).</w:t>
      </w:r>
    </w:p>
    <w:p w:rsidR="00870F7C" w:rsidRPr="00CF77B7" w:rsidRDefault="00870F7C" w:rsidP="00CF77B7">
      <w:pPr>
        <w:rPr>
          <w:lang w:val="fr-FR"/>
        </w:rPr>
      </w:pPr>
    </w:p>
    <w:p w:rsidR="00870F7C" w:rsidRPr="00CF77B7" w:rsidRDefault="00952652" w:rsidP="00CF77B7">
      <w:pPr>
        <w:rPr>
          <w:snapToGrid w:val="0"/>
          <w:lang w:val="fr-FR"/>
        </w:rPr>
      </w:pPr>
      <w:r w:rsidRPr="00CF77B7">
        <w:rPr>
          <w:snapToGrid w:val="0"/>
          <w:lang w:val="fr-FR"/>
        </w:rPr>
        <w:fldChar w:fldCharType="begin"/>
      </w:r>
      <w:r w:rsidRPr="00CF77B7">
        <w:rPr>
          <w:snapToGrid w:val="0"/>
          <w:lang w:val="fr-FR"/>
        </w:rPr>
        <w:instrText xml:space="preserve"> AUTONUM  </w:instrText>
      </w:r>
      <w:r w:rsidRPr="00CF77B7">
        <w:rPr>
          <w:snapToGrid w:val="0"/>
          <w:lang w:val="fr-FR"/>
        </w:rPr>
        <w:fldChar w:fldCharType="end"/>
      </w:r>
      <w:r w:rsidRPr="00CF77B7">
        <w:rPr>
          <w:snapToGrid w:val="0"/>
          <w:lang w:val="fr-FR"/>
        </w:rPr>
        <w:tab/>
      </w:r>
      <w:r w:rsidR="00870F7C" w:rsidRPr="00CF77B7">
        <w:rPr>
          <w:snapToGrid w:val="0"/>
          <w:lang w:val="fr-FR"/>
        </w:rPr>
        <w:t>À sa quatre</w:t>
      </w:r>
      <w:r w:rsidR="00EB7B33" w:rsidRPr="00CF77B7">
        <w:rPr>
          <w:snapToGrid w:val="0"/>
          <w:lang w:val="fr-FR"/>
        </w:rPr>
        <w:noBreakHyphen/>
      </w:r>
      <w:r w:rsidR="00870F7C" w:rsidRPr="00CF77B7">
        <w:rPr>
          <w:snapToGrid w:val="0"/>
          <w:lang w:val="fr-FR"/>
        </w:rPr>
        <w:t>vingt</w:t>
      </w:r>
      <w:r w:rsidR="00EB7B33" w:rsidRPr="00CF77B7">
        <w:rPr>
          <w:snapToGrid w:val="0"/>
          <w:lang w:val="fr-FR"/>
        </w:rPr>
        <w:noBreakHyphen/>
      </w:r>
      <w:r w:rsidR="00870F7C" w:rsidRPr="00CF77B7">
        <w:rPr>
          <w:snapToGrid w:val="0"/>
          <w:lang w:val="fr-FR"/>
        </w:rPr>
        <w:t>neuvième session tenue à Genève le 27 mars 2015, le Comité consultatif est convenu d</w:t>
      </w:r>
      <w:r w:rsidR="008B32F9" w:rsidRPr="00CF77B7">
        <w:rPr>
          <w:snapToGrid w:val="0"/>
          <w:lang w:val="fr-FR"/>
        </w:rPr>
        <w:t>’</w:t>
      </w:r>
      <w:r w:rsidR="00870F7C" w:rsidRPr="00CF77B7">
        <w:rPr>
          <w:snapToGrid w:val="0"/>
          <w:lang w:val="fr-FR"/>
        </w:rPr>
        <w:t>examiner les questions figurant au programme des sessions de l</w:t>
      </w:r>
      <w:r w:rsidR="008B32F9" w:rsidRPr="00CF77B7">
        <w:rPr>
          <w:snapToGrid w:val="0"/>
          <w:lang w:val="fr-FR"/>
        </w:rPr>
        <w:t>’</w:t>
      </w:r>
      <w:r w:rsidR="00870F7C" w:rsidRPr="00CF77B7">
        <w:rPr>
          <w:snapToGrid w:val="0"/>
          <w:lang w:val="fr-FR"/>
        </w:rPr>
        <w:t>UPOV sous le titre “Élaboration du calendrier des réunions” à sa quatre</w:t>
      </w:r>
      <w:r w:rsidR="00EB7B33" w:rsidRPr="00CF77B7">
        <w:rPr>
          <w:snapToGrid w:val="0"/>
          <w:lang w:val="fr-FR"/>
        </w:rPr>
        <w:noBreakHyphen/>
      </w:r>
      <w:r w:rsidR="00870F7C" w:rsidRPr="00CF77B7">
        <w:rPr>
          <w:snapToGrid w:val="0"/>
          <w:lang w:val="fr-FR"/>
        </w:rPr>
        <w:t>vingt</w:t>
      </w:r>
      <w:r w:rsidR="00EB7B33" w:rsidRPr="00CF77B7">
        <w:rPr>
          <w:snapToGrid w:val="0"/>
          <w:lang w:val="fr-FR"/>
        </w:rPr>
        <w:noBreakHyphen/>
      </w:r>
      <w:r w:rsidR="00870F7C" w:rsidRPr="00CF77B7">
        <w:rPr>
          <w:snapToGrid w:val="0"/>
          <w:lang w:val="fr-FR"/>
        </w:rPr>
        <w:t>dixième</w:t>
      </w:r>
      <w:r w:rsidR="00734F23" w:rsidRPr="00CF77B7">
        <w:rPr>
          <w:snapToGrid w:val="0"/>
          <w:lang w:val="fr-FR"/>
        </w:rPr>
        <w:t> </w:t>
      </w:r>
      <w:r w:rsidR="00870F7C" w:rsidRPr="00CF77B7">
        <w:rPr>
          <w:snapToGrid w:val="0"/>
          <w:lang w:val="fr-FR"/>
        </w:rPr>
        <w:t>session, qui se tiendrait le 28 octobre 2015 (</w:t>
      </w:r>
      <w:r w:rsidR="00870F7C" w:rsidRPr="00CF77B7">
        <w:rPr>
          <w:lang w:val="fr-FR"/>
        </w:rPr>
        <w:t xml:space="preserve">voir le paragraphe 45 du </w:t>
      </w:r>
      <w:r w:rsidR="008B32F9" w:rsidRPr="00CF77B7">
        <w:rPr>
          <w:lang w:val="fr-FR"/>
        </w:rPr>
        <w:t>document CC</w:t>
      </w:r>
      <w:r w:rsidR="00870F7C" w:rsidRPr="00CF77B7">
        <w:rPr>
          <w:lang w:val="fr-FR"/>
        </w:rPr>
        <w:t>/89/11 “Compte rendu des conclusions”).</w:t>
      </w:r>
    </w:p>
    <w:p w:rsidR="00870F7C" w:rsidRPr="00CF77B7" w:rsidRDefault="00870F7C" w:rsidP="00CF77B7">
      <w:pPr>
        <w:rPr>
          <w:snapToGrid w:val="0"/>
          <w:lang w:val="fr-FR"/>
        </w:rPr>
      </w:pPr>
    </w:p>
    <w:p w:rsidR="008B32F9" w:rsidRPr="00CF77B7" w:rsidRDefault="00952652" w:rsidP="00CF77B7">
      <w:pPr>
        <w:rPr>
          <w:snapToGrid w:val="0"/>
          <w:lang w:val="fr-FR"/>
        </w:rPr>
      </w:pPr>
      <w:r w:rsidRPr="00CF77B7">
        <w:rPr>
          <w:snapToGrid w:val="0"/>
          <w:lang w:val="fr-FR"/>
        </w:rPr>
        <w:fldChar w:fldCharType="begin"/>
      </w:r>
      <w:r w:rsidRPr="00CF77B7">
        <w:rPr>
          <w:snapToGrid w:val="0"/>
          <w:lang w:val="fr-FR"/>
        </w:rPr>
        <w:instrText xml:space="preserve"> AUTONUM  </w:instrText>
      </w:r>
      <w:r w:rsidRPr="00CF77B7">
        <w:rPr>
          <w:snapToGrid w:val="0"/>
          <w:lang w:val="fr-FR"/>
        </w:rPr>
        <w:fldChar w:fldCharType="end"/>
      </w:r>
      <w:r w:rsidRPr="00CF77B7">
        <w:rPr>
          <w:snapToGrid w:val="0"/>
          <w:lang w:val="fr-FR"/>
        </w:rPr>
        <w:tab/>
      </w:r>
      <w:r w:rsidR="00E55584" w:rsidRPr="00CF77B7">
        <w:rPr>
          <w:snapToGrid w:val="0"/>
          <w:lang w:val="fr-FR"/>
        </w:rPr>
        <w:t>Un compte rendu des conclusions du CAJ concernant le calendrier de ses sessions sera présenté au Comité consultatif à sa quatre</w:t>
      </w:r>
      <w:r w:rsidR="00EB7B33" w:rsidRPr="00CF77B7">
        <w:rPr>
          <w:snapToGrid w:val="0"/>
          <w:lang w:val="fr-FR"/>
        </w:rPr>
        <w:noBreakHyphen/>
      </w:r>
      <w:r w:rsidR="00E55584" w:rsidRPr="00CF77B7">
        <w:rPr>
          <w:snapToGrid w:val="0"/>
          <w:lang w:val="fr-FR"/>
        </w:rPr>
        <w:t>vingt</w:t>
      </w:r>
      <w:r w:rsidR="00EB7B33" w:rsidRPr="00CF77B7">
        <w:rPr>
          <w:snapToGrid w:val="0"/>
          <w:lang w:val="fr-FR"/>
        </w:rPr>
        <w:noBreakHyphen/>
      </w:r>
      <w:r w:rsidR="00E55584" w:rsidRPr="00CF77B7">
        <w:rPr>
          <w:snapToGrid w:val="0"/>
          <w:lang w:val="fr-FR"/>
        </w:rPr>
        <w:t>dixième</w:t>
      </w:r>
      <w:r w:rsidR="00734F23" w:rsidRPr="00CF77B7">
        <w:rPr>
          <w:snapToGrid w:val="0"/>
          <w:lang w:val="fr-FR"/>
        </w:rPr>
        <w:t> </w:t>
      </w:r>
      <w:r w:rsidR="00E55584" w:rsidRPr="00CF77B7">
        <w:rPr>
          <w:snapToGrid w:val="0"/>
          <w:lang w:val="fr-FR"/>
        </w:rPr>
        <w:t>session, qui se tiendra le 28 octobre 2015</w:t>
      </w:r>
      <w:r w:rsidR="002F0938" w:rsidRPr="00CF77B7">
        <w:rPr>
          <w:snapToGrid w:val="0"/>
          <w:lang w:val="fr-FR"/>
        </w:rPr>
        <w:t>.</w:t>
      </w:r>
    </w:p>
    <w:p w:rsidR="00AD7592" w:rsidRPr="00CF77B7" w:rsidRDefault="00AD7592" w:rsidP="00CF77B7">
      <w:pPr>
        <w:rPr>
          <w:snapToGrid w:val="0"/>
          <w:lang w:val="fr-FR"/>
        </w:rPr>
      </w:pPr>
    </w:p>
    <w:p w:rsidR="00900C26" w:rsidRPr="00CF77B7" w:rsidRDefault="00631289" w:rsidP="00CF77B7">
      <w:pPr>
        <w:pStyle w:val="DecisionParagraphs"/>
        <w:rPr>
          <w:snapToGrid w:val="0"/>
          <w:lang w:val="fr-FR"/>
        </w:rPr>
      </w:pPr>
      <w:r w:rsidRPr="00CF77B7">
        <w:rPr>
          <w:snapToGrid w:val="0"/>
          <w:lang w:val="fr-FR"/>
        </w:rPr>
        <w:lastRenderedPageBreak/>
        <w:fldChar w:fldCharType="begin"/>
      </w:r>
      <w:r w:rsidRPr="00CF77B7">
        <w:rPr>
          <w:snapToGrid w:val="0"/>
          <w:lang w:val="fr-FR"/>
        </w:rPr>
        <w:instrText xml:space="preserve"> AUTONUM  </w:instrText>
      </w:r>
      <w:r w:rsidRPr="00CF77B7">
        <w:rPr>
          <w:snapToGrid w:val="0"/>
          <w:lang w:val="fr-FR"/>
        </w:rPr>
        <w:fldChar w:fldCharType="end"/>
      </w:r>
      <w:r w:rsidRPr="00CF77B7">
        <w:rPr>
          <w:snapToGrid w:val="0"/>
          <w:lang w:val="fr-FR"/>
        </w:rPr>
        <w:tab/>
      </w:r>
      <w:r w:rsidR="00E55584" w:rsidRPr="00CF77B7">
        <w:rPr>
          <w:snapToGrid w:val="0"/>
          <w:lang w:val="fr-FR"/>
        </w:rPr>
        <w:t>Le CAJ est invité à examiner le calendrier de ses sessions au titre du point de l</w:t>
      </w:r>
      <w:r w:rsidR="008B32F9" w:rsidRPr="00CF77B7">
        <w:rPr>
          <w:snapToGrid w:val="0"/>
          <w:lang w:val="fr-FR"/>
        </w:rPr>
        <w:t>’</w:t>
      </w:r>
      <w:r w:rsidR="00E55584" w:rsidRPr="00CF77B7">
        <w:rPr>
          <w:snapToGrid w:val="0"/>
          <w:lang w:val="fr-FR"/>
        </w:rPr>
        <w:t>ordre du jour “Programme de la soixante</w:t>
      </w:r>
      <w:r w:rsidR="00EB7B33" w:rsidRPr="00CF77B7">
        <w:rPr>
          <w:snapToGrid w:val="0"/>
          <w:lang w:val="fr-FR"/>
        </w:rPr>
        <w:noBreakHyphen/>
      </w:r>
      <w:r w:rsidR="00E55584" w:rsidRPr="00CF77B7">
        <w:rPr>
          <w:snapToGrid w:val="0"/>
          <w:lang w:val="fr-FR"/>
        </w:rPr>
        <w:t>treizième</w:t>
      </w:r>
      <w:r w:rsidR="00734F23" w:rsidRPr="00CF77B7">
        <w:rPr>
          <w:snapToGrid w:val="0"/>
          <w:lang w:val="fr-FR"/>
        </w:rPr>
        <w:t> </w:t>
      </w:r>
      <w:r w:rsidR="00E55584" w:rsidRPr="00CF77B7">
        <w:rPr>
          <w:snapToGrid w:val="0"/>
          <w:lang w:val="fr-FR"/>
        </w:rPr>
        <w:t>session”</w:t>
      </w:r>
      <w:r w:rsidR="003941A6" w:rsidRPr="00CF77B7">
        <w:rPr>
          <w:lang w:val="fr-FR"/>
        </w:rPr>
        <w:t>.</w:t>
      </w:r>
    </w:p>
    <w:p w:rsidR="003B32BA" w:rsidRPr="00CF77B7" w:rsidRDefault="003B32BA" w:rsidP="00CF77B7">
      <w:pPr>
        <w:rPr>
          <w:lang w:val="fr-FR"/>
        </w:rPr>
      </w:pPr>
    </w:p>
    <w:p w:rsidR="00C32F87" w:rsidRPr="00CF77B7" w:rsidRDefault="00C32F87" w:rsidP="00CF77B7">
      <w:pPr>
        <w:rPr>
          <w:lang w:val="fr-FR"/>
        </w:rPr>
      </w:pPr>
    </w:p>
    <w:p w:rsidR="00C32F87" w:rsidRPr="00CF77B7" w:rsidRDefault="00C32F87" w:rsidP="00CF77B7">
      <w:pPr>
        <w:rPr>
          <w:lang w:val="fr-FR"/>
        </w:rPr>
      </w:pPr>
    </w:p>
    <w:p w:rsidR="003B32BA" w:rsidRPr="00CF77B7" w:rsidRDefault="003B32BA" w:rsidP="00CF77B7">
      <w:pPr>
        <w:jc w:val="right"/>
        <w:rPr>
          <w:lang w:val="fr-FR"/>
        </w:rPr>
      </w:pPr>
      <w:r w:rsidRPr="00CF77B7">
        <w:rPr>
          <w:lang w:val="fr-FR"/>
        </w:rPr>
        <w:t>[</w:t>
      </w:r>
      <w:r w:rsidR="00BD3953" w:rsidRPr="00CF77B7">
        <w:rPr>
          <w:lang w:val="fr-FR"/>
        </w:rPr>
        <w:t>Fin du</w:t>
      </w:r>
      <w:r w:rsidRPr="00CF77B7">
        <w:rPr>
          <w:lang w:val="fr-FR"/>
        </w:rPr>
        <w:t xml:space="preserve"> document]</w:t>
      </w:r>
    </w:p>
    <w:sectPr w:rsidR="003B32BA" w:rsidRPr="00CF77B7" w:rsidSect="008B32F9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89" w:rsidRDefault="00631289">
      <w:r>
        <w:separator/>
      </w:r>
    </w:p>
    <w:p w:rsidR="00631289" w:rsidRDefault="00631289"/>
    <w:p w:rsidR="00631289" w:rsidRDefault="00631289"/>
  </w:endnote>
  <w:endnote w:type="continuationSeparator" w:id="0">
    <w:p w:rsidR="00631289" w:rsidRDefault="00631289">
      <w:r>
        <w:separator/>
      </w:r>
    </w:p>
    <w:p w:rsidR="00631289" w:rsidRPr="00664515" w:rsidRDefault="00631289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31289" w:rsidRPr="00664515" w:rsidRDefault="00631289">
      <w:pPr>
        <w:rPr>
          <w:lang w:val="fr-CH"/>
        </w:rPr>
      </w:pPr>
    </w:p>
    <w:p w:rsidR="00631289" w:rsidRPr="00664515" w:rsidRDefault="00631289">
      <w:pPr>
        <w:rPr>
          <w:lang w:val="fr-CH"/>
        </w:rPr>
      </w:pPr>
    </w:p>
  </w:endnote>
  <w:endnote w:type="continuationNotice" w:id="1">
    <w:p w:rsidR="00631289" w:rsidRPr="00664515" w:rsidRDefault="00631289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31289" w:rsidRPr="00664515" w:rsidRDefault="00631289">
      <w:pPr>
        <w:rPr>
          <w:lang w:val="fr-CH"/>
        </w:rPr>
      </w:pPr>
    </w:p>
    <w:p w:rsidR="00631289" w:rsidRPr="00664515" w:rsidRDefault="00631289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89" w:rsidRDefault="00631289" w:rsidP="009D690D">
      <w:pPr>
        <w:spacing w:before="120"/>
      </w:pPr>
      <w:r>
        <w:separator/>
      </w:r>
    </w:p>
  </w:footnote>
  <w:footnote w:type="continuationSeparator" w:id="0">
    <w:p w:rsidR="00631289" w:rsidRDefault="00631289" w:rsidP="00520297">
      <w:pPr>
        <w:spacing w:before="120"/>
        <w:jc w:val="left"/>
      </w:pPr>
      <w:r>
        <w:separator/>
      </w:r>
    </w:p>
  </w:footnote>
  <w:footnote w:type="continuationNotice" w:id="1">
    <w:p w:rsidR="00631289" w:rsidRDefault="00631289"/>
  </w:footnote>
  <w:footnote w:id="2">
    <w:p w:rsidR="00585465" w:rsidRPr="00AC7A37" w:rsidRDefault="00585465" w:rsidP="0058546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C7A37">
        <w:rPr>
          <w:lang w:val="fr-CH"/>
        </w:rPr>
        <w:t xml:space="preserve"> </w:t>
      </w:r>
      <w:r w:rsidRPr="00AC7A37">
        <w:rPr>
          <w:lang w:val="fr-CH"/>
        </w:rPr>
        <w:tab/>
      </w:r>
      <w:r w:rsidR="00AC7A37" w:rsidRPr="00AC7A37">
        <w:rPr>
          <w:lang w:val="fr-CH"/>
        </w:rPr>
        <w:t>Tenue à Genève le 26 mars 2015</w:t>
      </w:r>
      <w:r w:rsidRPr="00AC7A37">
        <w:rPr>
          <w:lang w:val="fr-CH"/>
        </w:rPr>
        <w:t>.</w:t>
      </w:r>
    </w:p>
  </w:footnote>
  <w:footnote w:id="3">
    <w:p w:rsidR="00870F78" w:rsidRPr="00AC7A37" w:rsidRDefault="00870F78" w:rsidP="00AC7A3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AC7A37">
        <w:rPr>
          <w:lang w:val="fr-CH"/>
        </w:rPr>
        <w:t xml:space="preserve"> </w:t>
      </w:r>
      <w:r w:rsidRPr="00AC7A37">
        <w:rPr>
          <w:lang w:val="fr-CH"/>
        </w:rPr>
        <w:tab/>
      </w:r>
      <w:r w:rsidR="00AC7A37">
        <w:rPr>
          <w:lang w:val="fr-CH"/>
        </w:rPr>
        <w:t xml:space="preserve">À la soixante et onzième session </w:t>
      </w:r>
      <w:r w:rsidR="00AC7A37" w:rsidRPr="00AC7A37">
        <w:rPr>
          <w:lang w:val="fr-CH"/>
        </w:rPr>
        <w:t>du CAJ</w:t>
      </w:r>
      <w:r w:rsidRPr="00127916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C32F87">
      <w:rPr>
        <w:rStyle w:val="PageNumber"/>
      </w:rPr>
      <w:t>8</w:t>
    </w:r>
  </w:p>
  <w:p w:rsidR="002F78FA" w:rsidRPr="00585465" w:rsidRDefault="002F78FA" w:rsidP="00E23920">
    <w:pPr>
      <w:jc w:val="center"/>
    </w:pPr>
    <w:proofErr w:type="gramStart"/>
    <w:r w:rsidRPr="00585465">
      <w:t>page</w:t>
    </w:r>
    <w:proofErr w:type="gramEnd"/>
    <w:r w:rsidRPr="00585465">
      <w:t xml:space="preserve"> </w:t>
    </w:r>
    <w:r w:rsidRPr="00585465">
      <w:rPr>
        <w:rStyle w:val="PageNumber"/>
      </w:rPr>
      <w:fldChar w:fldCharType="begin"/>
    </w:r>
    <w:r w:rsidRPr="00585465">
      <w:rPr>
        <w:rStyle w:val="PageNumber"/>
      </w:rPr>
      <w:instrText xml:space="preserve"> PAGE </w:instrText>
    </w:r>
    <w:r w:rsidRPr="00585465">
      <w:rPr>
        <w:rStyle w:val="PageNumber"/>
      </w:rPr>
      <w:fldChar w:fldCharType="separate"/>
    </w:r>
    <w:r w:rsidR="004E4A11">
      <w:rPr>
        <w:rStyle w:val="PageNumber"/>
        <w:noProof/>
      </w:rPr>
      <w:t>2</w:t>
    </w:r>
    <w:r w:rsidRPr="00585465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ransmlp.wipo.int\TextBase TMs\UPOV\Meetings|transmlp.wipo.int\TextBase TMs\UPOV\Other|transmlp.wipo.int\TextBase TMs\UPOV\Publications|transmlp.wipo.int\TextBase TMs\UPOV\Technical Guidelines|transmlp.wipo.int\TextBase TMs\WorkspaceFTS\EN-FR\ACE|transmlp.wipo.int\TextBase TMs\WorkspaceFTS\EN-FR\Administratif|transmlp.wipo.int\TextBase TMs\WorkspaceFTS\EN-FR\AMC|transmlp.wipo.int\TextBase TMs\WorkspaceFTS\EN-FR\Assemblées|transmlp.wipo.int\TextBase TMs\WorkspaceFTS\EN-FR\Budapest|transmlp.wipo.int\TextBase TMs\WorkspaceFTS\EN-FR\CDIP|transmlp.wipo.int\TextBase TMs\WorkspaceFTS\EN-FR\CWS|transmlp.wipo.int\TextBase TMs\WorkspaceFTS\EN-FR\Divers|transmlp.wipo.int\TextBase TMs\WorkspaceFTS\EN-FR\GRTKF|transmlp.wipo.int\TextBase TMs\WorkspaceFTS\EN-FR\Hague|transmlp.wipo.int\TextBase TMs\WorkspaceFTS\EN-FR\IPC|transmlp.wipo.int\TextBase TMs\WorkspaceFTS\EN-FR\Lisbonne|transmlp.wipo.int\TextBase TMs\WorkspaceFTS\EN-FR\Madrid|transmlp.wipo.int\TextBase TMs\WorkspaceFTS\EN-FR\PCT|transmlp.wipo.int\TextBase TMs\WorkspaceFTS\EN-FR\PLT|transmlp.wipo.int\TextBase TMs\WorkspaceFTS\EN-FR\SCCR|transmlp.wipo.int\TextBase TMs\WorkspaceFTS\EN-FR\SCP|transmlp.wipo.int\TextBase TMs\WorkspaceFTS\EN-FR\SCT|transmlp.wipo.int\TextBase TMs\WorkspaceFTS\EN-FR\UPOV|transmlp.wipo.int\TextBase TMs\WorkspaceFTS\EN-FR\WO_CC|transmlp.wipo.int\TextBase TMs\WorkspaceFTS\EN-FR\WO_GA|transmlp.wipo.int\TextBase TMs\WorkspaceFTS\EN-FR\WO_PBC|transmlp.wipo.int\TextBase TMs\Glossaries\EN-FR|transmlp.wipo.int\TextBase TMs\Administrative\Meetings|transmlp.wipo.int\TextBase TMs\Administrative\Other|transmlp.wipo.int\TextBase TMs\Administrative\Publications|transmlp.wipo.int\TextBase TMs\Budget and Finance\Meetings|transmlp.wipo.int\TextBase TMs\Budget and Finance\Other|transmlp.wipo.int\TextBase TMs\Budget and Finance\Publications|transmlp.wipo.int\TextBase TMs\Copyright\Meetings|transmlp.wipo.int\TextBase TMs\Copyright\Other|transmlp.wipo.int\TextBase TMs\Copyright\Publications|transmlp.wipo.int\TextBase TMs\IP in General\Academy|transmlp.wipo.int\TextBase TMs\IP in General\Arbitration and Mediation|transmlp.wipo.int\TextBase TMs\IP in General\Meetings|transmlp.wipo.int\TextBase TMs\IP in General\Other|transmlp.wipo.int\TextBase TMs\IP in General\Press Room|transmlp.wipo.int\TextBase TMs\IP in General\Publications|transmlp.wipo.int\TextBase TMs\IP in General\SpeechDG2014|transmlp.wipo.int\TextBase TMs\Patents\Meetings|transmlp.wipo.int\TextBase TMs\Patents\Other|transmlp.wipo.int\TextBase TMs\Patents\Publications|transmlp.wipo.int\TextBase TMs\Trademarks\Meetings|transmlp.wipo.int\TextBase TMs\Trademarks\Other|transmlp.wipo.int\TextBase TMs\Trademarks\Publications|transmlp.wipo.int\TextBase TMs\Treaties\Model Laws|transmlp.wipo.int\TextBase TMs\Treaties\Other Laws and Agreements|transmlp.wipo.int\TextBase TMs\Treaties\WIPO-administered"/>
    <w:docVar w:name="TextBaseURL" w:val="empty"/>
    <w:docVar w:name="UILng" w:val="en"/>
  </w:docVars>
  <w:rsids>
    <w:rsidRoot w:val="00631289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472C"/>
    <w:rsid w:val="0007415B"/>
    <w:rsid w:val="00085505"/>
    <w:rsid w:val="000C7021"/>
    <w:rsid w:val="000D492E"/>
    <w:rsid w:val="000D6BBC"/>
    <w:rsid w:val="000D7780"/>
    <w:rsid w:val="00105929"/>
    <w:rsid w:val="00110481"/>
    <w:rsid w:val="001131D5"/>
    <w:rsid w:val="00127916"/>
    <w:rsid w:val="00141DB8"/>
    <w:rsid w:val="0014695C"/>
    <w:rsid w:val="00155F6F"/>
    <w:rsid w:val="0017474A"/>
    <w:rsid w:val="001758C6"/>
    <w:rsid w:val="001C3DF3"/>
    <w:rsid w:val="001D059C"/>
    <w:rsid w:val="001F1F2A"/>
    <w:rsid w:val="0021332C"/>
    <w:rsid w:val="00213982"/>
    <w:rsid w:val="0021427C"/>
    <w:rsid w:val="00237C7D"/>
    <w:rsid w:val="00241781"/>
    <w:rsid w:val="0024416D"/>
    <w:rsid w:val="0027309C"/>
    <w:rsid w:val="002800A0"/>
    <w:rsid w:val="00281060"/>
    <w:rsid w:val="0029439F"/>
    <w:rsid w:val="002A6E50"/>
    <w:rsid w:val="002C256A"/>
    <w:rsid w:val="002D65B8"/>
    <w:rsid w:val="002E7BA1"/>
    <w:rsid w:val="002F0938"/>
    <w:rsid w:val="002F78FA"/>
    <w:rsid w:val="00305A7F"/>
    <w:rsid w:val="003152FE"/>
    <w:rsid w:val="00327436"/>
    <w:rsid w:val="00344BD6"/>
    <w:rsid w:val="00352205"/>
    <w:rsid w:val="0035528D"/>
    <w:rsid w:val="00361821"/>
    <w:rsid w:val="003941A6"/>
    <w:rsid w:val="003A17C8"/>
    <w:rsid w:val="003B32BA"/>
    <w:rsid w:val="003C563E"/>
    <w:rsid w:val="003D227C"/>
    <w:rsid w:val="003D2B4D"/>
    <w:rsid w:val="003F6136"/>
    <w:rsid w:val="00427139"/>
    <w:rsid w:val="00444A88"/>
    <w:rsid w:val="00466432"/>
    <w:rsid w:val="00474DA4"/>
    <w:rsid w:val="004D047D"/>
    <w:rsid w:val="004E4A11"/>
    <w:rsid w:val="004F305A"/>
    <w:rsid w:val="00512164"/>
    <w:rsid w:val="00520297"/>
    <w:rsid w:val="005338F9"/>
    <w:rsid w:val="0054281C"/>
    <w:rsid w:val="00551E76"/>
    <w:rsid w:val="0055268D"/>
    <w:rsid w:val="00572E44"/>
    <w:rsid w:val="00576BE4"/>
    <w:rsid w:val="00585465"/>
    <w:rsid w:val="005A400A"/>
    <w:rsid w:val="00612379"/>
    <w:rsid w:val="0061555F"/>
    <w:rsid w:val="0061574C"/>
    <w:rsid w:val="00631289"/>
    <w:rsid w:val="00641200"/>
    <w:rsid w:val="00663ED8"/>
    <w:rsid w:val="00664515"/>
    <w:rsid w:val="006762C9"/>
    <w:rsid w:val="00687EB4"/>
    <w:rsid w:val="006B17D2"/>
    <w:rsid w:val="006B45FA"/>
    <w:rsid w:val="006C224E"/>
    <w:rsid w:val="006D412B"/>
    <w:rsid w:val="00732DEC"/>
    <w:rsid w:val="00734F23"/>
    <w:rsid w:val="00735BD5"/>
    <w:rsid w:val="0075117E"/>
    <w:rsid w:val="007556F6"/>
    <w:rsid w:val="00760EEF"/>
    <w:rsid w:val="00777EE5"/>
    <w:rsid w:val="00784836"/>
    <w:rsid w:val="0079023E"/>
    <w:rsid w:val="007B652C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3765"/>
    <w:rsid w:val="00867AC1"/>
    <w:rsid w:val="00870F78"/>
    <w:rsid w:val="00870F7C"/>
    <w:rsid w:val="008A395B"/>
    <w:rsid w:val="008A743F"/>
    <w:rsid w:val="008B32F9"/>
    <w:rsid w:val="008B51D0"/>
    <w:rsid w:val="008C0970"/>
    <w:rsid w:val="008D2CF7"/>
    <w:rsid w:val="008E6302"/>
    <w:rsid w:val="008E793E"/>
    <w:rsid w:val="00900C26"/>
    <w:rsid w:val="0090197F"/>
    <w:rsid w:val="00906DDC"/>
    <w:rsid w:val="00934E09"/>
    <w:rsid w:val="00936253"/>
    <w:rsid w:val="00952652"/>
    <w:rsid w:val="00970FED"/>
    <w:rsid w:val="00997029"/>
    <w:rsid w:val="009A507F"/>
    <w:rsid w:val="009C2288"/>
    <w:rsid w:val="009D0DE5"/>
    <w:rsid w:val="009D690D"/>
    <w:rsid w:val="009E65B6"/>
    <w:rsid w:val="00A42AC3"/>
    <w:rsid w:val="00A430CF"/>
    <w:rsid w:val="00A4666A"/>
    <w:rsid w:val="00A54309"/>
    <w:rsid w:val="00A653A2"/>
    <w:rsid w:val="00AB2B93"/>
    <w:rsid w:val="00AC7A37"/>
    <w:rsid w:val="00AD7592"/>
    <w:rsid w:val="00AE0EF1"/>
    <w:rsid w:val="00B07301"/>
    <w:rsid w:val="00B1570D"/>
    <w:rsid w:val="00B224DE"/>
    <w:rsid w:val="00B84BBD"/>
    <w:rsid w:val="00BA43FB"/>
    <w:rsid w:val="00BC127D"/>
    <w:rsid w:val="00BC1FE6"/>
    <w:rsid w:val="00BD3953"/>
    <w:rsid w:val="00BD4C24"/>
    <w:rsid w:val="00C061B6"/>
    <w:rsid w:val="00C21DBF"/>
    <w:rsid w:val="00C2446C"/>
    <w:rsid w:val="00C32F87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E16CD"/>
    <w:rsid w:val="00CF77B7"/>
    <w:rsid w:val="00CF7E36"/>
    <w:rsid w:val="00D04C59"/>
    <w:rsid w:val="00D17FDD"/>
    <w:rsid w:val="00D233D8"/>
    <w:rsid w:val="00D24210"/>
    <w:rsid w:val="00D3708D"/>
    <w:rsid w:val="00D40426"/>
    <w:rsid w:val="00D57C96"/>
    <w:rsid w:val="00D91203"/>
    <w:rsid w:val="00D95174"/>
    <w:rsid w:val="00D95A5C"/>
    <w:rsid w:val="00DA6F36"/>
    <w:rsid w:val="00DB067C"/>
    <w:rsid w:val="00DC00EA"/>
    <w:rsid w:val="00E23920"/>
    <w:rsid w:val="00E55584"/>
    <w:rsid w:val="00E72D49"/>
    <w:rsid w:val="00E7593C"/>
    <w:rsid w:val="00E7678A"/>
    <w:rsid w:val="00E935F1"/>
    <w:rsid w:val="00E94A81"/>
    <w:rsid w:val="00EA1FFB"/>
    <w:rsid w:val="00EB048E"/>
    <w:rsid w:val="00EB3EFA"/>
    <w:rsid w:val="00EB7B33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C9EC-D6B4-4496-B247-094DE04E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CAJ/72/8</vt:lpstr>
    </vt:vector>
  </TitlesOfParts>
  <Company>UPOV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CAJ/72/8</dc:title>
  <dc:creator>OLIVIÉ Karen</dc:creator>
  <cp:keywords>CV/ko</cp:keywords>
  <cp:lastModifiedBy>SANCHEZ-VIZCAINO GOMEZ Rosa Maria</cp:lastModifiedBy>
  <cp:revision>9</cp:revision>
  <cp:lastPrinted>2015-09-15T14:29:00Z</cp:lastPrinted>
  <dcterms:created xsi:type="dcterms:W3CDTF">2015-09-15T14:26:00Z</dcterms:created>
  <dcterms:modified xsi:type="dcterms:W3CDTF">2015-09-16T15:48:00Z</dcterms:modified>
</cp:coreProperties>
</file>