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896974" w:rsidRPr="00E23047" w:rsidTr="00AA1970">
        <w:trPr>
          <w:trHeight w:val="1760"/>
        </w:trPr>
        <w:tc>
          <w:tcPr>
            <w:tcW w:w="4243" w:type="dxa"/>
          </w:tcPr>
          <w:p w:rsidR="00896974" w:rsidRPr="00E23047" w:rsidRDefault="00896974" w:rsidP="00AA1970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896974" w:rsidRPr="00614541" w:rsidRDefault="00896974" w:rsidP="00AA1970">
            <w:pPr>
              <w:pStyle w:val="LogoUPOV"/>
              <w:rPr>
                <w:lang w:val="fr-FR"/>
              </w:rPr>
            </w:pPr>
            <w:r w:rsidRPr="00614541">
              <w:rPr>
                <w:noProof/>
              </w:rPr>
              <w:drawing>
                <wp:inline distT="0" distB="0" distL="0" distR="0" wp14:anchorId="3629EA6C" wp14:editId="0112FAF8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896974" w:rsidRPr="00614541" w:rsidRDefault="00896974" w:rsidP="00AA1970">
            <w:pPr>
              <w:pStyle w:val="Lettrine"/>
              <w:rPr>
                <w:lang w:val="fr-FR"/>
              </w:rPr>
            </w:pPr>
            <w:r w:rsidRPr="00614541">
              <w:rPr>
                <w:lang w:val="fr-FR"/>
              </w:rPr>
              <w:t>F</w:t>
            </w:r>
          </w:p>
          <w:p w:rsidR="00896974" w:rsidRPr="00614541" w:rsidRDefault="00896974" w:rsidP="00AA1970">
            <w:pPr>
              <w:pStyle w:val="Docoriginal"/>
              <w:jc w:val="left"/>
              <w:rPr>
                <w:lang w:val="fr-FR"/>
              </w:rPr>
            </w:pPr>
            <w:r w:rsidRPr="00614541">
              <w:rPr>
                <w:lang w:val="fr-FR"/>
              </w:rPr>
              <w:t>CAJ/72/</w:t>
            </w:r>
            <w:bookmarkStart w:id="0" w:name="Code"/>
            <w:bookmarkEnd w:id="0"/>
            <w:r w:rsidRPr="00614541">
              <w:rPr>
                <w:lang w:val="fr-FR"/>
              </w:rPr>
              <w:t>7</w:t>
            </w:r>
          </w:p>
          <w:p w:rsidR="00896974" w:rsidRPr="00614541" w:rsidRDefault="00896974" w:rsidP="00AA1970">
            <w:pPr>
              <w:pStyle w:val="Docoriginal"/>
              <w:jc w:val="left"/>
              <w:rPr>
                <w:lang w:val="fr-FR"/>
              </w:rPr>
            </w:pPr>
            <w:r w:rsidRPr="00614541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CC6D65" w:rsidRPr="00614541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614541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r w:rsidRPr="00614541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1" w:name="Original"/>
            <w:bookmarkEnd w:id="1"/>
            <w:r w:rsidRPr="00614541">
              <w:rPr>
                <w:b w:val="0"/>
                <w:spacing w:val="0"/>
                <w:lang w:val="fr-FR"/>
              </w:rPr>
              <w:t>anglais</w:t>
            </w:r>
          </w:p>
          <w:p w:rsidR="00896974" w:rsidRPr="00E23047" w:rsidRDefault="00896974" w:rsidP="00614541">
            <w:pPr>
              <w:pStyle w:val="Docoriginal"/>
              <w:jc w:val="left"/>
              <w:rPr>
                <w:lang w:val="fr-FR"/>
              </w:rPr>
            </w:pPr>
            <w:r w:rsidRPr="00614541">
              <w:rPr>
                <w:spacing w:val="0"/>
                <w:lang w:val="fr-FR"/>
              </w:rPr>
              <w:t>DATE</w:t>
            </w:r>
            <w:r w:rsidR="00CC6D65" w:rsidRPr="00614541">
              <w:rPr>
                <w:spacing w:val="0"/>
                <w:lang w:val="fr-FR"/>
              </w:rPr>
              <w:t> </w:t>
            </w:r>
            <w:r w:rsidRPr="00614541">
              <w:rPr>
                <w:spacing w:val="0"/>
                <w:lang w:val="fr-FR"/>
              </w:rPr>
              <w:t>:</w:t>
            </w:r>
            <w:r w:rsidRPr="00614541">
              <w:rPr>
                <w:b w:val="0"/>
                <w:spacing w:val="0"/>
                <w:lang w:val="fr-FR"/>
              </w:rPr>
              <w:t xml:space="preserve"> </w:t>
            </w:r>
            <w:bookmarkStart w:id="2" w:name="Date"/>
            <w:bookmarkEnd w:id="2"/>
            <w:r w:rsidR="00614541" w:rsidRPr="00614541">
              <w:rPr>
                <w:b w:val="0"/>
                <w:spacing w:val="0"/>
                <w:lang w:val="fr-FR"/>
              </w:rPr>
              <w:t xml:space="preserve">16 septembre </w:t>
            </w:r>
            <w:r w:rsidRPr="00614541">
              <w:rPr>
                <w:b w:val="0"/>
                <w:spacing w:val="0"/>
                <w:lang w:val="fr-FR"/>
              </w:rPr>
              <w:t>2015</w:t>
            </w:r>
            <w:bookmarkStart w:id="3" w:name="_GoBack"/>
            <w:bookmarkEnd w:id="3"/>
          </w:p>
        </w:tc>
      </w:tr>
      <w:tr w:rsidR="00896974" w:rsidRPr="00A36C86" w:rsidTr="00AA1970">
        <w:tc>
          <w:tcPr>
            <w:tcW w:w="10131" w:type="dxa"/>
            <w:gridSpan w:val="3"/>
          </w:tcPr>
          <w:p w:rsidR="00896974" w:rsidRPr="00E23047" w:rsidRDefault="00896974" w:rsidP="00AA1970">
            <w:pPr>
              <w:pStyle w:val="upove"/>
              <w:rPr>
                <w:sz w:val="28"/>
                <w:lang w:val="fr-FR"/>
              </w:rPr>
            </w:pPr>
            <w:r w:rsidRPr="00E23047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896974" w:rsidRPr="00E23047" w:rsidTr="00AA1970">
        <w:tc>
          <w:tcPr>
            <w:tcW w:w="10131" w:type="dxa"/>
            <w:gridSpan w:val="3"/>
          </w:tcPr>
          <w:p w:rsidR="00896974" w:rsidRPr="00E23047" w:rsidRDefault="00896974" w:rsidP="00AA1970">
            <w:pPr>
              <w:pStyle w:val="Country"/>
              <w:rPr>
                <w:lang w:val="fr-FR"/>
              </w:rPr>
            </w:pPr>
            <w:r w:rsidRPr="00E23047">
              <w:rPr>
                <w:lang w:val="fr-FR"/>
              </w:rPr>
              <w:t>Genève</w:t>
            </w:r>
          </w:p>
        </w:tc>
      </w:tr>
    </w:tbl>
    <w:p w:rsidR="00896974" w:rsidRPr="00E23047" w:rsidRDefault="00896974" w:rsidP="00896974">
      <w:pPr>
        <w:pStyle w:val="Sessiontc"/>
        <w:rPr>
          <w:lang w:val="fr-FR"/>
        </w:rPr>
      </w:pPr>
      <w:r w:rsidRPr="00E23047">
        <w:rPr>
          <w:lang w:val="fr-FR"/>
        </w:rPr>
        <w:t>Comité administratif et juridique</w:t>
      </w:r>
    </w:p>
    <w:p w:rsidR="00896974" w:rsidRPr="00E23047" w:rsidRDefault="00896974" w:rsidP="00896974">
      <w:pPr>
        <w:pStyle w:val="Sessiontcplacedate"/>
        <w:rPr>
          <w:lang w:val="fr-FR"/>
        </w:rPr>
      </w:pPr>
      <w:r w:rsidRPr="00E23047">
        <w:rPr>
          <w:lang w:val="fr-FR"/>
        </w:rPr>
        <w:t>Soixante</w:t>
      </w:r>
      <w:r w:rsidR="00E23047" w:rsidRPr="00E23047">
        <w:rPr>
          <w:lang w:val="fr-FR"/>
        </w:rPr>
        <w:noBreakHyphen/>
      </w:r>
      <w:r w:rsidRPr="00E23047">
        <w:rPr>
          <w:lang w:val="fr-FR"/>
        </w:rPr>
        <w:t>douzième</w:t>
      </w:r>
      <w:r w:rsidR="00CC6D65" w:rsidRPr="00E23047">
        <w:rPr>
          <w:lang w:val="fr-FR"/>
        </w:rPr>
        <w:t> </w:t>
      </w:r>
      <w:r w:rsidRPr="00E23047">
        <w:rPr>
          <w:lang w:val="fr-FR"/>
        </w:rPr>
        <w:t>session</w:t>
      </w:r>
      <w:r w:rsidRPr="00E23047">
        <w:rPr>
          <w:lang w:val="fr-FR"/>
        </w:rPr>
        <w:br/>
        <w:t>Genève, 26 et 2</w:t>
      </w:r>
      <w:r w:rsidR="00D44E97" w:rsidRPr="00E23047">
        <w:rPr>
          <w:lang w:val="fr-FR"/>
        </w:rPr>
        <w:t>7 octobre 20</w:t>
      </w:r>
      <w:r w:rsidRPr="00E23047">
        <w:rPr>
          <w:lang w:val="fr-FR"/>
        </w:rPr>
        <w:t>15</w:t>
      </w:r>
    </w:p>
    <w:p w:rsidR="0065381C" w:rsidRPr="00CC6682" w:rsidRDefault="0065381C" w:rsidP="0065381C">
      <w:pPr>
        <w:pStyle w:val="Titleofdoc0"/>
        <w:rPr>
          <w:lang w:val="fr-FR" w:eastAsia="ja-JP"/>
        </w:rPr>
      </w:pPr>
      <w:r w:rsidRPr="00CC6682">
        <w:rPr>
          <w:lang w:val="fr-FR" w:eastAsia="ja-JP"/>
        </w:rPr>
        <w:t>Échange et utilisation de logiciels et d</w:t>
      </w:r>
      <w:r w:rsidR="00D44E97" w:rsidRPr="00CC6682">
        <w:rPr>
          <w:lang w:val="fr-FR" w:eastAsia="ja-JP"/>
        </w:rPr>
        <w:t>’</w:t>
      </w:r>
      <w:r w:rsidRPr="00CC6682">
        <w:rPr>
          <w:lang w:val="fr-FR" w:eastAsia="ja-JP"/>
        </w:rPr>
        <w:t>équipements</w:t>
      </w:r>
    </w:p>
    <w:p w:rsidR="0065381C" w:rsidRPr="00E23047" w:rsidRDefault="0065381C" w:rsidP="0065381C">
      <w:pPr>
        <w:pStyle w:val="preparedby1"/>
        <w:rPr>
          <w:color w:val="BFBFBF" w:themeColor="background1" w:themeShade="BF"/>
          <w:lang w:val="fr-FR"/>
        </w:rPr>
      </w:pPr>
      <w:bookmarkStart w:id="4" w:name="Prepared"/>
      <w:bookmarkEnd w:id="4"/>
      <w:r w:rsidRPr="00CC6682">
        <w:rPr>
          <w:lang w:val="fr-FR"/>
        </w:rPr>
        <w:t>Document établi par le Bureau de l</w:t>
      </w:r>
      <w:r w:rsidR="00D44E97" w:rsidRPr="00CC6682">
        <w:rPr>
          <w:lang w:val="fr-FR"/>
        </w:rPr>
        <w:t>’</w:t>
      </w:r>
      <w:r w:rsidRPr="00CC6682">
        <w:rPr>
          <w:lang w:val="fr-FR"/>
        </w:rPr>
        <w:t xml:space="preserve">Union </w:t>
      </w:r>
      <w:r w:rsidRPr="00CC6682">
        <w:rPr>
          <w:lang w:val="fr-FR"/>
        </w:rPr>
        <w:br/>
      </w:r>
      <w:r w:rsidRPr="00CC6682">
        <w:rPr>
          <w:lang w:val="fr-FR"/>
        </w:rPr>
        <w:br/>
      </w:r>
      <w:r w:rsidRPr="00E23047">
        <w:rPr>
          <w:color w:val="BFBFBF" w:themeColor="background1" w:themeShade="BF"/>
          <w:lang w:val="fr-FR"/>
        </w:rPr>
        <w:t>Avertissement</w:t>
      </w:r>
      <w:r w:rsidR="00CC6D65" w:rsidRPr="00E23047">
        <w:rPr>
          <w:color w:val="BFBFBF" w:themeColor="background1" w:themeShade="BF"/>
          <w:lang w:val="fr-FR"/>
        </w:rPr>
        <w:t> </w:t>
      </w:r>
      <w:r w:rsidRPr="00E23047">
        <w:rPr>
          <w:color w:val="BFBFBF" w:themeColor="background1" w:themeShade="BF"/>
          <w:lang w:val="fr-FR"/>
        </w:rPr>
        <w:t>: le présent document ne représente pas les principes ou les orientations de l</w:t>
      </w:r>
      <w:r w:rsidR="00D44E97" w:rsidRPr="00E23047">
        <w:rPr>
          <w:color w:val="BFBFBF" w:themeColor="background1" w:themeShade="BF"/>
          <w:lang w:val="fr-FR"/>
        </w:rPr>
        <w:t>’</w:t>
      </w:r>
      <w:r w:rsidRPr="00E23047">
        <w:rPr>
          <w:color w:val="BFBFBF" w:themeColor="background1" w:themeShade="BF"/>
          <w:lang w:val="fr-FR"/>
        </w:rPr>
        <w:t>UPOV</w:t>
      </w:r>
    </w:p>
    <w:p w:rsidR="0065381C" w:rsidRPr="00CC6682" w:rsidRDefault="004B67F7" w:rsidP="00CC6682">
      <w:pPr>
        <w:pStyle w:val="Heading1"/>
        <w:rPr>
          <w:lang w:val="fr-FR"/>
        </w:rPr>
      </w:pPr>
      <w:bookmarkStart w:id="5" w:name="_Toc428784400"/>
      <w:r w:rsidRPr="00CC6682">
        <w:rPr>
          <w:lang w:val="fr-FR"/>
        </w:rPr>
        <w:t>Résumé</w:t>
      </w:r>
      <w:bookmarkEnd w:id="5"/>
    </w:p>
    <w:p w:rsidR="0065381C" w:rsidRPr="00CC6682" w:rsidRDefault="0065381C" w:rsidP="00CC6682">
      <w:pPr>
        <w:rPr>
          <w:snapToGrid w:val="0"/>
          <w:lang w:val="fr-FR" w:eastAsia="ja-JP"/>
        </w:rPr>
      </w:pPr>
    </w:p>
    <w:p w:rsidR="0065381C" w:rsidRPr="00CC6682" w:rsidRDefault="00E6753C" w:rsidP="00CC6682">
      <w:pPr>
        <w:rPr>
          <w:snapToGrid w:val="0"/>
          <w:lang w:val="fr-FR" w:eastAsia="ja-JP"/>
        </w:rPr>
      </w:pPr>
      <w:r w:rsidRPr="00CC6682">
        <w:rPr>
          <w:snapToGrid w:val="0"/>
          <w:lang w:val="fr-FR"/>
        </w:rPr>
        <w:fldChar w:fldCharType="begin"/>
      </w:r>
      <w:r w:rsidRPr="00CC6682">
        <w:rPr>
          <w:snapToGrid w:val="0"/>
          <w:lang w:val="fr-FR"/>
        </w:rPr>
        <w:instrText xml:space="preserve"> AUTONUM  </w:instrText>
      </w:r>
      <w:r w:rsidRPr="00CC6682">
        <w:rPr>
          <w:snapToGrid w:val="0"/>
          <w:lang w:val="fr-FR"/>
        </w:rPr>
        <w:fldChar w:fldCharType="end"/>
      </w:r>
      <w:r w:rsidR="001B7B7A" w:rsidRPr="00CC6682">
        <w:rPr>
          <w:snapToGrid w:val="0"/>
          <w:lang w:val="fr-FR"/>
        </w:rPr>
        <w:tab/>
      </w:r>
      <w:r w:rsidR="004B67F7" w:rsidRPr="00CC6682">
        <w:rPr>
          <w:snapToGrid w:val="0"/>
          <w:lang w:val="fr-FR"/>
        </w:rPr>
        <w:t>L</w:t>
      </w:r>
      <w:r w:rsidR="00D44E97" w:rsidRPr="00CC6682">
        <w:rPr>
          <w:snapToGrid w:val="0"/>
          <w:lang w:val="fr-FR"/>
        </w:rPr>
        <w:t>’</w:t>
      </w:r>
      <w:r w:rsidR="004B67F7" w:rsidRPr="00CC6682">
        <w:rPr>
          <w:snapToGrid w:val="0"/>
          <w:lang w:val="fr-FR"/>
        </w:rPr>
        <w:t>objet du présent document est de rendre compte des faits nouveaux concernant l</w:t>
      </w:r>
      <w:r w:rsidR="00D44E97" w:rsidRPr="00CC6682">
        <w:rPr>
          <w:snapToGrid w:val="0"/>
          <w:lang w:val="fr-FR"/>
        </w:rPr>
        <w:t>’</w:t>
      </w:r>
      <w:r w:rsidR="004B67F7" w:rsidRPr="00CC6682">
        <w:rPr>
          <w:snapToGrid w:val="0"/>
          <w:lang w:val="fr-FR"/>
        </w:rPr>
        <w:t>échange et l</w:t>
      </w:r>
      <w:r w:rsidR="00D44E97" w:rsidRPr="00CC6682">
        <w:rPr>
          <w:snapToGrid w:val="0"/>
          <w:lang w:val="fr-FR"/>
        </w:rPr>
        <w:t>’</w:t>
      </w:r>
      <w:r w:rsidR="004B67F7" w:rsidRPr="00CC6682">
        <w:rPr>
          <w:snapToGrid w:val="0"/>
          <w:lang w:val="fr-FR"/>
        </w:rPr>
        <w:t>utilisation de logiciels et d</w:t>
      </w:r>
      <w:r w:rsidR="00D44E97" w:rsidRPr="00CC6682">
        <w:rPr>
          <w:snapToGrid w:val="0"/>
          <w:lang w:val="fr-FR"/>
        </w:rPr>
        <w:t>’</w:t>
      </w:r>
      <w:r w:rsidR="004B67F7" w:rsidRPr="00CC6682">
        <w:rPr>
          <w:snapToGrid w:val="0"/>
          <w:lang w:val="fr-FR"/>
        </w:rPr>
        <w:t>équipements.</w:t>
      </w:r>
    </w:p>
    <w:p w:rsidR="0065381C" w:rsidRPr="00CC6682" w:rsidRDefault="0065381C" w:rsidP="00CC6682">
      <w:pPr>
        <w:rPr>
          <w:snapToGrid w:val="0"/>
          <w:lang w:val="fr-FR" w:eastAsia="ja-JP"/>
        </w:rPr>
      </w:pPr>
    </w:p>
    <w:p w:rsidR="0065381C" w:rsidRPr="00CC6682" w:rsidRDefault="00F66A03" w:rsidP="00CC6682">
      <w:pPr>
        <w:tabs>
          <w:tab w:val="left" w:pos="540"/>
        </w:tabs>
        <w:rPr>
          <w:rFonts w:eastAsia="MS Mincho"/>
          <w:lang w:val="fr-FR" w:eastAsia="ja-JP"/>
        </w:rPr>
      </w:pPr>
      <w:r w:rsidRPr="00CC6682">
        <w:rPr>
          <w:rFonts w:eastAsia="MS Mincho"/>
          <w:lang w:val="fr-FR"/>
        </w:rPr>
        <w:fldChar w:fldCharType="begin"/>
      </w:r>
      <w:r w:rsidRPr="00CC6682">
        <w:rPr>
          <w:rFonts w:eastAsia="MS Mincho"/>
          <w:lang w:val="fr-FR"/>
        </w:rPr>
        <w:instrText xml:space="preserve"> AUTONUM  </w:instrText>
      </w:r>
      <w:r w:rsidRPr="00CC6682">
        <w:rPr>
          <w:rFonts w:eastAsia="MS Mincho"/>
          <w:lang w:val="fr-FR"/>
        </w:rPr>
        <w:fldChar w:fldCharType="end"/>
      </w:r>
      <w:r w:rsidRPr="00CC6682">
        <w:rPr>
          <w:rFonts w:eastAsia="MS Mincho"/>
          <w:lang w:val="fr-FR" w:eastAsia="ja-JP"/>
        </w:rPr>
        <w:tab/>
      </w:r>
      <w:r w:rsidR="004B67F7" w:rsidRPr="00CC6682">
        <w:rPr>
          <w:rFonts w:eastAsia="MS Mincho"/>
          <w:lang w:val="fr-FR" w:eastAsia="ja-JP"/>
        </w:rPr>
        <w:t>Le CAJ est invité à noter que le</w:t>
      </w:r>
      <w:r w:rsidR="00D44E97" w:rsidRPr="00CC6682">
        <w:rPr>
          <w:rFonts w:eastAsia="MS Mincho"/>
          <w:lang w:val="fr-FR" w:eastAsia="ja-JP"/>
        </w:rPr>
        <w:t> TC</w:t>
      </w:r>
      <w:r w:rsidR="004B67F7" w:rsidRPr="00CC6682">
        <w:rPr>
          <w:rFonts w:eastAsia="MS Mincho"/>
          <w:lang w:val="fr-FR" w:eastAsia="ja-JP"/>
        </w:rPr>
        <w:t>, à sa cinquante</w:t>
      </w:r>
      <w:r w:rsidR="00E23047" w:rsidRPr="00CC6682">
        <w:rPr>
          <w:rFonts w:eastAsia="MS Mincho"/>
          <w:lang w:val="fr-FR" w:eastAsia="ja-JP"/>
        </w:rPr>
        <w:noBreakHyphen/>
      </w:r>
      <w:r w:rsidR="004B67F7" w:rsidRPr="00CC6682">
        <w:rPr>
          <w:rFonts w:eastAsia="MS Mincho"/>
          <w:lang w:val="fr-FR" w:eastAsia="ja-JP"/>
        </w:rPr>
        <w:t>deuxième</w:t>
      </w:r>
      <w:r w:rsidR="00CC6D65" w:rsidRPr="00CC6682">
        <w:rPr>
          <w:rFonts w:eastAsia="MS Mincho"/>
          <w:lang w:val="fr-FR" w:eastAsia="ja-JP"/>
        </w:rPr>
        <w:t> </w:t>
      </w:r>
      <w:r w:rsidR="004B67F7" w:rsidRPr="00CC6682">
        <w:rPr>
          <w:rFonts w:eastAsia="MS Mincho"/>
          <w:lang w:val="fr-FR" w:eastAsia="ja-JP"/>
        </w:rPr>
        <w:t>ses</w:t>
      </w:r>
      <w:r w:rsidR="0046645F" w:rsidRPr="00CC6682">
        <w:rPr>
          <w:rFonts w:eastAsia="MS Mincho"/>
          <w:lang w:val="fr-FR" w:eastAsia="ja-JP"/>
        </w:rPr>
        <w:t>sion qui se tiendra à Genève du 14 </w:t>
      </w:r>
      <w:r w:rsidR="004B67F7" w:rsidRPr="00CC6682">
        <w:rPr>
          <w:rFonts w:eastAsia="MS Mincho"/>
          <w:lang w:val="fr-FR" w:eastAsia="ja-JP"/>
        </w:rPr>
        <w:t>au</w:t>
      </w:r>
      <w:r w:rsidR="0046645F" w:rsidRPr="00CC6682">
        <w:rPr>
          <w:rFonts w:eastAsia="MS Mincho"/>
          <w:lang w:val="fr-FR" w:eastAsia="ja-JP"/>
        </w:rPr>
        <w:t> 16 mars </w:t>
      </w:r>
      <w:r w:rsidR="004B67F7" w:rsidRPr="00CC6682">
        <w:rPr>
          <w:rFonts w:eastAsia="MS Mincho"/>
          <w:lang w:val="fr-FR" w:eastAsia="ja-JP"/>
        </w:rPr>
        <w:t>201</w:t>
      </w:r>
      <w:r w:rsidR="007A2249" w:rsidRPr="00CC6682">
        <w:rPr>
          <w:rFonts w:eastAsia="MS Mincho"/>
          <w:lang w:val="fr-FR" w:eastAsia="ja-JP"/>
        </w:rPr>
        <w:t>6</w:t>
      </w:r>
      <w:r w:rsidR="004B67F7" w:rsidRPr="00CC6682">
        <w:rPr>
          <w:rFonts w:eastAsia="MS Mincho"/>
          <w:lang w:val="fr-FR" w:eastAsia="ja-JP"/>
        </w:rPr>
        <w:t>, sera informé que les débats s</w:t>
      </w:r>
      <w:r w:rsidR="0046645F" w:rsidRPr="00CC6682">
        <w:rPr>
          <w:rFonts w:eastAsia="MS Mincho"/>
          <w:lang w:val="fr-FR" w:eastAsia="ja-JP"/>
        </w:rPr>
        <w:t>ur l</w:t>
      </w:r>
      <w:r w:rsidR="00D44E97" w:rsidRPr="00CC6682">
        <w:rPr>
          <w:rFonts w:eastAsia="MS Mincho"/>
          <w:lang w:val="fr-FR" w:eastAsia="ja-JP"/>
        </w:rPr>
        <w:t>’</w:t>
      </w:r>
      <w:r w:rsidR="0046645F" w:rsidRPr="00CC6682">
        <w:rPr>
          <w:rFonts w:eastAsia="MS Mincho"/>
          <w:lang w:val="fr-FR" w:eastAsia="ja-JP"/>
        </w:rPr>
        <w:t xml:space="preserve">inclusion dans le </w:t>
      </w:r>
      <w:r w:rsidR="00D44E97" w:rsidRPr="00CC6682">
        <w:rPr>
          <w:rFonts w:eastAsia="MS Mincho"/>
          <w:lang w:val="fr-FR" w:eastAsia="ja-JP"/>
        </w:rPr>
        <w:t>document UP</w:t>
      </w:r>
      <w:r w:rsidR="004B67F7" w:rsidRPr="00CC6682">
        <w:rPr>
          <w:rFonts w:eastAsia="MS Mincho"/>
          <w:lang w:val="fr-FR" w:eastAsia="ja-JP"/>
        </w:rPr>
        <w:t>OV/INF/16 du logiciel SISNAVA se poursuivront au sein</w:t>
      </w:r>
      <w:r w:rsidR="00D44E97" w:rsidRPr="00CC6682">
        <w:rPr>
          <w:rFonts w:eastAsia="MS Mincho"/>
          <w:lang w:val="fr-FR" w:eastAsia="ja-JP"/>
        </w:rPr>
        <w:t xml:space="preserve"> du TWC</w:t>
      </w:r>
      <w:r w:rsidR="004B67F7" w:rsidRPr="00CC6682">
        <w:rPr>
          <w:rFonts w:eastAsia="MS Mincho"/>
          <w:lang w:val="fr-FR" w:eastAsia="ja-JP"/>
        </w:rPr>
        <w:t>, à sa trente</w:t>
      </w:r>
      <w:r w:rsidR="00E23047" w:rsidRPr="00CC6682">
        <w:rPr>
          <w:rFonts w:eastAsia="MS Mincho"/>
          <w:lang w:val="fr-FR" w:eastAsia="ja-JP"/>
        </w:rPr>
        <w:noBreakHyphen/>
      </w:r>
      <w:r w:rsidR="0046645F" w:rsidRPr="00CC6682">
        <w:rPr>
          <w:rFonts w:eastAsia="MS Mincho"/>
          <w:lang w:val="fr-FR" w:eastAsia="ja-JP"/>
        </w:rPr>
        <w:t>quatrième</w:t>
      </w:r>
      <w:r w:rsidR="00CC6D65" w:rsidRPr="00CC6682">
        <w:rPr>
          <w:rFonts w:eastAsia="MS Mincho"/>
          <w:lang w:val="fr-FR" w:eastAsia="ja-JP"/>
        </w:rPr>
        <w:t> </w:t>
      </w:r>
      <w:r w:rsidR="0046645F" w:rsidRPr="00CC6682">
        <w:rPr>
          <w:rFonts w:eastAsia="MS Mincho"/>
          <w:lang w:val="fr-FR" w:eastAsia="ja-JP"/>
        </w:rPr>
        <w:t>session, en </w:t>
      </w:r>
      <w:r w:rsidR="004B67F7" w:rsidRPr="00CC6682">
        <w:rPr>
          <w:rFonts w:eastAsia="MS Mincho"/>
          <w:lang w:val="fr-FR" w:eastAsia="ja-JP"/>
        </w:rPr>
        <w:t>2016.</w:t>
      </w:r>
    </w:p>
    <w:p w:rsidR="0065381C" w:rsidRPr="00CC6682" w:rsidRDefault="0065381C" w:rsidP="00CC6682">
      <w:pPr>
        <w:jc w:val="left"/>
        <w:rPr>
          <w:lang w:val="fr-FR"/>
        </w:rPr>
      </w:pPr>
    </w:p>
    <w:p w:rsidR="0065381C" w:rsidRPr="00CC6682" w:rsidRDefault="00A45FAD" w:rsidP="00CC6682">
      <w:pPr>
        <w:rPr>
          <w:lang w:val="fr-FR"/>
        </w:rPr>
      </w:pPr>
      <w:r w:rsidRPr="00CC6682">
        <w:rPr>
          <w:lang w:val="fr-FR"/>
        </w:rPr>
        <w:fldChar w:fldCharType="begin"/>
      </w:r>
      <w:r w:rsidRPr="00CC6682">
        <w:rPr>
          <w:lang w:val="fr-FR"/>
        </w:rPr>
        <w:instrText xml:space="preserve"> AUTONUM  </w:instrText>
      </w:r>
      <w:r w:rsidRPr="00CC6682">
        <w:rPr>
          <w:lang w:val="fr-FR"/>
        </w:rPr>
        <w:fldChar w:fldCharType="end"/>
      </w:r>
      <w:r w:rsidRPr="00CC6682">
        <w:rPr>
          <w:lang w:val="fr-FR"/>
        </w:rPr>
        <w:tab/>
      </w:r>
      <w:r w:rsidR="004B67F7" w:rsidRPr="00CC6682">
        <w:rPr>
          <w:lang w:val="fr-FR"/>
        </w:rPr>
        <w:t>Les abréviations ci</w:t>
      </w:r>
      <w:r w:rsidR="00E23047" w:rsidRPr="00CC6682">
        <w:rPr>
          <w:lang w:val="fr-FR"/>
        </w:rPr>
        <w:noBreakHyphen/>
      </w:r>
      <w:r w:rsidR="004B67F7" w:rsidRPr="00CC6682">
        <w:rPr>
          <w:lang w:val="fr-FR"/>
        </w:rPr>
        <w:t>après sont utilisées dans le présent document</w:t>
      </w:r>
      <w:r w:rsidR="0046645F" w:rsidRPr="00CC6682">
        <w:rPr>
          <w:lang w:val="fr-FR"/>
        </w:rPr>
        <w:t>.</w:t>
      </w:r>
    </w:p>
    <w:p w:rsidR="0065381C" w:rsidRPr="00CC6682" w:rsidRDefault="0065381C" w:rsidP="00CC6682">
      <w:pPr>
        <w:ind w:left="1692" w:hanging="1125"/>
        <w:jc w:val="left"/>
        <w:rPr>
          <w:lang w:val="fr-FR"/>
        </w:rPr>
      </w:pPr>
    </w:p>
    <w:p w:rsidR="0065381C" w:rsidRPr="00CC6682" w:rsidRDefault="00A45FAD" w:rsidP="00CC6682">
      <w:pPr>
        <w:tabs>
          <w:tab w:val="left" w:pos="567"/>
          <w:tab w:val="left" w:pos="1701"/>
        </w:tabs>
        <w:rPr>
          <w:lang w:val="fr-FR"/>
        </w:rPr>
      </w:pPr>
      <w:r w:rsidRPr="00CC6682">
        <w:rPr>
          <w:lang w:val="fr-FR"/>
        </w:rPr>
        <w:tab/>
      </w:r>
      <w:r w:rsidR="00F31D06" w:rsidRPr="00CC6682">
        <w:rPr>
          <w:lang w:val="fr-FR"/>
        </w:rPr>
        <w:t>CAJ</w:t>
      </w:r>
      <w:r w:rsidR="00CC6D65" w:rsidRPr="00CC6682">
        <w:rPr>
          <w:lang w:val="fr-FR"/>
        </w:rPr>
        <w:t> </w:t>
      </w:r>
      <w:r w:rsidR="00F31D06" w:rsidRPr="00CC6682">
        <w:rPr>
          <w:lang w:val="fr-FR"/>
        </w:rPr>
        <w:t xml:space="preserve">: </w:t>
      </w:r>
      <w:r w:rsidR="00F31D06" w:rsidRPr="00CC6682">
        <w:rPr>
          <w:lang w:val="fr-FR"/>
        </w:rPr>
        <w:tab/>
        <w:t>Comité administratif et juridique</w:t>
      </w:r>
    </w:p>
    <w:p w:rsidR="0065381C" w:rsidRPr="00CC6682" w:rsidRDefault="001B7B7A" w:rsidP="00CC6682">
      <w:pPr>
        <w:tabs>
          <w:tab w:val="left" w:pos="567"/>
          <w:tab w:val="left" w:pos="1701"/>
        </w:tabs>
        <w:rPr>
          <w:lang w:val="fr-FR"/>
        </w:rPr>
      </w:pPr>
      <w:r w:rsidRPr="00CC6682">
        <w:rPr>
          <w:lang w:val="fr-FR"/>
        </w:rPr>
        <w:tab/>
      </w:r>
      <w:r w:rsidR="00F31D06" w:rsidRPr="00CC6682">
        <w:rPr>
          <w:lang w:val="fr-FR"/>
        </w:rPr>
        <w:t xml:space="preserve">TC : </w:t>
      </w:r>
      <w:r w:rsidR="0046645F" w:rsidRPr="00CC6682">
        <w:rPr>
          <w:lang w:val="fr-FR"/>
        </w:rPr>
        <w:tab/>
      </w:r>
      <w:r w:rsidR="00F31D06" w:rsidRPr="00CC6682">
        <w:rPr>
          <w:lang w:val="fr-FR"/>
        </w:rPr>
        <w:t>Comité technique</w:t>
      </w:r>
    </w:p>
    <w:p w:rsidR="0065381C" w:rsidRPr="00CC6682" w:rsidRDefault="001B7B7A" w:rsidP="00CC6682">
      <w:pPr>
        <w:tabs>
          <w:tab w:val="left" w:pos="567"/>
          <w:tab w:val="left" w:pos="1701"/>
        </w:tabs>
        <w:ind w:left="1701" w:hanging="1701"/>
        <w:rPr>
          <w:lang w:val="fr-FR"/>
        </w:rPr>
      </w:pPr>
      <w:r w:rsidRPr="00CC6682">
        <w:rPr>
          <w:lang w:val="fr-FR"/>
        </w:rPr>
        <w:tab/>
      </w:r>
      <w:r w:rsidR="00F31D06" w:rsidRPr="00CC6682">
        <w:rPr>
          <w:lang w:val="fr-FR"/>
        </w:rPr>
        <w:t>TWC</w:t>
      </w:r>
      <w:r w:rsidR="00CC6D65" w:rsidRPr="00CC6682">
        <w:rPr>
          <w:lang w:val="fr-FR"/>
        </w:rPr>
        <w:t> </w:t>
      </w:r>
      <w:r w:rsidR="00F31D06" w:rsidRPr="00CC6682">
        <w:rPr>
          <w:lang w:val="fr-FR"/>
        </w:rPr>
        <w:t xml:space="preserve">: </w:t>
      </w:r>
      <w:r w:rsidR="00F31D06" w:rsidRPr="00CC6682">
        <w:rPr>
          <w:lang w:val="fr-FR"/>
        </w:rPr>
        <w:tab/>
        <w:t>Groupe de travail technique sur les systèmes d</w:t>
      </w:r>
      <w:r w:rsidR="00D44E97" w:rsidRPr="00CC6682">
        <w:rPr>
          <w:lang w:val="fr-FR"/>
        </w:rPr>
        <w:t>’</w:t>
      </w:r>
      <w:r w:rsidR="00F31D06" w:rsidRPr="00CC6682">
        <w:rPr>
          <w:lang w:val="fr-FR"/>
        </w:rPr>
        <w:t>automatisation et les programmes d</w:t>
      </w:r>
      <w:r w:rsidR="00D44E97" w:rsidRPr="00CC6682">
        <w:rPr>
          <w:lang w:val="fr-FR"/>
        </w:rPr>
        <w:t>’</w:t>
      </w:r>
      <w:r w:rsidR="00F31D06" w:rsidRPr="00CC6682">
        <w:rPr>
          <w:lang w:val="fr-FR"/>
        </w:rPr>
        <w:t>ordinateur</w:t>
      </w:r>
    </w:p>
    <w:p w:rsidR="0065381C" w:rsidRPr="00CC6682" w:rsidRDefault="001B7B7A" w:rsidP="00CC6682">
      <w:pPr>
        <w:tabs>
          <w:tab w:val="left" w:pos="567"/>
          <w:tab w:val="left" w:pos="1701"/>
        </w:tabs>
        <w:rPr>
          <w:lang w:val="fr-FR"/>
        </w:rPr>
      </w:pPr>
      <w:r w:rsidRPr="00CC6682">
        <w:rPr>
          <w:lang w:val="fr-FR"/>
        </w:rPr>
        <w:tab/>
      </w:r>
      <w:r w:rsidR="00F31D06" w:rsidRPr="00CC6682">
        <w:rPr>
          <w:lang w:val="fr-FR"/>
        </w:rPr>
        <w:t xml:space="preserve">TWP : </w:t>
      </w:r>
      <w:r w:rsidR="00F31D06" w:rsidRPr="00CC6682">
        <w:rPr>
          <w:lang w:val="fr-FR"/>
        </w:rPr>
        <w:tab/>
        <w:t>Groupes de travail techniques</w:t>
      </w:r>
    </w:p>
    <w:p w:rsidR="0065381C" w:rsidRPr="00CC6682" w:rsidRDefault="0065381C" w:rsidP="00CC6682">
      <w:pPr>
        <w:pStyle w:val="Heading1"/>
        <w:keepNext w:val="0"/>
        <w:rPr>
          <w:rFonts w:eastAsia="MS Mincho"/>
          <w:lang w:val="fr-FR" w:eastAsia="ja-JP"/>
        </w:rPr>
      </w:pPr>
      <w:bookmarkStart w:id="6" w:name="_Toc380588283"/>
    </w:p>
    <w:p w:rsidR="0065381C" w:rsidRPr="00CC6682" w:rsidRDefault="00362D8F" w:rsidP="00CC6682">
      <w:pPr>
        <w:keepNext/>
        <w:rPr>
          <w:lang w:val="fr-FR"/>
        </w:rPr>
      </w:pPr>
      <w:r w:rsidRPr="00CC6682">
        <w:rPr>
          <w:lang w:val="fr-FR"/>
        </w:rPr>
        <w:fldChar w:fldCharType="begin"/>
      </w:r>
      <w:r w:rsidRPr="00CC6682">
        <w:rPr>
          <w:lang w:val="fr-FR"/>
        </w:rPr>
        <w:instrText xml:space="preserve"> AUTONUM  </w:instrText>
      </w:r>
      <w:r w:rsidRPr="00CC6682">
        <w:rPr>
          <w:lang w:val="fr-FR"/>
        </w:rPr>
        <w:fldChar w:fldCharType="end"/>
      </w:r>
      <w:r w:rsidRPr="00CC6682">
        <w:rPr>
          <w:lang w:val="fr-FR"/>
        </w:rPr>
        <w:tab/>
      </w:r>
      <w:r w:rsidR="00F31D06" w:rsidRPr="00CC6682">
        <w:rPr>
          <w:lang w:val="fr-FR"/>
        </w:rPr>
        <w:t>L</w:t>
      </w:r>
      <w:r w:rsidR="0046645F" w:rsidRPr="00CC6682">
        <w:rPr>
          <w:lang w:val="fr-FR"/>
        </w:rPr>
        <w:t xml:space="preserve">a structure du </w:t>
      </w:r>
      <w:r w:rsidR="00F31D06" w:rsidRPr="00CC6682">
        <w:rPr>
          <w:lang w:val="fr-FR"/>
        </w:rPr>
        <w:t xml:space="preserve">présent document est </w:t>
      </w:r>
      <w:r w:rsidR="0046645F" w:rsidRPr="00CC6682">
        <w:rPr>
          <w:lang w:val="fr-FR"/>
        </w:rPr>
        <w:t>la suivante </w:t>
      </w:r>
      <w:r w:rsidR="00F31D06" w:rsidRPr="00CC6682">
        <w:rPr>
          <w:lang w:val="fr-FR"/>
        </w:rPr>
        <w:t>:</w:t>
      </w:r>
    </w:p>
    <w:p w:rsidR="0065381C" w:rsidRPr="00CC6682" w:rsidRDefault="0065381C" w:rsidP="00CC6682">
      <w:pPr>
        <w:rPr>
          <w:lang w:val="fr-FR"/>
        </w:rPr>
      </w:pPr>
    </w:p>
    <w:p w:rsidR="00E23047" w:rsidRPr="00CC6682" w:rsidRDefault="009353D3" w:rsidP="00CC6682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val="fr-FR" w:eastAsia="fr-FR"/>
        </w:rPr>
      </w:pPr>
      <w:r w:rsidRPr="00CC6682">
        <w:rPr>
          <w:lang w:val="fr-FR"/>
        </w:rPr>
        <w:fldChar w:fldCharType="begin"/>
      </w:r>
      <w:r w:rsidRPr="00CC6682">
        <w:rPr>
          <w:lang w:val="fr-FR"/>
        </w:rPr>
        <w:instrText xml:space="preserve"> TOC \o "1-1" \u </w:instrText>
      </w:r>
      <w:r w:rsidRPr="00CC6682">
        <w:rPr>
          <w:lang w:val="fr-FR"/>
        </w:rPr>
        <w:fldChar w:fldCharType="separate"/>
      </w:r>
      <w:r w:rsidR="00E23047" w:rsidRPr="00CC6682">
        <w:rPr>
          <w:noProof/>
          <w:lang w:val="fr-FR"/>
        </w:rPr>
        <w:t>Résumé</w:t>
      </w:r>
      <w:r w:rsidR="00E23047" w:rsidRPr="00CC6682">
        <w:rPr>
          <w:noProof/>
        </w:rPr>
        <w:tab/>
      </w:r>
      <w:r w:rsidR="00E23047" w:rsidRPr="00CC6682">
        <w:rPr>
          <w:noProof/>
        </w:rPr>
        <w:fldChar w:fldCharType="begin"/>
      </w:r>
      <w:r w:rsidR="00E23047" w:rsidRPr="00CC6682">
        <w:rPr>
          <w:noProof/>
        </w:rPr>
        <w:instrText xml:space="preserve"> PAGEREF _Toc428784400 \h </w:instrText>
      </w:r>
      <w:r w:rsidR="00E23047" w:rsidRPr="00CC6682">
        <w:rPr>
          <w:noProof/>
        </w:rPr>
      </w:r>
      <w:r w:rsidR="00E23047" w:rsidRPr="00CC6682">
        <w:rPr>
          <w:noProof/>
        </w:rPr>
        <w:fldChar w:fldCharType="separate"/>
      </w:r>
      <w:r w:rsidR="00E30DA4">
        <w:rPr>
          <w:noProof/>
        </w:rPr>
        <w:t>1</w:t>
      </w:r>
      <w:r w:rsidR="00E23047" w:rsidRPr="00CC6682">
        <w:rPr>
          <w:noProof/>
        </w:rPr>
        <w:fldChar w:fldCharType="end"/>
      </w:r>
    </w:p>
    <w:p w:rsidR="00E23047" w:rsidRPr="00CC6682" w:rsidRDefault="00E23047" w:rsidP="00CC6682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val="fr-FR" w:eastAsia="fr-FR"/>
        </w:rPr>
      </w:pPr>
      <w:r w:rsidRPr="00CC6682">
        <w:rPr>
          <w:noProof/>
          <w:lang w:val="fr-FR"/>
        </w:rPr>
        <w:t>Objet</w:t>
      </w:r>
      <w:r w:rsidRPr="00CC6682">
        <w:rPr>
          <w:noProof/>
        </w:rPr>
        <w:tab/>
      </w:r>
      <w:r w:rsidRPr="00CC6682">
        <w:rPr>
          <w:noProof/>
        </w:rPr>
        <w:fldChar w:fldCharType="begin"/>
      </w:r>
      <w:r w:rsidRPr="00CC6682">
        <w:rPr>
          <w:noProof/>
        </w:rPr>
        <w:instrText xml:space="preserve"> PAGEREF _Toc428784401 \h </w:instrText>
      </w:r>
      <w:r w:rsidRPr="00CC6682">
        <w:rPr>
          <w:noProof/>
        </w:rPr>
      </w:r>
      <w:r w:rsidRPr="00CC6682">
        <w:rPr>
          <w:noProof/>
        </w:rPr>
        <w:fldChar w:fldCharType="separate"/>
      </w:r>
      <w:r w:rsidR="00E30DA4">
        <w:rPr>
          <w:noProof/>
        </w:rPr>
        <w:t>2</w:t>
      </w:r>
      <w:r w:rsidRPr="00CC6682">
        <w:rPr>
          <w:noProof/>
        </w:rPr>
        <w:fldChar w:fldCharType="end"/>
      </w:r>
    </w:p>
    <w:p w:rsidR="00E23047" w:rsidRPr="00CC6682" w:rsidRDefault="00E23047" w:rsidP="00CC6682">
      <w:pPr>
        <w:pStyle w:val="TOC1"/>
        <w:rPr>
          <w:rFonts w:asciiTheme="minorHAnsi" w:hAnsiTheme="minorHAnsi" w:cstheme="minorBidi"/>
          <w:caps w:val="0"/>
          <w:noProof/>
          <w:sz w:val="22"/>
          <w:szCs w:val="22"/>
          <w:lang w:val="fr-FR" w:eastAsia="fr-FR"/>
        </w:rPr>
      </w:pPr>
      <w:r w:rsidRPr="00CC6682">
        <w:rPr>
          <w:rFonts w:eastAsia="MS Mincho" w:cs="Arial"/>
          <w:noProof/>
          <w:snapToGrid w:val="0"/>
          <w:lang w:val="fr-FR"/>
        </w:rPr>
        <w:t>Document UPOV/INF/16 “Logiciels échangeables”</w:t>
      </w:r>
      <w:r w:rsidRPr="00A36C86">
        <w:rPr>
          <w:noProof/>
          <w:lang w:val="fr-FR"/>
        </w:rPr>
        <w:tab/>
      </w:r>
      <w:r w:rsidRPr="00CC6682">
        <w:rPr>
          <w:noProof/>
        </w:rPr>
        <w:fldChar w:fldCharType="begin"/>
      </w:r>
      <w:r w:rsidRPr="00A36C86">
        <w:rPr>
          <w:noProof/>
          <w:lang w:val="fr-FR"/>
        </w:rPr>
        <w:instrText xml:space="preserve"> PAGEREF _Toc428784402 \h </w:instrText>
      </w:r>
      <w:r w:rsidRPr="00CC6682">
        <w:rPr>
          <w:noProof/>
        </w:rPr>
      </w:r>
      <w:r w:rsidRPr="00CC6682">
        <w:rPr>
          <w:noProof/>
        </w:rPr>
        <w:fldChar w:fldCharType="separate"/>
      </w:r>
      <w:r w:rsidR="00E30DA4">
        <w:rPr>
          <w:noProof/>
          <w:lang w:val="fr-FR"/>
        </w:rPr>
        <w:t>2</w:t>
      </w:r>
      <w:r w:rsidRPr="00CC6682">
        <w:rPr>
          <w:noProof/>
        </w:rPr>
        <w:fldChar w:fldCharType="end"/>
      </w:r>
    </w:p>
    <w:p w:rsidR="0065381C" w:rsidRPr="00CC6682" w:rsidRDefault="009353D3" w:rsidP="00CC6682">
      <w:pPr>
        <w:rPr>
          <w:caps/>
          <w:lang w:val="fr-FR"/>
        </w:rPr>
      </w:pPr>
      <w:r w:rsidRPr="00CC6682">
        <w:rPr>
          <w:caps/>
          <w:lang w:val="fr-FR"/>
        </w:rPr>
        <w:fldChar w:fldCharType="end"/>
      </w:r>
    </w:p>
    <w:p w:rsidR="0065381C" w:rsidRPr="00CC6682" w:rsidRDefault="0065381C" w:rsidP="00CC6682">
      <w:pPr>
        <w:jc w:val="left"/>
        <w:rPr>
          <w:caps/>
          <w:lang w:val="fr-FR"/>
        </w:rPr>
      </w:pPr>
    </w:p>
    <w:p w:rsidR="0065381C" w:rsidRPr="00CC6682" w:rsidRDefault="0061529B" w:rsidP="00CC6682">
      <w:pPr>
        <w:jc w:val="left"/>
        <w:rPr>
          <w:caps/>
          <w:lang w:val="fr-FR"/>
        </w:rPr>
      </w:pPr>
      <w:r w:rsidRPr="00CC6682">
        <w:rPr>
          <w:lang w:val="fr-FR"/>
        </w:rPr>
        <w:br w:type="page"/>
      </w:r>
    </w:p>
    <w:p w:rsidR="0065381C" w:rsidRPr="00CC6682" w:rsidRDefault="00F31D06" w:rsidP="00CC6682">
      <w:pPr>
        <w:pStyle w:val="Heading1"/>
        <w:keepNext w:val="0"/>
        <w:rPr>
          <w:lang w:val="fr-FR"/>
        </w:rPr>
      </w:pPr>
      <w:bookmarkStart w:id="7" w:name="_Toc428784401"/>
      <w:r w:rsidRPr="00CC6682">
        <w:rPr>
          <w:lang w:val="fr-FR"/>
        </w:rPr>
        <w:lastRenderedPageBreak/>
        <w:t>Objet</w:t>
      </w:r>
      <w:bookmarkEnd w:id="7"/>
    </w:p>
    <w:p w:rsidR="0065381C" w:rsidRPr="00CC6682" w:rsidRDefault="0065381C" w:rsidP="00CC6682">
      <w:pPr>
        <w:pStyle w:val="Heading1"/>
        <w:keepNext w:val="0"/>
        <w:rPr>
          <w:rFonts w:eastAsia="MS Mincho"/>
          <w:lang w:val="fr-FR" w:eastAsia="ja-JP"/>
        </w:rPr>
      </w:pPr>
    </w:p>
    <w:p w:rsidR="0065381C" w:rsidRPr="00CC6682" w:rsidRDefault="00031850" w:rsidP="00CC6682">
      <w:pPr>
        <w:rPr>
          <w:snapToGrid w:val="0"/>
          <w:lang w:val="fr-FR"/>
        </w:rPr>
      </w:pPr>
      <w:r w:rsidRPr="00CC6682">
        <w:rPr>
          <w:snapToGrid w:val="0"/>
          <w:lang w:val="fr-FR"/>
        </w:rPr>
        <w:fldChar w:fldCharType="begin"/>
      </w:r>
      <w:r w:rsidRPr="00CC6682">
        <w:rPr>
          <w:snapToGrid w:val="0"/>
          <w:lang w:val="fr-FR"/>
        </w:rPr>
        <w:instrText xml:space="preserve"> AUTONUM  </w:instrText>
      </w:r>
      <w:r w:rsidRPr="00CC6682">
        <w:rPr>
          <w:snapToGrid w:val="0"/>
          <w:lang w:val="fr-FR"/>
        </w:rPr>
        <w:fldChar w:fldCharType="end"/>
      </w:r>
      <w:r w:rsidRPr="00CC6682">
        <w:rPr>
          <w:snapToGrid w:val="0"/>
          <w:lang w:val="fr-FR"/>
        </w:rPr>
        <w:tab/>
      </w:r>
      <w:r w:rsidR="00F31D06" w:rsidRPr="00CC6682">
        <w:rPr>
          <w:snapToGrid w:val="0"/>
          <w:lang w:val="fr-FR"/>
        </w:rPr>
        <w:t>L</w:t>
      </w:r>
      <w:r w:rsidR="00D44E97" w:rsidRPr="00CC6682">
        <w:rPr>
          <w:snapToGrid w:val="0"/>
          <w:lang w:val="fr-FR"/>
        </w:rPr>
        <w:t>’</w:t>
      </w:r>
      <w:r w:rsidR="00F31D06" w:rsidRPr="00CC6682">
        <w:rPr>
          <w:snapToGrid w:val="0"/>
          <w:lang w:val="fr-FR"/>
        </w:rPr>
        <w:t>objet du présent document est de rendre compte des faits nouveaux concernant l</w:t>
      </w:r>
      <w:r w:rsidR="00D44E97" w:rsidRPr="00CC6682">
        <w:rPr>
          <w:snapToGrid w:val="0"/>
          <w:lang w:val="fr-FR"/>
        </w:rPr>
        <w:t>’</w:t>
      </w:r>
      <w:r w:rsidR="00F31D06" w:rsidRPr="00CC6682">
        <w:rPr>
          <w:snapToGrid w:val="0"/>
          <w:lang w:val="fr-FR"/>
        </w:rPr>
        <w:t>échange et l</w:t>
      </w:r>
      <w:r w:rsidR="00D44E97" w:rsidRPr="00CC6682">
        <w:rPr>
          <w:snapToGrid w:val="0"/>
          <w:lang w:val="fr-FR"/>
        </w:rPr>
        <w:t>’</w:t>
      </w:r>
      <w:r w:rsidR="00F31D06" w:rsidRPr="00CC6682">
        <w:rPr>
          <w:snapToGrid w:val="0"/>
          <w:lang w:val="fr-FR"/>
        </w:rPr>
        <w:t>utilisation de logiciels et d</w:t>
      </w:r>
      <w:r w:rsidR="00D44E97" w:rsidRPr="00CC6682">
        <w:rPr>
          <w:snapToGrid w:val="0"/>
          <w:lang w:val="fr-FR"/>
        </w:rPr>
        <w:t>’</w:t>
      </w:r>
      <w:r w:rsidR="00F31D06" w:rsidRPr="00CC6682">
        <w:rPr>
          <w:snapToGrid w:val="0"/>
          <w:lang w:val="fr-FR"/>
        </w:rPr>
        <w:t>équipements.</w:t>
      </w:r>
    </w:p>
    <w:p w:rsidR="0065381C" w:rsidRPr="00CC6682" w:rsidRDefault="0065381C" w:rsidP="00CC6682">
      <w:pPr>
        <w:pStyle w:val="Heading1"/>
        <w:keepNext w:val="0"/>
        <w:rPr>
          <w:rFonts w:eastAsia="MS Mincho"/>
          <w:lang w:val="fr-FR" w:eastAsia="ja-JP"/>
        </w:rPr>
      </w:pPr>
    </w:p>
    <w:p w:rsidR="0065381C" w:rsidRPr="00CC6682" w:rsidRDefault="0065381C" w:rsidP="00CC6682">
      <w:pPr>
        <w:pStyle w:val="Heading1"/>
        <w:keepNext w:val="0"/>
        <w:rPr>
          <w:rFonts w:eastAsia="MS Mincho"/>
          <w:lang w:val="fr-FR" w:eastAsia="ja-JP"/>
        </w:rPr>
      </w:pPr>
    </w:p>
    <w:p w:rsidR="0065381C" w:rsidRPr="00CC6682" w:rsidRDefault="00F31D06" w:rsidP="00CC6682">
      <w:pPr>
        <w:pStyle w:val="Heading1"/>
        <w:keepNext w:val="0"/>
        <w:rPr>
          <w:rFonts w:eastAsia="MS Mincho" w:cs="Arial"/>
          <w:snapToGrid w:val="0"/>
          <w:lang w:val="fr-FR"/>
        </w:rPr>
      </w:pPr>
      <w:bookmarkStart w:id="8" w:name="_Toc428784402"/>
      <w:bookmarkEnd w:id="6"/>
      <w:r w:rsidRPr="00CC6682">
        <w:rPr>
          <w:rFonts w:eastAsia="MS Mincho" w:cs="Arial"/>
          <w:snapToGrid w:val="0"/>
          <w:lang w:val="fr-FR"/>
        </w:rPr>
        <w:t>Document UPOV/INF/16 “Logiciels échangeables”</w:t>
      </w:r>
      <w:bookmarkEnd w:id="8"/>
    </w:p>
    <w:p w:rsidR="0065381C" w:rsidRPr="00CC6682" w:rsidRDefault="0065381C" w:rsidP="00CC6682">
      <w:pPr>
        <w:rPr>
          <w:rFonts w:eastAsia="MS Mincho"/>
          <w:lang w:val="fr-FR"/>
        </w:rPr>
      </w:pPr>
    </w:p>
    <w:p w:rsidR="0065381C" w:rsidRPr="00CC6682" w:rsidRDefault="0033729B" w:rsidP="00CC6682">
      <w:pPr>
        <w:rPr>
          <w:rFonts w:eastAsia="MS Mincho"/>
          <w:lang w:val="fr-FR"/>
        </w:rPr>
      </w:pPr>
      <w:r w:rsidRPr="00CC6682">
        <w:rPr>
          <w:rFonts w:eastAsia="MS Mincho"/>
          <w:snapToGrid w:val="0"/>
          <w:lang w:val="fr-FR"/>
        </w:rPr>
        <w:fldChar w:fldCharType="begin"/>
      </w:r>
      <w:r w:rsidRPr="00CC6682">
        <w:rPr>
          <w:rFonts w:eastAsia="MS Mincho"/>
          <w:snapToGrid w:val="0"/>
          <w:lang w:val="fr-FR"/>
        </w:rPr>
        <w:instrText xml:space="preserve"> AUTONUM  </w:instrText>
      </w:r>
      <w:r w:rsidRPr="00CC6682">
        <w:rPr>
          <w:rFonts w:eastAsia="MS Mincho"/>
          <w:snapToGrid w:val="0"/>
          <w:lang w:val="fr-FR"/>
        </w:rPr>
        <w:fldChar w:fldCharType="end"/>
      </w:r>
      <w:r w:rsidRPr="00CC6682">
        <w:rPr>
          <w:rFonts w:eastAsia="MS Mincho"/>
          <w:snapToGrid w:val="0"/>
          <w:lang w:val="fr-FR"/>
        </w:rPr>
        <w:tab/>
      </w:r>
      <w:r w:rsidR="00F31D06" w:rsidRPr="00CC6682">
        <w:rPr>
          <w:rFonts w:eastAsia="MS Mincho"/>
          <w:snapToGrid w:val="0"/>
          <w:lang w:val="fr-FR"/>
        </w:rPr>
        <w:t>La procédure d</w:t>
      </w:r>
      <w:r w:rsidR="00D44E97" w:rsidRPr="00CC6682">
        <w:rPr>
          <w:rFonts w:eastAsia="MS Mincho"/>
          <w:snapToGrid w:val="0"/>
          <w:lang w:val="fr-FR"/>
        </w:rPr>
        <w:t>’</w:t>
      </w:r>
      <w:r w:rsidR="00F31D06" w:rsidRPr="00CC6682">
        <w:rPr>
          <w:rFonts w:eastAsia="MS Mincho"/>
          <w:snapToGrid w:val="0"/>
          <w:lang w:val="fr-FR"/>
        </w:rPr>
        <w:t xml:space="preserve">examen des logiciels proposés pour inclusion dans le document UPOV/INF/16 “Logiciels échangeables” est décrite comme suit dans le </w:t>
      </w:r>
      <w:r w:rsidR="00D44E97" w:rsidRPr="00CC6682">
        <w:rPr>
          <w:rFonts w:eastAsia="MS Mincho"/>
          <w:snapToGrid w:val="0"/>
          <w:lang w:val="fr-FR"/>
        </w:rPr>
        <w:t>document UP</w:t>
      </w:r>
      <w:r w:rsidR="00F31D06" w:rsidRPr="00CC6682">
        <w:rPr>
          <w:rFonts w:eastAsia="MS Mincho"/>
          <w:snapToGrid w:val="0"/>
          <w:lang w:val="fr-FR"/>
        </w:rPr>
        <w:t>OV/INF/16 “Logiciels échangeables”</w:t>
      </w:r>
      <w:r w:rsidR="00CC6D65" w:rsidRPr="00CC6682">
        <w:rPr>
          <w:rFonts w:eastAsia="MS Mincho"/>
          <w:snapToGrid w:val="0"/>
          <w:lang w:val="fr-FR"/>
        </w:rPr>
        <w:t> </w:t>
      </w:r>
      <w:r w:rsidR="00F31D06" w:rsidRPr="00CC6682">
        <w:rPr>
          <w:rFonts w:eastAsia="MS Mincho"/>
          <w:snapToGrid w:val="0"/>
          <w:lang w:val="fr-FR"/>
        </w:rPr>
        <w:t>:</w:t>
      </w:r>
    </w:p>
    <w:p w:rsidR="0065381C" w:rsidRPr="00CC6682" w:rsidRDefault="0065381C" w:rsidP="00CC6682">
      <w:pPr>
        <w:rPr>
          <w:rFonts w:eastAsia="MS Mincho"/>
          <w:lang w:val="fr-FR"/>
        </w:rPr>
      </w:pPr>
    </w:p>
    <w:p w:rsidR="0065381C" w:rsidRPr="00CC6682" w:rsidRDefault="00F31D06" w:rsidP="00CC6682">
      <w:pPr>
        <w:ind w:left="567" w:right="567"/>
        <w:rPr>
          <w:rFonts w:eastAsia="MS Mincho"/>
          <w:sz w:val="18"/>
          <w:szCs w:val="18"/>
          <w:lang w:val="fr-FR"/>
        </w:rPr>
      </w:pPr>
      <w:r w:rsidRPr="00CC6682">
        <w:rPr>
          <w:rFonts w:eastAsia="MS Mincho"/>
          <w:sz w:val="18"/>
          <w:szCs w:val="18"/>
          <w:lang w:val="fr-FR"/>
        </w:rPr>
        <w:t>“2.</w:t>
      </w:r>
      <w:r w:rsidRPr="00CC6682">
        <w:rPr>
          <w:rFonts w:eastAsia="MS Mincho"/>
          <w:sz w:val="18"/>
          <w:szCs w:val="18"/>
          <w:lang w:val="fr-FR"/>
        </w:rPr>
        <w:tab/>
        <w:t>Procédure à suivre pour inclure des logiciels</w:t>
      </w:r>
    </w:p>
    <w:p w:rsidR="0065381C" w:rsidRPr="00CC6682" w:rsidRDefault="0065381C" w:rsidP="00CC6682">
      <w:pPr>
        <w:ind w:right="567"/>
        <w:rPr>
          <w:rFonts w:eastAsia="MS Mincho"/>
          <w:sz w:val="18"/>
          <w:szCs w:val="18"/>
          <w:lang w:val="fr-FR"/>
        </w:rPr>
      </w:pPr>
    </w:p>
    <w:p w:rsidR="0065381C" w:rsidRPr="00CC6682" w:rsidRDefault="00FD0A8A" w:rsidP="00CC6682">
      <w:pPr>
        <w:ind w:left="567" w:right="567"/>
        <w:rPr>
          <w:rFonts w:eastAsia="MS Mincho"/>
          <w:sz w:val="18"/>
          <w:szCs w:val="18"/>
          <w:lang w:val="fr-FR"/>
        </w:rPr>
      </w:pPr>
      <w:r w:rsidRPr="00CC6682">
        <w:rPr>
          <w:rFonts w:eastAsia="MS Mincho"/>
          <w:sz w:val="18"/>
          <w:szCs w:val="18"/>
          <w:lang w:val="fr-FR"/>
        </w:rPr>
        <w:t>“Les logiciels qu</w:t>
      </w:r>
      <w:r w:rsidR="00D44E97" w:rsidRPr="00CC6682">
        <w:rPr>
          <w:rFonts w:eastAsia="MS Mincho"/>
          <w:sz w:val="18"/>
          <w:szCs w:val="18"/>
          <w:lang w:val="fr-FR"/>
        </w:rPr>
        <w:t>’</w:t>
      </w:r>
      <w:r w:rsidRPr="00CC6682">
        <w:rPr>
          <w:rFonts w:eastAsia="MS Mincho"/>
          <w:sz w:val="18"/>
          <w:szCs w:val="18"/>
          <w:lang w:val="fr-FR"/>
        </w:rPr>
        <w:t>il est pro</w:t>
      </w:r>
      <w:r w:rsidR="0046645F" w:rsidRPr="00CC6682">
        <w:rPr>
          <w:rFonts w:eastAsia="MS Mincho"/>
          <w:sz w:val="18"/>
          <w:szCs w:val="18"/>
          <w:lang w:val="fr-FR"/>
        </w:rPr>
        <w:t>posé d</w:t>
      </w:r>
      <w:r w:rsidR="00D44E97" w:rsidRPr="00CC6682">
        <w:rPr>
          <w:rFonts w:eastAsia="MS Mincho"/>
          <w:sz w:val="18"/>
          <w:szCs w:val="18"/>
          <w:lang w:val="fr-FR"/>
        </w:rPr>
        <w:t>’</w:t>
      </w:r>
      <w:r w:rsidR="0046645F" w:rsidRPr="00CC6682">
        <w:rPr>
          <w:rFonts w:eastAsia="MS Mincho"/>
          <w:sz w:val="18"/>
          <w:szCs w:val="18"/>
          <w:lang w:val="fr-FR"/>
        </w:rPr>
        <w:t xml:space="preserve">inclure dans le </w:t>
      </w:r>
      <w:r w:rsidR="00D44E97" w:rsidRPr="00CC6682">
        <w:rPr>
          <w:rFonts w:eastAsia="MS Mincho"/>
          <w:sz w:val="18"/>
          <w:szCs w:val="18"/>
          <w:lang w:val="fr-FR"/>
        </w:rPr>
        <w:t>document UP</w:t>
      </w:r>
      <w:r w:rsidRPr="00CC6682">
        <w:rPr>
          <w:rFonts w:eastAsia="MS Mincho"/>
          <w:sz w:val="18"/>
          <w:szCs w:val="18"/>
          <w:lang w:val="fr-FR"/>
        </w:rPr>
        <w:t>OV/INF/16 par les membres de l</w:t>
      </w:r>
      <w:r w:rsidR="00D44E97" w:rsidRPr="00CC6682">
        <w:rPr>
          <w:rFonts w:eastAsia="MS Mincho"/>
          <w:sz w:val="18"/>
          <w:szCs w:val="18"/>
          <w:lang w:val="fr-FR"/>
        </w:rPr>
        <w:t>’</w:t>
      </w:r>
      <w:r w:rsidRPr="00CC6682">
        <w:rPr>
          <w:rFonts w:eastAsia="MS Mincho"/>
          <w:sz w:val="18"/>
          <w:szCs w:val="18"/>
          <w:lang w:val="fr-FR"/>
        </w:rPr>
        <w:t>Union sont tout d</w:t>
      </w:r>
      <w:r w:rsidR="00D44E97" w:rsidRPr="00CC6682">
        <w:rPr>
          <w:rFonts w:eastAsia="MS Mincho"/>
          <w:sz w:val="18"/>
          <w:szCs w:val="18"/>
          <w:lang w:val="fr-FR"/>
        </w:rPr>
        <w:t>’</w:t>
      </w:r>
      <w:r w:rsidRPr="00CC6682">
        <w:rPr>
          <w:rFonts w:eastAsia="MS Mincho"/>
          <w:sz w:val="18"/>
          <w:szCs w:val="18"/>
          <w:lang w:val="fr-FR"/>
        </w:rPr>
        <w:t>abord soumis pour examen au Groupe de travail technique sur les systèmes d</w:t>
      </w:r>
      <w:r w:rsidR="00D44E97" w:rsidRPr="00CC6682">
        <w:rPr>
          <w:rFonts w:eastAsia="MS Mincho"/>
          <w:sz w:val="18"/>
          <w:szCs w:val="18"/>
          <w:lang w:val="fr-FR"/>
        </w:rPr>
        <w:t>’</w:t>
      </w:r>
      <w:r w:rsidRPr="00CC6682">
        <w:rPr>
          <w:rFonts w:eastAsia="MS Mincho"/>
          <w:sz w:val="18"/>
          <w:szCs w:val="18"/>
          <w:lang w:val="fr-FR"/>
        </w:rPr>
        <w:t>automatisation et les programmes d</w:t>
      </w:r>
      <w:r w:rsidR="00D44E97" w:rsidRPr="00CC6682">
        <w:rPr>
          <w:rFonts w:eastAsia="MS Mincho"/>
          <w:sz w:val="18"/>
          <w:szCs w:val="18"/>
          <w:lang w:val="fr-FR"/>
        </w:rPr>
        <w:t>’</w:t>
      </w:r>
      <w:r w:rsidRPr="00CC6682">
        <w:rPr>
          <w:rFonts w:eastAsia="MS Mincho"/>
          <w:sz w:val="18"/>
          <w:szCs w:val="18"/>
          <w:lang w:val="fr-FR"/>
        </w:rPr>
        <w:t>ordinateur (TWC).</w:t>
      </w:r>
      <w:r w:rsidR="0033729B" w:rsidRPr="00CC6682">
        <w:rPr>
          <w:sz w:val="18"/>
          <w:lang w:val="fr-FR"/>
        </w:rPr>
        <w:t xml:space="preserve"> </w:t>
      </w:r>
      <w:r w:rsidR="0046645F" w:rsidRPr="00CC6682">
        <w:rPr>
          <w:sz w:val="18"/>
          <w:lang w:val="fr-FR"/>
        </w:rPr>
        <w:t xml:space="preserve"> </w:t>
      </w:r>
      <w:r w:rsidRPr="00CC6682">
        <w:rPr>
          <w:rFonts w:eastAsia="MS Mincho"/>
          <w:sz w:val="18"/>
          <w:szCs w:val="18"/>
          <w:lang w:val="fr-FR"/>
        </w:rPr>
        <w:t>En fonction des logiciels présentés et de l</w:t>
      </w:r>
      <w:r w:rsidR="00D44E97" w:rsidRPr="00CC6682">
        <w:rPr>
          <w:rFonts w:eastAsia="MS Mincho"/>
          <w:sz w:val="18"/>
          <w:szCs w:val="18"/>
          <w:lang w:val="fr-FR"/>
        </w:rPr>
        <w:t>’</w:t>
      </w:r>
      <w:r w:rsidRPr="00CC6682">
        <w:rPr>
          <w:rFonts w:eastAsia="MS Mincho"/>
          <w:sz w:val="18"/>
          <w:szCs w:val="18"/>
          <w:lang w:val="fr-FR"/>
        </w:rPr>
        <w:t>expérience des membres de l</w:t>
      </w:r>
      <w:r w:rsidR="00D44E97" w:rsidRPr="00CC6682">
        <w:rPr>
          <w:rFonts w:eastAsia="MS Mincho"/>
          <w:sz w:val="18"/>
          <w:szCs w:val="18"/>
          <w:lang w:val="fr-FR"/>
        </w:rPr>
        <w:t>’</w:t>
      </w:r>
      <w:r w:rsidRPr="00CC6682">
        <w:rPr>
          <w:rFonts w:eastAsia="MS Mincho"/>
          <w:sz w:val="18"/>
          <w:szCs w:val="18"/>
          <w:lang w:val="fr-FR"/>
        </w:rPr>
        <w:t>Union,</w:t>
      </w:r>
      <w:r w:rsidR="00D44E97" w:rsidRPr="00CC6682">
        <w:rPr>
          <w:rFonts w:eastAsia="MS Mincho"/>
          <w:sz w:val="18"/>
          <w:szCs w:val="18"/>
          <w:lang w:val="fr-FR"/>
        </w:rPr>
        <w:t xml:space="preserve"> le TWC</w:t>
      </w:r>
      <w:r w:rsidRPr="00CC6682">
        <w:rPr>
          <w:rFonts w:eastAsia="MS Mincho"/>
          <w:sz w:val="18"/>
          <w:szCs w:val="18"/>
          <w:lang w:val="fr-FR"/>
        </w:rPr>
        <w:t xml:space="preserve"> formule une recommandation au Comité technique (TC) en ce qui concerne la mention éventuelle de ces logiciels dans le document UPOV/INF/16. </w:t>
      </w:r>
      <w:r w:rsidR="0046645F" w:rsidRPr="00CC6682">
        <w:rPr>
          <w:rFonts w:eastAsia="MS Mincho"/>
          <w:sz w:val="18"/>
          <w:szCs w:val="18"/>
          <w:lang w:val="fr-FR"/>
        </w:rPr>
        <w:t xml:space="preserve"> </w:t>
      </w:r>
      <w:r w:rsidRPr="00CC6682">
        <w:rPr>
          <w:rFonts w:eastAsia="MS Mincho"/>
          <w:sz w:val="18"/>
          <w:szCs w:val="18"/>
          <w:lang w:val="fr-FR"/>
        </w:rPr>
        <w:t>Si le</w:t>
      </w:r>
      <w:r w:rsidR="00D44E97" w:rsidRPr="00CC6682">
        <w:rPr>
          <w:rFonts w:eastAsia="MS Mincho"/>
          <w:sz w:val="18"/>
          <w:szCs w:val="18"/>
          <w:lang w:val="fr-FR"/>
        </w:rPr>
        <w:t> TC</w:t>
      </w:r>
      <w:r w:rsidRPr="00CC6682">
        <w:rPr>
          <w:rFonts w:eastAsia="MS Mincho"/>
          <w:sz w:val="18"/>
          <w:szCs w:val="18"/>
          <w:lang w:val="fr-FR"/>
        </w:rPr>
        <w:t xml:space="preserve"> et le Co</w:t>
      </w:r>
      <w:r w:rsidR="0046645F" w:rsidRPr="00CC6682">
        <w:rPr>
          <w:rFonts w:eastAsia="MS Mincho"/>
          <w:sz w:val="18"/>
          <w:szCs w:val="18"/>
          <w:lang w:val="fr-FR"/>
        </w:rPr>
        <w:t>mité administratif et juridique </w:t>
      </w:r>
      <w:r w:rsidRPr="00CC6682">
        <w:rPr>
          <w:rFonts w:eastAsia="MS Mincho"/>
          <w:sz w:val="18"/>
          <w:szCs w:val="18"/>
          <w:lang w:val="fr-FR"/>
        </w:rPr>
        <w:t xml:space="preserve">(CAJ) formulent une recommandation positive, les logiciels seront mentionnés dans un projet de document UPOV/INF/16, qui sera examiné par le Conseil en vue de son adoption. </w:t>
      </w:r>
      <w:r w:rsidR="0033729B" w:rsidRPr="00CC6682">
        <w:rPr>
          <w:sz w:val="18"/>
          <w:lang w:val="fr-FR"/>
        </w:rPr>
        <w:t xml:space="preserve"> </w:t>
      </w:r>
      <w:r w:rsidR="0046645F" w:rsidRPr="00CC6682">
        <w:rPr>
          <w:rFonts w:eastAsia="MS Mincho"/>
          <w:sz w:val="18"/>
          <w:szCs w:val="18"/>
          <w:lang w:val="fr-FR"/>
        </w:rPr>
        <w:t xml:space="preserve">Le </w:t>
      </w:r>
      <w:r w:rsidR="00D44E97" w:rsidRPr="00CC6682">
        <w:rPr>
          <w:rFonts w:eastAsia="MS Mincho"/>
          <w:sz w:val="18"/>
          <w:szCs w:val="18"/>
          <w:lang w:val="fr-FR"/>
        </w:rPr>
        <w:t>document UP</w:t>
      </w:r>
      <w:r w:rsidRPr="00CC6682">
        <w:rPr>
          <w:rFonts w:eastAsia="MS Mincho"/>
          <w:sz w:val="18"/>
          <w:szCs w:val="18"/>
          <w:lang w:val="fr-FR"/>
        </w:rPr>
        <w:t>OV/INF/16 est adopté par le Conseil.”</w:t>
      </w:r>
    </w:p>
    <w:p w:rsidR="0065381C" w:rsidRPr="00CC6682" w:rsidRDefault="0065381C" w:rsidP="00CC6682">
      <w:pPr>
        <w:rPr>
          <w:lang w:val="fr-FR"/>
        </w:rPr>
      </w:pPr>
    </w:p>
    <w:p w:rsidR="0065381C" w:rsidRPr="00CC6682" w:rsidRDefault="002941C6" w:rsidP="00CC6682">
      <w:pPr>
        <w:rPr>
          <w:snapToGrid w:val="0"/>
          <w:vertAlign w:val="superscript"/>
          <w:lang w:val="fr-FR" w:eastAsia="ja-JP"/>
        </w:rPr>
      </w:pPr>
      <w:r w:rsidRPr="00CC6682">
        <w:rPr>
          <w:lang w:val="fr-FR"/>
        </w:rPr>
        <w:fldChar w:fldCharType="begin"/>
      </w:r>
      <w:r w:rsidRPr="00CC6682">
        <w:rPr>
          <w:lang w:val="fr-FR"/>
        </w:rPr>
        <w:instrText xml:space="preserve"> AUTONUM  </w:instrText>
      </w:r>
      <w:r w:rsidRPr="00CC6682">
        <w:rPr>
          <w:lang w:val="fr-FR"/>
        </w:rPr>
        <w:fldChar w:fldCharType="end"/>
      </w:r>
      <w:r w:rsidRPr="00CC6682">
        <w:rPr>
          <w:lang w:val="fr-FR"/>
        </w:rPr>
        <w:tab/>
      </w:r>
      <w:r w:rsidR="00193FFC" w:rsidRPr="00CC6682">
        <w:rPr>
          <w:lang w:val="fr-FR"/>
        </w:rPr>
        <w:t>À sa trente</w:t>
      </w:r>
      <w:r w:rsidR="00E23047" w:rsidRPr="00CC6682">
        <w:rPr>
          <w:lang w:val="fr-FR"/>
        </w:rPr>
        <w:noBreakHyphen/>
      </w:r>
      <w:r w:rsidR="00193FFC" w:rsidRPr="00CC6682">
        <w:rPr>
          <w:lang w:val="fr-FR"/>
        </w:rPr>
        <w:t>deuxième</w:t>
      </w:r>
      <w:r w:rsidR="00CC6D65" w:rsidRPr="00CC6682">
        <w:rPr>
          <w:lang w:val="fr-FR"/>
        </w:rPr>
        <w:t> </w:t>
      </w:r>
      <w:r w:rsidR="00193FFC" w:rsidRPr="00CC6682">
        <w:rPr>
          <w:lang w:val="fr-FR"/>
        </w:rPr>
        <w:t>session</w:t>
      </w:r>
      <w:r w:rsidR="00193FFC" w:rsidRPr="00CC6682">
        <w:rPr>
          <w:rStyle w:val="FootnoteReference"/>
          <w:lang w:val="fr-FR"/>
        </w:rPr>
        <w:footnoteReference w:id="2"/>
      </w:r>
      <w:r w:rsidR="00193FFC" w:rsidRPr="00CC6682">
        <w:rPr>
          <w:lang w:val="fr-FR"/>
        </w:rPr>
        <w:t>,</w:t>
      </w:r>
      <w:r w:rsidR="00D44E97" w:rsidRPr="00CC6682">
        <w:rPr>
          <w:lang w:val="fr-FR"/>
        </w:rPr>
        <w:t xml:space="preserve"> le TWC</w:t>
      </w:r>
      <w:r w:rsidR="00193FFC" w:rsidRPr="00CC6682">
        <w:rPr>
          <w:lang w:val="fr-FR"/>
        </w:rPr>
        <w:t xml:space="preserve"> a suivi par voie électronique </w:t>
      </w:r>
      <w:r w:rsidR="0046645F" w:rsidRPr="00CC6682">
        <w:rPr>
          <w:lang w:val="fr-FR"/>
        </w:rPr>
        <w:t xml:space="preserve">un exposé </w:t>
      </w:r>
      <w:r w:rsidR="00193FFC" w:rsidRPr="00CC6682">
        <w:rPr>
          <w:lang w:val="fr-FR"/>
        </w:rPr>
        <w:t>d</w:t>
      </w:r>
      <w:r w:rsidR="00D44E97" w:rsidRPr="00CC6682">
        <w:rPr>
          <w:lang w:val="fr-FR"/>
        </w:rPr>
        <w:t>’</w:t>
      </w:r>
      <w:r w:rsidR="00193FFC" w:rsidRPr="00CC6682">
        <w:rPr>
          <w:lang w:val="fr-FR"/>
        </w:rPr>
        <w:t xml:space="preserve">un expert du Mexique sur le logiciel SISNAVA </w:t>
      </w:r>
      <w:r w:rsidR="0046645F" w:rsidRPr="00CC6682">
        <w:rPr>
          <w:lang w:val="fr-FR"/>
        </w:rPr>
        <w:t>qui est reproduit à l</w:t>
      </w:r>
      <w:r w:rsidR="00D44E97" w:rsidRPr="00CC6682">
        <w:rPr>
          <w:lang w:val="fr-FR"/>
        </w:rPr>
        <w:t>’</w:t>
      </w:r>
      <w:r w:rsidR="0046645F" w:rsidRPr="00CC6682">
        <w:rPr>
          <w:lang w:val="fr-FR"/>
        </w:rPr>
        <w:t xml:space="preserve">annexe V du </w:t>
      </w:r>
      <w:r w:rsidR="00D44E97" w:rsidRPr="00CC6682">
        <w:rPr>
          <w:lang w:val="fr-FR"/>
        </w:rPr>
        <w:t>document TW</w:t>
      </w:r>
      <w:r w:rsidR="0046645F" w:rsidRPr="00CC6682">
        <w:rPr>
          <w:lang w:val="fr-FR"/>
        </w:rPr>
        <w:t>C/32</w:t>
      </w:r>
      <w:r w:rsidR="00193FFC" w:rsidRPr="00CC6682">
        <w:rPr>
          <w:lang w:val="fr-FR"/>
        </w:rPr>
        <w:t>/</w:t>
      </w:r>
      <w:r w:rsidR="0046645F" w:rsidRPr="00CC6682">
        <w:rPr>
          <w:lang w:val="fr-FR"/>
        </w:rPr>
        <w:t>7</w:t>
      </w:r>
      <w:r w:rsidR="00193FFC" w:rsidRPr="00CC6682">
        <w:rPr>
          <w:rStyle w:val="FootnoteReference"/>
          <w:lang w:val="fr-FR"/>
        </w:rPr>
        <w:footnoteReference w:id="3"/>
      </w:r>
      <w:r w:rsidR="00193FFC" w:rsidRPr="00CC6682">
        <w:rPr>
          <w:lang w:val="fr-FR"/>
        </w:rPr>
        <w:t>.</w:t>
      </w:r>
    </w:p>
    <w:p w:rsidR="0065381C" w:rsidRPr="00CC6682" w:rsidRDefault="0065381C" w:rsidP="00CC6682">
      <w:pPr>
        <w:rPr>
          <w:lang w:val="fr-FR"/>
        </w:rPr>
      </w:pPr>
    </w:p>
    <w:p w:rsidR="0065381C" w:rsidRPr="00CC6682" w:rsidRDefault="00DA367F" w:rsidP="00CC6682">
      <w:pPr>
        <w:rPr>
          <w:rFonts w:eastAsia="SimSun"/>
          <w:snapToGrid w:val="0"/>
          <w:lang w:val="fr-FR" w:eastAsia="ja-JP"/>
        </w:rPr>
      </w:pPr>
      <w:r w:rsidRPr="00CC6682">
        <w:rPr>
          <w:rFonts w:eastAsia="SimSun"/>
          <w:snapToGrid w:val="0"/>
          <w:lang w:val="fr-FR" w:eastAsia="ja-JP"/>
        </w:rPr>
        <w:fldChar w:fldCharType="begin"/>
      </w:r>
      <w:r w:rsidRPr="00CC6682">
        <w:rPr>
          <w:rFonts w:eastAsia="SimSun"/>
          <w:snapToGrid w:val="0"/>
          <w:lang w:val="fr-FR" w:eastAsia="ja-JP"/>
        </w:rPr>
        <w:instrText xml:space="preserve"> AUTONUM  </w:instrText>
      </w:r>
      <w:r w:rsidRPr="00CC6682">
        <w:rPr>
          <w:rFonts w:eastAsia="SimSun"/>
          <w:snapToGrid w:val="0"/>
          <w:lang w:val="fr-FR" w:eastAsia="ja-JP"/>
        </w:rPr>
        <w:fldChar w:fldCharType="end"/>
      </w:r>
      <w:r w:rsidRPr="00CC6682">
        <w:rPr>
          <w:rFonts w:eastAsia="SimSun"/>
          <w:snapToGrid w:val="0"/>
          <w:lang w:val="fr-FR" w:eastAsia="ja-JP"/>
        </w:rPr>
        <w:tab/>
      </w:r>
      <w:r w:rsidR="00193FFC" w:rsidRPr="00CC6682">
        <w:rPr>
          <w:rFonts w:eastAsia="SimSun"/>
          <w:snapToGrid w:val="0"/>
          <w:lang w:val="fr-FR" w:eastAsia="ja-JP"/>
        </w:rPr>
        <w:t>Le</w:t>
      </w:r>
      <w:r w:rsidR="00D44E97" w:rsidRPr="00CC6682">
        <w:rPr>
          <w:rFonts w:eastAsia="SimSun"/>
          <w:snapToGrid w:val="0"/>
          <w:lang w:val="fr-FR" w:eastAsia="ja-JP"/>
        </w:rPr>
        <w:t> TC</w:t>
      </w:r>
      <w:r w:rsidR="00193FFC" w:rsidRPr="00CC6682">
        <w:rPr>
          <w:rFonts w:eastAsia="SimSun"/>
          <w:snapToGrid w:val="0"/>
          <w:lang w:val="fr-FR" w:eastAsia="ja-JP"/>
        </w:rPr>
        <w:t>, à sa cinquante</w:t>
      </w:r>
      <w:r w:rsidR="00CC6D65" w:rsidRPr="00CC6682">
        <w:rPr>
          <w:rFonts w:eastAsia="SimSun"/>
          <w:snapToGrid w:val="0"/>
          <w:lang w:val="fr-FR" w:eastAsia="ja-JP"/>
        </w:rPr>
        <w:t> </w:t>
      </w:r>
      <w:r w:rsidR="00193FFC" w:rsidRPr="00CC6682">
        <w:rPr>
          <w:rFonts w:eastAsia="SimSun"/>
          <w:snapToGrid w:val="0"/>
          <w:lang w:val="fr-FR" w:eastAsia="ja-JP"/>
        </w:rPr>
        <w:t>et</w:t>
      </w:r>
      <w:r w:rsidR="00CC6D65" w:rsidRPr="00CC6682">
        <w:rPr>
          <w:rFonts w:eastAsia="SimSun"/>
          <w:snapToGrid w:val="0"/>
          <w:lang w:val="fr-FR" w:eastAsia="ja-JP"/>
        </w:rPr>
        <w:t> </w:t>
      </w:r>
      <w:r w:rsidR="00193FFC" w:rsidRPr="00CC6682">
        <w:rPr>
          <w:rFonts w:eastAsia="SimSun"/>
          <w:snapToGrid w:val="0"/>
          <w:lang w:val="fr-FR" w:eastAsia="ja-JP"/>
        </w:rPr>
        <w:t>unième</w:t>
      </w:r>
      <w:r w:rsidR="00CC6D65" w:rsidRPr="00CC6682">
        <w:rPr>
          <w:rFonts w:eastAsia="SimSun"/>
          <w:snapToGrid w:val="0"/>
          <w:lang w:val="fr-FR" w:eastAsia="ja-JP"/>
        </w:rPr>
        <w:t> </w:t>
      </w:r>
      <w:r w:rsidR="00193FFC" w:rsidRPr="00CC6682">
        <w:rPr>
          <w:rFonts w:eastAsia="SimSun"/>
          <w:snapToGrid w:val="0"/>
          <w:lang w:val="fr-FR" w:eastAsia="ja-JP"/>
        </w:rPr>
        <w:t>session</w:t>
      </w:r>
      <w:r w:rsidR="00193FFC" w:rsidRPr="00CC6682">
        <w:rPr>
          <w:rStyle w:val="FootnoteReference"/>
          <w:rFonts w:eastAsia="SimSun"/>
          <w:snapToGrid w:val="0"/>
          <w:lang w:val="fr-FR" w:eastAsia="ja-JP"/>
        </w:rPr>
        <w:footnoteReference w:id="4"/>
      </w:r>
      <w:r w:rsidR="00193FFC" w:rsidRPr="00CC6682">
        <w:rPr>
          <w:rFonts w:eastAsia="SimSun"/>
          <w:snapToGrid w:val="0"/>
          <w:lang w:val="fr-FR" w:eastAsia="ja-JP"/>
        </w:rPr>
        <w:t>, et</w:t>
      </w:r>
      <w:r w:rsidR="00D44E97" w:rsidRPr="00CC6682">
        <w:rPr>
          <w:rFonts w:eastAsia="SimSun"/>
          <w:snapToGrid w:val="0"/>
          <w:lang w:val="fr-FR" w:eastAsia="ja-JP"/>
        </w:rPr>
        <w:t xml:space="preserve"> le CAJ</w:t>
      </w:r>
      <w:r w:rsidR="00193FFC" w:rsidRPr="00CC6682">
        <w:rPr>
          <w:rFonts w:eastAsia="SimSun"/>
          <w:snapToGrid w:val="0"/>
          <w:lang w:val="fr-FR" w:eastAsia="ja-JP"/>
        </w:rPr>
        <w:t>, à sa soixante</w:t>
      </w:r>
      <w:r w:rsidR="00E23047" w:rsidRPr="00CC6682">
        <w:rPr>
          <w:rFonts w:eastAsia="SimSun"/>
          <w:snapToGrid w:val="0"/>
          <w:lang w:val="fr-FR" w:eastAsia="ja-JP"/>
        </w:rPr>
        <w:t> </w:t>
      </w:r>
      <w:r w:rsidR="00193FFC" w:rsidRPr="00CC6682">
        <w:rPr>
          <w:rFonts w:eastAsia="SimSun"/>
          <w:snapToGrid w:val="0"/>
          <w:lang w:val="fr-FR" w:eastAsia="ja-JP"/>
        </w:rPr>
        <w:t>et</w:t>
      </w:r>
      <w:r w:rsidR="00E23047" w:rsidRPr="00CC6682">
        <w:rPr>
          <w:rFonts w:eastAsia="SimSun"/>
          <w:snapToGrid w:val="0"/>
          <w:lang w:val="fr-FR" w:eastAsia="ja-JP"/>
        </w:rPr>
        <w:t> </w:t>
      </w:r>
      <w:r w:rsidR="00193FFC" w:rsidRPr="00CC6682">
        <w:rPr>
          <w:rFonts w:eastAsia="SimSun"/>
          <w:snapToGrid w:val="0"/>
          <w:lang w:val="fr-FR" w:eastAsia="ja-JP"/>
        </w:rPr>
        <w:t>onzième</w:t>
      </w:r>
      <w:r w:rsidR="00CC6D65" w:rsidRPr="00CC6682">
        <w:rPr>
          <w:rFonts w:eastAsia="SimSun"/>
          <w:snapToGrid w:val="0"/>
          <w:lang w:val="fr-FR" w:eastAsia="ja-JP"/>
        </w:rPr>
        <w:t> </w:t>
      </w:r>
      <w:r w:rsidR="00193FFC" w:rsidRPr="00CC6682">
        <w:rPr>
          <w:rFonts w:eastAsia="SimSun"/>
          <w:snapToGrid w:val="0"/>
          <w:lang w:val="fr-FR" w:eastAsia="ja-JP"/>
        </w:rPr>
        <w:t>session</w:t>
      </w:r>
      <w:r w:rsidR="00193FFC" w:rsidRPr="00CC6682">
        <w:rPr>
          <w:rStyle w:val="FootnoteReference"/>
          <w:rFonts w:eastAsia="SimSun"/>
          <w:snapToGrid w:val="0"/>
          <w:lang w:val="fr-FR" w:eastAsia="ja-JP"/>
        </w:rPr>
        <w:footnoteReference w:id="5"/>
      </w:r>
      <w:r w:rsidR="00193FFC" w:rsidRPr="00CC6682">
        <w:rPr>
          <w:rFonts w:eastAsia="SimSun"/>
          <w:snapToGrid w:val="0"/>
          <w:lang w:val="fr-FR" w:eastAsia="ja-JP"/>
        </w:rPr>
        <w:t>, ont noté que les débats sur l</w:t>
      </w:r>
      <w:r w:rsidR="00D44E97" w:rsidRPr="00CC6682">
        <w:rPr>
          <w:rFonts w:eastAsia="SimSun"/>
          <w:snapToGrid w:val="0"/>
          <w:lang w:val="fr-FR" w:eastAsia="ja-JP"/>
        </w:rPr>
        <w:t>’</w:t>
      </w:r>
      <w:r w:rsidR="00193FFC" w:rsidRPr="00CC6682">
        <w:rPr>
          <w:rFonts w:eastAsia="SimSun"/>
          <w:snapToGrid w:val="0"/>
          <w:lang w:val="fr-FR" w:eastAsia="ja-JP"/>
        </w:rPr>
        <w:t xml:space="preserve">inclusion dans le </w:t>
      </w:r>
      <w:r w:rsidR="00D44E97" w:rsidRPr="00CC6682">
        <w:rPr>
          <w:rFonts w:eastAsia="SimSun"/>
          <w:snapToGrid w:val="0"/>
          <w:lang w:val="fr-FR" w:eastAsia="ja-JP"/>
        </w:rPr>
        <w:t>document UP</w:t>
      </w:r>
      <w:r w:rsidR="00193FFC" w:rsidRPr="00CC6682">
        <w:rPr>
          <w:rFonts w:eastAsia="SimSun"/>
          <w:snapToGrid w:val="0"/>
          <w:lang w:val="fr-FR" w:eastAsia="ja-JP"/>
        </w:rPr>
        <w:t>OV/INF/16 du logiciel SISNAVA se poursuivraient au sein</w:t>
      </w:r>
      <w:r w:rsidR="00D44E97" w:rsidRPr="00CC6682">
        <w:rPr>
          <w:rFonts w:eastAsia="SimSun"/>
          <w:snapToGrid w:val="0"/>
          <w:lang w:val="fr-FR" w:eastAsia="ja-JP"/>
        </w:rPr>
        <w:t xml:space="preserve"> du TWC</w:t>
      </w:r>
      <w:r w:rsidR="00193FFC" w:rsidRPr="00CC6682">
        <w:rPr>
          <w:rFonts w:eastAsia="SimSun"/>
          <w:snapToGrid w:val="0"/>
          <w:lang w:val="fr-FR" w:eastAsia="ja-JP"/>
        </w:rPr>
        <w:t>, sous réserve de la conclusion des débats sur la variation des descriptions variétales au fil des ans en différents endroits</w:t>
      </w:r>
      <w:r w:rsidR="00193FFC" w:rsidRPr="00CC6682">
        <w:rPr>
          <w:rStyle w:val="FootnoteReference"/>
          <w:rFonts w:eastAsia="SimSun"/>
          <w:snapToGrid w:val="0"/>
          <w:lang w:val="fr-FR" w:eastAsia="ja-JP"/>
        </w:rPr>
        <w:footnoteReference w:id="6"/>
      </w:r>
      <w:r w:rsidR="00193FFC" w:rsidRPr="00CC6682">
        <w:rPr>
          <w:rFonts w:eastAsia="SimSun"/>
          <w:snapToGrid w:val="0"/>
          <w:lang w:val="fr-FR" w:eastAsia="ja-JP"/>
        </w:rPr>
        <w:t>.</w:t>
      </w:r>
    </w:p>
    <w:p w:rsidR="0065381C" w:rsidRPr="00CC6682" w:rsidRDefault="0065381C" w:rsidP="00CC6682">
      <w:pPr>
        <w:rPr>
          <w:snapToGrid w:val="0"/>
          <w:lang w:val="fr-FR" w:eastAsia="ja-JP"/>
        </w:rPr>
      </w:pPr>
    </w:p>
    <w:p w:rsidR="0065381C" w:rsidRPr="00CC6682" w:rsidRDefault="00DA367F" w:rsidP="00CC6682">
      <w:pPr>
        <w:rPr>
          <w:lang w:val="fr-FR"/>
        </w:rPr>
      </w:pPr>
      <w:r w:rsidRPr="00CC6682">
        <w:rPr>
          <w:lang w:val="fr-FR"/>
        </w:rPr>
        <w:fldChar w:fldCharType="begin"/>
      </w:r>
      <w:r w:rsidRPr="00CC6682">
        <w:rPr>
          <w:lang w:val="fr-FR"/>
        </w:rPr>
        <w:instrText xml:space="preserve"> AUTONUM  </w:instrText>
      </w:r>
      <w:r w:rsidRPr="00CC6682">
        <w:rPr>
          <w:lang w:val="fr-FR"/>
        </w:rPr>
        <w:fldChar w:fldCharType="end"/>
      </w:r>
      <w:r w:rsidRPr="00CC6682">
        <w:rPr>
          <w:lang w:val="fr-FR"/>
        </w:rPr>
        <w:tab/>
      </w:r>
      <w:r w:rsidR="007214C4" w:rsidRPr="00CC6682">
        <w:rPr>
          <w:lang w:val="fr-FR"/>
        </w:rPr>
        <w:t>À sa trente</w:t>
      </w:r>
      <w:r w:rsidR="00E23047" w:rsidRPr="00CC6682">
        <w:rPr>
          <w:lang w:val="fr-FR"/>
        </w:rPr>
        <w:noBreakHyphen/>
      </w:r>
      <w:r w:rsidR="007214C4" w:rsidRPr="00CC6682">
        <w:rPr>
          <w:lang w:val="fr-FR"/>
        </w:rPr>
        <w:t>troisième</w:t>
      </w:r>
      <w:r w:rsidR="00CC6D65" w:rsidRPr="00CC6682">
        <w:rPr>
          <w:lang w:val="fr-FR"/>
        </w:rPr>
        <w:t> </w:t>
      </w:r>
      <w:r w:rsidR="007214C4" w:rsidRPr="00CC6682">
        <w:rPr>
          <w:lang w:val="fr-FR"/>
        </w:rPr>
        <w:t>session</w:t>
      </w:r>
      <w:r w:rsidR="007214C4" w:rsidRPr="00CC6682">
        <w:rPr>
          <w:rStyle w:val="FootnoteReference"/>
          <w:lang w:val="fr-FR"/>
        </w:rPr>
        <w:footnoteReference w:id="7"/>
      </w:r>
      <w:r w:rsidR="007214C4" w:rsidRPr="00CC6682">
        <w:rPr>
          <w:lang w:val="fr-FR"/>
        </w:rPr>
        <w:t>,</w:t>
      </w:r>
      <w:r w:rsidR="00D44E97" w:rsidRPr="00CC6682">
        <w:rPr>
          <w:lang w:val="fr-FR"/>
        </w:rPr>
        <w:t xml:space="preserve"> le TWC</w:t>
      </w:r>
      <w:r w:rsidR="007214C4" w:rsidRPr="00CC6682">
        <w:rPr>
          <w:lang w:val="fr-FR"/>
        </w:rPr>
        <w:t xml:space="preserve"> est convenu que les débats sur l</w:t>
      </w:r>
      <w:r w:rsidR="00D44E97" w:rsidRPr="00CC6682">
        <w:rPr>
          <w:lang w:val="fr-FR"/>
        </w:rPr>
        <w:t>’</w:t>
      </w:r>
      <w:r w:rsidR="007214C4" w:rsidRPr="00CC6682">
        <w:rPr>
          <w:lang w:val="fr-FR"/>
        </w:rPr>
        <w:t xml:space="preserve">inclusion du logiciel SISNAVA dans le document UPOV/INF/16 devraient se poursuivre </w:t>
      </w:r>
      <w:r w:rsidR="007A2249" w:rsidRPr="00CC6682">
        <w:rPr>
          <w:lang w:val="fr-FR"/>
        </w:rPr>
        <w:t>en son sein</w:t>
      </w:r>
      <w:r w:rsidR="007214C4" w:rsidRPr="00CC6682">
        <w:rPr>
          <w:lang w:val="fr-FR"/>
        </w:rPr>
        <w:t>, sous réserve de la conclusion des débats sur la variation des descriptions variétales au fil des ans en différents endroits</w:t>
      </w:r>
      <w:r w:rsidR="007214C4" w:rsidRPr="00CC6682">
        <w:rPr>
          <w:rStyle w:val="FootnoteReference"/>
          <w:lang w:val="fr-FR"/>
        </w:rPr>
        <w:footnoteReference w:id="8"/>
      </w:r>
      <w:r w:rsidR="007214C4" w:rsidRPr="00CC6682">
        <w:rPr>
          <w:lang w:val="fr-FR"/>
        </w:rPr>
        <w:t>.</w:t>
      </w:r>
    </w:p>
    <w:p w:rsidR="0065381C" w:rsidRPr="00CC6682" w:rsidRDefault="0065381C" w:rsidP="00CC6682">
      <w:pPr>
        <w:rPr>
          <w:snapToGrid w:val="0"/>
          <w:lang w:val="fr-FR" w:eastAsia="ja-JP"/>
        </w:rPr>
      </w:pPr>
    </w:p>
    <w:p w:rsidR="0065381C" w:rsidRPr="00CC6682" w:rsidRDefault="00DA367F" w:rsidP="00CC6682">
      <w:pPr>
        <w:rPr>
          <w:snapToGrid w:val="0"/>
          <w:lang w:val="fr-FR" w:eastAsia="ja-JP"/>
        </w:rPr>
      </w:pPr>
      <w:r w:rsidRPr="00CC6682">
        <w:rPr>
          <w:lang w:val="fr-FR"/>
        </w:rPr>
        <w:fldChar w:fldCharType="begin"/>
      </w:r>
      <w:r w:rsidRPr="00CC6682">
        <w:rPr>
          <w:lang w:val="fr-FR"/>
        </w:rPr>
        <w:instrText xml:space="preserve"> AUTONUM  </w:instrText>
      </w:r>
      <w:r w:rsidRPr="00CC6682">
        <w:rPr>
          <w:lang w:val="fr-FR"/>
        </w:rPr>
        <w:fldChar w:fldCharType="end"/>
      </w:r>
      <w:r w:rsidRPr="00CC6682">
        <w:rPr>
          <w:lang w:val="fr-FR"/>
        </w:rPr>
        <w:tab/>
      </w:r>
      <w:r w:rsidR="007214C4" w:rsidRPr="00CC6682">
        <w:rPr>
          <w:lang w:val="fr-FR"/>
        </w:rPr>
        <w:t>À sa cinquante</w:t>
      </w:r>
      <w:r w:rsidR="00E23047" w:rsidRPr="00CC6682">
        <w:rPr>
          <w:lang w:val="fr-FR"/>
        </w:rPr>
        <w:noBreakHyphen/>
      </w:r>
      <w:r w:rsidR="007214C4" w:rsidRPr="00CC6682">
        <w:rPr>
          <w:lang w:val="fr-FR"/>
        </w:rPr>
        <w:t>deuxième</w:t>
      </w:r>
      <w:r w:rsidR="00CC6D65" w:rsidRPr="00CC6682">
        <w:rPr>
          <w:lang w:val="fr-FR"/>
        </w:rPr>
        <w:t> </w:t>
      </w:r>
      <w:r w:rsidR="007214C4" w:rsidRPr="00CC6682">
        <w:rPr>
          <w:lang w:val="fr-FR"/>
        </w:rPr>
        <w:t>session</w:t>
      </w:r>
      <w:r w:rsidR="007214C4" w:rsidRPr="00CC6682">
        <w:rPr>
          <w:rStyle w:val="FootnoteReference"/>
          <w:lang w:val="fr-FR"/>
        </w:rPr>
        <w:footnoteReference w:id="9"/>
      </w:r>
      <w:r w:rsidR="007214C4" w:rsidRPr="00CC6682">
        <w:rPr>
          <w:lang w:val="fr-FR"/>
        </w:rPr>
        <w:t>, le</w:t>
      </w:r>
      <w:r w:rsidR="00D44E97" w:rsidRPr="00CC6682">
        <w:rPr>
          <w:lang w:val="fr-FR"/>
        </w:rPr>
        <w:t> TC</w:t>
      </w:r>
      <w:r w:rsidR="007214C4" w:rsidRPr="00CC6682">
        <w:rPr>
          <w:lang w:val="fr-FR"/>
        </w:rPr>
        <w:t xml:space="preserve"> notera que les débats sur l</w:t>
      </w:r>
      <w:r w:rsidR="00D44E97" w:rsidRPr="00CC6682">
        <w:rPr>
          <w:lang w:val="fr-FR"/>
        </w:rPr>
        <w:t>’</w:t>
      </w:r>
      <w:r w:rsidR="007214C4" w:rsidRPr="00CC6682">
        <w:rPr>
          <w:lang w:val="fr-FR"/>
        </w:rPr>
        <w:t>inclusion dans le document UPOV/INF/16 du logiciel SISNAVA se poursuivront au sein</w:t>
      </w:r>
      <w:r w:rsidR="00D44E97" w:rsidRPr="00CC6682">
        <w:rPr>
          <w:lang w:val="fr-FR"/>
        </w:rPr>
        <w:t xml:space="preserve"> du TWC</w:t>
      </w:r>
      <w:r w:rsidR="007214C4" w:rsidRPr="00CC6682">
        <w:rPr>
          <w:lang w:val="fr-FR"/>
        </w:rPr>
        <w:t>, à sa trente</w:t>
      </w:r>
      <w:r w:rsidR="00E23047" w:rsidRPr="00CC6682">
        <w:rPr>
          <w:lang w:val="fr-FR"/>
        </w:rPr>
        <w:noBreakHyphen/>
      </w:r>
      <w:r w:rsidR="007214C4" w:rsidRPr="00CC6682">
        <w:rPr>
          <w:lang w:val="fr-FR"/>
        </w:rPr>
        <w:t>quatrième</w:t>
      </w:r>
      <w:r w:rsidR="00CC6D65" w:rsidRPr="00CC6682">
        <w:rPr>
          <w:lang w:val="fr-FR"/>
        </w:rPr>
        <w:t> </w:t>
      </w:r>
      <w:r w:rsidR="007214C4" w:rsidRPr="00CC6682">
        <w:rPr>
          <w:lang w:val="fr-FR"/>
        </w:rPr>
        <w:t>session</w:t>
      </w:r>
      <w:r w:rsidR="0046645F" w:rsidRPr="00CC6682">
        <w:rPr>
          <w:lang w:val="fr-FR"/>
        </w:rPr>
        <w:t>,</w:t>
      </w:r>
      <w:r w:rsidR="007214C4" w:rsidRPr="00CC6682">
        <w:rPr>
          <w:lang w:val="fr-FR"/>
        </w:rPr>
        <w:t xml:space="preserve"> en</w:t>
      </w:r>
      <w:r w:rsidR="00CC6D65" w:rsidRPr="00CC6682">
        <w:rPr>
          <w:lang w:val="fr-FR"/>
        </w:rPr>
        <w:t> </w:t>
      </w:r>
      <w:r w:rsidR="007214C4" w:rsidRPr="00CC6682">
        <w:rPr>
          <w:lang w:val="fr-FR"/>
        </w:rPr>
        <w:t>2016.</w:t>
      </w:r>
    </w:p>
    <w:p w:rsidR="0065381C" w:rsidRPr="00A36C86" w:rsidRDefault="0065381C" w:rsidP="00CC6682">
      <w:pPr>
        <w:rPr>
          <w:lang w:val="fr-FR"/>
        </w:rPr>
      </w:pPr>
    </w:p>
    <w:p w:rsidR="0065381C" w:rsidRPr="00CC6682" w:rsidRDefault="003F2AF5" w:rsidP="00035003">
      <w:pPr>
        <w:tabs>
          <w:tab w:val="left" w:pos="5387"/>
        </w:tabs>
        <w:ind w:left="4820"/>
        <w:rPr>
          <w:rFonts w:eastAsia="MS Mincho"/>
          <w:i/>
          <w:lang w:val="fr-FR" w:eastAsia="ja-JP"/>
        </w:rPr>
      </w:pPr>
      <w:r w:rsidRPr="00CC6682">
        <w:rPr>
          <w:rFonts w:eastAsia="MS Mincho"/>
          <w:i/>
          <w:lang w:val="fr-FR"/>
        </w:rPr>
        <w:fldChar w:fldCharType="begin"/>
      </w:r>
      <w:r w:rsidRPr="00CC6682">
        <w:rPr>
          <w:rFonts w:eastAsia="MS Mincho"/>
          <w:i/>
          <w:lang w:val="fr-FR"/>
        </w:rPr>
        <w:instrText xml:space="preserve"> AUTONUM  </w:instrText>
      </w:r>
      <w:r w:rsidRPr="00CC6682">
        <w:rPr>
          <w:rFonts w:eastAsia="MS Mincho"/>
          <w:i/>
          <w:lang w:val="fr-FR"/>
        </w:rPr>
        <w:fldChar w:fldCharType="end"/>
      </w:r>
      <w:r w:rsidR="00392E6B" w:rsidRPr="00CC6682">
        <w:rPr>
          <w:rFonts w:eastAsia="MS Mincho"/>
          <w:i/>
          <w:lang w:val="fr-FR"/>
        </w:rPr>
        <w:tab/>
      </w:r>
      <w:r w:rsidR="00035003" w:rsidRPr="00CC6682">
        <w:rPr>
          <w:rFonts w:eastAsia="MS Mincho"/>
          <w:i/>
          <w:lang w:val="fr-FR"/>
        </w:rPr>
        <w:t>Le CAJ est invité à noter que le</w:t>
      </w:r>
      <w:r w:rsidR="00D44E97" w:rsidRPr="00CC6682">
        <w:rPr>
          <w:rFonts w:eastAsia="MS Mincho"/>
          <w:i/>
          <w:lang w:val="fr-FR"/>
        </w:rPr>
        <w:t> TC</w:t>
      </w:r>
      <w:r w:rsidR="00035003" w:rsidRPr="00CC6682">
        <w:rPr>
          <w:rFonts w:eastAsia="MS Mincho"/>
          <w:i/>
          <w:lang w:val="fr-FR"/>
        </w:rPr>
        <w:t>, à sa cinquante</w:t>
      </w:r>
      <w:r w:rsidR="00E23047" w:rsidRPr="00CC6682">
        <w:rPr>
          <w:rFonts w:eastAsia="MS Mincho"/>
          <w:i/>
          <w:lang w:val="fr-FR"/>
        </w:rPr>
        <w:noBreakHyphen/>
      </w:r>
      <w:r w:rsidR="00035003" w:rsidRPr="00CC6682">
        <w:rPr>
          <w:rFonts w:eastAsia="MS Mincho"/>
          <w:i/>
          <w:lang w:val="fr-FR"/>
        </w:rPr>
        <w:t>deuxième</w:t>
      </w:r>
      <w:r w:rsidR="00CC6D65" w:rsidRPr="00CC6682">
        <w:rPr>
          <w:rFonts w:eastAsia="MS Mincho"/>
          <w:i/>
          <w:lang w:val="fr-FR"/>
        </w:rPr>
        <w:t> </w:t>
      </w:r>
      <w:r w:rsidR="00035003" w:rsidRPr="00CC6682">
        <w:rPr>
          <w:rFonts w:eastAsia="MS Mincho"/>
          <w:i/>
          <w:lang w:val="fr-FR"/>
        </w:rPr>
        <w:t>session qui se tiendra à Genève du 14 au 1</w:t>
      </w:r>
      <w:r w:rsidR="00D44E97" w:rsidRPr="00CC6682">
        <w:rPr>
          <w:rFonts w:eastAsia="MS Mincho"/>
          <w:i/>
          <w:lang w:val="fr-FR"/>
        </w:rPr>
        <w:t>6 mars 20</w:t>
      </w:r>
      <w:r w:rsidR="00035003" w:rsidRPr="00CC6682">
        <w:rPr>
          <w:rFonts w:eastAsia="MS Mincho"/>
          <w:i/>
          <w:lang w:val="fr-FR"/>
        </w:rPr>
        <w:t>1</w:t>
      </w:r>
      <w:r w:rsidR="007A2249" w:rsidRPr="00CC6682">
        <w:rPr>
          <w:rFonts w:eastAsia="MS Mincho"/>
          <w:i/>
          <w:lang w:val="fr-FR"/>
        </w:rPr>
        <w:t>6</w:t>
      </w:r>
      <w:r w:rsidR="00035003" w:rsidRPr="00CC6682">
        <w:rPr>
          <w:rFonts w:eastAsia="MS Mincho"/>
          <w:i/>
          <w:lang w:val="fr-FR"/>
        </w:rPr>
        <w:t>, sera informé que les débats sur l</w:t>
      </w:r>
      <w:r w:rsidR="00D44E97" w:rsidRPr="00CC6682">
        <w:rPr>
          <w:rFonts w:eastAsia="MS Mincho"/>
          <w:i/>
          <w:lang w:val="fr-FR"/>
        </w:rPr>
        <w:t>’</w:t>
      </w:r>
      <w:r w:rsidR="00035003" w:rsidRPr="00CC6682">
        <w:rPr>
          <w:rFonts w:eastAsia="MS Mincho"/>
          <w:i/>
          <w:lang w:val="fr-FR"/>
        </w:rPr>
        <w:t>inclusion dans le document UPOV/INF/16 du logiciel SISNAVA se poursuivront au sein</w:t>
      </w:r>
      <w:r w:rsidR="00D44E97" w:rsidRPr="00CC6682">
        <w:rPr>
          <w:rFonts w:eastAsia="MS Mincho"/>
          <w:i/>
          <w:lang w:val="fr-FR"/>
        </w:rPr>
        <w:t xml:space="preserve"> du TWC</w:t>
      </w:r>
      <w:r w:rsidR="00035003" w:rsidRPr="00CC6682">
        <w:rPr>
          <w:rFonts w:eastAsia="MS Mincho"/>
          <w:i/>
          <w:lang w:val="fr-FR"/>
        </w:rPr>
        <w:t>, à sa trente</w:t>
      </w:r>
      <w:r w:rsidR="00E23047" w:rsidRPr="00CC6682">
        <w:rPr>
          <w:rFonts w:eastAsia="MS Mincho"/>
          <w:i/>
          <w:lang w:val="fr-FR"/>
        </w:rPr>
        <w:noBreakHyphen/>
      </w:r>
      <w:r w:rsidR="00035003" w:rsidRPr="00CC6682">
        <w:rPr>
          <w:rFonts w:eastAsia="MS Mincho"/>
          <w:i/>
          <w:lang w:val="fr-FR"/>
        </w:rPr>
        <w:t>quatrième</w:t>
      </w:r>
      <w:r w:rsidR="00A36C86">
        <w:rPr>
          <w:rFonts w:eastAsia="MS Mincho"/>
          <w:i/>
          <w:lang w:val="fr-FR"/>
        </w:rPr>
        <w:t xml:space="preserve"> </w:t>
      </w:r>
      <w:r w:rsidR="00035003" w:rsidRPr="00CC6682">
        <w:rPr>
          <w:rFonts w:eastAsia="MS Mincho"/>
          <w:i/>
          <w:lang w:val="fr-FR"/>
        </w:rPr>
        <w:t>session</w:t>
      </w:r>
      <w:r w:rsidR="0046645F" w:rsidRPr="00CC6682">
        <w:rPr>
          <w:rFonts w:eastAsia="MS Mincho"/>
          <w:i/>
          <w:lang w:val="fr-FR"/>
        </w:rPr>
        <w:t>,</w:t>
      </w:r>
      <w:r w:rsidR="00035003" w:rsidRPr="00CC6682">
        <w:rPr>
          <w:rFonts w:eastAsia="MS Mincho"/>
          <w:i/>
          <w:lang w:val="fr-FR"/>
        </w:rPr>
        <w:t xml:space="preserve"> en</w:t>
      </w:r>
      <w:r w:rsidR="00CC6D65" w:rsidRPr="00CC6682">
        <w:rPr>
          <w:rFonts w:eastAsia="MS Mincho"/>
          <w:i/>
          <w:lang w:val="fr-FR"/>
        </w:rPr>
        <w:t> </w:t>
      </w:r>
      <w:r w:rsidR="00035003" w:rsidRPr="00CC6682">
        <w:rPr>
          <w:rFonts w:eastAsia="MS Mincho"/>
          <w:i/>
          <w:lang w:val="fr-FR"/>
        </w:rPr>
        <w:t>2016.</w:t>
      </w:r>
    </w:p>
    <w:p w:rsidR="0065381C" w:rsidRPr="00CC6682" w:rsidRDefault="0065381C" w:rsidP="00CC6682">
      <w:pPr>
        <w:jc w:val="right"/>
        <w:rPr>
          <w:lang w:val="fr-FR" w:eastAsia="ja-JP"/>
        </w:rPr>
      </w:pPr>
    </w:p>
    <w:p w:rsidR="0065381C" w:rsidRPr="00CC6682" w:rsidRDefault="0065381C" w:rsidP="00CC6682">
      <w:pPr>
        <w:jc w:val="right"/>
        <w:rPr>
          <w:lang w:val="fr-FR" w:eastAsia="ja-JP"/>
        </w:rPr>
      </w:pPr>
    </w:p>
    <w:p w:rsidR="0065381C" w:rsidRPr="00CC6682" w:rsidRDefault="0065381C" w:rsidP="00CC6682">
      <w:pPr>
        <w:jc w:val="right"/>
        <w:rPr>
          <w:lang w:val="fr-FR" w:eastAsia="ja-JP"/>
        </w:rPr>
      </w:pPr>
    </w:p>
    <w:p w:rsidR="0065381C" w:rsidRPr="00CC6682" w:rsidRDefault="00035003" w:rsidP="00CC6682">
      <w:pPr>
        <w:jc w:val="right"/>
        <w:rPr>
          <w:lang w:val="fr-FR" w:eastAsia="ja-JP"/>
        </w:rPr>
      </w:pPr>
      <w:r w:rsidRPr="00CC6682">
        <w:rPr>
          <w:lang w:val="fr-FR" w:eastAsia="ja-JP"/>
        </w:rPr>
        <w:t>[Fin du document]</w:t>
      </w:r>
    </w:p>
    <w:p w:rsidR="00CC6682" w:rsidRPr="00CC6682" w:rsidRDefault="00CC6682" w:rsidP="00CC6682">
      <w:pPr>
        <w:jc w:val="right"/>
        <w:rPr>
          <w:lang w:val="fr-FR" w:eastAsia="ja-JP"/>
        </w:rPr>
      </w:pPr>
    </w:p>
    <w:sectPr w:rsidR="00CC6682" w:rsidRPr="00CC6682" w:rsidSect="00D44E97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29" w:rsidRDefault="00190529" w:rsidP="006655D3">
      <w:r>
        <w:separator/>
      </w:r>
    </w:p>
    <w:p w:rsidR="00190529" w:rsidRDefault="00190529" w:rsidP="006655D3"/>
    <w:p w:rsidR="00190529" w:rsidRDefault="00190529" w:rsidP="006655D3"/>
  </w:endnote>
  <w:endnote w:type="continuationSeparator" w:id="0">
    <w:p w:rsidR="00190529" w:rsidRDefault="00190529" w:rsidP="006655D3">
      <w:r>
        <w:separator/>
      </w:r>
    </w:p>
    <w:p w:rsidR="00190529" w:rsidRPr="00A83EC7" w:rsidRDefault="00190529">
      <w:pPr>
        <w:pStyle w:val="Footer"/>
        <w:spacing w:after="60"/>
        <w:rPr>
          <w:sz w:val="18"/>
          <w:lang w:val="fr-CH"/>
        </w:rPr>
      </w:pPr>
      <w:r w:rsidRPr="00A83EC7">
        <w:rPr>
          <w:sz w:val="18"/>
          <w:lang w:val="fr-CH"/>
        </w:rPr>
        <w:t>[Suite de la note de la page précédente]</w:t>
      </w:r>
    </w:p>
    <w:p w:rsidR="00190529" w:rsidRPr="00A83EC7" w:rsidRDefault="00190529" w:rsidP="006655D3">
      <w:pPr>
        <w:rPr>
          <w:lang w:val="fr-CH"/>
        </w:rPr>
      </w:pPr>
    </w:p>
    <w:p w:rsidR="00190529" w:rsidRPr="00A83EC7" w:rsidRDefault="00190529" w:rsidP="006655D3">
      <w:pPr>
        <w:rPr>
          <w:lang w:val="fr-CH"/>
        </w:rPr>
      </w:pPr>
    </w:p>
  </w:endnote>
  <w:endnote w:type="continuationNotice" w:id="1">
    <w:p w:rsidR="00190529" w:rsidRPr="00A83EC7" w:rsidRDefault="00190529" w:rsidP="006655D3">
      <w:pPr>
        <w:rPr>
          <w:lang w:val="fr-CH"/>
        </w:rPr>
      </w:pPr>
      <w:r w:rsidRPr="00A83EC7">
        <w:rPr>
          <w:lang w:val="fr-CH"/>
        </w:rPr>
        <w:t>[Suite de la note page suivante]</w:t>
      </w:r>
    </w:p>
    <w:p w:rsidR="00190529" w:rsidRPr="00A83EC7" w:rsidRDefault="00190529" w:rsidP="006655D3">
      <w:pPr>
        <w:rPr>
          <w:lang w:val="fr-CH"/>
        </w:rPr>
      </w:pPr>
    </w:p>
    <w:p w:rsidR="00190529" w:rsidRPr="00A83EC7" w:rsidRDefault="0019052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29" w:rsidRDefault="00190529" w:rsidP="006655D3">
      <w:r>
        <w:separator/>
      </w:r>
    </w:p>
  </w:footnote>
  <w:footnote w:type="continuationSeparator" w:id="0">
    <w:p w:rsidR="00190529" w:rsidRDefault="00190529" w:rsidP="006655D3">
      <w:r>
        <w:separator/>
      </w:r>
    </w:p>
  </w:footnote>
  <w:footnote w:type="continuationNotice" w:id="1">
    <w:p w:rsidR="00190529" w:rsidRPr="00AB530F" w:rsidRDefault="00190529" w:rsidP="00AB530F">
      <w:pPr>
        <w:pStyle w:val="Footer"/>
      </w:pPr>
    </w:p>
  </w:footnote>
  <w:footnote w:id="2">
    <w:p w:rsidR="00193FFC" w:rsidRPr="00CC6682" w:rsidRDefault="00193FFC" w:rsidP="00CC6682">
      <w:pPr>
        <w:pStyle w:val="FootnoteText"/>
        <w:rPr>
          <w:lang w:val="fr-CH"/>
        </w:rPr>
      </w:pPr>
      <w:r w:rsidRPr="00CC6682">
        <w:rPr>
          <w:rStyle w:val="FootnoteReference"/>
        </w:rPr>
        <w:footnoteRef/>
      </w:r>
      <w:r w:rsidRPr="00A36C86">
        <w:rPr>
          <w:lang w:val="fr-FR"/>
        </w:rPr>
        <w:t xml:space="preserve"> </w:t>
      </w:r>
      <w:r w:rsidRPr="00CC6682">
        <w:rPr>
          <w:lang w:val="fr-CH"/>
        </w:rPr>
        <w:tab/>
        <w:t>Tenue à Helsinki</w:t>
      </w:r>
      <w:r w:rsidR="00E23047" w:rsidRPr="00CC6682">
        <w:rPr>
          <w:lang w:val="fr-CH"/>
        </w:rPr>
        <w:t xml:space="preserve"> du 2 au 6 juin </w:t>
      </w:r>
      <w:r w:rsidRPr="00CC6682">
        <w:rPr>
          <w:lang w:val="fr-CH"/>
        </w:rPr>
        <w:t>2014.</w:t>
      </w:r>
    </w:p>
  </w:footnote>
  <w:footnote w:id="3">
    <w:p w:rsidR="00193FFC" w:rsidRPr="00CC6682" w:rsidRDefault="00193FFC" w:rsidP="00CC6682">
      <w:pPr>
        <w:pStyle w:val="FootnoteText"/>
        <w:rPr>
          <w:lang w:val="fr-CH"/>
        </w:rPr>
      </w:pPr>
      <w:r w:rsidRPr="00CC6682">
        <w:rPr>
          <w:rStyle w:val="FootnoteReference"/>
        </w:rPr>
        <w:footnoteRef/>
      </w:r>
      <w:r w:rsidRPr="00A36C86">
        <w:rPr>
          <w:lang w:val="fr-FR"/>
        </w:rPr>
        <w:t xml:space="preserve"> </w:t>
      </w:r>
      <w:r w:rsidR="00E23047" w:rsidRPr="00CC6682">
        <w:rPr>
          <w:lang w:val="fr-CH"/>
        </w:rPr>
        <w:tab/>
        <w:t>Voir le paragraphe </w:t>
      </w:r>
      <w:r w:rsidRPr="00CC6682">
        <w:rPr>
          <w:lang w:val="fr-CH"/>
        </w:rPr>
        <w:t>87 du document TWC/32/28 “</w:t>
      </w:r>
      <w:r w:rsidRPr="00871D66">
        <w:rPr>
          <w:i/>
          <w:lang w:val="fr-CH"/>
        </w:rPr>
        <w:t>Report</w:t>
      </w:r>
      <w:r w:rsidRPr="00CC6682">
        <w:rPr>
          <w:lang w:val="fr-CH"/>
        </w:rPr>
        <w:t>”.</w:t>
      </w:r>
    </w:p>
  </w:footnote>
  <w:footnote w:id="4">
    <w:p w:rsidR="00193FFC" w:rsidRPr="00CC6682" w:rsidRDefault="00193FFC" w:rsidP="00CC6682">
      <w:pPr>
        <w:pStyle w:val="FootnoteText"/>
        <w:rPr>
          <w:lang w:val="fr-CH"/>
        </w:rPr>
      </w:pPr>
      <w:r w:rsidRPr="00CC6682">
        <w:rPr>
          <w:rStyle w:val="FootnoteReference"/>
        </w:rPr>
        <w:footnoteRef/>
      </w:r>
      <w:r w:rsidRPr="00A36C86">
        <w:rPr>
          <w:lang w:val="fr-FR"/>
        </w:rPr>
        <w:t xml:space="preserve"> </w:t>
      </w:r>
      <w:r w:rsidRPr="00CC6682">
        <w:rPr>
          <w:lang w:val="fr-CH"/>
        </w:rPr>
        <w:tab/>
      </w:r>
      <w:r w:rsidR="00E23047" w:rsidRPr="00CC6682">
        <w:rPr>
          <w:lang w:val="fr-CH"/>
        </w:rPr>
        <w:t>Tenue à Genève du 23 au 25 mars </w:t>
      </w:r>
      <w:r w:rsidRPr="00CC6682">
        <w:rPr>
          <w:lang w:val="fr-CH"/>
        </w:rPr>
        <w:t>2015.</w:t>
      </w:r>
    </w:p>
  </w:footnote>
  <w:footnote w:id="5">
    <w:p w:rsidR="00193FFC" w:rsidRPr="00CC6682" w:rsidRDefault="00193FFC" w:rsidP="00CC6682">
      <w:pPr>
        <w:pStyle w:val="FootnoteText"/>
        <w:rPr>
          <w:lang w:val="fr-CH"/>
        </w:rPr>
      </w:pPr>
      <w:r w:rsidRPr="00CC6682">
        <w:rPr>
          <w:rStyle w:val="FootnoteReference"/>
        </w:rPr>
        <w:footnoteRef/>
      </w:r>
      <w:r w:rsidRPr="00A36C86">
        <w:rPr>
          <w:lang w:val="fr-FR"/>
        </w:rPr>
        <w:t xml:space="preserve"> </w:t>
      </w:r>
      <w:r w:rsidRPr="00CC6682">
        <w:rPr>
          <w:lang w:val="fr-CH"/>
        </w:rPr>
        <w:tab/>
      </w:r>
      <w:r w:rsidR="00E23047" w:rsidRPr="00CC6682">
        <w:rPr>
          <w:lang w:val="fr-CH"/>
        </w:rPr>
        <w:t>Tenue à Genève le 26 mars </w:t>
      </w:r>
      <w:r w:rsidRPr="00CC6682">
        <w:rPr>
          <w:lang w:val="fr-CH"/>
        </w:rPr>
        <w:t>2015.</w:t>
      </w:r>
    </w:p>
  </w:footnote>
  <w:footnote w:id="6">
    <w:p w:rsidR="00193FFC" w:rsidRPr="00CC6682" w:rsidRDefault="00193FFC" w:rsidP="00CC6682">
      <w:pPr>
        <w:pStyle w:val="FootnoteText"/>
        <w:rPr>
          <w:lang w:val="fr-CH"/>
        </w:rPr>
      </w:pPr>
      <w:r w:rsidRPr="00CC6682">
        <w:rPr>
          <w:rStyle w:val="FootnoteReference"/>
        </w:rPr>
        <w:footnoteRef/>
      </w:r>
      <w:r w:rsidRPr="00A36C86">
        <w:rPr>
          <w:lang w:val="fr-FR"/>
        </w:rPr>
        <w:t xml:space="preserve"> </w:t>
      </w:r>
      <w:r w:rsidRPr="00CC6682">
        <w:rPr>
          <w:lang w:val="fr-CH"/>
        </w:rPr>
        <w:tab/>
      </w:r>
      <w:r w:rsidR="00E23047" w:rsidRPr="00CC6682">
        <w:rPr>
          <w:lang w:val="fr-CH"/>
        </w:rPr>
        <w:t>Voir le paragraphe </w:t>
      </w:r>
      <w:r w:rsidR="007214C4" w:rsidRPr="00CC6682">
        <w:rPr>
          <w:lang w:val="fr-CH"/>
        </w:rPr>
        <w:t>205 du document TC/51/39 “</w:t>
      </w:r>
      <w:r w:rsidR="004328EE" w:rsidRPr="00CC6682">
        <w:rPr>
          <w:lang w:val="fr-CH"/>
        </w:rPr>
        <w:t>Compte rendu</w:t>
      </w:r>
      <w:r w:rsidR="00E23047" w:rsidRPr="00CC6682">
        <w:rPr>
          <w:lang w:val="fr-CH"/>
        </w:rPr>
        <w:t>” et le paragraphe </w:t>
      </w:r>
      <w:r w:rsidR="007214C4" w:rsidRPr="00CC6682">
        <w:rPr>
          <w:lang w:val="fr-CH"/>
        </w:rPr>
        <w:t>57 du document CAJ/71/</w:t>
      </w:r>
      <w:r w:rsidR="00BD555C" w:rsidRPr="00CC6682">
        <w:rPr>
          <w:lang w:val="fr-CH"/>
        </w:rPr>
        <w:t>10</w:t>
      </w:r>
      <w:r w:rsidR="007214C4" w:rsidRPr="00CC6682">
        <w:rPr>
          <w:lang w:val="fr-CH"/>
        </w:rPr>
        <w:t xml:space="preserve"> “Compte rendu des conclusions”.</w:t>
      </w:r>
    </w:p>
  </w:footnote>
  <w:footnote w:id="7">
    <w:p w:rsidR="007214C4" w:rsidRPr="00CC6682" w:rsidRDefault="007214C4" w:rsidP="00CC6682">
      <w:pPr>
        <w:pStyle w:val="FootnoteText"/>
        <w:rPr>
          <w:lang w:val="fr-CH"/>
        </w:rPr>
      </w:pPr>
      <w:r w:rsidRPr="00CC6682">
        <w:rPr>
          <w:rStyle w:val="FootnoteReference"/>
        </w:rPr>
        <w:footnoteRef/>
      </w:r>
      <w:r w:rsidRPr="00A36C86">
        <w:rPr>
          <w:lang w:val="fr-FR"/>
        </w:rPr>
        <w:t xml:space="preserve"> </w:t>
      </w:r>
      <w:r w:rsidRPr="00CC6682">
        <w:rPr>
          <w:lang w:val="fr-CH"/>
        </w:rPr>
        <w:tab/>
      </w:r>
      <w:r w:rsidR="0046645F" w:rsidRPr="00CC6682">
        <w:rPr>
          <w:lang w:val="fr-CH"/>
        </w:rPr>
        <w:t>Tenue à Natal (Brésil)</w:t>
      </w:r>
      <w:r w:rsidRPr="00CC6682">
        <w:rPr>
          <w:lang w:val="fr-CH"/>
        </w:rPr>
        <w:t xml:space="preserve"> du 30</w:t>
      </w:r>
      <w:r w:rsidR="00E23047" w:rsidRPr="00CC6682">
        <w:rPr>
          <w:lang w:val="fr-CH"/>
        </w:rPr>
        <w:t> </w:t>
      </w:r>
      <w:r w:rsidRPr="00CC6682">
        <w:rPr>
          <w:lang w:val="fr-CH"/>
        </w:rPr>
        <w:t>juin au 3</w:t>
      </w:r>
      <w:r w:rsidR="00E23047" w:rsidRPr="00CC6682">
        <w:rPr>
          <w:lang w:val="fr-CH"/>
        </w:rPr>
        <w:t> </w:t>
      </w:r>
      <w:r w:rsidRPr="00CC6682">
        <w:rPr>
          <w:lang w:val="fr-CH"/>
        </w:rPr>
        <w:t>juillet</w:t>
      </w:r>
      <w:r w:rsidR="00E23047" w:rsidRPr="00CC6682">
        <w:rPr>
          <w:lang w:val="fr-CH"/>
        </w:rPr>
        <w:t> </w:t>
      </w:r>
      <w:r w:rsidRPr="00CC6682">
        <w:rPr>
          <w:lang w:val="fr-CH"/>
        </w:rPr>
        <w:t>2015.</w:t>
      </w:r>
    </w:p>
  </w:footnote>
  <w:footnote w:id="8">
    <w:p w:rsidR="007214C4" w:rsidRPr="00CC6682" w:rsidRDefault="007214C4" w:rsidP="00CC6682">
      <w:pPr>
        <w:pStyle w:val="FootnoteText"/>
        <w:rPr>
          <w:lang w:val="fr-CH"/>
        </w:rPr>
      </w:pPr>
      <w:r w:rsidRPr="00CC6682">
        <w:rPr>
          <w:rStyle w:val="FootnoteReference"/>
        </w:rPr>
        <w:footnoteRef/>
      </w:r>
      <w:r w:rsidRPr="00A36C86">
        <w:rPr>
          <w:lang w:val="fr-FR"/>
        </w:rPr>
        <w:t xml:space="preserve"> </w:t>
      </w:r>
      <w:r w:rsidRPr="00CC6682">
        <w:rPr>
          <w:lang w:val="fr-CH"/>
        </w:rPr>
        <w:tab/>
        <w:t>Voir le paragra</w:t>
      </w:r>
      <w:r w:rsidR="00E23047" w:rsidRPr="00CC6682">
        <w:rPr>
          <w:lang w:val="fr-CH"/>
        </w:rPr>
        <w:t>phe </w:t>
      </w:r>
      <w:r w:rsidRPr="00CC6682">
        <w:rPr>
          <w:lang w:val="fr-CH"/>
        </w:rPr>
        <w:t>98 du document TWC/33/30 “</w:t>
      </w:r>
      <w:r w:rsidRPr="00871D66">
        <w:rPr>
          <w:i/>
          <w:lang w:val="fr-CH"/>
        </w:rPr>
        <w:t>Report</w:t>
      </w:r>
      <w:r w:rsidRPr="00CC6682">
        <w:rPr>
          <w:lang w:val="fr-CH"/>
        </w:rPr>
        <w:t>”.</w:t>
      </w:r>
    </w:p>
  </w:footnote>
  <w:footnote w:id="9">
    <w:p w:rsidR="007214C4" w:rsidRPr="00CC6682" w:rsidRDefault="007214C4" w:rsidP="00CC6682">
      <w:pPr>
        <w:pStyle w:val="FootnoteText"/>
        <w:rPr>
          <w:lang w:val="fr-CH"/>
        </w:rPr>
      </w:pPr>
      <w:r w:rsidRPr="00CC6682">
        <w:rPr>
          <w:rStyle w:val="FootnoteReference"/>
        </w:rPr>
        <w:footnoteRef/>
      </w:r>
      <w:r w:rsidRPr="00A36C86">
        <w:rPr>
          <w:lang w:val="fr-FR"/>
        </w:rPr>
        <w:t xml:space="preserve"> </w:t>
      </w:r>
      <w:r w:rsidRPr="00CC6682">
        <w:rPr>
          <w:lang w:val="fr-CH"/>
        </w:rPr>
        <w:tab/>
      </w:r>
      <w:r w:rsidR="00E23047" w:rsidRPr="00CC6682">
        <w:rPr>
          <w:lang w:val="fr-CH"/>
        </w:rPr>
        <w:t>Prévue à Genève du 14 au 16 mars </w:t>
      </w:r>
      <w:r w:rsidRPr="00CC6682">
        <w:rPr>
          <w:lang w:val="fr-CH"/>
        </w:rPr>
        <w:t>2016.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0529" w:rsidRPr="00C5280D" w:rsidRDefault="00190529" w:rsidP="00EB048E">
    <w:pPr>
      <w:pStyle w:val="Header"/>
      <w:rPr>
        <w:rStyle w:val="PageNumber"/>
        <w:lang w:val="en-US"/>
      </w:rPr>
    </w:pPr>
    <w:r>
      <w:rPr>
        <w:lang w:eastAsia="ja-JP"/>
      </w:rPr>
      <w:t>CAJ/7</w:t>
    </w:r>
    <w:r w:rsidR="0061529B">
      <w:rPr>
        <w:rFonts w:hint="eastAsia"/>
        <w:lang w:eastAsia="ja-JP"/>
      </w:rPr>
      <w:t>2</w:t>
    </w:r>
    <w:r>
      <w:rPr>
        <w:lang w:eastAsia="ja-JP"/>
      </w:rPr>
      <w:t>/</w:t>
    </w:r>
    <w:r w:rsidR="0061529B">
      <w:rPr>
        <w:rFonts w:hint="eastAsia"/>
        <w:lang w:eastAsia="ja-JP"/>
      </w:rPr>
      <w:t>7</w:t>
    </w:r>
  </w:p>
  <w:p w:rsidR="00190529" w:rsidRPr="00C5280D" w:rsidRDefault="0019052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1454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90529" w:rsidRPr="00C5280D" w:rsidRDefault="0019052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9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4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7"/>
  </w:num>
  <w:num w:numId="5">
    <w:abstractNumId w:val="9"/>
  </w:num>
  <w:num w:numId="6">
    <w:abstractNumId w:val="1"/>
  </w:num>
  <w:num w:numId="7">
    <w:abstractNumId w:val="20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15"/>
  </w:num>
  <w:num w:numId="18">
    <w:abstractNumId w:val="7"/>
  </w:num>
  <w:num w:numId="19">
    <w:abstractNumId w:val="12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Duplicates DB|WIPONew|UPOV_Beta|PreTradBeta|FTS_Glossary"/>
    <w:docVar w:name="TermBaseURL" w:val="empty"/>
    <w:docVar w:name="TextBases" w:val="Team Server TMs\Default|TextBase TMs\UPOV\Meetings|TextBase TMs\UPOV\Other|TextBase TMs\UPOV\Publications|TextBase TMs\UPOV\Technical Guidelines|TextBase TMs\Treaties\Model Laws|TextBase TMs\Treaties\Other Laws and Agreements|TextBase TMs\Treaties\WIPO-administered|TextBase TMs\Trademarks\Meetings|TextBase TMs\Trademarks\Other|TextBase TMs\Trademarks\Publications|TextBase TMs\Patents\Meetings|TextBase TMs\Patents\Other|TextBase TMs\Patents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|TextBase TMs\Glossaries\EN-FR|TextBase TMs\Copyright\Meetings|TextBase TMs\Copyright\Other|TextBase TMs\Copyright\Publications|TextBase TMs\Budget and Finance\Meetings|TextBase TMs\Budget and Finance\Other|TextBase TMs\Budget and Finance\Publications|TextBase TMs\Administrative\Meetings|TextBase TMs\Administrative\Other|TextBase TMs\Administrative\Publications|TextBase TMs\WorkspaceFTS\EN-FR\ACE|TextBase TMs\WorkspaceFTS\EN-FR\Administratif|TextBase TMs\WorkspaceFTS\EN-FR\AMC|TextBase TMs\WorkspaceFTS\EN-FR\Assemblées|TextBase TMs\WorkspaceFTS\EN-FR\Budapest|TextBase TMs\WorkspaceFTS\EN-FR\CDIP|TextBase TMs\WorkspaceFTS\EN-FR\CWS|TextBase TMs\WorkspaceFTS\EN-FR\Divers|TextBase TMs\WorkspaceFTS\EN-FR\GRTKF|TextBase TMs\WorkspaceFTS\EN-FR\Hague|TextBase TMs\WorkspaceFTS\EN-FR\IPC|TextBase TMs\WorkspaceFTS\EN-FR\Lisbonne|TextBase TMs\WorkspaceFTS\EN-FR\Madrid|TextBase TMs\WorkspaceFTS\EN-FR\PCT|TextBase TMs\WorkspaceFTS\EN-FR\PLT|TextBase TMs\WorkspaceFTS\EN-FR\SCCR|TextBase TMs\WorkspaceFTS\EN-FR\SCP|TextBase TMs\WorkspaceFTS\EN-FR\SCT|TextBase TMs\WorkspaceFTS\EN-FR\UPOV|TextBase TMs\WorkspaceFTS\EN-FR\WO_CC|TextBase TMs\WorkspaceFTS\EN-FR\WO_GA|TextBase TMs\WorkspaceFTS\EN-FR\WO_PBC"/>
    <w:docVar w:name="TextBaseURL" w:val="empty"/>
    <w:docVar w:name="UILng" w:val="en"/>
  </w:docVars>
  <w:rsids>
    <w:rsidRoot w:val="00F1772C"/>
    <w:rsid w:val="00005232"/>
    <w:rsid w:val="00010CF3"/>
    <w:rsid w:val="00011E27"/>
    <w:rsid w:val="000148BC"/>
    <w:rsid w:val="0002272C"/>
    <w:rsid w:val="00024AB8"/>
    <w:rsid w:val="00030854"/>
    <w:rsid w:val="00031850"/>
    <w:rsid w:val="000337F7"/>
    <w:rsid w:val="00034BA7"/>
    <w:rsid w:val="00035003"/>
    <w:rsid w:val="00036028"/>
    <w:rsid w:val="000366A7"/>
    <w:rsid w:val="00041DF3"/>
    <w:rsid w:val="00042407"/>
    <w:rsid w:val="00043EDF"/>
    <w:rsid w:val="00044642"/>
    <w:rsid w:val="000446B9"/>
    <w:rsid w:val="00047E21"/>
    <w:rsid w:val="00050761"/>
    <w:rsid w:val="00050E16"/>
    <w:rsid w:val="00052B3A"/>
    <w:rsid w:val="00055601"/>
    <w:rsid w:val="000652B5"/>
    <w:rsid w:val="00067E84"/>
    <w:rsid w:val="000700B9"/>
    <w:rsid w:val="00073958"/>
    <w:rsid w:val="0007433E"/>
    <w:rsid w:val="00074715"/>
    <w:rsid w:val="00082E62"/>
    <w:rsid w:val="00084107"/>
    <w:rsid w:val="00085505"/>
    <w:rsid w:val="000A3236"/>
    <w:rsid w:val="000C67D8"/>
    <w:rsid w:val="000C7021"/>
    <w:rsid w:val="000D6BBC"/>
    <w:rsid w:val="000D7780"/>
    <w:rsid w:val="000D7AC1"/>
    <w:rsid w:val="000F2F11"/>
    <w:rsid w:val="000F46B1"/>
    <w:rsid w:val="0010345B"/>
    <w:rsid w:val="00105929"/>
    <w:rsid w:val="001131D5"/>
    <w:rsid w:val="001250BB"/>
    <w:rsid w:val="00141DB8"/>
    <w:rsid w:val="00162F2E"/>
    <w:rsid w:val="001635D0"/>
    <w:rsid w:val="0016448F"/>
    <w:rsid w:val="00170DAE"/>
    <w:rsid w:val="0017474A"/>
    <w:rsid w:val="001758C6"/>
    <w:rsid w:val="00176CB7"/>
    <w:rsid w:val="00182090"/>
    <w:rsid w:val="00182B99"/>
    <w:rsid w:val="00190529"/>
    <w:rsid w:val="00190732"/>
    <w:rsid w:val="00193FFC"/>
    <w:rsid w:val="001A6B50"/>
    <w:rsid w:val="001B135C"/>
    <w:rsid w:val="001B1A8A"/>
    <w:rsid w:val="001B67A4"/>
    <w:rsid w:val="001B7B7A"/>
    <w:rsid w:val="001C7836"/>
    <w:rsid w:val="001C799D"/>
    <w:rsid w:val="001E3E24"/>
    <w:rsid w:val="001E6080"/>
    <w:rsid w:val="001E7913"/>
    <w:rsid w:val="001F078E"/>
    <w:rsid w:val="001F2D02"/>
    <w:rsid w:val="001F7513"/>
    <w:rsid w:val="002012C8"/>
    <w:rsid w:val="002021CF"/>
    <w:rsid w:val="0021332C"/>
    <w:rsid w:val="00213982"/>
    <w:rsid w:val="00220CE5"/>
    <w:rsid w:val="002242BB"/>
    <w:rsid w:val="00226278"/>
    <w:rsid w:val="002301C3"/>
    <w:rsid w:val="00237B4C"/>
    <w:rsid w:val="00243A38"/>
    <w:rsid w:val="0024416D"/>
    <w:rsid w:val="002549D8"/>
    <w:rsid w:val="00256290"/>
    <w:rsid w:val="00256CF8"/>
    <w:rsid w:val="00257AD4"/>
    <w:rsid w:val="002602E7"/>
    <w:rsid w:val="00271911"/>
    <w:rsid w:val="00272C1C"/>
    <w:rsid w:val="00275968"/>
    <w:rsid w:val="002800A0"/>
    <w:rsid w:val="002801B3"/>
    <w:rsid w:val="00281060"/>
    <w:rsid w:val="00284BE3"/>
    <w:rsid w:val="002940E8"/>
    <w:rsid w:val="002941C6"/>
    <w:rsid w:val="002955CC"/>
    <w:rsid w:val="00295C18"/>
    <w:rsid w:val="002A02C4"/>
    <w:rsid w:val="002A1858"/>
    <w:rsid w:val="002A6E50"/>
    <w:rsid w:val="002B1252"/>
    <w:rsid w:val="002B485F"/>
    <w:rsid w:val="002C256A"/>
    <w:rsid w:val="002C2A73"/>
    <w:rsid w:val="002C42DB"/>
    <w:rsid w:val="002C4757"/>
    <w:rsid w:val="002F2BB8"/>
    <w:rsid w:val="00304B3B"/>
    <w:rsid w:val="00305A7F"/>
    <w:rsid w:val="00311589"/>
    <w:rsid w:val="0031227F"/>
    <w:rsid w:val="003152FE"/>
    <w:rsid w:val="00327436"/>
    <w:rsid w:val="00334A02"/>
    <w:rsid w:val="0033729B"/>
    <w:rsid w:val="00344BD6"/>
    <w:rsid w:val="003453C8"/>
    <w:rsid w:val="003500A0"/>
    <w:rsid w:val="0035528D"/>
    <w:rsid w:val="00361077"/>
    <w:rsid w:val="00361821"/>
    <w:rsid w:val="00362D8F"/>
    <w:rsid w:val="003656A0"/>
    <w:rsid w:val="00371A01"/>
    <w:rsid w:val="0037703A"/>
    <w:rsid w:val="00383029"/>
    <w:rsid w:val="00392E6B"/>
    <w:rsid w:val="0039765C"/>
    <w:rsid w:val="003A4754"/>
    <w:rsid w:val="003B0D4B"/>
    <w:rsid w:val="003B3A1B"/>
    <w:rsid w:val="003C2EE5"/>
    <w:rsid w:val="003D227C"/>
    <w:rsid w:val="003D2B4D"/>
    <w:rsid w:val="003D5119"/>
    <w:rsid w:val="003E70DA"/>
    <w:rsid w:val="003E7C7A"/>
    <w:rsid w:val="003F1D01"/>
    <w:rsid w:val="003F28C1"/>
    <w:rsid w:val="003F2AF5"/>
    <w:rsid w:val="004046E7"/>
    <w:rsid w:val="00420300"/>
    <w:rsid w:val="004241A9"/>
    <w:rsid w:val="00425CA4"/>
    <w:rsid w:val="00426DE8"/>
    <w:rsid w:val="004328EE"/>
    <w:rsid w:val="00432C0F"/>
    <w:rsid w:val="004438B4"/>
    <w:rsid w:val="00444A88"/>
    <w:rsid w:val="00462D88"/>
    <w:rsid w:val="0046645F"/>
    <w:rsid w:val="00467A5E"/>
    <w:rsid w:val="00472F53"/>
    <w:rsid w:val="00473CCA"/>
    <w:rsid w:val="00474DA4"/>
    <w:rsid w:val="00476B4D"/>
    <w:rsid w:val="004805FA"/>
    <w:rsid w:val="004822AA"/>
    <w:rsid w:val="00491EE2"/>
    <w:rsid w:val="004B04F6"/>
    <w:rsid w:val="004B67F7"/>
    <w:rsid w:val="004B7A17"/>
    <w:rsid w:val="004C09B2"/>
    <w:rsid w:val="004D047D"/>
    <w:rsid w:val="004D4442"/>
    <w:rsid w:val="004D54D1"/>
    <w:rsid w:val="004E1977"/>
    <w:rsid w:val="004F305A"/>
    <w:rsid w:val="004F4AB4"/>
    <w:rsid w:val="00501EDA"/>
    <w:rsid w:val="00512164"/>
    <w:rsid w:val="00520297"/>
    <w:rsid w:val="00520577"/>
    <w:rsid w:val="005332DD"/>
    <w:rsid w:val="005338F9"/>
    <w:rsid w:val="00537BE4"/>
    <w:rsid w:val="0054281C"/>
    <w:rsid w:val="00551D0A"/>
    <w:rsid w:val="0055268D"/>
    <w:rsid w:val="00566132"/>
    <w:rsid w:val="00567A9C"/>
    <w:rsid w:val="00574550"/>
    <w:rsid w:val="00576BE4"/>
    <w:rsid w:val="005A400A"/>
    <w:rsid w:val="005B1788"/>
    <w:rsid w:val="005D08A5"/>
    <w:rsid w:val="005D274A"/>
    <w:rsid w:val="005D360B"/>
    <w:rsid w:val="005E4A9B"/>
    <w:rsid w:val="005F358E"/>
    <w:rsid w:val="00607B02"/>
    <w:rsid w:val="00612379"/>
    <w:rsid w:val="00614170"/>
    <w:rsid w:val="00614541"/>
    <w:rsid w:val="0061529B"/>
    <w:rsid w:val="0061555F"/>
    <w:rsid w:val="006161C2"/>
    <w:rsid w:val="00621050"/>
    <w:rsid w:val="00622AB9"/>
    <w:rsid w:val="00622E92"/>
    <w:rsid w:val="00630931"/>
    <w:rsid w:val="00630FF8"/>
    <w:rsid w:val="00635FD0"/>
    <w:rsid w:val="00640020"/>
    <w:rsid w:val="00641200"/>
    <w:rsid w:val="00641D6D"/>
    <w:rsid w:val="0065381C"/>
    <w:rsid w:val="006655D3"/>
    <w:rsid w:val="00667404"/>
    <w:rsid w:val="00667BE2"/>
    <w:rsid w:val="006716FC"/>
    <w:rsid w:val="00672912"/>
    <w:rsid w:val="00675000"/>
    <w:rsid w:val="00675657"/>
    <w:rsid w:val="00681E7A"/>
    <w:rsid w:val="00687EB4"/>
    <w:rsid w:val="006944A7"/>
    <w:rsid w:val="006973DD"/>
    <w:rsid w:val="006977C9"/>
    <w:rsid w:val="006B17D2"/>
    <w:rsid w:val="006B43B1"/>
    <w:rsid w:val="006C224E"/>
    <w:rsid w:val="006D3965"/>
    <w:rsid w:val="006D6EBC"/>
    <w:rsid w:val="006D780A"/>
    <w:rsid w:val="006E4599"/>
    <w:rsid w:val="006F639C"/>
    <w:rsid w:val="007025E4"/>
    <w:rsid w:val="00706943"/>
    <w:rsid w:val="00711565"/>
    <w:rsid w:val="007142AA"/>
    <w:rsid w:val="00714D2E"/>
    <w:rsid w:val="007214C4"/>
    <w:rsid w:val="007217A5"/>
    <w:rsid w:val="00730EFE"/>
    <w:rsid w:val="00732DEC"/>
    <w:rsid w:val="00735BD5"/>
    <w:rsid w:val="00750444"/>
    <w:rsid w:val="007556F6"/>
    <w:rsid w:val="0075638F"/>
    <w:rsid w:val="007573C8"/>
    <w:rsid w:val="00760EEF"/>
    <w:rsid w:val="00763200"/>
    <w:rsid w:val="00763B8C"/>
    <w:rsid w:val="00777B77"/>
    <w:rsid w:val="00777EE5"/>
    <w:rsid w:val="00784836"/>
    <w:rsid w:val="0079023E"/>
    <w:rsid w:val="0079492B"/>
    <w:rsid w:val="007A2249"/>
    <w:rsid w:val="007A2854"/>
    <w:rsid w:val="007A5F5C"/>
    <w:rsid w:val="007B1FF6"/>
    <w:rsid w:val="007C69BC"/>
    <w:rsid w:val="007D0B9D"/>
    <w:rsid w:val="007D19B0"/>
    <w:rsid w:val="007D2FAE"/>
    <w:rsid w:val="007D43BB"/>
    <w:rsid w:val="007E4F44"/>
    <w:rsid w:val="007F051A"/>
    <w:rsid w:val="007F498F"/>
    <w:rsid w:val="0080241B"/>
    <w:rsid w:val="0080679D"/>
    <w:rsid w:val="008108B0"/>
    <w:rsid w:val="00810A16"/>
    <w:rsid w:val="00811B20"/>
    <w:rsid w:val="0082296E"/>
    <w:rsid w:val="00824099"/>
    <w:rsid w:val="00831C0C"/>
    <w:rsid w:val="00846A95"/>
    <w:rsid w:val="00852964"/>
    <w:rsid w:val="0085736A"/>
    <w:rsid w:val="00861F61"/>
    <w:rsid w:val="00867AC1"/>
    <w:rsid w:val="00871D66"/>
    <w:rsid w:val="00873E8F"/>
    <w:rsid w:val="00896974"/>
    <w:rsid w:val="008A5FF4"/>
    <w:rsid w:val="008A743F"/>
    <w:rsid w:val="008B5736"/>
    <w:rsid w:val="008C0970"/>
    <w:rsid w:val="008C2159"/>
    <w:rsid w:val="008C35F9"/>
    <w:rsid w:val="008C707F"/>
    <w:rsid w:val="008D2902"/>
    <w:rsid w:val="008D2CF7"/>
    <w:rsid w:val="008D40BE"/>
    <w:rsid w:val="00900C26"/>
    <w:rsid w:val="0090197F"/>
    <w:rsid w:val="00906DDC"/>
    <w:rsid w:val="00934708"/>
    <w:rsid w:val="00934E09"/>
    <w:rsid w:val="009353D3"/>
    <w:rsid w:val="00936253"/>
    <w:rsid w:val="00952DD4"/>
    <w:rsid w:val="0096084D"/>
    <w:rsid w:val="00962F67"/>
    <w:rsid w:val="00967215"/>
    <w:rsid w:val="00970FED"/>
    <w:rsid w:val="0097523A"/>
    <w:rsid w:val="0097711C"/>
    <w:rsid w:val="00992D82"/>
    <w:rsid w:val="00997029"/>
    <w:rsid w:val="009A71AB"/>
    <w:rsid w:val="009C667A"/>
    <w:rsid w:val="009D0EE7"/>
    <w:rsid w:val="009D690D"/>
    <w:rsid w:val="009E65B6"/>
    <w:rsid w:val="009F28C2"/>
    <w:rsid w:val="00A23ED1"/>
    <w:rsid w:val="00A24C10"/>
    <w:rsid w:val="00A26403"/>
    <w:rsid w:val="00A36C86"/>
    <w:rsid w:val="00A42AC3"/>
    <w:rsid w:val="00A43054"/>
    <w:rsid w:val="00A430CF"/>
    <w:rsid w:val="00A45FAD"/>
    <w:rsid w:val="00A52A4E"/>
    <w:rsid w:val="00A54309"/>
    <w:rsid w:val="00A56756"/>
    <w:rsid w:val="00A634DE"/>
    <w:rsid w:val="00A716A5"/>
    <w:rsid w:val="00A83EC7"/>
    <w:rsid w:val="00A90284"/>
    <w:rsid w:val="00A952BF"/>
    <w:rsid w:val="00AA2373"/>
    <w:rsid w:val="00AB2B93"/>
    <w:rsid w:val="00AB474A"/>
    <w:rsid w:val="00AB530F"/>
    <w:rsid w:val="00AB7E5B"/>
    <w:rsid w:val="00AD08F5"/>
    <w:rsid w:val="00AD64D4"/>
    <w:rsid w:val="00AE0EF1"/>
    <w:rsid w:val="00AE2937"/>
    <w:rsid w:val="00AE356E"/>
    <w:rsid w:val="00AE3E8A"/>
    <w:rsid w:val="00B07301"/>
    <w:rsid w:val="00B10E5D"/>
    <w:rsid w:val="00B2228E"/>
    <w:rsid w:val="00B224DE"/>
    <w:rsid w:val="00B266AB"/>
    <w:rsid w:val="00B27E20"/>
    <w:rsid w:val="00B42348"/>
    <w:rsid w:val="00B46575"/>
    <w:rsid w:val="00B5154D"/>
    <w:rsid w:val="00B52983"/>
    <w:rsid w:val="00B711CA"/>
    <w:rsid w:val="00B720CD"/>
    <w:rsid w:val="00B80D92"/>
    <w:rsid w:val="00B84BBD"/>
    <w:rsid w:val="00BA43FB"/>
    <w:rsid w:val="00BC127D"/>
    <w:rsid w:val="00BC1FE6"/>
    <w:rsid w:val="00BD555C"/>
    <w:rsid w:val="00BE1CC1"/>
    <w:rsid w:val="00BF06D3"/>
    <w:rsid w:val="00C023E5"/>
    <w:rsid w:val="00C061B6"/>
    <w:rsid w:val="00C115FF"/>
    <w:rsid w:val="00C17332"/>
    <w:rsid w:val="00C2446C"/>
    <w:rsid w:val="00C248DB"/>
    <w:rsid w:val="00C304B9"/>
    <w:rsid w:val="00C30AB8"/>
    <w:rsid w:val="00C36AE5"/>
    <w:rsid w:val="00C41F17"/>
    <w:rsid w:val="00C42725"/>
    <w:rsid w:val="00C43C70"/>
    <w:rsid w:val="00C527D7"/>
    <w:rsid w:val="00C5280D"/>
    <w:rsid w:val="00C56A44"/>
    <w:rsid w:val="00C5791C"/>
    <w:rsid w:val="00C618A0"/>
    <w:rsid w:val="00C62992"/>
    <w:rsid w:val="00C64DAC"/>
    <w:rsid w:val="00C66290"/>
    <w:rsid w:val="00C72B7A"/>
    <w:rsid w:val="00C83257"/>
    <w:rsid w:val="00C92073"/>
    <w:rsid w:val="00C954CB"/>
    <w:rsid w:val="00C973F2"/>
    <w:rsid w:val="00CA304C"/>
    <w:rsid w:val="00CA774A"/>
    <w:rsid w:val="00CB6D37"/>
    <w:rsid w:val="00CC11B0"/>
    <w:rsid w:val="00CC6682"/>
    <w:rsid w:val="00CC6D65"/>
    <w:rsid w:val="00CD28CF"/>
    <w:rsid w:val="00CF5CD9"/>
    <w:rsid w:val="00CF7E36"/>
    <w:rsid w:val="00D021ED"/>
    <w:rsid w:val="00D0757C"/>
    <w:rsid w:val="00D11DE7"/>
    <w:rsid w:val="00D14D7E"/>
    <w:rsid w:val="00D221F0"/>
    <w:rsid w:val="00D3708D"/>
    <w:rsid w:val="00D40426"/>
    <w:rsid w:val="00D44C21"/>
    <w:rsid w:val="00D44E97"/>
    <w:rsid w:val="00D550BE"/>
    <w:rsid w:val="00D57C96"/>
    <w:rsid w:val="00D63068"/>
    <w:rsid w:val="00D70C86"/>
    <w:rsid w:val="00D73274"/>
    <w:rsid w:val="00D85628"/>
    <w:rsid w:val="00D91203"/>
    <w:rsid w:val="00D924D3"/>
    <w:rsid w:val="00D95174"/>
    <w:rsid w:val="00DA367F"/>
    <w:rsid w:val="00DA575E"/>
    <w:rsid w:val="00DA6F36"/>
    <w:rsid w:val="00DA760B"/>
    <w:rsid w:val="00DB2EF9"/>
    <w:rsid w:val="00DB596E"/>
    <w:rsid w:val="00DB5CF7"/>
    <w:rsid w:val="00DB7361"/>
    <w:rsid w:val="00DB7773"/>
    <w:rsid w:val="00DC00EA"/>
    <w:rsid w:val="00DC2424"/>
    <w:rsid w:val="00DC3567"/>
    <w:rsid w:val="00DC4F9F"/>
    <w:rsid w:val="00DE54DC"/>
    <w:rsid w:val="00E21725"/>
    <w:rsid w:val="00E23047"/>
    <w:rsid w:val="00E25DFD"/>
    <w:rsid w:val="00E27CB0"/>
    <w:rsid w:val="00E30DA4"/>
    <w:rsid w:val="00E32F7E"/>
    <w:rsid w:val="00E33D30"/>
    <w:rsid w:val="00E364F5"/>
    <w:rsid w:val="00E36506"/>
    <w:rsid w:val="00E620FC"/>
    <w:rsid w:val="00E6753C"/>
    <w:rsid w:val="00E72D49"/>
    <w:rsid w:val="00E738DE"/>
    <w:rsid w:val="00E7593C"/>
    <w:rsid w:val="00E7678A"/>
    <w:rsid w:val="00E835D4"/>
    <w:rsid w:val="00E935F1"/>
    <w:rsid w:val="00E94A81"/>
    <w:rsid w:val="00E95F37"/>
    <w:rsid w:val="00E97863"/>
    <w:rsid w:val="00EA1FFB"/>
    <w:rsid w:val="00EB048E"/>
    <w:rsid w:val="00EB52FF"/>
    <w:rsid w:val="00EC3B34"/>
    <w:rsid w:val="00EC5F5D"/>
    <w:rsid w:val="00ED779B"/>
    <w:rsid w:val="00EE34DF"/>
    <w:rsid w:val="00EF1DD9"/>
    <w:rsid w:val="00EF29F8"/>
    <w:rsid w:val="00EF2F89"/>
    <w:rsid w:val="00EF4137"/>
    <w:rsid w:val="00F005B4"/>
    <w:rsid w:val="00F013E6"/>
    <w:rsid w:val="00F01835"/>
    <w:rsid w:val="00F0771F"/>
    <w:rsid w:val="00F10305"/>
    <w:rsid w:val="00F1237A"/>
    <w:rsid w:val="00F1772C"/>
    <w:rsid w:val="00F21611"/>
    <w:rsid w:val="00F22CBD"/>
    <w:rsid w:val="00F250FE"/>
    <w:rsid w:val="00F30C50"/>
    <w:rsid w:val="00F31D06"/>
    <w:rsid w:val="00F33DEB"/>
    <w:rsid w:val="00F37CA3"/>
    <w:rsid w:val="00F45372"/>
    <w:rsid w:val="00F5224D"/>
    <w:rsid w:val="00F560F7"/>
    <w:rsid w:val="00F6334D"/>
    <w:rsid w:val="00F647F9"/>
    <w:rsid w:val="00F653FD"/>
    <w:rsid w:val="00F669C0"/>
    <w:rsid w:val="00F66A03"/>
    <w:rsid w:val="00F830FA"/>
    <w:rsid w:val="00F858CA"/>
    <w:rsid w:val="00FA2CD8"/>
    <w:rsid w:val="00FA34E6"/>
    <w:rsid w:val="00FA49AB"/>
    <w:rsid w:val="00FB6572"/>
    <w:rsid w:val="00FD0A8A"/>
    <w:rsid w:val="00FE39C7"/>
    <w:rsid w:val="00FF30E2"/>
    <w:rsid w:val="00FF3D95"/>
    <w:rsid w:val="00FF4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62F2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62F67"/>
    <w:pPr>
      <w:keepNext/>
      <w:jc w:val="both"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41D6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30931"/>
    <w:pPr>
      <w:tabs>
        <w:tab w:val="right" w:leader="dot" w:pos="9639"/>
      </w:tabs>
      <w:spacing w:after="120"/>
      <w:ind w:right="85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2F2E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table" w:styleId="TableGrid">
    <w:name w:val="Table Grid"/>
    <w:basedOn w:val="TableNormal"/>
    <w:rsid w:val="00052B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021ED"/>
    <w:rPr>
      <w:rFonts w:ascii="Arial" w:eastAsia="MS Mincho" w:hAnsi="Arial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162F2E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962F67"/>
    <w:pPr>
      <w:keepNext/>
      <w:jc w:val="both"/>
      <w:outlineLvl w:val="1"/>
    </w:pPr>
    <w:rPr>
      <w:rFonts w:ascii="Arial" w:eastAsia="MS Mincho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641D6D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630931"/>
    <w:pPr>
      <w:tabs>
        <w:tab w:val="right" w:leader="dot" w:pos="9639"/>
      </w:tabs>
      <w:spacing w:after="120"/>
      <w:ind w:right="850"/>
      <w:jc w:val="both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162F2E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8C35F9"/>
    <w:rPr>
      <w:rFonts w:ascii="Arial" w:hAnsi="Arial"/>
      <w:i/>
    </w:rPr>
  </w:style>
  <w:style w:type="paragraph" w:styleId="ListParagraph">
    <w:name w:val="List Paragraph"/>
    <w:basedOn w:val="Normal"/>
    <w:uiPriority w:val="34"/>
    <w:qFormat/>
    <w:rsid w:val="0033729B"/>
    <w:pPr>
      <w:ind w:left="720"/>
      <w:contextualSpacing/>
    </w:pPr>
  </w:style>
  <w:style w:type="table" w:styleId="TableGrid">
    <w:name w:val="Table Grid"/>
    <w:basedOn w:val="TableNormal"/>
    <w:rsid w:val="00052B3A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021ED"/>
    <w:rPr>
      <w:rFonts w:ascii="Arial" w:eastAsia="MS Mincho" w:hAnsi="Arial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4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F97FC-82A5-4A21-8E21-D2B74D962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caj_71_6</vt:lpstr>
    </vt:vector>
  </TitlesOfParts>
  <Company>UPOV</Company>
  <LinksUpToDate>false</LinksUpToDate>
  <CharactersWithSpaces>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caj_71_6</dc:title>
  <dc:creator>FAVA Alexandra</dc:creator>
  <cp:keywords>DB/ko</cp:keywords>
  <cp:lastModifiedBy>SANCHEZ-VIZCAINO GOMEZ Rosa Maria</cp:lastModifiedBy>
  <cp:revision>12</cp:revision>
  <cp:lastPrinted>2015-09-16T09:39:00Z</cp:lastPrinted>
  <dcterms:created xsi:type="dcterms:W3CDTF">2015-08-31T09:33:00Z</dcterms:created>
  <dcterms:modified xsi:type="dcterms:W3CDTF">2015-09-16T15:47:00Z</dcterms:modified>
</cp:coreProperties>
</file>