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60B02" w:rsidRPr="00860B02" w:rsidTr="0024458B">
        <w:trPr>
          <w:trHeight w:val="1760"/>
        </w:trPr>
        <w:tc>
          <w:tcPr>
            <w:tcW w:w="4243" w:type="dxa"/>
          </w:tcPr>
          <w:p w:rsidR="00A176E9" w:rsidRPr="00860B02" w:rsidRDefault="00A176E9" w:rsidP="0024458B">
            <w:bookmarkStart w:id="0" w:name="_Toc387757149"/>
            <w:bookmarkStart w:id="1" w:name="_Toc404931496"/>
            <w:bookmarkStart w:id="2" w:name="_Toc404931550"/>
            <w:bookmarkStart w:id="3" w:name="_Toc404931721"/>
            <w:bookmarkStart w:id="4" w:name="_Toc404932170"/>
            <w:bookmarkStart w:id="5" w:name="_Toc404935671"/>
            <w:bookmarkStart w:id="6" w:name="_Toc410717532"/>
            <w:bookmarkStart w:id="7" w:name="_Toc427161605"/>
          </w:p>
        </w:tc>
        <w:tc>
          <w:tcPr>
            <w:tcW w:w="1646" w:type="dxa"/>
            <w:vAlign w:val="center"/>
          </w:tcPr>
          <w:p w:rsidR="00A176E9" w:rsidRPr="00860B02" w:rsidRDefault="00A176E9" w:rsidP="0024458B">
            <w:pPr>
              <w:pStyle w:val="LogoUPOV"/>
            </w:pPr>
            <w:r w:rsidRPr="00860B02">
              <w:rPr>
                <w:noProof/>
                <w:lang w:val="en-US"/>
              </w:rPr>
              <w:drawing>
                <wp:inline distT="0" distB="0" distL="0" distR="0" wp14:anchorId="09056F80" wp14:editId="30932B6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90AC1" w:rsidRPr="00860B02" w:rsidRDefault="00A176E9" w:rsidP="0024458B">
            <w:pPr>
              <w:pStyle w:val="Lettrine"/>
            </w:pPr>
            <w:r w:rsidRPr="00860B02">
              <w:t>F</w:t>
            </w:r>
          </w:p>
          <w:p w:rsidR="00090AC1" w:rsidRPr="00860B02" w:rsidRDefault="00A176E9" w:rsidP="0024458B">
            <w:pPr>
              <w:pStyle w:val="Docoriginal"/>
              <w:jc w:val="left"/>
              <w:rPr>
                <w:spacing w:val="0"/>
              </w:rPr>
            </w:pPr>
            <w:r w:rsidRPr="00860B02">
              <w:rPr>
                <w:spacing w:val="0"/>
              </w:rPr>
              <w:t>CAJ/72/</w:t>
            </w:r>
            <w:bookmarkStart w:id="8" w:name="Code"/>
            <w:bookmarkEnd w:id="8"/>
            <w:r w:rsidRPr="00860B02">
              <w:rPr>
                <w:spacing w:val="0"/>
              </w:rPr>
              <w:t>3</w:t>
            </w:r>
          </w:p>
          <w:p w:rsidR="00090AC1" w:rsidRPr="00860B02" w:rsidRDefault="00A176E9" w:rsidP="0024458B">
            <w:pPr>
              <w:pStyle w:val="Docoriginal"/>
              <w:jc w:val="left"/>
              <w:rPr>
                <w:spacing w:val="0"/>
              </w:rPr>
            </w:pPr>
            <w:r w:rsidRPr="00860B02">
              <w:rPr>
                <w:rStyle w:val="StyleDoclangBold"/>
                <w:b/>
                <w:bCs/>
                <w:spacing w:val="0"/>
                <w:lang w:val="fr-FR"/>
              </w:rPr>
              <w:t>ORIGINAL</w:t>
            </w:r>
            <w:r w:rsidR="00752EE1" w:rsidRPr="00860B02">
              <w:rPr>
                <w:rStyle w:val="StyleDoclangBold"/>
                <w:b/>
                <w:bCs/>
                <w:spacing w:val="0"/>
                <w:lang w:val="fr-FR"/>
              </w:rPr>
              <w:t> </w:t>
            </w:r>
            <w:r w:rsidRPr="00860B02">
              <w:rPr>
                <w:rStyle w:val="StyleDoclangBold"/>
                <w:b/>
                <w:bCs/>
                <w:spacing w:val="0"/>
                <w:lang w:val="fr-FR"/>
              </w:rPr>
              <w:t>:</w:t>
            </w:r>
            <w:r w:rsidRPr="00860B02">
              <w:rPr>
                <w:rStyle w:val="StyleDocoriginalNotBold1"/>
                <w:spacing w:val="0"/>
                <w:lang w:val="fr-FR"/>
              </w:rPr>
              <w:t xml:space="preserve"> </w:t>
            </w:r>
            <w:bookmarkStart w:id="9" w:name="Original"/>
            <w:bookmarkEnd w:id="9"/>
            <w:r w:rsidRPr="00860B02">
              <w:rPr>
                <w:b w:val="0"/>
                <w:spacing w:val="0"/>
              </w:rPr>
              <w:t>anglais</w:t>
            </w:r>
          </w:p>
          <w:p w:rsidR="00A176E9" w:rsidRPr="00860B02" w:rsidRDefault="00A176E9" w:rsidP="0024458B">
            <w:pPr>
              <w:pStyle w:val="Docoriginal"/>
              <w:jc w:val="left"/>
              <w:rPr>
                <w:spacing w:val="0"/>
              </w:rPr>
            </w:pPr>
            <w:r w:rsidRPr="00860B02">
              <w:rPr>
                <w:spacing w:val="0"/>
              </w:rPr>
              <w:t>DATE</w:t>
            </w:r>
            <w:r w:rsidR="00752EE1" w:rsidRPr="00860B02">
              <w:rPr>
                <w:spacing w:val="0"/>
              </w:rPr>
              <w:t> </w:t>
            </w:r>
            <w:r w:rsidRPr="00860B02">
              <w:rPr>
                <w:spacing w:val="0"/>
              </w:rPr>
              <w:t>:</w:t>
            </w:r>
            <w:r w:rsidRPr="00860B02">
              <w:rPr>
                <w:b w:val="0"/>
                <w:spacing w:val="0"/>
              </w:rPr>
              <w:t xml:space="preserve"> </w:t>
            </w:r>
            <w:bookmarkStart w:id="10" w:name="Date"/>
            <w:bookmarkEnd w:id="10"/>
            <w:r w:rsidR="00726505" w:rsidRPr="00860B02">
              <w:rPr>
                <w:rStyle w:val="StyleDocoriginalNotBold1"/>
                <w:spacing w:val="0"/>
                <w:lang w:val="fr-FR"/>
              </w:rPr>
              <w:t>1</w:t>
            </w:r>
            <w:r w:rsidR="00726505" w:rsidRPr="00860B02">
              <w:rPr>
                <w:rStyle w:val="StyleDocoriginalNotBold1"/>
                <w:spacing w:val="0"/>
                <w:vertAlign w:val="superscript"/>
                <w:lang w:val="fr-FR"/>
              </w:rPr>
              <w:t>er</w:t>
            </w:r>
            <w:r w:rsidR="00726505" w:rsidRPr="00860B02">
              <w:rPr>
                <w:rStyle w:val="StyleDocoriginalNotBold1"/>
                <w:spacing w:val="0"/>
                <w:lang w:val="fr-FR"/>
              </w:rPr>
              <w:t> octobre 20</w:t>
            </w:r>
            <w:r w:rsidRPr="00860B02">
              <w:rPr>
                <w:rStyle w:val="StyleDocoriginalNotBold1"/>
                <w:spacing w:val="0"/>
                <w:lang w:val="fr-FR"/>
              </w:rPr>
              <w:t>15</w:t>
            </w:r>
          </w:p>
        </w:tc>
      </w:tr>
      <w:tr w:rsidR="00860B02" w:rsidRPr="00860B02" w:rsidTr="0024458B">
        <w:tc>
          <w:tcPr>
            <w:tcW w:w="10131" w:type="dxa"/>
            <w:gridSpan w:val="3"/>
          </w:tcPr>
          <w:p w:rsidR="00A176E9" w:rsidRPr="00860B02" w:rsidRDefault="00A176E9" w:rsidP="0024458B">
            <w:pPr>
              <w:pStyle w:val="upove"/>
              <w:rPr>
                <w:spacing w:val="0"/>
                <w:sz w:val="28"/>
              </w:rPr>
            </w:pPr>
            <w:r w:rsidRPr="00860B02">
              <w:rPr>
                <w:spacing w:val="0"/>
              </w:rPr>
              <w:t>UNION INTERNATIONALE POUR LA PROTECTION DES OBTENTIONS VÉGÉTALES</w:t>
            </w:r>
          </w:p>
        </w:tc>
      </w:tr>
      <w:tr w:rsidR="00860B02" w:rsidRPr="00860B02" w:rsidTr="0024458B">
        <w:tc>
          <w:tcPr>
            <w:tcW w:w="10131" w:type="dxa"/>
            <w:gridSpan w:val="3"/>
          </w:tcPr>
          <w:p w:rsidR="00A176E9" w:rsidRPr="00860B02" w:rsidRDefault="00A176E9" w:rsidP="0024458B">
            <w:pPr>
              <w:pStyle w:val="Country"/>
            </w:pPr>
            <w:r w:rsidRPr="00860B02">
              <w:t>Genève</w:t>
            </w:r>
          </w:p>
        </w:tc>
      </w:tr>
    </w:tbl>
    <w:p w:rsidR="00090AC1" w:rsidRPr="00860B02" w:rsidRDefault="00A176E9" w:rsidP="00A176E9">
      <w:pPr>
        <w:pStyle w:val="Sessiontc"/>
      </w:pPr>
      <w:r w:rsidRPr="00860B02">
        <w:t>Comité administratif et juridique</w:t>
      </w:r>
    </w:p>
    <w:p w:rsidR="00090AC1" w:rsidRPr="00860B02" w:rsidRDefault="00A176E9" w:rsidP="00A176E9">
      <w:pPr>
        <w:pStyle w:val="Sessiontcplacedate"/>
      </w:pPr>
      <w:r w:rsidRPr="00860B02">
        <w:t>Soixante</w:t>
      </w:r>
      <w:r w:rsidR="000B2679" w:rsidRPr="00860B02">
        <w:noBreakHyphen/>
      </w:r>
      <w:r w:rsidRPr="00860B02">
        <w:t>douzième</w:t>
      </w:r>
      <w:r w:rsidR="00752EE1" w:rsidRPr="00860B02">
        <w:t> </w:t>
      </w:r>
      <w:r w:rsidRPr="00860B02">
        <w:t>session</w:t>
      </w:r>
      <w:r w:rsidRPr="00860B02">
        <w:br/>
        <w:t>Genève, 26 et 2</w:t>
      </w:r>
      <w:r w:rsidR="00726505" w:rsidRPr="00860B02">
        <w:t>7 octobre 20</w:t>
      </w:r>
      <w:r w:rsidRPr="00860B02">
        <w:t>15</w:t>
      </w:r>
    </w:p>
    <w:p w:rsidR="00090AC1" w:rsidRPr="00860B02" w:rsidRDefault="00A176E9" w:rsidP="00A176E9">
      <w:pPr>
        <w:pStyle w:val="Titleofdoc0"/>
      </w:pPr>
      <w:bookmarkStart w:id="11" w:name="TitleOfDoc"/>
      <w:bookmarkEnd w:id="11"/>
      <w:r w:rsidRPr="00860B02">
        <w:t>Dénominations variétales</w:t>
      </w:r>
    </w:p>
    <w:p w:rsidR="00090AC1" w:rsidRPr="005943C3" w:rsidRDefault="00A176E9" w:rsidP="00A176E9">
      <w:pPr>
        <w:pStyle w:val="preparedby1"/>
        <w:tabs>
          <w:tab w:val="left" w:pos="142"/>
        </w:tabs>
        <w:rPr>
          <w:snapToGrid w:val="0"/>
          <w:color w:val="A6A6A6" w:themeColor="background1" w:themeShade="A6"/>
          <w:szCs w:val="16"/>
        </w:rPr>
      </w:pPr>
      <w:bookmarkStart w:id="12" w:name="Prepared"/>
      <w:bookmarkEnd w:id="12"/>
      <w:r w:rsidRPr="00860B02">
        <w:t>Document établi par le Bureau de l</w:t>
      </w:r>
      <w:r w:rsidR="00905CDD" w:rsidRPr="00860B02">
        <w:t>’</w:t>
      </w:r>
      <w:r w:rsidRPr="00860B02">
        <w:t>Union</w:t>
      </w:r>
      <w:r w:rsidRPr="00860B02">
        <w:br/>
      </w:r>
      <w:r w:rsidRPr="00860B02">
        <w:br/>
      </w:r>
      <w:r w:rsidRPr="005943C3">
        <w:rPr>
          <w:color w:val="A6A6A6" w:themeColor="background1" w:themeShade="A6"/>
        </w:rPr>
        <w:t>Avertissement : le présent document ne représente pas les principes ou les orientations de l</w:t>
      </w:r>
      <w:r w:rsidR="00905CDD" w:rsidRPr="005943C3">
        <w:rPr>
          <w:color w:val="A6A6A6" w:themeColor="background1" w:themeShade="A6"/>
        </w:rPr>
        <w:t>’</w:t>
      </w:r>
      <w:r w:rsidRPr="005943C3">
        <w:rPr>
          <w:color w:val="A6A6A6" w:themeColor="background1" w:themeShade="A6"/>
        </w:rPr>
        <w:t>UPOV</w:t>
      </w:r>
    </w:p>
    <w:p w:rsidR="00090AC1" w:rsidRPr="00860B02" w:rsidRDefault="00090AC1" w:rsidP="00090AC1">
      <w:pPr>
        <w:pStyle w:val="Heading1"/>
        <w:rPr>
          <w:lang w:val="fr-FR" w:eastAsia="ja-JP"/>
        </w:rPr>
      </w:pPr>
      <w:bookmarkStart w:id="13" w:name="_Toc432493958"/>
      <w:bookmarkEnd w:id="0"/>
      <w:bookmarkEnd w:id="1"/>
      <w:bookmarkEnd w:id="2"/>
      <w:bookmarkEnd w:id="3"/>
      <w:bookmarkEnd w:id="4"/>
      <w:bookmarkEnd w:id="5"/>
      <w:bookmarkEnd w:id="6"/>
      <w:bookmarkEnd w:id="7"/>
      <w:r w:rsidRPr="00860B02">
        <w:rPr>
          <w:lang w:val="fr-FR" w:eastAsia="ja-JP"/>
        </w:rPr>
        <w:t>Résumé analytique</w:t>
      </w:r>
      <w:bookmarkEnd w:id="13"/>
    </w:p>
    <w:p w:rsidR="00090AC1" w:rsidRPr="00860B02" w:rsidRDefault="00090AC1" w:rsidP="0080679D">
      <w:pPr>
        <w:rPr>
          <w:snapToGrid w:val="0"/>
          <w:highlight w:val="cyan"/>
          <w:lang w:eastAsia="ja-JP"/>
        </w:rPr>
      </w:pPr>
    </w:p>
    <w:p w:rsidR="00090AC1" w:rsidRPr="00860B02" w:rsidRDefault="00B734CF" w:rsidP="00090AC1">
      <w:pPr>
        <w:rPr>
          <w:rFonts w:cs="Arial"/>
          <w:lang w:eastAsia="ja-JP"/>
        </w:rPr>
      </w:pPr>
      <w:r w:rsidRPr="00860B02">
        <w:rPr>
          <w:rFonts w:cs="Arial"/>
        </w:rPr>
        <w:fldChar w:fldCharType="begin"/>
      </w:r>
      <w:r w:rsidRPr="00860B02">
        <w:rPr>
          <w:rFonts w:cs="Arial"/>
        </w:rPr>
        <w:instrText xml:space="preserve"> AUTONUM  </w:instrText>
      </w:r>
      <w:r w:rsidRPr="00860B02">
        <w:rPr>
          <w:rFonts w:cs="Arial"/>
        </w:rPr>
        <w:fldChar w:fldCharType="end"/>
      </w:r>
      <w:r w:rsidR="00E10886" w:rsidRPr="00860B02">
        <w:rPr>
          <w:rFonts w:cs="Arial"/>
          <w:lang w:eastAsia="ja-JP"/>
        </w:rPr>
        <w:tab/>
      </w:r>
      <w:r w:rsidR="00090AC1" w:rsidRPr="00860B02">
        <w:rPr>
          <w:rFonts w:cs="Arial"/>
          <w:lang w:eastAsia="ja-JP"/>
        </w:rPr>
        <w:t>Le présent document a pour objet de faire rapport sur les travaux concernant la possibilité d</w:t>
      </w:r>
      <w:r w:rsidR="00905CDD" w:rsidRPr="00860B02">
        <w:rPr>
          <w:rFonts w:cs="Arial"/>
          <w:lang w:eastAsia="ja-JP"/>
        </w:rPr>
        <w:t>’</w:t>
      </w:r>
      <w:r w:rsidR="00090AC1" w:rsidRPr="00860B02">
        <w:rPr>
          <w:rFonts w:cs="Arial"/>
          <w:lang w:eastAsia="ja-JP"/>
        </w:rPr>
        <w:t>élaboration d</w:t>
      </w:r>
      <w:r w:rsidR="00905CDD" w:rsidRPr="00860B02">
        <w:rPr>
          <w:rFonts w:cs="Arial"/>
          <w:lang w:eastAsia="ja-JP"/>
        </w:rPr>
        <w:t>’</w:t>
      </w:r>
      <w:r w:rsidR="00090AC1" w:rsidRPr="00860B02">
        <w:rPr>
          <w:rFonts w:cs="Arial"/>
          <w:lang w:eastAsia="ja-JP"/>
        </w:rPr>
        <w:t xml:space="preserve">un </w:t>
      </w:r>
      <w:r w:rsidR="00D666FA" w:rsidRPr="00860B02">
        <w:rPr>
          <w:snapToGrid w:val="0"/>
          <w:lang w:eastAsia="ja-JP"/>
        </w:rPr>
        <w:t>moteur de recherche de similitudes</w:t>
      </w:r>
      <w:r w:rsidR="00B4703A" w:rsidRPr="00860B02">
        <w:rPr>
          <w:snapToGrid w:val="0"/>
          <w:lang w:eastAsia="ja-JP"/>
        </w:rPr>
        <w:t xml:space="preserve"> de l</w:t>
      </w:r>
      <w:r w:rsidR="00905CDD" w:rsidRPr="00860B02">
        <w:rPr>
          <w:snapToGrid w:val="0"/>
          <w:lang w:eastAsia="ja-JP"/>
        </w:rPr>
        <w:t>’</w:t>
      </w:r>
      <w:r w:rsidR="00B4703A" w:rsidRPr="00860B02">
        <w:rPr>
          <w:snapToGrid w:val="0"/>
          <w:lang w:eastAsia="ja-JP"/>
        </w:rPr>
        <w:t xml:space="preserve">UPOV </w:t>
      </w:r>
      <w:r w:rsidR="00090AC1" w:rsidRPr="00860B02">
        <w:rPr>
          <w:rFonts w:cs="Arial"/>
          <w:lang w:eastAsia="ja-JP"/>
        </w:rPr>
        <w:t>aux fins de</w:t>
      </w:r>
      <w:r w:rsidR="00A400DF" w:rsidRPr="00860B02">
        <w:rPr>
          <w:rFonts w:cs="Arial"/>
          <w:lang w:eastAsia="ja-JP"/>
        </w:rPr>
        <w:t xml:space="preserve"> la</w:t>
      </w:r>
      <w:r w:rsidR="00090AC1" w:rsidRPr="00860B02">
        <w:rPr>
          <w:rFonts w:cs="Arial"/>
          <w:lang w:eastAsia="ja-JP"/>
        </w:rPr>
        <w:t xml:space="preserve"> dénomination variétale et d</w:t>
      </w:r>
      <w:r w:rsidR="00905CDD" w:rsidRPr="00860B02">
        <w:rPr>
          <w:rFonts w:cs="Arial"/>
          <w:lang w:eastAsia="ja-JP"/>
        </w:rPr>
        <w:t>’</w:t>
      </w:r>
      <w:r w:rsidR="00090AC1" w:rsidRPr="00860B02">
        <w:rPr>
          <w:rFonts w:cs="Arial"/>
          <w:lang w:eastAsia="ja-JP"/>
        </w:rPr>
        <w:t>examiner la révision éven</w:t>
      </w:r>
      <w:r w:rsidR="009A2246" w:rsidRPr="00860B02">
        <w:rPr>
          <w:rFonts w:cs="Arial"/>
          <w:lang w:eastAsia="ja-JP"/>
        </w:rPr>
        <w:t>tuelle du document UPOV/INF/12</w:t>
      </w:r>
      <w:r w:rsidR="000070C7" w:rsidRPr="00860B02">
        <w:rPr>
          <w:rFonts w:cs="Arial"/>
          <w:lang w:eastAsia="ja-JP"/>
        </w:rPr>
        <w:t xml:space="preserve"> </w:t>
      </w:r>
      <w:r w:rsidR="00752EE1" w:rsidRPr="00860B02">
        <w:rPr>
          <w:rFonts w:cs="Arial"/>
          <w:lang w:eastAsia="ja-JP"/>
        </w:rPr>
        <w:t>“</w:t>
      </w:r>
      <w:r w:rsidR="00090AC1" w:rsidRPr="00860B02">
        <w:rPr>
          <w:rFonts w:cs="Arial"/>
          <w:lang w:eastAsia="ja-JP"/>
        </w:rPr>
        <w:t xml:space="preserve">Notes explicatives concernant les dénominations variétales en vertu de la </w:t>
      </w:r>
      <w:r w:rsidR="00905CDD" w:rsidRPr="00860B02">
        <w:rPr>
          <w:rFonts w:cs="Arial"/>
          <w:lang w:eastAsia="ja-JP"/>
        </w:rPr>
        <w:t>Convention UPOV</w:t>
      </w:r>
      <w:r w:rsidR="00752EE1" w:rsidRPr="00860B02">
        <w:rPr>
          <w:rFonts w:cs="Arial"/>
          <w:lang w:eastAsia="ja-JP"/>
        </w:rPr>
        <w:t>”</w:t>
      </w:r>
      <w:r w:rsidR="00090AC1" w:rsidRPr="00860B02">
        <w:rPr>
          <w:rFonts w:cs="Arial"/>
          <w:lang w:eastAsia="ja-JP"/>
        </w:rPr>
        <w:t>.</w:t>
      </w:r>
    </w:p>
    <w:p w:rsidR="00090AC1" w:rsidRPr="00860B02" w:rsidRDefault="00090AC1" w:rsidP="00B734CF"/>
    <w:p w:rsidR="00090AC1" w:rsidRPr="00860B02" w:rsidRDefault="00B734CF" w:rsidP="00090AC1">
      <w:pPr>
        <w:rPr>
          <w:iCs/>
        </w:rPr>
      </w:pPr>
      <w:r w:rsidRPr="00860B02">
        <w:fldChar w:fldCharType="begin"/>
      </w:r>
      <w:r w:rsidRPr="00860B02">
        <w:instrText xml:space="preserve"> AUTONUM  </w:instrText>
      </w:r>
      <w:r w:rsidRPr="00860B02">
        <w:fldChar w:fldCharType="end"/>
      </w:r>
      <w:r w:rsidRPr="00860B02">
        <w:tab/>
      </w:r>
      <w:r w:rsidR="00090AC1" w:rsidRPr="00860B02">
        <w:t>Le CAJ est invité</w:t>
      </w:r>
      <w:r w:rsidR="00752EE1" w:rsidRPr="00860B02">
        <w:t> </w:t>
      </w:r>
      <w:r w:rsidR="00090AC1" w:rsidRPr="00860B02">
        <w:t>:</w:t>
      </w:r>
      <w:bookmarkStart w:id="14" w:name="_GoBack"/>
      <w:bookmarkEnd w:id="14"/>
    </w:p>
    <w:p w:rsidR="00090AC1" w:rsidRPr="00860B02" w:rsidRDefault="00090AC1" w:rsidP="008B5ED9">
      <w:pPr>
        <w:rPr>
          <w:iCs/>
        </w:rPr>
      </w:pPr>
    </w:p>
    <w:p w:rsidR="000070C7" w:rsidRPr="00860B02" w:rsidRDefault="00C07945" w:rsidP="008B5ED9">
      <w:pPr>
        <w:rPr>
          <w:iCs/>
        </w:rPr>
      </w:pPr>
      <w:r w:rsidRPr="00860B02">
        <w:rPr>
          <w:iCs/>
        </w:rPr>
        <w:tab/>
      </w:r>
      <w:r w:rsidR="0077424B" w:rsidRPr="00860B02">
        <w:rPr>
          <w:iCs/>
        </w:rPr>
        <w:t>a)</w:t>
      </w:r>
      <w:r w:rsidR="0077424B" w:rsidRPr="00860B02">
        <w:rPr>
          <w:iCs/>
        </w:rPr>
        <w:tab/>
      </w:r>
      <w:r w:rsidR="000070C7" w:rsidRPr="00860B02">
        <w:rPr>
          <w:iCs/>
        </w:rPr>
        <w:t xml:space="preserve">à procéder à un premier examen des propositions du </w:t>
      </w:r>
      <w:r w:rsidR="007F7C1C" w:rsidRPr="00860B02">
        <w:t>G</w:t>
      </w:r>
      <w:r w:rsidR="000070C7" w:rsidRPr="00860B02">
        <w:t>roupe de travail sur l</w:t>
      </w:r>
      <w:r w:rsidR="00905CDD" w:rsidRPr="00860B02">
        <w:t>’</w:t>
      </w:r>
      <w:r w:rsidR="000070C7" w:rsidRPr="00860B02">
        <w:t>élaboration d</w:t>
      </w:r>
      <w:r w:rsidR="00905CDD" w:rsidRPr="00860B02">
        <w:t>’</w:t>
      </w:r>
      <w:r w:rsidR="000070C7" w:rsidRPr="00860B02">
        <w:t xml:space="preserve">un </w:t>
      </w:r>
      <w:r w:rsidR="00D666FA" w:rsidRPr="00860B02">
        <w:t xml:space="preserve">moteur de recherche de similitudes </w:t>
      </w:r>
      <w:r w:rsidR="000070C7" w:rsidRPr="00860B02">
        <w:t>de l</w:t>
      </w:r>
      <w:r w:rsidR="00905CDD" w:rsidRPr="00860B02">
        <w:t>’</w:t>
      </w:r>
      <w:r w:rsidR="000070C7" w:rsidRPr="00860B02">
        <w:t xml:space="preserve">UPOV </w:t>
      </w:r>
      <w:r w:rsidR="007F2C48" w:rsidRPr="00860B02">
        <w:t>aux fins de la dénomination variétale</w:t>
      </w:r>
      <w:r w:rsidR="007F2C48" w:rsidRPr="00860B02">
        <w:rPr>
          <w:rFonts w:cs="Arial"/>
          <w:lang w:eastAsia="ja-JP"/>
        </w:rPr>
        <w:t xml:space="preserve"> </w:t>
      </w:r>
      <w:r w:rsidR="000070C7" w:rsidRPr="00860B02">
        <w:t>(</w:t>
      </w:r>
      <w:bookmarkStart w:id="15" w:name="hit5"/>
      <w:bookmarkEnd w:id="15"/>
      <w:r w:rsidR="000070C7" w:rsidRPr="00860B02">
        <w:t>WG</w:t>
      </w:r>
      <w:r w:rsidR="000B2679" w:rsidRPr="00860B02">
        <w:noBreakHyphen/>
      </w:r>
      <w:bookmarkStart w:id="16" w:name="hit6"/>
      <w:bookmarkEnd w:id="16"/>
      <w:r w:rsidR="000070C7" w:rsidRPr="00860B02">
        <w:t>DST) concernant la révision éventuelle du docume</w:t>
      </w:r>
      <w:r w:rsidR="007F7C1C" w:rsidRPr="00860B02">
        <w:t>nt UPOV/INF/12, en particulier l</w:t>
      </w:r>
      <w:r w:rsidR="000070C7" w:rsidRPr="00860B02">
        <w:t>es points suivants :</w:t>
      </w:r>
    </w:p>
    <w:p w:rsidR="00090AC1" w:rsidRPr="00860B02" w:rsidRDefault="00090AC1" w:rsidP="008B5ED9">
      <w:pPr>
        <w:rPr>
          <w:iCs/>
        </w:rPr>
      </w:pPr>
    </w:p>
    <w:p w:rsidR="00090AC1" w:rsidRPr="00860B02" w:rsidRDefault="008B5ED9" w:rsidP="00753A18">
      <w:pPr>
        <w:tabs>
          <w:tab w:val="left" w:pos="1418"/>
        </w:tabs>
        <w:ind w:firstLine="993"/>
        <w:rPr>
          <w:iCs/>
        </w:rPr>
      </w:pPr>
      <w:r w:rsidRPr="00860B02">
        <w:rPr>
          <w:iCs/>
        </w:rPr>
        <w:t>i)</w:t>
      </w:r>
      <w:r w:rsidRPr="00860B02">
        <w:rPr>
          <w:iCs/>
        </w:rPr>
        <w:tab/>
      </w:r>
      <w:r w:rsidR="00377A2E" w:rsidRPr="00860B02">
        <w:rPr>
          <w:iCs/>
        </w:rPr>
        <w:t>section</w:t>
      </w:r>
      <w:r w:rsidRPr="00860B02">
        <w:rPr>
          <w:iCs/>
        </w:rPr>
        <w:t xml:space="preserve"> 2.2.2</w:t>
      </w:r>
      <w:r w:rsidR="00082642" w:rsidRPr="00860B02">
        <w:rPr>
          <w:iCs/>
        </w:rPr>
        <w:t>.</w:t>
      </w:r>
      <w:r w:rsidRPr="00860B02">
        <w:rPr>
          <w:iCs/>
        </w:rPr>
        <w:t>b), propos</w:t>
      </w:r>
      <w:r w:rsidR="00753A18" w:rsidRPr="00860B02">
        <w:rPr>
          <w:iCs/>
        </w:rPr>
        <w:t xml:space="preserve">ition visant à clarifier la terminologie relative aux pratiques commerciales acceptées dans le contexte des </w:t>
      </w:r>
      <w:r w:rsidR="00752EE1" w:rsidRPr="00860B02">
        <w:rPr>
          <w:iCs/>
        </w:rPr>
        <w:t>“</w:t>
      </w:r>
      <w:r w:rsidR="00753A18" w:rsidRPr="00860B02">
        <w:rPr>
          <w:iCs/>
        </w:rPr>
        <w:t>pratiques établies</w:t>
      </w:r>
      <w:r w:rsidR="00752EE1" w:rsidRPr="00860B02">
        <w:rPr>
          <w:iCs/>
        </w:rPr>
        <w:t>”</w:t>
      </w:r>
      <w:r w:rsidR="00753A18" w:rsidRPr="00860B02">
        <w:rPr>
          <w:iCs/>
        </w:rPr>
        <w:t xml:space="preserve"> </w:t>
      </w:r>
      <w:r w:rsidR="00753A18" w:rsidRPr="00860B02">
        <w:rPr>
          <w:rFonts w:cs="Arial"/>
          <w:iCs/>
        </w:rPr>
        <w:t>(</w:t>
      </w:r>
      <w:r w:rsidR="00753A18" w:rsidRPr="00860B02">
        <w:rPr>
          <w:iCs/>
        </w:rPr>
        <w:t>voir le paragraphe</w:t>
      </w:r>
      <w:r w:rsidR="00752EE1" w:rsidRPr="00860B02">
        <w:rPr>
          <w:iCs/>
        </w:rPr>
        <w:t> </w:t>
      </w:r>
      <w:r w:rsidR="00753A18" w:rsidRPr="00860B02">
        <w:rPr>
          <w:iCs/>
        </w:rPr>
        <w:t>28</w:t>
      </w:r>
      <w:r w:rsidR="00082642" w:rsidRPr="00860B02">
        <w:rPr>
          <w:iCs/>
        </w:rPr>
        <w:t xml:space="preserve"> ci</w:t>
      </w:r>
      <w:r w:rsidR="000B2679" w:rsidRPr="00860B02">
        <w:rPr>
          <w:iCs/>
        </w:rPr>
        <w:noBreakHyphen/>
      </w:r>
      <w:r w:rsidR="00082642" w:rsidRPr="00860B02">
        <w:rPr>
          <w:iCs/>
        </w:rPr>
        <w:t>après</w:t>
      </w:r>
      <w:r w:rsidR="00753A18" w:rsidRPr="00860B02">
        <w:rPr>
          <w:iCs/>
        </w:rPr>
        <w:t>)</w:t>
      </w:r>
      <w:r w:rsidRPr="00860B02">
        <w:rPr>
          <w:iCs/>
        </w:rPr>
        <w:t>;</w:t>
      </w:r>
    </w:p>
    <w:p w:rsidR="00090AC1" w:rsidRPr="00860B02" w:rsidRDefault="00090AC1" w:rsidP="0077424B">
      <w:pPr>
        <w:tabs>
          <w:tab w:val="left" w:pos="1418"/>
        </w:tabs>
        <w:ind w:firstLine="993"/>
        <w:rPr>
          <w:iCs/>
        </w:rPr>
      </w:pPr>
    </w:p>
    <w:p w:rsidR="00753A18" w:rsidRPr="00860B02" w:rsidRDefault="0077424B" w:rsidP="0077424B">
      <w:pPr>
        <w:tabs>
          <w:tab w:val="left" w:pos="1418"/>
        </w:tabs>
        <w:ind w:firstLine="993"/>
        <w:rPr>
          <w:iCs/>
        </w:rPr>
      </w:pPr>
      <w:r w:rsidRPr="00860B02">
        <w:rPr>
          <w:iCs/>
        </w:rPr>
        <w:t>ii)</w:t>
      </w:r>
      <w:r w:rsidRPr="00860B02">
        <w:rPr>
          <w:iCs/>
        </w:rPr>
        <w:tab/>
      </w:r>
      <w:r w:rsidR="00377A2E" w:rsidRPr="00860B02">
        <w:rPr>
          <w:iCs/>
        </w:rPr>
        <w:t xml:space="preserve">section </w:t>
      </w:r>
      <w:r w:rsidR="00082642" w:rsidRPr="00860B02">
        <w:rPr>
          <w:iCs/>
        </w:rPr>
        <w:t>2.3.1.</w:t>
      </w:r>
      <w:r w:rsidR="00753A18" w:rsidRPr="00860B02">
        <w:rPr>
          <w:iCs/>
        </w:rPr>
        <w:t>c), exe</w:t>
      </w:r>
      <w:r w:rsidR="008B5ED9" w:rsidRPr="00860B02">
        <w:rPr>
          <w:iCs/>
        </w:rPr>
        <w:t xml:space="preserve">mples </w:t>
      </w:r>
      <w:r w:rsidR="00753A18" w:rsidRPr="00860B02">
        <w:rPr>
          <w:iCs/>
        </w:rPr>
        <w:t xml:space="preserve">proposés qui </w:t>
      </w:r>
      <w:r w:rsidR="00752EE1" w:rsidRPr="00860B02">
        <w:rPr>
          <w:iCs/>
        </w:rPr>
        <w:t>“</w:t>
      </w:r>
      <w:r w:rsidR="00753A18" w:rsidRPr="00860B02">
        <w:rPr>
          <w:iCs/>
        </w:rPr>
        <w:t>donnent l</w:t>
      </w:r>
      <w:r w:rsidR="00905CDD" w:rsidRPr="00860B02">
        <w:rPr>
          <w:iCs/>
        </w:rPr>
        <w:t>’</w:t>
      </w:r>
      <w:r w:rsidR="00753A18" w:rsidRPr="00860B02">
        <w:rPr>
          <w:iCs/>
        </w:rPr>
        <w:t>impression que la variété</w:t>
      </w:r>
      <w:r w:rsidR="00753A18" w:rsidRPr="00860B02">
        <w:t xml:space="preserve"> </w:t>
      </w:r>
      <w:r w:rsidR="00753A18" w:rsidRPr="00860B02">
        <w:rPr>
          <w:iCs/>
        </w:rPr>
        <w:t>est issue d</w:t>
      </w:r>
      <w:r w:rsidR="00905CDD" w:rsidRPr="00860B02">
        <w:rPr>
          <w:iCs/>
        </w:rPr>
        <w:t>’</w:t>
      </w:r>
      <w:r w:rsidR="00753A18" w:rsidRPr="00860B02">
        <w:rPr>
          <w:iCs/>
        </w:rPr>
        <w:t>une autre variété ou lui est apparentée, lorsque ce n</w:t>
      </w:r>
      <w:r w:rsidR="00905CDD" w:rsidRPr="00860B02">
        <w:rPr>
          <w:iCs/>
        </w:rPr>
        <w:t>’</w:t>
      </w:r>
      <w:r w:rsidR="00753A18" w:rsidRPr="00860B02">
        <w:rPr>
          <w:iCs/>
        </w:rPr>
        <w:t>est pas le cas</w:t>
      </w:r>
      <w:r w:rsidR="00752EE1" w:rsidRPr="00860B02">
        <w:rPr>
          <w:iCs/>
        </w:rPr>
        <w:t>”</w:t>
      </w:r>
      <w:r w:rsidR="00753A18" w:rsidRPr="00860B02">
        <w:rPr>
          <w:iCs/>
        </w:rPr>
        <w:t xml:space="preserve"> </w:t>
      </w:r>
      <w:r w:rsidR="00753A18" w:rsidRPr="00860B02">
        <w:rPr>
          <w:rFonts w:cs="Arial"/>
          <w:iCs/>
        </w:rPr>
        <w:t>(</w:t>
      </w:r>
      <w:r w:rsidR="00753A18" w:rsidRPr="00860B02">
        <w:rPr>
          <w:iCs/>
        </w:rPr>
        <w:t>voir le paragraphe</w:t>
      </w:r>
      <w:r w:rsidR="00752EE1" w:rsidRPr="00860B02">
        <w:rPr>
          <w:iCs/>
        </w:rPr>
        <w:t> </w:t>
      </w:r>
      <w:r w:rsidR="00753A18" w:rsidRPr="00860B02">
        <w:rPr>
          <w:iCs/>
        </w:rPr>
        <w:t>29</w:t>
      </w:r>
      <w:r w:rsidR="00082642" w:rsidRPr="00860B02">
        <w:rPr>
          <w:iCs/>
        </w:rPr>
        <w:t xml:space="preserve"> ci</w:t>
      </w:r>
      <w:r w:rsidR="000B2679" w:rsidRPr="00860B02">
        <w:rPr>
          <w:iCs/>
        </w:rPr>
        <w:noBreakHyphen/>
      </w:r>
      <w:r w:rsidR="00082642" w:rsidRPr="00860B02">
        <w:rPr>
          <w:iCs/>
        </w:rPr>
        <w:t>après</w:t>
      </w:r>
      <w:r w:rsidR="00753A18" w:rsidRPr="00860B02">
        <w:rPr>
          <w:iCs/>
        </w:rPr>
        <w:t>);</w:t>
      </w:r>
    </w:p>
    <w:p w:rsidR="00090AC1" w:rsidRPr="00860B02" w:rsidRDefault="00090AC1" w:rsidP="0077424B">
      <w:pPr>
        <w:tabs>
          <w:tab w:val="left" w:pos="1418"/>
        </w:tabs>
        <w:ind w:firstLine="993"/>
        <w:rPr>
          <w:iCs/>
        </w:rPr>
      </w:pPr>
    </w:p>
    <w:p w:rsidR="00093E95" w:rsidRPr="00860B02" w:rsidRDefault="0077424B" w:rsidP="0077424B">
      <w:pPr>
        <w:tabs>
          <w:tab w:val="left" w:pos="1418"/>
        </w:tabs>
        <w:ind w:firstLine="993"/>
        <w:rPr>
          <w:iCs/>
        </w:rPr>
      </w:pPr>
      <w:r w:rsidRPr="00860B02">
        <w:rPr>
          <w:iCs/>
        </w:rPr>
        <w:t>iii)</w:t>
      </w:r>
      <w:r w:rsidRPr="00860B02">
        <w:rPr>
          <w:iCs/>
        </w:rPr>
        <w:tab/>
      </w:r>
      <w:r w:rsidR="00753A18" w:rsidRPr="00860B02">
        <w:rPr>
          <w:iCs/>
        </w:rPr>
        <w:t>nouve</w:t>
      </w:r>
      <w:r w:rsidR="00377A2E" w:rsidRPr="00860B02">
        <w:rPr>
          <w:iCs/>
        </w:rPr>
        <w:t>lle section</w:t>
      </w:r>
      <w:r w:rsidR="00752EE1" w:rsidRPr="00860B02">
        <w:rPr>
          <w:iCs/>
        </w:rPr>
        <w:t> </w:t>
      </w:r>
      <w:r w:rsidR="008B5ED9" w:rsidRPr="00860B02">
        <w:rPr>
          <w:iCs/>
        </w:rPr>
        <w:t>2.3.1</w:t>
      </w:r>
      <w:r w:rsidR="00082642" w:rsidRPr="00860B02">
        <w:rPr>
          <w:iCs/>
        </w:rPr>
        <w:t>.</w:t>
      </w:r>
      <w:r w:rsidR="008B5ED9" w:rsidRPr="00860B02">
        <w:rPr>
          <w:iCs/>
        </w:rPr>
        <w:t>d), concern</w:t>
      </w:r>
      <w:r w:rsidR="00093E95" w:rsidRPr="00860B02">
        <w:rPr>
          <w:iCs/>
        </w:rPr>
        <w:t>ant de nouve</w:t>
      </w:r>
      <w:r w:rsidR="0058241D" w:rsidRPr="00860B02">
        <w:rPr>
          <w:iCs/>
        </w:rPr>
        <w:t>lles orientations</w:t>
      </w:r>
      <w:r w:rsidR="00093E95" w:rsidRPr="00860B02">
        <w:rPr>
          <w:iCs/>
        </w:rPr>
        <w:t xml:space="preserve"> à propos de la confusion éventuelle découlant de l</w:t>
      </w:r>
      <w:r w:rsidR="00905CDD" w:rsidRPr="00860B02">
        <w:rPr>
          <w:iCs/>
        </w:rPr>
        <w:t>’</w:t>
      </w:r>
      <w:r w:rsidR="00093E95" w:rsidRPr="00860B02">
        <w:rPr>
          <w:iCs/>
        </w:rPr>
        <w:t>emploi du nom botanique ou du nom commun d</w:t>
      </w:r>
      <w:r w:rsidR="00905CDD" w:rsidRPr="00860B02">
        <w:rPr>
          <w:iCs/>
        </w:rPr>
        <w:t>’</w:t>
      </w:r>
      <w:r w:rsidR="00093E95" w:rsidRPr="00860B02">
        <w:rPr>
          <w:iCs/>
        </w:rPr>
        <w:t xml:space="preserve">un genre auquel la variété appartient ou non </w:t>
      </w:r>
      <w:r w:rsidR="00093E95" w:rsidRPr="00860B02">
        <w:rPr>
          <w:rFonts w:cs="Arial"/>
          <w:iCs/>
        </w:rPr>
        <w:t>(</w:t>
      </w:r>
      <w:r w:rsidR="00093E95" w:rsidRPr="00860B02">
        <w:rPr>
          <w:iCs/>
        </w:rPr>
        <w:t>voir les paragraphes</w:t>
      </w:r>
      <w:r w:rsidR="00752EE1" w:rsidRPr="00860B02">
        <w:rPr>
          <w:iCs/>
        </w:rPr>
        <w:t> </w:t>
      </w:r>
      <w:r w:rsidR="00093E95" w:rsidRPr="00860B02">
        <w:rPr>
          <w:iCs/>
        </w:rPr>
        <w:t>30 à 32</w:t>
      </w:r>
      <w:r w:rsidR="00082642" w:rsidRPr="00860B02">
        <w:rPr>
          <w:iCs/>
        </w:rPr>
        <w:t xml:space="preserve"> ci</w:t>
      </w:r>
      <w:r w:rsidR="000B2679" w:rsidRPr="00860B02">
        <w:rPr>
          <w:iCs/>
        </w:rPr>
        <w:noBreakHyphen/>
      </w:r>
      <w:r w:rsidR="00082642" w:rsidRPr="00860B02">
        <w:rPr>
          <w:iCs/>
        </w:rPr>
        <w:t>après</w:t>
      </w:r>
      <w:r w:rsidR="00093E95" w:rsidRPr="00860B02">
        <w:rPr>
          <w:iCs/>
        </w:rPr>
        <w:t>);</w:t>
      </w:r>
    </w:p>
    <w:p w:rsidR="00090AC1" w:rsidRPr="00860B02" w:rsidRDefault="00090AC1" w:rsidP="0077424B">
      <w:pPr>
        <w:tabs>
          <w:tab w:val="left" w:pos="1418"/>
        </w:tabs>
        <w:ind w:firstLine="993"/>
        <w:rPr>
          <w:iCs/>
        </w:rPr>
      </w:pPr>
    </w:p>
    <w:p w:rsidR="0061101C" w:rsidRPr="00860B02" w:rsidRDefault="0077424B" w:rsidP="0077424B">
      <w:pPr>
        <w:tabs>
          <w:tab w:val="left" w:pos="1418"/>
        </w:tabs>
        <w:ind w:firstLine="993"/>
        <w:rPr>
          <w:iCs/>
        </w:rPr>
      </w:pPr>
      <w:r w:rsidRPr="00860B02">
        <w:rPr>
          <w:iCs/>
        </w:rPr>
        <w:t>iv)</w:t>
      </w:r>
      <w:r w:rsidRPr="00860B02">
        <w:rPr>
          <w:iCs/>
        </w:rPr>
        <w:tab/>
      </w:r>
      <w:r w:rsidR="00377A2E" w:rsidRPr="00860B02">
        <w:rPr>
          <w:iCs/>
        </w:rPr>
        <w:t xml:space="preserve">section </w:t>
      </w:r>
      <w:r w:rsidR="008B5ED9" w:rsidRPr="00860B02">
        <w:rPr>
          <w:iCs/>
        </w:rPr>
        <w:t>2.3.3</w:t>
      </w:r>
      <w:r w:rsidR="00082642" w:rsidRPr="00860B02">
        <w:rPr>
          <w:iCs/>
        </w:rPr>
        <w:t>.</w:t>
      </w:r>
      <w:r w:rsidR="008B5ED9" w:rsidRPr="00860B02">
        <w:rPr>
          <w:iCs/>
        </w:rPr>
        <w:t>(a), propos</w:t>
      </w:r>
      <w:r w:rsidR="0061101C" w:rsidRPr="00860B02">
        <w:rPr>
          <w:iCs/>
        </w:rPr>
        <w:t xml:space="preserve">ition </w:t>
      </w:r>
      <w:r w:rsidR="0058241D" w:rsidRPr="00860B02">
        <w:rPr>
          <w:iCs/>
        </w:rPr>
        <w:t>d</w:t>
      </w:r>
      <w:r w:rsidR="00905CDD" w:rsidRPr="00860B02">
        <w:rPr>
          <w:iCs/>
        </w:rPr>
        <w:t>’</w:t>
      </w:r>
      <w:r w:rsidR="0058241D" w:rsidRPr="00860B02">
        <w:rPr>
          <w:iCs/>
        </w:rPr>
        <w:t>orientation</w:t>
      </w:r>
      <w:r w:rsidR="0061101C" w:rsidRPr="00860B02">
        <w:rPr>
          <w:iCs/>
        </w:rPr>
        <w:t xml:space="preserve"> </w:t>
      </w:r>
      <w:r w:rsidR="008B5ED9" w:rsidRPr="00860B02">
        <w:rPr>
          <w:iCs/>
        </w:rPr>
        <w:t>initial</w:t>
      </w:r>
      <w:r w:rsidR="0058241D" w:rsidRPr="00860B02">
        <w:rPr>
          <w:iCs/>
        </w:rPr>
        <w:t>e</w:t>
      </w:r>
      <w:r w:rsidR="008B5ED9" w:rsidRPr="00860B02">
        <w:rPr>
          <w:iCs/>
        </w:rPr>
        <w:t xml:space="preserve"> </w:t>
      </w:r>
      <w:r w:rsidR="0061101C" w:rsidRPr="00860B02">
        <w:rPr>
          <w:iCs/>
        </w:rPr>
        <w:t>et d</w:t>
      </w:r>
      <w:r w:rsidR="00905CDD" w:rsidRPr="00860B02">
        <w:rPr>
          <w:iCs/>
        </w:rPr>
        <w:t>’</w:t>
      </w:r>
      <w:r w:rsidR="0061101C" w:rsidRPr="00860B02">
        <w:rPr>
          <w:iCs/>
        </w:rPr>
        <w:t>exe</w:t>
      </w:r>
      <w:r w:rsidR="008B5ED9" w:rsidRPr="00860B02">
        <w:rPr>
          <w:iCs/>
        </w:rPr>
        <w:t>mples</w:t>
      </w:r>
      <w:r w:rsidR="0061101C" w:rsidRPr="00860B02">
        <w:rPr>
          <w:iCs/>
        </w:rPr>
        <w:t xml:space="preserve"> à propos de la confusion éventuelle concernant </w:t>
      </w:r>
      <w:r w:rsidR="00752EE1" w:rsidRPr="00860B02">
        <w:rPr>
          <w:iCs/>
        </w:rPr>
        <w:t>“</w:t>
      </w:r>
      <w:r w:rsidR="0061101C" w:rsidRPr="00860B02">
        <w:rPr>
          <w:iCs/>
        </w:rPr>
        <w:t>l</w:t>
      </w:r>
      <w:r w:rsidR="00905CDD" w:rsidRPr="00860B02">
        <w:rPr>
          <w:iCs/>
        </w:rPr>
        <w:t>’</w:t>
      </w:r>
      <w:r w:rsidR="0061101C" w:rsidRPr="00860B02">
        <w:rPr>
          <w:iCs/>
        </w:rPr>
        <w:t>identité de la variété</w:t>
      </w:r>
      <w:r w:rsidR="00752EE1" w:rsidRPr="00860B02">
        <w:rPr>
          <w:iCs/>
        </w:rPr>
        <w:t>”</w:t>
      </w:r>
      <w:r w:rsidR="0061101C" w:rsidRPr="00860B02">
        <w:rPr>
          <w:iCs/>
        </w:rPr>
        <w:t xml:space="preserve"> </w:t>
      </w:r>
      <w:r w:rsidR="006D1537" w:rsidRPr="00860B02">
        <w:rPr>
          <w:iCs/>
        </w:rPr>
        <w:t>et de la question de savoir s</w:t>
      </w:r>
      <w:r w:rsidR="00905CDD" w:rsidRPr="00860B02">
        <w:rPr>
          <w:iCs/>
        </w:rPr>
        <w:t>’</w:t>
      </w:r>
      <w:r w:rsidR="006D1537" w:rsidRPr="00860B02">
        <w:rPr>
          <w:iCs/>
        </w:rPr>
        <w:t>il conviendrait de faire la différence entre des lettres formant des mots et d</w:t>
      </w:r>
      <w:r w:rsidR="00905CDD" w:rsidRPr="00860B02">
        <w:rPr>
          <w:iCs/>
        </w:rPr>
        <w:t>’</w:t>
      </w:r>
      <w:r w:rsidR="006D1537" w:rsidRPr="00860B02">
        <w:rPr>
          <w:iCs/>
        </w:rPr>
        <w:t xml:space="preserve">autres cas </w:t>
      </w:r>
      <w:r w:rsidR="006D1537" w:rsidRPr="00860B02">
        <w:rPr>
          <w:rFonts w:cs="Arial"/>
          <w:iCs/>
        </w:rPr>
        <w:t>(</w:t>
      </w:r>
      <w:r w:rsidR="006D1537" w:rsidRPr="00860B02">
        <w:rPr>
          <w:iCs/>
        </w:rPr>
        <w:t>voir le paragraphe</w:t>
      </w:r>
      <w:r w:rsidR="00752EE1" w:rsidRPr="00860B02">
        <w:rPr>
          <w:iCs/>
        </w:rPr>
        <w:t> </w:t>
      </w:r>
      <w:r w:rsidR="006D1537" w:rsidRPr="00860B02">
        <w:rPr>
          <w:iCs/>
        </w:rPr>
        <w:t xml:space="preserve">33 </w:t>
      </w:r>
      <w:r w:rsidR="00082642" w:rsidRPr="00860B02">
        <w:rPr>
          <w:iCs/>
        </w:rPr>
        <w:t>ci</w:t>
      </w:r>
      <w:r w:rsidR="000B2679" w:rsidRPr="00860B02">
        <w:rPr>
          <w:iCs/>
        </w:rPr>
        <w:noBreakHyphen/>
      </w:r>
      <w:r w:rsidR="00082642" w:rsidRPr="00860B02">
        <w:rPr>
          <w:iCs/>
        </w:rPr>
        <w:t xml:space="preserve">après </w:t>
      </w:r>
      <w:r w:rsidR="006D1537" w:rsidRPr="00860B02">
        <w:rPr>
          <w:iCs/>
        </w:rPr>
        <w:t>alinéas</w:t>
      </w:r>
      <w:r w:rsidR="00752EE1" w:rsidRPr="00860B02">
        <w:rPr>
          <w:iCs/>
        </w:rPr>
        <w:t> </w:t>
      </w:r>
      <w:r w:rsidR="006D1537" w:rsidRPr="00860B02">
        <w:rPr>
          <w:iCs/>
        </w:rPr>
        <w:t>i) à iii));</w:t>
      </w:r>
    </w:p>
    <w:p w:rsidR="00090AC1" w:rsidRPr="00860B02" w:rsidRDefault="00090AC1" w:rsidP="0077424B">
      <w:pPr>
        <w:tabs>
          <w:tab w:val="left" w:pos="1418"/>
        </w:tabs>
        <w:ind w:firstLine="993"/>
        <w:rPr>
          <w:iCs/>
        </w:rPr>
      </w:pPr>
    </w:p>
    <w:p w:rsidR="006D1537" w:rsidRPr="00860B02" w:rsidRDefault="0077424B" w:rsidP="0077424B">
      <w:pPr>
        <w:tabs>
          <w:tab w:val="left" w:pos="1418"/>
        </w:tabs>
        <w:ind w:firstLine="993"/>
        <w:rPr>
          <w:iCs/>
        </w:rPr>
      </w:pPr>
      <w:r w:rsidRPr="00860B02">
        <w:rPr>
          <w:iCs/>
        </w:rPr>
        <w:t>v)</w:t>
      </w:r>
      <w:r w:rsidRPr="00860B02">
        <w:rPr>
          <w:iCs/>
        </w:rPr>
        <w:tab/>
      </w:r>
      <w:r w:rsidR="00377A2E" w:rsidRPr="00860B02">
        <w:rPr>
          <w:iCs/>
        </w:rPr>
        <w:t xml:space="preserve">section </w:t>
      </w:r>
      <w:r w:rsidR="00082642" w:rsidRPr="00860B02">
        <w:rPr>
          <w:iCs/>
        </w:rPr>
        <w:t>2.3.3.</w:t>
      </w:r>
      <w:r w:rsidR="008B5ED9" w:rsidRPr="00860B02">
        <w:rPr>
          <w:iCs/>
        </w:rPr>
        <w:t>b), propos</w:t>
      </w:r>
      <w:r w:rsidR="006D1537" w:rsidRPr="00860B02">
        <w:rPr>
          <w:iCs/>
        </w:rPr>
        <w:t>ition d</w:t>
      </w:r>
      <w:r w:rsidR="00905CDD" w:rsidRPr="00860B02">
        <w:rPr>
          <w:iCs/>
        </w:rPr>
        <w:t>’</w:t>
      </w:r>
      <w:r w:rsidR="006D1537" w:rsidRPr="00860B02">
        <w:rPr>
          <w:iCs/>
        </w:rPr>
        <w:t>ajout de l</w:t>
      </w:r>
      <w:r w:rsidR="00905CDD" w:rsidRPr="00860B02">
        <w:rPr>
          <w:iCs/>
        </w:rPr>
        <w:t>’</w:t>
      </w:r>
      <w:r w:rsidR="006D1537" w:rsidRPr="00860B02">
        <w:rPr>
          <w:iCs/>
        </w:rPr>
        <w:t xml:space="preserve">exemple </w:t>
      </w:r>
      <w:r w:rsidR="00752EE1" w:rsidRPr="00860B02">
        <w:rPr>
          <w:iCs/>
        </w:rPr>
        <w:t>“</w:t>
      </w:r>
      <w:r w:rsidR="006D1537" w:rsidRPr="00860B02">
        <w:rPr>
          <w:iCs/>
        </w:rPr>
        <w:t>Helena</w:t>
      </w:r>
      <w:r w:rsidR="00752EE1" w:rsidRPr="00860B02">
        <w:rPr>
          <w:iCs/>
        </w:rPr>
        <w:t>”</w:t>
      </w:r>
      <w:r w:rsidR="006D1537" w:rsidRPr="00860B02">
        <w:rPr>
          <w:iCs/>
        </w:rPr>
        <w:t xml:space="preserve"> et </w:t>
      </w:r>
      <w:r w:rsidR="00752EE1" w:rsidRPr="00860B02">
        <w:rPr>
          <w:iCs/>
        </w:rPr>
        <w:t>“</w:t>
      </w:r>
      <w:r w:rsidR="006D1537" w:rsidRPr="00860B02">
        <w:rPr>
          <w:iCs/>
        </w:rPr>
        <w:t>Elena</w:t>
      </w:r>
      <w:r w:rsidR="00752EE1" w:rsidRPr="00860B02">
        <w:rPr>
          <w:iCs/>
        </w:rPr>
        <w:t>”</w:t>
      </w:r>
      <w:r w:rsidR="006D1537" w:rsidRPr="00860B02">
        <w:rPr>
          <w:iCs/>
        </w:rPr>
        <w:t xml:space="preserve"> et de suppression de l</w:t>
      </w:r>
      <w:r w:rsidR="00905CDD" w:rsidRPr="00860B02">
        <w:rPr>
          <w:iCs/>
        </w:rPr>
        <w:t>’</w:t>
      </w:r>
      <w:r w:rsidR="006D1537" w:rsidRPr="00860B02">
        <w:rPr>
          <w:iCs/>
        </w:rPr>
        <w:t xml:space="preserve">exemple </w:t>
      </w:r>
      <w:r w:rsidR="00752EE1" w:rsidRPr="00860B02">
        <w:rPr>
          <w:iCs/>
        </w:rPr>
        <w:t>“</w:t>
      </w:r>
      <w:r w:rsidR="006D1537" w:rsidRPr="00860B02">
        <w:rPr>
          <w:iCs/>
        </w:rPr>
        <w:t>Raion</w:t>
      </w:r>
      <w:r w:rsidR="00752EE1" w:rsidRPr="00860B02">
        <w:rPr>
          <w:iCs/>
        </w:rPr>
        <w:t>”</w:t>
      </w:r>
      <w:r w:rsidR="006D1537" w:rsidRPr="00860B02">
        <w:rPr>
          <w:iCs/>
        </w:rPr>
        <w:t xml:space="preserve"> et </w:t>
      </w:r>
      <w:r w:rsidR="00752EE1" w:rsidRPr="00860B02">
        <w:rPr>
          <w:iCs/>
        </w:rPr>
        <w:t>“</w:t>
      </w:r>
      <w:r w:rsidR="006D1537" w:rsidRPr="00860B02">
        <w:rPr>
          <w:iCs/>
        </w:rPr>
        <w:t>Lion</w:t>
      </w:r>
      <w:r w:rsidR="00752EE1" w:rsidRPr="00860B02">
        <w:rPr>
          <w:iCs/>
        </w:rPr>
        <w:t>”</w:t>
      </w:r>
      <w:r w:rsidR="006D1537" w:rsidRPr="00860B02">
        <w:rPr>
          <w:iCs/>
        </w:rPr>
        <w:t>, pour montrer qu</w:t>
      </w:r>
      <w:r w:rsidR="00905CDD" w:rsidRPr="00860B02">
        <w:rPr>
          <w:iCs/>
        </w:rPr>
        <w:t>’</w:t>
      </w:r>
      <w:r w:rsidR="006D1537" w:rsidRPr="00860B02">
        <w:rPr>
          <w:iCs/>
        </w:rPr>
        <w:t xml:space="preserve">une différence visuelle </w:t>
      </w:r>
      <w:r w:rsidR="00C63A01" w:rsidRPr="00860B02">
        <w:rPr>
          <w:iCs/>
        </w:rPr>
        <w:t>nette</w:t>
      </w:r>
      <w:r w:rsidR="006D1537" w:rsidRPr="00860B02">
        <w:rPr>
          <w:iCs/>
        </w:rPr>
        <w:t xml:space="preserve"> n</w:t>
      </w:r>
      <w:r w:rsidR="00905CDD" w:rsidRPr="00860B02">
        <w:rPr>
          <w:iCs/>
        </w:rPr>
        <w:t>’</w:t>
      </w:r>
      <w:r w:rsidR="006D1537" w:rsidRPr="00860B02">
        <w:rPr>
          <w:iCs/>
        </w:rPr>
        <w:t xml:space="preserve">entraîne pas toujours une différence phonétique </w:t>
      </w:r>
      <w:r w:rsidR="00C63A01" w:rsidRPr="00860B02">
        <w:rPr>
          <w:iCs/>
        </w:rPr>
        <w:t>nette</w:t>
      </w:r>
      <w:r w:rsidR="006D1537" w:rsidRPr="00860B02">
        <w:rPr>
          <w:iCs/>
        </w:rPr>
        <w:t xml:space="preserve"> </w:t>
      </w:r>
      <w:r w:rsidR="006D1537" w:rsidRPr="00860B02">
        <w:rPr>
          <w:rFonts w:cs="Arial"/>
          <w:iCs/>
        </w:rPr>
        <w:t>(</w:t>
      </w:r>
      <w:r w:rsidR="006D1537" w:rsidRPr="00860B02">
        <w:rPr>
          <w:iCs/>
        </w:rPr>
        <w:t>voir les paragraphes</w:t>
      </w:r>
      <w:r w:rsidR="00752EE1" w:rsidRPr="00860B02">
        <w:rPr>
          <w:iCs/>
        </w:rPr>
        <w:t> </w:t>
      </w:r>
      <w:r w:rsidR="006D1537" w:rsidRPr="00860B02">
        <w:rPr>
          <w:iCs/>
        </w:rPr>
        <w:t>35 et</w:t>
      </w:r>
      <w:r w:rsidR="00082642" w:rsidRPr="00860B02">
        <w:rPr>
          <w:iCs/>
        </w:rPr>
        <w:t xml:space="preserve"> </w:t>
      </w:r>
      <w:r w:rsidR="006D1537" w:rsidRPr="00860B02">
        <w:rPr>
          <w:iCs/>
        </w:rPr>
        <w:t>36</w:t>
      </w:r>
      <w:r w:rsidR="00082642" w:rsidRPr="00860B02">
        <w:rPr>
          <w:iCs/>
        </w:rPr>
        <w:t xml:space="preserve"> ci</w:t>
      </w:r>
      <w:r w:rsidR="000B2679" w:rsidRPr="00860B02">
        <w:rPr>
          <w:iCs/>
        </w:rPr>
        <w:noBreakHyphen/>
      </w:r>
      <w:r w:rsidR="00082642" w:rsidRPr="00860B02">
        <w:rPr>
          <w:iCs/>
        </w:rPr>
        <w:t>après</w:t>
      </w:r>
      <w:r w:rsidR="006D1537" w:rsidRPr="00860B02">
        <w:rPr>
          <w:iCs/>
        </w:rPr>
        <w:t>);  et</w:t>
      </w:r>
    </w:p>
    <w:p w:rsidR="00090AC1" w:rsidRPr="00860B02" w:rsidRDefault="00090AC1" w:rsidP="0077424B">
      <w:pPr>
        <w:tabs>
          <w:tab w:val="left" w:pos="1418"/>
        </w:tabs>
        <w:ind w:firstLine="993"/>
        <w:rPr>
          <w:iCs/>
        </w:rPr>
      </w:pPr>
    </w:p>
    <w:p w:rsidR="006D1537" w:rsidRPr="00860B02" w:rsidRDefault="0077424B" w:rsidP="0077424B">
      <w:pPr>
        <w:tabs>
          <w:tab w:val="left" w:pos="1418"/>
        </w:tabs>
        <w:ind w:firstLine="993"/>
        <w:rPr>
          <w:iCs/>
        </w:rPr>
      </w:pPr>
      <w:r w:rsidRPr="00860B02">
        <w:rPr>
          <w:iCs/>
        </w:rPr>
        <w:t>vi)</w:t>
      </w:r>
      <w:r w:rsidRPr="00860B02">
        <w:rPr>
          <w:iCs/>
        </w:rPr>
        <w:tab/>
      </w:r>
      <w:r w:rsidR="00377A2E" w:rsidRPr="00860B02">
        <w:rPr>
          <w:iCs/>
        </w:rPr>
        <w:t xml:space="preserve">section </w:t>
      </w:r>
      <w:r w:rsidR="00082642" w:rsidRPr="00860B02">
        <w:rPr>
          <w:iCs/>
        </w:rPr>
        <w:t>2.3.3.</w:t>
      </w:r>
      <w:r w:rsidR="008B5ED9" w:rsidRPr="00860B02">
        <w:rPr>
          <w:iCs/>
        </w:rPr>
        <w:t>d), propos</w:t>
      </w:r>
      <w:r w:rsidR="006D1537" w:rsidRPr="00860B02">
        <w:rPr>
          <w:iCs/>
        </w:rPr>
        <w:t>ition de recomma</w:t>
      </w:r>
      <w:r w:rsidR="008B5ED9" w:rsidRPr="00860B02">
        <w:rPr>
          <w:iCs/>
        </w:rPr>
        <w:t xml:space="preserve">ndation </w:t>
      </w:r>
      <w:r w:rsidR="006D1537" w:rsidRPr="00860B02">
        <w:rPr>
          <w:iCs/>
        </w:rPr>
        <w:t>visant à examiner les moyens d</w:t>
      </w:r>
      <w:r w:rsidR="00905CDD" w:rsidRPr="00860B02">
        <w:rPr>
          <w:iCs/>
        </w:rPr>
        <w:t>’</w:t>
      </w:r>
      <w:r w:rsidR="006D1537" w:rsidRPr="00860B02">
        <w:rPr>
          <w:iCs/>
        </w:rPr>
        <w:t xml:space="preserve">éviter dans tous les cas de réutiliser des dénominations </w:t>
      </w:r>
      <w:r w:rsidR="006D1537" w:rsidRPr="00860B02">
        <w:rPr>
          <w:rFonts w:cs="Arial"/>
          <w:iCs/>
        </w:rPr>
        <w:t>(</w:t>
      </w:r>
      <w:r w:rsidR="006D1537" w:rsidRPr="00860B02">
        <w:rPr>
          <w:iCs/>
        </w:rPr>
        <w:t>voir le paragraphe</w:t>
      </w:r>
      <w:r w:rsidR="00752EE1" w:rsidRPr="00860B02">
        <w:rPr>
          <w:iCs/>
        </w:rPr>
        <w:t> </w:t>
      </w:r>
      <w:r w:rsidR="006D1537" w:rsidRPr="00860B02">
        <w:rPr>
          <w:iCs/>
        </w:rPr>
        <w:t>37</w:t>
      </w:r>
      <w:r w:rsidR="00082642" w:rsidRPr="00860B02">
        <w:rPr>
          <w:iCs/>
        </w:rPr>
        <w:t xml:space="preserve"> ci</w:t>
      </w:r>
      <w:r w:rsidR="000B2679" w:rsidRPr="00860B02">
        <w:rPr>
          <w:iCs/>
        </w:rPr>
        <w:noBreakHyphen/>
      </w:r>
      <w:r w:rsidR="00082642" w:rsidRPr="00860B02">
        <w:rPr>
          <w:iCs/>
        </w:rPr>
        <w:t>après</w:t>
      </w:r>
      <w:r w:rsidR="006D1537" w:rsidRPr="00860B02">
        <w:rPr>
          <w:iCs/>
        </w:rPr>
        <w:t xml:space="preserve"> et la proposition d</w:t>
      </w:r>
      <w:r w:rsidR="00905CDD" w:rsidRPr="00860B02">
        <w:rPr>
          <w:iCs/>
        </w:rPr>
        <w:t>’</w:t>
      </w:r>
      <w:r w:rsidR="006D1537" w:rsidRPr="00860B02">
        <w:rPr>
          <w:iCs/>
        </w:rPr>
        <w:t>élargir la base de données PLUTO, faite au paragraphe</w:t>
      </w:r>
      <w:r w:rsidR="00752EE1" w:rsidRPr="00860B02">
        <w:rPr>
          <w:iCs/>
        </w:rPr>
        <w:t> </w:t>
      </w:r>
      <w:r w:rsidR="006D1537" w:rsidRPr="00860B02">
        <w:rPr>
          <w:iCs/>
        </w:rPr>
        <w:t>38</w:t>
      </w:r>
      <w:r w:rsidR="00082642" w:rsidRPr="00860B02">
        <w:rPr>
          <w:iCs/>
        </w:rPr>
        <w:t xml:space="preserve"> ci</w:t>
      </w:r>
      <w:r w:rsidR="000B2679" w:rsidRPr="00860B02">
        <w:rPr>
          <w:iCs/>
        </w:rPr>
        <w:noBreakHyphen/>
      </w:r>
      <w:r w:rsidR="00082642" w:rsidRPr="00860B02">
        <w:rPr>
          <w:iCs/>
        </w:rPr>
        <w:t>après</w:t>
      </w:r>
      <w:r w:rsidR="006D1537" w:rsidRPr="00860B02">
        <w:rPr>
          <w:iCs/>
        </w:rPr>
        <w:t>);  et</w:t>
      </w:r>
    </w:p>
    <w:p w:rsidR="00090AC1" w:rsidRPr="00860B02" w:rsidRDefault="00090AC1" w:rsidP="008B5ED9">
      <w:pPr>
        <w:rPr>
          <w:iCs/>
        </w:rPr>
      </w:pPr>
    </w:p>
    <w:p w:rsidR="006D1537" w:rsidRPr="00860B02" w:rsidRDefault="003E5089" w:rsidP="008B5ED9">
      <w:r w:rsidRPr="00860B02">
        <w:rPr>
          <w:iCs/>
        </w:rPr>
        <w:tab/>
      </w:r>
      <w:r w:rsidR="008B5ED9" w:rsidRPr="00860B02">
        <w:rPr>
          <w:iCs/>
        </w:rPr>
        <w:t>b)</w:t>
      </w:r>
      <w:r w:rsidR="008B5ED9" w:rsidRPr="00860B02">
        <w:rPr>
          <w:iCs/>
        </w:rPr>
        <w:tab/>
      </w:r>
      <w:r w:rsidR="006D1537" w:rsidRPr="00860B02">
        <w:rPr>
          <w:iCs/>
        </w:rPr>
        <w:t>à envisager une manière possible de procéder à la révision du document UPOV/INF/12, compte tenu des observations initiales</w:t>
      </w:r>
      <w:r w:rsidR="00726505" w:rsidRPr="00860B02">
        <w:rPr>
          <w:iCs/>
        </w:rPr>
        <w:t xml:space="preserve"> du CAJ</w:t>
      </w:r>
      <w:r w:rsidR="006D1537" w:rsidRPr="00860B02">
        <w:rPr>
          <w:iCs/>
        </w:rPr>
        <w:t xml:space="preserve"> sur les points précités et dans le cadre des travaux du WG</w:t>
      </w:r>
      <w:r w:rsidR="000B2679" w:rsidRPr="00860B02">
        <w:rPr>
          <w:iCs/>
        </w:rPr>
        <w:noBreakHyphen/>
      </w:r>
      <w:r w:rsidR="006D1537" w:rsidRPr="00860B02">
        <w:rPr>
          <w:iCs/>
        </w:rPr>
        <w:t xml:space="preserve">DST en </w:t>
      </w:r>
      <w:r w:rsidR="006D1537" w:rsidRPr="00860B02">
        <w:rPr>
          <w:iCs/>
        </w:rPr>
        <w:lastRenderedPageBreak/>
        <w:t xml:space="preserve">vue </w:t>
      </w:r>
      <w:r w:rsidR="004657C9" w:rsidRPr="00860B02">
        <w:rPr>
          <w:rFonts w:cs="Arial"/>
          <w:lang w:eastAsia="ja-JP"/>
        </w:rPr>
        <w:t>de l</w:t>
      </w:r>
      <w:r w:rsidR="00905CDD" w:rsidRPr="00860B02">
        <w:rPr>
          <w:rFonts w:cs="Arial"/>
          <w:lang w:eastAsia="ja-JP"/>
        </w:rPr>
        <w:t>’</w:t>
      </w:r>
      <w:r w:rsidR="004657C9" w:rsidRPr="00860B02">
        <w:rPr>
          <w:rFonts w:cs="Arial"/>
          <w:lang w:eastAsia="ja-JP"/>
        </w:rPr>
        <w:t>élaboration d</w:t>
      </w:r>
      <w:r w:rsidR="00905CDD" w:rsidRPr="00860B02">
        <w:rPr>
          <w:rFonts w:cs="Arial"/>
          <w:lang w:eastAsia="ja-JP"/>
        </w:rPr>
        <w:t>’</w:t>
      </w:r>
      <w:r w:rsidR="004657C9" w:rsidRPr="00860B02">
        <w:rPr>
          <w:rFonts w:cs="Arial"/>
          <w:lang w:eastAsia="ja-JP"/>
        </w:rPr>
        <w:t xml:space="preserve">un </w:t>
      </w:r>
      <w:r w:rsidR="00D666FA" w:rsidRPr="00860B02">
        <w:rPr>
          <w:rFonts w:cs="Arial"/>
          <w:lang w:eastAsia="ja-JP"/>
        </w:rPr>
        <w:t>moteur</w:t>
      </w:r>
      <w:r w:rsidR="004657C9" w:rsidRPr="00860B02">
        <w:rPr>
          <w:rFonts w:cs="Arial"/>
          <w:lang w:eastAsia="ja-JP"/>
        </w:rPr>
        <w:t xml:space="preserve"> </w:t>
      </w:r>
      <w:r w:rsidR="000252A0" w:rsidRPr="00860B02">
        <w:rPr>
          <w:rFonts w:cs="Arial"/>
          <w:lang w:eastAsia="ja-JP"/>
        </w:rPr>
        <w:t xml:space="preserve">efficace </w:t>
      </w:r>
      <w:r w:rsidR="004657C9" w:rsidRPr="00860B02">
        <w:rPr>
          <w:rFonts w:cs="Arial"/>
          <w:lang w:eastAsia="ja-JP"/>
        </w:rPr>
        <w:t>de recherche de</w:t>
      </w:r>
      <w:r w:rsidR="00B4703A" w:rsidRPr="00860B02">
        <w:rPr>
          <w:rFonts w:cs="Arial"/>
          <w:lang w:eastAsia="ja-JP"/>
        </w:rPr>
        <w:t xml:space="preserve"> </w:t>
      </w:r>
      <w:r w:rsidR="00D666FA" w:rsidRPr="00860B02">
        <w:rPr>
          <w:rFonts w:cs="Arial"/>
          <w:lang w:eastAsia="ja-JP"/>
        </w:rPr>
        <w:t xml:space="preserve">similitudes </w:t>
      </w:r>
      <w:r w:rsidR="00B4703A" w:rsidRPr="00860B02">
        <w:rPr>
          <w:rFonts w:cs="Arial"/>
          <w:lang w:eastAsia="ja-JP"/>
        </w:rPr>
        <w:t>de</w:t>
      </w:r>
      <w:r w:rsidR="004657C9" w:rsidRPr="00860B02">
        <w:rPr>
          <w:rFonts w:cs="Arial"/>
          <w:lang w:eastAsia="ja-JP"/>
        </w:rPr>
        <w:t xml:space="preserve"> l</w:t>
      </w:r>
      <w:r w:rsidR="00905CDD" w:rsidRPr="00860B02">
        <w:rPr>
          <w:rFonts w:cs="Arial"/>
          <w:lang w:eastAsia="ja-JP"/>
        </w:rPr>
        <w:t>’</w:t>
      </w:r>
      <w:r w:rsidR="004657C9" w:rsidRPr="00860B02">
        <w:rPr>
          <w:rFonts w:cs="Arial"/>
          <w:lang w:eastAsia="ja-JP"/>
        </w:rPr>
        <w:t xml:space="preserve">UPOV </w:t>
      </w:r>
      <w:r w:rsidR="007F2C48" w:rsidRPr="00860B02">
        <w:t>aux fins de la dénomination variétale</w:t>
      </w:r>
      <w:r w:rsidR="004657C9" w:rsidRPr="00860B02">
        <w:t>.</w:t>
      </w:r>
    </w:p>
    <w:p w:rsidR="00090AC1" w:rsidRPr="00860B02" w:rsidRDefault="00090AC1" w:rsidP="0038194C"/>
    <w:p w:rsidR="004657C9" w:rsidRPr="00860B02" w:rsidRDefault="00CB4DA9" w:rsidP="00CB4DA9">
      <w:pPr>
        <w:rPr>
          <w:iCs/>
        </w:rPr>
      </w:pPr>
      <w:r w:rsidRPr="00860B02">
        <w:fldChar w:fldCharType="begin"/>
      </w:r>
      <w:r w:rsidRPr="00860B02">
        <w:instrText xml:space="preserve"> AUTONUM  </w:instrText>
      </w:r>
      <w:r w:rsidRPr="00860B02">
        <w:fldChar w:fldCharType="end"/>
      </w:r>
      <w:r w:rsidRPr="00860B02">
        <w:tab/>
      </w:r>
      <w:r w:rsidR="004657C9" w:rsidRPr="00860B02">
        <w:rPr>
          <w:iCs/>
        </w:rPr>
        <w:t>L</w:t>
      </w:r>
      <w:r w:rsidRPr="00860B02">
        <w:rPr>
          <w:iCs/>
        </w:rPr>
        <w:t xml:space="preserve">e CAJ </w:t>
      </w:r>
      <w:r w:rsidR="004657C9" w:rsidRPr="00860B02">
        <w:rPr>
          <w:iCs/>
        </w:rPr>
        <w:t>est</w:t>
      </w:r>
      <w:r w:rsidRPr="00860B02">
        <w:rPr>
          <w:iCs/>
        </w:rPr>
        <w:t xml:space="preserve"> invit</w:t>
      </w:r>
      <w:r w:rsidR="004657C9" w:rsidRPr="00860B02">
        <w:rPr>
          <w:iCs/>
        </w:rPr>
        <w:t xml:space="preserve">é à prendre note du fait que la proposition de compléter la base de données PLUTO en y incluant toutes les variétés, </w:t>
      </w:r>
      <w:r w:rsidR="00905CDD" w:rsidRPr="00860B02">
        <w:rPr>
          <w:iCs/>
        </w:rPr>
        <w:t>y compris</w:t>
      </w:r>
      <w:r w:rsidR="004657C9" w:rsidRPr="00860B02">
        <w:rPr>
          <w:iCs/>
        </w:rPr>
        <w:t xml:space="preserve"> celles qui n</w:t>
      </w:r>
      <w:r w:rsidR="00905CDD" w:rsidRPr="00860B02">
        <w:rPr>
          <w:iCs/>
        </w:rPr>
        <w:t>’</w:t>
      </w:r>
      <w:r w:rsidR="004657C9" w:rsidRPr="00860B02">
        <w:rPr>
          <w:iCs/>
        </w:rPr>
        <w:t xml:space="preserve">ont pas enregistrées et protégées, ou ne le sont plus, est examinée dans le document CAJ/72/6 </w:t>
      </w:r>
      <w:r w:rsidR="00752EE1" w:rsidRPr="00860B02">
        <w:rPr>
          <w:iCs/>
        </w:rPr>
        <w:t>“</w:t>
      </w:r>
      <w:r w:rsidR="004657C9" w:rsidRPr="00860B02">
        <w:rPr>
          <w:iCs/>
        </w:rPr>
        <w:t>Bases de données d</w:t>
      </w:r>
      <w:r w:rsidR="00905CDD" w:rsidRPr="00860B02">
        <w:rPr>
          <w:iCs/>
        </w:rPr>
        <w:t>’</w:t>
      </w:r>
      <w:r w:rsidR="004657C9" w:rsidRPr="00860B02">
        <w:rPr>
          <w:iCs/>
        </w:rPr>
        <w:t>information de l</w:t>
      </w:r>
      <w:r w:rsidR="00905CDD" w:rsidRPr="00860B02">
        <w:rPr>
          <w:iCs/>
        </w:rPr>
        <w:t>’</w:t>
      </w:r>
      <w:r w:rsidR="004657C9" w:rsidRPr="00860B02">
        <w:rPr>
          <w:iCs/>
        </w:rPr>
        <w:t>UPOV</w:t>
      </w:r>
      <w:r w:rsidR="00752EE1" w:rsidRPr="00860B02">
        <w:rPr>
          <w:iCs/>
        </w:rPr>
        <w:t>”</w:t>
      </w:r>
      <w:r w:rsidR="004657C9" w:rsidRPr="00860B02">
        <w:rPr>
          <w:iCs/>
        </w:rPr>
        <w:t>, ainsi qu</w:t>
      </w:r>
      <w:r w:rsidR="00905CDD" w:rsidRPr="00860B02">
        <w:rPr>
          <w:iCs/>
        </w:rPr>
        <w:t>’</w:t>
      </w:r>
      <w:r w:rsidR="004657C9" w:rsidRPr="00860B02">
        <w:rPr>
          <w:iCs/>
        </w:rPr>
        <w:t xml:space="preserve">indiqué </w:t>
      </w:r>
      <w:r w:rsidR="00B424DC" w:rsidRPr="00860B02">
        <w:rPr>
          <w:iCs/>
        </w:rPr>
        <w:t>au</w:t>
      </w:r>
      <w:r w:rsidR="004657C9" w:rsidRPr="00860B02">
        <w:rPr>
          <w:iCs/>
        </w:rPr>
        <w:t xml:space="preserve"> paragraphe</w:t>
      </w:r>
      <w:r w:rsidR="00752EE1" w:rsidRPr="00860B02">
        <w:rPr>
          <w:iCs/>
        </w:rPr>
        <w:t> </w:t>
      </w:r>
      <w:r w:rsidR="004657C9" w:rsidRPr="00860B02">
        <w:rPr>
          <w:iCs/>
        </w:rPr>
        <w:t>38</w:t>
      </w:r>
      <w:r w:rsidR="00082642" w:rsidRPr="00860B02">
        <w:rPr>
          <w:iCs/>
        </w:rPr>
        <w:t xml:space="preserve"> ci</w:t>
      </w:r>
      <w:r w:rsidR="000B2679" w:rsidRPr="00860B02">
        <w:rPr>
          <w:iCs/>
        </w:rPr>
        <w:noBreakHyphen/>
      </w:r>
      <w:r w:rsidR="00082642" w:rsidRPr="00860B02">
        <w:rPr>
          <w:iCs/>
        </w:rPr>
        <w:t>après</w:t>
      </w:r>
      <w:r w:rsidR="004657C9" w:rsidRPr="00860B02">
        <w:rPr>
          <w:iCs/>
        </w:rPr>
        <w:t>.</w:t>
      </w:r>
    </w:p>
    <w:p w:rsidR="00090AC1" w:rsidRPr="00860B02" w:rsidRDefault="00090AC1" w:rsidP="0038194C">
      <w:pPr>
        <w:rPr>
          <w:iCs/>
          <w:lang w:eastAsia="ja-JP"/>
        </w:rPr>
      </w:pPr>
    </w:p>
    <w:p w:rsidR="004657C9" w:rsidRPr="00860B02" w:rsidRDefault="003C7F21" w:rsidP="0038194C">
      <w:pPr>
        <w:rPr>
          <w:iCs/>
          <w:lang w:eastAsia="ja-JP"/>
        </w:rPr>
      </w:pPr>
      <w:r w:rsidRPr="00860B02">
        <w:fldChar w:fldCharType="begin"/>
      </w:r>
      <w:r w:rsidRPr="00860B02">
        <w:instrText xml:space="preserve"> AUTONUM  </w:instrText>
      </w:r>
      <w:r w:rsidRPr="00860B02">
        <w:fldChar w:fldCharType="end"/>
      </w:r>
      <w:r w:rsidRPr="00860B02">
        <w:tab/>
      </w:r>
      <w:r w:rsidR="004657C9" w:rsidRPr="00860B02">
        <w:rPr>
          <w:iCs/>
        </w:rPr>
        <w:t>Le CAJ est invité à</w:t>
      </w:r>
      <w:r w:rsidR="004657C9" w:rsidRPr="00860B02">
        <w:rPr>
          <w:iCs/>
          <w:lang w:eastAsia="ja-JP"/>
        </w:rPr>
        <w:t xml:space="preserve"> examiner les propositions du groupe consultatif</w:t>
      </w:r>
      <w:r w:rsidR="00726505" w:rsidRPr="00860B02">
        <w:rPr>
          <w:iCs/>
          <w:lang w:eastAsia="ja-JP"/>
        </w:rPr>
        <w:t xml:space="preserve"> du CAJ</w:t>
      </w:r>
      <w:r w:rsidR="004657C9" w:rsidRPr="00860B02">
        <w:rPr>
          <w:iCs/>
          <w:lang w:eastAsia="ja-JP"/>
        </w:rPr>
        <w:t xml:space="preserve"> concernant la révision du document UPOV/INF/12/5, </w:t>
      </w:r>
      <w:r w:rsidR="00377A2E" w:rsidRPr="00860B02">
        <w:rPr>
          <w:iCs/>
        </w:rPr>
        <w:t>sections</w:t>
      </w:r>
      <w:r w:rsidR="00752EE1" w:rsidRPr="00860B02">
        <w:rPr>
          <w:iCs/>
        </w:rPr>
        <w:t> </w:t>
      </w:r>
      <w:r w:rsidR="00082642" w:rsidRPr="00860B02">
        <w:rPr>
          <w:iCs/>
          <w:lang w:eastAsia="ja-JP"/>
        </w:rPr>
        <w:t>2.2.2.</w:t>
      </w:r>
      <w:r w:rsidR="004657C9" w:rsidRPr="00860B02">
        <w:rPr>
          <w:iCs/>
          <w:lang w:eastAsia="ja-JP"/>
        </w:rPr>
        <w:t>c), 4</w:t>
      </w:r>
      <w:r w:rsidR="00082642" w:rsidRPr="00860B02">
        <w:rPr>
          <w:iCs/>
          <w:lang w:eastAsia="ja-JP"/>
        </w:rPr>
        <w:t>.</w:t>
      </w:r>
      <w:r w:rsidR="004657C9" w:rsidRPr="00860B02">
        <w:rPr>
          <w:iCs/>
          <w:lang w:eastAsia="ja-JP"/>
        </w:rPr>
        <w:t>a) et</w:t>
      </w:r>
      <w:r w:rsidR="00082642" w:rsidRPr="00860B02">
        <w:rPr>
          <w:iCs/>
          <w:lang w:eastAsia="ja-JP"/>
        </w:rPr>
        <w:t xml:space="preserve"> 4.</w:t>
      </w:r>
      <w:r w:rsidR="004657C9" w:rsidRPr="00860B02">
        <w:rPr>
          <w:iCs/>
          <w:lang w:eastAsia="ja-JP"/>
        </w:rPr>
        <w:t>e)i), ainsi qu</w:t>
      </w:r>
      <w:r w:rsidR="00905CDD" w:rsidRPr="00860B02">
        <w:rPr>
          <w:iCs/>
          <w:lang w:eastAsia="ja-JP"/>
        </w:rPr>
        <w:t>’</w:t>
      </w:r>
      <w:r w:rsidR="004657C9" w:rsidRPr="00860B02">
        <w:rPr>
          <w:iCs/>
          <w:lang w:eastAsia="ja-JP"/>
        </w:rPr>
        <w:t xml:space="preserve">indiqué </w:t>
      </w:r>
      <w:r w:rsidR="00B424DC" w:rsidRPr="00860B02">
        <w:rPr>
          <w:iCs/>
          <w:lang w:eastAsia="ja-JP"/>
        </w:rPr>
        <w:t xml:space="preserve">au </w:t>
      </w:r>
      <w:r w:rsidR="004657C9" w:rsidRPr="00860B02">
        <w:rPr>
          <w:iCs/>
          <w:lang w:eastAsia="ja-JP"/>
        </w:rPr>
        <w:t>paragraphe</w:t>
      </w:r>
      <w:r w:rsidR="00752EE1" w:rsidRPr="00860B02">
        <w:rPr>
          <w:iCs/>
          <w:lang w:eastAsia="ja-JP"/>
        </w:rPr>
        <w:t> </w:t>
      </w:r>
      <w:r w:rsidR="004657C9" w:rsidRPr="00860B02">
        <w:rPr>
          <w:iCs/>
          <w:lang w:eastAsia="ja-JP"/>
        </w:rPr>
        <w:t>41</w:t>
      </w:r>
      <w:r w:rsidR="00082642" w:rsidRPr="00860B02">
        <w:rPr>
          <w:iCs/>
          <w:lang w:eastAsia="ja-JP"/>
        </w:rPr>
        <w:t xml:space="preserve"> ci</w:t>
      </w:r>
      <w:r w:rsidR="000B2679" w:rsidRPr="00860B02">
        <w:rPr>
          <w:iCs/>
          <w:lang w:eastAsia="ja-JP"/>
        </w:rPr>
        <w:noBreakHyphen/>
      </w:r>
      <w:r w:rsidR="00082642" w:rsidRPr="00860B02">
        <w:rPr>
          <w:iCs/>
          <w:lang w:eastAsia="ja-JP"/>
        </w:rPr>
        <w:t>après</w:t>
      </w:r>
      <w:r w:rsidR="004657C9" w:rsidRPr="00860B02">
        <w:rPr>
          <w:iCs/>
          <w:lang w:eastAsia="ja-JP"/>
        </w:rPr>
        <w:t>.</w:t>
      </w:r>
    </w:p>
    <w:p w:rsidR="00090AC1" w:rsidRPr="00860B02" w:rsidRDefault="00090AC1">
      <w:pPr>
        <w:jc w:val="left"/>
        <w:rPr>
          <w:rFonts w:cs="Arial"/>
          <w:snapToGrid w:val="0"/>
        </w:rPr>
      </w:pPr>
    </w:p>
    <w:p w:rsidR="00090AC1" w:rsidRPr="00860B02" w:rsidRDefault="00B734CF" w:rsidP="00090AC1">
      <w:pPr>
        <w:keepNext/>
        <w:rPr>
          <w:rFonts w:cs="Arial"/>
          <w:snapToGrid w:val="0"/>
          <w:lang w:eastAsia="ja-JP"/>
        </w:rPr>
      </w:pPr>
      <w:r w:rsidRPr="00860B02">
        <w:rPr>
          <w:rFonts w:cs="Arial"/>
          <w:snapToGrid w:val="0"/>
        </w:rPr>
        <w:fldChar w:fldCharType="begin"/>
      </w:r>
      <w:r w:rsidRPr="00860B02">
        <w:rPr>
          <w:rFonts w:cs="Arial"/>
          <w:snapToGrid w:val="0"/>
        </w:rPr>
        <w:instrText xml:space="preserve"> AUTONUM  </w:instrText>
      </w:r>
      <w:r w:rsidRPr="00860B02">
        <w:rPr>
          <w:rFonts w:cs="Arial"/>
          <w:snapToGrid w:val="0"/>
        </w:rPr>
        <w:fldChar w:fldCharType="end"/>
      </w:r>
      <w:r w:rsidRPr="00860B02">
        <w:rPr>
          <w:rFonts w:cs="Arial"/>
          <w:snapToGrid w:val="0"/>
        </w:rPr>
        <w:tab/>
      </w:r>
      <w:r w:rsidR="00090AC1" w:rsidRPr="00860B02">
        <w:rPr>
          <w:rFonts w:cs="Arial"/>
          <w:snapToGrid w:val="0"/>
        </w:rPr>
        <w:t>La structure du présent document est la suivante</w:t>
      </w:r>
      <w:r w:rsidR="00752EE1" w:rsidRPr="00860B02">
        <w:rPr>
          <w:rFonts w:cs="Arial"/>
          <w:snapToGrid w:val="0"/>
        </w:rPr>
        <w:t> </w:t>
      </w:r>
      <w:r w:rsidR="00090AC1" w:rsidRPr="00860B02">
        <w:rPr>
          <w:rFonts w:cs="Arial"/>
          <w:snapToGrid w:val="0"/>
        </w:rPr>
        <w:t>:</w:t>
      </w:r>
    </w:p>
    <w:p w:rsidR="00090AC1" w:rsidRPr="00860B02" w:rsidRDefault="00090AC1" w:rsidP="00B734CF">
      <w:pPr>
        <w:keepNext/>
        <w:rPr>
          <w:rFonts w:cs="Arial"/>
          <w:snapToGrid w:val="0"/>
          <w:lang w:eastAsia="ja-JP"/>
        </w:rPr>
      </w:pPr>
    </w:p>
    <w:p w:rsidR="00860B02" w:rsidRDefault="00B734CF">
      <w:pPr>
        <w:pStyle w:val="TOC1"/>
        <w:rPr>
          <w:rFonts w:asciiTheme="minorHAnsi" w:hAnsiTheme="minorHAnsi" w:cstheme="minorBidi"/>
          <w:caps w:val="0"/>
          <w:sz w:val="22"/>
          <w:szCs w:val="22"/>
        </w:rPr>
      </w:pPr>
      <w:r w:rsidRPr="00860B02">
        <w:rPr>
          <w:rFonts w:cs="Arial"/>
          <w:bCs/>
          <w:noProof w:val="0"/>
          <w:snapToGrid w:val="0"/>
          <w:sz w:val="18"/>
          <w:lang w:val="fr-FR"/>
        </w:rPr>
        <w:fldChar w:fldCharType="begin"/>
      </w:r>
      <w:r w:rsidRPr="00860B02">
        <w:rPr>
          <w:rFonts w:cs="Arial"/>
          <w:bCs/>
          <w:noProof w:val="0"/>
          <w:snapToGrid w:val="0"/>
          <w:sz w:val="18"/>
          <w:lang w:val="fr-FR"/>
        </w:rPr>
        <w:instrText xml:space="preserve"> TOC \o "1-3" \h \z \u </w:instrText>
      </w:r>
      <w:r w:rsidRPr="00860B02">
        <w:rPr>
          <w:rFonts w:cs="Arial"/>
          <w:bCs/>
          <w:noProof w:val="0"/>
          <w:snapToGrid w:val="0"/>
          <w:sz w:val="18"/>
          <w:lang w:val="fr-FR"/>
        </w:rPr>
        <w:fldChar w:fldCharType="separate"/>
      </w:r>
      <w:hyperlink w:anchor="_Toc432493958" w:history="1">
        <w:r w:rsidR="00860B02" w:rsidRPr="00297603">
          <w:rPr>
            <w:rStyle w:val="Hyperlink"/>
            <w:lang w:val="fr-FR" w:eastAsia="ja-JP"/>
          </w:rPr>
          <w:t>Résumé analytique</w:t>
        </w:r>
        <w:r w:rsidR="00860B02">
          <w:rPr>
            <w:webHidden/>
          </w:rPr>
          <w:tab/>
        </w:r>
        <w:r w:rsidR="00860B02">
          <w:rPr>
            <w:webHidden/>
          </w:rPr>
          <w:fldChar w:fldCharType="begin"/>
        </w:r>
        <w:r w:rsidR="00860B02">
          <w:rPr>
            <w:webHidden/>
          </w:rPr>
          <w:instrText xml:space="preserve"> PAGEREF _Toc432493958 \h </w:instrText>
        </w:r>
        <w:r w:rsidR="00860B02">
          <w:rPr>
            <w:webHidden/>
          </w:rPr>
        </w:r>
        <w:r w:rsidR="00860B02">
          <w:rPr>
            <w:webHidden/>
          </w:rPr>
          <w:fldChar w:fldCharType="separate"/>
        </w:r>
        <w:r w:rsidR="00E4452E">
          <w:rPr>
            <w:webHidden/>
          </w:rPr>
          <w:t>1</w:t>
        </w:r>
        <w:r w:rsidR="00860B02">
          <w:rPr>
            <w:webHidden/>
          </w:rPr>
          <w:fldChar w:fldCharType="end"/>
        </w:r>
      </w:hyperlink>
    </w:p>
    <w:p w:rsidR="00860B02" w:rsidRDefault="00E4452E">
      <w:pPr>
        <w:pStyle w:val="TOC1"/>
        <w:rPr>
          <w:rFonts w:asciiTheme="minorHAnsi" w:hAnsiTheme="minorHAnsi" w:cstheme="minorBidi"/>
          <w:caps w:val="0"/>
          <w:sz w:val="22"/>
          <w:szCs w:val="22"/>
        </w:rPr>
      </w:pPr>
      <w:hyperlink w:anchor="_Toc432493959" w:history="1">
        <w:r w:rsidR="00860B02" w:rsidRPr="00297603">
          <w:rPr>
            <w:rStyle w:val="Hyperlink"/>
            <w:lang w:val="fr-FR"/>
          </w:rPr>
          <w:t>Objet</w:t>
        </w:r>
        <w:r w:rsidR="00860B02">
          <w:rPr>
            <w:webHidden/>
          </w:rPr>
          <w:tab/>
        </w:r>
        <w:r w:rsidR="00860B02">
          <w:rPr>
            <w:webHidden/>
          </w:rPr>
          <w:fldChar w:fldCharType="begin"/>
        </w:r>
        <w:r w:rsidR="00860B02">
          <w:rPr>
            <w:webHidden/>
          </w:rPr>
          <w:instrText xml:space="preserve"> PAGEREF _Toc432493959 \h </w:instrText>
        </w:r>
        <w:r w:rsidR="00860B02">
          <w:rPr>
            <w:webHidden/>
          </w:rPr>
        </w:r>
        <w:r w:rsidR="00860B02">
          <w:rPr>
            <w:webHidden/>
          </w:rPr>
          <w:fldChar w:fldCharType="separate"/>
        </w:r>
        <w:r>
          <w:rPr>
            <w:webHidden/>
          </w:rPr>
          <w:t>2</w:t>
        </w:r>
        <w:r w:rsidR="00860B02">
          <w:rPr>
            <w:webHidden/>
          </w:rPr>
          <w:fldChar w:fldCharType="end"/>
        </w:r>
      </w:hyperlink>
    </w:p>
    <w:p w:rsidR="00860B02" w:rsidRDefault="00E4452E">
      <w:pPr>
        <w:pStyle w:val="TOC1"/>
        <w:rPr>
          <w:rFonts w:asciiTheme="minorHAnsi" w:hAnsiTheme="minorHAnsi" w:cstheme="minorBidi"/>
          <w:caps w:val="0"/>
          <w:sz w:val="22"/>
          <w:szCs w:val="22"/>
        </w:rPr>
      </w:pPr>
      <w:hyperlink w:anchor="_Toc432493960" w:history="1">
        <w:r w:rsidR="00860B02" w:rsidRPr="00297603">
          <w:rPr>
            <w:rStyle w:val="Hyperlink"/>
            <w:snapToGrid w:val="0"/>
            <w:lang w:val="fr-FR" w:eastAsia="ja-JP"/>
          </w:rPr>
          <w:t>Possibilité d’élaboration d’un moteur de recherche de similitudes de l’UPOV aux fins de LA dénomination variétale</w:t>
        </w:r>
        <w:r w:rsidR="00860B02">
          <w:rPr>
            <w:webHidden/>
          </w:rPr>
          <w:tab/>
        </w:r>
        <w:r w:rsidR="00860B02">
          <w:rPr>
            <w:webHidden/>
          </w:rPr>
          <w:fldChar w:fldCharType="begin"/>
        </w:r>
        <w:r w:rsidR="00860B02">
          <w:rPr>
            <w:webHidden/>
          </w:rPr>
          <w:instrText xml:space="preserve"> PAGEREF _Toc432493960 \h </w:instrText>
        </w:r>
        <w:r w:rsidR="00860B02">
          <w:rPr>
            <w:webHidden/>
          </w:rPr>
        </w:r>
        <w:r w:rsidR="00860B02">
          <w:rPr>
            <w:webHidden/>
          </w:rPr>
          <w:fldChar w:fldCharType="separate"/>
        </w:r>
        <w:r>
          <w:rPr>
            <w:webHidden/>
          </w:rPr>
          <w:t>2</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61" w:history="1">
        <w:r w:rsidR="00860B02" w:rsidRPr="00297603">
          <w:rPr>
            <w:rStyle w:val="Hyperlink"/>
            <w:lang w:val="fr-FR" w:eastAsia="ja-JP"/>
          </w:rPr>
          <w:t>Compte rendu de l’étude test du WG</w:t>
        </w:r>
        <w:r w:rsidR="00860B02" w:rsidRPr="00297603">
          <w:rPr>
            <w:rStyle w:val="Hyperlink"/>
            <w:lang w:val="fr-FR" w:eastAsia="ja-JP"/>
          </w:rPr>
          <w:noBreakHyphen/>
          <w:t>DST et utilisation éventuelle d’un moteur de recherche de similitudes de l’UPOV aux fins de la dénomination variétale au sein de l’UPOV</w:t>
        </w:r>
        <w:r w:rsidR="00860B02">
          <w:rPr>
            <w:webHidden/>
          </w:rPr>
          <w:tab/>
        </w:r>
        <w:r w:rsidR="00860B02">
          <w:rPr>
            <w:webHidden/>
          </w:rPr>
          <w:fldChar w:fldCharType="begin"/>
        </w:r>
        <w:r w:rsidR="00860B02">
          <w:rPr>
            <w:webHidden/>
          </w:rPr>
          <w:instrText xml:space="preserve"> PAGEREF _Toc432493961 \h </w:instrText>
        </w:r>
        <w:r w:rsidR="00860B02">
          <w:rPr>
            <w:webHidden/>
          </w:rPr>
        </w:r>
        <w:r w:rsidR="00860B02">
          <w:rPr>
            <w:webHidden/>
          </w:rPr>
          <w:fldChar w:fldCharType="separate"/>
        </w:r>
        <w:r>
          <w:rPr>
            <w:webHidden/>
          </w:rPr>
          <w:t>3</w:t>
        </w:r>
        <w:r w:rsidR="00860B02">
          <w:rPr>
            <w:webHidden/>
          </w:rPr>
          <w:fldChar w:fldCharType="end"/>
        </w:r>
      </w:hyperlink>
    </w:p>
    <w:p w:rsidR="00860B02" w:rsidRDefault="00E4452E">
      <w:pPr>
        <w:pStyle w:val="TOC3"/>
        <w:rPr>
          <w:rFonts w:asciiTheme="minorHAnsi" w:hAnsiTheme="minorHAnsi" w:cstheme="minorBidi"/>
          <w:i w:val="0"/>
          <w:sz w:val="22"/>
          <w:szCs w:val="22"/>
          <w:lang w:val="en-US"/>
        </w:rPr>
      </w:pPr>
      <w:hyperlink w:anchor="_Toc432493962" w:history="1">
        <w:r w:rsidR="00860B02" w:rsidRPr="00297603">
          <w:rPr>
            <w:rStyle w:val="Hyperlink"/>
            <w:lang w:eastAsia="ja-JP"/>
          </w:rPr>
          <w:t>Étude test</w:t>
        </w:r>
        <w:r w:rsidR="00860B02">
          <w:rPr>
            <w:webHidden/>
          </w:rPr>
          <w:tab/>
        </w:r>
        <w:r w:rsidR="00860B02">
          <w:rPr>
            <w:webHidden/>
          </w:rPr>
          <w:fldChar w:fldCharType="begin"/>
        </w:r>
        <w:r w:rsidR="00860B02">
          <w:rPr>
            <w:webHidden/>
          </w:rPr>
          <w:instrText xml:space="preserve"> PAGEREF _Toc432493962 \h </w:instrText>
        </w:r>
        <w:r w:rsidR="00860B02">
          <w:rPr>
            <w:webHidden/>
          </w:rPr>
        </w:r>
        <w:r w:rsidR="00860B02">
          <w:rPr>
            <w:webHidden/>
          </w:rPr>
          <w:fldChar w:fldCharType="separate"/>
        </w:r>
        <w:r>
          <w:rPr>
            <w:webHidden/>
          </w:rPr>
          <w:t>3</w:t>
        </w:r>
        <w:r w:rsidR="00860B02">
          <w:rPr>
            <w:webHidden/>
          </w:rPr>
          <w:fldChar w:fldCharType="end"/>
        </w:r>
      </w:hyperlink>
    </w:p>
    <w:p w:rsidR="00860B02" w:rsidRDefault="00E4452E">
      <w:pPr>
        <w:pStyle w:val="TOC3"/>
        <w:rPr>
          <w:rFonts w:asciiTheme="minorHAnsi" w:hAnsiTheme="minorHAnsi" w:cstheme="minorBidi"/>
          <w:i w:val="0"/>
          <w:sz w:val="22"/>
          <w:szCs w:val="22"/>
          <w:lang w:val="en-US"/>
        </w:rPr>
      </w:pPr>
      <w:hyperlink w:anchor="_Toc432493963" w:history="1">
        <w:r w:rsidR="00860B02" w:rsidRPr="00297603">
          <w:rPr>
            <w:rStyle w:val="Hyperlink"/>
            <w:lang w:eastAsia="ja-JP"/>
          </w:rPr>
          <w:t>Termes non acceptables à des fins de dénomination variétale</w:t>
        </w:r>
        <w:r w:rsidR="00860B02">
          <w:rPr>
            <w:webHidden/>
          </w:rPr>
          <w:tab/>
        </w:r>
        <w:r w:rsidR="00860B02">
          <w:rPr>
            <w:webHidden/>
          </w:rPr>
          <w:fldChar w:fldCharType="begin"/>
        </w:r>
        <w:r w:rsidR="00860B02">
          <w:rPr>
            <w:webHidden/>
          </w:rPr>
          <w:instrText xml:space="preserve"> PAGEREF _Toc432493963 \h </w:instrText>
        </w:r>
        <w:r w:rsidR="00860B02">
          <w:rPr>
            <w:webHidden/>
          </w:rPr>
        </w:r>
        <w:r w:rsidR="00860B02">
          <w:rPr>
            <w:webHidden/>
          </w:rPr>
          <w:fldChar w:fldCharType="separate"/>
        </w:r>
        <w:r>
          <w:rPr>
            <w:webHidden/>
          </w:rPr>
          <w:t>4</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64" w:history="1">
        <w:r w:rsidR="00860B02" w:rsidRPr="00297603">
          <w:rPr>
            <w:rStyle w:val="Hyperlink"/>
            <w:lang w:val="fr-FR" w:eastAsia="ja-JP"/>
          </w:rPr>
          <w:t>Problèmes phonétiques</w:t>
        </w:r>
        <w:r w:rsidR="00860B02">
          <w:rPr>
            <w:webHidden/>
          </w:rPr>
          <w:tab/>
        </w:r>
        <w:r w:rsidR="00860B02">
          <w:rPr>
            <w:webHidden/>
          </w:rPr>
          <w:fldChar w:fldCharType="begin"/>
        </w:r>
        <w:r w:rsidR="00860B02">
          <w:rPr>
            <w:webHidden/>
          </w:rPr>
          <w:instrText xml:space="preserve"> PAGEREF _Toc432493964 \h </w:instrText>
        </w:r>
        <w:r w:rsidR="00860B02">
          <w:rPr>
            <w:webHidden/>
          </w:rPr>
        </w:r>
        <w:r w:rsidR="00860B02">
          <w:rPr>
            <w:webHidden/>
          </w:rPr>
          <w:fldChar w:fldCharType="separate"/>
        </w:r>
        <w:r>
          <w:rPr>
            <w:webHidden/>
          </w:rPr>
          <w:t>4</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65" w:history="1">
        <w:r w:rsidR="00860B02" w:rsidRPr="00297603">
          <w:rPr>
            <w:rStyle w:val="Hyperlink"/>
            <w:lang w:val="fr-FR" w:eastAsia="ja-JP"/>
          </w:rPr>
          <w:t>Problèmes linguistiques</w:t>
        </w:r>
        <w:r w:rsidR="00860B02">
          <w:rPr>
            <w:webHidden/>
          </w:rPr>
          <w:tab/>
        </w:r>
        <w:r w:rsidR="00860B02">
          <w:rPr>
            <w:webHidden/>
          </w:rPr>
          <w:fldChar w:fldCharType="begin"/>
        </w:r>
        <w:r w:rsidR="00860B02">
          <w:rPr>
            <w:webHidden/>
          </w:rPr>
          <w:instrText xml:space="preserve"> PAGEREF _Toc432493965 \h </w:instrText>
        </w:r>
        <w:r w:rsidR="00860B02">
          <w:rPr>
            <w:webHidden/>
          </w:rPr>
        </w:r>
        <w:r w:rsidR="00860B02">
          <w:rPr>
            <w:webHidden/>
          </w:rPr>
          <w:fldChar w:fldCharType="separate"/>
        </w:r>
        <w:r>
          <w:rPr>
            <w:webHidden/>
          </w:rPr>
          <w:t>4</w:t>
        </w:r>
        <w:r w:rsidR="00860B02">
          <w:rPr>
            <w:webHidden/>
          </w:rPr>
          <w:fldChar w:fldCharType="end"/>
        </w:r>
      </w:hyperlink>
    </w:p>
    <w:p w:rsidR="00860B02" w:rsidRDefault="00E4452E">
      <w:pPr>
        <w:pStyle w:val="TOC1"/>
        <w:rPr>
          <w:rFonts w:asciiTheme="minorHAnsi" w:hAnsiTheme="minorHAnsi" w:cstheme="minorBidi"/>
          <w:caps w:val="0"/>
          <w:sz w:val="22"/>
          <w:szCs w:val="22"/>
        </w:rPr>
      </w:pPr>
      <w:hyperlink w:anchor="_Toc432493966" w:history="1">
        <w:r w:rsidR="00860B02" w:rsidRPr="00297603">
          <w:rPr>
            <w:rStyle w:val="Hyperlink"/>
            <w:snapToGrid w:val="0"/>
            <w:lang w:val="fr-FR" w:eastAsia="ja-JP"/>
          </w:rPr>
          <w:t>Révision du document UPOV/INF/12 “Notes explicatives concernant les dénominations variétales en vertu de la Convention UPOV”</w:t>
        </w:r>
        <w:r w:rsidR="00860B02">
          <w:rPr>
            <w:webHidden/>
          </w:rPr>
          <w:tab/>
        </w:r>
        <w:r w:rsidR="00860B02">
          <w:rPr>
            <w:webHidden/>
          </w:rPr>
          <w:fldChar w:fldCharType="begin"/>
        </w:r>
        <w:r w:rsidR="00860B02">
          <w:rPr>
            <w:webHidden/>
          </w:rPr>
          <w:instrText xml:space="preserve"> PAGEREF _Toc432493966 \h </w:instrText>
        </w:r>
        <w:r w:rsidR="00860B02">
          <w:rPr>
            <w:webHidden/>
          </w:rPr>
        </w:r>
        <w:r w:rsidR="00860B02">
          <w:rPr>
            <w:webHidden/>
          </w:rPr>
          <w:fldChar w:fldCharType="separate"/>
        </w:r>
        <w:r>
          <w:rPr>
            <w:webHidden/>
          </w:rPr>
          <w:t>4</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67" w:history="1">
        <w:r w:rsidR="00860B02" w:rsidRPr="00297603">
          <w:rPr>
            <w:rStyle w:val="Hyperlink"/>
            <w:lang w:val="fr-FR" w:eastAsia="ja-JP"/>
          </w:rPr>
          <w:t>Section 2.2.2.b)</w:t>
        </w:r>
        <w:r w:rsidR="00860B02">
          <w:rPr>
            <w:webHidden/>
          </w:rPr>
          <w:tab/>
        </w:r>
        <w:r w:rsidR="00860B02">
          <w:rPr>
            <w:webHidden/>
          </w:rPr>
          <w:fldChar w:fldCharType="begin"/>
        </w:r>
        <w:r w:rsidR="00860B02">
          <w:rPr>
            <w:webHidden/>
          </w:rPr>
          <w:instrText xml:space="preserve"> PAGEREF _Toc432493967 \h </w:instrText>
        </w:r>
        <w:r w:rsidR="00860B02">
          <w:rPr>
            <w:webHidden/>
          </w:rPr>
        </w:r>
        <w:r w:rsidR="00860B02">
          <w:rPr>
            <w:webHidden/>
          </w:rPr>
          <w:fldChar w:fldCharType="separate"/>
        </w:r>
        <w:r>
          <w:rPr>
            <w:webHidden/>
          </w:rPr>
          <w:t>5</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68" w:history="1">
        <w:r w:rsidR="00860B02" w:rsidRPr="00297603">
          <w:rPr>
            <w:rStyle w:val="Hyperlink"/>
            <w:lang w:val="fr-FR" w:eastAsia="ja-JP"/>
          </w:rPr>
          <w:t>Section 2.3.1.c)</w:t>
        </w:r>
        <w:r w:rsidR="00860B02">
          <w:rPr>
            <w:webHidden/>
          </w:rPr>
          <w:tab/>
        </w:r>
        <w:r w:rsidR="00860B02">
          <w:rPr>
            <w:webHidden/>
          </w:rPr>
          <w:fldChar w:fldCharType="begin"/>
        </w:r>
        <w:r w:rsidR="00860B02">
          <w:rPr>
            <w:webHidden/>
          </w:rPr>
          <w:instrText xml:space="preserve"> PAGEREF _Toc432493968 \h </w:instrText>
        </w:r>
        <w:r w:rsidR="00860B02">
          <w:rPr>
            <w:webHidden/>
          </w:rPr>
        </w:r>
        <w:r w:rsidR="00860B02">
          <w:rPr>
            <w:webHidden/>
          </w:rPr>
          <w:fldChar w:fldCharType="separate"/>
        </w:r>
        <w:r>
          <w:rPr>
            <w:webHidden/>
          </w:rPr>
          <w:t>5</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69" w:history="1">
        <w:r w:rsidR="00860B02" w:rsidRPr="00297603">
          <w:rPr>
            <w:rStyle w:val="Hyperlink"/>
            <w:lang w:val="fr-FR" w:eastAsia="ja-JP"/>
          </w:rPr>
          <w:t>Section 2.3.1.d)</w:t>
        </w:r>
        <w:r w:rsidR="00860B02">
          <w:rPr>
            <w:webHidden/>
          </w:rPr>
          <w:tab/>
        </w:r>
        <w:r w:rsidR="00860B02">
          <w:rPr>
            <w:webHidden/>
          </w:rPr>
          <w:fldChar w:fldCharType="begin"/>
        </w:r>
        <w:r w:rsidR="00860B02">
          <w:rPr>
            <w:webHidden/>
          </w:rPr>
          <w:instrText xml:space="preserve"> PAGEREF _Toc432493969 \h </w:instrText>
        </w:r>
        <w:r w:rsidR="00860B02">
          <w:rPr>
            <w:webHidden/>
          </w:rPr>
        </w:r>
        <w:r w:rsidR="00860B02">
          <w:rPr>
            <w:webHidden/>
          </w:rPr>
          <w:fldChar w:fldCharType="separate"/>
        </w:r>
        <w:r>
          <w:rPr>
            <w:webHidden/>
          </w:rPr>
          <w:t>6</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70" w:history="1">
        <w:r w:rsidR="00860B02" w:rsidRPr="00297603">
          <w:rPr>
            <w:rStyle w:val="Hyperlink"/>
            <w:lang w:val="fr-FR" w:eastAsia="ja-JP"/>
          </w:rPr>
          <w:t>Section 2.3.3.a)</w:t>
        </w:r>
        <w:r w:rsidR="00860B02">
          <w:rPr>
            <w:webHidden/>
          </w:rPr>
          <w:tab/>
        </w:r>
        <w:r w:rsidR="00860B02">
          <w:rPr>
            <w:webHidden/>
          </w:rPr>
          <w:fldChar w:fldCharType="begin"/>
        </w:r>
        <w:r w:rsidR="00860B02">
          <w:rPr>
            <w:webHidden/>
          </w:rPr>
          <w:instrText xml:space="preserve"> PAGEREF _Toc432493970 \h </w:instrText>
        </w:r>
        <w:r w:rsidR="00860B02">
          <w:rPr>
            <w:webHidden/>
          </w:rPr>
        </w:r>
        <w:r w:rsidR="00860B02">
          <w:rPr>
            <w:webHidden/>
          </w:rPr>
          <w:fldChar w:fldCharType="separate"/>
        </w:r>
        <w:r>
          <w:rPr>
            <w:webHidden/>
          </w:rPr>
          <w:t>6</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71" w:history="1">
        <w:r w:rsidR="00860B02" w:rsidRPr="00297603">
          <w:rPr>
            <w:rStyle w:val="Hyperlink"/>
            <w:lang w:val="fr-FR" w:eastAsia="ja-JP"/>
          </w:rPr>
          <w:t>Section 2.3.3.b)</w:t>
        </w:r>
        <w:r w:rsidR="00860B02">
          <w:rPr>
            <w:webHidden/>
          </w:rPr>
          <w:tab/>
        </w:r>
        <w:r w:rsidR="00860B02">
          <w:rPr>
            <w:webHidden/>
          </w:rPr>
          <w:fldChar w:fldCharType="begin"/>
        </w:r>
        <w:r w:rsidR="00860B02">
          <w:rPr>
            <w:webHidden/>
          </w:rPr>
          <w:instrText xml:space="preserve"> PAGEREF _Toc432493971 \h </w:instrText>
        </w:r>
        <w:r w:rsidR="00860B02">
          <w:rPr>
            <w:webHidden/>
          </w:rPr>
        </w:r>
        <w:r w:rsidR="00860B02">
          <w:rPr>
            <w:webHidden/>
          </w:rPr>
          <w:fldChar w:fldCharType="separate"/>
        </w:r>
        <w:r>
          <w:rPr>
            <w:webHidden/>
          </w:rPr>
          <w:t>6</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72" w:history="1">
        <w:r w:rsidR="00860B02" w:rsidRPr="00297603">
          <w:rPr>
            <w:rStyle w:val="Hyperlink"/>
            <w:lang w:val="fr-FR" w:eastAsia="ja-JP"/>
          </w:rPr>
          <w:t>Section 2.3.3.d)</w:t>
        </w:r>
        <w:r w:rsidR="00860B02">
          <w:rPr>
            <w:webHidden/>
          </w:rPr>
          <w:tab/>
        </w:r>
        <w:r w:rsidR="00860B02">
          <w:rPr>
            <w:webHidden/>
          </w:rPr>
          <w:fldChar w:fldCharType="begin"/>
        </w:r>
        <w:r w:rsidR="00860B02">
          <w:rPr>
            <w:webHidden/>
          </w:rPr>
          <w:instrText xml:space="preserve"> PAGEREF _Toc432493972 \h </w:instrText>
        </w:r>
        <w:r w:rsidR="00860B02">
          <w:rPr>
            <w:webHidden/>
          </w:rPr>
        </w:r>
        <w:r w:rsidR="00860B02">
          <w:rPr>
            <w:webHidden/>
          </w:rPr>
          <w:fldChar w:fldCharType="separate"/>
        </w:r>
        <w:r>
          <w:rPr>
            <w:webHidden/>
          </w:rPr>
          <w:t>7</w:t>
        </w:r>
        <w:r w:rsidR="00860B02">
          <w:rPr>
            <w:webHidden/>
          </w:rPr>
          <w:fldChar w:fldCharType="end"/>
        </w:r>
      </w:hyperlink>
    </w:p>
    <w:p w:rsidR="00860B02" w:rsidRDefault="00E4452E">
      <w:pPr>
        <w:pStyle w:val="TOC2"/>
        <w:rPr>
          <w:rFonts w:asciiTheme="minorHAnsi" w:hAnsiTheme="minorHAnsi" w:cstheme="minorBidi"/>
          <w:sz w:val="22"/>
          <w:szCs w:val="22"/>
        </w:rPr>
      </w:pPr>
      <w:hyperlink w:anchor="_Toc432493973" w:history="1">
        <w:r w:rsidR="00860B02" w:rsidRPr="00297603">
          <w:rPr>
            <w:rStyle w:val="Hyperlink"/>
            <w:lang w:val="fr-FR"/>
          </w:rPr>
          <w:t>Propositions du CAJ</w:t>
        </w:r>
        <w:r w:rsidR="00860B02" w:rsidRPr="00297603">
          <w:rPr>
            <w:rStyle w:val="Hyperlink"/>
            <w:lang w:val="fr-FR"/>
          </w:rPr>
          <w:noBreakHyphen/>
          <w:t>AG relatives aux sections 2.2.2.c), 4.a) et 4.e) i)</w:t>
        </w:r>
        <w:r w:rsidR="00860B02">
          <w:rPr>
            <w:webHidden/>
          </w:rPr>
          <w:tab/>
        </w:r>
        <w:r w:rsidR="00860B02">
          <w:rPr>
            <w:webHidden/>
          </w:rPr>
          <w:fldChar w:fldCharType="begin"/>
        </w:r>
        <w:r w:rsidR="00860B02">
          <w:rPr>
            <w:webHidden/>
          </w:rPr>
          <w:instrText xml:space="preserve"> PAGEREF _Toc432493973 \h </w:instrText>
        </w:r>
        <w:r w:rsidR="00860B02">
          <w:rPr>
            <w:webHidden/>
          </w:rPr>
        </w:r>
        <w:r w:rsidR="00860B02">
          <w:rPr>
            <w:webHidden/>
          </w:rPr>
          <w:fldChar w:fldCharType="separate"/>
        </w:r>
        <w:r>
          <w:rPr>
            <w:webHidden/>
          </w:rPr>
          <w:t>8</w:t>
        </w:r>
        <w:r w:rsidR="00860B02">
          <w:rPr>
            <w:webHidden/>
          </w:rPr>
          <w:fldChar w:fldCharType="end"/>
        </w:r>
      </w:hyperlink>
    </w:p>
    <w:p w:rsidR="00090AC1" w:rsidRPr="00860B02" w:rsidRDefault="00B734CF" w:rsidP="009175FC">
      <w:pPr>
        <w:pStyle w:val="Heading1"/>
        <w:rPr>
          <w:snapToGrid w:val="0"/>
          <w:lang w:val="fr-FR"/>
        </w:rPr>
      </w:pPr>
      <w:r w:rsidRPr="00860B02">
        <w:rPr>
          <w:snapToGrid w:val="0"/>
          <w:lang w:val="fr-FR"/>
        </w:rPr>
        <w:fldChar w:fldCharType="end"/>
      </w:r>
    </w:p>
    <w:p w:rsidR="00090AC1" w:rsidRPr="00860B02" w:rsidRDefault="00B734CF" w:rsidP="00090AC1">
      <w:pPr>
        <w:keepNext/>
        <w:jc w:val="left"/>
        <w:rPr>
          <w:rFonts w:cs="Arial"/>
        </w:rPr>
      </w:pPr>
      <w:r w:rsidRPr="00860B02">
        <w:fldChar w:fldCharType="begin"/>
      </w:r>
      <w:r w:rsidRPr="00860B02">
        <w:instrText xml:space="preserve"> AUTONUM  </w:instrText>
      </w:r>
      <w:r w:rsidRPr="00860B02">
        <w:fldChar w:fldCharType="end"/>
      </w:r>
      <w:r w:rsidRPr="00860B02">
        <w:tab/>
      </w:r>
      <w:r w:rsidR="00090AC1" w:rsidRPr="00860B02">
        <w:t>Les abréviations ci</w:t>
      </w:r>
      <w:r w:rsidR="000B2679" w:rsidRPr="00860B02">
        <w:noBreakHyphen/>
      </w:r>
      <w:r w:rsidR="00090AC1" w:rsidRPr="00860B02">
        <w:t>après sont utilisées dans le présent document</w:t>
      </w:r>
      <w:r w:rsidR="00752EE1" w:rsidRPr="00860B02">
        <w:t> </w:t>
      </w:r>
      <w:r w:rsidR="00090AC1" w:rsidRPr="00860B02">
        <w:t>:</w:t>
      </w:r>
    </w:p>
    <w:p w:rsidR="00090AC1" w:rsidRPr="00860B02" w:rsidRDefault="00090AC1" w:rsidP="009175FC">
      <w:pPr>
        <w:keepNext/>
        <w:rPr>
          <w:rFonts w:cs="Arial"/>
        </w:rPr>
      </w:pPr>
    </w:p>
    <w:p w:rsidR="00726505" w:rsidRPr="00860B02" w:rsidRDefault="00090AC1" w:rsidP="000165F7">
      <w:pPr>
        <w:keepNext/>
        <w:ind w:left="1843" w:hanging="1276"/>
        <w:rPr>
          <w:rFonts w:cs="Arial"/>
          <w:snapToGrid w:val="0"/>
        </w:rPr>
      </w:pPr>
      <w:r w:rsidRPr="00860B02">
        <w:rPr>
          <w:rFonts w:cs="Arial"/>
          <w:snapToGrid w:val="0"/>
        </w:rPr>
        <w:t>CAJ</w:t>
      </w:r>
      <w:r w:rsidR="00752EE1" w:rsidRPr="00860B02">
        <w:rPr>
          <w:rFonts w:cs="Arial"/>
          <w:snapToGrid w:val="0"/>
        </w:rPr>
        <w:t> </w:t>
      </w:r>
      <w:r w:rsidRPr="00860B02">
        <w:rPr>
          <w:rFonts w:cs="Arial"/>
          <w:snapToGrid w:val="0"/>
        </w:rPr>
        <w:t xml:space="preserve">: </w:t>
      </w:r>
      <w:r w:rsidRPr="00860B02">
        <w:rPr>
          <w:rFonts w:cs="Arial"/>
          <w:snapToGrid w:val="0"/>
        </w:rPr>
        <w:tab/>
        <w:t>Comité administratif et juridique</w:t>
      </w:r>
    </w:p>
    <w:p w:rsidR="00726505" w:rsidRPr="00860B02" w:rsidRDefault="000165F7" w:rsidP="000165F7">
      <w:pPr>
        <w:keepNext/>
        <w:ind w:left="1843" w:hanging="1276"/>
        <w:rPr>
          <w:rFonts w:cs="Arial"/>
          <w:snapToGrid w:val="0"/>
        </w:rPr>
      </w:pPr>
      <w:r w:rsidRPr="00860B02">
        <w:rPr>
          <w:rFonts w:cs="Arial"/>
          <w:snapToGrid w:val="0"/>
        </w:rPr>
        <w:t>CAJ</w:t>
      </w:r>
      <w:r w:rsidR="000B2679" w:rsidRPr="00860B02">
        <w:rPr>
          <w:rFonts w:cs="Arial"/>
          <w:snapToGrid w:val="0"/>
        </w:rPr>
        <w:noBreakHyphen/>
      </w:r>
      <w:r w:rsidRPr="00860B02">
        <w:rPr>
          <w:rFonts w:cs="Arial"/>
          <w:snapToGrid w:val="0"/>
        </w:rPr>
        <w:t>AG :</w:t>
      </w:r>
      <w:r w:rsidR="00752EE1" w:rsidRPr="00860B02">
        <w:rPr>
          <w:rFonts w:cs="Arial"/>
          <w:snapToGrid w:val="0"/>
        </w:rPr>
        <w:t xml:space="preserve"> </w:t>
      </w:r>
      <w:r w:rsidRPr="00860B02">
        <w:rPr>
          <w:rFonts w:cs="Arial"/>
          <w:snapToGrid w:val="0"/>
        </w:rPr>
        <w:tab/>
      </w:r>
      <w:r w:rsidR="00090AC1" w:rsidRPr="00860B02">
        <w:rPr>
          <w:rFonts w:cs="Arial"/>
          <w:snapToGrid w:val="0"/>
        </w:rPr>
        <w:t>Groupe consultatif du Comité administratif et juridique</w:t>
      </w:r>
    </w:p>
    <w:p w:rsidR="00090AC1" w:rsidRPr="00860B02" w:rsidRDefault="00090AC1" w:rsidP="000165F7">
      <w:pPr>
        <w:ind w:left="1843" w:hanging="1276"/>
        <w:rPr>
          <w:snapToGrid w:val="0"/>
          <w:lang w:eastAsia="ja-JP"/>
        </w:rPr>
      </w:pPr>
      <w:r w:rsidRPr="00860B02">
        <w:rPr>
          <w:snapToGrid w:val="0"/>
          <w:lang w:eastAsia="ja-JP"/>
        </w:rPr>
        <w:t>WG</w:t>
      </w:r>
      <w:r w:rsidR="000B2679" w:rsidRPr="00860B02">
        <w:rPr>
          <w:snapToGrid w:val="0"/>
          <w:lang w:eastAsia="ja-JP"/>
        </w:rPr>
        <w:noBreakHyphen/>
      </w:r>
      <w:r w:rsidRPr="00860B02">
        <w:rPr>
          <w:snapToGrid w:val="0"/>
          <w:lang w:eastAsia="ja-JP"/>
        </w:rPr>
        <w:t>DST</w:t>
      </w:r>
      <w:r w:rsidR="00752EE1" w:rsidRPr="00860B02">
        <w:rPr>
          <w:snapToGrid w:val="0"/>
          <w:lang w:eastAsia="ja-JP"/>
        </w:rPr>
        <w:t> </w:t>
      </w:r>
      <w:r w:rsidRPr="00860B02">
        <w:rPr>
          <w:snapToGrid w:val="0"/>
          <w:lang w:eastAsia="ja-JP"/>
        </w:rPr>
        <w:t xml:space="preserve">: </w:t>
      </w:r>
      <w:r w:rsidRPr="00860B02">
        <w:rPr>
          <w:snapToGrid w:val="0"/>
          <w:lang w:eastAsia="ja-JP"/>
        </w:rPr>
        <w:tab/>
      </w:r>
      <w:r w:rsidR="000165F7" w:rsidRPr="00860B02">
        <w:rPr>
          <w:snapToGrid w:val="0"/>
          <w:lang w:eastAsia="ja-JP"/>
        </w:rPr>
        <w:t>G</w:t>
      </w:r>
      <w:r w:rsidRPr="00860B02">
        <w:rPr>
          <w:snapToGrid w:val="0"/>
          <w:lang w:eastAsia="ja-JP"/>
        </w:rPr>
        <w:t>roupe de travail sur l</w:t>
      </w:r>
      <w:r w:rsidR="00905CDD" w:rsidRPr="00860B02">
        <w:rPr>
          <w:snapToGrid w:val="0"/>
          <w:lang w:eastAsia="ja-JP"/>
        </w:rPr>
        <w:t>’</w:t>
      </w:r>
      <w:r w:rsidRPr="00860B02">
        <w:rPr>
          <w:snapToGrid w:val="0"/>
          <w:lang w:eastAsia="ja-JP"/>
        </w:rPr>
        <w:t>élaboration d</w:t>
      </w:r>
      <w:r w:rsidR="00905CDD" w:rsidRPr="00860B02">
        <w:rPr>
          <w:snapToGrid w:val="0"/>
          <w:lang w:eastAsia="ja-JP"/>
        </w:rPr>
        <w:t>’</w:t>
      </w:r>
      <w:r w:rsidRPr="00860B02">
        <w:rPr>
          <w:snapToGrid w:val="0"/>
          <w:lang w:eastAsia="ja-JP"/>
        </w:rPr>
        <w:t xml:space="preserve">un </w:t>
      </w:r>
      <w:r w:rsidR="00D666FA" w:rsidRPr="00860B02">
        <w:rPr>
          <w:snapToGrid w:val="0"/>
          <w:lang w:eastAsia="ja-JP"/>
        </w:rPr>
        <w:t>moteur</w:t>
      </w:r>
      <w:r w:rsidRPr="00860B02">
        <w:rPr>
          <w:snapToGrid w:val="0"/>
          <w:lang w:eastAsia="ja-JP"/>
        </w:rPr>
        <w:t xml:space="preserve"> de recherche</w:t>
      </w:r>
      <w:r w:rsidR="00B4703A" w:rsidRPr="00860B02">
        <w:rPr>
          <w:snapToGrid w:val="0"/>
          <w:lang w:eastAsia="ja-JP"/>
        </w:rPr>
        <w:t xml:space="preserve"> de</w:t>
      </w:r>
      <w:r w:rsidR="007F7C1C" w:rsidRPr="00860B02">
        <w:rPr>
          <w:snapToGrid w:val="0"/>
          <w:lang w:eastAsia="ja-JP"/>
        </w:rPr>
        <w:t xml:space="preserve"> </w:t>
      </w:r>
      <w:r w:rsidR="00D666FA" w:rsidRPr="00860B02">
        <w:rPr>
          <w:snapToGrid w:val="0"/>
          <w:lang w:eastAsia="ja-JP"/>
        </w:rPr>
        <w:t xml:space="preserve">similitudes </w:t>
      </w:r>
      <w:r w:rsidRPr="00860B02">
        <w:rPr>
          <w:snapToGrid w:val="0"/>
          <w:lang w:eastAsia="ja-JP"/>
        </w:rPr>
        <w:t>de l</w:t>
      </w:r>
      <w:r w:rsidR="00905CDD" w:rsidRPr="00860B02">
        <w:rPr>
          <w:snapToGrid w:val="0"/>
          <w:lang w:eastAsia="ja-JP"/>
        </w:rPr>
        <w:t>’</w:t>
      </w:r>
      <w:r w:rsidRPr="00860B02">
        <w:rPr>
          <w:snapToGrid w:val="0"/>
          <w:lang w:eastAsia="ja-JP"/>
        </w:rPr>
        <w:t>UPOV aux fins de</w:t>
      </w:r>
      <w:r w:rsidR="007F2C48" w:rsidRPr="00860B02">
        <w:rPr>
          <w:snapToGrid w:val="0"/>
          <w:lang w:eastAsia="ja-JP"/>
        </w:rPr>
        <w:t xml:space="preserve"> la</w:t>
      </w:r>
      <w:r w:rsidRPr="00860B02">
        <w:rPr>
          <w:snapToGrid w:val="0"/>
          <w:lang w:eastAsia="ja-JP"/>
        </w:rPr>
        <w:t xml:space="preserve"> dénomination variétale</w:t>
      </w:r>
    </w:p>
    <w:p w:rsidR="00090AC1" w:rsidRPr="00860B02" w:rsidRDefault="00090AC1" w:rsidP="00884CEA">
      <w:pPr>
        <w:rPr>
          <w:rFonts w:cs="Arial"/>
          <w:szCs w:val="24"/>
          <w:lang w:eastAsia="ja-JP"/>
        </w:rPr>
      </w:pPr>
    </w:p>
    <w:p w:rsidR="00090AC1" w:rsidRPr="00860B02" w:rsidRDefault="00090AC1" w:rsidP="00884CEA">
      <w:pPr>
        <w:rPr>
          <w:rFonts w:cs="Arial"/>
          <w:szCs w:val="24"/>
          <w:lang w:eastAsia="ja-JP"/>
        </w:rPr>
      </w:pPr>
    </w:p>
    <w:p w:rsidR="00090AC1" w:rsidRPr="00860B02" w:rsidRDefault="00090AC1" w:rsidP="00884CEA">
      <w:pPr>
        <w:rPr>
          <w:rFonts w:cs="Arial"/>
          <w:szCs w:val="24"/>
          <w:lang w:eastAsia="ja-JP"/>
        </w:rPr>
      </w:pPr>
    </w:p>
    <w:p w:rsidR="00726505" w:rsidRPr="00860B02" w:rsidRDefault="00090AC1" w:rsidP="00090AC1">
      <w:pPr>
        <w:pStyle w:val="Heading1"/>
        <w:rPr>
          <w:lang w:val="fr-FR"/>
        </w:rPr>
      </w:pPr>
      <w:bookmarkStart w:id="17" w:name="_Toc432493959"/>
      <w:r w:rsidRPr="00860B02">
        <w:rPr>
          <w:lang w:val="fr-FR"/>
        </w:rPr>
        <w:t>Objet</w:t>
      </w:r>
      <w:bookmarkEnd w:id="17"/>
    </w:p>
    <w:p w:rsidR="00090AC1" w:rsidRPr="00860B02" w:rsidRDefault="00090AC1" w:rsidP="00F349B3">
      <w:pPr>
        <w:rPr>
          <w:lang w:eastAsia="ja-JP"/>
        </w:rPr>
      </w:pPr>
    </w:p>
    <w:p w:rsidR="00090AC1" w:rsidRPr="00860B02" w:rsidRDefault="00E10886" w:rsidP="00090AC1">
      <w:pPr>
        <w:rPr>
          <w:snapToGrid w:val="0"/>
          <w:highlight w:val="cyan"/>
          <w:lang w:eastAsia="ja-JP"/>
        </w:rPr>
      </w:pPr>
      <w:r w:rsidRPr="00860B02">
        <w:fldChar w:fldCharType="begin"/>
      </w:r>
      <w:r w:rsidRPr="00860B02">
        <w:instrText xml:space="preserve"> AUTONUM  </w:instrText>
      </w:r>
      <w:r w:rsidRPr="00860B02">
        <w:fldChar w:fldCharType="end"/>
      </w:r>
      <w:r w:rsidRPr="00860B02">
        <w:tab/>
      </w:r>
      <w:r w:rsidR="00090AC1" w:rsidRPr="00860B02">
        <w:t>Le présent document a pour objet de faire rapport sur les travaux concernant la possibilité d</w:t>
      </w:r>
      <w:r w:rsidR="00905CDD" w:rsidRPr="00860B02">
        <w:t>’</w:t>
      </w:r>
      <w:r w:rsidR="00090AC1" w:rsidRPr="00860B02">
        <w:t xml:space="preserve">élaborer un </w:t>
      </w:r>
      <w:r w:rsidR="00D666FA" w:rsidRPr="00860B02">
        <w:rPr>
          <w:snapToGrid w:val="0"/>
          <w:lang w:eastAsia="ja-JP"/>
        </w:rPr>
        <w:t xml:space="preserve">moteur de recherche de similitudes </w:t>
      </w:r>
      <w:r w:rsidR="00090AC1" w:rsidRPr="00860B02">
        <w:t>de l</w:t>
      </w:r>
      <w:r w:rsidR="00905CDD" w:rsidRPr="00860B02">
        <w:t>’</w:t>
      </w:r>
      <w:r w:rsidR="00090AC1" w:rsidRPr="00860B02">
        <w:t>UPOV aux fins des dénominations variétales et d</w:t>
      </w:r>
      <w:r w:rsidR="00905CDD" w:rsidRPr="00860B02">
        <w:t>’</w:t>
      </w:r>
      <w:r w:rsidR="00090AC1" w:rsidRPr="00860B02">
        <w:t>examiner la révision éven</w:t>
      </w:r>
      <w:r w:rsidR="00B4703A" w:rsidRPr="00860B02">
        <w:t xml:space="preserve">tuelle du document UPOV/INF/12 </w:t>
      </w:r>
      <w:r w:rsidR="00752EE1" w:rsidRPr="00860B02">
        <w:t>“</w:t>
      </w:r>
      <w:r w:rsidR="00090AC1" w:rsidRPr="00860B02">
        <w:t xml:space="preserve">Notes explicatives concernant les dénominations variétales en vertu de la </w:t>
      </w:r>
      <w:r w:rsidR="00905CDD" w:rsidRPr="00860B02">
        <w:t>Convention UPOV</w:t>
      </w:r>
      <w:r w:rsidR="00752EE1" w:rsidRPr="00860B02">
        <w:t>”</w:t>
      </w:r>
      <w:r w:rsidR="00090AC1" w:rsidRPr="00860B02">
        <w:t>.</w:t>
      </w:r>
    </w:p>
    <w:p w:rsidR="00090AC1" w:rsidRPr="00860B02" w:rsidRDefault="00090AC1" w:rsidP="0080679D">
      <w:pPr>
        <w:rPr>
          <w:snapToGrid w:val="0"/>
          <w:highlight w:val="cyan"/>
          <w:lang w:eastAsia="ja-JP"/>
        </w:rPr>
      </w:pPr>
    </w:p>
    <w:p w:rsidR="00090AC1" w:rsidRPr="00860B02" w:rsidRDefault="00090AC1" w:rsidP="0080679D">
      <w:pPr>
        <w:rPr>
          <w:snapToGrid w:val="0"/>
          <w:highlight w:val="cyan"/>
          <w:lang w:eastAsia="ja-JP"/>
        </w:rPr>
      </w:pPr>
    </w:p>
    <w:p w:rsidR="00090AC1" w:rsidRPr="00860B02" w:rsidRDefault="00090AC1" w:rsidP="0080679D">
      <w:pPr>
        <w:rPr>
          <w:snapToGrid w:val="0"/>
          <w:highlight w:val="cyan"/>
          <w:lang w:eastAsia="ja-JP"/>
        </w:rPr>
      </w:pPr>
    </w:p>
    <w:p w:rsidR="00090AC1" w:rsidRPr="00860B02" w:rsidRDefault="00090AC1" w:rsidP="00090AC1">
      <w:pPr>
        <w:pStyle w:val="Heading1"/>
        <w:rPr>
          <w:snapToGrid w:val="0"/>
          <w:lang w:val="fr-FR" w:eastAsia="ja-JP"/>
        </w:rPr>
      </w:pPr>
      <w:bookmarkStart w:id="18" w:name="_Toc432493960"/>
      <w:r w:rsidRPr="00860B02">
        <w:rPr>
          <w:snapToGrid w:val="0"/>
          <w:lang w:val="fr-FR" w:eastAsia="ja-JP"/>
        </w:rPr>
        <w:t>Possibilité d</w:t>
      </w:r>
      <w:r w:rsidR="00905CDD" w:rsidRPr="00860B02">
        <w:rPr>
          <w:snapToGrid w:val="0"/>
          <w:lang w:val="fr-FR" w:eastAsia="ja-JP"/>
        </w:rPr>
        <w:t>’</w:t>
      </w:r>
      <w:r w:rsidRPr="00860B02">
        <w:rPr>
          <w:snapToGrid w:val="0"/>
          <w:lang w:val="fr-FR" w:eastAsia="ja-JP"/>
        </w:rPr>
        <w:t>élaboration d</w:t>
      </w:r>
      <w:r w:rsidR="00905CDD" w:rsidRPr="00860B02">
        <w:rPr>
          <w:snapToGrid w:val="0"/>
          <w:lang w:val="fr-FR" w:eastAsia="ja-JP"/>
        </w:rPr>
        <w:t>’</w:t>
      </w:r>
      <w:r w:rsidRPr="00860B02">
        <w:rPr>
          <w:snapToGrid w:val="0"/>
          <w:lang w:val="fr-FR" w:eastAsia="ja-JP"/>
        </w:rPr>
        <w:t xml:space="preserve">un </w:t>
      </w:r>
      <w:r w:rsidR="00D666FA" w:rsidRPr="00860B02">
        <w:rPr>
          <w:snapToGrid w:val="0"/>
          <w:lang w:val="fr-FR" w:eastAsia="ja-JP"/>
        </w:rPr>
        <w:t xml:space="preserve">moteur de recherche de similitudes </w:t>
      </w:r>
      <w:r w:rsidRPr="00860B02">
        <w:rPr>
          <w:snapToGrid w:val="0"/>
          <w:lang w:val="fr-FR" w:eastAsia="ja-JP"/>
        </w:rPr>
        <w:t>de l</w:t>
      </w:r>
      <w:r w:rsidR="00905CDD" w:rsidRPr="00860B02">
        <w:rPr>
          <w:snapToGrid w:val="0"/>
          <w:lang w:val="fr-FR" w:eastAsia="ja-JP"/>
        </w:rPr>
        <w:t>’</w:t>
      </w:r>
      <w:r w:rsidRPr="00860B02">
        <w:rPr>
          <w:snapToGrid w:val="0"/>
          <w:lang w:val="fr-FR" w:eastAsia="ja-JP"/>
        </w:rPr>
        <w:t>UPOV aux fins de</w:t>
      </w:r>
      <w:r w:rsidR="007F2C48" w:rsidRPr="00860B02">
        <w:rPr>
          <w:snapToGrid w:val="0"/>
          <w:lang w:val="fr-FR" w:eastAsia="ja-JP"/>
        </w:rPr>
        <w:t xml:space="preserve"> LA</w:t>
      </w:r>
      <w:r w:rsidRPr="00860B02">
        <w:rPr>
          <w:snapToGrid w:val="0"/>
          <w:lang w:val="fr-FR" w:eastAsia="ja-JP"/>
        </w:rPr>
        <w:t xml:space="preserve"> dénomination</w:t>
      </w:r>
      <w:r w:rsidR="007F2C48" w:rsidRPr="00860B02">
        <w:rPr>
          <w:snapToGrid w:val="0"/>
          <w:lang w:val="fr-FR" w:eastAsia="ja-JP"/>
        </w:rPr>
        <w:t xml:space="preserve"> </w:t>
      </w:r>
      <w:r w:rsidRPr="00860B02">
        <w:rPr>
          <w:snapToGrid w:val="0"/>
          <w:lang w:val="fr-FR" w:eastAsia="ja-JP"/>
        </w:rPr>
        <w:t>variétale</w:t>
      </w:r>
      <w:bookmarkEnd w:id="18"/>
    </w:p>
    <w:p w:rsidR="00090AC1" w:rsidRPr="00860B02" w:rsidRDefault="00090AC1" w:rsidP="00E10886">
      <w:pPr>
        <w:rPr>
          <w:snapToGrid w:val="0"/>
          <w:lang w:eastAsia="ja-JP"/>
        </w:rPr>
      </w:pPr>
    </w:p>
    <w:p w:rsidR="00090AC1" w:rsidRPr="00860B02" w:rsidRDefault="00F349B3" w:rsidP="00090AC1">
      <w:pPr>
        <w:rPr>
          <w:lang w:eastAsia="ja-JP"/>
        </w:rPr>
      </w:pPr>
      <w:r w:rsidRPr="00860B02">
        <w:fldChar w:fldCharType="begin"/>
      </w:r>
      <w:r w:rsidRPr="00860B02">
        <w:instrText xml:space="preserve"> AUTONUM  </w:instrText>
      </w:r>
      <w:r w:rsidRPr="00860B02">
        <w:fldChar w:fldCharType="end"/>
      </w:r>
      <w:r w:rsidRPr="00860B02">
        <w:tab/>
      </w:r>
      <w:r w:rsidR="00090AC1" w:rsidRPr="00860B02">
        <w:t>Les informations générales sur cette question sont four</w:t>
      </w:r>
      <w:r w:rsidR="00B4703A" w:rsidRPr="00860B02">
        <w:t xml:space="preserve">nies dans le document CAJ/71/3 </w:t>
      </w:r>
      <w:r w:rsidR="00752EE1" w:rsidRPr="00860B02">
        <w:t>“</w:t>
      </w:r>
      <w:r w:rsidR="00090AC1" w:rsidRPr="00860B02">
        <w:t>Dénominations variétales</w:t>
      </w:r>
      <w:r w:rsidR="00752EE1" w:rsidRPr="00860B02">
        <w:t>”</w:t>
      </w:r>
      <w:r w:rsidR="00090AC1" w:rsidRPr="00860B02">
        <w:t>.</w:t>
      </w:r>
    </w:p>
    <w:p w:rsidR="00090AC1" w:rsidRPr="00860B02" w:rsidRDefault="00090AC1" w:rsidP="00E10886">
      <w:pPr>
        <w:rPr>
          <w:snapToGrid w:val="0"/>
          <w:lang w:eastAsia="ja-JP"/>
        </w:rPr>
      </w:pPr>
    </w:p>
    <w:p w:rsidR="00090AC1" w:rsidRPr="00860B02" w:rsidRDefault="00090AC1" w:rsidP="00E10886">
      <w:pPr>
        <w:rPr>
          <w:snapToGrid w:val="0"/>
          <w:lang w:eastAsia="ja-JP"/>
        </w:rPr>
      </w:pPr>
    </w:p>
    <w:p w:rsidR="00090AC1" w:rsidRPr="00860B02" w:rsidRDefault="00B4703A" w:rsidP="004A6FA7">
      <w:pPr>
        <w:pStyle w:val="Heading2"/>
        <w:rPr>
          <w:lang w:val="fr-FR" w:eastAsia="ja-JP"/>
        </w:rPr>
      </w:pPr>
      <w:bookmarkStart w:id="19" w:name="_Toc427161608"/>
      <w:bookmarkStart w:id="20" w:name="_Toc432493961"/>
      <w:r w:rsidRPr="00860B02">
        <w:rPr>
          <w:lang w:val="fr-FR" w:eastAsia="ja-JP"/>
        </w:rPr>
        <w:lastRenderedPageBreak/>
        <w:t>Compte rendu de l</w:t>
      </w:r>
      <w:r w:rsidR="00905CDD" w:rsidRPr="00860B02">
        <w:rPr>
          <w:lang w:val="fr-FR" w:eastAsia="ja-JP"/>
        </w:rPr>
        <w:t>’</w:t>
      </w:r>
      <w:r w:rsidRPr="00860B02">
        <w:rPr>
          <w:lang w:val="fr-FR" w:eastAsia="ja-JP"/>
        </w:rPr>
        <w:t>étude test du</w:t>
      </w:r>
      <w:r w:rsidR="00E419C7" w:rsidRPr="00860B02">
        <w:rPr>
          <w:lang w:val="fr-FR" w:eastAsia="ja-JP"/>
        </w:rPr>
        <w:t xml:space="preserve"> WG</w:t>
      </w:r>
      <w:r w:rsidR="000B2679" w:rsidRPr="00860B02">
        <w:rPr>
          <w:lang w:val="fr-FR" w:eastAsia="ja-JP"/>
        </w:rPr>
        <w:noBreakHyphen/>
      </w:r>
      <w:r w:rsidR="00E419C7" w:rsidRPr="00860B02">
        <w:rPr>
          <w:lang w:val="fr-FR" w:eastAsia="ja-JP"/>
        </w:rPr>
        <w:t xml:space="preserve">DST </w:t>
      </w:r>
      <w:r w:rsidRPr="00860B02">
        <w:rPr>
          <w:lang w:val="fr-FR" w:eastAsia="ja-JP"/>
        </w:rPr>
        <w:t>et utilisation éventuelle d</w:t>
      </w:r>
      <w:r w:rsidR="00905CDD" w:rsidRPr="00860B02">
        <w:rPr>
          <w:lang w:val="fr-FR" w:eastAsia="ja-JP"/>
        </w:rPr>
        <w:t>’</w:t>
      </w:r>
      <w:r w:rsidRPr="00860B02">
        <w:rPr>
          <w:lang w:val="fr-FR" w:eastAsia="ja-JP"/>
        </w:rPr>
        <w:t xml:space="preserve">un </w:t>
      </w:r>
      <w:r w:rsidR="00D666FA" w:rsidRPr="00860B02">
        <w:rPr>
          <w:lang w:val="fr-FR" w:eastAsia="ja-JP"/>
        </w:rPr>
        <w:t xml:space="preserve">moteur de recherche de similitudes </w:t>
      </w:r>
      <w:r w:rsidRPr="00860B02">
        <w:rPr>
          <w:lang w:val="fr-FR" w:eastAsia="ja-JP"/>
        </w:rPr>
        <w:t>de l</w:t>
      </w:r>
      <w:r w:rsidR="00905CDD" w:rsidRPr="00860B02">
        <w:rPr>
          <w:lang w:val="fr-FR" w:eastAsia="ja-JP"/>
        </w:rPr>
        <w:t>’</w:t>
      </w:r>
      <w:r w:rsidRPr="00860B02">
        <w:rPr>
          <w:lang w:val="fr-FR" w:eastAsia="ja-JP"/>
        </w:rPr>
        <w:t>UPOV aux fins de la dénomination variétale au sein de l</w:t>
      </w:r>
      <w:r w:rsidR="00905CDD" w:rsidRPr="00860B02">
        <w:rPr>
          <w:lang w:val="fr-FR" w:eastAsia="ja-JP"/>
        </w:rPr>
        <w:t>’</w:t>
      </w:r>
      <w:r w:rsidRPr="00860B02">
        <w:rPr>
          <w:lang w:val="fr-FR" w:eastAsia="ja-JP"/>
        </w:rPr>
        <w:t>UPOV</w:t>
      </w:r>
      <w:bookmarkEnd w:id="19"/>
      <w:bookmarkEnd w:id="20"/>
    </w:p>
    <w:p w:rsidR="00090AC1" w:rsidRPr="00860B02" w:rsidRDefault="00090AC1" w:rsidP="002E04ED">
      <w:pPr>
        <w:keepNext/>
        <w:rPr>
          <w:lang w:eastAsia="ja-JP"/>
        </w:rPr>
      </w:pPr>
    </w:p>
    <w:p w:rsidR="00090AC1" w:rsidRPr="00860B02" w:rsidRDefault="00B4703A" w:rsidP="008B5ED9">
      <w:pPr>
        <w:pStyle w:val="Heading3"/>
        <w:keepNext/>
        <w:rPr>
          <w:lang w:val="fr-FR" w:eastAsia="ja-JP"/>
        </w:rPr>
      </w:pPr>
      <w:bookmarkStart w:id="21" w:name="_Toc432493962"/>
      <w:r w:rsidRPr="00860B02">
        <w:rPr>
          <w:lang w:val="fr-FR" w:eastAsia="ja-JP"/>
        </w:rPr>
        <w:t>Étude test</w:t>
      </w:r>
      <w:bookmarkEnd w:id="21"/>
    </w:p>
    <w:p w:rsidR="00090AC1" w:rsidRPr="00860B02" w:rsidRDefault="00090AC1" w:rsidP="008B5ED9">
      <w:pPr>
        <w:keepNext/>
        <w:autoSpaceDE w:val="0"/>
        <w:autoSpaceDN w:val="0"/>
        <w:adjustRightInd w:val="0"/>
      </w:pPr>
    </w:p>
    <w:p w:rsidR="00090AC1" w:rsidRPr="00860B02" w:rsidRDefault="00E419C7" w:rsidP="00E419C7">
      <w:pPr>
        <w:autoSpaceDE w:val="0"/>
        <w:autoSpaceDN w:val="0"/>
        <w:adjustRightInd w:val="0"/>
        <w:rPr>
          <w:rFonts w:cs="Arial"/>
          <w:lang w:eastAsia="ja-JP"/>
        </w:rPr>
      </w:pPr>
      <w:r w:rsidRPr="00860B02">
        <w:fldChar w:fldCharType="begin"/>
      </w:r>
      <w:r w:rsidRPr="00860B02">
        <w:instrText xml:space="preserve"> AUTONUM  </w:instrText>
      </w:r>
      <w:r w:rsidRPr="00860B02">
        <w:fldChar w:fldCharType="end"/>
      </w:r>
      <w:r w:rsidRPr="00860B02">
        <w:tab/>
      </w:r>
      <w:r w:rsidR="0024458B" w:rsidRPr="00860B02">
        <w:rPr>
          <w:lang w:eastAsia="ja-JP"/>
        </w:rPr>
        <w:t>À sa deuxième réunion</w:t>
      </w:r>
      <w:r w:rsidR="0024458B" w:rsidRPr="00860B02">
        <w:rPr>
          <w:rStyle w:val="FootnoteReference"/>
          <w:lang w:eastAsia="ja-JP"/>
        </w:rPr>
        <w:footnoteReference w:id="2"/>
      </w:r>
      <w:r w:rsidR="0024458B" w:rsidRPr="00860B02">
        <w:rPr>
          <w:lang w:eastAsia="ja-JP"/>
        </w:rPr>
        <w:t>, le</w:t>
      </w:r>
      <w:r w:rsidRPr="00860B02">
        <w:rPr>
          <w:lang w:eastAsia="ja-JP"/>
        </w:rPr>
        <w:t xml:space="preserve"> WG</w:t>
      </w:r>
      <w:r w:rsidR="000B2679" w:rsidRPr="00860B02">
        <w:rPr>
          <w:lang w:eastAsia="ja-JP"/>
        </w:rPr>
        <w:noBreakHyphen/>
      </w:r>
      <w:r w:rsidRPr="00860B02">
        <w:rPr>
          <w:lang w:eastAsia="ja-JP"/>
        </w:rPr>
        <w:t>DST</w:t>
      </w:r>
      <w:r w:rsidR="0024458B" w:rsidRPr="00860B02">
        <w:rPr>
          <w:lang w:eastAsia="ja-JP"/>
        </w:rPr>
        <w:t xml:space="preserve"> a écouté un exposé de M.</w:t>
      </w:r>
      <w:r w:rsidR="00752EE1" w:rsidRPr="00860B02">
        <w:rPr>
          <w:lang w:eastAsia="ja-JP"/>
        </w:rPr>
        <w:t> </w:t>
      </w:r>
      <w:r w:rsidR="00D20BF9" w:rsidRPr="00860B02">
        <w:rPr>
          <w:rFonts w:cs="Arial"/>
          <w:lang w:eastAsia="ja-JP"/>
        </w:rPr>
        <w:t>Glenn Mac </w:t>
      </w:r>
      <w:r w:rsidRPr="00860B02">
        <w:rPr>
          <w:rFonts w:cs="Arial"/>
          <w:lang w:eastAsia="ja-JP"/>
        </w:rPr>
        <w:t xml:space="preserve">Stravic, </w:t>
      </w:r>
      <w:r w:rsidR="0024458B" w:rsidRPr="00860B02">
        <w:rPr>
          <w:rFonts w:cs="Arial"/>
          <w:lang w:eastAsia="ja-JP"/>
        </w:rPr>
        <w:t>chef de la Section de la base de données sur les désignations commerciales</w:t>
      </w:r>
      <w:r w:rsidRPr="00860B02">
        <w:rPr>
          <w:rFonts w:cs="Arial"/>
          <w:lang w:eastAsia="ja-JP"/>
        </w:rPr>
        <w:t xml:space="preserve">, </w:t>
      </w:r>
      <w:r w:rsidR="0024458B" w:rsidRPr="00860B02">
        <w:rPr>
          <w:rFonts w:cs="Arial"/>
          <w:lang w:eastAsia="ja-JP"/>
        </w:rPr>
        <w:t>Service des bases de données mondiales</w:t>
      </w:r>
      <w:r w:rsidRPr="00860B02">
        <w:rPr>
          <w:rFonts w:cs="Arial"/>
          <w:lang w:eastAsia="ja-JP"/>
        </w:rPr>
        <w:t xml:space="preserve">, </w:t>
      </w:r>
      <w:r w:rsidR="0024458B" w:rsidRPr="00860B02">
        <w:rPr>
          <w:rFonts w:cs="Arial"/>
          <w:lang w:eastAsia="ja-JP"/>
        </w:rPr>
        <w:t>sur les résultats intermédiaires de l</w:t>
      </w:r>
      <w:r w:rsidR="00905CDD" w:rsidRPr="00860B02">
        <w:rPr>
          <w:rFonts w:cs="Arial"/>
          <w:lang w:eastAsia="ja-JP"/>
        </w:rPr>
        <w:t>’</w:t>
      </w:r>
      <w:r w:rsidR="0024458B" w:rsidRPr="00860B02">
        <w:rPr>
          <w:rFonts w:cs="Arial"/>
          <w:lang w:eastAsia="ja-JP"/>
        </w:rPr>
        <w:t xml:space="preserve">étude test. </w:t>
      </w:r>
      <w:r w:rsidR="00752EE1" w:rsidRPr="00860B02">
        <w:rPr>
          <w:rFonts w:cs="Arial"/>
          <w:lang w:eastAsia="ja-JP"/>
        </w:rPr>
        <w:t xml:space="preserve"> </w:t>
      </w:r>
      <w:r w:rsidR="0024458B" w:rsidRPr="00860B02">
        <w:rPr>
          <w:rFonts w:cs="Arial"/>
          <w:lang w:eastAsia="ja-JP"/>
        </w:rPr>
        <w:t>Cet exposé est reproduit dans le</w:t>
      </w:r>
      <w:r w:rsidR="00590C7D" w:rsidRPr="00860B02">
        <w:rPr>
          <w:rFonts w:cs="Arial"/>
          <w:lang w:eastAsia="ja-JP"/>
        </w:rPr>
        <w:t xml:space="preserve"> document </w:t>
      </w:r>
      <w:hyperlink r:id="rId9" w:history="1">
        <w:r w:rsidRPr="00860B02">
          <w:rPr>
            <w:rStyle w:val="Hyperlink"/>
            <w:rFonts w:cs="Arial"/>
            <w:color w:val="auto"/>
            <w:u w:val="none"/>
            <w:lang w:eastAsia="ja-JP"/>
          </w:rPr>
          <w:t>UPOV/WG</w:t>
        </w:r>
        <w:r w:rsidR="000B2679" w:rsidRPr="00860B02">
          <w:rPr>
            <w:rStyle w:val="Hyperlink"/>
            <w:rFonts w:cs="Arial"/>
            <w:color w:val="auto"/>
            <w:u w:val="none"/>
            <w:lang w:eastAsia="ja-JP"/>
          </w:rPr>
          <w:noBreakHyphen/>
        </w:r>
        <w:r w:rsidRPr="00860B02">
          <w:rPr>
            <w:rStyle w:val="Hyperlink"/>
            <w:rFonts w:cs="Arial"/>
            <w:color w:val="auto"/>
            <w:u w:val="none"/>
            <w:lang w:eastAsia="ja-JP"/>
          </w:rPr>
          <w:t>DST/2/4</w:t>
        </w:r>
      </w:hyperlink>
      <w:r w:rsidR="0038410B" w:rsidRPr="00860B02">
        <w:rPr>
          <w:rStyle w:val="FootnoteReference"/>
          <w:rFonts w:cs="Arial"/>
          <w:lang w:eastAsia="ja-JP"/>
        </w:rPr>
        <w:footnoteReference w:id="3"/>
      </w:r>
      <w:r w:rsidR="00752EE1" w:rsidRPr="00860B02">
        <w:rPr>
          <w:rStyle w:val="Hyperlink"/>
          <w:rFonts w:cs="Arial"/>
          <w:color w:val="auto"/>
          <w:u w:val="none"/>
          <w:lang w:eastAsia="ja-JP"/>
        </w:rPr>
        <w:t>.</w:t>
      </w:r>
    </w:p>
    <w:p w:rsidR="00090AC1" w:rsidRPr="00860B02" w:rsidRDefault="00090AC1" w:rsidP="00E419C7">
      <w:pPr>
        <w:autoSpaceDE w:val="0"/>
        <w:autoSpaceDN w:val="0"/>
        <w:adjustRightInd w:val="0"/>
        <w:jc w:val="left"/>
        <w:rPr>
          <w:rFonts w:cs="Arial"/>
          <w:lang w:eastAsia="ja-JP"/>
        </w:rPr>
      </w:pPr>
    </w:p>
    <w:p w:rsidR="000252A0" w:rsidRPr="00860B02" w:rsidRDefault="00E419C7" w:rsidP="009B1DCB">
      <w:r w:rsidRPr="00860B02">
        <w:fldChar w:fldCharType="begin"/>
      </w:r>
      <w:r w:rsidRPr="00860B02">
        <w:instrText xml:space="preserve"> AUTONUM  </w:instrText>
      </w:r>
      <w:r w:rsidRPr="00860B02">
        <w:fldChar w:fldCharType="end"/>
      </w:r>
      <w:r w:rsidRPr="00860B02">
        <w:tab/>
      </w:r>
      <w:r w:rsidR="000252A0" w:rsidRPr="00860B02">
        <w:t>L</w:t>
      </w:r>
      <w:r w:rsidR="00905CDD" w:rsidRPr="00860B02">
        <w:t>’</w:t>
      </w:r>
      <w:r w:rsidR="000252A0" w:rsidRPr="00860B02">
        <w:t xml:space="preserve">étude test a identifié les </w:t>
      </w:r>
      <w:r w:rsidR="00752EE1" w:rsidRPr="00860B02">
        <w:t>11 </w:t>
      </w:r>
      <w:r w:rsidR="000252A0" w:rsidRPr="00860B02">
        <w:t xml:space="preserve">meilleurs algorithmes sur </w:t>
      </w:r>
      <w:r w:rsidR="00752EE1" w:rsidRPr="00860B02">
        <w:t>15 </w:t>
      </w:r>
      <w:r w:rsidR="000252A0" w:rsidRPr="00860B02">
        <w:t>q</w:t>
      </w:r>
      <w:r w:rsidR="006E1B1A" w:rsidRPr="00860B02">
        <w:t>ui, après les premiers essais, ont donné de meilleurs résultats que tous les outils existants, mesurés par F3</w:t>
      </w:r>
      <w:r w:rsidR="006E1B1A" w:rsidRPr="00860B02">
        <w:rPr>
          <w:rStyle w:val="FootnoteReference"/>
        </w:rPr>
        <w:footnoteReference w:id="4"/>
      </w:r>
      <w:r w:rsidR="006E1B1A" w:rsidRPr="00860B02">
        <w:t xml:space="preserve">.  </w:t>
      </w:r>
      <w:r w:rsidR="006E1B1A" w:rsidRPr="00860B02">
        <w:rPr>
          <w:lang w:eastAsia="ja-JP"/>
        </w:rPr>
        <w:t xml:space="preserve">La </w:t>
      </w:r>
      <w:r w:rsidR="007F2C48" w:rsidRPr="00860B02">
        <w:rPr>
          <w:lang w:eastAsia="ja-JP"/>
        </w:rPr>
        <w:t>valeur</w:t>
      </w:r>
      <w:r w:rsidR="00D20BF9" w:rsidRPr="00860B02">
        <w:rPr>
          <w:lang w:eastAsia="ja-JP"/>
        </w:rPr>
        <w:t> </w:t>
      </w:r>
      <w:r w:rsidR="006E1B1A" w:rsidRPr="00860B02">
        <w:t xml:space="preserve">F3 a été choisie parce que le rappel est plus important que la </w:t>
      </w:r>
      <w:r w:rsidR="006E1B1A" w:rsidRPr="00860B02">
        <w:rPr>
          <w:lang w:eastAsia="ja-JP"/>
        </w:rPr>
        <w:t>précision</w:t>
      </w:r>
      <w:r w:rsidR="006E1B1A" w:rsidRPr="00860B02">
        <w:rPr>
          <w:rStyle w:val="FootnoteReference"/>
          <w:lang w:eastAsia="ja-JP"/>
        </w:rPr>
        <w:footnoteReference w:id="5"/>
      </w:r>
      <w:r w:rsidR="00752EE1" w:rsidRPr="00860B02">
        <w:rPr>
          <w:lang w:eastAsia="ja-JP"/>
        </w:rPr>
        <w:t>.</w:t>
      </w:r>
    </w:p>
    <w:p w:rsidR="00090AC1" w:rsidRPr="00860B02" w:rsidRDefault="00090AC1" w:rsidP="009175FC">
      <w:pPr>
        <w:rPr>
          <w:lang w:eastAsia="ja-JP"/>
        </w:rPr>
      </w:pPr>
    </w:p>
    <w:p w:rsidR="006350CD" w:rsidRPr="00860B02" w:rsidRDefault="00E419C7" w:rsidP="009175FC">
      <w:pPr>
        <w:rPr>
          <w:lang w:eastAsia="ja-JP"/>
        </w:rPr>
      </w:pPr>
      <w:r w:rsidRPr="00860B02">
        <w:fldChar w:fldCharType="begin"/>
      </w:r>
      <w:r w:rsidRPr="00860B02">
        <w:instrText xml:space="preserve"> AUTONUM  </w:instrText>
      </w:r>
      <w:r w:rsidRPr="00860B02">
        <w:fldChar w:fldCharType="end"/>
      </w:r>
      <w:r w:rsidRPr="00860B02">
        <w:tab/>
      </w:r>
      <w:r w:rsidR="006350CD" w:rsidRPr="00860B02">
        <w:t>Les</w:t>
      </w:r>
      <w:r w:rsidRPr="00860B02">
        <w:rPr>
          <w:lang w:eastAsia="ja-JP"/>
        </w:rPr>
        <w:t xml:space="preserve"> algorithm</w:t>
      </w:r>
      <w:r w:rsidR="006350CD" w:rsidRPr="00860B02">
        <w:rPr>
          <w:lang w:eastAsia="ja-JP"/>
        </w:rPr>
        <w:t>e</w:t>
      </w:r>
      <w:r w:rsidRPr="00860B02">
        <w:rPr>
          <w:lang w:eastAsia="ja-JP"/>
        </w:rPr>
        <w:t>s</w:t>
      </w:r>
      <w:r w:rsidR="006350CD" w:rsidRPr="00860B02">
        <w:rPr>
          <w:lang w:eastAsia="ja-JP"/>
        </w:rPr>
        <w:t xml:space="preserve"> choisis ont été utilisés de manière à former</w:t>
      </w:r>
      <w:r w:rsidRPr="00860B02">
        <w:rPr>
          <w:lang w:eastAsia="ja-JP"/>
        </w:rPr>
        <w:t xml:space="preserve"> </w:t>
      </w:r>
      <w:r w:rsidR="00752EE1" w:rsidRPr="00860B02">
        <w:rPr>
          <w:lang w:eastAsia="ja-JP"/>
        </w:rPr>
        <w:t>2047</w:t>
      </w:r>
      <w:r w:rsidR="00D20BF9" w:rsidRPr="00860B02">
        <w:rPr>
          <w:lang w:eastAsia="ja-JP"/>
        </w:rPr>
        <w:t> </w:t>
      </w:r>
      <w:r w:rsidR="006350CD" w:rsidRPr="00860B02">
        <w:rPr>
          <w:lang w:eastAsia="ja-JP"/>
        </w:rPr>
        <w:t>combinaisons différentes;  chacune de celles</w:t>
      </w:r>
      <w:r w:rsidR="000B2679" w:rsidRPr="00860B02">
        <w:rPr>
          <w:lang w:eastAsia="ja-JP"/>
        </w:rPr>
        <w:noBreakHyphen/>
      </w:r>
      <w:r w:rsidR="006350CD" w:rsidRPr="00860B02">
        <w:rPr>
          <w:lang w:eastAsia="ja-JP"/>
        </w:rPr>
        <w:t xml:space="preserve">ci </w:t>
      </w:r>
      <w:r w:rsidR="00B424DC" w:rsidRPr="00860B02">
        <w:rPr>
          <w:lang w:eastAsia="ja-JP"/>
        </w:rPr>
        <w:t>a</w:t>
      </w:r>
      <w:r w:rsidR="006350CD" w:rsidRPr="00860B02">
        <w:rPr>
          <w:lang w:eastAsia="ja-JP"/>
        </w:rPr>
        <w:t xml:space="preserve"> été testée avec 100 </w:t>
      </w:r>
      <w:r w:rsidR="00752EE1" w:rsidRPr="00860B02">
        <w:rPr>
          <w:lang w:eastAsia="ja-JP"/>
        </w:rPr>
        <w:t>“</w:t>
      </w:r>
      <w:r w:rsidR="006350CD" w:rsidRPr="00860B02">
        <w:rPr>
          <w:lang w:eastAsia="ja-JP"/>
        </w:rPr>
        <w:t>valeurs limites</w:t>
      </w:r>
      <w:r w:rsidR="00752EE1" w:rsidRPr="00860B02">
        <w:rPr>
          <w:lang w:eastAsia="ja-JP"/>
        </w:rPr>
        <w:t>”</w:t>
      </w:r>
      <w:r w:rsidR="006350CD" w:rsidRPr="00860B02">
        <w:rPr>
          <w:lang w:eastAsia="ja-JP"/>
        </w:rPr>
        <w:t xml:space="preserve"> différentes</w:t>
      </w:r>
      <w:r w:rsidR="006350CD" w:rsidRPr="00860B02">
        <w:rPr>
          <w:rStyle w:val="FootnoteReference"/>
        </w:rPr>
        <w:footnoteReference w:id="6"/>
      </w:r>
      <w:r w:rsidR="006350CD" w:rsidRPr="00860B02">
        <w:rPr>
          <w:lang w:eastAsia="ja-JP"/>
        </w:rPr>
        <w:t xml:space="preserve"> (204 700 réglages en tout). </w:t>
      </w:r>
      <w:r w:rsidR="00734752" w:rsidRPr="00860B02">
        <w:rPr>
          <w:lang w:eastAsia="ja-JP"/>
        </w:rPr>
        <w:t xml:space="preserve"> </w:t>
      </w:r>
      <w:r w:rsidR="006350CD" w:rsidRPr="00860B02">
        <w:rPr>
          <w:lang w:eastAsia="ja-JP"/>
        </w:rPr>
        <w:t xml:space="preserve">Les </w:t>
      </w:r>
      <w:r w:rsidR="00752EE1" w:rsidRPr="00860B02">
        <w:rPr>
          <w:lang w:eastAsia="ja-JP"/>
        </w:rPr>
        <w:t>10 </w:t>
      </w:r>
      <w:r w:rsidR="006350CD" w:rsidRPr="00860B02">
        <w:rPr>
          <w:lang w:eastAsia="ja-JP"/>
        </w:rPr>
        <w:t>premiers réglages donnant les meilleurs résultats parmi l</w:t>
      </w:r>
      <w:r w:rsidR="00905CDD" w:rsidRPr="00860B02">
        <w:rPr>
          <w:lang w:eastAsia="ja-JP"/>
        </w:rPr>
        <w:t>’</w:t>
      </w:r>
      <w:r w:rsidR="006350CD" w:rsidRPr="00860B02">
        <w:rPr>
          <w:lang w:eastAsia="ja-JP"/>
        </w:rPr>
        <w:t>ensemble des réglages testés, mesurés à l</w:t>
      </w:r>
      <w:r w:rsidR="00905CDD" w:rsidRPr="00860B02">
        <w:rPr>
          <w:lang w:eastAsia="ja-JP"/>
        </w:rPr>
        <w:t>’</w:t>
      </w:r>
      <w:r w:rsidR="006350CD" w:rsidRPr="00860B02">
        <w:rPr>
          <w:lang w:eastAsia="ja-JP"/>
        </w:rPr>
        <w:t>aide de F3, ont été indiqués dans l</w:t>
      </w:r>
      <w:r w:rsidR="00905CDD" w:rsidRPr="00860B02">
        <w:rPr>
          <w:lang w:eastAsia="ja-JP"/>
        </w:rPr>
        <w:t>’</w:t>
      </w:r>
      <w:r w:rsidR="006350CD" w:rsidRPr="00860B02">
        <w:rPr>
          <w:lang w:eastAsia="ja-JP"/>
        </w:rPr>
        <w:t>exposé</w:t>
      </w:r>
      <w:r w:rsidR="006350CD" w:rsidRPr="00860B02">
        <w:rPr>
          <w:rStyle w:val="FootnoteReference"/>
          <w:lang w:eastAsia="ja-JP"/>
        </w:rPr>
        <w:footnoteReference w:id="7"/>
      </w:r>
      <w:r w:rsidR="006350CD" w:rsidRPr="00860B02">
        <w:rPr>
          <w:lang w:eastAsia="ja-JP"/>
        </w:rPr>
        <w:t>.</w:t>
      </w:r>
    </w:p>
    <w:p w:rsidR="00090AC1" w:rsidRPr="00860B02" w:rsidRDefault="00090AC1" w:rsidP="009175FC">
      <w:pPr>
        <w:rPr>
          <w:lang w:eastAsia="ja-JP"/>
        </w:rPr>
      </w:pPr>
    </w:p>
    <w:p w:rsidR="00981982" w:rsidRPr="00860B02" w:rsidRDefault="00E419C7" w:rsidP="00E419C7">
      <w:pPr>
        <w:autoSpaceDE w:val="0"/>
        <w:autoSpaceDN w:val="0"/>
        <w:adjustRightInd w:val="0"/>
        <w:rPr>
          <w:rFonts w:cs="Arial"/>
        </w:rPr>
      </w:pPr>
      <w:r w:rsidRPr="00860B02">
        <w:fldChar w:fldCharType="begin"/>
      </w:r>
      <w:r w:rsidRPr="00860B02">
        <w:instrText xml:space="preserve"> AUTONUM  </w:instrText>
      </w:r>
      <w:r w:rsidRPr="00860B02">
        <w:fldChar w:fldCharType="end"/>
      </w:r>
      <w:r w:rsidRPr="00860B02">
        <w:tab/>
      </w:r>
      <w:r w:rsidR="00981982" w:rsidRPr="00860B02">
        <w:rPr>
          <w:lang w:eastAsia="ja-JP"/>
        </w:rPr>
        <w:t>L</w:t>
      </w:r>
      <w:r w:rsidRPr="00860B02">
        <w:rPr>
          <w:lang w:eastAsia="ja-JP"/>
        </w:rPr>
        <w:t xml:space="preserve">e </w:t>
      </w:r>
      <w:r w:rsidRPr="00860B02">
        <w:rPr>
          <w:rFonts w:cs="Arial"/>
        </w:rPr>
        <w:t>WG</w:t>
      </w:r>
      <w:r w:rsidR="000B2679" w:rsidRPr="00860B02">
        <w:rPr>
          <w:rFonts w:cs="Arial"/>
        </w:rPr>
        <w:noBreakHyphen/>
      </w:r>
      <w:r w:rsidRPr="00860B02">
        <w:rPr>
          <w:rFonts w:cs="Arial"/>
        </w:rPr>
        <w:t xml:space="preserve">DST </w:t>
      </w:r>
      <w:r w:rsidR="00981982" w:rsidRPr="00860B02">
        <w:rPr>
          <w:rFonts w:cs="Arial"/>
        </w:rPr>
        <w:t>est convenu d</w:t>
      </w:r>
      <w:r w:rsidR="00905CDD" w:rsidRPr="00860B02">
        <w:rPr>
          <w:rFonts w:cs="Arial"/>
        </w:rPr>
        <w:t>’</w:t>
      </w:r>
      <w:r w:rsidR="00D20BF9" w:rsidRPr="00860B02">
        <w:rPr>
          <w:rFonts w:cs="Arial"/>
        </w:rPr>
        <w:t>utiliser la valeur </w:t>
      </w:r>
      <w:r w:rsidR="00981982" w:rsidRPr="00860B02">
        <w:rPr>
          <w:rFonts w:cs="Arial"/>
        </w:rPr>
        <w:t>F3 comme base appropriée d</w:t>
      </w:r>
      <w:r w:rsidR="00905CDD" w:rsidRPr="00860B02">
        <w:rPr>
          <w:rFonts w:cs="Arial"/>
        </w:rPr>
        <w:t>’</w:t>
      </w:r>
      <w:r w:rsidR="00981982" w:rsidRPr="00860B02">
        <w:rPr>
          <w:rFonts w:cs="Arial"/>
        </w:rPr>
        <w:t>évaluation de la performance, en raison de l</w:t>
      </w:r>
      <w:r w:rsidR="00905CDD" w:rsidRPr="00860B02">
        <w:rPr>
          <w:rFonts w:cs="Arial"/>
        </w:rPr>
        <w:t>’</w:t>
      </w:r>
      <w:r w:rsidR="00981982" w:rsidRPr="00860B02">
        <w:rPr>
          <w:rFonts w:cs="Arial"/>
        </w:rPr>
        <w:t xml:space="preserve">importance du rappel aux fins de recherche de </w:t>
      </w:r>
      <w:r w:rsidR="00D666FA" w:rsidRPr="00860B02">
        <w:rPr>
          <w:rFonts w:cs="Arial"/>
        </w:rPr>
        <w:t>similitudes</w:t>
      </w:r>
      <w:r w:rsidR="00981982" w:rsidRPr="00860B02">
        <w:rPr>
          <w:rFonts w:cs="Arial"/>
        </w:rPr>
        <w:t xml:space="preserve"> de dénominations</w:t>
      </w:r>
      <w:r w:rsidR="00981982" w:rsidRPr="00860B02">
        <w:rPr>
          <w:rStyle w:val="FootnoteReference"/>
          <w:rFonts w:cs="Arial"/>
          <w:lang w:eastAsia="ja-JP"/>
        </w:rPr>
        <w:footnoteReference w:id="8"/>
      </w:r>
      <w:r w:rsidR="00981982" w:rsidRPr="00860B02">
        <w:rPr>
          <w:rFonts w:cs="Arial"/>
        </w:rPr>
        <w:t>.</w:t>
      </w:r>
    </w:p>
    <w:p w:rsidR="00090AC1" w:rsidRPr="00860B02" w:rsidRDefault="00090AC1" w:rsidP="00E419C7">
      <w:pPr>
        <w:autoSpaceDE w:val="0"/>
        <w:autoSpaceDN w:val="0"/>
        <w:adjustRightInd w:val="0"/>
        <w:rPr>
          <w:rFonts w:cs="Arial"/>
          <w:lang w:eastAsia="ja-JP"/>
        </w:rPr>
      </w:pPr>
    </w:p>
    <w:p w:rsidR="00981982" w:rsidRPr="00860B02" w:rsidRDefault="00E419C7" w:rsidP="00E419C7">
      <w:pPr>
        <w:autoSpaceDE w:val="0"/>
        <w:autoSpaceDN w:val="0"/>
        <w:adjustRightInd w:val="0"/>
        <w:rPr>
          <w:rFonts w:cs="Arial"/>
        </w:rPr>
      </w:pPr>
      <w:r w:rsidRPr="00860B02">
        <w:fldChar w:fldCharType="begin"/>
      </w:r>
      <w:r w:rsidRPr="00860B02">
        <w:instrText xml:space="preserve"> AUTONUM  </w:instrText>
      </w:r>
      <w:r w:rsidRPr="00860B02">
        <w:fldChar w:fldCharType="end"/>
      </w:r>
      <w:r w:rsidRPr="00860B02">
        <w:tab/>
      </w:r>
      <w:r w:rsidR="00981982" w:rsidRPr="00860B02">
        <w:rPr>
          <w:lang w:eastAsia="ja-JP"/>
        </w:rPr>
        <w:t xml:space="preserve">Le </w:t>
      </w:r>
      <w:r w:rsidR="00981982" w:rsidRPr="00860B02">
        <w:rPr>
          <w:rFonts w:cs="Arial"/>
        </w:rPr>
        <w:t>WG</w:t>
      </w:r>
      <w:r w:rsidR="000B2679" w:rsidRPr="00860B02">
        <w:rPr>
          <w:rFonts w:cs="Arial"/>
        </w:rPr>
        <w:noBreakHyphen/>
      </w:r>
      <w:r w:rsidR="00981982" w:rsidRPr="00860B02">
        <w:rPr>
          <w:rFonts w:cs="Arial"/>
        </w:rPr>
        <w:t xml:space="preserve">DST </w:t>
      </w:r>
      <w:r w:rsidR="007F2C48" w:rsidRPr="00860B02">
        <w:rPr>
          <w:rFonts w:cs="Arial"/>
        </w:rPr>
        <w:t>a estimé</w:t>
      </w:r>
      <w:r w:rsidR="00981982" w:rsidRPr="00860B02">
        <w:rPr>
          <w:rFonts w:cs="Arial"/>
        </w:rPr>
        <w:t xml:space="preserve"> que la seconde </w:t>
      </w:r>
      <w:r w:rsidR="0058241D" w:rsidRPr="00860B02">
        <w:rPr>
          <w:rFonts w:cs="Arial"/>
        </w:rPr>
        <w:t>étape</w:t>
      </w:r>
      <w:r w:rsidR="00981982" w:rsidRPr="00860B02">
        <w:rPr>
          <w:rFonts w:cs="Arial"/>
        </w:rPr>
        <w:t xml:space="preserve"> de l</w:t>
      </w:r>
      <w:r w:rsidR="00905CDD" w:rsidRPr="00860B02">
        <w:rPr>
          <w:rFonts w:cs="Arial"/>
        </w:rPr>
        <w:t>’</w:t>
      </w:r>
      <w:r w:rsidR="00981982" w:rsidRPr="00860B02">
        <w:rPr>
          <w:rFonts w:cs="Arial"/>
        </w:rPr>
        <w:t>étude test devait avoir pour but d</w:t>
      </w:r>
      <w:r w:rsidR="00905CDD" w:rsidRPr="00860B02">
        <w:rPr>
          <w:rFonts w:cs="Arial"/>
        </w:rPr>
        <w:t>’</w:t>
      </w:r>
      <w:r w:rsidR="00981982" w:rsidRPr="00860B02">
        <w:rPr>
          <w:rFonts w:cs="Arial"/>
        </w:rPr>
        <w:t>examiner s</w:t>
      </w:r>
      <w:r w:rsidR="00905CDD" w:rsidRPr="00860B02">
        <w:rPr>
          <w:rFonts w:cs="Arial"/>
        </w:rPr>
        <w:t>’</w:t>
      </w:r>
      <w:r w:rsidR="00981982" w:rsidRPr="00860B02">
        <w:rPr>
          <w:rFonts w:cs="Arial"/>
        </w:rPr>
        <w:t>il convenait d</w:t>
      </w:r>
      <w:r w:rsidR="00905CDD" w:rsidRPr="00860B02">
        <w:rPr>
          <w:rFonts w:cs="Arial"/>
        </w:rPr>
        <w:t>’</w:t>
      </w:r>
      <w:r w:rsidR="00981982" w:rsidRPr="00860B02">
        <w:rPr>
          <w:rFonts w:cs="Arial"/>
        </w:rPr>
        <w:t>ajouter une couche de critères phonétiques</w:t>
      </w:r>
      <w:r w:rsidR="00A400DF" w:rsidRPr="00860B02">
        <w:rPr>
          <w:rFonts w:cs="Arial"/>
        </w:rPr>
        <w:t xml:space="preserve"> aux algorithmes potentiels, </w:t>
      </w:r>
      <w:r w:rsidR="007F2C48" w:rsidRPr="00860B02">
        <w:rPr>
          <w:rFonts w:cs="Arial"/>
        </w:rPr>
        <w:t>pour savoir</w:t>
      </w:r>
      <w:r w:rsidR="00A400DF" w:rsidRPr="00860B02">
        <w:rPr>
          <w:rFonts w:cs="Arial"/>
        </w:rPr>
        <w:t xml:space="preserve"> si cela améliorerait les résultats. </w:t>
      </w:r>
      <w:r w:rsidR="00752EE1" w:rsidRPr="00860B02">
        <w:rPr>
          <w:rFonts w:cs="Arial"/>
        </w:rPr>
        <w:t xml:space="preserve"> </w:t>
      </w:r>
      <w:r w:rsidR="00A400DF" w:rsidRPr="00860B02">
        <w:rPr>
          <w:rFonts w:cs="Arial"/>
        </w:rPr>
        <w:t>Il a été reconnu, en particulier, qu</w:t>
      </w:r>
      <w:r w:rsidR="00905CDD" w:rsidRPr="00860B02">
        <w:rPr>
          <w:rFonts w:cs="Arial"/>
        </w:rPr>
        <w:t>’</w:t>
      </w:r>
      <w:r w:rsidR="00A400DF" w:rsidRPr="00860B02">
        <w:rPr>
          <w:rFonts w:cs="Arial"/>
        </w:rPr>
        <w:t>il serait nécessaire d</w:t>
      </w:r>
      <w:r w:rsidR="00905CDD" w:rsidRPr="00860B02">
        <w:rPr>
          <w:rFonts w:cs="Arial"/>
        </w:rPr>
        <w:t>’</w:t>
      </w:r>
      <w:r w:rsidR="00A400DF" w:rsidRPr="00860B02">
        <w:rPr>
          <w:rFonts w:cs="Arial"/>
        </w:rPr>
        <w:t>examiner si la précision serait sacrifiée</w:t>
      </w:r>
      <w:r w:rsidR="00A400DF" w:rsidRPr="00860B02">
        <w:rPr>
          <w:rStyle w:val="FootnoteReference"/>
          <w:rFonts w:cs="Arial"/>
        </w:rPr>
        <w:footnoteReference w:id="9"/>
      </w:r>
      <w:r w:rsidR="00752EE1" w:rsidRPr="00860B02">
        <w:rPr>
          <w:rFonts w:cs="Arial"/>
        </w:rPr>
        <w:t>.</w:t>
      </w:r>
    </w:p>
    <w:p w:rsidR="00090AC1" w:rsidRPr="00860B02" w:rsidRDefault="00090AC1" w:rsidP="00E419C7">
      <w:pPr>
        <w:autoSpaceDE w:val="0"/>
        <w:autoSpaceDN w:val="0"/>
        <w:adjustRightInd w:val="0"/>
        <w:jc w:val="left"/>
        <w:rPr>
          <w:lang w:eastAsia="ja-JP"/>
        </w:rPr>
      </w:pPr>
    </w:p>
    <w:p w:rsidR="007F2C48" w:rsidRPr="00860B02" w:rsidRDefault="00E419C7" w:rsidP="00AA4DD8">
      <w:pPr>
        <w:rPr>
          <w:rFonts w:cs="Arial"/>
        </w:rPr>
      </w:pPr>
      <w:r w:rsidRPr="00860B02">
        <w:fldChar w:fldCharType="begin"/>
      </w:r>
      <w:r w:rsidRPr="00860B02">
        <w:instrText xml:space="preserve"> AUTONUM  </w:instrText>
      </w:r>
      <w:r w:rsidRPr="00860B02">
        <w:fldChar w:fldCharType="end"/>
      </w:r>
      <w:r w:rsidRPr="00860B02">
        <w:tab/>
      </w:r>
      <w:r w:rsidR="007F2C48" w:rsidRPr="00860B02">
        <w:rPr>
          <w:lang w:eastAsia="ja-JP"/>
        </w:rPr>
        <w:t xml:space="preserve">Le </w:t>
      </w:r>
      <w:r w:rsidR="007F2C48" w:rsidRPr="00860B02">
        <w:rPr>
          <w:rFonts w:cs="Arial"/>
        </w:rPr>
        <w:t>WG</w:t>
      </w:r>
      <w:r w:rsidR="000B2679" w:rsidRPr="00860B02">
        <w:rPr>
          <w:rFonts w:cs="Arial"/>
        </w:rPr>
        <w:noBreakHyphen/>
      </w:r>
      <w:r w:rsidR="007F2C48" w:rsidRPr="00860B02">
        <w:rPr>
          <w:rFonts w:cs="Arial"/>
        </w:rPr>
        <w:t>DST est convenu d</w:t>
      </w:r>
      <w:r w:rsidR="00905CDD" w:rsidRPr="00860B02">
        <w:rPr>
          <w:rFonts w:cs="Arial"/>
        </w:rPr>
        <w:t>’</w:t>
      </w:r>
      <w:r w:rsidR="007F2C48" w:rsidRPr="00860B02">
        <w:rPr>
          <w:rFonts w:cs="Arial"/>
        </w:rPr>
        <w:t>élaborer deux</w:t>
      </w:r>
      <w:r w:rsidR="00752EE1" w:rsidRPr="00860B02">
        <w:rPr>
          <w:rFonts w:cs="Arial"/>
        </w:rPr>
        <w:t> </w:t>
      </w:r>
      <w:r w:rsidR="007F2C48" w:rsidRPr="00860B02">
        <w:rPr>
          <w:rFonts w:cs="Arial"/>
        </w:rPr>
        <w:t>ou trois</w:t>
      </w:r>
      <w:r w:rsidR="00752EE1" w:rsidRPr="00860B02">
        <w:rPr>
          <w:rFonts w:cs="Arial"/>
        </w:rPr>
        <w:t> </w:t>
      </w:r>
      <w:r w:rsidR="007F2C48" w:rsidRPr="00860B02">
        <w:rPr>
          <w:rFonts w:cs="Arial"/>
        </w:rPr>
        <w:t>algorithmes comportant une couche phonétique et de comparer les résultats aux algorithmes sans couche phonétique.</w:t>
      </w:r>
      <w:r w:rsidR="00734752" w:rsidRPr="00860B02">
        <w:rPr>
          <w:rFonts w:cs="Arial"/>
        </w:rPr>
        <w:t xml:space="preserve"> </w:t>
      </w:r>
      <w:r w:rsidR="007F2C48" w:rsidRPr="00860B02">
        <w:rPr>
          <w:rFonts w:cs="Arial"/>
        </w:rPr>
        <w:t xml:space="preserve"> Il a été en outre convenu de réaliser la seconde </w:t>
      </w:r>
      <w:r w:rsidR="0058241D" w:rsidRPr="00860B02">
        <w:rPr>
          <w:rFonts w:cs="Arial"/>
        </w:rPr>
        <w:t>étape</w:t>
      </w:r>
      <w:r w:rsidR="007F2C48" w:rsidRPr="00860B02">
        <w:rPr>
          <w:rFonts w:cs="Arial"/>
        </w:rPr>
        <w:t xml:space="preserve"> de l</w:t>
      </w:r>
      <w:r w:rsidR="00905CDD" w:rsidRPr="00860B02">
        <w:rPr>
          <w:rFonts w:cs="Arial"/>
        </w:rPr>
        <w:t>’</w:t>
      </w:r>
      <w:r w:rsidR="007F2C48" w:rsidRPr="00860B02">
        <w:rPr>
          <w:rFonts w:cs="Arial"/>
        </w:rPr>
        <w:t>étude test sur la base de données PLUTO à l</w:t>
      </w:r>
      <w:r w:rsidR="00905CDD" w:rsidRPr="00860B02">
        <w:rPr>
          <w:rFonts w:cs="Arial"/>
        </w:rPr>
        <w:t>’</w:t>
      </w:r>
      <w:r w:rsidR="007F2C48" w:rsidRPr="00860B02">
        <w:rPr>
          <w:rFonts w:cs="Arial"/>
        </w:rPr>
        <w:t>aide d</w:t>
      </w:r>
      <w:r w:rsidR="00905CDD" w:rsidRPr="00860B02">
        <w:rPr>
          <w:rFonts w:cs="Arial"/>
        </w:rPr>
        <w:t>’</w:t>
      </w:r>
      <w:r w:rsidR="007F2C48" w:rsidRPr="00860B02">
        <w:rPr>
          <w:rFonts w:cs="Arial"/>
        </w:rPr>
        <w:t>un site test spécifique.</w:t>
      </w:r>
      <w:r w:rsidR="00734752" w:rsidRPr="00860B02">
        <w:rPr>
          <w:rFonts w:cs="Arial"/>
        </w:rPr>
        <w:t xml:space="preserve"> </w:t>
      </w:r>
      <w:r w:rsidR="007F2C48" w:rsidRPr="00860B02">
        <w:rPr>
          <w:rFonts w:cs="Arial"/>
        </w:rPr>
        <w:t xml:space="preserve"> Le WG</w:t>
      </w:r>
      <w:r w:rsidR="000B2679" w:rsidRPr="00860B02">
        <w:rPr>
          <w:rFonts w:cs="Arial"/>
        </w:rPr>
        <w:noBreakHyphen/>
      </w:r>
      <w:r w:rsidR="007F2C48" w:rsidRPr="00860B02">
        <w:rPr>
          <w:rFonts w:cs="Arial"/>
        </w:rPr>
        <w:t>DST a proposé d</w:t>
      </w:r>
      <w:r w:rsidR="00905CDD" w:rsidRPr="00860B02">
        <w:rPr>
          <w:rFonts w:cs="Arial"/>
        </w:rPr>
        <w:t>’</w:t>
      </w:r>
      <w:r w:rsidR="007F2C48" w:rsidRPr="00860B02">
        <w:rPr>
          <w:rFonts w:cs="Arial"/>
        </w:rPr>
        <w:t>inviter les membres</w:t>
      </w:r>
      <w:r w:rsidR="00726505" w:rsidRPr="00860B02">
        <w:rPr>
          <w:rFonts w:cs="Arial"/>
        </w:rPr>
        <w:t xml:space="preserve"> du CAJ</w:t>
      </w:r>
      <w:r w:rsidR="007F2C48" w:rsidRPr="00860B02">
        <w:rPr>
          <w:rFonts w:cs="Arial"/>
        </w:rPr>
        <w:t xml:space="preserve"> et les observateurs à participer à la seconde </w:t>
      </w:r>
      <w:r w:rsidR="0058241D" w:rsidRPr="00860B02">
        <w:rPr>
          <w:rFonts w:cs="Arial"/>
        </w:rPr>
        <w:t>étape</w:t>
      </w:r>
      <w:r w:rsidR="007F2C48" w:rsidRPr="00860B02">
        <w:rPr>
          <w:rFonts w:cs="Arial"/>
        </w:rPr>
        <w:t xml:space="preserve"> de l</w:t>
      </w:r>
      <w:r w:rsidR="00905CDD" w:rsidRPr="00860B02">
        <w:rPr>
          <w:rFonts w:cs="Arial"/>
        </w:rPr>
        <w:t>’</w:t>
      </w:r>
      <w:r w:rsidR="007F2C48" w:rsidRPr="00860B02">
        <w:rPr>
          <w:rFonts w:cs="Arial"/>
        </w:rPr>
        <w:t>étude test, sous réserve de consultation du président</w:t>
      </w:r>
      <w:r w:rsidR="00726505" w:rsidRPr="00860B02">
        <w:rPr>
          <w:rFonts w:cs="Arial"/>
        </w:rPr>
        <w:t xml:space="preserve"> du CAJ</w:t>
      </w:r>
      <w:r w:rsidR="007F2C48" w:rsidRPr="00860B02">
        <w:rPr>
          <w:rFonts w:cs="Arial"/>
        </w:rPr>
        <w:t xml:space="preserve">. </w:t>
      </w:r>
      <w:r w:rsidR="00734752" w:rsidRPr="00860B02">
        <w:rPr>
          <w:rFonts w:cs="Arial"/>
        </w:rPr>
        <w:t xml:space="preserve"> </w:t>
      </w:r>
      <w:r w:rsidR="007F2C48" w:rsidRPr="00860B02">
        <w:rPr>
          <w:rFonts w:cs="Arial"/>
        </w:rPr>
        <w:t>Le président</w:t>
      </w:r>
      <w:r w:rsidR="00726505" w:rsidRPr="00860B02">
        <w:rPr>
          <w:rFonts w:cs="Arial"/>
        </w:rPr>
        <w:t xml:space="preserve"> du CAJ</w:t>
      </w:r>
      <w:r w:rsidR="007F2C48" w:rsidRPr="00860B02">
        <w:rPr>
          <w:rFonts w:cs="Arial"/>
        </w:rPr>
        <w:t>, M.</w:t>
      </w:r>
      <w:r w:rsidR="00752EE1" w:rsidRPr="00860B02">
        <w:rPr>
          <w:rFonts w:cs="Arial"/>
        </w:rPr>
        <w:t> </w:t>
      </w:r>
      <w:r w:rsidR="00D20BF9" w:rsidRPr="00860B02">
        <w:rPr>
          <w:rFonts w:cs="Arial"/>
        </w:rPr>
        <w:t>Martin </w:t>
      </w:r>
      <w:r w:rsidR="007F2C48" w:rsidRPr="00860B02">
        <w:rPr>
          <w:rFonts w:cs="Arial"/>
        </w:rPr>
        <w:t xml:space="preserve">Ekvad, a approuvé le plan et le calendrier de la seconde </w:t>
      </w:r>
      <w:r w:rsidR="0058241D" w:rsidRPr="00860B02">
        <w:rPr>
          <w:rFonts w:cs="Arial"/>
        </w:rPr>
        <w:t>étape</w:t>
      </w:r>
      <w:r w:rsidR="007F2C48" w:rsidRPr="00860B02">
        <w:rPr>
          <w:rFonts w:cs="Arial"/>
        </w:rPr>
        <w:t xml:space="preserve"> de l</w:t>
      </w:r>
      <w:r w:rsidR="00905CDD" w:rsidRPr="00860B02">
        <w:rPr>
          <w:rFonts w:cs="Arial"/>
        </w:rPr>
        <w:t>’</w:t>
      </w:r>
      <w:r w:rsidR="007F2C48" w:rsidRPr="00860B02">
        <w:rPr>
          <w:rFonts w:cs="Arial"/>
        </w:rPr>
        <w:t>étude test, ainsi que l</w:t>
      </w:r>
      <w:r w:rsidR="00905CDD" w:rsidRPr="00860B02">
        <w:rPr>
          <w:rFonts w:cs="Arial"/>
        </w:rPr>
        <w:t>’</w:t>
      </w:r>
      <w:r w:rsidR="007F2C48" w:rsidRPr="00860B02">
        <w:rPr>
          <w:rFonts w:cs="Arial"/>
        </w:rPr>
        <w:t>invitation des membres</w:t>
      </w:r>
      <w:r w:rsidR="00726505" w:rsidRPr="00860B02">
        <w:rPr>
          <w:rFonts w:cs="Arial"/>
        </w:rPr>
        <w:t xml:space="preserve"> du CAJ</w:t>
      </w:r>
      <w:r w:rsidR="007F2C48" w:rsidRPr="00860B02">
        <w:rPr>
          <w:rFonts w:cs="Arial"/>
        </w:rPr>
        <w:t xml:space="preserve"> et des observateurs à y participer</w:t>
      </w:r>
      <w:r w:rsidR="007F2C48" w:rsidRPr="00860B02">
        <w:rPr>
          <w:rStyle w:val="FootnoteReference"/>
        </w:rPr>
        <w:footnoteReference w:id="10"/>
      </w:r>
      <w:r w:rsidR="007F2C48" w:rsidRPr="00860B02">
        <w:t>.</w:t>
      </w:r>
    </w:p>
    <w:p w:rsidR="00090AC1" w:rsidRPr="00860B02" w:rsidRDefault="00090AC1" w:rsidP="00E419C7">
      <w:pPr>
        <w:rPr>
          <w:rFonts w:cs="Arial"/>
          <w:lang w:eastAsia="ja-JP"/>
        </w:rPr>
      </w:pPr>
    </w:p>
    <w:p w:rsidR="001B1DAE" w:rsidRPr="00860B02" w:rsidRDefault="00E419C7" w:rsidP="001B1DAE">
      <w:pPr>
        <w:rPr>
          <w:rFonts w:cs="Arial"/>
          <w:lang w:eastAsia="ja-JP"/>
        </w:rPr>
      </w:pPr>
      <w:r w:rsidRPr="00860B02">
        <w:fldChar w:fldCharType="begin"/>
      </w:r>
      <w:r w:rsidRPr="00860B02">
        <w:instrText xml:space="preserve"> AUTONUM  </w:instrText>
      </w:r>
      <w:r w:rsidRPr="00860B02">
        <w:fldChar w:fldCharType="end"/>
      </w:r>
      <w:r w:rsidRPr="00860B02">
        <w:tab/>
      </w:r>
      <w:r w:rsidR="001B1DAE" w:rsidRPr="00860B02">
        <w:rPr>
          <w:lang w:eastAsia="ja-JP"/>
        </w:rPr>
        <w:t xml:space="preserve">Le </w:t>
      </w:r>
      <w:r w:rsidR="001B1DAE" w:rsidRPr="00860B02">
        <w:rPr>
          <w:rFonts w:cs="Arial"/>
        </w:rPr>
        <w:t>WG</w:t>
      </w:r>
      <w:r w:rsidR="000B2679" w:rsidRPr="00860B02">
        <w:rPr>
          <w:rFonts w:cs="Arial"/>
        </w:rPr>
        <w:noBreakHyphen/>
      </w:r>
      <w:r w:rsidR="001B1DAE" w:rsidRPr="00860B02">
        <w:rPr>
          <w:rFonts w:cs="Arial"/>
        </w:rPr>
        <w:t>DST</w:t>
      </w:r>
      <w:r w:rsidR="001B1DAE" w:rsidRPr="00860B02">
        <w:rPr>
          <w:rFonts w:cs="Arial"/>
          <w:lang w:eastAsia="ja-JP"/>
        </w:rPr>
        <w:t xml:space="preserve"> a reconnu que l</w:t>
      </w:r>
      <w:r w:rsidR="00905CDD" w:rsidRPr="00860B02">
        <w:rPr>
          <w:rFonts w:cs="Arial"/>
          <w:lang w:eastAsia="ja-JP"/>
        </w:rPr>
        <w:t>’</w:t>
      </w:r>
      <w:r w:rsidR="001B1DAE" w:rsidRPr="00860B02">
        <w:rPr>
          <w:rFonts w:cs="Arial"/>
          <w:lang w:eastAsia="ja-JP"/>
        </w:rPr>
        <w:t>ensemble d</w:t>
      </w:r>
      <w:r w:rsidR="00905CDD" w:rsidRPr="00860B02">
        <w:rPr>
          <w:rFonts w:cs="Arial"/>
          <w:lang w:eastAsia="ja-JP"/>
        </w:rPr>
        <w:t>’</w:t>
      </w:r>
      <w:r w:rsidR="001B1DAE" w:rsidRPr="00860B02">
        <w:rPr>
          <w:rFonts w:cs="Arial"/>
          <w:lang w:eastAsia="ja-JP"/>
        </w:rPr>
        <w:t>algorithmes de test devrait être disponible avant le 1</w:t>
      </w:r>
      <w:r w:rsidR="001B1DAE" w:rsidRPr="00860B02">
        <w:rPr>
          <w:rFonts w:cs="Arial"/>
          <w:vertAlign w:val="superscript"/>
          <w:lang w:eastAsia="ja-JP"/>
        </w:rPr>
        <w:t>er</w:t>
      </w:r>
      <w:r w:rsidR="001B1DAE" w:rsidRPr="00860B02">
        <w:rPr>
          <w:rFonts w:cs="Arial"/>
          <w:lang w:eastAsia="ja-JP"/>
        </w:rPr>
        <w:t> </w:t>
      </w:r>
      <w:r w:rsidR="00726505" w:rsidRPr="00860B02">
        <w:rPr>
          <w:rFonts w:cs="Arial"/>
          <w:lang w:eastAsia="ja-JP"/>
        </w:rPr>
        <w:t>septembre 20</w:t>
      </w:r>
      <w:r w:rsidR="001B1DAE" w:rsidRPr="00860B02">
        <w:rPr>
          <w:rFonts w:cs="Arial"/>
          <w:lang w:eastAsia="ja-JP"/>
        </w:rPr>
        <w:t>15 au plus tard et que le résultat devrait être communiqué au WG</w:t>
      </w:r>
      <w:r w:rsidR="000B2679" w:rsidRPr="00860B02">
        <w:rPr>
          <w:rFonts w:cs="Arial"/>
          <w:lang w:eastAsia="ja-JP"/>
        </w:rPr>
        <w:noBreakHyphen/>
      </w:r>
      <w:r w:rsidR="001B1DAE" w:rsidRPr="00860B02">
        <w:rPr>
          <w:rFonts w:cs="Arial"/>
          <w:lang w:eastAsia="ja-JP"/>
        </w:rPr>
        <w:t xml:space="preserve">DST lors de sa troisième réunion prévue à Genève le </w:t>
      </w:r>
      <w:r w:rsidR="00726505" w:rsidRPr="00860B02">
        <w:rPr>
          <w:rFonts w:cs="Arial"/>
          <w:lang w:eastAsia="ja-JP"/>
        </w:rPr>
        <w:t>2 octobre 20</w:t>
      </w:r>
      <w:r w:rsidR="001B1DAE" w:rsidRPr="00860B02">
        <w:rPr>
          <w:rFonts w:cs="Arial"/>
          <w:lang w:eastAsia="ja-JP"/>
        </w:rPr>
        <w:t>15</w:t>
      </w:r>
      <w:r w:rsidR="001B1DAE" w:rsidRPr="00860B02">
        <w:rPr>
          <w:rStyle w:val="FootnoteReference"/>
          <w:rFonts w:cs="Arial"/>
          <w:lang w:eastAsia="ja-JP"/>
        </w:rPr>
        <w:footnoteReference w:id="11"/>
      </w:r>
      <w:r w:rsidR="00752EE1" w:rsidRPr="00860B02">
        <w:rPr>
          <w:rFonts w:cs="Arial"/>
          <w:lang w:eastAsia="ja-JP"/>
        </w:rPr>
        <w:t>.</w:t>
      </w:r>
    </w:p>
    <w:p w:rsidR="000B2679" w:rsidRPr="00860B02" w:rsidRDefault="000B2679" w:rsidP="001B1DAE">
      <w:pPr>
        <w:rPr>
          <w:rFonts w:cs="Arial"/>
          <w:lang w:eastAsia="ja-JP"/>
        </w:rPr>
      </w:pPr>
    </w:p>
    <w:p w:rsidR="000B2679" w:rsidRPr="00860B02" w:rsidRDefault="00C82922" w:rsidP="00C82922">
      <w:pPr>
        <w:rPr>
          <w:rFonts w:cs="Arial"/>
          <w:sz w:val="22"/>
          <w:szCs w:val="22"/>
          <w:lang w:eastAsia="ja-JP"/>
        </w:rPr>
      </w:pPr>
      <w:r w:rsidRPr="00860B02">
        <w:rPr>
          <w:rFonts w:cs="Arial"/>
          <w:lang w:eastAsia="ja-JP"/>
        </w:rPr>
        <w:t>16.</w:t>
      </w:r>
      <w:r w:rsidRPr="00860B02">
        <w:rPr>
          <w:rFonts w:cs="Arial"/>
          <w:lang w:eastAsia="ja-JP"/>
        </w:rPr>
        <w:tab/>
        <w:t>En réponse à l’Office communautaire des variétés végétales (OCVV) de l’Union européenne qui a demandé de tester le jeu d’algorithmes sur son propre système, le WG</w:t>
      </w:r>
      <w:r w:rsidRPr="00860B02">
        <w:rPr>
          <w:rFonts w:cs="Arial"/>
          <w:lang w:eastAsia="ja-JP"/>
        </w:rPr>
        <w:noBreakHyphen/>
        <w:t>DST a accepté de mettre à la disposition des membres du WG</w:t>
      </w:r>
      <w:r w:rsidRPr="00860B02">
        <w:rPr>
          <w:rFonts w:cs="Arial"/>
          <w:lang w:eastAsia="ja-JP"/>
        </w:rPr>
        <w:noBreakHyphen/>
        <w:t>DST, à leur demande, le code source du jeu d’algorithmes écrits en langage JAVA</w:t>
      </w:r>
      <w:r w:rsidR="000B2679" w:rsidRPr="00860B02">
        <w:rPr>
          <w:rStyle w:val="FootnoteReference"/>
          <w:rFonts w:cs="Arial"/>
          <w:sz w:val="22"/>
          <w:szCs w:val="22"/>
          <w:lang w:eastAsia="ja-JP"/>
        </w:rPr>
        <w:footnoteReference w:id="12"/>
      </w:r>
      <w:r w:rsidRPr="00860B02">
        <w:rPr>
          <w:rFonts w:cs="Arial"/>
          <w:position w:val="2"/>
          <w:sz w:val="22"/>
          <w:szCs w:val="22"/>
        </w:rPr>
        <w:t>.</w:t>
      </w:r>
    </w:p>
    <w:p w:rsidR="000B2679" w:rsidRPr="00860B02" w:rsidRDefault="000B2679" w:rsidP="001B1DAE">
      <w:pPr>
        <w:rPr>
          <w:rFonts w:cs="Arial"/>
          <w:sz w:val="22"/>
          <w:szCs w:val="22"/>
          <w:lang w:eastAsia="ja-JP"/>
        </w:rPr>
      </w:pPr>
    </w:p>
    <w:p w:rsidR="001B1DAE" w:rsidRPr="00860B02" w:rsidRDefault="00860B02" w:rsidP="00911B1D">
      <w:r>
        <w:rPr>
          <w:rFonts w:cs="Arial"/>
        </w:rPr>
        <w:t>17.</w:t>
      </w:r>
      <w:r w:rsidR="00911B1D" w:rsidRPr="00860B02">
        <w:tab/>
      </w:r>
      <w:r w:rsidR="001B1DAE" w:rsidRPr="00860B02">
        <w:t>Au cours de l</w:t>
      </w:r>
      <w:r w:rsidR="00905CDD" w:rsidRPr="00860B02">
        <w:t>’</w:t>
      </w:r>
      <w:r w:rsidR="001B1DAE" w:rsidRPr="00860B02">
        <w:t>élaboration des algorithmes choisis comportant une couche phonétique, il a été constaté que ces algorithmes présentaient un comportement beaucoup moins performant lorsqu</w:t>
      </w:r>
      <w:r w:rsidR="00905CDD" w:rsidRPr="00860B02">
        <w:t>’</w:t>
      </w:r>
      <w:r w:rsidR="001B1DAE" w:rsidRPr="00860B02">
        <w:t xml:space="preserve">ils étaient appliqués </w:t>
      </w:r>
      <w:r w:rsidR="001B1DAE" w:rsidRPr="00860B02">
        <w:lastRenderedPageBreak/>
        <w:t xml:space="preserve">à la base de données PLUTO. </w:t>
      </w:r>
      <w:r w:rsidR="00752EE1" w:rsidRPr="00860B02">
        <w:t xml:space="preserve"> </w:t>
      </w:r>
      <w:r w:rsidR="001B1DAE" w:rsidRPr="00860B02">
        <w:t>Ils produisaient notamment trop de dénominations au</w:t>
      </w:r>
      <w:r w:rsidR="000B2679" w:rsidRPr="00860B02">
        <w:noBreakHyphen/>
      </w:r>
      <w:r w:rsidR="001B1DAE" w:rsidRPr="00860B02">
        <w:t xml:space="preserve">dessus de la valeur limite de </w:t>
      </w:r>
      <w:r w:rsidR="00D666FA" w:rsidRPr="00860B02">
        <w:t>similitude</w:t>
      </w:r>
      <w:r w:rsidR="001B1DAE" w:rsidRPr="00860B02">
        <w:t xml:space="preserve"> </w:t>
      </w:r>
      <w:r w:rsidR="001B1DAE" w:rsidRPr="00860B02">
        <w:rPr>
          <w:rFonts w:cs="Arial"/>
        </w:rPr>
        <w:t>(</w:t>
      </w:r>
      <w:r w:rsidR="001B1DAE" w:rsidRPr="00860B02">
        <w:t>faible précision).</w:t>
      </w:r>
    </w:p>
    <w:p w:rsidR="00090AC1" w:rsidRPr="00860B02" w:rsidRDefault="00090AC1" w:rsidP="00E419C7">
      <w:pPr>
        <w:autoSpaceDE w:val="0"/>
        <w:autoSpaceDN w:val="0"/>
        <w:adjustRightInd w:val="0"/>
        <w:jc w:val="left"/>
        <w:rPr>
          <w:lang w:eastAsia="ja-JP"/>
        </w:rPr>
      </w:pPr>
    </w:p>
    <w:p w:rsidR="001B1DAE" w:rsidRPr="00860B02" w:rsidRDefault="00860B02" w:rsidP="00911B1D">
      <w:r>
        <w:t>18.</w:t>
      </w:r>
      <w:r w:rsidR="00911B1D" w:rsidRPr="00860B02">
        <w:tab/>
      </w:r>
      <w:r w:rsidR="001B1DAE" w:rsidRPr="00860B02">
        <w:t xml:space="preserve">Sur cette base, le </w:t>
      </w:r>
      <w:r w:rsidR="001B1DAE" w:rsidRPr="00860B02">
        <w:rPr>
          <w:rFonts w:cs="Arial"/>
        </w:rPr>
        <w:t>WG</w:t>
      </w:r>
      <w:r w:rsidR="000B2679" w:rsidRPr="00860B02">
        <w:rPr>
          <w:rFonts w:cs="Arial"/>
        </w:rPr>
        <w:noBreakHyphen/>
      </w:r>
      <w:r w:rsidR="001B1DAE" w:rsidRPr="00860B02">
        <w:rPr>
          <w:rFonts w:cs="Arial"/>
        </w:rPr>
        <w:t>DST, à sa troisième réunion, sera invité à examiner une nouvelle proposition d</w:t>
      </w:r>
      <w:r w:rsidR="00905CDD" w:rsidRPr="00860B02">
        <w:rPr>
          <w:rFonts w:cs="Arial"/>
        </w:rPr>
        <w:t>’</w:t>
      </w:r>
      <w:r w:rsidR="0058241D" w:rsidRPr="00860B02">
        <w:rPr>
          <w:rFonts w:cs="Arial"/>
        </w:rPr>
        <w:t>étape</w:t>
      </w:r>
      <w:r w:rsidR="001B1DAE" w:rsidRPr="00860B02">
        <w:rPr>
          <w:rFonts w:cs="Arial"/>
        </w:rPr>
        <w:t xml:space="preserve"> suivante, et sa conclusion sera communiquée</w:t>
      </w:r>
      <w:r w:rsidR="00726505" w:rsidRPr="00860B02">
        <w:rPr>
          <w:rFonts w:cs="Arial"/>
        </w:rPr>
        <w:t xml:space="preserve"> au CAJ</w:t>
      </w:r>
      <w:r w:rsidR="001B1DAE" w:rsidRPr="00860B02">
        <w:rPr>
          <w:rFonts w:cs="Arial"/>
        </w:rPr>
        <w:t xml:space="preserve"> à sa soixante</w:t>
      </w:r>
      <w:r w:rsidR="000B2679" w:rsidRPr="00860B02">
        <w:rPr>
          <w:rFonts w:cs="Arial"/>
        </w:rPr>
        <w:noBreakHyphen/>
      </w:r>
      <w:r w:rsidR="001B1DAE" w:rsidRPr="00860B02">
        <w:rPr>
          <w:rFonts w:cs="Arial"/>
        </w:rPr>
        <w:t>douzième réunion.</w:t>
      </w:r>
    </w:p>
    <w:p w:rsidR="00090AC1" w:rsidRPr="00860B02" w:rsidRDefault="00090AC1" w:rsidP="008B5ED9">
      <w:pPr>
        <w:autoSpaceDE w:val="0"/>
        <w:autoSpaceDN w:val="0"/>
        <w:adjustRightInd w:val="0"/>
        <w:spacing w:line="360" w:lineRule="auto"/>
        <w:jc w:val="left"/>
        <w:rPr>
          <w:lang w:eastAsia="ja-JP"/>
        </w:rPr>
      </w:pPr>
    </w:p>
    <w:p w:rsidR="00090AC1" w:rsidRPr="00860B02" w:rsidRDefault="001B1DAE" w:rsidP="008B5ED9">
      <w:pPr>
        <w:pStyle w:val="Heading3"/>
        <w:rPr>
          <w:lang w:val="fr-FR" w:eastAsia="ja-JP"/>
        </w:rPr>
      </w:pPr>
      <w:bookmarkStart w:id="22" w:name="_Toc427161610"/>
      <w:bookmarkStart w:id="23" w:name="_Toc432493963"/>
      <w:r w:rsidRPr="00860B02">
        <w:rPr>
          <w:lang w:val="fr-FR" w:eastAsia="ja-JP"/>
        </w:rPr>
        <w:t>Termes n</w:t>
      </w:r>
      <w:r w:rsidR="00E419C7" w:rsidRPr="00860B02">
        <w:rPr>
          <w:lang w:val="fr-FR" w:eastAsia="ja-JP"/>
        </w:rPr>
        <w:t>on</w:t>
      </w:r>
      <w:r w:rsidRPr="00860B02">
        <w:rPr>
          <w:lang w:val="fr-FR" w:eastAsia="ja-JP"/>
        </w:rPr>
        <w:t xml:space="preserve"> </w:t>
      </w:r>
      <w:r w:rsidR="00E419C7" w:rsidRPr="00860B02">
        <w:rPr>
          <w:lang w:val="fr-FR" w:eastAsia="ja-JP"/>
        </w:rPr>
        <w:t>acceptable</w:t>
      </w:r>
      <w:r w:rsidRPr="00860B02">
        <w:rPr>
          <w:lang w:val="fr-FR" w:eastAsia="ja-JP"/>
        </w:rPr>
        <w:t>s à des fins de dénomination variétale</w:t>
      </w:r>
      <w:bookmarkEnd w:id="22"/>
      <w:bookmarkEnd w:id="23"/>
    </w:p>
    <w:p w:rsidR="00090AC1" w:rsidRPr="00860B02" w:rsidRDefault="00090AC1" w:rsidP="00E419C7">
      <w:pPr>
        <w:autoSpaceDE w:val="0"/>
        <w:autoSpaceDN w:val="0"/>
        <w:adjustRightInd w:val="0"/>
        <w:jc w:val="left"/>
        <w:rPr>
          <w:lang w:eastAsia="ja-JP"/>
        </w:rPr>
      </w:pPr>
    </w:p>
    <w:p w:rsidR="007F7C1C" w:rsidRPr="00860B02" w:rsidRDefault="00860B02" w:rsidP="00E419C7">
      <w:pPr>
        <w:autoSpaceDE w:val="0"/>
        <w:autoSpaceDN w:val="0"/>
        <w:adjustRightInd w:val="0"/>
      </w:pPr>
      <w:r>
        <w:t>1</w:t>
      </w:r>
      <w:r w:rsidR="00E36D21">
        <w:t>9</w:t>
      </w:r>
      <w:r>
        <w:t>.</w:t>
      </w:r>
      <w:r w:rsidR="00E419C7" w:rsidRPr="00860B02">
        <w:tab/>
      </w:r>
      <w:r w:rsidR="007F7C1C" w:rsidRPr="00860B02">
        <w:rPr>
          <w:lang w:eastAsia="ja-JP"/>
        </w:rPr>
        <w:t>L</w:t>
      </w:r>
      <w:r w:rsidR="00E419C7" w:rsidRPr="00860B02">
        <w:rPr>
          <w:lang w:eastAsia="ja-JP"/>
        </w:rPr>
        <w:t>e WG</w:t>
      </w:r>
      <w:r w:rsidR="000B2679" w:rsidRPr="00860B02">
        <w:rPr>
          <w:lang w:eastAsia="ja-JP"/>
        </w:rPr>
        <w:noBreakHyphen/>
      </w:r>
      <w:r w:rsidR="00E419C7" w:rsidRPr="00860B02">
        <w:rPr>
          <w:lang w:eastAsia="ja-JP"/>
        </w:rPr>
        <w:t>DST</w:t>
      </w:r>
      <w:r w:rsidR="00C406C5" w:rsidRPr="00860B02">
        <w:rPr>
          <w:lang w:eastAsia="ja-JP"/>
        </w:rPr>
        <w:t xml:space="preserve">, </w:t>
      </w:r>
      <w:r w:rsidR="007F7C1C" w:rsidRPr="00860B02">
        <w:rPr>
          <w:lang w:eastAsia="ja-JP"/>
        </w:rPr>
        <w:t>à sa deuxième réunion, est convenu d</w:t>
      </w:r>
      <w:r w:rsidR="00905CDD" w:rsidRPr="00860B02">
        <w:rPr>
          <w:lang w:eastAsia="ja-JP"/>
        </w:rPr>
        <w:t>’</w:t>
      </w:r>
      <w:r w:rsidR="007F7C1C" w:rsidRPr="00860B02">
        <w:rPr>
          <w:lang w:eastAsia="ja-JP"/>
        </w:rPr>
        <w:t>inviter</w:t>
      </w:r>
      <w:r w:rsidR="00726505" w:rsidRPr="00860B02">
        <w:rPr>
          <w:lang w:eastAsia="ja-JP"/>
        </w:rPr>
        <w:t xml:space="preserve"> le CAJ</w:t>
      </w:r>
      <w:r w:rsidR="007F7C1C" w:rsidRPr="00860B02">
        <w:rPr>
          <w:lang w:eastAsia="ja-JP"/>
        </w:rPr>
        <w:t xml:space="preserve"> à examiner s</w:t>
      </w:r>
      <w:r w:rsidR="00905CDD" w:rsidRPr="00860B02">
        <w:rPr>
          <w:lang w:eastAsia="ja-JP"/>
        </w:rPr>
        <w:t>’</w:t>
      </w:r>
      <w:r w:rsidR="007F7C1C" w:rsidRPr="00860B02">
        <w:rPr>
          <w:lang w:eastAsia="ja-JP"/>
        </w:rPr>
        <w:t>il était justifié d</w:t>
      </w:r>
      <w:r w:rsidR="00905CDD" w:rsidRPr="00860B02">
        <w:rPr>
          <w:lang w:eastAsia="ja-JP"/>
        </w:rPr>
        <w:t>’</w:t>
      </w:r>
      <w:r w:rsidR="007F7C1C" w:rsidRPr="00860B02">
        <w:rPr>
          <w:lang w:eastAsia="ja-JP"/>
        </w:rPr>
        <w:t xml:space="preserve">établir une liste de termes non acceptables dans les </w:t>
      </w:r>
      <w:r w:rsidR="007F7C1C" w:rsidRPr="00860B02">
        <w:t xml:space="preserve">dénominations variétales, comme fonction supplémentaire </w:t>
      </w:r>
      <w:r w:rsidR="00D666FA" w:rsidRPr="00860B02">
        <w:t xml:space="preserve">du </w:t>
      </w:r>
      <w:r w:rsidR="00D666FA" w:rsidRPr="00860B02">
        <w:rPr>
          <w:snapToGrid w:val="0"/>
          <w:lang w:eastAsia="ja-JP"/>
        </w:rPr>
        <w:t xml:space="preserve">moteur de recherche de similitudes </w:t>
      </w:r>
      <w:r w:rsidR="00BB754F" w:rsidRPr="00860B02">
        <w:t>de l</w:t>
      </w:r>
      <w:r w:rsidR="00905CDD" w:rsidRPr="00860B02">
        <w:t>’</w:t>
      </w:r>
      <w:r w:rsidR="00BB754F" w:rsidRPr="00860B02">
        <w:t>UPOV aux fins de la dénomination variétale</w:t>
      </w:r>
      <w:r w:rsidR="00BB754F" w:rsidRPr="00860B02">
        <w:rPr>
          <w:rStyle w:val="FootnoteReference"/>
          <w:rFonts w:cs="Arial"/>
          <w:lang w:eastAsia="ja-JP"/>
        </w:rPr>
        <w:footnoteReference w:id="13"/>
      </w:r>
      <w:r w:rsidR="00BB754F" w:rsidRPr="00860B02">
        <w:rPr>
          <w:rFonts w:cs="Arial"/>
          <w:lang w:eastAsia="ja-JP"/>
        </w:rPr>
        <w:t>.</w:t>
      </w:r>
    </w:p>
    <w:p w:rsidR="00090AC1" w:rsidRPr="00860B02" w:rsidRDefault="00090AC1" w:rsidP="00E419C7">
      <w:pPr>
        <w:autoSpaceDE w:val="0"/>
        <w:autoSpaceDN w:val="0"/>
        <w:adjustRightInd w:val="0"/>
        <w:jc w:val="left"/>
        <w:rPr>
          <w:rFonts w:cs="Arial"/>
          <w:lang w:eastAsia="ja-JP"/>
        </w:rPr>
      </w:pPr>
    </w:p>
    <w:p w:rsidR="00BB754F" w:rsidRPr="00860B02" w:rsidRDefault="00E36D21" w:rsidP="00E419C7">
      <w:pPr>
        <w:rPr>
          <w:lang w:eastAsia="ja-JP"/>
        </w:rPr>
      </w:pPr>
      <w:r>
        <w:t>20</w:t>
      </w:r>
      <w:r w:rsidR="00860B02">
        <w:t>.</w:t>
      </w:r>
      <w:r w:rsidR="00E419C7" w:rsidRPr="00860B02">
        <w:tab/>
      </w:r>
      <w:r w:rsidR="007F7C1C" w:rsidRPr="00860B02">
        <w:rPr>
          <w:lang w:eastAsia="ja-JP"/>
        </w:rPr>
        <w:t xml:space="preserve">Le </w:t>
      </w:r>
      <w:r w:rsidR="00E419C7" w:rsidRPr="00860B02">
        <w:rPr>
          <w:lang w:eastAsia="ja-JP"/>
        </w:rPr>
        <w:t>WG</w:t>
      </w:r>
      <w:r w:rsidR="000B2679" w:rsidRPr="00860B02">
        <w:rPr>
          <w:lang w:eastAsia="ja-JP"/>
        </w:rPr>
        <w:noBreakHyphen/>
      </w:r>
      <w:r w:rsidR="00E419C7" w:rsidRPr="00860B02">
        <w:rPr>
          <w:lang w:eastAsia="ja-JP"/>
        </w:rPr>
        <w:t xml:space="preserve">DST </w:t>
      </w:r>
      <w:r w:rsidR="00BB754F" w:rsidRPr="00860B02">
        <w:rPr>
          <w:lang w:eastAsia="ja-JP"/>
        </w:rPr>
        <w:t xml:space="preserve">est convenu que la liste de termes non acceptables pourrait inclure, par exemple, des noms botaniques. </w:t>
      </w:r>
      <w:r w:rsidR="00752EE1" w:rsidRPr="00860B02">
        <w:rPr>
          <w:lang w:eastAsia="ja-JP"/>
        </w:rPr>
        <w:t xml:space="preserve"> </w:t>
      </w:r>
      <w:r w:rsidR="00BB754F" w:rsidRPr="00860B02">
        <w:rPr>
          <w:lang w:eastAsia="ja-JP"/>
        </w:rPr>
        <w:t>S</w:t>
      </w:r>
      <w:r w:rsidR="00905CDD" w:rsidRPr="00860B02">
        <w:rPr>
          <w:lang w:eastAsia="ja-JP"/>
        </w:rPr>
        <w:t>’</w:t>
      </w:r>
      <w:r w:rsidR="00BB754F" w:rsidRPr="00860B02">
        <w:rPr>
          <w:lang w:eastAsia="ja-JP"/>
        </w:rPr>
        <w:t>agissant de l</w:t>
      </w:r>
      <w:r w:rsidR="00905CDD" w:rsidRPr="00860B02">
        <w:rPr>
          <w:lang w:eastAsia="ja-JP"/>
        </w:rPr>
        <w:t>’</w:t>
      </w:r>
      <w:r w:rsidR="00BB754F" w:rsidRPr="00860B02">
        <w:rPr>
          <w:lang w:eastAsia="ja-JP"/>
        </w:rPr>
        <w:t>inclusion de termes offensants, il est convenu que l</w:t>
      </w:r>
      <w:r w:rsidR="00905CDD" w:rsidRPr="00860B02">
        <w:rPr>
          <w:lang w:eastAsia="ja-JP"/>
        </w:rPr>
        <w:t>’</w:t>
      </w:r>
      <w:r w:rsidR="00BB754F" w:rsidRPr="00860B02">
        <w:rPr>
          <w:lang w:eastAsia="ja-JP"/>
        </w:rPr>
        <w:t>établissement d</w:t>
      </w:r>
      <w:r w:rsidR="00905CDD" w:rsidRPr="00860B02">
        <w:rPr>
          <w:lang w:eastAsia="ja-JP"/>
        </w:rPr>
        <w:t>’</w:t>
      </w:r>
      <w:r w:rsidR="00BB754F" w:rsidRPr="00860B02">
        <w:rPr>
          <w:lang w:eastAsia="ja-JP"/>
        </w:rPr>
        <w:t>une liste pourrait poser problème</w:t>
      </w:r>
      <w:r w:rsidR="00BB754F" w:rsidRPr="00860B02">
        <w:rPr>
          <w:rStyle w:val="FootnoteReference"/>
          <w:rFonts w:cs="Arial"/>
          <w:lang w:eastAsia="ja-JP"/>
        </w:rPr>
        <w:footnoteReference w:id="14"/>
      </w:r>
      <w:r w:rsidR="00752EE1" w:rsidRPr="00860B02">
        <w:rPr>
          <w:rFonts w:cs="Arial"/>
          <w:lang w:eastAsia="ja-JP"/>
        </w:rPr>
        <w:t>.</w:t>
      </w:r>
    </w:p>
    <w:p w:rsidR="00090AC1" w:rsidRPr="00860B02" w:rsidRDefault="00090AC1" w:rsidP="00E419C7">
      <w:pPr>
        <w:rPr>
          <w:rFonts w:cs="Arial"/>
          <w:lang w:eastAsia="ja-JP"/>
        </w:rPr>
      </w:pPr>
    </w:p>
    <w:p w:rsidR="0058241D" w:rsidRPr="00860B02" w:rsidRDefault="00E36D21" w:rsidP="00E419C7">
      <w:r>
        <w:t>21</w:t>
      </w:r>
      <w:r w:rsidR="00860B02">
        <w:t>.</w:t>
      </w:r>
      <w:r w:rsidR="00280FCF" w:rsidRPr="00860B02">
        <w:tab/>
      </w:r>
      <w:r w:rsidR="0058241D" w:rsidRPr="00860B02">
        <w:t>Ce point sera examiné plus avant par le WG</w:t>
      </w:r>
      <w:r w:rsidR="000B2679" w:rsidRPr="00860B02">
        <w:noBreakHyphen/>
      </w:r>
      <w:r w:rsidR="0058241D" w:rsidRPr="00860B02">
        <w:t>DST à sa troisième réunion, et toute conclusion sera communiquée</w:t>
      </w:r>
      <w:r w:rsidR="00726505" w:rsidRPr="00860B02">
        <w:t xml:space="preserve"> au CAJ</w:t>
      </w:r>
      <w:r w:rsidR="0058241D" w:rsidRPr="00860B02">
        <w:t xml:space="preserve"> lors de sa soixante</w:t>
      </w:r>
      <w:r w:rsidR="000B2679" w:rsidRPr="00860B02">
        <w:noBreakHyphen/>
      </w:r>
      <w:r w:rsidR="0058241D" w:rsidRPr="00860B02">
        <w:t>douzième</w:t>
      </w:r>
      <w:r w:rsidR="00752EE1" w:rsidRPr="00860B02">
        <w:t> </w:t>
      </w:r>
      <w:r w:rsidR="0058241D" w:rsidRPr="00860B02">
        <w:t>session.</w:t>
      </w:r>
    </w:p>
    <w:p w:rsidR="00090AC1" w:rsidRPr="00860B02" w:rsidRDefault="00090AC1" w:rsidP="00E419C7">
      <w:pPr>
        <w:rPr>
          <w:rFonts w:cs="Arial"/>
          <w:lang w:eastAsia="ja-JP"/>
        </w:rPr>
      </w:pPr>
    </w:p>
    <w:p w:rsidR="00090AC1" w:rsidRPr="00860B02" w:rsidRDefault="00090AC1" w:rsidP="00E419C7">
      <w:pPr>
        <w:rPr>
          <w:rFonts w:cs="Arial"/>
          <w:lang w:eastAsia="ja-JP"/>
        </w:rPr>
      </w:pPr>
    </w:p>
    <w:p w:rsidR="00090AC1" w:rsidRPr="00860B02" w:rsidRDefault="00125546" w:rsidP="004A6FA7">
      <w:pPr>
        <w:pStyle w:val="Heading2"/>
        <w:rPr>
          <w:rFonts w:cs="Arial"/>
          <w:lang w:val="fr-FR" w:eastAsia="ja-JP"/>
        </w:rPr>
      </w:pPr>
      <w:bookmarkStart w:id="24" w:name="_Toc432493964"/>
      <w:r w:rsidRPr="00860B02">
        <w:rPr>
          <w:lang w:val="fr-FR" w:eastAsia="ja-JP"/>
        </w:rPr>
        <w:t>Problèmes p</w:t>
      </w:r>
      <w:r w:rsidR="00331016" w:rsidRPr="00860B02">
        <w:rPr>
          <w:lang w:val="fr-FR" w:eastAsia="ja-JP"/>
        </w:rPr>
        <w:t>hon</w:t>
      </w:r>
      <w:r w:rsidRPr="00860B02">
        <w:rPr>
          <w:lang w:val="fr-FR" w:eastAsia="ja-JP"/>
        </w:rPr>
        <w:t>étiques</w:t>
      </w:r>
      <w:bookmarkEnd w:id="24"/>
    </w:p>
    <w:p w:rsidR="00090AC1" w:rsidRPr="00860B02" w:rsidRDefault="00090AC1" w:rsidP="00331016">
      <w:pPr>
        <w:rPr>
          <w:lang w:eastAsia="ja-JP"/>
        </w:rPr>
      </w:pPr>
    </w:p>
    <w:p w:rsidR="00125546" w:rsidRPr="00860B02" w:rsidRDefault="00860B02" w:rsidP="00820F72">
      <w:pPr>
        <w:rPr>
          <w:lang w:eastAsia="ja-JP"/>
        </w:rPr>
      </w:pPr>
      <w:r>
        <w:t>2</w:t>
      </w:r>
      <w:r w:rsidR="00E36D21">
        <w:t>2</w:t>
      </w:r>
      <w:r>
        <w:t>.</w:t>
      </w:r>
      <w:r w:rsidR="00331016" w:rsidRPr="00860B02">
        <w:tab/>
      </w:r>
      <w:r w:rsidR="007F7C1C" w:rsidRPr="00860B02">
        <w:rPr>
          <w:lang w:eastAsia="ja-JP"/>
        </w:rPr>
        <w:t xml:space="preserve">Le </w:t>
      </w:r>
      <w:r w:rsidR="00331016" w:rsidRPr="00860B02">
        <w:rPr>
          <w:lang w:eastAsia="ja-JP"/>
        </w:rPr>
        <w:t>WG</w:t>
      </w:r>
      <w:r w:rsidR="000B2679" w:rsidRPr="00860B02">
        <w:rPr>
          <w:lang w:eastAsia="ja-JP"/>
        </w:rPr>
        <w:noBreakHyphen/>
      </w:r>
      <w:r w:rsidR="00331016" w:rsidRPr="00860B02">
        <w:rPr>
          <w:lang w:eastAsia="ja-JP"/>
        </w:rPr>
        <w:t>DST</w:t>
      </w:r>
      <w:r w:rsidR="00C406C5" w:rsidRPr="00860B02">
        <w:rPr>
          <w:lang w:eastAsia="ja-JP"/>
        </w:rPr>
        <w:t xml:space="preserve">, </w:t>
      </w:r>
      <w:r w:rsidR="00125546" w:rsidRPr="00860B02">
        <w:rPr>
          <w:lang w:eastAsia="ja-JP"/>
        </w:rPr>
        <w:t>à sa deuxième réunion, est convenu que l</w:t>
      </w:r>
      <w:r w:rsidR="00905CDD" w:rsidRPr="00860B02">
        <w:rPr>
          <w:lang w:eastAsia="ja-JP"/>
        </w:rPr>
        <w:t>’</w:t>
      </w:r>
      <w:r w:rsidR="00125546" w:rsidRPr="00860B02">
        <w:rPr>
          <w:lang w:eastAsia="ja-JP"/>
        </w:rPr>
        <w:t xml:space="preserve">examen des éléments phonétiques dans </w:t>
      </w:r>
      <w:r w:rsidR="00D666FA" w:rsidRPr="00860B02">
        <w:rPr>
          <w:lang w:eastAsia="ja-JP"/>
        </w:rPr>
        <w:t xml:space="preserve">le moteur </w:t>
      </w:r>
      <w:r w:rsidR="00125546" w:rsidRPr="00860B02">
        <w:rPr>
          <w:lang w:eastAsia="ja-JP"/>
        </w:rPr>
        <w:t>de recherche, tel que décrit dans les paragraphes</w:t>
      </w:r>
      <w:r w:rsidR="00752EE1" w:rsidRPr="00860B02">
        <w:rPr>
          <w:lang w:eastAsia="ja-JP"/>
        </w:rPr>
        <w:t> </w:t>
      </w:r>
      <w:r w:rsidR="00125546" w:rsidRPr="00860B02">
        <w:rPr>
          <w:lang w:eastAsia="ja-JP"/>
        </w:rPr>
        <w:t>13 à 16 ci</w:t>
      </w:r>
      <w:r w:rsidR="000B2679" w:rsidRPr="00860B02">
        <w:rPr>
          <w:lang w:eastAsia="ja-JP"/>
        </w:rPr>
        <w:noBreakHyphen/>
      </w:r>
      <w:r w:rsidR="00125546" w:rsidRPr="00860B02">
        <w:rPr>
          <w:lang w:eastAsia="ja-JP"/>
        </w:rPr>
        <w:t>dessus, serait la méthode la plus efficace et que d</w:t>
      </w:r>
      <w:r w:rsidR="00905CDD" w:rsidRPr="00860B02">
        <w:rPr>
          <w:lang w:eastAsia="ja-JP"/>
        </w:rPr>
        <w:t>’</w:t>
      </w:r>
      <w:r w:rsidR="00125546" w:rsidRPr="00860B02">
        <w:rPr>
          <w:lang w:eastAsia="ja-JP"/>
        </w:rPr>
        <w:t>autres mesures supplémentaires ne seraient pas appropriées</w:t>
      </w:r>
      <w:r w:rsidR="00125546" w:rsidRPr="00860B02">
        <w:rPr>
          <w:rStyle w:val="FootnoteReference"/>
          <w:lang w:eastAsia="ja-JP"/>
        </w:rPr>
        <w:footnoteReference w:id="15"/>
      </w:r>
      <w:r w:rsidR="00752EE1" w:rsidRPr="00860B02">
        <w:rPr>
          <w:lang w:eastAsia="ja-JP"/>
        </w:rPr>
        <w:t>.</w:t>
      </w:r>
    </w:p>
    <w:p w:rsidR="00090AC1" w:rsidRPr="00860B02" w:rsidRDefault="00090AC1">
      <w:pPr>
        <w:jc w:val="left"/>
        <w:rPr>
          <w:u w:val="single"/>
          <w:lang w:eastAsia="ja-JP"/>
        </w:rPr>
      </w:pPr>
    </w:p>
    <w:p w:rsidR="004A6FA7" w:rsidRPr="00860B02" w:rsidRDefault="004A6FA7">
      <w:pPr>
        <w:jc w:val="left"/>
        <w:rPr>
          <w:u w:val="single"/>
          <w:lang w:eastAsia="ja-JP"/>
        </w:rPr>
      </w:pPr>
    </w:p>
    <w:p w:rsidR="00090AC1" w:rsidRPr="00860B02" w:rsidRDefault="00125546" w:rsidP="004A6FA7">
      <w:pPr>
        <w:pStyle w:val="Heading2"/>
        <w:rPr>
          <w:lang w:val="fr-FR" w:eastAsia="ja-JP"/>
        </w:rPr>
      </w:pPr>
      <w:bookmarkStart w:id="25" w:name="_Toc432493965"/>
      <w:r w:rsidRPr="00860B02">
        <w:rPr>
          <w:lang w:val="fr-FR" w:eastAsia="ja-JP"/>
        </w:rPr>
        <w:t>Problèmes linguistiques</w:t>
      </w:r>
      <w:bookmarkEnd w:id="25"/>
    </w:p>
    <w:p w:rsidR="00125546" w:rsidRPr="00860B02" w:rsidRDefault="00125546" w:rsidP="00125546">
      <w:pPr>
        <w:rPr>
          <w:lang w:eastAsia="ja-JP"/>
        </w:rPr>
      </w:pPr>
    </w:p>
    <w:p w:rsidR="00090AC1" w:rsidRPr="00860B02" w:rsidRDefault="00860B02" w:rsidP="00331016">
      <w:pPr>
        <w:rPr>
          <w:lang w:eastAsia="ja-JP"/>
        </w:rPr>
      </w:pPr>
      <w:r>
        <w:t>2</w:t>
      </w:r>
      <w:r w:rsidR="00E36D21">
        <w:t>3</w:t>
      </w:r>
      <w:r>
        <w:t>.</w:t>
      </w:r>
      <w:r w:rsidR="00331016" w:rsidRPr="00860B02">
        <w:tab/>
      </w:r>
      <w:r w:rsidR="00125546" w:rsidRPr="00860B02">
        <w:t xml:space="preserve">Les problèmes linguistiques sont examinés dans le </w:t>
      </w:r>
      <w:r w:rsidR="00125546" w:rsidRPr="00860B02">
        <w:rPr>
          <w:lang w:eastAsia="ja-JP"/>
        </w:rPr>
        <w:t xml:space="preserve">document CAJ/72/6 </w:t>
      </w:r>
      <w:r w:rsidR="00752EE1" w:rsidRPr="00860B02">
        <w:rPr>
          <w:lang w:eastAsia="ja-JP"/>
        </w:rPr>
        <w:t>“</w:t>
      </w:r>
      <w:r w:rsidR="00125546" w:rsidRPr="00860B02">
        <w:t>Bases de données d</w:t>
      </w:r>
      <w:r w:rsidR="00905CDD" w:rsidRPr="00860B02">
        <w:t>’</w:t>
      </w:r>
      <w:r w:rsidR="00125546" w:rsidRPr="00860B02">
        <w:t>information de l</w:t>
      </w:r>
      <w:r w:rsidR="00905CDD" w:rsidRPr="00860B02">
        <w:t>’</w:t>
      </w:r>
      <w:r w:rsidR="00125546" w:rsidRPr="00860B02">
        <w:t>UPOV</w:t>
      </w:r>
      <w:r w:rsidR="00752EE1" w:rsidRPr="00860B02">
        <w:rPr>
          <w:lang w:eastAsia="ja-JP"/>
        </w:rPr>
        <w:t>”</w:t>
      </w:r>
      <w:r w:rsidR="00041C75" w:rsidRPr="00860B02">
        <w:rPr>
          <w:lang w:eastAsia="ja-JP"/>
        </w:rPr>
        <w:t xml:space="preserve"> (</w:t>
      </w:r>
      <w:r w:rsidR="00125546" w:rsidRPr="00860B02">
        <w:rPr>
          <w:lang w:eastAsia="ja-JP"/>
        </w:rPr>
        <w:t>point</w:t>
      </w:r>
      <w:r w:rsidR="000B2679" w:rsidRPr="00860B02">
        <w:rPr>
          <w:lang w:eastAsia="ja-JP"/>
        </w:rPr>
        <w:t> 6</w:t>
      </w:r>
      <w:r w:rsidR="00041C75" w:rsidRPr="00860B02">
        <w:rPr>
          <w:lang w:eastAsia="ja-JP"/>
        </w:rPr>
        <w:t>b)</w:t>
      </w:r>
      <w:r w:rsidR="00125546" w:rsidRPr="00860B02">
        <w:rPr>
          <w:lang w:eastAsia="ja-JP"/>
        </w:rPr>
        <w:t xml:space="preserve"> de l</w:t>
      </w:r>
      <w:r w:rsidR="00905CDD" w:rsidRPr="00860B02">
        <w:rPr>
          <w:lang w:eastAsia="ja-JP"/>
        </w:rPr>
        <w:t>’</w:t>
      </w:r>
      <w:r w:rsidR="00125546" w:rsidRPr="00860B02">
        <w:rPr>
          <w:lang w:eastAsia="ja-JP"/>
        </w:rPr>
        <w:t>ordre du jour</w:t>
      </w:r>
      <w:r w:rsidR="00041C75" w:rsidRPr="00860B02">
        <w:rPr>
          <w:lang w:eastAsia="ja-JP"/>
        </w:rPr>
        <w:t>)</w:t>
      </w:r>
      <w:r w:rsidR="00331016" w:rsidRPr="00860B02">
        <w:rPr>
          <w:lang w:eastAsia="ja-JP"/>
        </w:rPr>
        <w:t>.</w:t>
      </w:r>
    </w:p>
    <w:p w:rsidR="00090AC1" w:rsidRPr="00860B02" w:rsidRDefault="00090AC1" w:rsidP="00331016">
      <w:pPr>
        <w:rPr>
          <w:lang w:eastAsia="ja-JP"/>
        </w:rPr>
      </w:pPr>
    </w:p>
    <w:p w:rsidR="00090AC1" w:rsidRPr="00860B02" w:rsidRDefault="00860B02" w:rsidP="00097BB4">
      <w:pPr>
        <w:pStyle w:val="DecisionParagraphs"/>
        <w:tabs>
          <w:tab w:val="clear" w:pos="5387"/>
          <w:tab w:val="left" w:pos="5400"/>
        </w:tabs>
        <w:rPr>
          <w:snapToGrid w:val="0"/>
          <w:lang w:eastAsia="ja-JP"/>
        </w:rPr>
      </w:pPr>
      <w:r>
        <w:t>2</w:t>
      </w:r>
      <w:r w:rsidR="00E36D21">
        <w:t>4</w:t>
      </w:r>
      <w:r>
        <w:t>.</w:t>
      </w:r>
      <w:r w:rsidR="009C5A31" w:rsidRPr="00860B02">
        <w:tab/>
      </w:r>
      <w:r w:rsidR="00125546" w:rsidRPr="00860B02">
        <w:rPr>
          <w:iCs/>
        </w:rPr>
        <w:t>L</w:t>
      </w:r>
      <w:r w:rsidR="009C5A31" w:rsidRPr="00860B02">
        <w:rPr>
          <w:iCs/>
        </w:rPr>
        <w:t xml:space="preserve">e </w:t>
      </w:r>
      <w:r w:rsidR="009C5A31" w:rsidRPr="00860B02">
        <w:rPr>
          <w:iCs/>
          <w:lang w:eastAsia="ja-JP"/>
        </w:rPr>
        <w:t>CAJ</w:t>
      </w:r>
      <w:r w:rsidR="00097BB4" w:rsidRPr="00860B02">
        <w:rPr>
          <w:iCs/>
        </w:rPr>
        <w:t xml:space="preserve"> </w:t>
      </w:r>
      <w:r w:rsidR="00125546" w:rsidRPr="00860B02">
        <w:rPr>
          <w:iCs/>
        </w:rPr>
        <w:t>est</w:t>
      </w:r>
      <w:r w:rsidR="00097BB4" w:rsidRPr="00860B02">
        <w:rPr>
          <w:iCs/>
        </w:rPr>
        <w:t xml:space="preserve"> invit</w:t>
      </w:r>
      <w:r w:rsidR="00125546" w:rsidRPr="00860B02">
        <w:rPr>
          <w:iCs/>
        </w:rPr>
        <w:t xml:space="preserve">é à prendre note des travaux </w:t>
      </w:r>
      <w:r w:rsidR="00125546" w:rsidRPr="00860B02">
        <w:t>concernant la possibilité d</w:t>
      </w:r>
      <w:r w:rsidR="00905CDD" w:rsidRPr="00860B02">
        <w:t>’</w:t>
      </w:r>
      <w:r w:rsidR="00125546" w:rsidRPr="00860B02">
        <w:t>élaboration d</w:t>
      </w:r>
      <w:r w:rsidR="00905CDD" w:rsidRPr="00860B02">
        <w:t>’</w:t>
      </w:r>
      <w:r w:rsidR="00125546" w:rsidRPr="00860B02">
        <w:t xml:space="preserve">un </w:t>
      </w:r>
      <w:r w:rsidR="00D666FA" w:rsidRPr="00860B02">
        <w:t xml:space="preserve">moteur de recherche de similitudes </w:t>
      </w:r>
      <w:r w:rsidR="00125546" w:rsidRPr="00860B02">
        <w:t>de l</w:t>
      </w:r>
      <w:r w:rsidR="00905CDD" w:rsidRPr="00860B02">
        <w:t>’</w:t>
      </w:r>
      <w:r w:rsidR="00125546" w:rsidRPr="00860B02">
        <w:t>UPOV aux fins de la dénomination variétale qui ont été réalisés par le groupe de travail sur l</w:t>
      </w:r>
      <w:r w:rsidR="00905CDD" w:rsidRPr="00860B02">
        <w:t>’</w:t>
      </w:r>
      <w:r w:rsidR="00125546" w:rsidRPr="00860B02">
        <w:t>élaboration d</w:t>
      </w:r>
      <w:r w:rsidR="00905CDD" w:rsidRPr="00860B02">
        <w:t>’</w:t>
      </w:r>
      <w:r w:rsidR="00125546" w:rsidRPr="00860B02">
        <w:t xml:space="preserve">un </w:t>
      </w:r>
      <w:r w:rsidR="00D666FA" w:rsidRPr="00860B02">
        <w:rPr>
          <w:snapToGrid w:val="0"/>
          <w:lang w:eastAsia="ja-JP"/>
        </w:rPr>
        <w:t xml:space="preserve">moteur de recherche de similitudes </w:t>
      </w:r>
      <w:r w:rsidR="00B424DC" w:rsidRPr="00860B02">
        <w:t>de l</w:t>
      </w:r>
      <w:r w:rsidR="00905CDD" w:rsidRPr="00860B02">
        <w:t>’</w:t>
      </w:r>
      <w:r w:rsidR="00B424DC" w:rsidRPr="00860B02">
        <w:t xml:space="preserve">UPOV </w:t>
      </w:r>
      <w:r w:rsidR="00125546" w:rsidRPr="00860B02">
        <w:t>aux fins de la dénomination variétale (WG</w:t>
      </w:r>
      <w:r w:rsidR="000B2679" w:rsidRPr="00860B02">
        <w:noBreakHyphen/>
      </w:r>
      <w:r w:rsidR="00125546" w:rsidRPr="00860B02">
        <w:t>DST)</w:t>
      </w:r>
      <w:r w:rsidR="00097BB4" w:rsidRPr="00860B02">
        <w:rPr>
          <w:snapToGrid w:val="0"/>
          <w:lang w:eastAsia="ja-JP"/>
        </w:rPr>
        <w:t>.</w:t>
      </w:r>
    </w:p>
    <w:p w:rsidR="00090AC1" w:rsidRPr="00860B02" w:rsidRDefault="00090AC1" w:rsidP="009175FC">
      <w:pPr>
        <w:pStyle w:val="Heading1"/>
        <w:rPr>
          <w:snapToGrid w:val="0"/>
          <w:lang w:val="fr-FR" w:eastAsia="ja-JP"/>
        </w:rPr>
      </w:pPr>
    </w:p>
    <w:p w:rsidR="00090AC1" w:rsidRPr="00860B02" w:rsidRDefault="00090AC1" w:rsidP="008B5ED9">
      <w:pPr>
        <w:rPr>
          <w:lang w:eastAsia="ja-JP"/>
        </w:rPr>
      </w:pPr>
    </w:p>
    <w:p w:rsidR="00090AC1" w:rsidRPr="00860B02" w:rsidRDefault="00090AC1">
      <w:pPr>
        <w:jc w:val="left"/>
        <w:rPr>
          <w:caps/>
          <w:snapToGrid w:val="0"/>
          <w:lang w:eastAsia="ja-JP"/>
        </w:rPr>
      </w:pPr>
      <w:bookmarkStart w:id="26" w:name="_Toc427161611"/>
    </w:p>
    <w:p w:rsidR="00090AC1" w:rsidRPr="00860B02" w:rsidRDefault="00090AC1" w:rsidP="00090AC1">
      <w:pPr>
        <w:pStyle w:val="Heading1"/>
        <w:rPr>
          <w:snapToGrid w:val="0"/>
          <w:lang w:val="fr-FR" w:eastAsia="ja-JP"/>
        </w:rPr>
      </w:pPr>
      <w:bookmarkStart w:id="27" w:name="_Toc432493966"/>
      <w:bookmarkEnd w:id="26"/>
      <w:r w:rsidRPr="00860B02">
        <w:rPr>
          <w:snapToGrid w:val="0"/>
          <w:lang w:val="fr-FR" w:eastAsia="ja-JP"/>
        </w:rPr>
        <w:t>Ré</w:t>
      </w:r>
      <w:r w:rsidR="00125546" w:rsidRPr="00860B02">
        <w:rPr>
          <w:snapToGrid w:val="0"/>
          <w:lang w:val="fr-FR" w:eastAsia="ja-JP"/>
        </w:rPr>
        <w:t xml:space="preserve">vision du document UPOV/INF/12 </w:t>
      </w:r>
      <w:r w:rsidR="00752EE1" w:rsidRPr="00860B02">
        <w:rPr>
          <w:snapToGrid w:val="0"/>
          <w:lang w:val="fr-FR" w:eastAsia="ja-JP"/>
        </w:rPr>
        <w:t>“</w:t>
      </w:r>
      <w:r w:rsidRPr="00860B02">
        <w:rPr>
          <w:snapToGrid w:val="0"/>
          <w:lang w:val="fr-FR" w:eastAsia="ja-JP"/>
        </w:rPr>
        <w:t xml:space="preserve">Notes explicatives concernant les dénominations variétales en vertu de la </w:t>
      </w:r>
      <w:r w:rsidR="00905CDD" w:rsidRPr="00860B02">
        <w:rPr>
          <w:snapToGrid w:val="0"/>
          <w:lang w:val="fr-FR" w:eastAsia="ja-JP"/>
        </w:rPr>
        <w:t>Convention UPOV</w:t>
      </w:r>
      <w:r w:rsidR="00752EE1" w:rsidRPr="00860B02">
        <w:rPr>
          <w:snapToGrid w:val="0"/>
          <w:lang w:val="fr-FR" w:eastAsia="ja-JP"/>
        </w:rPr>
        <w:t>”</w:t>
      </w:r>
      <w:bookmarkEnd w:id="27"/>
    </w:p>
    <w:p w:rsidR="00090AC1" w:rsidRPr="00860B02" w:rsidRDefault="00090AC1" w:rsidP="00E10886">
      <w:pPr>
        <w:rPr>
          <w:snapToGrid w:val="0"/>
          <w:lang w:eastAsia="ja-JP"/>
        </w:rPr>
      </w:pPr>
    </w:p>
    <w:p w:rsidR="00090AC1" w:rsidRPr="00860B02" w:rsidRDefault="00860B02" w:rsidP="00090AC1">
      <w:pPr>
        <w:rPr>
          <w:lang w:eastAsia="ja-JP"/>
        </w:rPr>
      </w:pPr>
      <w:r>
        <w:t>2</w:t>
      </w:r>
      <w:r w:rsidR="00E36D21">
        <w:t>5</w:t>
      </w:r>
      <w:r>
        <w:t>.</w:t>
      </w:r>
      <w:r w:rsidR="00037A85" w:rsidRPr="00860B02">
        <w:tab/>
      </w:r>
      <w:r w:rsidR="00090AC1" w:rsidRPr="00860B02">
        <w:t>Les informations générales sur cette question sont four</w:t>
      </w:r>
      <w:r w:rsidR="00125546" w:rsidRPr="00860B02">
        <w:t xml:space="preserve">nies dans le document CAJ/71/3 </w:t>
      </w:r>
      <w:r w:rsidR="00752EE1" w:rsidRPr="00860B02">
        <w:t>“</w:t>
      </w:r>
      <w:r w:rsidR="00125546" w:rsidRPr="00860B02">
        <w:t>Dénominations variétales</w:t>
      </w:r>
      <w:r w:rsidR="00752EE1" w:rsidRPr="00860B02">
        <w:t>”</w:t>
      </w:r>
      <w:r w:rsidR="00090AC1" w:rsidRPr="00860B02">
        <w:t>.</w:t>
      </w:r>
    </w:p>
    <w:p w:rsidR="00090AC1" w:rsidRPr="00860B02" w:rsidRDefault="00090AC1" w:rsidP="00E10886">
      <w:pPr>
        <w:rPr>
          <w:snapToGrid w:val="0"/>
          <w:lang w:eastAsia="ja-JP"/>
        </w:rPr>
      </w:pPr>
    </w:p>
    <w:p w:rsidR="00090AC1" w:rsidRPr="00860B02" w:rsidRDefault="00860B02" w:rsidP="00090AC1">
      <w:pPr>
        <w:rPr>
          <w:snapToGrid w:val="0"/>
          <w:lang w:eastAsia="ja-JP"/>
        </w:rPr>
      </w:pPr>
      <w:r>
        <w:t>2</w:t>
      </w:r>
      <w:r w:rsidR="00E36D21">
        <w:t>6</w:t>
      </w:r>
      <w:r>
        <w:t>.</w:t>
      </w:r>
      <w:r w:rsidR="00037A85" w:rsidRPr="00860B02">
        <w:tab/>
      </w:r>
      <w:r w:rsidR="00090AC1" w:rsidRPr="00860B02">
        <w:t>À sa soixante</w:t>
      </w:r>
      <w:r w:rsidR="00752EE1" w:rsidRPr="00860B02">
        <w:t> </w:t>
      </w:r>
      <w:r w:rsidR="00090AC1" w:rsidRPr="00860B02">
        <w:t>et</w:t>
      </w:r>
      <w:r w:rsidR="00752EE1" w:rsidRPr="00860B02">
        <w:t> </w:t>
      </w:r>
      <w:r w:rsidR="00090AC1" w:rsidRPr="00860B02">
        <w:t>onzième</w:t>
      </w:r>
      <w:r w:rsidR="00752EE1" w:rsidRPr="00860B02">
        <w:t> </w:t>
      </w:r>
      <w:r w:rsidR="00090AC1" w:rsidRPr="00860B02">
        <w:t>session</w:t>
      </w:r>
      <w:r w:rsidR="00090AC1" w:rsidRPr="00860B02">
        <w:rPr>
          <w:rStyle w:val="FootnoteReference"/>
        </w:rPr>
        <w:footnoteReference w:id="16"/>
      </w:r>
      <w:r w:rsidR="00090AC1" w:rsidRPr="00860B02">
        <w:t>,</w:t>
      </w:r>
      <w:r w:rsidR="00726505" w:rsidRPr="00860B02">
        <w:t xml:space="preserve"> le CAJ</w:t>
      </w:r>
      <w:r w:rsidR="00090AC1" w:rsidRPr="00860B02">
        <w:t xml:space="preserve"> a décidé d</w:t>
      </w:r>
      <w:r w:rsidR="00905CDD" w:rsidRPr="00860B02">
        <w:t>’</w:t>
      </w:r>
      <w:r w:rsidR="00090AC1" w:rsidRPr="00860B02">
        <w:t>inviter le WG</w:t>
      </w:r>
      <w:r w:rsidR="000B2679" w:rsidRPr="00860B02">
        <w:noBreakHyphen/>
      </w:r>
      <w:r w:rsidR="00090AC1" w:rsidRPr="00860B02">
        <w:t>DST à examiner les observations ci</w:t>
      </w:r>
      <w:r w:rsidR="000B2679" w:rsidRPr="00860B02">
        <w:noBreakHyphen/>
      </w:r>
      <w:r w:rsidR="00090AC1" w:rsidRPr="00860B02">
        <w:t>après formulées par</w:t>
      </w:r>
      <w:r w:rsidR="00726505" w:rsidRPr="00860B02">
        <w:t xml:space="preserve"> le CAJ</w:t>
      </w:r>
      <w:r w:rsidR="000B2679" w:rsidRPr="00860B02">
        <w:noBreakHyphen/>
      </w:r>
      <w:r w:rsidR="00090AC1" w:rsidRPr="00860B02">
        <w:t>AG à sa neuvième</w:t>
      </w:r>
      <w:r w:rsidR="00752EE1" w:rsidRPr="00860B02">
        <w:t> </w:t>
      </w:r>
      <w:r w:rsidR="00090AC1" w:rsidRPr="00860B02">
        <w:t>session</w:t>
      </w:r>
      <w:r w:rsidR="00090AC1" w:rsidRPr="00860B02">
        <w:rPr>
          <w:rStyle w:val="FootnoteReference"/>
        </w:rPr>
        <w:footnoteReference w:id="17"/>
      </w:r>
      <w:r w:rsidR="00090AC1" w:rsidRPr="00860B02">
        <w:t xml:space="preserve"> sur les propositions figurant dans le document UPOV/INF/12/5 Draft 2 concernant les </w:t>
      </w:r>
      <w:r w:rsidR="00377A2E" w:rsidRPr="00860B02">
        <w:t>sections</w:t>
      </w:r>
      <w:r w:rsidR="00752EE1" w:rsidRPr="00860B02">
        <w:t> </w:t>
      </w:r>
      <w:r w:rsidR="00090AC1" w:rsidRPr="00860B02">
        <w:t>2.2.2.b), 2.3.1.c) et d)</w:t>
      </w:r>
      <w:r w:rsidR="00752EE1" w:rsidRPr="00860B02">
        <w:t> </w:t>
      </w:r>
      <w:r w:rsidR="00090AC1" w:rsidRPr="00860B02">
        <w:t>et 2.3.3, parallèlement à l</w:t>
      </w:r>
      <w:r w:rsidR="00905CDD" w:rsidRPr="00860B02">
        <w:t>’</w:t>
      </w:r>
      <w:r w:rsidR="00090AC1" w:rsidRPr="00860B02">
        <w:t>élaboration d</w:t>
      </w:r>
      <w:r w:rsidR="00905CDD" w:rsidRPr="00860B02">
        <w:t>’</w:t>
      </w:r>
      <w:r w:rsidR="00090AC1" w:rsidRPr="00860B02">
        <w:t xml:space="preserve">un </w:t>
      </w:r>
      <w:r w:rsidR="00D666FA" w:rsidRPr="00860B02">
        <w:t xml:space="preserve">moteur </w:t>
      </w:r>
      <w:r w:rsidR="00125546" w:rsidRPr="00860B02">
        <w:t xml:space="preserve">efficace </w:t>
      </w:r>
      <w:r w:rsidR="00090AC1" w:rsidRPr="00860B02">
        <w:t xml:space="preserve">de recherche de </w:t>
      </w:r>
      <w:r w:rsidR="00D666FA" w:rsidRPr="00860B02">
        <w:t xml:space="preserve">similitudes </w:t>
      </w:r>
      <w:r w:rsidR="00090AC1" w:rsidRPr="00860B02">
        <w:t>de l</w:t>
      </w:r>
      <w:r w:rsidR="00905CDD" w:rsidRPr="00860B02">
        <w:t>’</w:t>
      </w:r>
      <w:r w:rsidR="00090AC1" w:rsidRPr="00860B02">
        <w:t>UPOV, ainsi que toutes les conclusions adoptées par le WG</w:t>
      </w:r>
      <w:r w:rsidR="000B2679" w:rsidRPr="00860B02">
        <w:noBreakHyphen/>
      </w:r>
      <w:r w:rsidR="00090AC1" w:rsidRPr="00860B02">
        <w:t>DST concernant la révision du document UPOV/INF/12, le cas échéant</w:t>
      </w:r>
      <w:r w:rsidR="00090AC1" w:rsidRPr="00860B02">
        <w:rPr>
          <w:rStyle w:val="FootnoteReference"/>
        </w:rPr>
        <w:footnoteReference w:id="18"/>
      </w:r>
      <w:r w:rsidR="00090AC1" w:rsidRPr="00860B02">
        <w:t>.</w:t>
      </w: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860B02" w:rsidRPr="00860B02" w:rsidTr="00952258">
        <w:trPr>
          <w:cantSplit/>
        </w:trPr>
        <w:tc>
          <w:tcPr>
            <w:tcW w:w="1391" w:type="dxa"/>
          </w:tcPr>
          <w:p w:rsidR="00863EBE" w:rsidRPr="00860B02" w:rsidRDefault="00090AC1" w:rsidP="00090AC1">
            <w:pPr>
              <w:rPr>
                <w:rFonts w:cs="Arial"/>
              </w:rPr>
            </w:pPr>
            <w:r w:rsidRPr="00860B02">
              <w:rPr>
                <w:rFonts w:cs="Arial"/>
              </w:rPr>
              <w:lastRenderedPageBreak/>
              <w:t>2.2.2.b)</w:t>
            </w:r>
          </w:p>
        </w:tc>
        <w:tc>
          <w:tcPr>
            <w:tcW w:w="7789" w:type="dxa"/>
          </w:tcPr>
          <w:p w:rsidR="00090AC1" w:rsidRPr="00D60CEA" w:rsidRDefault="00090AC1" w:rsidP="00090AC1">
            <w:pPr>
              <w:rPr>
                <w:snapToGrid w:val="0"/>
                <w:spacing w:val="-2"/>
              </w:rPr>
            </w:pPr>
            <w:r w:rsidRPr="00D60CEA">
              <w:rPr>
                <w:snapToGrid w:val="0"/>
                <w:spacing w:val="-2"/>
              </w:rPr>
              <w:t>Préciser la terminologie dans 2.2.2.b).</w:t>
            </w:r>
            <w:r w:rsidR="00863EBE" w:rsidRPr="00D60CEA">
              <w:rPr>
                <w:snapToGrid w:val="0"/>
                <w:spacing w:val="-2"/>
              </w:rPr>
              <w:t xml:space="preserve"> </w:t>
            </w:r>
            <w:r w:rsidR="00752EE1" w:rsidRPr="00D60CEA">
              <w:rPr>
                <w:snapToGrid w:val="0"/>
                <w:spacing w:val="-2"/>
              </w:rPr>
              <w:t xml:space="preserve"> </w:t>
            </w:r>
            <w:r w:rsidRPr="00D60CEA">
              <w:rPr>
                <w:snapToGrid w:val="0"/>
                <w:spacing w:val="-2"/>
              </w:rPr>
              <w:t xml:space="preserve">En particulier, envisager de modifier les exemples ou de remplacer </w:t>
            </w:r>
            <w:r w:rsidR="00752EE1" w:rsidRPr="00D60CEA">
              <w:rPr>
                <w:snapToGrid w:val="0"/>
                <w:spacing w:val="-2"/>
              </w:rPr>
              <w:t>“</w:t>
            </w:r>
            <w:r w:rsidRPr="00D60CEA">
              <w:rPr>
                <w:snapToGrid w:val="0"/>
                <w:spacing w:val="-2"/>
              </w:rPr>
              <w:t>espèces</w:t>
            </w:r>
            <w:r w:rsidR="00752EE1" w:rsidRPr="00D60CEA">
              <w:rPr>
                <w:snapToGrid w:val="0"/>
                <w:spacing w:val="-2"/>
              </w:rPr>
              <w:t>”</w:t>
            </w:r>
            <w:r w:rsidRPr="00D60CEA">
              <w:rPr>
                <w:snapToGrid w:val="0"/>
                <w:spacing w:val="-2"/>
              </w:rPr>
              <w:t xml:space="preserve"> par </w:t>
            </w:r>
            <w:r w:rsidR="00752EE1" w:rsidRPr="00D60CEA">
              <w:rPr>
                <w:snapToGrid w:val="0"/>
                <w:spacing w:val="-2"/>
              </w:rPr>
              <w:t>“</w:t>
            </w:r>
            <w:r w:rsidRPr="00D60CEA">
              <w:rPr>
                <w:snapToGrid w:val="0"/>
                <w:spacing w:val="-2"/>
              </w:rPr>
              <w:t>genres</w:t>
            </w:r>
            <w:r w:rsidR="00752EE1" w:rsidRPr="00D60CEA">
              <w:rPr>
                <w:snapToGrid w:val="0"/>
                <w:spacing w:val="-2"/>
              </w:rPr>
              <w:t>”</w:t>
            </w:r>
            <w:r w:rsidRPr="00D60CEA">
              <w:rPr>
                <w:snapToGrid w:val="0"/>
                <w:spacing w:val="-2"/>
              </w:rPr>
              <w:t xml:space="preserve"> ou </w:t>
            </w:r>
            <w:r w:rsidR="00752EE1" w:rsidRPr="00D60CEA">
              <w:rPr>
                <w:snapToGrid w:val="0"/>
                <w:spacing w:val="-2"/>
              </w:rPr>
              <w:t>“</w:t>
            </w:r>
            <w:r w:rsidRPr="00D60CEA">
              <w:rPr>
                <w:snapToGrid w:val="0"/>
                <w:spacing w:val="-2"/>
              </w:rPr>
              <w:t>taxons</w:t>
            </w:r>
            <w:r w:rsidR="00752EE1" w:rsidRPr="00D60CEA">
              <w:rPr>
                <w:snapToGrid w:val="0"/>
                <w:spacing w:val="-2"/>
              </w:rPr>
              <w:t>”</w:t>
            </w:r>
            <w:r w:rsidRPr="00D60CEA">
              <w:rPr>
                <w:snapToGrid w:val="0"/>
                <w:spacing w:val="-2"/>
              </w:rPr>
              <w:t xml:space="preserve"> dans la phrase suivante</w:t>
            </w:r>
            <w:r w:rsidR="00752EE1" w:rsidRPr="00D60CEA">
              <w:rPr>
                <w:snapToGrid w:val="0"/>
                <w:spacing w:val="-2"/>
              </w:rPr>
              <w:t> </w:t>
            </w:r>
            <w:r w:rsidRPr="00D60CEA">
              <w:rPr>
                <w:snapToGrid w:val="0"/>
                <w:spacing w:val="-2"/>
              </w:rPr>
              <w:t>:</w:t>
            </w:r>
          </w:p>
          <w:p w:rsidR="00090AC1" w:rsidRPr="00860B02" w:rsidRDefault="00090AC1" w:rsidP="00004C35">
            <w:pPr>
              <w:rPr>
                <w:snapToGrid w:val="0"/>
              </w:rPr>
            </w:pPr>
          </w:p>
          <w:p w:rsidR="00863EBE" w:rsidRPr="00860B02" w:rsidRDefault="00752EE1" w:rsidP="00090AC1">
            <w:pPr>
              <w:rPr>
                <w:snapToGrid w:val="0"/>
              </w:rPr>
            </w:pPr>
            <w:r w:rsidRPr="00860B02">
              <w:t>“</w:t>
            </w:r>
            <w:r w:rsidR="00090AC1" w:rsidRPr="00860B02">
              <w:t>b) les pratiques commerciales établies pour certains types de variétés (par exemple les hybrides) et certaines espèces (par exemple Medicago, Helianthus).</w:t>
            </w:r>
          </w:p>
        </w:tc>
      </w:tr>
      <w:tr w:rsidR="00860B02" w:rsidRPr="00860B02" w:rsidTr="00952258">
        <w:trPr>
          <w:cantSplit/>
        </w:trPr>
        <w:tc>
          <w:tcPr>
            <w:tcW w:w="1391" w:type="dxa"/>
          </w:tcPr>
          <w:p w:rsidR="00863EBE" w:rsidRPr="00860B02" w:rsidRDefault="00090AC1" w:rsidP="00090AC1">
            <w:pPr>
              <w:rPr>
                <w:rFonts w:cs="Arial"/>
              </w:rPr>
            </w:pPr>
            <w:r w:rsidRPr="00860B02">
              <w:rPr>
                <w:rFonts w:cs="Arial"/>
              </w:rPr>
              <w:t>2.3.1.c)</w:t>
            </w:r>
          </w:p>
        </w:tc>
        <w:tc>
          <w:tcPr>
            <w:tcW w:w="7789" w:type="dxa"/>
          </w:tcPr>
          <w:p w:rsidR="00090AC1" w:rsidRPr="00860B02" w:rsidRDefault="00090AC1" w:rsidP="00090AC1">
            <w:r w:rsidRPr="00860B02">
              <w:t>Élaborer des orientations supplémentaires sur 2.3.1.c) et donner d</w:t>
            </w:r>
            <w:r w:rsidR="00905CDD" w:rsidRPr="00860B02">
              <w:t>’</w:t>
            </w:r>
            <w:r w:rsidRPr="00860B02">
              <w:t>autres exemples plus appropriés</w:t>
            </w:r>
          </w:p>
          <w:p w:rsidR="00090AC1" w:rsidRPr="00860B02" w:rsidRDefault="00090AC1" w:rsidP="00004C35">
            <w:pPr>
              <w:keepNext/>
            </w:pPr>
          </w:p>
          <w:p w:rsidR="00090AC1" w:rsidRPr="00860B02" w:rsidRDefault="00752EE1" w:rsidP="00090AC1">
            <w:pPr>
              <w:keepNext/>
            </w:pPr>
            <w:r w:rsidRPr="00860B02">
              <w:t>“</w:t>
            </w:r>
            <w:r w:rsidR="00090AC1" w:rsidRPr="00860B02">
              <w:t>c)</w:t>
            </w:r>
            <w:r w:rsidR="00090AC1" w:rsidRPr="00860B02">
              <w:tab/>
              <w:t>donner l</w:t>
            </w:r>
            <w:r w:rsidR="00905CDD" w:rsidRPr="00860B02">
              <w:t>’</w:t>
            </w:r>
            <w:r w:rsidR="00090AC1" w:rsidRPr="00860B02">
              <w:t>impression que la variété est issue d</w:t>
            </w:r>
            <w:r w:rsidR="00905CDD" w:rsidRPr="00860B02">
              <w:t>’</w:t>
            </w:r>
            <w:r w:rsidR="00090AC1" w:rsidRPr="00860B02">
              <w:t>une autre variété ou lui est apparentée, lorsque ce n</w:t>
            </w:r>
            <w:r w:rsidR="00905CDD" w:rsidRPr="00860B02">
              <w:t>’</w:t>
            </w:r>
            <w:r w:rsidR="00090AC1" w:rsidRPr="00860B02">
              <w:t>est pas le cas;</w:t>
            </w:r>
          </w:p>
          <w:p w:rsidR="00090AC1" w:rsidRPr="00860B02" w:rsidRDefault="00090AC1" w:rsidP="00004C35">
            <w:pPr>
              <w:keepNext/>
            </w:pPr>
          </w:p>
          <w:p w:rsidR="00863EBE" w:rsidRPr="00860B02" w:rsidRDefault="00090AC1" w:rsidP="00C84554">
            <w:pPr>
              <w:rPr>
                <w:rFonts w:cs="Arial"/>
              </w:rPr>
            </w:pPr>
            <w:r w:rsidRPr="00860B02">
              <w:rPr>
                <w:i/>
              </w:rPr>
              <w:t>Exemple</w:t>
            </w:r>
            <w:r w:rsidR="00752EE1" w:rsidRPr="00860B02">
              <w:t> </w:t>
            </w:r>
            <w:r w:rsidRPr="00860B02">
              <w:t>:</w:t>
            </w:r>
            <w:r w:rsidRPr="00860B02">
              <w:rPr>
                <w:i/>
              </w:rPr>
              <w:t xml:space="preserve"> </w:t>
            </w:r>
            <w:r w:rsidRPr="00860B02">
              <w:t>une dénomination analogue à celle d</w:t>
            </w:r>
            <w:r w:rsidR="00905CDD" w:rsidRPr="00860B02">
              <w:t>’</w:t>
            </w:r>
            <w:r w:rsidRPr="00860B02">
              <w:t>une autre variété de la même espèce ou qui</w:t>
            </w:r>
            <w:r w:rsidR="00C84554" w:rsidRPr="00860B02">
              <w:t xml:space="preserve"> lui est apparentée;  p.</w:t>
            </w:r>
            <w:r w:rsidR="00752EE1" w:rsidRPr="00860B02">
              <w:t> </w:t>
            </w:r>
            <w:r w:rsidR="00C84554" w:rsidRPr="00860B02">
              <w:t>ex.</w:t>
            </w:r>
            <w:r w:rsidR="008B3595" w:rsidRPr="00860B02">
              <w:t> </w:t>
            </w:r>
            <w:r w:rsidR="00752EE1" w:rsidRPr="00860B02">
              <w:t>:</w:t>
            </w:r>
            <w:r w:rsidR="00C84554" w:rsidRPr="00860B02">
              <w:t xml:space="preserve"> </w:t>
            </w:r>
            <w:r w:rsidR="00752EE1" w:rsidRPr="00860B02">
              <w:t>“</w:t>
            </w:r>
            <w:r w:rsidRPr="00860B02">
              <w:t>Southern cross 1</w:t>
            </w:r>
            <w:r w:rsidR="00752EE1" w:rsidRPr="00860B02">
              <w:t>”;  “</w:t>
            </w:r>
            <w:r w:rsidR="00C84554" w:rsidRPr="00860B02">
              <w:t>Southern cross 2</w:t>
            </w:r>
            <w:r w:rsidR="00752EE1" w:rsidRPr="00860B02">
              <w:t>”;</w:t>
            </w:r>
            <w:r w:rsidRPr="00860B02">
              <w:t xml:space="preserve">  etc., qui donne l</w:t>
            </w:r>
            <w:r w:rsidR="00905CDD" w:rsidRPr="00860B02">
              <w:t>’</w:t>
            </w:r>
            <w:r w:rsidRPr="00860B02">
              <w:t>impression que ces variétés constituent une série de variétés apparentées présentant les mêmes caractéristiques alors que ce n</w:t>
            </w:r>
            <w:r w:rsidR="00905CDD" w:rsidRPr="00860B02">
              <w:t>’</w:t>
            </w:r>
            <w:r w:rsidRPr="00860B02">
              <w:t>est pas le cas.</w:t>
            </w:r>
          </w:p>
        </w:tc>
      </w:tr>
      <w:tr w:rsidR="00860B02" w:rsidRPr="00860B02" w:rsidTr="00952258">
        <w:trPr>
          <w:cantSplit/>
        </w:trPr>
        <w:tc>
          <w:tcPr>
            <w:tcW w:w="1391" w:type="dxa"/>
          </w:tcPr>
          <w:p w:rsidR="00863EBE" w:rsidRPr="00860B02" w:rsidRDefault="00090AC1" w:rsidP="00090AC1">
            <w:r w:rsidRPr="00860B02">
              <w:t>2.3.1.d)</w:t>
            </w:r>
          </w:p>
        </w:tc>
        <w:tc>
          <w:tcPr>
            <w:tcW w:w="7789" w:type="dxa"/>
          </w:tcPr>
          <w:p w:rsidR="00090AC1" w:rsidRPr="00860B02" w:rsidRDefault="00090AC1" w:rsidP="00090AC1">
            <w:r w:rsidRPr="00860B02">
              <w:t>Ajouter 2.3.1.d) comme suit</w:t>
            </w:r>
            <w:r w:rsidR="00752EE1" w:rsidRPr="00860B02">
              <w:t> </w:t>
            </w:r>
            <w:r w:rsidRPr="00860B02">
              <w:t>:</w:t>
            </w:r>
          </w:p>
          <w:p w:rsidR="00090AC1" w:rsidRPr="00860B02" w:rsidRDefault="00090AC1" w:rsidP="00004C35"/>
          <w:p w:rsidR="00090AC1" w:rsidRPr="00860B02" w:rsidRDefault="00752EE1" w:rsidP="00090AC1">
            <w:r w:rsidRPr="00860B02">
              <w:t>“</w:t>
            </w:r>
            <w:r w:rsidR="00090AC1" w:rsidRPr="00860B02">
              <w:t>d)</w:t>
            </w:r>
            <w:r w:rsidR="00090AC1" w:rsidRPr="00860B02">
              <w:tab/>
              <w:t>contient le nom botanique ou commun du genre auquel cette variété appartient.</w:t>
            </w:r>
            <w:r w:rsidRPr="00860B02">
              <w:t xml:space="preserve"> </w:t>
            </w:r>
            <w:r w:rsidR="00863EBE" w:rsidRPr="00860B02">
              <w:t xml:space="preserve"> </w:t>
            </w:r>
            <w:r w:rsidR="00090AC1" w:rsidRPr="00860B02">
              <w:t>L</w:t>
            </w:r>
            <w:r w:rsidR="00905CDD" w:rsidRPr="00860B02">
              <w:t>’</w:t>
            </w:r>
            <w:r w:rsidR="00090AC1" w:rsidRPr="00860B02">
              <w:t xml:space="preserve">identité de la dénomination et celle du genre auquel elle appartient pourraient devenir peu </w:t>
            </w:r>
            <w:r w:rsidR="00C63A01" w:rsidRPr="00860B02">
              <w:t>nette</w:t>
            </w:r>
            <w:r w:rsidR="00090AC1" w:rsidRPr="00860B02">
              <w:t>s et prêter à confusion</w:t>
            </w:r>
            <w:r w:rsidRPr="00860B02">
              <w:t>”</w:t>
            </w:r>
            <w:r w:rsidR="00090AC1" w:rsidRPr="00860B02">
              <w:t>.</w:t>
            </w:r>
          </w:p>
          <w:p w:rsidR="00090AC1" w:rsidRPr="00860B02" w:rsidRDefault="00090AC1" w:rsidP="00004C35"/>
          <w:p w:rsidR="00090AC1" w:rsidRPr="00860B02" w:rsidRDefault="00090AC1" w:rsidP="00090AC1">
            <w:r w:rsidRPr="00860B02">
              <w:t>Préciser l</w:t>
            </w:r>
            <w:r w:rsidR="00905CDD" w:rsidRPr="00860B02">
              <w:t>’</w:t>
            </w:r>
            <w:r w:rsidRPr="00860B02">
              <w:t>exemple suivant</w:t>
            </w:r>
            <w:r w:rsidR="00752EE1" w:rsidRPr="00860B02">
              <w:t> </w:t>
            </w:r>
            <w:r w:rsidRPr="00860B02">
              <w:t>:</w:t>
            </w:r>
          </w:p>
          <w:p w:rsidR="00090AC1" w:rsidRPr="00860B02" w:rsidRDefault="00090AC1" w:rsidP="00004C35"/>
          <w:p w:rsidR="00090AC1" w:rsidRPr="00860B02" w:rsidRDefault="00090AC1" w:rsidP="00090AC1">
            <w:pPr>
              <w:ind w:left="567"/>
            </w:pPr>
            <w:r w:rsidRPr="00860B02">
              <w:rPr>
                <w:i/>
              </w:rPr>
              <w:t>Exemple</w:t>
            </w:r>
            <w:r w:rsidR="00752EE1" w:rsidRPr="00860B02">
              <w:t> </w:t>
            </w:r>
            <w:r w:rsidRPr="00860B02">
              <w:t xml:space="preserve">: variété </w:t>
            </w:r>
            <w:r w:rsidRPr="00860B02">
              <w:rPr>
                <w:i/>
              </w:rPr>
              <w:t xml:space="preserve">Carex </w:t>
            </w:r>
            <w:r w:rsidR="00752EE1" w:rsidRPr="00860B02">
              <w:t>“</w:t>
            </w:r>
            <w:r w:rsidRPr="00860B02">
              <w:t>Laiche</w:t>
            </w:r>
            <w:r w:rsidR="00752EE1" w:rsidRPr="00860B02">
              <w:t xml:space="preserve">”. </w:t>
            </w:r>
            <w:r w:rsidR="00863EBE" w:rsidRPr="00860B02">
              <w:t xml:space="preserve"> </w:t>
            </w:r>
            <w:r w:rsidR="00C84554" w:rsidRPr="00860B02">
              <w:t>On pourrait l</w:t>
            </w:r>
            <w:r w:rsidR="00905CDD" w:rsidRPr="00860B02">
              <w:t>’</w:t>
            </w:r>
            <w:r w:rsidR="00C84554" w:rsidRPr="00860B02">
              <w:t xml:space="preserve">appeler </w:t>
            </w:r>
            <w:r w:rsidR="00752EE1" w:rsidRPr="00860B02">
              <w:t>“</w:t>
            </w:r>
            <w:r w:rsidRPr="00860B02">
              <w:t>Laiche</w:t>
            </w:r>
            <w:r w:rsidR="00752EE1" w:rsidRPr="00860B02">
              <w:t>”</w:t>
            </w:r>
            <w:r w:rsidRPr="00860B02">
              <w:t xml:space="preserve"> </w:t>
            </w:r>
            <w:r w:rsidRPr="00860B02">
              <w:rPr>
                <w:i/>
              </w:rPr>
              <w:t xml:space="preserve">Carex.  </w:t>
            </w:r>
            <w:r w:rsidRPr="00860B02">
              <w:t>Sans utiliser des italiques ou des guillemets simples, l</w:t>
            </w:r>
            <w:r w:rsidR="00905CDD" w:rsidRPr="00860B02">
              <w:t>’</w:t>
            </w:r>
            <w:r w:rsidRPr="00860B02">
              <w:t xml:space="preserve">identité de la dénomination et du genre peut ne pas être </w:t>
            </w:r>
            <w:r w:rsidR="00C63A01" w:rsidRPr="00860B02">
              <w:t>nette</w:t>
            </w:r>
            <w:r w:rsidRPr="00860B02">
              <w:t>.</w:t>
            </w:r>
          </w:p>
          <w:p w:rsidR="00090AC1" w:rsidRPr="00860B02" w:rsidRDefault="00090AC1" w:rsidP="00004C35"/>
          <w:p w:rsidR="00863EBE" w:rsidRPr="00860B02" w:rsidRDefault="00090AC1" w:rsidP="00090AC1">
            <w:r w:rsidRPr="00860B02">
              <w:t>Élaborer des orientations sur la confusion possible du nom botanique ou du nom commun d</w:t>
            </w:r>
            <w:r w:rsidR="00905CDD" w:rsidRPr="00860B02">
              <w:t>’</w:t>
            </w:r>
            <w:r w:rsidRPr="00860B02">
              <w:t xml:space="preserve">un genre auquel cette variété </w:t>
            </w:r>
            <w:r w:rsidRPr="00860B02">
              <w:rPr>
                <w:u w:val="single"/>
              </w:rPr>
              <w:t>n</w:t>
            </w:r>
            <w:r w:rsidR="00905CDD" w:rsidRPr="00860B02">
              <w:t>’</w:t>
            </w:r>
            <w:r w:rsidRPr="00860B02">
              <w:t xml:space="preserve">appartient </w:t>
            </w:r>
            <w:r w:rsidRPr="00860B02">
              <w:rPr>
                <w:u w:val="single"/>
              </w:rPr>
              <w:t>pas</w:t>
            </w:r>
            <w:r w:rsidRPr="00860B02">
              <w:t xml:space="preserve"> – cas par cas</w:t>
            </w:r>
          </w:p>
        </w:tc>
      </w:tr>
      <w:tr w:rsidR="00863EBE" w:rsidRPr="00860B02" w:rsidTr="00952258">
        <w:trPr>
          <w:cantSplit/>
        </w:trPr>
        <w:tc>
          <w:tcPr>
            <w:tcW w:w="1391" w:type="dxa"/>
          </w:tcPr>
          <w:p w:rsidR="00863EBE" w:rsidRPr="00860B02" w:rsidRDefault="00863EBE" w:rsidP="00004C35">
            <w:r w:rsidRPr="00860B02">
              <w:t>2.3.3.</w:t>
            </w:r>
          </w:p>
        </w:tc>
        <w:tc>
          <w:tcPr>
            <w:tcW w:w="7789" w:type="dxa"/>
          </w:tcPr>
          <w:p w:rsidR="00863EBE" w:rsidRPr="00860B02" w:rsidRDefault="00090AC1" w:rsidP="00D666FA">
            <w:pPr>
              <w:rPr>
                <w:snapToGrid w:val="0"/>
              </w:rPr>
            </w:pPr>
            <w:r w:rsidRPr="00860B02">
              <w:rPr>
                <w:snapToGrid w:val="0"/>
              </w:rPr>
              <w:t>Prendre en compte les propositions dans le paragraphe</w:t>
            </w:r>
            <w:r w:rsidR="00752EE1" w:rsidRPr="00860B02">
              <w:rPr>
                <w:snapToGrid w:val="0"/>
              </w:rPr>
              <w:t> </w:t>
            </w:r>
            <w:r w:rsidRPr="00860B02">
              <w:rPr>
                <w:snapToGrid w:val="0"/>
              </w:rPr>
              <w:t>2.3.3 du document UPOV/INF/12/5 Draft 2 en tant qu</w:t>
            </w:r>
            <w:r w:rsidR="00905CDD" w:rsidRPr="00860B02">
              <w:rPr>
                <w:snapToGrid w:val="0"/>
              </w:rPr>
              <w:t>’</w:t>
            </w:r>
            <w:r w:rsidRPr="00860B02">
              <w:rPr>
                <w:snapToGrid w:val="0"/>
              </w:rPr>
              <w:t>étape initiale de l</w:t>
            </w:r>
            <w:r w:rsidR="00905CDD" w:rsidRPr="00860B02">
              <w:rPr>
                <w:snapToGrid w:val="0"/>
              </w:rPr>
              <w:t>’</w:t>
            </w:r>
            <w:r w:rsidRPr="00860B02">
              <w:rPr>
                <w:snapToGrid w:val="0"/>
              </w:rPr>
              <w:t>élaboration d</w:t>
            </w:r>
            <w:r w:rsidR="00905CDD" w:rsidRPr="00860B02">
              <w:rPr>
                <w:snapToGrid w:val="0"/>
              </w:rPr>
              <w:t>’</w:t>
            </w:r>
            <w:r w:rsidRPr="00860B02">
              <w:rPr>
                <w:snapToGrid w:val="0"/>
              </w:rPr>
              <w:t>orientations supplémentaires et d</w:t>
            </w:r>
            <w:r w:rsidR="00905CDD" w:rsidRPr="00860B02">
              <w:rPr>
                <w:snapToGrid w:val="0"/>
              </w:rPr>
              <w:t>’</w:t>
            </w:r>
            <w:r w:rsidRPr="00860B02">
              <w:rPr>
                <w:snapToGrid w:val="0"/>
              </w:rPr>
              <w:t>exemples appropriés de concert avec l</w:t>
            </w:r>
            <w:r w:rsidR="00905CDD" w:rsidRPr="00860B02">
              <w:rPr>
                <w:snapToGrid w:val="0"/>
              </w:rPr>
              <w:t>’</w:t>
            </w:r>
            <w:r w:rsidRPr="00860B02">
              <w:rPr>
                <w:snapToGrid w:val="0"/>
              </w:rPr>
              <w:t>élaboration d</w:t>
            </w:r>
            <w:r w:rsidR="00905CDD" w:rsidRPr="00860B02">
              <w:rPr>
                <w:snapToGrid w:val="0"/>
              </w:rPr>
              <w:t>’</w:t>
            </w:r>
            <w:r w:rsidRPr="00860B02">
              <w:rPr>
                <w:snapToGrid w:val="0"/>
              </w:rPr>
              <w:t xml:space="preserve">un </w:t>
            </w:r>
            <w:r w:rsidR="00D666FA" w:rsidRPr="00860B02">
              <w:rPr>
                <w:snapToGrid w:val="0"/>
              </w:rPr>
              <w:t xml:space="preserve">moteur </w:t>
            </w:r>
            <w:r w:rsidR="00377A2E" w:rsidRPr="00860B02">
              <w:rPr>
                <w:snapToGrid w:val="0"/>
              </w:rPr>
              <w:t xml:space="preserve">efficace </w:t>
            </w:r>
            <w:r w:rsidRPr="00860B02">
              <w:rPr>
                <w:snapToGrid w:val="0"/>
              </w:rPr>
              <w:t xml:space="preserve">de recherche de </w:t>
            </w:r>
            <w:r w:rsidR="00D666FA" w:rsidRPr="00860B02">
              <w:rPr>
                <w:snapToGrid w:val="0"/>
              </w:rPr>
              <w:t xml:space="preserve">similitudes </w:t>
            </w:r>
            <w:r w:rsidR="00377A2E" w:rsidRPr="00860B02">
              <w:rPr>
                <w:snapToGrid w:val="0"/>
              </w:rPr>
              <w:t>de l</w:t>
            </w:r>
            <w:r w:rsidR="00905CDD" w:rsidRPr="00860B02">
              <w:rPr>
                <w:snapToGrid w:val="0"/>
              </w:rPr>
              <w:t>’</w:t>
            </w:r>
            <w:r w:rsidR="00377A2E" w:rsidRPr="00860B02">
              <w:rPr>
                <w:snapToGrid w:val="0"/>
              </w:rPr>
              <w:t>UPOV</w:t>
            </w:r>
            <w:r w:rsidRPr="00860B02">
              <w:rPr>
                <w:snapToGrid w:val="0"/>
              </w:rPr>
              <w:t>.</w:t>
            </w:r>
          </w:p>
        </w:tc>
      </w:tr>
    </w:tbl>
    <w:p w:rsidR="00090AC1" w:rsidRPr="00860B02" w:rsidRDefault="00090AC1" w:rsidP="00E10886">
      <w:pPr>
        <w:rPr>
          <w:snapToGrid w:val="0"/>
          <w:lang w:eastAsia="ja-JP"/>
        </w:rPr>
      </w:pPr>
    </w:p>
    <w:p w:rsidR="00090AC1" w:rsidRPr="00860B02" w:rsidRDefault="00090AC1" w:rsidP="00097BB4">
      <w:pPr>
        <w:rPr>
          <w:snapToGrid w:val="0"/>
          <w:lang w:eastAsia="ja-JP"/>
        </w:rPr>
      </w:pPr>
    </w:p>
    <w:p w:rsidR="00090AC1" w:rsidRPr="00860B02" w:rsidRDefault="00E36D21" w:rsidP="00E95D7F">
      <w:pPr>
        <w:rPr>
          <w:snapToGrid w:val="0"/>
          <w:lang w:eastAsia="ja-JP"/>
        </w:rPr>
      </w:pPr>
      <w:r>
        <w:rPr>
          <w:snapToGrid w:val="0"/>
          <w:lang w:eastAsia="ja-JP"/>
        </w:rPr>
        <w:t>27.</w:t>
      </w:r>
      <w:r w:rsidR="00461F5D" w:rsidRPr="00860B02">
        <w:rPr>
          <w:snapToGrid w:val="0"/>
          <w:lang w:eastAsia="ja-JP"/>
        </w:rPr>
        <w:tab/>
      </w:r>
      <w:r w:rsidR="00C84554" w:rsidRPr="00860B02">
        <w:rPr>
          <w:snapToGrid w:val="0"/>
          <w:lang w:eastAsia="ja-JP"/>
        </w:rPr>
        <w:t>À sa deuxième réunion</w:t>
      </w:r>
      <w:r w:rsidR="00461F5D" w:rsidRPr="00860B02">
        <w:rPr>
          <w:rStyle w:val="FootnoteReference"/>
          <w:lang w:eastAsia="ja-JP"/>
        </w:rPr>
        <w:footnoteReference w:id="19"/>
      </w:r>
      <w:r w:rsidR="00C84554" w:rsidRPr="00860B02">
        <w:rPr>
          <w:snapToGrid w:val="0"/>
          <w:lang w:eastAsia="ja-JP"/>
        </w:rPr>
        <w:t>, l</w:t>
      </w:r>
      <w:r w:rsidR="00461F5D" w:rsidRPr="00860B02">
        <w:rPr>
          <w:snapToGrid w:val="0"/>
          <w:lang w:eastAsia="ja-JP"/>
        </w:rPr>
        <w:t>e WG</w:t>
      </w:r>
      <w:r w:rsidR="000B2679" w:rsidRPr="00860B02">
        <w:rPr>
          <w:snapToGrid w:val="0"/>
          <w:lang w:eastAsia="ja-JP"/>
        </w:rPr>
        <w:noBreakHyphen/>
      </w:r>
      <w:r w:rsidR="00461F5D" w:rsidRPr="00860B02">
        <w:rPr>
          <w:snapToGrid w:val="0"/>
          <w:lang w:eastAsia="ja-JP"/>
        </w:rPr>
        <w:t xml:space="preserve">DST </w:t>
      </w:r>
      <w:r w:rsidR="00C84554" w:rsidRPr="00860B02">
        <w:rPr>
          <w:snapToGrid w:val="0"/>
          <w:lang w:eastAsia="ja-JP"/>
        </w:rPr>
        <w:t>a examiné les observations faites par</w:t>
      </w:r>
      <w:r w:rsidR="00726505" w:rsidRPr="00860B02">
        <w:rPr>
          <w:snapToGrid w:val="0"/>
          <w:lang w:eastAsia="ja-JP"/>
        </w:rPr>
        <w:t xml:space="preserve"> le CAJ</w:t>
      </w:r>
      <w:r w:rsidR="000B2679" w:rsidRPr="00860B02">
        <w:rPr>
          <w:snapToGrid w:val="0"/>
          <w:lang w:eastAsia="ja-JP"/>
        </w:rPr>
        <w:noBreakHyphen/>
      </w:r>
      <w:r w:rsidR="00461F5D" w:rsidRPr="00860B02">
        <w:rPr>
          <w:snapToGrid w:val="0"/>
          <w:lang w:eastAsia="ja-JP"/>
        </w:rPr>
        <w:t>AG</w:t>
      </w:r>
      <w:r w:rsidR="00C84554" w:rsidRPr="00860B02">
        <w:rPr>
          <w:snapToGrid w:val="0"/>
          <w:lang w:eastAsia="ja-JP"/>
        </w:rPr>
        <w:t xml:space="preserve"> à sa neuvième</w:t>
      </w:r>
      <w:r w:rsidR="00752EE1" w:rsidRPr="00860B02">
        <w:rPr>
          <w:snapToGrid w:val="0"/>
          <w:lang w:eastAsia="ja-JP"/>
        </w:rPr>
        <w:t> </w:t>
      </w:r>
      <w:r w:rsidR="00C84554" w:rsidRPr="00860B02">
        <w:rPr>
          <w:snapToGrid w:val="0"/>
          <w:lang w:eastAsia="ja-JP"/>
        </w:rPr>
        <w:t>session</w:t>
      </w:r>
      <w:r w:rsidR="00461F5D" w:rsidRPr="00860B02">
        <w:rPr>
          <w:snapToGrid w:val="0"/>
          <w:lang w:eastAsia="ja-JP"/>
        </w:rPr>
        <w:t>,</w:t>
      </w:r>
      <w:r w:rsidR="00C84554" w:rsidRPr="00860B02">
        <w:rPr>
          <w:snapToGrid w:val="0"/>
          <w:lang w:eastAsia="ja-JP"/>
        </w:rPr>
        <w:t xml:space="preserve"> concernant les propositions figurant dans le</w:t>
      </w:r>
      <w:r w:rsidR="00461F5D" w:rsidRPr="00860B02">
        <w:rPr>
          <w:snapToGrid w:val="0"/>
          <w:lang w:eastAsia="ja-JP"/>
        </w:rPr>
        <w:t xml:space="preserve"> document UPOV/INF/12/5 Draft 2 </w:t>
      </w:r>
      <w:r w:rsidR="00C84554" w:rsidRPr="00860B02">
        <w:rPr>
          <w:snapToGrid w:val="0"/>
          <w:lang w:eastAsia="ja-JP"/>
        </w:rPr>
        <w:t>relatives aux s</w:t>
      </w:r>
      <w:r w:rsidR="00461F5D" w:rsidRPr="00860B02">
        <w:rPr>
          <w:snapToGrid w:val="0"/>
          <w:lang w:eastAsia="ja-JP"/>
        </w:rPr>
        <w:t>ections</w:t>
      </w:r>
      <w:r w:rsidR="00752EE1" w:rsidRPr="00860B02">
        <w:rPr>
          <w:snapToGrid w:val="0"/>
          <w:lang w:eastAsia="ja-JP"/>
        </w:rPr>
        <w:t> </w:t>
      </w:r>
      <w:r w:rsidR="00461F5D" w:rsidRPr="00860B02">
        <w:rPr>
          <w:snapToGrid w:val="0"/>
          <w:lang w:eastAsia="ja-JP"/>
        </w:rPr>
        <w:t>2.2.2</w:t>
      </w:r>
      <w:r w:rsidR="00377A2E" w:rsidRPr="00860B02">
        <w:rPr>
          <w:snapToGrid w:val="0"/>
          <w:lang w:eastAsia="ja-JP"/>
        </w:rPr>
        <w:t>.</w:t>
      </w:r>
      <w:r w:rsidR="00461F5D" w:rsidRPr="00860B02">
        <w:rPr>
          <w:snapToGrid w:val="0"/>
          <w:lang w:eastAsia="ja-JP"/>
        </w:rPr>
        <w:t>b), 2.3.1</w:t>
      </w:r>
      <w:r w:rsidR="00377A2E" w:rsidRPr="00860B02">
        <w:rPr>
          <w:snapToGrid w:val="0"/>
          <w:lang w:eastAsia="ja-JP"/>
        </w:rPr>
        <w:t>.</w:t>
      </w:r>
      <w:r w:rsidR="00461F5D" w:rsidRPr="00860B02">
        <w:rPr>
          <w:snapToGrid w:val="0"/>
          <w:lang w:eastAsia="ja-JP"/>
        </w:rPr>
        <w:t xml:space="preserve">c) </w:t>
      </w:r>
      <w:r w:rsidR="00C84554" w:rsidRPr="00860B02">
        <w:rPr>
          <w:snapToGrid w:val="0"/>
          <w:lang w:eastAsia="ja-JP"/>
        </w:rPr>
        <w:t>et</w:t>
      </w:r>
      <w:r w:rsidR="00377A2E" w:rsidRPr="00860B02">
        <w:rPr>
          <w:snapToGrid w:val="0"/>
          <w:lang w:eastAsia="ja-JP"/>
        </w:rPr>
        <w:t> </w:t>
      </w:r>
      <w:r w:rsidR="00461F5D" w:rsidRPr="00860B02">
        <w:rPr>
          <w:snapToGrid w:val="0"/>
          <w:lang w:eastAsia="ja-JP"/>
        </w:rPr>
        <w:t xml:space="preserve">d), </w:t>
      </w:r>
      <w:r w:rsidR="00C84554" w:rsidRPr="00860B02">
        <w:rPr>
          <w:snapToGrid w:val="0"/>
          <w:lang w:eastAsia="ja-JP"/>
        </w:rPr>
        <w:t>et</w:t>
      </w:r>
      <w:r w:rsidR="00461F5D" w:rsidRPr="00860B02">
        <w:rPr>
          <w:snapToGrid w:val="0"/>
          <w:lang w:eastAsia="ja-JP"/>
        </w:rPr>
        <w:t xml:space="preserve"> 2.3.3, </w:t>
      </w:r>
      <w:r w:rsidR="00377A2E" w:rsidRPr="00860B02">
        <w:rPr>
          <w:snapToGrid w:val="0"/>
          <w:lang w:eastAsia="ja-JP"/>
        </w:rPr>
        <w:t>telles</w:t>
      </w:r>
      <w:r w:rsidR="00C84554" w:rsidRPr="00860B02">
        <w:rPr>
          <w:snapToGrid w:val="0"/>
          <w:lang w:eastAsia="ja-JP"/>
        </w:rPr>
        <w:t xml:space="preserve"> qu</w:t>
      </w:r>
      <w:r w:rsidR="00905CDD" w:rsidRPr="00860B02">
        <w:rPr>
          <w:snapToGrid w:val="0"/>
          <w:lang w:eastAsia="ja-JP"/>
        </w:rPr>
        <w:t>’</w:t>
      </w:r>
      <w:r w:rsidR="00C84554" w:rsidRPr="00860B02">
        <w:rPr>
          <w:snapToGrid w:val="0"/>
          <w:lang w:eastAsia="ja-JP"/>
        </w:rPr>
        <w:t>indiquées dans les</w:t>
      </w:r>
      <w:r w:rsidR="00F91828" w:rsidRPr="00860B02">
        <w:rPr>
          <w:snapToGrid w:val="0"/>
          <w:lang w:eastAsia="ja-JP"/>
        </w:rPr>
        <w:t xml:space="preserve"> paragraph</w:t>
      </w:r>
      <w:r w:rsidR="00C84554" w:rsidRPr="00860B02">
        <w:rPr>
          <w:snapToGrid w:val="0"/>
          <w:lang w:eastAsia="ja-JP"/>
        </w:rPr>
        <w:t>e</w:t>
      </w:r>
      <w:r w:rsidR="00F91828" w:rsidRPr="00860B02">
        <w:rPr>
          <w:snapToGrid w:val="0"/>
          <w:lang w:eastAsia="ja-JP"/>
        </w:rPr>
        <w:t>s</w:t>
      </w:r>
      <w:r w:rsidR="00C84554" w:rsidRPr="00860B02">
        <w:rPr>
          <w:snapToGrid w:val="0"/>
          <w:lang w:eastAsia="ja-JP"/>
        </w:rPr>
        <w:t xml:space="preserve"> suivants</w:t>
      </w:r>
      <w:r w:rsidR="00F91828" w:rsidRPr="00860B02">
        <w:rPr>
          <w:snapToGrid w:val="0"/>
          <w:lang w:eastAsia="ja-JP"/>
        </w:rPr>
        <w:t>.</w:t>
      </w:r>
    </w:p>
    <w:p w:rsidR="00090AC1" w:rsidRPr="00860B02" w:rsidRDefault="00090AC1" w:rsidP="00E10886">
      <w:pPr>
        <w:rPr>
          <w:snapToGrid w:val="0"/>
          <w:lang w:eastAsia="ja-JP"/>
        </w:rPr>
      </w:pPr>
    </w:p>
    <w:p w:rsidR="00090AC1" w:rsidRPr="00860B02" w:rsidRDefault="00090AC1" w:rsidP="00E10886">
      <w:pPr>
        <w:rPr>
          <w:snapToGrid w:val="0"/>
          <w:lang w:eastAsia="ja-JP"/>
        </w:rPr>
      </w:pPr>
    </w:p>
    <w:p w:rsidR="00090AC1" w:rsidRPr="00860B02" w:rsidRDefault="00140C66" w:rsidP="004A6FA7">
      <w:pPr>
        <w:pStyle w:val="Heading2"/>
        <w:rPr>
          <w:lang w:val="fr-FR" w:eastAsia="ja-JP"/>
        </w:rPr>
      </w:pPr>
      <w:bookmarkStart w:id="28" w:name="_Toc427161613"/>
      <w:bookmarkStart w:id="29" w:name="_Toc432493967"/>
      <w:r w:rsidRPr="00860B02">
        <w:rPr>
          <w:lang w:val="fr-FR" w:eastAsia="ja-JP"/>
        </w:rPr>
        <w:t>Section</w:t>
      </w:r>
      <w:r w:rsidR="00752EE1" w:rsidRPr="00860B02">
        <w:rPr>
          <w:lang w:val="fr-FR" w:eastAsia="ja-JP"/>
        </w:rPr>
        <w:t> </w:t>
      </w:r>
      <w:r w:rsidRPr="00860B02">
        <w:rPr>
          <w:lang w:val="fr-FR" w:eastAsia="ja-JP"/>
        </w:rPr>
        <w:t>2.2.2</w:t>
      </w:r>
      <w:r w:rsidR="00377A2E" w:rsidRPr="00860B02">
        <w:rPr>
          <w:lang w:val="fr-FR" w:eastAsia="ja-JP"/>
        </w:rPr>
        <w:t>.</w:t>
      </w:r>
      <w:r w:rsidRPr="00860B02">
        <w:rPr>
          <w:lang w:val="fr-FR" w:eastAsia="ja-JP"/>
        </w:rPr>
        <w:t>b)</w:t>
      </w:r>
      <w:bookmarkEnd w:id="28"/>
      <w:bookmarkEnd w:id="29"/>
    </w:p>
    <w:p w:rsidR="00090AC1" w:rsidRPr="00860B02" w:rsidRDefault="00090AC1" w:rsidP="002E04ED">
      <w:pPr>
        <w:keepNext/>
        <w:rPr>
          <w:lang w:eastAsia="ja-JP"/>
        </w:rPr>
      </w:pPr>
    </w:p>
    <w:p w:rsidR="00090AC1" w:rsidRPr="00860B02" w:rsidRDefault="00E36D21" w:rsidP="00140C66">
      <w:pPr>
        <w:rPr>
          <w:lang w:eastAsia="ja-JP"/>
        </w:rPr>
      </w:pPr>
      <w:r>
        <w:t>28.</w:t>
      </w:r>
      <w:r w:rsidR="00140C66" w:rsidRPr="00860B02">
        <w:tab/>
      </w:r>
      <w:r w:rsidR="007F7C1C" w:rsidRPr="00860B02">
        <w:rPr>
          <w:lang w:eastAsia="ja-JP"/>
        </w:rPr>
        <w:t xml:space="preserve">Le </w:t>
      </w:r>
      <w:r w:rsidR="00140C66" w:rsidRPr="00860B02">
        <w:rPr>
          <w:lang w:eastAsia="ja-JP"/>
        </w:rPr>
        <w:t>WG</w:t>
      </w:r>
      <w:r w:rsidR="000B2679" w:rsidRPr="00860B02">
        <w:rPr>
          <w:lang w:eastAsia="ja-JP"/>
        </w:rPr>
        <w:noBreakHyphen/>
      </w:r>
      <w:r w:rsidR="00140C66" w:rsidRPr="00860B02">
        <w:rPr>
          <w:lang w:eastAsia="ja-JP"/>
        </w:rPr>
        <w:t>DST</w:t>
      </w:r>
      <w:r w:rsidR="00C406C5" w:rsidRPr="00860B02">
        <w:rPr>
          <w:lang w:eastAsia="ja-JP"/>
        </w:rPr>
        <w:t xml:space="preserve"> </w:t>
      </w:r>
      <w:r w:rsidR="00C84554" w:rsidRPr="00860B02">
        <w:rPr>
          <w:lang w:eastAsia="ja-JP"/>
        </w:rPr>
        <w:t>est convenu de</w:t>
      </w:r>
      <w:r w:rsidR="00140C66" w:rsidRPr="00860B02">
        <w:rPr>
          <w:lang w:eastAsia="ja-JP"/>
        </w:rPr>
        <w:t xml:space="preserve"> </w:t>
      </w:r>
      <w:r w:rsidR="00097BB4" w:rsidRPr="00860B02">
        <w:rPr>
          <w:lang w:eastAsia="ja-JP"/>
        </w:rPr>
        <w:t>propose</w:t>
      </w:r>
      <w:r w:rsidR="00C84554" w:rsidRPr="00860B02">
        <w:rPr>
          <w:lang w:eastAsia="ja-JP"/>
        </w:rPr>
        <w:t>r la modification suivante du texte</w:t>
      </w:r>
      <w:r w:rsidR="00140C66" w:rsidRPr="00860B02">
        <w:rPr>
          <w:lang w:eastAsia="ja-JP"/>
        </w:rPr>
        <w:t xml:space="preserve"> (</w:t>
      </w:r>
      <w:r w:rsidR="00C84554" w:rsidRPr="00860B02">
        <w:rPr>
          <w:lang w:eastAsia="ja-JP"/>
        </w:rPr>
        <w:t>le terme souligné est inséré dans le</w:t>
      </w:r>
      <w:r w:rsidR="00C406C5" w:rsidRPr="00860B02">
        <w:rPr>
          <w:lang w:eastAsia="ja-JP"/>
        </w:rPr>
        <w:t xml:space="preserve"> text</w:t>
      </w:r>
      <w:r w:rsidR="00C84554" w:rsidRPr="00860B02">
        <w:rPr>
          <w:lang w:eastAsia="ja-JP"/>
        </w:rPr>
        <w:t>e</w:t>
      </w:r>
      <w:r w:rsidR="00C406C5" w:rsidRPr="00860B02">
        <w:rPr>
          <w:lang w:eastAsia="ja-JP"/>
        </w:rPr>
        <w:t>)</w:t>
      </w:r>
      <w:r w:rsidR="00752EE1" w:rsidRPr="00860B02">
        <w:rPr>
          <w:lang w:eastAsia="ja-JP"/>
        </w:rPr>
        <w:t> </w:t>
      </w:r>
      <w:r w:rsidR="00C406C5" w:rsidRPr="00860B02">
        <w:rPr>
          <w:lang w:eastAsia="ja-JP"/>
        </w:rPr>
        <w:t>:</w:t>
      </w:r>
    </w:p>
    <w:p w:rsidR="00090AC1" w:rsidRPr="00860B02" w:rsidRDefault="00090AC1" w:rsidP="00140C66">
      <w:pPr>
        <w:rPr>
          <w:lang w:eastAsia="ja-JP"/>
        </w:rPr>
      </w:pPr>
    </w:p>
    <w:p w:rsidR="00090AC1" w:rsidRPr="00860B02" w:rsidRDefault="00752EE1" w:rsidP="00090AC1">
      <w:pPr>
        <w:ind w:left="567" w:right="567"/>
        <w:rPr>
          <w:rFonts w:cs="Arial"/>
          <w:lang w:eastAsia="ja-JP"/>
        </w:rPr>
      </w:pPr>
      <w:r w:rsidRPr="00860B02">
        <w:t>“</w:t>
      </w:r>
      <w:r w:rsidR="00090AC1" w:rsidRPr="00860B02">
        <w:t xml:space="preserve">b) les pratiques commerciales établies pour certains types de variétés (par exemple les hybrides) et certains </w:t>
      </w:r>
      <w:r w:rsidR="00090AC1" w:rsidRPr="00860B02">
        <w:rPr>
          <w:u w:val="single"/>
        </w:rPr>
        <w:t>genres</w:t>
      </w:r>
      <w:r w:rsidR="00090AC1" w:rsidRPr="00860B02">
        <w:t xml:space="preserve"> ou espèces (par exemple Medicago, Helianthus).</w:t>
      </w:r>
      <w:r w:rsidRPr="00860B02">
        <w:rPr>
          <w:lang w:eastAsia="ja-JP"/>
        </w:rPr>
        <w:t>”</w:t>
      </w:r>
      <w:r w:rsidR="00414FD1" w:rsidRPr="00860B02">
        <w:rPr>
          <w:rStyle w:val="FootnoteReference"/>
          <w:lang w:eastAsia="ja-JP"/>
        </w:rPr>
        <w:footnoteReference w:id="20"/>
      </w:r>
    </w:p>
    <w:p w:rsidR="00090AC1" w:rsidRPr="00860B02" w:rsidRDefault="00090AC1" w:rsidP="00CA3196"/>
    <w:p w:rsidR="004A6FA7" w:rsidRPr="00860B02" w:rsidRDefault="004A6FA7" w:rsidP="00CA3196"/>
    <w:p w:rsidR="00090AC1" w:rsidRPr="00860B02" w:rsidRDefault="00377A2E" w:rsidP="004A6FA7">
      <w:pPr>
        <w:pStyle w:val="Heading2"/>
        <w:rPr>
          <w:lang w:val="fr-FR" w:eastAsia="ja-JP"/>
        </w:rPr>
      </w:pPr>
      <w:bookmarkStart w:id="30" w:name="_Toc427161614"/>
      <w:bookmarkStart w:id="31" w:name="_Toc432493968"/>
      <w:r w:rsidRPr="00860B02">
        <w:rPr>
          <w:lang w:val="fr-FR" w:eastAsia="ja-JP"/>
        </w:rPr>
        <w:t>Section</w:t>
      </w:r>
      <w:r w:rsidR="00752EE1" w:rsidRPr="00860B02">
        <w:rPr>
          <w:lang w:val="fr-FR" w:eastAsia="ja-JP"/>
        </w:rPr>
        <w:t> </w:t>
      </w:r>
      <w:r w:rsidRPr="00860B02">
        <w:rPr>
          <w:lang w:val="fr-FR" w:eastAsia="ja-JP"/>
        </w:rPr>
        <w:t>2.3.1.</w:t>
      </w:r>
      <w:r w:rsidR="00140C66" w:rsidRPr="00860B02">
        <w:rPr>
          <w:lang w:val="fr-FR" w:eastAsia="ja-JP"/>
        </w:rPr>
        <w:t>c)</w:t>
      </w:r>
      <w:bookmarkEnd w:id="30"/>
      <w:bookmarkEnd w:id="31"/>
    </w:p>
    <w:p w:rsidR="00090AC1" w:rsidRPr="00860B02" w:rsidRDefault="00090AC1" w:rsidP="00414FD1">
      <w:pPr>
        <w:rPr>
          <w:lang w:eastAsia="ja-JP"/>
        </w:rPr>
      </w:pPr>
    </w:p>
    <w:p w:rsidR="00726505" w:rsidRPr="00860B02" w:rsidRDefault="00E36D21" w:rsidP="00140C66">
      <w:pPr>
        <w:rPr>
          <w:rFonts w:cs="Arial"/>
        </w:rPr>
      </w:pPr>
      <w:r>
        <w:t>29.</w:t>
      </w:r>
      <w:r w:rsidR="00140C66" w:rsidRPr="00860B02">
        <w:tab/>
      </w:r>
      <w:r w:rsidR="007F7C1C" w:rsidRPr="00860B02">
        <w:rPr>
          <w:lang w:eastAsia="ja-JP"/>
        </w:rPr>
        <w:t xml:space="preserve">Le </w:t>
      </w:r>
      <w:r w:rsidR="00140C66" w:rsidRPr="00860B02">
        <w:rPr>
          <w:lang w:eastAsia="ja-JP"/>
        </w:rPr>
        <w:t>WG</w:t>
      </w:r>
      <w:r w:rsidR="000B2679" w:rsidRPr="00860B02">
        <w:rPr>
          <w:lang w:eastAsia="ja-JP"/>
        </w:rPr>
        <w:noBreakHyphen/>
      </w:r>
      <w:r w:rsidR="00140C66" w:rsidRPr="00860B02">
        <w:rPr>
          <w:lang w:eastAsia="ja-JP"/>
        </w:rPr>
        <w:t xml:space="preserve">DST </w:t>
      </w:r>
      <w:r w:rsidR="00C84554" w:rsidRPr="00860B02">
        <w:rPr>
          <w:lang w:eastAsia="ja-JP"/>
        </w:rPr>
        <w:t>est convenu de proposer de nouveaux exemples de dé</w:t>
      </w:r>
      <w:r w:rsidR="00140C66" w:rsidRPr="00860B02">
        <w:rPr>
          <w:rFonts w:cs="Arial"/>
        </w:rPr>
        <w:t xml:space="preserve">nominations </w:t>
      </w:r>
      <w:r w:rsidR="00C84554" w:rsidRPr="00860B02">
        <w:rPr>
          <w:rFonts w:cs="Arial"/>
        </w:rPr>
        <w:t>qui</w:t>
      </w:r>
      <w:r w:rsidR="00752EE1" w:rsidRPr="00860B02">
        <w:rPr>
          <w:rFonts w:cs="Arial"/>
        </w:rPr>
        <w:t> </w:t>
      </w:r>
      <w:r w:rsidR="00140C66" w:rsidRPr="00860B02">
        <w:rPr>
          <w:rFonts w:cs="Arial"/>
          <w:lang w:eastAsia="ja-JP"/>
        </w:rPr>
        <w:t>:</w:t>
      </w:r>
    </w:p>
    <w:p w:rsidR="00090AC1" w:rsidRPr="00860B02" w:rsidRDefault="00090AC1" w:rsidP="00140C66">
      <w:pPr>
        <w:rPr>
          <w:rFonts w:cs="Arial"/>
          <w:lang w:eastAsia="ja-JP"/>
        </w:rPr>
      </w:pPr>
    </w:p>
    <w:p w:rsidR="00090AC1" w:rsidRPr="00860B02" w:rsidRDefault="00140C66" w:rsidP="009175FC">
      <w:pPr>
        <w:keepNext/>
        <w:ind w:left="540" w:firstLine="27"/>
        <w:rPr>
          <w:rFonts w:cs="Arial"/>
          <w:lang w:eastAsia="ja-JP"/>
        </w:rPr>
      </w:pPr>
      <w:r w:rsidRPr="00860B02">
        <w:rPr>
          <w:rFonts w:cs="Arial"/>
          <w:lang w:eastAsia="ja-JP"/>
        </w:rPr>
        <w:t>i</w:t>
      </w:r>
      <w:r w:rsidRPr="00860B02">
        <w:rPr>
          <w:rFonts w:cs="Arial"/>
        </w:rPr>
        <w:t>)</w:t>
      </w:r>
      <w:r w:rsidR="00123458" w:rsidRPr="00860B02">
        <w:rPr>
          <w:rFonts w:cs="Arial"/>
        </w:rPr>
        <w:tab/>
      </w:r>
      <w:r w:rsidR="000214E6" w:rsidRPr="00860B02">
        <w:rPr>
          <w:rFonts w:cs="Arial"/>
        </w:rPr>
        <w:t xml:space="preserve">pourraient impliquer à tort que </w:t>
      </w:r>
      <w:r w:rsidR="000214E6" w:rsidRPr="00860B02">
        <w:t>la variété est issue d</w:t>
      </w:r>
      <w:r w:rsidR="00905CDD" w:rsidRPr="00860B02">
        <w:t>’</w:t>
      </w:r>
      <w:r w:rsidR="000214E6" w:rsidRPr="00860B02">
        <w:t>une autre variété ou lui est apparentée</w:t>
      </w:r>
      <w:r w:rsidRPr="00860B02">
        <w:rPr>
          <w:rFonts w:cs="Arial"/>
          <w:lang w:eastAsia="ja-JP"/>
        </w:rPr>
        <w:t>;</w:t>
      </w:r>
    </w:p>
    <w:p w:rsidR="00090AC1" w:rsidRPr="00860B02" w:rsidRDefault="00090AC1" w:rsidP="009175FC">
      <w:pPr>
        <w:keepNext/>
      </w:pPr>
    </w:p>
    <w:p w:rsidR="00726505" w:rsidRPr="00860B02" w:rsidRDefault="000214E6" w:rsidP="00D60CEA">
      <w:pPr>
        <w:spacing w:after="240"/>
        <w:ind w:left="1134" w:firstLine="28"/>
        <w:rPr>
          <w:rFonts w:cs="Arial"/>
        </w:rPr>
      </w:pPr>
      <w:r w:rsidRPr="00860B02">
        <w:rPr>
          <w:rFonts w:cs="Arial"/>
          <w:lang w:eastAsia="ja-JP"/>
        </w:rPr>
        <w:t>Exe</w:t>
      </w:r>
      <w:r w:rsidR="00140C66" w:rsidRPr="00860B02">
        <w:rPr>
          <w:rFonts w:cs="Arial"/>
          <w:lang w:eastAsia="ja-JP"/>
        </w:rPr>
        <w:t>mple</w:t>
      </w:r>
      <w:r w:rsidR="00752EE1" w:rsidRPr="00860B02">
        <w:rPr>
          <w:rFonts w:cs="Arial"/>
          <w:lang w:eastAsia="ja-JP"/>
        </w:rPr>
        <w:t> :</w:t>
      </w:r>
      <w:r w:rsidRPr="00860B02">
        <w:rPr>
          <w:rFonts w:cs="Arial"/>
          <w:lang w:eastAsia="ja-JP"/>
        </w:rPr>
        <w:t xml:space="preserve"> </w:t>
      </w:r>
      <w:r w:rsidR="00752EE1" w:rsidRPr="00860B02">
        <w:rPr>
          <w:rFonts w:cs="Arial"/>
          <w:lang w:eastAsia="ja-JP"/>
        </w:rPr>
        <w:t>“</w:t>
      </w:r>
      <w:r w:rsidR="00140C66" w:rsidRPr="00860B02">
        <w:rPr>
          <w:rFonts w:cs="Arial"/>
          <w:lang w:eastAsia="ja-JP"/>
        </w:rPr>
        <w:t>alpha</w:t>
      </w:r>
      <w:r w:rsidR="00752EE1" w:rsidRPr="00860B02">
        <w:rPr>
          <w:rFonts w:cs="Arial"/>
          <w:lang w:eastAsia="ja-JP"/>
        </w:rPr>
        <w:t>”</w:t>
      </w:r>
      <w:r w:rsidR="00140C66" w:rsidRPr="00860B02">
        <w:rPr>
          <w:rFonts w:cs="Arial"/>
          <w:lang w:eastAsia="ja-JP"/>
        </w:rPr>
        <w:t xml:space="preserve"> </w:t>
      </w:r>
      <w:r w:rsidRPr="00860B02">
        <w:rPr>
          <w:rFonts w:cs="Arial"/>
          <w:lang w:eastAsia="ja-JP"/>
        </w:rPr>
        <w:t xml:space="preserve">et </w:t>
      </w:r>
      <w:r w:rsidR="00752EE1" w:rsidRPr="00860B02">
        <w:rPr>
          <w:rFonts w:cs="Arial"/>
          <w:lang w:eastAsia="ja-JP"/>
        </w:rPr>
        <w:t>“</w:t>
      </w:r>
      <w:r w:rsidRPr="00860B02">
        <w:rPr>
          <w:rFonts w:cs="Arial"/>
          <w:lang w:eastAsia="ja-JP"/>
        </w:rPr>
        <w:t>alpha</w:t>
      </w:r>
      <w:r w:rsidR="000B2679" w:rsidRPr="00860B02">
        <w:rPr>
          <w:rFonts w:cs="Arial"/>
          <w:lang w:eastAsia="ja-JP"/>
        </w:rPr>
        <w:noBreakHyphen/>
      </w:r>
      <w:r w:rsidRPr="00860B02">
        <w:rPr>
          <w:rFonts w:cs="Arial"/>
          <w:lang w:eastAsia="ja-JP"/>
        </w:rPr>
        <w:t>HT</w:t>
      </w:r>
      <w:r w:rsidR="00752EE1" w:rsidRPr="00860B02">
        <w:rPr>
          <w:rFonts w:cs="Arial"/>
          <w:lang w:eastAsia="ja-JP"/>
        </w:rPr>
        <w:t>”</w:t>
      </w:r>
      <w:r w:rsidR="00140C66" w:rsidRPr="00860B02">
        <w:rPr>
          <w:rFonts w:cs="Arial"/>
          <w:lang w:eastAsia="ja-JP"/>
        </w:rPr>
        <w:t xml:space="preserve"> (</w:t>
      </w:r>
      <w:r w:rsidRPr="00860B02">
        <w:rPr>
          <w:rFonts w:cs="Arial"/>
          <w:lang w:eastAsia="ja-JP"/>
        </w:rPr>
        <w:t>dans un</w:t>
      </w:r>
      <w:r w:rsidR="00140C66" w:rsidRPr="00860B02">
        <w:rPr>
          <w:rFonts w:cs="Arial"/>
          <w:lang w:eastAsia="ja-JP"/>
        </w:rPr>
        <w:t xml:space="preserve"> cas</w:t>
      </w:r>
      <w:r w:rsidRPr="00860B02">
        <w:rPr>
          <w:rFonts w:cs="Arial"/>
          <w:lang w:eastAsia="ja-JP"/>
        </w:rPr>
        <w:t xml:space="preserve"> où</w:t>
      </w:r>
      <w:r w:rsidR="00140C66" w:rsidRPr="00860B02">
        <w:rPr>
          <w:rFonts w:cs="Arial"/>
          <w:lang w:eastAsia="ja-JP"/>
        </w:rPr>
        <w:t xml:space="preserve"> </w:t>
      </w:r>
      <w:r w:rsidR="00752EE1" w:rsidRPr="00860B02">
        <w:rPr>
          <w:rFonts w:cs="Arial"/>
          <w:lang w:eastAsia="ja-JP"/>
        </w:rPr>
        <w:t>“</w:t>
      </w:r>
      <w:r w:rsidR="00140C66" w:rsidRPr="00860B02">
        <w:rPr>
          <w:rFonts w:cs="Arial"/>
          <w:lang w:eastAsia="ja-JP"/>
        </w:rPr>
        <w:t>alpha</w:t>
      </w:r>
      <w:r w:rsidR="000B2679" w:rsidRPr="00860B02">
        <w:rPr>
          <w:rFonts w:cs="Arial"/>
          <w:lang w:eastAsia="ja-JP"/>
        </w:rPr>
        <w:noBreakHyphen/>
      </w:r>
      <w:r w:rsidR="00140C66" w:rsidRPr="00860B02">
        <w:rPr>
          <w:rFonts w:cs="Arial"/>
          <w:lang w:eastAsia="ja-JP"/>
        </w:rPr>
        <w:t>HT</w:t>
      </w:r>
      <w:r w:rsidR="00752EE1" w:rsidRPr="00860B02">
        <w:rPr>
          <w:rFonts w:cs="Arial"/>
          <w:lang w:eastAsia="ja-JP"/>
        </w:rPr>
        <w:t>”</w:t>
      </w:r>
      <w:r w:rsidR="00140C66" w:rsidRPr="00860B02">
        <w:rPr>
          <w:rFonts w:cs="Arial"/>
          <w:lang w:eastAsia="ja-JP"/>
        </w:rPr>
        <w:t xml:space="preserve"> diff</w:t>
      </w:r>
      <w:r w:rsidRPr="00860B02">
        <w:rPr>
          <w:rFonts w:cs="Arial"/>
          <w:lang w:eastAsia="ja-JP"/>
        </w:rPr>
        <w:t xml:space="preserve">ère de </w:t>
      </w:r>
      <w:r w:rsidR="00752EE1" w:rsidRPr="00860B02">
        <w:rPr>
          <w:rFonts w:cs="Arial"/>
          <w:lang w:eastAsia="ja-JP"/>
        </w:rPr>
        <w:t>“</w:t>
      </w:r>
      <w:r w:rsidR="00140C66" w:rsidRPr="00860B02">
        <w:rPr>
          <w:rFonts w:cs="Arial"/>
          <w:lang w:eastAsia="ja-JP"/>
        </w:rPr>
        <w:t>alpha</w:t>
      </w:r>
      <w:r w:rsidR="00752EE1" w:rsidRPr="00860B02">
        <w:rPr>
          <w:rFonts w:cs="Arial"/>
          <w:lang w:eastAsia="ja-JP"/>
        </w:rPr>
        <w:t>”</w:t>
      </w:r>
      <w:r w:rsidR="00140C66" w:rsidRPr="00860B02">
        <w:rPr>
          <w:rFonts w:cs="Arial"/>
          <w:lang w:eastAsia="ja-JP"/>
        </w:rPr>
        <w:t xml:space="preserve"> </w:t>
      </w:r>
      <w:r w:rsidRPr="00860B02">
        <w:rPr>
          <w:rFonts w:cs="Arial"/>
          <w:lang w:eastAsia="ja-JP"/>
        </w:rPr>
        <w:t>dans des c</w:t>
      </w:r>
      <w:r w:rsidR="00140C66" w:rsidRPr="00860B02">
        <w:rPr>
          <w:rFonts w:cs="Arial"/>
          <w:lang w:eastAsia="ja-JP"/>
        </w:rPr>
        <w:t>aract</w:t>
      </w:r>
      <w:r w:rsidR="00461565" w:rsidRPr="00860B02">
        <w:rPr>
          <w:rFonts w:cs="Arial"/>
          <w:lang w:eastAsia="ja-JP"/>
        </w:rPr>
        <w:t>ères autres que la tolérance aux</w:t>
      </w:r>
      <w:r w:rsidR="00140C66" w:rsidRPr="00860B02">
        <w:rPr>
          <w:rFonts w:cs="Arial"/>
          <w:lang w:eastAsia="ja-JP"/>
        </w:rPr>
        <w:t xml:space="preserve"> herbicide</w:t>
      </w:r>
      <w:r w:rsidR="00461565" w:rsidRPr="00860B02">
        <w:rPr>
          <w:rFonts w:cs="Arial"/>
          <w:lang w:eastAsia="ja-JP"/>
        </w:rPr>
        <w:t>s</w:t>
      </w:r>
      <w:r w:rsidR="00140C66" w:rsidRPr="00860B02">
        <w:rPr>
          <w:rFonts w:cs="Arial"/>
          <w:lang w:eastAsia="ja-JP"/>
        </w:rPr>
        <w:t xml:space="preserve"> (HT)</w:t>
      </w:r>
      <w:r w:rsidR="00F91828" w:rsidRPr="00860B02">
        <w:rPr>
          <w:rFonts w:cs="Arial"/>
          <w:lang w:eastAsia="ja-JP"/>
        </w:rPr>
        <w:t xml:space="preserve"> </w:t>
      </w:r>
      <w:r w:rsidR="00461565" w:rsidRPr="00860B02">
        <w:t>et n</w:t>
      </w:r>
      <w:r w:rsidR="00905CDD" w:rsidRPr="00860B02">
        <w:t>’</w:t>
      </w:r>
      <w:r w:rsidR="00461565" w:rsidRPr="00860B02">
        <w:t>est pas voisin d</w:t>
      </w:r>
      <w:r w:rsidR="00905CDD" w:rsidRPr="00860B02">
        <w:t>’</w:t>
      </w:r>
      <w:r w:rsidR="00461565" w:rsidRPr="00860B02">
        <w:t>alpha), et</w:t>
      </w:r>
    </w:p>
    <w:p w:rsidR="00726505" w:rsidRPr="00860B02" w:rsidRDefault="00140C66" w:rsidP="004A6FA7">
      <w:pPr>
        <w:ind w:left="540" w:firstLine="27"/>
        <w:rPr>
          <w:rFonts w:cs="Arial"/>
          <w:lang w:eastAsia="ja-JP"/>
        </w:rPr>
      </w:pPr>
      <w:r w:rsidRPr="00860B02">
        <w:rPr>
          <w:rFonts w:cs="Arial"/>
          <w:lang w:eastAsia="ja-JP"/>
        </w:rPr>
        <w:lastRenderedPageBreak/>
        <w:t>ii</w:t>
      </w:r>
      <w:r w:rsidRPr="00860B02">
        <w:rPr>
          <w:rFonts w:cs="Arial"/>
        </w:rPr>
        <w:t>)</w:t>
      </w:r>
      <w:r w:rsidR="00123458" w:rsidRPr="00860B02">
        <w:rPr>
          <w:rFonts w:cs="Arial"/>
        </w:rPr>
        <w:tab/>
      </w:r>
      <w:r w:rsidR="00461565" w:rsidRPr="00860B02">
        <w:rPr>
          <w:rFonts w:cs="Arial"/>
          <w:lang w:eastAsia="ja-JP"/>
        </w:rPr>
        <w:t>n</w:t>
      </w:r>
      <w:r w:rsidR="00905CDD" w:rsidRPr="00860B02">
        <w:rPr>
          <w:rFonts w:cs="Arial"/>
          <w:lang w:eastAsia="ja-JP"/>
        </w:rPr>
        <w:t>’</w:t>
      </w:r>
      <w:r w:rsidR="00461565" w:rsidRPr="00860B02">
        <w:rPr>
          <w:rFonts w:cs="Arial"/>
          <w:lang w:eastAsia="ja-JP"/>
        </w:rPr>
        <w:t>impliqueraient pas que la variété est issue d</w:t>
      </w:r>
      <w:r w:rsidR="00905CDD" w:rsidRPr="00860B02">
        <w:rPr>
          <w:rFonts w:cs="Arial"/>
          <w:lang w:eastAsia="ja-JP"/>
        </w:rPr>
        <w:t>’</w:t>
      </w:r>
      <w:r w:rsidR="00461565" w:rsidRPr="00860B02">
        <w:rPr>
          <w:rFonts w:cs="Arial"/>
          <w:lang w:eastAsia="ja-JP"/>
        </w:rPr>
        <w:t>une autre variété ou lui est apparentée;</w:t>
      </w:r>
    </w:p>
    <w:p w:rsidR="00090AC1" w:rsidRPr="00D60CEA" w:rsidRDefault="00090AC1" w:rsidP="004A6FA7">
      <w:pPr>
        <w:rPr>
          <w:sz w:val="16"/>
        </w:rPr>
      </w:pPr>
    </w:p>
    <w:p w:rsidR="00090AC1" w:rsidRPr="00860B02" w:rsidRDefault="00461565" w:rsidP="002113CC">
      <w:pPr>
        <w:spacing w:after="480"/>
        <w:ind w:left="1134" w:firstLine="28"/>
        <w:rPr>
          <w:lang w:eastAsia="ja-JP"/>
        </w:rPr>
      </w:pPr>
      <w:r w:rsidRPr="00860B02">
        <w:rPr>
          <w:rFonts w:cs="Arial"/>
          <w:lang w:eastAsia="ja-JP"/>
        </w:rPr>
        <w:t>Exe</w:t>
      </w:r>
      <w:r w:rsidR="00140C66" w:rsidRPr="00860B02">
        <w:rPr>
          <w:rFonts w:cs="Arial"/>
          <w:lang w:eastAsia="ja-JP"/>
        </w:rPr>
        <w:t>mple</w:t>
      </w:r>
      <w:r w:rsidR="00752EE1" w:rsidRPr="00860B02">
        <w:rPr>
          <w:rFonts w:cs="Arial"/>
          <w:lang w:eastAsia="ja-JP"/>
        </w:rPr>
        <w:t> :</w:t>
      </w:r>
      <w:r w:rsidR="00140C66" w:rsidRPr="00860B02">
        <w:rPr>
          <w:rFonts w:cs="Arial"/>
          <w:lang w:eastAsia="ja-JP"/>
        </w:rPr>
        <w:t xml:space="preserve"> </w:t>
      </w:r>
      <w:r w:rsidR="00752EE1" w:rsidRPr="00860B02">
        <w:rPr>
          <w:lang w:eastAsia="ja-JP"/>
        </w:rPr>
        <w:t>“</w:t>
      </w:r>
      <w:r w:rsidR="00140C66" w:rsidRPr="00860B02">
        <w:t>Prince Albert</w:t>
      </w:r>
      <w:r w:rsidR="00752EE1" w:rsidRPr="00860B02">
        <w:rPr>
          <w:lang w:eastAsia="ja-JP"/>
        </w:rPr>
        <w:t>”</w:t>
      </w:r>
      <w:r w:rsidR="00140C66" w:rsidRPr="00860B02">
        <w:t xml:space="preserve"> </w:t>
      </w:r>
      <w:r w:rsidRPr="00860B02">
        <w:t>et</w:t>
      </w:r>
      <w:r w:rsidR="00140C66" w:rsidRPr="00860B02">
        <w:t xml:space="preserve"> </w:t>
      </w:r>
      <w:r w:rsidR="00752EE1" w:rsidRPr="00860B02">
        <w:rPr>
          <w:lang w:eastAsia="ja-JP"/>
        </w:rPr>
        <w:t>“</w:t>
      </w:r>
      <w:r w:rsidR="00140C66" w:rsidRPr="00860B02">
        <w:t>Prince Alex</w:t>
      </w:r>
      <w:r w:rsidRPr="00860B02">
        <w:rPr>
          <w:lang w:eastAsia="ja-JP"/>
        </w:rPr>
        <w:t>ander</w:t>
      </w:r>
      <w:r w:rsidR="00752EE1" w:rsidRPr="00860B02">
        <w:rPr>
          <w:lang w:eastAsia="ja-JP"/>
        </w:rPr>
        <w:t>”</w:t>
      </w:r>
      <w:r w:rsidR="00140C66" w:rsidRPr="00860B02">
        <w:rPr>
          <w:lang w:eastAsia="ja-JP"/>
        </w:rPr>
        <w:t xml:space="preserve">, </w:t>
      </w:r>
      <w:r w:rsidRPr="00860B02">
        <w:rPr>
          <w:lang w:eastAsia="ja-JP"/>
        </w:rPr>
        <w:t>et</w:t>
      </w:r>
      <w:r w:rsidR="00140C66" w:rsidRPr="00860B02">
        <w:rPr>
          <w:lang w:eastAsia="ja-JP"/>
        </w:rPr>
        <w:t xml:space="preserve"> </w:t>
      </w:r>
      <w:r w:rsidR="00752EE1" w:rsidRPr="00860B02">
        <w:rPr>
          <w:lang w:eastAsia="ja-JP"/>
        </w:rPr>
        <w:t>“</w:t>
      </w:r>
      <w:r w:rsidR="00295FA4" w:rsidRPr="00860B02">
        <w:rPr>
          <w:lang w:eastAsia="ja-JP"/>
        </w:rPr>
        <w:t>Ivory Bells</w:t>
      </w:r>
      <w:r w:rsidR="00752EE1" w:rsidRPr="00860B02">
        <w:rPr>
          <w:lang w:eastAsia="ja-JP"/>
        </w:rPr>
        <w:t>”</w:t>
      </w:r>
      <w:r w:rsidR="00140C66" w:rsidRPr="00860B02">
        <w:rPr>
          <w:lang w:eastAsia="ja-JP"/>
        </w:rPr>
        <w:t xml:space="preserve"> </w:t>
      </w:r>
      <w:r w:rsidR="00295FA4" w:rsidRPr="00860B02">
        <w:rPr>
          <w:lang w:eastAsia="ja-JP"/>
        </w:rPr>
        <w:t>et</w:t>
      </w:r>
      <w:r w:rsidR="00140C66" w:rsidRPr="00860B02">
        <w:rPr>
          <w:lang w:eastAsia="ja-JP"/>
        </w:rPr>
        <w:t xml:space="preserve"> </w:t>
      </w:r>
      <w:r w:rsidR="00752EE1" w:rsidRPr="00860B02">
        <w:rPr>
          <w:lang w:eastAsia="ja-JP"/>
        </w:rPr>
        <w:t>“</w:t>
      </w:r>
      <w:r w:rsidR="00140C66" w:rsidRPr="00860B02">
        <w:rPr>
          <w:lang w:eastAsia="ja-JP"/>
        </w:rPr>
        <w:t>Lilac Bells</w:t>
      </w:r>
      <w:r w:rsidR="00752EE1" w:rsidRPr="00860B02">
        <w:rPr>
          <w:lang w:eastAsia="ja-JP"/>
        </w:rPr>
        <w:t>”</w:t>
      </w:r>
      <w:r w:rsidR="00F91828" w:rsidRPr="00860B02">
        <w:rPr>
          <w:lang w:eastAsia="ja-JP"/>
        </w:rPr>
        <w:t xml:space="preserve"> </w:t>
      </w:r>
      <w:r w:rsidR="00295FA4" w:rsidRPr="00860B02">
        <w:rPr>
          <w:lang w:eastAsia="ja-JP"/>
        </w:rPr>
        <w:t>où les mots</w:t>
      </w:r>
      <w:r w:rsidR="00F91828" w:rsidRPr="00860B02">
        <w:rPr>
          <w:lang w:eastAsia="ja-JP"/>
        </w:rPr>
        <w:t xml:space="preserve"> </w:t>
      </w:r>
      <w:r w:rsidR="00752EE1" w:rsidRPr="00860B02">
        <w:rPr>
          <w:lang w:eastAsia="ja-JP"/>
        </w:rPr>
        <w:t>“</w:t>
      </w:r>
      <w:r w:rsidR="00F91828" w:rsidRPr="00860B02">
        <w:rPr>
          <w:lang w:eastAsia="ja-JP"/>
        </w:rPr>
        <w:t>Prince</w:t>
      </w:r>
      <w:r w:rsidR="00752EE1" w:rsidRPr="00860B02">
        <w:rPr>
          <w:lang w:eastAsia="ja-JP"/>
        </w:rPr>
        <w:t>”</w:t>
      </w:r>
      <w:r w:rsidR="00295FA4" w:rsidRPr="00860B02">
        <w:rPr>
          <w:lang w:eastAsia="ja-JP"/>
        </w:rPr>
        <w:t xml:space="preserve"> et</w:t>
      </w:r>
      <w:r w:rsidR="00F91828" w:rsidRPr="00860B02">
        <w:rPr>
          <w:lang w:eastAsia="ja-JP"/>
        </w:rPr>
        <w:t xml:space="preserve"> </w:t>
      </w:r>
      <w:r w:rsidR="00752EE1" w:rsidRPr="00860B02">
        <w:rPr>
          <w:lang w:eastAsia="ja-JP"/>
        </w:rPr>
        <w:t>“</w:t>
      </w:r>
      <w:r w:rsidR="00F91828" w:rsidRPr="00860B02">
        <w:rPr>
          <w:lang w:eastAsia="ja-JP"/>
        </w:rPr>
        <w:t>Bells</w:t>
      </w:r>
      <w:r w:rsidR="00752EE1" w:rsidRPr="00860B02">
        <w:rPr>
          <w:lang w:eastAsia="ja-JP"/>
        </w:rPr>
        <w:t>”</w:t>
      </w:r>
      <w:r w:rsidR="00F91828" w:rsidRPr="00860B02">
        <w:rPr>
          <w:lang w:eastAsia="ja-JP"/>
        </w:rPr>
        <w:t xml:space="preserve"> </w:t>
      </w:r>
      <w:r w:rsidR="00295FA4" w:rsidRPr="00860B02">
        <w:rPr>
          <w:lang w:eastAsia="ja-JP"/>
        </w:rPr>
        <w:t>ont été employés pour des variétés non apparentées et pour des variétés sélectionnées par des obtenteurs différents</w:t>
      </w:r>
      <w:r w:rsidR="00B608C7" w:rsidRPr="00860B02">
        <w:rPr>
          <w:rStyle w:val="FootnoteReference"/>
          <w:lang w:eastAsia="ja-JP"/>
        </w:rPr>
        <w:footnoteReference w:id="21"/>
      </w:r>
      <w:r w:rsidR="00752EE1" w:rsidRPr="00860B02">
        <w:rPr>
          <w:lang w:eastAsia="ja-JP"/>
        </w:rPr>
        <w:t>.</w:t>
      </w:r>
    </w:p>
    <w:p w:rsidR="00090AC1" w:rsidRPr="00860B02" w:rsidRDefault="00140C66" w:rsidP="004A6FA7">
      <w:pPr>
        <w:pStyle w:val="Heading2"/>
        <w:rPr>
          <w:lang w:val="fr-FR" w:eastAsia="ja-JP"/>
        </w:rPr>
      </w:pPr>
      <w:bookmarkStart w:id="32" w:name="_Toc427161615"/>
      <w:bookmarkStart w:id="33" w:name="_Toc432493969"/>
      <w:r w:rsidRPr="00860B02">
        <w:rPr>
          <w:lang w:val="fr-FR" w:eastAsia="ja-JP"/>
        </w:rPr>
        <w:t>Section</w:t>
      </w:r>
      <w:r w:rsidR="00752EE1" w:rsidRPr="00860B02">
        <w:rPr>
          <w:lang w:val="fr-FR" w:eastAsia="ja-JP"/>
        </w:rPr>
        <w:t> </w:t>
      </w:r>
      <w:r w:rsidRPr="00860B02">
        <w:rPr>
          <w:lang w:val="fr-FR" w:eastAsia="ja-JP"/>
        </w:rPr>
        <w:t>2.3.1</w:t>
      </w:r>
      <w:r w:rsidR="00377A2E" w:rsidRPr="00860B02">
        <w:rPr>
          <w:lang w:val="fr-FR" w:eastAsia="ja-JP"/>
        </w:rPr>
        <w:t>.</w:t>
      </w:r>
      <w:r w:rsidRPr="00860B02">
        <w:rPr>
          <w:lang w:val="fr-FR" w:eastAsia="ja-JP"/>
        </w:rPr>
        <w:t>d)</w:t>
      </w:r>
      <w:bookmarkEnd w:id="32"/>
      <w:bookmarkEnd w:id="33"/>
    </w:p>
    <w:p w:rsidR="00090AC1" w:rsidRPr="00860B02" w:rsidRDefault="00090AC1" w:rsidP="00140C66">
      <w:pPr>
        <w:rPr>
          <w:lang w:eastAsia="ja-JP"/>
        </w:rPr>
      </w:pPr>
    </w:p>
    <w:p w:rsidR="00090AC1" w:rsidRPr="00860B02" w:rsidRDefault="00E36D21" w:rsidP="00140C66">
      <w:pPr>
        <w:rPr>
          <w:rFonts w:cs="Arial"/>
          <w:lang w:eastAsia="ja-JP"/>
        </w:rPr>
      </w:pPr>
      <w:r>
        <w:t>30.</w:t>
      </w:r>
      <w:r w:rsidR="00140C66" w:rsidRPr="00860B02">
        <w:tab/>
      </w:r>
      <w:r w:rsidR="007F7C1C" w:rsidRPr="00860B02">
        <w:rPr>
          <w:lang w:eastAsia="ja-JP"/>
        </w:rPr>
        <w:t xml:space="preserve">Le </w:t>
      </w:r>
      <w:r w:rsidR="00140C66" w:rsidRPr="00860B02">
        <w:rPr>
          <w:lang w:eastAsia="ja-JP"/>
        </w:rPr>
        <w:t>WG</w:t>
      </w:r>
      <w:r w:rsidR="000B2679" w:rsidRPr="00860B02">
        <w:rPr>
          <w:lang w:eastAsia="ja-JP"/>
        </w:rPr>
        <w:noBreakHyphen/>
      </w:r>
      <w:r w:rsidR="00140C66" w:rsidRPr="00860B02">
        <w:rPr>
          <w:lang w:eastAsia="ja-JP"/>
        </w:rPr>
        <w:t>DST</w:t>
      </w:r>
      <w:r w:rsidR="00140C66" w:rsidRPr="00860B02">
        <w:rPr>
          <w:rFonts w:cs="Arial"/>
        </w:rPr>
        <w:t xml:space="preserve"> </w:t>
      </w:r>
      <w:r w:rsidR="00295FA4" w:rsidRPr="00860B02">
        <w:rPr>
          <w:rFonts w:cs="Arial"/>
        </w:rPr>
        <w:t>a approuvé l</w:t>
      </w:r>
      <w:r w:rsidR="00905CDD" w:rsidRPr="00860B02">
        <w:rPr>
          <w:rFonts w:cs="Arial"/>
        </w:rPr>
        <w:t>’</w:t>
      </w:r>
      <w:r w:rsidR="00295FA4" w:rsidRPr="00860B02">
        <w:rPr>
          <w:rFonts w:cs="Arial"/>
        </w:rPr>
        <w:t>ajout de la nouvelle s</w:t>
      </w:r>
      <w:r w:rsidR="00377A2E" w:rsidRPr="00860B02">
        <w:rPr>
          <w:rFonts w:cs="Arial"/>
          <w:lang w:eastAsia="ja-JP"/>
        </w:rPr>
        <w:t>ection</w:t>
      </w:r>
      <w:r w:rsidR="00752EE1" w:rsidRPr="00860B02">
        <w:rPr>
          <w:rFonts w:cs="Arial"/>
        </w:rPr>
        <w:t> </w:t>
      </w:r>
      <w:r w:rsidR="00377A2E" w:rsidRPr="00860B02">
        <w:rPr>
          <w:rFonts w:cs="Arial"/>
          <w:lang w:eastAsia="ja-JP"/>
        </w:rPr>
        <w:t>2.3.1.</w:t>
      </w:r>
      <w:r w:rsidR="00140C66" w:rsidRPr="00860B02">
        <w:rPr>
          <w:rFonts w:cs="Arial"/>
          <w:lang w:eastAsia="ja-JP"/>
        </w:rPr>
        <w:t xml:space="preserve">d) </w:t>
      </w:r>
      <w:r w:rsidR="00295FA4" w:rsidRPr="00860B02">
        <w:rPr>
          <w:rFonts w:cs="Arial"/>
          <w:lang w:eastAsia="ja-JP"/>
        </w:rPr>
        <w:t>au</w:t>
      </w:r>
      <w:r w:rsidR="00140C66" w:rsidRPr="00860B02">
        <w:rPr>
          <w:rFonts w:cs="Arial"/>
          <w:lang w:eastAsia="ja-JP"/>
        </w:rPr>
        <w:t xml:space="preserve"> document UPOV/INF/12</w:t>
      </w:r>
      <w:r w:rsidR="0038410B" w:rsidRPr="00860B02">
        <w:rPr>
          <w:rStyle w:val="FootnoteReference"/>
          <w:rFonts w:cs="Arial"/>
          <w:lang w:eastAsia="ja-JP"/>
        </w:rPr>
        <w:footnoteReference w:id="22"/>
      </w:r>
      <w:r w:rsidR="00140C66" w:rsidRPr="00860B02">
        <w:rPr>
          <w:rFonts w:cs="Arial"/>
          <w:lang w:eastAsia="ja-JP"/>
        </w:rPr>
        <w:t>.</w:t>
      </w:r>
    </w:p>
    <w:p w:rsidR="00090AC1" w:rsidRPr="00860B02" w:rsidRDefault="00090AC1" w:rsidP="00140C66">
      <w:pPr>
        <w:rPr>
          <w:rFonts w:cs="Arial"/>
          <w:lang w:eastAsia="ja-JP"/>
        </w:rPr>
      </w:pPr>
    </w:p>
    <w:p w:rsidR="00090AC1" w:rsidRPr="00860B02" w:rsidRDefault="00E36D21" w:rsidP="00140C66">
      <w:pPr>
        <w:rPr>
          <w:lang w:eastAsia="ja-JP"/>
        </w:rPr>
      </w:pPr>
      <w:r>
        <w:t>31.</w:t>
      </w:r>
      <w:r w:rsidR="00140C66" w:rsidRPr="00860B02">
        <w:tab/>
      </w:r>
      <w:r w:rsidR="007F7C1C" w:rsidRPr="00860B02">
        <w:rPr>
          <w:lang w:eastAsia="ja-JP"/>
        </w:rPr>
        <w:t xml:space="preserve">Le </w:t>
      </w:r>
      <w:r w:rsidR="00140C66" w:rsidRPr="00860B02">
        <w:rPr>
          <w:lang w:eastAsia="ja-JP"/>
        </w:rPr>
        <w:t>WG</w:t>
      </w:r>
      <w:r w:rsidR="000B2679" w:rsidRPr="00860B02">
        <w:rPr>
          <w:lang w:eastAsia="ja-JP"/>
        </w:rPr>
        <w:noBreakHyphen/>
      </w:r>
      <w:r w:rsidR="00140C66" w:rsidRPr="00860B02">
        <w:rPr>
          <w:lang w:eastAsia="ja-JP"/>
        </w:rPr>
        <w:t>DST</w:t>
      </w:r>
      <w:r w:rsidR="00140C66" w:rsidRPr="00860B02">
        <w:rPr>
          <w:rFonts w:cs="Arial"/>
        </w:rPr>
        <w:t xml:space="preserve"> </w:t>
      </w:r>
      <w:r w:rsidR="00295FA4" w:rsidRPr="00860B02">
        <w:rPr>
          <w:rFonts w:cs="Arial"/>
        </w:rPr>
        <w:t>a accepté d</w:t>
      </w:r>
      <w:r w:rsidR="00905CDD" w:rsidRPr="00860B02">
        <w:rPr>
          <w:rFonts w:cs="Arial"/>
        </w:rPr>
        <w:t>’</w:t>
      </w:r>
      <w:r w:rsidR="00295FA4" w:rsidRPr="00860B02">
        <w:rPr>
          <w:rFonts w:cs="Arial"/>
        </w:rPr>
        <w:t>ajouter une explication à la</w:t>
      </w:r>
      <w:r w:rsidR="00140C66" w:rsidRPr="00860B02">
        <w:rPr>
          <w:rFonts w:cs="Arial"/>
        </w:rPr>
        <w:t xml:space="preserve"> </w:t>
      </w:r>
      <w:r w:rsidR="00295FA4" w:rsidRPr="00860B02">
        <w:rPr>
          <w:rFonts w:cs="Arial"/>
        </w:rPr>
        <w:t>s</w:t>
      </w:r>
      <w:r w:rsidR="00140C66" w:rsidRPr="00860B02">
        <w:rPr>
          <w:rFonts w:cs="Arial"/>
        </w:rPr>
        <w:t>ection</w:t>
      </w:r>
      <w:r w:rsidR="00752EE1" w:rsidRPr="00860B02">
        <w:rPr>
          <w:rFonts w:cs="Arial"/>
        </w:rPr>
        <w:t> </w:t>
      </w:r>
      <w:r w:rsidR="00377A2E" w:rsidRPr="00860B02">
        <w:rPr>
          <w:rFonts w:cs="Arial"/>
        </w:rPr>
        <w:t>2.3.1.</w:t>
      </w:r>
      <w:r w:rsidR="00295FA4" w:rsidRPr="00860B02">
        <w:rPr>
          <w:rFonts w:cs="Arial"/>
        </w:rPr>
        <w:t xml:space="preserve">d) selon laquelle </w:t>
      </w:r>
      <w:r w:rsidR="00140C66" w:rsidRPr="00860B02">
        <w:rPr>
          <w:i/>
        </w:rPr>
        <w:t>Carex</w:t>
      </w:r>
      <w:r w:rsidR="00140C66" w:rsidRPr="00860B02">
        <w:t xml:space="preserve"> </w:t>
      </w:r>
      <w:r w:rsidR="00295FA4" w:rsidRPr="00860B02">
        <w:t>est le nom botanique du genre auquel correspond le nom commun</w:t>
      </w:r>
      <w:r w:rsidR="00140C66" w:rsidRPr="00860B02">
        <w:rPr>
          <w:lang w:eastAsia="ja-JP"/>
        </w:rPr>
        <w:t xml:space="preserve"> </w:t>
      </w:r>
      <w:r w:rsidR="00295FA4" w:rsidRPr="00860B02">
        <w:rPr>
          <w:lang w:eastAsia="ja-JP"/>
        </w:rPr>
        <w:t>laiche</w:t>
      </w:r>
      <w:r w:rsidR="0038410B" w:rsidRPr="00860B02">
        <w:rPr>
          <w:rStyle w:val="FootnoteReference"/>
          <w:lang w:eastAsia="ja-JP"/>
        </w:rPr>
        <w:footnoteReference w:id="23"/>
      </w:r>
      <w:r w:rsidR="00752EE1" w:rsidRPr="00860B02">
        <w:rPr>
          <w:lang w:eastAsia="ja-JP"/>
        </w:rPr>
        <w:t>.</w:t>
      </w:r>
    </w:p>
    <w:p w:rsidR="00090AC1" w:rsidRPr="00860B02" w:rsidRDefault="00090AC1" w:rsidP="00140C66">
      <w:pPr>
        <w:rPr>
          <w:rFonts w:cs="Arial"/>
          <w:lang w:eastAsia="ja-JP"/>
        </w:rPr>
      </w:pPr>
    </w:p>
    <w:p w:rsidR="00295FA4" w:rsidRPr="00860B02" w:rsidRDefault="00E36D21" w:rsidP="00140C66">
      <w:pPr>
        <w:rPr>
          <w:lang w:eastAsia="ja-JP"/>
        </w:rPr>
      </w:pPr>
      <w:r>
        <w:t>32.</w:t>
      </w:r>
      <w:r w:rsidR="00140C66" w:rsidRPr="00860B02">
        <w:tab/>
      </w:r>
      <w:r w:rsidR="007F7C1C" w:rsidRPr="00860B02">
        <w:rPr>
          <w:lang w:eastAsia="ja-JP"/>
        </w:rPr>
        <w:t xml:space="preserve">Le </w:t>
      </w:r>
      <w:r w:rsidR="00140C66" w:rsidRPr="00860B02">
        <w:rPr>
          <w:lang w:eastAsia="ja-JP"/>
        </w:rPr>
        <w:t>WG</w:t>
      </w:r>
      <w:r w:rsidR="000B2679" w:rsidRPr="00860B02">
        <w:rPr>
          <w:lang w:eastAsia="ja-JP"/>
        </w:rPr>
        <w:noBreakHyphen/>
      </w:r>
      <w:r w:rsidR="00140C66" w:rsidRPr="00860B02">
        <w:rPr>
          <w:lang w:eastAsia="ja-JP"/>
        </w:rPr>
        <w:t xml:space="preserve">DST </w:t>
      </w:r>
      <w:r w:rsidR="00295FA4" w:rsidRPr="00860B02">
        <w:rPr>
          <w:lang w:eastAsia="ja-JP"/>
        </w:rPr>
        <w:t>est convenu que l</w:t>
      </w:r>
      <w:r w:rsidR="00905CDD" w:rsidRPr="00860B02">
        <w:rPr>
          <w:lang w:eastAsia="ja-JP"/>
        </w:rPr>
        <w:t>’</w:t>
      </w:r>
      <w:r w:rsidR="00295FA4" w:rsidRPr="00860B02">
        <w:rPr>
          <w:lang w:eastAsia="ja-JP"/>
        </w:rPr>
        <w:t>emploi du nom botanique ou du nom commun d</w:t>
      </w:r>
      <w:r w:rsidR="00905CDD" w:rsidRPr="00860B02">
        <w:rPr>
          <w:lang w:eastAsia="ja-JP"/>
        </w:rPr>
        <w:t>’</w:t>
      </w:r>
      <w:r w:rsidR="00295FA4" w:rsidRPr="00860B02">
        <w:rPr>
          <w:lang w:eastAsia="ja-JP"/>
        </w:rPr>
        <w:t>un genre auquel une variété n</w:t>
      </w:r>
      <w:r w:rsidR="00905CDD" w:rsidRPr="00860B02">
        <w:rPr>
          <w:lang w:eastAsia="ja-JP"/>
        </w:rPr>
        <w:t>’</w:t>
      </w:r>
      <w:r w:rsidR="00295FA4" w:rsidRPr="00860B02">
        <w:rPr>
          <w:lang w:eastAsia="ja-JP"/>
        </w:rPr>
        <w:t xml:space="preserve">appartient </w:t>
      </w:r>
      <w:r w:rsidR="00295FA4" w:rsidRPr="00860B02">
        <w:rPr>
          <w:u w:val="single"/>
          <w:lang w:eastAsia="ja-JP"/>
        </w:rPr>
        <w:t>pas</w:t>
      </w:r>
      <w:r w:rsidR="00295FA4" w:rsidRPr="00860B02">
        <w:rPr>
          <w:lang w:eastAsia="ja-JP"/>
        </w:rPr>
        <w:t xml:space="preserve"> devrait être évité, à moins que le nom botanique ou le nom commun </w:t>
      </w:r>
      <w:r w:rsidR="00213943" w:rsidRPr="00860B02">
        <w:rPr>
          <w:lang w:eastAsia="ja-JP"/>
        </w:rPr>
        <w:t>n</w:t>
      </w:r>
      <w:r w:rsidR="00905CDD" w:rsidRPr="00860B02">
        <w:rPr>
          <w:lang w:eastAsia="ja-JP"/>
        </w:rPr>
        <w:t>’</w:t>
      </w:r>
      <w:r w:rsidR="00295FA4" w:rsidRPr="00860B02">
        <w:rPr>
          <w:lang w:eastAsia="ja-JP"/>
        </w:rPr>
        <w:t xml:space="preserve">ait un sens plus large, par exemple </w:t>
      </w:r>
      <w:r w:rsidR="00752EE1" w:rsidRPr="00860B02">
        <w:rPr>
          <w:lang w:eastAsia="ja-JP"/>
        </w:rPr>
        <w:t>“</w:t>
      </w:r>
      <w:r w:rsidR="00213943" w:rsidRPr="00860B02">
        <w:rPr>
          <w:lang w:eastAsia="ja-JP"/>
        </w:rPr>
        <w:t>r</w:t>
      </w:r>
      <w:r w:rsidR="00295FA4" w:rsidRPr="00860B02">
        <w:rPr>
          <w:lang w:eastAsia="ja-JP"/>
        </w:rPr>
        <w:t>ose</w:t>
      </w:r>
      <w:r w:rsidR="00752EE1" w:rsidRPr="00860B02">
        <w:rPr>
          <w:lang w:eastAsia="ja-JP"/>
        </w:rPr>
        <w:t>”</w:t>
      </w:r>
      <w:r w:rsidR="00295FA4" w:rsidRPr="00860B02">
        <w:rPr>
          <w:lang w:eastAsia="ja-JP"/>
        </w:rPr>
        <w:t xml:space="preserve">, </w:t>
      </w:r>
      <w:r w:rsidR="00752EE1" w:rsidRPr="00860B02">
        <w:rPr>
          <w:lang w:eastAsia="ja-JP"/>
        </w:rPr>
        <w:t>“</w:t>
      </w:r>
      <w:r w:rsidR="00295FA4" w:rsidRPr="00860B02">
        <w:rPr>
          <w:lang w:eastAsia="ja-JP"/>
        </w:rPr>
        <w:t>cosmos</w:t>
      </w:r>
      <w:r w:rsidR="00752EE1" w:rsidRPr="00860B02">
        <w:rPr>
          <w:lang w:eastAsia="ja-JP"/>
        </w:rPr>
        <w:t>”</w:t>
      </w:r>
      <w:r w:rsidR="00295FA4" w:rsidRPr="00860B02">
        <w:rPr>
          <w:lang w:eastAsia="ja-JP"/>
        </w:rPr>
        <w:t xml:space="preserve">, </w:t>
      </w:r>
      <w:r w:rsidR="00752EE1" w:rsidRPr="00860B02">
        <w:rPr>
          <w:lang w:eastAsia="ja-JP"/>
        </w:rPr>
        <w:t>“</w:t>
      </w:r>
      <w:r w:rsidR="00295FA4" w:rsidRPr="00860B02">
        <w:rPr>
          <w:lang w:eastAsia="ja-JP"/>
        </w:rPr>
        <w:t>lilas</w:t>
      </w:r>
      <w:r w:rsidR="00752EE1" w:rsidRPr="00860B02">
        <w:rPr>
          <w:lang w:eastAsia="ja-JP"/>
        </w:rPr>
        <w:t>”</w:t>
      </w:r>
      <w:r w:rsidR="00295FA4" w:rsidRPr="00860B02">
        <w:rPr>
          <w:lang w:eastAsia="ja-JP"/>
        </w:rPr>
        <w:t xml:space="preserve">, </w:t>
      </w:r>
      <w:r w:rsidR="00752EE1" w:rsidRPr="00860B02">
        <w:rPr>
          <w:lang w:eastAsia="ja-JP"/>
        </w:rPr>
        <w:t>“</w:t>
      </w:r>
      <w:r w:rsidR="00295FA4" w:rsidRPr="00860B02">
        <w:rPr>
          <w:lang w:eastAsia="ja-JP"/>
        </w:rPr>
        <w:t>véronique</w:t>
      </w:r>
      <w:r w:rsidR="00752EE1" w:rsidRPr="00860B02">
        <w:rPr>
          <w:lang w:eastAsia="ja-JP"/>
        </w:rPr>
        <w:t>”</w:t>
      </w:r>
      <w:r w:rsidR="00295FA4" w:rsidRPr="00860B02">
        <w:rPr>
          <w:lang w:eastAsia="ja-JP"/>
        </w:rPr>
        <w:t xml:space="preserve"> et </w:t>
      </w:r>
      <w:r w:rsidR="00752EE1" w:rsidRPr="00860B02">
        <w:rPr>
          <w:lang w:eastAsia="ja-JP"/>
        </w:rPr>
        <w:t>“</w:t>
      </w:r>
      <w:r w:rsidR="00213943" w:rsidRPr="00860B02">
        <w:rPr>
          <w:lang w:eastAsia="ja-JP"/>
        </w:rPr>
        <w:t>bianca</w:t>
      </w:r>
      <w:r w:rsidR="00752EE1" w:rsidRPr="00860B02">
        <w:rPr>
          <w:lang w:eastAsia="ja-JP"/>
        </w:rPr>
        <w:t>”</w:t>
      </w:r>
      <w:r w:rsidR="00213943" w:rsidRPr="00860B02">
        <w:rPr>
          <w:rStyle w:val="FootnoteReference"/>
          <w:rFonts w:cs="Arial"/>
        </w:rPr>
        <w:footnoteReference w:id="24"/>
      </w:r>
      <w:r w:rsidR="00752EE1" w:rsidRPr="00860B02">
        <w:rPr>
          <w:rFonts w:cs="Arial"/>
        </w:rPr>
        <w:t>.</w:t>
      </w:r>
    </w:p>
    <w:p w:rsidR="00090AC1" w:rsidRPr="00860B02" w:rsidRDefault="00090AC1" w:rsidP="00140C66">
      <w:pPr>
        <w:rPr>
          <w:lang w:eastAsia="ja-JP"/>
        </w:rPr>
      </w:pPr>
    </w:p>
    <w:p w:rsidR="00090AC1" w:rsidRPr="00860B02" w:rsidRDefault="00090AC1" w:rsidP="00140C66">
      <w:pPr>
        <w:rPr>
          <w:lang w:eastAsia="ja-JP"/>
        </w:rPr>
      </w:pPr>
    </w:p>
    <w:p w:rsidR="00090AC1" w:rsidRPr="00860B02" w:rsidRDefault="00140C66" w:rsidP="004A6FA7">
      <w:pPr>
        <w:pStyle w:val="Heading2"/>
        <w:rPr>
          <w:rFonts w:cs="Arial"/>
          <w:lang w:val="fr-FR" w:eastAsia="ja-JP"/>
        </w:rPr>
      </w:pPr>
      <w:bookmarkStart w:id="34" w:name="_Toc427161616"/>
      <w:bookmarkStart w:id="35" w:name="_Toc432493970"/>
      <w:r w:rsidRPr="00860B02">
        <w:rPr>
          <w:lang w:val="fr-FR" w:eastAsia="ja-JP"/>
        </w:rPr>
        <w:t>Section</w:t>
      </w:r>
      <w:r w:rsidR="00752EE1" w:rsidRPr="00860B02">
        <w:rPr>
          <w:lang w:val="fr-FR" w:eastAsia="ja-JP"/>
        </w:rPr>
        <w:t> </w:t>
      </w:r>
      <w:r w:rsidRPr="00860B02">
        <w:rPr>
          <w:lang w:val="fr-FR" w:eastAsia="ja-JP"/>
        </w:rPr>
        <w:t>2.3.3</w:t>
      </w:r>
      <w:r w:rsidR="00377A2E" w:rsidRPr="00860B02">
        <w:rPr>
          <w:lang w:val="fr-FR" w:eastAsia="ja-JP"/>
        </w:rPr>
        <w:t>.</w:t>
      </w:r>
      <w:r w:rsidRPr="00860B02">
        <w:rPr>
          <w:lang w:val="fr-FR" w:eastAsia="ja-JP"/>
        </w:rPr>
        <w:t>a)</w:t>
      </w:r>
      <w:bookmarkEnd w:id="34"/>
      <w:bookmarkEnd w:id="35"/>
    </w:p>
    <w:p w:rsidR="00090AC1" w:rsidRPr="00860B02" w:rsidRDefault="00090AC1" w:rsidP="00E95D7F">
      <w:pPr>
        <w:keepNext/>
        <w:rPr>
          <w:rFonts w:cs="Arial"/>
          <w:i/>
        </w:rPr>
      </w:pPr>
    </w:p>
    <w:p w:rsidR="00090AC1" w:rsidRPr="00860B02" w:rsidRDefault="00E36D21" w:rsidP="00140C66">
      <w:pPr>
        <w:rPr>
          <w:rFonts w:cs="Arial"/>
          <w:lang w:eastAsia="ja-JP"/>
        </w:rPr>
      </w:pPr>
      <w:r>
        <w:t>33.</w:t>
      </w:r>
      <w:r w:rsidR="00140C66" w:rsidRPr="00860B02">
        <w:tab/>
      </w:r>
      <w:r w:rsidR="007F7C1C" w:rsidRPr="00860B02">
        <w:rPr>
          <w:lang w:eastAsia="ja-JP"/>
        </w:rPr>
        <w:t xml:space="preserve">Le </w:t>
      </w:r>
      <w:r w:rsidR="00140C66" w:rsidRPr="00860B02">
        <w:rPr>
          <w:lang w:eastAsia="ja-JP"/>
        </w:rPr>
        <w:t>WG</w:t>
      </w:r>
      <w:r w:rsidR="000B2679" w:rsidRPr="00860B02">
        <w:rPr>
          <w:lang w:eastAsia="ja-JP"/>
        </w:rPr>
        <w:noBreakHyphen/>
      </w:r>
      <w:r w:rsidR="00140C66" w:rsidRPr="00860B02">
        <w:rPr>
          <w:lang w:eastAsia="ja-JP"/>
        </w:rPr>
        <w:t>DST</w:t>
      </w:r>
      <w:r w:rsidR="00140C66" w:rsidRPr="00860B02">
        <w:rPr>
          <w:rFonts w:cs="Arial"/>
        </w:rPr>
        <w:t xml:space="preserve"> </w:t>
      </w:r>
      <w:r w:rsidR="00213943" w:rsidRPr="00860B02">
        <w:rPr>
          <w:rFonts w:cs="Arial"/>
          <w:lang w:eastAsia="ja-JP"/>
        </w:rPr>
        <w:t>a reconnu de la nécessité de différencier les lettres formant un mot</w:t>
      </w:r>
      <w:r w:rsidR="00140C66" w:rsidRPr="00860B02">
        <w:rPr>
          <w:rFonts w:cs="Arial"/>
        </w:rPr>
        <w:t xml:space="preserve"> </w:t>
      </w:r>
      <w:r w:rsidR="00213943" w:rsidRPr="00860B02">
        <w:rPr>
          <w:rFonts w:cs="Arial"/>
        </w:rPr>
        <w:t>des autres cas, et est convenu de ce qui suit :</w:t>
      </w:r>
    </w:p>
    <w:p w:rsidR="00090AC1" w:rsidRPr="00860B02" w:rsidRDefault="00090AC1" w:rsidP="00140C66">
      <w:pPr>
        <w:rPr>
          <w:rFonts w:cs="Arial"/>
          <w:lang w:eastAsia="ja-JP"/>
        </w:rPr>
      </w:pPr>
    </w:p>
    <w:p w:rsidR="00213943" w:rsidRPr="00860B02" w:rsidRDefault="003E5089" w:rsidP="00140C66">
      <w:pPr>
        <w:rPr>
          <w:rFonts w:cs="Arial"/>
          <w:lang w:eastAsia="ja-JP"/>
        </w:rPr>
      </w:pPr>
      <w:r w:rsidRPr="00860B02">
        <w:rPr>
          <w:rFonts w:cs="Arial"/>
        </w:rPr>
        <w:tab/>
      </w:r>
      <w:r w:rsidR="00140C66" w:rsidRPr="00860B02">
        <w:rPr>
          <w:rFonts w:cs="Arial"/>
        </w:rPr>
        <w:t>i)</w:t>
      </w:r>
      <w:r w:rsidR="00123458" w:rsidRPr="00860B02">
        <w:rPr>
          <w:rFonts w:cs="Arial"/>
        </w:rPr>
        <w:tab/>
      </w:r>
      <w:r w:rsidR="00213943" w:rsidRPr="00860B02">
        <w:rPr>
          <w:rFonts w:cs="Arial"/>
        </w:rPr>
        <w:t>dans le cas de</w:t>
      </w:r>
      <w:r w:rsidR="00140C66" w:rsidRPr="00860B02">
        <w:rPr>
          <w:rFonts w:cs="Arial"/>
        </w:rPr>
        <w:t xml:space="preserve"> d</w:t>
      </w:r>
      <w:r w:rsidR="00213943" w:rsidRPr="00860B02">
        <w:rPr>
          <w:rFonts w:cs="Arial"/>
        </w:rPr>
        <w:t>é</w:t>
      </w:r>
      <w:r w:rsidR="00140C66" w:rsidRPr="00860B02">
        <w:rPr>
          <w:rFonts w:cs="Arial"/>
        </w:rPr>
        <w:t>nominations consist</w:t>
      </w:r>
      <w:r w:rsidR="00213943" w:rsidRPr="00860B02">
        <w:rPr>
          <w:rFonts w:cs="Arial"/>
          <w:lang w:eastAsia="ja-JP"/>
        </w:rPr>
        <w:t>ant dans des lettres qui ne forment pas un mot, une différence d</w:t>
      </w:r>
      <w:r w:rsidR="00905CDD" w:rsidRPr="00860B02">
        <w:rPr>
          <w:rFonts w:cs="Arial"/>
          <w:lang w:eastAsia="ja-JP"/>
        </w:rPr>
        <w:t>’</w:t>
      </w:r>
      <w:r w:rsidR="00213943" w:rsidRPr="00860B02">
        <w:rPr>
          <w:rFonts w:cs="Arial"/>
          <w:lang w:eastAsia="ja-JP"/>
        </w:rPr>
        <w:t xml:space="preserve">une seule lettre doit être considérée comme une </w:t>
      </w:r>
      <w:r w:rsidR="00C63A01" w:rsidRPr="00860B02">
        <w:rPr>
          <w:rFonts w:cs="Arial"/>
          <w:lang w:eastAsia="ja-JP"/>
        </w:rPr>
        <w:t>différence nette</w:t>
      </w:r>
      <w:r w:rsidR="00213943" w:rsidRPr="00860B02">
        <w:rPr>
          <w:rFonts w:cs="Arial"/>
          <w:lang w:eastAsia="ja-JP"/>
        </w:rPr>
        <w:t>, des exemples devant être fournis;</w:t>
      </w:r>
    </w:p>
    <w:p w:rsidR="00213943" w:rsidRPr="00D60CEA" w:rsidRDefault="00213943" w:rsidP="00140C66">
      <w:pPr>
        <w:rPr>
          <w:rFonts w:cs="Arial"/>
          <w:sz w:val="16"/>
          <w:lang w:eastAsia="ja-JP"/>
        </w:rPr>
      </w:pPr>
    </w:p>
    <w:p w:rsidR="00090AC1" w:rsidRPr="00860B02" w:rsidRDefault="003E5089" w:rsidP="00140C66">
      <w:pPr>
        <w:rPr>
          <w:rFonts w:cs="Arial"/>
          <w:lang w:eastAsia="ja-JP"/>
        </w:rPr>
      </w:pPr>
      <w:r w:rsidRPr="00860B02">
        <w:rPr>
          <w:rFonts w:cs="Arial"/>
        </w:rPr>
        <w:tab/>
      </w:r>
      <w:r w:rsidR="00140C66" w:rsidRPr="00860B02">
        <w:rPr>
          <w:rFonts w:cs="Arial"/>
        </w:rPr>
        <w:t xml:space="preserve">ii) </w:t>
      </w:r>
      <w:r w:rsidR="008B3595" w:rsidRPr="00860B02">
        <w:rPr>
          <w:rFonts w:cs="Arial"/>
        </w:rPr>
        <w:tab/>
      </w:r>
      <w:r w:rsidR="00213943" w:rsidRPr="00860B02">
        <w:rPr>
          <w:rFonts w:cs="Arial"/>
        </w:rPr>
        <w:t>dans le cas de dénominations consist</w:t>
      </w:r>
      <w:r w:rsidR="00213943" w:rsidRPr="00860B02">
        <w:rPr>
          <w:rFonts w:cs="Arial"/>
          <w:lang w:eastAsia="ja-JP"/>
        </w:rPr>
        <w:t xml:space="preserve">ant dans des </w:t>
      </w:r>
      <w:r w:rsidR="00213943" w:rsidRPr="00860B02">
        <w:rPr>
          <w:rFonts w:cs="Arial"/>
        </w:rPr>
        <w:t>chiffres, une différence d</w:t>
      </w:r>
      <w:r w:rsidR="00905CDD" w:rsidRPr="00860B02">
        <w:rPr>
          <w:rFonts w:cs="Arial"/>
        </w:rPr>
        <w:t>’</w:t>
      </w:r>
      <w:r w:rsidR="00213943" w:rsidRPr="00860B02">
        <w:rPr>
          <w:rFonts w:cs="Arial"/>
        </w:rPr>
        <w:t xml:space="preserve">un seul chiffre </w:t>
      </w:r>
      <w:r w:rsidR="00213943" w:rsidRPr="00860B02">
        <w:rPr>
          <w:rFonts w:cs="Arial"/>
          <w:lang w:eastAsia="ja-JP"/>
        </w:rPr>
        <w:t xml:space="preserve">doit être considérée comme une </w:t>
      </w:r>
      <w:r w:rsidR="00C63A01" w:rsidRPr="00860B02">
        <w:rPr>
          <w:rFonts w:cs="Arial"/>
          <w:lang w:eastAsia="ja-JP"/>
        </w:rPr>
        <w:t>différence nette</w:t>
      </w:r>
      <w:r w:rsidR="00213943" w:rsidRPr="00860B02">
        <w:rPr>
          <w:rFonts w:cs="Arial"/>
          <w:lang w:eastAsia="ja-JP"/>
        </w:rPr>
        <w:t>, des exemples devant être fournis;</w:t>
      </w:r>
      <w:r w:rsidR="00213943" w:rsidRPr="00860B02">
        <w:rPr>
          <w:rFonts w:cs="Arial"/>
        </w:rPr>
        <w:t xml:space="preserve">  et</w:t>
      </w:r>
    </w:p>
    <w:p w:rsidR="00090AC1" w:rsidRPr="00D60CEA" w:rsidRDefault="00090AC1" w:rsidP="00140C66">
      <w:pPr>
        <w:rPr>
          <w:rFonts w:cs="Arial"/>
          <w:sz w:val="14"/>
        </w:rPr>
      </w:pPr>
    </w:p>
    <w:p w:rsidR="00090AC1" w:rsidRPr="00860B02" w:rsidRDefault="003E5089" w:rsidP="00140C66">
      <w:pPr>
        <w:rPr>
          <w:rFonts w:cs="Arial"/>
          <w:lang w:eastAsia="ja-JP"/>
        </w:rPr>
      </w:pPr>
      <w:r w:rsidRPr="00860B02">
        <w:rPr>
          <w:rFonts w:cs="Arial"/>
        </w:rPr>
        <w:tab/>
      </w:r>
      <w:r w:rsidR="00140C66" w:rsidRPr="00860B02">
        <w:rPr>
          <w:rFonts w:cs="Arial"/>
        </w:rPr>
        <w:t xml:space="preserve">iii) </w:t>
      </w:r>
      <w:r w:rsidR="00123458" w:rsidRPr="00860B02">
        <w:rPr>
          <w:rFonts w:cs="Arial"/>
        </w:rPr>
        <w:tab/>
      </w:r>
      <w:r w:rsidR="00C63A01" w:rsidRPr="00860B02">
        <w:rPr>
          <w:rFonts w:cs="Arial"/>
        </w:rPr>
        <w:t>dans le cas de dénominations consist</w:t>
      </w:r>
      <w:r w:rsidR="00C63A01" w:rsidRPr="00860B02">
        <w:rPr>
          <w:rFonts w:cs="Arial"/>
          <w:lang w:eastAsia="ja-JP"/>
        </w:rPr>
        <w:t>ant dans des chiffres et des lettres ne formant pas un mot</w:t>
      </w:r>
      <w:r w:rsidR="00140C66" w:rsidRPr="00860B02">
        <w:rPr>
          <w:rFonts w:cs="Arial"/>
          <w:lang w:eastAsia="ja-JP"/>
        </w:rPr>
        <w:t>,</w:t>
      </w:r>
      <w:r w:rsidR="00140C66" w:rsidRPr="00860B02">
        <w:rPr>
          <w:rFonts w:cs="Arial"/>
        </w:rPr>
        <w:t xml:space="preserve"> </w:t>
      </w:r>
      <w:r w:rsidR="00C63A01" w:rsidRPr="00860B02">
        <w:rPr>
          <w:rFonts w:cs="Arial"/>
          <w:lang w:eastAsia="ja-JP"/>
        </w:rPr>
        <w:t>une différence d</w:t>
      </w:r>
      <w:r w:rsidR="00905CDD" w:rsidRPr="00860B02">
        <w:rPr>
          <w:rFonts w:cs="Arial"/>
          <w:lang w:eastAsia="ja-JP"/>
        </w:rPr>
        <w:t>’</w:t>
      </w:r>
      <w:r w:rsidR="00C63A01" w:rsidRPr="00860B02">
        <w:rPr>
          <w:rFonts w:cs="Arial"/>
          <w:lang w:eastAsia="ja-JP"/>
        </w:rPr>
        <w:t>une seule lettre ou d</w:t>
      </w:r>
      <w:r w:rsidR="00905CDD" w:rsidRPr="00860B02">
        <w:rPr>
          <w:rFonts w:cs="Arial"/>
          <w:lang w:eastAsia="ja-JP"/>
        </w:rPr>
        <w:t>’</w:t>
      </w:r>
      <w:r w:rsidR="00C63A01" w:rsidRPr="00860B02">
        <w:rPr>
          <w:rFonts w:cs="Arial"/>
          <w:lang w:eastAsia="ja-JP"/>
        </w:rPr>
        <w:t>un seul chiffre doit être considérée comme une différence nette, des exemples devant être fournis</w:t>
      </w:r>
      <w:r w:rsidR="000825CE" w:rsidRPr="00860B02">
        <w:rPr>
          <w:rStyle w:val="FootnoteReference"/>
          <w:rFonts w:cs="Arial"/>
        </w:rPr>
        <w:footnoteReference w:id="25"/>
      </w:r>
      <w:r w:rsidR="00FB19DE" w:rsidRPr="00860B02">
        <w:rPr>
          <w:rFonts w:cs="Arial"/>
          <w:lang w:eastAsia="ja-JP"/>
        </w:rPr>
        <w:t>.</w:t>
      </w:r>
    </w:p>
    <w:p w:rsidR="00090AC1" w:rsidRPr="00860B02" w:rsidRDefault="00090AC1" w:rsidP="00140C66">
      <w:pPr>
        <w:rPr>
          <w:rFonts w:cs="Arial"/>
          <w:lang w:eastAsia="ja-JP"/>
        </w:rPr>
      </w:pPr>
    </w:p>
    <w:p w:rsidR="00090AC1" w:rsidRPr="00860B02" w:rsidRDefault="00E36D21" w:rsidP="00140C66">
      <w:pPr>
        <w:rPr>
          <w:rFonts w:cs="Arial"/>
          <w:lang w:eastAsia="ja-JP"/>
        </w:rPr>
      </w:pPr>
      <w:r>
        <w:t>34.</w:t>
      </w:r>
      <w:r w:rsidR="00140C66" w:rsidRPr="00860B02">
        <w:tab/>
      </w:r>
      <w:r w:rsidR="007F7C1C" w:rsidRPr="00860B02">
        <w:rPr>
          <w:lang w:eastAsia="ja-JP"/>
        </w:rPr>
        <w:t xml:space="preserve">Le </w:t>
      </w:r>
      <w:r w:rsidR="00140C66" w:rsidRPr="00860B02">
        <w:rPr>
          <w:lang w:eastAsia="ja-JP"/>
        </w:rPr>
        <w:t>WG</w:t>
      </w:r>
      <w:r w:rsidR="000B2679" w:rsidRPr="00860B02">
        <w:rPr>
          <w:lang w:eastAsia="ja-JP"/>
        </w:rPr>
        <w:noBreakHyphen/>
      </w:r>
      <w:r w:rsidR="00140C66" w:rsidRPr="00860B02">
        <w:rPr>
          <w:lang w:eastAsia="ja-JP"/>
        </w:rPr>
        <w:t>DST</w:t>
      </w:r>
      <w:r w:rsidR="00140C66" w:rsidRPr="00860B02">
        <w:rPr>
          <w:rFonts w:cs="Arial"/>
        </w:rPr>
        <w:t xml:space="preserve"> </w:t>
      </w:r>
      <w:r w:rsidR="00C63A01" w:rsidRPr="00860B02">
        <w:rPr>
          <w:rFonts w:cs="Arial"/>
          <w:lang w:eastAsia="ja-JP"/>
        </w:rPr>
        <w:t>est convenu d</w:t>
      </w:r>
      <w:r w:rsidR="00905CDD" w:rsidRPr="00860B02">
        <w:rPr>
          <w:rFonts w:cs="Arial"/>
          <w:lang w:eastAsia="ja-JP"/>
        </w:rPr>
        <w:t>’</w:t>
      </w:r>
      <w:r w:rsidR="00C63A01" w:rsidRPr="00860B02">
        <w:rPr>
          <w:rFonts w:cs="Arial"/>
          <w:lang w:eastAsia="ja-JP"/>
        </w:rPr>
        <w:t>examiner la s</w:t>
      </w:r>
      <w:r w:rsidR="00140C66" w:rsidRPr="00860B02">
        <w:rPr>
          <w:rFonts w:cs="Arial"/>
          <w:lang w:eastAsia="ja-JP"/>
        </w:rPr>
        <w:t>ection</w:t>
      </w:r>
      <w:r w:rsidR="00752EE1" w:rsidRPr="00860B02">
        <w:rPr>
          <w:rFonts w:cs="Arial"/>
          <w:lang w:eastAsia="ja-JP"/>
        </w:rPr>
        <w:t> </w:t>
      </w:r>
      <w:r w:rsidR="00140C66" w:rsidRPr="00860B02">
        <w:rPr>
          <w:rFonts w:cs="Arial"/>
          <w:lang w:eastAsia="ja-JP"/>
        </w:rPr>
        <w:t>2.3.3</w:t>
      </w:r>
      <w:r w:rsidR="00377A2E" w:rsidRPr="00860B02">
        <w:rPr>
          <w:rFonts w:cs="Arial"/>
          <w:lang w:eastAsia="ja-JP"/>
        </w:rPr>
        <w:t>.</w:t>
      </w:r>
      <w:r w:rsidR="00140C66" w:rsidRPr="00860B02">
        <w:rPr>
          <w:rFonts w:cs="Arial"/>
          <w:lang w:eastAsia="ja-JP"/>
        </w:rPr>
        <w:t xml:space="preserve">a) </w:t>
      </w:r>
      <w:r w:rsidR="00C63A01" w:rsidRPr="00860B02">
        <w:rPr>
          <w:rFonts w:cs="Arial"/>
          <w:lang w:eastAsia="ja-JP"/>
        </w:rPr>
        <w:t>plus avant à sa quatrième réunion, sur la base des</w:t>
      </w:r>
      <w:r w:rsidR="00140C66" w:rsidRPr="00860B02">
        <w:rPr>
          <w:rFonts w:cs="Arial"/>
          <w:lang w:eastAsia="ja-JP"/>
        </w:rPr>
        <w:t xml:space="preserve"> conclusions </w:t>
      </w:r>
      <w:r w:rsidR="00C63A01" w:rsidRPr="00860B02">
        <w:rPr>
          <w:rFonts w:cs="Arial"/>
          <w:lang w:eastAsia="ja-JP"/>
        </w:rPr>
        <w:t>au</w:t>
      </w:r>
      <w:r w:rsidR="002348AB" w:rsidRPr="00860B02">
        <w:rPr>
          <w:rFonts w:cs="Arial"/>
          <w:lang w:eastAsia="ja-JP"/>
        </w:rPr>
        <w:t>x</w:t>
      </w:r>
      <w:r w:rsidR="00C63A01" w:rsidRPr="00860B02">
        <w:rPr>
          <w:rFonts w:cs="Arial"/>
          <w:lang w:eastAsia="ja-JP"/>
        </w:rPr>
        <w:t>quelles</w:t>
      </w:r>
      <w:r w:rsidR="00726505" w:rsidRPr="00860B02">
        <w:rPr>
          <w:rFonts w:cs="Arial"/>
          <w:lang w:eastAsia="ja-JP"/>
        </w:rPr>
        <w:t xml:space="preserve"> le CAJ</w:t>
      </w:r>
      <w:r w:rsidR="00C63A01" w:rsidRPr="00860B02">
        <w:rPr>
          <w:rFonts w:cs="Arial"/>
          <w:lang w:eastAsia="ja-JP"/>
        </w:rPr>
        <w:t xml:space="preserve"> sera parvenu à sa soixante</w:t>
      </w:r>
      <w:r w:rsidR="000B2679" w:rsidRPr="00860B02">
        <w:rPr>
          <w:rFonts w:cs="Arial"/>
          <w:lang w:eastAsia="ja-JP"/>
        </w:rPr>
        <w:noBreakHyphen/>
      </w:r>
      <w:r w:rsidR="00C63A01" w:rsidRPr="00860B02">
        <w:rPr>
          <w:rFonts w:cs="Arial"/>
          <w:lang w:eastAsia="ja-JP"/>
        </w:rPr>
        <w:t>douzième</w:t>
      </w:r>
      <w:r w:rsidR="00752EE1" w:rsidRPr="00860B02">
        <w:rPr>
          <w:rFonts w:cs="Arial"/>
          <w:lang w:eastAsia="ja-JP"/>
        </w:rPr>
        <w:t> </w:t>
      </w:r>
      <w:r w:rsidR="00123458" w:rsidRPr="00860B02">
        <w:rPr>
          <w:rFonts w:cs="Arial"/>
          <w:lang w:eastAsia="ja-JP"/>
        </w:rPr>
        <w:t>session</w:t>
      </w:r>
      <w:r w:rsidR="00FB19DE" w:rsidRPr="00860B02">
        <w:rPr>
          <w:rStyle w:val="FootnoteReference"/>
          <w:rFonts w:cs="Arial"/>
          <w:lang w:eastAsia="ja-JP"/>
        </w:rPr>
        <w:footnoteReference w:id="26"/>
      </w:r>
      <w:r w:rsidR="00752EE1" w:rsidRPr="00860B02">
        <w:rPr>
          <w:rFonts w:cs="Arial"/>
          <w:lang w:eastAsia="ja-JP"/>
        </w:rPr>
        <w:t>,</w:t>
      </w:r>
      <w:r w:rsidR="00E040B2" w:rsidRPr="00860B02">
        <w:rPr>
          <w:rFonts w:cs="Arial"/>
          <w:lang w:eastAsia="ja-JP"/>
        </w:rPr>
        <w:t xml:space="preserve"> </w:t>
      </w:r>
      <w:r w:rsidR="00C63A01" w:rsidRPr="00860B02">
        <w:rPr>
          <w:rFonts w:cs="Arial"/>
          <w:lang w:eastAsia="ja-JP"/>
        </w:rPr>
        <w:t>à propos des propositions du</w:t>
      </w:r>
      <w:r w:rsidR="00E040B2" w:rsidRPr="00860B02">
        <w:rPr>
          <w:rFonts w:cs="Arial"/>
          <w:lang w:eastAsia="ja-JP"/>
        </w:rPr>
        <w:t xml:space="preserve"> WG</w:t>
      </w:r>
      <w:r w:rsidR="000B2679" w:rsidRPr="00860B02">
        <w:rPr>
          <w:rFonts w:cs="Arial"/>
          <w:lang w:eastAsia="ja-JP"/>
        </w:rPr>
        <w:noBreakHyphen/>
      </w:r>
      <w:r w:rsidR="00E040B2" w:rsidRPr="00860B02">
        <w:rPr>
          <w:rFonts w:cs="Arial"/>
          <w:lang w:eastAsia="ja-JP"/>
        </w:rPr>
        <w:t>DST</w:t>
      </w:r>
      <w:r w:rsidR="00B608C7" w:rsidRPr="00860B02">
        <w:rPr>
          <w:rStyle w:val="FootnoteReference"/>
          <w:rFonts w:cs="Arial"/>
          <w:lang w:eastAsia="ja-JP"/>
        </w:rPr>
        <w:footnoteReference w:id="27"/>
      </w:r>
      <w:r w:rsidR="00752EE1" w:rsidRPr="00860B02">
        <w:rPr>
          <w:rFonts w:cs="Arial"/>
          <w:lang w:eastAsia="ja-JP"/>
        </w:rPr>
        <w:t>.</w:t>
      </w:r>
    </w:p>
    <w:p w:rsidR="00090AC1" w:rsidRPr="00860B02" w:rsidRDefault="00090AC1" w:rsidP="00140C66">
      <w:pPr>
        <w:rPr>
          <w:rFonts w:cs="Arial"/>
          <w:lang w:eastAsia="ja-JP"/>
        </w:rPr>
      </w:pPr>
    </w:p>
    <w:p w:rsidR="00090AC1" w:rsidRPr="00860B02" w:rsidRDefault="00090AC1" w:rsidP="00140C66">
      <w:pPr>
        <w:rPr>
          <w:rFonts w:cs="Arial"/>
          <w:lang w:eastAsia="ja-JP"/>
        </w:rPr>
      </w:pPr>
    </w:p>
    <w:p w:rsidR="00090AC1" w:rsidRPr="00860B02" w:rsidRDefault="00004C35" w:rsidP="004A6FA7">
      <w:pPr>
        <w:pStyle w:val="Heading2"/>
        <w:rPr>
          <w:lang w:val="fr-FR" w:eastAsia="ja-JP"/>
        </w:rPr>
      </w:pPr>
      <w:bookmarkStart w:id="36" w:name="_Toc427161617"/>
      <w:bookmarkStart w:id="37" w:name="_Toc432493971"/>
      <w:r w:rsidRPr="00860B02">
        <w:rPr>
          <w:lang w:val="fr-FR" w:eastAsia="ja-JP"/>
        </w:rPr>
        <w:t>Section</w:t>
      </w:r>
      <w:r w:rsidR="00752EE1" w:rsidRPr="00860B02">
        <w:rPr>
          <w:lang w:val="fr-FR" w:eastAsia="ja-JP"/>
        </w:rPr>
        <w:t> </w:t>
      </w:r>
      <w:r w:rsidRPr="00860B02">
        <w:rPr>
          <w:lang w:val="fr-FR" w:eastAsia="ja-JP"/>
        </w:rPr>
        <w:t>2.3.</w:t>
      </w:r>
      <w:r w:rsidR="00377A2E" w:rsidRPr="00860B02">
        <w:rPr>
          <w:lang w:val="fr-FR" w:eastAsia="ja-JP"/>
        </w:rPr>
        <w:t>3.</w:t>
      </w:r>
      <w:r w:rsidRPr="00860B02">
        <w:rPr>
          <w:lang w:val="fr-FR" w:eastAsia="ja-JP"/>
        </w:rPr>
        <w:t>b)</w:t>
      </w:r>
      <w:bookmarkEnd w:id="36"/>
      <w:bookmarkEnd w:id="37"/>
    </w:p>
    <w:p w:rsidR="00090AC1" w:rsidRPr="00860B02" w:rsidRDefault="00090AC1" w:rsidP="00004C35">
      <w:pPr>
        <w:rPr>
          <w:i/>
          <w:lang w:eastAsia="ja-JP"/>
        </w:rPr>
      </w:pPr>
    </w:p>
    <w:p w:rsidR="00090AC1" w:rsidRPr="00860B02" w:rsidRDefault="00E36D21" w:rsidP="00C63A01">
      <w:pPr>
        <w:rPr>
          <w:rFonts w:cs="Arial"/>
          <w:lang w:eastAsia="ja-JP"/>
        </w:rPr>
      </w:pPr>
      <w:r>
        <w:t>35.</w:t>
      </w:r>
      <w:r w:rsidR="00004C35" w:rsidRPr="00860B02">
        <w:tab/>
      </w:r>
      <w:r w:rsidR="007F7C1C" w:rsidRPr="00860B02">
        <w:rPr>
          <w:lang w:eastAsia="ja-JP"/>
        </w:rPr>
        <w:t xml:space="preserve">Le </w:t>
      </w:r>
      <w:r w:rsidR="00004C35" w:rsidRPr="00860B02">
        <w:rPr>
          <w:lang w:eastAsia="ja-JP"/>
        </w:rPr>
        <w:t>WG</w:t>
      </w:r>
      <w:r w:rsidR="000B2679" w:rsidRPr="00860B02">
        <w:rPr>
          <w:lang w:eastAsia="ja-JP"/>
        </w:rPr>
        <w:noBreakHyphen/>
      </w:r>
      <w:r w:rsidR="00004C35" w:rsidRPr="00860B02">
        <w:rPr>
          <w:lang w:eastAsia="ja-JP"/>
        </w:rPr>
        <w:t>DST</w:t>
      </w:r>
      <w:r w:rsidR="00004C35" w:rsidRPr="00860B02">
        <w:rPr>
          <w:rFonts w:cs="Arial"/>
        </w:rPr>
        <w:t xml:space="preserve"> </w:t>
      </w:r>
      <w:r w:rsidR="00C63A01" w:rsidRPr="00860B02">
        <w:rPr>
          <w:rFonts w:cs="Arial"/>
          <w:lang w:eastAsia="ja-JP"/>
        </w:rPr>
        <w:t>est convenu de</w:t>
      </w:r>
      <w:r w:rsidR="00004C35" w:rsidRPr="00860B02">
        <w:rPr>
          <w:rFonts w:cs="Arial"/>
        </w:rPr>
        <w:t xml:space="preserve"> </w:t>
      </w:r>
      <w:r w:rsidR="00097BB4" w:rsidRPr="00860B02">
        <w:rPr>
          <w:rFonts w:cs="Arial"/>
        </w:rPr>
        <w:t>propose</w:t>
      </w:r>
      <w:r w:rsidR="00C63A01" w:rsidRPr="00860B02">
        <w:rPr>
          <w:rFonts w:cs="Arial"/>
        </w:rPr>
        <w:t>r</w:t>
      </w:r>
      <w:r w:rsidR="00097BB4" w:rsidRPr="00860B02">
        <w:rPr>
          <w:rFonts w:cs="Arial"/>
        </w:rPr>
        <w:t xml:space="preserve"> </w:t>
      </w:r>
      <w:r w:rsidR="00C63A01" w:rsidRPr="00860B02">
        <w:rPr>
          <w:rFonts w:cs="Arial"/>
        </w:rPr>
        <w:t>d</w:t>
      </w:r>
      <w:r w:rsidR="00905CDD" w:rsidRPr="00860B02">
        <w:rPr>
          <w:rFonts w:cs="Arial"/>
        </w:rPr>
        <w:t>’</w:t>
      </w:r>
      <w:r w:rsidR="00C63A01" w:rsidRPr="00860B02">
        <w:rPr>
          <w:rFonts w:cs="Arial"/>
        </w:rPr>
        <w:t>ajouter l</w:t>
      </w:r>
      <w:r w:rsidR="00905CDD" w:rsidRPr="00860B02">
        <w:rPr>
          <w:rFonts w:cs="Arial"/>
        </w:rPr>
        <w:t>’</w:t>
      </w:r>
      <w:r w:rsidR="00C63A01" w:rsidRPr="00860B02">
        <w:rPr>
          <w:rFonts w:cs="Arial"/>
        </w:rPr>
        <w:t>exemple de</w:t>
      </w:r>
      <w:r w:rsidR="00C63A01" w:rsidRPr="00860B02">
        <w:rPr>
          <w:rFonts w:cs="Arial"/>
          <w:lang w:eastAsia="ja-JP"/>
        </w:rPr>
        <w:t xml:space="preserve"> </w:t>
      </w:r>
      <w:r w:rsidR="00752EE1" w:rsidRPr="00860B02">
        <w:rPr>
          <w:rFonts w:cs="Arial"/>
          <w:lang w:eastAsia="ja-JP"/>
        </w:rPr>
        <w:t>“</w:t>
      </w:r>
      <w:r w:rsidR="00004C35" w:rsidRPr="00860B02">
        <w:rPr>
          <w:rFonts w:cs="Arial"/>
        </w:rPr>
        <w:t>Helena</w:t>
      </w:r>
      <w:r w:rsidR="00752EE1" w:rsidRPr="00860B02">
        <w:rPr>
          <w:rFonts w:cs="Arial"/>
        </w:rPr>
        <w:t>”</w:t>
      </w:r>
      <w:r w:rsidR="00C63A01" w:rsidRPr="00860B02">
        <w:rPr>
          <w:rFonts w:cs="Arial"/>
        </w:rPr>
        <w:t xml:space="preserve"> et </w:t>
      </w:r>
      <w:r w:rsidR="00752EE1" w:rsidRPr="00860B02">
        <w:rPr>
          <w:rFonts w:cs="Arial"/>
        </w:rPr>
        <w:t>“</w:t>
      </w:r>
      <w:r w:rsidR="00C63A01" w:rsidRPr="00860B02">
        <w:rPr>
          <w:rFonts w:cs="Arial"/>
        </w:rPr>
        <w:t xml:space="preserve"> </w:t>
      </w:r>
      <w:r w:rsidR="00004C35" w:rsidRPr="00860B02">
        <w:rPr>
          <w:rFonts w:cs="Arial"/>
        </w:rPr>
        <w:t>Elena</w:t>
      </w:r>
      <w:r w:rsidR="00752EE1" w:rsidRPr="00860B02">
        <w:rPr>
          <w:rFonts w:cs="Arial"/>
        </w:rPr>
        <w:t>”</w:t>
      </w:r>
      <w:r w:rsidR="00004C35" w:rsidRPr="00860B02">
        <w:rPr>
          <w:rFonts w:cs="Arial"/>
          <w:lang w:eastAsia="ja-JP"/>
        </w:rPr>
        <w:t xml:space="preserve"> </w:t>
      </w:r>
      <w:r w:rsidR="00C63A01" w:rsidRPr="00860B02">
        <w:rPr>
          <w:rFonts w:cs="Arial"/>
          <w:lang w:eastAsia="ja-JP"/>
        </w:rPr>
        <w:t>pour illustrer les cas où une différence visuelle nette n</w:t>
      </w:r>
      <w:r w:rsidR="00905CDD" w:rsidRPr="00860B02">
        <w:rPr>
          <w:rFonts w:cs="Arial"/>
          <w:lang w:eastAsia="ja-JP"/>
        </w:rPr>
        <w:t>’</w:t>
      </w:r>
      <w:r w:rsidR="00C63A01" w:rsidRPr="00860B02">
        <w:rPr>
          <w:rFonts w:cs="Arial"/>
          <w:lang w:eastAsia="ja-JP"/>
        </w:rPr>
        <w:t>implique pas une différence phonétique nette dans une langue autre que l</w:t>
      </w:r>
      <w:r w:rsidR="00905CDD" w:rsidRPr="00860B02">
        <w:rPr>
          <w:rFonts w:cs="Arial"/>
          <w:lang w:eastAsia="ja-JP"/>
        </w:rPr>
        <w:t>’</w:t>
      </w:r>
      <w:r w:rsidR="00C63A01" w:rsidRPr="00860B02">
        <w:rPr>
          <w:rFonts w:cs="Arial"/>
          <w:lang w:eastAsia="ja-JP"/>
        </w:rPr>
        <w:t>anglais (l</w:t>
      </w:r>
      <w:r w:rsidR="00905CDD" w:rsidRPr="00860B02">
        <w:rPr>
          <w:rFonts w:cs="Arial"/>
          <w:lang w:eastAsia="ja-JP"/>
        </w:rPr>
        <w:t>’</w:t>
      </w:r>
      <w:r w:rsidR="00C63A01" w:rsidRPr="00860B02">
        <w:rPr>
          <w:rFonts w:cs="Arial"/>
          <w:lang w:eastAsia="ja-JP"/>
        </w:rPr>
        <w:t>espagnol)</w:t>
      </w:r>
      <w:r w:rsidR="000825CE" w:rsidRPr="00860B02">
        <w:rPr>
          <w:rStyle w:val="FootnoteReference"/>
          <w:rFonts w:cs="Arial"/>
          <w:lang w:eastAsia="ja-JP"/>
        </w:rPr>
        <w:footnoteReference w:id="28"/>
      </w:r>
      <w:r w:rsidR="00752EE1" w:rsidRPr="00860B02">
        <w:rPr>
          <w:rFonts w:cs="Arial"/>
          <w:lang w:eastAsia="ja-JP"/>
        </w:rPr>
        <w:t>.</w:t>
      </w:r>
    </w:p>
    <w:p w:rsidR="00090AC1" w:rsidRPr="00860B02" w:rsidRDefault="00090AC1" w:rsidP="00004C35">
      <w:pPr>
        <w:rPr>
          <w:lang w:eastAsia="ja-JP"/>
        </w:rPr>
      </w:pPr>
    </w:p>
    <w:p w:rsidR="00C63A01" w:rsidRPr="00860B02" w:rsidRDefault="00E36D21" w:rsidP="00140C66">
      <w:pPr>
        <w:rPr>
          <w:lang w:eastAsia="ja-JP"/>
        </w:rPr>
      </w:pPr>
      <w:r>
        <w:t>36.</w:t>
      </w:r>
      <w:r w:rsidR="00004C35" w:rsidRPr="00860B02">
        <w:tab/>
      </w:r>
      <w:r w:rsidR="007F7C1C" w:rsidRPr="00860B02">
        <w:rPr>
          <w:lang w:eastAsia="ja-JP"/>
        </w:rPr>
        <w:t xml:space="preserve">Le </w:t>
      </w:r>
      <w:r w:rsidR="00004C35" w:rsidRPr="00860B02">
        <w:rPr>
          <w:lang w:eastAsia="ja-JP"/>
        </w:rPr>
        <w:t>WG</w:t>
      </w:r>
      <w:r w:rsidR="000B2679" w:rsidRPr="00860B02">
        <w:rPr>
          <w:lang w:eastAsia="ja-JP"/>
        </w:rPr>
        <w:noBreakHyphen/>
      </w:r>
      <w:r w:rsidR="00004C35" w:rsidRPr="00860B02">
        <w:rPr>
          <w:lang w:eastAsia="ja-JP"/>
        </w:rPr>
        <w:t>DST</w:t>
      </w:r>
      <w:r w:rsidR="00004C35" w:rsidRPr="00860B02">
        <w:rPr>
          <w:rFonts w:cs="Arial"/>
        </w:rPr>
        <w:t xml:space="preserve"> </w:t>
      </w:r>
      <w:r w:rsidR="00C63A01" w:rsidRPr="00860B02">
        <w:rPr>
          <w:rFonts w:cs="Arial"/>
          <w:lang w:eastAsia="ja-JP"/>
        </w:rPr>
        <w:t xml:space="preserve">a rappelé </w:t>
      </w:r>
      <w:r w:rsidR="00C63A01" w:rsidRPr="00860B02">
        <w:rPr>
          <w:lang w:eastAsia="ja-JP"/>
        </w:rPr>
        <w:t>que l</w:t>
      </w:r>
      <w:r w:rsidR="00905CDD" w:rsidRPr="00860B02">
        <w:rPr>
          <w:lang w:eastAsia="ja-JP"/>
        </w:rPr>
        <w:t>’</w:t>
      </w:r>
      <w:r w:rsidR="00C63A01" w:rsidRPr="00860B02">
        <w:rPr>
          <w:lang w:eastAsia="ja-JP"/>
        </w:rPr>
        <w:t>acceptabilité des dé</w:t>
      </w:r>
      <w:r w:rsidR="00004C35" w:rsidRPr="00860B02">
        <w:rPr>
          <w:lang w:eastAsia="ja-JP"/>
        </w:rPr>
        <w:t xml:space="preserve">nominations </w:t>
      </w:r>
      <w:r w:rsidR="00C63A01" w:rsidRPr="00860B02">
        <w:rPr>
          <w:lang w:eastAsia="ja-JP"/>
        </w:rPr>
        <w:t xml:space="preserve">serait examinée </w:t>
      </w:r>
      <w:r w:rsidR="00884D89" w:rsidRPr="00860B02">
        <w:rPr>
          <w:lang w:eastAsia="ja-JP"/>
        </w:rPr>
        <w:t>selon</w:t>
      </w:r>
      <w:r w:rsidR="00C63A01" w:rsidRPr="00860B02">
        <w:rPr>
          <w:lang w:eastAsia="ja-JP"/>
        </w:rPr>
        <w:t xml:space="preserve"> l</w:t>
      </w:r>
      <w:r w:rsidR="00905CDD" w:rsidRPr="00860B02">
        <w:rPr>
          <w:lang w:eastAsia="ja-JP"/>
        </w:rPr>
        <w:t>’</w:t>
      </w:r>
      <w:r w:rsidR="00C63A01" w:rsidRPr="00860B02">
        <w:rPr>
          <w:lang w:eastAsia="ja-JP"/>
        </w:rPr>
        <w:t xml:space="preserve">alphabet original du territoire concerné, et que les transcriptions ou translittérations ne seraient pas prises en considération à des fins de recherche de </w:t>
      </w:r>
      <w:r w:rsidR="00D666FA" w:rsidRPr="00860B02">
        <w:rPr>
          <w:lang w:eastAsia="ja-JP"/>
        </w:rPr>
        <w:t>similitudes</w:t>
      </w:r>
      <w:r w:rsidR="00C63A01" w:rsidRPr="00860B02">
        <w:rPr>
          <w:lang w:eastAsia="ja-JP"/>
        </w:rPr>
        <w:t>.</w:t>
      </w:r>
      <w:r w:rsidR="00734752" w:rsidRPr="00860B02">
        <w:rPr>
          <w:lang w:eastAsia="ja-JP"/>
        </w:rPr>
        <w:t xml:space="preserve"> </w:t>
      </w:r>
      <w:r w:rsidR="00C63A01" w:rsidRPr="00860B02">
        <w:rPr>
          <w:lang w:eastAsia="ja-JP"/>
        </w:rPr>
        <w:t xml:space="preserve"> Sur cette base, le GW</w:t>
      </w:r>
      <w:r w:rsidR="000B2679" w:rsidRPr="00860B02">
        <w:rPr>
          <w:lang w:eastAsia="ja-JP"/>
        </w:rPr>
        <w:noBreakHyphen/>
      </w:r>
      <w:r w:rsidR="00C63A01" w:rsidRPr="00860B02">
        <w:rPr>
          <w:lang w:eastAsia="ja-JP"/>
        </w:rPr>
        <w:t>DST est convenu de proposer la suppression de l</w:t>
      </w:r>
      <w:r w:rsidR="00905CDD" w:rsidRPr="00860B02">
        <w:rPr>
          <w:lang w:eastAsia="ja-JP"/>
        </w:rPr>
        <w:t>’</w:t>
      </w:r>
      <w:r w:rsidR="00C63A01" w:rsidRPr="00860B02">
        <w:rPr>
          <w:lang w:eastAsia="ja-JP"/>
        </w:rPr>
        <w:t xml:space="preserve">exemple </w:t>
      </w:r>
      <w:r w:rsidR="00752EE1" w:rsidRPr="00860B02">
        <w:rPr>
          <w:lang w:eastAsia="ja-JP"/>
        </w:rPr>
        <w:t>“</w:t>
      </w:r>
      <w:r w:rsidR="00C63A01" w:rsidRPr="00860B02">
        <w:rPr>
          <w:lang w:eastAsia="ja-JP"/>
        </w:rPr>
        <w:t>Raion</w:t>
      </w:r>
      <w:r w:rsidR="00752EE1" w:rsidRPr="00860B02">
        <w:rPr>
          <w:lang w:eastAsia="ja-JP"/>
        </w:rPr>
        <w:t>”</w:t>
      </w:r>
      <w:r w:rsidR="00C63A01" w:rsidRPr="00860B02">
        <w:rPr>
          <w:lang w:eastAsia="ja-JP"/>
        </w:rPr>
        <w:t xml:space="preserve"> et </w:t>
      </w:r>
      <w:r w:rsidR="00752EE1" w:rsidRPr="00860B02">
        <w:rPr>
          <w:lang w:eastAsia="ja-JP"/>
        </w:rPr>
        <w:t>“</w:t>
      </w:r>
      <w:r w:rsidR="00C63A01" w:rsidRPr="00860B02">
        <w:rPr>
          <w:lang w:eastAsia="ja-JP"/>
        </w:rPr>
        <w:t>Lion</w:t>
      </w:r>
      <w:r w:rsidR="00752EE1" w:rsidRPr="00860B02">
        <w:rPr>
          <w:lang w:eastAsia="ja-JP"/>
        </w:rPr>
        <w:t>”</w:t>
      </w:r>
      <w:r w:rsidR="00082642" w:rsidRPr="00860B02">
        <w:rPr>
          <w:lang w:eastAsia="ja-JP"/>
        </w:rPr>
        <w:t xml:space="preserve"> parce qu</w:t>
      </w:r>
      <w:r w:rsidR="00905CDD" w:rsidRPr="00860B02">
        <w:rPr>
          <w:lang w:eastAsia="ja-JP"/>
        </w:rPr>
        <w:t>’</w:t>
      </w:r>
      <w:r w:rsidR="00082642" w:rsidRPr="00860B02">
        <w:rPr>
          <w:lang w:eastAsia="ja-JP"/>
        </w:rPr>
        <w:t>il ne peut y avoir de confusion entre les deux</w:t>
      </w:r>
      <w:r w:rsidR="00752EE1" w:rsidRPr="00860B02">
        <w:rPr>
          <w:lang w:eastAsia="ja-JP"/>
        </w:rPr>
        <w:t> </w:t>
      </w:r>
      <w:r w:rsidR="00082642" w:rsidRPr="00860B02">
        <w:rPr>
          <w:lang w:eastAsia="ja-JP"/>
        </w:rPr>
        <w:t>termes dans l</w:t>
      </w:r>
      <w:r w:rsidR="00905CDD" w:rsidRPr="00860B02">
        <w:rPr>
          <w:lang w:eastAsia="ja-JP"/>
        </w:rPr>
        <w:t>’</w:t>
      </w:r>
      <w:r w:rsidR="00082642" w:rsidRPr="00860B02">
        <w:rPr>
          <w:lang w:eastAsia="ja-JP"/>
        </w:rPr>
        <w:t>alphabet romain</w:t>
      </w:r>
      <w:r w:rsidR="00082642" w:rsidRPr="00860B02">
        <w:rPr>
          <w:rStyle w:val="FootnoteReference"/>
          <w:lang w:eastAsia="ja-JP"/>
        </w:rPr>
        <w:footnoteReference w:id="29"/>
      </w:r>
      <w:r w:rsidR="00752EE1" w:rsidRPr="00860B02">
        <w:rPr>
          <w:lang w:eastAsia="ja-JP"/>
        </w:rPr>
        <w:t>.</w:t>
      </w:r>
    </w:p>
    <w:p w:rsidR="00090AC1" w:rsidRPr="00860B02" w:rsidRDefault="00377A2E" w:rsidP="004A6FA7">
      <w:pPr>
        <w:pStyle w:val="Heading2"/>
        <w:rPr>
          <w:lang w:val="fr-FR" w:eastAsia="ja-JP"/>
        </w:rPr>
      </w:pPr>
      <w:bookmarkStart w:id="38" w:name="_Toc427161618"/>
      <w:bookmarkStart w:id="39" w:name="_Toc432493972"/>
      <w:r w:rsidRPr="00860B02">
        <w:rPr>
          <w:lang w:val="fr-FR" w:eastAsia="ja-JP"/>
        </w:rPr>
        <w:lastRenderedPageBreak/>
        <w:t>Section</w:t>
      </w:r>
      <w:r w:rsidR="00752EE1" w:rsidRPr="00860B02">
        <w:rPr>
          <w:lang w:val="fr-FR" w:eastAsia="ja-JP"/>
        </w:rPr>
        <w:t> </w:t>
      </w:r>
      <w:r w:rsidRPr="00860B02">
        <w:rPr>
          <w:lang w:val="fr-FR" w:eastAsia="ja-JP"/>
        </w:rPr>
        <w:t>2.3.3.</w:t>
      </w:r>
      <w:r w:rsidR="00BF29F6" w:rsidRPr="00860B02">
        <w:rPr>
          <w:lang w:val="fr-FR" w:eastAsia="ja-JP"/>
        </w:rPr>
        <w:t>d)</w:t>
      </w:r>
      <w:bookmarkEnd w:id="38"/>
      <w:bookmarkEnd w:id="39"/>
    </w:p>
    <w:p w:rsidR="00090AC1" w:rsidRPr="00860B02" w:rsidRDefault="00090AC1" w:rsidP="002E04ED">
      <w:pPr>
        <w:keepNext/>
        <w:rPr>
          <w:lang w:eastAsia="ja-JP"/>
        </w:rPr>
      </w:pPr>
    </w:p>
    <w:p w:rsidR="00884D89" w:rsidRPr="00860B02" w:rsidRDefault="00E36D21" w:rsidP="00524589">
      <w:pPr>
        <w:spacing w:after="240"/>
        <w:rPr>
          <w:lang w:eastAsia="ja-JP"/>
        </w:rPr>
      </w:pPr>
      <w:r>
        <w:t>37.</w:t>
      </w:r>
      <w:r w:rsidR="00BF29F6" w:rsidRPr="00860B02">
        <w:tab/>
      </w:r>
      <w:r w:rsidR="007F7C1C" w:rsidRPr="00860B02">
        <w:rPr>
          <w:lang w:eastAsia="ja-JP"/>
        </w:rPr>
        <w:t xml:space="preserve">Le </w:t>
      </w:r>
      <w:r w:rsidR="00BF29F6" w:rsidRPr="00860B02">
        <w:rPr>
          <w:lang w:eastAsia="ja-JP"/>
        </w:rPr>
        <w:t>WG</w:t>
      </w:r>
      <w:r w:rsidR="000B2679" w:rsidRPr="00860B02">
        <w:rPr>
          <w:lang w:eastAsia="ja-JP"/>
        </w:rPr>
        <w:noBreakHyphen/>
      </w:r>
      <w:r w:rsidR="00BF29F6" w:rsidRPr="00860B02">
        <w:rPr>
          <w:lang w:eastAsia="ja-JP"/>
        </w:rPr>
        <w:t xml:space="preserve">DST </w:t>
      </w:r>
      <w:r w:rsidR="00884D89" w:rsidRPr="00860B02">
        <w:rPr>
          <w:lang w:eastAsia="ja-JP"/>
        </w:rPr>
        <w:t>est convenu de recommander d</w:t>
      </w:r>
      <w:r w:rsidR="00905CDD" w:rsidRPr="00860B02">
        <w:rPr>
          <w:lang w:eastAsia="ja-JP"/>
        </w:rPr>
        <w:t>’</w:t>
      </w:r>
      <w:r w:rsidR="00884D89" w:rsidRPr="00860B02">
        <w:rPr>
          <w:lang w:eastAsia="ja-JP"/>
        </w:rPr>
        <w:t>étudier la possibilité d</w:t>
      </w:r>
      <w:r w:rsidR="00905CDD" w:rsidRPr="00860B02">
        <w:rPr>
          <w:lang w:eastAsia="ja-JP"/>
        </w:rPr>
        <w:t>’</w:t>
      </w:r>
      <w:r w:rsidR="00884D89" w:rsidRPr="00860B02">
        <w:rPr>
          <w:lang w:eastAsia="ja-JP"/>
        </w:rPr>
        <w:t>éviter dans tous les cas de réutiliser des dénominations</w:t>
      </w:r>
      <w:r w:rsidR="00F603E6" w:rsidRPr="00860B02">
        <w:rPr>
          <w:lang w:eastAsia="ja-JP"/>
        </w:rPr>
        <w:t xml:space="preserve"> de variétés </w:t>
      </w:r>
      <w:r w:rsidR="00F603E6" w:rsidRPr="00860B02">
        <w:rPr>
          <w:rFonts w:cs="Arial"/>
          <w:lang w:eastAsia="ja-JP"/>
        </w:rPr>
        <w:t>(</w:t>
      </w:r>
      <w:r w:rsidR="00F603E6" w:rsidRPr="00860B02">
        <w:rPr>
          <w:lang w:eastAsia="ja-JP"/>
        </w:rPr>
        <w:t>c</w:t>
      </w:r>
      <w:r w:rsidR="00905CDD" w:rsidRPr="00860B02">
        <w:rPr>
          <w:lang w:eastAsia="ja-JP"/>
        </w:rPr>
        <w:t>’</w:t>
      </w:r>
      <w:r w:rsidR="00F603E6" w:rsidRPr="00860B02">
        <w:rPr>
          <w:lang w:eastAsia="ja-JP"/>
        </w:rPr>
        <w:t>est</w:t>
      </w:r>
      <w:r w:rsidR="000B2679" w:rsidRPr="00860B02">
        <w:rPr>
          <w:lang w:eastAsia="ja-JP"/>
        </w:rPr>
        <w:noBreakHyphen/>
      </w:r>
      <w:r w:rsidR="00F603E6" w:rsidRPr="00860B02">
        <w:rPr>
          <w:lang w:eastAsia="ja-JP"/>
        </w:rPr>
        <w:t>à</w:t>
      </w:r>
      <w:r w:rsidR="000B2679" w:rsidRPr="00860B02">
        <w:rPr>
          <w:lang w:eastAsia="ja-JP"/>
        </w:rPr>
        <w:noBreakHyphen/>
      </w:r>
      <w:r w:rsidR="00F603E6" w:rsidRPr="00860B02">
        <w:rPr>
          <w:lang w:eastAsia="ja-JP"/>
        </w:rPr>
        <w:t xml:space="preserve">dire des ensembles végétaux répondant à la définition de </w:t>
      </w:r>
      <w:r w:rsidR="00752EE1" w:rsidRPr="00860B02">
        <w:rPr>
          <w:lang w:eastAsia="ja-JP"/>
        </w:rPr>
        <w:t>“</w:t>
      </w:r>
      <w:r w:rsidR="00F603E6" w:rsidRPr="00860B02">
        <w:rPr>
          <w:lang w:eastAsia="ja-JP"/>
        </w:rPr>
        <w:t>variété</w:t>
      </w:r>
      <w:r w:rsidR="00752EE1" w:rsidRPr="00860B02">
        <w:rPr>
          <w:lang w:eastAsia="ja-JP"/>
        </w:rPr>
        <w:t>”</w:t>
      </w:r>
      <w:r w:rsidR="00F603E6" w:rsidRPr="00860B02">
        <w:rPr>
          <w:lang w:eastAsia="ja-JP"/>
        </w:rPr>
        <w:t xml:space="preserve"> donnée dans l</w:t>
      </w:r>
      <w:r w:rsidR="00905CDD" w:rsidRPr="00860B02">
        <w:rPr>
          <w:lang w:eastAsia="ja-JP"/>
        </w:rPr>
        <w:t>’</w:t>
      </w:r>
      <w:r w:rsidR="00F603E6" w:rsidRPr="00860B02">
        <w:rPr>
          <w:lang w:eastAsia="ja-JP"/>
        </w:rPr>
        <w:t>article</w:t>
      </w:r>
      <w:r w:rsidR="00752EE1" w:rsidRPr="00860B02">
        <w:rPr>
          <w:lang w:eastAsia="ja-JP"/>
        </w:rPr>
        <w:t> </w:t>
      </w:r>
      <w:r w:rsidR="008B3595" w:rsidRPr="00860B02">
        <w:rPr>
          <w:lang w:eastAsia="ja-JP"/>
        </w:rPr>
        <w:t>1</w:t>
      </w:r>
      <w:r w:rsidR="004A6FA7" w:rsidRPr="00860B02">
        <w:rPr>
          <w:lang w:eastAsia="ja-JP"/>
        </w:rPr>
        <w:t>.</w:t>
      </w:r>
      <w:r w:rsidR="00F603E6" w:rsidRPr="00860B02">
        <w:rPr>
          <w:lang w:eastAsia="ja-JP"/>
        </w:rPr>
        <w:t>vi) de l</w:t>
      </w:r>
      <w:r w:rsidR="00905CDD" w:rsidRPr="00860B02">
        <w:rPr>
          <w:lang w:eastAsia="ja-JP"/>
        </w:rPr>
        <w:t>’</w:t>
      </w:r>
      <w:r w:rsidR="00F603E6" w:rsidRPr="00860B02">
        <w:rPr>
          <w:lang w:eastAsia="ja-JP"/>
        </w:rPr>
        <w:t>Acte de</w:t>
      </w:r>
      <w:r w:rsidR="00752EE1" w:rsidRPr="00860B02">
        <w:rPr>
          <w:lang w:eastAsia="ja-JP"/>
        </w:rPr>
        <w:t> </w:t>
      </w:r>
      <w:r w:rsidR="00F603E6" w:rsidRPr="00860B02">
        <w:rPr>
          <w:lang w:eastAsia="ja-JP"/>
        </w:rPr>
        <w:t>1991) et</w:t>
      </w:r>
      <w:r w:rsidR="00734752" w:rsidRPr="00860B02">
        <w:rPr>
          <w:lang w:eastAsia="ja-JP"/>
        </w:rPr>
        <w:t>,</w:t>
      </w:r>
      <w:r w:rsidR="00F603E6" w:rsidRPr="00860B02">
        <w:rPr>
          <w:lang w:eastAsia="ja-JP"/>
        </w:rPr>
        <w:t xml:space="preserve"> en outre</w:t>
      </w:r>
      <w:r w:rsidR="00734752" w:rsidRPr="00860B02">
        <w:rPr>
          <w:lang w:eastAsia="ja-JP"/>
        </w:rPr>
        <w:t>,</w:t>
      </w:r>
      <w:r w:rsidR="00F603E6" w:rsidRPr="00860B02">
        <w:rPr>
          <w:lang w:eastAsia="ja-JP"/>
        </w:rPr>
        <w:t xml:space="preserve"> d</w:t>
      </w:r>
      <w:r w:rsidR="00905CDD" w:rsidRPr="00860B02">
        <w:rPr>
          <w:lang w:eastAsia="ja-JP"/>
        </w:rPr>
        <w:t>’</w:t>
      </w:r>
      <w:r w:rsidR="00F603E6" w:rsidRPr="00860B02">
        <w:rPr>
          <w:lang w:eastAsia="ja-JP"/>
        </w:rPr>
        <w:t xml:space="preserve">étendre le contenu de la base de données PLUTO à toutes les variétés, </w:t>
      </w:r>
      <w:r w:rsidR="00905CDD" w:rsidRPr="00860B02">
        <w:rPr>
          <w:lang w:eastAsia="ja-JP"/>
        </w:rPr>
        <w:t>y compris</w:t>
      </w:r>
      <w:r w:rsidR="00F603E6" w:rsidRPr="00860B02">
        <w:rPr>
          <w:lang w:eastAsia="ja-JP"/>
        </w:rPr>
        <w:t xml:space="preserve"> celles qui n</w:t>
      </w:r>
      <w:r w:rsidR="00905CDD" w:rsidRPr="00860B02">
        <w:rPr>
          <w:lang w:eastAsia="ja-JP"/>
        </w:rPr>
        <w:t>’</w:t>
      </w:r>
      <w:r w:rsidR="00F603E6" w:rsidRPr="00860B02">
        <w:rPr>
          <w:lang w:eastAsia="ja-JP"/>
        </w:rPr>
        <w:t>ont pas été ou ne sont plus enregistrées ou protégées</w:t>
      </w:r>
      <w:r w:rsidR="00F603E6" w:rsidRPr="00860B02">
        <w:rPr>
          <w:rStyle w:val="FootnoteReference"/>
          <w:rFonts w:cs="Arial"/>
          <w:lang w:eastAsia="ja-JP"/>
        </w:rPr>
        <w:footnoteReference w:id="30"/>
      </w:r>
      <w:r w:rsidR="00752EE1" w:rsidRPr="00860B02">
        <w:rPr>
          <w:rFonts w:cs="Arial"/>
          <w:lang w:eastAsia="ja-JP"/>
        </w:rPr>
        <w:t>.</w:t>
      </w:r>
    </w:p>
    <w:p w:rsidR="00090AC1" w:rsidRPr="00860B02" w:rsidRDefault="00E36D21" w:rsidP="00BF29F6">
      <w:pPr>
        <w:rPr>
          <w:rFonts w:cs="Arial"/>
          <w:lang w:eastAsia="ja-JP"/>
        </w:rPr>
      </w:pPr>
      <w:r>
        <w:t>38.</w:t>
      </w:r>
      <w:r w:rsidR="001449AB" w:rsidRPr="00860B02">
        <w:tab/>
      </w:r>
      <w:r w:rsidR="00F603E6" w:rsidRPr="00860B02">
        <w:rPr>
          <w:lang w:eastAsia="ja-JP"/>
        </w:rPr>
        <w:t>La proposition faite par le</w:t>
      </w:r>
      <w:r w:rsidR="005249F3" w:rsidRPr="00860B02">
        <w:rPr>
          <w:lang w:eastAsia="ja-JP"/>
        </w:rPr>
        <w:t xml:space="preserve"> </w:t>
      </w:r>
      <w:r w:rsidR="001449AB" w:rsidRPr="00860B02">
        <w:rPr>
          <w:lang w:eastAsia="ja-JP"/>
        </w:rPr>
        <w:t>WG</w:t>
      </w:r>
      <w:r w:rsidR="000B2679" w:rsidRPr="00860B02">
        <w:rPr>
          <w:lang w:eastAsia="ja-JP"/>
        </w:rPr>
        <w:noBreakHyphen/>
      </w:r>
      <w:r w:rsidR="001449AB" w:rsidRPr="00860B02">
        <w:rPr>
          <w:lang w:eastAsia="ja-JP"/>
        </w:rPr>
        <w:t>DST</w:t>
      </w:r>
      <w:r w:rsidR="00F603E6" w:rsidRPr="00860B02">
        <w:rPr>
          <w:lang w:eastAsia="ja-JP"/>
        </w:rPr>
        <w:t xml:space="preserve"> d</w:t>
      </w:r>
      <w:r w:rsidR="00905CDD" w:rsidRPr="00860B02">
        <w:rPr>
          <w:lang w:eastAsia="ja-JP"/>
        </w:rPr>
        <w:t>’</w:t>
      </w:r>
      <w:r w:rsidR="00F603E6" w:rsidRPr="00860B02">
        <w:rPr>
          <w:lang w:eastAsia="ja-JP"/>
        </w:rPr>
        <w:t>élargir le contenu de la base de données</w:t>
      </w:r>
      <w:r w:rsidR="001449AB" w:rsidRPr="00860B02">
        <w:rPr>
          <w:rFonts w:cs="Arial"/>
        </w:rPr>
        <w:t xml:space="preserve"> PLUTO </w:t>
      </w:r>
      <w:r w:rsidR="00F603E6" w:rsidRPr="00860B02">
        <w:rPr>
          <w:rFonts w:cs="Arial"/>
        </w:rPr>
        <w:t>à l</w:t>
      </w:r>
      <w:r w:rsidR="00905CDD" w:rsidRPr="00860B02">
        <w:rPr>
          <w:rFonts w:cs="Arial"/>
        </w:rPr>
        <w:t>’</w:t>
      </w:r>
      <w:r w:rsidR="00F603E6" w:rsidRPr="00860B02">
        <w:rPr>
          <w:rFonts w:cs="Arial"/>
        </w:rPr>
        <w:t xml:space="preserve">ensemble des variétés reconnues, </w:t>
      </w:r>
      <w:r w:rsidR="00905CDD" w:rsidRPr="00860B02">
        <w:rPr>
          <w:rFonts w:cs="Arial"/>
        </w:rPr>
        <w:t>y compris</w:t>
      </w:r>
      <w:r w:rsidR="00F603E6" w:rsidRPr="00860B02">
        <w:rPr>
          <w:lang w:eastAsia="ja-JP"/>
        </w:rPr>
        <w:t xml:space="preserve"> celles qui n</w:t>
      </w:r>
      <w:r w:rsidR="00905CDD" w:rsidRPr="00860B02">
        <w:rPr>
          <w:lang w:eastAsia="ja-JP"/>
        </w:rPr>
        <w:t>’</w:t>
      </w:r>
      <w:r w:rsidR="00F603E6" w:rsidRPr="00860B02">
        <w:rPr>
          <w:lang w:eastAsia="ja-JP"/>
        </w:rPr>
        <w:t>ont pas été ou ne sont plus enregistrées ou protégées, est examinée dans le</w:t>
      </w:r>
      <w:r w:rsidR="00123458" w:rsidRPr="00860B02">
        <w:rPr>
          <w:rFonts w:cs="Arial"/>
          <w:lang w:eastAsia="ja-JP"/>
        </w:rPr>
        <w:t xml:space="preserve"> </w:t>
      </w:r>
      <w:r w:rsidR="00B4796C" w:rsidRPr="00860B02">
        <w:rPr>
          <w:rFonts w:cs="Arial"/>
          <w:lang w:eastAsia="ja-JP"/>
        </w:rPr>
        <w:t xml:space="preserve">document CAJ/72/6 </w:t>
      </w:r>
      <w:r w:rsidR="00752EE1" w:rsidRPr="00860B02">
        <w:rPr>
          <w:lang w:eastAsia="ja-JP"/>
        </w:rPr>
        <w:t>“</w:t>
      </w:r>
      <w:r w:rsidR="00B4796C" w:rsidRPr="00860B02">
        <w:t>Bases de données d</w:t>
      </w:r>
      <w:r w:rsidR="00905CDD" w:rsidRPr="00860B02">
        <w:t>’</w:t>
      </w:r>
      <w:r w:rsidR="00B4796C" w:rsidRPr="00860B02">
        <w:t>information de l</w:t>
      </w:r>
      <w:r w:rsidR="00905CDD" w:rsidRPr="00860B02">
        <w:t>’</w:t>
      </w:r>
      <w:r w:rsidR="00B4796C" w:rsidRPr="00860B02">
        <w:t>UPOV</w:t>
      </w:r>
      <w:r w:rsidR="00752EE1" w:rsidRPr="00860B02">
        <w:rPr>
          <w:lang w:eastAsia="ja-JP"/>
        </w:rPr>
        <w:t>”</w:t>
      </w:r>
      <w:r w:rsidR="005249F3" w:rsidRPr="00860B02">
        <w:rPr>
          <w:rFonts w:cs="Arial"/>
          <w:lang w:eastAsia="ja-JP"/>
        </w:rPr>
        <w:t>.</w:t>
      </w:r>
    </w:p>
    <w:p w:rsidR="00090AC1" w:rsidRPr="00860B02" w:rsidRDefault="00090AC1" w:rsidP="00BF29F6">
      <w:pPr>
        <w:rPr>
          <w:lang w:eastAsia="ja-JP"/>
        </w:rPr>
      </w:pPr>
    </w:p>
    <w:p w:rsidR="00090AC1" w:rsidRPr="00860B02" w:rsidRDefault="00E36D21" w:rsidP="002E23EA">
      <w:pPr>
        <w:pStyle w:val="DecisionParagraphs"/>
        <w:keepLines/>
        <w:rPr>
          <w:iCs/>
        </w:rPr>
      </w:pPr>
      <w:r>
        <w:t>39.</w:t>
      </w:r>
      <w:r w:rsidR="00532FB6" w:rsidRPr="00860B02">
        <w:tab/>
      </w:r>
      <w:r w:rsidR="002E23EA" w:rsidRPr="00860B02">
        <w:t>Le CAJ est invité</w:t>
      </w:r>
    </w:p>
    <w:p w:rsidR="00090AC1" w:rsidRPr="00860B02" w:rsidRDefault="00090AC1" w:rsidP="003C7F21">
      <w:pPr>
        <w:pStyle w:val="DecisionParagraphs"/>
        <w:keepLines/>
        <w:rPr>
          <w:iCs/>
        </w:rPr>
      </w:pPr>
    </w:p>
    <w:p w:rsidR="00090AC1" w:rsidRPr="00860B02" w:rsidRDefault="0006681D" w:rsidP="00FF1931">
      <w:pPr>
        <w:pStyle w:val="DecisionParagraphs"/>
        <w:keepLines/>
        <w:tabs>
          <w:tab w:val="left" w:pos="5954"/>
        </w:tabs>
        <w:rPr>
          <w:lang w:eastAsia="ja-JP"/>
        </w:rPr>
      </w:pPr>
      <w:r w:rsidRPr="00860B02">
        <w:rPr>
          <w:iCs/>
        </w:rPr>
        <w:tab/>
      </w:r>
      <w:r w:rsidR="00AA2C2B" w:rsidRPr="00860B02">
        <w:rPr>
          <w:iCs/>
        </w:rPr>
        <w:t>a)</w:t>
      </w:r>
      <w:r w:rsidR="00FF1931" w:rsidRPr="00860B02">
        <w:rPr>
          <w:iCs/>
          <w:lang w:eastAsia="ja-JP"/>
        </w:rPr>
        <w:tab/>
      </w:r>
      <w:r w:rsidR="00B4796C" w:rsidRPr="00860B02">
        <w:rPr>
          <w:rFonts w:cs="Arial"/>
        </w:rPr>
        <w:t xml:space="preserve">à procéder à un premier examen des propositions présentées par le </w:t>
      </w:r>
      <w:r w:rsidR="00AA2C2B" w:rsidRPr="00860B02">
        <w:rPr>
          <w:rFonts w:cs="Arial"/>
        </w:rPr>
        <w:t>WG</w:t>
      </w:r>
      <w:r w:rsidR="000B2679" w:rsidRPr="00860B02">
        <w:rPr>
          <w:rFonts w:cs="Arial"/>
        </w:rPr>
        <w:noBreakHyphen/>
      </w:r>
      <w:r w:rsidR="00AA2C2B" w:rsidRPr="00860B02">
        <w:rPr>
          <w:rFonts w:cs="Arial"/>
        </w:rPr>
        <w:t>DST</w:t>
      </w:r>
      <w:r w:rsidR="00BF786F" w:rsidRPr="00860B02">
        <w:rPr>
          <w:rFonts w:cs="Arial"/>
        </w:rPr>
        <w:t xml:space="preserve"> concern</w:t>
      </w:r>
      <w:r w:rsidR="00B4796C" w:rsidRPr="00860B02">
        <w:rPr>
          <w:rFonts w:cs="Arial"/>
        </w:rPr>
        <w:t>ant une éventuelle révision du</w:t>
      </w:r>
      <w:r w:rsidR="00BF786F" w:rsidRPr="00860B02">
        <w:rPr>
          <w:rFonts w:cs="Arial"/>
        </w:rPr>
        <w:t xml:space="preserve"> document UPOV/INF/12, </w:t>
      </w:r>
      <w:r w:rsidR="00B4796C" w:rsidRPr="00860B02">
        <w:rPr>
          <w:lang w:eastAsia="ja-JP"/>
        </w:rPr>
        <w:t>en particulier sur les points suivants</w:t>
      </w:r>
      <w:r w:rsidR="00752EE1" w:rsidRPr="00860B02">
        <w:rPr>
          <w:lang w:eastAsia="ja-JP"/>
        </w:rPr>
        <w:t> </w:t>
      </w:r>
      <w:r w:rsidR="00BF786F" w:rsidRPr="00860B02">
        <w:rPr>
          <w:lang w:eastAsia="ja-JP"/>
        </w:rPr>
        <w:t>:</w:t>
      </w:r>
    </w:p>
    <w:p w:rsidR="00090AC1" w:rsidRPr="00860B02" w:rsidRDefault="00090AC1" w:rsidP="00FF1931">
      <w:pPr>
        <w:pStyle w:val="DecisionParagraphs"/>
        <w:keepLines/>
        <w:tabs>
          <w:tab w:val="clear" w:pos="5387"/>
          <w:tab w:val="left" w:pos="5670"/>
          <w:tab w:val="left" w:pos="6237"/>
        </w:tabs>
        <w:rPr>
          <w:lang w:eastAsia="ja-JP"/>
        </w:rPr>
      </w:pPr>
    </w:p>
    <w:p w:rsidR="00090AC1" w:rsidRPr="00860B02" w:rsidRDefault="00852407" w:rsidP="00FF1931">
      <w:pPr>
        <w:pStyle w:val="DecisionParagraphs"/>
        <w:tabs>
          <w:tab w:val="clear" w:pos="5387"/>
          <w:tab w:val="left" w:pos="5670"/>
          <w:tab w:val="left" w:pos="6237"/>
        </w:tabs>
        <w:ind w:firstLine="850"/>
      </w:pPr>
      <w:r w:rsidRPr="00860B02">
        <w:rPr>
          <w:lang w:eastAsia="ja-JP"/>
        </w:rPr>
        <w:t>i</w:t>
      </w:r>
      <w:r w:rsidR="00BF786F" w:rsidRPr="00860B02">
        <w:t>)</w:t>
      </w:r>
      <w:r w:rsidR="00BF786F" w:rsidRPr="00860B02">
        <w:tab/>
      </w:r>
      <w:r w:rsidR="00B4796C" w:rsidRPr="00860B02">
        <w:t>Section</w:t>
      </w:r>
      <w:r w:rsidR="00752EE1" w:rsidRPr="00860B02">
        <w:t> </w:t>
      </w:r>
      <w:r w:rsidR="00B4796C" w:rsidRPr="00860B02">
        <w:t>2.2.2.</w:t>
      </w:r>
      <w:r w:rsidR="00BF786F" w:rsidRPr="00860B02">
        <w:t>b), propos</w:t>
      </w:r>
      <w:r w:rsidR="00B4796C" w:rsidRPr="00860B02">
        <w:t xml:space="preserve">ition de clarifier la terminologie concernant les pratiques commerciales acceptées dans le contexte des </w:t>
      </w:r>
      <w:r w:rsidR="00752EE1" w:rsidRPr="00860B02">
        <w:t>“</w:t>
      </w:r>
      <w:r w:rsidR="00B4796C" w:rsidRPr="00860B02">
        <w:t>pratiques établies</w:t>
      </w:r>
      <w:r w:rsidR="00752EE1" w:rsidRPr="00860B02">
        <w:t>”</w:t>
      </w:r>
      <w:r w:rsidR="00B4796C" w:rsidRPr="00860B02">
        <w:t xml:space="preserve"> </w:t>
      </w:r>
      <w:r w:rsidR="00B4796C" w:rsidRPr="00860B02">
        <w:rPr>
          <w:rFonts w:cs="Arial"/>
        </w:rPr>
        <w:t>(</w:t>
      </w:r>
      <w:r w:rsidR="00B4796C" w:rsidRPr="00860B02">
        <w:t>voir le paragraphe</w:t>
      </w:r>
      <w:r w:rsidR="00752EE1" w:rsidRPr="00860B02">
        <w:t> </w:t>
      </w:r>
      <w:r w:rsidR="00B4796C" w:rsidRPr="00860B02">
        <w:t>28);</w:t>
      </w:r>
    </w:p>
    <w:p w:rsidR="00090AC1" w:rsidRPr="00860B02" w:rsidRDefault="00090AC1" w:rsidP="00FF1931">
      <w:pPr>
        <w:pStyle w:val="DecisionParagraphs"/>
        <w:tabs>
          <w:tab w:val="clear" w:pos="5387"/>
          <w:tab w:val="left" w:pos="5670"/>
          <w:tab w:val="left" w:pos="6237"/>
        </w:tabs>
        <w:ind w:firstLine="709"/>
      </w:pPr>
    </w:p>
    <w:p w:rsidR="00090AC1" w:rsidRPr="00860B02" w:rsidRDefault="00852407" w:rsidP="008B3595">
      <w:pPr>
        <w:pStyle w:val="DecisionParagraphs"/>
        <w:tabs>
          <w:tab w:val="clear" w:pos="5387"/>
          <w:tab w:val="left" w:pos="5670"/>
          <w:tab w:val="left" w:pos="6237"/>
        </w:tabs>
        <w:ind w:firstLine="850"/>
      </w:pPr>
      <w:r w:rsidRPr="00860B02">
        <w:rPr>
          <w:lang w:eastAsia="ja-JP"/>
        </w:rPr>
        <w:t>ii</w:t>
      </w:r>
      <w:r w:rsidR="00BF786F" w:rsidRPr="00860B02">
        <w:t>)</w:t>
      </w:r>
      <w:r w:rsidR="00BF786F" w:rsidRPr="00860B02">
        <w:tab/>
      </w:r>
      <w:r w:rsidR="00B4796C" w:rsidRPr="00860B02">
        <w:t>Section</w:t>
      </w:r>
      <w:r w:rsidR="00752EE1" w:rsidRPr="00860B02">
        <w:t> </w:t>
      </w:r>
      <w:r w:rsidR="00B4796C" w:rsidRPr="00860B02">
        <w:t>2.3.1.</w:t>
      </w:r>
      <w:r w:rsidR="00BF786F" w:rsidRPr="00860B02">
        <w:t xml:space="preserve">c), </w:t>
      </w:r>
      <w:r w:rsidR="000861F9" w:rsidRPr="00860B02">
        <w:t>propos</w:t>
      </w:r>
      <w:r w:rsidR="00B4796C" w:rsidRPr="00860B02">
        <w:t>ition d</w:t>
      </w:r>
      <w:r w:rsidR="00905CDD" w:rsidRPr="00860B02">
        <w:t>’</w:t>
      </w:r>
      <w:r w:rsidR="00B4796C" w:rsidRPr="00860B02">
        <w:t>exe</w:t>
      </w:r>
      <w:r w:rsidR="000861F9" w:rsidRPr="00860B02">
        <w:t xml:space="preserve">mples </w:t>
      </w:r>
      <w:r w:rsidR="00B4796C" w:rsidRPr="00860B02">
        <w:t xml:space="preserve">qui </w:t>
      </w:r>
      <w:r w:rsidR="00752EE1" w:rsidRPr="00860B02">
        <w:t>“</w:t>
      </w:r>
      <w:r w:rsidR="00B4796C" w:rsidRPr="00860B02">
        <w:t>donnent l</w:t>
      </w:r>
      <w:r w:rsidR="00905CDD" w:rsidRPr="00860B02">
        <w:t>’</w:t>
      </w:r>
      <w:r w:rsidR="00B4796C" w:rsidRPr="00860B02">
        <w:t>impression que la variété est issue d</w:t>
      </w:r>
      <w:r w:rsidR="00905CDD" w:rsidRPr="00860B02">
        <w:t>’</w:t>
      </w:r>
      <w:r w:rsidR="00B4796C" w:rsidRPr="00860B02">
        <w:t>une autre variété ou lui est apparentée, lorsque ce n</w:t>
      </w:r>
      <w:r w:rsidR="00905CDD" w:rsidRPr="00860B02">
        <w:t>’</w:t>
      </w:r>
      <w:r w:rsidR="00B4796C" w:rsidRPr="00860B02">
        <w:t>est pas le cas</w:t>
      </w:r>
      <w:r w:rsidR="00752EE1" w:rsidRPr="00860B02">
        <w:t>”</w:t>
      </w:r>
      <w:r w:rsidR="00B4796C" w:rsidRPr="00860B02">
        <w:t xml:space="preserve"> </w:t>
      </w:r>
      <w:r w:rsidR="00B4796C" w:rsidRPr="00860B02">
        <w:rPr>
          <w:rFonts w:cs="Arial"/>
        </w:rPr>
        <w:t>(</w:t>
      </w:r>
      <w:r w:rsidR="00B4796C" w:rsidRPr="00860B02">
        <w:t>voir le paragraphe</w:t>
      </w:r>
      <w:r w:rsidR="00752EE1" w:rsidRPr="00860B02">
        <w:t> </w:t>
      </w:r>
      <w:r w:rsidR="00BF786F" w:rsidRPr="00860B02">
        <w:t>2</w:t>
      </w:r>
      <w:r w:rsidR="00BF786F" w:rsidRPr="00860B02">
        <w:rPr>
          <w:lang w:eastAsia="ja-JP"/>
        </w:rPr>
        <w:t>9</w:t>
      </w:r>
      <w:r w:rsidR="000861F9" w:rsidRPr="00860B02">
        <w:rPr>
          <w:lang w:eastAsia="ja-JP"/>
        </w:rPr>
        <w:t>)</w:t>
      </w:r>
      <w:r w:rsidR="00BF786F" w:rsidRPr="00860B02">
        <w:t>;</w:t>
      </w:r>
    </w:p>
    <w:p w:rsidR="00090AC1" w:rsidRPr="00860B02" w:rsidRDefault="00090AC1" w:rsidP="00FF1931">
      <w:pPr>
        <w:pStyle w:val="DecisionParagraphs"/>
        <w:tabs>
          <w:tab w:val="clear" w:pos="5387"/>
          <w:tab w:val="left" w:pos="5670"/>
          <w:tab w:val="left" w:pos="6237"/>
        </w:tabs>
        <w:ind w:firstLine="709"/>
      </w:pPr>
    </w:p>
    <w:p w:rsidR="00B4796C" w:rsidRPr="00860B02" w:rsidRDefault="00852407" w:rsidP="00FF1931">
      <w:pPr>
        <w:pStyle w:val="DecisionParagraphs"/>
        <w:tabs>
          <w:tab w:val="clear" w:pos="5387"/>
          <w:tab w:val="left" w:pos="5670"/>
          <w:tab w:val="left" w:pos="6237"/>
        </w:tabs>
        <w:ind w:firstLine="850"/>
      </w:pPr>
      <w:r w:rsidRPr="00860B02">
        <w:t>iii</w:t>
      </w:r>
      <w:r w:rsidR="00BF786F" w:rsidRPr="00860B02">
        <w:t>)</w:t>
      </w:r>
      <w:r w:rsidR="00BF786F" w:rsidRPr="00860B02">
        <w:tab/>
      </w:r>
      <w:r w:rsidR="00B4796C" w:rsidRPr="00860B02">
        <w:t>Nouvelle s</w:t>
      </w:r>
      <w:r w:rsidR="00BF786F" w:rsidRPr="00860B02">
        <w:t>ection 2.3.1</w:t>
      </w:r>
      <w:r w:rsidR="00B4796C" w:rsidRPr="00860B02">
        <w:t>.</w:t>
      </w:r>
      <w:r w:rsidR="00BF786F" w:rsidRPr="00860B02">
        <w:t xml:space="preserve">d), </w:t>
      </w:r>
      <w:r w:rsidR="00B4796C" w:rsidRPr="00860B02">
        <w:t>concernant de nouvelles orientations sur la possibilité de confusion découlant de l</w:t>
      </w:r>
      <w:r w:rsidR="00905CDD" w:rsidRPr="00860B02">
        <w:t>’</w:t>
      </w:r>
      <w:r w:rsidR="00B4796C" w:rsidRPr="00860B02">
        <w:t>emploi du nom botanique ou du nom commun d</w:t>
      </w:r>
      <w:r w:rsidR="00905CDD" w:rsidRPr="00860B02">
        <w:t>’</w:t>
      </w:r>
      <w:r w:rsidR="00B4796C" w:rsidRPr="00860B02">
        <w:t xml:space="preserve">un genre auquel la </w:t>
      </w:r>
      <w:r w:rsidR="002348AB" w:rsidRPr="00860B02">
        <w:t>variété</w:t>
      </w:r>
      <w:r w:rsidR="00B4796C" w:rsidRPr="00860B02">
        <w:t xml:space="preserve"> appartient ou n</w:t>
      </w:r>
      <w:r w:rsidR="00905CDD" w:rsidRPr="00860B02">
        <w:t>’</w:t>
      </w:r>
      <w:r w:rsidR="00B4796C" w:rsidRPr="00860B02">
        <w:t xml:space="preserve">appartient pas </w:t>
      </w:r>
      <w:r w:rsidR="00B4796C" w:rsidRPr="00860B02">
        <w:rPr>
          <w:rFonts w:cs="Arial"/>
        </w:rPr>
        <w:t>(</w:t>
      </w:r>
      <w:r w:rsidR="00B4796C" w:rsidRPr="00860B02">
        <w:t>voir les paragraphes</w:t>
      </w:r>
      <w:r w:rsidR="00752EE1" w:rsidRPr="00860B02">
        <w:t> </w:t>
      </w:r>
      <w:r w:rsidR="00B4796C" w:rsidRPr="00860B02">
        <w:t>30 à 32);</w:t>
      </w:r>
    </w:p>
    <w:p w:rsidR="00090AC1" w:rsidRPr="00860B02" w:rsidRDefault="00090AC1" w:rsidP="00FF1931">
      <w:pPr>
        <w:pStyle w:val="DecisionParagraphs"/>
        <w:tabs>
          <w:tab w:val="clear" w:pos="5387"/>
          <w:tab w:val="left" w:pos="5670"/>
          <w:tab w:val="left" w:pos="6237"/>
        </w:tabs>
        <w:ind w:firstLine="709"/>
      </w:pPr>
    </w:p>
    <w:p w:rsidR="00B4796C" w:rsidRPr="00860B02" w:rsidRDefault="00852407" w:rsidP="00FF1931">
      <w:pPr>
        <w:pStyle w:val="DecisionParagraphs"/>
        <w:tabs>
          <w:tab w:val="clear" w:pos="5387"/>
          <w:tab w:val="left" w:pos="5670"/>
          <w:tab w:val="left" w:pos="6237"/>
        </w:tabs>
        <w:ind w:firstLine="850"/>
      </w:pPr>
      <w:r w:rsidRPr="00860B02">
        <w:rPr>
          <w:lang w:eastAsia="ja-JP"/>
        </w:rPr>
        <w:t>iv</w:t>
      </w:r>
      <w:r w:rsidR="00BF786F" w:rsidRPr="00860B02">
        <w:t>)</w:t>
      </w:r>
      <w:r w:rsidR="00BF786F" w:rsidRPr="00860B02">
        <w:tab/>
      </w:r>
      <w:r w:rsidR="00B4796C" w:rsidRPr="00860B02">
        <w:t>Section</w:t>
      </w:r>
      <w:r w:rsidR="00752EE1" w:rsidRPr="00860B02">
        <w:t> </w:t>
      </w:r>
      <w:r w:rsidR="00B4796C" w:rsidRPr="00860B02">
        <w:t>2.3.3.</w:t>
      </w:r>
      <w:r w:rsidR="00BF786F" w:rsidRPr="00860B02">
        <w:t xml:space="preserve">a), </w:t>
      </w:r>
      <w:r w:rsidR="007F6A17" w:rsidRPr="00860B02">
        <w:t>propos</w:t>
      </w:r>
      <w:r w:rsidR="00B4796C" w:rsidRPr="00860B02">
        <w:t>ition d</w:t>
      </w:r>
      <w:r w:rsidR="00905CDD" w:rsidRPr="00860B02">
        <w:t>’</w:t>
      </w:r>
      <w:r w:rsidR="00B4796C" w:rsidRPr="00860B02">
        <w:t>orientation initiale et d</w:t>
      </w:r>
      <w:r w:rsidR="00905CDD" w:rsidRPr="00860B02">
        <w:t>’</w:t>
      </w:r>
      <w:r w:rsidR="00B4796C" w:rsidRPr="00860B02">
        <w:t xml:space="preserve">exemples de confusion possible concernant </w:t>
      </w:r>
      <w:r w:rsidR="00752EE1" w:rsidRPr="00860B02">
        <w:t>“</w:t>
      </w:r>
      <w:r w:rsidR="00B4796C" w:rsidRPr="00860B02">
        <w:t>l</w:t>
      </w:r>
      <w:r w:rsidR="00905CDD" w:rsidRPr="00860B02">
        <w:t>’</w:t>
      </w:r>
      <w:r w:rsidR="00B4796C" w:rsidRPr="00860B02">
        <w:t>identité de la variété</w:t>
      </w:r>
      <w:r w:rsidR="00752EE1" w:rsidRPr="00860B02">
        <w:t>”</w:t>
      </w:r>
      <w:r w:rsidR="00B4796C" w:rsidRPr="00860B02">
        <w:t xml:space="preserve"> et la question de savoir s</w:t>
      </w:r>
      <w:r w:rsidR="00905CDD" w:rsidRPr="00860B02">
        <w:t>’</w:t>
      </w:r>
      <w:r w:rsidR="00B4796C" w:rsidRPr="00860B02">
        <w:t>il serait approprié d</w:t>
      </w:r>
      <w:r w:rsidR="00905CDD" w:rsidRPr="00860B02">
        <w:t>’</w:t>
      </w:r>
      <w:r w:rsidR="00B4796C" w:rsidRPr="00860B02">
        <w:t>établir une distinction entre les lettres formant des mots et d</w:t>
      </w:r>
      <w:r w:rsidR="00905CDD" w:rsidRPr="00860B02">
        <w:t>’</w:t>
      </w:r>
      <w:r w:rsidR="00B4796C" w:rsidRPr="00860B02">
        <w:t xml:space="preserve">autres cas </w:t>
      </w:r>
      <w:r w:rsidR="00B4796C" w:rsidRPr="00860B02">
        <w:rPr>
          <w:rFonts w:cs="Arial"/>
        </w:rPr>
        <w:t>(</w:t>
      </w:r>
      <w:r w:rsidR="00B4796C" w:rsidRPr="00860B02">
        <w:t>voir le paragraphe</w:t>
      </w:r>
      <w:r w:rsidR="00752EE1" w:rsidRPr="00860B02">
        <w:t> </w:t>
      </w:r>
      <w:r w:rsidR="00B4796C" w:rsidRPr="00860B02">
        <w:t>33 alinéas</w:t>
      </w:r>
      <w:r w:rsidR="00752EE1" w:rsidRPr="00860B02">
        <w:t> </w:t>
      </w:r>
      <w:r w:rsidR="00B4796C" w:rsidRPr="00860B02">
        <w:t>i) à iii));</w:t>
      </w:r>
    </w:p>
    <w:p w:rsidR="00090AC1" w:rsidRPr="00860B02" w:rsidRDefault="00090AC1" w:rsidP="00FF1931">
      <w:pPr>
        <w:pStyle w:val="DecisionParagraphs"/>
        <w:tabs>
          <w:tab w:val="clear" w:pos="5387"/>
          <w:tab w:val="left" w:pos="5670"/>
          <w:tab w:val="left" w:pos="6237"/>
        </w:tabs>
        <w:ind w:firstLine="709"/>
      </w:pPr>
    </w:p>
    <w:p w:rsidR="00090AC1" w:rsidRPr="00860B02" w:rsidRDefault="00852407" w:rsidP="00FF1931">
      <w:pPr>
        <w:pStyle w:val="DecisionParagraphs"/>
        <w:tabs>
          <w:tab w:val="clear" w:pos="5387"/>
          <w:tab w:val="left" w:pos="5670"/>
          <w:tab w:val="left" w:pos="6237"/>
        </w:tabs>
        <w:ind w:firstLine="850"/>
      </w:pPr>
      <w:r w:rsidRPr="00860B02">
        <w:rPr>
          <w:lang w:eastAsia="ja-JP"/>
        </w:rPr>
        <w:t>v</w:t>
      </w:r>
      <w:r w:rsidR="00BF786F" w:rsidRPr="00860B02">
        <w:t>)</w:t>
      </w:r>
      <w:r w:rsidR="00BF786F" w:rsidRPr="00860B02">
        <w:tab/>
      </w:r>
      <w:r w:rsidR="00D92539" w:rsidRPr="00860B02">
        <w:t>Section</w:t>
      </w:r>
      <w:r w:rsidR="00752EE1" w:rsidRPr="00860B02">
        <w:t> </w:t>
      </w:r>
      <w:r w:rsidR="00D92539" w:rsidRPr="00860B02">
        <w:t>2.3.3.</w:t>
      </w:r>
      <w:r w:rsidR="007F6A17" w:rsidRPr="00860B02">
        <w:t>b)</w:t>
      </w:r>
      <w:r w:rsidRPr="00860B02">
        <w:t>, propos</w:t>
      </w:r>
      <w:r w:rsidR="00D92539" w:rsidRPr="00860B02">
        <w:t>ition d</w:t>
      </w:r>
      <w:r w:rsidR="00905CDD" w:rsidRPr="00860B02">
        <w:t>’</w:t>
      </w:r>
      <w:r w:rsidR="00D92539" w:rsidRPr="00860B02">
        <w:t>ajout de l</w:t>
      </w:r>
      <w:r w:rsidR="00905CDD" w:rsidRPr="00860B02">
        <w:t>’</w:t>
      </w:r>
      <w:r w:rsidR="00D92539" w:rsidRPr="00860B02">
        <w:t xml:space="preserve">exemple </w:t>
      </w:r>
      <w:r w:rsidR="00752EE1" w:rsidRPr="00860B02">
        <w:t>“</w:t>
      </w:r>
      <w:r w:rsidR="00BF786F" w:rsidRPr="00860B02">
        <w:t>Helena</w:t>
      </w:r>
      <w:r w:rsidR="00752EE1" w:rsidRPr="00860B02">
        <w:t>”</w:t>
      </w:r>
      <w:r w:rsidR="00BF786F" w:rsidRPr="00860B02">
        <w:t xml:space="preserve"> </w:t>
      </w:r>
      <w:r w:rsidR="00D92539" w:rsidRPr="00860B02">
        <w:t xml:space="preserve">et </w:t>
      </w:r>
      <w:r w:rsidR="00752EE1" w:rsidRPr="00860B02">
        <w:t>“</w:t>
      </w:r>
      <w:r w:rsidR="00BF786F" w:rsidRPr="00860B02">
        <w:t>Elena</w:t>
      </w:r>
      <w:r w:rsidR="00752EE1" w:rsidRPr="00860B02">
        <w:t>”</w:t>
      </w:r>
      <w:r w:rsidR="00D92539" w:rsidRPr="00860B02">
        <w:t xml:space="preserve"> et de suppression de l</w:t>
      </w:r>
      <w:r w:rsidR="00905CDD" w:rsidRPr="00860B02">
        <w:t>’</w:t>
      </w:r>
      <w:r w:rsidR="00D92539" w:rsidRPr="00860B02">
        <w:t xml:space="preserve">exemple </w:t>
      </w:r>
      <w:r w:rsidR="00752EE1" w:rsidRPr="00860B02">
        <w:t>“</w:t>
      </w:r>
      <w:r w:rsidR="00BF786F" w:rsidRPr="00860B02">
        <w:t>Raion</w:t>
      </w:r>
      <w:r w:rsidR="00752EE1" w:rsidRPr="00860B02">
        <w:t>”</w:t>
      </w:r>
      <w:r w:rsidR="00BF786F" w:rsidRPr="00860B02">
        <w:t xml:space="preserve"> </w:t>
      </w:r>
      <w:r w:rsidR="00D92539" w:rsidRPr="00860B02">
        <w:t xml:space="preserve">et </w:t>
      </w:r>
      <w:r w:rsidR="00752EE1" w:rsidRPr="00860B02">
        <w:t>“</w:t>
      </w:r>
      <w:r w:rsidR="00BF786F" w:rsidRPr="00860B02">
        <w:t>Lion</w:t>
      </w:r>
      <w:r w:rsidR="00752EE1" w:rsidRPr="00860B02">
        <w:t>”</w:t>
      </w:r>
      <w:r w:rsidR="007A6AF5" w:rsidRPr="00860B02">
        <w:t xml:space="preserve">, </w:t>
      </w:r>
      <w:r w:rsidR="00D92539" w:rsidRPr="00860B02">
        <w:t>pour</w:t>
      </w:r>
      <w:r w:rsidRPr="00860B02">
        <w:t xml:space="preserve"> illustr</w:t>
      </w:r>
      <w:r w:rsidR="00D92539" w:rsidRPr="00860B02">
        <w:t>er le fait qu</w:t>
      </w:r>
      <w:r w:rsidR="00905CDD" w:rsidRPr="00860B02">
        <w:t>’</w:t>
      </w:r>
      <w:r w:rsidR="00D92539" w:rsidRPr="00860B02">
        <w:t>une différence visuelle nette n</w:t>
      </w:r>
      <w:r w:rsidR="00905CDD" w:rsidRPr="00860B02">
        <w:t>’</w:t>
      </w:r>
      <w:r w:rsidR="00D92539" w:rsidRPr="00860B02">
        <w:t>implique pas toujours une différence phonétique nette</w:t>
      </w:r>
      <w:r w:rsidRPr="00860B02">
        <w:rPr>
          <w:lang w:eastAsia="ja-JP"/>
        </w:rPr>
        <w:t xml:space="preserve"> </w:t>
      </w:r>
      <w:r w:rsidRPr="00860B02">
        <w:t>(</w:t>
      </w:r>
      <w:r w:rsidR="00D92539" w:rsidRPr="00860B02">
        <w:t>voir les</w:t>
      </w:r>
      <w:r w:rsidRPr="00860B02">
        <w:t xml:space="preserve"> paragraph</w:t>
      </w:r>
      <w:r w:rsidR="00D92539" w:rsidRPr="00860B02">
        <w:t>e</w:t>
      </w:r>
      <w:r w:rsidRPr="00860B02">
        <w:t>s </w:t>
      </w:r>
      <w:r w:rsidRPr="00860B02">
        <w:rPr>
          <w:lang w:eastAsia="ja-JP"/>
        </w:rPr>
        <w:t>35</w:t>
      </w:r>
      <w:r w:rsidRPr="00860B02">
        <w:t xml:space="preserve"> </w:t>
      </w:r>
      <w:r w:rsidR="00D92539" w:rsidRPr="00860B02">
        <w:t>et</w:t>
      </w:r>
      <w:r w:rsidRPr="00860B02">
        <w:t xml:space="preserve"> 3</w:t>
      </w:r>
      <w:r w:rsidRPr="00860B02">
        <w:rPr>
          <w:lang w:eastAsia="ja-JP"/>
        </w:rPr>
        <w:t>6)</w:t>
      </w:r>
      <w:r w:rsidR="00BF786F" w:rsidRPr="00860B02">
        <w:t xml:space="preserve">; </w:t>
      </w:r>
      <w:r w:rsidR="00752EE1" w:rsidRPr="00860B02">
        <w:t xml:space="preserve"> </w:t>
      </w:r>
      <w:r w:rsidR="00D92539" w:rsidRPr="00860B02">
        <w:t>et</w:t>
      </w:r>
    </w:p>
    <w:p w:rsidR="00090AC1" w:rsidRPr="00860B02" w:rsidRDefault="00090AC1" w:rsidP="00FF1931">
      <w:pPr>
        <w:pStyle w:val="DecisionParagraphs"/>
        <w:tabs>
          <w:tab w:val="clear" w:pos="5387"/>
          <w:tab w:val="left" w:pos="5670"/>
          <w:tab w:val="left" w:pos="6237"/>
        </w:tabs>
        <w:ind w:firstLine="709"/>
      </w:pPr>
    </w:p>
    <w:p w:rsidR="00D92539" w:rsidRPr="00860B02" w:rsidRDefault="00852407" w:rsidP="00FF1931">
      <w:pPr>
        <w:pStyle w:val="DecisionParagraphs"/>
        <w:tabs>
          <w:tab w:val="clear" w:pos="5387"/>
          <w:tab w:val="left" w:pos="5670"/>
          <w:tab w:val="left" w:pos="6237"/>
        </w:tabs>
        <w:ind w:firstLine="850"/>
      </w:pPr>
      <w:r w:rsidRPr="00860B02">
        <w:rPr>
          <w:lang w:eastAsia="ja-JP"/>
        </w:rPr>
        <w:t>vi</w:t>
      </w:r>
      <w:r w:rsidR="00BF786F" w:rsidRPr="00860B02">
        <w:t>)</w:t>
      </w:r>
      <w:r w:rsidR="00BF786F" w:rsidRPr="00860B02">
        <w:tab/>
      </w:r>
      <w:r w:rsidRPr="00860B02">
        <w:t>Section</w:t>
      </w:r>
      <w:r w:rsidR="00752EE1" w:rsidRPr="00860B02">
        <w:t> </w:t>
      </w:r>
      <w:r w:rsidRPr="00860B02">
        <w:t>2.3.3</w:t>
      </w:r>
      <w:r w:rsidR="00D92539" w:rsidRPr="00860B02">
        <w:t>.</w:t>
      </w:r>
      <w:r w:rsidRPr="00860B02">
        <w:t>d), propos</w:t>
      </w:r>
      <w:r w:rsidR="00D92539" w:rsidRPr="00860B02">
        <w:t>ition de recommandation qu</w:t>
      </w:r>
      <w:r w:rsidR="00905CDD" w:rsidRPr="00860B02">
        <w:t>’</w:t>
      </w:r>
      <w:r w:rsidR="00D92539" w:rsidRPr="00860B02">
        <w:t xml:space="preserve">il soit veillé à éviter de réutiliser des dénominations dans tous les cas </w:t>
      </w:r>
      <w:r w:rsidR="00D92539" w:rsidRPr="00860B02">
        <w:rPr>
          <w:rFonts w:cs="Arial"/>
        </w:rPr>
        <w:t>(</w:t>
      </w:r>
      <w:r w:rsidR="00D92539" w:rsidRPr="00860B02">
        <w:t>voir le paragraphe</w:t>
      </w:r>
      <w:r w:rsidR="00752EE1" w:rsidRPr="00860B02">
        <w:t> </w:t>
      </w:r>
      <w:r w:rsidR="00D92539" w:rsidRPr="00860B02">
        <w:t>37 et la proposition d</w:t>
      </w:r>
      <w:r w:rsidR="00905CDD" w:rsidRPr="00860B02">
        <w:t>’</w:t>
      </w:r>
      <w:r w:rsidR="00D92539" w:rsidRPr="00860B02">
        <w:t>élargir la base de données PLUTO, paragraphe</w:t>
      </w:r>
      <w:r w:rsidR="00752EE1" w:rsidRPr="00860B02">
        <w:t> </w:t>
      </w:r>
      <w:r w:rsidR="00D92539" w:rsidRPr="00860B02">
        <w:t>38);</w:t>
      </w:r>
      <w:r w:rsidR="00752EE1" w:rsidRPr="00860B02">
        <w:t xml:space="preserve"> </w:t>
      </w:r>
      <w:r w:rsidR="00D92539" w:rsidRPr="00860B02">
        <w:t xml:space="preserve"> et</w:t>
      </w:r>
    </w:p>
    <w:p w:rsidR="00D92539" w:rsidRPr="00860B02" w:rsidRDefault="00D92539" w:rsidP="00FF1931">
      <w:pPr>
        <w:pStyle w:val="DecisionParagraphs"/>
        <w:tabs>
          <w:tab w:val="clear" w:pos="5387"/>
          <w:tab w:val="left" w:pos="5670"/>
          <w:tab w:val="left" w:pos="6237"/>
        </w:tabs>
        <w:ind w:firstLine="850"/>
      </w:pPr>
    </w:p>
    <w:p w:rsidR="00D92539" w:rsidRPr="00860B02" w:rsidRDefault="0006681D" w:rsidP="00FF1931">
      <w:pPr>
        <w:pStyle w:val="DecisionParagraphs"/>
        <w:keepLines/>
        <w:tabs>
          <w:tab w:val="left" w:pos="5954"/>
        </w:tabs>
        <w:rPr>
          <w:rFonts w:cs="Arial"/>
          <w:lang w:eastAsia="ja-JP"/>
        </w:rPr>
      </w:pPr>
      <w:r w:rsidRPr="00860B02">
        <w:rPr>
          <w:rFonts w:cs="Arial"/>
          <w:lang w:eastAsia="ja-JP"/>
        </w:rPr>
        <w:lastRenderedPageBreak/>
        <w:tab/>
      </w:r>
      <w:r w:rsidR="00BF786F" w:rsidRPr="00860B02">
        <w:rPr>
          <w:rFonts w:cs="Arial"/>
          <w:lang w:eastAsia="ja-JP"/>
        </w:rPr>
        <w:t>b)</w:t>
      </w:r>
      <w:r w:rsidR="00BF786F" w:rsidRPr="00860B02">
        <w:rPr>
          <w:rFonts w:cs="Arial"/>
          <w:lang w:eastAsia="ja-JP"/>
        </w:rPr>
        <w:tab/>
      </w:r>
      <w:r w:rsidR="00D92539" w:rsidRPr="00860B02">
        <w:rPr>
          <w:rFonts w:cs="Arial"/>
          <w:lang w:eastAsia="ja-JP"/>
        </w:rPr>
        <w:t xml:space="preserve">à examiner la possibilité de procéder à la révision du </w:t>
      </w:r>
      <w:r w:rsidR="00726505" w:rsidRPr="00860B02">
        <w:rPr>
          <w:lang w:eastAsia="ja-JP"/>
        </w:rPr>
        <w:t>document UP</w:t>
      </w:r>
      <w:r w:rsidR="00D92539" w:rsidRPr="00860B02">
        <w:rPr>
          <w:lang w:eastAsia="ja-JP"/>
        </w:rPr>
        <w:t>OV/INF/12, compte tenu des premières observations faites par</w:t>
      </w:r>
      <w:r w:rsidR="00726505" w:rsidRPr="00860B02">
        <w:rPr>
          <w:lang w:eastAsia="ja-JP"/>
        </w:rPr>
        <w:t xml:space="preserve"> le CAJ</w:t>
      </w:r>
      <w:r w:rsidR="00D92539" w:rsidRPr="00860B02">
        <w:rPr>
          <w:lang w:eastAsia="ja-JP"/>
        </w:rPr>
        <w:t xml:space="preserve"> sur les points précités, et dans le cadre des travaux du WG</w:t>
      </w:r>
      <w:r w:rsidR="000B2679" w:rsidRPr="00860B02">
        <w:rPr>
          <w:lang w:eastAsia="ja-JP"/>
        </w:rPr>
        <w:noBreakHyphen/>
      </w:r>
      <w:r w:rsidR="00D92539" w:rsidRPr="00860B02">
        <w:rPr>
          <w:lang w:eastAsia="ja-JP"/>
        </w:rPr>
        <w:t>DST en vue de la mise au point d</w:t>
      </w:r>
      <w:r w:rsidR="00905CDD" w:rsidRPr="00860B02">
        <w:rPr>
          <w:lang w:eastAsia="ja-JP"/>
        </w:rPr>
        <w:t>’</w:t>
      </w:r>
      <w:r w:rsidR="00D92539" w:rsidRPr="00860B02">
        <w:rPr>
          <w:lang w:eastAsia="ja-JP"/>
        </w:rPr>
        <w:t xml:space="preserve">un </w:t>
      </w:r>
      <w:r w:rsidR="00D666FA" w:rsidRPr="00860B02">
        <w:rPr>
          <w:lang w:eastAsia="ja-JP"/>
        </w:rPr>
        <w:t xml:space="preserve">moteur </w:t>
      </w:r>
      <w:r w:rsidR="00D92539" w:rsidRPr="00860B02">
        <w:rPr>
          <w:lang w:eastAsia="ja-JP"/>
        </w:rPr>
        <w:t xml:space="preserve">efficace de recherche de </w:t>
      </w:r>
      <w:r w:rsidR="00D666FA" w:rsidRPr="00860B02">
        <w:rPr>
          <w:lang w:eastAsia="ja-JP"/>
        </w:rPr>
        <w:t xml:space="preserve">similitudes </w:t>
      </w:r>
      <w:r w:rsidR="00D92539" w:rsidRPr="00860B02">
        <w:rPr>
          <w:lang w:eastAsia="ja-JP"/>
        </w:rPr>
        <w:t>de l</w:t>
      </w:r>
      <w:r w:rsidR="00905CDD" w:rsidRPr="00860B02">
        <w:rPr>
          <w:lang w:eastAsia="ja-JP"/>
        </w:rPr>
        <w:t>’</w:t>
      </w:r>
      <w:r w:rsidR="00D92539" w:rsidRPr="00860B02">
        <w:rPr>
          <w:lang w:eastAsia="ja-JP"/>
        </w:rPr>
        <w:t>UPOV.</w:t>
      </w:r>
    </w:p>
    <w:p w:rsidR="00090AC1" w:rsidRPr="00860B02" w:rsidRDefault="00090AC1" w:rsidP="00FF1931">
      <w:pPr>
        <w:pStyle w:val="DecisionParagraphs"/>
        <w:tabs>
          <w:tab w:val="clear" w:pos="5387"/>
          <w:tab w:val="left" w:pos="5400"/>
          <w:tab w:val="left" w:pos="5954"/>
        </w:tabs>
        <w:rPr>
          <w:iCs/>
          <w:lang w:eastAsia="ja-JP"/>
        </w:rPr>
      </w:pPr>
    </w:p>
    <w:p w:rsidR="002E4097" w:rsidRPr="00860B02" w:rsidRDefault="00E36D21" w:rsidP="003C7F21">
      <w:pPr>
        <w:pStyle w:val="DecisionParagraphs"/>
      </w:pPr>
      <w:r>
        <w:t>40.</w:t>
      </w:r>
      <w:r w:rsidR="003C7F21" w:rsidRPr="00860B02">
        <w:tab/>
      </w:r>
      <w:r w:rsidR="00D92539" w:rsidRPr="00860B02">
        <w:rPr>
          <w:iCs/>
        </w:rPr>
        <w:t>L</w:t>
      </w:r>
      <w:r w:rsidR="003C7F21" w:rsidRPr="00860B02">
        <w:rPr>
          <w:iCs/>
        </w:rPr>
        <w:t xml:space="preserve">e </w:t>
      </w:r>
      <w:r w:rsidR="003C7F21" w:rsidRPr="00860B02">
        <w:rPr>
          <w:iCs/>
          <w:lang w:eastAsia="ja-JP"/>
        </w:rPr>
        <w:t>CAJ</w:t>
      </w:r>
      <w:r w:rsidR="003C7F21" w:rsidRPr="00860B02">
        <w:rPr>
          <w:iCs/>
        </w:rPr>
        <w:t xml:space="preserve"> </w:t>
      </w:r>
      <w:r w:rsidR="00D92539" w:rsidRPr="00860B02">
        <w:rPr>
          <w:iCs/>
        </w:rPr>
        <w:t xml:space="preserve">est invité à prendre note </w:t>
      </w:r>
      <w:r w:rsidR="002E4097" w:rsidRPr="00860B02">
        <w:rPr>
          <w:iCs/>
        </w:rPr>
        <w:t>du fait que</w:t>
      </w:r>
      <w:r w:rsidR="00D92539" w:rsidRPr="00860B02">
        <w:rPr>
          <w:iCs/>
        </w:rPr>
        <w:t xml:space="preserve"> la proposition d</w:t>
      </w:r>
      <w:r w:rsidR="00905CDD" w:rsidRPr="00860B02">
        <w:rPr>
          <w:iCs/>
        </w:rPr>
        <w:t>’</w:t>
      </w:r>
      <w:r w:rsidR="00D92539" w:rsidRPr="00860B02">
        <w:rPr>
          <w:iCs/>
        </w:rPr>
        <w:t>élargir le contenu de la base de données</w:t>
      </w:r>
      <w:r w:rsidR="005249F3" w:rsidRPr="00860B02">
        <w:t xml:space="preserve"> PLUTO </w:t>
      </w:r>
      <w:r w:rsidR="002E4097" w:rsidRPr="00860B02">
        <w:t>à l</w:t>
      </w:r>
      <w:r w:rsidR="00905CDD" w:rsidRPr="00860B02">
        <w:t>’</w:t>
      </w:r>
      <w:r w:rsidR="002E4097" w:rsidRPr="00860B02">
        <w:t xml:space="preserve">ensemble des variétés, </w:t>
      </w:r>
      <w:r w:rsidR="00905CDD" w:rsidRPr="00860B02">
        <w:t>y compris</w:t>
      </w:r>
      <w:r w:rsidR="002E4097" w:rsidRPr="00860B02">
        <w:t xml:space="preserve"> celles qui n</w:t>
      </w:r>
      <w:r w:rsidR="00905CDD" w:rsidRPr="00860B02">
        <w:t>’</w:t>
      </w:r>
      <w:r w:rsidR="002E4097" w:rsidRPr="00860B02">
        <w:t xml:space="preserve">ont pas été enregistrées ou protégées, ou ne le sont plus sera examinée dans le document CAJ/72/6 </w:t>
      </w:r>
      <w:r w:rsidR="00752EE1" w:rsidRPr="00860B02">
        <w:t>“</w:t>
      </w:r>
      <w:r w:rsidR="002E4097" w:rsidRPr="00860B02">
        <w:t>Bases de données d</w:t>
      </w:r>
      <w:r w:rsidR="00905CDD" w:rsidRPr="00860B02">
        <w:t>’</w:t>
      </w:r>
      <w:r w:rsidR="002E4097" w:rsidRPr="00860B02">
        <w:t>information de l</w:t>
      </w:r>
      <w:r w:rsidR="00905CDD" w:rsidRPr="00860B02">
        <w:t>’</w:t>
      </w:r>
      <w:r w:rsidR="002E4097" w:rsidRPr="00860B02">
        <w:t>UPOV</w:t>
      </w:r>
      <w:r w:rsidR="00752EE1" w:rsidRPr="00860B02">
        <w:rPr>
          <w:lang w:eastAsia="ja-JP"/>
        </w:rPr>
        <w:t>”</w:t>
      </w:r>
      <w:r w:rsidR="002E4097" w:rsidRPr="00860B02">
        <w:rPr>
          <w:lang w:eastAsia="ja-JP"/>
        </w:rPr>
        <w:t>, ainsi qu</w:t>
      </w:r>
      <w:r w:rsidR="00905CDD" w:rsidRPr="00860B02">
        <w:rPr>
          <w:lang w:eastAsia="ja-JP"/>
        </w:rPr>
        <w:t>’</w:t>
      </w:r>
      <w:r w:rsidR="002E4097" w:rsidRPr="00860B02">
        <w:rPr>
          <w:lang w:eastAsia="ja-JP"/>
        </w:rPr>
        <w:t>indiqué au paragraphe</w:t>
      </w:r>
      <w:r w:rsidR="00752EE1" w:rsidRPr="00860B02">
        <w:rPr>
          <w:lang w:eastAsia="ja-JP"/>
        </w:rPr>
        <w:t> </w:t>
      </w:r>
      <w:r w:rsidR="002E4097" w:rsidRPr="00860B02">
        <w:rPr>
          <w:lang w:eastAsia="ja-JP"/>
        </w:rPr>
        <w:t>38.</w:t>
      </w:r>
    </w:p>
    <w:p w:rsidR="00090AC1" w:rsidRPr="00860B02" w:rsidRDefault="00090AC1" w:rsidP="0077424B">
      <w:bookmarkStart w:id="40" w:name="_Toc427161619"/>
    </w:p>
    <w:p w:rsidR="00090AC1" w:rsidRPr="00860B02" w:rsidRDefault="00090AC1" w:rsidP="00313CFE"/>
    <w:p w:rsidR="00090AC1" w:rsidRPr="00860B02" w:rsidRDefault="002E4097" w:rsidP="004A6FA7">
      <w:pPr>
        <w:pStyle w:val="Heading2"/>
        <w:rPr>
          <w:lang w:val="fr-FR" w:eastAsia="ja-JP"/>
        </w:rPr>
      </w:pPr>
      <w:bookmarkStart w:id="41" w:name="_Toc432493973"/>
      <w:r w:rsidRPr="00860B02">
        <w:rPr>
          <w:lang w:val="fr-FR"/>
        </w:rPr>
        <w:t>Propositions</w:t>
      </w:r>
      <w:r w:rsidR="00726505" w:rsidRPr="00860B02">
        <w:rPr>
          <w:lang w:val="fr-FR"/>
        </w:rPr>
        <w:t xml:space="preserve"> du CAJ</w:t>
      </w:r>
      <w:r w:rsidR="000B2679" w:rsidRPr="00860B02">
        <w:rPr>
          <w:lang w:val="fr-FR"/>
        </w:rPr>
        <w:noBreakHyphen/>
      </w:r>
      <w:r w:rsidR="000955BC" w:rsidRPr="00860B02">
        <w:rPr>
          <w:lang w:val="fr-FR"/>
        </w:rPr>
        <w:t xml:space="preserve">AG </w:t>
      </w:r>
      <w:r w:rsidRPr="00860B02">
        <w:rPr>
          <w:lang w:val="fr-FR"/>
        </w:rPr>
        <w:t>relatives aux s</w:t>
      </w:r>
      <w:r w:rsidR="000955BC" w:rsidRPr="00860B02">
        <w:rPr>
          <w:lang w:val="fr-FR"/>
        </w:rPr>
        <w:t>ection</w:t>
      </w:r>
      <w:r w:rsidRPr="00860B02">
        <w:rPr>
          <w:lang w:val="fr-FR"/>
        </w:rPr>
        <w:t>s</w:t>
      </w:r>
      <w:r w:rsidR="000955BC" w:rsidRPr="00860B02">
        <w:rPr>
          <w:lang w:val="fr-FR"/>
        </w:rPr>
        <w:t> 2.2.2</w:t>
      </w:r>
      <w:r w:rsidRPr="00860B02">
        <w:rPr>
          <w:lang w:val="fr-FR"/>
        </w:rPr>
        <w:t>.</w:t>
      </w:r>
      <w:r w:rsidR="000955BC" w:rsidRPr="00860B02">
        <w:rPr>
          <w:lang w:val="fr-FR"/>
        </w:rPr>
        <w:t>c), 4</w:t>
      </w:r>
      <w:r w:rsidRPr="00860B02">
        <w:rPr>
          <w:lang w:val="fr-FR"/>
        </w:rPr>
        <w:t>.</w:t>
      </w:r>
      <w:r w:rsidR="000955BC" w:rsidRPr="00860B02">
        <w:rPr>
          <w:lang w:val="fr-FR"/>
        </w:rPr>
        <w:t xml:space="preserve">a) </w:t>
      </w:r>
      <w:r w:rsidRPr="00860B02">
        <w:rPr>
          <w:lang w:val="fr-FR"/>
        </w:rPr>
        <w:t>et</w:t>
      </w:r>
      <w:r w:rsidR="000D1EA8" w:rsidRPr="00860B02">
        <w:rPr>
          <w:lang w:val="fr-FR"/>
        </w:rPr>
        <w:t xml:space="preserve"> </w:t>
      </w:r>
      <w:r w:rsidRPr="00860B02">
        <w:rPr>
          <w:lang w:val="fr-FR"/>
        </w:rPr>
        <w:t>4.</w:t>
      </w:r>
      <w:r w:rsidR="000955BC" w:rsidRPr="00860B02">
        <w:rPr>
          <w:lang w:val="fr-FR"/>
        </w:rPr>
        <w:t>e)</w:t>
      </w:r>
      <w:r w:rsidR="002348AB" w:rsidRPr="00860B02">
        <w:rPr>
          <w:lang w:val="fr-FR"/>
        </w:rPr>
        <w:t xml:space="preserve"> </w:t>
      </w:r>
      <w:r w:rsidR="000955BC" w:rsidRPr="00860B02">
        <w:rPr>
          <w:lang w:val="fr-FR"/>
        </w:rPr>
        <w:t>i)</w:t>
      </w:r>
      <w:bookmarkEnd w:id="40"/>
      <w:bookmarkEnd w:id="41"/>
    </w:p>
    <w:p w:rsidR="00090AC1" w:rsidRPr="00860B02" w:rsidRDefault="00090AC1" w:rsidP="008B5ED9">
      <w:pPr>
        <w:keepNext/>
        <w:rPr>
          <w:lang w:eastAsia="ja-JP"/>
        </w:rPr>
      </w:pPr>
    </w:p>
    <w:p w:rsidR="00090AC1" w:rsidRPr="00860B02" w:rsidRDefault="00E36D21" w:rsidP="000955BC">
      <w:r>
        <w:t>41.</w:t>
      </w:r>
      <w:r w:rsidR="000955BC" w:rsidRPr="00860B02">
        <w:tab/>
      </w:r>
      <w:r w:rsidR="002E4097" w:rsidRPr="00860B02">
        <w:t>L</w:t>
      </w:r>
      <w:r w:rsidR="000955BC" w:rsidRPr="00860B02">
        <w:t>e CAJ</w:t>
      </w:r>
      <w:r w:rsidR="000955BC" w:rsidRPr="00860B02">
        <w:rPr>
          <w:lang w:eastAsia="ja-JP"/>
        </w:rPr>
        <w:t xml:space="preserve">, </w:t>
      </w:r>
      <w:r w:rsidR="002E4097" w:rsidRPr="00860B02">
        <w:rPr>
          <w:lang w:eastAsia="ja-JP"/>
        </w:rPr>
        <w:t>à sa soixante</w:t>
      </w:r>
      <w:r w:rsidR="000B2679" w:rsidRPr="00860B02">
        <w:rPr>
          <w:lang w:eastAsia="ja-JP"/>
        </w:rPr>
        <w:noBreakHyphen/>
      </w:r>
      <w:r w:rsidR="002E4097" w:rsidRPr="00860B02">
        <w:rPr>
          <w:lang w:eastAsia="ja-JP"/>
        </w:rPr>
        <w:t>et</w:t>
      </w:r>
      <w:r w:rsidR="000B2679" w:rsidRPr="00860B02">
        <w:rPr>
          <w:lang w:eastAsia="ja-JP"/>
        </w:rPr>
        <w:noBreakHyphen/>
      </w:r>
      <w:r w:rsidR="002E4097" w:rsidRPr="00860B02">
        <w:rPr>
          <w:lang w:eastAsia="ja-JP"/>
        </w:rPr>
        <w:t>onzième</w:t>
      </w:r>
      <w:r w:rsidR="00752EE1" w:rsidRPr="00860B02">
        <w:rPr>
          <w:lang w:eastAsia="ja-JP"/>
        </w:rPr>
        <w:t> </w:t>
      </w:r>
      <w:r w:rsidR="002E4097" w:rsidRPr="00860B02">
        <w:rPr>
          <w:lang w:eastAsia="ja-JP"/>
        </w:rPr>
        <w:t>session, est convenu</w:t>
      </w:r>
      <w:r w:rsidR="000D1EA8" w:rsidRPr="00860B02">
        <w:rPr>
          <w:rStyle w:val="FootnoteReference"/>
        </w:rPr>
        <w:footnoteReference w:id="31"/>
      </w:r>
      <w:r w:rsidR="000955BC" w:rsidRPr="00860B02">
        <w:t xml:space="preserve"> </w:t>
      </w:r>
      <w:r w:rsidR="002E4097" w:rsidRPr="00860B02">
        <w:t>d</w:t>
      </w:r>
      <w:r w:rsidR="00905CDD" w:rsidRPr="00860B02">
        <w:t>’</w:t>
      </w:r>
      <w:r w:rsidR="002E4097" w:rsidRPr="00860B02">
        <w:t xml:space="preserve">examiner les </w:t>
      </w:r>
      <w:r w:rsidR="000955BC" w:rsidRPr="00860B02">
        <w:t>propos</w:t>
      </w:r>
      <w:r w:rsidR="002E4097" w:rsidRPr="00860B02">
        <w:t>itions suivantes faites par</w:t>
      </w:r>
      <w:r w:rsidR="00726505" w:rsidRPr="00860B02">
        <w:t xml:space="preserve"> le CAJ</w:t>
      </w:r>
      <w:r w:rsidR="000B2679" w:rsidRPr="00860B02">
        <w:noBreakHyphen/>
      </w:r>
      <w:r w:rsidR="002E4097" w:rsidRPr="00860B02">
        <w:t>AG lors de sa soixante</w:t>
      </w:r>
      <w:r w:rsidR="000B2679" w:rsidRPr="00860B02">
        <w:noBreakHyphen/>
      </w:r>
      <w:r w:rsidR="002E4097" w:rsidRPr="00860B02">
        <w:t>douzième</w:t>
      </w:r>
      <w:r w:rsidR="00752EE1" w:rsidRPr="00860B02">
        <w:t> </w:t>
      </w:r>
      <w:r w:rsidR="002E4097" w:rsidRPr="00860B02">
        <w:t>session et concernant les sections 2.2.2.c), 4.a) et 4.e)</w:t>
      </w:r>
      <w:r w:rsidR="002348AB" w:rsidRPr="00860B02">
        <w:t xml:space="preserve"> </w:t>
      </w:r>
      <w:r w:rsidR="002E4097" w:rsidRPr="00860B02">
        <w:t>i) du</w:t>
      </w:r>
      <w:r w:rsidR="000955BC" w:rsidRPr="00860B02">
        <w:t xml:space="preserve"> document UPOV/INF/12/5 Draft 2</w:t>
      </w:r>
      <w:r w:rsidR="002E4097" w:rsidRPr="00860B02">
        <w:t>.</w:t>
      </w:r>
    </w:p>
    <w:p w:rsidR="000955BC" w:rsidRPr="00860B02" w:rsidRDefault="000955BC" w:rsidP="000955BC">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860B02" w:rsidRPr="00860B02" w:rsidTr="0024458B">
        <w:trPr>
          <w:cantSplit/>
        </w:trPr>
        <w:tc>
          <w:tcPr>
            <w:tcW w:w="1391" w:type="dxa"/>
          </w:tcPr>
          <w:p w:rsidR="000955BC" w:rsidRPr="00860B02" w:rsidRDefault="002E23EA" w:rsidP="002E23EA">
            <w:pPr>
              <w:rPr>
                <w:rFonts w:cs="Arial"/>
              </w:rPr>
            </w:pPr>
            <w:r w:rsidRPr="00860B02">
              <w:rPr>
                <w:rFonts w:cs="Arial"/>
              </w:rPr>
              <w:t>2.2.2.c)</w:t>
            </w:r>
          </w:p>
        </w:tc>
        <w:tc>
          <w:tcPr>
            <w:tcW w:w="7789" w:type="dxa"/>
          </w:tcPr>
          <w:p w:rsidR="00090AC1" w:rsidRPr="00860B02" w:rsidRDefault="002E23EA" w:rsidP="002E23EA">
            <w:pPr>
              <w:rPr>
                <w:rFonts w:cs="Arial"/>
              </w:rPr>
            </w:pPr>
            <w:r w:rsidRPr="00860B02">
              <w:rPr>
                <w:rFonts w:cs="Arial"/>
              </w:rPr>
              <w:t>Ajouter 2.2.2.c) comme suit</w:t>
            </w:r>
            <w:r w:rsidR="00752EE1" w:rsidRPr="00860B02">
              <w:rPr>
                <w:rFonts w:cs="Arial"/>
              </w:rPr>
              <w:t> </w:t>
            </w:r>
            <w:r w:rsidRPr="00860B02">
              <w:rPr>
                <w:rFonts w:cs="Arial"/>
              </w:rPr>
              <w:t>:</w:t>
            </w:r>
          </w:p>
          <w:p w:rsidR="00090AC1" w:rsidRPr="00860B02" w:rsidRDefault="00090AC1" w:rsidP="0024458B">
            <w:pPr>
              <w:rPr>
                <w:rFonts w:cs="Arial"/>
              </w:rPr>
            </w:pPr>
          </w:p>
          <w:p w:rsidR="000955BC" w:rsidRPr="00860B02" w:rsidRDefault="00752EE1" w:rsidP="009C773B">
            <w:pPr>
              <w:rPr>
                <w:snapToGrid w:val="0"/>
              </w:rPr>
            </w:pPr>
            <w:r w:rsidRPr="00860B02">
              <w:rPr>
                <w:snapToGrid w:val="0"/>
              </w:rPr>
              <w:t>“</w:t>
            </w:r>
            <w:r w:rsidR="002E23EA" w:rsidRPr="00860B02">
              <w:rPr>
                <w:snapToGrid w:val="0"/>
              </w:rPr>
              <w:t>c)</w:t>
            </w:r>
            <w:r w:rsidR="002E23EA" w:rsidRPr="00860B02">
              <w:rPr>
                <w:snapToGrid w:val="0"/>
              </w:rPr>
              <w:tab/>
              <w:t xml:space="preserve">Il y a </w:t>
            </w:r>
            <w:r w:rsidR="00905CDD" w:rsidRPr="00860B02">
              <w:rPr>
                <w:snapToGrid w:val="0"/>
              </w:rPr>
              <w:t>‘</w:t>
            </w:r>
            <w:r w:rsidR="002E23EA" w:rsidRPr="00860B02">
              <w:rPr>
                <w:snapToGrid w:val="0"/>
              </w:rPr>
              <w:t>pratique consacrée</w:t>
            </w:r>
            <w:r w:rsidR="00905CDD" w:rsidRPr="00860B02">
              <w:rPr>
                <w:snapToGrid w:val="0"/>
              </w:rPr>
              <w:t>’</w:t>
            </w:r>
            <w:r w:rsidR="002E23EA" w:rsidRPr="00860B02">
              <w:rPr>
                <w:snapToGrid w:val="0"/>
              </w:rPr>
              <w:t xml:space="preserve"> lorsque l</w:t>
            </w:r>
            <w:r w:rsidR="00905CDD" w:rsidRPr="00860B02">
              <w:rPr>
                <w:snapToGrid w:val="0"/>
              </w:rPr>
              <w:t>’</w:t>
            </w:r>
            <w:r w:rsidR="002E23EA" w:rsidRPr="00860B02">
              <w:rPr>
                <w:snapToGrid w:val="0"/>
              </w:rPr>
              <w:t>enregistrement a été accepté pour une espèce ou un groupe de telle sorte qu</w:t>
            </w:r>
            <w:r w:rsidR="00905CDD" w:rsidRPr="00860B02">
              <w:rPr>
                <w:snapToGrid w:val="0"/>
              </w:rPr>
              <w:t>’</w:t>
            </w:r>
            <w:r w:rsidR="002E23EA" w:rsidRPr="00860B02">
              <w:rPr>
                <w:snapToGrid w:val="0"/>
              </w:rPr>
              <w:t>il puisse être utilisé dans d</w:t>
            </w:r>
            <w:r w:rsidR="00905CDD" w:rsidRPr="00860B02">
              <w:rPr>
                <w:snapToGrid w:val="0"/>
              </w:rPr>
              <w:t>’</w:t>
            </w:r>
            <w:r w:rsidR="002E23EA" w:rsidRPr="00860B02">
              <w:rPr>
                <w:snapToGrid w:val="0"/>
              </w:rPr>
              <w:t>autres espèces qui n</w:t>
            </w:r>
            <w:r w:rsidR="00905CDD" w:rsidRPr="00860B02">
              <w:rPr>
                <w:snapToGrid w:val="0"/>
              </w:rPr>
              <w:t>’</w:t>
            </w:r>
            <w:r w:rsidR="002E23EA" w:rsidRPr="00860B02">
              <w:rPr>
                <w:snapToGrid w:val="0"/>
              </w:rPr>
              <w:t>ont pas encore enregistré une variété dont la dénomination consiste uniquement en chiffres</w:t>
            </w:r>
            <w:r w:rsidRPr="00860B02">
              <w:rPr>
                <w:snapToGrid w:val="0"/>
              </w:rPr>
              <w:t>”</w:t>
            </w:r>
            <w:r w:rsidR="002E23EA" w:rsidRPr="00860B02">
              <w:rPr>
                <w:snapToGrid w:val="0"/>
              </w:rPr>
              <w:t>.</w:t>
            </w:r>
          </w:p>
        </w:tc>
      </w:tr>
      <w:tr w:rsidR="00860B02" w:rsidRPr="00860B02" w:rsidTr="0024458B">
        <w:trPr>
          <w:cantSplit/>
        </w:trPr>
        <w:tc>
          <w:tcPr>
            <w:tcW w:w="1391" w:type="dxa"/>
          </w:tcPr>
          <w:p w:rsidR="000955BC" w:rsidRPr="00860B02" w:rsidRDefault="000955BC" w:rsidP="002E23EA">
            <w:r w:rsidRPr="00860B02">
              <w:t>4</w:t>
            </w:r>
            <w:r w:rsidR="002E23EA" w:rsidRPr="00860B02">
              <w:t>.</w:t>
            </w:r>
            <w:r w:rsidRPr="00860B02">
              <w:t>a)</w:t>
            </w:r>
          </w:p>
        </w:tc>
        <w:tc>
          <w:tcPr>
            <w:tcW w:w="7789" w:type="dxa"/>
          </w:tcPr>
          <w:p w:rsidR="00090AC1" w:rsidRPr="00860B02" w:rsidRDefault="002E23EA" w:rsidP="002E23EA">
            <w:pPr>
              <w:rPr>
                <w:snapToGrid w:val="0"/>
              </w:rPr>
            </w:pPr>
            <w:r w:rsidRPr="00860B02">
              <w:rPr>
                <w:snapToGrid w:val="0"/>
              </w:rPr>
              <w:t>Modifier 4.a) comme suit</w:t>
            </w:r>
            <w:r w:rsidR="00752EE1" w:rsidRPr="00860B02">
              <w:rPr>
                <w:snapToGrid w:val="0"/>
              </w:rPr>
              <w:t> </w:t>
            </w:r>
            <w:r w:rsidRPr="00860B02">
              <w:rPr>
                <w:snapToGrid w:val="0"/>
              </w:rPr>
              <w:t>:</w:t>
            </w:r>
          </w:p>
          <w:p w:rsidR="00090AC1" w:rsidRPr="00860B02" w:rsidRDefault="00090AC1" w:rsidP="0024458B">
            <w:pPr>
              <w:rPr>
                <w:snapToGrid w:val="0"/>
              </w:rPr>
            </w:pPr>
          </w:p>
          <w:p w:rsidR="000955BC" w:rsidRPr="00860B02" w:rsidRDefault="00752EE1" w:rsidP="000165F7">
            <w:pPr>
              <w:ind w:firstLine="567"/>
            </w:pPr>
            <w:r w:rsidRPr="00860B02">
              <w:t>“</w:t>
            </w:r>
            <w:r w:rsidR="002E23EA" w:rsidRPr="00860B02">
              <w:t>a)</w:t>
            </w:r>
            <w:r w:rsidR="002E23EA" w:rsidRPr="00860B02">
              <w:tab/>
              <w:t xml:space="preserve">Un service ne doit pas accepter une dénomination variétale </w:t>
            </w:r>
            <w:r w:rsidR="002E23EA" w:rsidRPr="00860B02">
              <w:rPr>
                <w:strike/>
              </w:rPr>
              <w:t>si un</w:t>
            </w:r>
            <w:r w:rsidR="002E23EA" w:rsidRPr="00860B02">
              <w:t xml:space="preserve"> </w:t>
            </w:r>
            <w:r w:rsidR="00B424DC" w:rsidRPr="00860B02">
              <w:t>s</w:t>
            </w:r>
            <w:r w:rsidR="00905CDD" w:rsidRPr="00860B02">
              <w:t>’</w:t>
            </w:r>
            <w:r w:rsidR="002E23EA" w:rsidRPr="00860B02">
              <w:rPr>
                <w:u w:val="single"/>
              </w:rPr>
              <w:t>il y a un</w:t>
            </w:r>
            <w:r w:rsidR="002E23EA" w:rsidRPr="00860B02">
              <w:t xml:space="preserve"> droit antérieur </w:t>
            </w:r>
            <w:r w:rsidR="002E23EA" w:rsidRPr="00860B02">
              <w:rPr>
                <w:u w:val="single"/>
              </w:rPr>
              <w:t>existant</w:t>
            </w:r>
            <w:r w:rsidR="002E23EA" w:rsidRPr="00860B02">
              <w:t>, dont l</w:t>
            </w:r>
            <w:r w:rsidR="00905CDD" w:rsidRPr="00860B02">
              <w:t>’</w:t>
            </w:r>
            <w:r w:rsidR="002E23EA" w:rsidRPr="00860B02">
              <w:t>exercice peut empêcher l</w:t>
            </w:r>
            <w:r w:rsidR="00905CDD" w:rsidRPr="00860B02">
              <w:t>’</w:t>
            </w:r>
            <w:r w:rsidR="002E23EA" w:rsidRPr="00860B02">
              <w:t>utilisation de la dénomination proposée</w:t>
            </w:r>
            <w:r w:rsidR="002E23EA" w:rsidRPr="00860B02">
              <w:rPr>
                <w:strike/>
              </w:rPr>
              <w:t>, a déjà été octroyé à un tiers en vertu de la loi sur les droits d</w:t>
            </w:r>
            <w:r w:rsidR="00905CDD" w:rsidRPr="00860B02">
              <w:rPr>
                <w:strike/>
              </w:rPr>
              <w:t>’</w:t>
            </w:r>
            <w:r w:rsidR="002E23EA" w:rsidRPr="00860B02">
              <w:rPr>
                <w:strike/>
              </w:rPr>
              <w:t>obtenteur, de la loi sur les marques ou de toute autre loi sur la propriété intellectuelle</w:t>
            </w:r>
            <w:r w:rsidR="002E23EA" w:rsidRPr="00860B02">
              <w:t>.</w:t>
            </w:r>
            <w:r w:rsidR="000955BC" w:rsidRPr="00860B02">
              <w:t xml:space="preserve"> </w:t>
            </w:r>
            <w:r w:rsidRPr="00860B02">
              <w:t xml:space="preserve"> </w:t>
            </w:r>
            <w:r w:rsidR="002E23EA" w:rsidRPr="00860B02">
              <w:t>Il incombe au titulaire d</w:t>
            </w:r>
            <w:r w:rsidR="00905CDD" w:rsidRPr="00860B02">
              <w:t>’</w:t>
            </w:r>
            <w:r w:rsidR="002E23EA" w:rsidRPr="00860B02">
              <w:t>un droit antérieur de faire valoir ses droits dans le cadre des procédures d</w:t>
            </w:r>
            <w:r w:rsidR="00905CDD" w:rsidRPr="00860B02">
              <w:t>’</w:t>
            </w:r>
            <w:r w:rsidR="002E23EA" w:rsidRPr="00860B02">
              <w:t>opposition ou des procédures judiciaires disponibles.</w:t>
            </w:r>
            <w:r w:rsidR="000955BC" w:rsidRPr="00860B02">
              <w:t xml:space="preserve">  </w:t>
            </w:r>
            <w:r w:rsidR="002E23EA" w:rsidRPr="00860B02">
              <w:t>Cela étant, les services sont encouragés à effectuer des recherches préalables dans les publications (p.</w:t>
            </w:r>
            <w:r w:rsidRPr="00860B02">
              <w:t> </w:t>
            </w:r>
            <w:r w:rsidR="002E23EA" w:rsidRPr="00860B02">
              <w:t>ex. : les bulletins officiels) et les bases de données pertinentes (p.</w:t>
            </w:r>
            <w:r w:rsidRPr="00860B02">
              <w:t> </w:t>
            </w:r>
            <w:r w:rsidR="002E23EA" w:rsidRPr="00860B02">
              <w:t>ex.</w:t>
            </w:r>
            <w:r w:rsidRPr="00860B02">
              <w:t xml:space="preserve"> </w:t>
            </w:r>
            <w:r w:rsidR="002E23EA" w:rsidRPr="00860B02">
              <w:t xml:space="preserve">Base de données UPOV sur les variétés végétales (PLUTO) </w:t>
            </w:r>
            <w:hyperlink r:id="rId10" w:history="1">
              <w:r w:rsidR="000165F7" w:rsidRPr="00860B02">
                <w:rPr>
                  <w:rStyle w:val="Hyperlink"/>
                  <w:color w:val="auto"/>
                </w:rPr>
                <w:t>http://www.upov.int/pluto/fr/</w:t>
              </w:r>
            </w:hyperlink>
            <w:r w:rsidR="002E23EA" w:rsidRPr="00860B02">
              <w:t>) pour identifier les droits antérieurs de dénominations variétales.</w:t>
            </w:r>
            <w:r w:rsidR="000955BC" w:rsidRPr="00860B02">
              <w:t xml:space="preserve">  </w:t>
            </w:r>
            <w:r w:rsidR="002E23EA" w:rsidRPr="00860B02">
              <w:t>Ils peuvent aussi effectuer des recherches dans d</w:t>
            </w:r>
            <w:r w:rsidR="00905CDD" w:rsidRPr="00860B02">
              <w:t>’</w:t>
            </w:r>
            <w:r w:rsidR="002E23EA" w:rsidRPr="00860B02">
              <w:t>autres registres, tels que des registres de marques, avant d</w:t>
            </w:r>
            <w:r w:rsidR="00905CDD" w:rsidRPr="00860B02">
              <w:t>’</w:t>
            </w:r>
            <w:r w:rsidR="002E23EA" w:rsidRPr="00860B02">
              <w:t>acce</w:t>
            </w:r>
            <w:r w:rsidR="009C773B" w:rsidRPr="00860B02">
              <w:t>pter une dénomination variétale</w:t>
            </w:r>
            <w:r w:rsidRPr="00860B02">
              <w:t>”</w:t>
            </w:r>
            <w:r w:rsidR="002E23EA" w:rsidRPr="00860B02">
              <w:t>.</w:t>
            </w:r>
          </w:p>
        </w:tc>
      </w:tr>
      <w:tr w:rsidR="000165F7" w:rsidRPr="00860B02" w:rsidTr="0024458B">
        <w:trPr>
          <w:cantSplit/>
        </w:trPr>
        <w:tc>
          <w:tcPr>
            <w:tcW w:w="1391" w:type="dxa"/>
          </w:tcPr>
          <w:p w:rsidR="000955BC" w:rsidRPr="00860B02" w:rsidRDefault="000165F7" w:rsidP="000165F7">
            <w:r w:rsidRPr="00860B02">
              <w:t>4.e)i)</w:t>
            </w:r>
          </w:p>
        </w:tc>
        <w:tc>
          <w:tcPr>
            <w:tcW w:w="7789" w:type="dxa"/>
          </w:tcPr>
          <w:p w:rsidR="00090AC1" w:rsidRPr="00860B02" w:rsidRDefault="000165F7" w:rsidP="000165F7">
            <w:pPr>
              <w:rPr>
                <w:snapToGrid w:val="0"/>
              </w:rPr>
            </w:pPr>
            <w:r w:rsidRPr="00860B02">
              <w:rPr>
                <w:snapToGrid w:val="0"/>
              </w:rPr>
              <w:t>Modifier la dernière phrase du paragraphe</w:t>
            </w:r>
            <w:r w:rsidR="00752EE1" w:rsidRPr="00860B02">
              <w:rPr>
                <w:snapToGrid w:val="0"/>
              </w:rPr>
              <w:t> </w:t>
            </w:r>
            <w:r w:rsidRPr="00860B02">
              <w:rPr>
                <w:snapToGrid w:val="0"/>
              </w:rPr>
              <w:t>4.e)i) comme suit</w:t>
            </w:r>
            <w:r w:rsidR="00752EE1" w:rsidRPr="00860B02">
              <w:rPr>
                <w:snapToGrid w:val="0"/>
              </w:rPr>
              <w:t> </w:t>
            </w:r>
            <w:r w:rsidRPr="00860B02">
              <w:rPr>
                <w:snapToGrid w:val="0"/>
              </w:rPr>
              <w:t>:</w:t>
            </w:r>
          </w:p>
          <w:p w:rsidR="00090AC1" w:rsidRPr="00860B02" w:rsidRDefault="00090AC1" w:rsidP="0024458B">
            <w:pPr>
              <w:rPr>
                <w:snapToGrid w:val="0"/>
              </w:rPr>
            </w:pPr>
          </w:p>
          <w:p w:rsidR="000955BC" w:rsidRPr="00860B02" w:rsidRDefault="00752EE1" w:rsidP="000165F7">
            <w:pPr>
              <w:tabs>
                <w:tab w:val="right" w:pos="1134"/>
                <w:tab w:val="left" w:pos="1418"/>
              </w:tabs>
            </w:pPr>
            <w:r w:rsidRPr="00860B02">
              <w:t>“</w:t>
            </w:r>
            <w:r w:rsidR="000165F7" w:rsidRPr="00860B02">
              <w:t xml:space="preserve">Dans les cas de simple similitude ou de faible risque </w:t>
            </w:r>
            <w:r w:rsidR="000165F7" w:rsidRPr="00860B02">
              <w:rPr>
                <w:strike/>
              </w:rPr>
              <w:t>d</w:t>
            </w:r>
            <w:r w:rsidR="00905CDD" w:rsidRPr="00860B02">
              <w:rPr>
                <w:strike/>
              </w:rPr>
              <w:t>’</w:t>
            </w:r>
            <w:r w:rsidR="000165F7" w:rsidRPr="00860B02">
              <w:rPr>
                <w:strike/>
              </w:rPr>
              <w:t>association</w:t>
            </w:r>
            <w:r w:rsidR="000165F7" w:rsidRPr="00860B02">
              <w:t xml:space="preserve"> </w:t>
            </w:r>
            <w:r w:rsidR="000165F7" w:rsidRPr="00860B02">
              <w:rPr>
                <w:u w:val="single"/>
              </w:rPr>
              <w:t>de confusion</w:t>
            </w:r>
            <w:r w:rsidR="000165F7" w:rsidRPr="00860B02">
              <w:t xml:space="preserve"> par les utilisateurs, des dérogations accordées aux obtenteurs par les titulaires des droits antérieurs </w:t>
            </w:r>
            <w:r w:rsidR="009C773B" w:rsidRPr="00860B02">
              <w:t>sur une marque peuvent convenir</w:t>
            </w:r>
            <w:r w:rsidRPr="00860B02">
              <w:t>”</w:t>
            </w:r>
            <w:r w:rsidR="000165F7" w:rsidRPr="00860B02">
              <w:t>.</w:t>
            </w:r>
          </w:p>
        </w:tc>
      </w:tr>
    </w:tbl>
    <w:p w:rsidR="00090AC1" w:rsidRPr="00860B02" w:rsidRDefault="00090AC1" w:rsidP="000955BC">
      <w:pPr>
        <w:rPr>
          <w:snapToGrid w:val="0"/>
          <w:lang w:eastAsia="ja-JP"/>
        </w:rPr>
      </w:pPr>
    </w:p>
    <w:p w:rsidR="00090AC1" w:rsidRPr="00860B02" w:rsidRDefault="00E36D21" w:rsidP="00742B8A">
      <w:pPr>
        <w:pStyle w:val="DecisionParagraphs"/>
        <w:keepNext/>
        <w:keepLines/>
        <w:rPr>
          <w:snapToGrid w:val="0"/>
          <w:lang w:eastAsia="ja-JP"/>
        </w:rPr>
      </w:pPr>
      <w:r>
        <w:t>42.</w:t>
      </w:r>
      <w:r w:rsidR="002E4097" w:rsidRPr="00860B02">
        <w:tab/>
        <w:t>L</w:t>
      </w:r>
      <w:r w:rsidR="00D511BA" w:rsidRPr="00860B02">
        <w:t xml:space="preserve">e CAJ </w:t>
      </w:r>
      <w:r w:rsidR="002E4097" w:rsidRPr="00860B02">
        <w:t>est</w:t>
      </w:r>
      <w:r w:rsidR="00D511BA" w:rsidRPr="00860B02">
        <w:t xml:space="preserve"> invit</w:t>
      </w:r>
      <w:r w:rsidR="002E4097" w:rsidRPr="00860B02">
        <w:t>é à examiner les propositions faites par</w:t>
      </w:r>
      <w:r w:rsidR="00726505" w:rsidRPr="00860B02">
        <w:t xml:space="preserve"> le CAJ</w:t>
      </w:r>
      <w:r w:rsidR="000B2679" w:rsidRPr="00860B02">
        <w:noBreakHyphen/>
      </w:r>
      <w:r w:rsidR="00586860" w:rsidRPr="00860B02">
        <w:t>AG concernant la révision de la</w:t>
      </w:r>
      <w:r w:rsidR="003C7F21" w:rsidRPr="00860B02">
        <w:rPr>
          <w:lang w:eastAsia="ja-JP"/>
        </w:rPr>
        <w:t xml:space="preserve"> </w:t>
      </w:r>
      <w:r w:rsidR="00586860" w:rsidRPr="00860B02">
        <w:t>section</w:t>
      </w:r>
      <w:r w:rsidR="00752EE1" w:rsidRPr="00860B02">
        <w:t> </w:t>
      </w:r>
      <w:r w:rsidR="00586860" w:rsidRPr="00860B02">
        <w:t>2.2.2.</w:t>
      </w:r>
      <w:r w:rsidR="00D511BA" w:rsidRPr="00860B02">
        <w:t xml:space="preserve">c), </w:t>
      </w:r>
      <w:r w:rsidR="00586860" w:rsidRPr="00860B02">
        <w:t>de la s</w:t>
      </w:r>
      <w:r w:rsidR="000D1EA8" w:rsidRPr="00860B02">
        <w:t>ection</w:t>
      </w:r>
      <w:r w:rsidR="00752EE1" w:rsidRPr="00860B02">
        <w:t> </w:t>
      </w:r>
      <w:r w:rsidR="00D511BA" w:rsidRPr="00860B02">
        <w:t>4</w:t>
      </w:r>
      <w:r w:rsidR="00586860" w:rsidRPr="00860B02">
        <w:t>.</w:t>
      </w:r>
      <w:r w:rsidR="00D511BA" w:rsidRPr="00860B02">
        <w:t xml:space="preserve">a) </w:t>
      </w:r>
      <w:r w:rsidR="00586860" w:rsidRPr="00860B02">
        <w:t>et de la s</w:t>
      </w:r>
      <w:r w:rsidR="000D1EA8" w:rsidRPr="00860B02">
        <w:t>ection</w:t>
      </w:r>
      <w:r w:rsidR="00752EE1" w:rsidRPr="00860B02">
        <w:t> </w:t>
      </w:r>
      <w:r w:rsidR="00D511BA" w:rsidRPr="00860B02">
        <w:t>4</w:t>
      </w:r>
      <w:r w:rsidR="00586860" w:rsidRPr="00860B02">
        <w:t>.</w:t>
      </w:r>
      <w:r w:rsidR="003E5089" w:rsidRPr="00860B02">
        <w:t>e)</w:t>
      </w:r>
      <w:r w:rsidR="00D511BA" w:rsidRPr="00860B02">
        <w:t>i)</w:t>
      </w:r>
      <w:r w:rsidR="00586860" w:rsidRPr="00860B02">
        <w:t xml:space="preserve"> du</w:t>
      </w:r>
      <w:r w:rsidR="00D511BA" w:rsidRPr="00860B02">
        <w:t xml:space="preserve"> </w:t>
      </w:r>
      <w:r w:rsidR="00726505" w:rsidRPr="00860B02">
        <w:t>document UP</w:t>
      </w:r>
      <w:r w:rsidR="00586860" w:rsidRPr="00860B02">
        <w:t>OV/INF/12, ainsi qu</w:t>
      </w:r>
      <w:r w:rsidR="00905CDD" w:rsidRPr="00860B02">
        <w:t>’</w:t>
      </w:r>
      <w:r w:rsidR="00586860" w:rsidRPr="00860B02">
        <w:t xml:space="preserve">indiqué au </w:t>
      </w:r>
      <w:r w:rsidR="00D511BA" w:rsidRPr="00860B02">
        <w:t>paragraph</w:t>
      </w:r>
      <w:r w:rsidR="00586860" w:rsidRPr="00860B02">
        <w:t>e</w:t>
      </w:r>
      <w:r w:rsidR="00D511BA" w:rsidRPr="00860B02">
        <w:t> </w:t>
      </w:r>
      <w:r w:rsidR="00820F72" w:rsidRPr="00860B02">
        <w:rPr>
          <w:lang w:eastAsia="ja-JP"/>
        </w:rPr>
        <w:t>41</w:t>
      </w:r>
      <w:r w:rsidR="00D511BA" w:rsidRPr="00860B02">
        <w:t>.</w:t>
      </w:r>
    </w:p>
    <w:p w:rsidR="00090AC1" w:rsidRPr="00860B02" w:rsidRDefault="00090AC1" w:rsidP="00E10886">
      <w:pPr>
        <w:rPr>
          <w:snapToGrid w:val="0"/>
          <w:lang w:eastAsia="ja-JP"/>
        </w:rPr>
      </w:pPr>
    </w:p>
    <w:p w:rsidR="00742B8A" w:rsidRPr="00860B02" w:rsidRDefault="00742B8A" w:rsidP="00E10886">
      <w:pPr>
        <w:rPr>
          <w:snapToGrid w:val="0"/>
          <w:lang w:eastAsia="ja-JP"/>
        </w:rPr>
      </w:pPr>
    </w:p>
    <w:p w:rsidR="00742B8A" w:rsidRPr="00860B02" w:rsidRDefault="00742B8A" w:rsidP="00E10886">
      <w:pPr>
        <w:rPr>
          <w:snapToGrid w:val="0"/>
          <w:lang w:eastAsia="ja-JP"/>
        </w:rPr>
      </w:pPr>
    </w:p>
    <w:p w:rsidR="00900C26" w:rsidRPr="00860B02" w:rsidRDefault="000165F7" w:rsidP="00586860">
      <w:pPr>
        <w:jc w:val="right"/>
        <w:rPr>
          <w:snapToGrid w:val="0"/>
        </w:rPr>
      </w:pPr>
      <w:r w:rsidRPr="00860B02">
        <w:rPr>
          <w:snapToGrid w:val="0"/>
          <w:lang w:eastAsia="ja-JP"/>
        </w:rPr>
        <w:t>[Fin du document]</w:t>
      </w:r>
    </w:p>
    <w:sectPr w:rsidR="00900C26" w:rsidRPr="00860B02" w:rsidSect="003E5089">
      <w:headerReference w:type="default" r:id="rId11"/>
      <w:footerReference w:type="firs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FA7" w:rsidRDefault="004A6FA7">
      <w:r>
        <w:separator/>
      </w:r>
    </w:p>
    <w:p w:rsidR="004A6FA7" w:rsidRDefault="004A6FA7"/>
    <w:p w:rsidR="004A6FA7" w:rsidRDefault="004A6FA7"/>
  </w:endnote>
  <w:endnote w:type="continuationSeparator" w:id="0">
    <w:p w:rsidR="004A6FA7" w:rsidRDefault="004A6FA7">
      <w:r>
        <w:separator/>
      </w:r>
    </w:p>
    <w:p w:rsidR="004A6FA7" w:rsidRPr="00664515" w:rsidRDefault="004A6FA7">
      <w:pPr>
        <w:pStyle w:val="Footer"/>
        <w:spacing w:after="60"/>
        <w:rPr>
          <w:sz w:val="18"/>
          <w:lang w:val="fr-CH"/>
        </w:rPr>
      </w:pPr>
      <w:r w:rsidRPr="00664515">
        <w:rPr>
          <w:sz w:val="18"/>
          <w:lang w:val="fr-CH"/>
        </w:rPr>
        <w:t>[Suite de la note de la page précédente]</w:t>
      </w:r>
    </w:p>
    <w:p w:rsidR="004A6FA7" w:rsidRPr="00664515" w:rsidRDefault="004A6FA7">
      <w:pPr>
        <w:rPr>
          <w:lang w:val="fr-CH"/>
        </w:rPr>
      </w:pPr>
    </w:p>
    <w:p w:rsidR="004A6FA7" w:rsidRPr="00664515" w:rsidRDefault="004A6FA7">
      <w:pPr>
        <w:rPr>
          <w:lang w:val="fr-CH"/>
        </w:rPr>
      </w:pPr>
    </w:p>
  </w:endnote>
  <w:endnote w:type="continuationNotice" w:id="1">
    <w:p w:rsidR="004A6FA7" w:rsidRPr="00664515" w:rsidRDefault="004A6FA7">
      <w:pPr>
        <w:spacing w:before="60"/>
        <w:jc w:val="right"/>
        <w:rPr>
          <w:sz w:val="18"/>
          <w:lang w:val="fr-CH"/>
        </w:rPr>
      </w:pPr>
      <w:r w:rsidRPr="00664515">
        <w:rPr>
          <w:sz w:val="18"/>
          <w:lang w:val="fr-CH"/>
        </w:rPr>
        <w:t>[Suite de la note page suivante]</w:t>
      </w:r>
    </w:p>
    <w:p w:rsidR="004A6FA7" w:rsidRPr="00664515" w:rsidRDefault="004A6FA7">
      <w:pPr>
        <w:rPr>
          <w:lang w:val="fr-CH"/>
        </w:rPr>
      </w:pPr>
    </w:p>
    <w:p w:rsidR="004A6FA7" w:rsidRPr="00664515" w:rsidRDefault="004A6FA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3C3" w:rsidRDefault="00594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FA7" w:rsidRDefault="004A6FA7" w:rsidP="009D690D">
      <w:pPr>
        <w:spacing w:before="120"/>
      </w:pPr>
      <w:r>
        <w:separator/>
      </w:r>
    </w:p>
  </w:footnote>
  <w:footnote w:type="continuationSeparator" w:id="0">
    <w:p w:rsidR="004A6FA7" w:rsidRDefault="004A6FA7" w:rsidP="00520297">
      <w:pPr>
        <w:spacing w:before="120"/>
        <w:jc w:val="left"/>
      </w:pPr>
      <w:r>
        <w:separator/>
      </w:r>
    </w:p>
  </w:footnote>
  <w:footnote w:type="continuationNotice" w:id="1">
    <w:p w:rsidR="004A6FA7" w:rsidRDefault="004A6FA7"/>
  </w:footnote>
  <w:footnote w:id="2">
    <w:p w:rsidR="004A6FA7" w:rsidRPr="00D666FA" w:rsidRDefault="004A6FA7" w:rsidP="0024458B">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Tenue à Genève le 9 juin 2015.</w:t>
      </w:r>
    </w:p>
  </w:footnote>
  <w:footnote w:id="3">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4 du document UPOV/WG-DST/2/6 “Compte rendu”.</w:t>
      </w:r>
    </w:p>
  </w:footnote>
  <w:footnote w:id="4">
    <w:p w:rsidR="004A6FA7" w:rsidRPr="00D666FA" w:rsidRDefault="004A6FA7" w:rsidP="006E1B1A">
      <w:pPr>
        <w:spacing w:before="60"/>
        <w:rPr>
          <w:sz w:val="16"/>
          <w:szCs w:val="16"/>
          <w:lang w:eastAsia="ja-JP"/>
        </w:rPr>
      </w:pPr>
      <w:r w:rsidRPr="00D666FA">
        <w:rPr>
          <w:rStyle w:val="FootnoteReference"/>
          <w:sz w:val="16"/>
          <w:szCs w:val="16"/>
        </w:rPr>
        <w:footnoteRef/>
      </w:r>
      <w:r w:rsidRPr="00D666FA">
        <w:rPr>
          <w:sz w:val="16"/>
          <w:szCs w:val="16"/>
        </w:rPr>
        <w:t xml:space="preserve"> </w:t>
      </w:r>
      <w:r w:rsidRPr="00D666FA">
        <w:rPr>
          <w:sz w:val="16"/>
          <w:szCs w:val="16"/>
          <w:lang w:eastAsia="ja-JP"/>
        </w:rPr>
        <w:tab/>
      </w:r>
      <w:r w:rsidRPr="00D666FA">
        <w:rPr>
          <w:rFonts w:cs="Arial"/>
          <w:sz w:val="16"/>
          <w:szCs w:val="16"/>
        </w:rPr>
        <w:t>F3 = (1 + 3*3) x (précision x rappel)/(3*3 x précision + rappel).</w:t>
      </w:r>
    </w:p>
  </w:footnote>
  <w:footnote w:id="5">
    <w:p w:rsidR="004A6FA7" w:rsidRPr="00D666FA" w:rsidRDefault="004A6FA7" w:rsidP="006E1B1A">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5 du document UPOV/WG-DST/2/6 “Compte rendu”.</w:t>
      </w:r>
    </w:p>
  </w:footnote>
  <w:footnote w:id="6">
    <w:p w:rsidR="004A6FA7" w:rsidRPr="00D666FA" w:rsidRDefault="004A6FA7" w:rsidP="005D7A85">
      <w:pPr>
        <w:spacing w:before="60"/>
        <w:ind w:left="567" w:hanging="567"/>
        <w:rPr>
          <w:sz w:val="16"/>
          <w:szCs w:val="16"/>
        </w:rPr>
      </w:pPr>
      <w:r w:rsidRPr="00D666FA">
        <w:rPr>
          <w:rStyle w:val="FootnoteReference"/>
          <w:sz w:val="16"/>
          <w:szCs w:val="16"/>
        </w:rPr>
        <w:footnoteRef/>
      </w:r>
      <w:r w:rsidRPr="00D666FA">
        <w:rPr>
          <w:sz w:val="16"/>
          <w:szCs w:val="16"/>
        </w:rPr>
        <w:t xml:space="preserve"> </w:t>
      </w:r>
      <w:r w:rsidRPr="00D666FA">
        <w:rPr>
          <w:sz w:val="16"/>
          <w:szCs w:val="16"/>
          <w:lang w:eastAsia="ja-JP"/>
        </w:rPr>
        <w:tab/>
        <w:t>L’ampleur de la</w:t>
      </w:r>
      <w:r w:rsidRPr="00D666FA">
        <w:rPr>
          <w:rFonts w:cs="Arial"/>
          <w:sz w:val="16"/>
          <w:szCs w:val="16"/>
        </w:rPr>
        <w:t xml:space="preserve"> différence entre une dénomination et la dénomination test calculée par un algorithme s’appelle l’indice de similarité.  La valeur limite est le seuil de l’indice de similarité permettant de déterminer si la dénomination est considérée comme peu similaire à la dénomination test dans la mesure où il faudrait examiner chaque cas avant de décider si la dénomination était (suffisamment) différente de dénominations existantes (voir l’article 20(2) de l’Acte de 1991 et l’article 13(2) de l’Acte de 1978 et la Convention de 1961).</w:t>
      </w:r>
    </w:p>
  </w:footnote>
  <w:footnote w:id="7">
    <w:p w:rsidR="004A6FA7" w:rsidRPr="00D666FA" w:rsidRDefault="004A6FA7" w:rsidP="006350CD">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6 du document UPOV/WG-DST/2/6 “Compte rendu”.</w:t>
      </w:r>
    </w:p>
  </w:footnote>
  <w:footnote w:id="8">
    <w:p w:rsidR="004A6FA7" w:rsidRPr="00D666FA" w:rsidRDefault="004A6FA7" w:rsidP="00981982">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7 du document UPOV/WG-DST/2/6 “Compte rendu”.</w:t>
      </w:r>
    </w:p>
  </w:footnote>
  <w:footnote w:id="9">
    <w:p w:rsidR="004A6FA7" w:rsidRPr="00D666FA" w:rsidRDefault="004A6FA7" w:rsidP="00A400DF">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8 du document UPOV/WG-DST/2/6 “Compte rendu”.</w:t>
      </w:r>
    </w:p>
  </w:footnote>
  <w:footnote w:id="10">
    <w:p w:rsidR="004A6FA7" w:rsidRPr="00D666FA" w:rsidRDefault="004A6FA7" w:rsidP="007F2C48">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9 du document UPOV/WG-DST/2/6 “Compte rendu”.</w:t>
      </w:r>
    </w:p>
  </w:footnote>
  <w:footnote w:id="11">
    <w:p w:rsidR="004A6FA7" w:rsidRPr="00D666FA" w:rsidRDefault="004A6FA7" w:rsidP="001B1DAE">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10 du document UPOV/WG-DST/2/6 “Compte rendu”.</w:t>
      </w:r>
    </w:p>
  </w:footnote>
  <w:footnote w:id="12">
    <w:p w:rsidR="004A6FA7" w:rsidRPr="00D666FA" w:rsidRDefault="004A6FA7" w:rsidP="000B2679">
      <w:pPr>
        <w:pStyle w:val="FootnoteText"/>
        <w:rPr>
          <w:color w:val="auto"/>
          <w:lang w:eastAsia="ja-JP"/>
        </w:rPr>
      </w:pPr>
      <w:r w:rsidRPr="00D666FA">
        <w:rPr>
          <w:rStyle w:val="FootnoteReference"/>
          <w:color w:val="auto"/>
        </w:rPr>
        <w:footnoteRef/>
      </w:r>
      <w:r w:rsidRPr="00D666FA">
        <w:rPr>
          <w:color w:val="auto"/>
        </w:rPr>
        <w:t xml:space="preserve"> </w:t>
      </w:r>
      <w:r w:rsidRPr="00D666FA">
        <w:rPr>
          <w:rFonts w:hint="eastAsia"/>
          <w:color w:val="auto"/>
          <w:lang w:eastAsia="ja-JP"/>
        </w:rPr>
        <w:tab/>
      </w:r>
      <w:r w:rsidRPr="00D666FA">
        <w:rPr>
          <w:color w:val="auto"/>
          <w:lang w:eastAsia="ja-JP"/>
        </w:rPr>
        <w:t xml:space="preserve">Voir le paragraphe 11 du document </w:t>
      </w:r>
      <w:r w:rsidRPr="00D666FA">
        <w:rPr>
          <w:rFonts w:hint="eastAsia"/>
          <w:color w:val="auto"/>
          <w:lang w:eastAsia="ja-JP"/>
        </w:rPr>
        <w:t xml:space="preserve"> UPOV/WG-DST/2/6 </w:t>
      </w:r>
      <w:r w:rsidRPr="00D666FA">
        <w:rPr>
          <w:color w:val="auto"/>
          <w:lang w:eastAsia="ja-JP"/>
        </w:rPr>
        <w:t>“</w:t>
      </w:r>
      <w:r w:rsidRPr="00D666FA">
        <w:rPr>
          <w:rFonts w:hint="eastAsia"/>
          <w:color w:val="auto"/>
          <w:lang w:eastAsia="ja-JP"/>
        </w:rPr>
        <w:t>Report</w:t>
      </w:r>
      <w:r w:rsidRPr="00D666FA">
        <w:rPr>
          <w:color w:val="auto"/>
          <w:lang w:eastAsia="ja-JP"/>
        </w:rPr>
        <w:t>”.</w:t>
      </w:r>
    </w:p>
  </w:footnote>
  <w:footnote w:id="13">
    <w:p w:rsidR="004A6FA7" w:rsidRPr="00D666FA" w:rsidRDefault="004A6FA7" w:rsidP="00BB754F">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12 du document UPOV/WG-DST/2/6 “Compte rendu”</w:t>
      </w:r>
      <w:r w:rsidR="009A09F0">
        <w:rPr>
          <w:color w:val="auto"/>
          <w:lang w:eastAsia="ja-JP"/>
        </w:rPr>
        <w:t>.</w:t>
      </w:r>
    </w:p>
  </w:footnote>
  <w:footnote w:id="14">
    <w:p w:rsidR="004A6FA7" w:rsidRPr="00D666FA" w:rsidRDefault="004A6FA7" w:rsidP="00BB754F">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13 du document UPOV/WG-DST/2/6 “Compte rendu”</w:t>
      </w:r>
      <w:r w:rsidR="009A09F0">
        <w:rPr>
          <w:color w:val="auto"/>
          <w:lang w:eastAsia="ja-JP"/>
        </w:rPr>
        <w:t>.</w:t>
      </w:r>
    </w:p>
  </w:footnote>
  <w:footnote w:id="15">
    <w:p w:rsidR="004A6FA7" w:rsidRPr="00D666FA" w:rsidRDefault="004A6FA7" w:rsidP="00125546">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15 du document UPOV/WG-DST/2/6 “Compte rendu”</w:t>
      </w:r>
      <w:r w:rsidR="009A09F0">
        <w:rPr>
          <w:color w:val="auto"/>
          <w:lang w:eastAsia="ja-JP"/>
        </w:rPr>
        <w:t>.</w:t>
      </w:r>
    </w:p>
  </w:footnote>
  <w:footnote w:id="16">
    <w:p w:rsidR="004A6FA7" w:rsidRPr="00D666FA" w:rsidRDefault="004A6FA7" w:rsidP="000165F7">
      <w:pPr>
        <w:pStyle w:val="FootnoteText"/>
        <w:rPr>
          <w:color w:val="auto"/>
        </w:rPr>
      </w:pPr>
      <w:r w:rsidRPr="00D666FA">
        <w:rPr>
          <w:rStyle w:val="FootnoteReference"/>
          <w:color w:val="auto"/>
        </w:rPr>
        <w:footnoteRef/>
      </w:r>
      <w:r w:rsidRPr="00D666FA">
        <w:rPr>
          <w:color w:val="auto"/>
        </w:rPr>
        <w:t xml:space="preserve"> </w:t>
      </w:r>
      <w:r w:rsidRPr="00D666FA">
        <w:rPr>
          <w:color w:val="auto"/>
        </w:rPr>
        <w:tab/>
        <w:t>Tenue à Genève le 26 mars 2015.</w:t>
      </w:r>
    </w:p>
  </w:footnote>
  <w:footnote w:id="17">
    <w:p w:rsidR="004A6FA7" w:rsidRPr="00D666FA" w:rsidRDefault="004A6FA7" w:rsidP="000165F7">
      <w:pPr>
        <w:pStyle w:val="FootnoteText"/>
        <w:rPr>
          <w:color w:val="auto"/>
        </w:rPr>
      </w:pPr>
      <w:r w:rsidRPr="00D666FA">
        <w:rPr>
          <w:rStyle w:val="FootnoteReference"/>
          <w:color w:val="auto"/>
        </w:rPr>
        <w:footnoteRef/>
      </w:r>
      <w:r w:rsidRPr="00D666FA">
        <w:rPr>
          <w:color w:val="auto"/>
        </w:rPr>
        <w:t xml:space="preserve"> </w:t>
      </w:r>
      <w:r w:rsidRPr="00D666FA">
        <w:rPr>
          <w:color w:val="auto"/>
        </w:rPr>
        <w:tab/>
        <w:t>Tenue à Genève les 14 et 17 octobre 2014.</w:t>
      </w:r>
    </w:p>
  </w:footnote>
  <w:footnote w:id="18">
    <w:p w:rsidR="004A6FA7" w:rsidRPr="00D666FA" w:rsidRDefault="004A6FA7" w:rsidP="000165F7">
      <w:pPr>
        <w:pStyle w:val="FootnoteText"/>
        <w:rPr>
          <w:color w:val="auto"/>
        </w:rPr>
      </w:pPr>
      <w:r w:rsidRPr="00D666FA">
        <w:rPr>
          <w:rStyle w:val="FootnoteReference"/>
          <w:color w:val="auto"/>
        </w:rPr>
        <w:footnoteRef/>
      </w:r>
      <w:r w:rsidRPr="00D666FA">
        <w:rPr>
          <w:color w:val="auto"/>
        </w:rPr>
        <w:t xml:space="preserve"> </w:t>
      </w:r>
      <w:r w:rsidRPr="00D666FA">
        <w:rPr>
          <w:color w:val="auto"/>
        </w:rPr>
        <w:tab/>
        <w:t>Voir le paragraphe 35 du document CAJ/71/10 “Compte rendu des conclusions”</w:t>
      </w:r>
      <w:r w:rsidR="009A09F0">
        <w:rPr>
          <w:color w:val="auto"/>
        </w:rPr>
        <w:t>.</w:t>
      </w:r>
    </w:p>
  </w:footnote>
  <w:footnote w:id="19">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Tenue à Genève le 9 juin 2015.</w:t>
      </w:r>
    </w:p>
  </w:footnote>
  <w:footnote w:id="20">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21 du document UPOV/WG-DST/2/6 “Compte rendu”</w:t>
      </w:r>
      <w:r w:rsidR="009A09F0">
        <w:rPr>
          <w:color w:val="auto"/>
          <w:lang w:eastAsia="ja-JP"/>
        </w:rPr>
        <w:t>.</w:t>
      </w:r>
    </w:p>
  </w:footnote>
  <w:footnote w:id="21">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22 du document UPOV/WG-DST/2/6 “Compte rendu”</w:t>
      </w:r>
      <w:r w:rsidR="009A09F0">
        <w:rPr>
          <w:color w:val="auto"/>
          <w:lang w:eastAsia="ja-JP"/>
        </w:rPr>
        <w:t>.</w:t>
      </w:r>
    </w:p>
  </w:footnote>
  <w:footnote w:id="22">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23 du document UPOV/WG-DST/2/6 “Compte rendu”</w:t>
      </w:r>
      <w:r w:rsidR="009A09F0">
        <w:rPr>
          <w:color w:val="auto"/>
          <w:lang w:eastAsia="ja-JP"/>
        </w:rPr>
        <w:t>.</w:t>
      </w:r>
    </w:p>
  </w:footnote>
  <w:footnote w:id="23">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24 du document UPOV/WG-DST/2/6 “Compte rendu”</w:t>
      </w:r>
      <w:r w:rsidR="009A09F0">
        <w:rPr>
          <w:color w:val="auto"/>
          <w:lang w:eastAsia="ja-JP"/>
        </w:rPr>
        <w:t>.</w:t>
      </w:r>
    </w:p>
  </w:footnote>
  <w:footnote w:id="24">
    <w:p w:rsidR="004A6FA7" w:rsidRPr="00D666FA" w:rsidRDefault="004A6FA7" w:rsidP="00213943">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25 du document UPOV/WG-DST/2/6 “Compte rendu”</w:t>
      </w:r>
      <w:r w:rsidR="009A09F0">
        <w:rPr>
          <w:color w:val="auto"/>
          <w:lang w:eastAsia="ja-JP"/>
        </w:rPr>
        <w:t>.</w:t>
      </w:r>
    </w:p>
  </w:footnote>
  <w:footnote w:id="25">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26 du document UPOV/WG-DST/2/6 “Compte rendu”</w:t>
      </w:r>
      <w:r w:rsidR="009A09F0">
        <w:rPr>
          <w:color w:val="auto"/>
          <w:lang w:eastAsia="ja-JP"/>
        </w:rPr>
        <w:t>.</w:t>
      </w:r>
    </w:p>
  </w:footnote>
  <w:footnote w:id="26">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Prévue à Genève les 26 et 27 octobre 2015.</w:t>
      </w:r>
    </w:p>
  </w:footnote>
  <w:footnote w:id="27">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27 du document UPOV/WG-DST/2/6 “Compte rendu”</w:t>
      </w:r>
      <w:r w:rsidR="009A09F0">
        <w:rPr>
          <w:color w:val="auto"/>
          <w:lang w:eastAsia="ja-JP"/>
        </w:rPr>
        <w:t>.</w:t>
      </w:r>
    </w:p>
  </w:footnote>
  <w:footnote w:id="28">
    <w:p w:rsidR="004A6FA7" w:rsidRPr="00D666FA" w:rsidRDefault="004A6FA7" w:rsidP="000165F7">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28 du document UPOV/WG-DST/2/6 “Compte rendu”</w:t>
      </w:r>
      <w:r w:rsidR="009A09F0">
        <w:rPr>
          <w:color w:val="auto"/>
          <w:lang w:eastAsia="ja-JP"/>
        </w:rPr>
        <w:t>.</w:t>
      </w:r>
    </w:p>
  </w:footnote>
  <w:footnote w:id="29">
    <w:p w:rsidR="004A6FA7" w:rsidRPr="00D666FA" w:rsidRDefault="004A6FA7" w:rsidP="00082642">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29 du document UPOV/WG-DST/2/6 “Compte rendu”</w:t>
      </w:r>
      <w:r w:rsidR="009A09F0">
        <w:rPr>
          <w:color w:val="auto"/>
          <w:lang w:eastAsia="ja-JP"/>
        </w:rPr>
        <w:t>.</w:t>
      </w:r>
    </w:p>
  </w:footnote>
  <w:footnote w:id="30">
    <w:p w:rsidR="004A6FA7" w:rsidRPr="00D666FA" w:rsidRDefault="004A6FA7" w:rsidP="00F603E6">
      <w:pPr>
        <w:pStyle w:val="FootnoteText"/>
        <w:rPr>
          <w:color w:val="auto"/>
          <w:lang w:eastAsia="ja-JP"/>
        </w:rPr>
      </w:pPr>
      <w:r w:rsidRPr="00D666FA">
        <w:rPr>
          <w:rStyle w:val="FootnoteReference"/>
          <w:color w:val="auto"/>
        </w:rPr>
        <w:footnoteRef/>
      </w:r>
      <w:r w:rsidRPr="00D666FA">
        <w:rPr>
          <w:color w:val="auto"/>
        </w:rPr>
        <w:t xml:space="preserve"> </w:t>
      </w:r>
      <w:r w:rsidRPr="00D666FA">
        <w:rPr>
          <w:color w:val="auto"/>
          <w:lang w:eastAsia="ja-JP"/>
        </w:rPr>
        <w:tab/>
        <w:t>Voir le paragraphe 30 du document UPOV/WG-DST/2/6 “Compte rendu”</w:t>
      </w:r>
      <w:r w:rsidR="009A09F0">
        <w:rPr>
          <w:color w:val="auto"/>
          <w:lang w:eastAsia="ja-JP"/>
        </w:rPr>
        <w:t>.</w:t>
      </w:r>
    </w:p>
  </w:footnote>
  <w:footnote w:id="31">
    <w:p w:rsidR="004A6FA7" w:rsidRPr="00D666FA" w:rsidRDefault="004A6FA7" w:rsidP="000165F7">
      <w:pPr>
        <w:pStyle w:val="FootnoteText"/>
        <w:rPr>
          <w:color w:val="auto"/>
        </w:rPr>
      </w:pPr>
      <w:r w:rsidRPr="00D666FA">
        <w:rPr>
          <w:rStyle w:val="FootnoteReference"/>
          <w:color w:val="auto"/>
        </w:rPr>
        <w:footnoteRef/>
      </w:r>
      <w:r w:rsidRPr="00D666FA">
        <w:rPr>
          <w:color w:val="auto"/>
        </w:rPr>
        <w:t xml:space="preserve"> </w:t>
      </w:r>
      <w:r w:rsidRPr="00D666FA">
        <w:rPr>
          <w:color w:val="auto"/>
        </w:rPr>
        <w:tab/>
        <w:t>Voir le paragraphe 37 du document CAJ/71/10 “Compte rendu des conclusions”.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FA7" w:rsidRPr="00997029" w:rsidRDefault="004A6FA7" w:rsidP="00E23920">
    <w:pPr>
      <w:jc w:val="center"/>
      <w:rPr>
        <w:rStyle w:val="PageNumber"/>
      </w:rPr>
    </w:pPr>
    <w:r>
      <w:rPr>
        <w:rStyle w:val="PageNumber"/>
      </w:rPr>
      <w:t>CAJ/72/3</w:t>
    </w:r>
  </w:p>
  <w:p w:rsidR="004A6FA7" w:rsidRPr="00997029" w:rsidRDefault="004A6FA7"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E4452E">
      <w:rPr>
        <w:rStyle w:val="PageNumber"/>
        <w:noProof/>
      </w:rPr>
      <w:t>8</w:t>
    </w:r>
    <w:r w:rsidRPr="00997029">
      <w:rPr>
        <w:rStyle w:val="PageNumber"/>
      </w:rPr>
      <w:fldChar w:fldCharType="end"/>
    </w:r>
  </w:p>
  <w:p w:rsidR="004A6FA7" w:rsidRPr="00997029" w:rsidRDefault="004A6FA7" w:rsidP="00EB048E">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2B2C4B"/>
    <w:rsid w:val="00001380"/>
    <w:rsid w:val="00001D48"/>
    <w:rsid w:val="00004C35"/>
    <w:rsid w:val="000070C7"/>
    <w:rsid w:val="0001076D"/>
    <w:rsid w:val="00010CF3"/>
    <w:rsid w:val="00011E27"/>
    <w:rsid w:val="000148BC"/>
    <w:rsid w:val="000165F7"/>
    <w:rsid w:val="00020BFA"/>
    <w:rsid w:val="000214E6"/>
    <w:rsid w:val="00024AB8"/>
    <w:rsid w:val="000252A0"/>
    <w:rsid w:val="00036028"/>
    <w:rsid w:val="00037A85"/>
    <w:rsid w:val="00041C75"/>
    <w:rsid w:val="000446B9"/>
    <w:rsid w:val="00047E21"/>
    <w:rsid w:val="0006472C"/>
    <w:rsid w:val="0006681D"/>
    <w:rsid w:val="000825CE"/>
    <w:rsid w:val="00082642"/>
    <w:rsid w:val="00085505"/>
    <w:rsid w:val="000861F9"/>
    <w:rsid w:val="00090AC1"/>
    <w:rsid w:val="00092F1C"/>
    <w:rsid w:val="00093E95"/>
    <w:rsid w:val="000955BC"/>
    <w:rsid w:val="00097BB4"/>
    <w:rsid w:val="000B2679"/>
    <w:rsid w:val="000B39F1"/>
    <w:rsid w:val="000C4499"/>
    <w:rsid w:val="000C7021"/>
    <w:rsid w:val="000D1B39"/>
    <w:rsid w:val="000D1EA8"/>
    <w:rsid w:val="000D492E"/>
    <w:rsid w:val="000D6BBC"/>
    <w:rsid w:val="000D7780"/>
    <w:rsid w:val="00105929"/>
    <w:rsid w:val="00110481"/>
    <w:rsid w:val="001131D5"/>
    <w:rsid w:val="00122D6E"/>
    <w:rsid w:val="00123458"/>
    <w:rsid w:val="00125546"/>
    <w:rsid w:val="001318E9"/>
    <w:rsid w:val="00140C66"/>
    <w:rsid w:val="00141DB8"/>
    <w:rsid w:val="001449AB"/>
    <w:rsid w:val="00145C8B"/>
    <w:rsid w:val="00155F6F"/>
    <w:rsid w:val="00171032"/>
    <w:rsid w:val="0017474A"/>
    <w:rsid w:val="001758C6"/>
    <w:rsid w:val="00197777"/>
    <w:rsid w:val="001A2505"/>
    <w:rsid w:val="001B1DAE"/>
    <w:rsid w:val="001C3335"/>
    <w:rsid w:val="001C3DF3"/>
    <w:rsid w:val="001C4984"/>
    <w:rsid w:val="001E1FCC"/>
    <w:rsid w:val="001F1F2A"/>
    <w:rsid w:val="001F5558"/>
    <w:rsid w:val="00201CBB"/>
    <w:rsid w:val="002113CC"/>
    <w:rsid w:val="0021332C"/>
    <w:rsid w:val="00213943"/>
    <w:rsid w:val="00213982"/>
    <w:rsid w:val="002348AB"/>
    <w:rsid w:val="00237C7D"/>
    <w:rsid w:val="0024416D"/>
    <w:rsid w:val="0024458B"/>
    <w:rsid w:val="00257ACE"/>
    <w:rsid w:val="002627FF"/>
    <w:rsid w:val="00265B83"/>
    <w:rsid w:val="0027309C"/>
    <w:rsid w:val="002800A0"/>
    <w:rsid w:val="00280FCF"/>
    <w:rsid w:val="00281060"/>
    <w:rsid w:val="0029439F"/>
    <w:rsid w:val="00295FA4"/>
    <w:rsid w:val="002A6E50"/>
    <w:rsid w:val="002B260C"/>
    <w:rsid w:val="002B2C4B"/>
    <w:rsid w:val="002C256A"/>
    <w:rsid w:val="002C7B60"/>
    <w:rsid w:val="002E04ED"/>
    <w:rsid w:val="002E23EA"/>
    <w:rsid w:val="002E2D47"/>
    <w:rsid w:val="002E4097"/>
    <w:rsid w:val="002E7BA1"/>
    <w:rsid w:val="002F78FA"/>
    <w:rsid w:val="00305A7F"/>
    <w:rsid w:val="00313CFE"/>
    <w:rsid w:val="003152FE"/>
    <w:rsid w:val="00315B5E"/>
    <w:rsid w:val="00327436"/>
    <w:rsid w:val="00331016"/>
    <w:rsid w:val="00344BD6"/>
    <w:rsid w:val="0035528D"/>
    <w:rsid w:val="00361821"/>
    <w:rsid w:val="00364346"/>
    <w:rsid w:val="00367A2E"/>
    <w:rsid w:val="00377A2E"/>
    <w:rsid w:val="0038194C"/>
    <w:rsid w:val="0038410B"/>
    <w:rsid w:val="003A17C8"/>
    <w:rsid w:val="003C563E"/>
    <w:rsid w:val="003C7F21"/>
    <w:rsid w:val="003D227C"/>
    <w:rsid w:val="003D2B4D"/>
    <w:rsid w:val="003E362A"/>
    <w:rsid w:val="003E5089"/>
    <w:rsid w:val="003E5E33"/>
    <w:rsid w:val="003F6136"/>
    <w:rsid w:val="00414FD1"/>
    <w:rsid w:val="00415F5E"/>
    <w:rsid w:val="00427139"/>
    <w:rsid w:val="00432DA8"/>
    <w:rsid w:val="00444A88"/>
    <w:rsid w:val="00447E49"/>
    <w:rsid w:val="00461565"/>
    <w:rsid w:val="00461F5D"/>
    <w:rsid w:val="004657C9"/>
    <w:rsid w:val="00466910"/>
    <w:rsid w:val="00467ACD"/>
    <w:rsid w:val="00467CF9"/>
    <w:rsid w:val="00474DA4"/>
    <w:rsid w:val="00476E8D"/>
    <w:rsid w:val="004A34E0"/>
    <w:rsid w:val="004A6FA7"/>
    <w:rsid w:val="004C0A39"/>
    <w:rsid w:val="004D047D"/>
    <w:rsid w:val="004D41BA"/>
    <w:rsid w:val="004D773A"/>
    <w:rsid w:val="004F305A"/>
    <w:rsid w:val="0050430E"/>
    <w:rsid w:val="00506F0C"/>
    <w:rsid w:val="00512164"/>
    <w:rsid w:val="00520297"/>
    <w:rsid w:val="00524589"/>
    <w:rsid w:val="005249F3"/>
    <w:rsid w:val="00532FB6"/>
    <w:rsid w:val="005338F9"/>
    <w:rsid w:val="00536BAB"/>
    <w:rsid w:val="0054281C"/>
    <w:rsid w:val="00547554"/>
    <w:rsid w:val="00551E76"/>
    <w:rsid w:val="0055268D"/>
    <w:rsid w:val="00560BC9"/>
    <w:rsid w:val="00572E44"/>
    <w:rsid w:val="00576BE4"/>
    <w:rsid w:val="0058241D"/>
    <w:rsid w:val="00586860"/>
    <w:rsid w:val="00590C7D"/>
    <w:rsid w:val="005943C3"/>
    <w:rsid w:val="005A400A"/>
    <w:rsid w:val="005B5B69"/>
    <w:rsid w:val="005C7052"/>
    <w:rsid w:val="005C7998"/>
    <w:rsid w:val="005D7A85"/>
    <w:rsid w:val="005E165F"/>
    <w:rsid w:val="00602BDF"/>
    <w:rsid w:val="0061101C"/>
    <w:rsid w:val="00612379"/>
    <w:rsid w:val="0061555F"/>
    <w:rsid w:val="0061574C"/>
    <w:rsid w:val="006350CD"/>
    <w:rsid w:val="00641200"/>
    <w:rsid w:val="00644738"/>
    <w:rsid w:val="00663ED8"/>
    <w:rsid w:val="00664515"/>
    <w:rsid w:val="00677BDB"/>
    <w:rsid w:val="00687EB4"/>
    <w:rsid w:val="006964E4"/>
    <w:rsid w:val="006A4218"/>
    <w:rsid w:val="006B17D2"/>
    <w:rsid w:val="006B45FA"/>
    <w:rsid w:val="006C224E"/>
    <w:rsid w:val="006C7A3D"/>
    <w:rsid w:val="006D1537"/>
    <w:rsid w:val="006D412B"/>
    <w:rsid w:val="006E1B1A"/>
    <w:rsid w:val="007000D8"/>
    <w:rsid w:val="00716D3B"/>
    <w:rsid w:val="00726505"/>
    <w:rsid w:val="00732DEC"/>
    <w:rsid w:val="00734752"/>
    <w:rsid w:val="00735BD5"/>
    <w:rsid w:val="00742B8A"/>
    <w:rsid w:val="0075117E"/>
    <w:rsid w:val="00752EE1"/>
    <w:rsid w:val="00753A18"/>
    <w:rsid w:val="007556F6"/>
    <w:rsid w:val="00760EEF"/>
    <w:rsid w:val="0077424B"/>
    <w:rsid w:val="00777EE5"/>
    <w:rsid w:val="00784836"/>
    <w:rsid w:val="0079023E"/>
    <w:rsid w:val="007A04E8"/>
    <w:rsid w:val="007A6AF5"/>
    <w:rsid w:val="007B6894"/>
    <w:rsid w:val="007C6639"/>
    <w:rsid w:val="007D0B9D"/>
    <w:rsid w:val="007D19B0"/>
    <w:rsid w:val="007F2C48"/>
    <w:rsid w:val="007F498F"/>
    <w:rsid w:val="007F6A17"/>
    <w:rsid w:val="007F7C1C"/>
    <w:rsid w:val="0080679D"/>
    <w:rsid w:val="008108B0"/>
    <w:rsid w:val="00811B20"/>
    <w:rsid w:val="00812178"/>
    <w:rsid w:val="00820F72"/>
    <w:rsid w:val="0082296E"/>
    <w:rsid w:val="00824099"/>
    <w:rsid w:val="008327DC"/>
    <w:rsid w:val="00836E88"/>
    <w:rsid w:val="00852407"/>
    <w:rsid w:val="00855DBD"/>
    <w:rsid w:val="00860B02"/>
    <w:rsid w:val="00863EBE"/>
    <w:rsid w:val="00867AC1"/>
    <w:rsid w:val="00873963"/>
    <w:rsid w:val="00884CEA"/>
    <w:rsid w:val="00884D89"/>
    <w:rsid w:val="008A395B"/>
    <w:rsid w:val="008A743F"/>
    <w:rsid w:val="008A7D42"/>
    <w:rsid w:val="008B2D23"/>
    <w:rsid w:val="008B3595"/>
    <w:rsid w:val="008B51D0"/>
    <w:rsid w:val="008B5ED9"/>
    <w:rsid w:val="008C0970"/>
    <w:rsid w:val="008D2CF7"/>
    <w:rsid w:val="008D769B"/>
    <w:rsid w:val="008E793E"/>
    <w:rsid w:val="00900C26"/>
    <w:rsid w:val="0090197F"/>
    <w:rsid w:val="00905CDD"/>
    <w:rsid w:val="00906DDC"/>
    <w:rsid w:val="00911B1D"/>
    <w:rsid w:val="009175FC"/>
    <w:rsid w:val="00934E09"/>
    <w:rsid w:val="00936253"/>
    <w:rsid w:val="00937C60"/>
    <w:rsid w:val="00952258"/>
    <w:rsid w:val="0095578A"/>
    <w:rsid w:val="00970FED"/>
    <w:rsid w:val="00975AD5"/>
    <w:rsid w:val="00981982"/>
    <w:rsid w:val="00990E81"/>
    <w:rsid w:val="0099597A"/>
    <w:rsid w:val="00997029"/>
    <w:rsid w:val="009A09F0"/>
    <w:rsid w:val="009A2246"/>
    <w:rsid w:val="009B1DCB"/>
    <w:rsid w:val="009C5A31"/>
    <w:rsid w:val="009C773B"/>
    <w:rsid w:val="009D0DE5"/>
    <w:rsid w:val="009D690D"/>
    <w:rsid w:val="009E65B6"/>
    <w:rsid w:val="009F1BA3"/>
    <w:rsid w:val="009F1D52"/>
    <w:rsid w:val="009F2140"/>
    <w:rsid w:val="00A176E9"/>
    <w:rsid w:val="00A229BD"/>
    <w:rsid w:val="00A400DF"/>
    <w:rsid w:val="00A42AC3"/>
    <w:rsid w:val="00A430CF"/>
    <w:rsid w:val="00A54309"/>
    <w:rsid w:val="00A62978"/>
    <w:rsid w:val="00AA2C2B"/>
    <w:rsid w:val="00AA4DD8"/>
    <w:rsid w:val="00AB2B93"/>
    <w:rsid w:val="00AE0EF1"/>
    <w:rsid w:val="00AE542E"/>
    <w:rsid w:val="00AE7217"/>
    <w:rsid w:val="00AF5E85"/>
    <w:rsid w:val="00B02C57"/>
    <w:rsid w:val="00B07301"/>
    <w:rsid w:val="00B224DE"/>
    <w:rsid w:val="00B26742"/>
    <w:rsid w:val="00B36D60"/>
    <w:rsid w:val="00B424DC"/>
    <w:rsid w:val="00B4703A"/>
    <w:rsid w:val="00B4796C"/>
    <w:rsid w:val="00B608C7"/>
    <w:rsid w:val="00B70BD3"/>
    <w:rsid w:val="00B734CF"/>
    <w:rsid w:val="00B84BBD"/>
    <w:rsid w:val="00B91F6B"/>
    <w:rsid w:val="00B93464"/>
    <w:rsid w:val="00B974BF"/>
    <w:rsid w:val="00BA2E7D"/>
    <w:rsid w:val="00BA43FB"/>
    <w:rsid w:val="00BB754F"/>
    <w:rsid w:val="00BC127D"/>
    <w:rsid w:val="00BC1FE6"/>
    <w:rsid w:val="00BC2AB9"/>
    <w:rsid w:val="00BD4C24"/>
    <w:rsid w:val="00BF009E"/>
    <w:rsid w:val="00BF29F6"/>
    <w:rsid w:val="00BF786F"/>
    <w:rsid w:val="00C01892"/>
    <w:rsid w:val="00C05295"/>
    <w:rsid w:val="00C061B6"/>
    <w:rsid w:val="00C07945"/>
    <w:rsid w:val="00C118C9"/>
    <w:rsid w:val="00C147FB"/>
    <w:rsid w:val="00C151E1"/>
    <w:rsid w:val="00C21DBF"/>
    <w:rsid w:val="00C2446C"/>
    <w:rsid w:val="00C36907"/>
    <w:rsid w:val="00C36AE5"/>
    <w:rsid w:val="00C406C5"/>
    <w:rsid w:val="00C41F17"/>
    <w:rsid w:val="00C54BF4"/>
    <w:rsid w:val="00C5791C"/>
    <w:rsid w:val="00C63A01"/>
    <w:rsid w:val="00C66290"/>
    <w:rsid w:val="00C663DE"/>
    <w:rsid w:val="00C70613"/>
    <w:rsid w:val="00C72B7A"/>
    <w:rsid w:val="00C82922"/>
    <w:rsid w:val="00C84554"/>
    <w:rsid w:val="00C86274"/>
    <w:rsid w:val="00C973F2"/>
    <w:rsid w:val="00CA3196"/>
    <w:rsid w:val="00CA774A"/>
    <w:rsid w:val="00CB4DA9"/>
    <w:rsid w:val="00CC11B0"/>
    <w:rsid w:val="00CD6966"/>
    <w:rsid w:val="00CF7E36"/>
    <w:rsid w:val="00D02B72"/>
    <w:rsid w:val="00D02FD2"/>
    <w:rsid w:val="00D06623"/>
    <w:rsid w:val="00D201F5"/>
    <w:rsid w:val="00D20BF9"/>
    <w:rsid w:val="00D233D8"/>
    <w:rsid w:val="00D24210"/>
    <w:rsid w:val="00D3708D"/>
    <w:rsid w:val="00D40426"/>
    <w:rsid w:val="00D511BA"/>
    <w:rsid w:val="00D57C96"/>
    <w:rsid w:val="00D60CEA"/>
    <w:rsid w:val="00D666FA"/>
    <w:rsid w:val="00D67433"/>
    <w:rsid w:val="00D82CA6"/>
    <w:rsid w:val="00D91203"/>
    <w:rsid w:val="00D92539"/>
    <w:rsid w:val="00D95174"/>
    <w:rsid w:val="00D95A5C"/>
    <w:rsid w:val="00DA6F36"/>
    <w:rsid w:val="00DB10E5"/>
    <w:rsid w:val="00DB2E0B"/>
    <w:rsid w:val="00DC00EA"/>
    <w:rsid w:val="00DE68C7"/>
    <w:rsid w:val="00E040B2"/>
    <w:rsid w:val="00E10886"/>
    <w:rsid w:val="00E23920"/>
    <w:rsid w:val="00E36D21"/>
    <w:rsid w:val="00E419C7"/>
    <w:rsid w:val="00E4452E"/>
    <w:rsid w:val="00E72D49"/>
    <w:rsid w:val="00E7593C"/>
    <w:rsid w:val="00E75A37"/>
    <w:rsid w:val="00E7678A"/>
    <w:rsid w:val="00E935F1"/>
    <w:rsid w:val="00E94A81"/>
    <w:rsid w:val="00E95D7F"/>
    <w:rsid w:val="00EA1FFB"/>
    <w:rsid w:val="00EA4CFC"/>
    <w:rsid w:val="00EB048E"/>
    <w:rsid w:val="00EB2DE0"/>
    <w:rsid w:val="00EB3EFA"/>
    <w:rsid w:val="00EB53E3"/>
    <w:rsid w:val="00EF2F89"/>
    <w:rsid w:val="00F038C5"/>
    <w:rsid w:val="00F04DEB"/>
    <w:rsid w:val="00F1237A"/>
    <w:rsid w:val="00F22CBD"/>
    <w:rsid w:val="00F30997"/>
    <w:rsid w:val="00F349B3"/>
    <w:rsid w:val="00F37961"/>
    <w:rsid w:val="00F45897"/>
    <w:rsid w:val="00F603E6"/>
    <w:rsid w:val="00F6334D"/>
    <w:rsid w:val="00F73F12"/>
    <w:rsid w:val="00F85186"/>
    <w:rsid w:val="00F91828"/>
    <w:rsid w:val="00FA4556"/>
    <w:rsid w:val="00FA49AB"/>
    <w:rsid w:val="00FB0D37"/>
    <w:rsid w:val="00FB19DE"/>
    <w:rsid w:val="00FB6651"/>
    <w:rsid w:val="00FC6CEF"/>
    <w:rsid w:val="00FE39C7"/>
    <w:rsid w:val="00FE4AF3"/>
    <w:rsid w:val="00FF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lang w:val="fr-FR"/>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4A6FA7"/>
    <w:pPr>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0165F7"/>
    <w:pPr>
      <w:spacing w:before="60"/>
      <w:ind w:left="567" w:hanging="567"/>
      <w:jc w:val="both"/>
    </w:pPr>
    <w:rPr>
      <w:rFonts w:ascii="Arial" w:hAnsi="Arial"/>
      <w:color w:val="008000"/>
      <w:sz w:val="16"/>
      <w:szCs w:val="16"/>
      <w:lang w:val="fr-FR"/>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0165F7"/>
    <w:rPr>
      <w:rFonts w:ascii="Arial" w:hAnsi="Arial"/>
      <w:color w:val="008000"/>
      <w:sz w:val="16"/>
      <w:szCs w:val="16"/>
      <w:lang w:val="fr-FR"/>
    </w:rPr>
  </w:style>
  <w:style w:type="paragraph" w:styleId="NormalWeb">
    <w:name w:val="Normal (Web)"/>
    <w:basedOn w:val="Normal"/>
    <w:uiPriority w:val="99"/>
    <w:unhideWhenUsed/>
    <w:rsid w:val="00C82922"/>
    <w:pPr>
      <w:spacing w:before="100" w:beforeAutospacing="1" w:after="100" w:afterAutospacing="1"/>
      <w:jc w:val="left"/>
    </w:pPr>
    <w:rPr>
      <w:rFonts w:ascii="Times New Roman" w:eastAsiaTheme="minorHAnsi"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lang w:val="fr-FR"/>
    </w:rPr>
  </w:style>
  <w:style w:type="paragraph" w:styleId="Heading1">
    <w:name w:val="heading 1"/>
    <w:next w:val="Normal"/>
    <w:link w:val="Heading1Char"/>
    <w:autoRedefine/>
    <w:qFormat/>
    <w:rsid w:val="009175FC"/>
    <w:pPr>
      <w:jc w:val="both"/>
      <w:outlineLvl w:val="0"/>
    </w:pPr>
    <w:rPr>
      <w:rFonts w:ascii="Arial" w:hAnsi="Arial"/>
      <w:caps/>
    </w:rPr>
  </w:style>
  <w:style w:type="paragraph" w:styleId="Heading2">
    <w:name w:val="heading 2"/>
    <w:next w:val="Normal"/>
    <w:autoRedefine/>
    <w:qFormat/>
    <w:rsid w:val="004A6FA7"/>
    <w:pPr>
      <w:jc w:val="both"/>
      <w:outlineLvl w:val="1"/>
    </w:pPr>
    <w:rPr>
      <w:rFonts w:ascii="Arial" w:hAnsi="Arial"/>
      <w:u w:val="single"/>
    </w:rPr>
  </w:style>
  <w:style w:type="paragraph" w:styleId="Heading3">
    <w:name w:val="heading 3"/>
    <w:next w:val="Normal"/>
    <w:autoRedefine/>
    <w:qFormat/>
    <w:rsid w:val="008B5ED9"/>
    <w:pPr>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0165F7"/>
    <w:pPr>
      <w:spacing w:before="60"/>
      <w:ind w:left="567" w:hanging="567"/>
      <w:jc w:val="both"/>
    </w:pPr>
    <w:rPr>
      <w:rFonts w:ascii="Arial" w:hAnsi="Arial"/>
      <w:color w:val="008000"/>
      <w:sz w:val="16"/>
      <w:szCs w:val="16"/>
      <w:lang w:val="fr-FR"/>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64346"/>
    <w:pPr>
      <w:tabs>
        <w:tab w:val="right" w:leader="dot" w:pos="9639"/>
      </w:tabs>
      <w:spacing w:after="120"/>
      <w:ind w:left="284" w:right="851"/>
      <w:contextualSpacing/>
    </w:pPr>
    <w:rPr>
      <w:rFonts w:ascii="Arial" w:hAnsi="Arial"/>
      <w:noProof/>
    </w:rPr>
  </w:style>
  <w:style w:type="paragraph" w:styleId="TOC3">
    <w:name w:val="toc 3"/>
    <w:next w:val="Normal"/>
    <w:autoRedefine/>
    <w:uiPriority w:val="39"/>
    <w:rsid w:val="00364346"/>
    <w:pPr>
      <w:tabs>
        <w:tab w:val="right" w:leader="dot" w:pos="9639"/>
      </w:tabs>
      <w:spacing w:after="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64346"/>
    <w:pPr>
      <w:tabs>
        <w:tab w:val="right" w:leader="dot" w:pos="9639"/>
      </w:tabs>
      <w:spacing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9175FC"/>
    <w:rPr>
      <w:rFonts w:ascii="Arial" w:hAnsi="Arial"/>
      <w:caps/>
    </w:rPr>
  </w:style>
  <w:style w:type="paragraph" w:customStyle="1" w:styleId="Default">
    <w:name w:val="Default"/>
    <w:rsid w:val="00E10886"/>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rsid w:val="000165F7"/>
    <w:rPr>
      <w:rFonts w:ascii="Arial" w:hAnsi="Arial"/>
      <w:color w:val="008000"/>
      <w:sz w:val="16"/>
      <w:szCs w:val="16"/>
      <w:lang w:val="fr-FR"/>
    </w:rPr>
  </w:style>
  <w:style w:type="paragraph" w:styleId="NormalWeb">
    <w:name w:val="Normal (Web)"/>
    <w:basedOn w:val="Normal"/>
    <w:uiPriority w:val="99"/>
    <w:unhideWhenUsed/>
    <w:rsid w:val="00C82922"/>
    <w:pPr>
      <w:spacing w:before="100" w:beforeAutospacing="1" w:after="100" w:afterAutospacing="1"/>
      <w:jc w:val="left"/>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464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pluto/fr/" TargetMode="External"/><Relationship Id="rId4" Type="http://schemas.openxmlformats.org/officeDocument/2006/relationships/settings" Target="settings.xml"/><Relationship Id="rId9" Type="http://schemas.openxmlformats.org/officeDocument/2006/relationships/hyperlink" Target="http://www.upov.int/edocs/mdocs/upov/en/wg_dst_2/wg_dst_2_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3D26-3AB0-4092-8DFB-904579D9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3392</Words>
  <Characters>19336</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CAJ/72/3</vt:lpstr>
      <vt:lpstr>CAJ/72/3</vt:lpstr>
    </vt:vector>
  </TitlesOfParts>
  <Company>UPOV</Company>
  <LinksUpToDate>false</LinksUpToDate>
  <CharactersWithSpaces>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CAJ/72/3</dc:title>
  <dc:creator>KOIDE Jun</dc:creator>
  <cp:keywords>MFB/mhf</cp:keywords>
  <cp:lastModifiedBy>BESSE Ariane</cp:lastModifiedBy>
  <cp:revision>13</cp:revision>
  <cp:lastPrinted>2015-10-14T09:50:00Z</cp:lastPrinted>
  <dcterms:created xsi:type="dcterms:W3CDTF">2015-10-11T09:03:00Z</dcterms:created>
  <dcterms:modified xsi:type="dcterms:W3CDTF">2015-10-14T09:50:00Z</dcterms:modified>
</cp:coreProperties>
</file>