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65D72" w:rsidRPr="007C274E" w:rsidTr="000A149E">
        <w:trPr>
          <w:trHeight w:val="1760"/>
        </w:trPr>
        <w:tc>
          <w:tcPr>
            <w:tcW w:w="4243" w:type="dxa"/>
          </w:tcPr>
          <w:p w:rsidR="00565D72" w:rsidRPr="007C274E" w:rsidRDefault="00565D72" w:rsidP="000A149E"/>
        </w:tc>
        <w:tc>
          <w:tcPr>
            <w:tcW w:w="1646" w:type="dxa"/>
            <w:vAlign w:val="center"/>
          </w:tcPr>
          <w:p w:rsidR="00565D72" w:rsidRPr="007C274E" w:rsidRDefault="00565D72" w:rsidP="000A149E">
            <w:pPr>
              <w:pStyle w:val="LogoUPOV"/>
            </w:pPr>
            <w:r w:rsidRPr="007C274E">
              <w:rPr>
                <w:noProof/>
              </w:rPr>
              <w:drawing>
                <wp:inline distT="0" distB="0" distL="0" distR="0" wp14:anchorId="214DC157" wp14:editId="3EFEED0A">
                  <wp:extent cx="981710" cy="481330"/>
                  <wp:effectExtent l="0" t="0" r="889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565D72" w:rsidRPr="007C274E" w:rsidRDefault="00565D72" w:rsidP="000A149E">
            <w:pPr>
              <w:pStyle w:val="Lettrine"/>
            </w:pPr>
            <w:r w:rsidRPr="007C274E">
              <w:t>F</w:t>
            </w:r>
          </w:p>
          <w:p w:rsidR="00565D72" w:rsidRPr="007C274E" w:rsidRDefault="00565D72" w:rsidP="000A149E">
            <w:pPr>
              <w:pStyle w:val="Docoriginal"/>
              <w:jc w:val="left"/>
            </w:pPr>
            <w:r w:rsidRPr="007C274E">
              <w:t>CAJ/</w:t>
            </w:r>
            <w:r>
              <w:t>72</w:t>
            </w:r>
            <w:r w:rsidRPr="007C274E">
              <w:t>/</w:t>
            </w:r>
            <w:r>
              <w:t>2</w:t>
            </w:r>
          </w:p>
          <w:p w:rsidR="00565D72" w:rsidRPr="007C274E" w:rsidRDefault="00565D72" w:rsidP="000A149E">
            <w:pPr>
              <w:pStyle w:val="Docoriginal"/>
              <w:jc w:val="left"/>
            </w:pPr>
            <w:r w:rsidRPr="007C274E">
              <w:rPr>
                <w:rStyle w:val="StyleDoclangBold"/>
                <w:b/>
                <w:bCs/>
                <w:spacing w:val="0"/>
                <w:lang w:val="fr-FR"/>
              </w:rPr>
              <w:t>ORIGINAL :</w:t>
            </w:r>
            <w:r w:rsidRPr="007C274E">
              <w:rPr>
                <w:rStyle w:val="StyleDocoriginalNotBold1"/>
                <w:spacing w:val="0"/>
                <w:lang w:val="fr-FR"/>
              </w:rPr>
              <w:t xml:space="preserve"> </w:t>
            </w:r>
            <w:r w:rsidRPr="007C274E">
              <w:rPr>
                <w:b w:val="0"/>
                <w:spacing w:val="0"/>
              </w:rPr>
              <w:t>anglais</w:t>
            </w:r>
          </w:p>
          <w:p w:rsidR="00565D72" w:rsidRPr="007C274E" w:rsidRDefault="00565D72" w:rsidP="00565D72">
            <w:pPr>
              <w:pStyle w:val="Docoriginal"/>
              <w:jc w:val="left"/>
            </w:pPr>
            <w:r w:rsidRPr="007C274E">
              <w:rPr>
                <w:spacing w:val="0"/>
              </w:rPr>
              <w:t>DATE :</w:t>
            </w:r>
            <w:r w:rsidRPr="007C274E">
              <w:rPr>
                <w:b w:val="0"/>
                <w:spacing w:val="0"/>
              </w:rPr>
              <w:t xml:space="preserve"> </w:t>
            </w:r>
            <w:r>
              <w:rPr>
                <w:rStyle w:val="StyleDocoriginalNotBold1"/>
                <w:spacing w:val="0"/>
                <w:lang w:val="fr-FR"/>
              </w:rPr>
              <w:t>17 septembre 2015</w:t>
            </w:r>
          </w:p>
        </w:tc>
      </w:tr>
      <w:tr w:rsidR="00565D72" w:rsidRPr="007C274E" w:rsidTr="000A149E">
        <w:tc>
          <w:tcPr>
            <w:tcW w:w="10131" w:type="dxa"/>
            <w:gridSpan w:val="3"/>
          </w:tcPr>
          <w:p w:rsidR="00565D72" w:rsidRPr="007C274E" w:rsidRDefault="00565D72" w:rsidP="000A149E">
            <w:pPr>
              <w:pStyle w:val="upove"/>
              <w:rPr>
                <w:sz w:val="28"/>
              </w:rPr>
            </w:pPr>
            <w:r w:rsidRPr="007C274E">
              <w:rPr>
                <w:spacing w:val="6"/>
              </w:rPr>
              <w:t>UNION INTERNATIONALE POUR LA PROTECTION DES OBTENTIONS VÉGÉTALES</w:t>
            </w:r>
          </w:p>
        </w:tc>
      </w:tr>
      <w:tr w:rsidR="00565D72" w:rsidRPr="007C274E" w:rsidTr="000A149E">
        <w:tc>
          <w:tcPr>
            <w:tcW w:w="10131" w:type="dxa"/>
            <w:gridSpan w:val="3"/>
          </w:tcPr>
          <w:p w:rsidR="00565D72" w:rsidRPr="007C274E" w:rsidRDefault="00565D72" w:rsidP="000A149E">
            <w:pPr>
              <w:pStyle w:val="Country"/>
            </w:pPr>
            <w:r w:rsidRPr="007C274E">
              <w:t>Genève</w:t>
            </w:r>
          </w:p>
        </w:tc>
      </w:tr>
    </w:tbl>
    <w:p w:rsidR="003A3FE4" w:rsidRPr="006D55CC" w:rsidRDefault="003A3FE4" w:rsidP="00892799">
      <w:pPr>
        <w:pStyle w:val="Sessiontc"/>
        <w:rPr>
          <w:lang w:val="fr-FR"/>
        </w:rPr>
      </w:pPr>
      <w:r w:rsidRPr="006D55CC">
        <w:rPr>
          <w:lang w:val="fr-FR"/>
        </w:rPr>
        <w:t>Comité administratif et juridique</w:t>
      </w:r>
    </w:p>
    <w:p w:rsidR="003A3FE4" w:rsidRPr="006D55CC" w:rsidRDefault="003A3FE4" w:rsidP="00892799">
      <w:pPr>
        <w:pStyle w:val="Sessiontcplacedate"/>
        <w:rPr>
          <w:lang w:val="fr-FR"/>
        </w:rPr>
      </w:pPr>
      <w:r w:rsidRPr="006D55CC">
        <w:rPr>
          <w:lang w:val="fr-FR"/>
        </w:rPr>
        <w:t>Soixante</w:t>
      </w:r>
      <w:r w:rsidR="005275ED" w:rsidRPr="006D55CC">
        <w:rPr>
          <w:lang w:val="fr-FR"/>
        </w:rPr>
        <w:noBreakHyphen/>
      </w:r>
      <w:r w:rsidRPr="006D55CC">
        <w:rPr>
          <w:lang w:val="fr-FR"/>
        </w:rPr>
        <w:t>douzième session</w:t>
      </w:r>
      <w:r w:rsidRPr="006D55CC">
        <w:rPr>
          <w:lang w:val="fr-FR"/>
        </w:rPr>
        <w:br/>
        <w:t>Genève, 26 et 2</w:t>
      </w:r>
      <w:r w:rsidR="00131117" w:rsidRPr="006D55CC">
        <w:rPr>
          <w:lang w:val="fr-FR"/>
        </w:rPr>
        <w:t>7 octobre</w:t>
      </w:r>
      <w:r w:rsidRPr="006D55CC">
        <w:rPr>
          <w:lang w:val="fr-FR"/>
        </w:rPr>
        <w:t> 2015</w:t>
      </w:r>
    </w:p>
    <w:p w:rsidR="003A3FE4" w:rsidRPr="006D55CC" w:rsidRDefault="003A3FE4" w:rsidP="00892799">
      <w:pPr>
        <w:pStyle w:val="Titleofdoc0"/>
        <w:rPr>
          <w:lang w:val="fr-FR"/>
        </w:rPr>
      </w:pPr>
      <w:r w:rsidRPr="006D55CC">
        <w:rPr>
          <w:lang w:val="fr-FR"/>
        </w:rPr>
        <w:t>Élaboration de matériel d</w:t>
      </w:r>
      <w:r w:rsidR="00131117" w:rsidRPr="006D55CC">
        <w:rPr>
          <w:lang w:val="fr-FR"/>
        </w:rPr>
        <w:t>’</w:t>
      </w:r>
      <w:r w:rsidRPr="006D55CC">
        <w:rPr>
          <w:lang w:val="fr-FR"/>
        </w:rPr>
        <w:t xml:space="preserve">information concernant la </w:t>
      </w:r>
      <w:r w:rsidR="00131117" w:rsidRPr="006D55CC">
        <w:rPr>
          <w:lang w:val="fr-FR"/>
        </w:rPr>
        <w:t>Convention UPOV</w:t>
      </w:r>
    </w:p>
    <w:p w:rsidR="003A3FE4" w:rsidRPr="00565D72" w:rsidRDefault="003A3FE4" w:rsidP="00892799">
      <w:pPr>
        <w:pStyle w:val="preparedby1"/>
        <w:tabs>
          <w:tab w:val="left" w:pos="142"/>
        </w:tabs>
        <w:rPr>
          <w:snapToGrid w:val="0"/>
          <w:color w:val="A6A6A6" w:themeColor="background1" w:themeShade="A6"/>
          <w:szCs w:val="16"/>
          <w:lang w:val="fr-FR"/>
        </w:rPr>
      </w:pPr>
      <w:bookmarkStart w:id="0" w:name="Prepared"/>
      <w:bookmarkEnd w:id="0"/>
      <w:r w:rsidRPr="006D55CC">
        <w:rPr>
          <w:lang w:val="fr-FR"/>
        </w:rPr>
        <w:t>Document établi par le Bureau de l</w:t>
      </w:r>
      <w:r w:rsidR="00131117" w:rsidRPr="006D55CC">
        <w:rPr>
          <w:lang w:val="fr-FR"/>
        </w:rPr>
        <w:t>’</w:t>
      </w:r>
      <w:r w:rsidRPr="006D55CC">
        <w:rPr>
          <w:lang w:val="fr-FR"/>
        </w:rPr>
        <w:t>Union</w:t>
      </w:r>
      <w:r w:rsidRPr="006D55CC">
        <w:rPr>
          <w:lang w:val="fr-FR"/>
        </w:rPr>
        <w:br/>
      </w:r>
      <w:r w:rsidRPr="006D55CC">
        <w:rPr>
          <w:lang w:val="fr-FR"/>
        </w:rPr>
        <w:br/>
      </w:r>
      <w:r w:rsidRPr="00565D72">
        <w:rPr>
          <w:color w:val="A6A6A6" w:themeColor="background1" w:themeShade="A6"/>
          <w:lang w:val="fr-FR"/>
        </w:rPr>
        <w:t>Avertissement : le présent document ne représente pas les principes ou les orientations de l</w:t>
      </w:r>
      <w:r w:rsidR="00131117" w:rsidRPr="00565D72">
        <w:rPr>
          <w:color w:val="A6A6A6" w:themeColor="background1" w:themeShade="A6"/>
          <w:lang w:val="fr-FR"/>
        </w:rPr>
        <w:t>’</w:t>
      </w:r>
      <w:r w:rsidRPr="00565D72">
        <w:rPr>
          <w:color w:val="A6A6A6" w:themeColor="background1" w:themeShade="A6"/>
          <w:lang w:val="fr-FR"/>
        </w:rPr>
        <w:t>UPOV</w:t>
      </w:r>
    </w:p>
    <w:p w:rsidR="003A3FE4" w:rsidRPr="006D55CC" w:rsidRDefault="003A3FE4" w:rsidP="00892799">
      <w:pPr>
        <w:jc w:val="left"/>
        <w:rPr>
          <w:rFonts w:cs="Arial"/>
          <w:snapToGrid w:val="0"/>
          <w:lang w:val="fr-FR"/>
        </w:rPr>
      </w:pPr>
      <w:r w:rsidRPr="006D55CC">
        <w:rPr>
          <w:rFonts w:cs="Arial"/>
          <w:snapToGrid w:val="0"/>
          <w:lang w:val="fr-FR"/>
        </w:rPr>
        <w:t>RÉSUMÉ</w:t>
      </w:r>
    </w:p>
    <w:p w:rsidR="003A3FE4" w:rsidRPr="006D55CC" w:rsidRDefault="003A3FE4" w:rsidP="00892799">
      <w:pPr>
        <w:rPr>
          <w:rFonts w:cs="Arial"/>
          <w:b/>
          <w:snapToGrid w:val="0"/>
          <w:lang w:val="fr-FR"/>
        </w:rPr>
      </w:pPr>
    </w:p>
    <w:p w:rsidR="003A3FE4" w:rsidRPr="006D55CC" w:rsidRDefault="003A3FE4"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t>Le présent document a pour objet d</w:t>
      </w:r>
      <w:r w:rsidR="00131117" w:rsidRPr="006D55CC">
        <w:rPr>
          <w:lang w:val="fr-FR"/>
        </w:rPr>
        <w:t>’</w:t>
      </w:r>
      <w:r w:rsidRPr="006D55CC">
        <w:rPr>
          <w:lang w:val="fr-FR"/>
        </w:rPr>
        <w:t>apporter des informations générales en vue de faciliter l</w:t>
      </w:r>
      <w:r w:rsidR="00131117" w:rsidRPr="006D55CC">
        <w:rPr>
          <w:lang w:val="fr-FR"/>
        </w:rPr>
        <w:t>’</w:t>
      </w:r>
      <w:r w:rsidRPr="006D55CC">
        <w:rPr>
          <w:lang w:val="fr-FR"/>
        </w:rPr>
        <w:t>examen de questions par le Comité administratif et juridique (CAJ) à sa soixante</w:t>
      </w:r>
      <w:r w:rsidR="005275ED" w:rsidRPr="006D55CC">
        <w:rPr>
          <w:lang w:val="fr-FR"/>
        </w:rPr>
        <w:noBreakHyphen/>
      </w:r>
      <w:r w:rsidRPr="006D55CC">
        <w:rPr>
          <w:lang w:val="fr-FR"/>
        </w:rPr>
        <w:t>douzième session et de présenter un programme provisoire pour l</w:t>
      </w:r>
      <w:r w:rsidR="00131117" w:rsidRPr="006D55CC">
        <w:rPr>
          <w:lang w:val="fr-FR"/>
        </w:rPr>
        <w:t>’</w:t>
      </w:r>
      <w:r w:rsidRPr="006D55CC">
        <w:rPr>
          <w:lang w:val="fr-FR"/>
        </w:rPr>
        <w:t>élaboration de matériel d</w:t>
      </w:r>
      <w:r w:rsidR="00131117" w:rsidRPr="006D55CC">
        <w:rPr>
          <w:lang w:val="fr-FR"/>
        </w:rPr>
        <w:t>’</w:t>
      </w:r>
      <w:r w:rsidRPr="006D55CC">
        <w:rPr>
          <w:lang w:val="fr-FR"/>
        </w:rPr>
        <w:t>information.</w:t>
      </w:r>
    </w:p>
    <w:p w:rsidR="003A3FE4" w:rsidRPr="006D55CC" w:rsidRDefault="003A3FE4" w:rsidP="00892799">
      <w:pPr>
        <w:rPr>
          <w:lang w:val="fr-FR"/>
        </w:rPr>
      </w:pPr>
    </w:p>
    <w:p w:rsidR="003A3FE4" w:rsidRPr="006D55CC" w:rsidRDefault="003A3FE4"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t>Le CAJ est invité à :</w:t>
      </w:r>
    </w:p>
    <w:p w:rsidR="003A3FE4" w:rsidRPr="006D55CC" w:rsidRDefault="003A3FE4" w:rsidP="00892799">
      <w:pPr>
        <w:rPr>
          <w:lang w:val="fr-FR"/>
        </w:rPr>
      </w:pPr>
    </w:p>
    <w:p w:rsidR="00146A37" w:rsidRPr="006D55CC" w:rsidRDefault="00146A37" w:rsidP="00892799">
      <w:pPr>
        <w:rPr>
          <w:lang w:val="fr-FR"/>
        </w:rPr>
      </w:pPr>
      <w:r w:rsidRPr="006D55CC">
        <w:rPr>
          <w:lang w:val="fr-FR"/>
        </w:rPr>
        <w:tab/>
        <w:t>a)</w:t>
      </w:r>
      <w:r w:rsidRPr="006D55CC">
        <w:rPr>
          <w:lang w:val="fr-FR"/>
        </w:rPr>
        <w:tab/>
      </w:r>
      <w:r w:rsidR="00C20E3F" w:rsidRPr="006D55CC">
        <w:rPr>
          <w:lang w:val="fr-FR"/>
        </w:rPr>
        <w:t>accueillir</w:t>
      </w:r>
      <w:r w:rsidR="002B3F61" w:rsidRPr="006D55CC">
        <w:rPr>
          <w:lang w:val="fr-FR"/>
        </w:rPr>
        <w:t xml:space="preserve"> </w:t>
      </w:r>
      <w:r w:rsidR="009D1160" w:rsidRPr="006D55CC">
        <w:rPr>
          <w:lang w:val="fr-FR"/>
        </w:rPr>
        <w:t xml:space="preserve">favorablement </w:t>
      </w:r>
      <w:r w:rsidR="00892799" w:rsidRPr="006D55CC">
        <w:rPr>
          <w:lang w:val="fr-FR"/>
        </w:rPr>
        <w:t>l’exposé qu</w:t>
      </w:r>
      <w:r w:rsidR="002B3F61" w:rsidRPr="006D55CC">
        <w:rPr>
          <w:lang w:val="fr-FR"/>
        </w:rPr>
        <w:t>e l</w:t>
      </w:r>
      <w:r w:rsidR="00131117" w:rsidRPr="006D55CC">
        <w:rPr>
          <w:lang w:val="fr-FR"/>
        </w:rPr>
        <w:t>’</w:t>
      </w:r>
      <w:r w:rsidR="009D1160" w:rsidRPr="006D55CC">
        <w:rPr>
          <w:lang w:val="fr-FR"/>
        </w:rPr>
        <w:t>Union européenne a</w:t>
      </w:r>
      <w:r w:rsidR="002B3F61" w:rsidRPr="006D55CC">
        <w:rPr>
          <w:lang w:val="fr-FR"/>
        </w:rPr>
        <w:t xml:space="preserve"> l</w:t>
      </w:r>
      <w:r w:rsidR="00131117" w:rsidRPr="006D55CC">
        <w:rPr>
          <w:lang w:val="fr-FR"/>
        </w:rPr>
        <w:t>’</w:t>
      </w:r>
      <w:r w:rsidR="002B3F61" w:rsidRPr="006D55CC">
        <w:rPr>
          <w:lang w:val="fr-FR"/>
        </w:rPr>
        <w:t>intention de</w:t>
      </w:r>
      <w:r w:rsidR="009D1160" w:rsidRPr="006D55CC">
        <w:rPr>
          <w:lang w:val="fr-FR"/>
        </w:rPr>
        <w:t xml:space="preserve"> présenter</w:t>
      </w:r>
      <w:r w:rsidR="002B3F61" w:rsidRPr="006D55CC">
        <w:rPr>
          <w:lang w:val="fr-FR"/>
        </w:rPr>
        <w:t xml:space="preserve"> sur son système concernant les variétés essentiellement dérivées lors de la soixante</w:t>
      </w:r>
      <w:r w:rsidR="005275ED" w:rsidRPr="006D55CC">
        <w:rPr>
          <w:lang w:val="fr-FR"/>
        </w:rPr>
        <w:noBreakHyphen/>
      </w:r>
      <w:r w:rsidR="002B3F61" w:rsidRPr="006D55CC">
        <w:rPr>
          <w:lang w:val="fr-FR"/>
        </w:rPr>
        <w:t>douzième session</w:t>
      </w:r>
      <w:r w:rsidR="00131117" w:rsidRPr="006D55CC">
        <w:rPr>
          <w:lang w:val="fr-FR"/>
        </w:rPr>
        <w:t xml:space="preserve"> du CAJ</w:t>
      </w:r>
      <w:r w:rsidRPr="006D55CC">
        <w:rPr>
          <w:lang w:val="fr-FR"/>
        </w:rPr>
        <w:t>;</w:t>
      </w:r>
    </w:p>
    <w:p w:rsidR="00146A37" w:rsidRPr="006D55CC" w:rsidRDefault="00146A37" w:rsidP="00892799">
      <w:pPr>
        <w:rPr>
          <w:lang w:val="fr-FR"/>
        </w:rPr>
      </w:pPr>
    </w:p>
    <w:p w:rsidR="00131117" w:rsidRPr="006D55CC" w:rsidRDefault="00146A37" w:rsidP="00892799">
      <w:pPr>
        <w:rPr>
          <w:lang w:val="fr-FR"/>
        </w:rPr>
      </w:pPr>
      <w:r w:rsidRPr="006D55CC">
        <w:rPr>
          <w:lang w:val="fr-FR"/>
        </w:rPr>
        <w:tab/>
        <w:t>b)</w:t>
      </w:r>
      <w:r w:rsidRPr="006D55CC">
        <w:rPr>
          <w:lang w:val="fr-FR"/>
        </w:rPr>
        <w:tab/>
      </w:r>
      <w:r w:rsidR="00316FB4" w:rsidRPr="006D55CC">
        <w:rPr>
          <w:lang w:val="fr-FR"/>
        </w:rPr>
        <w:t xml:space="preserve">examiner la proposition </w:t>
      </w:r>
      <w:r w:rsidR="009D1160" w:rsidRPr="006D55CC">
        <w:rPr>
          <w:lang w:val="fr-FR"/>
        </w:rPr>
        <w:t>tendant à ce que</w:t>
      </w:r>
      <w:r w:rsidR="00316FB4" w:rsidRPr="006D55CC">
        <w:rPr>
          <w:lang w:val="fr-FR"/>
        </w:rPr>
        <w:t xml:space="preserve"> le Bureau de l</w:t>
      </w:r>
      <w:r w:rsidR="00131117" w:rsidRPr="006D55CC">
        <w:rPr>
          <w:lang w:val="fr-FR"/>
        </w:rPr>
        <w:t>’</w:t>
      </w:r>
      <w:r w:rsidR="00316FB4" w:rsidRPr="006D55CC">
        <w:rPr>
          <w:lang w:val="fr-FR"/>
        </w:rPr>
        <w:t xml:space="preserve">Union organise </w:t>
      </w:r>
      <w:r w:rsidR="0086602A" w:rsidRPr="006D55CC">
        <w:rPr>
          <w:lang w:val="fr-FR"/>
        </w:rPr>
        <w:t>une réunion pour échanger des informations avec la Communauté internationale des obtenteurs de plantes ornementales et fruitières à reproduction asexuée (CIOPORA), l</w:t>
      </w:r>
      <w:r w:rsidR="00131117" w:rsidRPr="006D55CC">
        <w:rPr>
          <w:lang w:val="fr-FR"/>
        </w:rPr>
        <w:t>’</w:t>
      </w:r>
      <w:r w:rsidR="0086602A" w:rsidRPr="00565D72">
        <w:rPr>
          <w:i/>
          <w:lang w:val="fr-FR"/>
        </w:rPr>
        <w:t>International Seed Federation</w:t>
      </w:r>
      <w:r w:rsidR="0086602A" w:rsidRPr="006D55CC">
        <w:rPr>
          <w:lang w:val="fr-FR"/>
        </w:rPr>
        <w:t xml:space="preserve"> (ISF) et l</w:t>
      </w:r>
      <w:r w:rsidR="00131117" w:rsidRPr="006D55CC">
        <w:rPr>
          <w:lang w:val="fr-FR"/>
        </w:rPr>
        <w:t>’</w:t>
      </w:r>
      <w:r w:rsidR="0086602A" w:rsidRPr="006D55CC">
        <w:rPr>
          <w:lang w:val="fr-FR"/>
        </w:rPr>
        <w:t>Organisation Mondiale de la Propriété Intellectuelle (OMPI) en vue d</w:t>
      </w:r>
      <w:r w:rsidR="00131117" w:rsidRPr="006D55CC">
        <w:rPr>
          <w:lang w:val="fr-FR"/>
        </w:rPr>
        <w:t>’</w:t>
      </w:r>
      <w:r w:rsidR="0086602A" w:rsidRPr="006D55CC">
        <w:rPr>
          <w:lang w:val="fr-FR"/>
        </w:rPr>
        <w:t>étudier le rôle que l</w:t>
      </w:r>
      <w:r w:rsidR="00131117" w:rsidRPr="006D55CC">
        <w:rPr>
          <w:lang w:val="fr-FR"/>
        </w:rPr>
        <w:t>’</w:t>
      </w:r>
      <w:r w:rsidR="0086602A" w:rsidRPr="006D55CC">
        <w:rPr>
          <w:lang w:val="fr-FR"/>
        </w:rPr>
        <w:t xml:space="preserve">UPOV pourrait jouer dans les mécanismes extrajudiciaires de règlement des litiges pour les questions relatives aux variétés essentiellement dérivées, </w:t>
      </w:r>
      <w:r w:rsidR="00131117" w:rsidRPr="006D55CC">
        <w:rPr>
          <w:lang w:val="fr-FR"/>
        </w:rPr>
        <w:t>y compris</w:t>
      </w:r>
      <w:r w:rsidR="0086602A" w:rsidRPr="006D55CC">
        <w:rPr>
          <w:lang w:val="fr-FR"/>
        </w:rPr>
        <w:t xml:space="preserve"> la mise à disposition d</w:t>
      </w:r>
      <w:r w:rsidR="00131117" w:rsidRPr="006D55CC">
        <w:rPr>
          <w:lang w:val="fr-FR"/>
        </w:rPr>
        <w:t>’</w:t>
      </w:r>
      <w:r w:rsidR="0086602A" w:rsidRPr="006D55CC">
        <w:rPr>
          <w:lang w:val="fr-FR"/>
        </w:rPr>
        <w:t>experts concernant les questions relatives aux variétés essentiellement dérivées</w:t>
      </w:r>
      <w:r w:rsidRPr="006D55CC">
        <w:rPr>
          <w:lang w:val="fr-FR"/>
        </w:rPr>
        <w:t>;</w:t>
      </w:r>
    </w:p>
    <w:p w:rsidR="00146A37" w:rsidRPr="006D55CC" w:rsidRDefault="00146A37" w:rsidP="00892799">
      <w:pPr>
        <w:rPr>
          <w:lang w:val="fr-FR"/>
        </w:rPr>
      </w:pPr>
    </w:p>
    <w:p w:rsidR="00146A37" w:rsidRPr="006D55CC" w:rsidRDefault="00146A37" w:rsidP="00892799">
      <w:pPr>
        <w:rPr>
          <w:lang w:val="fr-FR"/>
        </w:rPr>
      </w:pPr>
      <w:r w:rsidRPr="006D55CC">
        <w:rPr>
          <w:lang w:val="fr-FR"/>
        </w:rPr>
        <w:tab/>
        <w:t>c)</w:t>
      </w:r>
      <w:r w:rsidRPr="006D55CC">
        <w:rPr>
          <w:lang w:val="fr-FR"/>
        </w:rPr>
        <w:tab/>
      </w:r>
      <w:r w:rsidR="00093720" w:rsidRPr="006D55CC">
        <w:rPr>
          <w:lang w:val="fr-FR"/>
        </w:rPr>
        <w:t xml:space="preserve">examiner un nouveau projet de </w:t>
      </w:r>
      <w:r w:rsidR="00682689" w:rsidRPr="006D55CC">
        <w:rPr>
          <w:lang w:val="fr-FR"/>
        </w:rPr>
        <w:t>“Notes explicatives sur les variétés essentiellement dérivées selon l</w:t>
      </w:r>
      <w:r w:rsidR="00131117" w:rsidRPr="006D55CC">
        <w:rPr>
          <w:lang w:val="fr-FR"/>
        </w:rPr>
        <w:t>’</w:t>
      </w:r>
      <w:r w:rsidR="00682689" w:rsidRPr="006D55CC">
        <w:rPr>
          <w:lang w:val="fr-FR"/>
        </w:rPr>
        <w:t>Acte de</w:t>
      </w:r>
      <w:r w:rsidR="008902E8" w:rsidRPr="006D55CC">
        <w:rPr>
          <w:lang w:val="fr-FR"/>
        </w:rPr>
        <w:t> </w:t>
      </w:r>
      <w:r w:rsidR="00682689" w:rsidRPr="006D55CC">
        <w:rPr>
          <w:lang w:val="fr-FR"/>
        </w:rPr>
        <w:t xml:space="preserve">1991 de la </w:t>
      </w:r>
      <w:r w:rsidR="00131117" w:rsidRPr="006D55CC">
        <w:rPr>
          <w:lang w:val="fr-FR"/>
        </w:rPr>
        <w:t>Convention UPOV</w:t>
      </w:r>
      <w:r w:rsidR="00682689" w:rsidRPr="006D55CC">
        <w:rPr>
          <w:lang w:val="fr-FR"/>
        </w:rPr>
        <w:t>” (révision)</w:t>
      </w:r>
      <w:r w:rsidRPr="006D55CC">
        <w:rPr>
          <w:lang w:val="fr-FR"/>
        </w:rPr>
        <w:t xml:space="preserve"> (document UPOV/EXN/EDV/2 Draft 6), </w:t>
      </w:r>
      <w:r w:rsidR="00A82627" w:rsidRPr="006D55CC">
        <w:rPr>
          <w:lang w:val="fr-FR"/>
        </w:rPr>
        <w:t xml:space="preserve">comme indiqué au </w:t>
      </w:r>
      <w:r w:rsidRPr="006D55CC">
        <w:rPr>
          <w:lang w:val="fr-FR"/>
        </w:rPr>
        <w:t>paragraph</w:t>
      </w:r>
      <w:r w:rsidR="00A82627" w:rsidRPr="006D55CC">
        <w:rPr>
          <w:lang w:val="fr-FR"/>
        </w:rPr>
        <w:t>e</w:t>
      </w:r>
      <w:r w:rsidR="008902E8" w:rsidRPr="006D55CC">
        <w:rPr>
          <w:lang w:val="fr-FR"/>
        </w:rPr>
        <w:t> </w:t>
      </w:r>
      <w:r w:rsidRPr="006D55CC">
        <w:rPr>
          <w:lang w:val="fr-FR"/>
        </w:rPr>
        <w:t>1</w:t>
      </w:r>
      <w:r w:rsidR="000F7EA6" w:rsidRPr="006D55CC">
        <w:rPr>
          <w:lang w:val="fr-FR"/>
        </w:rPr>
        <w:t>3</w:t>
      </w:r>
      <w:r w:rsidRPr="006D55CC">
        <w:rPr>
          <w:lang w:val="fr-FR"/>
        </w:rPr>
        <w:t>;</w:t>
      </w:r>
    </w:p>
    <w:p w:rsidR="00146A37" w:rsidRPr="006D55CC" w:rsidRDefault="00146A37" w:rsidP="00892799">
      <w:pPr>
        <w:rPr>
          <w:lang w:val="fr-FR"/>
        </w:rPr>
      </w:pPr>
    </w:p>
    <w:p w:rsidR="00146A37" w:rsidRPr="006D55CC" w:rsidRDefault="00146A37" w:rsidP="00892799">
      <w:pPr>
        <w:ind w:firstLine="567"/>
        <w:rPr>
          <w:lang w:val="fr-FR"/>
        </w:rPr>
      </w:pPr>
      <w:r w:rsidRPr="006D55CC">
        <w:rPr>
          <w:lang w:val="fr-FR"/>
        </w:rPr>
        <w:t xml:space="preserve">d) </w:t>
      </w:r>
      <w:r w:rsidRPr="006D55CC">
        <w:rPr>
          <w:lang w:val="fr-FR"/>
        </w:rPr>
        <w:tab/>
      </w:r>
      <w:r w:rsidR="003A3FE4" w:rsidRPr="006D55CC">
        <w:rPr>
          <w:lang w:val="fr-FR"/>
        </w:rPr>
        <w:t>noter qu</w:t>
      </w:r>
      <w:r w:rsidR="00131117" w:rsidRPr="006D55CC">
        <w:rPr>
          <w:lang w:val="fr-FR"/>
        </w:rPr>
        <w:t>’</w:t>
      </w:r>
      <w:r w:rsidR="003A3FE4" w:rsidRPr="006D55CC">
        <w:rPr>
          <w:lang w:val="fr-FR"/>
        </w:rPr>
        <w:t>un rapport sur les travaux concernant la possibilité d</w:t>
      </w:r>
      <w:r w:rsidR="00131117" w:rsidRPr="006D55CC">
        <w:rPr>
          <w:lang w:val="fr-FR"/>
        </w:rPr>
        <w:t>’</w:t>
      </w:r>
      <w:r w:rsidR="003A3FE4" w:rsidRPr="006D55CC">
        <w:rPr>
          <w:lang w:val="fr-FR"/>
        </w:rPr>
        <w:t>élabor</w:t>
      </w:r>
      <w:r w:rsidR="00336C04">
        <w:rPr>
          <w:lang w:val="fr-FR"/>
        </w:rPr>
        <w:t xml:space="preserve">er </w:t>
      </w:r>
      <w:r w:rsidR="003A3FE4" w:rsidRPr="006D55CC">
        <w:rPr>
          <w:lang w:val="fr-FR"/>
        </w:rPr>
        <w:t xml:space="preserve">un </w:t>
      </w:r>
      <w:r w:rsidR="009D1160" w:rsidRPr="006D55CC">
        <w:rPr>
          <w:lang w:val="fr-FR"/>
        </w:rPr>
        <w:t>moteur</w:t>
      </w:r>
      <w:r w:rsidR="003A3FE4" w:rsidRPr="006D55CC">
        <w:rPr>
          <w:lang w:val="fr-FR"/>
        </w:rPr>
        <w:t xml:space="preserve"> de recherche </w:t>
      </w:r>
      <w:r w:rsidR="009D1160" w:rsidRPr="006D55CC">
        <w:rPr>
          <w:lang w:val="fr-FR"/>
        </w:rPr>
        <w:t>des similitudes pour</w:t>
      </w:r>
      <w:r w:rsidR="003A3FE4" w:rsidRPr="006D55CC">
        <w:rPr>
          <w:lang w:val="fr-FR"/>
        </w:rPr>
        <w:t xml:space="preserve"> l</w:t>
      </w:r>
      <w:r w:rsidR="00131117" w:rsidRPr="006D55CC">
        <w:rPr>
          <w:lang w:val="fr-FR"/>
        </w:rPr>
        <w:t>’</w:t>
      </w:r>
      <w:r w:rsidR="003A3FE4" w:rsidRPr="006D55CC">
        <w:rPr>
          <w:lang w:val="fr-FR"/>
        </w:rPr>
        <w:t xml:space="preserve">UPOV </w:t>
      </w:r>
      <w:r w:rsidR="009D1160" w:rsidRPr="006D55CC">
        <w:rPr>
          <w:lang w:val="fr-FR"/>
        </w:rPr>
        <w:t>à des</w:t>
      </w:r>
      <w:r w:rsidR="003A3FE4" w:rsidRPr="006D55CC">
        <w:rPr>
          <w:lang w:val="fr-FR"/>
        </w:rPr>
        <w:t xml:space="preserve"> fins de dénomination variétale et des propositions de révision éventuelle du document UPOV/INF/12 “Notes explicatives concernant les dénominations variétales en vertu de la </w:t>
      </w:r>
      <w:r w:rsidR="00131117" w:rsidRPr="006D55CC">
        <w:rPr>
          <w:lang w:val="fr-FR"/>
        </w:rPr>
        <w:t>Convention UPOV</w:t>
      </w:r>
      <w:r w:rsidR="003A3FE4" w:rsidRPr="006D55CC">
        <w:rPr>
          <w:lang w:val="fr-FR"/>
        </w:rPr>
        <w:t>” figurent dans le document CAJ/72/3 “Dénominations variétales”;</w:t>
      </w:r>
    </w:p>
    <w:p w:rsidR="00146A37" w:rsidRPr="006D55CC" w:rsidRDefault="00146A37" w:rsidP="00892799">
      <w:pPr>
        <w:ind w:firstLine="567"/>
        <w:rPr>
          <w:lang w:val="fr-FR"/>
        </w:rPr>
      </w:pPr>
    </w:p>
    <w:p w:rsidR="00146A37" w:rsidRPr="006D55CC" w:rsidRDefault="00146A37" w:rsidP="00892799">
      <w:pPr>
        <w:ind w:firstLine="567"/>
        <w:rPr>
          <w:lang w:val="fr-FR"/>
        </w:rPr>
      </w:pPr>
      <w:r w:rsidRPr="006D55CC">
        <w:rPr>
          <w:lang w:val="fr-FR"/>
        </w:rPr>
        <w:t>e)</w:t>
      </w:r>
      <w:r w:rsidRPr="006D55CC">
        <w:rPr>
          <w:lang w:val="fr-FR"/>
        </w:rPr>
        <w:tab/>
      </w:r>
      <w:r w:rsidR="005772D1" w:rsidRPr="006D55CC">
        <w:rPr>
          <w:lang w:val="fr-FR"/>
        </w:rPr>
        <w:t xml:space="preserve">examiner le </w:t>
      </w:r>
      <w:r w:rsidR="00CB4A6E" w:rsidRPr="006D55CC">
        <w:rPr>
          <w:lang w:val="fr-FR"/>
        </w:rPr>
        <w:t>document UPOV/EXN/PPM/1 Draft 5, “</w:t>
      </w:r>
      <w:r w:rsidR="005772D1" w:rsidRPr="006D55CC">
        <w:rPr>
          <w:lang w:val="fr-FR"/>
        </w:rPr>
        <w:t xml:space="preserve">Notes explicatives sur le matériel de reproduction ou de multiplication </w:t>
      </w:r>
      <w:r w:rsidR="004316B7" w:rsidRPr="006D55CC">
        <w:rPr>
          <w:lang w:val="fr-FR"/>
        </w:rPr>
        <w:t xml:space="preserve">selon la </w:t>
      </w:r>
      <w:r w:rsidR="00131117" w:rsidRPr="006D55CC">
        <w:rPr>
          <w:lang w:val="fr-FR"/>
        </w:rPr>
        <w:t>Convention UPOV</w:t>
      </w:r>
      <w:r w:rsidR="00CB4A6E" w:rsidRPr="006D55CC">
        <w:rPr>
          <w:lang w:val="fr-FR"/>
        </w:rPr>
        <w:t>”,</w:t>
      </w:r>
      <w:r w:rsidR="00AC4B94" w:rsidRPr="006D55CC">
        <w:rPr>
          <w:lang w:val="fr-FR"/>
        </w:rPr>
        <w:t xml:space="preserve"> </w:t>
      </w:r>
      <w:r w:rsidR="00A82627" w:rsidRPr="006D55CC">
        <w:rPr>
          <w:lang w:val="fr-FR"/>
        </w:rPr>
        <w:t>comme indiqué au paragraphe</w:t>
      </w:r>
      <w:r w:rsidR="008902E8" w:rsidRPr="006D55CC">
        <w:rPr>
          <w:lang w:val="fr-FR"/>
        </w:rPr>
        <w:t> </w:t>
      </w:r>
      <w:r w:rsidR="00AC4B94" w:rsidRPr="006D55CC">
        <w:rPr>
          <w:lang w:val="fr-FR"/>
        </w:rPr>
        <w:t>1</w:t>
      </w:r>
      <w:r w:rsidR="00CB4A6E" w:rsidRPr="006D55CC">
        <w:rPr>
          <w:lang w:val="fr-FR"/>
        </w:rPr>
        <w:t>7</w:t>
      </w:r>
      <w:r w:rsidR="00AC4B94" w:rsidRPr="006D55CC">
        <w:rPr>
          <w:lang w:val="fr-FR"/>
        </w:rPr>
        <w:t>;</w:t>
      </w:r>
    </w:p>
    <w:p w:rsidR="00AC4B94" w:rsidRPr="006D55CC" w:rsidRDefault="00AC4B94" w:rsidP="00892799">
      <w:pPr>
        <w:ind w:firstLine="567"/>
        <w:rPr>
          <w:lang w:val="fr-FR"/>
        </w:rPr>
      </w:pPr>
    </w:p>
    <w:p w:rsidR="00146A37" w:rsidRPr="006D55CC" w:rsidRDefault="00AC4B94" w:rsidP="00892799">
      <w:pPr>
        <w:ind w:firstLine="567"/>
        <w:rPr>
          <w:lang w:val="fr-FR"/>
        </w:rPr>
      </w:pPr>
      <w:r w:rsidRPr="006D55CC">
        <w:rPr>
          <w:lang w:val="fr-FR"/>
        </w:rPr>
        <w:t>f)</w:t>
      </w:r>
      <w:r w:rsidRPr="006D55CC">
        <w:rPr>
          <w:lang w:val="fr-FR"/>
        </w:rPr>
        <w:tab/>
      </w:r>
      <w:r w:rsidR="001F7D53" w:rsidRPr="006D55CC">
        <w:rPr>
          <w:lang w:val="fr-FR"/>
        </w:rPr>
        <w:t>examiner le programme provisoire d</w:t>
      </w:r>
      <w:r w:rsidR="00131117" w:rsidRPr="006D55CC">
        <w:rPr>
          <w:lang w:val="fr-FR"/>
        </w:rPr>
        <w:t>’</w:t>
      </w:r>
      <w:r w:rsidR="001F7D53" w:rsidRPr="006D55CC">
        <w:rPr>
          <w:lang w:val="fr-FR"/>
        </w:rPr>
        <w:t>élaboration de matériel d</w:t>
      </w:r>
      <w:r w:rsidR="00131117" w:rsidRPr="006D55CC">
        <w:rPr>
          <w:lang w:val="fr-FR"/>
        </w:rPr>
        <w:t>’</w:t>
      </w:r>
      <w:r w:rsidR="001F7D53" w:rsidRPr="006D55CC">
        <w:rPr>
          <w:lang w:val="fr-FR"/>
        </w:rPr>
        <w:t>information parallèlement aux discussions sur le calendrier des sessions</w:t>
      </w:r>
      <w:r w:rsidR="00131117" w:rsidRPr="006D55CC">
        <w:rPr>
          <w:lang w:val="fr-FR"/>
        </w:rPr>
        <w:t xml:space="preserve"> du CAJ</w:t>
      </w:r>
      <w:r w:rsidR="001F7D53" w:rsidRPr="006D55CC">
        <w:rPr>
          <w:lang w:val="fr-FR"/>
        </w:rPr>
        <w:t>, au titre du point de l</w:t>
      </w:r>
      <w:r w:rsidR="00131117" w:rsidRPr="006D55CC">
        <w:rPr>
          <w:lang w:val="fr-FR"/>
        </w:rPr>
        <w:t>’</w:t>
      </w:r>
      <w:r w:rsidR="001F7D53" w:rsidRPr="006D55CC">
        <w:rPr>
          <w:lang w:val="fr-FR"/>
        </w:rPr>
        <w:t>ordre du jour “Programme de la soixante</w:t>
      </w:r>
      <w:r w:rsidR="005275ED" w:rsidRPr="006D55CC">
        <w:rPr>
          <w:lang w:val="fr-FR"/>
        </w:rPr>
        <w:noBreakHyphen/>
      </w:r>
      <w:r w:rsidR="001F7D53" w:rsidRPr="006D55CC">
        <w:rPr>
          <w:lang w:val="fr-FR"/>
        </w:rPr>
        <w:t>treizième</w:t>
      </w:r>
      <w:r w:rsidR="008902E8" w:rsidRPr="006D55CC">
        <w:rPr>
          <w:lang w:val="fr-FR"/>
        </w:rPr>
        <w:t> </w:t>
      </w:r>
      <w:r w:rsidR="001F7D53" w:rsidRPr="006D55CC">
        <w:rPr>
          <w:lang w:val="fr-FR"/>
        </w:rPr>
        <w:t xml:space="preserve">session” </w:t>
      </w:r>
      <w:r w:rsidRPr="006D55CC">
        <w:rPr>
          <w:lang w:val="fr-FR"/>
        </w:rPr>
        <w:t>(</w:t>
      </w:r>
      <w:r w:rsidR="001F7D53" w:rsidRPr="006D55CC">
        <w:rPr>
          <w:lang w:val="fr-FR"/>
        </w:rPr>
        <w:t xml:space="preserve">voir </w:t>
      </w:r>
      <w:r w:rsidRPr="006D55CC">
        <w:rPr>
          <w:lang w:val="fr-FR"/>
        </w:rPr>
        <w:t xml:space="preserve">document CAJ/72/8), </w:t>
      </w:r>
      <w:r w:rsidR="00A82627" w:rsidRPr="006D55CC">
        <w:rPr>
          <w:lang w:val="fr-FR"/>
        </w:rPr>
        <w:t>comme indiqué aux paragraphes</w:t>
      </w:r>
      <w:r w:rsidR="008902E8" w:rsidRPr="006D55CC">
        <w:rPr>
          <w:lang w:val="fr-FR"/>
        </w:rPr>
        <w:t> </w:t>
      </w:r>
      <w:r w:rsidRPr="006D55CC">
        <w:rPr>
          <w:lang w:val="fr-FR"/>
        </w:rPr>
        <w:t xml:space="preserve">18 </w:t>
      </w:r>
      <w:r w:rsidR="00A82627" w:rsidRPr="006D55CC">
        <w:rPr>
          <w:lang w:val="fr-FR"/>
        </w:rPr>
        <w:t>à</w:t>
      </w:r>
      <w:r w:rsidR="00CB4A6E" w:rsidRPr="006D55CC">
        <w:rPr>
          <w:lang w:val="fr-FR"/>
        </w:rPr>
        <w:t xml:space="preserve"> 23</w:t>
      </w:r>
      <w:r w:rsidRPr="006D55CC">
        <w:rPr>
          <w:lang w:val="fr-FR"/>
        </w:rPr>
        <w:t>.</w:t>
      </w:r>
    </w:p>
    <w:p w:rsidR="0026313F" w:rsidRPr="006D55CC" w:rsidRDefault="0026313F" w:rsidP="00892799">
      <w:pPr>
        <w:jc w:val="left"/>
        <w:rPr>
          <w:u w:val="single"/>
          <w:lang w:val="fr-FR"/>
        </w:rPr>
      </w:pPr>
      <w:r w:rsidRPr="006D55CC">
        <w:rPr>
          <w:u w:val="single"/>
          <w:lang w:val="fr-FR"/>
        </w:rPr>
        <w:br w:type="page"/>
      </w:r>
    </w:p>
    <w:p w:rsidR="0026313F" w:rsidRPr="006D55CC" w:rsidRDefault="0026313F" w:rsidP="00892799">
      <w:pPr>
        <w:rPr>
          <w:u w:val="single"/>
          <w:lang w:val="fr-FR"/>
        </w:rPr>
      </w:pPr>
      <w:r w:rsidRPr="006D55CC">
        <w:rPr>
          <w:u w:val="single"/>
          <w:lang w:val="fr-FR"/>
        </w:rPr>
        <w:lastRenderedPageBreak/>
        <w:t>Table des matières</w:t>
      </w:r>
    </w:p>
    <w:p w:rsidR="003870AE" w:rsidRPr="006D55CC" w:rsidRDefault="003870AE" w:rsidP="00892799">
      <w:pPr>
        <w:keepNext/>
        <w:rPr>
          <w:lang w:val="fr-FR"/>
        </w:rPr>
      </w:pPr>
    </w:p>
    <w:p w:rsidR="00615377" w:rsidRDefault="003870AE">
      <w:pPr>
        <w:pStyle w:val="TOC1"/>
        <w:rPr>
          <w:rFonts w:asciiTheme="minorHAnsi" w:eastAsiaTheme="minorEastAsia" w:hAnsiTheme="minorHAnsi" w:cstheme="minorBidi"/>
          <w:caps w:val="0"/>
          <w:sz w:val="22"/>
          <w:szCs w:val="22"/>
        </w:rPr>
      </w:pPr>
      <w:r w:rsidRPr="006D55CC">
        <w:rPr>
          <w:rFonts w:eastAsia="Arial Unicode MS" w:cs="Arial"/>
          <w:b/>
          <w:sz w:val="18"/>
          <w:szCs w:val="18"/>
          <w:lang w:val="fr-FR"/>
        </w:rPr>
        <w:fldChar w:fldCharType="begin"/>
      </w:r>
      <w:r w:rsidRPr="006D55CC">
        <w:rPr>
          <w:rFonts w:eastAsia="Arial Unicode MS" w:cs="Arial"/>
          <w:b/>
          <w:sz w:val="18"/>
          <w:szCs w:val="18"/>
          <w:lang w:val="fr-FR"/>
        </w:rPr>
        <w:instrText xml:space="preserve"> TOC \o "1-3" \u </w:instrText>
      </w:r>
      <w:r w:rsidRPr="006D55CC">
        <w:rPr>
          <w:rFonts w:eastAsia="Arial Unicode MS" w:cs="Arial"/>
          <w:b/>
          <w:sz w:val="18"/>
          <w:szCs w:val="18"/>
          <w:lang w:val="fr-FR"/>
        </w:rPr>
        <w:fldChar w:fldCharType="separate"/>
      </w:r>
      <w:r w:rsidR="00615377">
        <w:t>Introduction</w:t>
      </w:r>
      <w:r w:rsidR="00615377">
        <w:tab/>
      </w:r>
      <w:r w:rsidR="00615377">
        <w:fldChar w:fldCharType="begin"/>
      </w:r>
      <w:r w:rsidR="00615377">
        <w:instrText xml:space="preserve"> PAGEREF _Toc431218583 \h </w:instrText>
      </w:r>
      <w:r w:rsidR="00615377">
        <w:fldChar w:fldCharType="separate"/>
      </w:r>
      <w:r w:rsidR="00881E21">
        <w:t>2</w:t>
      </w:r>
      <w:r w:rsidR="00615377">
        <w:fldChar w:fldCharType="end"/>
      </w:r>
    </w:p>
    <w:p w:rsidR="00615377" w:rsidRDefault="00615377">
      <w:pPr>
        <w:pStyle w:val="TOC1"/>
        <w:rPr>
          <w:rFonts w:asciiTheme="minorHAnsi" w:eastAsiaTheme="minorEastAsia" w:hAnsiTheme="minorHAnsi" w:cstheme="minorBidi"/>
          <w:caps w:val="0"/>
          <w:sz w:val="22"/>
          <w:szCs w:val="22"/>
        </w:rPr>
      </w:pPr>
      <w:r>
        <w:t>présentation générale du matériel d’information</w:t>
      </w:r>
      <w:r>
        <w:tab/>
      </w:r>
      <w:r>
        <w:fldChar w:fldCharType="begin"/>
      </w:r>
      <w:r>
        <w:instrText xml:space="preserve"> PAGEREF _Toc431218584 \h </w:instrText>
      </w:r>
      <w:r>
        <w:fldChar w:fldCharType="separate"/>
      </w:r>
      <w:r w:rsidR="00881E21">
        <w:t>2</w:t>
      </w:r>
      <w:r>
        <w:fldChar w:fldCharType="end"/>
      </w:r>
    </w:p>
    <w:p w:rsidR="00615377" w:rsidRDefault="00615377">
      <w:pPr>
        <w:pStyle w:val="TOC1"/>
        <w:rPr>
          <w:rFonts w:asciiTheme="minorHAnsi" w:eastAsiaTheme="minorEastAsia" w:hAnsiTheme="minorHAnsi" w:cstheme="minorBidi"/>
          <w:caps w:val="0"/>
          <w:sz w:val="22"/>
          <w:szCs w:val="22"/>
        </w:rPr>
      </w:pPr>
      <w:r>
        <w:t>Matériel d’information</w:t>
      </w:r>
      <w:r>
        <w:tab/>
      </w:r>
      <w:r>
        <w:fldChar w:fldCharType="begin"/>
      </w:r>
      <w:r>
        <w:instrText xml:space="preserve"> PAGEREF _Toc431218585 \h </w:instrText>
      </w:r>
      <w:r>
        <w:fldChar w:fldCharType="separate"/>
      </w:r>
      <w:r w:rsidR="00881E21">
        <w:t>3</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Notes explicatives sur les variétés essentiellement dérivées selon l’Acte de 1991 de la Convention UPOV (révision) (document UPOV/EXN/EDV/2 Draft 6)</w:t>
      </w:r>
      <w:r>
        <w:tab/>
      </w:r>
      <w:r>
        <w:fldChar w:fldCharType="begin"/>
      </w:r>
      <w:r>
        <w:instrText xml:space="preserve"> PAGEREF _Toc431218586 \h </w:instrText>
      </w:r>
      <w:r>
        <w:fldChar w:fldCharType="separate"/>
      </w:r>
      <w:r w:rsidR="00881E21">
        <w:t>3</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Notes explicatives sur les dénominations variétales selon la Convention UPOV (révision)</w:t>
      </w:r>
      <w:r>
        <w:tab/>
      </w:r>
      <w:r>
        <w:fldChar w:fldCharType="begin"/>
      </w:r>
      <w:r>
        <w:instrText xml:space="preserve"> PAGEREF _Toc431218587 \h </w:instrText>
      </w:r>
      <w:r>
        <w:fldChar w:fldCharType="separate"/>
      </w:r>
      <w:r w:rsidR="00881E21">
        <w:t>6</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Notes explicatives sur le matériel de reproduction ou de multiplication selon la Convention UPOV (document UPOV/EXN/PPM/1 Draft 5)</w:t>
      </w:r>
      <w:r>
        <w:tab/>
      </w:r>
      <w:r>
        <w:fldChar w:fldCharType="begin"/>
      </w:r>
      <w:r>
        <w:instrText xml:space="preserve"> PAGEREF _Toc431218588 \h </w:instrText>
      </w:r>
      <w:r>
        <w:fldChar w:fldCharType="separate"/>
      </w:r>
      <w:r w:rsidR="00881E21">
        <w:t>6</w:t>
      </w:r>
      <w:r>
        <w:fldChar w:fldCharType="end"/>
      </w:r>
    </w:p>
    <w:p w:rsidR="00615377" w:rsidRDefault="00615377">
      <w:pPr>
        <w:pStyle w:val="TOC1"/>
        <w:rPr>
          <w:rFonts w:asciiTheme="minorHAnsi" w:eastAsiaTheme="minorEastAsia" w:hAnsiTheme="minorHAnsi" w:cstheme="minorBidi"/>
          <w:caps w:val="0"/>
          <w:sz w:val="22"/>
          <w:szCs w:val="22"/>
        </w:rPr>
      </w:pPr>
      <w:r>
        <w:t>PROGRAMME PROVISOIRE D’ÉLABORATION DE MATÉRIEL D’INFORMATION</w:t>
      </w:r>
      <w:r>
        <w:tab/>
      </w:r>
      <w:r>
        <w:fldChar w:fldCharType="begin"/>
      </w:r>
      <w:r>
        <w:instrText xml:space="preserve"> PAGEREF _Toc431218589 \h </w:instrText>
      </w:r>
      <w:r>
        <w:fldChar w:fldCharType="separate"/>
      </w:r>
      <w:r w:rsidR="00881E21">
        <w:t>7</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Notes explicatives sur les variétés essentiellement dérivées selon l’Acte de 1991 de la Convention UPOV (révision)</w:t>
      </w:r>
      <w:r>
        <w:tab/>
      </w:r>
      <w:r>
        <w:fldChar w:fldCharType="begin"/>
      </w:r>
      <w:r>
        <w:instrText xml:space="preserve"> PAGEREF _Toc431218590 \h </w:instrText>
      </w:r>
      <w:r>
        <w:fldChar w:fldCharType="separate"/>
      </w:r>
      <w:r w:rsidR="00881E21">
        <w:t>7</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Notes explicatives concernant les dénominations variétales en vertu de la Convention UPOV (révision)</w:t>
      </w:r>
      <w:r>
        <w:tab/>
      </w:r>
      <w:r>
        <w:fldChar w:fldCharType="begin"/>
      </w:r>
      <w:r>
        <w:instrText xml:space="preserve"> PAGEREF _Toc431218591 \h </w:instrText>
      </w:r>
      <w:r>
        <w:fldChar w:fldCharType="separate"/>
      </w:r>
      <w:r w:rsidR="00881E21">
        <w:t>7</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Notes explicatives sur le matériel de reproduction ou de multiplication selon la Convention UPOV</w:t>
      </w:r>
      <w:r>
        <w:tab/>
      </w:r>
      <w:r>
        <w:fldChar w:fldCharType="begin"/>
      </w:r>
      <w:r>
        <w:instrText xml:space="preserve"> PAGEREF _Toc431218592 \h </w:instrText>
      </w:r>
      <w:r>
        <w:fldChar w:fldCharType="separate"/>
      </w:r>
      <w:r w:rsidR="00881E21">
        <w:t>7</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Bulletin type de l’UPOV de la protection des obtentions végétales (révision)</w:t>
      </w:r>
      <w:r>
        <w:tab/>
      </w:r>
      <w:r>
        <w:fldChar w:fldCharType="begin"/>
      </w:r>
      <w:r>
        <w:instrText xml:space="preserve"> PAGEREF _Toc431218593 \h </w:instrText>
      </w:r>
      <w:r>
        <w:fldChar w:fldCharType="separate"/>
      </w:r>
      <w:r w:rsidR="00881E21">
        <w:t>7</w:t>
      </w:r>
      <w:r>
        <w:fldChar w:fldCharType="end"/>
      </w:r>
    </w:p>
    <w:p w:rsidR="00615377" w:rsidRDefault="00615377">
      <w:pPr>
        <w:pStyle w:val="TOC2"/>
        <w:rPr>
          <w:rFonts w:asciiTheme="minorHAnsi" w:eastAsiaTheme="minorEastAsia" w:hAnsiTheme="minorHAnsi" w:cstheme="minorBidi"/>
          <w:sz w:val="22"/>
          <w:szCs w:val="22"/>
        </w:rPr>
      </w:pPr>
      <w:r w:rsidRPr="006124DC">
        <w:rPr>
          <w:lang w:val="fr-FR"/>
        </w:rPr>
        <w:t>Descriptions variétales et le rôle du matériel végétal</w:t>
      </w:r>
      <w:r>
        <w:tab/>
      </w:r>
      <w:r>
        <w:fldChar w:fldCharType="begin"/>
      </w:r>
      <w:r>
        <w:instrText xml:space="preserve"> PAGEREF _Toc431218594 \h </w:instrText>
      </w:r>
      <w:r>
        <w:fldChar w:fldCharType="separate"/>
      </w:r>
      <w:r w:rsidR="00881E21">
        <w:t>7</w:t>
      </w:r>
      <w:r>
        <w:fldChar w:fldCharType="end"/>
      </w:r>
    </w:p>
    <w:p w:rsidR="004D271E" w:rsidRPr="006D55CC" w:rsidRDefault="003870AE" w:rsidP="00892799">
      <w:pPr>
        <w:rPr>
          <w:rFonts w:eastAsia="Arial Unicode MS"/>
          <w:lang w:val="fr-FR"/>
        </w:rPr>
      </w:pPr>
      <w:r w:rsidRPr="006D55CC">
        <w:rPr>
          <w:rFonts w:eastAsia="Arial Unicode MS"/>
          <w:lang w:val="fr-FR"/>
        </w:rPr>
        <w:fldChar w:fldCharType="end"/>
      </w:r>
    </w:p>
    <w:p w:rsidR="00AC4B94" w:rsidRPr="006D55CC" w:rsidRDefault="00AC4B94" w:rsidP="00892799">
      <w:pPr>
        <w:rPr>
          <w:lang w:val="fr-FR"/>
        </w:rPr>
      </w:pPr>
    </w:p>
    <w:p w:rsidR="0026313F" w:rsidRPr="006D55CC" w:rsidRDefault="0026313F" w:rsidP="00892799">
      <w:pPr>
        <w:pStyle w:val="Heading1"/>
      </w:pPr>
      <w:bookmarkStart w:id="1" w:name="_Toc413318616"/>
      <w:bookmarkStart w:id="2" w:name="_Toc413404233"/>
      <w:bookmarkStart w:id="3" w:name="_Toc431218583"/>
      <w:r w:rsidRPr="006D55CC">
        <w:t>Introduction</w:t>
      </w:r>
      <w:bookmarkEnd w:id="1"/>
      <w:bookmarkEnd w:id="2"/>
      <w:bookmarkEnd w:id="3"/>
    </w:p>
    <w:p w:rsidR="0026313F" w:rsidRPr="006D55CC" w:rsidRDefault="0026313F" w:rsidP="00892799">
      <w:pPr>
        <w:keepNext/>
        <w:rPr>
          <w:rFonts w:cs="Arial"/>
          <w:lang w:val="fr-FR"/>
        </w:rPr>
      </w:pPr>
    </w:p>
    <w:p w:rsidR="0026313F" w:rsidRPr="006D55CC" w:rsidRDefault="0026313F"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t>À sa cinquante</w:t>
      </w:r>
      <w:r w:rsidR="005275ED" w:rsidRPr="006D55CC">
        <w:rPr>
          <w:lang w:val="fr-FR"/>
        </w:rPr>
        <w:noBreakHyphen/>
      </w:r>
      <w:r w:rsidRPr="006D55CC">
        <w:rPr>
          <w:lang w:val="fr-FR"/>
        </w:rPr>
        <w:t>deuxième session</w:t>
      </w:r>
      <w:r w:rsidRPr="006D55CC">
        <w:rPr>
          <w:rStyle w:val="FootnoteReference"/>
          <w:lang w:val="fr-FR"/>
        </w:rPr>
        <w:footnoteReference w:id="2"/>
      </w:r>
      <w:r w:rsidRPr="006D55CC">
        <w:rPr>
          <w:lang w:val="fr-FR"/>
        </w:rPr>
        <w:t>, le CAJ est convenu d</w:t>
      </w:r>
      <w:r w:rsidR="00131117" w:rsidRPr="006D55CC">
        <w:rPr>
          <w:lang w:val="fr-FR"/>
        </w:rPr>
        <w:t>’</w:t>
      </w:r>
      <w:r w:rsidRPr="006D55CC">
        <w:rPr>
          <w:lang w:val="fr-FR"/>
        </w:rPr>
        <w:t>une méthode pour l</w:t>
      </w:r>
      <w:r w:rsidR="00131117" w:rsidRPr="006D55CC">
        <w:rPr>
          <w:lang w:val="fr-FR"/>
        </w:rPr>
        <w:t>’</w:t>
      </w:r>
      <w:r w:rsidRPr="006D55CC">
        <w:rPr>
          <w:lang w:val="fr-FR"/>
        </w:rPr>
        <w:t>élaboration de matériel d</w:t>
      </w:r>
      <w:r w:rsidR="00131117" w:rsidRPr="006D55CC">
        <w:rPr>
          <w:lang w:val="fr-FR"/>
        </w:rPr>
        <w:t>’</w:t>
      </w:r>
      <w:r w:rsidRPr="006D55CC">
        <w:rPr>
          <w:lang w:val="fr-FR"/>
        </w:rPr>
        <w:t xml:space="preserve">information concernant la </w:t>
      </w:r>
      <w:r w:rsidR="00131117" w:rsidRPr="006D55CC">
        <w:rPr>
          <w:lang w:val="fr-FR"/>
        </w:rPr>
        <w:t>Convention UPOV</w:t>
      </w:r>
      <w:r w:rsidRPr="006D55CC">
        <w:rPr>
          <w:rStyle w:val="FootnoteReference"/>
          <w:lang w:val="fr-FR"/>
        </w:rPr>
        <w:footnoteReference w:id="3"/>
      </w:r>
      <w:r w:rsidRPr="006D55CC">
        <w:rPr>
          <w:lang w:val="fr-FR"/>
        </w:rPr>
        <w:t>.  Il est également convenu de la création d</w:t>
      </w:r>
      <w:r w:rsidR="00131117" w:rsidRPr="006D55CC">
        <w:rPr>
          <w:lang w:val="fr-FR"/>
        </w:rPr>
        <w:t>’</w:t>
      </w:r>
      <w:r w:rsidRPr="006D55CC">
        <w:rPr>
          <w:lang w:val="fr-FR"/>
        </w:rPr>
        <w:t>un groupe consultatif du CAJ (“CAJ</w:t>
      </w:r>
      <w:r w:rsidR="005275ED" w:rsidRPr="006D55CC">
        <w:rPr>
          <w:lang w:val="fr-FR"/>
        </w:rPr>
        <w:noBreakHyphen/>
      </w:r>
      <w:r w:rsidRPr="006D55CC">
        <w:rPr>
          <w:lang w:val="fr-FR"/>
        </w:rPr>
        <w:t>AG”) chargé de l</w:t>
      </w:r>
      <w:r w:rsidR="00131117" w:rsidRPr="006D55CC">
        <w:rPr>
          <w:lang w:val="fr-FR"/>
        </w:rPr>
        <w:t>’</w:t>
      </w:r>
      <w:r w:rsidRPr="006D55CC">
        <w:rPr>
          <w:lang w:val="fr-FR"/>
        </w:rPr>
        <w:t>aider à élaborer des documents d</w:t>
      </w:r>
      <w:r w:rsidR="00131117" w:rsidRPr="006D55CC">
        <w:rPr>
          <w:lang w:val="fr-FR"/>
        </w:rPr>
        <w:t>’</w:t>
      </w:r>
      <w:r w:rsidRPr="006D55CC">
        <w:rPr>
          <w:lang w:val="fr-FR"/>
        </w:rPr>
        <w:t>information</w:t>
      </w:r>
      <w:r w:rsidRPr="006D55CC">
        <w:rPr>
          <w:rStyle w:val="FootnoteReference"/>
          <w:lang w:val="fr-FR"/>
        </w:rPr>
        <w:footnoteReference w:id="4"/>
      </w:r>
      <w:r w:rsidRPr="006D55CC">
        <w:rPr>
          <w:lang w:val="fr-FR"/>
        </w:rPr>
        <w:t>.  La méthode convenue est résumée comme suit : le Bureau de l</w:t>
      </w:r>
      <w:r w:rsidR="00131117" w:rsidRPr="006D55CC">
        <w:rPr>
          <w:lang w:val="fr-FR"/>
        </w:rPr>
        <w:t>’</w:t>
      </w:r>
      <w:r w:rsidRPr="006D55CC">
        <w:rPr>
          <w:lang w:val="fr-FR"/>
        </w:rPr>
        <w:t>Union élaborera certains projets de documents traitant de questions qu</w:t>
      </w:r>
      <w:r w:rsidR="00131117" w:rsidRPr="006D55CC">
        <w:rPr>
          <w:lang w:val="fr-FR"/>
        </w:rPr>
        <w:t>’</w:t>
      </w:r>
      <w:r w:rsidRPr="006D55CC">
        <w:rPr>
          <w:lang w:val="fr-FR"/>
        </w:rPr>
        <w:t>il estime simples et il les diffusera auprès du CAJ pour que soient formulées des observations dans un délai imparti.  Dans d</w:t>
      </w:r>
      <w:r w:rsidR="00131117" w:rsidRPr="006D55CC">
        <w:rPr>
          <w:lang w:val="fr-FR"/>
        </w:rPr>
        <w:t>’</w:t>
      </w:r>
      <w:r w:rsidRPr="006D55CC">
        <w:rPr>
          <w:lang w:val="fr-FR"/>
        </w:rPr>
        <w:t>autres cas, lorsqu</w:t>
      </w:r>
      <w:r w:rsidR="00131117" w:rsidRPr="006D55CC">
        <w:rPr>
          <w:lang w:val="fr-FR"/>
        </w:rPr>
        <w:t>’</w:t>
      </w:r>
      <w:r w:rsidRPr="006D55CC">
        <w:rPr>
          <w:lang w:val="fr-FR"/>
        </w:rPr>
        <w:t>il est estimé que les questions sont délicates et que les délibérations à une session du CAJ revêtent de l</w:t>
      </w:r>
      <w:r w:rsidR="00131117" w:rsidRPr="006D55CC">
        <w:rPr>
          <w:lang w:val="fr-FR"/>
        </w:rPr>
        <w:t>’</w:t>
      </w:r>
      <w:r w:rsidRPr="006D55CC">
        <w:rPr>
          <w:lang w:val="fr-FR"/>
        </w:rPr>
        <w:t>importance pour l</w:t>
      </w:r>
      <w:r w:rsidR="00131117" w:rsidRPr="006D55CC">
        <w:rPr>
          <w:lang w:val="fr-FR"/>
        </w:rPr>
        <w:t>’</w:t>
      </w:r>
      <w:r w:rsidRPr="006D55CC">
        <w:rPr>
          <w:lang w:val="fr-FR"/>
        </w:rPr>
        <w:t>élaboration du matériel d</w:t>
      </w:r>
      <w:r w:rsidR="00131117" w:rsidRPr="006D55CC">
        <w:rPr>
          <w:lang w:val="fr-FR"/>
        </w:rPr>
        <w:t>’</w:t>
      </w:r>
      <w:r w:rsidRPr="006D55CC">
        <w:rPr>
          <w:lang w:val="fr-FR"/>
        </w:rPr>
        <w:t>information approprié, mais également dans les cas où un projet de texte traitant d</w:t>
      </w:r>
      <w:r w:rsidR="00131117" w:rsidRPr="006D55CC">
        <w:rPr>
          <w:lang w:val="fr-FR"/>
        </w:rPr>
        <w:t>’</w:t>
      </w:r>
      <w:r w:rsidRPr="006D55CC">
        <w:rPr>
          <w:lang w:val="fr-FR"/>
        </w:rPr>
        <w:t>une question apparemment simple aura soulevé des difficultés inattendues lors de sa diffusion pour observations, il sera fait appel au CAJ</w:t>
      </w:r>
      <w:r w:rsidR="005275ED" w:rsidRPr="006D55CC">
        <w:rPr>
          <w:lang w:val="fr-FR"/>
        </w:rPr>
        <w:noBreakHyphen/>
      </w:r>
      <w:r w:rsidRPr="006D55CC">
        <w:rPr>
          <w:lang w:val="fr-FR"/>
        </w:rPr>
        <w:t>AG avant que le CAJ soit invité à en délibérer à sa session.</w:t>
      </w:r>
    </w:p>
    <w:p w:rsidR="0026313F" w:rsidRPr="006D55CC" w:rsidRDefault="0026313F" w:rsidP="00892799">
      <w:pPr>
        <w:rPr>
          <w:lang w:val="fr-FR"/>
        </w:rPr>
      </w:pPr>
    </w:p>
    <w:p w:rsidR="0026313F" w:rsidRPr="006D55CC" w:rsidRDefault="0026313F" w:rsidP="00892799">
      <w:pPr>
        <w:tabs>
          <w:tab w:val="left" w:pos="567"/>
        </w:tabs>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t>À sa soixante</w:t>
      </w:r>
      <w:r w:rsidR="005275ED" w:rsidRPr="006D55CC">
        <w:rPr>
          <w:lang w:val="fr-FR"/>
        </w:rPr>
        <w:noBreakHyphen/>
      </w:r>
      <w:r w:rsidRPr="006D55CC">
        <w:rPr>
          <w:lang w:val="fr-FR"/>
        </w:rPr>
        <w:t>dixième session</w:t>
      </w:r>
      <w:r w:rsidRPr="006D55CC">
        <w:rPr>
          <w:rStyle w:val="FootnoteReference"/>
          <w:lang w:val="fr-FR"/>
        </w:rPr>
        <w:footnoteReference w:id="5"/>
      </w:r>
      <w:r w:rsidRPr="006D55CC">
        <w:rPr>
          <w:lang w:val="fr-FR"/>
        </w:rPr>
        <w:t>, le CAJ est convenu que toutes les questions examinées par le CAJ</w:t>
      </w:r>
      <w:r w:rsidR="005275ED" w:rsidRPr="006D55CC">
        <w:rPr>
          <w:lang w:val="fr-FR"/>
        </w:rPr>
        <w:noBreakHyphen/>
      </w:r>
      <w:r w:rsidRPr="006D55CC">
        <w:rPr>
          <w:lang w:val="fr-FR"/>
        </w:rPr>
        <w:t>AG à sa neuvième session</w:t>
      </w:r>
      <w:r w:rsidRPr="006D55CC">
        <w:rPr>
          <w:rStyle w:val="FootnoteReference"/>
          <w:lang w:val="fr-FR"/>
        </w:rPr>
        <w:footnoteReference w:id="6"/>
      </w:r>
      <w:r w:rsidRPr="006D55CC">
        <w:rPr>
          <w:lang w:val="fr-FR"/>
        </w:rPr>
        <w:t xml:space="preserve"> devraient, après ladite session du CAJ</w:t>
      </w:r>
      <w:r w:rsidR="005275ED" w:rsidRPr="006D55CC">
        <w:rPr>
          <w:lang w:val="fr-FR"/>
        </w:rPr>
        <w:noBreakHyphen/>
      </w:r>
      <w:r w:rsidRPr="006D55CC">
        <w:rPr>
          <w:lang w:val="fr-FR"/>
        </w:rPr>
        <w:t>AG, être examinées par le CAJ, et que le CAJ</w:t>
      </w:r>
      <w:r w:rsidR="005275ED" w:rsidRPr="006D55CC">
        <w:rPr>
          <w:lang w:val="fr-FR"/>
        </w:rPr>
        <w:noBreakHyphen/>
      </w:r>
      <w:r w:rsidRPr="006D55CC">
        <w:rPr>
          <w:lang w:val="fr-FR"/>
        </w:rPr>
        <w:t>AG devrait uniquement se réunir de façon ponctuelle, selon que le CAJ le jugerait approprié</w:t>
      </w:r>
      <w:r w:rsidRPr="006D55CC">
        <w:rPr>
          <w:rStyle w:val="FootnoteReference"/>
          <w:lang w:val="fr-FR"/>
        </w:rPr>
        <w:footnoteReference w:id="7"/>
      </w:r>
      <w:r w:rsidRPr="006D55CC">
        <w:rPr>
          <w:lang w:val="fr-FR"/>
        </w:rPr>
        <w:t>.</w:t>
      </w:r>
    </w:p>
    <w:p w:rsidR="0026313F" w:rsidRPr="006D55CC" w:rsidRDefault="0026313F" w:rsidP="00892799">
      <w:pPr>
        <w:rPr>
          <w:lang w:val="fr-FR"/>
        </w:rPr>
      </w:pPr>
    </w:p>
    <w:p w:rsidR="0026313F" w:rsidRPr="006D55CC" w:rsidRDefault="0026313F" w:rsidP="00892799">
      <w:pPr>
        <w:rPr>
          <w:lang w:val="fr-FR"/>
        </w:rPr>
      </w:pPr>
    </w:p>
    <w:p w:rsidR="0026313F" w:rsidRPr="006D55CC" w:rsidRDefault="0026313F" w:rsidP="00892799">
      <w:pPr>
        <w:pStyle w:val="Heading1"/>
      </w:pPr>
      <w:bookmarkStart w:id="4" w:name="_Toc413318617"/>
      <w:bookmarkStart w:id="5" w:name="_Toc413404234"/>
      <w:bookmarkStart w:id="6" w:name="_Toc431218584"/>
      <w:r w:rsidRPr="006D55CC">
        <w:t>présentation générale du matériel d</w:t>
      </w:r>
      <w:r w:rsidR="00131117" w:rsidRPr="006D55CC">
        <w:t>’</w:t>
      </w:r>
      <w:r w:rsidRPr="006D55CC">
        <w:t>information</w:t>
      </w:r>
      <w:bookmarkEnd w:id="4"/>
      <w:bookmarkEnd w:id="5"/>
      <w:bookmarkEnd w:id="6"/>
    </w:p>
    <w:p w:rsidR="0026313F" w:rsidRPr="006D55CC" w:rsidRDefault="0026313F" w:rsidP="00892799">
      <w:pPr>
        <w:keepNext/>
        <w:rPr>
          <w:rFonts w:cs="Arial"/>
          <w:lang w:val="fr-FR"/>
        </w:rPr>
      </w:pPr>
    </w:p>
    <w:p w:rsidR="0026313F" w:rsidRPr="006D55CC" w:rsidRDefault="0026313F"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t>L</w:t>
      </w:r>
      <w:r w:rsidR="00131117" w:rsidRPr="006D55CC">
        <w:rPr>
          <w:lang w:val="fr-FR"/>
        </w:rPr>
        <w:t>’</w:t>
      </w:r>
      <w:r w:rsidRPr="006D55CC">
        <w:rPr>
          <w:lang w:val="fr-FR"/>
        </w:rPr>
        <w:t>annexe du présent document contient une présentation générale du matériel d</w:t>
      </w:r>
      <w:r w:rsidR="00131117" w:rsidRPr="006D55CC">
        <w:rPr>
          <w:lang w:val="fr-FR"/>
        </w:rPr>
        <w:t>’</w:t>
      </w:r>
      <w:r w:rsidRPr="006D55CC">
        <w:rPr>
          <w:lang w:val="fr-FR"/>
        </w:rPr>
        <w:t>information élaboré et en cours d</w:t>
      </w:r>
      <w:r w:rsidR="00131117" w:rsidRPr="006D55CC">
        <w:rPr>
          <w:lang w:val="fr-FR"/>
        </w:rPr>
        <w:t>’</w:t>
      </w:r>
      <w:r w:rsidRPr="006D55CC">
        <w:rPr>
          <w:lang w:val="fr-FR"/>
        </w:rPr>
        <w:t>élaboration.</w:t>
      </w:r>
    </w:p>
    <w:p w:rsidR="0026313F" w:rsidRPr="006D55CC" w:rsidRDefault="0026313F" w:rsidP="00892799">
      <w:pPr>
        <w:rPr>
          <w:lang w:val="fr-FR"/>
        </w:rPr>
      </w:pPr>
    </w:p>
    <w:p w:rsidR="0026313F" w:rsidRPr="006D55CC" w:rsidRDefault="0026313F" w:rsidP="00892799">
      <w:pPr>
        <w:rPr>
          <w:lang w:val="fr-FR"/>
        </w:rPr>
      </w:pPr>
    </w:p>
    <w:p w:rsidR="0026313F" w:rsidRPr="006D55CC" w:rsidRDefault="0026313F" w:rsidP="00892799">
      <w:pPr>
        <w:pStyle w:val="Heading1"/>
      </w:pPr>
      <w:bookmarkStart w:id="7" w:name="_Toc413318618"/>
      <w:bookmarkStart w:id="8" w:name="_Toc413404235"/>
      <w:bookmarkStart w:id="9" w:name="_Toc431218585"/>
      <w:r w:rsidRPr="006D55CC">
        <w:lastRenderedPageBreak/>
        <w:t>Matériel d</w:t>
      </w:r>
      <w:r w:rsidR="00131117" w:rsidRPr="006D55CC">
        <w:t>’</w:t>
      </w:r>
      <w:r w:rsidRPr="006D55CC">
        <w:t>information</w:t>
      </w:r>
      <w:bookmarkEnd w:id="7"/>
      <w:bookmarkEnd w:id="8"/>
      <w:bookmarkEnd w:id="9"/>
    </w:p>
    <w:p w:rsidR="0026313F" w:rsidRPr="006D55CC" w:rsidRDefault="0026313F" w:rsidP="00892799">
      <w:pPr>
        <w:keepNext/>
        <w:tabs>
          <w:tab w:val="left" w:pos="567"/>
        </w:tabs>
        <w:rPr>
          <w:lang w:val="fr-FR"/>
        </w:rPr>
      </w:pPr>
    </w:p>
    <w:p w:rsidR="00131117" w:rsidRPr="006D55CC" w:rsidRDefault="001E2C16"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DC5086" w:rsidRPr="006D55CC">
        <w:rPr>
          <w:lang w:val="fr-FR"/>
        </w:rPr>
        <w:t xml:space="preserve">Le </w:t>
      </w:r>
      <w:r w:rsidRPr="006D55CC">
        <w:rPr>
          <w:lang w:val="fr-FR"/>
        </w:rPr>
        <w:t>CAJ</w:t>
      </w:r>
      <w:r w:rsidR="00B8224B" w:rsidRPr="006D55CC">
        <w:rPr>
          <w:lang w:val="fr-FR"/>
        </w:rPr>
        <w:t>,</w:t>
      </w:r>
      <w:r w:rsidRPr="006D55CC">
        <w:rPr>
          <w:lang w:val="fr-FR"/>
        </w:rPr>
        <w:t xml:space="preserve"> </w:t>
      </w:r>
      <w:r w:rsidR="00DC5086" w:rsidRPr="006D55CC">
        <w:rPr>
          <w:lang w:val="fr-FR"/>
        </w:rPr>
        <w:t xml:space="preserve">à sa </w:t>
      </w:r>
      <w:r w:rsidR="00FE7A94" w:rsidRPr="006D55CC">
        <w:rPr>
          <w:lang w:val="fr-FR"/>
        </w:rPr>
        <w:t>soixante</w:t>
      </w:r>
      <w:r w:rsidR="008902E8" w:rsidRPr="006D55CC">
        <w:rPr>
          <w:lang w:val="fr-FR"/>
        </w:rPr>
        <w:t> </w:t>
      </w:r>
      <w:r w:rsidR="00FE7A94" w:rsidRPr="006D55CC">
        <w:rPr>
          <w:lang w:val="fr-FR"/>
        </w:rPr>
        <w:t>et</w:t>
      </w:r>
      <w:r w:rsidR="008902E8" w:rsidRPr="006D55CC">
        <w:rPr>
          <w:lang w:val="fr-FR"/>
        </w:rPr>
        <w:t> </w:t>
      </w:r>
      <w:r w:rsidR="00FE7A94" w:rsidRPr="006D55CC">
        <w:rPr>
          <w:lang w:val="fr-FR"/>
        </w:rPr>
        <w:t>onzième</w:t>
      </w:r>
      <w:r w:rsidR="008902E8" w:rsidRPr="006D55CC">
        <w:rPr>
          <w:lang w:val="fr-FR"/>
        </w:rPr>
        <w:t> </w:t>
      </w:r>
      <w:r w:rsidR="00FE7A94" w:rsidRPr="006D55CC">
        <w:rPr>
          <w:lang w:val="fr-FR"/>
        </w:rPr>
        <w:t>session</w:t>
      </w:r>
      <w:r w:rsidR="00662E19" w:rsidRPr="006D55CC">
        <w:rPr>
          <w:rStyle w:val="FootnoteReference"/>
          <w:lang w:val="fr-FR"/>
        </w:rPr>
        <w:footnoteReference w:id="8"/>
      </w:r>
      <w:r w:rsidR="00FE7A94" w:rsidRPr="006D55CC">
        <w:rPr>
          <w:lang w:val="fr-FR"/>
        </w:rPr>
        <w:t>, est convenu d</w:t>
      </w:r>
      <w:r w:rsidR="00131117" w:rsidRPr="006D55CC">
        <w:rPr>
          <w:lang w:val="fr-FR"/>
        </w:rPr>
        <w:t>’</w:t>
      </w:r>
      <w:r w:rsidR="00FE7A94" w:rsidRPr="006D55CC">
        <w:rPr>
          <w:lang w:val="fr-FR"/>
        </w:rPr>
        <w:t>examiner les documents d</w:t>
      </w:r>
      <w:r w:rsidR="00131117" w:rsidRPr="006D55CC">
        <w:rPr>
          <w:lang w:val="fr-FR"/>
        </w:rPr>
        <w:t>’</w:t>
      </w:r>
      <w:r w:rsidR="00FE7A94" w:rsidRPr="006D55CC">
        <w:rPr>
          <w:lang w:val="fr-FR"/>
        </w:rPr>
        <w:t xml:space="preserve">information </w:t>
      </w:r>
      <w:r w:rsidR="00C20E3F" w:rsidRPr="006D55CC">
        <w:rPr>
          <w:lang w:val="fr-FR"/>
        </w:rPr>
        <w:t>ci</w:t>
      </w:r>
      <w:r w:rsidR="005275ED" w:rsidRPr="006D55CC">
        <w:rPr>
          <w:lang w:val="fr-FR"/>
        </w:rPr>
        <w:noBreakHyphen/>
      </w:r>
      <w:r w:rsidR="00C20E3F" w:rsidRPr="006D55CC">
        <w:rPr>
          <w:lang w:val="fr-FR"/>
        </w:rPr>
        <w:t>après</w:t>
      </w:r>
      <w:r w:rsidR="00FE7A94" w:rsidRPr="006D55CC">
        <w:rPr>
          <w:lang w:val="fr-FR"/>
        </w:rPr>
        <w:t xml:space="preserve"> à sa soixante</w:t>
      </w:r>
      <w:r w:rsidR="005275ED" w:rsidRPr="006D55CC">
        <w:rPr>
          <w:lang w:val="fr-FR"/>
        </w:rPr>
        <w:noBreakHyphen/>
      </w:r>
      <w:r w:rsidR="00FE7A94" w:rsidRPr="006D55CC">
        <w:rPr>
          <w:lang w:val="fr-FR"/>
        </w:rPr>
        <w:t>douzième</w:t>
      </w:r>
      <w:r w:rsidR="008902E8" w:rsidRPr="006D55CC">
        <w:rPr>
          <w:lang w:val="fr-FR"/>
        </w:rPr>
        <w:t> </w:t>
      </w:r>
      <w:r w:rsidR="00FE7A94" w:rsidRPr="006D55CC">
        <w:rPr>
          <w:lang w:val="fr-FR"/>
        </w:rPr>
        <w:t>session </w:t>
      </w:r>
      <w:r w:rsidRPr="006D55CC">
        <w:rPr>
          <w:lang w:val="fr-FR"/>
        </w:rPr>
        <w:t>:</w:t>
      </w:r>
    </w:p>
    <w:p w:rsidR="001E2C16" w:rsidRPr="006D55CC" w:rsidRDefault="001E2C16" w:rsidP="00892799">
      <w:pPr>
        <w:rPr>
          <w:lang w:val="fr-FR"/>
        </w:rPr>
      </w:pPr>
    </w:p>
    <w:p w:rsidR="001E2C16" w:rsidRPr="006D55CC" w:rsidRDefault="00435DBA" w:rsidP="00892799">
      <w:pPr>
        <w:pStyle w:val="ListParagraph"/>
        <w:numPr>
          <w:ilvl w:val="0"/>
          <w:numId w:val="8"/>
        </w:numPr>
        <w:spacing w:after="240"/>
        <w:contextualSpacing w:val="0"/>
        <w:rPr>
          <w:lang w:val="fr-FR"/>
        </w:rPr>
      </w:pPr>
      <w:r w:rsidRPr="006D55CC">
        <w:rPr>
          <w:lang w:val="fr-FR"/>
        </w:rPr>
        <w:t>Notes explicatives sur les variétés essentiellement dérivées selon l</w:t>
      </w:r>
      <w:r w:rsidR="00131117" w:rsidRPr="006D55CC">
        <w:rPr>
          <w:lang w:val="fr-FR"/>
        </w:rPr>
        <w:t>’</w:t>
      </w:r>
      <w:r w:rsidRPr="006D55CC">
        <w:rPr>
          <w:lang w:val="fr-FR"/>
        </w:rPr>
        <w:t>Acte de</w:t>
      </w:r>
      <w:r w:rsidR="008902E8" w:rsidRPr="006D55CC">
        <w:rPr>
          <w:lang w:val="fr-FR"/>
        </w:rPr>
        <w:t> </w:t>
      </w:r>
      <w:r w:rsidRPr="006D55CC">
        <w:rPr>
          <w:lang w:val="fr-FR"/>
        </w:rPr>
        <w:t xml:space="preserve">1991 de la </w:t>
      </w:r>
      <w:r w:rsidR="00131117" w:rsidRPr="006D55CC">
        <w:rPr>
          <w:lang w:val="fr-FR"/>
        </w:rPr>
        <w:t>Convention UPOV</w:t>
      </w:r>
      <w:r w:rsidRPr="006D55CC">
        <w:rPr>
          <w:lang w:val="fr-FR"/>
        </w:rPr>
        <w:t xml:space="preserve"> </w:t>
      </w:r>
      <w:r w:rsidR="001E2C16" w:rsidRPr="006D55CC">
        <w:rPr>
          <w:lang w:val="fr-FR"/>
        </w:rPr>
        <w:t>(</w:t>
      </w:r>
      <w:r w:rsidRPr="006D55CC">
        <w:rPr>
          <w:lang w:val="fr-FR"/>
        </w:rPr>
        <w:t>ré</w:t>
      </w:r>
      <w:r w:rsidR="001E2C16" w:rsidRPr="006D55CC">
        <w:rPr>
          <w:lang w:val="fr-FR"/>
        </w:rPr>
        <w:t>vision)</w:t>
      </w:r>
    </w:p>
    <w:p w:rsidR="00131117" w:rsidRPr="006D55CC" w:rsidRDefault="00A60ED8" w:rsidP="00892799">
      <w:pPr>
        <w:pStyle w:val="ListParagraph"/>
        <w:numPr>
          <w:ilvl w:val="0"/>
          <w:numId w:val="8"/>
        </w:numPr>
        <w:rPr>
          <w:lang w:val="fr-FR"/>
        </w:rPr>
      </w:pPr>
      <w:r w:rsidRPr="006D55CC">
        <w:rPr>
          <w:lang w:val="fr-FR"/>
        </w:rPr>
        <w:t xml:space="preserve">Notes explicatives concernant les dénominations variétales en vertu de la </w:t>
      </w:r>
      <w:r w:rsidR="00131117" w:rsidRPr="006D55CC">
        <w:rPr>
          <w:lang w:val="fr-FR"/>
        </w:rPr>
        <w:t>Convention UPOV</w:t>
      </w:r>
      <w:r w:rsidRPr="006D55CC">
        <w:rPr>
          <w:lang w:val="fr-FR"/>
        </w:rPr>
        <w:t xml:space="preserve"> </w:t>
      </w:r>
      <w:r w:rsidR="001E2C16" w:rsidRPr="006D55CC">
        <w:rPr>
          <w:lang w:val="fr-FR"/>
        </w:rPr>
        <w:t>(</w:t>
      </w:r>
      <w:r w:rsidRPr="006D55CC">
        <w:rPr>
          <w:lang w:val="fr-FR"/>
        </w:rPr>
        <w:t>ré</w:t>
      </w:r>
      <w:r w:rsidR="001E2C16" w:rsidRPr="006D55CC">
        <w:rPr>
          <w:lang w:val="fr-FR"/>
        </w:rPr>
        <w:t>vision)</w:t>
      </w:r>
    </w:p>
    <w:p w:rsidR="001E2C16" w:rsidRPr="006D55CC" w:rsidRDefault="001E2C16" w:rsidP="00892799">
      <w:pPr>
        <w:ind w:left="567"/>
        <w:rPr>
          <w:lang w:val="fr-FR"/>
        </w:rPr>
      </w:pPr>
    </w:p>
    <w:p w:rsidR="001E2C16" w:rsidRPr="006D55CC" w:rsidRDefault="00546F4D" w:rsidP="00892799">
      <w:pPr>
        <w:pStyle w:val="ListParagraph"/>
        <w:numPr>
          <w:ilvl w:val="0"/>
          <w:numId w:val="8"/>
        </w:numPr>
        <w:rPr>
          <w:lang w:val="fr-FR"/>
        </w:rPr>
      </w:pPr>
      <w:r w:rsidRPr="006D55CC">
        <w:rPr>
          <w:lang w:val="fr-FR"/>
        </w:rPr>
        <w:t xml:space="preserve">Notes explicatives sur le matériel de reproduction ou de multiplication en vertu de la </w:t>
      </w:r>
      <w:r w:rsidR="00131117" w:rsidRPr="006D55CC">
        <w:rPr>
          <w:lang w:val="fr-FR"/>
        </w:rPr>
        <w:t>Convention UPOV</w:t>
      </w:r>
      <w:r w:rsidR="001E2C16" w:rsidRPr="006D55CC">
        <w:rPr>
          <w:lang w:val="fr-FR"/>
        </w:rPr>
        <w:t>.</w:t>
      </w:r>
    </w:p>
    <w:p w:rsidR="003870AE" w:rsidRPr="006D55CC" w:rsidRDefault="003870AE" w:rsidP="00892799">
      <w:pPr>
        <w:rPr>
          <w:strike/>
          <w:lang w:val="fr-FR"/>
        </w:rPr>
      </w:pPr>
    </w:p>
    <w:p w:rsidR="003870AE" w:rsidRPr="006D55CC" w:rsidRDefault="003870AE" w:rsidP="00892799">
      <w:pPr>
        <w:rPr>
          <w:lang w:val="fr-FR"/>
        </w:rPr>
      </w:pPr>
    </w:p>
    <w:p w:rsidR="00131117" w:rsidRPr="006D55CC" w:rsidRDefault="008F2A1B" w:rsidP="00892799">
      <w:pPr>
        <w:pStyle w:val="Heading2"/>
        <w:rPr>
          <w:lang w:val="fr-FR"/>
        </w:rPr>
      </w:pPr>
      <w:bookmarkStart w:id="10" w:name="_Toc431218586"/>
      <w:r w:rsidRPr="006D55CC">
        <w:rPr>
          <w:lang w:val="fr-FR"/>
        </w:rPr>
        <w:t>Notes explicatives sur les variétés essentiellement dérivées selon l</w:t>
      </w:r>
      <w:r w:rsidR="00131117" w:rsidRPr="006D55CC">
        <w:rPr>
          <w:lang w:val="fr-FR"/>
        </w:rPr>
        <w:t>’</w:t>
      </w:r>
      <w:r w:rsidRPr="006D55CC">
        <w:rPr>
          <w:lang w:val="fr-FR"/>
        </w:rPr>
        <w:t>Acte de</w:t>
      </w:r>
      <w:r w:rsidR="008902E8" w:rsidRPr="006D55CC">
        <w:rPr>
          <w:lang w:val="fr-FR"/>
        </w:rPr>
        <w:t> </w:t>
      </w:r>
      <w:r w:rsidRPr="006D55CC">
        <w:rPr>
          <w:lang w:val="fr-FR"/>
        </w:rPr>
        <w:t xml:space="preserve">1991 de la </w:t>
      </w:r>
      <w:r w:rsidR="00131117" w:rsidRPr="006D55CC">
        <w:rPr>
          <w:lang w:val="fr-FR"/>
        </w:rPr>
        <w:t>Convention UPOV</w:t>
      </w:r>
      <w:r w:rsidRPr="006D55CC">
        <w:rPr>
          <w:lang w:val="fr-FR"/>
        </w:rPr>
        <w:t xml:space="preserve"> (révision) </w:t>
      </w:r>
      <w:r w:rsidR="001E2C16" w:rsidRPr="006D55CC">
        <w:rPr>
          <w:lang w:val="fr-FR"/>
        </w:rPr>
        <w:t xml:space="preserve">(document </w:t>
      </w:r>
      <w:r w:rsidR="00FD02B1" w:rsidRPr="006D55CC">
        <w:rPr>
          <w:lang w:val="fr-FR"/>
        </w:rPr>
        <w:t>UPOV/EXN/EDV/2 Draft 6</w:t>
      </w:r>
      <w:r w:rsidR="003870AE" w:rsidRPr="006D55CC">
        <w:rPr>
          <w:lang w:val="fr-FR"/>
        </w:rPr>
        <w:t>)</w:t>
      </w:r>
      <w:bookmarkEnd w:id="10"/>
    </w:p>
    <w:p w:rsidR="00FD02B1" w:rsidRPr="006D55CC" w:rsidRDefault="00FD02B1" w:rsidP="00892799">
      <w:pPr>
        <w:rPr>
          <w:lang w:val="fr-FR"/>
        </w:rPr>
      </w:pPr>
    </w:p>
    <w:p w:rsidR="00131117" w:rsidRPr="006D55CC" w:rsidRDefault="00FD02B1" w:rsidP="00892799">
      <w:pPr>
        <w:rPr>
          <w:highlight w:val="lightGray"/>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4A78F1" w:rsidRPr="006D55CC">
        <w:rPr>
          <w:lang w:val="fr-FR"/>
        </w:rPr>
        <w:t>Le</w:t>
      </w:r>
      <w:r w:rsidRPr="006D55CC">
        <w:rPr>
          <w:lang w:val="fr-FR"/>
        </w:rPr>
        <w:t xml:space="preserve"> CAJ, </w:t>
      </w:r>
      <w:r w:rsidR="004A78F1" w:rsidRPr="006D55CC">
        <w:rPr>
          <w:lang w:val="fr-FR"/>
        </w:rPr>
        <w:t xml:space="preserve">à sa </w:t>
      </w:r>
      <w:r w:rsidR="006E6C0A" w:rsidRPr="006D55CC">
        <w:rPr>
          <w:lang w:val="fr-FR"/>
        </w:rPr>
        <w:t>soixante</w:t>
      </w:r>
      <w:r w:rsidR="008902E8" w:rsidRPr="006D55CC">
        <w:rPr>
          <w:lang w:val="fr-FR"/>
        </w:rPr>
        <w:t> </w:t>
      </w:r>
      <w:r w:rsidR="006E6C0A" w:rsidRPr="006D55CC">
        <w:rPr>
          <w:lang w:val="fr-FR"/>
        </w:rPr>
        <w:t>et</w:t>
      </w:r>
      <w:r w:rsidR="008902E8" w:rsidRPr="006D55CC">
        <w:rPr>
          <w:lang w:val="fr-FR"/>
        </w:rPr>
        <w:t> </w:t>
      </w:r>
      <w:r w:rsidR="006E6C0A" w:rsidRPr="006D55CC">
        <w:rPr>
          <w:lang w:val="fr-FR"/>
        </w:rPr>
        <w:t>onzième</w:t>
      </w:r>
      <w:r w:rsidR="008902E8" w:rsidRPr="006D55CC">
        <w:rPr>
          <w:lang w:val="fr-FR"/>
        </w:rPr>
        <w:t> </w:t>
      </w:r>
      <w:r w:rsidR="006E6C0A" w:rsidRPr="006D55CC">
        <w:rPr>
          <w:lang w:val="fr-FR"/>
        </w:rPr>
        <w:t>session</w:t>
      </w:r>
      <w:r w:rsidRPr="006D55CC">
        <w:rPr>
          <w:lang w:val="fr-FR"/>
        </w:rPr>
        <w:t xml:space="preserve">, </w:t>
      </w:r>
      <w:r w:rsidR="006E6C0A" w:rsidRPr="006D55CC">
        <w:rPr>
          <w:lang w:val="fr-FR"/>
        </w:rPr>
        <w:t xml:space="preserve">a noté </w:t>
      </w:r>
      <w:r w:rsidR="00C20E3F" w:rsidRPr="006D55CC">
        <w:rPr>
          <w:lang w:val="fr-FR"/>
        </w:rPr>
        <w:t>que</w:t>
      </w:r>
      <w:r w:rsidR="00131117" w:rsidRPr="006D55CC">
        <w:rPr>
          <w:lang w:val="fr-FR"/>
        </w:rPr>
        <w:t xml:space="preserve"> le CAJ</w:t>
      </w:r>
      <w:r w:rsidR="005275ED" w:rsidRPr="006D55CC">
        <w:rPr>
          <w:lang w:val="fr-FR"/>
        </w:rPr>
        <w:noBreakHyphen/>
      </w:r>
      <w:r w:rsidR="006E6C0A" w:rsidRPr="006D55CC">
        <w:rPr>
          <w:lang w:val="fr-FR"/>
        </w:rPr>
        <w:t>AG, à sa neuvième</w:t>
      </w:r>
      <w:r w:rsidR="008902E8" w:rsidRPr="006D55CC">
        <w:rPr>
          <w:lang w:val="fr-FR"/>
        </w:rPr>
        <w:t> </w:t>
      </w:r>
      <w:r w:rsidRPr="006D55CC">
        <w:rPr>
          <w:lang w:val="fr-FR"/>
        </w:rPr>
        <w:t>session</w:t>
      </w:r>
      <w:r w:rsidR="001B333C" w:rsidRPr="006D55CC">
        <w:rPr>
          <w:rStyle w:val="FootnoteReference"/>
          <w:lang w:val="fr-FR"/>
        </w:rPr>
        <w:footnoteReference w:id="9"/>
      </w:r>
      <w:r w:rsidRPr="006D55CC">
        <w:rPr>
          <w:lang w:val="fr-FR"/>
        </w:rPr>
        <w:t xml:space="preserve">, </w:t>
      </w:r>
      <w:r w:rsidR="006E6C0A" w:rsidRPr="006D55CC">
        <w:rPr>
          <w:lang w:val="fr-FR"/>
        </w:rPr>
        <w:t>avait accueilli avec satisfaction l</w:t>
      </w:r>
      <w:r w:rsidR="00131117" w:rsidRPr="006D55CC">
        <w:rPr>
          <w:lang w:val="fr-FR"/>
        </w:rPr>
        <w:t>’</w:t>
      </w:r>
      <w:r w:rsidR="006E6C0A" w:rsidRPr="006D55CC">
        <w:rPr>
          <w:lang w:val="fr-FR"/>
        </w:rPr>
        <w:t>exposé de l</w:t>
      </w:r>
      <w:r w:rsidR="00131117" w:rsidRPr="006D55CC">
        <w:rPr>
          <w:lang w:val="fr-FR"/>
        </w:rPr>
        <w:t>’</w:t>
      </w:r>
      <w:r w:rsidR="006E6C0A" w:rsidRPr="006D55CC">
        <w:rPr>
          <w:lang w:val="fr-FR"/>
        </w:rPr>
        <w:t>Australie diffusé par voie électronique via l</w:t>
      </w:r>
      <w:r w:rsidR="00131117" w:rsidRPr="006D55CC">
        <w:rPr>
          <w:lang w:val="fr-FR"/>
        </w:rPr>
        <w:t>’</w:t>
      </w:r>
      <w:r w:rsidR="006E6C0A" w:rsidRPr="006D55CC">
        <w:rPr>
          <w:lang w:val="fr-FR"/>
        </w:rPr>
        <w:t>Internet, qui contenait des renseignements supplémentaires sur le contexte des exemples donnés par l</w:t>
      </w:r>
      <w:r w:rsidR="00131117" w:rsidRPr="006D55CC">
        <w:rPr>
          <w:lang w:val="fr-FR"/>
        </w:rPr>
        <w:t>’</w:t>
      </w:r>
      <w:r w:rsidR="006E6C0A" w:rsidRPr="006D55CC">
        <w:rPr>
          <w:lang w:val="fr-FR"/>
        </w:rPr>
        <w:t>Australie au séminaire sur les variétés essentiellement dérivées, et que cet exposé p</w:t>
      </w:r>
      <w:r w:rsidR="00486A4D" w:rsidRPr="006D55CC">
        <w:rPr>
          <w:lang w:val="fr-FR"/>
        </w:rPr>
        <w:t>ouvait</w:t>
      </w:r>
      <w:r w:rsidR="006E6C0A" w:rsidRPr="006D55CC">
        <w:rPr>
          <w:lang w:val="fr-FR"/>
        </w:rPr>
        <w:t xml:space="preserve"> être consulté dans la partie du site</w:t>
      </w:r>
      <w:r w:rsidR="008902E8" w:rsidRPr="006D55CC">
        <w:rPr>
          <w:lang w:val="fr-FR"/>
        </w:rPr>
        <w:t> </w:t>
      </w:r>
      <w:r w:rsidR="006E6C0A" w:rsidRPr="006D55CC">
        <w:rPr>
          <w:lang w:val="fr-FR"/>
        </w:rPr>
        <w:t>Web de l</w:t>
      </w:r>
      <w:r w:rsidR="00131117" w:rsidRPr="006D55CC">
        <w:rPr>
          <w:lang w:val="fr-FR"/>
        </w:rPr>
        <w:t>’</w:t>
      </w:r>
      <w:r w:rsidR="006E6C0A" w:rsidRPr="006D55CC">
        <w:rPr>
          <w:lang w:val="fr-FR"/>
        </w:rPr>
        <w:t>UPOV consacrée à la quatorzième</w:t>
      </w:r>
      <w:r w:rsidR="008902E8" w:rsidRPr="006D55CC">
        <w:rPr>
          <w:lang w:val="fr-FR"/>
        </w:rPr>
        <w:t> </w:t>
      </w:r>
      <w:r w:rsidR="006E6C0A" w:rsidRPr="006D55CC">
        <w:rPr>
          <w:lang w:val="fr-FR"/>
        </w:rPr>
        <w:t>session</w:t>
      </w:r>
      <w:r w:rsidR="00131117" w:rsidRPr="006D55CC">
        <w:rPr>
          <w:lang w:val="fr-FR"/>
        </w:rPr>
        <w:t xml:space="preserve"> du CAJ</w:t>
      </w:r>
      <w:r w:rsidR="005275ED" w:rsidRPr="006D55CC">
        <w:rPr>
          <w:lang w:val="fr-FR"/>
        </w:rPr>
        <w:noBreakHyphen/>
      </w:r>
      <w:r w:rsidR="006E6C0A" w:rsidRPr="006D55CC">
        <w:rPr>
          <w:lang w:val="fr-FR"/>
        </w:rPr>
        <w:t>AG</w:t>
      </w:r>
      <w:r w:rsidR="009F4C84" w:rsidRPr="006D55CC">
        <w:rPr>
          <w:rStyle w:val="FootnoteReference"/>
          <w:lang w:val="fr-FR"/>
        </w:rPr>
        <w:footnoteReference w:id="10"/>
      </w:r>
      <w:r w:rsidR="006E6C0A" w:rsidRPr="006D55CC">
        <w:rPr>
          <w:lang w:val="fr-FR"/>
        </w:rPr>
        <w:t>.</w:t>
      </w:r>
    </w:p>
    <w:p w:rsidR="00FD02B1" w:rsidRPr="006D55CC" w:rsidRDefault="00FD02B1" w:rsidP="00892799">
      <w:pPr>
        <w:rPr>
          <w:highlight w:val="yellow"/>
          <w:lang w:val="fr-FR"/>
        </w:rPr>
      </w:pPr>
    </w:p>
    <w:p w:rsidR="00131117" w:rsidRPr="006D55CC" w:rsidRDefault="00FD02B1"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A2020E" w:rsidRPr="006D55CC">
        <w:rPr>
          <w:lang w:val="fr-FR"/>
        </w:rPr>
        <w:t xml:space="preserve">Le CAJ </w:t>
      </w:r>
      <w:r w:rsidR="000219E7" w:rsidRPr="006D55CC">
        <w:rPr>
          <w:lang w:val="fr-FR"/>
        </w:rPr>
        <w:t xml:space="preserve">est convenu </w:t>
      </w:r>
      <w:r w:rsidR="00A2020E" w:rsidRPr="006D55CC">
        <w:rPr>
          <w:lang w:val="fr-FR"/>
        </w:rPr>
        <w:t>d</w:t>
      </w:r>
      <w:r w:rsidR="00131117" w:rsidRPr="006D55CC">
        <w:rPr>
          <w:lang w:val="fr-FR"/>
        </w:rPr>
        <w:t>’</w:t>
      </w:r>
      <w:r w:rsidR="00A2020E" w:rsidRPr="006D55CC">
        <w:rPr>
          <w:lang w:val="fr-FR"/>
        </w:rPr>
        <w:t>envisager l</w:t>
      </w:r>
      <w:r w:rsidR="00131117" w:rsidRPr="006D55CC">
        <w:rPr>
          <w:lang w:val="fr-FR"/>
        </w:rPr>
        <w:t>’</w:t>
      </w:r>
      <w:r w:rsidR="00A2020E" w:rsidRPr="006D55CC">
        <w:rPr>
          <w:lang w:val="fr-FR"/>
        </w:rPr>
        <w:t>élaboration d</w:t>
      </w:r>
      <w:r w:rsidR="00131117" w:rsidRPr="006D55CC">
        <w:rPr>
          <w:lang w:val="fr-FR"/>
        </w:rPr>
        <w:t>’</w:t>
      </w:r>
      <w:r w:rsidR="00A2020E" w:rsidRPr="006D55CC">
        <w:rPr>
          <w:lang w:val="fr-FR"/>
        </w:rPr>
        <w:t>orientations concernant l</w:t>
      </w:r>
      <w:r w:rsidR="009D1160" w:rsidRPr="006D55CC">
        <w:rPr>
          <w:lang w:val="fr-FR"/>
        </w:rPr>
        <w:t>a situation</w:t>
      </w:r>
      <w:r w:rsidR="00A2020E" w:rsidRPr="006D55CC">
        <w:rPr>
          <w:lang w:val="fr-FR"/>
        </w:rPr>
        <w:t xml:space="preserve"> des variétés essentiellement dérivées qui n</w:t>
      </w:r>
      <w:r w:rsidR="00131117" w:rsidRPr="006D55CC">
        <w:rPr>
          <w:lang w:val="fr-FR"/>
        </w:rPr>
        <w:t>’</w:t>
      </w:r>
      <w:r w:rsidR="00A2020E" w:rsidRPr="006D55CC">
        <w:rPr>
          <w:lang w:val="fr-FR"/>
        </w:rPr>
        <w:t>ont pas bénéficié de la protection de plein droit, après l</w:t>
      </w:r>
      <w:r w:rsidR="00131117" w:rsidRPr="006D55CC">
        <w:rPr>
          <w:lang w:val="fr-FR"/>
        </w:rPr>
        <w:t>’</w:t>
      </w:r>
      <w:r w:rsidR="00A2020E" w:rsidRPr="006D55CC">
        <w:rPr>
          <w:lang w:val="fr-FR"/>
        </w:rPr>
        <w:t>adoption du document révisé</w:t>
      </w:r>
      <w:r w:rsidR="00B8224B" w:rsidRPr="006D55CC">
        <w:rPr>
          <w:lang w:val="fr-FR"/>
        </w:rPr>
        <w:t xml:space="preserve"> UPOV/EXN/EDV/2</w:t>
      </w:r>
      <w:r w:rsidR="00612CF3" w:rsidRPr="006D55CC">
        <w:rPr>
          <w:rStyle w:val="FootnoteReference"/>
          <w:lang w:val="fr-FR"/>
        </w:rPr>
        <w:footnoteReference w:id="11"/>
      </w:r>
      <w:r w:rsidR="00A2020E" w:rsidRPr="006D55CC">
        <w:rPr>
          <w:lang w:val="fr-FR"/>
        </w:rPr>
        <w:t>.</w:t>
      </w:r>
    </w:p>
    <w:p w:rsidR="00492D94" w:rsidRPr="006D55CC" w:rsidRDefault="00492D94" w:rsidP="00892799">
      <w:pPr>
        <w:rPr>
          <w:snapToGrid w:val="0"/>
          <w:highlight w:val="yellow"/>
          <w:lang w:val="fr-FR"/>
        </w:rPr>
      </w:pPr>
    </w:p>
    <w:p w:rsidR="00FD02B1" w:rsidRPr="006D55CC" w:rsidRDefault="00FD02B1"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7769F5" w:rsidRPr="006D55CC">
        <w:rPr>
          <w:lang w:val="fr-FR"/>
        </w:rPr>
        <w:t xml:space="preserve">Le CAJ </w:t>
      </w:r>
      <w:r w:rsidR="00B8013C" w:rsidRPr="006D55CC">
        <w:rPr>
          <w:lang w:val="fr-FR"/>
        </w:rPr>
        <w:t>est convenu</w:t>
      </w:r>
      <w:r w:rsidR="007769F5" w:rsidRPr="006D55CC">
        <w:rPr>
          <w:lang w:val="fr-FR"/>
        </w:rPr>
        <w:t xml:space="preserve"> d</w:t>
      </w:r>
      <w:r w:rsidR="00131117" w:rsidRPr="006D55CC">
        <w:rPr>
          <w:lang w:val="fr-FR"/>
        </w:rPr>
        <w:t>’</w:t>
      </w:r>
      <w:r w:rsidR="007769F5" w:rsidRPr="006D55CC">
        <w:rPr>
          <w:lang w:val="fr-FR"/>
        </w:rPr>
        <w:t>inviter les membres de l</w:t>
      </w:r>
      <w:r w:rsidR="00131117" w:rsidRPr="006D55CC">
        <w:rPr>
          <w:lang w:val="fr-FR"/>
        </w:rPr>
        <w:t>’</w:t>
      </w:r>
      <w:r w:rsidR="007769F5" w:rsidRPr="006D55CC">
        <w:rPr>
          <w:lang w:val="fr-FR"/>
        </w:rPr>
        <w:t xml:space="preserve">Union à présenter des exposés sur leurs systèmes concernant les variétés essentiellement dérivées à sa </w:t>
      </w:r>
      <w:r w:rsidR="00C20E3F" w:rsidRPr="006D55CC">
        <w:rPr>
          <w:lang w:val="fr-FR"/>
        </w:rPr>
        <w:t>soixante</w:t>
      </w:r>
      <w:r w:rsidR="005275ED" w:rsidRPr="006D55CC">
        <w:rPr>
          <w:lang w:val="fr-FR"/>
        </w:rPr>
        <w:noBreakHyphen/>
      </w:r>
      <w:r w:rsidR="00C20E3F" w:rsidRPr="006D55CC">
        <w:rPr>
          <w:lang w:val="fr-FR"/>
        </w:rPr>
        <w:t>douzième</w:t>
      </w:r>
      <w:r w:rsidR="008902E8" w:rsidRPr="006D55CC">
        <w:rPr>
          <w:lang w:val="fr-FR"/>
        </w:rPr>
        <w:t> </w:t>
      </w:r>
      <w:r w:rsidR="007769F5" w:rsidRPr="006D55CC">
        <w:rPr>
          <w:lang w:val="fr-FR"/>
        </w:rPr>
        <w:t>session</w:t>
      </w:r>
      <w:r w:rsidR="00612CF3" w:rsidRPr="006D55CC">
        <w:rPr>
          <w:rStyle w:val="FootnoteReference"/>
          <w:lang w:val="fr-FR"/>
        </w:rPr>
        <w:footnoteReference w:id="12"/>
      </w:r>
      <w:r w:rsidR="007769F5" w:rsidRPr="006D55CC">
        <w:rPr>
          <w:lang w:val="fr-FR"/>
        </w:rPr>
        <w:t>.</w:t>
      </w:r>
    </w:p>
    <w:p w:rsidR="00492D94" w:rsidRPr="006D55CC" w:rsidRDefault="00492D94" w:rsidP="00892799">
      <w:pPr>
        <w:rPr>
          <w:highlight w:val="yellow"/>
          <w:lang w:val="fr-FR"/>
        </w:rPr>
      </w:pPr>
    </w:p>
    <w:p w:rsidR="00FD02B1" w:rsidRPr="006D55CC" w:rsidRDefault="00FD02B1"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483E05" w:rsidRPr="006D55CC">
        <w:rPr>
          <w:lang w:val="fr-FR"/>
        </w:rPr>
        <w:t xml:space="preserve">Le </w:t>
      </w:r>
      <w:r w:rsidR="00492D94" w:rsidRPr="006D55CC">
        <w:rPr>
          <w:snapToGrid w:val="0"/>
          <w:lang w:val="fr-FR"/>
        </w:rPr>
        <w:t>2</w:t>
      </w:r>
      <w:r w:rsidR="00131117" w:rsidRPr="006D55CC">
        <w:rPr>
          <w:snapToGrid w:val="0"/>
          <w:lang w:val="fr-FR"/>
        </w:rPr>
        <w:t>6 juin 20</w:t>
      </w:r>
      <w:r w:rsidR="00492D94" w:rsidRPr="006D55CC">
        <w:rPr>
          <w:snapToGrid w:val="0"/>
          <w:lang w:val="fr-FR"/>
        </w:rPr>
        <w:t>15</w:t>
      </w:r>
      <w:r w:rsidRPr="006D55CC">
        <w:rPr>
          <w:lang w:val="fr-FR"/>
        </w:rPr>
        <w:t xml:space="preserve">, </w:t>
      </w:r>
      <w:r w:rsidR="00483E05" w:rsidRPr="006D55CC">
        <w:rPr>
          <w:lang w:val="fr-FR"/>
        </w:rPr>
        <w:t>la circulaire de l</w:t>
      </w:r>
      <w:r w:rsidR="00131117" w:rsidRPr="006D55CC">
        <w:rPr>
          <w:lang w:val="fr-FR"/>
        </w:rPr>
        <w:t>’</w:t>
      </w:r>
      <w:r w:rsidR="00483E05" w:rsidRPr="006D55CC">
        <w:rPr>
          <w:lang w:val="fr-FR"/>
        </w:rPr>
        <w:t xml:space="preserve">UPOV </w:t>
      </w:r>
      <w:r w:rsidRPr="006D55CC">
        <w:rPr>
          <w:lang w:val="fr-FR"/>
        </w:rPr>
        <w:t>E</w:t>
      </w:r>
      <w:r w:rsidR="005275ED" w:rsidRPr="006D55CC">
        <w:rPr>
          <w:lang w:val="fr-FR"/>
        </w:rPr>
        <w:noBreakHyphen/>
      </w:r>
      <w:r w:rsidRPr="006D55CC">
        <w:rPr>
          <w:lang w:val="fr-FR"/>
        </w:rPr>
        <w:t>15/</w:t>
      </w:r>
      <w:r w:rsidR="00492D94" w:rsidRPr="006D55CC">
        <w:rPr>
          <w:lang w:val="fr-FR"/>
        </w:rPr>
        <w:t>149</w:t>
      </w:r>
      <w:r w:rsidRPr="006D55CC">
        <w:rPr>
          <w:lang w:val="fr-FR"/>
        </w:rPr>
        <w:t xml:space="preserve"> </w:t>
      </w:r>
      <w:r w:rsidR="00483E05" w:rsidRPr="006D55CC">
        <w:rPr>
          <w:lang w:val="fr-FR"/>
        </w:rPr>
        <w:t>a été envoyée aux membres</w:t>
      </w:r>
      <w:r w:rsidR="00131117" w:rsidRPr="006D55CC">
        <w:rPr>
          <w:lang w:val="fr-FR"/>
        </w:rPr>
        <w:t xml:space="preserve"> du CAJ</w:t>
      </w:r>
      <w:r w:rsidRPr="006D55CC">
        <w:rPr>
          <w:lang w:val="fr-FR"/>
        </w:rPr>
        <w:t xml:space="preserve">, </w:t>
      </w:r>
      <w:r w:rsidR="00483E05" w:rsidRPr="006D55CC">
        <w:rPr>
          <w:lang w:val="fr-FR"/>
        </w:rPr>
        <w:t xml:space="preserve">les invitant à présenter des exposés sur leurs systèmes concernant les variétés essentiellement dérivées à la </w:t>
      </w:r>
      <w:r w:rsidR="00C20E3F" w:rsidRPr="006D55CC">
        <w:rPr>
          <w:lang w:val="fr-FR"/>
        </w:rPr>
        <w:t>soixante</w:t>
      </w:r>
      <w:r w:rsidR="005275ED" w:rsidRPr="006D55CC">
        <w:rPr>
          <w:lang w:val="fr-FR"/>
        </w:rPr>
        <w:noBreakHyphen/>
      </w:r>
      <w:r w:rsidR="00C20E3F" w:rsidRPr="006D55CC">
        <w:rPr>
          <w:lang w:val="fr-FR"/>
        </w:rPr>
        <w:t>douzième</w:t>
      </w:r>
      <w:r w:rsidR="008902E8" w:rsidRPr="006D55CC">
        <w:rPr>
          <w:lang w:val="fr-FR"/>
        </w:rPr>
        <w:t> </w:t>
      </w:r>
      <w:r w:rsidR="00483E05" w:rsidRPr="006D55CC">
        <w:rPr>
          <w:lang w:val="fr-FR"/>
        </w:rPr>
        <w:t>session</w:t>
      </w:r>
      <w:r w:rsidR="00131117" w:rsidRPr="006D55CC">
        <w:rPr>
          <w:lang w:val="fr-FR"/>
        </w:rPr>
        <w:t xml:space="preserve"> du CAJ</w:t>
      </w:r>
      <w:r w:rsidRPr="006D55CC">
        <w:rPr>
          <w:lang w:val="fr-FR"/>
        </w:rPr>
        <w:t xml:space="preserve">.  </w:t>
      </w:r>
      <w:r w:rsidR="00483E05" w:rsidRPr="006D55CC">
        <w:rPr>
          <w:lang w:val="fr-FR"/>
        </w:rPr>
        <w:t>À la date du présent document, l</w:t>
      </w:r>
      <w:r w:rsidR="00131117" w:rsidRPr="006D55CC">
        <w:rPr>
          <w:lang w:val="fr-FR"/>
        </w:rPr>
        <w:t>’</w:t>
      </w:r>
      <w:r w:rsidR="00483E05" w:rsidRPr="006D55CC">
        <w:rPr>
          <w:lang w:val="fr-FR"/>
        </w:rPr>
        <w:t>Union européenne a</w:t>
      </w:r>
      <w:r w:rsidR="00E60FD9" w:rsidRPr="006D55CC">
        <w:rPr>
          <w:lang w:val="fr-FR"/>
        </w:rPr>
        <w:t xml:space="preserve">vait </w:t>
      </w:r>
      <w:r w:rsidR="00483E05" w:rsidRPr="006D55CC">
        <w:rPr>
          <w:lang w:val="fr-FR"/>
        </w:rPr>
        <w:t>confirmé son intention de présenter un exposé</w:t>
      </w:r>
      <w:r w:rsidRPr="006D55CC">
        <w:rPr>
          <w:lang w:val="fr-FR"/>
        </w:rPr>
        <w:t>.</w:t>
      </w:r>
    </w:p>
    <w:p w:rsidR="00FD02B1" w:rsidRPr="006D55CC" w:rsidRDefault="00FD02B1" w:rsidP="00892799">
      <w:pPr>
        <w:rPr>
          <w:snapToGrid w:val="0"/>
          <w:highlight w:val="yellow"/>
          <w:lang w:val="fr-FR"/>
        </w:rPr>
      </w:pPr>
    </w:p>
    <w:p w:rsidR="00323E49" w:rsidRPr="006D55CC" w:rsidRDefault="00FD02B1" w:rsidP="00892799">
      <w:pPr>
        <w:rPr>
          <w:highlight w:val="lightGray"/>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5E12A3" w:rsidRPr="006D55CC">
        <w:rPr>
          <w:lang w:val="fr-FR"/>
        </w:rPr>
        <w:t>Le CAJ est convenu d</w:t>
      </w:r>
      <w:r w:rsidR="00131117" w:rsidRPr="006D55CC">
        <w:rPr>
          <w:lang w:val="fr-FR"/>
        </w:rPr>
        <w:t>’</w:t>
      </w:r>
      <w:r w:rsidR="005E12A3" w:rsidRPr="006D55CC">
        <w:rPr>
          <w:lang w:val="fr-FR"/>
        </w:rPr>
        <w:t xml:space="preserve">examiner, à sa </w:t>
      </w:r>
      <w:r w:rsidR="00C20E3F" w:rsidRPr="006D55CC">
        <w:rPr>
          <w:lang w:val="fr-FR"/>
        </w:rPr>
        <w:t>soixante</w:t>
      </w:r>
      <w:r w:rsidR="005275ED" w:rsidRPr="006D55CC">
        <w:rPr>
          <w:lang w:val="fr-FR"/>
        </w:rPr>
        <w:noBreakHyphen/>
      </w:r>
      <w:r w:rsidR="00C20E3F" w:rsidRPr="006D55CC">
        <w:rPr>
          <w:lang w:val="fr-FR"/>
        </w:rPr>
        <w:t>douzième</w:t>
      </w:r>
      <w:r w:rsidR="008902E8" w:rsidRPr="006D55CC">
        <w:rPr>
          <w:lang w:val="fr-FR"/>
        </w:rPr>
        <w:t> </w:t>
      </w:r>
      <w:r w:rsidR="005E12A3" w:rsidRPr="006D55CC">
        <w:rPr>
          <w:lang w:val="fr-FR"/>
        </w:rPr>
        <w:t xml:space="preserve">session, la proposition </w:t>
      </w:r>
      <w:r w:rsidR="009D1160" w:rsidRPr="006D55CC">
        <w:rPr>
          <w:lang w:val="fr-FR"/>
        </w:rPr>
        <w:t>tendant à ce que le</w:t>
      </w:r>
      <w:r w:rsidR="005E12A3" w:rsidRPr="006D55CC">
        <w:rPr>
          <w:lang w:val="fr-FR"/>
        </w:rPr>
        <w:t xml:space="preserve"> Bureau de l</w:t>
      </w:r>
      <w:r w:rsidR="00131117" w:rsidRPr="006D55CC">
        <w:rPr>
          <w:lang w:val="fr-FR"/>
        </w:rPr>
        <w:t>’</w:t>
      </w:r>
      <w:r w:rsidR="005E12A3" w:rsidRPr="006D55CC">
        <w:rPr>
          <w:lang w:val="fr-FR"/>
        </w:rPr>
        <w:t>Union organise une réunion pour échanger des informations avec la Communauté internationale des obtenteurs de plantes ornementales et fruitières à reproduction asexuée (CIOPORA), l</w:t>
      </w:r>
      <w:r w:rsidR="00131117" w:rsidRPr="006D55CC">
        <w:rPr>
          <w:lang w:val="fr-FR"/>
        </w:rPr>
        <w:t>’</w:t>
      </w:r>
      <w:r w:rsidR="005E12A3" w:rsidRPr="006D55CC">
        <w:rPr>
          <w:lang w:val="fr-FR"/>
        </w:rPr>
        <w:t>International Seed Federation (ISF) et l</w:t>
      </w:r>
      <w:r w:rsidR="00131117" w:rsidRPr="006D55CC">
        <w:rPr>
          <w:lang w:val="fr-FR"/>
        </w:rPr>
        <w:t>’</w:t>
      </w:r>
      <w:r w:rsidR="005E12A3" w:rsidRPr="006D55CC">
        <w:rPr>
          <w:lang w:val="fr-FR"/>
        </w:rPr>
        <w:t>Organisation Mondiale de la Propriété Intellectuelle (OMPI) en vue d</w:t>
      </w:r>
      <w:r w:rsidR="00131117" w:rsidRPr="006D55CC">
        <w:rPr>
          <w:lang w:val="fr-FR"/>
        </w:rPr>
        <w:t>’</w:t>
      </w:r>
      <w:r w:rsidR="005E12A3" w:rsidRPr="006D55CC">
        <w:rPr>
          <w:lang w:val="fr-FR"/>
        </w:rPr>
        <w:t>étudier le rôle que l</w:t>
      </w:r>
      <w:r w:rsidR="00131117" w:rsidRPr="006D55CC">
        <w:rPr>
          <w:lang w:val="fr-FR"/>
        </w:rPr>
        <w:t>’</w:t>
      </w:r>
      <w:r w:rsidR="005E12A3" w:rsidRPr="006D55CC">
        <w:rPr>
          <w:lang w:val="fr-FR"/>
        </w:rPr>
        <w:t xml:space="preserve">UPOV pourrait jouer dans les mécanismes extrajudiciaires de règlement des litiges pour les questions relatives aux variétés essentiellement dérivées, </w:t>
      </w:r>
      <w:r w:rsidR="00131117" w:rsidRPr="006D55CC">
        <w:rPr>
          <w:lang w:val="fr-FR"/>
        </w:rPr>
        <w:t>y compris</w:t>
      </w:r>
      <w:r w:rsidR="005E12A3" w:rsidRPr="006D55CC">
        <w:rPr>
          <w:lang w:val="fr-FR"/>
        </w:rPr>
        <w:t xml:space="preserve"> la mise à disposition d</w:t>
      </w:r>
      <w:r w:rsidR="00131117" w:rsidRPr="006D55CC">
        <w:rPr>
          <w:lang w:val="fr-FR"/>
        </w:rPr>
        <w:t>’</w:t>
      </w:r>
      <w:r w:rsidR="005E12A3" w:rsidRPr="006D55CC">
        <w:rPr>
          <w:lang w:val="fr-FR"/>
        </w:rPr>
        <w:t>experts concernant les questions relatives aux variétés essentiellement dérivées</w:t>
      </w:r>
      <w:r w:rsidRPr="006D55CC">
        <w:rPr>
          <w:lang w:val="fr-FR"/>
        </w:rPr>
        <w:t xml:space="preserve">. </w:t>
      </w:r>
      <w:r w:rsidR="00131117" w:rsidRPr="006D55CC">
        <w:rPr>
          <w:lang w:val="fr-FR"/>
        </w:rPr>
        <w:t xml:space="preserve"> Le CAJ</w:t>
      </w:r>
      <w:r w:rsidRPr="006D55CC">
        <w:rPr>
          <w:lang w:val="fr-FR"/>
        </w:rPr>
        <w:t xml:space="preserve"> </w:t>
      </w:r>
      <w:r w:rsidR="005E12A3" w:rsidRPr="006D55CC">
        <w:rPr>
          <w:lang w:val="fr-FR"/>
        </w:rPr>
        <w:t>a noté</w:t>
      </w:r>
      <w:r w:rsidRPr="006D55CC">
        <w:rPr>
          <w:lang w:val="fr-FR"/>
        </w:rPr>
        <w:t xml:space="preserve"> </w:t>
      </w:r>
      <w:r w:rsidR="005E12A3" w:rsidRPr="006D55CC">
        <w:rPr>
          <w:lang w:val="fr-FR"/>
        </w:rPr>
        <w:t>que le Conseil avait adopté le document UPOV/INF/21/1 “Mécanismes extrajudiciaires de règlement des litiges</w:t>
      </w:r>
      <w:r w:rsidRPr="006D55CC">
        <w:rPr>
          <w:lang w:val="fr-FR"/>
        </w:rPr>
        <w:t>”</w:t>
      </w:r>
      <w:r w:rsidR="000D0D63" w:rsidRPr="006D55CC">
        <w:rPr>
          <w:rStyle w:val="FootnoteReference"/>
          <w:lang w:val="fr-FR"/>
        </w:rPr>
        <w:footnoteReference w:id="13"/>
      </w:r>
      <w:r w:rsidR="005E12A3" w:rsidRPr="006D55CC">
        <w:rPr>
          <w:lang w:val="fr-FR"/>
        </w:rPr>
        <w:t>.</w:t>
      </w:r>
    </w:p>
    <w:p w:rsidR="00FD02B1" w:rsidRPr="006D55CC" w:rsidRDefault="00FD02B1" w:rsidP="00892799">
      <w:pPr>
        <w:rPr>
          <w:highlight w:val="yellow"/>
          <w:lang w:val="fr-FR"/>
        </w:rPr>
      </w:pPr>
    </w:p>
    <w:p w:rsidR="00323E49" w:rsidRPr="006D55CC" w:rsidRDefault="00FD02B1" w:rsidP="00892799">
      <w:pPr>
        <w:rPr>
          <w:highlight w:val="lightGray"/>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392258" w:rsidRPr="006D55CC">
        <w:rPr>
          <w:lang w:val="fr-FR"/>
        </w:rPr>
        <w:t xml:space="preserve">Le CAJ </w:t>
      </w:r>
      <w:r w:rsidR="00D06185" w:rsidRPr="006D55CC">
        <w:rPr>
          <w:lang w:val="fr-FR"/>
        </w:rPr>
        <w:t>est convenu</w:t>
      </w:r>
      <w:r w:rsidR="00392258" w:rsidRPr="006D55CC">
        <w:rPr>
          <w:lang w:val="fr-FR"/>
        </w:rPr>
        <w:t xml:space="preserve"> d</w:t>
      </w:r>
      <w:r w:rsidR="00131117" w:rsidRPr="006D55CC">
        <w:rPr>
          <w:lang w:val="fr-FR"/>
        </w:rPr>
        <w:t>’</w:t>
      </w:r>
      <w:r w:rsidR="00392258" w:rsidRPr="006D55CC">
        <w:rPr>
          <w:lang w:val="fr-FR"/>
        </w:rPr>
        <w:t>examiner un nouveau projet de “Notes explicatives sur les variétés essentiellement dérivées selon l</w:t>
      </w:r>
      <w:r w:rsidR="00131117" w:rsidRPr="006D55CC">
        <w:rPr>
          <w:lang w:val="fr-FR"/>
        </w:rPr>
        <w:t>’</w:t>
      </w:r>
      <w:r w:rsidR="00392258" w:rsidRPr="006D55CC">
        <w:rPr>
          <w:lang w:val="fr-FR"/>
        </w:rPr>
        <w:t>Acte de</w:t>
      </w:r>
      <w:r w:rsidR="008902E8" w:rsidRPr="006D55CC">
        <w:rPr>
          <w:lang w:val="fr-FR"/>
        </w:rPr>
        <w:t> </w:t>
      </w:r>
      <w:r w:rsidR="00392258" w:rsidRPr="006D55CC">
        <w:rPr>
          <w:lang w:val="fr-FR"/>
        </w:rPr>
        <w:t xml:space="preserve">1991 de la </w:t>
      </w:r>
      <w:r w:rsidR="00131117" w:rsidRPr="006D55CC">
        <w:rPr>
          <w:lang w:val="fr-FR"/>
        </w:rPr>
        <w:t>Convention UPOV</w:t>
      </w:r>
      <w:r w:rsidR="00392258" w:rsidRPr="006D55CC">
        <w:rPr>
          <w:lang w:val="fr-FR"/>
        </w:rPr>
        <w:t>” (révision) (document UPOV/EXN/EDV/2 Draft 6) à sa soixante</w:t>
      </w:r>
      <w:r w:rsidR="005275ED" w:rsidRPr="006D55CC">
        <w:rPr>
          <w:lang w:val="fr-FR"/>
        </w:rPr>
        <w:noBreakHyphen/>
      </w:r>
      <w:r w:rsidR="00392258" w:rsidRPr="006D55CC">
        <w:rPr>
          <w:lang w:val="fr-FR"/>
        </w:rPr>
        <w:t>douzième</w:t>
      </w:r>
      <w:r w:rsidR="008902E8" w:rsidRPr="006D55CC">
        <w:rPr>
          <w:lang w:val="fr-FR"/>
        </w:rPr>
        <w:t> </w:t>
      </w:r>
      <w:r w:rsidR="00392258" w:rsidRPr="006D55CC">
        <w:rPr>
          <w:lang w:val="fr-FR"/>
        </w:rPr>
        <w:t>session</w:t>
      </w:r>
      <w:r w:rsidRPr="006D55CC">
        <w:rPr>
          <w:lang w:val="fr-FR"/>
        </w:rPr>
        <w:t xml:space="preserve">, </w:t>
      </w:r>
      <w:r w:rsidR="00CB66BB" w:rsidRPr="006D55CC">
        <w:rPr>
          <w:lang w:val="fr-FR"/>
        </w:rPr>
        <w:t xml:space="preserve">incorporant les modifications </w:t>
      </w:r>
      <w:r w:rsidR="001A1C87" w:rsidRPr="006D55CC">
        <w:rPr>
          <w:lang w:val="fr-FR"/>
        </w:rPr>
        <w:t xml:space="preserve">suivantes </w:t>
      </w:r>
      <w:r w:rsidR="00CB66BB" w:rsidRPr="006D55CC">
        <w:rPr>
          <w:lang w:val="fr-FR"/>
        </w:rPr>
        <w:t>approuvées par</w:t>
      </w:r>
      <w:r w:rsidR="00131117" w:rsidRPr="006D55CC">
        <w:rPr>
          <w:lang w:val="fr-FR"/>
        </w:rPr>
        <w:t xml:space="preserve"> le CAJ</w:t>
      </w:r>
      <w:r w:rsidR="00CB66BB" w:rsidRPr="006D55CC">
        <w:rPr>
          <w:lang w:val="fr-FR"/>
        </w:rPr>
        <w:t>­AG à sa neuvième</w:t>
      </w:r>
      <w:r w:rsidR="008902E8" w:rsidRPr="006D55CC">
        <w:rPr>
          <w:lang w:val="fr-FR"/>
        </w:rPr>
        <w:t> </w:t>
      </w:r>
      <w:r w:rsidR="00CB66BB" w:rsidRPr="006D55CC">
        <w:rPr>
          <w:lang w:val="fr-FR"/>
        </w:rPr>
        <w:t>session</w:t>
      </w:r>
      <w:r w:rsidR="00323E49" w:rsidRPr="006D55CC">
        <w:rPr>
          <w:lang w:val="fr-FR"/>
        </w:rPr>
        <w:t xml:space="preserve"> (</w:t>
      </w:r>
      <w:r w:rsidR="00CB66BB" w:rsidRPr="006D55CC">
        <w:rPr>
          <w:lang w:val="fr-FR"/>
        </w:rPr>
        <w:t>voir le paragraphe</w:t>
      </w:r>
      <w:r w:rsidR="008902E8" w:rsidRPr="006D55CC">
        <w:rPr>
          <w:lang w:val="fr-FR"/>
        </w:rPr>
        <w:t> </w:t>
      </w:r>
      <w:r w:rsidR="00CB66BB" w:rsidRPr="006D55CC">
        <w:rPr>
          <w:lang w:val="fr-FR"/>
        </w:rPr>
        <w:t xml:space="preserve">15 du </w:t>
      </w:r>
      <w:r w:rsidRPr="006D55CC">
        <w:rPr>
          <w:lang w:val="fr-FR"/>
        </w:rPr>
        <w:t>documen</w:t>
      </w:r>
      <w:r w:rsidR="00323E49" w:rsidRPr="006D55CC">
        <w:rPr>
          <w:lang w:val="fr-FR"/>
        </w:rPr>
        <w:t>t CAJ/71/2)</w:t>
      </w:r>
      <w:r w:rsidR="00442C39" w:rsidRPr="006D55CC">
        <w:rPr>
          <w:rStyle w:val="FootnoteReference"/>
          <w:lang w:val="fr-FR"/>
        </w:rPr>
        <w:footnoteReference w:id="14"/>
      </w:r>
      <w:r w:rsidR="00CB66BB" w:rsidRPr="006D55CC">
        <w:rPr>
          <w:lang w:val="fr-FR"/>
        </w:rPr>
        <w:t>.</w:t>
      </w:r>
    </w:p>
    <w:p w:rsidR="003870AE" w:rsidRPr="006D55CC" w:rsidRDefault="003870AE" w:rsidP="002B2A44">
      <w:pPr>
        <w:rPr>
          <w:rFonts w:cs="Arial"/>
          <w:lang w:val="fr-FR"/>
        </w:rPr>
      </w:pPr>
    </w:p>
    <w:tbl>
      <w:tblPr>
        <w:tblW w:w="9180" w:type="dxa"/>
        <w:tblInd w:w="56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645"/>
        <w:gridCol w:w="7535"/>
      </w:tblGrid>
      <w:tr w:rsidR="006D55CC" w:rsidRPr="006D55CC" w:rsidTr="006F5AA1">
        <w:trPr>
          <w:cantSplit/>
        </w:trPr>
        <w:tc>
          <w:tcPr>
            <w:tcW w:w="1645" w:type="dxa"/>
          </w:tcPr>
          <w:p w:rsidR="0026313F" w:rsidRPr="006D55CC" w:rsidRDefault="0026313F" w:rsidP="00892799">
            <w:pPr>
              <w:jc w:val="left"/>
              <w:rPr>
                <w:rFonts w:cs="Arial"/>
                <w:lang w:val="fr-FR"/>
              </w:rPr>
            </w:pPr>
            <w:r w:rsidRPr="006D55CC">
              <w:rPr>
                <w:rFonts w:cs="Arial"/>
                <w:lang w:val="fr-FR"/>
              </w:rPr>
              <w:lastRenderedPageBreak/>
              <w:t>Paragraphe 2</w:t>
            </w:r>
          </w:p>
        </w:tc>
        <w:tc>
          <w:tcPr>
            <w:tcW w:w="7535" w:type="dxa"/>
          </w:tcPr>
          <w:p w:rsidR="0026313F" w:rsidRPr="006D55CC" w:rsidRDefault="0026313F" w:rsidP="00892799">
            <w:pPr>
              <w:rPr>
                <w:snapToGrid w:val="0"/>
                <w:lang w:val="fr-FR"/>
              </w:rPr>
            </w:pPr>
            <w:r w:rsidRPr="006D55CC">
              <w:rPr>
                <w:snapToGrid w:val="0"/>
                <w:lang w:val="fr-FR"/>
              </w:rPr>
              <w:t>La deuxième phrase doit être libellée comme suit :</w:t>
            </w:r>
          </w:p>
          <w:p w:rsidR="0026313F" w:rsidRPr="006D55CC" w:rsidRDefault="0026313F" w:rsidP="00892799">
            <w:pPr>
              <w:rPr>
                <w:snapToGrid w:val="0"/>
                <w:lang w:val="fr-FR"/>
              </w:rPr>
            </w:pPr>
          </w:p>
          <w:p w:rsidR="0026313F" w:rsidRPr="006D55CC" w:rsidRDefault="0026313F" w:rsidP="00892799">
            <w:pPr>
              <w:rPr>
                <w:snapToGrid w:val="0"/>
                <w:lang w:val="fr-FR"/>
              </w:rPr>
            </w:pPr>
            <w:r w:rsidRPr="006D55CC">
              <w:rPr>
                <w:snapToGrid w:val="0"/>
                <w:lang w:val="fr-FR"/>
              </w:rPr>
              <w:t>“L</w:t>
            </w:r>
            <w:r w:rsidR="00131117" w:rsidRPr="006D55CC">
              <w:rPr>
                <w:snapToGrid w:val="0"/>
                <w:lang w:val="fr-FR"/>
              </w:rPr>
              <w:t>’</w:t>
            </w:r>
            <w:r w:rsidRPr="006D55CC">
              <w:rPr>
                <w:snapToGrid w:val="0"/>
                <w:lang w:val="fr-FR"/>
              </w:rPr>
              <w:t xml:space="preserve">objectif </w:t>
            </w:r>
            <w:r w:rsidRPr="006D55CC">
              <w:rPr>
                <w:strike/>
                <w:snapToGrid w:val="0"/>
                <w:lang w:val="fr-FR"/>
              </w:rPr>
              <w:t>des</w:t>
            </w:r>
            <w:r w:rsidRPr="006D55CC">
              <w:rPr>
                <w:snapToGrid w:val="0"/>
                <w:lang w:val="fr-FR"/>
              </w:rPr>
              <w:t xml:space="preserve"> de </w:t>
            </w:r>
            <w:r w:rsidRPr="006D55CC">
              <w:rPr>
                <w:snapToGrid w:val="0"/>
                <w:u w:val="single"/>
                <w:lang w:val="fr-FR"/>
              </w:rPr>
              <w:t>ces</w:t>
            </w:r>
            <w:r w:rsidRPr="006D55CC">
              <w:rPr>
                <w:snapToGrid w:val="0"/>
                <w:lang w:val="fr-FR"/>
              </w:rPr>
              <w:t xml:space="preserve"> orientations […]”</w:t>
            </w:r>
          </w:p>
          <w:p w:rsidR="0026313F" w:rsidRPr="006D55CC" w:rsidRDefault="0026313F" w:rsidP="00892799">
            <w:pPr>
              <w:rPr>
                <w:snapToGrid w:val="0"/>
                <w:lang w:val="fr-FR"/>
              </w:rPr>
            </w:pPr>
          </w:p>
          <w:p w:rsidR="0026313F" w:rsidRPr="006D55CC" w:rsidRDefault="0026313F" w:rsidP="00892799">
            <w:pPr>
              <w:rPr>
                <w:snapToGrid w:val="0"/>
                <w:lang w:val="fr-FR"/>
              </w:rPr>
            </w:pPr>
            <w:r w:rsidRPr="006D55CC">
              <w:rPr>
                <w:snapToGrid w:val="0"/>
                <w:lang w:val="fr-FR"/>
              </w:rPr>
              <w:t>Supprimer la troisième phrase :</w:t>
            </w:r>
          </w:p>
          <w:p w:rsidR="0026313F" w:rsidRPr="006D55CC" w:rsidRDefault="0026313F" w:rsidP="00892799">
            <w:pPr>
              <w:rPr>
                <w:strike/>
                <w:snapToGrid w:val="0"/>
                <w:lang w:val="fr-FR"/>
              </w:rPr>
            </w:pPr>
            <w:r w:rsidRPr="006D55CC">
              <w:rPr>
                <w:strike/>
                <w:snapToGrid w:val="0"/>
                <w:lang w:val="fr-FR"/>
              </w:rPr>
              <w:t>“Les orientations sont destinées aux autorités chargées d</w:t>
            </w:r>
            <w:r w:rsidR="00131117" w:rsidRPr="006D55CC">
              <w:rPr>
                <w:strike/>
                <w:snapToGrid w:val="0"/>
                <w:lang w:val="fr-FR"/>
              </w:rPr>
              <w:t>’</w:t>
            </w:r>
            <w:r w:rsidRPr="006D55CC">
              <w:rPr>
                <w:strike/>
                <w:snapToGrid w:val="0"/>
                <w:lang w:val="fr-FR"/>
              </w:rPr>
              <w:t>octroyer des droits d</w:t>
            </w:r>
            <w:r w:rsidR="00131117" w:rsidRPr="006D55CC">
              <w:rPr>
                <w:strike/>
                <w:snapToGrid w:val="0"/>
                <w:lang w:val="fr-FR"/>
              </w:rPr>
              <w:t>’</w:t>
            </w:r>
            <w:r w:rsidRPr="006D55CC">
              <w:rPr>
                <w:strike/>
                <w:snapToGrid w:val="0"/>
                <w:lang w:val="fr-FR"/>
              </w:rPr>
              <w:t>obtenteur qui ont compétence en matière de variétés essentiellement dérivées;  aux obtenteurs, agriculteurs, cultivateurs et autres parties prenantes;  et organes concernés chargés de résoudre des différends en cas de litige, de médiation ou d</w:t>
            </w:r>
            <w:r w:rsidR="00131117" w:rsidRPr="006D55CC">
              <w:rPr>
                <w:strike/>
                <w:snapToGrid w:val="0"/>
                <w:lang w:val="fr-FR"/>
              </w:rPr>
              <w:t>’</w:t>
            </w:r>
            <w:r w:rsidRPr="006D55CC">
              <w:rPr>
                <w:strike/>
                <w:snapToGrid w:val="0"/>
                <w:lang w:val="fr-FR"/>
              </w:rPr>
              <w:t>arbitrage”</w:t>
            </w:r>
          </w:p>
        </w:tc>
      </w:tr>
      <w:tr w:rsidR="006D55CC" w:rsidRPr="006D55CC" w:rsidTr="006F5AA1">
        <w:trPr>
          <w:cantSplit/>
        </w:trPr>
        <w:tc>
          <w:tcPr>
            <w:tcW w:w="1645" w:type="dxa"/>
          </w:tcPr>
          <w:p w:rsidR="0026313F" w:rsidRPr="006D55CC" w:rsidRDefault="0026313F" w:rsidP="00892799">
            <w:pPr>
              <w:jc w:val="left"/>
              <w:rPr>
                <w:rFonts w:cs="Arial"/>
                <w:lang w:val="fr-FR"/>
              </w:rPr>
            </w:pPr>
            <w:r w:rsidRPr="006D55CC">
              <w:rPr>
                <w:rFonts w:cs="Arial"/>
                <w:lang w:val="fr-FR"/>
              </w:rPr>
              <w:t xml:space="preserve">Paragraphe 6 </w:t>
            </w:r>
          </w:p>
        </w:tc>
        <w:tc>
          <w:tcPr>
            <w:tcW w:w="7535" w:type="dxa"/>
          </w:tcPr>
          <w:p w:rsidR="0026313F" w:rsidRPr="006D55CC" w:rsidRDefault="0026313F" w:rsidP="00892799">
            <w:pPr>
              <w:autoSpaceDE w:val="0"/>
              <w:rPr>
                <w:rFonts w:cs="Arial"/>
                <w:lang w:val="fr-FR"/>
              </w:rPr>
            </w:pPr>
            <w:r w:rsidRPr="006D55CC">
              <w:rPr>
                <w:rFonts w:cs="Arial"/>
                <w:lang w:val="fr-FR"/>
              </w:rPr>
              <w:t>Libeller comme suit :</w:t>
            </w:r>
          </w:p>
          <w:p w:rsidR="0026313F" w:rsidRPr="006D55CC" w:rsidRDefault="0026313F" w:rsidP="00892799">
            <w:pPr>
              <w:autoSpaceDE w:val="0"/>
              <w:rPr>
                <w:rFonts w:cs="Arial"/>
                <w:lang w:val="fr-FR"/>
              </w:rPr>
            </w:pPr>
          </w:p>
          <w:p w:rsidR="0026313F" w:rsidRPr="006D55CC" w:rsidRDefault="0026313F" w:rsidP="00892799">
            <w:pPr>
              <w:autoSpaceDE w:val="0"/>
              <w:rPr>
                <w:rFonts w:cs="Arial"/>
                <w:lang w:val="fr-FR"/>
              </w:rPr>
            </w:pPr>
            <w:r w:rsidRPr="006D55CC">
              <w:rPr>
                <w:rFonts w:cs="Arial"/>
                <w:lang w:val="fr-FR"/>
              </w:rPr>
              <w:t>“6.</w:t>
            </w:r>
            <w:r w:rsidRPr="006D55CC">
              <w:rPr>
                <w:rFonts w:cs="Arial"/>
                <w:lang w:val="fr-FR"/>
              </w:rPr>
              <w:tab/>
              <w:t>Les alinéas ci</w:t>
            </w:r>
            <w:r w:rsidR="005275ED" w:rsidRPr="006D55CC">
              <w:rPr>
                <w:rFonts w:cs="Arial"/>
                <w:lang w:val="fr-FR"/>
              </w:rPr>
              <w:noBreakHyphen/>
            </w:r>
            <w:r w:rsidRPr="006D55CC">
              <w:rPr>
                <w:rFonts w:cs="Arial"/>
                <w:lang w:val="fr-FR"/>
              </w:rPr>
              <w:t xml:space="preserve">après pourraient être pris en compte pour ce qui est de la notion de </w:t>
            </w:r>
            <w:r w:rsidR="00131117" w:rsidRPr="006D55CC">
              <w:rPr>
                <w:rFonts w:cs="Arial"/>
                <w:lang w:val="fr-FR"/>
              </w:rPr>
              <w:t>‘</w:t>
            </w:r>
            <w:r w:rsidRPr="006D55CC">
              <w:rPr>
                <w:rFonts w:cs="Arial"/>
                <w:lang w:val="fr-FR"/>
              </w:rPr>
              <w:t>caractères essentiels</w:t>
            </w:r>
            <w:r w:rsidR="00131117" w:rsidRPr="006D55CC">
              <w:rPr>
                <w:rFonts w:cs="Arial"/>
                <w:lang w:val="fr-FR"/>
              </w:rPr>
              <w:t>’</w:t>
            </w:r>
            <w:r w:rsidRPr="006D55CC">
              <w:rPr>
                <w:rFonts w:cs="Arial"/>
                <w:lang w:val="fr-FR"/>
              </w:rPr>
              <w:t> :</w:t>
            </w:r>
          </w:p>
          <w:p w:rsidR="0026313F" w:rsidRPr="006D55CC" w:rsidRDefault="0026313F" w:rsidP="00892799">
            <w:pPr>
              <w:rPr>
                <w:rFonts w:cs="Arial"/>
                <w:lang w:val="fr-FR"/>
              </w:rPr>
            </w:pPr>
          </w:p>
          <w:p w:rsidR="0026313F" w:rsidRPr="006D55CC" w:rsidRDefault="0026313F" w:rsidP="00892799">
            <w:pPr>
              <w:ind w:left="567"/>
              <w:rPr>
                <w:rFonts w:cs="Arial"/>
                <w:lang w:val="fr-FR"/>
              </w:rPr>
            </w:pPr>
            <w:r w:rsidRPr="006D55CC">
              <w:rPr>
                <w:rFonts w:cs="Arial"/>
                <w:lang w:val="fr-FR"/>
              </w:rPr>
              <w:t>“i)</w:t>
            </w:r>
            <w:r w:rsidRPr="006D55CC">
              <w:rPr>
                <w:rFonts w:cs="Arial"/>
                <w:lang w:val="fr-FR"/>
              </w:rPr>
              <w:tab/>
              <w:t xml:space="preserve">les caractères essentiels, </w:t>
            </w:r>
            <w:r w:rsidR="00131117" w:rsidRPr="006D55CC">
              <w:rPr>
                <w:rFonts w:cs="Arial"/>
                <w:lang w:val="fr-FR"/>
              </w:rPr>
              <w:t>à l’égard</w:t>
            </w:r>
            <w:r w:rsidRPr="006D55CC">
              <w:rPr>
                <w:rFonts w:cs="Arial"/>
                <w:lang w:val="fr-FR"/>
              </w:rPr>
              <w:t xml:space="preserve"> d</w:t>
            </w:r>
            <w:r w:rsidR="00131117" w:rsidRPr="006D55CC">
              <w:rPr>
                <w:rFonts w:cs="Arial"/>
                <w:lang w:val="fr-FR"/>
              </w:rPr>
              <w:t>’</w:t>
            </w:r>
            <w:r w:rsidRPr="006D55CC">
              <w:rPr>
                <w:rFonts w:cs="Arial"/>
                <w:lang w:val="fr-FR"/>
              </w:rPr>
              <w:t>une variété végétale, désignent les caractères héréditaires déterminés par l</w:t>
            </w:r>
            <w:r w:rsidR="00131117" w:rsidRPr="006D55CC">
              <w:rPr>
                <w:rFonts w:cs="Arial"/>
                <w:lang w:val="fr-FR"/>
              </w:rPr>
              <w:t>’</w:t>
            </w:r>
            <w:r w:rsidRPr="006D55CC">
              <w:rPr>
                <w:rFonts w:cs="Arial"/>
                <w:lang w:val="fr-FR"/>
              </w:rPr>
              <w:t>expression d</w:t>
            </w:r>
            <w:r w:rsidR="00131117" w:rsidRPr="006D55CC">
              <w:rPr>
                <w:rFonts w:cs="Arial"/>
                <w:lang w:val="fr-FR"/>
              </w:rPr>
              <w:t>’</w:t>
            </w:r>
            <w:r w:rsidRPr="006D55CC">
              <w:rPr>
                <w:rFonts w:cs="Arial"/>
                <w:lang w:val="fr-FR"/>
              </w:rPr>
              <w:t>un ou de plusieurs gènes, d</w:t>
            </w:r>
            <w:r w:rsidR="00131117" w:rsidRPr="006D55CC">
              <w:rPr>
                <w:rFonts w:cs="Arial"/>
                <w:lang w:val="fr-FR"/>
              </w:rPr>
              <w:t>’</w:t>
            </w:r>
            <w:r w:rsidRPr="006D55CC">
              <w:rPr>
                <w:rFonts w:cs="Arial"/>
                <w:lang w:val="fr-FR"/>
              </w:rPr>
              <w:t>autres déterminants héréditaires qui contribuent aux caractéristiques principales, aux performances ou à la valeur de la variété;</w:t>
            </w:r>
          </w:p>
          <w:p w:rsidR="0026313F" w:rsidRPr="006D55CC" w:rsidRDefault="0026313F" w:rsidP="00892799">
            <w:pPr>
              <w:ind w:left="567"/>
              <w:rPr>
                <w:rFonts w:cs="Arial"/>
                <w:lang w:val="fr-FR"/>
              </w:rPr>
            </w:pPr>
          </w:p>
          <w:p w:rsidR="0026313F" w:rsidRPr="006D55CC" w:rsidRDefault="0026313F" w:rsidP="00892799">
            <w:pPr>
              <w:ind w:left="567"/>
              <w:rPr>
                <w:rFonts w:cs="Arial"/>
                <w:lang w:val="fr-FR"/>
              </w:rPr>
            </w:pPr>
            <w:r w:rsidRPr="006D55CC">
              <w:rPr>
                <w:rFonts w:cs="Arial"/>
                <w:lang w:val="fr-FR"/>
              </w:rPr>
              <w:t>“ii)</w:t>
            </w:r>
            <w:r w:rsidRPr="006D55CC">
              <w:rPr>
                <w:rFonts w:cs="Arial"/>
                <w:lang w:val="fr-FR"/>
              </w:rPr>
              <w:tab/>
              <w:t>les caractères qui sont importants du point de vue du producteur, du vendeur, du fournisseur, de l</w:t>
            </w:r>
            <w:r w:rsidR="00131117" w:rsidRPr="006D55CC">
              <w:rPr>
                <w:rFonts w:cs="Arial"/>
                <w:lang w:val="fr-FR"/>
              </w:rPr>
              <w:t>’</w:t>
            </w:r>
            <w:r w:rsidRPr="006D55CC">
              <w:rPr>
                <w:rFonts w:cs="Arial"/>
                <w:lang w:val="fr-FR"/>
              </w:rPr>
              <w:t>acheteur, du destinataire ou de l</w:t>
            </w:r>
            <w:r w:rsidR="00131117" w:rsidRPr="006D55CC">
              <w:rPr>
                <w:rFonts w:cs="Arial"/>
                <w:lang w:val="fr-FR"/>
              </w:rPr>
              <w:t>’</w:t>
            </w:r>
            <w:r w:rsidRPr="006D55CC">
              <w:rPr>
                <w:rFonts w:cs="Arial"/>
                <w:lang w:val="fr-FR"/>
              </w:rPr>
              <w:t>utilisateur;</w:t>
            </w:r>
          </w:p>
          <w:p w:rsidR="0026313F" w:rsidRPr="006D55CC" w:rsidRDefault="0026313F" w:rsidP="00892799">
            <w:pPr>
              <w:ind w:left="567"/>
              <w:rPr>
                <w:rFonts w:cs="Arial"/>
                <w:lang w:val="fr-FR"/>
              </w:rPr>
            </w:pPr>
          </w:p>
          <w:p w:rsidR="0026313F" w:rsidRPr="006D55CC" w:rsidRDefault="0026313F" w:rsidP="00892799">
            <w:pPr>
              <w:ind w:left="567"/>
              <w:rPr>
                <w:rFonts w:cs="Arial"/>
                <w:lang w:val="fr-FR"/>
              </w:rPr>
            </w:pPr>
            <w:r w:rsidRPr="006D55CC">
              <w:rPr>
                <w:rFonts w:cs="Arial"/>
                <w:lang w:val="fr-FR"/>
              </w:rPr>
              <w:t>“iii)</w:t>
            </w:r>
            <w:r w:rsidRPr="006D55CC">
              <w:rPr>
                <w:rFonts w:cs="Arial"/>
                <w:lang w:val="fr-FR"/>
              </w:rPr>
              <w:tab/>
              <w:t xml:space="preserve">les caractères qui sont essentiels pour la variété dans son ensemble, </w:t>
            </w:r>
            <w:r w:rsidR="00131117" w:rsidRPr="006D55CC">
              <w:rPr>
                <w:rFonts w:cs="Arial"/>
                <w:lang w:val="fr-FR"/>
              </w:rPr>
              <w:t>y compris</w:t>
            </w:r>
            <w:r w:rsidRPr="006D55CC">
              <w:rPr>
                <w:rFonts w:cs="Arial"/>
                <w:lang w:val="fr-FR"/>
              </w:rPr>
              <w:t>, par exemple, les caractères morphologiques, physiologiques, agronomiques, industriels et biochimiques;</w:t>
            </w:r>
          </w:p>
          <w:p w:rsidR="0026313F" w:rsidRPr="006D55CC" w:rsidRDefault="0026313F" w:rsidP="00892799">
            <w:pPr>
              <w:ind w:left="567"/>
              <w:rPr>
                <w:rFonts w:cs="Arial"/>
                <w:lang w:val="fr-FR"/>
              </w:rPr>
            </w:pPr>
          </w:p>
          <w:p w:rsidR="0026313F" w:rsidRPr="006D55CC" w:rsidRDefault="0026313F" w:rsidP="00892799">
            <w:pPr>
              <w:ind w:left="567"/>
              <w:rPr>
                <w:rFonts w:cs="Arial"/>
                <w:lang w:val="fr-FR"/>
              </w:rPr>
            </w:pPr>
            <w:r w:rsidRPr="006D55CC">
              <w:rPr>
                <w:rFonts w:cs="Arial"/>
                <w:lang w:val="fr-FR"/>
              </w:rPr>
              <w:t>“iv)</w:t>
            </w:r>
            <w:r w:rsidRPr="006D55CC">
              <w:rPr>
                <w:rFonts w:cs="Arial"/>
                <w:lang w:val="fr-FR"/>
              </w:rPr>
              <w:tab/>
              <w:t>les caractères essentiels peuvent être ou ne pas être des caractères phénotypiques utilisés pour l</w:t>
            </w:r>
            <w:r w:rsidR="00131117" w:rsidRPr="006D55CC">
              <w:rPr>
                <w:rFonts w:cs="Arial"/>
                <w:lang w:val="fr-FR"/>
              </w:rPr>
              <w:t>’</w:t>
            </w:r>
            <w:r w:rsidRPr="006D55CC">
              <w:rPr>
                <w:rFonts w:cs="Arial"/>
                <w:lang w:val="fr-FR"/>
              </w:rPr>
              <w:t>examen de la distinction, de l</w:t>
            </w:r>
            <w:r w:rsidR="00131117" w:rsidRPr="006D55CC">
              <w:rPr>
                <w:rFonts w:cs="Arial"/>
                <w:lang w:val="fr-FR"/>
              </w:rPr>
              <w:t>’</w:t>
            </w:r>
            <w:r w:rsidRPr="006D55CC">
              <w:rPr>
                <w:rFonts w:cs="Arial"/>
                <w:lang w:val="fr-FR"/>
              </w:rPr>
              <w:t>homogénéité et de la stabilité (DHS);</w:t>
            </w:r>
          </w:p>
          <w:p w:rsidR="0026313F" w:rsidRPr="006D55CC" w:rsidRDefault="0026313F" w:rsidP="00892799">
            <w:pPr>
              <w:ind w:left="567"/>
              <w:rPr>
                <w:rFonts w:cs="Arial"/>
                <w:lang w:val="fr-FR"/>
              </w:rPr>
            </w:pPr>
          </w:p>
          <w:p w:rsidR="0026313F" w:rsidRPr="006D55CC" w:rsidRDefault="0026313F" w:rsidP="00892799">
            <w:pPr>
              <w:ind w:left="567"/>
              <w:rPr>
                <w:rFonts w:cs="Arial"/>
                <w:lang w:val="fr-FR"/>
              </w:rPr>
            </w:pPr>
            <w:r w:rsidRPr="006D55CC">
              <w:rPr>
                <w:rFonts w:cs="Arial"/>
                <w:lang w:val="fr-FR"/>
              </w:rPr>
              <w:t>“v)</w:t>
            </w:r>
            <w:r w:rsidRPr="006D55CC">
              <w:rPr>
                <w:rFonts w:cs="Arial"/>
                <w:lang w:val="fr-FR"/>
              </w:rPr>
              <w:tab/>
              <w:t>les caractères essentiels ne se limitent pas aux caractères qui sont liés uniquement à une grande performance ou valeur (la résistance aux maladies par exemple peut être considérée comme un caractère essentiel lorsque la variété est vulnérable aux maladies);</w:t>
            </w:r>
          </w:p>
          <w:p w:rsidR="0026313F" w:rsidRPr="006D55CC" w:rsidRDefault="0026313F" w:rsidP="00892799">
            <w:pPr>
              <w:ind w:left="567"/>
              <w:rPr>
                <w:rFonts w:cs="Arial"/>
                <w:lang w:val="fr-FR"/>
              </w:rPr>
            </w:pPr>
          </w:p>
          <w:p w:rsidR="0026313F" w:rsidRPr="006D55CC" w:rsidRDefault="0026313F" w:rsidP="00892799">
            <w:pPr>
              <w:ind w:left="567"/>
              <w:rPr>
                <w:lang w:val="fr-FR"/>
              </w:rPr>
            </w:pPr>
            <w:r w:rsidRPr="006D55CC">
              <w:rPr>
                <w:lang w:val="fr-FR"/>
              </w:rPr>
              <w:t>“vi)</w:t>
            </w:r>
            <w:r w:rsidRPr="006D55CC">
              <w:rPr>
                <w:lang w:val="fr-FR"/>
              </w:rPr>
              <w:tab/>
              <w:t>les caractères essentiels peuvent être différents dans différentes cultures/espèces.”</w:t>
            </w:r>
          </w:p>
        </w:tc>
      </w:tr>
      <w:tr w:rsidR="006D55CC" w:rsidRPr="006D55CC" w:rsidTr="006F5AA1">
        <w:trPr>
          <w:cantSplit/>
        </w:trPr>
        <w:tc>
          <w:tcPr>
            <w:tcW w:w="1645" w:type="dxa"/>
          </w:tcPr>
          <w:p w:rsidR="0026313F" w:rsidRPr="006D55CC" w:rsidRDefault="0026313F" w:rsidP="00892799">
            <w:pPr>
              <w:jc w:val="left"/>
              <w:rPr>
                <w:rFonts w:cs="Arial"/>
                <w:lang w:val="fr-FR"/>
              </w:rPr>
            </w:pPr>
            <w:r w:rsidRPr="006D55CC">
              <w:rPr>
                <w:rFonts w:cs="Arial"/>
                <w:lang w:val="fr-FR"/>
              </w:rPr>
              <w:t>Paragraphe 7</w:t>
            </w:r>
          </w:p>
        </w:tc>
        <w:tc>
          <w:tcPr>
            <w:tcW w:w="7535" w:type="dxa"/>
          </w:tcPr>
          <w:p w:rsidR="0026313F" w:rsidRPr="006D55CC" w:rsidRDefault="0026313F" w:rsidP="00892799">
            <w:pPr>
              <w:rPr>
                <w:rFonts w:cs="Arial"/>
                <w:lang w:val="fr-FR"/>
              </w:rPr>
            </w:pPr>
            <w:r w:rsidRPr="006D55CC">
              <w:rPr>
                <w:rFonts w:cs="Arial"/>
                <w:lang w:val="fr-FR"/>
              </w:rPr>
              <w:t>Supprimer</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Paragraphe 8</w:t>
            </w:r>
          </w:p>
        </w:tc>
        <w:tc>
          <w:tcPr>
            <w:tcW w:w="7535" w:type="dxa"/>
          </w:tcPr>
          <w:p w:rsidR="0026313F" w:rsidRPr="006D55CC" w:rsidRDefault="0026313F" w:rsidP="00892799">
            <w:pPr>
              <w:rPr>
                <w:lang w:val="fr-FR"/>
              </w:rPr>
            </w:pPr>
            <w:r w:rsidRPr="006D55CC">
              <w:rPr>
                <w:lang w:val="fr-FR"/>
              </w:rPr>
              <w:t>Libeller comme suit :</w:t>
            </w:r>
          </w:p>
          <w:p w:rsidR="0026313F" w:rsidRPr="006D55CC" w:rsidRDefault="0026313F" w:rsidP="00892799">
            <w:pPr>
              <w:rPr>
                <w:lang w:val="fr-FR"/>
              </w:rPr>
            </w:pPr>
          </w:p>
          <w:p w:rsidR="0026313F" w:rsidRPr="006D55CC" w:rsidRDefault="0026313F" w:rsidP="00892799">
            <w:pPr>
              <w:rPr>
                <w:lang w:val="fr-FR"/>
              </w:rPr>
            </w:pPr>
            <w:r w:rsidRPr="006D55CC">
              <w:rPr>
                <w:lang w:val="fr-FR"/>
              </w:rPr>
              <w:t>“8.</w:t>
            </w:r>
            <w:r w:rsidRPr="006D55CC">
              <w:rPr>
                <w:lang w:val="fr-FR"/>
              </w:rPr>
              <w:tab/>
              <w:t xml:space="preserve">La phrase </w:t>
            </w:r>
            <w:r w:rsidR="00131117" w:rsidRPr="006D55CC">
              <w:rPr>
                <w:lang w:val="fr-FR"/>
              </w:rPr>
              <w:t>‘</w:t>
            </w:r>
            <w:r w:rsidRPr="006D55CC">
              <w:rPr>
                <w:lang w:val="fr-FR"/>
              </w:rPr>
              <w:t>elles se distinguent nettement de la variété initiale</w:t>
            </w:r>
            <w:r w:rsidR="00131117" w:rsidRPr="006D55CC">
              <w:rPr>
                <w:lang w:val="fr-FR"/>
              </w:rPr>
              <w:t>’</w:t>
            </w:r>
            <w:r w:rsidRPr="006D55CC">
              <w:rPr>
                <w:lang w:val="fr-FR"/>
              </w:rPr>
              <w:t xml:space="preserve"> signifie que les variétés essentiellement dérivées concernent uniquement les variétés qui se distinguent nettement de la variété initiale protégée conformément à l</w:t>
            </w:r>
            <w:r w:rsidR="00131117" w:rsidRPr="006D55CC">
              <w:rPr>
                <w:lang w:val="fr-FR"/>
              </w:rPr>
              <w:t>’</w:t>
            </w:r>
            <w:r w:rsidRPr="006D55CC">
              <w:rPr>
                <w:lang w:val="fr-FR"/>
              </w:rPr>
              <w:t>article 7 et qui peuvent par conséquent faire l</w:t>
            </w:r>
            <w:r w:rsidR="00131117" w:rsidRPr="006D55CC">
              <w:rPr>
                <w:lang w:val="fr-FR"/>
              </w:rPr>
              <w:t>’</w:t>
            </w:r>
            <w:r w:rsidRPr="006D55CC">
              <w:rPr>
                <w:lang w:val="fr-FR"/>
              </w:rPr>
              <w:t>objet d</w:t>
            </w:r>
            <w:r w:rsidR="00131117" w:rsidRPr="006D55CC">
              <w:rPr>
                <w:lang w:val="fr-FR"/>
              </w:rPr>
              <w:t>’</w:t>
            </w:r>
            <w:r w:rsidRPr="006D55CC">
              <w:rPr>
                <w:lang w:val="fr-FR"/>
              </w:rPr>
              <w:t>une protection.  L</w:t>
            </w:r>
            <w:r w:rsidR="00131117" w:rsidRPr="006D55CC">
              <w:rPr>
                <w:lang w:val="fr-FR"/>
              </w:rPr>
              <w:t>’</w:t>
            </w:r>
            <w:r w:rsidRPr="006D55CC">
              <w:rPr>
                <w:lang w:val="fr-FR"/>
              </w:rPr>
              <w:t>article 14.5)a)ii) s</w:t>
            </w:r>
            <w:r w:rsidR="00131117" w:rsidRPr="006D55CC">
              <w:rPr>
                <w:lang w:val="fr-FR"/>
              </w:rPr>
              <w:t>’</w:t>
            </w:r>
            <w:r w:rsidRPr="006D55CC">
              <w:rPr>
                <w:lang w:val="fr-FR"/>
              </w:rPr>
              <w:t xml:space="preserve">appliquerait si la variété </w:t>
            </w:r>
            <w:r w:rsidR="00131117" w:rsidRPr="006D55CC">
              <w:rPr>
                <w:lang w:val="fr-FR"/>
              </w:rPr>
              <w:t>‘</w:t>
            </w:r>
            <w:r w:rsidRPr="006D55CC">
              <w:rPr>
                <w:lang w:val="fr-FR"/>
              </w:rPr>
              <w:t>ne se distingue pas nettement selon l</w:t>
            </w:r>
            <w:r w:rsidR="00131117" w:rsidRPr="006D55CC">
              <w:rPr>
                <w:lang w:val="fr-FR"/>
              </w:rPr>
              <w:t>’</w:t>
            </w:r>
            <w:r w:rsidRPr="006D55CC">
              <w:rPr>
                <w:lang w:val="fr-FR"/>
              </w:rPr>
              <w:t>article 7 de la variété protégée</w:t>
            </w:r>
            <w:r w:rsidR="00131117" w:rsidRPr="006D55CC">
              <w:rPr>
                <w:lang w:val="fr-FR"/>
              </w:rPr>
              <w:t>’</w:t>
            </w:r>
            <w:r w:rsidRPr="006D55CC">
              <w:rPr>
                <w:lang w:val="fr-FR"/>
              </w:rPr>
              <w:t>.”</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 xml:space="preserve">Paragraphe 10 </w:t>
            </w:r>
          </w:p>
        </w:tc>
        <w:tc>
          <w:tcPr>
            <w:tcW w:w="7535" w:type="dxa"/>
          </w:tcPr>
          <w:p w:rsidR="0026313F" w:rsidRPr="006D55CC" w:rsidRDefault="0026313F" w:rsidP="00892799">
            <w:pPr>
              <w:rPr>
                <w:snapToGrid w:val="0"/>
                <w:lang w:val="fr-FR"/>
              </w:rPr>
            </w:pPr>
            <w:r w:rsidRPr="006D55CC">
              <w:rPr>
                <w:snapToGrid w:val="0"/>
                <w:lang w:val="fr-FR"/>
              </w:rPr>
              <w:t>Libeller comme suit :</w:t>
            </w:r>
          </w:p>
          <w:p w:rsidR="0026313F" w:rsidRPr="006D55CC" w:rsidRDefault="0026313F" w:rsidP="00892799">
            <w:pPr>
              <w:rPr>
                <w:snapToGrid w:val="0"/>
                <w:lang w:val="fr-FR"/>
              </w:rPr>
            </w:pPr>
          </w:p>
          <w:p w:rsidR="0026313F" w:rsidRPr="006D55CC" w:rsidRDefault="0026313F" w:rsidP="00892799">
            <w:pPr>
              <w:rPr>
                <w:snapToGrid w:val="0"/>
                <w:lang w:val="fr-FR"/>
              </w:rPr>
            </w:pPr>
            <w:r w:rsidRPr="006D55CC">
              <w:rPr>
                <w:snapToGrid w:val="0"/>
                <w:lang w:val="fr-FR"/>
              </w:rPr>
              <w:t>“10.</w:t>
            </w:r>
            <w:r w:rsidRPr="006D55CC">
              <w:rPr>
                <w:snapToGrid w:val="0"/>
                <w:lang w:val="fr-FR"/>
              </w:rPr>
              <w:tab/>
              <w:t xml:space="preserve">Les mots </w:t>
            </w:r>
            <w:r w:rsidR="00131117" w:rsidRPr="006D55CC">
              <w:rPr>
                <w:snapToGrid w:val="0"/>
                <w:lang w:val="fr-FR"/>
              </w:rPr>
              <w:t>‘</w:t>
            </w:r>
            <w:r w:rsidRPr="006D55CC">
              <w:rPr>
                <w:snapToGrid w:val="0"/>
                <w:lang w:val="fr-FR"/>
              </w:rPr>
              <w:t>sauf en ce qui concerne les différences résultant de la dérivation</w:t>
            </w:r>
            <w:r w:rsidR="00131117" w:rsidRPr="006D55CC">
              <w:rPr>
                <w:snapToGrid w:val="0"/>
                <w:lang w:val="fr-FR"/>
              </w:rPr>
              <w:t>’</w:t>
            </w:r>
            <w:r w:rsidRPr="006D55CC">
              <w:rPr>
                <w:snapToGrid w:val="0"/>
                <w:lang w:val="fr-FR"/>
              </w:rPr>
              <w:t xml:space="preserve"> ne fixent pas une limite à la différence qui peut exister lorsqu</w:t>
            </w:r>
            <w:r w:rsidR="00131117" w:rsidRPr="006D55CC">
              <w:rPr>
                <w:snapToGrid w:val="0"/>
                <w:lang w:val="fr-FR"/>
              </w:rPr>
              <w:t>’</w:t>
            </w:r>
            <w:r w:rsidRPr="006D55CC">
              <w:rPr>
                <w:snapToGrid w:val="0"/>
                <w:lang w:val="fr-FR"/>
              </w:rPr>
              <w:t>une variété est considérée comme une variété essentiellement dérivée.</w:t>
            </w:r>
            <w:r w:rsidRPr="006D55CC">
              <w:rPr>
                <w:lang w:val="fr-FR"/>
              </w:rPr>
              <w:t xml:space="preserve">  </w:t>
            </w:r>
            <w:r w:rsidRPr="006D55CC">
              <w:rPr>
                <w:snapToGrid w:val="0"/>
                <w:lang w:val="fr-FR"/>
              </w:rPr>
              <w:t>Une limite est cependant fixée par l</w:t>
            </w:r>
            <w:r w:rsidR="00131117" w:rsidRPr="006D55CC">
              <w:rPr>
                <w:snapToGrid w:val="0"/>
                <w:lang w:val="fr-FR"/>
              </w:rPr>
              <w:t>’</w:t>
            </w:r>
            <w:r w:rsidRPr="006D55CC">
              <w:rPr>
                <w:snapToGrid w:val="0"/>
                <w:lang w:val="fr-FR"/>
              </w:rPr>
              <w:t>article 14.5)b)i) et iii).</w:t>
            </w:r>
            <w:r w:rsidRPr="006D55CC">
              <w:rPr>
                <w:lang w:val="fr-FR"/>
              </w:rPr>
              <w:t xml:space="preserve">  </w:t>
            </w:r>
            <w:r w:rsidRPr="006D55CC">
              <w:rPr>
                <w:snapToGrid w:val="0"/>
                <w:lang w:val="fr-FR"/>
              </w:rPr>
              <w:t xml:space="preserve">Les différences ne doivent pas être telles que la variété échoue </w:t>
            </w:r>
            <w:r w:rsidR="00131117" w:rsidRPr="006D55CC">
              <w:rPr>
                <w:snapToGrid w:val="0"/>
                <w:lang w:val="fr-FR"/>
              </w:rPr>
              <w:t>‘</w:t>
            </w:r>
            <w:r w:rsidRPr="006D55CC">
              <w:rPr>
                <w:snapToGrid w:val="0"/>
                <w:lang w:val="fr-FR"/>
              </w:rPr>
              <w:t>à conserver l</w:t>
            </w:r>
            <w:r w:rsidR="00131117" w:rsidRPr="006D55CC">
              <w:rPr>
                <w:snapToGrid w:val="0"/>
                <w:lang w:val="fr-FR"/>
              </w:rPr>
              <w:t>’</w:t>
            </w:r>
            <w:r w:rsidRPr="006D55CC">
              <w:rPr>
                <w:snapToGrid w:val="0"/>
                <w:lang w:val="fr-FR"/>
              </w:rPr>
              <w:t>expression des caractères essentiels qui résultent du génotype ou de la combinaison de génotypes de la variété initiale</w:t>
            </w:r>
            <w:r w:rsidR="00131117" w:rsidRPr="006D55CC">
              <w:rPr>
                <w:snapToGrid w:val="0"/>
                <w:lang w:val="fr-FR"/>
              </w:rPr>
              <w:t>’</w:t>
            </w:r>
            <w:r w:rsidRPr="006D55CC">
              <w:rPr>
                <w:snapToGrid w:val="0"/>
                <w:lang w:val="fr-FR"/>
              </w:rPr>
              <w:t>.”</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lastRenderedPageBreak/>
              <w:t xml:space="preserve">Paragraphe 11 </w:t>
            </w:r>
          </w:p>
        </w:tc>
        <w:tc>
          <w:tcPr>
            <w:tcW w:w="7535" w:type="dxa"/>
          </w:tcPr>
          <w:p w:rsidR="0026313F" w:rsidRPr="006D55CC" w:rsidRDefault="0026313F" w:rsidP="00892799">
            <w:pPr>
              <w:rPr>
                <w:rFonts w:cs="Arial"/>
                <w:lang w:val="fr-FR"/>
              </w:rPr>
            </w:pPr>
            <w:r w:rsidRPr="006D55CC">
              <w:rPr>
                <w:rFonts w:cs="Arial"/>
                <w:lang w:val="fr-FR"/>
              </w:rPr>
              <w:t>Libeller comme suit :</w:t>
            </w:r>
          </w:p>
          <w:p w:rsidR="0026313F" w:rsidRPr="006D55CC" w:rsidRDefault="0026313F" w:rsidP="00892799">
            <w:pPr>
              <w:rPr>
                <w:rFonts w:cs="Arial"/>
                <w:lang w:val="fr-FR"/>
              </w:rPr>
            </w:pPr>
          </w:p>
          <w:p w:rsidR="0026313F" w:rsidRPr="006D55CC" w:rsidRDefault="0026313F" w:rsidP="00892799">
            <w:pPr>
              <w:rPr>
                <w:rFonts w:cs="Arial"/>
                <w:lang w:val="fr-FR"/>
              </w:rPr>
            </w:pPr>
            <w:r w:rsidRPr="006D55CC">
              <w:rPr>
                <w:rFonts w:cs="Arial"/>
                <w:lang w:val="fr-FR"/>
              </w:rPr>
              <w:t>“11.</w:t>
            </w:r>
            <w:r w:rsidRPr="006D55CC">
              <w:rPr>
                <w:rFonts w:cs="Arial"/>
                <w:lang w:val="fr-FR"/>
              </w:rPr>
              <w:tab/>
              <w:t>Les exemples donnés dans l</w:t>
            </w:r>
            <w:r w:rsidR="00131117" w:rsidRPr="006D55CC">
              <w:rPr>
                <w:rFonts w:cs="Arial"/>
                <w:lang w:val="fr-FR"/>
              </w:rPr>
              <w:t>’</w:t>
            </w:r>
            <w:r w:rsidRPr="006D55CC">
              <w:rPr>
                <w:rFonts w:cs="Arial"/>
                <w:lang w:val="fr-FR"/>
              </w:rPr>
              <w:t>article 14.5)c) montrent clairement que les différences résultant de la dérivation doivent être au nombre d</w:t>
            </w:r>
            <w:r w:rsidR="00131117" w:rsidRPr="006D55CC">
              <w:rPr>
                <w:rFonts w:cs="Arial"/>
                <w:lang w:val="fr-FR"/>
              </w:rPr>
              <w:t>’</w:t>
            </w:r>
            <w:r w:rsidRPr="006D55CC">
              <w:rPr>
                <w:rFonts w:cs="Arial"/>
                <w:lang w:val="fr-FR"/>
              </w:rPr>
              <w:t>une ou très peu.</w:t>
            </w:r>
            <w:r w:rsidRPr="006D55CC">
              <w:rPr>
                <w:lang w:val="fr-FR"/>
              </w:rPr>
              <w:t xml:space="preserve">  </w:t>
            </w:r>
            <w:r w:rsidRPr="006D55CC">
              <w:rPr>
                <w:rFonts w:cs="Arial"/>
                <w:lang w:val="fr-FR"/>
              </w:rPr>
              <w:t>Toutefois, s</w:t>
            </w:r>
            <w:r w:rsidR="00131117" w:rsidRPr="006D55CC">
              <w:rPr>
                <w:rFonts w:cs="Arial"/>
                <w:lang w:val="fr-FR"/>
              </w:rPr>
              <w:t>’</w:t>
            </w:r>
            <w:r w:rsidRPr="006D55CC">
              <w:rPr>
                <w:rFonts w:cs="Arial"/>
                <w:lang w:val="fr-FR"/>
              </w:rPr>
              <w:t>il n</w:t>
            </w:r>
            <w:r w:rsidR="00131117" w:rsidRPr="006D55CC">
              <w:rPr>
                <w:rFonts w:cs="Arial"/>
                <w:lang w:val="fr-FR"/>
              </w:rPr>
              <w:t>’</w:t>
            </w:r>
            <w:r w:rsidRPr="006D55CC">
              <w:rPr>
                <w:rFonts w:cs="Arial"/>
                <w:lang w:val="fr-FR"/>
              </w:rPr>
              <w:t>y a qu</w:t>
            </w:r>
            <w:r w:rsidR="00131117" w:rsidRPr="006D55CC">
              <w:rPr>
                <w:rFonts w:cs="Arial"/>
                <w:lang w:val="fr-FR"/>
              </w:rPr>
              <w:t>’</w:t>
            </w:r>
            <w:r w:rsidRPr="006D55CC">
              <w:rPr>
                <w:rFonts w:cs="Arial"/>
                <w:lang w:val="fr-FR"/>
              </w:rPr>
              <w:t>une différence ou peu de différences, cela ne signifie pas nécessairement qu</w:t>
            </w:r>
            <w:r w:rsidR="00131117" w:rsidRPr="006D55CC">
              <w:rPr>
                <w:rFonts w:cs="Arial"/>
                <w:lang w:val="fr-FR"/>
              </w:rPr>
              <w:t>’</w:t>
            </w:r>
            <w:r w:rsidRPr="006D55CC">
              <w:rPr>
                <w:rFonts w:cs="Arial"/>
                <w:lang w:val="fr-FR"/>
              </w:rPr>
              <w:t>une variété est essentiellement dérivée.</w:t>
            </w:r>
            <w:r w:rsidRPr="006D55CC">
              <w:rPr>
                <w:lang w:val="fr-FR"/>
              </w:rPr>
              <w:t xml:space="preserve">  </w:t>
            </w:r>
            <w:r w:rsidRPr="006D55CC">
              <w:rPr>
                <w:rFonts w:cs="Arial"/>
                <w:lang w:val="fr-FR"/>
              </w:rPr>
              <w:t>La variété devrait également réunir les critères applicables à la définition énoncée dans l</w:t>
            </w:r>
            <w:r w:rsidR="00131117" w:rsidRPr="006D55CC">
              <w:rPr>
                <w:rFonts w:cs="Arial"/>
                <w:lang w:val="fr-FR"/>
              </w:rPr>
              <w:t>’</w:t>
            </w:r>
            <w:r w:rsidRPr="006D55CC">
              <w:rPr>
                <w:rFonts w:cs="Arial"/>
                <w:lang w:val="fr-FR"/>
              </w:rPr>
              <w:t>article 14.5)b).”</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Nouveau paragraphe après le paragraphe 11</w:t>
            </w:r>
          </w:p>
        </w:tc>
        <w:tc>
          <w:tcPr>
            <w:tcW w:w="7535" w:type="dxa"/>
          </w:tcPr>
          <w:p w:rsidR="0026313F" w:rsidRPr="006D55CC" w:rsidRDefault="0026313F" w:rsidP="00892799">
            <w:pPr>
              <w:rPr>
                <w:rFonts w:cs="Arial"/>
                <w:lang w:val="fr-FR"/>
              </w:rPr>
            </w:pPr>
            <w:r w:rsidRPr="006D55CC">
              <w:rPr>
                <w:rFonts w:cs="Arial"/>
                <w:lang w:val="fr-FR"/>
              </w:rPr>
              <w:t>Insérer la citation suivante dans le paragraphe 11 qui serait un nouveau paragraphe :</w:t>
            </w:r>
          </w:p>
          <w:p w:rsidR="0026313F" w:rsidRPr="006D55CC" w:rsidRDefault="0026313F" w:rsidP="00892799">
            <w:pPr>
              <w:rPr>
                <w:rFonts w:cs="Arial"/>
                <w:lang w:val="fr-FR"/>
              </w:rPr>
            </w:pPr>
          </w:p>
          <w:p w:rsidR="0026313F" w:rsidRPr="006D55CC" w:rsidRDefault="0026313F" w:rsidP="00892799">
            <w:pPr>
              <w:rPr>
                <w:rFonts w:cs="Arial"/>
                <w:lang w:val="fr-FR"/>
              </w:rPr>
            </w:pPr>
            <w:r w:rsidRPr="006D55CC">
              <w:rPr>
                <w:rFonts w:cs="Arial"/>
                <w:lang w:val="fr-FR"/>
              </w:rPr>
              <w:t>“12.</w:t>
            </w:r>
            <w:r w:rsidRPr="006D55CC">
              <w:rPr>
                <w:rFonts w:cs="Arial"/>
                <w:lang w:val="fr-FR"/>
              </w:rPr>
              <w:tab/>
              <w:t>La variété dérivée doit conserver la quasi</w:t>
            </w:r>
            <w:r w:rsidR="005275ED" w:rsidRPr="006D55CC">
              <w:rPr>
                <w:rFonts w:cs="Arial"/>
                <w:lang w:val="fr-FR"/>
              </w:rPr>
              <w:noBreakHyphen/>
            </w:r>
            <w:r w:rsidRPr="006D55CC">
              <w:rPr>
                <w:rFonts w:cs="Arial"/>
                <w:lang w:val="fr-FR"/>
              </w:rPr>
              <w:t>totalité du génotype de la variété mère et se distinguer de cette variété par un nombre très limité de caractères (généralement par un caractère).”</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 xml:space="preserve">Réinsérer le titre </w:t>
            </w:r>
          </w:p>
        </w:tc>
        <w:tc>
          <w:tcPr>
            <w:tcW w:w="7535" w:type="dxa"/>
          </w:tcPr>
          <w:p w:rsidR="0026313F" w:rsidRPr="006D55CC" w:rsidRDefault="0026313F" w:rsidP="00892799">
            <w:pPr>
              <w:rPr>
                <w:rFonts w:cs="Arial"/>
                <w:lang w:val="fr-FR"/>
              </w:rPr>
            </w:pPr>
            <w:r w:rsidRPr="006D55CC">
              <w:rPr>
                <w:rFonts w:cs="Arial"/>
                <w:lang w:val="fr-FR"/>
              </w:rPr>
              <w:t>Mode d</w:t>
            </w:r>
            <w:r w:rsidR="00131117" w:rsidRPr="006D55CC">
              <w:rPr>
                <w:rFonts w:cs="Arial"/>
                <w:lang w:val="fr-FR"/>
              </w:rPr>
              <w:t>’</w:t>
            </w:r>
            <w:r w:rsidRPr="006D55CC">
              <w:rPr>
                <w:rFonts w:cs="Arial"/>
                <w:lang w:val="fr-FR"/>
              </w:rPr>
              <w:t>obtention</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Paragraphe 14</w:t>
            </w:r>
          </w:p>
        </w:tc>
        <w:tc>
          <w:tcPr>
            <w:tcW w:w="7535" w:type="dxa"/>
          </w:tcPr>
          <w:p w:rsidR="0026313F" w:rsidRPr="006D55CC" w:rsidRDefault="0026313F" w:rsidP="00892799">
            <w:pPr>
              <w:rPr>
                <w:snapToGrid w:val="0"/>
                <w:lang w:val="fr-FR"/>
              </w:rPr>
            </w:pPr>
            <w:r w:rsidRPr="006D55CC">
              <w:rPr>
                <w:snapToGrid w:val="0"/>
                <w:lang w:val="fr-FR"/>
              </w:rPr>
              <w:t>Libeller comme suit :</w:t>
            </w:r>
          </w:p>
          <w:p w:rsidR="0026313F" w:rsidRPr="006D55CC" w:rsidRDefault="0026313F" w:rsidP="00892799">
            <w:pPr>
              <w:rPr>
                <w:lang w:val="fr-FR"/>
              </w:rPr>
            </w:pPr>
          </w:p>
          <w:p w:rsidR="0026313F" w:rsidRPr="006D55CC" w:rsidRDefault="0026313F" w:rsidP="00892799">
            <w:pPr>
              <w:rPr>
                <w:lang w:val="fr-FR"/>
              </w:rPr>
            </w:pPr>
            <w:r w:rsidRPr="006D55CC">
              <w:rPr>
                <w:lang w:val="fr-FR"/>
              </w:rPr>
              <w:t>“Il est nécessaire de prendre en considération la situation de différentes cultures et espèces ainsi que le mode d</w:t>
            </w:r>
            <w:r w:rsidR="00131117" w:rsidRPr="006D55CC">
              <w:rPr>
                <w:lang w:val="fr-FR"/>
              </w:rPr>
              <w:t>’</w:t>
            </w:r>
            <w:r w:rsidRPr="006D55CC">
              <w:rPr>
                <w:lang w:val="fr-FR"/>
              </w:rPr>
              <w:t>obtention lorsqu</w:t>
            </w:r>
            <w:r w:rsidR="00131117" w:rsidRPr="006D55CC">
              <w:rPr>
                <w:lang w:val="fr-FR"/>
              </w:rPr>
              <w:t>’</w:t>
            </w:r>
            <w:r w:rsidRPr="006D55CC">
              <w:rPr>
                <w:lang w:val="fr-FR"/>
              </w:rPr>
              <w:t>on détermine les variétés essentiellement dérivées.”</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Paragraphe 20</w:t>
            </w:r>
          </w:p>
        </w:tc>
        <w:tc>
          <w:tcPr>
            <w:tcW w:w="7535" w:type="dxa"/>
          </w:tcPr>
          <w:p w:rsidR="0026313F" w:rsidRPr="006D55CC" w:rsidRDefault="0026313F" w:rsidP="00892799">
            <w:pPr>
              <w:rPr>
                <w:lang w:val="fr-FR"/>
              </w:rPr>
            </w:pPr>
            <w:r w:rsidRPr="006D55CC">
              <w:rPr>
                <w:lang w:val="fr-FR"/>
              </w:rPr>
              <w:t>Attendre la proposition conjointe de l</w:t>
            </w:r>
            <w:r w:rsidR="00131117" w:rsidRPr="006D55CC">
              <w:rPr>
                <w:lang w:val="fr-FR"/>
              </w:rPr>
              <w:t>’</w:t>
            </w:r>
            <w:r w:rsidRPr="006D55CC">
              <w:rPr>
                <w:lang w:val="fr-FR"/>
              </w:rPr>
              <w:t>ESA et de l</w:t>
            </w:r>
            <w:r w:rsidR="00131117" w:rsidRPr="006D55CC">
              <w:rPr>
                <w:lang w:val="fr-FR"/>
              </w:rPr>
              <w:t>’</w:t>
            </w:r>
            <w:r w:rsidRPr="006D55CC">
              <w:rPr>
                <w:lang w:val="fr-FR"/>
              </w:rPr>
              <w:t>ISF.</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Paragraphe 21</w:t>
            </w:r>
          </w:p>
        </w:tc>
        <w:tc>
          <w:tcPr>
            <w:tcW w:w="7535" w:type="dxa"/>
          </w:tcPr>
          <w:p w:rsidR="0026313F" w:rsidRPr="006D55CC" w:rsidRDefault="0026313F" w:rsidP="00892799">
            <w:pPr>
              <w:rPr>
                <w:lang w:val="fr-FR"/>
              </w:rPr>
            </w:pPr>
            <w:r w:rsidRPr="006D55CC">
              <w:rPr>
                <w:lang w:val="fr-FR"/>
              </w:rPr>
              <w:t xml:space="preserve">Ajouter une note indiquant que le texte en </w:t>
            </w:r>
            <w:r w:rsidRPr="006D55CC">
              <w:rPr>
                <w:strike/>
                <w:lang w:val="fr-FR"/>
              </w:rPr>
              <w:t>l</w:t>
            </w:r>
            <w:r w:rsidR="00131117" w:rsidRPr="006D55CC">
              <w:rPr>
                <w:strike/>
                <w:lang w:val="fr-FR"/>
              </w:rPr>
              <w:t>’</w:t>
            </w:r>
            <w:r w:rsidRPr="006D55CC">
              <w:rPr>
                <w:lang w:val="fr-FR"/>
              </w:rPr>
              <w:t>état n</w:t>
            </w:r>
            <w:r w:rsidR="00131117" w:rsidRPr="006D55CC">
              <w:rPr>
                <w:lang w:val="fr-FR"/>
              </w:rPr>
              <w:t>’</w:t>
            </w:r>
            <w:r w:rsidRPr="006D55CC">
              <w:rPr>
                <w:lang w:val="fr-FR"/>
              </w:rPr>
              <w:t>était pas acceptable mais que de nouvelles propositions devraient être examinées.  Indiquer le texte existant biffé.</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 xml:space="preserve">Paragraphe 29 </w:t>
            </w:r>
          </w:p>
        </w:tc>
        <w:tc>
          <w:tcPr>
            <w:tcW w:w="7535" w:type="dxa"/>
          </w:tcPr>
          <w:p w:rsidR="0026313F" w:rsidRPr="006D55CC" w:rsidRDefault="0026313F" w:rsidP="00892799">
            <w:pPr>
              <w:rPr>
                <w:snapToGrid w:val="0"/>
                <w:lang w:val="fr-FR"/>
              </w:rPr>
            </w:pPr>
            <w:r w:rsidRPr="006D55CC">
              <w:rPr>
                <w:snapToGrid w:val="0"/>
                <w:lang w:val="fr-FR"/>
              </w:rPr>
              <w:t>Libeller comme suit :</w:t>
            </w:r>
          </w:p>
          <w:p w:rsidR="0026313F" w:rsidRPr="006D55CC" w:rsidRDefault="0026313F" w:rsidP="00892799">
            <w:pPr>
              <w:rPr>
                <w:snapToGrid w:val="0"/>
                <w:lang w:val="fr-FR"/>
              </w:rPr>
            </w:pPr>
          </w:p>
          <w:p w:rsidR="0026313F" w:rsidRPr="006D55CC" w:rsidRDefault="0026313F" w:rsidP="00892799">
            <w:pPr>
              <w:rPr>
                <w:snapToGrid w:val="0"/>
                <w:lang w:val="fr-FR"/>
              </w:rPr>
            </w:pPr>
            <w:r w:rsidRPr="006D55CC">
              <w:rPr>
                <w:snapToGrid w:val="0"/>
                <w:lang w:val="fr-FR"/>
              </w:rPr>
              <w:t>“29.</w:t>
            </w:r>
            <w:r w:rsidRPr="006D55CC">
              <w:rPr>
                <w:snapToGrid w:val="0"/>
                <w:lang w:val="fr-FR"/>
              </w:rPr>
              <w:tab/>
              <w:t>Aussi bien la dérivation principale (p. ex. preuve de la conformité génétique avec la variété initiale) que la conformité avec les caractères essentiels (p. ex. preuve de la conformité dans l</w:t>
            </w:r>
            <w:r w:rsidR="00131117" w:rsidRPr="006D55CC">
              <w:rPr>
                <w:snapToGrid w:val="0"/>
                <w:lang w:val="fr-FR"/>
              </w:rPr>
              <w:t>’</w:t>
            </w:r>
            <w:r w:rsidRPr="006D55CC">
              <w:rPr>
                <w:snapToGrid w:val="0"/>
                <w:lang w:val="fr-FR"/>
              </w:rPr>
              <w:t>expression des caractères essentiels de la variété initiale) sont des points de départ possibles pour indiquer qu</w:t>
            </w:r>
            <w:r w:rsidR="00131117" w:rsidRPr="006D55CC">
              <w:rPr>
                <w:snapToGrid w:val="0"/>
                <w:lang w:val="fr-FR"/>
              </w:rPr>
              <w:t>’</w:t>
            </w:r>
            <w:r w:rsidRPr="006D55CC">
              <w:rPr>
                <w:snapToGrid w:val="0"/>
                <w:lang w:val="fr-FR"/>
              </w:rPr>
              <w:t>une variété pourrait être essentiellement dérivée de la variété initiale.”</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 xml:space="preserve">Paragraphe 30 </w:t>
            </w:r>
          </w:p>
        </w:tc>
        <w:tc>
          <w:tcPr>
            <w:tcW w:w="7535" w:type="dxa"/>
          </w:tcPr>
          <w:p w:rsidR="0026313F" w:rsidRPr="006D55CC" w:rsidRDefault="0026313F" w:rsidP="00892799">
            <w:pPr>
              <w:rPr>
                <w:snapToGrid w:val="0"/>
                <w:lang w:val="fr-FR"/>
              </w:rPr>
            </w:pPr>
            <w:r w:rsidRPr="006D55CC">
              <w:rPr>
                <w:snapToGrid w:val="0"/>
                <w:lang w:val="fr-FR"/>
              </w:rPr>
              <w:t>Libeller comme suit :</w:t>
            </w:r>
          </w:p>
          <w:p w:rsidR="0026313F" w:rsidRPr="006D55CC" w:rsidRDefault="0026313F" w:rsidP="00892799">
            <w:pPr>
              <w:rPr>
                <w:snapToGrid w:val="0"/>
                <w:lang w:val="fr-FR"/>
              </w:rPr>
            </w:pPr>
          </w:p>
          <w:p w:rsidR="0026313F" w:rsidRPr="006D55CC" w:rsidRDefault="0026313F" w:rsidP="00892799">
            <w:pPr>
              <w:rPr>
                <w:snapToGrid w:val="0"/>
                <w:lang w:val="fr-FR"/>
              </w:rPr>
            </w:pPr>
            <w:r w:rsidRPr="006D55CC">
              <w:rPr>
                <w:snapToGrid w:val="0"/>
                <w:lang w:val="fr-FR"/>
              </w:rPr>
              <w:t>“30.</w:t>
            </w:r>
            <w:r w:rsidRPr="006D55CC">
              <w:rPr>
                <w:snapToGrid w:val="0"/>
                <w:lang w:val="fr-FR"/>
              </w:rPr>
              <w:tab/>
              <w:t>Dans certaines situations, les informations pertinentes fournies par l</w:t>
            </w:r>
            <w:r w:rsidR="00131117" w:rsidRPr="006D55CC">
              <w:rPr>
                <w:snapToGrid w:val="0"/>
                <w:lang w:val="fr-FR"/>
              </w:rPr>
              <w:t>’</w:t>
            </w:r>
            <w:r w:rsidRPr="006D55CC">
              <w:rPr>
                <w:snapToGrid w:val="0"/>
                <w:lang w:val="fr-FR"/>
              </w:rPr>
              <w:t>obtenteur de la variété initiale sur la dérivation principale ou la conformité des caractères essentiels pourraient être utilisées comme la base du renversement de la charge de la preuve.  Dans de telles situations, l</w:t>
            </w:r>
            <w:r w:rsidR="00131117" w:rsidRPr="006D55CC">
              <w:rPr>
                <w:snapToGrid w:val="0"/>
                <w:lang w:val="fr-FR"/>
              </w:rPr>
              <w:t>’</w:t>
            </w:r>
            <w:r w:rsidRPr="006D55CC">
              <w:rPr>
                <w:snapToGrid w:val="0"/>
                <w:lang w:val="fr-FR"/>
              </w:rPr>
              <w:t>autre obtenteur pourrait devoir prouver que l</w:t>
            </w:r>
            <w:r w:rsidR="00131117" w:rsidRPr="006D55CC">
              <w:rPr>
                <w:snapToGrid w:val="0"/>
                <w:lang w:val="fr-FR"/>
              </w:rPr>
              <w:t>’</w:t>
            </w:r>
            <w:r w:rsidRPr="006D55CC">
              <w:rPr>
                <w:snapToGrid w:val="0"/>
                <w:lang w:val="fr-FR"/>
              </w:rPr>
              <w:t>autre variété n</w:t>
            </w:r>
            <w:r w:rsidR="00131117" w:rsidRPr="006D55CC">
              <w:rPr>
                <w:snapToGrid w:val="0"/>
                <w:lang w:val="fr-FR"/>
              </w:rPr>
              <w:t>’</w:t>
            </w:r>
            <w:r w:rsidRPr="006D55CC">
              <w:rPr>
                <w:snapToGrid w:val="0"/>
                <w:lang w:val="fr-FR"/>
              </w:rPr>
              <w:t>est pas essentiellement dérivée de la variété initiale.  C</w:t>
            </w:r>
            <w:r w:rsidR="00131117" w:rsidRPr="006D55CC">
              <w:rPr>
                <w:snapToGrid w:val="0"/>
                <w:lang w:val="fr-FR"/>
              </w:rPr>
              <w:t>’</w:t>
            </w:r>
            <w:r w:rsidRPr="006D55CC">
              <w:rPr>
                <w:snapToGrid w:val="0"/>
                <w:lang w:val="fr-FR"/>
              </w:rPr>
              <w:t>est ainsi par exemple qu</w:t>
            </w:r>
            <w:r w:rsidR="00131117" w:rsidRPr="006D55CC">
              <w:rPr>
                <w:snapToGrid w:val="0"/>
                <w:lang w:val="fr-FR"/>
              </w:rPr>
              <w:t>’</w:t>
            </w:r>
            <w:r w:rsidRPr="006D55CC">
              <w:rPr>
                <w:snapToGrid w:val="0"/>
                <w:lang w:val="fr-FR"/>
              </w:rPr>
              <w:t>il devrait fournir des informations sur les antécédents de sélection de la deuxième variété pour prouver que la variété n</w:t>
            </w:r>
            <w:r w:rsidR="00131117" w:rsidRPr="006D55CC">
              <w:rPr>
                <w:snapToGrid w:val="0"/>
                <w:lang w:val="fr-FR"/>
              </w:rPr>
              <w:t>’</w:t>
            </w:r>
            <w:r w:rsidRPr="006D55CC">
              <w:rPr>
                <w:snapToGrid w:val="0"/>
                <w:lang w:val="fr-FR"/>
              </w:rPr>
              <w:t>était pas dérivée de la variété initiale.”</w:t>
            </w:r>
          </w:p>
        </w:tc>
      </w:tr>
      <w:tr w:rsidR="006D55CC" w:rsidRPr="006D55CC" w:rsidTr="006F5AA1">
        <w:trPr>
          <w:cantSplit/>
        </w:trPr>
        <w:tc>
          <w:tcPr>
            <w:tcW w:w="1645" w:type="dxa"/>
          </w:tcPr>
          <w:p w:rsidR="0026313F" w:rsidRPr="006D55CC" w:rsidRDefault="0026313F" w:rsidP="00892799">
            <w:pPr>
              <w:jc w:val="left"/>
              <w:rPr>
                <w:lang w:val="fr-FR"/>
              </w:rPr>
            </w:pPr>
            <w:r w:rsidRPr="006D55CC">
              <w:rPr>
                <w:lang w:val="fr-FR"/>
              </w:rPr>
              <w:t>Section II</w:t>
            </w:r>
          </w:p>
        </w:tc>
        <w:tc>
          <w:tcPr>
            <w:tcW w:w="7535" w:type="dxa"/>
          </w:tcPr>
          <w:p w:rsidR="0026313F" w:rsidRPr="006D55CC" w:rsidRDefault="0026313F" w:rsidP="00892799">
            <w:pPr>
              <w:rPr>
                <w:snapToGrid w:val="0"/>
                <w:lang w:val="fr-FR"/>
              </w:rPr>
            </w:pPr>
            <w:r w:rsidRPr="006D55CC">
              <w:rPr>
                <w:snapToGrid w:val="0"/>
                <w:lang w:val="fr-FR"/>
              </w:rPr>
              <w:t>Préciser le but de la section II dans les parties pertinentes du document et notamment la question de savoir si une variété est une variété essentiellement protégée et non si elle peut faire l</w:t>
            </w:r>
            <w:r w:rsidR="00131117" w:rsidRPr="006D55CC">
              <w:rPr>
                <w:snapToGrid w:val="0"/>
                <w:lang w:val="fr-FR"/>
              </w:rPr>
              <w:t>’</w:t>
            </w:r>
            <w:r w:rsidRPr="006D55CC">
              <w:rPr>
                <w:snapToGrid w:val="0"/>
                <w:lang w:val="fr-FR"/>
              </w:rPr>
              <w:t>objet d</w:t>
            </w:r>
            <w:r w:rsidR="00131117" w:rsidRPr="006D55CC">
              <w:rPr>
                <w:snapToGrid w:val="0"/>
                <w:lang w:val="fr-FR"/>
              </w:rPr>
              <w:t>’</w:t>
            </w:r>
            <w:r w:rsidRPr="006D55CC">
              <w:rPr>
                <w:snapToGrid w:val="0"/>
                <w:lang w:val="fr-FR"/>
              </w:rPr>
              <w:t>une protection.</w:t>
            </w:r>
          </w:p>
        </w:tc>
      </w:tr>
      <w:tr w:rsidR="0026313F" w:rsidRPr="006D55CC" w:rsidTr="006F5AA1">
        <w:trPr>
          <w:cantSplit/>
        </w:trPr>
        <w:tc>
          <w:tcPr>
            <w:tcW w:w="1645" w:type="dxa"/>
          </w:tcPr>
          <w:p w:rsidR="0026313F" w:rsidRPr="006D55CC" w:rsidRDefault="0026313F" w:rsidP="00892799">
            <w:pPr>
              <w:jc w:val="left"/>
              <w:rPr>
                <w:lang w:val="fr-FR"/>
              </w:rPr>
            </w:pPr>
            <w:r w:rsidRPr="006D55CC">
              <w:rPr>
                <w:lang w:val="fr-FR"/>
              </w:rPr>
              <w:t xml:space="preserve">Nouvelle proposition </w:t>
            </w:r>
          </w:p>
        </w:tc>
        <w:tc>
          <w:tcPr>
            <w:tcW w:w="7535" w:type="dxa"/>
          </w:tcPr>
          <w:p w:rsidR="0026313F" w:rsidRPr="006D55CC" w:rsidRDefault="0026313F" w:rsidP="00892799">
            <w:pPr>
              <w:rPr>
                <w:snapToGrid w:val="0"/>
                <w:lang w:val="fr-FR"/>
              </w:rPr>
            </w:pPr>
            <w:r w:rsidRPr="006D55CC">
              <w:rPr>
                <w:snapToGrid w:val="0"/>
                <w:lang w:val="fr-FR"/>
              </w:rPr>
              <w:t>Élaborer dans le projet suivant des orientations pour préciser si la variété initiale ou la variété essentiellement dérivée n</w:t>
            </w:r>
            <w:r w:rsidR="00131117" w:rsidRPr="006D55CC">
              <w:rPr>
                <w:snapToGrid w:val="0"/>
                <w:lang w:val="fr-FR"/>
              </w:rPr>
              <w:t>’</w:t>
            </w:r>
            <w:r w:rsidRPr="006D55CC">
              <w:rPr>
                <w:snapToGrid w:val="0"/>
                <w:lang w:val="fr-FR"/>
              </w:rPr>
              <w:t>est pas protégée ou est protégée sur un autre territoire.</w:t>
            </w:r>
          </w:p>
        </w:tc>
      </w:tr>
    </w:tbl>
    <w:p w:rsidR="003870AE" w:rsidRPr="006D55CC" w:rsidRDefault="003870AE" w:rsidP="00892799">
      <w:pPr>
        <w:rPr>
          <w:lang w:val="fr-FR"/>
        </w:rPr>
      </w:pPr>
    </w:p>
    <w:p w:rsidR="007469A7" w:rsidRPr="006D55CC" w:rsidRDefault="007469A7" w:rsidP="00892799">
      <w:pPr>
        <w:rPr>
          <w:lang w:val="fr-FR"/>
        </w:rPr>
      </w:pPr>
    </w:p>
    <w:p w:rsidR="00084870" w:rsidRPr="006D55CC" w:rsidRDefault="00084870"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436C26" w:rsidRPr="006D55CC">
        <w:rPr>
          <w:lang w:val="fr-FR"/>
        </w:rPr>
        <w:t>Le d</w:t>
      </w:r>
      <w:r w:rsidRPr="006D55CC">
        <w:rPr>
          <w:lang w:val="fr-FR"/>
        </w:rPr>
        <w:t xml:space="preserve">ocument </w:t>
      </w:r>
      <w:r w:rsidR="008973BD" w:rsidRPr="006D55CC">
        <w:rPr>
          <w:lang w:val="fr-FR"/>
        </w:rPr>
        <w:t xml:space="preserve">UPOV/EXN/EDV/2 Draft 6 </w:t>
      </w:r>
      <w:r w:rsidR="00436C26" w:rsidRPr="006D55CC">
        <w:rPr>
          <w:lang w:val="fr-FR"/>
        </w:rPr>
        <w:t xml:space="preserve">a été établi conformément aux </w:t>
      </w:r>
      <w:r w:rsidR="005D7CA3" w:rsidRPr="006D55CC">
        <w:rPr>
          <w:lang w:val="fr-FR"/>
        </w:rPr>
        <w:t>modifications approuvées par</w:t>
      </w:r>
      <w:r w:rsidR="00131117" w:rsidRPr="006D55CC">
        <w:rPr>
          <w:lang w:val="fr-FR"/>
        </w:rPr>
        <w:t xml:space="preserve"> le CAJ</w:t>
      </w:r>
      <w:r w:rsidR="005275ED" w:rsidRPr="006D55CC">
        <w:rPr>
          <w:lang w:val="fr-FR"/>
        </w:rPr>
        <w:noBreakHyphen/>
      </w:r>
      <w:r w:rsidRPr="006D55CC">
        <w:rPr>
          <w:lang w:val="fr-FR"/>
        </w:rPr>
        <w:t xml:space="preserve">AG </w:t>
      </w:r>
      <w:r w:rsidR="005D7CA3" w:rsidRPr="006D55CC">
        <w:rPr>
          <w:lang w:val="fr-FR"/>
        </w:rPr>
        <w:t>à sa neuvième</w:t>
      </w:r>
      <w:r w:rsidR="008902E8" w:rsidRPr="006D55CC">
        <w:rPr>
          <w:lang w:val="fr-FR"/>
        </w:rPr>
        <w:t> </w:t>
      </w:r>
      <w:r w:rsidR="005D7CA3" w:rsidRPr="006D55CC">
        <w:rPr>
          <w:lang w:val="fr-FR"/>
        </w:rPr>
        <w:t>session</w:t>
      </w:r>
      <w:r w:rsidR="000F7EA6" w:rsidRPr="006D55CC">
        <w:rPr>
          <w:lang w:val="fr-FR"/>
        </w:rPr>
        <w:t>.</w:t>
      </w:r>
    </w:p>
    <w:p w:rsidR="00084870" w:rsidRPr="006D55CC" w:rsidRDefault="00084870" w:rsidP="00892799">
      <w:pPr>
        <w:rPr>
          <w:lang w:val="fr-FR"/>
        </w:rPr>
      </w:pPr>
    </w:p>
    <w:p w:rsidR="003870AE" w:rsidRPr="006D55CC" w:rsidRDefault="003870AE" w:rsidP="00892799">
      <w:pPr>
        <w:tabs>
          <w:tab w:val="left" w:pos="5387"/>
        </w:tabs>
        <w:ind w:left="4820"/>
        <w:rPr>
          <w:i/>
          <w:snapToGrid w:val="0"/>
          <w:lang w:val="fr-FR"/>
        </w:rPr>
      </w:pPr>
      <w:r w:rsidRPr="006D55CC">
        <w:rPr>
          <w:i/>
          <w:snapToGrid w:val="0"/>
          <w:lang w:val="fr-FR"/>
        </w:rPr>
        <w:fldChar w:fldCharType="begin"/>
      </w:r>
      <w:r w:rsidRPr="006D55CC">
        <w:rPr>
          <w:i/>
          <w:snapToGrid w:val="0"/>
          <w:lang w:val="fr-FR"/>
        </w:rPr>
        <w:instrText xml:space="preserve"> AUTONUM  </w:instrText>
      </w:r>
      <w:r w:rsidRPr="006D55CC">
        <w:rPr>
          <w:i/>
          <w:snapToGrid w:val="0"/>
          <w:lang w:val="fr-FR"/>
        </w:rPr>
        <w:fldChar w:fldCharType="end"/>
      </w:r>
      <w:r w:rsidRPr="006D55CC">
        <w:rPr>
          <w:i/>
          <w:snapToGrid w:val="0"/>
          <w:lang w:val="fr-FR"/>
        </w:rPr>
        <w:tab/>
      </w:r>
      <w:r w:rsidR="00C87A8F" w:rsidRPr="006D55CC">
        <w:rPr>
          <w:i/>
          <w:snapToGrid w:val="0"/>
          <w:lang w:val="fr-FR"/>
        </w:rPr>
        <w:t>L</w:t>
      </w:r>
      <w:r w:rsidRPr="006D55CC">
        <w:rPr>
          <w:i/>
          <w:snapToGrid w:val="0"/>
          <w:lang w:val="fr-FR"/>
        </w:rPr>
        <w:t xml:space="preserve">e CAJ </w:t>
      </w:r>
      <w:r w:rsidR="00C87A8F" w:rsidRPr="006D55CC">
        <w:rPr>
          <w:i/>
          <w:snapToGrid w:val="0"/>
          <w:lang w:val="fr-FR"/>
        </w:rPr>
        <w:t>e</w:t>
      </w:r>
      <w:r w:rsidRPr="006D55CC">
        <w:rPr>
          <w:i/>
          <w:snapToGrid w:val="0"/>
          <w:lang w:val="fr-FR"/>
        </w:rPr>
        <w:t>s</w:t>
      </w:r>
      <w:r w:rsidR="00C87A8F" w:rsidRPr="006D55CC">
        <w:rPr>
          <w:i/>
          <w:snapToGrid w:val="0"/>
          <w:lang w:val="fr-FR"/>
        </w:rPr>
        <w:t>t</w:t>
      </w:r>
      <w:r w:rsidRPr="006D55CC">
        <w:rPr>
          <w:i/>
          <w:snapToGrid w:val="0"/>
          <w:lang w:val="fr-FR"/>
        </w:rPr>
        <w:t xml:space="preserve"> invit</w:t>
      </w:r>
      <w:r w:rsidR="00C87A8F" w:rsidRPr="006D55CC">
        <w:rPr>
          <w:i/>
          <w:snapToGrid w:val="0"/>
          <w:lang w:val="fr-FR"/>
        </w:rPr>
        <w:t>é</w:t>
      </w:r>
      <w:r w:rsidR="002B2A44">
        <w:rPr>
          <w:i/>
          <w:snapToGrid w:val="0"/>
          <w:lang w:val="fr-FR"/>
        </w:rPr>
        <w:t xml:space="preserve"> à :</w:t>
      </w:r>
    </w:p>
    <w:p w:rsidR="003870AE" w:rsidRPr="006D55CC" w:rsidRDefault="003870AE" w:rsidP="00892799">
      <w:pPr>
        <w:tabs>
          <w:tab w:val="left" w:pos="5387"/>
          <w:tab w:val="left" w:pos="5954"/>
        </w:tabs>
        <w:ind w:left="4820"/>
        <w:rPr>
          <w:i/>
          <w:snapToGrid w:val="0"/>
          <w:sz w:val="16"/>
          <w:szCs w:val="16"/>
          <w:lang w:val="fr-FR"/>
        </w:rPr>
      </w:pPr>
    </w:p>
    <w:p w:rsidR="00245BF2" w:rsidRPr="006D55CC" w:rsidRDefault="00245BF2" w:rsidP="00892799">
      <w:pPr>
        <w:pStyle w:val="DecisionParagraphs"/>
        <w:tabs>
          <w:tab w:val="left" w:pos="5954"/>
        </w:tabs>
        <w:rPr>
          <w:snapToGrid w:val="0"/>
          <w:lang w:val="fr-FR"/>
        </w:rPr>
      </w:pPr>
      <w:r w:rsidRPr="006D55CC">
        <w:rPr>
          <w:snapToGrid w:val="0"/>
          <w:lang w:val="fr-FR"/>
        </w:rPr>
        <w:tab/>
        <w:t>a</w:t>
      </w:r>
      <w:r w:rsidR="003870AE" w:rsidRPr="006D55CC">
        <w:rPr>
          <w:snapToGrid w:val="0"/>
          <w:lang w:val="fr-FR"/>
        </w:rPr>
        <w:t>)</w:t>
      </w:r>
      <w:r w:rsidR="003870AE" w:rsidRPr="006D55CC">
        <w:rPr>
          <w:snapToGrid w:val="0"/>
          <w:lang w:val="fr-FR"/>
        </w:rPr>
        <w:tab/>
      </w:r>
      <w:r w:rsidR="000F7EA6" w:rsidRPr="006D55CC">
        <w:rPr>
          <w:snapToGrid w:val="0"/>
          <w:lang w:val="fr-FR"/>
        </w:rPr>
        <w:t>not</w:t>
      </w:r>
      <w:r w:rsidR="001B2C1E" w:rsidRPr="006D55CC">
        <w:rPr>
          <w:snapToGrid w:val="0"/>
          <w:lang w:val="fr-FR"/>
        </w:rPr>
        <w:t>er que l</w:t>
      </w:r>
      <w:r w:rsidR="00131117" w:rsidRPr="006D55CC">
        <w:rPr>
          <w:snapToGrid w:val="0"/>
          <w:lang w:val="fr-FR"/>
        </w:rPr>
        <w:t>’</w:t>
      </w:r>
      <w:r w:rsidR="001B2C1E" w:rsidRPr="006D55CC">
        <w:rPr>
          <w:snapToGrid w:val="0"/>
          <w:lang w:val="fr-FR"/>
        </w:rPr>
        <w:t>Union européenne a l</w:t>
      </w:r>
      <w:r w:rsidR="00131117" w:rsidRPr="006D55CC">
        <w:rPr>
          <w:snapToGrid w:val="0"/>
          <w:lang w:val="fr-FR"/>
        </w:rPr>
        <w:t>’</w:t>
      </w:r>
      <w:r w:rsidR="001B2C1E" w:rsidRPr="006D55CC">
        <w:rPr>
          <w:snapToGrid w:val="0"/>
          <w:lang w:val="fr-FR"/>
        </w:rPr>
        <w:t xml:space="preserve">intention de présenter un exposé </w:t>
      </w:r>
      <w:r w:rsidR="00E026D7" w:rsidRPr="006D55CC">
        <w:rPr>
          <w:snapToGrid w:val="0"/>
          <w:lang w:val="fr-FR"/>
        </w:rPr>
        <w:t xml:space="preserve">sur son système concernant les variétés essentiellement dérivées à la </w:t>
      </w:r>
      <w:r w:rsidR="00C20E3F" w:rsidRPr="006D55CC">
        <w:rPr>
          <w:snapToGrid w:val="0"/>
          <w:lang w:val="fr-FR"/>
        </w:rPr>
        <w:t>soixante</w:t>
      </w:r>
      <w:r w:rsidR="005275ED" w:rsidRPr="006D55CC">
        <w:rPr>
          <w:snapToGrid w:val="0"/>
          <w:lang w:val="fr-FR"/>
        </w:rPr>
        <w:noBreakHyphen/>
      </w:r>
      <w:r w:rsidR="00C20E3F" w:rsidRPr="006D55CC">
        <w:rPr>
          <w:snapToGrid w:val="0"/>
          <w:lang w:val="fr-FR"/>
        </w:rPr>
        <w:t>douzième</w:t>
      </w:r>
      <w:r w:rsidR="008902E8" w:rsidRPr="006D55CC">
        <w:rPr>
          <w:snapToGrid w:val="0"/>
          <w:lang w:val="fr-FR"/>
        </w:rPr>
        <w:t> </w:t>
      </w:r>
      <w:r w:rsidR="00E026D7" w:rsidRPr="006D55CC">
        <w:rPr>
          <w:snapToGrid w:val="0"/>
          <w:lang w:val="fr-FR"/>
        </w:rPr>
        <w:t>session</w:t>
      </w:r>
      <w:r w:rsidR="00131117" w:rsidRPr="006D55CC">
        <w:rPr>
          <w:snapToGrid w:val="0"/>
          <w:lang w:val="fr-FR"/>
        </w:rPr>
        <w:t xml:space="preserve"> du </w:t>
      </w:r>
      <w:r w:rsidR="00131117" w:rsidRPr="006D55CC">
        <w:rPr>
          <w:lang w:val="fr-FR"/>
        </w:rPr>
        <w:t>CAJ</w:t>
      </w:r>
      <w:r w:rsidR="008D29DA">
        <w:rPr>
          <w:lang w:val="fr-FR"/>
        </w:rPr>
        <w:t>,</w:t>
      </w:r>
    </w:p>
    <w:p w:rsidR="003870AE" w:rsidRPr="006D55CC" w:rsidRDefault="003870AE" w:rsidP="00892799">
      <w:pPr>
        <w:tabs>
          <w:tab w:val="left" w:pos="5387"/>
          <w:tab w:val="left" w:pos="5954"/>
        </w:tabs>
        <w:ind w:left="4820"/>
        <w:rPr>
          <w:i/>
          <w:snapToGrid w:val="0"/>
          <w:lang w:val="fr-FR"/>
        </w:rPr>
      </w:pPr>
    </w:p>
    <w:p w:rsidR="003870AE" w:rsidRPr="006D55CC" w:rsidRDefault="003870AE" w:rsidP="00892799">
      <w:pPr>
        <w:tabs>
          <w:tab w:val="left" w:pos="5387"/>
          <w:tab w:val="left" w:pos="5954"/>
        </w:tabs>
        <w:ind w:left="4820"/>
        <w:rPr>
          <w:i/>
          <w:lang w:val="fr-FR"/>
        </w:rPr>
      </w:pPr>
      <w:r w:rsidRPr="006D55CC">
        <w:rPr>
          <w:i/>
          <w:lang w:val="fr-FR"/>
        </w:rPr>
        <w:lastRenderedPageBreak/>
        <w:tab/>
      </w:r>
      <w:r w:rsidR="008504F4" w:rsidRPr="006D55CC">
        <w:rPr>
          <w:i/>
          <w:lang w:val="fr-FR"/>
        </w:rPr>
        <w:t>b</w:t>
      </w:r>
      <w:r w:rsidRPr="006D55CC">
        <w:rPr>
          <w:i/>
          <w:lang w:val="fr-FR"/>
        </w:rPr>
        <w:t>)</w:t>
      </w:r>
      <w:r w:rsidRPr="006D55CC">
        <w:rPr>
          <w:i/>
          <w:lang w:val="fr-FR"/>
        </w:rPr>
        <w:tab/>
      </w:r>
      <w:r w:rsidR="002B65E4" w:rsidRPr="006D55CC">
        <w:rPr>
          <w:i/>
          <w:lang w:val="fr-FR"/>
        </w:rPr>
        <w:t xml:space="preserve">examiner la proposition </w:t>
      </w:r>
      <w:r w:rsidR="009D1160" w:rsidRPr="006D55CC">
        <w:rPr>
          <w:i/>
          <w:lang w:val="fr-FR"/>
        </w:rPr>
        <w:t>tendant à ce que</w:t>
      </w:r>
      <w:r w:rsidR="002B65E4" w:rsidRPr="006D55CC">
        <w:rPr>
          <w:i/>
          <w:lang w:val="fr-FR"/>
        </w:rPr>
        <w:t xml:space="preserve"> le Bureau de l</w:t>
      </w:r>
      <w:r w:rsidR="00131117" w:rsidRPr="006D55CC">
        <w:rPr>
          <w:i/>
          <w:lang w:val="fr-FR"/>
        </w:rPr>
        <w:t>’</w:t>
      </w:r>
      <w:r w:rsidR="002B65E4" w:rsidRPr="006D55CC">
        <w:rPr>
          <w:i/>
          <w:lang w:val="fr-FR"/>
        </w:rPr>
        <w:t>Union organise une réunion pour échanger des informations avec la Communauté internationale des obtenteurs de plantes ornementales et fruitières à reproduction asexuée (CIOPORA), l</w:t>
      </w:r>
      <w:r w:rsidR="00131117" w:rsidRPr="006D55CC">
        <w:rPr>
          <w:i/>
          <w:lang w:val="fr-FR"/>
        </w:rPr>
        <w:t>’</w:t>
      </w:r>
      <w:r w:rsidR="002B65E4" w:rsidRPr="006D55CC">
        <w:rPr>
          <w:i/>
          <w:lang w:val="fr-FR"/>
        </w:rPr>
        <w:t>International Seed Federation (ISF) et l</w:t>
      </w:r>
      <w:r w:rsidR="00131117" w:rsidRPr="006D55CC">
        <w:rPr>
          <w:i/>
          <w:lang w:val="fr-FR"/>
        </w:rPr>
        <w:t>’</w:t>
      </w:r>
      <w:r w:rsidR="002B65E4" w:rsidRPr="006D55CC">
        <w:rPr>
          <w:i/>
          <w:lang w:val="fr-FR"/>
        </w:rPr>
        <w:t>Organisation Mondiale de la Propriété Intellectuelle (OMPI) en vue d</w:t>
      </w:r>
      <w:r w:rsidR="00131117" w:rsidRPr="006D55CC">
        <w:rPr>
          <w:i/>
          <w:lang w:val="fr-FR"/>
        </w:rPr>
        <w:t>’</w:t>
      </w:r>
      <w:r w:rsidR="002B65E4" w:rsidRPr="006D55CC">
        <w:rPr>
          <w:i/>
          <w:lang w:val="fr-FR"/>
        </w:rPr>
        <w:t>étudier le rôle que l</w:t>
      </w:r>
      <w:r w:rsidR="00131117" w:rsidRPr="006D55CC">
        <w:rPr>
          <w:i/>
          <w:lang w:val="fr-FR"/>
        </w:rPr>
        <w:t>’</w:t>
      </w:r>
      <w:r w:rsidR="002B65E4" w:rsidRPr="006D55CC">
        <w:rPr>
          <w:i/>
          <w:lang w:val="fr-FR"/>
        </w:rPr>
        <w:t xml:space="preserve">UPOV pourrait jouer dans les mécanismes extrajudiciaires de règlement des litiges pour les questions relatives aux variétés essentiellement dérivées, </w:t>
      </w:r>
      <w:r w:rsidR="00131117" w:rsidRPr="006D55CC">
        <w:rPr>
          <w:i/>
          <w:lang w:val="fr-FR"/>
        </w:rPr>
        <w:t>y compris</w:t>
      </w:r>
      <w:r w:rsidR="002B65E4" w:rsidRPr="006D55CC">
        <w:rPr>
          <w:i/>
          <w:lang w:val="fr-FR"/>
        </w:rPr>
        <w:t xml:space="preserve"> la mise à disposition d</w:t>
      </w:r>
      <w:r w:rsidR="00131117" w:rsidRPr="006D55CC">
        <w:rPr>
          <w:i/>
          <w:lang w:val="fr-FR"/>
        </w:rPr>
        <w:t>’</w:t>
      </w:r>
      <w:r w:rsidR="002B65E4" w:rsidRPr="006D55CC">
        <w:rPr>
          <w:i/>
          <w:lang w:val="fr-FR"/>
        </w:rPr>
        <w:t>experts concernant les questions relatives aux v</w:t>
      </w:r>
      <w:r w:rsidR="008D29DA">
        <w:rPr>
          <w:i/>
          <w:lang w:val="fr-FR"/>
        </w:rPr>
        <w:t xml:space="preserve">ariétés essentiellement dérivées, </w:t>
      </w:r>
      <w:r w:rsidR="002B65E4" w:rsidRPr="006D55CC">
        <w:rPr>
          <w:i/>
          <w:lang w:val="fr-FR"/>
        </w:rPr>
        <w:t>et</w:t>
      </w:r>
    </w:p>
    <w:p w:rsidR="003870AE" w:rsidRPr="006D55CC" w:rsidRDefault="003870AE" w:rsidP="00892799">
      <w:pPr>
        <w:tabs>
          <w:tab w:val="left" w:pos="5387"/>
          <w:tab w:val="left" w:pos="5954"/>
        </w:tabs>
        <w:ind w:left="4820"/>
        <w:rPr>
          <w:i/>
          <w:lang w:val="fr-FR"/>
        </w:rPr>
      </w:pPr>
    </w:p>
    <w:p w:rsidR="003870AE" w:rsidRPr="006D55CC" w:rsidRDefault="003870AE" w:rsidP="00892799">
      <w:pPr>
        <w:tabs>
          <w:tab w:val="left" w:pos="5387"/>
          <w:tab w:val="left" w:pos="5954"/>
        </w:tabs>
        <w:ind w:left="4820"/>
        <w:rPr>
          <w:i/>
          <w:lang w:val="fr-FR"/>
        </w:rPr>
      </w:pPr>
      <w:r w:rsidRPr="006D55CC">
        <w:rPr>
          <w:i/>
          <w:lang w:val="fr-FR"/>
        </w:rPr>
        <w:tab/>
      </w:r>
      <w:r w:rsidR="008504F4" w:rsidRPr="006D55CC">
        <w:rPr>
          <w:i/>
          <w:lang w:val="fr-FR"/>
        </w:rPr>
        <w:t>c</w:t>
      </w:r>
      <w:r w:rsidRPr="006D55CC">
        <w:rPr>
          <w:i/>
          <w:lang w:val="fr-FR"/>
        </w:rPr>
        <w:t>)</w:t>
      </w:r>
      <w:r w:rsidRPr="006D55CC">
        <w:rPr>
          <w:i/>
          <w:lang w:val="fr-FR"/>
        </w:rPr>
        <w:tab/>
      </w:r>
      <w:r w:rsidR="006B56DD" w:rsidRPr="006D55CC">
        <w:rPr>
          <w:i/>
          <w:lang w:val="fr-FR"/>
        </w:rPr>
        <w:t>examiner un nouveau projet de “Notes explicatives sur les variétés essentiellement dérivées selon l</w:t>
      </w:r>
      <w:r w:rsidR="00131117" w:rsidRPr="006D55CC">
        <w:rPr>
          <w:i/>
          <w:lang w:val="fr-FR"/>
        </w:rPr>
        <w:t>’</w:t>
      </w:r>
      <w:r w:rsidR="006B56DD" w:rsidRPr="006D55CC">
        <w:rPr>
          <w:i/>
          <w:lang w:val="fr-FR"/>
        </w:rPr>
        <w:t>Acte de</w:t>
      </w:r>
      <w:r w:rsidR="008902E8" w:rsidRPr="006D55CC">
        <w:rPr>
          <w:i/>
          <w:lang w:val="fr-FR"/>
        </w:rPr>
        <w:t> </w:t>
      </w:r>
      <w:r w:rsidR="006B56DD" w:rsidRPr="006D55CC">
        <w:rPr>
          <w:i/>
          <w:lang w:val="fr-FR"/>
        </w:rPr>
        <w:t xml:space="preserve">1991 de la </w:t>
      </w:r>
      <w:r w:rsidR="00131117" w:rsidRPr="006D55CC">
        <w:rPr>
          <w:i/>
          <w:lang w:val="fr-FR"/>
        </w:rPr>
        <w:t>Convention UPOV</w:t>
      </w:r>
      <w:r w:rsidR="006B56DD" w:rsidRPr="006D55CC">
        <w:rPr>
          <w:i/>
          <w:lang w:val="fr-FR"/>
        </w:rPr>
        <w:t>” (révision)</w:t>
      </w:r>
      <w:r w:rsidRPr="006D55CC">
        <w:rPr>
          <w:i/>
          <w:lang w:val="fr-FR"/>
        </w:rPr>
        <w:t>(</w:t>
      </w:r>
      <w:r w:rsidR="00131117" w:rsidRPr="006D55CC">
        <w:rPr>
          <w:i/>
          <w:lang w:val="fr-FR"/>
        </w:rPr>
        <w:t>document UP</w:t>
      </w:r>
      <w:r w:rsidRPr="006D55CC">
        <w:rPr>
          <w:i/>
          <w:lang w:val="fr-FR"/>
        </w:rPr>
        <w:t>OV/EXN/EDV/2 Draft 6),</w:t>
      </w:r>
      <w:r w:rsidR="00473BA7" w:rsidRPr="006D55CC">
        <w:rPr>
          <w:i/>
          <w:lang w:val="fr-FR"/>
        </w:rPr>
        <w:t xml:space="preserve"> </w:t>
      </w:r>
      <w:r w:rsidR="006B56DD" w:rsidRPr="006D55CC">
        <w:rPr>
          <w:i/>
          <w:lang w:val="fr-FR"/>
        </w:rPr>
        <w:t xml:space="preserve">comme indiqué au </w:t>
      </w:r>
      <w:r w:rsidR="00473BA7" w:rsidRPr="006D55CC">
        <w:rPr>
          <w:i/>
          <w:lang w:val="fr-FR"/>
        </w:rPr>
        <w:t>paragraph</w:t>
      </w:r>
      <w:r w:rsidR="006B56DD" w:rsidRPr="006D55CC">
        <w:rPr>
          <w:i/>
          <w:lang w:val="fr-FR"/>
        </w:rPr>
        <w:t>e</w:t>
      </w:r>
      <w:r w:rsidR="008902E8" w:rsidRPr="006D55CC">
        <w:rPr>
          <w:i/>
          <w:lang w:val="fr-FR"/>
        </w:rPr>
        <w:t> </w:t>
      </w:r>
      <w:r w:rsidR="00473BA7" w:rsidRPr="002B2A44">
        <w:rPr>
          <w:i/>
          <w:lang w:val="fr-FR"/>
        </w:rPr>
        <w:t>1</w:t>
      </w:r>
      <w:r w:rsidR="000F7EA6" w:rsidRPr="002B2A44">
        <w:rPr>
          <w:i/>
          <w:lang w:val="fr-FR"/>
        </w:rPr>
        <w:t>3</w:t>
      </w:r>
      <w:r w:rsidRPr="002B2A44">
        <w:rPr>
          <w:i/>
          <w:lang w:val="fr-FR"/>
        </w:rPr>
        <w:t>.</w:t>
      </w:r>
    </w:p>
    <w:p w:rsidR="003870AE" w:rsidRPr="006D55CC" w:rsidRDefault="003870AE" w:rsidP="00892799">
      <w:pPr>
        <w:rPr>
          <w:lang w:val="fr-FR"/>
        </w:rPr>
      </w:pPr>
    </w:p>
    <w:p w:rsidR="00CD4CD3" w:rsidRPr="006D55CC" w:rsidRDefault="00CD4CD3" w:rsidP="00892799">
      <w:pPr>
        <w:rPr>
          <w:lang w:val="fr-FR"/>
        </w:rPr>
      </w:pPr>
    </w:p>
    <w:p w:rsidR="00131117" w:rsidRPr="006D55CC" w:rsidRDefault="006F0263" w:rsidP="00892799">
      <w:pPr>
        <w:pStyle w:val="Heading2"/>
        <w:ind w:left="567" w:hanging="567"/>
        <w:rPr>
          <w:lang w:val="fr-FR"/>
        </w:rPr>
      </w:pPr>
      <w:bookmarkStart w:id="11" w:name="_Toc431218587"/>
      <w:r w:rsidRPr="006D55CC">
        <w:rPr>
          <w:lang w:val="fr-FR"/>
        </w:rPr>
        <w:t xml:space="preserve">Notes explicatives sur les dénominations variétales selon la </w:t>
      </w:r>
      <w:r w:rsidR="00131117" w:rsidRPr="006D55CC">
        <w:rPr>
          <w:lang w:val="fr-FR"/>
        </w:rPr>
        <w:t>Convention UPOV</w:t>
      </w:r>
      <w:r w:rsidRPr="006D55CC">
        <w:rPr>
          <w:lang w:val="fr-FR"/>
        </w:rPr>
        <w:t xml:space="preserve"> </w:t>
      </w:r>
      <w:r w:rsidR="00953DEE" w:rsidRPr="006D55CC">
        <w:rPr>
          <w:lang w:val="fr-FR"/>
        </w:rPr>
        <w:t>(</w:t>
      </w:r>
      <w:r w:rsidRPr="006D55CC">
        <w:rPr>
          <w:lang w:val="fr-FR"/>
        </w:rPr>
        <w:t>ré</w:t>
      </w:r>
      <w:r w:rsidR="00953DEE" w:rsidRPr="006D55CC">
        <w:rPr>
          <w:lang w:val="fr-FR"/>
        </w:rPr>
        <w:t>vision)</w:t>
      </w:r>
      <w:bookmarkEnd w:id="11"/>
    </w:p>
    <w:p w:rsidR="00953DEE" w:rsidRPr="006D55CC" w:rsidRDefault="00953DEE" w:rsidP="00892799">
      <w:pPr>
        <w:keepNext/>
        <w:rPr>
          <w:highlight w:val="yellow"/>
          <w:lang w:val="fr-FR"/>
        </w:rPr>
      </w:pPr>
    </w:p>
    <w:p w:rsidR="00953DEE" w:rsidRPr="006D55CC" w:rsidRDefault="00953DEE"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009A3590" w:rsidRPr="006D55CC">
        <w:rPr>
          <w:lang w:val="fr-FR"/>
        </w:rPr>
        <w:tab/>
        <w:t>Le CAJ est invité à noter qu</w:t>
      </w:r>
      <w:r w:rsidR="00131117" w:rsidRPr="006D55CC">
        <w:rPr>
          <w:lang w:val="fr-FR"/>
        </w:rPr>
        <w:t>’</w:t>
      </w:r>
      <w:r w:rsidR="009A3590" w:rsidRPr="006D55CC">
        <w:rPr>
          <w:lang w:val="fr-FR"/>
        </w:rPr>
        <w:t>un rapport sur les travaux concernant la possibilité d</w:t>
      </w:r>
      <w:r w:rsidR="00131117" w:rsidRPr="006D55CC">
        <w:rPr>
          <w:lang w:val="fr-FR"/>
        </w:rPr>
        <w:t>’</w:t>
      </w:r>
      <w:r w:rsidR="009A3590" w:rsidRPr="006D55CC">
        <w:rPr>
          <w:lang w:val="fr-FR"/>
        </w:rPr>
        <w:t>élabor</w:t>
      </w:r>
      <w:r w:rsidR="00336C04">
        <w:rPr>
          <w:lang w:val="fr-FR"/>
        </w:rPr>
        <w:t xml:space="preserve">er </w:t>
      </w:r>
      <w:r w:rsidR="009A3590" w:rsidRPr="006D55CC">
        <w:rPr>
          <w:lang w:val="fr-FR"/>
        </w:rPr>
        <w:t xml:space="preserve">un </w:t>
      </w:r>
      <w:r w:rsidR="009D1160" w:rsidRPr="006D55CC">
        <w:rPr>
          <w:lang w:val="fr-FR"/>
        </w:rPr>
        <w:t xml:space="preserve">moteur </w:t>
      </w:r>
      <w:r w:rsidR="009A3590" w:rsidRPr="006D55CC">
        <w:rPr>
          <w:lang w:val="fr-FR"/>
        </w:rPr>
        <w:t>de recherche</w:t>
      </w:r>
      <w:r w:rsidR="009D1160" w:rsidRPr="006D55CC">
        <w:rPr>
          <w:lang w:val="fr-FR"/>
        </w:rPr>
        <w:t xml:space="preserve"> des similitudes pour</w:t>
      </w:r>
      <w:r w:rsidR="009A3590" w:rsidRPr="006D55CC">
        <w:rPr>
          <w:lang w:val="fr-FR"/>
        </w:rPr>
        <w:t xml:space="preserve"> l</w:t>
      </w:r>
      <w:r w:rsidR="00131117" w:rsidRPr="006D55CC">
        <w:rPr>
          <w:lang w:val="fr-FR"/>
        </w:rPr>
        <w:t>’</w:t>
      </w:r>
      <w:r w:rsidR="009A3590" w:rsidRPr="006D55CC">
        <w:rPr>
          <w:lang w:val="fr-FR"/>
        </w:rPr>
        <w:t xml:space="preserve">UPOV </w:t>
      </w:r>
      <w:r w:rsidR="009D1160" w:rsidRPr="006D55CC">
        <w:rPr>
          <w:lang w:val="fr-FR"/>
        </w:rPr>
        <w:t>à des</w:t>
      </w:r>
      <w:r w:rsidR="009A3590" w:rsidRPr="006D55CC">
        <w:rPr>
          <w:lang w:val="fr-FR"/>
        </w:rPr>
        <w:t xml:space="preserve"> fins de dénomination variétale et des propositions de révision éventuelle du document UPOV/INF/12 “Notes explicatives concernant les dénominations variétales en vertu de la </w:t>
      </w:r>
      <w:r w:rsidR="00131117" w:rsidRPr="006D55CC">
        <w:rPr>
          <w:lang w:val="fr-FR"/>
        </w:rPr>
        <w:t>Convention UPOV</w:t>
      </w:r>
      <w:r w:rsidR="009A3590" w:rsidRPr="006D55CC">
        <w:rPr>
          <w:lang w:val="fr-FR"/>
        </w:rPr>
        <w:t>” figurent dans le document CAJ/72/3 “Dénominations variétales</w:t>
      </w:r>
      <w:r w:rsidR="008902E8" w:rsidRPr="006D55CC">
        <w:rPr>
          <w:lang w:val="fr-FR"/>
        </w:rPr>
        <w:t>”“</w:t>
      </w:r>
      <w:r w:rsidRPr="006D55CC">
        <w:rPr>
          <w:lang w:val="fr-FR"/>
        </w:rPr>
        <w:t>.</w:t>
      </w:r>
    </w:p>
    <w:p w:rsidR="003870AE" w:rsidRPr="006D55CC" w:rsidRDefault="003870AE" w:rsidP="00892799">
      <w:pPr>
        <w:rPr>
          <w:lang w:val="fr-FR"/>
        </w:rPr>
      </w:pPr>
    </w:p>
    <w:p w:rsidR="00397968" w:rsidRPr="006D55CC" w:rsidRDefault="00397968" w:rsidP="00892799">
      <w:pPr>
        <w:pStyle w:val="DecisionParagraphs"/>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6E7AA6" w:rsidRPr="006D55CC">
        <w:rPr>
          <w:lang w:val="fr-FR"/>
        </w:rPr>
        <w:t>Le CAJ est invité à noter qu</w:t>
      </w:r>
      <w:r w:rsidR="00131117" w:rsidRPr="006D55CC">
        <w:rPr>
          <w:lang w:val="fr-FR"/>
        </w:rPr>
        <w:t>’</w:t>
      </w:r>
      <w:r w:rsidR="006E7AA6" w:rsidRPr="006D55CC">
        <w:rPr>
          <w:lang w:val="fr-FR"/>
        </w:rPr>
        <w:t xml:space="preserve">un rapport sur </w:t>
      </w:r>
      <w:r w:rsidR="006E7AA6" w:rsidRPr="006D55CC">
        <w:rPr>
          <w:rFonts w:cs="Arial"/>
          <w:snapToGrid w:val="0"/>
          <w:lang w:val="fr-FR"/>
        </w:rPr>
        <w:t xml:space="preserve">les travaux concernant la possibilité </w:t>
      </w:r>
      <w:r w:rsidR="006E7AA6" w:rsidRPr="006D55CC">
        <w:rPr>
          <w:rFonts w:cs="Arial"/>
          <w:lang w:val="fr-FR"/>
        </w:rPr>
        <w:t>d</w:t>
      </w:r>
      <w:r w:rsidR="00131117" w:rsidRPr="006D55CC">
        <w:rPr>
          <w:rFonts w:cs="Arial"/>
          <w:lang w:val="fr-FR"/>
        </w:rPr>
        <w:t>’</w:t>
      </w:r>
      <w:r w:rsidR="006E7AA6" w:rsidRPr="006D55CC">
        <w:rPr>
          <w:rFonts w:cs="Arial"/>
          <w:lang w:val="fr-FR"/>
        </w:rPr>
        <w:t>élabor</w:t>
      </w:r>
      <w:r w:rsidR="00336C04">
        <w:rPr>
          <w:rFonts w:cs="Arial"/>
          <w:lang w:val="fr-FR"/>
        </w:rPr>
        <w:t xml:space="preserve">er </w:t>
      </w:r>
      <w:r w:rsidR="006E7AA6" w:rsidRPr="006D55CC">
        <w:rPr>
          <w:rFonts w:cs="Arial"/>
          <w:lang w:val="fr-FR"/>
        </w:rPr>
        <w:t xml:space="preserve">un </w:t>
      </w:r>
      <w:r w:rsidR="009D1160" w:rsidRPr="006D55CC">
        <w:rPr>
          <w:rFonts w:cs="Arial"/>
          <w:lang w:val="fr-FR"/>
        </w:rPr>
        <w:t>moteur</w:t>
      </w:r>
      <w:r w:rsidR="006E7AA6" w:rsidRPr="006D55CC">
        <w:rPr>
          <w:rFonts w:cs="Arial"/>
          <w:lang w:val="fr-FR"/>
        </w:rPr>
        <w:t xml:space="preserve"> de recherche</w:t>
      </w:r>
      <w:r w:rsidR="009D1160" w:rsidRPr="006D55CC">
        <w:rPr>
          <w:rFonts w:cs="Arial"/>
          <w:lang w:val="fr-FR"/>
        </w:rPr>
        <w:t xml:space="preserve"> des similitudes pour</w:t>
      </w:r>
      <w:r w:rsidR="006E7AA6" w:rsidRPr="006D55CC">
        <w:rPr>
          <w:rFonts w:cs="Arial"/>
          <w:lang w:val="fr-FR"/>
        </w:rPr>
        <w:t xml:space="preserve"> l</w:t>
      </w:r>
      <w:r w:rsidR="00131117" w:rsidRPr="006D55CC">
        <w:rPr>
          <w:rFonts w:cs="Arial"/>
          <w:lang w:val="fr-FR"/>
        </w:rPr>
        <w:t>’</w:t>
      </w:r>
      <w:r w:rsidR="006E7AA6" w:rsidRPr="006D55CC">
        <w:rPr>
          <w:rFonts w:cs="Arial"/>
          <w:lang w:val="fr-FR"/>
        </w:rPr>
        <w:t xml:space="preserve">UPOV </w:t>
      </w:r>
      <w:r w:rsidR="00892799" w:rsidRPr="006D55CC">
        <w:rPr>
          <w:rFonts w:cs="Arial"/>
          <w:lang w:val="fr-FR"/>
        </w:rPr>
        <w:t>à des f</w:t>
      </w:r>
      <w:r w:rsidR="006E7AA6" w:rsidRPr="006D55CC">
        <w:rPr>
          <w:rFonts w:cs="Arial"/>
          <w:lang w:val="fr-FR"/>
        </w:rPr>
        <w:t xml:space="preserve">ins de dénomination variétale </w:t>
      </w:r>
      <w:r w:rsidR="006E7AA6" w:rsidRPr="006D55CC">
        <w:rPr>
          <w:rFonts w:cs="Arial"/>
          <w:snapToGrid w:val="0"/>
          <w:lang w:val="fr-FR"/>
        </w:rPr>
        <w:t xml:space="preserve">et des propositions de </w:t>
      </w:r>
      <w:r w:rsidR="006E7AA6" w:rsidRPr="006D55CC">
        <w:rPr>
          <w:rFonts w:cs="Arial"/>
          <w:snapToGrid w:val="0"/>
          <w:lang w:val="fr-FR" w:eastAsia="ja-JP"/>
        </w:rPr>
        <w:t xml:space="preserve">révision éventuelle </w:t>
      </w:r>
      <w:r w:rsidR="006E7AA6" w:rsidRPr="006D55CC">
        <w:rPr>
          <w:rFonts w:cs="Arial"/>
          <w:lang w:val="fr-FR"/>
        </w:rPr>
        <w:t xml:space="preserve">du document </w:t>
      </w:r>
      <w:r w:rsidR="006E7AA6" w:rsidRPr="006D55CC">
        <w:rPr>
          <w:lang w:val="fr-FR"/>
        </w:rPr>
        <w:t xml:space="preserve">UPOV/INF/12 </w:t>
      </w:r>
      <w:r w:rsidR="006E7AA6" w:rsidRPr="006D55CC">
        <w:rPr>
          <w:rFonts w:cs="Arial"/>
          <w:lang w:val="fr-FR"/>
        </w:rPr>
        <w:t>“</w:t>
      </w:r>
      <w:r w:rsidR="006E7AA6" w:rsidRPr="006D55CC">
        <w:rPr>
          <w:lang w:val="fr-FR"/>
        </w:rPr>
        <w:t xml:space="preserve">Notes explicatives concernant les dénominations variétales en vertu de la </w:t>
      </w:r>
      <w:r w:rsidR="00131117" w:rsidRPr="006D55CC">
        <w:rPr>
          <w:lang w:val="fr-FR"/>
        </w:rPr>
        <w:t>Convention UPOV</w:t>
      </w:r>
      <w:r w:rsidR="006E7AA6" w:rsidRPr="006D55CC">
        <w:rPr>
          <w:rFonts w:cs="Arial"/>
          <w:lang w:val="fr-FR"/>
        </w:rPr>
        <w:t xml:space="preserve">” figurent dans le </w:t>
      </w:r>
      <w:r w:rsidR="006E7AA6" w:rsidRPr="006D55CC">
        <w:rPr>
          <w:lang w:val="fr-FR"/>
        </w:rPr>
        <w:t>document CAJ/72/3 “Dénominations variétales”.</w:t>
      </w:r>
    </w:p>
    <w:p w:rsidR="00953DEE" w:rsidRPr="006D55CC" w:rsidRDefault="00953DEE" w:rsidP="00892799">
      <w:pPr>
        <w:pStyle w:val="Heading2"/>
        <w:keepNext w:val="0"/>
        <w:rPr>
          <w:lang w:val="fr-FR"/>
        </w:rPr>
      </w:pPr>
    </w:p>
    <w:p w:rsidR="00953DEE" w:rsidRPr="006D55CC" w:rsidRDefault="00953DEE" w:rsidP="00892799">
      <w:pPr>
        <w:pStyle w:val="Heading2"/>
        <w:keepNext w:val="0"/>
        <w:rPr>
          <w:lang w:val="fr-FR"/>
        </w:rPr>
      </w:pPr>
    </w:p>
    <w:p w:rsidR="003870AE" w:rsidRPr="006D55CC" w:rsidRDefault="005810CF" w:rsidP="00892799">
      <w:pPr>
        <w:pStyle w:val="Heading2"/>
        <w:rPr>
          <w:lang w:val="fr-FR"/>
        </w:rPr>
      </w:pPr>
      <w:bookmarkStart w:id="12" w:name="_Toc431218588"/>
      <w:r w:rsidRPr="006D55CC">
        <w:rPr>
          <w:lang w:val="fr-FR"/>
        </w:rPr>
        <w:t xml:space="preserve">Notes explicatives sur le matériel de reproduction ou de multiplication selon la </w:t>
      </w:r>
      <w:r w:rsidR="00131117" w:rsidRPr="006D55CC">
        <w:rPr>
          <w:lang w:val="fr-FR"/>
        </w:rPr>
        <w:t>Convention UPOV</w:t>
      </w:r>
      <w:r w:rsidRPr="006D55CC">
        <w:rPr>
          <w:lang w:val="fr-FR"/>
        </w:rPr>
        <w:t xml:space="preserve"> </w:t>
      </w:r>
      <w:r w:rsidR="00953DEE" w:rsidRPr="006D55CC">
        <w:rPr>
          <w:lang w:val="fr-FR"/>
        </w:rPr>
        <w:t>(</w:t>
      </w:r>
      <w:r w:rsidR="00131117" w:rsidRPr="006D55CC">
        <w:rPr>
          <w:lang w:val="fr-FR"/>
        </w:rPr>
        <w:t>document UP</w:t>
      </w:r>
      <w:r w:rsidR="00953DEE" w:rsidRPr="006D55CC">
        <w:rPr>
          <w:lang w:val="fr-FR"/>
        </w:rPr>
        <w:t>OV/EXN/PPM/1 Draft 5</w:t>
      </w:r>
      <w:r w:rsidR="003870AE" w:rsidRPr="006D55CC">
        <w:rPr>
          <w:lang w:val="fr-FR"/>
        </w:rPr>
        <w:t>)</w:t>
      </w:r>
      <w:bookmarkEnd w:id="12"/>
    </w:p>
    <w:p w:rsidR="003870AE" w:rsidRPr="006D55CC" w:rsidRDefault="003870AE" w:rsidP="00892799">
      <w:pPr>
        <w:rPr>
          <w:lang w:val="fr-FR"/>
        </w:rPr>
      </w:pPr>
    </w:p>
    <w:p w:rsidR="008C20F1" w:rsidRPr="006D55CC" w:rsidRDefault="008C20F1" w:rsidP="00892799">
      <w:pPr>
        <w:rPr>
          <w:highlight w:val="lightGray"/>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0A420B" w:rsidRPr="006D55CC">
        <w:rPr>
          <w:lang w:val="fr-FR"/>
        </w:rPr>
        <w:t xml:space="preserve">Le </w:t>
      </w:r>
      <w:r w:rsidRPr="006D55CC">
        <w:rPr>
          <w:lang w:val="fr-FR"/>
        </w:rPr>
        <w:t xml:space="preserve">CAJ, </w:t>
      </w:r>
      <w:r w:rsidR="00431015" w:rsidRPr="006D55CC">
        <w:rPr>
          <w:lang w:val="fr-FR"/>
        </w:rPr>
        <w:t>à sa soixante</w:t>
      </w:r>
      <w:r w:rsidR="008902E8" w:rsidRPr="006D55CC">
        <w:rPr>
          <w:lang w:val="fr-FR"/>
        </w:rPr>
        <w:t> </w:t>
      </w:r>
      <w:r w:rsidR="00431015" w:rsidRPr="006D55CC">
        <w:rPr>
          <w:lang w:val="fr-FR"/>
        </w:rPr>
        <w:t>et</w:t>
      </w:r>
      <w:r w:rsidR="008902E8" w:rsidRPr="006D55CC">
        <w:rPr>
          <w:lang w:val="fr-FR"/>
        </w:rPr>
        <w:t> </w:t>
      </w:r>
      <w:r w:rsidR="00431015" w:rsidRPr="006D55CC">
        <w:rPr>
          <w:lang w:val="fr-FR"/>
        </w:rPr>
        <w:t>onzième</w:t>
      </w:r>
      <w:r w:rsidR="008902E8" w:rsidRPr="006D55CC">
        <w:rPr>
          <w:lang w:val="fr-FR"/>
        </w:rPr>
        <w:t> </w:t>
      </w:r>
      <w:r w:rsidR="00431015" w:rsidRPr="006D55CC">
        <w:rPr>
          <w:lang w:val="fr-FR"/>
        </w:rPr>
        <w:t>session</w:t>
      </w:r>
      <w:r w:rsidRPr="006D55CC">
        <w:rPr>
          <w:lang w:val="fr-FR"/>
        </w:rPr>
        <w:t xml:space="preserve">, </w:t>
      </w:r>
      <w:r w:rsidR="00431015" w:rsidRPr="006D55CC">
        <w:rPr>
          <w:lang w:val="fr-FR"/>
        </w:rPr>
        <w:t>est convenu d</w:t>
      </w:r>
      <w:r w:rsidR="00131117" w:rsidRPr="006D55CC">
        <w:rPr>
          <w:lang w:val="fr-FR"/>
        </w:rPr>
        <w:t>’</w:t>
      </w:r>
      <w:r w:rsidR="00431015" w:rsidRPr="006D55CC">
        <w:rPr>
          <w:lang w:val="fr-FR"/>
        </w:rPr>
        <w:t>examiner un nouveau projet de “Notes explicatives sur le matériel de reproduction ou de multiplication selon l</w:t>
      </w:r>
      <w:r w:rsidR="00131117" w:rsidRPr="006D55CC">
        <w:rPr>
          <w:lang w:val="fr-FR"/>
        </w:rPr>
        <w:t>’</w:t>
      </w:r>
      <w:r w:rsidR="00431015" w:rsidRPr="006D55CC">
        <w:rPr>
          <w:lang w:val="fr-FR"/>
        </w:rPr>
        <w:t>Acte de</w:t>
      </w:r>
      <w:r w:rsidR="008902E8" w:rsidRPr="006D55CC">
        <w:rPr>
          <w:lang w:val="fr-FR"/>
        </w:rPr>
        <w:t> </w:t>
      </w:r>
      <w:r w:rsidR="00431015" w:rsidRPr="006D55CC">
        <w:rPr>
          <w:lang w:val="fr-FR"/>
        </w:rPr>
        <w:t xml:space="preserve">1991 de la </w:t>
      </w:r>
      <w:r w:rsidR="00131117" w:rsidRPr="006D55CC">
        <w:rPr>
          <w:lang w:val="fr-FR"/>
        </w:rPr>
        <w:t>Convention UPOV</w:t>
      </w:r>
      <w:r w:rsidR="00953DEE" w:rsidRPr="006D55CC">
        <w:rPr>
          <w:lang w:val="fr-FR"/>
        </w:rPr>
        <w:t>” (</w:t>
      </w:r>
      <w:r w:rsidR="00131117" w:rsidRPr="006D55CC">
        <w:rPr>
          <w:lang w:val="fr-FR"/>
        </w:rPr>
        <w:t>document UP</w:t>
      </w:r>
      <w:r w:rsidR="00953DEE" w:rsidRPr="006D55CC">
        <w:rPr>
          <w:lang w:val="fr-FR"/>
        </w:rPr>
        <w:t>OV/EXN/PPM/1 </w:t>
      </w:r>
      <w:r w:rsidRPr="006D55CC">
        <w:rPr>
          <w:lang w:val="fr-FR"/>
        </w:rPr>
        <w:t xml:space="preserve">Draft 5) </w:t>
      </w:r>
      <w:r w:rsidR="00431015" w:rsidRPr="006D55CC">
        <w:rPr>
          <w:lang w:val="fr-FR"/>
        </w:rPr>
        <w:t>à sa soixante</w:t>
      </w:r>
      <w:r w:rsidR="005275ED" w:rsidRPr="006D55CC">
        <w:rPr>
          <w:lang w:val="fr-FR"/>
        </w:rPr>
        <w:noBreakHyphen/>
      </w:r>
      <w:r w:rsidR="00431015" w:rsidRPr="006D55CC">
        <w:rPr>
          <w:lang w:val="fr-FR"/>
        </w:rPr>
        <w:t>douzième</w:t>
      </w:r>
      <w:r w:rsidR="008902E8" w:rsidRPr="006D55CC">
        <w:rPr>
          <w:lang w:val="fr-FR"/>
        </w:rPr>
        <w:t> </w:t>
      </w:r>
      <w:r w:rsidR="00431015" w:rsidRPr="006D55CC">
        <w:rPr>
          <w:lang w:val="fr-FR"/>
        </w:rPr>
        <w:t>session</w:t>
      </w:r>
      <w:r w:rsidRPr="006D55CC">
        <w:rPr>
          <w:lang w:val="fr-FR"/>
        </w:rPr>
        <w:t xml:space="preserve">, </w:t>
      </w:r>
      <w:r w:rsidR="00F446EC" w:rsidRPr="006D55CC">
        <w:rPr>
          <w:lang w:val="fr-FR"/>
        </w:rPr>
        <w:t xml:space="preserve">sur la base des modifications suivantes à apporter au </w:t>
      </w:r>
      <w:r w:rsidR="0040489E" w:rsidRPr="006D55CC">
        <w:rPr>
          <w:lang w:val="fr-FR"/>
        </w:rPr>
        <w:t>document UPOV/EXN/PPM/1 </w:t>
      </w:r>
      <w:r w:rsidR="000F7EA6" w:rsidRPr="006D55CC">
        <w:rPr>
          <w:lang w:val="fr-FR"/>
        </w:rPr>
        <w:t>Draft 4</w:t>
      </w:r>
      <w:r w:rsidR="001B333C" w:rsidRPr="006D55CC">
        <w:rPr>
          <w:rStyle w:val="FootnoteReference"/>
          <w:lang w:val="fr-FR"/>
        </w:rPr>
        <w:footnoteReference w:id="15"/>
      </w:r>
      <w:r w:rsidR="00A32D83">
        <w:rPr>
          <w:lang w:val="fr-FR"/>
        </w:rPr>
        <w:t>.</w:t>
      </w:r>
      <w:bookmarkStart w:id="13" w:name="_GoBack"/>
      <w:bookmarkEnd w:id="13"/>
      <w:r w:rsidR="008902E8" w:rsidRPr="006D55CC">
        <w:rPr>
          <w:rStyle w:val="FootnoteReference"/>
          <w:lang w:val="fr-FR"/>
        </w:rPr>
        <w:t xml:space="preserve"> </w:t>
      </w:r>
    </w:p>
    <w:p w:rsidR="008C20F1" w:rsidRPr="006D55CC" w:rsidRDefault="008C20F1" w:rsidP="00892799">
      <w:pPr>
        <w:rPr>
          <w:lang w:val="fr-FR"/>
        </w:rPr>
      </w:pPr>
    </w:p>
    <w:p w:rsidR="008C20F1" w:rsidRPr="006D55CC" w:rsidRDefault="000F7EA6" w:rsidP="00892799">
      <w:pPr>
        <w:ind w:left="567"/>
        <w:rPr>
          <w:lang w:val="fr-FR"/>
        </w:rPr>
      </w:pPr>
      <w:r w:rsidRPr="006D55CC">
        <w:rPr>
          <w:lang w:val="fr-FR"/>
        </w:rPr>
        <w:t>i</w:t>
      </w:r>
      <w:r w:rsidR="008C20F1" w:rsidRPr="006D55CC">
        <w:rPr>
          <w:lang w:val="fr-FR"/>
        </w:rPr>
        <w:t>)</w:t>
      </w:r>
      <w:r w:rsidR="008C20F1" w:rsidRPr="006D55CC">
        <w:rPr>
          <w:lang w:val="fr-FR"/>
        </w:rPr>
        <w:tab/>
      </w:r>
      <w:r w:rsidR="00A02404" w:rsidRPr="006D55CC">
        <w:rPr>
          <w:lang w:val="fr-FR"/>
        </w:rPr>
        <w:t xml:space="preserve">inclure la référence à la </w:t>
      </w:r>
      <w:r w:rsidR="00131117" w:rsidRPr="006D55CC">
        <w:rPr>
          <w:lang w:val="fr-FR"/>
        </w:rPr>
        <w:t>Convention UPOV</w:t>
      </w:r>
      <w:r w:rsidR="00A02404" w:rsidRPr="006D55CC">
        <w:rPr>
          <w:lang w:val="fr-FR"/>
        </w:rPr>
        <w:t xml:space="preserve"> dans le titre du document et dans le préambule</w:t>
      </w:r>
      <w:r w:rsidR="008C20F1" w:rsidRPr="006D55CC">
        <w:rPr>
          <w:lang w:val="fr-FR"/>
        </w:rPr>
        <w:t>;</w:t>
      </w:r>
    </w:p>
    <w:p w:rsidR="008C20F1" w:rsidRPr="006D55CC" w:rsidRDefault="008C20F1" w:rsidP="00892799">
      <w:pPr>
        <w:ind w:left="567"/>
        <w:rPr>
          <w:lang w:val="fr-FR"/>
        </w:rPr>
      </w:pPr>
    </w:p>
    <w:p w:rsidR="008C20F1" w:rsidRPr="006D55CC" w:rsidRDefault="003915CD" w:rsidP="00892799">
      <w:pPr>
        <w:ind w:left="567"/>
        <w:rPr>
          <w:lang w:val="fr-FR"/>
        </w:rPr>
      </w:pPr>
      <w:r w:rsidRPr="006D55CC">
        <w:rPr>
          <w:lang w:val="fr-FR"/>
        </w:rPr>
        <w:t>ii</w:t>
      </w:r>
      <w:r w:rsidR="000F7EA6" w:rsidRPr="006D55CC">
        <w:rPr>
          <w:lang w:val="fr-FR"/>
        </w:rPr>
        <w:t>)</w:t>
      </w:r>
      <w:r w:rsidR="008C20F1" w:rsidRPr="006D55CC">
        <w:rPr>
          <w:lang w:val="fr-FR"/>
        </w:rPr>
        <w:tab/>
      </w:r>
      <w:r w:rsidR="00A02404" w:rsidRPr="006D55CC">
        <w:rPr>
          <w:lang w:val="fr-FR"/>
        </w:rPr>
        <w:t>actualiser la section</w:t>
      </w:r>
      <w:r w:rsidR="008902E8" w:rsidRPr="006D55CC">
        <w:rPr>
          <w:lang w:val="fr-FR"/>
        </w:rPr>
        <w:t> </w:t>
      </w:r>
      <w:r w:rsidR="00A02404" w:rsidRPr="006D55CC">
        <w:rPr>
          <w:lang w:val="fr-FR"/>
        </w:rPr>
        <w:t>a) pour y faire figurer les articles pertinents de l</w:t>
      </w:r>
      <w:r w:rsidR="00131117" w:rsidRPr="006D55CC">
        <w:rPr>
          <w:lang w:val="fr-FR"/>
        </w:rPr>
        <w:t>’</w:t>
      </w:r>
      <w:r w:rsidR="00A02404" w:rsidRPr="006D55CC">
        <w:rPr>
          <w:lang w:val="fr-FR"/>
        </w:rPr>
        <w:t>Acte de</w:t>
      </w:r>
      <w:r w:rsidR="008902E8" w:rsidRPr="006D55CC">
        <w:rPr>
          <w:lang w:val="fr-FR"/>
        </w:rPr>
        <w:t> </w:t>
      </w:r>
      <w:r w:rsidR="00A02404" w:rsidRPr="006D55CC">
        <w:rPr>
          <w:lang w:val="fr-FR"/>
        </w:rPr>
        <w:t>1978</w:t>
      </w:r>
      <w:r w:rsidR="008C20F1" w:rsidRPr="006D55CC">
        <w:rPr>
          <w:lang w:val="fr-FR"/>
        </w:rPr>
        <w:t>;</w:t>
      </w:r>
    </w:p>
    <w:p w:rsidR="008C20F1" w:rsidRPr="006D55CC" w:rsidRDefault="008C20F1" w:rsidP="00892799">
      <w:pPr>
        <w:ind w:left="567"/>
        <w:rPr>
          <w:lang w:val="fr-FR"/>
        </w:rPr>
      </w:pPr>
    </w:p>
    <w:p w:rsidR="008C20F1" w:rsidRPr="006D55CC" w:rsidRDefault="000F7EA6" w:rsidP="00892799">
      <w:pPr>
        <w:ind w:left="567"/>
        <w:rPr>
          <w:lang w:val="fr-FR"/>
        </w:rPr>
      </w:pPr>
      <w:r w:rsidRPr="006D55CC">
        <w:rPr>
          <w:lang w:val="fr-FR"/>
        </w:rPr>
        <w:t>iii)</w:t>
      </w:r>
      <w:r w:rsidR="008C20F1" w:rsidRPr="006D55CC">
        <w:rPr>
          <w:lang w:val="fr-FR"/>
        </w:rPr>
        <w:tab/>
      </w:r>
      <w:r w:rsidR="00A02404" w:rsidRPr="006D55CC">
        <w:rPr>
          <w:lang w:val="fr-FR"/>
        </w:rPr>
        <w:t>supprimer les paragraphes</w:t>
      </w:r>
      <w:r w:rsidR="008902E8" w:rsidRPr="006D55CC">
        <w:rPr>
          <w:lang w:val="fr-FR"/>
        </w:rPr>
        <w:t> </w:t>
      </w:r>
      <w:r w:rsidR="00A02404" w:rsidRPr="006D55CC">
        <w:rPr>
          <w:lang w:val="fr-FR"/>
        </w:rPr>
        <w:t xml:space="preserve">2 et 3; </w:t>
      </w:r>
      <w:r w:rsidR="008902E8" w:rsidRPr="006D55CC">
        <w:rPr>
          <w:lang w:val="fr-FR"/>
        </w:rPr>
        <w:t xml:space="preserve"> </w:t>
      </w:r>
      <w:r w:rsidR="00A02404" w:rsidRPr="006D55CC">
        <w:rPr>
          <w:lang w:val="fr-FR"/>
        </w:rPr>
        <w:t>et</w:t>
      </w:r>
    </w:p>
    <w:p w:rsidR="008C20F1" w:rsidRPr="006D55CC" w:rsidRDefault="008C20F1" w:rsidP="00892799">
      <w:pPr>
        <w:ind w:left="567"/>
        <w:rPr>
          <w:lang w:val="fr-FR"/>
        </w:rPr>
      </w:pPr>
    </w:p>
    <w:p w:rsidR="008C20F1" w:rsidRPr="006D55CC" w:rsidRDefault="000F7EA6" w:rsidP="00892799">
      <w:pPr>
        <w:ind w:left="567"/>
        <w:rPr>
          <w:lang w:val="fr-FR"/>
        </w:rPr>
      </w:pPr>
      <w:r w:rsidRPr="006D55CC">
        <w:rPr>
          <w:lang w:val="fr-FR"/>
        </w:rPr>
        <w:t>iv</w:t>
      </w:r>
      <w:r w:rsidR="008C20F1" w:rsidRPr="006D55CC">
        <w:rPr>
          <w:lang w:val="fr-FR"/>
        </w:rPr>
        <w:t>)</w:t>
      </w:r>
      <w:r w:rsidR="008C20F1" w:rsidRPr="006D55CC">
        <w:rPr>
          <w:lang w:val="fr-FR"/>
        </w:rPr>
        <w:tab/>
      </w:r>
      <w:r w:rsidR="00A02404" w:rsidRPr="006D55CC">
        <w:rPr>
          <w:lang w:val="fr-FR"/>
        </w:rPr>
        <w:t>remplacer le verbe “décider” par “déterminer” au paragraphe </w:t>
      </w:r>
      <w:r w:rsidR="008C20F1" w:rsidRPr="006D55CC">
        <w:rPr>
          <w:lang w:val="fr-FR"/>
        </w:rPr>
        <w:t>4.</w:t>
      </w:r>
    </w:p>
    <w:p w:rsidR="00397968" w:rsidRPr="006D55CC" w:rsidRDefault="00397968" w:rsidP="00892799">
      <w:pPr>
        <w:rPr>
          <w:lang w:val="fr-FR"/>
        </w:rPr>
      </w:pPr>
    </w:p>
    <w:p w:rsidR="008C20F1" w:rsidRPr="006D55CC" w:rsidRDefault="0040489E" w:rsidP="002B2A44">
      <w:pPr>
        <w:tabs>
          <w:tab w:val="left" w:pos="5387"/>
        </w:tabs>
        <w:spacing w:after="480"/>
        <w:ind w:left="4820"/>
        <w:rPr>
          <w:i/>
          <w:lang w:val="fr-FR"/>
        </w:rPr>
      </w:pPr>
      <w:r w:rsidRPr="006D55CC">
        <w:rPr>
          <w:i/>
          <w:lang w:val="fr-FR"/>
        </w:rPr>
        <w:t>18.</w:t>
      </w:r>
      <w:r w:rsidR="003870AE" w:rsidRPr="006D55CC">
        <w:rPr>
          <w:i/>
          <w:lang w:val="fr-FR"/>
        </w:rPr>
        <w:tab/>
      </w:r>
      <w:r w:rsidR="00B71690" w:rsidRPr="006D55CC">
        <w:rPr>
          <w:i/>
          <w:lang w:val="fr-FR"/>
        </w:rPr>
        <w:t>Le</w:t>
      </w:r>
      <w:r w:rsidR="003870AE" w:rsidRPr="006D55CC">
        <w:rPr>
          <w:i/>
          <w:lang w:val="fr-FR"/>
        </w:rPr>
        <w:t xml:space="preserve"> CAJ </w:t>
      </w:r>
      <w:r w:rsidR="00B71690" w:rsidRPr="006D55CC">
        <w:rPr>
          <w:i/>
          <w:lang w:val="fr-FR"/>
        </w:rPr>
        <w:t xml:space="preserve">est invité à examiner le </w:t>
      </w:r>
      <w:r w:rsidR="00131117" w:rsidRPr="006D55CC">
        <w:rPr>
          <w:i/>
          <w:lang w:val="fr-FR" w:eastAsia="zh-CN"/>
        </w:rPr>
        <w:t xml:space="preserve">document </w:t>
      </w:r>
      <w:r w:rsidR="00131117" w:rsidRPr="006D55CC">
        <w:rPr>
          <w:i/>
          <w:lang w:val="fr-FR"/>
        </w:rPr>
        <w:t>UP</w:t>
      </w:r>
      <w:r w:rsidR="00866CDE" w:rsidRPr="006D55CC">
        <w:rPr>
          <w:i/>
          <w:lang w:val="fr-FR"/>
        </w:rPr>
        <w:t>OV/EXN/PPM/1 Draft 5</w:t>
      </w:r>
      <w:r w:rsidR="008973BD" w:rsidRPr="006D55CC">
        <w:rPr>
          <w:i/>
          <w:lang w:val="fr-FR"/>
        </w:rPr>
        <w:t>,</w:t>
      </w:r>
      <w:r w:rsidR="00B71690" w:rsidRPr="006D55CC">
        <w:rPr>
          <w:i/>
          <w:lang w:val="fr-FR"/>
        </w:rPr>
        <w:t xml:space="preserve"> </w:t>
      </w:r>
      <w:r w:rsidR="008973BD" w:rsidRPr="006D55CC">
        <w:rPr>
          <w:i/>
          <w:lang w:val="fr-FR"/>
        </w:rPr>
        <w:t>“</w:t>
      </w:r>
      <w:r w:rsidR="00B71690" w:rsidRPr="006D55CC">
        <w:rPr>
          <w:i/>
          <w:lang w:val="fr-FR"/>
        </w:rPr>
        <w:t xml:space="preserve">Notes explicatives sur le matériel de reproduction ou de multiplication selon la </w:t>
      </w:r>
      <w:r w:rsidR="00131117" w:rsidRPr="006D55CC">
        <w:rPr>
          <w:i/>
          <w:lang w:val="fr-FR"/>
        </w:rPr>
        <w:t>Convention UPOV</w:t>
      </w:r>
      <w:r w:rsidR="008973BD" w:rsidRPr="006D55CC">
        <w:rPr>
          <w:i/>
          <w:lang w:val="fr-FR"/>
        </w:rPr>
        <w:t xml:space="preserve">”, </w:t>
      </w:r>
      <w:r w:rsidR="00B71690" w:rsidRPr="006D55CC">
        <w:rPr>
          <w:i/>
          <w:lang w:val="fr-FR"/>
        </w:rPr>
        <w:t xml:space="preserve">comme indiqué au </w:t>
      </w:r>
      <w:r w:rsidR="008C20F1" w:rsidRPr="006D55CC">
        <w:rPr>
          <w:i/>
          <w:lang w:val="fr-FR"/>
        </w:rPr>
        <w:t>paragraph</w:t>
      </w:r>
      <w:r w:rsidR="00B71690" w:rsidRPr="006D55CC">
        <w:rPr>
          <w:i/>
          <w:lang w:val="fr-FR"/>
        </w:rPr>
        <w:t>e</w:t>
      </w:r>
      <w:r w:rsidR="00382A89" w:rsidRPr="006D55CC">
        <w:rPr>
          <w:i/>
          <w:lang w:val="fr-FR"/>
        </w:rPr>
        <w:t> </w:t>
      </w:r>
      <w:r w:rsidR="00146A37" w:rsidRPr="006D55CC">
        <w:rPr>
          <w:i/>
          <w:lang w:val="fr-FR"/>
        </w:rPr>
        <w:t>1</w:t>
      </w:r>
      <w:r w:rsidR="003915CD" w:rsidRPr="006D55CC">
        <w:rPr>
          <w:i/>
          <w:lang w:val="fr-FR"/>
        </w:rPr>
        <w:t>7</w:t>
      </w:r>
      <w:r w:rsidR="008C20F1" w:rsidRPr="006D55CC">
        <w:rPr>
          <w:i/>
          <w:lang w:val="fr-FR"/>
        </w:rPr>
        <w:t>.</w:t>
      </w:r>
    </w:p>
    <w:p w:rsidR="003870AE" w:rsidRPr="006D55CC" w:rsidRDefault="006E7AA6" w:rsidP="00892799">
      <w:pPr>
        <w:pStyle w:val="Heading1"/>
        <w:rPr>
          <w:rFonts w:cs="Arial"/>
        </w:rPr>
      </w:pPr>
      <w:bookmarkStart w:id="14" w:name="_Toc431218589"/>
      <w:r w:rsidRPr="006D55CC">
        <w:lastRenderedPageBreak/>
        <w:t>PROGRAMME PROVISOIRE D</w:t>
      </w:r>
      <w:r w:rsidR="00131117" w:rsidRPr="006D55CC">
        <w:t>’</w:t>
      </w:r>
      <w:r w:rsidRPr="006D55CC">
        <w:t>ÉLABORATION DE MATÉRIEL D</w:t>
      </w:r>
      <w:r w:rsidR="00131117" w:rsidRPr="006D55CC">
        <w:t>’</w:t>
      </w:r>
      <w:r w:rsidRPr="006D55CC">
        <w:t>INFORMATION</w:t>
      </w:r>
      <w:bookmarkEnd w:id="14"/>
    </w:p>
    <w:p w:rsidR="00397968" w:rsidRPr="006D55CC" w:rsidRDefault="00397968" w:rsidP="00892799">
      <w:pPr>
        <w:rPr>
          <w:lang w:val="fr-FR"/>
        </w:rPr>
      </w:pPr>
    </w:p>
    <w:p w:rsidR="00866CDE" w:rsidRPr="006D55CC" w:rsidRDefault="00096861" w:rsidP="00565D72">
      <w:pPr>
        <w:pStyle w:val="Heading2"/>
        <w:rPr>
          <w:lang w:val="fr-FR"/>
        </w:rPr>
      </w:pPr>
      <w:bookmarkStart w:id="15" w:name="_Toc431218590"/>
      <w:r w:rsidRPr="006D55CC">
        <w:rPr>
          <w:lang w:val="fr-FR"/>
        </w:rPr>
        <w:t>Notes explicatives sur les variétés essentiellement dérivées selon l</w:t>
      </w:r>
      <w:r w:rsidR="00131117" w:rsidRPr="006D55CC">
        <w:rPr>
          <w:lang w:val="fr-FR"/>
        </w:rPr>
        <w:t>’</w:t>
      </w:r>
      <w:r w:rsidRPr="006D55CC">
        <w:rPr>
          <w:lang w:val="fr-FR"/>
        </w:rPr>
        <w:t>Acte de</w:t>
      </w:r>
      <w:r w:rsidR="008902E8" w:rsidRPr="006D55CC">
        <w:rPr>
          <w:lang w:val="fr-FR"/>
        </w:rPr>
        <w:t> </w:t>
      </w:r>
      <w:r w:rsidRPr="006D55CC">
        <w:rPr>
          <w:lang w:val="fr-FR"/>
        </w:rPr>
        <w:t xml:space="preserve">1991 de la </w:t>
      </w:r>
      <w:r w:rsidR="00131117" w:rsidRPr="006D55CC">
        <w:rPr>
          <w:lang w:val="fr-FR"/>
        </w:rPr>
        <w:t>Convention UPOV</w:t>
      </w:r>
      <w:r w:rsidRPr="006D55CC">
        <w:rPr>
          <w:lang w:val="fr-FR"/>
        </w:rPr>
        <w:t xml:space="preserve"> </w:t>
      </w:r>
      <w:r w:rsidR="00866CDE" w:rsidRPr="006D55CC">
        <w:rPr>
          <w:lang w:val="fr-FR"/>
        </w:rPr>
        <w:t>(</w:t>
      </w:r>
      <w:r w:rsidRPr="006D55CC">
        <w:rPr>
          <w:lang w:val="fr-FR"/>
        </w:rPr>
        <w:t>ré</w:t>
      </w:r>
      <w:r w:rsidR="00866CDE" w:rsidRPr="006D55CC">
        <w:rPr>
          <w:lang w:val="fr-FR"/>
        </w:rPr>
        <w:t>vision)</w:t>
      </w:r>
      <w:bookmarkEnd w:id="15"/>
    </w:p>
    <w:p w:rsidR="00866CDE" w:rsidRPr="006D55CC" w:rsidRDefault="00866CDE" w:rsidP="00892799">
      <w:pPr>
        <w:rPr>
          <w:lang w:val="fr-FR"/>
        </w:rPr>
      </w:pPr>
    </w:p>
    <w:p w:rsidR="00397968" w:rsidRPr="006D55CC" w:rsidRDefault="00397968"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2D5181" w:rsidRPr="006D55CC">
        <w:rPr>
          <w:lang w:val="fr-FR"/>
        </w:rPr>
        <w:t xml:space="preserve">Le </w:t>
      </w:r>
      <w:r w:rsidRPr="006D55CC">
        <w:rPr>
          <w:lang w:val="fr-FR"/>
        </w:rPr>
        <w:t xml:space="preserve">CAJ </w:t>
      </w:r>
      <w:r w:rsidR="002D5181" w:rsidRPr="006D55CC">
        <w:rPr>
          <w:lang w:val="fr-FR"/>
        </w:rPr>
        <w:t xml:space="preserve">est invité à examiner </w:t>
      </w:r>
      <w:r w:rsidR="00296CC4" w:rsidRPr="006D55CC">
        <w:rPr>
          <w:lang w:val="fr-FR"/>
        </w:rPr>
        <w:t>les prochaines étapes de l</w:t>
      </w:r>
      <w:r w:rsidR="00131117" w:rsidRPr="006D55CC">
        <w:rPr>
          <w:lang w:val="fr-FR"/>
        </w:rPr>
        <w:t>’</w:t>
      </w:r>
      <w:r w:rsidR="00296CC4" w:rsidRPr="006D55CC">
        <w:rPr>
          <w:lang w:val="fr-FR"/>
        </w:rPr>
        <w:t xml:space="preserve">élaboration </w:t>
      </w:r>
      <w:r w:rsidR="002D5181" w:rsidRPr="006D55CC">
        <w:rPr>
          <w:lang w:val="fr-FR"/>
        </w:rPr>
        <w:t>de</w:t>
      </w:r>
      <w:r w:rsidRPr="006D55CC">
        <w:rPr>
          <w:lang w:val="fr-FR"/>
        </w:rPr>
        <w:t xml:space="preserve"> </w:t>
      </w:r>
      <w:r w:rsidR="008973BD" w:rsidRPr="006D55CC">
        <w:rPr>
          <w:lang w:val="fr-FR"/>
        </w:rPr>
        <w:t>“</w:t>
      </w:r>
      <w:r w:rsidR="008E268D" w:rsidRPr="006D55CC">
        <w:rPr>
          <w:lang w:val="fr-FR"/>
        </w:rPr>
        <w:t>Notes explicatives sur les variétés essentiellement dérivées selon l</w:t>
      </w:r>
      <w:r w:rsidR="00131117" w:rsidRPr="006D55CC">
        <w:rPr>
          <w:lang w:val="fr-FR"/>
        </w:rPr>
        <w:t>’</w:t>
      </w:r>
      <w:r w:rsidR="008E268D" w:rsidRPr="006D55CC">
        <w:rPr>
          <w:lang w:val="fr-FR"/>
        </w:rPr>
        <w:t>Acte de</w:t>
      </w:r>
      <w:r w:rsidR="008902E8" w:rsidRPr="006D55CC">
        <w:rPr>
          <w:lang w:val="fr-FR"/>
        </w:rPr>
        <w:t> </w:t>
      </w:r>
      <w:r w:rsidR="008E268D" w:rsidRPr="006D55CC">
        <w:rPr>
          <w:lang w:val="fr-FR"/>
        </w:rPr>
        <w:t xml:space="preserve">1991 de la </w:t>
      </w:r>
      <w:r w:rsidR="00131117" w:rsidRPr="006D55CC">
        <w:rPr>
          <w:lang w:val="fr-FR"/>
        </w:rPr>
        <w:t>Convention UPOV</w:t>
      </w:r>
      <w:r w:rsidR="008E268D" w:rsidRPr="006D55CC">
        <w:rPr>
          <w:lang w:val="fr-FR"/>
        </w:rPr>
        <w:t xml:space="preserve"> (révision)</w:t>
      </w:r>
      <w:r w:rsidR="008973BD" w:rsidRPr="006D55CC">
        <w:rPr>
          <w:lang w:val="fr-FR"/>
        </w:rPr>
        <w:t>”</w:t>
      </w:r>
      <w:r w:rsidR="00716622" w:rsidRPr="006D55CC">
        <w:rPr>
          <w:lang w:val="fr-FR"/>
        </w:rPr>
        <w:t>,</w:t>
      </w:r>
      <w:r w:rsidRPr="006D55CC">
        <w:rPr>
          <w:lang w:val="fr-FR"/>
        </w:rPr>
        <w:t xml:space="preserve"> </w:t>
      </w:r>
      <w:r w:rsidR="002D5181" w:rsidRPr="006D55CC">
        <w:rPr>
          <w:lang w:val="fr-FR"/>
        </w:rPr>
        <w:t xml:space="preserve">sur la base des discussions </w:t>
      </w:r>
      <w:r w:rsidR="00DE1A95" w:rsidRPr="006D55CC">
        <w:rPr>
          <w:lang w:val="fr-FR"/>
        </w:rPr>
        <w:t>qui se tiendront</w:t>
      </w:r>
      <w:r w:rsidR="002D5181" w:rsidRPr="006D55CC">
        <w:rPr>
          <w:lang w:val="fr-FR"/>
        </w:rPr>
        <w:t xml:space="preserve"> à sa </w:t>
      </w:r>
      <w:r w:rsidR="005E6B02" w:rsidRPr="006D55CC">
        <w:rPr>
          <w:lang w:val="fr-FR"/>
        </w:rPr>
        <w:t>soixante</w:t>
      </w:r>
      <w:r w:rsidR="005275ED" w:rsidRPr="006D55CC">
        <w:rPr>
          <w:lang w:val="fr-FR"/>
        </w:rPr>
        <w:noBreakHyphen/>
      </w:r>
      <w:r w:rsidR="005E6B02" w:rsidRPr="006D55CC">
        <w:rPr>
          <w:lang w:val="fr-FR"/>
        </w:rPr>
        <w:t>douzième</w:t>
      </w:r>
      <w:r w:rsidR="008902E8" w:rsidRPr="006D55CC">
        <w:rPr>
          <w:lang w:val="fr-FR"/>
        </w:rPr>
        <w:t> </w:t>
      </w:r>
      <w:r w:rsidR="005E6B02" w:rsidRPr="006D55CC">
        <w:rPr>
          <w:lang w:val="fr-FR"/>
        </w:rPr>
        <w:t>session</w:t>
      </w:r>
      <w:r w:rsidR="00866CDE" w:rsidRPr="006D55CC">
        <w:rPr>
          <w:lang w:val="fr-FR"/>
        </w:rPr>
        <w:t>.</w:t>
      </w:r>
    </w:p>
    <w:p w:rsidR="00397968" w:rsidRPr="006D55CC" w:rsidRDefault="00397968" w:rsidP="00892799">
      <w:pPr>
        <w:rPr>
          <w:lang w:val="fr-FR"/>
        </w:rPr>
      </w:pPr>
    </w:p>
    <w:p w:rsidR="0070366F" w:rsidRPr="006D55CC" w:rsidRDefault="0070366F" w:rsidP="00892799">
      <w:pPr>
        <w:rPr>
          <w:lang w:val="fr-FR"/>
        </w:rPr>
      </w:pPr>
    </w:p>
    <w:p w:rsidR="00866CDE" w:rsidRPr="006D55CC" w:rsidRDefault="006E7AA6" w:rsidP="00565D72">
      <w:pPr>
        <w:pStyle w:val="Heading2"/>
        <w:rPr>
          <w:lang w:val="fr-FR"/>
        </w:rPr>
      </w:pPr>
      <w:bookmarkStart w:id="16" w:name="_Toc431218591"/>
      <w:r w:rsidRPr="006D55CC">
        <w:rPr>
          <w:lang w:val="fr-FR"/>
        </w:rPr>
        <w:t xml:space="preserve">Notes explicatives concernant les dénominations variétales en vertu de la </w:t>
      </w:r>
      <w:r w:rsidR="00131117" w:rsidRPr="006D55CC">
        <w:rPr>
          <w:lang w:val="fr-FR"/>
        </w:rPr>
        <w:t>Convention UPOV</w:t>
      </w:r>
      <w:r w:rsidRPr="006D55CC">
        <w:rPr>
          <w:lang w:val="fr-FR"/>
        </w:rPr>
        <w:t xml:space="preserve"> (révision)</w:t>
      </w:r>
      <w:bookmarkEnd w:id="16"/>
    </w:p>
    <w:p w:rsidR="00866CDE" w:rsidRPr="006D55CC" w:rsidRDefault="00866CDE" w:rsidP="00892799">
      <w:pPr>
        <w:keepNext/>
        <w:rPr>
          <w:lang w:val="fr-FR"/>
        </w:rPr>
      </w:pPr>
    </w:p>
    <w:p w:rsidR="00397968" w:rsidRPr="006D55CC" w:rsidRDefault="00866CDE"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296CC4" w:rsidRPr="006D55CC">
        <w:rPr>
          <w:lang w:val="fr-FR"/>
        </w:rPr>
        <w:t xml:space="preserve">Le CAJ est invité à examiner </w:t>
      </w:r>
      <w:r w:rsidR="006F5AA1" w:rsidRPr="006D55CC">
        <w:rPr>
          <w:lang w:val="fr-FR"/>
        </w:rPr>
        <w:t>les prochaines étapes de l</w:t>
      </w:r>
      <w:r w:rsidR="00131117" w:rsidRPr="006D55CC">
        <w:rPr>
          <w:lang w:val="fr-FR"/>
        </w:rPr>
        <w:t>’</w:t>
      </w:r>
      <w:r w:rsidR="006F5AA1" w:rsidRPr="006D55CC">
        <w:rPr>
          <w:lang w:val="fr-FR"/>
        </w:rPr>
        <w:t xml:space="preserve">élaboration de </w:t>
      </w:r>
      <w:r w:rsidR="008973BD" w:rsidRPr="006D55CC">
        <w:rPr>
          <w:lang w:val="fr-FR"/>
        </w:rPr>
        <w:t>“</w:t>
      </w:r>
      <w:r w:rsidR="0076755D" w:rsidRPr="006D55CC">
        <w:rPr>
          <w:lang w:val="fr-FR"/>
        </w:rPr>
        <w:t xml:space="preserve">Notes explicatives concernant les dénominations variétales en vertu de la </w:t>
      </w:r>
      <w:r w:rsidR="00131117" w:rsidRPr="006D55CC">
        <w:rPr>
          <w:lang w:val="fr-FR"/>
        </w:rPr>
        <w:t>Convention UPOV</w:t>
      </w:r>
      <w:r w:rsidR="0076755D" w:rsidRPr="006D55CC">
        <w:rPr>
          <w:lang w:val="fr-FR"/>
        </w:rPr>
        <w:t xml:space="preserve"> (révision</w:t>
      </w:r>
      <w:r w:rsidR="008973BD" w:rsidRPr="006D55CC">
        <w:rPr>
          <w:lang w:val="fr-FR"/>
        </w:rPr>
        <w:t>)”</w:t>
      </w:r>
      <w:r w:rsidRPr="006D55CC">
        <w:rPr>
          <w:lang w:val="fr-FR"/>
        </w:rPr>
        <w:t xml:space="preserve">, </w:t>
      </w:r>
      <w:r w:rsidR="00296CC4" w:rsidRPr="006D55CC">
        <w:rPr>
          <w:lang w:val="fr-FR"/>
        </w:rPr>
        <w:t xml:space="preserve">sur la base des discussions </w:t>
      </w:r>
      <w:r w:rsidR="00DE1A95" w:rsidRPr="006D55CC">
        <w:rPr>
          <w:lang w:val="fr-FR"/>
        </w:rPr>
        <w:t xml:space="preserve">qui se tiendront </w:t>
      </w:r>
      <w:r w:rsidR="00296CC4" w:rsidRPr="006D55CC">
        <w:rPr>
          <w:lang w:val="fr-FR"/>
        </w:rPr>
        <w:t xml:space="preserve">à sa </w:t>
      </w:r>
      <w:r w:rsidR="00C20E3F" w:rsidRPr="006D55CC">
        <w:rPr>
          <w:lang w:val="fr-FR"/>
        </w:rPr>
        <w:t>soixante</w:t>
      </w:r>
      <w:r w:rsidR="005275ED" w:rsidRPr="006D55CC">
        <w:rPr>
          <w:lang w:val="fr-FR"/>
        </w:rPr>
        <w:noBreakHyphen/>
      </w:r>
      <w:r w:rsidR="00C20E3F" w:rsidRPr="006D55CC">
        <w:rPr>
          <w:lang w:val="fr-FR"/>
        </w:rPr>
        <w:t>douzième</w:t>
      </w:r>
      <w:r w:rsidR="008902E8" w:rsidRPr="006D55CC">
        <w:rPr>
          <w:lang w:val="fr-FR"/>
        </w:rPr>
        <w:t> </w:t>
      </w:r>
      <w:r w:rsidR="00C20E3F" w:rsidRPr="006D55CC">
        <w:rPr>
          <w:lang w:val="fr-FR"/>
        </w:rPr>
        <w:t>session</w:t>
      </w:r>
      <w:r w:rsidRPr="006D55CC">
        <w:rPr>
          <w:lang w:val="fr-FR"/>
        </w:rPr>
        <w:t>.</w:t>
      </w:r>
    </w:p>
    <w:p w:rsidR="0070366F" w:rsidRPr="006D55CC" w:rsidRDefault="0070366F" w:rsidP="00892799">
      <w:pPr>
        <w:rPr>
          <w:lang w:val="fr-FR"/>
        </w:rPr>
      </w:pPr>
    </w:p>
    <w:p w:rsidR="0070366F" w:rsidRPr="006D55CC" w:rsidRDefault="0070366F" w:rsidP="00892799">
      <w:pPr>
        <w:rPr>
          <w:lang w:val="fr-FR"/>
        </w:rPr>
      </w:pPr>
    </w:p>
    <w:p w:rsidR="00131117" w:rsidRPr="006D55CC" w:rsidRDefault="0091495D" w:rsidP="00565D72">
      <w:pPr>
        <w:pStyle w:val="Heading2"/>
        <w:rPr>
          <w:lang w:val="fr-FR"/>
        </w:rPr>
      </w:pPr>
      <w:bookmarkStart w:id="17" w:name="_Toc431218592"/>
      <w:r w:rsidRPr="006D55CC">
        <w:rPr>
          <w:lang w:val="fr-FR"/>
        </w:rPr>
        <w:t xml:space="preserve">Notes explicatives sur le matériel de reproduction ou de multiplication selon la </w:t>
      </w:r>
      <w:r w:rsidR="00131117" w:rsidRPr="006D55CC">
        <w:rPr>
          <w:lang w:val="fr-FR"/>
        </w:rPr>
        <w:t>Convention UPOV</w:t>
      </w:r>
      <w:bookmarkEnd w:id="17"/>
    </w:p>
    <w:p w:rsidR="00397968" w:rsidRPr="006D55CC" w:rsidRDefault="00397968" w:rsidP="00892799">
      <w:pPr>
        <w:keepNext/>
        <w:rPr>
          <w:lang w:val="fr-FR"/>
        </w:rPr>
      </w:pPr>
    </w:p>
    <w:p w:rsidR="00866CDE" w:rsidRPr="006D55CC" w:rsidRDefault="00866CDE"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4F27DB" w:rsidRPr="006D55CC">
        <w:rPr>
          <w:lang w:val="fr-FR"/>
        </w:rPr>
        <w:t>Le CAJ est invité à examiner les prochaines étapes de l</w:t>
      </w:r>
      <w:r w:rsidR="00131117" w:rsidRPr="006D55CC">
        <w:rPr>
          <w:lang w:val="fr-FR"/>
        </w:rPr>
        <w:t>’</w:t>
      </w:r>
      <w:r w:rsidR="004F27DB" w:rsidRPr="006D55CC">
        <w:rPr>
          <w:lang w:val="fr-FR"/>
        </w:rPr>
        <w:t>élaboration de</w:t>
      </w:r>
      <w:r w:rsidRPr="006D55CC">
        <w:rPr>
          <w:lang w:val="fr-FR"/>
        </w:rPr>
        <w:t xml:space="preserve"> </w:t>
      </w:r>
      <w:r w:rsidR="008973BD" w:rsidRPr="006D55CC">
        <w:rPr>
          <w:lang w:val="fr-FR"/>
        </w:rPr>
        <w:t>“</w:t>
      </w:r>
      <w:r w:rsidR="004F27DB" w:rsidRPr="006D55CC">
        <w:rPr>
          <w:lang w:val="fr-FR"/>
        </w:rPr>
        <w:t xml:space="preserve">Notes explicatives sur le matériel de reproduction ou de multiplication selon la </w:t>
      </w:r>
      <w:r w:rsidR="00131117" w:rsidRPr="006D55CC">
        <w:rPr>
          <w:lang w:val="fr-FR"/>
        </w:rPr>
        <w:t>Convention UPOV</w:t>
      </w:r>
      <w:r w:rsidR="008973BD" w:rsidRPr="006D55CC">
        <w:rPr>
          <w:lang w:val="fr-FR"/>
        </w:rPr>
        <w:t>”</w:t>
      </w:r>
      <w:r w:rsidRPr="006D55CC">
        <w:rPr>
          <w:lang w:val="fr-FR"/>
        </w:rPr>
        <w:t xml:space="preserve">, </w:t>
      </w:r>
      <w:r w:rsidR="004F27DB" w:rsidRPr="006D55CC">
        <w:rPr>
          <w:lang w:val="fr-FR"/>
        </w:rPr>
        <w:t xml:space="preserve">sur la base des discussions </w:t>
      </w:r>
      <w:r w:rsidR="00DE1A95" w:rsidRPr="006D55CC">
        <w:rPr>
          <w:lang w:val="fr-FR"/>
        </w:rPr>
        <w:t>qui se tiendront</w:t>
      </w:r>
      <w:r w:rsidR="004F27DB" w:rsidRPr="006D55CC">
        <w:rPr>
          <w:lang w:val="fr-FR"/>
        </w:rPr>
        <w:t xml:space="preserve"> à sa </w:t>
      </w:r>
      <w:r w:rsidR="00C20E3F" w:rsidRPr="006D55CC">
        <w:rPr>
          <w:lang w:val="fr-FR"/>
        </w:rPr>
        <w:t>soixante</w:t>
      </w:r>
      <w:r w:rsidR="005275ED" w:rsidRPr="006D55CC">
        <w:rPr>
          <w:lang w:val="fr-FR"/>
        </w:rPr>
        <w:noBreakHyphen/>
      </w:r>
      <w:r w:rsidR="00C20E3F" w:rsidRPr="006D55CC">
        <w:rPr>
          <w:lang w:val="fr-FR"/>
        </w:rPr>
        <w:t>douzième</w:t>
      </w:r>
      <w:r w:rsidR="008902E8" w:rsidRPr="006D55CC">
        <w:rPr>
          <w:lang w:val="fr-FR"/>
        </w:rPr>
        <w:t> </w:t>
      </w:r>
      <w:r w:rsidR="00C20E3F" w:rsidRPr="006D55CC">
        <w:rPr>
          <w:lang w:val="fr-FR"/>
        </w:rPr>
        <w:t>session</w:t>
      </w:r>
      <w:r w:rsidRPr="006D55CC">
        <w:rPr>
          <w:lang w:val="fr-FR"/>
        </w:rPr>
        <w:t>.</w:t>
      </w:r>
    </w:p>
    <w:p w:rsidR="00866CDE" w:rsidRPr="006D55CC" w:rsidRDefault="00866CDE" w:rsidP="00892799">
      <w:pPr>
        <w:rPr>
          <w:lang w:val="fr-FR"/>
        </w:rPr>
      </w:pPr>
    </w:p>
    <w:p w:rsidR="00F718BE" w:rsidRPr="006D55CC" w:rsidRDefault="00F718BE" w:rsidP="00892799">
      <w:pPr>
        <w:rPr>
          <w:lang w:val="fr-FR"/>
        </w:rPr>
      </w:pPr>
    </w:p>
    <w:p w:rsidR="00F718BE" w:rsidRPr="006D55CC" w:rsidRDefault="00C5007A" w:rsidP="00565D72">
      <w:pPr>
        <w:pStyle w:val="Heading2"/>
        <w:rPr>
          <w:lang w:val="fr-FR"/>
        </w:rPr>
      </w:pPr>
      <w:bookmarkStart w:id="18" w:name="_Toc431218593"/>
      <w:r w:rsidRPr="006D55CC">
        <w:rPr>
          <w:lang w:val="fr-FR"/>
        </w:rPr>
        <w:t>Bulletin type de l</w:t>
      </w:r>
      <w:r w:rsidR="00131117" w:rsidRPr="006D55CC">
        <w:rPr>
          <w:lang w:val="fr-FR"/>
        </w:rPr>
        <w:t>’</w:t>
      </w:r>
      <w:r w:rsidRPr="006D55CC">
        <w:rPr>
          <w:lang w:val="fr-FR"/>
        </w:rPr>
        <w:t xml:space="preserve">UPOV de la protection des obtentions végétales </w:t>
      </w:r>
      <w:r w:rsidR="00F718BE" w:rsidRPr="006D55CC">
        <w:rPr>
          <w:lang w:val="fr-FR"/>
        </w:rPr>
        <w:t>(</w:t>
      </w:r>
      <w:r w:rsidRPr="006D55CC">
        <w:rPr>
          <w:lang w:val="fr-FR"/>
        </w:rPr>
        <w:t>ré</w:t>
      </w:r>
      <w:r w:rsidR="00F718BE" w:rsidRPr="006D55CC">
        <w:rPr>
          <w:lang w:val="fr-FR"/>
        </w:rPr>
        <w:t>vision)</w:t>
      </w:r>
      <w:bookmarkEnd w:id="18"/>
    </w:p>
    <w:p w:rsidR="00F718BE" w:rsidRPr="006D55CC" w:rsidRDefault="00F718BE" w:rsidP="00892799">
      <w:pPr>
        <w:rPr>
          <w:lang w:val="fr-FR"/>
        </w:rPr>
      </w:pPr>
    </w:p>
    <w:p w:rsidR="00131117" w:rsidRPr="006D55CC" w:rsidRDefault="000844D5"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9E0BA5" w:rsidRPr="006D55CC">
        <w:rPr>
          <w:lang w:val="fr-FR"/>
        </w:rPr>
        <w:t>Le CAJ, à sa soixante</w:t>
      </w:r>
      <w:r w:rsidR="008902E8" w:rsidRPr="006D55CC">
        <w:rPr>
          <w:lang w:val="fr-FR"/>
        </w:rPr>
        <w:t> </w:t>
      </w:r>
      <w:r w:rsidR="009E0BA5" w:rsidRPr="006D55CC">
        <w:rPr>
          <w:lang w:val="fr-FR"/>
        </w:rPr>
        <w:t>et</w:t>
      </w:r>
      <w:r w:rsidR="008902E8" w:rsidRPr="006D55CC">
        <w:rPr>
          <w:lang w:val="fr-FR"/>
        </w:rPr>
        <w:t> </w:t>
      </w:r>
      <w:r w:rsidR="009E0BA5" w:rsidRPr="006D55CC">
        <w:rPr>
          <w:lang w:val="fr-FR"/>
        </w:rPr>
        <w:t>onzième</w:t>
      </w:r>
      <w:r w:rsidR="008902E8" w:rsidRPr="006D55CC">
        <w:rPr>
          <w:lang w:val="fr-FR"/>
        </w:rPr>
        <w:t> </w:t>
      </w:r>
      <w:r w:rsidR="009E0BA5" w:rsidRPr="006D55CC">
        <w:rPr>
          <w:lang w:val="fr-FR"/>
        </w:rPr>
        <w:t>session</w:t>
      </w:r>
      <w:r w:rsidR="0028743B" w:rsidRPr="006D55CC">
        <w:rPr>
          <w:lang w:val="fr-FR"/>
        </w:rPr>
        <w:t xml:space="preserve">, </w:t>
      </w:r>
      <w:r w:rsidR="009E0BA5" w:rsidRPr="006D55CC">
        <w:rPr>
          <w:lang w:val="fr-FR"/>
        </w:rPr>
        <w:t>est convenu de reporter l</w:t>
      </w:r>
      <w:r w:rsidR="00131117" w:rsidRPr="006D55CC">
        <w:rPr>
          <w:lang w:val="fr-FR"/>
        </w:rPr>
        <w:t>’</w:t>
      </w:r>
      <w:r w:rsidR="009E0BA5" w:rsidRPr="006D55CC">
        <w:rPr>
          <w:lang w:val="fr-FR"/>
        </w:rPr>
        <w:t>é</w:t>
      </w:r>
      <w:r w:rsidR="00314587" w:rsidRPr="006D55CC">
        <w:rPr>
          <w:lang w:val="fr-FR"/>
        </w:rPr>
        <w:t>laboration</w:t>
      </w:r>
      <w:r w:rsidR="009E0BA5" w:rsidRPr="006D55CC">
        <w:rPr>
          <w:lang w:val="fr-FR"/>
        </w:rPr>
        <w:t xml:space="preserve"> d</w:t>
      </w:r>
      <w:r w:rsidR="00131117" w:rsidRPr="006D55CC">
        <w:rPr>
          <w:lang w:val="fr-FR"/>
        </w:rPr>
        <w:t>’</w:t>
      </w:r>
      <w:r w:rsidR="009A167C" w:rsidRPr="006D55CC">
        <w:rPr>
          <w:lang w:val="fr-FR"/>
        </w:rPr>
        <w:t>un projet de révision du document UPOV/INF/5 “Bulletin type de l</w:t>
      </w:r>
      <w:r w:rsidR="00131117" w:rsidRPr="006D55CC">
        <w:rPr>
          <w:lang w:val="fr-FR"/>
        </w:rPr>
        <w:t>’</w:t>
      </w:r>
      <w:r w:rsidR="009A167C" w:rsidRPr="006D55CC">
        <w:rPr>
          <w:lang w:val="fr-FR"/>
        </w:rPr>
        <w:t>UPOV de la protection des obtentions végétales” (document UPOV/INF/5/1 Draft 1</w:t>
      </w:r>
      <w:r w:rsidR="0028743B" w:rsidRPr="006D55CC">
        <w:rPr>
          <w:lang w:val="fr-FR"/>
        </w:rPr>
        <w:t xml:space="preserve">), </w:t>
      </w:r>
      <w:r w:rsidR="00314587" w:rsidRPr="006D55CC">
        <w:rPr>
          <w:lang w:val="fr-FR"/>
        </w:rPr>
        <w:t>en attendant l</w:t>
      </w:r>
      <w:r w:rsidR="00131117" w:rsidRPr="006D55CC">
        <w:rPr>
          <w:lang w:val="fr-FR"/>
        </w:rPr>
        <w:t>’</w:t>
      </w:r>
      <w:r w:rsidR="00314587" w:rsidRPr="006D55CC">
        <w:rPr>
          <w:lang w:val="fr-FR"/>
        </w:rPr>
        <w:t>avancement des travaux concernant l</w:t>
      </w:r>
      <w:r w:rsidR="00131117" w:rsidRPr="006D55CC">
        <w:rPr>
          <w:lang w:val="fr-FR"/>
        </w:rPr>
        <w:t>’</w:t>
      </w:r>
      <w:r w:rsidR="00314587" w:rsidRPr="006D55CC">
        <w:rPr>
          <w:lang w:val="fr-FR"/>
        </w:rPr>
        <w:t>élaboration d</w:t>
      </w:r>
      <w:r w:rsidR="00131117" w:rsidRPr="006D55CC">
        <w:rPr>
          <w:lang w:val="fr-FR"/>
        </w:rPr>
        <w:t>’</w:t>
      </w:r>
      <w:r w:rsidR="00314587" w:rsidRPr="006D55CC">
        <w:rPr>
          <w:lang w:val="fr-FR"/>
        </w:rPr>
        <w:t>un prototype de formulaire électronique</w:t>
      </w:r>
      <w:r w:rsidR="00146A37" w:rsidRPr="006D55CC">
        <w:rPr>
          <w:lang w:val="fr-FR"/>
        </w:rPr>
        <w:t xml:space="preserve"> (</w:t>
      </w:r>
      <w:r w:rsidR="00314587" w:rsidRPr="006D55CC">
        <w:rPr>
          <w:lang w:val="fr-FR"/>
        </w:rPr>
        <w:t xml:space="preserve">voir </w:t>
      </w:r>
      <w:r w:rsidR="00146A37" w:rsidRPr="006D55CC">
        <w:rPr>
          <w:lang w:val="fr-FR"/>
        </w:rPr>
        <w:t>document CAJ/71/4)</w:t>
      </w:r>
      <w:r w:rsidR="007709BE" w:rsidRPr="006D55CC">
        <w:rPr>
          <w:rStyle w:val="FootnoteReference"/>
          <w:lang w:val="fr-FR"/>
        </w:rPr>
        <w:footnoteReference w:id="16"/>
      </w:r>
      <w:r w:rsidR="00314587" w:rsidRPr="006D55CC">
        <w:rPr>
          <w:lang w:val="fr-FR"/>
        </w:rPr>
        <w:t>.</w:t>
      </w:r>
    </w:p>
    <w:p w:rsidR="00953DEE" w:rsidRPr="006D55CC" w:rsidRDefault="00953DEE" w:rsidP="00892799">
      <w:pPr>
        <w:rPr>
          <w:highlight w:val="yellow"/>
          <w:lang w:val="fr-FR"/>
        </w:rPr>
      </w:pPr>
    </w:p>
    <w:p w:rsidR="00F718BE" w:rsidRPr="006D55CC" w:rsidRDefault="00F718BE" w:rsidP="00892799">
      <w:pPr>
        <w:rPr>
          <w:highlight w:val="yellow"/>
          <w:lang w:val="fr-FR"/>
        </w:rPr>
      </w:pPr>
    </w:p>
    <w:p w:rsidR="00F718BE" w:rsidRPr="006D55CC" w:rsidRDefault="00955D81" w:rsidP="00565D72">
      <w:pPr>
        <w:pStyle w:val="Heading2"/>
        <w:rPr>
          <w:lang w:val="fr-FR"/>
        </w:rPr>
      </w:pPr>
      <w:bookmarkStart w:id="19" w:name="_Toc431218594"/>
      <w:r w:rsidRPr="006D55CC">
        <w:rPr>
          <w:lang w:val="fr-FR"/>
        </w:rPr>
        <w:t>Descriptions variétales et le rôle du matériel végéta</w:t>
      </w:r>
      <w:r w:rsidR="00F718BE" w:rsidRPr="006D55CC">
        <w:rPr>
          <w:lang w:val="fr-FR"/>
        </w:rPr>
        <w:t>l</w:t>
      </w:r>
      <w:bookmarkEnd w:id="19"/>
    </w:p>
    <w:p w:rsidR="00F718BE" w:rsidRPr="006D55CC" w:rsidRDefault="00F718BE" w:rsidP="00892799">
      <w:pPr>
        <w:keepNext/>
        <w:rPr>
          <w:highlight w:val="yellow"/>
          <w:lang w:val="fr-FR"/>
        </w:rPr>
      </w:pPr>
    </w:p>
    <w:p w:rsidR="00716622" w:rsidRPr="006D55CC" w:rsidRDefault="0070366F"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8105B4" w:rsidRPr="006D55CC">
        <w:rPr>
          <w:lang w:val="fr-FR"/>
        </w:rPr>
        <w:t>Le CAJ, à sa soixante</w:t>
      </w:r>
      <w:r w:rsidR="008902E8" w:rsidRPr="006D55CC">
        <w:rPr>
          <w:lang w:val="fr-FR"/>
        </w:rPr>
        <w:t> </w:t>
      </w:r>
      <w:r w:rsidR="008105B4" w:rsidRPr="006D55CC">
        <w:rPr>
          <w:lang w:val="fr-FR"/>
        </w:rPr>
        <w:t>et</w:t>
      </w:r>
      <w:r w:rsidR="008902E8" w:rsidRPr="006D55CC">
        <w:rPr>
          <w:lang w:val="fr-FR"/>
        </w:rPr>
        <w:t> </w:t>
      </w:r>
      <w:r w:rsidR="008105B4" w:rsidRPr="006D55CC">
        <w:rPr>
          <w:lang w:val="fr-FR"/>
        </w:rPr>
        <w:t>onzième</w:t>
      </w:r>
      <w:r w:rsidR="008902E8" w:rsidRPr="006D55CC">
        <w:rPr>
          <w:lang w:val="fr-FR"/>
        </w:rPr>
        <w:t> </w:t>
      </w:r>
      <w:r w:rsidR="008105B4" w:rsidRPr="006D55CC">
        <w:rPr>
          <w:lang w:val="fr-FR"/>
        </w:rPr>
        <w:t>session</w:t>
      </w:r>
      <w:r w:rsidR="00716622" w:rsidRPr="006D55CC">
        <w:rPr>
          <w:lang w:val="fr-FR"/>
        </w:rPr>
        <w:t xml:space="preserve">, </w:t>
      </w:r>
      <w:r w:rsidR="004B4A91" w:rsidRPr="006D55CC">
        <w:rPr>
          <w:lang w:val="fr-FR"/>
        </w:rPr>
        <w:t>a noté que le</w:t>
      </w:r>
      <w:r w:rsidR="00131117" w:rsidRPr="006D55CC">
        <w:rPr>
          <w:lang w:val="fr-FR"/>
        </w:rPr>
        <w:t> TC</w:t>
      </w:r>
      <w:r w:rsidR="004B4A91" w:rsidRPr="006D55CC">
        <w:rPr>
          <w:lang w:val="fr-FR"/>
        </w:rPr>
        <w:t xml:space="preserve"> était convenu d</w:t>
      </w:r>
      <w:r w:rsidR="00131117" w:rsidRPr="006D55CC">
        <w:rPr>
          <w:lang w:val="fr-FR"/>
        </w:rPr>
        <w:t>’</w:t>
      </w:r>
      <w:r w:rsidR="004B4A91" w:rsidRPr="006D55CC">
        <w:rPr>
          <w:lang w:val="fr-FR"/>
        </w:rPr>
        <w:t>inscrire à l</w:t>
      </w:r>
      <w:r w:rsidR="00131117" w:rsidRPr="006D55CC">
        <w:rPr>
          <w:lang w:val="fr-FR"/>
        </w:rPr>
        <w:t>’</w:t>
      </w:r>
      <w:r w:rsidR="004B4A91" w:rsidRPr="006D55CC">
        <w:rPr>
          <w:lang w:val="fr-FR"/>
        </w:rPr>
        <w:t>ordre du jour de sa cinquante</w:t>
      </w:r>
      <w:r w:rsidR="005275ED" w:rsidRPr="006D55CC">
        <w:rPr>
          <w:lang w:val="fr-FR"/>
        </w:rPr>
        <w:noBreakHyphen/>
      </w:r>
      <w:r w:rsidR="004B4A91" w:rsidRPr="006D55CC">
        <w:rPr>
          <w:lang w:val="fr-FR"/>
        </w:rPr>
        <w:t>deuxième</w:t>
      </w:r>
      <w:r w:rsidR="008902E8" w:rsidRPr="006D55CC">
        <w:rPr>
          <w:lang w:val="fr-FR"/>
        </w:rPr>
        <w:t> </w:t>
      </w:r>
      <w:r w:rsidR="004B4A91" w:rsidRPr="006D55CC">
        <w:rPr>
          <w:lang w:val="fr-FR"/>
        </w:rPr>
        <w:t>session, prévue à Genève en</w:t>
      </w:r>
      <w:r w:rsidR="008902E8" w:rsidRPr="006D55CC">
        <w:rPr>
          <w:lang w:val="fr-FR"/>
        </w:rPr>
        <w:t> </w:t>
      </w:r>
      <w:r w:rsidR="004B4A91" w:rsidRPr="006D55CC">
        <w:rPr>
          <w:lang w:val="fr-FR"/>
        </w:rPr>
        <w:t>2016, un débat sur les descriptions variétales et le rôle du matériel végétal, notamment le nombre minimal de cycles de végétation pour l</w:t>
      </w:r>
      <w:r w:rsidR="00131117" w:rsidRPr="006D55CC">
        <w:rPr>
          <w:lang w:val="fr-FR"/>
        </w:rPr>
        <w:t>’</w:t>
      </w:r>
      <w:r w:rsidR="004B4A91" w:rsidRPr="006D55CC">
        <w:rPr>
          <w:lang w:val="fr-FR"/>
        </w:rPr>
        <w:t>examen</w:t>
      </w:r>
      <w:r w:rsidR="00DE1A95" w:rsidRPr="006D55CC">
        <w:rPr>
          <w:lang w:val="fr-FR"/>
        </w:rPr>
        <w:t xml:space="preserve"> DMS</w:t>
      </w:r>
      <w:r w:rsidR="007709BE" w:rsidRPr="006D55CC">
        <w:rPr>
          <w:rStyle w:val="FootnoteReference"/>
          <w:lang w:val="fr-FR"/>
        </w:rPr>
        <w:footnoteReference w:id="17"/>
      </w:r>
      <w:r w:rsidR="004B4A91" w:rsidRPr="006D55CC">
        <w:rPr>
          <w:lang w:val="fr-FR"/>
        </w:rPr>
        <w:t>.</w:t>
      </w:r>
      <w:r w:rsidR="00E822F0" w:rsidRPr="006D55CC">
        <w:rPr>
          <w:lang w:val="fr-FR"/>
        </w:rPr>
        <w:t xml:space="preserve"> </w:t>
      </w:r>
      <w:r w:rsidR="00146A37" w:rsidRPr="006D55CC">
        <w:rPr>
          <w:lang w:val="fr-FR"/>
        </w:rPr>
        <w:t xml:space="preserve"> </w:t>
      </w:r>
      <w:r w:rsidR="00E822F0" w:rsidRPr="006D55CC">
        <w:rPr>
          <w:lang w:val="fr-FR"/>
        </w:rPr>
        <w:t xml:space="preserve">Toute question concernant les descriptions variétales et le rôle du matériel végétal </w:t>
      </w:r>
      <w:r w:rsidR="002855B2" w:rsidRPr="006D55CC">
        <w:rPr>
          <w:lang w:val="fr-FR"/>
        </w:rPr>
        <w:t>aux fins d</w:t>
      </w:r>
      <w:r w:rsidR="00131117" w:rsidRPr="006D55CC">
        <w:rPr>
          <w:lang w:val="fr-FR"/>
        </w:rPr>
        <w:t>’</w:t>
      </w:r>
      <w:r w:rsidR="00E822F0" w:rsidRPr="006D55CC">
        <w:rPr>
          <w:lang w:val="fr-FR"/>
        </w:rPr>
        <w:t>examen par</w:t>
      </w:r>
      <w:r w:rsidR="00131117" w:rsidRPr="006D55CC">
        <w:rPr>
          <w:lang w:val="fr-FR"/>
        </w:rPr>
        <w:t xml:space="preserve"> le CAJ</w:t>
      </w:r>
      <w:r w:rsidR="00716622" w:rsidRPr="006D55CC">
        <w:rPr>
          <w:lang w:val="fr-FR"/>
        </w:rPr>
        <w:t xml:space="preserve"> </w:t>
      </w:r>
      <w:r w:rsidR="002855B2" w:rsidRPr="006D55CC">
        <w:rPr>
          <w:lang w:val="fr-FR"/>
        </w:rPr>
        <w:t xml:space="preserve">sera </w:t>
      </w:r>
      <w:r w:rsidR="00DE1A95" w:rsidRPr="006D55CC">
        <w:rPr>
          <w:lang w:val="fr-FR"/>
        </w:rPr>
        <w:t>signalée</w:t>
      </w:r>
      <w:r w:rsidR="00131117" w:rsidRPr="006D55CC">
        <w:rPr>
          <w:lang w:val="fr-FR"/>
        </w:rPr>
        <w:t xml:space="preserve"> au CAJ</w:t>
      </w:r>
      <w:r w:rsidR="002855B2" w:rsidRPr="006D55CC">
        <w:rPr>
          <w:lang w:val="fr-FR"/>
        </w:rPr>
        <w:t xml:space="preserve"> par le</w:t>
      </w:r>
      <w:r w:rsidR="00131117" w:rsidRPr="006D55CC">
        <w:rPr>
          <w:lang w:val="fr-FR"/>
        </w:rPr>
        <w:t> TC</w:t>
      </w:r>
      <w:r w:rsidR="00716622" w:rsidRPr="006D55CC">
        <w:rPr>
          <w:lang w:val="fr-FR"/>
        </w:rPr>
        <w:t>.</w:t>
      </w:r>
    </w:p>
    <w:p w:rsidR="00716622" w:rsidRPr="006D55CC" w:rsidRDefault="00716622" w:rsidP="00892799">
      <w:pPr>
        <w:rPr>
          <w:lang w:val="fr-FR"/>
        </w:rPr>
      </w:pPr>
    </w:p>
    <w:p w:rsidR="00131117" w:rsidRPr="006D55CC" w:rsidRDefault="00716622" w:rsidP="00892799">
      <w:pPr>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A61874" w:rsidRPr="006D55CC">
        <w:rPr>
          <w:lang w:val="fr-FR"/>
        </w:rPr>
        <w:t>Il est proposé d</w:t>
      </w:r>
      <w:r w:rsidR="00131117" w:rsidRPr="006D55CC">
        <w:rPr>
          <w:lang w:val="fr-FR"/>
        </w:rPr>
        <w:t>’</w:t>
      </w:r>
      <w:r w:rsidR="00A61874" w:rsidRPr="006D55CC">
        <w:rPr>
          <w:lang w:val="fr-FR"/>
        </w:rPr>
        <w:t>examiner le programme d</w:t>
      </w:r>
      <w:r w:rsidR="00131117" w:rsidRPr="006D55CC">
        <w:rPr>
          <w:lang w:val="fr-FR"/>
        </w:rPr>
        <w:t>’</w:t>
      </w:r>
      <w:r w:rsidR="00A61874" w:rsidRPr="006D55CC">
        <w:rPr>
          <w:lang w:val="fr-FR"/>
        </w:rPr>
        <w:t xml:space="preserve">élaboration </w:t>
      </w:r>
      <w:r w:rsidR="00E9365E" w:rsidRPr="006D55CC">
        <w:rPr>
          <w:lang w:val="fr-FR"/>
        </w:rPr>
        <w:t>de matériel d</w:t>
      </w:r>
      <w:r w:rsidR="00131117" w:rsidRPr="006D55CC">
        <w:rPr>
          <w:lang w:val="fr-FR"/>
        </w:rPr>
        <w:t>’</w:t>
      </w:r>
      <w:r w:rsidR="00E9365E" w:rsidRPr="006D55CC">
        <w:rPr>
          <w:lang w:val="fr-FR"/>
        </w:rPr>
        <w:t xml:space="preserve">information </w:t>
      </w:r>
      <w:r w:rsidR="0003584F" w:rsidRPr="006D55CC">
        <w:rPr>
          <w:lang w:val="fr-FR"/>
        </w:rPr>
        <w:t>parallèlement aux discussions sur le calendrier des sessions</w:t>
      </w:r>
      <w:r w:rsidR="00131117" w:rsidRPr="006D55CC">
        <w:rPr>
          <w:lang w:val="fr-FR"/>
        </w:rPr>
        <w:t xml:space="preserve"> du CAJ</w:t>
      </w:r>
      <w:r w:rsidR="0003584F" w:rsidRPr="006D55CC">
        <w:rPr>
          <w:lang w:val="fr-FR"/>
        </w:rPr>
        <w:t>, au titre du point de l</w:t>
      </w:r>
      <w:r w:rsidR="00131117" w:rsidRPr="006D55CC">
        <w:rPr>
          <w:lang w:val="fr-FR"/>
        </w:rPr>
        <w:t>’</w:t>
      </w:r>
      <w:r w:rsidR="0003584F" w:rsidRPr="006D55CC">
        <w:rPr>
          <w:lang w:val="fr-FR"/>
        </w:rPr>
        <w:t>ordre du jour “Programme de la soixante</w:t>
      </w:r>
      <w:r w:rsidR="005275ED" w:rsidRPr="006D55CC">
        <w:rPr>
          <w:lang w:val="fr-FR"/>
        </w:rPr>
        <w:noBreakHyphen/>
      </w:r>
      <w:r w:rsidR="0003584F" w:rsidRPr="006D55CC">
        <w:rPr>
          <w:lang w:val="fr-FR"/>
        </w:rPr>
        <w:t>treizième</w:t>
      </w:r>
      <w:r w:rsidR="008902E8" w:rsidRPr="006D55CC">
        <w:rPr>
          <w:lang w:val="fr-FR"/>
        </w:rPr>
        <w:t> </w:t>
      </w:r>
      <w:r w:rsidR="0003584F" w:rsidRPr="006D55CC">
        <w:rPr>
          <w:lang w:val="fr-FR"/>
        </w:rPr>
        <w:t>session”</w:t>
      </w:r>
      <w:r w:rsidRPr="006D55CC">
        <w:rPr>
          <w:lang w:val="fr-FR"/>
        </w:rPr>
        <w:t xml:space="preserve"> (</w:t>
      </w:r>
      <w:r w:rsidR="0003584F" w:rsidRPr="006D55CC">
        <w:rPr>
          <w:lang w:val="fr-FR"/>
        </w:rPr>
        <w:t xml:space="preserve">voir </w:t>
      </w:r>
      <w:r w:rsidRPr="006D55CC">
        <w:rPr>
          <w:lang w:val="fr-FR"/>
        </w:rPr>
        <w:t>document CAJ/72/8).</w:t>
      </w:r>
    </w:p>
    <w:p w:rsidR="00716622" w:rsidRPr="006D55CC" w:rsidRDefault="00716622" w:rsidP="00892799">
      <w:pPr>
        <w:rPr>
          <w:rFonts w:eastAsia="MS Mincho"/>
          <w:highlight w:val="yellow"/>
          <w:lang w:val="fr-FR"/>
        </w:rPr>
      </w:pPr>
    </w:p>
    <w:p w:rsidR="003870AE" w:rsidRPr="006D55CC" w:rsidRDefault="003870AE" w:rsidP="00892799">
      <w:pPr>
        <w:pStyle w:val="DecisionParagraphs"/>
        <w:rPr>
          <w:lang w:val="fr-FR"/>
        </w:rPr>
      </w:pPr>
      <w:r w:rsidRPr="006D55CC">
        <w:rPr>
          <w:lang w:val="fr-FR"/>
        </w:rPr>
        <w:fldChar w:fldCharType="begin"/>
      </w:r>
      <w:r w:rsidRPr="006D55CC">
        <w:rPr>
          <w:lang w:val="fr-FR"/>
        </w:rPr>
        <w:instrText xml:space="preserve"> AUTONUM  </w:instrText>
      </w:r>
      <w:r w:rsidRPr="006D55CC">
        <w:rPr>
          <w:lang w:val="fr-FR"/>
        </w:rPr>
        <w:fldChar w:fldCharType="end"/>
      </w:r>
      <w:r w:rsidRPr="006D55CC">
        <w:rPr>
          <w:lang w:val="fr-FR"/>
        </w:rPr>
        <w:tab/>
      </w:r>
      <w:r w:rsidR="003B44D9" w:rsidRPr="006D55CC">
        <w:rPr>
          <w:lang w:val="fr-FR"/>
        </w:rPr>
        <w:t xml:space="preserve">Le </w:t>
      </w:r>
      <w:r w:rsidRPr="006D55CC">
        <w:rPr>
          <w:lang w:val="fr-FR"/>
        </w:rPr>
        <w:t xml:space="preserve">CAJ </w:t>
      </w:r>
      <w:r w:rsidR="003B44D9" w:rsidRPr="006D55CC">
        <w:rPr>
          <w:lang w:val="fr-FR"/>
        </w:rPr>
        <w:t>est invité à examiner le programme d</w:t>
      </w:r>
      <w:r w:rsidR="00131117" w:rsidRPr="006D55CC">
        <w:rPr>
          <w:lang w:val="fr-FR"/>
        </w:rPr>
        <w:t>’</w:t>
      </w:r>
      <w:r w:rsidR="003B44D9" w:rsidRPr="006D55CC">
        <w:rPr>
          <w:lang w:val="fr-FR"/>
        </w:rPr>
        <w:t>élaboration de matériel d</w:t>
      </w:r>
      <w:r w:rsidR="00131117" w:rsidRPr="006D55CC">
        <w:rPr>
          <w:lang w:val="fr-FR"/>
        </w:rPr>
        <w:t>’</w:t>
      </w:r>
      <w:r w:rsidR="003B44D9" w:rsidRPr="006D55CC">
        <w:rPr>
          <w:lang w:val="fr-FR"/>
        </w:rPr>
        <w:t>information parallèlement aux discussions sur le calendrier des sessions</w:t>
      </w:r>
      <w:r w:rsidR="00131117" w:rsidRPr="006D55CC">
        <w:rPr>
          <w:lang w:val="fr-FR"/>
        </w:rPr>
        <w:t xml:space="preserve"> du CAJ</w:t>
      </w:r>
      <w:r w:rsidR="003B44D9" w:rsidRPr="006D55CC">
        <w:rPr>
          <w:lang w:val="fr-FR"/>
        </w:rPr>
        <w:t>, au titre du point de l</w:t>
      </w:r>
      <w:r w:rsidR="00131117" w:rsidRPr="006D55CC">
        <w:rPr>
          <w:lang w:val="fr-FR"/>
        </w:rPr>
        <w:t>’</w:t>
      </w:r>
      <w:r w:rsidR="003B44D9" w:rsidRPr="006D55CC">
        <w:rPr>
          <w:lang w:val="fr-FR"/>
        </w:rPr>
        <w:t>ordre du jour “Programme de la soixante</w:t>
      </w:r>
      <w:r w:rsidR="005275ED" w:rsidRPr="006D55CC">
        <w:rPr>
          <w:lang w:val="fr-FR"/>
        </w:rPr>
        <w:noBreakHyphen/>
      </w:r>
      <w:r w:rsidR="003B44D9" w:rsidRPr="006D55CC">
        <w:rPr>
          <w:lang w:val="fr-FR"/>
        </w:rPr>
        <w:t>treizième</w:t>
      </w:r>
      <w:r w:rsidR="008902E8" w:rsidRPr="006D55CC">
        <w:rPr>
          <w:lang w:val="fr-FR"/>
        </w:rPr>
        <w:t> </w:t>
      </w:r>
      <w:r w:rsidR="003B44D9" w:rsidRPr="006D55CC">
        <w:rPr>
          <w:lang w:val="fr-FR"/>
        </w:rPr>
        <w:t xml:space="preserve">session” </w:t>
      </w:r>
      <w:r w:rsidR="00716622" w:rsidRPr="006D55CC">
        <w:rPr>
          <w:lang w:val="fr-FR"/>
        </w:rPr>
        <w:t>(</w:t>
      </w:r>
      <w:r w:rsidR="003B44D9" w:rsidRPr="006D55CC">
        <w:rPr>
          <w:lang w:val="fr-FR"/>
        </w:rPr>
        <w:t>voir</w:t>
      </w:r>
      <w:r w:rsidR="00716622" w:rsidRPr="006D55CC">
        <w:rPr>
          <w:lang w:val="fr-FR"/>
        </w:rPr>
        <w:t xml:space="preserve"> document CAJ/72/8), </w:t>
      </w:r>
      <w:r w:rsidR="003B44D9" w:rsidRPr="006D55CC">
        <w:rPr>
          <w:lang w:val="fr-FR"/>
        </w:rPr>
        <w:t xml:space="preserve">comme indiqué aux </w:t>
      </w:r>
      <w:r w:rsidR="00716622" w:rsidRPr="006D55CC">
        <w:rPr>
          <w:lang w:val="fr-FR"/>
        </w:rPr>
        <w:t>paragraph</w:t>
      </w:r>
      <w:r w:rsidR="003B44D9" w:rsidRPr="006D55CC">
        <w:rPr>
          <w:lang w:val="fr-FR"/>
        </w:rPr>
        <w:t>e</w:t>
      </w:r>
      <w:r w:rsidR="00716622" w:rsidRPr="006D55CC">
        <w:rPr>
          <w:lang w:val="fr-FR"/>
        </w:rPr>
        <w:t>s</w:t>
      </w:r>
      <w:r w:rsidR="008902E8" w:rsidRPr="006D55CC">
        <w:rPr>
          <w:lang w:val="fr-FR"/>
        </w:rPr>
        <w:t> </w:t>
      </w:r>
      <w:r w:rsidR="00146A37" w:rsidRPr="00565D72">
        <w:rPr>
          <w:lang w:val="fr-FR"/>
        </w:rPr>
        <w:t xml:space="preserve">18 </w:t>
      </w:r>
      <w:r w:rsidR="003B44D9" w:rsidRPr="00565D72">
        <w:rPr>
          <w:lang w:val="fr-FR"/>
        </w:rPr>
        <w:t>à</w:t>
      </w:r>
      <w:r w:rsidR="0070366F" w:rsidRPr="00565D72">
        <w:rPr>
          <w:lang w:val="fr-FR"/>
        </w:rPr>
        <w:t xml:space="preserve"> 23</w:t>
      </w:r>
      <w:r w:rsidR="00716622" w:rsidRPr="00565D72">
        <w:rPr>
          <w:lang w:val="fr-FR"/>
        </w:rPr>
        <w:t>.</w:t>
      </w:r>
    </w:p>
    <w:p w:rsidR="003870AE" w:rsidRPr="006D55CC" w:rsidRDefault="003870AE" w:rsidP="00892799">
      <w:pPr>
        <w:rPr>
          <w:lang w:val="fr-FR"/>
        </w:rPr>
      </w:pPr>
    </w:p>
    <w:p w:rsidR="0070366F" w:rsidRPr="006D55CC" w:rsidRDefault="0070366F" w:rsidP="00892799">
      <w:pPr>
        <w:rPr>
          <w:lang w:val="fr-FR"/>
        </w:rPr>
      </w:pPr>
    </w:p>
    <w:p w:rsidR="003870AE" w:rsidRPr="006D55CC" w:rsidRDefault="003870AE" w:rsidP="00892799">
      <w:pPr>
        <w:rPr>
          <w:lang w:val="fr-FR"/>
        </w:rPr>
      </w:pPr>
    </w:p>
    <w:p w:rsidR="003870AE" w:rsidRPr="006D55CC" w:rsidRDefault="003870AE" w:rsidP="00892799">
      <w:pPr>
        <w:jc w:val="right"/>
        <w:rPr>
          <w:snapToGrid w:val="0"/>
          <w:lang w:val="fr-FR"/>
        </w:rPr>
      </w:pPr>
      <w:r w:rsidRPr="006D55CC">
        <w:rPr>
          <w:snapToGrid w:val="0"/>
          <w:lang w:val="fr-FR"/>
        </w:rPr>
        <w:t>[</w:t>
      </w:r>
      <w:r w:rsidR="006E7AA6" w:rsidRPr="006D55CC">
        <w:rPr>
          <w:snapToGrid w:val="0"/>
          <w:lang w:val="fr-FR"/>
        </w:rPr>
        <w:t>L</w:t>
      </w:r>
      <w:r w:rsidR="00131117" w:rsidRPr="006D55CC">
        <w:rPr>
          <w:snapToGrid w:val="0"/>
          <w:lang w:val="fr-FR"/>
        </w:rPr>
        <w:t>’</w:t>
      </w:r>
      <w:r w:rsidR="006E7AA6" w:rsidRPr="006D55CC">
        <w:rPr>
          <w:snapToGrid w:val="0"/>
          <w:lang w:val="fr-FR"/>
        </w:rPr>
        <w:t>annexe suit</w:t>
      </w:r>
      <w:r w:rsidRPr="006D55CC">
        <w:rPr>
          <w:snapToGrid w:val="0"/>
          <w:lang w:val="fr-FR"/>
        </w:rPr>
        <w:t>]</w:t>
      </w:r>
    </w:p>
    <w:p w:rsidR="003870AE" w:rsidRPr="006D55CC" w:rsidRDefault="003870AE" w:rsidP="00892799">
      <w:pPr>
        <w:jc w:val="left"/>
        <w:rPr>
          <w:lang w:val="fr-FR"/>
        </w:rPr>
        <w:sectPr w:rsidR="003870AE" w:rsidRPr="006D55CC" w:rsidSect="00077DCD">
          <w:headerReference w:type="default" r:id="rId10"/>
          <w:endnotePr>
            <w:numFmt w:val="lowerLetter"/>
          </w:endnotePr>
          <w:pgSz w:w="11907" w:h="16840" w:code="9"/>
          <w:pgMar w:top="510" w:right="1134" w:bottom="1134" w:left="1134" w:header="510" w:footer="624" w:gutter="0"/>
          <w:cols w:space="720"/>
          <w:titlePg/>
          <w:docGrid w:linePitch="272"/>
        </w:sectPr>
      </w:pPr>
    </w:p>
    <w:p w:rsidR="003870AE" w:rsidRPr="006D55CC" w:rsidRDefault="003870AE" w:rsidP="00892799">
      <w:pPr>
        <w:jc w:val="center"/>
        <w:rPr>
          <w:lang w:val="fr-FR"/>
        </w:rPr>
      </w:pPr>
      <w:r w:rsidRPr="006D55CC">
        <w:rPr>
          <w:lang w:val="fr-FR"/>
        </w:rPr>
        <w:lastRenderedPageBreak/>
        <w:t>CAJ/7</w:t>
      </w:r>
      <w:r w:rsidR="00001960" w:rsidRPr="006D55CC">
        <w:rPr>
          <w:lang w:val="fr-FR"/>
        </w:rPr>
        <w:t>2</w:t>
      </w:r>
      <w:r w:rsidRPr="006D55CC">
        <w:rPr>
          <w:lang w:val="fr-FR"/>
        </w:rPr>
        <w:t>/2</w:t>
      </w:r>
    </w:p>
    <w:p w:rsidR="003870AE" w:rsidRPr="006D55CC" w:rsidRDefault="003870AE" w:rsidP="00892799">
      <w:pPr>
        <w:jc w:val="center"/>
        <w:rPr>
          <w:lang w:val="fr-FR"/>
        </w:rPr>
      </w:pPr>
    </w:p>
    <w:p w:rsidR="005E36DB" w:rsidRPr="006D55CC" w:rsidRDefault="005E36DB" w:rsidP="00892799">
      <w:pPr>
        <w:jc w:val="center"/>
        <w:rPr>
          <w:lang w:val="fr-FR"/>
        </w:rPr>
      </w:pPr>
      <w:r w:rsidRPr="006D55CC">
        <w:rPr>
          <w:lang w:val="fr-FR"/>
        </w:rPr>
        <w:t>ANNEXE</w:t>
      </w:r>
    </w:p>
    <w:p w:rsidR="005E36DB" w:rsidRPr="006D55CC" w:rsidRDefault="005E36DB" w:rsidP="00892799">
      <w:pPr>
        <w:jc w:val="center"/>
        <w:rPr>
          <w:sz w:val="16"/>
          <w:szCs w:val="16"/>
          <w:lang w:val="fr-FR"/>
        </w:rPr>
      </w:pPr>
    </w:p>
    <w:p w:rsidR="005E36DB" w:rsidRPr="006D55CC" w:rsidRDefault="005E36DB" w:rsidP="00892799">
      <w:pPr>
        <w:jc w:val="center"/>
        <w:rPr>
          <w:sz w:val="16"/>
          <w:szCs w:val="16"/>
          <w:lang w:val="fr-FR"/>
        </w:rPr>
      </w:pPr>
    </w:p>
    <w:p w:rsidR="005E36DB" w:rsidRPr="006D55CC" w:rsidRDefault="005E36DB" w:rsidP="00892799">
      <w:pPr>
        <w:jc w:val="center"/>
        <w:rPr>
          <w:lang w:val="fr-FR"/>
        </w:rPr>
      </w:pPr>
      <w:r w:rsidRPr="006D55CC">
        <w:rPr>
          <w:lang w:val="fr-FR"/>
        </w:rPr>
        <w:t>PRÉSENTATION GÉNÉRALE DU MATÉRIEL D</w:t>
      </w:r>
      <w:r w:rsidR="00131117" w:rsidRPr="006D55CC">
        <w:rPr>
          <w:lang w:val="fr-FR"/>
        </w:rPr>
        <w:t>’</w:t>
      </w:r>
      <w:r w:rsidRPr="006D55CC">
        <w:rPr>
          <w:lang w:val="fr-FR"/>
        </w:rPr>
        <w:t>INFORMATION</w:t>
      </w:r>
    </w:p>
    <w:p w:rsidR="005E36DB" w:rsidRPr="006D55CC" w:rsidRDefault="005E36DB" w:rsidP="00892799">
      <w:pPr>
        <w:jc w:val="center"/>
        <w:rPr>
          <w:sz w:val="16"/>
          <w:szCs w:val="16"/>
          <w:lang w:val="fr-FR"/>
        </w:rPr>
      </w:pPr>
    </w:p>
    <w:p w:rsidR="005E36DB" w:rsidRPr="006D55CC" w:rsidRDefault="005E36DB" w:rsidP="00892799">
      <w:pPr>
        <w:jc w:val="center"/>
        <w:rPr>
          <w:sz w:val="16"/>
          <w:szCs w:val="16"/>
          <w:lang w:val="fr-FR"/>
        </w:rPr>
      </w:pPr>
    </w:p>
    <w:p w:rsidR="005E36DB" w:rsidRPr="006D55CC" w:rsidRDefault="005E36DB" w:rsidP="00892799">
      <w:pPr>
        <w:jc w:val="left"/>
        <w:rPr>
          <w:lang w:val="fr-FR"/>
        </w:rPr>
      </w:pPr>
      <w:r w:rsidRPr="006D55CC">
        <w:rPr>
          <w:lang w:val="fr-FR"/>
        </w:rPr>
        <w:t>NOTES EXPLICATIVES</w:t>
      </w:r>
    </w:p>
    <w:p w:rsidR="005E36DB" w:rsidRPr="006D55CC" w:rsidRDefault="005E36DB" w:rsidP="00892799">
      <w:pPr>
        <w:jc w:val="left"/>
        <w:rPr>
          <w:sz w:val="16"/>
          <w:szCs w:val="16"/>
          <w:lang w:val="fr-FR"/>
        </w:rPr>
      </w:pPr>
    </w:p>
    <w:tbl>
      <w:tblPr>
        <w:tblW w:w="1037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41"/>
        <w:gridCol w:w="4717"/>
        <w:gridCol w:w="3912"/>
      </w:tblGrid>
      <w:tr w:rsidR="006D55CC" w:rsidRPr="006D55CC" w:rsidTr="006F5AA1">
        <w:trPr>
          <w:cantSplit/>
          <w:jc w:val="center"/>
        </w:trPr>
        <w:tc>
          <w:tcPr>
            <w:tcW w:w="1741" w:type="dxa"/>
            <w:shd w:val="clear" w:color="auto" w:fill="D9D9D9"/>
          </w:tcPr>
          <w:p w:rsidR="005E36DB" w:rsidRPr="006D55CC" w:rsidRDefault="005E36DB" w:rsidP="00892799">
            <w:pPr>
              <w:jc w:val="left"/>
              <w:rPr>
                <w:rFonts w:cs="Arial"/>
                <w:sz w:val="18"/>
                <w:szCs w:val="18"/>
                <w:lang w:val="fr-FR"/>
              </w:rPr>
            </w:pPr>
            <w:r w:rsidRPr="006D55CC">
              <w:rPr>
                <w:rFonts w:cs="Arial"/>
                <w:sz w:val="18"/>
                <w:szCs w:val="18"/>
                <w:lang w:val="fr-FR"/>
              </w:rPr>
              <w:t>Référence</w:t>
            </w:r>
          </w:p>
        </w:tc>
        <w:tc>
          <w:tcPr>
            <w:tcW w:w="4717" w:type="dxa"/>
            <w:shd w:val="clear" w:color="auto" w:fill="D9D9D9"/>
          </w:tcPr>
          <w:p w:rsidR="005E36DB" w:rsidRPr="006D55CC" w:rsidRDefault="005E36DB" w:rsidP="00892799">
            <w:pPr>
              <w:jc w:val="left"/>
              <w:rPr>
                <w:rFonts w:cs="Arial"/>
                <w:sz w:val="18"/>
                <w:szCs w:val="18"/>
                <w:lang w:val="fr-FR"/>
              </w:rPr>
            </w:pPr>
            <w:r w:rsidRPr="006D55CC">
              <w:rPr>
                <w:rFonts w:cs="Arial"/>
                <w:sz w:val="18"/>
                <w:szCs w:val="18"/>
                <w:lang w:val="fr-FR"/>
              </w:rPr>
              <w:t>Notes explicatives sur les questions suivantes :</w:t>
            </w:r>
          </w:p>
        </w:tc>
        <w:tc>
          <w:tcPr>
            <w:tcW w:w="3912" w:type="dxa"/>
            <w:shd w:val="clear" w:color="auto" w:fill="D9D9D9"/>
          </w:tcPr>
          <w:p w:rsidR="005E36DB" w:rsidRPr="006D55CC" w:rsidRDefault="005E36DB" w:rsidP="00892799">
            <w:pPr>
              <w:jc w:val="left"/>
              <w:rPr>
                <w:rFonts w:cs="Arial"/>
                <w:sz w:val="18"/>
                <w:szCs w:val="18"/>
                <w:lang w:val="fr-FR"/>
              </w:rPr>
            </w:pPr>
            <w:r w:rsidRPr="006D55CC">
              <w:rPr>
                <w:rFonts w:cs="Arial"/>
                <w:sz w:val="18"/>
                <w:szCs w:val="18"/>
                <w:lang w:val="fr-FR"/>
              </w:rPr>
              <w:t>État</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UPOV/EXN/BRD</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Définition de l</w:t>
            </w:r>
            <w:r w:rsidR="00131117" w:rsidRPr="006D55CC">
              <w:rPr>
                <w:rFonts w:cs="Arial"/>
                <w:sz w:val="18"/>
                <w:szCs w:val="18"/>
                <w:lang w:val="fr-FR"/>
              </w:rPr>
              <w:t>’</w:t>
            </w:r>
            <w:r w:rsidRPr="006D55CC">
              <w:rPr>
                <w:rFonts w:cs="Arial"/>
                <w:sz w:val="18"/>
                <w:szCs w:val="18"/>
                <w:lang w:val="fr-FR"/>
              </w:rPr>
              <w:t>obtenteur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UPOV/EXN/BRD/1 adopté en octobre 2013</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UPOV/EXN/CAL</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Conditions et limitations relatives à l</w:t>
            </w:r>
            <w:r w:rsidR="00131117" w:rsidRPr="006D55CC">
              <w:rPr>
                <w:rFonts w:cs="Arial"/>
                <w:sz w:val="18"/>
                <w:szCs w:val="18"/>
                <w:lang w:val="fr-FR"/>
              </w:rPr>
              <w:t>’</w:t>
            </w:r>
            <w:r w:rsidRPr="006D55CC">
              <w:rPr>
                <w:rFonts w:cs="Arial"/>
                <w:sz w:val="18"/>
                <w:szCs w:val="18"/>
                <w:lang w:val="fr-FR"/>
              </w:rPr>
              <w:t>autorisation de l</w:t>
            </w:r>
            <w:r w:rsidR="00131117" w:rsidRPr="006D55CC">
              <w:rPr>
                <w:rFonts w:cs="Arial"/>
                <w:sz w:val="18"/>
                <w:szCs w:val="18"/>
                <w:lang w:val="fr-FR"/>
              </w:rPr>
              <w:t>’</w:t>
            </w:r>
            <w:r w:rsidRPr="006D55CC">
              <w:rPr>
                <w:rFonts w:cs="Arial"/>
                <w:sz w:val="18"/>
                <w:szCs w:val="18"/>
                <w:lang w:val="fr-FR"/>
              </w:rPr>
              <w:t xml:space="preserve">obtenteur </w:t>
            </w:r>
            <w:r w:rsidR="00131117" w:rsidRPr="006D55CC">
              <w:rPr>
                <w:rFonts w:cs="Arial"/>
                <w:sz w:val="18"/>
                <w:szCs w:val="18"/>
                <w:lang w:val="fr-FR"/>
              </w:rPr>
              <w:t>à l’égard</w:t>
            </w:r>
            <w:r w:rsidRPr="006D55CC">
              <w:rPr>
                <w:rFonts w:cs="Arial"/>
                <w:sz w:val="18"/>
                <w:szCs w:val="18"/>
                <w:lang w:val="fr-FR"/>
              </w:rPr>
              <w:t xml:space="preserve"> du matériel de reproduction ou de multiplication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UPOV/EXN/CAL/1 adopté en octobre 2010</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UPOV/EXN/CAN</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Déchéance de l</w:t>
            </w:r>
            <w:r w:rsidR="00131117" w:rsidRPr="006D55CC">
              <w:rPr>
                <w:rFonts w:cs="Arial"/>
                <w:sz w:val="18"/>
                <w:szCs w:val="18"/>
                <w:lang w:val="fr-FR"/>
              </w:rPr>
              <w:t>’</w:t>
            </w:r>
            <w:r w:rsidRPr="006D55CC">
              <w:rPr>
                <w:rFonts w:cs="Arial"/>
                <w:sz w:val="18"/>
                <w:szCs w:val="18"/>
                <w:lang w:val="fr-FR"/>
              </w:rPr>
              <w:t xml:space="preserve">obtenteur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UPOV/EXN/CAN/1 adopté en octobre 2009</w:t>
            </w:r>
          </w:p>
          <w:p w:rsidR="005E36DB" w:rsidRPr="006D55CC" w:rsidRDefault="005E36DB" w:rsidP="00892799">
            <w:pPr>
              <w:jc w:val="left"/>
              <w:rPr>
                <w:rFonts w:cs="Arial"/>
                <w:sz w:val="18"/>
                <w:szCs w:val="18"/>
                <w:lang w:val="fr-FR"/>
              </w:rPr>
            </w:pPr>
            <w:r w:rsidRPr="006D55CC">
              <w:rPr>
                <w:rFonts w:cs="Arial"/>
                <w:spacing w:val="-2"/>
                <w:sz w:val="18"/>
                <w:szCs w:val="18"/>
                <w:lang w:val="fr-FR"/>
              </w:rPr>
              <w:t xml:space="preserve">UPOV/EXN/CAN/2 Draft 4 </w:t>
            </w:r>
            <w:r w:rsidRPr="006D55CC">
              <w:rPr>
                <w:rFonts w:cs="Arial"/>
                <w:sz w:val="18"/>
                <w:szCs w:val="18"/>
                <w:lang w:val="fr-FR"/>
              </w:rPr>
              <w:t>devant être examiné par le Conseil en</w:t>
            </w:r>
            <w:r w:rsidRPr="006D55CC">
              <w:rPr>
                <w:rFonts w:cs="Arial"/>
                <w:spacing w:val="-2"/>
                <w:sz w:val="18"/>
                <w:szCs w:val="18"/>
                <w:lang w:val="fr-FR"/>
              </w:rPr>
              <w:t xml:space="preserve"> octobre 2015</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UPOV/EXN/EDV</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Variétés essentiellement dérivées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UPOV/EXN/EDV/1 adopté en octobre 2009</w:t>
            </w:r>
          </w:p>
          <w:p w:rsidR="005E36DB" w:rsidRPr="006D55CC" w:rsidRDefault="005E36DB" w:rsidP="00892799">
            <w:pPr>
              <w:jc w:val="left"/>
              <w:rPr>
                <w:rFonts w:cs="Arial"/>
                <w:sz w:val="18"/>
                <w:szCs w:val="18"/>
                <w:lang w:val="fr-FR"/>
              </w:rPr>
            </w:pPr>
            <w:r w:rsidRPr="006D55CC">
              <w:rPr>
                <w:rFonts w:cs="Arial"/>
                <w:sz w:val="18"/>
                <w:szCs w:val="18"/>
                <w:lang w:val="fr-FR"/>
              </w:rPr>
              <w:t>UPOV/EXN/EDV/2 Draft 6 devant être examiné par le CAJ en octobre 2015</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UPOV/EXN/ENF</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Défense des droits d</w:t>
            </w:r>
            <w:r w:rsidR="00131117" w:rsidRPr="006D55CC">
              <w:rPr>
                <w:rFonts w:cs="Arial"/>
                <w:sz w:val="18"/>
                <w:szCs w:val="18"/>
                <w:lang w:val="fr-FR"/>
              </w:rPr>
              <w:t>’</w:t>
            </w:r>
            <w:r w:rsidRPr="006D55CC">
              <w:rPr>
                <w:rFonts w:cs="Arial"/>
                <w:sz w:val="18"/>
                <w:szCs w:val="18"/>
                <w:lang w:val="fr-FR"/>
              </w:rPr>
              <w:t xml:space="preserve">obtenteur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UPOV/EXN/ENF/1 adopté en octobre 2009</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UPOV/EXN/EXC</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Exceptions au droit d</w:t>
            </w:r>
            <w:r w:rsidR="00131117" w:rsidRPr="006D55CC">
              <w:rPr>
                <w:rFonts w:cs="Arial"/>
                <w:sz w:val="18"/>
                <w:szCs w:val="18"/>
                <w:lang w:val="fr-FR"/>
              </w:rPr>
              <w:t>’</w:t>
            </w:r>
            <w:r w:rsidRPr="006D55CC">
              <w:rPr>
                <w:rFonts w:cs="Arial"/>
                <w:sz w:val="18"/>
                <w:szCs w:val="18"/>
                <w:lang w:val="fr-FR"/>
              </w:rPr>
              <w:t>obtenteur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UPOV/EXN/EXC/1 adopté en octobre 2009</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UPOV/EXN/GEN</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Genres et espèces devant être protégés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UPOV/EXN/GEN/1 adopté en octobre 2009</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UPOV/EXN/HRV</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 xml:space="preserve">Actes </w:t>
            </w:r>
            <w:r w:rsidR="00131117" w:rsidRPr="006D55CC">
              <w:rPr>
                <w:rFonts w:cs="Arial"/>
                <w:sz w:val="18"/>
                <w:szCs w:val="18"/>
                <w:lang w:val="fr-FR"/>
              </w:rPr>
              <w:t>à l’égard</w:t>
            </w:r>
            <w:r w:rsidRPr="006D55CC">
              <w:rPr>
                <w:rFonts w:cs="Arial"/>
                <w:sz w:val="18"/>
                <w:szCs w:val="18"/>
                <w:lang w:val="fr-FR"/>
              </w:rPr>
              <w:t xml:space="preserve"> du produit de la récolte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iCs/>
                <w:sz w:val="18"/>
                <w:szCs w:val="18"/>
                <w:lang w:val="fr-FR"/>
              </w:rPr>
              <w:t>UPOV/EXN/HRV/1 adopté en octobre 2013</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UPOV/EXN/NAT</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Traitement national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UPOV/EXN/NAT/1 adopté en octobre 2009</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UPOV/EXN/NOV</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 xml:space="preserve">Nouveauté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UPOV/EXN/NOV/1 adopté en octobre 2009</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UPOV/EXN/NUL</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Nullité du droit d</w:t>
            </w:r>
            <w:r w:rsidR="00131117" w:rsidRPr="006D55CC">
              <w:rPr>
                <w:rFonts w:cs="Arial"/>
                <w:sz w:val="18"/>
                <w:szCs w:val="18"/>
                <w:lang w:val="fr-FR"/>
              </w:rPr>
              <w:t>’</w:t>
            </w:r>
            <w:r w:rsidRPr="006D55CC">
              <w:rPr>
                <w:rFonts w:cs="Arial"/>
                <w:sz w:val="18"/>
                <w:szCs w:val="18"/>
                <w:lang w:val="fr-FR"/>
              </w:rPr>
              <w:t xml:space="preserve">obtenteur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UPOV/EXN/NUL/1 adopté en octobre 2009</w:t>
            </w:r>
          </w:p>
          <w:p w:rsidR="005E36DB" w:rsidRPr="006D55CC" w:rsidRDefault="005E36DB" w:rsidP="00892799">
            <w:pPr>
              <w:jc w:val="left"/>
              <w:rPr>
                <w:rFonts w:cs="Arial"/>
                <w:sz w:val="18"/>
                <w:szCs w:val="18"/>
                <w:lang w:val="fr-FR"/>
              </w:rPr>
            </w:pPr>
            <w:r w:rsidRPr="006D55CC">
              <w:rPr>
                <w:rFonts w:cs="Arial"/>
                <w:spacing w:val="-2"/>
                <w:sz w:val="18"/>
                <w:szCs w:val="18"/>
                <w:lang w:val="fr-FR"/>
              </w:rPr>
              <w:t xml:space="preserve">UPOV/EXN/NUL/2 Draft 4 </w:t>
            </w:r>
            <w:r w:rsidRPr="006D55CC">
              <w:rPr>
                <w:rFonts w:cs="Arial"/>
                <w:sz w:val="18"/>
                <w:szCs w:val="18"/>
                <w:lang w:val="fr-FR"/>
              </w:rPr>
              <w:t>devant être examiné par le Conseil en</w:t>
            </w:r>
            <w:r w:rsidRPr="006D55CC">
              <w:rPr>
                <w:rFonts w:cs="Arial"/>
                <w:spacing w:val="-2"/>
                <w:sz w:val="18"/>
                <w:szCs w:val="18"/>
                <w:lang w:val="fr-FR"/>
              </w:rPr>
              <w:t xml:space="preserve"> </w:t>
            </w:r>
            <w:r w:rsidR="00131117" w:rsidRPr="006D55CC">
              <w:rPr>
                <w:rFonts w:cs="Arial"/>
                <w:spacing w:val="-2"/>
                <w:sz w:val="18"/>
                <w:szCs w:val="18"/>
                <w:lang w:val="fr-FR"/>
              </w:rPr>
              <w:t>octobre 20</w:t>
            </w:r>
            <w:r w:rsidRPr="006D55CC">
              <w:rPr>
                <w:rFonts w:cs="Arial"/>
                <w:spacing w:val="-2"/>
                <w:sz w:val="18"/>
                <w:szCs w:val="18"/>
                <w:lang w:val="fr-FR"/>
              </w:rPr>
              <w:t>15</w:t>
            </w:r>
          </w:p>
        </w:tc>
      </w:tr>
      <w:tr w:rsidR="006D55CC" w:rsidRPr="006D55CC" w:rsidTr="006F5AA1">
        <w:trPr>
          <w:cantSplit/>
          <w:jc w:val="center"/>
        </w:trPr>
        <w:tc>
          <w:tcPr>
            <w:tcW w:w="1741" w:type="dxa"/>
            <w:tcBorders>
              <w:bottom w:val="single" w:sz="2" w:space="0" w:color="auto"/>
            </w:tcBorders>
          </w:tcPr>
          <w:p w:rsidR="005E36DB" w:rsidRPr="006D55CC" w:rsidRDefault="005E36DB" w:rsidP="00892799">
            <w:pPr>
              <w:jc w:val="left"/>
              <w:rPr>
                <w:rFonts w:cs="Arial"/>
                <w:sz w:val="18"/>
                <w:szCs w:val="18"/>
                <w:lang w:val="fr-FR"/>
              </w:rPr>
            </w:pPr>
            <w:r w:rsidRPr="006D55CC">
              <w:rPr>
                <w:rFonts w:cs="Arial"/>
                <w:sz w:val="18"/>
                <w:szCs w:val="18"/>
                <w:lang w:val="fr-FR"/>
              </w:rPr>
              <w:t>UPOV/EXN/PPM</w:t>
            </w:r>
          </w:p>
        </w:tc>
        <w:tc>
          <w:tcPr>
            <w:tcW w:w="4717" w:type="dxa"/>
            <w:tcBorders>
              <w:bottom w:val="single" w:sz="2" w:space="0" w:color="auto"/>
            </w:tcBorders>
          </w:tcPr>
          <w:p w:rsidR="005E36DB" w:rsidRPr="006D55CC" w:rsidRDefault="005E36DB" w:rsidP="00892799">
            <w:pPr>
              <w:jc w:val="left"/>
              <w:rPr>
                <w:rFonts w:cs="Arial"/>
                <w:sz w:val="18"/>
                <w:szCs w:val="18"/>
                <w:lang w:val="fr-FR"/>
              </w:rPr>
            </w:pPr>
            <w:r w:rsidRPr="006D55CC">
              <w:rPr>
                <w:rFonts w:cs="Arial"/>
                <w:sz w:val="18"/>
                <w:szCs w:val="18"/>
                <w:lang w:val="fr-FR"/>
              </w:rPr>
              <w:t>Matériel de reproduction ou de multiplication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Borders>
              <w:bottom w:val="single" w:sz="2" w:space="0" w:color="auto"/>
            </w:tcBorders>
          </w:tcPr>
          <w:p w:rsidR="005E36DB" w:rsidRPr="006D55CC" w:rsidRDefault="005E36DB" w:rsidP="00892799">
            <w:pPr>
              <w:jc w:val="left"/>
              <w:rPr>
                <w:rFonts w:cs="Arial"/>
                <w:spacing w:val="-2"/>
                <w:sz w:val="18"/>
                <w:szCs w:val="18"/>
                <w:lang w:val="fr-FR"/>
              </w:rPr>
            </w:pPr>
            <w:r w:rsidRPr="006D55CC">
              <w:rPr>
                <w:rFonts w:cs="Arial"/>
                <w:spacing w:val="-2"/>
                <w:sz w:val="18"/>
                <w:szCs w:val="18"/>
                <w:lang w:val="fr-FR"/>
              </w:rPr>
              <w:t xml:space="preserve">UPOV/EXN/PPM/1 Draft 5 </w:t>
            </w:r>
            <w:r w:rsidRPr="006D55CC">
              <w:rPr>
                <w:rFonts w:cs="Arial"/>
                <w:sz w:val="18"/>
                <w:szCs w:val="18"/>
                <w:lang w:val="fr-FR"/>
              </w:rPr>
              <w:t>devant être examiné par le Conseil en</w:t>
            </w:r>
            <w:r w:rsidRPr="006D55CC">
              <w:rPr>
                <w:rFonts w:cs="Arial"/>
                <w:spacing w:val="-2"/>
                <w:sz w:val="18"/>
                <w:szCs w:val="18"/>
                <w:lang w:val="fr-FR"/>
              </w:rPr>
              <w:t xml:space="preserve"> octobre 2015</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UPOV/EXN/PRI</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 xml:space="preserve">Droit de priorité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z w:val="18"/>
                <w:szCs w:val="18"/>
                <w:lang w:val="fr-FR"/>
              </w:rPr>
            </w:pPr>
            <w:r w:rsidRPr="006D55CC">
              <w:rPr>
                <w:rFonts w:cs="Arial"/>
                <w:sz w:val="18"/>
                <w:szCs w:val="18"/>
                <w:lang w:val="fr-FR"/>
              </w:rPr>
              <w:t>UPOV/EXN/PRI/1 adopté en octobre 2009</w:t>
            </w:r>
          </w:p>
        </w:tc>
      </w:tr>
      <w:tr w:rsidR="006D55CC" w:rsidRPr="006D55CC" w:rsidTr="006F5AA1">
        <w:trPr>
          <w:cantSplit/>
          <w:jc w:val="center"/>
        </w:trPr>
        <w:tc>
          <w:tcPr>
            <w:tcW w:w="1741" w:type="dxa"/>
          </w:tcPr>
          <w:p w:rsidR="005E36DB" w:rsidRPr="006D55CC" w:rsidRDefault="005E36DB" w:rsidP="00892799">
            <w:pPr>
              <w:jc w:val="left"/>
              <w:rPr>
                <w:rFonts w:cs="Arial"/>
                <w:sz w:val="18"/>
                <w:szCs w:val="18"/>
                <w:lang w:val="fr-FR"/>
              </w:rPr>
            </w:pPr>
            <w:r w:rsidRPr="006D55CC">
              <w:rPr>
                <w:rFonts w:cs="Arial"/>
                <w:sz w:val="18"/>
                <w:szCs w:val="18"/>
                <w:lang w:val="fr-FR"/>
              </w:rPr>
              <w:t>UPOV/EXN/PRP</w:t>
            </w:r>
          </w:p>
        </w:tc>
        <w:tc>
          <w:tcPr>
            <w:tcW w:w="4717" w:type="dxa"/>
          </w:tcPr>
          <w:p w:rsidR="005E36DB" w:rsidRPr="006D55CC" w:rsidRDefault="005E36DB" w:rsidP="00892799">
            <w:pPr>
              <w:jc w:val="left"/>
              <w:rPr>
                <w:rFonts w:cs="Arial"/>
                <w:sz w:val="18"/>
                <w:szCs w:val="18"/>
                <w:lang w:val="fr-FR"/>
              </w:rPr>
            </w:pPr>
            <w:r w:rsidRPr="006D55CC">
              <w:rPr>
                <w:rFonts w:cs="Arial"/>
                <w:sz w:val="18"/>
                <w:szCs w:val="18"/>
                <w:lang w:val="fr-FR"/>
              </w:rPr>
              <w:t xml:space="preserve">Protection provisoire selon la </w:t>
            </w:r>
            <w:r w:rsidR="00131117" w:rsidRPr="006D55CC">
              <w:rPr>
                <w:rFonts w:cs="Arial"/>
                <w:sz w:val="18"/>
                <w:szCs w:val="18"/>
                <w:lang w:val="fr-FR"/>
              </w:rPr>
              <w:t>Convention UPOV</w:t>
            </w:r>
          </w:p>
        </w:tc>
        <w:tc>
          <w:tcPr>
            <w:tcW w:w="3912" w:type="dxa"/>
          </w:tcPr>
          <w:p w:rsidR="005E36DB" w:rsidRPr="006D55CC" w:rsidRDefault="005E36DB" w:rsidP="00892799">
            <w:pPr>
              <w:jc w:val="left"/>
              <w:rPr>
                <w:rFonts w:cs="Arial"/>
                <w:spacing w:val="-2"/>
                <w:sz w:val="18"/>
                <w:szCs w:val="18"/>
                <w:lang w:val="fr-FR"/>
              </w:rPr>
            </w:pPr>
            <w:r w:rsidRPr="006D55CC">
              <w:rPr>
                <w:rFonts w:cs="Arial"/>
                <w:sz w:val="18"/>
                <w:szCs w:val="18"/>
                <w:lang w:val="fr-FR"/>
              </w:rPr>
              <w:t>UPOV/EXN/PRP/1 adopté en octobre 2009</w:t>
            </w:r>
            <w:r w:rsidRPr="006D55CC">
              <w:rPr>
                <w:rFonts w:cs="Arial"/>
                <w:sz w:val="18"/>
                <w:szCs w:val="18"/>
                <w:lang w:val="fr-FR"/>
              </w:rPr>
              <w:br/>
            </w:r>
            <w:r w:rsidRPr="006D55CC">
              <w:rPr>
                <w:rFonts w:cs="Arial"/>
                <w:spacing w:val="-2"/>
                <w:sz w:val="18"/>
                <w:szCs w:val="18"/>
                <w:lang w:val="fr-FR"/>
              </w:rPr>
              <w:t xml:space="preserve">UPOV/EXN/PRP/2 Draft 4 </w:t>
            </w:r>
            <w:r w:rsidRPr="006D55CC">
              <w:rPr>
                <w:rFonts w:cs="Arial"/>
                <w:sz w:val="18"/>
                <w:szCs w:val="18"/>
                <w:lang w:val="fr-FR"/>
              </w:rPr>
              <w:t>devant être examiné par le Conseil en</w:t>
            </w:r>
            <w:r w:rsidRPr="006D55CC">
              <w:rPr>
                <w:rFonts w:cs="Arial"/>
                <w:spacing w:val="-2"/>
                <w:sz w:val="18"/>
                <w:szCs w:val="18"/>
                <w:lang w:val="fr-FR"/>
              </w:rPr>
              <w:t xml:space="preserve"> octobre 2015</w:t>
            </w:r>
          </w:p>
        </w:tc>
      </w:tr>
      <w:tr w:rsidR="006D55CC" w:rsidRPr="006D55CC" w:rsidTr="006F5AA1">
        <w:trPr>
          <w:cantSplit/>
          <w:jc w:val="center"/>
        </w:trPr>
        <w:tc>
          <w:tcPr>
            <w:tcW w:w="1741" w:type="dxa"/>
            <w:tcBorders>
              <w:bottom w:val="single" w:sz="2" w:space="0" w:color="auto"/>
            </w:tcBorders>
          </w:tcPr>
          <w:p w:rsidR="005E36DB" w:rsidRPr="006D55CC" w:rsidRDefault="005E36DB" w:rsidP="00892799">
            <w:pPr>
              <w:jc w:val="left"/>
              <w:rPr>
                <w:rFonts w:cs="Arial"/>
                <w:sz w:val="18"/>
                <w:szCs w:val="18"/>
                <w:lang w:val="fr-FR"/>
              </w:rPr>
            </w:pPr>
            <w:r w:rsidRPr="006D55CC">
              <w:rPr>
                <w:rFonts w:cs="Arial"/>
                <w:sz w:val="18"/>
                <w:szCs w:val="18"/>
                <w:lang w:val="fr-FR"/>
              </w:rPr>
              <w:t>UPOV/EXN/VAR</w:t>
            </w:r>
          </w:p>
        </w:tc>
        <w:tc>
          <w:tcPr>
            <w:tcW w:w="4717" w:type="dxa"/>
            <w:tcBorders>
              <w:bottom w:val="single" w:sz="2" w:space="0" w:color="auto"/>
            </w:tcBorders>
          </w:tcPr>
          <w:p w:rsidR="005E36DB" w:rsidRPr="006D55CC" w:rsidRDefault="005E36DB" w:rsidP="00892799">
            <w:pPr>
              <w:jc w:val="left"/>
              <w:rPr>
                <w:rFonts w:cs="Arial"/>
                <w:sz w:val="18"/>
                <w:szCs w:val="18"/>
                <w:lang w:val="fr-FR"/>
              </w:rPr>
            </w:pPr>
            <w:r w:rsidRPr="006D55CC">
              <w:rPr>
                <w:rFonts w:cs="Arial"/>
                <w:sz w:val="18"/>
                <w:szCs w:val="18"/>
                <w:lang w:val="fr-FR"/>
              </w:rPr>
              <w:t>Définition de la variété selon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12" w:type="dxa"/>
            <w:tcBorders>
              <w:bottom w:val="single" w:sz="2" w:space="0" w:color="auto"/>
            </w:tcBorders>
          </w:tcPr>
          <w:p w:rsidR="005E36DB" w:rsidRPr="006D55CC" w:rsidRDefault="005E36DB" w:rsidP="00892799">
            <w:pPr>
              <w:jc w:val="left"/>
              <w:rPr>
                <w:rFonts w:cs="Arial"/>
                <w:sz w:val="18"/>
                <w:szCs w:val="18"/>
                <w:lang w:val="fr-FR"/>
              </w:rPr>
            </w:pPr>
            <w:r w:rsidRPr="006D55CC">
              <w:rPr>
                <w:rFonts w:cs="Arial"/>
                <w:sz w:val="18"/>
                <w:szCs w:val="18"/>
                <w:lang w:val="fr-FR"/>
              </w:rPr>
              <w:t>UPOV/EXN/VAR/1 adopté en octobre 2010</w:t>
            </w:r>
          </w:p>
        </w:tc>
      </w:tr>
    </w:tbl>
    <w:p w:rsidR="005E36DB" w:rsidRPr="006D55CC" w:rsidRDefault="005E36DB" w:rsidP="00892799">
      <w:pPr>
        <w:rPr>
          <w:lang w:val="fr-FR"/>
        </w:rPr>
      </w:pPr>
      <w:r w:rsidRPr="006D55CC">
        <w:rPr>
          <w:sz w:val="18"/>
          <w:szCs w:val="18"/>
          <w:lang w:val="fr-FR"/>
        </w:rPr>
        <w:br w:type="page"/>
      </w:r>
      <w:r w:rsidRPr="006D55CC">
        <w:rPr>
          <w:lang w:val="fr-FR"/>
        </w:rPr>
        <w:lastRenderedPageBreak/>
        <w:t>DOCUMENTS D</w:t>
      </w:r>
      <w:r w:rsidR="00131117" w:rsidRPr="006D55CC">
        <w:rPr>
          <w:lang w:val="fr-FR"/>
        </w:rPr>
        <w:t>’</w:t>
      </w:r>
      <w:r w:rsidRPr="006D55CC">
        <w:rPr>
          <w:lang w:val="fr-FR"/>
        </w:rPr>
        <w:t>INFORMATION</w:t>
      </w:r>
    </w:p>
    <w:p w:rsidR="005E36DB" w:rsidRPr="006D55CC" w:rsidRDefault="005E36DB" w:rsidP="00892799">
      <w:pPr>
        <w:rPr>
          <w:lang w:val="fr-FR"/>
        </w:rPr>
      </w:pPr>
    </w:p>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85" w:type="dxa"/>
          <w:bottom w:w="28" w:type="dxa"/>
          <w:right w:w="85" w:type="dxa"/>
        </w:tblCellMar>
        <w:tblLook w:val="0000" w:firstRow="0" w:lastRow="0" w:firstColumn="0" w:lastColumn="0" w:noHBand="0" w:noVBand="0"/>
      </w:tblPr>
      <w:tblGrid>
        <w:gridCol w:w="1758"/>
        <w:gridCol w:w="4807"/>
        <w:gridCol w:w="3920"/>
      </w:tblGrid>
      <w:tr w:rsidR="006D55CC" w:rsidRPr="006D55CC" w:rsidTr="006F5AA1">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5E36DB" w:rsidRPr="006D55CC" w:rsidRDefault="005E36DB" w:rsidP="00892799">
            <w:pPr>
              <w:jc w:val="left"/>
              <w:rPr>
                <w:rFonts w:cs="Arial"/>
                <w:sz w:val="18"/>
                <w:szCs w:val="18"/>
                <w:lang w:val="fr-FR"/>
              </w:rPr>
            </w:pPr>
            <w:r w:rsidRPr="006D55CC">
              <w:rPr>
                <w:rFonts w:cs="Arial"/>
                <w:sz w:val="18"/>
                <w:szCs w:val="18"/>
                <w:lang w:val="fr-FR"/>
              </w:rPr>
              <w:t>Dernière référence</w:t>
            </w:r>
          </w:p>
        </w:tc>
        <w:tc>
          <w:tcPr>
            <w:tcW w:w="4807" w:type="dxa"/>
            <w:tcBorders>
              <w:top w:val="single" w:sz="4" w:space="0" w:color="auto"/>
              <w:left w:val="single" w:sz="2" w:space="0" w:color="auto"/>
              <w:bottom w:val="single" w:sz="2" w:space="0" w:color="auto"/>
              <w:right w:val="single" w:sz="2" w:space="0" w:color="auto"/>
            </w:tcBorders>
            <w:shd w:val="clear" w:color="auto" w:fill="D9D9D9"/>
          </w:tcPr>
          <w:p w:rsidR="005E36DB" w:rsidRPr="006D55CC" w:rsidRDefault="005E36DB" w:rsidP="00892799">
            <w:pPr>
              <w:jc w:val="center"/>
              <w:rPr>
                <w:rFonts w:cs="Arial"/>
                <w:sz w:val="18"/>
                <w:szCs w:val="18"/>
                <w:lang w:val="fr-FR"/>
              </w:rPr>
            </w:pPr>
            <w:r w:rsidRPr="006D55CC">
              <w:rPr>
                <w:rFonts w:cs="Arial"/>
                <w:sz w:val="18"/>
                <w:szCs w:val="18"/>
                <w:lang w:val="fr-FR"/>
              </w:rPr>
              <w:t>Documents INF</w:t>
            </w:r>
          </w:p>
        </w:tc>
        <w:tc>
          <w:tcPr>
            <w:tcW w:w="3920" w:type="dxa"/>
            <w:tcBorders>
              <w:top w:val="single" w:sz="4" w:space="0" w:color="auto"/>
              <w:left w:val="single" w:sz="2" w:space="0" w:color="auto"/>
              <w:bottom w:val="single" w:sz="2" w:space="0" w:color="auto"/>
              <w:right w:val="single" w:sz="2" w:space="0" w:color="auto"/>
            </w:tcBorders>
            <w:shd w:val="clear" w:color="auto" w:fill="D9D9D9"/>
          </w:tcPr>
          <w:p w:rsidR="005E36DB" w:rsidRPr="006D55CC" w:rsidRDefault="005E36DB" w:rsidP="00892799">
            <w:pPr>
              <w:jc w:val="left"/>
              <w:rPr>
                <w:rFonts w:cs="Arial"/>
                <w:sz w:val="18"/>
                <w:szCs w:val="18"/>
                <w:lang w:val="fr-FR"/>
              </w:rPr>
            </w:pPr>
            <w:r w:rsidRPr="006D55CC">
              <w:rPr>
                <w:rFonts w:cs="Arial"/>
                <w:sz w:val="18"/>
                <w:szCs w:val="18"/>
                <w:lang w:val="fr-FR"/>
              </w:rPr>
              <w:t>État</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w:t>
            </w:r>
            <w:r w:rsidR="005275ED" w:rsidRPr="006D55CC">
              <w:rPr>
                <w:rFonts w:cs="Arial"/>
                <w:sz w:val="18"/>
                <w:szCs w:val="18"/>
                <w:lang w:val="fr-FR"/>
              </w:rPr>
              <w:noBreakHyphen/>
            </w:r>
            <w:r w:rsidRPr="006D55CC">
              <w:rPr>
                <w:rFonts w:cs="Arial"/>
                <w:sz w:val="18"/>
                <w:szCs w:val="18"/>
                <w:lang w:val="fr-FR"/>
              </w:rPr>
              <w:t>EXN</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Liste des documents UPOV/INF</w:t>
            </w:r>
            <w:r w:rsidR="005275ED" w:rsidRPr="006D55CC">
              <w:rPr>
                <w:rFonts w:cs="Arial"/>
                <w:sz w:val="18"/>
                <w:szCs w:val="18"/>
                <w:lang w:val="fr-FR"/>
              </w:rPr>
              <w:noBreakHyphen/>
            </w:r>
            <w:r w:rsidRPr="006D55CC">
              <w:rPr>
                <w:rFonts w:cs="Arial"/>
                <w:sz w:val="18"/>
                <w:szCs w:val="18"/>
                <w:lang w:val="fr-FR"/>
              </w:rPr>
              <w:t>EXN et date de la version la plus récente de ces documents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w:t>
            </w:r>
            <w:r w:rsidR="005275ED" w:rsidRPr="006D55CC">
              <w:rPr>
                <w:rFonts w:cs="Arial"/>
                <w:sz w:val="18"/>
                <w:szCs w:val="18"/>
                <w:lang w:val="fr-FR"/>
              </w:rPr>
              <w:noBreakHyphen/>
            </w:r>
            <w:r w:rsidRPr="006D55CC">
              <w:rPr>
                <w:rFonts w:cs="Arial"/>
                <w:sz w:val="18"/>
                <w:szCs w:val="18"/>
                <w:lang w:val="fr-FR"/>
              </w:rPr>
              <w:t>EXN/7 adopté par le Conseil en mars 2015</w:t>
            </w:r>
          </w:p>
          <w:p w:rsidR="005E36DB" w:rsidRPr="006D55CC" w:rsidRDefault="005E36DB" w:rsidP="00892799">
            <w:pPr>
              <w:jc w:val="left"/>
              <w:rPr>
                <w:rFonts w:cs="Arial"/>
                <w:sz w:val="18"/>
                <w:szCs w:val="18"/>
                <w:lang w:val="fr-FR"/>
              </w:rPr>
            </w:pPr>
            <w:r w:rsidRPr="006D55CC">
              <w:rPr>
                <w:rFonts w:cs="Arial"/>
                <w:sz w:val="18"/>
                <w:szCs w:val="18"/>
                <w:lang w:val="fr-FR"/>
              </w:rPr>
              <w:t>UPOV/INF</w:t>
            </w:r>
            <w:r w:rsidR="005275ED" w:rsidRPr="006D55CC">
              <w:rPr>
                <w:rFonts w:cs="Arial"/>
                <w:sz w:val="18"/>
                <w:szCs w:val="18"/>
                <w:lang w:val="fr-FR"/>
              </w:rPr>
              <w:noBreakHyphen/>
            </w:r>
            <w:r w:rsidRPr="006D55CC">
              <w:rPr>
                <w:rFonts w:cs="Arial"/>
                <w:sz w:val="18"/>
                <w:szCs w:val="18"/>
                <w:lang w:val="fr-FR"/>
              </w:rPr>
              <w:t>EXN/8 Draft 1 devant être examiné par le Conseil en</w:t>
            </w:r>
            <w:r w:rsidRPr="006D55CC">
              <w:rPr>
                <w:rFonts w:cs="Arial"/>
                <w:spacing w:val="-2"/>
                <w:sz w:val="18"/>
                <w:szCs w:val="18"/>
                <w:lang w:val="fr-FR"/>
              </w:rPr>
              <w:t xml:space="preserve"> octobre 2015</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UPOV/INF/4</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Règlement financier et règlement d</w:t>
            </w:r>
            <w:r w:rsidR="00131117" w:rsidRPr="006D55CC">
              <w:rPr>
                <w:rFonts w:cs="Arial"/>
                <w:sz w:val="18"/>
                <w:szCs w:val="18"/>
                <w:lang w:val="fr-FR"/>
              </w:rPr>
              <w:t>’</w:t>
            </w:r>
            <w:r w:rsidRPr="006D55CC">
              <w:rPr>
                <w:rFonts w:cs="Arial"/>
                <w:sz w:val="18"/>
                <w:szCs w:val="18"/>
                <w:lang w:val="fr-FR"/>
              </w:rPr>
              <w:t>exécution du Règlement financier de l</w:t>
            </w:r>
            <w:r w:rsidR="00131117" w:rsidRPr="006D55CC">
              <w:rPr>
                <w:rFonts w:cs="Arial"/>
                <w:sz w:val="18"/>
                <w:szCs w:val="18"/>
                <w:lang w:val="fr-FR"/>
              </w:rPr>
              <w:t>’</w:t>
            </w:r>
            <w:r w:rsidRPr="006D55CC">
              <w:rPr>
                <w:rFonts w:cs="Arial"/>
                <w:sz w:val="18"/>
                <w:szCs w:val="18"/>
                <w:lang w:val="fr-FR"/>
              </w:rPr>
              <w:t>UPOV</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 xml:space="preserve">UPOV/INF/4/4 adopté par le </w:t>
            </w:r>
            <w:r w:rsidRPr="006D55CC">
              <w:rPr>
                <w:rFonts w:cs="Arial"/>
                <w:spacing w:val="-2"/>
                <w:sz w:val="18"/>
                <w:szCs w:val="18"/>
                <w:lang w:val="fr-FR"/>
              </w:rPr>
              <w:t>Conseil en mars 2015</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UPOV/INF/5</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Bulletin type de l</w:t>
            </w:r>
            <w:r w:rsidR="00131117" w:rsidRPr="006D55CC">
              <w:rPr>
                <w:rFonts w:cs="Arial"/>
                <w:sz w:val="18"/>
                <w:szCs w:val="18"/>
                <w:lang w:val="fr-FR"/>
              </w:rPr>
              <w:t>’</w:t>
            </w:r>
            <w:r w:rsidRPr="006D55CC">
              <w:rPr>
                <w:rFonts w:cs="Arial"/>
                <w:sz w:val="18"/>
                <w:szCs w:val="18"/>
                <w:lang w:val="fr-FR"/>
              </w:rPr>
              <w:t>UPOV de la protection des obtentions végétales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UPOV/INF/5 adopté en octobre 1979</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UPOV/INF/6</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Orientations en vue de la rédaction de lois fondées sur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UPOV/INF/6/3 adopté en octobre 2013</w:t>
            </w:r>
          </w:p>
          <w:p w:rsidR="005E36DB" w:rsidRPr="006D55CC" w:rsidRDefault="005E36DB" w:rsidP="00892799">
            <w:pPr>
              <w:jc w:val="left"/>
              <w:rPr>
                <w:rFonts w:cs="Arial"/>
                <w:sz w:val="18"/>
                <w:szCs w:val="18"/>
                <w:lang w:val="fr-FR"/>
              </w:rPr>
            </w:pPr>
            <w:r w:rsidRPr="006D55CC">
              <w:rPr>
                <w:rFonts w:cs="Arial"/>
                <w:sz w:val="18"/>
                <w:szCs w:val="18"/>
                <w:lang w:val="fr-FR"/>
              </w:rPr>
              <w:t>Annexe</w:t>
            </w:r>
            <w:r w:rsidR="008902E8" w:rsidRPr="006D55CC">
              <w:rPr>
                <w:rFonts w:cs="Arial"/>
                <w:sz w:val="18"/>
                <w:szCs w:val="18"/>
                <w:lang w:val="fr-FR"/>
              </w:rPr>
              <w:t> </w:t>
            </w:r>
            <w:r w:rsidRPr="006D55CC">
              <w:rPr>
                <w:rFonts w:cs="Arial"/>
                <w:sz w:val="18"/>
                <w:szCs w:val="18"/>
                <w:lang w:val="fr-FR"/>
              </w:rPr>
              <w:t xml:space="preserve">IV du document C/49/14 devant être examinée par le Conseil en </w:t>
            </w:r>
            <w:r w:rsidR="00131117" w:rsidRPr="006D55CC">
              <w:rPr>
                <w:rFonts w:cs="Arial"/>
                <w:sz w:val="18"/>
                <w:szCs w:val="18"/>
                <w:lang w:val="fr-FR"/>
              </w:rPr>
              <w:t>octobre 20</w:t>
            </w:r>
            <w:r w:rsidRPr="006D55CC">
              <w:rPr>
                <w:rFonts w:cs="Arial"/>
                <w:sz w:val="18"/>
                <w:szCs w:val="18"/>
                <w:lang w:val="fr-FR"/>
              </w:rPr>
              <w:t>15</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UPOV/INF/7</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Règlement intérieur du Conseil</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UPOV/INF/7 adopté en octobre 1982</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UPOV/INF/8</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Accord entre l</w:t>
            </w:r>
            <w:r w:rsidR="00131117" w:rsidRPr="006D55CC">
              <w:rPr>
                <w:rFonts w:cs="Arial"/>
                <w:sz w:val="18"/>
                <w:szCs w:val="18"/>
                <w:lang w:val="fr-FR"/>
              </w:rPr>
              <w:t>’</w:t>
            </w:r>
            <w:r w:rsidRPr="006D55CC">
              <w:rPr>
                <w:rFonts w:cs="Arial"/>
                <w:sz w:val="18"/>
                <w:szCs w:val="18"/>
                <w:lang w:val="fr-FR"/>
              </w:rPr>
              <w:t>Organisation Mondiale de la Propriété Intellectuelle et l</w:t>
            </w:r>
            <w:r w:rsidR="00131117" w:rsidRPr="006D55CC">
              <w:rPr>
                <w:rFonts w:cs="Arial"/>
                <w:sz w:val="18"/>
                <w:szCs w:val="18"/>
                <w:lang w:val="fr-FR"/>
              </w:rPr>
              <w:t>’</w:t>
            </w:r>
            <w:r w:rsidRPr="006D55CC">
              <w:rPr>
                <w:rFonts w:cs="Arial"/>
                <w:sz w:val="18"/>
                <w:szCs w:val="18"/>
                <w:lang w:val="fr-FR"/>
              </w:rPr>
              <w:t>Union internationale pour la protection des obtentions végétales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UPOV/INF/8 signé en novembre 1982</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UPOV/INF/9</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Accord entre l</w:t>
            </w:r>
            <w:r w:rsidR="00131117" w:rsidRPr="006D55CC">
              <w:rPr>
                <w:rFonts w:cs="Arial"/>
                <w:sz w:val="18"/>
                <w:szCs w:val="18"/>
                <w:lang w:val="fr-FR"/>
              </w:rPr>
              <w:t>’</w:t>
            </w:r>
            <w:r w:rsidRPr="006D55CC">
              <w:rPr>
                <w:rFonts w:cs="Arial"/>
                <w:sz w:val="18"/>
                <w:szCs w:val="18"/>
                <w:lang w:val="fr-FR"/>
              </w:rPr>
              <w:t>Union internationale pour la protection des obtentions végétales et le Conseil fédéral suisse pour déterminer le statut juridique en Suisse de cette Union (Accord de siège)</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UPOV/INF/9 signé en novembre 1983</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UPOV/INF/10</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Audit interne</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UPOV/INF/10/1 adopté en octobre 2010</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UPOV/INF/12</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 xml:space="preserve">Notes explicatives concernant les dénominations variétales en vertu de la </w:t>
            </w:r>
            <w:r w:rsidR="00131117" w:rsidRPr="006D55CC">
              <w:rPr>
                <w:rFonts w:cs="Arial"/>
                <w:sz w:val="18"/>
                <w:szCs w:val="18"/>
                <w:lang w:val="fr-FR"/>
              </w:rPr>
              <w:t>Convention UPOV</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UPOV/INF/12/4 adopté en novembre 2012</w:t>
            </w:r>
          </w:p>
          <w:p w:rsidR="005E36DB" w:rsidRPr="006D55CC" w:rsidRDefault="005E36DB" w:rsidP="00892799">
            <w:pPr>
              <w:jc w:val="left"/>
              <w:rPr>
                <w:rFonts w:cs="Arial"/>
                <w:spacing w:val="-2"/>
                <w:sz w:val="18"/>
                <w:szCs w:val="18"/>
                <w:lang w:val="fr-FR"/>
              </w:rPr>
            </w:pPr>
            <w:r w:rsidRPr="006D55CC">
              <w:rPr>
                <w:rFonts w:cs="Arial"/>
                <w:sz w:val="18"/>
                <w:szCs w:val="18"/>
                <w:lang w:val="fr-FR"/>
              </w:rPr>
              <w:t>Annexe</w:t>
            </w:r>
            <w:r w:rsidR="008902E8" w:rsidRPr="006D55CC">
              <w:rPr>
                <w:rFonts w:cs="Arial"/>
                <w:sz w:val="18"/>
                <w:szCs w:val="18"/>
                <w:lang w:val="fr-FR"/>
              </w:rPr>
              <w:t> </w:t>
            </w:r>
            <w:r w:rsidRPr="006D55CC">
              <w:rPr>
                <w:rFonts w:cs="Arial"/>
                <w:sz w:val="18"/>
                <w:szCs w:val="18"/>
                <w:lang w:val="fr-FR"/>
              </w:rPr>
              <w:t>III du document C/49/14 devant être examiné par le </w:t>
            </w:r>
            <w:r w:rsidRPr="006D55CC">
              <w:rPr>
                <w:rFonts w:cs="Arial"/>
                <w:spacing w:val="-2"/>
                <w:sz w:val="18"/>
                <w:szCs w:val="18"/>
                <w:lang w:val="fr-FR"/>
              </w:rPr>
              <w:t>Conseil en octobre 2015</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UPOV/INF/13</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Document d</w:t>
            </w:r>
            <w:r w:rsidR="00131117" w:rsidRPr="006D55CC">
              <w:rPr>
                <w:rFonts w:cs="Arial"/>
                <w:sz w:val="18"/>
                <w:szCs w:val="18"/>
                <w:lang w:val="fr-FR"/>
              </w:rPr>
              <w:t>’</w:t>
            </w:r>
            <w:r w:rsidRPr="006D55CC">
              <w:rPr>
                <w:rFonts w:cs="Arial"/>
                <w:sz w:val="18"/>
                <w:szCs w:val="18"/>
                <w:lang w:val="fr-FR"/>
              </w:rPr>
              <w:t>orientation concernant la procédure à suivre pour devenir membre de l</w:t>
            </w:r>
            <w:r w:rsidR="00131117" w:rsidRPr="006D55CC">
              <w:rPr>
                <w:rFonts w:cs="Arial"/>
                <w:sz w:val="18"/>
                <w:szCs w:val="18"/>
                <w:lang w:val="fr-FR"/>
              </w:rPr>
              <w:t>’</w:t>
            </w:r>
            <w:r w:rsidRPr="006D55CC">
              <w:rPr>
                <w:rFonts w:cs="Arial"/>
                <w:sz w:val="18"/>
                <w:szCs w:val="18"/>
                <w:lang w:val="fr-FR"/>
              </w:rPr>
              <w:t>UPOV</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UPOV/INF/13/1 adopté en octobre 2009</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UPOV/INF/14</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Document d</w:t>
            </w:r>
            <w:r w:rsidR="00131117" w:rsidRPr="006D55CC">
              <w:rPr>
                <w:rFonts w:cs="Arial"/>
                <w:sz w:val="18"/>
                <w:szCs w:val="18"/>
                <w:lang w:val="fr-FR"/>
              </w:rPr>
              <w:t>’</w:t>
            </w:r>
            <w:r w:rsidRPr="006D55CC">
              <w:rPr>
                <w:rFonts w:cs="Arial"/>
                <w:sz w:val="18"/>
                <w:szCs w:val="18"/>
                <w:lang w:val="fr-FR"/>
              </w:rPr>
              <w:t>orientation destiné aux membres de l</w:t>
            </w:r>
            <w:r w:rsidR="00131117" w:rsidRPr="006D55CC">
              <w:rPr>
                <w:rFonts w:cs="Arial"/>
                <w:sz w:val="18"/>
                <w:szCs w:val="18"/>
                <w:lang w:val="fr-FR"/>
              </w:rPr>
              <w:t>’</w:t>
            </w:r>
            <w:r w:rsidRPr="006D55CC">
              <w:rPr>
                <w:rFonts w:cs="Arial"/>
                <w:sz w:val="18"/>
                <w:szCs w:val="18"/>
                <w:lang w:val="fr-FR"/>
              </w:rPr>
              <w:t>UPOV concernant la procédure à suivre pour ratifier l</w:t>
            </w:r>
            <w:r w:rsidR="00131117" w:rsidRPr="006D55CC">
              <w:rPr>
                <w:rFonts w:cs="Arial"/>
                <w:sz w:val="18"/>
                <w:szCs w:val="18"/>
                <w:lang w:val="fr-FR"/>
              </w:rPr>
              <w:t>’</w:t>
            </w:r>
            <w:r w:rsidRPr="006D55CC">
              <w:rPr>
                <w:rFonts w:cs="Arial"/>
                <w:sz w:val="18"/>
                <w:szCs w:val="18"/>
                <w:lang w:val="fr-FR"/>
              </w:rPr>
              <w:t xml:space="preserve">Acte de 1991 de la </w:t>
            </w:r>
            <w:r w:rsidR="00131117" w:rsidRPr="006D55CC">
              <w:rPr>
                <w:rFonts w:cs="Arial"/>
                <w:sz w:val="18"/>
                <w:szCs w:val="18"/>
                <w:lang w:val="fr-FR"/>
              </w:rPr>
              <w:t>Convention UPOV</w:t>
            </w:r>
            <w:r w:rsidRPr="006D55CC">
              <w:rPr>
                <w:rFonts w:cs="Arial"/>
                <w:sz w:val="18"/>
                <w:szCs w:val="18"/>
                <w:lang w:val="fr-FR"/>
              </w:rPr>
              <w:t xml:space="preserve"> ou y adhérer</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UPOV/INF/14/1 adopté en octobre 2009</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UPOV/INF/15</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Document d</w:t>
            </w:r>
            <w:r w:rsidR="00131117" w:rsidRPr="006D55CC">
              <w:rPr>
                <w:rFonts w:cs="Arial"/>
                <w:sz w:val="18"/>
                <w:szCs w:val="18"/>
                <w:lang w:val="fr-FR"/>
              </w:rPr>
              <w:t>’</w:t>
            </w:r>
            <w:r w:rsidRPr="006D55CC">
              <w:rPr>
                <w:rFonts w:cs="Arial"/>
                <w:sz w:val="18"/>
                <w:szCs w:val="18"/>
                <w:lang w:val="fr-FR"/>
              </w:rPr>
              <w:t>orientation destiné aux membres de l</w:t>
            </w:r>
            <w:r w:rsidR="00131117" w:rsidRPr="006D55CC">
              <w:rPr>
                <w:rFonts w:cs="Arial"/>
                <w:sz w:val="18"/>
                <w:szCs w:val="18"/>
                <w:lang w:val="fr-FR"/>
              </w:rPr>
              <w:t>’</w:t>
            </w:r>
            <w:r w:rsidRPr="006D55CC">
              <w:rPr>
                <w:rFonts w:cs="Arial"/>
                <w:sz w:val="18"/>
                <w:szCs w:val="18"/>
                <w:lang w:val="fr-FR"/>
              </w:rPr>
              <w:t>UPOV concernant les obligations en cours et les notifications connexes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UPOV/INF/15/3 adopté par le Conseil en</w:t>
            </w:r>
            <w:r w:rsidRPr="006D55CC">
              <w:rPr>
                <w:rFonts w:cs="Arial"/>
                <w:spacing w:val="-2"/>
                <w:sz w:val="18"/>
                <w:szCs w:val="18"/>
                <w:lang w:val="fr-FR"/>
              </w:rPr>
              <w:t xml:space="preserve"> mars 2015</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UPOV/INF/16</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Logiciels échangeables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UPOV/INF/16/4 adopté en octobre 2014</w:t>
            </w:r>
          </w:p>
          <w:p w:rsidR="005E36DB" w:rsidRPr="006D55CC" w:rsidRDefault="005E36DB" w:rsidP="00892799">
            <w:pPr>
              <w:jc w:val="left"/>
              <w:rPr>
                <w:rFonts w:cs="Arial"/>
                <w:strike/>
                <w:sz w:val="18"/>
                <w:szCs w:val="18"/>
                <w:lang w:val="fr-FR"/>
              </w:rPr>
            </w:pPr>
            <w:r w:rsidRPr="006D55CC">
              <w:rPr>
                <w:rFonts w:cs="Arial"/>
                <w:sz w:val="18"/>
                <w:szCs w:val="18"/>
                <w:lang w:val="fr-FR"/>
              </w:rPr>
              <w:t>Document UPOV/INF/16/5 Draft 1 devant être examiné par le </w:t>
            </w:r>
            <w:r w:rsidRPr="006D55CC">
              <w:rPr>
                <w:rFonts w:cs="Arial"/>
                <w:spacing w:val="-2"/>
                <w:sz w:val="18"/>
                <w:szCs w:val="18"/>
                <w:lang w:val="fr-FR"/>
              </w:rPr>
              <w:t>Conseil en octobre 2015</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UPOV/INF/17</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Directives concernant les profils d</w:t>
            </w:r>
            <w:r w:rsidR="00131117" w:rsidRPr="006D55CC">
              <w:rPr>
                <w:rFonts w:cs="Arial"/>
                <w:sz w:val="18"/>
                <w:szCs w:val="18"/>
                <w:lang w:val="fr-FR"/>
              </w:rPr>
              <w:t>’</w:t>
            </w:r>
            <w:r w:rsidRPr="006D55CC">
              <w:rPr>
                <w:rFonts w:cs="Arial"/>
                <w:sz w:val="18"/>
                <w:szCs w:val="18"/>
                <w:lang w:val="fr-FR"/>
              </w:rPr>
              <w:t>ADN : choix des marqueurs moléculaires et construction d</w:t>
            </w:r>
            <w:r w:rsidR="00131117" w:rsidRPr="006D55CC">
              <w:rPr>
                <w:rFonts w:cs="Arial"/>
                <w:sz w:val="18"/>
                <w:szCs w:val="18"/>
                <w:lang w:val="fr-FR"/>
              </w:rPr>
              <w:t>’</w:t>
            </w:r>
            <w:r w:rsidRPr="006D55CC">
              <w:rPr>
                <w:rFonts w:cs="Arial"/>
                <w:sz w:val="18"/>
                <w:szCs w:val="18"/>
                <w:lang w:val="fr-FR"/>
              </w:rPr>
              <w:t>une base de données y relative (“Directives BMT”)</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UPOV/INF/17/1 adopté en octobre 2010</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UPOV/INF/18</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Utilisation possible des marqueurs moléculaires dans l</w:t>
            </w:r>
            <w:r w:rsidR="00131117" w:rsidRPr="006D55CC">
              <w:rPr>
                <w:rFonts w:cs="Arial"/>
                <w:sz w:val="18"/>
                <w:szCs w:val="18"/>
                <w:lang w:val="fr-FR"/>
              </w:rPr>
              <w:t>’</w:t>
            </w:r>
            <w:r w:rsidRPr="006D55CC">
              <w:rPr>
                <w:rFonts w:cs="Arial"/>
                <w:sz w:val="18"/>
                <w:szCs w:val="18"/>
                <w:lang w:val="fr-FR"/>
              </w:rPr>
              <w:t>examen de la distinction, de l</w:t>
            </w:r>
            <w:r w:rsidR="00131117" w:rsidRPr="006D55CC">
              <w:rPr>
                <w:rFonts w:cs="Arial"/>
                <w:sz w:val="18"/>
                <w:szCs w:val="18"/>
                <w:lang w:val="fr-FR"/>
              </w:rPr>
              <w:t>’</w:t>
            </w:r>
            <w:r w:rsidRPr="006D55CC">
              <w:rPr>
                <w:rFonts w:cs="Arial"/>
                <w:sz w:val="18"/>
                <w:szCs w:val="18"/>
                <w:lang w:val="fr-FR"/>
              </w:rPr>
              <w:t>homogénéité et de la stabilité (DHS)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UPOV/INF/18/1 adopté en octobre 2011</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UPOV/INF/19</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Règles concernant l</w:t>
            </w:r>
            <w:r w:rsidR="00131117" w:rsidRPr="006D55CC">
              <w:rPr>
                <w:rFonts w:cs="Arial"/>
                <w:sz w:val="18"/>
                <w:szCs w:val="18"/>
                <w:lang w:val="fr-FR"/>
              </w:rPr>
              <w:t>’</w:t>
            </w:r>
            <w:r w:rsidRPr="006D55CC">
              <w:rPr>
                <w:rFonts w:cs="Arial"/>
                <w:sz w:val="18"/>
                <w:szCs w:val="18"/>
                <w:lang w:val="fr-FR"/>
              </w:rPr>
              <w:t>octroi à des États et à des organisations intergouvernementales ou des organisations internationales non gouvernementales du statut d</w:t>
            </w:r>
            <w:r w:rsidR="00131117" w:rsidRPr="006D55CC">
              <w:rPr>
                <w:rFonts w:cs="Arial"/>
                <w:sz w:val="18"/>
                <w:szCs w:val="18"/>
                <w:lang w:val="fr-FR"/>
              </w:rPr>
              <w:t>’</w:t>
            </w:r>
            <w:r w:rsidRPr="006D55CC">
              <w:rPr>
                <w:rFonts w:cs="Arial"/>
                <w:sz w:val="18"/>
                <w:szCs w:val="18"/>
                <w:lang w:val="fr-FR"/>
              </w:rPr>
              <w:t>observateur auprès des organes de l</w:t>
            </w:r>
            <w:r w:rsidR="00131117" w:rsidRPr="006D55CC">
              <w:rPr>
                <w:rFonts w:cs="Arial"/>
                <w:sz w:val="18"/>
                <w:szCs w:val="18"/>
                <w:lang w:val="fr-FR"/>
              </w:rPr>
              <w:t>’</w:t>
            </w:r>
            <w:r w:rsidRPr="006D55CC">
              <w:rPr>
                <w:rFonts w:cs="Arial"/>
                <w:sz w:val="18"/>
                <w:szCs w:val="18"/>
                <w:lang w:val="fr-FR"/>
              </w:rPr>
              <w:t>UPOV</w:t>
            </w:r>
          </w:p>
        </w:tc>
        <w:tc>
          <w:tcPr>
            <w:tcW w:w="3920" w:type="dxa"/>
          </w:tcPr>
          <w:p w:rsidR="005E36DB" w:rsidRPr="006D55CC" w:rsidRDefault="005E36DB" w:rsidP="00892799">
            <w:pPr>
              <w:jc w:val="left"/>
              <w:rPr>
                <w:rFonts w:cs="Arial"/>
                <w:iCs/>
                <w:sz w:val="18"/>
                <w:szCs w:val="18"/>
                <w:lang w:val="fr-FR"/>
              </w:rPr>
            </w:pPr>
            <w:r w:rsidRPr="006D55CC">
              <w:rPr>
                <w:rFonts w:cs="Arial"/>
                <w:iCs/>
                <w:sz w:val="18"/>
                <w:szCs w:val="18"/>
                <w:lang w:val="fr-FR"/>
              </w:rPr>
              <w:t>UPOV/INF/19/1 adopté en novembre 2012</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UPOV/INF/20</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Règles concernant l</w:t>
            </w:r>
            <w:r w:rsidR="00131117" w:rsidRPr="006D55CC">
              <w:rPr>
                <w:rFonts w:cs="Arial"/>
                <w:sz w:val="18"/>
                <w:szCs w:val="18"/>
                <w:lang w:val="fr-FR"/>
              </w:rPr>
              <w:t>’</w:t>
            </w:r>
            <w:r w:rsidRPr="006D55CC">
              <w:rPr>
                <w:rFonts w:cs="Arial"/>
                <w:sz w:val="18"/>
                <w:szCs w:val="18"/>
                <w:lang w:val="fr-FR"/>
              </w:rPr>
              <w:t>accès aux documents de l</w:t>
            </w:r>
            <w:r w:rsidR="00131117" w:rsidRPr="006D55CC">
              <w:rPr>
                <w:rFonts w:cs="Arial"/>
                <w:sz w:val="18"/>
                <w:szCs w:val="18"/>
                <w:lang w:val="fr-FR"/>
              </w:rPr>
              <w:t>’</w:t>
            </w:r>
            <w:r w:rsidRPr="006D55CC">
              <w:rPr>
                <w:rFonts w:cs="Arial"/>
                <w:sz w:val="18"/>
                <w:szCs w:val="18"/>
                <w:lang w:val="fr-FR"/>
              </w:rPr>
              <w:t>UPOV</w:t>
            </w:r>
          </w:p>
        </w:tc>
        <w:tc>
          <w:tcPr>
            <w:tcW w:w="3920" w:type="dxa"/>
          </w:tcPr>
          <w:p w:rsidR="005E36DB" w:rsidRPr="006D55CC" w:rsidRDefault="005E36DB" w:rsidP="00892799">
            <w:pPr>
              <w:jc w:val="left"/>
              <w:rPr>
                <w:rFonts w:cs="Arial"/>
                <w:iCs/>
                <w:sz w:val="18"/>
                <w:szCs w:val="18"/>
                <w:lang w:val="fr-FR"/>
              </w:rPr>
            </w:pPr>
            <w:r w:rsidRPr="006D55CC">
              <w:rPr>
                <w:rFonts w:cs="Arial"/>
                <w:iCs/>
                <w:sz w:val="18"/>
                <w:szCs w:val="18"/>
                <w:lang w:val="fr-FR"/>
              </w:rPr>
              <w:t>UPOV/INF/20/1 adopté en novembre 2012</w:t>
            </w:r>
          </w:p>
        </w:tc>
      </w:tr>
      <w:tr w:rsidR="006D55CC" w:rsidRPr="006D55CC" w:rsidTr="006F5AA1">
        <w:trPr>
          <w:cantSplit/>
          <w:jc w:val="center"/>
        </w:trPr>
        <w:tc>
          <w:tcPr>
            <w:tcW w:w="1758" w:type="dxa"/>
          </w:tcPr>
          <w:p w:rsidR="005E36DB" w:rsidRPr="006D55CC" w:rsidRDefault="005E36DB" w:rsidP="00892799">
            <w:pPr>
              <w:jc w:val="left"/>
              <w:rPr>
                <w:rFonts w:cs="Arial"/>
                <w:sz w:val="18"/>
                <w:szCs w:val="18"/>
                <w:lang w:val="fr-FR"/>
              </w:rPr>
            </w:pPr>
            <w:r w:rsidRPr="006D55CC">
              <w:rPr>
                <w:rFonts w:cs="Arial"/>
                <w:sz w:val="18"/>
                <w:szCs w:val="18"/>
                <w:lang w:val="fr-FR"/>
              </w:rPr>
              <w:t>UPOV/INF/21</w:t>
            </w:r>
          </w:p>
        </w:tc>
        <w:tc>
          <w:tcPr>
            <w:tcW w:w="4807" w:type="dxa"/>
          </w:tcPr>
          <w:p w:rsidR="005E36DB" w:rsidRPr="006D55CC" w:rsidRDefault="005E36DB" w:rsidP="00892799">
            <w:pPr>
              <w:jc w:val="left"/>
              <w:rPr>
                <w:rFonts w:cs="Arial"/>
                <w:sz w:val="18"/>
                <w:szCs w:val="18"/>
                <w:lang w:val="fr-FR"/>
              </w:rPr>
            </w:pPr>
            <w:r w:rsidRPr="006D55CC">
              <w:rPr>
                <w:rFonts w:cs="Arial"/>
                <w:sz w:val="18"/>
                <w:szCs w:val="18"/>
                <w:lang w:val="fr-FR"/>
              </w:rPr>
              <w:t>Mécanismes extrajudiciaires de règlement des litiges</w:t>
            </w:r>
          </w:p>
        </w:tc>
        <w:tc>
          <w:tcPr>
            <w:tcW w:w="3920" w:type="dxa"/>
          </w:tcPr>
          <w:p w:rsidR="005E36DB" w:rsidRPr="006D55CC" w:rsidRDefault="005E36DB" w:rsidP="00892799">
            <w:pPr>
              <w:jc w:val="left"/>
              <w:rPr>
                <w:rFonts w:cs="Arial"/>
                <w:sz w:val="18"/>
                <w:szCs w:val="18"/>
                <w:lang w:val="fr-FR"/>
              </w:rPr>
            </w:pPr>
            <w:r w:rsidRPr="006D55CC">
              <w:rPr>
                <w:rFonts w:cs="Arial"/>
                <w:sz w:val="18"/>
                <w:szCs w:val="18"/>
                <w:lang w:val="fr-FR"/>
              </w:rPr>
              <w:t>UPOV/INF/21/1 adopté en novembre 2012</w:t>
            </w:r>
          </w:p>
        </w:tc>
      </w:tr>
      <w:tr w:rsidR="005E36DB" w:rsidRPr="006D55CC" w:rsidTr="006F5AA1">
        <w:trPr>
          <w:cantSplit/>
          <w:jc w:val="center"/>
        </w:trPr>
        <w:tc>
          <w:tcPr>
            <w:tcW w:w="1758" w:type="dxa"/>
          </w:tcPr>
          <w:p w:rsidR="005E36DB" w:rsidRPr="006D55CC" w:rsidRDefault="005E36DB" w:rsidP="00892799">
            <w:pPr>
              <w:rPr>
                <w:sz w:val="18"/>
                <w:szCs w:val="18"/>
                <w:lang w:val="fr-FR"/>
              </w:rPr>
            </w:pPr>
            <w:r w:rsidRPr="006D55CC">
              <w:rPr>
                <w:sz w:val="18"/>
                <w:szCs w:val="18"/>
                <w:lang w:val="fr-FR"/>
              </w:rPr>
              <w:t>UPOV/INF/22</w:t>
            </w:r>
          </w:p>
        </w:tc>
        <w:tc>
          <w:tcPr>
            <w:tcW w:w="4807" w:type="dxa"/>
          </w:tcPr>
          <w:p w:rsidR="005E36DB" w:rsidRPr="006D55CC" w:rsidRDefault="005E36DB" w:rsidP="00565D72">
            <w:pPr>
              <w:jc w:val="left"/>
              <w:rPr>
                <w:sz w:val="18"/>
                <w:szCs w:val="18"/>
                <w:lang w:val="fr-FR"/>
              </w:rPr>
            </w:pPr>
            <w:r w:rsidRPr="006D55CC">
              <w:rPr>
                <w:sz w:val="18"/>
                <w:szCs w:val="18"/>
                <w:lang w:val="fr-FR"/>
              </w:rPr>
              <w:t>Logiciels et équipements utilisés par les membres de l</w:t>
            </w:r>
            <w:r w:rsidR="00131117" w:rsidRPr="006D55CC">
              <w:rPr>
                <w:sz w:val="18"/>
                <w:szCs w:val="18"/>
                <w:lang w:val="fr-FR"/>
              </w:rPr>
              <w:t>’</w:t>
            </w:r>
            <w:r w:rsidRPr="006D55CC">
              <w:rPr>
                <w:sz w:val="18"/>
                <w:szCs w:val="18"/>
                <w:lang w:val="fr-FR"/>
              </w:rPr>
              <w:t xml:space="preserve">Union </w:t>
            </w:r>
          </w:p>
        </w:tc>
        <w:tc>
          <w:tcPr>
            <w:tcW w:w="3920" w:type="dxa"/>
          </w:tcPr>
          <w:p w:rsidR="005E36DB" w:rsidRPr="006D55CC" w:rsidRDefault="005E36DB" w:rsidP="00892799">
            <w:pPr>
              <w:jc w:val="left"/>
              <w:rPr>
                <w:sz w:val="18"/>
                <w:szCs w:val="18"/>
                <w:lang w:val="fr-FR"/>
              </w:rPr>
            </w:pPr>
            <w:r w:rsidRPr="006D55CC">
              <w:rPr>
                <w:sz w:val="18"/>
                <w:szCs w:val="18"/>
                <w:lang w:val="fr-FR"/>
              </w:rPr>
              <w:t>UPOV/INF/22/1 adopté en octobre 2014</w:t>
            </w:r>
          </w:p>
          <w:p w:rsidR="005E36DB" w:rsidRPr="006D55CC" w:rsidRDefault="005E36DB" w:rsidP="00892799">
            <w:pPr>
              <w:jc w:val="left"/>
              <w:rPr>
                <w:sz w:val="18"/>
                <w:szCs w:val="18"/>
                <w:highlight w:val="yellow"/>
                <w:lang w:val="fr-FR"/>
              </w:rPr>
            </w:pPr>
            <w:r w:rsidRPr="006D55CC">
              <w:rPr>
                <w:rFonts w:cs="Arial"/>
                <w:sz w:val="18"/>
                <w:szCs w:val="18"/>
                <w:lang w:val="fr-FR"/>
              </w:rPr>
              <w:t>Document UPOV/INF/22/2 Draft 1 devant être examiné par le </w:t>
            </w:r>
            <w:r w:rsidRPr="006D55CC">
              <w:rPr>
                <w:rFonts w:cs="Arial"/>
                <w:spacing w:val="-2"/>
                <w:sz w:val="18"/>
                <w:szCs w:val="18"/>
                <w:lang w:val="fr-FR"/>
              </w:rPr>
              <w:t>Conseil en octobre 2015</w:t>
            </w:r>
          </w:p>
        </w:tc>
      </w:tr>
    </w:tbl>
    <w:p w:rsidR="005E36DB" w:rsidRPr="006D55CC" w:rsidRDefault="005E36DB" w:rsidP="00892799">
      <w:pPr>
        <w:rPr>
          <w:lang w:val="fr-FR"/>
        </w:rPr>
      </w:pPr>
    </w:p>
    <w:p w:rsidR="005E36DB" w:rsidRDefault="005E36DB" w:rsidP="00892799">
      <w:pPr>
        <w:rPr>
          <w:lang w:val="fr-FR"/>
        </w:rPr>
      </w:pPr>
    </w:p>
    <w:p w:rsidR="00B15BB2" w:rsidRPr="006D55CC" w:rsidRDefault="00B15BB2" w:rsidP="00892799">
      <w:pPr>
        <w:rPr>
          <w:lang w:val="fr-FR"/>
        </w:rPr>
      </w:pPr>
    </w:p>
    <w:p w:rsidR="005E36DB" w:rsidRPr="006D55CC" w:rsidRDefault="005E36DB" w:rsidP="00892799">
      <w:pPr>
        <w:jc w:val="right"/>
        <w:rPr>
          <w:lang w:val="fr-FR"/>
        </w:rPr>
      </w:pPr>
      <w:r w:rsidRPr="006D55CC">
        <w:rPr>
          <w:lang w:val="fr-FR"/>
        </w:rPr>
        <w:t>[Fin de l</w:t>
      </w:r>
      <w:r w:rsidR="00131117" w:rsidRPr="006D55CC">
        <w:rPr>
          <w:lang w:val="fr-FR"/>
        </w:rPr>
        <w:t>’</w:t>
      </w:r>
      <w:r w:rsidRPr="006D55CC">
        <w:rPr>
          <w:lang w:val="fr-FR"/>
        </w:rPr>
        <w:t>annexe et du document]</w:t>
      </w:r>
    </w:p>
    <w:sectPr w:rsidR="005E36DB" w:rsidRPr="006D55CC" w:rsidSect="00077DCD">
      <w:headerReference w:type="default" r:id="rId11"/>
      <w:foot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5ED" w:rsidRDefault="005275ED">
      <w:r>
        <w:separator/>
      </w:r>
    </w:p>
    <w:p w:rsidR="005275ED" w:rsidRDefault="005275ED"/>
    <w:p w:rsidR="005275ED" w:rsidRDefault="005275ED"/>
  </w:endnote>
  <w:endnote w:type="continuationSeparator" w:id="0">
    <w:p w:rsidR="005275ED" w:rsidRDefault="005275ED">
      <w:r>
        <w:separator/>
      </w:r>
    </w:p>
    <w:p w:rsidR="005275ED" w:rsidRPr="00664515" w:rsidRDefault="005275ED">
      <w:pPr>
        <w:pStyle w:val="Footer"/>
        <w:spacing w:after="60"/>
        <w:rPr>
          <w:sz w:val="18"/>
          <w:lang w:val="fr-CH"/>
        </w:rPr>
      </w:pPr>
      <w:r w:rsidRPr="00664515">
        <w:rPr>
          <w:sz w:val="18"/>
          <w:lang w:val="fr-CH"/>
        </w:rPr>
        <w:t>[Suite de la note de la page précédente]</w:t>
      </w:r>
    </w:p>
    <w:p w:rsidR="005275ED" w:rsidRPr="00664515" w:rsidRDefault="005275ED">
      <w:pPr>
        <w:rPr>
          <w:lang w:val="fr-CH"/>
        </w:rPr>
      </w:pPr>
    </w:p>
    <w:p w:rsidR="005275ED" w:rsidRPr="00664515" w:rsidRDefault="005275ED">
      <w:pPr>
        <w:rPr>
          <w:lang w:val="fr-CH"/>
        </w:rPr>
      </w:pPr>
    </w:p>
  </w:endnote>
  <w:endnote w:type="continuationNotice" w:id="1">
    <w:p w:rsidR="005275ED" w:rsidRPr="00664515" w:rsidRDefault="005275ED">
      <w:pPr>
        <w:spacing w:before="60"/>
        <w:jc w:val="right"/>
        <w:rPr>
          <w:sz w:val="18"/>
          <w:lang w:val="fr-CH"/>
        </w:rPr>
      </w:pPr>
      <w:r w:rsidRPr="00664515">
        <w:rPr>
          <w:sz w:val="18"/>
          <w:lang w:val="fr-CH"/>
        </w:rPr>
        <w:t>[Suite de la note page suivante]</w:t>
      </w:r>
    </w:p>
    <w:p w:rsidR="005275ED" w:rsidRPr="00664515" w:rsidRDefault="005275ED">
      <w:pPr>
        <w:rPr>
          <w:lang w:val="fr-CH"/>
        </w:rPr>
      </w:pPr>
    </w:p>
    <w:p w:rsidR="005275ED" w:rsidRPr="00664515" w:rsidRDefault="005275ED">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ED" w:rsidRPr="00001960" w:rsidRDefault="005275ED" w:rsidP="000019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5ED" w:rsidRDefault="005275ED" w:rsidP="009D690D">
      <w:pPr>
        <w:spacing w:before="120"/>
      </w:pPr>
      <w:r>
        <w:separator/>
      </w:r>
    </w:p>
  </w:footnote>
  <w:footnote w:type="continuationSeparator" w:id="0">
    <w:p w:rsidR="005275ED" w:rsidRDefault="005275ED" w:rsidP="00520297">
      <w:pPr>
        <w:spacing w:before="120"/>
        <w:jc w:val="left"/>
      </w:pPr>
      <w:r>
        <w:separator/>
      </w:r>
    </w:p>
  </w:footnote>
  <w:footnote w:type="continuationNotice" w:id="1">
    <w:p w:rsidR="005275ED" w:rsidRDefault="005275ED"/>
  </w:footnote>
  <w:footnote w:id="2">
    <w:p w:rsidR="005275ED" w:rsidRPr="006D55CC" w:rsidRDefault="005275ED" w:rsidP="0026313F">
      <w:pPr>
        <w:pStyle w:val="FootnoteText"/>
        <w:rPr>
          <w:lang w:val="fr-FR"/>
        </w:rPr>
      </w:pPr>
      <w:r w:rsidRPr="006D55CC">
        <w:rPr>
          <w:rStyle w:val="FootnoteReference"/>
          <w:lang w:val="fr-FR"/>
        </w:rPr>
        <w:footnoteRef/>
      </w:r>
      <w:r w:rsidRPr="006D55CC">
        <w:rPr>
          <w:lang w:val="fr-FR"/>
        </w:rPr>
        <w:t xml:space="preserve"> </w:t>
      </w:r>
      <w:r w:rsidRPr="006D55CC">
        <w:rPr>
          <w:lang w:val="fr-FR"/>
        </w:rPr>
        <w:tab/>
        <w:t>Tenue à Genève le 24 octobre 2005.</w:t>
      </w:r>
    </w:p>
  </w:footnote>
  <w:footnote w:id="3">
    <w:p w:rsidR="005275ED" w:rsidRPr="006D55CC" w:rsidRDefault="005275ED" w:rsidP="0026313F">
      <w:pPr>
        <w:pStyle w:val="FootnoteText"/>
        <w:rPr>
          <w:lang w:val="fr-FR"/>
        </w:rPr>
      </w:pPr>
      <w:r w:rsidRPr="006D55CC">
        <w:rPr>
          <w:rStyle w:val="FootnoteReference"/>
          <w:lang w:val="fr-FR"/>
        </w:rPr>
        <w:footnoteRef/>
      </w:r>
      <w:r w:rsidRPr="006D55CC">
        <w:rPr>
          <w:lang w:val="fr-FR"/>
        </w:rPr>
        <w:t xml:space="preserve"> </w:t>
      </w:r>
      <w:r w:rsidRPr="006D55CC">
        <w:rPr>
          <w:lang w:val="fr-FR"/>
        </w:rPr>
        <w:tab/>
        <w:t>Voir les paragraphes 8 à 10 du document CAJ/52/4 intitulé “Méthode d’élaboration de matériels d’information concernant l’Acte de 1991 de la Convention UPOV”.</w:t>
      </w:r>
    </w:p>
  </w:footnote>
  <w:footnote w:id="4">
    <w:p w:rsidR="005275ED" w:rsidRPr="006D55CC" w:rsidRDefault="005275ED" w:rsidP="0026313F">
      <w:pPr>
        <w:pStyle w:val="FootnoteText"/>
        <w:rPr>
          <w:lang w:val="fr-FR"/>
        </w:rPr>
      </w:pPr>
      <w:r w:rsidRPr="006D55CC">
        <w:rPr>
          <w:rStyle w:val="FootnoteReference"/>
          <w:lang w:val="fr-FR"/>
        </w:rPr>
        <w:footnoteRef/>
      </w:r>
      <w:r w:rsidRPr="006D55CC">
        <w:rPr>
          <w:lang w:val="fr-FR"/>
        </w:rPr>
        <w:t xml:space="preserve"> </w:t>
      </w:r>
      <w:r w:rsidRPr="006D55CC">
        <w:rPr>
          <w:lang w:val="fr-FR"/>
        </w:rPr>
        <w:tab/>
        <w:t>Voir les paragraphes 11 à 14 du document CAJ/52/4 et le paragraphe 67 du document CAJ/52/5 “Compte rendu”.</w:t>
      </w:r>
    </w:p>
  </w:footnote>
  <w:footnote w:id="5">
    <w:p w:rsidR="005275ED" w:rsidRPr="006D55CC" w:rsidRDefault="005275ED" w:rsidP="0026313F">
      <w:pPr>
        <w:pStyle w:val="FootnoteText"/>
        <w:rPr>
          <w:lang w:val="fr-FR"/>
        </w:rPr>
      </w:pPr>
      <w:r w:rsidRPr="006D55CC">
        <w:rPr>
          <w:rStyle w:val="FootnoteReference"/>
          <w:lang w:val="fr-FR"/>
        </w:rPr>
        <w:footnoteRef/>
      </w:r>
      <w:r w:rsidRPr="006D55CC">
        <w:rPr>
          <w:lang w:val="fr-FR"/>
        </w:rPr>
        <w:t xml:space="preserve"> </w:t>
      </w:r>
      <w:r w:rsidRPr="006D55CC">
        <w:rPr>
          <w:lang w:val="fr-FR"/>
        </w:rPr>
        <w:tab/>
        <w:t>Tenue à Genève le 13 octobre 2014.</w:t>
      </w:r>
    </w:p>
  </w:footnote>
  <w:footnote w:id="6">
    <w:p w:rsidR="005275ED" w:rsidRPr="006D55CC" w:rsidRDefault="005275ED" w:rsidP="0026313F">
      <w:pPr>
        <w:pStyle w:val="FootnoteText"/>
        <w:rPr>
          <w:lang w:val="fr-FR"/>
        </w:rPr>
      </w:pPr>
      <w:r w:rsidRPr="006D55CC">
        <w:rPr>
          <w:rStyle w:val="FootnoteReference"/>
          <w:lang w:val="fr-FR"/>
        </w:rPr>
        <w:footnoteRef/>
      </w:r>
      <w:r w:rsidRPr="006D55CC">
        <w:rPr>
          <w:lang w:val="fr-FR"/>
        </w:rPr>
        <w:t xml:space="preserve"> </w:t>
      </w:r>
      <w:r w:rsidRPr="006D55CC">
        <w:rPr>
          <w:lang w:val="fr-FR"/>
        </w:rPr>
        <w:tab/>
        <w:t>Tenue à Genève les 14 et 17 octobre 2014.</w:t>
      </w:r>
    </w:p>
  </w:footnote>
  <w:footnote w:id="7">
    <w:p w:rsidR="005275ED" w:rsidRPr="006D55CC" w:rsidRDefault="005275ED" w:rsidP="0026313F">
      <w:pPr>
        <w:pStyle w:val="FootnoteText"/>
        <w:rPr>
          <w:lang w:val="fr-FR"/>
        </w:rPr>
      </w:pPr>
      <w:r w:rsidRPr="006D55CC">
        <w:rPr>
          <w:rStyle w:val="FootnoteReference"/>
          <w:lang w:val="fr-FR"/>
        </w:rPr>
        <w:footnoteRef/>
      </w:r>
      <w:r w:rsidRPr="006D55CC">
        <w:rPr>
          <w:lang w:val="fr-FR"/>
        </w:rPr>
        <w:t xml:space="preserve"> </w:t>
      </w:r>
      <w:r w:rsidRPr="006D55CC">
        <w:rPr>
          <w:lang w:val="fr-FR"/>
        </w:rPr>
        <w:tab/>
        <w:t>Voir les paragraphes 38 à 41 du document CAJ/70/10 “Compte rendu des conclusions”.</w:t>
      </w:r>
    </w:p>
  </w:footnote>
  <w:footnote w:id="8">
    <w:p w:rsidR="005275ED" w:rsidRPr="006D55CC" w:rsidRDefault="005275ED" w:rsidP="0021431F">
      <w:pPr>
        <w:pStyle w:val="FootnoteText"/>
        <w:rPr>
          <w:szCs w:val="16"/>
        </w:rPr>
      </w:pPr>
      <w:r w:rsidRPr="006D55CC">
        <w:rPr>
          <w:rStyle w:val="FootnoteReference"/>
          <w:szCs w:val="16"/>
        </w:rPr>
        <w:footnoteRef/>
      </w:r>
      <w:r w:rsidRPr="006D55CC">
        <w:rPr>
          <w:szCs w:val="16"/>
        </w:rPr>
        <w:t xml:space="preserve"> </w:t>
      </w:r>
      <w:r w:rsidRPr="006D55CC">
        <w:rPr>
          <w:szCs w:val="16"/>
        </w:rPr>
        <w:tab/>
        <w:t>Tenue à Genève le 26 mars 2015.</w:t>
      </w:r>
    </w:p>
  </w:footnote>
  <w:footnote w:id="9">
    <w:p w:rsidR="005275ED" w:rsidRPr="006D55CC" w:rsidRDefault="005275ED" w:rsidP="001B333C">
      <w:pPr>
        <w:pStyle w:val="FootnoteText"/>
        <w:rPr>
          <w:szCs w:val="16"/>
          <w:lang w:val="fr-FR"/>
        </w:rPr>
      </w:pPr>
      <w:r w:rsidRPr="006D55CC">
        <w:rPr>
          <w:rStyle w:val="FootnoteReference"/>
          <w:szCs w:val="16"/>
          <w:lang w:val="fr-FR"/>
        </w:rPr>
        <w:footnoteRef/>
      </w:r>
      <w:r w:rsidRPr="006D55CC">
        <w:rPr>
          <w:szCs w:val="16"/>
          <w:lang w:val="fr-FR"/>
        </w:rPr>
        <w:t xml:space="preserve"> </w:t>
      </w:r>
      <w:r w:rsidRPr="006D55CC">
        <w:rPr>
          <w:szCs w:val="16"/>
          <w:lang w:val="fr-FR"/>
        </w:rPr>
        <w:tab/>
        <w:t>Tenue à Genève les 14 et 17 octobre 2014.</w:t>
      </w:r>
    </w:p>
  </w:footnote>
  <w:footnote w:id="10">
    <w:p w:rsidR="005275ED" w:rsidRPr="006D55CC" w:rsidRDefault="005275ED" w:rsidP="0021431F">
      <w:pPr>
        <w:pStyle w:val="FootnoteText"/>
        <w:rPr>
          <w:szCs w:val="16"/>
          <w:lang w:val="fr-FR"/>
        </w:rPr>
      </w:pPr>
      <w:r w:rsidRPr="006D55CC">
        <w:rPr>
          <w:rStyle w:val="FootnoteReference"/>
          <w:szCs w:val="16"/>
          <w:lang w:val="fr-FR"/>
        </w:rPr>
        <w:footnoteRef/>
      </w:r>
      <w:r w:rsidRPr="006D55CC">
        <w:rPr>
          <w:szCs w:val="16"/>
          <w:lang w:val="fr-FR"/>
        </w:rPr>
        <w:t xml:space="preserve"> </w:t>
      </w:r>
      <w:r w:rsidRPr="006D55CC">
        <w:rPr>
          <w:szCs w:val="16"/>
          <w:lang w:val="fr-FR"/>
        </w:rPr>
        <w:tab/>
        <w:t>Voir le paragraphe 10 du document CAJ/71/10 “Compte rendu des conclusions”.</w:t>
      </w:r>
    </w:p>
  </w:footnote>
  <w:footnote w:id="11">
    <w:p w:rsidR="005275ED" w:rsidRPr="006D55CC" w:rsidRDefault="005275ED" w:rsidP="0021431F">
      <w:pPr>
        <w:pStyle w:val="FootnoteText"/>
        <w:rPr>
          <w:szCs w:val="16"/>
          <w:lang w:val="fr-FR"/>
        </w:rPr>
      </w:pPr>
      <w:r w:rsidRPr="006D55CC">
        <w:rPr>
          <w:rStyle w:val="FootnoteReference"/>
          <w:szCs w:val="16"/>
          <w:lang w:val="fr-FR"/>
        </w:rPr>
        <w:footnoteRef/>
      </w:r>
      <w:r w:rsidRPr="006D55CC">
        <w:rPr>
          <w:szCs w:val="16"/>
          <w:lang w:val="fr-FR"/>
        </w:rPr>
        <w:t xml:space="preserve"> </w:t>
      </w:r>
      <w:r w:rsidRPr="006D55CC">
        <w:rPr>
          <w:szCs w:val="16"/>
          <w:lang w:val="fr-FR"/>
        </w:rPr>
        <w:tab/>
        <w:t>Voir le paragraphe 11 du document CAJ/71/10 “Compte rendu des conclusions”.</w:t>
      </w:r>
    </w:p>
  </w:footnote>
  <w:footnote w:id="12">
    <w:p w:rsidR="005275ED" w:rsidRPr="006D55CC" w:rsidRDefault="005275ED" w:rsidP="0021431F">
      <w:pPr>
        <w:spacing w:before="60"/>
        <w:ind w:left="567" w:hanging="567"/>
        <w:rPr>
          <w:sz w:val="16"/>
          <w:szCs w:val="16"/>
          <w:lang w:val="fr-FR"/>
        </w:rPr>
      </w:pPr>
      <w:r w:rsidRPr="006D55CC">
        <w:rPr>
          <w:rStyle w:val="FootnoteReference"/>
          <w:sz w:val="16"/>
          <w:szCs w:val="16"/>
          <w:lang w:val="fr-FR"/>
        </w:rPr>
        <w:footnoteRef/>
      </w:r>
      <w:r w:rsidRPr="006D55CC">
        <w:rPr>
          <w:sz w:val="16"/>
          <w:szCs w:val="16"/>
          <w:lang w:val="fr-FR"/>
        </w:rPr>
        <w:t xml:space="preserve"> </w:t>
      </w:r>
      <w:r w:rsidRPr="006D55CC">
        <w:rPr>
          <w:sz w:val="16"/>
          <w:szCs w:val="16"/>
          <w:lang w:val="fr-FR"/>
        </w:rPr>
        <w:tab/>
        <w:t>Voir le paragraphe 12 du document CAJ/71/10 “Compte rendu des conclusions”.</w:t>
      </w:r>
    </w:p>
  </w:footnote>
  <w:footnote w:id="13">
    <w:p w:rsidR="005275ED" w:rsidRPr="006D55CC" w:rsidRDefault="005275ED" w:rsidP="0021431F">
      <w:pPr>
        <w:pStyle w:val="FootnoteText"/>
        <w:rPr>
          <w:szCs w:val="16"/>
          <w:lang w:val="fr-FR"/>
        </w:rPr>
      </w:pPr>
      <w:r w:rsidRPr="006D55CC">
        <w:rPr>
          <w:rStyle w:val="FootnoteReference"/>
          <w:szCs w:val="16"/>
          <w:lang w:val="fr-FR"/>
        </w:rPr>
        <w:footnoteRef/>
      </w:r>
      <w:r w:rsidRPr="006D55CC">
        <w:rPr>
          <w:szCs w:val="16"/>
          <w:lang w:val="fr-FR"/>
        </w:rPr>
        <w:t xml:space="preserve"> </w:t>
      </w:r>
      <w:r w:rsidRPr="006D55CC">
        <w:rPr>
          <w:szCs w:val="16"/>
          <w:lang w:val="fr-FR"/>
        </w:rPr>
        <w:tab/>
        <w:t>Voir le paragraphe 13 du document CAJ/71/10 “Compte rendu des conclusions”.</w:t>
      </w:r>
    </w:p>
  </w:footnote>
  <w:footnote w:id="14">
    <w:p w:rsidR="005275ED" w:rsidRPr="006D55CC" w:rsidRDefault="005275ED" w:rsidP="0021431F">
      <w:pPr>
        <w:spacing w:before="60"/>
        <w:ind w:left="567" w:hanging="567"/>
        <w:rPr>
          <w:sz w:val="16"/>
          <w:szCs w:val="16"/>
          <w:lang w:val="fr-FR"/>
        </w:rPr>
      </w:pPr>
      <w:r w:rsidRPr="006D55CC">
        <w:rPr>
          <w:rStyle w:val="FootnoteReference"/>
          <w:sz w:val="16"/>
          <w:szCs w:val="16"/>
          <w:lang w:val="fr-FR"/>
        </w:rPr>
        <w:footnoteRef/>
      </w:r>
      <w:r w:rsidRPr="006D55CC">
        <w:rPr>
          <w:sz w:val="16"/>
          <w:szCs w:val="16"/>
          <w:lang w:val="fr-FR"/>
        </w:rPr>
        <w:tab/>
        <w:t>Voir le paragraphe 14 du document CAJ/71/10 “Compte rendu des conclusions”.</w:t>
      </w:r>
    </w:p>
  </w:footnote>
  <w:footnote w:id="15">
    <w:p w:rsidR="005275ED" w:rsidRPr="00B15BB2" w:rsidRDefault="005275ED" w:rsidP="001B333C">
      <w:pPr>
        <w:spacing w:before="60"/>
        <w:ind w:left="567" w:hanging="567"/>
        <w:rPr>
          <w:lang w:val="fr-FR"/>
        </w:rPr>
      </w:pPr>
      <w:r w:rsidRPr="00B15BB2">
        <w:rPr>
          <w:rStyle w:val="FootnoteReference"/>
          <w:sz w:val="16"/>
          <w:szCs w:val="16"/>
          <w:lang w:val="fr-FR"/>
        </w:rPr>
        <w:footnoteRef/>
      </w:r>
      <w:r w:rsidRPr="00B15BB2">
        <w:rPr>
          <w:sz w:val="16"/>
          <w:szCs w:val="16"/>
          <w:lang w:val="fr-FR"/>
        </w:rPr>
        <w:tab/>
        <w:t>Voir le paragraphe 15 du document CAJ/71/10 “Compte rendu des conclusions”.</w:t>
      </w:r>
    </w:p>
  </w:footnote>
  <w:footnote w:id="16">
    <w:p w:rsidR="005275ED" w:rsidRPr="00B15BB2" w:rsidRDefault="005275ED" w:rsidP="001B333C">
      <w:pPr>
        <w:spacing w:before="60"/>
        <w:ind w:left="567" w:hanging="567"/>
        <w:rPr>
          <w:sz w:val="16"/>
          <w:szCs w:val="16"/>
          <w:lang w:val="fr-FR"/>
        </w:rPr>
      </w:pPr>
      <w:r w:rsidRPr="00B15BB2">
        <w:rPr>
          <w:rStyle w:val="FootnoteReference"/>
          <w:sz w:val="16"/>
          <w:szCs w:val="16"/>
          <w:lang w:val="fr-FR"/>
        </w:rPr>
        <w:footnoteRef/>
      </w:r>
      <w:r w:rsidRPr="00B15BB2">
        <w:rPr>
          <w:sz w:val="16"/>
          <w:szCs w:val="16"/>
          <w:lang w:val="fr-FR"/>
        </w:rPr>
        <w:t xml:space="preserve"> </w:t>
      </w:r>
      <w:r w:rsidRPr="00B15BB2">
        <w:rPr>
          <w:sz w:val="16"/>
          <w:szCs w:val="16"/>
          <w:lang w:val="fr-FR"/>
        </w:rPr>
        <w:tab/>
        <w:t>Voir le paragraphe 30 du document CAJ/71/10 “Compte rendu des conclusions”.</w:t>
      </w:r>
    </w:p>
  </w:footnote>
  <w:footnote w:id="17">
    <w:p w:rsidR="005275ED" w:rsidRPr="00B15BB2" w:rsidRDefault="005275ED" w:rsidP="001B333C">
      <w:pPr>
        <w:spacing w:before="60"/>
        <w:outlineLvl w:val="1"/>
        <w:rPr>
          <w:sz w:val="16"/>
          <w:szCs w:val="16"/>
          <w:lang w:val="fr-FR"/>
        </w:rPr>
      </w:pPr>
      <w:r w:rsidRPr="00B15BB2">
        <w:rPr>
          <w:rStyle w:val="FootnoteReference"/>
          <w:sz w:val="16"/>
          <w:szCs w:val="16"/>
          <w:lang w:val="fr-FR"/>
        </w:rPr>
        <w:footnoteRef/>
      </w:r>
      <w:r w:rsidRPr="00B15BB2">
        <w:rPr>
          <w:sz w:val="16"/>
          <w:szCs w:val="16"/>
          <w:lang w:val="fr-FR"/>
        </w:rPr>
        <w:tab/>
        <w:t>Voir le paragraphe 24 du document CAJ/71/10 “Compte rendu des conclusions”.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ED" w:rsidRDefault="005275ED">
    <w:pPr>
      <w:jc w:val="center"/>
    </w:pPr>
    <w:r>
      <w:t>CAJ/72/2</w:t>
    </w:r>
  </w:p>
  <w:p w:rsidR="005275ED" w:rsidRDefault="005275ED">
    <w:pPr>
      <w:jc w:val="center"/>
    </w:pPr>
    <w:r>
      <w:t xml:space="preserve">page </w:t>
    </w:r>
    <w:r>
      <w:fldChar w:fldCharType="begin"/>
    </w:r>
    <w:r>
      <w:instrText xml:space="preserve"> PAGE  \* MERGEFORMAT </w:instrText>
    </w:r>
    <w:r>
      <w:fldChar w:fldCharType="separate"/>
    </w:r>
    <w:r w:rsidR="00881E21">
      <w:rPr>
        <w:noProof/>
      </w:rPr>
      <w:t>2</w:t>
    </w:r>
    <w:r>
      <w:fldChar w:fldCharType="end"/>
    </w:r>
  </w:p>
  <w:p w:rsidR="005275ED" w:rsidRDefault="005275ED">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5ED" w:rsidRPr="00997029" w:rsidRDefault="005275ED" w:rsidP="00E23920">
    <w:pPr>
      <w:jc w:val="center"/>
      <w:rPr>
        <w:rStyle w:val="PageNumber"/>
      </w:rPr>
    </w:pPr>
    <w:r>
      <w:rPr>
        <w:rStyle w:val="PageNumber"/>
      </w:rPr>
      <w:t>CAJ/72/2</w:t>
    </w:r>
  </w:p>
  <w:p w:rsidR="005275ED" w:rsidRPr="00997029" w:rsidRDefault="005275ED" w:rsidP="00E23920">
    <w:pPr>
      <w:jc w:val="center"/>
    </w:pPr>
    <w:r>
      <w:t>Annex</w:t>
    </w:r>
    <w:r w:rsidR="00B15BB2">
      <w:t>e</w:t>
    </w:r>
    <w:r>
      <w:t xml:space="preserve">,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881E21">
      <w:rPr>
        <w:rStyle w:val="PageNumber"/>
        <w:noProof/>
      </w:rPr>
      <w:t>2</w:t>
    </w:r>
    <w:r w:rsidRPr="00997029">
      <w:rPr>
        <w:rStyle w:val="PageNumber"/>
      </w:rPr>
      <w:fldChar w:fldCharType="end"/>
    </w:r>
  </w:p>
  <w:p w:rsidR="005275ED" w:rsidRPr="00997029" w:rsidRDefault="005275ED"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C0D2B172"/>
    <w:lvl w:ilvl="0" w:tplc="72628AC2">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1DDE27F2"/>
    <w:lvl w:ilvl="0" w:tplc="6250EDE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9464DF0"/>
    <w:multiLevelType w:val="hybridMultilevel"/>
    <w:tmpl w:val="770A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3268D"/>
    <w:multiLevelType w:val="hybridMultilevel"/>
    <w:tmpl w:val="7528F7DA"/>
    <w:lvl w:ilvl="0" w:tplc="F31C057A">
      <w:start w:val="1"/>
      <w:numFmt w:val="lowerLetter"/>
      <w:lvlText w:val="(%1)"/>
      <w:lvlJc w:val="left"/>
      <w:pPr>
        <w:ind w:left="720" w:hanging="360"/>
      </w:pPr>
      <w:rPr>
        <w:rFonts w:ascii="Arial" w:eastAsia="Times New Roman" w:hAnsi="Arial"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D92F8B"/>
    <w:multiLevelType w:val="hybridMultilevel"/>
    <w:tmpl w:val="9C668BE2"/>
    <w:lvl w:ilvl="0" w:tplc="D158AF32">
      <w:start w:val="1"/>
      <w:numFmt w:val="lowerLetter"/>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6">
    <w:nsid w:val="56EF5343"/>
    <w:multiLevelType w:val="hybridMultilevel"/>
    <w:tmpl w:val="D772E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816EE7"/>
    <w:multiLevelType w:val="hybridMultilevel"/>
    <w:tmpl w:val="B7B2A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5"/>
  </w:num>
  <w:num w:numId="4">
    <w:abstractNumId w:val="0"/>
  </w:num>
  <w:num w:numId="5">
    <w:abstractNumId w:val="1"/>
  </w:num>
  <w:num w:numId="6">
    <w:abstractNumId w:val="8"/>
  </w:num>
  <w:num w:numId="7">
    <w:abstractNumId w:val="4"/>
  </w:num>
  <w:num w:numId="8">
    <w:abstractNumId w:val="2"/>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 w:id="1"/>
  </w:footnotePr>
  <w:endnotePr>
    <w:numFmt w:val="lowerLette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83B"/>
    <w:rsid w:val="00001380"/>
    <w:rsid w:val="000018A0"/>
    <w:rsid w:val="00001960"/>
    <w:rsid w:val="00001D48"/>
    <w:rsid w:val="00010CF3"/>
    <w:rsid w:val="00011E27"/>
    <w:rsid w:val="000148BC"/>
    <w:rsid w:val="00021553"/>
    <w:rsid w:val="000219E7"/>
    <w:rsid w:val="00024AB8"/>
    <w:rsid w:val="0003584F"/>
    <w:rsid w:val="00036028"/>
    <w:rsid w:val="000446B9"/>
    <w:rsid w:val="00047E21"/>
    <w:rsid w:val="0006472C"/>
    <w:rsid w:val="00077DCD"/>
    <w:rsid w:val="000844D5"/>
    <w:rsid w:val="00084870"/>
    <w:rsid w:val="00085505"/>
    <w:rsid w:val="00093720"/>
    <w:rsid w:val="00093B7A"/>
    <w:rsid w:val="00096861"/>
    <w:rsid w:val="000A420B"/>
    <w:rsid w:val="000C7021"/>
    <w:rsid w:val="000D0D63"/>
    <w:rsid w:val="000D492E"/>
    <w:rsid w:val="000D6BBC"/>
    <w:rsid w:val="000D7780"/>
    <w:rsid w:val="000F251F"/>
    <w:rsid w:val="000F7EA6"/>
    <w:rsid w:val="00105929"/>
    <w:rsid w:val="00110481"/>
    <w:rsid w:val="001131D5"/>
    <w:rsid w:val="00131117"/>
    <w:rsid w:val="00141DB8"/>
    <w:rsid w:val="00146A37"/>
    <w:rsid w:val="00150222"/>
    <w:rsid w:val="00154AC6"/>
    <w:rsid w:val="00155F6F"/>
    <w:rsid w:val="0017474A"/>
    <w:rsid w:val="001758C6"/>
    <w:rsid w:val="00190C9D"/>
    <w:rsid w:val="001A1C87"/>
    <w:rsid w:val="001A3D2B"/>
    <w:rsid w:val="001A72F0"/>
    <w:rsid w:val="001B2C1E"/>
    <w:rsid w:val="001B333C"/>
    <w:rsid w:val="001B44B9"/>
    <w:rsid w:val="001B5FCE"/>
    <w:rsid w:val="001C3DF3"/>
    <w:rsid w:val="001C4474"/>
    <w:rsid w:val="001C558E"/>
    <w:rsid w:val="001E2C16"/>
    <w:rsid w:val="001E73A9"/>
    <w:rsid w:val="001F1F2A"/>
    <w:rsid w:val="001F2DA6"/>
    <w:rsid w:val="001F7D53"/>
    <w:rsid w:val="002131FC"/>
    <w:rsid w:val="0021332C"/>
    <w:rsid w:val="00213982"/>
    <w:rsid w:val="0021431F"/>
    <w:rsid w:val="00237C7D"/>
    <w:rsid w:val="0024416D"/>
    <w:rsid w:val="00245BF2"/>
    <w:rsid w:val="00246A85"/>
    <w:rsid w:val="0026313F"/>
    <w:rsid w:val="0027309C"/>
    <w:rsid w:val="002800A0"/>
    <w:rsid w:val="00281060"/>
    <w:rsid w:val="002855B2"/>
    <w:rsid w:val="0028743B"/>
    <w:rsid w:val="0029220C"/>
    <w:rsid w:val="0029439F"/>
    <w:rsid w:val="00296CC4"/>
    <w:rsid w:val="002979E7"/>
    <w:rsid w:val="002A6E50"/>
    <w:rsid w:val="002B2A44"/>
    <w:rsid w:val="002B3F61"/>
    <w:rsid w:val="002B65E4"/>
    <w:rsid w:val="002C256A"/>
    <w:rsid w:val="002D5181"/>
    <w:rsid w:val="002E7BA1"/>
    <w:rsid w:val="002F78FA"/>
    <w:rsid w:val="00304521"/>
    <w:rsid w:val="00304D4A"/>
    <w:rsid w:val="00305A7F"/>
    <w:rsid w:val="00314587"/>
    <w:rsid w:val="003152FE"/>
    <w:rsid w:val="00316FB4"/>
    <w:rsid w:val="00323E49"/>
    <w:rsid w:val="00327436"/>
    <w:rsid w:val="00336C04"/>
    <w:rsid w:val="00344BD6"/>
    <w:rsid w:val="0035528D"/>
    <w:rsid w:val="00361083"/>
    <w:rsid w:val="00361821"/>
    <w:rsid w:val="00382A89"/>
    <w:rsid w:val="003870AE"/>
    <w:rsid w:val="003915CD"/>
    <w:rsid w:val="00392258"/>
    <w:rsid w:val="00397968"/>
    <w:rsid w:val="003A17C8"/>
    <w:rsid w:val="003A3FE4"/>
    <w:rsid w:val="003B4009"/>
    <w:rsid w:val="003B44D9"/>
    <w:rsid w:val="003C10A6"/>
    <w:rsid w:val="003C563E"/>
    <w:rsid w:val="003D227C"/>
    <w:rsid w:val="003D2B4D"/>
    <w:rsid w:val="003F6136"/>
    <w:rsid w:val="0040489E"/>
    <w:rsid w:val="00410C0E"/>
    <w:rsid w:val="0042253C"/>
    <w:rsid w:val="00427139"/>
    <w:rsid w:val="00431015"/>
    <w:rsid w:val="004316B7"/>
    <w:rsid w:val="00435DBA"/>
    <w:rsid w:val="00436C26"/>
    <w:rsid w:val="00442C39"/>
    <w:rsid w:val="004440F7"/>
    <w:rsid w:val="00444A88"/>
    <w:rsid w:val="00472E95"/>
    <w:rsid w:val="00473BA7"/>
    <w:rsid w:val="00474DA4"/>
    <w:rsid w:val="00483E05"/>
    <w:rsid w:val="00486A4D"/>
    <w:rsid w:val="00492D94"/>
    <w:rsid w:val="004A78F1"/>
    <w:rsid w:val="004B4A91"/>
    <w:rsid w:val="004C2D12"/>
    <w:rsid w:val="004D047D"/>
    <w:rsid w:val="004D15EA"/>
    <w:rsid w:val="004D271E"/>
    <w:rsid w:val="004F27DB"/>
    <w:rsid w:val="004F305A"/>
    <w:rsid w:val="00512164"/>
    <w:rsid w:val="00520297"/>
    <w:rsid w:val="005275ED"/>
    <w:rsid w:val="0053030D"/>
    <w:rsid w:val="005338F9"/>
    <w:rsid w:val="00541770"/>
    <w:rsid w:val="0054281C"/>
    <w:rsid w:val="0054398A"/>
    <w:rsid w:val="00546F4D"/>
    <w:rsid w:val="00551E76"/>
    <w:rsid w:val="0055268D"/>
    <w:rsid w:val="00565D72"/>
    <w:rsid w:val="00572E44"/>
    <w:rsid w:val="005749AF"/>
    <w:rsid w:val="00576BE4"/>
    <w:rsid w:val="005772D1"/>
    <w:rsid w:val="005810CF"/>
    <w:rsid w:val="005A400A"/>
    <w:rsid w:val="005D7CA3"/>
    <w:rsid w:val="005E12A3"/>
    <w:rsid w:val="005E36DB"/>
    <w:rsid w:val="005E6B02"/>
    <w:rsid w:val="00612379"/>
    <w:rsid w:val="00612CF3"/>
    <w:rsid w:val="0061375C"/>
    <w:rsid w:val="00615377"/>
    <w:rsid w:val="0061555F"/>
    <w:rsid w:val="0061574C"/>
    <w:rsid w:val="00641200"/>
    <w:rsid w:val="00656E01"/>
    <w:rsid w:val="00662E19"/>
    <w:rsid w:val="00663ED8"/>
    <w:rsid w:val="00664515"/>
    <w:rsid w:val="00682689"/>
    <w:rsid w:val="00687EB4"/>
    <w:rsid w:val="006A2F78"/>
    <w:rsid w:val="006B17D2"/>
    <w:rsid w:val="006B45FA"/>
    <w:rsid w:val="006B56DD"/>
    <w:rsid w:val="006C224E"/>
    <w:rsid w:val="006D412B"/>
    <w:rsid w:val="006D55CC"/>
    <w:rsid w:val="006E6C0A"/>
    <w:rsid w:val="006E7AA6"/>
    <w:rsid w:val="006F0263"/>
    <w:rsid w:val="006F5AA1"/>
    <w:rsid w:val="0070366F"/>
    <w:rsid w:val="00715BBB"/>
    <w:rsid w:val="00716622"/>
    <w:rsid w:val="007175CC"/>
    <w:rsid w:val="007274A9"/>
    <w:rsid w:val="00732DEC"/>
    <w:rsid w:val="00735BD5"/>
    <w:rsid w:val="007469A7"/>
    <w:rsid w:val="0075117E"/>
    <w:rsid w:val="007556F6"/>
    <w:rsid w:val="00760EEF"/>
    <w:rsid w:val="0076461B"/>
    <w:rsid w:val="0076755D"/>
    <w:rsid w:val="007709BE"/>
    <w:rsid w:val="007769F5"/>
    <w:rsid w:val="00777EE5"/>
    <w:rsid w:val="00784836"/>
    <w:rsid w:val="0079023E"/>
    <w:rsid w:val="007B38B6"/>
    <w:rsid w:val="007B6894"/>
    <w:rsid w:val="007C6639"/>
    <w:rsid w:val="007D0B9D"/>
    <w:rsid w:val="007D19B0"/>
    <w:rsid w:val="007F498F"/>
    <w:rsid w:val="0080679D"/>
    <w:rsid w:val="008105B4"/>
    <w:rsid w:val="008108B0"/>
    <w:rsid w:val="00811B20"/>
    <w:rsid w:val="00817FE0"/>
    <w:rsid w:val="0082296E"/>
    <w:rsid w:val="00824099"/>
    <w:rsid w:val="00836E88"/>
    <w:rsid w:val="008504F4"/>
    <w:rsid w:val="00855DBD"/>
    <w:rsid w:val="0086602A"/>
    <w:rsid w:val="00866CDE"/>
    <w:rsid w:val="00867AC1"/>
    <w:rsid w:val="008730D7"/>
    <w:rsid w:val="00881E21"/>
    <w:rsid w:val="008902E8"/>
    <w:rsid w:val="00892799"/>
    <w:rsid w:val="008973BD"/>
    <w:rsid w:val="008A395B"/>
    <w:rsid w:val="008A743F"/>
    <w:rsid w:val="008B51D0"/>
    <w:rsid w:val="008C0970"/>
    <w:rsid w:val="008C20F1"/>
    <w:rsid w:val="008D29DA"/>
    <w:rsid w:val="008D2CF7"/>
    <w:rsid w:val="008E268D"/>
    <w:rsid w:val="008E793E"/>
    <w:rsid w:val="008F2A1B"/>
    <w:rsid w:val="00900C26"/>
    <w:rsid w:val="0090197F"/>
    <w:rsid w:val="00906DDC"/>
    <w:rsid w:val="0091495D"/>
    <w:rsid w:val="00932620"/>
    <w:rsid w:val="00934E09"/>
    <w:rsid w:val="00936253"/>
    <w:rsid w:val="00953DEE"/>
    <w:rsid w:val="00955D81"/>
    <w:rsid w:val="009606DF"/>
    <w:rsid w:val="00970FED"/>
    <w:rsid w:val="00997029"/>
    <w:rsid w:val="009A167C"/>
    <w:rsid w:val="009A3590"/>
    <w:rsid w:val="009D0DE5"/>
    <w:rsid w:val="009D1160"/>
    <w:rsid w:val="009D690D"/>
    <w:rsid w:val="009E0BA5"/>
    <w:rsid w:val="009E65B6"/>
    <w:rsid w:val="009F4C84"/>
    <w:rsid w:val="00A02404"/>
    <w:rsid w:val="00A2020E"/>
    <w:rsid w:val="00A20238"/>
    <w:rsid w:val="00A32D83"/>
    <w:rsid w:val="00A42AC3"/>
    <w:rsid w:val="00A430CF"/>
    <w:rsid w:val="00A44F77"/>
    <w:rsid w:val="00A54309"/>
    <w:rsid w:val="00A60ED8"/>
    <w:rsid w:val="00A61874"/>
    <w:rsid w:val="00A72A3B"/>
    <w:rsid w:val="00A82627"/>
    <w:rsid w:val="00AA60A5"/>
    <w:rsid w:val="00AB2B93"/>
    <w:rsid w:val="00AC4B94"/>
    <w:rsid w:val="00AC5727"/>
    <w:rsid w:val="00AE0EF1"/>
    <w:rsid w:val="00B03247"/>
    <w:rsid w:val="00B03B73"/>
    <w:rsid w:val="00B07301"/>
    <w:rsid w:val="00B15BB2"/>
    <w:rsid w:val="00B224DE"/>
    <w:rsid w:val="00B64941"/>
    <w:rsid w:val="00B6657C"/>
    <w:rsid w:val="00B71690"/>
    <w:rsid w:val="00B8013C"/>
    <w:rsid w:val="00B8224B"/>
    <w:rsid w:val="00B84BBD"/>
    <w:rsid w:val="00BA43FB"/>
    <w:rsid w:val="00BC127D"/>
    <w:rsid w:val="00BC1FE6"/>
    <w:rsid w:val="00BD4C24"/>
    <w:rsid w:val="00C061B6"/>
    <w:rsid w:val="00C20E3F"/>
    <w:rsid w:val="00C21DBF"/>
    <w:rsid w:val="00C2446C"/>
    <w:rsid w:val="00C36AE5"/>
    <w:rsid w:val="00C41F17"/>
    <w:rsid w:val="00C475F5"/>
    <w:rsid w:val="00C5007A"/>
    <w:rsid w:val="00C54BF4"/>
    <w:rsid w:val="00C5791C"/>
    <w:rsid w:val="00C6137B"/>
    <w:rsid w:val="00C66290"/>
    <w:rsid w:val="00C72B7A"/>
    <w:rsid w:val="00C75932"/>
    <w:rsid w:val="00C87A8F"/>
    <w:rsid w:val="00C92FEE"/>
    <w:rsid w:val="00C93B07"/>
    <w:rsid w:val="00C973F2"/>
    <w:rsid w:val="00CA6757"/>
    <w:rsid w:val="00CA774A"/>
    <w:rsid w:val="00CB4A6E"/>
    <w:rsid w:val="00CB66BB"/>
    <w:rsid w:val="00CC11B0"/>
    <w:rsid w:val="00CD4CD3"/>
    <w:rsid w:val="00CD56D3"/>
    <w:rsid w:val="00CE0D93"/>
    <w:rsid w:val="00CF3AE4"/>
    <w:rsid w:val="00CF7E36"/>
    <w:rsid w:val="00D01738"/>
    <w:rsid w:val="00D06185"/>
    <w:rsid w:val="00D233D8"/>
    <w:rsid w:val="00D24210"/>
    <w:rsid w:val="00D3708D"/>
    <w:rsid w:val="00D40426"/>
    <w:rsid w:val="00D54874"/>
    <w:rsid w:val="00D57C96"/>
    <w:rsid w:val="00D90646"/>
    <w:rsid w:val="00D91203"/>
    <w:rsid w:val="00D95174"/>
    <w:rsid w:val="00D95A5C"/>
    <w:rsid w:val="00DA6F36"/>
    <w:rsid w:val="00DC00EA"/>
    <w:rsid w:val="00DC5086"/>
    <w:rsid w:val="00DD2B30"/>
    <w:rsid w:val="00DE083F"/>
    <w:rsid w:val="00DE183B"/>
    <w:rsid w:val="00DE1A95"/>
    <w:rsid w:val="00E026D7"/>
    <w:rsid w:val="00E066AF"/>
    <w:rsid w:val="00E23920"/>
    <w:rsid w:val="00E60FD9"/>
    <w:rsid w:val="00E72D49"/>
    <w:rsid w:val="00E7593C"/>
    <w:rsid w:val="00E7678A"/>
    <w:rsid w:val="00E822F0"/>
    <w:rsid w:val="00E85586"/>
    <w:rsid w:val="00E935F1"/>
    <w:rsid w:val="00E9365E"/>
    <w:rsid w:val="00E94A81"/>
    <w:rsid w:val="00EA1FFB"/>
    <w:rsid w:val="00EB048E"/>
    <w:rsid w:val="00EB24D1"/>
    <w:rsid w:val="00EB3EFA"/>
    <w:rsid w:val="00EC4B8E"/>
    <w:rsid w:val="00EF2F89"/>
    <w:rsid w:val="00EF49D4"/>
    <w:rsid w:val="00EF6E5E"/>
    <w:rsid w:val="00F04DEB"/>
    <w:rsid w:val="00F1237A"/>
    <w:rsid w:val="00F22CBD"/>
    <w:rsid w:val="00F37961"/>
    <w:rsid w:val="00F446EC"/>
    <w:rsid w:val="00F45B92"/>
    <w:rsid w:val="00F6334D"/>
    <w:rsid w:val="00F718BE"/>
    <w:rsid w:val="00F81138"/>
    <w:rsid w:val="00FA32B9"/>
    <w:rsid w:val="00FA49AB"/>
    <w:rsid w:val="00FB0D37"/>
    <w:rsid w:val="00FC575D"/>
    <w:rsid w:val="00FD02B1"/>
    <w:rsid w:val="00FD7AE9"/>
    <w:rsid w:val="00FE39C7"/>
    <w:rsid w:val="00FE4AF3"/>
    <w:rsid w:val="00FE7A94"/>
    <w:rsid w:val="00FF5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CF3"/>
    <w:pPr>
      <w:jc w:val="both"/>
    </w:pPr>
    <w:rPr>
      <w:rFonts w:ascii="Arial" w:hAnsi="Arial"/>
    </w:rPr>
  </w:style>
  <w:style w:type="paragraph" w:styleId="Heading1">
    <w:name w:val="heading 1"/>
    <w:next w:val="Normal"/>
    <w:link w:val="Heading1Char"/>
    <w:qFormat/>
    <w:rsid w:val="006E7AA6"/>
    <w:pPr>
      <w:keepNext/>
      <w:jc w:val="both"/>
      <w:outlineLvl w:val="0"/>
    </w:pPr>
    <w:rPr>
      <w:rFonts w:ascii="Arial" w:hAnsi="Arial"/>
      <w:caps/>
      <w:lang w:val="fr-FR"/>
    </w:rPr>
  </w:style>
  <w:style w:type="paragraph" w:styleId="Heading2">
    <w:name w:val="heading 2"/>
    <w:next w:val="Normal"/>
    <w:link w:val="Heading2Char"/>
    <w:qFormat/>
    <w:rsid w:val="00EF49D4"/>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F251F"/>
    <w:pPr>
      <w:tabs>
        <w:tab w:val="right" w:leader="dot" w:pos="9639"/>
      </w:tabs>
      <w:spacing w:before="60" w:after="12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F251F"/>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3870AE"/>
    <w:rPr>
      <w:rFonts w:ascii="Arial" w:hAnsi="Arial"/>
      <w:i/>
    </w:rPr>
  </w:style>
  <w:style w:type="character" w:customStyle="1" w:styleId="FootnoteTextChar">
    <w:name w:val="Footnote Text Char"/>
    <w:link w:val="FootnoteText"/>
    <w:rsid w:val="003870AE"/>
    <w:rPr>
      <w:rFonts w:ascii="Arial" w:hAnsi="Arial"/>
      <w:sz w:val="16"/>
    </w:rPr>
  </w:style>
  <w:style w:type="character" w:customStyle="1" w:styleId="Heading1Char">
    <w:name w:val="Heading 1 Char"/>
    <w:basedOn w:val="DefaultParagraphFont"/>
    <w:link w:val="Heading1"/>
    <w:rsid w:val="006E7AA6"/>
    <w:rPr>
      <w:rFonts w:ascii="Arial" w:hAnsi="Arial"/>
      <w:caps/>
      <w:lang w:val="fr-FR"/>
    </w:rPr>
  </w:style>
  <w:style w:type="paragraph" w:styleId="ListParagraph">
    <w:name w:val="List Paragraph"/>
    <w:basedOn w:val="Normal"/>
    <w:uiPriority w:val="34"/>
    <w:qFormat/>
    <w:rsid w:val="003870AE"/>
    <w:pPr>
      <w:ind w:left="720"/>
      <w:contextualSpacing/>
    </w:pPr>
  </w:style>
  <w:style w:type="character" w:customStyle="1" w:styleId="Heading2Char">
    <w:name w:val="Heading 2 Char"/>
    <w:link w:val="Heading2"/>
    <w:rsid w:val="00EF49D4"/>
    <w:rPr>
      <w:rFonts w:ascii="Arial" w:hAnsi="Arial"/>
      <w:u w:val="single"/>
    </w:rPr>
  </w:style>
  <w:style w:type="paragraph" w:customStyle="1" w:styleId="Style1">
    <w:name w:val="Style1"/>
    <w:basedOn w:val="Normal"/>
    <w:rsid w:val="003870AE"/>
    <w:pPr>
      <w:tabs>
        <w:tab w:val="decimal" w:pos="907"/>
        <w:tab w:val="left" w:pos="1077"/>
      </w:tabs>
    </w:pPr>
    <w:rPr>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12CF3"/>
    <w:pPr>
      <w:jc w:val="both"/>
    </w:pPr>
    <w:rPr>
      <w:rFonts w:ascii="Arial" w:hAnsi="Arial"/>
    </w:rPr>
  </w:style>
  <w:style w:type="paragraph" w:styleId="Heading1">
    <w:name w:val="heading 1"/>
    <w:next w:val="Normal"/>
    <w:link w:val="Heading1Char"/>
    <w:qFormat/>
    <w:rsid w:val="006E7AA6"/>
    <w:pPr>
      <w:keepNext/>
      <w:jc w:val="both"/>
      <w:outlineLvl w:val="0"/>
    </w:pPr>
    <w:rPr>
      <w:rFonts w:ascii="Arial" w:hAnsi="Arial"/>
      <w:caps/>
      <w:lang w:val="fr-FR"/>
    </w:rPr>
  </w:style>
  <w:style w:type="paragraph" w:styleId="Heading2">
    <w:name w:val="heading 2"/>
    <w:next w:val="Normal"/>
    <w:link w:val="Heading2Char"/>
    <w:qFormat/>
    <w:rsid w:val="00EF49D4"/>
    <w:pPr>
      <w:keepNext/>
      <w:jc w:val="both"/>
      <w:outlineLvl w:val="1"/>
    </w:pPr>
    <w:rPr>
      <w:rFonts w:ascii="Arial" w:hAnsi="Arial"/>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0F251F"/>
    <w:pPr>
      <w:tabs>
        <w:tab w:val="right" w:leader="dot" w:pos="9639"/>
      </w:tabs>
      <w:spacing w:before="60" w:after="120"/>
      <w:ind w:left="284" w:right="851"/>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0F251F"/>
    <w:pPr>
      <w:tabs>
        <w:tab w:val="right" w:leader="dot" w:pos="9639"/>
      </w:tabs>
      <w:spacing w:after="120"/>
      <w:ind w:left="284" w:right="284" w:hanging="284"/>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DecisionParagraphsChar">
    <w:name w:val="DecisionParagraphs Char"/>
    <w:basedOn w:val="DefaultParagraphFont"/>
    <w:link w:val="DecisionParagraphs"/>
    <w:rsid w:val="003870AE"/>
    <w:rPr>
      <w:rFonts w:ascii="Arial" w:hAnsi="Arial"/>
      <w:i/>
    </w:rPr>
  </w:style>
  <w:style w:type="character" w:customStyle="1" w:styleId="FootnoteTextChar">
    <w:name w:val="Footnote Text Char"/>
    <w:link w:val="FootnoteText"/>
    <w:rsid w:val="003870AE"/>
    <w:rPr>
      <w:rFonts w:ascii="Arial" w:hAnsi="Arial"/>
      <w:sz w:val="16"/>
    </w:rPr>
  </w:style>
  <w:style w:type="character" w:customStyle="1" w:styleId="Heading1Char">
    <w:name w:val="Heading 1 Char"/>
    <w:basedOn w:val="DefaultParagraphFont"/>
    <w:link w:val="Heading1"/>
    <w:rsid w:val="006E7AA6"/>
    <w:rPr>
      <w:rFonts w:ascii="Arial" w:hAnsi="Arial"/>
      <w:caps/>
      <w:lang w:val="fr-FR"/>
    </w:rPr>
  </w:style>
  <w:style w:type="paragraph" w:styleId="ListParagraph">
    <w:name w:val="List Paragraph"/>
    <w:basedOn w:val="Normal"/>
    <w:uiPriority w:val="34"/>
    <w:qFormat/>
    <w:rsid w:val="003870AE"/>
    <w:pPr>
      <w:ind w:left="720"/>
      <w:contextualSpacing/>
    </w:pPr>
  </w:style>
  <w:style w:type="character" w:customStyle="1" w:styleId="Heading2Char">
    <w:name w:val="Heading 2 Char"/>
    <w:link w:val="Heading2"/>
    <w:rsid w:val="00EF49D4"/>
    <w:rPr>
      <w:rFonts w:ascii="Arial" w:hAnsi="Arial"/>
      <w:u w:val="single"/>
    </w:rPr>
  </w:style>
  <w:style w:type="paragraph" w:customStyle="1" w:styleId="Style1">
    <w:name w:val="Style1"/>
    <w:basedOn w:val="Normal"/>
    <w:rsid w:val="003870AE"/>
    <w:pPr>
      <w:tabs>
        <w:tab w:val="decimal" w:pos="907"/>
        <w:tab w:val="left" w:pos="1077"/>
      </w:tabs>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A5AF1-D751-459B-95C7-DC96AD4B1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9</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CAJ/72/2</vt:lpstr>
    </vt:vector>
  </TitlesOfParts>
  <Company>UPOV</Company>
  <LinksUpToDate>false</LinksUpToDate>
  <CharactersWithSpaces>25771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CAJ/72/2</dc:title>
  <dc:creator>BESSE Ariane</dc:creator>
  <cp:keywords>PB/mhf</cp:keywords>
  <cp:lastModifiedBy>BESSE Ariane</cp:lastModifiedBy>
  <cp:revision>125</cp:revision>
  <cp:lastPrinted>2015-10-05T07:25:00Z</cp:lastPrinted>
  <dcterms:created xsi:type="dcterms:W3CDTF">2015-09-24T12:00:00Z</dcterms:created>
  <dcterms:modified xsi:type="dcterms:W3CDTF">2015-10-05T07:25:00Z</dcterms:modified>
</cp:coreProperties>
</file>