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F017E1" w:rsidTr="004E5CD5">
        <w:trPr>
          <w:trHeight w:val="1760"/>
        </w:trPr>
        <w:tc>
          <w:tcPr>
            <w:tcW w:w="4243" w:type="dxa"/>
          </w:tcPr>
          <w:p w:rsidR="004E5CD5" w:rsidRPr="00F017E1" w:rsidRDefault="004E5CD5" w:rsidP="004E5CD5">
            <w:pPr>
              <w:rPr>
                <w:lang w:val="fr-FR"/>
              </w:rPr>
            </w:pPr>
          </w:p>
        </w:tc>
        <w:tc>
          <w:tcPr>
            <w:tcW w:w="1646" w:type="dxa"/>
            <w:vAlign w:val="center"/>
          </w:tcPr>
          <w:p w:rsidR="004E5CD5" w:rsidRPr="00F017E1" w:rsidRDefault="006A2DAE" w:rsidP="004E5CD5">
            <w:pPr>
              <w:pStyle w:val="LogoUPOV"/>
              <w:rPr>
                <w:lang w:val="fr-FR"/>
              </w:rPr>
            </w:pPr>
            <w:r w:rsidRPr="00F017E1">
              <w:rPr>
                <w:noProof/>
              </w:rPr>
              <w:drawing>
                <wp:inline distT="0" distB="0" distL="0" distR="0" wp14:anchorId="3A96DE7D" wp14:editId="48E23BA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F017E1" w:rsidRDefault="00272ED9" w:rsidP="004E5CD5">
            <w:pPr>
              <w:pStyle w:val="Lettrine"/>
              <w:rPr>
                <w:lang w:val="fr-FR"/>
              </w:rPr>
            </w:pPr>
            <w:r>
              <w:rPr>
                <w:lang w:val="fr-FR"/>
              </w:rPr>
              <w:t>F</w:t>
            </w:r>
          </w:p>
          <w:p w:rsidR="004E5CD5" w:rsidRPr="00F017E1" w:rsidRDefault="00A62867" w:rsidP="004E5CD5">
            <w:pPr>
              <w:spacing w:line="280" w:lineRule="exact"/>
              <w:ind w:left="1447"/>
              <w:jc w:val="left"/>
              <w:rPr>
                <w:rFonts w:cs="Arial"/>
                <w:lang w:val="fr-FR"/>
              </w:rPr>
            </w:pPr>
            <w:r w:rsidRPr="00F017E1">
              <w:rPr>
                <w:rFonts w:cs="Arial"/>
                <w:b/>
                <w:spacing w:val="10"/>
                <w:lang w:val="fr-FR"/>
              </w:rPr>
              <w:t>UPOV/EXN/CAN/2 Draft 3</w:t>
            </w:r>
            <w:r w:rsidR="006A4623" w:rsidRPr="00F017E1">
              <w:rPr>
                <w:rFonts w:cs="Arial"/>
                <w:b/>
                <w:spacing w:val="10"/>
                <w:lang w:val="fr-FR"/>
              </w:rPr>
              <w:t xml:space="preserve"> </w:t>
            </w:r>
            <w:r w:rsidR="004E5CD5" w:rsidRPr="00F017E1">
              <w:rPr>
                <w:rFonts w:cs="Arial"/>
                <w:b/>
                <w:spacing w:val="10"/>
                <w:lang w:val="fr-FR"/>
              </w:rPr>
              <w:br/>
            </w:r>
            <w:r w:rsidR="004E5CD5" w:rsidRPr="00F017E1">
              <w:rPr>
                <w:rFonts w:cs="Arial"/>
                <w:b/>
                <w:lang w:val="fr-FR"/>
              </w:rPr>
              <w:t>ORIGINAL</w:t>
            </w:r>
            <w:r w:rsidR="00F017E1" w:rsidRPr="00F017E1">
              <w:rPr>
                <w:rFonts w:cs="Arial"/>
                <w:b/>
                <w:lang w:val="fr-FR"/>
              </w:rPr>
              <w:t xml:space="preserve"> </w:t>
            </w:r>
            <w:r w:rsidR="004E5CD5" w:rsidRPr="00F017E1">
              <w:rPr>
                <w:rFonts w:cs="Arial"/>
                <w:b/>
                <w:lang w:val="fr-FR"/>
              </w:rPr>
              <w:t>:</w:t>
            </w:r>
            <w:r w:rsidR="00F017E1" w:rsidRPr="00F017E1">
              <w:rPr>
                <w:rFonts w:cs="Arial"/>
                <w:lang w:val="fr-FR"/>
              </w:rPr>
              <w:t xml:space="preserve"> anglais</w:t>
            </w:r>
          </w:p>
          <w:p w:rsidR="004E5CD5" w:rsidRPr="00F017E1" w:rsidRDefault="004E5CD5" w:rsidP="00713F12">
            <w:pPr>
              <w:pStyle w:val="Docoriginal"/>
              <w:ind w:left="1447"/>
              <w:jc w:val="left"/>
              <w:rPr>
                <w:b w:val="0"/>
                <w:spacing w:val="0"/>
                <w:lang w:val="fr-FR"/>
              </w:rPr>
            </w:pPr>
            <w:r w:rsidRPr="00F017E1">
              <w:rPr>
                <w:rFonts w:cs="Arial"/>
                <w:spacing w:val="0"/>
                <w:lang w:val="fr-FR"/>
              </w:rPr>
              <w:t>DATE</w:t>
            </w:r>
            <w:r w:rsidR="00F017E1" w:rsidRPr="00F017E1">
              <w:rPr>
                <w:rFonts w:cs="Arial"/>
                <w:spacing w:val="0"/>
                <w:lang w:val="fr-FR"/>
              </w:rPr>
              <w:t xml:space="preserve"> </w:t>
            </w:r>
            <w:r w:rsidRPr="00F017E1">
              <w:rPr>
                <w:rFonts w:cs="Arial"/>
                <w:spacing w:val="0"/>
                <w:lang w:val="fr-FR"/>
              </w:rPr>
              <w:t xml:space="preserve">: </w:t>
            </w:r>
            <w:r w:rsidR="00713F12">
              <w:rPr>
                <w:rFonts w:cs="Arial"/>
                <w:b w:val="0"/>
                <w:spacing w:val="0"/>
                <w:lang w:val="fr-FR"/>
              </w:rPr>
              <w:t>2</w:t>
            </w:r>
            <w:r w:rsidR="008724E6">
              <w:rPr>
                <w:rFonts w:cs="Arial"/>
                <w:b w:val="0"/>
                <w:spacing w:val="0"/>
                <w:lang w:val="fr-FR"/>
              </w:rPr>
              <w:t xml:space="preserve"> </w:t>
            </w:r>
            <w:r w:rsidR="00713F12">
              <w:rPr>
                <w:rFonts w:cs="Arial"/>
                <w:b w:val="0"/>
                <w:spacing w:val="0"/>
                <w:lang w:val="fr-FR"/>
              </w:rPr>
              <w:t xml:space="preserve">mars </w:t>
            </w:r>
            <w:r w:rsidR="008724E6">
              <w:rPr>
                <w:rFonts w:cs="Arial"/>
                <w:b w:val="0"/>
                <w:spacing w:val="0"/>
                <w:lang w:val="fr-FR"/>
              </w:rPr>
              <w:t>2015</w:t>
            </w:r>
          </w:p>
        </w:tc>
      </w:tr>
      <w:tr w:rsidR="004E5CD5" w:rsidRPr="00F017E1" w:rsidTr="004E5CD5">
        <w:tc>
          <w:tcPr>
            <w:tcW w:w="10131" w:type="dxa"/>
            <w:gridSpan w:val="3"/>
          </w:tcPr>
          <w:p w:rsidR="004E5CD5" w:rsidRPr="00F017E1" w:rsidRDefault="00272ED9" w:rsidP="004E5CD5">
            <w:pPr>
              <w:pStyle w:val="upove"/>
              <w:rPr>
                <w:sz w:val="28"/>
                <w:lang w:val="fr-FR"/>
              </w:rPr>
            </w:pPr>
            <w:r w:rsidRPr="008201B1">
              <w:rPr>
                <w:spacing w:val="6"/>
              </w:rPr>
              <w:t>UNION INTERNATIONALE POUR LA PROTECTION DES OBTENTIONS VÉGÉTALES</w:t>
            </w:r>
            <w:r w:rsidR="004E5CD5" w:rsidRPr="00F017E1">
              <w:rPr>
                <w:snapToGrid w:val="0"/>
                <w:lang w:val="fr-FR"/>
              </w:rPr>
              <w:t xml:space="preserve"> </w:t>
            </w:r>
          </w:p>
        </w:tc>
      </w:tr>
      <w:tr w:rsidR="004E5CD5" w:rsidRPr="00F017E1" w:rsidTr="004E5CD5">
        <w:tc>
          <w:tcPr>
            <w:tcW w:w="10131" w:type="dxa"/>
            <w:gridSpan w:val="3"/>
          </w:tcPr>
          <w:p w:rsidR="004E5CD5" w:rsidRPr="00F017E1" w:rsidRDefault="004E5CD5" w:rsidP="00272ED9">
            <w:pPr>
              <w:pStyle w:val="Country"/>
              <w:rPr>
                <w:lang w:val="fr-FR"/>
              </w:rPr>
            </w:pPr>
            <w:r w:rsidRPr="00F017E1">
              <w:rPr>
                <w:lang w:val="fr-FR"/>
              </w:rPr>
              <w:t>Gen</w:t>
            </w:r>
            <w:r w:rsidR="00272ED9">
              <w:rPr>
                <w:lang w:val="fr-FR"/>
              </w:rPr>
              <w:t>ève</w:t>
            </w:r>
          </w:p>
        </w:tc>
      </w:tr>
    </w:tbl>
    <w:p w:rsidR="004E5CD5" w:rsidRPr="00F017E1" w:rsidRDefault="004E5CD5">
      <w:pPr>
        <w:rPr>
          <w:lang w:val="fr-FR"/>
        </w:rPr>
      </w:pPr>
    </w:p>
    <w:p w:rsidR="00BE4EC4" w:rsidRPr="00F017E1"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p>
    <w:p w:rsidR="00BE4EC4" w:rsidRPr="00F017E1" w:rsidRDefault="00073A05"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r>
        <w:rPr>
          <w:rFonts w:cs="Arial"/>
          <w:lang w:val="fr-FR"/>
        </w:rPr>
        <w:t>P</w:t>
      </w:r>
      <w:r w:rsidR="00BE4EC4" w:rsidRPr="00F017E1">
        <w:rPr>
          <w:rFonts w:cs="Arial"/>
          <w:lang w:val="fr-FR"/>
        </w:rPr>
        <w:t>R</w:t>
      </w:r>
      <w:r>
        <w:rPr>
          <w:rFonts w:cs="Arial"/>
          <w:lang w:val="fr-FR"/>
        </w:rPr>
        <w:t>OJE</w:t>
      </w:r>
      <w:r w:rsidR="00BE4EC4" w:rsidRPr="00F017E1">
        <w:rPr>
          <w:rFonts w:cs="Arial"/>
          <w:lang w:val="fr-FR"/>
        </w:rPr>
        <w:t>T</w:t>
      </w:r>
      <w:r w:rsidR="00A62867" w:rsidRPr="00F017E1">
        <w:rPr>
          <w:rFonts w:cs="Arial"/>
          <w:lang w:val="fr-FR"/>
        </w:rPr>
        <w:br/>
      </w:r>
      <w:r w:rsidR="00E739CE" w:rsidRPr="00F017E1">
        <w:rPr>
          <w:rFonts w:cs="Arial"/>
          <w:lang w:val="fr-FR"/>
        </w:rPr>
        <w:t>(</w:t>
      </w:r>
      <w:r>
        <w:rPr>
          <w:rFonts w:cs="Arial"/>
          <w:lang w:val="fr-FR"/>
        </w:rPr>
        <w:t>RÉ</w:t>
      </w:r>
      <w:r w:rsidR="00A62867" w:rsidRPr="00F017E1">
        <w:rPr>
          <w:rFonts w:cs="Arial"/>
          <w:lang w:val="fr-FR"/>
        </w:rPr>
        <w:t>VISION</w:t>
      </w:r>
      <w:r w:rsidR="00E739CE" w:rsidRPr="00F017E1">
        <w:rPr>
          <w:rFonts w:cs="Arial"/>
          <w:lang w:val="fr-FR"/>
        </w:rPr>
        <w:t>)</w:t>
      </w:r>
    </w:p>
    <w:p w:rsidR="00BE4EC4" w:rsidRPr="00F017E1"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p>
    <w:p w:rsidR="00BE4EC4" w:rsidRPr="00F017E1" w:rsidRDefault="00F017E1" w:rsidP="00BE4EC4">
      <w:pPr>
        <w:spacing w:before="1200" w:after="240"/>
        <w:jc w:val="center"/>
        <w:rPr>
          <w:rFonts w:cs="Arial"/>
          <w:caps/>
          <w:lang w:val="fr-FR"/>
        </w:rPr>
      </w:pPr>
      <w:r w:rsidRPr="00F017E1">
        <w:rPr>
          <w:rFonts w:cs="Arial"/>
          <w:lang w:val="fr-FR"/>
        </w:rPr>
        <w:t>NOTES EXPLICATIVES SUR</w:t>
      </w:r>
      <w:r w:rsidR="00BE4EC4" w:rsidRPr="00F017E1">
        <w:rPr>
          <w:rFonts w:cs="Arial"/>
          <w:lang w:val="fr-FR"/>
        </w:rPr>
        <w:br/>
      </w:r>
      <w:r w:rsidR="00BE4EC4" w:rsidRPr="00F017E1">
        <w:rPr>
          <w:rFonts w:cs="Arial"/>
          <w:caps/>
          <w:lang w:val="fr-FR"/>
        </w:rPr>
        <w:br/>
      </w:r>
      <w:r w:rsidRPr="00F017E1">
        <w:rPr>
          <w:rFonts w:cs="Arial"/>
          <w:caps/>
          <w:lang w:val="fr-FR"/>
        </w:rPr>
        <w:t>LA DÉCHÉANCE D</w:t>
      </w:r>
      <w:r w:rsidR="00716539">
        <w:rPr>
          <w:rFonts w:cs="Arial"/>
          <w:caps/>
          <w:lang w:val="fr-FR"/>
        </w:rPr>
        <w:t>E L’</w:t>
      </w:r>
      <w:r w:rsidRPr="00F017E1">
        <w:rPr>
          <w:rFonts w:cs="Arial"/>
          <w:caps/>
          <w:lang w:val="fr-FR"/>
        </w:rPr>
        <w:t>OBTENTEUR</w:t>
      </w:r>
      <w:r w:rsidR="00694FFC" w:rsidRPr="00F017E1">
        <w:rPr>
          <w:rFonts w:cs="Arial"/>
          <w:caps/>
          <w:lang w:val="fr-FR"/>
        </w:rPr>
        <w:br/>
      </w:r>
      <w:r w:rsidR="00694FFC" w:rsidRPr="00F017E1">
        <w:rPr>
          <w:rFonts w:cs="Arial"/>
          <w:caps/>
          <w:lang w:val="fr-FR"/>
        </w:rPr>
        <w:br/>
      </w:r>
      <w:r w:rsidRPr="00F017E1">
        <w:rPr>
          <w:rFonts w:cs="Arial"/>
          <w:caps/>
          <w:lang w:val="fr-FR"/>
        </w:rPr>
        <w:t>SELON LA CONVENTION UPOV</w:t>
      </w:r>
    </w:p>
    <w:p w:rsidR="00BE4EC4" w:rsidRPr="00F017E1" w:rsidRDefault="00922700" w:rsidP="00BE4EC4">
      <w:pPr>
        <w:pStyle w:val="preparedby0"/>
        <w:spacing w:after="960"/>
        <w:rPr>
          <w:rFonts w:cs="Arial"/>
          <w:lang w:val="fr-FR"/>
        </w:rPr>
      </w:pPr>
      <w:r w:rsidRPr="00F017E1">
        <w:rPr>
          <w:rFonts w:cs="Arial"/>
          <w:lang w:val="fr-FR"/>
        </w:rPr>
        <w:br/>
      </w:r>
      <w:r w:rsidRPr="00F017E1">
        <w:rPr>
          <w:rFonts w:cs="Arial"/>
          <w:lang w:val="fr-FR"/>
        </w:rPr>
        <w:br/>
      </w:r>
      <w:r w:rsidR="00BE4EC4" w:rsidRPr="00F017E1">
        <w:rPr>
          <w:rFonts w:cs="Arial"/>
          <w:lang w:val="fr-FR"/>
        </w:rPr>
        <w:t xml:space="preserve">Document </w:t>
      </w:r>
      <w:r w:rsidR="00F017E1" w:rsidRPr="00F017E1">
        <w:rPr>
          <w:rFonts w:cs="Arial"/>
          <w:lang w:val="fr-FR"/>
        </w:rPr>
        <w:t>établi par le Bureau de l’</w:t>
      </w:r>
      <w:r w:rsidR="00BE4EC4" w:rsidRPr="00F017E1">
        <w:rPr>
          <w:rFonts w:cs="Arial"/>
          <w:lang w:val="fr-FR"/>
        </w:rPr>
        <w:t>Union</w:t>
      </w:r>
      <w:r w:rsidR="00BE4EC4" w:rsidRPr="00F017E1">
        <w:rPr>
          <w:rFonts w:cs="Arial"/>
          <w:lang w:val="fr-FR"/>
        </w:rPr>
        <w:br/>
      </w:r>
      <w:r w:rsidR="00BE4EC4" w:rsidRPr="00F017E1">
        <w:rPr>
          <w:rFonts w:cs="Arial"/>
          <w:lang w:val="fr-FR"/>
        </w:rPr>
        <w:br/>
      </w:r>
      <w:r w:rsidR="00F017E1" w:rsidRPr="00F017E1">
        <w:rPr>
          <w:rFonts w:cs="Arial"/>
          <w:lang w:val="fr-FR"/>
        </w:rPr>
        <w:t>aux fins d</w:t>
      </w:r>
      <w:r w:rsidR="006B3AC1">
        <w:rPr>
          <w:rFonts w:cs="Arial"/>
          <w:lang w:val="fr-FR"/>
        </w:rPr>
        <w:t>’</w:t>
      </w:r>
      <w:r w:rsidR="00F017E1" w:rsidRPr="00F017E1">
        <w:rPr>
          <w:rFonts w:cs="Arial"/>
          <w:lang w:val="fr-FR"/>
        </w:rPr>
        <w:t>examen par le Comité administrati</w:t>
      </w:r>
      <w:r w:rsidR="006B3AC1">
        <w:rPr>
          <w:rFonts w:cs="Arial"/>
          <w:lang w:val="fr-FR"/>
        </w:rPr>
        <w:t>f</w:t>
      </w:r>
      <w:r w:rsidR="00F017E1" w:rsidRPr="00F017E1">
        <w:rPr>
          <w:rFonts w:cs="Arial"/>
          <w:lang w:val="fr-FR"/>
        </w:rPr>
        <w:t xml:space="preserve"> et juridique</w:t>
      </w:r>
      <w:r w:rsidR="00F017E1" w:rsidRPr="00F017E1">
        <w:rPr>
          <w:rFonts w:cs="Arial"/>
          <w:lang w:val="fr-FR"/>
        </w:rPr>
        <w:br/>
        <w:t>à sa soixante</w:t>
      </w:r>
      <w:r w:rsidR="006B3AC1">
        <w:rPr>
          <w:rFonts w:cs="Arial"/>
          <w:lang w:val="fr-FR"/>
        </w:rPr>
        <w:t xml:space="preserve"> et </w:t>
      </w:r>
      <w:r w:rsidR="00F017E1" w:rsidRPr="00F017E1">
        <w:rPr>
          <w:rFonts w:cs="Arial"/>
          <w:lang w:val="fr-FR"/>
        </w:rPr>
        <w:t>onzième session, qui se tiendra à Genève le 26 mars 2015</w:t>
      </w:r>
      <w:r w:rsidR="00037BAB" w:rsidRPr="00F017E1">
        <w:rPr>
          <w:rFonts w:cs="Arial"/>
          <w:lang w:val="fr-FR"/>
        </w:rPr>
        <w:br/>
      </w:r>
      <w:r w:rsidRPr="00F017E1">
        <w:rPr>
          <w:rFonts w:cs="Arial"/>
          <w:lang w:val="fr-FR"/>
        </w:rPr>
        <w:br/>
      </w:r>
      <w:r w:rsidR="00F017E1" w:rsidRPr="00F017E1">
        <w:rPr>
          <w:color w:val="A6A6A6" w:themeColor="background1" w:themeShade="A6"/>
          <w:lang w:val="fr-FR"/>
        </w:rPr>
        <w:t>Avertissement : le présent document ne représente pas les principes ou les orientations de l'UPOV</w:t>
      </w:r>
    </w:p>
    <w:p w:rsidR="00BE4EC4" w:rsidRPr="00F017E1" w:rsidRDefault="00BE4EC4" w:rsidP="006A4623">
      <w:pPr>
        <w:rPr>
          <w:rFonts w:cs="Arial"/>
          <w:b/>
          <w:lang w:val="fr-FR"/>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475AF4" w:rsidRPr="00F017E1" w:rsidTr="00A33726">
        <w:trPr>
          <w:cantSplit/>
          <w:jc w:val="center"/>
        </w:trPr>
        <w:tc>
          <w:tcPr>
            <w:tcW w:w="6664" w:type="dxa"/>
            <w:shd w:val="clear" w:color="auto" w:fill="E6E6E6"/>
          </w:tcPr>
          <w:p w:rsidR="0026000A" w:rsidRPr="0026408C" w:rsidRDefault="0026000A" w:rsidP="0026000A">
            <w:pPr>
              <w:jc w:val="center"/>
              <w:rPr>
                <w:sz w:val="18"/>
                <w:szCs w:val="18"/>
                <w:lang w:val="fr-FR"/>
              </w:rPr>
            </w:pPr>
            <w:r w:rsidRPr="0026408C">
              <w:rPr>
                <w:sz w:val="18"/>
                <w:szCs w:val="18"/>
                <w:lang w:val="fr-FR"/>
              </w:rPr>
              <w:t>Précisions concernant cette version</w:t>
            </w:r>
          </w:p>
          <w:p w:rsidR="0026000A" w:rsidRPr="0026408C" w:rsidRDefault="0026000A" w:rsidP="0026000A">
            <w:pPr>
              <w:jc w:val="center"/>
              <w:rPr>
                <w:sz w:val="18"/>
                <w:szCs w:val="18"/>
                <w:lang w:val="fr-FR"/>
              </w:rPr>
            </w:pPr>
          </w:p>
          <w:p w:rsidR="0026000A" w:rsidRPr="0026408C" w:rsidRDefault="0026000A" w:rsidP="0026000A">
            <w:pPr>
              <w:rPr>
                <w:rFonts w:cs="Arial"/>
                <w:sz w:val="18"/>
                <w:szCs w:val="18"/>
                <w:lang w:val="fr-FR"/>
              </w:rPr>
            </w:pPr>
            <w:r w:rsidRPr="0026408C">
              <w:rPr>
                <w:rFonts w:cs="Arial"/>
                <w:b/>
                <w:strike/>
                <w:sz w:val="18"/>
                <w:szCs w:val="18"/>
                <w:lang w:val="fr-FR"/>
              </w:rPr>
              <w:t>Le texte barré</w:t>
            </w:r>
            <w:r w:rsidRPr="0026408C">
              <w:rPr>
                <w:rFonts w:cs="Arial"/>
                <w:b/>
                <w:sz w:val="18"/>
                <w:szCs w:val="18"/>
                <w:lang w:val="fr-FR"/>
              </w:rPr>
              <w:t xml:space="preserve"> (en surbrillance)</w:t>
            </w:r>
            <w:r w:rsidRPr="0026408C">
              <w:rPr>
                <w:rFonts w:cs="Arial"/>
                <w:sz w:val="18"/>
                <w:szCs w:val="18"/>
                <w:lang w:val="fr-FR"/>
              </w:rPr>
              <w:t xml:space="preserve"> a été supprimé du document UPOV/EXN/</w:t>
            </w:r>
            <w:r>
              <w:rPr>
                <w:rFonts w:cs="Arial"/>
                <w:sz w:val="18"/>
                <w:szCs w:val="18"/>
                <w:lang w:val="fr-FR"/>
              </w:rPr>
              <w:t>CAN</w:t>
            </w:r>
            <w:r w:rsidRPr="0026408C">
              <w:rPr>
                <w:rFonts w:cs="Arial"/>
                <w:sz w:val="18"/>
                <w:szCs w:val="18"/>
                <w:lang w:val="fr-FR"/>
              </w:rPr>
              <w:t>/1 approuvé par le Groupe consultatif du Comité administratif et juridique (CAJ</w:t>
            </w:r>
            <w:r w:rsidRPr="0026408C">
              <w:rPr>
                <w:rFonts w:cs="Arial"/>
                <w:sz w:val="18"/>
                <w:szCs w:val="18"/>
                <w:lang w:val="fr-FR"/>
              </w:rPr>
              <w:noBreakHyphen/>
              <w:t>AG).</w:t>
            </w:r>
          </w:p>
          <w:p w:rsidR="0026000A" w:rsidRPr="0026408C" w:rsidRDefault="0026000A" w:rsidP="0026000A">
            <w:pPr>
              <w:rPr>
                <w:rFonts w:cs="Arial"/>
                <w:sz w:val="18"/>
                <w:szCs w:val="18"/>
                <w:lang w:val="fr-FR"/>
              </w:rPr>
            </w:pPr>
          </w:p>
          <w:p w:rsidR="0026000A" w:rsidRPr="0026408C" w:rsidRDefault="0026000A" w:rsidP="0026000A">
            <w:pPr>
              <w:rPr>
                <w:rFonts w:cs="Arial"/>
                <w:sz w:val="18"/>
                <w:szCs w:val="18"/>
                <w:lang w:val="fr-FR"/>
              </w:rPr>
            </w:pPr>
            <w:r w:rsidRPr="0026408C">
              <w:rPr>
                <w:rFonts w:cs="Arial"/>
                <w:b/>
                <w:sz w:val="18"/>
                <w:szCs w:val="18"/>
                <w:u w:val="single"/>
                <w:lang w:val="fr-FR"/>
              </w:rPr>
              <w:t>Le texte souligné</w:t>
            </w:r>
            <w:r w:rsidRPr="0026408C">
              <w:rPr>
                <w:rFonts w:cs="Arial"/>
                <w:b/>
                <w:sz w:val="18"/>
                <w:szCs w:val="18"/>
                <w:lang w:val="fr-FR"/>
              </w:rPr>
              <w:t xml:space="preserve"> (en surbrillance)</w:t>
            </w:r>
            <w:r w:rsidRPr="0026408C">
              <w:rPr>
                <w:rFonts w:cs="Arial"/>
                <w:sz w:val="18"/>
                <w:szCs w:val="18"/>
                <w:lang w:val="fr-FR"/>
              </w:rPr>
              <w:t xml:space="preserve"> a été ajouté au document UPOV/EXN/</w:t>
            </w:r>
            <w:r>
              <w:rPr>
                <w:rFonts w:cs="Arial"/>
                <w:sz w:val="18"/>
                <w:szCs w:val="18"/>
                <w:lang w:val="fr-FR"/>
              </w:rPr>
              <w:t>CAN</w:t>
            </w:r>
            <w:r w:rsidRPr="0026408C">
              <w:rPr>
                <w:rFonts w:cs="Arial"/>
                <w:sz w:val="18"/>
                <w:szCs w:val="18"/>
                <w:lang w:val="fr-FR"/>
              </w:rPr>
              <w:t>/1 approuvé par le CAJ</w:t>
            </w:r>
            <w:r w:rsidRPr="0026408C">
              <w:rPr>
                <w:rFonts w:cs="Arial"/>
                <w:sz w:val="18"/>
                <w:szCs w:val="18"/>
                <w:lang w:val="fr-FR"/>
              </w:rPr>
              <w:noBreakHyphen/>
              <w:t>AG.</w:t>
            </w:r>
          </w:p>
          <w:p w:rsidR="0026000A" w:rsidRPr="0026408C" w:rsidRDefault="0026000A" w:rsidP="0026000A">
            <w:pPr>
              <w:rPr>
                <w:sz w:val="18"/>
                <w:szCs w:val="18"/>
                <w:lang w:val="fr-FR"/>
              </w:rPr>
            </w:pPr>
          </w:p>
          <w:p w:rsidR="00475AF4" w:rsidRPr="00F017E1" w:rsidRDefault="0026000A" w:rsidP="0026000A">
            <w:pPr>
              <w:rPr>
                <w:szCs w:val="22"/>
                <w:lang w:val="fr-FR"/>
              </w:rPr>
            </w:pPr>
            <w:r w:rsidRPr="0026408C">
              <w:rPr>
                <w:b/>
                <w:sz w:val="18"/>
                <w:szCs w:val="18"/>
                <w:lang w:val="fr-FR"/>
              </w:rPr>
              <w:t>Les notes de bas de page</w:t>
            </w:r>
            <w:r w:rsidRPr="0026408C">
              <w:rPr>
                <w:sz w:val="18"/>
                <w:szCs w:val="18"/>
                <w:lang w:val="fr-FR"/>
              </w:rPr>
              <w:t xml:space="preserve"> seront conservées dans la version publiée du document</w:t>
            </w:r>
            <w:r w:rsidR="00475AF4" w:rsidRPr="00F017E1">
              <w:rPr>
                <w:sz w:val="18"/>
                <w:szCs w:val="18"/>
                <w:lang w:val="fr-FR"/>
              </w:rPr>
              <w:t>.</w:t>
            </w:r>
          </w:p>
        </w:tc>
      </w:tr>
    </w:tbl>
    <w:p w:rsidR="00BE4EC4" w:rsidRPr="00F017E1" w:rsidRDefault="00BE4EC4" w:rsidP="006A4623">
      <w:pPr>
        <w:jc w:val="left"/>
        <w:rPr>
          <w:rFonts w:cs="Arial"/>
          <w:lang w:val="fr-FR"/>
        </w:rPr>
      </w:pPr>
    </w:p>
    <w:p w:rsidR="006A4623" w:rsidRPr="00F017E1" w:rsidRDefault="006A4623">
      <w:pPr>
        <w:jc w:val="left"/>
        <w:rPr>
          <w:rFonts w:cs="Arial"/>
          <w:lang w:val="fr-FR"/>
        </w:rPr>
      </w:pPr>
      <w:r w:rsidRPr="00F017E1">
        <w:rPr>
          <w:rFonts w:cs="Arial"/>
          <w:lang w:val="fr-FR"/>
        </w:rPr>
        <w:br w:type="page"/>
      </w:r>
    </w:p>
    <w:p w:rsidR="00475AF4" w:rsidRPr="00F017E1" w:rsidRDefault="00475AF4" w:rsidP="00475AF4">
      <w:pPr>
        <w:rPr>
          <w:lang w:val="fr-FR"/>
        </w:rPr>
      </w:pPr>
    </w:p>
    <w:p w:rsidR="00475AF4" w:rsidRPr="00F017E1" w:rsidRDefault="00475AF4" w:rsidP="00475AF4">
      <w:pPr>
        <w:jc w:val="center"/>
        <w:rPr>
          <w:sz w:val="18"/>
          <w:u w:val="single"/>
          <w:lang w:val="fr-FR"/>
        </w:rPr>
      </w:pPr>
      <w:r w:rsidRPr="00F017E1">
        <w:rPr>
          <w:sz w:val="18"/>
          <w:u w:val="single"/>
          <w:lang w:val="fr-FR"/>
        </w:rPr>
        <w:t xml:space="preserve">TABLE </w:t>
      </w:r>
      <w:r w:rsidR="006B3AC1">
        <w:rPr>
          <w:sz w:val="18"/>
          <w:u w:val="single"/>
          <w:lang w:val="fr-FR"/>
        </w:rPr>
        <w:t>DES MATIÈRES</w:t>
      </w:r>
    </w:p>
    <w:p w:rsidR="00475AF4" w:rsidRPr="00F017E1" w:rsidRDefault="00475AF4" w:rsidP="00475AF4">
      <w:pPr>
        <w:rPr>
          <w:lang w:val="fr-FR"/>
        </w:rPr>
      </w:pPr>
    </w:p>
    <w:p w:rsidR="000C1483" w:rsidRDefault="00475AF4">
      <w:pPr>
        <w:pStyle w:val="TOC1"/>
        <w:rPr>
          <w:rFonts w:asciiTheme="minorHAnsi" w:eastAsiaTheme="minorEastAsia" w:hAnsiTheme="minorHAnsi" w:cstheme="minorBidi"/>
          <w:bCs w:val="0"/>
          <w:caps w:val="0"/>
          <w:noProof/>
          <w:sz w:val="22"/>
          <w:szCs w:val="22"/>
        </w:rPr>
      </w:pPr>
      <w:r w:rsidRPr="00F017E1">
        <w:rPr>
          <w:b/>
          <w:lang w:val="fr-FR"/>
        </w:rPr>
        <w:fldChar w:fldCharType="begin"/>
      </w:r>
      <w:r w:rsidRPr="00F017E1">
        <w:rPr>
          <w:b/>
          <w:lang w:val="fr-FR"/>
        </w:rPr>
        <w:instrText xml:space="preserve"> TOC \o "1-3" \h \z \u </w:instrText>
      </w:r>
      <w:r w:rsidRPr="00F017E1">
        <w:rPr>
          <w:b/>
          <w:lang w:val="fr-FR"/>
        </w:rPr>
        <w:fldChar w:fldCharType="separate"/>
      </w:r>
      <w:hyperlink w:anchor="_Toc406666234" w:history="1">
        <w:r w:rsidR="000C1483" w:rsidRPr="00A32A24">
          <w:rPr>
            <w:rStyle w:val="Hyperlink"/>
            <w:lang w:val="fr-FR"/>
          </w:rPr>
          <w:t>PRÉAMBuLE</w:t>
        </w:r>
        <w:r w:rsidR="000C1483">
          <w:rPr>
            <w:noProof/>
            <w:webHidden/>
          </w:rPr>
          <w:tab/>
        </w:r>
        <w:r w:rsidR="000C1483">
          <w:rPr>
            <w:noProof/>
            <w:webHidden/>
          </w:rPr>
          <w:fldChar w:fldCharType="begin"/>
        </w:r>
        <w:r w:rsidR="000C1483">
          <w:rPr>
            <w:noProof/>
            <w:webHidden/>
          </w:rPr>
          <w:instrText xml:space="preserve"> PAGEREF _Toc406666234 \h </w:instrText>
        </w:r>
        <w:r w:rsidR="000C1483">
          <w:rPr>
            <w:noProof/>
            <w:webHidden/>
          </w:rPr>
        </w:r>
        <w:r w:rsidR="000C1483">
          <w:rPr>
            <w:noProof/>
            <w:webHidden/>
          </w:rPr>
          <w:fldChar w:fldCharType="separate"/>
        </w:r>
        <w:r w:rsidR="00B83E9B">
          <w:rPr>
            <w:noProof/>
            <w:webHidden/>
          </w:rPr>
          <w:t>3</w:t>
        </w:r>
        <w:r w:rsidR="000C1483">
          <w:rPr>
            <w:noProof/>
            <w:webHidden/>
          </w:rPr>
          <w:fldChar w:fldCharType="end"/>
        </w:r>
      </w:hyperlink>
    </w:p>
    <w:p w:rsidR="000C1483" w:rsidRDefault="00B83E9B">
      <w:pPr>
        <w:pStyle w:val="TOC1"/>
        <w:rPr>
          <w:rFonts w:asciiTheme="minorHAnsi" w:eastAsiaTheme="minorEastAsia" w:hAnsiTheme="minorHAnsi" w:cstheme="minorBidi"/>
          <w:bCs w:val="0"/>
          <w:caps w:val="0"/>
          <w:noProof/>
          <w:sz w:val="22"/>
          <w:szCs w:val="22"/>
        </w:rPr>
      </w:pPr>
      <w:hyperlink w:anchor="_Toc406666235" w:history="1">
        <w:r w:rsidR="000C1483" w:rsidRPr="00A32A24">
          <w:rPr>
            <w:rStyle w:val="Hyperlink"/>
            <w:lang w:val="fr-FR"/>
          </w:rPr>
          <w:t>SECTION I : DISPOSITIONS RELATIVES À LA DÉCHÉANCE DE L’OBTENTEUR</w:t>
        </w:r>
        <w:r w:rsidR="000C1483">
          <w:rPr>
            <w:noProof/>
            <w:webHidden/>
          </w:rPr>
          <w:tab/>
        </w:r>
        <w:r w:rsidR="000C1483">
          <w:rPr>
            <w:noProof/>
            <w:webHidden/>
          </w:rPr>
          <w:fldChar w:fldCharType="begin"/>
        </w:r>
        <w:r w:rsidR="000C1483">
          <w:rPr>
            <w:noProof/>
            <w:webHidden/>
          </w:rPr>
          <w:instrText xml:space="preserve"> PAGEREF _Toc406666235 \h </w:instrText>
        </w:r>
        <w:r w:rsidR="000C1483">
          <w:rPr>
            <w:noProof/>
            <w:webHidden/>
          </w:rPr>
        </w:r>
        <w:r w:rsidR="000C1483">
          <w:rPr>
            <w:noProof/>
            <w:webHidden/>
          </w:rPr>
          <w:fldChar w:fldCharType="separate"/>
        </w:r>
        <w:r>
          <w:rPr>
            <w:noProof/>
            <w:webHidden/>
          </w:rPr>
          <w:t>4</w:t>
        </w:r>
        <w:r w:rsidR="000C1483">
          <w:rPr>
            <w:noProof/>
            <w:webHidden/>
          </w:rPr>
          <w:fldChar w:fldCharType="end"/>
        </w:r>
      </w:hyperlink>
    </w:p>
    <w:p w:rsidR="000C1483" w:rsidRDefault="00B83E9B">
      <w:pPr>
        <w:pStyle w:val="TOC1"/>
        <w:rPr>
          <w:rFonts w:asciiTheme="minorHAnsi" w:eastAsiaTheme="minorEastAsia" w:hAnsiTheme="minorHAnsi" w:cstheme="minorBidi"/>
          <w:bCs w:val="0"/>
          <w:caps w:val="0"/>
          <w:noProof/>
          <w:sz w:val="22"/>
          <w:szCs w:val="22"/>
        </w:rPr>
      </w:pPr>
      <w:hyperlink w:anchor="_Toc406666236" w:history="1">
        <w:r w:rsidR="000C1483" w:rsidRPr="00A32A24">
          <w:rPr>
            <w:rStyle w:val="Hyperlink"/>
            <w:lang w:val="fr-FR"/>
          </w:rPr>
          <w:t>SECTION II :  ASPECTS PARTICULIERS DES DISPOSITIONS RELATIVES À LA DÉCHÉANCE DE L’OBTENTEUR</w:t>
        </w:r>
        <w:r w:rsidR="000C1483">
          <w:rPr>
            <w:noProof/>
            <w:webHidden/>
          </w:rPr>
          <w:tab/>
        </w:r>
        <w:r w:rsidR="000C1483">
          <w:rPr>
            <w:noProof/>
            <w:webHidden/>
          </w:rPr>
          <w:fldChar w:fldCharType="begin"/>
        </w:r>
        <w:r w:rsidR="000C1483">
          <w:rPr>
            <w:noProof/>
            <w:webHidden/>
          </w:rPr>
          <w:instrText xml:space="preserve"> PAGEREF _Toc406666236 \h </w:instrText>
        </w:r>
        <w:r w:rsidR="000C1483">
          <w:rPr>
            <w:noProof/>
            <w:webHidden/>
          </w:rPr>
        </w:r>
        <w:r w:rsidR="000C1483">
          <w:rPr>
            <w:noProof/>
            <w:webHidden/>
          </w:rPr>
          <w:fldChar w:fldCharType="separate"/>
        </w:r>
        <w:r>
          <w:rPr>
            <w:noProof/>
            <w:webHidden/>
          </w:rPr>
          <w:t>5</w:t>
        </w:r>
        <w:r w:rsidR="000C1483">
          <w:rPr>
            <w:noProof/>
            <w:webHidden/>
          </w:rPr>
          <w:fldChar w:fldCharType="end"/>
        </w:r>
      </w:hyperlink>
    </w:p>
    <w:p w:rsidR="0026000A" w:rsidRPr="0026000A" w:rsidRDefault="00475AF4" w:rsidP="0026000A">
      <w:pPr>
        <w:tabs>
          <w:tab w:val="right" w:leader="dot" w:pos="9072"/>
        </w:tabs>
        <w:jc w:val="center"/>
        <w:rPr>
          <w:lang w:val="fr-FR"/>
        </w:rPr>
      </w:pPr>
      <w:r w:rsidRPr="00F017E1">
        <w:rPr>
          <w:b/>
          <w:bCs/>
          <w:szCs w:val="24"/>
          <w:lang w:val="fr-FR"/>
        </w:rPr>
        <w:fldChar w:fldCharType="end"/>
      </w:r>
      <w:r w:rsidRPr="00F017E1">
        <w:rPr>
          <w:lang w:val="fr-FR"/>
        </w:rPr>
        <w:br w:type="page"/>
      </w:r>
      <w:r w:rsidR="0026000A" w:rsidRPr="0026000A">
        <w:rPr>
          <w:lang w:val="fr-FR"/>
        </w:rPr>
        <w:lastRenderedPageBreak/>
        <w:t>NOTES EXPLICATIVES SUR LA D</w:t>
      </w:r>
      <w:r w:rsidR="0026000A">
        <w:rPr>
          <w:lang w:val="fr-FR"/>
        </w:rPr>
        <w:t>É</w:t>
      </w:r>
      <w:r w:rsidR="0026000A" w:rsidRPr="0026000A">
        <w:rPr>
          <w:lang w:val="fr-FR"/>
        </w:rPr>
        <w:t>CH</w:t>
      </w:r>
      <w:r w:rsidR="0026000A">
        <w:rPr>
          <w:lang w:val="fr-FR"/>
        </w:rPr>
        <w:t>É</w:t>
      </w:r>
      <w:r w:rsidR="0026000A" w:rsidRPr="0026000A">
        <w:rPr>
          <w:lang w:val="fr-FR"/>
        </w:rPr>
        <w:t>ANCE D</w:t>
      </w:r>
      <w:r w:rsidR="00716539">
        <w:rPr>
          <w:lang w:val="fr-FR"/>
        </w:rPr>
        <w:t>E L’O</w:t>
      </w:r>
      <w:r w:rsidR="0026000A" w:rsidRPr="0026000A">
        <w:rPr>
          <w:lang w:val="fr-FR"/>
        </w:rPr>
        <w:t>BTENTEUR</w:t>
      </w:r>
    </w:p>
    <w:p w:rsidR="00475AF4" w:rsidRPr="00F017E1" w:rsidRDefault="0026000A" w:rsidP="0026000A">
      <w:pPr>
        <w:tabs>
          <w:tab w:val="right" w:leader="dot" w:pos="9072"/>
        </w:tabs>
        <w:jc w:val="center"/>
        <w:rPr>
          <w:lang w:val="fr-FR"/>
        </w:rPr>
      </w:pPr>
      <w:r w:rsidRPr="0026000A">
        <w:rPr>
          <w:lang w:val="fr-FR"/>
        </w:rPr>
        <w:t>SELON LA CONVENTION UPOV</w:t>
      </w:r>
    </w:p>
    <w:p w:rsidR="00475AF4" w:rsidRPr="00F017E1" w:rsidRDefault="00475AF4" w:rsidP="00475AF4">
      <w:pPr>
        <w:rPr>
          <w:lang w:val="fr-FR"/>
        </w:rPr>
      </w:pPr>
    </w:p>
    <w:p w:rsidR="00475AF4" w:rsidRPr="0069308B" w:rsidRDefault="00475AF4" w:rsidP="0069308B">
      <w:pPr>
        <w:pStyle w:val="Heading1"/>
      </w:pPr>
      <w:bookmarkStart w:id="0" w:name="_Toc406666234"/>
      <w:r w:rsidRPr="0069308B">
        <w:t>PR</w:t>
      </w:r>
      <w:r w:rsidR="0026000A" w:rsidRPr="0069308B">
        <w:t>É</w:t>
      </w:r>
      <w:r w:rsidRPr="0069308B">
        <w:t>AMB</w:t>
      </w:r>
      <w:r w:rsidR="0026000A" w:rsidRPr="0069308B">
        <w:t>u</w:t>
      </w:r>
      <w:r w:rsidRPr="0069308B">
        <w:t>LE</w:t>
      </w:r>
      <w:bookmarkEnd w:id="0"/>
    </w:p>
    <w:p w:rsidR="00475AF4" w:rsidRPr="00F017E1" w:rsidRDefault="00475AF4" w:rsidP="006B3AC1">
      <w:pPr>
        <w:rPr>
          <w:lang w:val="fr-FR"/>
        </w:rPr>
      </w:pPr>
    </w:p>
    <w:p w:rsidR="00475AF4" w:rsidRPr="00F017E1" w:rsidRDefault="00475AF4" w:rsidP="00475AF4">
      <w:pPr>
        <w:rPr>
          <w:lang w:val="fr-FR"/>
        </w:rPr>
      </w:pPr>
      <w:r w:rsidRPr="00F017E1">
        <w:rPr>
          <w:lang w:val="fr-FR"/>
        </w:rPr>
        <w:fldChar w:fldCharType="begin"/>
      </w:r>
      <w:r w:rsidRPr="00F017E1">
        <w:rPr>
          <w:lang w:val="fr-FR"/>
        </w:rPr>
        <w:instrText xml:space="preserve"> AUTONUM  </w:instrText>
      </w:r>
      <w:r w:rsidRPr="00F017E1">
        <w:rPr>
          <w:lang w:val="fr-FR"/>
        </w:rPr>
        <w:fldChar w:fldCharType="end"/>
      </w:r>
      <w:r w:rsidRPr="00F017E1">
        <w:rPr>
          <w:lang w:val="fr-FR"/>
        </w:rPr>
        <w:tab/>
      </w:r>
      <w:r w:rsidR="0026000A" w:rsidRPr="0026000A">
        <w:rPr>
          <w:lang w:val="fr-FR"/>
        </w:rPr>
        <w:t xml:space="preserve">Les présentes notes explicatives visent à fournir des indications sur la déchéance </w:t>
      </w:r>
      <w:r w:rsidR="00716539" w:rsidRPr="0026000A">
        <w:rPr>
          <w:lang w:val="fr-FR"/>
        </w:rPr>
        <w:t>D</w:t>
      </w:r>
      <w:r w:rsidR="00716539">
        <w:rPr>
          <w:lang w:val="fr-FR"/>
        </w:rPr>
        <w:t>e l’</w:t>
      </w:r>
      <w:r w:rsidR="0026000A" w:rsidRPr="0026000A">
        <w:rPr>
          <w:lang w:val="fr-FR"/>
        </w:rPr>
        <w:t>obtenteur selon la Convention internationale pour la protection des obtentions végétales (ci</w:t>
      </w:r>
      <w:r w:rsidR="0026000A" w:rsidRPr="0026000A">
        <w:rPr>
          <w:lang w:val="fr-FR"/>
        </w:rPr>
        <w:noBreakHyphen/>
        <w:t>après dénommée “Convention UPOV”).  Les seules obligations impératives pour les membres de l’Union sont celles qui figurent dans le texte de la Convention UPOV proprement dite;  les notes explicatives ne doivent pas être interprétées d’une manière qui ne serait pas conforme à l’acte pertinent pour le membre de l’Union concerné</w:t>
      </w:r>
      <w:r w:rsidRPr="00F017E1">
        <w:rPr>
          <w:lang w:val="fr-FR"/>
        </w:rPr>
        <w:t xml:space="preserve">.  </w:t>
      </w:r>
    </w:p>
    <w:p w:rsidR="00475AF4" w:rsidRPr="00F017E1" w:rsidRDefault="00475AF4" w:rsidP="00475AF4">
      <w:pPr>
        <w:rPr>
          <w:lang w:val="fr-FR"/>
        </w:rPr>
      </w:pPr>
    </w:p>
    <w:p w:rsidR="00475AF4" w:rsidRPr="00F017E1" w:rsidRDefault="00475AF4" w:rsidP="00475AF4">
      <w:pPr>
        <w:rPr>
          <w:lang w:val="fr-FR"/>
        </w:rPr>
      </w:pPr>
      <w:r w:rsidRPr="00F017E1">
        <w:rPr>
          <w:lang w:val="fr-FR"/>
        </w:rPr>
        <w:fldChar w:fldCharType="begin"/>
      </w:r>
      <w:r w:rsidRPr="00F017E1">
        <w:rPr>
          <w:lang w:val="fr-FR"/>
        </w:rPr>
        <w:instrText xml:space="preserve"> AUTONUM  </w:instrText>
      </w:r>
      <w:r w:rsidRPr="00F017E1">
        <w:rPr>
          <w:lang w:val="fr-FR"/>
        </w:rPr>
        <w:fldChar w:fldCharType="end"/>
      </w:r>
      <w:r w:rsidRPr="00F017E1">
        <w:rPr>
          <w:lang w:val="fr-FR"/>
        </w:rPr>
        <w:tab/>
      </w:r>
      <w:r w:rsidR="0026000A" w:rsidRPr="0026000A">
        <w:rPr>
          <w:lang w:val="fr-FR"/>
        </w:rPr>
        <w:t>Les notes explicatives dans la section</w:t>
      </w:r>
      <w:r w:rsidR="0026000A">
        <w:rPr>
          <w:lang w:val="fr-FR"/>
        </w:rPr>
        <w:t> </w:t>
      </w:r>
      <w:r w:rsidR="0026000A" w:rsidRPr="0026000A">
        <w:rPr>
          <w:lang w:val="fr-FR"/>
        </w:rPr>
        <w:t>II fournissent des indications sur certains aspects des dispositions relatives à la déchéance de l’obtenteur figurant à l’article</w:t>
      </w:r>
      <w:r w:rsidR="0026000A">
        <w:rPr>
          <w:lang w:val="fr-FR"/>
        </w:rPr>
        <w:t> </w:t>
      </w:r>
      <w:r w:rsidR="0026000A" w:rsidRPr="0026000A">
        <w:rPr>
          <w:lang w:val="fr-FR"/>
        </w:rPr>
        <w:t>22 de l’Acte de 1991 de la Convention UPOV et à l’article</w:t>
      </w:r>
      <w:r w:rsidR="0026000A">
        <w:rPr>
          <w:lang w:val="fr-FR"/>
        </w:rPr>
        <w:t> </w:t>
      </w:r>
      <w:r w:rsidR="0026000A" w:rsidRPr="0026000A">
        <w:rPr>
          <w:lang w:val="fr-FR"/>
        </w:rPr>
        <w:t>10.2) à 4) de l’Acte de 1978 de la Convention UPOV</w:t>
      </w:r>
      <w:r w:rsidRPr="00F017E1">
        <w:rPr>
          <w:lang w:val="fr-FR"/>
        </w:rPr>
        <w:t xml:space="preserve">.  </w:t>
      </w:r>
    </w:p>
    <w:p w:rsidR="00475AF4" w:rsidRPr="00F017E1" w:rsidRDefault="00475AF4" w:rsidP="00475AF4">
      <w:pPr>
        <w:rPr>
          <w:lang w:val="fr-FR"/>
        </w:rPr>
      </w:pPr>
    </w:p>
    <w:p w:rsidR="00475AF4" w:rsidRPr="00F017E1" w:rsidRDefault="00475AF4" w:rsidP="0069308B">
      <w:pPr>
        <w:pStyle w:val="Heading2"/>
        <w:rPr>
          <w:lang w:val="fr-FR"/>
        </w:rPr>
      </w:pPr>
      <w:r w:rsidRPr="00F017E1">
        <w:rPr>
          <w:lang w:val="fr-FR"/>
        </w:rPr>
        <w:br w:type="page"/>
      </w:r>
      <w:bookmarkStart w:id="1" w:name="_Toc203190980"/>
      <w:bookmarkStart w:id="2" w:name="_Toc406666235"/>
      <w:r w:rsidRPr="00F017E1">
        <w:rPr>
          <w:lang w:val="fr-FR"/>
        </w:rPr>
        <w:lastRenderedPageBreak/>
        <w:t>SECTION I</w:t>
      </w:r>
      <w:r w:rsidR="0026000A">
        <w:rPr>
          <w:lang w:val="fr-FR"/>
        </w:rPr>
        <w:t> </w:t>
      </w:r>
      <w:r w:rsidRPr="00F017E1">
        <w:rPr>
          <w:lang w:val="fr-FR"/>
        </w:rPr>
        <w:t xml:space="preserve">: </w:t>
      </w:r>
      <w:bookmarkEnd w:id="1"/>
      <w:r w:rsidR="0026000A" w:rsidRPr="0026000A">
        <w:rPr>
          <w:lang w:val="fr-FR"/>
        </w:rPr>
        <w:t xml:space="preserve">DISPOSITIONS RELATIVES À LA DÉCHÉANCE </w:t>
      </w:r>
      <w:r w:rsidR="0026000A">
        <w:rPr>
          <w:lang w:val="fr-FR"/>
        </w:rPr>
        <w:t>D</w:t>
      </w:r>
      <w:r w:rsidR="00716539">
        <w:rPr>
          <w:lang w:val="fr-FR"/>
        </w:rPr>
        <w:t>E L</w:t>
      </w:r>
      <w:r w:rsidR="0026000A">
        <w:rPr>
          <w:lang w:val="fr-FR"/>
        </w:rPr>
        <w:t>’</w:t>
      </w:r>
      <w:r w:rsidR="0026000A" w:rsidRPr="0026000A">
        <w:rPr>
          <w:lang w:val="fr-FR"/>
        </w:rPr>
        <w:t>OBTENTEUR</w:t>
      </w:r>
      <w:bookmarkEnd w:id="2"/>
    </w:p>
    <w:p w:rsidR="00475AF4" w:rsidRPr="00F017E1" w:rsidRDefault="00475AF4" w:rsidP="00475AF4">
      <w:pPr>
        <w:rPr>
          <w:lang w:val="fr-FR"/>
        </w:rPr>
      </w:pPr>
    </w:p>
    <w:p w:rsidR="00475AF4" w:rsidRPr="00F017E1" w:rsidRDefault="00475AF4" w:rsidP="00475AF4">
      <w:pPr>
        <w:rPr>
          <w:lang w:val="fr-FR"/>
        </w:rPr>
      </w:pPr>
      <w:r w:rsidRPr="00F017E1">
        <w:rPr>
          <w:lang w:val="fr-FR"/>
        </w:rPr>
        <w:fldChar w:fldCharType="begin"/>
      </w:r>
      <w:r w:rsidRPr="00F017E1">
        <w:rPr>
          <w:lang w:val="fr-FR"/>
        </w:rPr>
        <w:instrText xml:space="preserve"> AUTONUM  </w:instrText>
      </w:r>
      <w:r w:rsidRPr="00F017E1">
        <w:rPr>
          <w:lang w:val="fr-FR"/>
        </w:rPr>
        <w:fldChar w:fldCharType="end"/>
      </w:r>
      <w:r w:rsidRPr="00F017E1">
        <w:rPr>
          <w:lang w:val="fr-FR"/>
        </w:rPr>
        <w:tab/>
      </w:r>
      <w:r w:rsidR="00716539" w:rsidRPr="00C6729F">
        <w:rPr>
          <w:lang w:val="fr-FR"/>
        </w:rPr>
        <w:t xml:space="preserve">Les dispositions relatives </w:t>
      </w:r>
      <w:r w:rsidR="00716539">
        <w:rPr>
          <w:lang w:val="fr-FR"/>
        </w:rPr>
        <w:t>à</w:t>
      </w:r>
      <w:r w:rsidR="00716539" w:rsidRPr="00C6729F">
        <w:rPr>
          <w:lang w:val="fr-FR"/>
        </w:rPr>
        <w:t xml:space="preserve"> </w:t>
      </w:r>
      <w:r w:rsidR="00716539">
        <w:rPr>
          <w:lang w:val="fr-FR"/>
        </w:rPr>
        <w:t>la d</w:t>
      </w:r>
      <w:r w:rsidR="00716539" w:rsidRPr="00082561">
        <w:rPr>
          <w:lang w:val="fr-FR"/>
        </w:rPr>
        <w:t>échéance de l’obtenteur</w:t>
      </w:r>
      <w:r w:rsidR="00716539" w:rsidRPr="00C6729F">
        <w:rPr>
          <w:lang w:val="fr-FR"/>
        </w:rPr>
        <w:t xml:space="preserve"> figurant à l’article </w:t>
      </w:r>
      <w:r w:rsidR="00716539">
        <w:rPr>
          <w:lang w:val="fr-FR"/>
        </w:rPr>
        <w:t>22</w:t>
      </w:r>
      <w:r w:rsidR="00716539" w:rsidRPr="00C6729F">
        <w:rPr>
          <w:lang w:val="fr-FR"/>
        </w:rPr>
        <w:t xml:space="preserve"> de l’Acte</w:t>
      </w:r>
      <w:r w:rsidR="00716539">
        <w:rPr>
          <w:lang w:val="fr-FR"/>
        </w:rPr>
        <w:t> </w:t>
      </w:r>
      <w:r w:rsidR="00716539" w:rsidRPr="00C6729F">
        <w:rPr>
          <w:lang w:val="fr-FR"/>
        </w:rPr>
        <w:t xml:space="preserve">de 1991 de la Convention UPOV </w:t>
      </w:r>
      <w:r w:rsidR="00716539">
        <w:rPr>
          <w:lang w:val="fr-FR"/>
        </w:rPr>
        <w:t xml:space="preserve">et </w:t>
      </w:r>
      <w:r w:rsidR="00716539" w:rsidRPr="00C6729F">
        <w:rPr>
          <w:lang w:val="fr-FR"/>
        </w:rPr>
        <w:t>à l’article </w:t>
      </w:r>
      <w:r w:rsidR="00716539" w:rsidRPr="002E331A">
        <w:rPr>
          <w:lang w:val="fr-FR"/>
        </w:rPr>
        <w:t>10.2) à 4)</w:t>
      </w:r>
      <w:r w:rsidR="00716539">
        <w:rPr>
          <w:lang w:val="fr-FR"/>
        </w:rPr>
        <w:t xml:space="preserve"> </w:t>
      </w:r>
      <w:r w:rsidR="00716539" w:rsidRPr="00C6729F">
        <w:rPr>
          <w:lang w:val="fr-FR"/>
        </w:rPr>
        <w:t>de l’Acte de 19</w:t>
      </w:r>
      <w:r w:rsidR="00716539">
        <w:rPr>
          <w:lang w:val="fr-FR"/>
        </w:rPr>
        <w:t>78</w:t>
      </w:r>
      <w:r w:rsidR="00716539" w:rsidRPr="00C6729F">
        <w:rPr>
          <w:lang w:val="fr-FR"/>
        </w:rPr>
        <w:t xml:space="preserve"> de la Convention UPOV sont reproduites ci</w:t>
      </w:r>
      <w:r w:rsidR="00716539" w:rsidRPr="00C6729F">
        <w:rPr>
          <w:lang w:val="fr-FR"/>
        </w:rPr>
        <w:noBreakHyphen/>
        <w:t>après</w:t>
      </w:r>
      <w:r w:rsidR="00716539">
        <w:rPr>
          <w:lang w:val="fr-FR"/>
        </w:rPr>
        <w:t xml:space="preserve">.  </w:t>
      </w:r>
    </w:p>
    <w:p w:rsidR="00475AF4" w:rsidRPr="00F017E1" w:rsidRDefault="00475AF4" w:rsidP="00475AF4">
      <w:pPr>
        <w:rPr>
          <w:lang w:val="fr-FR"/>
        </w:rPr>
      </w:pPr>
    </w:p>
    <w:p w:rsidR="00475AF4" w:rsidRPr="00F017E1"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fr-FR"/>
        </w:rPr>
      </w:pPr>
    </w:p>
    <w:p w:rsidR="00475AF4" w:rsidRPr="00716539" w:rsidRDefault="00716539" w:rsidP="00475AF4">
      <w:pPr>
        <w:keepNext/>
        <w:keepLines/>
        <w:pBdr>
          <w:top w:val="single" w:sz="4" w:space="1" w:color="auto"/>
          <w:left w:val="single" w:sz="4" w:space="1" w:color="auto"/>
          <w:bottom w:val="single" w:sz="4" w:space="1" w:color="auto"/>
          <w:right w:val="single" w:sz="4" w:space="1" w:color="auto"/>
        </w:pBdr>
        <w:ind w:left="567" w:right="571"/>
        <w:jc w:val="center"/>
        <w:rPr>
          <w:b/>
          <w:lang w:val="fr-FR"/>
        </w:rPr>
      </w:pPr>
      <w:r w:rsidRPr="00716539">
        <w:rPr>
          <w:b/>
          <w:lang w:val="fr-FR"/>
        </w:rPr>
        <w:t xml:space="preserve">Acte de 1991 </w:t>
      </w:r>
      <w:r w:rsidRPr="00716539">
        <w:rPr>
          <w:lang w:val="fr-FR"/>
        </w:rPr>
        <w:t>de la Convention UPOV</w:t>
      </w:r>
    </w:p>
    <w:p w:rsidR="00475AF4" w:rsidRPr="00F017E1"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fr-FR"/>
        </w:rPr>
      </w:pPr>
    </w:p>
    <w:p w:rsidR="00475AF4" w:rsidRPr="00F017E1"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fr-FR"/>
        </w:rPr>
      </w:pPr>
      <w:r w:rsidRPr="00F017E1">
        <w:rPr>
          <w:b/>
          <w:szCs w:val="22"/>
          <w:lang w:val="fr-FR"/>
        </w:rPr>
        <w:t>Article 22</w:t>
      </w:r>
    </w:p>
    <w:p w:rsidR="00475AF4" w:rsidRPr="00F017E1"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fr-FR"/>
        </w:rPr>
      </w:pPr>
    </w:p>
    <w:p w:rsidR="00475AF4" w:rsidRPr="00F017E1" w:rsidRDefault="00716539"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fr-FR"/>
        </w:rPr>
      </w:pPr>
      <w:r w:rsidRPr="00716539">
        <w:rPr>
          <w:b/>
          <w:szCs w:val="22"/>
          <w:lang w:val="fr-FR"/>
        </w:rPr>
        <w:t>Déchéance de l’obtenteur</w:t>
      </w:r>
    </w:p>
    <w:p w:rsidR="00475AF4" w:rsidRPr="00F017E1"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fr-FR"/>
        </w:rPr>
      </w:pPr>
    </w:p>
    <w:p w:rsidR="00475AF4" w:rsidRPr="00F017E1" w:rsidRDefault="00475AF4" w:rsidP="00475AF4">
      <w:pPr>
        <w:keepNext/>
        <w:keepLines/>
        <w:pBdr>
          <w:top w:val="single" w:sz="4" w:space="1" w:color="auto"/>
          <w:left w:val="single" w:sz="4" w:space="1" w:color="auto"/>
          <w:bottom w:val="single" w:sz="4" w:space="1" w:color="auto"/>
          <w:right w:val="single" w:sz="4" w:space="1" w:color="auto"/>
        </w:pBdr>
        <w:ind w:left="567" w:right="571"/>
        <w:jc w:val="left"/>
        <w:rPr>
          <w:szCs w:val="22"/>
          <w:lang w:val="fr-FR"/>
        </w:rPr>
      </w:pPr>
      <w:r w:rsidRPr="00F017E1">
        <w:rPr>
          <w:szCs w:val="22"/>
          <w:lang w:val="fr-FR"/>
        </w:rPr>
        <w:tab/>
        <w:t>1)</w:t>
      </w:r>
      <w:r w:rsidRPr="00F017E1">
        <w:rPr>
          <w:szCs w:val="22"/>
          <w:lang w:val="fr-FR"/>
        </w:rPr>
        <w:tab/>
        <w:t>[</w:t>
      </w:r>
      <w:r w:rsidR="00716539" w:rsidRPr="00716539">
        <w:rPr>
          <w:rFonts w:cs="Arial"/>
          <w:bCs/>
          <w:i/>
          <w:lang w:val="fr-FR"/>
        </w:rPr>
        <w:t>Motifs de déchéance</w:t>
      </w:r>
      <w:r w:rsidR="00716539" w:rsidRPr="00716539">
        <w:rPr>
          <w:rFonts w:cs="Arial"/>
          <w:bCs/>
          <w:lang w:val="fr-FR"/>
        </w:rPr>
        <w:t xml:space="preserve">] a)  Chaque Partie contractante peut déchoir l'obtenteur du droit qu'elle lui a octroyé s'il est avéré que les conditions fixées aux </w:t>
      </w:r>
      <w:hyperlink r:id="rId10" w:anchor="P193_9710#P193_9710" w:history="1">
        <w:r w:rsidR="00716539" w:rsidRPr="00716539">
          <w:rPr>
            <w:rFonts w:cs="Arial"/>
            <w:bCs/>
            <w:lang w:val="fr-FR"/>
          </w:rPr>
          <w:t>articles 8</w:t>
        </w:r>
      </w:hyperlink>
      <w:r w:rsidR="00716539" w:rsidRPr="00716539">
        <w:rPr>
          <w:rFonts w:cs="Arial"/>
          <w:bCs/>
          <w:lang w:val="fr-FR"/>
        </w:rPr>
        <w:t xml:space="preserve"> et </w:t>
      </w:r>
      <w:hyperlink r:id="rId11" w:anchor="P198_9960#P198_9960" w:history="1">
        <w:r w:rsidR="00716539" w:rsidRPr="00716539">
          <w:rPr>
            <w:rFonts w:cs="Arial"/>
            <w:bCs/>
            <w:lang w:val="fr-FR"/>
          </w:rPr>
          <w:t>9</w:t>
        </w:r>
      </w:hyperlink>
      <w:r w:rsidR="00716539" w:rsidRPr="00716539">
        <w:rPr>
          <w:rFonts w:cs="Arial"/>
          <w:bCs/>
          <w:lang w:val="fr-FR"/>
        </w:rPr>
        <w:t xml:space="preserve"> ne sont plus effectivement remplies</w:t>
      </w:r>
      <w:r w:rsidRPr="00F017E1">
        <w:rPr>
          <w:szCs w:val="22"/>
          <w:lang w:val="fr-FR"/>
        </w:rPr>
        <w:t>.</w:t>
      </w:r>
      <w:r w:rsidRPr="00F017E1">
        <w:rPr>
          <w:szCs w:val="22"/>
          <w:lang w:val="fr-FR"/>
        </w:rPr>
        <w:br/>
      </w:r>
      <w:r w:rsidRPr="00F017E1">
        <w:rPr>
          <w:szCs w:val="22"/>
          <w:lang w:val="fr-FR"/>
        </w:rPr>
        <w:br/>
      </w:r>
      <w:r w:rsidRPr="00F017E1">
        <w:rPr>
          <w:i/>
          <w:szCs w:val="22"/>
          <w:lang w:val="fr-FR"/>
        </w:rPr>
        <w:t>b)</w:t>
      </w:r>
      <w:r w:rsidRPr="00F017E1">
        <w:rPr>
          <w:szCs w:val="22"/>
          <w:lang w:val="fr-FR"/>
        </w:rPr>
        <w:t>  </w:t>
      </w:r>
      <w:r w:rsidR="00716539" w:rsidRPr="00716539">
        <w:rPr>
          <w:bCs/>
          <w:szCs w:val="22"/>
          <w:lang w:val="fr-FR"/>
        </w:rPr>
        <w:t>En outre, chaque Partie contractante peut déchoir l'obtenteur du droit qu'elle lui a octroyé si, dans un délai prescrit et après mise en demeure</w:t>
      </w:r>
      <w:r w:rsidRPr="00F017E1">
        <w:rPr>
          <w:szCs w:val="22"/>
          <w:lang w:val="fr-FR"/>
        </w:rPr>
        <w:t>,</w:t>
      </w:r>
      <w:r w:rsidRPr="00F017E1">
        <w:rPr>
          <w:szCs w:val="22"/>
          <w:lang w:val="fr-FR"/>
        </w:rPr>
        <w:br/>
      </w:r>
    </w:p>
    <w:p w:rsidR="00475AF4" w:rsidRPr="00F017E1" w:rsidRDefault="00475AF4" w:rsidP="00475AF4">
      <w:pPr>
        <w:keepNext/>
        <w:keepLines/>
        <w:pBdr>
          <w:top w:val="single" w:sz="4" w:space="1" w:color="auto"/>
          <w:left w:val="single" w:sz="4" w:space="1" w:color="auto"/>
          <w:bottom w:val="single" w:sz="4" w:space="1" w:color="auto"/>
          <w:right w:val="single" w:sz="4" w:space="1" w:color="auto"/>
        </w:pBdr>
        <w:ind w:left="567" w:right="571"/>
        <w:jc w:val="left"/>
        <w:rPr>
          <w:szCs w:val="22"/>
          <w:lang w:val="fr-FR"/>
        </w:rPr>
      </w:pPr>
      <w:r w:rsidRPr="00F017E1">
        <w:rPr>
          <w:szCs w:val="22"/>
          <w:lang w:val="fr-FR"/>
        </w:rPr>
        <w:tab/>
        <w:t>i)</w:t>
      </w:r>
      <w:r w:rsidRPr="00F017E1">
        <w:rPr>
          <w:szCs w:val="22"/>
          <w:lang w:val="fr-FR"/>
        </w:rPr>
        <w:tab/>
      </w:r>
      <w:r w:rsidR="00716539" w:rsidRPr="00716539">
        <w:rPr>
          <w:bCs/>
          <w:szCs w:val="22"/>
          <w:lang w:val="fr-FR"/>
        </w:rPr>
        <w:t>l'obtenteur ne présente pas au service les renseignements, documents ou matériel jugés nécessaires au contrôle du maintien de la variété</w:t>
      </w:r>
      <w:r w:rsidRPr="00F017E1">
        <w:rPr>
          <w:szCs w:val="22"/>
          <w:lang w:val="fr-FR"/>
        </w:rPr>
        <w:t>,</w:t>
      </w:r>
      <w:r w:rsidRPr="00F017E1">
        <w:rPr>
          <w:szCs w:val="22"/>
          <w:lang w:val="fr-FR"/>
        </w:rPr>
        <w:br/>
      </w:r>
      <w:r w:rsidRPr="00F017E1">
        <w:rPr>
          <w:szCs w:val="22"/>
          <w:lang w:val="fr-FR"/>
        </w:rPr>
        <w:br/>
      </w:r>
      <w:r w:rsidRPr="00F017E1">
        <w:rPr>
          <w:szCs w:val="22"/>
          <w:lang w:val="fr-FR"/>
        </w:rPr>
        <w:tab/>
        <w:t>ii)</w:t>
      </w:r>
      <w:r w:rsidRPr="00F017E1">
        <w:rPr>
          <w:szCs w:val="22"/>
          <w:lang w:val="fr-FR"/>
        </w:rPr>
        <w:tab/>
      </w:r>
      <w:r w:rsidR="00716539" w:rsidRPr="00716539">
        <w:rPr>
          <w:bCs/>
          <w:szCs w:val="22"/>
          <w:lang w:val="fr-FR"/>
        </w:rPr>
        <w:t>l'obtenteur n'a pas acquitté les taxes dues, le cas échéant, pour le maintien en vigueur de son droit, ou</w:t>
      </w:r>
      <w:r w:rsidRPr="00F017E1">
        <w:rPr>
          <w:szCs w:val="22"/>
          <w:lang w:val="fr-FR"/>
        </w:rPr>
        <w:br/>
      </w:r>
      <w:r w:rsidRPr="00F017E1">
        <w:rPr>
          <w:szCs w:val="22"/>
          <w:lang w:val="fr-FR"/>
        </w:rPr>
        <w:br/>
      </w:r>
      <w:r w:rsidRPr="00F017E1">
        <w:rPr>
          <w:szCs w:val="22"/>
          <w:lang w:val="fr-FR"/>
        </w:rPr>
        <w:tab/>
        <w:t>iii)</w:t>
      </w:r>
      <w:r w:rsidRPr="00F017E1">
        <w:rPr>
          <w:szCs w:val="22"/>
          <w:lang w:val="fr-FR"/>
        </w:rPr>
        <w:tab/>
      </w:r>
      <w:r w:rsidR="00F86CAC" w:rsidRPr="00F86CAC">
        <w:rPr>
          <w:bCs/>
          <w:szCs w:val="22"/>
          <w:lang w:val="fr-FR"/>
        </w:rPr>
        <w:t>l'obtenteur ne propose pas, en cas de radiation de la dénomination de la variété après l'octroi du droit, une autre dénomination qui convienne</w:t>
      </w:r>
      <w:r w:rsidRPr="00F017E1">
        <w:rPr>
          <w:szCs w:val="22"/>
          <w:lang w:val="fr-FR"/>
        </w:rPr>
        <w:t>.</w:t>
      </w:r>
      <w:r w:rsidRPr="00F017E1">
        <w:rPr>
          <w:szCs w:val="22"/>
          <w:lang w:val="fr-FR"/>
        </w:rPr>
        <w:br/>
      </w:r>
      <w:r w:rsidRPr="00F017E1">
        <w:rPr>
          <w:szCs w:val="22"/>
          <w:lang w:val="fr-FR"/>
        </w:rPr>
        <w:br/>
      </w:r>
      <w:r w:rsidRPr="00F017E1">
        <w:rPr>
          <w:szCs w:val="22"/>
          <w:lang w:val="fr-FR"/>
        </w:rPr>
        <w:tab/>
        <w:t>2)</w:t>
      </w:r>
      <w:r w:rsidRPr="00F017E1">
        <w:rPr>
          <w:szCs w:val="22"/>
          <w:lang w:val="fr-FR"/>
        </w:rPr>
        <w:tab/>
        <w:t>[</w:t>
      </w:r>
      <w:r w:rsidR="00F86CAC" w:rsidRPr="00F86CAC">
        <w:rPr>
          <w:bCs/>
          <w:i/>
          <w:szCs w:val="22"/>
          <w:lang w:val="fr-FR"/>
        </w:rPr>
        <w:t>Exclusion de tout autre motif</w:t>
      </w:r>
      <w:r w:rsidR="00F86CAC" w:rsidRPr="00F86CAC">
        <w:rPr>
          <w:bCs/>
          <w:szCs w:val="22"/>
          <w:lang w:val="fr-FR"/>
        </w:rPr>
        <w:t>] Aucun obtenteur ne peut être déchu de son droit pour d'autres motifs que ceux mentionnés au paragraphe 1)</w:t>
      </w:r>
      <w:r w:rsidRPr="00F86CAC">
        <w:rPr>
          <w:szCs w:val="22"/>
          <w:lang w:val="fr-FR"/>
        </w:rPr>
        <w:t>.</w:t>
      </w:r>
      <w:r w:rsidRPr="00F017E1">
        <w:rPr>
          <w:szCs w:val="22"/>
          <w:lang w:val="fr-FR"/>
        </w:rPr>
        <w:br/>
      </w:r>
    </w:p>
    <w:p w:rsidR="00475AF4" w:rsidRPr="00F017E1" w:rsidRDefault="00475AF4" w:rsidP="00475AF4">
      <w:pPr>
        <w:rPr>
          <w:lang w:val="fr-FR"/>
        </w:rPr>
      </w:pPr>
    </w:p>
    <w:p w:rsidR="00475AF4" w:rsidRPr="00F017E1" w:rsidRDefault="00475AF4" w:rsidP="00475AF4">
      <w:pPr>
        <w:rPr>
          <w:lang w:val="fr-FR"/>
        </w:rPr>
      </w:pPr>
    </w:p>
    <w:p w:rsidR="00475AF4" w:rsidRPr="00F017E1" w:rsidRDefault="00475AF4" w:rsidP="00475AF4">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lang w:val="fr-FR"/>
        </w:rPr>
      </w:pPr>
    </w:p>
    <w:p w:rsidR="00475AF4" w:rsidRPr="00F017E1" w:rsidRDefault="00854BB6" w:rsidP="00475AF4">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lang w:val="fr-FR"/>
        </w:rPr>
      </w:pPr>
      <w:r w:rsidRPr="00854BB6">
        <w:rPr>
          <w:rFonts w:ascii="Arial" w:hAnsi="Arial" w:cs="Arial"/>
          <w:sz w:val="20"/>
          <w:lang w:val="fr-FR"/>
        </w:rPr>
        <w:t xml:space="preserve">Acte de 1978 </w:t>
      </w:r>
      <w:r w:rsidRPr="00854BB6">
        <w:rPr>
          <w:rFonts w:ascii="Arial" w:hAnsi="Arial" w:cs="Arial"/>
          <w:b w:val="0"/>
          <w:sz w:val="20"/>
          <w:lang w:val="fr-FR"/>
        </w:rPr>
        <w:t>de la Convention UPOV</w:t>
      </w:r>
    </w:p>
    <w:p w:rsidR="00475AF4" w:rsidRPr="00F017E1" w:rsidRDefault="00475AF4" w:rsidP="00475AF4">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lang w:val="fr-FR"/>
        </w:rPr>
      </w:pPr>
    </w:p>
    <w:p w:rsidR="00475AF4" w:rsidRPr="00F017E1" w:rsidRDefault="00475AF4" w:rsidP="00475AF4">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lang w:val="fr-FR"/>
        </w:rPr>
      </w:pPr>
      <w:r w:rsidRPr="00F017E1">
        <w:rPr>
          <w:rFonts w:ascii="Arial" w:hAnsi="Arial" w:cs="Arial"/>
          <w:sz w:val="20"/>
          <w:lang w:val="fr-FR"/>
        </w:rPr>
        <w:t>Article 10</w:t>
      </w:r>
    </w:p>
    <w:p w:rsidR="00475AF4" w:rsidRPr="00F017E1" w:rsidRDefault="00475AF4" w:rsidP="00475AF4">
      <w:pPr>
        <w:pBdr>
          <w:top w:val="single" w:sz="4" w:space="1" w:color="auto"/>
          <w:left w:val="single" w:sz="4" w:space="5" w:color="auto"/>
          <w:bottom w:val="single" w:sz="4" w:space="1" w:color="auto"/>
          <w:right w:val="single" w:sz="4" w:space="6" w:color="auto"/>
        </w:pBdr>
        <w:ind w:left="567" w:right="566"/>
        <w:rPr>
          <w:rFonts w:cs="Arial"/>
          <w:lang w:val="fr-FR"/>
        </w:rPr>
      </w:pPr>
    </w:p>
    <w:p w:rsidR="00475AF4" w:rsidRPr="00F017E1" w:rsidRDefault="00475AF4" w:rsidP="00475AF4">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lang w:val="fr-FR"/>
        </w:rPr>
      </w:pPr>
      <w:r w:rsidRPr="00F017E1">
        <w:rPr>
          <w:rFonts w:ascii="Arial" w:hAnsi="Arial" w:cs="Arial"/>
          <w:sz w:val="20"/>
          <w:lang w:val="fr-FR"/>
        </w:rPr>
        <w:t>[</w:t>
      </w:r>
      <w:r w:rsidR="00854BB6" w:rsidRPr="00854BB6">
        <w:rPr>
          <w:rFonts w:ascii="Arial" w:hAnsi="Arial" w:cs="Arial"/>
          <w:sz w:val="20"/>
          <w:lang w:val="fr-FR"/>
        </w:rPr>
        <w:t>Nullité et] déchéance des droits protégés</w:t>
      </w:r>
    </w:p>
    <w:p w:rsidR="00475AF4" w:rsidRPr="00F017E1" w:rsidRDefault="00475AF4" w:rsidP="00475AF4">
      <w:pPr>
        <w:pBdr>
          <w:top w:val="single" w:sz="4" w:space="1" w:color="auto"/>
          <w:left w:val="single" w:sz="4" w:space="5" w:color="auto"/>
          <w:bottom w:val="single" w:sz="4" w:space="1" w:color="auto"/>
          <w:right w:val="single" w:sz="4" w:space="6" w:color="auto"/>
        </w:pBdr>
        <w:ind w:left="567" w:right="566"/>
        <w:rPr>
          <w:rFonts w:cs="Arial"/>
          <w:lang w:val="fr-FR"/>
        </w:rPr>
      </w:pPr>
      <w:r w:rsidRPr="00F017E1">
        <w:rPr>
          <w:rFonts w:cs="Arial"/>
          <w:lang w:val="fr-FR"/>
        </w:rPr>
        <w:t>[…]</w:t>
      </w:r>
      <w:r w:rsidRPr="00F017E1">
        <w:rPr>
          <w:rFonts w:cs="Arial"/>
          <w:vertAlign w:val="superscript"/>
          <w:lang w:val="fr-FR"/>
        </w:rPr>
        <w:t>[</w:t>
      </w:r>
      <w:r w:rsidRPr="00F017E1">
        <w:rPr>
          <w:rStyle w:val="FootnoteReference"/>
          <w:rFonts w:cs="Arial"/>
          <w:lang w:val="fr-FR"/>
        </w:rPr>
        <w:footnoteReference w:id="1"/>
      </w:r>
      <w:r w:rsidRPr="00F017E1">
        <w:rPr>
          <w:rFonts w:cs="Arial"/>
          <w:vertAlign w:val="superscript"/>
          <w:lang w:val="fr-FR"/>
        </w:rPr>
        <w:t>]</w:t>
      </w:r>
    </w:p>
    <w:p w:rsidR="00475AF4" w:rsidRPr="00F017E1"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lang w:val="fr-FR"/>
        </w:rPr>
      </w:pPr>
      <w:r w:rsidRPr="00F017E1">
        <w:rPr>
          <w:rFonts w:cs="Arial"/>
          <w:lang w:val="fr-FR"/>
        </w:rPr>
        <w:tab/>
        <w:t xml:space="preserve">2) </w:t>
      </w:r>
      <w:r w:rsidRPr="00F017E1">
        <w:rPr>
          <w:rFonts w:cs="Arial"/>
          <w:lang w:val="fr-FR"/>
        </w:rPr>
        <w:tab/>
      </w:r>
      <w:r w:rsidR="00854BB6" w:rsidRPr="00854BB6">
        <w:rPr>
          <w:rFonts w:cs="Arial"/>
          <w:lang w:val="fr-FR"/>
        </w:rPr>
        <w:t>Est déchu de son droit l’obtenteur qui n’est pas en mesure de présenter à l’autorité compétente le matériel de reproduction ou de multiplication permettant d’obtenir la variété avec ses caractères tels qu’ils ont été définis au moment où la protection a été accordée</w:t>
      </w:r>
      <w:r w:rsidRPr="00F017E1">
        <w:rPr>
          <w:rFonts w:cs="Arial"/>
          <w:lang w:val="fr-FR"/>
        </w:rPr>
        <w:t>.</w:t>
      </w:r>
    </w:p>
    <w:p w:rsidR="00475AF4" w:rsidRPr="00F017E1"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lang w:val="fr-FR"/>
        </w:rPr>
      </w:pPr>
      <w:r w:rsidRPr="00F017E1">
        <w:rPr>
          <w:rFonts w:cs="Arial"/>
          <w:lang w:val="fr-FR"/>
        </w:rPr>
        <w:tab/>
        <w:t>3)</w:t>
      </w:r>
      <w:r w:rsidRPr="00F017E1">
        <w:rPr>
          <w:rFonts w:cs="Arial"/>
          <w:lang w:val="fr-FR"/>
        </w:rPr>
        <w:tab/>
      </w:r>
      <w:r w:rsidR="00854BB6" w:rsidRPr="00854BB6">
        <w:rPr>
          <w:rFonts w:cs="Arial"/>
          <w:lang w:val="fr-FR"/>
        </w:rPr>
        <w:t>Peut être déchu de son droit l’obtenteur</w:t>
      </w:r>
      <w:r w:rsidR="00854BB6">
        <w:rPr>
          <w:rFonts w:cs="Arial"/>
          <w:lang w:val="fr-FR"/>
        </w:rPr>
        <w:t> </w:t>
      </w:r>
      <w:r w:rsidRPr="00F017E1">
        <w:rPr>
          <w:rFonts w:cs="Arial"/>
          <w:lang w:val="fr-FR"/>
        </w:rPr>
        <w:t>:</w:t>
      </w:r>
    </w:p>
    <w:p w:rsidR="00475AF4" w:rsidRPr="00F017E1"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lang w:val="fr-FR"/>
        </w:rPr>
      </w:pPr>
      <w:r w:rsidRPr="00F017E1">
        <w:rPr>
          <w:rFonts w:cs="Arial"/>
          <w:lang w:val="fr-FR"/>
        </w:rPr>
        <w:tab/>
      </w:r>
      <w:r w:rsidRPr="00F017E1">
        <w:rPr>
          <w:rFonts w:cs="Arial"/>
          <w:i/>
          <w:lang w:val="fr-FR"/>
        </w:rPr>
        <w:t>a)</w:t>
      </w:r>
      <w:r w:rsidRPr="00F017E1">
        <w:rPr>
          <w:rFonts w:cs="Arial"/>
          <w:lang w:val="fr-FR"/>
        </w:rPr>
        <w:tab/>
      </w:r>
      <w:r w:rsidR="00854BB6" w:rsidRPr="00854BB6">
        <w:rPr>
          <w:rFonts w:cs="Arial"/>
          <w:lang w:val="fr-FR"/>
        </w:rPr>
        <w:t>qui ne présente pas à l’autorité compétente, dans un délai prescrit et après mise en demeure, le matériel de reproduction ou de multiplication, les documents et renseignements jugés nécessaires au contrôle de la variété, ou ne permet pas l’inspection des mesures prises en vue de la conservation de la variété</w:t>
      </w:r>
      <w:r w:rsidRPr="00F017E1">
        <w:rPr>
          <w:rFonts w:cs="Arial"/>
          <w:lang w:val="fr-FR"/>
        </w:rPr>
        <w:t xml:space="preserve">;  </w:t>
      </w:r>
    </w:p>
    <w:p w:rsidR="00475AF4" w:rsidRPr="00F017E1"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lang w:val="fr-FR"/>
        </w:rPr>
      </w:pPr>
      <w:r w:rsidRPr="00F017E1">
        <w:rPr>
          <w:rFonts w:cs="Arial"/>
          <w:lang w:val="fr-FR"/>
        </w:rPr>
        <w:tab/>
      </w:r>
      <w:r w:rsidRPr="00F017E1">
        <w:rPr>
          <w:rFonts w:cs="Arial"/>
          <w:i/>
          <w:lang w:val="fr-FR"/>
        </w:rPr>
        <w:t>b)</w:t>
      </w:r>
      <w:r w:rsidRPr="00F017E1">
        <w:rPr>
          <w:rFonts w:cs="Arial"/>
          <w:lang w:val="fr-FR"/>
        </w:rPr>
        <w:tab/>
      </w:r>
      <w:r w:rsidR="00854BB6" w:rsidRPr="00854BB6">
        <w:rPr>
          <w:rFonts w:cs="Arial"/>
          <w:lang w:val="fr-FR"/>
        </w:rPr>
        <w:t>qui n’a pas acquitté dans les délais prescrits les taxes dues, le cas échéant, pour le maintien en vigueur de ses droits</w:t>
      </w:r>
      <w:r w:rsidRPr="00F017E1">
        <w:rPr>
          <w:rFonts w:cs="Arial"/>
          <w:lang w:val="fr-FR"/>
        </w:rPr>
        <w:t>.</w:t>
      </w:r>
    </w:p>
    <w:p w:rsidR="00475AF4" w:rsidRPr="00F017E1"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lang w:val="fr-FR"/>
        </w:rPr>
      </w:pPr>
      <w:r w:rsidRPr="00F017E1">
        <w:rPr>
          <w:rFonts w:cs="Arial"/>
          <w:lang w:val="fr-FR"/>
        </w:rPr>
        <w:tab/>
        <w:t>4)</w:t>
      </w:r>
      <w:r w:rsidRPr="00F017E1">
        <w:rPr>
          <w:rFonts w:cs="Arial"/>
          <w:lang w:val="fr-FR"/>
        </w:rPr>
        <w:tab/>
      </w:r>
      <w:r w:rsidR="00854BB6" w:rsidRPr="00854BB6">
        <w:rPr>
          <w:rFonts w:cs="Arial"/>
          <w:lang w:val="fr-FR"/>
        </w:rPr>
        <w:t>Le droit de l’obtenteur ne peut être annulé et l’obtenteur ne peut être déchu de son droit pour d’autres motifs que ceux mentionnés au présent article</w:t>
      </w:r>
      <w:r w:rsidRPr="00F017E1">
        <w:rPr>
          <w:rFonts w:cs="Arial"/>
          <w:lang w:val="fr-FR"/>
        </w:rPr>
        <w:t>.</w:t>
      </w:r>
    </w:p>
    <w:p w:rsidR="00475AF4" w:rsidRPr="00F017E1"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lang w:val="fr-FR"/>
        </w:rPr>
      </w:pPr>
    </w:p>
    <w:p w:rsidR="00475AF4" w:rsidRPr="00F017E1" w:rsidRDefault="00475AF4" w:rsidP="00475AF4">
      <w:pPr>
        <w:pStyle w:val="Style1"/>
        <w:tabs>
          <w:tab w:val="clear" w:pos="907"/>
          <w:tab w:val="clear" w:pos="1077"/>
        </w:tabs>
        <w:suppressAutoHyphens/>
        <w:jc w:val="left"/>
        <w:rPr>
          <w:lang w:val="fr-FR"/>
        </w:rPr>
      </w:pPr>
    </w:p>
    <w:p w:rsidR="00475AF4" w:rsidRPr="00F017E1" w:rsidRDefault="00475AF4" w:rsidP="0069308B">
      <w:pPr>
        <w:pStyle w:val="Heading1"/>
      </w:pPr>
      <w:bookmarkStart w:id="3" w:name="_Toc203190981"/>
      <w:bookmarkStart w:id="4" w:name="_Toc406666236"/>
      <w:r w:rsidRPr="00F017E1">
        <w:lastRenderedPageBreak/>
        <w:t>SECTION II</w:t>
      </w:r>
      <w:r w:rsidR="00854BB6">
        <w:t> </w:t>
      </w:r>
      <w:r w:rsidRPr="00F017E1">
        <w:t xml:space="preserve">:  </w:t>
      </w:r>
      <w:bookmarkEnd w:id="3"/>
      <w:r w:rsidR="00854BB6" w:rsidRPr="00854BB6">
        <w:t>ASPECTS PARTICULIERS DES DISPOSITIONS</w:t>
      </w:r>
      <w:r w:rsidR="006B3AC1">
        <w:t xml:space="preserve"> </w:t>
      </w:r>
      <w:r w:rsidR="00854BB6" w:rsidRPr="00854BB6">
        <w:t>RELATIVES À LA DÉCHÉANCE DE L’OBTENTEUR</w:t>
      </w:r>
      <w:bookmarkEnd w:id="4"/>
    </w:p>
    <w:p w:rsidR="00475AF4" w:rsidRPr="00F017E1" w:rsidRDefault="00475AF4" w:rsidP="00475AF4">
      <w:pPr>
        <w:pStyle w:val="Style1"/>
        <w:tabs>
          <w:tab w:val="clear" w:pos="907"/>
          <w:tab w:val="clear" w:pos="1077"/>
          <w:tab w:val="left" w:pos="7005"/>
        </w:tabs>
        <w:suppressAutoHyphens/>
        <w:jc w:val="left"/>
        <w:rPr>
          <w:lang w:val="fr-FR"/>
        </w:rPr>
      </w:pPr>
    </w:p>
    <w:p w:rsidR="00475AF4" w:rsidRPr="00F017E1" w:rsidRDefault="00475AF4" w:rsidP="00475AF4">
      <w:pPr>
        <w:rPr>
          <w:lang w:val="fr-FR"/>
        </w:rPr>
      </w:pPr>
      <w:r w:rsidRPr="00F017E1">
        <w:rPr>
          <w:lang w:val="fr-FR"/>
        </w:rPr>
        <w:fldChar w:fldCharType="begin"/>
      </w:r>
      <w:r w:rsidRPr="00F017E1">
        <w:rPr>
          <w:lang w:val="fr-FR"/>
        </w:rPr>
        <w:instrText xml:space="preserve"> AUTONUM  </w:instrText>
      </w:r>
      <w:r w:rsidRPr="00F017E1">
        <w:rPr>
          <w:lang w:val="fr-FR"/>
        </w:rPr>
        <w:fldChar w:fldCharType="end"/>
      </w:r>
      <w:r w:rsidRPr="00F017E1">
        <w:rPr>
          <w:lang w:val="fr-FR"/>
        </w:rPr>
        <w:tab/>
      </w:r>
      <w:r w:rsidR="00854BB6" w:rsidRPr="00854BB6">
        <w:rPr>
          <w:lang w:val="fr-FR"/>
        </w:rPr>
        <w:t>Les présentes notes explicatives fournissent des indications sur certains aspects des dispositions relatives à la déchéance de l’obtenteur figurant à l’article 22 de l’Acte de 1991 de la Convention UPOV et à l’article 10.2) à 4) de l’Acte de 1978 de la Convention UPOV</w:t>
      </w:r>
      <w:r w:rsidRPr="00F017E1">
        <w:rPr>
          <w:lang w:val="fr-FR"/>
        </w:rPr>
        <w:t>.</w:t>
      </w:r>
    </w:p>
    <w:p w:rsidR="00475AF4" w:rsidRPr="00F017E1" w:rsidRDefault="00475AF4" w:rsidP="00475AF4">
      <w:pPr>
        <w:rPr>
          <w:lang w:val="fr-FR"/>
        </w:rPr>
      </w:pPr>
    </w:p>
    <w:p w:rsidR="00475AF4" w:rsidRPr="00F017E1" w:rsidRDefault="00475AF4" w:rsidP="00475AF4">
      <w:pPr>
        <w:pStyle w:val="Style1"/>
        <w:tabs>
          <w:tab w:val="clear" w:pos="907"/>
          <w:tab w:val="clear" w:pos="1077"/>
        </w:tabs>
        <w:rPr>
          <w:lang w:val="fr-FR"/>
        </w:rPr>
      </w:pPr>
    </w:p>
    <w:p w:rsidR="00475AF4" w:rsidRPr="00F017E1" w:rsidRDefault="00854BB6" w:rsidP="00475AF4">
      <w:pPr>
        <w:pStyle w:val="Style1"/>
        <w:tabs>
          <w:tab w:val="clear" w:pos="907"/>
          <w:tab w:val="clear" w:pos="1077"/>
        </w:tabs>
        <w:rPr>
          <w:i/>
          <w:lang w:val="fr-FR"/>
        </w:rPr>
      </w:pPr>
      <w:r>
        <w:rPr>
          <w:i/>
          <w:lang w:val="fr-FR"/>
        </w:rPr>
        <w:t>Notes explicatives – Paragraphe </w:t>
      </w:r>
      <w:r w:rsidR="00475AF4" w:rsidRPr="00F017E1">
        <w:rPr>
          <w:i/>
          <w:lang w:val="fr-FR"/>
        </w:rPr>
        <w:t>1)</w:t>
      </w:r>
    </w:p>
    <w:p w:rsidR="00475AF4" w:rsidRPr="00F017E1" w:rsidRDefault="00475AF4" w:rsidP="00475AF4">
      <w:pPr>
        <w:rPr>
          <w:i/>
          <w:lang w:val="fr-FR"/>
        </w:rPr>
      </w:pP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b/>
          <w:lang w:val="fr-FR"/>
        </w:rPr>
      </w:pP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b/>
          <w:lang w:val="fr-FR"/>
        </w:rPr>
      </w:pPr>
      <w:r w:rsidRPr="00F017E1">
        <w:rPr>
          <w:b/>
          <w:lang w:val="fr-FR"/>
        </w:rPr>
        <w:t>1)</w:t>
      </w:r>
      <w:r w:rsidRPr="00F017E1">
        <w:rPr>
          <w:b/>
          <w:lang w:val="fr-FR"/>
        </w:rPr>
        <w:tab/>
        <w:t>[</w:t>
      </w:r>
      <w:r w:rsidR="00854BB6" w:rsidRPr="00854BB6">
        <w:rPr>
          <w:b/>
          <w:i/>
          <w:lang w:val="fr-FR"/>
        </w:rPr>
        <w:t>Motifs de déchéance</w:t>
      </w:r>
      <w:r w:rsidRPr="00F017E1">
        <w:rPr>
          <w:b/>
          <w:lang w:val="fr-FR"/>
        </w:rPr>
        <w:t xml:space="preserve">]  </w:t>
      </w:r>
      <w:r w:rsidRPr="00F017E1">
        <w:rPr>
          <w:b/>
          <w:i/>
          <w:lang w:val="fr-FR"/>
        </w:rPr>
        <w:t>a)</w:t>
      </w:r>
      <w:r w:rsidRPr="00F017E1">
        <w:rPr>
          <w:b/>
          <w:lang w:val="fr-FR"/>
        </w:rPr>
        <w:t>  </w:t>
      </w:r>
      <w:r w:rsidR="00854BB6" w:rsidRPr="00854BB6">
        <w:rPr>
          <w:b/>
          <w:lang w:val="fr-FR"/>
        </w:rPr>
        <w:t>Chaque Partie contractante peut déchoir l’obtenteur du droit qu’elle lui a octroyé s’il est avéré que les conditions fixées aux articles</w:t>
      </w:r>
      <w:r w:rsidR="00854BB6">
        <w:rPr>
          <w:b/>
          <w:lang w:val="fr-FR"/>
        </w:rPr>
        <w:t> </w:t>
      </w:r>
      <w:r w:rsidR="00854BB6" w:rsidRPr="00854BB6">
        <w:rPr>
          <w:b/>
          <w:lang w:val="fr-FR"/>
        </w:rPr>
        <w:t>8 et 9 ne sont plus effectivement remplies</w:t>
      </w:r>
      <w:r w:rsidRPr="00F017E1">
        <w:rPr>
          <w:b/>
          <w:lang w:val="fr-FR"/>
        </w:rPr>
        <w:t>.</w:t>
      </w: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b/>
          <w:i/>
          <w:lang w:val="fr-FR"/>
        </w:rPr>
      </w:pP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b/>
          <w:lang w:val="fr-FR"/>
        </w:rPr>
      </w:pPr>
      <w:r w:rsidRPr="00F017E1">
        <w:rPr>
          <w:b/>
          <w:i/>
          <w:lang w:val="fr-FR"/>
        </w:rPr>
        <w:t>b)</w:t>
      </w:r>
      <w:r w:rsidRPr="00F017E1">
        <w:rPr>
          <w:b/>
          <w:lang w:val="fr-FR"/>
        </w:rPr>
        <w:t>  </w:t>
      </w:r>
      <w:r w:rsidR="00854BB6" w:rsidRPr="00854BB6">
        <w:rPr>
          <w:b/>
          <w:lang w:val="fr-FR"/>
        </w:rPr>
        <w:t>En outre, chaque Partie contractante peut déchoir l’obtenteur du droit qu’elle lui a octroyé si, dans un délai prescrit et après mise en demeure</w:t>
      </w:r>
      <w:r w:rsidRPr="00F017E1">
        <w:rPr>
          <w:b/>
          <w:lang w:val="fr-FR"/>
        </w:rPr>
        <w:t>,</w:t>
      </w: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b/>
          <w:lang w:val="fr-FR"/>
        </w:rPr>
      </w:pP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b/>
          <w:lang w:val="fr-FR"/>
        </w:rPr>
      </w:pPr>
      <w:r w:rsidRPr="00F017E1">
        <w:rPr>
          <w:b/>
          <w:lang w:val="fr-FR"/>
        </w:rPr>
        <w:tab/>
        <w:t>i)</w:t>
      </w:r>
      <w:r w:rsidRPr="00F017E1">
        <w:rPr>
          <w:b/>
          <w:lang w:val="fr-FR"/>
        </w:rPr>
        <w:tab/>
      </w:r>
      <w:r w:rsidR="00854BB6" w:rsidRPr="00854BB6">
        <w:rPr>
          <w:b/>
          <w:lang w:val="fr-FR"/>
        </w:rPr>
        <w:t>l’obtenteur ne présente pas au service les renseignements, documents ou matériel</w:t>
      </w:r>
      <w:r w:rsidR="00461E8D">
        <w:rPr>
          <w:rStyle w:val="FootnoteReference"/>
          <w:b/>
          <w:lang w:val="fr-FR"/>
        </w:rPr>
        <w:footnoteReference w:id="2"/>
      </w:r>
      <w:r w:rsidR="00854BB6" w:rsidRPr="00854BB6">
        <w:rPr>
          <w:b/>
          <w:lang w:val="fr-FR"/>
        </w:rPr>
        <w:t xml:space="preserve"> jugés nécessaires au contrôle du maintien de la variété</w:t>
      </w:r>
      <w:r w:rsidRPr="00F017E1">
        <w:rPr>
          <w:b/>
          <w:lang w:val="fr-FR"/>
        </w:rPr>
        <w:t>,</w:t>
      </w: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b/>
          <w:i/>
          <w:lang w:val="fr-FR"/>
        </w:rPr>
      </w:pP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b/>
          <w:lang w:val="fr-FR"/>
        </w:rPr>
      </w:pPr>
      <w:r w:rsidRPr="00F017E1">
        <w:rPr>
          <w:b/>
          <w:lang w:val="fr-FR"/>
        </w:rPr>
        <w:tab/>
        <w:t>ii)</w:t>
      </w:r>
      <w:r w:rsidRPr="00F017E1">
        <w:rPr>
          <w:b/>
          <w:lang w:val="fr-FR"/>
        </w:rPr>
        <w:tab/>
      </w:r>
      <w:r w:rsidR="00461E8D" w:rsidRPr="00461E8D">
        <w:rPr>
          <w:b/>
          <w:lang w:val="fr-FR"/>
        </w:rPr>
        <w:t>l’obtenteur n’a pas acquitté les taxes dues, le cas échéant, pour le maintien en vigueur de son droit, ou</w:t>
      </w: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b/>
          <w:lang w:val="fr-FR"/>
        </w:rPr>
      </w:pP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lang w:val="fr-FR"/>
        </w:rPr>
      </w:pPr>
      <w:r w:rsidRPr="00F017E1">
        <w:rPr>
          <w:b/>
          <w:lang w:val="fr-FR"/>
        </w:rPr>
        <w:tab/>
        <w:t>iii)</w:t>
      </w:r>
      <w:r w:rsidRPr="00F017E1">
        <w:rPr>
          <w:b/>
          <w:lang w:val="fr-FR"/>
        </w:rPr>
        <w:tab/>
      </w:r>
      <w:r w:rsidR="00461E8D" w:rsidRPr="00461E8D">
        <w:rPr>
          <w:b/>
          <w:lang w:val="fr-FR"/>
        </w:rPr>
        <w:t>l’obtenteur ne propose pas, en cas de radiation de la dénomination de la variété après l’octroi du droit, une autre dénomination qui convienne</w:t>
      </w:r>
      <w:r w:rsidRPr="00F017E1">
        <w:rPr>
          <w:rStyle w:val="FootnoteReference"/>
          <w:lang w:val="fr-FR"/>
        </w:rPr>
        <w:footnoteReference w:id="3"/>
      </w:r>
      <w:r w:rsidR="00461E8D">
        <w:rPr>
          <w:b/>
          <w:lang w:val="fr-FR"/>
        </w:rPr>
        <w:t xml:space="preserve">.  </w:t>
      </w: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lang w:val="fr-FR"/>
        </w:rPr>
      </w:pPr>
    </w:p>
    <w:p w:rsidR="00475AF4" w:rsidRPr="00F017E1" w:rsidRDefault="00475AF4" w:rsidP="00475AF4">
      <w:pPr>
        <w:rPr>
          <w:lang w:val="fr-FR"/>
        </w:rPr>
      </w:pPr>
    </w:p>
    <w:p w:rsidR="00475AF4" w:rsidRPr="00F017E1" w:rsidRDefault="00475AF4" w:rsidP="00475AF4">
      <w:pPr>
        <w:rPr>
          <w:i/>
          <w:highlight w:val="lightGray"/>
          <w:u w:val="single"/>
          <w:lang w:val="fr-FR"/>
        </w:rPr>
      </w:pPr>
    </w:p>
    <w:p w:rsidR="00475AF4" w:rsidRPr="00F017E1" w:rsidRDefault="00475AF4" w:rsidP="00475AF4">
      <w:pPr>
        <w:pStyle w:val="Style1"/>
        <w:tabs>
          <w:tab w:val="clear" w:pos="907"/>
          <w:tab w:val="clear" w:pos="1077"/>
        </w:tabs>
        <w:rPr>
          <w:lang w:val="fr-FR"/>
        </w:rPr>
      </w:pPr>
      <w:r w:rsidRPr="00F017E1">
        <w:rPr>
          <w:lang w:val="fr-FR"/>
        </w:rPr>
        <w:fldChar w:fldCharType="begin"/>
      </w:r>
      <w:r w:rsidRPr="00F017E1">
        <w:rPr>
          <w:lang w:val="fr-FR"/>
        </w:rPr>
        <w:instrText xml:space="preserve"> AUTONUM  </w:instrText>
      </w:r>
      <w:r w:rsidRPr="00F017E1">
        <w:rPr>
          <w:lang w:val="fr-FR"/>
        </w:rPr>
        <w:fldChar w:fldCharType="end"/>
      </w:r>
      <w:r w:rsidRPr="00F017E1">
        <w:rPr>
          <w:lang w:val="fr-FR"/>
        </w:rPr>
        <w:tab/>
      </w:r>
      <w:r w:rsidR="00D55E03" w:rsidRPr="00D55E03">
        <w:rPr>
          <w:lang w:val="fr-FR"/>
        </w:rPr>
        <w:t xml:space="preserve">La déchéance de l’obtenteur signifie que, à partir d’une date donnée, le droit d’obtenteur n’est plus valable et qu’il n’est plus nécessaire d’obtenir l’autorisation de l’obtenteur de la variété pour les actes relevant du droit d’obtenteur.  Lorsque l’obtenteur est déchu de son droit, le droit est valable jusqu’à sa date de déchéance, ce qui signifie plus précisément que le droit était valable au moment où il a été octroyé.  </w:t>
      </w:r>
      <w:r w:rsidR="00A2151E">
        <w:rPr>
          <w:i/>
          <w:lang w:val="fr-FR"/>
        </w:rPr>
        <w:t>A </w:t>
      </w:r>
      <w:r w:rsidR="00D55E03" w:rsidRPr="00A2151E">
        <w:rPr>
          <w:i/>
          <w:lang w:val="fr-FR"/>
        </w:rPr>
        <w:t>contrario</w:t>
      </w:r>
      <w:r w:rsidR="00D55E03" w:rsidRPr="00D55E03">
        <w:rPr>
          <w:lang w:val="fr-FR"/>
        </w:rPr>
        <w:t xml:space="preserve">, lorsqu’un droit d’obtenteur est déclaré nul, cela revient à dire qu’il s’agit d’un droit non valable qui, dès le début, n’aurait pas dû être octroyé (voir les notes explicatives sur la nullité du droit d’obtenteur selon la Convention UPOV </w:t>
      </w:r>
      <w:r w:rsidRPr="00F017E1">
        <w:rPr>
          <w:lang w:val="fr-FR"/>
        </w:rPr>
        <w:t xml:space="preserve">(document </w:t>
      </w:r>
      <w:hyperlink r:id="rId12" w:history="1">
        <w:r w:rsidRPr="00762826">
          <w:rPr>
            <w:rStyle w:val="Hyperlink"/>
            <w:noProof w:val="0"/>
            <w:lang w:val="fr-FR"/>
          </w:rPr>
          <w:t>UPOV/EXN/NUL</w:t>
        </w:r>
      </w:hyperlink>
      <w:r w:rsidR="00762826">
        <w:rPr>
          <w:lang w:val="fr-FR"/>
        </w:rPr>
        <w:t xml:space="preserve"> </w:t>
      </w:r>
      <w:r w:rsidRPr="00F017E1">
        <w:rPr>
          <w:strike/>
          <w:highlight w:val="lightGray"/>
          <w:lang w:val="fr-FR"/>
        </w:rPr>
        <w:t>/1</w:t>
      </w:r>
      <w:r w:rsidRPr="00F017E1">
        <w:rPr>
          <w:lang w:val="fr-FR"/>
        </w:rPr>
        <w:t>)).</w:t>
      </w:r>
    </w:p>
    <w:p w:rsidR="00475AF4" w:rsidRPr="00F017E1" w:rsidRDefault="00475AF4" w:rsidP="00475AF4">
      <w:pPr>
        <w:pStyle w:val="Style1"/>
        <w:tabs>
          <w:tab w:val="clear" w:pos="907"/>
          <w:tab w:val="clear" w:pos="1077"/>
        </w:tabs>
        <w:rPr>
          <w:lang w:val="fr-FR"/>
        </w:rPr>
      </w:pPr>
    </w:p>
    <w:p w:rsidR="00037BAB" w:rsidRPr="00F017E1" w:rsidRDefault="00037BAB" w:rsidP="00037BAB">
      <w:pPr>
        <w:rPr>
          <w:szCs w:val="18"/>
          <w:u w:val="single"/>
          <w:lang w:val="fr-FR"/>
        </w:rPr>
      </w:pPr>
      <w:r w:rsidRPr="00F017E1">
        <w:rPr>
          <w:highlight w:val="lightGray"/>
          <w:u w:val="single"/>
          <w:lang w:val="fr-FR"/>
        </w:rPr>
        <w:fldChar w:fldCharType="begin"/>
      </w:r>
      <w:r w:rsidRPr="00F017E1">
        <w:rPr>
          <w:highlight w:val="lightGray"/>
          <w:u w:val="single"/>
          <w:lang w:val="fr-FR"/>
        </w:rPr>
        <w:instrText xml:space="preserve"> AUTONUM  </w:instrText>
      </w:r>
      <w:r w:rsidRPr="00F017E1">
        <w:rPr>
          <w:highlight w:val="lightGray"/>
          <w:u w:val="single"/>
          <w:lang w:val="fr-FR"/>
        </w:rPr>
        <w:fldChar w:fldCharType="end"/>
      </w:r>
      <w:r w:rsidRPr="00F017E1">
        <w:rPr>
          <w:highlight w:val="lightGray"/>
          <w:u w:val="single"/>
          <w:lang w:val="fr-FR"/>
        </w:rPr>
        <w:tab/>
      </w:r>
      <w:r w:rsidR="00D55E03">
        <w:rPr>
          <w:rFonts w:cs="Arial"/>
          <w:highlight w:val="lightGray"/>
          <w:u w:val="single"/>
          <w:lang w:val="fr-FR"/>
        </w:rPr>
        <w:t xml:space="preserve">La </w:t>
      </w:r>
      <w:r w:rsidR="00D55E03" w:rsidRPr="00D55E03">
        <w:rPr>
          <w:rFonts w:cs="Arial"/>
          <w:highlight w:val="lightGray"/>
          <w:u w:val="single"/>
          <w:lang w:val="fr-FR"/>
        </w:rPr>
        <w:t>déchéance d'un droit d'obtenteur est différente de l'abandon de ce droit ou de la renonciation audit droit</w:t>
      </w:r>
      <w:r w:rsidRPr="00D55E03">
        <w:rPr>
          <w:rFonts w:cs="Arial"/>
          <w:highlight w:val="lightGray"/>
          <w:u w:val="single"/>
          <w:lang w:val="fr-FR"/>
        </w:rPr>
        <w:t xml:space="preserve">.  </w:t>
      </w:r>
      <w:r w:rsidR="00D55E03" w:rsidRPr="00D55E03">
        <w:rPr>
          <w:rFonts w:cs="Arial"/>
          <w:highlight w:val="lightGray"/>
          <w:u w:val="single"/>
          <w:lang w:val="fr-FR"/>
        </w:rPr>
        <w:t xml:space="preserve">La déchéance d'un droit d'obtenteur doit faire l'objet d'une décision du service compétent conformément à la Convention UPOV (voir </w:t>
      </w:r>
      <w:r w:rsidR="00D55E03">
        <w:rPr>
          <w:rFonts w:cs="Arial"/>
          <w:highlight w:val="lightGray"/>
          <w:u w:val="single"/>
          <w:lang w:val="fr-FR"/>
        </w:rPr>
        <w:t xml:space="preserve">le </w:t>
      </w:r>
      <w:r w:rsidR="00D55E03" w:rsidRPr="00D55E03">
        <w:rPr>
          <w:rFonts w:cs="Arial"/>
          <w:highlight w:val="lightGray"/>
          <w:u w:val="single"/>
          <w:lang w:val="fr-FR"/>
        </w:rPr>
        <w:t>paragraphe 3</w:t>
      </w:r>
      <w:r w:rsidRPr="00F017E1">
        <w:rPr>
          <w:rFonts w:cs="Arial"/>
          <w:highlight w:val="lightGray"/>
          <w:u w:val="single"/>
          <w:lang w:val="fr-FR"/>
        </w:rPr>
        <w:t xml:space="preserve">).  </w:t>
      </w:r>
      <w:r w:rsidR="00D55E03" w:rsidRPr="00D55E03">
        <w:rPr>
          <w:rFonts w:cs="Arial"/>
          <w:highlight w:val="lightGray"/>
          <w:u w:val="single"/>
          <w:lang w:val="fr-FR"/>
        </w:rPr>
        <w:t>Par contre, l'abandon du droit d'obtenteur est une décision unilatérale que prend le titulaire du droit d'obtenteur et qui n'est pas liée au respect d'une quelconque obligation relevant de la Convention UPOV</w:t>
      </w:r>
      <w:r w:rsidRPr="00F017E1">
        <w:rPr>
          <w:highlight w:val="lightGray"/>
          <w:u w:val="single"/>
          <w:lang w:val="fr-FR"/>
        </w:rPr>
        <w:t xml:space="preserve">.  </w:t>
      </w:r>
      <w:r w:rsidR="00D55E03" w:rsidRPr="00D55E03">
        <w:rPr>
          <w:highlight w:val="lightGray"/>
          <w:u w:val="single"/>
          <w:lang w:val="fr-FR"/>
        </w:rPr>
        <w:t>Le titulaire du droit d'obtenteur peut décider d'une ex</w:t>
      </w:r>
      <w:r w:rsidR="00FF09E6">
        <w:rPr>
          <w:highlight w:val="lightGray"/>
          <w:u w:val="single"/>
          <w:lang w:val="fr-FR"/>
        </w:rPr>
        <w:t>pira</w:t>
      </w:r>
      <w:r w:rsidR="00D55E03" w:rsidRPr="00D55E03">
        <w:rPr>
          <w:highlight w:val="lightGray"/>
          <w:u w:val="single"/>
          <w:lang w:val="fr-FR"/>
        </w:rPr>
        <w:t>tion anticipée en informant le service qui octroie les droits d'obtenteur</w:t>
      </w:r>
      <w:r w:rsidRPr="00F017E1">
        <w:rPr>
          <w:highlight w:val="lightGray"/>
          <w:u w:val="single"/>
          <w:lang w:val="fr-FR"/>
        </w:rPr>
        <w:t xml:space="preserve">.  </w:t>
      </w:r>
      <w:r w:rsidR="00D55E03" w:rsidRPr="00D55E03">
        <w:rPr>
          <w:highlight w:val="lightGray"/>
          <w:u w:val="single"/>
          <w:lang w:val="fr-FR"/>
        </w:rPr>
        <w:t xml:space="preserve">Le service compétent </w:t>
      </w:r>
      <w:r w:rsidR="00386393">
        <w:rPr>
          <w:highlight w:val="lightGray"/>
          <w:u w:val="single"/>
          <w:lang w:val="fr-FR"/>
        </w:rPr>
        <w:t xml:space="preserve">communique au </w:t>
      </w:r>
      <w:r w:rsidR="00D55E03" w:rsidRPr="00D55E03">
        <w:rPr>
          <w:highlight w:val="lightGray"/>
          <w:u w:val="single"/>
          <w:lang w:val="fr-FR"/>
        </w:rPr>
        <w:t>publi</w:t>
      </w:r>
      <w:r w:rsidR="00386393">
        <w:rPr>
          <w:highlight w:val="lightGray"/>
          <w:u w:val="single"/>
          <w:lang w:val="fr-FR"/>
        </w:rPr>
        <w:t>c</w:t>
      </w:r>
      <w:r w:rsidR="00D55E03" w:rsidRPr="00D55E03">
        <w:rPr>
          <w:highlight w:val="lightGray"/>
          <w:u w:val="single"/>
          <w:lang w:val="fr-FR"/>
        </w:rPr>
        <w:t xml:space="preserve"> l'</w:t>
      </w:r>
      <w:r w:rsidR="00D55E03">
        <w:rPr>
          <w:highlight w:val="lightGray"/>
          <w:u w:val="single"/>
          <w:lang w:val="fr-FR"/>
        </w:rPr>
        <w:t>ex</w:t>
      </w:r>
      <w:r w:rsidR="00FF09E6">
        <w:rPr>
          <w:highlight w:val="lightGray"/>
          <w:u w:val="single"/>
          <w:lang w:val="fr-FR"/>
        </w:rPr>
        <w:t>pirat</w:t>
      </w:r>
      <w:r w:rsidR="00D55E03">
        <w:rPr>
          <w:highlight w:val="lightGray"/>
          <w:u w:val="single"/>
          <w:lang w:val="fr-FR"/>
        </w:rPr>
        <w:t>ion du droit d'obtenteur</w:t>
      </w:r>
      <w:r w:rsidRPr="00F017E1">
        <w:rPr>
          <w:szCs w:val="18"/>
          <w:highlight w:val="lightGray"/>
          <w:u w:val="single"/>
          <w:lang w:val="fr-FR"/>
        </w:rPr>
        <w:t>.</w:t>
      </w:r>
    </w:p>
    <w:p w:rsidR="00037BAB" w:rsidRPr="00F017E1" w:rsidRDefault="00037BAB" w:rsidP="00037BAB">
      <w:pPr>
        <w:rPr>
          <w:szCs w:val="18"/>
          <w:lang w:val="fr-FR"/>
        </w:rPr>
      </w:pPr>
    </w:p>
    <w:p w:rsidR="00475AF4" w:rsidRPr="00F017E1" w:rsidRDefault="00475AF4" w:rsidP="00037BAB">
      <w:pPr>
        <w:rPr>
          <w:szCs w:val="24"/>
          <w:highlight w:val="lightGray"/>
          <w:u w:val="single"/>
          <w:lang w:val="fr-FR" w:eastAsia="ja-JP"/>
        </w:rPr>
      </w:pPr>
    </w:p>
    <w:p w:rsidR="00475AF4" w:rsidRPr="00F017E1" w:rsidRDefault="00FF09E6" w:rsidP="00475AF4">
      <w:pPr>
        <w:pStyle w:val="Style1"/>
        <w:tabs>
          <w:tab w:val="clear" w:pos="907"/>
          <w:tab w:val="clear" w:pos="1077"/>
        </w:tabs>
        <w:rPr>
          <w:i/>
          <w:highlight w:val="lightGray"/>
          <w:u w:val="single"/>
          <w:lang w:val="fr-FR"/>
        </w:rPr>
      </w:pPr>
      <w:r w:rsidRPr="00FF09E6">
        <w:rPr>
          <w:i/>
          <w:highlight w:val="lightGray"/>
          <w:u w:val="single"/>
          <w:lang w:val="fr-FR"/>
        </w:rPr>
        <w:t xml:space="preserve">Action en </w:t>
      </w:r>
      <w:r>
        <w:rPr>
          <w:i/>
          <w:highlight w:val="lightGray"/>
          <w:u w:val="single"/>
          <w:lang w:val="fr-FR"/>
        </w:rPr>
        <w:t>déchéance</w:t>
      </w:r>
      <w:r w:rsidRPr="00FF09E6">
        <w:rPr>
          <w:i/>
          <w:highlight w:val="lightGray"/>
          <w:u w:val="single"/>
          <w:lang w:val="fr-FR"/>
        </w:rPr>
        <w:t xml:space="preserve"> et décisions y relatives</w:t>
      </w:r>
    </w:p>
    <w:p w:rsidR="00475AF4" w:rsidRPr="00F017E1" w:rsidRDefault="00475AF4" w:rsidP="00475AF4">
      <w:pPr>
        <w:rPr>
          <w:highlight w:val="lightGray"/>
          <w:lang w:val="fr-FR"/>
        </w:rPr>
      </w:pPr>
    </w:p>
    <w:p w:rsidR="00475AF4" w:rsidRPr="00F017E1" w:rsidRDefault="00475AF4" w:rsidP="00475AF4">
      <w:pPr>
        <w:rPr>
          <w:highlight w:val="lightGray"/>
          <w:u w:val="single"/>
          <w:lang w:val="fr-FR"/>
        </w:rPr>
      </w:pPr>
      <w:r w:rsidRPr="00F017E1">
        <w:rPr>
          <w:highlight w:val="lightGray"/>
          <w:u w:val="single"/>
          <w:lang w:val="fr-FR"/>
        </w:rPr>
        <w:fldChar w:fldCharType="begin"/>
      </w:r>
      <w:r w:rsidRPr="00F017E1">
        <w:rPr>
          <w:highlight w:val="lightGray"/>
          <w:u w:val="single"/>
          <w:lang w:val="fr-FR"/>
        </w:rPr>
        <w:instrText xml:space="preserve"> AUTONUM  </w:instrText>
      </w:r>
      <w:r w:rsidRPr="00F017E1">
        <w:rPr>
          <w:highlight w:val="lightGray"/>
          <w:u w:val="single"/>
          <w:lang w:val="fr-FR"/>
        </w:rPr>
        <w:fldChar w:fldCharType="end"/>
      </w:r>
      <w:r w:rsidRPr="00F017E1">
        <w:rPr>
          <w:highlight w:val="lightGray"/>
          <w:u w:val="single"/>
          <w:lang w:val="fr-FR"/>
        </w:rPr>
        <w:tab/>
      </w:r>
      <w:r w:rsidR="00FF09E6" w:rsidRPr="00FF09E6">
        <w:rPr>
          <w:highlight w:val="lightGray"/>
          <w:u w:val="single"/>
          <w:lang w:val="fr-FR"/>
        </w:rPr>
        <w:t xml:space="preserve">Une action en </w:t>
      </w:r>
      <w:r w:rsidR="00FF09E6">
        <w:rPr>
          <w:highlight w:val="lightGray"/>
          <w:u w:val="single"/>
          <w:lang w:val="fr-FR"/>
        </w:rPr>
        <w:t>déchéance</w:t>
      </w:r>
      <w:r w:rsidR="00FF09E6" w:rsidRPr="00FF09E6">
        <w:rPr>
          <w:highlight w:val="lightGray"/>
          <w:u w:val="single"/>
          <w:lang w:val="fr-FR"/>
        </w:rPr>
        <w:t xml:space="preserve"> peut être engagée soit à la demande d’un tiers, soit d’office par le service compétent du membre de l’Union concerné</w:t>
      </w:r>
      <w:r w:rsidRPr="00F017E1">
        <w:rPr>
          <w:highlight w:val="lightGray"/>
          <w:u w:val="single"/>
          <w:lang w:val="fr-FR"/>
        </w:rPr>
        <w:t>.</w:t>
      </w:r>
    </w:p>
    <w:p w:rsidR="00475AF4" w:rsidRPr="00F017E1" w:rsidRDefault="00475AF4" w:rsidP="00475AF4">
      <w:pPr>
        <w:rPr>
          <w:highlight w:val="lightGray"/>
          <w:u w:val="single"/>
          <w:lang w:val="fr-FR"/>
        </w:rPr>
      </w:pPr>
    </w:p>
    <w:p w:rsidR="00475AF4" w:rsidRPr="00F017E1" w:rsidRDefault="00475AF4" w:rsidP="00475AF4">
      <w:pPr>
        <w:rPr>
          <w:highlight w:val="lightGray"/>
          <w:u w:val="single"/>
          <w:lang w:val="fr-FR"/>
        </w:rPr>
      </w:pPr>
      <w:r w:rsidRPr="00F017E1">
        <w:rPr>
          <w:highlight w:val="lightGray"/>
          <w:u w:val="single"/>
          <w:lang w:val="fr-FR"/>
        </w:rPr>
        <w:fldChar w:fldCharType="begin"/>
      </w:r>
      <w:r w:rsidRPr="00F017E1">
        <w:rPr>
          <w:highlight w:val="lightGray"/>
          <w:u w:val="single"/>
          <w:lang w:val="fr-FR"/>
        </w:rPr>
        <w:instrText xml:space="preserve"> AUTONUM  </w:instrText>
      </w:r>
      <w:r w:rsidRPr="00F017E1">
        <w:rPr>
          <w:highlight w:val="lightGray"/>
          <w:u w:val="single"/>
          <w:lang w:val="fr-FR"/>
        </w:rPr>
        <w:fldChar w:fldCharType="end"/>
      </w:r>
      <w:r w:rsidRPr="00F017E1">
        <w:rPr>
          <w:highlight w:val="lightGray"/>
          <w:u w:val="single"/>
          <w:lang w:val="fr-FR"/>
        </w:rPr>
        <w:tab/>
      </w:r>
      <w:r w:rsidR="00386393" w:rsidRPr="00386393">
        <w:rPr>
          <w:highlight w:val="lightGray"/>
          <w:u w:val="single"/>
          <w:lang w:val="fr-FR"/>
        </w:rPr>
        <w:t xml:space="preserve">Le ou les services ayant compétence pour se prononcer sur les questions relatives à la </w:t>
      </w:r>
      <w:r w:rsidR="00386393">
        <w:rPr>
          <w:highlight w:val="lightGray"/>
          <w:u w:val="single"/>
          <w:lang w:val="fr-FR"/>
        </w:rPr>
        <w:t>déchéance de l’</w:t>
      </w:r>
      <w:r w:rsidR="00386393" w:rsidRPr="00386393">
        <w:rPr>
          <w:highlight w:val="lightGray"/>
          <w:u w:val="single"/>
          <w:lang w:val="fr-FR"/>
        </w:rPr>
        <w:t>obtenteur (tels que les services chargés d’octroyer les droits d’obtenteur ou les autorités judiciaires) seront déterminés par la législation applicable du membre de l’Union concerné.  La législation applicable pourrait inclure, outre la législation régissant les droits d’obtenteur, d’autres textes législatifs applicables s’agissant de questions de fond ou de procédure (tels que le code civil ou le code pénal)</w:t>
      </w:r>
      <w:r w:rsidRPr="00F017E1">
        <w:rPr>
          <w:highlight w:val="lightGray"/>
          <w:u w:val="single"/>
          <w:lang w:val="fr-FR"/>
        </w:rPr>
        <w:t>.</w:t>
      </w:r>
    </w:p>
    <w:p w:rsidR="00475AF4" w:rsidRPr="00F017E1" w:rsidRDefault="00475AF4" w:rsidP="00475AF4">
      <w:pPr>
        <w:rPr>
          <w:highlight w:val="lightGray"/>
          <w:u w:val="single"/>
          <w:lang w:val="fr-FR"/>
        </w:rPr>
      </w:pPr>
    </w:p>
    <w:p w:rsidR="00475AF4" w:rsidRPr="00F017E1" w:rsidRDefault="00475AF4" w:rsidP="009B228E">
      <w:pPr>
        <w:spacing w:after="480"/>
        <w:rPr>
          <w:u w:val="single"/>
          <w:lang w:val="fr-FR"/>
        </w:rPr>
      </w:pPr>
      <w:r w:rsidRPr="00F017E1">
        <w:rPr>
          <w:highlight w:val="lightGray"/>
          <w:u w:val="single"/>
          <w:lang w:val="fr-FR"/>
        </w:rPr>
        <w:lastRenderedPageBreak/>
        <w:fldChar w:fldCharType="begin"/>
      </w:r>
      <w:r w:rsidRPr="00F017E1">
        <w:rPr>
          <w:highlight w:val="lightGray"/>
          <w:u w:val="single"/>
          <w:lang w:val="fr-FR"/>
        </w:rPr>
        <w:instrText xml:space="preserve"> AUTONUM  </w:instrText>
      </w:r>
      <w:r w:rsidRPr="00F017E1">
        <w:rPr>
          <w:highlight w:val="lightGray"/>
          <w:u w:val="single"/>
          <w:lang w:val="fr-FR"/>
        </w:rPr>
        <w:fldChar w:fldCharType="end"/>
      </w:r>
      <w:r w:rsidRPr="00F017E1">
        <w:rPr>
          <w:highlight w:val="lightGray"/>
          <w:u w:val="single"/>
          <w:lang w:val="fr-FR"/>
        </w:rPr>
        <w:tab/>
      </w:r>
      <w:r w:rsidR="00386393" w:rsidRPr="00386393">
        <w:rPr>
          <w:highlight w:val="lightGray"/>
          <w:u w:val="single"/>
          <w:lang w:val="fr-FR"/>
        </w:rPr>
        <w:t xml:space="preserve">Aux termes de la Convention UPOV, la </w:t>
      </w:r>
      <w:r w:rsidR="00386393">
        <w:rPr>
          <w:highlight w:val="lightGray"/>
          <w:u w:val="single"/>
          <w:lang w:val="fr-FR"/>
        </w:rPr>
        <w:t>déchéance de l</w:t>
      </w:r>
      <w:r w:rsidR="00386393" w:rsidRPr="00386393">
        <w:rPr>
          <w:highlight w:val="lightGray"/>
          <w:u w:val="single"/>
          <w:lang w:val="fr-FR"/>
        </w:rPr>
        <w:t xml:space="preserve">’obtenteur </w:t>
      </w:r>
      <w:r w:rsidR="00386393">
        <w:rPr>
          <w:highlight w:val="lightGray"/>
          <w:u w:val="single"/>
          <w:lang w:val="fr-FR"/>
        </w:rPr>
        <w:t xml:space="preserve">de ses droits </w:t>
      </w:r>
      <w:r w:rsidR="00386393" w:rsidRPr="00386393">
        <w:rPr>
          <w:highlight w:val="lightGray"/>
          <w:u w:val="single"/>
          <w:lang w:val="fr-FR"/>
        </w:rPr>
        <w:t>doit être communiquée au public (voir l’article 30.1)iii) de l’Acte de 1991 et l’article 30.1)c) de l’Acte de 1978)</w:t>
      </w:r>
      <w:r w:rsidRPr="00F017E1">
        <w:rPr>
          <w:szCs w:val="22"/>
          <w:highlight w:val="lightGray"/>
          <w:u w:val="single"/>
          <w:lang w:val="fr-FR"/>
        </w:rPr>
        <w:t>.</w:t>
      </w:r>
    </w:p>
    <w:p w:rsidR="00475AF4" w:rsidRPr="00F017E1" w:rsidRDefault="00386393" w:rsidP="00475AF4">
      <w:pPr>
        <w:rPr>
          <w:i/>
          <w:u w:val="single"/>
          <w:lang w:val="fr-FR"/>
        </w:rPr>
      </w:pPr>
      <w:r>
        <w:rPr>
          <w:i/>
          <w:highlight w:val="lightGray"/>
          <w:u w:val="single"/>
          <w:lang w:val="fr-FR"/>
        </w:rPr>
        <w:t>Une partie c</w:t>
      </w:r>
      <w:r w:rsidR="00475AF4" w:rsidRPr="00F017E1">
        <w:rPr>
          <w:i/>
          <w:highlight w:val="lightGray"/>
          <w:u w:val="single"/>
          <w:lang w:val="fr-FR"/>
        </w:rPr>
        <w:t>ontract</w:t>
      </w:r>
      <w:r>
        <w:rPr>
          <w:i/>
          <w:highlight w:val="lightGray"/>
          <w:u w:val="single"/>
          <w:lang w:val="fr-FR"/>
        </w:rPr>
        <w:t xml:space="preserve">ante </w:t>
      </w:r>
      <w:r w:rsidR="00475AF4" w:rsidRPr="00F017E1">
        <w:rPr>
          <w:i/>
          <w:highlight w:val="lightGray"/>
          <w:u w:val="single"/>
          <w:lang w:val="fr-FR"/>
        </w:rPr>
        <w:t>“</w:t>
      </w:r>
      <w:r>
        <w:rPr>
          <w:i/>
          <w:highlight w:val="lightGray"/>
          <w:u w:val="single"/>
          <w:lang w:val="fr-FR"/>
        </w:rPr>
        <w:t>peut</w:t>
      </w:r>
      <w:r w:rsidR="00475AF4" w:rsidRPr="00F017E1">
        <w:rPr>
          <w:i/>
          <w:highlight w:val="lightGray"/>
          <w:u w:val="single"/>
          <w:lang w:val="fr-FR"/>
        </w:rPr>
        <w:t xml:space="preserve">” </w:t>
      </w:r>
      <w:r>
        <w:rPr>
          <w:i/>
          <w:highlight w:val="lightGray"/>
          <w:u w:val="single"/>
          <w:lang w:val="fr-FR"/>
        </w:rPr>
        <w:t>déchoir un obtenteur de son droit</w:t>
      </w:r>
    </w:p>
    <w:p w:rsidR="00475AF4" w:rsidRPr="00F017E1" w:rsidRDefault="00475AF4" w:rsidP="00475AF4">
      <w:pPr>
        <w:rPr>
          <w:i/>
          <w:u w:val="single"/>
          <w:lang w:val="fr-FR"/>
        </w:rPr>
      </w:pPr>
    </w:p>
    <w:p w:rsidR="00475AF4" w:rsidRPr="00F017E1" w:rsidRDefault="009B228E" w:rsidP="00475AF4">
      <w:pPr>
        <w:rPr>
          <w:lang w:val="fr-FR"/>
        </w:rPr>
      </w:pPr>
      <w:r w:rsidRPr="00F017E1">
        <w:rPr>
          <w:strike/>
          <w:highlight w:val="lightGray"/>
          <w:lang w:val="fr-FR"/>
        </w:rPr>
        <w:t>6.</w:t>
      </w:r>
      <w:r w:rsidRPr="00F017E1">
        <w:rPr>
          <w:highlight w:val="lightGray"/>
          <w:u w:val="single"/>
          <w:lang w:val="fr-FR"/>
        </w:rPr>
        <w:fldChar w:fldCharType="begin"/>
      </w:r>
      <w:r w:rsidRPr="00F017E1">
        <w:rPr>
          <w:highlight w:val="lightGray"/>
          <w:u w:val="single"/>
          <w:lang w:val="fr-FR"/>
        </w:rPr>
        <w:instrText xml:space="preserve"> AUTONUM  </w:instrText>
      </w:r>
      <w:r w:rsidRPr="00F017E1">
        <w:rPr>
          <w:highlight w:val="lightGray"/>
          <w:u w:val="single"/>
          <w:lang w:val="fr-FR"/>
        </w:rPr>
        <w:fldChar w:fldCharType="end"/>
      </w:r>
      <w:r w:rsidRPr="00F017E1">
        <w:rPr>
          <w:highlight w:val="lightGray"/>
          <w:u w:val="single"/>
          <w:lang w:val="fr-FR"/>
        </w:rPr>
        <w:tab/>
      </w:r>
      <w:r w:rsidR="00386393">
        <w:rPr>
          <w:highlight w:val="lightGray"/>
          <w:u w:val="single"/>
          <w:lang w:val="fr-FR"/>
        </w:rPr>
        <w:t>La Convention </w:t>
      </w:r>
      <w:r w:rsidR="00475AF4" w:rsidRPr="00F017E1">
        <w:rPr>
          <w:highlight w:val="lightGray"/>
          <w:u w:val="single"/>
          <w:lang w:val="fr-FR"/>
        </w:rPr>
        <w:t xml:space="preserve">UPOV </w:t>
      </w:r>
      <w:r w:rsidR="00386393">
        <w:rPr>
          <w:highlight w:val="lightGray"/>
          <w:u w:val="single"/>
          <w:lang w:val="fr-FR"/>
        </w:rPr>
        <w:t>n’impose aux membres de l’</w:t>
      </w:r>
      <w:r w:rsidR="00475AF4" w:rsidRPr="00F017E1">
        <w:rPr>
          <w:highlight w:val="lightGray"/>
          <w:u w:val="single"/>
          <w:lang w:val="fr-FR"/>
        </w:rPr>
        <w:t xml:space="preserve">Union </w:t>
      </w:r>
      <w:r w:rsidR="00386393">
        <w:rPr>
          <w:highlight w:val="lightGray"/>
          <w:u w:val="single"/>
          <w:lang w:val="fr-FR"/>
        </w:rPr>
        <w:t xml:space="preserve">de prévoir des dispositions relatives à la déchéance de l’obtenteur de son droit.  </w:t>
      </w:r>
      <w:r w:rsidR="00386393">
        <w:rPr>
          <w:lang w:val="fr-FR"/>
        </w:rPr>
        <w:t>Conformément à</w:t>
      </w:r>
      <w:r w:rsidR="00475AF4" w:rsidRPr="00F017E1">
        <w:rPr>
          <w:lang w:val="fr-FR"/>
        </w:rPr>
        <w:t xml:space="preserve"> </w:t>
      </w:r>
      <w:r w:rsidR="00386393">
        <w:rPr>
          <w:strike/>
          <w:highlight w:val="lightGray"/>
          <w:lang w:val="fr-FR"/>
        </w:rPr>
        <w:t xml:space="preserve">l’Acte de </w:t>
      </w:r>
      <w:r w:rsidR="00475AF4" w:rsidRPr="00F017E1">
        <w:rPr>
          <w:strike/>
          <w:highlight w:val="lightGray"/>
          <w:lang w:val="fr-FR"/>
        </w:rPr>
        <w:t xml:space="preserve">1991 </w:t>
      </w:r>
      <w:r w:rsidR="00386393">
        <w:rPr>
          <w:strike/>
          <w:highlight w:val="lightGray"/>
          <w:lang w:val="fr-FR"/>
        </w:rPr>
        <w:t>de</w:t>
      </w:r>
      <w:r w:rsidR="00475AF4" w:rsidRPr="00F017E1">
        <w:rPr>
          <w:strike/>
          <w:highlight w:val="lightGray"/>
          <w:lang w:val="fr-FR"/>
        </w:rPr>
        <w:t xml:space="preserve"> </w:t>
      </w:r>
      <w:r w:rsidR="00386393">
        <w:rPr>
          <w:lang w:val="fr-FR"/>
        </w:rPr>
        <w:t>la Convention </w:t>
      </w:r>
      <w:r w:rsidR="00475AF4" w:rsidRPr="00F017E1">
        <w:rPr>
          <w:lang w:val="fr-FR"/>
        </w:rPr>
        <w:t xml:space="preserve">UPOV, </w:t>
      </w:r>
      <w:r w:rsidR="00386393" w:rsidRPr="00386393">
        <w:rPr>
          <w:lang w:val="fr-FR"/>
        </w:rPr>
        <w:t>lorsque les motifs de déchéance s’appliquent, le service compétent “peut” déchoir l’obtenteur du droit, c’est</w:t>
      </w:r>
      <w:r w:rsidR="00386393" w:rsidRPr="00386393">
        <w:rPr>
          <w:lang w:val="fr-FR"/>
        </w:rPr>
        <w:noBreakHyphen/>
        <w:t>à</w:t>
      </w:r>
      <w:r w:rsidR="00386393" w:rsidRPr="00386393">
        <w:rPr>
          <w:lang w:val="fr-FR"/>
        </w:rPr>
        <w:noBreakHyphen/>
        <w:t>dire qu’il n’existe pas d’obligation automatique de déchéance</w:t>
      </w:r>
      <w:r w:rsidR="00475AF4" w:rsidRPr="00F017E1">
        <w:rPr>
          <w:lang w:val="fr-FR"/>
        </w:rPr>
        <w:t xml:space="preserve">.  </w:t>
      </w:r>
      <w:r w:rsidR="00386393">
        <w:rPr>
          <w:highlight w:val="lightGray"/>
          <w:u w:val="single"/>
          <w:lang w:val="fr-FR"/>
        </w:rPr>
        <w:t>Par conséquent</w:t>
      </w:r>
      <w:r w:rsidR="00475AF4" w:rsidRPr="00F017E1">
        <w:rPr>
          <w:highlight w:val="lightGray"/>
          <w:u w:val="single"/>
          <w:lang w:val="fr-FR"/>
        </w:rPr>
        <w:t>,</w:t>
      </w:r>
      <w:r w:rsidR="00475AF4" w:rsidRPr="00F017E1">
        <w:rPr>
          <w:u w:val="single"/>
          <w:lang w:val="fr-FR"/>
        </w:rPr>
        <w:t xml:space="preserve"> </w:t>
      </w:r>
      <w:r w:rsidR="00475AF4" w:rsidRPr="00F017E1">
        <w:rPr>
          <w:strike/>
          <w:highlight w:val="lightGray"/>
          <w:lang w:val="fr-FR"/>
        </w:rPr>
        <w:t>S</w:t>
      </w:r>
      <w:r w:rsidR="00475AF4" w:rsidRPr="00F017E1">
        <w:rPr>
          <w:highlight w:val="lightGray"/>
          <w:u w:val="single"/>
          <w:lang w:val="fr-FR"/>
        </w:rPr>
        <w:t>s</w:t>
      </w:r>
      <w:r w:rsidR="00386393" w:rsidRPr="00F6095C">
        <w:rPr>
          <w:lang w:val="fr-FR"/>
        </w:rPr>
        <w:t xml:space="preserve">elon </w:t>
      </w:r>
      <w:bookmarkStart w:id="5" w:name="_GoBack"/>
      <w:bookmarkEnd w:id="5"/>
      <w:r w:rsidR="00386393" w:rsidRPr="00386393">
        <w:rPr>
          <w:lang w:val="fr-FR"/>
        </w:rPr>
        <w:t>la législation applicable, le service compétent peut faire la part des circonstances</w:t>
      </w:r>
      <w:r w:rsidR="00386393" w:rsidRPr="00386393">
        <w:rPr>
          <w:u w:val="single"/>
          <w:lang w:val="fr-FR"/>
        </w:rPr>
        <w:t>.</w:t>
      </w:r>
      <w:r w:rsidR="00386393">
        <w:rPr>
          <w:u w:val="single"/>
          <w:lang w:val="fr-FR"/>
        </w:rPr>
        <w:t xml:space="preserve"> </w:t>
      </w:r>
      <w:r w:rsidR="00475AF4" w:rsidRPr="00386393">
        <w:rPr>
          <w:u w:val="single"/>
          <w:lang w:val="fr-FR"/>
        </w:rPr>
        <w:t xml:space="preserve"> </w:t>
      </w:r>
      <w:r w:rsidR="00386393">
        <w:rPr>
          <w:strike/>
          <w:highlight w:val="lightGray"/>
          <w:lang w:val="fr-FR"/>
        </w:rPr>
        <w:t xml:space="preserve">et </w:t>
      </w:r>
      <w:r w:rsidR="00475AF4" w:rsidRPr="00F017E1">
        <w:rPr>
          <w:strike/>
          <w:highlight w:val="lightGray"/>
          <w:lang w:val="fr-FR"/>
        </w:rPr>
        <w:t>d</w:t>
      </w:r>
      <w:r w:rsidR="00386393">
        <w:rPr>
          <w:strike/>
          <w:highlight w:val="lightGray"/>
          <w:lang w:val="fr-FR"/>
        </w:rPr>
        <w:t>écider de déchoir l’obtenteur de son droit ou de donner à l’obtenteur</w:t>
      </w:r>
      <w:r w:rsidR="00386393">
        <w:rPr>
          <w:strike/>
          <w:lang w:val="fr-FR"/>
        </w:rPr>
        <w:t xml:space="preserve">, </w:t>
      </w:r>
      <w:r w:rsidR="00386393" w:rsidRPr="00386393">
        <w:rPr>
          <w:highlight w:val="lightGray"/>
          <w:u w:val="single"/>
          <w:lang w:val="fr-FR"/>
        </w:rPr>
        <w:t>P</w:t>
      </w:r>
      <w:r w:rsidR="00386393">
        <w:rPr>
          <w:lang w:val="fr-FR"/>
        </w:rPr>
        <w:t>a</w:t>
      </w:r>
      <w:r w:rsidR="00475AF4" w:rsidRPr="00F017E1">
        <w:rPr>
          <w:lang w:val="fr-FR"/>
        </w:rPr>
        <w:t>r ex</w:t>
      </w:r>
      <w:r w:rsidR="00386393">
        <w:rPr>
          <w:lang w:val="fr-FR"/>
        </w:rPr>
        <w:t>e</w:t>
      </w:r>
      <w:r w:rsidR="00475AF4" w:rsidRPr="00F017E1">
        <w:rPr>
          <w:lang w:val="fr-FR"/>
        </w:rPr>
        <w:t xml:space="preserve">mple, </w:t>
      </w:r>
      <w:r w:rsidR="00386393">
        <w:rPr>
          <w:highlight w:val="lightGray"/>
          <w:u w:val="single"/>
          <w:lang w:val="fr-FR"/>
        </w:rPr>
        <w:t>l</w:t>
      </w:r>
      <w:r w:rsidR="00475AF4" w:rsidRPr="00F017E1">
        <w:rPr>
          <w:highlight w:val="lightGray"/>
          <w:u w:val="single"/>
          <w:lang w:val="fr-FR"/>
        </w:rPr>
        <w:t xml:space="preserve">e </w:t>
      </w:r>
      <w:r w:rsidR="00386393">
        <w:rPr>
          <w:highlight w:val="lightGray"/>
          <w:u w:val="single"/>
          <w:lang w:val="fr-FR"/>
        </w:rPr>
        <w:t>service compé</w:t>
      </w:r>
      <w:r w:rsidR="00475AF4" w:rsidRPr="00F017E1">
        <w:rPr>
          <w:highlight w:val="lightGray"/>
          <w:u w:val="single"/>
          <w:lang w:val="fr-FR"/>
        </w:rPr>
        <w:t xml:space="preserve">tent </w:t>
      </w:r>
      <w:r w:rsidR="00386393" w:rsidRPr="00386393">
        <w:rPr>
          <w:highlight w:val="lightGray"/>
          <w:u w:val="single"/>
          <w:lang w:val="fr-FR"/>
        </w:rPr>
        <w:t xml:space="preserve">peut </w:t>
      </w:r>
      <w:r w:rsidR="00386393">
        <w:rPr>
          <w:highlight w:val="lightGray"/>
          <w:u w:val="single"/>
          <w:lang w:val="fr-FR"/>
        </w:rPr>
        <w:t>donner à l’obtenteur</w:t>
      </w:r>
      <w:r w:rsidR="00386393">
        <w:rPr>
          <w:lang w:val="fr-FR"/>
        </w:rPr>
        <w:t xml:space="preserve"> un délai supplémentaire pour redresser la </w:t>
      </w:r>
      <w:r w:rsidR="00475AF4" w:rsidRPr="00F017E1">
        <w:rPr>
          <w:lang w:val="fr-FR"/>
        </w:rPr>
        <w:t>situation.</w:t>
      </w:r>
    </w:p>
    <w:p w:rsidR="00475AF4" w:rsidRPr="00F017E1" w:rsidRDefault="00475AF4" w:rsidP="00475AF4">
      <w:pPr>
        <w:rPr>
          <w:u w:val="single"/>
          <w:lang w:val="fr-FR"/>
        </w:rPr>
      </w:pPr>
    </w:p>
    <w:p w:rsidR="00475AF4" w:rsidRPr="00F017E1" w:rsidRDefault="00475AF4" w:rsidP="00475AF4">
      <w:pPr>
        <w:rPr>
          <w:i/>
          <w:highlight w:val="lightGray"/>
          <w:u w:val="single"/>
          <w:lang w:val="fr-FR"/>
        </w:rPr>
      </w:pPr>
    </w:p>
    <w:p w:rsidR="00475AF4" w:rsidRPr="00F017E1" w:rsidRDefault="00966F7A" w:rsidP="00475AF4">
      <w:pPr>
        <w:rPr>
          <w:i/>
          <w:u w:val="single"/>
          <w:lang w:val="fr-FR"/>
        </w:rPr>
      </w:pPr>
      <w:r>
        <w:rPr>
          <w:i/>
          <w:highlight w:val="lightGray"/>
          <w:u w:val="single"/>
          <w:lang w:val="fr-FR"/>
        </w:rPr>
        <w:t xml:space="preserve">Radiation de la dénomination de la </w:t>
      </w:r>
      <w:r w:rsidR="00475AF4" w:rsidRPr="00F017E1">
        <w:rPr>
          <w:i/>
          <w:highlight w:val="lightGray"/>
          <w:u w:val="single"/>
          <w:lang w:val="fr-FR"/>
        </w:rPr>
        <w:t>vari</w:t>
      </w:r>
      <w:r>
        <w:rPr>
          <w:i/>
          <w:highlight w:val="lightGray"/>
          <w:u w:val="single"/>
          <w:lang w:val="fr-FR"/>
        </w:rPr>
        <w:t>é</w:t>
      </w:r>
      <w:r w:rsidR="00475AF4" w:rsidRPr="00F017E1">
        <w:rPr>
          <w:i/>
          <w:highlight w:val="lightGray"/>
          <w:u w:val="single"/>
          <w:lang w:val="fr-FR"/>
        </w:rPr>
        <w:t>t</w:t>
      </w:r>
      <w:r>
        <w:rPr>
          <w:i/>
          <w:highlight w:val="lightGray"/>
          <w:u w:val="single"/>
          <w:lang w:val="fr-FR"/>
        </w:rPr>
        <w:t>é</w:t>
      </w:r>
    </w:p>
    <w:p w:rsidR="00475AF4" w:rsidRPr="00F017E1" w:rsidRDefault="00475AF4" w:rsidP="00475AF4">
      <w:pPr>
        <w:pStyle w:val="Style1"/>
        <w:tabs>
          <w:tab w:val="clear" w:pos="907"/>
          <w:tab w:val="clear" w:pos="1077"/>
        </w:tabs>
        <w:rPr>
          <w:lang w:val="fr-FR"/>
        </w:rPr>
      </w:pPr>
    </w:p>
    <w:p w:rsidR="00475AF4" w:rsidRPr="00F017E1" w:rsidRDefault="00475AF4" w:rsidP="00966F7A">
      <w:pPr>
        <w:rPr>
          <w:lang w:val="fr-FR"/>
        </w:rPr>
      </w:pPr>
      <w:r w:rsidRPr="00F017E1">
        <w:rPr>
          <w:strike/>
          <w:highlight w:val="lightGray"/>
          <w:lang w:val="fr-FR"/>
        </w:rPr>
        <w:t>7</w:t>
      </w:r>
      <w:r w:rsidR="009B228E" w:rsidRPr="00F017E1">
        <w:rPr>
          <w:strike/>
          <w:highlight w:val="lightGray"/>
          <w:lang w:val="fr-FR"/>
        </w:rPr>
        <w:t>.</w:t>
      </w:r>
      <w:r w:rsidR="009B228E" w:rsidRPr="00F017E1">
        <w:rPr>
          <w:highlight w:val="lightGray"/>
          <w:u w:val="single"/>
          <w:lang w:val="fr-FR"/>
        </w:rPr>
        <w:fldChar w:fldCharType="begin"/>
      </w:r>
      <w:r w:rsidR="009B228E" w:rsidRPr="00F017E1">
        <w:rPr>
          <w:highlight w:val="lightGray"/>
          <w:u w:val="single"/>
          <w:lang w:val="fr-FR"/>
        </w:rPr>
        <w:instrText xml:space="preserve"> AUTONUM  </w:instrText>
      </w:r>
      <w:r w:rsidR="009B228E" w:rsidRPr="00F017E1">
        <w:rPr>
          <w:highlight w:val="lightGray"/>
          <w:u w:val="single"/>
          <w:lang w:val="fr-FR"/>
        </w:rPr>
        <w:fldChar w:fldCharType="end"/>
      </w:r>
      <w:r w:rsidR="009B228E" w:rsidRPr="00F017E1">
        <w:rPr>
          <w:u w:val="single"/>
          <w:lang w:val="fr-FR"/>
        </w:rPr>
        <w:tab/>
      </w:r>
      <w:r w:rsidRPr="00F017E1">
        <w:rPr>
          <w:lang w:val="fr-FR"/>
        </w:rPr>
        <w:t xml:space="preserve"> </w:t>
      </w:r>
      <w:r w:rsidR="00966F7A" w:rsidRPr="00966F7A">
        <w:rPr>
          <w:lang w:val="fr-FR"/>
        </w:rPr>
        <w:t>L’article 22.1)</w:t>
      </w:r>
      <w:r w:rsidR="00966F7A" w:rsidRPr="00966F7A">
        <w:rPr>
          <w:i/>
          <w:lang w:val="fr-FR"/>
        </w:rPr>
        <w:t>b)</w:t>
      </w:r>
      <w:r w:rsidR="00966F7A" w:rsidRPr="00966F7A">
        <w:rPr>
          <w:lang w:val="fr-FR"/>
        </w:rPr>
        <w:t xml:space="preserve">iii) de l’Acte de 1991 prévoit que l’obtenteur peut être déchu de son droit s’il “ne propose pas, en cas de radiation de la dénomination de la variété après l’octroi du droit, une autre dénomination qui convienne”.  Les notes explicatives concernant le paragraphe 4 de l’article 20 de l’Acte de 1991 (“Notes explicatives concernant les dénominations variétales conformément à la Convention UPOV” </w:t>
      </w:r>
      <w:r w:rsidRPr="00F017E1">
        <w:rPr>
          <w:lang w:val="fr-FR"/>
        </w:rPr>
        <w:t xml:space="preserve">(document </w:t>
      </w:r>
      <w:hyperlink r:id="rId13" w:history="1">
        <w:r w:rsidRPr="00762826">
          <w:rPr>
            <w:rStyle w:val="Hyperlink"/>
            <w:noProof w:val="0"/>
            <w:lang w:val="fr-FR"/>
          </w:rPr>
          <w:t>UPOV/INF/12</w:t>
        </w:r>
      </w:hyperlink>
      <w:r w:rsidRPr="00F017E1">
        <w:rPr>
          <w:strike/>
          <w:highlight w:val="lightGray"/>
          <w:lang w:val="fr-FR"/>
        </w:rPr>
        <w:t>/2</w:t>
      </w:r>
      <w:r w:rsidRPr="00F017E1">
        <w:rPr>
          <w:lang w:val="fr-FR"/>
        </w:rPr>
        <w:t xml:space="preserve">)) </w:t>
      </w:r>
      <w:r w:rsidR="00966F7A" w:rsidRPr="00966F7A">
        <w:rPr>
          <w:lang w:val="fr-FR"/>
        </w:rPr>
        <w:t>donnent des éléments d’orientation sur les cas dans lesquels la dénomination variétale peut être radiée</w:t>
      </w:r>
      <w:r w:rsidRPr="00F017E1">
        <w:rPr>
          <w:lang w:val="fr-FR"/>
        </w:rPr>
        <w:t>.</w:t>
      </w:r>
    </w:p>
    <w:p w:rsidR="00475AF4" w:rsidRPr="00F017E1" w:rsidRDefault="00475AF4" w:rsidP="009B228E">
      <w:pPr>
        <w:rPr>
          <w:lang w:val="fr-FR"/>
        </w:rPr>
      </w:pPr>
    </w:p>
    <w:p w:rsidR="00475AF4" w:rsidRPr="00F017E1" w:rsidRDefault="00475AF4" w:rsidP="009B228E">
      <w:pPr>
        <w:rPr>
          <w:i/>
          <w:highlight w:val="lightGray"/>
          <w:lang w:val="fr-FR"/>
        </w:rPr>
      </w:pPr>
    </w:p>
    <w:p w:rsidR="009B228E" w:rsidRPr="00F017E1" w:rsidRDefault="009B228E" w:rsidP="009B228E">
      <w:pPr>
        <w:rPr>
          <w:i/>
          <w:highlight w:val="lightGray"/>
          <w:lang w:val="fr-FR"/>
        </w:rPr>
      </w:pPr>
    </w:p>
    <w:p w:rsidR="009B228E" w:rsidRPr="00F017E1" w:rsidRDefault="009B228E" w:rsidP="009B228E">
      <w:pPr>
        <w:jc w:val="right"/>
        <w:rPr>
          <w:rFonts w:cs="Arial"/>
          <w:lang w:val="fr-FR"/>
        </w:rPr>
      </w:pPr>
      <w:r w:rsidRPr="00F017E1">
        <w:rPr>
          <w:rFonts w:cs="Arial"/>
          <w:lang w:val="fr-FR"/>
        </w:rPr>
        <w:t>[</w:t>
      </w:r>
      <w:r w:rsidR="00966F7A">
        <w:rPr>
          <w:rFonts w:cs="Arial"/>
          <w:lang w:val="fr-FR"/>
        </w:rPr>
        <w:t xml:space="preserve">Fin du </w:t>
      </w:r>
      <w:r w:rsidRPr="00F017E1">
        <w:rPr>
          <w:rFonts w:cs="Arial"/>
          <w:lang w:val="fr-FR"/>
        </w:rPr>
        <w:t xml:space="preserve">document] </w:t>
      </w:r>
    </w:p>
    <w:p w:rsidR="009B228E" w:rsidRPr="00F017E1" w:rsidRDefault="009B228E" w:rsidP="009B228E">
      <w:pPr>
        <w:jc w:val="right"/>
        <w:rPr>
          <w:rFonts w:cs="Arial"/>
          <w:lang w:val="fr-FR"/>
        </w:rPr>
      </w:pPr>
    </w:p>
    <w:sectPr w:rsidR="009B228E" w:rsidRPr="00F017E1" w:rsidSect="00272ED9">
      <w:headerReference w:type="even" r:id="rId14"/>
      <w:headerReference w:type="default" r:id="rId15"/>
      <w:pgSz w:w="11907" w:h="16840" w:code="9"/>
      <w:pgMar w:top="510" w:right="1134" w:bottom="1134" w:left="1134" w:header="510"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867" w:rsidRDefault="00A62867">
      <w:r>
        <w:separator/>
      </w:r>
    </w:p>
  </w:endnote>
  <w:endnote w:type="continuationSeparator" w:id="0">
    <w:p w:rsidR="00A62867" w:rsidRDefault="00A6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867" w:rsidRDefault="00A62867">
      <w:r>
        <w:separator/>
      </w:r>
    </w:p>
  </w:footnote>
  <w:footnote w:type="continuationSeparator" w:id="0">
    <w:p w:rsidR="00A62867" w:rsidRDefault="00A62867">
      <w:r>
        <w:continuationSeparator/>
      </w:r>
    </w:p>
  </w:footnote>
  <w:footnote w:id="1">
    <w:p w:rsidR="00475AF4" w:rsidRPr="008B0300" w:rsidRDefault="00475AF4" w:rsidP="009B228E">
      <w:pPr>
        <w:pStyle w:val="FootnoteText"/>
      </w:pPr>
      <w:r w:rsidRPr="008B0300">
        <w:rPr>
          <w:rStyle w:val="FootnoteReference"/>
          <w:szCs w:val="16"/>
        </w:rPr>
        <w:footnoteRef/>
      </w:r>
      <w:r>
        <w:tab/>
      </w:r>
      <w:r w:rsidR="00854BB6" w:rsidRPr="00854BB6">
        <w:t xml:space="preserve">Les dispositions </w:t>
      </w:r>
      <w:r w:rsidR="00854BB6">
        <w:t>du</w:t>
      </w:r>
      <w:r w:rsidR="00272ED9">
        <w:t xml:space="preserve"> paragraphe </w:t>
      </w:r>
      <w:r w:rsidR="00854BB6" w:rsidRPr="00854BB6">
        <w:t>1 de l’article</w:t>
      </w:r>
      <w:r w:rsidR="00272ED9">
        <w:t> </w:t>
      </w:r>
      <w:r w:rsidR="00854BB6" w:rsidRPr="00854BB6">
        <w:t xml:space="preserve">10 de l’Acte de 1978 concernent la nullité des droits protégés (voir les notes explicatives sur la nullité du droit d’obtenteur selon la Convention UPOV </w:t>
      </w:r>
      <w:r w:rsidRPr="008B0300">
        <w:t>(document UPOV/EXN/NUL</w:t>
      </w:r>
      <w:r w:rsidRPr="00037BAB">
        <w:rPr>
          <w:strike/>
          <w:highlight w:val="lightGray"/>
        </w:rPr>
        <w:t>/1</w:t>
      </w:r>
      <w:r w:rsidRPr="008B0300">
        <w:t>)).</w:t>
      </w:r>
    </w:p>
  </w:footnote>
  <w:footnote w:id="2">
    <w:p w:rsidR="00461E8D" w:rsidRPr="00461E8D" w:rsidRDefault="00461E8D">
      <w:pPr>
        <w:pStyle w:val="FootnoteText"/>
        <w:rPr>
          <w:lang w:val="fr-CH"/>
        </w:rPr>
      </w:pPr>
      <w:r>
        <w:rPr>
          <w:rStyle w:val="FootnoteReference"/>
        </w:rPr>
        <w:footnoteRef/>
      </w:r>
      <w:r>
        <w:t xml:space="preserve"> </w:t>
      </w:r>
      <w:r>
        <w:rPr>
          <w:lang w:val="fr-CH"/>
        </w:rPr>
        <w:tab/>
        <w:t>La disposition correspondante dans l’Acte de 1978 (article 10.2)), qui présente un caractère contraignant, est ainsi libellée : “</w:t>
      </w:r>
      <w:r w:rsidRPr="00461E8D">
        <w:rPr>
          <w:lang w:val="fr-CH"/>
        </w:rPr>
        <w:t>Est déchu de son droit l’obtenteur qui n’est pas en mesure de présenter à l’autorité compétente le matériel de reproduction ou de multiplication permettant d’obtenir la variété avec ses caractères tels qu’ils ont été définis au moment où la protection a été accordée</w:t>
      </w:r>
      <w:r>
        <w:rPr>
          <w:lang w:val="fr-CH"/>
        </w:rPr>
        <w:t xml:space="preserve">”.  </w:t>
      </w:r>
    </w:p>
  </w:footnote>
  <w:footnote w:id="3">
    <w:p w:rsidR="00475AF4" w:rsidRDefault="00475AF4" w:rsidP="009B228E">
      <w:pPr>
        <w:pStyle w:val="FootnoteText"/>
      </w:pPr>
      <w:r>
        <w:rPr>
          <w:rStyle w:val="FootnoteReference"/>
        </w:rPr>
        <w:footnoteRef/>
      </w:r>
      <w:r>
        <w:tab/>
      </w:r>
      <w:r w:rsidR="00D55E03" w:rsidRPr="00D55E03">
        <w:t>L’Acte de 1978 ne contient pas de disposition correspondant à l’article 22.1)b)iii) de l’Acte de 1991</w:t>
      </w:r>
      <w:r w:rsidRPr="00D666A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867" w:rsidRPr="00A62867" w:rsidRDefault="00A62867" w:rsidP="00BE4EC4">
    <w:pPr>
      <w:pStyle w:val="Header"/>
    </w:pPr>
    <w:r w:rsidRPr="003E2FBD">
      <w:t>UPOV/EXN/CAN/2 Draft 3</w:t>
    </w:r>
  </w:p>
  <w:p w:rsidR="00F61DE9" w:rsidRPr="009929A5" w:rsidRDefault="00F61DE9" w:rsidP="00BE4EC4">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B83E9B">
      <w:rPr>
        <w:rStyle w:val="PageNumber"/>
        <w:rFonts w:cs="Arial"/>
        <w:noProof/>
      </w:rPr>
      <w:t>6</w:t>
    </w:r>
    <w:r w:rsidRPr="009929A5">
      <w:rPr>
        <w:rStyle w:val="PageNumber"/>
        <w:rFonts w:cs="Arial"/>
      </w:rPr>
      <w:fldChar w:fldCharType="end"/>
    </w:r>
  </w:p>
  <w:p w:rsidR="00F61DE9" w:rsidRPr="009929A5" w:rsidRDefault="00F61DE9"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67"/>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37BAB"/>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3A05"/>
    <w:rsid w:val="00074168"/>
    <w:rsid w:val="00074B8E"/>
    <w:rsid w:val="00074B97"/>
    <w:rsid w:val="000762E5"/>
    <w:rsid w:val="00076651"/>
    <w:rsid w:val="00077138"/>
    <w:rsid w:val="00080744"/>
    <w:rsid w:val="00081BDE"/>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1483"/>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3E39"/>
    <w:rsid w:val="00255928"/>
    <w:rsid w:val="00256210"/>
    <w:rsid w:val="0026000A"/>
    <w:rsid w:val="002600E7"/>
    <w:rsid w:val="00260B84"/>
    <w:rsid w:val="00260F87"/>
    <w:rsid w:val="00261F07"/>
    <w:rsid w:val="002629CA"/>
    <w:rsid w:val="00262D64"/>
    <w:rsid w:val="00264253"/>
    <w:rsid w:val="002668EC"/>
    <w:rsid w:val="00266AE7"/>
    <w:rsid w:val="00267280"/>
    <w:rsid w:val="00270479"/>
    <w:rsid w:val="00270CF1"/>
    <w:rsid w:val="0027174A"/>
    <w:rsid w:val="00272ED9"/>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86393"/>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E8D"/>
    <w:rsid w:val="0046292B"/>
    <w:rsid w:val="00462AA7"/>
    <w:rsid w:val="00463180"/>
    <w:rsid w:val="00464F66"/>
    <w:rsid w:val="004663DB"/>
    <w:rsid w:val="00466F95"/>
    <w:rsid w:val="00470205"/>
    <w:rsid w:val="00472A58"/>
    <w:rsid w:val="00473812"/>
    <w:rsid w:val="004757E7"/>
    <w:rsid w:val="00475AF4"/>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89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08B"/>
    <w:rsid w:val="00693143"/>
    <w:rsid w:val="00694FFC"/>
    <w:rsid w:val="006956FA"/>
    <w:rsid w:val="0069682F"/>
    <w:rsid w:val="00696DEB"/>
    <w:rsid w:val="006A2DAE"/>
    <w:rsid w:val="006A4623"/>
    <w:rsid w:val="006A59E4"/>
    <w:rsid w:val="006B03E2"/>
    <w:rsid w:val="006B0539"/>
    <w:rsid w:val="006B1269"/>
    <w:rsid w:val="006B26A6"/>
    <w:rsid w:val="006B3AC1"/>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3F12"/>
    <w:rsid w:val="00714661"/>
    <w:rsid w:val="00716539"/>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2826"/>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BB6"/>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24E6"/>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2700"/>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6F7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28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151E"/>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2867"/>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3E9B"/>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55E03"/>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9CE"/>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17E1"/>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095C"/>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86CAC"/>
    <w:rsid w:val="00F9048F"/>
    <w:rsid w:val="00F9151B"/>
    <w:rsid w:val="00F9213D"/>
    <w:rsid w:val="00F92D3A"/>
    <w:rsid w:val="00F94B2A"/>
    <w:rsid w:val="00F96CB3"/>
    <w:rsid w:val="00FA07DA"/>
    <w:rsid w:val="00FA3CC3"/>
    <w:rsid w:val="00FA5C99"/>
    <w:rsid w:val="00FA6B42"/>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9E6"/>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69308B"/>
    <w:pPr>
      <w:keepNext/>
      <w:jc w:val="both"/>
      <w:outlineLvl w:val="0"/>
    </w:pPr>
    <w:rPr>
      <w:rFonts w:ascii="Arial" w:hAnsi="Arial"/>
      <w:caps/>
      <w:u w:val="single"/>
      <w:lang w:val="fr-FR"/>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9B228E"/>
    <w:pPr>
      <w:spacing w:before="60"/>
      <w:ind w:left="284" w:hanging="284"/>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semiHidden/>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BodyText2">
    <w:name w:val="Body Text 2"/>
    <w:basedOn w:val="Normal"/>
    <w:link w:val="BodyText2Char"/>
    <w:rsid w:val="00475AF4"/>
    <w:rPr>
      <w:rFonts w:ascii="Times New Roman" w:hAnsi="Times New Roman"/>
      <w:color w:val="008000"/>
      <w:sz w:val="24"/>
    </w:rPr>
  </w:style>
  <w:style w:type="character" w:customStyle="1" w:styleId="BodyText2Char">
    <w:name w:val="Body Text 2 Char"/>
    <w:basedOn w:val="DefaultParagraphFont"/>
    <w:link w:val="BodyText2"/>
    <w:rsid w:val="00475AF4"/>
    <w:rPr>
      <w:color w:val="008000"/>
      <w:sz w:val="24"/>
    </w:rPr>
  </w:style>
  <w:style w:type="paragraph" w:customStyle="1" w:styleId="a">
    <w:name w:val="a"/>
    <w:basedOn w:val="Normal"/>
    <w:rsid w:val="00475AF4"/>
    <w:pPr>
      <w:overflowPunct w:val="0"/>
      <w:autoSpaceDE w:val="0"/>
      <w:autoSpaceDN w:val="0"/>
      <w:adjustRightInd w:val="0"/>
      <w:jc w:val="center"/>
      <w:textAlignment w:val="baseline"/>
    </w:pPr>
    <w:rPr>
      <w:rFonts w:ascii="Times New Roman" w:hAnsi="Times New Roman"/>
      <w:b/>
      <w:sz w:val="24"/>
    </w:rPr>
  </w:style>
  <w:style w:type="character" w:customStyle="1" w:styleId="BodyTextChar">
    <w:name w:val="Body Text Char"/>
    <w:basedOn w:val="DefaultParagraphFont"/>
    <w:link w:val="BodyText"/>
    <w:rsid w:val="006B3AC1"/>
    <w:rPr>
      <w:rFonts w:ascii="Arial" w:hAnsi="Arial"/>
    </w:rPr>
  </w:style>
  <w:style w:type="character" w:customStyle="1" w:styleId="BodyTextIndentChar">
    <w:name w:val="Body Text Indent Char"/>
    <w:basedOn w:val="DefaultParagraphFont"/>
    <w:link w:val="BodyTextIndent"/>
    <w:rsid w:val="006B3AC1"/>
    <w:rPr>
      <w:rFonts w:ascii="Arial" w:hAnsi="Arial"/>
      <w:lang w:val="es-ES_tradnl"/>
    </w:rPr>
  </w:style>
  <w:style w:type="character" w:customStyle="1" w:styleId="CommentTextChar">
    <w:name w:val="Comment Text Char"/>
    <w:basedOn w:val="DefaultParagraphFont"/>
    <w:link w:val="CommentText"/>
    <w:semiHidden/>
    <w:rsid w:val="006B3AC1"/>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69308B"/>
    <w:pPr>
      <w:keepNext/>
      <w:jc w:val="both"/>
      <w:outlineLvl w:val="0"/>
    </w:pPr>
    <w:rPr>
      <w:rFonts w:ascii="Arial" w:hAnsi="Arial"/>
      <w:caps/>
      <w:u w:val="single"/>
      <w:lang w:val="fr-FR"/>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9B228E"/>
    <w:pPr>
      <w:spacing w:before="60"/>
      <w:ind w:left="284" w:hanging="284"/>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semiHidden/>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BodyText2">
    <w:name w:val="Body Text 2"/>
    <w:basedOn w:val="Normal"/>
    <w:link w:val="BodyText2Char"/>
    <w:rsid w:val="00475AF4"/>
    <w:rPr>
      <w:rFonts w:ascii="Times New Roman" w:hAnsi="Times New Roman"/>
      <w:color w:val="008000"/>
      <w:sz w:val="24"/>
    </w:rPr>
  </w:style>
  <w:style w:type="character" w:customStyle="1" w:styleId="BodyText2Char">
    <w:name w:val="Body Text 2 Char"/>
    <w:basedOn w:val="DefaultParagraphFont"/>
    <w:link w:val="BodyText2"/>
    <w:rsid w:val="00475AF4"/>
    <w:rPr>
      <w:color w:val="008000"/>
      <w:sz w:val="24"/>
    </w:rPr>
  </w:style>
  <w:style w:type="paragraph" w:customStyle="1" w:styleId="a">
    <w:name w:val="a"/>
    <w:basedOn w:val="Normal"/>
    <w:rsid w:val="00475AF4"/>
    <w:pPr>
      <w:overflowPunct w:val="0"/>
      <w:autoSpaceDE w:val="0"/>
      <w:autoSpaceDN w:val="0"/>
      <w:adjustRightInd w:val="0"/>
      <w:jc w:val="center"/>
      <w:textAlignment w:val="baseline"/>
    </w:pPr>
    <w:rPr>
      <w:rFonts w:ascii="Times New Roman" w:hAnsi="Times New Roman"/>
      <w:b/>
      <w:sz w:val="24"/>
    </w:rPr>
  </w:style>
  <w:style w:type="character" w:customStyle="1" w:styleId="BodyTextChar">
    <w:name w:val="Body Text Char"/>
    <w:basedOn w:val="DefaultParagraphFont"/>
    <w:link w:val="BodyText"/>
    <w:rsid w:val="006B3AC1"/>
    <w:rPr>
      <w:rFonts w:ascii="Arial" w:hAnsi="Arial"/>
    </w:rPr>
  </w:style>
  <w:style w:type="character" w:customStyle="1" w:styleId="BodyTextIndentChar">
    <w:name w:val="Body Text Indent Char"/>
    <w:basedOn w:val="DefaultParagraphFont"/>
    <w:link w:val="BodyTextIndent"/>
    <w:rsid w:val="006B3AC1"/>
    <w:rPr>
      <w:rFonts w:ascii="Arial" w:hAnsi="Arial"/>
      <w:lang w:val="es-ES_tradnl"/>
    </w:rPr>
  </w:style>
  <w:style w:type="character" w:customStyle="1" w:styleId="CommentTextChar">
    <w:name w:val="Comment Text Char"/>
    <w:basedOn w:val="DefaultParagraphFont"/>
    <w:link w:val="CommentText"/>
    <w:semiHidden/>
    <w:rsid w:val="006B3AC1"/>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information_documents/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explanatory_not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fr/publications/conventions/1991/act1991.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upov.int/fr/publications/conventions/1991/act1991.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C0762-CA11-4664-8145-A20F1530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Pages>
  <Words>1421</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9769</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keywords>ST/mhf</cp:keywords>
  <cp:lastModifiedBy>BESSE Ariane</cp:lastModifiedBy>
  <cp:revision>20</cp:revision>
  <cp:lastPrinted>2015-03-02T17:03:00Z</cp:lastPrinted>
  <dcterms:created xsi:type="dcterms:W3CDTF">2014-11-18T16:48:00Z</dcterms:created>
  <dcterms:modified xsi:type="dcterms:W3CDTF">2015-03-02T17:03:00Z</dcterms:modified>
</cp:coreProperties>
</file>