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EA7691" w:rsidRPr="007C274E" w:rsidTr="004175C4">
        <w:trPr>
          <w:trHeight w:val="1760"/>
        </w:trPr>
        <w:tc>
          <w:tcPr>
            <w:tcW w:w="4243" w:type="dxa"/>
          </w:tcPr>
          <w:p w:rsidR="00EA7691" w:rsidRPr="007C274E" w:rsidRDefault="00EA7691" w:rsidP="004175C4">
            <w:bookmarkStart w:id="0" w:name="_Toc374716168"/>
          </w:p>
        </w:tc>
        <w:tc>
          <w:tcPr>
            <w:tcW w:w="1646" w:type="dxa"/>
            <w:vAlign w:val="center"/>
          </w:tcPr>
          <w:p w:rsidR="00EA7691" w:rsidRPr="007C274E" w:rsidRDefault="00EA7691" w:rsidP="004175C4">
            <w:pPr>
              <w:pStyle w:val="LogoUPOV"/>
            </w:pPr>
            <w:r w:rsidRPr="007C274E">
              <w:rPr>
                <w:noProof/>
              </w:rPr>
              <w:drawing>
                <wp:inline distT="0" distB="0" distL="0" distR="0" wp14:anchorId="737076A8" wp14:editId="3C850D08">
                  <wp:extent cx="981710" cy="481330"/>
                  <wp:effectExtent l="0" t="0" r="889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A7691" w:rsidRPr="007C274E" w:rsidRDefault="00EA7691" w:rsidP="004175C4">
            <w:pPr>
              <w:pStyle w:val="Lettrine"/>
            </w:pPr>
            <w:r w:rsidRPr="007C274E">
              <w:t>F</w:t>
            </w:r>
          </w:p>
          <w:p w:rsidR="00EA7691" w:rsidRPr="007C274E" w:rsidRDefault="00EA7691" w:rsidP="004175C4">
            <w:pPr>
              <w:pStyle w:val="Docoriginal"/>
              <w:jc w:val="left"/>
            </w:pPr>
            <w:r w:rsidRPr="007C274E">
              <w:t>CAJ/</w:t>
            </w:r>
            <w:r>
              <w:t>71</w:t>
            </w:r>
            <w:r w:rsidRPr="007C274E">
              <w:t>/</w:t>
            </w:r>
            <w:r>
              <w:t>8</w:t>
            </w:r>
          </w:p>
          <w:p w:rsidR="00EA7691" w:rsidRPr="007C274E" w:rsidRDefault="00EA7691" w:rsidP="004175C4">
            <w:pPr>
              <w:pStyle w:val="Docoriginal"/>
              <w:jc w:val="left"/>
            </w:pPr>
            <w:r w:rsidRPr="007C274E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7C274E">
              <w:rPr>
                <w:rStyle w:val="StyleDocoriginalNotBold1"/>
                <w:spacing w:val="0"/>
                <w:lang w:val="fr-FR"/>
              </w:rPr>
              <w:t xml:space="preserve"> </w:t>
            </w:r>
            <w:r w:rsidRPr="007C274E">
              <w:rPr>
                <w:b w:val="0"/>
                <w:spacing w:val="0"/>
              </w:rPr>
              <w:t>anglais</w:t>
            </w:r>
          </w:p>
          <w:p w:rsidR="00EA7691" w:rsidRPr="007C274E" w:rsidRDefault="00EA7691" w:rsidP="004175C4">
            <w:pPr>
              <w:pStyle w:val="Docoriginal"/>
              <w:jc w:val="left"/>
            </w:pPr>
            <w:r w:rsidRPr="007C274E">
              <w:rPr>
                <w:spacing w:val="0"/>
              </w:rPr>
              <w:t>DATE :</w:t>
            </w:r>
            <w:r w:rsidRPr="00F72E16">
              <w:rPr>
                <w:b w:val="0"/>
                <w:spacing w:val="0"/>
                <w:lang w:val="fr-FR"/>
              </w:rPr>
              <w:t xml:space="preserve"> </w:t>
            </w:r>
            <w:r w:rsidRPr="00F72E16">
              <w:rPr>
                <w:b w:val="0"/>
                <w:spacing w:val="0"/>
                <w:lang w:val="fr-FR"/>
              </w:rPr>
              <w:t>2</w:t>
            </w:r>
            <w:r>
              <w:rPr>
                <w:b w:val="0"/>
                <w:spacing w:val="0"/>
                <w:lang w:val="fr-FR"/>
              </w:rPr>
              <w:t>6</w:t>
            </w:r>
            <w:r w:rsidRPr="00F72E16">
              <w:rPr>
                <w:b w:val="0"/>
                <w:spacing w:val="0"/>
                <w:lang w:val="fr-FR"/>
              </w:rPr>
              <w:t> février 2015</w:t>
            </w:r>
          </w:p>
        </w:tc>
      </w:tr>
      <w:tr w:rsidR="008651D1" w:rsidRPr="00390477" w:rsidTr="000600DA">
        <w:tc>
          <w:tcPr>
            <w:tcW w:w="10131" w:type="dxa"/>
            <w:gridSpan w:val="3"/>
          </w:tcPr>
          <w:p w:rsidR="00B33D4E" w:rsidRPr="00F72E16" w:rsidRDefault="00B33D4E" w:rsidP="008651D1">
            <w:pPr>
              <w:pStyle w:val="upove"/>
              <w:rPr>
                <w:sz w:val="28"/>
                <w:lang w:val="fr-FR"/>
              </w:rPr>
            </w:pPr>
            <w:r w:rsidRPr="00F72E1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8651D1" w:rsidRPr="00F72E16" w:rsidTr="000600DA">
        <w:tc>
          <w:tcPr>
            <w:tcW w:w="10131" w:type="dxa"/>
            <w:gridSpan w:val="3"/>
          </w:tcPr>
          <w:p w:rsidR="00B33D4E" w:rsidRPr="00F72E16" w:rsidRDefault="00B33D4E" w:rsidP="008651D1">
            <w:pPr>
              <w:pStyle w:val="Country"/>
              <w:rPr>
                <w:lang w:val="fr-FR"/>
              </w:rPr>
            </w:pPr>
            <w:r w:rsidRPr="00F72E16">
              <w:rPr>
                <w:lang w:val="fr-FR"/>
              </w:rPr>
              <w:t>Genève</w:t>
            </w:r>
          </w:p>
        </w:tc>
      </w:tr>
    </w:tbl>
    <w:p w:rsidR="00DF61EE" w:rsidRPr="00F72E16" w:rsidRDefault="00B33D4E" w:rsidP="008651D1">
      <w:pPr>
        <w:pStyle w:val="Sessiontc"/>
        <w:rPr>
          <w:lang w:val="fr-FR"/>
        </w:rPr>
      </w:pPr>
      <w:r w:rsidRPr="00F72E16">
        <w:rPr>
          <w:lang w:val="fr-FR"/>
        </w:rPr>
        <w:t xml:space="preserve">Comité </w:t>
      </w:r>
      <w:r w:rsidR="002D66E7" w:rsidRPr="00F72E16">
        <w:rPr>
          <w:lang w:val="fr-FR"/>
        </w:rPr>
        <w:t>ADMINISTRATIF ET JURIDIQUE</w:t>
      </w:r>
    </w:p>
    <w:p w:rsidR="00DF61EE" w:rsidRPr="00F72E16" w:rsidRDefault="002D66E7" w:rsidP="008651D1">
      <w:pPr>
        <w:pStyle w:val="Sessiontcplacedate"/>
        <w:rPr>
          <w:lang w:val="fr-FR"/>
        </w:rPr>
      </w:pPr>
      <w:r w:rsidRPr="00F72E16">
        <w:rPr>
          <w:lang w:val="fr-FR"/>
        </w:rPr>
        <w:t>Soixante</w:t>
      </w:r>
      <w:r w:rsidR="0076129B" w:rsidRPr="00F72E16">
        <w:rPr>
          <w:lang w:val="fr-FR"/>
        </w:rPr>
        <w:t> et </w:t>
      </w:r>
      <w:r w:rsidRPr="00F72E16">
        <w:rPr>
          <w:lang w:val="fr-FR"/>
        </w:rPr>
        <w:t>onzième</w:t>
      </w:r>
      <w:r w:rsidR="00DE6D2B" w:rsidRPr="00F72E16">
        <w:rPr>
          <w:lang w:val="fr-FR"/>
        </w:rPr>
        <w:t> </w:t>
      </w:r>
      <w:r w:rsidR="00B33D4E" w:rsidRPr="00F72E16">
        <w:rPr>
          <w:lang w:val="fr-FR"/>
        </w:rPr>
        <w:t xml:space="preserve">session </w:t>
      </w:r>
      <w:r w:rsidR="00B33D4E" w:rsidRPr="00F72E16">
        <w:rPr>
          <w:lang w:val="fr-FR"/>
        </w:rPr>
        <w:br/>
        <w:t>Genève, 2</w:t>
      </w:r>
      <w:r w:rsidRPr="00F72E16">
        <w:rPr>
          <w:lang w:val="fr-FR"/>
        </w:rPr>
        <w:t>6</w:t>
      </w:r>
      <w:r w:rsidR="00C72A57" w:rsidRPr="00F72E16">
        <w:rPr>
          <w:lang w:val="fr-FR"/>
        </w:rPr>
        <w:t> mars 20</w:t>
      </w:r>
      <w:r w:rsidR="00B33D4E" w:rsidRPr="00F72E16">
        <w:rPr>
          <w:lang w:val="fr-FR"/>
        </w:rPr>
        <w:t>15</w:t>
      </w:r>
    </w:p>
    <w:p w:rsidR="00DF61EE" w:rsidRPr="00F72E16" w:rsidRDefault="00B33D4E" w:rsidP="008651D1">
      <w:pPr>
        <w:pStyle w:val="Titleofdoc0"/>
        <w:rPr>
          <w:lang w:val="fr-FR"/>
        </w:rPr>
      </w:pPr>
      <w:bookmarkStart w:id="1" w:name="TitleOfDoc"/>
      <w:bookmarkEnd w:id="1"/>
      <w:r w:rsidRPr="00F72E16">
        <w:rPr>
          <w:lang w:val="fr-FR"/>
        </w:rPr>
        <w:t>TECHNIQUES MOLéCULAIRES</w:t>
      </w:r>
    </w:p>
    <w:p w:rsidR="002D66E7" w:rsidRPr="00F72E16" w:rsidRDefault="00B33D4E" w:rsidP="002D66E7">
      <w:pPr>
        <w:pStyle w:val="preparedby1"/>
        <w:rPr>
          <w:lang w:val="fr-FR"/>
        </w:rPr>
      </w:pPr>
      <w:bookmarkStart w:id="2" w:name="Prepared"/>
      <w:bookmarkEnd w:id="2"/>
      <w:r w:rsidRPr="00F72E16">
        <w:rPr>
          <w:lang w:val="fr-FR"/>
        </w:rPr>
        <w:t>Document établi par le Bureau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Union</w:t>
      </w:r>
      <w:r w:rsidRPr="00F72E16">
        <w:rPr>
          <w:lang w:val="fr-FR"/>
        </w:rPr>
        <w:br/>
      </w:r>
      <w:r w:rsidRPr="00F72E16">
        <w:rPr>
          <w:lang w:val="fr-FR"/>
        </w:rPr>
        <w:br/>
      </w:r>
      <w:r w:rsidR="002D66E7" w:rsidRPr="00F72E16">
        <w:rPr>
          <w:color w:val="A6A6A6" w:themeColor="background1" w:themeShade="A6"/>
          <w:lang w:val="fr-FR"/>
        </w:rPr>
        <w:t>Avertissement : le présent document ne représente pas les principes ou les orientations de l</w:t>
      </w:r>
      <w:r w:rsidR="00DE0253" w:rsidRPr="00F72E16">
        <w:rPr>
          <w:color w:val="A6A6A6" w:themeColor="background1" w:themeShade="A6"/>
          <w:lang w:val="fr-FR"/>
        </w:rPr>
        <w:t>’</w:t>
      </w:r>
      <w:r w:rsidR="002D66E7" w:rsidRPr="00F72E16">
        <w:rPr>
          <w:color w:val="A6A6A6" w:themeColor="background1" w:themeShade="A6"/>
          <w:lang w:val="fr-FR"/>
        </w:rPr>
        <w:t>UPOV</w:t>
      </w:r>
    </w:p>
    <w:p w:rsidR="002D66E7" w:rsidRPr="00F72E16" w:rsidRDefault="002D66E7" w:rsidP="002D66E7">
      <w:pPr>
        <w:pStyle w:val="Heading1"/>
        <w:rPr>
          <w:lang w:val="fr-FR"/>
        </w:rPr>
      </w:pPr>
      <w:bookmarkStart w:id="3" w:name="_Toc412714220"/>
      <w:r w:rsidRPr="00F72E16">
        <w:rPr>
          <w:lang w:val="fr-FR"/>
        </w:rPr>
        <w:t>Résumé</w:t>
      </w:r>
      <w:bookmarkEnd w:id="3"/>
    </w:p>
    <w:p w:rsidR="002D66E7" w:rsidRPr="00F72E16" w:rsidRDefault="002D66E7" w:rsidP="002D66E7">
      <w:pPr>
        <w:rPr>
          <w:lang w:val="fr-FR" w:eastAsia="ja-JP"/>
        </w:rPr>
      </w:pPr>
    </w:p>
    <w:p w:rsidR="00C72A57" w:rsidRPr="00F72E16" w:rsidRDefault="000F7E6A" w:rsidP="008651D1">
      <w:pPr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BF5F4E" w:rsidRPr="00F72E16">
        <w:rPr>
          <w:lang w:val="fr-FR"/>
        </w:rPr>
        <w:t>L</w:t>
      </w:r>
      <w:r w:rsidR="00DE0253" w:rsidRPr="00F72E16">
        <w:rPr>
          <w:lang w:val="fr-FR"/>
        </w:rPr>
        <w:t>’</w:t>
      </w:r>
      <w:r w:rsidR="00BF5F4E" w:rsidRPr="00F72E16">
        <w:rPr>
          <w:lang w:val="fr-FR"/>
        </w:rPr>
        <w:t xml:space="preserve">objet du présent document est de </w:t>
      </w:r>
      <w:r w:rsidR="00064B87" w:rsidRPr="00F72E16">
        <w:rPr>
          <w:lang w:val="fr-FR"/>
        </w:rPr>
        <w:t xml:space="preserve">rendre compte des faits nouveaux survenus </w:t>
      </w:r>
      <w:r w:rsidR="002D66E7" w:rsidRPr="00F72E16">
        <w:rPr>
          <w:lang w:val="fr-FR"/>
        </w:rPr>
        <w:t>depuis la soixante</w:t>
      </w:r>
      <w:r w:rsidR="003F4060">
        <w:rPr>
          <w:lang w:val="fr-FR"/>
        </w:rPr>
        <w:noBreakHyphen/>
      </w:r>
      <w:r w:rsidR="002D66E7" w:rsidRPr="00F72E16">
        <w:rPr>
          <w:lang w:val="fr-FR"/>
        </w:rPr>
        <w:t>dixième</w:t>
      </w:r>
      <w:r w:rsidR="00360C4D" w:rsidRPr="00F72E16">
        <w:rPr>
          <w:lang w:val="fr-FR"/>
        </w:rPr>
        <w:t> </w:t>
      </w:r>
      <w:r w:rsidR="002D66E7" w:rsidRPr="00F72E16">
        <w:rPr>
          <w:lang w:val="fr-FR"/>
        </w:rPr>
        <w:t xml:space="preserve">session du Comité administratif et juridique (CAJ) </w:t>
      </w:r>
      <w:r w:rsidR="00064B87" w:rsidRPr="00F72E16">
        <w:rPr>
          <w:lang w:val="fr-FR"/>
        </w:rPr>
        <w:t>dans le domaine des</w:t>
      </w:r>
      <w:r w:rsidR="00BF5F4E" w:rsidRPr="00F72E16">
        <w:rPr>
          <w:lang w:val="fr-FR"/>
        </w:rPr>
        <w:t xml:space="preserve"> techniques moléculaires </w:t>
      </w:r>
      <w:r w:rsidR="00064B87" w:rsidRPr="00F72E16">
        <w:rPr>
          <w:lang w:val="fr-FR"/>
        </w:rPr>
        <w:t>en rapport avec</w:t>
      </w:r>
      <w:r w:rsidR="00BF5F4E" w:rsidRPr="00F72E16">
        <w:rPr>
          <w:lang w:val="fr-FR"/>
        </w:rPr>
        <w:t> :</w:t>
      </w:r>
    </w:p>
    <w:p w:rsidR="00DF61EE" w:rsidRPr="00F72E16" w:rsidRDefault="00DF61EE" w:rsidP="008651D1">
      <w:pPr>
        <w:rPr>
          <w:lang w:val="fr-FR" w:eastAsia="ja-JP"/>
        </w:rPr>
      </w:pPr>
    </w:p>
    <w:p w:rsidR="00DF61EE" w:rsidRPr="00F72E16" w:rsidRDefault="002D66E7" w:rsidP="008651D1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a</w:t>
      </w:r>
      <w:r w:rsidR="0033342F" w:rsidRPr="00F72E16">
        <w:rPr>
          <w:lang w:val="fr-FR" w:eastAsia="ja-JP"/>
        </w:rPr>
        <w:t>)</w:t>
      </w:r>
      <w:r w:rsidR="0033342F" w:rsidRPr="00F72E16">
        <w:rPr>
          <w:lang w:val="fr-FR" w:eastAsia="ja-JP"/>
        </w:rPr>
        <w:tab/>
      </w:r>
      <w:r w:rsidR="00064B87" w:rsidRPr="00F72E16">
        <w:rPr>
          <w:lang w:val="fr-FR" w:eastAsia="ja-JP"/>
        </w:rPr>
        <w:t>le</w:t>
      </w:r>
      <w:r w:rsidR="00BF5F4E" w:rsidRPr="00F72E16">
        <w:rPr>
          <w:lang w:val="fr-FR" w:eastAsia="ja-JP"/>
        </w:rPr>
        <w:t xml:space="preserve"> </w:t>
      </w:r>
      <w:r w:rsidR="0033342F" w:rsidRPr="00F72E16">
        <w:rPr>
          <w:lang w:val="fr-FR" w:eastAsia="ja-JP"/>
        </w:rPr>
        <w:t>Groupe de travail sur les techniques biochimiques et moléculaires, notamment les profils d</w:t>
      </w:r>
      <w:r w:rsidR="00DE0253" w:rsidRPr="00F72E16">
        <w:rPr>
          <w:lang w:val="fr-FR" w:eastAsia="ja-JP"/>
        </w:rPr>
        <w:t>’</w:t>
      </w:r>
      <w:r w:rsidR="0033342F" w:rsidRPr="00F72E16">
        <w:rPr>
          <w:lang w:val="fr-FR" w:eastAsia="ja-JP"/>
        </w:rPr>
        <w:t>ADN</w:t>
      </w:r>
      <w:r w:rsidRPr="00F72E16">
        <w:rPr>
          <w:lang w:val="fr-FR" w:eastAsia="ja-JP"/>
        </w:rPr>
        <w:t xml:space="preserve"> (BMT)</w:t>
      </w:r>
    </w:p>
    <w:p w:rsidR="00DF61EE" w:rsidRPr="00F72E16" w:rsidRDefault="002D66E7" w:rsidP="008651D1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b</w:t>
      </w:r>
      <w:r w:rsidR="008D6750" w:rsidRPr="00F72E16">
        <w:rPr>
          <w:lang w:val="fr-FR" w:eastAsia="ja-JP"/>
        </w:rPr>
        <w:t>)</w:t>
      </w:r>
      <w:r w:rsidR="008D6750" w:rsidRPr="00F72E16">
        <w:rPr>
          <w:lang w:val="fr-FR" w:eastAsia="ja-JP"/>
        </w:rPr>
        <w:tab/>
      </w:r>
      <w:r w:rsidR="00D05B03" w:rsidRPr="00F72E16">
        <w:rPr>
          <w:lang w:val="fr-FR" w:eastAsia="ja-JP"/>
        </w:rPr>
        <w:t>l</w:t>
      </w:r>
      <w:r w:rsidR="00DE0253" w:rsidRPr="00F72E16">
        <w:rPr>
          <w:lang w:val="fr-FR" w:eastAsia="ja-JP"/>
        </w:rPr>
        <w:t>’</w:t>
      </w:r>
      <w:r w:rsidR="00BF5F4E" w:rsidRPr="00F72E16">
        <w:rPr>
          <w:lang w:val="fr-FR" w:eastAsia="ja-JP"/>
        </w:rPr>
        <w:t>Atelier conjoint de l</w:t>
      </w:r>
      <w:r w:rsidR="00DE0253" w:rsidRPr="00F72E16">
        <w:rPr>
          <w:lang w:val="fr-FR" w:eastAsia="ja-JP"/>
        </w:rPr>
        <w:t>’</w:t>
      </w:r>
      <w:r w:rsidR="008D6750" w:rsidRPr="00F72E16">
        <w:rPr>
          <w:lang w:val="fr-FR" w:eastAsia="ja-JP"/>
        </w:rPr>
        <w:t>O</w:t>
      </w:r>
      <w:r w:rsidR="00BF5F4E" w:rsidRPr="00F72E16">
        <w:rPr>
          <w:lang w:val="fr-FR" w:eastAsia="ja-JP"/>
        </w:rPr>
        <w:t>CDE, de l</w:t>
      </w:r>
      <w:r w:rsidR="00DE0253" w:rsidRPr="00F72E16">
        <w:rPr>
          <w:lang w:val="fr-FR" w:eastAsia="ja-JP"/>
        </w:rPr>
        <w:t>’</w:t>
      </w:r>
      <w:r w:rsidR="008D6750" w:rsidRPr="00F72E16">
        <w:rPr>
          <w:lang w:val="fr-FR" w:eastAsia="ja-JP"/>
        </w:rPr>
        <w:t>UPOV</w:t>
      </w:r>
      <w:r w:rsidR="00BF5F4E" w:rsidRPr="00F72E16">
        <w:rPr>
          <w:lang w:val="fr-FR" w:eastAsia="ja-JP"/>
        </w:rPr>
        <w:t xml:space="preserve"> et de l</w:t>
      </w:r>
      <w:r w:rsidR="00DE0253" w:rsidRPr="00F72E16">
        <w:rPr>
          <w:lang w:val="fr-FR" w:eastAsia="ja-JP"/>
        </w:rPr>
        <w:t>’</w:t>
      </w:r>
      <w:r w:rsidR="008D6750" w:rsidRPr="00F72E16">
        <w:rPr>
          <w:lang w:val="fr-FR" w:eastAsia="ja-JP"/>
        </w:rPr>
        <w:t xml:space="preserve">ISTA </w:t>
      </w:r>
      <w:r w:rsidR="00BF5F4E" w:rsidRPr="00F72E16">
        <w:rPr>
          <w:lang w:val="fr-FR" w:eastAsia="ja-JP"/>
        </w:rPr>
        <w:t>sur les techniques moléculaires</w:t>
      </w:r>
    </w:p>
    <w:p w:rsidR="00DF61EE" w:rsidRPr="00F72E16" w:rsidRDefault="002D66E7" w:rsidP="008651D1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c</w:t>
      </w:r>
      <w:r w:rsidR="001873AF" w:rsidRPr="00F72E16">
        <w:rPr>
          <w:lang w:val="fr-FR" w:eastAsia="ja-JP"/>
        </w:rPr>
        <w:t>)</w:t>
      </w:r>
      <w:r w:rsidR="001873AF" w:rsidRPr="00F72E16">
        <w:rPr>
          <w:lang w:val="fr-FR" w:eastAsia="ja-JP"/>
        </w:rPr>
        <w:tab/>
      </w:r>
      <w:r w:rsidR="00064B87" w:rsidRPr="00F72E16">
        <w:rPr>
          <w:lang w:val="fr-FR" w:eastAsia="ja-JP"/>
        </w:rPr>
        <w:t>le</w:t>
      </w:r>
      <w:r w:rsidR="000472BF" w:rsidRPr="00F72E16">
        <w:rPr>
          <w:lang w:val="fr-FR" w:eastAsia="ja-JP"/>
        </w:rPr>
        <w:t xml:space="preserve"> débat sur les techniques moléculaires à la cinquantième</w:t>
      </w:r>
      <w:r w:rsidR="00DE6D2B" w:rsidRPr="00F72E16">
        <w:rPr>
          <w:lang w:val="fr-FR" w:eastAsia="ja-JP"/>
        </w:rPr>
        <w:t> </w:t>
      </w:r>
      <w:r w:rsidR="000472BF" w:rsidRPr="00F72E16">
        <w:rPr>
          <w:lang w:val="fr-FR" w:eastAsia="ja-JP"/>
        </w:rPr>
        <w:t>session du</w:t>
      </w:r>
      <w:r w:rsidRPr="00F72E16">
        <w:rPr>
          <w:lang w:val="fr-FR" w:eastAsia="ja-JP"/>
        </w:rPr>
        <w:t xml:space="preserve"> Comité technique (</w:t>
      </w:r>
      <w:r w:rsidR="00016C98" w:rsidRPr="00F72E16">
        <w:rPr>
          <w:lang w:val="fr-FR" w:eastAsia="ja-JP"/>
        </w:rPr>
        <w:t>TC</w:t>
      </w:r>
      <w:r w:rsidRPr="00F72E16">
        <w:rPr>
          <w:lang w:val="fr-FR" w:eastAsia="ja-JP"/>
        </w:rPr>
        <w:t>)</w:t>
      </w:r>
    </w:p>
    <w:p w:rsidR="0076129B" w:rsidRPr="00F72E16" w:rsidRDefault="002D66E7" w:rsidP="008651D1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d</w:t>
      </w:r>
      <w:r w:rsidR="008D6750" w:rsidRPr="00F72E16">
        <w:rPr>
          <w:lang w:val="fr-FR" w:eastAsia="ja-JP"/>
        </w:rPr>
        <w:t>)</w:t>
      </w:r>
      <w:r w:rsidR="008D6750" w:rsidRPr="00F72E16">
        <w:rPr>
          <w:lang w:val="fr-FR" w:eastAsia="ja-JP"/>
        </w:rPr>
        <w:tab/>
      </w:r>
      <w:r w:rsidR="000472BF" w:rsidRPr="00F72E16">
        <w:rPr>
          <w:lang w:val="fr-FR" w:eastAsia="ja-JP"/>
        </w:rPr>
        <w:t>la diffusion d</w:t>
      </w:r>
      <w:r w:rsidR="00DE0253" w:rsidRPr="00F72E16">
        <w:rPr>
          <w:lang w:val="fr-FR" w:eastAsia="ja-JP"/>
        </w:rPr>
        <w:t>’</w:t>
      </w:r>
      <w:r w:rsidR="000472BF" w:rsidRPr="00F72E16">
        <w:rPr>
          <w:lang w:val="fr-FR" w:eastAsia="ja-JP"/>
        </w:rPr>
        <w:t>informations sur la situation à l</w:t>
      </w:r>
      <w:r w:rsidR="00DE0253" w:rsidRPr="00F72E16">
        <w:rPr>
          <w:lang w:val="fr-FR" w:eastAsia="ja-JP"/>
        </w:rPr>
        <w:t>’</w:t>
      </w:r>
      <w:r w:rsidR="000472BF" w:rsidRPr="00F72E16">
        <w:rPr>
          <w:lang w:val="fr-FR" w:eastAsia="ja-JP"/>
        </w:rPr>
        <w:t>UPOV concernant l</w:t>
      </w:r>
      <w:r w:rsidR="00DE0253" w:rsidRPr="00F72E16">
        <w:rPr>
          <w:lang w:val="fr-FR" w:eastAsia="ja-JP"/>
        </w:rPr>
        <w:t>’</w:t>
      </w:r>
      <w:r w:rsidR="000472BF" w:rsidRPr="00F72E16">
        <w:rPr>
          <w:lang w:val="fr-FR" w:eastAsia="ja-JP"/>
        </w:rPr>
        <w:t>utilisation de techniques moléculaires</w:t>
      </w:r>
    </w:p>
    <w:p w:rsidR="0076129B" w:rsidRPr="00F72E16" w:rsidRDefault="0076129B" w:rsidP="0076129B">
      <w:pPr>
        <w:rPr>
          <w:lang w:val="fr-FR" w:eastAsia="ja-JP"/>
        </w:rPr>
      </w:pPr>
    </w:p>
    <w:p w:rsidR="00DE0253" w:rsidRPr="00F72E16" w:rsidRDefault="0076129B" w:rsidP="0076129B">
      <w:pPr>
        <w:pStyle w:val="DecisionParagraphs"/>
        <w:tabs>
          <w:tab w:val="clear" w:pos="5387"/>
          <w:tab w:val="left" w:pos="540"/>
        </w:tabs>
        <w:ind w:left="0"/>
        <w:rPr>
          <w:i w:val="0"/>
          <w:lang w:val="fr-FR"/>
        </w:rPr>
      </w:pPr>
      <w:r w:rsidRPr="00F72E16">
        <w:rPr>
          <w:i w:val="0"/>
          <w:lang w:val="fr-FR"/>
        </w:rPr>
        <w:fldChar w:fldCharType="begin"/>
      </w:r>
      <w:r w:rsidRPr="00F72E16">
        <w:rPr>
          <w:i w:val="0"/>
          <w:lang w:val="fr-FR"/>
        </w:rPr>
        <w:instrText xml:space="preserve"> AUTONUM  </w:instrText>
      </w:r>
      <w:r w:rsidRPr="00F72E16">
        <w:rPr>
          <w:i w:val="0"/>
          <w:lang w:val="fr-FR"/>
        </w:rPr>
        <w:fldChar w:fldCharType="end"/>
      </w:r>
      <w:r w:rsidRPr="00F72E16">
        <w:rPr>
          <w:i w:val="0"/>
          <w:lang w:val="fr-FR"/>
        </w:rPr>
        <w:tab/>
      </w:r>
      <w:r w:rsidR="005748F4" w:rsidRPr="00F72E16">
        <w:rPr>
          <w:i w:val="0"/>
          <w:lang w:val="fr-FR"/>
        </w:rPr>
        <w:t xml:space="preserve">Le CAJ </w:t>
      </w:r>
      <w:r w:rsidR="00B95958">
        <w:rPr>
          <w:i w:val="0"/>
          <w:lang w:val="fr-FR"/>
        </w:rPr>
        <w:t>sera</w:t>
      </w:r>
      <w:r w:rsidR="005748F4" w:rsidRPr="00F72E16">
        <w:rPr>
          <w:i w:val="0"/>
          <w:lang w:val="fr-FR"/>
        </w:rPr>
        <w:t xml:space="preserve"> invité</w:t>
      </w:r>
    </w:p>
    <w:p w:rsidR="0076129B" w:rsidRPr="00F72E16" w:rsidRDefault="0076129B" w:rsidP="0076129B">
      <w:pPr>
        <w:rPr>
          <w:lang w:val="fr-FR" w:eastAsia="ja-JP"/>
        </w:rPr>
      </w:pPr>
    </w:p>
    <w:p w:rsidR="0076129B" w:rsidRPr="00F72E16" w:rsidRDefault="0076129B" w:rsidP="0076129B">
      <w:pPr>
        <w:rPr>
          <w:lang w:val="fr-FR"/>
        </w:rPr>
      </w:pPr>
      <w:r w:rsidRPr="00F72E16">
        <w:rPr>
          <w:lang w:val="fr-FR"/>
        </w:rPr>
        <w:tab/>
        <w:t>a)</w:t>
      </w:r>
      <w:r w:rsidRPr="00F72E16">
        <w:rPr>
          <w:lang w:val="fr-FR"/>
        </w:rPr>
        <w:tab/>
      </w:r>
      <w:r w:rsidR="008A447B" w:rsidRPr="00F72E16">
        <w:rPr>
          <w:lang w:val="fr-FR"/>
        </w:rPr>
        <w:t>à prendre note des faits nouveaux survenus au sein du BMT</w:t>
      </w:r>
      <w:r w:rsidRPr="00F72E16">
        <w:rPr>
          <w:rStyle w:val="FootnoteReference"/>
          <w:lang w:val="fr-FR"/>
        </w:rPr>
        <w:footnoteReference w:id="2"/>
      </w:r>
      <w:r w:rsidRPr="00F72E16">
        <w:rPr>
          <w:lang w:val="fr-FR"/>
        </w:rPr>
        <w:t xml:space="preserve">, </w:t>
      </w:r>
      <w:r w:rsidR="008A447B" w:rsidRPr="00F72E16">
        <w:rPr>
          <w:lang w:val="fr-FR"/>
        </w:rPr>
        <w:t>comme indiqué aux paragraphes</w:t>
      </w:r>
      <w:r w:rsidR="00360C4D" w:rsidRPr="00F72E16">
        <w:rPr>
          <w:lang w:val="fr-FR"/>
        </w:rPr>
        <w:t> </w:t>
      </w:r>
      <w:r w:rsidR="00730C79">
        <w:rPr>
          <w:lang w:val="fr-FR"/>
        </w:rPr>
        <w:t>6 à </w:t>
      </w:r>
      <w:r w:rsidR="008A447B" w:rsidRPr="00F72E16">
        <w:rPr>
          <w:lang w:val="fr-FR"/>
        </w:rPr>
        <w:t>9 du présent document</w:t>
      </w:r>
      <w:r w:rsidRPr="00F72E16">
        <w:rPr>
          <w:lang w:val="fr-FR"/>
        </w:rPr>
        <w:t>;</w:t>
      </w:r>
    </w:p>
    <w:p w:rsidR="0076129B" w:rsidRPr="00F72E16" w:rsidRDefault="0076129B" w:rsidP="0076129B">
      <w:pPr>
        <w:rPr>
          <w:lang w:val="fr-FR"/>
        </w:rPr>
      </w:pPr>
    </w:p>
    <w:p w:rsidR="0076129B" w:rsidRPr="00F72E16" w:rsidRDefault="0076129B" w:rsidP="0076129B">
      <w:pPr>
        <w:rPr>
          <w:lang w:val="fr-FR"/>
        </w:rPr>
      </w:pPr>
      <w:r w:rsidRPr="00F72E16">
        <w:rPr>
          <w:lang w:val="fr-FR"/>
        </w:rPr>
        <w:tab/>
        <w:t>b)</w:t>
      </w:r>
      <w:r w:rsidRPr="00F72E16">
        <w:rPr>
          <w:lang w:val="fr-FR"/>
        </w:rPr>
        <w:tab/>
      </w:r>
      <w:r w:rsidR="008A447B" w:rsidRPr="00F72E16">
        <w:rPr>
          <w:lang w:val="fr-FR" w:eastAsia="ja-JP"/>
        </w:rPr>
        <w:t>à noter qu</w:t>
      </w:r>
      <w:r w:rsidR="00DE0253" w:rsidRPr="00F72E16">
        <w:rPr>
          <w:lang w:val="fr-FR" w:eastAsia="ja-JP"/>
        </w:rPr>
        <w:t>’</w:t>
      </w:r>
      <w:r w:rsidR="008A447B" w:rsidRPr="00F72E16">
        <w:rPr>
          <w:lang w:val="fr-FR" w:eastAsia="ja-JP"/>
        </w:rPr>
        <w:t>il a</w:t>
      </w:r>
      <w:r w:rsidR="008A447B" w:rsidRPr="00F72E16">
        <w:rPr>
          <w:rFonts w:cs="Arial"/>
          <w:lang w:val="fr-FR" w:eastAsia="ja-JP"/>
        </w:rPr>
        <w:t xml:space="preserve"> été convenu à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atelier conjoint de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OCDE, de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UPOV et de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ISTA sur les techniques moléculaires</w:t>
      </w:r>
      <w:r w:rsidR="008A447B" w:rsidRPr="00F72E16">
        <w:rPr>
          <w:rStyle w:val="FootnoteReference"/>
          <w:rFonts w:cs="Arial"/>
          <w:lang w:val="fr-FR" w:eastAsia="ja-JP"/>
        </w:rPr>
        <w:footnoteReference w:id="3"/>
      </w:r>
      <w:r w:rsidR="008A447B" w:rsidRPr="00F72E16">
        <w:rPr>
          <w:rFonts w:cs="Arial"/>
          <w:lang w:val="fr-FR" w:eastAsia="ja-JP"/>
        </w:rPr>
        <w:t xml:space="preserve"> qu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il serait utile d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organiser à nouveau cet atelier conjoint dans le cadre des réunions pertinentes de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OCDE et de l</w:t>
      </w:r>
      <w:r w:rsidR="00DE0253" w:rsidRPr="00F72E16">
        <w:rPr>
          <w:rFonts w:cs="Arial"/>
          <w:lang w:val="fr-FR" w:eastAsia="ja-JP"/>
        </w:rPr>
        <w:t>’</w:t>
      </w:r>
      <w:r w:rsidR="008A447B" w:rsidRPr="00F72E16">
        <w:rPr>
          <w:rFonts w:cs="Arial"/>
          <w:lang w:val="fr-FR" w:eastAsia="ja-JP"/>
        </w:rPr>
        <w:t>ISTA</w:t>
      </w:r>
      <w:r w:rsidR="008A447B" w:rsidRPr="00F72E16">
        <w:rPr>
          <w:lang w:val="fr-FR" w:eastAsia="ja-JP"/>
        </w:rPr>
        <w:t xml:space="preserve"> et que, à cet égard, le</w:t>
      </w:r>
      <w:r w:rsidR="008A447B" w:rsidRPr="00F72E16">
        <w:rPr>
          <w:snapToGrid w:val="0"/>
          <w:lang w:val="fr-FR"/>
        </w:rPr>
        <w:t xml:space="preserve"> Groupe de travail technique est convenu qu</w:t>
      </w:r>
      <w:r w:rsidR="00DE0253" w:rsidRPr="00F72E16">
        <w:rPr>
          <w:snapToGrid w:val="0"/>
          <w:lang w:val="fr-FR"/>
        </w:rPr>
        <w:t>’</w:t>
      </w:r>
      <w:r w:rsidR="008A447B" w:rsidRPr="00F72E16">
        <w:rPr>
          <w:snapToGrid w:val="0"/>
          <w:lang w:val="fr-FR"/>
        </w:rPr>
        <w:t>un autre Atelier conjoint de l</w:t>
      </w:r>
      <w:r w:rsidR="00DE0253" w:rsidRPr="00F72E16">
        <w:rPr>
          <w:snapToGrid w:val="0"/>
          <w:lang w:val="fr-FR"/>
        </w:rPr>
        <w:t>’</w:t>
      </w:r>
      <w:r w:rsidR="008A447B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8A447B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8A447B" w:rsidRPr="00F72E16">
        <w:rPr>
          <w:snapToGrid w:val="0"/>
          <w:lang w:val="fr-FR"/>
        </w:rPr>
        <w:t>ISTA sur les techniques moléculaires devrait être organisé soit immédiatement avant ou après la Réunion annuelle des Systèmes de semences de l</w:t>
      </w:r>
      <w:r w:rsidR="00DE0253" w:rsidRPr="00F72E16">
        <w:rPr>
          <w:snapToGrid w:val="0"/>
          <w:lang w:val="fr-FR"/>
        </w:rPr>
        <w:t>’</w:t>
      </w:r>
      <w:r w:rsidR="008A447B" w:rsidRPr="00F72E16">
        <w:rPr>
          <w:snapToGrid w:val="0"/>
          <w:lang w:val="fr-FR"/>
        </w:rPr>
        <w:t>OCDE qui se tiendra à Paris en juin 2015, soit en même temps que la Réunion du Groupe de travail technique qui se tiendra en janvier 2016</w:t>
      </w:r>
      <w:r w:rsidRPr="00F72E16">
        <w:rPr>
          <w:lang w:val="fr-FR"/>
        </w:rPr>
        <w:t>;</w:t>
      </w:r>
    </w:p>
    <w:p w:rsidR="0076129B" w:rsidRPr="00F72E16" w:rsidRDefault="0076129B" w:rsidP="0076129B">
      <w:pPr>
        <w:rPr>
          <w:lang w:val="fr-FR"/>
        </w:rPr>
      </w:pPr>
    </w:p>
    <w:p w:rsidR="007F6108" w:rsidRPr="00F72E16" w:rsidRDefault="0076129B" w:rsidP="007F6108">
      <w:pPr>
        <w:rPr>
          <w:lang w:val="fr-FR"/>
        </w:rPr>
      </w:pPr>
      <w:r w:rsidRPr="00F72E16">
        <w:rPr>
          <w:lang w:val="fr-FR"/>
        </w:rPr>
        <w:tab/>
        <w:t>c)</w:t>
      </w:r>
      <w:r w:rsidRPr="00F72E16">
        <w:rPr>
          <w:lang w:val="fr-FR"/>
        </w:rPr>
        <w:tab/>
      </w:r>
      <w:r w:rsidR="007F6108" w:rsidRPr="00F72E16">
        <w:rPr>
          <w:lang w:val="fr-FR"/>
        </w:rPr>
        <w:t>à noter que le</w:t>
      </w:r>
      <w:r w:rsidR="00DE0253" w:rsidRPr="00F72E16">
        <w:rPr>
          <w:lang w:val="fr-FR"/>
        </w:rPr>
        <w:t> TC</w:t>
      </w:r>
      <w:r w:rsidR="007F6108" w:rsidRPr="00F72E16">
        <w:rPr>
          <w:lang w:val="fr-FR"/>
        </w:rPr>
        <w:t>, à sa cinquante</w:t>
      </w:r>
      <w:r w:rsidR="003F4060">
        <w:rPr>
          <w:lang w:val="fr-FR"/>
        </w:rPr>
        <w:noBreakHyphen/>
      </w:r>
      <w:r w:rsidR="007F6108" w:rsidRPr="00F72E16">
        <w:rPr>
          <w:lang w:val="fr-FR"/>
        </w:rPr>
        <w:t>troisième</w:t>
      </w:r>
      <w:r w:rsidR="00360C4D" w:rsidRPr="00F72E16">
        <w:rPr>
          <w:lang w:val="fr-FR"/>
        </w:rPr>
        <w:t> </w:t>
      </w:r>
      <w:r w:rsidR="007F6108" w:rsidRPr="00F72E16">
        <w:rPr>
          <w:lang w:val="fr-FR"/>
        </w:rPr>
        <w:t>session prévue en</w:t>
      </w:r>
      <w:r w:rsidR="00360C4D" w:rsidRPr="00F72E16">
        <w:rPr>
          <w:lang w:val="fr-FR"/>
        </w:rPr>
        <w:t> </w:t>
      </w:r>
      <w:r w:rsidR="007F6108" w:rsidRPr="00F72E16">
        <w:rPr>
          <w:lang w:val="fr-FR"/>
        </w:rPr>
        <w:t>2017, sera invité</w:t>
      </w:r>
    </w:p>
    <w:p w:rsidR="007F6108" w:rsidRPr="00F72E16" w:rsidRDefault="007F6108" w:rsidP="007F6108">
      <w:pPr>
        <w:rPr>
          <w:lang w:val="fr-FR"/>
        </w:rPr>
      </w:pPr>
    </w:p>
    <w:p w:rsidR="007F6108" w:rsidRPr="00F72E16" w:rsidRDefault="007F6108" w:rsidP="007F6108">
      <w:pPr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i)</w:t>
      </w:r>
      <w:r w:rsidRPr="00F72E16">
        <w:rPr>
          <w:lang w:val="fr-FR"/>
        </w:rPr>
        <w:tab/>
        <w:t>à approuver le programme de la quinzième</w:t>
      </w:r>
      <w:r w:rsidR="00360C4D" w:rsidRPr="00F72E16">
        <w:rPr>
          <w:lang w:val="fr-FR"/>
        </w:rPr>
        <w:t> </w:t>
      </w:r>
      <w:r w:rsidRPr="00F72E16">
        <w:rPr>
          <w:lang w:val="fr-FR"/>
        </w:rPr>
        <w:t>session</w:t>
      </w:r>
      <w:r w:rsidR="00DE0253" w:rsidRPr="00F72E16">
        <w:rPr>
          <w:lang w:val="fr-FR"/>
        </w:rPr>
        <w:t xml:space="preserve"> du BMT</w:t>
      </w:r>
      <w:r w:rsidRPr="00F72E16">
        <w:rPr>
          <w:lang w:val="fr-FR"/>
        </w:rPr>
        <w:t xml:space="preserve"> prévue en</w:t>
      </w:r>
      <w:r w:rsidR="00360C4D" w:rsidRPr="00F72E16">
        <w:rPr>
          <w:lang w:val="fr-FR"/>
        </w:rPr>
        <w:t> </w:t>
      </w:r>
      <w:r w:rsidRPr="00F72E16">
        <w:rPr>
          <w:lang w:val="fr-FR"/>
        </w:rPr>
        <w:t xml:space="preserve">2016, </w:t>
      </w:r>
      <w:r w:rsidR="00DE0253" w:rsidRPr="00F72E16">
        <w:rPr>
          <w:lang w:val="fr-FR"/>
        </w:rPr>
        <w:t>y compris</w:t>
      </w:r>
      <w:r w:rsidRPr="00F72E16">
        <w:rPr>
          <w:lang w:val="fr-FR"/>
        </w:rPr>
        <w:t xml:space="preserve"> la tenue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une journée spéciale (“Journée des obtenteurs”), en ce qui concerne les points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ordre du jour relatifs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utilisation de techniques moléculaires pour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appréciation de la notion de variété essentiellement dérivée et pour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identification des variétés;</w:t>
      </w:r>
    </w:p>
    <w:p w:rsidR="007F6108" w:rsidRPr="00F72E16" w:rsidRDefault="007F6108" w:rsidP="007F6108">
      <w:pPr>
        <w:rPr>
          <w:lang w:val="fr-FR"/>
        </w:rPr>
      </w:pPr>
    </w:p>
    <w:p w:rsidR="008A447B" w:rsidRPr="00F72E16" w:rsidRDefault="007F6108" w:rsidP="007F6108">
      <w:pPr>
        <w:rPr>
          <w:lang w:val="fr-FR"/>
        </w:rPr>
      </w:pPr>
      <w:r w:rsidRPr="00F72E16">
        <w:rPr>
          <w:lang w:val="fr-FR"/>
        </w:rPr>
        <w:lastRenderedPageBreak/>
        <w:tab/>
      </w:r>
      <w:r w:rsidRPr="00F72E16">
        <w:rPr>
          <w:lang w:val="fr-FR"/>
        </w:rPr>
        <w:tab/>
        <w:t>ii)</w:t>
      </w:r>
      <w:r w:rsidRPr="00F72E16">
        <w:rPr>
          <w:lang w:val="fr-FR"/>
        </w:rPr>
        <w:tab/>
        <w:t>à étudier la possibilité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élaborer un document commun présentant les particularités des systèmes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OCDE,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 et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ISTA;</w:t>
      </w:r>
    </w:p>
    <w:p w:rsidR="007F6108" w:rsidRPr="00F72E16" w:rsidRDefault="007F6108" w:rsidP="007F6108">
      <w:pPr>
        <w:rPr>
          <w:lang w:val="fr-FR"/>
        </w:rPr>
      </w:pPr>
    </w:p>
    <w:p w:rsidR="008A447B" w:rsidRPr="00F72E16" w:rsidRDefault="008A447B" w:rsidP="008A447B">
      <w:pPr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iii)</w:t>
      </w:r>
      <w:r w:rsidRPr="00F72E16">
        <w:rPr>
          <w:lang w:val="fr-FR"/>
        </w:rPr>
        <w:tab/>
        <w:t>à étudier la possibilité de dresser un inventaire, par plante,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utilisation qui est faite par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 des techniques faisant intervenir des marqueurs moléculaires, en vue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élaboration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un document commun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OCDE,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 et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ISTA contenant ces informations, dans un format semblable à celui du document UPOV/INF/16 “Logiciels échangeables”;</w:t>
      </w:r>
    </w:p>
    <w:p w:rsidR="008A447B" w:rsidRPr="00F72E16" w:rsidRDefault="008A447B" w:rsidP="008A447B">
      <w:pPr>
        <w:rPr>
          <w:lang w:val="fr-FR"/>
        </w:rPr>
      </w:pPr>
    </w:p>
    <w:p w:rsidR="008A447B" w:rsidRPr="00F72E16" w:rsidRDefault="008A447B" w:rsidP="008A447B">
      <w:pPr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iv)</w:t>
      </w:r>
      <w:r w:rsidRPr="00F72E16">
        <w:rPr>
          <w:lang w:val="fr-FR"/>
        </w:rPr>
        <w:tab/>
        <w:t>à examiner la proposition tendant à ce que</w:t>
      </w:r>
      <w:r w:rsidR="00DE0253" w:rsidRPr="00F72E16">
        <w:rPr>
          <w:lang w:val="fr-FR"/>
        </w:rPr>
        <w:t xml:space="preserve"> le BMT</w:t>
      </w:r>
      <w:r w:rsidRPr="00F72E16">
        <w:rPr>
          <w:lang w:val="fr-FR"/>
        </w:rPr>
        <w:t>, à sa quinzième</w:t>
      </w:r>
      <w:r w:rsidR="00360C4D" w:rsidRPr="00F72E16">
        <w:rPr>
          <w:lang w:val="fr-FR"/>
        </w:rPr>
        <w:t> </w:t>
      </w:r>
      <w:r w:rsidRPr="00F72E16">
        <w:rPr>
          <w:lang w:val="fr-FR"/>
        </w:rPr>
        <w:t>session, dresse des listes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initiatives conjointes possibles avec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OCDE et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ISTA dans le domaine des techniques moléculaires;</w:t>
      </w:r>
    </w:p>
    <w:p w:rsidR="008A447B" w:rsidRPr="00F72E16" w:rsidRDefault="008A447B" w:rsidP="008A447B">
      <w:pPr>
        <w:rPr>
          <w:lang w:val="fr-FR"/>
        </w:rPr>
      </w:pPr>
    </w:p>
    <w:p w:rsidR="008A447B" w:rsidRPr="00F72E16" w:rsidRDefault="008A447B" w:rsidP="008A447B">
      <w:pPr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v)</w:t>
      </w:r>
      <w:r w:rsidRPr="00F72E16">
        <w:rPr>
          <w:lang w:val="fr-FR"/>
        </w:rPr>
        <w:tab/>
        <w:t>à étudier la possibilité de fonder le débat sur les techniques moléculaires sur un exposé des temps forts de la quatorzième</w:t>
      </w:r>
      <w:r w:rsidR="00360C4D" w:rsidRPr="00F72E16">
        <w:rPr>
          <w:lang w:val="fr-FR"/>
        </w:rPr>
        <w:t> </w:t>
      </w:r>
      <w:r w:rsidRPr="00F72E16">
        <w:rPr>
          <w:lang w:val="fr-FR"/>
        </w:rPr>
        <w:t>session</w:t>
      </w:r>
      <w:r w:rsidR="00DE0253" w:rsidRPr="00F72E16">
        <w:rPr>
          <w:lang w:val="fr-FR"/>
        </w:rPr>
        <w:t xml:space="preserve"> du BMT</w:t>
      </w:r>
      <w:r w:rsidRPr="00F72E16">
        <w:rPr>
          <w:lang w:val="fr-FR"/>
        </w:rPr>
        <w:t xml:space="preserve"> tenue à Séoul (République de Corée) du 10 au 1</w:t>
      </w:r>
      <w:r w:rsidR="00DE0253" w:rsidRPr="00F72E16">
        <w:rPr>
          <w:lang w:val="fr-FR"/>
        </w:rPr>
        <w:t>3 novembre 20</w:t>
      </w:r>
      <w:r w:rsidRPr="00F72E16">
        <w:rPr>
          <w:lang w:val="fr-FR"/>
        </w:rPr>
        <w:t>14, ainsi que sur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Atelier conjoint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OCDE,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 et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ISTA sur les techniques moléculaires tenu à Séoul (République de Corée) le 1</w:t>
      </w:r>
      <w:r w:rsidR="00DE0253" w:rsidRPr="00F72E16">
        <w:rPr>
          <w:lang w:val="fr-FR"/>
        </w:rPr>
        <w:t>2 novembre 20</w:t>
      </w:r>
      <w:r w:rsidRPr="00F72E16">
        <w:rPr>
          <w:lang w:val="fr-FR"/>
        </w:rPr>
        <w:t>14;  et</w:t>
      </w:r>
    </w:p>
    <w:p w:rsidR="008A447B" w:rsidRPr="00F72E16" w:rsidRDefault="008A447B" w:rsidP="008A447B">
      <w:pPr>
        <w:rPr>
          <w:lang w:val="fr-FR"/>
        </w:rPr>
      </w:pPr>
    </w:p>
    <w:p w:rsidR="0076129B" w:rsidRPr="00F72E16" w:rsidRDefault="008A447B" w:rsidP="008A447B">
      <w:pPr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vi)</w:t>
      </w:r>
      <w:r w:rsidRPr="00F72E16">
        <w:rPr>
          <w:lang w:val="fr-FR"/>
        </w:rPr>
        <w:tab/>
        <w:t>à élaborer un projet de questions et réponses concernant la diffusion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 xml:space="preserve">informations à un large public, </w:t>
      </w:r>
      <w:r w:rsidR="00DE0253" w:rsidRPr="00F72E16">
        <w:rPr>
          <w:lang w:val="fr-FR"/>
        </w:rPr>
        <w:t>y compris</w:t>
      </w:r>
      <w:r w:rsidRPr="00F72E16">
        <w:rPr>
          <w:lang w:val="fr-FR"/>
        </w:rPr>
        <w:t xml:space="preserve"> le public en général, sur la situation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 concernant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utilisation de techniques moléculaires.</w:t>
      </w:r>
    </w:p>
    <w:p w:rsidR="00DF61EE" w:rsidRPr="00F72E16" w:rsidRDefault="00DF61EE" w:rsidP="008651D1">
      <w:pPr>
        <w:jc w:val="left"/>
        <w:rPr>
          <w:lang w:val="fr-FR" w:eastAsia="ja-JP"/>
        </w:rPr>
      </w:pPr>
    </w:p>
    <w:bookmarkEnd w:id="0"/>
    <w:p w:rsidR="00DF61EE" w:rsidRPr="00F72E16" w:rsidRDefault="00C65728" w:rsidP="008651D1">
      <w:pPr>
        <w:keepNext/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="00195A44" w:rsidRPr="00F72E16">
        <w:rPr>
          <w:lang w:val="fr-FR"/>
        </w:rPr>
        <w:tab/>
      </w:r>
      <w:r w:rsidR="0033342F" w:rsidRPr="00F72E16">
        <w:rPr>
          <w:lang w:val="fr-FR"/>
        </w:rPr>
        <w:t>Les abréviations ci</w:t>
      </w:r>
      <w:r w:rsidR="003F4060">
        <w:rPr>
          <w:lang w:val="fr-FR"/>
        </w:rPr>
        <w:noBreakHyphen/>
      </w:r>
      <w:r w:rsidR="0033342F" w:rsidRPr="00F72E16">
        <w:rPr>
          <w:lang w:val="fr-FR"/>
        </w:rPr>
        <w:t>après sont utilisées dans le présent document :</w:t>
      </w:r>
    </w:p>
    <w:p w:rsidR="00DF61EE" w:rsidRPr="00F72E16" w:rsidRDefault="00DF61EE" w:rsidP="008651D1">
      <w:pPr>
        <w:keepNext/>
        <w:ind w:left="1692" w:hanging="1125"/>
        <w:jc w:val="left"/>
        <w:rPr>
          <w:lang w:val="fr-FR"/>
        </w:rPr>
      </w:pPr>
    </w:p>
    <w:p w:rsidR="00C72A57" w:rsidRPr="00F72E16" w:rsidRDefault="0033342F" w:rsidP="008651D1">
      <w:pPr>
        <w:keepNext/>
        <w:tabs>
          <w:tab w:val="left" w:pos="567"/>
          <w:tab w:val="left" w:pos="1701"/>
        </w:tabs>
        <w:ind w:left="1701" w:hanging="1134"/>
        <w:rPr>
          <w:lang w:val="fr-FR"/>
        </w:rPr>
      </w:pPr>
      <w:r w:rsidRPr="00F72E16">
        <w:rPr>
          <w:lang w:val="fr-FR"/>
        </w:rPr>
        <w:t>BMT</w:t>
      </w:r>
      <w:r w:rsidR="00DE6D2B" w:rsidRPr="00F72E16">
        <w:rPr>
          <w:lang w:val="fr-FR"/>
        </w:rPr>
        <w:t> </w:t>
      </w:r>
      <w:r w:rsidRPr="00F72E16">
        <w:rPr>
          <w:lang w:val="fr-FR"/>
        </w:rPr>
        <w:t xml:space="preserve">: </w:t>
      </w:r>
      <w:r w:rsidR="00B33D4E" w:rsidRPr="00F72E16">
        <w:rPr>
          <w:lang w:val="fr-FR"/>
        </w:rPr>
        <w:tab/>
      </w:r>
      <w:r w:rsidRPr="00F72E16">
        <w:rPr>
          <w:lang w:val="fr-FR"/>
        </w:rPr>
        <w:t>Groupe de travail sur les techniques biochimiques et moléculaires, notamment les profils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ADN</w:t>
      </w:r>
    </w:p>
    <w:p w:rsidR="00DF61EE" w:rsidRPr="00F72E16" w:rsidRDefault="0033342F" w:rsidP="008651D1">
      <w:pPr>
        <w:keepNext/>
        <w:tabs>
          <w:tab w:val="left" w:pos="567"/>
          <w:tab w:val="left" w:pos="1701"/>
        </w:tabs>
        <w:ind w:firstLine="567"/>
        <w:rPr>
          <w:lang w:val="fr-FR"/>
        </w:rPr>
      </w:pPr>
      <w:r w:rsidRPr="00F72E16">
        <w:rPr>
          <w:lang w:val="fr-FR"/>
        </w:rPr>
        <w:t>CAJ</w:t>
      </w:r>
      <w:r w:rsidR="00DE6D2B" w:rsidRPr="00F72E16">
        <w:rPr>
          <w:lang w:val="fr-FR"/>
        </w:rPr>
        <w:t> :</w:t>
      </w:r>
      <w:r w:rsidRPr="00F72E16">
        <w:rPr>
          <w:lang w:val="fr-FR"/>
        </w:rPr>
        <w:t xml:space="preserve"> </w:t>
      </w:r>
      <w:r w:rsidR="00B33D4E" w:rsidRPr="00F72E16">
        <w:rPr>
          <w:lang w:val="fr-FR"/>
        </w:rPr>
        <w:tab/>
      </w:r>
      <w:r w:rsidRPr="00F72E16">
        <w:rPr>
          <w:lang w:val="fr-FR"/>
        </w:rPr>
        <w:t>Comité administratif et juridique</w:t>
      </w:r>
    </w:p>
    <w:p w:rsidR="00DF61EE" w:rsidRPr="00F72E16" w:rsidRDefault="0033342F" w:rsidP="008651D1">
      <w:pPr>
        <w:keepNext/>
        <w:tabs>
          <w:tab w:val="left" w:pos="567"/>
          <w:tab w:val="left" w:pos="1701"/>
        </w:tabs>
        <w:ind w:firstLine="567"/>
        <w:rPr>
          <w:lang w:val="fr-FR"/>
        </w:rPr>
      </w:pPr>
      <w:r w:rsidRPr="00F72E16">
        <w:rPr>
          <w:lang w:val="fr-FR"/>
        </w:rPr>
        <w:t>TC</w:t>
      </w:r>
      <w:r w:rsidR="00DE6D2B" w:rsidRPr="00F72E16">
        <w:rPr>
          <w:lang w:val="fr-FR"/>
        </w:rPr>
        <w:t> :</w:t>
      </w:r>
      <w:r w:rsidRPr="00F72E16">
        <w:rPr>
          <w:lang w:val="fr-FR"/>
        </w:rPr>
        <w:t xml:space="preserve"> </w:t>
      </w:r>
      <w:r w:rsidR="00B33D4E" w:rsidRPr="00F72E16">
        <w:rPr>
          <w:lang w:val="fr-FR"/>
        </w:rPr>
        <w:tab/>
      </w:r>
      <w:r w:rsidRPr="00F72E16">
        <w:rPr>
          <w:lang w:val="fr-FR"/>
        </w:rPr>
        <w:t>Comité technique</w:t>
      </w:r>
    </w:p>
    <w:p w:rsidR="00DF61EE" w:rsidRPr="00F72E16" w:rsidRDefault="0033342F" w:rsidP="008651D1">
      <w:pPr>
        <w:keepNext/>
        <w:tabs>
          <w:tab w:val="left" w:pos="567"/>
          <w:tab w:val="left" w:pos="1701"/>
        </w:tabs>
        <w:ind w:firstLine="567"/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>TC</w:t>
      </w:r>
      <w:r w:rsidR="003F4060">
        <w:rPr>
          <w:rFonts w:eastAsia="PMingLiU" w:cs="Arial"/>
          <w:szCs w:val="24"/>
          <w:lang w:val="fr-FR"/>
        </w:rPr>
        <w:noBreakHyphen/>
      </w:r>
      <w:r w:rsidRPr="00F72E16">
        <w:rPr>
          <w:rFonts w:eastAsia="PMingLiU" w:cs="Arial"/>
          <w:szCs w:val="24"/>
          <w:lang w:val="fr-FR"/>
        </w:rPr>
        <w:t>EDC</w:t>
      </w:r>
      <w:r w:rsidR="00DE6D2B" w:rsidRPr="00F72E16">
        <w:rPr>
          <w:rFonts w:eastAsia="PMingLiU" w:cs="Arial"/>
          <w:szCs w:val="24"/>
          <w:lang w:val="fr-FR"/>
        </w:rPr>
        <w:t xml:space="preserve"> : </w:t>
      </w:r>
      <w:r w:rsidR="00B33D4E" w:rsidRPr="00F72E16">
        <w:rPr>
          <w:rFonts w:eastAsia="PMingLiU" w:cs="Arial"/>
          <w:szCs w:val="24"/>
          <w:lang w:val="fr-FR"/>
        </w:rPr>
        <w:tab/>
      </w:r>
      <w:r w:rsidRPr="00F72E16">
        <w:rPr>
          <w:rFonts w:eastAsia="PMingLiU" w:cs="Arial"/>
          <w:szCs w:val="24"/>
          <w:lang w:val="fr-FR"/>
        </w:rPr>
        <w:t>Comité de rédaction élargi</w:t>
      </w:r>
    </w:p>
    <w:p w:rsidR="00DF61EE" w:rsidRPr="00F72E16" w:rsidRDefault="00554D3E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TWA</w:t>
      </w:r>
      <w:r w:rsidR="00DE6D2B" w:rsidRPr="00F72E16">
        <w:rPr>
          <w:rFonts w:eastAsia="PMingLiU" w:cs="Arial"/>
          <w:szCs w:val="24"/>
          <w:lang w:val="fr-FR"/>
        </w:rPr>
        <w:t> :</w:t>
      </w:r>
      <w:r w:rsidR="0033342F" w:rsidRPr="00F72E16">
        <w:rPr>
          <w:rFonts w:eastAsia="PMingLiU" w:cs="Arial"/>
          <w:szCs w:val="24"/>
          <w:lang w:val="fr-FR"/>
        </w:rPr>
        <w:t xml:space="preserve"> </w:t>
      </w:r>
      <w:r w:rsidR="00B33D4E"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Groupe de travail technique sur les plantes agricoles</w:t>
      </w:r>
    </w:p>
    <w:p w:rsidR="00DF61EE" w:rsidRPr="00F72E16" w:rsidRDefault="0033342F" w:rsidP="008651D1">
      <w:pPr>
        <w:ind w:left="1695" w:hanging="1128"/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>TWC</w:t>
      </w:r>
      <w:r w:rsidR="00DE6D2B" w:rsidRPr="00F72E16">
        <w:rPr>
          <w:rFonts w:eastAsia="PMingLiU" w:cs="Arial"/>
          <w:szCs w:val="24"/>
          <w:lang w:val="fr-FR"/>
        </w:rPr>
        <w:t> :</w:t>
      </w:r>
      <w:r w:rsidRPr="00F72E16">
        <w:rPr>
          <w:rFonts w:eastAsia="PMingLiU" w:cs="Arial"/>
          <w:szCs w:val="24"/>
          <w:lang w:val="fr-FR"/>
        </w:rPr>
        <w:t xml:space="preserve"> </w:t>
      </w:r>
      <w:r w:rsidR="00B33D4E" w:rsidRPr="00F72E16">
        <w:rPr>
          <w:rFonts w:eastAsia="PMingLiU" w:cs="Arial"/>
          <w:szCs w:val="24"/>
          <w:lang w:val="fr-FR"/>
        </w:rPr>
        <w:tab/>
      </w:r>
      <w:r w:rsidRPr="00F72E16">
        <w:rPr>
          <w:rFonts w:eastAsia="PMingLiU" w:cs="Arial"/>
          <w:szCs w:val="24"/>
          <w:lang w:val="fr-FR"/>
        </w:rPr>
        <w:t>Groupe de travail technique sur les systèmes d</w:t>
      </w:r>
      <w:r w:rsidR="00DE0253" w:rsidRPr="00F72E16">
        <w:rPr>
          <w:rFonts w:eastAsia="PMingLiU" w:cs="Arial"/>
          <w:szCs w:val="24"/>
          <w:lang w:val="fr-FR"/>
        </w:rPr>
        <w:t>’</w:t>
      </w:r>
      <w:r w:rsidRPr="00F72E16">
        <w:rPr>
          <w:rFonts w:eastAsia="PMingLiU" w:cs="Arial"/>
          <w:szCs w:val="24"/>
          <w:lang w:val="fr-FR"/>
        </w:rPr>
        <w:t>automatisation et les programmes d</w:t>
      </w:r>
      <w:r w:rsidR="00DE0253" w:rsidRPr="00F72E16">
        <w:rPr>
          <w:rFonts w:eastAsia="PMingLiU" w:cs="Arial"/>
          <w:szCs w:val="24"/>
          <w:lang w:val="fr-FR"/>
        </w:rPr>
        <w:t>’</w:t>
      </w:r>
      <w:r w:rsidRPr="00F72E16">
        <w:rPr>
          <w:rFonts w:eastAsia="PMingLiU" w:cs="Arial"/>
          <w:szCs w:val="24"/>
          <w:lang w:val="fr-FR"/>
        </w:rPr>
        <w:t>ordinateur</w:t>
      </w:r>
    </w:p>
    <w:p w:rsidR="00DF61EE" w:rsidRPr="00F72E16" w:rsidRDefault="00554D3E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TWF</w:t>
      </w:r>
      <w:r w:rsidR="00DE6D2B" w:rsidRPr="00F72E16">
        <w:rPr>
          <w:rFonts w:eastAsia="PMingLiU" w:cs="Arial"/>
          <w:szCs w:val="24"/>
          <w:lang w:val="fr-FR"/>
        </w:rPr>
        <w:t> </w:t>
      </w:r>
      <w:r w:rsidR="0033342F" w:rsidRPr="00F72E16">
        <w:rPr>
          <w:rFonts w:eastAsia="PMingLiU" w:cs="Arial"/>
          <w:szCs w:val="24"/>
          <w:lang w:val="fr-FR"/>
        </w:rPr>
        <w:t xml:space="preserve">: </w:t>
      </w:r>
      <w:r w:rsidR="00B33D4E"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Groupe de travail technique sur les plantes fruitières</w:t>
      </w:r>
    </w:p>
    <w:p w:rsidR="00DF61EE" w:rsidRPr="00F72E16" w:rsidRDefault="00554D3E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TWO</w:t>
      </w:r>
      <w:r w:rsidR="00DE6D2B" w:rsidRPr="00F72E16">
        <w:rPr>
          <w:rFonts w:eastAsia="PMingLiU" w:cs="Arial"/>
          <w:szCs w:val="24"/>
          <w:lang w:val="fr-FR"/>
        </w:rPr>
        <w:t xml:space="preserve"> : </w:t>
      </w:r>
      <w:r w:rsidR="00B33D4E"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Groupe de travail technique sur les plantes ornementales et les arbres forestiers</w:t>
      </w:r>
    </w:p>
    <w:p w:rsidR="00DF61EE" w:rsidRPr="00F72E16" w:rsidRDefault="00554D3E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TWP</w:t>
      </w:r>
      <w:r w:rsidR="00DE6D2B" w:rsidRPr="00F72E16">
        <w:rPr>
          <w:rFonts w:eastAsia="PMingLiU" w:cs="Arial"/>
          <w:szCs w:val="24"/>
          <w:lang w:val="fr-FR"/>
        </w:rPr>
        <w:t> </w:t>
      </w:r>
      <w:r w:rsidR="0033342F" w:rsidRPr="00F72E16">
        <w:rPr>
          <w:rFonts w:eastAsia="PMingLiU" w:cs="Arial"/>
          <w:szCs w:val="24"/>
          <w:lang w:val="fr-FR"/>
        </w:rPr>
        <w:t xml:space="preserve">: </w:t>
      </w:r>
      <w:r w:rsidR="00B33D4E"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Groupes de travail techniques</w:t>
      </w:r>
    </w:p>
    <w:p w:rsidR="00DF61EE" w:rsidRPr="00F72E16" w:rsidRDefault="00554D3E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TWV</w:t>
      </w:r>
      <w:r w:rsidR="00DE6D2B" w:rsidRPr="00F72E16">
        <w:rPr>
          <w:rFonts w:eastAsia="PMingLiU" w:cs="Arial"/>
          <w:szCs w:val="24"/>
          <w:lang w:val="fr-FR"/>
        </w:rPr>
        <w:t> :</w:t>
      </w:r>
      <w:r w:rsidR="0033342F" w:rsidRPr="00F72E16">
        <w:rPr>
          <w:rFonts w:eastAsia="PMingLiU" w:cs="Arial"/>
          <w:szCs w:val="24"/>
          <w:lang w:val="fr-FR"/>
        </w:rPr>
        <w:t xml:space="preserve"> </w:t>
      </w:r>
      <w:r w:rsidR="00B33D4E" w:rsidRPr="00F72E16">
        <w:rPr>
          <w:rFonts w:eastAsia="PMingLiU" w:cs="Arial"/>
          <w:szCs w:val="24"/>
          <w:lang w:val="fr-FR"/>
        </w:rPr>
        <w:tab/>
      </w:r>
      <w:r w:rsidR="0033342F" w:rsidRPr="00F72E16">
        <w:rPr>
          <w:rFonts w:eastAsia="PMingLiU" w:cs="Arial"/>
          <w:szCs w:val="24"/>
          <w:lang w:val="fr-FR"/>
        </w:rPr>
        <w:t>Groupe de travail technique sur les plantes potagères</w:t>
      </w:r>
    </w:p>
    <w:p w:rsidR="0076129B" w:rsidRPr="00F72E16" w:rsidRDefault="0076129B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  <w:t>OCDE :</w:t>
      </w:r>
      <w:r w:rsidR="00360C4D" w:rsidRPr="00F72E16">
        <w:rPr>
          <w:rFonts w:eastAsia="PMingLiU" w:cs="Arial"/>
          <w:szCs w:val="24"/>
          <w:lang w:val="fr-FR"/>
        </w:rPr>
        <w:t xml:space="preserve"> </w:t>
      </w:r>
      <w:r w:rsidRPr="00F72E16">
        <w:rPr>
          <w:rFonts w:eastAsia="PMingLiU" w:cs="Arial"/>
          <w:szCs w:val="24"/>
          <w:lang w:val="fr-FR"/>
        </w:rPr>
        <w:tab/>
        <w:t>Organisation de coopération et de développement économiques</w:t>
      </w:r>
    </w:p>
    <w:p w:rsidR="0076129B" w:rsidRPr="00F72E16" w:rsidRDefault="0076129B" w:rsidP="008651D1">
      <w:pPr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tab/>
        <w:t>ISTA :</w:t>
      </w:r>
      <w:r w:rsidR="00360C4D" w:rsidRPr="00F72E16">
        <w:rPr>
          <w:rFonts w:eastAsia="PMingLiU" w:cs="Arial"/>
          <w:szCs w:val="24"/>
          <w:lang w:val="fr-FR"/>
        </w:rPr>
        <w:t xml:space="preserve"> </w:t>
      </w:r>
      <w:r w:rsidRPr="00F72E16">
        <w:rPr>
          <w:rFonts w:eastAsia="PMingLiU" w:cs="Arial"/>
          <w:szCs w:val="24"/>
          <w:lang w:val="fr-FR"/>
        </w:rPr>
        <w:tab/>
        <w:t>Association internationale d</w:t>
      </w:r>
      <w:r w:rsidR="00DE0253" w:rsidRPr="00F72E16">
        <w:rPr>
          <w:rFonts w:eastAsia="PMingLiU" w:cs="Arial"/>
          <w:szCs w:val="24"/>
          <w:lang w:val="fr-FR"/>
        </w:rPr>
        <w:t>’</w:t>
      </w:r>
      <w:r w:rsidRPr="00F72E16">
        <w:rPr>
          <w:rFonts w:eastAsia="PMingLiU" w:cs="Arial"/>
          <w:szCs w:val="24"/>
          <w:lang w:val="fr-FR"/>
        </w:rPr>
        <w:t>essais de semences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3D27DD" w:rsidP="008651D1">
      <w:pPr>
        <w:keepNext/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33342F" w:rsidRPr="00F72E16">
        <w:rPr>
          <w:lang w:val="fr-FR"/>
        </w:rPr>
        <w:t>Le présent document est structuré comme suit :</w:t>
      </w:r>
    </w:p>
    <w:sdt>
      <w:sdtPr>
        <w:rPr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F61EE" w:rsidRPr="00F72E16" w:rsidRDefault="00DF61EE" w:rsidP="008651D1">
          <w:pPr>
            <w:keepNext/>
            <w:rPr>
              <w:rFonts w:cs="Arial"/>
              <w:b/>
              <w:lang w:val="fr-FR"/>
            </w:rPr>
          </w:pPr>
        </w:p>
        <w:p w:rsidR="003F4060" w:rsidRDefault="00DC6260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r w:rsidRPr="00F72E16">
            <w:rPr>
              <w:noProof w:val="0"/>
              <w:lang w:val="fr-FR"/>
            </w:rPr>
            <w:fldChar w:fldCharType="begin"/>
          </w:r>
          <w:r w:rsidRPr="00F72E16">
            <w:rPr>
              <w:noProof w:val="0"/>
              <w:lang w:val="fr-FR"/>
            </w:rPr>
            <w:instrText xml:space="preserve"> TOC \o "1-3" \h \z \u </w:instrText>
          </w:r>
          <w:r w:rsidRPr="00F72E16">
            <w:rPr>
              <w:noProof w:val="0"/>
              <w:lang w:val="fr-FR"/>
            </w:rPr>
            <w:fldChar w:fldCharType="separate"/>
          </w:r>
          <w:hyperlink w:anchor="_Toc412714220" w:history="1">
            <w:r w:rsidR="003F4060" w:rsidRPr="005F0D6C">
              <w:rPr>
                <w:rStyle w:val="Hyperlink"/>
                <w:lang w:val="fr-FR"/>
              </w:rPr>
              <w:t>Résumé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_Toc412714220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 w:rsidR="00D2002B">
              <w:rPr>
                <w:webHidden/>
              </w:rPr>
              <w:t>1</w:t>
            </w:r>
            <w:r w:rsidR="003F4060">
              <w:rPr>
                <w:webHidden/>
              </w:rPr>
              <w:fldChar w:fldCharType="end"/>
            </w:r>
          </w:hyperlink>
        </w:p>
        <w:p w:rsidR="003F4060" w:rsidRDefault="00D2002B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12714221" w:history="1">
            <w:r w:rsidR="003F4060" w:rsidRPr="005F0D6C">
              <w:rPr>
                <w:rStyle w:val="Hyperlink"/>
                <w:lang w:val="fr-FR"/>
              </w:rPr>
              <w:t>OBJET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_Toc412714221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3F4060">
              <w:rPr>
                <w:webHidden/>
              </w:rPr>
              <w:fldChar w:fldCharType="end"/>
            </w:r>
          </w:hyperlink>
        </w:p>
        <w:p w:rsidR="003F4060" w:rsidRDefault="00D2002B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12714222" w:history="1">
            <w:r w:rsidR="003F4060" w:rsidRPr="005F0D6C">
              <w:rPr>
                <w:rStyle w:val="Hyperlink"/>
                <w:lang w:val="fr-FR"/>
              </w:rPr>
              <w:t>quatorzième session du Groupe de travail sur les techniques biochimiques et moléculaires, notamment les profils d’ADN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_Toc412714222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3F4060">
              <w:rPr>
                <w:webHidden/>
              </w:rPr>
              <w:fldChar w:fldCharType="end"/>
            </w:r>
          </w:hyperlink>
        </w:p>
        <w:p w:rsidR="003F4060" w:rsidRDefault="00D2002B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12714223" w:history="1">
            <w:r w:rsidR="003F4060" w:rsidRPr="005F0D6C">
              <w:rPr>
                <w:rStyle w:val="Hyperlink"/>
                <w:lang w:val="fr-FR"/>
              </w:rPr>
              <w:t>Atelier conjoint de l’OCDE, de l’UPOV et de l’ISTA sur les techniques moléculaires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_Toc412714223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 w:rsidR="003F4060">
              <w:rPr>
                <w:webHidden/>
              </w:rPr>
              <w:fldChar w:fldCharType="end"/>
            </w:r>
          </w:hyperlink>
        </w:p>
        <w:p w:rsidR="003F4060" w:rsidRDefault="00D2002B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12714224" w:history="1">
            <w:r w:rsidR="003F4060" w:rsidRPr="005F0D6C">
              <w:rPr>
                <w:rStyle w:val="Hyperlink"/>
                <w:lang w:val="fr-FR" w:eastAsia="ja-JP"/>
              </w:rPr>
              <w:t>débat sur les techniques moléculaires à la cinquantième session du TC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_Toc412714224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3F4060">
              <w:rPr>
                <w:webHidden/>
              </w:rPr>
              <w:fldChar w:fldCharType="end"/>
            </w:r>
          </w:hyperlink>
        </w:p>
        <w:p w:rsidR="003F4060" w:rsidRDefault="00D2002B">
          <w:pPr>
            <w:pStyle w:val="TOC1"/>
            <w:rPr>
              <w:rFonts w:asciiTheme="minorHAnsi" w:hAnsiTheme="minorHAnsi" w:cstheme="minorBidi"/>
              <w:caps w:val="0"/>
              <w:sz w:val="22"/>
              <w:szCs w:val="22"/>
              <w:lang w:val="fr-FR" w:eastAsia="fr-FR"/>
            </w:rPr>
          </w:pPr>
          <w:hyperlink w:anchor="_Toc412714225" w:history="1">
            <w:r w:rsidR="003F4060" w:rsidRPr="005F0D6C">
              <w:rPr>
                <w:rStyle w:val="Hyperlink"/>
                <w:lang w:val="fr-FR" w:eastAsia="ja-JP"/>
              </w:rPr>
              <w:t>diffusion d’informations sur la situation à l’UPOV concernant l’utilisation de techniques moléculaires</w:t>
            </w:r>
            <w:r w:rsidR="003F4060">
              <w:rPr>
                <w:webHidden/>
              </w:rPr>
              <w:tab/>
            </w:r>
            <w:r w:rsidR="003F4060">
              <w:rPr>
                <w:webHidden/>
              </w:rPr>
              <w:fldChar w:fldCharType="begin"/>
            </w:r>
            <w:r w:rsidR="003F4060">
              <w:rPr>
                <w:webHidden/>
              </w:rPr>
              <w:instrText xml:space="preserve"> PAGEREF _Toc412714225 \h </w:instrText>
            </w:r>
            <w:r w:rsidR="003F4060">
              <w:rPr>
                <w:webHidden/>
              </w:rPr>
            </w:r>
            <w:r w:rsidR="003F4060"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 w:rsidR="003F4060">
              <w:rPr>
                <w:webHidden/>
              </w:rPr>
              <w:fldChar w:fldCharType="end"/>
            </w:r>
          </w:hyperlink>
        </w:p>
        <w:p w:rsidR="00DF61EE" w:rsidRPr="00F72E16" w:rsidRDefault="00DC6260" w:rsidP="008651D1">
          <w:pPr>
            <w:keepNext/>
            <w:rPr>
              <w:lang w:val="fr-FR"/>
            </w:rPr>
          </w:pPr>
          <w:r w:rsidRPr="00F72E16">
            <w:rPr>
              <w:b/>
              <w:bCs/>
              <w:lang w:val="fr-FR"/>
            </w:rPr>
            <w:fldChar w:fldCharType="end"/>
          </w:r>
        </w:p>
      </w:sdtContent>
    </w:sdt>
    <w:p w:rsidR="00DF61EE" w:rsidRPr="00F72E16" w:rsidRDefault="001873AF" w:rsidP="008651D1">
      <w:pPr>
        <w:jc w:val="left"/>
        <w:rPr>
          <w:rFonts w:eastAsia="PMingLiU" w:cs="Arial"/>
          <w:szCs w:val="24"/>
          <w:lang w:val="fr-FR"/>
        </w:rPr>
      </w:pPr>
      <w:r w:rsidRPr="00F72E16">
        <w:rPr>
          <w:rFonts w:eastAsia="PMingLiU" w:cs="Arial"/>
          <w:szCs w:val="24"/>
          <w:lang w:val="fr-FR"/>
        </w:rPr>
        <w:br w:type="page"/>
      </w:r>
    </w:p>
    <w:p w:rsidR="00DF61EE" w:rsidRPr="00F72E16" w:rsidRDefault="00650902" w:rsidP="008651D1">
      <w:pPr>
        <w:pStyle w:val="Heading1"/>
        <w:rPr>
          <w:lang w:val="fr-FR"/>
        </w:rPr>
      </w:pPr>
      <w:bookmarkStart w:id="4" w:name="_Toc412714221"/>
      <w:r w:rsidRPr="00F72E16">
        <w:rPr>
          <w:lang w:val="fr-FR"/>
        </w:rPr>
        <w:lastRenderedPageBreak/>
        <w:t>OBJET</w:t>
      </w:r>
      <w:bookmarkEnd w:id="4"/>
    </w:p>
    <w:p w:rsidR="00DF61EE" w:rsidRPr="00F72E16" w:rsidRDefault="00DF61EE" w:rsidP="008651D1">
      <w:pPr>
        <w:rPr>
          <w:lang w:val="fr-FR" w:eastAsia="ja-JP"/>
        </w:rPr>
      </w:pPr>
    </w:p>
    <w:p w:rsidR="00650902" w:rsidRPr="00F72E16" w:rsidRDefault="009D4F14" w:rsidP="00650902">
      <w:pPr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650902" w:rsidRPr="00F72E16">
        <w:rPr>
          <w:lang w:val="fr-FR"/>
        </w:rPr>
        <w:t>L</w:t>
      </w:r>
      <w:r w:rsidR="00DE0253" w:rsidRPr="00F72E16">
        <w:rPr>
          <w:lang w:val="fr-FR"/>
        </w:rPr>
        <w:t>’</w:t>
      </w:r>
      <w:r w:rsidR="00650902" w:rsidRPr="00F72E16">
        <w:rPr>
          <w:lang w:val="fr-FR"/>
        </w:rPr>
        <w:t>objet du présent document est de rendre compte des faits nouveaux survenus depuis la soixante</w:t>
      </w:r>
      <w:r w:rsidR="003F4060">
        <w:rPr>
          <w:lang w:val="fr-FR"/>
        </w:rPr>
        <w:noBreakHyphen/>
      </w:r>
      <w:r w:rsidR="00650902" w:rsidRPr="00F72E16">
        <w:rPr>
          <w:lang w:val="fr-FR"/>
        </w:rPr>
        <w:t>dixième</w:t>
      </w:r>
      <w:r w:rsidR="00360C4D" w:rsidRPr="00F72E16">
        <w:rPr>
          <w:lang w:val="fr-FR"/>
        </w:rPr>
        <w:t> </w:t>
      </w:r>
      <w:r w:rsidR="00650902" w:rsidRPr="00F72E16">
        <w:rPr>
          <w:lang w:val="fr-FR"/>
        </w:rPr>
        <w:t>session du Comité administratif et juridique (CAJ) dans le domaine des techniques moléculaires en rapport avec :</w:t>
      </w:r>
    </w:p>
    <w:p w:rsidR="00650902" w:rsidRPr="00F72E16" w:rsidRDefault="00650902" w:rsidP="00650902">
      <w:pPr>
        <w:rPr>
          <w:lang w:val="fr-FR" w:eastAsia="ja-JP"/>
        </w:rPr>
      </w:pPr>
    </w:p>
    <w:p w:rsidR="00650902" w:rsidRPr="00F72E16" w:rsidRDefault="00650902" w:rsidP="00650902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a)</w:t>
      </w:r>
      <w:r w:rsidRPr="00F72E16">
        <w:rPr>
          <w:lang w:val="fr-FR" w:eastAsia="ja-JP"/>
        </w:rPr>
        <w:tab/>
        <w:t>le Groupe de travail sur les techniques biochimiques et moléculaires, notamment les profils d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ADN</w:t>
      </w:r>
      <w:r w:rsidR="003F4060">
        <w:rPr>
          <w:lang w:val="fr-FR" w:eastAsia="ja-JP"/>
        </w:rPr>
        <w:t>;</w:t>
      </w:r>
    </w:p>
    <w:p w:rsidR="00650902" w:rsidRPr="00F72E16" w:rsidRDefault="00650902" w:rsidP="00650902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b)</w:t>
      </w:r>
      <w:r w:rsidRPr="00F72E16">
        <w:rPr>
          <w:lang w:val="fr-FR" w:eastAsia="ja-JP"/>
        </w:rPr>
        <w:tab/>
        <w:t>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Atelier conjoint de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OCDE, de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UPOV et de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ISTA sur les techniques moléculaires</w:t>
      </w:r>
      <w:r w:rsidR="003F4060">
        <w:rPr>
          <w:lang w:val="fr-FR" w:eastAsia="ja-JP"/>
        </w:rPr>
        <w:t>;</w:t>
      </w:r>
    </w:p>
    <w:p w:rsidR="00650902" w:rsidRPr="00F72E16" w:rsidRDefault="00650902" w:rsidP="00650902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c)</w:t>
      </w:r>
      <w:r w:rsidRPr="00F72E16">
        <w:rPr>
          <w:lang w:val="fr-FR" w:eastAsia="ja-JP"/>
        </w:rPr>
        <w:tab/>
        <w:t>le débat sur les techniques moléculaires à la cinquantième session du</w:t>
      </w:r>
      <w:r w:rsidR="00DE0253" w:rsidRPr="00F72E16">
        <w:rPr>
          <w:lang w:val="fr-FR" w:eastAsia="ja-JP"/>
        </w:rPr>
        <w:t> TC</w:t>
      </w:r>
      <w:r w:rsidR="003F4060">
        <w:rPr>
          <w:lang w:val="fr-FR" w:eastAsia="ja-JP"/>
        </w:rPr>
        <w:t>;</w:t>
      </w:r>
    </w:p>
    <w:p w:rsidR="00650902" w:rsidRPr="00F72E16" w:rsidRDefault="00650902" w:rsidP="00650902">
      <w:pPr>
        <w:ind w:left="1170" w:hanging="603"/>
        <w:rPr>
          <w:lang w:val="fr-FR" w:eastAsia="ja-JP"/>
        </w:rPr>
      </w:pPr>
      <w:r w:rsidRPr="00F72E16">
        <w:rPr>
          <w:lang w:val="fr-FR" w:eastAsia="ja-JP"/>
        </w:rPr>
        <w:t>d)</w:t>
      </w:r>
      <w:r w:rsidRPr="00F72E16">
        <w:rPr>
          <w:lang w:val="fr-FR" w:eastAsia="ja-JP"/>
        </w:rPr>
        <w:tab/>
        <w:t>la diffusion d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informations sur la situation à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UPOV concernant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utilisation de techniques moléculaires</w:t>
      </w:r>
      <w:r w:rsidR="003F4060">
        <w:rPr>
          <w:lang w:val="fr-FR" w:eastAsia="ja-JP"/>
        </w:rPr>
        <w:t>.</w:t>
      </w:r>
    </w:p>
    <w:p w:rsidR="00DF61EE" w:rsidRDefault="00DF61EE" w:rsidP="008651D1">
      <w:pPr>
        <w:rPr>
          <w:rFonts w:eastAsia="MS Mincho"/>
          <w:snapToGrid w:val="0"/>
          <w:lang w:val="fr-FR"/>
        </w:rPr>
      </w:pPr>
    </w:p>
    <w:p w:rsidR="000A7C03" w:rsidRPr="00F72E16" w:rsidRDefault="000A7C03" w:rsidP="008651D1">
      <w:pPr>
        <w:rPr>
          <w:rFonts w:eastAsia="MS Mincho"/>
          <w:snapToGrid w:val="0"/>
          <w:lang w:val="fr-FR"/>
        </w:rPr>
      </w:pPr>
    </w:p>
    <w:p w:rsidR="00DF61EE" w:rsidRPr="00F72E16" w:rsidRDefault="004E5720" w:rsidP="008651D1">
      <w:pPr>
        <w:pStyle w:val="Heading1"/>
        <w:rPr>
          <w:lang w:val="fr-FR"/>
        </w:rPr>
      </w:pPr>
      <w:bookmarkStart w:id="5" w:name="_Toc410822403"/>
      <w:bookmarkStart w:id="6" w:name="_Toc410822807"/>
      <w:bookmarkStart w:id="7" w:name="_Toc410823314"/>
      <w:bookmarkStart w:id="8" w:name="_Toc410899582"/>
      <w:bookmarkStart w:id="9" w:name="_Toc412714222"/>
      <w:r w:rsidRPr="00F72E16">
        <w:rPr>
          <w:lang w:val="fr-FR"/>
        </w:rPr>
        <w:t>quatorzième</w:t>
      </w:r>
      <w:r w:rsidR="00DE6D2B" w:rsidRPr="00F72E16">
        <w:rPr>
          <w:lang w:val="fr-FR"/>
        </w:rPr>
        <w:t> </w:t>
      </w:r>
      <w:r w:rsidRPr="00F72E16">
        <w:rPr>
          <w:lang w:val="fr-FR"/>
        </w:rPr>
        <w:t>session</w:t>
      </w:r>
      <w:r w:rsidR="00AF0440" w:rsidRPr="00F72E16">
        <w:rPr>
          <w:lang w:val="fr-FR"/>
        </w:rPr>
        <w:t xml:space="preserve"> du Groupe de travail sur les techniques biochimiques et moléculaires, notamment les profils d</w:t>
      </w:r>
      <w:r w:rsidR="00DE0253" w:rsidRPr="00F72E16">
        <w:rPr>
          <w:lang w:val="fr-FR"/>
        </w:rPr>
        <w:t>’</w:t>
      </w:r>
      <w:r w:rsidR="00AF0440" w:rsidRPr="00F72E16">
        <w:rPr>
          <w:lang w:val="fr-FR"/>
        </w:rPr>
        <w:t>ADN</w:t>
      </w:r>
      <w:bookmarkEnd w:id="5"/>
      <w:bookmarkEnd w:id="6"/>
      <w:bookmarkEnd w:id="7"/>
      <w:bookmarkEnd w:id="8"/>
      <w:bookmarkEnd w:id="9"/>
    </w:p>
    <w:p w:rsidR="00DF61EE" w:rsidRPr="00F72E16" w:rsidRDefault="00DF61EE" w:rsidP="008651D1">
      <w:pPr>
        <w:rPr>
          <w:lang w:val="fr-FR" w:eastAsia="ja-JP"/>
        </w:rPr>
      </w:pPr>
    </w:p>
    <w:p w:rsidR="00DF61EE" w:rsidRPr="00F72E16" w:rsidRDefault="008D6750" w:rsidP="008651D1">
      <w:pPr>
        <w:rPr>
          <w:lang w:val="fr-FR" w:eastAsia="ja-JP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33342F" w:rsidRPr="00F72E16">
        <w:rPr>
          <w:lang w:val="fr-FR"/>
        </w:rPr>
        <w:t>Le mandat</w:t>
      </w:r>
      <w:r w:rsidR="00C72A57" w:rsidRPr="00F72E16">
        <w:rPr>
          <w:lang w:val="fr-FR"/>
        </w:rPr>
        <w:t xml:space="preserve"> du BMT</w:t>
      </w:r>
      <w:r w:rsidR="0033342F" w:rsidRPr="00F72E16">
        <w:rPr>
          <w:lang w:val="fr-FR"/>
        </w:rPr>
        <w:t xml:space="preserve"> est indiqué dans </w:t>
      </w:r>
      <w:r w:rsidR="00D12FFE" w:rsidRPr="00F72E16">
        <w:rPr>
          <w:lang w:val="fr-FR"/>
        </w:rPr>
        <w:t>l</w:t>
      </w:r>
      <w:r w:rsidR="00DE0253" w:rsidRPr="00F72E16">
        <w:rPr>
          <w:lang w:val="fr-FR"/>
        </w:rPr>
        <w:t>’</w:t>
      </w:r>
      <w:r w:rsidR="00D12FFE" w:rsidRPr="00F72E16">
        <w:rPr>
          <w:lang w:val="fr-FR"/>
        </w:rPr>
        <w:t>annexe</w:t>
      </w:r>
      <w:r w:rsidR="00DE6D2B" w:rsidRPr="00F72E16">
        <w:rPr>
          <w:lang w:val="fr-FR"/>
        </w:rPr>
        <w:t> </w:t>
      </w:r>
      <w:r w:rsidR="00D12FFE" w:rsidRPr="00F72E16">
        <w:rPr>
          <w:lang w:val="fr-FR"/>
        </w:rPr>
        <w:t>I</w:t>
      </w:r>
      <w:r w:rsidR="0033342F" w:rsidRPr="00F72E16">
        <w:rPr>
          <w:lang w:val="fr-FR"/>
        </w:rPr>
        <w:t xml:space="preserve"> du présent document.</w:t>
      </w:r>
    </w:p>
    <w:p w:rsidR="00DF61EE" w:rsidRPr="00F72E16" w:rsidRDefault="00DF61EE" w:rsidP="008651D1">
      <w:pPr>
        <w:rPr>
          <w:lang w:val="fr-FR" w:eastAsia="ja-JP"/>
        </w:rPr>
      </w:pPr>
    </w:p>
    <w:p w:rsidR="00DF61EE" w:rsidRPr="00F72E16" w:rsidRDefault="00041D2D" w:rsidP="008651D1">
      <w:pPr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097F51" w:rsidRPr="00F72E16">
        <w:rPr>
          <w:lang w:val="fr-FR"/>
        </w:rPr>
        <w:t>La quatorzième</w:t>
      </w:r>
      <w:r w:rsidR="00DE6D2B" w:rsidRPr="00F72E16">
        <w:rPr>
          <w:lang w:val="fr-FR"/>
        </w:rPr>
        <w:t> </w:t>
      </w:r>
      <w:r w:rsidR="00097F51" w:rsidRPr="00F72E16">
        <w:rPr>
          <w:lang w:val="fr-FR"/>
        </w:rPr>
        <w:t>session</w:t>
      </w:r>
      <w:r w:rsidR="00DE0253" w:rsidRPr="00F72E16">
        <w:rPr>
          <w:lang w:val="fr-FR"/>
        </w:rPr>
        <w:t xml:space="preserve"> du BMT</w:t>
      </w:r>
      <w:r w:rsidR="00097F51" w:rsidRPr="00F72E16">
        <w:rPr>
          <w:lang w:val="fr-FR"/>
        </w:rPr>
        <w:t xml:space="preserve"> s</w:t>
      </w:r>
      <w:r w:rsidR="00DE0253" w:rsidRPr="00F72E16">
        <w:rPr>
          <w:lang w:val="fr-FR"/>
        </w:rPr>
        <w:t>’</w:t>
      </w:r>
      <w:r w:rsidR="00097F51" w:rsidRPr="00F72E16">
        <w:rPr>
          <w:lang w:val="fr-FR"/>
        </w:rPr>
        <w:t>est tenue à Séoul (République de Corée) du 10 au 1</w:t>
      </w:r>
      <w:r w:rsidR="00C72A57" w:rsidRPr="00F72E16">
        <w:rPr>
          <w:lang w:val="fr-FR"/>
        </w:rPr>
        <w:t>3 novembre 20</w:t>
      </w:r>
      <w:r w:rsidR="00097F51" w:rsidRPr="00F72E16">
        <w:rPr>
          <w:lang w:val="fr-FR"/>
        </w:rPr>
        <w:t xml:space="preserve">14, son atelier préparatoire se tenant le </w:t>
      </w:r>
      <w:r w:rsidR="00C72A57" w:rsidRPr="00F72E16">
        <w:rPr>
          <w:lang w:val="fr-FR"/>
        </w:rPr>
        <w:t>9 novembre 20</w:t>
      </w:r>
      <w:r w:rsidR="00097F51" w:rsidRPr="00F72E16">
        <w:rPr>
          <w:lang w:val="fr-FR"/>
        </w:rPr>
        <w:t xml:space="preserve">14 et </w:t>
      </w:r>
      <w:r w:rsidR="00097F51" w:rsidRPr="00F72E16">
        <w:rPr>
          <w:lang w:val="fr-FR" w:eastAsia="ja-JP"/>
        </w:rPr>
        <w:t>l</w:t>
      </w:r>
      <w:r w:rsidR="00DE0253" w:rsidRPr="00F72E16">
        <w:rPr>
          <w:lang w:val="fr-FR" w:eastAsia="ja-JP"/>
        </w:rPr>
        <w:t>’</w:t>
      </w:r>
      <w:r w:rsidR="00097F51" w:rsidRPr="00F72E16">
        <w:rPr>
          <w:lang w:val="fr-FR" w:eastAsia="ja-JP"/>
        </w:rPr>
        <w:t>Atelier conjoint de l</w:t>
      </w:r>
      <w:r w:rsidR="00DE0253" w:rsidRPr="00F72E16">
        <w:rPr>
          <w:lang w:val="fr-FR" w:eastAsia="ja-JP"/>
        </w:rPr>
        <w:t>’</w:t>
      </w:r>
      <w:r w:rsidR="00097F51" w:rsidRPr="00F72E16">
        <w:rPr>
          <w:lang w:val="fr-FR" w:eastAsia="ja-JP"/>
        </w:rPr>
        <w:t>OCDE, de l</w:t>
      </w:r>
      <w:r w:rsidR="00DE0253" w:rsidRPr="00F72E16">
        <w:rPr>
          <w:lang w:val="fr-FR" w:eastAsia="ja-JP"/>
        </w:rPr>
        <w:t>’</w:t>
      </w:r>
      <w:r w:rsidR="00097F51" w:rsidRPr="00F72E16">
        <w:rPr>
          <w:lang w:val="fr-FR" w:eastAsia="ja-JP"/>
        </w:rPr>
        <w:t>UPOV et de l</w:t>
      </w:r>
      <w:r w:rsidR="00DE0253" w:rsidRPr="00F72E16">
        <w:rPr>
          <w:lang w:val="fr-FR" w:eastAsia="ja-JP"/>
        </w:rPr>
        <w:t>’</w:t>
      </w:r>
      <w:r w:rsidR="00097F51" w:rsidRPr="00F72E16">
        <w:rPr>
          <w:lang w:val="fr-FR" w:eastAsia="ja-JP"/>
        </w:rPr>
        <w:t>ISTA sur les techniques moléculaires le 1</w:t>
      </w:r>
      <w:r w:rsidR="00C72A57" w:rsidRPr="00F72E16">
        <w:rPr>
          <w:lang w:val="fr-FR" w:eastAsia="ja-JP"/>
        </w:rPr>
        <w:t>2 novembre 20</w:t>
      </w:r>
      <w:r w:rsidR="00097F51" w:rsidRPr="00F72E16">
        <w:rPr>
          <w:lang w:val="fr-FR" w:eastAsia="ja-JP"/>
        </w:rPr>
        <w:t>14</w:t>
      </w:r>
      <w:r w:rsidRPr="00F72E16">
        <w:rPr>
          <w:lang w:val="fr-FR"/>
        </w:rPr>
        <w:t xml:space="preserve">. </w:t>
      </w:r>
      <w:r w:rsidR="00097F51" w:rsidRPr="00F72E16">
        <w:rPr>
          <w:lang w:val="fr-FR"/>
        </w:rPr>
        <w:t xml:space="preserve"> La journée spéciale consacrée aux points de l</w:t>
      </w:r>
      <w:r w:rsidR="00DE0253" w:rsidRPr="00F72E16">
        <w:rPr>
          <w:lang w:val="fr-FR"/>
        </w:rPr>
        <w:t>’</w:t>
      </w:r>
      <w:r w:rsidR="00097F51" w:rsidRPr="00F72E16">
        <w:rPr>
          <w:lang w:val="fr-FR"/>
        </w:rPr>
        <w:t>ordre du jour intitulés</w:t>
      </w:r>
      <w:r w:rsidR="007C42CA" w:rsidRPr="00F72E16">
        <w:rPr>
          <w:lang w:val="fr-FR"/>
        </w:rPr>
        <w:t xml:space="preserve"> </w:t>
      </w:r>
      <w:r w:rsidRPr="00F72E16">
        <w:rPr>
          <w:lang w:val="fr-FR"/>
        </w:rPr>
        <w:t>“</w:t>
      </w:r>
      <w:r w:rsidR="00D05B03" w:rsidRPr="00F72E16">
        <w:rPr>
          <w:lang w:val="fr-FR"/>
        </w:rPr>
        <w:t>Compte rendu des travaux sur l</w:t>
      </w:r>
      <w:r w:rsidR="00DE0253" w:rsidRPr="00F72E16">
        <w:rPr>
          <w:lang w:val="fr-FR"/>
        </w:rPr>
        <w:t>’</w:t>
      </w:r>
      <w:r w:rsidR="00D05B03" w:rsidRPr="00F72E16">
        <w:rPr>
          <w:lang w:val="fr-FR"/>
        </w:rPr>
        <w:t>utilisation des techniques moléculaires dans le cadre de l</w:t>
      </w:r>
      <w:r w:rsidR="00DE0253" w:rsidRPr="00F72E16">
        <w:rPr>
          <w:lang w:val="fr-FR"/>
        </w:rPr>
        <w:t>’</w:t>
      </w:r>
      <w:r w:rsidR="00D05B03" w:rsidRPr="00F72E16">
        <w:rPr>
          <w:lang w:val="fr-FR"/>
        </w:rPr>
        <w:t>examen</w:t>
      </w:r>
      <w:r w:rsidR="00EF4C62" w:rsidRPr="00F72E16">
        <w:rPr>
          <w:lang w:val="fr-FR"/>
        </w:rPr>
        <w:t> </w:t>
      </w:r>
      <w:r w:rsidR="00D05B03" w:rsidRPr="00F72E16">
        <w:rPr>
          <w:lang w:val="fr-FR"/>
        </w:rPr>
        <w:t>DHS</w:t>
      </w:r>
      <w:r w:rsidRPr="00F72E16">
        <w:rPr>
          <w:lang w:val="fr-FR"/>
        </w:rPr>
        <w:t xml:space="preserve">” </w:t>
      </w:r>
      <w:r w:rsidR="007C42CA" w:rsidRPr="00F72E16">
        <w:rPr>
          <w:lang w:val="fr-FR"/>
        </w:rPr>
        <w:t xml:space="preserve">et </w:t>
      </w:r>
      <w:r w:rsidRPr="00F72E16">
        <w:rPr>
          <w:lang w:val="fr-FR"/>
        </w:rPr>
        <w:t>“</w:t>
      </w:r>
      <w:r w:rsidR="00D05B03" w:rsidRPr="00F72E16">
        <w:rPr>
          <w:lang w:val="fr-FR"/>
        </w:rPr>
        <w:t>Utilisation des techniques moléculaires pour l</w:t>
      </w:r>
      <w:r w:rsidR="00DE0253" w:rsidRPr="00F72E16">
        <w:rPr>
          <w:lang w:val="fr-FR"/>
        </w:rPr>
        <w:t>’</w:t>
      </w:r>
      <w:r w:rsidR="00D05B03" w:rsidRPr="00F72E16">
        <w:rPr>
          <w:lang w:val="fr-FR"/>
        </w:rPr>
        <w:t>identification des variétés</w:t>
      </w:r>
      <w:r w:rsidRPr="00F72E16">
        <w:rPr>
          <w:lang w:val="fr-FR"/>
        </w:rPr>
        <w:t>” (</w:t>
      </w:r>
      <w:r w:rsidR="00097F51" w:rsidRPr="00F72E16">
        <w:rPr>
          <w:lang w:val="fr-FR"/>
        </w:rPr>
        <w:t xml:space="preserve">la </w:t>
      </w:r>
      <w:r w:rsidR="00337523" w:rsidRPr="00F72E16">
        <w:rPr>
          <w:lang w:val="fr-FR"/>
        </w:rPr>
        <w:t>“</w:t>
      </w:r>
      <w:r w:rsidR="00097F51" w:rsidRPr="00F72E16">
        <w:rPr>
          <w:lang w:val="fr-FR"/>
        </w:rPr>
        <w:t>Journée des obtenteurs</w:t>
      </w:r>
      <w:r w:rsidR="00337523" w:rsidRPr="00F72E16">
        <w:rPr>
          <w:lang w:val="fr-FR"/>
        </w:rPr>
        <w:t>”)</w:t>
      </w:r>
      <w:r w:rsidR="00097F51" w:rsidRPr="00F72E16">
        <w:rPr>
          <w:lang w:val="fr-FR"/>
        </w:rPr>
        <w:t xml:space="preserve"> s</w:t>
      </w:r>
      <w:r w:rsidR="00DE0253" w:rsidRPr="00F72E16">
        <w:rPr>
          <w:lang w:val="fr-FR"/>
        </w:rPr>
        <w:t>’</w:t>
      </w:r>
      <w:r w:rsidR="00097F51" w:rsidRPr="00F72E16">
        <w:rPr>
          <w:lang w:val="fr-FR"/>
        </w:rPr>
        <w:t>est tenue le 1</w:t>
      </w:r>
      <w:r w:rsidR="00C72A57" w:rsidRPr="00F72E16">
        <w:rPr>
          <w:lang w:val="fr-FR"/>
        </w:rPr>
        <w:t>2 novembre 20</w:t>
      </w:r>
      <w:r w:rsidR="00097F51" w:rsidRPr="00F72E16">
        <w:rPr>
          <w:lang w:val="fr-FR"/>
        </w:rPr>
        <w:t>14</w:t>
      </w:r>
      <w:r w:rsidRPr="00F72E16">
        <w:rPr>
          <w:lang w:val="fr-FR"/>
        </w:rPr>
        <w:t>.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041D2D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F72E16">
        <w:rPr>
          <w:rFonts w:cs="Arial"/>
          <w:lang w:val="fr-FR" w:eastAsia="ja-JP"/>
        </w:rPr>
        <w:fldChar w:fldCharType="begin"/>
      </w:r>
      <w:r w:rsidRPr="00F72E16">
        <w:rPr>
          <w:rFonts w:cs="Arial"/>
          <w:lang w:val="fr-FR" w:eastAsia="ja-JP"/>
        </w:rPr>
        <w:instrText xml:space="preserve"> AUTONUM  </w:instrText>
      </w:r>
      <w:r w:rsidRPr="00F72E16">
        <w:rPr>
          <w:rFonts w:cs="Arial"/>
          <w:lang w:val="fr-FR" w:eastAsia="ja-JP"/>
        </w:rPr>
        <w:fldChar w:fldCharType="end"/>
      </w:r>
      <w:r w:rsidRPr="00F72E16">
        <w:rPr>
          <w:rFonts w:cs="Arial"/>
          <w:lang w:val="fr-FR" w:eastAsia="ja-JP"/>
        </w:rPr>
        <w:tab/>
      </w:r>
      <w:r w:rsidR="0033342F" w:rsidRPr="00F72E16">
        <w:rPr>
          <w:rFonts w:cs="Arial"/>
          <w:lang w:val="fr-FR" w:eastAsia="ja-JP"/>
        </w:rPr>
        <w:t>Les documents présentés au titre des points de l</w:t>
      </w:r>
      <w:r w:rsidR="00DE0253" w:rsidRPr="00F72E16">
        <w:rPr>
          <w:rFonts w:cs="Arial"/>
          <w:lang w:val="fr-FR" w:eastAsia="ja-JP"/>
        </w:rPr>
        <w:t>’</w:t>
      </w:r>
      <w:r w:rsidR="0033342F" w:rsidRPr="00F72E16">
        <w:rPr>
          <w:rFonts w:cs="Arial"/>
          <w:lang w:val="fr-FR" w:eastAsia="ja-JP"/>
        </w:rPr>
        <w:t xml:space="preserve">ordre du jour de la </w:t>
      </w:r>
      <w:r w:rsidR="007C42CA" w:rsidRPr="00F72E16">
        <w:rPr>
          <w:rFonts w:cs="Arial"/>
          <w:lang w:val="fr-FR" w:eastAsia="ja-JP"/>
        </w:rPr>
        <w:t>quatorzième</w:t>
      </w:r>
      <w:r w:rsidR="0033342F" w:rsidRPr="00F72E16">
        <w:rPr>
          <w:rFonts w:cs="Arial"/>
          <w:lang w:val="fr-FR" w:eastAsia="ja-JP"/>
        </w:rPr>
        <w:t> session du BMT sont les suivants :</w:t>
      </w:r>
    </w:p>
    <w:p w:rsidR="00DF61EE" w:rsidRPr="00F72E16" w:rsidRDefault="00DF61EE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990AC1" w:rsidRPr="00F72E16" w:rsidRDefault="00990AC1" w:rsidP="008651D1">
      <w:pPr>
        <w:ind w:left="567"/>
        <w:rPr>
          <w:rFonts w:cs="Arial"/>
          <w:i/>
          <w:lang w:val="fr-FR"/>
        </w:rPr>
      </w:pPr>
      <w:r w:rsidRPr="00F72E16">
        <w:rPr>
          <w:rFonts w:cs="Arial"/>
          <w:i/>
          <w:lang w:val="fr-FR"/>
        </w:rPr>
        <w:t>Comptes rendus des faits nouveaux survenus au sein de l</w:t>
      </w:r>
      <w:r w:rsidR="00DE0253" w:rsidRPr="00F72E16">
        <w:rPr>
          <w:rFonts w:cs="Arial"/>
          <w:i/>
          <w:lang w:val="fr-FR"/>
        </w:rPr>
        <w:t>’</w:t>
      </w:r>
      <w:r w:rsidRPr="00F72E16">
        <w:rPr>
          <w:rFonts w:cs="Arial"/>
          <w:i/>
          <w:lang w:val="fr-FR"/>
        </w:rPr>
        <w:t>UPOV et concernant les techniques biochimiques et moléculaires</w:t>
      </w:r>
    </w:p>
    <w:p w:rsidR="00DF61EE" w:rsidRPr="00F72E16" w:rsidRDefault="00F449CD" w:rsidP="008651D1">
      <w:pPr>
        <w:ind w:left="567"/>
        <w:rPr>
          <w:rFonts w:cs="Arial"/>
          <w:i/>
          <w:lang w:val="fr-FR" w:eastAsia="ja-JP"/>
        </w:rPr>
      </w:pPr>
      <w:bookmarkStart w:id="10" w:name="_Toc410822405"/>
      <w:r w:rsidRPr="00F72E16">
        <w:rPr>
          <w:rFonts w:cs="Arial"/>
          <w:i/>
          <w:lang w:val="fr-FR"/>
        </w:rPr>
        <w:t>(</w:t>
      </w:r>
      <w:r w:rsidR="00DE0253" w:rsidRPr="00F72E16">
        <w:rPr>
          <w:rFonts w:cs="Arial"/>
          <w:i/>
          <w:lang w:val="fr-FR"/>
        </w:rPr>
        <w:t>document BM</w:t>
      </w:r>
      <w:r w:rsidR="00337523" w:rsidRPr="00F72E16">
        <w:rPr>
          <w:rFonts w:cs="Arial"/>
          <w:i/>
          <w:lang w:val="fr-FR"/>
        </w:rPr>
        <w:t>T/14/2</w:t>
      </w:r>
      <w:r w:rsidRPr="00F72E16">
        <w:rPr>
          <w:rFonts w:cs="Arial"/>
          <w:i/>
          <w:lang w:val="fr-FR" w:eastAsia="ja-JP"/>
        </w:rPr>
        <w:t> </w:t>
      </w:r>
      <w:r w:rsidR="00596251" w:rsidRPr="00F72E16">
        <w:rPr>
          <w:rFonts w:cs="Arial"/>
          <w:i/>
          <w:lang w:val="fr-FR" w:eastAsia="ja-JP"/>
        </w:rPr>
        <w:t>Rev</w:t>
      </w:r>
      <w:r w:rsidR="00337523" w:rsidRPr="00F72E16">
        <w:rPr>
          <w:rFonts w:cs="Arial"/>
          <w:i/>
          <w:lang w:val="fr-FR"/>
        </w:rPr>
        <w:t>.)</w:t>
      </w:r>
      <w:bookmarkEnd w:id="10"/>
    </w:p>
    <w:p w:rsidR="00DF61EE" w:rsidRPr="000A7C03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DF61EE" w:rsidRPr="00F72E16" w:rsidRDefault="001B485F" w:rsidP="008651D1">
      <w:pPr>
        <w:ind w:left="540"/>
        <w:rPr>
          <w:rFonts w:cs="Arial"/>
          <w:i/>
          <w:lang w:val="fr-FR"/>
        </w:rPr>
      </w:pPr>
      <w:bookmarkStart w:id="11" w:name="_Toc410822406"/>
      <w:r w:rsidRPr="00F72E16">
        <w:rPr>
          <w:rFonts w:cs="Arial"/>
          <w:i/>
          <w:lang w:val="fr-FR"/>
        </w:rPr>
        <w:t>Exposés succincts sur les faits nouveaux survenus en matière de techniques biochimiques et moléculaires, présentés par les spécialistes de l</w:t>
      </w:r>
      <w:r w:rsidR="00DE0253" w:rsidRPr="00F72E16">
        <w:rPr>
          <w:rFonts w:cs="Arial"/>
          <w:i/>
          <w:lang w:val="fr-FR"/>
        </w:rPr>
        <w:t>’</w:t>
      </w:r>
      <w:r w:rsidRPr="00F72E16">
        <w:rPr>
          <w:rFonts w:cs="Arial"/>
          <w:i/>
          <w:lang w:val="fr-FR"/>
        </w:rPr>
        <w:t>examen</w:t>
      </w:r>
      <w:r w:rsidR="00DE6D2B" w:rsidRPr="00F72E16">
        <w:rPr>
          <w:rFonts w:cs="Arial"/>
          <w:i/>
          <w:lang w:val="fr-FR"/>
        </w:rPr>
        <w:t> </w:t>
      </w:r>
      <w:r w:rsidRPr="00F72E16">
        <w:rPr>
          <w:rFonts w:cs="Arial"/>
          <w:i/>
          <w:lang w:val="fr-FR"/>
        </w:rPr>
        <w:t>DHS, des spécialistes des techniques biochimiques et moléculaires, des obtenteurs et les organisations internationales concernées</w:t>
      </w:r>
      <w:bookmarkEnd w:id="11"/>
      <w:r w:rsidR="00E5782A" w:rsidRPr="00F72E16">
        <w:rPr>
          <w:rFonts w:cs="Arial"/>
          <w:i/>
          <w:lang w:val="fr-FR"/>
        </w:rPr>
        <w:t xml:space="preserve"> </w:t>
      </w:r>
      <w:r w:rsidR="00337523" w:rsidRPr="00F72E16">
        <w:rPr>
          <w:rFonts w:cs="Arial"/>
          <w:i/>
          <w:lang w:val="fr-FR"/>
        </w:rPr>
        <w:t xml:space="preserve">(document BMT/14/15 </w:t>
      </w:r>
      <w:r w:rsidR="0075779C" w:rsidRPr="00F72E16">
        <w:rPr>
          <w:rFonts w:cs="Arial"/>
          <w:i/>
          <w:lang w:val="fr-FR"/>
        </w:rPr>
        <w:t>Annexe</w:t>
      </w:r>
      <w:r w:rsidR="00DE6D2B" w:rsidRPr="00F72E16">
        <w:rPr>
          <w:rFonts w:cs="Arial"/>
          <w:i/>
          <w:lang w:val="fr-FR"/>
        </w:rPr>
        <w:t> </w:t>
      </w:r>
      <w:r w:rsidR="00337523" w:rsidRPr="00F72E16">
        <w:rPr>
          <w:rFonts w:cs="Arial"/>
          <w:i/>
          <w:lang w:val="fr-FR"/>
        </w:rPr>
        <w:t>I</w:t>
      </w:r>
      <w:r w:rsidRPr="00F72E16">
        <w:rPr>
          <w:rFonts w:cs="Arial"/>
          <w:i/>
          <w:lang w:val="fr-FR"/>
        </w:rPr>
        <w:t> :</w:t>
      </w:r>
      <w:r w:rsidR="00337523" w:rsidRPr="00F72E16">
        <w:rPr>
          <w:rFonts w:cs="Arial"/>
          <w:i/>
          <w:lang w:val="fr-FR"/>
        </w:rPr>
        <w:t xml:space="preserve"> France, Annex</w:t>
      </w:r>
      <w:r w:rsidRPr="00F72E16">
        <w:rPr>
          <w:rFonts w:cs="Arial"/>
          <w:i/>
          <w:lang w:val="fr-FR"/>
        </w:rPr>
        <w:t>e</w:t>
      </w:r>
      <w:r w:rsidR="00DE6D2B" w:rsidRPr="00F72E16">
        <w:rPr>
          <w:rFonts w:cs="Arial"/>
          <w:i/>
          <w:lang w:val="fr-FR"/>
        </w:rPr>
        <w:t> </w:t>
      </w:r>
      <w:r w:rsidR="00337523" w:rsidRPr="00F72E16">
        <w:rPr>
          <w:rFonts w:cs="Arial"/>
          <w:i/>
          <w:lang w:val="fr-FR"/>
        </w:rPr>
        <w:t>II</w:t>
      </w:r>
      <w:r w:rsidRPr="00F72E16">
        <w:rPr>
          <w:rFonts w:cs="Arial"/>
          <w:i/>
          <w:lang w:val="fr-FR"/>
        </w:rPr>
        <w:t> :</w:t>
      </w:r>
      <w:r w:rsidR="00337523" w:rsidRPr="00F72E16">
        <w:rPr>
          <w:rFonts w:cs="Arial"/>
          <w:i/>
          <w:lang w:val="fr-FR"/>
        </w:rPr>
        <w:t xml:space="preserve"> </w:t>
      </w:r>
      <w:r w:rsidRPr="00F72E16">
        <w:rPr>
          <w:rFonts w:cs="Arial"/>
          <w:i/>
          <w:lang w:val="fr-FR"/>
        </w:rPr>
        <w:t>États</w:t>
      </w:r>
      <w:r w:rsidR="003F4060">
        <w:rPr>
          <w:rFonts w:cs="Arial"/>
          <w:i/>
          <w:lang w:val="fr-FR"/>
        </w:rPr>
        <w:noBreakHyphen/>
      </w:r>
      <w:r w:rsidRPr="00F72E16">
        <w:rPr>
          <w:rFonts w:cs="Arial"/>
          <w:i/>
          <w:lang w:val="fr-FR"/>
        </w:rPr>
        <w:t>Unis d</w:t>
      </w:r>
      <w:r w:rsidR="00DE0253" w:rsidRPr="00F72E16">
        <w:rPr>
          <w:rFonts w:cs="Arial"/>
          <w:i/>
          <w:lang w:val="fr-FR"/>
        </w:rPr>
        <w:t>’</w:t>
      </w:r>
      <w:r w:rsidRPr="00F72E16">
        <w:rPr>
          <w:rFonts w:cs="Arial"/>
          <w:i/>
          <w:lang w:val="fr-FR"/>
        </w:rPr>
        <w:t>Amérique</w:t>
      </w:r>
      <w:r w:rsidR="00337523" w:rsidRPr="00F72E16">
        <w:rPr>
          <w:rFonts w:cs="Arial"/>
          <w:i/>
          <w:lang w:val="fr-FR"/>
        </w:rPr>
        <w:t>, Annex</w:t>
      </w:r>
      <w:r w:rsidRPr="00F72E16">
        <w:rPr>
          <w:rFonts w:cs="Arial"/>
          <w:i/>
          <w:lang w:val="fr-FR"/>
        </w:rPr>
        <w:t>e</w:t>
      </w:r>
      <w:r w:rsidR="00DE6D2B" w:rsidRPr="00F72E16">
        <w:rPr>
          <w:rFonts w:cs="Arial"/>
          <w:i/>
          <w:lang w:val="fr-FR"/>
        </w:rPr>
        <w:t> </w:t>
      </w:r>
      <w:r w:rsidR="00337523" w:rsidRPr="00F72E16">
        <w:rPr>
          <w:rFonts w:cs="Arial"/>
          <w:i/>
          <w:lang w:val="fr-FR"/>
        </w:rPr>
        <w:t>III</w:t>
      </w:r>
      <w:r w:rsidRPr="00F72E16">
        <w:rPr>
          <w:rFonts w:cs="Arial"/>
          <w:i/>
          <w:lang w:val="fr-FR"/>
        </w:rPr>
        <w:t> :</w:t>
      </w:r>
      <w:r w:rsidR="00337523" w:rsidRPr="00F72E16">
        <w:rPr>
          <w:rFonts w:cs="Arial"/>
          <w:i/>
          <w:lang w:val="fr-FR"/>
        </w:rPr>
        <w:t xml:space="preserve"> Iran (</w:t>
      </w:r>
      <w:r w:rsidRPr="00F72E16">
        <w:rPr>
          <w:rFonts w:cs="Arial"/>
          <w:i/>
          <w:lang w:val="fr-FR"/>
        </w:rPr>
        <w:t>République islamique d</w:t>
      </w:r>
      <w:r w:rsidR="00DE0253" w:rsidRPr="00F72E16">
        <w:rPr>
          <w:rFonts w:cs="Arial"/>
          <w:i/>
          <w:lang w:val="fr-FR"/>
        </w:rPr>
        <w:t>’</w:t>
      </w:r>
      <w:r w:rsidR="00337523" w:rsidRPr="00F72E16">
        <w:rPr>
          <w:rFonts w:cs="Arial"/>
          <w:i/>
          <w:lang w:val="fr-FR"/>
        </w:rPr>
        <w:t>)</w:t>
      </w:r>
      <w:r w:rsidR="007008CF" w:rsidRPr="00F72E16">
        <w:rPr>
          <w:rFonts w:cs="Arial"/>
          <w:i/>
          <w:lang w:val="fr-FR"/>
        </w:rPr>
        <w:t>)</w:t>
      </w:r>
    </w:p>
    <w:p w:rsidR="00DF61EE" w:rsidRPr="000A7C03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C72A57" w:rsidRPr="00F72E16" w:rsidRDefault="001B485F" w:rsidP="000A7C03">
      <w:pPr>
        <w:ind w:left="540" w:firstLine="27"/>
        <w:rPr>
          <w:rFonts w:cs="Arial"/>
          <w:i/>
          <w:lang w:val="fr-FR"/>
        </w:rPr>
      </w:pPr>
      <w:bookmarkStart w:id="12" w:name="_Toc410822407"/>
      <w:r w:rsidRPr="00F72E16">
        <w:rPr>
          <w:rFonts w:cs="Arial"/>
          <w:i/>
          <w:lang w:val="fr-FR"/>
        </w:rPr>
        <w:t>Compte rendu des travaux sur l</w:t>
      </w:r>
      <w:r w:rsidR="00DE0253" w:rsidRPr="00F72E16">
        <w:rPr>
          <w:rFonts w:cs="Arial"/>
          <w:i/>
          <w:lang w:val="fr-FR"/>
        </w:rPr>
        <w:t>’</w:t>
      </w:r>
      <w:r w:rsidRPr="00F72E16">
        <w:rPr>
          <w:rFonts w:cs="Arial"/>
          <w:i/>
          <w:lang w:val="fr-FR"/>
        </w:rPr>
        <w:t>utilisation des techniques moléculaires dans le cadre de l</w:t>
      </w:r>
      <w:r w:rsidR="00DE0253" w:rsidRPr="00F72E16">
        <w:rPr>
          <w:rFonts w:cs="Arial"/>
          <w:i/>
          <w:lang w:val="fr-FR"/>
        </w:rPr>
        <w:t>’</w:t>
      </w:r>
      <w:r w:rsidRPr="00F72E16">
        <w:rPr>
          <w:rFonts w:cs="Arial"/>
          <w:i/>
          <w:lang w:val="fr-FR"/>
        </w:rPr>
        <w:t>examen DHS</w:t>
      </w:r>
      <w:bookmarkEnd w:id="12"/>
    </w:p>
    <w:p w:rsidR="00DF61EE" w:rsidRPr="000A7C03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337523" w:rsidP="000A7C03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 xml:space="preserve">The Use of Reference Varieties in Varietal </w:t>
      </w:r>
      <w:r w:rsidR="00995397" w:rsidRPr="00390477">
        <w:rPr>
          <w:rFonts w:cs="Arial"/>
          <w:i/>
          <w:iCs/>
        </w:rPr>
        <w:t>Distinctness</w:t>
      </w:r>
      <w:r w:rsidR="00DE6D2B" w:rsidRPr="00390477">
        <w:rPr>
          <w:rFonts w:cs="Arial"/>
          <w:i/>
          <w:iCs/>
        </w:rPr>
        <w:t> </w:t>
      </w:r>
      <w:r w:rsidR="00995397" w:rsidRPr="00390477">
        <w:rPr>
          <w:rFonts w:cs="Arial"/>
          <w:i/>
          <w:iCs/>
        </w:rPr>
        <w:t>:</w:t>
      </w:r>
      <w:r w:rsidRPr="00390477">
        <w:rPr>
          <w:rFonts w:cs="Arial"/>
          <w:i/>
          <w:iCs/>
        </w:rPr>
        <w:t xml:space="preserve"> An Approach under Investigation in the</w:t>
      </w:r>
      <w:r w:rsidRPr="00390477">
        <w:rPr>
          <w:rFonts w:cs="Arial"/>
          <w:i/>
          <w:iCs/>
          <w:lang w:eastAsia="ja-JP"/>
        </w:rPr>
        <w:t xml:space="preserve"> </w:t>
      </w:r>
      <w:r w:rsidRPr="00390477">
        <w:rPr>
          <w:rFonts w:cs="Arial"/>
          <w:i/>
          <w:iCs/>
        </w:rPr>
        <w:t>United States of America for Potential Application in Plant Variety Protection</w:t>
      </w:r>
    </w:p>
    <w:p w:rsidR="00DF61EE" w:rsidRPr="00F72E16" w:rsidRDefault="00E5782A" w:rsidP="000A7C03">
      <w:pPr>
        <w:ind w:left="540"/>
        <w:rPr>
          <w:rFonts w:cs="Arial"/>
          <w:i/>
          <w:iCs/>
          <w:lang w:val="fr-FR"/>
        </w:rPr>
      </w:pPr>
      <w:r w:rsidRPr="00F72E16">
        <w:rPr>
          <w:rFonts w:cs="Arial"/>
          <w:i/>
          <w:iCs/>
          <w:lang w:val="fr-FR" w:eastAsia="ja-JP"/>
        </w:rPr>
        <w:t>(</w:t>
      </w:r>
      <w:r w:rsidR="00337523" w:rsidRPr="00F72E16">
        <w:rPr>
          <w:rFonts w:cs="Arial"/>
          <w:i/>
          <w:iCs/>
          <w:lang w:val="fr-FR"/>
        </w:rPr>
        <w:t>document</w:t>
      </w:r>
      <w:r w:rsidR="007C42CA" w:rsidRPr="00F72E16">
        <w:rPr>
          <w:rFonts w:cs="Arial"/>
          <w:i/>
          <w:iCs/>
          <w:lang w:val="fr-FR"/>
        </w:rPr>
        <w:t>s</w:t>
      </w:r>
      <w:r w:rsidR="00337523" w:rsidRPr="00F72E16">
        <w:rPr>
          <w:rFonts w:cs="Arial"/>
          <w:i/>
          <w:iCs/>
          <w:lang w:val="fr-FR"/>
        </w:rPr>
        <w:t xml:space="preserve"> BMT/14/5</w:t>
      </w:r>
      <w:r w:rsidR="00596251" w:rsidRPr="00F72E16">
        <w:rPr>
          <w:rFonts w:cs="Arial"/>
          <w:i/>
          <w:iCs/>
          <w:lang w:val="fr-FR" w:eastAsia="ja-JP"/>
        </w:rPr>
        <w:t xml:space="preserve"> </w:t>
      </w:r>
      <w:r w:rsidR="007C42CA" w:rsidRPr="00F72E16">
        <w:rPr>
          <w:rFonts w:cs="Arial"/>
          <w:i/>
          <w:iCs/>
          <w:lang w:val="fr-FR" w:eastAsia="ja-JP"/>
        </w:rPr>
        <w:t>et</w:t>
      </w:r>
      <w:r w:rsidR="00596251" w:rsidRPr="00F72E16">
        <w:rPr>
          <w:rFonts w:cs="Arial"/>
          <w:i/>
          <w:iCs/>
          <w:lang w:val="fr-FR" w:eastAsia="ja-JP"/>
        </w:rPr>
        <w:t xml:space="preserve"> BMT/14/5</w:t>
      </w:r>
      <w:r w:rsidR="00DE6D2B" w:rsidRPr="00F72E16">
        <w:rPr>
          <w:rFonts w:cs="Arial"/>
          <w:i/>
          <w:iCs/>
          <w:lang w:val="fr-FR" w:eastAsia="ja-JP"/>
        </w:rPr>
        <w:t> </w:t>
      </w:r>
      <w:r w:rsidR="00596251" w:rsidRPr="00F72E16">
        <w:rPr>
          <w:rFonts w:cs="Arial"/>
          <w:i/>
          <w:iCs/>
          <w:lang w:val="fr-FR" w:eastAsia="ja-JP"/>
        </w:rPr>
        <w:t>Add.</w:t>
      </w:r>
      <w:r w:rsidR="00337523" w:rsidRPr="00F72E16">
        <w:rPr>
          <w:rFonts w:cs="Arial"/>
          <w:i/>
          <w:iCs/>
          <w:lang w:val="fr-FR"/>
        </w:rPr>
        <w:t>)</w:t>
      </w:r>
    </w:p>
    <w:p w:rsidR="00DF61EE" w:rsidRPr="00F72E16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C72A57" w:rsidRPr="00390477" w:rsidRDefault="00337523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Identification of Rice Varieties Using Genic Markers for Three DUS Characteristics</w:t>
      </w:r>
    </w:p>
    <w:p w:rsidR="00DF61EE" w:rsidRPr="00F72E16" w:rsidRDefault="00337523" w:rsidP="008651D1">
      <w:pPr>
        <w:ind w:left="540"/>
        <w:rPr>
          <w:rFonts w:cs="Arial"/>
          <w:i/>
          <w:iCs/>
          <w:lang w:val="fr-FR"/>
        </w:rPr>
      </w:pPr>
      <w:r w:rsidRPr="00F72E16">
        <w:rPr>
          <w:rFonts w:cs="Arial"/>
          <w:i/>
          <w:iCs/>
          <w:lang w:val="fr-FR"/>
        </w:rPr>
        <w:t>(document</w:t>
      </w:r>
      <w:r w:rsidR="007C42CA" w:rsidRPr="00F72E16">
        <w:rPr>
          <w:rFonts w:cs="Arial"/>
          <w:i/>
          <w:iCs/>
          <w:lang w:val="fr-FR"/>
        </w:rPr>
        <w:t>s</w:t>
      </w:r>
      <w:r w:rsidRPr="00F72E16">
        <w:rPr>
          <w:rFonts w:cs="Arial"/>
          <w:i/>
          <w:iCs/>
          <w:lang w:val="fr-FR"/>
        </w:rPr>
        <w:t xml:space="preserve"> BMT/14/8</w:t>
      </w:r>
      <w:r w:rsidR="00596251" w:rsidRPr="00F72E16">
        <w:rPr>
          <w:rFonts w:cs="Arial"/>
          <w:i/>
          <w:iCs/>
          <w:lang w:val="fr-FR" w:eastAsia="ja-JP"/>
        </w:rPr>
        <w:t xml:space="preserve"> </w:t>
      </w:r>
      <w:r w:rsidR="007C42CA" w:rsidRPr="00F72E16">
        <w:rPr>
          <w:rFonts w:cs="Arial"/>
          <w:i/>
          <w:iCs/>
          <w:lang w:val="fr-FR" w:eastAsia="ja-JP"/>
        </w:rPr>
        <w:t>et</w:t>
      </w:r>
      <w:r w:rsidR="00596251" w:rsidRPr="00F72E16">
        <w:rPr>
          <w:rFonts w:cs="Arial"/>
          <w:i/>
          <w:iCs/>
          <w:lang w:val="fr-FR" w:eastAsia="ja-JP"/>
        </w:rPr>
        <w:t xml:space="preserve"> BMT/14/8</w:t>
      </w:r>
      <w:r w:rsidR="00DE6D2B" w:rsidRPr="00F72E16">
        <w:rPr>
          <w:rFonts w:cs="Arial"/>
          <w:i/>
          <w:iCs/>
          <w:lang w:val="fr-FR" w:eastAsia="ja-JP"/>
        </w:rPr>
        <w:t> </w:t>
      </w:r>
      <w:r w:rsidR="00596251" w:rsidRPr="00F72E16">
        <w:rPr>
          <w:rFonts w:cs="Arial"/>
          <w:i/>
          <w:iCs/>
          <w:lang w:val="fr-FR" w:eastAsia="ja-JP"/>
        </w:rPr>
        <w:t>Add.</w:t>
      </w:r>
      <w:r w:rsidRPr="00F72E16">
        <w:rPr>
          <w:rFonts w:cs="Arial"/>
          <w:i/>
          <w:iCs/>
          <w:lang w:val="fr-FR"/>
        </w:rPr>
        <w:t>)</w:t>
      </w:r>
    </w:p>
    <w:p w:rsidR="00DF61EE" w:rsidRPr="00F72E16" w:rsidRDefault="00DF61EE" w:rsidP="008651D1">
      <w:pPr>
        <w:ind w:left="567"/>
        <w:rPr>
          <w:rFonts w:cs="Arial"/>
          <w:i/>
          <w:iCs/>
          <w:lang w:val="fr-FR" w:eastAsia="ja-JP"/>
        </w:rPr>
      </w:pPr>
    </w:p>
    <w:p w:rsidR="00C72A57" w:rsidRPr="00390477" w:rsidRDefault="00337523" w:rsidP="008651D1">
      <w:pPr>
        <w:ind w:left="540"/>
        <w:rPr>
          <w:rFonts w:cs="Arial"/>
          <w:i/>
          <w:iCs/>
        </w:rPr>
      </w:pPr>
      <w:r w:rsidRPr="00390477">
        <w:rPr>
          <w:rFonts w:cs="Arial"/>
          <w:i/>
          <w:iCs/>
        </w:rPr>
        <w:t>The Use of Molecular markers (SNP) for Maize DUS Testing</w:t>
      </w:r>
    </w:p>
    <w:p w:rsidR="00DF61EE" w:rsidRPr="00F72E16" w:rsidRDefault="00337523" w:rsidP="008651D1">
      <w:pPr>
        <w:ind w:left="540"/>
        <w:rPr>
          <w:rFonts w:cs="Arial"/>
          <w:i/>
          <w:iCs/>
          <w:lang w:val="fr-FR"/>
        </w:rPr>
      </w:pPr>
      <w:r w:rsidRPr="00F72E16">
        <w:rPr>
          <w:rFonts w:cs="Arial"/>
          <w:i/>
          <w:iCs/>
          <w:lang w:val="fr-FR"/>
        </w:rPr>
        <w:t>(document</w:t>
      </w:r>
      <w:r w:rsidR="007C42CA" w:rsidRPr="00F72E16">
        <w:rPr>
          <w:rFonts w:cs="Arial"/>
          <w:i/>
          <w:iCs/>
          <w:lang w:val="fr-FR"/>
        </w:rPr>
        <w:t>s</w:t>
      </w:r>
      <w:r w:rsidRPr="00F72E16">
        <w:rPr>
          <w:rFonts w:cs="Arial"/>
          <w:i/>
          <w:iCs/>
          <w:lang w:val="fr-FR"/>
        </w:rPr>
        <w:t xml:space="preserve"> BMT/14/10</w:t>
      </w:r>
      <w:r w:rsidR="00596251" w:rsidRPr="00F72E16">
        <w:rPr>
          <w:rFonts w:cs="Arial"/>
          <w:i/>
          <w:iCs/>
          <w:lang w:val="fr-FR" w:eastAsia="ja-JP"/>
        </w:rPr>
        <w:t xml:space="preserve"> </w:t>
      </w:r>
      <w:r w:rsidR="007C42CA" w:rsidRPr="00F72E16">
        <w:rPr>
          <w:rFonts w:cs="Arial"/>
          <w:i/>
          <w:iCs/>
          <w:lang w:val="fr-FR" w:eastAsia="ja-JP"/>
        </w:rPr>
        <w:t>et</w:t>
      </w:r>
      <w:r w:rsidR="00596251" w:rsidRPr="00F72E16">
        <w:rPr>
          <w:rFonts w:cs="Arial"/>
          <w:i/>
          <w:iCs/>
          <w:lang w:val="fr-FR" w:eastAsia="ja-JP"/>
        </w:rPr>
        <w:t xml:space="preserve"> BMT/14/10</w:t>
      </w:r>
      <w:r w:rsidR="00DE6D2B" w:rsidRPr="00F72E16">
        <w:rPr>
          <w:rFonts w:cs="Arial"/>
          <w:i/>
          <w:iCs/>
          <w:lang w:val="fr-FR" w:eastAsia="ja-JP"/>
        </w:rPr>
        <w:t> </w:t>
      </w:r>
      <w:r w:rsidR="00596251" w:rsidRPr="00F72E16">
        <w:rPr>
          <w:rFonts w:cs="Arial"/>
          <w:i/>
          <w:iCs/>
          <w:lang w:val="fr-FR" w:eastAsia="ja-JP"/>
        </w:rPr>
        <w:t>Add.</w:t>
      </w:r>
      <w:r w:rsidRPr="00F72E16">
        <w:rPr>
          <w:rFonts w:cs="Arial"/>
          <w:i/>
          <w:iCs/>
          <w:lang w:val="fr-FR"/>
        </w:rPr>
        <w:t>)</w:t>
      </w:r>
    </w:p>
    <w:p w:rsidR="00DF61EE" w:rsidRPr="00F72E16" w:rsidRDefault="00DF61EE" w:rsidP="008651D1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337523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Potential Uses of Molecular Markers in Management of Rose Varieties for the PVP System</w:t>
      </w:r>
    </w:p>
    <w:p w:rsidR="00DF61EE" w:rsidRPr="00F72E16" w:rsidRDefault="00337523" w:rsidP="008651D1">
      <w:pPr>
        <w:ind w:left="540"/>
        <w:rPr>
          <w:rFonts w:cs="Arial"/>
          <w:i/>
          <w:iCs/>
          <w:lang w:val="fr-FR"/>
        </w:rPr>
      </w:pPr>
      <w:r w:rsidRPr="00F72E16">
        <w:rPr>
          <w:rFonts w:cs="Arial"/>
          <w:i/>
          <w:iCs/>
          <w:lang w:val="fr-FR"/>
        </w:rPr>
        <w:t>(document</w:t>
      </w:r>
      <w:r w:rsidR="007C42CA" w:rsidRPr="00F72E16">
        <w:rPr>
          <w:rFonts w:cs="Arial"/>
          <w:i/>
          <w:iCs/>
          <w:lang w:val="fr-FR"/>
        </w:rPr>
        <w:t>s</w:t>
      </w:r>
      <w:r w:rsidRPr="00F72E16">
        <w:rPr>
          <w:rFonts w:cs="Arial"/>
          <w:i/>
          <w:iCs/>
          <w:lang w:val="fr-FR"/>
        </w:rPr>
        <w:t xml:space="preserve"> BMT/14/12</w:t>
      </w:r>
      <w:r w:rsidR="00596251" w:rsidRPr="00F72E16">
        <w:rPr>
          <w:rFonts w:cs="Arial"/>
          <w:i/>
          <w:iCs/>
          <w:lang w:val="fr-FR" w:eastAsia="ja-JP"/>
        </w:rPr>
        <w:t xml:space="preserve"> </w:t>
      </w:r>
      <w:r w:rsidR="007C42CA" w:rsidRPr="00F72E16">
        <w:rPr>
          <w:rFonts w:cs="Arial"/>
          <w:i/>
          <w:iCs/>
          <w:lang w:val="fr-FR" w:eastAsia="ja-JP"/>
        </w:rPr>
        <w:t>et</w:t>
      </w:r>
      <w:r w:rsidR="00596251" w:rsidRPr="00F72E16">
        <w:rPr>
          <w:rFonts w:cs="Arial"/>
          <w:i/>
          <w:iCs/>
          <w:lang w:val="fr-FR" w:eastAsia="ja-JP"/>
        </w:rPr>
        <w:t xml:space="preserve"> BMT/14/12</w:t>
      </w:r>
      <w:r w:rsidR="00DE6D2B" w:rsidRPr="00F72E16">
        <w:rPr>
          <w:rFonts w:cs="Arial"/>
          <w:i/>
          <w:iCs/>
          <w:lang w:val="fr-FR" w:eastAsia="ja-JP"/>
        </w:rPr>
        <w:t> </w:t>
      </w:r>
      <w:r w:rsidR="00596251" w:rsidRPr="00F72E16">
        <w:rPr>
          <w:rFonts w:cs="Arial"/>
          <w:i/>
          <w:iCs/>
          <w:lang w:val="fr-FR" w:eastAsia="ja-JP"/>
        </w:rPr>
        <w:t>Add.</w:t>
      </w:r>
      <w:r w:rsidRPr="00F72E16">
        <w:rPr>
          <w:rFonts w:cs="Arial"/>
          <w:i/>
          <w:iCs/>
          <w:lang w:val="fr-FR"/>
        </w:rPr>
        <w:t>)</w:t>
      </w:r>
    </w:p>
    <w:p w:rsidR="00DF61EE" w:rsidRPr="00F72E16" w:rsidRDefault="00DF61EE" w:rsidP="008651D1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337523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Development of EST</w:t>
      </w:r>
      <w:r w:rsidR="003F4060" w:rsidRPr="00390477">
        <w:rPr>
          <w:rFonts w:cs="Arial"/>
          <w:i/>
          <w:iCs/>
        </w:rPr>
        <w:noBreakHyphen/>
      </w:r>
      <w:r w:rsidRPr="00390477">
        <w:rPr>
          <w:rFonts w:cs="Arial"/>
          <w:i/>
          <w:iCs/>
        </w:rPr>
        <w:t>SSR Markers of Lettuce and Variety Identification Using EST</w:t>
      </w:r>
      <w:r w:rsidR="003F4060" w:rsidRPr="00390477">
        <w:rPr>
          <w:rFonts w:cs="Arial"/>
          <w:i/>
          <w:iCs/>
        </w:rPr>
        <w:noBreakHyphen/>
      </w:r>
      <w:r w:rsidRPr="00390477">
        <w:rPr>
          <w:rFonts w:cs="Arial"/>
          <w:i/>
          <w:iCs/>
        </w:rPr>
        <w:t>SSR Markers</w:t>
      </w:r>
    </w:p>
    <w:p w:rsidR="00DF61EE" w:rsidRPr="00390477" w:rsidRDefault="00337523" w:rsidP="008651D1">
      <w:pPr>
        <w:ind w:left="540"/>
        <w:rPr>
          <w:rFonts w:cs="Arial"/>
          <w:i/>
          <w:iCs/>
        </w:rPr>
      </w:pPr>
      <w:r w:rsidRPr="00390477">
        <w:rPr>
          <w:rFonts w:cs="Arial"/>
          <w:i/>
          <w:iCs/>
        </w:rPr>
        <w:t>(document BMT/14/13</w:t>
      </w:r>
      <w:r w:rsidR="00DE6D2B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Rev.</w:t>
      </w:r>
      <w:r w:rsidRPr="00390477">
        <w:rPr>
          <w:rFonts w:cs="Arial"/>
          <w:i/>
          <w:iCs/>
        </w:rPr>
        <w:t>)</w:t>
      </w:r>
    </w:p>
    <w:p w:rsidR="00CB1775" w:rsidRPr="00390477" w:rsidRDefault="00CB1775" w:rsidP="008651D1">
      <w:pPr>
        <w:ind w:left="540"/>
        <w:rPr>
          <w:rFonts w:cs="Arial"/>
          <w:i/>
          <w:iCs/>
        </w:rPr>
      </w:pPr>
    </w:p>
    <w:p w:rsidR="00C72A57" w:rsidRPr="00390477" w:rsidRDefault="00337523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Construction of DNA Profile Database of Strawberry Varieties Using SSR Markers</w:t>
      </w:r>
    </w:p>
    <w:p w:rsidR="00DF61EE" w:rsidRPr="00390477" w:rsidRDefault="00337523" w:rsidP="008651D1">
      <w:pPr>
        <w:ind w:left="540"/>
        <w:rPr>
          <w:rFonts w:cs="Arial"/>
          <w:i/>
          <w:iCs/>
        </w:rPr>
      </w:pPr>
      <w:r w:rsidRPr="00390477">
        <w:rPr>
          <w:rFonts w:cs="Arial"/>
          <w:i/>
          <w:iCs/>
        </w:rPr>
        <w:t>(document BMT/14/14</w:t>
      </w:r>
      <w:r w:rsidR="00DE6D2B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Rev.</w:t>
      </w:r>
      <w:r w:rsidRPr="00390477">
        <w:rPr>
          <w:rFonts w:cs="Arial"/>
          <w:i/>
          <w:iCs/>
        </w:rPr>
        <w:t>)</w:t>
      </w:r>
    </w:p>
    <w:p w:rsidR="00DF61EE" w:rsidRPr="00390477" w:rsidRDefault="00DF61EE" w:rsidP="008651D1">
      <w:pPr>
        <w:ind w:left="567"/>
        <w:rPr>
          <w:rFonts w:cs="Arial"/>
          <w:i/>
          <w:iCs/>
          <w:lang w:eastAsia="ja-JP"/>
        </w:rPr>
      </w:pPr>
    </w:p>
    <w:p w:rsidR="00DF61EE" w:rsidRPr="00390477" w:rsidRDefault="00337523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 xml:space="preserve">Use of Molecular Marker Techniques for Selection of </w:t>
      </w:r>
      <w:r w:rsidR="00DE0253" w:rsidRPr="00390477">
        <w:rPr>
          <w:rFonts w:cs="Arial"/>
          <w:i/>
          <w:iCs/>
        </w:rPr>
        <w:t>‘</w:t>
      </w:r>
      <w:r w:rsidRPr="00390477">
        <w:rPr>
          <w:rFonts w:cs="Arial"/>
          <w:i/>
          <w:iCs/>
        </w:rPr>
        <w:t>Similar Variety</w:t>
      </w:r>
      <w:r w:rsidR="00DE0253" w:rsidRPr="00390477">
        <w:rPr>
          <w:rFonts w:cs="Arial"/>
          <w:i/>
          <w:iCs/>
        </w:rPr>
        <w:t>’</w:t>
      </w:r>
      <w:r w:rsidRPr="00390477">
        <w:rPr>
          <w:rFonts w:cs="Arial"/>
          <w:i/>
          <w:iCs/>
        </w:rPr>
        <w:t xml:space="preserve"> about </w:t>
      </w:r>
      <w:r w:rsidR="00DE0253" w:rsidRPr="00390477">
        <w:rPr>
          <w:rFonts w:cs="Arial"/>
          <w:i/>
          <w:iCs/>
        </w:rPr>
        <w:t>‘</w:t>
      </w:r>
      <w:r w:rsidRPr="00390477">
        <w:rPr>
          <w:rFonts w:cs="Arial"/>
          <w:i/>
          <w:iCs/>
        </w:rPr>
        <w:t>Candidate Variety</w:t>
      </w:r>
      <w:r w:rsidR="00DE0253" w:rsidRPr="00390477">
        <w:rPr>
          <w:rFonts w:cs="Arial"/>
          <w:i/>
          <w:iCs/>
        </w:rPr>
        <w:t>’</w:t>
      </w:r>
    </w:p>
    <w:p w:rsidR="00DF61EE" w:rsidRPr="00390477" w:rsidRDefault="00337523" w:rsidP="008651D1">
      <w:pPr>
        <w:ind w:left="540"/>
        <w:rPr>
          <w:rFonts w:cs="Arial"/>
          <w:i/>
          <w:iCs/>
        </w:rPr>
      </w:pPr>
      <w:r w:rsidRPr="00390477">
        <w:rPr>
          <w:rFonts w:cs="Arial"/>
          <w:i/>
          <w:iCs/>
        </w:rPr>
        <w:t>(document BMT/14/16</w:t>
      </w:r>
      <w:r w:rsidR="00730C79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Rev</w:t>
      </w:r>
      <w:r w:rsidR="00730C79" w:rsidRPr="00390477">
        <w:rPr>
          <w:rFonts w:cs="Arial"/>
          <w:i/>
          <w:iCs/>
          <w:lang w:eastAsia="ja-JP"/>
        </w:rPr>
        <w:t>.</w:t>
      </w:r>
      <w:r w:rsidR="00596251" w:rsidRPr="00390477">
        <w:rPr>
          <w:rFonts w:cs="Arial"/>
          <w:i/>
          <w:iCs/>
          <w:lang w:eastAsia="ja-JP"/>
        </w:rPr>
        <w:t>2</w:t>
      </w:r>
      <w:r w:rsidR="00730C79" w:rsidRPr="00390477">
        <w:rPr>
          <w:rFonts w:cs="Arial"/>
          <w:i/>
          <w:iCs/>
          <w:lang w:eastAsia="ja-JP"/>
        </w:rPr>
        <w:t>)</w:t>
      </w:r>
    </w:p>
    <w:p w:rsidR="00DF61EE" w:rsidRPr="00390477" w:rsidRDefault="00337523" w:rsidP="008651D1">
      <w:pPr>
        <w:ind w:left="540"/>
        <w:rPr>
          <w:rFonts w:cs="Arial"/>
          <w:i/>
          <w:iCs/>
        </w:rPr>
      </w:pPr>
      <w:r w:rsidRPr="00390477">
        <w:rPr>
          <w:rFonts w:cs="Arial"/>
          <w:i/>
          <w:iCs/>
        </w:rPr>
        <w:lastRenderedPageBreak/>
        <w:t>Improving Efficiency of DUS Testin</w:t>
      </w:r>
      <w:r w:rsidR="009D08D3" w:rsidRPr="00390477">
        <w:rPr>
          <w:rFonts w:cs="Arial"/>
          <w:i/>
          <w:iCs/>
        </w:rPr>
        <w:t>g of Perennial Ryegrass by Combi</w:t>
      </w:r>
      <w:r w:rsidRPr="00390477">
        <w:rPr>
          <w:rFonts w:cs="Arial"/>
          <w:i/>
          <w:iCs/>
        </w:rPr>
        <w:t>ning Morphological and</w:t>
      </w:r>
      <w:r w:rsidRPr="00390477">
        <w:rPr>
          <w:rFonts w:cs="Arial"/>
          <w:i/>
          <w:iCs/>
          <w:lang w:eastAsia="ja-JP"/>
        </w:rPr>
        <w:t xml:space="preserve"> </w:t>
      </w:r>
      <w:r w:rsidRPr="00390477">
        <w:rPr>
          <w:rFonts w:cs="Arial"/>
          <w:i/>
          <w:iCs/>
        </w:rPr>
        <w:t>Molecular Variety Distances (document</w:t>
      </w:r>
      <w:r w:rsidR="007C42CA" w:rsidRPr="00390477">
        <w:rPr>
          <w:rFonts w:cs="Arial"/>
          <w:i/>
          <w:iCs/>
        </w:rPr>
        <w:t>s</w:t>
      </w:r>
      <w:r w:rsidRPr="00390477">
        <w:rPr>
          <w:rFonts w:cs="Arial"/>
          <w:i/>
          <w:iCs/>
        </w:rPr>
        <w:t xml:space="preserve"> BMT/14/17</w:t>
      </w:r>
      <w:r w:rsidR="00596251" w:rsidRPr="00390477">
        <w:rPr>
          <w:rFonts w:cs="Arial"/>
          <w:i/>
          <w:iCs/>
          <w:lang w:eastAsia="ja-JP"/>
        </w:rPr>
        <w:t xml:space="preserve"> </w:t>
      </w:r>
      <w:r w:rsidR="007C42CA" w:rsidRPr="00390477">
        <w:rPr>
          <w:rFonts w:cs="Arial"/>
          <w:i/>
          <w:iCs/>
          <w:lang w:eastAsia="ja-JP"/>
        </w:rPr>
        <w:t>et</w:t>
      </w:r>
      <w:r w:rsidR="00596251" w:rsidRPr="00390477">
        <w:rPr>
          <w:rFonts w:cs="Arial"/>
          <w:i/>
          <w:iCs/>
          <w:lang w:eastAsia="ja-JP"/>
        </w:rPr>
        <w:t xml:space="preserve"> BMT/14/17</w:t>
      </w:r>
      <w:r w:rsidR="00DE6D2B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Add.</w:t>
      </w:r>
      <w:r w:rsidRPr="00390477">
        <w:rPr>
          <w:rFonts w:cs="Arial"/>
          <w:i/>
          <w:iCs/>
        </w:rPr>
        <w:t>)</w:t>
      </w:r>
    </w:p>
    <w:p w:rsidR="00DF61EE" w:rsidRPr="00390477" w:rsidRDefault="00DF61EE" w:rsidP="008651D1">
      <w:pPr>
        <w:ind w:left="567"/>
        <w:rPr>
          <w:rFonts w:cs="Arial"/>
          <w:i/>
          <w:iCs/>
          <w:lang w:eastAsia="ja-JP"/>
        </w:rPr>
      </w:pPr>
    </w:p>
    <w:p w:rsidR="00DF61EE" w:rsidRPr="00390477" w:rsidRDefault="007C42CA" w:rsidP="008651D1">
      <w:pPr>
        <w:ind w:left="567"/>
        <w:rPr>
          <w:rFonts w:cs="Arial"/>
          <w:i/>
          <w:iCs/>
        </w:rPr>
      </w:pPr>
      <w:r w:rsidRPr="00390477">
        <w:rPr>
          <w:rFonts w:cs="Arial"/>
          <w:i/>
          <w:iCs/>
          <w:lang w:eastAsia="ja-JP"/>
        </w:rPr>
        <w:t>A European Potato Database as Centralized Collection of Varieties of Common Knowledge</w:t>
      </w:r>
      <w:r w:rsidR="00D12FFE" w:rsidRPr="00390477">
        <w:rPr>
          <w:rFonts w:cs="Arial"/>
          <w:i/>
          <w:iCs/>
          <w:lang w:eastAsia="ja-JP"/>
        </w:rPr>
        <w:t xml:space="preserve"> </w:t>
      </w:r>
      <w:r w:rsidR="00337523" w:rsidRPr="00390477">
        <w:rPr>
          <w:rFonts w:cs="Arial"/>
          <w:i/>
          <w:iCs/>
        </w:rPr>
        <w:t>(document</w:t>
      </w:r>
      <w:r w:rsidRPr="00390477">
        <w:rPr>
          <w:rFonts w:cs="Arial"/>
          <w:i/>
          <w:iCs/>
        </w:rPr>
        <w:t>s</w:t>
      </w:r>
      <w:r w:rsidR="00337523" w:rsidRPr="00390477">
        <w:rPr>
          <w:rFonts w:cs="Arial"/>
          <w:i/>
          <w:iCs/>
        </w:rPr>
        <w:t xml:space="preserve"> BMT/14/18</w:t>
      </w:r>
      <w:r w:rsidR="00596251" w:rsidRPr="00390477">
        <w:rPr>
          <w:rFonts w:cs="Arial"/>
          <w:i/>
          <w:iCs/>
          <w:lang w:eastAsia="ja-JP"/>
        </w:rPr>
        <w:t xml:space="preserve"> </w:t>
      </w:r>
      <w:r w:rsidR="00DF61EE" w:rsidRPr="00390477">
        <w:rPr>
          <w:rFonts w:cs="Arial"/>
          <w:i/>
          <w:iCs/>
          <w:lang w:eastAsia="ja-JP"/>
        </w:rPr>
        <w:t>et</w:t>
      </w:r>
      <w:r w:rsidR="00596251" w:rsidRPr="00390477">
        <w:rPr>
          <w:rFonts w:cs="Arial"/>
          <w:i/>
          <w:iCs/>
          <w:lang w:eastAsia="ja-JP"/>
        </w:rPr>
        <w:t xml:space="preserve"> BMT/14/18</w:t>
      </w:r>
      <w:r w:rsidR="00DE6D2B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Add.</w:t>
      </w:r>
      <w:r w:rsidR="00337523" w:rsidRPr="00390477">
        <w:rPr>
          <w:rFonts w:cs="Arial"/>
          <w:i/>
          <w:iCs/>
        </w:rPr>
        <w:t>)</w:t>
      </w:r>
    </w:p>
    <w:p w:rsidR="00DF61EE" w:rsidRPr="00390477" w:rsidRDefault="00DF61EE" w:rsidP="008651D1">
      <w:pPr>
        <w:ind w:left="567"/>
        <w:rPr>
          <w:rFonts w:cs="Arial"/>
          <w:i/>
          <w:iCs/>
          <w:lang w:eastAsia="ja-JP"/>
        </w:rPr>
      </w:pPr>
    </w:p>
    <w:p w:rsidR="00DF61EE" w:rsidRPr="00390477" w:rsidRDefault="00337523" w:rsidP="008651D1">
      <w:pPr>
        <w:ind w:left="540"/>
        <w:rPr>
          <w:rFonts w:cs="Arial"/>
          <w:i/>
          <w:lang w:eastAsia="ja-JP"/>
        </w:rPr>
      </w:pPr>
      <w:r w:rsidRPr="00390477">
        <w:rPr>
          <w:rFonts w:cs="Arial"/>
          <w:i/>
          <w:iCs/>
        </w:rPr>
        <w:t xml:space="preserve">Molecular Markers as Predictors for </w:t>
      </w:r>
      <w:r w:rsidR="00DE0253" w:rsidRPr="00390477">
        <w:rPr>
          <w:rFonts w:cs="Arial"/>
          <w:i/>
          <w:iCs/>
        </w:rPr>
        <w:t>‘</w:t>
      </w:r>
      <w:r w:rsidRPr="00390477">
        <w:rPr>
          <w:rFonts w:cs="Arial"/>
          <w:i/>
          <w:iCs/>
        </w:rPr>
        <w:t>Traditional</w:t>
      </w:r>
      <w:r w:rsidR="00DE0253" w:rsidRPr="00390477">
        <w:rPr>
          <w:rFonts w:cs="Arial"/>
          <w:i/>
          <w:iCs/>
        </w:rPr>
        <w:t>’</w:t>
      </w:r>
      <w:r w:rsidRPr="00390477">
        <w:rPr>
          <w:rFonts w:cs="Arial"/>
          <w:i/>
          <w:iCs/>
        </w:rPr>
        <w:t xml:space="preserve"> Characteristics (document BMT/14/19</w:t>
      </w:r>
      <w:r w:rsidR="00DE6D2B" w:rsidRPr="00390477">
        <w:rPr>
          <w:rFonts w:cs="Arial"/>
          <w:i/>
          <w:iCs/>
          <w:lang w:eastAsia="ja-JP"/>
        </w:rPr>
        <w:t> </w:t>
      </w:r>
      <w:r w:rsidR="00596251" w:rsidRPr="00390477">
        <w:rPr>
          <w:rFonts w:cs="Arial"/>
          <w:i/>
          <w:iCs/>
          <w:lang w:eastAsia="ja-JP"/>
        </w:rPr>
        <w:t>Rev.</w:t>
      </w:r>
      <w:r w:rsidRPr="00390477">
        <w:rPr>
          <w:rFonts w:cs="Arial"/>
          <w:i/>
          <w:iCs/>
        </w:rPr>
        <w:t>)</w:t>
      </w:r>
    </w:p>
    <w:p w:rsidR="00DF61EE" w:rsidRPr="00390477" w:rsidRDefault="00DF61EE" w:rsidP="008651D1">
      <w:pPr>
        <w:ind w:left="567"/>
        <w:rPr>
          <w:rFonts w:cs="Arial"/>
          <w:i/>
          <w:lang w:eastAsia="ja-JP"/>
        </w:rPr>
      </w:pPr>
    </w:p>
    <w:p w:rsidR="00DF61EE" w:rsidRPr="00F72E16" w:rsidRDefault="001B485F" w:rsidP="008651D1">
      <w:pPr>
        <w:ind w:left="567"/>
        <w:rPr>
          <w:rFonts w:cs="Arial"/>
          <w:i/>
          <w:lang w:val="fr-FR" w:eastAsia="ja-JP"/>
        </w:rPr>
      </w:pPr>
      <w:bookmarkStart w:id="13" w:name="_Toc410822408"/>
      <w:r w:rsidRPr="00F72E16">
        <w:rPr>
          <w:rFonts w:cs="Arial"/>
          <w:i/>
          <w:lang w:val="fr-FR"/>
        </w:rPr>
        <w:t>Directives internationales en matière de techniques moléculaires</w:t>
      </w:r>
      <w:r w:rsidR="00596251" w:rsidRPr="00F72E16">
        <w:rPr>
          <w:rFonts w:cs="Arial"/>
          <w:i/>
          <w:lang w:val="fr-FR"/>
        </w:rPr>
        <w:t xml:space="preserve"> (document BMT/14/3)</w:t>
      </w:r>
      <w:bookmarkEnd w:id="13"/>
    </w:p>
    <w:p w:rsidR="00DF61EE" w:rsidRPr="00F72E16" w:rsidRDefault="00DF61EE" w:rsidP="008651D1">
      <w:pPr>
        <w:ind w:left="567"/>
        <w:rPr>
          <w:rFonts w:cs="Arial"/>
          <w:i/>
          <w:lang w:val="fr-FR" w:eastAsia="ja-JP"/>
        </w:rPr>
      </w:pPr>
    </w:p>
    <w:p w:rsidR="00DF61EE" w:rsidRPr="00F72E16" w:rsidRDefault="001B485F" w:rsidP="008651D1">
      <w:pPr>
        <w:ind w:left="567"/>
        <w:rPr>
          <w:rFonts w:cs="Arial"/>
          <w:i/>
          <w:lang w:val="fr-FR"/>
        </w:rPr>
      </w:pPr>
      <w:bookmarkStart w:id="14" w:name="_Toc410822409"/>
      <w:r w:rsidRPr="00F72E16">
        <w:rPr>
          <w:rFonts w:cs="Arial"/>
          <w:i/>
          <w:lang w:val="fr-FR"/>
        </w:rPr>
        <w:t>Bases de données des descriptions variétales</w:t>
      </w:r>
      <w:r w:rsidR="00596251" w:rsidRPr="00F72E16">
        <w:rPr>
          <w:rFonts w:cs="Arial"/>
          <w:i/>
          <w:lang w:val="fr-FR"/>
        </w:rPr>
        <w:t xml:space="preserve"> (document BMT/14/4)</w:t>
      </w:r>
      <w:bookmarkEnd w:id="14"/>
    </w:p>
    <w:p w:rsidR="00DF61EE" w:rsidRPr="00F72E16" w:rsidRDefault="00DF61EE" w:rsidP="008651D1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596251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Ownership and Use of DUS Samples and of DNA and DNA Data During and After the DUS Tests</w:t>
      </w:r>
      <w:r w:rsidRPr="00390477">
        <w:rPr>
          <w:rFonts w:cs="Arial"/>
          <w:i/>
          <w:iCs/>
          <w:lang w:eastAsia="ja-JP"/>
        </w:rPr>
        <w:t xml:space="preserve"> </w:t>
      </w:r>
      <w:r w:rsidR="00121AA6" w:rsidRPr="00390477">
        <w:rPr>
          <w:rFonts w:cs="Arial"/>
          <w:i/>
          <w:iCs/>
        </w:rPr>
        <w:t>(</w:t>
      </w:r>
      <w:r w:rsidR="00C72A57" w:rsidRPr="00390477">
        <w:rPr>
          <w:rFonts w:cs="Arial"/>
          <w:i/>
          <w:iCs/>
        </w:rPr>
        <w:t>document BM</w:t>
      </w:r>
      <w:r w:rsidRPr="00390477">
        <w:rPr>
          <w:rFonts w:cs="Arial"/>
          <w:i/>
          <w:iCs/>
        </w:rPr>
        <w:t>T/14/11)</w:t>
      </w:r>
    </w:p>
    <w:p w:rsidR="00DF61EE" w:rsidRPr="00390477" w:rsidRDefault="00DF61EE" w:rsidP="008651D1">
      <w:pPr>
        <w:ind w:left="567"/>
        <w:rPr>
          <w:rFonts w:cs="Arial"/>
          <w:i/>
          <w:iCs/>
          <w:lang w:eastAsia="ja-JP"/>
        </w:rPr>
      </w:pPr>
    </w:p>
    <w:p w:rsidR="00DF61EE" w:rsidRPr="00F72E16" w:rsidRDefault="001B485F" w:rsidP="008651D1">
      <w:pPr>
        <w:ind w:left="567"/>
        <w:rPr>
          <w:rFonts w:cs="Arial"/>
          <w:i/>
          <w:lang w:val="fr-FR"/>
        </w:rPr>
      </w:pPr>
      <w:r w:rsidRPr="00F72E16">
        <w:rPr>
          <w:rFonts w:cs="Arial"/>
          <w:i/>
          <w:iCs/>
          <w:lang w:val="fr-FR" w:eastAsia="ja-JP"/>
        </w:rPr>
        <w:t>Utilisation des techniques moléculaires pour l</w:t>
      </w:r>
      <w:r w:rsidR="00DE0253" w:rsidRPr="00F72E16">
        <w:rPr>
          <w:rFonts w:cs="Arial"/>
          <w:i/>
          <w:iCs/>
          <w:lang w:val="fr-FR" w:eastAsia="ja-JP"/>
        </w:rPr>
        <w:t>’</w:t>
      </w:r>
      <w:r w:rsidRPr="00F72E16">
        <w:rPr>
          <w:rFonts w:cs="Arial"/>
          <w:i/>
          <w:iCs/>
          <w:lang w:val="fr-FR" w:eastAsia="ja-JP"/>
        </w:rPr>
        <w:t>appréciation de la notion de variété essentiellement dérivée</w:t>
      </w:r>
      <w:r w:rsidR="00DF61EE" w:rsidRPr="00F72E16">
        <w:rPr>
          <w:rStyle w:val="FootnoteReference"/>
          <w:rFonts w:cs="Arial"/>
          <w:i/>
          <w:lang w:val="fr-FR"/>
        </w:rPr>
        <w:footnoteReference w:id="4"/>
      </w:r>
    </w:p>
    <w:p w:rsidR="00DF61EE" w:rsidRPr="00F72E16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596251" w:rsidP="008651D1">
      <w:pPr>
        <w:ind w:left="540"/>
        <w:rPr>
          <w:rFonts w:cs="Arial"/>
          <w:i/>
          <w:iCs/>
          <w:lang w:eastAsia="ja-JP"/>
        </w:rPr>
      </w:pPr>
      <w:r w:rsidRPr="00390477">
        <w:rPr>
          <w:rFonts w:cs="Arial"/>
          <w:i/>
          <w:iCs/>
        </w:rPr>
        <w:t>Identification of SNP Markers to aid Assessment of Essential Derivation in Maize</w:t>
      </w:r>
    </w:p>
    <w:p w:rsidR="00DF61EE" w:rsidRPr="00F72E16" w:rsidRDefault="00596251" w:rsidP="008651D1">
      <w:pPr>
        <w:ind w:left="540"/>
        <w:rPr>
          <w:rFonts w:cs="Arial"/>
          <w:i/>
          <w:iCs/>
          <w:lang w:val="fr-FR"/>
        </w:rPr>
      </w:pPr>
      <w:r w:rsidRPr="00F72E16">
        <w:rPr>
          <w:rFonts w:cs="Arial"/>
          <w:i/>
          <w:iCs/>
          <w:lang w:val="fr-FR"/>
        </w:rPr>
        <w:t>(document BMT/14/7</w:t>
      </w:r>
      <w:r w:rsidR="00DE6D2B" w:rsidRPr="00F72E16">
        <w:rPr>
          <w:rFonts w:cs="Arial"/>
          <w:i/>
          <w:iCs/>
          <w:lang w:val="fr-FR"/>
        </w:rPr>
        <w:t> </w:t>
      </w:r>
      <w:r w:rsidRPr="00F72E16">
        <w:rPr>
          <w:rFonts w:cs="Arial"/>
          <w:i/>
          <w:iCs/>
          <w:lang w:val="fr-FR"/>
        </w:rPr>
        <w:t>Rev.)</w:t>
      </w:r>
    </w:p>
    <w:p w:rsidR="007C42CA" w:rsidRPr="000A7C03" w:rsidRDefault="007C42CA" w:rsidP="000A7C03">
      <w:pPr>
        <w:ind w:left="567"/>
        <w:rPr>
          <w:rFonts w:cs="Arial"/>
          <w:i/>
          <w:iCs/>
          <w:lang w:val="fr-FR" w:eastAsia="ja-JP"/>
        </w:rPr>
      </w:pPr>
    </w:p>
    <w:p w:rsidR="00DF61EE" w:rsidRPr="00F72E16" w:rsidRDefault="001B485F" w:rsidP="008651D1">
      <w:pPr>
        <w:ind w:firstLine="567"/>
        <w:rPr>
          <w:rFonts w:cs="Arial"/>
          <w:i/>
          <w:lang w:val="fr-FR" w:eastAsia="ja-JP"/>
        </w:rPr>
      </w:pPr>
      <w:r w:rsidRPr="00F72E16">
        <w:rPr>
          <w:rFonts w:cs="Arial"/>
          <w:i/>
          <w:lang w:val="fr-FR" w:eastAsia="ja-JP"/>
        </w:rPr>
        <w:t>Utilisation des techniques moléculaires pour l</w:t>
      </w:r>
      <w:r w:rsidR="00DE0253" w:rsidRPr="00F72E16">
        <w:rPr>
          <w:rFonts w:cs="Arial"/>
          <w:i/>
          <w:lang w:val="fr-FR" w:eastAsia="ja-JP"/>
        </w:rPr>
        <w:t>’</w:t>
      </w:r>
      <w:r w:rsidRPr="00F72E16">
        <w:rPr>
          <w:rFonts w:cs="Arial"/>
          <w:i/>
          <w:lang w:val="fr-FR" w:eastAsia="ja-JP"/>
        </w:rPr>
        <w:t>identification des variétés</w:t>
      </w:r>
      <w:r w:rsidR="00D12FFE" w:rsidRPr="00F72E16">
        <w:rPr>
          <w:rFonts w:cs="Arial"/>
          <w:i/>
          <w:vertAlign w:val="superscript"/>
          <w:lang w:val="fr-FR" w:eastAsia="ja-JP"/>
        </w:rPr>
        <w:t>1</w:t>
      </w:r>
    </w:p>
    <w:p w:rsidR="00DF61EE" w:rsidRPr="00F72E16" w:rsidRDefault="00DF61EE" w:rsidP="000A7C03">
      <w:pPr>
        <w:ind w:left="567"/>
        <w:rPr>
          <w:rFonts w:cs="Arial"/>
          <w:i/>
          <w:iCs/>
          <w:lang w:val="fr-FR" w:eastAsia="ja-JP"/>
        </w:rPr>
      </w:pPr>
    </w:p>
    <w:p w:rsidR="00DF61EE" w:rsidRPr="00390477" w:rsidRDefault="00596251" w:rsidP="008651D1">
      <w:pPr>
        <w:tabs>
          <w:tab w:val="left" w:pos="540"/>
        </w:tabs>
        <w:ind w:left="540" w:firstLine="27"/>
        <w:rPr>
          <w:rFonts w:cs="Arial"/>
          <w:i/>
          <w:iCs/>
        </w:rPr>
      </w:pPr>
      <w:r w:rsidRPr="00390477">
        <w:rPr>
          <w:rFonts w:cs="Arial"/>
          <w:i/>
          <w:iCs/>
        </w:rPr>
        <w:t>Use of DNA Variety Identification Technique for Measures Against the Infringement of Plant</w:t>
      </w:r>
      <w:r w:rsidRPr="00390477">
        <w:rPr>
          <w:rFonts w:cs="Arial"/>
          <w:i/>
          <w:iCs/>
          <w:lang w:eastAsia="ja-JP"/>
        </w:rPr>
        <w:t xml:space="preserve"> </w:t>
      </w:r>
      <w:r w:rsidRPr="00390477">
        <w:rPr>
          <w:rFonts w:cs="Arial"/>
          <w:i/>
          <w:iCs/>
        </w:rPr>
        <w:t>Breeders</w:t>
      </w:r>
      <w:r w:rsidR="00DE0253" w:rsidRPr="00390477">
        <w:rPr>
          <w:rFonts w:cs="Arial"/>
          <w:i/>
          <w:iCs/>
        </w:rPr>
        <w:t>’</w:t>
      </w:r>
      <w:r w:rsidRPr="00390477">
        <w:rPr>
          <w:rFonts w:cs="Arial"/>
          <w:i/>
          <w:iCs/>
        </w:rPr>
        <w:t xml:space="preserve"> Rights in Japan (document</w:t>
      </w:r>
      <w:r w:rsidR="00D54EAB" w:rsidRPr="00390477">
        <w:rPr>
          <w:rFonts w:cs="Arial"/>
          <w:i/>
          <w:iCs/>
        </w:rPr>
        <w:t>s</w:t>
      </w:r>
      <w:r w:rsidRPr="00390477">
        <w:rPr>
          <w:rFonts w:cs="Arial"/>
          <w:i/>
          <w:iCs/>
        </w:rPr>
        <w:t xml:space="preserve"> BMT/14/6 </w:t>
      </w:r>
      <w:r w:rsidR="00D54EAB" w:rsidRPr="00390477">
        <w:rPr>
          <w:rFonts w:cs="Arial"/>
          <w:i/>
          <w:iCs/>
        </w:rPr>
        <w:t>et</w:t>
      </w:r>
      <w:r w:rsidRPr="00390477">
        <w:rPr>
          <w:rFonts w:cs="Arial"/>
          <w:i/>
          <w:iCs/>
        </w:rPr>
        <w:t xml:space="preserve"> BMT/14/6</w:t>
      </w:r>
      <w:r w:rsidR="00DE6D2B" w:rsidRPr="00390477">
        <w:rPr>
          <w:rFonts w:cs="Arial"/>
          <w:i/>
          <w:iCs/>
        </w:rPr>
        <w:t> </w:t>
      </w:r>
      <w:r w:rsidRPr="00390477">
        <w:rPr>
          <w:rFonts w:cs="Arial"/>
          <w:i/>
          <w:iCs/>
        </w:rPr>
        <w:t>Add.</w:t>
      </w:r>
      <w:r w:rsidR="00DE6D2B" w:rsidRPr="00390477">
        <w:rPr>
          <w:rFonts w:cs="Arial"/>
          <w:i/>
          <w:iCs/>
        </w:rPr>
        <w:t> </w:t>
      </w:r>
      <w:r w:rsidRPr="00390477">
        <w:rPr>
          <w:rFonts w:cs="Arial"/>
          <w:i/>
          <w:iCs/>
          <w:lang w:eastAsia="ja-JP"/>
        </w:rPr>
        <w:t>Rev.</w:t>
      </w:r>
      <w:r w:rsidRPr="00390477">
        <w:rPr>
          <w:rFonts w:cs="Arial"/>
          <w:i/>
          <w:iCs/>
        </w:rPr>
        <w:t>)</w:t>
      </w:r>
    </w:p>
    <w:p w:rsidR="00DF61EE" w:rsidRPr="00390477" w:rsidRDefault="00DF61EE" w:rsidP="000A7C03">
      <w:pPr>
        <w:ind w:left="567"/>
        <w:rPr>
          <w:rFonts w:cs="Arial"/>
          <w:i/>
          <w:iCs/>
          <w:lang w:eastAsia="ja-JP"/>
        </w:rPr>
      </w:pPr>
    </w:p>
    <w:p w:rsidR="00C72A57" w:rsidRPr="00390477" w:rsidRDefault="00596251" w:rsidP="008651D1">
      <w:pPr>
        <w:ind w:firstLine="540"/>
        <w:rPr>
          <w:rFonts w:cs="Arial"/>
          <w:i/>
          <w:iCs/>
        </w:rPr>
      </w:pPr>
      <w:r w:rsidRPr="00390477">
        <w:rPr>
          <w:rFonts w:cs="Arial"/>
          <w:i/>
          <w:iCs/>
        </w:rPr>
        <w:t xml:space="preserve">Determining a Threshold for Genetic Conformity </w:t>
      </w:r>
      <w:r w:rsidR="0063559D" w:rsidRPr="00390477">
        <w:rPr>
          <w:rFonts w:cs="Arial"/>
          <w:i/>
          <w:iCs/>
        </w:rPr>
        <w:t>i</w:t>
      </w:r>
      <w:r w:rsidRPr="00390477">
        <w:rPr>
          <w:rFonts w:cs="Arial"/>
          <w:i/>
          <w:iCs/>
        </w:rPr>
        <w:t>n Potato Seedlings</w:t>
      </w:r>
    </w:p>
    <w:p w:rsidR="00DF61EE" w:rsidRPr="00390477" w:rsidRDefault="00596251" w:rsidP="008651D1">
      <w:pPr>
        <w:ind w:firstLine="540"/>
        <w:rPr>
          <w:rFonts w:cs="Arial"/>
          <w:i/>
          <w:lang w:eastAsia="ja-JP"/>
        </w:rPr>
      </w:pPr>
      <w:r w:rsidRPr="00390477">
        <w:rPr>
          <w:rFonts w:cs="Arial"/>
          <w:i/>
          <w:iCs/>
        </w:rPr>
        <w:t>(document</w:t>
      </w:r>
      <w:r w:rsidR="00D54EAB" w:rsidRPr="00390477">
        <w:rPr>
          <w:rFonts w:cs="Arial"/>
          <w:i/>
          <w:iCs/>
        </w:rPr>
        <w:t>s</w:t>
      </w:r>
      <w:r w:rsidRPr="00390477">
        <w:rPr>
          <w:rFonts w:cs="Arial"/>
          <w:i/>
          <w:iCs/>
        </w:rPr>
        <w:t xml:space="preserve"> BMT/14/9</w:t>
      </w:r>
      <w:r w:rsidRPr="00390477">
        <w:rPr>
          <w:rFonts w:cs="Arial"/>
          <w:i/>
          <w:iCs/>
          <w:lang w:eastAsia="ja-JP"/>
        </w:rPr>
        <w:t xml:space="preserve"> </w:t>
      </w:r>
      <w:r w:rsidR="00D54EAB" w:rsidRPr="00390477">
        <w:rPr>
          <w:rFonts w:cs="Arial"/>
          <w:i/>
          <w:iCs/>
          <w:lang w:eastAsia="ja-JP"/>
        </w:rPr>
        <w:t>et</w:t>
      </w:r>
      <w:r w:rsidRPr="00390477">
        <w:rPr>
          <w:rFonts w:cs="Arial"/>
          <w:i/>
          <w:iCs/>
          <w:lang w:eastAsia="ja-JP"/>
        </w:rPr>
        <w:t xml:space="preserve"> BMT/14/9</w:t>
      </w:r>
      <w:r w:rsidR="00DE6D2B" w:rsidRPr="00390477">
        <w:rPr>
          <w:rFonts w:cs="Arial"/>
          <w:i/>
          <w:iCs/>
          <w:lang w:eastAsia="ja-JP"/>
        </w:rPr>
        <w:t> </w:t>
      </w:r>
      <w:r w:rsidRPr="00390477">
        <w:rPr>
          <w:rFonts w:cs="Arial"/>
          <w:i/>
          <w:iCs/>
          <w:lang w:eastAsia="ja-JP"/>
        </w:rPr>
        <w:t>Add.</w:t>
      </w:r>
      <w:r w:rsidRPr="00390477">
        <w:rPr>
          <w:rFonts w:cs="Arial"/>
          <w:i/>
          <w:iCs/>
        </w:rPr>
        <w:t>)</w:t>
      </w:r>
    </w:p>
    <w:p w:rsidR="00DF61EE" w:rsidRPr="00390477" w:rsidRDefault="00DF61EE" w:rsidP="008651D1">
      <w:pPr>
        <w:rPr>
          <w:rFonts w:cs="Arial"/>
          <w:lang w:eastAsia="ja-JP"/>
        </w:rPr>
      </w:pPr>
    </w:p>
    <w:p w:rsidR="00DF61EE" w:rsidRPr="00F72E16" w:rsidRDefault="00BB63EA" w:rsidP="008651D1">
      <w:pPr>
        <w:keepNext/>
        <w:rPr>
          <w:rFonts w:cs="Arial"/>
          <w:lang w:val="fr-FR"/>
        </w:rPr>
      </w:pPr>
      <w:r w:rsidRPr="00F72E16">
        <w:rPr>
          <w:rFonts w:cs="Arial"/>
          <w:iCs/>
          <w:snapToGrid w:val="0"/>
          <w:lang w:val="fr-FR"/>
        </w:rPr>
        <w:fldChar w:fldCharType="begin"/>
      </w:r>
      <w:r w:rsidRPr="00F72E16">
        <w:rPr>
          <w:rFonts w:cs="Arial"/>
          <w:iCs/>
          <w:snapToGrid w:val="0"/>
          <w:lang w:val="fr-FR"/>
        </w:rPr>
        <w:instrText xml:space="preserve"> AUTONUM  </w:instrText>
      </w:r>
      <w:r w:rsidRPr="00F72E16">
        <w:rPr>
          <w:rFonts w:cs="Arial"/>
          <w:iCs/>
          <w:snapToGrid w:val="0"/>
          <w:lang w:val="fr-FR"/>
        </w:rPr>
        <w:fldChar w:fldCharType="end"/>
      </w:r>
      <w:r w:rsidRPr="00F72E16">
        <w:rPr>
          <w:rFonts w:cs="Arial"/>
          <w:iCs/>
          <w:snapToGrid w:val="0"/>
          <w:lang w:val="fr-FR"/>
        </w:rPr>
        <w:tab/>
      </w:r>
      <w:r w:rsidR="00D54EAB" w:rsidRPr="00F72E16">
        <w:rPr>
          <w:rFonts w:cs="Arial"/>
          <w:iCs/>
          <w:snapToGrid w:val="0"/>
          <w:lang w:val="fr-FR"/>
        </w:rPr>
        <w:t>À la suite de l</w:t>
      </w:r>
      <w:r w:rsidR="00DE0253" w:rsidRPr="00F72E16">
        <w:rPr>
          <w:rFonts w:cs="Arial"/>
          <w:iCs/>
          <w:snapToGrid w:val="0"/>
          <w:lang w:val="fr-FR"/>
        </w:rPr>
        <w:t>’</w:t>
      </w:r>
      <w:r w:rsidR="00D54EAB" w:rsidRPr="00F72E16">
        <w:rPr>
          <w:rFonts w:cs="Arial"/>
          <w:iCs/>
          <w:snapToGrid w:val="0"/>
          <w:lang w:val="fr-FR"/>
        </w:rPr>
        <w:t>invitation de la Fédération de Russie,</w:t>
      </w:r>
      <w:r w:rsidR="00C72A57" w:rsidRPr="00F72E16">
        <w:rPr>
          <w:rFonts w:cs="Arial"/>
          <w:iCs/>
          <w:snapToGrid w:val="0"/>
          <w:lang w:val="fr-FR"/>
        </w:rPr>
        <w:t xml:space="preserve"> le BMT</w:t>
      </w:r>
      <w:r w:rsidR="00D54EAB" w:rsidRPr="00F72E16">
        <w:rPr>
          <w:rFonts w:cs="Arial"/>
          <w:iCs/>
          <w:snapToGrid w:val="0"/>
          <w:lang w:val="fr-FR"/>
        </w:rPr>
        <w:t xml:space="preserve"> est convenu de tenir sa quinzième</w:t>
      </w:r>
      <w:r w:rsidR="00DE6D2B" w:rsidRPr="00F72E16">
        <w:rPr>
          <w:rFonts w:cs="Arial"/>
          <w:iCs/>
          <w:snapToGrid w:val="0"/>
          <w:lang w:val="fr-FR"/>
        </w:rPr>
        <w:t> </w:t>
      </w:r>
      <w:r w:rsidR="00D54EAB" w:rsidRPr="00F72E16">
        <w:rPr>
          <w:rFonts w:cs="Arial"/>
          <w:iCs/>
          <w:snapToGrid w:val="0"/>
          <w:lang w:val="fr-FR"/>
        </w:rPr>
        <w:t xml:space="preserve">session à Moscou en </w:t>
      </w:r>
      <w:r w:rsidR="00C72A57" w:rsidRPr="00F72E16">
        <w:rPr>
          <w:rFonts w:cs="Arial"/>
          <w:iCs/>
          <w:snapToGrid w:val="0"/>
          <w:lang w:val="fr-FR"/>
        </w:rPr>
        <w:t>mai 20</w:t>
      </w:r>
      <w:r w:rsidR="00D54EAB" w:rsidRPr="00F72E16">
        <w:rPr>
          <w:rFonts w:cs="Arial"/>
          <w:iCs/>
          <w:snapToGrid w:val="0"/>
          <w:lang w:val="fr-FR"/>
        </w:rPr>
        <w:t xml:space="preserve">16, un atelier préparatoire étant prévu en </w:t>
      </w:r>
      <w:r w:rsidR="00C72A57" w:rsidRPr="00F72E16">
        <w:rPr>
          <w:rFonts w:cs="Arial"/>
          <w:iCs/>
          <w:snapToGrid w:val="0"/>
          <w:lang w:val="fr-FR"/>
        </w:rPr>
        <w:t>mai 20</w:t>
      </w:r>
      <w:r w:rsidR="00D54EAB" w:rsidRPr="00F72E16">
        <w:rPr>
          <w:rFonts w:cs="Arial"/>
          <w:iCs/>
          <w:snapToGrid w:val="0"/>
          <w:lang w:val="fr-FR"/>
        </w:rPr>
        <w:t>16</w:t>
      </w:r>
      <w:r w:rsidR="00DB71F7" w:rsidRPr="00F72E16">
        <w:rPr>
          <w:rFonts w:cs="Arial"/>
          <w:iCs/>
          <w:snapToGrid w:val="0"/>
          <w:lang w:val="fr-FR"/>
        </w:rPr>
        <w:t xml:space="preserve">.  </w:t>
      </w:r>
      <w:r w:rsidR="0033342F" w:rsidRPr="00F72E16">
        <w:rPr>
          <w:rFonts w:cs="Arial"/>
          <w:iCs/>
          <w:snapToGrid w:val="0"/>
          <w:lang w:val="fr-FR"/>
        </w:rPr>
        <w:t>Le BMT a prévu d</w:t>
      </w:r>
      <w:r w:rsidR="00DE0253" w:rsidRPr="00F72E16">
        <w:rPr>
          <w:rFonts w:cs="Arial"/>
          <w:iCs/>
          <w:snapToGrid w:val="0"/>
          <w:lang w:val="fr-FR"/>
        </w:rPr>
        <w:t>’</w:t>
      </w:r>
      <w:r w:rsidR="0033342F" w:rsidRPr="00F72E16">
        <w:rPr>
          <w:rFonts w:cs="Arial"/>
          <w:iCs/>
          <w:snapToGrid w:val="0"/>
          <w:lang w:val="fr-FR"/>
        </w:rPr>
        <w:t>examiner les questions suivantes :</w:t>
      </w:r>
    </w:p>
    <w:p w:rsidR="00DF61EE" w:rsidRPr="00F72E16" w:rsidRDefault="00DF61EE" w:rsidP="008651D1">
      <w:pPr>
        <w:keepNext/>
        <w:rPr>
          <w:rFonts w:cs="Arial"/>
          <w:lang w:val="fr-FR"/>
        </w:rPr>
      </w:pPr>
    </w:p>
    <w:p w:rsidR="00DF61EE" w:rsidRPr="00F72E16" w:rsidRDefault="00DF61EE" w:rsidP="008651D1">
      <w:pPr>
        <w:pStyle w:val="BodyTextIndent"/>
        <w:keepNext/>
        <w:spacing w:after="240"/>
        <w:ind w:firstLine="284"/>
        <w:rPr>
          <w:rFonts w:cs="Arial"/>
          <w:lang w:val="fr-FR"/>
        </w:rPr>
      </w:pPr>
      <w:r w:rsidRPr="00F72E16">
        <w:rPr>
          <w:rFonts w:cs="Arial"/>
          <w:lang w:val="fr-FR"/>
        </w:rPr>
        <w:t>1.</w:t>
      </w:r>
      <w:r w:rsidRPr="00F72E16">
        <w:rPr>
          <w:rFonts w:cs="Arial"/>
          <w:lang w:val="fr-FR"/>
        </w:rPr>
        <w:tab/>
      </w:r>
      <w:r w:rsidR="001B485F" w:rsidRPr="00F72E16">
        <w:rPr>
          <w:rFonts w:cs="Arial"/>
          <w:lang w:val="fr-FR"/>
        </w:rPr>
        <w:t>Ouverture de la</w:t>
      </w:r>
      <w:r w:rsidR="00AF1FD5" w:rsidRPr="00F72E16">
        <w:rPr>
          <w:rFonts w:cs="Arial"/>
          <w:lang w:val="fr-FR"/>
        </w:rPr>
        <w:t xml:space="preserve"> session</w:t>
      </w:r>
    </w:p>
    <w:p w:rsidR="00DF61EE" w:rsidRPr="00F72E16" w:rsidRDefault="00DF61EE" w:rsidP="008651D1">
      <w:pPr>
        <w:pStyle w:val="BodyTextIndent"/>
        <w:keepNext/>
        <w:spacing w:after="240"/>
        <w:ind w:firstLine="284"/>
        <w:rPr>
          <w:rFonts w:cs="Arial"/>
          <w:lang w:val="fr-FR"/>
        </w:rPr>
      </w:pPr>
      <w:r w:rsidRPr="00F72E16">
        <w:rPr>
          <w:rFonts w:cs="Arial"/>
          <w:lang w:val="fr-FR"/>
        </w:rPr>
        <w:t>2.</w:t>
      </w:r>
      <w:r w:rsidRPr="00F72E16">
        <w:rPr>
          <w:rFonts w:cs="Arial"/>
          <w:lang w:val="fr-FR"/>
        </w:rPr>
        <w:tab/>
      </w:r>
      <w:r w:rsidR="00AF1FD5" w:rsidRPr="00F72E16">
        <w:rPr>
          <w:rFonts w:cs="Arial"/>
          <w:lang w:val="fr-FR"/>
        </w:rPr>
        <w:t xml:space="preserve">Adoption </w:t>
      </w:r>
      <w:r w:rsidR="001B485F" w:rsidRPr="00F72E16">
        <w:rPr>
          <w:rFonts w:cs="Arial"/>
          <w:lang w:val="fr-FR"/>
        </w:rPr>
        <w:t>de l</w:t>
      </w:r>
      <w:r w:rsidR="00DE0253" w:rsidRPr="00F72E16">
        <w:rPr>
          <w:rFonts w:cs="Arial"/>
          <w:lang w:val="fr-FR"/>
        </w:rPr>
        <w:t>’</w:t>
      </w:r>
      <w:r w:rsidR="001B485F" w:rsidRPr="00F72E16">
        <w:rPr>
          <w:rFonts w:cs="Arial"/>
          <w:lang w:val="fr-FR"/>
        </w:rPr>
        <w:t>ordre du jour</w:t>
      </w:r>
    </w:p>
    <w:p w:rsidR="00DF61EE" w:rsidRPr="00F72E16" w:rsidRDefault="00CB1775" w:rsidP="008651D1">
      <w:pPr>
        <w:pStyle w:val="BodyTextIndent"/>
        <w:keepNext/>
        <w:spacing w:after="240"/>
        <w:ind w:left="1134" w:hanging="567"/>
        <w:rPr>
          <w:rFonts w:cs="Arial"/>
          <w:lang w:val="fr-FR"/>
        </w:rPr>
      </w:pPr>
      <w:r>
        <w:rPr>
          <w:rFonts w:cs="Arial"/>
          <w:lang w:val="fr-FR"/>
        </w:rPr>
        <w:t>3.</w:t>
      </w:r>
      <w:r w:rsidR="00DF61EE" w:rsidRPr="00F72E16">
        <w:rPr>
          <w:rFonts w:cs="Arial"/>
          <w:lang w:val="fr-FR"/>
        </w:rPr>
        <w:tab/>
      </w:r>
      <w:r w:rsidR="001B485F" w:rsidRPr="00F72E16">
        <w:rPr>
          <w:rFonts w:cs="Arial"/>
          <w:lang w:val="fr-FR"/>
        </w:rPr>
        <w:t>Comptes rendus des faits nouveaux survenus au sein de l</w:t>
      </w:r>
      <w:r w:rsidR="00DE0253" w:rsidRPr="00F72E16">
        <w:rPr>
          <w:rFonts w:cs="Arial"/>
          <w:lang w:val="fr-FR"/>
        </w:rPr>
        <w:t>’</w:t>
      </w:r>
      <w:r w:rsidR="001B485F" w:rsidRPr="00F72E16">
        <w:rPr>
          <w:rFonts w:cs="Arial"/>
          <w:lang w:val="fr-FR"/>
        </w:rPr>
        <w:t>UPOV et concernant les techniques biochimiques et moléculaires</w:t>
      </w:r>
    </w:p>
    <w:p w:rsidR="00DF61EE" w:rsidRPr="00F72E16" w:rsidRDefault="00CB1775" w:rsidP="008651D1">
      <w:pPr>
        <w:pStyle w:val="BodyTextIndent"/>
        <w:keepNext/>
        <w:spacing w:after="240"/>
        <w:ind w:left="1170" w:hanging="603"/>
        <w:rPr>
          <w:rFonts w:cs="Arial"/>
          <w:lang w:val="fr-FR"/>
        </w:rPr>
      </w:pPr>
      <w:r>
        <w:rPr>
          <w:rFonts w:cs="Arial"/>
          <w:lang w:val="fr-FR"/>
        </w:rPr>
        <w:t>4.</w:t>
      </w:r>
      <w:r w:rsidR="00DF61EE" w:rsidRPr="00F72E16">
        <w:rPr>
          <w:rFonts w:cs="Arial"/>
          <w:lang w:val="fr-FR"/>
        </w:rPr>
        <w:tab/>
      </w:r>
      <w:r w:rsidR="001B485F" w:rsidRPr="00F72E16">
        <w:rPr>
          <w:rFonts w:cs="Arial"/>
          <w:lang w:val="fr-FR"/>
        </w:rPr>
        <w:t>Exposés succincts sur les faits nouveaux survenus en matière de techniques biochimiques et moléculaires, présentés par les spécialistes de l</w:t>
      </w:r>
      <w:r w:rsidR="00DE0253" w:rsidRPr="00F72E16">
        <w:rPr>
          <w:rFonts w:cs="Arial"/>
          <w:lang w:val="fr-FR"/>
        </w:rPr>
        <w:t>’</w:t>
      </w:r>
      <w:r w:rsidR="001B485F" w:rsidRPr="00F72E16">
        <w:rPr>
          <w:rFonts w:cs="Arial"/>
          <w:lang w:val="fr-FR"/>
        </w:rPr>
        <w:t>examen</w:t>
      </w:r>
      <w:r w:rsidR="00DE6D2B" w:rsidRPr="00F72E16">
        <w:rPr>
          <w:rFonts w:cs="Arial"/>
          <w:lang w:val="fr-FR"/>
        </w:rPr>
        <w:t> </w:t>
      </w:r>
      <w:r w:rsidR="001B485F" w:rsidRPr="00F72E16">
        <w:rPr>
          <w:rFonts w:cs="Arial"/>
          <w:lang w:val="fr-FR"/>
        </w:rPr>
        <w:t>DHS, des spécialistes des techniques biochimiques et moléculaires, des obtenteurs et les organisations internationales concernées</w:t>
      </w:r>
    </w:p>
    <w:p w:rsidR="00DF61EE" w:rsidRPr="00F72E16" w:rsidRDefault="00BB63EA" w:rsidP="008651D1">
      <w:pPr>
        <w:pStyle w:val="BodyTextIndent"/>
        <w:keepNext/>
        <w:spacing w:after="240"/>
        <w:ind w:left="1134" w:hanging="567"/>
        <w:rPr>
          <w:rFonts w:cs="Arial"/>
          <w:lang w:val="fr-FR"/>
        </w:rPr>
      </w:pPr>
      <w:r w:rsidRPr="00F72E16">
        <w:rPr>
          <w:rFonts w:cs="Arial"/>
          <w:lang w:val="fr-FR" w:eastAsia="ja-JP"/>
        </w:rPr>
        <w:t>5</w:t>
      </w:r>
      <w:r w:rsidRPr="00F72E16">
        <w:rPr>
          <w:rFonts w:cs="Arial"/>
          <w:lang w:val="fr-FR"/>
        </w:rPr>
        <w:t>.</w:t>
      </w:r>
      <w:r w:rsidRPr="00F72E16">
        <w:rPr>
          <w:rFonts w:cs="Arial"/>
          <w:lang w:val="fr-FR"/>
        </w:rPr>
        <w:tab/>
      </w:r>
      <w:r w:rsidR="001B485F" w:rsidRPr="00F72E16">
        <w:rPr>
          <w:lang w:val="fr-FR"/>
        </w:rPr>
        <w:t>Compte rendu des travaux sur l</w:t>
      </w:r>
      <w:r w:rsidR="00DE0253" w:rsidRPr="00F72E16">
        <w:rPr>
          <w:lang w:val="fr-FR"/>
        </w:rPr>
        <w:t>’</w:t>
      </w:r>
      <w:r w:rsidR="001B485F" w:rsidRPr="00F72E16">
        <w:rPr>
          <w:lang w:val="fr-FR"/>
        </w:rPr>
        <w:t>utilisation des techniques moléculaires dans le cadre de l</w:t>
      </w:r>
      <w:r w:rsidR="00DE0253" w:rsidRPr="00F72E16">
        <w:rPr>
          <w:lang w:val="fr-FR"/>
        </w:rPr>
        <w:t>’</w:t>
      </w:r>
      <w:r w:rsidR="001B485F" w:rsidRPr="00F72E16">
        <w:rPr>
          <w:lang w:val="fr-FR"/>
        </w:rPr>
        <w:t>examen</w:t>
      </w:r>
      <w:r w:rsidR="00DE6D2B" w:rsidRPr="00F72E16">
        <w:rPr>
          <w:lang w:val="fr-FR"/>
        </w:rPr>
        <w:t> </w:t>
      </w:r>
      <w:r w:rsidR="001B485F" w:rsidRPr="00F72E16">
        <w:rPr>
          <w:lang w:val="fr-FR"/>
        </w:rPr>
        <w:t>DHS</w:t>
      </w:r>
    </w:p>
    <w:p w:rsidR="00DF61EE" w:rsidRPr="00F72E16" w:rsidRDefault="0033342F" w:rsidP="008651D1">
      <w:pPr>
        <w:pStyle w:val="BodyTextIndent"/>
        <w:spacing w:after="240"/>
        <w:ind w:firstLine="284"/>
        <w:rPr>
          <w:rFonts w:cs="Arial"/>
          <w:lang w:val="fr-FR"/>
        </w:rPr>
      </w:pPr>
      <w:r w:rsidRPr="00F72E16">
        <w:rPr>
          <w:rFonts w:cs="Arial"/>
          <w:lang w:val="fr-FR"/>
        </w:rPr>
        <w:t>6.</w:t>
      </w:r>
      <w:r w:rsidR="00DF61EE" w:rsidRPr="00F72E16">
        <w:rPr>
          <w:rFonts w:cs="Arial"/>
          <w:lang w:val="fr-FR"/>
        </w:rPr>
        <w:tab/>
      </w:r>
      <w:r w:rsidR="001B485F" w:rsidRPr="00F72E16">
        <w:rPr>
          <w:rFonts w:cs="Arial"/>
          <w:lang w:val="fr-FR"/>
        </w:rPr>
        <w:t>Directives internationales en matière de techniques moléculaires</w:t>
      </w:r>
    </w:p>
    <w:p w:rsidR="00DF61EE" w:rsidRPr="00F72E16" w:rsidRDefault="00CB1775" w:rsidP="008651D1">
      <w:pPr>
        <w:pStyle w:val="BodyTextIndent"/>
        <w:spacing w:after="240"/>
        <w:ind w:firstLine="284"/>
        <w:rPr>
          <w:rFonts w:cs="Arial"/>
          <w:lang w:val="fr-FR"/>
        </w:rPr>
      </w:pPr>
      <w:r>
        <w:rPr>
          <w:rFonts w:cs="Arial"/>
          <w:lang w:val="fr-FR"/>
        </w:rPr>
        <w:t>7.</w:t>
      </w:r>
      <w:r w:rsidR="00DF61EE" w:rsidRPr="00F72E16">
        <w:rPr>
          <w:rFonts w:cs="Arial"/>
          <w:lang w:val="fr-FR"/>
        </w:rPr>
        <w:tab/>
      </w:r>
      <w:r w:rsidR="001B485F" w:rsidRPr="00F72E16">
        <w:rPr>
          <w:rFonts w:cs="Arial"/>
          <w:lang w:val="fr-FR"/>
        </w:rPr>
        <w:t>Bases de données des descriptions variétales</w:t>
      </w:r>
    </w:p>
    <w:p w:rsidR="00C72A57" w:rsidRPr="00F72E16" w:rsidRDefault="00CB1775" w:rsidP="008651D1">
      <w:pPr>
        <w:pStyle w:val="BodyTextIndent"/>
        <w:spacing w:after="240"/>
        <w:ind w:firstLine="284"/>
        <w:rPr>
          <w:rFonts w:cs="Arial"/>
          <w:lang w:val="fr-FR"/>
        </w:rPr>
      </w:pPr>
      <w:r>
        <w:rPr>
          <w:rFonts w:cs="Arial"/>
          <w:lang w:val="fr-FR"/>
        </w:rPr>
        <w:t>8.</w:t>
      </w:r>
      <w:r w:rsidR="00DF61EE" w:rsidRPr="00F72E16">
        <w:rPr>
          <w:rFonts w:cs="Arial"/>
          <w:lang w:val="fr-FR"/>
        </w:rPr>
        <w:tab/>
      </w:r>
      <w:r w:rsidR="00AF1FD5" w:rsidRPr="00F72E16">
        <w:rPr>
          <w:rFonts w:cs="Arial"/>
          <w:lang w:val="fr-FR"/>
        </w:rPr>
        <w:t>M</w:t>
      </w:r>
      <w:r w:rsidR="001B485F" w:rsidRPr="00F72E16">
        <w:rPr>
          <w:rFonts w:cs="Arial"/>
          <w:lang w:val="fr-FR"/>
        </w:rPr>
        <w:t>éthodes d</w:t>
      </w:r>
      <w:r w:rsidR="00DE0253" w:rsidRPr="00F72E16">
        <w:rPr>
          <w:rFonts w:cs="Arial"/>
          <w:lang w:val="fr-FR"/>
        </w:rPr>
        <w:t>’</w:t>
      </w:r>
      <w:r w:rsidR="001B485F" w:rsidRPr="00F72E16">
        <w:rPr>
          <w:rFonts w:cs="Arial"/>
          <w:lang w:val="fr-FR"/>
        </w:rPr>
        <w:t>analyse des données moléculaires</w:t>
      </w:r>
    </w:p>
    <w:p w:rsidR="00C72A57" w:rsidRPr="00F72E16" w:rsidRDefault="00DF61EE" w:rsidP="008651D1">
      <w:pPr>
        <w:pStyle w:val="BodyTextIndent"/>
        <w:spacing w:after="240"/>
        <w:ind w:left="1134" w:hanging="567"/>
        <w:rPr>
          <w:rFonts w:cs="Arial"/>
          <w:lang w:val="fr-FR"/>
        </w:rPr>
      </w:pPr>
      <w:r w:rsidRPr="00F72E16">
        <w:rPr>
          <w:rFonts w:cs="Arial"/>
          <w:lang w:val="fr-FR"/>
        </w:rPr>
        <w:t>9.</w:t>
      </w:r>
      <w:r w:rsidRPr="00F72E16">
        <w:rPr>
          <w:rFonts w:cs="Arial"/>
          <w:lang w:val="fr-FR"/>
        </w:rPr>
        <w:tab/>
      </w:r>
      <w:r w:rsidR="00AF5959" w:rsidRPr="00F72E16">
        <w:rPr>
          <w:rFonts w:cs="Arial"/>
          <w:lang w:val="fr-FR"/>
        </w:rPr>
        <w:t>Utilisation des techniques moléculaires pour l</w:t>
      </w:r>
      <w:r w:rsidR="00DE0253" w:rsidRPr="00F72E16">
        <w:rPr>
          <w:rFonts w:cs="Arial"/>
          <w:lang w:val="fr-FR"/>
        </w:rPr>
        <w:t>’</w:t>
      </w:r>
      <w:r w:rsidR="00AF5959" w:rsidRPr="00F72E16">
        <w:rPr>
          <w:rFonts w:cs="Arial"/>
          <w:lang w:val="fr-FR"/>
        </w:rPr>
        <w:t>appréciation de la notion de variété essentiellement dérivée</w:t>
      </w:r>
      <w:r w:rsidRPr="00F72E16">
        <w:rPr>
          <w:rStyle w:val="FootnoteReference"/>
          <w:rFonts w:cs="Arial"/>
          <w:lang w:val="fr-FR"/>
        </w:rPr>
        <w:footnoteReference w:id="5"/>
      </w:r>
    </w:p>
    <w:p w:rsidR="00DF61EE" w:rsidRPr="00F72E16" w:rsidRDefault="00BB63EA" w:rsidP="008651D1">
      <w:pPr>
        <w:pStyle w:val="BodyTextIndent"/>
        <w:spacing w:after="240"/>
        <w:ind w:firstLine="284"/>
        <w:rPr>
          <w:rFonts w:cs="Arial"/>
          <w:lang w:val="fr-FR" w:eastAsia="ja-JP"/>
        </w:rPr>
      </w:pPr>
      <w:r w:rsidRPr="00F72E16">
        <w:rPr>
          <w:rFonts w:cs="Arial"/>
          <w:lang w:val="fr-FR"/>
        </w:rPr>
        <w:t>1</w:t>
      </w:r>
      <w:r w:rsidRPr="00F72E16">
        <w:rPr>
          <w:rFonts w:cs="Arial"/>
          <w:lang w:val="fr-FR" w:eastAsia="ja-JP"/>
        </w:rPr>
        <w:t>0</w:t>
      </w:r>
      <w:r w:rsidR="00AF5959" w:rsidRPr="00F72E16">
        <w:rPr>
          <w:rFonts w:cs="Arial"/>
          <w:lang w:val="fr-FR"/>
        </w:rPr>
        <w:t>.</w:t>
      </w:r>
      <w:r w:rsidR="00AF5959" w:rsidRPr="00F72E16">
        <w:rPr>
          <w:rFonts w:cs="Arial"/>
          <w:lang w:val="fr-FR"/>
        </w:rPr>
        <w:tab/>
        <w:t>Utilisation des techniques moléculaires pour l</w:t>
      </w:r>
      <w:r w:rsidR="00DE0253" w:rsidRPr="00F72E16">
        <w:rPr>
          <w:rFonts w:cs="Arial"/>
          <w:lang w:val="fr-FR"/>
        </w:rPr>
        <w:t>’</w:t>
      </w:r>
      <w:r w:rsidR="007E43A3" w:rsidRPr="00F72E16">
        <w:rPr>
          <w:rFonts w:cs="Arial"/>
          <w:lang w:val="fr-FR"/>
        </w:rPr>
        <w:t>identification des variété</w:t>
      </w:r>
      <w:r w:rsidR="00AF5959" w:rsidRPr="00F72E16">
        <w:rPr>
          <w:rFonts w:cs="Arial"/>
          <w:lang w:val="fr-FR"/>
        </w:rPr>
        <w:t>s</w:t>
      </w:r>
      <w:r w:rsidR="00D05B03" w:rsidRPr="00F72E16">
        <w:rPr>
          <w:rFonts w:cs="Arial"/>
          <w:vertAlign w:val="superscript"/>
          <w:lang w:val="fr-FR"/>
        </w:rPr>
        <w:t>2</w:t>
      </w:r>
    </w:p>
    <w:p w:rsidR="00DF61EE" w:rsidRPr="00F72E16" w:rsidRDefault="00BB63EA" w:rsidP="008651D1">
      <w:pPr>
        <w:pStyle w:val="BodyTextIndent"/>
        <w:spacing w:after="240"/>
        <w:ind w:firstLine="284"/>
        <w:rPr>
          <w:rFonts w:cs="Arial"/>
          <w:lang w:val="fr-FR" w:eastAsia="ja-JP"/>
        </w:rPr>
      </w:pPr>
      <w:r w:rsidRPr="00F72E16">
        <w:rPr>
          <w:rFonts w:cs="Arial"/>
          <w:lang w:val="fr-FR" w:eastAsia="ja-JP"/>
        </w:rPr>
        <w:lastRenderedPageBreak/>
        <w:t>11.</w:t>
      </w:r>
      <w:r w:rsidRPr="00F72E16">
        <w:rPr>
          <w:rFonts w:cs="Arial"/>
          <w:lang w:val="fr-FR" w:eastAsia="ja-JP"/>
        </w:rPr>
        <w:tab/>
        <w:t>Coo</w:t>
      </w:r>
      <w:r w:rsidR="00AF5959" w:rsidRPr="00F72E16">
        <w:rPr>
          <w:rFonts w:cs="Arial"/>
          <w:lang w:val="fr-FR" w:eastAsia="ja-JP"/>
        </w:rPr>
        <w:t>pération entre l</w:t>
      </w:r>
      <w:r w:rsidR="00DE0253" w:rsidRPr="00F72E16">
        <w:rPr>
          <w:rFonts w:cs="Arial"/>
          <w:lang w:val="fr-FR" w:eastAsia="ja-JP"/>
        </w:rPr>
        <w:t>’</w:t>
      </w:r>
      <w:r w:rsidR="00AF5959" w:rsidRPr="00F72E16">
        <w:rPr>
          <w:rFonts w:cs="Arial"/>
          <w:lang w:val="fr-FR" w:eastAsia="ja-JP"/>
        </w:rPr>
        <w:t>OCDE, l</w:t>
      </w:r>
      <w:r w:rsidR="00DE0253" w:rsidRPr="00F72E16">
        <w:rPr>
          <w:rFonts w:cs="Arial"/>
          <w:lang w:val="fr-FR" w:eastAsia="ja-JP"/>
        </w:rPr>
        <w:t>’</w:t>
      </w:r>
      <w:r w:rsidR="00AF5959" w:rsidRPr="00F72E16">
        <w:rPr>
          <w:rFonts w:cs="Arial"/>
          <w:lang w:val="fr-FR" w:eastAsia="ja-JP"/>
        </w:rPr>
        <w:t>UPOV, l</w:t>
      </w:r>
      <w:r w:rsidR="00DE0253" w:rsidRPr="00F72E16">
        <w:rPr>
          <w:rFonts w:cs="Arial"/>
          <w:lang w:val="fr-FR" w:eastAsia="ja-JP"/>
        </w:rPr>
        <w:t>’</w:t>
      </w:r>
      <w:r w:rsidR="00AF5959" w:rsidRPr="00F72E16">
        <w:rPr>
          <w:rFonts w:cs="Arial"/>
          <w:lang w:val="fr-FR" w:eastAsia="ja-JP"/>
        </w:rPr>
        <w:t>ISTA et l</w:t>
      </w:r>
      <w:r w:rsidR="00DE0253" w:rsidRPr="00F72E16">
        <w:rPr>
          <w:rFonts w:cs="Arial"/>
          <w:lang w:val="fr-FR" w:eastAsia="ja-JP"/>
        </w:rPr>
        <w:t>’</w:t>
      </w:r>
      <w:r w:rsidR="00AF5959" w:rsidRPr="00F72E16">
        <w:rPr>
          <w:rFonts w:cs="Arial"/>
          <w:lang w:val="fr-FR" w:eastAsia="ja-JP"/>
        </w:rPr>
        <w:t>ISO</w:t>
      </w:r>
    </w:p>
    <w:p w:rsidR="00DF61EE" w:rsidRPr="00F72E16" w:rsidRDefault="00CB1775" w:rsidP="008651D1">
      <w:pPr>
        <w:pStyle w:val="BodyTextIndent"/>
        <w:spacing w:after="240"/>
        <w:ind w:firstLine="284"/>
        <w:rPr>
          <w:rFonts w:cs="Arial"/>
          <w:lang w:val="fr-FR"/>
        </w:rPr>
      </w:pPr>
      <w:r>
        <w:rPr>
          <w:rFonts w:cs="Arial"/>
          <w:lang w:val="fr-FR"/>
        </w:rPr>
        <w:t>12.</w:t>
      </w:r>
      <w:r w:rsidR="005F3831" w:rsidRPr="00F72E16">
        <w:rPr>
          <w:rFonts w:cs="Arial"/>
          <w:lang w:val="fr-FR"/>
        </w:rPr>
        <w:tab/>
      </w:r>
      <w:r w:rsidR="00AF1FD5" w:rsidRPr="00F72E16">
        <w:rPr>
          <w:rFonts w:cs="Arial"/>
          <w:lang w:val="fr-FR"/>
        </w:rPr>
        <w:t xml:space="preserve">Date </w:t>
      </w:r>
      <w:r w:rsidR="00AF5959" w:rsidRPr="00F72E16">
        <w:rPr>
          <w:rFonts w:cs="Arial"/>
          <w:lang w:val="fr-FR"/>
        </w:rPr>
        <w:t>et lieu de la prochaine session</w:t>
      </w:r>
    </w:p>
    <w:p w:rsidR="00DF61EE" w:rsidRPr="00F72E16" w:rsidRDefault="00CB1775" w:rsidP="008651D1">
      <w:pPr>
        <w:pStyle w:val="BodyTextIndent"/>
        <w:spacing w:after="240"/>
        <w:ind w:firstLine="284"/>
        <w:rPr>
          <w:rFonts w:cs="Arial"/>
          <w:lang w:val="fr-FR"/>
        </w:rPr>
      </w:pPr>
      <w:r>
        <w:rPr>
          <w:rFonts w:cs="Arial"/>
          <w:lang w:val="fr-FR"/>
        </w:rPr>
        <w:t>13.</w:t>
      </w:r>
      <w:r w:rsidR="005F3831" w:rsidRPr="00F72E16">
        <w:rPr>
          <w:rFonts w:cs="Arial"/>
          <w:lang w:val="fr-FR"/>
        </w:rPr>
        <w:tab/>
      </w:r>
      <w:r w:rsidR="00AF5959" w:rsidRPr="00F72E16">
        <w:rPr>
          <w:rFonts w:cs="Arial"/>
          <w:lang w:val="fr-FR"/>
        </w:rPr>
        <w:t>Programme futur</w:t>
      </w:r>
    </w:p>
    <w:p w:rsidR="00DF61EE" w:rsidRPr="00F72E16" w:rsidRDefault="0033342F" w:rsidP="008651D1">
      <w:pPr>
        <w:pStyle w:val="BodyTextIndent"/>
        <w:spacing w:after="240"/>
        <w:ind w:firstLine="284"/>
        <w:rPr>
          <w:rFonts w:cs="Arial"/>
          <w:lang w:val="fr-FR"/>
        </w:rPr>
      </w:pPr>
      <w:r w:rsidRPr="00F72E16">
        <w:rPr>
          <w:rFonts w:cs="Arial"/>
          <w:lang w:val="fr-FR"/>
        </w:rPr>
        <w:t>14.</w:t>
      </w:r>
      <w:r w:rsidR="005F3831" w:rsidRPr="00F72E16">
        <w:rPr>
          <w:rFonts w:cs="Arial"/>
          <w:lang w:val="fr-FR"/>
        </w:rPr>
        <w:tab/>
      </w:r>
      <w:r w:rsidR="00AF5959" w:rsidRPr="00F72E16">
        <w:rPr>
          <w:rFonts w:cs="Arial"/>
          <w:lang w:val="fr-FR"/>
        </w:rPr>
        <w:t>Compte rendu de la session (si le temps imparti le permet)</w:t>
      </w:r>
    </w:p>
    <w:p w:rsidR="00DF61EE" w:rsidRPr="00F72E16" w:rsidRDefault="0033342F" w:rsidP="008651D1">
      <w:pPr>
        <w:pStyle w:val="BodyTextIndent"/>
        <w:spacing w:after="0"/>
        <w:ind w:firstLine="284"/>
        <w:rPr>
          <w:rFonts w:cs="Arial"/>
          <w:lang w:val="fr-FR"/>
        </w:rPr>
      </w:pPr>
      <w:r w:rsidRPr="00F72E16">
        <w:rPr>
          <w:rFonts w:cs="Arial"/>
          <w:lang w:val="fr-FR"/>
        </w:rPr>
        <w:t>15.</w:t>
      </w:r>
      <w:r w:rsidR="005F3831" w:rsidRPr="00F72E16">
        <w:rPr>
          <w:rFonts w:cs="Arial"/>
          <w:lang w:val="fr-FR"/>
        </w:rPr>
        <w:tab/>
      </w:r>
      <w:r w:rsidR="00AF5959" w:rsidRPr="00F72E16">
        <w:rPr>
          <w:rFonts w:cs="Arial"/>
          <w:lang w:val="fr-FR"/>
        </w:rPr>
        <w:t>Clôture de la session</w:t>
      </w:r>
    </w:p>
    <w:p w:rsidR="00DF61EE" w:rsidRDefault="00DF61EE" w:rsidP="000A7C03">
      <w:pPr>
        <w:pStyle w:val="BodyTextIndent"/>
        <w:spacing w:after="0"/>
        <w:ind w:left="0"/>
        <w:rPr>
          <w:rFonts w:cs="Arial"/>
          <w:lang w:val="fr-FR"/>
        </w:rPr>
      </w:pPr>
    </w:p>
    <w:p w:rsidR="00EA7691" w:rsidRPr="00F72E16" w:rsidRDefault="00EA7691" w:rsidP="000A7C03">
      <w:pPr>
        <w:pStyle w:val="BodyTextIndent"/>
        <w:spacing w:after="0"/>
        <w:ind w:left="0"/>
        <w:rPr>
          <w:rFonts w:cs="Arial"/>
          <w:lang w:val="fr-FR"/>
        </w:rPr>
      </w:pPr>
    </w:p>
    <w:p w:rsidR="00DF61EE" w:rsidRPr="00F72E16" w:rsidRDefault="00DF61EE" w:rsidP="008651D1">
      <w:pPr>
        <w:pStyle w:val="Heading1"/>
        <w:rPr>
          <w:rFonts w:cs="Arial"/>
          <w:lang w:val="fr-FR"/>
        </w:rPr>
      </w:pPr>
    </w:p>
    <w:p w:rsidR="00DF61EE" w:rsidRPr="00F72E16" w:rsidRDefault="0033342F" w:rsidP="008651D1">
      <w:pPr>
        <w:pStyle w:val="Heading1"/>
        <w:rPr>
          <w:lang w:val="fr-FR"/>
        </w:rPr>
      </w:pPr>
      <w:bookmarkStart w:id="15" w:name="_Toc412714223"/>
      <w:r w:rsidRPr="00F72E16">
        <w:rPr>
          <w:lang w:val="fr-FR"/>
        </w:rPr>
        <w:t xml:space="preserve">Atelier conjoint </w:t>
      </w:r>
      <w:r w:rsidR="00AF1FD5" w:rsidRPr="00F72E16">
        <w:rPr>
          <w:lang w:val="fr-FR"/>
        </w:rPr>
        <w:t>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OCDE</w:t>
      </w:r>
      <w:r w:rsidR="00AF1FD5" w:rsidRPr="00F72E16">
        <w:rPr>
          <w:lang w:val="fr-FR"/>
        </w:rPr>
        <w:t>,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UPOV</w:t>
      </w:r>
      <w:r w:rsidR="00AF1FD5" w:rsidRPr="00F72E16">
        <w:rPr>
          <w:lang w:val="fr-FR"/>
        </w:rPr>
        <w:t xml:space="preserve"> et de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ISTA sur les techniques moléculaires</w:t>
      </w:r>
      <w:bookmarkEnd w:id="15"/>
    </w:p>
    <w:p w:rsidR="00DF61EE" w:rsidRPr="00F72E16" w:rsidRDefault="00DF61EE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DF61EE" w:rsidRPr="00F72E16" w:rsidRDefault="007330DD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F72E16">
        <w:rPr>
          <w:rFonts w:cs="Arial"/>
          <w:lang w:val="fr-FR" w:eastAsia="ja-JP"/>
        </w:rPr>
        <w:fldChar w:fldCharType="begin"/>
      </w:r>
      <w:r w:rsidRPr="00F72E16">
        <w:rPr>
          <w:rFonts w:cs="Arial"/>
          <w:lang w:val="fr-FR" w:eastAsia="ja-JP"/>
        </w:rPr>
        <w:instrText xml:space="preserve"> AUTONUM  </w:instrText>
      </w:r>
      <w:r w:rsidRPr="00F72E16">
        <w:rPr>
          <w:rFonts w:cs="Arial"/>
          <w:lang w:val="fr-FR" w:eastAsia="ja-JP"/>
        </w:rPr>
        <w:fldChar w:fldCharType="end"/>
      </w:r>
      <w:r w:rsidRPr="00F72E16">
        <w:rPr>
          <w:rFonts w:cs="Arial"/>
          <w:lang w:val="fr-FR" w:eastAsia="ja-JP"/>
        </w:rPr>
        <w:tab/>
      </w:r>
      <w:r w:rsidR="004F5F2F" w:rsidRPr="00F72E16">
        <w:rPr>
          <w:rFonts w:cs="Arial"/>
          <w:lang w:val="fr-FR" w:eastAsia="ja-JP"/>
        </w:rPr>
        <w:t>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Atelier conjoint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OCDE,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UPOV et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ISTA sur les techniques moléculaires s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est tenu à Séoul (République de Corée)</w:t>
      </w:r>
      <w:r w:rsidR="00650902" w:rsidRPr="00F72E16">
        <w:rPr>
          <w:rStyle w:val="FootnoteReference"/>
          <w:rFonts w:cs="Arial"/>
          <w:lang w:val="fr-FR" w:eastAsia="ja-JP"/>
        </w:rPr>
        <w:footnoteReference w:id="6"/>
      </w:r>
      <w:r w:rsidR="004F5F2F" w:rsidRPr="00F72E16">
        <w:rPr>
          <w:rFonts w:cs="Arial"/>
          <w:lang w:val="fr-FR" w:eastAsia="ja-JP"/>
        </w:rPr>
        <w:t>, dans le cadre de la quatorzième</w:t>
      </w:r>
      <w:r w:rsidR="00DE6D2B" w:rsidRPr="00F72E16">
        <w:rPr>
          <w:rFonts w:cs="Arial"/>
          <w:lang w:val="fr-FR" w:eastAsia="ja-JP"/>
        </w:rPr>
        <w:t> </w:t>
      </w:r>
      <w:r w:rsidR="004F5F2F" w:rsidRPr="00F72E16">
        <w:rPr>
          <w:rFonts w:cs="Arial"/>
          <w:lang w:val="fr-FR" w:eastAsia="ja-JP"/>
        </w:rPr>
        <w:t>session</w:t>
      </w:r>
      <w:r w:rsidR="00C72A57" w:rsidRPr="00F72E16">
        <w:rPr>
          <w:rFonts w:cs="Arial"/>
          <w:lang w:val="fr-FR" w:eastAsia="ja-JP"/>
        </w:rPr>
        <w:t xml:space="preserve"> du BMT</w:t>
      </w:r>
      <w:r w:rsidR="004F5F2F" w:rsidRPr="00F72E16">
        <w:rPr>
          <w:rFonts w:cs="Arial"/>
          <w:lang w:val="fr-FR" w:eastAsia="ja-JP"/>
        </w:rPr>
        <w:t xml:space="preserve"> tenue à Séoul (République de Corée)</w:t>
      </w:r>
      <w:r w:rsidR="00650902" w:rsidRPr="00F72E16">
        <w:rPr>
          <w:rStyle w:val="FootnoteReference"/>
          <w:rFonts w:cs="Arial"/>
          <w:lang w:val="fr-FR" w:eastAsia="ja-JP"/>
        </w:rPr>
        <w:footnoteReference w:id="7"/>
      </w:r>
      <w:r w:rsidR="00881D81" w:rsidRPr="00F72E16">
        <w:rPr>
          <w:lang w:val="fr-FR" w:eastAsia="ja-JP"/>
        </w:rPr>
        <w:t>.</w:t>
      </w:r>
    </w:p>
    <w:p w:rsidR="00DF61EE" w:rsidRPr="00F72E16" w:rsidRDefault="00DF61EE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</w:p>
    <w:p w:rsidR="00DF61EE" w:rsidRPr="00F72E16" w:rsidRDefault="00D37975" w:rsidP="008651D1">
      <w:pPr>
        <w:autoSpaceDE w:val="0"/>
        <w:autoSpaceDN w:val="0"/>
        <w:adjustRightInd w:val="0"/>
        <w:rPr>
          <w:rFonts w:cs="Arial"/>
          <w:lang w:val="fr-FR" w:eastAsia="ja-JP"/>
        </w:rPr>
      </w:pPr>
      <w:r w:rsidRPr="00F72E16">
        <w:rPr>
          <w:rFonts w:cs="Arial"/>
          <w:lang w:val="fr-FR" w:eastAsia="ja-JP"/>
        </w:rPr>
        <w:fldChar w:fldCharType="begin"/>
      </w:r>
      <w:r w:rsidRPr="00F72E16">
        <w:rPr>
          <w:rFonts w:cs="Arial"/>
          <w:lang w:val="fr-FR" w:eastAsia="ja-JP"/>
        </w:rPr>
        <w:instrText xml:space="preserve"> AUTONUM  </w:instrText>
      </w:r>
      <w:r w:rsidRPr="00F72E16">
        <w:rPr>
          <w:rFonts w:cs="Arial"/>
          <w:lang w:val="fr-FR" w:eastAsia="ja-JP"/>
        </w:rPr>
        <w:fldChar w:fldCharType="end"/>
      </w:r>
      <w:r w:rsidRPr="00F72E16">
        <w:rPr>
          <w:rFonts w:cs="Arial"/>
          <w:lang w:val="fr-FR" w:eastAsia="ja-JP"/>
        </w:rPr>
        <w:tab/>
      </w:r>
      <w:r w:rsidR="004F5F2F" w:rsidRPr="00F72E16">
        <w:rPr>
          <w:rFonts w:cs="Arial"/>
          <w:lang w:val="fr-FR" w:eastAsia="ja-JP"/>
        </w:rPr>
        <w:t>Les documents présentés au titre des points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ordre du jour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Atelier conjoint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OCDE,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UPOV et de l</w:t>
      </w:r>
      <w:r w:rsidR="00DE0253" w:rsidRPr="00F72E16">
        <w:rPr>
          <w:rFonts w:cs="Arial"/>
          <w:lang w:val="fr-FR" w:eastAsia="ja-JP"/>
        </w:rPr>
        <w:t>’</w:t>
      </w:r>
      <w:r w:rsidR="004F5F2F" w:rsidRPr="00F72E16">
        <w:rPr>
          <w:rFonts w:cs="Arial"/>
          <w:lang w:val="fr-FR" w:eastAsia="ja-JP"/>
        </w:rPr>
        <w:t>ISTA étaient les suivants :</w:t>
      </w:r>
    </w:p>
    <w:p w:rsidR="00DF61EE" w:rsidRPr="00F72E16" w:rsidRDefault="00DF61EE" w:rsidP="008651D1">
      <w:pPr>
        <w:rPr>
          <w:lang w:val="fr-FR" w:eastAsia="ja-JP"/>
        </w:rPr>
      </w:pPr>
    </w:p>
    <w:p w:rsidR="00C72A57" w:rsidRPr="00390477" w:rsidRDefault="004F5F2F" w:rsidP="008651D1">
      <w:pPr>
        <w:ind w:left="567"/>
        <w:rPr>
          <w:i/>
        </w:rPr>
      </w:pPr>
      <w:bookmarkStart w:id="16" w:name="_Toc410822413"/>
      <w:bookmarkStart w:id="17" w:name="_Toc410822809"/>
      <w:bookmarkStart w:id="18" w:name="_Toc410823316"/>
      <w:r w:rsidRPr="00390477">
        <w:rPr>
          <w:i/>
        </w:rPr>
        <w:t>Introduction to the OECD Seed Schemes and the Situation with Regard to Molecular Techniques</w:t>
      </w:r>
      <w:bookmarkEnd w:id="16"/>
      <w:bookmarkEnd w:id="17"/>
      <w:bookmarkEnd w:id="18"/>
    </w:p>
    <w:p w:rsidR="004F5F2F" w:rsidRPr="00390477" w:rsidRDefault="004F5F2F" w:rsidP="008651D1">
      <w:pPr>
        <w:ind w:left="567"/>
        <w:rPr>
          <w:i/>
        </w:rPr>
      </w:pPr>
      <w:bookmarkStart w:id="19" w:name="_Toc410822414"/>
      <w:bookmarkStart w:id="20" w:name="_Toc410822810"/>
      <w:bookmarkStart w:id="21" w:name="_Toc410823317"/>
      <w:r w:rsidRPr="00390477">
        <w:rPr>
          <w:i/>
        </w:rPr>
        <w:t>(</w:t>
      </w:r>
      <w:r w:rsidR="00C72A57" w:rsidRPr="00390477">
        <w:rPr>
          <w:i/>
        </w:rPr>
        <w:t>document BM</w:t>
      </w:r>
      <w:r w:rsidRPr="00390477">
        <w:rPr>
          <w:i/>
        </w:rPr>
        <w:t>T/14/Joint/6)</w:t>
      </w:r>
      <w:bookmarkEnd w:id="19"/>
      <w:bookmarkEnd w:id="20"/>
      <w:bookmarkEnd w:id="21"/>
    </w:p>
    <w:p w:rsidR="004F5F2F" w:rsidRPr="00390477" w:rsidRDefault="004F5F2F" w:rsidP="008651D1">
      <w:pPr>
        <w:ind w:left="567"/>
        <w:rPr>
          <w:i/>
        </w:rPr>
      </w:pPr>
    </w:p>
    <w:p w:rsidR="00C72A57" w:rsidRPr="00390477" w:rsidRDefault="004F5F2F" w:rsidP="008651D1">
      <w:pPr>
        <w:ind w:left="567"/>
        <w:rPr>
          <w:i/>
        </w:rPr>
      </w:pPr>
      <w:bookmarkStart w:id="22" w:name="_Toc410822415"/>
      <w:bookmarkStart w:id="23" w:name="_Toc410822811"/>
      <w:bookmarkStart w:id="24" w:name="_Toc410823318"/>
      <w:r w:rsidRPr="00390477">
        <w:rPr>
          <w:i/>
        </w:rPr>
        <w:t>Introduction to UPOV and the Situation with Regard to Molecular Techniques</w:t>
      </w:r>
      <w:bookmarkEnd w:id="22"/>
      <w:bookmarkEnd w:id="23"/>
      <w:bookmarkEnd w:id="24"/>
    </w:p>
    <w:p w:rsidR="004F5F2F" w:rsidRPr="00390477" w:rsidRDefault="004F5F2F" w:rsidP="008651D1">
      <w:pPr>
        <w:ind w:left="567"/>
        <w:rPr>
          <w:i/>
        </w:rPr>
      </w:pPr>
      <w:bookmarkStart w:id="25" w:name="_Toc410822416"/>
      <w:bookmarkStart w:id="26" w:name="_Toc410822812"/>
      <w:bookmarkStart w:id="27" w:name="_Toc410823319"/>
      <w:r w:rsidRPr="00390477">
        <w:rPr>
          <w:i/>
        </w:rPr>
        <w:t>(</w:t>
      </w:r>
      <w:r w:rsidR="00C72A57" w:rsidRPr="00390477">
        <w:rPr>
          <w:i/>
        </w:rPr>
        <w:t>document BM</w:t>
      </w:r>
      <w:r w:rsidRPr="00390477">
        <w:rPr>
          <w:i/>
        </w:rPr>
        <w:t>T/14/Joint/4</w:t>
      </w:r>
      <w:r w:rsidR="00DE6D2B" w:rsidRPr="00390477">
        <w:rPr>
          <w:i/>
        </w:rPr>
        <w:t> </w:t>
      </w:r>
      <w:r w:rsidRPr="00390477">
        <w:rPr>
          <w:i/>
        </w:rPr>
        <w:t>Rev.)</w:t>
      </w:r>
      <w:bookmarkEnd w:id="25"/>
      <w:bookmarkEnd w:id="26"/>
      <w:bookmarkEnd w:id="27"/>
    </w:p>
    <w:p w:rsidR="004F5F2F" w:rsidRPr="00390477" w:rsidRDefault="004F5F2F" w:rsidP="008651D1">
      <w:pPr>
        <w:ind w:left="567"/>
        <w:rPr>
          <w:i/>
        </w:rPr>
      </w:pPr>
    </w:p>
    <w:p w:rsidR="00C72A57" w:rsidRPr="00390477" w:rsidRDefault="004F5F2F" w:rsidP="008651D1">
      <w:pPr>
        <w:ind w:left="567"/>
        <w:rPr>
          <w:i/>
        </w:rPr>
      </w:pPr>
      <w:bookmarkStart w:id="28" w:name="_Toc410822417"/>
      <w:bookmarkStart w:id="29" w:name="_Toc410822813"/>
      <w:bookmarkStart w:id="30" w:name="_Toc410823320"/>
      <w:r w:rsidRPr="00390477">
        <w:rPr>
          <w:i/>
        </w:rPr>
        <w:t>Introduction to ISTA and the Situation with Regard to Molecular Techniques</w:t>
      </w:r>
    </w:p>
    <w:p w:rsidR="004F5F2F" w:rsidRPr="00390477" w:rsidRDefault="004F5F2F" w:rsidP="008651D1">
      <w:pPr>
        <w:ind w:left="567"/>
        <w:rPr>
          <w:i/>
        </w:rPr>
      </w:pPr>
      <w:r w:rsidRPr="00390477">
        <w:rPr>
          <w:i/>
        </w:rPr>
        <w:t>(document/BMT/14/Joint/3 Rev.)</w:t>
      </w:r>
      <w:bookmarkEnd w:id="28"/>
      <w:bookmarkEnd w:id="29"/>
      <w:bookmarkEnd w:id="30"/>
    </w:p>
    <w:p w:rsidR="004F5F2F" w:rsidRPr="00390477" w:rsidRDefault="004F5F2F" w:rsidP="008651D1">
      <w:pPr>
        <w:ind w:left="567"/>
        <w:rPr>
          <w:i/>
        </w:rPr>
      </w:pPr>
    </w:p>
    <w:p w:rsidR="004F5F2F" w:rsidRPr="00390477" w:rsidRDefault="004F5F2F" w:rsidP="008651D1">
      <w:pPr>
        <w:ind w:left="567"/>
        <w:rPr>
          <w:i/>
        </w:rPr>
      </w:pPr>
      <w:bookmarkStart w:id="31" w:name="_Toc410822418"/>
      <w:bookmarkStart w:id="32" w:name="_Toc410822814"/>
      <w:bookmarkStart w:id="33" w:name="_Toc410823321"/>
      <w:r w:rsidRPr="00390477">
        <w:rPr>
          <w:i/>
        </w:rPr>
        <w:t>Introduction to ISO and the Situation with Regard to Molecular Techniques (document BMT/14/Joint/2)</w:t>
      </w:r>
      <w:bookmarkEnd w:id="31"/>
      <w:bookmarkEnd w:id="32"/>
      <w:bookmarkEnd w:id="33"/>
    </w:p>
    <w:p w:rsidR="004F5F2F" w:rsidRPr="00390477" w:rsidRDefault="004F5F2F" w:rsidP="008651D1">
      <w:pPr>
        <w:ind w:left="567"/>
        <w:rPr>
          <w:i/>
        </w:rPr>
      </w:pPr>
    </w:p>
    <w:p w:rsidR="00DF61EE" w:rsidRPr="00390477" w:rsidRDefault="004F5F2F" w:rsidP="008651D1">
      <w:pPr>
        <w:ind w:left="567"/>
        <w:rPr>
          <w:i/>
        </w:rPr>
      </w:pPr>
      <w:bookmarkStart w:id="34" w:name="_Toc410822419"/>
      <w:bookmarkStart w:id="35" w:name="_Toc410822815"/>
      <w:bookmarkStart w:id="36" w:name="_Toc410823322"/>
      <w:r w:rsidRPr="00390477">
        <w:rPr>
          <w:i/>
        </w:rPr>
        <w:t>Existing Areas of Cooperation between OECD, UPOV and ISTA (document/BMT/14/Joint/5)</w:t>
      </w:r>
      <w:bookmarkEnd w:id="34"/>
      <w:bookmarkEnd w:id="35"/>
      <w:bookmarkEnd w:id="36"/>
    </w:p>
    <w:p w:rsidR="00DF61EE" w:rsidRPr="00390477" w:rsidRDefault="00DF61EE" w:rsidP="008651D1">
      <w:pPr>
        <w:rPr>
          <w:lang w:eastAsia="ja-JP"/>
        </w:rPr>
      </w:pPr>
    </w:p>
    <w:p w:rsidR="00C72A57" w:rsidRPr="00F72E16" w:rsidRDefault="009A5CC2" w:rsidP="008651D1">
      <w:pPr>
        <w:rPr>
          <w:rFonts w:cs="Arial"/>
          <w:lang w:val="fr-FR" w:eastAsia="ja-JP"/>
        </w:rPr>
      </w:pPr>
      <w:r w:rsidRPr="00F72E16">
        <w:rPr>
          <w:rFonts w:cs="Arial"/>
          <w:lang w:val="fr-FR"/>
        </w:rPr>
        <w:fldChar w:fldCharType="begin"/>
      </w:r>
      <w:r w:rsidRPr="00F72E16">
        <w:rPr>
          <w:rFonts w:cs="Arial"/>
          <w:lang w:val="fr-FR"/>
        </w:rPr>
        <w:instrText xml:space="preserve"> AUTONUM  </w:instrText>
      </w:r>
      <w:r w:rsidRPr="00F72E16">
        <w:rPr>
          <w:rFonts w:cs="Arial"/>
          <w:lang w:val="fr-FR"/>
        </w:rPr>
        <w:fldChar w:fldCharType="end"/>
      </w:r>
      <w:r w:rsidRPr="00F72E16">
        <w:rPr>
          <w:rFonts w:cs="Arial"/>
          <w:lang w:val="fr-FR"/>
        </w:rPr>
        <w:tab/>
      </w:r>
      <w:r w:rsidR="00A33531" w:rsidRPr="00F72E16">
        <w:rPr>
          <w:rFonts w:cs="Arial"/>
          <w:lang w:val="fr-FR"/>
        </w:rPr>
        <w:t>Les participants ont convenu qu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il serait utile d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élaborer un document commun présentant les particularités (p.</w:t>
      </w:r>
      <w:r w:rsidR="00DE6D2B" w:rsidRPr="00F72E16">
        <w:rPr>
          <w:rFonts w:cs="Arial"/>
          <w:lang w:val="fr-FR"/>
        </w:rPr>
        <w:t> </w:t>
      </w:r>
      <w:r w:rsidR="00A33531" w:rsidRPr="00F72E16">
        <w:rPr>
          <w:rFonts w:cs="Arial"/>
          <w:lang w:val="fr-FR"/>
        </w:rPr>
        <w:t>ex. en matière d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examen</w:t>
      </w:r>
      <w:r w:rsidR="00DE6D2B" w:rsidRPr="00F72E16">
        <w:rPr>
          <w:rFonts w:cs="Arial"/>
          <w:lang w:val="fr-FR"/>
        </w:rPr>
        <w:t> </w:t>
      </w:r>
      <w:r w:rsidR="00A33531" w:rsidRPr="00F72E16">
        <w:rPr>
          <w:rFonts w:cs="Arial"/>
          <w:lang w:val="fr-FR"/>
        </w:rPr>
        <w:t>DHS, d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identification des variétés, de pureté des variétés, etc.) de chacun des systèmes de l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OCDE, de l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UPOV et de l</w:t>
      </w:r>
      <w:r w:rsidR="00DE0253" w:rsidRPr="00F72E16">
        <w:rPr>
          <w:rFonts w:cs="Arial"/>
          <w:lang w:val="fr-FR"/>
        </w:rPr>
        <w:t>’</w:t>
      </w:r>
      <w:r w:rsidR="00A33531" w:rsidRPr="00F72E16">
        <w:rPr>
          <w:rFonts w:cs="Arial"/>
          <w:lang w:val="fr-FR"/>
        </w:rPr>
        <w:t>ISTA</w:t>
      </w:r>
      <w:r w:rsidRPr="00F72E16">
        <w:rPr>
          <w:rFonts w:cs="Arial"/>
          <w:lang w:val="fr-FR" w:eastAsia="ja-JP"/>
        </w:rPr>
        <w:t xml:space="preserve">.  </w:t>
      </w:r>
      <w:r w:rsidR="00A33531" w:rsidRPr="00F72E16">
        <w:rPr>
          <w:rFonts w:cs="Arial"/>
          <w:lang w:val="fr-FR" w:eastAsia="ja-JP"/>
        </w:rPr>
        <w:t>Il a également été convenu qu</w:t>
      </w:r>
      <w:r w:rsidR="00DE0253" w:rsidRPr="00F72E16">
        <w:rPr>
          <w:rFonts w:cs="Arial"/>
          <w:lang w:val="fr-FR" w:eastAsia="ja-JP"/>
        </w:rPr>
        <w:t>’</w:t>
      </w:r>
      <w:r w:rsidR="00A33531" w:rsidRPr="00F72E16">
        <w:rPr>
          <w:rFonts w:cs="Arial"/>
          <w:lang w:val="fr-FR" w:eastAsia="ja-JP"/>
        </w:rPr>
        <w:t>il serait utile, aux fins d</w:t>
      </w:r>
      <w:r w:rsidR="00DE0253" w:rsidRPr="00F72E16">
        <w:rPr>
          <w:rFonts w:cs="Arial"/>
          <w:lang w:val="fr-FR" w:eastAsia="ja-JP"/>
        </w:rPr>
        <w:t>’</w:t>
      </w:r>
      <w:r w:rsidR="00A33531" w:rsidRPr="00F72E16">
        <w:rPr>
          <w:rFonts w:cs="Arial"/>
          <w:lang w:val="fr-FR" w:eastAsia="ja-JP"/>
        </w:rPr>
        <w:t>une bonne compréhension mutuelle</w:t>
      </w:r>
      <w:r w:rsidRPr="00F72E16">
        <w:rPr>
          <w:rFonts w:cs="Arial"/>
          <w:lang w:val="fr-FR" w:eastAsia="ja-JP"/>
        </w:rPr>
        <w:t xml:space="preserve">, </w:t>
      </w:r>
      <w:r w:rsidR="00E6337A" w:rsidRPr="00F72E16">
        <w:rPr>
          <w:rFonts w:cs="Arial"/>
          <w:lang w:val="fr-FR" w:eastAsia="ja-JP"/>
        </w:rPr>
        <w:t>d</w:t>
      </w:r>
      <w:r w:rsidR="00DE0253" w:rsidRPr="00F72E16">
        <w:rPr>
          <w:rFonts w:cs="Arial"/>
          <w:lang w:val="fr-FR" w:eastAsia="ja-JP"/>
        </w:rPr>
        <w:t>’</w:t>
      </w:r>
      <w:r w:rsidR="00E6337A" w:rsidRPr="00F72E16">
        <w:rPr>
          <w:rFonts w:cs="Arial"/>
          <w:lang w:val="fr-FR" w:eastAsia="ja-JP"/>
        </w:rPr>
        <w:t xml:space="preserve">organiser à nouveau </w:t>
      </w:r>
      <w:r w:rsidR="00A33531" w:rsidRPr="00F72E16">
        <w:rPr>
          <w:rFonts w:cs="Arial"/>
          <w:lang w:val="fr-FR" w:eastAsia="ja-JP"/>
        </w:rPr>
        <w:t xml:space="preserve">cet atelier conjoint </w:t>
      </w:r>
      <w:r w:rsidR="00E6337A" w:rsidRPr="00F72E16">
        <w:rPr>
          <w:rFonts w:cs="Arial"/>
          <w:lang w:val="fr-FR" w:eastAsia="ja-JP"/>
        </w:rPr>
        <w:t>dans le cadre des</w:t>
      </w:r>
      <w:r w:rsidR="00A33531" w:rsidRPr="00F72E16">
        <w:rPr>
          <w:rFonts w:cs="Arial"/>
          <w:lang w:val="fr-FR" w:eastAsia="ja-JP"/>
        </w:rPr>
        <w:t xml:space="preserve"> réunions pertinentes de l</w:t>
      </w:r>
      <w:r w:rsidR="00DE0253" w:rsidRPr="00F72E16">
        <w:rPr>
          <w:rFonts w:cs="Arial"/>
          <w:lang w:val="fr-FR" w:eastAsia="ja-JP"/>
        </w:rPr>
        <w:t>’</w:t>
      </w:r>
      <w:r w:rsidR="00A33531" w:rsidRPr="00F72E16">
        <w:rPr>
          <w:rFonts w:cs="Arial"/>
          <w:lang w:val="fr-FR" w:eastAsia="ja-JP"/>
        </w:rPr>
        <w:t>OCDE et de l</w:t>
      </w:r>
      <w:r w:rsidR="00DE0253" w:rsidRPr="00F72E16">
        <w:rPr>
          <w:rFonts w:cs="Arial"/>
          <w:lang w:val="fr-FR" w:eastAsia="ja-JP"/>
        </w:rPr>
        <w:t>’</w:t>
      </w:r>
      <w:r w:rsidR="00A33531" w:rsidRPr="00F72E16">
        <w:rPr>
          <w:rFonts w:cs="Arial"/>
          <w:lang w:val="fr-FR" w:eastAsia="ja-JP"/>
        </w:rPr>
        <w:t xml:space="preserve">ISTA </w:t>
      </w:r>
      <w:r w:rsidR="004723C0" w:rsidRPr="00F72E16">
        <w:rPr>
          <w:rFonts w:cs="Arial"/>
          <w:lang w:val="fr-FR" w:eastAsia="ja-JP"/>
        </w:rPr>
        <w:t>(</w:t>
      </w:r>
      <w:r w:rsidR="00A33531" w:rsidRPr="00F72E16">
        <w:rPr>
          <w:rFonts w:cs="Arial"/>
          <w:lang w:val="fr-FR" w:eastAsia="ja-JP"/>
        </w:rPr>
        <w:t>voir le paragraphe</w:t>
      </w:r>
      <w:r w:rsidR="00DE6D2B" w:rsidRPr="00F72E16">
        <w:rPr>
          <w:rFonts w:cs="Arial"/>
          <w:lang w:val="fr-FR" w:eastAsia="ja-JP"/>
        </w:rPr>
        <w:t> </w:t>
      </w:r>
      <w:r w:rsidR="00A33531" w:rsidRPr="00F72E16">
        <w:rPr>
          <w:rFonts w:cs="Arial"/>
          <w:lang w:val="fr-FR" w:eastAsia="ja-JP"/>
        </w:rPr>
        <w:t>54 du</w:t>
      </w:r>
      <w:r w:rsidR="004723C0" w:rsidRPr="00F72E16">
        <w:rPr>
          <w:rFonts w:cs="Arial"/>
          <w:lang w:val="fr-FR" w:eastAsia="ja-JP"/>
        </w:rPr>
        <w:t xml:space="preserve"> document BMT/14/20 “Report”)</w:t>
      </w:r>
      <w:r w:rsidRPr="00F72E16">
        <w:rPr>
          <w:rFonts w:cs="Arial"/>
          <w:lang w:val="fr-FR" w:eastAsia="ja-JP"/>
        </w:rPr>
        <w:t>.</w:t>
      </w:r>
    </w:p>
    <w:p w:rsidR="00DF61EE" w:rsidRPr="00F72E16" w:rsidRDefault="00DF61EE" w:rsidP="008651D1">
      <w:pPr>
        <w:rPr>
          <w:rFonts w:cs="Arial"/>
          <w:lang w:val="fr-FR" w:eastAsia="ja-JP"/>
        </w:rPr>
      </w:pPr>
    </w:p>
    <w:p w:rsidR="00DF61EE" w:rsidRPr="00F72E16" w:rsidRDefault="009A5CC2" w:rsidP="008651D1">
      <w:pPr>
        <w:keepNext/>
        <w:keepLines/>
        <w:rPr>
          <w:rFonts w:cs="Arial"/>
          <w:lang w:val="fr-FR" w:eastAsia="ja-JP"/>
        </w:rPr>
      </w:pPr>
      <w:r w:rsidRPr="00F72E16">
        <w:rPr>
          <w:rFonts w:cs="Arial"/>
          <w:lang w:val="fr-FR"/>
        </w:rPr>
        <w:fldChar w:fldCharType="begin"/>
      </w:r>
      <w:r w:rsidRPr="00F72E16">
        <w:rPr>
          <w:rFonts w:cs="Arial"/>
          <w:lang w:val="fr-FR"/>
        </w:rPr>
        <w:instrText xml:space="preserve"> AUTONUM  </w:instrText>
      </w:r>
      <w:r w:rsidRPr="00F72E16">
        <w:rPr>
          <w:rFonts w:cs="Arial"/>
          <w:lang w:val="fr-FR"/>
        </w:rPr>
        <w:fldChar w:fldCharType="end"/>
      </w:r>
      <w:r w:rsidRPr="00F72E16">
        <w:rPr>
          <w:rFonts w:cs="Arial"/>
          <w:lang w:val="fr-FR"/>
        </w:rPr>
        <w:tab/>
      </w:r>
      <w:r w:rsidR="004F45B6" w:rsidRPr="00F72E16">
        <w:rPr>
          <w:rFonts w:cs="Arial"/>
          <w:lang w:val="fr-FR"/>
        </w:rPr>
        <w:t xml:space="preserve">Les participants sont convenus </w:t>
      </w:r>
      <w:r w:rsidR="00E5661E" w:rsidRPr="00F72E16">
        <w:rPr>
          <w:rFonts w:cs="Arial"/>
          <w:lang w:val="fr-FR"/>
        </w:rPr>
        <w:t>de proposer que l</w:t>
      </w:r>
      <w:r w:rsidR="00DE0253" w:rsidRPr="00F72E16">
        <w:rPr>
          <w:rFonts w:cs="Arial"/>
          <w:lang w:val="fr-FR"/>
        </w:rPr>
        <w:t>’</w:t>
      </w:r>
      <w:r w:rsidR="004F45B6" w:rsidRPr="00F72E16">
        <w:rPr>
          <w:rFonts w:cs="Arial"/>
          <w:lang w:val="fr-FR"/>
        </w:rPr>
        <w:t>UPOV, l</w:t>
      </w:r>
      <w:r w:rsidR="00DE0253" w:rsidRPr="00F72E16">
        <w:rPr>
          <w:rFonts w:cs="Arial"/>
          <w:lang w:val="fr-FR"/>
        </w:rPr>
        <w:t>’</w:t>
      </w:r>
      <w:r w:rsidR="004F45B6" w:rsidRPr="00F72E16">
        <w:rPr>
          <w:rFonts w:cs="Arial"/>
          <w:lang w:val="fr-FR"/>
        </w:rPr>
        <w:t>OCDE et l</w:t>
      </w:r>
      <w:r w:rsidR="00DE0253" w:rsidRPr="00F72E16">
        <w:rPr>
          <w:rFonts w:cs="Arial"/>
          <w:lang w:val="fr-FR"/>
        </w:rPr>
        <w:t>’</w:t>
      </w:r>
      <w:r w:rsidR="004F45B6" w:rsidRPr="00F72E16">
        <w:rPr>
          <w:rFonts w:cs="Arial"/>
          <w:lang w:val="fr-FR"/>
        </w:rPr>
        <w:t>ISTA dressent un inventaire</w:t>
      </w:r>
      <w:r w:rsidR="00E5661E" w:rsidRPr="00F72E16">
        <w:rPr>
          <w:rFonts w:cs="Arial"/>
          <w:lang w:val="fr-FR"/>
        </w:rPr>
        <w:t>,</w:t>
      </w:r>
      <w:r w:rsidR="004F45B6" w:rsidRPr="00F72E16">
        <w:rPr>
          <w:rFonts w:cs="Arial"/>
          <w:lang w:val="fr-FR"/>
        </w:rPr>
        <w:t xml:space="preserve"> </w:t>
      </w:r>
      <w:r w:rsidR="00E5661E" w:rsidRPr="00F72E16">
        <w:rPr>
          <w:rFonts w:cs="Arial"/>
          <w:lang w:val="fr-FR"/>
        </w:rPr>
        <w:t>par plante</w:t>
      </w:r>
      <w:r w:rsidR="00E5661E" w:rsidRPr="00F72E16">
        <w:rPr>
          <w:rFonts w:cs="Arial"/>
          <w:lang w:val="fr-FR" w:eastAsia="ja-JP"/>
        </w:rPr>
        <w:t xml:space="preserve">, </w:t>
      </w:r>
      <w:r w:rsidR="00E5661E" w:rsidRPr="00F72E16">
        <w:rPr>
          <w:rFonts w:cs="Arial"/>
          <w:lang w:val="fr-FR"/>
        </w:rPr>
        <w:t>de</w:t>
      </w:r>
      <w:r w:rsidR="004F45B6" w:rsidRPr="00F72E16">
        <w:rPr>
          <w:rFonts w:cs="Arial"/>
          <w:lang w:val="fr-FR"/>
        </w:rPr>
        <w:t xml:space="preserve"> l</w:t>
      </w:r>
      <w:r w:rsidR="00DE0253" w:rsidRPr="00F72E16">
        <w:rPr>
          <w:rFonts w:cs="Arial"/>
          <w:lang w:val="fr-FR"/>
        </w:rPr>
        <w:t>’</w:t>
      </w:r>
      <w:r w:rsidR="004F45B6" w:rsidRPr="00F72E16">
        <w:rPr>
          <w:rFonts w:cs="Arial"/>
          <w:lang w:val="fr-FR"/>
        </w:rPr>
        <w:t xml:space="preserve">utilisation </w:t>
      </w:r>
      <w:r w:rsidR="00E5661E" w:rsidRPr="00F72E16">
        <w:rPr>
          <w:rFonts w:cs="Arial"/>
          <w:lang w:val="fr-FR"/>
        </w:rPr>
        <w:t>qu</w:t>
      </w:r>
      <w:r w:rsidR="00DE0253" w:rsidRPr="00F72E16">
        <w:rPr>
          <w:rFonts w:cs="Arial"/>
          <w:lang w:val="fr-FR"/>
        </w:rPr>
        <w:t>’</w:t>
      </w:r>
      <w:r w:rsidR="00E5661E" w:rsidRPr="00F72E16">
        <w:rPr>
          <w:rFonts w:cs="Arial"/>
          <w:lang w:val="fr-FR"/>
        </w:rPr>
        <w:t>ils font des</w:t>
      </w:r>
      <w:r w:rsidR="004F45B6" w:rsidRPr="00F72E16">
        <w:rPr>
          <w:rFonts w:cs="Arial"/>
          <w:lang w:val="fr-FR"/>
        </w:rPr>
        <w:t xml:space="preserve"> techniques </w:t>
      </w:r>
      <w:r w:rsidR="00B10488" w:rsidRPr="00F72E16">
        <w:rPr>
          <w:rFonts w:cs="Arial"/>
          <w:lang w:val="fr-FR"/>
        </w:rPr>
        <w:t>faisant intervenir des</w:t>
      </w:r>
      <w:r w:rsidR="00E5661E" w:rsidRPr="00F72E16">
        <w:rPr>
          <w:rFonts w:cs="Arial"/>
          <w:lang w:val="fr-FR"/>
        </w:rPr>
        <w:t xml:space="preserve"> marqueurs moléculaires</w:t>
      </w:r>
      <w:r w:rsidR="00D05B03" w:rsidRPr="00F72E16">
        <w:rPr>
          <w:rFonts w:cs="Arial"/>
          <w:lang w:val="fr-FR"/>
        </w:rPr>
        <w:t>,</w:t>
      </w:r>
      <w:r w:rsidR="00E5661E" w:rsidRPr="00F72E16">
        <w:rPr>
          <w:rFonts w:cs="Arial"/>
          <w:lang w:val="fr-FR"/>
        </w:rPr>
        <w:t xml:space="preserve"> </w:t>
      </w:r>
      <w:r w:rsidR="00E5661E" w:rsidRPr="00F72E16">
        <w:rPr>
          <w:rFonts w:cs="Arial"/>
          <w:lang w:val="fr-FR" w:eastAsia="ja-JP"/>
        </w:rPr>
        <w:t>en vue de l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élaboration d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un document contenant ces informations,</w:t>
      </w:r>
      <w:r w:rsidRPr="00F72E16">
        <w:rPr>
          <w:rFonts w:cs="Arial"/>
          <w:lang w:val="fr-FR" w:eastAsia="ja-JP"/>
        </w:rPr>
        <w:t xml:space="preserve"> </w:t>
      </w:r>
      <w:r w:rsidR="00E5661E" w:rsidRPr="00F72E16">
        <w:rPr>
          <w:rFonts w:cs="Arial"/>
          <w:lang w:val="fr-FR" w:eastAsia="ja-JP"/>
        </w:rPr>
        <w:t>dans un format semblable à celui du document</w:t>
      </w:r>
      <w:r w:rsidRPr="00F72E16">
        <w:rPr>
          <w:rFonts w:cs="Arial"/>
          <w:lang w:val="fr-FR" w:eastAsia="ja-JP"/>
        </w:rPr>
        <w:t xml:space="preserve"> UPOV/INF/16 “</w:t>
      </w:r>
      <w:r w:rsidR="00E5661E" w:rsidRPr="00F72E16">
        <w:rPr>
          <w:rFonts w:cs="Arial"/>
          <w:lang w:val="fr-FR" w:eastAsia="ja-JP"/>
        </w:rPr>
        <w:t>Logiciels échangeables</w:t>
      </w:r>
      <w:r w:rsidRPr="00F72E16">
        <w:rPr>
          <w:rFonts w:cs="Arial"/>
          <w:lang w:val="fr-FR" w:eastAsia="ja-JP"/>
        </w:rPr>
        <w:t xml:space="preserve">”.  </w:t>
      </w:r>
      <w:r w:rsidR="00E5661E" w:rsidRPr="00F72E16">
        <w:rPr>
          <w:rFonts w:cs="Arial"/>
          <w:lang w:val="fr-FR" w:eastAsia="ja-JP"/>
        </w:rPr>
        <w:t>Il a été relevé que l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OCDE avait déjà recueilli des informations sur l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utilisation faite par ses autorités désignées des techniques moléculaires (voir le paragraphe</w:t>
      </w:r>
      <w:r w:rsidR="00DE6D2B" w:rsidRPr="00F72E16">
        <w:rPr>
          <w:rFonts w:cs="Arial"/>
          <w:lang w:val="fr-FR" w:eastAsia="ja-JP"/>
        </w:rPr>
        <w:t> </w:t>
      </w:r>
      <w:r w:rsidR="00E5661E" w:rsidRPr="00F72E16">
        <w:rPr>
          <w:rFonts w:cs="Arial"/>
          <w:lang w:val="fr-FR" w:eastAsia="ja-JP"/>
        </w:rPr>
        <w:t>55 du</w:t>
      </w:r>
      <w:r w:rsidR="00121AA6" w:rsidRPr="00F72E16">
        <w:rPr>
          <w:rFonts w:cs="Arial"/>
          <w:lang w:val="fr-FR" w:eastAsia="ja-JP"/>
        </w:rPr>
        <w:t> </w:t>
      </w:r>
      <w:r w:rsidR="004723C0" w:rsidRPr="00F72E16">
        <w:rPr>
          <w:rFonts w:cs="Arial"/>
          <w:lang w:val="fr-FR" w:eastAsia="ja-JP"/>
        </w:rPr>
        <w:t>document BMT/14/20 “Report”).</w:t>
      </w:r>
    </w:p>
    <w:p w:rsidR="00DF61EE" w:rsidRPr="00F72E16" w:rsidRDefault="00DF61EE" w:rsidP="008651D1">
      <w:pPr>
        <w:keepNext/>
        <w:keepLines/>
        <w:rPr>
          <w:rFonts w:cs="Arial"/>
          <w:lang w:val="fr-FR" w:eastAsia="ja-JP"/>
        </w:rPr>
      </w:pPr>
    </w:p>
    <w:p w:rsidR="00DF61EE" w:rsidRPr="00F72E16" w:rsidRDefault="009A5CC2" w:rsidP="008651D1">
      <w:pPr>
        <w:rPr>
          <w:rFonts w:cs="Arial"/>
          <w:lang w:val="fr-FR" w:eastAsia="ja-JP"/>
        </w:rPr>
      </w:pPr>
      <w:r w:rsidRPr="00F72E16">
        <w:rPr>
          <w:rFonts w:cs="Arial"/>
          <w:lang w:val="fr-FR"/>
        </w:rPr>
        <w:fldChar w:fldCharType="begin"/>
      </w:r>
      <w:r w:rsidRPr="00F72E16">
        <w:rPr>
          <w:rFonts w:cs="Arial"/>
          <w:lang w:val="fr-FR"/>
        </w:rPr>
        <w:instrText xml:space="preserve"> AUTONUM  </w:instrText>
      </w:r>
      <w:r w:rsidRPr="00F72E16">
        <w:rPr>
          <w:rFonts w:cs="Arial"/>
          <w:lang w:val="fr-FR"/>
        </w:rPr>
        <w:fldChar w:fldCharType="end"/>
      </w:r>
      <w:r w:rsidRPr="00F72E16">
        <w:rPr>
          <w:rFonts w:cs="Arial"/>
          <w:lang w:val="fr-FR"/>
        </w:rPr>
        <w:tab/>
      </w:r>
      <w:r w:rsidR="00E5661E" w:rsidRPr="00F72E16">
        <w:rPr>
          <w:rFonts w:cs="Arial"/>
          <w:lang w:val="fr-FR"/>
        </w:rPr>
        <w:t>Les participants sont également convenus de proposer d</w:t>
      </w:r>
      <w:r w:rsidR="00DE0253" w:rsidRPr="00F72E16">
        <w:rPr>
          <w:rFonts w:cs="Arial"/>
          <w:lang w:val="fr-FR"/>
        </w:rPr>
        <w:t>’</w:t>
      </w:r>
      <w:r w:rsidR="00E5661E" w:rsidRPr="00F72E16">
        <w:rPr>
          <w:rFonts w:cs="Arial"/>
          <w:lang w:val="fr-FR"/>
        </w:rPr>
        <w:t xml:space="preserve">inviter </w:t>
      </w:r>
      <w:r w:rsidR="00E5661E" w:rsidRPr="00F72E16">
        <w:rPr>
          <w:rFonts w:cs="Arial"/>
          <w:lang w:val="fr-FR" w:eastAsia="ja-JP"/>
        </w:rPr>
        <w:t>l</w:t>
      </w:r>
      <w:r w:rsidR="00DE0253" w:rsidRPr="00F72E16">
        <w:rPr>
          <w:rFonts w:cs="Arial"/>
          <w:lang w:val="fr-FR" w:eastAsia="ja-JP"/>
        </w:rPr>
        <w:t>’</w:t>
      </w:r>
      <w:r w:rsidRPr="00F72E16">
        <w:rPr>
          <w:rFonts w:cs="Arial"/>
          <w:lang w:val="fr-FR" w:eastAsia="ja-JP"/>
        </w:rPr>
        <w:t xml:space="preserve">UPOV, </w:t>
      </w:r>
      <w:r w:rsidR="00E5661E" w:rsidRPr="00F72E16">
        <w:rPr>
          <w:rFonts w:cs="Arial"/>
          <w:lang w:val="fr-FR" w:eastAsia="ja-JP"/>
        </w:rPr>
        <w:t>l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OCDE et l</w:t>
      </w:r>
      <w:r w:rsidR="00DE0253" w:rsidRPr="00F72E16">
        <w:rPr>
          <w:rFonts w:cs="Arial"/>
          <w:lang w:val="fr-FR" w:eastAsia="ja-JP"/>
        </w:rPr>
        <w:t>’</w:t>
      </w:r>
      <w:r w:rsidRPr="00F72E16">
        <w:rPr>
          <w:rFonts w:cs="Arial"/>
          <w:lang w:val="fr-FR" w:eastAsia="ja-JP"/>
        </w:rPr>
        <w:t xml:space="preserve">ISTA </w:t>
      </w:r>
      <w:r w:rsidR="00E5661E" w:rsidRPr="00F72E16">
        <w:rPr>
          <w:rFonts w:cs="Arial"/>
          <w:lang w:val="fr-FR" w:eastAsia="ja-JP"/>
        </w:rPr>
        <w:t>à dresser des listes d</w:t>
      </w:r>
      <w:r w:rsidR="00DE0253" w:rsidRPr="00F72E16">
        <w:rPr>
          <w:rFonts w:cs="Arial"/>
          <w:lang w:val="fr-FR" w:eastAsia="ja-JP"/>
        </w:rPr>
        <w:t>’</w:t>
      </w:r>
      <w:r w:rsidR="00E5661E" w:rsidRPr="00F72E16">
        <w:rPr>
          <w:rFonts w:cs="Arial"/>
          <w:lang w:val="fr-FR" w:eastAsia="ja-JP"/>
        </w:rPr>
        <w:t>initiatives conjointes possibles dans le domaine des techniques moléculaires</w:t>
      </w:r>
      <w:r w:rsidRPr="00F72E16">
        <w:rPr>
          <w:rFonts w:cs="Arial"/>
          <w:lang w:val="fr-FR" w:eastAsia="ja-JP"/>
        </w:rPr>
        <w:t xml:space="preserve">.  </w:t>
      </w:r>
      <w:r w:rsidR="00E5661E" w:rsidRPr="00F72E16">
        <w:rPr>
          <w:rFonts w:cs="Arial"/>
          <w:lang w:val="fr-FR" w:eastAsia="ja-JP"/>
        </w:rPr>
        <w:t xml:space="preserve">Il a été relevé que, </w:t>
      </w:r>
      <w:r w:rsidR="0019639F" w:rsidRPr="00F72E16">
        <w:rPr>
          <w:rFonts w:cs="Arial"/>
          <w:lang w:val="fr-FR" w:eastAsia="ja-JP"/>
        </w:rPr>
        <w:t>dans le cas de l</w:t>
      </w:r>
      <w:r w:rsidR="00DE0253" w:rsidRPr="00F72E16">
        <w:rPr>
          <w:rFonts w:cs="Arial"/>
          <w:lang w:val="fr-FR" w:eastAsia="ja-JP"/>
        </w:rPr>
        <w:t>’</w:t>
      </w:r>
      <w:r w:rsidR="0019639F" w:rsidRPr="00F72E16">
        <w:rPr>
          <w:rFonts w:cs="Arial"/>
          <w:lang w:val="fr-FR" w:eastAsia="ja-JP"/>
        </w:rPr>
        <w:t>UPOV, la liste pourrait être rédigée par</w:t>
      </w:r>
      <w:r w:rsidR="00C72A57" w:rsidRPr="00F72E16">
        <w:rPr>
          <w:rFonts w:cs="Arial"/>
          <w:lang w:val="fr-FR" w:eastAsia="ja-JP"/>
        </w:rPr>
        <w:t xml:space="preserve"> le BMT</w:t>
      </w:r>
      <w:r w:rsidR="0019639F" w:rsidRPr="00F72E16">
        <w:rPr>
          <w:rFonts w:cs="Arial"/>
          <w:lang w:val="fr-FR" w:eastAsia="ja-JP"/>
        </w:rPr>
        <w:t xml:space="preserve"> à sa quinzième</w:t>
      </w:r>
      <w:r w:rsidR="00DE6D2B" w:rsidRPr="00F72E16">
        <w:rPr>
          <w:rFonts w:cs="Arial"/>
          <w:lang w:val="fr-FR" w:eastAsia="ja-JP"/>
        </w:rPr>
        <w:t> </w:t>
      </w:r>
      <w:r w:rsidR="0019639F" w:rsidRPr="00F72E16">
        <w:rPr>
          <w:rFonts w:cs="Arial"/>
          <w:lang w:val="fr-FR" w:eastAsia="ja-JP"/>
        </w:rPr>
        <w:t>session, sous réserve de l</w:t>
      </w:r>
      <w:r w:rsidR="00DE0253" w:rsidRPr="00F72E16">
        <w:rPr>
          <w:rFonts w:cs="Arial"/>
          <w:lang w:val="fr-FR" w:eastAsia="ja-JP"/>
        </w:rPr>
        <w:t>’</w:t>
      </w:r>
      <w:r w:rsidR="0019639F" w:rsidRPr="00F72E16">
        <w:rPr>
          <w:rFonts w:cs="Arial"/>
          <w:lang w:val="fr-FR" w:eastAsia="ja-JP"/>
        </w:rPr>
        <w:t xml:space="preserve">approbation du Comité technique </w:t>
      </w:r>
      <w:r w:rsidR="00121AA6" w:rsidRPr="00F72E16">
        <w:rPr>
          <w:rFonts w:cs="Arial"/>
          <w:lang w:val="fr-FR" w:eastAsia="ja-JP"/>
        </w:rPr>
        <w:t>(</w:t>
      </w:r>
      <w:r w:rsidR="0019639F" w:rsidRPr="00F72E16">
        <w:rPr>
          <w:rFonts w:cs="Arial"/>
          <w:lang w:val="fr-FR" w:eastAsia="ja-JP"/>
        </w:rPr>
        <w:t>voir le paragraphe</w:t>
      </w:r>
      <w:r w:rsidR="00DE6D2B" w:rsidRPr="00F72E16">
        <w:rPr>
          <w:rFonts w:cs="Arial"/>
          <w:lang w:val="fr-FR" w:eastAsia="ja-JP"/>
        </w:rPr>
        <w:t> </w:t>
      </w:r>
      <w:r w:rsidR="0019639F" w:rsidRPr="00F72E16">
        <w:rPr>
          <w:rFonts w:cs="Arial"/>
          <w:lang w:val="fr-FR" w:eastAsia="ja-JP"/>
        </w:rPr>
        <w:t>56 du</w:t>
      </w:r>
      <w:r w:rsidR="00121AA6" w:rsidRPr="00F72E16">
        <w:rPr>
          <w:rFonts w:cs="Arial"/>
          <w:lang w:val="fr-FR" w:eastAsia="ja-JP"/>
        </w:rPr>
        <w:t> </w:t>
      </w:r>
      <w:r w:rsidR="00C72A57" w:rsidRPr="00F72E16">
        <w:rPr>
          <w:rFonts w:cs="Arial"/>
          <w:lang w:val="fr-FR" w:eastAsia="ja-JP"/>
        </w:rPr>
        <w:t>document BM</w:t>
      </w:r>
      <w:r w:rsidR="004723C0" w:rsidRPr="00F72E16">
        <w:rPr>
          <w:rFonts w:cs="Arial"/>
          <w:lang w:val="fr-FR" w:eastAsia="ja-JP"/>
        </w:rPr>
        <w:t>T/14/20 “Report”)</w:t>
      </w:r>
      <w:r w:rsidRPr="00F72E16">
        <w:rPr>
          <w:rFonts w:cs="Arial"/>
          <w:lang w:val="fr-FR" w:eastAsia="ja-JP"/>
        </w:rPr>
        <w:t>.</w:t>
      </w:r>
    </w:p>
    <w:p w:rsidR="00DF61EE" w:rsidRPr="00F72E16" w:rsidRDefault="00DF61EE" w:rsidP="008651D1">
      <w:pPr>
        <w:rPr>
          <w:rFonts w:cs="Arial"/>
          <w:lang w:val="fr-FR" w:eastAsia="ja-JP"/>
        </w:rPr>
      </w:pPr>
    </w:p>
    <w:p w:rsidR="00DF61EE" w:rsidRPr="00F72E16" w:rsidRDefault="007520E2" w:rsidP="008651D1">
      <w:pPr>
        <w:keepNext/>
        <w:rPr>
          <w:snapToGrid w:val="0"/>
          <w:lang w:val="fr-FR"/>
        </w:rPr>
      </w:pPr>
      <w:r w:rsidRPr="00F72E16">
        <w:rPr>
          <w:snapToGrid w:val="0"/>
          <w:lang w:val="fr-FR"/>
        </w:rPr>
        <w:fldChar w:fldCharType="begin"/>
      </w:r>
      <w:r w:rsidRPr="00F72E16">
        <w:rPr>
          <w:snapToGrid w:val="0"/>
          <w:lang w:val="fr-FR"/>
        </w:rPr>
        <w:instrText xml:space="preserve"> AUTONUM  </w:instrText>
      </w:r>
      <w:r w:rsidRPr="00F72E16">
        <w:rPr>
          <w:snapToGrid w:val="0"/>
          <w:lang w:val="fr-FR"/>
        </w:rPr>
        <w:fldChar w:fldCharType="end"/>
      </w:r>
      <w:r w:rsidRPr="00F72E16">
        <w:rPr>
          <w:snapToGrid w:val="0"/>
          <w:lang w:val="fr-FR"/>
        </w:rPr>
        <w:tab/>
      </w:r>
      <w:r w:rsidR="00D05B03" w:rsidRPr="00F72E16">
        <w:rPr>
          <w:snapToGrid w:val="0"/>
          <w:lang w:val="fr-FR"/>
        </w:rPr>
        <w:t>Le</w:t>
      </w:r>
      <w:r w:rsidR="00AB3232" w:rsidRPr="00F72E16">
        <w:rPr>
          <w:snapToGrid w:val="0"/>
          <w:lang w:val="fr-FR"/>
        </w:rPr>
        <w:t xml:space="preserve"> </w:t>
      </w:r>
      <w:r w:rsidR="0019639F" w:rsidRPr="00F72E16">
        <w:rPr>
          <w:snapToGrid w:val="0"/>
          <w:lang w:val="fr-FR"/>
        </w:rPr>
        <w:t xml:space="preserve">Groupe de travail technique </w:t>
      </w:r>
      <w:r w:rsidR="00AB3232" w:rsidRPr="00F72E16">
        <w:rPr>
          <w:snapToGrid w:val="0"/>
          <w:lang w:val="fr-FR"/>
        </w:rPr>
        <w:t>des</w:t>
      </w:r>
      <w:r w:rsidR="0019639F" w:rsidRPr="00F72E16">
        <w:rPr>
          <w:snapToGrid w:val="0"/>
          <w:lang w:val="fr-FR"/>
        </w:rPr>
        <w:t xml:space="preserve"> Systèmes des semences de l</w:t>
      </w:r>
      <w:r w:rsidR="00DE0253" w:rsidRPr="00F72E16">
        <w:rPr>
          <w:snapToGrid w:val="0"/>
          <w:lang w:val="fr-FR"/>
        </w:rPr>
        <w:t>’</w:t>
      </w:r>
      <w:r w:rsidR="0019639F" w:rsidRPr="00F72E16">
        <w:rPr>
          <w:snapToGrid w:val="0"/>
          <w:lang w:val="fr-FR"/>
        </w:rPr>
        <w:t>OCDE</w:t>
      </w:r>
      <w:r w:rsidR="00D05B03" w:rsidRPr="00F72E16">
        <w:rPr>
          <w:snapToGrid w:val="0"/>
          <w:lang w:val="fr-FR"/>
        </w:rPr>
        <w:t>, à sa réunion</w:t>
      </w:r>
      <w:r w:rsidR="0019639F" w:rsidRPr="00F72E16">
        <w:rPr>
          <w:snapToGrid w:val="0"/>
          <w:lang w:val="fr-FR"/>
        </w:rPr>
        <w:t xml:space="preserve"> </w:t>
      </w:r>
      <w:r w:rsidR="00AB3232" w:rsidRPr="00F72E16">
        <w:rPr>
          <w:snapToGrid w:val="0"/>
          <w:lang w:val="fr-FR"/>
        </w:rPr>
        <w:t>tenue à Paris (France) les 28 et 2</w:t>
      </w:r>
      <w:r w:rsidR="00C72A57" w:rsidRPr="00F72E16">
        <w:rPr>
          <w:snapToGrid w:val="0"/>
          <w:lang w:val="fr-FR"/>
        </w:rPr>
        <w:t>9 janvier 20</w:t>
      </w:r>
      <w:r w:rsidR="00AB3232" w:rsidRPr="00F72E16">
        <w:rPr>
          <w:snapToGrid w:val="0"/>
          <w:lang w:val="fr-FR"/>
        </w:rPr>
        <w:t xml:space="preserve">15, </w:t>
      </w:r>
      <w:r w:rsidR="00D05B03" w:rsidRPr="00F72E16">
        <w:rPr>
          <w:snapToGrid w:val="0"/>
          <w:lang w:val="fr-FR"/>
        </w:rPr>
        <w:t>a</w:t>
      </w:r>
      <w:r w:rsidR="0019639F" w:rsidRPr="00F72E16">
        <w:rPr>
          <w:snapToGrid w:val="0"/>
          <w:lang w:val="fr-FR"/>
        </w:rPr>
        <w:t xml:space="preserve"> entendu un rapport verbal de</w:t>
      </w:r>
      <w:r w:rsidRPr="00F72E16">
        <w:rPr>
          <w:snapToGrid w:val="0"/>
          <w:lang w:val="fr-FR"/>
        </w:rPr>
        <w:t xml:space="preserve"> M.</w:t>
      </w:r>
      <w:r w:rsidR="00DE6D2B" w:rsidRPr="00F72E16">
        <w:rPr>
          <w:snapToGrid w:val="0"/>
          <w:lang w:val="fr-FR"/>
        </w:rPr>
        <w:t> </w:t>
      </w:r>
      <w:r w:rsidR="0075779C" w:rsidRPr="00F72E16">
        <w:rPr>
          <w:snapToGrid w:val="0"/>
          <w:lang w:val="fr-FR"/>
        </w:rPr>
        <w:t>Gerry </w:t>
      </w:r>
      <w:r w:rsidRPr="00F72E16">
        <w:rPr>
          <w:snapToGrid w:val="0"/>
          <w:lang w:val="fr-FR"/>
        </w:rPr>
        <w:t>Hall (</w:t>
      </w:r>
      <w:r w:rsidR="0019639F" w:rsidRPr="00F72E16">
        <w:rPr>
          <w:snapToGrid w:val="0"/>
          <w:lang w:val="fr-FR"/>
        </w:rPr>
        <w:t>Royaume</w:t>
      </w:r>
      <w:r w:rsidR="003F4060">
        <w:rPr>
          <w:snapToGrid w:val="0"/>
          <w:lang w:val="fr-FR"/>
        </w:rPr>
        <w:noBreakHyphen/>
      </w:r>
      <w:r w:rsidR="0019639F" w:rsidRPr="00F72E16">
        <w:rPr>
          <w:snapToGrid w:val="0"/>
          <w:lang w:val="fr-FR"/>
        </w:rPr>
        <w:t>Uni)</w:t>
      </w:r>
      <w:r w:rsidRPr="00F72E16">
        <w:rPr>
          <w:snapToGrid w:val="0"/>
          <w:lang w:val="fr-FR"/>
        </w:rPr>
        <w:t xml:space="preserve">, </w:t>
      </w:r>
      <w:r w:rsidR="0019639F" w:rsidRPr="00F72E16">
        <w:rPr>
          <w:snapToGrid w:val="0"/>
          <w:lang w:val="fr-FR"/>
        </w:rPr>
        <w:t xml:space="preserve">président du Groupe de </w:t>
      </w:r>
      <w:r w:rsidR="00AB3232" w:rsidRPr="00F72E16">
        <w:rPr>
          <w:snapToGrid w:val="0"/>
          <w:lang w:val="fr-FR"/>
        </w:rPr>
        <w:t>travail ad</w:t>
      </w:r>
      <w:r w:rsidR="00DE6D2B" w:rsidRPr="00F72E16">
        <w:rPr>
          <w:snapToGrid w:val="0"/>
          <w:lang w:val="fr-FR"/>
        </w:rPr>
        <w:t> </w:t>
      </w:r>
      <w:r w:rsidR="00AB3232" w:rsidRPr="00F72E16">
        <w:rPr>
          <w:snapToGrid w:val="0"/>
          <w:lang w:val="fr-FR"/>
        </w:rPr>
        <w:t>hoc sur les techniques biochimiques et moléculaires relevant des Systèmes des semences de l</w:t>
      </w:r>
      <w:r w:rsidR="00DE0253" w:rsidRPr="00F72E16">
        <w:rPr>
          <w:snapToGrid w:val="0"/>
          <w:lang w:val="fr-FR"/>
        </w:rPr>
        <w:t>’</w:t>
      </w:r>
      <w:r w:rsidR="00AB3232" w:rsidRPr="00F72E16">
        <w:rPr>
          <w:snapToGrid w:val="0"/>
          <w:lang w:val="fr-FR"/>
        </w:rPr>
        <w:t xml:space="preserve">OCDE, </w:t>
      </w:r>
      <w:r w:rsidR="00D05B03" w:rsidRPr="00F72E16">
        <w:rPr>
          <w:snapToGrid w:val="0"/>
          <w:lang w:val="fr-FR"/>
        </w:rPr>
        <w:t>concernant</w:t>
      </w:r>
      <w:r w:rsidR="00AB3232" w:rsidRPr="00F72E16">
        <w:rPr>
          <w:snapToGrid w:val="0"/>
          <w:lang w:val="fr-FR"/>
        </w:rPr>
        <w:t xml:space="preserve"> l</w:t>
      </w:r>
      <w:r w:rsidR="00DE0253" w:rsidRPr="00F72E16">
        <w:rPr>
          <w:snapToGrid w:val="0"/>
          <w:lang w:val="fr-FR"/>
        </w:rPr>
        <w:t>’</w:t>
      </w:r>
      <w:r w:rsidR="00AB3232" w:rsidRPr="00F72E16">
        <w:rPr>
          <w:snapToGrid w:val="0"/>
          <w:lang w:val="fr-FR"/>
        </w:rPr>
        <w:t>Atelier conjoint de l</w:t>
      </w:r>
      <w:r w:rsidR="00DE0253" w:rsidRPr="00F72E16">
        <w:rPr>
          <w:snapToGrid w:val="0"/>
          <w:lang w:val="fr-FR"/>
        </w:rPr>
        <w:t>’</w:t>
      </w:r>
      <w:r w:rsidR="00AB3232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AB3232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AB3232" w:rsidRPr="00F72E16">
        <w:rPr>
          <w:snapToGrid w:val="0"/>
          <w:lang w:val="fr-FR"/>
        </w:rPr>
        <w:t xml:space="preserve">ISTA </w:t>
      </w:r>
      <w:r w:rsidR="00D05B03" w:rsidRPr="00F72E16">
        <w:rPr>
          <w:snapToGrid w:val="0"/>
          <w:lang w:val="fr-FR"/>
        </w:rPr>
        <w:t>sur les techniques moléculaires qui s</w:t>
      </w:r>
      <w:r w:rsidR="00DE0253" w:rsidRPr="00F72E16">
        <w:rPr>
          <w:snapToGrid w:val="0"/>
          <w:lang w:val="fr-FR"/>
        </w:rPr>
        <w:t>’</w:t>
      </w:r>
      <w:r w:rsidR="00D05B03" w:rsidRPr="00F72E16">
        <w:rPr>
          <w:snapToGrid w:val="0"/>
          <w:lang w:val="fr-FR"/>
        </w:rPr>
        <w:t xml:space="preserve">était </w:t>
      </w:r>
      <w:r w:rsidR="00AB3232" w:rsidRPr="00F72E16">
        <w:rPr>
          <w:snapToGrid w:val="0"/>
          <w:lang w:val="fr-FR"/>
        </w:rPr>
        <w:t>tenu le 1</w:t>
      </w:r>
      <w:r w:rsidR="00C72A57" w:rsidRPr="00F72E16">
        <w:rPr>
          <w:snapToGrid w:val="0"/>
          <w:lang w:val="fr-FR"/>
        </w:rPr>
        <w:t>3 novembre 20</w:t>
      </w:r>
      <w:r w:rsidR="00AB3232" w:rsidRPr="00F72E16">
        <w:rPr>
          <w:snapToGrid w:val="0"/>
          <w:lang w:val="fr-FR"/>
        </w:rPr>
        <w:t>14 dans le cadre de la quatorzième</w:t>
      </w:r>
      <w:r w:rsidR="00DE6D2B" w:rsidRPr="00F72E16">
        <w:rPr>
          <w:snapToGrid w:val="0"/>
          <w:lang w:val="fr-FR"/>
        </w:rPr>
        <w:t> </w:t>
      </w:r>
      <w:r w:rsidR="00AB3232" w:rsidRPr="00F72E16">
        <w:rPr>
          <w:snapToGrid w:val="0"/>
          <w:lang w:val="fr-FR"/>
        </w:rPr>
        <w:t>session</w:t>
      </w:r>
      <w:r w:rsidR="00C72A57" w:rsidRPr="00F72E16">
        <w:rPr>
          <w:snapToGrid w:val="0"/>
          <w:lang w:val="fr-FR"/>
        </w:rPr>
        <w:t xml:space="preserve"> du BMT</w:t>
      </w:r>
      <w:r w:rsidRPr="00F72E16">
        <w:rPr>
          <w:snapToGrid w:val="0"/>
          <w:lang w:val="fr-FR"/>
        </w:rPr>
        <w:t>.</w:t>
      </w:r>
    </w:p>
    <w:p w:rsidR="00DF61EE" w:rsidRPr="00F72E16" w:rsidRDefault="00DF61EE" w:rsidP="008651D1">
      <w:pPr>
        <w:rPr>
          <w:snapToGrid w:val="0"/>
          <w:lang w:val="fr-FR"/>
        </w:rPr>
      </w:pPr>
    </w:p>
    <w:p w:rsidR="00DF61EE" w:rsidRPr="00F72E16" w:rsidRDefault="007520E2" w:rsidP="008651D1">
      <w:pPr>
        <w:rPr>
          <w:snapToGrid w:val="0"/>
          <w:lang w:val="fr-FR"/>
        </w:rPr>
      </w:pPr>
      <w:r w:rsidRPr="00F72E16">
        <w:rPr>
          <w:snapToGrid w:val="0"/>
          <w:lang w:val="fr-FR"/>
        </w:rPr>
        <w:lastRenderedPageBreak/>
        <w:fldChar w:fldCharType="begin"/>
      </w:r>
      <w:r w:rsidRPr="00F72E16">
        <w:rPr>
          <w:snapToGrid w:val="0"/>
          <w:lang w:val="fr-FR"/>
        </w:rPr>
        <w:instrText xml:space="preserve"> AUTONUM  </w:instrText>
      </w:r>
      <w:r w:rsidRPr="00F72E16">
        <w:rPr>
          <w:snapToGrid w:val="0"/>
          <w:lang w:val="fr-FR"/>
        </w:rPr>
        <w:fldChar w:fldCharType="end"/>
      </w:r>
      <w:r w:rsidRPr="00F72E16">
        <w:rPr>
          <w:snapToGrid w:val="0"/>
          <w:lang w:val="fr-FR"/>
        </w:rPr>
        <w:tab/>
      </w:r>
      <w:r w:rsidR="00B8399C" w:rsidRPr="00F72E16">
        <w:rPr>
          <w:snapToGrid w:val="0"/>
          <w:lang w:val="fr-FR"/>
        </w:rPr>
        <w:t>Le Groupe de travail technique est convenu qu</w:t>
      </w:r>
      <w:r w:rsidR="00DE0253" w:rsidRPr="00F72E16">
        <w:rPr>
          <w:snapToGrid w:val="0"/>
          <w:lang w:val="fr-FR"/>
        </w:rPr>
        <w:t>’</w:t>
      </w:r>
      <w:r w:rsidR="00B8399C" w:rsidRPr="00F72E16">
        <w:rPr>
          <w:snapToGrid w:val="0"/>
          <w:lang w:val="fr-FR"/>
        </w:rPr>
        <w:t>un autre Atelier conjoint de l</w:t>
      </w:r>
      <w:r w:rsidR="00DE0253" w:rsidRPr="00F72E16">
        <w:rPr>
          <w:snapToGrid w:val="0"/>
          <w:lang w:val="fr-FR"/>
        </w:rPr>
        <w:t>’</w:t>
      </w:r>
      <w:r w:rsidR="00B8399C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B8399C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B8399C" w:rsidRPr="00F72E16">
        <w:rPr>
          <w:snapToGrid w:val="0"/>
          <w:lang w:val="fr-FR"/>
        </w:rPr>
        <w:t xml:space="preserve">ISTA sur les techniques moléculaires devrait être organisé </w:t>
      </w:r>
      <w:r w:rsidR="00DC14F9" w:rsidRPr="00F72E16">
        <w:rPr>
          <w:snapToGrid w:val="0"/>
          <w:lang w:val="fr-FR"/>
        </w:rPr>
        <w:t xml:space="preserve">soit </w:t>
      </w:r>
      <w:r w:rsidR="00B8399C" w:rsidRPr="00F72E16">
        <w:rPr>
          <w:snapToGrid w:val="0"/>
          <w:lang w:val="fr-FR"/>
        </w:rPr>
        <w:t>immédiatement avant ou après la Réunion annuelle des Systèmes de semences de l</w:t>
      </w:r>
      <w:r w:rsidR="00DE0253" w:rsidRPr="00F72E16">
        <w:rPr>
          <w:snapToGrid w:val="0"/>
          <w:lang w:val="fr-FR"/>
        </w:rPr>
        <w:t>’</w:t>
      </w:r>
      <w:r w:rsidR="00B8399C" w:rsidRPr="00F72E16">
        <w:rPr>
          <w:snapToGrid w:val="0"/>
          <w:lang w:val="fr-FR"/>
        </w:rPr>
        <w:t xml:space="preserve">OCDE qui se tiendra à Paris en </w:t>
      </w:r>
      <w:r w:rsidR="00C72A57" w:rsidRPr="00F72E16">
        <w:rPr>
          <w:snapToGrid w:val="0"/>
          <w:lang w:val="fr-FR"/>
        </w:rPr>
        <w:t>juin 20</w:t>
      </w:r>
      <w:r w:rsidR="00B8399C" w:rsidRPr="00F72E16">
        <w:rPr>
          <w:snapToGrid w:val="0"/>
          <w:lang w:val="fr-FR"/>
        </w:rPr>
        <w:t>15</w:t>
      </w:r>
      <w:r w:rsidR="00D05B03" w:rsidRPr="00F72E16">
        <w:rPr>
          <w:snapToGrid w:val="0"/>
          <w:lang w:val="fr-FR"/>
        </w:rPr>
        <w:t>, soit</w:t>
      </w:r>
      <w:r w:rsidR="00B8399C" w:rsidRPr="00F72E16">
        <w:rPr>
          <w:snapToGrid w:val="0"/>
          <w:lang w:val="fr-FR"/>
        </w:rPr>
        <w:t xml:space="preserve"> en même temps que la Réunion du Groupe de travail technique qui se tiendra en </w:t>
      </w:r>
      <w:r w:rsidR="00C72A57" w:rsidRPr="00F72E16">
        <w:rPr>
          <w:snapToGrid w:val="0"/>
          <w:lang w:val="fr-FR"/>
        </w:rPr>
        <w:t>janvier 20</w:t>
      </w:r>
      <w:r w:rsidR="00B8399C" w:rsidRPr="00F72E16">
        <w:rPr>
          <w:snapToGrid w:val="0"/>
          <w:lang w:val="fr-FR"/>
        </w:rPr>
        <w:t>16</w:t>
      </w:r>
      <w:r w:rsidRPr="00F72E16">
        <w:rPr>
          <w:snapToGrid w:val="0"/>
          <w:lang w:val="fr-FR"/>
        </w:rPr>
        <w:t>.</w:t>
      </w:r>
    </w:p>
    <w:p w:rsidR="00DF61EE" w:rsidRDefault="00DF61EE" w:rsidP="008651D1">
      <w:pPr>
        <w:rPr>
          <w:lang w:val="fr-FR" w:eastAsia="ja-JP"/>
        </w:rPr>
      </w:pPr>
    </w:p>
    <w:p w:rsidR="00EA7691" w:rsidRDefault="00EA7691" w:rsidP="008651D1">
      <w:pPr>
        <w:rPr>
          <w:lang w:val="fr-FR" w:eastAsia="ja-JP"/>
        </w:rPr>
      </w:pPr>
    </w:p>
    <w:p w:rsidR="000A7C03" w:rsidRPr="00F72E16" w:rsidRDefault="000A7C03" w:rsidP="008651D1">
      <w:pPr>
        <w:rPr>
          <w:lang w:val="fr-FR" w:eastAsia="ja-JP"/>
        </w:rPr>
      </w:pPr>
    </w:p>
    <w:p w:rsidR="00DF61EE" w:rsidRPr="00F72E16" w:rsidRDefault="00CD524E" w:rsidP="008651D1">
      <w:pPr>
        <w:pStyle w:val="Heading1"/>
        <w:rPr>
          <w:lang w:val="fr-FR"/>
        </w:rPr>
      </w:pPr>
      <w:bookmarkStart w:id="37" w:name="_Toc412714224"/>
      <w:bookmarkStart w:id="38" w:name="_Toc410822422"/>
      <w:bookmarkStart w:id="39" w:name="_Toc410822818"/>
      <w:bookmarkStart w:id="40" w:name="_Toc410823325"/>
      <w:bookmarkStart w:id="41" w:name="_Toc410899586"/>
      <w:r w:rsidRPr="00F72E16">
        <w:rPr>
          <w:lang w:val="fr-FR" w:eastAsia="ja-JP"/>
        </w:rPr>
        <w:t>débat sur les techniques moléculaires à la cinquantième</w:t>
      </w:r>
      <w:r w:rsidR="00DE6D2B" w:rsidRPr="00F72E16">
        <w:rPr>
          <w:lang w:val="fr-FR" w:eastAsia="ja-JP"/>
        </w:rPr>
        <w:t> </w:t>
      </w:r>
      <w:r w:rsidRPr="00F72E16">
        <w:rPr>
          <w:lang w:val="fr-FR" w:eastAsia="ja-JP"/>
        </w:rPr>
        <w:t>session du</w:t>
      </w:r>
      <w:r w:rsidR="00DE0253" w:rsidRPr="00F72E16">
        <w:rPr>
          <w:lang w:val="fr-FR" w:eastAsia="ja-JP"/>
        </w:rPr>
        <w:t> TC</w:t>
      </w:r>
      <w:bookmarkEnd w:id="37"/>
    </w:p>
    <w:p w:rsidR="00DF61EE" w:rsidRPr="00F72E16" w:rsidRDefault="00DF61EE" w:rsidP="008651D1">
      <w:pPr>
        <w:keepNext/>
        <w:rPr>
          <w:lang w:val="fr-FR" w:eastAsia="ja-JP"/>
        </w:rPr>
      </w:pPr>
    </w:p>
    <w:p w:rsidR="00DF61EE" w:rsidRPr="00F72E16" w:rsidRDefault="00A20CD7" w:rsidP="008651D1">
      <w:pPr>
        <w:keepNext/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3736BD" w:rsidRPr="00F72E16">
        <w:rPr>
          <w:lang w:val="fr-FR"/>
        </w:rPr>
        <w:t>À sa cinquantième</w:t>
      </w:r>
      <w:r w:rsidR="00DE6D2B" w:rsidRPr="00F72E16">
        <w:rPr>
          <w:lang w:val="fr-FR"/>
        </w:rPr>
        <w:t> </w:t>
      </w:r>
      <w:r w:rsidR="003736BD" w:rsidRPr="00F72E16">
        <w:rPr>
          <w:lang w:val="fr-FR"/>
        </w:rPr>
        <w:t>session tenue à Genève</w:t>
      </w:r>
      <w:r w:rsidR="00650902" w:rsidRPr="00F72E16">
        <w:rPr>
          <w:rStyle w:val="FootnoteReference"/>
          <w:lang w:val="fr-FR"/>
        </w:rPr>
        <w:footnoteReference w:id="8"/>
      </w:r>
      <w:r w:rsidR="003736BD" w:rsidRPr="00F72E16">
        <w:rPr>
          <w:lang w:val="fr-FR"/>
        </w:rPr>
        <w:t>, le</w:t>
      </w:r>
      <w:r w:rsidR="00DE0253" w:rsidRPr="00F72E16">
        <w:rPr>
          <w:lang w:val="fr-FR"/>
        </w:rPr>
        <w:t> TC</w:t>
      </w:r>
      <w:r w:rsidR="003736BD" w:rsidRPr="00F72E16">
        <w:rPr>
          <w:lang w:val="fr-FR"/>
        </w:rPr>
        <w:t xml:space="preserve"> est convenu qu</w:t>
      </w:r>
      <w:r w:rsidR="00DE0253" w:rsidRPr="00F72E16">
        <w:rPr>
          <w:lang w:val="fr-FR"/>
        </w:rPr>
        <w:t>’</w:t>
      </w:r>
      <w:r w:rsidR="00B800C4" w:rsidRPr="00F72E16">
        <w:rPr>
          <w:lang w:val="fr-FR"/>
        </w:rPr>
        <w:t>un</w:t>
      </w:r>
      <w:r w:rsidR="00D05B03" w:rsidRPr="00F72E16">
        <w:rPr>
          <w:lang w:val="fr-FR"/>
        </w:rPr>
        <w:t xml:space="preserve"> des</w:t>
      </w:r>
      <w:r w:rsidR="00B800C4" w:rsidRPr="00F72E16">
        <w:rPr>
          <w:lang w:val="fr-FR"/>
        </w:rPr>
        <w:t xml:space="preserve"> point</w:t>
      </w:r>
      <w:r w:rsidR="00D05B03" w:rsidRPr="00F72E16">
        <w:rPr>
          <w:lang w:val="fr-FR"/>
        </w:rPr>
        <w:t>s</w:t>
      </w:r>
      <w:r w:rsidR="00B800C4" w:rsidRPr="00F72E16">
        <w:rPr>
          <w:lang w:val="fr-FR"/>
        </w:rPr>
        <w:t xml:space="preserve"> du</w:t>
      </w:r>
      <w:r w:rsidR="003736BD" w:rsidRPr="00F72E16">
        <w:rPr>
          <w:lang w:val="fr-FR"/>
        </w:rPr>
        <w:t xml:space="preserve"> projet d</w:t>
      </w:r>
      <w:r w:rsidR="00DE0253" w:rsidRPr="00F72E16">
        <w:rPr>
          <w:lang w:val="fr-FR"/>
        </w:rPr>
        <w:t>’</w:t>
      </w:r>
      <w:r w:rsidR="003736BD" w:rsidRPr="00F72E16">
        <w:rPr>
          <w:lang w:val="fr-FR"/>
        </w:rPr>
        <w:t>o</w:t>
      </w:r>
      <w:r w:rsidR="0075779C" w:rsidRPr="00F72E16">
        <w:rPr>
          <w:lang w:val="fr-FR"/>
        </w:rPr>
        <w:t>rdre du jour de sa cinquante et </w:t>
      </w:r>
      <w:r w:rsidR="003736BD" w:rsidRPr="00F72E16">
        <w:rPr>
          <w:lang w:val="fr-FR"/>
        </w:rPr>
        <w:t>unième</w:t>
      </w:r>
      <w:r w:rsidR="00DE6D2B" w:rsidRPr="00F72E16">
        <w:rPr>
          <w:lang w:val="fr-FR"/>
        </w:rPr>
        <w:t> </w:t>
      </w:r>
      <w:r w:rsidR="003736BD" w:rsidRPr="00F72E16">
        <w:rPr>
          <w:lang w:val="fr-FR"/>
        </w:rPr>
        <w:t xml:space="preserve">session devrait </w:t>
      </w:r>
      <w:r w:rsidR="00B800C4" w:rsidRPr="00F72E16">
        <w:rPr>
          <w:lang w:val="fr-FR"/>
        </w:rPr>
        <w:t xml:space="preserve">être </w:t>
      </w:r>
      <w:r w:rsidR="003736BD" w:rsidRPr="00F72E16">
        <w:rPr>
          <w:lang w:val="fr-FR"/>
        </w:rPr>
        <w:t xml:space="preserve">consacré à un débat sur les techniques </w:t>
      </w:r>
      <w:r w:rsidR="00B800C4" w:rsidRPr="00F72E16">
        <w:rPr>
          <w:lang w:val="fr-FR"/>
        </w:rPr>
        <w:t>moléculaires</w:t>
      </w:r>
      <w:r w:rsidR="00CD720B" w:rsidRPr="00F72E16">
        <w:rPr>
          <w:lang w:val="fr-FR"/>
        </w:rPr>
        <w:t xml:space="preserve"> (</w:t>
      </w:r>
      <w:r w:rsidR="00B800C4" w:rsidRPr="00F72E16">
        <w:rPr>
          <w:lang w:val="fr-FR"/>
        </w:rPr>
        <w:t>voir le paragraphe</w:t>
      </w:r>
      <w:r w:rsidR="00DE6D2B" w:rsidRPr="00F72E16">
        <w:rPr>
          <w:lang w:val="fr-FR"/>
        </w:rPr>
        <w:t> </w:t>
      </w:r>
      <w:r w:rsidR="00B800C4" w:rsidRPr="00F72E16">
        <w:rPr>
          <w:lang w:val="fr-FR"/>
        </w:rPr>
        <w:t>164 du</w:t>
      </w:r>
      <w:r w:rsidR="00CD720B" w:rsidRPr="00F72E16">
        <w:rPr>
          <w:lang w:val="fr-FR"/>
        </w:rPr>
        <w:t> </w:t>
      </w:r>
      <w:r w:rsidR="00DE0253" w:rsidRPr="00F72E16">
        <w:rPr>
          <w:lang w:val="fr-FR"/>
        </w:rPr>
        <w:t>document TC</w:t>
      </w:r>
      <w:r w:rsidRPr="00F72E16">
        <w:rPr>
          <w:lang w:val="fr-FR"/>
        </w:rPr>
        <w:t>/50/</w:t>
      </w:r>
      <w:r w:rsidR="00B800C4" w:rsidRPr="00F72E16">
        <w:rPr>
          <w:lang w:val="fr-FR"/>
        </w:rPr>
        <w:t>3</w:t>
      </w:r>
      <w:r w:rsidRPr="00F72E16">
        <w:rPr>
          <w:lang w:val="fr-FR"/>
        </w:rPr>
        <w:t>6 “</w:t>
      </w:r>
      <w:r w:rsidR="00B800C4" w:rsidRPr="00F72E16">
        <w:rPr>
          <w:lang w:val="fr-FR"/>
        </w:rPr>
        <w:t>Compte rendu des co</w:t>
      </w:r>
      <w:r w:rsidRPr="00F72E16">
        <w:rPr>
          <w:lang w:val="fr-FR"/>
        </w:rPr>
        <w:t>nclusions”).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A20CD7" w:rsidP="008651D1">
      <w:pPr>
        <w:rPr>
          <w:rFonts w:cs="Arial"/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ED61B9" w:rsidRPr="00F72E16">
        <w:rPr>
          <w:lang w:val="fr-FR"/>
        </w:rPr>
        <w:t xml:space="preserve">Lors de leur réunion tenue à Genève le </w:t>
      </w:r>
      <w:r w:rsidR="00C72A57" w:rsidRPr="00F72E16">
        <w:rPr>
          <w:lang w:val="fr-FR"/>
        </w:rPr>
        <w:t>9 janvier 20</w:t>
      </w:r>
      <w:r w:rsidR="00ED61B9" w:rsidRPr="00F72E16">
        <w:rPr>
          <w:lang w:val="fr-FR"/>
        </w:rPr>
        <w:t>15, les présidents</w:t>
      </w:r>
      <w:r w:rsidR="00C72A57" w:rsidRPr="00F72E16">
        <w:rPr>
          <w:lang w:val="fr-FR"/>
        </w:rPr>
        <w:t xml:space="preserve"> des TWP</w:t>
      </w:r>
      <w:r w:rsidR="00ED61B9" w:rsidRPr="00F72E16">
        <w:rPr>
          <w:lang w:val="fr-FR"/>
        </w:rPr>
        <w:t xml:space="preserve"> et du</w:t>
      </w:r>
      <w:r w:rsidR="00DE0253" w:rsidRPr="00F72E16">
        <w:rPr>
          <w:lang w:val="fr-FR"/>
        </w:rPr>
        <w:t> TC</w:t>
      </w:r>
      <w:r w:rsidR="00D05B03" w:rsidRPr="00F72E16">
        <w:rPr>
          <w:lang w:val="fr-FR"/>
        </w:rPr>
        <w:t xml:space="preserve"> ont proposé de fonder c</w:t>
      </w:r>
      <w:r w:rsidR="00ED61B9" w:rsidRPr="00F72E16">
        <w:rPr>
          <w:lang w:val="fr-FR"/>
        </w:rPr>
        <w:t>e débat sur un exposé des temps forts de la quatorzième</w:t>
      </w:r>
      <w:r w:rsidR="00DE6D2B" w:rsidRPr="00F72E16">
        <w:rPr>
          <w:lang w:val="fr-FR"/>
        </w:rPr>
        <w:t> </w:t>
      </w:r>
      <w:r w:rsidR="00ED61B9" w:rsidRPr="00F72E16">
        <w:rPr>
          <w:lang w:val="fr-FR"/>
        </w:rPr>
        <w:t>session</w:t>
      </w:r>
      <w:r w:rsidR="00C72A57" w:rsidRPr="00F72E16">
        <w:rPr>
          <w:lang w:val="fr-FR"/>
        </w:rPr>
        <w:t xml:space="preserve"> du BMT</w:t>
      </w:r>
      <w:r w:rsidR="00ED61B9" w:rsidRPr="00F72E16">
        <w:rPr>
          <w:lang w:val="fr-FR"/>
        </w:rPr>
        <w:t xml:space="preserve"> tenue à Séoul (République de Corée) du 10 au 1</w:t>
      </w:r>
      <w:r w:rsidR="00C72A57" w:rsidRPr="00F72E16">
        <w:rPr>
          <w:lang w:val="fr-FR"/>
        </w:rPr>
        <w:t>3 novembre 20</w:t>
      </w:r>
      <w:r w:rsidR="00ED61B9" w:rsidRPr="00F72E16">
        <w:rPr>
          <w:lang w:val="fr-FR"/>
        </w:rPr>
        <w:t>14, ainsi que sur l</w:t>
      </w:r>
      <w:r w:rsidR="00DE0253" w:rsidRPr="00F72E16">
        <w:rPr>
          <w:lang w:val="fr-FR"/>
        </w:rPr>
        <w:t>’</w:t>
      </w:r>
      <w:r w:rsidR="00ED61B9" w:rsidRPr="00F72E16">
        <w:rPr>
          <w:snapToGrid w:val="0"/>
          <w:lang w:val="fr-FR"/>
        </w:rPr>
        <w:t>Atelier conjoint de l</w:t>
      </w:r>
      <w:r w:rsidR="00DE0253" w:rsidRPr="00F72E16">
        <w:rPr>
          <w:snapToGrid w:val="0"/>
          <w:lang w:val="fr-FR"/>
        </w:rPr>
        <w:t>’</w:t>
      </w:r>
      <w:r w:rsidR="00ED61B9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ED61B9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ED61B9" w:rsidRPr="00F72E16">
        <w:rPr>
          <w:snapToGrid w:val="0"/>
          <w:lang w:val="fr-FR"/>
        </w:rPr>
        <w:t>ISTA sur les techniques moléculaires</w:t>
      </w:r>
      <w:r w:rsidR="00ED61B9" w:rsidRPr="00F72E16">
        <w:rPr>
          <w:lang w:val="fr-FR"/>
        </w:rPr>
        <w:t xml:space="preserve"> tenu à</w:t>
      </w:r>
      <w:r w:rsidR="002C3CBE" w:rsidRPr="00F72E16">
        <w:rPr>
          <w:lang w:val="fr-FR"/>
        </w:rPr>
        <w:t xml:space="preserve"> S</w:t>
      </w:r>
      <w:r w:rsidR="00ED61B9" w:rsidRPr="00F72E16">
        <w:rPr>
          <w:lang w:val="fr-FR"/>
        </w:rPr>
        <w:t>é</w:t>
      </w:r>
      <w:r w:rsidR="002C3CBE" w:rsidRPr="00F72E16">
        <w:rPr>
          <w:lang w:val="fr-FR"/>
        </w:rPr>
        <w:t>oul</w:t>
      </w:r>
      <w:r w:rsidR="00ED61B9" w:rsidRPr="00F72E16">
        <w:rPr>
          <w:lang w:val="fr-FR"/>
        </w:rPr>
        <w:t xml:space="preserve"> (</w:t>
      </w:r>
      <w:r w:rsidR="002C3CBE" w:rsidRPr="00F72E16">
        <w:rPr>
          <w:lang w:val="fr-FR"/>
        </w:rPr>
        <w:t>R</w:t>
      </w:r>
      <w:r w:rsidR="00ED61B9" w:rsidRPr="00F72E16">
        <w:rPr>
          <w:lang w:val="fr-FR"/>
        </w:rPr>
        <w:t>é</w:t>
      </w:r>
      <w:r w:rsidR="002C3CBE" w:rsidRPr="00F72E16">
        <w:rPr>
          <w:lang w:val="fr-FR"/>
        </w:rPr>
        <w:t>publi</w:t>
      </w:r>
      <w:r w:rsidR="00ED61B9" w:rsidRPr="00F72E16">
        <w:rPr>
          <w:lang w:val="fr-FR"/>
        </w:rPr>
        <w:t>que de C</w:t>
      </w:r>
      <w:r w:rsidR="002C3CBE" w:rsidRPr="00F72E16">
        <w:rPr>
          <w:lang w:val="fr-FR"/>
        </w:rPr>
        <w:t>or</w:t>
      </w:r>
      <w:r w:rsidR="00ED61B9" w:rsidRPr="00F72E16">
        <w:rPr>
          <w:lang w:val="fr-FR"/>
        </w:rPr>
        <w:t>ée) le 1</w:t>
      </w:r>
      <w:r w:rsidR="00C72A57" w:rsidRPr="00F72E16">
        <w:rPr>
          <w:lang w:val="fr-FR"/>
        </w:rPr>
        <w:t>2 novembre 20</w:t>
      </w:r>
      <w:r w:rsidR="00DB71F7" w:rsidRPr="00F72E16">
        <w:rPr>
          <w:lang w:val="fr-FR"/>
        </w:rPr>
        <w:t>14</w:t>
      </w:r>
      <w:r w:rsidR="002C3CBE" w:rsidRPr="00F72E16">
        <w:rPr>
          <w:rFonts w:cs="Arial"/>
          <w:lang w:val="fr-FR"/>
        </w:rPr>
        <w:t>.</w:t>
      </w:r>
    </w:p>
    <w:p w:rsidR="00DF61EE" w:rsidRPr="00F72E16" w:rsidRDefault="00DF61EE" w:rsidP="008651D1">
      <w:pPr>
        <w:rPr>
          <w:rFonts w:cs="Arial"/>
          <w:lang w:val="fr-FR"/>
        </w:rPr>
      </w:pPr>
    </w:p>
    <w:p w:rsidR="00DF61EE" w:rsidRPr="00F72E16" w:rsidRDefault="002C3CBE" w:rsidP="008651D1">
      <w:pPr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ED61B9" w:rsidRPr="00F72E16">
        <w:rPr>
          <w:lang w:val="fr-FR"/>
        </w:rPr>
        <w:t>À cet égard, il a été proposé d</w:t>
      </w:r>
      <w:r w:rsidR="00DE0253" w:rsidRPr="00F72E16">
        <w:rPr>
          <w:lang w:val="fr-FR"/>
        </w:rPr>
        <w:t>’</w:t>
      </w:r>
      <w:r w:rsidR="00ED61B9" w:rsidRPr="00F72E16">
        <w:rPr>
          <w:lang w:val="fr-FR"/>
        </w:rPr>
        <w:t>organiser des exposés sur les points suivants en vue du débat sur les techniques moléculaires prévu dans le cadre de la cinquante</w:t>
      </w:r>
      <w:r w:rsidR="0075779C" w:rsidRPr="00F72E16">
        <w:rPr>
          <w:lang w:val="fr-FR"/>
        </w:rPr>
        <w:t> </w:t>
      </w:r>
      <w:r w:rsidR="00ED61B9" w:rsidRPr="00F72E16">
        <w:rPr>
          <w:lang w:val="fr-FR"/>
        </w:rPr>
        <w:t>et</w:t>
      </w:r>
      <w:r w:rsidR="0075779C" w:rsidRPr="00F72E16">
        <w:rPr>
          <w:lang w:val="fr-FR"/>
        </w:rPr>
        <w:t> </w:t>
      </w:r>
      <w:r w:rsidR="00ED61B9" w:rsidRPr="00F72E16">
        <w:rPr>
          <w:lang w:val="fr-FR"/>
        </w:rPr>
        <w:t>unième</w:t>
      </w:r>
      <w:r w:rsidR="00DE6D2B" w:rsidRPr="00F72E16">
        <w:rPr>
          <w:lang w:val="fr-FR"/>
        </w:rPr>
        <w:t> </w:t>
      </w:r>
      <w:r w:rsidR="00ED61B9" w:rsidRPr="00F72E16">
        <w:rPr>
          <w:lang w:val="fr-FR"/>
        </w:rPr>
        <w:t>session du</w:t>
      </w:r>
      <w:r w:rsidR="00DE0253" w:rsidRPr="00F72E16">
        <w:rPr>
          <w:lang w:val="fr-FR"/>
        </w:rPr>
        <w:t> TC</w:t>
      </w:r>
      <w:r w:rsidR="00ED61B9" w:rsidRPr="00F72E16">
        <w:rPr>
          <w:lang w:val="fr-FR"/>
        </w:rPr>
        <w:t> :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B10488" w:rsidP="008651D1">
      <w:pPr>
        <w:ind w:left="567"/>
        <w:rPr>
          <w:i/>
          <w:lang w:val="fr-FR"/>
        </w:rPr>
      </w:pPr>
      <w:r w:rsidRPr="00F72E16">
        <w:rPr>
          <w:i/>
          <w:lang w:val="fr-FR"/>
        </w:rPr>
        <w:t>Comptes rendus des faits nouveaux survenus au sein de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UPOV et concernant les techniques biochimiques et moléculaires</w:t>
      </w:r>
      <w:r w:rsidR="002C3CBE" w:rsidRPr="00F72E16">
        <w:rPr>
          <w:i/>
          <w:lang w:val="fr-FR"/>
        </w:rPr>
        <w:t xml:space="preserve"> (</w:t>
      </w:r>
      <w:r w:rsidRPr="00F72E16">
        <w:rPr>
          <w:i/>
          <w:lang w:val="fr-FR"/>
        </w:rPr>
        <w:t>voir également le</w:t>
      </w:r>
      <w:r w:rsidR="009676F5" w:rsidRPr="00F72E16">
        <w:rPr>
          <w:i/>
          <w:lang w:val="fr-FR"/>
        </w:rPr>
        <w:t xml:space="preserve"> document</w:t>
      </w:r>
      <w:r w:rsidR="00CB1775">
        <w:rPr>
          <w:i/>
          <w:lang w:val="fr-FR"/>
        </w:rPr>
        <w:t xml:space="preserve"> BMT/14/2 </w:t>
      </w:r>
      <w:r w:rsidR="002C3CBE" w:rsidRPr="00F72E16">
        <w:rPr>
          <w:i/>
          <w:lang w:val="fr-FR"/>
        </w:rPr>
        <w:t>Rev</w:t>
      </w:r>
      <w:r w:rsidR="00CB1775">
        <w:rPr>
          <w:i/>
          <w:lang w:val="fr-FR"/>
        </w:rPr>
        <w:t>.</w:t>
      </w:r>
      <w:r w:rsidR="002C3CBE" w:rsidRPr="00F72E16">
        <w:rPr>
          <w:i/>
          <w:lang w:val="fr-FR"/>
        </w:rPr>
        <w:t>2)</w:t>
      </w:r>
    </w:p>
    <w:p w:rsidR="00DF61EE" w:rsidRPr="00F72E16" w:rsidRDefault="00DF61EE" w:rsidP="008651D1">
      <w:pPr>
        <w:ind w:left="567"/>
        <w:rPr>
          <w:i/>
          <w:lang w:val="fr-FR"/>
        </w:rPr>
      </w:pPr>
    </w:p>
    <w:p w:rsidR="00DF61EE" w:rsidRPr="00F72E16" w:rsidRDefault="00B10488" w:rsidP="008651D1">
      <w:pPr>
        <w:ind w:left="540" w:firstLine="27"/>
        <w:rPr>
          <w:i/>
          <w:lang w:val="fr-FR"/>
        </w:rPr>
      </w:pPr>
      <w:r w:rsidRPr="00F72E16">
        <w:rPr>
          <w:i/>
          <w:lang w:val="fr-FR"/>
        </w:rPr>
        <w:t>Utilisation de techniques faisant intervenir des marque</w:t>
      </w:r>
      <w:r w:rsidR="009E6E8C" w:rsidRPr="00F72E16">
        <w:rPr>
          <w:i/>
          <w:lang w:val="fr-FR"/>
        </w:rPr>
        <w:t>urs moléculaires aux fins de la sélection d</w:t>
      </w:r>
      <w:r w:rsidR="00DE0253" w:rsidRPr="00F72E16">
        <w:rPr>
          <w:i/>
          <w:lang w:val="fr-FR"/>
        </w:rPr>
        <w:t>’</w:t>
      </w:r>
      <w:r w:rsidR="009E6E8C" w:rsidRPr="00F72E16">
        <w:rPr>
          <w:i/>
          <w:lang w:val="fr-FR"/>
        </w:rPr>
        <w:t xml:space="preserve">une </w:t>
      </w:r>
      <w:r w:rsidR="0075779C" w:rsidRPr="00F72E16">
        <w:rPr>
          <w:i/>
          <w:lang w:val="fr-FR"/>
        </w:rPr>
        <w:t>“</w:t>
      </w:r>
      <w:r w:rsidR="009E6E8C" w:rsidRPr="00F72E16">
        <w:rPr>
          <w:i/>
          <w:lang w:val="fr-FR"/>
        </w:rPr>
        <w:t>variété voisine</w:t>
      </w:r>
      <w:r w:rsidR="00D05B03" w:rsidRPr="00F72E16">
        <w:rPr>
          <w:i/>
          <w:lang w:val="fr-FR"/>
        </w:rPr>
        <w:t>”</w:t>
      </w:r>
      <w:r w:rsidR="00EB2A97" w:rsidRPr="00F72E16">
        <w:rPr>
          <w:i/>
          <w:lang w:val="fr-FR"/>
        </w:rPr>
        <w:t xml:space="preserve"> </w:t>
      </w:r>
      <w:r w:rsidR="009E6E8C" w:rsidRPr="00F72E16">
        <w:rPr>
          <w:i/>
          <w:lang w:val="fr-FR"/>
        </w:rPr>
        <w:t>d</w:t>
      </w:r>
      <w:r w:rsidR="00DE0253" w:rsidRPr="00F72E16">
        <w:rPr>
          <w:i/>
          <w:lang w:val="fr-FR"/>
        </w:rPr>
        <w:t>’</w:t>
      </w:r>
      <w:r w:rsidR="009E6E8C" w:rsidRPr="00F72E16">
        <w:rPr>
          <w:i/>
          <w:lang w:val="fr-FR"/>
        </w:rPr>
        <w:t xml:space="preserve">une </w:t>
      </w:r>
      <w:r w:rsidR="00D05B03" w:rsidRPr="00F72E16">
        <w:rPr>
          <w:i/>
          <w:lang w:val="fr-FR"/>
        </w:rPr>
        <w:t>“</w:t>
      </w:r>
      <w:r w:rsidR="009E6E8C" w:rsidRPr="00F72E16">
        <w:rPr>
          <w:i/>
          <w:lang w:val="fr-FR"/>
        </w:rPr>
        <w:t>variété candidate</w:t>
      </w:r>
      <w:r w:rsidR="0075779C" w:rsidRPr="00F72E16">
        <w:rPr>
          <w:i/>
          <w:lang w:val="fr-FR"/>
        </w:rPr>
        <w:t>”</w:t>
      </w:r>
      <w:r w:rsidR="00EB2A97" w:rsidRPr="00F72E16">
        <w:rPr>
          <w:i/>
          <w:lang w:val="fr-FR"/>
        </w:rPr>
        <w:t xml:space="preserve"> (</w:t>
      </w:r>
      <w:r w:rsidR="009E6E8C" w:rsidRPr="00F72E16">
        <w:rPr>
          <w:i/>
          <w:lang w:val="fr-FR"/>
        </w:rPr>
        <w:t>voir également le</w:t>
      </w:r>
      <w:r w:rsidR="00EB2A97" w:rsidRPr="00F72E16">
        <w:rPr>
          <w:i/>
          <w:lang w:val="fr-FR"/>
        </w:rPr>
        <w:t xml:space="preserve"> </w:t>
      </w:r>
      <w:r w:rsidR="00C72A57" w:rsidRPr="00F72E16">
        <w:rPr>
          <w:i/>
          <w:lang w:val="fr-FR"/>
        </w:rPr>
        <w:t>document BM</w:t>
      </w:r>
      <w:r w:rsidR="00CB1775">
        <w:rPr>
          <w:i/>
          <w:lang w:val="fr-FR"/>
        </w:rPr>
        <w:t>T/14/16 </w:t>
      </w:r>
      <w:r w:rsidR="00EB2A97" w:rsidRPr="00F72E16">
        <w:rPr>
          <w:i/>
          <w:lang w:val="fr-FR"/>
        </w:rPr>
        <w:t>Rev</w:t>
      </w:r>
      <w:r w:rsidR="00CB1775">
        <w:rPr>
          <w:i/>
          <w:lang w:val="fr-FR"/>
        </w:rPr>
        <w:t>.</w:t>
      </w:r>
      <w:r w:rsidR="00EB2A97" w:rsidRPr="00F72E16">
        <w:rPr>
          <w:i/>
          <w:lang w:val="fr-FR"/>
        </w:rPr>
        <w:t>2)</w:t>
      </w:r>
    </w:p>
    <w:p w:rsidR="00DF61EE" w:rsidRPr="00F72E16" w:rsidRDefault="00DF61EE" w:rsidP="008651D1">
      <w:pPr>
        <w:ind w:left="540" w:firstLine="27"/>
        <w:rPr>
          <w:i/>
          <w:lang w:val="fr-FR"/>
        </w:rPr>
      </w:pPr>
    </w:p>
    <w:p w:rsidR="00DF61EE" w:rsidRPr="00F72E16" w:rsidRDefault="00D05B03" w:rsidP="008651D1">
      <w:pPr>
        <w:ind w:left="540" w:firstLine="27"/>
        <w:rPr>
          <w:rFonts w:cs="Arial"/>
          <w:i/>
          <w:lang w:val="fr-FR"/>
        </w:rPr>
      </w:pPr>
      <w:r w:rsidRPr="00F72E16">
        <w:rPr>
          <w:i/>
          <w:lang w:val="fr-FR"/>
        </w:rPr>
        <w:t>Utilisation</w:t>
      </w:r>
      <w:r w:rsidR="009E6E8C" w:rsidRPr="00F72E16">
        <w:rPr>
          <w:i/>
          <w:lang w:val="fr-FR"/>
        </w:rPr>
        <w:t xml:space="preserve"> de variétés de référence pour l</w:t>
      </w:r>
      <w:r w:rsidR="00DE0253" w:rsidRPr="00F72E16">
        <w:rPr>
          <w:i/>
          <w:lang w:val="fr-FR"/>
        </w:rPr>
        <w:t>’</w:t>
      </w:r>
      <w:r w:rsidR="009E6E8C" w:rsidRPr="00F72E16">
        <w:rPr>
          <w:i/>
          <w:lang w:val="fr-FR"/>
        </w:rPr>
        <w:t>examen de la distinction de variétés</w:t>
      </w:r>
      <w:r w:rsidR="002C3CBE" w:rsidRPr="00F72E16">
        <w:rPr>
          <w:i/>
          <w:lang w:val="fr-FR"/>
        </w:rPr>
        <w:t xml:space="preserve"> : </w:t>
      </w:r>
      <w:r w:rsidR="009E6E8C" w:rsidRPr="00F72E16">
        <w:rPr>
          <w:i/>
          <w:lang w:val="fr-FR"/>
        </w:rPr>
        <w:t>méthode étudiée aux États</w:t>
      </w:r>
      <w:r w:rsidR="003F4060">
        <w:rPr>
          <w:i/>
          <w:lang w:val="fr-FR"/>
        </w:rPr>
        <w:noBreakHyphen/>
      </w:r>
      <w:r w:rsidR="009E6E8C" w:rsidRPr="00F72E16">
        <w:rPr>
          <w:i/>
          <w:lang w:val="fr-FR"/>
        </w:rPr>
        <w:t>Unis d</w:t>
      </w:r>
      <w:r w:rsidR="00DE0253" w:rsidRPr="00F72E16">
        <w:rPr>
          <w:i/>
          <w:lang w:val="fr-FR"/>
        </w:rPr>
        <w:t>’</w:t>
      </w:r>
      <w:r w:rsidR="009E6E8C" w:rsidRPr="00F72E16">
        <w:rPr>
          <w:i/>
          <w:lang w:val="fr-FR"/>
        </w:rPr>
        <w:t>Amérique potentiellement applicable à la protection des obtentions végétales</w:t>
      </w:r>
      <w:r w:rsidR="002C3CBE" w:rsidRPr="00F72E16">
        <w:rPr>
          <w:i/>
          <w:lang w:val="fr-FR"/>
        </w:rPr>
        <w:t xml:space="preserve"> </w:t>
      </w:r>
      <w:r w:rsidR="002C3CBE" w:rsidRPr="00F72E16">
        <w:rPr>
          <w:rFonts w:cs="Arial"/>
          <w:i/>
          <w:lang w:val="fr-FR"/>
        </w:rPr>
        <w:t>(</w:t>
      </w:r>
      <w:r w:rsidR="009E6E8C" w:rsidRPr="00F72E16">
        <w:rPr>
          <w:rFonts w:cs="Arial"/>
          <w:i/>
          <w:lang w:val="fr-FR"/>
        </w:rPr>
        <w:t xml:space="preserve">voir également les </w:t>
      </w:r>
      <w:r w:rsidR="00C72A57" w:rsidRPr="00F72E16">
        <w:rPr>
          <w:rFonts w:cs="Arial"/>
          <w:i/>
          <w:lang w:val="fr-FR"/>
        </w:rPr>
        <w:t>documents BM</w:t>
      </w:r>
      <w:r w:rsidR="002C3CBE" w:rsidRPr="00F72E16">
        <w:rPr>
          <w:rFonts w:cs="Arial"/>
          <w:i/>
          <w:lang w:val="fr-FR"/>
        </w:rPr>
        <w:t xml:space="preserve">T/14/5 </w:t>
      </w:r>
      <w:r w:rsidR="009E6E8C" w:rsidRPr="00F72E16">
        <w:rPr>
          <w:rFonts w:cs="Arial"/>
          <w:i/>
          <w:lang w:val="fr-FR"/>
        </w:rPr>
        <w:t>et</w:t>
      </w:r>
      <w:r w:rsidR="002C3CBE" w:rsidRPr="00F72E16">
        <w:rPr>
          <w:rFonts w:cs="Arial"/>
          <w:i/>
          <w:lang w:val="fr-FR"/>
        </w:rPr>
        <w:t xml:space="preserve"> BMT/14/5 Add.)</w:t>
      </w:r>
    </w:p>
    <w:p w:rsidR="00DF61EE" w:rsidRPr="00F72E16" w:rsidRDefault="00DF61EE" w:rsidP="000A7C03">
      <w:pPr>
        <w:ind w:left="567"/>
        <w:rPr>
          <w:i/>
          <w:lang w:val="fr-FR"/>
        </w:rPr>
      </w:pPr>
    </w:p>
    <w:p w:rsidR="00DF61EE" w:rsidRPr="00F72E16" w:rsidRDefault="009E6E8C" w:rsidP="008651D1">
      <w:pPr>
        <w:ind w:left="540" w:firstLine="27"/>
        <w:rPr>
          <w:i/>
          <w:lang w:val="fr-FR"/>
        </w:rPr>
      </w:pPr>
      <w:r w:rsidRPr="00F72E16">
        <w:rPr>
          <w:i/>
          <w:lang w:val="fr-FR"/>
        </w:rPr>
        <w:t xml:space="preserve">Base de données européenne sur la pomme de terre </w:t>
      </w:r>
      <w:r w:rsidR="00B17A36" w:rsidRPr="00F72E16">
        <w:rPr>
          <w:i/>
          <w:lang w:val="fr-FR"/>
        </w:rPr>
        <w:t>faisant office de système centralisé de collecte de données sur les</w:t>
      </w:r>
      <w:r w:rsidRPr="00F72E16">
        <w:rPr>
          <w:i/>
          <w:lang w:val="fr-FR"/>
        </w:rPr>
        <w:t xml:space="preserve"> variétés notoirement connues</w:t>
      </w:r>
      <w:r w:rsidR="002C3CBE" w:rsidRPr="00F72E16">
        <w:rPr>
          <w:i/>
          <w:lang w:val="fr-FR"/>
        </w:rPr>
        <w:t xml:space="preserve"> </w:t>
      </w:r>
      <w:r w:rsidR="002C3CBE" w:rsidRPr="00F72E16">
        <w:rPr>
          <w:rFonts w:cs="Arial"/>
          <w:i/>
          <w:lang w:val="fr-FR"/>
        </w:rPr>
        <w:t>(</w:t>
      </w:r>
      <w:r w:rsidRPr="00F72E16">
        <w:rPr>
          <w:rFonts w:cs="Arial"/>
          <w:i/>
          <w:lang w:val="fr-FR"/>
        </w:rPr>
        <w:t>voir également les</w:t>
      </w:r>
      <w:r w:rsidR="009676F5" w:rsidRPr="00F72E16">
        <w:rPr>
          <w:rFonts w:cs="Arial"/>
          <w:i/>
          <w:lang w:val="fr-FR"/>
        </w:rPr>
        <w:t xml:space="preserve"> </w:t>
      </w:r>
      <w:r w:rsidR="00C72A57" w:rsidRPr="00F72E16">
        <w:rPr>
          <w:rFonts w:cs="Arial"/>
          <w:i/>
          <w:lang w:val="fr-FR"/>
        </w:rPr>
        <w:t>documents BM</w:t>
      </w:r>
      <w:r w:rsidR="002C3CBE" w:rsidRPr="00F72E16">
        <w:rPr>
          <w:rFonts w:cs="Arial"/>
          <w:i/>
          <w:lang w:val="fr-FR"/>
        </w:rPr>
        <w:t xml:space="preserve">T/14/18 </w:t>
      </w:r>
      <w:r w:rsidRPr="00F72E16">
        <w:rPr>
          <w:rFonts w:cs="Arial"/>
          <w:i/>
          <w:lang w:val="fr-FR"/>
        </w:rPr>
        <w:t>et</w:t>
      </w:r>
      <w:r w:rsidR="002C3CBE" w:rsidRPr="00F72E16">
        <w:rPr>
          <w:rFonts w:cs="Arial"/>
          <w:i/>
          <w:lang w:val="fr-FR"/>
        </w:rPr>
        <w:t xml:space="preserve"> BMT/14/18 Add)</w:t>
      </w:r>
    </w:p>
    <w:p w:rsidR="00DF61EE" w:rsidRPr="00F72E16" w:rsidRDefault="00DF61EE" w:rsidP="000A7C03">
      <w:pPr>
        <w:ind w:left="567"/>
        <w:rPr>
          <w:i/>
          <w:lang w:val="fr-FR"/>
        </w:rPr>
      </w:pPr>
    </w:p>
    <w:p w:rsidR="00DF61EE" w:rsidRPr="00F72E16" w:rsidRDefault="00B17A36" w:rsidP="008651D1">
      <w:pPr>
        <w:ind w:left="540" w:firstLine="27"/>
        <w:rPr>
          <w:i/>
          <w:lang w:val="fr-FR"/>
        </w:rPr>
      </w:pPr>
      <w:r w:rsidRPr="00F72E16">
        <w:rPr>
          <w:i/>
          <w:lang w:val="fr-FR"/>
        </w:rPr>
        <w:t>Mise au point de marqueurs</w:t>
      </w:r>
      <w:r w:rsidR="002C3CBE" w:rsidRPr="00F72E16">
        <w:rPr>
          <w:i/>
          <w:lang w:val="fr-FR"/>
        </w:rPr>
        <w:t xml:space="preserve"> EST</w:t>
      </w:r>
      <w:r w:rsidR="003F4060">
        <w:rPr>
          <w:i/>
          <w:lang w:val="fr-FR"/>
        </w:rPr>
        <w:noBreakHyphen/>
      </w:r>
      <w:r w:rsidR="002C3CBE" w:rsidRPr="00F72E16">
        <w:rPr>
          <w:i/>
          <w:lang w:val="fr-FR"/>
        </w:rPr>
        <w:t xml:space="preserve">SSR </w:t>
      </w:r>
      <w:r w:rsidRPr="00F72E16">
        <w:rPr>
          <w:i/>
          <w:lang w:val="fr-FR"/>
        </w:rPr>
        <w:t>chez la laitue et identification de variétés au moyen de ces marqueurs</w:t>
      </w:r>
      <w:r w:rsidR="002C3CBE" w:rsidRPr="00F72E16">
        <w:rPr>
          <w:i/>
          <w:lang w:val="fr-FR"/>
        </w:rPr>
        <w:t xml:space="preserve"> (</w:t>
      </w:r>
      <w:r w:rsidRPr="00F72E16">
        <w:rPr>
          <w:i/>
          <w:lang w:val="fr-FR"/>
        </w:rPr>
        <w:t>voir également le</w:t>
      </w:r>
      <w:r w:rsidR="009676F5" w:rsidRPr="00F72E16">
        <w:rPr>
          <w:i/>
          <w:lang w:val="fr-FR"/>
        </w:rPr>
        <w:t xml:space="preserve"> </w:t>
      </w:r>
      <w:r w:rsidR="00C72A57" w:rsidRPr="00F72E16">
        <w:rPr>
          <w:i/>
          <w:lang w:val="fr-FR"/>
        </w:rPr>
        <w:t>document BM</w:t>
      </w:r>
      <w:r w:rsidR="002C3CBE" w:rsidRPr="00F72E16">
        <w:rPr>
          <w:i/>
          <w:lang w:val="fr-FR"/>
        </w:rPr>
        <w:t>T/14/13</w:t>
      </w:r>
      <w:r w:rsidR="00DE6D2B" w:rsidRPr="00F72E16">
        <w:rPr>
          <w:i/>
          <w:lang w:val="fr-FR"/>
        </w:rPr>
        <w:t> </w:t>
      </w:r>
      <w:r w:rsidR="002C3CBE" w:rsidRPr="00F72E16">
        <w:rPr>
          <w:i/>
          <w:lang w:val="fr-FR"/>
        </w:rPr>
        <w:t>Rev.)</w:t>
      </w:r>
    </w:p>
    <w:p w:rsidR="00DF61EE" w:rsidRPr="00F72E16" w:rsidRDefault="00DF61EE" w:rsidP="000A7C03">
      <w:pPr>
        <w:ind w:left="567"/>
        <w:rPr>
          <w:i/>
          <w:lang w:val="fr-FR"/>
        </w:rPr>
      </w:pPr>
    </w:p>
    <w:p w:rsidR="00DF61EE" w:rsidRPr="00F72E16" w:rsidRDefault="00B17A36" w:rsidP="008651D1">
      <w:pPr>
        <w:ind w:left="540"/>
        <w:rPr>
          <w:i/>
          <w:lang w:val="fr-FR"/>
        </w:rPr>
      </w:pPr>
      <w:r w:rsidRPr="00F72E16">
        <w:rPr>
          <w:i/>
          <w:lang w:val="fr-FR"/>
        </w:rPr>
        <w:t>Propriété et utilisation d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échantillons utilisés dans un examen</w:t>
      </w:r>
      <w:r w:rsidR="00DE6D2B" w:rsidRPr="00F72E16">
        <w:rPr>
          <w:i/>
          <w:lang w:val="fr-FR"/>
        </w:rPr>
        <w:t> </w:t>
      </w:r>
      <w:r w:rsidRPr="00F72E16">
        <w:rPr>
          <w:i/>
          <w:lang w:val="fr-FR"/>
        </w:rPr>
        <w:t>DHS, de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ADN et des données relatives à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ADN pendant et après un examen</w:t>
      </w:r>
      <w:r w:rsidR="00DE6D2B" w:rsidRPr="00F72E16">
        <w:rPr>
          <w:i/>
          <w:lang w:val="fr-FR"/>
        </w:rPr>
        <w:t> </w:t>
      </w:r>
      <w:r w:rsidRPr="00F72E16">
        <w:rPr>
          <w:i/>
          <w:lang w:val="fr-FR"/>
        </w:rPr>
        <w:t>DHS</w:t>
      </w:r>
      <w:r w:rsidR="002C3CBE" w:rsidRPr="00F72E16">
        <w:rPr>
          <w:i/>
          <w:lang w:val="fr-FR"/>
        </w:rPr>
        <w:t xml:space="preserve"> (</w:t>
      </w:r>
      <w:r w:rsidRPr="00F72E16">
        <w:rPr>
          <w:i/>
          <w:lang w:val="fr-FR"/>
        </w:rPr>
        <w:t>voir également le</w:t>
      </w:r>
      <w:r w:rsidR="009676F5" w:rsidRPr="00F72E16">
        <w:rPr>
          <w:i/>
          <w:lang w:val="fr-FR"/>
        </w:rPr>
        <w:t xml:space="preserve"> </w:t>
      </w:r>
      <w:r w:rsidR="00C72A57" w:rsidRPr="00F72E16">
        <w:rPr>
          <w:i/>
          <w:lang w:val="fr-FR"/>
        </w:rPr>
        <w:t>document BM</w:t>
      </w:r>
      <w:r w:rsidR="002C3CBE" w:rsidRPr="00F72E16">
        <w:rPr>
          <w:i/>
          <w:lang w:val="fr-FR"/>
        </w:rPr>
        <w:t>T/14/11</w:t>
      </w:r>
      <w:r w:rsidR="00DE6D2B" w:rsidRPr="00F72E16">
        <w:rPr>
          <w:i/>
          <w:lang w:val="fr-FR"/>
        </w:rPr>
        <w:t> </w:t>
      </w:r>
      <w:r w:rsidR="002C3CBE" w:rsidRPr="00F72E16">
        <w:rPr>
          <w:i/>
          <w:lang w:val="fr-FR"/>
        </w:rPr>
        <w:t>Rev.)</w:t>
      </w:r>
    </w:p>
    <w:p w:rsidR="00DF61EE" w:rsidRPr="000A7C03" w:rsidRDefault="00DF61EE" w:rsidP="000A7C03">
      <w:pPr>
        <w:ind w:left="567"/>
        <w:rPr>
          <w:i/>
          <w:lang w:val="fr-FR"/>
        </w:rPr>
      </w:pPr>
    </w:p>
    <w:p w:rsidR="00DF61EE" w:rsidRPr="00F72E16" w:rsidRDefault="00B17A36" w:rsidP="008651D1">
      <w:pPr>
        <w:ind w:left="540" w:firstLine="27"/>
        <w:rPr>
          <w:i/>
          <w:lang w:val="fr-FR"/>
        </w:rPr>
      </w:pPr>
      <w:r w:rsidRPr="00F72E16">
        <w:rPr>
          <w:i/>
          <w:lang w:val="fr-FR"/>
        </w:rPr>
        <w:t>Possibilités de coopération entre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OCDE,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UPOV,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ISO et l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ISTA concernant les techniques moléculaires</w:t>
      </w:r>
      <w:r w:rsidR="00597583" w:rsidRPr="00F72E16">
        <w:rPr>
          <w:i/>
          <w:lang w:val="fr-FR"/>
        </w:rPr>
        <w:t xml:space="preserve"> </w:t>
      </w:r>
      <w:r w:rsidR="002C3CBE" w:rsidRPr="00F72E16">
        <w:rPr>
          <w:i/>
          <w:lang w:val="fr-FR"/>
        </w:rPr>
        <w:t>(</w:t>
      </w:r>
      <w:r w:rsidRPr="00F72E16">
        <w:rPr>
          <w:i/>
          <w:lang w:val="fr-FR"/>
        </w:rPr>
        <w:t>voir également le</w:t>
      </w:r>
      <w:r w:rsidR="009676F5" w:rsidRPr="00F72E16">
        <w:rPr>
          <w:i/>
          <w:lang w:val="fr-FR"/>
        </w:rPr>
        <w:t xml:space="preserve"> </w:t>
      </w:r>
      <w:r w:rsidR="002C3CBE" w:rsidRPr="00F72E16">
        <w:rPr>
          <w:i/>
          <w:lang w:val="fr-FR"/>
        </w:rPr>
        <w:t>document BMT/14/Joint/5)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597583" w:rsidP="008651D1">
      <w:pPr>
        <w:rPr>
          <w:lang w:val="fr-FR" w:eastAsia="ja-JP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4458B1" w:rsidRPr="00F72E16">
        <w:rPr>
          <w:lang w:val="fr-FR"/>
        </w:rPr>
        <w:t>U</w:t>
      </w:r>
      <w:r w:rsidR="00B17A36" w:rsidRPr="00F72E16">
        <w:rPr>
          <w:lang w:val="fr-FR"/>
        </w:rPr>
        <w:t>n projet de programme pour le débat</w:t>
      </w:r>
      <w:r w:rsidR="004458B1" w:rsidRPr="00F72E16">
        <w:rPr>
          <w:lang w:val="fr-FR"/>
        </w:rPr>
        <w:t>, soumis à l</w:t>
      </w:r>
      <w:r w:rsidR="00DE0253" w:rsidRPr="00F72E16">
        <w:rPr>
          <w:lang w:val="fr-FR"/>
        </w:rPr>
        <w:t>’</w:t>
      </w:r>
      <w:r w:rsidR="004458B1" w:rsidRPr="00F72E16">
        <w:rPr>
          <w:lang w:val="fr-FR"/>
        </w:rPr>
        <w:t>approbation du</w:t>
      </w:r>
      <w:r w:rsidR="00DE0253" w:rsidRPr="00F72E16">
        <w:rPr>
          <w:lang w:val="fr-FR"/>
        </w:rPr>
        <w:t> TC</w:t>
      </w:r>
      <w:r w:rsidR="004458B1" w:rsidRPr="00F72E16">
        <w:rPr>
          <w:lang w:val="fr-FR"/>
        </w:rPr>
        <w:t xml:space="preserve">, </w:t>
      </w:r>
      <w:r w:rsidR="00B17A36" w:rsidRPr="00F72E16">
        <w:rPr>
          <w:lang w:val="fr-FR"/>
        </w:rPr>
        <w:t>figure à l</w:t>
      </w:r>
      <w:r w:rsidR="00DE0253" w:rsidRPr="00F72E16">
        <w:rPr>
          <w:lang w:val="fr-FR"/>
        </w:rPr>
        <w:t>’</w:t>
      </w:r>
      <w:r w:rsidR="00B17A36" w:rsidRPr="00F72E16">
        <w:rPr>
          <w:lang w:val="fr-FR"/>
        </w:rPr>
        <w:t>a</w:t>
      </w:r>
      <w:r w:rsidR="002D59C1" w:rsidRPr="00F72E16">
        <w:rPr>
          <w:lang w:val="fr-FR"/>
        </w:rPr>
        <w:t>n</w:t>
      </w:r>
      <w:r w:rsidR="00B17A36" w:rsidRPr="00F72E16">
        <w:rPr>
          <w:lang w:val="fr-FR"/>
        </w:rPr>
        <w:t>n</w:t>
      </w:r>
      <w:r w:rsidR="002D59C1" w:rsidRPr="00F72E16">
        <w:rPr>
          <w:lang w:val="fr-FR"/>
        </w:rPr>
        <w:t>ex</w:t>
      </w:r>
      <w:r w:rsidR="00B17A36" w:rsidRPr="00F72E16">
        <w:rPr>
          <w:lang w:val="fr-FR"/>
        </w:rPr>
        <w:t>e</w:t>
      </w:r>
      <w:r w:rsidR="00DE6D2B" w:rsidRPr="00F72E16">
        <w:rPr>
          <w:lang w:val="fr-FR"/>
        </w:rPr>
        <w:t> </w:t>
      </w:r>
      <w:r w:rsidR="0088336D" w:rsidRPr="00F72E16">
        <w:rPr>
          <w:lang w:val="fr-FR"/>
        </w:rPr>
        <w:t>II</w:t>
      </w:r>
      <w:r w:rsidR="002D59C1" w:rsidRPr="00F72E16">
        <w:rPr>
          <w:lang w:val="fr-FR"/>
        </w:rPr>
        <w:t xml:space="preserve"> </w:t>
      </w:r>
      <w:r w:rsidR="004458B1" w:rsidRPr="00F72E16">
        <w:rPr>
          <w:lang w:val="fr-FR"/>
        </w:rPr>
        <w:t>du présent document, ainsi que des indications sur la manière dont ce débat sera coordonné avec le point de l</w:t>
      </w:r>
      <w:r w:rsidR="00DE0253" w:rsidRPr="00F72E16">
        <w:rPr>
          <w:lang w:val="fr-FR"/>
        </w:rPr>
        <w:t>’</w:t>
      </w:r>
      <w:r w:rsidR="004458B1" w:rsidRPr="00F72E16">
        <w:rPr>
          <w:lang w:val="fr-FR"/>
        </w:rPr>
        <w:t>ordre du jour intitulé</w:t>
      </w:r>
      <w:r w:rsidR="002D59C1" w:rsidRPr="00F72E16">
        <w:rPr>
          <w:lang w:val="fr-FR"/>
        </w:rPr>
        <w:t xml:space="preserve"> “</w:t>
      </w:r>
      <w:r w:rsidR="004458B1" w:rsidRPr="00F72E16">
        <w:rPr>
          <w:lang w:val="fr-FR"/>
        </w:rPr>
        <w:t>Techniques moléculaires</w:t>
      </w:r>
      <w:r w:rsidR="002D59C1" w:rsidRPr="00F72E16">
        <w:rPr>
          <w:lang w:val="fr-FR"/>
        </w:rPr>
        <w:t>”</w:t>
      </w:r>
      <w:r w:rsidRPr="00F72E16">
        <w:rPr>
          <w:lang w:val="fr-FR"/>
        </w:rPr>
        <w:t>.</w:t>
      </w:r>
    </w:p>
    <w:p w:rsidR="00DF61EE" w:rsidRPr="00F72E16" w:rsidRDefault="00DF61EE" w:rsidP="008651D1">
      <w:pPr>
        <w:rPr>
          <w:rFonts w:cs="Arial"/>
          <w:lang w:val="fr-FR" w:eastAsia="ja-JP"/>
        </w:rPr>
      </w:pPr>
    </w:p>
    <w:p w:rsidR="00DF61EE" w:rsidRDefault="00DF61EE" w:rsidP="008651D1">
      <w:pPr>
        <w:rPr>
          <w:lang w:val="fr-FR" w:eastAsia="ja-JP"/>
        </w:rPr>
      </w:pPr>
    </w:p>
    <w:p w:rsidR="00EA7691" w:rsidRPr="00F72E16" w:rsidRDefault="00EA7691" w:rsidP="008651D1">
      <w:pPr>
        <w:rPr>
          <w:lang w:val="fr-FR" w:eastAsia="ja-JP"/>
        </w:rPr>
      </w:pPr>
    </w:p>
    <w:p w:rsidR="00DF61EE" w:rsidRPr="00F72E16" w:rsidRDefault="002317DE" w:rsidP="008651D1">
      <w:pPr>
        <w:pStyle w:val="Heading1"/>
        <w:rPr>
          <w:lang w:val="fr-FR"/>
        </w:rPr>
      </w:pPr>
      <w:bookmarkStart w:id="42" w:name="_Toc412714225"/>
      <w:bookmarkEnd w:id="38"/>
      <w:bookmarkEnd w:id="39"/>
      <w:bookmarkEnd w:id="40"/>
      <w:bookmarkEnd w:id="41"/>
      <w:r w:rsidRPr="00F72E16">
        <w:rPr>
          <w:lang w:val="fr-FR" w:eastAsia="ja-JP"/>
        </w:rPr>
        <w:t>diffusion d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informations sur la situation à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UPOV concernant l</w:t>
      </w:r>
      <w:r w:rsidR="00DE0253" w:rsidRPr="00F72E16">
        <w:rPr>
          <w:lang w:val="fr-FR" w:eastAsia="ja-JP"/>
        </w:rPr>
        <w:t>’</w:t>
      </w:r>
      <w:r w:rsidRPr="00F72E16">
        <w:rPr>
          <w:lang w:val="fr-FR" w:eastAsia="ja-JP"/>
        </w:rPr>
        <w:t>utilisation de techniques moléculaires</w:t>
      </w:r>
      <w:bookmarkEnd w:id="42"/>
    </w:p>
    <w:p w:rsidR="00DF61EE" w:rsidRPr="00F72E16" w:rsidRDefault="00DF61EE" w:rsidP="008651D1">
      <w:pPr>
        <w:rPr>
          <w:lang w:val="fr-FR" w:eastAsia="ja-JP"/>
        </w:rPr>
      </w:pPr>
    </w:p>
    <w:p w:rsidR="00DF61EE" w:rsidRPr="00F72E16" w:rsidRDefault="0036170D" w:rsidP="008651D1">
      <w:pPr>
        <w:autoSpaceDE w:val="0"/>
        <w:autoSpaceDN w:val="0"/>
        <w:adjustRightInd w:val="0"/>
        <w:rPr>
          <w:rFonts w:cs="Arial"/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33342F" w:rsidRPr="00F72E16">
        <w:rPr>
          <w:lang w:val="fr-FR"/>
        </w:rPr>
        <w:t>À sa quarante</w:t>
      </w:r>
      <w:r w:rsidR="003F4060">
        <w:rPr>
          <w:lang w:val="fr-FR"/>
        </w:rPr>
        <w:noBreakHyphen/>
      </w:r>
      <w:r w:rsidR="0033342F" w:rsidRPr="00F72E16">
        <w:rPr>
          <w:lang w:val="fr-FR"/>
        </w:rPr>
        <w:t>neuvième session tenue à Genève</w:t>
      </w:r>
      <w:r w:rsidR="006F50D0" w:rsidRPr="00F72E16">
        <w:rPr>
          <w:rStyle w:val="FootnoteReference"/>
          <w:lang w:val="fr-FR"/>
        </w:rPr>
        <w:footnoteReference w:id="9"/>
      </w:r>
      <w:r w:rsidR="0033342F" w:rsidRPr="00F72E16">
        <w:rPr>
          <w:lang w:val="fr-FR"/>
        </w:rPr>
        <w:t>, le</w:t>
      </w:r>
      <w:r w:rsidR="00DE0253" w:rsidRPr="00F72E16">
        <w:rPr>
          <w:lang w:val="fr-FR"/>
        </w:rPr>
        <w:t> TC</w:t>
      </w:r>
      <w:r w:rsidR="0033342F" w:rsidRPr="00F72E16">
        <w:rPr>
          <w:lang w:val="fr-FR"/>
        </w:rPr>
        <w:t xml:space="preserve"> est convenu qu</w:t>
      </w:r>
      <w:r w:rsidR="00DE0253" w:rsidRPr="00F72E16">
        <w:rPr>
          <w:lang w:val="fr-FR"/>
        </w:rPr>
        <w:t>’</w:t>
      </w:r>
      <w:r w:rsidR="0033342F" w:rsidRPr="00F72E16">
        <w:rPr>
          <w:lang w:val="fr-FR"/>
        </w:rPr>
        <w:t xml:space="preserve">il était nécessaire de </w:t>
      </w:r>
      <w:r w:rsidR="00211DDC" w:rsidRPr="00F72E16">
        <w:rPr>
          <w:lang w:val="fr-FR"/>
        </w:rPr>
        <w:t>fournir des informations appropriées sur la situation à l</w:t>
      </w:r>
      <w:r w:rsidR="00DE0253" w:rsidRPr="00F72E16">
        <w:rPr>
          <w:lang w:val="fr-FR"/>
        </w:rPr>
        <w:t>’</w:t>
      </w:r>
      <w:r w:rsidR="00211DDC" w:rsidRPr="00F72E16">
        <w:rPr>
          <w:lang w:val="fr-FR"/>
        </w:rPr>
        <w:t xml:space="preserve">UPOV concernant </w:t>
      </w:r>
      <w:r w:rsidR="0033342F" w:rsidRPr="00F72E16">
        <w:rPr>
          <w:lang w:val="fr-FR"/>
        </w:rPr>
        <w:t>l</w:t>
      </w:r>
      <w:r w:rsidR="00DE0253" w:rsidRPr="00F72E16">
        <w:rPr>
          <w:lang w:val="fr-FR"/>
        </w:rPr>
        <w:t>’</w:t>
      </w:r>
      <w:r w:rsidR="0033342F" w:rsidRPr="00F72E16">
        <w:rPr>
          <w:lang w:val="fr-FR"/>
        </w:rPr>
        <w:t>utilisation de techniques moléculaires</w:t>
      </w:r>
      <w:r w:rsidR="00211DDC" w:rsidRPr="00F72E16">
        <w:rPr>
          <w:lang w:val="fr-FR"/>
        </w:rPr>
        <w:t xml:space="preserve"> à un plus large public, </w:t>
      </w:r>
      <w:r w:rsidR="00DE0253" w:rsidRPr="00F72E16">
        <w:rPr>
          <w:lang w:val="fr-FR"/>
        </w:rPr>
        <w:t>y compris</w:t>
      </w:r>
      <w:r w:rsidR="00211DDC" w:rsidRPr="00F72E16">
        <w:rPr>
          <w:lang w:val="fr-FR"/>
        </w:rPr>
        <w:t xml:space="preserve"> les obtenteurs et le public en général</w:t>
      </w:r>
      <w:r w:rsidR="0033342F" w:rsidRPr="00F72E16">
        <w:rPr>
          <w:rFonts w:cs="Arial"/>
          <w:lang w:val="fr-FR"/>
        </w:rPr>
        <w:t xml:space="preserve"> (voir le paragraphe 136 du </w:t>
      </w:r>
      <w:r w:rsidR="00DE0253" w:rsidRPr="00F72E16">
        <w:rPr>
          <w:rFonts w:cs="Arial"/>
          <w:lang w:val="fr-FR"/>
        </w:rPr>
        <w:t>document TC</w:t>
      </w:r>
      <w:r w:rsidR="0033342F" w:rsidRPr="00F72E16">
        <w:rPr>
          <w:rFonts w:cs="Arial"/>
          <w:lang w:val="fr-FR"/>
        </w:rPr>
        <w:t>/49/41 “Compte rendu des conclusions”).</w:t>
      </w:r>
    </w:p>
    <w:p w:rsidR="00DF61EE" w:rsidRPr="00F72E16" w:rsidRDefault="00DF61EE" w:rsidP="008651D1">
      <w:pPr>
        <w:autoSpaceDE w:val="0"/>
        <w:autoSpaceDN w:val="0"/>
        <w:adjustRightInd w:val="0"/>
        <w:jc w:val="left"/>
        <w:rPr>
          <w:rFonts w:cs="Arial"/>
          <w:lang w:val="fr-FR"/>
        </w:rPr>
      </w:pPr>
    </w:p>
    <w:p w:rsidR="00DF61EE" w:rsidRPr="00F72E16" w:rsidRDefault="003423DF" w:rsidP="008651D1">
      <w:pPr>
        <w:rPr>
          <w:lang w:val="fr-FR"/>
        </w:rPr>
      </w:pPr>
      <w:r w:rsidRPr="00F72E16">
        <w:rPr>
          <w:lang w:val="fr-FR"/>
        </w:rPr>
        <w:lastRenderedPageBreak/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754BD8" w:rsidRPr="00F72E16">
        <w:rPr>
          <w:lang w:val="fr-FR"/>
        </w:rPr>
        <w:t>Le</w:t>
      </w:r>
      <w:r w:rsidR="00DE0253" w:rsidRPr="00F72E16">
        <w:rPr>
          <w:lang w:val="fr-FR"/>
        </w:rPr>
        <w:t> TC</w:t>
      </w:r>
      <w:r w:rsidR="00754BD8" w:rsidRPr="00F72E16">
        <w:rPr>
          <w:lang w:val="fr-FR"/>
        </w:rPr>
        <w:t>, à sa cinquantième</w:t>
      </w:r>
      <w:r w:rsidR="00DE6D2B" w:rsidRPr="00F72E16">
        <w:rPr>
          <w:lang w:val="fr-FR"/>
        </w:rPr>
        <w:t> </w:t>
      </w:r>
      <w:r w:rsidR="00754BD8" w:rsidRPr="00F72E16">
        <w:rPr>
          <w:lang w:val="fr-FR"/>
        </w:rPr>
        <w:t>session</w:t>
      </w:r>
      <w:r w:rsidR="006F50D0" w:rsidRPr="00F72E16">
        <w:rPr>
          <w:rStyle w:val="FootnoteReference"/>
          <w:lang w:val="fr-FR"/>
        </w:rPr>
        <w:footnoteReference w:id="10"/>
      </w:r>
      <w:r w:rsidR="00754BD8" w:rsidRPr="00F72E16">
        <w:rPr>
          <w:lang w:val="fr-FR"/>
        </w:rPr>
        <w:t xml:space="preserve"> et</w:t>
      </w:r>
      <w:r w:rsidR="00C72A57" w:rsidRPr="00F72E16">
        <w:rPr>
          <w:lang w:val="fr-FR"/>
        </w:rPr>
        <w:t xml:space="preserve"> le CAJ</w:t>
      </w:r>
      <w:r w:rsidR="00754BD8" w:rsidRPr="00F72E16">
        <w:rPr>
          <w:lang w:val="fr-FR"/>
        </w:rPr>
        <w:t>, à sa soixante</w:t>
      </w:r>
      <w:r w:rsidR="003F4060">
        <w:rPr>
          <w:lang w:val="fr-FR"/>
        </w:rPr>
        <w:noBreakHyphen/>
      </w:r>
      <w:r w:rsidR="00754BD8" w:rsidRPr="00F72E16">
        <w:rPr>
          <w:lang w:val="fr-FR"/>
        </w:rPr>
        <w:t>neuvième</w:t>
      </w:r>
      <w:r w:rsidR="00DE6D2B" w:rsidRPr="00F72E16">
        <w:rPr>
          <w:lang w:val="fr-FR"/>
        </w:rPr>
        <w:t> </w:t>
      </w:r>
      <w:r w:rsidR="00754BD8" w:rsidRPr="00F72E16">
        <w:rPr>
          <w:lang w:val="fr-FR"/>
        </w:rPr>
        <w:t>session</w:t>
      </w:r>
      <w:r w:rsidR="006F50D0" w:rsidRPr="00F72E16">
        <w:rPr>
          <w:rStyle w:val="FootnoteReference"/>
          <w:lang w:val="fr-FR"/>
        </w:rPr>
        <w:footnoteReference w:id="11"/>
      </w:r>
      <w:r w:rsidR="00D05B03" w:rsidRPr="00F72E16">
        <w:rPr>
          <w:lang w:val="fr-FR"/>
        </w:rPr>
        <w:t>,</w:t>
      </w:r>
      <w:r w:rsidR="00754BD8" w:rsidRPr="00F72E16">
        <w:rPr>
          <w:lang w:val="fr-FR"/>
        </w:rPr>
        <w:t xml:space="preserve"> ont approuvé l</w:t>
      </w:r>
      <w:r w:rsidR="00DE0253" w:rsidRPr="00F72E16">
        <w:rPr>
          <w:lang w:val="fr-FR"/>
        </w:rPr>
        <w:t>’</w:t>
      </w:r>
      <w:r w:rsidR="00754BD8" w:rsidRPr="00F72E16">
        <w:rPr>
          <w:lang w:val="fr-FR"/>
        </w:rPr>
        <w:t xml:space="preserve">explication proposée de la situation </w:t>
      </w:r>
      <w:r w:rsidR="006F50D0" w:rsidRPr="00F72E16">
        <w:rPr>
          <w:lang w:val="fr-FR"/>
        </w:rPr>
        <w:t>à</w:t>
      </w:r>
      <w:r w:rsidR="00754BD8" w:rsidRPr="00F72E16">
        <w:rPr>
          <w:lang w:val="fr-FR"/>
        </w:rPr>
        <w:t xml:space="preserve"> l</w:t>
      </w:r>
      <w:r w:rsidR="00DE0253" w:rsidRPr="00F72E16">
        <w:rPr>
          <w:lang w:val="fr-FR"/>
        </w:rPr>
        <w:t>’</w:t>
      </w:r>
      <w:r w:rsidR="00754BD8" w:rsidRPr="00F72E16">
        <w:rPr>
          <w:lang w:val="fr-FR"/>
        </w:rPr>
        <w:t xml:space="preserve">UPOV </w:t>
      </w:r>
      <w:r w:rsidR="006F50D0" w:rsidRPr="00F72E16">
        <w:rPr>
          <w:lang w:val="fr-FR"/>
        </w:rPr>
        <w:t>concernant</w:t>
      </w:r>
      <w:r w:rsidR="00754BD8" w:rsidRPr="00F72E16">
        <w:rPr>
          <w:lang w:val="fr-FR"/>
        </w:rPr>
        <w:t xml:space="preserve"> l</w:t>
      </w:r>
      <w:r w:rsidR="00DE0253" w:rsidRPr="00F72E16">
        <w:rPr>
          <w:lang w:val="fr-FR"/>
        </w:rPr>
        <w:t>’</w:t>
      </w:r>
      <w:r w:rsidR="00754BD8" w:rsidRPr="00F72E16">
        <w:rPr>
          <w:lang w:val="fr-FR"/>
        </w:rPr>
        <w:t>utilisation de techniques moléculaires</w:t>
      </w:r>
      <w:r w:rsidR="006F50D0" w:rsidRPr="00F72E16">
        <w:rPr>
          <w:lang w:val="fr-FR"/>
        </w:rPr>
        <w:t xml:space="preserve"> à l</w:t>
      </w:r>
      <w:r w:rsidR="00DE0253" w:rsidRPr="00F72E16">
        <w:rPr>
          <w:lang w:val="fr-FR"/>
        </w:rPr>
        <w:t>’</w:t>
      </w:r>
      <w:r w:rsidR="006F50D0" w:rsidRPr="00F72E16">
        <w:rPr>
          <w:lang w:val="fr-FR"/>
        </w:rPr>
        <w:t>intention d</w:t>
      </w:r>
      <w:r w:rsidR="00DE0253" w:rsidRPr="00F72E16">
        <w:rPr>
          <w:lang w:val="fr-FR"/>
        </w:rPr>
        <w:t>’</w:t>
      </w:r>
      <w:r w:rsidR="006F50D0" w:rsidRPr="00F72E16">
        <w:rPr>
          <w:lang w:val="fr-FR"/>
        </w:rPr>
        <w:t xml:space="preserve">obtenteurs et </w:t>
      </w:r>
      <w:r w:rsidR="00741D80" w:rsidRPr="00F72E16">
        <w:rPr>
          <w:lang w:val="fr-FR"/>
        </w:rPr>
        <w:t>de</w:t>
      </w:r>
      <w:r w:rsidR="006F50D0" w:rsidRPr="00F72E16">
        <w:rPr>
          <w:lang w:val="fr-FR"/>
        </w:rPr>
        <w:t xml:space="preserve"> personnes </w:t>
      </w:r>
      <w:r w:rsidR="00741D80" w:rsidRPr="00F72E16">
        <w:rPr>
          <w:lang w:val="fr-FR"/>
        </w:rPr>
        <w:t>connaissant</w:t>
      </w:r>
      <w:r w:rsidR="006F50D0" w:rsidRPr="00F72E16">
        <w:rPr>
          <w:lang w:val="fr-FR"/>
        </w:rPr>
        <w:t xml:space="preserve"> l</w:t>
      </w:r>
      <w:r w:rsidR="00DE0253" w:rsidRPr="00F72E16">
        <w:rPr>
          <w:lang w:val="fr-FR"/>
        </w:rPr>
        <w:t>’</w:t>
      </w:r>
      <w:r w:rsidR="006F50D0" w:rsidRPr="00F72E16">
        <w:rPr>
          <w:lang w:val="fr-FR"/>
        </w:rPr>
        <w:t xml:space="preserve">examen DHS.  </w:t>
      </w:r>
      <w:r w:rsidR="002C4D2F" w:rsidRPr="00F72E16">
        <w:rPr>
          <w:lang w:val="fr-FR"/>
        </w:rPr>
        <w:t>S</w:t>
      </w:r>
      <w:r w:rsidR="00DE0253" w:rsidRPr="00F72E16">
        <w:rPr>
          <w:lang w:val="fr-FR"/>
        </w:rPr>
        <w:t>’</w:t>
      </w:r>
      <w:r w:rsidR="002C4D2F" w:rsidRPr="00F72E16">
        <w:rPr>
          <w:lang w:val="fr-FR"/>
        </w:rPr>
        <w:t>agissant d</w:t>
      </w:r>
      <w:r w:rsidR="00DE0253" w:rsidRPr="00F72E16">
        <w:rPr>
          <w:lang w:val="fr-FR"/>
        </w:rPr>
        <w:t>’</w:t>
      </w:r>
      <w:r w:rsidR="002C4D2F" w:rsidRPr="00F72E16">
        <w:rPr>
          <w:lang w:val="fr-FR"/>
        </w:rPr>
        <w:t xml:space="preserve">un </w:t>
      </w:r>
      <w:r w:rsidR="0033342F" w:rsidRPr="00F72E16">
        <w:rPr>
          <w:lang w:val="fr-FR"/>
        </w:rPr>
        <w:t>plus large public, le</w:t>
      </w:r>
      <w:r w:rsidR="00DE0253" w:rsidRPr="00F72E16">
        <w:rPr>
          <w:lang w:val="fr-FR"/>
        </w:rPr>
        <w:t> TC</w:t>
      </w:r>
      <w:r w:rsidR="0033342F" w:rsidRPr="00F72E16">
        <w:rPr>
          <w:lang w:val="fr-FR"/>
        </w:rPr>
        <w:t xml:space="preserve"> </w:t>
      </w:r>
      <w:r w:rsidR="002C4D2F" w:rsidRPr="00F72E16">
        <w:rPr>
          <w:lang w:val="fr-FR"/>
        </w:rPr>
        <w:t>est</w:t>
      </w:r>
      <w:r w:rsidR="0033342F" w:rsidRPr="00F72E16">
        <w:rPr>
          <w:lang w:val="fr-FR"/>
        </w:rPr>
        <w:t xml:space="preserve"> convenu que la question n</w:t>
      </w:r>
      <w:r w:rsidR="00DE0253" w:rsidRPr="00F72E16">
        <w:rPr>
          <w:lang w:val="fr-FR"/>
        </w:rPr>
        <w:t>’</w:t>
      </w:r>
      <w:r w:rsidR="0033342F" w:rsidRPr="00F72E16">
        <w:rPr>
          <w:lang w:val="fr-FR"/>
        </w:rPr>
        <w:t>a</w:t>
      </w:r>
      <w:r w:rsidR="0027732C" w:rsidRPr="00F72E16">
        <w:rPr>
          <w:lang w:val="fr-FR"/>
        </w:rPr>
        <w:t>vait</w:t>
      </w:r>
      <w:r w:rsidR="0033342F" w:rsidRPr="00F72E16">
        <w:rPr>
          <w:lang w:val="fr-FR"/>
        </w:rPr>
        <w:t xml:space="preserve"> pas été posée de manière appropriée et qu</w:t>
      </w:r>
      <w:r w:rsidR="00DE0253" w:rsidRPr="00F72E16">
        <w:rPr>
          <w:lang w:val="fr-FR"/>
        </w:rPr>
        <w:t>’</w:t>
      </w:r>
      <w:r w:rsidR="0033342F" w:rsidRPr="00F72E16">
        <w:rPr>
          <w:lang w:val="fr-FR"/>
        </w:rPr>
        <w:t xml:space="preserve">il </w:t>
      </w:r>
      <w:r w:rsidR="002C4D2F" w:rsidRPr="00F72E16">
        <w:rPr>
          <w:lang w:val="fr-FR"/>
        </w:rPr>
        <w:t>n</w:t>
      </w:r>
      <w:r w:rsidR="00DE0253" w:rsidRPr="00F72E16">
        <w:rPr>
          <w:lang w:val="fr-FR"/>
        </w:rPr>
        <w:t>’</w:t>
      </w:r>
      <w:r w:rsidR="002C4D2F" w:rsidRPr="00F72E16">
        <w:rPr>
          <w:lang w:val="fr-FR"/>
        </w:rPr>
        <w:t>était</w:t>
      </w:r>
      <w:r w:rsidR="0033342F" w:rsidRPr="00F72E16">
        <w:rPr>
          <w:lang w:val="fr-FR"/>
        </w:rPr>
        <w:t xml:space="preserve"> donc pas </w:t>
      </w:r>
      <w:r w:rsidR="002C4D2F" w:rsidRPr="00F72E16">
        <w:rPr>
          <w:lang w:val="fr-FR"/>
        </w:rPr>
        <w:t>judicieux</w:t>
      </w:r>
      <w:r w:rsidR="0033342F" w:rsidRPr="00F72E16">
        <w:rPr>
          <w:lang w:val="fr-FR"/>
        </w:rPr>
        <w:t xml:space="preserve"> de chercher à </w:t>
      </w:r>
      <w:r w:rsidR="002C4D2F" w:rsidRPr="00F72E16">
        <w:rPr>
          <w:lang w:val="fr-FR"/>
        </w:rPr>
        <w:t>élaborer</w:t>
      </w:r>
      <w:r w:rsidR="0033342F" w:rsidRPr="00F72E16">
        <w:rPr>
          <w:lang w:val="fr-FR"/>
        </w:rPr>
        <w:t xml:space="preserve"> une réponse </w:t>
      </w:r>
      <w:r w:rsidR="002C4D2F" w:rsidRPr="00F72E16">
        <w:rPr>
          <w:lang w:val="fr-FR"/>
        </w:rPr>
        <w:t xml:space="preserve">à cette question </w:t>
      </w:r>
      <w:r w:rsidR="0033342F" w:rsidRPr="00F72E16">
        <w:rPr>
          <w:lang w:val="fr-FR"/>
        </w:rPr>
        <w:t>(voir le paragraphe</w:t>
      </w:r>
      <w:r w:rsidR="00DE6D2B" w:rsidRPr="00F72E16">
        <w:rPr>
          <w:lang w:val="fr-FR"/>
        </w:rPr>
        <w:t> </w:t>
      </w:r>
      <w:r w:rsidR="006F50D0" w:rsidRPr="00F72E16">
        <w:rPr>
          <w:lang w:val="fr-FR"/>
        </w:rPr>
        <w:t>72</w:t>
      </w:r>
      <w:r w:rsidR="005F3831" w:rsidRPr="00F72E16">
        <w:rPr>
          <w:lang w:val="fr-FR"/>
        </w:rPr>
        <w:t xml:space="preserve"> </w:t>
      </w:r>
      <w:r w:rsidR="0033342F" w:rsidRPr="00F72E16">
        <w:rPr>
          <w:lang w:val="fr-FR"/>
        </w:rPr>
        <w:t xml:space="preserve">du </w:t>
      </w:r>
      <w:r w:rsidR="00016C98" w:rsidRPr="00F72E16">
        <w:rPr>
          <w:lang w:val="fr-FR"/>
        </w:rPr>
        <w:t xml:space="preserve">document </w:t>
      </w:r>
      <w:r w:rsidR="006F50D0" w:rsidRPr="00F72E16">
        <w:rPr>
          <w:lang w:val="fr-FR"/>
        </w:rPr>
        <w:t>CAJ</w:t>
      </w:r>
      <w:r w:rsidR="0033342F" w:rsidRPr="00F72E16">
        <w:rPr>
          <w:lang w:val="fr-FR"/>
        </w:rPr>
        <w:t>/</w:t>
      </w:r>
      <w:r w:rsidR="006F50D0" w:rsidRPr="00F72E16">
        <w:rPr>
          <w:lang w:val="fr-FR"/>
        </w:rPr>
        <w:t>69</w:t>
      </w:r>
      <w:r w:rsidR="0033342F" w:rsidRPr="00F72E16">
        <w:rPr>
          <w:lang w:val="fr-FR"/>
        </w:rPr>
        <w:t>/</w:t>
      </w:r>
      <w:r w:rsidR="006F50D0" w:rsidRPr="00F72E16">
        <w:rPr>
          <w:lang w:val="fr-FR"/>
        </w:rPr>
        <w:t>13</w:t>
      </w:r>
      <w:r w:rsidR="0033342F" w:rsidRPr="00F72E16">
        <w:rPr>
          <w:lang w:val="fr-FR"/>
        </w:rPr>
        <w:t xml:space="preserve"> “Compte rendu des conclusions”).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3423DF" w:rsidP="00060C34">
      <w:pPr>
        <w:rPr>
          <w:lang w:val="fr-FR" w:eastAsia="ja-JP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102E69" w:rsidRPr="00F72E16">
        <w:rPr>
          <w:lang w:val="fr-FR"/>
        </w:rPr>
        <w:t>À sa t</w:t>
      </w:r>
      <w:r w:rsidR="00882CF1" w:rsidRPr="00F72E16">
        <w:rPr>
          <w:lang w:val="fr-FR"/>
        </w:rPr>
        <w:t>r</w:t>
      </w:r>
      <w:r w:rsidR="00102E69" w:rsidRPr="00F72E16">
        <w:rPr>
          <w:lang w:val="fr-FR"/>
        </w:rPr>
        <w:t>ente</w:t>
      </w:r>
      <w:r w:rsidR="00882CF1" w:rsidRPr="00F72E16">
        <w:rPr>
          <w:lang w:val="fr-FR"/>
        </w:rPr>
        <w:t> </w:t>
      </w:r>
      <w:r w:rsidR="00102E69" w:rsidRPr="00F72E16">
        <w:rPr>
          <w:lang w:val="fr-FR"/>
        </w:rPr>
        <w:t>et</w:t>
      </w:r>
      <w:r w:rsidR="00882CF1" w:rsidRPr="00F72E16">
        <w:rPr>
          <w:lang w:val="fr-FR"/>
        </w:rPr>
        <w:t> </w:t>
      </w:r>
      <w:r w:rsidR="00102E69" w:rsidRPr="00F72E16">
        <w:rPr>
          <w:lang w:val="fr-FR"/>
        </w:rPr>
        <w:t>unième</w:t>
      </w:r>
      <w:r w:rsidR="00DE6D2B" w:rsidRPr="00F72E16">
        <w:rPr>
          <w:lang w:val="fr-FR"/>
        </w:rPr>
        <w:t> </w:t>
      </w:r>
      <w:r w:rsidR="00102E69" w:rsidRPr="00F72E16">
        <w:rPr>
          <w:lang w:val="fr-FR"/>
        </w:rPr>
        <w:t>session extraordinaire</w:t>
      </w:r>
      <w:r w:rsidR="00060C34" w:rsidRPr="00F72E16">
        <w:rPr>
          <w:rStyle w:val="FootnoteReference"/>
          <w:lang w:val="fr-FR"/>
        </w:rPr>
        <w:footnoteReference w:id="12"/>
      </w:r>
      <w:r w:rsidR="00102E69" w:rsidRPr="00F72E16">
        <w:rPr>
          <w:lang w:val="fr-FR"/>
        </w:rPr>
        <w:t xml:space="preserve">, le Conseil a adopté les réponses aux questions fréquemment posées, </w:t>
      </w:r>
      <w:r w:rsidR="00DE0253" w:rsidRPr="00F72E16">
        <w:rPr>
          <w:lang w:val="fr-FR"/>
        </w:rPr>
        <w:t>y compris</w:t>
      </w:r>
      <w:r w:rsidR="00102E69" w:rsidRPr="00F72E16">
        <w:rPr>
          <w:lang w:val="fr-FR"/>
        </w:rPr>
        <w:t xml:space="preserve"> </w:t>
      </w:r>
      <w:r w:rsidR="00060C34" w:rsidRPr="00F72E16">
        <w:rPr>
          <w:lang w:val="fr-FR"/>
        </w:rPr>
        <w:t xml:space="preserve">la réponse à la question </w:t>
      </w:r>
      <w:r w:rsidR="00060C34" w:rsidRPr="00F72E16">
        <w:rPr>
          <w:lang w:val="fr-FR" w:eastAsia="ja-JP"/>
        </w:rPr>
        <w:t>“</w:t>
      </w:r>
      <w:r w:rsidR="00060C34" w:rsidRPr="00F72E16">
        <w:rPr>
          <w:rFonts w:cs="Arial"/>
          <w:lang w:val="fr-FR"/>
        </w:rPr>
        <w:t>L</w:t>
      </w:r>
      <w:r w:rsidR="00DE0253" w:rsidRPr="00F72E16">
        <w:rPr>
          <w:rFonts w:cs="Arial"/>
          <w:lang w:val="fr-FR"/>
        </w:rPr>
        <w:t>’</w:t>
      </w:r>
      <w:r w:rsidR="00060C34" w:rsidRPr="00F72E16">
        <w:rPr>
          <w:rFonts w:cs="Arial"/>
          <w:lang w:val="fr-FR"/>
        </w:rPr>
        <w:t>UPOV autorise</w:t>
      </w:r>
      <w:r w:rsidR="003F4060">
        <w:rPr>
          <w:rFonts w:cs="Arial"/>
          <w:lang w:val="fr-FR"/>
        </w:rPr>
        <w:noBreakHyphen/>
      </w:r>
      <w:r w:rsidR="00060C34" w:rsidRPr="00F72E16">
        <w:rPr>
          <w:rFonts w:cs="Arial"/>
          <w:lang w:val="fr-FR"/>
        </w:rPr>
        <w:t>t</w:t>
      </w:r>
      <w:r w:rsidR="003F4060">
        <w:rPr>
          <w:rFonts w:cs="Arial"/>
          <w:lang w:val="fr-FR"/>
        </w:rPr>
        <w:noBreakHyphen/>
      </w:r>
      <w:r w:rsidR="00060C34" w:rsidRPr="00F72E16">
        <w:rPr>
          <w:rFonts w:cs="Arial"/>
          <w:lang w:val="fr-FR"/>
        </w:rPr>
        <w:t>elle l</w:t>
      </w:r>
      <w:r w:rsidR="00DE0253" w:rsidRPr="00F72E16">
        <w:rPr>
          <w:rFonts w:cs="Arial"/>
          <w:lang w:val="fr-FR"/>
        </w:rPr>
        <w:t>’</w:t>
      </w:r>
      <w:r w:rsidR="00060C34" w:rsidRPr="00F72E16">
        <w:rPr>
          <w:rFonts w:cs="Arial"/>
          <w:lang w:val="fr-FR"/>
        </w:rPr>
        <w:t>utilisation de techniques moléculaires (profils d</w:t>
      </w:r>
      <w:r w:rsidR="00DE0253" w:rsidRPr="00F72E16">
        <w:rPr>
          <w:rFonts w:cs="Arial"/>
          <w:lang w:val="fr-FR"/>
        </w:rPr>
        <w:t>’</w:t>
      </w:r>
      <w:r w:rsidR="00060C34" w:rsidRPr="00F72E16">
        <w:rPr>
          <w:rFonts w:cs="Arial"/>
          <w:lang w:val="fr-FR"/>
        </w:rPr>
        <w:t>ADN) dans le cadre de l</w:t>
      </w:r>
      <w:r w:rsidR="00DE0253" w:rsidRPr="00F72E16">
        <w:rPr>
          <w:rFonts w:cs="Arial"/>
          <w:lang w:val="fr-FR"/>
        </w:rPr>
        <w:t>’</w:t>
      </w:r>
      <w:r w:rsidR="00060C34" w:rsidRPr="00F72E16">
        <w:rPr>
          <w:rFonts w:cs="Arial"/>
          <w:lang w:val="fr-FR"/>
        </w:rPr>
        <w:t>examen DHS?</w:t>
      </w:r>
      <w:r w:rsidR="00060C34" w:rsidRPr="00F72E16">
        <w:rPr>
          <w:rFonts w:cs="Arial"/>
          <w:lang w:val="fr-FR" w:eastAsia="ja-JP"/>
        </w:rPr>
        <w:t>”</w:t>
      </w:r>
      <w:r w:rsidR="00060C34" w:rsidRPr="00F72E16">
        <w:rPr>
          <w:lang w:val="fr-FR" w:eastAsia="ja-JP"/>
        </w:rPr>
        <w:t xml:space="preserve"> </w:t>
      </w:r>
      <w:r w:rsidR="008B026A" w:rsidRPr="00F72E16">
        <w:rPr>
          <w:lang w:val="fr-FR"/>
        </w:rPr>
        <w:t>(</w:t>
      </w:r>
      <w:r w:rsidR="00102E69" w:rsidRPr="00F72E16">
        <w:rPr>
          <w:lang w:val="fr-FR"/>
        </w:rPr>
        <w:t>voir le paragraphe</w:t>
      </w:r>
      <w:r w:rsidR="00DE6D2B" w:rsidRPr="00F72E16">
        <w:rPr>
          <w:lang w:val="fr-FR"/>
        </w:rPr>
        <w:t> </w:t>
      </w:r>
      <w:r w:rsidR="00102E69" w:rsidRPr="00F72E16">
        <w:rPr>
          <w:lang w:val="fr-FR"/>
        </w:rPr>
        <w:t>15 du</w:t>
      </w:r>
      <w:r w:rsidR="000816AB" w:rsidRPr="00F72E16">
        <w:rPr>
          <w:lang w:val="fr-FR"/>
        </w:rPr>
        <w:t> </w:t>
      </w:r>
      <w:r w:rsidR="008B026A" w:rsidRPr="00F72E16">
        <w:rPr>
          <w:lang w:val="fr-FR"/>
        </w:rPr>
        <w:t>document C(Extr.)/31/5 “</w:t>
      </w:r>
      <w:r w:rsidR="00102E69" w:rsidRPr="00F72E16">
        <w:rPr>
          <w:lang w:val="fr-FR"/>
        </w:rPr>
        <w:t>Compte rendu des décisions</w:t>
      </w:r>
      <w:r w:rsidR="008B026A" w:rsidRPr="00F72E16">
        <w:rPr>
          <w:lang w:val="fr-FR"/>
        </w:rPr>
        <w:t>”</w:t>
      </w:r>
      <w:r w:rsidR="00102E69" w:rsidRPr="00F72E16">
        <w:rPr>
          <w:lang w:val="fr-FR"/>
        </w:rPr>
        <w:t>)</w:t>
      </w:r>
      <w:r w:rsidRPr="00F72E16">
        <w:rPr>
          <w:lang w:val="fr-FR" w:eastAsia="ja-JP"/>
        </w:rPr>
        <w:t>.</w:t>
      </w:r>
    </w:p>
    <w:p w:rsidR="00DF61EE" w:rsidRPr="00F72E16" w:rsidRDefault="00DF61EE" w:rsidP="008651D1">
      <w:pPr>
        <w:rPr>
          <w:snapToGrid w:val="0"/>
          <w:lang w:val="fr-FR" w:eastAsia="ja-JP"/>
        </w:rPr>
      </w:pPr>
    </w:p>
    <w:p w:rsidR="00DF61EE" w:rsidRPr="00F72E16" w:rsidRDefault="003423DF" w:rsidP="008651D1">
      <w:pPr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102E69" w:rsidRPr="00F72E16">
        <w:rPr>
          <w:lang w:val="fr-FR"/>
        </w:rPr>
        <w:t>Les réponses aux questions fréquemment posées sont publiées sur le site</w:t>
      </w:r>
      <w:r w:rsidR="00DE6D2B" w:rsidRPr="00F72E16">
        <w:rPr>
          <w:lang w:val="fr-FR"/>
        </w:rPr>
        <w:t> </w:t>
      </w:r>
      <w:r w:rsidR="00102E69" w:rsidRPr="00F72E16">
        <w:rPr>
          <w:lang w:val="fr-FR"/>
        </w:rPr>
        <w:t>Web de l</w:t>
      </w:r>
      <w:r w:rsidR="00DE0253" w:rsidRPr="00F72E16">
        <w:rPr>
          <w:lang w:val="fr-FR"/>
        </w:rPr>
        <w:t>’</w:t>
      </w:r>
      <w:r w:rsidR="00102E69" w:rsidRPr="00F72E16">
        <w:rPr>
          <w:lang w:val="fr-FR"/>
        </w:rPr>
        <w:t>UPOV, à l</w:t>
      </w:r>
      <w:r w:rsidR="00DE0253" w:rsidRPr="00F72E16">
        <w:rPr>
          <w:lang w:val="fr-FR"/>
        </w:rPr>
        <w:t>’</w:t>
      </w:r>
      <w:r w:rsidR="00102E69" w:rsidRPr="00F72E16">
        <w:rPr>
          <w:lang w:val="fr-FR"/>
        </w:rPr>
        <w:t>adresse suivante :</w:t>
      </w:r>
      <w:r w:rsidRPr="00F72E16">
        <w:rPr>
          <w:lang w:val="fr-FR"/>
        </w:rPr>
        <w:t xml:space="preserve"> </w:t>
      </w:r>
      <w:hyperlink r:id="rId17" w:history="1">
        <w:r w:rsidR="00CB1775">
          <w:rPr>
            <w:lang w:val="fr-FR"/>
          </w:rPr>
          <w:t>http://www.upov.int/about/en/faq/</w:t>
        </w:r>
      </w:hyperlink>
      <w:r w:rsidRPr="00F72E16">
        <w:rPr>
          <w:lang w:val="fr-FR"/>
        </w:rPr>
        <w:t>.</w:t>
      </w:r>
    </w:p>
    <w:p w:rsidR="00DF61EE" w:rsidRPr="00F72E16" w:rsidRDefault="00DF61EE" w:rsidP="008651D1">
      <w:pPr>
        <w:rPr>
          <w:lang w:val="fr-FR" w:eastAsia="ja-JP"/>
        </w:rPr>
      </w:pPr>
    </w:p>
    <w:p w:rsidR="00DF61EE" w:rsidRPr="00F72E16" w:rsidRDefault="002D3575" w:rsidP="008651D1">
      <w:pPr>
        <w:rPr>
          <w:snapToGrid w:val="0"/>
          <w:lang w:val="fr-FR"/>
        </w:rPr>
      </w:pPr>
      <w:r w:rsidRPr="00F72E16">
        <w:rPr>
          <w:snapToGrid w:val="0"/>
          <w:lang w:val="fr-FR"/>
        </w:rPr>
        <w:fldChar w:fldCharType="begin"/>
      </w:r>
      <w:r w:rsidRPr="00F72E16">
        <w:rPr>
          <w:snapToGrid w:val="0"/>
          <w:lang w:val="fr-FR"/>
        </w:rPr>
        <w:instrText xml:space="preserve"> AUTONUM  </w:instrText>
      </w:r>
      <w:r w:rsidRPr="00F72E16">
        <w:rPr>
          <w:snapToGrid w:val="0"/>
          <w:lang w:val="fr-FR"/>
        </w:rPr>
        <w:fldChar w:fldCharType="end"/>
      </w:r>
      <w:r w:rsidRPr="00F72E16">
        <w:rPr>
          <w:snapToGrid w:val="0"/>
          <w:lang w:val="fr-FR"/>
        </w:rPr>
        <w:tab/>
      </w:r>
      <w:r w:rsidR="00102E69" w:rsidRPr="00F72E16">
        <w:rPr>
          <w:snapToGrid w:val="0"/>
          <w:lang w:val="fr-FR"/>
        </w:rPr>
        <w:t>À sa quatre</w:t>
      </w:r>
      <w:r w:rsidR="003F4060">
        <w:rPr>
          <w:snapToGrid w:val="0"/>
          <w:lang w:val="fr-FR"/>
        </w:rPr>
        <w:noBreakHyphen/>
      </w:r>
      <w:r w:rsidR="00102E69" w:rsidRPr="00F72E16">
        <w:rPr>
          <w:snapToGrid w:val="0"/>
          <w:lang w:val="fr-FR"/>
        </w:rPr>
        <w:t>vingt</w:t>
      </w:r>
      <w:r w:rsidR="003F4060">
        <w:rPr>
          <w:snapToGrid w:val="0"/>
          <w:lang w:val="fr-FR"/>
        </w:rPr>
        <w:noBreakHyphen/>
      </w:r>
      <w:r w:rsidR="00102E69" w:rsidRPr="00F72E16">
        <w:rPr>
          <w:snapToGrid w:val="0"/>
          <w:lang w:val="fr-FR"/>
        </w:rPr>
        <w:t>huitième</w:t>
      </w:r>
      <w:r w:rsidR="00DE6D2B" w:rsidRPr="00F72E16">
        <w:rPr>
          <w:snapToGrid w:val="0"/>
          <w:lang w:val="fr-FR"/>
        </w:rPr>
        <w:t> </w:t>
      </w:r>
      <w:r w:rsidR="00102E69" w:rsidRPr="00F72E16">
        <w:rPr>
          <w:snapToGrid w:val="0"/>
          <w:lang w:val="fr-FR"/>
        </w:rPr>
        <w:t>session tenue à Genève le 1</w:t>
      </w:r>
      <w:r w:rsidR="00C72A57" w:rsidRPr="00F72E16">
        <w:rPr>
          <w:snapToGrid w:val="0"/>
          <w:lang w:val="fr-FR"/>
        </w:rPr>
        <w:t>5 octobre 20</w:t>
      </w:r>
      <w:r w:rsidR="00102E69" w:rsidRPr="00F72E16">
        <w:rPr>
          <w:snapToGrid w:val="0"/>
          <w:lang w:val="fr-FR"/>
        </w:rPr>
        <w:t>14, le Comité consultatif est convenu que le projet de questions et réponses concernant la diffusion d</w:t>
      </w:r>
      <w:r w:rsidR="00DE0253" w:rsidRPr="00F72E16">
        <w:rPr>
          <w:snapToGrid w:val="0"/>
          <w:lang w:val="fr-FR"/>
        </w:rPr>
        <w:t>’</w:t>
      </w:r>
      <w:r w:rsidR="00102E69" w:rsidRPr="00F72E16">
        <w:rPr>
          <w:snapToGrid w:val="0"/>
          <w:lang w:val="fr-FR"/>
        </w:rPr>
        <w:t xml:space="preserve">informations à un large public, </w:t>
      </w:r>
      <w:r w:rsidR="00DE0253" w:rsidRPr="00F72E16">
        <w:rPr>
          <w:snapToGrid w:val="0"/>
          <w:lang w:val="fr-FR"/>
        </w:rPr>
        <w:t>y compris</w:t>
      </w:r>
      <w:r w:rsidR="00102E69" w:rsidRPr="00F72E16">
        <w:rPr>
          <w:snapToGrid w:val="0"/>
          <w:lang w:val="fr-FR"/>
        </w:rPr>
        <w:t xml:space="preserve"> le public en général, sur la situation à l</w:t>
      </w:r>
      <w:r w:rsidR="00DE0253" w:rsidRPr="00F72E16">
        <w:rPr>
          <w:snapToGrid w:val="0"/>
          <w:lang w:val="fr-FR"/>
        </w:rPr>
        <w:t>’</w:t>
      </w:r>
      <w:r w:rsidR="00102E69" w:rsidRPr="00F72E16">
        <w:rPr>
          <w:snapToGrid w:val="0"/>
          <w:lang w:val="fr-FR"/>
        </w:rPr>
        <w:t>UPOV concernant l</w:t>
      </w:r>
      <w:r w:rsidR="00DE0253" w:rsidRPr="00F72E16">
        <w:rPr>
          <w:snapToGrid w:val="0"/>
          <w:lang w:val="fr-FR"/>
        </w:rPr>
        <w:t>’</w:t>
      </w:r>
      <w:r w:rsidR="00102E69" w:rsidRPr="00F72E16">
        <w:rPr>
          <w:snapToGrid w:val="0"/>
          <w:lang w:val="fr-FR"/>
        </w:rPr>
        <w:t xml:space="preserve">utilisation de techniques moléculaires, devrait être soumis pour examen au Comité technique </w:t>
      </w:r>
      <w:r w:rsidRPr="00F72E16">
        <w:rPr>
          <w:snapToGrid w:val="0"/>
          <w:lang w:val="fr-FR"/>
        </w:rPr>
        <w:t>(</w:t>
      </w:r>
      <w:r w:rsidR="00102E69" w:rsidRPr="00F72E16">
        <w:rPr>
          <w:snapToGrid w:val="0"/>
          <w:lang w:val="fr-FR"/>
        </w:rPr>
        <w:t>voir le paragraphe</w:t>
      </w:r>
      <w:r w:rsidR="00DE6D2B" w:rsidRPr="00F72E16">
        <w:rPr>
          <w:snapToGrid w:val="0"/>
          <w:lang w:val="fr-FR"/>
        </w:rPr>
        <w:t> </w:t>
      </w:r>
      <w:r w:rsidR="00102E69" w:rsidRPr="00F72E16">
        <w:rPr>
          <w:snapToGrid w:val="0"/>
          <w:lang w:val="fr-FR"/>
        </w:rPr>
        <w:t xml:space="preserve">48 du </w:t>
      </w:r>
      <w:r w:rsidRPr="00F72E16">
        <w:rPr>
          <w:snapToGrid w:val="0"/>
          <w:lang w:val="fr-FR"/>
        </w:rPr>
        <w:t>document C/48/19 “Report by the President on the work of the eighty</w:t>
      </w:r>
      <w:r w:rsidR="003F4060">
        <w:rPr>
          <w:snapToGrid w:val="0"/>
          <w:lang w:val="fr-FR"/>
        </w:rPr>
        <w:noBreakHyphen/>
      </w:r>
      <w:r w:rsidRPr="00F72E16">
        <w:rPr>
          <w:snapToGrid w:val="0"/>
          <w:lang w:val="fr-FR"/>
        </w:rPr>
        <w:t>sixth session of the Consultative Committee; adoption of recommendations, if any, prepared by that Committee”).</w:t>
      </w:r>
    </w:p>
    <w:p w:rsidR="00DF61EE" w:rsidRPr="00F72E16" w:rsidRDefault="00DF61EE" w:rsidP="008651D1">
      <w:pPr>
        <w:rPr>
          <w:snapToGrid w:val="0"/>
          <w:lang w:val="fr-FR"/>
        </w:rPr>
      </w:pPr>
    </w:p>
    <w:p w:rsidR="00C72A57" w:rsidRPr="00F72E16" w:rsidRDefault="006C418D" w:rsidP="00EA7691">
      <w:pPr>
        <w:pStyle w:val="DecisionParagraphs"/>
        <w:tabs>
          <w:tab w:val="left" w:pos="5954"/>
        </w:tabs>
        <w:rPr>
          <w:lang w:val="fr-FR"/>
        </w:rPr>
      </w:pPr>
      <w:r w:rsidRPr="00F72E16">
        <w:rPr>
          <w:lang w:val="fr-FR"/>
        </w:rPr>
        <w:fldChar w:fldCharType="begin"/>
      </w:r>
      <w:r w:rsidRPr="00F72E16">
        <w:rPr>
          <w:lang w:val="fr-FR"/>
        </w:rPr>
        <w:instrText xml:space="preserve"> AUTONUM  </w:instrText>
      </w:r>
      <w:r w:rsidRPr="00F72E16">
        <w:rPr>
          <w:lang w:val="fr-FR"/>
        </w:rPr>
        <w:fldChar w:fldCharType="end"/>
      </w:r>
      <w:r w:rsidRPr="00F72E16">
        <w:rPr>
          <w:lang w:val="fr-FR"/>
        </w:rPr>
        <w:tab/>
      </w:r>
      <w:r w:rsidR="0033342F" w:rsidRPr="00F72E16">
        <w:rPr>
          <w:lang w:val="fr-FR"/>
        </w:rPr>
        <w:t>Le</w:t>
      </w:r>
      <w:r w:rsidR="00016C98" w:rsidRPr="00F72E16">
        <w:rPr>
          <w:lang w:val="fr-FR"/>
        </w:rPr>
        <w:t> </w:t>
      </w:r>
      <w:r w:rsidR="00060C34" w:rsidRPr="00F72E16">
        <w:rPr>
          <w:lang w:val="fr-FR"/>
        </w:rPr>
        <w:t>CAJ</w:t>
      </w:r>
      <w:r w:rsidR="0033342F" w:rsidRPr="00F72E16">
        <w:rPr>
          <w:lang w:val="fr-FR"/>
        </w:rPr>
        <w:t xml:space="preserve"> est invité</w:t>
      </w:r>
    </w:p>
    <w:p w:rsidR="00DF61EE" w:rsidRPr="00F72E16" w:rsidRDefault="00DF61EE" w:rsidP="00EA7691">
      <w:pPr>
        <w:pStyle w:val="DecisionParagraphs"/>
        <w:tabs>
          <w:tab w:val="left" w:pos="5954"/>
        </w:tabs>
        <w:rPr>
          <w:lang w:val="fr-FR"/>
        </w:rPr>
      </w:pPr>
    </w:p>
    <w:p w:rsidR="00DF61EE" w:rsidRPr="00F72E16" w:rsidRDefault="006C418D" w:rsidP="00EA7691">
      <w:pPr>
        <w:pStyle w:val="DecisionParagraphs"/>
        <w:tabs>
          <w:tab w:val="left" w:pos="5954"/>
        </w:tabs>
        <w:ind w:firstLine="567"/>
        <w:rPr>
          <w:lang w:val="fr-FR"/>
        </w:rPr>
      </w:pPr>
      <w:r w:rsidRPr="00F72E16">
        <w:rPr>
          <w:snapToGrid w:val="0"/>
          <w:lang w:val="fr-FR"/>
        </w:rPr>
        <w:t>a)</w:t>
      </w:r>
      <w:r w:rsidRPr="00F72E16">
        <w:rPr>
          <w:snapToGrid w:val="0"/>
          <w:lang w:val="fr-FR"/>
        </w:rPr>
        <w:tab/>
      </w:r>
      <w:r w:rsidR="00E6337A" w:rsidRPr="00F72E16">
        <w:rPr>
          <w:snapToGrid w:val="0"/>
          <w:lang w:val="fr-FR"/>
        </w:rPr>
        <w:t xml:space="preserve">à </w:t>
      </w:r>
      <w:r w:rsidR="00102E69" w:rsidRPr="00F72E16">
        <w:rPr>
          <w:snapToGrid w:val="0"/>
          <w:lang w:val="fr-FR"/>
        </w:rPr>
        <w:t>prendre note du rapport sur les faits nouveaux survenus au sein du</w:t>
      </w:r>
      <w:r w:rsidR="00016C98" w:rsidRPr="00F72E16">
        <w:rPr>
          <w:snapToGrid w:val="0"/>
          <w:lang w:val="fr-FR"/>
        </w:rPr>
        <w:t> </w:t>
      </w:r>
      <w:r w:rsidR="00C72A57" w:rsidRPr="00F72E16">
        <w:rPr>
          <w:snapToGrid w:val="0"/>
          <w:lang w:val="fr-FR"/>
        </w:rPr>
        <w:t>BMT</w:t>
      </w:r>
      <w:r w:rsidR="00102E69" w:rsidRPr="00F72E16">
        <w:rPr>
          <w:snapToGrid w:val="0"/>
          <w:lang w:val="fr-FR"/>
        </w:rPr>
        <w:t xml:space="preserve">, </w:t>
      </w:r>
      <w:r w:rsidR="00D05B03" w:rsidRPr="00F72E16">
        <w:rPr>
          <w:snapToGrid w:val="0"/>
          <w:lang w:val="fr-FR"/>
        </w:rPr>
        <w:t>présenté</w:t>
      </w:r>
      <w:r w:rsidR="00E6337A" w:rsidRPr="00F72E16">
        <w:rPr>
          <w:snapToGrid w:val="0"/>
          <w:lang w:val="fr-FR"/>
        </w:rPr>
        <w:t xml:space="preserve"> aux paragraphes</w:t>
      </w:r>
      <w:r w:rsidR="00DE6D2B" w:rsidRPr="00F72E16">
        <w:rPr>
          <w:snapToGrid w:val="0"/>
          <w:lang w:val="fr-FR"/>
        </w:rPr>
        <w:t> </w:t>
      </w:r>
      <w:r w:rsidR="005748F4" w:rsidRPr="00F72E16">
        <w:rPr>
          <w:snapToGrid w:val="0"/>
          <w:lang w:val="fr-FR"/>
        </w:rPr>
        <w:t>6</w:t>
      </w:r>
      <w:r w:rsidRPr="00F72E16">
        <w:rPr>
          <w:lang w:val="fr-FR"/>
        </w:rPr>
        <w:t xml:space="preserve"> </w:t>
      </w:r>
      <w:r w:rsidR="00E6337A" w:rsidRPr="00F72E16">
        <w:rPr>
          <w:lang w:val="fr-FR"/>
        </w:rPr>
        <w:t>à</w:t>
      </w:r>
      <w:r w:rsidRPr="00F72E16">
        <w:rPr>
          <w:lang w:val="fr-FR"/>
        </w:rPr>
        <w:t xml:space="preserve"> </w:t>
      </w:r>
      <w:r w:rsidR="005748F4" w:rsidRPr="00F72E16">
        <w:rPr>
          <w:lang w:val="fr-FR"/>
        </w:rPr>
        <w:t>9</w:t>
      </w:r>
      <w:r w:rsidRPr="00F72E16">
        <w:rPr>
          <w:lang w:val="fr-FR"/>
        </w:rPr>
        <w:t xml:space="preserve"> </w:t>
      </w:r>
      <w:r w:rsidR="00E6337A" w:rsidRPr="00F72E16">
        <w:rPr>
          <w:lang w:val="fr-FR"/>
        </w:rPr>
        <w:t>du présent document</w:t>
      </w:r>
      <w:r w:rsidRPr="00F72E16">
        <w:rPr>
          <w:lang w:val="fr-FR"/>
        </w:rPr>
        <w:t>;</w:t>
      </w:r>
    </w:p>
    <w:p w:rsidR="00DF61EE" w:rsidRPr="00F72E16" w:rsidRDefault="00DF61EE" w:rsidP="00EA7691">
      <w:pPr>
        <w:pStyle w:val="DecisionParagraphs"/>
        <w:tabs>
          <w:tab w:val="left" w:pos="5954"/>
        </w:tabs>
        <w:rPr>
          <w:lang w:val="fr-FR" w:eastAsia="ja-JP"/>
        </w:rPr>
      </w:pPr>
    </w:p>
    <w:p w:rsidR="00DF61EE" w:rsidRPr="00F72E16" w:rsidRDefault="005748F4" w:rsidP="00EA7691">
      <w:pPr>
        <w:pStyle w:val="DecisionParagraphs"/>
        <w:tabs>
          <w:tab w:val="left" w:pos="5954"/>
        </w:tabs>
        <w:ind w:firstLine="567"/>
        <w:rPr>
          <w:lang w:val="fr-FR" w:eastAsia="ja-JP"/>
        </w:rPr>
      </w:pPr>
      <w:r w:rsidRPr="00F72E16">
        <w:rPr>
          <w:lang w:val="fr-FR" w:eastAsia="ja-JP"/>
        </w:rPr>
        <w:t>b</w:t>
      </w:r>
      <w:r w:rsidR="006C418D" w:rsidRPr="00F72E16">
        <w:rPr>
          <w:lang w:val="fr-FR" w:eastAsia="ja-JP"/>
        </w:rPr>
        <w:t>)</w:t>
      </w:r>
      <w:r w:rsidR="006C418D" w:rsidRPr="00F72E16">
        <w:rPr>
          <w:lang w:val="fr-FR" w:eastAsia="ja-JP"/>
        </w:rPr>
        <w:tab/>
      </w:r>
      <w:r w:rsidR="00E6337A" w:rsidRPr="00F72E16">
        <w:rPr>
          <w:lang w:val="fr-FR" w:eastAsia="ja-JP"/>
        </w:rPr>
        <w:t xml:space="preserve">à </w:t>
      </w:r>
      <w:r w:rsidR="008A447B" w:rsidRPr="00F72E16">
        <w:rPr>
          <w:lang w:val="fr-FR" w:eastAsia="ja-JP"/>
        </w:rPr>
        <w:t>noter</w:t>
      </w:r>
      <w:r w:rsidR="00E6337A" w:rsidRPr="00F72E16">
        <w:rPr>
          <w:lang w:val="fr-FR" w:eastAsia="ja-JP"/>
        </w:rPr>
        <w:t xml:space="preserve"> qu</w:t>
      </w:r>
      <w:r w:rsidR="00DE0253" w:rsidRPr="00F72E16">
        <w:rPr>
          <w:lang w:val="fr-FR" w:eastAsia="ja-JP"/>
        </w:rPr>
        <w:t>’</w:t>
      </w:r>
      <w:r w:rsidR="00E6337A" w:rsidRPr="00F72E16">
        <w:rPr>
          <w:lang w:val="fr-FR" w:eastAsia="ja-JP"/>
        </w:rPr>
        <w:t>il a</w:t>
      </w:r>
      <w:r w:rsidR="007F6108" w:rsidRPr="00F72E16">
        <w:rPr>
          <w:lang w:val="fr-FR" w:eastAsia="ja-JP"/>
        </w:rPr>
        <w:t>vait</w:t>
      </w:r>
      <w:r w:rsidR="00E6337A" w:rsidRPr="00F72E16">
        <w:rPr>
          <w:rFonts w:cs="Arial"/>
          <w:lang w:val="fr-FR" w:eastAsia="ja-JP"/>
        </w:rPr>
        <w:t xml:space="preserve"> été convenu</w:t>
      </w:r>
      <w:r w:rsidR="00097467" w:rsidRPr="00F72E16">
        <w:rPr>
          <w:rFonts w:cs="Arial"/>
          <w:lang w:val="fr-FR" w:eastAsia="ja-JP"/>
        </w:rPr>
        <w:t xml:space="preserve"> à l</w:t>
      </w:r>
      <w:r w:rsidR="00DE0253" w:rsidRPr="00F72E16">
        <w:rPr>
          <w:rFonts w:cs="Arial"/>
          <w:lang w:val="fr-FR" w:eastAsia="ja-JP"/>
        </w:rPr>
        <w:t>’</w:t>
      </w:r>
      <w:r w:rsidR="00097467" w:rsidRPr="00F72E16">
        <w:rPr>
          <w:rFonts w:cs="Arial"/>
          <w:lang w:val="fr-FR" w:eastAsia="ja-JP"/>
        </w:rPr>
        <w:t>atelier</w:t>
      </w:r>
      <w:r w:rsidRPr="00F72E16">
        <w:rPr>
          <w:rFonts w:cs="Arial"/>
          <w:lang w:val="fr-FR" w:eastAsia="ja-JP"/>
        </w:rPr>
        <w:t xml:space="preserve"> conjoint de l</w:t>
      </w:r>
      <w:r w:rsidR="00DE0253" w:rsidRPr="00F72E16">
        <w:rPr>
          <w:rFonts w:cs="Arial"/>
          <w:lang w:val="fr-FR" w:eastAsia="ja-JP"/>
        </w:rPr>
        <w:t>’</w:t>
      </w:r>
      <w:r w:rsidRPr="00F72E16">
        <w:rPr>
          <w:rFonts w:cs="Arial"/>
          <w:lang w:val="fr-FR" w:eastAsia="ja-JP"/>
        </w:rPr>
        <w:t>OCDE, de l</w:t>
      </w:r>
      <w:r w:rsidR="00DE0253" w:rsidRPr="00F72E16">
        <w:rPr>
          <w:rFonts w:cs="Arial"/>
          <w:lang w:val="fr-FR" w:eastAsia="ja-JP"/>
        </w:rPr>
        <w:t>’</w:t>
      </w:r>
      <w:r w:rsidRPr="00F72E16">
        <w:rPr>
          <w:rFonts w:cs="Arial"/>
          <w:lang w:val="fr-FR" w:eastAsia="ja-JP"/>
        </w:rPr>
        <w:t>UPOV et de l</w:t>
      </w:r>
      <w:r w:rsidR="00DE0253" w:rsidRPr="00F72E16">
        <w:rPr>
          <w:rFonts w:cs="Arial"/>
          <w:lang w:val="fr-FR" w:eastAsia="ja-JP"/>
        </w:rPr>
        <w:t>’</w:t>
      </w:r>
      <w:r w:rsidRPr="00F72E16">
        <w:rPr>
          <w:rFonts w:cs="Arial"/>
          <w:lang w:val="fr-FR" w:eastAsia="ja-JP"/>
        </w:rPr>
        <w:t>ISTA sur les techniques moléculaires</w:t>
      </w:r>
      <w:r w:rsidRPr="00F72E16">
        <w:rPr>
          <w:rStyle w:val="FootnoteReference"/>
          <w:rFonts w:cs="Arial"/>
          <w:lang w:val="fr-FR" w:eastAsia="ja-JP"/>
        </w:rPr>
        <w:footnoteReference w:id="13"/>
      </w:r>
      <w:r w:rsidR="00097467" w:rsidRPr="00F72E16">
        <w:rPr>
          <w:rFonts w:cs="Arial"/>
          <w:lang w:val="fr-FR" w:eastAsia="ja-JP"/>
        </w:rPr>
        <w:t xml:space="preserve"> </w:t>
      </w:r>
      <w:r w:rsidR="00E6337A" w:rsidRPr="00F72E16">
        <w:rPr>
          <w:rFonts w:cs="Arial"/>
          <w:lang w:val="fr-FR" w:eastAsia="ja-JP"/>
        </w:rPr>
        <w:t>qu</w:t>
      </w:r>
      <w:r w:rsidR="00DE0253" w:rsidRPr="00F72E16">
        <w:rPr>
          <w:rFonts w:cs="Arial"/>
          <w:lang w:val="fr-FR" w:eastAsia="ja-JP"/>
        </w:rPr>
        <w:t>’</w:t>
      </w:r>
      <w:r w:rsidR="00E6337A" w:rsidRPr="00F72E16">
        <w:rPr>
          <w:rFonts w:cs="Arial"/>
          <w:lang w:val="fr-FR" w:eastAsia="ja-JP"/>
        </w:rPr>
        <w:t xml:space="preserve">il serait utile </w:t>
      </w:r>
      <w:r w:rsidR="00097467" w:rsidRPr="00F72E16">
        <w:rPr>
          <w:rFonts w:cs="Arial"/>
          <w:lang w:val="fr-FR" w:eastAsia="ja-JP"/>
        </w:rPr>
        <w:t>d</w:t>
      </w:r>
      <w:r w:rsidR="00DE0253" w:rsidRPr="00F72E16">
        <w:rPr>
          <w:rFonts w:cs="Arial"/>
          <w:lang w:val="fr-FR" w:eastAsia="ja-JP"/>
        </w:rPr>
        <w:t>’</w:t>
      </w:r>
      <w:r w:rsidR="00097467" w:rsidRPr="00F72E16">
        <w:rPr>
          <w:rFonts w:cs="Arial"/>
          <w:lang w:val="fr-FR" w:eastAsia="ja-JP"/>
        </w:rPr>
        <w:t xml:space="preserve">organiser à nouveau </w:t>
      </w:r>
      <w:r w:rsidR="00E6337A" w:rsidRPr="00F72E16">
        <w:rPr>
          <w:rFonts w:cs="Arial"/>
          <w:lang w:val="fr-FR" w:eastAsia="ja-JP"/>
        </w:rPr>
        <w:t xml:space="preserve">cet atelier conjoint </w:t>
      </w:r>
      <w:r w:rsidR="00097467" w:rsidRPr="00F72E16">
        <w:rPr>
          <w:rFonts w:cs="Arial"/>
          <w:lang w:val="fr-FR" w:eastAsia="ja-JP"/>
        </w:rPr>
        <w:t>dans le cadre des</w:t>
      </w:r>
      <w:r w:rsidR="00E6337A" w:rsidRPr="00F72E16">
        <w:rPr>
          <w:rFonts w:cs="Arial"/>
          <w:lang w:val="fr-FR" w:eastAsia="ja-JP"/>
        </w:rPr>
        <w:t xml:space="preserve"> réunions pertinentes de l</w:t>
      </w:r>
      <w:r w:rsidR="00DE0253" w:rsidRPr="00F72E16">
        <w:rPr>
          <w:rFonts w:cs="Arial"/>
          <w:lang w:val="fr-FR" w:eastAsia="ja-JP"/>
        </w:rPr>
        <w:t>’</w:t>
      </w:r>
      <w:r w:rsidR="00E6337A" w:rsidRPr="00F72E16">
        <w:rPr>
          <w:rFonts w:cs="Arial"/>
          <w:lang w:val="fr-FR" w:eastAsia="ja-JP"/>
        </w:rPr>
        <w:t>OCDE et de l</w:t>
      </w:r>
      <w:r w:rsidR="00DE0253" w:rsidRPr="00F72E16">
        <w:rPr>
          <w:rFonts w:cs="Arial"/>
          <w:lang w:val="fr-FR" w:eastAsia="ja-JP"/>
        </w:rPr>
        <w:t>’</w:t>
      </w:r>
      <w:r w:rsidR="00E6337A" w:rsidRPr="00F72E16">
        <w:rPr>
          <w:rFonts w:cs="Arial"/>
          <w:lang w:val="fr-FR" w:eastAsia="ja-JP"/>
        </w:rPr>
        <w:t>ISTA</w:t>
      </w:r>
      <w:r w:rsidR="00097467" w:rsidRPr="00F72E16">
        <w:rPr>
          <w:lang w:val="fr-FR" w:eastAsia="ja-JP"/>
        </w:rPr>
        <w:t xml:space="preserve"> </w:t>
      </w:r>
      <w:r w:rsidR="00E6337A" w:rsidRPr="00F72E16">
        <w:rPr>
          <w:lang w:val="fr-FR" w:eastAsia="ja-JP"/>
        </w:rPr>
        <w:t>et que, à cet égard,</w:t>
      </w:r>
      <w:r w:rsidR="002D74E7" w:rsidRPr="00F72E16">
        <w:rPr>
          <w:lang w:val="fr-FR" w:eastAsia="ja-JP"/>
        </w:rPr>
        <w:t xml:space="preserve"> </w:t>
      </w:r>
      <w:r w:rsidR="00E6337A" w:rsidRPr="00F72E16">
        <w:rPr>
          <w:lang w:val="fr-FR" w:eastAsia="ja-JP"/>
        </w:rPr>
        <w:t>le</w:t>
      </w:r>
      <w:r w:rsidR="00E6337A" w:rsidRPr="00F72E16">
        <w:rPr>
          <w:snapToGrid w:val="0"/>
          <w:lang w:val="fr-FR"/>
        </w:rPr>
        <w:t xml:space="preserve"> Groupe de travail technique </w:t>
      </w:r>
      <w:r w:rsidR="007F6108" w:rsidRPr="00F72E16">
        <w:rPr>
          <w:snapToGrid w:val="0"/>
          <w:lang w:val="fr-FR"/>
        </w:rPr>
        <w:t>était</w:t>
      </w:r>
      <w:r w:rsidR="00E6337A" w:rsidRPr="00F72E16">
        <w:rPr>
          <w:snapToGrid w:val="0"/>
          <w:lang w:val="fr-FR"/>
        </w:rPr>
        <w:t xml:space="preserve"> convenu qu</w:t>
      </w:r>
      <w:r w:rsidR="00DE0253" w:rsidRPr="00F72E16">
        <w:rPr>
          <w:snapToGrid w:val="0"/>
          <w:lang w:val="fr-FR"/>
        </w:rPr>
        <w:t>’</w:t>
      </w:r>
      <w:r w:rsidR="00E6337A" w:rsidRPr="00F72E16">
        <w:rPr>
          <w:snapToGrid w:val="0"/>
          <w:lang w:val="fr-FR"/>
        </w:rPr>
        <w:t>un autre Atelier conjoint de l</w:t>
      </w:r>
      <w:r w:rsidR="00DE0253" w:rsidRPr="00F72E16">
        <w:rPr>
          <w:snapToGrid w:val="0"/>
          <w:lang w:val="fr-FR"/>
        </w:rPr>
        <w:t>’</w:t>
      </w:r>
      <w:r w:rsidR="00E6337A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E6337A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E6337A" w:rsidRPr="00F72E16">
        <w:rPr>
          <w:snapToGrid w:val="0"/>
          <w:lang w:val="fr-FR"/>
        </w:rPr>
        <w:t xml:space="preserve">ISTA sur les techniques moléculaires devrait être organisé </w:t>
      </w:r>
      <w:r w:rsidR="00D05B03" w:rsidRPr="00F72E16">
        <w:rPr>
          <w:snapToGrid w:val="0"/>
          <w:lang w:val="fr-FR"/>
        </w:rPr>
        <w:t xml:space="preserve">soit </w:t>
      </w:r>
      <w:r w:rsidR="00E6337A" w:rsidRPr="00F72E16">
        <w:rPr>
          <w:snapToGrid w:val="0"/>
          <w:lang w:val="fr-FR"/>
        </w:rPr>
        <w:t>immédiatement avant ou après la Réunion annuelle des Systèmes de semences de l</w:t>
      </w:r>
      <w:r w:rsidR="00DE0253" w:rsidRPr="00F72E16">
        <w:rPr>
          <w:snapToGrid w:val="0"/>
          <w:lang w:val="fr-FR"/>
        </w:rPr>
        <w:t>’</w:t>
      </w:r>
      <w:r w:rsidR="00E6337A" w:rsidRPr="00F72E16">
        <w:rPr>
          <w:snapToGrid w:val="0"/>
          <w:lang w:val="fr-FR"/>
        </w:rPr>
        <w:t xml:space="preserve">OCDE qui se tiendra à Paris en </w:t>
      </w:r>
      <w:r w:rsidR="00C72A57" w:rsidRPr="00F72E16">
        <w:rPr>
          <w:snapToGrid w:val="0"/>
          <w:lang w:val="fr-FR"/>
        </w:rPr>
        <w:t>juin 20</w:t>
      </w:r>
      <w:r w:rsidR="00E6337A" w:rsidRPr="00F72E16">
        <w:rPr>
          <w:snapToGrid w:val="0"/>
          <w:lang w:val="fr-FR"/>
        </w:rPr>
        <w:t>15</w:t>
      </w:r>
      <w:r w:rsidR="00D05B03" w:rsidRPr="00F72E16">
        <w:rPr>
          <w:snapToGrid w:val="0"/>
          <w:lang w:val="fr-FR"/>
        </w:rPr>
        <w:t>, soit</w:t>
      </w:r>
      <w:r w:rsidR="00E6337A" w:rsidRPr="00F72E16">
        <w:rPr>
          <w:snapToGrid w:val="0"/>
          <w:lang w:val="fr-FR"/>
        </w:rPr>
        <w:t xml:space="preserve"> en même temps que la Réunion du Groupe de travail technique qui se tiendra en </w:t>
      </w:r>
      <w:r w:rsidR="00C72A57" w:rsidRPr="00F72E16">
        <w:rPr>
          <w:snapToGrid w:val="0"/>
          <w:lang w:val="fr-FR"/>
        </w:rPr>
        <w:t>janvier 20</w:t>
      </w:r>
      <w:r w:rsidR="00E6337A" w:rsidRPr="00F72E16">
        <w:rPr>
          <w:snapToGrid w:val="0"/>
          <w:lang w:val="fr-FR"/>
        </w:rPr>
        <w:t>16</w:t>
      </w:r>
      <w:r w:rsidR="006C418D" w:rsidRPr="00F72E16">
        <w:rPr>
          <w:lang w:val="fr-FR" w:eastAsia="ja-JP"/>
        </w:rPr>
        <w:t>;</w:t>
      </w:r>
    </w:p>
    <w:p w:rsidR="005748F4" w:rsidRPr="00F72E16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</w:p>
    <w:p w:rsidR="005748F4" w:rsidRPr="00F72E16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  <w:r w:rsidRPr="00F72E16">
        <w:rPr>
          <w:lang w:val="fr-FR"/>
        </w:rPr>
        <w:tab/>
        <w:t>c)</w:t>
      </w:r>
      <w:r w:rsidRPr="00F72E16">
        <w:rPr>
          <w:lang w:val="fr-FR"/>
        </w:rPr>
        <w:tab/>
      </w:r>
      <w:r w:rsidR="008A447B" w:rsidRPr="00F72E16">
        <w:rPr>
          <w:lang w:val="fr-FR"/>
        </w:rPr>
        <w:t>à noter que le</w:t>
      </w:r>
      <w:r w:rsidR="000A7C03">
        <w:rPr>
          <w:lang w:val="fr-FR"/>
        </w:rPr>
        <w:t xml:space="preserve"> </w:t>
      </w:r>
      <w:r w:rsidR="00DE0253" w:rsidRPr="00F72E16">
        <w:rPr>
          <w:lang w:val="fr-FR"/>
        </w:rPr>
        <w:t>TC</w:t>
      </w:r>
      <w:r w:rsidR="008A447B" w:rsidRPr="00F72E16">
        <w:rPr>
          <w:lang w:val="fr-FR"/>
        </w:rPr>
        <w:t>, à sa cinquante</w:t>
      </w:r>
      <w:r w:rsidR="003F4060">
        <w:rPr>
          <w:lang w:val="fr-FR"/>
        </w:rPr>
        <w:noBreakHyphen/>
      </w:r>
      <w:r w:rsidR="008A447B" w:rsidRPr="00F72E16">
        <w:rPr>
          <w:lang w:val="fr-FR"/>
        </w:rPr>
        <w:t>troisième</w:t>
      </w:r>
      <w:r w:rsidR="000A7C03">
        <w:rPr>
          <w:lang w:val="fr-FR"/>
        </w:rPr>
        <w:t> </w:t>
      </w:r>
      <w:r w:rsidR="008A447B" w:rsidRPr="00F72E16">
        <w:rPr>
          <w:lang w:val="fr-FR"/>
        </w:rPr>
        <w:t xml:space="preserve">session </w:t>
      </w:r>
      <w:r w:rsidR="007F6108" w:rsidRPr="00F72E16">
        <w:rPr>
          <w:lang w:val="fr-FR"/>
        </w:rPr>
        <w:t xml:space="preserve">prévue </w:t>
      </w:r>
      <w:r w:rsidR="008A447B" w:rsidRPr="00F72E16">
        <w:rPr>
          <w:lang w:val="fr-FR"/>
        </w:rPr>
        <w:t>en</w:t>
      </w:r>
      <w:r w:rsidR="000A7C03">
        <w:rPr>
          <w:lang w:val="fr-FR"/>
        </w:rPr>
        <w:t xml:space="preserve"> </w:t>
      </w:r>
      <w:r w:rsidR="008A447B" w:rsidRPr="00F72E16">
        <w:rPr>
          <w:lang w:val="fr-FR"/>
        </w:rPr>
        <w:t>2017, sera</w:t>
      </w:r>
      <w:r w:rsidRPr="00F72E16">
        <w:rPr>
          <w:lang w:val="fr-FR"/>
        </w:rPr>
        <w:t xml:space="preserve"> </w:t>
      </w:r>
      <w:r w:rsidR="008A447B" w:rsidRPr="00F72E16">
        <w:rPr>
          <w:lang w:val="fr-FR"/>
        </w:rPr>
        <w:t>invité</w:t>
      </w:r>
    </w:p>
    <w:p w:rsidR="005748F4" w:rsidRPr="00EA7691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sz w:val="14"/>
          <w:lang w:val="fr-FR"/>
        </w:rPr>
      </w:pPr>
    </w:p>
    <w:p w:rsidR="005748F4" w:rsidRPr="00F72E16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  <w:r w:rsidRPr="00F72E16">
        <w:rPr>
          <w:lang w:val="fr-FR"/>
        </w:rPr>
        <w:tab/>
      </w:r>
      <w:r w:rsidRPr="00F72E16">
        <w:rPr>
          <w:lang w:val="fr-FR"/>
        </w:rPr>
        <w:tab/>
        <w:t>i)</w:t>
      </w:r>
      <w:r w:rsidRPr="00F72E16">
        <w:rPr>
          <w:lang w:val="fr-FR"/>
        </w:rPr>
        <w:tab/>
      </w:r>
      <w:r w:rsidR="008A447B" w:rsidRPr="00F72E16">
        <w:rPr>
          <w:lang w:val="fr-FR"/>
        </w:rPr>
        <w:t>à approuver le programme de la quinzième</w:t>
      </w:r>
      <w:r w:rsidR="00360C4D" w:rsidRPr="00F72E16">
        <w:rPr>
          <w:lang w:val="fr-FR"/>
        </w:rPr>
        <w:t> </w:t>
      </w:r>
      <w:r w:rsidR="008A447B" w:rsidRPr="00F72E16">
        <w:rPr>
          <w:lang w:val="fr-FR"/>
        </w:rPr>
        <w:t>session</w:t>
      </w:r>
      <w:r w:rsidR="00DE0253" w:rsidRPr="00F72E16">
        <w:rPr>
          <w:lang w:val="fr-FR"/>
        </w:rPr>
        <w:t xml:space="preserve"> du BMT</w:t>
      </w:r>
      <w:r w:rsidR="008A447B" w:rsidRPr="00F72E16">
        <w:rPr>
          <w:lang w:val="fr-FR"/>
        </w:rPr>
        <w:t xml:space="preserve"> </w:t>
      </w:r>
      <w:r w:rsidR="007F6108" w:rsidRPr="00F72E16">
        <w:rPr>
          <w:lang w:val="fr-FR"/>
        </w:rPr>
        <w:t>prévue</w:t>
      </w:r>
      <w:r w:rsidR="008A447B" w:rsidRPr="00F72E16">
        <w:rPr>
          <w:lang w:val="fr-FR"/>
        </w:rPr>
        <w:t xml:space="preserve"> en</w:t>
      </w:r>
      <w:r w:rsidR="00360C4D" w:rsidRPr="00F72E16">
        <w:rPr>
          <w:lang w:val="fr-FR"/>
        </w:rPr>
        <w:t> </w:t>
      </w:r>
      <w:r w:rsidR="008A447B" w:rsidRPr="00F72E16">
        <w:rPr>
          <w:lang w:val="fr-FR"/>
        </w:rPr>
        <w:t xml:space="preserve">2016, </w:t>
      </w:r>
      <w:r w:rsidR="00DE0253" w:rsidRPr="00F72E16">
        <w:rPr>
          <w:lang w:val="fr-FR"/>
        </w:rPr>
        <w:t>y compris</w:t>
      </w:r>
      <w:r w:rsidR="007F6108" w:rsidRPr="00F72E16">
        <w:rPr>
          <w:lang w:val="fr-FR"/>
        </w:rPr>
        <w:t xml:space="preserve"> la tenue d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 xml:space="preserve">une journée spéciale </w:t>
      </w:r>
      <w:r w:rsidRPr="00F72E16">
        <w:rPr>
          <w:lang w:val="fr-FR"/>
        </w:rPr>
        <w:t>(“</w:t>
      </w:r>
      <w:r w:rsidR="007F6108" w:rsidRPr="00F72E16">
        <w:rPr>
          <w:lang w:val="fr-FR"/>
        </w:rPr>
        <w:t>Journée des obtenteurs</w:t>
      </w:r>
      <w:r w:rsidRPr="00F72E16">
        <w:rPr>
          <w:lang w:val="fr-FR"/>
        </w:rPr>
        <w:t xml:space="preserve">”), </w:t>
      </w:r>
      <w:r w:rsidR="007F6108" w:rsidRPr="00F72E16">
        <w:rPr>
          <w:lang w:val="fr-FR"/>
        </w:rPr>
        <w:t>en ce qui concerne les points de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ordre du jour relatifs à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utilisation de techniques moléculaires pour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appréciation de la notion de variété essentiellement dérivée et pour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identification des variétés</w:t>
      </w:r>
      <w:r w:rsidRPr="00F72E16">
        <w:rPr>
          <w:lang w:val="fr-FR"/>
        </w:rPr>
        <w:t>;</w:t>
      </w:r>
    </w:p>
    <w:p w:rsidR="005748F4" w:rsidRPr="00F72E16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</w:p>
    <w:p w:rsidR="005748F4" w:rsidRPr="00F72E16" w:rsidRDefault="005748F4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  <w:r w:rsidRPr="00F72E16">
        <w:rPr>
          <w:lang w:val="fr-FR"/>
        </w:rPr>
        <w:lastRenderedPageBreak/>
        <w:tab/>
      </w:r>
      <w:r w:rsidRPr="00F72E16">
        <w:rPr>
          <w:lang w:val="fr-FR"/>
        </w:rPr>
        <w:tab/>
        <w:t>ii)</w:t>
      </w:r>
      <w:r w:rsidRPr="00F72E16">
        <w:rPr>
          <w:lang w:val="fr-FR"/>
        </w:rPr>
        <w:tab/>
      </w:r>
      <w:r w:rsidR="007F6108" w:rsidRPr="00F72E16">
        <w:rPr>
          <w:lang w:val="fr-FR"/>
        </w:rPr>
        <w:t>à étudier la possibilité d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élaborer un document commun présentant les particularités des systèmes de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OCDE, de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UPOV et de l</w:t>
      </w:r>
      <w:r w:rsidR="00DE0253" w:rsidRPr="00F72E16">
        <w:rPr>
          <w:lang w:val="fr-FR"/>
        </w:rPr>
        <w:t>’</w:t>
      </w:r>
      <w:r w:rsidR="007F6108" w:rsidRPr="00F72E16">
        <w:rPr>
          <w:lang w:val="fr-FR"/>
        </w:rPr>
        <w:t>ISTA</w:t>
      </w:r>
      <w:r w:rsidRPr="00F72E16">
        <w:rPr>
          <w:lang w:val="fr-FR"/>
        </w:rPr>
        <w:t>;</w:t>
      </w:r>
    </w:p>
    <w:p w:rsidR="007F6108" w:rsidRPr="00F72E16" w:rsidRDefault="007F6108" w:rsidP="00EA7691">
      <w:pPr>
        <w:pStyle w:val="DecisionInvitingPara"/>
        <w:tabs>
          <w:tab w:val="left" w:pos="5387"/>
          <w:tab w:val="left" w:pos="5954"/>
        </w:tabs>
        <w:ind w:left="4820"/>
        <w:rPr>
          <w:lang w:val="fr-FR"/>
        </w:rPr>
      </w:pPr>
    </w:p>
    <w:p w:rsidR="00DF61EE" w:rsidRPr="00F72E16" w:rsidRDefault="005748F4" w:rsidP="00EA7691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  <w:r w:rsidRPr="00F72E16">
        <w:rPr>
          <w:rFonts w:eastAsia="Times New Roman"/>
          <w:lang w:val="fr-FR" w:eastAsia="ja-JP"/>
        </w:rPr>
        <w:tab/>
        <w:t>iii</w:t>
      </w:r>
      <w:r w:rsidR="006C418D" w:rsidRPr="00F72E16">
        <w:rPr>
          <w:lang w:val="fr-FR" w:eastAsia="ja-JP"/>
        </w:rPr>
        <w:t>)</w:t>
      </w:r>
      <w:r w:rsidR="006C418D" w:rsidRPr="00F72E16">
        <w:rPr>
          <w:lang w:val="fr-FR" w:eastAsia="ja-JP"/>
        </w:rPr>
        <w:tab/>
      </w:r>
      <w:r w:rsidR="00E43D9F" w:rsidRPr="00F72E16">
        <w:rPr>
          <w:lang w:val="fr-FR" w:eastAsia="ja-JP"/>
        </w:rPr>
        <w:t>à étudier la possibilité de dresser un inventaire</w:t>
      </w:r>
      <w:r w:rsidR="00E43D9F" w:rsidRPr="00F72E16">
        <w:rPr>
          <w:rFonts w:cs="Arial"/>
          <w:lang w:val="fr-FR"/>
        </w:rPr>
        <w:t>, par plante</w:t>
      </w:r>
      <w:r w:rsidR="00E43D9F" w:rsidRPr="00F72E16">
        <w:rPr>
          <w:rFonts w:cs="Arial"/>
          <w:lang w:val="fr-FR" w:eastAsia="ja-JP"/>
        </w:rPr>
        <w:t xml:space="preserve">, </w:t>
      </w:r>
      <w:r w:rsidR="00E43D9F" w:rsidRPr="00F72E16">
        <w:rPr>
          <w:rFonts w:cs="Arial"/>
          <w:lang w:val="fr-FR"/>
        </w:rPr>
        <w:t>de l</w:t>
      </w:r>
      <w:r w:rsidR="00DE0253" w:rsidRPr="00F72E16">
        <w:rPr>
          <w:rFonts w:cs="Arial"/>
          <w:lang w:val="fr-FR"/>
        </w:rPr>
        <w:t>’</w:t>
      </w:r>
      <w:r w:rsidR="00E43D9F" w:rsidRPr="00F72E16">
        <w:rPr>
          <w:rFonts w:cs="Arial"/>
          <w:lang w:val="fr-FR"/>
        </w:rPr>
        <w:t>utilisation qui est faite par l</w:t>
      </w:r>
      <w:r w:rsidR="00DE0253" w:rsidRPr="00F72E16">
        <w:rPr>
          <w:rFonts w:cs="Arial"/>
          <w:lang w:val="fr-FR"/>
        </w:rPr>
        <w:t>’</w:t>
      </w:r>
      <w:r w:rsidR="00E43D9F" w:rsidRPr="00F72E16">
        <w:rPr>
          <w:rFonts w:cs="Arial"/>
          <w:lang w:val="fr-FR"/>
        </w:rPr>
        <w:t>UPOV des techniques faisant intervenir des marqueurs moléculaires</w:t>
      </w:r>
      <w:r w:rsidR="00231AAC" w:rsidRPr="00F72E16">
        <w:rPr>
          <w:rFonts w:cs="Arial"/>
          <w:lang w:val="fr-FR"/>
        </w:rPr>
        <w:t>,</w:t>
      </w:r>
      <w:r w:rsidR="00E43D9F" w:rsidRPr="00F72E16">
        <w:rPr>
          <w:rFonts w:cs="Arial"/>
          <w:lang w:val="fr-FR"/>
        </w:rPr>
        <w:t xml:space="preserve"> </w:t>
      </w:r>
      <w:r w:rsidR="00E43D9F" w:rsidRPr="00F72E16">
        <w:rPr>
          <w:rFonts w:cs="Arial"/>
          <w:lang w:val="fr-FR" w:eastAsia="ja-JP"/>
        </w:rPr>
        <w:t>en vue de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élaboration d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un document commun à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OCDE, à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UPOV et à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ISTA contenant ces informations, dans un format semblable à celui du document UPOV/</w:t>
      </w:r>
      <w:r w:rsidRPr="00F72E16">
        <w:rPr>
          <w:rFonts w:cs="Arial"/>
          <w:lang w:val="fr-FR" w:eastAsia="ja-JP"/>
        </w:rPr>
        <w:t>INF/16 “Logiciels échangeables”</w:t>
      </w:r>
      <w:r w:rsidR="006C418D" w:rsidRPr="00F72E16">
        <w:rPr>
          <w:rFonts w:cs="Arial"/>
          <w:lang w:val="fr-FR" w:eastAsia="ja-JP"/>
        </w:rPr>
        <w:t>;</w:t>
      </w:r>
    </w:p>
    <w:p w:rsidR="00DF61EE" w:rsidRPr="00F72E16" w:rsidRDefault="00DF61EE" w:rsidP="008651D1">
      <w:pPr>
        <w:pStyle w:val="DecisionParagraphs"/>
        <w:ind w:left="4536"/>
        <w:rPr>
          <w:lang w:val="fr-FR"/>
        </w:rPr>
      </w:pPr>
    </w:p>
    <w:p w:rsidR="00C72A57" w:rsidRPr="00F72E16" w:rsidRDefault="005748F4" w:rsidP="00EA7691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  <w:lang w:val="fr-FR" w:eastAsia="ja-JP"/>
        </w:rPr>
      </w:pPr>
      <w:r w:rsidRPr="00F72E16">
        <w:rPr>
          <w:lang w:val="fr-FR" w:eastAsia="ja-JP"/>
        </w:rPr>
        <w:tab/>
        <w:t>iv</w:t>
      </w:r>
      <w:r w:rsidR="006C418D" w:rsidRPr="00F72E16">
        <w:rPr>
          <w:lang w:val="fr-FR" w:eastAsia="ja-JP"/>
        </w:rPr>
        <w:t>)</w:t>
      </w:r>
      <w:r w:rsidR="006C418D" w:rsidRPr="00F72E16">
        <w:rPr>
          <w:lang w:val="fr-FR" w:eastAsia="ja-JP"/>
        </w:rPr>
        <w:tab/>
      </w:r>
      <w:r w:rsidR="00E43D9F" w:rsidRPr="00F72E16">
        <w:rPr>
          <w:lang w:val="fr-FR" w:eastAsia="ja-JP"/>
        </w:rPr>
        <w:t>à examiner la proposition tendant à ce que</w:t>
      </w:r>
      <w:r w:rsidR="00C72A57" w:rsidRPr="00F72E16">
        <w:rPr>
          <w:lang w:val="fr-FR" w:eastAsia="ja-JP"/>
        </w:rPr>
        <w:t xml:space="preserve"> le BMT</w:t>
      </w:r>
      <w:r w:rsidR="00E43D9F" w:rsidRPr="00F72E16">
        <w:rPr>
          <w:lang w:val="fr-FR" w:eastAsia="ja-JP"/>
        </w:rPr>
        <w:t>, à sa quinzième</w:t>
      </w:r>
      <w:r w:rsidR="00DE6D2B" w:rsidRPr="00F72E16">
        <w:rPr>
          <w:lang w:val="fr-FR" w:eastAsia="ja-JP"/>
        </w:rPr>
        <w:t> </w:t>
      </w:r>
      <w:r w:rsidR="00E43D9F" w:rsidRPr="00F72E16">
        <w:rPr>
          <w:lang w:val="fr-FR" w:eastAsia="ja-JP"/>
        </w:rPr>
        <w:t>session,</w:t>
      </w:r>
      <w:r w:rsidR="00E43D9F" w:rsidRPr="00F72E16">
        <w:rPr>
          <w:rFonts w:cs="Arial"/>
          <w:lang w:val="fr-FR" w:eastAsia="ja-JP"/>
        </w:rPr>
        <w:t xml:space="preserve"> dresse des listes d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initiatives conjointes possibles avec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OCDE et l</w:t>
      </w:r>
      <w:r w:rsidR="00DE0253" w:rsidRPr="00F72E16">
        <w:rPr>
          <w:rFonts w:cs="Arial"/>
          <w:lang w:val="fr-FR" w:eastAsia="ja-JP"/>
        </w:rPr>
        <w:t>’</w:t>
      </w:r>
      <w:r w:rsidR="00E43D9F" w:rsidRPr="00F72E16">
        <w:rPr>
          <w:rFonts w:cs="Arial"/>
          <w:lang w:val="fr-FR" w:eastAsia="ja-JP"/>
        </w:rPr>
        <w:t>ISTA dans le domaine des techniques moléculaires</w:t>
      </w:r>
      <w:r w:rsidR="006C418D" w:rsidRPr="00F72E16">
        <w:rPr>
          <w:rFonts w:cs="Arial"/>
          <w:lang w:val="fr-FR" w:eastAsia="ja-JP"/>
        </w:rPr>
        <w:t>;</w:t>
      </w:r>
    </w:p>
    <w:p w:rsidR="00DF61EE" w:rsidRPr="00F72E16" w:rsidRDefault="00DF61EE" w:rsidP="00EA7691">
      <w:pPr>
        <w:pStyle w:val="DecisionParagraphs"/>
        <w:tabs>
          <w:tab w:val="clear" w:pos="5387"/>
          <w:tab w:val="left" w:pos="5954"/>
        </w:tabs>
        <w:ind w:firstLine="567"/>
        <w:rPr>
          <w:rFonts w:cs="Arial"/>
          <w:lang w:val="fr-FR" w:eastAsia="ja-JP"/>
        </w:rPr>
      </w:pPr>
    </w:p>
    <w:p w:rsidR="00C72A57" w:rsidRPr="00F72E16" w:rsidRDefault="005748F4" w:rsidP="00EA7691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  <w:r w:rsidRPr="00F72E16">
        <w:rPr>
          <w:lang w:val="fr-FR"/>
        </w:rPr>
        <w:tab/>
        <w:t>v)</w:t>
      </w:r>
      <w:r w:rsidR="006C418D" w:rsidRPr="00F72E16">
        <w:rPr>
          <w:lang w:val="fr-FR"/>
        </w:rPr>
        <w:tab/>
      </w:r>
      <w:r w:rsidR="00E43D9F" w:rsidRPr="00F72E16">
        <w:rPr>
          <w:lang w:val="fr-FR"/>
        </w:rPr>
        <w:t>à étudier la possibilité de fonder le débat sur les techniques moléculaires sur un exposé des temps forts de la quatorzième</w:t>
      </w:r>
      <w:r w:rsidR="00DE6D2B" w:rsidRPr="00F72E16">
        <w:rPr>
          <w:lang w:val="fr-FR"/>
        </w:rPr>
        <w:t> </w:t>
      </w:r>
      <w:r w:rsidR="00E43D9F" w:rsidRPr="00F72E16">
        <w:rPr>
          <w:lang w:val="fr-FR"/>
        </w:rPr>
        <w:t>session</w:t>
      </w:r>
      <w:r w:rsidR="00C72A57" w:rsidRPr="00F72E16">
        <w:rPr>
          <w:lang w:val="fr-FR"/>
        </w:rPr>
        <w:t xml:space="preserve"> du BMT</w:t>
      </w:r>
      <w:r w:rsidR="00E43D9F" w:rsidRPr="00F72E16">
        <w:rPr>
          <w:lang w:val="fr-FR"/>
        </w:rPr>
        <w:t xml:space="preserve"> tenue à Séoul (République de Corée) du 10 au 1</w:t>
      </w:r>
      <w:r w:rsidR="00C72A57" w:rsidRPr="00F72E16">
        <w:rPr>
          <w:lang w:val="fr-FR"/>
        </w:rPr>
        <w:t>3 novembre 20</w:t>
      </w:r>
      <w:r w:rsidR="00E43D9F" w:rsidRPr="00F72E16">
        <w:rPr>
          <w:lang w:val="fr-FR"/>
        </w:rPr>
        <w:t>14, ainsi que sur l</w:t>
      </w:r>
      <w:r w:rsidR="00DE0253" w:rsidRPr="00F72E16">
        <w:rPr>
          <w:lang w:val="fr-FR"/>
        </w:rPr>
        <w:t>’</w:t>
      </w:r>
      <w:r w:rsidR="00E43D9F" w:rsidRPr="00F72E16">
        <w:rPr>
          <w:snapToGrid w:val="0"/>
          <w:lang w:val="fr-FR"/>
        </w:rPr>
        <w:t>Atelier conjoint de l</w:t>
      </w:r>
      <w:r w:rsidR="00DE0253" w:rsidRPr="00F72E16">
        <w:rPr>
          <w:snapToGrid w:val="0"/>
          <w:lang w:val="fr-FR"/>
        </w:rPr>
        <w:t>’</w:t>
      </w:r>
      <w:r w:rsidR="00E43D9F" w:rsidRPr="00F72E16">
        <w:rPr>
          <w:snapToGrid w:val="0"/>
          <w:lang w:val="fr-FR"/>
        </w:rPr>
        <w:t>OCDE, de l</w:t>
      </w:r>
      <w:r w:rsidR="00DE0253" w:rsidRPr="00F72E16">
        <w:rPr>
          <w:snapToGrid w:val="0"/>
          <w:lang w:val="fr-FR"/>
        </w:rPr>
        <w:t>’</w:t>
      </w:r>
      <w:r w:rsidR="00E43D9F" w:rsidRPr="00F72E16">
        <w:rPr>
          <w:snapToGrid w:val="0"/>
          <w:lang w:val="fr-FR"/>
        </w:rPr>
        <w:t>UPOV et de l</w:t>
      </w:r>
      <w:r w:rsidR="00DE0253" w:rsidRPr="00F72E16">
        <w:rPr>
          <w:snapToGrid w:val="0"/>
          <w:lang w:val="fr-FR"/>
        </w:rPr>
        <w:t>’</w:t>
      </w:r>
      <w:r w:rsidR="00E43D9F" w:rsidRPr="00F72E16">
        <w:rPr>
          <w:snapToGrid w:val="0"/>
          <w:lang w:val="fr-FR"/>
        </w:rPr>
        <w:t>ISTA sur les techniques moléculaires</w:t>
      </w:r>
      <w:r w:rsidR="00E43D9F" w:rsidRPr="00F72E16">
        <w:rPr>
          <w:lang w:val="fr-FR"/>
        </w:rPr>
        <w:t xml:space="preserve"> tenu à Séoul (République de Corée) le 1</w:t>
      </w:r>
      <w:r w:rsidR="00C72A57" w:rsidRPr="00F72E16">
        <w:rPr>
          <w:lang w:val="fr-FR"/>
        </w:rPr>
        <w:t>2 novembre 20</w:t>
      </w:r>
      <w:r w:rsidR="00E43D9F" w:rsidRPr="00F72E16">
        <w:rPr>
          <w:lang w:val="fr-FR"/>
        </w:rPr>
        <w:t>14;</w:t>
      </w:r>
      <w:r w:rsidR="00231AAC" w:rsidRPr="00F72E16">
        <w:rPr>
          <w:lang w:val="fr-FR"/>
        </w:rPr>
        <w:t xml:space="preserve">  et</w:t>
      </w:r>
    </w:p>
    <w:p w:rsidR="00DF61EE" w:rsidRPr="00F72E16" w:rsidRDefault="00DF61EE" w:rsidP="00EA7691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</w:p>
    <w:p w:rsidR="00DF61EE" w:rsidRPr="00F72E16" w:rsidRDefault="005748F4" w:rsidP="00EA7691">
      <w:pPr>
        <w:pStyle w:val="DecisionParagraphs"/>
        <w:tabs>
          <w:tab w:val="clear" w:pos="5387"/>
          <w:tab w:val="left" w:pos="5954"/>
        </w:tabs>
        <w:ind w:firstLine="567"/>
        <w:rPr>
          <w:lang w:val="fr-FR"/>
        </w:rPr>
      </w:pPr>
      <w:r w:rsidRPr="00F72E16">
        <w:rPr>
          <w:lang w:val="fr-FR"/>
        </w:rPr>
        <w:tab/>
        <w:t>vi</w:t>
      </w:r>
      <w:r w:rsidR="006C418D" w:rsidRPr="00F72E16">
        <w:rPr>
          <w:lang w:val="fr-FR"/>
        </w:rPr>
        <w:t>)</w:t>
      </w:r>
      <w:r w:rsidR="006C418D" w:rsidRPr="00F72E16">
        <w:rPr>
          <w:lang w:val="fr-FR"/>
        </w:rPr>
        <w:tab/>
      </w:r>
      <w:r w:rsidR="00B27354" w:rsidRPr="00F72E16">
        <w:rPr>
          <w:lang w:val="fr-FR"/>
        </w:rPr>
        <w:t xml:space="preserve">à élaborer un </w:t>
      </w:r>
      <w:r w:rsidR="00B27354" w:rsidRPr="00F72E16">
        <w:rPr>
          <w:snapToGrid w:val="0"/>
          <w:lang w:val="fr-FR"/>
        </w:rPr>
        <w:t>projet de questions et réponses concernant la diffusion d</w:t>
      </w:r>
      <w:r w:rsidR="00DE0253" w:rsidRPr="00F72E16">
        <w:rPr>
          <w:snapToGrid w:val="0"/>
          <w:lang w:val="fr-FR"/>
        </w:rPr>
        <w:t>’</w:t>
      </w:r>
      <w:r w:rsidR="00B27354" w:rsidRPr="00F72E16">
        <w:rPr>
          <w:snapToGrid w:val="0"/>
          <w:lang w:val="fr-FR"/>
        </w:rPr>
        <w:t xml:space="preserve">informations à un large public, </w:t>
      </w:r>
      <w:r w:rsidR="00DE0253" w:rsidRPr="00F72E16">
        <w:rPr>
          <w:snapToGrid w:val="0"/>
          <w:lang w:val="fr-FR"/>
        </w:rPr>
        <w:t>y compris</w:t>
      </w:r>
      <w:r w:rsidR="00B27354" w:rsidRPr="00F72E16">
        <w:rPr>
          <w:snapToGrid w:val="0"/>
          <w:lang w:val="fr-FR"/>
        </w:rPr>
        <w:t xml:space="preserve"> le public en général, sur la situation à l</w:t>
      </w:r>
      <w:r w:rsidR="00DE0253" w:rsidRPr="00F72E16">
        <w:rPr>
          <w:snapToGrid w:val="0"/>
          <w:lang w:val="fr-FR"/>
        </w:rPr>
        <w:t>’</w:t>
      </w:r>
      <w:r w:rsidR="00B27354" w:rsidRPr="00F72E16">
        <w:rPr>
          <w:snapToGrid w:val="0"/>
          <w:lang w:val="fr-FR"/>
        </w:rPr>
        <w:t>UPOV concernant l</w:t>
      </w:r>
      <w:r w:rsidR="00DE0253" w:rsidRPr="00F72E16">
        <w:rPr>
          <w:snapToGrid w:val="0"/>
          <w:lang w:val="fr-FR"/>
        </w:rPr>
        <w:t>’</w:t>
      </w:r>
      <w:r w:rsidR="00B27354" w:rsidRPr="00F72E16">
        <w:rPr>
          <w:snapToGrid w:val="0"/>
          <w:lang w:val="fr-FR"/>
        </w:rPr>
        <w:t>utilisation de techniques moléculaires</w:t>
      </w:r>
      <w:r w:rsidR="00F617CC" w:rsidRPr="00F72E16">
        <w:rPr>
          <w:lang w:val="fr-FR"/>
        </w:rPr>
        <w:t>.</w:t>
      </w:r>
    </w:p>
    <w:p w:rsidR="00DF61EE" w:rsidRPr="00F72E16" w:rsidRDefault="00DF61EE" w:rsidP="008651D1">
      <w:pPr>
        <w:pStyle w:val="DecisionInvitingPara"/>
        <w:ind w:left="0"/>
        <w:jc w:val="left"/>
        <w:rPr>
          <w:rFonts w:eastAsiaTheme="minorEastAsia"/>
          <w:i w:val="0"/>
          <w:lang w:val="fr-FR" w:eastAsia="ja-JP"/>
        </w:rPr>
      </w:pPr>
    </w:p>
    <w:p w:rsidR="00DF61EE" w:rsidRPr="00F72E16" w:rsidRDefault="0033342F" w:rsidP="008651D1">
      <w:pPr>
        <w:pStyle w:val="endofdoc"/>
        <w:rPr>
          <w:rFonts w:cs="Arial"/>
          <w:lang w:val="fr-FR"/>
        </w:rPr>
      </w:pPr>
      <w:r w:rsidRPr="00F72E16">
        <w:rPr>
          <w:rFonts w:cs="Arial"/>
          <w:lang w:val="fr-FR"/>
        </w:rPr>
        <w:t>[Les annexes suivent]</w:t>
      </w:r>
    </w:p>
    <w:p w:rsidR="00DF61EE" w:rsidRPr="00F72E16" w:rsidRDefault="00DF61EE" w:rsidP="008651D1">
      <w:pPr>
        <w:pStyle w:val="Header"/>
      </w:pPr>
    </w:p>
    <w:p w:rsidR="00182CF6" w:rsidRPr="00F72E16" w:rsidRDefault="00182CF6" w:rsidP="008651D1">
      <w:pPr>
        <w:pStyle w:val="Header"/>
        <w:jc w:val="left"/>
        <w:sectPr w:rsidR="00182CF6" w:rsidRPr="00F72E16" w:rsidSect="00E71894">
          <w:headerReference w:type="default" r:id="rId1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F61EE" w:rsidRPr="00F72E16" w:rsidRDefault="00DF61EE" w:rsidP="008651D1">
      <w:pPr>
        <w:pStyle w:val="Header"/>
        <w:jc w:val="left"/>
      </w:pPr>
    </w:p>
    <w:p w:rsidR="00DF61EE" w:rsidRPr="00F72E16" w:rsidRDefault="0033342F" w:rsidP="008651D1">
      <w:pPr>
        <w:spacing w:before="60" w:after="120"/>
        <w:jc w:val="center"/>
        <w:rPr>
          <w:lang w:val="fr-FR"/>
        </w:rPr>
      </w:pPr>
      <w:r w:rsidRPr="00F72E16">
        <w:rPr>
          <w:lang w:val="fr-FR"/>
        </w:rPr>
        <w:t>MANDAT DU GROUPE DE TRAVAIL SUR LES TECHNIQUES BIOCHIMIQUES ET MOLÉCULAIRES, NOTAMMENT LES PROFILS D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ADN (BMT)</w:t>
      </w:r>
    </w:p>
    <w:p w:rsidR="00DF61EE" w:rsidRPr="00F72E16" w:rsidRDefault="0033342F" w:rsidP="008651D1">
      <w:pPr>
        <w:spacing w:before="60" w:after="120"/>
        <w:jc w:val="center"/>
        <w:rPr>
          <w:i/>
          <w:lang w:val="fr-FR"/>
        </w:rPr>
      </w:pPr>
      <w:r w:rsidRPr="00F72E16">
        <w:rPr>
          <w:i/>
          <w:lang w:val="fr-FR"/>
        </w:rPr>
        <w:t>(tel qu</w:t>
      </w:r>
      <w:r w:rsidR="00DE0253" w:rsidRPr="00F72E16">
        <w:rPr>
          <w:i/>
          <w:lang w:val="fr-FR"/>
        </w:rPr>
        <w:t>’</w:t>
      </w:r>
      <w:r w:rsidRPr="00F72E16">
        <w:rPr>
          <w:i/>
          <w:lang w:val="fr-FR"/>
        </w:rPr>
        <w:t>il a été défini par le Comité technique à sa trente</w:t>
      </w:r>
      <w:r w:rsidR="003F4060">
        <w:rPr>
          <w:lang w:val="fr-FR"/>
        </w:rPr>
        <w:noBreakHyphen/>
      </w:r>
      <w:r w:rsidRPr="00F72E16">
        <w:rPr>
          <w:i/>
          <w:lang w:val="fr-FR"/>
        </w:rPr>
        <w:t>huitième</w:t>
      </w:r>
      <w:r w:rsidR="00DE6D2B" w:rsidRPr="00F72E16">
        <w:rPr>
          <w:i/>
          <w:lang w:val="fr-FR"/>
        </w:rPr>
        <w:t> </w:t>
      </w:r>
      <w:r w:rsidR="00231AAC" w:rsidRPr="00F72E16">
        <w:rPr>
          <w:i/>
          <w:lang w:val="fr-FR"/>
        </w:rPr>
        <w:t>session</w:t>
      </w:r>
      <w:r w:rsidRPr="00F72E16">
        <w:rPr>
          <w:i/>
          <w:lang w:val="fr-FR"/>
        </w:rPr>
        <w:t xml:space="preserve"> </w:t>
      </w:r>
      <w:r w:rsidR="005F3831" w:rsidRPr="00F72E16">
        <w:rPr>
          <w:i/>
          <w:lang w:val="fr-FR"/>
        </w:rPr>
        <w:br/>
      </w:r>
      <w:r w:rsidRPr="00F72E16">
        <w:rPr>
          <w:i/>
          <w:lang w:val="fr-FR"/>
        </w:rPr>
        <w:t>tenue à Genève</w:t>
      </w:r>
      <w:r w:rsidR="005F3831" w:rsidRPr="00F72E16">
        <w:rPr>
          <w:i/>
          <w:lang w:val="fr-FR"/>
        </w:rPr>
        <w:t xml:space="preserve"> </w:t>
      </w:r>
      <w:r w:rsidRPr="00F72E16">
        <w:rPr>
          <w:i/>
          <w:lang w:val="fr-FR"/>
        </w:rPr>
        <w:t xml:space="preserve">du 15 au 17 avril 2002 (voir le paragraphe 204 du </w:t>
      </w:r>
      <w:r w:rsidR="00DE0253" w:rsidRPr="00F72E16">
        <w:rPr>
          <w:i/>
          <w:lang w:val="fr-FR"/>
        </w:rPr>
        <w:t>document TC</w:t>
      </w:r>
      <w:r w:rsidRPr="00F72E16">
        <w:rPr>
          <w:i/>
          <w:lang w:val="fr-FR"/>
        </w:rPr>
        <w:t>/38/16))</w:t>
      </w:r>
    </w:p>
    <w:p w:rsidR="00DF61EE" w:rsidRPr="00F72E16" w:rsidRDefault="00DF61EE" w:rsidP="008651D1">
      <w:pPr>
        <w:spacing w:before="60" w:after="60"/>
        <w:rPr>
          <w:lang w:val="fr-FR"/>
        </w:rPr>
      </w:pPr>
    </w:p>
    <w:p w:rsidR="00DF61EE" w:rsidRPr="00F72E16" w:rsidRDefault="00B33D4E" w:rsidP="008651D1">
      <w:pPr>
        <w:spacing w:before="60" w:after="60"/>
        <w:rPr>
          <w:lang w:val="fr-FR"/>
        </w:rPr>
      </w:pPr>
      <w:r w:rsidRPr="00F72E16">
        <w:rPr>
          <w:lang w:val="fr-FR"/>
        </w:rPr>
        <w:t xml:space="preserve">Le BMT est un groupe ouvert aux experts </w:t>
      </w:r>
      <w:r w:rsidR="007C0A7D" w:rsidRPr="00F72E16">
        <w:rPr>
          <w:lang w:val="fr-FR"/>
        </w:rPr>
        <w:t>de l</w:t>
      </w:r>
      <w:r w:rsidR="00DE0253" w:rsidRPr="00F72E16">
        <w:rPr>
          <w:lang w:val="fr-FR"/>
        </w:rPr>
        <w:t>’</w:t>
      </w:r>
      <w:r w:rsidR="007C0A7D" w:rsidRPr="00F72E16">
        <w:rPr>
          <w:lang w:val="fr-FR"/>
        </w:rPr>
        <w:t>examen</w:t>
      </w:r>
      <w:r w:rsidRPr="00F72E16">
        <w:rPr>
          <w:lang w:val="fr-FR"/>
        </w:rPr>
        <w:t xml:space="preserve"> DHS, aux spécialistes </w:t>
      </w:r>
      <w:r w:rsidR="007C0A7D" w:rsidRPr="00F72E16">
        <w:rPr>
          <w:lang w:val="fr-FR"/>
        </w:rPr>
        <w:t>en</w:t>
      </w:r>
      <w:r w:rsidRPr="00F72E16">
        <w:rPr>
          <w:lang w:val="fr-FR"/>
        </w:rPr>
        <w:t xml:space="preserve"> techniques biochimiques et moléculaires et aux obtenteurs, dont le rôle </w:t>
      </w:r>
      <w:r w:rsidR="007C0A7D" w:rsidRPr="00F72E16">
        <w:rPr>
          <w:lang w:val="fr-FR"/>
        </w:rPr>
        <w:t>consiste</w:t>
      </w:r>
      <w:r w:rsidR="005F3831" w:rsidRPr="00F72E16">
        <w:rPr>
          <w:lang w:val="fr-FR"/>
        </w:rPr>
        <w:t> :</w:t>
      </w:r>
    </w:p>
    <w:p w:rsidR="00DF61EE" w:rsidRPr="00F72E16" w:rsidRDefault="00DF61EE" w:rsidP="008651D1">
      <w:pPr>
        <w:spacing w:before="60" w:after="60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>à suivre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 xml:space="preserve">évolution générale des </w:t>
      </w:r>
      <w:r w:rsidR="00B33D4E" w:rsidRPr="00F72E16">
        <w:rPr>
          <w:lang w:val="fr-FR"/>
        </w:rPr>
        <w:t>techniques biochimiques et moléculaires;</w:t>
      </w:r>
    </w:p>
    <w:p w:rsidR="00DF61EE" w:rsidRPr="00F72E16" w:rsidRDefault="00DF61EE" w:rsidP="00CB1775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C72A57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 xml:space="preserve">à </w:t>
      </w:r>
      <w:r w:rsidR="00B33D4E" w:rsidRPr="00F72E16">
        <w:rPr>
          <w:lang w:val="fr-FR"/>
        </w:rPr>
        <w:t>se teni</w:t>
      </w:r>
      <w:r w:rsidRPr="00F72E16">
        <w:rPr>
          <w:lang w:val="fr-FR"/>
        </w:rPr>
        <w:t>r au courant des applications</w:t>
      </w:r>
      <w:r w:rsidR="00B33D4E" w:rsidRPr="00F72E16">
        <w:rPr>
          <w:lang w:val="fr-FR"/>
        </w:rPr>
        <w:t xml:space="preserve"> des techniques biochimiques et moléculaires </w:t>
      </w:r>
      <w:r w:rsidRPr="00F72E16">
        <w:rPr>
          <w:lang w:val="fr-FR"/>
        </w:rPr>
        <w:t xml:space="preserve">à </w:t>
      </w:r>
      <w:r w:rsidR="00B33D4E" w:rsidRPr="00F72E16">
        <w:rPr>
          <w:lang w:val="fr-FR"/>
        </w:rPr>
        <w:t>l</w:t>
      </w:r>
      <w:r w:rsidR="00DE0253" w:rsidRPr="00F72E16">
        <w:rPr>
          <w:lang w:val="fr-FR"/>
        </w:rPr>
        <w:t>’</w:t>
      </w:r>
      <w:r w:rsidR="00B33D4E" w:rsidRPr="00F72E16">
        <w:rPr>
          <w:lang w:val="fr-FR"/>
        </w:rPr>
        <w:t>amélioration des plantes;</w:t>
      </w:r>
    </w:p>
    <w:p w:rsidR="00DF61EE" w:rsidRPr="00F72E16" w:rsidRDefault="00DF61EE" w:rsidP="00CB1775">
      <w:pPr>
        <w:pStyle w:val="ListParagraph"/>
        <w:tabs>
          <w:tab w:val="left" w:pos="1134"/>
        </w:tabs>
        <w:ind w:left="1134" w:hanging="567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 xml:space="preserve">à </w:t>
      </w:r>
      <w:r w:rsidR="0023266C" w:rsidRPr="00F72E16">
        <w:rPr>
          <w:lang w:val="fr-FR"/>
        </w:rPr>
        <w:t xml:space="preserve">examiner </w:t>
      </w:r>
      <w:r w:rsidRPr="00F72E16">
        <w:rPr>
          <w:lang w:val="fr-FR"/>
        </w:rPr>
        <w:t>les possibilités d</w:t>
      </w:r>
      <w:r w:rsidR="00DE0253" w:rsidRPr="00F72E16">
        <w:rPr>
          <w:lang w:val="fr-FR"/>
        </w:rPr>
        <w:t>’</w:t>
      </w:r>
      <w:r w:rsidR="00B33D4E" w:rsidRPr="00F72E16">
        <w:rPr>
          <w:lang w:val="fr-FR"/>
        </w:rPr>
        <w:t>application de</w:t>
      </w:r>
      <w:r w:rsidRPr="00F72E16">
        <w:rPr>
          <w:lang w:val="fr-FR"/>
        </w:rPr>
        <w:t>s</w:t>
      </w:r>
      <w:r w:rsidR="00B33D4E" w:rsidRPr="00F72E16">
        <w:rPr>
          <w:lang w:val="fr-FR"/>
        </w:rPr>
        <w:t xml:space="preserve"> techniques biochimiques et moléculaires </w:t>
      </w:r>
      <w:r w:rsidRPr="00F72E16">
        <w:rPr>
          <w:lang w:val="fr-FR"/>
        </w:rPr>
        <w:t>à</w:t>
      </w:r>
      <w:r w:rsidR="00B33D4E" w:rsidRPr="00F72E16">
        <w:rPr>
          <w:lang w:val="fr-FR"/>
        </w:rPr>
        <w:t xml:space="preserve"> l</w:t>
      </w:r>
      <w:r w:rsidR="00DE0253" w:rsidRPr="00F72E16">
        <w:rPr>
          <w:lang w:val="fr-FR"/>
        </w:rPr>
        <w:t>’</w:t>
      </w:r>
      <w:r w:rsidR="00B33D4E" w:rsidRPr="00F72E16">
        <w:rPr>
          <w:lang w:val="fr-FR"/>
        </w:rPr>
        <w:t xml:space="preserve">examen DHS et </w:t>
      </w:r>
      <w:r w:rsidRPr="00F72E16">
        <w:rPr>
          <w:lang w:val="fr-FR"/>
        </w:rPr>
        <w:t>à</w:t>
      </w:r>
      <w:r w:rsidR="00B33D4E" w:rsidRPr="00F72E16">
        <w:rPr>
          <w:lang w:val="fr-FR"/>
        </w:rPr>
        <w:t xml:space="preserve"> rendre compte de ses réflexions au Comité technique;</w:t>
      </w:r>
    </w:p>
    <w:p w:rsidR="00DF61EE" w:rsidRPr="00F72E16" w:rsidRDefault="00DF61EE" w:rsidP="00CB1775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C72A57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>le cas échéant, à élaborer des directives relatives aux méthodes biochimiques et moléculaires et à leur harmonisation et, en particulier, à contribuer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 xml:space="preserve">élaboration du document </w:t>
      </w:r>
      <w:r w:rsidR="00954973" w:rsidRPr="00F72E16">
        <w:rPr>
          <w:lang w:val="fr-FR"/>
        </w:rPr>
        <w:t>TGP/15</w:t>
      </w:r>
      <w:r w:rsidRPr="00F72E16">
        <w:rPr>
          <w:lang w:val="fr-FR"/>
        </w:rPr>
        <w:t>, intitulé</w:t>
      </w:r>
      <w:r w:rsidR="00954973" w:rsidRPr="00F72E16">
        <w:rPr>
          <w:lang w:val="fr-FR"/>
        </w:rPr>
        <w:t xml:space="preserve"> “</w:t>
      </w:r>
      <w:r w:rsidRPr="00F72E16">
        <w:rPr>
          <w:lang w:val="fr-FR"/>
        </w:rPr>
        <w:t xml:space="preserve">Nouveaux types de caractères”. </w:t>
      </w:r>
      <w:r w:rsidR="00954973" w:rsidRPr="00F72E16">
        <w:rPr>
          <w:lang w:val="fr-FR"/>
        </w:rPr>
        <w:t xml:space="preserve"> </w:t>
      </w:r>
      <w:r w:rsidR="00B33D4E" w:rsidRPr="00F72E16">
        <w:rPr>
          <w:lang w:val="fr-FR"/>
        </w:rPr>
        <w:t xml:space="preserve">Ces directives doivent être élaborées </w:t>
      </w:r>
      <w:r w:rsidRPr="00F72E16">
        <w:rPr>
          <w:lang w:val="fr-FR"/>
        </w:rPr>
        <w:t>conjointement</w:t>
      </w:r>
      <w:r w:rsidR="00B33D4E" w:rsidRPr="00F72E16">
        <w:rPr>
          <w:lang w:val="fr-FR"/>
        </w:rPr>
        <w:t xml:space="preserve"> avec les groupes de travail techniques;</w:t>
      </w:r>
    </w:p>
    <w:p w:rsidR="00DF61EE" w:rsidRPr="00F72E16" w:rsidRDefault="00DF61EE" w:rsidP="00CB1775">
      <w:pPr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 xml:space="preserve">à </w:t>
      </w:r>
      <w:r w:rsidR="005F3831" w:rsidRPr="00F72E16">
        <w:rPr>
          <w:lang w:val="fr-FR"/>
        </w:rPr>
        <w:t>examiner les initiatives des groupes de travail techniques en ce qui concerne la création de sous</w:t>
      </w:r>
      <w:r w:rsidR="003F4060">
        <w:rPr>
          <w:lang w:val="fr-FR"/>
        </w:rPr>
        <w:noBreakHyphen/>
      </w:r>
      <w:r w:rsidR="005F3831" w:rsidRPr="00F72E16">
        <w:rPr>
          <w:lang w:val="fr-FR"/>
        </w:rPr>
        <w:t>groupes pour les plantes cultivées, en tenant compte des informations existantes et de la nécessité de disposer de méthodes biochimiques et moléculaires</w:t>
      </w:r>
      <w:r w:rsidR="00B33D4E" w:rsidRPr="00F72E16">
        <w:rPr>
          <w:lang w:val="fr-FR"/>
        </w:rPr>
        <w:t>;</w:t>
      </w:r>
    </w:p>
    <w:p w:rsidR="00DF61EE" w:rsidRPr="00F72E16" w:rsidRDefault="00DF61EE" w:rsidP="00CB1775">
      <w:pPr>
        <w:pStyle w:val="ListParagraph"/>
        <w:tabs>
          <w:tab w:val="left" w:pos="1134"/>
        </w:tabs>
        <w:ind w:left="1134" w:hanging="567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>à élaborer, conjointement avec</w:t>
      </w:r>
      <w:r w:rsidR="00C72A57" w:rsidRPr="00F72E16">
        <w:rPr>
          <w:lang w:val="fr-FR"/>
        </w:rPr>
        <w:t xml:space="preserve"> le TWC</w:t>
      </w:r>
      <w:r w:rsidRPr="00F72E16">
        <w:rPr>
          <w:lang w:val="fr-FR"/>
        </w:rPr>
        <w:t>, des directives relatives à la gestion et à 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harmonisation de bases de données biochimiques et moléculaires</w:t>
      </w:r>
      <w:r w:rsidR="00954973" w:rsidRPr="00F72E16">
        <w:rPr>
          <w:lang w:val="fr-FR"/>
        </w:rPr>
        <w:t>;</w:t>
      </w:r>
    </w:p>
    <w:p w:rsidR="00DF61EE" w:rsidRPr="00F72E16" w:rsidRDefault="00DF61EE" w:rsidP="00CB1775">
      <w:pPr>
        <w:pStyle w:val="ListParagraph"/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>à prendre connaissance</w:t>
      </w:r>
      <w:r w:rsidR="00B33D4E" w:rsidRPr="00F72E16">
        <w:rPr>
          <w:lang w:val="fr-FR"/>
        </w:rPr>
        <w:t xml:space="preserve"> des rapports des sous</w:t>
      </w:r>
      <w:r w:rsidR="003F4060">
        <w:rPr>
          <w:lang w:val="fr-FR"/>
        </w:rPr>
        <w:noBreakHyphen/>
      </w:r>
      <w:r w:rsidR="00B33D4E" w:rsidRPr="00F72E16">
        <w:rPr>
          <w:lang w:val="fr-FR"/>
        </w:rPr>
        <w:t xml:space="preserve">groupes </w:t>
      </w:r>
      <w:r w:rsidRPr="00F72E16">
        <w:rPr>
          <w:lang w:val="fr-FR"/>
        </w:rPr>
        <w:t>pour</w:t>
      </w:r>
      <w:r w:rsidR="00B33D4E" w:rsidRPr="00F72E16">
        <w:rPr>
          <w:lang w:val="fr-FR"/>
        </w:rPr>
        <w:t xml:space="preserve"> les plantes cultivées et du </w:t>
      </w:r>
      <w:r w:rsidRPr="00F72E16">
        <w:rPr>
          <w:lang w:val="fr-FR"/>
        </w:rPr>
        <w:t>g</w:t>
      </w:r>
      <w:r w:rsidR="00B33D4E" w:rsidRPr="00F72E16">
        <w:rPr>
          <w:lang w:val="fr-FR"/>
        </w:rPr>
        <w:t>roupe de réflexion sur les travaux du BMT;</w:t>
      </w:r>
    </w:p>
    <w:p w:rsidR="00DF61EE" w:rsidRPr="00F72E16" w:rsidRDefault="00DF61EE" w:rsidP="00CB1775">
      <w:pPr>
        <w:tabs>
          <w:tab w:val="left" w:pos="1134"/>
        </w:tabs>
        <w:spacing w:before="60" w:after="60"/>
        <w:ind w:left="1134" w:hanging="567"/>
        <w:rPr>
          <w:lang w:val="fr-FR"/>
        </w:rPr>
      </w:pPr>
    </w:p>
    <w:p w:rsidR="00DF61EE" w:rsidRPr="00F72E16" w:rsidRDefault="007C0A7D" w:rsidP="00CB1775">
      <w:pPr>
        <w:pStyle w:val="ListParagraph"/>
        <w:numPr>
          <w:ilvl w:val="0"/>
          <w:numId w:val="2"/>
        </w:numPr>
        <w:tabs>
          <w:tab w:val="left" w:pos="1134"/>
        </w:tabs>
        <w:spacing w:before="60" w:after="60"/>
        <w:ind w:left="1134" w:hanging="567"/>
        <w:rPr>
          <w:lang w:val="fr-FR"/>
        </w:rPr>
      </w:pPr>
      <w:r w:rsidRPr="00F72E16">
        <w:rPr>
          <w:lang w:val="fr-FR"/>
        </w:rPr>
        <w:t xml:space="preserve">à </w:t>
      </w:r>
      <w:r w:rsidR="00B33D4E" w:rsidRPr="00F72E16">
        <w:rPr>
          <w:lang w:val="fr-FR"/>
        </w:rPr>
        <w:t>servir de cadre à des discussions sur l</w:t>
      </w:r>
      <w:r w:rsidR="00DE0253" w:rsidRPr="00F72E16">
        <w:rPr>
          <w:lang w:val="fr-FR"/>
        </w:rPr>
        <w:t>’</w:t>
      </w:r>
      <w:r w:rsidR="00B33D4E" w:rsidRPr="00F72E16">
        <w:rPr>
          <w:lang w:val="fr-FR"/>
        </w:rPr>
        <w:t>utilisation des techniques biochimiques et moléculaires en ce qui concerne les notions de variété essentiellement dérivée et d</w:t>
      </w:r>
      <w:r w:rsidR="00DE0253" w:rsidRPr="00F72E16">
        <w:rPr>
          <w:lang w:val="fr-FR"/>
        </w:rPr>
        <w:t>’</w:t>
      </w:r>
      <w:r w:rsidR="00B33D4E" w:rsidRPr="00F72E16">
        <w:rPr>
          <w:lang w:val="fr-FR"/>
        </w:rPr>
        <w:t xml:space="preserve">identification </w:t>
      </w:r>
      <w:r w:rsidR="00231AAC" w:rsidRPr="00F72E16">
        <w:rPr>
          <w:lang w:val="fr-FR"/>
        </w:rPr>
        <w:t>des variétés.</w:t>
      </w:r>
    </w:p>
    <w:p w:rsidR="00DF61EE" w:rsidRPr="00F72E16" w:rsidRDefault="00DF61EE" w:rsidP="008651D1">
      <w:pPr>
        <w:rPr>
          <w:lang w:val="fr-FR"/>
        </w:rPr>
      </w:pPr>
    </w:p>
    <w:p w:rsidR="00DF61EE" w:rsidRPr="00F72E16" w:rsidRDefault="00DF61EE" w:rsidP="008651D1">
      <w:pPr>
        <w:ind w:right="-1"/>
        <w:rPr>
          <w:lang w:val="fr-FR"/>
        </w:rPr>
      </w:pPr>
    </w:p>
    <w:p w:rsidR="00DF61EE" w:rsidRPr="00F72E16" w:rsidRDefault="00DF61EE" w:rsidP="008651D1">
      <w:pPr>
        <w:ind w:right="-1"/>
        <w:rPr>
          <w:lang w:val="fr-FR"/>
        </w:rPr>
      </w:pPr>
    </w:p>
    <w:p w:rsidR="00DF61EE" w:rsidRPr="00F72E16" w:rsidRDefault="00B33D4E" w:rsidP="008651D1">
      <w:pPr>
        <w:ind w:right="369"/>
        <w:jc w:val="right"/>
        <w:rPr>
          <w:lang w:val="fr-FR"/>
        </w:rPr>
      </w:pPr>
      <w:r w:rsidRPr="00F72E16">
        <w:rPr>
          <w:lang w:val="fr-FR"/>
        </w:rPr>
        <w:t>[L</w:t>
      </w:r>
      <w:r w:rsidR="00DE0253" w:rsidRPr="00F72E16">
        <w:rPr>
          <w:lang w:val="fr-FR"/>
        </w:rPr>
        <w:t>’</w:t>
      </w:r>
      <w:r w:rsidRPr="00F72E16">
        <w:rPr>
          <w:lang w:val="fr-FR"/>
        </w:rPr>
        <w:t>annexe</w:t>
      </w:r>
      <w:r w:rsidR="00DE6D2B" w:rsidRPr="00F72E16">
        <w:rPr>
          <w:lang w:val="fr-FR"/>
        </w:rPr>
        <w:t> </w:t>
      </w:r>
      <w:r w:rsidRPr="00F72E16">
        <w:rPr>
          <w:lang w:val="fr-FR"/>
        </w:rPr>
        <w:t>II suit]</w:t>
      </w:r>
    </w:p>
    <w:p w:rsidR="0088336D" w:rsidRPr="00F72E16" w:rsidRDefault="0088336D" w:rsidP="008651D1">
      <w:pPr>
        <w:ind w:right="369"/>
        <w:jc w:val="right"/>
        <w:rPr>
          <w:lang w:val="fr-FR"/>
        </w:rPr>
        <w:sectPr w:rsidR="0088336D" w:rsidRPr="00F72E16" w:rsidSect="003423DF">
          <w:headerReference w:type="first" r:id="rId19"/>
          <w:footerReference w:type="first" r:id="rId20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A929F5" w:rsidP="008651D1">
      <w:pPr>
        <w:jc w:val="center"/>
        <w:rPr>
          <w:lang w:val="fr-FR" w:eastAsia="ja-JP"/>
        </w:rPr>
      </w:pPr>
      <w:r w:rsidRPr="00F72E16">
        <w:rPr>
          <w:lang w:val="fr-FR" w:eastAsia="ja-JP"/>
        </w:rPr>
        <w:t>DÉBAT SUR LES TECHNIQUES MOLÉCULAIRES</w:t>
      </w:r>
      <w:r w:rsidR="0088336D" w:rsidRPr="00F72E16">
        <w:rPr>
          <w:lang w:val="fr-FR" w:eastAsia="ja-JP"/>
        </w:rPr>
        <w:t xml:space="preserve"> </w:t>
      </w:r>
      <w:r w:rsidR="00891326" w:rsidRPr="00F72E16">
        <w:rPr>
          <w:lang w:val="fr-FR" w:eastAsia="ja-JP"/>
        </w:rPr>
        <w:br/>
      </w:r>
      <w:r w:rsidR="00CB1775">
        <w:rPr>
          <w:lang w:val="fr-FR" w:eastAsia="ja-JP"/>
        </w:rPr>
        <w:t>À LA CINQUAN</w:t>
      </w:r>
      <w:r w:rsidR="00390477">
        <w:rPr>
          <w:lang w:val="fr-FR" w:eastAsia="ja-JP"/>
        </w:rPr>
        <w:t>TE-ET-UN</w:t>
      </w:r>
      <w:r w:rsidR="00ED27F3">
        <w:rPr>
          <w:lang w:val="fr-FR" w:eastAsia="ja-JP"/>
        </w:rPr>
        <w:t xml:space="preserve">IÈME </w:t>
      </w:r>
      <w:r w:rsidRPr="00F72E16">
        <w:rPr>
          <w:lang w:val="fr-FR" w:eastAsia="ja-JP"/>
        </w:rPr>
        <w:t>SESSION DU COMITÉ TECHNIQUE</w:t>
      </w:r>
      <w:r w:rsidR="00891326" w:rsidRPr="00F72E16">
        <w:rPr>
          <w:lang w:val="fr-FR" w:eastAsia="ja-JP"/>
        </w:rPr>
        <w:t xml:space="preserve"> (</w:t>
      </w:r>
      <w:r w:rsidR="00730C79">
        <w:rPr>
          <w:lang w:val="fr-FR" w:eastAsia="ja-JP"/>
        </w:rPr>
        <w:t>24 </w:t>
      </w:r>
      <w:r w:rsidRPr="00F72E16">
        <w:rPr>
          <w:lang w:val="fr-FR" w:eastAsia="ja-JP"/>
        </w:rPr>
        <w:t>MARS</w:t>
      </w:r>
      <w:r w:rsidR="00891326" w:rsidRPr="00F72E16">
        <w:rPr>
          <w:lang w:val="fr-FR" w:eastAsia="ja-JP"/>
        </w:rPr>
        <w:t>)</w:t>
      </w:r>
    </w:p>
    <w:p w:rsidR="00DF61EE" w:rsidRPr="00F72E16" w:rsidRDefault="00DF61EE" w:rsidP="008651D1">
      <w:pPr>
        <w:jc w:val="center"/>
        <w:rPr>
          <w:lang w:val="fr-FR" w:eastAsia="ja-JP"/>
        </w:rPr>
      </w:pPr>
    </w:p>
    <w:p w:rsidR="00DF61EE" w:rsidRPr="00F72E16" w:rsidRDefault="0023266C" w:rsidP="008651D1">
      <w:pPr>
        <w:jc w:val="center"/>
        <w:rPr>
          <w:lang w:val="fr-FR"/>
        </w:rPr>
      </w:pPr>
      <w:r w:rsidRPr="00F72E16">
        <w:rPr>
          <w:lang w:val="fr-FR"/>
        </w:rPr>
        <w:t>PROJET DE PROGRAMME</w:t>
      </w: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A929F5" w:rsidP="008651D1">
      <w:pPr>
        <w:ind w:right="369"/>
        <w:jc w:val="left"/>
        <w:rPr>
          <w:u w:val="single"/>
          <w:lang w:val="fr-FR"/>
        </w:rPr>
      </w:pPr>
      <w:r w:rsidRPr="00F72E16">
        <w:rPr>
          <w:u w:val="single"/>
          <w:lang w:val="fr-FR"/>
        </w:rPr>
        <w:t>Temps forts de la quatorzième</w:t>
      </w:r>
      <w:r w:rsidR="00DE6D2B" w:rsidRPr="00F72E16">
        <w:rPr>
          <w:u w:val="single"/>
          <w:lang w:val="fr-FR"/>
        </w:rPr>
        <w:t> </w:t>
      </w:r>
      <w:r w:rsidRPr="00F72E16">
        <w:rPr>
          <w:u w:val="single"/>
          <w:lang w:val="fr-FR"/>
        </w:rPr>
        <w:t>session</w:t>
      </w:r>
      <w:r w:rsidR="00C72A57" w:rsidRPr="00F72E16">
        <w:rPr>
          <w:u w:val="single"/>
          <w:lang w:val="fr-FR"/>
        </w:rPr>
        <w:t xml:space="preserve"> du BMT</w:t>
      </w: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11 h 15</w:t>
      </w:r>
      <w:r w:rsidR="00817E85" w:rsidRPr="00F72E16">
        <w:rPr>
          <w:lang w:val="fr-FR"/>
        </w:rPr>
        <w:tab/>
      </w:r>
      <w:r w:rsidR="00122FA7" w:rsidRPr="00F72E16">
        <w:rPr>
          <w:lang w:val="fr-FR"/>
        </w:rPr>
        <w:t>Comptes rendus des faits nouveaux survenus au sein de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UPOV et concernant les techniques biochimiques et moléculaires (Bureau de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Union, voir</w:t>
      </w:r>
      <w:r w:rsidR="00CB1775">
        <w:rPr>
          <w:lang w:val="fr-FR"/>
        </w:rPr>
        <w:t xml:space="preserve"> également le document BMT/14/2 </w:t>
      </w:r>
      <w:r w:rsidR="00122FA7" w:rsidRPr="00F72E16">
        <w:rPr>
          <w:lang w:val="fr-FR"/>
        </w:rPr>
        <w:t>Rev</w:t>
      </w:r>
      <w:r w:rsidR="00CB1775">
        <w:rPr>
          <w:lang w:val="fr-FR"/>
        </w:rPr>
        <w:t>.</w:t>
      </w:r>
      <w:r w:rsidR="00122FA7" w:rsidRPr="00F72E16">
        <w:rPr>
          <w:lang w:val="fr-FR"/>
        </w:rPr>
        <w:t>2)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11 h 30</w:t>
      </w:r>
      <w:r w:rsidR="001175FD" w:rsidRPr="00F72E16">
        <w:rPr>
          <w:lang w:val="fr-FR"/>
        </w:rPr>
        <w:tab/>
      </w:r>
      <w:r w:rsidR="00122FA7" w:rsidRPr="00F72E16">
        <w:rPr>
          <w:lang w:val="fr-FR"/>
        </w:rPr>
        <w:t>Utilisation de techniques faisant intervenir des marqueurs moléculaires aux fins de la sélection d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 xml:space="preserve">une </w:t>
      </w:r>
      <w:r w:rsidR="00231AAC" w:rsidRPr="00F72E16">
        <w:rPr>
          <w:lang w:val="fr-FR"/>
        </w:rPr>
        <w:t>“</w:t>
      </w:r>
      <w:r w:rsidR="00122FA7" w:rsidRPr="00F72E16">
        <w:rPr>
          <w:lang w:val="fr-FR"/>
        </w:rPr>
        <w:t>variété voisine</w:t>
      </w:r>
      <w:r w:rsidR="00231AAC" w:rsidRPr="00F72E16">
        <w:rPr>
          <w:lang w:val="fr-FR"/>
        </w:rPr>
        <w:t>”</w:t>
      </w:r>
      <w:r w:rsidR="00122FA7" w:rsidRPr="00F72E16">
        <w:rPr>
          <w:lang w:val="fr-FR"/>
        </w:rPr>
        <w:t xml:space="preserve"> d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 xml:space="preserve">une </w:t>
      </w:r>
      <w:r w:rsidR="00231AAC" w:rsidRPr="00F72E16">
        <w:rPr>
          <w:rFonts w:cs="Arial"/>
          <w:lang w:val="fr-FR"/>
        </w:rPr>
        <w:t>“</w:t>
      </w:r>
      <w:r w:rsidR="00122FA7" w:rsidRPr="00F72E16">
        <w:rPr>
          <w:lang w:val="fr-FR"/>
        </w:rPr>
        <w:t>variété candidate</w:t>
      </w:r>
      <w:r w:rsidR="00231AAC" w:rsidRPr="00F72E16">
        <w:rPr>
          <w:lang w:val="fr-FR"/>
        </w:rPr>
        <w:t>”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rFonts w:cs="Arial"/>
          <w:lang w:val="fr-FR"/>
        </w:rPr>
      </w:pPr>
      <w:r>
        <w:rPr>
          <w:lang w:val="fr-FR"/>
        </w:rPr>
        <w:t>12 h</w:t>
      </w:r>
      <w:r w:rsidR="00817E85" w:rsidRPr="00F72E16">
        <w:rPr>
          <w:lang w:val="fr-FR"/>
        </w:rPr>
        <w:tab/>
      </w:r>
      <w:r w:rsidR="00231AAC" w:rsidRPr="00F72E16">
        <w:rPr>
          <w:lang w:val="fr-FR"/>
        </w:rPr>
        <w:t>Utilisation</w:t>
      </w:r>
      <w:r w:rsidR="00122FA7" w:rsidRPr="00F72E16">
        <w:rPr>
          <w:lang w:val="fr-FR"/>
        </w:rPr>
        <w:t xml:space="preserve"> de variétés de référence pour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examen de la distinction de variétés</w:t>
      </w:r>
      <w:r w:rsidR="00DE6D2B" w:rsidRPr="00F72E16">
        <w:rPr>
          <w:lang w:val="fr-FR"/>
        </w:rPr>
        <w:t> </w:t>
      </w:r>
      <w:r w:rsidR="00122FA7" w:rsidRPr="00F72E16">
        <w:rPr>
          <w:lang w:val="fr-FR"/>
        </w:rPr>
        <w:t>: méthode étudiée aux États</w:t>
      </w:r>
      <w:r w:rsidR="003F4060">
        <w:rPr>
          <w:lang w:val="fr-FR"/>
        </w:rPr>
        <w:noBreakHyphen/>
      </w:r>
      <w:r w:rsidR="00122FA7" w:rsidRPr="00F72E16">
        <w:rPr>
          <w:lang w:val="fr-FR"/>
        </w:rPr>
        <w:t>Unis d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Amérique potentiellement applicable à la protection des obtentions végétales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i/>
          <w:lang w:val="fr-FR"/>
        </w:rPr>
      </w:pPr>
      <w:r>
        <w:rPr>
          <w:i/>
          <w:lang w:val="fr-FR"/>
        </w:rPr>
        <w:t>12 h 30</w:t>
      </w:r>
      <w:r w:rsidR="006635A8" w:rsidRPr="00F72E16">
        <w:rPr>
          <w:i/>
          <w:lang w:val="fr-FR"/>
        </w:rPr>
        <w:tab/>
      </w:r>
      <w:r w:rsidR="00A929F5" w:rsidRPr="00F72E16">
        <w:rPr>
          <w:i/>
          <w:lang w:val="fr-FR"/>
        </w:rPr>
        <w:t>Pause déjeuner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14 h 30</w:t>
      </w:r>
      <w:r w:rsidR="00817E85" w:rsidRPr="00F72E16">
        <w:rPr>
          <w:lang w:val="fr-FR"/>
        </w:rPr>
        <w:tab/>
      </w:r>
      <w:r w:rsidR="00122FA7" w:rsidRPr="00F72E16">
        <w:rPr>
          <w:lang w:val="fr-FR"/>
        </w:rPr>
        <w:t>Base de données européenne sur la pomme de terre faisant office de système centralisé de collecte de données sur les variétés notoirement connues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14 h 50</w:t>
      </w:r>
      <w:r w:rsidR="00817E85" w:rsidRPr="00F72E16">
        <w:rPr>
          <w:lang w:val="fr-FR"/>
        </w:rPr>
        <w:tab/>
      </w:r>
      <w:r w:rsidR="00122FA7" w:rsidRPr="00F72E16">
        <w:rPr>
          <w:lang w:val="fr-FR"/>
        </w:rPr>
        <w:t>Mise au point de marqueurs EST</w:t>
      </w:r>
      <w:r w:rsidR="003F4060">
        <w:rPr>
          <w:lang w:val="fr-FR"/>
        </w:rPr>
        <w:noBreakHyphen/>
      </w:r>
      <w:r w:rsidR="00122FA7" w:rsidRPr="00F72E16">
        <w:rPr>
          <w:lang w:val="fr-FR"/>
        </w:rPr>
        <w:t>SSR chez la laitue et identification de variétés au moyen de ces marqueurs</w:t>
      </w:r>
    </w:p>
    <w:p w:rsidR="00DF61EE" w:rsidRPr="00F72E16" w:rsidRDefault="00DF61EE" w:rsidP="008651D1">
      <w:pPr>
        <w:ind w:left="810" w:hanging="810"/>
        <w:rPr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15 h 10</w:t>
      </w:r>
      <w:r w:rsidR="006E0B74" w:rsidRPr="00F72E16">
        <w:rPr>
          <w:lang w:val="fr-FR"/>
        </w:rPr>
        <w:tab/>
      </w:r>
      <w:r w:rsidR="00122FA7" w:rsidRPr="00F72E16">
        <w:rPr>
          <w:lang w:val="fr-FR"/>
        </w:rPr>
        <w:t>Propriété et utilisation d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échantillons utilisés dans un examen</w:t>
      </w:r>
      <w:r w:rsidR="00DE6D2B" w:rsidRPr="00F72E16">
        <w:rPr>
          <w:lang w:val="fr-FR"/>
        </w:rPr>
        <w:t> </w:t>
      </w:r>
      <w:r w:rsidR="00122FA7" w:rsidRPr="00F72E16">
        <w:rPr>
          <w:lang w:val="fr-FR"/>
        </w:rPr>
        <w:t>DHS, de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ADN et des données relatives à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ADN pendant et après un examen</w:t>
      </w:r>
      <w:r w:rsidR="00DE6D2B" w:rsidRPr="00F72E16">
        <w:rPr>
          <w:lang w:val="fr-FR"/>
        </w:rPr>
        <w:t> </w:t>
      </w:r>
      <w:r w:rsidR="00122FA7" w:rsidRPr="00F72E16">
        <w:rPr>
          <w:lang w:val="fr-FR"/>
        </w:rPr>
        <w:t>DHS</w:t>
      </w:r>
    </w:p>
    <w:p w:rsidR="00DF61EE" w:rsidRPr="00F72E16" w:rsidRDefault="00DF61EE" w:rsidP="008651D1">
      <w:pPr>
        <w:ind w:left="810" w:hanging="810"/>
        <w:rPr>
          <w:rFonts w:cs="Arial"/>
          <w:lang w:val="fr-FR"/>
        </w:rPr>
      </w:pPr>
    </w:p>
    <w:p w:rsidR="00DF61EE" w:rsidRPr="00F72E16" w:rsidRDefault="00DF61EE" w:rsidP="008651D1">
      <w:pPr>
        <w:ind w:left="810" w:hanging="810"/>
        <w:rPr>
          <w:rFonts w:cs="Arial"/>
          <w:lang w:val="fr-FR"/>
        </w:rPr>
      </w:pPr>
    </w:p>
    <w:p w:rsidR="00DF61EE" w:rsidRPr="00F72E16" w:rsidRDefault="0023266C" w:rsidP="008651D1">
      <w:pPr>
        <w:ind w:left="810" w:hanging="810"/>
        <w:rPr>
          <w:rFonts w:cs="Arial"/>
          <w:u w:val="single"/>
          <w:lang w:val="fr-FR"/>
        </w:rPr>
      </w:pPr>
      <w:r w:rsidRPr="00F72E16">
        <w:rPr>
          <w:rFonts w:cs="Arial"/>
          <w:u w:val="single"/>
          <w:lang w:val="fr-FR"/>
        </w:rPr>
        <w:t xml:space="preserve">ATELIER CONJOINT </w:t>
      </w:r>
      <w:r w:rsidR="00122FA7" w:rsidRPr="00F72E16">
        <w:rPr>
          <w:rFonts w:cs="Arial"/>
          <w:u w:val="single"/>
          <w:lang w:val="fr-FR"/>
        </w:rPr>
        <w:t>DE L</w:t>
      </w:r>
      <w:r w:rsidR="00DE0253" w:rsidRPr="00F72E16">
        <w:rPr>
          <w:rFonts w:cs="Arial"/>
          <w:u w:val="single"/>
          <w:lang w:val="fr-FR"/>
        </w:rPr>
        <w:t>’</w:t>
      </w:r>
      <w:r w:rsidR="00122FA7" w:rsidRPr="00F72E16">
        <w:rPr>
          <w:rFonts w:cs="Arial"/>
          <w:u w:val="single"/>
          <w:lang w:val="fr-FR"/>
        </w:rPr>
        <w:t>OCDE, DE L</w:t>
      </w:r>
      <w:r w:rsidR="00DE0253" w:rsidRPr="00F72E16">
        <w:rPr>
          <w:rFonts w:cs="Arial"/>
          <w:u w:val="single"/>
          <w:lang w:val="fr-FR"/>
        </w:rPr>
        <w:t>’</w:t>
      </w:r>
      <w:r w:rsidRPr="00F72E16">
        <w:rPr>
          <w:rFonts w:cs="Arial"/>
          <w:u w:val="single"/>
          <w:lang w:val="fr-FR"/>
        </w:rPr>
        <w:t>UPOV</w:t>
      </w:r>
      <w:r w:rsidR="00122FA7" w:rsidRPr="00F72E16">
        <w:rPr>
          <w:rFonts w:cs="Arial"/>
          <w:u w:val="single"/>
          <w:lang w:val="fr-FR"/>
        </w:rPr>
        <w:t xml:space="preserve"> ET DE L</w:t>
      </w:r>
      <w:r w:rsidR="00DE0253" w:rsidRPr="00F72E16">
        <w:rPr>
          <w:rFonts w:cs="Arial"/>
          <w:u w:val="single"/>
          <w:lang w:val="fr-FR"/>
        </w:rPr>
        <w:t>’</w:t>
      </w:r>
      <w:r w:rsidRPr="00F72E16">
        <w:rPr>
          <w:rFonts w:cs="Arial"/>
          <w:u w:val="single"/>
          <w:lang w:val="fr-FR"/>
        </w:rPr>
        <w:t>ISTA SUR LES TECHNIQUES MOLÉCULAIRES</w:t>
      </w:r>
    </w:p>
    <w:p w:rsidR="00DF61EE" w:rsidRPr="00F72E16" w:rsidRDefault="00DF61EE" w:rsidP="008651D1">
      <w:pPr>
        <w:ind w:left="810" w:hanging="810"/>
        <w:rPr>
          <w:rFonts w:cs="Arial"/>
          <w:lang w:val="fr-FR"/>
        </w:rPr>
      </w:pPr>
    </w:p>
    <w:p w:rsidR="00DF61EE" w:rsidRPr="00F72E16" w:rsidRDefault="00730C79" w:rsidP="008651D1">
      <w:pPr>
        <w:ind w:left="810" w:hanging="810"/>
        <w:rPr>
          <w:lang w:val="fr-FR"/>
        </w:rPr>
      </w:pPr>
      <w:r>
        <w:rPr>
          <w:lang w:val="fr-FR"/>
        </w:rPr>
        <w:t>15 h 30</w:t>
      </w:r>
      <w:r w:rsidR="006E0B74" w:rsidRPr="00F72E16">
        <w:rPr>
          <w:lang w:val="fr-FR"/>
        </w:rPr>
        <w:tab/>
      </w:r>
      <w:r w:rsidR="00122FA7" w:rsidRPr="00F72E16">
        <w:rPr>
          <w:lang w:val="fr-FR"/>
        </w:rPr>
        <w:t>Possibilités de coopération entre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OCDE,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UPOV,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ISO et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>ISTA concernant les techniques moléculaires</w:t>
      </w:r>
    </w:p>
    <w:p w:rsidR="00DF61EE" w:rsidRPr="00F72E16" w:rsidRDefault="00DF61EE" w:rsidP="008651D1">
      <w:pPr>
        <w:ind w:left="810" w:right="369" w:hanging="810"/>
        <w:jc w:val="left"/>
        <w:rPr>
          <w:lang w:val="fr-FR"/>
        </w:rPr>
      </w:pPr>
    </w:p>
    <w:p w:rsidR="00DF61EE" w:rsidRPr="00F72E16" w:rsidRDefault="00730C79" w:rsidP="008651D1">
      <w:pPr>
        <w:ind w:left="810" w:right="369" w:hanging="810"/>
        <w:jc w:val="left"/>
        <w:rPr>
          <w:lang w:val="fr-FR"/>
        </w:rPr>
      </w:pPr>
      <w:r>
        <w:rPr>
          <w:lang w:val="fr-FR"/>
        </w:rPr>
        <w:t>15 h 50</w:t>
      </w:r>
      <w:r w:rsidR="0088336D" w:rsidRPr="00F72E16">
        <w:rPr>
          <w:lang w:val="fr-FR"/>
        </w:rPr>
        <w:t xml:space="preserve"> </w:t>
      </w:r>
      <w:r w:rsidR="0088336D" w:rsidRPr="00F72E16">
        <w:rPr>
          <w:lang w:val="fr-FR"/>
        </w:rPr>
        <w:tab/>
      </w:r>
      <w:r w:rsidR="00122FA7" w:rsidRPr="00F72E16">
        <w:rPr>
          <w:lang w:val="fr-FR"/>
        </w:rPr>
        <w:t>Débat général</w:t>
      </w:r>
      <w:r w:rsidR="00A067FE" w:rsidRPr="00F72E16">
        <w:rPr>
          <w:lang w:val="fr-FR"/>
        </w:rPr>
        <w:t xml:space="preserve"> </w:t>
      </w:r>
      <w:r w:rsidR="0088336D" w:rsidRPr="00F72E16">
        <w:rPr>
          <w:lang w:val="fr-FR"/>
        </w:rPr>
        <w:t>(</w:t>
      </w:r>
      <w:r w:rsidR="006635A8" w:rsidRPr="00F72E16">
        <w:rPr>
          <w:lang w:val="fr-FR"/>
        </w:rPr>
        <w:t>2</w:t>
      </w:r>
      <w:r w:rsidR="00CB1775">
        <w:rPr>
          <w:lang w:val="fr-FR"/>
        </w:rPr>
        <w:t>5 </w:t>
      </w:r>
      <w:r w:rsidR="0088336D" w:rsidRPr="00F72E16">
        <w:rPr>
          <w:lang w:val="fr-FR"/>
        </w:rPr>
        <w:t>minutes)</w:t>
      </w:r>
    </w:p>
    <w:p w:rsidR="00DF61EE" w:rsidRPr="00F72E16" w:rsidRDefault="00DF61EE" w:rsidP="008651D1">
      <w:pPr>
        <w:ind w:left="810" w:right="369" w:hanging="810"/>
        <w:jc w:val="left"/>
        <w:rPr>
          <w:lang w:val="fr-FR"/>
        </w:rPr>
      </w:pPr>
    </w:p>
    <w:p w:rsidR="00DF61EE" w:rsidRPr="00F72E16" w:rsidRDefault="00DF61EE" w:rsidP="008651D1">
      <w:pPr>
        <w:ind w:left="810" w:right="369" w:hanging="810"/>
        <w:jc w:val="left"/>
        <w:rPr>
          <w:lang w:val="fr-FR"/>
        </w:rPr>
      </w:pPr>
    </w:p>
    <w:p w:rsidR="00DF61EE" w:rsidRPr="00F72E16" w:rsidRDefault="00122FA7" w:rsidP="008651D1">
      <w:pPr>
        <w:ind w:left="810" w:right="369" w:hanging="810"/>
        <w:jc w:val="left"/>
        <w:rPr>
          <w:u w:val="single"/>
          <w:lang w:val="fr-FR"/>
        </w:rPr>
      </w:pPr>
      <w:r w:rsidRPr="00F72E16">
        <w:rPr>
          <w:u w:val="single"/>
          <w:lang w:val="fr-FR"/>
        </w:rPr>
        <w:t>Point</w:t>
      </w:r>
      <w:r w:rsidR="00DE6D2B" w:rsidRPr="00F72E16">
        <w:rPr>
          <w:u w:val="single"/>
          <w:lang w:val="fr-FR"/>
        </w:rPr>
        <w:t> </w:t>
      </w:r>
      <w:r w:rsidRPr="00F72E16">
        <w:rPr>
          <w:u w:val="single"/>
          <w:lang w:val="fr-FR"/>
        </w:rPr>
        <w:t>8 de l</w:t>
      </w:r>
      <w:r w:rsidR="00DE0253" w:rsidRPr="00F72E16">
        <w:rPr>
          <w:u w:val="single"/>
          <w:lang w:val="fr-FR"/>
        </w:rPr>
        <w:t>’</w:t>
      </w:r>
      <w:r w:rsidRPr="00F72E16">
        <w:rPr>
          <w:u w:val="single"/>
          <w:lang w:val="fr-FR"/>
        </w:rPr>
        <w:t>ordre du jour du Comité technique,</w:t>
      </w:r>
      <w:r w:rsidR="00231AAC" w:rsidRPr="00F72E16">
        <w:rPr>
          <w:u w:val="single"/>
          <w:lang w:val="fr-FR"/>
        </w:rPr>
        <w:t xml:space="preserve"> intitulé</w:t>
      </w:r>
      <w:r w:rsidRPr="00F72E16">
        <w:rPr>
          <w:u w:val="single"/>
          <w:lang w:val="fr-FR"/>
        </w:rPr>
        <w:t xml:space="preserve"> </w:t>
      </w:r>
      <w:r w:rsidR="00A067FE" w:rsidRPr="00F72E16">
        <w:rPr>
          <w:u w:val="single"/>
          <w:lang w:val="fr-FR"/>
        </w:rPr>
        <w:t>“</w:t>
      </w:r>
      <w:r w:rsidRPr="00F72E16">
        <w:rPr>
          <w:u w:val="single"/>
          <w:lang w:val="fr-FR"/>
        </w:rPr>
        <w:t>Techniques moléculaires</w:t>
      </w:r>
      <w:r w:rsidR="00A067FE" w:rsidRPr="00F72E16">
        <w:rPr>
          <w:u w:val="single"/>
          <w:lang w:val="fr-FR"/>
        </w:rPr>
        <w:t>”</w:t>
      </w:r>
    </w:p>
    <w:p w:rsidR="00DF61EE" w:rsidRPr="00F72E16" w:rsidRDefault="00DF61EE" w:rsidP="008651D1">
      <w:pPr>
        <w:ind w:left="810" w:right="369" w:hanging="810"/>
        <w:jc w:val="left"/>
        <w:rPr>
          <w:lang w:val="fr-FR"/>
        </w:rPr>
      </w:pPr>
    </w:p>
    <w:p w:rsidR="00DF61EE" w:rsidRPr="00F72E16" w:rsidRDefault="00730C79" w:rsidP="008651D1">
      <w:pPr>
        <w:ind w:left="810" w:right="369" w:hanging="810"/>
        <w:jc w:val="left"/>
        <w:rPr>
          <w:lang w:val="fr-FR"/>
        </w:rPr>
      </w:pPr>
      <w:r>
        <w:rPr>
          <w:lang w:val="fr-FR"/>
        </w:rPr>
        <w:t>16 h 15</w:t>
      </w:r>
      <w:r w:rsidR="00A067FE" w:rsidRPr="00F72E16">
        <w:rPr>
          <w:lang w:val="fr-FR"/>
        </w:rPr>
        <w:tab/>
      </w:r>
      <w:r w:rsidR="00122FA7" w:rsidRPr="00F72E16">
        <w:rPr>
          <w:lang w:val="fr-FR"/>
        </w:rPr>
        <w:t>Point</w:t>
      </w:r>
      <w:r w:rsidR="00DE6D2B" w:rsidRPr="00F72E16">
        <w:rPr>
          <w:lang w:val="fr-FR"/>
        </w:rPr>
        <w:t> </w:t>
      </w:r>
      <w:r w:rsidR="00122FA7" w:rsidRPr="00F72E16">
        <w:rPr>
          <w:lang w:val="fr-FR"/>
        </w:rPr>
        <w:t>8 de l</w:t>
      </w:r>
      <w:r w:rsidR="00DE0253" w:rsidRPr="00F72E16">
        <w:rPr>
          <w:lang w:val="fr-FR"/>
        </w:rPr>
        <w:t>’</w:t>
      </w:r>
      <w:r w:rsidR="00122FA7" w:rsidRPr="00F72E16">
        <w:rPr>
          <w:lang w:val="fr-FR"/>
        </w:rPr>
        <w:t xml:space="preserve">ordre du jour, </w:t>
      </w:r>
      <w:r w:rsidR="00231AAC" w:rsidRPr="00F72E16">
        <w:rPr>
          <w:lang w:val="fr-FR"/>
        </w:rPr>
        <w:t xml:space="preserve">intitulé </w:t>
      </w:r>
      <w:r w:rsidR="00A067FE" w:rsidRPr="00F72E16">
        <w:rPr>
          <w:lang w:val="fr-FR"/>
        </w:rPr>
        <w:t>“</w:t>
      </w:r>
      <w:r w:rsidR="00122FA7" w:rsidRPr="00F72E16">
        <w:rPr>
          <w:lang w:val="fr-FR"/>
        </w:rPr>
        <w:t>Techniques moléculaires</w:t>
      </w:r>
      <w:r w:rsidR="00A067FE" w:rsidRPr="00F72E16">
        <w:rPr>
          <w:lang w:val="fr-FR"/>
        </w:rPr>
        <w:t>”</w:t>
      </w: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DF61EE" w:rsidP="008651D1">
      <w:pPr>
        <w:ind w:right="369"/>
        <w:jc w:val="left"/>
        <w:rPr>
          <w:lang w:val="fr-FR"/>
        </w:rPr>
      </w:pPr>
    </w:p>
    <w:p w:rsidR="00DF61EE" w:rsidRPr="00F72E16" w:rsidRDefault="00B33D4E" w:rsidP="008651D1">
      <w:pPr>
        <w:ind w:right="400"/>
        <w:jc w:val="right"/>
        <w:rPr>
          <w:bCs/>
          <w:snapToGrid w:val="0"/>
          <w:lang w:val="fr-FR"/>
        </w:rPr>
      </w:pPr>
      <w:r w:rsidRPr="00F72E16">
        <w:rPr>
          <w:bCs/>
          <w:snapToGrid w:val="0"/>
          <w:lang w:val="fr-FR"/>
        </w:rPr>
        <w:t>[Fin de l</w:t>
      </w:r>
      <w:r w:rsidR="00DE0253" w:rsidRPr="00F72E16">
        <w:rPr>
          <w:bCs/>
          <w:snapToGrid w:val="0"/>
          <w:lang w:val="fr-FR"/>
        </w:rPr>
        <w:t>’</w:t>
      </w:r>
      <w:r w:rsidRPr="00F72E16">
        <w:rPr>
          <w:bCs/>
          <w:snapToGrid w:val="0"/>
          <w:lang w:val="fr-FR"/>
        </w:rPr>
        <w:t>an</w:t>
      </w:r>
      <w:bookmarkStart w:id="45" w:name="_GoBack"/>
      <w:bookmarkEnd w:id="45"/>
      <w:r w:rsidRPr="00F72E16">
        <w:rPr>
          <w:bCs/>
          <w:snapToGrid w:val="0"/>
          <w:lang w:val="fr-FR"/>
        </w:rPr>
        <w:t>nexe</w:t>
      </w:r>
      <w:r w:rsidR="00DE6D2B" w:rsidRPr="00F72E16">
        <w:rPr>
          <w:bCs/>
          <w:snapToGrid w:val="0"/>
          <w:lang w:val="fr-FR"/>
        </w:rPr>
        <w:t> </w:t>
      </w:r>
      <w:r w:rsidRPr="00F72E16">
        <w:rPr>
          <w:bCs/>
          <w:snapToGrid w:val="0"/>
          <w:lang w:val="fr-FR"/>
        </w:rPr>
        <w:t>II et du document]</w:t>
      </w:r>
    </w:p>
    <w:p w:rsidR="00C72A57" w:rsidRPr="00F72E16" w:rsidRDefault="00C72A57" w:rsidP="008651D1">
      <w:pPr>
        <w:jc w:val="right"/>
        <w:rPr>
          <w:snapToGrid w:val="0"/>
          <w:lang w:val="fr-FR"/>
        </w:rPr>
      </w:pPr>
    </w:p>
    <w:p w:rsidR="00DF61EE" w:rsidRPr="00F72E16" w:rsidRDefault="00DF61EE" w:rsidP="008651D1">
      <w:pPr>
        <w:jc w:val="right"/>
        <w:rPr>
          <w:lang w:val="fr-FR"/>
        </w:rPr>
      </w:pPr>
    </w:p>
    <w:sectPr w:rsidR="00DF61EE" w:rsidRPr="00F72E16" w:rsidSect="003423DF">
      <w:headerReference w:type="first" r:id="rId21"/>
      <w:footerReference w:type="first" r:id="rId22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79C" w:rsidRDefault="0075779C" w:rsidP="006655D3">
      <w:r>
        <w:separator/>
      </w:r>
    </w:p>
    <w:p w:rsidR="0075779C" w:rsidRDefault="0075779C" w:rsidP="006655D3"/>
    <w:p w:rsidR="0075779C" w:rsidRDefault="0075779C" w:rsidP="006655D3"/>
  </w:endnote>
  <w:endnote w:type="continuationSeparator" w:id="0">
    <w:p w:rsidR="0075779C" w:rsidRDefault="0075779C" w:rsidP="006655D3">
      <w:r>
        <w:separator/>
      </w:r>
    </w:p>
    <w:p w:rsidR="0075779C" w:rsidRPr="00477345" w:rsidRDefault="0075779C">
      <w:pPr>
        <w:pStyle w:val="Footer"/>
        <w:spacing w:after="60"/>
        <w:rPr>
          <w:sz w:val="18"/>
          <w:lang w:val="fr-FR"/>
        </w:rPr>
      </w:pPr>
      <w:r w:rsidRPr="00477345">
        <w:rPr>
          <w:sz w:val="18"/>
          <w:lang w:val="fr-FR"/>
        </w:rPr>
        <w:t>[Suite de la note de la page précédente]</w:t>
      </w:r>
    </w:p>
    <w:p w:rsidR="0075779C" w:rsidRPr="00477345" w:rsidRDefault="0075779C" w:rsidP="006655D3">
      <w:pPr>
        <w:rPr>
          <w:lang w:val="fr-FR"/>
        </w:rPr>
      </w:pPr>
    </w:p>
    <w:p w:rsidR="0075779C" w:rsidRPr="00477345" w:rsidRDefault="0075779C" w:rsidP="006655D3">
      <w:pPr>
        <w:rPr>
          <w:lang w:val="fr-FR"/>
        </w:rPr>
      </w:pPr>
    </w:p>
  </w:endnote>
  <w:endnote w:type="continuationNotice" w:id="1">
    <w:p w:rsidR="0075779C" w:rsidRPr="00477345" w:rsidRDefault="0075779C" w:rsidP="006655D3">
      <w:pPr>
        <w:rPr>
          <w:lang w:val="fr-FR"/>
        </w:rPr>
      </w:pPr>
      <w:r w:rsidRPr="00477345">
        <w:rPr>
          <w:lang w:val="fr-FR"/>
        </w:rPr>
        <w:t>[Suite de la note page suivante]</w:t>
      </w:r>
    </w:p>
    <w:p w:rsidR="0075779C" w:rsidRPr="00477345" w:rsidRDefault="0075779C" w:rsidP="006655D3">
      <w:pPr>
        <w:rPr>
          <w:lang w:val="fr-FR"/>
        </w:rPr>
      </w:pPr>
    </w:p>
    <w:p w:rsidR="0075779C" w:rsidRPr="00477345" w:rsidRDefault="0075779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C" w:rsidRPr="00F01DA3" w:rsidRDefault="0075779C" w:rsidP="00F01D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DA3" w:rsidRPr="00F01DA3" w:rsidRDefault="00F01DA3" w:rsidP="00F01D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79C" w:rsidRDefault="0075779C" w:rsidP="006655D3">
      <w:r>
        <w:separator/>
      </w:r>
    </w:p>
  </w:footnote>
  <w:footnote w:type="continuationSeparator" w:id="0">
    <w:p w:rsidR="0075779C" w:rsidRDefault="0075779C" w:rsidP="006655D3">
      <w:r>
        <w:separator/>
      </w:r>
    </w:p>
  </w:footnote>
  <w:footnote w:type="continuationNotice" w:id="1">
    <w:p w:rsidR="0075779C" w:rsidRPr="00AB530F" w:rsidRDefault="0075779C" w:rsidP="00AB530F">
      <w:pPr>
        <w:pStyle w:val="Footer"/>
      </w:pPr>
    </w:p>
  </w:footnote>
  <w:footnote w:id="2">
    <w:p w:rsidR="0076129B" w:rsidRPr="008A447B" w:rsidRDefault="0076129B" w:rsidP="0076129B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ab/>
      </w:r>
      <w:r w:rsidR="008A447B" w:rsidRPr="008A447B">
        <w:rPr>
          <w:lang w:val="fr-FR"/>
        </w:rPr>
        <w:t>À sa session tenue à Séoul (République de Corée), du 10 au 1</w:t>
      </w:r>
      <w:r w:rsidR="00730C79" w:rsidRPr="008A447B">
        <w:rPr>
          <w:lang w:val="fr-FR"/>
        </w:rPr>
        <w:t>3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="008A447B" w:rsidRPr="008A447B">
        <w:rPr>
          <w:lang w:val="fr-FR"/>
        </w:rPr>
        <w:t>14.</w:t>
      </w:r>
    </w:p>
  </w:footnote>
  <w:footnote w:id="3">
    <w:p w:rsidR="008A447B" w:rsidRPr="008A447B" w:rsidRDefault="008A447B" w:rsidP="008A447B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Tenu à Séoul (République de Corée) le 1</w:t>
      </w:r>
      <w:r w:rsidR="00730C79" w:rsidRPr="008A447B">
        <w:rPr>
          <w:lang w:val="fr-FR"/>
        </w:rPr>
        <w:t>2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4">
    <w:p w:rsidR="0075779C" w:rsidRPr="008A447B" w:rsidRDefault="0075779C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Ces points de l</w:t>
      </w:r>
      <w:r w:rsidR="00730C79">
        <w:rPr>
          <w:lang w:val="fr-FR"/>
        </w:rPr>
        <w:t>’</w:t>
      </w:r>
      <w:r w:rsidRPr="008A447B">
        <w:rPr>
          <w:lang w:val="fr-FR"/>
        </w:rPr>
        <w:t>ordre du jour ont été examinés le mercredi 1</w:t>
      </w:r>
      <w:r w:rsidR="00730C79" w:rsidRPr="008A447B">
        <w:rPr>
          <w:lang w:val="fr-FR"/>
        </w:rPr>
        <w:t>2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 (“Journée des obtenteurs”).</w:t>
      </w:r>
    </w:p>
  </w:footnote>
  <w:footnote w:id="5">
    <w:p w:rsidR="0075779C" w:rsidRPr="008A447B" w:rsidRDefault="0075779C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Journée des obtenteurs</w:t>
      </w:r>
    </w:p>
  </w:footnote>
  <w:footnote w:id="6">
    <w:p w:rsidR="00650902" w:rsidRPr="008A447B" w:rsidRDefault="00650902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Le 1</w:t>
      </w:r>
      <w:r w:rsidR="00730C79" w:rsidRPr="008A447B">
        <w:rPr>
          <w:lang w:val="fr-FR"/>
        </w:rPr>
        <w:t>2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7">
    <w:p w:rsidR="00650902" w:rsidRPr="008A447B" w:rsidRDefault="00650902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Du 10 au 1</w:t>
      </w:r>
      <w:r w:rsidR="00730C79" w:rsidRPr="008A447B">
        <w:rPr>
          <w:lang w:val="fr-FR"/>
        </w:rPr>
        <w:t>3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8">
    <w:p w:rsidR="00650902" w:rsidRPr="008A447B" w:rsidRDefault="00650902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 xml:space="preserve">Du 7 au </w:t>
      </w:r>
      <w:r w:rsidR="00730C79" w:rsidRPr="008A447B">
        <w:rPr>
          <w:lang w:val="fr-FR"/>
        </w:rPr>
        <w:t>9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avril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9">
    <w:p w:rsidR="006F50D0" w:rsidRPr="008A447B" w:rsidRDefault="006F50D0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Du 18 au 2</w:t>
      </w:r>
      <w:r w:rsidR="00730C79" w:rsidRPr="008A447B">
        <w:rPr>
          <w:lang w:val="fr-FR"/>
        </w:rPr>
        <w:t>0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mars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13.</w:t>
      </w:r>
    </w:p>
  </w:footnote>
  <w:footnote w:id="10">
    <w:p w:rsidR="006F50D0" w:rsidRPr="008A447B" w:rsidRDefault="006F50D0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 xml:space="preserve">Tenue à Genève du 7 au </w:t>
      </w:r>
      <w:r w:rsidR="00730C79" w:rsidRPr="008A447B">
        <w:rPr>
          <w:lang w:val="fr-FR"/>
        </w:rPr>
        <w:t>9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avril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11">
    <w:p w:rsidR="006F50D0" w:rsidRPr="008A447B" w:rsidRDefault="006F50D0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Tenue à Genève le 1</w:t>
      </w:r>
      <w:r w:rsidR="00730C79" w:rsidRPr="008A447B">
        <w:rPr>
          <w:lang w:val="fr-FR"/>
        </w:rPr>
        <w:t>0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avril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12">
    <w:p w:rsidR="00060C34" w:rsidRPr="008A447B" w:rsidRDefault="00060C34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Tenue à Genève le 1</w:t>
      </w:r>
      <w:r w:rsidR="00730C79" w:rsidRPr="008A447B">
        <w:rPr>
          <w:lang w:val="fr-FR"/>
        </w:rPr>
        <w:t>1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avril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  <w:footnote w:id="13">
    <w:p w:rsidR="005748F4" w:rsidRPr="008A447B" w:rsidRDefault="005748F4">
      <w:pPr>
        <w:pStyle w:val="FootnoteText"/>
        <w:rPr>
          <w:lang w:val="fr-FR"/>
        </w:rPr>
      </w:pPr>
      <w:r w:rsidRPr="008A447B">
        <w:rPr>
          <w:rStyle w:val="FootnoteReference"/>
          <w:lang w:val="fr-FR"/>
        </w:rPr>
        <w:footnoteRef/>
      </w:r>
      <w:r w:rsidRPr="008A447B">
        <w:rPr>
          <w:lang w:val="fr-FR"/>
        </w:rPr>
        <w:t xml:space="preserve"> </w:t>
      </w:r>
      <w:r w:rsidRPr="008A447B">
        <w:rPr>
          <w:lang w:val="fr-FR"/>
        </w:rPr>
        <w:tab/>
        <w:t>Tenu à Séoul (République de Corée) le 1</w:t>
      </w:r>
      <w:r w:rsidR="00730C79" w:rsidRPr="008A447B">
        <w:rPr>
          <w:lang w:val="fr-FR"/>
        </w:rPr>
        <w:t>2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novembre</w:t>
      </w:r>
      <w:r w:rsidR="00730C79">
        <w:rPr>
          <w:lang w:val="fr-FR"/>
        </w:rPr>
        <w:t> </w:t>
      </w:r>
      <w:r w:rsidR="00730C79" w:rsidRPr="008A447B">
        <w:rPr>
          <w:lang w:val="fr-FR"/>
        </w:rPr>
        <w:t>20</w:t>
      </w:r>
      <w:r w:rsidRPr="008A447B">
        <w:rPr>
          <w:lang w:val="fr-FR"/>
        </w:rPr>
        <w:t>14.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C" w:rsidRPr="00C5280D" w:rsidRDefault="00650902" w:rsidP="00EB048E">
    <w:pPr>
      <w:pStyle w:val="Header"/>
      <w:rPr>
        <w:rStyle w:val="PageNumber"/>
        <w:lang w:val="en-US" w:eastAsia="ja-JP"/>
      </w:rPr>
    </w:pPr>
    <w:r>
      <w:rPr>
        <w:rStyle w:val="PageNumber"/>
        <w:lang w:val="en-US"/>
      </w:rPr>
      <w:t>CAJ</w:t>
    </w:r>
    <w:r w:rsidR="0075779C">
      <w:rPr>
        <w:rStyle w:val="PageNumber"/>
        <w:lang w:val="en-US"/>
      </w:rPr>
      <w:t>/</w:t>
    </w:r>
    <w:r>
      <w:rPr>
        <w:rStyle w:val="PageNumber"/>
        <w:lang w:val="en-US"/>
      </w:rPr>
      <w:t>7</w:t>
    </w:r>
    <w:r w:rsidR="0075779C">
      <w:rPr>
        <w:rStyle w:val="PageNumber"/>
        <w:rFonts w:hint="eastAsia"/>
        <w:lang w:val="en-US" w:eastAsia="ja-JP"/>
      </w:rPr>
      <w:t>1</w:t>
    </w:r>
    <w:r w:rsidR="0075779C">
      <w:rPr>
        <w:rStyle w:val="PageNumber"/>
        <w:lang w:val="en-US"/>
      </w:rPr>
      <w:t>/</w:t>
    </w:r>
    <w:r>
      <w:rPr>
        <w:rStyle w:val="PageNumber"/>
        <w:lang w:val="en-US"/>
      </w:rPr>
      <w:t>8</w:t>
    </w:r>
  </w:p>
  <w:p w:rsidR="0075779C" w:rsidRPr="00C5280D" w:rsidRDefault="0075779C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D2002B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  <w:bookmarkStart w:id="43" w:name="_Toc410822398"/>
    <w:bookmarkStart w:id="44" w:name="_Toc410822802"/>
  </w:p>
  <w:bookmarkEnd w:id="43"/>
  <w:bookmarkEnd w:id="44"/>
  <w:p w:rsidR="0075779C" w:rsidRPr="00C5280D" w:rsidRDefault="0075779C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C" w:rsidRDefault="00650902">
    <w:pPr>
      <w:pStyle w:val="Header"/>
      <w:rPr>
        <w:lang w:val="en-US" w:eastAsia="ja-JP"/>
      </w:rPr>
    </w:pPr>
    <w:r>
      <w:rPr>
        <w:lang w:val="en-US"/>
      </w:rPr>
      <w:t>CAJ</w:t>
    </w:r>
    <w:r w:rsidR="0075779C">
      <w:rPr>
        <w:lang w:val="en-US"/>
      </w:rPr>
      <w:t>/</w:t>
    </w:r>
    <w:r>
      <w:rPr>
        <w:lang w:val="en-US"/>
      </w:rPr>
      <w:t>7</w:t>
    </w:r>
    <w:r w:rsidR="0075779C">
      <w:rPr>
        <w:rFonts w:hint="eastAsia"/>
        <w:lang w:val="en-US" w:eastAsia="ja-JP"/>
      </w:rPr>
      <w:t>1</w:t>
    </w:r>
    <w:r w:rsidR="0075779C">
      <w:rPr>
        <w:lang w:val="en-US"/>
      </w:rPr>
      <w:t>/</w:t>
    </w:r>
    <w:r>
      <w:rPr>
        <w:lang w:val="en-US"/>
      </w:rPr>
      <w:t>8</w:t>
    </w:r>
  </w:p>
  <w:p w:rsidR="0075779C" w:rsidRDefault="0075779C">
    <w:pPr>
      <w:pStyle w:val="Header"/>
      <w:rPr>
        <w:lang w:val="en-US"/>
      </w:rPr>
    </w:pPr>
  </w:p>
  <w:p w:rsidR="0075779C" w:rsidRPr="00954973" w:rsidRDefault="0075779C">
    <w:pPr>
      <w:pStyle w:val="Header"/>
      <w:rPr>
        <w:lang w:val="en-US" w:eastAsia="ja-JP"/>
      </w:rPr>
    </w:pPr>
    <w:r>
      <w:rPr>
        <w:lang w:val="en-US"/>
      </w:rPr>
      <w:t>ANNEXE 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79C" w:rsidRDefault="00650902">
    <w:pPr>
      <w:pStyle w:val="Header"/>
      <w:rPr>
        <w:lang w:val="en-US" w:eastAsia="ja-JP"/>
      </w:rPr>
    </w:pPr>
    <w:r>
      <w:rPr>
        <w:lang w:val="en-US"/>
      </w:rPr>
      <w:t>CAJ</w:t>
    </w:r>
    <w:r w:rsidR="0075779C">
      <w:rPr>
        <w:lang w:val="en-US"/>
      </w:rPr>
      <w:t>/</w:t>
    </w:r>
    <w:r>
      <w:rPr>
        <w:lang w:val="en-US"/>
      </w:rPr>
      <w:t>7</w:t>
    </w:r>
    <w:r w:rsidR="0075779C">
      <w:rPr>
        <w:rFonts w:hint="eastAsia"/>
        <w:lang w:val="en-US" w:eastAsia="ja-JP"/>
      </w:rPr>
      <w:t>1</w:t>
    </w:r>
    <w:r w:rsidR="0075779C">
      <w:rPr>
        <w:lang w:val="en-US"/>
      </w:rPr>
      <w:t>/</w:t>
    </w:r>
    <w:r>
      <w:rPr>
        <w:lang w:val="en-US"/>
      </w:rPr>
      <w:t>8</w:t>
    </w:r>
  </w:p>
  <w:p w:rsidR="0075779C" w:rsidRDefault="0075779C">
    <w:pPr>
      <w:pStyle w:val="Header"/>
      <w:rPr>
        <w:lang w:val="en-US"/>
      </w:rPr>
    </w:pPr>
  </w:p>
  <w:p w:rsidR="0075779C" w:rsidRPr="00954973" w:rsidRDefault="0075779C">
    <w:pPr>
      <w:pStyle w:val="Header"/>
      <w:rPr>
        <w:lang w:val="en-US" w:eastAsia="ja-JP"/>
      </w:rPr>
    </w:pPr>
    <w:r>
      <w:rPr>
        <w:lang w:val="en-US"/>
      </w:rPr>
      <w:t>ANNEXE II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6FC9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">
    <w:nsid w:val="2BFB0472"/>
    <w:multiLevelType w:val="hybridMultilevel"/>
    <w:tmpl w:val="3F2E5AAA"/>
    <w:lvl w:ilvl="0" w:tplc="FBC435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23DA3"/>
    <w:multiLevelType w:val="hybridMultilevel"/>
    <w:tmpl w:val="84BA6426"/>
    <w:lvl w:ilvl="0" w:tplc="5AB674A6">
      <w:start w:val="1"/>
      <w:numFmt w:val="lowerRoman"/>
      <w:lvlText w:val="%1)"/>
      <w:lvlJc w:val="left"/>
      <w:pPr>
        <w:ind w:left="1410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>
    <w:nsid w:val="301E1F87"/>
    <w:multiLevelType w:val="hybridMultilevel"/>
    <w:tmpl w:val="47864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20BE6"/>
    <w:multiLevelType w:val="hybridMultilevel"/>
    <w:tmpl w:val="CA84BF40"/>
    <w:lvl w:ilvl="0" w:tplc="AC3CF6AC">
      <w:start w:val="1"/>
      <w:numFmt w:val="lowerLetter"/>
      <w:lvlText w:val="%1)"/>
      <w:lvlJc w:val="left"/>
      <w:pPr>
        <w:ind w:left="759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140B4"/>
    <w:multiLevelType w:val="hybridMultilevel"/>
    <w:tmpl w:val="93467F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4D744B"/>
    <w:multiLevelType w:val="hybridMultilevel"/>
    <w:tmpl w:val="85DCA81E"/>
    <w:lvl w:ilvl="0" w:tplc="3920EB1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6D3DA0"/>
    <w:multiLevelType w:val="hybridMultilevel"/>
    <w:tmpl w:val="21C26D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D84FA6"/>
    <w:multiLevelType w:val="hybridMultilevel"/>
    <w:tmpl w:val="1A08E8AC"/>
    <w:lvl w:ilvl="0" w:tplc="9CF86C16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E619A"/>
    <w:multiLevelType w:val="hybridMultilevel"/>
    <w:tmpl w:val="75EA1B9A"/>
    <w:lvl w:ilvl="0" w:tplc="AB8217D4">
      <w:start w:val="1"/>
      <w:numFmt w:val="decimal"/>
      <w:lvlText w:val="%1)"/>
      <w:lvlJc w:val="left"/>
      <w:pPr>
        <w:ind w:left="5180" w:hanging="360"/>
      </w:pPr>
      <w:rPr>
        <w:rFonts w:eastAsia="MS Mincho" w:cs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66175CB0"/>
    <w:multiLevelType w:val="hybridMultilevel"/>
    <w:tmpl w:val="847628F2"/>
    <w:lvl w:ilvl="0" w:tplc="04464F4C">
      <w:start w:val="1"/>
      <w:numFmt w:val="lowerLetter"/>
      <w:lvlText w:val="(%1)"/>
      <w:lvlJc w:val="left"/>
      <w:pPr>
        <w:tabs>
          <w:tab w:val="num" w:pos="4926"/>
        </w:tabs>
        <w:ind w:left="4926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  <w:rPr>
        <w:rFonts w:cs="Times New Roman"/>
      </w:rPr>
    </w:lvl>
  </w:abstractNum>
  <w:abstractNum w:abstractNumId="11">
    <w:nsid w:val="673E0B56"/>
    <w:multiLevelType w:val="hybridMultilevel"/>
    <w:tmpl w:val="91144E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67671"/>
    <w:multiLevelType w:val="hybridMultilevel"/>
    <w:tmpl w:val="61E64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234A3F"/>
    <w:multiLevelType w:val="hybridMultilevel"/>
    <w:tmpl w:val="407C452C"/>
    <w:lvl w:ilvl="0" w:tplc="04090001">
      <w:start w:val="1"/>
      <w:numFmt w:val="bullet"/>
      <w:lvlText w:val=""/>
      <w:lvlJc w:val="left"/>
      <w:pPr>
        <w:ind w:left="9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3"/>
  </w:num>
  <w:num w:numId="4">
    <w:abstractNumId w:val="9"/>
  </w:num>
  <w:num w:numId="5">
    <w:abstractNumId w:val="4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7"/>
  </w:num>
  <w:num w:numId="10">
    <w:abstractNumId w:val="11"/>
  </w:num>
  <w:num w:numId="11">
    <w:abstractNumId w:val="1"/>
  </w:num>
  <w:num w:numId="12">
    <w:abstractNumId w:val="0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PreTradBeta|WIPONew|AT.WIPO"/>
    <w:docVar w:name="TermBaseURL" w:val="empty"/>
    <w:docVar w:name="TextBases" w:val="WorkspaceFTS\EN-FR\UPOV|UPOV\Meetings|UPOV\Other|UPOV\Publications|UPOV\Technical Guidelines|Patents\Meetings|Patents\Other|Patents\Publications|WorkspaceFTS\EN-FR\PCT|Administrative\Other|IP in General\Meetings|Copyright\Other"/>
    <w:docVar w:name="TextBaseURL" w:val="empty"/>
    <w:docVar w:name="UILng" w:val="en"/>
  </w:docVars>
  <w:rsids>
    <w:rsidRoot w:val="00612C69"/>
    <w:rsid w:val="00010CF3"/>
    <w:rsid w:val="00011122"/>
    <w:rsid w:val="00011E27"/>
    <w:rsid w:val="000148BC"/>
    <w:rsid w:val="00016C98"/>
    <w:rsid w:val="00017FE8"/>
    <w:rsid w:val="00024AB8"/>
    <w:rsid w:val="00030854"/>
    <w:rsid w:val="00031206"/>
    <w:rsid w:val="00033064"/>
    <w:rsid w:val="00036028"/>
    <w:rsid w:val="00041D2D"/>
    <w:rsid w:val="00044642"/>
    <w:rsid w:val="000446B9"/>
    <w:rsid w:val="000472BF"/>
    <w:rsid w:val="00047E21"/>
    <w:rsid w:val="00050E16"/>
    <w:rsid w:val="00055042"/>
    <w:rsid w:val="000552A7"/>
    <w:rsid w:val="000600DA"/>
    <w:rsid w:val="00060C34"/>
    <w:rsid w:val="00064B87"/>
    <w:rsid w:val="000816AB"/>
    <w:rsid w:val="000825CD"/>
    <w:rsid w:val="00085505"/>
    <w:rsid w:val="0009135B"/>
    <w:rsid w:val="00093F0C"/>
    <w:rsid w:val="00097467"/>
    <w:rsid w:val="00097F51"/>
    <w:rsid w:val="000A12CC"/>
    <w:rsid w:val="000A4E4F"/>
    <w:rsid w:val="000A7C03"/>
    <w:rsid w:val="000B7B9A"/>
    <w:rsid w:val="000C3340"/>
    <w:rsid w:val="000C7021"/>
    <w:rsid w:val="000D123A"/>
    <w:rsid w:val="000D6BBC"/>
    <w:rsid w:val="000D7780"/>
    <w:rsid w:val="000E2E2A"/>
    <w:rsid w:val="000E5EE5"/>
    <w:rsid w:val="000F1D05"/>
    <w:rsid w:val="000F2F11"/>
    <w:rsid w:val="000F7E6A"/>
    <w:rsid w:val="00102E69"/>
    <w:rsid w:val="00105929"/>
    <w:rsid w:val="00112830"/>
    <w:rsid w:val="001131D5"/>
    <w:rsid w:val="00113EDF"/>
    <w:rsid w:val="001175FD"/>
    <w:rsid w:val="00121AA6"/>
    <w:rsid w:val="00122FA7"/>
    <w:rsid w:val="00137D62"/>
    <w:rsid w:val="00141DB8"/>
    <w:rsid w:val="00152D79"/>
    <w:rsid w:val="00153421"/>
    <w:rsid w:val="00157DF4"/>
    <w:rsid w:val="0017474A"/>
    <w:rsid w:val="001758C6"/>
    <w:rsid w:val="00176692"/>
    <w:rsid w:val="0018053D"/>
    <w:rsid w:val="00182701"/>
    <w:rsid w:val="00182B99"/>
    <w:rsid w:val="00182CF6"/>
    <w:rsid w:val="00186929"/>
    <w:rsid w:val="001873AF"/>
    <w:rsid w:val="00195A44"/>
    <w:rsid w:val="0019639F"/>
    <w:rsid w:val="001B036B"/>
    <w:rsid w:val="001B0FF3"/>
    <w:rsid w:val="001B485F"/>
    <w:rsid w:val="001D3B2E"/>
    <w:rsid w:val="001D5E40"/>
    <w:rsid w:val="001E1BBB"/>
    <w:rsid w:val="001E32F0"/>
    <w:rsid w:val="001E349E"/>
    <w:rsid w:val="001E401F"/>
    <w:rsid w:val="001E6801"/>
    <w:rsid w:val="001F1E4C"/>
    <w:rsid w:val="00211DDC"/>
    <w:rsid w:val="0021332C"/>
    <w:rsid w:val="00213982"/>
    <w:rsid w:val="00213DB3"/>
    <w:rsid w:val="00220FEE"/>
    <w:rsid w:val="00226590"/>
    <w:rsid w:val="002275B8"/>
    <w:rsid w:val="002317DE"/>
    <w:rsid w:val="00231AAC"/>
    <w:rsid w:val="0023266C"/>
    <w:rsid w:val="00233C64"/>
    <w:rsid w:val="0024416D"/>
    <w:rsid w:val="00271911"/>
    <w:rsid w:val="0027510D"/>
    <w:rsid w:val="00275B4D"/>
    <w:rsid w:val="0027732C"/>
    <w:rsid w:val="002800A0"/>
    <w:rsid w:val="002801B3"/>
    <w:rsid w:val="00281060"/>
    <w:rsid w:val="00286961"/>
    <w:rsid w:val="00290DCA"/>
    <w:rsid w:val="0029409E"/>
    <w:rsid w:val="002940E8"/>
    <w:rsid w:val="002966CC"/>
    <w:rsid w:val="002A6534"/>
    <w:rsid w:val="002A6E50"/>
    <w:rsid w:val="002B0283"/>
    <w:rsid w:val="002C256A"/>
    <w:rsid w:val="002C3CBE"/>
    <w:rsid w:val="002C4D2F"/>
    <w:rsid w:val="002D3575"/>
    <w:rsid w:val="002D59C1"/>
    <w:rsid w:val="002D66E7"/>
    <w:rsid w:val="002D74E7"/>
    <w:rsid w:val="002D7F83"/>
    <w:rsid w:val="002F1823"/>
    <w:rsid w:val="002F749F"/>
    <w:rsid w:val="00305A7F"/>
    <w:rsid w:val="00306FDE"/>
    <w:rsid w:val="00310440"/>
    <w:rsid w:val="0031501C"/>
    <w:rsid w:val="003152FE"/>
    <w:rsid w:val="00327436"/>
    <w:rsid w:val="0033342F"/>
    <w:rsid w:val="00337523"/>
    <w:rsid w:val="00341943"/>
    <w:rsid w:val="003423DF"/>
    <w:rsid w:val="00344BD6"/>
    <w:rsid w:val="0035528D"/>
    <w:rsid w:val="00356821"/>
    <w:rsid w:val="00360C4D"/>
    <w:rsid w:val="0036170D"/>
    <w:rsid w:val="00361821"/>
    <w:rsid w:val="00362C4E"/>
    <w:rsid w:val="0036369B"/>
    <w:rsid w:val="003736BD"/>
    <w:rsid w:val="00386209"/>
    <w:rsid w:val="00390477"/>
    <w:rsid w:val="00394AF7"/>
    <w:rsid w:val="003A7D21"/>
    <w:rsid w:val="003B070C"/>
    <w:rsid w:val="003B6462"/>
    <w:rsid w:val="003B778C"/>
    <w:rsid w:val="003D227C"/>
    <w:rsid w:val="003D27DD"/>
    <w:rsid w:val="003D2B4D"/>
    <w:rsid w:val="003D3BC8"/>
    <w:rsid w:val="003D5C6A"/>
    <w:rsid w:val="003D6C70"/>
    <w:rsid w:val="003F4060"/>
    <w:rsid w:val="004033F9"/>
    <w:rsid w:val="0041245D"/>
    <w:rsid w:val="00416A53"/>
    <w:rsid w:val="00417C69"/>
    <w:rsid w:val="00444A88"/>
    <w:rsid w:val="004458B1"/>
    <w:rsid w:val="004512FF"/>
    <w:rsid w:val="0045470D"/>
    <w:rsid w:val="00470244"/>
    <w:rsid w:val="004723C0"/>
    <w:rsid w:val="00474386"/>
    <w:rsid w:val="00474DA4"/>
    <w:rsid w:val="00476B4D"/>
    <w:rsid w:val="00477345"/>
    <w:rsid w:val="004805FA"/>
    <w:rsid w:val="00487215"/>
    <w:rsid w:val="004977E9"/>
    <w:rsid w:val="004A3569"/>
    <w:rsid w:val="004C7C85"/>
    <w:rsid w:val="004D047D"/>
    <w:rsid w:val="004D4C77"/>
    <w:rsid w:val="004E5720"/>
    <w:rsid w:val="004F305A"/>
    <w:rsid w:val="004F45B6"/>
    <w:rsid w:val="004F5F2F"/>
    <w:rsid w:val="00502EAC"/>
    <w:rsid w:val="00505459"/>
    <w:rsid w:val="00512164"/>
    <w:rsid w:val="0051572D"/>
    <w:rsid w:val="00520297"/>
    <w:rsid w:val="0052394A"/>
    <w:rsid w:val="005245AD"/>
    <w:rsid w:val="005338F9"/>
    <w:rsid w:val="00535D58"/>
    <w:rsid w:val="00542291"/>
    <w:rsid w:val="0054281C"/>
    <w:rsid w:val="0054520C"/>
    <w:rsid w:val="00551E6B"/>
    <w:rsid w:val="0055268D"/>
    <w:rsid w:val="00554D3E"/>
    <w:rsid w:val="00564644"/>
    <w:rsid w:val="005748F4"/>
    <w:rsid w:val="00576BE4"/>
    <w:rsid w:val="00582380"/>
    <w:rsid w:val="00582B2D"/>
    <w:rsid w:val="00596251"/>
    <w:rsid w:val="00597583"/>
    <w:rsid w:val="005A400A"/>
    <w:rsid w:val="005C5272"/>
    <w:rsid w:val="005C534C"/>
    <w:rsid w:val="005C5B75"/>
    <w:rsid w:val="005D260A"/>
    <w:rsid w:val="005D5881"/>
    <w:rsid w:val="005E590E"/>
    <w:rsid w:val="005F30A7"/>
    <w:rsid w:val="005F3831"/>
    <w:rsid w:val="005F39AC"/>
    <w:rsid w:val="005F45B0"/>
    <w:rsid w:val="005F5745"/>
    <w:rsid w:val="00604DCD"/>
    <w:rsid w:val="00612379"/>
    <w:rsid w:val="006124B5"/>
    <w:rsid w:val="00612C69"/>
    <w:rsid w:val="0061555F"/>
    <w:rsid w:val="00621527"/>
    <w:rsid w:val="0063139E"/>
    <w:rsid w:val="0063243A"/>
    <w:rsid w:val="00633EA9"/>
    <w:rsid w:val="0063559D"/>
    <w:rsid w:val="00641200"/>
    <w:rsid w:val="00642A4B"/>
    <w:rsid w:val="006445EE"/>
    <w:rsid w:val="00645B1F"/>
    <w:rsid w:val="00650902"/>
    <w:rsid w:val="00656B24"/>
    <w:rsid w:val="006635A8"/>
    <w:rsid w:val="006655D3"/>
    <w:rsid w:val="006657E3"/>
    <w:rsid w:val="00667404"/>
    <w:rsid w:val="00676DFD"/>
    <w:rsid w:val="00681967"/>
    <w:rsid w:val="00684ACE"/>
    <w:rsid w:val="006852BC"/>
    <w:rsid w:val="006866C4"/>
    <w:rsid w:val="00687EB4"/>
    <w:rsid w:val="006914F1"/>
    <w:rsid w:val="006918C6"/>
    <w:rsid w:val="00695458"/>
    <w:rsid w:val="006A3EE3"/>
    <w:rsid w:val="006A561F"/>
    <w:rsid w:val="006B0161"/>
    <w:rsid w:val="006B17D2"/>
    <w:rsid w:val="006B3AEF"/>
    <w:rsid w:val="006C19F9"/>
    <w:rsid w:val="006C224E"/>
    <w:rsid w:val="006C418D"/>
    <w:rsid w:val="006D780A"/>
    <w:rsid w:val="006E0B74"/>
    <w:rsid w:val="006E737F"/>
    <w:rsid w:val="006F22E1"/>
    <w:rsid w:val="006F50D0"/>
    <w:rsid w:val="006F551D"/>
    <w:rsid w:val="007008CF"/>
    <w:rsid w:val="0071595A"/>
    <w:rsid w:val="007250E4"/>
    <w:rsid w:val="00730C79"/>
    <w:rsid w:val="00732DEC"/>
    <w:rsid w:val="007330DD"/>
    <w:rsid w:val="00735BD5"/>
    <w:rsid w:val="00741D80"/>
    <w:rsid w:val="007473D2"/>
    <w:rsid w:val="00751FC6"/>
    <w:rsid w:val="007520E2"/>
    <w:rsid w:val="00754BD8"/>
    <w:rsid w:val="007556F6"/>
    <w:rsid w:val="0075779C"/>
    <w:rsid w:val="00760EEF"/>
    <w:rsid w:val="0076129B"/>
    <w:rsid w:val="00776750"/>
    <w:rsid w:val="00777EE5"/>
    <w:rsid w:val="00784836"/>
    <w:rsid w:val="00787DEF"/>
    <w:rsid w:val="0079023E"/>
    <w:rsid w:val="0079128B"/>
    <w:rsid w:val="007A2854"/>
    <w:rsid w:val="007A6AA3"/>
    <w:rsid w:val="007C0A7D"/>
    <w:rsid w:val="007C25BD"/>
    <w:rsid w:val="007C42CA"/>
    <w:rsid w:val="007C6767"/>
    <w:rsid w:val="007D0B9D"/>
    <w:rsid w:val="007D19B0"/>
    <w:rsid w:val="007E43A3"/>
    <w:rsid w:val="007F498F"/>
    <w:rsid w:val="007F6108"/>
    <w:rsid w:val="0080482B"/>
    <w:rsid w:val="0080679D"/>
    <w:rsid w:val="008108B0"/>
    <w:rsid w:val="0081106E"/>
    <w:rsid w:val="00811B20"/>
    <w:rsid w:val="00813850"/>
    <w:rsid w:val="008161A5"/>
    <w:rsid w:val="00816776"/>
    <w:rsid w:val="00817E85"/>
    <w:rsid w:val="0082296E"/>
    <w:rsid w:val="00824099"/>
    <w:rsid w:val="00834411"/>
    <w:rsid w:val="00837FBC"/>
    <w:rsid w:val="00854C32"/>
    <w:rsid w:val="00862910"/>
    <w:rsid w:val="00863113"/>
    <w:rsid w:val="00864FB2"/>
    <w:rsid w:val="008651D1"/>
    <w:rsid w:val="00867AC1"/>
    <w:rsid w:val="00876B8F"/>
    <w:rsid w:val="00881D81"/>
    <w:rsid w:val="00882CF1"/>
    <w:rsid w:val="0088336D"/>
    <w:rsid w:val="008841D9"/>
    <w:rsid w:val="00891326"/>
    <w:rsid w:val="008929D6"/>
    <w:rsid w:val="00895F99"/>
    <w:rsid w:val="00896336"/>
    <w:rsid w:val="00897616"/>
    <w:rsid w:val="008A17D0"/>
    <w:rsid w:val="008A447B"/>
    <w:rsid w:val="008A743F"/>
    <w:rsid w:val="008B026A"/>
    <w:rsid w:val="008C0970"/>
    <w:rsid w:val="008C381D"/>
    <w:rsid w:val="008D2CF7"/>
    <w:rsid w:val="008D4347"/>
    <w:rsid w:val="008D6750"/>
    <w:rsid w:val="008E5807"/>
    <w:rsid w:val="00900C26"/>
    <w:rsid w:val="0090197F"/>
    <w:rsid w:val="00903FAE"/>
    <w:rsid w:val="00906DDC"/>
    <w:rsid w:val="00911B95"/>
    <w:rsid w:val="009264F2"/>
    <w:rsid w:val="00933AF0"/>
    <w:rsid w:val="00934E09"/>
    <w:rsid w:val="00936253"/>
    <w:rsid w:val="00944D1B"/>
    <w:rsid w:val="00952DD4"/>
    <w:rsid w:val="00953897"/>
    <w:rsid w:val="00954973"/>
    <w:rsid w:val="009676F5"/>
    <w:rsid w:val="00970FED"/>
    <w:rsid w:val="00990AC1"/>
    <w:rsid w:val="00992D82"/>
    <w:rsid w:val="00995397"/>
    <w:rsid w:val="00997029"/>
    <w:rsid w:val="009A4635"/>
    <w:rsid w:val="009A4AC6"/>
    <w:rsid w:val="009A5CC2"/>
    <w:rsid w:val="009C1286"/>
    <w:rsid w:val="009C51B2"/>
    <w:rsid w:val="009D08D3"/>
    <w:rsid w:val="009D4F14"/>
    <w:rsid w:val="009D690D"/>
    <w:rsid w:val="009E1BD6"/>
    <w:rsid w:val="009E65B6"/>
    <w:rsid w:val="009E6E8C"/>
    <w:rsid w:val="009F60CA"/>
    <w:rsid w:val="009F762F"/>
    <w:rsid w:val="00A03296"/>
    <w:rsid w:val="00A03648"/>
    <w:rsid w:val="00A05D8B"/>
    <w:rsid w:val="00A067FE"/>
    <w:rsid w:val="00A12B36"/>
    <w:rsid w:val="00A20CD7"/>
    <w:rsid w:val="00A24C10"/>
    <w:rsid w:val="00A33531"/>
    <w:rsid w:val="00A42AC3"/>
    <w:rsid w:val="00A430CF"/>
    <w:rsid w:val="00A45FFC"/>
    <w:rsid w:val="00A511AC"/>
    <w:rsid w:val="00A53CDD"/>
    <w:rsid w:val="00A54309"/>
    <w:rsid w:val="00A6084F"/>
    <w:rsid w:val="00A61DC3"/>
    <w:rsid w:val="00A628BD"/>
    <w:rsid w:val="00A63453"/>
    <w:rsid w:val="00A637AE"/>
    <w:rsid w:val="00A8342C"/>
    <w:rsid w:val="00A920F6"/>
    <w:rsid w:val="00A929F5"/>
    <w:rsid w:val="00AB2812"/>
    <w:rsid w:val="00AB2B93"/>
    <w:rsid w:val="00AB3232"/>
    <w:rsid w:val="00AB530F"/>
    <w:rsid w:val="00AB6523"/>
    <w:rsid w:val="00AB7E5B"/>
    <w:rsid w:val="00AC57B9"/>
    <w:rsid w:val="00AD54CD"/>
    <w:rsid w:val="00AD7537"/>
    <w:rsid w:val="00AE0EF1"/>
    <w:rsid w:val="00AE2937"/>
    <w:rsid w:val="00AE48EB"/>
    <w:rsid w:val="00AF0440"/>
    <w:rsid w:val="00AF1FD5"/>
    <w:rsid w:val="00AF2367"/>
    <w:rsid w:val="00AF5959"/>
    <w:rsid w:val="00B07301"/>
    <w:rsid w:val="00B10488"/>
    <w:rsid w:val="00B17A36"/>
    <w:rsid w:val="00B20E48"/>
    <w:rsid w:val="00B21DDB"/>
    <w:rsid w:val="00B224DE"/>
    <w:rsid w:val="00B266AC"/>
    <w:rsid w:val="00B271EC"/>
    <w:rsid w:val="00B27354"/>
    <w:rsid w:val="00B27435"/>
    <w:rsid w:val="00B33D4E"/>
    <w:rsid w:val="00B46575"/>
    <w:rsid w:val="00B567D2"/>
    <w:rsid w:val="00B62A42"/>
    <w:rsid w:val="00B800C4"/>
    <w:rsid w:val="00B8399C"/>
    <w:rsid w:val="00B84BBD"/>
    <w:rsid w:val="00B95958"/>
    <w:rsid w:val="00BA07CF"/>
    <w:rsid w:val="00BA1695"/>
    <w:rsid w:val="00BA43FB"/>
    <w:rsid w:val="00BB63EA"/>
    <w:rsid w:val="00BC127D"/>
    <w:rsid w:val="00BC1FE6"/>
    <w:rsid w:val="00BD1E7D"/>
    <w:rsid w:val="00BD6F18"/>
    <w:rsid w:val="00BD728F"/>
    <w:rsid w:val="00BF5F4E"/>
    <w:rsid w:val="00BF7CC1"/>
    <w:rsid w:val="00C061B6"/>
    <w:rsid w:val="00C22F5D"/>
    <w:rsid w:val="00C2332F"/>
    <w:rsid w:val="00C2446C"/>
    <w:rsid w:val="00C36AE5"/>
    <w:rsid w:val="00C41F17"/>
    <w:rsid w:val="00C45724"/>
    <w:rsid w:val="00C46C3A"/>
    <w:rsid w:val="00C5280D"/>
    <w:rsid w:val="00C5791C"/>
    <w:rsid w:val="00C65728"/>
    <w:rsid w:val="00C66290"/>
    <w:rsid w:val="00C72A57"/>
    <w:rsid w:val="00C72B7A"/>
    <w:rsid w:val="00C75835"/>
    <w:rsid w:val="00C973F2"/>
    <w:rsid w:val="00CA304C"/>
    <w:rsid w:val="00CA774A"/>
    <w:rsid w:val="00CB1775"/>
    <w:rsid w:val="00CB7125"/>
    <w:rsid w:val="00CC11B0"/>
    <w:rsid w:val="00CC5C93"/>
    <w:rsid w:val="00CD524E"/>
    <w:rsid w:val="00CD720B"/>
    <w:rsid w:val="00CF7E36"/>
    <w:rsid w:val="00D05B03"/>
    <w:rsid w:val="00D12B9E"/>
    <w:rsid w:val="00D12FFE"/>
    <w:rsid w:val="00D13B74"/>
    <w:rsid w:val="00D13F23"/>
    <w:rsid w:val="00D1712A"/>
    <w:rsid w:val="00D2002B"/>
    <w:rsid w:val="00D3509B"/>
    <w:rsid w:val="00D3708D"/>
    <w:rsid w:val="00D37975"/>
    <w:rsid w:val="00D40426"/>
    <w:rsid w:val="00D41FEC"/>
    <w:rsid w:val="00D462EB"/>
    <w:rsid w:val="00D54EAB"/>
    <w:rsid w:val="00D57C96"/>
    <w:rsid w:val="00D6340A"/>
    <w:rsid w:val="00D731EA"/>
    <w:rsid w:val="00D7756E"/>
    <w:rsid w:val="00D87251"/>
    <w:rsid w:val="00D91203"/>
    <w:rsid w:val="00D94D3A"/>
    <w:rsid w:val="00D95174"/>
    <w:rsid w:val="00DA05B2"/>
    <w:rsid w:val="00DA6F36"/>
    <w:rsid w:val="00DB49FA"/>
    <w:rsid w:val="00DB596E"/>
    <w:rsid w:val="00DB71F7"/>
    <w:rsid w:val="00DB7773"/>
    <w:rsid w:val="00DC00EA"/>
    <w:rsid w:val="00DC04F7"/>
    <w:rsid w:val="00DC14F9"/>
    <w:rsid w:val="00DC2279"/>
    <w:rsid w:val="00DC38A1"/>
    <w:rsid w:val="00DC6260"/>
    <w:rsid w:val="00DE0253"/>
    <w:rsid w:val="00DE0B36"/>
    <w:rsid w:val="00DE14E4"/>
    <w:rsid w:val="00DE6D2B"/>
    <w:rsid w:val="00DF0D29"/>
    <w:rsid w:val="00DF61EE"/>
    <w:rsid w:val="00E0335A"/>
    <w:rsid w:val="00E32F7E"/>
    <w:rsid w:val="00E339A6"/>
    <w:rsid w:val="00E34B8A"/>
    <w:rsid w:val="00E43D9F"/>
    <w:rsid w:val="00E53CD3"/>
    <w:rsid w:val="00E5661E"/>
    <w:rsid w:val="00E5782A"/>
    <w:rsid w:val="00E6337A"/>
    <w:rsid w:val="00E70F6D"/>
    <w:rsid w:val="00E71894"/>
    <w:rsid w:val="00E7297F"/>
    <w:rsid w:val="00E72D49"/>
    <w:rsid w:val="00E7593C"/>
    <w:rsid w:val="00E7678A"/>
    <w:rsid w:val="00E82F50"/>
    <w:rsid w:val="00E86B4F"/>
    <w:rsid w:val="00E935F1"/>
    <w:rsid w:val="00E94A81"/>
    <w:rsid w:val="00EA1FFB"/>
    <w:rsid w:val="00EA7691"/>
    <w:rsid w:val="00EB048E"/>
    <w:rsid w:val="00EB2A97"/>
    <w:rsid w:val="00EB7BF9"/>
    <w:rsid w:val="00ED27F3"/>
    <w:rsid w:val="00ED37DA"/>
    <w:rsid w:val="00ED61B9"/>
    <w:rsid w:val="00EE2724"/>
    <w:rsid w:val="00EE3495"/>
    <w:rsid w:val="00EE34DF"/>
    <w:rsid w:val="00EF2F89"/>
    <w:rsid w:val="00EF4C62"/>
    <w:rsid w:val="00F00F8C"/>
    <w:rsid w:val="00F01DA3"/>
    <w:rsid w:val="00F03802"/>
    <w:rsid w:val="00F042A5"/>
    <w:rsid w:val="00F11BFD"/>
    <w:rsid w:val="00F1237A"/>
    <w:rsid w:val="00F221FB"/>
    <w:rsid w:val="00F22CBD"/>
    <w:rsid w:val="00F25CDB"/>
    <w:rsid w:val="00F25E31"/>
    <w:rsid w:val="00F40673"/>
    <w:rsid w:val="00F407FC"/>
    <w:rsid w:val="00F449CD"/>
    <w:rsid w:val="00F45372"/>
    <w:rsid w:val="00F5330E"/>
    <w:rsid w:val="00F551DC"/>
    <w:rsid w:val="00F560F7"/>
    <w:rsid w:val="00F617CC"/>
    <w:rsid w:val="00F6334D"/>
    <w:rsid w:val="00F72E16"/>
    <w:rsid w:val="00F74FB8"/>
    <w:rsid w:val="00F74FDE"/>
    <w:rsid w:val="00F87C82"/>
    <w:rsid w:val="00F9175E"/>
    <w:rsid w:val="00F9538D"/>
    <w:rsid w:val="00FA49AB"/>
    <w:rsid w:val="00FC0DD4"/>
    <w:rsid w:val="00FC12D3"/>
    <w:rsid w:val="00FD3B89"/>
    <w:rsid w:val="00FD7B1A"/>
    <w:rsid w:val="00FE1DDE"/>
    <w:rsid w:val="00FE39C7"/>
    <w:rsid w:val="00FF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D6F18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695458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F449CD"/>
    <w:pPr>
      <w:tabs>
        <w:tab w:val="right" w:leader="dot" w:pos="9639"/>
      </w:tabs>
      <w:spacing w:before="60" w:after="120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7345"/>
    <w:rPr>
      <w:rFonts w:ascii="Arial" w:hAnsi="Arial"/>
      <w:caps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F14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266C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7E6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BD6F18"/>
    <w:pPr>
      <w:keepNext/>
      <w:jc w:val="both"/>
      <w:outlineLvl w:val="1"/>
    </w:pPr>
    <w:rPr>
      <w:rFonts w:ascii="Arial" w:hAnsi="Arial" w:cs="Arial"/>
      <w:u w:val="single"/>
    </w:rPr>
  </w:style>
  <w:style w:type="paragraph" w:styleId="Heading3">
    <w:name w:val="heading 3"/>
    <w:next w:val="Normal"/>
    <w:autoRedefine/>
    <w:qFormat/>
    <w:rsid w:val="000E2E2A"/>
    <w:pPr>
      <w:keepNext/>
      <w:ind w:left="567"/>
      <w:jc w:val="both"/>
      <w:outlineLvl w:val="2"/>
    </w:pPr>
    <w:rPr>
      <w:rFonts w:ascii="Arial" w:hAnsi="Arial"/>
      <w:i/>
      <w:lang w:eastAsia="ja-JP"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uiPriority w:val="99"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qFormat/>
    <w:rsid w:val="00695458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  <w:noProof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unhideWhenUsed/>
    <w:rsid w:val="00DC6260"/>
    <w:rPr>
      <w:color w:val="0000FF" w:themeColor="hyperlink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F449CD"/>
    <w:pPr>
      <w:tabs>
        <w:tab w:val="right" w:leader="dot" w:pos="9639"/>
      </w:tabs>
      <w:spacing w:before="60" w:after="120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477345"/>
    <w:rPr>
      <w:rFonts w:ascii="Arial" w:hAnsi="Arial"/>
      <w:caps/>
    </w:rPr>
  </w:style>
  <w:style w:type="character" w:styleId="Emphasis">
    <w:name w:val="Emphasis"/>
    <w:basedOn w:val="DefaultParagraphFont"/>
    <w:qFormat/>
    <w:rsid w:val="00D13F23"/>
    <w:rPr>
      <w:i/>
      <w:iCs/>
    </w:rPr>
  </w:style>
  <w:style w:type="paragraph" w:styleId="BodyTextIndent3">
    <w:name w:val="Body Text Indent 3"/>
    <w:basedOn w:val="Normal"/>
    <w:link w:val="BodyTextIndent3Char"/>
    <w:rsid w:val="000B7B9A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0B7B9A"/>
    <w:rPr>
      <w:rFonts w:cs="Angsana New"/>
      <w:color w:val="000000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233C64"/>
    <w:pPr>
      <w:ind w:left="720"/>
      <w:contextualSpacing/>
    </w:pPr>
  </w:style>
  <w:style w:type="table" w:styleId="TableGrid">
    <w:name w:val="Table Grid"/>
    <w:basedOn w:val="TableNormal"/>
    <w:rsid w:val="00233C64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275B4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75B4D"/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D4F14"/>
    <w:rPr>
      <w:rFonts w:ascii="Arial" w:hAnsi="Arial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37523"/>
    <w:rPr>
      <w:rFonts w:ascii="Arial" w:hAnsi="Arial"/>
      <w:lang w:val="fr-FR"/>
    </w:rPr>
  </w:style>
  <w:style w:type="paragraph" w:customStyle="1" w:styleId="DecisionInvitingPara">
    <w:name w:val="Decision Inviting Para."/>
    <w:basedOn w:val="Normal"/>
    <w:rsid w:val="00554D3E"/>
    <w:pPr>
      <w:ind w:left="4536"/>
    </w:pPr>
    <w:rPr>
      <w:rFonts w:eastAsia="Times New Roman"/>
      <w:i/>
      <w:lang w:val="es-ES_tradnl"/>
    </w:rPr>
  </w:style>
  <w:style w:type="paragraph" w:customStyle="1" w:styleId="Style1">
    <w:name w:val="Style1"/>
    <w:basedOn w:val="Normal"/>
    <w:rsid w:val="00554D3E"/>
    <w:pPr>
      <w:tabs>
        <w:tab w:val="decimal" w:pos="907"/>
        <w:tab w:val="left" w:pos="1077"/>
      </w:tabs>
    </w:pPr>
    <w:rPr>
      <w:rFonts w:ascii="Times New Roman" w:eastAsia="Times New Roman" w:hAnsi="Times New Roman"/>
      <w:sz w:val="24"/>
      <w:szCs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3D27DD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23266C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hyperlink" Target="http://www.upov.int/about/en/faq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23" Type="http://schemas.openxmlformats.org/officeDocument/2006/relationships/fontTable" Target="fontTable.xml"/><Relationship Id="rId10" Type="http://schemas.openxmlformats.org/officeDocument/2006/relationships/styles" Target="styl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B6061-E175-4559-B3E9-7295E03C68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884723-9091-4924-A3A4-025B973F0B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88C867-AF8E-4851-839E-21A5E4E074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F4D7A2-CD13-4348-9259-81FC820426C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0ECB530-CB4E-4562-8FB7-D100B981EFC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76E7951-B395-4B57-80CF-4CC54A877D1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5CE5E7BF-C90F-471A-8BE5-0A24D369BDE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C795E0FB-F93E-4394-8C71-EFAF3AE4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3719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25045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keywords>MP/ko</cp:keywords>
  <cp:lastModifiedBy>BESSE Ariane</cp:lastModifiedBy>
  <cp:revision>14</cp:revision>
  <cp:lastPrinted>2015-02-26T17:45:00Z</cp:lastPrinted>
  <dcterms:created xsi:type="dcterms:W3CDTF">2015-02-26T10:28:00Z</dcterms:created>
  <dcterms:modified xsi:type="dcterms:W3CDTF">2015-02-26T17:45:00Z</dcterms:modified>
</cp:coreProperties>
</file>