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40DB4" w:rsidRPr="00340DB4" w:rsidTr="001B3822">
        <w:trPr>
          <w:trHeight w:val="1760"/>
        </w:trPr>
        <w:tc>
          <w:tcPr>
            <w:tcW w:w="4243" w:type="dxa"/>
          </w:tcPr>
          <w:p w:rsidR="00C34ADB" w:rsidRPr="00340DB4" w:rsidRDefault="00C34ADB" w:rsidP="00340DB4"/>
        </w:tc>
        <w:tc>
          <w:tcPr>
            <w:tcW w:w="1646" w:type="dxa"/>
            <w:vAlign w:val="center"/>
          </w:tcPr>
          <w:p w:rsidR="00C34ADB" w:rsidRPr="00340DB4" w:rsidRDefault="00C34ADB" w:rsidP="00340DB4">
            <w:pPr>
              <w:pStyle w:val="LogoUPOV"/>
            </w:pPr>
            <w:r w:rsidRPr="00340DB4">
              <w:rPr>
                <w:noProof/>
              </w:rPr>
              <w:drawing>
                <wp:inline distT="0" distB="0" distL="0" distR="0" wp14:anchorId="714522E1" wp14:editId="04580BA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C34ADB" w:rsidRPr="00340DB4" w:rsidRDefault="00C34ADB" w:rsidP="00340DB4">
            <w:pPr>
              <w:pStyle w:val="Lettrine"/>
              <w:spacing w:line="240" w:lineRule="auto"/>
            </w:pPr>
            <w:r w:rsidRPr="00340DB4">
              <w:t>F</w:t>
            </w:r>
          </w:p>
          <w:p w:rsidR="00C34ADB" w:rsidRPr="00340DB4" w:rsidRDefault="00C34ADB" w:rsidP="00C87530">
            <w:pPr>
              <w:pStyle w:val="Docoriginal"/>
              <w:jc w:val="left"/>
            </w:pPr>
            <w:r w:rsidRPr="00340DB4">
              <w:t>CAJ/71/</w:t>
            </w:r>
            <w:bookmarkStart w:id="0" w:name="Code"/>
            <w:bookmarkEnd w:id="0"/>
            <w:r w:rsidR="00704CAD" w:rsidRPr="00340DB4">
              <w:t>3</w:t>
            </w:r>
          </w:p>
          <w:p w:rsidR="00C34ADB" w:rsidRPr="00340DB4" w:rsidRDefault="00C34ADB" w:rsidP="00C87530">
            <w:pPr>
              <w:pStyle w:val="Docoriginal"/>
              <w:jc w:val="left"/>
            </w:pPr>
            <w:r w:rsidRPr="00340DB4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1C4EE2" w:rsidRPr="00340DB4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340DB4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340DB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proofErr w:type="spellStart"/>
            <w:r w:rsidRPr="00340DB4">
              <w:rPr>
                <w:b w:val="0"/>
                <w:spacing w:val="0"/>
              </w:rPr>
              <w:t>anglais</w:t>
            </w:r>
            <w:proofErr w:type="spellEnd"/>
          </w:p>
          <w:p w:rsidR="00C34ADB" w:rsidRPr="00340DB4" w:rsidRDefault="00C34ADB" w:rsidP="00C87530">
            <w:pPr>
              <w:pStyle w:val="Docoriginal"/>
              <w:jc w:val="left"/>
            </w:pPr>
            <w:r w:rsidRPr="00340DB4">
              <w:rPr>
                <w:spacing w:val="0"/>
              </w:rPr>
              <w:t>DATE</w:t>
            </w:r>
            <w:r w:rsidR="001C4EE2" w:rsidRPr="00340DB4">
              <w:rPr>
                <w:spacing w:val="0"/>
              </w:rPr>
              <w:t> </w:t>
            </w:r>
            <w:r w:rsidRPr="00340DB4">
              <w:rPr>
                <w:spacing w:val="0"/>
              </w:rPr>
              <w:t>:</w:t>
            </w:r>
            <w:r w:rsidRPr="00340DB4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Pr="00340DB4">
              <w:rPr>
                <w:rStyle w:val="StyleDocoriginalNotBold1"/>
                <w:spacing w:val="0"/>
                <w:lang w:val="fr-FR"/>
              </w:rPr>
              <w:t>2 </w:t>
            </w:r>
            <w:r w:rsidR="00C87530">
              <w:rPr>
                <w:rStyle w:val="StyleDocoriginalNotBold1"/>
                <w:spacing w:val="0"/>
                <w:lang w:val="fr-FR"/>
              </w:rPr>
              <w:t xml:space="preserve">mars </w:t>
            </w:r>
            <w:r w:rsidRPr="00340DB4">
              <w:rPr>
                <w:rStyle w:val="StyleDocoriginalNotBold1"/>
                <w:spacing w:val="0"/>
                <w:lang w:val="fr-FR"/>
              </w:rPr>
              <w:t>2015</w:t>
            </w:r>
          </w:p>
        </w:tc>
      </w:tr>
      <w:tr w:rsidR="00340DB4" w:rsidRPr="00340DB4" w:rsidTr="001B3822">
        <w:tc>
          <w:tcPr>
            <w:tcW w:w="10131" w:type="dxa"/>
            <w:gridSpan w:val="3"/>
          </w:tcPr>
          <w:p w:rsidR="00C34ADB" w:rsidRPr="00340DB4" w:rsidRDefault="00C34ADB" w:rsidP="00340DB4">
            <w:pPr>
              <w:pStyle w:val="upove"/>
              <w:rPr>
                <w:sz w:val="28"/>
              </w:rPr>
            </w:pPr>
            <w:r w:rsidRPr="00340DB4">
              <w:rPr>
                <w:spacing w:val="6"/>
              </w:rPr>
              <w:t>UNION INTERNATIONALE POUR LA PROTECTION DES OBTENTIONS VÉGÉTALES</w:t>
            </w:r>
          </w:p>
        </w:tc>
      </w:tr>
      <w:tr w:rsidR="00340DB4" w:rsidRPr="00340DB4" w:rsidTr="001B3822">
        <w:tc>
          <w:tcPr>
            <w:tcW w:w="10131" w:type="dxa"/>
            <w:gridSpan w:val="3"/>
          </w:tcPr>
          <w:p w:rsidR="00C34ADB" w:rsidRPr="00340DB4" w:rsidRDefault="00C34ADB" w:rsidP="00340DB4">
            <w:pPr>
              <w:pStyle w:val="Country"/>
            </w:pPr>
            <w:r w:rsidRPr="00340DB4">
              <w:t>Genève</w:t>
            </w:r>
          </w:p>
        </w:tc>
      </w:tr>
    </w:tbl>
    <w:p w:rsidR="00C34ADB" w:rsidRPr="00340DB4" w:rsidRDefault="00C34ADB" w:rsidP="00340DB4">
      <w:pPr>
        <w:pStyle w:val="Sessiontc"/>
      </w:pPr>
      <w:r w:rsidRPr="00340DB4">
        <w:t>Comité administratif et juridique</w:t>
      </w:r>
    </w:p>
    <w:p w:rsidR="00C34ADB" w:rsidRPr="00340DB4" w:rsidRDefault="00340DB4" w:rsidP="00340DB4">
      <w:pPr>
        <w:pStyle w:val="Sessiontcplacedate"/>
      </w:pPr>
      <w:proofErr w:type="spellStart"/>
      <w:r>
        <w:t>Soixante</w:t>
      </w:r>
      <w:proofErr w:type="spellEnd"/>
      <w:r>
        <w:t> </w:t>
      </w:r>
      <w:proofErr w:type="gramStart"/>
      <w:r>
        <w:t>et</w:t>
      </w:r>
      <w:proofErr w:type="gramEnd"/>
      <w:r>
        <w:t> </w:t>
      </w:r>
      <w:proofErr w:type="spellStart"/>
      <w:r w:rsidR="00C34ADB" w:rsidRPr="00340DB4">
        <w:t>onzième</w:t>
      </w:r>
      <w:proofErr w:type="spellEnd"/>
      <w:r w:rsidR="001C4EE2" w:rsidRPr="00340DB4">
        <w:t> </w:t>
      </w:r>
      <w:r w:rsidR="00C34ADB" w:rsidRPr="00340DB4">
        <w:t>session</w:t>
      </w:r>
      <w:r w:rsidR="00C34ADB" w:rsidRPr="00340DB4">
        <w:br/>
        <w:t>Genève, 26 mars 2015</w:t>
      </w:r>
    </w:p>
    <w:p w:rsidR="00F0449E" w:rsidRPr="00340DB4" w:rsidRDefault="00B6763E" w:rsidP="00340DB4">
      <w:pPr>
        <w:pStyle w:val="Titleofdoc0"/>
        <w:rPr>
          <w:lang w:val="fr-FR"/>
        </w:rPr>
      </w:pPr>
      <w:r w:rsidRPr="00340DB4">
        <w:rPr>
          <w:lang w:val="fr-FR"/>
        </w:rPr>
        <w:t>Dénominations variétales</w:t>
      </w:r>
    </w:p>
    <w:p w:rsidR="00C87530" w:rsidRPr="001352FA" w:rsidRDefault="00704CAD" w:rsidP="00C87530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</w:rPr>
      </w:pPr>
      <w:bookmarkStart w:id="3" w:name="Prepared"/>
      <w:bookmarkEnd w:id="3"/>
      <w:r w:rsidRPr="00340DB4">
        <w:rPr>
          <w:lang w:val="fr-FR"/>
        </w:rPr>
        <w:t>Document établi par le Bureau de l’Union</w:t>
      </w:r>
      <w:r w:rsidRPr="00340DB4">
        <w:rPr>
          <w:lang w:val="fr-FR"/>
        </w:rPr>
        <w:br/>
      </w:r>
      <w:r w:rsidRPr="00340DB4">
        <w:rPr>
          <w:lang w:val="fr-FR"/>
        </w:rPr>
        <w:br/>
      </w:r>
      <w:proofErr w:type="spellStart"/>
      <w:r w:rsidR="00C87530" w:rsidRPr="001352FA">
        <w:rPr>
          <w:color w:val="A6A6A6" w:themeColor="background1" w:themeShade="A6"/>
        </w:rPr>
        <w:t>Avertissement</w:t>
      </w:r>
      <w:proofErr w:type="spellEnd"/>
      <w:r w:rsidR="00C87530" w:rsidRPr="001352FA">
        <w:rPr>
          <w:color w:val="A6A6A6" w:themeColor="background1" w:themeShade="A6"/>
        </w:rPr>
        <w:t xml:space="preserve"> : le </w:t>
      </w:r>
      <w:proofErr w:type="spellStart"/>
      <w:r w:rsidR="00C87530" w:rsidRPr="001352FA">
        <w:rPr>
          <w:color w:val="A6A6A6" w:themeColor="background1" w:themeShade="A6"/>
        </w:rPr>
        <w:t>présent</w:t>
      </w:r>
      <w:proofErr w:type="spellEnd"/>
      <w:r w:rsidR="00C87530" w:rsidRPr="001352FA">
        <w:rPr>
          <w:color w:val="A6A6A6" w:themeColor="background1" w:themeShade="A6"/>
        </w:rPr>
        <w:t xml:space="preserve"> document ne </w:t>
      </w:r>
      <w:proofErr w:type="spellStart"/>
      <w:r w:rsidR="00C87530" w:rsidRPr="001352FA">
        <w:rPr>
          <w:color w:val="A6A6A6" w:themeColor="background1" w:themeShade="A6"/>
        </w:rPr>
        <w:t>représente</w:t>
      </w:r>
      <w:proofErr w:type="spellEnd"/>
      <w:r w:rsidR="00C87530" w:rsidRPr="001352FA">
        <w:rPr>
          <w:color w:val="A6A6A6" w:themeColor="background1" w:themeShade="A6"/>
        </w:rPr>
        <w:t xml:space="preserve"> pas les </w:t>
      </w:r>
      <w:proofErr w:type="spellStart"/>
      <w:r w:rsidR="00C87530" w:rsidRPr="001352FA">
        <w:rPr>
          <w:color w:val="A6A6A6" w:themeColor="background1" w:themeShade="A6"/>
        </w:rPr>
        <w:t>principes</w:t>
      </w:r>
      <w:proofErr w:type="spellEnd"/>
      <w:r w:rsidR="00C87530" w:rsidRPr="001352FA">
        <w:rPr>
          <w:color w:val="A6A6A6" w:themeColor="background1" w:themeShade="A6"/>
        </w:rPr>
        <w:t xml:space="preserve"> </w:t>
      </w:r>
      <w:proofErr w:type="spellStart"/>
      <w:r w:rsidR="00C87530" w:rsidRPr="001352FA">
        <w:rPr>
          <w:color w:val="A6A6A6" w:themeColor="background1" w:themeShade="A6"/>
        </w:rPr>
        <w:t>ou</w:t>
      </w:r>
      <w:proofErr w:type="spellEnd"/>
      <w:r w:rsidR="00C87530" w:rsidRPr="001352FA">
        <w:rPr>
          <w:color w:val="A6A6A6" w:themeColor="background1" w:themeShade="A6"/>
        </w:rPr>
        <w:t xml:space="preserve"> les orientations de </w:t>
      </w:r>
      <w:proofErr w:type="spellStart"/>
      <w:r w:rsidR="00C87530" w:rsidRPr="001352FA">
        <w:rPr>
          <w:color w:val="A6A6A6" w:themeColor="background1" w:themeShade="A6"/>
        </w:rPr>
        <w:t>l’UPOV</w:t>
      </w:r>
      <w:proofErr w:type="spellEnd"/>
    </w:p>
    <w:p w:rsidR="00C34ADB" w:rsidRPr="00340DB4" w:rsidRDefault="00B6763E" w:rsidP="00C87530">
      <w:pPr>
        <w:pStyle w:val="Heading1"/>
        <w:rPr>
          <w:lang w:val="fr-FR"/>
        </w:rPr>
      </w:pPr>
      <w:bookmarkStart w:id="4" w:name="_Toc413233493"/>
      <w:r w:rsidRPr="00340DB4">
        <w:rPr>
          <w:lang w:val="fr-FR"/>
        </w:rPr>
        <w:t>Résumé</w:t>
      </w:r>
      <w:bookmarkEnd w:id="4"/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B65A8F" w:rsidP="00340DB4">
      <w:pPr>
        <w:rPr>
          <w:rFonts w:cs="Arial"/>
          <w:snapToGrid w:val="0"/>
          <w:lang w:val="fr-FR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B6763E" w:rsidRPr="00340DB4">
        <w:rPr>
          <w:rFonts w:cs="Arial"/>
          <w:lang w:val="fr-FR"/>
        </w:rPr>
        <w:t>L</w:t>
      </w:r>
      <w:r w:rsidR="008720A1" w:rsidRPr="00340DB4">
        <w:rPr>
          <w:rFonts w:cs="Arial"/>
          <w:lang w:val="fr-FR"/>
        </w:rPr>
        <w:t>e</w:t>
      </w:r>
      <w:r w:rsidR="00B6763E" w:rsidRPr="00340DB4">
        <w:rPr>
          <w:rFonts w:cs="Arial"/>
          <w:lang w:val="fr-FR"/>
        </w:rPr>
        <w:t xml:space="preserve"> présent document </w:t>
      </w:r>
      <w:r w:rsidR="008720A1" w:rsidRPr="00340DB4">
        <w:rPr>
          <w:rFonts w:cs="Arial"/>
          <w:lang w:val="fr-FR"/>
        </w:rPr>
        <w:t xml:space="preserve">a pour objet </w:t>
      </w:r>
      <w:r w:rsidR="00B6763E" w:rsidRPr="00340DB4">
        <w:rPr>
          <w:rFonts w:cs="Arial"/>
          <w:lang w:val="fr-FR"/>
        </w:rPr>
        <w:t>de faire rapport sur les travaux concernant la possibilité d</w:t>
      </w:r>
      <w:r w:rsidR="00C34ADB" w:rsidRPr="00340DB4">
        <w:rPr>
          <w:rFonts w:cs="Arial"/>
          <w:lang w:val="fr-FR"/>
        </w:rPr>
        <w:t>’</w:t>
      </w:r>
      <w:r w:rsidR="00B6763E" w:rsidRPr="00340DB4">
        <w:rPr>
          <w:rFonts w:cs="Arial"/>
          <w:lang w:val="fr-FR"/>
        </w:rPr>
        <w:t>élaboration d</w:t>
      </w:r>
      <w:r w:rsidR="00C34ADB" w:rsidRPr="00340DB4">
        <w:rPr>
          <w:rFonts w:cs="Arial"/>
          <w:lang w:val="fr-FR"/>
        </w:rPr>
        <w:t>’</w:t>
      </w:r>
      <w:r w:rsidR="00B6763E" w:rsidRPr="00340DB4">
        <w:rPr>
          <w:rFonts w:cs="Arial"/>
          <w:lang w:val="fr-FR"/>
        </w:rPr>
        <w:t>un outil de recherche de l</w:t>
      </w:r>
      <w:r w:rsidR="00C34ADB" w:rsidRPr="00340DB4">
        <w:rPr>
          <w:rFonts w:cs="Arial"/>
          <w:lang w:val="fr-FR"/>
        </w:rPr>
        <w:t>’</w:t>
      </w:r>
      <w:r w:rsidR="00B6763E" w:rsidRPr="00340DB4">
        <w:rPr>
          <w:rFonts w:cs="Arial"/>
          <w:lang w:val="fr-FR"/>
        </w:rPr>
        <w:t>UPOV de similarité aux fins de la dénomination variétale et d</w:t>
      </w:r>
      <w:r w:rsidR="00C34ADB" w:rsidRPr="00340DB4">
        <w:rPr>
          <w:rFonts w:cs="Arial"/>
          <w:lang w:val="fr-FR"/>
        </w:rPr>
        <w:t>’</w:t>
      </w:r>
      <w:r w:rsidR="006D25CB" w:rsidRPr="00340DB4">
        <w:rPr>
          <w:rFonts w:cs="Arial"/>
          <w:lang w:val="fr-FR"/>
        </w:rPr>
        <w:t xml:space="preserve">examiner </w:t>
      </w:r>
      <w:r w:rsidR="00B6763E" w:rsidRPr="00340DB4">
        <w:rPr>
          <w:rFonts w:cs="Arial"/>
          <w:lang w:val="fr-FR"/>
        </w:rPr>
        <w:t xml:space="preserve">la révision éventuelle du document UPOV/INF/12/4 “Notes explicatives concernant les dénominations variétales en vertu de la </w:t>
      </w:r>
      <w:r w:rsidR="00C34ADB" w:rsidRPr="00340DB4">
        <w:rPr>
          <w:rFonts w:cs="Arial"/>
          <w:lang w:val="fr-FR"/>
        </w:rPr>
        <w:t>Convention UPOV</w:t>
      </w:r>
      <w:r w:rsidR="00B6763E" w:rsidRPr="00340DB4">
        <w:rPr>
          <w:rFonts w:cs="Arial"/>
          <w:lang w:val="fr-FR"/>
        </w:rPr>
        <w:t>”.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B65A8F" w:rsidP="00340DB4">
      <w:pPr>
        <w:pStyle w:val="DecisionParagraphs"/>
        <w:tabs>
          <w:tab w:val="clear" w:pos="5387"/>
          <w:tab w:val="left" w:pos="540"/>
        </w:tabs>
        <w:ind w:left="0"/>
        <w:rPr>
          <w:i w:val="0"/>
          <w:lang w:val="fr-FR" w:eastAsia="ja-JP"/>
        </w:rPr>
      </w:pPr>
      <w:r w:rsidRPr="00340DB4">
        <w:rPr>
          <w:i w:val="0"/>
          <w:lang w:val="fr-FR"/>
        </w:rPr>
        <w:fldChar w:fldCharType="begin"/>
      </w:r>
      <w:r w:rsidRPr="00340DB4">
        <w:rPr>
          <w:i w:val="0"/>
          <w:lang w:val="fr-FR"/>
        </w:rPr>
        <w:instrText xml:space="preserve"> AUTONUM  </w:instrText>
      </w:r>
      <w:r w:rsidRPr="00340DB4">
        <w:rPr>
          <w:i w:val="0"/>
          <w:lang w:val="fr-FR"/>
        </w:rPr>
        <w:fldChar w:fldCharType="end"/>
      </w:r>
      <w:r w:rsidRPr="00340DB4">
        <w:rPr>
          <w:i w:val="0"/>
          <w:lang w:val="fr-FR"/>
        </w:rPr>
        <w:tab/>
      </w:r>
      <w:r w:rsidR="00B6763E" w:rsidRPr="00340DB4">
        <w:rPr>
          <w:i w:val="0"/>
          <w:lang w:val="fr-FR"/>
        </w:rPr>
        <w:t>Le CAJ est invité</w:t>
      </w:r>
      <w:r w:rsidR="00C87530">
        <w:rPr>
          <w:i w:val="0"/>
          <w:lang w:val="fr-FR"/>
        </w:rPr>
        <w:t xml:space="preserve"> à :</w:t>
      </w:r>
    </w:p>
    <w:p w:rsidR="00F0449E" w:rsidRPr="00340DB4" w:rsidRDefault="00F0449E" w:rsidP="00340DB4">
      <w:pPr>
        <w:pStyle w:val="DecisionParagraphs"/>
        <w:ind w:left="0"/>
        <w:rPr>
          <w:i w:val="0"/>
          <w:lang w:val="fr-FR" w:eastAsia="ja-JP"/>
        </w:rPr>
      </w:pPr>
    </w:p>
    <w:p w:rsidR="00F0449E" w:rsidRPr="00340DB4" w:rsidRDefault="00C602FB" w:rsidP="00340DB4">
      <w:pPr>
        <w:pStyle w:val="DecisionParagraphs"/>
        <w:tabs>
          <w:tab w:val="clear" w:pos="5387"/>
          <w:tab w:val="left" w:pos="0"/>
          <w:tab w:val="left" w:pos="1080"/>
        </w:tabs>
        <w:ind w:left="0" w:firstLine="540"/>
        <w:rPr>
          <w:i w:val="0"/>
          <w:lang w:val="fr-FR"/>
        </w:rPr>
      </w:pPr>
      <w:r w:rsidRPr="00340DB4">
        <w:rPr>
          <w:i w:val="0"/>
          <w:lang w:val="fr-FR"/>
        </w:rPr>
        <w:t>a)</w:t>
      </w:r>
      <w:r w:rsidRPr="00340DB4">
        <w:rPr>
          <w:i w:val="0"/>
          <w:lang w:val="fr-FR"/>
        </w:rPr>
        <w:tab/>
        <w:t>prendre note des travaux concernant la possibilité d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élaboration d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un outil de recherche de l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 xml:space="preserve">UPOV de similarité aux fins de la dénomination variétale </w:t>
      </w:r>
      <w:r w:rsidR="009E319B" w:rsidRPr="00340DB4">
        <w:rPr>
          <w:i w:val="0"/>
          <w:lang w:val="fr-FR"/>
        </w:rPr>
        <w:t xml:space="preserve">qui ont été </w:t>
      </w:r>
      <w:r w:rsidRPr="00340DB4">
        <w:rPr>
          <w:i w:val="0"/>
          <w:lang w:val="fr-FR"/>
        </w:rPr>
        <w:t>réalisés par le groupe de travail sur l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élaboration d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un outil de recherche de l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UPOV de similarité aux fins de la dénomination variétale (WG</w:t>
      </w:r>
      <w:r w:rsidR="001B3822" w:rsidRPr="00340DB4">
        <w:rPr>
          <w:i w:val="0"/>
          <w:lang w:val="fr-FR"/>
        </w:rPr>
        <w:noBreakHyphen/>
      </w:r>
      <w:r w:rsidRPr="00340DB4">
        <w:rPr>
          <w:i w:val="0"/>
          <w:lang w:val="fr-FR"/>
        </w:rPr>
        <w:t xml:space="preserve">DST), </w:t>
      </w:r>
      <w:r w:rsidR="00C34ADB" w:rsidRPr="00340DB4">
        <w:rPr>
          <w:i w:val="0"/>
          <w:lang w:val="fr-FR"/>
        </w:rPr>
        <w:t>y compris</w:t>
      </w:r>
      <w:r w:rsidRPr="00340DB4">
        <w:rPr>
          <w:i w:val="0"/>
          <w:lang w:val="fr-FR"/>
        </w:rPr>
        <w:t xml:space="preserve"> l</w:t>
      </w:r>
      <w:r w:rsidR="00C34ADB" w:rsidRPr="00340DB4">
        <w:rPr>
          <w:i w:val="0"/>
          <w:lang w:val="fr-FR"/>
        </w:rPr>
        <w:t>’</w:t>
      </w:r>
      <w:r w:rsidRPr="00340DB4">
        <w:rPr>
          <w:i w:val="0"/>
          <w:lang w:val="fr-FR"/>
        </w:rPr>
        <w:t>étude test, comme indiqué aux paragraphes</w:t>
      </w:r>
      <w:r w:rsidR="001C4EE2" w:rsidRPr="00340DB4">
        <w:rPr>
          <w:i w:val="0"/>
          <w:lang w:val="fr-FR"/>
        </w:rPr>
        <w:t> </w:t>
      </w:r>
      <w:r w:rsidRPr="00340DB4">
        <w:rPr>
          <w:i w:val="0"/>
          <w:lang w:val="fr-FR"/>
        </w:rPr>
        <w:t>6 à 13;</w:t>
      </w:r>
    </w:p>
    <w:p w:rsidR="00F0449E" w:rsidRPr="00340DB4" w:rsidRDefault="00F0449E" w:rsidP="00340DB4">
      <w:pPr>
        <w:pStyle w:val="DecisionParagraphs"/>
        <w:ind w:left="0"/>
        <w:rPr>
          <w:i w:val="0"/>
          <w:lang w:val="fr-FR"/>
        </w:rPr>
      </w:pPr>
    </w:p>
    <w:p w:rsidR="00F0449E" w:rsidRPr="00340DB4" w:rsidRDefault="000D6679" w:rsidP="00340DB4">
      <w:pPr>
        <w:pStyle w:val="DecisionParagraphs"/>
        <w:tabs>
          <w:tab w:val="clear" w:pos="5387"/>
          <w:tab w:val="left" w:pos="720"/>
        </w:tabs>
        <w:ind w:left="0" w:firstLine="540"/>
        <w:rPr>
          <w:rFonts w:cs="Arial"/>
          <w:i w:val="0"/>
          <w:lang w:val="fr-FR" w:eastAsia="ja-JP"/>
        </w:rPr>
      </w:pPr>
      <w:r w:rsidRPr="00340DB4">
        <w:rPr>
          <w:i w:val="0"/>
          <w:lang w:val="fr-FR"/>
        </w:rPr>
        <w:t>b)</w:t>
      </w:r>
      <w:r w:rsidR="00D92E52" w:rsidRPr="00340DB4">
        <w:rPr>
          <w:i w:val="0"/>
          <w:lang w:val="fr-FR"/>
        </w:rPr>
        <w:tab/>
      </w:r>
      <w:r w:rsidRPr="00340DB4">
        <w:rPr>
          <w:i w:val="0"/>
          <w:lang w:val="fr-FR" w:eastAsia="ja-JP"/>
        </w:rPr>
        <w:tab/>
      </w:r>
      <w:r w:rsidR="006D25CB" w:rsidRPr="00340DB4">
        <w:rPr>
          <w:i w:val="0"/>
          <w:lang w:val="fr-FR" w:eastAsia="ja-JP"/>
        </w:rPr>
        <w:t>examiner la proposition de révision du document UPOV/INF/12 concernant les modifications de dénominations variétales enregi</w:t>
      </w:r>
      <w:r w:rsidR="00D92E52" w:rsidRPr="00340DB4">
        <w:rPr>
          <w:i w:val="0"/>
          <w:lang w:val="fr-FR" w:eastAsia="ja-JP"/>
        </w:rPr>
        <w:t>s</w:t>
      </w:r>
      <w:r w:rsidR="006D25CB" w:rsidRPr="00340DB4">
        <w:rPr>
          <w:i w:val="0"/>
          <w:lang w:val="fr-FR" w:eastAsia="ja-JP"/>
        </w:rPr>
        <w:t>trées</w:t>
      </w:r>
      <w:r w:rsidR="00DE2A64" w:rsidRPr="00340DB4">
        <w:rPr>
          <w:i w:val="0"/>
          <w:lang w:val="fr-FR"/>
        </w:rPr>
        <w:t>,</w:t>
      </w:r>
      <w:r w:rsidR="006D25CB" w:rsidRPr="00340DB4">
        <w:rPr>
          <w:i w:val="0"/>
          <w:lang w:val="fr-FR"/>
        </w:rPr>
        <w:t xml:space="preserve"> comme indiqué au</w:t>
      </w:r>
      <w:r w:rsidR="00DE2A64" w:rsidRPr="00340DB4">
        <w:rPr>
          <w:i w:val="0"/>
          <w:lang w:val="fr-FR"/>
        </w:rPr>
        <w:t xml:space="preserve"> paragraph</w:t>
      </w:r>
      <w:r w:rsidR="006D25CB" w:rsidRPr="00340DB4">
        <w:rPr>
          <w:i w:val="0"/>
          <w:lang w:val="fr-FR"/>
        </w:rPr>
        <w:t>e</w:t>
      </w:r>
      <w:r w:rsidR="001C4EE2" w:rsidRPr="00340DB4">
        <w:rPr>
          <w:i w:val="0"/>
          <w:lang w:val="fr-FR"/>
        </w:rPr>
        <w:t> </w:t>
      </w:r>
      <w:r w:rsidR="00973A6F" w:rsidRPr="00340DB4">
        <w:rPr>
          <w:i w:val="0"/>
          <w:lang w:val="fr-FR"/>
        </w:rPr>
        <w:t>21</w:t>
      </w:r>
      <w:r w:rsidR="005A482D" w:rsidRPr="00340DB4">
        <w:rPr>
          <w:i w:val="0"/>
          <w:lang w:val="fr-FR"/>
        </w:rPr>
        <w:t>,</w:t>
      </w:r>
      <w:r w:rsidR="00D92E52" w:rsidRPr="00340DB4">
        <w:rPr>
          <w:i w:val="0"/>
          <w:lang w:val="fr-FR"/>
        </w:rPr>
        <w:t xml:space="preserve"> et</w:t>
      </w:r>
      <w:r w:rsidR="00973A6F" w:rsidRPr="00340DB4">
        <w:rPr>
          <w:i w:val="0"/>
          <w:lang w:val="fr-FR"/>
        </w:rPr>
        <w:t xml:space="preserve">, </w:t>
      </w:r>
      <w:r w:rsidR="00D92E52" w:rsidRPr="00340DB4">
        <w:rPr>
          <w:i w:val="0"/>
          <w:lang w:val="fr-FR"/>
        </w:rPr>
        <w:t>sous réserve de l</w:t>
      </w:r>
      <w:r w:rsidR="00C34ADB" w:rsidRPr="00340DB4">
        <w:rPr>
          <w:i w:val="0"/>
          <w:lang w:val="fr-FR"/>
        </w:rPr>
        <w:t>’</w:t>
      </w:r>
      <w:r w:rsidR="00D92E52" w:rsidRPr="00340DB4">
        <w:rPr>
          <w:i w:val="0"/>
          <w:lang w:val="fr-FR"/>
        </w:rPr>
        <w:t>approbation</w:t>
      </w:r>
      <w:r w:rsidR="00C34ADB" w:rsidRPr="00340DB4">
        <w:rPr>
          <w:i w:val="0"/>
          <w:lang w:val="fr-FR"/>
        </w:rPr>
        <w:t xml:space="preserve"> du CAJ</w:t>
      </w:r>
      <w:r w:rsidR="00973A6F" w:rsidRPr="00340DB4">
        <w:rPr>
          <w:i w:val="0"/>
          <w:lang w:val="fr-FR"/>
        </w:rPr>
        <w:t xml:space="preserve">, </w:t>
      </w:r>
      <w:r w:rsidR="00D92E52" w:rsidRPr="00340DB4">
        <w:rPr>
          <w:i w:val="0"/>
          <w:lang w:val="fr-FR"/>
        </w:rPr>
        <w:t xml:space="preserve">à présenter ces orientations pour </w:t>
      </w:r>
      <w:r w:rsidR="00973A6F" w:rsidRPr="00340DB4">
        <w:rPr>
          <w:i w:val="0"/>
          <w:lang w:val="fr-FR"/>
        </w:rPr>
        <w:t xml:space="preserve">adoption </w:t>
      </w:r>
      <w:r w:rsidR="00D92E52" w:rsidRPr="00340DB4">
        <w:rPr>
          <w:i w:val="0"/>
          <w:lang w:val="fr-FR"/>
        </w:rPr>
        <w:t>par le Conseil à sa quarante</w:t>
      </w:r>
      <w:r w:rsidR="001B3822" w:rsidRPr="00340DB4">
        <w:rPr>
          <w:i w:val="0"/>
          <w:szCs w:val="22"/>
          <w:lang w:val="fr-FR"/>
        </w:rPr>
        <w:noBreakHyphen/>
      </w:r>
      <w:r w:rsidR="00D92E52" w:rsidRPr="00340DB4">
        <w:rPr>
          <w:i w:val="0"/>
          <w:szCs w:val="22"/>
          <w:lang w:val="fr-FR"/>
        </w:rPr>
        <w:t>neuvième</w:t>
      </w:r>
      <w:r w:rsidR="001C4EE2" w:rsidRPr="00340DB4">
        <w:rPr>
          <w:i w:val="0"/>
          <w:szCs w:val="22"/>
          <w:lang w:val="fr-FR"/>
        </w:rPr>
        <w:t> </w:t>
      </w:r>
      <w:r w:rsidR="00973A6F" w:rsidRPr="00340DB4">
        <w:rPr>
          <w:i w:val="0"/>
          <w:lang w:val="fr-FR"/>
        </w:rPr>
        <w:t>s</w:t>
      </w:r>
      <w:r w:rsidR="00026478" w:rsidRPr="00340DB4">
        <w:rPr>
          <w:i w:val="0"/>
          <w:lang w:val="fr-FR"/>
        </w:rPr>
        <w:t>ession</w:t>
      </w:r>
      <w:r w:rsidR="00D92E52" w:rsidRPr="00340DB4">
        <w:rPr>
          <w:i w:val="0"/>
          <w:lang w:val="fr-FR"/>
        </w:rPr>
        <w:t xml:space="preserve"> ordinaire</w:t>
      </w:r>
      <w:r w:rsidR="00026478" w:rsidRPr="00340DB4">
        <w:rPr>
          <w:i w:val="0"/>
          <w:lang w:val="fr-FR"/>
        </w:rPr>
        <w:t xml:space="preserve">, </w:t>
      </w:r>
      <w:r w:rsidR="00D92E52" w:rsidRPr="00340DB4">
        <w:rPr>
          <w:i w:val="0"/>
          <w:lang w:val="fr-FR"/>
        </w:rPr>
        <w:t xml:space="preserve">prévue le </w:t>
      </w:r>
      <w:r w:rsidR="00026478" w:rsidRPr="00340DB4">
        <w:rPr>
          <w:i w:val="0"/>
          <w:lang w:val="fr-FR"/>
        </w:rPr>
        <w:t>2</w:t>
      </w:r>
      <w:r w:rsidR="00C34ADB" w:rsidRPr="00340DB4">
        <w:rPr>
          <w:i w:val="0"/>
          <w:lang w:val="fr-FR"/>
        </w:rPr>
        <w:t>9 octobre 20</w:t>
      </w:r>
      <w:r w:rsidR="00973A6F" w:rsidRPr="00340DB4">
        <w:rPr>
          <w:i w:val="0"/>
          <w:lang w:val="fr-FR"/>
        </w:rPr>
        <w:t>15</w:t>
      </w:r>
      <w:r w:rsidR="00B65A8F" w:rsidRPr="00340DB4">
        <w:rPr>
          <w:rFonts w:cs="Arial"/>
          <w:i w:val="0"/>
          <w:lang w:val="fr-FR" w:eastAsia="ja-JP"/>
        </w:rPr>
        <w:t>;</w:t>
      </w:r>
    </w:p>
    <w:p w:rsidR="00F0449E" w:rsidRPr="00340DB4" w:rsidRDefault="00F0449E" w:rsidP="00340DB4">
      <w:pPr>
        <w:pStyle w:val="DecisionParagraphs"/>
        <w:tabs>
          <w:tab w:val="clear" w:pos="5387"/>
          <w:tab w:val="left" w:pos="1080"/>
        </w:tabs>
        <w:ind w:left="1080" w:hanging="513"/>
        <w:rPr>
          <w:rFonts w:cs="Arial"/>
          <w:i w:val="0"/>
          <w:lang w:val="fr-FR" w:eastAsia="ja-JP"/>
        </w:rPr>
      </w:pPr>
    </w:p>
    <w:p w:rsidR="00F0449E" w:rsidRPr="00340DB4" w:rsidRDefault="003C178D" w:rsidP="00340DB4">
      <w:pPr>
        <w:pStyle w:val="DecisionParagraphs"/>
        <w:tabs>
          <w:tab w:val="clear" w:pos="5387"/>
          <w:tab w:val="left" w:pos="0"/>
        </w:tabs>
        <w:ind w:left="0" w:firstLine="540"/>
        <w:rPr>
          <w:i w:val="0"/>
          <w:lang w:val="fr-FR" w:eastAsia="ja-JP"/>
        </w:rPr>
      </w:pPr>
      <w:proofErr w:type="gramStart"/>
      <w:r w:rsidRPr="00340DB4">
        <w:rPr>
          <w:i w:val="0"/>
          <w:lang w:val="fr-FR"/>
        </w:rPr>
        <w:t>c)</w:t>
      </w:r>
      <w:proofErr w:type="gramEnd"/>
      <w:r w:rsidRPr="00340DB4">
        <w:rPr>
          <w:i w:val="0"/>
          <w:lang w:val="fr-FR"/>
        </w:rPr>
        <w:tab/>
      </w:r>
      <w:r w:rsidR="00D92E52" w:rsidRPr="00340DB4">
        <w:rPr>
          <w:i w:val="0"/>
          <w:lang w:val="fr-FR"/>
        </w:rPr>
        <w:t>inviter le</w:t>
      </w:r>
      <w:r w:rsidR="00D306D7" w:rsidRPr="00340DB4">
        <w:rPr>
          <w:rFonts w:cs="Arial"/>
          <w:i w:val="0"/>
          <w:lang w:val="fr-FR" w:eastAsia="ja-JP"/>
        </w:rPr>
        <w:t xml:space="preserve"> WG</w:t>
      </w:r>
      <w:r w:rsidR="001B3822" w:rsidRPr="00340DB4">
        <w:rPr>
          <w:rFonts w:cs="Arial"/>
          <w:i w:val="0"/>
          <w:lang w:val="fr-FR" w:eastAsia="ja-JP"/>
        </w:rPr>
        <w:noBreakHyphen/>
      </w:r>
      <w:r w:rsidR="00D306D7" w:rsidRPr="00340DB4">
        <w:rPr>
          <w:rFonts w:cs="Arial"/>
          <w:i w:val="0"/>
          <w:lang w:val="fr-FR" w:eastAsia="ja-JP"/>
        </w:rPr>
        <w:t xml:space="preserve">DST </w:t>
      </w:r>
      <w:r w:rsidR="00D92E52" w:rsidRPr="00340DB4">
        <w:rPr>
          <w:rFonts w:cs="Arial"/>
          <w:i w:val="0"/>
          <w:lang w:val="fr-FR" w:eastAsia="ja-JP"/>
        </w:rPr>
        <w:t>à examiner les observations faites par</w:t>
      </w:r>
      <w:r w:rsidR="00C34ADB" w:rsidRPr="00340DB4">
        <w:rPr>
          <w:rFonts w:cs="Arial"/>
          <w:i w:val="0"/>
          <w:lang w:val="fr-FR" w:eastAsia="ja-JP"/>
        </w:rPr>
        <w:t xml:space="preserve"> le CAJ</w:t>
      </w:r>
      <w:r w:rsidR="001B3822" w:rsidRPr="00340DB4">
        <w:rPr>
          <w:rFonts w:cs="Arial"/>
          <w:i w:val="0"/>
          <w:lang w:val="fr-FR" w:eastAsia="ja-JP"/>
        </w:rPr>
        <w:noBreakHyphen/>
      </w:r>
      <w:r w:rsidR="00D92E52" w:rsidRPr="00340DB4">
        <w:rPr>
          <w:rFonts w:cs="Arial"/>
          <w:i w:val="0"/>
          <w:lang w:val="fr-FR" w:eastAsia="ja-JP"/>
        </w:rPr>
        <w:t>AG</w:t>
      </w:r>
      <w:r w:rsidR="00D306D7" w:rsidRPr="00340DB4">
        <w:rPr>
          <w:rFonts w:cs="Arial"/>
          <w:i w:val="0"/>
          <w:lang w:val="fr-FR" w:eastAsia="ja-JP"/>
        </w:rPr>
        <w:t xml:space="preserve"> </w:t>
      </w:r>
      <w:r w:rsidR="00D92E52" w:rsidRPr="00340DB4">
        <w:rPr>
          <w:rFonts w:cs="Arial"/>
          <w:i w:val="0"/>
          <w:lang w:val="fr-FR" w:eastAsia="ja-JP"/>
        </w:rPr>
        <w:t>à sa neuvième</w:t>
      </w:r>
      <w:r w:rsidR="001C4EE2" w:rsidRPr="00340DB4">
        <w:rPr>
          <w:rFonts w:cs="Arial"/>
          <w:i w:val="0"/>
          <w:lang w:val="fr-FR" w:eastAsia="ja-JP"/>
        </w:rPr>
        <w:t> </w:t>
      </w:r>
      <w:r w:rsidR="00D92E52" w:rsidRPr="00340DB4">
        <w:rPr>
          <w:rFonts w:cs="Arial"/>
          <w:i w:val="0"/>
          <w:lang w:val="fr-FR" w:eastAsia="ja-JP"/>
        </w:rPr>
        <w:t>session</w:t>
      </w:r>
      <w:r w:rsidR="00D306D7" w:rsidRPr="00340DB4">
        <w:rPr>
          <w:rFonts w:cs="Arial"/>
          <w:i w:val="0"/>
          <w:lang w:val="fr-FR" w:eastAsia="ja-JP"/>
        </w:rPr>
        <w:t xml:space="preserve"> </w:t>
      </w:r>
      <w:r w:rsidR="00D92E52" w:rsidRPr="00340DB4">
        <w:rPr>
          <w:rFonts w:cs="Arial"/>
          <w:i w:val="0"/>
          <w:lang w:val="fr-FR" w:eastAsia="ja-JP"/>
        </w:rPr>
        <w:t xml:space="preserve">sur les propositions </w:t>
      </w:r>
      <w:r w:rsidR="005A482D" w:rsidRPr="00340DB4">
        <w:rPr>
          <w:rFonts w:cs="Arial"/>
          <w:i w:val="0"/>
          <w:lang w:val="fr-FR" w:eastAsia="ja-JP"/>
        </w:rPr>
        <w:t>présentées</w:t>
      </w:r>
      <w:r w:rsidR="00D92E52" w:rsidRPr="00340DB4">
        <w:rPr>
          <w:rFonts w:cs="Arial"/>
          <w:i w:val="0"/>
          <w:lang w:val="fr-FR" w:eastAsia="ja-JP"/>
        </w:rPr>
        <w:t xml:space="preserve"> dans le </w:t>
      </w:r>
      <w:r w:rsidR="00D306D7" w:rsidRPr="00340DB4">
        <w:rPr>
          <w:rFonts w:cs="Arial"/>
          <w:i w:val="0"/>
          <w:lang w:val="fr-FR" w:eastAsia="ja-JP"/>
        </w:rPr>
        <w:t xml:space="preserve">document UPOV/INF/12/5 </w:t>
      </w:r>
      <w:proofErr w:type="spellStart"/>
      <w:r w:rsidR="00D306D7" w:rsidRPr="00340DB4">
        <w:rPr>
          <w:rFonts w:cs="Arial"/>
          <w:i w:val="0"/>
          <w:lang w:val="fr-FR" w:eastAsia="ja-JP"/>
        </w:rPr>
        <w:t>Dr</w:t>
      </w:r>
      <w:r w:rsidR="00483972" w:rsidRPr="00340DB4">
        <w:rPr>
          <w:rFonts w:cs="Arial"/>
          <w:i w:val="0"/>
          <w:lang w:val="fr-FR" w:eastAsia="ja-JP"/>
        </w:rPr>
        <w:t>aft</w:t>
      </w:r>
      <w:proofErr w:type="spellEnd"/>
      <w:r w:rsidR="00483972" w:rsidRPr="00340DB4">
        <w:rPr>
          <w:rFonts w:cs="Arial"/>
          <w:i w:val="0"/>
          <w:lang w:val="fr-FR" w:eastAsia="ja-JP"/>
        </w:rPr>
        <w:t xml:space="preserve"> 2 concern</w:t>
      </w:r>
      <w:r w:rsidR="00D92E52" w:rsidRPr="00340DB4">
        <w:rPr>
          <w:rFonts w:cs="Arial"/>
          <w:i w:val="0"/>
          <w:lang w:val="fr-FR" w:eastAsia="ja-JP"/>
        </w:rPr>
        <w:t xml:space="preserve">ant les </w:t>
      </w:r>
      <w:r w:rsidR="0081069D" w:rsidRPr="00340DB4">
        <w:rPr>
          <w:rFonts w:cs="Arial"/>
          <w:i w:val="0"/>
          <w:lang w:val="fr-FR" w:eastAsia="ja-JP"/>
        </w:rPr>
        <w:t>paragraphe</w:t>
      </w:r>
      <w:r w:rsidR="00483972" w:rsidRPr="00340DB4">
        <w:rPr>
          <w:rFonts w:cs="Arial"/>
          <w:i w:val="0"/>
          <w:lang w:val="fr-FR" w:eastAsia="ja-JP"/>
        </w:rPr>
        <w:t>s</w:t>
      </w:r>
      <w:r w:rsidR="001C4EE2" w:rsidRPr="00340DB4">
        <w:rPr>
          <w:rFonts w:cs="Arial"/>
          <w:i w:val="0"/>
          <w:lang w:val="fr-FR" w:eastAsia="ja-JP"/>
        </w:rPr>
        <w:t> </w:t>
      </w:r>
      <w:r w:rsidR="00483972" w:rsidRPr="00340DB4">
        <w:rPr>
          <w:rFonts w:cs="Arial"/>
          <w:i w:val="0"/>
          <w:lang w:val="fr-FR" w:eastAsia="ja-JP"/>
        </w:rPr>
        <w:t>2.2.2</w:t>
      </w:r>
      <w:r w:rsidR="00CA49A4" w:rsidRPr="00340DB4">
        <w:rPr>
          <w:rFonts w:cs="Arial"/>
          <w:i w:val="0"/>
          <w:lang w:val="fr-FR" w:eastAsia="ja-JP"/>
        </w:rPr>
        <w:t>.</w:t>
      </w:r>
      <w:r w:rsidR="00483972" w:rsidRPr="00340DB4">
        <w:rPr>
          <w:rFonts w:cs="Arial"/>
          <w:i w:val="0"/>
          <w:lang w:val="fr-FR" w:eastAsia="ja-JP"/>
        </w:rPr>
        <w:t>b), 2.3.1</w:t>
      </w:r>
      <w:r w:rsidR="00CA49A4" w:rsidRPr="00340DB4">
        <w:rPr>
          <w:rFonts w:cs="Arial"/>
          <w:i w:val="0"/>
          <w:lang w:val="fr-FR" w:eastAsia="ja-JP"/>
        </w:rPr>
        <w:t>.</w:t>
      </w:r>
      <w:r w:rsidR="00D306D7" w:rsidRPr="00340DB4">
        <w:rPr>
          <w:rFonts w:cs="Arial"/>
          <w:i w:val="0"/>
          <w:lang w:val="fr-FR" w:eastAsia="ja-JP"/>
        </w:rPr>
        <w:t xml:space="preserve">c) </w:t>
      </w:r>
      <w:r w:rsidR="00D92E52" w:rsidRPr="00340DB4">
        <w:rPr>
          <w:rFonts w:cs="Arial"/>
          <w:i w:val="0"/>
          <w:lang w:val="fr-FR" w:eastAsia="ja-JP"/>
        </w:rPr>
        <w:t xml:space="preserve">et </w:t>
      </w:r>
      <w:r w:rsidR="00D306D7" w:rsidRPr="00340DB4">
        <w:rPr>
          <w:rFonts w:cs="Arial"/>
          <w:i w:val="0"/>
          <w:lang w:val="fr-FR" w:eastAsia="ja-JP"/>
        </w:rPr>
        <w:t>d)</w:t>
      </w:r>
      <w:r w:rsidR="001C4EE2" w:rsidRPr="00340DB4">
        <w:rPr>
          <w:rFonts w:cs="Arial"/>
          <w:i w:val="0"/>
          <w:lang w:val="fr-FR" w:eastAsia="ja-JP"/>
        </w:rPr>
        <w:t> </w:t>
      </w:r>
      <w:r w:rsidR="00D92E52" w:rsidRPr="00340DB4">
        <w:rPr>
          <w:rFonts w:cs="Arial"/>
          <w:i w:val="0"/>
          <w:lang w:val="fr-FR" w:eastAsia="ja-JP"/>
        </w:rPr>
        <w:t xml:space="preserve">et </w:t>
      </w:r>
      <w:r w:rsidR="00D306D7" w:rsidRPr="00340DB4">
        <w:rPr>
          <w:rFonts w:cs="Arial"/>
          <w:i w:val="0"/>
          <w:lang w:val="fr-FR" w:eastAsia="ja-JP"/>
        </w:rPr>
        <w:t>2.3.3</w:t>
      </w:r>
      <w:r w:rsidR="00D92E52" w:rsidRPr="00340DB4">
        <w:rPr>
          <w:rFonts w:cs="Arial"/>
          <w:i w:val="0"/>
          <w:lang w:val="fr-FR" w:eastAsia="ja-JP"/>
        </w:rPr>
        <w:t xml:space="preserve">, comme indiqué au </w:t>
      </w:r>
      <w:r w:rsidR="00D306D7" w:rsidRPr="00340DB4">
        <w:rPr>
          <w:rFonts w:cs="Arial"/>
          <w:i w:val="0"/>
          <w:lang w:val="fr-FR" w:eastAsia="ja-JP"/>
        </w:rPr>
        <w:t>paragraph</w:t>
      </w:r>
      <w:r w:rsidR="00D92E52" w:rsidRPr="00340DB4">
        <w:rPr>
          <w:rFonts w:cs="Arial"/>
          <w:i w:val="0"/>
          <w:lang w:val="fr-FR" w:eastAsia="ja-JP"/>
        </w:rPr>
        <w:t>e</w:t>
      </w:r>
      <w:r w:rsidR="001C4EE2" w:rsidRPr="00340DB4">
        <w:rPr>
          <w:rFonts w:cs="Arial"/>
          <w:i w:val="0"/>
          <w:lang w:val="fr-FR" w:eastAsia="ja-JP"/>
        </w:rPr>
        <w:t> </w:t>
      </w:r>
      <w:r w:rsidR="00D306D7" w:rsidRPr="00340DB4">
        <w:rPr>
          <w:rFonts w:cs="Arial"/>
          <w:i w:val="0"/>
          <w:lang w:val="fr-FR" w:eastAsia="ja-JP"/>
        </w:rPr>
        <w:t>27</w:t>
      </w:r>
      <w:r w:rsidRPr="00340DB4">
        <w:rPr>
          <w:i w:val="0"/>
          <w:lang w:val="fr-FR"/>
        </w:rPr>
        <w:t>;</w:t>
      </w:r>
      <w:r w:rsidR="001C4EE2" w:rsidRPr="00340DB4">
        <w:rPr>
          <w:i w:val="0"/>
          <w:lang w:val="fr-FR"/>
        </w:rPr>
        <w:t xml:space="preserve"> </w:t>
      </w:r>
      <w:r w:rsidR="00303BC1" w:rsidRPr="00340DB4">
        <w:rPr>
          <w:i w:val="0"/>
          <w:lang w:val="fr-FR" w:eastAsia="ja-JP"/>
        </w:rPr>
        <w:t xml:space="preserve"> </w:t>
      </w:r>
      <w:r w:rsidR="00D92E52" w:rsidRPr="00340DB4">
        <w:rPr>
          <w:i w:val="0"/>
          <w:lang w:val="fr-FR" w:eastAsia="ja-JP"/>
        </w:rPr>
        <w:t>et</w:t>
      </w:r>
    </w:p>
    <w:p w:rsidR="00F0449E" w:rsidRPr="00340DB4" w:rsidRDefault="00F0449E" w:rsidP="00340DB4">
      <w:pPr>
        <w:pStyle w:val="DecisionParagraphs"/>
        <w:ind w:left="0"/>
        <w:rPr>
          <w:i w:val="0"/>
          <w:lang w:val="fr-FR"/>
        </w:rPr>
      </w:pPr>
    </w:p>
    <w:p w:rsidR="00F0449E" w:rsidRPr="00340DB4" w:rsidRDefault="003C178D" w:rsidP="00340DB4">
      <w:pPr>
        <w:pStyle w:val="DecisionParagraphs"/>
        <w:tabs>
          <w:tab w:val="clear" w:pos="5387"/>
          <w:tab w:val="left" w:pos="0"/>
        </w:tabs>
        <w:ind w:left="0" w:firstLine="540"/>
        <w:rPr>
          <w:rFonts w:cs="Arial"/>
          <w:i w:val="0"/>
          <w:lang w:val="fr-FR" w:eastAsia="ja-JP"/>
        </w:rPr>
      </w:pPr>
      <w:proofErr w:type="gramStart"/>
      <w:r w:rsidRPr="00340DB4">
        <w:rPr>
          <w:rFonts w:cs="Arial"/>
          <w:i w:val="0"/>
          <w:lang w:val="fr-FR" w:eastAsia="ja-JP"/>
        </w:rPr>
        <w:t>d</w:t>
      </w:r>
      <w:proofErr w:type="gramEnd"/>
      <w:r w:rsidR="008C2D9C" w:rsidRPr="00340DB4">
        <w:rPr>
          <w:rFonts w:cs="Arial"/>
          <w:i w:val="0"/>
          <w:lang w:val="fr-FR" w:eastAsia="ja-JP"/>
        </w:rPr>
        <w:t>)</w:t>
      </w:r>
      <w:r w:rsidR="008C2D9C" w:rsidRPr="00340DB4">
        <w:rPr>
          <w:rFonts w:cs="Arial"/>
          <w:i w:val="0"/>
          <w:lang w:val="fr-FR" w:eastAsia="ja-JP"/>
        </w:rPr>
        <w:tab/>
      </w:r>
      <w:r w:rsidR="00D92E52" w:rsidRPr="00340DB4">
        <w:rPr>
          <w:rFonts w:cs="Arial"/>
          <w:i w:val="0"/>
          <w:lang w:val="fr-FR" w:eastAsia="ja-JP"/>
        </w:rPr>
        <w:t xml:space="preserve">examiner les propositions </w:t>
      </w:r>
      <w:r w:rsidR="00704CAD" w:rsidRPr="00340DB4">
        <w:rPr>
          <w:rFonts w:cs="Arial"/>
          <w:i w:val="0"/>
          <w:lang w:val="fr-FR" w:eastAsia="ja-JP"/>
        </w:rPr>
        <w:t>du</w:t>
      </w:r>
      <w:r w:rsidR="00C34ADB" w:rsidRPr="00340DB4">
        <w:rPr>
          <w:rFonts w:cs="Arial"/>
          <w:i w:val="0"/>
          <w:lang w:val="fr-FR" w:eastAsia="ja-JP"/>
        </w:rPr>
        <w:t> </w:t>
      </w:r>
      <w:r w:rsidR="00C34ADB" w:rsidRPr="00340DB4">
        <w:rPr>
          <w:rFonts w:cs="Arial"/>
          <w:i w:val="0"/>
          <w:lang w:val="fr-FR"/>
        </w:rPr>
        <w:t>CAJ</w:t>
      </w:r>
      <w:r w:rsidR="001B3822" w:rsidRPr="00340DB4">
        <w:rPr>
          <w:rFonts w:cs="Arial"/>
          <w:i w:val="0"/>
          <w:lang w:val="fr-FR"/>
        </w:rPr>
        <w:noBreakHyphen/>
      </w:r>
      <w:r w:rsidR="00433B8A" w:rsidRPr="00340DB4">
        <w:rPr>
          <w:rFonts w:cs="Arial"/>
          <w:i w:val="0"/>
          <w:lang w:val="fr-FR"/>
        </w:rPr>
        <w:t xml:space="preserve">AG </w:t>
      </w:r>
      <w:r w:rsidR="005A482D" w:rsidRPr="00340DB4">
        <w:rPr>
          <w:rFonts w:cs="Arial"/>
          <w:i w:val="0"/>
          <w:lang w:val="fr-FR"/>
        </w:rPr>
        <w:t>pour</w:t>
      </w:r>
      <w:r w:rsidR="00CA49A4" w:rsidRPr="00340DB4">
        <w:rPr>
          <w:rFonts w:cs="Arial"/>
          <w:i w:val="0"/>
          <w:lang w:val="fr-FR"/>
        </w:rPr>
        <w:t xml:space="preserve"> les </w:t>
      </w:r>
      <w:r w:rsidR="0081069D" w:rsidRPr="00340DB4">
        <w:rPr>
          <w:rFonts w:cs="Arial"/>
          <w:i w:val="0"/>
          <w:lang w:val="fr-FR"/>
        </w:rPr>
        <w:t>paragraphe</w:t>
      </w:r>
      <w:r w:rsidR="00433B8A" w:rsidRPr="00340DB4">
        <w:rPr>
          <w:rFonts w:cs="Arial"/>
          <w:i w:val="0"/>
          <w:lang w:val="fr-FR"/>
        </w:rPr>
        <w:t>s</w:t>
      </w:r>
      <w:r w:rsidR="001C4EE2" w:rsidRPr="00340DB4">
        <w:rPr>
          <w:rFonts w:cs="Arial"/>
          <w:i w:val="0"/>
          <w:lang w:val="fr-FR"/>
        </w:rPr>
        <w:t> </w:t>
      </w:r>
      <w:r w:rsidR="00433B8A" w:rsidRPr="00340DB4">
        <w:rPr>
          <w:rFonts w:cs="Arial"/>
          <w:i w:val="0"/>
          <w:lang w:val="fr-FR"/>
        </w:rPr>
        <w:t>2.2.2</w:t>
      </w:r>
      <w:r w:rsidR="00CA49A4" w:rsidRPr="00340DB4">
        <w:rPr>
          <w:rFonts w:cs="Arial"/>
          <w:i w:val="0"/>
          <w:lang w:val="fr-FR"/>
        </w:rPr>
        <w:t>.</w:t>
      </w:r>
      <w:r w:rsidR="00433B8A" w:rsidRPr="00340DB4">
        <w:rPr>
          <w:rFonts w:cs="Arial"/>
          <w:i w:val="0"/>
          <w:lang w:val="fr-FR"/>
        </w:rPr>
        <w:t>c), 4</w:t>
      </w:r>
      <w:r w:rsidR="005A482D" w:rsidRPr="00340DB4">
        <w:rPr>
          <w:rFonts w:cs="Arial"/>
          <w:i w:val="0"/>
          <w:lang w:val="fr-FR"/>
        </w:rPr>
        <w:t>.</w:t>
      </w:r>
      <w:r w:rsidR="00433B8A" w:rsidRPr="00340DB4">
        <w:rPr>
          <w:rFonts w:cs="Arial"/>
          <w:i w:val="0"/>
          <w:lang w:val="fr-FR"/>
        </w:rPr>
        <w:t xml:space="preserve">a) </w:t>
      </w:r>
      <w:r w:rsidR="00D92E52" w:rsidRPr="00340DB4">
        <w:rPr>
          <w:rFonts w:cs="Arial"/>
          <w:i w:val="0"/>
          <w:lang w:val="fr-FR"/>
        </w:rPr>
        <w:t xml:space="preserve">et </w:t>
      </w:r>
      <w:r w:rsidR="00433B8A" w:rsidRPr="00340DB4">
        <w:rPr>
          <w:rFonts w:cs="Arial"/>
          <w:i w:val="0"/>
          <w:lang w:val="fr-FR"/>
        </w:rPr>
        <w:t>4</w:t>
      </w:r>
      <w:r w:rsidR="005A482D" w:rsidRPr="00340DB4">
        <w:rPr>
          <w:rFonts w:cs="Arial"/>
          <w:i w:val="0"/>
          <w:lang w:val="fr-FR"/>
        </w:rPr>
        <w:t>.</w:t>
      </w:r>
      <w:r w:rsidR="00D306D7" w:rsidRPr="00340DB4">
        <w:rPr>
          <w:rFonts w:cs="Arial"/>
          <w:i w:val="0"/>
          <w:lang w:val="fr-FR"/>
        </w:rPr>
        <w:t>e)i</w:t>
      </w:r>
      <w:r w:rsidR="00483972" w:rsidRPr="00340DB4">
        <w:rPr>
          <w:rFonts w:cs="Arial"/>
          <w:i w:val="0"/>
          <w:lang w:val="fr-FR"/>
        </w:rPr>
        <w:t>)</w:t>
      </w:r>
      <w:r w:rsidR="000D5DA3" w:rsidRPr="00340DB4">
        <w:rPr>
          <w:rFonts w:cs="Arial"/>
          <w:i w:val="0"/>
          <w:lang w:val="fr-FR"/>
        </w:rPr>
        <w:t xml:space="preserve"> </w:t>
      </w:r>
      <w:r w:rsidR="00D92E52" w:rsidRPr="00340DB4">
        <w:rPr>
          <w:rFonts w:cs="Arial"/>
          <w:i w:val="0"/>
          <w:lang w:val="fr-FR"/>
        </w:rPr>
        <w:t>à sa soixante</w:t>
      </w:r>
      <w:r w:rsidR="001B3822" w:rsidRPr="00340DB4">
        <w:rPr>
          <w:rFonts w:cs="Arial"/>
          <w:i w:val="0"/>
          <w:szCs w:val="22"/>
          <w:lang w:val="fr-FR"/>
        </w:rPr>
        <w:noBreakHyphen/>
      </w:r>
      <w:r w:rsidR="00D92E52" w:rsidRPr="00340DB4">
        <w:rPr>
          <w:rFonts w:cs="Arial"/>
          <w:i w:val="0"/>
          <w:szCs w:val="22"/>
          <w:lang w:val="fr-FR"/>
        </w:rPr>
        <w:t>douzième</w:t>
      </w:r>
      <w:r w:rsidR="001C4EE2" w:rsidRPr="00340DB4">
        <w:rPr>
          <w:rFonts w:cs="Arial"/>
          <w:i w:val="0"/>
          <w:szCs w:val="22"/>
          <w:lang w:val="fr-FR"/>
        </w:rPr>
        <w:t> </w:t>
      </w:r>
      <w:r w:rsidR="000D5DA3" w:rsidRPr="00340DB4">
        <w:rPr>
          <w:i w:val="0"/>
          <w:lang w:val="fr-FR"/>
        </w:rPr>
        <w:t>session</w:t>
      </w:r>
      <w:r w:rsidR="00D306D7" w:rsidRPr="00340DB4">
        <w:rPr>
          <w:rFonts w:cs="Arial"/>
          <w:i w:val="0"/>
          <w:lang w:val="fr-FR"/>
        </w:rPr>
        <w:t xml:space="preserve">, </w:t>
      </w:r>
      <w:r w:rsidR="00D92E52" w:rsidRPr="00340DB4">
        <w:rPr>
          <w:rFonts w:cs="Arial"/>
          <w:i w:val="0"/>
          <w:lang w:val="fr-FR"/>
        </w:rPr>
        <w:t xml:space="preserve">comme indiqué au </w:t>
      </w:r>
      <w:r w:rsidR="00D306D7" w:rsidRPr="00340DB4">
        <w:rPr>
          <w:rFonts w:cs="Arial"/>
          <w:i w:val="0"/>
          <w:lang w:val="fr-FR"/>
        </w:rPr>
        <w:t>paragraph</w:t>
      </w:r>
      <w:r w:rsidR="00D92E52" w:rsidRPr="00340DB4">
        <w:rPr>
          <w:rFonts w:cs="Arial"/>
          <w:i w:val="0"/>
          <w:lang w:val="fr-FR"/>
        </w:rPr>
        <w:t>e</w:t>
      </w:r>
      <w:r w:rsidR="001C4EE2" w:rsidRPr="00340DB4">
        <w:rPr>
          <w:rFonts w:cs="Arial"/>
          <w:i w:val="0"/>
          <w:lang w:val="fr-FR"/>
        </w:rPr>
        <w:t> </w:t>
      </w:r>
      <w:r w:rsidR="00D306D7" w:rsidRPr="00340DB4">
        <w:rPr>
          <w:rFonts w:cs="Arial"/>
          <w:i w:val="0"/>
          <w:lang w:val="fr-FR"/>
        </w:rPr>
        <w:t>28</w:t>
      </w:r>
      <w:r w:rsidR="00303BC1" w:rsidRPr="00340DB4">
        <w:rPr>
          <w:rFonts w:cs="Arial"/>
          <w:i w:val="0"/>
          <w:lang w:val="fr-FR" w:eastAsia="ja-JP"/>
        </w:rPr>
        <w:t>.</w:t>
      </w:r>
    </w:p>
    <w:p w:rsidR="00F0449E" w:rsidRPr="00C87530" w:rsidRDefault="00F0449E" w:rsidP="00C87530"/>
    <w:p w:rsidR="00F0449E" w:rsidRPr="00340DB4" w:rsidRDefault="00433B8A" w:rsidP="00340DB4">
      <w:pPr>
        <w:jc w:val="left"/>
        <w:rPr>
          <w:rFonts w:cs="Arial"/>
          <w:snapToGrid w:val="0"/>
          <w:lang w:val="fr-FR"/>
        </w:rPr>
      </w:pPr>
      <w:bookmarkStart w:id="5" w:name="_Toc382388623"/>
      <w:r w:rsidRPr="00340DB4">
        <w:rPr>
          <w:rFonts w:cs="Arial"/>
          <w:snapToGrid w:val="0"/>
          <w:lang w:val="fr-FR"/>
        </w:rPr>
        <w:br w:type="page"/>
      </w:r>
    </w:p>
    <w:p w:rsidR="00F0449E" w:rsidRPr="00340DB4" w:rsidRDefault="00A2438A" w:rsidP="00340DB4">
      <w:pPr>
        <w:keepNext/>
        <w:rPr>
          <w:rFonts w:cs="Arial"/>
          <w:snapToGrid w:val="0"/>
          <w:lang w:val="fr-FR" w:eastAsia="ja-JP"/>
        </w:rPr>
      </w:pPr>
      <w:r w:rsidRPr="00340DB4">
        <w:rPr>
          <w:rFonts w:cs="Arial"/>
          <w:snapToGrid w:val="0"/>
          <w:lang w:val="fr-FR"/>
        </w:rPr>
        <w:lastRenderedPageBreak/>
        <w:fldChar w:fldCharType="begin"/>
      </w:r>
      <w:r w:rsidRPr="00340DB4">
        <w:rPr>
          <w:rFonts w:cs="Arial"/>
          <w:snapToGrid w:val="0"/>
          <w:lang w:val="fr-FR"/>
        </w:rPr>
        <w:instrText xml:space="preserve"> AUTONUM  </w:instrText>
      </w:r>
      <w:r w:rsidRPr="00340DB4">
        <w:rPr>
          <w:rFonts w:cs="Arial"/>
          <w:snapToGrid w:val="0"/>
          <w:lang w:val="fr-FR"/>
        </w:rPr>
        <w:fldChar w:fldCharType="end"/>
      </w:r>
      <w:r w:rsidRPr="00340DB4">
        <w:rPr>
          <w:rFonts w:cs="Arial"/>
          <w:snapToGrid w:val="0"/>
          <w:lang w:val="fr-FR"/>
        </w:rPr>
        <w:tab/>
      </w:r>
      <w:r w:rsidR="00844278" w:rsidRPr="00340DB4">
        <w:rPr>
          <w:rFonts w:cs="Arial"/>
          <w:snapToGrid w:val="0"/>
          <w:lang w:val="fr-FR" w:eastAsia="ja-JP"/>
        </w:rPr>
        <w:t>La</w:t>
      </w:r>
      <w:r w:rsidRPr="00340DB4">
        <w:rPr>
          <w:rFonts w:cs="Arial"/>
          <w:snapToGrid w:val="0"/>
          <w:lang w:val="fr-FR" w:eastAsia="ja-JP"/>
        </w:rPr>
        <w:t xml:space="preserve"> structure </w:t>
      </w:r>
      <w:r w:rsidR="00844278" w:rsidRPr="00340DB4">
        <w:rPr>
          <w:rFonts w:cs="Arial"/>
          <w:snapToGrid w:val="0"/>
          <w:lang w:val="fr-FR" w:eastAsia="ja-JP"/>
        </w:rPr>
        <w:t xml:space="preserve">du présent </w:t>
      </w:r>
      <w:r w:rsidRPr="00340DB4">
        <w:rPr>
          <w:rFonts w:cs="Arial"/>
          <w:snapToGrid w:val="0"/>
          <w:lang w:val="fr-FR" w:eastAsia="ja-JP"/>
        </w:rPr>
        <w:t xml:space="preserve">document </w:t>
      </w:r>
      <w:r w:rsidR="00844278" w:rsidRPr="00340DB4">
        <w:rPr>
          <w:rFonts w:cs="Arial"/>
          <w:snapToGrid w:val="0"/>
          <w:lang w:val="fr-FR" w:eastAsia="ja-JP"/>
        </w:rPr>
        <w:t>est la suivante</w:t>
      </w:r>
      <w:r w:rsidR="001C4EE2" w:rsidRPr="00340DB4">
        <w:rPr>
          <w:rFonts w:cs="Arial"/>
          <w:snapToGrid w:val="0"/>
          <w:lang w:val="fr-FR" w:eastAsia="ja-JP"/>
        </w:rPr>
        <w:t> </w:t>
      </w:r>
      <w:r w:rsidRPr="00340DB4">
        <w:rPr>
          <w:rFonts w:cs="Arial"/>
          <w:snapToGrid w:val="0"/>
          <w:lang w:val="fr-FR" w:eastAsia="ja-JP"/>
        </w:rPr>
        <w:t>:</w:t>
      </w:r>
    </w:p>
    <w:p w:rsidR="00F0449E" w:rsidRPr="00340DB4" w:rsidRDefault="00F0449E" w:rsidP="00340DB4">
      <w:pPr>
        <w:keepNext/>
        <w:rPr>
          <w:rFonts w:cs="Arial"/>
          <w:snapToGrid w:val="0"/>
          <w:lang w:val="fr-FR" w:eastAsia="ja-JP"/>
        </w:rPr>
      </w:pPr>
    </w:p>
    <w:p w:rsidR="001C007C" w:rsidRDefault="000F05D7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40DB4">
        <w:rPr>
          <w:rFonts w:cs="Arial"/>
          <w:bCs/>
          <w:snapToGrid w:val="0"/>
          <w:sz w:val="18"/>
          <w:lang w:val="fr-FR"/>
        </w:rPr>
        <w:fldChar w:fldCharType="begin"/>
      </w:r>
      <w:r w:rsidRPr="00340DB4">
        <w:rPr>
          <w:rFonts w:cs="Arial"/>
          <w:bCs/>
          <w:snapToGrid w:val="0"/>
          <w:sz w:val="18"/>
          <w:lang w:val="fr-FR"/>
        </w:rPr>
        <w:instrText xml:space="preserve"> TOC \o "1-3" \h \z \u </w:instrText>
      </w:r>
      <w:r w:rsidRPr="00340DB4">
        <w:rPr>
          <w:rFonts w:cs="Arial"/>
          <w:bCs/>
          <w:snapToGrid w:val="0"/>
          <w:sz w:val="18"/>
          <w:lang w:val="fr-FR"/>
        </w:rPr>
        <w:fldChar w:fldCharType="separate"/>
      </w:r>
      <w:hyperlink w:anchor="_Toc413233493" w:history="1">
        <w:r w:rsidR="001C007C" w:rsidRPr="005841AE">
          <w:rPr>
            <w:rStyle w:val="Hyperlink"/>
            <w:lang w:val="fr-FR"/>
          </w:rPr>
          <w:t>Résumé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_Toc413233493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 w:rsidR="006C1D8F">
          <w:rPr>
            <w:webHidden/>
          </w:rPr>
          <w:t>1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3233494" w:history="1">
        <w:r w:rsidR="001C007C" w:rsidRPr="005841AE">
          <w:rPr>
            <w:rStyle w:val="Hyperlink"/>
            <w:lang w:val="fr-FR"/>
          </w:rPr>
          <w:t>Objet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_Toc413233494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3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3233495" w:history="1">
        <w:r w:rsidR="001C007C" w:rsidRPr="005841AE">
          <w:rPr>
            <w:rStyle w:val="Hyperlink"/>
            <w:snapToGrid w:val="0"/>
            <w:lang w:val="fr-FR"/>
          </w:rPr>
          <w:t>Possibilité d’élaboration d’un outil de recherche de l’UPOV de similarité aux fins de la dénomination variétale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_Toc413233495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3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13233496" w:history="1">
        <w:r w:rsidR="001C007C" w:rsidRPr="005841AE">
          <w:rPr>
            <w:rStyle w:val="Hyperlink"/>
            <w:snapToGrid w:val="0"/>
            <w:lang w:val="fr-FR"/>
          </w:rPr>
          <w:t>rÉvision du document UPOV/INF/12 “Notes explicatives concernant les dÉnominations variÉtales en vertu de la Convention UPOV”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_Toc413233496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4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3233497" w:history="1">
        <w:r w:rsidR="001C007C" w:rsidRPr="005841AE">
          <w:rPr>
            <w:rStyle w:val="Hyperlink"/>
            <w:lang w:val="fr-FR"/>
          </w:rPr>
          <w:t>Projet d’orientations concernant les modifications de dénominations variétales enregistrées, pour examen par le CAJ à sa soixante et onzième session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_Toc413233497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5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3233498" w:history="1">
        <w:r w:rsidR="001C007C" w:rsidRPr="005841AE">
          <w:rPr>
            <w:rStyle w:val="Hyperlink"/>
            <w:lang w:val="fr-FR"/>
          </w:rPr>
          <w:t>Propositions de révision du document UPOV/INF/12/4 pour lesquelles le CAJ</w:t>
        </w:r>
        <w:r w:rsidR="001C007C" w:rsidRPr="005841AE">
          <w:rPr>
            <w:rStyle w:val="Hyperlink"/>
            <w:lang w:val="fr-FR"/>
          </w:rPr>
          <w:noBreakHyphen/>
          <w:t>AG a procédé à un premier examen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_Toc413233498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6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3233499" w:history="1">
        <w:r w:rsidR="001C007C" w:rsidRPr="005841AE">
          <w:rPr>
            <w:rStyle w:val="Hyperlink"/>
            <w:lang w:val="fr-FR"/>
          </w:rPr>
          <w:t>Méthode proposée pour la conduite des travaux du WG</w:t>
        </w:r>
        <w:r w:rsidR="001C007C" w:rsidRPr="005841AE">
          <w:rPr>
            <w:rStyle w:val="Hyperlink"/>
            <w:lang w:val="fr-FR"/>
          </w:rPr>
          <w:noBreakHyphen/>
          <w:t>DST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_Toc413233499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7</w:t>
        </w:r>
        <w:r w:rsidR="001C007C">
          <w:rPr>
            <w:webHidden/>
          </w:rPr>
          <w:fldChar w:fldCharType="end"/>
        </w:r>
      </w:hyperlink>
    </w:p>
    <w:p w:rsidR="001C007C" w:rsidRDefault="006C1D8F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413233500" w:history="1">
        <w:r w:rsidR="001C007C" w:rsidRPr="005841AE">
          <w:rPr>
            <w:rStyle w:val="Hyperlink"/>
            <w:lang w:val="fr-FR"/>
          </w:rPr>
          <w:t>Propositions d’orientations pour examen par le CAJ à sa soixante</w:t>
        </w:r>
        <w:r w:rsidR="001C007C" w:rsidRPr="005841AE">
          <w:rPr>
            <w:rStyle w:val="Hyperlink"/>
            <w:lang w:val="fr-FR"/>
          </w:rPr>
          <w:noBreakHyphen/>
          <w:t>douzième session</w:t>
        </w:r>
        <w:r w:rsidR="001C007C">
          <w:rPr>
            <w:webHidden/>
          </w:rPr>
          <w:tab/>
        </w:r>
        <w:r w:rsidR="001C007C">
          <w:rPr>
            <w:webHidden/>
          </w:rPr>
          <w:fldChar w:fldCharType="begin"/>
        </w:r>
        <w:r w:rsidR="001C007C">
          <w:rPr>
            <w:webHidden/>
          </w:rPr>
          <w:instrText xml:space="preserve"> PAGEREF _Toc413233500 \h </w:instrText>
        </w:r>
        <w:r w:rsidR="001C007C">
          <w:rPr>
            <w:webHidden/>
          </w:rPr>
        </w:r>
        <w:r w:rsidR="001C007C">
          <w:rPr>
            <w:webHidden/>
          </w:rPr>
          <w:fldChar w:fldCharType="separate"/>
        </w:r>
        <w:r>
          <w:rPr>
            <w:webHidden/>
          </w:rPr>
          <w:t>8</w:t>
        </w:r>
        <w:r w:rsidR="001C007C">
          <w:rPr>
            <w:webHidden/>
          </w:rPr>
          <w:fldChar w:fldCharType="end"/>
        </w:r>
      </w:hyperlink>
    </w:p>
    <w:p w:rsidR="00F0449E" w:rsidRPr="00340DB4" w:rsidRDefault="000F05D7" w:rsidP="00340DB4">
      <w:pPr>
        <w:pStyle w:val="Heading1"/>
        <w:rPr>
          <w:noProof/>
          <w:snapToGrid w:val="0"/>
          <w:lang w:val="fr-FR"/>
        </w:rPr>
      </w:pPr>
      <w:r w:rsidRPr="00340DB4">
        <w:rPr>
          <w:noProof/>
          <w:snapToGrid w:val="0"/>
          <w:lang w:val="fr-FR"/>
        </w:rPr>
        <w:fldChar w:fldCharType="end"/>
      </w:r>
    </w:p>
    <w:p w:rsidR="00F0449E" w:rsidRPr="00340DB4" w:rsidRDefault="000D5DA3" w:rsidP="00340DB4">
      <w:pPr>
        <w:keepNext/>
        <w:rPr>
          <w:rFonts w:cs="Arial"/>
          <w:snapToGrid w:val="0"/>
          <w:lang w:val="fr-FR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147E7F" w:rsidRPr="00340DB4">
        <w:rPr>
          <w:rFonts w:cs="Arial"/>
          <w:lang w:val="fr-FR"/>
        </w:rPr>
        <w:t>Les abréviations ci</w:t>
      </w:r>
      <w:r w:rsidR="001B3822" w:rsidRPr="00340DB4">
        <w:rPr>
          <w:rFonts w:cs="Arial"/>
          <w:lang w:val="fr-FR"/>
        </w:rPr>
        <w:noBreakHyphen/>
      </w:r>
      <w:r w:rsidR="00147E7F" w:rsidRPr="00340DB4">
        <w:rPr>
          <w:rFonts w:cs="Arial"/>
          <w:lang w:val="fr-FR"/>
        </w:rPr>
        <w:t>après sont utilisées dans le présent document</w:t>
      </w:r>
      <w:r w:rsidR="001C4EE2" w:rsidRPr="00340DB4">
        <w:rPr>
          <w:rFonts w:cs="Arial"/>
          <w:lang w:val="fr-FR"/>
        </w:rPr>
        <w:t> </w:t>
      </w:r>
      <w:r w:rsidR="00147E7F" w:rsidRPr="00340DB4">
        <w:rPr>
          <w:rFonts w:cs="Arial"/>
          <w:lang w:val="fr-FR"/>
        </w:rPr>
        <w:t>:</w:t>
      </w:r>
    </w:p>
    <w:p w:rsidR="00F0449E" w:rsidRPr="00340DB4" w:rsidRDefault="00F0449E" w:rsidP="00340DB4">
      <w:pPr>
        <w:keepNext/>
        <w:rPr>
          <w:rFonts w:cs="Arial"/>
          <w:snapToGrid w:val="0"/>
          <w:lang w:val="fr-FR"/>
        </w:rPr>
      </w:pPr>
    </w:p>
    <w:p w:rsidR="00C34ADB" w:rsidRPr="00340DB4" w:rsidRDefault="00147E7F" w:rsidP="00340DB4">
      <w:pPr>
        <w:keepNext/>
        <w:ind w:left="567"/>
        <w:rPr>
          <w:rFonts w:cs="Arial"/>
          <w:snapToGrid w:val="0"/>
          <w:lang w:val="fr-FR"/>
        </w:rPr>
      </w:pPr>
      <w:r w:rsidRPr="00340DB4">
        <w:rPr>
          <w:rFonts w:cs="Arial"/>
          <w:snapToGrid w:val="0"/>
          <w:lang w:val="fr-FR"/>
        </w:rPr>
        <w:t xml:space="preserve">CAJ : </w:t>
      </w:r>
      <w:r w:rsidRPr="00340DB4">
        <w:rPr>
          <w:rFonts w:cs="Arial"/>
          <w:snapToGrid w:val="0"/>
          <w:lang w:val="fr-FR"/>
        </w:rPr>
        <w:tab/>
      </w:r>
      <w:r w:rsidR="001B3822" w:rsidRPr="00340DB4">
        <w:rPr>
          <w:rFonts w:cs="Arial"/>
          <w:snapToGrid w:val="0"/>
          <w:lang w:val="fr-FR"/>
        </w:rPr>
        <w:tab/>
      </w:r>
      <w:r w:rsidRPr="00340DB4">
        <w:rPr>
          <w:rFonts w:cs="Arial"/>
          <w:snapToGrid w:val="0"/>
          <w:lang w:val="fr-FR"/>
        </w:rPr>
        <w:t>Comité administratif et juridique</w:t>
      </w:r>
    </w:p>
    <w:p w:rsidR="00C34ADB" w:rsidRPr="00340DB4" w:rsidRDefault="00147E7F" w:rsidP="00340DB4">
      <w:pPr>
        <w:keepNext/>
        <w:ind w:left="567"/>
        <w:rPr>
          <w:rFonts w:cs="Arial"/>
          <w:snapToGrid w:val="0"/>
          <w:lang w:val="fr-FR"/>
        </w:rPr>
      </w:pPr>
      <w:r w:rsidRPr="00340DB4">
        <w:rPr>
          <w:rFonts w:cs="Arial"/>
          <w:snapToGrid w:val="0"/>
          <w:lang w:val="fr-FR"/>
        </w:rPr>
        <w:t>CAJ</w:t>
      </w:r>
      <w:r w:rsidR="001B3822" w:rsidRPr="00340DB4">
        <w:rPr>
          <w:rFonts w:cs="Arial"/>
          <w:snapToGrid w:val="0"/>
          <w:lang w:val="fr-FR"/>
        </w:rPr>
        <w:noBreakHyphen/>
      </w:r>
      <w:r w:rsidRPr="00340DB4">
        <w:rPr>
          <w:rFonts w:cs="Arial"/>
          <w:snapToGrid w:val="0"/>
          <w:lang w:val="fr-FR"/>
        </w:rPr>
        <w:t xml:space="preserve">AG : </w:t>
      </w:r>
      <w:r w:rsidRPr="00340DB4">
        <w:rPr>
          <w:rFonts w:cs="Arial"/>
          <w:snapToGrid w:val="0"/>
          <w:lang w:val="fr-FR"/>
        </w:rPr>
        <w:tab/>
        <w:t>Groupe consultatif du Comité administratif et juridique</w:t>
      </w:r>
    </w:p>
    <w:p w:rsidR="00F0449E" w:rsidRPr="00340DB4" w:rsidRDefault="00147E7F" w:rsidP="00340DB4">
      <w:pPr>
        <w:keepNext/>
        <w:ind w:left="567"/>
        <w:rPr>
          <w:rFonts w:cs="Arial"/>
          <w:snapToGrid w:val="0"/>
          <w:lang w:val="fr-FR" w:eastAsia="ja-JP"/>
        </w:rPr>
      </w:pPr>
      <w:r w:rsidRPr="00340DB4">
        <w:rPr>
          <w:rFonts w:cs="Arial"/>
          <w:snapToGrid w:val="0"/>
          <w:lang w:val="fr-FR" w:eastAsia="ja-JP"/>
        </w:rPr>
        <w:t xml:space="preserve">TC : </w:t>
      </w:r>
      <w:r w:rsidRPr="00340DB4">
        <w:rPr>
          <w:rFonts w:cs="Arial"/>
          <w:snapToGrid w:val="0"/>
          <w:lang w:val="fr-FR" w:eastAsia="ja-JP"/>
        </w:rPr>
        <w:tab/>
      </w:r>
      <w:r w:rsidR="001B3822" w:rsidRPr="00340DB4">
        <w:rPr>
          <w:rFonts w:cs="Arial"/>
          <w:snapToGrid w:val="0"/>
          <w:lang w:val="fr-FR" w:eastAsia="ja-JP"/>
        </w:rPr>
        <w:tab/>
      </w:r>
      <w:r w:rsidRPr="00340DB4">
        <w:rPr>
          <w:rFonts w:cs="Arial"/>
          <w:snapToGrid w:val="0"/>
          <w:lang w:val="fr-FR" w:eastAsia="ja-JP"/>
        </w:rPr>
        <w:t>Comité technique</w:t>
      </w:r>
    </w:p>
    <w:p w:rsidR="00F0449E" w:rsidRPr="00340DB4" w:rsidRDefault="00147E7F" w:rsidP="001C007C">
      <w:pPr>
        <w:keepNext/>
        <w:ind w:left="1701" w:hanging="1134"/>
        <w:rPr>
          <w:snapToGrid w:val="0"/>
          <w:lang w:val="fr-FR" w:eastAsia="ja-JP"/>
        </w:rPr>
      </w:pPr>
      <w:r w:rsidRPr="00340DB4">
        <w:rPr>
          <w:snapToGrid w:val="0"/>
          <w:lang w:val="fr-FR" w:eastAsia="ja-JP"/>
        </w:rPr>
        <w:t>WG</w:t>
      </w:r>
      <w:r w:rsidR="001B3822" w:rsidRPr="00340DB4">
        <w:rPr>
          <w:snapToGrid w:val="0"/>
          <w:lang w:val="fr-FR" w:eastAsia="ja-JP"/>
        </w:rPr>
        <w:noBreakHyphen/>
      </w:r>
      <w:r w:rsidRPr="00340DB4">
        <w:rPr>
          <w:snapToGrid w:val="0"/>
          <w:lang w:val="fr-FR" w:eastAsia="ja-JP"/>
        </w:rPr>
        <w:t>DST</w:t>
      </w:r>
      <w:r w:rsidR="001C4EE2" w:rsidRPr="00340DB4">
        <w:rPr>
          <w:snapToGrid w:val="0"/>
          <w:lang w:val="fr-FR" w:eastAsia="ja-JP"/>
        </w:rPr>
        <w:t> </w:t>
      </w:r>
      <w:r w:rsidRPr="00340DB4">
        <w:rPr>
          <w:snapToGrid w:val="0"/>
          <w:lang w:val="fr-FR" w:eastAsia="ja-JP"/>
        </w:rPr>
        <w:t xml:space="preserve">: </w:t>
      </w:r>
      <w:r w:rsidRPr="00340DB4">
        <w:rPr>
          <w:snapToGrid w:val="0"/>
          <w:lang w:val="fr-FR" w:eastAsia="ja-JP"/>
        </w:rPr>
        <w:tab/>
      </w:r>
      <w:r w:rsidR="001C007C">
        <w:rPr>
          <w:snapToGrid w:val="0"/>
          <w:lang w:val="fr-FR" w:eastAsia="ja-JP"/>
        </w:rPr>
        <w:t>G</w:t>
      </w:r>
      <w:r w:rsidRPr="00340DB4">
        <w:rPr>
          <w:snapToGrid w:val="0"/>
          <w:lang w:val="fr-FR" w:eastAsia="ja-JP"/>
        </w:rPr>
        <w:t>roupe de travail sur l</w:t>
      </w:r>
      <w:r w:rsidR="00C34ADB" w:rsidRPr="00340DB4">
        <w:rPr>
          <w:snapToGrid w:val="0"/>
          <w:lang w:val="fr-FR" w:eastAsia="ja-JP"/>
        </w:rPr>
        <w:t>’</w:t>
      </w:r>
      <w:r w:rsidRPr="00340DB4">
        <w:rPr>
          <w:snapToGrid w:val="0"/>
          <w:lang w:val="fr-FR" w:eastAsia="ja-JP"/>
        </w:rPr>
        <w:t>élaboration d</w:t>
      </w:r>
      <w:r w:rsidR="00C34ADB" w:rsidRPr="00340DB4">
        <w:rPr>
          <w:snapToGrid w:val="0"/>
          <w:lang w:val="fr-FR" w:eastAsia="ja-JP"/>
        </w:rPr>
        <w:t>’</w:t>
      </w:r>
      <w:r w:rsidRPr="00340DB4">
        <w:rPr>
          <w:snapToGrid w:val="0"/>
          <w:lang w:val="fr-FR" w:eastAsia="ja-JP"/>
        </w:rPr>
        <w:t>un outil de recherche de l</w:t>
      </w:r>
      <w:r w:rsidR="00C34ADB" w:rsidRPr="00340DB4">
        <w:rPr>
          <w:snapToGrid w:val="0"/>
          <w:lang w:val="fr-FR" w:eastAsia="ja-JP"/>
        </w:rPr>
        <w:t>’</w:t>
      </w:r>
      <w:r w:rsidRPr="00340DB4">
        <w:rPr>
          <w:snapToGrid w:val="0"/>
          <w:lang w:val="fr-FR" w:eastAsia="ja-JP"/>
        </w:rPr>
        <w:t>UPOV de similarité aux fins de la dénomination variétale</w:t>
      </w:r>
    </w:p>
    <w:p w:rsidR="00F0449E" w:rsidRPr="00340DB4" w:rsidRDefault="00F0449E" w:rsidP="00340DB4">
      <w:pPr>
        <w:rPr>
          <w:snapToGrid w:val="0"/>
          <w:lang w:val="fr-FR" w:eastAsia="ja-JP"/>
        </w:rPr>
      </w:pP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F0449E" w:rsidP="00340DB4">
      <w:pPr>
        <w:jc w:val="left"/>
        <w:rPr>
          <w:caps/>
          <w:lang w:val="fr-FR" w:eastAsia="ja-JP"/>
        </w:rPr>
      </w:pPr>
    </w:p>
    <w:p w:rsidR="00F0449E" w:rsidRPr="00340DB4" w:rsidRDefault="000D6679" w:rsidP="00340DB4">
      <w:pPr>
        <w:jc w:val="left"/>
        <w:rPr>
          <w:caps/>
          <w:lang w:val="fr-FR" w:eastAsia="ja-JP"/>
        </w:rPr>
      </w:pPr>
      <w:r w:rsidRPr="00340DB4">
        <w:rPr>
          <w:lang w:val="fr-FR"/>
        </w:rPr>
        <w:br w:type="page"/>
      </w:r>
    </w:p>
    <w:p w:rsidR="00F0449E" w:rsidRPr="00340DB4" w:rsidRDefault="008720A1" w:rsidP="00340DB4">
      <w:pPr>
        <w:pStyle w:val="Heading1"/>
        <w:rPr>
          <w:lang w:val="fr-FR"/>
        </w:rPr>
      </w:pPr>
      <w:bookmarkStart w:id="6" w:name="_Toc413233494"/>
      <w:r w:rsidRPr="00340DB4">
        <w:rPr>
          <w:lang w:val="fr-FR"/>
        </w:rPr>
        <w:lastRenderedPageBreak/>
        <w:t>Objet</w:t>
      </w:r>
      <w:bookmarkEnd w:id="6"/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B65A8F" w:rsidP="00340DB4">
      <w:pPr>
        <w:rPr>
          <w:rFonts w:cs="Arial"/>
          <w:snapToGrid w:val="0"/>
          <w:lang w:val="fr-FR" w:eastAsia="ja-JP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8720A1" w:rsidRPr="00340DB4">
        <w:rPr>
          <w:rFonts w:cs="Arial"/>
          <w:lang w:val="fr-FR"/>
        </w:rPr>
        <w:t>Le présent document a pour objet de faire rapport sur les travaux concernant la possibilité d</w:t>
      </w:r>
      <w:r w:rsidR="00C34ADB" w:rsidRPr="00340DB4">
        <w:rPr>
          <w:rFonts w:cs="Arial"/>
          <w:lang w:val="fr-FR"/>
        </w:rPr>
        <w:t>’</w:t>
      </w:r>
      <w:r w:rsidR="008720A1" w:rsidRPr="00340DB4">
        <w:rPr>
          <w:rFonts w:cs="Arial"/>
          <w:lang w:val="fr-FR"/>
        </w:rPr>
        <w:t>élaboration d</w:t>
      </w:r>
      <w:r w:rsidR="00C34ADB" w:rsidRPr="00340DB4">
        <w:rPr>
          <w:rFonts w:cs="Arial"/>
          <w:lang w:val="fr-FR"/>
        </w:rPr>
        <w:t>’</w:t>
      </w:r>
      <w:r w:rsidR="008720A1" w:rsidRPr="00340DB4">
        <w:rPr>
          <w:rFonts w:cs="Arial"/>
          <w:lang w:val="fr-FR"/>
        </w:rPr>
        <w:t>un outil de recherche de l</w:t>
      </w:r>
      <w:r w:rsidR="00C34ADB" w:rsidRPr="00340DB4">
        <w:rPr>
          <w:rFonts w:cs="Arial"/>
          <w:lang w:val="fr-FR"/>
        </w:rPr>
        <w:t>’</w:t>
      </w:r>
      <w:r w:rsidR="008720A1" w:rsidRPr="00340DB4">
        <w:rPr>
          <w:rFonts w:cs="Arial"/>
          <w:lang w:val="fr-FR"/>
        </w:rPr>
        <w:t>UPOV de similarité aux fins de la dénomination variétale et d</w:t>
      </w:r>
      <w:r w:rsidR="00C34ADB" w:rsidRPr="00340DB4">
        <w:rPr>
          <w:rFonts w:cs="Arial"/>
          <w:lang w:val="fr-FR"/>
        </w:rPr>
        <w:t>’</w:t>
      </w:r>
      <w:r w:rsidR="008720A1" w:rsidRPr="00340DB4">
        <w:rPr>
          <w:rFonts w:cs="Arial"/>
          <w:lang w:val="fr-FR"/>
        </w:rPr>
        <w:t xml:space="preserve">examiner la révision éventuelle des “Notes explicatives concernant les dénominations variétales en vertu de la </w:t>
      </w:r>
      <w:r w:rsidR="00C34ADB" w:rsidRPr="00340DB4">
        <w:rPr>
          <w:rFonts w:cs="Arial"/>
          <w:lang w:val="fr-FR"/>
        </w:rPr>
        <w:t>Convention UPOV</w:t>
      </w:r>
      <w:r w:rsidR="008720A1" w:rsidRPr="00340DB4">
        <w:rPr>
          <w:rFonts w:cs="Arial"/>
          <w:lang w:val="fr-FR"/>
        </w:rPr>
        <w:t>”</w:t>
      </w:r>
      <w:r w:rsidR="009136C0" w:rsidRPr="00340DB4">
        <w:rPr>
          <w:rFonts w:cs="Arial"/>
          <w:lang w:val="fr-FR"/>
        </w:rPr>
        <w:t xml:space="preserve"> (</w:t>
      </w:r>
      <w:r w:rsidR="00C34ADB" w:rsidRPr="00340DB4">
        <w:rPr>
          <w:rFonts w:cs="Arial"/>
          <w:lang w:val="fr-FR"/>
        </w:rPr>
        <w:t>document UP</w:t>
      </w:r>
      <w:r w:rsidR="009136C0" w:rsidRPr="00340DB4">
        <w:rPr>
          <w:rFonts w:cs="Arial"/>
          <w:lang w:val="fr-FR"/>
        </w:rPr>
        <w:t>OV/INF/12/4)</w:t>
      </w:r>
      <w:r w:rsidR="009136C0" w:rsidRPr="00340DB4">
        <w:rPr>
          <w:rFonts w:cs="Arial"/>
          <w:snapToGrid w:val="0"/>
          <w:lang w:val="fr-FR"/>
        </w:rPr>
        <w:t>.</w:t>
      </w:r>
    </w:p>
    <w:p w:rsidR="00F0449E" w:rsidRPr="00340DB4" w:rsidRDefault="00F0449E" w:rsidP="00340DB4">
      <w:pPr>
        <w:rPr>
          <w:snapToGrid w:val="0"/>
          <w:lang w:val="fr-FR" w:eastAsia="ja-JP"/>
        </w:rPr>
      </w:pPr>
    </w:p>
    <w:p w:rsidR="00F0449E" w:rsidRPr="00340DB4" w:rsidRDefault="00F0449E" w:rsidP="00340DB4">
      <w:pPr>
        <w:rPr>
          <w:snapToGrid w:val="0"/>
          <w:lang w:val="fr-FR"/>
        </w:rPr>
      </w:pPr>
    </w:p>
    <w:p w:rsidR="00F0449E" w:rsidRPr="00340DB4" w:rsidRDefault="00F0449E" w:rsidP="00340DB4">
      <w:pPr>
        <w:rPr>
          <w:snapToGrid w:val="0"/>
          <w:lang w:val="fr-FR"/>
        </w:rPr>
      </w:pPr>
    </w:p>
    <w:p w:rsidR="00F0449E" w:rsidRPr="00340DB4" w:rsidRDefault="008720A1" w:rsidP="00340DB4">
      <w:pPr>
        <w:pStyle w:val="Heading1"/>
        <w:rPr>
          <w:snapToGrid w:val="0"/>
          <w:lang w:val="fr-FR"/>
        </w:rPr>
      </w:pPr>
      <w:bookmarkStart w:id="7" w:name="_Toc413233495"/>
      <w:bookmarkStart w:id="8" w:name="_Toc382388626"/>
      <w:bookmarkEnd w:id="5"/>
      <w:r w:rsidRPr="00340DB4">
        <w:rPr>
          <w:snapToGrid w:val="0"/>
          <w:lang w:val="fr-FR"/>
        </w:rPr>
        <w:t>Possibilité d</w:t>
      </w:r>
      <w:r w:rsidR="00C34ADB" w:rsidRPr="00340DB4">
        <w:rPr>
          <w:snapToGrid w:val="0"/>
          <w:lang w:val="fr-FR"/>
        </w:rPr>
        <w:t>’</w:t>
      </w:r>
      <w:r w:rsidRPr="00340DB4">
        <w:rPr>
          <w:snapToGrid w:val="0"/>
          <w:lang w:val="fr-FR"/>
        </w:rPr>
        <w:t>élaboration d</w:t>
      </w:r>
      <w:r w:rsidR="00C34ADB" w:rsidRPr="00340DB4">
        <w:rPr>
          <w:snapToGrid w:val="0"/>
          <w:lang w:val="fr-FR"/>
        </w:rPr>
        <w:t>’</w:t>
      </w:r>
      <w:r w:rsidRPr="00340DB4">
        <w:rPr>
          <w:snapToGrid w:val="0"/>
          <w:lang w:val="fr-FR"/>
        </w:rPr>
        <w:t>un outil de recherche de l</w:t>
      </w:r>
      <w:r w:rsidR="00C34ADB" w:rsidRPr="00340DB4">
        <w:rPr>
          <w:snapToGrid w:val="0"/>
          <w:lang w:val="fr-FR"/>
        </w:rPr>
        <w:t>’</w:t>
      </w:r>
      <w:r w:rsidRPr="00340DB4">
        <w:rPr>
          <w:snapToGrid w:val="0"/>
          <w:lang w:val="fr-FR"/>
        </w:rPr>
        <w:t>UPOV de similarité aux fins de la dénomination variétale</w:t>
      </w:r>
      <w:bookmarkEnd w:id="7"/>
    </w:p>
    <w:p w:rsidR="00F0449E" w:rsidRPr="00340DB4" w:rsidRDefault="00F0449E" w:rsidP="00340DB4">
      <w:pPr>
        <w:rPr>
          <w:rFonts w:cs="Arial"/>
          <w:snapToGrid w:val="0"/>
          <w:lang w:val="fr-FR"/>
        </w:rPr>
      </w:pPr>
    </w:p>
    <w:p w:rsidR="00F0449E" w:rsidRPr="00340DB4" w:rsidRDefault="00A2438A" w:rsidP="00340DB4">
      <w:pPr>
        <w:rPr>
          <w:szCs w:val="24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8720A1" w:rsidRPr="00340DB4">
        <w:rPr>
          <w:lang w:val="fr-FR"/>
        </w:rPr>
        <w:t xml:space="preserve">Les informations générales sur cette question sont fournies dans les </w:t>
      </w:r>
      <w:r w:rsidRPr="00340DB4">
        <w:rPr>
          <w:szCs w:val="24"/>
          <w:lang w:val="fr-FR"/>
        </w:rPr>
        <w:t>document</w:t>
      </w:r>
      <w:r w:rsidR="008720A1" w:rsidRPr="00340DB4">
        <w:rPr>
          <w:szCs w:val="24"/>
          <w:lang w:val="fr-FR"/>
        </w:rPr>
        <w:t>s</w:t>
      </w:r>
      <w:r w:rsidRPr="00340DB4">
        <w:rPr>
          <w:szCs w:val="24"/>
          <w:lang w:val="fr-FR"/>
        </w:rPr>
        <w:t xml:space="preserve"> </w:t>
      </w:r>
      <w:r w:rsidR="003D0C5A" w:rsidRPr="00340DB4">
        <w:rPr>
          <w:szCs w:val="24"/>
          <w:lang w:val="fr-FR" w:eastAsia="ja-JP"/>
        </w:rPr>
        <w:t>CAJ</w:t>
      </w:r>
      <w:r w:rsidR="00543E63" w:rsidRPr="00340DB4">
        <w:rPr>
          <w:szCs w:val="24"/>
          <w:lang w:val="fr-FR" w:eastAsia="ja-JP"/>
        </w:rPr>
        <w:t>/</w:t>
      </w:r>
      <w:r w:rsidR="003D0C5A" w:rsidRPr="00340DB4">
        <w:rPr>
          <w:szCs w:val="24"/>
          <w:lang w:val="fr-FR" w:eastAsia="ja-JP"/>
        </w:rPr>
        <w:t>70/4</w:t>
      </w:r>
      <w:r w:rsidRPr="00340DB4">
        <w:rPr>
          <w:szCs w:val="24"/>
          <w:lang w:val="fr-FR" w:eastAsia="ja-JP"/>
        </w:rPr>
        <w:t xml:space="preserve"> “</w:t>
      </w:r>
      <w:r w:rsidR="008720A1" w:rsidRPr="00340DB4">
        <w:rPr>
          <w:szCs w:val="24"/>
          <w:lang w:val="fr-FR" w:eastAsia="ja-JP"/>
        </w:rPr>
        <w:t>Dénominations variétales</w:t>
      </w:r>
      <w:r w:rsidRPr="00340DB4">
        <w:rPr>
          <w:szCs w:val="24"/>
          <w:lang w:val="fr-FR" w:eastAsia="ja-JP"/>
        </w:rPr>
        <w:t>”</w:t>
      </w:r>
      <w:r w:rsidR="003D0C5A" w:rsidRPr="00340DB4">
        <w:rPr>
          <w:szCs w:val="24"/>
          <w:lang w:val="fr-FR" w:eastAsia="ja-JP"/>
        </w:rPr>
        <w:t xml:space="preserve"> </w:t>
      </w:r>
      <w:r w:rsidR="008720A1" w:rsidRPr="00340DB4">
        <w:rPr>
          <w:szCs w:val="24"/>
          <w:lang w:val="fr-FR" w:eastAsia="ja-JP"/>
        </w:rPr>
        <w:t>et</w:t>
      </w:r>
      <w:r w:rsidR="003D0C5A" w:rsidRPr="00340DB4">
        <w:rPr>
          <w:szCs w:val="24"/>
          <w:lang w:val="fr-FR" w:eastAsia="ja-JP"/>
        </w:rPr>
        <w:t xml:space="preserve"> CAJ/70/4</w:t>
      </w:r>
      <w:r w:rsidR="001C4EE2" w:rsidRPr="00340DB4">
        <w:rPr>
          <w:szCs w:val="24"/>
          <w:lang w:val="fr-FR" w:eastAsia="ja-JP"/>
        </w:rPr>
        <w:t> </w:t>
      </w:r>
      <w:proofErr w:type="spellStart"/>
      <w:r w:rsidR="003D0C5A" w:rsidRPr="00340DB4">
        <w:rPr>
          <w:szCs w:val="24"/>
          <w:lang w:val="fr-FR" w:eastAsia="ja-JP"/>
        </w:rPr>
        <w:t>Add</w:t>
      </w:r>
      <w:proofErr w:type="spellEnd"/>
      <w:r w:rsidR="003D0C5A" w:rsidRPr="00340DB4">
        <w:rPr>
          <w:szCs w:val="24"/>
          <w:lang w:val="fr-FR" w:eastAsia="ja-JP"/>
        </w:rPr>
        <w:t>. “</w:t>
      </w:r>
      <w:r w:rsidR="009B092F" w:rsidRPr="00340DB4">
        <w:rPr>
          <w:szCs w:val="24"/>
          <w:lang w:val="fr-FR" w:eastAsia="ja-JP"/>
        </w:rPr>
        <w:t>Add</w:t>
      </w:r>
      <w:r w:rsidR="008720A1" w:rsidRPr="00340DB4">
        <w:rPr>
          <w:szCs w:val="24"/>
          <w:lang w:val="fr-FR" w:eastAsia="ja-JP"/>
        </w:rPr>
        <w:t>itif aux dénominations variétales</w:t>
      </w:r>
      <w:r w:rsidR="009B092F" w:rsidRPr="00340DB4">
        <w:rPr>
          <w:szCs w:val="24"/>
          <w:lang w:val="fr-FR" w:eastAsia="ja-JP"/>
        </w:rPr>
        <w:t>”</w:t>
      </w:r>
      <w:r w:rsidRPr="00340DB4">
        <w:rPr>
          <w:szCs w:val="24"/>
          <w:lang w:val="fr-FR" w:eastAsia="ja-JP"/>
        </w:rPr>
        <w:t>.</w:t>
      </w: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A2438A" w:rsidP="00340DB4">
      <w:pPr>
        <w:rPr>
          <w:kern w:val="28"/>
          <w:lang w:val="fr-FR" w:eastAsia="ja-JP"/>
        </w:rPr>
      </w:pPr>
      <w:r w:rsidRPr="00340DB4">
        <w:rPr>
          <w:szCs w:val="24"/>
          <w:lang w:val="fr-FR"/>
        </w:rPr>
        <w:fldChar w:fldCharType="begin"/>
      </w:r>
      <w:r w:rsidRPr="00340DB4">
        <w:rPr>
          <w:szCs w:val="24"/>
          <w:lang w:val="fr-FR"/>
        </w:rPr>
        <w:instrText xml:space="preserve"> AUTONUM  </w:instrText>
      </w:r>
      <w:r w:rsidRPr="00340DB4">
        <w:rPr>
          <w:szCs w:val="24"/>
          <w:lang w:val="fr-FR"/>
        </w:rPr>
        <w:fldChar w:fldCharType="end"/>
      </w:r>
      <w:r w:rsidRPr="00340DB4">
        <w:rPr>
          <w:szCs w:val="24"/>
          <w:lang w:val="fr-FR"/>
        </w:rPr>
        <w:tab/>
      </w:r>
      <w:r w:rsidR="008720A1" w:rsidRPr="00340DB4">
        <w:rPr>
          <w:szCs w:val="24"/>
          <w:lang w:val="fr-FR"/>
        </w:rPr>
        <w:t>À sa soixante</w:t>
      </w:r>
      <w:r w:rsidR="001B3822" w:rsidRPr="00340DB4">
        <w:rPr>
          <w:szCs w:val="22"/>
          <w:lang w:val="fr-FR"/>
        </w:rPr>
        <w:noBreakHyphen/>
      </w:r>
      <w:r w:rsidR="008720A1" w:rsidRPr="00340DB4">
        <w:rPr>
          <w:szCs w:val="22"/>
          <w:lang w:val="fr-FR"/>
        </w:rPr>
        <w:t>dixième</w:t>
      </w:r>
      <w:r w:rsidR="001C4EE2" w:rsidRPr="00340DB4">
        <w:rPr>
          <w:szCs w:val="22"/>
          <w:lang w:val="fr-FR"/>
        </w:rPr>
        <w:t> </w:t>
      </w:r>
      <w:r w:rsidRPr="00340DB4">
        <w:rPr>
          <w:lang w:val="fr-FR"/>
        </w:rPr>
        <w:t>session</w:t>
      </w:r>
      <w:r w:rsidR="00676B9F" w:rsidRPr="00340DB4">
        <w:rPr>
          <w:rStyle w:val="FootnoteReference"/>
          <w:kern w:val="28"/>
          <w:lang w:val="fr-FR" w:eastAsia="ja-JP"/>
        </w:rPr>
        <w:footnoteReference w:id="2"/>
      </w:r>
      <w:r w:rsidRPr="00340DB4">
        <w:rPr>
          <w:kern w:val="28"/>
          <w:lang w:val="fr-FR" w:eastAsia="ja-JP"/>
        </w:rPr>
        <w:t>,</w:t>
      </w:r>
      <w:r w:rsidR="00C34ADB" w:rsidRPr="00340DB4">
        <w:rPr>
          <w:kern w:val="28"/>
          <w:lang w:val="fr-FR" w:eastAsia="ja-JP"/>
        </w:rPr>
        <w:t xml:space="preserve"> le CAJ</w:t>
      </w:r>
      <w:r w:rsidR="008720A1" w:rsidRPr="00340DB4">
        <w:rPr>
          <w:kern w:val="28"/>
          <w:lang w:val="fr-FR" w:eastAsia="ja-JP"/>
        </w:rPr>
        <w:t xml:space="preserve"> a reçu un compte rendu du secrétaire général adjo</w:t>
      </w:r>
      <w:r w:rsidR="001C007C">
        <w:rPr>
          <w:kern w:val="28"/>
          <w:lang w:val="fr-FR" w:eastAsia="ja-JP"/>
        </w:rPr>
        <w:t>int sur la première réunion du G</w:t>
      </w:r>
      <w:r w:rsidR="008720A1" w:rsidRPr="00340DB4">
        <w:rPr>
          <w:kern w:val="28"/>
          <w:lang w:val="fr-FR" w:eastAsia="ja-JP"/>
        </w:rPr>
        <w:t>roupe de travail sur l</w:t>
      </w:r>
      <w:r w:rsidR="00C34ADB" w:rsidRPr="00340DB4">
        <w:rPr>
          <w:kern w:val="28"/>
          <w:lang w:val="fr-FR" w:eastAsia="ja-JP"/>
        </w:rPr>
        <w:t>’</w:t>
      </w:r>
      <w:r w:rsidR="008720A1" w:rsidRPr="00340DB4">
        <w:rPr>
          <w:kern w:val="28"/>
          <w:lang w:val="fr-FR" w:eastAsia="ja-JP"/>
        </w:rPr>
        <w:t>élaboration d</w:t>
      </w:r>
      <w:r w:rsidR="00C34ADB" w:rsidRPr="00340DB4">
        <w:rPr>
          <w:kern w:val="28"/>
          <w:lang w:val="fr-FR" w:eastAsia="ja-JP"/>
        </w:rPr>
        <w:t>’</w:t>
      </w:r>
      <w:r w:rsidR="008720A1" w:rsidRPr="00340DB4">
        <w:rPr>
          <w:kern w:val="28"/>
          <w:lang w:val="fr-FR" w:eastAsia="ja-JP"/>
        </w:rPr>
        <w:t>un outil de recherche de l</w:t>
      </w:r>
      <w:r w:rsidR="00C34ADB" w:rsidRPr="00340DB4">
        <w:rPr>
          <w:kern w:val="28"/>
          <w:lang w:val="fr-FR" w:eastAsia="ja-JP"/>
        </w:rPr>
        <w:t>’</w:t>
      </w:r>
      <w:r w:rsidR="008720A1" w:rsidRPr="00340DB4">
        <w:rPr>
          <w:kern w:val="28"/>
          <w:lang w:val="fr-FR" w:eastAsia="ja-JP"/>
        </w:rPr>
        <w:t>UPOV de similarité aux fins de la dénomination variétale (WG</w:t>
      </w:r>
      <w:r w:rsidR="001B3822" w:rsidRPr="00340DB4">
        <w:rPr>
          <w:kern w:val="28"/>
          <w:szCs w:val="22"/>
          <w:lang w:val="fr-FR" w:eastAsia="ja-JP"/>
        </w:rPr>
        <w:noBreakHyphen/>
      </w:r>
      <w:r w:rsidR="008720A1" w:rsidRPr="00340DB4">
        <w:rPr>
          <w:kern w:val="28"/>
          <w:lang w:val="fr-FR" w:eastAsia="ja-JP"/>
        </w:rPr>
        <w:t>DST)</w:t>
      </w:r>
      <w:r w:rsidR="00676B9F" w:rsidRPr="00340DB4">
        <w:rPr>
          <w:rStyle w:val="FootnoteReference"/>
          <w:rFonts w:cs="Arial"/>
          <w:snapToGrid w:val="0"/>
          <w:lang w:val="fr-FR" w:eastAsia="ja-JP"/>
        </w:rPr>
        <w:footnoteReference w:id="3"/>
      </w:r>
      <w:r w:rsidRPr="00340DB4">
        <w:rPr>
          <w:lang w:val="fr-FR"/>
        </w:rPr>
        <w:t>.</w:t>
      </w:r>
      <w:r w:rsidR="00DC795D" w:rsidRPr="00340DB4">
        <w:rPr>
          <w:lang w:val="fr-FR"/>
        </w:rPr>
        <w:t xml:space="preserve">  </w:t>
      </w:r>
      <w:r w:rsidR="008720A1" w:rsidRPr="00340DB4">
        <w:rPr>
          <w:lang w:val="fr-FR"/>
        </w:rPr>
        <w:t xml:space="preserve">Ce compte rendu figure dans le </w:t>
      </w:r>
      <w:r w:rsidR="00DC795D" w:rsidRPr="00340DB4">
        <w:rPr>
          <w:lang w:val="fr-FR"/>
        </w:rPr>
        <w:t>document UPOV/WG</w:t>
      </w:r>
      <w:r w:rsidR="001B3822" w:rsidRPr="00340DB4">
        <w:rPr>
          <w:lang w:val="fr-FR"/>
        </w:rPr>
        <w:noBreakHyphen/>
      </w:r>
      <w:r w:rsidR="00DC795D" w:rsidRPr="00340DB4">
        <w:rPr>
          <w:lang w:val="fr-FR"/>
        </w:rPr>
        <w:t>DST/1/4 “</w:t>
      </w:r>
      <w:r w:rsidR="00DC795D" w:rsidRPr="001C007C">
        <w:rPr>
          <w:i/>
          <w:lang w:val="fr-FR"/>
        </w:rPr>
        <w:t>Report</w:t>
      </w:r>
      <w:r w:rsidR="00DC795D" w:rsidRPr="00340DB4">
        <w:rPr>
          <w:lang w:val="fr-FR"/>
        </w:rPr>
        <w:t>” (</w:t>
      </w:r>
      <w:r w:rsidR="00704CAD" w:rsidRPr="00340DB4">
        <w:rPr>
          <w:lang w:val="fr-FR"/>
        </w:rPr>
        <w:t>voir</w:t>
      </w:r>
      <w:r w:rsidR="00676B9F" w:rsidRPr="00340DB4">
        <w:rPr>
          <w:lang w:val="fr-FR"/>
        </w:rPr>
        <w:t> </w:t>
      </w:r>
      <w:r w:rsidR="006C1D8F">
        <w:fldChar w:fldCharType="begin"/>
      </w:r>
      <w:r w:rsidR="006C1D8F">
        <w:instrText xml:space="preserve"> HYPERLINK "http://www.upov.int/meetings/en/details.jsp?meeting_id=34462"</w:instrText>
      </w:r>
      <w:r w:rsidR="006C1D8F">
        <w:instrText xml:space="preserve"> </w:instrText>
      </w:r>
      <w:r w:rsidR="006C1D8F">
        <w:fldChar w:fldCharType="separate"/>
      </w:r>
      <w:r w:rsidR="00483972" w:rsidRPr="001C007C">
        <w:rPr>
          <w:rStyle w:val="Hyperlink"/>
        </w:rPr>
        <w:t>http://www.upov.int/meetings/en/details.jsp?meeting_id=34462</w:t>
      </w:r>
      <w:r w:rsidR="006C1D8F">
        <w:rPr>
          <w:rStyle w:val="Hyperlink"/>
        </w:rPr>
        <w:fldChar w:fldCharType="end"/>
      </w:r>
      <w:r w:rsidR="00DC795D" w:rsidRPr="00340DB4">
        <w:rPr>
          <w:lang w:val="fr-FR"/>
        </w:rPr>
        <w:t>).</w:t>
      </w:r>
      <w:r w:rsidR="00184A04" w:rsidRPr="00340DB4">
        <w:rPr>
          <w:lang w:val="fr-FR"/>
        </w:rPr>
        <w:t xml:space="preserve"> </w:t>
      </w:r>
      <w:r w:rsidR="00BA3BC1" w:rsidRPr="00340DB4">
        <w:rPr>
          <w:lang w:val="fr-FR"/>
        </w:rPr>
        <w:t xml:space="preserve"> </w:t>
      </w:r>
      <w:r w:rsidR="008720A1" w:rsidRPr="00340DB4">
        <w:rPr>
          <w:lang w:val="fr-FR"/>
        </w:rPr>
        <w:t>Le</w:t>
      </w:r>
      <w:r w:rsidR="00C625C5" w:rsidRPr="00340DB4">
        <w:rPr>
          <w:lang w:val="fr-FR"/>
        </w:rPr>
        <w:t> </w:t>
      </w:r>
      <w:r w:rsidRPr="00340DB4">
        <w:rPr>
          <w:lang w:val="fr-FR"/>
        </w:rPr>
        <w:t xml:space="preserve">CAJ </w:t>
      </w:r>
      <w:r w:rsidR="008720A1" w:rsidRPr="00340DB4">
        <w:rPr>
          <w:lang w:val="fr-FR"/>
        </w:rPr>
        <w:t xml:space="preserve">a noté que des exposés </w:t>
      </w:r>
      <w:r w:rsidR="005A482D" w:rsidRPr="00340DB4">
        <w:rPr>
          <w:lang w:val="fr-FR"/>
        </w:rPr>
        <w:t>avaient</w:t>
      </w:r>
      <w:r w:rsidR="008720A1" w:rsidRPr="00340DB4">
        <w:rPr>
          <w:lang w:val="fr-FR"/>
        </w:rPr>
        <w:t xml:space="preserve"> été présentés sur les outils de recherche disponibles concernant la base de données PLUTO et que les membres du WG</w:t>
      </w:r>
      <w:r w:rsidR="001B3822" w:rsidRPr="00340DB4">
        <w:rPr>
          <w:szCs w:val="22"/>
          <w:lang w:val="fr-FR"/>
        </w:rPr>
        <w:noBreakHyphen/>
      </w:r>
      <w:r w:rsidR="008720A1" w:rsidRPr="00340DB4">
        <w:rPr>
          <w:lang w:val="fr-FR"/>
        </w:rPr>
        <w:t xml:space="preserve">DST </w:t>
      </w:r>
      <w:r w:rsidR="005A482D" w:rsidRPr="00340DB4">
        <w:rPr>
          <w:lang w:val="fr-FR"/>
        </w:rPr>
        <w:t>étaient</w:t>
      </w:r>
      <w:r w:rsidR="008720A1" w:rsidRPr="00340DB4">
        <w:rPr>
          <w:lang w:val="fr-FR"/>
        </w:rPr>
        <w:t xml:space="preserve"> convenus de partager leurs outils et procédures de recherche avec le WG</w:t>
      </w:r>
      <w:r w:rsidR="001B3822" w:rsidRPr="00340DB4">
        <w:rPr>
          <w:szCs w:val="22"/>
          <w:lang w:val="fr-FR"/>
        </w:rPr>
        <w:noBreakHyphen/>
      </w:r>
      <w:r w:rsidR="008720A1" w:rsidRPr="00340DB4">
        <w:rPr>
          <w:lang w:val="fr-FR"/>
        </w:rPr>
        <w:t>DST</w:t>
      </w:r>
      <w:r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A2438A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D063B" w:rsidRPr="00340DB4">
        <w:rPr>
          <w:lang w:val="fr-FR"/>
        </w:rPr>
        <w:t>Le CAJ a noté que le WG</w:t>
      </w:r>
      <w:r w:rsidR="001B3822" w:rsidRPr="00340DB4">
        <w:rPr>
          <w:lang w:val="fr-FR"/>
        </w:rPr>
        <w:noBreakHyphen/>
      </w:r>
      <w:r w:rsidR="001D063B" w:rsidRPr="00340DB4">
        <w:rPr>
          <w:lang w:val="fr-FR"/>
        </w:rPr>
        <w:t>DST était convenu qu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un outil de recherche de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UPOV de similarité aurait pour fonction d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identifier les dénominations similaires à des dénominations existantes dans la mesure où un examen individuel complémentaire serait nécessaire avant qu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il soit décidé si la dénomination est (suffisamment) distincte des dénominations existantes.  À cet égard, le WG</w:t>
      </w:r>
      <w:r w:rsidR="001B3822" w:rsidRPr="00340DB4">
        <w:rPr>
          <w:lang w:val="fr-FR"/>
        </w:rPr>
        <w:noBreakHyphen/>
      </w:r>
      <w:r w:rsidR="001D063B" w:rsidRPr="00340DB4">
        <w:rPr>
          <w:lang w:val="fr-FR"/>
        </w:rPr>
        <w:t>DST était convenu d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organiser une étude test visant à mettre au point un outil de recherche efficace pour les dénominations, dont un aperçu a été présenté</w:t>
      </w:r>
      <w:r w:rsidR="00C34ADB" w:rsidRPr="00340DB4">
        <w:rPr>
          <w:lang w:val="fr-FR"/>
        </w:rPr>
        <w:t xml:space="preserve"> au CAJ</w:t>
      </w:r>
      <w:r w:rsidR="001D063B"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A2438A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D063B" w:rsidRPr="00340DB4">
        <w:rPr>
          <w:lang w:val="fr-FR"/>
        </w:rPr>
        <w:t xml:space="preserve">Le CAJ </w:t>
      </w:r>
      <w:r w:rsidR="005A482D" w:rsidRPr="00340DB4">
        <w:rPr>
          <w:lang w:val="fr-FR"/>
        </w:rPr>
        <w:t>a estimé</w:t>
      </w:r>
      <w:r w:rsidR="001D063B" w:rsidRPr="00340DB4">
        <w:rPr>
          <w:lang w:val="fr-FR"/>
        </w:rPr>
        <w:t xml:space="preserve"> que le WG</w:t>
      </w:r>
      <w:r w:rsidR="001B3822" w:rsidRPr="00340DB4">
        <w:rPr>
          <w:lang w:val="fr-FR"/>
        </w:rPr>
        <w:noBreakHyphen/>
      </w:r>
      <w:r w:rsidR="001D063B" w:rsidRPr="00340DB4">
        <w:rPr>
          <w:lang w:val="fr-FR"/>
        </w:rPr>
        <w:t>DST devrait convenir des détails de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étude test avant que les participants soient invités à démarrer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étude.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A2438A" w:rsidP="00340DB4">
      <w:pPr>
        <w:rPr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D063B" w:rsidRPr="00340DB4">
        <w:rPr>
          <w:lang w:val="fr-FR"/>
        </w:rPr>
        <w:t>Le CAJ est convenu que la possibilité de participer à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étude test visant à mettre au point un outil de recherche efficace pour les dénominations devrait être offerte à tous les membres de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>Union</w:t>
      </w:r>
      <w:r w:rsidR="001D063B" w:rsidRPr="00340DB4">
        <w:rPr>
          <w:rStyle w:val="FootnoteReference"/>
          <w:lang w:val="fr-FR"/>
        </w:rPr>
        <w:footnoteReference w:id="4"/>
      </w:r>
      <w:r w:rsidR="001D063B"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 w:eastAsia="ja-JP"/>
        </w:rPr>
      </w:pPr>
    </w:p>
    <w:p w:rsidR="00C34ADB" w:rsidRPr="00340DB4" w:rsidRDefault="00A1050E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D063B" w:rsidRPr="00340DB4">
        <w:rPr>
          <w:lang w:val="fr-FR"/>
        </w:rPr>
        <w:t>Les membres du</w:t>
      </w:r>
      <w:r w:rsidRPr="00340DB4">
        <w:rPr>
          <w:lang w:val="fr-FR"/>
        </w:rPr>
        <w:t xml:space="preserve"> </w:t>
      </w:r>
      <w:r w:rsidRPr="00340DB4">
        <w:rPr>
          <w:lang w:val="fr-FR" w:eastAsia="ja-JP"/>
        </w:rPr>
        <w:t>WG</w:t>
      </w:r>
      <w:r w:rsidR="001B3822" w:rsidRPr="00340DB4">
        <w:rPr>
          <w:lang w:val="fr-FR" w:eastAsia="ja-JP"/>
        </w:rPr>
        <w:noBreakHyphen/>
      </w:r>
      <w:r w:rsidRPr="00340DB4">
        <w:rPr>
          <w:lang w:val="fr-FR" w:eastAsia="ja-JP"/>
        </w:rPr>
        <w:t xml:space="preserve">DST </w:t>
      </w:r>
      <w:r w:rsidR="001D063B" w:rsidRPr="00340DB4">
        <w:rPr>
          <w:lang w:val="fr-FR" w:eastAsia="ja-JP"/>
        </w:rPr>
        <w:t>ont été invités à faire des observations sur les modalités précises de l</w:t>
      </w:r>
      <w:r w:rsidR="00C34ADB" w:rsidRPr="00340DB4">
        <w:rPr>
          <w:lang w:val="fr-FR" w:eastAsia="ja-JP"/>
        </w:rPr>
        <w:t>’</w:t>
      </w:r>
      <w:r w:rsidR="001D063B" w:rsidRPr="00340DB4">
        <w:rPr>
          <w:lang w:val="fr-FR" w:eastAsia="ja-JP"/>
        </w:rPr>
        <w:t>étude test avant le 2</w:t>
      </w:r>
      <w:r w:rsidR="00C34ADB" w:rsidRPr="00340DB4">
        <w:rPr>
          <w:lang w:val="fr-FR" w:eastAsia="ja-JP"/>
        </w:rPr>
        <w:t>7 février 20</w:t>
      </w:r>
      <w:r w:rsidR="001D063B" w:rsidRPr="00340DB4">
        <w:rPr>
          <w:lang w:val="fr-FR" w:eastAsia="ja-JP"/>
        </w:rPr>
        <w:t xml:space="preserve">15 (voir le </w:t>
      </w:r>
      <w:r w:rsidRPr="00340DB4">
        <w:rPr>
          <w:lang w:val="fr-FR" w:eastAsia="ja-JP"/>
        </w:rPr>
        <w:t>paragraph</w:t>
      </w:r>
      <w:r w:rsidR="001D063B" w:rsidRPr="00340DB4">
        <w:rPr>
          <w:lang w:val="fr-FR" w:eastAsia="ja-JP"/>
        </w:rPr>
        <w:t>e</w:t>
      </w:r>
      <w:r w:rsidR="001C4EE2" w:rsidRPr="00340DB4">
        <w:rPr>
          <w:lang w:val="fr-FR" w:eastAsia="ja-JP"/>
        </w:rPr>
        <w:t> </w:t>
      </w:r>
      <w:r w:rsidRPr="00340DB4">
        <w:rPr>
          <w:lang w:val="fr-FR" w:eastAsia="ja-JP"/>
        </w:rPr>
        <w:t xml:space="preserve">9).  </w:t>
      </w:r>
      <w:r w:rsidR="001D063B" w:rsidRPr="00340DB4">
        <w:rPr>
          <w:lang w:val="fr-FR" w:eastAsia="ja-JP"/>
        </w:rPr>
        <w:t>Sous réserve de l</w:t>
      </w:r>
      <w:r w:rsidR="00C34ADB" w:rsidRPr="00340DB4">
        <w:rPr>
          <w:lang w:val="fr-FR" w:eastAsia="ja-JP"/>
        </w:rPr>
        <w:t>’</w:t>
      </w:r>
      <w:r w:rsidR="001D063B" w:rsidRPr="00340DB4">
        <w:rPr>
          <w:lang w:val="fr-FR" w:eastAsia="ja-JP"/>
        </w:rPr>
        <w:t>approbation des membres du</w:t>
      </w:r>
      <w:r w:rsidRPr="00340DB4">
        <w:rPr>
          <w:lang w:val="fr-FR" w:eastAsia="ja-JP"/>
        </w:rPr>
        <w:t xml:space="preserve"> WG</w:t>
      </w:r>
      <w:r w:rsidR="001B3822" w:rsidRPr="00340DB4">
        <w:rPr>
          <w:lang w:val="fr-FR" w:eastAsia="ja-JP"/>
        </w:rPr>
        <w:noBreakHyphen/>
      </w:r>
      <w:r w:rsidRPr="00340DB4">
        <w:rPr>
          <w:lang w:val="fr-FR" w:eastAsia="ja-JP"/>
        </w:rPr>
        <w:t xml:space="preserve">DST, </w:t>
      </w:r>
      <w:r w:rsidR="001D063B" w:rsidRPr="00340DB4">
        <w:rPr>
          <w:lang w:val="fr-FR" w:eastAsia="ja-JP"/>
        </w:rPr>
        <w:t>une circulaire invitant tous les membres de l</w:t>
      </w:r>
      <w:r w:rsidR="00C34ADB" w:rsidRPr="00340DB4">
        <w:rPr>
          <w:lang w:val="fr-FR" w:eastAsia="ja-JP"/>
        </w:rPr>
        <w:t>’</w:t>
      </w:r>
      <w:r w:rsidRPr="00340DB4">
        <w:rPr>
          <w:lang w:val="fr-FR"/>
        </w:rPr>
        <w:t xml:space="preserve">UPOV </w:t>
      </w:r>
      <w:r w:rsidR="001D063B" w:rsidRPr="00340DB4">
        <w:rPr>
          <w:lang w:val="fr-FR"/>
        </w:rPr>
        <w:t xml:space="preserve">à </w:t>
      </w:r>
      <w:r w:rsidRPr="00340DB4">
        <w:rPr>
          <w:lang w:val="fr-FR"/>
        </w:rPr>
        <w:t>part</w:t>
      </w:r>
      <w:r w:rsidR="001D063B" w:rsidRPr="00340DB4">
        <w:rPr>
          <w:lang w:val="fr-FR"/>
        </w:rPr>
        <w:t>iciper à l</w:t>
      </w:r>
      <w:r w:rsidR="00C34ADB" w:rsidRPr="00340DB4">
        <w:rPr>
          <w:lang w:val="fr-FR"/>
        </w:rPr>
        <w:t>’</w:t>
      </w:r>
      <w:r w:rsidR="001D063B" w:rsidRPr="00340DB4">
        <w:rPr>
          <w:lang w:val="fr-FR"/>
        </w:rPr>
        <w:t xml:space="preserve">étude test sera diffusée le </w:t>
      </w:r>
      <w:r w:rsidR="00C34ADB" w:rsidRPr="00340DB4">
        <w:rPr>
          <w:lang w:val="fr-FR"/>
        </w:rPr>
        <w:t>6 mars 20</w:t>
      </w:r>
      <w:r w:rsidRPr="00340DB4">
        <w:rPr>
          <w:lang w:val="fr-FR"/>
        </w:rPr>
        <w:t>15</w:t>
      </w:r>
      <w:r w:rsidR="00483972" w:rsidRPr="00340DB4">
        <w:rPr>
          <w:lang w:val="fr-FR"/>
        </w:rPr>
        <w:t>,</w:t>
      </w:r>
      <w:r w:rsidRPr="00340DB4">
        <w:rPr>
          <w:lang w:val="fr-FR"/>
        </w:rPr>
        <w:t xml:space="preserve"> </w:t>
      </w:r>
      <w:r w:rsidR="001D6119" w:rsidRPr="00340DB4">
        <w:rPr>
          <w:lang w:val="fr-FR"/>
        </w:rPr>
        <w:t>la date limite pour soumettre les listes de dénominations similaires étant fixée au 2</w:t>
      </w:r>
      <w:r w:rsidR="00C34ADB" w:rsidRPr="00340DB4">
        <w:rPr>
          <w:lang w:val="fr-FR"/>
        </w:rPr>
        <w:t>7 avril </w:t>
      </w:r>
      <w:r w:rsidR="00C34ADB" w:rsidRPr="00340DB4">
        <w:rPr>
          <w:lang w:val="fr-FR" w:eastAsia="ja-JP"/>
        </w:rPr>
        <w:t>20</w:t>
      </w:r>
      <w:r w:rsidR="00676B9F" w:rsidRPr="00340DB4">
        <w:rPr>
          <w:lang w:val="fr-FR" w:eastAsia="ja-JP"/>
        </w:rPr>
        <w:t>15</w:t>
      </w:r>
      <w:r w:rsidRPr="00340DB4">
        <w:rPr>
          <w:lang w:val="fr-FR"/>
        </w:rPr>
        <w:t>.</w:t>
      </w:r>
      <w:r w:rsidRPr="00340DB4">
        <w:rPr>
          <w:lang w:val="fr-FR" w:eastAsia="ja-JP"/>
        </w:rPr>
        <w:t xml:space="preserve"> </w:t>
      </w:r>
      <w:r w:rsidR="00DB113F" w:rsidRPr="00340DB4">
        <w:rPr>
          <w:lang w:val="fr-FR" w:eastAsia="ja-JP"/>
        </w:rPr>
        <w:t xml:space="preserve"> </w:t>
      </w:r>
      <w:r w:rsidR="001D6119" w:rsidRPr="00340DB4">
        <w:rPr>
          <w:lang w:val="fr-FR" w:eastAsia="ja-JP"/>
        </w:rPr>
        <w:t xml:space="preserve">Il est proposé que la deuxième réunion du </w:t>
      </w:r>
      <w:r w:rsidR="00DB113F" w:rsidRPr="00340DB4">
        <w:rPr>
          <w:lang w:val="fr-FR" w:eastAsia="ja-JP"/>
        </w:rPr>
        <w:t>WG</w:t>
      </w:r>
      <w:r w:rsidR="001B3822" w:rsidRPr="00340DB4">
        <w:rPr>
          <w:lang w:val="fr-FR" w:eastAsia="ja-JP"/>
        </w:rPr>
        <w:noBreakHyphen/>
      </w:r>
      <w:r w:rsidR="00DB113F" w:rsidRPr="00340DB4">
        <w:rPr>
          <w:lang w:val="fr-FR" w:eastAsia="ja-JP"/>
        </w:rPr>
        <w:t>DST</w:t>
      </w:r>
      <w:r w:rsidR="001D6119" w:rsidRPr="00340DB4">
        <w:rPr>
          <w:lang w:val="fr-FR" w:eastAsia="ja-JP"/>
        </w:rPr>
        <w:t>, à l</w:t>
      </w:r>
      <w:r w:rsidR="00C34ADB" w:rsidRPr="00340DB4">
        <w:rPr>
          <w:lang w:val="fr-FR" w:eastAsia="ja-JP"/>
        </w:rPr>
        <w:t>’</w:t>
      </w:r>
      <w:r w:rsidR="001D6119" w:rsidRPr="00340DB4">
        <w:rPr>
          <w:lang w:val="fr-FR" w:eastAsia="ja-JP"/>
        </w:rPr>
        <w:t>occasion de laquelle un compte rendu de l</w:t>
      </w:r>
      <w:r w:rsidR="00C34ADB" w:rsidRPr="00340DB4">
        <w:rPr>
          <w:lang w:val="fr-FR" w:eastAsia="ja-JP"/>
        </w:rPr>
        <w:t>’</w:t>
      </w:r>
      <w:r w:rsidR="001D6119" w:rsidRPr="00340DB4">
        <w:rPr>
          <w:lang w:val="fr-FR" w:eastAsia="ja-JP"/>
        </w:rPr>
        <w:t>étude sera présenté,</w:t>
      </w:r>
      <w:r w:rsidRPr="00340DB4">
        <w:rPr>
          <w:lang w:val="fr-FR" w:eastAsia="ja-JP"/>
        </w:rPr>
        <w:t xml:space="preserve"> </w:t>
      </w:r>
      <w:r w:rsidR="001D6119" w:rsidRPr="00340DB4">
        <w:rPr>
          <w:lang w:val="fr-FR" w:eastAsia="ja-JP"/>
        </w:rPr>
        <w:t xml:space="preserve">se tienne le </w:t>
      </w:r>
      <w:r w:rsidR="00C34ADB" w:rsidRPr="00340DB4">
        <w:rPr>
          <w:lang w:val="fr-FR" w:eastAsia="ja-JP"/>
        </w:rPr>
        <w:t>9 juin 20</w:t>
      </w:r>
      <w:r w:rsidRPr="00340DB4">
        <w:rPr>
          <w:lang w:val="fr-FR" w:eastAsia="ja-JP"/>
        </w:rPr>
        <w:t>15.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DC795D" w:rsidP="00340DB4">
      <w:pPr>
        <w:rPr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D6119" w:rsidRPr="00340DB4">
        <w:rPr>
          <w:lang w:val="fr-FR"/>
        </w:rPr>
        <w:t>L</w:t>
      </w:r>
      <w:r w:rsidR="00C34ADB" w:rsidRPr="00340DB4">
        <w:rPr>
          <w:lang w:val="fr-FR"/>
        </w:rPr>
        <w:t>’</w:t>
      </w:r>
      <w:r w:rsidR="001D6119" w:rsidRPr="00340DB4">
        <w:rPr>
          <w:lang w:val="fr-FR"/>
        </w:rPr>
        <w:t>étude devrait comprendre les étapes suivantes</w:t>
      </w:r>
      <w:r w:rsidR="001C4EE2" w:rsidRPr="00340DB4">
        <w:rPr>
          <w:lang w:val="fr-FR"/>
        </w:rPr>
        <w:t> </w:t>
      </w:r>
      <w:r w:rsidR="00DB113F" w:rsidRPr="00340DB4">
        <w:rPr>
          <w:lang w:val="fr-FR" w:eastAsia="ja-JP"/>
        </w:rPr>
        <w:t>: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1D6119" w:rsidP="00340DB4">
      <w:pPr>
        <w:ind w:left="567"/>
        <w:rPr>
          <w:lang w:val="fr-FR"/>
        </w:rPr>
      </w:pPr>
      <w:r w:rsidRPr="00340DB4">
        <w:rPr>
          <w:lang w:val="fr-FR" w:eastAsia="ja-JP"/>
        </w:rPr>
        <w:t>Étape</w:t>
      </w:r>
      <w:r w:rsidR="00A1050E" w:rsidRPr="00340DB4">
        <w:rPr>
          <w:lang w:val="fr-FR" w:eastAsia="ja-JP"/>
        </w:rPr>
        <w:t xml:space="preserve"> 1</w:t>
      </w:r>
      <w:r w:rsidR="001C4EE2" w:rsidRPr="00340DB4">
        <w:rPr>
          <w:lang w:val="fr-FR" w:eastAsia="ja-JP"/>
        </w:rPr>
        <w:t> </w:t>
      </w:r>
      <w:r w:rsidR="00A1050E" w:rsidRPr="00340DB4">
        <w:rPr>
          <w:lang w:val="fr-FR" w:eastAsia="ja-JP"/>
        </w:rPr>
        <w:t xml:space="preserve">: </w:t>
      </w:r>
      <w:r w:rsidRPr="00340DB4">
        <w:rPr>
          <w:lang w:val="fr-FR" w:eastAsia="ja-JP"/>
        </w:rPr>
        <w:t>sélection des dénominations test</w:t>
      </w:r>
      <w:r w:rsidR="005A482D" w:rsidRPr="00340DB4">
        <w:rPr>
          <w:lang w:val="fr-FR" w:eastAsia="ja-JP"/>
        </w:rPr>
        <w:t>s</w:t>
      </w:r>
      <w:r w:rsidRPr="00340DB4">
        <w:rPr>
          <w:lang w:val="fr-FR" w:eastAsia="ja-JP"/>
        </w:rPr>
        <w:t xml:space="preserve"> de manière à couvrir une large gamme de dénominations</w:t>
      </w:r>
    </w:p>
    <w:p w:rsidR="00F0449E" w:rsidRPr="00340DB4" w:rsidRDefault="00F0449E" w:rsidP="00340DB4">
      <w:pPr>
        <w:ind w:left="567"/>
        <w:rPr>
          <w:lang w:val="fr-FR" w:eastAsia="ja-JP"/>
        </w:rPr>
      </w:pPr>
    </w:p>
    <w:p w:rsidR="00F0449E" w:rsidRPr="00340DB4" w:rsidRDefault="001D6119" w:rsidP="00340DB4">
      <w:pPr>
        <w:ind w:left="567"/>
        <w:rPr>
          <w:lang w:val="fr-FR"/>
        </w:rPr>
      </w:pPr>
      <w:r w:rsidRPr="00340DB4">
        <w:rPr>
          <w:lang w:val="fr-FR"/>
        </w:rPr>
        <w:t>Des dé</w:t>
      </w:r>
      <w:r w:rsidR="00680BCD" w:rsidRPr="00340DB4">
        <w:rPr>
          <w:lang w:val="fr-FR"/>
        </w:rPr>
        <w:t xml:space="preserve">nominations </w:t>
      </w:r>
      <w:r w:rsidRPr="00340DB4">
        <w:rPr>
          <w:lang w:val="fr-FR"/>
        </w:rPr>
        <w:t>test</w:t>
      </w:r>
      <w:r w:rsidR="005A482D" w:rsidRPr="00340DB4">
        <w:rPr>
          <w:lang w:val="fr-FR"/>
        </w:rPr>
        <w:t>s</w:t>
      </w:r>
      <w:r w:rsidRPr="00340DB4">
        <w:rPr>
          <w:lang w:val="fr-FR"/>
        </w:rPr>
        <w:t xml:space="preserve"> ont été proposées par les membres du </w:t>
      </w:r>
      <w:r w:rsidR="00680BCD" w:rsidRPr="00340DB4">
        <w:rPr>
          <w:lang w:val="fr-FR"/>
        </w:rPr>
        <w:t>WG</w:t>
      </w:r>
      <w:r w:rsidR="001B3822" w:rsidRPr="00340DB4">
        <w:rPr>
          <w:lang w:val="fr-FR"/>
        </w:rPr>
        <w:noBreakHyphen/>
      </w:r>
      <w:r w:rsidR="00680BCD" w:rsidRPr="00340DB4">
        <w:rPr>
          <w:lang w:val="fr-FR"/>
        </w:rPr>
        <w:t xml:space="preserve">DST </w:t>
      </w:r>
      <w:r w:rsidRPr="00340DB4">
        <w:rPr>
          <w:lang w:val="fr-FR"/>
        </w:rPr>
        <w:t>et une vingtaine d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entre elles ont été retenues pour l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étude</w:t>
      </w:r>
      <w:r w:rsidR="00DB113F" w:rsidRPr="00340DB4">
        <w:rPr>
          <w:rStyle w:val="FootnoteReference"/>
          <w:lang w:val="fr-FR"/>
        </w:rPr>
        <w:footnoteReference w:id="5"/>
      </w:r>
      <w:r w:rsidRPr="00340DB4">
        <w:rPr>
          <w:lang w:val="fr-FR"/>
        </w:rPr>
        <w:t>.</w:t>
      </w:r>
    </w:p>
    <w:p w:rsidR="00F0449E" w:rsidRPr="00340DB4" w:rsidRDefault="00F0449E" w:rsidP="00340DB4">
      <w:pPr>
        <w:ind w:firstLine="567"/>
        <w:rPr>
          <w:lang w:val="fr-FR"/>
        </w:rPr>
      </w:pPr>
    </w:p>
    <w:p w:rsidR="00F0449E" w:rsidRPr="00340DB4" w:rsidRDefault="001D6119" w:rsidP="00340DB4">
      <w:pPr>
        <w:ind w:left="567"/>
        <w:rPr>
          <w:lang w:val="fr-FR" w:eastAsia="ja-JP"/>
        </w:rPr>
      </w:pPr>
      <w:r w:rsidRPr="00340DB4">
        <w:rPr>
          <w:lang w:val="fr-FR" w:eastAsia="ja-JP"/>
        </w:rPr>
        <w:t xml:space="preserve">Étape </w:t>
      </w:r>
      <w:r w:rsidR="00A1050E" w:rsidRPr="00340DB4">
        <w:rPr>
          <w:lang w:val="fr-FR" w:eastAsia="ja-JP"/>
        </w:rPr>
        <w:t>2</w:t>
      </w:r>
      <w:r w:rsidR="001C4EE2" w:rsidRPr="00340DB4">
        <w:rPr>
          <w:lang w:val="fr-FR" w:eastAsia="ja-JP"/>
        </w:rPr>
        <w:t> </w:t>
      </w:r>
      <w:r w:rsidR="00A1050E" w:rsidRPr="00340DB4">
        <w:rPr>
          <w:lang w:val="fr-FR" w:eastAsia="ja-JP"/>
        </w:rPr>
        <w:t xml:space="preserve">: </w:t>
      </w:r>
      <w:r w:rsidRPr="00340DB4">
        <w:rPr>
          <w:lang w:val="fr-FR" w:eastAsia="ja-JP"/>
        </w:rPr>
        <w:t xml:space="preserve">fourniture de listes de dénominations </w:t>
      </w:r>
      <w:r w:rsidRPr="00340DB4">
        <w:rPr>
          <w:lang w:val="fr-FR"/>
        </w:rPr>
        <w:t>similaires</w:t>
      </w:r>
    </w:p>
    <w:p w:rsidR="00F0449E" w:rsidRPr="00340DB4" w:rsidRDefault="00F0449E" w:rsidP="00340DB4">
      <w:pPr>
        <w:tabs>
          <w:tab w:val="left" w:pos="7680"/>
        </w:tabs>
        <w:ind w:left="567"/>
        <w:rPr>
          <w:lang w:val="fr-FR" w:eastAsia="ja-JP"/>
        </w:rPr>
      </w:pPr>
    </w:p>
    <w:p w:rsidR="00C34ADB" w:rsidRPr="00340DB4" w:rsidRDefault="001D6119" w:rsidP="00340DB4">
      <w:pPr>
        <w:ind w:left="567"/>
        <w:rPr>
          <w:lang w:val="fr-FR"/>
        </w:rPr>
      </w:pPr>
      <w:r w:rsidRPr="00340DB4">
        <w:rPr>
          <w:lang w:val="fr-FR"/>
        </w:rPr>
        <w:t>Pour chacune des dénominations test</w:t>
      </w:r>
      <w:r w:rsidR="005A482D" w:rsidRPr="00340DB4">
        <w:rPr>
          <w:lang w:val="fr-FR"/>
        </w:rPr>
        <w:t>s</w:t>
      </w:r>
      <w:r w:rsidRPr="00340DB4">
        <w:rPr>
          <w:lang w:val="fr-FR"/>
        </w:rPr>
        <w:t xml:space="preserve">, les </w:t>
      </w:r>
      <w:r w:rsidR="0063125F" w:rsidRPr="00340DB4">
        <w:rPr>
          <w:lang w:val="fr-FR"/>
        </w:rPr>
        <w:t xml:space="preserve">participants </w:t>
      </w:r>
      <w:r w:rsidRPr="00340DB4">
        <w:rPr>
          <w:lang w:val="fr-FR"/>
        </w:rPr>
        <w:t>seront invités à fournir des listes de dénominations qu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 xml:space="preserve">ils considèrent comme similaires </w:t>
      </w:r>
      <w:r w:rsidR="00C1645E" w:rsidRPr="00340DB4">
        <w:rPr>
          <w:lang w:val="fr-FR"/>
        </w:rPr>
        <w:t>au point qu</w:t>
      </w:r>
      <w:r w:rsidR="00C34ADB" w:rsidRPr="00340DB4">
        <w:rPr>
          <w:lang w:val="fr-FR"/>
        </w:rPr>
        <w:t>’</w:t>
      </w:r>
      <w:r w:rsidR="00C1645E" w:rsidRPr="00340DB4">
        <w:rPr>
          <w:lang w:val="fr-FR"/>
        </w:rPr>
        <w:t>un examen individuel plus approfondi serait nécessaire</w:t>
      </w:r>
      <w:r w:rsidR="0063125F" w:rsidRPr="00340DB4">
        <w:rPr>
          <w:lang w:val="fr-FR"/>
        </w:rPr>
        <w:t>.</w:t>
      </w:r>
    </w:p>
    <w:p w:rsidR="00F0449E" w:rsidRPr="00340DB4" w:rsidRDefault="00F0449E" w:rsidP="00340DB4">
      <w:pPr>
        <w:ind w:firstLine="567"/>
        <w:rPr>
          <w:lang w:val="fr-FR"/>
        </w:rPr>
      </w:pPr>
    </w:p>
    <w:p w:rsidR="00F0449E" w:rsidRPr="00340DB4" w:rsidRDefault="001D6119" w:rsidP="00340DB4">
      <w:pPr>
        <w:ind w:left="567"/>
        <w:rPr>
          <w:lang w:val="fr-FR" w:eastAsia="ja-JP"/>
        </w:rPr>
      </w:pPr>
      <w:r w:rsidRPr="00340DB4">
        <w:rPr>
          <w:lang w:val="fr-FR" w:eastAsia="ja-JP"/>
        </w:rPr>
        <w:t xml:space="preserve">Étape </w:t>
      </w:r>
      <w:r w:rsidR="00A1050E" w:rsidRPr="00340DB4">
        <w:rPr>
          <w:lang w:val="fr-FR" w:eastAsia="ja-JP"/>
        </w:rPr>
        <w:t>3</w:t>
      </w:r>
      <w:r w:rsidR="001C4EE2" w:rsidRPr="00340DB4">
        <w:rPr>
          <w:lang w:val="fr-FR" w:eastAsia="ja-JP"/>
        </w:rPr>
        <w:t> </w:t>
      </w:r>
      <w:r w:rsidR="00A1050E" w:rsidRPr="00340DB4">
        <w:rPr>
          <w:lang w:val="fr-FR" w:eastAsia="ja-JP"/>
        </w:rPr>
        <w:t xml:space="preserve">: </w:t>
      </w:r>
      <w:r w:rsidR="00C1645E" w:rsidRPr="00340DB4">
        <w:rPr>
          <w:lang w:val="fr-FR" w:eastAsia="ja-JP"/>
        </w:rPr>
        <w:t>élaboration d</w:t>
      </w:r>
      <w:r w:rsidR="00C34ADB" w:rsidRPr="00340DB4">
        <w:rPr>
          <w:lang w:val="fr-FR" w:eastAsia="ja-JP"/>
        </w:rPr>
        <w:t>’</w:t>
      </w:r>
      <w:r w:rsidR="00C1645E" w:rsidRPr="00340DB4">
        <w:rPr>
          <w:lang w:val="fr-FR" w:eastAsia="ja-JP"/>
        </w:rPr>
        <w:t>un outil de recherche efficace</w:t>
      </w:r>
    </w:p>
    <w:p w:rsidR="00F0449E" w:rsidRPr="00340DB4" w:rsidRDefault="00F0449E" w:rsidP="00340DB4">
      <w:pPr>
        <w:ind w:left="567"/>
        <w:rPr>
          <w:lang w:val="fr-FR" w:eastAsia="ja-JP"/>
        </w:rPr>
      </w:pPr>
    </w:p>
    <w:p w:rsidR="00F0449E" w:rsidRPr="00340DB4" w:rsidRDefault="00C1645E" w:rsidP="00340DB4">
      <w:pPr>
        <w:ind w:left="567"/>
        <w:rPr>
          <w:lang w:val="fr-FR"/>
        </w:rPr>
      </w:pPr>
      <w:r w:rsidRPr="00340DB4">
        <w:rPr>
          <w:lang w:val="fr-FR"/>
        </w:rPr>
        <w:t xml:space="preserve">Un outil de recherche de dénomination </w:t>
      </w:r>
      <w:r w:rsidR="005A482D" w:rsidRPr="00340DB4">
        <w:rPr>
          <w:lang w:val="fr-FR"/>
        </w:rPr>
        <w:t>comprend</w:t>
      </w:r>
      <w:r w:rsidRPr="00340DB4">
        <w:rPr>
          <w:lang w:val="fr-FR"/>
        </w:rPr>
        <w:t xml:space="preserve"> deux</w:t>
      </w:r>
      <w:r w:rsidR="001C4EE2" w:rsidRPr="00340DB4">
        <w:rPr>
          <w:lang w:val="fr-FR"/>
        </w:rPr>
        <w:t> </w:t>
      </w:r>
      <w:r w:rsidRPr="00340DB4">
        <w:rPr>
          <w:lang w:val="fr-FR"/>
        </w:rPr>
        <w:t>éléments : le pré</w:t>
      </w:r>
      <w:r w:rsidRPr="00340DB4">
        <w:rPr>
          <w:szCs w:val="22"/>
          <w:lang w:val="fr-FR"/>
        </w:rPr>
        <w:t>traitement des dénominations (c</w:t>
      </w:r>
      <w:r w:rsidR="00C34ADB" w:rsidRPr="00340DB4">
        <w:rPr>
          <w:szCs w:val="22"/>
          <w:lang w:val="fr-FR"/>
        </w:rPr>
        <w:t>’</w:t>
      </w:r>
      <w:r w:rsidRPr="00340DB4">
        <w:rPr>
          <w:szCs w:val="22"/>
          <w:lang w:val="fr-FR"/>
        </w:rPr>
        <w:t>est</w:t>
      </w:r>
      <w:r w:rsidR="001B3822" w:rsidRPr="00340DB4">
        <w:rPr>
          <w:szCs w:val="22"/>
          <w:lang w:val="fr-FR"/>
        </w:rPr>
        <w:noBreakHyphen/>
      </w:r>
      <w:r w:rsidRPr="00340DB4">
        <w:rPr>
          <w:szCs w:val="22"/>
          <w:lang w:val="fr-FR"/>
        </w:rPr>
        <w:t>à</w:t>
      </w:r>
      <w:r w:rsidR="001B3822" w:rsidRPr="00340DB4">
        <w:rPr>
          <w:szCs w:val="22"/>
          <w:lang w:val="fr-FR"/>
        </w:rPr>
        <w:noBreakHyphen/>
      </w:r>
      <w:r w:rsidRPr="00340DB4">
        <w:rPr>
          <w:szCs w:val="22"/>
          <w:lang w:val="fr-FR"/>
        </w:rPr>
        <w:t xml:space="preserve">dire le traitement des lettres doubles telles que </w:t>
      </w:r>
      <w:r w:rsidR="001C4EE2" w:rsidRPr="00340DB4">
        <w:rPr>
          <w:szCs w:val="22"/>
          <w:lang w:val="fr-FR"/>
        </w:rPr>
        <w:t>“</w:t>
      </w:r>
      <w:proofErr w:type="spellStart"/>
      <w:r w:rsidRPr="00340DB4">
        <w:rPr>
          <w:szCs w:val="22"/>
          <w:lang w:val="fr-FR"/>
        </w:rPr>
        <w:t>l</w:t>
      </w:r>
      <w:r w:rsidR="00481188" w:rsidRPr="00340DB4">
        <w:rPr>
          <w:szCs w:val="22"/>
          <w:lang w:val="fr-FR"/>
        </w:rPr>
        <w:t>l</w:t>
      </w:r>
      <w:proofErr w:type="spellEnd"/>
      <w:r w:rsidR="001C4EE2" w:rsidRPr="00340DB4">
        <w:rPr>
          <w:szCs w:val="22"/>
          <w:lang w:val="fr-FR"/>
        </w:rPr>
        <w:t>”</w:t>
      </w:r>
      <w:r w:rsidRPr="00340DB4">
        <w:rPr>
          <w:szCs w:val="22"/>
          <w:lang w:val="fr-FR"/>
        </w:rPr>
        <w:t xml:space="preserve"> comme des lettres simples) </w:t>
      </w:r>
      <w:r w:rsidR="005A482D" w:rsidRPr="00340DB4">
        <w:rPr>
          <w:szCs w:val="22"/>
          <w:lang w:val="fr-FR"/>
        </w:rPr>
        <w:t xml:space="preserve">et </w:t>
      </w:r>
      <w:r w:rsidRPr="00340DB4">
        <w:rPr>
          <w:szCs w:val="22"/>
          <w:lang w:val="fr-FR"/>
        </w:rPr>
        <w:t>un algorithme définissant un rang de similarité.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5A482D" w:rsidP="00340DB4">
      <w:pPr>
        <w:spacing w:after="240"/>
        <w:ind w:left="540"/>
        <w:rPr>
          <w:lang w:val="fr-FR"/>
        </w:rPr>
      </w:pPr>
      <w:r w:rsidRPr="00340DB4">
        <w:rPr>
          <w:lang w:val="fr-FR"/>
        </w:rPr>
        <w:t>Plusieurs</w:t>
      </w:r>
      <w:r w:rsidR="00481188" w:rsidRPr="00340DB4">
        <w:rPr>
          <w:lang w:val="fr-FR"/>
        </w:rPr>
        <w:t xml:space="preserve"> critères de pré</w:t>
      </w:r>
      <w:r w:rsidR="00481188" w:rsidRPr="00340DB4">
        <w:rPr>
          <w:szCs w:val="22"/>
          <w:lang w:val="fr-FR"/>
        </w:rPr>
        <w:t xml:space="preserve">traitement (par exemple, considérer </w:t>
      </w:r>
      <w:r w:rsidR="0063125F" w:rsidRPr="00340DB4">
        <w:rPr>
          <w:lang w:val="fr-FR"/>
        </w:rPr>
        <w:t>“</w:t>
      </w:r>
      <w:proofErr w:type="spellStart"/>
      <w:r w:rsidR="0063125F" w:rsidRPr="00340DB4">
        <w:rPr>
          <w:lang w:val="fr-FR"/>
        </w:rPr>
        <w:t>ll</w:t>
      </w:r>
      <w:proofErr w:type="spellEnd"/>
      <w:r w:rsidR="0063125F" w:rsidRPr="00340DB4">
        <w:rPr>
          <w:lang w:val="fr-FR"/>
        </w:rPr>
        <w:t xml:space="preserve">” </w:t>
      </w:r>
      <w:r w:rsidR="00481188" w:rsidRPr="00340DB4">
        <w:rPr>
          <w:lang w:val="fr-FR"/>
        </w:rPr>
        <w:t>comme une ou deux</w:t>
      </w:r>
      <w:r w:rsidR="001C4EE2" w:rsidRPr="00340DB4">
        <w:rPr>
          <w:lang w:val="fr-FR"/>
        </w:rPr>
        <w:t> </w:t>
      </w:r>
      <w:r w:rsidR="00481188" w:rsidRPr="00340DB4">
        <w:rPr>
          <w:lang w:val="fr-FR"/>
        </w:rPr>
        <w:t>lettres</w:t>
      </w:r>
      <w:r w:rsidR="0063125F" w:rsidRPr="00340DB4">
        <w:rPr>
          <w:lang w:val="fr-FR"/>
        </w:rPr>
        <w:t xml:space="preserve">) </w:t>
      </w:r>
      <w:r w:rsidR="00481188" w:rsidRPr="00340DB4">
        <w:rPr>
          <w:lang w:val="fr-FR"/>
        </w:rPr>
        <w:t xml:space="preserve">et </w:t>
      </w:r>
      <w:r w:rsidR="0063125F" w:rsidRPr="00340DB4">
        <w:rPr>
          <w:lang w:val="fr-FR"/>
        </w:rPr>
        <w:t>algorithm</w:t>
      </w:r>
      <w:r w:rsidR="00481188" w:rsidRPr="00340DB4">
        <w:rPr>
          <w:lang w:val="fr-FR"/>
        </w:rPr>
        <w:t>e</w:t>
      </w:r>
      <w:r w:rsidR="0063125F" w:rsidRPr="00340DB4">
        <w:rPr>
          <w:lang w:val="fr-FR"/>
        </w:rPr>
        <w:t>s (</w:t>
      </w:r>
      <w:r w:rsidR="00481188" w:rsidRPr="00340DB4">
        <w:rPr>
          <w:lang w:val="fr-FR"/>
        </w:rPr>
        <w:t xml:space="preserve">par exemple, </w:t>
      </w:r>
      <w:r w:rsidR="009E319B" w:rsidRPr="00340DB4">
        <w:rPr>
          <w:lang w:val="fr-FR"/>
        </w:rPr>
        <w:t>différentes</w:t>
      </w:r>
      <w:r w:rsidR="00481188" w:rsidRPr="00340DB4">
        <w:rPr>
          <w:lang w:val="fr-FR"/>
        </w:rPr>
        <w:t xml:space="preserve"> combinaisons d</w:t>
      </w:r>
      <w:r w:rsidR="00C34ADB" w:rsidRPr="00340DB4">
        <w:rPr>
          <w:lang w:val="fr-FR"/>
        </w:rPr>
        <w:t>’</w:t>
      </w:r>
      <w:r w:rsidR="0063125F" w:rsidRPr="00340DB4">
        <w:rPr>
          <w:lang w:val="fr-FR"/>
        </w:rPr>
        <w:t>algorithm</w:t>
      </w:r>
      <w:r w:rsidR="00481188" w:rsidRPr="00340DB4">
        <w:rPr>
          <w:lang w:val="fr-FR"/>
        </w:rPr>
        <w:t>e</w:t>
      </w:r>
      <w:r w:rsidR="0063125F" w:rsidRPr="00340DB4">
        <w:rPr>
          <w:lang w:val="fr-FR"/>
        </w:rPr>
        <w:t xml:space="preserve">s) </w:t>
      </w:r>
      <w:r w:rsidR="00481188" w:rsidRPr="00340DB4">
        <w:rPr>
          <w:lang w:val="fr-FR"/>
        </w:rPr>
        <w:t>permettront de créer un large éventail de séries de pré</w:t>
      </w:r>
      <w:r w:rsidR="00481188" w:rsidRPr="00340DB4">
        <w:rPr>
          <w:szCs w:val="22"/>
          <w:lang w:val="fr-FR"/>
        </w:rPr>
        <w:t>traitement ou d</w:t>
      </w:r>
      <w:r w:rsidR="00C34ADB" w:rsidRPr="00340DB4">
        <w:rPr>
          <w:szCs w:val="22"/>
          <w:lang w:val="fr-FR"/>
        </w:rPr>
        <w:t>’</w:t>
      </w:r>
      <w:r w:rsidR="00481188" w:rsidRPr="00340DB4">
        <w:rPr>
          <w:szCs w:val="22"/>
          <w:lang w:val="fr-FR"/>
        </w:rPr>
        <w:t xml:space="preserve">algorithmes (séries PTA).  </w:t>
      </w:r>
      <w:r w:rsidR="00017FC1" w:rsidRPr="00340DB4">
        <w:rPr>
          <w:szCs w:val="22"/>
          <w:lang w:val="fr-FR"/>
        </w:rPr>
        <w:t>Il est prévu de rechercher une série PTA qui définira un classement amélioré des dénominations par rapport aux séries PTA des outils existants.</w:t>
      </w:r>
    </w:p>
    <w:p w:rsidR="00F0449E" w:rsidRPr="00340DB4" w:rsidRDefault="00017FC1" w:rsidP="00340DB4">
      <w:pPr>
        <w:ind w:left="540"/>
        <w:rPr>
          <w:highlight w:val="yellow"/>
          <w:lang w:val="fr-FR"/>
        </w:rPr>
      </w:pPr>
      <w:r w:rsidRPr="00340DB4">
        <w:rPr>
          <w:lang w:val="fr-FR"/>
        </w:rPr>
        <w:t>L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outil de recherche le plus efficace sera identifié au moyen de tests répétés des différents critères de prétraitement et d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algorithmes de la base de données PLUTO (par exemple, facteur de similarité</w:t>
      </w:r>
      <w:r w:rsidR="0063125F" w:rsidRPr="00340DB4">
        <w:rPr>
          <w:lang w:val="fr-FR"/>
        </w:rPr>
        <w:t xml:space="preserve"> [</w:t>
      </w:r>
      <w:r w:rsidRPr="00340DB4">
        <w:rPr>
          <w:lang w:val="fr-FR"/>
        </w:rPr>
        <w:t>moteur de recherche de l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OCVV</w:t>
      </w:r>
      <w:r w:rsidR="0063125F" w:rsidRPr="00340DB4">
        <w:rPr>
          <w:lang w:val="fr-FR"/>
        </w:rPr>
        <w:t xml:space="preserve">], </w:t>
      </w:r>
      <w:r w:rsidRPr="00340DB4">
        <w:rPr>
          <w:lang w:val="fr-FR"/>
        </w:rPr>
        <w:t>mode “flou”, “phonétique”, “contient”, “commence”, “finit”</w:t>
      </w:r>
      <w:r w:rsidR="0063125F" w:rsidRPr="00340DB4">
        <w:rPr>
          <w:lang w:val="fr-FR"/>
        </w:rPr>
        <w:t xml:space="preserve">), </w:t>
      </w:r>
      <w:r w:rsidRPr="00340DB4">
        <w:rPr>
          <w:lang w:val="fr-FR"/>
        </w:rPr>
        <w:t>de la base de données mondiale sur les marques et d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 xml:space="preserve">autres </w:t>
      </w:r>
      <w:r w:rsidR="0063125F" w:rsidRPr="00340DB4">
        <w:rPr>
          <w:lang w:val="fr-FR"/>
        </w:rPr>
        <w:t>sources</w:t>
      </w:r>
      <w:r w:rsidRPr="00340DB4">
        <w:rPr>
          <w:lang w:val="fr-FR"/>
        </w:rPr>
        <w:t xml:space="preserve"> potentielles</w:t>
      </w:r>
      <w:r w:rsidR="0063125F"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017FC1" w:rsidP="00340DB4">
      <w:pPr>
        <w:ind w:left="540"/>
        <w:rPr>
          <w:lang w:val="fr-FR"/>
        </w:rPr>
      </w:pPr>
      <w:r w:rsidRPr="00340DB4">
        <w:rPr>
          <w:lang w:val="fr-FR"/>
        </w:rPr>
        <w:t>Les séries de PTA</w:t>
      </w:r>
      <w:r w:rsidR="0063125F" w:rsidRPr="00340DB4">
        <w:rPr>
          <w:lang w:val="fr-FR"/>
        </w:rPr>
        <w:t xml:space="preserve"> </w:t>
      </w:r>
      <w:r w:rsidRPr="00340DB4">
        <w:rPr>
          <w:lang w:val="fr-FR"/>
        </w:rPr>
        <w:t>seront évaluées sous deux</w:t>
      </w:r>
      <w:r w:rsidR="001C4EE2" w:rsidRPr="00340DB4">
        <w:rPr>
          <w:lang w:val="fr-FR"/>
        </w:rPr>
        <w:t> </w:t>
      </w:r>
      <w:r w:rsidRPr="00340DB4">
        <w:rPr>
          <w:lang w:val="fr-FR"/>
        </w:rPr>
        <w:t>angles</w:t>
      </w:r>
      <w:r w:rsidR="001C4EE2" w:rsidRPr="00340DB4">
        <w:rPr>
          <w:lang w:val="fr-FR"/>
        </w:rPr>
        <w:t> </w:t>
      </w:r>
      <w:r w:rsidR="00DB113F" w:rsidRPr="00340DB4">
        <w:rPr>
          <w:lang w:val="fr-FR"/>
        </w:rPr>
        <w:t xml:space="preserve">: </w:t>
      </w:r>
      <w:r w:rsidRPr="00340DB4">
        <w:rPr>
          <w:lang w:val="fr-FR"/>
        </w:rPr>
        <w:t>la précision et le rappel</w:t>
      </w:r>
      <w:r w:rsidR="0063125F" w:rsidRPr="00340DB4">
        <w:rPr>
          <w:lang w:val="fr-FR"/>
        </w:rPr>
        <w:t xml:space="preserve">.  </w:t>
      </w:r>
      <w:r w:rsidR="00F63904" w:rsidRPr="00340DB4">
        <w:rPr>
          <w:lang w:val="fr-FR"/>
        </w:rPr>
        <w:t xml:space="preserve">La </w:t>
      </w:r>
      <w:r w:rsidR="00DB113F" w:rsidRPr="00340DB4">
        <w:rPr>
          <w:lang w:val="fr-FR" w:eastAsia="ja-JP"/>
        </w:rPr>
        <w:t>“</w:t>
      </w:r>
      <w:r w:rsidR="00F63904" w:rsidRPr="00340DB4">
        <w:rPr>
          <w:lang w:val="fr-FR" w:eastAsia="ja-JP"/>
        </w:rPr>
        <w:t>pré</w:t>
      </w:r>
      <w:r w:rsidR="0063125F" w:rsidRPr="00340DB4">
        <w:rPr>
          <w:lang w:val="fr-FR"/>
        </w:rPr>
        <w:t>cision</w:t>
      </w:r>
      <w:r w:rsidR="00DB113F" w:rsidRPr="00340DB4">
        <w:rPr>
          <w:lang w:val="fr-FR" w:eastAsia="ja-JP"/>
        </w:rPr>
        <w:t>”</w:t>
      </w:r>
      <w:r w:rsidR="0063125F" w:rsidRPr="00340DB4">
        <w:rPr>
          <w:lang w:val="fr-FR"/>
        </w:rPr>
        <w:t xml:space="preserve"> </w:t>
      </w:r>
      <w:r w:rsidR="00F63904" w:rsidRPr="00340DB4">
        <w:rPr>
          <w:lang w:val="fr-FR"/>
        </w:rPr>
        <w:t xml:space="preserve">est la proportion de résultats corrects </w:t>
      </w:r>
      <w:r w:rsidR="0063125F" w:rsidRPr="00340DB4">
        <w:rPr>
          <w:lang w:val="fr-FR"/>
        </w:rPr>
        <w:t>(</w:t>
      </w:r>
      <w:r w:rsidR="00F63904" w:rsidRPr="00340DB4">
        <w:rPr>
          <w:lang w:val="fr-FR"/>
        </w:rPr>
        <w:t>c</w:t>
      </w:r>
      <w:r w:rsidR="00C34ADB" w:rsidRPr="00340DB4">
        <w:rPr>
          <w:lang w:val="fr-FR"/>
        </w:rPr>
        <w:t>’</w:t>
      </w:r>
      <w:r w:rsidR="00F63904" w:rsidRPr="00340DB4">
        <w:rPr>
          <w:lang w:val="fr-FR"/>
        </w:rPr>
        <w:t>est</w:t>
      </w:r>
      <w:r w:rsidR="001B3822" w:rsidRPr="00340DB4">
        <w:rPr>
          <w:szCs w:val="22"/>
          <w:lang w:val="fr-FR"/>
        </w:rPr>
        <w:noBreakHyphen/>
      </w:r>
      <w:r w:rsidR="00F63904" w:rsidRPr="00340DB4">
        <w:rPr>
          <w:szCs w:val="22"/>
          <w:lang w:val="fr-FR"/>
        </w:rPr>
        <w:t>à</w:t>
      </w:r>
      <w:r w:rsidR="001B3822" w:rsidRPr="00340DB4">
        <w:rPr>
          <w:szCs w:val="22"/>
          <w:lang w:val="fr-FR"/>
        </w:rPr>
        <w:noBreakHyphen/>
      </w:r>
      <w:r w:rsidR="00F63904" w:rsidRPr="00340DB4">
        <w:rPr>
          <w:szCs w:val="22"/>
          <w:lang w:val="fr-FR"/>
        </w:rPr>
        <w:t xml:space="preserve">dire ceux qui sont considérés </w:t>
      </w:r>
      <w:r w:rsidR="00F63904" w:rsidRPr="00340DB4">
        <w:rPr>
          <w:lang w:val="fr-FR"/>
        </w:rPr>
        <w:t xml:space="preserve">comme similaires par les </w:t>
      </w:r>
      <w:r w:rsidR="0063125F" w:rsidRPr="00340DB4">
        <w:rPr>
          <w:lang w:val="fr-FR"/>
        </w:rPr>
        <w:t xml:space="preserve">participants) </w:t>
      </w:r>
      <w:r w:rsidR="00F63904" w:rsidRPr="00340DB4">
        <w:rPr>
          <w:lang w:val="fr-FR"/>
        </w:rPr>
        <w:t>par rapport à l</w:t>
      </w:r>
      <w:r w:rsidR="00C34ADB" w:rsidRPr="00340DB4">
        <w:rPr>
          <w:lang w:val="fr-FR"/>
        </w:rPr>
        <w:t>’</w:t>
      </w:r>
      <w:r w:rsidR="00F63904" w:rsidRPr="00340DB4">
        <w:rPr>
          <w:lang w:val="fr-FR"/>
        </w:rPr>
        <w:t>ensemble des résultats renvoyés</w:t>
      </w:r>
      <w:r w:rsidR="0063125F" w:rsidRPr="00340DB4">
        <w:rPr>
          <w:lang w:val="fr-FR"/>
        </w:rPr>
        <w:t xml:space="preserve"> </w:t>
      </w:r>
      <w:r w:rsidR="00F63904" w:rsidRPr="00340DB4">
        <w:rPr>
          <w:lang w:val="fr-FR"/>
        </w:rPr>
        <w:t xml:space="preserve">et le </w:t>
      </w:r>
      <w:r w:rsidR="00DB113F" w:rsidRPr="00340DB4">
        <w:rPr>
          <w:lang w:val="fr-FR" w:eastAsia="ja-JP"/>
        </w:rPr>
        <w:t>“</w:t>
      </w:r>
      <w:r w:rsidR="00F63904" w:rsidRPr="00340DB4">
        <w:rPr>
          <w:lang w:val="fr-FR"/>
        </w:rPr>
        <w:t>rappel</w:t>
      </w:r>
      <w:r w:rsidR="00DB113F" w:rsidRPr="00340DB4">
        <w:rPr>
          <w:lang w:val="fr-FR" w:eastAsia="ja-JP"/>
        </w:rPr>
        <w:t>”</w:t>
      </w:r>
      <w:r w:rsidR="0063125F" w:rsidRPr="00340DB4">
        <w:rPr>
          <w:lang w:val="fr-FR"/>
        </w:rPr>
        <w:t xml:space="preserve"> </w:t>
      </w:r>
      <w:r w:rsidR="00F63904" w:rsidRPr="00340DB4">
        <w:rPr>
          <w:lang w:val="fr-FR"/>
        </w:rPr>
        <w:t xml:space="preserve">est la </w:t>
      </w:r>
      <w:r w:rsidR="0063125F" w:rsidRPr="00340DB4">
        <w:rPr>
          <w:lang w:val="fr-FR"/>
        </w:rPr>
        <w:t xml:space="preserve">proportion </w:t>
      </w:r>
      <w:r w:rsidR="00F63904" w:rsidRPr="00340DB4">
        <w:rPr>
          <w:lang w:val="fr-FR"/>
        </w:rPr>
        <w:t>de résultats corrects renvoyés par rapport à l</w:t>
      </w:r>
      <w:r w:rsidR="00C34ADB" w:rsidRPr="00340DB4">
        <w:rPr>
          <w:lang w:val="fr-FR"/>
        </w:rPr>
        <w:t>’</w:t>
      </w:r>
      <w:r w:rsidR="00F63904" w:rsidRPr="00340DB4">
        <w:rPr>
          <w:lang w:val="fr-FR"/>
        </w:rPr>
        <w:t>ensemble des résultats corrects</w:t>
      </w:r>
      <w:r w:rsidR="0063125F" w:rsidRPr="00340DB4">
        <w:rPr>
          <w:lang w:val="fr-FR"/>
        </w:rPr>
        <w:t xml:space="preserve"> (</w:t>
      </w:r>
      <w:r w:rsidR="00C34ADB" w:rsidRPr="00340DB4">
        <w:rPr>
          <w:szCs w:val="22"/>
          <w:lang w:val="fr-FR"/>
        </w:rPr>
        <w:t>y compris</w:t>
      </w:r>
      <w:r w:rsidR="00F63904" w:rsidRPr="00340DB4">
        <w:rPr>
          <w:szCs w:val="22"/>
          <w:lang w:val="fr-FR"/>
        </w:rPr>
        <w:t xml:space="preserve"> les résultats corrects non renvoyés</w:t>
      </w:r>
      <w:r w:rsidR="0063125F" w:rsidRPr="00340DB4">
        <w:rPr>
          <w:lang w:val="fr-FR"/>
        </w:rPr>
        <w:t>).</w:t>
      </w:r>
    </w:p>
    <w:p w:rsidR="00F0449E" w:rsidRPr="00340DB4" w:rsidRDefault="00F0449E" w:rsidP="00340DB4">
      <w:pPr>
        <w:ind w:firstLine="567"/>
        <w:rPr>
          <w:lang w:val="fr-FR"/>
        </w:rPr>
      </w:pPr>
    </w:p>
    <w:p w:rsidR="00F0449E" w:rsidRPr="00340DB4" w:rsidRDefault="00A1050E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63904" w:rsidRPr="00340DB4">
        <w:rPr>
          <w:lang w:val="fr-FR"/>
        </w:rPr>
        <w:t>La conclusion de l</w:t>
      </w:r>
      <w:r w:rsidR="00C34ADB" w:rsidRPr="00340DB4">
        <w:rPr>
          <w:lang w:val="fr-FR"/>
        </w:rPr>
        <w:t>’</w:t>
      </w:r>
      <w:r w:rsidR="00F63904" w:rsidRPr="00340DB4">
        <w:rPr>
          <w:lang w:val="fr-FR"/>
        </w:rPr>
        <w:t xml:space="preserve">étude </w:t>
      </w:r>
      <w:r w:rsidRPr="00340DB4">
        <w:rPr>
          <w:lang w:val="fr-FR" w:eastAsia="ja-JP"/>
        </w:rPr>
        <w:t xml:space="preserve">test </w:t>
      </w:r>
      <w:r w:rsidR="00F63904" w:rsidRPr="00340DB4">
        <w:rPr>
          <w:lang w:val="fr-FR" w:eastAsia="ja-JP"/>
        </w:rPr>
        <w:t xml:space="preserve">sera communiquée à la deuxième réunion du </w:t>
      </w:r>
      <w:r w:rsidR="00B45126" w:rsidRPr="00340DB4">
        <w:rPr>
          <w:lang w:val="fr-FR" w:eastAsia="ja-JP"/>
        </w:rPr>
        <w:t>WG</w:t>
      </w:r>
      <w:r w:rsidR="001B3822" w:rsidRPr="00340DB4">
        <w:rPr>
          <w:lang w:val="fr-FR" w:eastAsia="ja-JP"/>
        </w:rPr>
        <w:noBreakHyphen/>
      </w:r>
      <w:r w:rsidR="00B45126" w:rsidRPr="00340DB4">
        <w:rPr>
          <w:lang w:val="fr-FR" w:eastAsia="ja-JP"/>
        </w:rPr>
        <w:t>DST</w:t>
      </w:r>
      <w:r w:rsidR="00B06046" w:rsidRPr="00340DB4">
        <w:rPr>
          <w:lang w:val="fr-FR"/>
        </w:rPr>
        <w:t xml:space="preserve">.  </w:t>
      </w:r>
      <w:r w:rsidR="00F63904" w:rsidRPr="00340DB4">
        <w:rPr>
          <w:lang w:val="fr-FR"/>
        </w:rPr>
        <w:t>L</w:t>
      </w:r>
      <w:r w:rsidR="00C34ADB" w:rsidRPr="00340DB4">
        <w:rPr>
          <w:lang w:val="fr-FR"/>
        </w:rPr>
        <w:t>’</w:t>
      </w:r>
      <w:r w:rsidR="00F63904" w:rsidRPr="00340DB4">
        <w:rPr>
          <w:lang w:val="fr-FR"/>
        </w:rPr>
        <w:t xml:space="preserve">outil de recherche le plus efficace du point de vue de la précision et du rappel </w:t>
      </w:r>
      <w:r w:rsidR="00F63904" w:rsidRPr="00340DB4">
        <w:rPr>
          <w:lang w:val="fr-FR" w:eastAsia="ja-JP"/>
        </w:rPr>
        <w:t>sera décrit et commenté</w:t>
      </w:r>
      <w:r w:rsidR="00B06046" w:rsidRPr="00340DB4">
        <w:rPr>
          <w:lang w:val="fr-FR"/>
        </w:rPr>
        <w:t>.</w:t>
      </w:r>
    </w:p>
    <w:p w:rsidR="00F0449E" w:rsidRDefault="00F0449E" w:rsidP="00340DB4">
      <w:pPr>
        <w:rPr>
          <w:snapToGrid w:val="0"/>
          <w:lang w:val="fr-FR"/>
        </w:rPr>
      </w:pPr>
    </w:p>
    <w:p w:rsidR="001C007C" w:rsidRPr="00340DB4" w:rsidRDefault="001C007C" w:rsidP="00340DB4">
      <w:pPr>
        <w:rPr>
          <w:snapToGrid w:val="0"/>
          <w:lang w:val="fr-FR"/>
        </w:rPr>
      </w:pP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EC13B8" w:rsidP="00340DB4">
      <w:pPr>
        <w:pStyle w:val="Heading1"/>
        <w:rPr>
          <w:snapToGrid w:val="0"/>
          <w:lang w:val="fr-FR"/>
        </w:rPr>
      </w:pPr>
      <w:bookmarkStart w:id="9" w:name="_Toc413233496"/>
      <w:r w:rsidRPr="00340DB4">
        <w:rPr>
          <w:snapToGrid w:val="0"/>
          <w:lang w:val="fr-FR"/>
        </w:rPr>
        <w:t xml:space="preserve">rÉvision du document UPOV/INF/12 “Notes explicatives concernant les dÉnominations variÉtales en vertu de la </w:t>
      </w:r>
      <w:r w:rsidR="00C34ADB" w:rsidRPr="00340DB4">
        <w:rPr>
          <w:snapToGrid w:val="0"/>
          <w:lang w:val="fr-FR"/>
        </w:rPr>
        <w:t>Convention UPOV</w:t>
      </w:r>
      <w:r w:rsidRPr="00340DB4">
        <w:rPr>
          <w:snapToGrid w:val="0"/>
          <w:lang w:val="fr-FR"/>
        </w:rPr>
        <w:t>”</w:t>
      </w:r>
      <w:bookmarkEnd w:id="9"/>
    </w:p>
    <w:p w:rsidR="00F0449E" w:rsidRPr="00340DB4" w:rsidRDefault="00F0449E" w:rsidP="00340DB4">
      <w:pPr>
        <w:keepNext/>
        <w:rPr>
          <w:rFonts w:cs="Arial"/>
          <w:snapToGrid w:val="0"/>
          <w:lang w:val="fr-FR" w:eastAsia="ja-JP"/>
        </w:rPr>
      </w:pPr>
    </w:p>
    <w:p w:rsidR="00F0449E" w:rsidRPr="00340DB4" w:rsidRDefault="00D81E9C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7E7CAC" w:rsidRPr="00340DB4">
        <w:rPr>
          <w:lang w:val="fr-FR"/>
        </w:rPr>
        <w:t>À sa soixante</w:t>
      </w:r>
      <w:r w:rsidR="001B3822" w:rsidRPr="00340DB4">
        <w:rPr>
          <w:lang w:val="fr-FR"/>
        </w:rPr>
        <w:noBreakHyphen/>
      </w:r>
      <w:r w:rsidR="007E7CAC" w:rsidRPr="00340DB4">
        <w:rPr>
          <w:lang w:val="fr-FR"/>
        </w:rPr>
        <w:t>neuvième</w:t>
      </w:r>
      <w:r w:rsidR="001C4EE2" w:rsidRPr="00340DB4">
        <w:rPr>
          <w:lang w:val="fr-FR"/>
        </w:rPr>
        <w:t> </w:t>
      </w:r>
      <w:r w:rsidR="007E7CAC" w:rsidRPr="00340DB4">
        <w:rPr>
          <w:lang w:val="fr-FR"/>
        </w:rPr>
        <w:t>session</w:t>
      </w:r>
      <w:r w:rsidR="007E7CAC" w:rsidRPr="00340DB4">
        <w:rPr>
          <w:rStyle w:val="FootnoteReference"/>
          <w:lang w:val="fr-FR"/>
        </w:rPr>
        <w:footnoteReference w:id="6"/>
      </w:r>
      <w:r w:rsidR="009E319B" w:rsidRPr="00340DB4">
        <w:rPr>
          <w:lang w:val="fr-FR"/>
        </w:rPr>
        <w:t>,</w:t>
      </w:r>
      <w:r w:rsidR="00C34ADB" w:rsidRPr="00340DB4">
        <w:rPr>
          <w:lang w:val="fr-FR"/>
        </w:rPr>
        <w:t xml:space="preserve"> le CAJ</w:t>
      </w:r>
      <w:r w:rsidR="009E319B" w:rsidRPr="00340DB4">
        <w:rPr>
          <w:lang w:val="fr-FR"/>
        </w:rPr>
        <w:t xml:space="preserve"> a approuvé le p</w:t>
      </w:r>
      <w:r w:rsidR="007E7CAC" w:rsidRPr="00340DB4">
        <w:rPr>
          <w:lang w:val="fr-FR"/>
        </w:rPr>
        <w:t>rogramme de travail relatif à l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élaboration de matériel d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information pour la neuvième session</w:t>
      </w:r>
      <w:r w:rsidR="007E7CAC" w:rsidRPr="00340DB4">
        <w:rPr>
          <w:rStyle w:val="FootnoteReference"/>
          <w:lang w:val="fr-FR"/>
        </w:rPr>
        <w:footnoteReference w:id="7"/>
      </w:r>
      <w:r w:rsidR="009E319B" w:rsidRPr="00340DB4">
        <w:rPr>
          <w:lang w:val="fr-FR"/>
        </w:rPr>
        <w:t xml:space="preserve"> du CAJ</w:t>
      </w:r>
      <w:r w:rsidR="001B3822" w:rsidRPr="00340DB4">
        <w:rPr>
          <w:lang w:val="fr-FR"/>
        </w:rPr>
        <w:noBreakHyphen/>
      </w:r>
      <w:r w:rsidR="009E319B" w:rsidRPr="00340DB4">
        <w:rPr>
          <w:lang w:val="fr-FR"/>
        </w:rPr>
        <w:t>AG.  C</w:t>
      </w:r>
      <w:r w:rsidR="007E7CAC" w:rsidRPr="00340DB4">
        <w:rPr>
          <w:lang w:val="fr-FR"/>
        </w:rPr>
        <w:t>e programme incluait l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élaboration par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7E7CAC" w:rsidRPr="00340DB4">
        <w:rPr>
          <w:lang w:val="fr-FR"/>
        </w:rPr>
        <w:t>AG d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orientations concernant une demande d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obtenteur visant à changer une dénomination variétale enregistrée</w:t>
      </w:r>
      <w:r w:rsidR="007E7CAC" w:rsidRPr="00340DB4">
        <w:rPr>
          <w:rStyle w:val="FootnoteReference"/>
          <w:lang w:val="fr-FR"/>
        </w:rPr>
        <w:footnoteReference w:id="8"/>
      </w:r>
      <w:r w:rsidR="007E7CAC" w:rsidRPr="00340DB4">
        <w:rPr>
          <w:lang w:val="fr-FR"/>
        </w:rPr>
        <w:t>.</w:t>
      </w:r>
      <w:r w:rsidR="00A1050E" w:rsidRPr="00340DB4">
        <w:rPr>
          <w:lang w:val="fr-FR"/>
        </w:rPr>
        <w:t xml:space="preserve">  </w:t>
      </w:r>
      <w:r w:rsidR="007E7CAC" w:rsidRPr="00340DB4">
        <w:rPr>
          <w:rFonts w:cs="Arial"/>
          <w:lang w:val="fr-FR" w:eastAsia="ja-JP"/>
        </w:rPr>
        <w:t xml:space="preserve">Les principaux éléments à </w:t>
      </w:r>
      <w:r w:rsidR="009E319B" w:rsidRPr="00340DB4">
        <w:rPr>
          <w:rFonts w:cs="Arial"/>
          <w:lang w:val="fr-FR" w:eastAsia="ja-JP"/>
        </w:rPr>
        <w:t>détailler</w:t>
      </w:r>
      <w:r w:rsidR="007E7CAC" w:rsidRPr="00340DB4">
        <w:rPr>
          <w:rFonts w:cs="Arial"/>
          <w:lang w:val="fr-FR" w:eastAsia="ja-JP"/>
        </w:rPr>
        <w:t xml:space="preserve"> dans les orientations ont été conv</w:t>
      </w:r>
      <w:r w:rsidR="005A482D" w:rsidRPr="00340DB4">
        <w:rPr>
          <w:rFonts w:cs="Arial"/>
          <w:lang w:val="fr-FR" w:eastAsia="ja-JP"/>
        </w:rPr>
        <w:t>e</w:t>
      </w:r>
      <w:r w:rsidR="007E7CAC" w:rsidRPr="00340DB4">
        <w:rPr>
          <w:rFonts w:cs="Arial"/>
          <w:lang w:val="fr-FR" w:eastAsia="ja-JP"/>
        </w:rPr>
        <w:t>nus p</w:t>
      </w:r>
      <w:r w:rsidR="005A482D" w:rsidRPr="00340DB4">
        <w:rPr>
          <w:rFonts w:cs="Arial"/>
          <w:lang w:val="fr-FR" w:eastAsia="ja-JP"/>
        </w:rPr>
        <w:t>ar</w:t>
      </w:r>
      <w:r w:rsidR="00C34ADB" w:rsidRPr="00340DB4">
        <w:rPr>
          <w:rFonts w:cs="Arial"/>
          <w:lang w:val="fr-FR" w:eastAsia="ja-JP"/>
        </w:rPr>
        <w:t xml:space="preserve"> le CAJ</w:t>
      </w:r>
      <w:r w:rsidR="001B3822" w:rsidRPr="00340DB4">
        <w:rPr>
          <w:rFonts w:cs="Arial"/>
          <w:lang w:val="fr-FR" w:eastAsia="ja-JP"/>
        </w:rPr>
        <w:noBreakHyphen/>
      </w:r>
      <w:r w:rsidR="007E7CAC" w:rsidRPr="00340DB4">
        <w:rPr>
          <w:rFonts w:cs="Arial"/>
          <w:lang w:val="fr-FR" w:eastAsia="ja-JP"/>
        </w:rPr>
        <w:t>AG à sa huitième</w:t>
      </w:r>
      <w:r w:rsidR="001C4EE2" w:rsidRPr="00340DB4">
        <w:rPr>
          <w:rFonts w:cs="Arial"/>
          <w:lang w:val="fr-FR" w:eastAsia="ja-JP"/>
        </w:rPr>
        <w:t> </w:t>
      </w:r>
      <w:r w:rsidR="007E7CAC" w:rsidRPr="00340DB4">
        <w:rPr>
          <w:rFonts w:cs="Arial"/>
          <w:lang w:val="fr-FR" w:eastAsia="ja-JP"/>
        </w:rPr>
        <w:t>session</w:t>
      </w:r>
      <w:r w:rsidR="007E7CAC" w:rsidRPr="00340DB4">
        <w:rPr>
          <w:rStyle w:val="FootnoteReference"/>
          <w:rFonts w:cs="Arial"/>
          <w:lang w:val="fr-FR" w:eastAsia="ja-JP"/>
        </w:rPr>
        <w:footnoteReference w:id="9"/>
      </w:r>
      <w:r w:rsidR="007E7CAC" w:rsidRPr="00340DB4">
        <w:rPr>
          <w:rFonts w:cs="Arial"/>
          <w:lang w:val="fr-FR" w:eastAsia="ja-JP"/>
        </w:rPr>
        <w:t>.</w:t>
      </w:r>
      <w:r w:rsidR="001F730D" w:rsidRPr="00340DB4">
        <w:rPr>
          <w:lang w:val="fr-FR"/>
        </w:rPr>
        <w:t xml:space="preserve"> </w:t>
      </w:r>
      <w:r w:rsidR="00C34ADB" w:rsidRPr="00340DB4">
        <w:rPr>
          <w:lang w:val="fr-FR"/>
        </w:rPr>
        <w:t xml:space="preserve"> Le CAJ</w:t>
      </w:r>
      <w:r w:rsidR="007E7CAC" w:rsidRPr="00340DB4">
        <w:rPr>
          <w:lang w:val="fr-FR"/>
        </w:rPr>
        <w:t xml:space="preserve"> est convenu qu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 xml:space="preserve">un projet de révision des Notes explicatives concernant les dénominations variétales en vertu de la </w:t>
      </w:r>
      <w:r w:rsidR="00C34ADB" w:rsidRPr="00340DB4">
        <w:rPr>
          <w:lang w:val="fr-FR"/>
        </w:rPr>
        <w:t>Convention UPOV</w:t>
      </w:r>
      <w:r w:rsidR="007E7CAC" w:rsidRPr="00340DB4">
        <w:rPr>
          <w:lang w:val="fr-FR"/>
        </w:rPr>
        <w:t xml:space="preserve"> serait présenté aux membres</w:t>
      </w:r>
      <w:r w:rsidR="00C34ADB" w:rsidRPr="00340DB4">
        <w:rPr>
          <w:lang w:val="fr-FR"/>
        </w:rPr>
        <w:t xml:space="preserve"> du CAJ</w:t>
      </w:r>
      <w:r w:rsidR="001B3822" w:rsidRPr="00340DB4">
        <w:rPr>
          <w:lang w:val="fr-FR"/>
        </w:rPr>
        <w:noBreakHyphen/>
      </w:r>
      <w:r w:rsidR="007E7CAC" w:rsidRPr="00340DB4">
        <w:rPr>
          <w:lang w:val="fr-FR"/>
        </w:rPr>
        <w:t xml:space="preserve">AG le </w:t>
      </w:r>
      <w:r w:rsidR="00C34ADB" w:rsidRPr="00340DB4">
        <w:rPr>
          <w:lang w:val="fr-FR"/>
        </w:rPr>
        <w:t>9 mai 20</w:t>
      </w:r>
      <w:r w:rsidR="007E7CAC" w:rsidRPr="00340DB4">
        <w:rPr>
          <w:lang w:val="fr-FR"/>
        </w:rPr>
        <w:t>14 et a décidé d</w:t>
      </w:r>
      <w:r w:rsidR="00C34ADB" w:rsidRPr="00340DB4">
        <w:rPr>
          <w:lang w:val="fr-FR"/>
        </w:rPr>
        <w:t>’</w:t>
      </w:r>
      <w:r w:rsidR="007E7CAC" w:rsidRPr="00340DB4">
        <w:rPr>
          <w:lang w:val="fr-FR"/>
        </w:rPr>
        <w:t>inviter les membres</w:t>
      </w:r>
      <w:r w:rsidR="00C34ADB" w:rsidRPr="00340DB4">
        <w:rPr>
          <w:lang w:val="fr-FR"/>
        </w:rPr>
        <w:t xml:space="preserve"> du CAJ</w:t>
      </w:r>
      <w:r w:rsidR="007E7CAC" w:rsidRPr="00340DB4">
        <w:rPr>
          <w:lang w:val="fr-FR"/>
        </w:rPr>
        <w:t xml:space="preserve"> et les observateurs à </w:t>
      </w:r>
      <w:r w:rsidR="009E319B" w:rsidRPr="00340DB4">
        <w:rPr>
          <w:lang w:val="fr-FR"/>
        </w:rPr>
        <w:t>s</w:t>
      </w:r>
      <w:r w:rsidR="00C34ADB" w:rsidRPr="00340DB4">
        <w:rPr>
          <w:lang w:val="fr-FR"/>
        </w:rPr>
        <w:t>’</w:t>
      </w:r>
      <w:r w:rsidR="009E319B" w:rsidRPr="00340DB4">
        <w:rPr>
          <w:lang w:val="fr-FR"/>
        </w:rPr>
        <w:t>exprimer</w:t>
      </w:r>
      <w:r w:rsidR="007E7CAC" w:rsidRPr="00340DB4">
        <w:rPr>
          <w:lang w:val="fr-FR"/>
        </w:rPr>
        <w:t xml:space="preserve"> sur le projet</w:t>
      </w:r>
      <w:r w:rsidR="007E7CAC" w:rsidRPr="00340DB4">
        <w:rPr>
          <w:rStyle w:val="FootnoteReference"/>
          <w:lang w:val="fr-FR"/>
        </w:rPr>
        <w:footnoteReference w:id="10"/>
      </w:r>
      <w:r w:rsidR="007E7CAC"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D81E9C" w:rsidP="00340DB4">
      <w:pPr>
        <w:rPr>
          <w:lang w:val="fr-FR" w:eastAsia="ja-JP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7D76EF" w:rsidRPr="00340DB4">
        <w:rPr>
          <w:rFonts w:cs="Arial"/>
          <w:lang w:val="fr-FR"/>
        </w:rPr>
        <w:t xml:space="preserve">Le projet a été communiqué dans le document UPOV/INF/12/5 </w:t>
      </w:r>
      <w:proofErr w:type="spellStart"/>
      <w:r w:rsidR="007D76EF" w:rsidRPr="00340DB4">
        <w:rPr>
          <w:rFonts w:cs="Arial"/>
          <w:lang w:val="fr-FR"/>
        </w:rPr>
        <w:t>Draft</w:t>
      </w:r>
      <w:proofErr w:type="spellEnd"/>
      <w:r w:rsidR="007D76EF" w:rsidRPr="00340DB4">
        <w:rPr>
          <w:rFonts w:cs="Arial"/>
          <w:lang w:val="fr-FR"/>
        </w:rPr>
        <w:t xml:space="preserve"> 1 et des </w:t>
      </w:r>
      <w:r w:rsidR="005A482D" w:rsidRPr="00340DB4">
        <w:rPr>
          <w:rFonts w:cs="Arial"/>
          <w:lang w:val="fr-FR"/>
        </w:rPr>
        <w:t>observations</w:t>
      </w:r>
      <w:r w:rsidR="007D76EF" w:rsidRPr="00340DB4">
        <w:rPr>
          <w:rFonts w:cs="Arial"/>
          <w:lang w:val="fr-FR"/>
        </w:rPr>
        <w:t xml:space="preserve"> sur le document ont été reçu</w:t>
      </w:r>
      <w:r w:rsidR="005A482D" w:rsidRPr="00340DB4">
        <w:rPr>
          <w:rFonts w:cs="Arial"/>
          <w:lang w:val="fr-FR"/>
        </w:rPr>
        <w:t>e</w:t>
      </w:r>
      <w:r w:rsidR="007D76EF" w:rsidRPr="00340DB4">
        <w:rPr>
          <w:rFonts w:cs="Arial"/>
          <w:lang w:val="fr-FR"/>
        </w:rPr>
        <w:t>s de l</w:t>
      </w:r>
      <w:r w:rsidR="00C34ADB" w:rsidRPr="00340DB4">
        <w:rPr>
          <w:rFonts w:cs="Arial"/>
          <w:lang w:val="fr-FR"/>
        </w:rPr>
        <w:t>’</w:t>
      </w:r>
      <w:r w:rsidR="007D76EF" w:rsidRPr="00340DB4">
        <w:rPr>
          <w:rFonts w:cs="Arial"/>
          <w:lang w:val="fr-FR"/>
        </w:rPr>
        <w:t>Argentine, de la Nouvelle</w:t>
      </w:r>
      <w:r w:rsidR="001B3822" w:rsidRPr="00340DB4">
        <w:rPr>
          <w:rFonts w:cs="Arial"/>
          <w:lang w:val="fr-FR"/>
        </w:rPr>
        <w:noBreakHyphen/>
      </w:r>
      <w:r w:rsidR="007D76EF" w:rsidRPr="00340DB4">
        <w:rPr>
          <w:rFonts w:cs="Arial"/>
          <w:lang w:val="fr-FR"/>
        </w:rPr>
        <w:t>Zélande, de l</w:t>
      </w:r>
      <w:r w:rsidR="00C34ADB" w:rsidRPr="00340DB4">
        <w:rPr>
          <w:rFonts w:cs="Arial"/>
          <w:lang w:val="fr-FR"/>
        </w:rPr>
        <w:t>’</w:t>
      </w:r>
      <w:r w:rsidR="007D76EF" w:rsidRPr="00E85E48">
        <w:rPr>
          <w:rFonts w:cs="Arial"/>
          <w:i/>
          <w:lang w:val="fr-FR"/>
        </w:rPr>
        <w:t xml:space="preserve">Association for Plant </w:t>
      </w:r>
      <w:proofErr w:type="spellStart"/>
      <w:r w:rsidR="007D76EF" w:rsidRPr="00E85E48">
        <w:rPr>
          <w:rFonts w:cs="Arial"/>
          <w:i/>
          <w:lang w:val="fr-FR"/>
        </w:rPr>
        <w:t>Breeding</w:t>
      </w:r>
      <w:proofErr w:type="spellEnd"/>
      <w:r w:rsidR="007D76EF" w:rsidRPr="00E85E48">
        <w:rPr>
          <w:rFonts w:cs="Arial"/>
          <w:i/>
          <w:lang w:val="fr-FR"/>
        </w:rPr>
        <w:t xml:space="preserve"> for the </w:t>
      </w:r>
      <w:proofErr w:type="spellStart"/>
      <w:r w:rsidR="007D76EF" w:rsidRPr="00E85E48">
        <w:rPr>
          <w:rFonts w:cs="Arial"/>
          <w:i/>
          <w:lang w:val="fr-FR"/>
        </w:rPr>
        <w:t>Benefit</w:t>
      </w:r>
      <w:proofErr w:type="spellEnd"/>
      <w:r w:rsidR="007D76EF" w:rsidRPr="00E85E48">
        <w:rPr>
          <w:rFonts w:cs="Arial"/>
          <w:i/>
          <w:lang w:val="fr-FR"/>
        </w:rPr>
        <w:t xml:space="preserve"> of Society</w:t>
      </w:r>
      <w:r w:rsidR="007D76EF" w:rsidRPr="00340DB4">
        <w:rPr>
          <w:rFonts w:cs="Arial"/>
          <w:lang w:val="fr-FR"/>
        </w:rPr>
        <w:t xml:space="preserve"> (APBREBES) et de </w:t>
      </w:r>
      <w:proofErr w:type="gramStart"/>
      <w:r w:rsidR="007D76EF" w:rsidRPr="00340DB4">
        <w:rPr>
          <w:rFonts w:cs="Arial"/>
          <w:lang w:val="fr-FR"/>
        </w:rPr>
        <w:t xml:space="preserve">la </w:t>
      </w:r>
      <w:proofErr w:type="spellStart"/>
      <w:r w:rsidR="007D76EF" w:rsidRPr="00E85E48">
        <w:rPr>
          <w:rFonts w:cs="Arial"/>
          <w:i/>
          <w:lang w:val="fr-FR"/>
        </w:rPr>
        <w:t>European</w:t>
      </w:r>
      <w:proofErr w:type="spellEnd"/>
      <w:proofErr w:type="gramEnd"/>
      <w:r w:rsidR="007D76EF" w:rsidRPr="00E85E48">
        <w:rPr>
          <w:rFonts w:cs="Arial"/>
          <w:i/>
          <w:lang w:val="fr-FR"/>
        </w:rPr>
        <w:t xml:space="preserve"> </w:t>
      </w:r>
      <w:proofErr w:type="spellStart"/>
      <w:r w:rsidR="007D76EF" w:rsidRPr="00E85E48">
        <w:rPr>
          <w:rFonts w:cs="Arial"/>
          <w:i/>
          <w:lang w:val="fr-FR"/>
        </w:rPr>
        <w:t>Seed</w:t>
      </w:r>
      <w:proofErr w:type="spellEnd"/>
      <w:r w:rsidR="007D76EF" w:rsidRPr="00E85E48">
        <w:rPr>
          <w:rFonts w:cs="Arial"/>
          <w:i/>
          <w:lang w:val="fr-FR"/>
        </w:rPr>
        <w:t xml:space="preserve"> Association</w:t>
      </w:r>
      <w:r w:rsidR="007D76EF" w:rsidRPr="00340DB4">
        <w:rPr>
          <w:rFonts w:cs="Arial"/>
          <w:lang w:val="fr-FR"/>
        </w:rPr>
        <w:t xml:space="preserve"> (ESA)</w:t>
      </w:r>
      <w:r w:rsidR="007D76EF" w:rsidRPr="00340DB4">
        <w:rPr>
          <w:rStyle w:val="FootnoteReference"/>
          <w:rFonts w:cs="Arial"/>
          <w:lang w:val="fr-FR"/>
        </w:rPr>
        <w:footnoteReference w:id="11"/>
      </w:r>
      <w:r w:rsidR="007D76EF" w:rsidRPr="00340DB4">
        <w:rPr>
          <w:rFonts w:cs="Arial"/>
          <w:lang w:val="fr-FR"/>
        </w:rPr>
        <w:t>.</w:t>
      </w:r>
    </w:p>
    <w:p w:rsidR="00F0449E" w:rsidRPr="00340DB4" w:rsidRDefault="00F0449E" w:rsidP="00340DB4">
      <w:pPr>
        <w:rPr>
          <w:snapToGrid w:val="0"/>
          <w:lang w:val="fr-FR" w:eastAsia="ja-JP"/>
        </w:rPr>
      </w:pPr>
    </w:p>
    <w:p w:rsidR="00F0449E" w:rsidRPr="00340DB4" w:rsidRDefault="00D81E9C" w:rsidP="00340DB4">
      <w:pPr>
        <w:rPr>
          <w:rFonts w:cs="Arial"/>
          <w:lang w:val="fr-FR" w:eastAsia="ja-JP"/>
        </w:rPr>
      </w:pPr>
      <w:r w:rsidRPr="00340DB4">
        <w:rPr>
          <w:szCs w:val="24"/>
          <w:lang w:val="fr-FR"/>
        </w:rPr>
        <w:fldChar w:fldCharType="begin"/>
      </w:r>
      <w:r w:rsidRPr="00340DB4">
        <w:rPr>
          <w:szCs w:val="24"/>
          <w:lang w:val="fr-FR"/>
        </w:rPr>
        <w:instrText xml:space="preserve"> AUTONUM  </w:instrText>
      </w:r>
      <w:r w:rsidRPr="00340DB4">
        <w:rPr>
          <w:szCs w:val="24"/>
          <w:lang w:val="fr-FR"/>
        </w:rPr>
        <w:fldChar w:fldCharType="end"/>
      </w:r>
      <w:r w:rsidRPr="00340DB4">
        <w:rPr>
          <w:szCs w:val="24"/>
          <w:lang w:val="fr-FR"/>
        </w:rPr>
        <w:tab/>
      </w:r>
      <w:r w:rsidR="004510F0" w:rsidRPr="00340DB4">
        <w:rPr>
          <w:szCs w:val="24"/>
          <w:lang w:val="fr-FR"/>
        </w:rPr>
        <w:t xml:space="preserve">Sur la base des </w:t>
      </w:r>
      <w:r w:rsidR="005A482D" w:rsidRPr="00340DB4">
        <w:rPr>
          <w:szCs w:val="24"/>
          <w:lang w:val="fr-FR"/>
        </w:rPr>
        <w:t>observations</w:t>
      </w:r>
      <w:r w:rsidR="004510F0" w:rsidRPr="00340DB4">
        <w:rPr>
          <w:szCs w:val="24"/>
          <w:lang w:val="fr-FR"/>
        </w:rPr>
        <w:t xml:space="preserve"> reçu</w:t>
      </w:r>
      <w:r w:rsidR="005A482D" w:rsidRPr="00340DB4">
        <w:rPr>
          <w:szCs w:val="24"/>
          <w:lang w:val="fr-FR"/>
        </w:rPr>
        <w:t>e</w:t>
      </w:r>
      <w:r w:rsidR="004510F0" w:rsidRPr="00340DB4">
        <w:rPr>
          <w:szCs w:val="24"/>
          <w:lang w:val="fr-FR"/>
        </w:rPr>
        <w:t>s, un nouveau projet de Notes explicatives con</w:t>
      </w:r>
      <w:r w:rsidR="00147E7F" w:rsidRPr="00340DB4">
        <w:rPr>
          <w:szCs w:val="24"/>
          <w:lang w:val="fr-FR"/>
        </w:rPr>
        <w:t>c</w:t>
      </w:r>
      <w:r w:rsidR="004510F0" w:rsidRPr="00340DB4">
        <w:rPr>
          <w:szCs w:val="24"/>
          <w:lang w:val="fr-FR"/>
        </w:rPr>
        <w:t xml:space="preserve">ernant les dénominations variétales en vertu de la </w:t>
      </w:r>
      <w:r w:rsidR="00C34ADB" w:rsidRPr="00340DB4">
        <w:rPr>
          <w:szCs w:val="24"/>
          <w:lang w:val="fr-FR"/>
        </w:rPr>
        <w:t>Convention UPOV</w:t>
      </w:r>
      <w:r w:rsidR="004510F0" w:rsidRPr="00340DB4">
        <w:rPr>
          <w:szCs w:val="24"/>
          <w:lang w:val="fr-FR"/>
        </w:rPr>
        <w:t xml:space="preserve"> (document UPOV/INF/12/5 </w:t>
      </w:r>
      <w:proofErr w:type="spellStart"/>
      <w:r w:rsidR="004510F0" w:rsidRPr="00340DB4">
        <w:rPr>
          <w:szCs w:val="24"/>
          <w:lang w:val="fr-FR"/>
        </w:rPr>
        <w:t>Draft</w:t>
      </w:r>
      <w:proofErr w:type="spellEnd"/>
      <w:r w:rsidR="004510F0" w:rsidRPr="00340DB4">
        <w:rPr>
          <w:szCs w:val="24"/>
          <w:lang w:val="fr-FR"/>
        </w:rPr>
        <w:t xml:space="preserve"> 2) a été publié </w:t>
      </w:r>
      <w:r w:rsidR="005A482D" w:rsidRPr="00340DB4">
        <w:rPr>
          <w:szCs w:val="24"/>
          <w:lang w:val="fr-FR"/>
        </w:rPr>
        <w:t>le 1</w:t>
      </w:r>
      <w:r w:rsidR="00C34ADB" w:rsidRPr="00340DB4">
        <w:rPr>
          <w:szCs w:val="24"/>
          <w:lang w:val="fr-FR"/>
        </w:rPr>
        <w:t>0 septembre 20</w:t>
      </w:r>
      <w:r w:rsidR="005A482D" w:rsidRPr="00340DB4">
        <w:rPr>
          <w:szCs w:val="24"/>
          <w:lang w:val="fr-FR"/>
        </w:rPr>
        <w:t>14</w:t>
      </w:r>
      <w:r w:rsidR="009E319B" w:rsidRPr="00340DB4">
        <w:rPr>
          <w:szCs w:val="24"/>
          <w:lang w:val="fr-FR"/>
        </w:rPr>
        <w:t xml:space="preserve"> </w:t>
      </w:r>
      <w:r w:rsidR="004510F0" w:rsidRPr="00340DB4">
        <w:rPr>
          <w:szCs w:val="24"/>
          <w:lang w:val="fr-FR"/>
        </w:rPr>
        <w:t>sur la page</w:t>
      </w:r>
      <w:r w:rsidR="001C4EE2" w:rsidRPr="00340DB4">
        <w:rPr>
          <w:szCs w:val="24"/>
          <w:lang w:val="fr-FR"/>
        </w:rPr>
        <w:t> </w:t>
      </w:r>
      <w:r w:rsidR="004510F0" w:rsidRPr="00340DB4">
        <w:rPr>
          <w:szCs w:val="24"/>
          <w:lang w:val="fr-FR"/>
        </w:rPr>
        <w:t>Web consacrée</w:t>
      </w:r>
      <w:r w:rsidR="00E85E48">
        <w:rPr>
          <w:szCs w:val="24"/>
          <w:lang w:val="fr-FR"/>
        </w:rPr>
        <w:t xml:space="preserve"> au </w:t>
      </w:r>
      <w:r w:rsidR="00C34ADB" w:rsidRPr="00340DB4">
        <w:rPr>
          <w:szCs w:val="24"/>
          <w:lang w:val="fr-FR"/>
        </w:rPr>
        <w:t>CAJ</w:t>
      </w:r>
      <w:r w:rsidR="001B3822" w:rsidRPr="00340DB4">
        <w:rPr>
          <w:szCs w:val="24"/>
          <w:lang w:val="fr-FR"/>
        </w:rPr>
        <w:noBreakHyphen/>
      </w:r>
      <w:r w:rsidR="004510F0" w:rsidRPr="00340DB4">
        <w:rPr>
          <w:szCs w:val="24"/>
          <w:lang w:val="fr-FR"/>
        </w:rPr>
        <w:t>AG, pour examen par</w:t>
      </w:r>
      <w:r w:rsidR="00E85E48">
        <w:rPr>
          <w:szCs w:val="24"/>
          <w:lang w:val="fr-FR"/>
        </w:rPr>
        <w:t xml:space="preserve"> le </w:t>
      </w:r>
      <w:r w:rsidR="00C34ADB" w:rsidRPr="00340DB4">
        <w:rPr>
          <w:szCs w:val="24"/>
          <w:lang w:val="fr-FR"/>
        </w:rPr>
        <w:t>CAJ</w:t>
      </w:r>
      <w:r w:rsidR="001B3822" w:rsidRPr="00340DB4">
        <w:rPr>
          <w:szCs w:val="24"/>
          <w:lang w:val="fr-FR"/>
        </w:rPr>
        <w:noBreakHyphen/>
      </w:r>
      <w:r w:rsidR="004510F0" w:rsidRPr="00340DB4">
        <w:rPr>
          <w:szCs w:val="24"/>
          <w:lang w:val="fr-FR"/>
        </w:rPr>
        <w:t>AG à sa neuvième</w:t>
      </w:r>
      <w:r w:rsidR="001C4EE2" w:rsidRPr="00340DB4">
        <w:rPr>
          <w:szCs w:val="24"/>
          <w:lang w:val="fr-FR"/>
        </w:rPr>
        <w:t> </w:t>
      </w:r>
      <w:r w:rsidR="004510F0" w:rsidRPr="00340DB4">
        <w:rPr>
          <w:szCs w:val="24"/>
          <w:lang w:val="fr-FR"/>
        </w:rPr>
        <w:t>session</w:t>
      </w:r>
      <w:r w:rsidR="004510F0" w:rsidRPr="00340DB4">
        <w:rPr>
          <w:rStyle w:val="FootnoteReference"/>
          <w:szCs w:val="24"/>
          <w:lang w:val="fr-FR"/>
        </w:rPr>
        <w:footnoteReference w:id="12"/>
      </w:r>
      <w:r w:rsidR="004510F0" w:rsidRPr="00340DB4">
        <w:rPr>
          <w:szCs w:val="24"/>
          <w:lang w:val="fr-FR"/>
        </w:rPr>
        <w:t xml:space="preserve">. </w:t>
      </w:r>
      <w:r w:rsidRPr="00340DB4">
        <w:rPr>
          <w:lang w:val="fr-FR"/>
        </w:rPr>
        <w:t xml:space="preserve"> </w:t>
      </w:r>
      <w:r w:rsidR="004510F0" w:rsidRPr="00340DB4">
        <w:rPr>
          <w:rFonts w:cs="Arial"/>
          <w:lang w:val="fr-FR" w:eastAsia="ja-JP"/>
        </w:rPr>
        <w:t xml:space="preserve">Le document UPOV/INF/12/5 </w:t>
      </w:r>
      <w:proofErr w:type="spellStart"/>
      <w:r w:rsidR="004510F0" w:rsidRPr="00340DB4">
        <w:rPr>
          <w:rFonts w:cs="Arial"/>
          <w:lang w:val="fr-FR" w:eastAsia="ja-JP"/>
        </w:rPr>
        <w:t>Draft</w:t>
      </w:r>
      <w:proofErr w:type="spellEnd"/>
      <w:r w:rsidR="004510F0" w:rsidRPr="00340DB4">
        <w:rPr>
          <w:rFonts w:cs="Arial"/>
          <w:lang w:val="fr-FR" w:eastAsia="ja-JP"/>
        </w:rPr>
        <w:t xml:space="preserve"> 2 </w:t>
      </w:r>
      <w:r w:rsidR="005A482D" w:rsidRPr="00340DB4">
        <w:rPr>
          <w:rFonts w:cs="Arial"/>
          <w:lang w:val="fr-FR" w:eastAsia="ja-JP"/>
        </w:rPr>
        <w:t>peut être consulté</w:t>
      </w:r>
      <w:r w:rsidR="004510F0" w:rsidRPr="00340DB4">
        <w:rPr>
          <w:rFonts w:cs="Arial"/>
          <w:lang w:val="fr-FR" w:eastAsia="ja-JP"/>
        </w:rPr>
        <w:t xml:space="preserve"> sur la page</w:t>
      </w:r>
      <w:r w:rsidR="001C4EE2" w:rsidRPr="00340DB4">
        <w:rPr>
          <w:rFonts w:cs="Arial"/>
          <w:lang w:val="fr-FR" w:eastAsia="ja-JP"/>
        </w:rPr>
        <w:t> </w:t>
      </w:r>
      <w:r w:rsidR="004510F0" w:rsidRPr="00340DB4">
        <w:rPr>
          <w:rFonts w:cs="Arial"/>
          <w:lang w:val="fr-FR" w:eastAsia="ja-JP"/>
        </w:rPr>
        <w:t>Web consacrée à la soixante et onzième</w:t>
      </w:r>
      <w:r w:rsidR="001C4EE2" w:rsidRPr="00340DB4">
        <w:rPr>
          <w:rFonts w:cs="Arial"/>
          <w:lang w:val="fr-FR" w:eastAsia="ja-JP"/>
        </w:rPr>
        <w:t> </w:t>
      </w:r>
      <w:r w:rsidR="004510F0" w:rsidRPr="00340DB4">
        <w:rPr>
          <w:rFonts w:cs="Arial"/>
          <w:lang w:val="fr-FR" w:eastAsia="ja-JP"/>
        </w:rPr>
        <w:t>session</w:t>
      </w:r>
      <w:r w:rsidR="00C34ADB" w:rsidRPr="00340DB4">
        <w:rPr>
          <w:rFonts w:cs="Arial"/>
          <w:lang w:val="fr-FR" w:eastAsia="ja-JP"/>
        </w:rPr>
        <w:t xml:space="preserve"> du CAJ</w:t>
      </w:r>
      <w:r w:rsidR="004510F0" w:rsidRPr="00340DB4">
        <w:rPr>
          <w:rStyle w:val="FootnoteReference"/>
          <w:rFonts w:cs="Arial"/>
          <w:lang w:val="fr-FR" w:eastAsia="ja-JP"/>
        </w:rPr>
        <w:footnoteReference w:id="13"/>
      </w:r>
      <w:r w:rsidR="004510F0" w:rsidRPr="00340DB4">
        <w:rPr>
          <w:rFonts w:cs="Arial"/>
          <w:lang w:val="fr-FR" w:eastAsia="ja-JP"/>
        </w:rPr>
        <w:t>.</w:t>
      </w:r>
    </w:p>
    <w:p w:rsidR="00F0449E" w:rsidRPr="00340DB4" w:rsidRDefault="00F0449E" w:rsidP="00340DB4">
      <w:pPr>
        <w:rPr>
          <w:rFonts w:cs="Arial"/>
          <w:lang w:val="fr-FR" w:eastAsia="ja-JP"/>
        </w:rPr>
      </w:pPr>
    </w:p>
    <w:p w:rsidR="00F0449E" w:rsidRPr="00340DB4" w:rsidRDefault="00D81E9C" w:rsidP="00340DB4">
      <w:pPr>
        <w:rPr>
          <w:rFonts w:cs="Arial"/>
          <w:szCs w:val="26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E04DE" w:rsidRPr="00340DB4">
        <w:rPr>
          <w:lang w:val="fr-FR"/>
        </w:rPr>
        <w:t>À sa neuvième</w:t>
      </w:r>
      <w:r w:rsidR="001C4EE2" w:rsidRPr="00340DB4">
        <w:rPr>
          <w:lang w:val="fr-FR"/>
        </w:rPr>
        <w:t> </w:t>
      </w:r>
      <w:r w:rsidR="00FE04DE" w:rsidRPr="00340DB4">
        <w:rPr>
          <w:lang w:val="fr-FR"/>
        </w:rPr>
        <w:t>session,</w:t>
      </w:r>
      <w:r w:rsidR="00C34ADB" w:rsidRPr="00340DB4">
        <w:rPr>
          <w:lang w:val="fr-FR"/>
        </w:rPr>
        <w:t xml:space="preserve"> le CAJ</w:t>
      </w:r>
      <w:r w:rsidR="00FE04DE" w:rsidRPr="00340DB4">
        <w:rPr>
          <w:lang w:val="fr-FR"/>
        </w:rPr>
        <w:t xml:space="preserve">­AG a examiné le document UPOV/INF/12/5 </w:t>
      </w:r>
      <w:proofErr w:type="spellStart"/>
      <w:r w:rsidR="00FE04DE" w:rsidRPr="00340DB4">
        <w:rPr>
          <w:lang w:val="fr-FR"/>
        </w:rPr>
        <w:t>Draft</w:t>
      </w:r>
      <w:proofErr w:type="spellEnd"/>
      <w:r w:rsidR="00FE04DE" w:rsidRPr="00340DB4">
        <w:rPr>
          <w:lang w:val="fr-FR"/>
        </w:rPr>
        <w:t xml:space="preserve"> 2, notamment les contributions de l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APBREBES et de l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ESA</w:t>
      </w:r>
      <w:r w:rsidR="00FE04DE" w:rsidRPr="00340DB4">
        <w:rPr>
          <w:rStyle w:val="FootnoteReference"/>
          <w:lang w:val="fr-FR"/>
        </w:rPr>
        <w:footnoteReference w:id="14"/>
      </w:r>
      <w:r w:rsidR="00FE04DE" w:rsidRPr="00340DB4">
        <w:rPr>
          <w:lang w:val="fr-FR"/>
        </w:rPr>
        <w:t>.</w:t>
      </w:r>
    </w:p>
    <w:p w:rsidR="00F0449E" w:rsidRDefault="00F0449E" w:rsidP="00340DB4">
      <w:pPr>
        <w:rPr>
          <w:rFonts w:cs="Arial"/>
          <w:szCs w:val="26"/>
          <w:lang w:val="fr-FR" w:eastAsia="ja-JP"/>
        </w:rPr>
      </w:pPr>
    </w:p>
    <w:p w:rsidR="00F0449E" w:rsidRPr="00340DB4" w:rsidRDefault="00FE04DE" w:rsidP="00596BDB">
      <w:pPr>
        <w:pStyle w:val="Heading2"/>
        <w:rPr>
          <w:lang w:val="fr-FR"/>
        </w:rPr>
      </w:pPr>
      <w:bookmarkStart w:id="10" w:name="_Toc413233497"/>
      <w:r w:rsidRPr="00340DB4">
        <w:rPr>
          <w:lang w:val="fr-FR"/>
        </w:rPr>
        <w:t>Pro</w:t>
      </w:r>
      <w:r w:rsidR="005A482D" w:rsidRPr="00340DB4">
        <w:rPr>
          <w:lang w:val="fr-FR"/>
        </w:rPr>
        <w:t>jet</w:t>
      </w:r>
      <w:r w:rsidRPr="00340DB4">
        <w:rPr>
          <w:lang w:val="fr-FR"/>
        </w:rPr>
        <w:t xml:space="preserve"> d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orientations concernant les modifications de dénominations variétales enregistrées</w:t>
      </w:r>
      <w:r w:rsidR="005A482D" w:rsidRPr="00340DB4">
        <w:rPr>
          <w:lang w:val="fr-FR"/>
        </w:rPr>
        <w:t>,</w:t>
      </w:r>
      <w:r w:rsidRPr="00340DB4">
        <w:rPr>
          <w:lang w:val="fr-FR"/>
        </w:rPr>
        <w:t xml:space="preserve"> pour examen par</w:t>
      </w:r>
      <w:r w:rsidR="00C34ADB" w:rsidRPr="00340DB4">
        <w:rPr>
          <w:lang w:val="fr-FR"/>
        </w:rPr>
        <w:t xml:space="preserve"> le CAJ</w:t>
      </w:r>
      <w:r w:rsidRPr="00340DB4">
        <w:rPr>
          <w:lang w:val="fr-FR"/>
        </w:rPr>
        <w:t xml:space="preserve"> à sa soixante et onzième</w:t>
      </w:r>
      <w:r w:rsidR="001C4EE2" w:rsidRPr="00340DB4">
        <w:rPr>
          <w:lang w:val="fr-FR"/>
        </w:rPr>
        <w:t> </w:t>
      </w:r>
      <w:r w:rsidRPr="00340DB4">
        <w:rPr>
          <w:lang w:val="fr-FR"/>
        </w:rPr>
        <w:t>session</w:t>
      </w:r>
      <w:bookmarkEnd w:id="10"/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E834E6" w:rsidP="00340DB4">
      <w:pPr>
        <w:autoSpaceDE w:val="0"/>
        <w:autoSpaceDN w:val="0"/>
        <w:adjustRightInd w:val="0"/>
        <w:ind w:right="9"/>
        <w:rPr>
          <w:rFonts w:cs="Arial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E04DE" w:rsidRPr="00340DB4">
        <w:rPr>
          <w:lang w:val="fr-FR"/>
        </w:rPr>
        <w:t>À sa huitième</w:t>
      </w:r>
      <w:r w:rsidR="001C4EE2" w:rsidRPr="00340DB4">
        <w:rPr>
          <w:lang w:val="fr-FR"/>
        </w:rPr>
        <w:t> </w:t>
      </w:r>
      <w:r w:rsidR="00FE04DE" w:rsidRPr="00340DB4">
        <w:rPr>
          <w:lang w:val="fr-FR"/>
        </w:rPr>
        <w:t>session</w:t>
      </w:r>
      <w:r w:rsidR="00FE04DE" w:rsidRPr="00340DB4">
        <w:rPr>
          <w:rStyle w:val="FootnoteReference"/>
          <w:lang w:val="fr-FR"/>
        </w:rPr>
        <w:footnoteReference w:id="15"/>
      </w:r>
      <w:r w:rsidR="00FE04DE" w:rsidRPr="00340DB4">
        <w:rPr>
          <w:lang w:val="fr-FR"/>
        </w:rPr>
        <w:t>,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FE04DE" w:rsidRPr="00340DB4">
        <w:rPr>
          <w:lang w:val="fr-FR"/>
        </w:rPr>
        <w:t>AG a approuvé l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élaboration d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orientations concernant une demande d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obtenteur visant à changer une dénomination variétale enregistrée dans des cas autres que ceux dans lesquels la dénomination variétale a été radiée après l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octroi du droit d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>obtenteur au motif que cette demande devrait être rejetée.</w:t>
      </w:r>
      <w:r w:rsidR="00214B92" w:rsidRPr="00340DB4">
        <w:rPr>
          <w:lang w:val="fr-FR"/>
        </w:rPr>
        <w:t xml:space="preserve"> </w:t>
      </w:r>
      <w:r w:rsidR="001C4EE2" w:rsidRPr="00340DB4">
        <w:rPr>
          <w:lang w:val="fr-FR"/>
        </w:rPr>
        <w:t xml:space="preserve"> </w:t>
      </w:r>
      <w:r w:rsidR="00FE04DE" w:rsidRPr="00340DB4">
        <w:rPr>
          <w:rFonts w:cs="Arial"/>
          <w:lang w:val="fr-FR"/>
        </w:rPr>
        <w:t>Toutefois, le CAJ</w:t>
      </w:r>
      <w:r w:rsidR="001B3822" w:rsidRPr="00340DB4">
        <w:rPr>
          <w:rFonts w:cs="Arial"/>
          <w:lang w:val="fr-FR"/>
        </w:rPr>
        <w:noBreakHyphen/>
      </w:r>
      <w:r w:rsidR="00FE04DE" w:rsidRPr="00340DB4">
        <w:rPr>
          <w:rFonts w:cs="Arial"/>
          <w:lang w:val="fr-FR"/>
        </w:rPr>
        <w:t>AG a reconnu que des changements seraient justifiés dans les situations suivantes</w:t>
      </w:r>
      <w:r w:rsidR="00FE04DE" w:rsidRPr="00340DB4">
        <w:rPr>
          <w:rStyle w:val="FootnoteReference"/>
          <w:rFonts w:cs="Arial"/>
          <w:lang w:val="fr-FR"/>
        </w:rPr>
        <w:footnoteReference w:id="16"/>
      </w:r>
      <w:r w:rsidR="001C4EE2" w:rsidRPr="00340DB4">
        <w:rPr>
          <w:rFonts w:cs="Arial"/>
          <w:lang w:val="fr-FR"/>
        </w:rPr>
        <w:t> </w:t>
      </w:r>
      <w:r w:rsidR="00FE04DE" w:rsidRPr="00340DB4">
        <w:rPr>
          <w:lang w:val="fr-FR"/>
        </w:rPr>
        <w:t>:</w:t>
      </w:r>
    </w:p>
    <w:p w:rsidR="00F0449E" w:rsidRPr="00340DB4" w:rsidRDefault="00F0449E" w:rsidP="00340DB4">
      <w:pPr>
        <w:autoSpaceDE w:val="0"/>
        <w:autoSpaceDN w:val="0"/>
        <w:adjustRightInd w:val="0"/>
        <w:ind w:left="540" w:right="549"/>
        <w:rPr>
          <w:rFonts w:cs="Arial"/>
          <w:sz w:val="18"/>
          <w:szCs w:val="18"/>
          <w:lang w:val="fr-FR" w:eastAsia="ja-JP"/>
        </w:rPr>
      </w:pPr>
    </w:p>
    <w:p w:rsidR="00F0449E" w:rsidRPr="00340DB4" w:rsidRDefault="00FE04DE" w:rsidP="00340DB4">
      <w:pPr>
        <w:autoSpaceDE w:val="0"/>
        <w:autoSpaceDN w:val="0"/>
        <w:adjustRightInd w:val="0"/>
        <w:spacing w:after="240"/>
        <w:ind w:left="567" w:right="550" w:firstLine="567"/>
        <w:rPr>
          <w:rFonts w:cs="Arial"/>
          <w:sz w:val="18"/>
          <w:szCs w:val="18"/>
          <w:lang w:val="fr-FR"/>
        </w:rPr>
      </w:pPr>
      <w:proofErr w:type="gramStart"/>
      <w:r w:rsidRPr="00340DB4">
        <w:rPr>
          <w:rFonts w:cs="Arial"/>
          <w:sz w:val="18"/>
          <w:szCs w:val="18"/>
          <w:lang w:val="fr-FR"/>
        </w:rPr>
        <w:t>a</w:t>
      </w:r>
      <w:proofErr w:type="gramEnd"/>
      <w:r w:rsidRPr="00340DB4">
        <w:rPr>
          <w:rFonts w:cs="Arial"/>
          <w:sz w:val="18"/>
          <w:szCs w:val="18"/>
          <w:lang w:val="fr-FR"/>
        </w:rPr>
        <w:t xml:space="preserve">) </w:t>
      </w:r>
      <w:r w:rsidRPr="00340DB4">
        <w:rPr>
          <w:rFonts w:cs="Arial"/>
          <w:sz w:val="18"/>
          <w:szCs w:val="18"/>
          <w:lang w:val="fr-FR"/>
        </w:rPr>
        <w:tab/>
        <w:t>s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il était constaté l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existence d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un droit antérieur concernant la dénomination, qui aurait conduit au refus de cette dénomination (voir l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article 20.4) et 7) de l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Acte de 1991, l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article 13.4) et 7) de l</w:t>
      </w:r>
      <w:r w:rsidR="00C34ADB" w:rsidRPr="00340DB4">
        <w:rPr>
          <w:rFonts w:cs="Arial"/>
          <w:sz w:val="18"/>
          <w:szCs w:val="18"/>
          <w:lang w:val="fr-FR"/>
        </w:rPr>
        <w:t>’</w:t>
      </w:r>
      <w:r w:rsidRPr="00340DB4">
        <w:rPr>
          <w:rFonts w:cs="Arial"/>
          <w:sz w:val="18"/>
          <w:szCs w:val="18"/>
          <w:lang w:val="fr-FR"/>
        </w:rPr>
        <w:t>Acte de 1978 et la note 7 du document UPOV/INF/12/4);</w:t>
      </w:r>
    </w:p>
    <w:p w:rsidR="00F0449E" w:rsidRPr="00340DB4" w:rsidRDefault="00FE04DE" w:rsidP="00340DB4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fr-FR" w:eastAsia="ja-JP"/>
        </w:rPr>
      </w:pPr>
      <w:proofErr w:type="gramStart"/>
      <w:r w:rsidRPr="00340DB4">
        <w:rPr>
          <w:rFonts w:cs="Arial"/>
          <w:sz w:val="18"/>
          <w:szCs w:val="18"/>
          <w:lang w:val="fr-FR" w:eastAsia="ja-JP"/>
        </w:rPr>
        <w:t>b</w:t>
      </w:r>
      <w:proofErr w:type="gramEnd"/>
      <w:r w:rsidRPr="00340DB4">
        <w:rPr>
          <w:rFonts w:cs="Arial"/>
          <w:sz w:val="18"/>
          <w:szCs w:val="18"/>
          <w:lang w:val="fr-FR" w:eastAsia="ja-JP"/>
        </w:rPr>
        <w:t xml:space="preserve">) </w:t>
      </w:r>
      <w:r w:rsidRPr="00340DB4">
        <w:rPr>
          <w:rFonts w:cs="Arial"/>
          <w:sz w:val="18"/>
          <w:szCs w:val="18"/>
          <w:lang w:val="fr-FR" w:eastAsia="ja-JP"/>
        </w:rPr>
        <w:tab/>
        <w:t>si la dénomination ne convenait pas parce qu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elle était contraire aux dispositions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article 20.2)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Acte de 1991 et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article 13.2)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Acte de 1978;  et</w:t>
      </w:r>
    </w:p>
    <w:p w:rsidR="00F0449E" w:rsidRPr="00340DB4" w:rsidRDefault="00F0449E" w:rsidP="00340DB4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fr-FR" w:eastAsia="ja-JP"/>
        </w:rPr>
      </w:pPr>
    </w:p>
    <w:p w:rsidR="00F0449E" w:rsidRPr="00340DB4" w:rsidRDefault="00FE04DE" w:rsidP="00340DB4">
      <w:pPr>
        <w:autoSpaceDE w:val="0"/>
        <w:autoSpaceDN w:val="0"/>
        <w:adjustRightInd w:val="0"/>
        <w:ind w:left="567" w:right="549" w:firstLine="567"/>
        <w:rPr>
          <w:rFonts w:cs="Arial"/>
          <w:sz w:val="18"/>
          <w:szCs w:val="18"/>
          <w:lang w:val="fr-FR" w:eastAsia="ja-JP"/>
        </w:rPr>
      </w:pPr>
      <w:r w:rsidRPr="00340DB4">
        <w:rPr>
          <w:rFonts w:cs="Arial"/>
          <w:sz w:val="18"/>
          <w:szCs w:val="18"/>
          <w:lang w:val="fr-FR" w:eastAsia="ja-JP"/>
        </w:rPr>
        <w:t xml:space="preserve">c) </w:t>
      </w:r>
      <w:r w:rsidRPr="00340DB4">
        <w:rPr>
          <w:rFonts w:cs="Arial"/>
          <w:sz w:val="18"/>
          <w:szCs w:val="18"/>
          <w:lang w:val="fr-FR" w:eastAsia="ja-JP"/>
        </w:rPr>
        <w:tab/>
        <w:t>si la dénomination était par la suite refusée dans un autre membre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Union et si, à la demande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obtenteur, le service consentait à accepter la dénomination enregistrée dans cet autre membre de l</w:t>
      </w:r>
      <w:r w:rsidR="00C34ADB" w:rsidRPr="00340DB4">
        <w:rPr>
          <w:rFonts w:cs="Arial"/>
          <w:sz w:val="18"/>
          <w:szCs w:val="18"/>
          <w:lang w:val="fr-FR" w:eastAsia="ja-JP"/>
        </w:rPr>
        <w:t>’</w:t>
      </w:r>
      <w:r w:rsidRPr="00340DB4">
        <w:rPr>
          <w:rFonts w:cs="Arial"/>
          <w:sz w:val="18"/>
          <w:szCs w:val="18"/>
          <w:lang w:val="fr-FR" w:eastAsia="ja-JP"/>
        </w:rPr>
        <w:t>Union.</w:t>
      </w:r>
    </w:p>
    <w:p w:rsidR="00F0449E" w:rsidRPr="00340DB4" w:rsidRDefault="00F0449E" w:rsidP="00340DB4">
      <w:pPr>
        <w:autoSpaceDE w:val="0"/>
        <w:autoSpaceDN w:val="0"/>
        <w:adjustRightInd w:val="0"/>
        <w:ind w:left="567" w:right="549" w:firstLine="567"/>
        <w:jc w:val="left"/>
        <w:rPr>
          <w:rFonts w:cs="Arial"/>
          <w:sz w:val="18"/>
          <w:szCs w:val="18"/>
          <w:lang w:val="fr-FR" w:eastAsia="ja-JP"/>
        </w:rPr>
      </w:pPr>
    </w:p>
    <w:p w:rsidR="00F0449E" w:rsidRPr="00340DB4" w:rsidRDefault="00822A3B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E04DE" w:rsidRPr="00340DB4">
        <w:rPr>
          <w:lang w:val="fr-FR"/>
        </w:rPr>
        <w:t>À sa huitième</w:t>
      </w:r>
      <w:r w:rsidR="001C4EE2" w:rsidRPr="00340DB4">
        <w:rPr>
          <w:lang w:val="fr-FR"/>
        </w:rPr>
        <w:t> </w:t>
      </w:r>
      <w:r w:rsidR="00FE04DE" w:rsidRPr="00340DB4">
        <w:rPr>
          <w:lang w:val="fr-FR"/>
        </w:rPr>
        <w:t>session,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FE04DE" w:rsidRPr="00340DB4">
        <w:rPr>
          <w:lang w:val="fr-FR"/>
        </w:rPr>
        <w:t>AG est convenu que les orientations complémentaires devraient être examinées dans le cadre d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 xml:space="preserve">une révision éventuelle des “Notes explicatives concernant les dénominations variétales en vertu de la </w:t>
      </w:r>
      <w:r w:rsidR="00C34ADB" w:rsidRPr="00340DB4">
        <w:rPr>
          <w:lang w:val="fr-FR"/>
        </w:rPr>
        <w:t>Convention UPOV</w:t>
      </w:r>
      <w:r w:rsidR="00FE04DE" w:rsidRPr="00340DB4">
        <w:rPr>
          <w:lang w:val="fr-FR"/>
        </w:rPr>
        <w:t>” (document UPOV/INF/12/4).</w:t>
      </w:r>
    </w:p>
    <w:p w:rsidR="00F0449E" w:rsidRPr="00340DB4" w:rsidRDefault="00F0449E" w:rsidP="00340DB4">
      <w:pPr>
        <w:tabs>
          <w:tab w:val="left" w:pos="540"/>
        </w:tabs>
        <w:autoSpaceDE w:val="0"/>
        <w:autoSpaceDN w:val="0"/>
        <w:adjustRightInd w:val="0"/>
        <w:ind w:right="549"/>
        <w:rPr>
          <w:rFonts w:cs="Arial"/>
          <w:lang w:val="fr-FR"/>
        </w:rPr>
      </w:pPr>
    </w:p>
    <w:p w:rsidR="00F0449E" w:rsidRPr="00340DB4" w:rsidRDefault="00E834E6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E04DE" w:rsidRPr="00340DB4">
        <w:rPr>
          <w:lang w:val="fr-FR"/>
        </w:rPr>
        <w:t>À sa soixante</w:t>
      </w:r>
      <w:r w:rsidR="001B3822" w:rsidRPr="00340DB4">
        <w:rPr>
          <w:lang w:val="fr-FR"/>
        </w:rPr>
        <w:noBreakHyphen/>
      </w:r>
      <w:r w:rsidR="00FE04DE" w:rsidRPr="00340DB4">
        <w:rPr>
          <w:lang w:val="fr-FR"/>
        </w:rPr>
        <w:t>neuvième</w:t>
      </w:r>
      <w:r w:rsidR="001C4EE2" w:rsidRPr="00340DB4">
        <w:rPr>
          <w:lang w:val="fr-FR"/>
        </w:rPr>
        <w:t> </w:t>
      </w:r>
      <w:r w:rsidR="00FE04DE" w:rsidRPr="00340DB4">
        <w:rPr>
          <w:lang w:val="fr-FR"/>
        </w:rPr>
        <w:t>session</w:t>
      </w:r>
      <w:r w:rsidR="00FE04DE" w:rsidRPr="00340DB4">
        <w:rPr>
          <w:rStyle w:val="FootnoteReference"/>
          <w:lang w:val="fr-FR"/>
        </w:rPr>
        <w:footnoteReference w:id="17"/>
      </w:r>
      <w:r w:rsidR="00FE04DE" w:rsidRPr="00340DB4">
        <w:rPr>
          <w:lang w:val="fr-FR"/>
        </w:rPr>
        <w:t>,</w:t>
      </w:r>
      <w:r w:rsidR="00C34ADB" w:rsidRPr="00340DB4">
        <w:rPr>
          <w:lang w:val="fr-FR"/>
        </w:rPr>
        <w:t xml:space="preserve"> le CAJ</w:t>
      </w:r>
      <w:r w:rsidR="00FE04DE" w:rsidRPr="00340DB4">
        <w:rPr>
          <w:lang w:val="fr-FR"/>
        </w:rPr>
        <w:t xml:space="preserve"> est convenu qu</w:t>
      </w:r>
      <w:r w:rsidR="00C34ADB" w:rsidRPr="00340DB4">
        <w:rPr>
          <w:lang w:val="fr-FR"/>
        </w:rPr>
        <w:t>’</w:t>
      </w:r>
      <w:r w:rsidR="00FE04DE" w:rsidRPr="00340DB4">
        <w:rPr>
          <w:lang w:val="fr-FR"/>
        </w:rPr>
        <w:t xml:space="preserve">un projet de révision des Notes explicatives concernant les dénominations variétales en vertu de la </w:t>
      </w:r>
      <w:r w:rsidR="00C34ADB" w:rsidRPr="00340DB4">
        <w:rPr>
          <w:lang w:val="fr-FR"/>
        </w:rPr>
        <w:t>Convention UPOV</w:t>
      </w:r>
      <w:r w:rsidR="00FE04DE" w:rsidRPr="00340DB4">
        <w:rPr>
          <w:lang w:val="fr-FR"/>
        </w:rPr>
        <w:t xml:space="preserve"> lui serait </w:t>
      </w:r>
      <w:r w:rsidR="00755BE5">
        <w:rPr>
          <w:lang w:val="fr-FR"/>
        </w:rPr>
        <w:t xml:space="preserve">envoyé en tant que </w:t>
      </w:r>
      <w:r w:rsidR="00FE04DE" w:rsidRPr="00340DB4">
        <w:rPr>
          <w:lang w:val="fr-FR"/>
        </w:rPr>
        <w:t xml:space="preserve">document UPOV/INF/12/5 </w:t>
      </w:r>
      <w:proofErr w:type="spellStart"/>
      <w:r w:rsidR="00FE04DE" w:rsidRPr="00340DB4">
        <w:rPr>
          <w:lang w:val="fr-FR"/>
        </w:rPr>
        <w:t>Draft</w:t>
      </w:r>
      <w:proofErr w:type="spellEnd"/>
      <w:r w:rsidR="00FE04DE" w:rsidRPr="00340DB4">
        <w:rPr>
          <w:lang w:val="fr-FR"/>
        </w:rPr>
        <w:t xml:space="preserve"> 1.  Compte tenu des </w:t>
      </w:r>
      <w:r w:rsidR="005A482D" w:rsidRPr="00340DB4">
        <w:rPr>
          <w:lang w:val="fr-FR"/>
        </w:rPr>
        <w:t>observations</w:t>
      </w:r>
      <w:r w:rsidR="00FE04DE" w:rsidRPr="00340DB4">
        <w:rPr>
          <w:lang w:val="fr-FR"/>
        </w:rPr>
        <w:t xml:space="preserve"> reçu</w:t>
      </w:r>
      <w:r w:rsidR="005A482D" w:rsidRPr="00340DB4">
        <w:rPr>
          <w:lang w:val="fr-FR"/>
        </w:rPr>
        <w:t>e</w:t>
      </w:r>
      <w:r w:rsidR="00FE04DE" w:rsidRPr="00340DB4">
        <w:rPr>
          <w:lang w:val="fr-FR"/>
        </w:rPr>
        <w:t xml:space="preserve">s, un nouveau projet, le document UPOV/INF/12/5 </w:t>
      </w:r>
      <w:proofErr w:type="spellStart"/>
      <w:r w:rsidR="00FE04DE" w:rsidRPr="00340DB4">
        <w:rPr>
          <w:lang w:val="fr-FR"/>
        </w:rPr>
        <w:t>Draft</w:t>
      </w:r>
      <w:proofErr w:type="spellEnd"/>
      <w:r w:rsidR="00FE04DE" w:rsidRPr="00340DB4">
        <w:rPr>
          <w:lang w:val="fr-FR"/>
        </w:rPr>
        <w:t xml:space="preserve"> 2, a été établi pour examen par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FE04DE" w:rsidRPr="00340DB4">
        <w:rPr>
          <w:lang w:val="fr-FR"/>
        </w:rPr>
        <w:t>AG à sa neuvième</w:t>
      </w:r>
      <w:r w:rsidR="001C4EE2" w:rsidRPr="00340DB4">
        <w:rPr>
          <w:lang w:val="fr-FR"/>
        </w:rPr>
        <w:t> </w:t>
      </w:r>
      <w:r w:rsidR="00FE04DE" w:rsidRPr="00340DB4">
        <w:rPr>
          <w:lang w:val="fr-FR"/>
        </w:rPr>
        <w:t>session</w:t>
      </w:r>
      <w:r w:rsidR="00FE04DE" w:rsidRPr="00340DB4">
        <w:rPr>
          <w:rStyle w:val="FootnoteReference"/>
          <w:lang w:val="fr-FR"/>
        </w:rPr>
        <w:footnoteReference w:id="18"/>
      </w:r>
      <w:r w:rsidR="00FE04DE" w:rsidRPr="00340DB4">
        <w:rPr>
          <w:lang w:val="fr-FR"/>
        </w:rPr>
        <w:t>.</w:t>
      </w: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2E25B7" w:rsidP="00340DB4">
      <w:pPr>
        <w:rPr>
          <w:rFonts w:cs="Arial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187A2D" w:rsidRPr="00340DB4">
        <w:rPr>
          <w:lang w:val="fr-FR"/>
        </w:rPr>
        <w:t>Les orientations suivantes ont été approuvées par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187A2D" w:rsidRPr="00340DB4">
        <w:rPr>
          <w:lang w:val="fr-FR"/>
        </w:rPr>
        <w:t>AG à sa neuvième</w:t>
      </w:r>
      <w:r w:rsidR="001C4EE2" w:rsidRPr="00340DB4">
        <w:rPr>
          <w:lang w:val="fr-FR"/>
        </w:rPr>
        <w:t> </w:t>
      </w:r>
      <w:r w:rsidR="00187A2D" w:rsidRPr="00340DB4">
        <w:rPr>
          <w:lang w:val="fr-FR"/>
        </w:rPr>
        <w:t xml:space="preserve">session, comme indiqué dans le document UPOV/INF/12/5 </w:t>
      </w:r>
      <w:proofErr w:type="spellStart"/>
      <w:r w:rsidR="00187A2D" w:rsidRPr="00340DB4">
        <w:rPr>
          <w:lang w:val="fr-FR"/>
        </w:rPr>
        <w:t>Draft</w:t>
      </w:r>
      <w:proofErr w:type="spellEnd"/>
      <w:r w:rsidR="00187A2D" w:rsidRPr="00340DB4">
        <w:rPr>
          <w:lang w:val="fr-FR"/>
        </w:rPr>
        <w:t xml:space="preserve"> 2</w:t>
      </w:r>
      <w:r w:rsidR="001C4EE2" w:rsidRPr="00340DB4">
        <w:rPr>
          <w:lang w:val="fr-FR"/>
        </w:rPr>
        <w:t> </w:t>
      </w:r>
      <w:r w:rsidR="00187A2D" w:rsidRPr="00340DB4">
        <w:rPr>
          <w:lang w:val="fr-FR"/>
        </w:rPr>
        <w:t>:</w:t>
      </w:r>
    </w:p>
    <w:p w:rsidR="00F0449E" w:rsidRPr="00340DB4" w:rsidRDefault="00F0449E" w:rsidP="00340DB4">
      <w:pPr>
        <w:rPr>
          <w:lang w:val="fr-FR"/>
        </w:rPr>
      </w:pPr>
    </w:p>
    <w:p w:rsidR="00F0449E" w:rsidRPr="00340DB4" w:rsidRDefault="00187A2D" w:rsidP="00340DB4">
      <w:pPr>
        <w:ind w:left="567" w:right="567"/>
        <w:rPr>
          <w:sz w:val="18"/>
          <w:lang w:val="fr-FR"/>
        </w:rPr>
      </w:pPr>
      <w:r w:rsidRPr="00340DB4">
        <w:rPr>
          <w:sz w:val="18"/>
          <w:lang w:val="fr-FR"/>
        </w:rPr>
        <w:t>7.2</w:t>
      </w:r>
      <w:r w:rsidRPr="00340DB4">
        <w:rPr>
          <w:sz w:val="18"/>
          <w:lang w:val="fr-FR"/>
        </w:rPr>
        <w:tab/>
        <w:t>Les points suivants fournissent des orientations concernant les modifications de dénominations variétales enregistrées</w:t>
      </w:r>
      <w:r w:rsidR="001C4EE2" w:rsidRPr="00340DB4">
        <w:rPr>
          <w:sz w:val="18"/>
          <w:lang w:val="fr-FR"/>
        </w:rPr>
        <w:t> </w:t>
      </w:r>
      <w:r w:rsidRPr="00340DB4">
        <w:rPr>
          <w:sz w:val="18"/>
          <w:lang w:val="fr-FR"/>
        </w:rPr>
        <w:t>:</w:t>
      </w:r>
    </w:p>
    <w:p w:rsidR="00F0449E" w:rsidRPr="00340DB4" w:rsidRDefault="00F0449E" w:rsidP="00340DB4">
      <w:pPr>
        <w:ind w:left="567" w:right="567"/>
        <w:rPr>
          <w:sz w:val="18"/>
          <w:lang w:val="fr-FR"/>
        </w:rPr>
      </w:pPr>
    </w:p>
    <w:p w:rsidR="00C34ADB" w:rsidRPr="00340DB4" w:rsidRDefault="005A482D" w:rsidP="00340DB4">
      <w:pPr>
        <w:ind w:left="567" w:right="567" w:firstLine="567"/>
        <w:rPr>
          <w:sz w:val="18"/>
          <w:lang w:val="fr-FR"/>
        </w:rPr>
      </w:pPr>
      <w:r w:rsidRPr="00340DB4">
        <w:rPr>
          <w:sz w:val="18"/>
          <w:lang w:val="fr-FR"/>
        </w:rPr>
        <w:t>a)</w:t>
      </w:r>
      <w:r w:rsidRPr="00340DB4">
        <w:rPr>
          <w:sz w:val="18"/>
          <w:lang w:val="fr-FR"/>
        </w:rPr>
        <w:tab/>
        <w:t>l</w:t>
      </w:r>
      <w:r w:rsidR="00187A2D" w:rsidRPr="00340DB4">
        <w:rPr>
          <w:sz w:val="18"/>
          <w:lang w:val="fr-FR"/>
        </w:rPr>
        <w:t xml:space="preserve">a </w:t>
      </w:r>
      <w:r w:rsidR="00C34ADB" w:rsidRPr="00340DB4">
        <w:rPr>
          <w:sz w:val="18"/>
          <w:lang w:val="fr-FR"/>
        </w:rPr>
        <w:t>Convention UPOV</w:t>
      </w:r>
      <w:r w:rsidR="00187A2D" w:rsidRPr="00340DB4">
        <w:rPr>
          <w:sz w:val="18"/>
          <w:lang w:val="fr-FR"/>
        </w:rPr>
        <w:t xml:space="preserve"> exige de changer la dénomination enregistrée lorsque la dénomination de la variété est radiée après l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octroi du droit d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 xml:space="preserve">obtenteur. </w:t>
      </w:r>
      <w:r w:rsidR="001C4EE2" w:rsidRPr="00340DB4">
        <w:rPr>
          <w:sz w:val="18"/>
          <w:lang w:val="fr-FR"/>
        </w:rPr>
        <w:t xml:space="preserve"> </w:t>
      </w:r>
      <w:r w:rsidR="00187A2D" w:rsidRPr="00340DB4">
        <w:rPr>
          <w:sz w:val="18"/>
          <w:lang w:val="fr-FR"/>
        </w:rPr>
        <w:t>Le service compétent doit radier une dénomination variétale si</w:t>
      </w:r>
      <w:r w:rsidR="001C4EE2" w:rsidRPr="00340DB4">
        <w:rPr>
          <w:sz w:val="18"/>
          <w:lang w:val="fr-FR"/>
        </w:rPr>
        <w:t> </w:t>
      </w:r>
      <w:r w:rsidR="00187A2D" w:rsidRPr="00340DB4">
        <w:rPr>
          <w:sz w:val="18"/>
          <w:lang w:val="fr-FR"/>
        </w:rPr>
        <w:t>:</w:t>
      </w:r>
    </w:p>
    <w:p w:rsidR="00F0449E" w:rsidRPr="00340DB4" w:rsidRDefault="00F0449E" w:rsidP="00340DB4">
      <w:pPr>
        <w:pStyle w:val="ListParagraph"/>
        <w:ind w:left="1287" w:right="567"/>
        <w:rPr>
          <w:sz w:val="18"/>
          <w:lang w:val="fr-FR"/>
        </w:rPr>
      </w:pPr>
    </w:p>
    <w:p w:rsidR="00C34ADB" w:rsidRPr="00340DB4" w:rsidRDefault="002E25B7" w:rsidP="00340DB4">
      <w:pPr>
        <w:ind w:left="567" w:right="567" w:firstLine="567"/>
        <w:rPr>
          <w:sz w:val="18"/>
          <w:lang w:val="fr-FR"/>
        </w:rPr>
      </w:pPr>
      <w:r w:rsidRPr="00340DB4">
        <w:rPr>
          <w:sz w:val="18"/>
          <w:lang w:val="fr-FR"/>
        </w:rPr>
        <w:tab/>
      </w:r>
      <w:r w:rsidR="00187A2D" w:rsidRPr="00340DB4">
        <w:rPr>
          <w:sz w:val="18"/>
          <w:lang w:val="fr-FR"/>
        </w:rPr>
        <w:t>i)</w:t>
      </w:r>
      <w:r w:rsidR="00187A2D" w:rsidRPr="00340DB4">
        <w:rPr>
          <w:sz w:val="18"/>
          <w:lang w:val="fr-FR"/>
        </w:rPr>
        <w:tab/>
        <w:t>en vertu d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un droit antérieur, l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utilisation de la dénomination d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une variété est interdite à une personne qui, conformément aux dispositions du paragraphe</w:t>
      </w:r>
      <w:r w:rsidR="001C4EE2" w:rsidRPr="00340DB4">
        <w:rPr>
          <w:sz w:val="18"/>
          <w:lang w:val="fr-FR"/>
        </w:rPr>
        <w:t> </w:t>
      </w:r>
      <w:r w:rsidR="00187A2D" w:rsidRPr="00340DB4">
        <w:rPr>
          <w:sz w:val="18"/>
          <w:lang w:val="fr-FR"/>
        </w:rPr>
        <w:t>7), est obligée de l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utiliser (voir le paragraphe</w:t>
      </w:r>
      <w:r w:rsidR="001C4EE2" w:rsidRPr="00340DB4">
        <w:rPr>
          <w:sz w:val="18"/>
          <w:lang w:val="fr-FR"/>
        </w:rPr>
        <w:t> </w:t>
      </w:r>
      <w:r w:rsidR="00187A2D" w:rsidRPr="00340DB4">
        <w:rPr>
          <w:sz w:val="18"/>
          <w:lang w:val="fr-FR"/>
        </w:rPr>
        <w:t xml:space="preserve">4) </w:t>
      </w:r>
      <w:r w:rsidR="00C34ADB" w:rsidRPr="00340DB4">
        <w:rPr>
          <w:sz w:val="18"/>
          <w:lang w:val="fr-FR"/>
        </w:rPr>
        <w:t>‘</w:t>
      </w:r>
      <w:r w:rsidR="00187A2D" w:rsidRPr="00340DB4">
        <w:rPr>
          <w:sz w:val="18"/>
          <w:lang w:val="fr-FR"/>
        </w:rPr>
        <w:t>Droits antérieurs des tiers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);</w:t>
      </w:r>
    </w:p>
    <w:p w:rsidR="00F0449E" w:rsidRPr="00340DB4" w:rsidRDefault="00F0449E" w:rsidP="00340DB4">
      <w:pPr>
        <w:ind w:left="567" w:right="567" w:firstLine="567"/>
        <w:rPr>
          <w:sz w:val="18"/>
          <w:lang w:val="fr-FR"/>
        </w:rPr>
      </w:pPr>
    </w:p>
    <w:p w:rsidR="00C34ADB" w:rsidRPr="00340DB4" w:rsidRDefault="002E25B7" w:rsidP="00340DB4">
      <w:pPr>
        <w:ind w:left="567" w:right="567" w:firstLine="567"/>
        <w:rPr>
          <w:sz w:val="18"/>
          <w:lang w:val="fr-FR"/>
        </w:rPr>
      </w:pPr>
      <w:r w:rsidRPr="00340DB4">
        <w:rPr>
          <w:sz w:val="18"/>
          <w:lang w:val="fr-FR"/>
        </w:rPr>
        <w:tab/>
      </w:r>
      <w:r w:rsidR="00187A2D" w:rsidRPr="00340DB4">
        <w:rPr>
          <w:sz w:val="18"/>
          <w:lang w:val="fr-FR"/>
        </w:rPr>
        <w:t>ii)</w:t>
      </w:r>
      <w:r w:rsidR="00187A2D" w:rsidRPr="00340DB4">
        <w:rPr>
          <w:sz w:val="18"/>
          <w:lang w:val="fr-FR"/>
        </w:rPr>
        <w:tab/>
        <w:t>la dénomination est inadéquate car elle est contraire aux dispositions du paragraphe</w:t>
      </w:r>
      <w:r w:rsidR="001C4EE2" w:rsidRPr="00340DB4">
        <w:rPr>
          <w:sz w:val="18"/>
          <w:lang w:val="fr-FR"/>
        </w:rPr>
        <w:t> </w:t>
      </w:r>
      <w:r w:rsidR="00187A2D" w:rsidRPr="00340DB4">
        <w:rPr>
          <w:sz w:val="18"/>
          <w:lang w:val="fr-FR"/>
        </w:rPr>
        <w:t xml:space="preserve">2) </w:t>
      </w:r>
      <w:r w:rsidR="00C34ADB" w:rsidRPr="00340DB4">
        <w:rPr>
          <w:sz w:val="18"/>
          <w:lang w:val="fr-FR"/>
        </w:rPr>
        <w:t>‘</w:t>
      </w:r>
      <w:r w:rsidR="00187A2D" w:rsidRPr="00340DB4">
        <w:rPr>
          <w:sz w:val="18"/>
          <w:lang w:val="fr-FR"/>
        </w:rPr>
        <w:t>Caractères de la dénomination</w:t>
      </w:r>
      <w:r w:rsidR="00C34ADB" w:rsidRPr="00340DB4">
        <w:rPr>
          <w:sz w:val="18"/>
          <w:lang w:val="fr-FR"/>
        </w:rPr>
        <w:t>’</w:t>
      </w:r>
      <w:r w:rsidR="00187A2D" w:rsidRPr="00340DB4">
        <w:rPr>
          <w:sz w:val="18"/>
          <w:lang w:val="fr-FR"/>
        </w:rPr>
        <w:t>;</w:t>
      </w:r>
    </w:p>
    <w:p w:rsidR="00F0449E" w:rsidRPr="00340DB4" w:rsidRDefault="00F0449E" w:rsidP="00340DB4">
      <w:pPr>
        <w:pStyle w:val="ListParagraph"/>
        <w:ind w:left="2421" w:right="567"/>
        <w:rPr>
          <w:sz w:val="18"/>
          <w:lang w:val="fr-FR"/>
        </w:rPr>
      </w:pPr>
    </w:p>
    <w:p w:rsidR="00F0449E" w:rsidRPr="00340DB4" w:rsidRDefault="00187A2D" w:rsidP="00340DB4">
      <w:pPr>
        <w:ind w:left="567" w:right="567" w:firstLine="567"/>
        <w:rPr>
          <w:sz w:val="18"/>
          <w:lang w:val="fr-FR"/>
        </w:rPr>
      </w:pPr>
      <w:r w:rsidRPr="00340DB4">
        <w:rPr>
          <w:sz w:val="18"/>
          <w:lang w:val="fr-FR"/>
        </w:rPr>
        <w:t>b)</w:t>
      </w:r>
      <w:r w:rsidRPr="00340DB4">
        <w:rPr>
          <w:sz w:val="18"/>
          <w:lang w:val="fr-FR"/>
        </w:rPr>
        <w:tab/>
        <w:t>si la dénomination enregistrée est par la suite refusée dans un autre membre de l</w:t>
      </w:r>
      <w:r w:rsidR="00C34ADB" w:rsidRPr="00340DB4">
        <w:rPr>
          <w:sz w:val="18"/>
          <w:lang w:val="fr-FR"/>
        </w:rPr>
        <w:t>’</w:t>
      </w:r>
      <w:r w:rsidRPr="00340DB4">
        <w:rPr>
          <w:sz w:val="18"/>
          <w:lang w:val="fr-FR"/>
        </w:rPr>
        <w:t>Union car elle est inadéquate sur ce territoire (p.</w:t>
      </w:r>
      <w:r w:rsidR="001C4EE2" w:rsidRPr="00340DB4">
        <w:rPr>
          <w:sz w:val="18"/>
          <w:lang w:val="fr-FR"/>
        </w:rPr>
        <w:t> </w:t>
      </w:r>
      <w:r w:rsidRPr="00340DB4">
        <w:rPr>
          <w:sz w:val="18"/>
          <w:lang w:val="fr-FR"/>
        </w:rPr>
        <w:t>ex. droit antérieur), à la demande de l</w:t>
      </w:r>
      <w:r w:rsidR="00C34ADB" w:rsidRPr="00340DB4">
        <w:rPr>
          <w:sz w:val="18"/>
          <w:lang w:val="fr-FR"/>
        </w:rPr>
        <w:t>’</w:t>
      </w:r>
      <w:r w:rsidRPr="00340DB4">
        <w:rPr>
          <w:sz w:val="18"/>
          <w:lang w:val="fr-FR"/>
        </w:rPr>
        <w:t xml:space="preserve">obtenteur, le service peut juger approprié de </w:t>
      </w:r>
      <w:r w:rsidR="001410FA">
        <w:rPr>
          <w:sz w:val="18"/>
          <w:lang w:val="fr-FR"/>
        </w:rPr>
        <w:t>remplacer</w:t>
      </w:r>
      <w:r w:rsidRPr="00340DB4">
        <w:rPr>
          <w:sz w:val="18"/>
          <w:lang w:val="fr-FR"/>
        </w:rPr>
        <w:t xml:space="preserve"> la dénomination </w:t>
      </w:r>
      <w:r w:rsidR="001410FA">
        <w:rPr>
          <w:sz w:val="18"/>
          <w:lang w:val="fr-FR"/>
        </w:rPr>
        <w:t xml:space="preserve">par la dénomination </w:t>
      </w:r>
      <w:r w:rsidRPr="00340DB4">
        <w:rPr>
          <w:sz w:val="18"/>
          <w:lang w:val="fr-FR"/>
        </w:rPr>
        <w:t>enregistrée dans cet autre membre de l</w:t>
      </w:r>
      <w:r w:rsidR="00C34ADB" w:rsidRPr="00340DB4">
        <w:rPr>
          <w:sz w:val="18"/>
          <w:lang w:val="fr-FR"/>
        </w:rPr>
        <w:t>’</w:t>
      </w:r>
      <w:r w:rsidRPr="00340DB4">
        <w:rPr>
          <w:sz w:val="18"/>
          <w:lang w:val="fr-FR"/>
        </w:rPr>
        <w:t>Union (voir les dispositions dans le paragraphe</w:t>
      </w:r>
      <w:r w:rsidR="001C4EE2" w:rsidRPr="00340DB4">
        <w:rPr>
          <w:sz w:val="18"/>
          <w:lang w:val="fr-FR"/>
        </w:rPr>
        <w:t> </w:t>
      </w:r>
      <w:r w:rsidRPr="00340DB4">
        <w:rPr>
          <w:sz w:val="18"/>
          <w:lang w:val="fr-FR"/>
        </w:rPr>
        <w:t xml:space="preserve">5) </w:t>
      </w:r>
      <w:r w:rsidR="00C34ADB" w:rsidRPr="00340DB4">
        <w:rPr>
          <w:sz w:val="18"/>
          <w:lang w:val="fr-FR"/>
        </w:rPr>
        <w:t>‘</w:t>
      </w:r>
      <w:r w:rsidRPr="00340DB4">
        <w:rPr>
          <w:sz w:val="18"/>
          <w:lang w:val="fr-FR"/>
        </w:rPr>
        <w:t>Même dénomination dans toutes les Parties contractantes</w:t>
      </w:r>
      <w:r w:rsidR="00C34ADB" w:rsidRPr="00340DB4">
        <w:rPr>
          <w:sz w:val="18"/>
          <w:lang w:val="fr-FR"/>
        </w:rPr>
        <w:t>’</w:t>
      </w:r>
      <w:r w:rsidRPr="00340DB4">
        <w:rPr>
          <w:sz w:val="18"/>
          <w:lang w:val="fr-FR"/>
        </w:rPr>
        <w:t>);  et</w:t>
      </w:r>
    </w:p>
    <w:p w:rsidR="00F0449E" w:rsidRPr="00340DB4" w:rsidRDefault="00F0449E" w:rsidP="00340DB4">
      <w:pPr>
        <w:ind w:left="567" w:right="567"/>
        <w:rPr>
          <w:sz w:val="18"/>
          <w:lang w:val="fr-FR"/>
        </w:rPr>
      </w:pPr>
    </w:p>
    <w:p w:rsidR="00F0449E" w:rsidRPr="00340DB4" w:rsidRDefault="005A482D" w:rsidP="00340DB4">
      <w:pPr>
        <w:ind w:left="567" w:right="567" w:firstLine="567"/>
        <w:rPr>
          <w:sz w:val="18"/>
          <w:lang w:val="fr-FR" w:eastAsia="ja-JP"/>
        </w:rPr>
      </w:pPr>
      <w:proofErr w:type="gramStart"/>
      <w:r w:rsidRPr="00340DB4">
        <w:rPr>
          <w:sz w:val="18"/>
          <w:lang w:val="fr-FR" w:eastAsia="ja-JP"/>
        </w:rPr>
        <w:t>c</w:t>
      </w:r>
      <w:proofErr w:type="gramEnd"/>
      <w:r w:rsidRPr="00340DB4">
        <w:rPr>
          <w:sz w:val="18"/>
          <w:lang w:val="fr-FR" w:eastAsia="ja-JP"/>
        </w:rPr>
        <w:t>)</w:t>
      </w:r>
      <w:r w:rsidRPr="00340DB4">
        <w:rPr>
          <w:sz w:val="18"/>
          <w:lang w:val="fr-FR" w:eastAsia="ja-JP"/>
        </w:rPr>
        <w:tab/>
        <w:t>e</w:t>
      </w:r>
      <w:r w:rsidR="00187A2D" w:rsidRPr="00340DB4">
        <w:rPr>
          <w:sz w:val="18"/>
          <w:lang w:val="fr-FR" w:eastAsia="ja-JP"/>
        </w:rPr>
        <w:t>n général, sous réserve des alinéas</w:t>
      </w:r>
      <w:r w:rsidR="001C4EE2" w:rsidRPr="00340DB4">
        <w:rPr>
          <w:sz w:val="18"/>
          <w:lang w:val="fr-FR" w:eastAsia="ja-JP"/>
        </w:rPr>
        <w:t> </w:t>
      </w:r>
      <w:r w:rsidR="00187A2D" w:rsidRPr="00340DB4">
        <w:rPr>
          <w:sz w:val="18"/>
          <w:lang w:val="fr-FR" w:eastAsia="ja-JP"/>
        </w:rPr>
        <w:t>a) et b)</w:t>
      </w:r>
      <w:r w:rsidR="001C4EE2" w:rsidRPr="00340DB4">
        <w:rPr>
          <w:sz w:val="18"/>
          <w:lang w:val="fr-FR" w:eastAsia="ja-JP"/>
        </w:rPr>
        <w:t> </w:t>
      </w:r>
      <w:r w:rsidR="00187A2D" w:rsidRPr="00340DB4">
        <w:rPr>
          <w:sz w:val="18"/>
          <w:lang w:val="fr-FR" w:eastAsia="ja-JP"/>
        </w:rPr>
        <w:t>ci</w:t>
      </w:r>
      <w:r w:rsidR="001B3822" w:rsidRPr="00340DB4">
        <w:rPr>
          <w:sz w:val="18"/>
          <w:lang w:val="fr-FR" w:eastAsia="ja-JP"/>
        </w:rPr>
        <w:noBreakHyphen/>
      </w:r>
      <w:r w:rsidR="00187A2D" w:rsidRPr="00340DB4">
        <w:rPr>
          <w:sz w:val="18"/>
          <w:lang w:val="fr-FR" w:eastAsia="ja-JP"/>
        </w:rPr>
        <w:t>dessus, il ne serait pas approprié pour le service de modifier une dénomination enregistrée à la demande de l</w:t>
      </w:r>
      <w:r w:rsidR="00C34ADB" w:rsidRPr="00340DB4">
        <w:rPr>
          <w:sz w:val="18"/>
          <w:lang w:val="fr-FR" w:eastAsia="ja-JP"/>
        </w:rPr>
        <w:t>’</w:t>
      </w:r>
      <w:r w:rsidR="00187A2D" w:rsidRPr="00340DB4">
        <w:rPr>
          <w:sz w:val="18"/>
          <w:lang w:val="fr-FR" w:eastAsia="ja-JP"/>
        </w:rPr>
        <w:t>obtenteur</w:t>
      </w:r>
      <w:r w:rsidR="00187A2D" w:rsidRPr="00340DB4">
        <w:rPr>
          <w:rStyle w:val="FootnoteReference"/>
          <w:sz w:val="18"/>
          <w:lang w:val="fr-FR" w:eastAsia="ja-JP"/>
        </w:rPr>
        <w:footnoteReference w:id="19"/>
      </w:r>
      <w:r w:rsidR="00187A2D" w:rsidRPr="00340DB4">
        <w:rPr>
          <w:sz w:val="18"/>
          <w:lang w:val="fr-FR" w:eastAsia="ja-JP"/>
        </w:rPr>
        <w:t>.</w:t>
      </w:r>
    </w:p>
    <w:p w:rsidR="00F0449E" w:rsidRPr="00340DB4" w:rsidRDefault="00F0449E" w:rsidP="00340DB4">
      <w:pPr>
        <w:ind w:left="567" w:right="567" w:firstLine="567"/>
        <w:rPr>
          <w:sz w:val="18"/>
          <w:lang w:val="fr-FR" w:eastAsia="ja-JP"/>
        </w:rPr>
      </w:pPr>
      <w:bookmarkStart w:id="11" w:name="_GoBack"/>
      <w:bookmarkEnd w:id="11"/>
    </w:p>
    <w:p w:rsidR="00F0449E" w:rsidRPr="00340DB4" w:rsidRDefault="00740CB2" w:rsidP="00340DB4">
      <w:pPr>
        <w:rPr>
          <w:sz w:val="18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275CF0" w:rsidRPr="00340DB4">
        <w:rPr>
          <w:lang w:val="fr-FR"/>
        </w:rPr>
        <w:t>Sous réserve de l</w:t>
      </w:r>
      <w:r w:rsidR="00C34ADB" w:rsidRPr="00340DB4">
        <w:rPr>
          <w:lang w:val="fr-FR"/>
        </w:rPr>
        <w:t>’</w:t>
      </w:r>
      <w:r w:rsidR="00275CF0" w:rsidRPr="00340DB4">
        <w:rPr>
          <w:lang w:val="fr-FR"/>
        </w:rPr>
        <w:t>approbation</w:t>
      </w:r>
      <w:r w:rsidR="00C34ADB" w:rsidRPr="00340DB4">
        <w:rPr>
          <w:lang w:val="fr-FR"/>
        </w:rPr>
        <w:t xml:space="preserve"> du CAJ</w:t>
      </w:r>
      <w:r w:rsidR="001B3822" w:rsidRPr="00340DB4">
        <w:rPr>
          <w:lang w:val="fr-FR"/>
        </w:rPr>
        <w:t xml:space="preserve"> à sa soixante </w:t>
      </w:r>
      <w:r w:rsidR="00275CF0" w:rsidRPr="00340DB4">
        <w:rPr>
          <w:lang w:val="fr-FR"/>
        </w:rPr>
        <w:t>et</w:t>
      </w:r>
      <w:r w:rsidR="001B3822" w:rsidRPr="00340DB4">
        <w:rPr>
          <w:lang w:val="fr-FR"/>
        </w:rPr>
        <w:t> </w:t>
      </w:r>
      <w:r w:rsidR="00275CF0" w:rsidRPr="00340DB4">
        <w:rPr>
          <w:lang w:val="fr-FR"/>
        </w:rPr>
        <w:t>onzième</w:t>
      </w:r>
      <w:r w:rsidR="001C4EE2" w:rsidRPr="00340DB4">
        <w:rPr>
          <w:lang w:val="fr-FR"/>
        </w:rPr>
        <w:t> </w:t>
      </w:r>
      <w:r w:rsidR="00275CF0" w:rsidRPr="00340DB4">
        <w:rPr>
          <w:lang w:val="fr-FR"/>
        </w:rPr>
        <w:t>session</w:t>
      </w:r>
      <w:r w:rsidR="00275CF0" w:rsidRPr="00340DB4">
        <w:rPr>
          <w:rStyle w:val="FootnoteReference"/>
          <w:lang w:val="fr-FR"/>
        </w:rPr>
        <w:footnoteReference w:id="20"/>
      </w:r>
      <w:r w:rsidR="00275CF0" w:rsidRPr="00340DB4">
        <w:rPr>
          <w:lang w:val="fr-FR"/>
        </w:rPr>
        <w:t>, il est proposé de réviser le document UPOV/INF/12 pour y faire figurer les orientations concernant les modifications de dénominations variétales enregistrées, comme indiqué au paragraphe</w:t>
      </w:r>
      <w:r w:rsidR="001C4EE2" w:rsidRPr="00340DB4">
        <w:rPr>
          <w:lang w:val="fr-FR"/>
        </w:rPr>
        <w:t> </w:t>
      </w:r>
      <w:r w:rsidR="00275CF0" w:rsidRPr="00340DB4">
        <w:rPr>
          <w:lang w:val="fr-FR"/>
        </w:rPr>
        <w:t>21</w:t>
      </w:r>
      <w:r w:rsidR="00755BE5">
        <w:rPr>
          <w:lang w:val="fr-FR"/>
        </w:rPr>
        <w:t xml:space="preserve"> ci-dessus</w:t>
      </w:r>
      <w:r w:rsidR="00275CF0" w:rsidRPr="00340DB4">
        <w:rPr>
          <w:lang w:val="fr-FR"/>
        </w:rPr>
        <w:t>, et de présenter ce</w:t>
      </w:r>
      <w:r w:rsidR="00147E7F" w:rsidRPr="00340DB4">
        <w:rPr>
          <w:lang w:val="fr-FR"/>
        </w:rPr>
        <w:t>s orientati</w:t>
      </w:r>
      <w:r w:rsidR="00275CF0" w:rsidRPr="00340DB4">
        <w:rPr>
          <w:lang w:val="fr-FR"/>
        </w:rPr>
        <w:t>ons pour adoption par le Conseil à sa quarante</w:t>
      </w:r>
      <w:r w:rsidR="001B3822" w:rsidRPr="00340DB4">
        <w:rPr>
          <w:lang w:val="fr-FR"/>
        </w:rPr>
        <w:noBreakHyphen/>
      </w:r>
      <w:r w:rsidR="00275CF0" w:rsidRPr="00340DB4">
        <w:rPr>
          <w:lang w:val="fr-FR"/>
        </w:rPr>
        <w:t>neuvième</w:t>
      </w:r>
      <w:r w:rsidR="001C4EE2" w:rsidRPr="00340DB4">
        <w:rPr>
          <w:lang w:val="fr-FR"/>
        </w:rPr>
        <w:t> </w:t>
      </w:r>
      <w:r w:rsidR="00275CF0" w:rsidRPr="00340DB4">
        <w:rPr>
          <w:lang w:val="fr-FR"/>
        </w:rPr>
        <w:t>session</w:t>
      </w:r>
      <w:r w:rsidR="009E319B" w:rsidRPr="00340DB4">
        <w:rPr>
          <w:lang w:val="fr-FR"/>
        </w:rPr>
        <w:t xml:space="preserve"> ordinaire</w:t>
      </w:r>
      <w:r w:rsidR="00275CF0" w:rsidRPr="00340DB4">
        <w:rPr>
          <w:rStyle w:val="FootnoteReference"/>
          <w:lang w:val="fr-FR"/>
        </w:rPr>
        <w:footnoteReference w:id="21"/>
      </w:r>
      <w:r w:rsidR="00275CF0" w:rsidRPr="00340DB4">
        <w:rPr>
          <w:lang w:val="fr-FR"/>
        </w:rPr>
        <w:t>.</w:t>
      </w:r>
    </w:p>
    <w:p w:rsidR="00F0449E" w:rsidRDefault="00F0449E" w:rsidP="00340DB4">
      <w:pPr>
        <w:rPr>
          <w:lang w:val="fr-FR"/>
        </w:rPr>
      </w:pPr>
    </w:p>
    <w:p w:rsidR="00755BE5" w:rsidRPr="00340DB4" w:rsidRDefault="00755BE5" w:rsidP="00340DB4">
      <w:pPr>
        <w:rPr>
          <w:lang w:val="fr-FR"/>
        </w:rPr>
      </w:pPr>
    </w:p>
    <w:p w:rsidR="00F0449E" w:rsidRPr="00340DB4" w:rsidRDefault="00E16F45" w:rsidP="00596BDB">
      <w:pPr>
        <w:pStyle w:val="Heading2"/>
        <w:rPr>
          <w:lang w:val="fr-FR"/>
        </w:rPr>
      </w:pPr>
      <w:bookmarkStart w:id="12" w:name="_Toc413233498"/>
      <w:r w:rsidRPr="00340DB4">
        <w:rPr>
          <w:lang w:val="fr-FR"/>
        </w:rPr>
        <w:t>Propositions de révision du document UPOV/INF/12/4 pour lesquelles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Pr="00340DB4">
        <w:rPr>
          <w:lang w:val="fr-FR"/>
        </w:rPr>
        <w:t>AG a procédé à un premier examen</w:t>
      </w:r>
      <w:bookmarkEnd w:id="12"/>
    </w:p>
    <w:p w:rsidR="00F0449E" w:rsidRPr="00340DB4" w:rsidRDefault="00F0449E" w:rsidP="00340DB4">
      <w:pPr>
        <w:keepNext/>
        <w:rPr>
          <w:rFonts w:cs="Arial"/>
          <w:snapToGrid w:val="0"/>
          <w:lang w:val="fr-FR" w:eastAsia="ja-JP"/>
        </w:rPr>
      </w:pPr>
    </w:p>
    <w:p w:rsidR="00F0449E" w:rsidRPr="00340DB4" w:rsidRDefault="007767F4" w:rsidP="00340DB4">
      <w:pPr>
        <w:rPr>
          <w:snapToGrid w:val="0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501EB0" w:rsidRPr="00340DB4">
        <w:rPr>
          <w:lang w:val="fr-FR"/>
        </w:rPr>
        <w:t xml:space="preserve">Lorsque le document UPOV/INF/12/5 </w:t>
      </w:r>
      <w:proofErr w:type="spellStart"/>
      <w:r w:rsidR="00501EB0" w:rsidRPr="00340DB4">
        <w:rPr>
          <w:lang w:val="fr-FR"/>
        </w:rPr>
        <w:t>Draft</w:t>
      </w:r>
      <w:proofErr w:type="spellEnd"/>
      <w:r w:rsidR="00501EB0" w:rsidRPr="00340DB4">
        <w:rPr>
          <w:lang w:val="fr-FR"/>
        </w:rPr>
        <w:t xml:space="preserve"> 1, qui comp</w:t>
      </w:r>
      <w:r w:rsidR="005A482D" w:rsidRPr="00340DB4">
        <w:rPr>
          <w:lang w:val="fr-FR"/>
        </w:rPr>
        <w:t>rend les principaux éléments de</w:t>
      </w:r>
      <w:r w:rsidR="00501EB0" w:rsidRPr="00340DB4">
        <w:rPr>
          <w:lang w:val="fr-FR"/>
        </w:rPr>
        <w:t>s</w:t>
      </w:r>
      <w:r w:rsidR="005A482D" w:rsidRPr="00340DB4">
        <w:rPr>
          <w:lang w:val="fr-FR"/>
        </w:rPr>
        <w:t xml:space="preserve"> </w:t>
      </w:r>
      <w:r w:rsidR="00501EB0" w:rsidRPr="00340DB4">
        <w:rPr>
          <w:lang w:val="fr-FR"/>
        </w:rPr>
        <w:t>orientations concernant les modifications de dénominations variétales enregistrées approuvés par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501EB0" w:rsidRPr="00340DB4">
        <w:rPr>
          <w:lang w:val="fr-FR"/>
        </w:rPr>
        <w:t>AG à sa huitième</w:t>
      </w:r>
      <w:r w:rsidR="001C4EE2" w:rsidRPr="00340DB4">
        <w:rPr>
          <w:lang w:val="fr-FR"/>
        </w:rPr>
        <w:t> </w:t>
      </w:r>
      <w:r w:rsidR="00501EB0" w:rsidRPr="00340DB4">
        <w:rPr>
          <w:lang w:val="fr-FR"/>
        </w:rPr>
        <w:t xml:space="preserve">session, a été </w:t>
      </w:r>
      <w:r w:rsidR="005A482D" w:rsidRPr="00340DB4">
        <w:rPr>
          <w:lang w:val="fr-FR"/>
        </w:rPr>
        <w:t>adressé</w:t>
      </w:r>
      <w:r w:rsidR="00501EB0" w:rsidRPr="00340DB4">
        <w:rPr>
          <w:lang w:val="fr-FR"/>
        </w:rPr>
        <w:t xml:space="preserve"> par correspondance aux membres</w:t>
      </w:r>
      <w:r w:rsidR="00C34ADB" w:rsidRPr="00340DB4">
        <w:rPr>
          <w:lang w:val="fr-FR"/>
        </w:rPr>
        <w:t xml:space="preserve"> du CAJ</w:t>
      </w:r>
      <w:r w:rsidR="00501EB0" w:rsidRPr="00340DB4">
        <w:rPr>
          <w:lang w:val="fr-FR"/>
        </w:rPr>
        <w:t xml:space="preserve">, de nouvelles </w:t>
      </w:r>
      <w:r w:rsidR="005A482D" w:rsidRPr="00340DB4">
        <w:rPr>
          <w:lang w:val="fr-FR"/>
        </w:rPr>
        <w:t xml:space="preserve">observations et </w:t>
      </w:r>
      <w:r w:rsidR="00501EB0" w:rsidRPr="00340DB4">
        <w:rPr>
          <w:lang w:val="fr-FR"/>
        </w:rPr>
        <w:t>propositions ont été reçu</w:t>
      </w:r>
      <w:r w:rsidR="005A482D" w:rsidRPr="00340DB4">
        <w:rPr>
          <w:lang w:val="fr-FR"/>
        </w:rPr>
        <w:t>e</w:t>
      </w:r>
      <w:r w:rsidR="00501EB0" w:rsidRPr="00340DB4">
        <w:rPr>
          <w:lang w:val="fr-FR"/>
        </w:rPr>
        <w:t>s et inclus</w:t>
      </w:r>
      <w:r w:rsidR="005A482D" w:rsidRPr="00340DB4">
        <w:rPr>
          <w:lang w:val="fr-FR"/>
        </w:rPr>
        <w:t>es</w:t>
      </w:r>
      <w:r w:rsidR="00501EB0" w:rsidRPr="00340DB4">
        <w:rPr>
          <w:lang w:val="fr-FR"/>
        </w:rPr>
        <w:t xml:space="preserve"> dans le document UPOV/INF/12/5 </w:t>
      </w:r>
      <w:proofErr w:type="spellStart"/>
      <w:r w:rsidR="00501EB0" w:rsidRPr="00340DB4">
        <w:rPr>
          <w:lang w:val="fr-FR"/>
        </w:rPr>
        <w:t>Draft</w:t>
      </w:r>
      <w:proofErr w:type="spellEnd"/>
      <w:r w:rsidR="00501EB0" w:rsidRPr="00340DB4">
        <w:rPr>
          <w:lang w:val="fr-FR"/>
        </w:rPr>
        <w:t xml:space="preserve"> 2.</w:t>
      </w:r>
    </w:p>
    <w:p w:rsidR="00F0449E" w:rsidRPr="00340DB4" w:rsidRDefault="00F0449E" w:rsidP="00340DB4">
      <w:pPr>
        <w:rPr>
          <w:snapToGrid w:val="0"/>
          <w:lang w:val="fr-FR" w:eastAsia="ja-JP"/>
        </w:rPr>
      </w:pPr>
    </w:p>
    <w:p w:rsidR="00F0449E" w:rsidRPr="00340DB4" w:rsidRDefault="00192EC1" w:rsidP="00340DB4">
      <w:pPr>
        <w:rPr>
          <w:lang w:val="fr-FR" w:eastAsia="ja-JP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501EB0" w:rsidRPr="00340DB4">
        <w:rPr>
          <w:rFonts w:cs="Arial"/>
          <w:lang w:val="fr-FR"/>
        </w:rPr>
        <w:t>À sa neuvième</w:t>
      </w:r>
      <w:r w:rsidR="001C4EE2" w:rsidRPr="00340DB4">
        <w:rPr>
          <w:rFonts w:cs="Arial"/>
          <w:lang w:val="fr-FR"/>
        </w:rPr>
        <w:t> </w:t>
      </w:r>
      <w:r w:rsidR="00501EB0" w:rsidRPr="00340DB4">
        <w:rPr>
          <w:rFonts w:cs="Arial"/>
          <w:lang w:val="fr-FR"/>
        </w:rPr>
        <w:t>session,</w:t>
      </w:r>
      <w:r w:rsidR="00C34ADB" w:rsidRPr="00340DB4">
        <w:rPr>
          <w:rFonts w:cs="Arial"/>
          <w:lang w:val="fr-FR"/>
        </w:rPr>
        <w:t xml:space="preserve"> le CAJ</w:t>
      </w:r>
      <w:r w:rsidR="001B3822" w:rsidRPr="00340DB4">
        <w:rPr>
          <w:rFonts w:cs="Arial"/>
          <w:lang w:val="fr-FR"/>
        </w:rPr>
        <w:noBreakHyphen/>
      </w:r>
      <w:r w:rsidR="00501EB0" w:rsidRPr="00340DB4">
        <w:rPr>
          <w:rFonts w:cs="Arial"/>
          <w:lang w:val="fr-FR"/>
        </w:rPr>
        <w:t xml:space="preserve">AG est convenu de procéder à un premier examen des propositions présentées dans le document UPOV/INF/12/5 </w:t>
      </w:r>
      <w:proofErr w:type="spellStart"/>
      <w:r w:rsidR="00501EB0" w:rsidRPr="00340DB4">
        <w:rPr>
          <w:rFonts w:cs="Arial"/>
          <w:lang w:val="fr-FR"/>
        </w:rPr>
        <w:t>Draft</w:t>
      </w:r>
      <w:proofErr w:type="spellEnd"/>
      <w:r w:rsidR="00501EB0" w:rsidRPr="00340DB4">
        <w:rPr>
          <w:rFonts w:cs="Arial"/>
          <w:lang w:val="fr-FR"/>
        </w:rPr>
        <w:t xml:space="preserve"> 2.</w:t>
      </w:r>
    </w:p>
    <w:p w:rsidR="00F0449E" w:rsidRPr="00340DB4" w:rsidRDefault="00F0449E" w:rsidP="00340DB4">
      <w:pPr>
        <w:rPr>
          <w:rFonts w:cs="Arial"/>
          <w:lang w:val="fr-FR" w:eastAsia="ja-JP"/>
        </w:rPr>
      </w:pPr>
    </w:p>
    <w:p w:rsidR="00C34ADB" w:rsidRPr="00340DB4" w:rsidRDefault="00192EC1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="00C715A5" w:rsidRPr="00340DB4">
        <w:rPr>
          <w:lang w:val="fr-FR"/>
        </w:rPr>
        <w:tab/>
      </w:r>
      <w:r w:rsidR="00501EB0" w:rsidRPr="00340DB4">
        <w:rPr>
          <w:lang w:val="fr-FR"/>
        </w:rPr>
        <w:t xml:space="preserve">Les </w:t>
      </w:r>
      <w:r w:rsidR="005A482D" w:rsidRPr="00340DB4">
        <w:rPr>
          <w:lang w:val="fr-FR"/>
        </w:rPr>
        <w:t>observations</w:t>
      </w:r>
      <w:r w:rsidR="00501EB0" w:rsidRPr="00340DB4">
        <w:rPr>
          <w:lang w:val="fr-FR"/>
        </w:rPr>
        <w:t xml:space="preserve"> suivant</w:t>
      </w:r>
      <w:r w:rsidR="005A482D" w:rsidRPr="00340DB4">
        <w:rPr>
          <w:lang w:val="fr-FR"/>
        </w:rPr>
        <w:t>e</w:t>
      </w:r>
      <w:r w:rsidR="00501EB0" w:rsidRPr="00340DB4">
        <w:rPr>
          <w:lang w:val="fr-FR"/>
        </w:rPr>
        <w:t>s ont été fait</w:t>
      </w:r>
      <w:r w:rsidR="005A482D" w:rsidRPr="00340DB4">
        <w:rPr>
          <w:lang w:val="fr-FR"/>
        </w:rPr>
        <w:t>e</w:t>
      </w:r>
      <w:r w:rsidR="00501EB0" w:rsidRPr="00340DB4">
        <w:rPr>
          <w:lang w:val="fr-FR"/>
        </w:rPr>
        <w:t>s par</w:t>
      </w:r>
      <w:r w:rsidR="00C34ADB" w:rsidRPr="00340DB4">
        <w:rPr>
          <w:lang w:val="fr-FR"/>
        </w:rPr>
        <w:t xml:space="preserve"> le CAJ</w:t>
      </w:r>
      <w:r w:rsidR="001B3822" w:rsidRPr="00340DB4">
        <w:rPr>
          <w:lang w:val="fr-FR"/>
        </w:rPr>
        <w:noBreakHyphen/>
      </w:r>
      <w:r w:rsidR="00501EB0" w:rsidRPr="00340DB4">
        <w:rPr>
          <w:lang w:val="fr-FR"/>
        </w:rPr>
        <w:t xml:space="preserve">AG sur le document UPOV/INF/12/5 </w:t>
      </w:r>
      <w:proofErr w:type="spellStart"/>
      <w:r w:rsidR="00501EB0" w:rsidRPr="00340DB4">
        <w:rPr>
          <w:lang w:val="fr-FR"/>
        </w:rPr>
        <w:t>Draft</w:t>
      </w:r>
      <w:proofErr w:type="spellEnd"/>
      <w:r w:rsidR="00501EB0" w:rsidRPr="00340DB4">
        <w:rPr>
          <w:lang w:val="fr-FR"/>
        </w:rPr>
        <w:t xml:space="preserve"> 2</w:t>
      </w:r>
      <w:r w:rsidR="00501EB0" w:rsidRPr="00340DB4">
        <w:rPr>
          <w:rStyle w:val="FootnoteReference"/>
          <w:lang w:val="fr-FR"/>
        </w:rPr>
        <w:footnoteReference w:id="22"/>
      </w:r>
      <w:r w:rsidR="001C4EE2" w:rsidRPr="00340DB4">
        <w:rPr>
          <w:lang w:val="fr-FR"/>
        </w:rPr>
        <w:t> </w:t>
      </w:r>
      <w:r w:rsidR="00501EB0" w:rsidRPr="00340DB4">
        <w:rPr>
          <w:lang w:val="fr-FR"/>
        </w:rPr>
        <w:t>:</w:t>
      </w:r>
    </w:p>
    <w:p w:rsidR="00192EC1" w:rsidRPr="00340DB4" w:rsidRDefault="00192EC1" w:rsidP="00340DB4">
      <w:pPr>
        <w:keepNext/>
        <w:rPr>
          <w:rFonts w:cs="Arial"/>
          <w:lang w:val="fr-FR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192EC1" w:rsidP="00340DB4">
            <w:pPr>
              <w:rPr>
                <w:rFonts w:cs="Arial"/>
                <w:lang w:val="fr-FR"/>
              </w:rPr>
            </w:pPr>
            <w:r w:rsidRPr="00340DB4">
              <w:rPr>
                <w:lang w:val="fr-FR"/>
              </w:rPr>
              <w:t>2.2.2</w:t>
            </w:r>
            <w:r w:rsidR="00D92368" w:rsidRPr="00340DB4">
              <w:rPr>
                <w:lang w:val="fr-FR"/>
              </w:rPr>
              <w:t>.</w:t>
            </w:r>
            <w:r w:rsidRPr="00340DB4">
              <w:rPr>
                <w:lang w:val="fr-FR"/>
              </w:rPr>
              <w:t>b)</w:t>
            </w:r>
          </w:p>
        </w:tc>
        <w:tc>
          <w:tcPr>
            <w:tcW w:w="7789" w:type="dxa"/>
          </w:tcPr>
          <w:p w:rsidR="00F0449E" w:rsidRPr="00340DB4" w:rsidRDefault="0079470F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Préciser la terminologie dans 2.2.2.b).</w:t>
            </w:r>
            <w:r w:rsidR="001C4EE2" w:rsidRPr="00340DB4">
              <w:rPr>
                <w:snapToGrid w:val="0"/>
                <w:lang w:val="fr-FR"/>
              </w:rPr>
              <w:t xml:space="preserve"> </w:t>
            </w:r>
            <w:r w:rsidRPr="00340DB4">
              <w:rPr>
                <w:snapToGrid w:val="0"/>
                <w:lang w:val="fr-FR"/>
              </w:rPr>
              <w:t xml:space="preserve"> En particulier, envisager de modifier les exemples ou de remplacer “espèces” par “genres” ou “taxons” dans la phrase suivante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snapToGrid w:val="0"/>
                <w:lang w:val="fr-FR"/>
              </w:rPr>
            </w:pPr>
          </w:p>
          <w:p w:rsidR="00192EC1" w:rsidRPr="00340DB4" w:rsidRDefault="0079470F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“b)</w:t>
            </w:r>
            <w:r w:rsidRPr="00340DB4">
              <w:rPr>
                <w:snapToGrid w:val="0"/>
                <w:lang w:val="fr-FR"/>
              </w:rPr>
              <w:tab/>
              <w:t xml:space="preserve">les pratiques commerciales établies pour certains types de variétés (par exemple les hybrides) et certaines espèces (par exemple </w:t>
            </w:r>
            <w:proofErr w:type="spellStart"/>
            <w:r w:rsidRPr="00340DB4">
              <w:rPr>
                <w:snapToGrid w:val="0"/>
                <w:lang w:val="fr-FR"/>
              </w:rPr>
              <w:t>Medicago</w:t>
            </w:r>
            <w:proofErr w:type="spellEnd"/>
            <w:r w:rsidRPr="00340DB4">
              <w:rPr>
                <w:snapToGrid w:val="0"/>
                <w:lang w:val="fr-FR"/>
              </w:rPr>
              <w:t xml:space="preserve">, </w:t>
            </w:r>
            <w:proofErr w:type="spellStart"/>
            <w:r w:rsidRPr="00340DB4">
              <w:rPr>
                <w:snapToGrid w:val="0"/>
                <w:lang w:val="fr-FR"/>
              </w:rPr>
              <w:t>Helianthus</w:t>
            </w:r>
            <w:proofErr w:type="spellEnd"/>
            <w:r w:rsidRPr="00340DB4">
              <w:rPr>
                <w:snapToGrid w:val="0"/>
                <w:lang w:val="fr-FR"/>
              </w:rPr>
              <w:t>)</w:t>
            </w:r>
            <w:r w:rsidR="001C4EE2" w:rsidRPr="00340DB4">
              <w:rPr>
                <w:snapToGrid w:val="0"/>
                <w:lang w:val="fr-FR"/>
              </w:rPr>
              <w:t>”</w:t>
            </w:r>
            <w:r w:rsidRPr="00340DB4">
              <w:rPr>
                <w:snapToGrid w:val="0"/>
                <w:lang w:val="fr-FR"/>
              </w:rPr>
              <w:t>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192EC1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2.2.2</w:t>
            </w:r>
            <w:r w:rsidR="00D92368" w:rsidRPr="00340DB4">
              <w:rPr>
                <w:rFonts w:cs="Arial"/>
                <w:lang w:val="fr-FR"/>
              </w:rPr>
              <w:t>.</w:t>
            </w:r>
            <w:r w:rsidRPr="00340DB4">
              <w:rPr>
                <w:rFonts w:cs="Arial"/>
                <w:lang w:val="fr-FR"/>
              </w:rPr>
              <w:t>c)</w:t>
            </w:r>
          </w:p>
        </w:tc>
        <w:tc>
          <w:tcPr>
            <w:tcW w:w="7789" w:type="dxa"/>
          </w:tcPr>
          <w:p w:rsidR="00F0449E" w:rsidRPr="00340DB4" w:rsidRDefault="0079470F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Ajouter 2.2.2.c) comme suit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192EC1" w:rsidRPr="00340DB4" w:rsidRDefault="0079470F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“c)</w:t>
            </w:r>
            <w:r w:rsidRPr="00340DB4">
              <w:rPr>
                <w:rFonts w:cs="Arial"/>
                <w:lang w:val="fr-FR"/>
              </w:rPr>
              <w:tab/>
              <w:t xml:space="preserve">Il y a </w:t>
            </w:r>
            <w:r w:rsidR="00C34ADB" w:rsidRPr="00340DB4">
              <w:rPr>
                <w:rFonts w:cs="Arial"/>
                <w:lang w:val="fr-FR"/>
              </w:rPr>
              <w:t>‘</w:t>
            </w:r>
            <w:r w:rsidRPr="00340DB4">
              <w:rPr>
                <w:rFonts w:cs="Arial"/>
                <w:lang w:val="fr-FR"/>
              </w:rPr>
              <w:t>pratique consacrée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 xml:space="preserve"> lorsque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enregistrement a été accepté pour une espèce ou un groupe de telle sorte qu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il puisse être utilisé dans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autres espèces qui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ont pas encore enregistré une variété dont la dénomination consiste uniquement en chiffres”.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192EC1" w:rsidP="00340DB4">
            <w:pPr>
              <w:rPr>
                <w:rFonts w:cs="Arial"/>
                <w:lang w:val="fr-FR"/>
              </w:rPr>
            </w:pPr>
            <w:r w:rsidRPr="00340DB4">
              <w:rPr>
                <w:lang w:val="fr-FR"/>
              </w:rPr>
              <w:t>2.3.1</w:t>
            </w:r>
            <w:r w:rsidR="00D92368" w:rsidRPr="00340DB4">
              <w:rPr>
                <w:lang w:val="fr-FR"/>
              </w:rPr>
              <w:t>.</w:t>
            </w:r>
            <w:r w:rsidRPr="00340DB4">
              <w:rPr>
                <w:lang w:val="fr-FR"/>
              </w:rPr>
              <w:t>c)</w:t>
            </w:r>
          </w:p>
        </w:tc>
        <w:tc>
          <w:tcPr>
            <w:tcW w:w="7789" w:type="dxa"/>
          </w:tcPr>
          <w:p w:rsidR="00F0449E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Élaborer des orientations supplémentaires sur 2.3.1.c) et donner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autres exemples plus appropriés</w:t>
            </w:r>
          </w:p>
          <w:p w:rsidR="00F0449E" w:rsidRPr="00340DB4" w:rsidRDefault="00F0449E" w:rsidP="00340DB4">
            <w:pPr>
              <w:keepNext/>
              <w:rPr>
                <w:lang w:val="fr-FR"/>
              </w:rPr>
            </w:pPr>
          </w:p>
          <w:p w:rsidR="00F0449E" w:rsidRPr="00340DB4" w:rsidRDefault="001C4EE2" w:rsidP="00340DB4">
            <w:pPr>
              <w:keepNext/>
              <w:rPr>
                <w:lang w:val="fr-FR"/>
              </w:rPr>
            </w:pPr>
            <w:r w:rsidRPr="00340DB4">
              <w:rPr>
                <w:lang w:val="fr-FR"/>
              </w:rPr>
              <w:t>“</w:t>
            </w:r>
            <w:r w:rsidR="0079470F" w:rsidRPr="00340DB4">
              <w:rPr>
                <w:lang w:val="fr-FR"/>
              </w:rPr>
              <w:t>c) donner l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>impression que la variété est issue d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>une autre variété ou lui est apparentée, lorsque ce n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>est pas le cas,</w:t>
            </w:r>
          </w:p>
          <w:p w:rsidR="00F0449E" w:rsidRPr="00340DB4" w:rsidRDefault="00F0449E" w:rsidP="00340DB4">
            <w:pPr>
              <w:keepNext/>
              <w:rPr>
                <w:lang w:val="fr-FR"/>
              </w:rPr>
            </w:pPr>
          </w:p>
          <w:p w:rsidR="00192EC1" w:rsidRPr="00340DB4" w:rsidRDefault="0079470F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i/>
                <w:lang w:val="fr-FR"/>
              </w:rPr>
              <w:t>Exemple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lang w:val="fr-FR"/>
              </w:rPr>
              <w:t>:</w:t>
            </w:r>
            <w:r w:rsidRPr="00340DB4">
              <w:rPr>
                <w:rFonts w:cs="Arial"/>
                <w:i/>
                <w:lang w:val="fr-FR"/>
              </w:rPr>
              <w:t xml:space="preserve"> </w:t>
            </w:r>
            <w:r w:rsidRPr="00340DB4">
              <w:rPr>
                <w:rFonts w:cs="Arial"/>
                <w:lang w:val="fr-FR"/>
              </w:rPr>
              <w:t>une dénomination analogue à celle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une autre variété de la même espèce ou qui lui est apparentée;  p.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ex. : “</w:t>
            </w:r>
            <w:proofErr w:type="spellStart"/>
            <w:r w:rsidRPr="00340DB4">
              <w:rPr>
                <w:rFonts w:cs="Arial"/>
                <w:lang w:val="fr-FR"/>
              </w:rPr>
              <w:t>Southern</w:t>
            </w:r>
            <w:proofErr w:type="spellEnd"/>
            <w:r w:rsidRPr="00340DB4">
              <w:rPr>
                <w:rFonts w:cs="Arial"/>
                <w:lang w:val="fr-FR"/>
              </w:rPr>
              <w:t xml:space="preserve"> cross 1”;  “</w:t>
            </w:r>
            <w:proofErr w:type="spellStart"/>
            <w:r w:rsidRPr="00340DB4">
              <w:rPr>
                <w:rFonts w:cs="Arial"/>
                <w:lang w:val="fr-FR"/>
              </w:rPr>
              <w:t>Southern</w:t>
            </w:r>
            <w:proofErr w:type="spellEnd"/>
            <w:r w:rsidRPr="00340DB4">
              <w:rPr>
                <w:rFonts w:cs="Arial"/>
                <w:lang w:val="fr-FR"/>
              </w:rPr>
              <w:t xml:space="preserve"> cross 2”;  etc., qui donne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impression que ces variétés constituent une série de variétés apparentées présentant les mêmes caractéristiques alors que ce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est pas le cas</w:t>
            </w:r>
            <w:r w:rsidR="001C4EE2" w:rsidRPr="00340DB4">
              <w:rPr>
                <w:rFonts w:cs="Arial"/>
                <w:lang w:val="fr-FR"/>
              </w:rPr>
              <w:t>”</w:t>
            </w:r>
            <w:r w:rsidRPr="00340DB4">
              <w:rPr>
                <w:rFonts w:cs="Arial"/>
                <w:lang w:val="fr-FR"/>
              </w:rPr>
              <w:t>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192EC1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2.3.1</w:t>
            </w:r>
            <w:r w:rsidR="00D92368" w:rsidRPr="00340DB4">
              <w:rPr>
                <w:lang w:val="fr-FR"/>
              </w:rPr>
              <w:t>.</w:t>
            </w:r>
            <w:r w:rsidRPr="00340DB4">
              <w:rPr>
                <w:lang w:val="fr-FR"/>
              </w:rPr>
              <w:t>d)</w:t>
            </w:r>
          </w:p>
        </w:tc>
        <w:tc>
          <w:tcPr>
            <w:tcW w:w="7789" w:type="dxa"/>
          </w:tcPr>
          <w:p w:rsidR="00F0449E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Ajouter 2.3.1.d) comme suit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lang w:val="fr-FR"/>
              </w:rPr>
            </w:pPr>
          </w:p>
          <w:p w:rsidR="00F0449E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“d)</w:t>
            </w:r>
            <w:r w:rsidRPr="00340DB4">
              <w:rPr>
                <w:lang w:val="fr-FR"/>
              </w:rPr>
              <w:tab/>
              <w:t>contient le nom botanique ou commun du genre auquel cette variété appartient.</w:t>
            </w:r>
            <w:r w:rsidR="001C4EE2" w:rsidRPr="00340DB4">
              <w:rPr>
                <w:lang w:val="fr-FR"/>
              </w:rPr>
              <w:t xml:space="preserve"> </w:t>
            </w:r>
            <w:r w:rsidRPr="00340DB4">
              <w:rPr>
                <w:lang w:val="fr-FR"/>
              </w:rPr>
              <w:t xml:space="preserve">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identité de la dénomination et celle du genre auquel elle appartient pourraient devenir peu claires et prêter à confusion”.</w:t>
            </w:r>
          </w:p>
          <w:p w:rsidR="00F0449E" w:rsidRPr="00340DB4" w:rsidRDefault="00F0449E" w:rsidP="00340DB4">
            <w:pPr>
              <w:rPr>
                <w:highlight w:val="lightGray"/>
                <w:lang w:val="fr-FR"/>
              </w:rPr>
            </w:pPr>
          </w:p>
          <w:p w:rsidR="00F0449E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Préciser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exemple suivant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lang w:val="fr-FR"/>
              </w:rPr>
            </w:pPr>
          </w:p>
          <w:p w:rsidR="00F0449E" w:rsidRPr="00340DB4" w:rsidRDefault="001C4EE2" w:rsidP="00340DB4">
            <w:pPr>
              <w:ind w:left="567"/>
              <w:rPr>
                <w:lang w:val="fr-FR"/>
              </w:rPr>
            </w:pPr>
            <w:r w:rsidRPr="00340DB4">
              <w:rPr>
                <w:i/>
                <w:lang w:val="fr-FR"/>
              </w:rPr>
              <w:t>“</w:t>
            </w:r>
            <w:r w:rsidR="0079470F" w:rsidRPr="00340DB4">
              <w:rPr>
                <w:i/>
                <w:lang w:val="fr-FR"/>
              </w:rPr>
              <w:t>Exemple</w:t>
            </w:r>
            <w:r w:rsidRPr="00340DB4">
              <w:rPr>
                <w:lang w:val="fr-FR"/>
              </w:rPr>
              <w:t> </w:t>
            </w:r>
            <w:r w:rsidR="0079470F" w:rsidRPr="00340DB4">
              <w:rPr>
                <w:lang w:val="fr-FR"/>
              </w:rPr>
              <w:t xml:space="preserve">: variété </w:t>
            </w:r>
            <w:r w:rsidR="0079470F" w:rsidRPr="00340DB4">
              <w:rPr>
                <w:i/>
                <w:lang w:val="fr-FR"/>
              </w:rPr>
              <w:t xml:space="preserve">Carex </w:t>
            </w:r>
            <w:r w:rsidR="00C34ADB" w:rsidRPr="00340DB4">
              <w:rPr>
                <w:lang w:val="fr-FR"/>
              </w:rPr>
              <w:t>‘</w:t>
            </w:r>
            <w:r w:rsidR="0079470F" w:rsidRPr="00340DB4">
              <w:rPr>
                <w:lang w:val="fr-FR"/>
              </w:rPr>
              <w:t>Laiche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>.</w:t>
            </w:r>
            <w:r w:rsidRPr="00340DB4">
              <w:rPr>
                <w:lang w:val="fr-FR"/>
              </w:rPr>
              <w:t xml:space="preserve"> </w:t>
            </w:r>
            <w:r w:rsidR="0079470F" w:rsidRPr="00340DB4">
              <w:rPr>
                <w:lang w:val="fr-FR"/>
              </w:rPr>
              <w:t xml:space="preserve"> On pourrait l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 xml:space="preserve">appeler </w:t>
            </w:r>
            <w:r w:rsidR="00C34ADB" w:rsidRPr="00340DB4">
              <w:rPr>
                <w:lang w:val="fr-FR"/>
              </w:rPr>
              <w:t>‘</w:t>
            </w:r>
            <w:r w:rsidR="0079470F" w:rsidRPr="00340DB4">
              <w:rPr>
                <w:lang w:val="fr-FR"/>
              </w:rPr>
              <w:t>Laiche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 xml:space="preserve"> </w:t>
            </w:r>
            <w:r w:rsidR="0079470F" w:rsidRPr="00340DB4">
              <w:rPr>
                <w:i/>
                <w:lang w:val="fr-FR"/>
              </w:rPr>
              <w:t xml:space="preserve">Carex.  </w:t>
            </w:r>
            <w:r w:rsidR="0079470F" w:rsidRPr="00340DB4">
              <w:rPr>
                <w:lang w:val="fr-FR"/>
              </w:rPr>
              <w:t>Sans utiliser des italiques ou des guillemets simples, l</w:t>
            </w:r>
            <w:r w:rsidR="00C34ADB" w:rsidRPr="00340DB4">
              <w:rPr>
                <w:lang w:val="fr-FR"/>
              </w:rPr>
              <w:t>’</w:t>
            </w:r>
            <w:r w:rsidR="0079470F" w:rsidRPr="00340DB4">
              <w:rPr>
                <w:lang w:val="fr-FR"/>
              </w:rPr>
              <w:t>identité de la dénomination et du genre peut ne pas être claire</w:t>
            </w:r>
            <w:r w:rsidRPr="00340DB4">
              <w:rPr>
                <w:lang w:val="fr-FR"/>
              </w:rPr>
              <w:t>”</w:t>
            </w:r>
            <w:r w:rsidR="0079470F" w:rsidRPr="00340DB4">
              <w:rPr>
                <w:lang w:val="fr-FR"/>
              </w:rPr>
              <w:t>.</w:t>
            </w:r>
          </w:p>
          <w:p w:rsidR="00F0449E" w:rsidRPr="00340DB4" w:rsidRDefault="00F0449E" w:rsidP="00340DB4">
            <w:pPr>
              <w:rPr>
                <w:lang w:val="fr-FR"/>
              </w:rPr>
            </w:pPr>
          </w:p>
          <w:p w:rsidR="00192EC1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Élaborer des orientations sur la confusion possible du nom botanique ou du nom commun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 xml:space="preserve">un genre auquel cette variété </w:t>
            </w:r>
            <w:r w:rsidRPr="00340DB4">
              <w:rPr>
                <w:u w:val="single"/>
                <w:lang w:val="fr-FR"/>
              </w:rPr>
              <w:t>n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 xml:space="preserve">appartient </w:t>
            </w:r>
            <w:r w:rsidRPr="00340DB4">
              <w:rPr>
                <w:u w:val="single"/>
                <w:lang w:val="fr-FR"/>
              </w:rPr>
              <w:t>pas</w:t>
            </w:r>
            <w:r w:rsidRPr="00340DB4">
              <w:rPr>
                <w:lang w:val="fr-FR"/>
              </w:rPr>
              <w:t xml:space="preserve"> – cas par cas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192EC1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2.3.3</w:t>
            </w:r>
          </w:p>
        </w:tc>
        <w:tc>
          <w:tcPr>
            <w:tcW w:w="7789" w:type="dxa"/>
          </w:tcPr>
          <w:p w:rsidR="00192EC1" w:rsidRPr="00340DB4" w:rsidRDefault="0079470F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Prendre en compte les propositions dans le paragraphe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 xml:space="preserve">2.3.3 du document UPOV/INF/12/5 </w:t>
            </w:r>
            <w:proofErr w:type="spellStart"/>
            <w:r w:rsidRPr="00340DB4">
              <w:rPr>
                <w:snapToGrid w:val="0"/>
                <w:lang w:val="fr-FR"/>
              </w:rPr>
              <w:t>Draft</w:t>
            </w:r>
            <w:proofErr w:type="spellEnd"/>
            <w:r w:rsidRPr="00340DB4">
              <w:rPr>
                <w:snapToGrid w:val="0"/>
                <w:lang w:val="fr-FR"/>
              </w:rPr>
              <w:t xml:space="preserve"> 2 en tant qu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étape initiale de l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élaboration d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orientations supplémentaires et d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exemples appropriés de concert avec l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élaboration d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un outil de recherche de l</w:t>
            </w:r>
            <w:r w:rsidR="00C34ADB" w:rsidRPr="00340DB4">
              <w:rPr>
                <w:snapToGrid w:val="0"/>
                <w:lang w:val="fr-FR"/>
              </w:rPr>
              <w:t>’</w:t>
            </w:r>
            <w:r w:rsidRPr="00340DB4">
              <w:rPr>
                <w:snapToGrid w:val="0"/>
                <w:lang w:val="fr-FR"/>
              </w:rPr>
              <w:t>UPOV de similarité efficace.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79470F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4.a)</w:t>
            </w:r>
          </w:p>
        </w:tc>
        <w:tc>
          <w:tcPr>
            <w:tcW w:w="7789" w:type="dxa"/>
          </w:tcPr>
          <w:p w:rsidR="00F0449E" w:rsidRPr="00340DB4" w:rsidRDefault="0079470F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Modifier 4.a) comme suit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snapToGrid w:val="0"/>
                <w:lang w:val="fr-FR"/>
              </w:rPr>
            </w:pPr>
          </w:p>
          <w:p w:rsidR="00192EC1" w:rsidRPr="00340DB4" w:rsidRDefault="0079470F" w:rsidP="00596BDB">
            <w:pPr>
              <w:ind w:firstLine="567"/>
              <w:rPr>
                <w:lang w:val="fr-FR"/>
              </w:rPr>
            </w:pPr>
            <w:r w:rsidRPr="00340DB4">
              <w:rPr>
                <w:lang w:val="fr-FR"/>
              </w:rPr>
              <w:t>“a)</w:t>
            </w:r>
            <w:r w:rsidRPr="00340DB4">
              <w:rPr>
                <w:lang w:val="fr-FR"/>
              </w:rPr>
              <w:tab/>
              <w:t xml:space="preserve">Un service ne doit pas accepter une dénomination variétale si </w:t>
            </w:r>
            <w:r w:rsidRPr="00340DB4">
              <w:rPr>
                <w:strike/>
                <w:lang w:val="fr-FR"/>
              </w:rPr>
              <w:t>un</w:t>
            </w:r>
            <w:r w:rsidRPr="00340DB4">
              <w:rPr>
                <w:lang w:val="fr-FR"/>
              </w:rPr>
              <w:t xml:space="preserve"> </w:t>
            </w:r>
            <w:r w:rsidRPr="00340DB4">
              <w:rPr>
                <w:u w:val="single"/>
                <w:lang w:val="fr-FR"/>
              </w:rPr>
              <w:t>il y a un</w:t>
            </w:r>
            <w:r w:rsidRPr="00340DB4">
              <w:rPr>
                <w:lang w:val="fr-FR"/>
              </w:rPr>
              <w:t xml:space="preserve"> droit antérieur </w:t>
            </w:r>
            <w:r w:rsidRPr="00340DB4">
              <w:rPr>
                <w:u w:val="single"/>
                <w:lang w:val="fr-FR"/>
              </w:rPr>
              <w:t>existant</w:t>
            </w:r>
            <w:r w:rsidRPr="00340DB4">
              <w:rPr>
                <w:lang w:val="fr-FR"/>
              </w:rPr>
              <w:t>, dont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exercice peut empêcher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utilisation de la dénomination proposée</w:t>
            </w:r>
            <w:r w:rsidRPr="00340DB4">
              <w:rPr>
                <w:strike/>
                <w:lang w:val="fr-FR"/>
              </w:rPr>
              <w:t>, a déjà été octroyé à un tiers en vertu de la loi sur les droits d</w:t>
            </w:r>
            <w:r w:rsidR="00C34ADB" w:rsidRPr="00340DB4">
              <w:rPr>
                <w:strike/>
                <w:lang w:val="fr-FR"/>
              </w:rPr>
              <w:t>’</w:t>
            </w:r>
            <w:r w:rsidRPr="00340DB4">
              <w:rPr>
                <w:strike/>
                <w:lang w:val="fr-FR"/>
              </w:rPr>
              <w:t>obtenteur, de la loi sur les marques ou de toute autre loi sur la propriété intellectuelle.</w:t>
            </w:r>
            <w:r w:rsidRPr="00340DB4">
              <w:rPr>
                <w:lang w:val="fr-FR"/>
              </w:rPr>
              <w:t xml:space="preserve"> </w:t>
            </w:r>
            <w:r w:rsidR="001C4EE2" w:rsidRPr="00340DB4">
              <w:rPr>
                <w:lang w:val="fr-FR"/>
              </w:rPr>
              <w:t xml:space="preserve"> </w:t>
            </w:r>
            <w:r w:rsidRPr="00340DB4">
              <w:rPr>
                <w:lang w:val="fr-FR"/>
              </w:rPr>
              <w:t>Il incombe au titulaire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un droit antérieur de faire valoir ses droits dans le cadre des procédures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opposition ou des procédures judiciaires disponibles.  Cela étant, les services sont encouragés à effectuer des recherches préalables dans les publications (p.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>ex. : les bulletins officiels) et les bases de données pertinentes (p.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 xml:space="preserve">ex. Base de données UPOV sur les variétés végétales (PLUTO) </w:t>
            </w:r>
            <w:hyperlink r:id="rId11" w:history="1">
              <w:r w:rsidR="00596BDB" w:rsidRPr="000C3E5F">
                <w:rPr>
                  <w:rStyle w:val="Hyperlink"/>
                  <w:lang w:val="fr-FR"/>
                </w:rPr>
                <w:t>http://www.upov.int/pluto/fr/</w:t>
              </w:r>
            </w:hyperlink>
            <w:r w:rsidRPr="00340DB4">
              <w:rPr>
                <w:lang w:val="fr-FR"/>
              </w:rPr>
              <w:t>) pour identifier les droits antérieurs de dénominations variétales.  Ils peuvent aussi effectuer des recherches dans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autres registres, tels que des registres de marques, avant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accepter une dénomination variétale”.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192EC1" w:rsidRPr="00340DB4" w:rsidRDefault="00437C79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4.e)i)</w:t>
            </w:r>
          </w:p>
        </w:tc>
        <w:tc>
          <w:tcPr>
            <w:tcW w:w="7789" w:type="dxa"/>
          </w:tcPr>
          <w:p w:rsidR="00F0449E" w:rsidRPr="00340DB4" w:rsidRDefault="00437C79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Modifier la dernière phrase du paragraphe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4.e)i) comme suit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snapToGrid w:val="0"/>
                <w:lang w:val="fr-FR"/>
              </w:rPr>
            </w:pPr>
          </w:p>
          <w:p w:rsidR="00192EC1" w:rsidRPr="00340DB4" w:rsidRDefault="00437C79" w:rsidP="00340DB4">
            <w:pPr>
              <w:tabs>
                <w:tab w:val="right" w:pos="1134"/>
                <w:tab w:val="left" w:pos="1418"/>
              </w:tabs>
              <w:rPr>
                <w:lang w:val="fr-FR"/>
              </w:rPr>
            </w:pPr>
            <w:r w:rsidRPr="00340DB4">
              <w:rPr>
                <w:lang w:val="fr-FR"/>
              </w:rPr>
              <w:t xml:space="preserve">“Dans les cas de simple similitude ou de faible risque </w:t>
            </w:r>
            <w:r w:rsidRPr="00340DB4">
              <w:rPr>
                <w:strike/>
                <w:lang w:val="fr-FR"/>
              </w:rPr>
              <w:t>d</w:t>
            </w:r>
            <w:r w:rsidR="00C34ADB" w:rsidRPr="00340DB4">
              <w:rPr>
                <w:strike/>
                <w:lang w:val="fr-FR"/>
              </w:rPr>
              <w:t>’</w:t>
            </w:r>
            <w:r w:rsidRPr="00340DB4">
              <w:rPr>
                <w:strike/>
                <w:lang w:val="fr-FR"/>
              </w:rPr>
              <w:t>association</w:t>
            </w:r>
            <w:r w:rsidRPr="00340DB4">
              <w:rPr>
                <w:lang w:val="fr-FR"/>
              </w:rPr>
              <w:t xml:space="preserve"> </w:t>
            </w:r>
            <w:r w:rsidRPr="00340DB4">
              <w:rPr>
                <w:u w:val="single"/>
                <w:lang w:val="fr-FR"/>
              </w:rPr>
              <w:t>de confusion</w:t>
            </w:r>
            <w:r w:rsidRPr="00340DB4">
              <w:rPr>
                <w:lang w:val="fr-FR"/>
              </w:rPr>
              <w:t xml:space="preserve"> par les utilisateurs, des dérogations accordées aux obtenteurs par les titulaires des droits antérieurs sur une marque peuvent convenir”.</w:t>
            </w:r>
          </w:p>
        </w:tc>
      </w:tr>
    </w:tbl>
    <w:p w:rsidR="00F0449E" w:rsidRDefault="00F0449E" w:rsidP="00596BDB">
      <w:pPr>
        <w:pStyle w:val="Heading2"/>
        <w:rPr>
          <w:lang w:val="fr-FR"/>
        </w:rPr>
      </w:pPr>
    </w:p>
    <w:p w:rsidR="00596BDB" w:rsidRPr="00596BDB" w:rsidRDefault="00596BDB" w:rsidP="00596BDB">
      <w:pPr>
        <w:rPr>
          <w:lang w:val="fr-FR"/>
        </w:rPr>
      </w:pPr>
    </w:p>
    <w:p w:rsidR="00F0449E" w:rsidRPr="00340DB4" w:rsidRDefault="00C83650" w:rsidP="00596BDB">
      <w:pPr>
        <w:pStyle w:val="Heading2"/>
        <w:rPr>
          <w:lang w:val="fr-FR"/>
        </w:rPr>
      </w:pPr>
      <w:bookmarkStart w:id="13" w:name="_Toc413233499"/>
      <w:r w:rsidRPr="00340DB4">
        <w:rPr>
          <w:lang w:val="fr-FR"/>
        </w:rPr>
        <w:t xml:space="preserve">Méthode proposée </w:t>
      </w:r>
      <w:r w:rsidR="005A482D" w:rsidRPr="00340DB4">
        <w:rPr>
          <w:lang w:val="fr-FR"/>
        </w:rPr>
        <w:t xml:space="preserve">pour la conduite des </w:t>
      </w:r>
      <w:r w:rsidRPr="00340DB4">
        <w:rPr>
          <w:lang w:val="fr-FR"/>
        </w:rPr>
        <w:t>travaux du WG</w:t>
      </w:r>
      <w:r w:rsidR="001B3822" w:rsidRPr="00340DB4">
        <w:rPr>
          <w:lang w:val="fr-FR"/>
        </w:rPr>
        <w:noBreakHyphen/>
      </w:r>
      <w:r w:rsidRPr="00340DB4">
        <w:rPr>
          <w:lang w:val="fr-FR"/>
        </w:rPr>
        <w:t>DST</w:t>
      </w:r>
      <w:bookmarkEnd w:id="13"/>
    </w:p>
    <w:p w:rsidR="00F0449E" w:rsidRPr="00340DB4" w:rsidRDefault="00F0449E" w:rsidP="00340DB4">
      <w:pPr>
        <w:keepNext/>
        <w:rPr>
          <w:rFonts w:cs="Arial"/>
          <w:lang w:val="fr-FR" w:eastAsia="ja-JP"/>
        </w:rPr>
      </w:pPr>
    </w:p>
    <w:p w:rsidR="00C34ADB" w:rsidRPr="00340DB4" w:rsidRDefault="00CD518F" w:rsidP="00340DB4">
      <w:pPr>
        <w:rPr>
          <w:rFonts w:cs="Arial"/>
          <w:lang w:val="fr-FR" w:eastAsia="ja-JP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C83650" w:rsidRPr="00340DB4">
        <w:rPr>
          <w:rFonts w:cs="Arial"/>
          <w:lang w:val="fr-FR"/>
        </w:rPr>
        <w:t>À sa neuvième</w:t>
      </w:r>
      <w:r w:rsidR="001C4EE2" w:rsidRPr="00340DB4">
        <w:rPr>
          <w:rFonts w:cs="Arial"/>
          <w:lang w:val="fr-FR"/>
        </w:rPr>
        <w:t> </w:t>
      </w:r>
      <w:r w:rsidR="00C83650" w:rsidRPr="00340DB4">
        <w:rPr>
          <w:rFonts w:cs="Arial"/>
          <w:lang w:val="fr-FR"/>
        </w:rPr>
        <w:t>session,</w:t>
      </w:r>
      <w:r w:rsidR="00C34ADB" w:rsidRPr="00340DB4">
        <w:rPr>
          <w:rFonts w:cs="Arial"/>
          <w:lang w:val="fr-FR"/>
        </w:rPr>
        <w:t xml:space="preserve"> le CAJ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>AG a proposé “de prendre en compte les propositions dans le paragraphe</w:t>
      </w:r>
      <w:r w:rsidR="001C4EE2" w:rsidRPr="00340DB4">
        <w:rPr>
          <w:rFonts w:cs="Arial"/>
          <w:lang w:val="fr-FR"/>
        </w:rPr>
        <w:t> </w:t>
      </w:r>
      <w:r w:rsidR="00C83650" w:rsidRPr="00340DB4">
        <w:rPr>
          <w:rFonts w:cs="Arial"/>
          <w:lang w:val="fr-FR"/>
        </w:rPr>
        <w:t xml:space="preserve">2.3.3 du document UPOV/INF/12/5 </w:t>
      </w:r>
      <w:proofErr w:type="spellStart"/>
      <w:r w:rsidR="00C83650" w:rsidRPr="00340DB4">
        <w:rPr>
          <w:rFonts w:cs="Arial"/>
          <w:lang w:val="fr-FR"/>
        </w:rPr>
        <w:t>Draft</w:t>
      </w:r>
      <w:proofErr w:type="spellEnd"/>
      <w:r w:rsidR="00C83650" w:rsidRPr="00340DB4">
        <w:rPr>
          <w:rFonts w:cs="Arial"/>
          <w:lang w:val="fr-FR"/>
        </w:rPr>
        <w:t xml:space="preserve"> 2 en tant qu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étape initiale de l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élaboration d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orientations supplémentaires et d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exemples appropriés de concert avec l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élaboration d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un outil de recherche de l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UPOV de similarité efficace”</w:t>
      </w:r>
      <w:r w:rsidR="00C83650" w:rsidRPr="00340DB4">
        <w:rPr>
          <w:rStyle w:val="FootnoteReference"/>
          <w:rFonts w:cs="Arial"/>
          <w:lang w:val="fr-FR"/>
        </w:rPr>
        <w:footnoteReference w:id="23"/>
      </w:r>
      <w:r w:rsidR="00C83650" w:rsidRPr="00340DB4">
        <w:rPr>
          <w:rFonts w:cs="Arial"/>
          <w:lang w:val="fr-FR"/>
        </w:rPr>
        <w:t>.</w:t>
      </w:r>
    </w:p>
    <w:p w:rsidR="00F0449E" w:rsidRPr="00340DB4" w:rsidRDefault="00F0449E" w:rsidP="00340DB4">
      <w:pPr>
        <w:rPr>
          <w:rFonts w:cs="Arial"/>
          <w:lang w:val="fr-FR" w:eastAsia="ja-JP"/>
        </w:rPr>
      </w:pPr>
    </w:p>
    <w:p w:rsidR="00F0449E" w:rsidRPr="00340DB4" w:rsidRDefault="00FE7EC3" w:rsidP="00AB4E62">
      <w:pPr>
        <w:rPr>
          <w:rFonts w:cs="Arial"/>
          <w:lang w:val="fr-FR" w:eastAsia="ja-JP"/>
        </w:rPr>
      </w:pPr>
      <w:r w:rsidRPr="00340DB4">
        <w:rPr>
          <w:rFonts w:cs="Arial"/>
          <w:lang w:val="fr-FR"/>
        </w:rPr>
        <w:fldChar w:fldCharType="begin"/>
      </w:r>
      <w:r w:rsidRPr="00340DB4">
        <w:rPr>
          <w:rFonts w:cs="Arial"/>
          <w:lang w:val="fr-FR"/>
        </w:rPr>
        <w:instrText xml:space="preserve"> AUTONUM  </w:instrText>
      </w:r>
      <w:r w:rsidRPr="00340DB4">
        <w:rPr>
          <w:rFonts w:cs="Arial"/>
          <w:lang w:val="fr-FR"/>
        </w:rPr>
        <w:fldChar w:fldCharType="end"/>
      </w:r>
      <w:r w:rsidRPr="00340DB4">
        <w:rPr>
          <w:rFonts w:cs="Arial"/>
          <w:lang w:val="fr-FR"/>
        </w:rPr>
        <w:tab/>
      </w:r>
      <w:r w:rsidR="00C83650" w:rsidRPr="00340DB4">
        <w:rPr>
          <w:rFonts w:cs="Arial"/>
          <w:lang w:val="fr-FR"/>
        </w:rPr>
        <w:t>À cet égard,</w:t>
      </w:r>
      <w:r w:rsidR="00C34ADB" w:rsidRPr="00340DB4">
        <w:rPr>
          <w:rFonts w:cs="Arial"/>
          <w:lang w:val="fr-FR"/>
        </w:rPr>
        <w:t xml:space="preserve"> le CAJ</w:t>
      </w:r>
      <w:r w:rsidR="00C83650" w:rsidRPr="00340DB4">
        <w:rPr>
          <w:rFonts w:cs="Arial"/>
          <w:lang w:val="fr-FR"/>
        </w:rPr>
        <w:t xml:space="preserve"> souhaitera peut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>être inviter le WG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 xml:space="preserve">DST à examiner les </w:t>
      </w:r>
      <w:r w:rsidR="005A482D" w:rsidRPr="00340DB4">
        <w:rPr>
          <w:rFonts w:cs="Arial"/>
          <w:lang w:val="fr-FR"/>
        </w:rPr>
        <w:t>observations</w:t>
      </w:r>
      <w:r w:rsidR="00C83650" w:rsidRPr="00340DB4">
        <w:rPr>
          <w:rFonts w:cs="Arial"/>
          <w:lang w:val="fr-FR"/>
        </w:rPr>
        <w:t xml:space="preserve"> ci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>après formulé</w:t>
      </w:r>
      <w:r w:rsidR="005A482D" w:rsidRPr="00340DB4">
        <w:rPr>
          <w:rFonts w:cs="Arial"/>
          <w:lang w:val="fr-FR"/>
        </w:rPr>
        <w:t>e</w:t>
      </w:r>
      <w:r w:rsidR="00C83650" w:rsidRPr="00340DB4">
        <w:rPr>
          <w:rFonts w:cs="Arial"/>
          <w:lang w:val="fr-FR"/>
        </w:rPr>
        <w:t>s par</w:t>
      </w:r>
      <w:r w:rsidR="00C34ADB" w:rsidRPr="00340DB4">
        <w:rPr>
          <w:rFonts w:cs="Arial"/>
          <w:lang w:val="fr-FR"/>
        </w:rPr>
        <w:t xml:space="preserve"> le CAJ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>AG à sa neuvième</w:t>
      </w:r>
      <w:r w:rsidR="001C4EE2" w:rsidRPr="00340DB4">
        <w:rPr>
          <w:rFonts w:cs="Arial"/>
          <w:lang w:val="fr-FR"/>
        </w:rPr>
        <w:t> </w:t>
      </w:r>
      <w:r w:rsidR="00C83650" w:rsidRPr="00340DB4">
        <w:rPr>
          <w:rFonts w:cs="Arial"/>
          <w:lang w:val="fr-FR"/>
        </w:rPr>
        <w:t xml:space="preserve">session sur les propositions figurant dans le document UPOV/INF/12/5 </w:t>
      </w:r>
      <w:proofErr w:type="spellStart"/>
      <w:r w:rsidR="00C83650" w:rsidRPr="00340DB4">
        <w:rPr>
          <w:rFonts w:cs="Arial"/>
          <w:lang w:val="fr-FR"/>
        </w:rPr>
        <w:t>Draft</w:t>
      </w:r>
      <w:proofErr w:type="spellEnd"/>
      <w:r w:rsidR="00C83650" w:rsidRPr="00340DB4">
        <w:rPr>
          <w:rFonts w:cs="Arial"/>
          <w:lang w:val="fr-FR"/>
        </w:rPr>
        <w:t xml:space="preserve"> 2 concernant les paragraphes</w:t>
      </w:r>
      <w:r w:rsidR="001C4EE2" w:rsidRPr="00340DB4">
        <w:rPr>
          <w:rFonts w:cs="Arial"/>
          <w:lang w:val="fr-FR"/>
        </w:rPr>
        <w:t> </w:t>
      </w:r>
      <w:r w:rsidR="00C83650" w:rsidRPr="00340DB4">
        <w:rPr>
          <w:rFonts w:cs="Arial"/>
          <w:lang w:val="fr-FR"/>
        </w:rPr>
        <w:t>2.2.2.b), 2.3.1.c) et d)</w:t>
      </w:r>
      <w:r w:rsidR="001C4EE2" w:rsidRPr="00340DB4">
        <w:rPr>
          <w:rFonts w:cs="Arial"/>
          <w:lang w:val="fr-FR"/>
        </w:rPr>
        <w:t> </w:t>
      </w:r>
      <w:r w:rsidR="00C83650" w:rsidRPr="00340DB4">
        <w:rPr>
          <w:rFonts w:cs="Arial"/>
          <w:lang w:val="fr-FR"/>
        </w:rPr>
        <w:t>et 2.3.3, parallèlement à l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élaboration d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un outil de recherche de l</w:t>
      </w:r>
      <w:r w:rsidR="00C34ADB" w:rsidRPr="00340DB4">
        <w:rPr>
          <w:rFonts w:cs="Arial"/>
          <w:lang w:val="fr-FR"/>
        </w:rPr>
        <w:t>’</w:t>
      </w:r>
      <w:r w:rsidR="00C83650" w:rsidRPr="00340DB4">
        <w:rPr>
          <w:rFonts w:cs="Arial"/>
          <w:lang w:val="fr-FR"/>
        </w:rPr>
        <w:t>UPOV de similarité efficace, ainsi que toute</w:t>
      </w:r>
      <w:r w:rsidR="005A482D" w:rsidRPr="00340DB4">
        <w:rPr>
          <w:rFonts w:cs="Arial"/>
          <w:lang w:val="fr-FR"/>
        </w:rPr>
        <w:t>s les</w:t>
      </w:r>
      <w:r w:rsidR="00C83650" w:rsidRPr="00340DB4">
        <w:rPr>
          <w:rFonts w:cs="Arial"/>
          <w:lang w:val="fr-FR"/>
        </w:rPr>
        <w:t xml:space="preserve"> conclusion</w:t>
      </w:r>
      <w:r w:rsidR="005A482D" w:rsidRPr="00340DB4">
        <w:rPr>
          <w:rFonts w:cs="Arial"/>
          <w:lang w:val="fr-FR"/>
        </w:rPr>
        <w:t>s</w:t>
      </w:r>
      <w:r w:rsidR="00C83650" w:rsidRPr="00340DB4">
        <w:rPr>
          <w:rFonts w:cs="Arial"/>
          <w:lang w:val="fr-FR"/>
        </w:rPr>
        <w:t xml:space="preserve"> adoptée</w:t>
      </w:r>
      <w:r w:rsidR="005A482D" w:rsidRPr="00340DB4">
        <w:rPr>
          <w:rFonts w:cs="Arial"/>
          <w:lang w:val="fr-FR"/>
        </w:rPr>
        <w:t>s</w:t>
      </w:r>
      <w:r w:rsidR="00C83650" w:rsidRPr="00340DB4">
        <w:rPr>
          <w:rFonts w:cs="Arial"/>
          <w:lang w:val="fr-FR"/>
        </w:rPr>
        <w:t xml:space="preserve"> par le WG</w:t>
      </w:r>
      <w:r w:rsidR="001B3822" w:rsidRPr="00340DB4">
        <w:rPr>
          <w:rFonts w:cs="Arial"/>
          <w:lang w:val="fr-FR"/>
        </w:rPr>
        <w:noBreakHyphen/>
      </w:r>
      <w:r w:rsidR="00C83650" w:rsidRPr="00340DB4">
        <w:rPr>
          <w:rFonts w:cs="Arial"/>
          <w:lang w:val="fr-FR"/>
        </w:rPr>
        <w:t>DST concernant la révision du document UPOV/INF/12, le cas échéant.</w:t>
      </w:r>
    </w:p>
    <w:p w:rsidR="002F7364" w:rsidRPr="00340DB4" w:rsidRDefault="002F7364" w:rsidP="00AB4E62">
      <w:pPr>
        <w:ind w:firstLine="567"/>
        <w:rPr>
          <w:rFonts w:cs="Arial"/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340DB4" w:rsidRPr="00340DB4" w:rsidTr="00017FC1">
        <w:trPr>
          <w:cantSplit/>
        </w:trPr>
        <w:tc>
          <w:tcPr>
            <w:tcW w:w="1391" w:type="dxa"/>
          </w:tcPr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2.2.2.b)</w:t>
            </w:r>
          </w:p>
        </w:tc>
        <w:tc>
          <w:tcPr>
            <w:tcW w:w="7789" w:type="dxa"/>
          </w:tcPr>
          <w:p w:rsidR="00F0449E" w:rsidRPr="00340DB4" w:rsidRDefault="00AB70CE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Préciser la terminologie dans 2.2.2.b).  En particulier, envisager de modifier les exemples ou de remplacer “espèces” par “genres” ou “taxons” dans la phrase suivante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snapToGrid w:val="0"/>
                <w:lang w:val="fr-FR"/>
              </w:rPr>
            </w:pPr>
          </w:p>
          <w:p w:rsidR="002F7364" w:rsidRPr="00340DB4" w:rsidRDefault="00AB70CE" w:rsidP="00340DB4">
            <w:pPr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“b)</w:t>
            </w:r>
            <w:r w:rsidRPr="00340DB4">
              <w:rPr>
                <w:snapToGrid w:val="0"/>
                <w:lang w:val="fr-FR"/>
              </w:rPr>
              <w:tab/>
              <w:t xml:space="preserve">les pratiques commerciales établies pour certains types de variétés (par exemple les hybrides) et certaines espèces (par exemple </w:t>
            </w:r>
            <w:proofErr w:type="spellStart"/>
            <w:r w:rsidRPr="00340DB4">
              <w:rPr>
                <w:snapToGrid w:val="0"/>
                <w:lang w:val="fr-FR"/>
              </w:rPr>
              <w:t>Medicago</w:t>
            </w:r>
            <w:proofErr w:type="spellEnd"/>
            <w:r w:rsidRPr="00340DB4">
              <w:rPr>
                <w:snapToGrid w:val="0"/>
                <w:lang w:val="fr-FR"/>
              </w:rPr>
              <w:t xml:space="preserve">, </w:t>
            </w:r>
            <w:proofErr w:type="spellStart"/>
            <w:r w:rsidRPr="00340DB4">
              <w:rPr>
                <w:snapToGrid w:val="0"/>
                <w:lang w:val="fr-FR"/>
              </w:rPr>
              <w:t>Helianthus</w:t>
            </w:r>
            <w:proofErr w:type="spellEnd"/>
            <w:r w:rsidRPr="00340DB4">
              <w:rPr>
                <w:snapToGrid w:val="0"/>
                <w:lang w:val="fr-FR"/>
              </w:rPr>
              <w:t>)</w:t>
            </w:r>
            <w:r w:rsidR="001C4EE2" w:rsidRPr="00340DB4">
              <w:rPr>
                <w:snapToGrid w:val="0"/>
                <w:lang w:val="fr-FR"/>
              </w:rPr>
              <w:t>”</w:t>
            </w:r>
            <w:r w:rsidRPr="00340DB4">
              <w:rPr>
                <w:snapToGrid w:val="0"/>
                <w:lang w:val="fr-FR"/>
              </w:rPr>
              <w:t>.</w:t>
            </w:r>
          </w:p>
        </w:tc>
      </w:tr>
      <w:tr w:rsidR="00340DB4" w:rsidRPr="00340DB4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2.3.1.c)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Élaborer des orientations supplémentaires sur 2.3.1.c) et donner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autres exemples plus appropriés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F0449E" w:rsidRPr="00340DB4" w:rsidRDefault="001C4EE2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“</w:t>
            </w:r>
            <w:r w:rsidR="00AB70CE" w:rsidRPr="00340DB4">
              <w:rPr>
                <w:rFonts w:cs="Arial"/>
                <w:lang w:val="fr-FR"/>
              </w:rPr>
              <w:t>c) donner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>impression que la variété est issue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>une autre variété ou lui est apparentée, lorsque ce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>est pas le cas,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Exemple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lang w:val="fr-FR"/>
              </w:rPr>
              <w:t>:</w:t>
            </w:r>
            <w:r w:rsidRPr="00340DB4">
              <w:rPr>
                <w:rFonts w:cs="Arial"/>
                <w:i/>
                <w:lang w:val="fr-FR"/>
              </w:rPr>
              <w:t xml:space="preserve"> </w:t>
            </w:r>
            <w:r w:rsidRPr="00340DB4">
              <w:rPr>
                <w:rFonts w:cs="Arial"/>
                <w:lang w:val="fr-FR"/>
              </w:rPr>
              <w:t>une dénomination analogue à celle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une autre variété de la même espèce ou qui lui est apparentée;  p.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ex. : “</w:t>
            </w:r>
            <w:proofErr w:type="spellStart"/>
            <w:r w:rsidRPr="00340DB4">
              <w:rPr>
                <w:rFonts w:cs="Arial"/>
                <w:lang w:val="fr-FR"/>
              </w:rPr>
              <w:t>Southern</w:t>
            </w:r>
            <w:proofErr w:type="spellEnd"/>
            <w:r w:rsidRPr="00340DB4">
              <w:rPr>
                <w:rFonts w:cs="Arial"/>
                <w:lang w:val="fr-FR"/>
              </w:rPr>
              <w:t xml:space="preserve"> cross 1”;  “</w:t>
            </w:r>
            <w:proofErr w:type="spellStart"/>
            <w:r w:rsidRPr="00340DB4">
              <w:rPr>
                <w:rFonts w:cs="Arial"/>
                <w:lang w:val="fr-FR"/>
              </w:rPr>
              <w:t>Southern</w:t>
            </w:r>
            <w:proofErr w:type="spellEnd"/>
            <w:r w:rsidRPr="00340DB4">
              <w:rPr>
                <w:rFonts w:cs="Arial"/>
                <w:lang w:val="fr-FR"/>
              </w:rPr>
              <w:t xml:space="preserve"> cross 2”;  etc., qui donne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impression que ces variétés constituent une série de variétés apparentées présentant les mêmes caractéristiques alors que ce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est pas le cas</w:t>
            </w:r>
            <w:r w:rsidR="001C4EE2" w:rsidRPr="00340DB4">
              <w:rPr>
                <w:rFonts w:cs="Arial"/>
                <w:lang w:val="fr-FR"/>
              </w:rPr>
              <w:t>”</w:t>
            </w:r>
            <w:r w:rsidRPr="00340DB4">
              <w:rPr>
                <w:rFonts w:cs="Arial"/>
                <w:lang w:val="fr-FR"/>
              </w:rPr>
              <w:t>.</w:t>
            </w:r>
          </w:p>
        </w:tc>
      </w:tr>
      <w:tr w:rsidR="00340DB4" w:rsidRPr="00340DB4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2.3.1.d)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9E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Ajouter 2.3.1.d) comme suit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F0449E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“d)</w:t>
            </w:r>
            <w:r w:rsidRPr="00340DB4">
              <w:rPr>
                <w:rFonts w:cs="Arial"/>
                <w:lang w:val="fr-FR"/>
              </w:rPr>
              <w:tab/>
              <w:t>contient le nom botanique ou commun du genre auquel cette variété appartient.</w:t>
            </w:r>
            <w:r w:rsidR="001C4EE2" w:rsidRPr="00340DB4">
              <w:rPr>
                <w:rFonts w:cs="Arial"/>
                <w:lang w:val="fr-FR"/>
              </w:rPr>
              <w:t xml:space="preserve"> </w:t>
            </w:r>
            <w:r w:rsidRPr="00340DB4">
              <w:rPr>
                <w:rFonts w:cs="Arial"/>
                <w:lang w:val="fr-FR"/>
              </w:rPr>
              <w:t xml:space="preserve">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identité de la dénomination et celle du genre auquel elle appartient pourraient devenir peu claires et prêter à confusion”.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F0449E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Préciser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exemple suivant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: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F0449E" w:rsidRPr="00340DB4" w:rsidRDefault="001C4EE2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i/>
                <w:lang w:val="fr-FR"/>
              </w:rPr>
              <w:t>“</w:t>
            </w:r>
            <w:r w:rsidR="00AB70CE" w:rsidRPr="00340DB4">
              <w:rPr>
                <w:rFonts w:cs="Arial"/>
                <w:i/>
                <w:lang w:val="fr-FR"/>
              </w:rPr>
              <w:t>Exemple</w:t>
            </w:r>
            <w:r w:rsidRPr="00340DB4">
              <w:rPr>
                <w:rFonts w:cs="Arial"/>
                <w:lang w:val="fr-FR"/>
              </w:rPr>
              <w:t> </w:t>
            </w:r>
            <w:r w:rsidR="00AB70CE" w:rsidRPr="00340DB4">
              <w:rPr>
                <w:lang w:val="fr-FR"/>
              </w:rPr>
              <w:t>:</w:t>
            </w:r>
            <w:r w:rsidR="00AB70CE" w:rsidRPr="00340DB4">
              <w:rPr>
                <w:rFonts w:cs="Arial"/>
                <w:lang w:val="fr-FR"/>
              </w:rPr>
              <w:t xml:space="preserve"> variété </w:t>
            </w:r>
            <w:r w:rsidR="00AB70CE" w:rsidRPr="00340DB4">
              <w:rPr>
                <w:rFonts w:cs="Arial"/>
                <w:i/>
                <w:lang w:val="fr-FR"/>
              </w:rPr>
              <w:t xml:space="preserve">Carex </w:t>
            </w:r>
            <w:r w:rsidR="00C34ADB" w:rsidRPr="00340DB4">
              <w:rPr>
                <w:rFonts w:cs="Arial"/>
                <w:lang w:val="fr-FR"/>
              </w:rPr>
              <w:t>‘</w:t>
            </w:r>
            <w:r w:rsidR="00AB70CE" w:rsidRPr="00340DB4">
              <w:rPr>
                <w:rFonts w:cs="Arial"/>
                <w:lang w:val="fr-FR"/>
              </w:rPr>
              <w:t>Laiche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>.</w:t>
            </w:r>
            <w:r w:rsidRPr="00340DB4">
              <w:rPr>
                <w:rFonts w:cs="Arial"/>
                <w:lang w:val="fr-FR"/>
              </w:rPr>
              <w:t xml:space="preserve"> </w:t>
            </w:r>
            <w:r w:rsidR="00AB70CE" w:rsidRPr="00340DB4">
              <w:rPr>
                <w:rFonts w:cs="Arial"/>
                <w:lang w:val="fr-FR"/>
              </w:rPr>
              <w:t xml:space="preserve"> On pourrait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 xml:space="preserve">appeler </w:t>
            </w:r>
            <w:r w:rsidR="00C34ADB" w:rsidRPr="00340DB4">
              <w:rPr>
                <w:rFonts w:cs="Arial"/>
                <w:lang w:val="fr-FR"/>
              </w:rPr>
              <w:t>‘</w:t>
            </w:r>
            <w:r w:rsidR="00AB70CE" w:rsidRPr="00340DB4">
              <w:rPr>
                <w:rFonts w:cs="Arial"/>
                <w:lang w:val="fr-FR"/>
              </w:rPr>
              <w:t>Laiche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 xml:space="preserve"> </w:t>
            </w:r>
            <w:r w:rsidR="00AB70CE" w:rsidRPr="00340DB4">
              <w:rPr>
                <w:rFonts w:cs="Arial"/>
                <w:i/>
                <w:lang w:val="fr-FR"/>
              </w:rPr>
              <w:t xml:space="preserve">Carex.  </w:t>
            </w:r>
            <w:r w:rsidR="00AB70CE" w:rsidRPr="00340DB4">
              <w:rPr>
                <w:rFonts w:cs="Arial"/>
                <w:lang w:val="fr-FR"/>
              </w:rPr>
              <w:t>Sans utiliser des italiques ou des guillemets simples,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="00AB70CE" w:rsidRPr="00340DB4">
              <w:rPr>
                <w:rFonts w:cs="Arial"/>
                <w:lang w:val="fr-FR"/>
              </w:rPr>
              <w:t>identité de la dénomination et du genre peut ne pas être claire</w:t>
            </w:r>
            <w:r w:rsidRPr="00340DB4">
              <w:rPr>
                <w:rFonts w:cs="Arial"/>
                <w:lang w:val="fr-FR"/>
              </w:rPr>
              <w:t>”</w:t>
            </w:r>
            <w:r w:rsidR="00AB70CE" w:rsidRPr="00340DB4">
              <w:rPr>
                <w:rFonts w:cs="Arial"/>
                <w:lang w:val="fr-FR"/>
              </w:rPr>
              <w:t>.</w:t>
            </w:r>
          </w:p>
          <w:p w:rsidR="00F0449E" w:rsidRPr="00340DB4" w:rsidRDefault="00F0449E" w:rsidP="00340DB4">
            <w:pPr>
              <w:rPr>
                <w:rFonts w:cs="Arial"/>
                <w:lang w:val="fr-FR"/>
              </w:rPr>
            </w:pPr>
          </w:p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Élaborer des orientations sur la confusion possible du nom botanique ou du nom commun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un genre auquel cette variété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appartient pas – cas par cas</w:t>
            </w:r>
          </w:p>
        </w:tc>
      </w:tr>
      <w:tr w:rsidR="00340DB4" w:rsidRPr="00340DB4" w:rsidTr="002F7364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340DB4" w:rsidRDefault="00F62511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364" w:rsidRPr="00340DB4" w:rsidRDefault="00AB70CE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Prendre en compte les propositions dans le paragraphe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 xml:space="preserve">2.3.3 du document UPOV/INF/12/5 </w:t>
            </w:r>
            <w:proofErr w:type="spellStart"/>
            <w:r w:rsidRPr="00340DB4">
              <w:rPr>
                <w:rFonts w:cs="Arial"/>
                <w:lang w:val="fr-FR"/>
              </w:rPr>
              <w:t>Draft</w:t>
            </w:r>
            <w:proofErr w:type="spellEnd"/>
            <w:r w:rsidRPr="00340DB4">
              <w:rPr>
                <w:rFonts w:cs="Arial"/>
                <w:lang w:val="fr-FR"/>
              </w:rPr>
              <w:t xml:space="preserve"> 2 en tant qu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étape initiale de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élaboration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orientations supplémentaires et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exemples appropriés de concert avec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élaboration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un outil de recherche de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UPOV de similarité efficace.</w:t>
            </w:r>
          </w:p>
        </w:tc>
      </w:tr>
    </w:tbl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F0449E" w:rsidP="00340DB4">
      <w:pPr>
        <w:rPr>
          <w:lang w:val="fr-FR" w:eastAsia="ja-JP"/>
        </w:rPr>
      </w:pPr>
    </w:p>
    <w:p w:rsidR="00F0449E" w:rsidRPr="00340DB4" w:rsidRDefault="00CD6430" w:rsidP="00596BDB">
      <w:pPr>
        <w:pStyle w:val="Heading2"/>
        <w:rPr>
          <w:lang w:val="fr-FR"/>
        </w:rPr>
      </w:pPr>
      <w:bookmarkStart w:id="14" w:name="_Toc413233500"/>
      <w:r w:rsidRPr="00340DB4">
        <w:rPr>
          <w:lang w:val="fr-FR"/>
        </w:rPr>
        <w:t>Pro</w:t>
      </w:r>
      <w:r w:rsidR="005A482D" w:rsidRPr="00340DB4">
        <w:rPr>
          <w:lang w:val="fr-FR"/>
        </w:rPr>
        <w:t xml:space="preserve">positions </w:t>
      </w:r>
      <w:r w:rsidRPr="00340DB4">
        <w:rPr>
          <w:lang w:val="fr-FR"/>
        </w:rPr>
        <w:t>d</w:t>
      </w:r>
      <w:r w:rsidR="00C34ADB" w:rsidRPr="00340DB4">
        <w:rPr>
          <w:lang w:val="fr-FR"/>
        </w:rPr>
        <w:t>’</w:t>
      </w:r>
      <w:r w:rsidRPr="00340DB4">
        <w:rPr>
          <w:lang w:val="fr-FR"/>
        </w:rPr>
        <w:t>orientations pour examen par</w:t>
      </w:r>
      <w:r w:rsidR="00C34ADB" w:rsidRPr="00340DB4">
        <w:rPr>
          <w:lang w:val="fr-FR"/>
        </w:rPr>
        <w:t xml:space="preserve"> le CAJ</w:t>
      </w:r>
      <w:r w:rsidRPr="00340DB4">
        <w:rPr>
          <w:lang w:val="fr-FR"/>
        </w:rPr>
        <w:t xml:space="preserve"> à sa soixante</w:t>
      </w:r>
      <w:r w:rsidR="001B3822" w:rsidRPr="00340DB4">
        <w:rPr>
          <w:lang w:val="fr-FR"/>
        </w:rPr>
        <w:noBreakHyphen/>
      </w:r>
      <w:r w:rsidRPr="00340DB4">
        <w:rPr>
          <w:lang w:val="fr-FR"/>
        </w:rPr>
        <w:t>douzième</w:t>
      </w:r>
      <w:r w:rsidR="001C4EE2" w:rsidRPr="00340DB4">
        <w:rPr>
          <w:lang w:val="fr-FR"/>
        </w:rPr>
        <w:t> </w:t>
      </w:r>
      <w:r w:rsidRPr="00340DB4">
        <w:rPr>
          <w:lang w:val="fr-FR"/>
        </w:rPr>
        <w:t>session</w:t>
      </w:r>
      <w:bookmarkEnd w:id="14"/>
    </w:p>
    <w:p w:rsidR="00F0449E" w:rsidRPr="00AB4E62" w:rsidRDefault="00F0449E" w:rsidP="00AB4E62"/>
    <w:p w:rsidR="00C34ADB" w:rsidRPr="00340DB4" w:rsidRDefault="000C6236" w:rsidP="00340DB4">
      <w:pPr>
        <w:rPr>
          <w:lang w:val="fr-FR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CD6430" w:rsidRPr="00340DB4">
        <w:rPr>
          <w:lang w:val="fr-FR"/>
        </w:rPr>
        <w:t xml:space="preserve">Il est </w:t>
      </w:r>
      <w:r w:rsidR="005A482D" w:rsidRPr="00340DB4">
        <w:rPr>
          <w:lang w:val="fr-FR"/>
        </w:rPr>
        <w:t>suggéré</w:t>
      </w:r>
      <w:r w:rsidR="00CD6430" w:rsidRPr="00340DB4">
        <w:rPr>
          <w:lang w:val="fr-FR"/>
        </w:rPr>
        <w:t xml:space="preserve"> que les </w:t>
      </w:r>
      <w:r w:rsidR="005A482D" w:rsidRPr="00340DB4">
        <w:rPr>
          <w:lang w:val="fr-FR"/>
        </w:rPr>
        <w:t xml:space="preserve">propositions </w:t>
      </w:r>
      <w:r w:rsidR="009E319B" w:rsidRPr="00340DB4">
        <w:rPr>
          <w:lang w:val="fr-FR"/>
        </w:rPr>
        <w:t>ci</w:t>
      </w:r>
      <w:r w:rsidR="001B3822" w:rsidRPr="00340DB4">
        <w:rPr>
          <w:szCs w:val="22"/>
          <w:lang w:val="fr-FR"/>
        </w:rPr>
        <w:noBreakHyphen/>
      </w:r>
      <w:r w:rsidR="009E319B" w:rsidRPr="00340DB4">
        <w:rPr>
          <w:szCs w:val="22"/>
          <w:lang w:val="fr-FR"/>
        </w:rPr>
        <w:t>après</w:t>
      </w:r>
      <w:r w:rsidR="00CD6430" w:rsidRPr="00340DB4">
        <w:rPr>
          <w:lang w:val="fr-FR"/>
        </w:rPr>
        <w:t xml:space="preserve"> </w:t>
      </w:r>
      <w:r w:rsidR="005A482D" w:rsidRPr="00340DB4">
        <w:rPr>
          <w:lang w:val="fr-FR"/>
        </w:rPr>
        <w:t xml:space="preserve">relatives aux </w:t>
      </w:r>
      <w:r w:rsidR="00CD6430" w:rsidRPr="00340DB4">
        <w:rPr>
          <w:lang w:val="fr-FR"/>
        </w:rPr>
        <w:t>paragraphes</w:t>
      </w:r>
      <w:r w:rsidR="001C4EE2" w:rsidRPr="00340DB4">
        <w:rPr>
          <w:lang w:val="fr-FR"/>
        </w:rPr>
        <w:t> </w:t>
      </w:r>
      <w:r w:rsidR="00CD6430" w:rsidRPr="00340DB4">
        <w:rPr>
          <w:lang w:val="fr-FR"/>
        </w:rPr>
        <w:t>2.2.2.c), 4.a) et 4.e)i) soient examiné</w:t>
      </w:r>
      <w:r w:rsidR="005A482D" w:rsidRPr="00340DB4">
        <w:rPr>
          <w:lang w:val="fr-FR"/>
        </w:rPr>
        <w:t>e</w:t>
      </w:r>
      <w:r w:rsidR="00CD6430" w:rsidRPr="00340DB4">
        <w:rPr>
          <w:lang w:val="fr-FR"/>
        </w:rPr>
        <w:t>s par</w:t>
      </w:r>
      <w:r w:rsidR="00C34ADB" w:rsidRPr="00340DB4">
        <w:rPr>
          <w:lang w:val="fr-FR"/>
        </w:rPr>
        <w:t xml:space="preserve"> le CAJ</w:t>
      </w:r>
      <w:r w:rsidR="00CD6430" w:rsidRPr="00340DB4">
        <w:rPr>
          <w:lang w:val="fr-FR"/>
        </w:rPr>
        <w:t xml:space="preserve"> à sa soixante</w:t>
      </w:r>
      <w:r w:rsidR="001B3822" w:rsidRPr="00340DB4">
        <w:rPr>
          <w:lang w:val="fr-FR"/>
        </w:rPr>
        <w:noBreakHyphen/>
      </w:r>
      <w:r w:rsidR="00CD6430" w:rsidRPr="00340DB4">
        <w:rPr>
          <w:lang w:val="fr-FR"/>
        </w:rPr>
        <w:t>douzième</w:t>
      </w:r>
      <w:r w:rsidR="001C4EE2" w:rsidRPr="00340DB4">
        <w:rPr>
          <w:lang w:val="fr-FR"/>
        </w:rPr>
        <w:t> </w:t>
      </w:r>
      <w:r w:rsidR="00CD6430" w:rsidRPr="00340DB4">
        <w:rPr>
          <w:lang w:val="fr-FR"/>
        </w:rPr>
        <w:t>session</w:t>
      </w:r>
      <w:r w:rsidR="00CD6430" w:rsidRPr="00340DB4">
        <w:rPr>
          <w:rStyle w:val="FootnoteReference"/>
          <w:lang w:val="fr-FR"/>
        </w:rPr>
        <w:footnoteReference w:id="24"/>
      </w:r>
      <w:r w:rsidR="00CD6430" w:rsidRPr="00340DB4">
        <w:rPr>
          <w:lang w:val="fr-FR"/>
        </w:rPr>
        <w:t>.</w:t>
      </w:r>
    </w:p>
    <w:p w:rsidR="00E97DFE" w:rsidRPr="00340DB4" w:rsidRDefault="00E97DFE" w:rsidP="00340DB4">
      <w:pPr>
        <w:rPr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340DB4" w:rsidRPr="00340DB4" w:rsidTr="00017FC1">
        <w:trPr>
          <w:cantSplit/>
        </w:trPr>
        <w:tc>
          <w:tcPr>
            <w:tcW w:w="1391" w:type="dxa"/>
          </w:tcPr>
          <w:p w:rsidR="002F7364" w:rsidRPr="00340DB4" w:rsidRDefault="002F7364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2.2.2</w:t>
            </w:r>
            <w:r w:rsidR="009D5FB2" w:rsidRPr="00340DB4">
              <w:rPr>
                <w:rFonts w:cs="Arial"/>
                <w:lang w:val="fr-FR"/>
              </w:rPr>
              <w:t xml:space="preserve"> </w:t>
            </w:r>
            <w:r w:rsidRPr="00340DB4">
              <w:rPr>
                <w:rFonts w:cs="Arial"/>
                <w:lang w:val="fr-FR"/>
              </w:rPr>
              <w:t>(c)</w:t>
            </w:r>
          </w:p>
        </w:tc>
        <w:tc>
          <w:tcPr>
            <w:tcW w:w="7789" w:type="dxa"/>
          </w:tcPr>
          <w:p w:rsidR="00F0449E" w:rsidRPr="00340DB4" w:rsidRDefault="00CD6430" w:rsidP="00340DB4">
            <w:pPr>
              <w:spacing w:after="120"/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Ajouter 2.2.2.c) comme suit</w:t>
            </w:r>
            <w:r w:rsidR="001C4EE2" w:rsidRPr="00340DB4">
              <w:rPr>
                <w:rFonts w:cs="Arial"/>
                <w:lang w:val="fr-FR"/>
              </w:rPr>
              <w:t> </w:t>
            </w:r>
            <w:r w:rsidRPr="00340DB4">
              <w:rPr>
                <w:rFonts w:cs="Arial"/>
                <w:lang w:val="fr-FR"/>
              </w:rPr>
              <w:t>:</w:t>
            </w:r>
          </w:p>
          <w:p w:rsidR="002F7364" w:rsidRPr="00340DB4" w:rsidRDefault="0081069D" w:rsidP="00340DB4">
            <w:pPr>
              <w:rPr>
                <w:rFonts w:cs="Arial"/>
                <w:lang w:val="fr-FR"/>
              </w:rPr>
            </w:pPr>
            <w:r w:rsidRPr="00340DB4">
              <w:rPr>
                <w:rFonts w:cs="Arial"/>
                <w:lang w:val="fr-FR"/>
              </w:rPr>
              <w:t>“c)</w:t>
            </w:r>
            <w:r w:rsidRPr="00340DB4">
              <w:rPr>
                <w:rFonts w:cs="Arial"/>
                <w:lang w:val="fr-FR"/>
              </w:rPr>
              <w:tab/>
              <w:t xml:space="preserve">Il y a </w:t>
            </w:r>
            <w:r w:rsidR="00C34ADB" w:rsidRPr="00340DB4">
              <w:rPr>
                <w:rFonts w:cs="Arial"/>
                <w:lang w:val="fr-FR"/>
              </w:rPr>
              <w:t>‘</w:t>
            </w:r>
            <w:r w:rsidRPr="00340DB4">
              <w:rPr>
                <w:rFonts w:cs="Arial"/>
                <w:lang w:val="fr-FR"/>
              </w:rPr>
              <w:t>pratique consacrée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 xml:space="preserve"> lorsque l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enregistrement a été accepté pour une espèce ou un groupe de telle sorte qu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il puisse être utilisé dans d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autres espèces qui n</w:t>
            </w:r>
            <w:r w:rsidR="00C34ADB" w:rsidRPr="00340DB4">
              <w:rPr>
                <w:rFonts w:cs="Arial"/>
                <w:lang w:val="fr-FR"/>
              </w:rPr>
              <w:t>’</w:t>
            </w:r>
            <w:r w:rsidRPr="00340DB4">
              <w:rPr>
                <w:rFonts w:cs="Arial"/>
                <w:lang w:val="fr-FR"/>
              </w:rPr>
              <w:t>ont pas encore enregistré une variété dont la dénomination consiste uniquement en chiffres”.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2F7364" w:rsidRPr="00340DB4" w:rsidRDefault="0081069D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4.a)</w:t>
            </w:r>
          </w:p>
        </w:tc>
        <w:tc>
          <w:tcPr>
            <w:tcW w:w="7789" w:type="dxa"/>
          </w:tcPr>
          <w:p w:rsidR="00F0449E" w:rsidRPr="00340DB4" w:rsidRDefault="0081069D" w:rsidP="00340DB4">
            <w:pPr>
              <w:spacing w:after="120"/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Modifier 4.a) comme suit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2F7364" w:rsidRPr="00340DB4" w:rsidRDefault="0081069D" w:rsidP="00AB4E62">
            <w:pPr>
              <w:ind w:firstLine="567"/>
              <w:rPr>
                <w:lang w:val="fr-FR"/>
              </w:rPr>
            </w:pPr>
            <w:r w:rsidRPr="00340DB4">
              <w:rPr>
                <w:lang w:val="fr-FR"/>
              </w:rPr>
              <w:t>“a)</w:t>
            </w:r>
            <w:r w:rsidRPr="00340DB4">
              <w:rPr>
                <w:lang w:val="fr-FR"/>
              </w:rPr>
              <w:tab/>
              <w:t xml:space="preserve">Un service ne doit pas accepter une dénomination variétale si </w:t>
            </w:r>
            <w:r w:rsidRPr="00340DB4">
              <w:rPr>
                <w:strike/>
                <w:lang w:val="fr-FR"/>
              </w:rPr>
              <w:t>un</w:t>
            </w:r>
            <w:r w:rsidRPr="00340DB4">
              <w:rPr>
                <w:lang w:val="fr-FR"/>
              </w:rPr>
              <w:t xml:space="preserve"> </w:t>
            </w:r>
            <w:r w:rsidRPr="00340DB4">
              <w:rPr>
                <w:u w:val="single"/>
                <w:lang w:val="fr-FR"/>
              </w:rPr>
              <w:t>il y a un</w:t>
            </w:r>
            <w:r w:rsidRPr="00340DB4">
              <w:rPr>
                <w:lang w:val="fr-FR"/>
              </w:rPr>
              <w:t xml:space="preserve"> droit antérieur </w:t>
            </w:r>
            <w:r w:rsidRPr="00340DB4">
              <w:rPr>
                <w:u w:val="single"/>
                <w:lang w:val="fr-FR"/>
              </w:rPr>
              <w:t>existant</w:t>
            </w:r>
            <w:r w:rsidRPr="00340DB4">
              <w:rPr>
                <w:lang w:val="fr-FR"/>
              </w:rPr>
              <w:t>, dont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exercice peut empêcher l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utilisation de la dénomination proposée</w:t>
            </w:r>
            <w:r w:rsidRPr="00340DB4">
              <w:rPr>
                <w:strike/>
                <w:lang w:val="fr-FR"/>
              </w:rPr>
              <w:t>, a déjà été octroyé à un tiers en vertu de la loi sur les droits d</w:t>
            </w:r>
            <w:r w:rsidR="00C34ADB" w:rsidRPr="00340DB4">
              <w:rPr>
                <w:strike/>
                <w:lang w:val="fr-FR"/>
              </w:rPr>
              <w:t>’</w:t>
            </w:r>
            <w:r w:rsidRPr="00340DB4">
              <w:rPr>
                <w:strike/>
                <w:lang w:val="fr-FR"/>
              </w:rPr>
              <w:t>obtenteur, de la loi sur les marques ou de toute autre loi sur la propriété intellectuelle.</w:t>
            </w:r>
            <w:r w:rsidRPr="00340DB4">
              <w:rPr>
                <w:lang w:val="fr-FR"/>
              </w:rPr>
              <w:t xml:space="preserve"> </w:t>
            </w:r>
            <w:r w:rsidR="001C4EE2" w:rsidRPr="00340DB4">
              <w:rPr>
                <w:lang w:val="fr-FR"/>
              </w:rPr>
              <w:t xml:space="preserve"> </w:t>
            </w:r>
            <w:r w:rsidRPr="00340DB4">
              <w:rPr>
                <w:lang w:val="fr-FR"/>
              </w:rPr>
              <w:t>Il incombe au titulaire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un droit antérieur de faire valoir ses droits dans le cadre des procédures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opposition ou des procédures judiciaires disponibles.  Cela étant, les services sont encouragés à effectuer des recherches préalables dans les publications (p.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>ex. : les bulletins officiels) et les bases de données pertinentes (p.</w:t>
            </w:r>
            <w:r w:rsidR="001C4EE2" w:rsidRPr="00340DB4">
              <w:rPr>
                <w:lang w:val="fr-FR"/>
              </w:rPr>
              <w:t> </w:t>
            </w:r>
            <w:r w:rsidRPr="00340DB4">
              <w:rPr>
                <w:lang w:val="fr-FR"/>
              </w:rPr>
              <w:t xml:space="preserve">ex. Base de données UPOV sur les variétés végétales (PLUTO) </w:t>
            </w:r>
            <w:hyperlink r:id="rId12" w:history="1">
              <w:r w:rsidR="00AB4E62" w:rsidRPr="000C3E5F">
                <w:rPr>
                  <w:rStyle w:val="Hyperlink"/>
                  <w:lang w:val="fr-FR"/>
                </w:rPr>
                <w:t>http://www.upov.int/pluto/fr/</w:t>
              </w:r>
            </w:hyperlink>
            <w:r w:rsidRPr="00340DB4">
              <w:rPr>
                <w:lang w:val="fr-FR"/>
              </w:rPr>
              <w:t>) pour identifier les droits antérieurs de dénominations variétales.  Ils peuvent aussi effectuer des recherches dans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autres registres, tels que des registres de marques, avant d</w:t>
            </w:r>
            <w:r w:rsidR="00C34ADB" w:rsidRPr="00340DB4">
              <w:rPr>
                <w:lang w:val="fr-FR"/>
              </w:rPr>
              <w:t>’</w:t>
            </w:r>
            <w:r w:rsidRPr="00340DB4">
              <w:rPr>
                <w:lang w:val="fr-FR"/>
              </w:rPr>
              <w:t>accepter une dénomination variétale”.</w:t>
            </w:r>
          </w:p>
        </w:tc>
      </w:tr>
      <w:tr w:rsidR="00340DB4" w:rsidRPr="00340DB4" w:rsidTr="00017FC1">
        <w:trPr>
          <w:cantSplit/>
        </w:trPr>
        <w:tc>
          <w:tcPr>
            <w:tcW w:w="1391" w:type="dxa"/>
          </w:tcPr>
          <w:p w:rsidR="002F7364" w:rsidRPr="00340DB4" w:rsidRDefault="0081069D" w:rsidP="00340DB4">
            <w:pPr>
              <w:rPr>
                <w:lang w:val="fr-FR"/>
              </w:rPr>
            </w:pPr>
            <w:r w:rsidRPr="00340DB4">
              <w:rPr>
                <w:lang w:val="fr-FR"/>
              </w:rPr>
              <w:t>4.e)i)</w:t>
            </w:r>
          </w:p>
        </w:tc>
        <w:tc>
          <w:tcPr>
            <w:tcW w:w="7789" w:type="dxa"/>
          </w:tcPr>
          <w:p w:rsidR="00F0449E" w:rsidRPr="00340DB4" w:rsidRDefault="0081069D" w:rsidP="00340DB4">
            <w:pPr>
              <w:spacing w:after="120"/>
              <w:rPr>
                <w:snapToGrid w:val="0"/>
                <w:lang w:val="fr-FR"/>
              </w:rPr>
            </w:pPr>
            <w:r w:rsidRPr="00340DB4">
              <w:rPr>
                <w:snapToGrid w:val="0"/>
                <w:lang w:val="fr-FR"/>
              </w:rPr>
              <w:t>Modifier la dernière phrase du paragraphe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4.e)i) comme suit</w:t>
            </w:r>
            <w:r w:rsidR="001C4EE2" w:rsidRPr="00340DB4">
              <w:rPr>
                <w:snapToGrid w:val="0"/>
                <w:lang w:val="fr-FR"/>
              </w:rPr>
              <w:t> </w:t>
            </w:r>
            <w:r w:rsidRPr="00340DB4">
              <w:rPr>
                <w:snapToGrid w:val="0"/>
                <w:lang w:val="fr-FR"/>
              </w:rPr>
              <w:t>:</w:t>
            </w:r>
          </w:p>
          <w:p w:rsidR="002F7364" w:rsidRPr="00340DB4" w:rsidRDefault="0081069D" w:rsidP="00340DB4">
            <w:pPr>
              <w:tabs>
                <w:tab w:val="right" w:pos="1134"/>
                <w:tab w:val="left" w:pos="1418"/>
              </w:tabs>
              <w:rPr>
                <w:lang w:val="fr-FR"/>
              </w:rPr>
            </w:pPr>
            <w:r w:rsidRPr="00340DB4">
              <w:rPr>
                <w:lang w:val="fr-FR"/>
              </w:rPr>
              <w:t xml:space="preserve">“Dans les cas de simple similitude ou de faible risque </w:t>
            </w:r>
            <w:r w:rsidRPr="00340DB4">
              <w:rPr>
                <w:strike/>
                <w:lang w:val="fr-FR"/>
              </w:rPr>
              <w:t>d</w:t>
            </w:r>
            <w:r w:rsidR="00C34ADB" w:rsidRPr="00340DB4">
              <w:rPr>
                <w:strike/>
                <w:lang w:val="fr-FR"/>
              </w:rPr>
              <w:t>’</w:t>
            </w:r>
            <w:r w:rsidRPr="00340DB4">
              <w:rPr>
                <w:strike/>
                <w:lang w:val="fr-FR"/>
              </w:rPr>
              <w:t>association</w:t>
            </w:r>
            <w:r w:rsidRPr="00340DB4">
              <w:rPr>
                <w:lang w:val="fr-FR"/>
              </w:rPr>
              <w:t xml:space="preserve"> de confusion par les utilisateurs, des dérogations accordées aux obtenteurs par les titulaires des droits antérieurs sur une marque peuvent convenir”.</w:t>
            </w:r>
          </w:p>
        </w:tc>
      </w:tr>
    </w:tbl>
    <w:p w:rsidR="00F0449E" w:rsidRPr="00340DB4" w:rsidRDefault="00F0449E" w:rsidP="00AB4E62">
      <w:pPr>
        <w:rPr>
          <w:rFonts w:cs="Arial"/>
          <w:lang w:val="fr-FR" w:eastAsia="ja-JP"/>
        </w:rPr>
      </w:pPr>
    </w:p>
    <w:p w:rsidR="00F0449E" w:rsidRPr="00340DB4" w:rsidRDefault="00F0449E" w:rsidP="00AB4E62">
      <w:pPr>
        <w:rPr>
          <w:rFonts w:cs="Arial"/>
          <w:lang w:val="fr-FR" w:eastAsia="ja-JP"/>
        </w:rPr>
      </w:pPr>
    </w:p>
    <w:p w:rsidR="00F0449E" w:rsidRPr="00340DB4" w:rsidRDefault="003E3D83" w:rsidP="00AB4E62">
      <w:pPr>
        <w:pStyle w:val="dec"/>
        <w:keepNext/>
        <w:tabs>
          <w:tab w:val="left" w:pos="5387"/>
          <w:tab w:val="left" w:pos="5954"/>
        </w:tabs>
        <w:ind w:left="4820"/>
        <w:rPr>
          <w:rFonts w:eastAsia="MS Mincho"/>
          <w:spacing w:val="0"/>
          <w:lang w:val="fr-FR" w:eastAsia="ja-JP"/>
        </w:rPr>
      </w:pPr>
      <w:r w:rsidRPr="00340DB4">
        <w:rPr>
          <w:lang w:val="fr-FR"/>
        </w:rPr>
        <w:fldChar w:fldCharType="begin"/>
      </w:r>
      <w:r w:rsidRPr="00340DB4">
        <w:rPr>
          <w:lang w:val="fr-FR"/>
        </w:rPr>
        <w:instrText xml:space="preserve"> AUTONUM  </w:instrText>
      </w:r>
      <w:r w:rsidRPr="00340DB4">
        <w:rPr>
          <w:lang w:val="fr-FR"/>
        </w:rPr>
        <w:fldChar w:fldCharType="end"/>
      </w:r>
      <w:r w:rsidRPr="00340DB4">
        <w:rPr>
          <w:lang w:val="fr-FR"/>
        </w:rPr>
        <w:tab/>
      </w:r>
      <w:r w:rsidR="00F0449E" w:rsidRPr="00340DB4">
        <w:rPr>
          <w:lang w:val="fr-FR"/>
        </w:rPr>
        <w:t>Le CAJ est invité</w:t>
      </w:r>
      <w:r w:rsidR="00276F0D">
        <w:rPr>
          <w:lang w:val="fr-FR"/>
        </w:rPr>
        <w:t xml:space="preserve"> à :</w:t>
      </w:r>
    </w:p>
    <w:p w:rsidR="00F0449E" w:rsidRPr="00340DB4" w:rsidRDefault="00F0449E" w:rsidP="00AB4E62">
      <w:pPr>
        <w:pStyle w:val="dec"/>
        <w:keepNext/>
        <w:tabs>
          <w:tab w:val="left" w:pos="5387"/>
          <w:tab w:val="left" w:pos="5954"/>
        </w:tabs>
        <w:ind w:left="4820"/>
        <w:rPr>
          <w:spacing w:val="0"/>
          <w:lang w:val="fr-FR"/>
        </w:rPr>
      </w:pPr>
    </w:p>
    <w:p w:rsidR="00F0449E" w:rsidRPr="00340DB4" w:rsidRDefault="00F0449E" w:rsidP="00AB4E62">
      <w:pPr>
        <w:pStyle w:val="dec"/>
        <w:keepLines/>
        <w:tabs>
          <w:tab w:val="left" w:pos="5387"/>
          <w:tab w:val="left" w:pos="5954"/>
        </w:tabs>
        <w:ind w:left="4820" w:firstLine="567"/>
        <w:rPr>
          <w:spacing w:val="0"/>
          <w:lang w:val="fr-FR"/>
        </w:rPr>
      </w:pPr>
      <w:r w:rsidRPr="00340DB4">
        <w:rPr>
          <w:spacing w:val="0"/>
          <w:lang w:val="fr-FR"/>
        </w:rPr>
        <w:t>a)</w:t>
      </w:r>
      <w:r w:rsidRPr="00340DB4">
        <w:rPr>
          <w:spacing w:val="0"/>
          <w:lang w:val="fr-FR"/>
        </w:rPr>
        <w:tab/>
        <w:t xml:space="preserve">prendre note des travaux </w:t>
      </w:r>
      <w:r w:rsidR="005A482D" w:rsidRPr="00340DB4">
        <w:rPr>
          <w:spacing w:val="0"/>
          <w:lang w:val="fr-FR"/>
        </w:rPr>
        <w:t>sur</w:t>
      </w:r>
      <w:r w:rsidRPr="00340DB4">
        <w:rPr>
          <w:spacing w:val="0"/>
          <w:lang w:val="fr-FR"/>
        </w:rPr>
        <w:t xml:space="preserve"> la possibilité d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élaboration d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un outil de recherche de l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 xml:space="preserve">UPOV de similarité aux fins de la dénomination variétale </w:t>
      </w:r>
      <w:r w:rsidR="005A482D" w:rsidRPr="00340DB4">
        <w:rPr>
          <w:spacing w:val="0"/>
          <w:lang w:val="fr-FR"/>
        </w:rPr>
        <w:t xml:space="preserve">qui ont été </w:t>
      </w:r>
      <w:r w:rsidRPr="00340DB4">
        <w:rPr>
          <w:spacing w:val="0"/>
          <w:lang w:val="fr-FR"/>
        </w:rPr>
        <w:t>réalisés par le groupe de travail sur l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élaboration d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un outil de recherche de l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UPOV de similarité aux fins de la dénomination variétale (WG</w:t>
      </w:r>
      <w:r w:rsidR="001B3822" w:rsidRPr="00340DB4">
        <w:rPr>
          <w:spacing w:val="0"/>
          <w:lang w:val="fr-FR"/>
        </w:rPr>
        <w:noBreakHyphen/>
      </w:r>
      <w:r w:rsidRPr="00340DB4">
        <w:rPr>
          <w:spacing w:val="0"/>
          <w:lang w:val="fr-FR"/>
        </w:rPr>
        <w:t xml:space="preserve">DST), </w:t>
      </w:r>
      <w:r w:rsidR="00C34ADB" w:rsidRPr="00340DB4">
        <w:rPr>
          <w:spacing w:val="0"/>
          <w:lang w:val="fr-FR"/>
        </w:rPr>
        <w:t>y compris</w:t>
      </w:r>
      <w:r w:rsidRPr="00340DB4">
        <w:rPr>
          <w:spacing w:val="0"/>
          <w:lang w:val="fr-FR"/>
        </w:rPr>
        <w:t xml:space="preserve"> l</w:t>
      </w:r>
      <w:r w:rsidR="00C34ADB" w:rsidRPr="00340DB4">
        <w:rPr>
          <w:spacing w:val="0"/>
          <w:lang w:val="fr-FR"/>
        </w:rPr>
        <w:t>’</w:t>
      </w:r>
      <w:r w:rsidRPr="00340DB4">
        <w:rPr>
          <w:spacing w:val="0"/>
          <w:lang w:val="fr-FR"/>
        </w:rPr>
        <w:t>étude test, comme indiqué aux paragraphes</w:t>
      </w:r>
      <w:r w:rsidR="001C4EE2" w:rsidRPr="00340DB4">
        <w:rPr>
          <w:spacing w:val="0"/>
          <w:lang w:val="fr-FR"/>
        </w:rPr>
        <w:t> </w:t>
      </w:r>
      <w:r w:rsidRPr="00340DB4">
        <w:rPr>
          <w:spacing w:val="0"/>
          <w:lang w:val="fr-FR"/>
        </w:rPr>
        <w:t>6 à 13;</w:t>
      </w:r>
    </w:p>
    <w:p w:rsidR="00F0449E" w:rsidRPr="00340DB4" w:rsidRDefault="00F0449E" w:rsidP="00340DB4">
      <w:pPr>
        <w:pStyle w:val="dec"/>
        <w:tabs>
          <w:tab w:val="left" w:pos="5387"/>
          <w:tab w:val="left" w:pos="5954"/>
        </w:tabs>
        <w:ind w:left="4820"/>
        <w:rPr>
          <w:spacing w:val="0"/>
          <w:lang w:val="fr-FR"/>
        </w:rPr>
      </w:pPr>
    </w:p>
    <w:bookmarkEnd w:id="8"/>
    <w:p w:rsidR="00F0449E" w:rsidRPr="00340DB4" w:rsidRDefault="002B5FE4" w:rsidP="00340DB4">
      <w:pPr>
        <w:pStyle w:val="dec"/>
        <w:tabs>
          <w:tab w:val="left" w:pos="5387"/>
          <w:tab w:val="left" w:pos="5954"/>
        </w:tabs>
        <w:ind w:left="4820"/>
        <w:rPr>
          <w:rFonts w:eastAsia="MS Mincho"/>
          <w:lang w:val="fr-FR" w:eastAsia="ja-JP"/>
        </w:rPr>
      </w:pPr>
      <w:r w:rsidRPr="00340DB4">
        <w:rPr>
          <w:rFonts w:eastAsia="MS Mincho" w:cs="Arial"/>
          <w:lang w:val="fr-FR" w:eastAsia="ja-JP"/>
        </w:rPr>
        <w:tab/>
      </w:r>
      <w:r w:rsidR="00F0449E" w:rsidRPr="00340DB4">
        <w:rPr>
          <w:rFonts w:eastAsia="MS Mincho" w:cs="Arial"/>
          <w:lang w:val="fr-FR" w:eastAsia="ja-JP"/>
        </w:rPr>
        <w:t>b)</w:t>
      </w:r>
      <w:r w:rsidR="00F0449E" w:rsidRPr="00340DB4">
        <w:rPr>
          <w:rFonts w:eastAsia="MS Mincho" w:cs="Arial"/>
          <w:lang w:val="fr-FR" w:eastAsia="ja-JP"/>
        </w:rPr>
        <w:tab/>
        <w:t>examiner la proposition de révision du document UPOV/INF/12 concernant les modifications de dénominations variétales enregistrées</w:t>
      </w:r>
      <w:r w:rsidR="005A482D" w:rsidRPr="00340DB4">
        <w:rPr>
          <w:rFonts w:eastAsia="MS Mincho" w:cs="Arial"/>
          <w:lang w:val="fr-FR" w:eastAsia="ja-JP"/>
        </w:rPr>
        <w:t>,</w:t>
      </w:r>
      <w:r w:rsidR="00F0449E" w:rsidRPr="00340DB4">
        <w:rPr>
          <w:rFonts w:eastAsia="MS Mincho" w:cs="Arial"/>
          <w:lang w:val="fr-FR" w:eastAsia="ja-JP"/>
        </w:rPr>
        <w:t xml:space="preserve"> comme indiqué au paragraphe</w:t>
      </w:r>
      <w:r w:rsidR="001C4EE2" w:rsidRPr="00340DB4">
        <w:rPr>
          <w:rFonts w:eastAsia="MS Mincho" w:cs="Arial"/>
          <w:lang w:val="fr-FR" w:eastAsia="ja-JP"/>
        </w:rPr>
        <w:t> </w:t>
      </w:r>
      <w:r w:rsidR="00F0449E" w:rsidRPr="00340DB4">
        <w:rPr>
          <w:rFonts w:eastAsia="MS Mincho" w:cs="Arial"/>
          <w:lang w:val="fr-FR" w:eastAsia="ja-JP"/>
        </w:rPr>
        <w:t>21</w:t>
      </w:r>
      <w:r w:rsidR="005A482D" w:rsidRPr="00340DB4">
        <w:rPr>
          <w:rFonts w:eastAsia="MS Mincho" w:cs="Arial"/>
          <w:lang w:val="fr-FR" w:eastAsia="ja-JP"/>
        </w:rPr>
        <w:t>,</w:t>
      </w:r>
      <w:r w:rsidR="00F0449E" w:rsidRPr="00340DB4">
        <w:rPr>
          <w:rFonts w:eastAsia="MS Mincho" w:cs="Arial"/>
          <w:lang w:val="fr-FR" w:eastAsia="ja-JP"/>
        </w:rPr>
        <w:t xml:space="preserve"> et, sous réserve de l</w:t>
      </w:r>
      <w:r w:rsidR="00C34ADB" w:rsidRPr="00340DB4">
        <w:rPr>
          <w:rFonts w:eastAsia="MS Mincho" w:cs="Arial"/>
          <w:lang w:val="fr-FR" w:eastAsia="ja-JP"/>
        </w:rPr>
        <w:t>’</w:t>
      </w:r>
      <w:r w:rsidR="00F0449E" w:rsidRPr="00340DB4">
        <w:rPr>
          <w:rFonts w:eastAsia="MS Mincho" w:cs="Arial"/>
          <w:lang w:val="fr-FR" w:eastAsia="ja-JP"/>
        </w:rPr>
        <w:t>approbation</w:t>
      </w:r>
      <w:r w:rsidR="00C34ADB" w:rsidRPr="00340DB4">
        <w:rPr>
          <w:rFonts w:eastAsia="MS Mincho" w:cs="Arial"/>
          <w:lang w:val="fr-FR" w:eastAsia="ja-JP"/>
        </w:rPr>
        <w:t xml:space="preserve"> du CAJ</w:t>
      </w:r>
      <w:r w:rsidR="00F0449E" w:rsidRPr="00340DB4">
        <w:rPr>
          <w:rFonts w:eastAsia="MS Mincho" w:cs="Arial"/>
          <w:lang w:val="fr-FR" w:eastAsia="ja-JP"/>
        </w:rPr>
        <w:t xml:space="preserve">, à présenter ces orientations </w:t>
      </w:r>
      <w:r w:rsidR="00276F0D">
        <w:rPr>
          <w:rFonts w:eastAsia="MS Mincho" w:cs="Arial"/>
          <w:lang w:val="fr-FR" w:eastAsia="ja-JP"/>
        </w:rPr>
        <w:br/>
      </w:r>
      <w:r w:rsidR="00F0449E" w:rsidRPr="00340DB4">
        <w:rPr>
          <w:rFonts w:eastAsia="MS Mincho" w:cs="Arial"/>
          <w:lang w:val="fr-FR" w:eastAsia="ja-JP"/>
        </w:rPr>
        <w:t>pour adoption par le Conseil à sa quarante</w:t>
      </w:r>
      <w:r w:rsidR="001B3822" w:rsidRPr="00340DB4">
        <w:rPr>
          <w:rFonts w:eastAsia="MS Mincho" w:cs="Arial"/>
          <w:lang w:val="fr-FR" w:eastAsia="ja-JP"/>
        </w:rPr>
        <w:noBreakHyphen/>
      </w:r>
      <w:r w:rsidR="00F0449E" w:rsidRPr="00340DB4">
        <w:rPr>
          <w:rFonts w:eastAsia="MS Mincho" w:cs="Arial"/>
          <w:lang w:val="fr-FR" w:eastAsia="ja-JP"/>
        </w:rPr>
        <w:t>neuvième</w:t>
      </w:r>
      <w:r w:rsidR="001C4EE2" w:rsidRPr="00340DB4">
        <w:rPr>
          <w:rFonts w:eastAsia="MS Mincho" w:cs="Arial"/>
          <w:lang w:val="fr-FR" w:eastAsia="ja-JP"/>
        </w:rPr>
        <w:t> </w:t>
      </w:r>
      <w:r w:rsidR="00F0449E" w:rsidRPr="00340DB4">
        <w:rPr>
          <w:rFonts w:eastAsia="MS Mincho" w:cs="Arial"/>
          <w:lang w:val="fr-FR" w:eastAsia="ja-JP"/>
        </w:rPr>
        <w:t>session ordinaire, prévue le 2</w:t>
      </w:r>
      <w:r w:rsidR="00C34ADB" w:rsidRPr="00340DB4">
        <w:rPr>
          <w:rFonts w:eastAsia="MS Mincho" w:cs="Arial"/>
          <w:lang w:val="fr-FR" w:eastAsia="ja-JP"/>
        </w:rPr>
        <w:t>9 octobre 20</w:t>
      </w:r>
      <w:r w:rsidR="00F0449E" w:rsidRPr="00340DB4">
        <w:rPr>
          <w:rFonts w:eastAsia="MS Mincho" w:cs="Arial"/>
          <w:lang w:val="fr-FR" w:eastAsia="ja-JP"/>
        </w:rPr>
        <w:t>15;</w:t>
      </w:r>
    </w:p>
    <w:p w:rsidR="00F0449E" w:rsidRPr="00340DB4" w:rsidRDefault="00F0449E" w:rsidP="00340DB4">
      <w:pPr>
        <w:pStyle w:val="dec"/>
        <w:tabs>
          <w:tab w:val="left" w:pos="5387"/>
          <w:tab w:val="left" w:pos="5954"/>
        </w:tabs>
        <w:ind w:left="4820"/>
        <w:rPr>
          <w:rFonts w:eastAsia="MS Mincho" w:cs="Arial"/>
          <w:lang w:val="fr-FR" w:eastAsia="ja-JP"/>
        </w:rPr>
      </w:pPr>
    </w:p>
    <w:p w:rsidR="00F0449E" w:rsidRPr="00340DB4" w:rsidRDefault="000360C1" w:rsidP="00340DB4">
      <w:pPr>
        <w:pStyle w:val="dec"/>
        <w:tabs>
          <w:tab w:val="left" w:pos="5387"/>
          <w:tab w:val="left" w:pos="5954"/>
        </w:tabs>
        <w:ind w:left="4820" w:firstLine="567"/>
        <w:rPr>
          <w:rFonts w:eastAsia="MS Mincho" w:cs="Arial"/>
          <w:lang w:val="fr-FR" w:eastAsia="ja-JP"/>
        </w:rPr>
      </w:pPr>
      <w:proofErr w:type="gramStart"/>
      <w:r w:rsidRPr="00340DB4">
        <w:rPr>
          <w:rFonts w:eastAsia="MS Mincho" w:cs="Arial"/>
          <w:lang w:val="fr-FR" w:eastAsia="ja-JP"/>
        </w:rPr>
        <w:t>c)</w:t>
      </w:r>
      <w:proofErr w:type="gramEnd"/>
      <w:r w:rsidRPr="00340DB4">
        <w:rPr>
          <w:rFonts w:eastAsia="MS Mincho" w:cs="Arial"/>
          <w:lang w:val="fr-FR" w:eastAsia="ja-JP"/>
        </w:rPr>
        <w:tab/>
        <w:t>inviter le WG</w:t>
      </w:r>
      <w:r w:rsidR="001B3822" w:rsidRPr="00340DB4">
        <w:rPr>
          <w:rFonts w:eastAsia="MS Mincho" w:cs="Arial"/>
          <w:lang w:val="fr-FR" w:eastAsia="ja-JP"/>
        </w:rPr>
        <w:noBreakHyphen/>
      </w:r>
      <w:r w:rsidRPr="00340DB4">
        <w:rPr>
          <w:rFonts w:eastAsia="MS Mincho" w:cs="Arial"/>
          <w:lang w:val="fr-FR" w:eastAsia="ja-JP"/>
        </w:rPr>
        <w:t xml:space="preserve">DST à examiner les </w:t>
      </w:r>
      <w:r w:rsidR="005A482D" w:rsidRPr="00340DB4">
        <w:rPr>
          <w:rFonts w:eastAsia="MS Mincho" w:cs="Arial"/>
          <w:lang w:val="fr-FR" w:eastAsia="ja-JP"/>
        </w:rPr>
        <w:t>observations</w:t>
      </w:r>
      <w:r w:rsidRPr="00340DB4">
        <w:rPr>
          <w:rFonts w:eastAsia="MS Mincho" w:cs="Arial"/>
          <w:lang w:val="fr-FR" w:eastAsia="ja-JP"/>
        </w:rPr>
        <w:t xml:space="preserve"> fait</w:t>
      </w:r>
      <w:r w:rsidR="005A482D" w:rsidRPr="00340DB4">
        <w:rPr>
          <w:rFonts w:eastAsia="MS Mincho" w:cs="Arial"/>
          <w:lang w:val="fr-FR" w:eastAsia="ja-JP"/>
        </w:rPr>
        <w:t>e</w:t>
      </w:r>
      <w:r w:rsidRPr="00340DB4">
        <w:rPr>
          <w:rFonts w:eastAsia="MS Mincho" w:cs="Arial"/>
          <w:lang w:val="fr-FR" w:eastAsia="ja-JP"/>
        </w:rPr>
        <w:t>s par</w:t>
      </w:r>
      <w:r w:rsidR="00C34ADB" w:rsidRPr="00340DB4">
        <w:rPr>
          <w:rFonts w:eastAsia="MS Mincho" w:cs="Arial"/>
          <w:lang w:val="fr-FR" w:eastAsia="ja-JP"/>
        </w:rPr>
        <w:t xml:space="preserve"> le CAJ</w:t>
      </w:r>
      <w:r w:rsidR="001B3822" w:rsidRPr="00340DB4">
        <w:rPr>
          <w:rFonts w:eastAsia="MS Mincho" w:cs="Arial"/>
          <w:lang w:val="fr-FR" w:eastAsia="ja-JP"/>
        </w:rPr>
        <w:noBreakHyphen/>
      </w:r>
      <w:r w:rsidRPr="00340DB4">
        <w:rPr>
          <w:rFonts w:eastAsia="MS Mincho" w:cs="Arial"/>
          <w:lang w:val="fr-FR" w:eastAsia="ja-JP"/>
        </w:rPr>
        <w:t>AG à sa neuvième</w:t>
      </w:r>
      <w:r w:rsidR="001C4EE2" w:rsidRPr="00340DB4">
        <w:rPr>
          <w:rFonts w:eastAsia="MS Mincho" w:cs="Arial"/>
          <w:lang w:val="fr-FR" w:eastAsia="ja-JP"/>
        </w:rPr>
        <w:t> </w:t>
      </w:r>
      <w:r w:rsidRPr="00340DB4">
        <w:rPr>
          <w:rFonts w:eastAsia="MS Mincho" w:cs="Arial"/>
          <w:lang w:val="fr-FR" w:eastAsia="ja-JP"/>
        </w:rPr>
        <w:t xml:space="preserve">session sur les propositions </w:t>
      </w:r>
      <w:r w:rsidR="005A482D" w:rsidRPr="00340DB4">
        <w:rPr>
          <w:rFonts w:eastAsia="MS Mincho" w:cs="Arial"/>
          <w:lang w:val="fr-FR" w:eastAsia="ja-JP"/>
        </w:rPr>
        <w:t>présentées</w:t>
      </w:r>
      <w:r w:rsidRPr="00340DB4">
        <w:rPr>
          <w:rFonts w:eastAsia="MS Mincho" w:cs="Arial"/>
          <w:lang w:val="fr-FR" w:eastAsia="ja-JP"/>
        </w:rPr>
        <w:t xml:space="preserve"> dans le document UPOV/INF/12/5 </w:t>
      </w:r>
      <w:proofErr w:type="spellStart"/>
      <w:r w:rsidRPr="00340DB4">
        <w:rPr>
          <w:rFonts w:eastAsia="MS Mincho" w:cs="Arial"/>
          <w:lang w:val="fr-FR" w:eastAsia="ja-JP"/>
        </w:rPr>
        <w:t>Draft</w:t>
      </w:r>
      <w:proofErr w:type="spellEnd"/>
      <w:r w:rsidRPr="00340DB4">
        <w:rPr>
          <w:rFonts w:eastAsia="MS Mincho" w:cs="Arial"/>
          <w:lang w:val="fr-FR" w:eastAsia="ja-JP"/>
        </w:rPr>
        <w:t xml:space="preserve"> 2 concernant les paragraphes</w:t>
      </w:r>
      <w:r w:rsidR="001C4EE2" w:rsidRPr="00340DB4">
        <w:rPr>
          <w:rFonts w:eastAsia="MS Mincho" w:cs="Arial"/>
          <w:lang w:val="fr-FR" w:eastAsia="ja-JP"/>
        </w:rPr>
        <w:t> </w:t>
      </w:r>
      <w:r w:rsidRPr="00340DB4">
        <w:rPr>
          <w:rFonts w:eastAsia="MS Mincho" w:cs="Arial"/>
          <w:lang w:val="fr-FR" w:eastAsia="ja-JP"/>
        </w:rPr>
        <w:t>2.2.2.b), 2.3.1.c) et d)</w:t>
      </w:r>
      <w:r w:rsidR="001C4EE2" w:rsidRPr="00340DB4">
        <w:rPr>
          <w:rFonts w:eastAsia="MS Mincho" w:cs="Arial"/>
          <w:lang w:val="fr-FR" w:eastAsia="ja-JP"/>
        </w:rPr>
        <w:t> </w:t>
      </w:r>
      <w:r w:rsidRPr="00340DB4">
        <w:rPr>
          <w:rFonts w:eastAsia="MS Mincho" w:cs="Arial"/>
          <w:lang w:val="fr-FR" w:eastAsia="ja-JP"/>
        </w:rPr>
        <w:t>et 2.3.3, comme indiqué au paragraphe</w:t>
      </w:r>
      <w:r w:rsidR="001C4EE2" w:rsidRPr="00340DB4">
        <w:rPr>
          <w:rFonts w:eastAsia="MS Mincho" w:cs="Arial"/>
          <w:lang w:val="fr-FR" w:eastAsia="ja-JP"/>
        </w:rPr>
        <w:t> </w:t>
      </w:r>
      <w:r w:rsidRPr="00340DB4">
        <w:rPr>
          <w:rFonts w:eastAsia="MS Mincho" w:cs="Arial"/>
          <w:lang w:val="fr-FR" w:eastAsia="ja-JP"/>
        </w:rPr>
        <w:t>27;  et</w:t>
      </w:r>
    </w:p>
    <w:p w:rsidR="00F0449E" w:rsidRPr="00340DB4" w:rsidRDefault="00F0449E" w:rsidP="00340DB4">
      <w:pPr>
        <w:pStyle w:val="dec"/>
        <w:tabs>
          <w:tab w:val="left" w:pos="5387"/>
          <w:tab w:val="left" w:pos="5954"/>
        </w:tabs>
        <w:ind w:left="4820" w:firstLine="567"/>
        <w:rPr>
          <w:rFonts w:cs="Arial"/>
          <w:lang w:val="fr-FR"/>
        </w:rPr>
      </w:pPr>
    </w:p>
    <w:p w:rsidR="00F0449E" w:rsidRPr="00340DB4" w:rsidRDefault="000360C1" w:rsidP="00340DB4">
      <w:pPr>
        <w:pStyle w:val="dec"/>
        <w:tabs>
          <w:tab w:val="left" w:pos="5387"/>
          <w:tab w:val="left" w:pos="5954"/>
        </w:tabs>
        <w:spacing w:after="120"/>
        <w:ind w:left="4820" w:firstLine="567"/>
        <w:rPr>
          <w:rFonts w:cs="Arial"/>
          <w:lang w:val="fr-FR"/>
        </w:rPr>
      </w:pPr>
      <w:proofErr w:type="gramStart"/>
      <w:r w:rsidRPr="00340DB4">
        <w:rPr>
          <w:rFonts w:cs="Arial"/>
          <w:lang w:val="fr-FR"/>
        </w:rPr>
        <w:t>d</w:t>
      </w:r>
      <w:proofErr w:type="gramEnd"/>
      <w:r w:rsidRPr="00340DB4">
        <w:rPr>
          <w:rFonts w:cs="Arial"/>
          <w:lang w:val="fr-FR"/>
        </w:rPr>
        <w:t>)</w:t>
      </w:r>
      <w:r w:rsidRPr="00340DB4">
        <w:rPr>
          <w:rFonts w:cs="Arial"/>
          <w:lang w:val="fr-FR"/>
        </w:rPr>
        <w:tab/>
        <w:t>examiner les propositions</w:t>
      </w:r>
      <w:r w:rsidR="00C34ADB" w:rsidRPr="00340DB4">
        <w:rPr>
          <w:rFonts w:cs="Arial"/>
          <w:lang w:val="fr-FR"/>
        </w:rPr>
        <w:t xml:space="preserve"> du CAJ</w:t>
      </w:r>
      <w:r w:rsidR="001B3822" w:rsidRPr="00340DB4">
        <w:rPr>
          <w:rFonts w:cs="Arial"/>
          <w:lang w:val="fr-FR"/>
        </w:rPr>
        <w:noBreakHyphen/>
      </w:r>
      <w:r w:rsidRPr="00340DB4">
        <w:rPr>
          <w:rFonts w:cs="Arial"/>
          <w:lang w:val="fr-FR"/>
        </w:rPr>
        <w:t>AG pour les paragraphes</w:t>
      </w:r>
      <w:r w:rsidR="001C4EE2" w:rsidRPr="00340DB4">
        <w:rPr>
          <w:rFonts w:cs="Arial"/>
          <w:lang w:val="fr-FR"/>
        </w:rPr>
        <w:t> </w:t>
      </w:r>
      <w:r w:rsidRPr="00340DB4">
        <w:rPr>
          <w:rFonts w:cs="Arial"/>
          <w:lang w:val="fr-FR"/>
        </w:rPr>
        <w:t>2.2.2.c), 4.a) et 4.e)i) à sa soixante</w:t>
      </w:r>
      <w:r w:rsidR="001B3822" w:rsidRPr="00340DB4">
        <w:rPr>
          <w:rFonts w:cs="Arial"/>
          <w:lang w:val="fr-FR"/>
        </w:rPr>
        <w:noBreakHyphen/>
      </w:r>
      <w:r w:rsidRPr="00340DB4">
        <w:rPr>
          <w:rFonts w:cs="Arial"/>
          <w:lang w:val="fr-FR"/>
        </w:rPr>
        <w:t>douzième</w:t>
      </w:r>
      <w:r w:rsidR="001C4EE2" w:rsidRPr="00340DB4">
        <w:rPr>
          <w:rFonts w:cs="Arial"/>
          <w:lang w:val="fr-FR"/>
        </w:rPr>
        <w:t> </w:t>
      </w:r>
      <w:r w:rsidRPr="00340DB4">
        <w:rPr>
          <w:rFonts w:cs="Arial"/>
          <w:lang w:val="fr-FR"/>
        </w:rPr>
        <w:t>session, comme indiqué au paragraphe</w:t>
      </w:r>
      <w:r w:rsidR="001C4EE2" w:rsidRPr="00340DB4">
        <w:rPr>
          <w:rFonts w:cs="Arial"/>
          <w:lang w:val="fr-FR"/>
        </w:rPr>
        <w:t> </w:t>
      </w:r>
      <w:r w:rsidRPr="00340DB4">
        <w:rPr>
          <w:rFonts w:cs="Arial"/>
          <w:lang w:val="fr-FR"/>
        </w:rPr>
        <w:t>28.</w:t>
      </w:r>
    </w:p>
    <w:p w:rsidR="00F0449E" w:rsidRPr="00276F0D" w:rsidRDefault="00F0449E" w:rsidP="00276F0D"/>
    <w:p w:rsidR="005622CB" w:rsidRPr="00276F0D" w:rsidRDefault="005622CB" w:rsidP="00276F0D"/>
    <w:p w:rsidR="005622CB" w:rsidRPr="00276F0D" w:rsidRDefault="005622CB" w:rsidP="00276F0D"/>
    <w:p w:rsidR="00F0449E" w:rsidRPr="00340DB4" w:rsidRDefault="000360C1" w:rsidP="00340DB4">
      <w:pPr>
        <w:pStyle w:val="dec"/>
        <w:ind w:firstLine="567"/>
        <w:jc w:val="right"/>
        <w:rPr>
          <w:rFonts w:cs="Arial"/>
          <w:i w:val="0"/>
          <w:iCs/>
          <w:lang w:val="fr-FR"/>
        </w:rPr>
      </w:pPr>
      <w:r w:rsidRPr="00340DB4">
        <w:rPr>
          <w:rFonts w:cs="Arial"/>
          <w:i w:val="0"/>
          <w:iCs/>
          <w:lang w:val="fr-FR"/>
        </w:rPr>
        <w:t>[Fin du document]</w:t>
      </w:r>
    </w:p>
    <w:p w:rsidR="00F0449E" w:rsidRPr="005622CB" w:rsidRDefault="00F0449E" w:rsidP="005622CB"/>
    <w:p w:rsidR="00F0449E" w:rsidRPr="005622CB" w:rsidRDefault="00F0449E" w:rsidP="005622CB"/>
    <w:sectPr w:rsidR="00F0449E" w:rsidRPr="005622CB" w:rsidSect="00C34ADB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22" w:rsidRDefault="001B3822">
      <w:r>
        <w:separator/>
      </w:r>
    </w:p>
    <w:p w:rsidR="001B3822" w:rsidRDefault="001B3822"/>
    <w:p w:rsidR="001B3822" w:rsidRDefault="001B3822"/>
  </w:endnote>
  <w:endnote w:type="continuationSeparator" w:id="0">
    <w:p w:rsidR="001B3822" w:rsidRDefault="001B3822">
      <w:r>
        <w:separator/>
      </w:r>
    </w:p>
    <w:p w:rsidR="001B3822" w:rsidRPr="00664515" w:rsidRDefault="001B3822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1B3822" w:rsidRPr="00664515" w:rsidRDefault="001B3822">
      <w:pPr>
        <w:rPr>
          <w:lang w:val="fr-CH"/>
        </w:rPr>
      </w:pPr>
    </w:p>
    <w:p w:rsidR="001B3822" w:rsidRPr="00664515" w:rsidRDefault="001B3822">
      <w:pPr>
        <w:rPr>
          <w:lang w:val="fr-CH"/>
        </w:rPr>
      </w:pPr>
    </w:p>
  </w:endnote>
  <w:endnote w:type="continuationNotice" w:id="1">
    <w:p w:rsidR="001B3822" w:rsidRPr="00664515" w:rsidRDefault="001B3822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1B3822" w:rsidRPr="00664515" w:rsidRDefault="001B3822">
      <w:pPr>
        <w:rPr>
          <w:lang w:val="fr-CH"/>
        </w:rPr>
      </w:pPr>
    </w:p>
    <w:p w:rsidR="001B3822" w:rsidRPr="00664515" w:rsidRDefault="001B382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22" w:rsidRDefault="001B3822" w:rsidP="009D690D">
      <w:pPr>
        <w:spacing w:before="120"/>
      </w:pPr>
      <w:r>
        <w:separator/>
      </w:r>
    </w:p>
  </w:footnote>
  <w:footnote w:type="continuationSeparator" w:id="0">
    <w:p w:rsidR="001B3822" w:rsidRDefault="001B3822" w:rsidP="00520297">
      <w:pPr>
        <w:spacing w:before="120"/>
        <w:jc w:val="left"/>
      </w:pPr>
      <w:r>
        <w:separator/>
      </w:r>
    </w:p>
  </w:footnote>
  <w:footnote w:type="continuationNotice" w:id="1">
    <w:p w:rsidR="001B3822" w:rsidRDefault="001B3822"/>
  </w:footnote>
  <w:footnote w:id="2">
    <w:p w:rsidR="001B3822" w:rsidRPr="001D6119" w:rsidRDefault="001B3822" w:rsidP="005622CB">
      <w:pPr>
        <w:pStyle w:val="FootnoteText"/>
        <w:rPr>
          <w:lang w:val="fr-FR" w:eastAsia="ja-JP"/>
        </w:rPr>
      </w:pPr>
      <w:r w:rsidRPr="001D6119">
        <w:rPr>
          <w:rStyle w:val="FootnoteReference"/>
          <w:lang w:val="fr-FR"/>
        </w:rPr>
        <w:footnoteRef/>
      </w:r>
      <w:r w:rsidRPr="001D6119">
        <w:rPr>
          <w:lang w:val="fr-FR"/>
        </w:rPr>
        <w:t xml:space="preserve"> </w:t>
      </w:r>
      <w:r w:rsidRPr="001D6119">
        <w:rPr>
          <w:lang w:val="fr-FR" w:eastAsia="ja-JP"/>
        </w:rPr>
        <w:tab/>
        <w:t>Tenue à Genève le 13 octobre 2014.</w:t>
      </w:r>
    </w:p>
  </w:footnote>
  <w:footnote w:id="3">
    <w:p w:rsidR="001B3822" w:rsidRPr="001D6119" w:rsidRDefault="001B3822" w:rsidP="005622CB">
      <w:pPr>
        <w:pStyle w:val="FootnoteText"/>
        <w:rPr>
          <w:lang w:val="fr-FR" w:eastAsia="ja-JP"/>
        </w:rPr>
      </w:pPr>
      <w:r w:rsidRPr="001D6119">
        <w:rPr>
          <w:rStyle w:val="FootnoteReference"/>
          <w:lang w:val="fr-FR"/>
        </w:rPr>
        <w:footnoteRef/>
      </w:r>
      <w:r w:rsidRPr="001D6119">
        <w:rPr>
          <w:lang w:val="fr-FR"/>
        </w:rPr>
        <w:t xml:space="preserve"> </w:t>
      </w:r>
      <w:r w:rsidRPr="001D6119">
        <w:rPr>
          <w:lang w:val="fr-FR" w:eastAsia="ja-JP"/>
        </w:rPr>
        <w:tab/>
        <w:t>Tenue à Genève le 3 s</w:t>
      </w:r>
      <w:r w:rsidRPr="001D6119">
        <w:rPr>
          <w:lang w:val="fr-FR"/>
        </w:rPr>
        <w:t>eptembre 2014.</w:t>
      </w:r>
    </w:p>
  </w:footnote>
  <w:footnote w:id="4">
    <w:p w:rsidR="001B3822" w:rsidRPr="001C007C" w:rsidRDefault="001B3822" w:rsidP="005622CB">
      <w:pPr>
        <w:pStyle w:val="FootnoteText"/>
        <w:rPr>
          <w:lang w:val="fr-FR"/>
        </w:rPr>
      </w:pPr>
      <w:r w:rsidRPr="001D6119">
        <w:rPr>
          <w:rStyle w:val="FootnoteReference"/>
          <w:lang w:val="fr-FR"/>
        </w:rPr>
        <w:footnoteRef/>
      </w:r>
      <w:r w:rsidRPr="001D6119">
        <w:rPr>
          <w:lang w:val="fr-FR"/>
        </w:rPr>
        <w:t xml:space="preserve"> </w:t>
      </w:r>
      <w:r w:rsidRPr="001D6119">
        <w:rPr>
          <w:lang w:val="fr-FR"/>
        </w:rPr>
        <w:tab/>
      </w:r>
      <w:r w:rsidRPr="001C007C">
        <w:rPr>
          <w:lang w:val="fr-FR"/>
        </w:rPr>
        <w:t>Voir les paragraphes 26 à 29 du document CAJ/70/10 “Compte rendu des conclusions”.</w:t>
      </w:r>
    </w:p>
  </w:footnote>
  <w:footnote w:id="5">
    <w:p w:rsidR="001B3822" w:rsidRPr="001D6119" w:rsidRDefault="001B3822" w:rsidP="005622CB">
      <w:pPr>
        <w:pStyle w:val="FootnoteText"/>
        <w:rPr>
          <w:lang w:val="fr-FR" w:eastAsia="ja-JP"/>
        </w:rPr>
      </w:pPr>
      <w:r w:rsidRPr="001D6119">
        <w:rPr>
          <w:rStyle w:val="FootnoteReference"/>
          <w:lang w:val="fr-FR"/>
        </w:rPr>
        <w:footnoteRef/>
      </w:r>
      <w:r w:rsidRPr="001D6119">
        <w:rPr>
          <w:lang w:val="fr-FR"/>
        </w:rPr>
        <w:t xml:space="preserve"> </w:t>
      </w:r>
      <w:r w:rsidRPr="001D6119">
        <w:rPr>
          <w:lang w:val="fr-FR" w:eastAsia="ja-JP"/>
        </w:rPr>
        <w:tab/>
      </w:r>
      <w:r>
        <w:rPr>
          <w:lang w:val="fr-FR" w:eastAsia="ja-JP"/>
        </w:rPr>
        <w:t xml:space="preserve">Voir la circulaire </w:t>
      </w:r>
      <w:r w:rsidRPr="001D6119">
        <w:rPr>
          <w:snapToGrid w:val="0"/>
          <w:lang w:val="fr-FR"/>
        </w:rPr>
        <w:t>E-15/018</w:t>
      </w:r>
      <w:r w:rsidRPr="001D6119">
        <w:rPr>
          <w:snapToGrid w:val="0"/>
          <w:lang w:val="fr-FR" w:eastAsia="ja-JP"/>
        </w:rPr>
        <w:t xml:space="preserve"> </w:t>
      </w:r>
      <w:r>
        <w:rPr>
          <w:snapToGrid w:val="0"/>
          <w:lang w:val="fr-FR" w:eastAsia="ja-JP"/>
        </w:rPr>
        <w:t xml:space="preserve">de l’UPOV du 6 février </w:t>
      </w:r>
      <w:r w:rsidRPr="001D6119">
        <w:rPr>
          <w:lang w:val="fr-FR" w:eastAsia="ja-JP"/>
        </w:rPr>
        <w:t>2015.</w:t>
      </w:r>
    </w:p>
  </w:footnote>
  <w:footnote w:id="6">
    <w:p w:rsidR="001B3822" w:rsidRPr="001C007C" w:rsidRDefault="001B3822" w:rsidP="005622C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</w:r>
      <w:r w:rsidRPr="001C007C">
        <w:rPr>
          <w:lang w:val="fr-CH"/>
        </w:rPr>
        <w:t>Tenue le 10 avril 2014.</w:t>
      </w:r>
    </w:p>
  </w:footnote>
  <w:footnote w:id="7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  <w:t>Tenue les 14 et 17 octobre 2014.</w:t>
      </w:r>
    </w:p>
  </w:footnote>
  <w:footnote w:id="8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  <w:t>Voir les paragraphes 70 et 71 du document CAJ-AG/13/8/10 “Compte rendu</w:t>
      </w:r>
      <w:r w:rsidR="001C007C">
        <w:rPr>
          <w:lang w:val="fr-CH"/>
        </w:rPr>
        <w:t xml:space="preserve"> des conclusions</w:t>
      </w:r>
      <w:r w:rsidRPr="001C007C">
        <w:rPr>
          <w:lang w:val="fr-CH"/>
        </w:rPr>
        <w:t>”.</w:t>
      </w:r>
    </w:p>
  </w:footnote>
  <w:footnote w:id="9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  <w:t>Tenue à Genève les 21 et 25 octobre 2013.</w:t>
      </w:r>
    </w:p>
  </w:footnote>
  <w:footnote w:id="10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  <w:t>Voir le paragraphe 27 du document CAJ/69/12 “Compte rendu des conclusions”.</w:t>
      </w:r>
    </w:p>
  </w:footnote>
  <w:footnote w:id="11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 xml:space="preserve"> </w:t>
      </w:r>
      <w:r w:rsidRPr="001C007C">
        <w:rPr>
          <w:lang w:val="fr-CH"/>
        </w:rPr>
        <w:tab/>
        <w:t xml:space="preserve">Voir </w:t>
      </w:r>
      <w:r w:rsidR="005622CB">
        <w:rPr>
          <w:lang w:val="fr-CH"/>
        </w:rPr>
        <w:t xml:space="preserve">la section de </w:t>
      </w:r>
      <w:r w:rsidR="00147B94" w:rsidRPr="001C007C">
        <w:rPr>
          <w:lang w:val="fr-CH"/>
        </w:rPr>
        <w:t>la treizième </w:t>
      </w:r>
      <w:r w:rsidRPr="001C007C">
        <w:rPr>
          <w:lang w:val="fr-CH"/>
        </w:rPr>
        <w:t>session du CAJ-AG dans la partie “</w:t>
      </w:r>
      <w:proofErr w:type="spellStart"/>
      <w:r w:rsidRPr="001C007C">
        <w:rPr>
          <w:i/>
          <w:lang w:val="fr-CH"/>
        </w:rPr>
        <w:t>Consideration</w:t>
      </w:r>
      <w:proofErr w:type="spellEnd"/>
      <w:r w:rsidRPr="001C007C">
        <w:rPr>
          <w:i/>
          <w:lang w:val="fr-CH"/>
        </w:rPr>
        <w:t xml:space="preserve"> by </w:t>
      </w:r>
      <w:proofErr w:type="spellStart"/>
      <w:r w:rsidRPr="001C007C">
        <w:rPr>
          <w:i/>
          <w:lang w:val="fr-CH"/>
        </w:rPr>
        <w:t>Correspondence</w:t>
      </w:r>
      <w:proofErr w:type="spellEnd"/>
      <w:r w:rsidRPr="001C007C">
        <w:rPr>
          <w:lang w:val="fr-CH"/>
        </w:rPr>
        <w:t xml:space="preserve">” </w:t>
      </w:r>
      <w:proofErr w:type="gramStart"/>
      <w:r w:rsidRPr="001C007C">
        <w:rPr>
          <w:lang w:val="fr-CH"/>
        </w:rPr>
        <w:t xml:space="preserve">:  </w:t>
      </w:r>
      <w:proofErr w:type="gramEnd"/>
      <w:hyperlink r:id="rId1" w:history="1">
        <w:r w:rsidR="001C007C" w:rsidRPr="000C3E5F">
          <w:rPr>
            <w:rStyle w:val="Hyperlink"/>
            <w:lang w:val="fr-CH"/>
          </w:rPr>
          <w:t>http://www.upov.int/meetings/fr/details.jsp?meeting_id=29783</w:t>
        </w:r>
      </w:hyperlink>
      <w:r w:rsidRPr="001C007C">
        <w:rPr>
          <w:lang w:val="fr-CH"/>
        </w:rPr>
        <w:t>.</w:t>
      </w:r>
    </w:p>
  </w:footnote>
  <w:footnote w:id="12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  <w:t>Voir le paragraphe 28 du document CAJ/69/12 “Compte rendu des conclusions”.</w:t>
      </w:r>
    </w:p>
  </w:footnote>
  <w:footnote w:id="13">
    <w:p w:rsidR="001B3822" w:rsidRPr="001C007C" w:rsidRDefault="001B3822" w:rsidP="005622CB">
      <w:pPr>
        <w:pStyle w:val="FootnoteText"/>
        <w:rPr>
          <w:lang w:val="fr-CH"/>
        </w:rPr>
      </w:pPr>
      <w:r w:rsidRPr="001C007C">
        <w:rPr>
          <w:rStyle w:val="FootnoteReference"/>
        </w:rPr>
        <w:footnoteRef/>
      </w:r>
      <w:r w:rsidRPr="001C007C">
        <w:t xml:space="preserve"> </w:t>
      </w:r>
      <w:r w:rsidRPr="001C007C">
        <w:rPr>
          <w:lang w:val="fr-CH"/>
        </w:rPr>
        <w:tab/>
      </w:r>
      <w:hyperlink r:id="rId2" w:history="1">
        <w:r w:rsidR="001C007C" w:rsidRPr="000C3E5F">
          <w:rPr>
            <w:rStyle w:val="Hyperlink"/>
            <w:lang w:val="fr-CH"/>
          </w:rPr>
          <w:t>http://www.upov.int/meetings/fr/details.jsp?meeting_id=35055</w:t>
        </w:r>
      </w:hyperlink>
      <w:r w:rsidRPr="001C007C">
        <w:rPr>
          <w:lang w:val="fr-CH"/>
        </w:rPr>
        <w:t>.</w:t>
      </w:r>
    </w:p>
  </w:footnote>
  <w:footnote w:id="14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Voir le paragraphe 15 du document CAJ-AG/14/9/6 "Compte rendu des conclusions".</w:t>
      </w:r>
    </w:p>
  </w:footnote>
  <w:footnote w:id="15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Tenue à Genève les 21 et 25 octobre 2013.</w:t>
      </w:r>
    </w:p>
  </w:footnote>
  <w:footnote w:id="16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Voir les paragraphes 70 et 71 du document CAJ-AG/13/8/10 “Compte rendu</w:t>
      </w:r>
      <w:r w:rsidR="005622CB">
        <w:rPr>
          <w:lang w:val="fr-CH"/>
        </w:rPr>
        <w:t xml:space="preserve"> des conclusions</w:t>
      </w:r>
      <w:r w:rsidRPr="005622CB">
        <w:rPr>
          <w:lang w:val="fr-CH"/>
        </w:rPr>
        <w:t>”.</w:t>
      </w:r>
    </w:p>
  </w:footnote>
  <w:footnote w:id="17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Tenue le 10 avril 2014.</w:t>
      </w:r>
    </w:p>
  </w:footnote>
  <w:footnote w:id="18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Tenue à Genève les 14 et 17 octobre 2014.</w:t>
      </w:r>
    </w:p>
  </w:footnote>
  <w:footnote w:id="19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Voir le paragraph</w:t>
      </w:r>
      <w:r w:rsidR="005622CB">
        <w:rPr>
          <w:lang w:val="fr-CH"/>
        </w:rPr>
        <w:t>e 16 du document CAJ-AG/14/9/6 “Compte rendu des conclusions</w:t>
      </w:r>
      <w:r w:rsidR="005622CB">
        <w:t>”</w:t>
      </w:r>
      <w:r w:rsidRPr="005622CB">
        <w:rPr>
          <w:lang w:val="fr-CH"/>
        </w:rPr>
        <w:t>.</w:t>
      </w:r>
    </w:p>
  </w:footnote>
  <w:footnote w:id="20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Prévue à Genève le 26 mars 2015.</w:t>
      </w:r>
    </w:p>
  </w:footnote>
  <w:footnote w:id="21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Prévue le 28 octobre 2015.</w:t>
      </w:r>
    </w:p>
  </w:footnote>
  <w:footnote w:id="22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Voir le paragraphe 18 du document CAJ-AG/14/9/6 "Compte rendu des conclusions".</w:t>
      </w:r>
    </w:p>
  </w:footnote>
  <w:footnote w:id="23">
    <w:p w:rsidR="001B3822" w:rsidRPr="005622CB" w:rsidRDefault="001B3822" w:rsidP="005622CB">
      <w:pPr>
        <w:pStyle w:val="FootnoteText"/>
        <w:rPr>
          <w:lang w:val="fr-CH"/>
        </w:rPr>
      </w:pPr>
      <w:r w:rsidRPr="005622CB">
        <w:rPr>
          <w:rStyle w:val="FootnoteReference"/>
        </w:rPr>
        <w:footnoteRef/>
      </w:r>
      <w:r w:rsidRPr="005622CB">
        <w:t xml:space="preserve"> </w:t>
      </w:r>
      <w:r w:rsidRPr="005622CB">
        <w:rPr>
          <w:lang w:val="fr-CH"/>
        </w:rPr>
        <w:tab/>
        <w:t>Voir le paragraphe 18 du document CAJ-AG/14/9/6 "Compte rendu des conclusions".</w:t>
      </w:r>
    </w:p>
  </w:footnote>
  <w:footnote w:id="24">
    <w:p w:rsidR="001B3822" w:rsidRPr="00CD6430" w:rsidRDefault="001B3822" w:rsidP="005622C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Prévue à Genève les 26 et 27 octobre 2015.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822" w:rsidRPr="00997029" w:rsidRDefault="001B3822" w:rsidP="00E23920">
    <w:pPr>
      <w:jc w:val="center"/>
      <w:rPr>
        <w:rStyle w:val="PageNumber"/>
      </w:rPr>
    </w:pPr>
    <w:r>
      <w:rPr>
        <w:rStyle w:val="PageNumber"/>
      </w:rPr>
      <w:t>CAJ/71/3</w:t>
    </w:r>
  </w:p>
  <w:p w:rsidR="001B3822" w:rsidRPr="00997029" w:rsidRDefault="001B3822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6C1D8F">
      <w:rPr>
        <w:rStyle w:val="PageNumber"/>
        <w:noProof/>
      </w:rPr>
      <w:t>9</w:t>
    </w:r>
    <w:r w:rsidRPr="00997029">
      <w:rPr>
        <w:rStyle w:val="PageNumber"/>
      </w:rPr>
      <w:fldChar w:fldCharType="end"/>
    </w:r>
  </w:p>
  <w:p w:rsidR="001B3822" w:rsidRPr="00997029" w:rsidRDefault="001B3822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36E6"/>
    <w:multiLevelType w:val="hybridMultilevel"/>
    <w:tmpl w:val="56322C6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7042A"/>
    <w:multiLevelType w:val="hybridMultilevel"/>
    <w:tmpl w:val="CFFC8DC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A1C5B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86BBA"/>
    <w:multiLevelType w:val="hybridMultilevel"/>
    <w:tmpl w:val="0C2430FC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77AB2"/>
    <w:multiLevelType w:val="hybridMultilevel"/>
    <w:tmpl w:val="AAA60BE8"/>
    <w:lvl w:ilvl="0" w:tplc="DC08B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IP in General\SpeechDG2014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6C60FE"/>
    <w:rsid w:val="00001380"/>
    <w:rsid w:val="00001D48"/>
    <w:rsid w:val="00010CF3"/>
    <w:rsid w:val="00011E27"/>
    <w:rsid w:val="000148BC"/>
    <w:rsid w:val="00017FC1"/>
    <w:rsid w:val="000228BD"/>
    <w:rsid w:val="00024AB8"/>
    <w:rsid w:val="00026478"/>
    <w:rsid w:val="00036028"/>
    <w:rsid w:val="000360C1"/>
    <w:rsid w:val="000446B9"/>
    <w:rsid w:val="00047E21"/>
    <w:rsid w:val="0006472C"/>
    <w:rsid w:val="000828FF"/>
    <w:rsid w:val="00085505"/>
    <w:rsid w:val="000C6236"/>
    <w:rsid w:val="000C7021"/>
    <w:rsid w:val="000D492E"/>
    <w:rsid w:val="000D5DA3"/>
    <w:rsid w:val="000D6679"/>
    <w:rsid w:val="000D6BBC"/>
    <w:rsid w:val="000D7224"/>
    <w:rsid w:val="000D7780"/>
    <w:rsid w:val="000E42F8"/>
    <w:rsid w:val="000F05D7"/>
    <w:rsid w:val="00105929"/>
    <w:rsid w:val="00110481"/>
    <w:rsid w:val="001131D5"/>
    <w:rsid w:val="001164DE"/>
    <w:rsid w:val="00123820"/>
    <w:rsid w:val="0013296B"/>
    <w:rsid w:val="001410FA"/>
    <w:rsid w:val="00141DB8"/>
    <w:rsid w:val="00147B94"/>
    <w:rsid w:val="00147E7F"/>
    <w:rsid w:val="0015185B"/>
    <w:rsid w:val="00155977"/>
    <w:rsid w:val="00155F6F"/>
    <w:rsid w:val="0017474A"/>
    <w:rsid w:val="001758C6"/>
    <w:rsid w:val="00184A04"/>
    <w:rsid w:val="00187A2D"/>
    <w:rsid w:val="00192EC1"/>
    <w:rsid w:val="00197636"/>
    <w:rsid w:val="001A60B8"/>
    <w:rsid w:val="001A7029"/>
    <w:rsid w:val="001B3822"/>
    <w:rsid w:val="001B3F03"/>
    <w:rsid w:val="001C007C"/>
    <w:rsid w:val="001C3DF3"/>
    <w:rsid w:val="001C4EE2"/>
    <w:rsid w:val="001D063B"/>
    <w:rsid w:val="001D5473"/>
    <w:rsid w:val="001D6119"/>
    <w:rsid w:val="001E17A2"/>
    <w:rsid w:val="001F1F2A"/>
    <w:rsid w:val="001F730D"/>
    <w:rsid w:val="0021332C"/>
    <w:rsid w:val="00213982"/>
    <w:rsid w:val="00214B92"/>
    <w:rsid w:val="00237C7D"/>
    <w:rsid w:val="0024416D"/>
    <w:rsid w:val="0026489E"/>
    <w:rsid w:val="002661BE"/>
    <w:rsid w:val="0027309C"/>
    <w:rsid w:val="00275CF0"/>
    <w:rsid w:val="00276F0D"/>
    <w:rsid w:val="002800A0"/>
    <w:rsid w:val="00281060"/>
    <w:rsid w:val="002838FF"/>
    <w:rsid w:val="0029439F"/>
    <w:rsid w:val="002A2C65"/>
    <w:rsid w:val="002A6E50"/>
    <w:rsid w:val="002B5FE4"/>
    <w:rsid w:val="002C05E5"/>
    <w:rsid w:val="002C256A"/>
    <w:rsid w:val="002D410B"/>
    <w:rsid w:val="002E25B7"/>
    <w:rsid w:val="002E7BA1"/>
    <w:rsid w:val="002F7364"/>
    <w:rsid w:val="002F78FA"/>
    <w:rsid w:val="00303BC1"/>
    <w:rsid w:val="00305A7F"/>
    <w:rsid w:val="00306308"/>
    <w:rsid w:val="00307C75"/>
    <w:rsid w:val="003138BF"/>
    <w:rsid w:val="003152FE"/>
    <w:rsid w:val="0032221F"/>
    <w:rsid w:val="00327436"/>
    <w:rsid w:val="00340DB4"/>
    <w:rsid w:val="00344BD6"/>
    <w:rsid w:val="003533FA"/>
    <w:rsid w:val="0035528D"/>
    <w:rsid w:val="003614AC"/>
    <w:rsid w:val="00361821"/>
    <w:rsid w:val="00385DA2"/>
    <w:rsid w:val="003A17C8"/>
    <w:rsid w:val="003B388C"/>
    <w:rsid w:val="003C178D"/>
    <w:rsid w:val="003C563E"/>
    <w:rsid w:val="003D0C5A"/>
    <w:rsid w:val="003D227C"/>
    <w:rsid w:val="003D2B4D"/>
    <w:rsid w:val="003E3D83"/>
    <w:rsid w:val="003F115C"/>
    <w:rsid w:val="003F6136"/>
    <w:rsid w:val="00400F79"/>
    <w:rsid w:val="00406D69"/>
    <w:rsid w:val="00427139"/>
    <w:rsid w:val="00433B8A"/>
    <w:rsid w:val="00437C79"/>
    <w:rsid w:val="00444A88"/>
    <w:rsid w:val="004510F0"/>
    <w:rsid w:val="00474DA4"/>
    <w:rsid w:val="00474FC7"/>
    <w:rsid w:val="00481188"/>
    <w:rsid w:val="00483972"/>
    <w:rsid w:val="004906C1"/>
    <w:rsid w:val="004A1B3C"/>
    <w:rsid w:val="004D047D"/>
    <w:rsid w:val="004F305A"/>
    <w:rsid w:val="004F69F4"/>
    <w:rsid w:val="004F73E6"/>
    <w:rsid w:val="005011A7"/>
    <w:rsid w:val="00501EB0"/>
    <w:rsid w:val="00512164"/>
    <w:rsid w:val="00520297"/>
    <w:rsid w:val="005237FC"/>
    <w:rsid w:val="005300D4"/>
    <w:rsid w:val="005338F9"/>
    <w:rsid w:val="00534940"/>
    <w:rsid w:val="0054281C"/>
    <w:rsid w:val="00543E63"/>
    <w:rsid w:val="00551E76"/>
    <w:rsid w:val="0055268D"/>
    <w:rsid w:val="005546A4"/>
    <w:rsid w:val="005622CB"/>
    <w:rsid w:val="0056672C"/>
    <w:rsid w:val="00572A8B"/>
    <w:rsid w:val="00572E44"/>
    <w:rsid w:val="00576BE4"/>
    <w:rsid w:val="005774AC"/>
    <w:rsid w:val="00596BDB"/>
    <w:rsid w:val="005A400A"/>
    <w:rsid w:val="005A482D"/>
    <w:rsid w:val="00602E7E"/>
    <w:rsid w:val="00607F6A"/>
    <w:rsid w:val="00612379"/>
    <w:rsid w:val="00612593"/>
    <w:rsid w:val="0061555F"/>
    <w:rsid w:val="00616118"/>
    <w:rsid w:val="00631124"/>
    <w:rsid w:val="0063125F"/>
    <w:rsid w:val="00637070"/>
    <w:rsid w:val="00641200"/>
    <w:rsid w:val="006454C2"/>
    <w:rsid w:val="00645627"/>
    <w:rsid w:val="006561D2"/>
    <w:rsid w:val="0066192B"/>
    <w:rsid w:val="00663ED8"/>
    <w:rsid w:val="00664515"/>
    <w:rsid w:val="00676B9F"/>
    <w:rsid w:val="00680BCD"/>
    <w:rsid w:val="00682A23"/>
    <w:rsid w:val="00687EB4"/>
    <w:rsid w:val="006B0500"/>
    <w:rsid w:val="006B17D2"/>
    <w:rsid w:val="006B2E46"/>
    <w:rsid w:val="006B45FA"/>
    <w:rsid w:val="006C1D8F"/>
    <w:rsid w:val="006C224E"/>
    <w:rsid w:val="006C4BC9"/>
    <w:rsid w:val="006C5654"/>
    <w:rsid w:val="006C60FE"/>
    <w:rsid w:val="006D25CB"/>
    <w:rsid w:val="00704CAD"/>
    <w:rsid w:val="00707B78"/>
    <w:rsid w:val="0072003C"/>
    <w:rsid w:val="00732DEC"/>
    <w:rsid w:val="00735BD5"/>
    <w:rsid w:val="00740CB2"/>
    <w:rsid w:val="0075117E"/>
    <w:rsid w:val="007513CB"/>
    <w:rsid w:val="007530EB"/>
    <w:rsid w:val="007556F6"/>
    <w:rsid w:val="00755BE5"/>
    <w:rsid w:val="00757F01"/>
    <w:rsid w:val="00760EEF"/>
    <w:rsid w:val="00774FAA"/>
    <w:rsid w:val="007767F4"/>
    <w:rsid w:val="00777EE5"/>
    <w:rsid w:val="0078229D"/>
    <w:rsid w:val="00784836"/>
    <w:rsid w:val="0079023E"/>
    <w:rsid w:val="00793DA4"/>
    <w:rsid w:val="0079470F"/>
    <w:rsid w:val="007B6894"/>
    <w:rsid w:val="007C1BF5"/>
    <w:rsid w:val="007C6528"/>
    <w:rsid w:val="007C6639"/>
    <w:rsid w:val="007D0B9D"/>
    <w:rsid w:val="007D1802"/>
    <w:rsid w:val="007D19B0"/>
    <w:rsid w:val="007D76EF"/>
    <w:rsid w:val="007E7CAC"/>
    <w:rsid w:val="007F498F"/>
    <w:rsid w:val="00802781"/>
    <w:rsid w:val="0080679D"/>
    <w:rsid w:val="0081069D"/>
    <w:rsid w:val="008108B0"/>
    <w:rsid w:val="00811B20"/>
    <w:rsid w:val="0082296E"/>
    <w:rsid w:val="00822A3B"/>
    <w:rsid w:val="00824099"/>
    <w:rsid w:val="00836E88"/>
    <w:rsid w:val="00843F63"/>
    <w:rsid w:val="00844278"/>
    <w:rsid w:val="00855DBD"/>
    <w:rsid w:val="00867AC1"/>
    <w:rsid w:val="008720A1"/>
    <w:rsid w:val="00882E21"/>
    <w:rsid w:val="00895BE0"/>
    <w:rsid w:val="008A395B"/>
    <w:rsid w:val="008A743F"/>
    <w:rsid w:val="008B51D0"/>
    <w:rsid w:val="008C0970"/>
    <w:rsid w:val="008C2D9C"/>
    <w:rsid w:val="008C410F"/>
    <w:rsid w:val="008D2CF7"/>
    <w:rsid w:val="008E3B88"/>
    <w:rsid w:val="008E793E"/>
    <w:rsid w:val="00900C26"/>
    <w:rsid w:val="0090197F"/>
    <w:rsid w:val="00906DDC"/>
    <w:rsid w:val="0090789B"/>
    <w:rsid w:val="009136C0"/>
    <w:rsid w:val="00925996"/>
    <w:rsid w:val="00934E09"/>
    <w:rsid w:val="00936253"/>
    <w:rsid w:val="00970FED"/>
    <w:rsid w:val="00973A6F"/>
    <w:rsid w:val="009848BA"/>
    <w:rsid w:val="00997029"/>
    <w:rsid w:val="009970E5"/>
    <w:rsid w:val="009B092F"/>
    <w:rsid w:val="009C425E"/>
    <w:rsid w:val="009D0DE5"/>
    <w:rsid w:val="009D2990"/>
    <w:rsid w:val="009D5FB2"/>
    <w:rsid w:val="009D690D"/>
    <w:rsid w:val="009D6AFD"/>
    <w:rsid w:val="009D77D3"/>
    <w:rsid w:val="009E319B"/>
    <w:rsid w:val="009E65B6"/>
    <w:rsid w:val="00A02AD7"/>
    <w:rsid w:val="00A06E67"/>
    <w:rsid w:val="00A1050E"/>
    <w:rsid w:val="00A14CF8"/>
    <w:rsid w:val="00A2438A"/>
    <w:rsid w:val="00A26331"/>
    <w:rsid w:val="00A277F9"/>
    <w:rsid w:val="00A42AC3"/>
    <w:rsid w:val="00A430CF"/>
    <w:rsid w:val="00A5024F"/>
    <w:rsid w:val="00A54309"/>
    <w:rsid w:val="00A74316"/>
    <w:rsid w:val="00A77EEC"/>
    <w:rsid w:val="00AB2B93"/>
    <w:rsid w:val="00AB4E62"/>
    <w:rsid w:val="00AB693B"/>
    <w:rsid w:val="00AB70CE"/>
    <w:rsid w:val="00AD1F31"/>
    <w:rsid w:val="00AE0EF1"/>
    <w:rsid w:val="00AF1DB8"/>
    <w:rsid w:val="00AF6234"/>
    <w:rsid w:val="00B02385"/>
    <w:rsid w:val="00B04842"/>
    <w:rsid w:val="00B06046"/>
    <w:rsid w:val="00B07301"/>
    <w:rsid w:val="00B224DE"/>
    <w:rsid w:val="00B24D15"/>
    <w:rsid w:val="00B45126"/>
    <w:rsid w:val="00B54A99"/>
    <w:rsid w:val="00B65A8F"/>
    <w:rsid w:val="00B6763E"/>
    <w:rsid w:val="00B84BBD"/>
    <w:rsid w:val="00B91499"/>
    <w:rsid w:val="00BA0D1E"/>
    <w:rsid w:val="00BA3BC1"/>
    <w:rsid w:val="00BA43FB"/>
    <w:rsid w:val="00BA4549"/>
    <w:rsid w:val="00BC127D"/>
    <w:rsid w:val="00BC1FE6"/>
    <w:rsid w:val="00BD4C24"/>
    <w:rsid w:val="00BE39BB"/>
    <w:rsid w:val="00BF20F6"/>
    <w:rsid w:val="00C061B6"/>
    <w:rsid w:val="00C1645E"/>
    <w:rsid w:val="00C21DBF"/>
    <w:rsid w:val="00C2446C"/>
    <w:rsid w:val="00C34ADB"/>
    <w:rsid w:val="00C35B57"/>
    <w:rsid w:val="00C36AE5"/>
    <w:rsid w:val="00C372E9"/>
    <w:rsid w:val="00C41F17"/>
    <w:rsid w:val="00C421CB"/>
    <w:rsid w:val="00C54BF4"/>
    <w:rsid w:val="00C5791C"/>
    <w:rsid w:val="00C602FB"/>
    <w:rsid w:val="00C625C5"/>
    <w:rsid w:val="00C66290"/>
    <w:rsid w:val="00C715A5"/>
    <w:rsid w:val="00C72B7A"/>
    <w:rsid w:val="00C83650"/>
    <w:rsid w:val="00C87530"/>
    <w:rsid w:val="00C87D77"/>
    <w:rsid w:val="00C973F2"/>
    <w:rsid w:val="00CA49A4"/>
    <w:rsid w:val="00CA774A"/>
    <w:rsid w:val="00CB47D9"/>
    <w:rsid w:val="00CC11B0"/>
    <w:rsid w:val="00CD310B"/>
    <w:rsid w:val="00CD3684"/>
    <w:rsid w:val="00CD4E41"/>
    <w:rsid w:val="00CD518F"/>
    <w:rsid w:val="00CD6430"/>
    <w:rsid w:val="00CF7E36"/>
    <w:rsid w:val="00D233D8"/>
    <w:rsid w:val="00D24210"/>
    <w:rsid w:val="00D306D7"/>
    <w:rsid w:val="00D3708D"/>
    <w:rsid w:val="00D40426"/>
    <w:rsid w:val="00D57C96"/>
    <w:rsid w:val="00D70CD4"/>
    <w:rsid w:val="00D81E9C"/>
    <w:rsid w:val="00D91203"/>
    <w:rsid w:val="00D92368"/>
    <w:rsid w:val="00D92E52"/>
    <w:rsid w:val="00D943A1"/>
    <w:rsid w:val="00D95174"/>
    <w:rsid w:val="00D95A5C"/>
    <w:rsid w:val="00DA6F36"/>
    <w:rsid w:val="00DB113F"/>
    <w:rsid w:val="00DC00EA"/>
    <w:rsid w:val="00DC795D"/>
    <w:rsid w:val="00DE2A64"/>
    <w:rsid w:val="00E16F45"/>
    <w:rsid w:val="00E23920"/>
    <w:rsid w:val="00E613F7"/>
    <w:rsid w:val="00E66B3C"/>
    <w:rsid w:val="00E72D49"/>
    <w:rsid w:val="00E7593C"/>
    <w:rsid w:val="00E7678A"/>
    <w:rsid w:val="00E76C9D"/>
    <w:rsid w:val="00E834E6"/>
    <w:rsid w:val="00E85E48"/>
    <w:rsid w:val="00E935F1"/>
    <w:rsid w:val="00E94A81"/>
    <w:rsid w:val="00E97DFE"/>
    <w:rsid w:val="00EA1FFB"/>
    <w:rsid w:val="00EB048E"/>
    <w:rsid w:val="00EB3EFA"/>
    <w:rsid w:val="00EC13B8"/>
    <w:rsid w:val="00EF2F89"/>
    <w:rsid w:val="00F0066E"/>
    <w:rsid w:val="00F01F36"/>
    <w:rsid w:val="00F0449E"/>
    <w:rsid w:val="00F04DEB"/>
    <w:rsid w:val="00F07D4B"/>
    <w:rsid w:val="00F1237A"/>
    <w:rsid w:val="00F22CBD"/>
    <w:rsid w:val="00F3421C"/>
    <w:rsid w:val="00F37961"/>
    <w:rsid w:val="00F62511"/>
    <w:rsid w:val="00F6334D"/>
    <w:rsid w:val="00F63904"/>
    <w:rsid w:val="00F72ADF"/>
    <w:rsid w:val="00F9309D"/>
    <w:rsid w:val="00FA47CE"/>
    <w:rsid w:val="00FA49AB"/>
    <w:rsid w:val="00FA4EEA"/>
    <w:rsid w:val="00FA5DAC"/>
    <w:rsid w:val="00FB0D37"/>
    <w:rsid w:val="00FD640B"/>
    <w:rsid w:val="00FE04DE"/>
    <w:rsid w:val="00FE158F"/>
    <w:rsid w:val="00FE3566"/>
    <w:rsid w:val="00FE39C7"/>
    <w:rsid w:val="00FE4AF3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45126"/>
    <w:pPr>
      <w:keepNext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596BDB"/>
    <w:pPr>
      <w:keepNext/>
      <w:spacing w:before="6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622CB"/>
    <w:pPr>
      <w:spacing w:before="60"/>
      <w:ind w:left="567" w:right="-142" w:hanging="567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31124"/>
    <w:pPr>
      <w:tabs>
        <w:tab w:val="right" w:leader="dot" w:pos="9639"/>
      </w:tabs>
      <w:spacing w:before="120"/>
      <w:ind w:left="270" w:right="851" w:firstLine="14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05D7"/>
    <w:pPr>
      <w:tabs>
        <w:tab w:val="right" w:leader="dot" w:pos="9639"/>
      </w:tabs>
      <w:spacing w:before="60"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customStyle="1" w:styleId="dec">
    <w:name w:val="dec"/>
    <w:basedOn w:val="Normal"/>
    <w:link w:val="decChar"/>
    <w:qFormat/>
    <w:rsid w:val="003E3D83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3E3D83"/>
    <w:rPr>
      <w:rFonts w:ascii="Arial" w:eastAsiaTheme="minorEastAsia" w:hAnsi="Arial"/>
      <w:i/>
      <w:spacing w:val="-2"/>
    </w:rPr>
  </w:style>
  <w:style w:type="paragraph" w:styleId="ListParagraph">
    <w:name w:val="List Paragraph"/>
    <w:basedOn w:val="Normal"/>
    <w:uiPriority w:val="34"/>
    <w:qFormat/>
    <w:rsid w:val="003E3D83"/>
    <w:pPr>
      <w:ind w:left="720"/>
      <w:contextualSpacing/>
    </w:pPr>
  </w:style>
  <w:style w:type="character" w:customStyle="1" w:styleId="FootnoteTextChar">
    <w:name w:val="Footnote Text Char"/>
    <w:link w:val="FootnoteText"/>
    <w:rsid w:val="005622CB"/>
    <w:rPr>
      <w:rFonts w:ascii="Arial" w:hAnsi="Arial"/>
      <w:spacing w:val="-2"/>
      <w:sz w:val="16"/>
    </w:rPr>
  </w:style>
  <w:style w:type="character" w:styleId="FollowedHyperlink">
    <w:name w:val="FollowedHyperlink"/>
    <w:basedOn w:val="DefaultParagraphFont"/>
    <w:rsid w:val="008720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45126"/>
    <w:pPr>
      <w:keepNext/>
      <w:jc w:val="both"/>
      <w:outlineLvl w:val="0"/>
    </w:pPr>
    <w:rPr>
      <w:rFonts w:ascii="Arial" w:hAnsi="Arial"/>
      <w:caps/>
      <w:lang w:eastAsia="ja-JP"/>
    </w:rPr>
  </w:style>
  <w:style w:type="paragraph" w:styleId="Heading2">
    <w:name w:val="heading 2"/>
    <w:next w:val="Normal"/>
    <w:autoRedefine/>
    <w:qFormat/>
    <w:rsid w:val="00596BDB"/>
    <w:pPr>
      <w:keepNext/>
      <w:spacing w:before="60"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622CB"/>
    <w:pPr>
      <w:spacing w:before="60"/>
      <w:ind w:left="567" w:right="-142" w:hanging="567"/>
      <w:jc w:val="both"/>
    </w:pPr>
    <w:rPr>
      <w:rFonts w:ascii="Arial" w:hAnsi="Arial"/>
      <w:spacing w:val="-2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631124"/>
    <w:pPr>
      <w:tabs>
        <w:tab w:val="right" w:leader="dot" w:pos="9639"/>
      </w:tabs>
      <w:spacing w:before="120"/>
      <w:ind w:left="270" w:right="851" w:firstLine="14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0F05D7"/>
    <w:pPr>
      <w:tabs>
        <w:tab w:val="right" w:leader="dot" w:pos="9639"/>
      </w:tabs>
      <w:spacing w:before="60" w:after="120"/>
      <w:ind w:right="28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customStyle="1" w:styleId="dec">
    <w:name w:val="dec"/>
    <w:basedOn w:val="Normal"/>
    <w:link w:val="decChar"/>
    <w:qFormat/>
    <w:rsid w:val="003E3D83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3E3D83"/>
    <w:rPr>
      <w:rFonts w:ascii="Arial" w:eastAsiaTheme="minorEastAsia" w:hAnsi="Arial"/>
      <w:i/>
      <w:spacing w:val="-2"/>
    </w:rPr>
  </w:style>
  <w:style w:type="paragraph" w:styleId="ListParagraph">
    <w:name w:val="List Paragraph"/>
    <w:basedOn w:val="Normal"/>
    <w:uiPriority w:val="34"/>
    <w:qFormat/>
    <w:rsid w:val="003E3D83"/>
    <w:pPr>
      <w:ind w:left="720"/>
      <w:contextualSpacing/>
    </w:pPr>
  </w:style>
  <w:style w:type="character" w:customStyle="1" w:styleId="FootnoteTextChar">
    <w:name w:val="Footnote Text Char"/>
    <w:link w:val="FootnoteText"/>
    <w:rsid w:val="005622CB"/>
    <w:rPr>
      <w:rFonts w:ascii="Arial" w:hAnsi="Arial"/>
      <w:spacing w:val="-2"/>
      <w:sz w:val="16"/>
    </w:rPr>
  </w:style>
  <w:style w:type="character" w:styleId="FollowedHyperlink">
    <w:name w:val="FollowedHyperlink"/>
    <w:basedOn w:val="DefaultParagraphFont"/>
    <w:rsid w:val="008720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upov.int/pluto/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ov.int/pluto/fr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ov.int/meetings/fr/details.jsp?meeting_id=35055" TargetMode="External"/><Relationship Id="rId1" Type="http://schemas.openxmlformats.org/officeDocument/2006/relationships/hyperlink" Target="http://www.upov.int/meetings/fr/details.jsp?meeting_id=297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4CF22-D0A4-43BC-858C-DAE780BED0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A0A16A-8B59-4A28-8CDC-5A732D090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9</Pages>
  <Words>3530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24194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keywords>DB/mhf</cp:keywords>
  <cp:lastModifiedBy>SANCHEZ-VIZCAINO GOMEZ Rosa Maria</cp:lastModifiedBy>
  <cp:revision>42</cp:revision>
  <cp:lastPrinted>2015-03-04T12:00:00Z</cp:lastPrinted>
  <dcterms:created xsi:type="dcterms:W3CDTF">2015-03-02T11:04:00Z</dcterms:created>
  <dcterms:modified xsi:type="dcterms:W3CDTF">2015-03-04T12:01:00Z</dcterms:modified>
</cp:coreProperties>
</file>