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44A32" w:rsidRPr="00D44A32" w:rsidTr="003F137F">
        <w:trPr>
          <w:trHeight w:val="1760"/>
        </w:trPr>
        <w:tc>
          <w:tcPr>
            <w:tcW w:w="4243" w:type="dxa"/>
          </w:tcPr>
          <w:p w:rsidR="000965E1" w:rsidRPr="00D44A32" w:rsidRDefault="000965E1" w:rsidP="00D44A3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965E1" w:rsidRPr="00D44A32" w:rsidRDefault="000965E1" w:rsidP="00D44A32">
            <w:pPr>
              <w:pStyle w:val="LogoUPOV"/>
              <w:rPr>
                <w:lang w:val="fr-FR"/>
              </w:rPr>
            </w:pPr>
            <w:r w:rsidRPr="00D44A32">
              <w:rPr>
                <w:noProof/>
              </w:rPr>
              <w:drawing>
                <wp:inline distT="0" distB="0" distL="0" distR="0" wp14:anchorId="7C18AD4D" wp14:editId="59BD519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B18A7" w:rsidRPr="00D44A32" w:rsidRDefault="000965E1" w:rsidP="00D44A32">
            <w:pPr>
              <w:pStyle w:val="Lettrine"/>
              <w:spacing w:line="240" w:lineRule="auto"/>
              <w:rPr>
                <w:lang w:val="fr-FR"/>
              </w:rPr>
            </w:pPr>
            <w:r w:rsidRPr="00D44A32">
              <w:rPr>
                <w:lang w:val="fr-FR"/>
              </w:rPr>
              <w:t>F</w:t>
            </w:r>
          </w:p>
          <w:p w:rsidR="002B18A7" w:rsidRPr="00D44A32" w:rsidRDefault="000965E1" w:rsidP="00C72A85">
            <w:pPr>
              <w:pStyle w:val="Docoriginal"/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CAJ/71/</w:t>
            </w:r>
            <w:bookmarkStart w:id="0" w:name="Code"/>
            <w:bookmarkEnd w:id="0"/>
            <w:r w:rsidRPr="00D44A32">
              <w:rPr>
                <w:lang w:val="fr-FR"/>
              </w:rPr>
              <w:t>2</w:t>
            </w:r>
          </w:p>
          <w:p w:rsidR="002B18A7" w:rsidRPr="00D44A32" w:rsidRDefault="000965E1" w:rsidP="00C72A85">
            <w:pPr>
              <w:pStyle w:val="Docoriginal"/>
              <w:jc w:val="left"/>
              <w:rPr>
                <w:lang w:val="fr-FR"/>
              </w:rPr>
            </w:pPr>
            <w:r w:rsidRPr="00D44A32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365E0C" w:rsidRPr="00D44A3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D44A32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D44A3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D44A32">
              <w:rPr>
                <w:b w:val="0"/>
                <w:spacing w:val="0"/>
                <w:lang w:val="fr-FR"/>
              </w:rPr>
              <w:t>anglais</w:t>
            </w:r>
          </w:p>
          <w:p w:rsidR="000965E1" w:rsidRPr="00D44A32" w:rsidRDefault="000965E1" w:rsidP="00C72A85">
            <w:pPr>
              <w:pStyle w:val="Docoriginal"/>
              <w:jc w:val="left"/>
              <w:rPr>
                <w:lang w:val="fr-FR"/>
              </w:rPr>
            </w:pPr>
            <w:r w:rsidRPr="00D44A32">
              <w:rPr>
                <w:spacing w:val="0"/>
                <w:lang w:val="fr-FR"/>
              </w:rPr>
              <w:t>DATE</w:t>
            </w:r>
            <w:r w:rsidR="00365E0C" w:rsidRPr="00D44A32">
              <w:rPr>
                <w:spacing w:val="0"/>
                <w:lang w:val="fr-FR"/>
              </w:rPr>
              <w:t> </w:t>
            </w:r>
            <w:r w:rsidRPr="00D44A32">
              <w:rPr>
                <w:spacing w:val="0"/>
                <w:lang w:val="fr-FR"/>
              </w:rPr>
              <w:t>:</w:t>
            </w:r>
            <w:r w:rsidRPr="00D44A32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D44A32">
              <w:rPr>
                <w:b w:val="0"/>
                <w:spacing w:val="0"/>
                <w:lang w:val="fr-FR"/>
              </w:rPr>
              <w:t>2 mars 2015</w:t>
            </w:r>
          </w:p>
        </w:tc>
      </w:tr>
      <w:tr w:rsidR="00D44A32" w:rsidRPr="00D44A32" w:rsidTr="003F137F">
        <w:tc>
          <w:tcPr>
            <w:tcW w:w="10131" w:type="dxa"/>
            <w:gridSpan w:val="3"/>
          </w:tcPr>
          <w:p w:rsidR="000965E1" w:rsidRPr="00D44A32" w:rsidRDefault="000965E1" w:rsidP="00D44A32">
            <w:pPr>
              <w:pStyle w:val="upove"/>
              <w:rPr>
                <w:sz w:val="28"/>
                <w:lang w:val="fr-FR"/>
              </w:rPr>
            </w:pPr>
            <w:r w:rsidRPr="00D44A3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D44A32" w:rsidRPr="00D44A32" w:rsidTr="003F137F">
        <w:tc>
          <w:tcPr>
            <w:tcW w:w="10131" w:type="dxa"/>
            <w:gridSpan w:val="3"/>
          </w:tcPr>
          <w:p w:rsidR="000965E1" w:rsidRPr="00D44A32" w:rsidRDefault="000965E1" w:rsidP="00D44A32">
            <w:pPr>
              <w:pStyle w:val="Country"/>
              <w:rPr>
                <w:lang w:val="fr-FR"/>
              </w:rPr>
            </w:pPr>
            <w:r w:rsidRPr="00D44A32">
              <w:rPr>
                <w:lang w:val="fr-FR"/>
              </w:rPr>
              <w:t>Genève</w:t>
            </w:r>
          </w:p>
        </w:tc>
      </w:tr>
    </w:tbl>
    <w:p w:rsidR="002B18A7" w:rsidRPr="00D44A32" w:rsidRDefault="000965E1" w:rsidP="00D44A32">
      <w:pPr>
        <w:pStyle w:val="Sessiontc"/>
        <w:rPr>
          <w:lang w:val="fr-FR"/>
        </w:rPr>
      </w:pPr>
      <w:r w:rsidRPr="00D44A32">
        <w:rPr>
          <w:lang w:val="fr-FR"/>
        </w:rPr>
        <w:t>Comité administratif et juridique</w:t>
      </w:r>
    </w:p>
    <w:p w:rsidR="002B18A7" w:rsidRPr="00D44A32" w:rsidRDefault="000965E1" w:rsidP="00D44A32">
      <w:pPr>
        <w:pStyle w:val="Sessiontcplacedate"/>
        <w:rPr>
          <w:lang w:val="fr-FR"/>
        </w:rPr>
      </w:pPr>
      <w:r w:rsidRPr="00D44A32">
        <w:rPr>
          <w:lang w:val="fr-FR"/>
        </w:rPr>
        <w:t>Soixante et onzième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session</w:t>
      </w:r>
      <w:r w:rsidRPr="00D44A32">
        <w:rPr>
          <w:lang w:val="fr-FR"/>
        </w:rPr>
        <w:br/>
        <w:t>Genève, 2</w:t>
      </w:r>
      <w:r w:rsidR="00A1605A" w:rsidRPr="00D44A32">
        <w:rPr>
          <w:lang w:val="fr-FR"/>
        </w:rPr>
        <w:t>6 mars 20</w:t>
      </w:r>
      <w:r w:rsidRPr="00D44A32">
        <w:rPr>
          <w:lang w:val="fr-FR"/>
        </w:rPr>
        <w:t>15</w:t>
      </w:r>
    </w:p>
    <w:p w:rsidR="002B18A7" w:rsidRPr="00D44A32" w:rsidRDefault="00F50E29" w:rsidP="00D44A32">
      <w:pPr>
        <w:pStyle w:val="Titleofdoc0"/>
        <w:rPr>
          <w:lang w:val="fr-FR"/>
        </w:rPr>
      </w:pPr>
      <w:r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information concernant la </w:t>
      </w:r>
      <w:r w:rsidR="00A1605A" w:rsidRPr="00D44A32">
        <w:rPr>
          <w:lang w:val="fr-FR"/>
        </w:rPr>
        <w:t>Convention UPOV</w:t>
      </w:r>
    </w:p>
    <w:p w:rsidR="002B18A7" w:rsidRPr="00C72A85" w:rsidRDefault="000965E1" w:rsidP="00D44A32">
      <w:pPr>
        <w:pStyle w:val="preparedby1"/>
        <w:tabs>
          <w:tab w:val="left" w:pos="142"/>
        </w:tabs>
        <w:rPr>
          <w:snapToGrid w:val="0"/>
          <w:color w:val="A6A6A6" w:themeColor="background1" w:themeShade="A6"/>
          <w:szCs w:val="16"/>
          <w:lang w:val="fr-FR"/>
        </w:rPr>
      </w:pPr>
      <w:bookmarkStart w:id="3" w:name="Prepared"/>
      <w:bookmarkEnd w:id="3"/>
      <w:r w:rsidRPr="00D44A32">
        <w:rPr>
          <w:lang w:val="fr-FR"/>
        </w:rPr>
        <w:t>Document établi par le Bureau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Union</w:t>
      </w:r>
      <w:r w:rsidRPr="00D44A32">
        <w:rPr>
          <w:lang w:val="fr-FR"/>
        </w:rPr>
        <w:br/>
      </w:r>
      <w:r w:rsidRPr="00D44A32">
        <w:rPr>
          <w:lang w:val="fr-FR"/>
        </w:rPr>
        <w:br/>
      </w:r>
      <w:r w:rsidRPr="00C72A85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A1605A" w:rsidRPr="00C72A85">
        <w:rPr>
          <w:color w:val="A6A6A6" w:themeColor="background1" w:themeShade="A6"/>
          <w:lang w:val="fr-FR"/>
        </w:rPr>
        <w:t>’</w:t>
      </w:r>
      <w:r w:rsidRPr="00C72A85">
        <w:rPr>
          <w:color w:val="A6A6A6" w:themeColor="background1" w:themeShade="A6"/>
          <w:lang w:val="fr-FR"/>
        </w:rPr>
        <w:t>UPOV</w:t>
      </w:r>
    </w:p>
    <w:p w:rsidR="002B18A7" w:rsidRPr="00D44A32" w:rsidRDefault="00AB5466" w:rsidP="00D44A32">
      <w:pPr>
        <w:jc w:val="left"/>
        <w:rPr>
          <w:rFonts w:cs="Arial"/>
          <w:snapToGrid w:val="0"/>
          <w:lang w:val="fr-FR"/>
        </w:rPr>
      </w:pPr>
      <w:r w:rsidRPr="00D44A32">
        <w:rPr>
          <w:rFonts w:cs="Arial"/>
          <w:snapToGrid w:val="0"/>
          <w:lang w:val="fr-FR"/>
        </w:rPr>
        <w:t>RÉSUMÉ</w:t>
      </w:r>
    </w:p>
    <w:p w:rsidR="002B18A7" w:rsidRPr="00D44A32" w:rsidRDefault="002B18A7" w:rsidP="00D44A32">
      <w:pPr>
        <w:jc w:val="left"/>
        <w:rPr>
          <w:rFonts w:cs="Arial"/>
          <w:b/>
          <w:snapToGrid w:val="0"/>
          <w:lang w:val="fr-FR"/>
        </w:rPr>
      </w:pPr>
    </w:p>
    <w:p w:rsidR="002B18A7" w:rsidRPr="00D44A32" w:rsidRDefault="002B18A7" w:rsidP="00D44A32">
      <w:pPr>
        <w:rPr>
          <w:rFonts w:cs="Arial"/>
          <w:b/>
          <w:snapToGrid w:val="0"/>
          <w:lang w:val="fr-FR"/>
        </w:rPr>
      </w:pPr>
    </w:p>
    <w:p w:rsidR="002B18A7" w:rsidRPr="00D44A32" w:rsidRDefault="009612F3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D85980" w:rsidRPr="00D44A32">
        <w:rPr>
          <w:lang w:val="fr-FR"/>
        </w:rPr>
        <w:t>Le présent document a pour objet d</w:t>
      </w:r>
      <w:r w:rsidR="00A1605A" w:rsidRPr="00D44A32">
        <w:rPr>
          <w:lang w:val="fr-FR"/>
        </w:rPr>
        <w:t>’</w:t>
      </w:r>
      <w:r w:rsidR="00D85980" w:rsidRPr="00D44A32">
        <w:rPr>
          <w:lang w:val="fr-FR"/>
        </w:rPr>
        <w:t>apporter des informations générales en vue de faciliter l</w:t>
      </w:r>
      <w:r w:rsidR="00A1605A" w:rsidRPr="00D44A32">
        <w:rPr>
          <w:lang w:val="fr-FR"/>
        </w:rPr>
        <w:t>’</w:t>
      </w:r>
      <w:r w:rsidR="00D85980" w:rsidRPr="00D44A32">
        <w:rPr>
          <w:lang w:val="fr-FR"/>
        </w:rPr>
        <w:t xml:space="preserve">examen </w:t>
      </w:r>
      <w:r w:rsidR="000B713C" w:rsidRPr="00D44A32">
        <w:rPr>
          <w:lang w:val="fr-FR"/>
        </w:rPr>
        <w:t xml:space="preserve">de questions </w:t>
      </w:r>
      <w:r w:rsidR="00D85980" w:rsidRPr="00D44A32">
        <w:rPr>
          <w:lang w:val="fr-FR"/>
        </w:rPr>
        <w:t>par le Comité administratif et juridique (CAJ) à sa soixante et onzième</w:t>
      </w:r>
      <w:r w:rsidR="00365E0C" w:rsidRPr="00D44A32">
        <w:rPr>
          <w:lang w:val="fr-FR"/>
        </w:rPr>
        <w:t> </w:t>
      </w:r>
      <w:r w:rsidR="00D85980" w:rsidRPr="00D44A32">
        <w:rPr>
          <w:lang w:val="fr-FR"/>
        </w:rPr>
        <w:t>session, de faire rapport sur une question soumise au Comité consultatif et au Conseil par</w:t>
      </w:r>
      <w:r w:rsidR="00A1605A" w:rsidRPr="00D44A32">
        <w:rPr>
          <w:lang w:val="fr-FR"/>
        </w:rPr>
        <w:t xml:space="preserve"> le CAJ</w:t>
      </w:r>
      <w:r w:rsidR="00D85980" w:rsidRPr="00D44A32">
        <w:rPr>
          <w:lang w:val="fr-FR"/>
        </w:rPr>
        <w:t xml:space="preserve"> et de présenter un programme pr</w:t>
      </w:r>
      <w:r w:rsidR="001C03D4" w:rsidRPr="00D44A32">
        <w:rPr>
          <w:lang w:val="fr-FR"/>
        </w:rPr>
        <w:t>ovisoire pour l</w:t>
      </w:r>
      <w:r w:rsidR="00A1605A" w:rsidRPr="00D44A32">
        <w:rPr>
          <w:lang w:val="fr-FR"/>
        </w:rPr>
        <w:t>’</w:t>
      </w:r>
      <w:r w:rsidR="00D85980"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="00D85980" w:rsidRPr="00D44A32">
        <w:rPr>
          <w:lang w:val="fr-FR"/>
        </w:rPr>
        <w:t>information.</w:t>
      </w:r>
    </w:p>
    <w:p w:rsidR="002B18A7" w:rsidRPr="00D44A32" w:rsidRDefault="002B18A7" w:rsidP="00D44A32">
      <w:pPr>
        <w:rPr>
          <w:lang w:val="fr-FR"/>
        </w:rPr>
      </w:pPr>
    </w:p>
    <w:p w:rsidR="00A1605A" w:rsidRPr="00D44A32" w:rsidRDefault="009612F3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AB5466" w:rsidRPr="00D44A32">
        <w:rPr>
          <w:lang w:val="fr-FR"/>
        </w:rPr>
        <w:t>En particulier,</w:t>
      </w:r>
      <w:r w:rsidR="00A1605A" w:rsidRPr="00D44A32">
        <w:rPr>
          <w:lang w:val="fr-FR"/>
        </w:rPr>
        <w:t xml:space="preserve"> le CAJ</w:t>
      </w:r>
      <w:r w:rsidR="00D85980" w:rsidRPr="00D44A32">
        <w:rPr>
          <w:lang w:val="fr-FR"/>
        </w:rPr>
        <w:t xml:space="preserve"> sera invité</w:t>
      </w:r>
      <w:r w:rsidR="00C72A85">
        <w:rPr>
          <w:lang w:val="fr-FR"/>
        </w:rPr>
        <w:t xml:space="preserve"> </w:t>
      </w:r>
      <w:r w:rsidR="00C72A85">
        <w:t>à</w:t>
      </w:r>
      <w:r w:rsidR="00C72A85">
        <w:rPr>
          <w:lang w:val="fr-FR"/>
        </w:rPr>
        <w:t> 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F6402" w:rsidP="00D44A32">
      <w:pPr>
        <w:ind w:firstLine="567"/>
        <w:rPr>
          <w:lang w:val="fr-FR"/>
        </w:rPr>
      </w:pPr>
      <w:r w:rsidRPr="00D44A32">
        <w:rPr>
          <w:lang w:val="fr-FR"/>
        </w:rPr>
        <w:t>a)</w:t>
      </w:r>
      <w:r w:rsidRPr="00D44A32">
        <w:rPr>
          <w:lang w:val="fr-FR"/>
        </w:rPr>
        <w:tab/>
        <w:t>noter que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 a accueilli avec satisfaction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exposé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Australi</w:t>
      </w:r>
      <w:r w:rsidR="00580075" w:rsidRPr="00D44A32">
        <w:rPr>
          <w:lang w:val="fr-FR"/>
        </w:rPr>
        <w:t>e diffusé par voie électronique</w:t>
      </w:r>
      <w:r w:rsidRPr="00D44A32">
        <w:rPr>
          <w:lang w:val="fr-FR"/>
        </w:rPr>
        <w:t xml:space="preserve"> via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Internet, </w:t>
      </w:r>
      <w:r w:rsidR="00AB5466" w:rsidRPr="00D44A32">
        <w:rPr>
          <w:lang w:val="fr-FR"/>
        </w:rPr>
        <w:t>qui contenai</w:t>
      </w:r>
      <w:r w:rsidRPr="00D44A32">
        <w:rPr>
          <w:lang w:val="fr-FR"/>
        </w:rPr>
        <w:t>t des renseignements supplémentaires sur le contexte des exemples donnés par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Australie au séminaire </w:t>
      </w:r>
      <w:r w:rsidR="00EC31F5" w:rsidRPr="00D44A32">
        <w:rPr>
          <w:lang w:val="fr-FR"/>
        </w:rPr>
        <w:t>sur les variétés essentiellement dérivées</w:t>
      </w:r>
      <w:r w:rsidR="00AB5466" w:rsidRPr="00D44A32">
        <w:rPr>
          <w:lang w:val="fr-FR"/>
        </w:rPr>
        <w:t>,</w:t>
      </w:r>
      <w:r w:rsidR="00EC31F5" w:rsidRPr="00D44A32">
        <w:rPr>
          <w:lang w:val="fr-FR"/>
        </w:rPr>
        <w:t xml:space="preserve"> </w:t>
      </w:r>
      <w:r w:rsidRPr="00D44A32">
        <w:rPr>
          <w:lang w:val="fr-FR"/>
        </w:rPr>
        <w:t xml:space="preserve">et </w:t>
      </w:r>
      <w:r w:rsidR="00CA70DE" w:rsidRPr="00D44A32">
        <w:rPr>
          <w:lang w:val="fr-FR"/>
        </w:rPr>
        <w:t>qu</w:t>
      </w:r>
      <w:r w:rsidR="00AB5466" w:rsidRPr="00D44A32">
        <w:rPr>
          <w:lang w:val="fr-FR"/>
        </w:rPr>
        <w:t xml:space="preserve">e cet exposé </w:t>
      </w:r>
      <w:r w:rsidR="00CA70DE" w:rsidRPr="00D44A32">
        <w:rPr>
          <w:lang w:val="fr-FR"/>
        </w:rPr>
        <w:t xml:space="preserve">peut être consulté </w:t>
      </w:r>
      <w:r w:rsidRPr="00D44A32">
        <w:rPr>
          <w:lang w:val="fr-FR"/>
        </w:rPr>
        <w:t>dans la partie du site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Web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UPOV consacrée à la quatorzième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session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AG;</w:t>
      </w:r>
    </w:p>
    <w:p w:rsidR="002B18A7" w:rsidRPr="00D44A32" w:rsidRDefault="002B18A7" w:rsidP="00D44A32">
      <w:pPr>
        <w:pStyle w:val="ListParagraph"/>
        <w:ind w:left="567"/>
        <w:rPr>
          <w:lang w:val="fr-FR"/>
        </w:rPr>
      </w:pPr>
    </w:p>
    <w:p w:rsidR="002B18A7" w:rsidRPr="00D44A32" w:rsidRDefault="002F4D26" w:rsidP="00D44A32">
      <w:pPr>
        <w:ind w:firstLine="567"/>
        <w:rPr>
          <w:lang w:val="fr-FR"/>
        </w:rPr>
      </w:pPr>
      <w:r w:rsidRPr="00D44A32">
        <w:rPr>
          <w:lang w:val="fr-FR"/>
        </w:rPr>
        <w:t>b)</w:t>
      </w:r>
      <w:r w:rsidRPr="00D44A32">
        <w:rPr>
          <w:lang w:val="fr-FR"/>
        </w:rPr>
        <w:tab/>
      </w:r>
      <w:r w:rsidR="00FF6402" w:rsidRPr="00D44A32">
        <w:rPr>
          <w:lang w:val="fr-FR"/>
        </w:rPr>
        <w:t>envisager l</w:t>
      </w:r>
      <w:r w:rsidR="00A1605A" w:rsidRPr="00D44A32">
        <w:rPr>
          <w:lang w:val="fr-FR"/>
        </w:rPr>
        <w:t>’</w:t>
      </w:r>
      <w:r w:rsidR="00FF6402" w:rsidRPr="00D44A32">
        <w:rPr>
          <w:lang w:val="fr-FR"/>
        </w:rPr>
        <w:t>élaboration d</w:t>
      </w:r>
      <w:r w:rsidR="00A1605A" w:rsidRPr="00D44A32">
        <w:rPr>
          <w:lang w:val="fr-FR"/>
        </w:rPr>
        <w:t>’</w:t>
      </w:r>
      <w:r w:rsidR="00FF6402" w:rsidRPr="00D44A32">
        <w:rPr>
          <w:lang w:val="fr-FR"/>
        </w:rPr>
        <w:t xml:space="preserve">orientations concernant le statut des variétés essentiellement dérivées qui ne bénéficient </w:t>
      </w:r>
      <w:r w:rsidR="00EC31F5" w:rsidRPr="00D44A32">
        <w:rPr>
          <w:lang w:val="fr-FR"/>
        </w:rPr>
        <w:t xml:space="preserve">pas </w:t>
      </w:r>
      <w:r w:rsidR="00FF6402" w:rsidRPr="00D44A32">
        <w:rPr>
          <w:lang w:val="fr-FR"/>
        </w:rPr>
        <w:t>de la protection de plein droit, après l</w:t>
      </w:r>
      <w:r w:rsidR="00A1605A" w:rsidRPr="00D44A32">
        <w:rPr>
          <w:lang w:val="fr-FR"/>
        </w:rPr>
        <w:t>’</w:t>
      </w:r>
      <w:r w:rsidR="00FF6402" w:rsidRPr="00D44A32">
        <w:rPr>
          <w:lang w:val="fr-FR"/>
        </w:rPr>
        <w:t>adoption du document révisé UPOV/EXN/EDV/2, comme indiqué au paragraphe</w:t>
      </w:r>
      <w:r w:rsidR="00365E0C" w:rsidRPr="00D44A32">
        <w:rPr>
          <w:lang w:val="fr-FR"/>
        </w:rPr>
        <w:t> </w:t>
      </w:r>
      <w:r w:rsidR="00FF6402" w:rsidRPr="00D44A32">
        <w:rPr>
          <w:lang w:val="fr-FR"/>
        </w:rPr>
        <w:t>11;</w:t>
      </w:r>
    </w:p>
    <w:p w:rsidR="002B18A7" w:rsidRPr="00D44A32" w:rsidRDefault="002B18A7" w:rsidP="00D44A32">
      <w:pPr>
        <w:pStyle w:val="ListParagraph"/>
        <w:ind w:left="567"/>
        <w:rPr>
          <w:lang w:val="fr-FR"/>
        </w:rPr>
      </w:pPr>
    </w:p>
    <w:p w:rsidR="00A1605A" w:rsidRPr="00D44A32" w:rsidRDefault="00FF6402" w:rsidP="00D44A32">
      <w:pPr>
        <w:ind w:firstLine="567"/>
        <w:rPr>
          <w:lang w:val="fr-FR"/>
        </w:rPr>
      </w:pPr>
      <w:r w:rsidRPr="00D44A32">
        <w:rPr>
          <w:lang w:val="fr-FR"/>
        </w:rPr>
        <w:t>c)</w:t>
      </w:r>
      <w:r w:rsidRPr="00D44A32">
        <w:rPr>
          <w:lang w:val="fr-FR"/>
        </w:rPr>
        <w:tab/>
        <w:t>envisager la possibilité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inviter les délégations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Australie, du Brésil</w:t>
      </w:r>
      <w:r w:rsidR="00827378" w:rsidRPr="00D44A32">
        <w:rPr>
          <w:lang w:val="fr-FR"/>
        </w:rPr>
        <w:t>,</w:t>
      </w:r>
      <w:r w:rsidRPr="00D44A32">
        <w:rPr>
          <w:lang w:val="fr-FR"/>
        </w:rPr>
        <w:t xml:space="preserve">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Union européenne et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autres membres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Union à présenter des exposés sur leurs systèmes concernant les variétés essentiellement dérivées</w:t>
      </w:r>
      <w:r w:rsidR="00EC31F5" w:rsidRPr="00D44A32">
        <w:rPr>
          <w:lang w:val="fr-FR"/>
        </w:rPr>
        <w:t xml:space="preserve"> à sa soixante</w:t>
      </w:r>
      <w:r w:rsidR="00C42784" w:rsidRPr="00D44A32">
        <w:rPr>
          <w:lang w:val="fr-FR"/>
        </w:rPr>
        <w:noBreakHyphen/>
      </w:r>
      <w:r w:rsidR="00EC31F5"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="00EC31F5" w:rsidRPr="00D44A32">
        <w:rPr>
          <w:lang w:val="fr-FR"/>
        </w:rPr>
        <w:t>session;</w:t>
      </w:r>
    </w:p>
    <w:p w:rsidR="002B18A7" w:rsidRPr="00D44A32" w:rsidRDefault="002B18A7" w:rsidP="00D44A32">
      <w:pPr>
        <w:pStyle w:val="ListParagraph"/>
        <w:ind w:left="567"/>
        <w:rPr>
          <w:lang w:val="fr-FR"/>
        </w:rPr>
      </w:pPr>
    </w:p>
    <w:p w:rsidR="00A1605A" w:rsidRPr="00D44A32" w:rsidRDefault="00C656BE" w:rsidP="00D44A32">
      <w:pPr>
        <w:ind w:firstLine="567"/>
        <w:rPr>
          <w:lang w:val="fr-FR"/>
        </w:rPr>
      </w:pPr>
      <w:r w:rsidRPr="00D44A32">
        <w:rPr>
          <w:lang w:val="fr-FR"/>
        </w:rPr>
        <w:t>d)</w:t>
      </w:r>
      <w:r w:rsidRPr="00D44A32">
        <w:rPr>
          <w:lang w:val="fr-FR"/>
        </w:rPr>
        <w:tab/>
        <w:t>envisager la possibilité de demander au Bureau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Union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organiser une réunion pour échanger des données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 avec</w:t>
      </w:r>
      <w:r w:rsidR="00A1605A" w:rsidRPr="00D44A32">
        <w:rPr>
          <w:lang w:val="fr-FR"/>
        </w:rPr>
        <w:t xml:space="preserve"> la CIO</w:t>
      </w:r>
      <w:r w:rsidRPr="00D44A32">
        <w:rPr>
          <w:lang w:val="fr-FR"/>
        </w:rPr>
        <w:t>PORA,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ISF et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OMPI en vue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étudier le rôle que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A1605A" w:rsidRPr="00D44A32">
        <w:rPr>
          <w:lang w:val="fr-FR"/>
        </w:rPr>
        <w:t>y compris</w:t>
      </w:r>
      <w:r w:rsidRPr="00D44A32">
        <w:rPr>
          <w:lang w:val="fr-FR"/>
        </w:rPr>
        <w:t xml:space="preserve"> la mise à disposition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experts </w:t>
      </w:r>
      <w:r w:rsidR="00461059" w:rsidRPr="00D44A32">
        <w:rPr>
          <w:lang w:val="fr-FR"/>
        </w:rPr>
        <w:t>concernant</w:t>
      </w:r>
      <w:r w:rsidRPr="00D44A32">
        <w:rPr>
          <w:lang w:val="fr-FR"/>
        </w:rPr>
        <w:t xml:space="preserve"> les questions relatives aux variétés essentiellement dérivées, et</w:t>
      </w:r>
      <w:r w:rsidR="002F4D26" w:rsidRPr="00D44A32">
        <w:rPr>
          <w:lang w:val="fr-FR"/>
        </w:rPr>
        <w:t xml:space="preserve"> à présenter un compte rendu à s</w:t>
      </w:r>
      <w:r w:rsidRPr="00D44A32">
        <w:rPr>
          <w:lang w:val="fr-FR"/>
        </w:rPr>
        <w:t>a soixante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session;</w:t>
      </w:r>
    </w:p>
    <w:p w:rsidR="002B18A7" w:rsidRPr="00D44A32" w:rsidRDefault="002F4D26" w:rsidP="00D44A32">
      <w:pPr>
        <w:pStyle w:val="ListParagraph"/>
        <w:tabs>
          <w:tab w:val="left" w:pos="7159"/>
        </w:tabs>
        <w:ind w:left="567"/>
        <w:rPr>
          <w:lang w:val="fr-FR"/>
        </w:rPr>
      </w:pPr>
      <w:r w:rsidRPr="00D44A32">
        <w:rPr>
          <w:lang w:val="fr-FR"/>
        </w:rPr>
        <w:tab/>
      </w:r>
    </w:p>
    <w:p w:rsidR="002B18A7" w:rsidRPr="00D44A32" w:rsidRDefault="002F4D26" w:rsidP="00D44A32">
      <w:pPr>
        <w:ind w:firstLine="567"/>
        <w:rPr>
          <w:lang w:val="fr-FR"/>
        </w:rPr>
      </w:pPr>
      <w:r w:rsidRPr="00D44A32">
        <w:rPr>
          <w:lang w:val="fr-FR"/>
        </w:rPr>
        <w:t>e)</w:t>
      </w:r>
      <w:r w:rsidRPr="00D44A32">
        <w:rPr>
          <w:lang w:val="fr-FR"/>
        </w:rPr>
        <w:tab/>
        <w:t>examiner le nouveau projet de “Notes explicatives sur les variétés essentiellement dérivées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</w:t>
      </w:r>
      <w:r w:rsidR="00957DA8" w:rsidRPr="00D44A32">
        <w:rPr>
          <w:lang w:val="fr-FR"/>
        </w:rPr>
        <w:t>e</w:t>
      </w:r>
      <w:r w:rsidR="00365E0C" w:rsidRPr="00D44A32">
        <w:rPr>
          <w:lang w:val="fr-FR"/>
        </w:rPr>
        <w:t> </w:t>
      </w:r>
      <w:r w:rsidR="00957DA8"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>” (r</w:t>
      </w:r>
      <w:r w:rsidRPr="00D44A32">
        <w:rPr>
          <w:lang w:val="fr-FR"/>
        </w:rPr>
        <w:t>évision) (document UPOV/EXN/EDV/2 Draft 6) à sa soixante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session, comme indiqué aux paragraphes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15 et 16;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2B18A7" w:rsidRPr="00D44A32" w:rsidRDefault="006F4AC2" w:rsidP="00D44A32">
      <w:pPr>
        <w:ind w:firstLine="567"/>
        <w:rPr>
          <w:lang w:val="fr-FR"/>
        </w:rPr>
      </w:pPr>
      <w:r w:rsidRPr="00D44A32">
        <w:rPr>
          <w:lang w:val="fr-FR"/>
        </w:rPr>
        <w:t>f)</w:t>
      </w:r>
      <w:r w:rsidR="000758CE" w:rsidRPr="00D44A32">
        <w:rPr>
          <w:lang w:val="fr-FR"/>
        </w:rPr>
        <w:tab/>
      </w:r>
      <w:r w:rsidR="002C462D" w:rsidRPr="00D44A32">
        <w:rPr>
          <w:lang w:val="fr-FR"/>
        </w:rPr>
        <w:t xml:space="preserve">considérer le document UPOV/EXN/PPM/1 Draft 4 comme </w:t>
      </w:r>
      <w:r w:rsidR="008D3E45" w:rsidRPr="00D44A32">
        <w:rPr>
          <w:lang w:val="fr-FR"/>
        </w:rPr>
        <w:t xml:space="preserve">une </w:t>
      </w:r>
      <w:r w:rsidR="002C462D" w:rsidRPr="00D44A32">
        <w:rPr>
          <w:lang w:val="fr-FR"/>
        </w:rPr>
        <w:t xml:space="preserve">base </w:t>
      </w:r>
      <w:r w:rsidR="00580075" w:rsidRPr="00D44A32">
        <w:rPr>
          <w:lang w:val="fr-FR"/>
        </w:rPr>
        <w:t>en vue de</w:t>
      </w:r>
      <w:r w:rsidR="002C462D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2C462D" w:rsidRPr="00D44A32">
        <w:rPr>
          <w:lang w:val="fr-FR"/>
        </w:rPr>
        <w:t>adoption des “</w:t>
      </w:r>
      <w:r w:rsidR="00100B93" w:rsidRPr="00D44A32">
        <w:rPr>
          <w:szCs w:val="22"/>
          <w:lang w:val="fr-FR"/>
        </w:rPr>
        <w:t xml:space="preserve">Notes explicatives sur le matériel de reproduction ou de multiplication </w:t>
      </w:r>
      <w:r w:rsidR="00827378" w:rsidRPr="00D44A32">
        <w:rPr>
          <w:szCs w:val="22"/>
          <w:lang w:val="fr-FR"/>
        </w:rPr>
        <w:t>selon</w:t>
      </w:r>
      <w:r w:rsidR="00100B93" w:rsidRPr="00D44A32">
        <w:rPr>
          <w:szCs w:val="22"/>
          <w:lang w:val="fr-FR"/>
        </w:rPr>
        <w:t xml:space="preserve"> l</w:t>
      </w:r>
      <w:r w:rsidR="00A1605A" w:rsidRPr="00D44A32">
        <w:rPr>
          <w:szCs w:val="22"/>
          <w:lang w:val="fr-FR"/>
        </w:rPr>
        <w:t>’</w:t>
      </w:r>
      <w:r w:rsidR="00100B93" w:rsidRPr="00D44A32">
        <w:rPr>
          <w:szCs w:val="22"/>
          <w:lang w:val="fr-FR"/>
        </w:rPr>
        <w:t>Acte de</w:t>
      </w:r>
      <w:r w:rsidR="00365E0C" w:rsidRPr="00D44A32">
        <w:rPr>
          <w:szCs w:val="22"/>
          <w:lang w:val="fr-FR"/>
        </w:rPr>
        <w:t> </w:t>
      </w:r>
      <w:r w:rsidR="00100B93" w:rsidRPr="00D44A32">
        <w:rPr>
          <w:szCs w:val="22"/>
          <w:lang w:val="fr-FR"/>
        </w:rPr>
        <w:t xml:space="preserve">1991 de la </w:t>
      </w:r>
      <w:r w:rsidR="00A1605A" w:rsidRPr="00D44A32">
        <w:rPr>
          <w:szCs w:val="22"/>
          <w:lang w:val="fr-FR"/>
        </w:rPr>
        <w:t>Convention UPOV</w:t>
      </w:r>
      <w:r w:rsidR="002C462D" w:rsidRPr="00D44A32">
        <w:rPr>
          <w:lang w:val="fr-FR"/>
        </w:rPr>
        <w:t>” par le Conseil à sa quarante</w:t>
      </w:r>
      <w:r w:rsidR="00C42784" w:rsidRPr="00D44A32">
        <w:rPr>
          <w:lang w:val="fr-FR"/>
        </w:rPr>
        <w:noBreakHyphen/>
      </w:r>
      <w:r w:rsidR="002C462D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2C462D" w:rsidRPr="00D44A32">
        <w:rPr>
          <w:lang w:val="fr-FR"/>
        </w:rPr>
        <w:t>session ordinaire, prévue le 2</w:t>
      </w:r>
      <w:r w:rsidR="00A1605A" w:rsidRPr="00D44A32">
        <w:rPr>
          <w:lang w:val="fr-FR"/>
        </w:rPr>
        <w:t>9 octobre 20</w:t>
      </w:r>
      <w:r w:rsidR="002C462D" w:rsidRPr="00D44A32">
        <w:rPr>
          <w:lang w:val="fr-FR"/>
        </w:rPr>
        <w:t>15;</w:t>
      </w:r>
    </w:p>
    <w:p w:rsidR="002B18A7" w:rsidRPr="00D44A32" w:rsidRDefault="002C462D" w:rsidP="00D44A32">
      <w:pPr>
        <w:ind w:firstLine="567"/>
        <w:rPr>
          <w:lang w:val="fr-FR"/>
        </w:rPr>
      </w:pPr>
      <w:r w:rsidRPr="00D44A32">
        <w:rPr>
          <w:lang w:val="fr-FR"/>
        </w:rPr>
        <w:lastRenderedPageBreak/>
        <w:t>g)</w:t>
      </w:r>
      <w:r w:rsidRPr="00D44A32">
        <w:rPr>
          <w:lang w:val="fr-FR"/>
        </w:rPr>
        <w:tab/>
        <w:t>examiner la conclusion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selon laquelle il ne serait pas approprié pour le moment de chercher à élaborer une révision du document </w:t>
      </w:r>
      <w:r w:rsidR="00365E0C" w:rsidRPr="00D44A32">
        <w:rPr>
          <w:lang w:val="fr-FR"/>
        </w:rPr>
        <w:t>“</w:t>
      </w:r>
      <w:r w:rsidRPr="00D44A32">
        <w:rPr>
          <w:lang w:val="fr-FR"/>
        </w:rPr>
        <w:t xml:space="preserve">Notes explicatives sur les actes </w:t>
      </w:r>
      <w:r w:rsidR="00A1605A" w:rsidRPr="00D44A32">
        <w:rPr>
          <w:lang w:val="fr-FR"/>
        </w:rPr>
        <w:t>à l’égard</w:t>
      </w:r>
      <w:r w:rsidRPr="00D44A32">
        <w:rPr>
          <w:lang w:val="fr-FR"/>
        </w:rPr>
        <w:t xml:space="preserve"> du produit de la récolte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="00365E0C" w:rsidRPr="00D44A32">
        <w:rPr>
          <w:lang w:val="fr-FR"/>
        </w:rPr>
        <w:t>”</w:t>
      </w:r>
      <w:r w:rsidRPr="00D44A32">
        <w:rPr>
          <w:lang w:val="fr-FR"/>
        </w:rPr>
        <w:t xml:space="preserve"> (document UPOV/EXN/HRV/1);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A1605A" w:rsidRPr="00D44A32" w:rsidRDefault="00FD7D6A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>h)</w:t>
      </w:r>
      <w:r w:rsidRPr="00D44A32">
        <w:rPr>
          <w:szCs w:val="24"/>
          <w:lang w:val="fr-FR"/>
        </w:rPr>
        <w:tab/>
        <w:t>considé</w:t>
      </w:r>
      <w:r w:rsidR="001C03D4" w:rsidRPr="00D44A32">
        <w:rPr>
          <w:szCs w:val="24"/>
          <w:lang w:val="fr-FR"/>
        </w:rPr>
        <w:t xml:space="preserve">rer le document UPOV/EXN/CAN/2 </w:t>
      </w:r>
      <w:r w:rsidRPr="00D44A32">
        <w:rPr>
          <w:szCs w:val="24"/>
          <w:lang w:val="fr-FR"/>
        </w:rPr>
        <w:t xml:space="preserve">Draft 3 comme </w:t>
      </w:r>
      <w:r w:rsidR="008D3E45" w:rsidRPr="00D44A32">
        <w:rPr>
          <w:szCs w:val="24"/>
          <w:lang w:val="fr-FR"/>
        </w:rPr>
        <w:t xml:space="preserve">une </w:t>
      </w:r>
      <w:r w:rsidRPr="00D44A32">
        <w:rPr>
          <w:szCs w:val="24"/>
          <w:lang w:val="fr-FR"/>
        </w:rPr>
        <w:t>base pour la révision des “Notes explicatives sur la déchéance de l</w:t>
      </w:r>
      <w:r w:rsidR="00A1605A" w:rsidRPr="00D44A32">
        <w:rPr>
          <w:szCs w:val="24"/>
          <w:lang w:val="fr-FR"/>
        </w:rPr>
        <w:t>’</w:t>
      </w:r>
      <w:r w:rsidRPr="00D44A32">
        <w:rPr>
          <w:szCs w:val="24"/>
          <w:lang w:val="fr-FR"/>
        </w:rPr>
        <w:t>obtent</w:t>
      </w:r>
      <w:r w:rsidR="00957DA8" w:rsidRPr="00D44A32">
        <w:rPr>
          <w:szCs w:val="24"/>
          <w:lang w:val="fr-FR"/>
        </w:rPr>
        <w:t xml:space="preserve">eur selon la </w:t>
      </w:r>
      <w:r w:rsidR="00A1605A" w:rsidRPr="00D44A32">
        <w:rPr>
          <w:szCs w:val="24"/>
          <w:lang w:val="fr-FR"/>
        </w:rPr>
        <w:t>Convention UPOV</w:t>
      </w:r>
      <w:r w:rsidR="00957DA8" w:rsidRPr="00D44A32">
        <w:rPr>
          <w:szCs w:val="24"/>
          <w:lang w:val="fr-FR"/>
        </w:rPr>
        <w:t>” (r</w:t>
      </w:r>
      <w:r w:rsidRPr="00D44A32">
        <w:rPr>
          <w:szCs w:val="24"/>
          <w:lang w:val="fr-FR"/>
        </w:rPr>
        <w:t>évision) (document UPOV/EXN/CAN/1) par le Conseil à sa quarante</w:t>
      </w:r>
      <w:r w:rsidR="00C42784" w:rsidRPr="00D44A32">
        <w:rPr>
          <w:szCs w:val="24"/>
          <w:lang w:val="fr-FR"/>
        </w:rPr>
        <w:noBreakHyphen/>
      </w:r>
      <w:r w:rsidRPr="00D44A32">
        <w:rPr>
          <w:szCs w:val="24"/>
          <w:lang w:val="fr-FR"/>
        </w:rPr>
        <w:t>neuvième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>session ordinaire, prévue le 2</w:t>
      </w:r>
      <w:r w:rsidR="00A1605A" w:rsidRPr="00D44A32">
        <w:rPr>
          <w:szCs w:val="24"/>
          <w:lang w:val="fr-FR"/>
        </w:rPr>
        <w:t>9 octobre 20</w:t>
      </w:r>
      <w:r w:rsidRPr="00D44A32">
        <w:rPr>
          <w:szCs w:val="24"/>
          <w:lang w:val="fr-FR"/>
        </w:rPr>
        <w:t>15;</w:t>
      </w:r>
    </w:p>
    <w:p w:rsidR="002B18A7" w:rsidRPr="00D44A32" w:rsidRDefault="002B18A7" w:rsidP="00D44A32">
      <w:pPr>
        <w:pStyle w:val="ListParagraph"/>
        <w:ind w:left="567"/>
        <w:rPr>
          <w:szCs w:val="24"/>
          <w:lang w:val="fr-FR"/>
        </w:rPr>
      </w:pPr>
    </w:p>
    <w:p w:rsidR="002B18A7" w:rsidRPr="00D44A32" w:rsidRDefault="00871C65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>i)</w:t>
      </w:r>
      <w:r w:rsidRPr="00D44A32">
        <w:rPr>
          <w:szCs w:val="24"/>
          <w:lang w:val="fr-FR"/>
        </w:rPr>
        <w:tab/>
        <w:t>noter que</w:t>
      </w:r>
      <w:r w:rsidR="00A1605A" w:rsidRPr="00D44A32">
        <w:rPr>
          <w:szCs w:val="24"/>
          <w:lang w:val="fr-FR"/>
        </w:rPr>
        <w:t xml:space="preserve"> le CAJ</w:t>
      </w:r>
      <w:r w:rsidRPr="00D44A32">
        <w:rPr>
          <w:szCs w:val="24"/>
          <w:lang w:val="fr-FR"/>
        </w:rPr>
        <w:t>, à sa soixante</w:t>
      </w:r>
      <w:r w:rsidR="00C42784" w:rsidRPr="00D44A32">
        <w:rPr>
          <w:szCs w:val="24"/>
          <w:lang w:val="fr-FR"/>
        </w:rPr>
        <w:noBreakHyphen/>
      </w:r>
      <w:r w:rsidRPr="00D44A32">
        <w:rPr>
          <w:szCs w:val="24"/>
          <w:lang w:val="fr-FR"/>
        </w:rPr>
        <w:t>neuvième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>session, était convenu d</w:t>
      </w:r>
      <w:r w:rsidR="00A1605A" w:rsidRPr="00D44A32">
        <w:rPr>
          <w:szCs w:val="24"/>
          <w:lang w:val="fr-FR"/>
        </w:rPr>
        <w:t>’</w:t>
      </w:r>
      <w:r w:rsidRPr="00D44A32">
        <w:rPr>
          <w:szCs w:val="24"/>
          <w:lang w:val="fr-FR"/>
        </w:rPr>
        <w:t>inviter le</w:t>
      </w:r>
      <w:r w:rsidR="00A1605A" w:rsidRPr="00D44A32">
        <w:rPr>
          <w:szCs w:val="24"/>
          <w:lang w:val="fr-FR"/>
        </w:rPr>
        <w:t> TC</w:t>
      </w:r>
      <w:r w:rsidRPr="00D44A32">
        <w:rPr>
          <w:szCs w:val="24"/>
          <w:lang w:val="fr-FR"/>
        </w:rPr>
        <w:t xml:space="preserve"> à </w:t>
      </w:r>
      <w:r w:rsidR="00AB5466" w:rsidRPr="00D44A32">
        <w:rPr>
          <w:szCs w:val="24"/>
          <w:lang w:val="fr-FR"/>
        </w:rPr>
        <w:t>envisager</w:t>
      </w:r>
      <w:r w:rsidRPr="00D44A32">
        <w:rPr>
          <w:szCs w:val="24"/>
          <w:u w:val="single"/>
          <w:lang w:val="fr-FR"/>
        </w:rPr>
        <w:t xml:space="preserve"> </w:t>
      </w:r>
      <w:r w:rsidRPr="00D44A32">
        <w:rPr>
          <w:szCs w:val="24"/>
          <w:lang w:val="fr-FR"/>
        </w:rPr>
        <w:t>l</w:t>
      </w:r>
      <w:r w:rsidR="00A1605A" w:rsidRPr="00D44A32">
        <w:rPr>
          <w:szCs w:val="24"/>
          <w:lang w:val="fr-FR"/>
        </w:rPr>
        <w:t>’</w:t>
      </w:r>
      <w:r w:rsidRPr="00D44A32">
        <w:rPr>
          <w:szCs w:val="24"/>
          <w:lang w:val="fr-FR"/>
        </w:rPr>
        <w:t>élaboration d</w:t>
      </w:r>
      <w:r w:rsidR="00A1605A" w:rsidRPr="00D44A32">
        <w:rPr>
          <w:szCs w:val="24"/>
          <w:lang w:val="fr-FR"/>
        </w:rPr>
        <w:t>’</w:t>
      </w:r>
      <w:r w:rsidRPr="00D44A32">
        <w:rPr>
          <w:szCs w:val="24"/>
          <w:lang w:val="fr-FR"/>
        </w:rPr>
        <w:t>orientations sur certaines questions concernant les descriptions variétales, comme indiqué au paragraphe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>26;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2B18A7" w:rsidRPr="00D44A32" w:rsidRDefault="00AB5466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>j</w:t>
      </w:r>
      <w:r w:rsidR="00871C65" w:rsidRPr="00D44A32">
        <w:rPr>
          <w:szCs w:val="24"/>
          <w:lang w:val="fr-FR"/>
        </w:rPr>
        <w:t>)</w:t>
      </w:r>
      <w:r w:rsidR="00871C65" w:rsidRPr="00D44A32">
        <w:rPr>
          <w:szCs w:val="24"/>
          <w:lang w:val="fr-FR"/>
        </w:rPr>
        <w:tab/>
        <w:t xml:space="preserve">considérer le document UPOV/EXN/NUL/2 Draft 3 comme </w:t>
      </w:r>
      <w:r w:rsidR="008D3E45" w:rsidRPr="00D44A32">
        <w:rPr>
          <w:szCs w:val="24"/>
          <w:lang w:val="fr-FR"/>
        </w:rPr>
        <w:t xml:space="preserve">une </w:t>
      </w:r>
      <w:r w:rsidR="00871C65" w:rsidRPr="00D44A32">
        <w:rPr>
          <w:szCs w:val="24"/>
          <w:lang w:val="fr-FR"/>
        </w:rPr>
        <w:t>base pour la révision des “Notes explicatives sur la nullité du droit d</w:t>
      </w:r>
      <w:r w:rsidR="00A1605A" w:rsidRPr="00D44A32">
        <w:rPr>
          <w:szCs w:val="24"/>
          <w:lang w:val="fr-FR"/>
        </w:rPr>
        <w:t>’</w:t>
      </w:r>
      <w:r w:rsidR="00871C65" w:rsidRPr="00D44A32">
        <w:rPr>
          <w:szCs w:val="24"/>
          <w:lang w:val="fr-FR"/>
        </w:rPr>
        <w:t xml:space="preserve">obtenteur selon la </w:t>
      </w:r>
      <w:r w:rsidR="00A1605A" w:rsidRPr="00D44A32">
        <w:rPr>
          <w:szCs w:val="24"/>
          <w:lang w:val="fr-FR"/>
        </w:rPr>
        <w:t>Convention UPOV</w:t>
      </w:r>
      <w:r w:rsidR="00957DA8" w:rsidRPr="00D44A32">
        <w:rPr>
          <w:szCs w:val="24"/>
          <w:lang w:val="fr-FR"/>
        </w:rPr>
        <w:t>” (r</w:t>
      </w:r>
      <w:r w:rsidR="00871C65" w:rsidRPr="00D44A32">
        <w:rPr>
          <w:szCs w:val="24"/>
          <w:lang w:val="fr-FR"/>
        </w:rPr>
        <w:t>évision) (document UPOV/EXN/NUL/1) par le Conseil à sa quarante</w:t>
      </w:r>
      <w:r w:rsidR="00C42784" w:rsidRPr="00D44A32">
        <w:rPr>
          <w:szCs w:val="24"/>
          <w:lang w:val="fr-FR"/>
        </w:rPr>
        <w:noBreakHyphen/>
      </w:r>
      <w:r w:rsidR="00871C65" w:rsidRPr="00D44A32">
        <w:rPr>
          <w:szCs w:val="24"/>
          <w:lang w:val="fr-FR"/>
        </w:rPr>
        <w:t>neuvième</w:t>
      </w:r>
      <w:r w:rsidR="00365E0C" w:rsidRPr="00D44A32">
        <w:rPr>
          <w:szCs w:val="24"/>
          <w:lang w:val="fr-FR"/>
        </w:rPr>
        <w:t> </w:t>
      </w:r>
      <w:r w:rsidR="00871C65" w:rsidRPr="00D44A32">
        <w:rPr>
          <w:szCs w:val="24"/>
          <w:lang w:val="fr-FR"/>
        </w:rPr>
        <w:t>session ordinaire, prévue le 2</w:t>
      </w:r>
      <w:r w:rsidR="00A1605A" w:rsidRPr="00D44A32">
        <w:rPr>
          <w:szCs w:val="24"/>
          <w:lang w:val="fr-FR"/>
        </w:rPr>
        <w:t>9 octobre 20</w:t>
      </w:r>
      <w:r w:rsidR="00871C65" w:rsidRPr="00D44A32">
        <w:rPr>
          <w:szCs w:val="24"/>
          <w:lang w:val="fr-FR"/>
        </w:rPr>
        <w:t>15;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2B18A7" w:rsidRPr="00D44A32" w:rsidRDefault="006F4AC2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>k)</w:t>
      </w:r>
      <w:r w:rsidR="000758CE" w:rsidRPr="00D44A32">
        <w:rPr>
          <w:szCs w:val="24"/>
          <w:lang w:val="fr-FR"/>
        </w:rPr>
        <w:tab/>
      </w:r>
      <w:r w:rsidR="00871C65" w:rsidRPr="00D44A32">
        <w:rPr>
          <w:szCs w:val="24"/>
          <w:lang w:val="fr-FR"/>
        </w:rPr>
        <w:t xml:space="preserve">considérer le document </w:t>
      </w:r>
      <w:r w:rsidRPr="00D44A32">
        <w:rPr>
          <w:szCs w:val="24"/>
          <w:lang w:val="fr-FR"/>
        </w:rPr>
        <w:t xml:space="preserve">UPOV/EXN/PRP/2 Draft 3 </w:t>
      </w:r>
      <w:r w:rsidR="00871C65" w:rsidRPr="00D44A32">
        <w:rPr>
          <w:szCs w:val="24"/>
          <w:lang w:val="fr-FR"/>
        </w:rPr>
        <w:t xml:space="preserve">comme </w:t>
      </w:r>
      <w:r w:rsidR="008D3E45" w:rsidRPr="00D44A32">
        <w:rPr>
          <w:szCs w:val="24"/>
          <w:lang w:val="fr-FR"/>
        </w:rPr>
        <w:t xml:space="preserve">une </w:t>
      </w:r>
      <w:r w:rsidR="00871C65" w:rsidRPr="00D44A32">
        <w:rPr>
          <w:szCs w:val="24"/>
          <w:lang w:val="fr-FR"/>
        </w:rPr>
        <w:t xml:space="preserve">base pour la révision des </w:t>
      </w:r>
      <w:r w:rsidRPr="00D44A32">
        <w:rPr>
          <w:szCs w:val="24"/>
          <w:lang w:val="fr-FR"/>
        </w:rPr>
        <w:t>“</w:t>
      </w:r>
      <w:r w:rsidR="00871C65" w:rsidRPr="00D44A32">
        <w:rPr>
          <w:lang w:val="fr-FR"/>
        </w:rPr>
        <w:t xml:space="preserve">Notes explicatives sur la protection provisoire selon la </w:t>
      </w:r>
      <w:r w:rsidR="00A1605A" w:rsidRPr="00D44A32">
        <w:rPr>
          <w:lang w:val="fr-FR"/>
        </w:rPr>
        <w:t>Convention UPOV</w:t>
      </w:r>
      <w:r w:rsidRPr="00D44A32">
        <w:rPr>
          <w:szCs w:val="24"/>
          <w:lang w:val="fr-FR"/>
        </w:rPr>
        <w:t>” (document UPOV/EXN/PRP/1</w:t>
      </w:r>
      <w:r w:rsidR="00871C65" w:rsidRPr="00D44A32">
        <w:rPr>
          <w:szCs w:val="24"/>
          <w:lang w:val="fr-FR"/>
        </w:rPr>
        <w:t>) par le Conseil à sa quarante</w:t>
      </w:r>
      <w:r w:rsidR="00C42784" w:rsidRPr="00D44A32">
        <w:rPr>
          <w:szCs w:val="24"/>
          <w:lang w:val="fr-FR"/>
        </w:rPr>
        <w:noBreakHyphen/>
      </w:r>
      <w:r w:rsidR="00871C65" w:rsidRPr="00D44A32">
        <w:rPr>
          <w:szCs w:val="24"/>
          <w:lang w:val="fr-FR"/>
        </w:rPr>
        <w:t>neuvième</w:t>
      </w:r>
      <w:r w:rsidR="00365E0C" w:rsidRPr="00D44A32">
        <w:rPr>
          <w:szCs w:val="24"/>
          <w:lang w:val="fr-FR"/>
        </w:rPr>
        <w:t> </w:t>
      </w:r>
      <w:r w:rsidR="00871C65" w:rsidRPr="00D44A32">
        <w:rPr>
          <w:szCs w:val="24"/>
          <w:lang w:val="fr-FR"/>
        </w:rPr>
        <w:t>session ordinaire, prévue le 2</w:t>
      </w:r>
      <w:r w:rsidR="00A1605A" w:rsidRPr="00D44A32">
        <w:rPr>
          <w:szCs w:val="24"/>
          <w:lang w:val="fr-FR"/>
        </w:rPr>
        <w:t>9 octobre 20</w:t>
      </w:r>
      <w:r w:rsidR="00871C65" w:rsidRPr="00D44A32">
        <w:rPr>
          <w:szCs w:val="24"/>
          <w:lang w:val="fr-FR"/>
        </w:rPr>
        <w:t>15</w:t>
      </w:r>
      <w:r w:rsidRPr="00D44A32">
        <w:rPr>
          <w:szCs w:val="24"/>
          <w:lang w:val="fr-FR"/>
        </w:rPr>
        <w:t>;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2B18A7" w:rsidRPr="00D44A32" w:rsidRDefault="006F4AC2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>l)</w:t>
      </w:r>
      <w:r w:rsidR="000758CE" w:rsidRPr="00D44A32">
        <w:rPr>
          <w:lang w:val="fr-FR"/>
        </w:rPr>
        <w:tab/>
      </w:r>
      <w:r w:rsidR="00871C65" w:rsidRPr="00D44A32">
        <w:rPr>
          <w:lang w:val="fr-FR"/>
        </w:rPr>
        <w:t>examiner les</w:t>
      </w:r>
      <w:r w:rsidRPr="00D44A32">
        <w:rPr>
          <w:szCs w:val="24"/>
          <w:lang w:val="fr-FR"/>
        </w:rPr>
        <w:t xml:space="preserve"> conclusions </w:t>
      </w:r>
      <w:r w:rsidR="00DC1949" w:rsidRPr="00D44A32">
        <w:rPr>
          <w:szCs w:val="24"/>
          <w:lang w:val="fr-FR"/>
        </w:rPr>
        <w:t>adopté</w:t>
      </w:r>
      <w:r w:rsidR="00871C65" w:rsidRPr="00D44A32">
        <w:rPr>
          <w:szCs w:val="24"/>
          <w:lang w:val="fr-FR"/>
        </w:rPr>
        <w:t>es par</w:t>
      </w:r>
      <w:r w:rsidR="00A1605A" w:rsidRPr="00D44A32">
        <w:rPr>
          <w:szCs w:val="24"/>
          <w:lang w:val="fr-FR"/>
        </w:rPr>
        <w:t xml:space="preserve"> le CAJ</w:t>
      </w:r>
      <w:r w:rsidR="00C42784" w:rsidRPr="00D44A32">
        <w:rPr>
          <w:szCs w:val="24"/>
          <w:lang w:val="fr-FR"/>
        </w:rPr>
        <w:noBreakHyphen/>
      </w:r>
      <w:r w:rsidRPr="00D44A32">
        <w:rPr>
          <w:szCs w:val="24"/>
          <w:lang w:val="fr-FR"/>
        </w:rPr>
        <w:t xml:space="preserve">AG </w:t>
      </w:r>
      <w:r w:rsidR="00871C65" w:rsidRPr="00D44A32">
        <w:rPr>
          <w:szCs w:val="24"/>
          <w:lang w:val="fr-FR"/>
        </w:rPr>
        <w:t>sur les points suivants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>: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A1605A" w:rsidRPr="00D44A32" w:rsidRDefault="006F4AC2" w:rsidP="00D44A32">
      <w:pPr>
        <w:autoSpaceDE w:val="0"/>
        <w:autoSpaceDN w:val="0"/>
        <w:adjustRightInd w:val="0"/>
        <w:jc w:val="left"/>
        <w:rPr>
          <w:szCs w:val="24"/>
          <w:lang w:val="fr-FR"/>
        </w:rPr>
      </w:pPr>
      <w:r w:rsidRPr="00D44A32">
        <w:rPr>
          <w:szCs w:val="24"/>
          <w:lang w:val="fr-FR"/>
        </w:rPr>
        <w:tab/>
      </w:r>
      <w:r w:rsidR="00923B6B" w:rsidRPr="00D44A32">
        <w:rPr>
          <w:szCs w:val="24"/>
          <w:lang w:val="fr-FR"/>
        </w:rPr>
        <w:tab/>
      </w:r>
      <w:r w:rsidRPr="00D44A32">
        <w:rPr>
          <w:szCs w:val="24"/>
          <w:lang w:val="fr-FR"/>
        </w:rPr>
        <w:t>i</w:t>
      </w:r>
      <w:r w:rsidR="000758CE" w:rsidRPr="00D44A32">
        <w:rPr>
          <w:szCs w:val="24"/>
          <w:lang w:val="fr-FR"/>
        </w:rPr>
        <w:t>)</w:t>
      </w:r>
      <w:r w:rsidR="000758CE" w:rsidRPr="00D44A32">
        <w:rPr>
          <w:szCs w:val="24"/>
          <w:lang w:val="fr-FR"/>
        </w:rPr>
        <w:tab/>
      </w:r>
      <w:r w:rsidR="00DC1949" w:rsidRPr="00D44A32">
        <w:rPr>
          <w:szCs w:val="24"/>
          <w:lang w:val="fr-FR"/>
        </w:rPr>
        <w:t xml:space="preserve">le ou les </w:t>
      </w:r>
      <w:r w:rsidR="00DC1949" w:rsidRPr="00D44A32">
        <w:rPr>
          <w:rFonts w:cs="Arial"/>
          <w:lang w:val="fr-FR"/>
        </w:rPr>
        <w:t>buts de la description variétale élaborée au moment de l</w:t>
      </w:r>
      <w:r w:rsidR="00A1605A" w:rsidRPr="00D44A32">
        <w:rPr>
          <w:rFonts w:cs="Arial"/>
          <w:lang w:val="fr-FR"/>
        </w:rPr>
        <w:t>’</w:t>
      </w:r>
      <w:r w:rsidR="00DC1949" w:rsidRPr="00D44A32">
        <w:rPr>
          <w:rFonts w:cs="Arial"/>
          <w:lang w:val="fr-FR"/>
        </w:rPr>
        <w:t>octroi du droit d</w:t>
      </w:r>
      <w:r w:rsidR="00A1605A" w:rsidRPr="00D44A32">
        <w:rPr>
          <w:rFonts w:cs="Arial"/>
          <w:lang w:val="fr-FR"/>
        </w:rPr>
        <w:t>’</w:t>
      </w:r>
      <w:r w:rsidR="00DC1949" w:rsidRPr="00D44A32">
        <w:rPr>
          <w:rFonts w:cs="Arial"/>
          <w:lang w:val="fr-FR"/>
        </w:rPr>
        <w:t>obtenteur (description variétale initiale)</w:t>
      </w:r>
      <w:r w:rsidRPr="00D44A32">
        <w:rPr>
          <w:szCs w:val="24"/>
          <w:lang w:val="fr-FR"/>
        </w:rPr>
        <w:t xml:space="preserve">, </w:t>
      </w:r>
      <w:r w:rsidR="00DC1949" w:rsidRPr="00D44A32">
        <w:rPr>
          <w:szCs w:val="24"/>
          <w:lang w:val="fr-FR"/>
        </w:rPr>
        <w:t xml:space="preserve">comme indiqué au </w:t>
      </w:r>
      <w:r w:rsidRPr="00D44A32">
        <w:rPr>
          <w:szCs w:val="24"/>
          <w:lang w:val="fr-FR"/>
        </w:rPr>
        <w:t>paragraph</w:t>
      </w:r>
      <w:r w:rsidR="00DC1949" w:rsidRPr="00D44A32">
        <w:rPr>
          <w:szCs w:val="24"/>
          <w:lang w:val="fr-FR"/>
        </w:rPr>
        <w:t>e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 xml:space="preserve">37; </w:t>
      </w:r>
      <w:r w:rsidR="00DC1949" w:rsidRPr="00D44A32">
        <w:rPr>
          <w:szCs w:val="24"/>
          <w:lang w:val="fr-FR"/>
        </w:rPr>
        <w:t xml:space="preserve"> et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2B18A7" w:rsidRPr="00D44A32" w:rsidRDefault="006F4AC2" w:rsidP="00D44A32">
      <w:pPr>
        <w:ind w:firstLine="567"/>
        <w:rPr>
          <w:szCs w:val="24"/>
          <w:lang w:val="fr-FR"/>
        </w:rPr>
      </w:pPr>
      <w:r w:rsidRPr="00D44A32">
        <w:rPr>
          <w:szCs w:val="24"/>
          <w:lang w:val="fr-FR"/>
        </w:rPr>
        <w:tab/>
        <w:t>ii</w:t>
      </w:r>
      <w:r w:rsidR="000758CE" w:rsidRPr="00D44A32">
        <w:rPr>
          <w:szCs w:val="24"/>
          <w:lang w:val="fr-FR"/>
        </w:rPr>
        <w:t>)</w:t>
      </w:r>
      <w:r w:rsidR="000758CE" w:rsidRPr="00D44A32">
        <w:rPr>
          <w:szCs w:val="24"/>
          <w:lang w:val="fr-FR"/>
        </w:rPr>
        <w:tab/>
      </w:r>
      <w:r w:rsidR="00923B6B" w:rsidRPr="00D44A32">
        <w:rPr>
          <w:szCs w:val="24"/>
          <w:lang w:val="fr-FR"/>
        </w:rPr>
        <w:t>le statut de la description variétale initiale, au regard de la vérification de la conformité du matériel végétal à une variété protégée aux fins de la défense du droit</w:t>
      </w:r>
      <w:r w:rsidR="00AB5466" w:rsidRPr="00D44A32">
        <w:rPr>
          <w:szCs w:val="24"/>
          <w:lang w:val="fr-FR"/>
        </w:rPr>
        <w:t xml:space="preserve"> d</w:t>
      </w:r>
      <w:r w:rsidR="00A1605A" w:rsidRPr="00D44A32">
        <w:rPr>
          <w:szCs w:val="24"/>
          <w:lang w:val="fr-FR"/>
        </w:rPr>
        <w:t>’</w:t>
      </w:r>
      <w:r w:rsidR="00AB5466" w:rsidRPr="00D44A32">
        <w:rPr>
          <w:szCs w:val="24"/>
          <w:lang w:val="fr-FR"/>
        </w:rPr>
        <w:t>obtenteur</w:t>
      </w:r>
      <w:r w:rsidR="00923B6B" w:rsidRPr="00D44A32">
        <w:rPr>
          <w:szCs w:val="24"/>
          <w:lang w:val="fr-FR"/>
        </w:rPr>
        <w:t>, comme indiqué</w:t>
      </w:r>
      <w:r w:rsidRPr="00D44A32">
        <w:rPr>
          <w:szCs w:val="24"/>
          <w:lang w:val="fr-FR"/>
        </w:rPr>
        <w:t xml:space="preserve"> </w:t>
      </w:r>
      <w:r w:rsidR="00923B6B" w:rsidRPr="00D44A32">
        <w:rPr>
          <w:szCs w:val="24"/>
          <w:lang w:val="fr-FR"/>
        </w:rPr>
        <w:t xml:space="preserve">aux </w:t>
      </w:r>
      <w:r w:rsidRPr="00D44A32">
        <w:rPr>
          <w:szCs w:val="24"/>
          <w:lang w:val="fr-FR"/>
        </w:rPr>
        <w:t>paragraph</w:t>
      </w:r>
      <w:r w:rsidR="00923B6B" w:rsidRPr="00D44A32">
        <w:rPr>
          <w:szCs w:val="24"/>
          <w:lang w:val="fr-FR"/>
        </w:rPr>
        <w:t>e</w:t>
      </w:r>
      <w:r w:rsidRPr="00D44A32">
        <w:rPr>
          <w:szCs w:val="24"/>
          <w:lang w:val="fr-FR"/>
        </w:rPr>
        <w:t>s</w:t>
      </w:r>
      <w:r w:rsidR="00365E0C" w:rsidRPr="00D44A32">
        <w:rPr>
          <w:szCs w:val="24"/>
          <w:lang w:val="fr-FR"/>
        </w:rPr>
        <w:t> </w:t>
      </w:r>
      <w:r w:rsidRPr="00D44A32">
        <w:rPr>
          <w:szCs w:val="24"/>
          <w:lang w:val="fr-FR"/>
        </w:rPr>
        <w:t xml:space="preserve">38 </w:t>
      </w:r>
      <w:r w:rsidR="00923B6B" w:rsidRPr="00D44A32">
        <w:rPr>
          <w:szCs w:val="24"/>
          <w:lang w:val="fr-FR"/>
        </w:rPr>
        <w:t>et</w:t>
      </w:r>
      <w:r w:rsidRPr="00D44A32">
        <w:rPr>
          <w:szCs w:val="24"/>
          <w:lang w:val="fr-FR"/>
        </w:rPr>
        <w:t> 39;</w:t>
      </w:r>
    </w:p>
    <w:p w:rsidR="002B18A7" w:rsidRPr="00D44A32" w:rsidRDefault="002B18A7" w:rsidP="00D44A32">
      <w:pPr>
        <w:ind w:firstLine="567"/>
        <w:rPr>
          <w:szCs w:val="24"/>
          <w:lang w:val="fr-FR"/>
        </w:rPr>
      </w:pPr>
    </w:p>
    <w:p w:rsidR="002B18A7" w:rsidRPr="00D44A32" w:rsidRDefault="006F4AC2" w:rsidP="00D44A32">
      <w:pPr>
        <w:ind w:firstLine="567"/>
        <w:rPr>
          <w:lang w:val="fr-FR"/>
        </w:rPr>
      </w:pPr>
      <w:r w:rsidRPr="00D44A32">
        <w:rPr>
          <w:szCs w:val="24"/>
          <w:lang w:val="fr-FR"/>
        </w:rPr>
        <w:t>ll)</w:t>
      </w:r>
      <w:r w:rsidR="000758CE" w:rsidRPr="00D44A32">
        <w:rPr>
          <w:szCs w:val="24"/>
          <w:lang w:val="fr-FR"/>
        </w:rPr>
        <w:tab/>
      </w:r>
      <w:r w:rsidRPr="00D44A32">
        <w:rPr>
          <w:lang w:val="fr-FR"/>
        </w:rPr>
        <w:t>note</w:t>
      </w:r>
      <w:r w:rsidR="0009466C" w:rsidRPr="00D44A32">
        <w:rPr>
          <w:lang w:val="fr-FR"/>
        </w:rPr>
        <w:t>r qu</w:t>
      </w:r>
      <w:r w:rsidR="00A1605A" w:rsidRPr="00D44A32">
        <w:rPr>
          <w:lang w:val="fr-FR"/>
        </w:rPr>
        <w:t>’</w:t>
      </w:r>
      <w:r w:rsidR="0009466C" w:rsidRPr="00D44A32">
        <w:rPr>
          <w:lang w:val="fr-FR"/>
        </w:rPr>
        <w:t>un rapport sur les travaux concernant la</w:t>
      </w:r>
      <w:r w:rsidR="00923B6B" w:rsidRPr="00D44A32">
        <w:rPr>
          <w:lang w:val="fr-FR"/>
        </w:rPr>
        <w:t xml:space="preserve"> possibilité d</w:t>
      </w:r>
      <w:r w:rsidR="00A1605A" w:rsidRPr="00D44A32">
        <w:rPr>
          <w:lang w:val="fr-FR"/>
        </w:rPr>
        <w:t>’</w:t>
      </w:r>
      <w:r w:rsidR="00923B6B" w:rsidRPr="00D44A32">
        <w:rPr>
          <w:lang w:val="fr-FR"/>
        </w:rPr>
        <w:t>élaboration d</w:t>
      </w:r>
      <w:r w:rsidR="00A1605A" w:rsidRPr="00D44A32">
        <w:rPr>
          <w:lang w:val="fr-FR"/>
        </w:rPr>
        <w:t>’</w:t>
      </w:r>
      <w:r w:rsidR="00923B6B" w:rsidRPr="00D44A32">
        <w:rPr>
          <w:lang w:val="fr-FR"/>
        </w:rPr>
        <w:t>un outil de recherche de l</w:t>
      </w:r>
      <w:r w:rsidR="00A1605A" w:rsidRPr="00D44A32">
        <w:rPr>
          <w:lang w:val="fr-FR"/>
        </w:rPr>
        <w:t>’</w:t>
      </w:r>
      <w:r w:rsidR="00923B6B" w:rsidRPr="00D44A32">
        <w:rPr>
          <w:lang w:val="fr-FR"/>
        </w:rPr>
        <w:t>UPOV de similarité aux fins de la dénomination variétale</w:t>
      </w:r>
      <w:r w:rsidRPr="00D44A32">
        <w:rPr>
          <w:lang w:val="fr-FR"/>
        </w:rPr>
        <w:t xml:space="preserve"> </w:t>
      </w:r>
      <w:r w:rsidR="0009466C" w:rsidRPr="00D44A32">
        <w:rPr>
          <w:lang w:val="fr-FR"/>
        </w:rPr>
        <w:t>et d</w:t>
      </w:r>
      <w:r w:rsidR="00923B6B" w:rsidRPr="00D44A32">
        <w:rPr>
          <w:lang w:val="fr-FR"/>
        </w:rPr>
        <w:t xml:space="preserve">es propositions </w:t>
      </w:r>
      <w:r w:rsidR="0009466C" w:rsidRPr="00D44A32">
        <w:rPr>
          <w:lang w:val="fr-FR"/>
        </w:rPr>
        <w:t>de</w:t>
      </w:r>
      <w:r w:rsidR="00923B6B" w:rsidRPr="00D44A32">
        <w:rPr>
          <w:lang w:val="fr-FR"/>
        </w:rPr>
        <w:t xml:space="preserve"> révision éventuelle du </w:t>
      </w:r>
      <w:r w:rsidRPr="00D44A32">
        <w:rPr>
          <w:lang w:val="fr-FR"/>
        </w:rPr>
        <w:t>document UPOV/INF/12/4 “</w:t>
      </w:r>
      <w:r w:rsidR="00923B6B" w:rsidRPr="00D44A32">
        <w:rPr>
          <w:lang w:val="fr-FR"/>
        </w:rPr>
        <w:t xml:space="preserve">Notes explicatives concernant les dénominations variétales en vertu de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” </w:t>
      </w:r>
      <w:r w:rsidR="00923B6B" w:rsidRPr="00D44A32">
        <w:rPr>
          <w:lang w:val="fr-FR"/>
        </w:rPr>
        <w:t>figur</w:t>
      </w:r>
      <w:r w:rsidR="0009466C" w:rsidRPr="00D44A32">
        <w:rPr>
          <w:lang w:val="fr-FR"/>
        </w:rPr>
        <w:t>ent</w:t>
      </w:r>
      <w:r w:rsidR="00923B6B" w:rsidRPr="00D44A32">
        <w:rPr>
          <w:lang w:val="fr-FR"/>
        </w:rPr>
        <w:t xml:space="preserve"> dans le </w:t>
      </w:r>
      <w:r w:rsidRPr="00D44A32">
        <w:rPr>
          <w:lang w:val="fr-FR"/>
        </w:rPr>
        <w:t>document CAJ/71/3 “</w:t>
      </w:r>
      <w:r w:rsidR="00923B6B" w:rsidRPr="00D44A32">
        <w:rPr>
          <w:lang w:val="fr-FR"/>
        </w:rPr>
        <w:t>Dé</w:t>
      </w:r>
      <w:r w:rsidRPr="00D44A32">
        <w:rPr>
          <w:lang w:val="fr-FR"/>
        </w:rPr>
        <w:t>nominations</w:t>
      </w:r>
      <w:r w:rsidR="00923B6B" w:rsidRPr="00D44A32">
        <w:rPr>
          <w:lang w:val="fr-FR"/>
        </w:rPr>
        <w:t xml:space="preserve"> variétales”</w:t>
      </w:r>
      <w:r w:rsidRPr="00D44A32">
        <w:rPr>
          <w:lang w:val="fr-FR"/>
        </w:rPr>
        <w:t>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A1605A" w:rsidRPr="00D44A32" w:rsidRDefault="006F4AC2" w:rsidP="00D44A32">
      <w:pPr>
        <w:ind w:firstLine="567"/>
        <w:rPr>
          <w:lang w:val="fr-FR"/>
        </w:rPr>
      </w:pPr>
      <w:r w:rsidRPr="00D44A32">
        <w:rPr>
          <w:lang w:val="fr-FR"/>
        </w:rPr>
        <w:t>m)</w:t>
      </w:r>
      <w:r w:rsidR="000758CE" w:rsidRPr="00D44A32">
        <w:rPr>
          <w:lang w:val="fr-FR"/>
        </w:rPr>
        <w:tab/>
      </w:r>
      <w:r w:rsidR="00AE7D1F" w:rsidRPr="00D44A32">
        <w:rPr>
          <w:lang w:val="fr-FR"/>
        </w:rPr>
        <w:t xml:space="preserve">examiner les questions </w:t>
      </w:r>
      <w:r w:rsidR="00AB5466" w:rsidRPr="00D44A32">
        <w:rPr>
          <w:lang w:val="fr-FR"/>
        </w:rPr>
        <w:t>concernant la participation</w:t>
      </w:r>
      <w:r w:rsidR="00AE7D1F" w:rsidRPr="00D44A32">
        <w:rPr>
          <w:lang w:val="fr-FR"/>
        </w:rPr>
        <w:t xml:space="preserve"> </w:t>
      </w:r>
      <w:r w:rsidR="00AB5466" w:rsidRPr="00D44A32">
        <w:rPr>
          <w:lang w:val="fr-FR"/>
        </w:rPr>
        <w:t>d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observateurs</w:t>
      </w:r>
      <w:r w:rsidR="00A1605A" w:rsidRPr="00D44A32">
        <w:rPr>
          <w:lang w:val="fr-FR"/>
        </w:rPr>
        <w:t xml:space="preserve"> au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AB5466" w:rsidRPr="00D44A32">
        <w:rPr>
          <w:lang w:val="fr-FR"/>
        </w:rPr>
        <w:t>en cas de convocation d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une session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szCs w:val="22"/>
          <w:lang w:val="fr-FR"/>
        </w:rPr>
        <w:noBreakHyphen/>
      </w:r>
      <w:r w:rsidR="00AB5466" w:rsidRPr="00D44A32">
        <w:rPr>
          <w:szCs w:val="22"/>
          <w:lang w:val="fr-FR"/>
        </w:rPr>
        <w:t xml:space="preserve">AG </w:t>
      </w:r>
      <w:r w:rsidR="00AE7D1F" w:rsidRPr="00D44A32">
        <w:rPr>
          <w:lang w:val="fr-FR"/>
        </w:rPr>
        <w:t>par</w:t>
      </w:r>
      <w:r w:rsidR="00A1605A" w:rsidRPr="00D44A32">
        <w:rPr>
          <w:lang w:val="fr-FR"/>
        </w:rPr>
        <w:t xml:space="preserve"> le CAJ</w:t>
      </w:r>
      <w:r w:rsidR="000758CE" w:rsidRPr="00D44A32">
        <w:rPr>
          <w:lang w:val="fr-FR"/>
        </w:rPr>
        <w:t>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2B18A7" w:rsidRPr="00D44A32" w:rsidRDefault="000758CE" w:rsidP="00D44A32">
      <w:pPr>
        <w:autoSpaceDE w:val="0"/>
        <w:autoSpaceDN w:val="0"/>
        <w:adjustRightInd w:val="0"/>
        <w:ind w:firstLine="567"/>
        <w:jc w:val="left"/>
        <w:rPr>
          <w:lang w:val="fr-FR"/>
        </w:rPr>
      </w:pPr>
      <w:r w:rsidRPr="00D44A32">
        <w:rPr>
          <w:lang w:val="fr-FR"/>
        </w:rPr>
        <w:t>n)</w:t>
      </w:r>
      <w:r w:rsidRPr="00D44A32">
        <w:rPr>
          <w:lang w:val="fr-FR"/>
        </w:rPr>
        <w:tab/>
      </w:r>
      <w:r w:rsidR="00AE7D1F" w:rsidRPr="00D44A32">
        <w:rPr>
          <w:rFonts w:cs="Arial"/>
          <w:lang w:val="fr-FR"/>
        </w:rPr>
        <w:t xml:space="preserve">examiner les </w:t>
      </w:r>
      <w:r w:rsidR="00C905CA" w:rsidRPr="00D44A32">
        <w:rPr>
          <w:rFonts w:cs="Arial"/>
          <w:lang w:val="fr-FR"/>
        </w:rPr>
        <w:t>avantages qu</w:t>
      </w:r>
      <w:r w:rsidR="00A1605A" w:rsidRPr="00D44A32">
        <w:rPr>
          <w:rFonts w:cs="Arial"/>
          <w:lang w:val="fr-FR"/>
        </w:rPr>
        <w:t>’</w:t>
      </w:r>
      <w:r w:rsidR="00C905CA" w:rsidRPr="00D44A32">
        <w:rPr>
          <w:rFonts w:cs="Arial"/>
          <w:lang w:val="fr-FR"/>
        </w:rPr>
        <w:t xml:space="preserve">il y aurait à </w:t>
      </w:r>
      <w:r w:rsidR="00AE7D1F" w:rsidRPr="00D44A32">
        <w:rPr>
          <w:rFonts w:cs="Arial"/>
          <w:lang w:val="fr-FR"/>
        </w:rPr>
        <w:t xml:space="preserve">inviter les membres et les observateurs à faire </w:t>
      </w:r>
      <w:r w:rsidR="00580075" w:rsidRPr="00D44A32">
        <w:rPr>
          <w:rFonts w:cs="Arial"/>
          <w:lang w:val="fr-FR"/>
        </w:rPr>
        <w:t>des observations par écrit sur l</w:t>
      </w:r>
      <w:r w:rsidR="00AE7D1F" w:rsidRPr="00D44A32">
        <w:rPr>
          <w:rFonts w:cs="Arial"/>
          <w:lang w:val="fr-FR"/>
        </w:rPr>
        <w:t>es documents pertinents</w:t>
      </w:r>
      <w:r w:rsidR="00A1605A" w:rsidRPr="00D44A32">
        <w:rPr>
          <w:rFonts w:cs="Arial"/>
          <w:lang w:val="fr-FR"/>
        </w:rPr>
        <w:t xml:space="preserve"> du CAJ</w:t>
      </w:r>
      <w:r w:rsidR="00580075" w:rsidRPr="00D44A32">
        <w:rPr>
          <w:rFonts w:cs="Arial"/>
          <w:lang w:val="fr-FR"/>
        </w:rPr>
        <w:t xml:space="preserve"> </w:t>
      </w:r>
      <w:r w:rsidR="00AE7D1F" w:rsidRPr="00D44A32">
        <w:rPr>
          <w:rFonts w:cs="Arial"/>
          <w:lang w:val="fr-FR"/>
        </w:rPr>
        <w:t xml:space="preserve">avant </w:t>
      </w:r>
      <w:r w:rsidR="00C905CA" w:rsidRPr="00D44A32">
        <w:rPr>
          <w:rFonts w:cs="Arial"/>
          <w:lang w:val="fr-FR"/>
        </w:rPr>
        <w:t>s</w:t>
      </w:r>
      <w:r w:rsidR="00AE7D1F" w:rsidRPr="00D44A32">
        <w:rPr>
          <w:rFonts w:cs="Arial"/>
          <w:lang w:val="fr-FR"/>
        </w:rPr>
        <w:t>es sessions</w:t>
      </w:r>
      <w:r w:rsidRPr="00D44A32">
        <w:rPr>
          <w:lang w:val="fr-FR"/>
        </w:rPr>
        <w:t>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2B18A7" w:rsidRPr="00D44A32" w:rsidRDefault="000758CE" w:rsidP="00D44A32">
      <w:pPr>
        <w:ind w:firstLine="567"/>
        <w:rPr>
          <w:lang w:val="fr-FR"/>
        </w:rPr>
      </w:pPr>
      <w:r w:rsidRPr="00D44A32">
        <w:rPr>
          <w:lang w:val="fr-FR"/>
        </w:rPr>
        <w:t>o)</w:t>
      </w:r>
      <w:r w:rsidRPr="00D44A32">
        <w:rPr>
          <w:lang w:val="fr-FR"/>
        </w:rPr>
        <w:tab/>
      </w:r>
      <w:r w:rsidR="00AE7D1F" w:rsidRPr="00D44A32">
        <w:rPr>
          <w:lang w:val="fr-FR"/>
        </w:rPr>
        <w:t xml:space="preserve">noter </w:t>
      </w:r>
      <w:r w:rsidR="00966F6F" w:rsidRPr="00D44A32">
        <w:rPr>
          <w:lang w:val="fr-FR"/>
        </w:rPr>
        <w:t>qu</w:t>
      </w:r>
      <w:r w:rsidR="00A1605A" w:rsidRPr="00D44A32">
        <w:rPr>
          <w:lang w:val="fr-FR"/>
        </w:rPr>
        <w:t>’</w:t>
      </w:r>
      <w:r w:rsidR="00C905CA" w:rsidRPr="00D44A32">
        <w:rPr>
          <w:lang w:val="fr-FR"/>
        </w:rPr>
        <w:t xml:space="preserve">il a été </w:t>
      </w:r>
      <w:r w:rsidR="00225955" w:rsidRPr="00D44A32">
        <w:rPr>
          <w:lang w:val="fr-FR"/>
        </w:rPr>
        <w:t>fait part</w:t>
      </w:r>
      <w:r w:rsidR="00C905CA" w:rsidRPr="00D44A32">
        <w:rPr>
          <w:lang w:val="fr-FR"/>
        </w:rPr>
        <w:t xml:space="preserve"> au Comité consultatif et au Conseil de </w:t>
      </w:r>
      <w:r w:rsidR="00AE7D1F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 xml:space="preserve">intérêt </w:t>
      </w:r>
      <w:r w:rsidR="00966F6F" w:rsidRPr="00D44A32">
        <w:rPr>
          <w:lang w:val="fr-FR"/>
        </w:rPr>
        <w:t>de</w:t>
      </w:r>
      <w:r w:rsidR="00AE7D1F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examen des effets de la mise en œuvre du “Protocole de Nagoya sur l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accès aux ressources génétiques et le partage juste et équitable des avantages découlant de leur utilisation relatif à la Convention sur la diversité biologique” au regard de l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exception en faveur de l</w:t>
      </w:r>
      <w:r w:rsidR="00A1605A" w:rsidRPr="00D44A32">
        <w:rPr>
          <w:lang w:val="fr-FR"/>
        </w:rPr>
        <w:t>’</w:t>
      </w:r>
      <w:r w:rsidR="00AE7D1F" w:rsidRPr="00D44A32">
        <w:rPr>
          <w:lang w:val="fr-FR"/>
        </w:rPr>
        <w:t>obtenteur et du rapport entre les deux</w:t>
      </w:r>
      <w:r w:rsidR="00966F6F" w:rsidRPr="00D44A32">
        <w:rPr>
          <w:lang w:val="fr-FR"/>
        </w:rPr>
        <w:t xml:space="preserve">, comme indiqué au </w:t>
      </w:r>
      <w:r w:rsidRPr="00D44A32">
        <w:rPr>
          <w:lang w:val="fr-FR"/>
        </w:rPr>
        <w:t>paragraph</w:t>
      </w:r>
      <w:r w:rsidR="00966F6F" w:rsidRPr="00D44A32">
        <w:rPr>
          <w:lang w:val="fr-FR"/>
        </w:rPr>
        <w:t>e</w:t>
      </w:r>
      <w:r w:rsidR="00580075" w:rsidRPr="00D44A32">
        <w:rPr>
          <w:lang w:val="fr-FR"/>
        </w:rPr>
        <w:t> </w:t>
      </w:r>
      <w:r w:rsidRPr="00D44A32">
        <w:rPr>
          <w:lang w:val="fr-FR"/>
        </w:rPr>
        <w:t>48;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2B18A7" w:rsidRPr="00D44A32" w:rsidRDefault="000758CE" w:rsidP="00D44A32">
      <w:pPr>
        <w:ind w:firstLine="567"/>
        <w:rPr>
          <w:lang w:val="fr-FR"/>
        </w:rPr>
      </w:pPr>
      <w:r w:rsidRPr="00D44A32">
        <w:rPr>
          <w:lang w:val="fr-FR"/>
        </w:rPr>
        <w:t>p)</w:t>
      </w:r>
      <w:r w:rsidRPr="00D44A32">
        <w:rPr>
          <w:lang w:val="fr-FR"/>
        </w:rPr>
        <w:tab/>
      </w:r>
      <w:r w:rsidR="00966F6F" w:rsidRPr="00D44A32">
        <w:rPr>
          <w:lang w:val="fr-FR"/>
        </w:rPr>
        <w:t>examiner, sous r</w:t>
      </w:r>
      <w:r w:rsidR="00C905CA" w:rsidRPr="00D44A32">
        <w:rPr>
          <w:lang w:val="fr-FR"/>
        </w:rPr>
        <w:t>éserve des progrès accomplis à s</w:t>
      </w:r>
      <w:r w:rsidR="00966F6F" w:rsidRPr="00D44A32">
        <w:rPr>
          <w:lang w:val="fr-FR"/>
        </w:rPr>
        <w:t>a soixante</w:t>
      </w:r>
      <w:r w:rsidR="00966F6F" w:rsidRPr="00D44A32">
        <w:rPr>
          <w:szCs w:val="22"/>
          <w:lang w:val="fr-FR"/>
        </w:rPr>
        <w:t xml:space="preserve"> et onzième</w:t>
      </w:r>
      <w:r w:rsidR="00365E0C" w:rsidRPr="00D44A32">
        <w:rPr>
          <w:szCs w:val="22"/>
          <w:lang w:val="fr-FR"/>
        </w:rPr>
        <w:t> </w:t>
      </w:r>
      <w:r w:rsidRPr="00D44A32">
        <w:rPr>
          <w:lang w:val="fr-FR"/>
        </w:rPr>
        <w:t xml:space="preserve">session, </w:t>
      </w:r>
      <w:r w:rsidR="00966F6F" w:rsidRPr="00D44A32">
        <w:rPr>
          <w:lang w:val="fr-FR"/>
        </w:rPr>
        <w:t>le programme provisoire d</w:t>
      </w:r>
      <w:r w:rsidR="00A1605A" w:rsidRPr="00D44A32">
        <w:rPr>
          <w:lang w:val="fr-FR"/>
        </w:rPr>
        <w:t>’</w:t>
      </w:r>
      <w:r w:rsidR="00966F6F"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="00966F6F" w:rsidRPr="00D44A32">
        <w:rPr>
          <w:lang w:val="fr-FR"/>
        </w:rPr>
        <w:t>information</w:t>
      </w:r>
      <w:r w:rsidR="00C905CA" w:rsidRPr="00D44A32">
        <w:rPr>
          <w:lang w:val="fr-FR"/>
        </w:rPr>
        <w:t xml:space="preserve"> à s</w:t>
      </w:r>
      <w:r w:rsidR="00966F6F" w:rsidRPr="00D44A32">
        <w:rPr>
          <w:lang w:val="fr-FR"/>
        </w:rPr>
        <w:t>a soixante</w:t>
      </w:r>
      <w:r w:rsidR="00C42784" w:rsidRPr="00D44A32">
        <w:rPr>
          <w:szCs w:val="22"/>
          <w:lang w:val="fr-FR"/>
        </w:rPr>
        <w:noBreakHyphen/>
      </w:r>
      <w:r w:rsidR="00966F6F" w:rsidRPr="00D44A32">
        <w:rPr>
          <w:szCs w:val="22"/>
          <w:lang w:val="fr-FR"/>
        </w:rPr>
        <w:t>douzième</w:t>
      </w:r>
      <w:r w:rsidR="00365E0C" w:rsidRPr="00D44A32">
        <w:rPr>
          <w:szCs w:val="22"/>
          <w:lang w:val="fr-FR"/>
        </w:rPr>
        <w:t> </w:t>
      </w:r>
      <w:r w:rsidRPr="00D44A32">
        <w:rPr>
          <w:lang w:val="fr-FR"/>
        </w:rPr>
        <w:t xml:space="preserve">session, </w:t>
      </w:r>
      <w:r w:rsidR="00966F6F" w:rsidRPr="00D44A32">
        <w:rPr>
          <w:lang w:val="fr-FR"/>
        </w:rPr>
        <w:t xml:space="preserve">comme indiqué au </w:t>
      </w:r>
      <w:r w:rsidRPr="00D44A32">
        <w:rPr>
          <w:lang w:val="fr-FR"/>
        </w:rPr>
        <w:t>paragraph</w:t>
      </w:r>
      <w:r w:rsidR="00966F6F" w:rsidRPr="00D44A32">
        <w:rPr>
          <w:lang w:val="fr-FR"/>
        </w:rPr>
        <w:t>e</w:t>
      </w:r>
      <w:r w:rsidRPr="00D44A32">
        <w:rPr>
          <w:lang w:val="fr-FR"/>
        </w:rPr>
        <w:t xml:space="preserve"> 51; </w:t>
      </w:r>
      <w:r w:rsidR="00966F6F" w:rsidRPr="00D44A32">
        <w:rPr>
          <w:lang w:val="fr-FR"/>
        </w:rPr>
        <w:t xml:space="preserve"> et</w:t>
      </w:r>
    </w:p>
    <w:p w:rsidR="002B18A7" w:rsidRPr="00D44A32" w:rsidRDefault="002B18A7" w:rsidP="00D44A32">
      <w:pPr>
        <w:ind w:firstLine="567"/>
        <w:rPr>
          <w:lang w:val="fr-FR"/>
        </w:rPr>
      </w:pPr>
    </w:p>
    <w:p w:rsidR="002B18A7" w:rsidRPr="00D44A32" w:rsidRDefault="000758CE" w:rsidP="00D44A32">
      <w:pPr>
        <w:ind w:firstLine="567"/>
        <w:rPr>
          <w:strike/>
          <w:highlight w:val="green"/>
          <w:lang w:val="fr-FR"/>
        </w:rPr>
      </w:pPr>
      <w:r w:rsidRPr="00D44A32">
        <w:rPr>
          <w:lang w:val="fr-FR"/>
        </w:rPr>
        <w:t>q)</w:t>
      </w:r>
      <w:r w:rsidRPr="00D44A32">
        <w:rPr>
          <w:lang w:val="fr-FR"/>
        </w:rPr>
        <w:tab/>
      </w:r>
      <w:r w:rsidR="00B55E3E" w:rsidRPr="00D44A32">
        <w:rPr>
          <w:lang w:val="fr-FR"/>
        </w:rPr>
        <w:t xml:space="preserve">noter que, </w:t>
      </w:r>
      <w:r w:rsidR="00F53FBF" w:rsidRPr="00D44A32">
        <w:rPr>
          <w:lang w:val="fr-FR"/>
        </w:rPr>
        <w:t xml:space="preserve">sous réserve de </w:t>
      </w:r>
      <w:r w:rsidR="00B57457" w:rsidRPr="00D44A32">
        <w:rPr>
          <w:lang w:val="fr-FR"/>
        </w:rPr>
        <w:t xml:space="preserve">son </w:t>
      </w:r>
      <w:r w:rsidR="00F53FBF" w:rsidRPr="00D44A32">
        <w:rPr>
          <w:lang w:val="fr-FR"/>
        </w:rPr>
        <w:t>approbation à sa soixante et onzième</w:t>
      </w:r>
      <w:r w:rsidR="00365E0C" w:rsidRPr="00D44A32">
        <w:rPr>
          <w:lang w:val="fr-FR"/>
        </w:rPr>
        <w:t> </w:t>
      </w:r>
      <w:r w:rsidR="00F53FBF" w:rsidRPr="00D44A32">
        <w:rPr>
          <w:lang w:val="fr-FR"/>
        </w:rPr>
        <w:t>session, le Conseil</w:t>
      </w:r>
      <w:r w:rsidR="00C905CA" w:rsidRPr="00D44A32">
        <w:rPr>
          <w:szCs w:val="22"/>
          <w:lang w:val="fr-FR"/>
        </w:rPr>
        <w:t xml:space="preserve"> sera invité à adopter</w:t>
      </w:r>
      <w:r w:rsidR="00F53FBF" w:rsidRPr="00D44A32">
        <w:rPr>
          <w:lang w:val="fr-FR"/>
        </w:rPr>
        <w:t>, à sa quarante</w:t>
      </w:r>
      <w:r w:rsidR="00C42784" w:rsidRPr="00D44A32">
        <w:rPr>
          <w:szCs w:val="22"/>
          <w:lang w:val="fr-FR"/>
        </w:rPr>
        <w:noBreakHyphen/>
      </w:r>
      <w:r w:rsidR="00F53FBF" w:rsidRPr="00D44A32">
        <w:rPr>
          <w:szCs w:val="22"/>
          <w:lang w:val="fr-FR"/>
        </w:rPr>
        <w:t>neuvième</w:t>
      </w:r>
      <w:r w:rsidR="00365E0C" w:rsidRPr="00D44A32">
        <w:rPr>
          <w:szCs w:val="22"/>
          <w:lang w:val="fr-FR"/>
        </w:rPr>
        <w:t> </w:t>
      </w:r>
      <w:r w:rsidR="00F53FBF" w:rsidRPr="00D44A32">
        <w:rPr>
          <w:szCs w:val="22"/>
          <w:lang w:val="fr-FR"/>
        </w:rPr>
        <w:t>session ordinaire</w:t>
      </w:r>
      <w:r w:rsidR="00B55E3E" w:rsidRPr="00D44A32">
        <w:rPr>
          <w:szCs w:val="22"/>
          <w:lang w:val="fr-FR"/>
        </w:rPr>
        <w:t>,</w:t>
      </w:r>
      <w:r w:rsidR="00F53FBF" w:rsidRPr="00D44A32">
        <w:rPr>
          <w:szCs w:val="22"/>
          <w:lang w:val="fr-FR"/>
        </w:rPr>
        <w:t xml:space="preserve"> les </w:t>
      </w:r>
      <w:r w:rsidR="00365E0C" w:rsidRPr="00D44A32">
        <w:rPr>
          <w:szCs w:val="22"/>
          <w:lang w:val="fr-FR"/>
        </w:rPr>
        <w:t>“</w:t>
      </w:r>
      <w:r w:rsidR="00F53FBF" w:rsidRPr="00D44A32">
        <w:rPr>
          <w:szCs w:val="22"/>
          <w:lang w:val="fr-FR"/>
        </w:rPr>
        <w:t xml:space="preserve">Notes explicatives sur le matériel de reproduction ou de multiplication </w:t>
      </w:r>
      <w:r w:rsidR="00827378" w:rsidRPr="00D44A32">
        <w:rPr>
          <w:szCs w:val="22"/>
          <w:lang w:val="fr-FR"/>
        </w:rPr>
        <w:t>selon</w:t>
      </w:r>
      <w:r w:rsidR="00F53FBF" w:rsidRPr="00D44A32">
        <w:rPr>
          <w:szCs w:val="22"/>
          <w:lang w:val="fr-FR"/>
        </w:rPr>
        <w:t xml:space="preserve"> l</w:t>
      </w:r>
      <w:r w:rsidR="00A1605A" w:rsidRPr="00D44A32">
        <w:rPr>
          <w:szCs w:val="22"/>
          <w:lang w:val="fr-FR"/>
        </w:rPr>
        <w:t>’</w:t>
      </w:r>
      <w:r w:rsidR="00F53FBF" w:rsidRPr="00D44A32">
        <w:rPr>
          <w:szCs w:val="22"/>
          <w:lang w:val="fr-FR"/>
        </w:rPr>
        <w:t>Acte de</w:t>
      </w:r>
      <w:r w:rsidR="00365E0C" w:rsidRPr="00D44A32">
        <w:rPr>
          <w:szCs w:val="22"/>
          <w:lang w:val="fr-FR"/>
        </w:rPr>
        <w:t> </w:t>
      </w:r>
      <w:r w:rsidR="00F53FBF" w:rsidRPr="00D44A32">
        <w:rPr>
          <w:szCs w:val="22"/>
          <w:lang w:val="fr-FR"/>
        </w:rPr>
        <w:t xml:space="preserve">1991 de la </w:t>
      </w:r>
      <w:r w:rsidR="00A1605A" w:rsidRPr="00D44A32">
        <w:rPr>
          <w:szCs w:val="22"/>
          <w:lang w:val="fr-FR"/>
        </w:rPr>
        <w:t>Convention UPOV</w:t>
      </w:r>
      <w:r w:rsidR="00365E0C" w:rsidRPr="00D44A32">
        <w:rPr>
          <w:szCs w:val="22"/>
          <w:lang w:val="fr-FR"/>
        </w:rPr>
        <w:t>”</w:t>
      </w:r>
      <w:r w:rsidR="00B55E3E" w:rsidRPr="00D44A32">
        <w:rPr>
          <w:lang w:val="fr-FR"/>
        </w:rPr>
        <w:t xml:space="preserve"> (d</w:t>
      </w:r>
      <w:r w:rsidRPr="00D44A32">
        <w:rPr>
          <w:lang w:val="fr-FR"/>
        </w:rPr>
        <w:t>ocument UPOV/EXN/PPM/1)</w:t>
      </w:r>
      <w:r w:rsidR="00B55E3E" w:rsidRPr="00D44A32">
        <w:rPr>
          <w:lang w:val="fr-FR"/>
        </w:rPr>
        <w:t xml:space="preserve">, les </w:t>
      </w:r>
      <w:r w:rsidRPr="00D44A32">
        <w:rPr>
          <w:lang w:val="fr-FR"/>
        </w:rPr>
        <w:t>“</w:t>
      </w:r>
      <w:r w:rsidR="00B55E3E" w:rsidRPr="00D44A32">
        <w:rPr>
          <w:lang w:val="fr-FR"/>
        </w:rPr>
        <w:t>Notes explicatives sur la déchéance de l</w:t>
      </w:r>
      <w:r w:rsidR="00A1605A" w:rsidRPr="00D44A32">
        <w:rPr>
          <w:lang w:val="fr-FR"/>
        </w:rPr>
        <w:t>’</w:t>
      </w:r>
      <w:r w:rsidR="00B55E3E"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="00365E0C" w:rsidRPr="00D44A32">
        <w:rPr>
          <w:lang w:val="fr-FR"/>
        </w:rPr>
        <w:t>”</w:t>
      </w:r>
      <w:r w:rsidR="00957DA8" w:rsidRPr="00D44A32">
        <w:rPr>
          <w:lang w:val="fr-FR"/>
        </w:rPr>
        <w:t xml:space="preserve"> (r</w:t>
      </w:r>
      <w:r w:rsidR="00B55E3E" w:rsidRPr="00D44A32">
        <w:rPr>
          <w:lang w:val="fr-FR"/>
        </w:rPr>
        <w:t>évision)</w:t>
      </w:r>
      <w:r w:rsidRPr="00D44A32">
        <w:rPr>
          <w:lang w:val="fr-FR"/>
        </w:rPr>
        <w:t xml:space="preserve"> (document UPOV/EXN/CAN/2)</w:t>
      </w:r>
      <w:r w:rsidR="00B55E3E" w:rsidRPr="00D44A32">
        <w:rPr>
          <w:lang w:val="fr-FR"/>
        </w:rPr>
        <w:t xml:space="preserve">, les </w:t>
      </w:r>
      <w:r w:rsidR="00365E0C" w:rsidRPr="00D44A32">
        <w:rPr>
          <w:lang w:val="fr-FR"/>
        </w:rPr>
        <w:t>“</w:t>
      </w:r>
      <w:r w:rsidR="00B55E3E" w:rsidRPr="00D44A32">
        <w:rPr>
          <w:lang w:val="fr-FR"/>
        </w:rPr>
        <w:t>Notes explicatives sur la nullité du droit d</w:t>
      </w:r>
      <w:r w:rsidR="00A1605A" w:rsidRPr="00D44A32">
        <w:rPr>
          <w:lang w:val="fr-FR"/>
        </w:rPr>
        <w:t>’</w:t>
      </w:r>
      <w:r w:rsidR="00B55E3E"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="00365E0C" w:rsidRPr="00D44A32">
        <w:rPr>
          <w:lang w:val="fr-FR"/>
        </w:rPr>
        <w:t>”</w:t>
      </w:r>
      <w:r w:rsidR="00957DA8" w:rsidRPr="00D44A32">
        <w:rPr>
          <w:lang w:val="fr-FR"/>
        </w:rPr>
        <w:t xml:space="preserve"> (r</w:t>
      </w:r>
      <w:r w:rsidR="00B55E3E" w:rsidRPr="00D44A32">
        <w:rPr>
          <w:lang w:val="fr-FR"/>
        </w:rPr>
        <w:t>évision)</w:t>
      </w:r>
      <w:r w:rsidRPr="00D44A32">
        <w:rPr>
          <w:lang w:val="fr-FR"/>
        </w:rPr>
        <w:t xml:space="preserve"> (document UPOV/EXN/NUL/2)</w:t>
      </w:r>
      <w:r w:rsidR="00580075" w:rsidRPr="00D44A32">
        <w:rPr>
          <w:lang w:val="fr-FR"/>
        </w:rPr>
        <w:t xml:space="preserve"> et</w:t>
      </w:r>
      <w:r w:rsidR="00B55E3E" w:rsidRPr="00D44A32">
        <w:rPr>
          <w:lang w:val="fr-FR"/>
        </w:rPr>
        <w:t xml:space="preserve"> les </w:t>
      </w:r>
      <w:r w:rsidRPr="00D44A32">
        <w:rPr>
          <w:lang w:val="fr-FR"/>
        </w:rPr>
        <w:t>“</w:t>
      </w:r>
      <w:r w:rsidR="00B55E3E" w:rsidRPr="00D44A32">
        <w:t xml:space="preserve"> </w:t>
      </w:r>
      <w:r w:rsidR="00B55E3E" w:rsidRPr="00D44A32">
        <w:rPr>
          <w:lang w:val="fr-FR"/>
        </w:rPr>
        <w:t xml:space="preserve">Notes explicatives sur la protection provisoire selon la </w:t>
      </w:r>
      <w:r w:rsidR="00A1605A" w:rsidRPr="00D44A32">
        <w:rPr>
          <w:lang w:val="fr-FR"/>
        </w:rPr>
        <w:t>Convention UPOV</w:t>
      </w:r>
      <w:r w:rsidR="00365E0C" w:rsidRPr="00D44A32">
        <w:rPr>
          <w:lang w:val="fr-FR"/>
        </w:rPr>
        <w:t>”</w:t>
      </w:r>
      <w:r w:rsidR="00957DA8" w:rsidRPr="00D44A32">
        <w:rPr>
          <w:lang w:val="fr-FR"/>
        </w:rPr>
        <w:t xml:space="preserve"> (r</w:t>
      </w:r>
      <w:r w:rsidR="00B55E3E" w:rsidRPr="00D44A32">
        <w:rPr>
          <w:lang w:val="fr-FR"/>
        </w:rPr>
        <w:t xml:space="preserve">évision) </w:t>
      </w:r>
      <w:r w:rsidRPr="00D44A32">
        <w:rPr>
          <w:lang w:val="fr-FR"/>
        </w:rPr>
        <w:t>(document UPOV/EXN/PRP/2)</w:t>
      </w:r>
      <w:r w:rsidR="00580075" w:rsidRPr="00D44A32">
        <w:rPr>
          <w:lang w:val="fr-FR"/>
        </w:rPr>
        <w:t>, ainsi qu</w:t>
      </w:r>
      <w:r w:rsidR="00A1605A" w:rsidRPr="00D44A32">
        <w:rPr>
          <w:lang w:val="fr-FR"/>
        </w:rPr>
        <w:t>’</w:t>
      </w:r>
      <w:r w:rsidR="00B55E3E" w:rsidRPr="00D44A32">
        <w:rPr>
          <w:lang w:val="fr-FR"/>
        </w:rPr>
        <w:t>une</w:t>
      </w:r>
      <w:r w:rsidRPr="00D44A32">
        <w:rPr>
          <w:lang w:val="fr-FR"/>
        </w:rPr>
        <w:t xml:space="preserve"> r</w:t>
      </w:r>
      <w:r w:rsidR="00B55E3E" w:rsidRPr="00D44A32">
        <w:rPr>
          <w:lang w:val="fr-FR"/>
        </w:rPr>
        <w:t>é</w:t>
      </w:r>
      <w:r w:rsidRPr="00D44A32">
        <w:rPr>
          <w:lang w:val="fr-FR"/>
        </w:rPr>
        <w:t xml:space="preserve">vision </w:t>
      </w:r>
      <w:r w:rsidR="00B55E3E" w:rsidRPr="00D44A32">
        <w:rPr>
          <w:lang w:val="fr-FR"/>
        </w:rPr>
        <w:t xml:space="preserve">du </w:t>
      </w:r>
      <w:r w:rsidRPr="00D44A32">
        <w:rPr>
          <w:lang w:val="fr-FR"/>
        </w:rPr>
        <w:t xml:space="preserve">document UPOV/INF/6/3 </w:t>
      </w:r>
      <w:r w:rsidR="00365E0C" w:rsidRPr="00D44A32">
        <w:rPr>
          <w:lang w:val="fr-FR"/>
        </w:rPr>
        <w:t>“</w:t>
      </w:r>
      <w:r w:rsidR="00B55E3E" w:rsidRPr="00D44A32">
        <w:t>Orientations en vue de la rédaction de lois fondées sur l</w:t>
      </w:r>
      <w:r w:rsidR="00A1605A" w:rsidRPr="00D44A32">
        <w:t>’</w:t>
      </w:r>
      <w:r w:rsidR="00B55E3E" w:rsidRPr="00D44A32">
        <w:t>Acte de</w:t>
      </w:r>
      <w:r w:rsidR="00365E0C" w:rsidRPr="00D44A32">
        <w:t> </w:t>
      </w:r>
      <w:r w:rsidR="00B55E3E" w:rsidRPr="00D44A32">
        <w:t xml:space="preserve">1991 de la </w:t>
      </w:r>
      <w:r w:rsidR="00A1605A" w:rsidRPr="00D44A32">
        <w:t>Convention UPOV</w:t>
      </w:r>
      <w:r w:rsidRPr="00D44A32">
        <w:rPr>
          <w:lang w:val="fr-FR"/>
        </w:rPr>
        <w:t xml:space="preserve">” (document UPOV/INF/6/4), </w:t>
      </w:r>
      <w:r w:rsidR="00B55E3E" w:rsidRPr="00D44A32">
        <w:rPr>
          <w:lang w:val="fr-FR"/>
        </w:rPr>
        <w:t>parallèlement aux notes explicatives précitées que le Conseil sera invité à adopter à sa</w:t>
      </w:r>
      <w:r w:rsidRPr="00D44A32">
        <w:rPr>
          <w:lang w:val="fr-FR"/>
        </w:rPr>
        <w:t xml:space="preserve"> </w:t>
      </w:r>
      <w:r w:rsidR="00580075" w:rsidRPr="00D44A32">
        <w:rPr>
          <w:lang w:val="fr-FR"/>
        </w:rPr>
        <w:t>quarante</w:t>
      </w:r>
      <w:r w:rsidR="00C42784" w:rsidRPr="00D44A32">
        <w:rPr>
          <w:szCs w:val="22"/>
          <w:lang w:val="fr-FR"/>
        </w:rPr>
        <w:noBreakHyphen/>
      </w:r>
      <w:r w:rsidR="00F53FBF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F53FBF" w:rsidRPr="00D44A32">
        <w:rPr>
          <w:lang w:val="fr-FR"/>
        </w:rPr>
        <w:t>session ordinaire</w:t>
      </w:r>
      <w:r w:rsidRPr="00D44A32">
        <w:rPr>
          <w:lang w:val="fr-FR"/>
        </w:rPr>
        <w:t>.</w:t>
      </w:r>
    </w:p>
    <w:p w:rsidR="002B18A7" w:rsidRPr="00D44A32" w:rsidRDefault="002B18A7" w:rsidP="00D44A32">
      <w:pPr>
        <w:rPr>
          <w:strike/>
          <w:szCs w:val="24"/>
          <w:highlight w:val="green"/>
          <w:lang w:val="fr-FR"/>
        </w:rPr>
      </w:pPr>
    </w:p>
    <w:p w:rsidR="002B18A7" w:rsidRPr="00D44A32" w:rsidRDefault="002B18A7" w:rsidP="00D44A32">
      <w:pPr>
        <w:rPr>
          <w:szCs w:val="24"/>
          <w:highlight w:val="yellow"/>
          <w:lang w:val="fr-FR"/>
        </w:rPr>
      </w:pPr>
    </w:p>
    <w:p w:rsidR="002B18A7" w:rsidRPr="00D44A32" w:rsidRDefault="002B18A7" w:rsidP="00D44A32">
      <w:pPr>
        <w:rPr>
          <w:szCs w:val="24"/>
          <w:highlight w:val="yellow"/>
          <w:lang w:val="fr-FR"/>
        </w:rPr>
      </w:pPr>
    </w:p>
    <w:p w:rsidR="002B18A7" w:rsidRPr="00D44A32" w:rsidRDefault="003F137F" w:rsidP="00D44A32">
      <w:pPr>
        <w:rPr>
          <w:u w:val="single"/>
          <w:lang w:val="fr-FR"/>
        </w:rPr>
      </w:pPr>
      <w:r w:rsidRPr="00D44A32">
        <w:rPr>
          <w:u w:val="single"/>
          <w:lang w:val="fr-FR"/>
        </w:rPr>
        <w:lastRenderedPageBreak/>
        <w:t>Table des matières</w:t>
      </w:r>
    </w:p>
    <w:p w:rsidR="002B18A7" w:rsidRPr="00D44A32" w:rsidRDefault="002B18A7" w:rsidP="00D44A32">
      <w:pPr>
        <w:rPr>
          <w:lang w:val="fr-FR"/>
        </w:rPr>
      </w:pP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rFonts w:eastAsia="Arial Unicode MS" w:cs="Arial"/>
          <w:b/>
          <w:caps w:val="0"/>
          <w:sz w:val="18"/>
          <w:lang w:val="fr-FR"/>
        </w:rPr>
        <w:fldChar w:fldCharType="begin"/>
      </w:r>
      <w:r w:rsidRPr="00D44A32">
        <w:rPr>
          <w:rFonts w:eastAsia="Arial Unicode MS" w:cs="Arial"/>
          <w:b/>
          <w:caps w:val="0"/>
          <w:sz w:val="18"/>
          <w:lang w:val="fr-FR"/>
        </w:rPr>
        <w:instrText xml:space="preserve"> TOC \o "1-3" \u </w:instrText>
      </w:r>
      <w:r w:rsidRPr="00D44A32">
        <w:rPr>
          <w:rFonts w:eastAsia="Arial Unicode MS" w:cs="Arial"/>
          <w:b/>
          <w:caps w:val="0"/>
          <w:sz w:val="18"/>
          <w:lang w:val="fr-FR"/>
        </w:rPr>
        <w:fldChar w:fldCharType="separate"/>
      </w:r>
      <w:r w:rsidRPr="00D44A32">
        <w:rPr>
          <w:lang w:val="fr-FR"/>
        </w:rPr>
        <w:t>Introduction</w:t>
      </w:r>
      <w:r w:rsidRPr="00D44A32">
        <w:tab/>
      </w:r>
      <w:r w:rsidRPr="00D44A32">
        <w:fldChar w:fldCharType="begin"/>
      </w:r>
      <w:r w:rsidRPr="00D44A32">
        <w:instrText xml:space="preserve"> PAGEREF _Toc413404233 \h </w:instrText>
      </w:r>
      <w:r w:rsidRPr="00D44A32">
        <w:fldChar w:fldCharType="separate"/>
      </w:r>
      <w:r w:rsidR="005A2AB5">
        <w:t>3</w:t>
      </w:r>
      <w:r w:rsidRPr="00D44A32">
        <w:fldChar w:fldCharType="end"/>
      </w: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lang w:val="fr-FR"/>
        </w:rPr>
        <w:t>présentation générale du 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</w:t>
      </w:r>
      <w:r w:rsidRPr="00D44A32">
        <w:tab/>
      </w:r>
      <w:r w:rsidRPr="00D44A32">
        <w:fldChar w:fldCharType="begin"/>
      </w:r>
      <w:r w:rsidRPr="00D44A32">
        <w:instrText xml:space="preserve"> PAGEREF _Toc413404234 \h </w:instrText>
      </w:r>
      <w:r w:rsidRPr="00D44A32">
        <w:fldChar w:fldCharType="separate"/>
      </w:r>
      <w:r w:rsidR="005A2AB5">
        <w:t>3</w:t>
      </w:r>
      <w:r w:rsidRPr="00D44A32">
        <w:fldChar w:fldCharType="end"/>
      </w: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lang w:val="fr-FR"/>
        </w:rPr>
        <w:t>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</w:t>
      </w:r>
      <w:r w:rsidRPr="00D44A32">
        <w:tab/>
      </w:r>
      <w:r w:rsidRPr="00D44A32">
        <w:fldChar w:fldCharType="begin"/>
      </w:r>
      <w:r w:rsidRPr="00D44A32">
        <w:instrText xml:space="preserve"> PAGEREF _Toc413404235 \h </w:instrText>
      </w:r>
      <w:r w:rsidRPr="00D44A32">
        <w:fldChar w:fldCharType="separate"/>
      </w:r>
      <w:r w:rsidR="005A2AB5">
        <w:t>4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Notes explicatives sur les variétés essentiellement dérivées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(document CAJ/71/2)</w:t>
      </w:r>
      <w:r w:rsidRPr="00D44A32">
        <w:tab/>
      </w:r>
      <w:r w:rsidRPr="00D44A32">
        <w:fldChar w:fldCharType="begin"/>
      </w:r>
      <w:r w:rsidRPr="00D44A32">
        <w:instrText xml:space="preserve"> PAGEREF _Toc413404236 \h </w:instrText>
      </w:r>
      <w:r w:rsidRPr="00D44A32">
        <w:fldChar w:fldCharType="separate"/>
      </w:r>
      <w:r w:rsidR="005A2AB5">
        <w:t>4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Notes explicatives sur le matériel de reproduction ou de multiplication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</w:t>
      </w:r>
      <w:r w:rsidR="00A1605A" w:rsidRPr="00D44A32">
        <w:rPr>
          <w:lang w:val="fr-FR"/>
        </w:rPr>
        <w:t>document UP</w:t>
      </w:r>
      <w:r w:rsidRPr="00D44A32">
        <w:rPr>
          <w:lang w:val="fr-FR"/>
        </w:rPr>
        <w:t>OV/EXN/PPM/1 Draft 4)</w:t>
      </w:r>
      <w:r w:rsidRPr="00D44A32">
        <w:tab/>
      </w:r>
      <w:r w:rsidRPr="00D44A32">
        <w:fldChar w:fldCharType="begin"/>
      </w:r>
      <w:r w:rsidRPr="00D44A32">
        <w:instrText xml:space="preserve"> PAGEREF _Toc413404237 \h </w:instrText>
      </w:r>
      <w:r w:rsidRPr="00D44A32">
        <w:fldChar w:fldCharType="separate"/>
      </w:r>
      <w:r w:rsidR="005A2AB5">
        <w:t>8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kern w:val="28"/>
          <w:lang w:val="fr-FR"/>
        </w:rPr>
        <w:t xml:space="preserve">Notes explicatives sur les actes </w:t>
      </w:r>
      <w:r w:rsidR="00A1605A" w:rsidRPr="00D44A32">
        <w:rPr>
          <w:kern w:val="28"/>
          <w:lang w:val="fr-FR"/>
        </w:rPr>
        <w:t>à l’égard</w:t>
      </w:r>
      <w:r w:rsidRPr="00D44A32">
        <w:rPr>
          <w:kern w:val="28"/>
          <w:lang w:val="fr-FR"/>
        </w:rPr>
        <w:t xml:space="preserve"> du produit de la récolte selon l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Acte de</w:t>
      </w:r>
      <w:r w:rsidR="00365E0C" w:rsidRPr="00D44A32">
        <w:rPr>
          <w:kern w:val="28"/>
          <w:lang w:val="fr-FR"/>
        </w:rPr>
        <w:t> </w:t>
      </w:r>
      <w:r w:rsidRPr="00D44A32">
        <w:rPr>
          <w:kern w:val="28"/>
          <w:lang w:val="fr-FR"/>
        </w:rPr>
        <w:t xml:space="preserve">1991 de la </w:t>
      </w:r>
      <w:r w:rsidR="00A1605A" w:rsidRPr="00D44A32">
        <w:rPr>
          <w:kern w:val="28"/>
          <w:lang w:val="fr-FR"/>
        </w:rPr>
        <w:t>Convention UPOV</w:t>
      </w:r>
      <w:r w:rsidRPr="00D44A32">
        <w:rPr>
          <w:kern w:val="28"/>
          <w:lang w:val="fr-FR"/>
        </w:rPr>
        <w:t xml:space="preserve"> (révision) (document CAJ/71/2)</w:t>
      </w:r>
      <w:r w:rsidRPr="00D44A32">
        <w:tab/>
      </w:r>
      <w:r w:rsidRPr="00D44A32">
        <w:fldChar w:fldCharType="begin"/>
      </w:r>
      <w:r w:rsidRPr="00D44A32">
        <w:instrText xml:space="preserve"> PAGEREF _Toc413404238 \h </w:instrText>
      </w:r>
      <w:r w:rsidRPr="00D44A32">
        <w:fldChar w:fldCharType="separate"/>
      </w:r>
      <w:r w:rsidR="005A2AB5">
        <w:t>9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Notes explicatives sur la déchéance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(document UPOV/EXN/CAN/2 Draft 3)</w:t>
      </w:r>
      <w:r w:rsidRPr="00D44A32">
        <w:tab/>
      </w:r>
      <w:r w:rsidRPr="00D44A32">
        <w:fldChar w:fldCharType="begin"/>
      </w:r>
      <w:r w:rsidRPr="00D44A32">
        <w:instrText xml:space="preserve"> PAGEREF _Toc413404239 \h </w:instrText>
      </w:r>
      <w:r w:rsidRPr="00D44A32">
        <w:fldChar w:fldCharType="separate"/>
      </w:r>
      <w:r w:rsidR="005A2AB5">
        <w:t>9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Notes explicatives sur la nullité du droit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(document UPOV/EXN/NUL/2 Draft 3)</w:t>
      </w:r>
      <w:r w:rsidRPr="00D44A32">
        <w:tab/>
      </w:r>
      <w:r w:rsidRPr="00D44A32">
        <w:fldChar w:fldCharType="begin"/>
      </w:r>
      <w:r w:rsidRPr="00D44A32">
        <w:instrText xml:space="preserve"> PAGEREF _Toc413404240 \h </w:instrText>
      </w:r>
      <w:r w:rsidRPr="00D44A32">
        <w:fldChar w:fldCharType="separate"/>
      </w:r>
      <w:r w:rsidR="005A2AB5">
        <w:t>11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 xml:space="preserve">Notes explicatives sur la protection provisoire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(document UPOV/EXN/PRP/2 Draft 3)</w:t>
      </w:r>
      <w:r w:rsidRPr="00D44A32">
        <w:tab/>
      </w:r>
      <w:r w:rsidRPr="00D44A32">
        <w:fldChar w:fldCharType="begin"/>
      </w:r>
      <w:r w:rsidRPr="00D44A32">
        <w:instrText xml:space="preserve"> PAGEREF _Toc413404241 \h </w:instrText>
      </w:r>
      <w:r w:rsidRPr="00D44A32">
        <w:fldChar w:fldCharType="separate"/>
      </w:r>
      <w:r w:rsidR="005A2AB5">
        <w:t>12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Questions concernant les descriptions variétales examinées apr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Pr="00D44A32">
        <w:rPr>
          <w:kern w:val="28"/>
          <w:lang w:val="fr-FR"/>
        </w:rPr>
        <w:t>(document CAJ/71/2)</w:t>
      </w:r>
      <w:r w:rsidRPr="00D44A32">
        <w:tab/>
      </w:r>
      <w:r w:rsidRPr="00D44A32">
        <w:fldChar w:fldCharType="begin"/>
      </w:r>
      <w:r w:rsidRPr="00D44A32">
        <w:instrText xml:space="preserve"> PAGEREF _Toc413404242 \h </w:instrText>
      </w:r>
      <w:r w:rsidRPr="00D44A32">
        <w:fldChar w:fldCharType="separate"/>
      </w:r>
      <w:r w:rsidR="005A2AB5">
        <w:t>12</w:t>
      </w:r>
      <w:r w:rsidRPr="00D44A32">
        <w:fldChar w:fldCharType="end"/>
      </w:r>
    </w:p>
    <w:p w:rsidR="00461059" w:rsidRPr="00D44A32" w:rsidRDefault="00461059" w:rsidP="00D44A3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FR" w:eastAsia="fr-FR"/>
        </w:rPr>
      </w:pPr>
      <w:r w:rsidRPr="00D44A32">
        <w:rPr>
          <w:lang w:val="fr-FR"/>
        </w:rPr>
        <w:t>Dénominations variétales (document CAJ/71/3)</w:t>
      </w:r>
      <w:r w:rsidRPr="00D44A32">
        <w:tab/>
      </w:r>
      <w:r w:rsidRPr="00D44A32">
        <w:fldChar w:fldCharType="begin"/>
      </w:r>
      <w:r w:rsidRPr="00D44A32">
        <w:instrText xml:space="preserve"> PAGEREF _Toc413404243 \h </w:instrText>
      </w:r>
      <w:r w:rsidRPr="00D44A32">
        <w:fldChar w:fldCharType="separate"/>
      </w:r>
      <w:r w:rsidR="005A2AB5">
        <w:t>15</w:t>
      </w:r>
      <w:r w:rsidRPr="00D44A32">
        <w:fldChar w:fldCharType="end"/>
      </w: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lang w:val="fr-FR"/>
        </w:rPr>
        <w:t>Questions concernant la participation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observateurs</w:t>
      </w:r>
      <w:r w:rsidR="00A1605A" w:rsidRPr="00D44A32">
        <w:rPr>
          <w:lang w:val="fr-FR"/>
        </w:rPr>
        <w:t xml:space="preserve"> au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</w:t>
      </w:r>
      <w:r w:rsidRPr="00D44A32">
        <w:tab/>
      </w:r>
      <w:r w:rsidRPr="00D44A32">
        <w:fldChar w:fldCharType="begin"/>
      </w:r>
      <w:r w:rsidRPr="00D44A32">
        <w:instrText xml:space="preserve"> PAGEREF _Toc413404244 \h </w:instrText>
      </w:r>
      <w:r w:rsidRPr="00D44A32">
        <w:fldChar w:fldCharType="separate"/>
      </w:r>
      <w:r w:rsidR="005A2AB5">
        <w:t>15</w:t>
      </w:r>
      <w:r w:rsidRPr="00D44A32">
        <w:fldChar w:fldCharType="end"/>
      </w: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lang w:val="fr-FR"/>
        </w:rPr>
        <w:t>QUESTION SOUMISE AU COMITé CONSULTATIF ET AU CONSEIL PAR LE CAJ</w:t>
      </w:r>
      <w:r w:rsidRPr="00D44A32">
        <w:tab/>
      </w:r>
      <w:r w:rsidRPr="00D44A32">
        <w:fldChar w:fldCharType="begin"/>
      </w:r>
      <w:r w:rsidRPr="00D44A32">
        <w:instrText xml:space="preserve"> PAGEREF _Toc413404245 \h </w:instrText>
      </w:r>
      <w:r w:rsidRPr="00D44A32">
        <w:fldChar w:fldCharType="separate"/>
      </w:r>
      <w:r w:rsidR="005A2AB5">
        <w:t>15</w:t>
      </w:r>
      <w:r w:rsidRPr="00D44A32">
        <w:fldChar w:fldCharType="end"/>
      </w:r>
    </w:p>
    <w:p w:rsidR="00461059" w:rsidRPr="00D44A32" w:rsidRDefault="00461059" w:rsidP="00D44A3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fr-FR" w:eastAsia="fr-FR"/>
        </w:rPr>
      </w:pPr>
      <w:r w:rsidRPr="00D44A32">
        <w:rPr>
          <w:lang w:val="fr-FR"/>
        </w:rPr>
        <w:t>programme provisoire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</w:t>
      </w:r>
      <w:r w:rsidRPr="00D44A32">
        <w:tab/>
      </w:r>
      <w:r w:rsidRPr="00D44A32">
        <w:fldChar w:fldCharType="begin"/>
      </w:r>
      <w:r w:rsidRPr="00D44A32">
        <w:instrText xml:space="preserve"> PAGEREF _Toc413404246 \h </w:instrText>
      </w:r>
      <w:r w:rsidRPr="00D44A32">
        <w:fldChar w:fldCharType="separate"/>
      </w:r>
      <w:r w:rsidR="005A2AB5">
        <w:t>16</w:t>
      </w:r>
      <w:r w:rsidRPr="00D44A32">
        <w:fldChar w:fldCharType="end"/>
      </w:r>
    </w:p>
    <w:p w:rsidR="002B18A7" w:rsidRPr="00D44A32" w:rsidRDefault="00461059" w:rsidP="00D44A32">
      <w:pPr>
        <w:tabs>
          <w:tab w:val="left" w:pos="567"/>
        </w:tabs>
        <w:spacing w:before="120"/>
        <w:rPr>
          <w:rFonts w:eastAsia="Arial Unicode MS" w:cs="Arial"/>
          <w:bCs/>
          <w:caps/>
          <w:lang w:val="fr-FR"/>
        </w:rPr>
      </w:pPr>
      <w:r w:rsidRPr="00D44A32">
        <w:rPr>
          <w:rFonts w:eastAsia="Arial Unicode MS" w:cs="Arial"/>
          <w:b/>
          <w:caps/>
          <w:noProof/>
          <w:sz w:val="18"/>
          <w:lang w:val="fr-FR"/>
        </w:rPr>
        <w:fldChar w:fldCharType="end"/>
      </w:r>
    </w:p>
    <w:p w:rsidR="002B18A7" w:rsidRPr="00D44A32" w:rsidRDefault="002B18A7" w:rsidP="00D44A32">
      <w:pPr>
        <w:tabs>
          <w:tab w:val="left" w:pos="567"/>
        </w:tabs>
        <w:rPr>
          <w:rFonts w:eastAsia="Arial Unicode MS" w:cs="Arial"/>
          <w:bCs/>
          <w:caps/>
          <w:lang w:val="fr-FR"/>
        </w:rPr>
      </w:pPr>
    </w:p>
    <w:p w:rsidR="002B18A7" w:rsidRPr="00D44A32" w:rsidRDefault="003F137F" w:rsidP="00D44A32">
      <w:pPr>
        <w:pStyle w:val="Heading1"/>
        <w:rPr>
          <w:lang w:val="fr-FR"/>
        </w:rPr>
      </w:pPr>
      <w:bookmarkStart w:id="4" w:name="_Toc413318616"/>
      <w:bookmarkStart w:id="5" w:name="_Toc413404233"/>
      <w:r w:rsidRPr="00D44A32">
        <w:rPr>
          <w:lang w:val="fr-FR"/>
        </w:rPr>
        <w:t>Introduction</w:t>
      </w:r>
      <w:bookmarkEnd w:id="4"/>
      <w:bookmarkEnd w:id="5"/>
    </w:p>
    <w:p w:rsidR="002B18A7" w:rsidRPr="00D44A32" w:rsidRDefault="002B18A7" w:rsidP="00D44A32">
      <w:pPr>
        <w:keepNext/>
        <w:rPr>
          <w:rFonts w:cs="Arial"/>
          <w:lang w:val="fr-FR"/>
        </w:rPr>
      </w:pPr>
    </w:p>
    <w:p w:rsidR="00A1605A" w:rsidRPr="00D44A32" w:rsidRDefault="009612F3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6A75EC" w:rsidRPr="00D44A32">
        <w:rPr>
          <w:lang w:val="fr-FR"/>
        </w:rPr>
        <w:t>À sa cinquante</w:t>
      </w:r>
      <w:r w:rsidR="00C42784" w:rsidRPr="00D44A32">
        <w:rPr>
          <w:lang w:val="fr-FR"/>
        </w:rPr>
        <w:noBreakHyphen/>
      </w:r>
      <w:r w:rsidR="006A75EC" w:rsidRPr="00D44A32">
        <w:rPr>
          <w:lang w:val="fr-FR"/>
        </w:rPr>
        <w:t>deuxième session</w:t>
      </w:r>
      <w:r w:rsidR="006A75EC" w:rsidRPr="00D44A32">
        <w:rPr>
          <w:rStyle w:val="FootnoteReference"/>
          <w:lang w:val="fr-FR"/>
        </w:rPr>
        <w:footnoteReference w:id="2"/>
      </w:r>
      <w:r w:rsidR="006A75EC" w:rsidRPr="00D44A32">
        <w:rPr>
          <w:lang w:val="fr-FR"/>
        </w:rPr>
        <w:t>,</w:t>
      </w:r>
      <w:r w:rsidR="00A1605A" w:rsidRPr="00D44A32">
        <w:rPr>
          <w:lang w:val="fr-FR"/>
        </w:rPr>
        <w:t xml:space="preserve"> le CAJ</w:t>
      </w:r>
      <w:r w:rsidR="006A75EC" w:rsidRPr="00D44A32">
        <w:rPr>
          <w:lang w:val="fr-FR"/>
        </w:rPr>
        <w:t xml:space="preserve"> est convenu d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une méthode pour l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 xml:space="preserve">information concernant la </w:t>
      </w:r>
      <w:r w:rsidR="00A1605A" w:rsidRPr="00D44A32">
        <w:rPr>
          <w:lang w:val="fr-FR"/>
        </w:rPr>
        <w:t>Convention UPOV</w:t>
      </w:r>
      <w:r w:rsidR="006A75EC" w:rsidRPr="00D44A32">
        <w:rPr>
          <w:rStyle w:val="FootnoteReference"/>
          <w:lang w:val="fr-FR"/>
        </w:rPr>
        <w:footnoteReference w:id="3"/>
      </w:r>
      <w:r w:rsidR="006A75EC" w:rsidRPr="00D44A32">
        <w:rPr>
          <w:lang w:val="fr-FR"/>
        </w:rPr>
        <w:t>.</w:t>
      </w:r>
      <w:r w:rsidRPr="00D44A32">
        <w:rPr>
          <w:lang w:val="fr-FR"/>
        </w:rPr>
        <w:t xml:space="preserve">  </w:t>
      </w:r>
      <w:r w:rsidR="003F137F" w:rsidRPr="00D44A32">
        <w:rPr>
          <w:lang w:val="fr-FR"/>
        </w:rPr>
        <w:t>Il est également convenu de la création d</w:t>
      </w:r>
      <w:r w:rsidR="00A1605A" w:rsidRPr="00D44A32">
        <w:rPr>
          <w:lang w:val="fr-FR"/>
        </w:rPr>
        <w:t>’</w:t>
      </w:r>
      <w:r w:rsidR="003F137F" w:rsidRPr="00D44A32">
        <w:rPr>
          <w:lang w:val="fr-FR"/>
        </w:rPr>
        <w:t>un groupe consultatif</w:t>
      </w:r>
      <w:r w:rsidR="00A1605A" w:rsidRPr="00D44A32">
        <w:rPr>
          <w:lang w:val="fr-FR"/>
        </w:rPr>
        <w:t xml:space="preserve"> du CAJ</w:t>
      </w:r>
      <w:r w:rsidR="003F137F" w:rsidRPr="00D44A32">
        <w:rPr>
          <w:lang w:val="fr-FR"/>
        </w:rPr>
        <w:t xml:space="preserve"> (“CAJ</w:t>
      </w:r>
      <w:r w:rsidR="00C42784" w:rsidRPr="00D44A32">
        <w:rPr>
          <w:lang w:val="fr-FR"/>
        </w:rPr>
        <w:noBreakHyphen/>
      </w:r>
      <w:r w:rsidR="003F137F" w:rsidRPr="00D44A32">
        <w:rPr>
          <w:lang w:val="fr-FR"/>
        </w:rPr>
        <w:t>AG”) chargé d</w:t>
      </w:r>
      <w:r w:rsidR="00A15EE5" w:rsidRPr="00D44A32">
        <w:rPr>
          <w:lang w:val="fr-FR"/>
        </w:rPr>
        <w:t>e l</w:t>
      </w:r>
      <w:r w:rsidR="00A1605A" w:rsidRPr="00D44A32">
        <w:rPr>
          <w:lang w:val="fr-FR"/>
        </w:rPr>
        <w:t>’</w:t>
      </w:r>
      <w:r w:rsidR="003F137F" w:rsidRPr="00D44A32">
        <w:rPr>
          <w:lang w:val="fr-FR"/>
        </w:rPr>
        <w:t xml:space="preserve">aider à élaborer </w:t>
      </w:r>
      <w:r w:rsidR="00EA0530" w:rsidRPr="00D44A32">
        <w:rPr>
          <w:lang w:val="fr-FR"/>
        </w:rPr>
        <w:t>des documents</w:t>
      </w:r>
      <w:r w:rsidR="00A15EE5" w:rsidRPr="00D44A32">
        <w:rPr>
          <w:lang w:val="fr-FR"/>
        </w:rPr>
        <w:t xml:space="preserve"> d</w:t>
      </w:r>
      <w:r w:rsidR="00A1605A" w:rsidRPr="00D44A32">
        <w:rPr>
          <w:lang w:val="fr-FR"/>
        </w:rPr>
        <w:t>’</w:t>
      </w:r>
      <w:r w:rsidR="00A15EE5" w:rsidRPr="00D44A32">
        <w:rPr>
          <w:lang w:val="fr-FR"/>
        </w:rPr>
        <w:t>information</w:t>
      </w:r>
      <w:r w:rsidR="003F137F" w:rsidRPr="00D44A32">
        <w:rPr>
          <w:rStyle w:val="FootnoteReference"/>
          <w:lang w:val="fr-FR"/>
        </w:rPr>
        <w:footnoteReference w:id="4"/>
      </w:r>
      <w:r w:rsidR="003F137F" w:rsidRPr="00D44A32">
        <w:rPr>
          <w:lang w:val="fr-FR"/>
        </w:rPr>
        <w:t>.</w:t>
      </w:r>
      <w:r w:rsidR="00CA0D73" w:rsidRPr="00D44A32">
        <w:rPr>
          <w:lang w:val="fr-FR"/>
        </w:rPr>
        <w:t xml:space="preserve">  </w:t>
      </w:r>
      <w:r w:rsidR="006A75EC" w:rsidRPr="00D44A32">
        <w:rPr>
          <w:lang w:val="fr-FR"/>
        </w:rPr>
        <w:t>La méthode convenue est résumée comme suit</w:t>
      </w:r>
      <w:r w:rsidR="00365E0C" w:rsidRPr="00D44A32">
        <w:rPr>
          <w:lang w:val="fr-FR"/>
        </w:rPr>
        <w:t> </w:t>
      </w:r>
      <w:r w:rsidR="006A75EC" w:rsidRPr="00D44A32">
        <w:rPr>
          <w:lang w:val="fr-FR"/>
        </w:rPr>
        <w:t>: le Bureau de l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 xml:space="preserve">Union élaborera certains projets de </w:t>
      </w:r>
      <w:r w:rsidR="00EA0530" w:rsidRPr="00D44A32">
        <w:rPr>
          <w:lang w:val="fr-FR"/>
        </w:rPr>
        <w:t>documents</w:t>
      </w:r>
      <w:r w:rsidR="006A75EC" w:rsidRPr="00D44A32">
        <w:rPr>
          <w:lang w:val="fr-FR"/>
        </w:rPr>
        <w:t xml:space="preserve"> traitant de questions qu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il estime simples et il les diffusera auprès</w:t>
      </w:r>
      <w:r w:rsidR="00A1605A" w:rsidRPr="00D44A32">
        <w:rPr>
          <w:lang w:val="fr-FR"/>
        </w:rPr>
        <w:t xml:space="preserve"> du CAJ</w:t>
      </w:r>
      <w:r w:rsidR="006A75EC" w:rsidRPr="00D44A32">
        <w:rPr>
          <w:lang w:val="fr-FR"/>
        </w:rPr>
        <w:t xml:space="preserve"> pour que soient formulées des observations dans un délai imparti.  Dans d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autres cas, lorsqu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il est estimé que les questions sont délicates et que les délibérations à une session</w:t>
      </w:r>
      <w:r w:rsidR="00A1605A" w:rsidRPr="00D44A32">
        <w:rPr>
          <w:lang w:val="fr-FR"/>
        </w:rPr>
        <w:t xml:space="preserve"> du CAJ</w:t>
      </w:r>
      <w:r w:rsidR="006A75EC" w:rsidRPr="00D44A32">
        <w:rPr>
          <w:lang w:val="fr-FR"/>
        </w:rPr>
        <w:t xml:space="preserve"> revêtent de l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importance pour l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élaboration du matériel d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information approprié, mais également dans les cas où un projet de texte traitant d</w:t>
      </w:r>
      <w:r w:rsidR="00A1605A" w:rsidRPr="00D44A32">
        <w:rPr>
          <w:lang w:val="fr-FR"/>
        </w:rPr>
        <w:t>’</w:t>
      </w:r>
      <w:r w:rsidR="006A75EC" w:rsidRPr="00D44A32">
        <w:rPr>
          <w:lang w:val="fr-FR"/>
        </w:rPr>
        <w:t>une question apparemment simple aura soulevé des difficultés inattendues lors de sa diffusion pour observations, il sera fait appel</w:t>
      </w:r>
      <w:r w:rsidR="00A1605A" w:rsidRPr="00D44A32">
        <w:rPr>
          <w:lang w:val="fr-FR"/>
        </w:rPr>
        <w:t xml:space="preserve"> au CAJ</w:t>
      </w:r>
      <w:r w:rsidR="00C42784" w:rsidRPr="00D44A32">
        <w:rPr>
          <w:lang w:val="fr-FR"/>
        </w:rPr>
        <w:noBreakHyphen/>
      </w:r>
      <w:r w:rsidR="006A75EC" w:rsidRPr="00D44A32">
        <w:rPr>
          <w:lang w:val="fr-FR"/>
        </w:rPr>
        <w:t>AG avant que</w:t>
      </w:r>
      <w:r w:rsidR="00A1605A" w:rsidRPr="00D44A32">
        <w:rPr>
          <w:lang w:val="fr-FR"/>
        </w:rPr>
        <w:t xml:space="preserve"> le CAJ</w:t>
      </w:r>
      <w:r w:rsidR="006A75EC" w:rsidRPr="00D44A32">
        <w:rPr>
          <w:lang w:val="fr-FR"/>
        </w:rPr>
        <w:t xml:space="preserve"> soit invité à en délibérer à sa session.</w:t>
      </w:r>
    </w:p>
    <w:p w:rsidR="002B18A7" w:rsidRPr="00D44A32" w:rsidRDefault="002B18A7" w:rsidP="00D44A32">
      <w:pPr>
        <w:rPr>
          <w:lang w:val="fr-FR"/>
        </w:rPr>
      </w:pPr>
    </w:p>
    <w:p w:rsidR="00A1605A" w:rsidRPr="00D44A32" w:rsidRDefault="001C7E73" w:rsidP="00D44A32">
      <w:pPr>
        <w:tabs>
          <w:tab w:val="left" w:pos="567"/>
        </w:tabs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9276AB" w:rsidRPr="00D44A32">
        <w:rPr>
          <w:lang w:val="fr-FR"/>
        </w:rPr>
        <w:t>À sa soixante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dixième</w:t>
      </w:r>
      <w:r w:rsidR="00365E0C" w:rsidRPr="00D44A32">
        <w:rPr>
          <w:lang w:val="fr-FR"/>
        </w:rPr>
        <w:t> </w:t>
      </w:r>
      <w:r w:rsidR="009276AB" w:rsidRPr="00D44A32">
        <w:rPr>
          <w:lang w:val="fr-FR"/>
        </w:rPr>
        <w:t>session</w:t>
      </w:r>
      <w:r w:rsidR="009276AB" w:rsidRPr="00D44A32">
        <w:rPr>
          <w:rStyle w:val="FootnoteReference"/>
          <w:lang w:val="fr-FR"/>
        </w:rPr>
        <w:footnoteReference w:id="5"/>
      </w:r>
      <w:r w:rsidR="009276AB" w:rsidRPr="00D44A32">
        <w:rPr>
          <w:lang w:val="fr-FR"/>
        </w:rPr>
        <w:t>,</w:t>
      </w:r>
      <w:r w:rsidR="00A1605A" w:rsidRPr="00D44A32">
        <w:rPr>
          <w:lang w:val="fr-FR"/>
        </w:rPr>
        <w:t xml:space="preserve"> le CAJ</w:t>
      </w:r>
      <w:r w:rsidR="009276AB" w:rsidRPr="00D44A32">
        <w:rPr>
          <w:lang w:val="fr-FR"/>
        </w:rPr>
        <w:t xml:space="preserve"> est convenu que toutes les questions examinées par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AG à sa neuvième</w:t>
      </w:r>
      <w:r w:rsidR="00365E0C" w:rsidRPr="00D44A32">
        <w:rPr>
          <w:lang w:val="fr-FR"/>
        </w:rPr>
        <w:t> </w:t>
      </w:r>
      <w:r w:rsidR="009276AB" w:rsidRPr="00D44A32">
        <w:rPr>
          <w:lang w:val="fr-FR"/>
        </w:rPr>
        <w:t>session</w:t>
      </w:r>
      <w:r w:rsidR="009276AB" w:rsidRPr="00D44A32">
        <w:rPr>
          <w:rStyle w:val="FootnoteReference"/>
          <w:lang w:val="fr-FR"/>
        </w:rPr>
        <w:footnoteReference w:id="6"/>
      </w:r>
      <w:r w:rsidR="009276AB" w:rsidRPr="00D44A32">
        <w:rPr>
          <w:lang w:val="fr-FR"/>
        </w:rPr>
        <w:t xml:space="preserve"> devraient, après la</w:t>
      </w:r>
      <w:r w:rsidR="00A15EE5" w:rsidRPr="00D44A32">
        <w:rPr>
          <w:lang w:val="fr-FR"/>
        </w:rPr>
        <w:t xml:space="preserve">dite </w:t>
      </w:r>
      <w:r w:rsidR="009276AB" w:rsidRPr="00D44A32">
        <w:rPr>
          <w:lang w:val="fr-FR"/>
        </w:rPr>
        <w:t>session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AG, être examinées par</w:t>
      </w:r>
      <w:r w:rsidR="00A1605A" w:rsidRPr="00D44A32">
        <w:rPr>
          <w:lang w:val="fr-FR"/>
        </w:rPr>
        <w:t xml:space="preserve"> le CAJ</w:t>
      </w:r>
      <w:r w:rsidR="009276AB" w:rsidRPr="00D44A32">
        <w:rPr>
          <w:lang w:val="fr-FR"/>
        </w:rPr>
        <w:t>, et que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AG devrait uniquement se réunir de façon ponctuelle, selon que le CAJ le jugerait approprié</w:t>
      </w:r>
      <w:r w:rsidR="009276AB" w:rsidRPr="00D44A32">
        <w:rPr>
          <w:rStyle w:val="FootnoteReference"/>
          <w:lang w:val="fr-FR"/>
        </w:rPr>
        <w:footnoteReference w:id="7"/>
      </w:r>
      <w:r w:rsidR="009276AB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A15EE5" w:rsidP="00D44A32">
      <w:pPr>
        <w:pStyle w:val="Heading1"/>
        <w:rPr>
          <w:lang w:val="fr-FR"/>
        </w:rPr>
      </w:pPr>
      <w:bookmarkStart w:id="6" w:name="_Toc413318617"/>
      <w:bookmarkStart w:id="7" w:name="_Toc413404234"/>
      <w:r w:rsidRPr="00D44A32">
        <w:rPr>
          <w:lang w:val="fr-FR"/>
        </w:rPr>
        <w:t xml:space="preserve">présentation </w:t>
      </w:r>
      <w:r w:rsidR="009276AB" w:rsidRPr="00D44A32">
        <w:rPr>
          <w:lang w:val="fr-FR"/>
        </w:rPr>
        <w:t>général</w:t>
      </w:r>
      <w:r w:rsidRPr="00D44A32">
        <w:rPr>
          <w:lang w:val="fr-FR"/>
        </w:rPr>
        <w:t>e</w:t>
      </w:r>
      <w:r w:rsidR="009276AB" w:rsidRPr="00D44A32">
        <w:rPr>
          <w:lang w:val="fr-FR"/>
        </w:rPr>
        <w:t xml:space="preserve"> du matériel d</w:t>
      </w:r>
      <w:r w:rsidR="00A1605A" w:rsidRPr="00D44A32">
        <w:rPr>
          <w:lang w:val="fr-FR"/>
        </w:rPr>
        <w:t>’</w:t>
      </w:r>
      <w:r w:rsidR="009276AB" w:rsidRPr="00D44A32">
        <w:rPr>
          <w:lang w:val="fr-FR"/>
        </w:rPr>
        <w:t>information</w:t>
      </w:r>
      <w:bookmarkEnd w:id="6"/>
      <w:bookmarkEnd w:id="7"/>
    </w:p>
    <w:p w:rsidR="002B18A7" w:rsidRPr="00D44A32" w:rsidRDefault="002B18A7" w:rsidP="00D44A32">
      <w:pPr>
        <w:keepNext/>
        <w:rPr>
          <w:rFonts w:cs="Arial"/>
          <w:lang w:val="fr-FR"/>
        </w:rPr>
      </w:pPr>
    </w:p>
    <w:p w:rsidR="00A1605A" w:rsidRPr="00D44A32" w:rsidRDefault="009612F3" w:rsidP="00D44A32">
      <w:pPr>
        <w:spacing w:after="720"/>
        <w:rPr>
          <w:rFonts w:cs="Arial"/>
          <w:lang w:val="fr-FR"/>
        </w:rPr>
      </w:pPr>
      <w:r w:rsidRPr="00D44A32">
        <w:rPr>
          <w:rFonts w:cs="Arial"/>
          <w:lang w:val="fr-FR"/>
        </w:rPr>
        <w:fldChar w:fldCharType="begin"/>
      </w:r>
      <w:r w:rsidRPr="00D44A32">
        <w:rPr>
          <w:rFonts w:cs="Arial"/>
          <w:lang w:val="fr-FR"/>
        </w:rPr>
        <w:instrText xml:space="preserve"> AUTONUM  </w:instrText>
      </w:r>
      <w:r w:rsidRPr="00D44A32">
        <w:rPr>
          <w:rFonts w:cs="Arial"/>
          <w:lang w:val="fr-FR"/>
        </w:rPr>
        <w:fldChar w:fldCharType="end"/>
      </w:r>
      <w:r w:rsidRPr="00D44A32">
        <w:rPr>
          <w:rFonts w:cs="Arial"/>
          <w:lang w:val="fr-FR"/>
        </w:rPr>
        <w:tab/>
      </w:r>
      <w:r w:rsidR="009276AB" w:rsidRPr="00D44A32">
        <w:rPr>
          <w:rFonts w:cs="Arial"/>
          <w:lang w:val="fr-FR"/>
        </w:rPr>
        <w:t>L</w:t>
      </w:r>
      <w:r w:rsidR="00A1605A" w:rsidRPr="00D44A32">
        <w:rPr>
          <w:rFonts w:cs="Arial"/>
          <w:lang w:val="fr-FR"/>
        </w:rPr>
        <w:t>’</w:t>
      </w:r>
      <w:r w:rsidR="009276AB" w:rsidRPr="00D44A32">
        <w:rPr>
          <w:rFonts w:cs="Arial"/>
          <w:lang w:val="fr-FR"/>
        </w:rPr>
        <w:t>annexe du présent document contient une présentation générale du matériel d</w:t>
      </w:r>
      <w:r w:rsidR="00A1605A" w:rsidRPr="00D44A32">
        <w:rPr>
          <w:rFonts w:cs="Arial"/>
          <w:lang w:val="fr-FR"/>
        </w:rPr>
        <w:t>’</w:t>
      </w:r>
      <w:r w:rsidR="009276AB" w:rsidRPr="00D44A32">
        <w:rPr>
          <w:rFonts w:cs="Arial"/>
          <w:lang w:val="fr-FR"/>
        </w:rPr>
        <w:t>information élaboré et en cours d</w:t>
      </w:r>
      <w:r w:rsidR="00A1605A" w:rsidRPr="00D44A32">
        <w:rPr>
          <w:rFonts w:cs="Arial"/>
          <w:lang w:val="fr-FR"/>
        </w:rPr>
        <w:t>’</w:t>
      </w:r>
      <w:r w:rsidR="009276AB" w:rsidRPr="00D44A32">
        <w:rPr>
          <w:rFonts w:cs="Arial"/>
          <w:lang w:val="fr-FR"/>
        </w:rPr>
        <w:t>élaboration.</w:t>
      </w:r>
    </w:p>
    <w:p w:rsidR="002B18A7" w:rsidRPr="00D44A32" w:rsidRDefault="009276AB" w:rsidP="00D44A32">
      <w:pPr>
        <w:pStyle w:val="Heading1"/>
        <w:rPr>
          <w:lang w:val="fr-FR"/>
        </w:rPr>
      </w:pPr>
      <w:bookmarkStart w:id="8" w:name="_Toc413318618"/>
      <w:bookmarkStart w:id="9" w:name="_Toc413404235"/>
      <w:r w:rsidRPr="00D44A32">
        <w:rPr>
          <w:lang w:val="fr-FR"/>
        </w:rPr>
        <w:lastRenderedPageBreak/>
        <w:t>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</w:t>
      </w:r>
      <w:bookmarkEnd w:id="8"/>
      <w:bookmarkEnd w:id="9"/>
    </w:p>
    <w:p w:rsidR="002B18A7" w:rsidRPr="00D44A32" w:rsidRDefault="002B18A7" w:rsidP="00D44A32">
      <w:pPr>
        <w:keepNext/>
        <w:tabs>
          <w:tab w:val="left" w:pos="567"/>
        </w:tabs>
        <w:rPr>
          <w:lang w:val="fr-FR"/>
        </w:rPr>
      </w:pPr>
    </w:p>
    <w:p w:rsidR="00A1605A" w:rsidRPr="00D44A32" w:rsidRDefault="00016155" w:rsidP="00D44A32">
      <w:pPr>
        <w:tabs>
          <w:tab w:val="left" w:pos="567"/>
        </w:tabs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9276AB" w:rsidRPr="00D44A32">
        <w:rPr>
          <w:lang w:val="fr-FR"/>
        </w:rPr>
        <w:t>À sa soixante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dixième</w:t>
      </w:r>
      <w:r w:rsidR="00365E0C" w:rsidRPr="00D44A32">
        <w:rPr>
          <w:lang w:val="fr-FR"/>
        </w:rPr>
        <w:t> </w:t>
      </w:r>
      <w:r w:rsidR="009276AB" w:rsidRPr="00D44A32">
        <w:rPr>
          <w:lang w:val="fr-FR"/>
        </w:rPr>
        <w:t>session,</w:t>
      </w:r>
      <w:r w:rsidR="00A1605A" w:rsidRPr="00D44A32">
        <w:rPr>
          <w:lang w:val="fr-FR"/>
        </w:rPr>
        <w:t xml:space="preserve"> le CAJ</w:t>
      </w:r>
      <w:r w:rsidR="009276AB" w:rsidRPr="00D44A32">
        <w:rPr>
          <w:lang w:val="fr-FR"/>
        </w:rPr>
        <w:t xml:space="preserve"> a prié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="009276AB" w:rsidRPr="00D44A32">
        <w:rPr>
          <w:lang w:val="fr-FR"/>
        </w:rPr>
        <w:t>AG de lui indiquer, à sa neuvième</w:t>
      </w:r>
      <w:r w:rsidR="00365E0C" w:rsidRPr="00D44A32">
        <w:rPr>
          <w:lang w:val="fr-FR"/>
        </w:rPr>
        <w:t> </w:t>
      </w:r>
      <w:r w:rsidR="009276AB" w:rsidRPr="00D44A32">
        <w:rPr>
          <w:lang w:val="fr-FR"/>
        </w:rPr>
        <w:t>session, les documents qu</w:t>
      </w:r>
      <w:r w:rsidR="00A1605A" w:rsidRPr="00D44A32">
        <w:rPr>
          <w:lang w:val="fr-FR"/>
        </w:rPr>
        <w:t>’</w:t>
      </w:r>
      <w:r w:rsidR="009276AB" w:rsidRPr="00D44A32">
        <w:rPr>
          <w:lang w:val="fr-FR"/>
        </w:rPr>
        <w:t>il aura à examiner à sa soixante et onzième</w:t>
      </w:r>
      <w:r w:rsidR="00365E0C" w:rsidRPr="00D44A32">
        <w:rPr>
          <w:lang w:val="fr-FR"/>
        </w:rPr>
        <w:t> </w:t>
      </w:r>
      <w:r w:rsidR="009276AB" w:rsidRPr="00D44A32">
        <w:rPr>
          <w:lang w:val="fr-FR"/>
        </w:rPr>
        <w:t xml:space="preserve">session, en </w:t>
      </w:r>
      <w:r w:rsidR="00A1605A" w:rsidRPr="00D44A32">
        <w:rPr>
          <w:lang w:val="fr-FR"/>
        </w:rPr>
        <w:t>mars 20</w:t>
      </w:r>
      <w:r w:rsidR="009276AB" w:rsidRPr="00D44A32">
        <w:rPr>
          <w:lang w:val="fr-FR"/>
        </w:rPr>
        <w:t>15</w:t>
      </w:r>
      <w:r w:rsidR="009276AB" w:rsidRPr="00D44A32">
        <w:rPr>
          <w:rStyle w:val="FootnoteReference"/>
          <w:lang w:val="fr-FR"/>
        </w:rPr>
        <w:footnoteReference w:id="8"/>
      </w:r>
      <w:r w:rsidR="009276AB" w:rsidRPr="00D44A32">
        <w:rPr>
          <w:lang w:val="fr-FR"/>
        </w:rPr>
        <w:t>.</w:t>
      </w:r>
    </w:p>
    <w:p w:rsidR="002B18A7" w:rsidRPr="00D44A32" w:rsidRDefault="002B18A7" w:rsidP="00D44A32">
      <w:pPr>
        <w:tabs>
          <w:tab w:val="left" w:pos="567"/>
        </w:tabs>
        <w:rPr>
          <w:lang w:val="fr-FR"/>
        </w:rPr>
      </w:pPr>
    </w:p>
    <w:p w:rsidR="00A1605A" w:rsidRPr="00D44A32" w:rsidRDefault="00016155" w:rsidP="00D44A32">
      <w:pPr>
        <w:tabs>
          <w:tab w:val="left" w:pos="567"/>
        </w:tabs>
        <w:spacing w:after="240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38694A" w:rsidRPr="00D44A32">
        <w:rPr>
          <w:lang w:val="fr-FR"/>
        </w:rPr>
        <w:t>À ce</w:t>
      </w:r>
      <w:r w:rsidR="00EA0530" w:rsidRPr="00D44A32">
        <w:rPr>
          <w:lang w:val="fr-FR"/>
        </w:rPr>
        <w:t xml:space="preserve"> sujet</w:t>
      </w:r>
      <w:r w:rsidR="0038694A" w:rsidRPr="00D44A32">
        <w:rPr>
          <w:lang w:val="fr-FR"/>
        </w:rPr>
        <w:t>,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="0038694A" w:rsidRPr="00D44A32">
        <w:rPr>
          <w:lang w:val="fr-FR"/>
        </w:rPr>
        <w:t xml:space="preserve">AG a donné les </w:t>
      </w:r>
      <w:r w:rsidR="00A15EE5" w:rsidRPr="00D44A32">
        <w:rPr>
          <w:lang w:val="fr-FR"/>
        </w:rPr>
        <w:t xml:space="preserve">indications </w:t>
      </w:r>
      <w:r w:rsidR="0038694A" w:rsidRPr="00D44A32">
        <w:rPr>
          <w:lang w:val="fr-FR"/>
        </w:rPr>
        <w:t>suivant</w:t>
      </w:r>
      <w:r w:rsidR="00A15EE5" w:rsidRPr="00D44A32">
        <w:rPr>
          <w:lang w:val="fr-FR"/>
        </w:rPr>
        <w:t>e</w:t>
      </w:r>
      <w:r w:rsidR="0038694A" w:rsidRPr="00D44A32">
        <w:rPr>
          <w:lang w:val="fr-FR"/>
        </w:rPr>
        <w:t xml:space="preserve">s </w:t>
      </w:r>
      <w:r w:rsidR="00A15EE5" w:rsidRPr="00D44A32">
        <w:rPr>
          <w:lang w:val="fr-FR"/>
        </w:rPr>
        <w:t xml:space="preserve">concernant les </w:t>
      </w:r>
      <w:r w:rsidR="0038694A" w:rsidRPr="00D44A32">
        <w:rPr>
          <w:lang w:val="fr-FR"/>
        </w:rPr>
        <w:t>points “Élaboration de matériel d</w:t>
      </w:r>
      <w:r w:rsidR="00A1605A" w:rsidRPr="00D44A32">
        <w:rPr>
          <w:lang w:val="fr-FR"/>
        </w:rPr>
        <w:t>’</w:t>
      </w:r>
      <w:r w:rsidR="0038694A" w:rsidRPr="00D44A32">
        <w:rPr>
          <w:lang w:val="fr-FR"/>
        </w:rPr>
        <w:t xml:space="preserve">information </w:t>
      </w:r>
      <w:r w:rsidR="001C03D4" w:rsidRPr="00D44A32">
        <w:rPr>
          <w:lang w:val="fr-FR"/>
        </w:rPr>
        <w:t>concernant</w:t>
      </w:r>
      <w:r w:rsidR="0038694A" w:rsidRPr="00D44A32">
        <w:rPr>
          <w:lang w:val="fr-FR"/>
        </w:rPr>
        <w:t xml:space="preserve"> la </w:t>
      </w:r>
      <w:r w:rsidR="00A1605A" w:rsidRPr="00D44A32">
        <w:rPr>
          <w:lang w:val="fr-FR"/>
        </w:rPr>
        <w:t>Convention UPOV</w:t>
      </w:r>
      <w:r w:rsidR="0038694A" w:rsidRPr="00D44A32">
        <w:rPr>
          <w:lang w:val="fr-FR"/>
        </w:rPr>
        <w:t xml:space="preserve">” et “Dénominations variétales” </w:t>
      </w:r>
      <w:r w:rsidR="00A15EE5" w:rsidRPr="00D44A32">
        <w:rPr>
          <w:lang w:val="fr-FR"/>
        </w:rPr>
        <w:t>à</w:t>
      </w:r>
      <w:r w:rsidR="00EA0530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EA0530" w:rsidRPr="00D44A32">
        <w:rPr>
          <w:lang w:val="fr-FR"/>
        </w:rPr>
        <w:t>ordre du jour de</w:t>
      </w:r>
      <w:r w:rsidR="0038694A" w:rsidRPr="00D44A32">
        <w:rPr>
          <w:lang w:val="fr-FR"/>
        </w:rPr>
        <w:t xml:space="preserve"> la soixante et onzième</w:t>
      </w:r>
      <w:r w:rsidR="00365E0C" w:rsidRPr="00D44A32">
        <w:rPr>
          <w:lang w:val="fr-FR"/>
        </w:rPr>
        <w:t> </w:t>
      </w:r>
      <w:r w:rsidR="0038694A" w:rsidRPr="00D44A32">
        <w:rPr>
          <w:lang w:val="fr-FR"/>
        </w:rPr>
        <w:t>session</w:t>
      </w:r>
      <w:r w:rsidR="00A1605A" w:rsidRPr="00D44A32">
        <w:rPr>
          <w:lang w:val="fr-FR"/>
        </w:rPr>
        <w:t xml:space="preserve"> du CAJ</w:t>
      </w:r>
      <w:r w:rsidR="0038694A" w:rsidRPr="00D44A32">
        <w:rPr>
          <w:rStyle w:val="FootnoteReference"/>
          <w:lang w:val="fr-FR"/>
        </w:rPr>
        <w:footnoteReference w:id="9"/>
      </w:r>
      <w:r w:rsidR="00625F49" w:rsidRPr="00D44A32">
        <w:rPr>
          <w:lang w:val="fr-FR"/>
        </w:rPr>
        <w:t> </w:t>
      </w:r>
      <w:r w:rsidR="0038694A" w:rsidRPr="00D44A32">
        <w:rPr>
          <w:lang w:val="fr-FR"/>
        </w:rPr>
        <w:t>:</w:t>
      </w:r>
    </w:p>
    <w:p w:rsidR="002B18A7" w:rsidRPr="00D44A32" w:rsidRDefault="001C03D4" w:rsidP="00D44A32">
      <w:pPr>
        <w:tabs>
          <w:tab w:val="left" w:pos="567"/>
        </w:tabs>
        <w:ind w:left="567" w:right="567"/>
        <w:rPr>
          <w:kern w:val="28"/>
          <w:lang w:val="fr-FR"/>
        </w:rPr>
      </w:pPr>
      <w:r w:rsidRPr="00D44A32">
        <w:rPr>
          <w:kern w:val="28"/>
          <w:lang w:val="fr-FR"/>
        </w:rPr>
        <w:t>Élaboration de matériel d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 xml:space="preserve">information concernant la </w:t>
      </w:r>
      <w:r w:rsidR="00A1605A" w:rsidRPr="00D44A32">
        <w:rPr>
          <w:kern w:val="28"/>
          <w:lang w:val="fr-FR"/>
        </w:rPr>
        <w:t>Convention UPOV</w:t>
      </w:r>
      <w:r w:rsidRPr="00D44A32">
        <w:rPr>
          <w:kern w:val="28"/>
          <w:lang w:val="fr-FR"/>
        </w:rPr>
        <w:t xml:space="preserve"> (documents CAJ/71/2 et CAJ</w:t>
      </w:r>
      <w:r w:rsidR="00C42784" w:rsidRPr="00D44A32">
        <w:rPr>
          <w:kern w:val="28"/>
          <w:lang w:val="fr-FR"/>
        </w:rPr>
        <w:noBreakHyphen/>
      </w:r>
      <w:r w:rsidRPr="00D44A32">
        <w:rPr>
          <w:kern w:val="28"/>
          <w:lang w:val="fr-FR"/>
        </w:rPr>
        <w:t>AG/14/9/7 “Compte rendu”)</w:t>
      </w:r>
    </w:p>
    <w:p w:rsidR="002B18A7" w:rsidRPr="00D44A32" w:rsidRDefault="002B18A7" w:rsidP="00D44A32">
      <w:pPr>
        <w:ind w:left="1134" w:right="567" w:hanging="567"/>
        <w:rPr>
          <w:lang w:val="fr-FR"/>
        </w:rPr>
      </w:pPr>
    </w:p>
    <w:p w:rsidR="002B18A7" w:rsidRPr="00D44A32" w:rsidRDefault="001C03D4" w:rsidP="00D44A32">
      <w:pPr>
        <w:ind w:left="1701" w:right="567" w:hanging="567"/>
        <w:rPr>
          <w:lang w:val="fr-FR"/>
        </w:rPr>
      </w:pPr>
      <w:r w:rsidRPr="00D44A32">
        <w:rPr>
          <w:lang w:val="fr-FR"/>
        </w:rPr>
        <w:t>a)</w:t>
      </w:r>
      <w:r w:rsidRPr="00D44A32">
        <w:rPr>
          <w:lang w:val="fr-FR"/>
        </w:rPr>
        <w:tab/>
        <w:t>Notes explicatives sur les variétés essentiellement dérivées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Acte </w:t>
      </w:r>
      <w:r w:rsidR="00957DA8" w:rsidRPr="00D44A32">
        <w:rPr>
          <w:lang w:val="fr-FR"/>
        </w:rPr>
        <w:t>de</w:t>
      </w:r>
      <w:r w:rsidR="00365E0C" w:rsidRPr="00D44A32">
        <w:rPr>
          <w:lang w:val="fr-FR"/>
        </w:rPr>
        <w:t> </w:t>
      </w:r>
      <w:r w:rsidR="00957DA8"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 xml:space="preserve"> (r</w:t>
      </w:r>
      <w:r w:rsidRPr="00D44A32">
        <w:rPr>
          <w:lang w:val="fr-FR"/>
        </w:rPr>
        <w:t>évision) (document CAJ/71/2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 marche à suivre proposée en vue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 nouveau projet de document UPOV/EXN/EDV/2</w:t>
      </w:r>
      <w:r w:rsidR="00A1605A" w:rsidRPr="00D44A32">
        <w:rPr>
          <w:lang w:val="fr-FR"/>
        </w:rPr>
        <w:t xml:space="preserve"> au CAJ</w:t>
      </w:r>
      <w:r w:rsidRPr="00D44A32">
        <w:rPr>
          <w:lang w:val="fr-FR"/>
        </w:rPr>
        <w:t xml:space="preserve"> en </w:t>
      </w:r>
      <w:r w:rsidR="00A1605A" w:rsidRPr="00D44A32">
        <w:rPr>
          <w:lang w:val="fr-FR"/>
        </w:rPr>
        <w:t>octobre 20</w:t>
      </w:r>
      <w:r w:rsidRPr="00D44A32">
        <w:rPr>
          <w:lang w:val="fr-FR"/>
        </w:rPr>
        <w:t>15)</w:t>
      </w:r>
    </w:p>
    <w:p w:rsidR="002B18A7" w:rsidRPr="00D44A32" w:rsidRDefault="002B18A7" w:rsidP="00D44A32">
      <w:pPr>
        <w:ind w:left="1134" w:right="567" w:hanging="567"/>
        <w:rPr>
          <w:strike/>
          <w:lang w:val="fr-FR"/>
        </w:rPr>
      </w:pPr>
    </w:p>
    <w:p w:rsidR="002B18A7" w:rsidRPr="00D44A32" w:rsidRDefault="0038694A" w:rsidP="00D44A32">
      <w:pPr>
        <w:ind w:left="1701" w:right="567" w:hanging="567"/>
        <w:rPr>
          <w:lang w:val="fr-FR"/>
        </w:rPr>
      </w:pPr>
      <w:r w:rsidRPr="00D44A32">
        <w:rPr>
          <w:lang w:val="fr-FR"/>
        </w:rPr>
        <w:t>b)</w:t>
      </w:r>
      <w:r w:rsidRPr="00D44A32">
        <w:rPr>
          <w:lang w:val="fr-FR"/>
        </w:rPr>
        <w:tab/>
        <w:t xml:space="preserve">Notes explicatives sur le matériel de reproduction ou de multiplication </w:t>
      </w:r>
      <w:r w:rsidR="00827378" w:rsidRPr="00D44A32">
        <w:rPr>
          <w:lang w:val="fr-FR"/>
        </w:rPr>
        <w:t>selon</w:t>
      </w:r>
      <w:r w:rsidRPr="00D44A32">
        <w:rPr>
          <w:lang w:val="fr-FR"/>
        </w:rPr>
        <w:t xml:space="preserve">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(document UP</w:t>
      </w:r>
      <w:r w:rsidR="00625F49" w:rsidRPr="00D44A32">
        <w:rPr>
          <w:lang w:val="fr-FR"/>
        </w:rPr>
        <w:t>OV/EXN/PPM/1 </w:t>
      </w:r>
      <w:r w:rsidRPr="00D44A32">
        <w:rPr>
          <w:lang w:val="fr-FR"/>
        </w:rPr>
        <w:t>Draft</w:t>
      </w:r>
      <w:r w:rsidR="00625F49" w:rsidRPr="00D44A32">
        <w:rPr>
          <w:lang w:val="fr-FR"/>
        </w:rPr>
        <w:t> </w:t>
      </w:r>
      <w:r w:rsidRPr="00D44A32">
        <w:rPr>
          <w:lang w:val="fr-FR"/>
        </w:rPr>
        <w:t>4)</w:t>
      </w:r>
    </w:p>
    <w:p w:rsidR="002B18A7" w:rsidRPr="00D44A32" w:rsidRDefault="002B18A7" w:rsidP="00D44A32">
      <w:pPr>
        <w:ind w:left="1701" w:right="567" w:hanging="567"/>
        <w:rPr>
          <w:lang w:val="fr-FR"/>
        </w:rPr>
      </w:pPr>
    </w:p>
    <w:p w:rsidR="002B18A7" w:rsidRPr="00D44A32" w:rsidRDefault="001C03D4" w:rsidP="00D44A32">
      <w:pPr>
        <w:ind w:left="1701" w:right="567" w:hanging="567"/>
        <w:rPr>
          <w:kern w:val="28"/>
          <w:lang w:val="fr-FR"/>
        </w:rPr>
      </w:pPr>
      <w:r w:rsidRPr="00D44A32">
        <w:rPr>
          <w:kern w:val="28"/>
          <w:lang w:val="fr-FR"/>
        </w:rPr>
        <w:t>c)</w:t>
      </w:r>
      <w:r w:rsidRPr="00D44A32">
        <w:rPr>
          <w:kern w:val="28"/>
          <w:lang w:val="fr-FR"/>
        </w:rPr>
        <w:tab/>
        <w:t xml:space="preserve">Notes explicatives sur les actes </w:t>
      </w:r>
      <w:r w:rsidR="00A1605A" w:rsidRPr="00D44A32">
        <w:rPr>
          <w:kern w:val="28"/>
          <w:lang w:val="fr-FR"/>
        </w:rPr>
        <w:t>à l’égard</w:t>
      </w:r>
      <w:r w:rsidRPr="00D44A32">
        <w:rPr>
          <w:kern w:val="28"/>
          <w:lang w:val="fr-FR"/>
        </w:rPr>
        <w:t xml:space="preserve"> du produit de la récolte selon l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Acte de</w:t>
      </w:r>
      <w:r w:rsidR="00365E0C" w:rsidRPr="00D44A32">
        <w:rPr>
          <w:kern w:val="28"/>
          <w:lang w:val="fr-FR"/>
        </w:rPr>
        <w:t> </w:t>
      </w:r>
      <w:r w:rsidRPr="00D44A32">
        <w:rPr>
          <w:kern w:val="28"/>
          <w:lang w:val="fr-FR"/>
        </w:rPr>
        <w:t xml:space="preserve">1991 de la </w:t>
      </w:r>
      <w:r w:rsidR="00A1605A" w:rsidRPr="00D44A32">
        <w:rPr>
          <w:kern w:val="28"/>
          <w:lang w:val="fr-FR"/>
        </w:rPr>
        <w:t>Convention UPOV</w:t>
      </w:r>
      <w:r w:rsidR="00957DA8" w:rsidRPr="00D44A32">
        <w:rPr>
          <w:kern w:val="28"/>
          <w:lang w:val="fr-FR"/>
        </w:rPr>
        <w:t xml:space="preserve"> (r</w:t>
      </w:r>
      <w:r w:rsidRPr="00D44A32">
        <w:rPr>
          <w:kern w:val="28"/>
          <w:lang w:val="fr-FR"/>
        </w:rPr>
        <w:t>évision) (document CAJ/71/2</w:t>
      </w:r>
      <w:r w:rsidR="00365E0C" w:rsidRPr="00D44A32">
        <w:rPr>
          <w:kern w:val="28"/>
          <w:lang w:val="fr-FR"/>
        </w:rPr>
        <w:t> </w:t>
      </w:r>
      <w:r w:rsidRPr="00D44A32">
        <w:rPr>
          <w:kern w:val="28"/>
          <w:lang w:val="fr-FR"/>
        </w:rPr>
        <w:t>: proposition</w:t>
      </w:r>
      <w:r w:rsidR="00A1605A" w:rsidRPr="00D44A32">
        <w:rPr>
          <w:kern w:val="28"/>
          <w:lang w:val="fr-FR"/>
        </w:rPr>
        <w:t xml:space="preserve"> du CAJ</w:t>
      </w:r>
      <w:r w:rsidR="00C42784" w:rsidRPr="00D44A32">
        <w:rPr>
          <w:kern w:val="28"/>
          <w:lang w:val="fr-FR"/>
        </w:rPr>
        <w:noBreakHyphen/>
      </w:r>
      <w:r w:rsidRPr="00D44A32">
        <w:rPr>
          <w:kern w:val="28"/>
          <w:lang w:val="fr-FR"/>
        </w:rPr>
        <w:t xml:space="preserve">AG </w:t>
      </w:r>
      <w:r w:rsidR="00A15EE5" w:rsidRPr="00D44A32">
        <w:rPr>
          <w:kern w:val="28"/>
          <w:lang w:val="fr-FR"/>
        </w:rPr>
        <w:t xml:space="preserve">de suspendre </w:t>
      </w:r>
      <w:r w:rsidRPr="00D44A32">
        <w:rPr>
          <w:kern w:val="28"/>
          <w:lang w:val="fr-FR"/>
        </w:rPr>
        <w:t>l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élaboration d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une révision du document UPOV/EXN/HRV/1)</w:t>
      </w:r>
    </w:p>
    <w:p w:rsidR="002B18A7" w:rsidRPr="00D44A32" w:rsidRDefault="002B18A7" w:rsidP="00D44A32">
      <w:pPr>
        <w:ind w:left="1701" w:right="567" w:hanging="567"/>
        <w:rPr>
          <w:kern w:val="28"/>
          <w:lang w:val="fr-FR"/>
        </w:rPr>
      </w:pPr>
    </w:p>
    <w:p w:rsidR="002B18A7" w:rsidRPr="00D44A32" w:rsidRDefault="0038694A" w:rsidP="00D44A32">
      <w:pPr>
        <w:ind w:left="1701" w:right="567" w:hanging="567"/>
        <w:rPr>
          <w:lang w:val="fr-FR"/>
        </w:rPr>
      </w:pPr>
      <w:r w:rsidRPr="00D44A32">
        <w:rPr>
          <w:lang w:val="fr-FR"/>
        </w:rPr>
        <w:t>d)</w:t>
      </w:r>
      <w:r w:rsidRPr="00D44A32">
        <w:rPr>
          <w:lang w:val="fr-FR"/>
        </w:rPr>
        <w:tab/>
        <w:t>Notes explicatives sur la déchéance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 xml:space="preserve"> (document UPOV/EXN/CAN/2 (r</w:t>
      </w:r>
      <w:r w:rsidRPr="00D44A32">
        <w:rPr>
          <w:lang w:val="fr-FR"/>
        </w:rPr>
        <w:t>év</w:t>
      </w:r>
      <w:r w:rsidR="00625F49" w:rsidRPr="00D44A32">
        <w:rPr>
          <w:lang w:val="fr-FR"/>
        </w:rPr>
        <w:t>ision) (document UPOV/EXN/CAN/2 Draft </w:t>
      </w:r>
      <w:r w:rsidRPr="00D44A32">
        <w:rPr>
          <w:lang w:val="fr-FR"/>
        </w:rPr>
        <w:t>3)</w:t>
      </w:r>
    </w:p>
    <w:p w:rsidR="002B18A7" w:rsidRPr="00D44A32" w:rsidRDefault="002B18A7" w:rsidP="00D44A32">
      <w:pPr>
        <w:ind w:left="1701" w:right="567" w:hanging="567"/>
        <w:rPr>
          <w:lang w:val="fr-FR"/>
        </w:rPr>
      </w:pPr>
    </w:p>
    <w:p w:rsidR="002B18A7" w:rsidRPr="00D44A32" w:rsidRDefault="0038694A" w:rsidP="00D44A32">
      <w:pPr>
        <w:ind w:left="1701" w:right="567" w:hanging="567"/>
        <w:rPr>
          <w:lang w:val="fr-FR"/>
        </w:rPr>
      </w:pPr>
      <w:r w:rsidRPr="00D44A32">
        <w:rPr>
          <w:lang w:val="fr-FR"/>
        </w:rPr>
        <w:t>e)</w:t>
      </w:r>
      <w:r w:rsidRPr="00D44A32">
        <w:rPr>
          <w:lang w:val="fr-FR"/>
        </w:rPr>
        <w:tab/>
        <w:t>Notes explicatives sur la nullité du droit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obten</w:t>
      </w:r>
      <w:r w:rsidR="00957DA8" w:rsidRPr="00D44A32">
        <w:rPr>
          <w:lang w:val="fr-FR"/>
        </w:rPr>
        <w:t xml:space="preserve">teur selon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 xml:space="preserve"> (r</w:t>
      </w:r>
      <w:r w:rsidRPr="00D44A32">
        <w:rPr>
          <w:lang w:val="fr-FR"/>
        </w:rPr>
        <w:t>évision) (document</w:t>
      </w:r>
      <w:r w:rsidR="00625F49" w:rsidRPr="00D44A32">
        <w:rPr>
          <w:lang w:val="fr-FR"/>
        </w:rPr>
        <w:t xml:space="preserve"> UPOV/EXN/NUL/2 Draft </w:t>
      </w:r>
      <w:r w:rsidRPr="00D44A32">
        <w:rPr>
          <w:lang w:val="fr-FR"/>
        </w:rPr>
        <w:t>3)</w:t>
      </w:r>
    </w:p>
    <w:p w:rsidR="002B18A7" w:rsidRPr="00D44A32" w:rsidRDefault="002B18A7" w:rsidP="00D44A32">
      <w:pPr>
        <w:ind w:left="1701" w:right="567" w:hanging="567"/>
        <w:rPr>
          <w:lang w:val="fr-FR"/>
        </w:rPr>
      </w:pPr>
    </w:p>
    <w:p w:rsidR="002B18A7" w:rsidRPr="00D44A32" w:rsidRDefault="001C03D4" w:rsidP="00D44A32">
      <w:pPr>
        <w:ind w:left="1701" w:right="567" w:hanging="567"/>
        <w:rPr>
          <w:kern w:val="28"/>
          <w:lang w:val="fr-FR"/>
        </w:rPr>
      </w:pPr>
      <w:r w:rsidRPr="00D44A32">
        <w:rPr>
          <w:kern w:val="28"/>
          <w:lang w:val="fr-FR"/>
        </w:rPr>
        <w:t>f)</w:t>
      </w:r>
      <w:r w:rsidRPr="00D44A32">
        <w:rPr>
          <w:kern w:val="28"/>
          <w:lang w:val="fr-FR"/>
        </w:rPr>
        <w:tab/>
        <w:t>Questions concernant les descriptions variétales (document CAJ/71/2</w:t>
      </w:r>
      <w:r w:rsidR="00365E0C" w:rsidRPr="00D44A32">
        <w:rPr>
          <w:kern w:val="28"/>
          <w:lang w:val="fr-FR"/>
        </w:rPr>
        <w:t> </w:t>
      </w:r>
      <w:r w:rsidRPr="00D44A32">
        <w:rPr>
          <w:kern w:val="28"/>
          <w:lang w:val="fr-FR"/>
        </w:rPr>
        <w:t>: présent</w:t>
      </w:r>
      <w:r w:rsidR="00A15EE5" w:rsidRPr="00D44A32">
        <w:rPr>
          <w:kern w:val="28"/>
          <w:lang w:val="fr-FR"/>
        </w:rPr>
        <w:t>ation de</w:t>
      </w:r>
      <w:r w:rsidRPr="00D44A32">
        <w:rPr>
          <w:kern w:val="28"/>
          <w:lang w:val="fr-FR"/>
        </w:rPr>
        <w:t xml:space="preserve"> la conclusion</w:t>
      </w:r>
      <w:r w:rsidR="00A1605A" w:rsidRPr="00D44A32">
        <w:rPr>
          <w:kern w:val="28"/>
          <w:lang w:val="fr-FR"/>
        </w:rPr>
        <w:t xml:space="preserve"> du CAJ</w:t>
      </w:r>
      <w:r w:rsidR="00C42784" w:rsidRPr="00D44A32">
        <w:rPr>
          <w:kern w:val="28"/>
          <w:lang w:val="fr-FR"/>
        </w:rPr>
        <w:noBreakHyphen/>
      </w:r>
      <w:r w:rsidRPr="00D44A32">
        <w:rPr>
          <w:kern w:val="28"/>
          <w:lang w:val="fr-FR"/>
        </w:rPr>
        <w:t>AG)</w:t>
      </w:r>
    </w:p>
    <w:p w:rsidR="002B18A7" w:rsidRPr="00D44A32" w:rsidRDefault="002B18A7" w:rsidP="00D44A32">
      <w:pPr>
        <w:ind w:left="1701" w:right="567" w:hanging="567"/>
        <w:rPr>
          <w:kern w:val="28"/>
          <w:lang w:val="fr-FR"/>
        </w:rPr>
      </w:pPr>
    </w:p>
    <w:p w:rsidR="002B18A7" w:rsidRPr="00D44A32" w:rsidRDefault="0038694A" w:rsidP="00D44A32">
      <w:pPr>
        <w:ind w:left="1701" w:right="567" w:hanging="567"/>
        <w:rPr>
          <w:lang w:val="fr-FR"/>
        </w:rPr>
      </w:pPr>
      <w:r w:rsidRPr="00D44A32">
        <w:rPr>
          <w:lang w:val="fr-FR"/>
        </w:rPr>
        <w:t>g)</w:t>
      </w:r>
      <w:r w:rsidRPr="00D44A32">
        <w:rPr>
          <w:lang w:val="fr-FR"/>
        </w:rPr>
        <w:tab/>
        <w:t>Notes explicatives sur la protection provis</w:t>
      </w:r>
      <w:r w:rsidR="00957DA8" w:rsidRPr="00D44A32">
        <w:rPr>
          <w:lang w:val="fr-FR"/>
        </w:rPr>
        <w:t xml:space="preserve">oire selon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 xml:space="preserve"> (r</w:t>
      </w:r>
      <w:r w:rsidRPr="00D44A32">
        <w:rPr>
          <w:lang w:val="fr-FR"/>
        </w:rPr>
        <w:t>évision) (document UPOV/EXN/PRP/2</w:t>
      </w:r>
      <w:r w:rsidR="00625F49" w:rsidRPr="00D44A32">
        <w:rPr>
          <w:lang w:val="fr-FR"/>
        </w:rPr>
        <w:t> </w:t>
      </w:r>
      <w:r w:rsidRPr="00D44A32">
        <w:rPr>
          <w:lang w:val="fr-FR"/>
        </w:rPr>
        <w:t>Draft</w:t>
      </w:r>
      <w:r w:rsidR="00625F49" w:rsidRPr="00D44A32">
        <w:rPr>
          <w:lang w:val="fr-FR"/>
        </w:rPr>
        <w:t> </w:t>
      </w:r>
      <w:r w:rsidRPr="00D44A32">
        <w:rPr>
          <w:lang w:val="fr-FR"/>
        </w:rPr>
        <w:t>3)</w:t>
      </w:r>
    </w:p>
    <w:p w:rsidR="002B18A7" w:rsidRPr="00D44A32" w:rsidRDefault="002B18A7" w:rsidP="00D44A32">
      <w:pPr>
        <w:ind w:left="1134" w:right="567" w:hanging="567"/>
        <w:rPr>
          <w:kern w:val="28"/>
          <w:lang w:val="fr-FR"/>
        </w:rPr>
      </w:pPr>
    </w:p>
    <w:p w:rsidR="002B18A7" w:rsidRPr="00D44A32" w:rsidRDefault="0038694A" w:rsidP="00D44A32">
      <w:pPr>
        <w:ind w:left="1134" w:right="567"/>
        <w:rPr>
          <w:kern w:val="28"/>
          <w:lang w:val="fr-FR"/>
        </w:rPr>
      </w:pPr>
      <w:r w:rsidRPr="00D44A32">
        <w:rPr>
          <w:kern w:val="28"/>
          <w:lang w:val="fr-FR"/>
        </w:rPr>
        <w:t>Dénominations variétales (document CAJ/71/3)</w:t>
      </w:r>
    </w:p>
    <w:p w:rsidR="002B18A7" w:rsidRPr="00D44A32" w:rsidRDefault="002B18A7" w:rsidP="00D44A32">
      <w:pPr>
        <w:ind w:left="1701" w:right="567" w:hanging="567"/>
        <w:rPr>
          <w:kern w:val="28"/>
          <w:lang w:val="fr-FR"/>
        </w:rPr>
      </w:pPr>
    </w:p>
    <w:p w:rsidR="002B18A7" w:rsidRPr="00D44A32" w:rsidRDefault="0038694A" w:rsidP="00D44A32">
      <w:pPr>
        <w:ind w:left="1134" w:right="567"/>
        <w:rPr>
          <w:lang w:val="fr-FR"/>
        </w:rPr>
      </w:pPr>
      <w:r w:rsidRPr="00D44A32">
        <w:rPr>
          <w:lang w:val="fr-FR"/>
        </w:rPr>
        <w:t xml:space="preserve">Notes explicatives concernant les dénominations variétales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(le CAJ sera invité à envisager un plan pour la révision du document UPOV/INF/12/5)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8E620D" w:rsidP="00D44A32">
      <w:pPr>
        <w:rPr>
          <w:lang w:val="fr-FR"/>
        </w:rPr>
      </w:pPr>
      <w:r w:rsidRPr="00D44A32">
        <w:rPr>
          <w:rFonts w:cs="Arial"/>
          <w:spacing w:val="-2"/>
          <w:lang w:val="fr-FR"/>
        </w:rPr>
        <w:fldChar w:fldCharType="begin"/>
      </w:r>
      <w:r w:rsidRPr="00D44A32">
        <w:rPr>
          <w:rFonts w:cs="Arial"/>
          <w:spacing w:val="-2"/>
          <w:lang w:val="fr-FR"/>
        </w:rPr>
        <w:instrText xml:space="preserve"> AUTONUM  </w:instrText>
      </w:r>
      <w:r w:rsidRPr="00D44A32">
        <w:rPr>
          <w:rFonts w:cs="Arial"/>
          <w:spacing w:val="-2"/>
          <w:lang w:val="fr-FR"/>
        </w:rPr>
        <w:fldChar w:fldCharType="end"/>
      </w:r>
      <w:r w:rsidRPr="00D44A32">
        <w:rPr>
          <w:rFonts w:cs="Arial"/>
          <w:spacing w:val="-2"/>
          <w:lang w:val="fr-FR"/>
        </w:rPr>
        <w:tab/>
      </w:r>
      <w:r w:rsidR="00A15EE5" w:rsidRPr="00D44A32">
        <w:rPr>
          <w:rFonts w:cs="Arial"/>
          <w:spacing w:val="-2"/>
          <w:lang w:val="fr-FR"/>
        </w:rPr>
        <w:t>Le “C</w:t>
      </w:r>
      <w:r w:rsidR="0038694A" w:rsidRPr="00D44A32">
        <w:rPr>
          <w:rFonts w:cs="Arial"/>
          <w:spacing w:val="-2"/>
          <w:lang w:val="fr-FR"/>
        </w:rPr>
        <w:t xml:space="preserve">ompte rendu des </w:t>
      </w:r>
      <w:r w:rsidR="00625F49" w:rsidRPr="00D44A32">
        <w:rPr>
          <w:rFonts w:cs="Arial"/>
          <w:spacing w:val="-2"/>
          <w:lang w:val="fr-FR"/>
        </w:rPr>
        <w:t xml:space="preserve">conclusions” </w:t>
      </w:r>
      <w:r w:rsidR="001C03D4" w:rsidRPr="00D44A32">
        <w:rPr>
          <w:rFonts w:cs="Arial"/>
          <w:spacing w:val="-2"/>
          <w:lang w:val="fr-FR"/>
        </w:rPr>
        <w:t>établi</w:t>
      </w:r>
      <w:r w:rsidR="00625F49" w:rsidRPr="00D44A32">
        <w:rPr>
          <w:rFonts w:cs="Arial"/>
          <w:spacing w:val="-2"/>
          <w:lang w:val="fr-FR"/>
        </w:rPr>
        <w:t xml:space="preserve"> par le CAJ</w:t>
      </w:r>
      <w:r w:rsidR="00C42784" w:rsidRPr="00D44A32">
        <w:rPr>
          <w:rFonts w:cs="Arial"/>
          <w:spacing w:val="-2"/>
          <w:lang w:val="fr-FR"/>
        </w:rPr>
        <w:noBreakHyphen/>
      </w:r>
      <w:r w:rsidR="0038694A" w:rsidRPr="00D44A32">
        <w:rPr>
          <w:rFonts w:cs="Arial"/>
          <w:spacing w:val="-2"/>
          <w:lang w:val="fr-FR"/>
        </w:rPr>
        <w:t>AG à sa neuvi</w:t>
      </w:r>
      <w:r w:rsidR="0038694A" w:rsidRPr="00D44A32">
        <w:rPr>
          <w:spacing w:val="-2"/>
          <w:lang w:val="fr-FR"/>
        </w:rPr>
        <w:t>ème session</w:t>
      </w:r>
      <w:r w:rsidR="0038694A" w:rsidRPr="00D44A32">
        <w:rPr>
          <w:rFonts w:cs="Arial"/>
          <w:spacing w:val="-2"/>
          <w:lang w:val="fr-FR"/>
        </w:rPr>
        <w:t xml:space="preserve"> (document CAJ</w:t>
      </w:r>
      <w:r w:rsidR="00C42784" w:rsidRPr="00D44A32">
        <w:rPr>
          <w:rFonts w:cs="Arial"/>
          <w:spacing w:val="-2"/>
          <w:lang w:val="fr-FR"/>
        </w:rPr>
        <w:noBreakHyphen/>
      </w:r>
      <w:r w:rsidR="0038694A" w:rsidRPr="00D44A32">
        <w:rPr>
          <w:rFonts w:cs="Arial"/>
          <w:spacing w:val="-2"/>
          <w:lang w:val="fr-FR"/>
        </w:rPr>
        <w:t>AG/14/9/6) a été publié dans les parties du site Web de l</w:t>
      </w:r>
      <w:r w:rsidR="00A1605A" w:rsidRPr="00D44A32">
        <w:rPr>
          <w:rFonts w:cs="Arial"/>
          <w:spacing w:val="-2"/>
          <w:lang w:val="fr-FR"/>
        </w:rPr>
        <w:t>’</w:t>
      </w:r>
      <w:r w:rsidR="0038694A" w:rsidRPr="00D44A32">
        <w:rPr>
          <w:rFonts w:cs="Arial"/>
          <w:spacing w:val="-2"/>
          <w:lang w:val="fr-FR"/>
        </w:rPr>
        <w:t>UPOV consacr</w:t>
      </w:r>
      <w:r w:rsidR="00625F49" w:rsidRPr="00D44A32">
        <w:rPr>
          <w:rFonts w:cs="Arial"/>
          <w:spacing w:val="-2"/>
          <w:lang w:val="fr-FR"/>
        </w:rPr>
        <w:t>ées au CAJ</w:t>
      </w:r>
      <w:r w:rsidR="00C42784" w:rsidRPr="00D44A32">
        <w:rPr>
          <w:rFonts w:cs="Arial"/>
          <w:spacing w:val="-2"/>
          <w:lang w:val="fr-FR"/>
        </w:rPr>
        <w:noBreakHyphen/>
      </w:r>
      <w:r w:rsidR="00625F49" w:rsidRPr="00D44A32">
        <w:rPr>
          <w:rFonts w:cs="Arial"/>
          <w:spacing w:val="-2"/>
          <w:lang w:val="fr-FR"/>
        </w:rPr>
        <w:t>AG et à la soixante</w:t>
      </w:r>
      <w:r w:rsidR="00C42784" w:rsidRPr="00D44A32">
        <w:rPr>
          <w:rFonts w:cs="Arial"/>
          <w:spacing w:val="-2"/>
          <w:lang w:val="fr-FR"/>
        </w:rPr>
        <w:noBreakHyphen/>
      </w:r>
      <w:r w:rsidR="0038694A" w:rsidRPr="00D44A32">
        <w:rPr>
          <w:rFonts w:cs="Arial"/>
          <w:spacing w:val="-2"/>
          <w:lang w:val="fr-FR"/>
        </w:rPr>
        <w:t>neuvi</w:t>
      </w:r>
      <w:r w:rsidR="0038694A" w:rsidRPr="00D44A32">
        <w:rPr>
          <w:spacing w:val="-2"/>
          <w:lang w:val="fr-FR"/>
        </w:rPr>
        <w:t>ème session</w:t>
      </w:r>
      <w:r w:rsidR="0038694A" w:rsidRPr="00D44A32">
        <w:rPr>
          <w:rFonts w:cs="Arial"/>
          <w:spacing w:val="-2"/>
          <w:lang w:val="fr-FR"/>
        </w:rPr>
        <w:t xml:space="preserve"> du CAJ.</w:t>
      </w:r>
      <w:r w:rsidRPr="00D44A32">
        <w:rPr>
          <w:spacing w:val="-2"/>
          <w:lang w:val="fr-FR"/>
        </w:rPr>
        <w:t xml:space="preserve">  </w:t>
      </w:r>
      <w:r w:rsidR="00A64F21" w:rsidRPr="00D44A32">
        <w:rPr>
          <w:rFonts w:cs="Arial"/>
          <w:spacing w:val="-2"/>
          <w:lang w:val="fr-FR"/>
        </w:rPr>
        <w:t>Le compte rendu détaillé</w:t>
      </w:r>
      <w:r w:rsidR="00281AC7" w:rsidRPr="00D44A32">
        <w:rPr>
          <w:lang w:val="fr-FR"/>
        </w:rPr>
        <w:t xml:space="preserve">, </w:t>
      </w:r>
      <w:r w:rsidR="00A64F21" w:rsidRPr="00D44A32">
        <w:rPr>
          <w:lang w:val="fr-FR"/>
        </w:rPr>
        <w:t>qui reprend les délibéra</w:t>
      </w:r>
      <w:r w:rsidR="00A2670B" w:rsidRPr="00D44A32">
        <w:rPr>
          <w:lang w:val="fr-FR"/>
        </w:rPr>
        <w:t>t</w:t>
      </w:r>
      <w:r w:rsidR="00A64F21" w:rsidRPr="00D44A32">
        <w:rPr>
          <w:lang w:val="fr-FR"/>
        </w:rPr>
        <w:t xml:space="preserve">ions tenues en </w:t>
      </w:r>
      <w:r w:rsidRPr="00D44A32">
        <w:rPr>
          <w:lang w:val="fr-FR"/>
        </w:rPr>
        <w:t>pr</w:t>
      </w:r>
      <w:r w:rsidR="00A64F21" w:rsidRPr="00D44A32">
        <w:rPr>
          <w:lang w:val="fr-FR"/>
        </w:rPr>
        <w:t>é</w:t>
      </w:r>
      <w:r w:rsidRPr="00D44A32">
        <w:rPr>
          <w:lang w:val="fr-FR"/>
        </w:rPr>
        <w:t xml:space="preserve">sence </w:t>
      </w:r>
      <w:r w:rsidR="00A64F21" w:rsidRPr="00D44A32">
        <w:rPr>
          <w:lang w:val="fr-FR"/>
        </w:rPr>
        <w:t>des observateurs</w:t>
      </w:r>
      <w:r w:rsidR="00281AC7" w:rsidRPr="00D44A32">
        <w:rPr>
          <w:lang w:val="fr-FR"/>
        </w:rPr>
        <w:t>,</w:t>
      </w:r>
      <w:r w:rsidR="00281AC7" w:rsidRPr="00D44A32">
        <w:rPr>
          <w:bCs/>
          <w:lang w:val="fr-FR"/>
        </w:rPr>
        <w:t xml:space="preserve"> </w:t>
      </w:r>
      <w:r w:rsidR="00A2670B" w:rsidRPr="00D44A32">
        <w:rPr>
          <w:bCs/>
          <w:lang w:val="fr-FR"/>
        </w:rPr>
        <w:t>sera publié le 2</w:t>
      </w:r>
      <w:r w:rsidR="00A1605A" w:rsidRPr="00D44A32">
        <w:rPr>
          <w:bCs/>
          <w:lang w:val="fr-FR"/>
        </w:rPr>
        <w:t>5 mars 20</w:t>
      </w:r>
      <w:r w:rsidR="00281AC7" w:rsidRPr="00D44A32">
        <w:rPr>
          <w:bCs/>
          <w:lang w:val="fr-FR"/>
        </w:rPr>
        <w:t>15 (</w:t>
      </w:r>
      <w:r w:rsidR="00281AC7" w:rsidRPr="00D44A32">
        <w:rPr>
          <w:lang w:val="fr-FR"/>
        </w:rPr>
        <w:t>document CAJ</w:t>
      </w:r>
      <w:r w:rsidR="00C42784" w:rsidRPr="00D44A32">
        <w:rPr>
          <w:lang w:val="fr-FR"/>
        </w:rPr>
        <w:noBreakHyphen/>
      </w:r>
      <w:r w:rsidR="00281AC7" w:rsidRPr="00D44A32">
        <w:rPr>
          <w:lang w:val="fr-FR"/>
        </w:rPr>
        <w:t>AG/14/9/7)</w:t>
      </w:r>
      <w:r w:rsidR="00281AC7" w:rsidRPr="00D44A32">
        <w:rPr>
          <w:bCs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38694A" w:rsidP="00D44A32">
      <w:pPr>
        <w:pStyle w:val="Heading2"/>
        <w:rPr>
          <w:lang w:val="fr-FR"/>
        </w:rPr>
      </w:pPr>
      <w:bookmarkStart w:id="10" w:name="_Toc413318619"/>
      <w:bookmarkStart w:id="11" w:name="_Toc413404236"/>
      <w:r w:rsidRPr="00D44A32">
        <w:rPr>
          <w:lang w:val="fr-FR"/>
        </w:rPr>
        <w:t>Notes explicatives sur les variétés essentiellement dérivées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(révision) (document CAJ/71/2)</w:t>
      </w:r>
      <w:bookmarkEnd w:id="10"/>
      <w:bookmarkEnd w:id="11"/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4074C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A2670B" w:rsidRPr="00D44A32">
        <w:rPr>
          <w:rFonts w:eastAsia="MS Mincho" w:cs="Arial"/>
          <w:spacing w:val="-2"/>
          <w:lang w:val="fr-FR" w:eastAsia="ja-JP" w:bidi="th-TH"/>
        </w:rPr>
        <w:t>À sa neuvième</w:t>
      </w:r>
      <w:r w:rsidR="00365E0C" w:rsidRPr="00D44A32">
        <w:rPr>
          <w:rFonts w:eastAsia="MS Mincho" w:cs="Arial"/>
          <w:spacing w:val="-2"/>
          <w:lang w:val="fr-FR" w:eastAsia="ja-JP" w:bidi="th-TH"/>
        </w:rPr>
        <w:t> </w:t>
      </w:r>
      <w:r w:rsidR="00A2670B" w:rsidRPr="00D44A32">
        <w:rPr>
          <w:rFonts w:eastAsia="MS Mincho" w:cs="Arial"/>
          <w:spacing w:val="-2"/>
          <w:lang w:val="fr-FR" w:eastAsia="ja-JP" w:bidi="th-TH"/>
        </w:rPr>
        <w:t>session</w:t>
      </w:r>
      <w:r w:rsidRPr="00D44A32">
        <w:rPr>
          <w:rStyle w:val="FootnoteReference"/>
          <w:rFonts w:cs="Arial"/>
          <w:lang w:val="fr-FR"/>
        </w:rPr>
        <w:footnoteReference w:id="10"/>
      </w:r>
      <w:r w:rsidR="00A2670B" w:rsidRPr="00D44A32">
        <w:rPr>
          <w:rFonts w:eastAsia="MS Mincho" w:cs="Arial"/>
          <w:spacing w:val="-2"/>
          <w:lang w:val="fr-FR" w:eastAsia="ja-JP" w:bidi="th-TH"/>
        </w:rPr>
        <w:t>,</w:t>
      </w:r>
      <w:r w:rsidR="00A1605A" w:rsidRPr="00D44A32">
        <w:rPr>
          <w:rFonts w:eastAsia="MS Mincho" w:cs="Arial"/>
          <w:spacing w:val="-2"/>
          <w:lang w:val="fr-FR" w:eastAsia="ja-JP" w:bidi="th-TH"/>
        </w:rPr>
        <w:t xml:space="preserve"> le </w:t>
      </w:r>
      <w:r w:rsidR="00A1605A" w:rsidRPr="00D44A32">
        <w:rPr>
          <w:rFonts w:cs="Arial"/>
          <w:lang w:val="fr-FR"/>
        </w:rPr>
        <w:t>CAJ</w:t>
      </w:r>
      <w:r w:rsidR="00A2670B" w:rsidRPr="00D44A32">
        <w:rPr>
          <w:rFonts w:cs="Arial"/>
          <w:lang w:val="fr-FR"/>
        </w:rPr>
        <w:t>­A</w:t>
      </w:r>
      <w:r w:rsidR="00A15EE5" w:rsidRPr="00D44A32">
        <w:rPr>
          <w:rFonts w:cs="Arial"/>
          <w:lang w:val="fr-FR"/>
        </w:rPr>
        <w:t>G</w:t>
      </w:r>
      <w:r w:rsidR="00A2670B" w:rsidRPr="00D44A32">
        <w:rPr>
          <w:rFonts w:cs="Arial"/>
          <w:lang w:val="fr-FR"/>
        </w:rPr>
        <w:t xml:space="preserve"> a examiné les </w:t>
      </w:r>
      <w:r w:rsidRPr="00D44A32">
        <w:rPr>
          <w:lang w:val="fr-FR"/>
        </w:rPr>
        <w:t>documents C</w:t>
      </w:r>
      <w:r w:rsidR="00DB09CA" w:rsidRPr="00D44A32">
        <w:rPr>
          <w:lang w:val="fr-FR"/>
        </w:rPr>
        <w:t>AJ</w:t>
      </w:r>
      <w:r w:rsidR="00C42784" w:rsidRPr="00D44A32">
        <w:rPr>
          <w:lang w:val="fr-FR"/>
        </w:rPr>
        <w:noBreakHyphen/>
      </w:r>
      <w:r w:rsidR="00DB09CA" w:rsidRPr="00D44A32">
        <w:rPr>
          <w:lang w:val="fr-FR"/>
        </w:rPr>
        <w:t xml:space="preserve">AG/14/9/2 </w:t>
      </w:r>
      <w:r w:rsidR="00A2670B" w:rsidRPr="00D44A32">
        <w:rPr>
          <w:lang w:val="fr-FR"/>
        </w:rPr>
        <w:t>et</w:t>
      </w:r>
      <w:r w:rsidR="00DB09CA" w:rsidRPr="00D44A32">
        <w:rPr>
          <w:lang w:val="fr-FR"/>
        </w:rPr>
        <w:t xml:space="preserve"> UPOV/EXN/EDV/2 </w:t>
      </w:r>
      <w:r w:rsidR="002A2583" w:rsidRPr="00D44A32">
        <w:rPr>
          <w:lang w:val="fr-FR"/>
        </w:rPr>
        <w:t>Draft </w:t>
      </w:r>
      <w:r w:rsidRPr="00D44A32">
        <w:rPr>
          <w:lang w:val="fr-FR"/>
        </w:rPr>
        <w:t xml:space="preserve">5 </w:t>
      </w:r>
      <w:r w:rsidR="00A2670B" w:rsidRPr="00D44A32">
        <w:rPr>
          <w:lang w:val="fr-FR"/>
        </w:rPr>
        <w:t>ainsi que les points de vue exprimés par l</w:t>
      </w:r>
      <w:r w:rsidR="00A1605A" w:rsidRPr="00D44A32">
        <w:rPr>
          <w:lang w:val="fr-FR"/>
        </w:rPr>
        <w:t>’</w:t>
      </w:r>
      <w:r w:rsidR="00CA70DE" w:rsidRPr="00D44A32">
        <w:rPr>
          <w:lang w:val="fr-FR"/>
        </w:rPr>
        <w:t>Association internationale des producteurs de l</w:t>
      </w:r>
      <w:r w:rsidR="00A1605A" w:rsidRPr="00D44A32">
        <w:rPr>
          <w:lang w:val="fr-FR"/>
        </w:rPr>
        <w:t>’</w:t>
      </w:r>
      <w:r w:rsidR="00CA70DE" w:rsidRPr="00D44A32">
        <w:rPr>
          <w:lang w:val="fr-FR"/>
        </w:rPr>
        <w:t xml:space="preserve">horticulture </w:t>
      </w:r>
      <w:r w:rsidR="002A2583" w:rsidRPr="00D44A32">
        <w:rPr>
          <w:lang w:val="fr-FR"/>
        </w:rPr>
        <w:t>(AIPH)</w:t>
      </w:r>
      <w:r w:rsidRPr="00D44A32">
        <w:rPr>
          <w:lang w:val="fr-FR"/>
        </w:rPr>
        <w:t xml:space="preserve">, </w:t>
      </w:r>
      <w:r w:rsidR="00A2670B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="002A2583" w:rsidRPr="00D44A32">
        <w:rPr>
          <w:szCs w:val="26"/>
          <w:lang w:val="fr-FR"/>
        </w:rPr>
        <w:t>Association for Plant Breeding for the Benefit of Society (APBREBES)</w:t>
      </w:r>
      <w:r w:rsidRPr="00D44A32">
        <w:rPr>
          <w:lang w:val="fr-FR"/>
        </w:rPr>
        <w:t xml:space="preserve">, </w:t>
      </w:r>
      <w:r w:rsidR="00CA70DE" w:rsidRPr="00D44A32">
        <w:rPr>
          <w:lang w:val="fr-FR"/>
        </w:rPr>
        <w:lastRenderedPageBreak/>
        <w:t xml:space="preserve">la Communauté internationale des obtenteurs de plantes ornementales et fruitières de reproduction asexuée </w:t>
      </w:r>
      <w:r w:rsidR="002A2583" w:rsidRPr="00D44A32">
        <w:rPr>
          <w:lang w:val="fr-FR"/>
        </w:rPr>
        <w:t>(CIOPORA)</w:t>
      </w:r>
      <w:r w:rsidRPr="00D44A32">
        <w:rPr>
          <w:lang w:val="fr-FR"/>
        </w:rPr>
        <w:t xml:space="preserve">, </w:t>
      </w:r>
      <w:r w:rsidR="00CA70DE" w:rsidRPr="00D44A32">
        <w:rPr>
          <w:lang w:val="fr-FR"/>
        </w:rPr>
        <w:t>la</w:t>
      </w:r>
      <w:r w:rsidR="002A2583" w:rsidRPr="00D44A32">
        <w:rPr>
          <w:lang w:val="fr-FR"/>
        </w:rPr>
        <w:t xml:space="preserve"> European Seed Association (ESA)</w:t>
      </w:r>
      <w:r w:rsidRPr="00D44A32">
        <w:rPr>
          <w:lang w:val="fr-FR"/>
        </w:rPr>
        <w:t xml:space="preserve"> </w:t>
      </w:r>
      <w:r w:rsidR="00A15EE5" w:rsidRPr="00D44A32">
        <w:rPr>
          <w:lang w:val="fr-FR"/>
        </w:rPr>
        <w:t>et</w:t>
      </w:r>
      <w:r w:rsidR="00CA70DE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2A2583" w:rsidRPr="00D44A32">
        <w:rPr>
          <w:lang w:val="fr-FR"/>
        </w:rPr>
        <w:t>International Seed Federation (ISF)</w:t>
      </w:r>
      <w:r w:rsidRPr="00D44A32">
        <w:rPr>
          <w:rStyle w:val="FootnoteReference"/>
          <w:lang w:val="fr-FR"/>
        </w:rPr>
        <w:footnoteReference w:id="11"/>
      </w:r>
      <w:r w:rsidR="00CA70DE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4074C" w:rsidP="00C72A85">
      <w:pPr>
        <w:autoSpaceDE w:val="0"/>
        <w:autoSpaceDN w:val="0"/>
        <w:adjustRightInd w:val="0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CA70DE" w:rsidRPr="00D44A32">
        <w:rPr>
          <w:rFonts w:cs="Arial"/>
          <w:lang w:val="fr-FR"/>
        </w:rPr>
        <w:t>Le CAJ</w:t>
      </w:r>
      <w:r w:rsidR="00C42784" w:rsidRPr="00D44A32">
        <w:rPr>
          <w:rFonts w:cs="Arial"/>
          <w:lang w:val="fr-FR"/>
        </w:rPr>
        <w:noBreakHyphen/>
      </w:r>
      <w:r w:rsidR="00CA70DE" w:rsidRPr="00D44A32">
        <w:rPr>
          <w:rFonts w:cs="Arial"/>
          <w:lang w:val="fr-FR"/>
        </w:rPr>
        <w:t>AG a accueilli avec satisfaction l</w:t>
      </w:r>
      <w:r w:rsidR="00A1605A" w:rsidRPr="00D44A32">
        <w:rPr>
          <w:rFonts w:cs="Arial"/>
          <w:lang w:val="fr-FR"/>
        </w:rPr>
        <w:t>’</w:t>
      </w:r>
      <w:r w:rsidR="00CA70DE" w:rsidRPr="00D44A32">
        <w:rPr>
          <w:rFonts w:cs="Arial"/>
          <w:lang w:val="fr-FR"/>
        </w:rPr>
        <w:t>exposé de l</w:t>
      </w:r>
      <w:r w:rsidR="00A1605A" w:rsidRPr="00D44A32">
        <w:rPr>
          <w:rFonts w:cs="Arial"/>
          <w:lang w:val="fr-FR"/>
        </w:rPr>
        <w:t>’</w:t>
      </w:r>
      <w:r w:rsidR="00CA70DE" w:rsidRPr="00D44A32">
        <w:rPr>
          <w:rFonts w:cs="Arial"/>
          <w:lang w:val="fr-FR"/>
        </w:rPr>
        <w:t>Australie diffusé par voie électronique, via l</w:t>
      </w:r>
      <w:r w:rsidR="00A1605A" w:rsidRPr="00D44A32">
        <w:rPr>
          <w:rFonts w:cs="Arial"/>
          <w:lang w:val="fr-FR"/>
        </w:rPr>
        <w:t>’</w:t>
      </w:r>
      <w:r w:rsidR="00CA70DE" w:rsidRPr="00D44A32">
        <w:rPr>
          <w:rFonts w:cs="Arial"/>
          <w:lang w:val="fr-FR"/>
        </w:rPr>
        <w:t xml:space="preserve">Internet, </w:t>
      </w:r>
      <w:r w:rsidR="004D6B85" w:rsidRPr="00D44A32">
        <w:rPr>
          <w:rFonts w:cs="Arial"/>
          <w:lang w:val="fr-FR"/>
        </w:rPr>
        <w:t>qui contenai</w:t>
      </w:r>
      <w:r w:rsidR="00CA70DE" w:rsidRPr="00D44A32">
        <w:rPr>
          <w:rFonts w:cs="Arial"/>
          <w:lang w:val="fr-FR"/>
        </w:rPr>
        <w:t>t des renseignements supplémentaires sur le contexte des exemples donnés par l</w:t>
      </w:r>
      <w:r w:rsidR="00A1605A" w:rsidRPr="00D44A32">
        <w:rPr>
          <w:rFonts w:cs="Arial"/>
          <w:lang w:val="fr-FR"/>
        </w:rPr>
        <w:t>’</w:t>
      </w:r>
      <w:r w:rsidR="00CA70DE" w:rsidRPr="00D44A32">
        <w:rPr>
          <w:rFonts w:cs="Arial"/>
          <w:lang w:val="fr-FR"/>
        </w:rPr>
        <w:t>Australie au séminaire sur les variétés essentiellement dérivées</w:t>
      </w:r>
      <w:r w:rsidRPr="00D44A32">
        <w:rPr>
          <w:lang w:val="fr-FR"/>
        </w:rPr>
        <w:t>.</w:t>
      </w:r>
      <w:r w:rsidR="0073787A" w:rsidRPr="00D44A32">
        <w:rPr>
          <w:lang w:val="fr-FR"/>
        </w:rPr>
        <w:t xml:space="preserve"> </w:t>
      </w:r>
      <w:r w:rsidR="00CA70DE" w:rsidRPr="00D44A32">
        <w:rPr>
          <w:lang w:val="fr-FR"/>
        </w:rPr>
        <w:t xml:space="preserve"> </w:t>
      </w:r>
      <w:r w:rsidR="004D6B85" w:rsidRPr="00D44A32">
        <w:rPr>
          <w:lang w:val="fr-FR"/>
        </w:rPr>
        <w:t xml:space="preserve">Cet </w:t>
      </w:r>
      <w:r w:rsidR="00CA70DE" w:rsidRPr="00D44A32">
        <w:rPr>
          <w:lang w:val="fr-FR"/>
        </w:rPr>
        <w:t xml:space="preserve">exposé peut être consulté </w:t>
      </w:r>
      <w:r w:rsidR="00CF2903">
        <w:rPr>
          <w:lang w:val="fr-FR"/>
        </w:rPr>
        <w:t xml:space="preserve">dans la partie CAJ-AG/14 </w:t>
      </w:r>
      <w:r w:rsidR="00CA70DE" w:rsidRPr="00D44A32">
        <w:rPr>
          <w:lang w:val="fr-FR"/>
        </w:rPr>
        <w:t>du site</w:t>
      </w:r>
      <w:r w:rsidR="00365E0C" w:rsidRPr="00D44A32">
        <w:rPr>
          <w:lang w:val="fr-FR"/>
        </w:rPr>
        <w:t> </w:t>
      </w:r>
      <w:r w:rsidR="00CA70DE" w:rsidRPr="00D44A32">
        <w:rPr>
          <w:lang w:val="fr-FR"/>
        </w:rPr>
        <w:t>Web de l</w:t>
      </w:r>
      <w:r w:rsidR="00A1605A" w:rsidRPr="00D44A32">
        <w:rPr>
          <w:lang w:val="fr-FR"/>
        </w:rPr>
        <w:t>’</w:t>
      </w:r>
      <w:r w:rsidR="00CA70DE" w:rsidRPr="00D44A32">
        <w:rPr>
          <w:lang w:val="fr-FR"/>
        </w:rPr>
        <w:t>UPOV</w:t>
      </w:r>
      <w:r w:rsidR="0073787A" w:rsidRPr="00D44A32">
        <w:rPr>
          <w:rFonts w:eastAsia="MS Mincho" w:cs="Arial"/>
          <w:spacing w:val="-2"/>
          <w:lang w:val="fr-FR" w:eastAsia="ja-JP" w:bidi="th-TH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4074C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2B18A7" w:rsidRPr="00D44A32">
        <w:rPr>
          <w:lang w:val="fr-FR"/>
        </w:rPr>
        <w:t>Le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>AG a rappelé que, à sa huitième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>session, il était convenu d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envisager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élaboration d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orientations sur les questions soulevées dans les paragraphes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>15 à 18 du document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>AG/13/8/2 “Explanatory Notes on Essentially Derived Varieties under the 1991 Act of the UPOV Convention” (</w:t>
      </w:r>
      <w:r w:rsidR="004D6B85" w:rsidRPr="00D44A32">
        <w:rPr>
          <w:lang w:val="fr-FR"/>
        </w:rPr>
        <w:t>n</w:t>
      </w:r>
      <w:r w:rsidR="002B18A7" w:rsidRPr="00D44A32">
        <w:rPr>
          <w:lang w:val="fr-FR"/>
        </w:rPr>
        <w:t>otes explicatives sur les variétés essentiellement dérivées selon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="002B18A7" w:rsidRPr="00D44A32">
        <w:rPr>
          <w:lang w:val="fr-FR"/>
        </w:rPr>
        <w:t>), concernant le statut de variétés essentiellement dérivées qui ne bénéficient pas de la protection de plein droit, après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adoption du document révisé UPOV/EXN/EDV/2.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4074C" w:rsidP="00D44A32">
      <w:pPr>
        <w:spacing w:after="240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2B18A7" w:rsidRPr="00D44A32">
        <w:rPr>
          <w:lang w:val="fr-FR"/>
        </w:rPr>
        <w:t>Le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 xml:space="preserve">AG a </w:t>
      </w:r>
      <w:r w:rsidR="003E2ED5" w:rsidRPr="00D44A32">
        <w:rPr>
          <w:lang w:val="fr-FR"/>
        </w:rPr>
        <w:t>rappelé</w:t>
      </w:r>
      <w:r w:rsidR="004D6B85" w:rsidRPr="00D44A32">
        <w:rPr>
          <w:lang w:val="fr-FR"/>
        </w:rPr>
        <w:t xml:space="preserve"> que</w:t>
      </w:r>
      <w:r w:rsidR="00A1605A" w:rsidRPr="00D44A32">
        <w:rPr>
          <w:lang w:val="fr-FR"/>
        </w:rPr>
        <w:t xml:space="preserve"> le CAJ</w:t>
      </w:r>
      <w:r w:rsidR="00EA0530" w:rsidRPr="00D44A32">
        <w:rPr>
          <w:lang w:val="fr-FR"/>
        </w:rPr>
        <w:t xml:space="preserve"> examinerait l</w:t>
      </w:r>
      <w:r w:rsidR="002B18A7" w:rsidRPr="00D44A32">
        <w:rPr>
          <w:lang w:val="fr-FR"/>
        </w:rPr>
        <w:t xml:space="preserve">a conclusion </w:t>
      </w:r>
      <w:r w:rsidR="00EA0530" w:rsidRPr="00D44A32">
        <w:rPr>
          <w:lang w:val="fr-FR"/>
        </w:rPr>
        <w:t>qu</w:t>
      </w:r>
      <w:r w:rsidR="00A1605A" w:rsidRPr="00D44A32">
        <w:rPr>
          <w:lang w:val="fr-FR"/>
        </w:rPr>
        <w:t>’</w:t>
      </w:r>
      <w:r w:rsidR="00EA0530" w:rsidRPr="00D44A32">
        <w:rPr>
          <w:lang w:val="fr-FR"/>
        </w:rPr>
        <w:t xml:space="preserve">il a </w:t>
      </w:r>
      <w:r w:rsidR="002B18A7" w:rsidRPr="00D44A32">
        <w:rPr>
          <w:lang w:val="fr-FR"/>
        </w:rPr>
        <w:t>adoptée à sa huitième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>session</w:t>
      </w:r>
      <w:r w:rsidR="00EA0530" w:rsidRPr="00D44A32">
        <w:rPr>
          <w:lang w:val="fr-FR"/>
        </w:rPr>
        <w:t>,</w:t>
      </w:r>
      <w:r w:rsidR="002B18A7" w:rsidRPr="00D44A32">
        <w:rPr>
          <w:lang w:val="fr-FR"/>
        </w:rPr>
        <w:t xml:space="preserve"> </w:t>
      </w:r>
      <w:r w:rsidR="004D6B85" w:rsidRPr="00D44A32">
        <w:rPr>
          <w:lang w:val="fr-FR"/>
        </w:rPr>
        <w:t>selon laquelle</w:t>
      </w:r>
      <w:r w:rsidR="002B18A7" w:rsidRPr="00D44A32">
        <w:rPr>
          <w:lang w:val="fr-FR"/>
        </w:rPr>
        <w:t xml:space="preserve">, </w:t>
      </w:r>
      <w:r w:rsidR="00E35513" w:rsidRPr="00D44A32">
        <w:rPr>
          <w:lang w:val="fr-FR"/>
        </w:rPr>
        <w:t>lors d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une future session appropriée, les délégations de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Australie, du Brésil</w:t>
      </w:r>
      <w:r w:rsidR="00827378" w:rsidRPr="00D44A32">
        <w:rPr>
          <w:lang w:val="fr-FR"/>
        </w:rPr>
        <w:t>,</w:t>
      </w:r>
      <w:r w:rsidR="002B18A7" w:rsidRPr="00D44A32">
        <w:rPr>
          <w:lang w:val="fr-FR"/>
        </w:rPr>
        <w:t xml:space="preserve"> de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Union européenne et d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autres membres de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Union seraient invitées à faire des exposés sur leurs systèmes concernant les variétés essentiellement dérivées.</w:t>
      </w:r>
    </w:p>
    <w:p w:rsidR="002B18A7" w:rsidRPr="00D44A32" w:rsidRDefault="00F4074C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2B18A7" w:rsidRPr="00D44A32">
        <w:rPr>
          <w:lang w:val="fr-FR"/>
        </w:rPr>
        <w:t>Le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>AG a noté que les questions concernant le rôle éventuel de l</w:t>
      </w:r>
      <w:r w:rsidR="00A1605A" w:rsidRPr="00D44A32">
        <w:rPr>
          <w:lang w:val="fr-FR"/>
        </w:rPr>
        <w:t>’</w:t>
      </w:r>
      <w:r w:rsidR="002B18A7" w:rsidRPr="00D44A32">
        <w:rPr>
          <w:lang w:val="fr-FR"/>
        </w:rPr>
        <w:t>UPOV dans les mécanismes extrajudiciaires de règlement des litiges et la proposition figurant dans le document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 xml:space="preserve">AG/14/9/3 “Possible alternative dispute settlement mechanisms for essentially derived varieties” </w:t>
      </w:r>
      <w:r w:rsidR="00E35513" w:rsidRPr="00D44A32">
        <w:rPr>
          <w:lang w:val="fr-FR"/>
        </w:rPr>
        <w:t xml:space="preserve">(mécanismes extajudiciaires potentiels de règlement des litiges pour les variétés essentiellement dérivées) </w:t>
      </w:r>
      <w:r w:rsidR="002B18A7" w:rsidRPr="00D44A32">
        <w:rPr>
          <w:lang w:val="fr-FR"/>
        </w:rPr>
        <w:t>seraient transmises</w:t>
      </w:r>
      <w:r w:rsidR="00A1605A" w:rsidRPr="00D44A32">
        <w:rPr>
          <w:lang w:val="fr-FR"/>
        </w:rPr>
        <w:t xml:space="preserve"> au CAJ</w:t>
      </w:r>
      <w:r w:rsidR="002B18A7" w:rsidRPr="00D44A32">
        <w:rPr>
          <w:lang w:val="fr-FR"/>
        </w:rPr>
        <w:t xml:space="preserve"> pour examen à sa soixante et onzième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 xml:space="preserve">session en </w:t>
      </w:r>
      <w:r w:rsidR="00A1605A" w:rsidRPr="00D44A32">
        <w:rPr>
          <w:lang w:val="fr-FR"/>
        </w:rPr>
        <w:t>mars 20</w:t>
      </w:r>
      <w:r w:rsidR="002B18A7" w:rsidRPr="00D44A32">
        <w:rPr>
          <w:lang w:val="fr-FR"/>
        </w:rPr>
        <w:t>15.</w:t>
      </w:r>
      <w:r w:rsidRPr="00D44A32">
        <w:rPr>
          <w:lang w:val="fr-FR"/>
        </w:rPr>
        <w:t xml:space="preserve"> </w:t>
      </w:r>
      <w:r w:rsidR="00365E0C" w:rsidRPr="00D44A32">
        <w:rPr>
          <w:lang w:val="fr-FR"/>
        </w:rPr>
        <w:t xml:space="preserve"> </w:t>
      </w:r>
      <w:r w:rsidR="002B18A7" w:rsidRPr="00D44A32">
        <w:rPr>
          <w:lang w:val="fr-FR"/>
        </w:rPr>
        <w:t>La proposition figurant dans le document CAJ</w:t>
      </w:r>
      <w:r w:rsidR="00C42784" w:rsidRPr="00D44A32">
        <w:rPr>
          <w:lang w:val="fr-FR"/>
        </w:rPr>
        <w:noBreakHyphen/>
      </w:r>
      <w:r w:rsidR="002B18A7" w:rsidRPr="00D44A32">
        <w:rPr>
          <w:lang w:val="fr-FR"/>
        </w:rPr>
        <w:t>AG/14/9/3 est la suivante</w:t>
      </w:r>
      <w:r w:rsidR="00365E0C" w:rsidRPr="00D44A32">
        <w:rPr>
          <w:lang w:val="fr-FR"/>
        </w:rPr>
        <w:t> </w:t>
      </w:r>
      <w:r w:rsidR="002B18A7" w:rsidRPr="00D44A32">
        <w:rPr>
          <w:lang w:val="fr-FR"/>
        </w:rPr>
        <w:t>:</w:t>
      </w:r>
    </w:p>
    <w:p w:rsidR="002B18A7" w:rsidRPr="00D44A32" w:rsidRDefault="002B18A7" w:rsidP="00D44A32">
      <w:pPr>
        <w:rPr>
          <w:snapToGrid w:val="0"/>
          <w:lang w:val="fr-FR"/>
        </w:rPr>
      </w:pPr>
    </w:p>
    <w:p w:rsidR="002B18A7" w:rsidRPr="00D44A32" w:rsidRDefault="00B82CA5" w:rsidP="00D44A32">
      <w:pPr>
        <w:ind w:left="567" w:right="567"/>
        <w:rPr>
          <w:snapToGrid w:val="0"/>
          <w:sz w:val="18"/>
          <w:szCs w:val="18"/>
          <w:lang w:val="fr-FR"/>
        </w:rPr>
      </w:pPr>
      <w:r w:rsidRPr="00D44A32">
        <w:rPr>
          <w:snapToGrid w:val="0"/>
          <w:sz w:val="18"/>
          <w:szCs w:val="18"/>
          <w:lang w:val="fr-FR"/>
        </w:rPr>
        <w:t>“6.</w:t>
      </w:r>
      <w:r w:rsidRPr="00D44A32">
        <w:rPr>
          <w:snapToGrid w:val="0"/>
          <w:sz w:val="18"/>
          <w:szCs w:val="18"/>
          <w:lang w:val="fr-FR"/>
        </w:rPr>
        <w:tab/>
      </w:r>
      <w:r w:rsidR="00EC31F5" w:rsidRPr="00D44A32">
        <w:rPr>
          <w:snapToGrid w:val="0"/>
          <w:sz w:val="18"/>
          <w:szCs w:val="18"/>
          <w:lang w:val="fr-FR"/>
        </w:rPr>
        <w:t>Ensuite</w:t>
      </w:r>
      <w:r w:rsidRPr="00D44A32">
        <w:rPr>
          <w:snapToGrid w:val="0"/>
          <w:sz w:val="18"/>
          <w:szCs w:val="18"/>
          <w:lang w:val="fr-FR"/>
        </w:rPr>
        <w:t>,</w:t>
      </w:r>
      <w:r w:rsidR="00A1605A" w:rsidRPr="00D44A32">
        <w:rPr>
          <w:snapToGrid w:val="0"/>
          <w:sz w:val="18"/>
          <w:szCs w:val="18"/>
          <w:lang w:val="fr-FR"/>
        </w:rPr>
        <w:t xml:space="preserve"> le CAJ</w:t>
      </w:r>
      <w:r w:rsidR="00C42784" w:rsidRPr="00D44A32">
        <w:rPr>
          <w:snapToGrid w:val="0"/>
          <w:sz w:val="18"/>
          <w:szCs w:val="18"/>
          <w:lang w:val="fr-FR"/>
        </w:rPr>
        <w:noBreakHyphen/>
      </w:r>
      <w:r w:rsidRPr="00D44A32">
        <w:rPr>
          <w:snapToGrid w:val="0"/>
          <w:sz w:val="18"/>
          <w:szCs w:val="18"/>
          <w:lang w:val="fr-FR"/>
        </w:rPr>
        <w:t>AG souhaitera peut</w:t>
      </w:r>
      <w:r w:rsidR="00C42784" w:rsidRPr="00D44A32">
        <w:rPr>
          <w:snapToGrid w:val="0"/>
          <w:sz w:val="18"/>
          <w:szCs w:val="18"/>
          <w:lang w:val="fr-FR"/>
        </w:rPr>
        <w:noBreakHyphen/>
      </w:r>
      <w:r w:rsidRPr="00D44A32">
        <w:rPr>
          <w:snapToGrid w:val="0"/>
          <w:sz w:val="18"/>
          <w:szCs w:val="18"/>
          <w:lang w:val="fr-FR"/>
        </w:rPr>
        <w:t>être envisager la possibilité d</w:t>
      </w:r>
      <w:r w:rsidR="00EA0530" w:rsidRPr="00D44A32">
        <w:rPr>
          <w:snapToGrid w:val="0"/>
          <w:sz w:val="18"/>
          <w:szCs w:val="18"/>
          <w:lang w:val="fr-FR"/>
        </w:rPr>
        <w:t>e demander au Bureau de l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EA0530" w:rsidRPr="00D44A32">
        <w:rPr>
          <w:snapToGrid w:val="0"/>
          <w:sz w:val="18"/>
          <w:szCs w:val="18"/>
          <w:lang w:val="fr-FR"/>
        </w:rPr>
        <w:t>Union </w:t>
      </w:r>
      <w:r w:rsidRPr="00D44A32">
        <w:rPr>
          <w:snapToGrid w:val="0"/>
          <w:sz w:val="18"/>
          <w:szCs w:val="18"/>
          <w:lang w:val="fr-FR"/>
        </w:rPr>
        <w:t>:</w:t>
      </w:r>
    </w:p>
    <w:p w:rsidR="002B18A7" w:rsidRPr="00D44A32" w:rsidRDefault="002B18A7" w:rsidP="00D44A32">
      <w:pPr>
        <w:ind w:left="567" w:right="567"/>
        <w:rPr>
          <w:snapToGrid w:val="0"/>
          <w:sz w:val="18"/>
          <w:szCs w:val="18"/>
          <w:lang w:val="fr-FR"/>
        </w:rPr>
      </w:pPr>
    </w:p>
    <w:p w:rsidR="00A1605A" w:rsidRPr="00D44A32" w:rsidRDefault="00FD2F4F" w:rsidP="00D44A32">
      <w:pPr>
        <w:ind w:left="567" w:right="567"/>
        <w:rPr>
          <w:snapToGrid w:val="0"/>
          <w:sz w:val="18"/>
          <w:szCs w:val="18"/>
          <w:lang w:val="fr-FR"/>
        </w:rPr>
      </w:pPr>
      <w:r w:rsidRPr="00D44A32">
        <w:rPr>
          <w:snapToGrid w:val="0"/>
          <w:sz w:val="18"/>
          <w:szCs w:val="18"/>
          <w:lang w:val="fr-FR"/>
        </w:rPr>
        <w:tab/>
      </w:r>
      <w:r w:rsidR="00B82CA5" w:rsidRPr="00D44A32">
        <w:rPr>
          <w:snapToGrid w:val="0"/>
          <w:sz w:val="18"/>
          <w:szCs w:val="18"/>
          <w:lang w:val="fr-FR"/>
        </w:rPr>
        <w:t>i)</w:t>
      </w:r>
      <w:r w:rsidR="00B82CA5" w:rsidRPr="00D44A32">
        <w:rPr>
          <w:snapToGrid w:val="0"/>
          <w:sz w:val="18"/>
          <w:szCs w:val="18"/>
          <w:lang w:val="fr-FR"/>
        </w:rPr>
        <w:tab/>
        <w:t>d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B82CA5" w:rsidRPr="00D44A32">
        <w:rPr>
          <w:snapToGrid w:val="0"/>
          <w:sz w:val="18"/>
          <w:szCs w:val="18"/>
          <w:lang w:val="fr-FR"/>
        </w:rPr>
        <w:t>organiser une réunion pour échanger des données d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B82CA5" w:rsidRPr="00D44A32">
        <w:rPr>
          <w:snapToGrid w:val="0"/>
          <w:sz w:val="18"/>
          <w:szCs w:val="18"/>
          <w:lang w:val="fr-FR"/>
        </w:rPr>
        <w:t>information avec</w:t>
      </w:r>
      <w:r w:rsidR="00A1605A" w:rsidRPr="00D44A32">
        <w:rPr>
          <w:snapToGrid w:val="0"/>
          <w:sz w:val="18"/>
          <w:szCs w:val="18"/>
          <w:lang w:val="fr-FR"/>
        </w:rPr>
        <w:t xml:space="preserve"> la CIO</w:t>
      </w:r>
      <w:r w:rsidR="00B82CA5" w:rsidRPr="00D44A32">
        <w:rPr>
          <w:snapToGrid w:val="0"/>
          <w:sz w:val="18"/>
          <w:szCs w:val="18"/>
          <w:lang w:val="fr-FR"/>
        </w:rPr>
        <w:t>PORA, l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E35513" w:rsidRPr="00D44A32">
        <w:rPr>
          <w:snapToGrid w:val="0"/>
          <w:sz w:val="18"/>
          <w:szCs w:val="18"/>
          <w:lang w:val="fr-FR"/>
        </w:rPr>
        <w:t>ISF et l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E35513" w:rsidRPr="00D44A32">
        <w:rPr>
          <w:snapToGrid w:val="0"/>
          <w:sz w:val="18"/>
          <w:szCs w:val="18"/>
          <w:lang w:val="fr-FR"/>
        </w:rPr>
        <w:t>OMPI en vue d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E35513" w:rsidRPr="00D44A32">
        <w:rPr>
          <w:snapToGrid w:val="0"/>
          <w:sz w:val="18"/>
          <w:szCs w:val="18"/>
          <w:lang w:val="fr-FR"/>
        </w:rPr>
        <w:t xml:space="preserve">étudier </w:t>
      </w:r>
      <w:r w:rsidR="00B82CA5" w:rsidRPr="00D44A32">
        <w:rPr>
          <w:snapToGrid w:val="0"/>
          <w:sz w:val="18"/>
          <w:szCs w:val="18"/>
          <w:lang w:val="fr-FR"/>
        </w:rPr>
        <w:t>le rôle que l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B82CA5" w:rsidRPr="00D44A32">
        <w:rPr>
          <w:snapToGrid w:val="0"/>
          <w:sz w:val="18"/>
          <w:szCs w:val="18"/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A1605A" w:rsidRPr="00D44A32">
        <w:rPr>
          <w:snapToGrid w:val="0"/>
          <w:sz w:val="18"/>
          <w:szCs w:val="18"/>
          <w:lang w:val="fr-FR"/>
        </w:rPr>
        <w:t>y compris</w:t>
      </w:r>
      <w:r w:rsidR="00B82CA5" w:rsidRPr="00D44A32">
        <w:rPr>
          <w:snapToGrid w:val="0"/>
          <w:sz w:val="18"/>
          <w:szCs w:val="18"/>
          <w:lang w:val="fr-FR"/>
        </w:rPr>
        <w:t xml:space="preserve"> la mise à disposition d</w:t>
      </w:r>
      <w:r w:rsidR="00A1605A" w:rsidRPr="00D44A32">
        <w:rPr>
          <w:snapToGrid w:val="0"/>
          <w:sz w:val="18"/>
          <w:szCs w:val="18"/>
          <w:lang w:val="fr-FR"/>
        </w:rPr>
        <w:t>’</w:t>
      </w:r>
      <w:r w:rsidR="00B82CA5" w:rsidRPr="00D44A32">
        <w:rPr>
          <w:snapToGrid w:val="0"/>
          <w:sz w:val="18"/>
          <w:szCs w:val="18"/>
          <w:lang w:val="fr-FR"/>
        </w:rPr>
        <w:t>experts concernant les questions relatives aux variétés essentiellement dérivées;  et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FD2F4F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ab/>
      </w:r>
      <w:r w:rsidR="00E35513" w:rsidRPr="00D44A32">
        <w:rPr>
          <w:sz w:val="18"/>
          <w:szCs w:val="18"/>
          <w:lang w:val="fr-FR"/>
        </w:rPr>
        <w:t xml:space="preserve">ii) </w:t>
      </w:r>
      <w:r w:rsidR="00E35513" w:rsidRPr="00D44A32">
        <w:rPr>
          <w:sz w:val="18"/>
          <w:szCs w:val="18"/>
          <w:lang w:val="fr-FR"/>
        </w:rPr>
        <w:tab/>
        <w:t>de</w:t>
      </w:r>
      <w:r w:rsidR="00B82CA5" w:rsidRPr="00D44A32">
        <w:rPr>
          <w:sz w:val="18"/>
          <w:szCs w:val="18"/>
          <w:lang w:val="fr-FR"/>
        </w:rPr>
        <w:t xml:space="preserve"> lui présenter un compte rendu à sa dixième</w:t>
      </w:r>
      <w:r w:rsidR="00365E0C" w:rsidRPr="00D44A32">
        <w:rPr>
          <w:sz w:val="18"/>
          <w:szCs w:val="18"/>
          <w:lang w:val="fr-FR"/>
        </w:rPr>
        <w:t> </w:t>
      </w:r>
      <w:r w:rsidR="00B82CA5" w:rsidRPr="00D44A32">
        <w:rPr>
          <w:sz w:val="18"/>
          <w:szCs w:val="18"/>
          <w:lang w:val="fr-FR"/>
        </w:rPr>
        <w:t xml:space="preserve">session en </w:t>
      </w:r>
      <w:r w:rsidR="00A1605A" w:rsidRPr="00D44A32">
        <w:rPr>
          <w:sz w:val="18"/>
          <w:szCs w:val="18"/>
          <w:lang w:val="fr-FR"/>
        </w:rPr>
        <w:t>octobre 20</w:t>
      </w:r>
      <w:r w:rsidR="00B82CA5" w:rsidRPr="00D44A32">
        <w:rPr>
          <w:sz w:val="18"/>
          <w:szCs w:val="18"/>
          <w:lang w:val="fr-FR"/>
        </w:rPr>
        <w:t>15</w:t>
      </w:r>
      <w:r w:rsidR="00365E0C" w:rsidRPr="00D44A32">
        <w:rPr>
          <w:sz w:val="18"/>
          <w:szCs w:val="18"/>
          <w:lang w:val="fr-FR"/>
        </w:rPr>
        <w:t>”</w:t>
      </w:r>
      <w:r w:rsidR="00B82CA5" w:rsidRPr="00D44A32">
        <w:rPr>
          <w:sz w:val="18"/>
          <w:szCs w:val="18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D2F4F" w:rsidP="00D44A32">
      <w:pPr>
        <w:rPr>
          <w:snapToGrid w:val="0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B82CA5" w:rsidRPr="00D44A32">
        <w:rPr>
          <w:lang w:val="fr-FR"/>
        </w:rPr>
        <w:t>Il est proposé d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examiner le rôle éventuel de l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UPOV dans les mécanismes extrajudiciaires de règlement des litiges et la proposition d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organiser une réunion pour échanger des données d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information avec</w:t>
      </w:r>
      <w:r w:rsidR="00A1605A" w:rsidRPr="00D44A32">
        <w:rPr>
          <w:lang w:val="fr-FR"/>
        </w:rPr>
        <w:t xml:space="preserve"> la CIO</w:t>
      </w:r>
      <w:r w:rsidR="00B82CA5" w:rsidRPr="00D44A32">
        <w:rPr>
          <w:lang w:val="fr-FR"/>
        </w:rPr>
        <w:t>PORA, l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ISF et l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OMPI en vue d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étudier le rôle que l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A1605A" w:rsidRPr="00D44A32">
        <w:rPr>
          <w:lang w:val="fr-FR"/>
        </w:rPr>
        <w:t>y compris</w:t>
      </w:r>
      <w:r w:rsidR="00B82CA5" w:rsidRPr="00D44A32">
        <w:rPr>
          <w:lang w:val="fr-FR"/>
        </w:rPr>
        <w:t xml:space="preserve"> la mise à disposition d</w:t>
      </w:r>
      <w:r w:rsidR="00A1605A" w:rsidRPr="00D44A32">
        <w:rPr>
          <w:lang w:val="fr-FR"/>
        </w:rPr>
        <w:t>’</w:t>
      </w:r>
      <w:r w:rsidR="00B82CA5" w:rsidRPr="00D44A32">
        <w:rPr>
          <w:lang w:val="fr-FR"/>
        </w:rPr>
        <w:t>experts concernant les questions relatives aux variétés essentiellement dérivées, à la soixante</w:t>
      </w:r>
      <w:r w:rsidR="00C42784" w:rsidRPr="00D44A32">
        <w:rPr>
          <w:lang w:val="fr-FR"/>
        </w:rPr>
        <w:noBreakHyphen/>
      </w:r>
      <w:r w:rsidR="00B82CA5"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="00B82CA5" w:rsidRPr="00D44A32">
        <w:rPr>
          <w:lang w:val="fr-FR"/>
        </w:rPr>
        <w:t>session</w:t>
      </w:r>
      <w:r w:rsidR="00A1605A" w:rsidRPr="00D44A32">
        <w:rPr>
          <w:lang w:val="fr-FR"/>
        </w:rPr>
        <w:t xml:space="preserve"> du CAJ</w:t>
      </w:r>
      <w:r w:rsidR="00B82CA5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F4074C" w:rsidP="00D44A32">
      <w:pPr>
        <w:keepNext/>
        <w:rPr>
          <w:rFonts w:cs="Arial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B82CA5" w:rsidRPr="00D44A32">
        <w:rPr>
          <w:lang w:val="fr-FR"/>
        </w:rPr>
        <w:t>Le CAJ</w:t>
      </w:r>
      <w:r w:rsidR="00C42784" w:rsidRPr="00D44A32">
        <w:rPr>
          <w:lang w:val="fr-FR"/>
        </w:rPr>
        <w:noBreakHyphen/>
      </w:r>
      <w:r w:rsidR="00B82CA5" w:rsidRPr="00D44A32">
        <w:rPr>
          <w:lang w:val="fr-FR"/>
        </w:rPr>
        <w:t>AG est convenu de modifier le document UPOV/EXN/EDV/2 Draft 5 comme suit</w:t>
      </w:r>
      <w:r w:rsidR="00365E0C" w:rsidRPr="00D44A32">
        <w:rPr>
          <w:lang w:val="fr-FR"/>
        </w:rPr>
        <w:t> </w:t>
      </w:r>
      <w:r w:rsidR="00B82CA5" w:rsidRPr="00D44A32">
        <w:rPr>
          <w:lang w:val="fr-FR"/>
        </w:rPr>
        <w:t>:</w:t>
      </w:r>
    </w:p>
    <w:p w:rsidR="00F4074C" w:rsidRPr="00D44A32" w:rsidRDefault="00F4074C" w:rsidP="00D44A32">
      <w:pPr>
        <w:keepNext/>
        <w:rPr>
          <w:rFonts w:cs="Arial"/>
          <w:lang w:val="fr-FR"/>
        </w:rPr>
      </w:pPr>
    </w:p>
    <w:tbl>
      <w:tblPr>
        <w:tblW w:w="9180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645"/>
        <w:gridCol w:w="7535"/>
      </w:tblGrid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2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La deuxième phrase doit être libellée comme suit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snapToGrid w:val="0"/>
                <w:lang w:val="fr-FR"/>
              </w:rPr>
            </w:pPr>
          </w:p>
          <w:p w:rsidR="002B18A7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“L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 xml:space="preserve">objectif </w:t>
            </w:r>
            <w:r w:rsidRPr="00D44A32">
              <w:rPr>
                <w:strike/>
                <w:snapToGrid w:val="0"/>
                <w:lang w:val="fr-FR"/>
              </w:rPr>
              <w:t>des</w:t>
            </w:r>
            <w:r w:rsidRPr="00D44A32">
              <w:rPr>
                <w:snapToGrid w:val="0"/>
                <w:lang w:val="fr-FR"/>
              </w:rPr>
              <w:t xml:space="preserve"> de </w:t>
            </w:r>
            <w:r w:rsidRPr="00D44A32">
              <w:rPr>
                <w:snapToGrid w:val="0"/>
                <w:u w:val="single"/>
                <w:lang w:val="fr-FR"/>
              </w:rPr>
              <w:t>ces</w:t>
            </w:r>
            <w:r w:rsidRPr="00D44A32">
              <w:rPr>
                <w:snapToGrid w:val="0"/>
                <w:lang w:val="fr-FR"/>
              </w:rPr>
              <w:t xml:space="preserve"> orientations […]”</w:t>
            </w:r>
          </w:p>
          <w:p w:rsidR="002B18A7" w:rsidRPr="00D44A32" w:rsidRDefault="002B18A7" w:rsidP="00D44A32">
            <w:pPr>
              <w:rPr>
                <w:snapToGrid w:val="0"/>
                <w:lang w:val="fr-FR"/>
              </w:rPr>
            </w:pPr>
          </w:p>
          <w:p w:rsidR="00A1605A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Supprimer la troisième phrase</w:t>
            </w:r>
            <w:r w:rsidR="00625F49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:</w:t>
            </w:r>
          </w:p>
          <w:p w:rsidR="00F4074C" w:rsidRPr="00D44A32" w:rsidRDefault="0038694A" w:rsidP="00D44A32">
            <w:pPr>
              <w:rPr>
                <w:strike/>
                <w:snapToGrid w:val="0"/>
                <w:lang w:val="fr-FR"/>
              </w:rPr>
            </w:pPr>
            <w:r w:rsidRPr="00D44A32">
              <w:rPr>
                <w:strike/>
                <w:snapToGrid w:val="0"/>
                <w:lang w:val="fr-FR"/>
              </w:rPr>
              <w:t>“Les orientations sont destinées aux autorités chargées d</w:t>
            </w:r>
            <w:r w:rsidR="00A1605A" w:rsidRPr="00D44A32">
              <w:rPr>
                <w:strike/>
                <w:snapToGrid w:val="0"/>
                <w:lang w:val="fr-FR"/>
              </w:rPr>
              <w:t>’</w:t>
            </w:r>
            <w:r w:rsidRPr="00D44A32">
              <w:rPr>
                <w:strike/>
                <w:snapToGrid w:val="0"/>
                <w:lang w:val="fr-FR"/>
              </w:rPr>
              <w:t>octroyer des droits d</w:t>
            </w:r>
            <w:r w:rsidR="00A1605A" w:rsidRPr="00D44A32">
              <w:rPr>
                <w:strike/>
                <w:snapToGrid w:val="0"/>
                <w:lang w:val="fr-FR"/>
              </w:rPr>
              <w:t>’</w:t>
            </w:r>
            <w:r w:rsidRPr="00D44A32">
              <w:rPr>
                <w:strike/>
                <w:snapToGrid w:val="0"/>
                <w:lang w:val="fr-FR"/>
              </w:rPr>
              <w:t>obtenteur qui ont compétence en matière de variétés essentiellement dérivées;  aux obtenteurs, agriculteurs, cultivateurs et autres parties prenantes;  et organes concernés chargés de résoudre des différends en cas de litige, de médiation ou d</w:t>
            </w:r>
            <w:r w:rsidR="00A1605A" w:rsidRPr="00D44A32">
              <w:rPr>
                <w:strike/>
                <w:snapToGrid w:val="0"/>
                <w:lang w:val="fr-FR"/>
              </w:rPr>
              <w:t>’</w:t>
            </w:r>
            <w:r w:rsidRPr="00D44A32">
              <w:rPr>
                <w:strike/>
                <w:snapToGrid w:val="0"/>
                <w:lang w:val="fr-FR"/>
              </w:rPr>
              <w:t>arbitrage”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lastRenderedPageBreak/>
              <w:t>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6</w:t>
            </w:r>
            <w:r w:rsidR="00F4074C" w:rsidRPr="00D44A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autoSpaceDE w:val="0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Libeller comme suit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2B18A7" w:rsidRPr="00D44A32" w:rsidRDefault="002B18A7" w:rsidP="00D44A32">
            <w:pPr>
              <w:autoSpaceDE w:val="0"/>
              <w:rPr>
                <w:rFonts w:cs="Arial"/>
                <w:lang w:val="fr-FR"/>
              </w:rPr>
            </w:pPr>
          </w:p>
          <w:p w:rsidR="002B18A7" w:rsidRPr="00D44A32" w:rsidRDefault="0038694A" w:rsidP="00D44A32">
            <w:pPr>
              <w:autoSpaceDE w:val="0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“6.</w:t>
            </w:r>
            <w:r w:rsidRPr="00D44A32">
              <w:rPr>
                <w:rFonts w:cs="Arial"/>
                <w:lang w:val="fr-FR"/>
              </w:rPr>
              <w:tab/>
              <w:t>Les alinéas ci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Pr="00D44A32">
              <w:rPr>
                <w:rFonts w:cs="Arial"/>
                <w:lang w:val="fr-FR"/>
              </w:rPr>
              <w:t xml:space="preserve">après pourraient être pris en compte pour ce qui est de la notion de </w:t>
            </w:r>
            <w:r w:rsidR="00A1605A" w:rsidRPr="00D44A32">
              <w:rPr>
                <w:rFonts w:cs="Arial"/>
                <w:lang w:val="fr-FR"/>
              </w:rPr>
              <w:t>‘</w:t>
            </w:r>
            <w:r w:rsidRPr="00D44A32">
              <w:rPr>
                <w:rFonts w:cs="Arial"/>
                <w:lang w:val="fr-FR"/>
              </w:rPr>
              <w:t>caractères essentiels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2B18A7" w:rsidRPr="00D44A32" w:rsidRDefault="007519A7" w:rsidP="00D44A32">
            <w:pPr>
              <w:ind w:left="567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38694A" w:rsidRPr="00D44A32">
              <w:rPr>
                <w:rFonts w:cs="Arial"/>
                <w:lang w:val="fr-FR"/>
              </w:rPr>
              <w:t>i)</w:t>
            </w:r>
            <w:r w:rsidR="0038694A" w:rsidRPr="00D44A32">
              <w:rPr>
                <w:rFonts w:cs="Arial"/>
                <w:lang w:val="fr-FR"/>
              </w:rPr>
              <w:tab/>
              <w:t xml:space="preserve">les caractères essentiels, </w:t>
            </w:r>
            <w:r w:rsidR="00A1605A" w:rsidRPr="00D44A32">
              <w:rPr>
                <w:rFonts w:cs="Arial"/>
                <w:lang w:val="fr-FR"/>
              </w:rPr>
              <w:t>à l’égard</w:t>
            </w:r>
            <w:r w:rsidR="0038694A" w:rsidRPr="00D44A32">
              <w:rPr>
                <w:rFonts w:cs="Arial"/>
                <w:lang w:val="fr-FR"/>
              </w:rPr>
              <w:t xml:space="preserve">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une variété végétale, désignent les caractères héréditaires déterminés par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expression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un ou de plusieurs gènes,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autres déterminants héréditaires qui contribuent aux caractéristiques principales, aux performances ou à la valeur de la variété;</w:t>
            </w:r>
          </w:p>
          <w:p w:rsidR="002B18A7" w:rsidRPr="00D44A32" w:rsidRDefault="002B18A7" w:rsidP="00D44A32">
            <w:pPr>
              <w:ind w:left="567"/>
              <w:rPr>
                <w:rFonts w:cs="Arial"/>
                <w:lang w:val="fr-FR"/>
              </w:rPr>
            </w:pPr>
          </w:p>
          <w:p w:rsidR="002B18A7" w:rsidRPr="00D44A32" w:rsidRDefault="007519A7" w:rsidP="00D44A32">
            <w:pPr>
              <w:ind w:left="567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38694A" w:rsidRPr="00D44A32">
              <w:rPr>
                <w:rFonts w:cs="Arial"/>
                <w:lang w:val="fr-FR"/>
              </w:rPr>
              <w:t>ii)</w:t>
            </w:r>
            <w:r w:rsidR="0038694A" w:rsidRPr="00D44A32">
              <w:rPr>
                <w:rFonts w:cs="Arial"/>
                <w:lang w:val="fr-FR"/>
              </w:rPr>
              <w:tab/>
              <w:t>les caractères qui sont importants du point de vue du producteur, du vendeur, du fournisseur, de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acheteur, du destinataire ou de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utilisateur;</w:t>
            </w:r>
          </w:p>
          <w:p w:rsidR="002B18A7" w:rsidRPr="00D44A32" w:rsidRDefault="002B18A7" w:rsidP="00D44A32">
            <w:pPr>
              <w:ind w:left="567"/>
              <w:rPr>
                <w:rFonts w:cs="Arial"/>
                <w:lang w:val="fr-FR"/>
              </w:rPr>
            </w:pPr>
          </w:p>
          <w:p w:rsidR="002B18A7" w:rsidRPr="00D44A32" w:rsidRDefault="007519A7" w:rsidP="00D44A32">
            <w:pPr>
              <w:ind w:left="567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38694A" w:rsidRPr="00D44A32">
              <w:rPr>
                <w:rFonts w:cs="Arial"/>
                <w:lang w:val="fr-FR"/>
              </w:rPr>
              <w:t>iii)</w:t>
            </w:r>
            <w:r w:rsidR="0038694A" w:rsidRPr="00D44A32">
              <w:rPr>
                <w:rFonts w:cs="Arial"/>
                <w:lang w:val="fr-FR"/>
              </w:rPr>
              <w:tab/>
              <w:t xml:space="preserve">les caractères qui sont essentiels pour la variété dans son ensemble, </w:t>
            </w:r>
            <w:r w:rsidR="00A1605A" w:rsidRPr="00D44A32">
              <w:rPr>
                <w:rFonts w:cs="Arial"/>
                <w:lang w:val="fr-FR"/>
              </w:rPr>
              <w:t>y compris</w:t>
            </w:r>
            <w:r w:rsidR="0038694A" w:rsidRPr="00D44A32">
              <w:rPr>
                <w:rFonts w:cs="Arial"/>
                <w:lang w:val="fr-FR"/>
              </w:rPr>
              <w:t>, par exemple</w:t>
            </w:r>
            <w:r w:rsidR="001129EA" w:rsidRPr="00D44A32">
              <w:rPr>
                <w:rFonts w:cs="Arial"/>
                <w:lang w:val="fr-FR"/>
              </w:rPr>
              <w:t>,</w:t>
            </w:r>
            <w:r w:rsidR="0038694A" w:rsidRPr="00D44A32">
              <w:rPr>
                <w:rFonts w:cs="Arial"/>
                <w:lang w:val="fr-FR"/>
              </w:rPr>
              <w:t xml:space="preserve"> les caractères morphologiques, physiologiques, agronomiques, industriels et biochimiques;</w:t>
            </w:r>
          </w:p>
          <w:p w:rsidR="002B18A7" w:rsidRPr="00D44A32" w:rsidRDefault="002B18A7" w:rsidP="00D44A32">
            <w:pPr>
              <w:ind w:left="567"/>
              <w:rPr>
                <w:rFonts w:cs="Arial"/>
                <w:lang w:val="fr-FR"/>
              </w:rPr>
            </w:pPr>
          </w:p>
          <w:p w:rsidR="002B18A7" w:rsidRPr="00D44A32" w:rsidRDefault="007519A7" w:rsidP="00D44A32">
            <w:pPr>
              <w:ind w:left="567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38694A" w:rsidRPr="00D44A32">
              <w:rPr>
                <w:rFonts w:cs="Arial"/>
                <w:lang w:val="fr-FR"/>
              </w:rPr>
              <w:t>iv)</w:t>
            </w:r>
            <w:r w:rsidR="0038694A" w:rsidRPr="00D44A32">
              <w:rPr>
                <w:rFonts w:cs="Arial"/>
                <w:lang w:val="fr-FR"/>
              </w:rPr>
              <w:tab/>
              <w:t>les caractères essentiels peuvent être ou ne pas être des caractères phénotypiques utilisés pour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examen de la distinction, de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38694A" w:rsidRPr="00D44A32">
              <w:rPr>
                <w:rFonts w:cs="Arial"/>
                <w:lang w:val="fr-FR"/>
              </w:rPr>
              <w:t>homogénéité et de la stabilité (DHS);</w:t>
            </w:r>
          </w:p>
          <w:p w:rsidR="002B18A7" w:rsidRPr="00D44A32" w:rsidRDefault="002B18A7" w:rsidP="00D44A32">
            <w:pPr>
              <w:ind w:left="567"/>
              <w:rPr>
                <w:rFonts w:cs="Arial"/>
                <w:lang w:val="fr-FR"/>
              </w:rPr>
            </w:pPr>
          </w:p>
          <w:p w:rsidR="002B18A7" w:rsidRPr="00D44A32" w:rsidRDefault="007519A7" w:rsidP="00D44A32">
            <w:pPr>
              <w:ind w:left="567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38694A" w:rsidRPr="00D44A32">
              <w:rPr>
                <w:rFonts w:cs="Arial"/>
                <w:lang w:val="fr-FR"/>
              </w:rPr>
              <w:t>v)</w:t>
            </w:r>
            <w:r w:rsidR="0038694A" w:rsidRPr="00D44A32">
              <w:rPr>
                <w:rFonts w:cs="Arial"/>
                <w:lang w:val="fr-FR"/>
              </w:rPr>
              <w:tab/>
              <w:t>les caractères essentiels ne se limitent pas aux caractères qui sont liés uniquement à une grande performance ou valeur (la résistance aux maladies par exemple peut être considérée comme un caractère essentiel lorsque la variété est vulnérable aux maladies);</w:t>
            </w:r>
          </w:p>
          <w:p w:rsidR="002B18A7" w:rsidRPr="00D44A32" w:rsidRDefault="002B18A7" w:rsidP="00D44A32">
            <w:pPr>
              <w:ind w:left="567"/>
              <w:rPr>
                <w:rFonts w:cs="Arial"/>
                <w:lang w:val="fr-FR"/>
              </w:rPr>
            </w:pPr>
          </w:p>
          <w:p w:rsidR="00F4074C" w:rsidRPr="00D44A32" w:rsidRDefault="007519A7" w:rsidP="00D44A32">
            <w:pPr>
              <w:ind w:left="567"/>
              <w:rPr>
                <w:lang w:val="fr-FR"/>
              </w:rPr>
            </w:pPr>
            <w:r w:rsidRPr="00D44A32">
              <w:rPr>
                <w:lang w:val="fr-FR"/>
              </w:rPr>
              <w:t>“</w:t>
            </w:r>
            <w:r w:rsidR="0038694A" w:rsidRPr="00D44A32">
              <w:rPr>
                <w:lang w:val="fr-FR"/>
              </w:rPr>
              <w:t>vi)</w:t>
            </w:r>
            <w:r w:rsidR="0038694A" w:rsidRPr="00D44A32">
              <w:rPr>
                <w:lang w:val="fr-FR"/>
              </w:rPr>
              <w:tab/>
              <w:t>les caractères essentiels peuvent être différents dans différentes cultures/espèces.</w:t>
            </w:r>
            <w:r w:rsidR="005E237C" w:rsidRPr="00D44A32">
              <w:rPr>
                <w:lang w:val="fr-FR"/>
              </w:rPr>
              <w:t>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7</w:t>
            </w:r>
          </w:p>
        </w:tc>
        <w:tc>
          <w:tcPr>
            <w:tcW w:w="7535" w:type="dxa"/>
          </w:tcPr>
          <w:p w:rsidR="00F4074C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Supprimer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8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>Libeller comme suit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lang w:val="fr-FR"/>
              </w:rPr>
            </w:pPr>
          </w:p>
          <w:p w:rsidR="00F4074C" w:rsidRPr="00D44A32" w:rsidRDefault="0038694A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>“8.</w:t>
            </w:r>
            <w:r w:rsidRPr="00D44A32">
              <w:rPr>
                <w:lang w:val="fr-FR"/>
              </w:rPr>
              <w:tab/>
              <w:t xml:space="preserve">La phrase </w:t>
            </w:r>
            <w:r w:rsidR="00A1605A" w:rsidRPr="00D44A32">
              <w:rPr>
                <w:lang w:val="fr-FR"/>
              </w:rPr>
              <w:t>‘</w:t>
            </w:r>
            <w:r w:rsidRPr="00D44A32">
              <w:rPr>
                <w:lang w:val="fr-FR"/>
              </w:rPr>
              <w:t>elles se distinguent nettement de la variété initiale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 xml:space="preserve"> signifie que les variétés essentiellement dérivées concernent uniquement les variétés qui se distinguent nettement de la variété initiale protégée conformément à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article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7 et qui peuvent par conséquent faire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objet d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une protection.</w:t>
            </w:r>
            <w:r w:rsidR="00F4074C" w:rsidRPr="00D44A32">
              <w:rPr>
                <w:lang w:val="fr-FR"/>
              </w:rPr>
              <w:t xml:space="preserve">  </w:t>
            </w:r>
            <w:r w:rsidRPr="00D44A32">
              <w:rPr>
                <w:lang w:val="fr-FR"/>
              </w:rPr>
              <w:t>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article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14.5)a)ii) s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 xml:space="preserve">appliquerait si la variété </w:t>
            </w:r>
            <w:r w:rsidR="00A1605A" w:rsidRPr="00D44A32">
              <w:rPr>
                <w:lang w:val="fr-FR"/>
              </w:rPr>
              <w:t>‘</w:t>
            </w:r>
            <w:r w:rsidRPr="00D44A32">
              <w:rPr>
                <w:lang w:val="fr-FR"/>
              </w:rPr>
              <w:t>ne se distingue pas nettement selon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article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7 de la variété protégée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.</w:t>
            </w:r>
            <w:r w:rsidR="005E237C" w:rsidRPr="00D44A32">
              <w:rPr>
                <w:lang w:val="fr-FR"/>
              </w:rPr>
              <w:t>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10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Libeller comme suit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snapToGrid w:val="0"/>
                <w:lang w:val="fr-FR"/>
              </w:rPr>
            </w:pPr>
          </w:p>
          <w:p w:rsidR="00F4074C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“10.</w:t>
            </w:r>
            <w:r w:rsidRPr="00D44A32">
              <w:rPr>
                <w:snapToGrid w:val="0"/>
                <w:lang w:val="fr-FR"/>
              </w:rPr>
              <w:tab/>
              <w:t xml:space="preserve">Les mots </w:t>
            </w:r>
            <w:r w:rsidR="00A1605A" w:rsidRPr="00D44A32">
              <w:rPr>
                <w:snapToGrid w:val="0"/>
                <w:lang w:val="fr-FR"/>
              </w:rPr>
              <w:t>‘</w:t>
            </w:r>
            <w:r w:rsidRPr="00D44A32">
              <w:rPr>
                <w:snapToGrid w:val="0"/>
                <w:lang w:val="fr-FR"/>
              </w:rPr>
              <w:t>sauf en ce qui concerne les différences résultant de la dérivation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 xml:space="preserve"> ne </w:t>
            </w:r>
            <w:r w:rsidR="00503756" w:rsidRPr="00D44A32">
              <w:rPr>
                <w:snapToGrid w:val="0"/>
                <w:lang w:val="fr-FR"/>
              </w:rPr>
              <w:t>fixent</w:t>
            </w:r>
            <w:r w:rsidRPr="00D44A32">
              <w:rPr>
                <w:snapToGrid w:val="0"/>
                <w:lang w:val="fr-FR"/>
              </w:rPr>
              <w:t xml:space="preserve"> pas une limite à la différence qui peut exister lorsqu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une variété est considérée comme une variété essentiellement dérivée.</w:t>
            </w:r>
            <w:r w:rsidR="00F4074C" w:rsidRPr="00D44A32">
              <w:rPr>
                <w:lang w:val="fr-FR"/>
              </w:rPr>
              <w:t xml:space="preserve">  </w:t>
            </w:r>
            <w:r w:rsidRPr="00D44A32">
              <w:rPr>
                <w:snapToGrid w:val="0"/>
                <w:lang w:val="fr-FR"/>
              </w:rPr>
              <w:t>Une limite est cependant fixée par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article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14.5)b)i) et iii).</w:t>
            </w:r>
            <w:r w:rsidR="00F4074C" w:rsidRPr="00D44A32">
              <w:rPr>
                <w:lang w:val="fr-FR"/>
              </w:rPr>
              <w:t xml:space="preserve">  </w:t>
            </w:r>
            <w:r w:rsidRPr="00D44A32">
              <w:rPr>
                <w:snapToGrid w:val="0"/>
                <w:lang w:val="fr-FR"/>
              </w:rPr>
              <w:t xml:space="preserve">Les différences ne doivent pas être telles que la variété échoue </w:t>
            </w:r>
            <w:r w:rsidR="00A1605A" w:rsidRPr="00D44A32">
              <w:rPr>
                <w:snapToGrid w:val="0"/>
                <w:lang w:val="fr-FR"/>
              </w:rPr>
              <w:t>‘</w:t>
            </w:r>
            <w:r w:rsidRPr="00D44A32">
              <w:rPr>
                <w:snapToGrid w:val="0"/>
                <w:lang w:val="fr-FR"/>
              </w:rPr>
              <w:t>à conserver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expression des caractères essentiels qui résultent du génotype ou de la combinaison de génotypes de la variété initiale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.”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11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Libeller comme suit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F4074C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“11.</w:t>
            </w:r>
            <w:r w:rsidRPr="00D44A32">
              <w:rPr>
                <w:rFonts w:cs="Arial"/>
                <w:lang w:val="fr-FR"/>
              </w:rPr>
              <w:tab/>
              <w:t>Les exemples donnés dans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article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14.5)c) montrent clairement que les différences résultant de la dérivation doivent être au nombre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une ou très peu.</w:t>
            </w:r>
            <w:r w:rsidR="00F4074C" w:rsidRPr="00D44A32">
              <w:rPr>
                <w:lang w:val="fr-FR"/>
              </w:rPr>
              <w:t xml:space="preserve">  </w:t>
            </w:r>
            <w:r w:rsidRPr="00D44A32">
              <w:rPr>
                <w:rFonts w:cs="Arial"/>
                <w:lang w:val="fr-FR"/>
              </w:rPr>
              <w:t>Toutefois, s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il n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y a qu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une différence ou peu de différences, cela ne signifie pas nécessairement qu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une variété est essentiellement dérivée.</w:t>
            </w:r>
            <w:r w:rsidR="00F4074C" w:rsidRPr="00D44A32">
              <w:rPr>
                <w:lang w:val="fr-FR"/>
              </w:rPr>
              <w:t xml:space="preserve">  </w:t>
            </w:r>
            <w:r w:rsidRPr="00D44A32">
              <w:rPr>
                <w:rFonts w:cs="Arial"/>
                <w:lang w:val="fr-FR"/>
              </w:rPr>
              <w:t>La variété devrait également réunir les critères applicables à la définition énoncée dans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article</w:t>
            </w:r>
            <w:r w:rsidR="007519A7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14.5)b).”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Nouveau paragraphe après le 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11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Insérer la citation suivante dans le 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11 qui serait un nouveau 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F4074C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“12.</w:t>
            </w:r>
            <w:r w:rsidRPr="00D44A32">
              <w:rPr>
                <w:rFonts w:cs="Arial"/>
                <w:lang w:val="fr-FR"/>
              </w:rPr>
              <w:tab/>
              <w:t>La variété dérivée doit conserver la quasi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Pr="00D44A32">
              <w:rPr>
                <w:rFonts w:cs="Arial"/>
                <w:lang w:val="fr-FR"/>
              </w:rPr>
              <w:t>totalité du génotype de la variété mère et se distinguer de cette variété par un nombre très limité de caractères (généralement par un caractère).”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lastRenderedPageBreak/>
              <w:t>Réinsérer le titre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F4074C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Mode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obtention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14</w:t>
            </w:r>
          </w:p>
        </w:tc>
        <w:tc>
          <w:tcPr>
            <w:tcW w:w="7535" w:type="dxa"/>
          </w:tcPr>
          <w:p w:rsidR="002B18A7" w:rsidRPr="00D44A32" w:rsidRDefault="007519A7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Libeller comme suit :</w:t>
            </w:r>
          </w:p>
          <w:p w:rsidR="002B18A7" w:rsidRPr="00D44A32" w:rsidRDefault="002B18A7" w:rsidP="00D44A32">
            <w:pPr>
              <w:rPr>
                <w:lang w:val="fr-FR"/>
              </w:rPr>
            </w:pPr>
          </w:p>
          <w:p w:rsidR="00F4074C" w:rsidRPr="00D44A32" w:rsidRDefault="0038694A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 xml:space="preserve">“Il est nécessaire de prendre en </w:t>
            </w:r>
            <w:r w:rsidR="001129EA" w:rsidRPr="00D44A32">
              <w:rPr>
                <w:lang w:val="fr-FR"/>
              </w:rPr>
              <w:t xml:space="preserve">considération </w:t>
            </w:r>
            <w:r w:rsidRPr="00D44A32">
              <w:rPr>
                <w:lang w:val="fr-FR"/>
              </w:rPr>
              <w:t>la situation de différentes cultures et espèces ainsi que le mode d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obtention lorsqu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on détermine les variétés essentiellement dérivées.”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20</w:t>
            </w:r>
          </w:p>
        </w:tc>
        <w:tc>
          <w:tcPr>
            <w:tcW w:w="7535" w:type="dxa"/>
          </w:tcPr>
          <w:p w:rsidR="00F4074C" w:rsidRPr="00D44A32" w:rsidRDefault="0038694A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>Attendre la proposition conjointe de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ESA et de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ISF.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21</w:t>
            </w:r>
          </w:p>
        </w:tc>
        <w:tc>
          <w:tcPr>
            <w:tcW w:w="7535" w:type="dxa"/>
          </w:tcPr>
          <w:p w:rsidR="00F4074C" w:rsidRPr="00D44A32" w:rsidRDefault="0038694A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 xml:space="preserve">Ajouter une note indiquant que le texte en </w:t>
            </w:r>
            <w:r w:rsidR="00EA0530" w:rsidRPr="00D44A32">
              <w:rPr>
                <w:strike/>
                <w:lang w:val="fr-FR"/>
              </w:rPr>
              <w:t>l</w:t>
            </w:r>
            <w:r w:rsidR="00A1605A" w:rsidRPr="00D44A32">
              <w:rPr>
                <w:strike/>
                <w:lang w:val="fr-FR"/>
              </w:rPr>
              <w:t>’</w:t>
            </w:r>
            <w:r w:rsidRPr="00D44A32">
              <w:rPr>
                <w:lang w:val="fr-FR"/>
              </w:rPr>
              <w:t>état n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était pas acceptable mais que de nouvelles propositions devraient être examinées.</w:t>
            </w:r>
            <w:r w:rsidR="00F4074C" w:rsidRPr="00D44A32">
              <w:rPr>
                <w:lang w:val="fr-FR"/>
              </w:rPr>
              <w:t xml:space="preserve">  </w:t>
            </w:r>
            <w:r w:rsidR="001129EA" w:rsidRPr="00D44A32">
              <w:rPr>
                <w:lang w:val="fr-FR"/>
              </w:rPr>
              <w:t>Indiqu</w:t>
            </w:r>
            <w:r w:rsidR="00EA0530" w:rsidRPr="00D44A32">
              <w:rPr>
                <w:lang w:val="fr-FR"/>
              </w:rPr>
              <w:t>er</w:t>
            </w:r>
            <w:r w:rsidRPr="00D44A32">
              <w:rPr>
                <w:lang w:val="fr-FR"/>
              </w:rPr>
              <w:t xml:space="preserve"> le texte existant biff</w:t>
            </w:r>
            <w:r w:rsidR="001129EA" w:rsidRPr="00D44A32">
              <w:rPr>
                <w:lang w:val="fr-FR"/>
              </w:rPr>
              <w:t>é</w:t>
            </w:r>
            <w:r w:rsidRPr="00D44A32">
              <w:rPr>
                <w:lang w:val="fr-FR"/>
              </w:rPr>
              <w:t>.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29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Libeller comme suit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snapToGrid w:val="0"/>
                <w:lang w:val="fr-FR"/>
              </w:rPr>
            </w:pPr>
          </w:p>
          <w:p w:rsidR="00F4074C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“29.</w:t>
            </w:r>
            <w:r w:rsidRPr="00D44A32">
              <w:rPr>
                <w:snapToGrid w:val="0"/>
                <w:lang w:val="fr-FR"/>
              </w:rPr>
              <w:tab/>
              <w:t>Aussi bien la dérivation principale (p.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ex. preuve de la conformité génétique avec la variété initiale) que la conformité avec les caractères essentiels (p.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ex. preuve de la conformité dans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expression des caractères essentiels de la variété initiale) sont des points de départ possibles pour indiquer qu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une variété pourrait être essentiellement dérivée de la variété initiale</w:t>
            </w:r>
            <w:r w:rsidR="005E237C" w:rsidRPr="00D44A32">
              <w:rPr>
                <w:snapToGrid w:val="0"/>
                <w:lang w:val="fr-FR"/>
              </w:rPr>
              <w:t>.</w:t>
            </w:r>
            <w:r w:rsidRPr="00D44A32">
              <w:rPr>
                <w:snapToGrid w:val="0"/>
                <w:lang w:val="fr-FR"/>
              </w:rPr>
              <w:t>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Paragraphe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30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2B18A7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Libeller comme suit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snapToGrid w:val="0"/>
                <w:lang w:val="fr-FR"/>
              </w:rPr>
            </w:pPr>
          </w:p>
          <w:p w:rsidR="00F4074C" w:rsidRPr="00D44A32" w:rsidRDefault="00625F49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“30.</w:t>
            </w:r>
            <w:r w:rsidRPr="00D44A32">
              <w:rPr>
                <w:snapToGrid w:val="0"/>
                <w:lang w:val="fr-FR"/>
              </w:rPr>
              <w:tab/>
            </w:r>
            <w:r w:rsidR="0038694A" w:rsidRPr="00D44A32">
              <w:rPr>
                <w:snapToGrid w:val="0"/>
                <w:lang w:val="fr-FR"/>
              </w:rPr>
              <w:t>Dans certaines situations, les informations pertinentes fournies par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obtenteur de la variété initiale sur la dérivation principale ou la conformité des caractères essentiels pourraient être utilisées comme la base du renversement de la charge de la preuve.</w:t>
            </w:r>
            <w:r w:rsidR="00F4074C" w:rsidRPr="00D44A32">
              <w:rPr>
                <w:snapToGrid w:val="0"/>
                <w:lang w:val="fr-FR"/>
              </w:rPr>
              <w:t xml:space="preserve">  </w:t>
            </w:r>
            <w:r w:rsidR="0038694A" w:rsidRPr="00D44A32">
              <w:rPr>
                <w:snapToGrid w:val="0"/>
                <w:lang w:val="fr-FR"/>
              </w:rPr>
              <w:t>Dans de telles situations,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autre obtenteur pourrait devoir prouver que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autre variété n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est pas essentiellement dérivée de la variété initiale.</w:t>
            </w:r>
            <w:r w:rsidR="00F4074C" w:rsidRPr="00D44A32">
              <w:rPr>
                <w:snapToGrid w:val="0"/>
                <w:lang w:val="fr-FR"/>
              </w:rPr>
              <w:t xml:space="preserve">  </w:t>
            </w:r>
            <w:r w:rsidR="0038694A" w:rsidRPr="00D44A32">
              <w:rPr>
                <w:snapToGrid w:val="0"/>
                <w:lang w:val="fr-FR"/>
              </w:rPr>
              <w:t>C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est ainsi par exemple qu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il devrait fournir des informations sur les antécédents de sélection de la deuxième variété pour prouver que la variété n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était pas dérivée de la variété initiale</w:t>
            </w:r>
            <w:r w:rsidR="005E237C" w:rsidRPr="00D44A32">
              <w:rPr>
                <w:snapToGrid w:val="0"/>
                <w:lang w:val="fr-FR"/>
              </w:rPr>
              <w:t>.</w:t>
            </w:r>
            <w:r w:rsidR="0038694A" w:rsidRPr="00D44A32">
              <w:rPr>
                <w:snapToGrid w:val="0"/>
                <w:lang w:val="fr-FR"/>
              </w:rPr>
              <w:t>”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Section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II</w:t>
            </w:r>
          </w:p>
        </w:tc>
        <w:tc>
          <w:tcPr>
            <w:tcW w:w="7535" w:type="dxa"/>
          </w:tcPr>
          <w:p w:rsidR="00F4074C" w:rsidRPr="00D44A32" w:rsidRDefault="005E237C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Préciser le but de la section </w:t>
            </w:r>
            <w:r w:rsidR="0038694A" w:rsidRPr="00D44A32">
              <w:rPr>
                <w:snapToGrid w:val="0"/>
                <w:lang w:val="fr-FR"/>
              </w:rPr>
              <w:t>II dans les parties pertinentes du document et</w:t>
            </w:r>
            <w:r w:rsidR="00EA0530" w:rsidRPr="00D44A32">
              <w:rPr>
                <w:snapToGrid w:val="0"/>
                <w:lang w:val="fr-FR"/>
              </w:rPr>
              <w:t xml:space="preserve"> notamment </w:t>
            </w:r>
            <w:r w:rsidR="0038694A" w:rsidRPr="00D44A32">
              <w:rPr>
                <w:snapToGrid w:val="0"/>
                <w:lang w:val="fr-FR"/>
              </w:rPr>
              <w:t xml:space="preserve">la question de savoir si une variété est une variété essentiellement protégée et </w:t>
            </w:r>
            <w:r w:rsidR="001129EA" w:rsidRPr="00D44A32">
              <w:rPr>
                <w:snapToGrid w:val="0"/>
                <w:lang w:val="fr-FR"/>
              </w:rPr>
              <w:t>non</w:t>
            </w:r>
            <w:r w:rsidR="0038694A" w:rsidRPr="00D44A32">
              <w:rPr>
                <w:snapToGrid w:val="0"/>
                <w:lang w:val="fr-FR"/>
              </w:rPr>
              <w:t xml:space="preserve"> si elle peut faire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objet d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="0038694A" w:rsidRPr="00D44A32">
              <w:rPr>
                <w:snapToGrid w:val="0"/>
                <w:lang w:val="fr-FR"/>
              </w:rPr>
              <w:t>une protection.</w:t>
            </w:r>
          </w:p>
        </w:tc>
      </w:tr>
      <w:tr w:rsidR="00D44A32" w:rsidRPr="00D44A32" w:rsidTr="005E237C">
        <w:trPr>
          <w:cantSplit/>
        </w:trPr>
        <w:tc>
          <w:tcPr>
            <w:tcW w:w="1645" w:type="dxa"/>
          </w:tcPr>
          <w:p w:rsidR="00F4074C" w:rsidRPr="00D44A32" w:rsidRDefault="0038694A" w:rsidP="00D44A32">
            <w:pPr>
              <w:jc w:val="left"/>
              <w:rPr>
                <w:lang w:val="fr-FR"/>
              </w:rPr>
            </w:pPr>
            <w:r w:rsidRPr="00D44A32">
              <w:rPr>
                <w:lang w:val="fr-FR"/>
              </w:rPr>
              <w:t>Nouvelle proposition</w:t>
            </w:r>
            <w:r w:rsidR="00F4074C" w:rsidRPr="00D44A32">
              <w:rPr>
                <w:lang w:val="fr-FR"/>
              </w:rPr>
              <w:t xml:space="preserve"> </w:t>
            </w:r>
          </w:p>
        </w:tc>
        <w:tc>
          <w:tcPr>
            <w:tcW w:w="7535" w:type="dxa"/>
          </w:tcPr>
          <w:p w:rsidR="00F4074C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Élaborer dans le projet suivant des orientations pour préciser si la variété initiale ou la variété essentiellement dérivée n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est pas protégée ou est protégée sur un autre territoire.</w:t>
            </w:r>
          </w:p>
        </w:tc>
      </w:tr>
    </w:tbl>
    <w:p w:rsidR="002B18A7" w:rsidRPr="00D44A32" w:rsidRDefault="002B18A7" w:rsidP="00D44A32">
      <w:pPr>
        <w:rPr>
          <w:lang w:val="fr-FR"/>
        </w:rPr>
      </w:pPr>
    </w:p>
    <w:p w:rsidR="002B18A7" w:rsidRPr="00D44A32" w:rsidRDefault="00006A57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FA6FC2" w:rsidRPr="00D44A32">
        <w:rPr>
          <w:lang w:val="fr-FR"/>
        </w:rPr>
        <w:t>Conformément à la proposition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="006D15FD" w:rsidRPr="00D44A32">
        <w:rPr>
          <w:lang w:val="fr-FR"/>
        </w:rPr>
        <w:t>AG (</w:t>
      </w:r>
      <w:r w:rsidR="00FA6FC2" w:rsidRPr="00D44A32">
        <w:rPr>
          <w:lang w:val="fr-FR"/>
        </w:rPr>
        <w:t xml:space="preserve">voir le </w:t>
      </w:r>
      <w:r w:rsidR="006D15FD" w:rsidRPr="00D44A32">
        <w:rPr>
          <w:lang w:val="fr-FR"/>
        </w:rPr>
        <w:t>paragraph</w:t>
      </w:r>
      <w:r w:rsidR="00FA6FC2" w:rsidRPr="00D44A32">
        <w:rPr>
          <w:lang w:val="fr-FR"/>
        </w:rPr>
        <w:t>e</w:t>
      </w:r>
      <w:r w:rsidR="00365E0C" w:rsidRPr="00D44A32">
        <w:rPr>
          <w:lang w:val="fr-FR"/>
        </w:rPr>
        <w:t> </w:t>
      </w:r>
      <w:r w:rsidR="006D15FD" w:rsidRPr="00D44A32">
        <w:rPr>
          <w:lang w:val="fr-FR"/>
        </w:rPr>
        <w:t>7</w:t>
      </w:r>
      <w:r w:rsidR="00FA6FC2" w:rsidRPr="00D44A32">
        <w:rPr>
          <w:lang w:val="fr-FR"/>
        </w:rPr>
        <w:t>.</w:t>
      </w:r>
      <w:r w:rsidR="006D15FD" w:rsidRPr="00D44A32">
        <w:rPr>
          <w:lang w:val="fr-FR"/>
        </w:rPr>
        <w:t xml:space="preserve">a)), </w:t>
      </w:r>
      <w:r w:rsidR="00A22F43" w:rsidRPr="00D44A32">
        <w:rPr>
          <w:lang w:val="fr-FR"/>
        </w:rPr>
        <w:t>il est suggéré d</w:t>
      </w:r>
      <w:r w:rsidR="00A1605A" w:rsidRPr="00D44A32">
        <w:rPr>
          <w:lang w:val="fr-FR"/>
        </w:rPr>
        <w:t>’</w:t>
      </w:r>
      <w:r w:rsidR="00A22F43" w:rsidRPr="00D44A32">
        <w:rPr>
          <w:lang w:val="fr-FR"/>
        </w:rPr>
        <w:t xml:space="preserve">établir </w:t>
      </w:r>
      <w:r w:rsidR="00FA6FC2" w:rsidRPr="00D44A32">
        <w:rPr>
          <w:lang w:val="fr-FR"/>
        </w:rPr>
        <w:t xml:space="preserve">un nouveau projet de </w:t>
      </w:r>
      <w:r w:rsidR="009642CF" w:rsidRPr="00D44A32">
        <w:rPr>
          <w:lang w:val="fr-FR"/>
        </w:rPr>
        <w:t>“</w:t>
      </w:r>
      <w:r w:rsidR="00FA6FC2" w:rsidRPr="00D44A32">
        <w:t>Notes explicatives sur les variétés essentiellement dérivées selon l</w:t>
      </w:r>
      <w:r w:rsidR="00A1605A" w:rsidRPr="00D44A32">
        <w:t>’</w:t>
      </w:r>
      <w:r w:rsidR="00FA6FC2" w:rsidRPr="00D44A32">
        <w:t>Acte de</w:t>
      </w:r>
      <w:r w:rsidR="00365E0C" w:rsidRPr="00D44A32">
        <w:t> </w:t>
      </w:r>
      <w:r w:rsidR="00FA6FC2" w:rsidRPr="00D44A32">
        <w:t xml:space="preserve">1991 de la </w:t>
      </w:r>
      <w:r w:rsidR="00A1605A" w:rsidRPr="00D44A32">
        <w:t>Convention UPOV</w:t>
      </w:r>
      <w:r w:rsidR="00FA6FC2" w:rsidRPr="00D44A32">
        <w:t>”</w:t>
      </w:r>
      <w:r w:rsidR="00FA6FC2" w:rsidRPr="00D44A32">
        <w:rPr>
          <w:lang w:val="fr-FR"/>
        </w:rPr>
        <w:t xml:space="preserve"> </w:t>
      </w:r>
      <w:r w:rsidR="00957DA8" w:rsidRPr="00D44A32">
        <w:rPr>
          <w:lang w:val="fr-FR"/>
        </w:rPr>
        <w:t>(r</w:t>
      </w:r>
      <w:r w:rsidR="00FA6FC2" w:rsidRPr="00D44A32">
        <w:rPr>
          <w:lang w:val="fr-FR"/>
        </w:rPr>
        <w:t>é</w:t>
      </w:r>
      <w:r w:rsidR="009642CF" w:rsidRPr="00D44A32">
        <w:rPr>
          <w:lang w:val="fr-FR"/>
        </w:rPr>
        <w:t>vision)” (</w:t>
      </w:r>
      <w:r w:rsidR="00A1605A" w:rsidRPr="00D44A32">
        <w:rPr>
          <w:lang w:val="fr-FR"/>
        </w:rPr>
        <w:t>document UP</w:t>
      </w:r>
      <w:r w:rsidR="009642CF" w:rsidRPr="00D44A32">
        <w:rPr>
          <w:lang w:val="fr-FR"/>
        </w:rPr>
        <w:t xml:space="preserve">OV/EXN/EDV/2 Draft 6), </w:t>
      </w:r>
      <w:r w:rsidR="00FA6FC2" w:rsidRPr="00D44A32">
        <w:rPr>
          <w:lang w:val="fr-FR"/>
        </w:rPr>
        <w:t>incorporant les modifications approuvées par</w:t>
      </w:r>
      <w:r w:rsidR="00A1605A" w:rsidRPr="00D44A32">
        <w:rPr>
          <w:lang w:val="fr-FR"/>
        </w:rPr>
        <w:t xml:space="preserve"> le </w:t>
      </w:r>
      <w:r w:rsidR="00A1605A" w:rsidRPr="00D44A32">
        <w:rPr>
          <w:rFonts w:cs="Arial"/>
          <w:lang w:val="fr-FR"/>
        </w:rPr>
        <w:t>CAJ</w:t>
      </w:r>
      <w:r w:rsidR="009642CF" w:rsidRPr="00D44A32">
        <w:rPr>
          <w:rFonts w:cs="Arial"/>
          <w:lang w:val="fr-FR"/>
        </w:rPr>
        <w:t xml:space="preserve">­AG </w:t>
      </w:r>
      <w:r w:rsidR="00A2670B" w:rsidRPr="00D44A32">
        <w:rPr>
          <w:rFonts w:eastAsia="MS Mincho" w:cs="Arial"/>
          <w:spacing w:val="-2"/>
          <w:lang w:val="fr-FR" w:eastAsia="ja-JP" w:bidi="th-TH"/>
        </w:rPr>
        <w:t>à sa neuvième</w:t>
      </w:r>
      <w:r w:rsidR="00365E0C" w:rsidRPr="00D44A32">
        <w:rPr>
          <w:rFonts w:eastAsia="MS Mincho" w:cs="Arial"/>
          <w:spacing w:val="-2"/>
          <w:lang w:val="fr-FR" w:eastAsia="ja-JP" w:bidi="th-TH"/>
        </w:rPr>
        <w:t> </w:t>
      </w:r>
      <w:r w:rsidR="00A2670B" w:rsidRPr="00D44A32">
        <w:rPr>
          <w:rFonts w:eastAsia="MS Mincho" w:cs="Arial"/>
          <w:spacing w:val="-2"/>
          <w:lang w:val="fr-FR" w:eastAsia="ja-JP" w:bidi="th-TH"/>
        </w:rPr>
        <w:t>session</w:t>
      </w:r>
      <w:r w:rsidR="009642CF" w:rsidRPr="00D44A32">
        <w:rPr>
          <w:lang w:val="fr-FR"/>
        </w:rPr>
        <w:t xml:space="preserve"> (</w:t>
      </w:r>
      <w:r w:rsidR="00FA6FC2" w:rsidRPr="00D44A32">
        <w:rPr>
          <w:lang w:val="fr-FR"/>
        </w:rPr>
        <w:t xml:space="preserve">voir le </w:t>
      </w:r>
      <w:r w:rsidR="009642CF" w:rsidRPr="00D44A32">
        <w:rPr>
          <w:lang w:val="fr-FR"/>
        </w:rPr>
        <w:t>paragraph</w:t>
      </w:r>
      <w:r w:rsidR="00FA6FC2" w:rsidRPr="00D44A32">
        <w:rPr>
          <w:lang w:val="fr-FR"/>
        </w:rPr>
        <w:t>e</w:t>
      </w:r>
      <w:r w:rsidR="00365E0C" w:rsidRPr="00D44A32">
        <w:rPr>
          <w:lang w:val="fr-FR"/>
        </w:rPr>
        <w:t> </w:t>
      </w:r>
      <w:r w:rsidR="009642CF" w:rsidRPr="00D44A32">
        <w:rPr>
          <w:lang w:val="fr-FR"/>
        </w:rPr>
        <w:t>1</w:t>
      </w:r>
      <w:r w:rsidR="00DB09CA" w:rsidRPr="00D44A32">
        <w:rPr>
          <w:lang w:val="fr-FR"/>
        </w:rPr>
        <w:t>5</w:t>
      </w:r>
      <w:r w:rsidR="009642CF" w:rsidRPr="00D44A32">
        <w:rPr>
          <w:lang w:val="fr-FR"/>
        </w:rPr>
        <w:t>),</w:t>
      </w:r>
      <w:r w:rsidR="009642CF" w:rsidRPr="00D44A32">
        <w:rPr>
          <w:rFonts w:cs="Arial"/>
          <w:lang w:val="fr-FR"/>
        </w:rPr>
        <w:t xml:space="preserve"> </w:t>
      </w:r>
      <w:r w:rsidR="00A22F43" w:rsidRPr="00D44A32">
        <w:rPr>
          <w:rFonts w:cs="Arial"/>
          <w:lang w:val="fr-FR"/>
        </w:rPr>
        <w:t>pour examen par</w:t>
      </w:r>
      <w:r w:rsidR="00A1605A" w:rsidRPr="00D44A32">
        <w:rPr>
          <w:rFonts w:cs="Arial"/>
          <w:lang w:val="fr-FR"/>
        </w:rPr>
        <w:t xml:space="preserve"> le </w:t>
      </w:r>
      <w:r w:rsidR="00A1605A" w:rsidRPr="00D44A32">
        <w:rPr>
          <w:lang w:val="fr-FR"/>
        </w:rPr>
        <w:t>CAJ</w:t>
      </w:r>
      <w:r w:rsidR="009642CF" w:rsidRPr="00D44A32">
        <w:rPr>
          <w:lang w:val="fr-FR"/>
        </w:rPr>
        <w:t xml:space="preserve"> </w:t>
      </w:r>
      <w:r w:rsidR="00A22F43" w:rsidRPr="00D44A32">
        <w:rPr>
          <w:lang w:val="fr-FR"/>
        </w:rPr>
        <w:t>à sa soixante</w:t>
      </w:r>
      <w:r w:rsidR="00C42784" w:rsidRPr="00D44A32">
        <w:rPr>
          <w:lang w:val="fr-FR"/>
        </w:rPr>
        <w:noBreakHyphen/>
      </w:r>
      <w:r w:rsidR="00A22F43"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="00A22F43" w:rsidRPr="00D44A32">
        <w:rPr>
          <w:lang w:val="fr-FR"/>
        </w:rPr>
        <w:t>session</w:t>
      </w:r>
      <w:r w:rsidR="009642CF" w:rsidRPr="00D44A32">
        <w:rPr>
          <w:rStyle w:val="FootnoteReference"/>
          <w:rFonts w:cs="Arial"/>
          <w:lang w:val="fr-FR" w:eastAsia="ja-JP"/>
        </w:rPr>
        <w:footnoteReference w:id="12"/>
      </w:r>
      <w:r w:rsidR="005E237C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5B11B9" w:rsidP="00D44A32">
      <w:pPr>
        <w:tabs>
          <w:tab w:val="left" w:pos="5387"/>
        </w:tabs>
        <w:ind w:left="4820"/>
        <w:rPr>
          <w:i/>
          <w:snapToGrid w:val="0"/>
          <w:lang w:val="fr-FR"/>
        </w:rPr>
      </w:pPr>
      <w:r w:rsidRPr="00D44A32">
        <w:rPr>
          <w:i/>
          <w:snapToGrid w:val="0"/>
          <w:lang w:val="fr-FR"/>
        </w:rPr>
        <w:fldChar w:fldCharType="begin"/>
      </w:r>
      <w:r w:rsidRPr="00D44A32">
        <w:rPr>
          <w:i/>
          <w:snapToGrid w:val="0"/>
          <w:lang w:val="fr-FR"/>
        </w:rPr>
        <w:instrText xml:space="preserve"> AUTONUM  </w:instrText>
      </w:r>
      <w:r w:rsidRPr="00D44A32">
        <w:rPr>
          <w:i/>
          <w:snapToGrid w:val="0"/>
          <w:lang w:val="fr-FR"/>
        </w:rPr>
        <w:fldChar w:fldCharType="end"/>
      </w:r>
      <w:r w:rsidR="00827F80" w:rsidRPr="00D44A32">
        <w:rPr>
          <w:i/>
          <w:snapToGrid w:val="0"/>
          <w:lang w:val="fr-FR"/>
        </w:rPr>
        <w:tab/>
      </w:r>
      <w:r w:rsidR="0038694A" w:rsidRPr="00D44A32">
        <w:rPr>
          <w:i/>
          <w:snapToGrid w:val="0"/>
          <w:lang w:val="fr-FR"/>
        </w:rPr>
        <w:t>Le CAJ est invité</w:t>
      </w:r>
      <w:r w:rsidR="00C72A85">
        <w:rPr>
          <w:i/>
          <w:snapToGrid w:val="0"/>
          <w:lang w:val="fr-FR"/>
        </w:rPr>
        <w:t xml:space="preserve"> à :</w:t>
      </w:r>
    </w:p>
    <w:p w:rsidR="002B18A7" w:rsidRPr="00D44A32" w:rsidRDefault="002B18A7" w:rsidP="00D44A32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EC31F5" w:rsidRPr="00CF2903" w:rsidRDefault="00827F80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CF2903">
        <w:rPr>
          <w:i/>
          <w:lang w:val="fr-FR"/>
        </w:rPr>
        <w:tab/>
      </w:r>
      <w:r w:rsidR="005B11B9" w:rsidRPr="00CF2903">
        <w:rPr>
          <w:i/>
          <w:lang w:val="fr-FR"/>
        </w:rPr>
        <w:t>a)</w:t>
      </w:r>
      <w:r w:rsidR="005B11B9" w:rsidRPr="00CF2903">
        <w:rPr>
          <w:i/>
          <w:lang w:val="fr-FR"/>
        </w:rPr>
        <w:tab/>
      </w:r>
      <w:r w:rsidR="00EC31F5" w:rsidRPr="00CF2903">
        <w:rPr>
          <w:i/>
          <w:lang w:val="fr-FR"/>
        </w:rPr>
        <w:t>noter que</w:t>
      </w:r>
      <w:r w:rsidR="00A1605A" w:rsidRPr="00CF2903">
        <w:rPr>
          <w:i/>
          <w:lang w:val="fr-FR"/>
        </w:rPr>
        <w:t xml:space="preserve"> le CAJ</w:t>
      </w:r>
      <w:r w:rsidR="00C42784" w:rsidRPr="00CF2903">
        <w:rPr>
          <w:i/>
          <w:lang w:val="fr-FR"/>
        </w:rPr>
        <w:noBreakHyphen/>
      </w:r>
      <w:r w:rsidR="00EC31F5" w:rsidRPr="00CF2903">
        <w:rPr>
          <w:i/>
          <w:lang w:val="fr-FR"/>
        </w:rPr>
        <w:t>AG a accueilli avec satisfaction l</w:t>
      </w:r>
      <w:r w:rsidR="00A1605A" w:rsidRPr="00CF2903">
        <w:rPr>
          <w:i/>
          <w:lang w:val="fr-FR"/>
        </w:rPr>
        <w:t>’</w:t>
      </w:r>
      <w:r w:rsidR="00EC31F5" w:rsidRPr="00CF2903">
        <w:rPr>
          <w:i/>
          <w:lang w:val="fr-FR"/>
        </w:rPr>
        <w:t>exposé de l</w:t>
      </w:r>
      <w:r w:rsidR="00A1605A" w:rsidRPr="00CF2903">
        <w:rPr>
          <w:i/>
          <w:lang w:val="fr-FR"/>
        </w:rPr>
        <w:t>’</w:t>
      </w:r>
      <w:r w:rsidR="00EC31F5" w:rsidRPr="00CF2903">
        <w:rPr>
          <w:i/>
          <w:lang w:val="fr-FR"/>
        </w:rPr>
        <w:t xml:space="preserve">Australie </w:t>
      </w:r>
      <w:r w:rsidR="00EA0530" w:rsidRPr="00CF2903">
        <w:rPr>
          <w:i/>
          <w:lang w:val="fr-FR"/>
        </w:rPr>
        <w:t>diffusé par voie électronique</w:t>
      </w:r>
      <w:r w:rsidR="00EC31F5" w:rsidRPr="00CF2903">
        <w:rPr>
          <w:i/>
          <w:lang w:val="fr-FR"/>
        </w:rPr>
        <w:t xml:space="preserve"> via l</w:t>
      </w:r>
      <w:r w:rsidR="00A1605A" w:rsidRPr="00CF2903">
        <w:rPr>
          <w:i/>
          <w:lang w:val="fr-FR"/>
        </w:rPr>
        <w:t>’</w:t>
      </w:r>
      <w:r w:rsidR="00EC31F5" w:rsidRPr="00CF2903">
        <w:rPr>
          <w:i/>
          <w:lang w:val="fr-FR"/>
        </w:rPr>
        <w:t xml:space="preserve">Internet, </w:t>
      </w:r>
      <w:r w:rsidR="001129EA" w:rsidRPr="00CF2903">
        <w:rPr>
          <w:i/>
          <w:lang w:val="fr-FR"/>
        </w:rPr>
        <w:t xml:space="preserve">qui </w:t>
      </w:r>
      <w:r w:rsidR="00EC31F5" w:rsidRPr="00CF2903">
        <w:rPr>
          <w:i/>
          <w:lang w:val="fr-FR"/>
        </w:rPr>
        <w:t>contena</w:t>
      </w:r>
      <w:r w:rsidR="001129EA" w:rsidRPr="00CF2903">
        <w:rPr>
          <w:i/>
          <w:lang w:val="fr-FR"/>
        </w:rPr>
        <w:t>i</w:t>
      </w:r>
      <w:r w:rsidR="00EC31F5" w:rsidRPr="00CF2903">
        <w:rPr>
          <w:i/>
          <w:lang w:val="fr-FR"/>
        </w:rPr>
        <w:t>t des renseignements supplémentaires sur le contexte des exemples donnés par l</w:t>
      </w:r>
      <w:r w:rsidR="00A1605A" w:rsidRPr="00CF2903">
        <w:rPr>
          <w:i/>
          <w:lang w:val="fr-FR"/>
        </w:rPr>
        <w:t>’</w:t>
      </w:r>
      <w:r w:rsidR="00EC31F5" w:rsidRPr="00CF2903">
        <w:rPr>
          <w:i/>
          <w:lang w:val="fr-FR"/>
        </w:rPr>
        <w:t>Australie au séminaire sur les variétés essentiellement dérivées</w:t>
      </w:r>
      <w:r w:rsidR="001129EA" w:rsidRPr="00CF2903">
        <w:rPr>
          <w:i/>
          <w:lang w:val="fr-FR"/>
        </w:rPr>
        <w:t>,</w:t>
      </w:r>
      <w:r w:rsidR="00EC31F5" w:rsidRPr="00CF2903">
        <w:rPr>
          <w:i/>
          <w:lang w:val="fr-FR"/>
        </w:rPr>
        <w:t xml:space="preserve"> et qu</w:t>
      </w:r>
      <w:r w:rsidR="001129EA" w:rsidRPr="00CF2903">
        <w:rPr>
          <w:i/>
          <w:lang w:val="fr-FR"/>
        </w:rPr>
        <w:t>e cet exposé</w:t>
      </w:r>
      <w:r w:rsidR="00EC31F5" w:rsidRPr="00CF2903">
        <w:rPr>
          <w:i/>
          <w:lang w:val="fr-FR"/>
        </w:rPr>
        <w:t xml:space="preserve"> peut être consulté dans la partie </w:t>
      </w:r>
      <w:r w:rsidR="00CF2903" w:rsidRPr="00CF2903">
        <w:rPr>
          <w:i/>
          <w:lang w:val="fr-FR"/>
        </w:rPr>
        <w:t>CAJ-AG/14 du site Web de l’UPOV</w:t>
      </w:r>
      <w:r w:rsidR="00EC31F5" w:rsidRPr="00CF2903">
        <w:rPr>
          <w:i/>
          <w:lang w:val="fr-FR"/>
        </w:rPr>
        <w:t>;</w:t>
      </w:r>
    </w:p>
    <w:p w:rsidR="00EC31F5" w:rsidRPr="00D44A32" w:rsidRDefault="00EC31F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EC31F5" w:rsidRPr="00D44A32" w:rsidRDefault="00C72A8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>
        <w:rPr>
          <w:i/>
          <w:lang w:val="fr-FR"/>
        </w:rPr>
        <w:tab/>
      </w:r>
      <w:r w:rsidR="00EC31F5" w:rsidRPr="00D44A32">
        <w:rPr>
          <w:i/>
          <w:lang w:val="fr-FR"/>
        </w:rPr>
        <w:t>b)</w:t>
      </w:r>
      <w:r w:rsidR="00EC31F5" w:rsidRPr="00D44A32">
        <w:rPr>
          <w:i/>
          <w:lang w:val="fr-FR"/>
        </w:rPr>
        <w:tab/>
        <w:t>envisager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élaboration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orientations concernant le statut des variétés essentiellement dérivées qui ne bénéficient pas de la protection de plein droit, après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 xml:space="preserve">adoption du document révisé </w:t>
      </w:r>
      <w:r w:rsidR="00EC31F5" w:rsidRPr="00D44A32">
        <w:rPr>
          <w:i/>
          <w:lang w:val="fr-FR"/>
        </w:rPr>
        <w:lastRenderedPageBreak/>
        <w:t>UPOV/EXN/EDV/2, comme indiqué au paragraphe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>11;</w:t>
      </w:r>
    </w:p>
    <w:p w:rsidR="00EC31F5" w:rsidRPr="00D44A32" w:rsidRDefault="00EC31F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A1605A" w:rsidRPr="00D44A32" w:rsidRDefault="00C72A8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>
        <w:rPr>
          <w:i/>
          <w:lang w:val="fr-FR"/>
        </w:rPr>
        <w:tab/>
      </w:r>
      <w:r w:rsidR="00EC31F5" w:rsidRPr="00D44A32">
        <w:rPr>
          <w:i/>
          <w:lang w:val="fr-FR"/>
        </w:rPr>
        <w:t>c)</w:t>
      </w:r>
      <w:r w:rsidR="00EC31F5" w:rsidRPr="00D44A32">
        <w:rPr>
          <w:i/>
          <w:lang w:val="fr-FR"/>
        </w:rPr>
        <w:tab/>
        <w:t>envisager la possibilité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inviter les délégations de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Australie, du Brésil</w:t>
      </w:r>
      <w:r w:rsidR="001129EA" w:rsidRPr="00D44A32">
        <w:rPr>
          <w:i/>
          <w:lang w:val="fr-FR"/>
        </w:rPr>
        <w:t>,</w:t>
      </w:r>
      <w:r w:rsidR="00EC31F5" w:rsidRPr="00D44A32">
        <w:rPr>
          <w:i/>
          <w:lang w:val="fr-FR"/>
        </w:rPr>
        <w:t xml:space="preserve"> de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Union européenne et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autres membres de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Union à présenter des exposés sur leurs systèmes concernant les variétés essentiellement dérivées à sa soixante</w:t>
      </w:r>
      <w:r w:rsidR="00C42784" w:rsidRPr="00D44A32">
        <w:rPr>
          <w:i/>
          <w:lang w:val="fr-FR"/>
        </w:rPr>
        <w:noBreakHyphen/>
      </w:r>
      <w:r w:rsidR="00EC31F5" w:rsidRPr="00D44A32">
        <w:rPr>
          <w:i/>
          <w:lang w:val="fr-FR"/>
        </w:rPr>
        <w:t>douzième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>session;</w:t>
      </w:r>
    </w:p>
    <w:p w:rsidR="00EC31F5" w:rsidRPr="00D44A32" w:rsidRDefault="00EC31F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EC31F5" w:rsidRPr="00D44A32" w:rsidRDefault="00C72A8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>
        <w:rPr>
          <w:i/>
          <w:lang w:val="fr-FR"/>
        </w:rPr>
        <w:tab/>
      </w:r>
      <w:r w:rsidR="00EC31F5" w:rsidRPr="00D44A32">
        <w:rPr>
          <w:i/>
          <w:lang w:val="fr-FR"/>
        </w:rPr>
        <w:t>d)</w:t>
      </w:r>
      <w:r w:rsidR="00EC31F5" w:rsidRPr="00D44A32">
        <w:rPr>
          <w:i/>
          <w:lang w:val="fr-FR"/>
        </w:rPr>
        <w:tab/>
        <w:t>envisager la possibilité de demander au Bureau de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Union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organiser une réunion pour échanger des données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information avec</w:t>
      </w:r>
      <w:r w:rsidR="00A1605A" w:rsidRPr="00D44A32">
        <w:rPr>
          <w:i/>
          <w:lang w:val="fr-FR"/>
        </w:rPr>
        <w:t xml:space="preserve"> la CIO</w:t>
      </w:r>
      <w:r w:rsidR="00EC31F5" w:rsidRPr="00D44A32">
        <w:rPr>
          <w:i/>
          <w:lang w:val="fr-FR"/>
        </w:rPr>
        <w:t>PORA,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ISF et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OMPI en vue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étudier le rôle que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 xml:space="preserve">UPOV pourrait jouer dans les mécanismes extrajudiciaires de règlement des litiges pour les questions relatives aux variétés essentiellement dérivées, </w:t>
      </w:r>
      <w:r w:rsidR="00A1605A" w:rsidRPr="00D44A32">
        <w:rPr>
          <w:i/>
          <w:lang w:val="fr-FR"/>
        </w:rPr>
        <w:t>y compris</w:t>
      </w:r>
      <w:r w:rsidR="00EC31F5" w:rsidRPr="00D44A32">
        <w:rPr>
          <w:i/>
          <w:lang w:val="fr-FR"/>
        </w:rPr>
        <w:t xml:space="preserve"> la mise à disposition d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experts concernant les questions relatives aux variétés essentiellement dérivées, et à présenter un compte rendu à sa soixante</w:t>
      </w:r>
      <w:r w:rsidR="00C42784" w:rsidRPr="00D44A32">
        <w:rPr>
          <w:i/>
          <w:lang w:val="fr-FR"/>
        </w:rPr>
        <w:noBreakHyphen/>
      </w:r>
      <w:r w:rsidR="00EC31F5" w:rsidRPr="00D44A32">
        <w:rPr>
          <w:i/>
          <w:lang w:val="fr-FR"/>
        </w:rPr>
        <w:t>douzième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>session;  et</w:t>
      </w:r>
    </w:p>
    <w:p w:rsidR="00EC31F5" w:rsidRPr="00D44A32" w:rsidRDefault="00EC31F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EC31F5" w:rsidRPr="00D44A32" w:rsidRDefault="00C72A85" w:rsidP="00D44A32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>
        <w:rPr>
          <w:i/>
          <w:lang w:val="fr-FR"/>
        </w:rPr>
        <w:tab/>
      </w:r>
      <w:r w:rsidR="00EC31F5" w:rsidRPr="00D44A32">
        <w:rPr>
          <w:i/>
          <w:lang w:val="fr-FR"/>
        </w:rPr>
        <w:t>e)</w:t>
      </w:r>
      <w:r w:rsidR="00EC31F5" w:rsidRPr="00D44A32">
        <w:rPr>
          <w:i/>
          <w:lang w:val="fr-FR"/>
        </w:rPr>
        <w:tab/>
        <w:t>examiner le nouveau projet de “Notes explicatives sur les variétés essentiellement dérivées selon l</w:t>
      </w:r>
      <w:r w:rsidR="00A1605A" w:rsidRPr="00D44A32">
        <w:rPr>
          <w:i/>
          <w:lang w:val="fr-FR"/>
        </w:rPr>
        <w:t>’</w:t>
      </w:r>
      <w:r w:rsidR="00EC31F5" w:rsidRPr="00D44A32">
        <w:rPr>
          <w:i/>
          <w:lang w:val="fr-FR"/>
        </w:rPr>
        <w:t>Acte de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 xml:space="preserve">1991 de la </w:t>
      </w:r>
      <w:r w:rsidR="00A1605A" w:rsidRPr="00D44A32">
        <w:rPr>
          <w:i/>
          <w:lang w:val="fr-FR"/>
        </w:rPr>
        <w:t>Convention UPOV</w:t>
      </w:r>
      <w:r w:rsidR="00EC31F5" w:rsidRPr="00D44A32">
        <w:rPr>
          <w:i/>
          <w:lang w:val="fr-FR"/>
        </w:rPr>
        <w:t>” (Révision) (document UPOV/EXN/EDV/2 Draft 6) à sa soixante</w:t>
      </w:r>
      <w:r w:rsidR="00C42784" w:rsidRPr="00D44A32">
        <w:rPr>
          <w:i/>
          <w:lang w:val="fr-FR"/>
        </w:rPr>
        <w:noBreakHyphen/>
      </w:r>
      <w:r w:rsidR="00EC31F5" w:rsidRPr="00D44A32">
        <w:rPr>
          <w:i/>
          <w:lang w:val="fr-FR"/>
        </w:rPr>
        <w:t>douzième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>session, comme indiqué aux paragraphes</w:t>
      </w:r>
      <w:r w:rsidR="00365E0C" w:rsidRPr="00D44A32">
        <w:rPr>
          <w:i/>
          <w:lang w:val="fr-FR"/>
        </w:rPr>
        <w:t> </w:t>
      </w:r>
      <w:r w:rsidR="00EC31F5" w:rsidRPr="00D44A32">
        <w:rPr>
          <w:i/>
          <w:lang w:val="fr-FR"/>
        </w:rPr>
        <w:t>15 et 16.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EC31F5" w:rsidP="00D44A32">
      <w:pPr>
        <w:pStyle w:val="Heading2"/>
        <w:rPr>
          <w:lang w:val="fr-FR"/>
        </w:rPr>
      </w:pPr>
      <w:bookmarkStart w:id="12" w:name="_Toc413318620"/>
      <w:bookmarkStart w:id="13" w:name="_Toc413404237"/>
      <w:r w:rsidRPr="00D44A32">
        <w:rPr>
          <w:lang w:val="fr-FR"/>
        </w:rPr>
        <w:t>Notes explicatives sur le matériel de reproduction ou de multiplication selon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</w:t>
      </w:r>
      <w:r w:rsidR="00072AD8" w:rsidRPr="00D44A32">
        <w:rPr>
          <w:lang w:val="fr-FR"/>
        </w:rPr>
        <w:t>(</w:t>
      </w:r>
      <w:r w:rsidR="00A1605A" w:rsidRPr="00D44A32">
        <w:rPr>
          <w:lang w:val="fr-FR"/>
        </w:rPr>
        <w:t>document UP</w:t>
      </w:r>
      <w:r w:rsidR="00072AD8" w:rsidRPr="00D44A32">
        <w:rPr>
          <w:lang w:val="fr-FR"/>
        </w:rPr>
        <w:t>OV/EXN/PPM/1 Draft 4)</w:t>
      </w:r>
      <w:bookmarkEnd w:id="12"/>
      <w:bookmarkEnd w:id="13"/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4D7B6E" w:rsidP="00D44A32">
      <w:pPr>
        <w:rPr>
          <w:lang w:val="fr-FR"/>
        </w:rPr>
      </w:pPr>
      <w:r w:rsidRPr="00D44A32">
        <w:rPr>
          <w:rFonts w:cs="Arial"/>
          <w:lang w:val="fr-FR"/>
        </w:rPr>
        <w:fldChar w:fldCharType="begin"/>
      </w:r>
      <w:r w:rsidRPr="00D44A32">
        <w:rPr>
          <w:rFonts w:cs="Arial"/>
          <w:lang w:val="fr-FR"/>
        </w:rPr>
        <w:instrText xml:space="preserve"> AUTONUM  </w:instrText>
      </w:r>
      <w:r w:rsidRPr="00D44A32">
        <w:rPr>
          <w:rFonts w:cs="Arial"/>
          <w:lang w:val="fr-FR"/>
        </w:rPr>
        <w:fldChar w:fldCharType="end"/>
      </w:r>
      <w:r w:rsidRPr="00D44A32">
        <w:rPr>
          <w:rFonts w:cs="Arial"/>
          <w:lang w:val="fr-FR"/>
        </w:rPr>
        <w:tab/>
      </w:r>
      <w:r w:rsidR="00EC31F5" w:rsidRPr="00D44A32">
        <w:rPr>
          <w:lang w:val="fr-FR"/>
        </w:rPr>
        <w:t>Le</w:t>
      </w:r>
      <w:r w:rsidRPr="00D44A32">
        <w:rPr>
          <w:lang w:val="fr-FR"/>
        </w:rPr>
        <w:t xml:space="preserve"> 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</w:t>
      </w:r>
      <w:r w:rsidRPr="00D44A32">
        <w:rPr>
          <w:rStyle w:val="FootnoteReference"/>
          <w:lang w:val="fr-FR"/>
        </w:rPr>
        <w:footnoteReference w:id="13"/>
      </w:r>
      <w:r w:rsidRPr="00D44A32">
        <w:rPr>
          <w:lang w:val="fr-FR"/>
        </w:rPr>
        <w:t xml:space="preserve"> </w:t>
      </w:r>
      <w:r w:rsidR="00EC31F5" w:rsidRPr="00D44A32">
        <w:rPr>
          <w:lang w:val="fr-FR"/>
        </w:rPr>
        <w:t xml:space="preserve">a examiné le </w:t>
      </w:r>
      <w:r w:rsidR="00A1605A" w:rsidRPr="00D44A32">
        <w:rPr>
          <w:lang w:val="fr-FR"/>
        </w:rPr>
        <w:t>document UP</w:t>
      </w:r>
      <w:r w:rsidRPr="00D44A32">
        <w:rPr>
          <w:lang w:val="fr-FR"/>
        </w:rPr>
        <w:t xml:space="preserve">OV/EXN/PPM/1 Draft 3 </w:t>
      </w:r>
      <w:r w:rsidR="00EC31F5" w:rsidRPr="00D44A32">
        <w:rPr>
          <w:lang w:val="fr-FR"/>
        </w:rPr>
        <w:t>et les points de vue exprimés par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APBREBES,</w:t>
      </w:r>
      <w:r w:rsidR="00A1605A" w:rsidRPr="00D44A32">
        <w:rPr>
          <w:lang w:val="fr-FR"/>
        </w:rPr>
        <w:t xml:space="preserve"> la CIO</w:t>
      </w:r>
      <w:r w:rsidR="00EC31F5" w:rsidRPr="00D44A32">
        <w:rPr>
          <w:lang w:val="fr-FR"/>
        </w:rPr>
        <w:t>PORA et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ESA</w:t>
      </w:r>
      <w:r w:rsidRPr="00D44A32">
        <w:rPr>
          <w:rStyle w:val="FootnoteReference"/>
          <w:lang w:val="fr-FR"/>
        </w:rPr>
        <w:footnoteReference w:id="14"/>
      </w:r>
      <w:r w:rsidR="000024FD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4D7B6E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EC31F5" w:rsidRPr="00D44A32">
        <w:rPr>
          <w:lang w:val="fr-FR"/>
        </w:rPr>
        <w:t>Le</w:t>
      </w:r>
      <w:r w:rsidRPr="00D44A32">
        <w:rPr>
          <w:lang w:val="fr-FR"/>
        </w:rPr>
        <w:t xml:space="preserve"> 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970F54" w:rsidRPr="00D44A32">
        <w:rPr>
          <w:lang w:val="fr-FR"/>
        </w:rPr>
        <w:t xml:space="preserve">a approuvé les modifications suivantes à apporter au </w:t>
      </w:r>
      <w:r w:rsidR="00270E13" w:rsidRPr="00D44A32">
        <w:rPr>
          <w:lang w:val="fr-FR"/>
        </w:rPr>
        <w:t>document UPOV/EXN/PPM/1 Draft </w:t>
      </w:r>
      <w:r w:rsidRPr="00D44A32">
        <w:rPr>
          <w:lang w:val="fr-FR"/>
        </w:rPr>
        <w:t>3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</w:t>
      </w:r>
    </w:p>
    <w:p w:rsidR="004D7B6E" w:rsidRPr="00D44A32" w:rsidRDefault="004D7B6E" w:rsidP="00D44A32">
      <w:pPr>
        <w:rPr>
          <w:rFonts w:cs="Arial"/>
          <w:lang w:val="fr-FR"/>
        </w:rPr>
      </w:pPr>
    </w:p>
    <w:tbl>
      <w:tblPr>
        <w:tblW w:w="9186" w:type="dxa"/>
        <w:tblInd w:w="5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397"/>
        <w:gridCol w:w="7789"/>
      </w:tblGrid>
      <w:tr w:rsidR="00D44A32" w:rsidRPr="00D44A32" w:rsidTr="008668E7">
        <w:trPr>
          <w:cantSplit/>
        </w:trPr>
        <w:tc>
          <w:tcPr>
            <w:tcW w:w="1397" w:type="dxa"/>
          </w:tcPr>
          <w:p w:rsidR="004D7B6E" w:rsidRPr="00D44A32" w:rsidRDefault="0038694A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Généralités</w:t>
            </w:r>
          </w:p>
        </w:tc>
        <w:tc>
          <w:tcPr>
            <w:tcW w:w="7789" w:type="dxa"/>
          </w:tcPr>
          <w:p w:rsidR="004D7B6E" w:rsidRPr="00D44A32" w:rsidRDefault="0038694A" w:rsidP="00D44A32">
            <w:pPr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 xml:space="preserve">Remplacer dans le titre et le </w:t>
            </w:r>
            <w:r w:rsidR="001129EA" w:rsidRPr="00D44A32">
              <w:rPr>
                <w:snapToGrid w:val="0"/>
                <w:lang w:val="fr-FR"/>
              </w:rPr>
              <w:t xml:space="preserve">corps du </w:t>
            </w:r>
            <w:r w:rsidRPr="00D44A32">
              <w:rPr>
                <w:snapToGrid w:val="0"/>
                <w:lang w:val="fr-FR"/>
              </w:rPr>
              <w:t>document (version anglaise) 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expression “propagation and propagating material” par “propagating material”.</w:t>
            </w:r>
          </w:p>
        </w:tc>
      </w:tr>
      <w:tr w:rsidR="00D44A32" w:rsidRPr="00D44A32" w:rsidTr="008668E7">
        <w:trPr>
          <w:cantSplit/>
        </w:trPr>
        <w:tc>
          <w:tcPr>
            <w:tcW w:w="1397" w:type="dxa"/>
          </w:tcPr>
          <w:p w:rsidR="004D7B6E" w:rsidRPr="00D44A32" w:rsidRDefault="004D7B6E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1.</w:t>
            </w:r>
          </w:p>
        </w:tc>
        <w:tc>
          <w:tcPr>
            <w:tcW w:w="7789" w:type="dxa"/>
          </w:tcPr>
          <w:p w:rsidR="00A1605A" w:rsidRPr="00D44A32" w:rsidRDefault="00855B17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Libeller comme suit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4D7B6E" w:rsidRPr="00D44A32" w:rsidRDefault="00855B17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“Le matériel de reproduction ou de multiplication couvre le matériel de reproduction ou de multiplication végétative.</w:t>
            </w:r>
            <w:r w:rsidR="004D7B6E" w:rsidRPr="00D44A32">
              <w:rPr>
                <w:lang w:val="fr-FR"/>
              </w:rPr>
              <w:t xml:space="preserve">  </w:t>
            </w:r>
            <w:r w:rsidRPr="00D44A32">
              <w:rPr>
                <w:rFonts w:cs="Arial"/>
                <w:lang w:val="fr-FR"/>
              </w:rPr>
              <w:t xml:space="preserve">La </w:t>
            </w:r>
            <w:r w:rsidR="00A1605A" w:rsidRPr="00D44A32">
              <w:rPr>
                <w:rFonts w:cs="Arial"/>
                <w:lang w:val="fr-FR"/>
              </w:rPr>
              <w:t>Convention UPOV</w:t>
            </w:r>
            <w:r w:rsidRPr="00D44A32">
              <w:rPr>
                <w:rFonts w:cs="Arial"/>
                <w:lang w:val="fr-FR"/>
              </w:rPr>
              <w:t xml:space="preserve"> ne donne pas de définition du </w:t>
            </w:r>
            <w:r w:rsidR="00A1605A" w:rsidRPr="00D44A32">
              <w:rPr>
                <w:rFonts w:cs="Arial"/>
                <w:lang w:val="fr-FR"/>
              </w:rPr>
              <w:t>‘</w:t>
            </w:r>
            <w:r w:rsidRPr="00D44A32">
              <w:rPr>
                <w:rFonts w:cs="Arial"/>
                <w:lang w:val="fr-FR"/>
              </w:rPr>
              <w:t>matériel de reproduction ou de multiplication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.</w:t>
            </w:r>
            <w:r w:rsidR="004D7B6E" w:rsidRPr="00D44A32">
              <w:rPr>
                <w:lang w:val="fr-FR"/>
              </w:rPr>
              <w:t xml:space="preserve">  </w:t>
            </w:r>
            <w:r w:rsidRPr="00D44A32">
              <w:rPr>
                <w:rFonts w:cs="Arial"/>
                <w:lang w:val="fr-FR"/>
              </w:rPr>
              <w:t xml:space="preserve">La section suivante donne des orientations sur des facteurs qui pourraient être pris en </w:t>
            </w:r>
            <w:r w:rsidR="001129EA" w:rsidRPr="00D44A32">
              <w:rPr>
                <w:rFonts w:cs="Arial"/>
                <w:lang w:val="fr-FR"/>
              </w:rPr>
              <w:t>considération</w:t>
            </w:r>
            <w:r w:rsidRPr="00D44A32">
              <w:rPr>
                <w:rFonts w:cs="Arial"/>
                <w:lang w:val="fr-FR"/>
              </w:rPr>
              <w:t xml:space="preserve"> quant à la question de savoir si le matériel est du matériel de reproduction ou de multiplication</w:t>
            </w:r>
            <w:r w:rsidR="005E237C" w:rsidRPr="00D44A32">
              <w:rPr>
                <w:rFonts w:cs="Arial"/>
                <w:lang w:val="fr-FR"/>
              </w:rPr>
              <w:t>.</w:t>
            </w:r>
            <w:r w:rsidRPr="00D44A32">
              <w:rPr>
                <w:rFonts w:cs="Arial"/>
                <w:lang w:val="fr-FR"/>
              </w:rPr>
              <w:t>”</w:t>
            </w:r>
          </w:p>
        </w:tc>
      </w:tr>
      <w:tr w:rsidR="00D44A32" w:rsidRPr="00D44A32" w:rsidTr="008668E7">
        <w:trPr>
          <w:cantSplit/>
        </w:trPr>
        <w:tc>
          <w:tcPr>
            <w:tcW w:w="1397" w:type="dxa"/>
          </w:tcPr>
          <w:p w:rsidR="004D7B6E" w:rsidRPr="00D44A32" w:rsidRDefault="004D7B6E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2.</w:t>
            </w:r>
          </w:p>
        </w:tc>
        <w:tc>
          <w:tcPr>
            <w:tcW w:w="7789" w:type="dxa"/>
          </w:tcPr>
          <w:p w:rsidR="00A1605A" w:rsidRPr="00D44A32" w:rsidRDefault="00855B17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Libeller comme suit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:</w:t>
            </w:r>
          </w:p>
          <w:p w:rsidR="004D7B6E" w:rsidRPr="00D44A32" w:rsidRDefault="00855B17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 xml:space="preserve">“Indiquer si le matériel est du matériel de reproduction ou de multiplication est une question de fait, mais peut aussi </w:t>
            </w:r>
            <w:r w:rsidR="001129EA" w:rsidRPr="00D44A32">
              <w:rPr>
                <w:rFonts w:cs="Arial"/>
                <w:lang w:val="fr-FR"/>
              </w:rPr>
              <w:t>exprimer</w:t>
            </w:r>
            <w:r w:rsidRPr="00D44A32">
              <w:rPr>
                <w:rFonts w:cs="Arial"/>
                <w:lang w:val="fr-FR"/>
              </w:rPr>
              <w:t xml:space="preserve">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intention des parties concernées (producteur, vendeur, fournisseur, acheteur, destinataire, utilisateur) et dépend de la définition de matériel de reproduction ou de multiplication dans la loi du membre de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Union concerné.  […]”</w:t>
            </w:r>
          </w:p>
        </w:tc>
      </w:tr>
      <w:tr w:rsidR="00D44A32" w:rsidRPr="00D44A32" w:rsidTr="008668E7">
        <w:trPr>
          <w:cantSplit/>
        </w:trPr>
        <w:tc>
          <w:tcPr>
            <w:tcW w:w="1397" w:type="dxa"/>
          </w:tcPr>
          <w:p w:rsidR="004D7B6E" w:rsidRPr="00D44A32" w:rsidRDefault="004D7B6E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lastRenderedPageBreak/>
              <w:t>4.</w:t>
            </w:r>
          </w:p>
        </w:tc>
        <w:tc>
          <w:tcPr>
            <w:tcW w:w="7789" w:type="dxa"/>
          </w:tcPr>
          <w:p w:rsidR="002B18A7" w:rsidRPr="00D44A32" w:rsidRDefault="00855B17" w:rsidP="00D44A32">
            <w:pPr>
              <w:rPr>
                <w:lang w:val="fr-FR"/>
              </w:rPr>
            </w:pPr>
            <w:r w:rsidRPr="00D44A32">
              <w:rPr>
                <w:lang w:val="fr-FR"/>
              </w:rPr>
              <w:t>Libeller comme suit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:</w:t>
            </w:r>
          </w:p>
          <w:p w:rsidR="002B18A7" w:rsidRPr="00D44A32" w:rsidRDefault="00855B17" w:rsidP="00D44A32">
            <w:pPr>
              <w:autoSpaceDE w:val="0"/>
              <w:rPr>
                <w:lang w:val="fr-FR"/>
              </w:rPr>
            </w:pPr>
            <w:r w:rsidRPr="00D44A32">
              <w:rPr>
                <w:lang w:val="fr-FR"/>
              </w:rPr>
              <w:t>“Compte tenu de la définition de matériel de reproduction ou de multiplication dans la loi du membre de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Union concerné, s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 xml:space="preserve">il </w:t>
            </w:r>
            <w:r w:rsidR="001129EA" w:rsidRPr="00D44A32">
              <w:rPr>
                <w:lang w:val="fr-FR"/>
              </w:rPr>
              <w:t>y a lieu, la liste des facteurs</w:t>
            </w:r>
            <w:r w:rsidRPr="00D44A32">
              <w:rPr>
                <w:lang w:val="fr-FR"/>
              </w:rPr>
              <w:t xml:space="preserve"> ou </w:t>
            </w:r>
            <w:r w:rsidR="001129EA" w:rsidRPr="00D44A32">
              <w:rPr>
                <w:lang w:val="fr-FR"/>
              </w:rPr>
              <w:t>combinaison de facteurs</w:t>
            </w:r>
            <w:r w:rsidRPr="00D44A32">
              <w:rPr>
                <w:lang w:val="fr-FR"/>
              </w:rPr>
              <w:t xml:space="preserve"> suivante – non exhaustive – pourrait être prise en considération pour décider si le matériel est un matériel de reproduction ou de multiplication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lang w:val="fr-FR"/>
              </w:rPr>
            </w:pPr>
          </w:p>
          <w:p w:rsidR="002B18A7" w:rsidRPr="00D44A32" w:rsidRDefault="00625F49" w:rsidP="00D44A32">
            <w:pPr>
              <w:ind w:left="1102" w:hanging="535"/>
              <w:rPr>
                <w:lang w:val="fr-FR"/>
              </w:rPr>
            </w:pPr>
            <w:r w:rsidRPr="00D44A32">
              <w:rPr>
                <w:lang w:val="fr-FR"/>
              </w:rPr>
              <w:t>“i)</w:t>
            </w:r>
            <w:r w:rsidR="00855B17" w:rsidRPr="00D44A32">
              <w:rPr>
                <w:lang w:val="fr-FR"/>
              </w:rPr>
              <w:tab/>
              <w:t>indiquer si le matériel a été utilisé pour reproduire ou multiplier la variété;</w:t>
            </w:r>
          </w:p>
          <w:p w:rsidR="002B18A7" w:rsidRPr="00D44A32" w:rsidRDefault="00855B17" w:rsidP="00D44A32">
            <w:pPr>
              <w:ind w:left="1102" w:hanging="535"/>
              <w:rPr>
                <w:lang w:val="fr-FR"/>
              </w:rPr>
            </w:pPr>
            <w:r w:rsidRPr="00D44A32">
              <w:rPr>
                <w:lang w:val="fr-FR"/>
              </w:rPr>
              <w:t>“ii)</w:t>
            </w:r>
            <w:r w:rsidRPr="00D44A32">
              <w:rPr>
                <w:lang w:val="fr-FR"/>
              </w:rPr>
              <w:tab/>
              <w:t>indiquer si le matériel peut produire des plantes entières de la variété;</w:t>
            </w:r>
          </w:p>
          <w:p w:rsidR="002B18A7" w:rsidRPr="00D44A32" w:rsidRDefault="005E237C" w:rsidP="00D44A32">
            <w:pPr>
              <w:ind w:left="1102" w:hanging="535"/>
              <w:rPr>
                <w:lang w:val="fr-FR"/>
              </w:rPr>
            </w:pPr>
            <w:r w:rsidRPr="00D44A32">
              <w:rPr>
                <w:lang w:val="fr-FR"/>
              </w:rPr>
              <w:t>“</w:t>
            </w:r>
            <w:r w:rsidR="00855B17" w:rsidRPr="00D44A32">
              <w:rPr>
                <w:lang w:val="fr-FR"/>
              </w:rPr>
              <w:t>iii)</w:t>
            </w:r>
            <w:r w:rsidR="00855B17" w:rsidRPr="00D44A32">
              <w:rPr>
                <w:lang w:val="fr-FR"/>
              </w:rPr>
              <w:tab/>
              <w:t>indiquer s</w:t>
            </w:r>
            <w:r w:rsidR="00A1605A" w:rsidRPr="00D44A32">
              <w:rPr>
                <w:lang w:val="fr-FR"/>
              </w:rPr>
              <w:t>’</w:t>
            </w:r>
            <w:r w:rsidR="00855B17" w:rsidRPr="00D44A32">
              <w:rPr>
                <w:lang w:val="fr-FR"/>
              </w:rPr>
              <w:t>il y a eu une coutume ou pratique consistant à utiliser le matériel à cette fin;  ou si, suite à des faits nouveaux, il y a une nouvelle coutume ou pratique consistant à utiliser le matériel à cette fin;</w:t>
            </w:r>
          </w:p>
          <w:p w:rsidR="002B18A7" w:rsidRPr="00D44A32" w:rsidRDefault="00855B17" w:rsidP="00D44A32">
            <w:pPr>
              <w:ind w:left="1102" w:hanging="535"/>
              <w:rPr>
                <w:lang w:val="fr-FR"/>
              </w:rPr>
            </w:pPr>
            <w:r w:rsidRPr="00D44A32">
              <w:rPr>
                <w:lang w:val="fr-FR"/>
              </w:rPr>
              <w:t>“iv)</w:t>
            </w:r>
            <w:r w:rsidRPr="00D44A32">
              <w:rPr>
                <w:lang w:val="fr-FR"/>
              </w:rPr>
              <w:tab/>
              <w:t>indiquer l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intention de la part des personnes concernées (producteur, vendeur, fournisseur, acheteur, destinataire, utilisateur);  ou</w:t>
            </w:r>
          </w:p>
          <w:p w:rsidR="004D7B6E" w:rsidRPr="00D44A32" w:rsidRDefault="005E237C" w:rsidP="00D44A32">
            <w:pPr>
              <w:ind w:left="1102" w:hanging="535"/>
              <w:rPr>
                <w:lang w:val="fr-FR"/>
              </w:rPr>
            </w:pPr>
            <w:r w:rsidRPr="00D44A32">
              <w:rPr>
                <w:lang w:val="fr-FR"/>
              </w:rPr>
              <w:t>“</w:t>
            </w:r>
            <w:r w:rsidR="00855B17" w:rsidRPr="00D44A32">
              <w:rPr>
                <w:lang w:val="fr-FR"/>
              </w:rPr>
              <w:t>v)</w:t>
            </w:r>
            <w:r w:rsidR="00855B17" w:rsidRPr="00D44A32">
              <w:rPr>
                <w:lang w:val="fr-FR"/>
              </w:rPr>
              <w:tab/>
              <w:t xml:space="preserve">si, sur la base de la nature et de la condition du matériel et/ou de la forme de son utilisation, il peut être établi que le matériel est du </w:t>
            </w:r>
            <w:r w:rsidR="00A1605A" w:rsidRPr="00D44A32">
              <w:rPr>
                <w:lang w:val="fr-FR"/>
              </w:rPr>
              <w:t>‘</w:t>
            </w:r>
            <w:r w:rsidR="00855B17" w:rsidRPr="00D44A32">
              <w:rPr>
                <w:lang w:val="fr-FR"/>
              </w:rPr>
              <w:t>matériel de reproduction ou de multiplication</w:t>
            </w:r>
            <w:r w:rsidR="00A1605A" w:rsidRPr="00D44A32">
              <w:rPr>
                <w:lang w:val="fr-FR"/>
              </w:rPr>
              <w:t>’</w:t>
            </w:r>
            <w:r w:rsidRPr="00D44A32">
              <w:rPr>
                <w:lang w:val="fr-FR"/>
              </w:rPr>
              <w:t>.</w:t>
            </w:r>
            <w:r w:rsidR="00855B17" w:rsidRPr="00D44A32">
              <w:rPr>
                <w:lang w:val="fr-FR"/>
              </w:rPr>
              <w:t>”</w:t>
            </w:r>
          </w:p>
        </w:tc>
      </w:tr>
    </w:tbl>
    <w:p w:rsidR="002B18A7" w:rsidRPr="00D44A32" w:rsidRDefault="002B18A7" w:rsidP="00D44A32">
      <w:pPr>
        <w:rPr>
          <w:lang w:val="fr-FR"/>
        </w:rPr>
      </w:pPr>
    </w:p>
    <w:p w:rsidR="002B18A7" w:rsidRPr="00D44A32" w:rsidRDefault="008F1D00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100B93" w:rsidRPr="00D44A32">
        <w:rPr>
          <w:lang w:val="fr-FR"/>
        </w:rPr>
        <w:t xml:space="preserve">Le CAJ est invité à considérer le document UPOV/EXN/PPM/1 Draft 4 comme </w:t>
      </w:r>
      <w:r w:rsidR="008D3E45" w:rsidRPr="00D44A32">
        <w:rPr>
          <w:lang w:val="fr-FR"/>
        </w:rPr>
        <w:t xml:space="preserve">une </w:t>
      </w:r>
      <w:r w:rsidR="00100B93" w:rsidRPr="00D44A32">
        <w:rPr>
          <w:lang w:val="fr-FR"/>
        </w:rPr>
        <w:t xml:space="preserve">base </w:t>
      </w:r>
      <w:r w:rsidR="00EA0530" w:rsidRPr="00D44A32">
        <w:rPr>
          <w:lang w:val="fr-FR"/>
        </w:rPr>
        <w:t>aux fins de</w:t>
      </w:r>
      <w:r w:rsidR="00100B93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100B93" w:rsidRPr="00D44A32">
        <w:rPr>
          <w:lang w:val="fr-FR"/>
        </w:rPr>
        <w:t>adoption des “</w:t>
      </w:r>
      <w:r w:rsidR="00100B93" w:rsidRPr="00D44A32">
        <w:rPr>
          <w:szCs w:val="22"/>
          <w:lang w:val="fr-FR"/>
        </w:rPr>
        <w:t>Notes explicatives sur le matériel de reproduction ou de multiplication selon l</w:t>
      </w:r>
      <w:r w:rsidR="00A1605A" w:rsidRPr="00D44A32">
        <w:rPr>
          <w:szCs w:val="22"/>
          <w:lang w:val="fr-FR"/>
        </w:rPr>
        <w:t>’</w:t>
      </w:r>
      <w:r w:rsidR="00100B93" w:rsidRPr="00D44A32">
        <w:rPr>
          <w:szCs w:val="22"/>
          <w:lang w:val="fr-FR"/>
        </w:rPr>
        <w:t>Acte de</w:t>
      </w:r>
      <w:r w:rsidR="00365E0C" w:rsidRPr="00D44A32">
        <w:rPr>
          <w:szCs w:val="22"/>
          <w:lang w:val="fr-FR"/>
        </w:rPr>
        <w:t> </w:t>
      </w:r>
      <w:r w:rsidR="00100B93" w:rsidRPr="00D44A32">
        <w:rPr>
          <w:szCs w:val="22"/>
          <w:lang w:val="fr-FR"/>
        </w:rPr>
        <w:t xml:space="preserve">1991 de la </w:t>
      </w:r>
      <w:r w:rsidR="00A1605A" w:rsidRPr="00D44A32">
        <w:rPr>
          <w:szCs w:val="22"/>
          <w:lang w:val="fr-FR"/>
        </w:rPr>
        <w:t>Convention UPOV</w:t>
      </w:r>
      <w:r w:rsidR="00100B93" w:rsidRPr="00D44A32">
        <w:rPr>
          <w:lang w:val="fr-FR"/>
        </w:rPr>
        <w:t>” par le Conseil à sa quarante</w:t>
      </w:r>
      <w:r w:rsidR="00C42784" w:rsidRPr="00D44A32">
        <w:rPr>
          <w:lang w:val="fr-FR"/>
        </w:rPr>
        <w:noBreakHyphen/>
      </w:r>
      <w:r w:rsidR="00100B93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100B93" w:rsidRPr="00D44A32">
        <w:rPr>
          <w:lang w:val="fr-FR"/>
        </w:rPr>
        <w:t>session ordinaire, prévue le 2</w:t>
      </w:r>
      <w:r w:rsidR="00A1605A" w:rsidRPr="00D44A32">
        <w:rPr>
          <w:lang w:val="fr-FR"/>
        </w:rPr>
        <w:t>9 octobre 20</w:t>
      </w:r>
      <w:r w:rsidR="00100B93" w:rsidRPr="00D44A32">
        <w:rPr>
          <w:lang w:val="fr-FR"/>
        </w:rPr>
        <w:t>15</w:t>
      </w:r>
      <w:r w:rsidR="00AB6E5A" w:rsidRPr="00D44A32">
        <w:rPr>
          <w:lang w:val="fr-FR"/>
        </w:rPr>
        <w:t>.</w:t>
      </w:r>
    </w:p>
    <w:p w:rsidR="002B18A7" w:rsidRPr="00D44A32" w:rsidRDefault="002B18A7" w:rsidP="00D44A32">
      <w:pPr>
        <w:pStyle w:val="DecisionParagraphs"/>
        <w:ind w:left="0"/>
        <w:rPr>
          <w:i w:val="0"/>
          <w:lang w:val="fr-FR" w:eastAsia="zh-CN"/>
        </w:rPr>
      </w:pPr>
    </w:p>
    <w:p w:rsidR="002B18A7" w:rsidRPr="00D44A32" w:rsidRDefault="002B18A7" w:rsidP="00D44A32">
      <w:pPr>
        <w:rPr>
          <w:lang w:val="fr-FR"/>
        </w:rPr>
      </w:pPr>
    </w:p>
    <w:p w:rsidR="00A1605A" w:rsidRPr="00D44A32" w:rsidRDefault="00855B17" w:rsidP="00D44A32">
      <w:pPr>
        <w:pStyle w:val="Heading2"/>
        <w:rPr>
          <w:kern w:val="28"/>
          <w:lang w:val="fr-FR"/>
        </w:rPr>
      </w:pPr>
      <w:bookmarkStart w:id="14" w:name="_Toc413318621"/>
      <w:bookmarkStart w:id="15" w:name="_Toc413404238"/>
      <w:r w:rsidRPr="00D44A32">
        <w:rPr>
          <w:kern w:val="28"/>
          <w:lang w:val="fr-FR"/>
        </w:rPr>
        <w:t xml:space="preserve">Notes explicatives sur les actes </w:t>
      </w:r>
      <w:r w:rsidR="00A1605A" w:rsidRPr="00D44A32">
        <w:rPr>
          <w:kern w:val="28"/>
          <w:lang w:val="fr-FR"/>
        </w:rPr>
        <w:t>à l’égard</w:t>
      </w:r>
      <w:r w:rsidRPr="00D44A32">
        <w:rPr>
          <w:kern w:val="28"/>
          <w:lang w:val="fr-FR"/>
        </w:rPr>
        <w:t xml:space="preserve"> du produit de la récolte selon l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Acte de</w:t>
      </w:r>
      <w:r w:rsidR="00365E0C" w:rsidRPr="00D44A32">
        <w:rPr>
          <w:kern w:val="28"/>
          <w:lang w:val="fr-FR"/>
        </w:rPr>
        <w:t> </w:t>
      </w:r>
      <w:r w:rsidRPr="00D44A32">
        <w:rPr>
          <w:kern w:val="28"/>
          <w:lang w:val="fr-FR"/>
        </w:rPr>
        <w:t xml:space="preserve">1991 de la </w:t>
      </w:r>
      <w:r w:rsidR="00A1605A" w:rsidRPr="00D44A32">
        <w:rPr>
          <w:kern w:val="28"/>
          <w:lang w:val="fr-FR"/>
        </w:rPr>
        <w:t>Convention UPOV</w:t>
      </w:r>
      <w:r w:rsidRPr="00D44A32">
        <w:rPr>
          <w:kern w:val="28"/>
          <w:lang w:val="fr-FR"/>
        </w:rPr>
        <w:t xml:space="preserve"> (</w:t>
      </w:r>
      <w:r w:rsidR="00957DA8" w:rsidRPr="00D44A32">
        <w:rPr>
          <w:kern w:val="28"/>
          <w:lang w:val="fr-FR"/>
        </w:rPr>
        <w:t>r</w:t>
      </w:r>
      <w:r w:rsidRPr="00D44A32">
        <w:rPr>
          <w:kern w:val="28"/>
          <w:lang w:val="fr-FR"/>
        </w:rPr>
        <w:t>évision) (document CAJ/71/2)</w:t>
      </w:r>
      <w:bookmarkEnd w:id="14"/>
      <w:bookmarkEnd w:id="15"/>
    </w:p>
    <w:p w:rsidR="002B18A7" w:rsidRPr="00D44A32" w:rsidRDefault="002B18A7" w:rsidP="00D44A32">
      <w:pPr>
        <w:keepNext/>
        <w:ind w:right="567"/>
        <w:rPr>
          <w:kern w:val="28"/>
          <w:lang w:val="fr-FR"/>
        </w:rPr>
      </w:pPr>
    </w:p>
    <w:p w:rsidR="002B18A7" w:rsidRPr="00D44A32" w:rsidRDefault="004D7B6E" w:rsidP="00D44A32">
      <w:pPr>
        <w:rPr>
          <w:lang w:val="fr-FR"/>
        </w:rPr>
      </w:pPr>
      <w:r w:rsidRPr="00D44A32">
        <w:rPr>
          <w:rFonts w:cs="Arial"/>
          <w:lang w:val="fr-FR"/>
        </w:rPr>
        <w:fldChar w:fldCharType="begin"/>
      </w:r>
      <w:r w:rsidRPr="00D44A32">
        <w:rPr>
          <w:rFonts w:cs="Arial"/>
          <w:lang w:val="fr-FR"/>
        </w:rPr>
        <w:instrText xml:space="preserve"> AUTONUM  </w:instrText>
      </w:r>
      <w:r w:rsidRPr="00D44A32">
        <w:rPr>
          <w:rFonts w:cs="Arial"/>
          <w:lang w:val="fr-FR"/>
        </w:rPr>
        <w:fldChar w:fldCharType="end"/>
      </w:r>
      <w:r w:rsidRPr="00D44A32">
        <w:rPr>
          <w:rFonts w:cs="Arial"/>
          <w:lang w:val="fr-FR"/>
        </w:rPr>
        <w:tab/>
      </w:r>
      <w:r w:rsidR="00100B93" w:rsidRPr="00D44A32">
        <w:rPr>
          <w:lang w:val="fr-FR"/>
        </w:rPr>
        <w:t xml:space="preserve">Le </w:t>
      </w:r>
      <w:r w:rsidRPr="00D44A32">
        <w:rPr>
          <w:lang w:val="fr-FR"/>
        </w:rPr>
        <w:t>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</w:t>
      </w:r>
      <w:r w:rsidR="00FE7F6B" w:rsidRPr="00D44A32">
        <w:rPr>
          <w:rStyle w:val="FootnoteReference"/>
          <w:lang w:val="fr-FR"/>
        </w:rPr>
        <w:footnoteReference w:id="15"/>
      </w:r>
      <w:r w:rsidRPr="00D44A32">
        <w:rPr>
          <w:lang w:val="fr-FR"/>
        </w:rPr>
        <w:t xml:space="preserve"> </w:t>
      </w:r>
      <w:r w:rsidR="00100B93" w:rsidRPr="00D44A32">
        <w:rPr>
          <w:lang w:val="fr-FR"/>
        </w:rPr>
        <w:t xml:space="preserve">a examiné le </w:t>
      </w:r>
      <w:r w:rsidRPr="00D44A32">
        <w:rPr>
          <w:lang w:val="fr-FR"/>
        </w:rPr>
        <w:t xml:space="preserve">document UPOV/EXN/HRV/2 Draft 2 </w:t>
      </w:r>
      <w:r w:rsidR="00100B93" w:rsidRPr="00D44A32">
        <w:rPr>
          <w:lang w:val="fr-FR"/>
        </w:rPr>
        <w:t>et les points de vue exprimés par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AIPH, </w:t>
      </w:r>
      <w:r w:rsidR="00100B93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APBREBES,</w:t>
      </w:r>
      <w:r w:rsidR="00A1605A" w:rsidRPr="00D44A32">
        <w:rPr>
          <w:lang w:val="fr-FR"/>
        </w:rPr>
        <w:t xml:space="preserve"> la CIO</w:t>
      </w:r>
      <w:r w:rsidRPr="00D44A32">
        <w:rPr>
          <w:lang w:val="fr-FR"/>
        </w:rPr>
        <w:t xml:space="preserve">PORA </w:t>
      </w:r>
      <w:r w:rsidR="00100B93" w:rsidRPr="00D44A32">
        <w:rPr>
          <w:lang w:val="fr-FR"/>
        </w:rPr>
        <w:t>et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ESA</w:t>
      </w:r>
      <w:r w:rsidR="00FE7F6B" w:rsidRPr="00D44A32">
        <w:rPr>
          <w:rStyle w:val="FootnoteReference"/>
          <w:lang w:val="fr-FR"/>
        </w:rPr>
        <w:footnoteReference w:id="16"/>
      </w:r>
      <w:r w:rsidR="005E237C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A1605A" w:rsidRPr="00D44A32" w:rsidRDefault="004D7B6E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100B93" w:rsidRPr="00D44A32">
        <w:rPr>
          <w:lang w:val="fr-FR"/>
        </w:rPr>
        <w:t>Le</w:t>
      </w:r>
      <w:r w:rsidRPr="00D44A32">
        <w:rPr>
          <w:lang w:val="fr-FR"/>
        </w:rPr>
        <w:t xml:space="preserve"> 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100B93" w:rsidRPr="00D44A32">
        <w:rPr>
          <w:lang w:val="fr-FR"/>
        </w:rPr>
        <w:t>a conclu qu</w:t>
      </w:r>
      <w:r w:rsidR="00A1605A" w:rsidRPr="00D44A32">
        <w:rPr>
          <w:lang w:val="fr-FR"/>
        </w:rPr>
        <w:t>’</w:t>
      </w:r>
      <w:r w:rsidR="00100B93" w:rsidRPr="00D44A32">
        <w:rPr>
          <w:lang w:val="fr-FR"/>
        </w:rPr>
        <w:t xml:space="preserve">il ne serait pas approprié pour le moment de chercher à élaborer une révision du document </w:t>
      </w:r>
      <w:r w:rsidRPr="00D44A32">
        <w:rPr>
          <w:lang w:val="fr-FR"/>
        </w:rPr>
        <w:t>UPOV/EXN/HRV/1.</w:t>
      </w:r>
    </w:p>
    <w:p w:rsidR="002B18A7" w:rsidRPr="00D44A32" w:rsidRDefault="002B18A7" w:rsidP="00D44A32">
      <w:pPr>
        <w:ind w:right="567"/>
        <w:rPr>
          <w:kern w:val="28"/>
          <w:lang w:val="fr-FR"/>
        </w:rPr>
      </w:pPr>
    </w:p>
    <w:p w:rsidR="002B18A7" w:rsidRPr="00D44A32" w:rsidRDefault="0050638A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100B93" w:rsidRPr="00D44A32">
        <w:rPr>
          <w:lang w:val="fr-FR"/>
        </w:rPr>
        <w:t>Le CAJ est invité à examiner la conclusion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="00100B93" w:rsidRPr="00D44A32">
        <w:rPr>
          <w:lang w:val="fr-FR"/>
        </w:rPr>
        <w:t xml:space="preserve">AG selon laquelle il ne serait pas approprié pour le moment de chercher à élaborer une révision du document </w:t>
      </w:r>
      <w:r w:rsidR="00365E0C" w:rsidRPr="00D44A32">
        <w:rPr>
          <w:lang w:val="fr-FR"/>
        </w:rPr>
        <w:t>“</w:t>
      </w:r>
      <w:r w:rsidR="00100B93" w:rsidRPr="00D44A32">
        <w:rPr>
          <w:lang w:val="fr-FR"/>
        </w:rPr>
        <w:t xml:space="preserve">Notes explicatives sur les actes </w:t>
      </w:r>
      <w:r w:rsidR="00A1605A" w:rsidRPr="00D44A32">
        <w:rPr>
          <w:lang w:val="fr-FR"/>
        </w:rPr>
        <w:t>à l’égard</w:t>
      </w:r>
      <w:r w:rsidR="00100B93" w:rsidRPr="00D44A32">
        <w:rPr>
          <w:lang w:val="fr-FR"/>
        </w:rPr>
        <w:t xml:space="preserve"> du produit de la récolte selon </w:t>
      </w:r>
      <w:r w:rsidR="00C72A85">
        <w:rPr>
          <w:lang w:val="fr-FR"/>
        </w:rPr>
        <w:br/>
      </w:r>
      <w:r w:rsidR="00100B93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="00100B93" w:rsidRPr="00D44A32">
        <w:rPr>
          <w:lang w:val="fr-FR"/>
        </w:rPr>
        <w:t>Acte de</w:t>
      </w:r>
      <w:r w:rsidR="00C72A85">
        <w:rPr>
          <w:lang w:val="fr-FR"/>
        </w:rPr>
        <w:t xml:space="preserve"> </w:t>
      </w:r>
      <w:r w:rsidR="00100B93" w:rsidRPr="00D44A32">
        <w:rPr>
          <w:lang w:val="fr-FR"/>
        </w:rPr>
        <w:t xml:space="preserve">1991 de la </w:t>
      </w:r>
      <w:r w:rsidR="00A1605A" w:rsidRPr="00D44A32">
        <w:rPr>
          <w:lang w:val="fr-FR"/>
        </w:rPr>
        <w:t>Conventi</w:t>
      </w:r>
      <w:r w:rsidR="00355DDA">
        <w:rPr>
          <w:lang w:val="fr-FR"/>
        </w:rPr>
        <w:t xml:space="preserve">on </w:t>
      </w:r>
      <w:r w:rsidR="00A1605A" w:rsidRPr="00D44A32">
        <w:rPr>
          <w:lang w:val="fr-FR"/>
        </w:rPr>
        <w:t>UPOV</w:t>
      </w:r>
      <w:r w:rsidR="00365E0C" w:rsidRPr="00D44A32">
        <w:rPr>
          <w:lang w:val="fr-FR"/>
        </w:rPr>
        <w:t>”</w:t>
      </w:r>
      <w:r w:rsidR="00C72A85">
        <w:rPr>
          <w:lang w:val="fr-FR"/>
        </w:rPr>
        <w:t xml:space="preserve"> (document </w:t>
      </w:r>
      <w:r w:rsidR="00100B93" w:rsidRPr="00D44A32">
        <w:rPr>
          <w:lang w:val="fr-FR"/>
        </w:rPr>
        <w:t>UPOV/EXN/HRV/1)</w:t>
      </w:r>
      <w:r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855B17" w:rsidP="00D44A32">
      <w:pPr>
        <w:pStyle w:val="Heading2"/>
        <w:rPr>
          <w:lang w:val="fr-FR"/>
        </w:rPr>
      </w:pPr>
      <w:bookmarkStart w:id="16" w:name="_Toc413318622"/>
      <w:bookmarkStart w:id="17" w:name="_Toc413404239"/>
      <w:r w:rsidRPr="00D44A32">
        <w:rPr>
          <w:lang w:val="fr-FR"/>
        </w:rPr>
        <w:t>Notes explicatives sur la déchéance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obten</w:t>
      </w:r>
      <w:r w:rsidR="001129EA" w:rsidRPr="00D44A32">
        <w:rPr>
          <w:lang w:val="fr-FR"/>
        </w:rPr>
        <w:t xml:space="preserve">teur selon la </w:t>
      </w:r>
      <w:r w:rsidR="00A1605A" w:rsidRPr="00D44A32">
        <w:rPr>
          <w:lang w:val="fr-FR"/>
        </w:rPr>
        <w:t>Convention UPOV</w:t>
      </w:r>
      <w:r w:rsidR="001129EA" w:rsidRPr="00D44A32">
        <w:rPr>
          <w:lang w:val="fr-FR"/>
        </w:rPr>
        <w:t xml:space="preserve"> (</w:t>
      </w:r>
      <w:r w:rsidR="00957DA8" w:rsidRPr="00D44A32">
        <w:rPr>
          <w:lang w:val="fr-FR"/>
        </w:rPr>
        <w:t>r</w:t>
      </w:r>
      <w:r w:rsidRPr="00D44A32">
        <w:rPr>
          <w:lang w:val="fr-FR"/>
        </w:rPr>
        <w:t>év</w:t>
      </w:r>
      <w:r w:rsidR="00270E13" w:rsidRPr="00D44A32">
        <w:rPr>
          <w:lang w:val="fr-FR"/>
        </w:rPr>
        <w:t>ision) (document UPOV/EXN/CAN/2 Draft </w:t>
      </w:r>
      <w:r w:rsidRPr="00D44A32">
        <w:rPr>
          <w:lang w:val="fr-FR"/>
        </w:rPr>
        <w:t>3)</w:t>
      </w:r>
      <w:bookmarkEnd w:id="16"/>
      <w:bookmarkEnd w:id="17"/>
    </w:p>
    <w:p w:rsidR="002B18A7" w:rsidRPr="00D44A32" w:rsidRDefault="002B18A7" w:rsidP="00D44A32">
      <w:pPr>
        <w:keepNext/>
        <w:ind w:right="567"/>
        <w:rPr>
          <w:lang w:val="fr-FR"/>
        </w:rPr>
      </w:pPr>
    </w:p>
    <w:p w:rsidR="002B18A7" w:rsidRPr="00D44A32" w:rsidRDefault="00E2596B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100B93" w:rsidRPr="00D44A32">
        <w:rPr>
          <w:lang w:val="fr-FR"/>
        </w:rPr>
        <w:t>L</w:t>
      </w:r>
      <w:r w:rsidR="00100B93" w:rsidRPr="00D44A32">
        <w:rPr>
          <w:rFonts w:cs="Arial"/>
          <w:lang w:val="fr-FR"/>
        </w:rPr>
        <w:t>e</w:t>
      </w:r>
      <w:r w:rsidR="00625F49" w:rsidRPr="00D44A32">
        <w:rPr>
          <w:rFonts w:cs="Arial"/>
          <w:lang w:val="fr-FR"/>
        </w:rPr>
        <w:t xml:space="preserve"> CAJ</w:t>
      </w:r>
      <w:r w:rsidR="00C42784" w:rsidRPr="00D44A32">
        <w:rPr>
          <w:rFonts w:cs="Arial"/>
          <w:lang w:val="fr-FR"/>
        </w:rPr>
        <w:noBreakHyphen/>
      </w:r>
      <w:r w:rsidRPr="00D44A32">
        <w:rPr>
          <w:rFonts w:cs="Arial"/>
          <w:lang w:val="fr-FR"/>
        </w:rPr>
        <w:t>AG</w:t>
      </w:r>
      <w:r w:rsidRPr="00D44A32">
        <w:rPr>
          <w:rStyle w:val="FootnoteReference"/>
          <w:rFonts w:cs="Arial"/>
          <w:lang w:val="fr-FR"/>
        </w:rPr>
        <w:footnoteReference w:id="17"/>
      </w:r>
      <w:r w:rsidRPr="00D44A32">
        <w:rPr>
          <w:rFonts w:cs="Arial"/>
          <w:lang w:val="fr-FR"/>
        </w:rPr>
        <w:t xml:space="preserve"> </w:t>
      </w:r>
      <w:r w:rsidR="00100B93" w:rsidRPr="00D44A32">
        <w:rPr>
          <w:rFonts w:cs="Arial"/>
          <w:lang w:val="fr-FR"/>
        </w:rPr>
        <w:t xml:space="preserve">a examiné le </w:t>
      </w:r>
      <w:r w:rsidRPr="00D44A32">
        <w:rPr>
          <w:rFonts w:cs="Arial"/>
          <w:lang w:val="fr-FR"/>
        </w:rPr>
        <w:t xml:space="preserve">document </w:t>
      </w:r>
      <w:r w:rsidRPr="00D44A32">
        <w:rPr>
          <w:lang w:val="fr-FR"/>
        </w:rPr>
        <w:t xml:space="preserve">UPOV/EXN/CAN/2 Draft 2 </w:t>
      </w:r>
      <w:r w:rsidR="00100B93" w:rsidRPr="00D44A32">
        <w:rPr>
          <w:lang w:val="fr-FR"/>
        </w:rPr>
        <w:t xml:space="preserve">et le point de vue exprimé par </w:t>
      </w:r>
      <w:r w:rsidRPr="00D44A32">
        <w:rPr>
          <w:rFonts w:cs="Arial"/>
          <w:szCs w:val="26"/>
          <w:lang w:val="fr-FR"/>
        </w:rPr>
        <w:t>CropLife International</w:t>
      </w:r>
      <w:r w:rsidRPr="00D44A32">
        <w:rPr>
          <w:rStyle w:val="FootnoteReference"/>
          <w:rFonts w:cs="Arial"/>
          <w:szCs w:val="26"/>
          <w:lang w:val="fr-FR"/>
        </w:rPr>
        <w:footnoteReference w:id="18"/>
      </w:r>
      <w:r w:rsidR="005E237C" w:rsidRPr="00D44A32">
        <w:rPr>
          <w:rFonts w:cs="Arial"/>
          <w:szCs w:val="26"/>
          <w:lang w:val="fr-FR"/>
        </w:rPr>
        <w:t>.</w:t>
      </w:r>
    </w:p>
    <w:p w:rsidR="002B18A7" w:rsidRPr="00D44A32" w:rsidRDefault="002B18A7" w:rsidP="00D44A32">
      <w:pPr>
        <w:jc w:val="left"/>
        <w:rPr>
          <w:lang w:val="fr-FR"/>
        </w:rPr>
      </w:pPr>
    </w:p>
    <w:p w:rsidR="002B18A7" w:rsidRPr="00D44A32" w:rsidRDefault="00E2596B" w:rsidP="00D44A32">
      <w:pPr>
        <w:keepNext/>
        <w:rPr>
          <w:rFonts w:cs="Arial"/>
          <w:lang w:val="fr-FR"/>
        </w:rPr>
      </w:pPr>
      <w:r w:rsidRPr="00D44A32">
        <w:rPr>
          <w:lang w:val="fr-FR"/>
        </w:rPr>
        <w:lastRenderedPageBreak/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D0DCB" w:rsidRPr="00D44A32">
        <w:rPr>
          <w:rFonts w:cs="Arial"/>
          <w:lang w:val="fr-FR"/>
        </w:rPr>
        <w:t xml:space="preserve">Le </w:t>
      </w:r>
      <w:r w:rsidRPr="00D44A32">
        <w:rPr>
          <w:rFonts w:cs="Arial"/>
          <w:lang w:val="fr-FR"/>
        </w:rPr>
        <w:t xml:space="preserve">CAJ­AG </w:t>
      </w:r>
      <w:r w:rsidR="000D0DCB" w:rsidRPr="00D44A32">
        <w:rPr>
          <w:rFonts w:cs="Arial"/>
          <w:lang w:val="fr-FR"/>
        </w:rPr>
        <w:t>a approuvé les modifications suivantes à apporter au</w:t>
      </w:r>
      <w:r w:rsidRPr="00D44A32">
        <w:rPr>
          <w:rFonts w:cs="Arial"/>
          <w:lang w:val="fr-FR"/>
        </w:rPr>
        <w:t xml:space="preserve"> document </w:t>
      </w:r>
      <w:r w:rsidRPr="00D44A32">
        <w:rPr>
          <w:lang w:val="fr-FR"/>
        </w:rPr>
        <w:t>UPOV/EXN/CAN/2 Draft 2</w:t>
      </w:r>
      <w:r w:rsidR="00EA0530" w:rsidRPr="00D44A32">
        <w:rPr>
          <w:lang w:val="fr-FR"/>
        </w:rPr>
        <w:t> </w:t>
      </w:r>
      <w:r w:rsidRPr="00D44A32">
        <w:rPr>
          <w:rFonts w:cs="Arial"/>
          <w:lang w:val="fr-FR"/>
        </w:rPr>
        <w:t>:</w:t>
      </w:r>
    </w:p>
    <w:p w:rsidR="00E2596B" w:rsidRPr="00D44A32" w:rsidRDefault="00E2596B" w:rsidP="00D44A32">
      <w:pPr>
        <w:keepNext/>
        <w:rPr>
          <w:rFonts w:cs="Arial"/>
          <w:lang w:val="fr-FR"/>
        </w:rPr>
      </w:pPr>
    </w:p>
    <w:tbl>
      <w:tblPr>
        <w:tblW w:w="9180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464"/>
        <w:gridCol w:w="7716"/>
      </w:tblGrid>
      <w:tr w:rsidR="00D44A32" w:rsidRPr="00D44A32" w:rsidTr="00716567">
        <w:trPr>
          <w:cantSplit/>
        </w:trPr>
        <w:tc>
          <w:tcPr>
            <w:tcW w:w="1464" w:type="dxa"/>
          </w:tcPr>
          <w:p w:rsidR="00E2596B" w:rsidRPr="00D44A32" w:rsidRDefault="00855B17" w:rsidP="00D44A32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Titre – page de couverture</w:t>
            </w:r>
          </w:p>
        </w:tc>
        <w:tc>
          <w:tcPr>
            <w:tcW w:w="7716" w:type="dxa"/>
          </w:tcPr>
          <w:p w:rsidR="00E2596B" w:rsidRPr="00D44A32" w:rsidRDefault="00855B17" w:rsidP="00D44A32">
            <w:pPr>
              <w:keepNext/>
              <w:keepLines/>
              <w:rPr>
                <w:snapToGrid w:val="0"/>
                <w:lang w:val="fr-FR"/>
              </w:rPr>
            </w:pPr>
            <w:r w:rsidRPr="00D44A32">
              <w:rPr>
                <w:snapToGrid w:val="0"/>
                <w:lang w:val="fr-FR"/>
              </w:rPr>
              <w:t>Supprimer “l</w:t>
            </w:r>
            <w:r w:rsidR="00A1605A" w:rsidRPr="00D44A32">
              <w:rPr>
                <w:snapToGrid w:val="0"/>
                <w:lang w:val="fr-FR"/>
              </w:rPr>
              <w:t>’</w:t>
            </w:r>
            <w:r w:rsidRPr="00D44A32">
              <w:rPr>
                <w:snapToGrid w:val="0"/>
                <w:lang w:val="fr-FR"/>
              </w:rPr>
              <w:t>Acte de</w:t>
            </w:r>
            <w:r w:rsidR="00365E0C" w:rsidRPr="00D44A32">
              <w:rPr>
                <w:snapToGrid w:val="0"/>
                <w:lang w:val="fr-FR"/>
              </w:rPr>
              <w:t> </w:t>
            </w:r>
            <w:r w:rsidRPr="00D44A32">
              <w:rPr>
                <w:snapToGrid w:val="0"/>
                <w:lang w:val="fr-FR"/>
              </w:rPr>
              <w:t>1991”</w:t>
            </w:r>
          </w:p>
        </w:tc>
      </w:tr>
      <w:tr w:rsidR="00D44A32" w:rsidRPr="00D44A32" w:rsidTr="00716567">
        <w:trPr>
          <w:cantSplit/>
        </w:trPr>
        <w:tc>
          <w:tcPr>
            <w:tcW w:w="1464" w:type="dxa"/>
          </w:tcPr>
          <w:p w:rsidR="00E2596B" w:rsidRPr="00D44A32" w:rsidRDefault="00855B17" w:rsidP="00D44A32">
            <w:pPr>
              <w:keepNext/>
              <w:keepLines/>
              <w:jc w:val="left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6</w:t>
            </w:r>
            <w:r w:rsidR="00E2596B" w:rsidRPr="00D44A32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716" w:type="dxa"/>
          </w:tcPr>
          <w:p w:rsidR="002B18A7" w:rsidRPr="00D44A32" w:rsidRDefault="00855B17" w:rsidP="00D44A32">
            <w:pPr>
              <w:pStyle w:val="Style1"/>
              <w:keepNext/>
              <w:keepLines/>
              <w:tabs>
                <w:tab w:val="clear" w:pos="907"/>
                <w:tab w:val="clear" w:pos="1077"/>
              </w:tabs>
              <w:rPr>
                <w:lang w:val="fr-FR"/>
              </w:rPr>
            </w:pPr>
            <w:r w:rsidRPr="00D44A32">
              <w:rPr>
                <w:lang w:val="fr-FR"/>
              </w:rPr>
              <w:t>Remplacer par</w:t>
            </w:r>
            <w:r w:rsidR="00365E0C" w:rsidRPr="00D44A32">
              <w:rPr>
                <w:lang w:val="fr-FR"/>
              </w:rPr>
              <w:t> </w:t>
            </w:r>
            <w:r w:rsidRPr="00D44A32">
              <w:rPr>
                <w:lang w:val="fr-FR"/>
              </w:rPr>
              <w:t>:</w:t>
            </w:r>
          </w:p>
          <w:p w:rsidR="002B18A7" w:rsidRPr="00D44A32" w:rsidRDefault="002B18A7" w:rsidP="00D44A32">
            <w:pPr>
              <w:pStyle w:val="Style1"/>
              <w:keepNext/>
              <w:keepLines/>
              <w:tabs>
                <w:tab w:val="clear" w:pos="907"/>
                <w:tab w:val="clear" w:pos="1077"/>
              </w:tabs>
              <w:rPr>
                <w:lang w:val="fr-FR"/>
              </w:rPr>
            </w:pPr>
          </w:p>
          <w:p w:rsidR="00E2596B" w:rsidRPr="00D44A32" w:rsidRDefault="00365E0C" w:rsidP="00CF2903">
            <w:pPr>
              <w:keepNext/>
              <w:keepLines/>
              <w:rPr>
                <w:rFonts w:cs="Arial"/>
                <w:sz w:val="24"/>
                <w:szCs w:val="24"/>
                <w:lang w:val="fr-FR"/>
              </w:rPr>
            </w:pPr>
            <w:r w:rsidRPr="00D44A32">
              <w:rPr>
                <w:lang w:val="fr-FR"/>
              </w:rPr>
              <w:t>“</w:t>
            </w:r>
            <w:r w:rsidR="00270E13" w:rsidRPr="00D44A32">
              <w:rPr>
                <w:lang w:val="fr-FR"/>
              </w:rPr>
              <w:t>6.</w:t>
            </w:r>
            <w:r w:rsidR="00270E13" w:rsidRPr="00D44A32">
              <w:rPr>
                <w:lang w:val="fr-FR"/>
              </w:rPr>
              <w:tab/>
              <w:t>La déchéance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un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obtenteur est différente de l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 xml:space="preserve">abandon de ce droit ou de la renonciation audit droit.  </w:t>
            </w:r>
            <w:r w:rsidR="00270E13" w:rsidRPr="00D44A32">
              <w:rPr>
                <w:highlight w:val="lightGray"/>
                <w:u w:val="single"/>
                <w:lang w:val="fr-FR"/>
              </w:rPr>
              <w:t>La déchéance d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>un droit d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>obtenteur doit faire l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>objet d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 xml:space="preserve">une décision du service compétent conformément à la </w:t>
            </w:r>
            <w:r w:rsidR="00A1605A" w:rsidRPr="00D44A32">
              <w:rPr>
                <w:highlight w:val="lightGray"/>
                <w:u w:val="single"/>
                <w:lang w:val="fr-FR"/>
              </w:rPr>
              <w:t>Convention UPOV</w:t>
            </w:r>
            <w:r w:rsidR="00270E13" w:rsidRPr="00D44A32">
              <w:rPr>
                <w:highlight w:val="lightGray"/>
                <w:u w:val="single"/>
                <w:lang w:val="fr-FR"/>
              </w:rPr>
              <w:t xml:space="preserve"> (voir paragraphe 3).  Par contre,</w:t>
            </w:r>
            <w:r w:rsidR="00270E13" w:rsidRPr="00D44A32">
              <w:rPr>
                <w:lang w:val="fr-FR"/>
              </w:rPr>
              <w:t xml:space="preserve"> l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abandon du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obtenteur est une décision unilatérale que prend le titulaire du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obtenteur et qui n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est pas liée au respect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 xml:space="preserve">une quelconque obligation relevant de la </w:t>
            </w:r>
            <w:r w:rsidR="00A1605A" w:rsidRPr="00D44A32">
              <w:rPr>
                <w:lang w:val="fr-FR"/>
              </w:rPr>
              <w:t>Convention UPOV</w:t>
            </w:r>
            <w:r w:rsidR="00270E13" w:rsidRPr="00D44A32">
              <w:rPr>
                <w:lang w:val="fr-FR"/>
              </w:rPr>
              <w:t>.  Le titulaire du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 xml:space="preserve">obtenteur </w:t>
            </w:r>
            <w:r w:rsidR="00270E13" w:rsidRPr="00D44A32">
              <w:rPr>
                <w:strike/>
                <w:highlight w:val="lightGray"/>
                <w:lang w:val="fr-FR"/>
              </w:rPr>
              <w:t>décide</w:t>
            </w:r>
            <w:r w:rsidR="00270E13" w:rsidRPr="00D44A32">
              <w:rPr>
                <w:lang w:val="fr-FR"/>
              </w:rPr>
              <w:t xml:space="preserve"> </w:t>
            </w:r>
            <w:r w:rsidR="00270E13" w:rsidRPr="00D44A32">
              <w:rPr>
                <w:highlight w:val="lightGray"/>
                <w:u w:val="single"/>
                <w:lang w:val="fr-FR"/>
              </w:rPr>
              <w:t>peut décider</w:t>
            </w:r>
            <w:r w:rsidR="00270E13" w:rsidRPr="00D44A32">
              <w:rPr>
                <w:lang w:val="fr-FR"/>
              </w:rPr>
              <w:t xml:space="preserve">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une extinction anticipée en informant le service qui octroie les droits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 xml:space="preserve">obtenteur.  </w:t>
            </w:r>
            <w:r w:rsidR="00270E13" w:rsidRPr="00D44A32">
              <w:rPr>
                <w:highlight w:val="lightGray"/>
                <w:u w:val="single"/>
                <w:lang w:val="fr-FR"/>
              </w:rPr>
              <w:t xml:space="preserve">Le service compétent </w:t>
            </w:r>
            <w:r w:rsidR="00CF2903">
              <w:rPr>
                <w:highlight w:val="lightGray"/>
                <w:u w:val="single"/>
                <w:lang w:val="fr-FR"/>
              </w:rPr>
              <w:t xml:space="preserve">communique au public l’expiration </w:t>
            </w:r>
            <w:r w:rsidR="00270E13" w:rsidRPr="00D44A32">
              <w:rPr>
                <w:highlight w:val="lightGray"/>
                <w:u w:val="single"/>
                <w:lang w:val="fr-FR"/>
              </w:rPr>
              <w:t>du droit d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>obtenteur</w:t>
            </w:r>
            <w:r w:rsidR="00270E13" w:rsidRPr="00D44A32">
              <w:rPr>
                <w:highlight w:val="lightGray"/>
                <w:lang w:val="fr-FR"/>
              </w:rPr>
              <w:t>.</w:t>
            </w:r>
            <w:r w:rsidRPr="00D44A32">
              <w:rPr>
                <w:highlight w:val="lightGray"/>
                <w:lang w:val="fr-FR"/>
              </w:rPr>
              <w:t xml:space="preserve">  </w:t>
            </w:r>
            <w:r w:rsidRPr="00D44A32">
              <w:rPr>
                <w:lang w:val="fr-FR"/>
              </w:rPr>
              <w:t>”</w:t>
            </w:r>
          </w:p>
        </w:tc>
      </w:tr>
      <w:tr w:rsidR="00D44A32" w:rsidRPr="00D44A32" w:rsidTr="00716567">
        <w:trPr>
          <w:cantSplit/>
        </w:trPr>
        <w:tc>
          <w:tcPr>
            <w:tcW w:w="1464" w:type="dxa"/>
          </w:tcPr>
          <w:p w:rsidR="00E2596B" w:rsidRPr="00D44A32" w:rsidRDefault="00855B17" w:rsidP="00D44A32">
            <w:pPr>
              <w:jc w:val="left"/>
              <w:rPr>
                <w:rFonts w:cs="Arial"/>
                <w:i/>
                <w:lang w:val="fr-FR"/>
              </w:rPr>
            </w:pPr>
            <w:r w:rsidRPr="00D44A32">
              <w:rPr>
                <w:rFonts w:cs="Arial"/>
                <w:i/>
                <w:lang w:val="fr-FR"/>
              </w:rPr>
              <w:t>Contrôle du maintien de la variété</w:t>
            </w:r>
            <w:r w:rsidR="00E2596B" w:rsidRPr="00D44A32">
              <w:rPr>
                <w:rFonts w:cs="Arial"/>
                <w:i/>
                <w:lang w:val="fr-FR"/>
              </w:rPr>
              <w:t xml:space="preserve"> </w:t>
            </w:r>
          </w:p>
        </w:tc>
        <w:tc>
          <w:tcPr>
            <w:tcW w:w="7716" w:type="dxa"/>
          </w:tcPr>
          <w:p w:rsidR="002B18A7" w:rsidRPr="00D44A32" w:rsidRDefault="00855B17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Le CAJ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Pr="00D44A32">
              <w:rPr>
                <w:rFonts w:cs="Arial"/>
                <w:lang w:val="fr-FR"/>
              </w:rPr>
              <w:t xml:space="preserve">AG </w:t>
            </w:r>
            <w:r w:rsidR="00EA0530" w:rsidRPr="00D44A32">
              <w:rPr>
                <w:rFonts w:cs="Arial"/>
                <w:lang w:val="fr-FR"/>
              </w:rPr>
              <w:t>a noté</w:t>
            </w:r>
            <w:r w:rsidRPr="00D44A32">
              <w:rPr>
                <w:rFonts w:cs="Arial"/>
                <w:lang w:val="fr-FR"/>
              </w:rPr>
              <w:t xml:space="preserve"> que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élaboration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>orientations sur la section “</w:t>
            </w:r>
            <w:r w:rsidRPr="00D44A32">
              <w:rPr>
                <w:rFonts w:cs="Arial"/>
                <w:i/>
                <w:lang w:val="fr-FR"/>
              </w:rPr>
              <w:t>Contrôle du maintien de la variété”</w:t>
            </w:r>
            <w:r w:rsidRPr="00D44A32">
              <w:rPr>
                <w:rFonts w:cs="Arial"/>
                <w:lang w:val="fr-FR"/>
              </w:rPr>
              <w:t xml:space="preserve"> devra</w:t>
            </w:r>
            <w:r w:rsidR="00EA0530" w:rsidRPr="00D44A32">
              <w:rPr>
                <w:rFonts w:cs="Arial"/>
                <w:lang w:val="fr-FR"/>
              </w:rPr>
              <w:t>it</w:t>
            </w:r>
            <w:r w:rsidRPr="00D44A32">
              <w:rPr>
                <w:rFonts w:cs="Arial"/>
                <w:lang w:val="fr-FR"/>
              </w:rPr>
              <w:t xml:space="preserve"> attendre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Pr="00D44A32">
              <w:rPr>
                <w:rFonts w:cs="Arial"/>
                <w:lang w:val="fr-FR"/>
              </w:rPr>
              <w:t xml:space="preserve">examen par le Comité technique de questions pertinentes sur les descriptions variétales, comme expliqué dans la </w:t>
            </w:r>
            <w:r w:rsidR="00270E13" w:rsidRPr="00D44A32">
              <w:rPr>
                <w:rFonts w:cs="Arial"/>
                <w:lang w:val="fr-FR"/>
              </w:rPr>
              <w:t>note du document UPOV/EXN/CAN/2 Draft </w:t>
            </w:r>
            <w:r w:rsidRPr="00D44A32">
              <w:rPr>
                <w:rFonts w:cs="Arial"/>
                <w:lang w:val="fr-FR"/>
              </w:rPr>
              <w:t>2 (reproduite ci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Pr="00D44A32">
              <w:rPr>
                <w:rFonts w:cs="Arial"/>
                <w:lang w:val="fr-FR"/>
              </w:rPr>
              <w:t>dessous)</w:t>
            </w:r>
            <w:r w:rsidR="00AE7B33" w:rsidRPr="00D44A32">
              <w:rPr>
                <w:rFonts w:cs="Arial"/>
                <w:lang w:val="fr-FR"/>
              </w:rPr>
              <w:t>.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2B18A7" w:rsidRPr="00D44A32" w:rsidRDefault="00365E0C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855B17" w:rsidRPr="00D44A32">
              <w:rPr>
                <w:rFonts w:cs="Arial"/>
                <w:lang w:val="fr-FR"/>
              </w:rPr>
              <w:t>Note</w:t>
            </w:r>
            <w:r w:rsidR="00270E13"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: À sa huitième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session tenue à Genève les 21 et 2</w:t>
            </w:r>
            <w:r w:rsidR="00A1605A" w:rsidRPr="00D44A32">
              <w:rPr>
                <w:rFonts w:cs="Arial"/>
                <w:lang w:val="fr-FR"/>
              </w:rPr>
              <w:t>5 octobre 20</w:t>
            </w:r>
            <w:r w:rsidR="00855B17" w:rsidRPr="00D44A32">
              <w:rPr>
                <w:rFonts w:cs="Arial"/>
                <w:lang w:val="fr-FR"/>
              </w:rPr>
              <w:t>13,</w:t>
            </w:r>
            <w:r w:rsidR="00A1605A" w:rsidRPr="00D44A32">
              <w:rPr>
                <w:rFonts w:cs="Arial"/>
                <w:lang w:val="fr-FR"/>
              </w:rPr>
              <w:t xml:space="preserve"> le CAJ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="00855B17" w:rsidRPr="00D44A32">
              <w:rPr>
                <w:rFonts w:cs="Arial"/>
                <w:lang w:val="fr-FR"/>
              </w:rPr>
              <w:t>AG a approuvé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élaboration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orientations sur les points suivants, sur lesquels il a proposé que le Comité technique (TC), sur invitation</w:t>
            </w:r>
            <w:r w:rsidR="00A1605A" w:rsidRPr="00D44A32">
              <w:rPr>
                <w:rFonts w:cs="Arial"/>
                <w:lang w:val="fr-FR"/>
              </w:rPr>
              <w:t xml:space="preserve"> du CAJ</w:t>
            </w:r>
            <w:r w:rsidR="00855B17" w:rsidRPr="00D44A32">
              <w:rPr>
                <w:rFonts w:cs="Arial"/>
                <w:lang w:val="fr-FR"/>
              </w:rPr>
              <w:t>, se penche dès le départ (voir le paragraphe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73 du document CAJ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="00855B17" w:rsidRPr="00D44A32">
              <w:rPr>
                <w:rFonts w:cs="Arial"/>
                <w:lang w:val="fr-FR"/>
              </w:rPr>
              <w:t>AG/13/8/10 “Compte rendu”)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: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A1605A" w:rsidRPr="00D44A32" w:rsidRDefault="00E2596B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ab/>
            </w:r>
            <w:r w:rsidR="00365E0C" w:rsidRPr="00D44A32">
              <w:rPr>
                <w:rFonts w:cs="Arial"/>
                <w:lang w:val="fr-FR"/>
              </w:rPr>
              <w:t>“</w:t>
            </w:r>
            <w:r w:rsidR="00855B17" w:rsidRPr="00D44A32">
              <w:rPr>
                <w:rFonts w:cs="Arial"/>
                <w:lang w:val="fr-FR"/>
              </w:rPr>
              <w:t>a)</w:t>
            </w:r>
            <w:r w:rsidR="00855B17" w:rsidRPr="00D44A32">
              <w:rPr>
                <w:rFonts w:cs="Arial"/>
                <w:lang w:val="fr-FR"/>
              </w:rPr>
              <w:tab/>
              <w:t>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utilisation des informations, des documents ou du matériel fournis par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obtenteur aux fins du contrôle du maintien de la variété, comme énoncé au paragraphe 15 du document CAJ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="00855B17" w:rsidRPr="00D44A32">
              <w:rPr>
                <w:rFonts w:cs="Arial"/>
                <w:lang w:val="fr-FR"/>
              </w:rPr>
              <w:t>AG/13/8/4 “Matters concerning cancellation of the breeder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s right”, en précisant que les informations, les documents ou le matériel pourraient être conservés dans un autre pays;  et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2B18A7" w:rsidRPr="00D44A32" w:rsidRDefault="00E2596B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ab/>
            </w:r>
            <w:r w:rsidR="00365E0C" w:rsidRPr="00D44A32">
              <w:rPr>
                <w:rFonts w:cs="Arial"/>
                <w:lang w:val="fr-FR"/>
              </w:rPr>
              <w:t>“</w:t>
            </w:r>
            <w:r w:rsidR="00855B17" w:rsidRPr="00D44A32">
              <w:rPr>
                <w:rFonts w:cs="Arial"/>
                <w:lang w:val="fr-FR"/>
              </w:rPr>
              <w:t>b)</w:t>
            </w:r>
            <w:r w:rsidR="00855B17" w:rsidRPr="00D44A32">
              <w:rPr>
                <w:rFonts w:cs="Arial"/>
                <w:lang w:val="fr-FR"/>
              </w:rPr>
              <w:tab/>
              <w:t>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utilisation de principes directeurs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examen aux fins du contrôle du maintien de la variété qui se distinguaient des principes directeurs utilisés pour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examen de la distinction, de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homogénéité et de la stabilité (examen “DHS”).</w:t>
            </w:r>
          </w:p>
          <w:p w:rsidR="002B18A7" w:rsidRPr="00D44A32" w:rsidRDefault="002B18A7" w:rsidP="00D44A32">
            <w:pPr>
              <w:rPr>
                <w:rFonts w:cs="Arial"/>
                <w:lang w:val="fr-FR"/>
              </w:rPr>
            </w:pPr>
          </w:p>
          <w:p w:rsidR="00E2596B" w:rsidRPr="00D44A32" w:rsidRDefault="00365E0C" w:rsidP="00D44A32">
            <w:pPr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“</w:t>
            </w:r>
            <w:r w:rsidR="00855B17" w:rsidRPr="00D44A32">
              <w:rPr>
                <w:rFonts w:cs="Arial"/>
                <w:lang w:val="fr-FR"/>
              </w:rPr>
              <w:t>À sa soixante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="00855B17" w:rsidRPr="00D44A32">
              <w:rPr>
                <w:rFonts w:cs="Arial"/>
                <w:lang w:val="fr-FR"/>
              </w:rPr>
              <w:t>neuvième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session</w:t>
            </w:r>
            <w:r w:rsidR="00EA0530" w:rsidRPr="00D44A32">
              <w:rPr>
                <w:rFonts w:cs="Arial"/>
                <w:lang w:val="fr-FR"/>
              </w:rPr>
              <w:t>,</w:t>
            </w:r>
            <w:r w:rsidR="00855B17" w:rsidRPr="00D44A32">
              <w:rPr>
                <w:rFonts w:cs="Arial"/>
                <w:lang w:val="fr-FR"/>
              </w:rPr>
              <w:t xml:space="preserve"> tenue à Genève le 1</w:t>
            </w:r>
            <w:r w:rsidR="00A1605A" w:rsidRPr="00D44A32">
              <w:rPr>
                <w:rFonts w:cs="Arial"/>
                <w:lang w:val="fr-FR"/>
              </w:rPr>
              <w:t>0 avril 20</w:t>
            </w:r>
            <w:r w:rsidR="00855B17" w:rsidRPr="00D44A32">
              <w:rPr>
                <w:rFonts w:cs="Arial"/>
                <w:lang w:val="fr-FR"/>
              </w:rPr>
              <w:t>14,</w:t>
            </w:r>
            <w:r w:rsidR="00A1605A" w:rsidRPr="00D44A32">
              <w:rPr>
                <w:rFonts w:cs="Arial"/>
                <w:lang w:val="fr-FR"/>
              </w:rPr>
              <w:t xml:space="preserve"> le CAJ</w:t>
            </w:r>
            <w:r w:rsidR="00855B17" w:rsidRPr="00D44A32">
              <w:rPr>
                <w:rFonts w:cs="Arial"/>
                <w:lang w:val="fr-FR"/>
              </w:rPr>
              <w:t>, conformément à la proposition faite par</w:t>
            </w:r>
            <w:r w:rsidR="00A1605A" w:rsidRPr="00D44A32">
              <w:rPr>
                <w:rFonts w:cs="Arial"/>
                <w:lang w:val="fr-FR"/>
              </w:rPr>
              <w:t xml:space="preserve"> le CAJ</w:t>
            </w:r>
            <w:r w:rsidR="00C42784" w:rsidRPr="00D44A32">
              <w:rPr>
                <w:rFonts w:cs="Arial"/>
                <w:lang w:val="fr-FR"/>
              </w:rPr>
              <w:noBreakHyphen/>
            </w:r>
            <w:r w:rsidR="00855B17" w:rsidRPr="00D44A32">
              <w:rPr>
                <w:rFonts w:cs="Arial"/>
                <w:lang w:val="fr-FR"/>
              </w:rPr>
              <w:t>AG, est convenu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inviter le</w:t>
            </w:r>
            <w:r w:rsidR="00A1605A" w:rsidRPr="00D44A32">
              <w:rPr>
                <w:rFonts w:cs="Arial"/>
                <w:lang w:val="fr-FR"/>
              </w:rPr>
              <w:t> TC</w:t>
            </w:r>
            <w:r w:rsidR="00855B17" w:rsidRPr="00D44A32">
              <w:rPr>
                <w:rFonts w:cs="Arial"/>
                <w:lang w:val="fr-FR"/>
              </w:rPr>
              <w:t xml:space="preserve"> à examiner l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élaboration d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orientations sur certaines questions concernant les descriptions variétales, ainsi qu</w:t>
            </w:r>
            <w:r w:rsidR="00A1605A" w:rsidRPr="00D44A32">
              <w:rPr>
                <w:rFonts w:cs="Arial"/>
                <w:lang w:val="fr-FR"/>
              </w:rPr>
              <w:t>’</w:t>
            </w:r>
            <w:r w:rsidR="00855B17" w:rsidRPr="00D44A32">
              <w:rPr>
                <w:rFonts w:cs="Arial"/>
                <w:lang w:val="fr-FR"/>
              </w:rPr>
              <w:t>indiqué dans les paragraphes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27 et 28 du document CAJ/69/2 (voir le paragraphe</w:t>
            </w:r>
            <w:r w:rsidRPr="00D44A32">
              <w:rPr>
                <w:rFonts w:cs="Arial"/>
                <w:lang w:val="fr-FR"/>
              </w:rPr>
              <w:t> </w:t>
            </w:r>
            <w:r w:rsidR="00855B17" w:rsidRPr="00D44A32">
              <w:rPr>
                <w:rFonts w:cs="Arial"/>
                <w:lang w:val="fr-FR"/>
              </w:rPr>
              <w:t>19 du document CAJ/69/13 “Compte rendu”).</w:t>
            </w:r>
            <w:r w:rsidRPr="00D44A32">
              <w:rPr>
                <w:rFonts w:cs="Arial"/>
                <w:lang w:val="fr-FR"/>
              </w:rPr>
              <w:t xml:space="preserve">  ”</w:t>
            </w:r>
          </w:p>
        </w:tc>
      </w:tr>
    </w:tbl>
    <w:p w:rsidR="002B18A7" w:rsidRPr="00D44A32" w:rsidRDefault="002B18A7" w:rsidP="00D44A32">
      <w:pPr>
        <w:rPr>
          <w:lang w:val="fr-FR"/>
        </w:rPr>
      </w:pPr>
    </w:p>
    <w:p w:rsidR="00A1605A" w:rsidRPr="00D44A32" w:rsidRDefault="00565994" w:rsidP="00D44A32">
      <w:pPr>
        <w:rPr>
          <w:rFonts w:cs="Arial"/>
          <w:lang w:val="fr-FR"/>
        </w:rPr>
      </w:pPr>
      <w:r w:rsidRPr="00D44A32">
        <w:rPr>
          <w:rFonts w:cs="Arial"/>
          <w:lang w:val="fr-FR"/>
        </w:rPr>
        <w:fldChar w:fldCharType="begin"/>
      </w:r>
      <w:r w:rsidRPr="00D44A32">
        <w:rPr>
          <w:rFonts w:cs="Arial"/>
          <w:lang w:val="fr-FR"/>
        </w:rPr>
        <w:instrText xml:space="preserve"> AUTONUM  </w:instrText>
      </w:r>
      <w:r w:rsidRPr="00D44A32">
        <w:rPr>
          <w:rFonts w:cs="Arial"/>
          <w:lang w:val="fr-FR"/>
        </w:rPr>
        <w:fldChar w:fldCharType="end"/>
      </w:r>
      <w:r w:rsidRPr="00D44A32">
        <w:rPr>
          <w:rFonts w:cs="Arial"/>
          <w:lang w:val="fr-FR"/>
        </w:rPr>
        <w:tab/>
      </w:r>
      <w:r w:rsidR="000D0DCB" w:rsidRPr="00D44A32">
        <w:rPr>
          <w:rFonts w:cs="Arial"/>
          <w:lang w:val="fr-FR"/>
        </w:rPr>
        <w:t>À sa soixante</w:t>
      </w:r>
      <w:r w:rsidR="00C42784" w:rsidRPr="00D44A32">
        <w:rPr>
          <w:rFonts w:cs="Arial"/>
          <w:szCs w:val="22"/>
          <w:lang w:val="fr-FR"/>
        </w:rPr>
        <w:noBreakHyphen/>
      </w:r>
      <w:r w:rsidR="000D0DCB" w:rsidRPr="00D44A32">
        <w:rPr>
          <w:rFonts w:cs="Arial"/>
          <w:szCs w:val="22"/>
          <w:lang w:val="fr-FR"/>
        </w:rPr>
        <w:t>neuvième</w:t>
      </w:r>
      <w:r w:rsidR="00365E0C" w:rsidRPr="00D44A32">
        <w:rPr>
          <w:rFonts w:cs="Arial"/>
          <w:szCs w:val="22"/>
          <w:lang w:val="fr-FR"/>
        </w:rPr>
        <w:t> </w:t>
      </w:r>
      <w:r w:rsidR="000D0DCB" w:rsidRPr="00D44A32">
        <w:rPr>
          <w:rFonts w:cs="Arial"/>
          <w:szCs w:val="22"/>
          <w:lang w:val="fr-FR"/>
        </w:rPr>
        <w:t>session</w:t>
      </w:r>
      <w:r w:rsidR="00653C88" w:rsidRPr="00D44A32">
        <w:rPr>
          <w:rStyle w:val="FootnoteReference"/>
          <w:rFonts w:cs="Arial"/>
          <w:lang w:val="fr-FR"/>
        </w:rPr>
        <w:footnoteReference w:id="19"/>
      </w:r>
      <w:r w:rsidRPr="00D44A32">
        <w:rPr>
          <w:rFonts w:cs="Arial"/>
          <w:lang w:val="fr-FR"/>
        </w:rPr>
        <w:t>,</w:t>
      </w:r>
      <w:r w:rsidR="00A1605A" w:rsidRPr="00D44A32">
        <w:rPr>
          <w:rFonts w:cs="Arial"/>
          <w:lang w:val="fr-FR"/>
        </w:rPr>
        <w:t xml:space="preserve"> </w:t>
      </w:r>
      <w:r w:rsidR="00A1605A" w:rsidRPr="00D44A32">
        <w:rPr>
          <w:rFonts w:cs="Arial"/>
          <w:szCs w:val="22"/>
          <w:lang w:val="fr-FR"/>
        </w:rPr>
        <w:t>le</w:t>
      </w:r>
      <w:r w:rsidR="00A1605A" w:rsidRPr="00D44A32">
        <w:rPr>
          <w:rFonts w:cs="Arial"/>
          <w:lang w:val="fr-FR"/>
        </w:rPr>
        <w:t> CAJ</w:t>
      </w:r>
      <w:r w:rsidR="000D0DCB" w:rsidRPr="00D44A32">
        <w:rPr>
          <w:rFonts w:cs="Arial"/>
          <w:lang w:val="fr-FR"/>
        </w:rPr>
        <w:t>, conformément à la proposition faite par</w:t>
      </w:r>
      <w:r w:rsidR="00A1605A" w:rsidRPr="00D44A32">
        <w:rPr>
          <w:rFonts w:cs="Arial"/>
          <w:lang w:val="fr-FR"/>
        </w:rPr>
        <w:t xml:space="preserve"> le CAJ</w:t>
      </w:r>
      <w:r w:rsidR="00C42784" w:rsidRPr="00D44A32">
        <w:rPr>
          <w:rFonts w:cs="Arial"/>
          <w:lang w:val="fr-FR"/>
        </w:rPr>
        <w:noBreakHyphen/>
      </w:r>
      <w:r w:rsidR="000D0DCB" w:rsidRPr="00D44A32">
        <w:rPr>
          <w:rFonts w:cs="Arial"/>
          <w:lang w:val="fr-FR"/>
        </w:rPr>
        <w:t>A</w:t>
      </w:r>
      <w:r w:rsidR="000024FD" w:rsidRPr="00D44A32">
        <w:rPr>
          <w:rFonts w:cs="Arial"/>
          <w:lang w:val="fr-FR"/>
        </w:rPr>
        <w:t>G</w:t>
      </w:r>
      <w:r w:rsidR="000D0DCB" w:rsidRPr="00D44A32">
        <w:rPr>
          <w:rFonts w:cs="Arial"/>
          <w:lang w:val="fr-FR"/>
        </w:rPr>
        <w:t xml:space="preserve"> à sa huitième</w:t>
      </w:r>
      <w:r w:rsidR="00365E0C" w:rsidRPr="00D44A32">
        <w:rPr>
          <w:rFonts w:cs="Arial"/>
          <w:lang w:val="fr-FR"/>
        </w:rPr>
        <w:t> </w:t>
      </w:r>
      <w:r w:rsidR="00A6466B" w:rsidRPr="00D44A32">
        <w:rPr>
          <w:rFonts w:cs="Arial"/>
          <w:lang w:val="fr-FR"/>
        </w:rPr>
        <w:t>session,</w:t>
      </w:r>
      <w:r w:rsidRPr="00D44A32">
        <w:rPr>
          <w:rFonts w:cs="Arial"/>
          <w:lang w:val="fr-FR"/>
        </w:rPr>
        <w:t xml:space="preserve"> </w:t>
      </w:r>
      <w:r w:rsidR="000D0DCB" w:rsidRPr="00D44A32">
        <w:rPr>
          <w:rFonts w:cs="Arial"/>
          <w:lang w:val="fr-FR"/>
        </w:rPr>
        <w:t xml:space="preserve">est convenu </w:t>
      </w:r>
      <w:r w:rsidR="00F7721A" w:rsidRPr="00D44A32">
        <w:rPr>
          <w:rFonts w:cs="Arial"/>
          <w:lang w:val="fr-FR"/>
        </w:rPr>
        <w:t>d</w:t>
      </w:r>
      <w:r w:rsidR="00A1605A" w:rsidRPr="00D44A32">
        <w:rPr>
          <w:rFonts w:cs="Arial"/>
          <w:lang w:val="fr-FR"/>
        </w:rPr>
        <w:t>’</w:t>
      </w:r>
      <w:r w:rsidR="000D0DCB" w:rsidRPr="00D44A32">
        <w:rPr>
          <w:rFonts w:cs="Arial"/>
          <w:lang w:val="fr-FR"/>
        </w:rPr>
        <w:t>inviter le</w:t>
      </w:r>
      <w:r w:rsidR="00A1605A" w:rsidRPr="00D44A32">
        <w:rPr>
          <w:rFonts w:cs="Arial"/>
          <w:lang w:val="fr-FR"/>
        </w:rPr>
        <w:t> TC</w:t>
      </w:r>
      <w:r w:rsidRPr="00D44A32">
        <w:rPr>
          <w:rFonts w:cs="Arial"/>
          <w:lang w:val="fr-FR"/>
        </w:rPr>
        <w:t xml:space="preserve"> </w:t>
      </w:r>
      <w:r w:rsidR="00F7721A" w:rsidRPr="00D44A32">
        <w:rPr>
          <w:szCs w:val="24"/>
          <w:lang w:val="fr-FR"/>
        </w:rPr>
        <w:t xml:space="preserve">à </w:t>
      </w:r>
      <w:r w:rsidR="00AE7B33" w:rsidRPr="00D44A32">
        <w:rPr>
          <w:szCs w:val="24"/>
          <w:lang w:val="fr-FR"/>
        </w:rPr>
        <w:t>envisager</w:t>
      </w:r>
      <w:r w:rsidR="00F7721A" w:rsidRPr="00D44A32">
        <w:rPr>
          <w:szCs w:val="24"/>
          <w:lang w:val="fr-FR"/>
        </w:rPr>
        <w:t xml:space="preserve"> l</w:t>
      </w:r>
      <w:r w:rsidR="00A1605A" w:rsidRPr="00D44A32">
        <w:rPr>
          <w:szCs w:val="24"/>
          <w:lang w:val="fr-FR"/>
        </w:rPr>
        <w:t>’</w:t>
      </w:r>
      <w:r w:rsidR="00F7721A" w:rsidRPr="00D44A32">
        <w:rPr>
          <w:szCs w:val="24"/>
          <w:lang w:val="fr-FR"/>
        </w:rPr>
        <w:t>élaboration d</w:t>
      </w:r>
      <w:r w:rsidR="00A1605A" w:rsidRPr="00D44A32">
        <w:rPr>
          <w:szCs w:val="24"/>
          <w:lang w:val="fr-FR"/>
        </w:rPr>
        <w:t>’</w:t>
      </w:r>
      <w:r w:rsidR="00F7721A" w:rsidRPr="00D44A32">
        <w:rPr>
          <w:szCs w:val="24"/>
          <w:lang w:val="fr-FR"/>
        </w:rPr>
        <w:t>orientations sur certaines questions concernant les descriptions variétales, comme suit</w:t>
      </w:r>
      <w:r w:rsidR="00A6466B" w:rsidRPr="00D44A32">
        <w:rPr>
          <w:rStyle w:val="FootnoteReference"/>
          <w:rFonts w:cs="Arial"/>
          <w:lang w:val="fr-FR"/>
        </w:rPr>
        <w:footnoteReference w:id="20"/>
      </w:r>
      <w:r w:rsidR="000024FD" w:rsidRPr="00D44A32">
        <w:rPr>
          <w:szCs w:val="24"/>
          <w:lang w:val="fr-FR"/>
        </w:rPr>
        <w:t> :</w:t>
      </w:r>
    </w:p>
    <w:p w:rsidR="002B18A7" w:rsidRPr="00D44A32" w:rsidRDefault="00565994" w:rsidP="00D44A32">
      <w:pPr>
        <w:rPr>
          <w:lang w:val="fr-FR"/>
        </w:rPr>
      </w:pPr>
      <w:r w:rsidRPr="00D44A32">
        <w:rPr>
          <w:lang w:val="fr-FR"/>
        </w:rPr>
        <w:tab/>
      </w:r>
    </w:p>
    <w:p w:rsidR="002B18A7" w:rsidRPr="00D44A32" w:rsidRDefault="00855B17" w:rsidP="00D44A32">
      <w:pPr>
        <w:ind w:left="567" w:right="567"/>
        <w:rPr>
          <w:rFonts w:cs="Arial"/>
          <w:sz w:val="18"/>
          <w:szCs w:val="18"/>
          <w:lang w:val="fr-FR"/>
        </w:rPr>
      </w:pPr>
      <w:r w:rsidRPr="00D44A32">
        <w:rPr>
          <w:rFonts w:cs="Arial"/>
          <w:sz w:val="18"/>
          <w:szCs w:val="18"/>
          <w:lang w:val="fr-FR"/>
        </w:rPr>
        <w:t>“27.</w:t>
      </w:r>
      <w:r w:rsidRPr="00D44A32">
        <w:rPr>
          <w:rFonts w:cs="Arial"/>
          <w:sz w:val="18"/>
          <w:szCs w:val="18"/>
          <w:lang w:val="fr-FR"/>
        </w:rPr>
        <w:tab/>
        <w:t>À sa huitième session, le 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Pr="00D44A32">
        <w:rPr>
          <w:rFonts w:cs="Arial"/>
          <w:sz w:val="18"/>
          <w:szCs w:val="18"/>
          <w:lang w:val="fr-FR"/>
        </w:rPr>
        <w:t>AG a approuvé 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Pr="00D44A32">
        <w:rPr>
          <w:rFonts w:cs="Arial"/>
          <w:sz w:val="18"/>
          <w:szCs w:val="18"/>
          <w:lang w:val="fr-FR"/>
        </w:rPr>
        <w:t>élaboration d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Pr="00D44A32">
        <w:rPr>
          <w:rFonts w:cs="Arial"/>
          <w:sz w:val="18"/>
          <w:szCs w:val="18"/>
          <w:lang w:val="fr-FR"/>
        </w:rPr>
        <w:t>orientations sur les points suivants, sur lesquels il a proposé que le Comité technique (TC), sur invitation</w:t>
      </w:r>
      <w:r w:rsidR="00A1605A" w:rsidRPr="00D44A32">
        <w:rPr>
          <w:rFonts w:cs="Arial"/>
          <w:sz w:val="18"/>
          <w:szCs w:val="18"/>
          <w:lang w:val="fr-FR"/>
        </w:rPr>
        <w:t xml:space="preserve"> du CAJ</w:t>
      </w:r>
      <w:r w:rsidRPr="00D44A32">
        <w:rPr>
          <w:rFonts w:cs="Arial"/>
          <w:sz w:val="18"/>
          <w:szCs w:val="18"/>
          <w:lang w:val="fr-FR"/>
        </w:rPr>
        <w:t>, se penche dès le départ (voir le paragraphe 73 du document 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Pr="00D44A32">
        <w:rPr>
          <w:rFonts w:cs="Arial"/>
          <w:sz w:val="18"/>
          <w:szCs w:val="18"/>
          <w:lang w:val="fr-FR"/>
        </w:rPr>
        <w:t>AG/13/8/10 “Compte rendu”) :</w:t>
      </w:r>
    </w:p>
    <w:p w:rsidR="002B18A7" w:rsidRPr="00D44A32" w:rsidRDefault="002B18A7" w:rsidP="00D44A32">
      <w:pPr>
        <w:ind w:left="567" w:right="567"/>
        <w:rPr>
          <w:rFonts w:cs="Arial"/>
          <w:sz w:val="18"/>
          <w:szCs w:val="18"/>
          <w:lang w:val="fr-FR"/>
        </w:rPr>
      </w:pPr>
    </w:p>
    <w:p w:rsidR="002B18A7" w:rsidRPr="00D44A32" w:rsidRDefault="00565994" w:rsidP="00D44A32">
      <w:pPr>
        <w:ind w:left="567" w:right="567"/>
        <w:rPr>
          <w:rFonts w:cs="Arial"/>
          <w:sz w:val="18"/>
          <w:szCs w:val="18"/>
          <w:lang w:val="fr-FR"/>
        </w:rPr>
      </w:pPr>
      <w:r w:rsidRPr="00D44A32">
        <w:rPr>
          <w:rFonts w:cs="Arial"/>
          <w:sz w:val="18"/>
          <w:szCs w:val="18"/>
          <w:lang w:val="fr-FR"/>
        </w:rPr>
        <w:tab/>
      </w:r>
      <w:r w:rsidR="005E237C" w:rsidRPr="00D44A32">
        <w:rPr>
          <w:rFonts w:cs="Arial"/>
          <w:sz w:val="18"/>
          <w:szCs w:val="18"/>
          <w:lang w:val="fr-FR"/>
        </w:rPr>
        <w:t>“</w:t>
      </w:r>
      <w:r w:rsidR="00855B17" w:rsidRPr="00D44A32">
        <w:rPr>
          <w:rFonts w:cs="Arial"/>
          <w:sz w:val="18"/>
          <w:szCs w:val="18"/>
          <w:lang w:val="fr-FR"/>
        </w:rPr>
        <w:t>a)</w:t>
      </w:r>
      <w:r w:rsidR="00855B17" w:rsidRPr="00D44A32">
        <w:rPr>
          <w:rFonts w:cs="Arial"/>
          <w:sz w:val="18"/>
          <w:szCs w:val="18"/>
          <w:lang w:val="fr-FR"/>
        </w:rPr>
        <w:tab/>
        <w:t>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utilisation des informations, des documents ou du matériel fournis par 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obtenteur aux fins du contrôle du maintien de la variété, comme énoncé au paragraphe 15 du document 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="00855B17" w:rsidRPr="00D44A32">
        <w:rPr>
          <w:rFonts w:cs="Arial"/>
          <w:sz w:val="18"/>
          <w:szCs w:val="18"/>
          <w:lang w:val="fr-FR"/>
        </w:rPr>
        <w:t xml:space="preserve">AG/13/8/4 </w:t>
      </w:r>
      <w:r w:rsidR="00A1605A" w:rsidRPr="00D44A32">
        <w:rPr>
          <w:rFonts w:cs="Arial"/>
          <w:sz w:val="18"/>
          <w:szCs w:val="18"/>
          <w:lang w:val="fr-FR"/>
        </w:rPr>
        <w:t>‘</w:t>
      </w:r>
      <w:r w:rsidR="00855B17" w:rsidRPr="00D44A32">
        <w:rPr>
          <w:rFonts w:cs="Arial"/>
          <w:sz w:val="18"/>
          <w:szCs w:val="18"/>
          <w:lang w:val="fr-FR"/>
        </w:rPr>
        <w:t>Matters concerning cancellation of the breeder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s right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, en précisant que les informations, les documents ou le matériel pourraient être conservés dans un autre pays;  et</w:t>
      </w:r>
    </w:p>
    <w:p w:rsidR="002B18A7" w:rsidRPr="00D44A32" w:rsidRDefault="002B18A7" w:rsidP="00D44A32">
      <w:pPr>
        <w:tabs>
          <w:tab w:val="left" w:pos="7500"/>
        </w:tabs>
        <w:ind w:left="567" w:right="567"/>
        <w:rPr>
          <w:rFonts w:cs="Arial"/>
          <w:sz w:val="18"/>
          <w:szCs w:val="18"/>
          <w:lang w:val="fr-FR"/>
        </w:rPr>
      </w:pPr>
    </w:p>
    <w:p w:rsidR="002B18A7" w:rsidRPr="00D44A32" w:rsidRDefault="00565994" w:rsidP="00D44A32">
      <w:pPr>
        <w:ind w:left="567" w:right="567"/>
        <w:rPr>
          <w:rFonts w:cs="Arial"/>
          <w:sz w:val="18"/>
          <w:szCs w:val="18"/>
          <w:lang w:val="fr-FR"/>
        </w:rPr>
      </w:pPr>
      <w:r w:rsidRPr="00D44A32">
        <w:rPr>
          <w:rFonts w:cs="Arial"/>
          <w:sz w:val="18"/>
          <w:szCs w:val="18"/>
          <w:lang w:val="fr-FR"/>
        </w:rPr>
        <w:tab/>
      </w:r>
      <w:r w:rsidR="005E237C" w:rsidRPr="00D44A32">
        <w:rPr>
          <w:rFonts w:cs="Arial"/>
          <w:sz w:val="18"/>
          <w:szCs w:val="18"/>
          <w:lang w:val="fr-FR"/>
        </w:rPr>
        <w:t>“</w:t>
      </w:r>
      <w:r w:rsidR="00855B17" w:rsidRPr="00D44A32">
        <w:rPr>
          <w:rFonts w:cs="Arial"/>
          <w:sz w:val="18"/>
          <w:szCs w:val="18"/>
          <w:lang w:val="fr-FR"/>
        </w:rPr>
        <w:t>b)</w:t>
      </w:r>
      <w:r w:rsidR="00855B17" w:rsidRPr="00D44A32">
        <w:rPr>
          <w:rFonts w:cs="Arial"/>
          <w:sz w:val="18"/>
          <w:szCs w:val="18"/>
          <w:lang w:val="fr-FR"/>
        </w:rPr>
        <w:tab/>
        <w:t>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utilisation de principes directeurs d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examen aux fins du contrôle du maintien de la variété qui se distinguaient des principes directeurs utilisés pour 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examen de la distinction, de l</w:t>
      </w:r>
      <w:r w:rsidR="00A1605A" w:rsidRPr="00D44A32">
        <w:rPr>
          <w:rFonts w:cs="Arial"/>
          <w:sz w:val="18"/>
          <w:szCs w:val="18"/>
          <w:lang w:val="fr-FR"/>
        </w:rPr>
        <w:t>’</w:t>
      </w:r>
      <w:r w:rsidR="00855B17" w:rsidRPr="00D44A32">
        <w:rPr>
          <w:rFonts w:cs="Arial"/>
          <w:sz w:val="18"/>
          <w:szCs w:val="18"/>
          <w:lang w:val="fr-FR"/>
        </w:rPr>
        <w:t>homogénéité et de la stabilité (examen “DHS”).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ind w:left="567" w:right="567"/>
        <w:rPr>
          <w:rFonts w:cs="Arial"/>
          <w:sz w:val="18"/>
          <w:szCs w:val="18"/>
          <w:lang w:val="fr-FR"/>
        </w:rPr>
      </w:pPr>
      <w:r w:rsidRPr="00D44A32">
        <w:rPr>
          <w:rFonts w:cs="Arial"/>
          <w:sz w:val="18"/>
          <w:szCs w:val="18"/>
          <w:lang w:val="fr-FR"/>
        </w:rPr>
        <w:t>“28.</w:t>
      </w:r>
      <w:r w:rsidRPr="00D44A32">
        <w:rPr>
          <w:rFonts w:cs="Arial"/>
          <w:sz w:val="18"/>
          <w:szCs w:val="18"/>
          <w:lang w:val="fr-FR"/>
        </w:rPr>
        <w:tab/>
        <w:t>À sa huitième session, le 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Pr="00D44A32">
        <w:rPr>
          <w:rFonts w:cs="Arial"/>
          <w:sz w:val="18"/>
          <w:szCs w:val="18"/>
          <w:lang w:val="fr-FR"/>
        </w:rPr>
        <w:t>AG est convenu de proposer au CAJ que les questions suivantes, qui figurent dans le paragraphe 4 du document 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Pr="00D44A32">
        <w:rPr>
          <w:rFonts w:cs="Arial"/>
          <w:sz w:val="18"/>
          <w:szCs w:val="18"/>
          <w:lang w:val="fr-FR"/>
        </w:rPr>
        <w:t>AG/13/8/7, soient examinées dès le départ par le</w:t>
      </w:r>
      <w:r w:rsidR="00A1605A" w:rsidRPr="00D44A32">
        <w:rPr>
          <w:rFonts w:cs="Arial"/>
          <w:sz w:val="18"/>
          <w:szCs w:val="18"/>
          <w:lang w:val="fr-FR"/>
        </w:rPr>
        <w:t> TC</w:t>
      </w:r>
      <w:r w:rsidRPr="00D44A32">
        <w:rPr>
          <w:rFonts w:cs="Arial"/>
          <w:sz w:val="18"/>
          <w:szCs w:val="18"/>
          <w:lang w:val="fr-FR"/>
        </w:rPr>
        <w:t> (voir le paragraphe 74 du document CAJ</w:t>
      </w:r>
      <w:r w:rsidR="00C42784" w:rsidRPr="00D44A32">
        <w:rPr>
          <w:rFonts w:cs="Arial"/>
          <w:sz w:val="18"/>
          <w:szCs w:val="18"/>
          <w:lang w:val="fr-FR"/>
        </w:rPr>
        <w:noBreakHyphen/>
      </w:r>
      <w:r w:rsidRPr="00D44A32">
        <w:rPr>
          <w:rFonts w:cs="Arial"/>
          <w:sz w:val="18"/>
          <w:szCs w:val="18"/>
          <w:lang w:val="fr-FR"/>
        </w:rPr>
        <w:t>AG/13/8/10 “Compte rendu”) :</w:t>
      </w:r>
    </w:p>
    <w:p w:rsidR="002B18A7" w:rsidRPr="00D44A32" w:rsidRDefault="002B18A7" w:rsidP="00D44A32">
      <w:pPr>
        <w:ind w:left="567" w:right="567"/>
        <w:rPr>
          <w:rFonts w:cs="Arial"/>
          <w:sz w:val="18"/>
          <w:szCs w:val="18"/>
          <w:lang w:val="fr-FR"/>
        </w:rPr>
      </w:pPr>
    </w:p>
    <w:p w:rsidR="002B18A7" w:rsidRPr="00D44A32" w:rsidRDefault="00565994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“[…]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“b)</w:t>
      </w:r>
      <w:r w:rsidRPr="00D44A32">
        <w:rPr>
          <w:sz w:val="18"/>
          <w:szCs w:val="18"/>
          <w:lang w:val="fr-FR"/>
        </w:rPr>
        <w:tab/>
        <w:t>le statut de la description variétale initiale, au regard de la vérification de la conformité du matériel végétal à une variété protégée aux fins de :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“i)</w:t>
      </w:r>
      <w:r w:rsidRPr="00D44A32">
        <w:rPr>
          <w:sz w:val="18"/>
          <w:szCs w:val="18"/>
          <w:lang w:val="fr-FR"/>
        </w:rPr>
        <w:tab/>
        <w:t>contrôle du maintien de la variété (article 22 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Acte de 1991, article 10 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Acte de 1978);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“ii)</w:t>
      </w:r>
      <w:r w:rsidRPr="00D44A32">
        <w:rPr>
          <w:sz w:val="18"/>
          <w:szCs w:val="18"/>
          <w:lang w:val="fr-FR"/>
        </w:rPr>
        <w:tab/>
        <w:t>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examen de la distinction, 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homogénéité et de la stabilité (examen “DHS”) des variétés candidates, et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565994" w:rsidP="00D44A32">
      <w:pPr>
        <w:spacing w:after="240"/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“[…]</w:t>
      </w: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“c)</w:t>
      </w:r>
      <w:r w:rsidRPr="00D44A32">
        <w:rPr>
          <w:sz w:val="18"/>
          <w:szCs w:val="18"/>
          <w:lang w:val="fr-FR"/>
        </w:rPr>
        <w:tab/>
        <w:t>le statut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une description variétale modifiée par rapport aux points a) et b) précités, fournie, par exemple, à la suite :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spacing w:after="60"/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“i)</w:t>
      </w:r>
      <w:r w:rsidRPr="00D44A32">
        <w:rPr>
          <w:sz w:val="18"/>
          <w:szCs w:val="18"/>
          <w:lang w:val="fr-FR"/>
        </w:rPr>
        <w:tab/>
        <w:t>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un réétalonnage 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échelle des principes directeurs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examen (en particulier pour les caractères non signalés par un astérisque</w:t>
      </w:r>
      <w:r w:rsidRPr="00D44A32">
        <w:rPr>
          <w:rStyle w:val="FootnoteReference"/>
          <w:sz w:val="18"/>
          <w:szCs w:val="18"/>
          <w:lang w:val="fr-FR"/>
        </w:rPr>
        <w:footnoteReference w:id="21"/>
      </w:r>
      <w:r w:rsidRPr="00D44A32">
        <w:rPr>
          <w:sz w:val="18"/>
          <w:szCs w:val="18"/>
          <w:lang w:val="fr-FR"/>
        </w:rPr>
        <w:t>);</w:t>
      </w:r>
    </w:p>
    <w:p w:rsidR="002B18A7" w:rsidRPr="00D44A32" w:rsidRDefault="00855B17" w:rsidP="00D44A32">
      <w:pPr>
        <w:spacing w:after="60"/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“ii)</w:t>
      </w:r>
      <w:r w:rsidRPr="00D44A32">
        <w:rPr>
          <w:sz w:val="18"/>
          <w:szCs w:val="18"/>
          <w:lang w:val="fr-FR"/>
        </w:rPr>
        <w:tab/>
        <w:t>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une variation due aux conditions environnementales des années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essai pour les caractères influencés par le milieu;</w:t>
      </w:r>
    </w:p>
    <w:p w:rsidR="002B18A7" w:rsidRPr="00D44A32" w:rsidRDefault="00855B17" w:rsidP="00D44A32">
      <w:pPr>
        <w:spacing w:after="60"/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“iii)</w:t>
      </w:r>
      <w:r w:rsidRPr="00D44A32">
        <w:rPr>
          <w:sz w:val="18"/>
          <w:szCs w:val="18"/>
          <w:lang w:val="fr-FR"/>
        </w:rPr>
        <w:tab/>
        <w:t>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une variation due à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observation effectuée par différents experts;  ou</w:t>
      </w: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“iv)</w:t>
      </w:r>
      <w:r w:rsidRPr="00D44A32">
        <w:rPr>
          <w:sz w:val="18"/>
          <w:szCs w:val="18"/>
          <w:lang w:val="fr-FR"/>
        </w:rPr>
        <w:tab/>
        <w:t>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utilisation de différentes versions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échelles (par exemple, différentes versions du code de couleurs RHS).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855B17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“d)</w:t>
      </w:r>
      <w:r w:rsidRPr="00D44A32">
        <w:rPr>
          <w:sz w:val="18"/>
          <w:szCs w:val="18"/>
          <w:lang w:val="fr-FR"/>
        </w:rPr>
        <w:tab/>
        <w:t>lorsqu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une erreur est décelée par la suite dans la description variétale initiale</w:t>
      </w:r>
      <w:r w:rsidR="005E237C" w:rsidRPr="00D44A32">
        <w:rPr>
          <w:sz w:val="18"/>
          <w:szCs w:val="18"/>
          <w:lang w:val="fr-FR"/>
        </w:rPr>
        <w:t>.</w:t>
      </w:r>
      <w:r w:rsidRPr="00D44A32">
        <w:rPr>
          <w:sz w:val="18"/>
          <w:szCs w:val="18"/>
          <w:lang w:val="fr-FR"/>
        </w:rPr>
        <w:t>”</w:t>
      </w:r>
    </w:p>
    <w:p w:rsidR="002B18A7" w:rsidRPr="00D44A32" w:rsidRDefault="002B18A7" w:rsidP="00D44A32">
      <w:pPr>
        <w:rPr>
          <w:sz w:val="18"/>
          <w:szCs w:val="18"/>
          <w:lang w:val="fr-FR"/>
        </w:rPr>
      </w:pPr>
    </w:p>
    <w:p w:rsidR="002B18A7" w:rsidRPr="00D44A32" w:rsidRDefault="0050638A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855B17" w:rsidRPr="00D44A32">
        <w:rPr>
          <w:lang w:val="fr-FR"/>
        </w:rPr>
        <w:t>Le CAJ est invité</w:t>
      </w:r>
      <w:r w:rsidR="00355DDA">
        <w:rPr>
          <w:lang w:val="fr-FR"/>
        </w:rPr>
        <w:t xml:space="preserve"> à :</w:t>
      </w:r>
    </w:p>
    <w:p w:rsidR="002B18A7" w:rsidRPr="00D44A32" w:rsidRDefault="002B18A7" w:rsidP="00D44A32">
      <w:pPr>
        <w:pStyle w:val="DecisionParagraphs"/>
        <w:rPr>
          <w:lang w:val="fr-FR"/>
        </w:rPr>
      </w:pPr>
    </w:p>
    <w:p w:rsidR="005F4025" w:rsidRPr="00355DDA" w:rsidRDefault="00565994" w:rsidP="00355DDA">
      <w:pPr>
        <w:pStyle w:val="DecisionParagraphs"/>
        <w:tabs>
          <w:tab w:val="left" w:pos="5954"/>
        </w:tabs>
      </w:pPr>
      <w:r w:rsidRPr="00355DDA">
        <w:tab/>
        <w:t>a)</w:t>
      </w:r>
      <w:r w:rsidRPr="00355DDA">
        <w:tab/>
      </w:r>
      <w:r w:rsidR="005F4025" w:rsidRPr="00355DDA">
        <w:t xml:space="preserve">considérer le document UPOV/EXN/CAN/2 Draft 3 comme </w:t>
      </w:r>
      <w:r w:rsidR="008D3E45" w:rsidRPr="00355DDA">
        <w:t xml:space="preserve">une </w:t>
      </w:r>
      <w:r w:rsidR="005F4025" w:rsidRPr="00355DDA">
        <w:t>base pour la révision des “Notes explicatives sur la déchéance de l</w:t>
      </w:r>
      <w:r w:rsidR="00A1605A" w:rsidRPr="00355DDA">
        <w:t>’</w:t>
      </w:r>
      <w:r w:rsidR="005F4025" w:rsidRPr="00355DDA">
        <w:t>obtent</w:t>
      </w:r>
      <w:r w:rsidR="00957DA8" w:rsidRPr="00355DDA">
        <w:t xml:space="preserve">eur selon la </w:t>
      </w:r>
      <w:r w:rsidR="00A1605A" w:rsidRPr="00355DDA">
        <w:t>Convention UPOV</w:t>
      </w:r>
      <w:r w:rsidR="00957DA8" w:rsidRPr="00355DDA">
        <w:t>” (r</w:t>
      </w:r>
      <w:r w:rsidR="005F4025" w:rsidRPr="00355DDA">
        <w:t>évision) (document UPOV/EXN/CAN/1) par le Conseil à sa quarante</w:t>
      </w:r>
      <w:r w:rsidR="00C42784" w:rsidRPr="00355DDA">
        <w:noBreakHyphen/>
      </w:r>
      <w:r w:rsidR="005F4025" w:rsidRPr="00355DDA">
        <w:t>neuvième</w:t>
      </w:r>
      <w:r w:rsidR="00365E0C" w:rsidRPr="00355DDA">
        <w:t> </w:t>
      </w:r>
      <w:r w:rsidR="005F4025" w:rsidRPr="00355DDA">
        <w:t>session ordinaire, prévue le 2</w:t>
      </w:r>
      <w:r w:rsidR="00A1605A" w:rsidRPr="00355DDA">
        <w:t>9 octobre 20</w:t>
      </w:r>
      <w:r w:rsidR="005F4025" w:rsidRPr="00355DDA">
        <w:t>15;  et</w:t>
      </w:r>
    </w:p>
    <w:p w:rsidR="005F4025" w:rsidRPr="00355DDA" w:rsidRDefault="005F4025" w:rsidP="00355DDA">
      <w:pPr>
        <w:pStyle w:val="DecisionParagraphs"/>
        <w:tabs>
          <w:tab w:val="left" w:pos="5954"/>
        </w:tabs>
      </w:pPr>
    </w:p>
    <w:p w:rsidR="005F4025" w:rsidRPr="00355DDA" w:rsidRDefault="00E31398" w:rsidP="00355DDA">
      <w:pPr>
        <w:pStyle w:val="DecisionParagraphs"/>
        <w:tabs>
          <w:tab w:val="left" w:pos="5954"/>
        </w:tabs>
      </w:pPr>
      <w:r>
        <w:tab/>
      </w:r>
      <w:r w:rsidR="005F4025" w:rsidRPr="00355DDA">
        <w:t>b)</w:t>
      </w:r>
      <w:r w:rsidR="005F4025" w:rsidRPr="00355DDA">
        <w:tab/>
        <w:t>noter qu</w:t>
      </w:r>
      <w:r w:rsidR="00A1605A" w:rsidRPr="00355DDA">
        <w:t>’</w:t>
      </w:r>
      <w:r w:rsidR="00EA0530" w:rsidRPr="00355DDA">
        <w:t xml:space="preserve">à sa </w:t>
      </w:r>
      <w:r w:rsidR="005F4025" w:rsidRPr="00355DDA">
        <w:t>soixante</w:t>
      </w:r>
      <w:r w:rsidR="00C42784" w:rsidRPr="00355DDA">
        <w:noBreakHyphen/>
      </w:r>
      <w:r w:rsidR="005F4025" w:rsidRPr="00355DDA">
        <w:t>neuvième</w:t>
      </w:r>
      <w:r w:rsidR="00365E0C" w:rsidRPr="00355DDA">
        <w:t> </w:t>
      </w:r>
      <w:r w:rsidR="005F4025" w:rsidRPr="00355DDA">
        <w:t xml:space="preserve">session, </w:t>
      </w:r>
      <w:r w:rsidR="008A6B40" w:rsidRPr="00355DDA">
        <w:t xml:space="preserve">il </w:t>
      </w:r>
      <w:r w:rsidR="005F4025" w:rsidRPr="00355DDA">
        <w:t>était convenu d</w:t>
      </w:r>
      <w:r w:rsidR="00A1605A" w:rsidRPr="00355DDA">
        <w:t>’</w:t>
      </w:r>
      <w:r w:rsidR="005F4025" w:rsidRPr="00355DDA">
        <w:t>inviter le</w:t>
      </w:r>
      <w:r w:rsidR="00A1605A" w:rsidRPr="00355DDA">
        <w:t> TC</w:t>
      </w:r>
      <w:r w:rsidR="005F4025" w:rsidRPr="00355DDA">
        <w:t xml:space="preserve"> à </w:t>
      </w:r>
      <w:r w:rsidR="00AE7B33" w:rsidRPr="00355DDA">
        <w:t>envisager</w:t>
      </w:r>
      <w:r w:rsidR="005F4025" w:rsidRPr="00355DDA">
        <w:t xml:space="preserve"> l</w:t>
      </w:r>
      <w:r w:rsidR="00A1605A" w:rsidRPr="00355DDA">
        <w:t>’</w:t>
      </w:r>
      <w:r w:rsidR="005F4025" w:rsidRPr="00355DDA">
        <w:t>élaboration d</w:t>
      </w:r>
      <w:r w:rsidR="00A1605A" w:rsidRPr="00355DDA">
        <w:t>’</w:t>
      </w:r>
      <w:r w:rsidR="005F4025" w:rsidRPr="00355DDA">
        <w:t>orientations sur certaines questions concernant les descriptions variétales, comme indiqué au paragraphe</w:t>
      </w:r>
      <w:r w:rsidR="00365E0C" w:rsidRPr="00355DDA">
        <w:t> </w:t>
      </w:r>
      <w:r w:rsidR="005F4025" w:rsidRPr="00355DDA">
        <w:t>26.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541A67" w:rsidP="00D44A32">
      <w:pPr>
        <w:pStyle w:val="Heading2"/>
        <w:rPr>
          <w:lang w:val="fr-FR"/>
        </w:rPr>
      </w:pPr>
      <w:bookmarkStart w:id="18" w:name="_Toc413318623"/>
      <w:bookmarkStart w:id="19" w:name="_Toc413404240"/>
      <w:r w:rsidRPr="00D44A32">
        <w:rPr>
          <w:lang w:val="fr-FR"/>
        </w:rPr>
        <w:t>Notes explicatives sur la nullité du droit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obtenteur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</w:t>
      </w:r>
      <w:r w:rsidR="00270E13" w:rsidRPr="00D44A32">
        <w:rPr>
          <w:lang w:val="fr-FR"/>
        </w:rPr>
        <w:t>ision) (document UPOV/EXN/NUL/2 Draft </w:t>
      </w:r>
      <w:r w:rsidRPr="00D44A32">
        <w:rPr>
          <w:lang w:val="fr-FR"/>
        </w:rPr>
        <w:t>3)</w:t>
      </w:r>
      <w:bookmarkEnd w:id="18"/>
      <w:bookmarkEnd w:id="19"/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4967C5" w:rsidP="00D44A32">
      <w:pPr>
        <w:rPr>
          <w:rFonts w:cs="Arial"/>
          <w:szCs w:val="26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024FD" w:rsidRPr="00D44A32">
        <w:rPr>
          <w:rFonts w:cs="Arial"/>
          <w:lang w:val="fr-FR"/>
        </w:rPr>
        <w:t>Le</w:t>
      </w:r>
      <w:r w:rsidRPr="00D44A32">
        <w:rPr>
          <w:rFonts w:cs="Arial"/>
          <w:lang w:val="fr-FR"/>
        </w:rPr>
        <w:t xml:space="preserve"> CAJ­AG</w:t>
      </w:r>
      <w:r w:rsidRPr="00D44A32">
        <w:rPr>
          <w:rStyle w:val="FootnoteReference"/>
          <w:rFonts w:cs="Arial"/>
          <w:lang w:val="fr-FR"/>
        </w:rPr>
        <w:footnoteReference w:id="22"/>
      </w:r>
      <w:r w:rsidRPr="00D44A32">
        <w:rPr>
          <w:rFonts w:cs="Arial"/>
          <w:lang w:val="fr-FR"/>
        </w:rPr>
        <w:t xml:space="preserve"> </w:t>
      </w:r>
      <w:r w:rsidR="000024FD" w:rsidRPr="00D44A32">
        <w:rPr>
          <w:rFonts w:cs="Arial"/>
          <w:lang w:val="fr-FR"/>
        </w:rPr>
        <w:t xml:space="preserve">a examiné le </w:t>
      </w:r>
      <w:r w:rsidRPr="00D44A32">
        <w:rPr>
          <w:rFonts w:cs="Arial"/>
          <w:lang w:val="fr-FR"/>
        </w:rPr>
        <w:t xml:space="preserve">document </w:t>
      </w:r>
      <w:r w:rsidR="00FD12E1" w:rsidRPr="00D44A32">
        <w:rPr>
          <w:lang w:val="fr-FR"/>
        </w:rPr>
        <w:t xml:space="preserve">UPOV/EXN/NUL/2 </w:t>
      </w:r>
      <w:r w:rsidRPr="00D44A32">
        <w:rPr>
          <w:lang w:val="fr-FR"/>
        </w:rPr>
        <w:t xml:space="preserve">Draft 2 </w:t>
      </w:r>
      <w:r w:rsidR="000024FD" w:rsidRPr="00D44A32">
        <w:rPr>
          <w:lang w:val="fr-FR"/>
        </w:rPr>
        <w:t xml:space="preserve">et le point de vue exprimé </w:t>
      </w:r>
      <w:r w:rsidR="000024FD" w:rsidRPr="00D44A32">
        <w:rPr>
          <w:rFonts w:cs="Arial"/>
          <w:lang w:val="fr-FR"/>
        </w:rPr>
        <w:t>par l</w:t>
      </w:r>
      <w:r w:rsidR="00A1605A" w:rsidRPr="00D44A32">
        <w:rPr>
          <w:rFonts w:cs="Arial"/>
          <w:lang w:val="fr-FR"/>
        </w:rPr>
        <w:t>’</w:t>
      </w:r>
      <w:r w:rsidR="000024FD" w:rsidRPr="00D44A32">
        <w:rPr>
          <w:rFonts w:cs="Arial"/>
          <w:szCs w:val="26"/>
          <w:lang w:val="fr-FR"/>
        </w:rPr>
        <w:t>ESA</w:t>
      </w:r>
      <w:r w:rsidRPr="00D44A32">
        <w:rPr>
          <w:rStyle w:val="FootnoteReference"/>
          <w:rFonts w:cs="Arial"/>
          <w:szCs w:val="26"/>
          <w:lang w:val="fr-FR"/>
        </w:rPr>
        <w:footnoteReference w:id="23"/>
      </w:r>
      <w:r w:rsidR="000024FD" w:rsidRPr="00D44A32">
        <w:rPr>
          <w:rFonts w:cs="Arial"/>
          <w:szCs w:val="26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4967C5" w:rsidP="00D44A32">
      <w:pPr>
        <w:keepNext/>
        <w:rPr>
          <w:rFonts w:cs="Arial"/>
          <w:lang w:val="fr-FR"/>
        </w:rPr>
      </w:pPr>
      <w:r w:rsidRPr="00D44A32">
        <w:rPr>
          <w:lang w:val="fr-FR"/>
        </w:rPr>
        <w:lastRenderedPageBreak/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024FD" w:rsidRPr="00D44A32">
        <w:rPr>
          <w:rFonts w:cs="Arial"/>
          <w:lang w:val="fr-FR"/>
        </w:rPr>
        <w:t>Le</w:t>
      </w:r>
      <w:r w:rsidRPr="00D44A32">
        <w:rPr>
          <w:rFonts w:cs="Arial"/>
          <w:lang w:val="fr-FR"/>
        </w:rPr>
        <w:t xml:space="preserve"> CAJ­AG </w:t>
      </w:r>
      <w:r w:rsidR="000024FD" w:rsidRPr="00D44A32">
        <w:rPr>
          <w:rFonts w:cs="Arial"/>
          <w:lang w:val="fr-FR"/>
        </w:rPr>
        <w:t xml:space="preserve">a approuvé les modifications suivantes à apporter au </w:t>
      </w:r>
      <w:r w:rsidRPr="00D44A32">
        <w:rPr>
          <w:rFonts w:cs="Arial"/>
          <w:lang w:val="fr-FR"/>
        </w:rPr>
        <w:t xml:space="preserve">document </w:t>
      </w:r>
      <w:r w:rsidRPr="00D44A32">
        <w:rPr>
          <w:lang w:val="fr-FR"/>
        </w:rPr>
        <w:t>UPOV/EXN/NUL/2 Draft 2</w:t>
      </w:r>
      <w:r w:rsidR="00155A3B" w:rsidRPr="00D44A32">
        <w:rPr>
          <w:lang w:val="fr-FR"/>
        </w:rPr>
        <w:t> </w:t>
      </w:r>
      <w:r w:rsidRPr="00D44A32">
        <w:rPr>
          <w:rFonts w:cs="Arial"/>
          <w:lang w:val="fr-FR"/>
        </w:rPr>
        <w:t>:</w:t>
      </w:r>
    </w:p>
    <w:p w:rsidR="004967C5" w:rsidRPr="00D44A32" w:rsidRDefault="004967C5" w:rsidP="00D44A32">
      <w:pPr>
        <w:keepNext/>
        <w:rPr>
          <w:rFonts w:cs="Arial"/>
          <w:lang w:val="fr-FR"/>
        </w:rPr>
      </w:pPr>
    </w:p>
    <w:tbl>
      <w:tblPr>
        <w:tblW w:w="9299" w:type="dxa"/>
        <w:tblInd w:w="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85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464"/>
        <w:gridCol w:w="7835"/>
      </w:tblGrid>
      <w:tr w:rsidR="00D44A32" w:rsidRPr="00D44A32" w:rsidTr="00270E13">
        <w:trPr>
          <w:cantSplit/>
        </w:trPr>
        <w:tc>
          <w:tcPr>
            <w:tcW w:w="1464" w:type="dxa"/>
          </w:tcPr>
          <w:p w:rsidR="004967C5" w:rsidRPr="00D44A32" w:rsidRDefault="00541A67" w:rsidP="00D44A32">
            <w:pPr>
              <w:spacing w:before="40" w:after="40"/>
              <w:rPr>
                <w:rFonts w:cs="Arial"/>
                <w:lang w:val="fr-FR"/>
              </w:rPr>
            </w:pPr>
            <w:r w:rsidRPr="00D44A32">
              <w:rPr>
                <w:rFonts w:cs="Arial"/>
                <w:lang w:val="fr-FR"/>
              </w:rPr>
              <w:t>Paragraphe</w:t>
            </w:r>
            <w:r w:rsidR="00365E0C" w:rsidRPr="00D44A32">
              <w:rPr>
                <w:rFonts w:cs="Arial"/>
                <w:lang w:val="fr-FR"/>
              </w:rPr>
              <w:t> </w:t>
            </w:r>
            <w:r w:rsidRPr="00D44A32">
              <w:rPr>
                <w:rFonts w:cs="Arial"/>
                <w:lang w:val="fr-FR"/>
              </w:rPr>
              <w:t>9</w:t>
            </w:r>
          </w:p>
        </w:tc>
        <w:tc>
          <w:tcPr>
            <w:tcW w:w="7835" w:type="dxa"/>
          </w:tcPr>
          <w:p w:rsidR="004967C5" w:rsidRPr="00D44A32" w:rsidRDefault="00365E0C" w:rsidP="00D44A32">
            <w:pPr>
              <w:rPr>
                <w:rFonts w:cs="Arial"/>
                <w:u w:val="single"/>
                <w:lang w:val="fr-FR"/>
              </w:rPr>
            </w:pPr>
            <w:r w:rsidRPr="00D44A32">
              <w:rPr>
                <w:lang w:val="fr-FR"/>
              </w:rPr>
              <w:t>“</w:t>
            </w:r>
            <w:r w:rsidR="00270E13" w:rsidRPr="00D44A32">
              <w:rPr>
                <w:highlight w:val="lightGray"/>
                <w:u w:val="single"/>
                <w:lang w:val="fr-FR"/>
              </w:rPr>
              <w:t>9.</w:t>
            </w:r>
            <w:r w:rsidR="00270E13" w:rsidRPr="00D44A32">
              <w:rPr>
                <w:highlight w:val="lightGray"/>
                <w:u w:val="single"/>
                <w:lang w:val="fr-FR"/>
              </w:rPr>
              <w:tab/>
              <w:t>La décision de déclarer un droit d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 xml:space="preserve">obtenteur nul invalide le droit à compter de la date de son octroi bien que la décision de nullité par le service compétent surviendra à une date ultérieure.  Par conséquent, la nullité a, en principe, des effets rétroactifs.  </w:t>
            </w:r>
            <w:r w:rsidR="00270E13" w:rsidRPr="00D44A32">
              <w:rPr>
                <w:lang w:val="fr-FR"/>
              </w:rPr>
              <w:t xml:space="preserve">Les effets rétroactifs de la nullité peuvent varier dans la pratique </w:t>
            </w:r>
            <w:r w:rsidR="00270E13" w:rsidRPr="00D44A32">
              <w:rPr>
                <w:strike/>
                <w:highlight w:val="lightGray"/>
                <w:lang w:val="fr-FR"/>
              </w:rPr>
              <w:t>[et dépendront de la législation pertinente du membre de l</w:t>
            </w:r>
            <w:r w:rsidR="00A1605A" w:rsidRPr="00D44A32">
              <w:rPr>
                <w:strike/>
                <w:highlight w:val="lightGray"/>
                <w:lang w:val="fr-FR"/>
              </w:rPr>
              <w:t>’</w:t>
            </w:r>
            <w:r w:rsidR="00270E13" w:rsidRPr="00D44A32">
              <w:rPr>
                <w:strike/>
                <w:highlight w:val="lightGray"/>
                <w:lang w:val="fr-FR"/>
              </w:rPr>
              <w:t>Union concerné].  [</w:t>
            </w:r>
            <w:r w:rsidR="00270E13" w:rsidRPr="00D44A32">
              <w:rPr>
                <w:lang w:val="fr-FR"/>
              </w:rPr>
              <w:t xml:space="preserve">Les </w:t>
            </w:r>
            <w:r w:rsidR="00270E13" w:rsidRPr="00D44A32">
              <w:rPr>
                <w:highlight w:val="lightGray"/>
                <w:u w:val="single"/>
                <w:lang w:val="fr-FR"/>
              </w:rPr>
              <w:t>sanctions concernant les</w:t>
            </w:r>
            <w:r w:rsidR="00270E13" w:rsidRPr="00D44A32">
              <w:rPr>
                <w:lang w:val="fr-FR"/>
              </w:rPr>
              <w:t xml:space="preserve"> effets rétroactifs de la nullité </w:t>
            </w:r>
            <w:r w:rsidR="00270E13" w:rsidRPr="00D44A32">
              <w:rPr>
                <w:strike/>
                <w:highlight w:val="lightGray"/>
                <w:lang w:val="fr-FR"/>
              </w:rPr>
              <w:t>peuvent également</w:t>
            </w:r>
            <w:r w:rsidR="00270E13" w:rsidRPr="00D44A32">
              <w:rPr>
                <w:highlight w:val="lightGray"/>
                <w:u w:val="single"/>
                <w:lang w:val="fr-FR"/>
              </w:rPr>
              <w:t xml:space="preserve"> dépendront de la législation pertinente du membre de l</w:t>
            </w:r>
            <w:r w:rsidR="00A1605A" w:rsidRPr="00D44A32">
              <w:rPr>
                <w:highlight w:val="lightGray"/>
                <w:u w:val="single"/>
                <w:lang w:val="fr-FR"/>
              </w:rPr>
              <w:t>’</w:t>
            </w:r>
            <w:r w:rsidR="00270E13" w:rsidRPr="00D44A32">
              <w:rPr>
                <w:highlight w:val="lightGray"/>
                <w:u w:val="single"/>
                <w:lang w:val="fr-FR"/>
              </w:rPr>
              <w:t>Union concerné et</w:t>
            </w:r>
            <w:r w:rsidR="00270E13" w:rsidRPr="00D44A32">
              <w:rPr>
                <w:lang w:val="fr-FR"/>
              </w:rPr>
              <w:t xml:space="preserve"> peuvent également dépendre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accords contractuels</w:t>
            </w:r>
            <w:r w:rsidR="00270E13" w:rsidRPr="00D44A32">
              <w:rPr>
                <w:strike/>
                <w:highlight w:val="lightGray"/>
                <w:lang w:val="fr-FR"/>
              </w:rPr>
              <w:t>]</w:t>
            </w:r>
            <w:r w:rsidR="00270E13" w:rsidRPr="00D44A32">
              <w:rPr>
                <w:lang w:val="fr-FR"/>
              </w:rPr>
              <w:t>.  Dans certains cas, comme dans des cas de fraude ou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agissements abusifs délibérés de la part du titulaire du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obtenteur, le remboursement des redevances payées ou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autres sanctions peuvent s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appliquer.  Dans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autres cas, le remboursement des redevances reçues par le titulaire du droit d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obtenteur peut ne pas s</w:t>
            </w:r>
            <w:r w:rsidR="00A1605A" w:rsidRPr="00D44A32">
              <w:rPr>
                <w:lang w:val="fr-FR"/>
              </w:rPr>
              <w:t>’</w:t>
            </w:r>
            <w:r w:rsidR="00270E13" w:rsidRPr="00D44A32">
              <w:rPr>
                <w:lang w:val="fr-FR"/>
              </w:rPr>
              <w:t>appliquer.</w:t>
            </w:r>
            <w:r w:rsidRPr="00D44A32">
              <w:rPr>
                <w:lang w:val="fr-FR"/>
              </w:rPr>
              <w:t xml:space="preserve">  ”</w:t>
            </w:r>
          </w:p>
        </w:tc>
      </w:tr>
    </w:tbl>
    <w:p w:rsidR="002B18A7" w:rsidRPr="00D44A32" w:rsidRDefault="002B18A7" w:rsidP="00D44A32">
      <w:pPr>
        <w:rPr>
          <w:lang w:val="fr-FR"/>
        </w:rPr>
      </w:pPr>
    </w:p>
    <w:p w:rsidR="002B18A7" w:rsidRPr="00D44A32" w:rsidRDefault="0050638A" w:rsidP="00D44A32">
      <w:pPr>
        <w:pStyle w:val="DecisionParagraphs"/>
        <w:keepLines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024FD" w:rsidRPr="00D44A32">
        <w:rPr>
          <w:lang w:val="fr-FR"/>
        </w:rPr>
        <w:t xml:space="preserve">Le CAJ est invité à considérer le document UPOV/EXN/NUL/2 Draft 3 comme </w:t>
      </w:r>
      <w:r w:rsidR="008D3E45" w:rsidRPr="00D44A32">
        <w:rPr>
          <w:lang w:val="fr-FR"/>
        </w:rPr>
        <w:t xml:space="preserve">une </w:t>
      </w:r>
      <w:r w:rsidR="000024FD" w:rsidRPr="00D44A32">
        <w:rPr>
          <w:lang w:val="fr-FR"/>
        </w:rPr>
        <w:t>base pour la révision des “Notes explicatives sur la nullité du droit d</w:t>
      </w:r>
      <w:r w:rsidR="00A1605A" w:rsidRPr="00D44A32">
        <w:rPr>
          <w:lang w:val="fr-FR"/>
        </w:rPr>
        <w:t>’</w:t>
      </w:r>
      <w:r w:rsidR="000024FD" w:rsidRPr="00D44A32">
        <w:rPr>
          <w:lang w:val="fr-FR"/>
        </w:rPr>
        <w:t>obtent</w:t>
      </w:r>
      <w:r w:rsidR="00957DA8" w:rsidRPr="00D44A32">
        <w:rPr>
          <w:lang w:val="fr-FR"/>
        </w:rPr>
        <w:t xml:space="preserve">eur selon la </w:t>
      </w:r>
      <w:r w:rsidR="00A1605A" w:rsidRPr="00D44A32">
        <w:rPr>
          <w:lang w:val="fr-FR"/>
        </w:rPr>
        <w:t>Convention UPOV</w:t>
      </w:r>
      <w:r w:rsidR="00957DA8" w:rsidRPr="00D44A32">
        <w:rPr>
          <w:lang w:val="fr-FR"/>
        </w:rPr>
        <w:t>” (r</w:t>
      </w:r>
      <w:r w:rsidR="000024FD" w:rsidRPr="00D44A32">
        <w:rPr>
          <w:lang w:val="fr-FR"/>
        </w:rPr>
        <w:t>évision) (document UPOV/EXN/NUL/1) par le Conseil à sa quarante</w:t>
      </w:r>
      <w:r w:rsidR="00C42784" w:rsidRPr="00D44A32">
        <w:rPr>
          <w:lang w:val="fr-FR"/>
        </w:rPr>
        <w:noBreakHyphen/>
      </w:r>
      <w:r w:rsidR="000024FD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0024FD" w:rsidRPr="00D44A32">
        <w:rPr>
          <w:lang w:val="fr-FR"/>
        </w:rPr>
        <w:t>session ordinaire, prévue le 2</w:t>
      </w:r>
      <w:r w:rsidR="00A1605A" w:rsidRPr="00D44A32">
        <w:rPr>
          <w:lang w:val="fr-FR"/>
        </w:rPr>
        <w:t>9 octobre 20</w:t>
      </w:r>
      <w:r w:rsidR="000024FD" w:rsidRPr="00D44A32">
        <w:rPr>
          <w:lang w:val="fr-FR"/>
        </w:rPr>
        <w:t>15</w:t>
      </w:r>
      <w:r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541A67" w:rsidP="00D44A32">
      <w:pPr>
        <w:pStyle w:val="Heading2"/>
        <w:rPr>
          <w:lang w:val="fr-FR"/>
        </w:rPr>
      </w:pPr>
      <w:bookmarkStart w:id="20" w:name="_Toc413318624"/>
      <w:bookmarkStart w:id="21" w:name="_Toc413404241"/>
      <w:r w:rsidRPr="00D44A32">
        <w:rPr>
          <w:lang w:val="fr-FR"/>
        </w:rPr>
        <w:t xml:space="preserve">Notes explicatives sur la protection provisoire selon la </w:t>
      </w:r>
      <w:r w:rsidR="00A1605A" w:rsidRPr="00D44A32">
        <w:rPr>
          <w:lang w:val="fr-FR"/>
        </w:rPr>
        <w:t>Convention UPOV</w:t>
      </w:r>
      <w:r w:rsidRPr="00D44A32">
        <w:rPr>
          <w:lang w:val="fr-FR"/>
        </w:rPr>
        <w:t xml:space="preserve"> (rév</w:t>
      </w:r>
      <w:r w:rsidR="00716567" w:rsidRPr="00D44A32">
        <w:rPr>
          <w:lang w:val="fr-FR"/>
        </w:rPr>
        <w:t>ision) (document UPOV/EXN/PRP/2 Draft </w:t>
      </w:r>
      <w:r w:rsidRPr="00D44A32">
        <w:rPr>
          <w:lang w:val="fr-FR"/>
        </w:rPr>
        <w:t>3)</w:t>
      </w:r>
      <w:bookmarkEnd w:id="20"/>
      <w:bookmarkEnd w:id="21"/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072AD8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024FD" w:rsidRPr="00D44A32">
        <w:rPr>
          <w:rFonts w:cs="Arial"/>
          <w:lang w:val="fr-FR"/>
        </w:rPr>
        <w:t>Le</w:t>
      </w:r>
      <w:r w:rsidRPr="00D44A32">
        <w:rPr>
          <w:rFonts w:cs="Arial"/>
          <w:lang w:val="fr-FR"/>
        </w:rPr>
        <w:t xml:space="preserve"> CAJ­AG</w:t>
      </w:r>
      <w:r w:rsidRPr="00D44A32">
        <w:rPr>
          <w:rStyle w:val="FootnoteReference"/>
          <w:lang w:val="fr-FR"/>
        </w:rPr>
        <w:footnoteReference w:id="24"/>
      </w:r>
      <w:r w:rsidRPr="00D44A32">
        <w:rPr>
          <w:rFonts w:cs="Arial"/>
          <w:lang w:val="fr-FR"/>
        </w:rPr>
        <w:t xml:space="preserve"> </w:t>
      </w:r>
      <w:r w:rsidR="000024FD" w:rsidRPr="00D44A32">
        <w:rPr>
          <w:rFonts w:cs="Arial"/>
          <w:lang w:val="fr-FR"/>
        </w:rPr>
        <w:t>a examiné le</w:t>
      </w:r>
      <w:r w:rsidRPr="00D44A32">
        <w:rPr>
          <w:rFonts w:cs="Arial"/>
          <w:lang w:val="fr-FR"/>
        </w:rPr>
        <w:t xml:space="preserve"> document </w:t>
      </w:r>
      <w:r w:rsidRPr="00D44A32">
        <w:rPr>
          <w:lang w:val="fr-FR"/>
        </w:rPr>
        <w:t xml:space="preserve">UPOV/EXN/PRP/2 Draft 2 </w:t>
      </w:r>
      <w:r w:rsidR="000024FD" w:rsidRPr="00D44A32">
        <w:rPr>
          <w:lang w:val="fr-FR"/>
        </w:rPr>
        <w:t xml:space="preserve">et le point de vue exprimé par </w:t>
      </w:r>
      <w:r w:rsidRPr="00D44A32">
        <w:rPr>
          <w:szCs w:val="26"/>
          <w:lang w:val="fr-FR"/>
        </w:rPr>
        <w:t>CropLife International</w:t>
      </w:r>
      <w:r w:rsidRPr="00D44A32">
        <w:rPr>
          <w:rStyle w:val="FootnoteReference"/>
          <w:lang w:val="fr-FR"/>
        </w:rPr>
        <w:footnoteReference w:id="25"/>
      </w:r>
      <w:r w:rsidR="000024FD" w:rsidRPr="00D44A32">
        <w:rPr>
          <w:szCs w:val="26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072AD8" w:rsidP="00D44A32">
      <w:pPr>
        <w:keepNext/>
        <w:rPr>
          <w:rFonts w:cs="Arial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541A67" w:rsidRPr="00D44A32">
        <w:rPr>
          <w:lang w:val="fr-FR"/>
        </w:rPr>
        <w:t>Le CAJ</w:t>
      </w:r>
      <w:r w:rsidR="00C42784" w:rsidRPr="00D44A32">
        <w:rPr>
          <w:rFonts w:eastAsia="MS Gothic" w:cs="Arial"/>
          <w:lang w:val="fr-FR"/>
        </w:rPr>
        <w:noBreakHyphen/>
      </w:r>
      <w:r w:rsidR="00541A67" w:rsidRPr="00D44A32">
        <w:rPr>
          <w:lang w:val="fr-FR"/>
        </w:rPr>
        <w:t xml:space="preserve">AG </w:t>
      </w:r>
      <w:r w:rsidR="004A33CB" w:rsidRPr="00D44A32">
        <w:rPr>
          <w:lang w:val="fr-FR"/>
        </w:rPr>
        <w:t>est convenu</w:t>
      </w:r>
      <w:r w:rsidR="00541A67" w:rsidRPr="00D44A32">
        <w:rPr>
          <w:lang w:val="fr-FR"/>
        </w:rPr>
        <w:t xml:space="preserve"> de proposer</w:t>
      </w:r>
      <w:r w:rsidR="00A1605A" w:rsidRPr="00D44A32">
        <w:rPr>
          <w:lang w:val="fr-FR"/>
        </w:rPr>
        <w:t xml:space="preserve"> au CAJ</w:t>
      </w:r>
      <w:r w:rsidR="00541A67" w:rsidRPr="00D44A32">
        <w:rPr>
          <w:lang w:val="fr-FR"/>
        </w:rPr>
        <w:t xml:space="preserve"> une r</w:t>
      </w:r>
      <w:r w:rsidR="00541A67" w:rsidRPr="00D44A32">
        <w:rPr>
          <w:rFonts w:cs="Arial"/>
          <w:lang w:val="fr-FR"/>
        </w:rPr>
        <w:t>é</w:t>
      </w:r>
      <w:r w:rsidR="00541A67" w:rsidRPr="00D44A32">
        <w:rPr>
          <w:lang w:val="fr-FR"/>
        </w:rPr>
        <w:t xml:space="preserve">vision du document UPOV/EXN/PRP, </w:t>
      </w:r>
      <w:r w:rsidR="00B57457" w:rsidRPr="00D44A32">
        <w:rPr>
          <w:lang w:val="fr-FR"/>
        </w:rPr>
        <w:t>comme indiqué</w:t>
      </w:r>
      <w:r w:rsidR="00541A67" w:rsidRPr="00D44A32">
        <w:rPr>
          <w:lang w:val="fr-FR"/>
        </w:rPr>
        <w:t xml:space="preserve"> dans le document UPOV/EXN/PRP/2 Draft 2.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50638A" w:rsidP="00D44A32">
      <w:pPr>
        <w:pStyle w:val="DecisionParagraphs"/>
        <w:keepLines/>
        <w:rPr>
          <w:lang w:val="fr-FR" w:eastAsia="zh-CN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024FD" w:rsidRPr="00D44A32">
        <w:rPr>
          <w:lang w:val="fr-FR"/>
        </w:rPr>
        <w:t xml:space="preserve">Le CAJ est invité à considérer le document UPOV/EXN/PRP/2 Draft 3 comme </w:t>
      </w:r>
      <w:r w:rsidR="008D3E45" w:rsidRPr="00D44A32">
        <w:rPr>
          <w:lang w:val="fr-FR"/>
        </w:rPr>
        <w:t xml:space="preserve">une </w:t>
      </w:r>
      <w:r w:rsidR="000024FD" w:rsidRPr="00D44A32">
        <w:rPr>
          <w:lang w:val="fr-FR"/>
        </w:rPr>
        <w:t xml:space="preserve">base pour la révision des “Notes explicatives sur la protection provisoire selon la </w:t>
      </w:r>
      <w:r w:rsidR="00A1605A" w:rsidRPr="00D44A32">
        <w:rPr>
          <w:lang w:val="fr-FR"/>
        </w:rPr>
        <w:t>Convention UPOV</w:t>
      </w:r>
      <w:r w:rsidR="000024FD" w:rsidRPr="00D44A32">
        <w:rPr>
          <w:lang w:val="fr-FR"/>
        </w:rPr>
        <w:t>” (document UPOV/EXN/PRP/1) par le Conseil à sa quarante</w:t>
      </w:r>
      <w:r w:rsidR="00C42784" w:rsidRPr="00D44A32">
        <w:rPr>
          <w:lang w:val="fr-FR"/>
        </w:rPr>
        <w:noBreakHyphen/>
      </w:r>
      <w:r w:rsidR="000024FD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0024FD" w:rsidRPr="00D44A32">
        <w:rPr>
          <w:lang w:val="fr-FR"/>
        </w:rPr>
        <w:t>session ordinaire, prévue le 2</w:t>
      </w:r>
      <w:r w:rsidR="00A1605A" w:rsidRPr="00D44A32">
        <w:rPr>
          <w:lang w:val="fr-FR"/>
        </w:rPr>
        <w:t>9 octobre 20</w:t>
      </w:r>
      <w:r w:rsidR="000024FD" w:rsidRPr="00D44A32">
        <w:rPr>
          <w:lang w:val="fr-FR"/>
        </w:rPr>
        <w:t>15</w:t>
      </w:r>
      <w:r w:rsidR="00AB6E5A"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96163C" w:rsidRDefault="0096163C" w:rsidP="00D44A32">
      <w:pPr>
        <w:pStyle w:val="Heading2"/>
        <w:rPr>
          <w:lang w:val="fr-FR"/>
        </w:rPr>
      </w:pPr>
      <w:bookmarkStart w:id="22" w:name="_Toc413318625"/>
      <w:bookmarkStart w:id="23" w:name="_Toc413404242"/>
    </w:p>
    <w:p w:rsidR="00A1605A" w:rsidRPr="00D44A32" w:rsidRDefault="00155A3B" w:rsidP="00D44A32">
      <w:pPr>
        <w:pStyle w:val="Heading2"/>
        <w:rPr>
          <w:kern w:val="28"/>
          <w:lang w:val="fr-FR"/>
        </w:rPr>
      </w:pPr>
      <w:r w:rsidRPr="00D44A32">
        <w:rPr>
          <w:lang w:val="fr-FR"/>
        </w:rPr>
        <w:t xml:space="preserve">Questions concernant les descriptions variétales </w:t>
      </w:r>
      <w:r w:rsidR="00B57457" w:rsidRPr="00D44A32">
        <w:rPr>
          <w:lang w:val="fr-FR"/>
        </w:rPr>
        <w:t xml:space="preserve">examinées </w:t>
      </w:r>
      <w:r w:rsidRPr="00D44A32">
        <w:rPr>
          <w:lang w:val="fr-FR"/>
        </w:rPr>
        <w:t>p</w:t>
      </w:r>
      <w:r w:rsidR="00B57457" w:rsidRPr="00D44A32">
        <w:rPr>
          <w:lang w:val="fr-FR"/>
        </w:rPr>
        <w:t>a</w:t>
      </w:r>
      <w:r w:rsidRPr="00D44A32">
        <w:rPr>
          <w:lang w:val="fr-FR"/>
        </w:rPr>
        <w:t>r</w:t>
      </w:r>
      <w:r w:rsidR="00A1605A" w:rsidRPr="00D44A32">
        <w:rPr>
          <w:lang w:val="fr-FR"/>
        </w:rPr>
        <w:t xml:space="preserve"> le CAJ</w:t>
      </w:r>
      <w:r w:rsidR="00C42784" w:rsidRPr="00D44A32">
        <w:rPr>
          <w:lang w:val="fr-FR"/>
        </w:rPr>
        <w:noBreakHyphen/>
      </w:r>
      <w:r w:rsidR="00280480" w:rsidRPr="00D44A32">
        <w:rPr>
          <w:lang w:val="fr-FR"/>
        </w:rPr>
        <w:t xml:space="preserve">AG </w:t>
      </w:r>
      <w:r w:rsidR="00072AD8" w:rsidRPr="00D44A32">
        <w:rPr>
          <w:kern w:val="28"/>
          <w:lang w:val="fr-FR"/>
        </w:rPr>
        <w:t>(document CAJ/71/2)</w:t>
      </w:r>
      <w:bookmarkEnd w:id="22"/>
      <w:bookmarkEnd w:id="23"/>
    </w:p>
    <w:p w:rsidR="002B18A7" w:rsidRPr="00D44A32" w:rsidRDefault="002B18A7" w:rsidP="00D44A32">
      <w:pPr>
        <w:rPr>
          <w:snapToGrid w:val="0"/>
          <w:lang w:val="fr-FR"/>
        </w:rPr>
      </w:pPr>
    </w:p>
    <w:p w:rsidR="002B18A7" w:rsidRPr="00D44A32" w:rsidRDefault="00E831EC" w:rsidP="00D44A32">
      <w:pPr>
        <w:rPr>
          <w:lang w:val="fr-FR"/>
        </w:rPr>
      </w:pPr>
      <w:r w:rsidRPr="00D44A32">
        <w:rPr>
          <w:iCs/>
          <w:lang w:val="fr-FR"/>
        </w:rPr>
        <w:fldChar w:fldCharType="begin"/>
      </w:r>
      <w:r w:rsidRPr="00D44A32">
        <w:rPr>
          <w:iCs/>
          <w:lang w:val="fr-FR"/>
        </w:rPr>
        <w:instrText xml:space="preserve"> AUTONUM  </w:instrText>
      </w:r>
      <w:r w:rsidRPr="00D44A32">
        <w:rPr>
          <w:iCs/>
          <w:lang w:val="fr-FR"/>
        </w:rPr>
        <w:fldChar w:fldCharType="end"/>
      </w:r>
      <w:r w:rsidRPr="00D44A32">
        <w:rPr>
          <w:iCs/>
          <w:lang w:val="fr-FR"/>
        </w:rPr>
        <w:tab/>
      </w:r>
      <w:r w:rsidR="008715CD" w:rsidRPr="00D44A32">
        <w:rPr>
          <w:iCs/>
          <w:lang w:val="fr-FR"/>
        </w:rPr>
        <w:t>À sa huitième</w:t>
      </w:r>
      <w:r w:rsidR="00365E0C" w:rsidRPr="00D44A32">
        <w:rPr>
          <w:iCs/>
          <w:lang w:val="fr-FR"/>
        </w:rPr>
        <w:t> </w:t>
      </w:r>
      <w:r w:rsidRPr="00D44A32">
        <w:rPr>
          <w:snapToGrid w:val="0"/>
          <w:lang w:val="fr-FR"/>
        </w:rPr>
        <w:t>session,</w:t>
      </w:r>
      <w:r w:rsidR="00A1605A" w:rsidRPr="00D44A32">
        <w:rPr>
          <w:snapToGrid w:val="0"/>
          <w:lang w:val="fr-FR"/>
        </w:rPr>
        <w:t xml:space="preserve"> le CAJ</w:t>
      </w:r>
      <w:r w:rsidR="00C42784" w:rsidRPr="00D44A32">
        <w:rPr>
          <w:snapToGrid w:val="0"/>
          <w:lang w:val="fr-FR"/>
        </w:rPr>
        <w:noBreakHyphen/>
      </w:r>
      <w:r w:rsidRPr="00D44A32">
        <w:rPr>
          <w:snapToGrid w:val="0"/>
          <w:lang w:val="fr-FR"/>
        </w:rPr>
        <w:t>AG</w:t>
      </w:r>
      <w:r w:rsidRPr="00D44A32">
        <w:rPr>
          <w:rStyle w:val="FootnoteReference"/>
          <w:snapToGrid w:val="0"/>
          <w:lang w:val="fr-FR"/>
        </w:rPr>
        <w:footnoteReference w:id="26"/>
      </w:r>
      <w:r w:rsidRPr="00D44A32">
        <w:rPr>
          <w:snapToGrid w:val="0"/>
          <w:lang w:val="fr-FR"/>
        </w:rPr>
        <w:t xml:space="preserve"> </w:t>
      </w:r>
      <w:r w:rsidR="008715CD" w:rsidRPr="00D44A32">
        <w:rPr>
          <w:snapToGrid w:val="0"/>
          <w:lang w:val="fr-FR"/>
        </w:rPr>
        <w:t xml:space="preserve">a examiné le </w:t>
      </w:r>
      <w:r w:rsidRPr="00D44A32">
        <w:rPr>
          <w:snapToGrid w:val="0"/>
          <w:lang w:val="fr-FR"/>
        </w:rPr>
        <w:t>document CAJ</w:t>
      </w:r>
      <w:r w:rsidR="00C42784" w:rsidRPr="00D44A32">
        <w:rPr>
          <w:snapToGrid w:val="0"/>
          <w:lang w:val="fr-FR"/>
        </w:rPr>
        <w:noBreakHyphen/>
      </w:r>
      <w:r w:rsidRPr="00D44A32">
        <w:rPr>
          <w:snapToGrid w:val="0"/>
          <w:lang w:val="fr-FR"/>
        </w:rPr>
        <w:t xml:space="preserve">AG/13/8/7 “Matters concerning variety descriptions” </w:t>
      </w:r>
      <w:r w:rsidR="008715CD" w:rsidRPr="00D44A32">
        <w:rPr>
          <w:snapToGrid w:val="0"/>
          <w:lang w:val="fr-FR"/>
        </w:rPr>
        <w:t>(</w:t>
      </w:r>
      <w:r w:rsidR="00B57457" w:rsidRPr="00D44A32">
        <w:rPr>
          <w:snapToGrid w:val="0"/>
          <w:lang w:val="fr-FR"/>
        </w:rPr>
        <w:t>q</w:t>
      </w:r>
      <w:r w:rsidR="008715CD" w:rsidRPr="00D44A32">
        <w:rPr>
          <w:snapToGrid w:val="0"/>
          <w:lang w:val="fr-FR"/>
        </w:rPr>
        <w:t>uestions concernant les descriptions variétales) et les questions ci</w:t>
      </w:r>
      <w:r w:rsidR="00C42784" w:rsidRPr="00D44A32">
        <w:rPr>
          <w:snapToGrid w:val="0"/>
          <w:szCs w:val="22"/>
          <w:lang w:val="fr-FR"/>
        </w:rPr>
        <w:noBreakHyphen/>
      </w:r>
      <w:r w:rsidR="008715CD" w:rsidRPr="00D44A32">
        <w:rPr>
          <w:snapToGrid w:val="0"/>
          <w:szCs w:val="22"/>
          <w:lang w:val="fr-FR"/>
        </w:rPr>
        <w:t>après aux fins de l</w:t>
      </w:r>
      <w:r w:rsidR="00A1605A" w:rsidRPr="00D44A32">
        <w:rPr>
          <w:snapToGrid w:val="0"/>
          <w:szCs w:val="22"/>
          <w:lang w:val="fr-FR"/>
        </w:rPr>
        <w:t>’</w:t>
      </w:r>
      <w:r w:rsidR="008715CD" w:rsidRPr="00D44A32">
        <w:rPr>
          <w:snapToGrid w:val="0"/>
          <w:szCs w:val="22"/>
          <w:lang w:val="fr-FR"/>
        </w:rPr>
        <w:t>élaboration d</w:t>
      </w:r>
      <w:r w:rsidR="00A1605A" w:rsidRPr="00D44A32">
        <w:rPr>
          <w:snapToGrid w:val="0"/>
          <w:szCs w:val="22"/>
          <w:lang w:val="fr-FR"/>
        </w:rPr>
        <w:t>’</w:t>
      </w:r>
      <w:r w:rsidR="008715CD" w:rsidRPr="00D44A32">
        <w:rPr>
          <w:snapToGrid w:val="0"/>
          <w:szCs w:val="22"/>
          <w:lang w:val="fr-FR"/>
        </w:rPr>
        <w:t>orientations</w:t>
      </w:r>
      <w:r w:rsidRPr="00D44A32">
        <w:rPr>
          <w:rStyle w:val="FootnoteReference"/>
          <w:snapToGrid w:val="0"/>
          <w:lang w:val="fr-FR"/>
        </w:rPr>
        <w:footnoteReference w:id="27"/>
      </w:r>
      <w:r w:rsidRPr="00D44A32">
        <w:rPr>
          <w:snapToGrid w:val="0"/>
          <w:lang w:val="fr-FR"/>
        </w:rPr>
        <w:t>,</w:t>
      </w:r>
      <w:r w:rsidRPr="00D44A32">
        <w:rPr>
          <w:iCs/>
          <w:lang w:val="fr-FR"/>
        </w:rPr>
        <w:t xml:space="preserve"> </w:t>
      </w:r>
      <w:r w:rsidR="008715CD" w:rsidRPr="00D44A32">
        <w:rPr>
          <w:iCs/>
          <w:lang w:val="fr-FR"/>
        </w:rPr>
        <w:t>et s</w:t>
      </w:r>
      <w:r w:rsidR="00A1605A" w:rsidRPr="00D44A32">
        <w:rPr>
          <w:iCs/>
          <w:lang w:val="fr-FR"/>
        </w:rPr>
        <w:t>’</w:t>
      </w:r>
      <w:r w:rsidR="008715CD" w:rsidRPr="00D44A32">
        <w:rPr>
          <w:iCs/>
          <w:lang w:val="fr-FR"/>
        </w:rPr>
        <w:t xml:space="preserve">est référé en particulier </w:t>
      </w:r>
      <w:r w:rsidR="008715CD" w:rsidRPr="00D44A32">
        <w:rPr>
          <w:lang w:val="fr-FR"/>
        </w:rPr>
        <w:t>à la section</w:t>
      </w:r>
      <w:r w:rsidR="00365E0C" w:rsidRPr="00D44A32">
        <w:rPr>
          <w:lang w:val="fr-FR"/>
        </w:rPr>
        <w:t> </w:t>
      </w:r>
      <w:r w:rsidR="008715CD" w:rsidRPr="00D44A32">
        <w:rPr>
          <w:lang w:val="fr-FR"/>
        </w:rPr>
        <w:t xml:space="preserve">6 </w:t>
      </w:r>
      <w:r w:rsidR="00365E0C" w:rsidRPr="00D44A32">
        <w:rPr>
          <w:lang w:val="fr-FR"/>
        </w:rPr>
        <w:t>“</w:t>
      </w:r>
      <w:r w:rsidR="008715CD" w:rsidRPr="00D44A32">
        <w:rPr>
          <w:lang w:val="fr-FR"/>
        </w:rPr>
        <w:t>Rapport UPOV d</w:t>
      </w:r>
      <w:r w:rsidR="00A1605A" w:rsidRPr="00D44A32">
        <w:rPr>
          <w:lang w:val="fr-FR"/>
        </w:rPr>
        <w:t>’</w:t>
      </w:r>
      <w:r w:rsidR="008715CD" w:rsidRPr="00D44A32">
        <w:rPr>
          <w:lang w:val="fr-FR"/>
        </w:rPr>
        <w:t>examen technique et Formulaire UPOV de description variétale</w:t>
      </w:r>
      <w:r w:rsidR="00365E0C" w:rsidRPr="00D44A32">
        <w:rPr>
          <w:lang w:val="fr-FR"/>
        </w:rPr>
        <w:t>”</w:t>
      </w:r>
      <w:r w:rsidR="008715CD" w:rsidRPr="00D44A32">
        <w:rPr>
          <w:lang w:val="fr-FR"/>
        </w:rPr>
        <w:t xml:space="preserve"> du </w:t>
      </w:r>
      <w:r w:rsidRPr="00D44A32">
        <w:rPr>
          <w:lang w:val="fr-FR"/>
        </w:rPr>
        <w:t>document TGP/5 “Exp</w:t>
      </w:r>
      <w:r w:rsidR="008715CD" w:rsidRPr="00D44A32">
        <w:rPr>
          <w:lang w:val="fr-FR"/>
        </w:rPr>
        <w:t>é</w:t>
      </w:r>
      <w:r w:rsidRPr="00D44A32">
        <w:rPr>
          <w:lang w:val="fr-FR"/>
        </w:rPr>
        <w:t xml:space="preserve">rience </w:t>
      </w:r>
      <w:r w:rsidR="008715CD" w:rsidRPr="00D44A32">
        <w:rPr>
          <w:lang w:val="fr-FR"/>
        </w:rPr>
        <w:t>et coopération en matière d</w:t>
      </w:r>
      <w:r w:rsidR="00A1605A" w:rsidRPr="00D44A32">
        <w:rPr>
          <w:lang w:val="fr-FR"/>
        </w:rPr>
        <w:t>’</w:t>
      </w:r>
      <w:r w:rsidR="008715CD" w:rsidRPr="00D44A32">
        <w:rPr>
          <w:lang w:val="fr-FR"/>
        </w:rPr>
        <w:t>examen</w:t>
      </w:r>
      <w:r w:rsidR="00365E0C" w:rsidRPr="00D44A32">
        <w:rPr>
          <w:lang w:val="fr-FR"/>
        </w:rPr>
        <w:t> </w:t>
      </w:r>
      <w:r w:rsidR="008715CD" w:rsidRPr="00D44A32">
        <w:rPr>
          <w:lang w:val="fr-FR"/>
        </w:rPr>
        <w:t>DHS</w:t>
      </w:r>
      <w:r w:rsidRPr="00D44A32">
        <w:rPr>
          <w:lang w:val="fr-FR"/>
        </w:rPr>
        <w:t>”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541A67" w:rsidP="00D44A32">
      <w:pPr>
        <w:ind w:left="567"/>
        <w:rPr>
          <w:lang w:val="fr-FR"/>
        </w:rPr>
      </w:pPr>
      <w:r w:rsidRPr="00D44A32">
        <w:rPr>
          <w:lang w:val="fr-FR"/>
        </w:rPr>
        <w:t>“a)</w:t>
      </w:r>
      <w:r w:rsidR="00716567" w:rsidRPr="00D44A32">
        <w:rPr>
          <w:lang w:val="fr-FR"/>
        </w:rPr>
        <w:tab/>
      </w:r>
      <w:r w:rsidRPr="00D44A32">
        <w:rPr>
          <w:lang w:val="fr-FR"/>
        </w:rPr>
        <w:t>le ou les buts de la description variétale élaborée au moment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octroi du droit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obtenteur (description variétale initiale);</w:t>
      </w:r>
    </w:p>
    <w:p w:rsidR="002B18A7" w:rsidRPr="00D44A32" w:rsidRDefault="002B18A7" w:rsidP="00D44A32">
      <w:pPr>
        <w:ind w:left="567"/>
        <w:rPr>
          <w:lang w:val="fr-FR"/>
        </w:rPr>
      </w:pPr>
    </w:p>
    <w:p w:rsidR="002B18A7" w:rsidRPr="00D44A32" w:rsidRDefault="00541A67" w:rsidP="00D44A32">
      <w:pPr>
        <w:ind w:left="567"/>
        <w:rPr>
          <w:lang w:val="fr-FR"/>
        </w:rPr>
      </w:pPr>
      <w:r w:rsidRPr="00D44A32">
        <w:rPr>
          <w:lang w:val="fr-FR"/>
        </w:rPr>
        <w:lastRenderedPageBreak/>
        <w:t>“b)</w:t>
      </w:r>
      <w:r w:rsidR="00716567" w:rsidRPr="00D44A32">
        <w:rPr>
          <w:lang w:val="fr-FR"/>
        </w:rPr>
        <w:tab/>
      </w:r>
      <w:r w:rsidRPr="00D44A32">
        <w:rPr>
          <w:lang w:val="fr-FR"/>
        </w:rPr>
        <w:t>le statut de la description variétale initiale, au regard de la vérification de la conformité du matériel végétal à une variété protégée aux fins de :</w:t>
      </w:r>
    </w:p>
    <w:p w:rsidR="002B18A7" w:rsidRPr="00D44A32" w:rsidRDefault="002B18A7" w:rsidP="00D44A32">
      <w:pPr>
        <w:ind w:left="567"/>
        <w:rPr>
          <w:lang w:val="fr-FR"/>
        </w:rPr>
      </w:pPr>
    </w:p>
    <w:p w:rsidR="002B18A7" w:rsidRPr="00D44A32" w:rsidRDefault="000D0D32" w:rsidP="00D44A32">
      <w:pPr>
        <w:ind w:left="1134"/>
        <w:rPr>
          <w:lang w:val="fr-FR"/>
        </w:rPr>
      </w:pPr>
      <w:r w:rsidRPr="00D44A32">
        <w:rPr>
          <w:lang w:val="fr-FR"/>
        </w:rPr>
        <w:t>“</w:t>
      </w:r>
      <w:r w:rsidR="00E831EC" w:rsidRPr="00D44A32">
        <w:rPr>
          <w:lang w:val="fr-FR"/>
        </w:rPr>
        <w:t>i)</w:t>
      </w:r>
      <w:r w:rsidR="00E831EC" w:rsidRPr="00D44A32">
        <w:rPr>
          <w:lang w:val="fr-FR"/>
        </w:rPr>
        <w:tab/>
      </w:r>
      <w:r w:rsidR="00926875" w:rsidRPr="00D44A32">
        <w:rPr>
          <w:lang w:val="fr-FR"/>
        </w:rPr>
        <w:t xml:space="preserve">contrôle du maintien de la variété </w:t>
      </w:r>
      <w:r w:rsidR="00E831EC" w:rsidRPr="00D44A32">
        <w:rPr>
          <w:lang w:val="fr-FR"/>
        </w:rPr>
        <w:t>(</w:t>
      </w:r>
      <w:r w:rsidR="00926875" w:rsidRPr="00D44A32">
        <w:rPr>
          <w:lang w:val="fr-FR"/>
        </w:rPr>
        <w:t>a</w:t>
      </w:r>
      <w:r w:rsidR="00E831EC" w:rsidRPr="00D44A32">
        <w:rPr>
          <w:lang w:val="fr-FR"/>
        </w:rPr>
        <w:t>rticle</w:t>
      </w:r>
      <w:r w:rsidR="00365E0C" w:rsidRPr="00D44A32">
        <w:rPr>
          <w:lang w:val="fr-FR"/>
        </w:rPr>
        <w:t> </w:t>
      </w:r>
      <w:r w:rsidR="00E831EC" w:rsidRPr="00D44A32">
        <w:rPr>
          <w:lang w:val="fr-FR"/>
        </w:rPr>
        <w:t xml:space="preserve">22 </w:t>
      </w:r>
      <w:r w:rsidR="00926875" w:rsidRPr="00D44A32">
        <w:rPr>
          <w:lang w:val="fr-FR"/>
        </w:rPr>
        <w:t>de l</w:t>
      </w:r>
      <w:r w:rsidR="00A1605A" w:rsidRPr="00D44A32">
        <w:rPr>
          <w:lang w:val="fr-FR"/>
        </w:rPr>
        <w:t>’</w:t>
      </w:r>
      <w:r w:rsidR="00926875"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="00E831EC" w:rsidRPr="00D44A32">
        <w:rPr>
          <w:lang w:val="fr-FR"/>
        </w:rPr>
        <w:t xml:space="preserve">1991, </w:t>
      </w:r>
      <w:r w:rsidR="00926875" w:rsidRPr="00D44A32">
        <w:rPr>
          <w:lang w:val="fr-FR"/>
        </w:rPr>
        <w:t>a</w:t>
      </w:r>
      <w:r w:rsidR="00E831EC" w:rsidRPr="00D44A32">
        <w:rPr>
          <w:lang w:val="fr-FR"/>
        </w:rPr>
        <w:t>rticle</w:t>
      </w:r>
      <w:r w:rsidR="00365E0C" w:rsidRPr="00D44A32">
        <w:rPr>
          <w:lang w:val="fr-FR"/>
        </w:rPr>
        <w:t> </w:t>
      </w:r>
      <w:r w:rsidR="00E831EC" w:rsidRPr="00D44A32">
        <w:rPr>
          <w:lang w:val="fr-FR"/>
        </w:rPr>
        <w:t xml:space="preserve">10 </w:t>
      </w:r>
      <w:r w:rsidR="00926875" w:rsidRPr="00D44A32">
        <w:rPr>
          <w:lang w:val="fr-FR"/>
        </w:rPr>
        <w:t>de l</w:t>
      </w:r>
      <w:r w:rsidR="00A1605A" w:rsidRPr="00D44A32">
        <w:rPr>
          <w:lang w:val="fr-FR"/>
        </w:rPr>
        <w:t>’</w:t>
      </w:r>
      <w:r w:rsidR="00926875"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="00E831EC" w:rsidRPr="00D44A32">
        <w:rPr>
          <w:lang w:val="fr-FR"/>
        </w:rPr>
        <w:t>1978);</w:t>
      </w:r>
    </w:p>
    <w:p w:rsidR="002B18A7" w:rsidRPr="00D44A32" w:rsidRDefault="002B18A7" w:rsidP="00D44A32">
      <w:pPr>
        <w:ind w:left="1134"/>
        <w:rPr>
          <w:lang w:val="fr-FR"/>
        </w:rPr>
      </w:pPr>
    </w:p>
    <w:p w:rsidR="002B18A7" w:rsidRPr="00D44A32" w:rsidRDefault="00716567" w:rsidP="00D44A32">
      <w:pPr>
        <w:ind w:left="1134"/>
        <w:rPr>
          <w:lang w:val="fr-FR"/>
        </w:rPr>
      </w:pPr>
      <w:r w:rsidRPr="00D44A32">
        <w:rPr>
          <w:lang w:val="fr-FR"/>
        </w:rPr>
        <w:t>“ii)</w:t>
      </w:r>
      <w:r w:rsidRPr="00D44A32">
        <w:rPr>
          <w:lang w:val="fr-FR"/>
        </w:rPr>
        <w:tab/>
      </w:r>
      <w:r w:rsidR="00541A67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="00541A67" w:rsidRPr="00D44A32">
        <w:rPr>
          <w:lang w:val="fr-FR"/>
        </w:rPr>
        <w:t>examen de la distinction, de l</w:t>
      </w:r>
      <w:r w:rsidR="00A1605A" w:rsidRPr="00D44A32">
        <w:rPr>
          <w:lang w:val="fr-FR"/>
        </w:rPr>
        <w:t>’</w:t>
      </w:r>
      <w:r w:rsidR="00541A67" w:rsidRPr="00D44A32">
        <w:rPr>
          <w:lang w:val="fr-FR"/>
        </w:rPr>
        <w:t>homogénéité et de la stabilité (“DHS”) des variétés candidates, et</w:t>
      </w:r>
    </w:p>
    <w:p w:rsidR="002B18A7" w:rsidRPr="00D44A32" w:rsidRDefault="002B18A7" w:rsidP="00D44A32">
      <w:pPr>
        <w:ind w:left="1134"/>
        <w:rPr>
          <w:lang w:val="fr-FR"/>
        </w:rPr>
      </w:pPr>
    </w:p>
    <w:p w:rsidR="002B18A7" w:rsidRPr="00D44A32" w:rsidRDefault="00716567" w:rsidP="00D44A32">
      <w:pPr>
        <w:ind w:left="1134"/>
        <w:rPr>
          <w:lang w:val="fr-FR"/>
        </w:rPr>
      </w:pPr>
      <w:r w:rsidRPr="00D44A32">
        <w:rPr>
          <w:lang w:val="fr-FR"/>
        </w:rPr>
        <w:t>“iii)</w:t>
      </w:r>
      <w:r w:rsidRPr="00D44A32">
        <w:rPr>
          <w:lang w:val="fr-FR"/>
        </w:rPr>
        <w:tab/>
      </w:r>
      <w:r w:rsidR="00541A67" w:rsidRPr="00D44A32">
        <w:rPr>
          <w:lang w:val="fr-FR"/>
        </w:rPr>
        <w:t>l</w:t>
      </w:r>
      <w:r w:rsidR="00A1605A" w:rsidRPr="00D44A32">
        <w:rPr>
          <w:lang w:val="fr-FR"/>
        </w:rPr>
        <w:t>’</w:t>
      </w:r>
      <w:r w:rsidR="00541A67" w:rsidRPr="00D44A32">
        <w:rPr>
          <w:lang w:val="fr-FR"/>
        </w:rPr>
        <w:t>application du droit d</w:t>
      </w:r>
      <w:r w:rsidR="00A1605A" w:rsidRPr="00D44A32">
        <w:rPr>
          <w:lang w:val="fr-FR"/>
        </w:rPr>
        <w:t>’</w:t>
      </w:r>
      <w:r w:rsidR="00541A67" w:rsidRPr="00D44A32">
        <w:rPr>
          <w:lang w:val="fr-FR"/>
        </w:rPr>
        <w:t>obtenteur.”</w:t>
      </w:r>
    </w:p>
    <w:p w:rsidR="002B18A7" w:rsidRPr="00D44A32" w:rsidRDefault="002B18A7" w:rsidP="00D44A32">
      <w:pPr>
        <w:ind w:left="567"/>
        <w:rPr>
          <w:lang w:val="fr-FR"/>
        </w:rPr>
      </w:pPr>
    </w:p>
    <w:p w:rsidR="002B18A7" w:rsidRPr="00D44A32" w:rsidRDefault="00541A67" w:rsidP="00D44A32">
      <w:pPr>
        <w:ind w:left="567"/>
        <w:rPr>
          <w:lang w:val="fr-FR"/>
        </w:rPr>
      </w:pPr>
      <w:r w:rsidRPr="00D44A32">
        <w:rPr>
          <w:lang w:val="fr-FR"/>
        </w:rPr>
        <w:t>“c)</w:t>
      </w:r>
      <w:r w:rsidRPr="00D44A32">
        <w:rPr>
          <w:lang w:val="fr-FR"/>
        </w:rPr>
        <w:tab/>
        <w:t>le statut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une description variétale modifiée par rapport aux points a) et b) précités, fournie, par exemple, à la suite :</w:t>
      </w:r>
    </w:p>
    <w:p w:rsidR="002B18A7" w:rsidRPr="00D44A32" w:rsidRDefault="002B18A7" w:rsidP="00D44A32">
      <w:pPr>
        <w:ind w:left="567"/>
        <w:rPr>
          <w:lang w:val="fr-FR"/>
        </w:rPr>
      </w:pPr>
    </w:p>
    <w:p w:rsidR="002B18A7" w:rsidRPr="00D44A32" w:rsidRDefault="00541A67" w:rsidP="00D44A32">
      <w:pPr>
        <w:spacing w:after="60"/>
        <w:ind w:left="1701" w:right="566" w:hanging="567"/>
        <w:rPr>
          <w:lang w:val="fr-FR"/>
        </w:rPr>
      </w:pPr>
      <w:r w:rsidRPr="00D44A32">
        <w:rPr>
          <w:lang w:val="fr-FR"/>
        </w:rPr>
        <w:t>“i)</w:t>
      </w:r>
      <w:r w:rsidRPr="00D44A32">
        <w:rPr>
          <w:lang w:val="fr-FR"/>
        </w:rPr>
        <w:tab/>
        <w:t>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 réétalonnage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échelle des principes directeurs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 (en particulier pour les caractères non signalés par un astérisque</w:t>
      </w:r>
      <w:r w:rsidR="00270E13" w:rsidRPr="00D44A32">
        <w:rPr>
          <w:vertAlign w:val="superscript"/>
          <w:lang w:val="fr-FR"/>
        </w:rPr>
        <w:t>1</w:t>
      </w:r>
      <w:r w:rsidRPr="00D44A32">
        <w:rPr>
          <w:lang w:val="fr-FR"/>
        </w:rPr>
        <w:t>);</w:t>
      </w:r>
    </w:p>
    <w:p w:rsidR="002B18A7" w:rsidRPr="00D44A32" w:rsidRDefault="00541A67" w:rsidP="00D44A32">
      <w:pPr>
        <w:spacing w:after="60"/>
        <w:ind w:left="1701" w:right="566" w:hanging="567"/>
        <w:rPr>
          <w:lang w:val="fr-FR"/>
        </w:rPr>
      </w:pPr>
      <w:r w:rsidRPr="00D44A32">
        <w:rPr>
          <w:lang w:val="fr-FR"/>
        </w:rPr>
        <w:t>“ii)</w:t>
      </w:r>
      <w:r w:rsidRPr="00D44A32">
        <w:rPr>
          <w:lang w:val="fr-FR"/>
        </w:rPr>
        <w:tab/>
        <w:t>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une variation due aux conditions environnementales des années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essai pour les caractères influencés par le milieu;</w:t>
      </w:r>
    </w:p>
    <w:p w:rsidR="002B18A7" w:rsidRPr="00D44A32" w:rsidRDefault="00541A67" w:rsidP="00D44A32">
      <w:pPr>
        <w:spacing w:after="60"/>
        <w:ind w:left="1701" w:right="566" w:hanging="567"/>
        <w:rPr>
          <w:lang w:val="fr-FR"/>
        </w:rPr>
      </w:pPr>
      <w:r w:rsidRPr="00D44A32">
        <w:rPr>
          <w:lang w:val="fr-FR"/>
        </w:rPr>
        <w:t>“iii)</w:t>
      </w:r>
      <w:r w:rsidRPr="00D44A32">
        <w:rPr>
          <w:lang w:val="fr-FR"/>
        </w:rPr>
        <w:tab/>
        <w:t>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une variation due à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observation effectuée par différents experts;  ou</w:t>
      </w:r>
    </w:p>
    <w:p w:rsidR="002B18A7" w:rsidRPr="00D44A32" w:rsidRDefault="00541A67" w:rsidP="00D44A32">
      <w:pPr>
        <w:ind w:left="1701" w:right="566" w:hanging="567"/>
        <w:rPr>
          <w:lang w:val="fr-FR"/>
        </w:rPr>
      </w:pPr>
      <w:r w:rsidRPr="00D44A32">
        <w:rPr>
          <w:lang w:val="fr-FR"/>
        </w:rPr>
        <w:t>“iv)</w:t>
      </w:r>
      <w:r w:rsidRPr="00D44A32">
        <w:rPr>
          <w:lang w:val="fr-FR"/>
        </w:rPr>
        <w:tab/>
        <w:t>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utilisation de différentes versions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échelles (par exemple, différentes versions du code de couleurs RHS).</w:t>
      </w:r>
    </w:p>
    <w:p w:rsidR="002B18A7" w:rsidRPr="00D44A32" w:rsidRDefault="002B18A7" w:rsidP="00D44A32">
      <w:pPr>
        <w:ind w:left="567"/>
        <w:rPr>
          <w:lang w:val="fr-FR"/>
        </w:rPr>
      </w:pPr>
    </w:p>
    <w:p w:rsidR="002B18A7" w:rsidRPr="00D44A32" w:rsidRDefault="00541A67" w:rsidP="00D44A32">
      <w:pPr>
        <w:ind w:left="567"/>
        <w:rPr>
          <w:lang w:val="fr-FR"/>
        </w:rPr>
      </w:pPr>
      <w:r w:rsidRPr="00D44A32">
        <w:rPr>
          <w:lang w:val="fr-FR"/>
        </w:rPr>
        <w:t>“d)</w:t>
      </w:r>
      <w:r w:rsidRPr="00D44A32">
        <w:rPr>
          <w:lang w:val="fr-FR"/>
        </w:rPr>
        <w:tab/>
        <w:t>lorsqu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une erreur est décelée par la suite dans la description variétale initiale.”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i/>
          <w:lang w:val="fr-FR"/>
        </w:rPr>
      </w:pPr>
    </w:p>
    <w:p w:rsidR="002B18A7" w:rsidRPr="00D44A32" w:rsidRDefault="00926875" w:rsidP="00D44A32">
      <w:pPr>
        <w:keepNext/>
        <w:rPr>
          <w:i/>
          <w:lang w:val="fr-FR"/>
        </w:rPr>
      </w:pPr>
      <w:r w:rsidRPr="00D44A32">
        <w:rPr>
          <w:i/>
          <w:lang w:val="fr-FR"/>
        </w:rPr>
        <w:t>Le ou les buts de la description variétale élaborée au moment de l</w:t>
      </w:r>
      <w:r w:rsidR="00A1605A" w:rsidRPr="00D44A32">
        <w:rPr>
          <w:i/>
          <w:lang w:val="fr-FR"/>
        </w:rPr>
        <w:t>’</w:t>
      </w:r>
      <w:r w:rsidRPr="00D44A32">
        <w:rPr>
          <w:i/>
          <w:lang w:val="fr-FR"/>
        </w:rPr>
        <w:t>octroi du droit d</w:t>
      </w:r>
      <w:r w:rsidR="00A1605A" w:rsidRPr="00D44A32">
        <w:rPr>
          <w:i/>
          <w:lang w:val="fr-FR"/>
        </w:rPr>
        <w:t>’</w:t>
      </w:r>
      <w:r w:rsidRPr="00D44A32">
        <w:rPr>
          <w:i/>
          <w:lang w:val="fr-FR"/>
        </w:rPr>
        <w:t>obtenteur (description variétale initiale)</w:t>
      </w:r>
    </w:p>
    <w:p w:rsidR="002B18A7" w:rsidRPr="00D44A32" w:rsidRDefault="002B18A7" w:rsidP="00D44A32">
      <w:pPr>
        <w:keepNext/>
        <w:rPr>
          <w:lang w:val="fr-FR"/>
        </w:rPr>
      </w:pPr>
    </w:p>
    <w:p w:rsidR="002B18A7" w:rsidRPr="00D44A32" w:rsidRDefault="00E831EC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926875" w:rsidRPr="00D44A32">
        <w:rPr>
          <w:lang w:val="fr-FR"/>
        </w:rPr>
        <w:t>À sa soixante</w:t>
      </w:r>
      <w:r w:rsidR="00C42784" w:rsidRPr="00D44A32">
        <w:rPr>
          <w:szCs w:val="22"/>
          <w:lang w:val="fr-FR"/>
        </w:rPr>
        <w:noBreakHyphen/>
      </w:r>
      <w:r w:rsidR="00926875" w:rsidRPr="00D44A32">
        <w:rPr>
          <w:szCs w:val="22"/>
          <w:lang w:val="fr-FR"/>
        </w:rPr>
        <w:t>neuvième</w:t>
      </w:r>
      <w:r w:rsidR="00365E0C" w:rsidRPr="00D44A32">
        <w:rPr>
          <w:szCs w:val="22"/>
          <w:lang w:val="fr-FR"/>
        </w:rPr>
        <w:t> </w:t>
      </w:r>
      <w:r w:rsidR="00926875" w:rsidRPr="00D44A32">
        <w:rPr>
          <w:lang w:val="fr-FR"/>
        </w:rPr>
        <w:t>session</w:t>
      </w:r>
      <w:r w:rsidR="00280480" w:rsidRPr="00D44A32">
        <w:rPr>
          <w:rStyle w:val="FootnoteReference"/>
          <w:snapToGrid w:val="0"/>
          <w:lang w:val="fr-FR"/>
        </w:rPr>
        <w:footnoteReference w:id="28"/>
      </w:r>
      <w:r w:rsidR="00926875" w:rsidRPr="00D44A32">
        <w:rPr>
          <w:snapToGrid w:val="0"/>
          <w:lang w:val="fr-FR"/>
        </w:rPr>
        <w:t>,</w:t>
      </w:r>
      <w:r w:rsidR="00A1605A" w:rsidRPr="00D44A32">
        <w:rPr>
          <w:snapToGrid w:val="0"/>
          <w:lang w:val="fr-FR"/>
        </w:rPr>
        <w:t xml:space="preserve"> le </w:t>
      </w:r>
      <w:r w:rsidR="00A1605A" w:rsidRPr="00D44A32">
        <w:rPr>
          <w:lang w:val="fr-FR"/>
        </w:rPr>
        <w:t>CAJ</w:t>
      </w:r>
      <w:r w:rsidRPr="00D44A32">
        <w:rPr>
          <w:lang w:val="fr-FR"/>
        </w:rPr>
        <w:t xml:space="preserve"> </w:t>
      </w:r>
      <w:r w:rsidR="00926875" w:rsidRPr="00D44A32">
        <w:rPr>
          <w:lang w:val="fr-FR"/>
        </w:rPr>
        <w:t>a pris note des questions concernant les descriptions variétales que</w:t>
      </w:r>
      <w:r w:rsidR="00A1605A" w:rsidRPr="00D44A32">
        <w:rPr>
          <w:lang w:val="fr-FR"/>
        </w:rPr>
        <w:t xml:space="preserve"> le CAJ</w:t>
      </w:r>
      <w:r w:rsidR="00926875" w:rsidRPr="00D44A32">
        <w:rPr>
          <w:lang w:val="fr-FR"/>
        </w:rPr>
        <w:t xml:space="preserve"> AG devra d</w:t>
      </w:r>
      <w:r w:rsidR="00A1605A" w:rsidRPr="00D44A32">
        <w:rPr>
          <w:lang w:val="fr-FR"/>
        </w:rPr>
        <w:t>’</w:t>
      </w:r>
      <w:r w:rsidR="00926875" w:rsidRPr="00D44A32">
        <w:rPr>
          <w:lang w:val="fr-FR"/>
        </w:rPr>
        <w:t>abord examiner</w:t>
      </w:r>
      <w:r w:rsidRPr="00D44A32">
        <w:rPr>
          <w:lang w:val="fr-FR"/>
        </w:rPr>
        <w:t xml:space="preserve">, </w:t>
      </w:r>
      <w:r w:rsidR="00926875" w:rsidRPr="00D44A32">
        <w:rPr>
          <w:lang w:val="fr-FR"/>
        </w:rPr>
        <w:t>comm</w:t>
      </w:r>
      <w:r w:rsidR="00155A3B" w:rsidRPr="00D44A32">
        <w:rPr>
          <w:lang w:val="fr-FR"/>
        </w:rPr>
        <w:t>e</w:t>
      </w:r>
      <w:r w:rsidR="00926875" w:rsidRPr="00D44A32">
        <w:rPr>
          <w:lang w:val="fr-FR"/>
        </w:rPr>
        <w:t xml:space="preserve"> suit</w:t>
      </w:r>
      <w:r w:rsidRPr="00D44A32">
        <w:rPr>
          <w:rStyle w:val="FootnoteReference"/>
          <w:lang w:val="fr-FR"/>
        </w:rPr>
        <w:footnoteReference w:id="29"/>
      </w:r>
      <w:r w:rsidR="00365E0C" w:rsidRPr="00D44A32">
        <w:rPr>
          <w:lang w:val="fr-FR"/>
        </w:rPr>
        <w:t> </w:t>
      </w:r>
      <w:r w:rsidR="00280480" w:rsidRPr="00D44A32">
        <w:rPr>
          <w:lang w:val="fr-FR"/>
        </w:rPr>
        <w:t>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057C6A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“a)</w:t>
      </w:r>
      <w:r w:rsidRPr="00D44A32">
        <w:rPr>
          <w:sz w:val="18"/>
          <w:szCs w:val="18"/>
          <w:lang w:val="fr-FR"/>
        </w:rPr>
        <w:tab/>
        <w:t>le ou les buts de la description variétale élaborée au moment de 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octroi du droit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obtenteur (description variétale initiale);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057C6A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“b)</w:t>
      </w:r>
      <w:r w:rsidRPr="00D44A32">
        <w:rPr>
          <w:sz w:val="18"/>
          <w:szCs w:val="18"/>
          <w:lang w:val="fr-FR"/>
        </w:rPr>
        <w:tab/>
        <w:t>le statut de la description variétale initiale, au regard de la vérification de la conformité du matériel végétal à une variété protégée aux fins de :</w:t>
      </w:r>
    </w:p>
    <w:p w:rsidR="002B18A7" w:rsidRPr="00D44A32" w:rsidRDefault="002B18A7" w:rsidP="00D44A32">
      <w:pPr>
        <w:ind w:left="567" w:right="567"/>
        <w:rPr>
          <w:sz w:val="18"/>
          <w:szCs w:val="18"/>
          <w:lang w:val="fr-FR"/>
        </w:rPr>
      </w:pPr>
    </w:p>
    <w:p w:rsidR="002B18A7" w:rsidRPr="00D44A32" w:rsidRDefault="00E831EC" w:rsidP="00D44A32">
      <w:pPr>
        <w:ind w:left="567" w:right="567" w:firstLine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“[…]</w:t>
      </w:r>
    </w:p>
    <w:p w:rsidR="002B18A7" w:rsidRPr="00D44A32" w:rsidRDefault="00057C6A" w:rsidP="00D44A32">
      <w:pPr>
        <w:ind w:left="567" w:right="567" w:firstLine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“iii)</w:t>
      </w:r>
      <w:r w:rsidRPr="00D44A32">
        <w:rPr>
          <w:sz w:val="18"/>
          <w:szCs w:val="18"/>
          <w:lang w:val="fr-FR"/>
        </w:rPr>
        <w:tab/>
        <w:t>l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application du droit d</w:t>
      </w:r>
      <w:r w:rsidR="00A1605A" w:rsidRPr="00D44A32">
        <w:rPr>
          <w:sz w:val="18"/>
          <w:szCs w:val="18"/>
          <w:lang w:val="fr-FR"/>
        </w:rPr>
        <w:t>’</w:t>
      </w:r>
      <w:r w:rsidRPr="00D44A32">
        <w:rPr>
          <w:sz w:val="18"/>
          <w:szCs w:val="18"/>
          <w:lang w:val="fr-FR"/>
        </w:rPr>
        <w:t>obtenteur.”</w:t>
      </w:r>
    </w:p>
    <w:p w:rsidR="002B18A7" w:rsidRPr="00D44A32" w:rsidRDefault="002B18A7" w:rsidP="00D44A32">
      <w:pPr>
        <w:ind w:left="567" w:right="567" w:firstLine="567"/>
        <w:rPr>
          <w:sz w:val="18"/>
          <w:szCs w:val="18"/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E831EC" w:rsidP="00D44A32">
      <w:pPr>
        <w:keepNext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3478F1" w:rsidRPr="00D44A32">
        <w:rPr>
          <w:lang w:val="fr-FR"/>
        </w:rPr>
        <w:t>Le CAJ</w:t>
      </w:r>
      <w:r w:rsidR="00C42784" w:rsidRPr="00D44A32">
        <w:rPr>
          <w:lang w:val="fr-FR"/>
        </w:rPr>
        <w:noBreakHyphen/>
      </w:r>
      <w:r w:rsidR="00057C6A" w:rsidRPr="00D44A32">
        <w:rPr>
          <w:lang w:val="fr-FR"/>
        </w:rPr>
        <w:t>AG</w:t>
      </w:r>
      <w:r w:rsidR="00057C6A" w:rsidRPr="00D44A32">
        <w:rPr>
          <w:rStyle w:val="FootnoteReference"/>
          <w:lang w:val="fr-FR"/>
        </w:rPr>
        <w:footnoteReference w:id="30"/>
      </w:r>
      <w:r w:rsidR="00716567" w:rsidRPr="00D44A32">
        <w:rPr>
          <w:lang w:val="fr-FR"/>
        </w:rPr>
        <w:t xml:space="preserve"> </w:t>
      </w:r>
      <w:r w:rsidR="00926875" w:rsidRPr="00D44A32">
        <w:rPr>
          <w:lang w:val="fr-FR"/>
        </w:rPr>
        <w:t>a examiné</w:t>
      </w:r>
      <w:r w:rsidR="00716567" w:rsidRPr="00D44A32">
        <w:rPr>
          <w:lang w:val="fr-FR"/>
        </w:rPr>
        <w:t xml:space="preserve"> le document CAJ</w:t>
      </w:r>
      <w:r w:rsidR="00C42784" w:rsidRPr="00D44A32">
        <w:rPr>
          <w:lang w:val="fr-FR"/>
        </w:rPr>
        <w:noBreakHyphen/>
      </w:r>
      <w:r w:rsidR="00057C6A" w:rsidRPr="00D44A32">
        <w:rPr>
          <w:lang w:val="fr-FR"/>
        </w:rPr>
        <w:t>AG/14/9/4 “Questions concernant les descriptions variétales”</w:t>
      </w:r>
      <w:r w:rsidR="00057C6A" w:rsidRPr="00D44A32">
        <w:rPr>
          <w:rStyle w:val="FootnoteReference"/>
          <w:lang w:val="fr-FR"/>
        </w:rPr>
        <w:footnoteReference w:id="31"/>
      </w:r>
      <w:r w:rsidR="00057C6A" w:rsidRPr="00D44A32">
        <w:rPr>
          <w:lang w:val="fr-FR"/>
        </w:rPr>
        <w:t>.</w:t>
      </w:r>
    </w:p>
    <w:p w:rsidR="002B18A7" w:rsidRPr="00D44A32" w:rsidRDefault="002B18A7" w:rsidP="00D44A32">
      <w:pPr>
        <w:keepNext/>
        <w:rPr>
          <w:lang w:val="fr-FR"/>
        </w:rPr>
      </w:pPr>
    </w:p>
    <w:p w:rsidR="002B18A7" w:rsidRPr="00D44A32" w:rsidRDefault="00E831EC" w:rsidP="00D44A32">
      <w:pPr>
        <w:keepNext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9121D1" w:rsidRPr="00D44A32">
        <w:rPr>
          <w:lang w:val="fr-FR"/>
        </w:rPr>
        <w:t>Le</w:t>
      </w:r>
      <w:r w:rsidRPr="00D44A32">
        <w:rPr>
          <w:lang w:val="fr-FR"/>
        </w:rPr>
        <w:t xml:space="preserve"> 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9121D1" w:rsidRPr="00D44A32">
        <w:rPr>
          <w:lang w:val="fr-FR"/>
        </w:rPr>
        <w:t>est convenu que</w:t>
      </w:r>
      <w:r w:rsidR="006D15FD" w:rsidRPr="00D44A32">
        <w:rPr>
          <w:lang w:val="fr-FR"/>
        </w:rPr>
        <w:t>,</w:t>
      </w:r>
      <w:r w:rsidRPr="00D44A32">
        <w:rPr>
          <w:lang w:val="fr-FR"/>
        </w:rPr>
        <w:t xml:space="preserve"> </w:t>
      </w:r>
      <w:r w:rsidR="009121D1" w:rsidRPr="00D44A32">
        <w:rPr>
          <w:lang w:val="fr-FR"/>
        </w:rPr>
        <w:t>sur la base de la section</w:t>
      </w:r>
      <w:r w:rsidR="00365E0C" w:rsidRPr="00D44A32">
        <w:rPr>
          <w:lang w:val="fr-FR"/>
        </w:rPr>
        <w:t> </w:t>
      </w:r>
      <w:r w:rsidR="009121D1" w:rsidRPr="00D44A32">
        <w:rPr>
          <w:lang w:val="fr-FR"/>
        </w:rPr>
        <w:t>6 du “Rapport UPOV d</w:t>
      </w:r>
      <w:r w:rsidR="00A1605A" w:rsidRPr="00D44A32">
        <w:rPr>
          <w:lang w:val="fr-FR"/>
        </w:rPr>
        <w:t>’</w:t>
      </w:r>
      <w:r w:rsidR="009121D1" w:rsidRPr="00D44A32">
        <w:rPr>
          <w:lang w:val="fr-FR"/>
        </w:rPr>
        <w:t>examen technique et Formulaire UPOV de description variétale” du document TGP/5 “Expérience et coopération en matière d</w:t>
      </w:r>
      <w:r w:rsidR="00A1605A" w:rsidRPr="00D44A32">
        <w:rPr>
          <w:lang w:val="fr-FR"/>
        </w:rPr>
        <w:t>’</w:t>
      </w:r>
      <w:r w:rsidR="009121D1" w:rsidRPr="00D44A32">
        <w:rPr>
          <w:lang w:val="fr-FR"/>
        </w:rPr>
        <w:t>examen</w:t>
      </w:r>
      <w:r w:rsidR="00365E0C" w:rsidRPr="00D44A32">
        <w:rPr>
          <w:lang w:val="fr-FR"/>
        </w:rPr>
        <w:t> </w:t>
      </w:r>
      <w:r w:rsidR="009121D1" w:rsidRPr="00D44A32">
        <w:rPr>
          <w:lang w:val="fr-FR"/>
        </w:rPr>
        <w:t>DHS”, le but de la description variétale élaborée au moment de l</w:t>
      </w:r>
      <w:r w:rsidR="00A1605A" w:rsidRPr="00D44A32">
        <w:rPr>
          <w:lang w:val="fr-FR"/>
        </w:rPr>
        <w:t>’</w:t>
      </w:r>
      <w:r w:rsidR="009121D1" w:rsidRPr="00D44A32">
        <w:rPr>
          <w:lang w:val="fr-FR"/>
        </w:rPr>
        <w:t>octroi du droit d</w:t>
      </w:r>
      <w:r w:rsidR="00A1605A" w:rsidRPr="00D44A32">
        <w:rPr>
          <w:lang w:val="fr-FR"/>
        </w:rPr>
        <w:t>’</w:t>
      </w:r>
      <w:r w:rsidR="009121D1" w:rsidRPr="00D44A32">
        <w:rPr>
          <w:lang w:val="fr-FR"/>
        </w:rPr>
        <w:t>obtenteur (description variétale initiale) pourrait être résumé comme suit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057C6A" w:rsidP="00D44A32">
      <w:pPr>
        <w:pStyle w:val="ListParagraph"/>
        <w:keepNext/>
        <w:numPr>
          <w:ilvl w:val="0"/>
          <w:numId w:val="7"/>
        </w:numPr>
        <w:ind w:left="993" w:hanging="426"/>
        <w:rPr>
          <w:snapToGrid w:val="0"/>
          <w:lang w:val="fr-FR"/>
        </w:rPr>
      </w:pPr>
      <w:r w:rsidRPr="00D44A32">
        <w:rPr>
          <w:snapToGrid w:val="0"/>
          <w:lang w:val="fr-FR"/>
        </w:rPr>
        <w:t>décrire les caractères de la variété;  et</w:t>
      </w:r>
    </w:p>
    <w:p w:rsidR="00A1605A" w:rsidRPr="00D44A32" w:rsidRDefault="00057C6A" w:rsidP="00D44A32">
      <w:pPr>
        <w:pStyle w:val="ListParagraph"/>
        <w:numPr>
          <w:ilvl w:val="0"/>
          <w:numId w:val="7"/>
        </w:numPr>
        <w:ind w:left="993" w:hanging="426"/>
        <w:rPr>
          <w:snapToGrid w:val="0"/>
          <w:lang w:val="fr-FR"/>
        </w:rPr>
      </w:pPr>
      <w:r w:rsidRPr="00D44A32">
        <w:rPr>
          <w:snapToGrid w:val="0"/>
          <w:lang w:val="fr-FR"/>
        </w:rPr>
        <w:t>identifier les variétés voisines et les différences par rapport à ces variétés, et en dresser la liste;</w:t>
      </w:r>
    </w:p>
    <w:p w:rsidR="002B18A7" w:rsidRPr="00D44A32" w:rsidRDefault="00057C6A" w:rsidP="00D44A32">
      <w:pPr>
        <w:ind w:left="1419" w:hanging="426"/>
        <w:rPr>
          <w:snapToGrid w:val="0"/>
          <w:lang w:val="fr-FR"/>
        </w:rPr>
      </w:pPr>
      <w:r w:rsidRPr="00D44A32">
        <w:rPr>
          <w:snapToGrid w:val="0"/>
          <w:lang w:val="fr-FR"/>
        </w:rPr>
        <w:t xml:space="preserve">avec les informations sur la base pour a) et b), </w:t>
      </w:r>
      <w:r w:rsidR="00A1605A" w:rsidRPr="00D44A32">
        <w:rPr>
          <w:snapToGrid w:val="0"/>
          <w:lang w:val="fr-FR"/>
        </w:rPr>
        <w:t>à savoir</w:t>
      </w:r>
      <w:r w:rsidR="00365E0C" w:rsidRPr="00D44A32">
        <w:rPr>
          <w:snapToGrid w:val="0"/>
          <w:lang w:val="fr-FR"/>
        </w:rPr>
        <w:t> </w:t>
      </w:r>
      <w:r w:rsidRPr="00D44A32">
        <w:rPr>
          <w:snapToGrid w:val="0"/>
          <w:lang w:val="fr-FR"/>
        </w:rPr>
        <w:t>: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</w:tabs>
        <w:ind w:left="1701" w:hanging="567"/>
        <w:rPr>
          <w:lang w:val="fr-FR"/>
        </w:rPr>
      </w:pPr>
      <w:r w:rsidRPr="00D44A32">
        <w:rPr>
          <w:lang w:val="fr-FR"/>
        </w:rPr>
        <w:t>Date et référence du document contenant les principes directeurs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UPOV;</w:t>
      </w:r>
    </w:p>
    <w:p w:rsidR="002B18A7" w:rsidRPr="00D44A32" w:rsidRDefault="009121D1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rPr>
          <w:lang w:val="fr-FR"/>
        </w:rPr>
      </w:pPr>
      <w:r w:rsidRPr="00D44A32">
        <w:rPr>
          <w:lang w:val="fr-FR"/>
        </w:rPr>
        <w:t>Date et/ou référence des principes directeurs du service ayant établi le rapport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</w:t>
      </w:r>
      <w:r w:rsidR="000D0D32" w:rsidRPr="00D44A32">
        <w:rPr>
          <w:snapToGrid w:val="0"/>
          <w:lang w:val="fr-FR"/>
        </w:rPr>
        <w:t>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Service ayant établi le rapport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lastRenderedPageBreak/>
        <w:t>Station(s) et lieu(x)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Période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Date et lieu de publication du document;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1560"/>
        </w:tabs>
        <w:ind w:left="1560" w:hanging="426"/>
        <w:rPr>
          <w:lang w:val="fr-FR"/>
        </w:rPr>
      </w:pPr>
      <w:r w:rsidRPr="00D44A32">
        <w:rPr>
          <w:lang w:val="fr-FR"/>
        </w:rPr>
        <w:t>Groupe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 (tableau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 caractères;  niveaux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expression;  note;  </w:t>
      </w:r>
      <w:r w:rsidR="009121D1" w:rsidRPr="00D44A32">
        <w:rPr>
          <w:lang w:val="fr-FR"/>
        </w:rPr>
        <w:t>observations</w:t>
      </w:r>
      <w:r w:rsidRPr="00D44A32">
        <w:rPr>
          <w:lang w:val="fr-FR"/>
        </w:rPr>
        <w:t>);</w:t>
      </w:r>
    </w:p>
    <w:p w:rsidR="002B18A7" w:rsidRPr="00D44A32" w:rsidRDefault="00057C6A" w:rsidP="00D44A32">
      <w:pPr>
        <w:pStyle w:val="ListParagraph"/>
        <w:numPr>
          <w:ilvl w:val="2"/>
          <w:numId w:val="6"/>
        </w:numPr>
        <w:tabs>
          <w:tab w:val="left" w:pos="1560"/>
        </w:tabs>
        <w:ind w:left="1701" w:hanging="567"/>
        <w:rPr>
          <w:lang w:val="fr-FR"/>
        </w:rPr>
      </w:pPr>
      <w:r w:rsidRPr="00D44A32">
        <w:rPr>
          <w:lang w:val="fr-FR"/>
        </w:rPr>
        <w:t>Renseignements complémentaires;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</w:r>
      <w:r w:rsidR="00057C6A" w:rsidRPr="00D44A32">
        <w:rPr>
          <w:lang w:val="fr-FR"/>
        </w:rPr>
        <w:t>a)</w:t>
      </w:r>
      <w:r w:rsidR="00057C6A" w:rsidRPr="00D44A32">
        <w:rPr>
          <w:lang w:val="fr-FR"/>
        </w:rPr>
        <w:tab/>
        <w:t>Données additionnelles;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</w:r>
      <w:r w:rsidR="00057C6A" w:rsidRPr="00D44A32">
        <w:rPr>
          <w:lang w:val="fr-FR"/>
        </w:rPr>
        <w:t>b)</w:t>
      </w:r>
      <w:r w:rsidR="00057C6A" w:rsidRPr="00D44A32">
        <w:rPr>
          <w:lang w:val="fr-FR"/>
        </w:rPr>
        <w:tab/>
        <w:t>Photographie (</w:t>
      </w:r>
      <w:r w:rsidR="009121D1" w:rsidRPr="00D44A32">
        <w:rPr>
          <w:lang w:val="fr-FR"/>
        </w:rPr>
        <w:t>le cas échéant</w:t>
      </w:r>
      <w:r w:rsidR="00057C6A" w:rsidRPr="00D44A32">
        <w:rPr>
          <w:lang w:val="fr-FR"/>
        </w:rPr>
        <w:t>);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</w:r>
      <w:r w:rsidR="00057C6A" w:rsidRPr="00D44A32">
        <w:rPr>
          <w:lang w:val="fr-FR"/>
        </w:rPr>
        <w:t>c)</w:t>
      </w:r>
      <w:r w:rsidR="00057C6A" w:rsidRPr="00D44A32">
        <w:rPr>
          <w:lang w:val="fr-FR"/>
        </w:rPr>
        <w:tab/>
      </w:r>
      <w:r w:rsidR="009121D1" w:rsidRPr="00D44A32">
        <w:rPr>
          <w:lang w:val="fr-FR"/>
        </w:rPr>
        <w:t>Version du code RHS des couleurs utilisée (le cas échéant)</w:t>
      </w:r>
      <w:r w:rsidR="000D0D32" w:rsidRPr="00D44A32">
        <w:rPr>
          <w:lang w:val="fr-FR"/>
        </w:rPr>
        <w:t>;</w:t>
      </w:r>
    </w:p>
    <w:p w:rsidR="002B18A7" w:rsidRPr="00D44A32" w:rsidRDefault="00E831EC" w:rsidP="00D44A32">
      <w:pPr>
        <w:tabs>
          <w:tab w:val="left" w:pos="284"/>
        </w:tabs>
        <w:ind w:left="1134"/>
        <w:rPr>
          <w:lang w:val="fr-FR"/>
        </w:rPr>
      </w:pPr>
      <w:r w:rsidRPr="00D44A32">
        <w:rPr>
          <w:lang w:val="fr-FR"/>
        </w:rPr>
        <w:tab/>
      </w:r>
      <w:r w:rsidR="00057C6A" w:rsidRPr="00D44A32">
        <w:rPr>
          <w:lang w:val="fr-FR"/>
        </w:rPr>
        <w:t>d)</w:t>
      </w:r>
      <w:r w:rsidR="00057C6A" w:rsidRPr="00D44A32">
        <w:rPr>
          <w:lang w:val="fr-FR"/>
        </w:rPr>
        <w:tab/>
      </w:r>
      <w:r w:rsidR="009121D1" w:rsidRPr="00D44A32">
        <w:rPr>
          <w:lang w:val="fr-FR"/>
        </w:rPr>
        <w:t>Observations</w:t>
      </w:r>
      <w:r w:rsidR="00057C6A" w:rsidRPr="00D44A32">
        <w:rPr>
          <w:lang w:val="fr-FR"/>
        </w:rPr>
        <w:t>.</w:t>
      </w:r>
    </w:p>
    <w:p w:rsidR="002B18A7" w:rsidRPr="00D44A32" w:rsidRDefault="002B18A7" w:rsidP="00D44A32">
      <w:pPr>
        <w:rPr>
          <w:snapToGrid w:val="0"/>
          <w:lang w:val="fr-FR"/>
        </w:rPr>
      </w:pPr>
    </w:p>
    <w:p w:rsidR="002B18A7" w:rsidRPr="00D44A32" w:rsidRDefault="002B18A7" w:rsidP="00D44A32">
      <w:pPr>
        <w:rPr>
          <w:snapToGrid w:val="0"/>
          <w:lang w:val="fr-FR"/>
        </w:rPr>
      </w:pPr>
    </w:p>
    <w:p w:rsidR="002B18A7" w:rsidRPr="00D44A32" w:rsidRDefault="008F6A0E" w:rsidP="00D44A32">
      <w:pPr>
        <w:keepNext/>
        <w:rPr>
          <w:i/>
          <w:snapToGrid w:val="0"/>
          <w:lang w:val="fr-FR"/>
        </w:rPr>
      </w:pPr>
      <w:r w:rsidRPr="00D44A32">
        <w:rPr>
          <w:i/>
          <w:lang w:val="fr-FR"/>
        </w:rPr>
        <w:t>Le statut de la description variétale initiale, au regard de la vérification de la conformité du matériel végétal à une variété protégée aux fins de</w:t>
      </w:r>
      <w:r w:rsidRPr="00D44A32">
        <w:rPr>
          <w:i/>
          <w:snapToGrid w:val="0"/>
          <w:lang w:val="fr-FR"/>
        </w:rPr>
        <w:t xml:space="preserve"> </w:t>
      </w:r>
      <w:r w:rsidR="00155A3B" w:rsidRPr="00D44A32">
        <w:rPr>
          <w:i/>
          <w:snapToGrid w:val="0"/>
          <w:lang w:val="fr-FR"/>
        </w:rPr>
        <w:t>la défense</w:t>
      </w:r>
      <w:r w:rsidRPr="00D44A32">
        <w:rPr>
          <w:i/>
          <w:snapToGrid w:val="0"/>
          <w:lang w:val="fr-FR"/>
        </w:rPr>
        <w:t xml:space="preserve"> d</w:t>
      </w:r>
      <w:r w:rsidR="005416DD" w:rsidRPr="00D44A32">
        <w:rPr>
          <w:i/>
          <w:snapToGrid w:val="0"/>
          <w:lang w:val="fr-FR"/>
        </w:rPr>
        <w:t>es</w:t>
      </w:r>
      <w:r w:rsidRPr="00D44A32">
        <w:rPr>
          <w:i/>
          <w:snapToGrid w:val="0"/>
          <w:lang w:val="fr-FR"/>
        </w:rPr>
        <w:t xml:space="preserve"> droit</w:t>
      </w:r>
      <w:r w:rsidR="005416DD" w:rsidRPr="00D44A32">
        <w:rPr>
          <w:i/>
          <w:snapToGrid w:val="0"/>
          <w:lang w:val="fr-FR"/>
        </w:rPr>
        <w:t>s</w:t>
      </w:r>
      <w:r w:rsidRPr="00D44A32">
        <w:rPr>
          <w:i/>
          <w:snapToGrid w:val="0"/>
          <w:lang w:val="fr-FR"/>
        </w:rPr>
        <w:t xml:space="preserve"> d</w:t>
      </w:r>
      <w:r w:rsidR="00A1605A" w:rsidRPr="00D44A32">
        <w:rPr>
          <w:i/>
          <w:snapToGrid w:val="0"/>
          <w:lang w:val="fr-FR"/>
        </w:rPr>
        <w:t>’</w:t>
      </w:r>
      <w:r w:rsidRPr="00D44A32">
        <w:rPr>
          <w:i/>
          <w:snapToGrid w:val="0"/>
          <w:lang w:val="fr-FR"/>
        </w:rPr>
        <w:t>obtenteur</w:t>
      </w:r>
    </w:p>
    <w:p w:rsidR="002B18A7" w:rsidRPr="00D44A32" w:rsidRDefault="002B18A7" w:rsidP="00D44A32">
      <w:pPr>
        <w:keepNext/>
        <w:rPr>
          <w:snapToGrid w:val="0"/>
          <w:lang w:val="fr-FR"/>
        </w:rPr>
      </w:pPr>
    </w:p>
    <w:p w:rsidR="00A1605A" w:rsidRPr="00D44A32" w:rsidRDefault="00E831EC" w:rsidP="00D44A32">
      <w:pPr>
        <w:rPr>
          <w:snapToGrid w:val="0"/>
          <w:lang w:val="fr-FR"/>
        </w:rPr>
      </w:pPr>
      <w:r w:rsidRPr="00D44A32">
        <w:rPr>
          <w:snapToGrid w:val="0"/>
          <w:lang w:val="fr-FR"/>
        </w:rPr>
        <w:fldChar w:fldCharType="begin"/>
      </w:r>
      <w:r w:rsidRPr="00D44A32">
        <w:rPr>
          <w:snapToGrid w:val="0"/>
          <w:lang w:val="fr-FR"/>
        </w:rPr>
        <w:instrText xml:space="preserve"> AUTONUM  </w:instrText>
      </w:r>
      <w:r w:rsidRPr="00D44A32">
        <w:rPr>
          <w:snapToGrid w:val="0"/>
          <w:lang w:val="fr-FR"/>
        </w:rPr>
        <w:fldChar w:fldCharType="end"/>
      </w:r>
      <w:r w:rsidRPr="00D44A32">
        <w:rPr>
          <w:snapToGrid w:val="0"/>
          <w:lang w:val="fr-FR"/>
        </w:rPr>
        <w:tab/>
      </w:r>
      <w:r w:rsidR="00057C6A" w:rsidRPr="00D44A32">
        <w:rPr>
          <w:snapToGrid w:val="0"/>
          <w:lang w:val="fr-FR"/>
        </w:rPr>
        <w:t>Le CAJ</w:t>
      </w:r>
      <w:r w:rsidR="00C42784" w:rsidRPr="00D44A32">
        <w:rPr>
          <w:snapToGrid w:val="0"/>
          <w:lang w:val="fr-FR"/>
        </w:rPr>
        <w:noBreakHyphen/>
      </w:r>
      <w:r w:rsidR="00057C6A" w:rsidRPr="00D44A32">
        <w:rPr>
          <w:snapToGrid w:val="0"/>
          <w:lang w:val="fr-FR"/>
        </w:rPr>
        <w:t>AG</w:t>
      </w:r>
      <w:r w:rsidR="00057C6A" w:rsidRPr="00D44A32">
        <w:rPr>
          <w:rStyle w:val="FootnoteReference"/>
          <w:snapToGrid w:val="0"/>
          <w:lang w:val="fr-FR"/>
        </w:rPr>
        <w:footnoteReference w:id="32"/>
      </w:r>
      <w:r w:rsidR="00057C6A" w:rsidRPr="00D44A32">
        <w:rPr>
          <w:snapToGrid w:val="0"/>
          <w:lang w:val="fr-FR"/>
        </w:rPr>
        <w:t xml:space="preserve"> a examiné le statut de la description variétale initiale, au regard de la vérification du matériel végétal d</w:t>
      </w:r>
      <w:r w:rsidR="00A1605A" w:rsidRPr="00D44A32">
        <w:rPr>
          <w:snapToGrid w:val="0"/>
          <w:lang w:val="fr-FR"/>
        </w:rPr>
        <w:t>’</w:t>
      </w:r>
      <w:r w:rsidR="00057C6A" w:rsidRPr="00D44A32">
        <w:rPr>
          <w:snapToGrid w:val="0"/>
          <w:lang w:val="fr-FR"/>
        </w:rPr>
        <w:t xml:space="preserve">une variété protégée aux fins de </w:t>
      </w:r>
      <w:r w:rsidR="00155A3B" w:rsidRPr="00D44A32">
        <w:rPr>
          <w:snapToGrid w:val="0"/>
          <w:lang w:val="fr-FR"/>
        </w:rPr>
        <w:t>la défense</w:t>
      </w:r>
      <w:r w:rsidR="00057C6A" w:rsidRPr="00D44A32">
        <w:rPr>
          <w:snapToGrid w:val="0"/>
          <w:lang w:val="fr-FR"/>
        </w:rPr>
        <w:t xml:space="preserve"> du droit d</w:t>
      </w:r>
      <w:r w:rsidR="00A1605A" w:rsidRPr="00D44A32">
        <w:rPr>
          <w:snapToGrid w:val="0"/>
          <w:lang w:val="fr-FR"/>
        </w:rPr>
        <w:t>’</w:t>
      </w:r>
      <w:r w:rsidR="00057C6A" w:rsidRPr="00D44A32">
        <w:rPr>
          <w:snapToGrid w:val="0"/>
          <w:lang w:val="fr-FR"/>
        </w:rPr>
        <w:t>obtenteur et a noté que les orientations de l</w:t>
      </w:r>
      <w:r w:rsidR="00A1605A" w:rsidRPr="00D44A32">
        <w:rPr>
          <w:snapToGrid w:val="0"/>
          <w:lang w:val="fr-FR"/>
        </w:rPr>
        <w:t>’</w:t>
      </w:r>
      <w:r w:rsidR="00057C6A" w:rsidRPr="00D44A32">
        <w:rPr>
          <w:snapToGrid w:val="0"/>
          <w:lang w:val="fr-FR"/>
        </w:rPr>
        <w:t>UPOV sur la défense des droits d</w:t>
      </w:r>
      <w:r w:rsidR="00A1605A" w:rsidRPr="00D44A32">
        <w:rPr>
          <w:snapToGrid w:val="0"/>
          <w:lang w:val="fr-FR"/>
        </w:rPr>
        <w:t>’</w:t>
      </w:r>
      <w:r w:rsidR="00057C6A" w:rsidRPr="00D44A32">
        <w:rPr>
          <w:snapToGrid w:val="0"/>
          <w:lang w:val="fr-FR"/>
        </w:rPr>
        <w:t>obtenteur figurant dans le document UPOV/EXN/ENF/1 “Notes explicatives sur la défense des droits d</w:t>
      </w:r>
      <w:r w:rsidR="00A1605A" w:rsidRPr="00D44A32">
        <w:rPr>
          <w:snapToGrid w:val="0"/>
          <w:lang w:val="fr-FR"/>
        </w:rPr>
        <w:t>’</w:t>
      </w:r>
      <w:r w:rsidR="00057C6A" w:rsidRPr="00D44A32">
        <w:rPr>
          <w:snapToGrid w:val="0"/>
          <w:lang w:val="fr-FR"/>
        </w:rPr>
        <w:t xml:space="preserve">obtenteur selon la </w:t>
      </w:r>
      <w:r w:rsidR="00A1605A" w:rsidRPr="00D44A32">
        <w:rPr>
          <w:snapToGrid w:val="0"/>
          <w:lang w:val="fr-FR"/>
        </w:rPr>
        <w:t>Convention UPOV</w:t>
      </w:r>
      <w:r w:rsidR="00057C6A" w:rsidRPr="00D44A32">
        <w:rPr>
          <w:snapToGrid w:val="0"/>
          <w:lang w:val="fr-FR"/>
        </w:rPr>
        <w:t>” expliquent ce qui suit</w:t>
      </w:r>
      <w:r w:rsidR="00057C6A" w:rsidRPr="00D44A32">
        <w:rPr>
          <w:rStyle w:val="FootnoteReference"/>
          <w:snapToGrid w:val="0"/>
          <w:lang w:val="fr-FR"/>
        </w:rPr>
        <w:footnoteReference w:id="33"/>
      </w:r>
      <w:r w:rsidR="000D0D32" w:rsidRPr="00D44A32">
        <w:rPr>
          <w:snapToGrid w:val="0"/>
          <w:lang w:val="fr-FR"/>
        </w:rPr>
        <w:t> </w:t>
      </w:r>
      <w:r w:rsidR="00057C6A" w:rsidRPr="00D44A32">
        <w:rPr>
          <w:snapToGrid w:val="0"/>
          <w:lang w:val="fr-FR"/>
        </w:rPr>
        <w:t>:</w:t>
      </w:r>
    </w:p>
    <w:p w:rsidR="002B18A7" w:rsidRPr="00D44A32" w:rsidRDefault="002B18A7" w:rsidP="00D44A32">
      <w:pPr>
        <w:pStyle w:val="ListParagraph"/>
        <w:rPr>
          <w:snapToGrid w:val="0"/>
          <w:lang w:val="fr-FR"/>
        </w:rPr>
      </w:pPr>
    </w:p>
    <w:p w:rsidR="00A1605A" w:rsidRPr="00D44A32" w:rsidRDefault="00057C6A" w:rsidP="00D44A32">
      <w:pPr>
        <w:pStyle w:val="ListParagraph"/>
        <w:ind w:left="567"/>
        <w:rPr>
          <w:snapToGrid w:val="0"/>
          <w:sz w:val="18"/>
          <w:lang w:val="fr-FR"/>
        </w:rPr>
      </w:pPr>
      <w:r w:rsidRPr="00D44A32">
        <w:rPr>
          <w:snapToGrid w:val="0"/>
          <w:sz w:val="18"/>
          <w:lang w:val="fr-FR"/>
        </w:rPr>
        <w:t>“SECTION II</w:t>
      </w:r>
      <w:r w:rsidR="00365E0C" w:rsidRPr="00D44A32">
        <w:rPr>
          <w:snapToGrid w:val="0"/>
          <w:sz w:val="18"/>
          <w:lang w:val="fr-FR"/>
        </w:rPr>
        <w:t> </w:t>
      </w:r>
      <w:r w:rsidRPr="00D44A32">
        <w:rPr>
          <w:snapToGrid w:val="0"/>
          <w:sz w:val="18"/>
          <w:lang w:val="fr-FR"/>
        </w:rPr>
        <w:t>: Quelques mesures possibles pour la défense des droits d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obtenteur</w:t>
      </w:r>
    </w:p>
    <w:p w:rsidR="002B18A7" w:rsidRPr="00D44A32" w:rsidRDefault="002B18A7" w:rsidP="00D44A32">
      <w:pPr>
        <w:pStyle w:val="ListParagraph"/>
        <w:ind w:left="567"/>
        <w:rPr>
          <w:snapToGrid w:val="0"/>
          <w:sz w:val="18"/>
          <w:lang w:val="fr-FR"/>
        </w:rPr>
      </w:pPr>
    </w:p>
    <w:p w:rsidR="002B18A7" w:rsidRPr="00D44A32" w:rsidRDefault="00057C6A" w:rsidP="00D44A32">
      <w:pPr>
        <w:pStyle w:val="ListParagraph"/>
        <w:ind w:left="567" w:right="567"/>
        <w:rPr>
          <w:snapToGrid w:val="0"/>
          <w:sz w:val="18"/>
          <w:lang w:val="fr-FR"/>
        </w:rPr>
      </w:pPr>
      <w:r w:rsidRPr="00D44A32">
        <w:rPr>
          <w:snapToGrid w:val="0"/>
          <w:sz w:val="18"/>
          <w:lang w:val="fr-FR"/>
        </w:rPr>
        <w:t>“</w:t>
      </w:r>
      <w:r w:rsidR="000D0D32" w:rsidRPr="00D44A32">
        <w:rPr>
          <w:snapToGrid w:val="0"/>
          <w:sz w:val="18"/>
          <w:lang w:val="fr-FR"/>
        </w:rPr>
        <w:t>S</w:t>
      </w:r>
      <w:r w:rsidR="00A1605A" w:rsidRPr="00D44A32">
        <w:rPr>
          <w:snapToGrid w:val="0"/>
          <w:sz w:val="18"/>
          <w:lang w:val="fr-FR"/>
        </w:rPr>
        <w:t>’</w:t>
      </w:r>
      <w:r w:rsidR="000D0D32" w:rsidRPr="00D44A32">
        <w:rPr>
          <w:snapToGrid w:val="0"/>
          <w:sz w:val="18"/>
          <w:lang w:val="fr-FR"/>
        </w:rPr>
        <w:t xml:space="preserve">il est vrai que la </w:t>
      </w:r>
      <w:r w:rsidR="00A1605A" w:rsidRPr="00D44A32">
        <w:rPr>
          <w:snapToGrid w:val="0"/>
          <w:sz w:val="18"/>
          <w:lang w:val="fr-FR"/>
        </w:rPr>
        <w:t>Convention UPOV</w:t>
      </w:r>
      <w:r w:rsidRPr="00D44A32">
        <w:rPr>
          <w:snapToGrid w:val="0"/>
          <w:sz w:val="18"/>
          <w:lang w:val="fr-FR"/>
        </w:rPr>
        <w:t xml:space="preserve"> exige des membres de l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Union que ceux</w:t>
      </w:r>
      <w:r w:rsidR="00C42784" w:rsidRPr="00D44A32">
        <w:rPr>
          <w:snapToGrid w:val="0"/>
          <w:sz w:val="18"/>
          <w:lang w:val="fr-FR"/>
        </w:rPr>
        <w:noBreakHyphen/>
      </w:r>
      <w:r w:rsidRPr="00D44A32">
        <w:rPr>
          <w:snapToGrid w:val="0"/>
          <w:sz w:val="18"/>
          <w:lang w:val="fr-FR"/>
        </w:rPr>
        <w:t xml:space="preserve">ci prévoient les recours légaux appropriés permettant de </w:t>
      </w:r>
      <w:r w:rsidR="008F6A0E" w:rsidRPr="00D44A32">
        <w:rPr>
          <w:snapToGrid w:val="0"/>
          <w:sz w:val="18"/>
          <w:lang w:val="fr-FR"/>
        </w:rPr>
        <w:t>défendre</w:t>
      </w:r>
      <w:r w:rsidRPr="00D44A32">
        <w:rPr>
          <w:snapToGrid w:val="0"/>
          <w:sz w:val="18"/>
          <w:lang w:val="fr-FR"/>
        </w:rPr>
        <w:t xml:space="preserve"> efficacement les droits d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obtenteur, il n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en reste pas moins que c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est aux obtenteurs qu</w:t>
      </w:r>
      <w:r w:rsidR="00A1605A" w:rsidRPr="00D44A32">
        <w:rPr>
          <w:snapToGrid w:val="0"/>
          <w:sz w:val="18"/>
          <w:lang w:val="fr-FR"/>
        </w:rPr>
        <w:t>’</w:t>
      </w:r>
      <w:r w:rsidRPr="00D44A32">
        <w:rPr>
          <w:snapToGrid w:val="0"/>
          <w:sz w:val="18"/>
          <w:lang w:val="fr-FR"/>
        </w:rPr>
        <w:t>il incombe de défendre leurs droits.”</w:t>
      </w:r>
    </w:p>
    <w:p w:rsidR="002B18A7" w:rsidRPr="00D44A32" w:rsidRDefault="00E831EC" w:rsidP="00D44A32">
      <w:pPr>
        <w:pStyle w:val="ListParagraph"/>
        <w:ind w:left="567" w:right="567"/>
        <w:rPr>
          <w:snapToGrid w:val="0"/>
          <w:sz w:val="18"/>
          <w:lang w:val="fr-FR"/>
        </w:rPr>
      </w:pPr>
      <w:r w:rsidRPr="00D44A32">
        <w:rPr>
          <w:snapToGrid w:val="0"/>
          <w:sz w:val="18"/>
          <w:lang w:val="fr-FR"/>
        </w:rPr>
        <w:t>[…]</w:t>
      </w:r>
    </w:p>
    <w:p w:rsidR="002B18A7" w:rsidRPr="00D44A32" w:rsidRDefault="002B18A7" w:rsidP="00D44A32">
      <w:pPr>
        <w:pStyle w:val="ListParagraph"/>
        <w:ind w:left="567" w:right="567"/>
        <w:rPr>
          <w:snapToGrid w:val="0"/>
          <w:sz w:val="18"/>
          <w:lang w:val="fr-FR"/>
        </w:rPr>
      </w:pPr>
    </w:p>
    <w:p w:rsidR="002B18A7" w:rsidRPr="00D44A32" w:rsidRDefault="00E831EC" w:rsidP="00D44A32">
      <w:pPr>
        <w:rPr>
          <w:snapToGrid w:val="0"/>
          <w:lang w:val="fr-FR"/>
        </w:rPr>
      </w:pPr>
      <w:r w:rsidRPr="00D44A32">
        <w:rPr>
          <w:snapToGrid w:val="0"/>
          <w:lang w:val="fr-FR"/>
        </w:rPr>
        <w:fldChar w:fldCharType="begin"/>
      </w:r>
      <w:r w:rsidRPr="00D44A32">
        <w:rPr>
          <w:snapToGrid w:val="0"/>
          <w:lang w:val="fr-FR"/>
        </w:rPr>
        <w:instrText xml:space="preserve"> AUTONUM  </w:instrText>
      </w:r>
      <w:r w:rsidRPr="00D44A32">
        <w:rPr>
          <w:snapToGrid w:val="0"/>
          <w:lang w:val="fr-FR"/>
        </w:rPr>
        <w:fldChar w:fldCharType="end"/>
      </w:r>
      <w:r w:rsidRPr="00D44A32">
        <w:rPr>
          <w:snapToGrid w:val="0"/>
          <w:lang w:val="fr-FR"/>
        </w:rPr>
        <w:tab/>
      </w:r>
      <w:r w:rsidR="008F6A0E" w:rsidRPr="00D44A32">
        <w:rPr>
          <w:snapToGrid w:val="0"/>
          <w:lang w:val="fr-FR"/>
        </w:rPr>
        <w:t>Le</w:t>
      </w:r>
      <w:r w:rsidRPr="00D44A32">
        <w:rPr>
          <w:snapToGrid w:val="0"/>
          <w:lang w:val="fr-FR"/>
        </w:rPr>
        <w:t xml:space="preserve"> CAJ</w:t>
      </w:r>
      <w:r w:rsidR="00C42784" w:rsidRPr="00D44A32">
        <w:rPr>
          <w:snapToGrid w:val="0"/>
          <w:lang w:val="fr-FR"/>
        </w:rPr>
        <w:noBreakHyphen/>
      </w:r>
      <w:r w:rsidRPr="00D44A32">
        <w:rPr>
          <w:snapToGrid w:val="0"/>
          <w:lang w:val="fr-FR"/>
        </w:rPr>
        <w:t xml:space="preserve">AG </w:t>
      </w:r>
      <w:r w:rsidR="008F6A0E" w:rsidRPr="00D44A32">
        <w:rPr>
          <w:snapToGrid w:val="0"/>
          <w:lang w:val="fr-FR"/>
        </w:rPr>
        <w:t>est convenu que</w:t>
      </w:r>
      <w:r w:rsidRPr="00D44A32">
        <w:rPr>
          <w:snapToGrid w:val="0"/>
          <w:lang w:val="fr-FR"/>
        </w:rPr>
        <w:t xml:space="preserve">, </w:t>
      </w:r>
      <w:r w:rsidR="008F6A0E" w:rsidRPr="00D44A32">
        <w:rPr>
          <w:snapToGrid w:val="0"/>
          <w:lang w:val="fr-FR"/>
        </w:rPr>
        <w:t>s</w:t>
      </w:r>
      <w:r w:rsidR="00A1605A" w:rsidRPr="00D44A32">
        <w:rPr>
          <w:snapToGrid w:val="0"/>
          <w:lang w:val="fr-FR"/>
        </w:rPr>
        <w:t>’</w:t>
      </w:r>
      <w:r w:rsidR="008F6A0E" w:rsidRPr="00D44A32">
        <w:rPr>
          <w:snapToGrid w:val="0"/>
          <w:lang w:val="fr-FR"/>
        </w:rPr>
        <w:t>agissant de l</w:t>
      </w:r>
      <w:r w:rsidR="00A1605A" w:rsidRPr="00D44A32">
        <w:rPr>
          <w:snapToGrid w:val="0"/>
          <w:lang w:val="fr-FR"/>
        </w:rPr>
        <w:t>’</w:t>
      </w:r>
      <w:r w:rsidR="008F6A0E" w:rsidRPr="00D44A32">
        <w:rPr>
          <w:snapToGrid w:val="0"/>
          <w:lang w:val="fr-FR"/>
        </w:rPr>
        <w:t xml:space="preserve">utilisation de la description variétale initiale, il </w:t>
      </w:r>
      <w:r w:rsidR="00155A3B" w:rsidRPr="00D44A32">
        <w:rPr>
          <w:snapToGrid w:val="0"/>
          <w:lang w:val="fr-FR"/>
        </w:rPr>
        <w:t>y avait lieu</w:t>
      </w:r>
      <w:r w:rsidR="008F6A0E" w:rsidRPr="00D44A32">
        <w:rPr>
          <w:snapToGrid w:val="0"/>
          <w:lang w:val="fr-FR"/>
        </w:rPr>
        <w:t xml:space="preserve"> de rappeler que la description des caractères de la variété et la base de la distinction de la variété la plus semblable </w:t>
      </w:r>
      <w:r w:rsidR="00155A3B" w:rsidRPr="00D44A32">
        <w:rPr>
          <w:snapToGrid w:val="0"/>
          <w:lang w:val="fr-FR"/>
        </w:rPr>
        <w:t>étaient</w:t>
      </w:r>
      <w:r w:rsidR="008F6A0E" w:rsidRPr="00D44A32">
        <w:rPr>
          <w:snapToGrid w:val="0"/>
          <w:lang w:val="fr-FR"/>
        </w:rPr>
        <w:t xml:space="preserve"> liées aux circonstances de l</w:t>
      </w:r>
      <w:r w:rsidR="00A1605A" w:rsidRPr="00D44A32">
        <w:rPr>
          <w:snapToGrid w:val="0"/>
          <w:lang w:val="fr-FR"/>
        </w:rPr>
        <w:t>’</w:t>
      </w:r>
      <w:r w:rsidR="008F6A0E" w:rsidRPr="00D44A32">
        <w:rPr>
          <w:snapToGrid w:val="0"/>
          <w:lang w:val="fr-FR"/>
        </w:rPr>
        <w:t>examen</w:t>
      </w:r>
      <w:r w:rsidR="00365E0C" w:rsidRPr="00D44A32">
        <w:rPr>
          <w:snapToGrid w:val="0"/>
          <w:lang w:val="fr-FR"/>
        </w:rPr>
        <w:t> </w:t>
      </w:r>
      <w:r w:rsidR="008F6A0E" w:rsidRPr="00D44A32">
        <w:rPr>
          <w:snapToGrid w:val="0"/>
          <w:lang w:val="fr-FR"/>
        </w:rPr>
        <w:t>DHS comme indiqué dans le paragraphe</w:t>
      </w:r>
      <w:r w:rsidR="00365E0C" w:rsidRPr="00D44A32">
        <w:rPr>
          <w:snapToGrid w:val="0"/>
          <w:lang w:val="fr-FR"/>
        </w:rPr>
        <w:t> </w:t>
      </w:r>
      <w:r w:rsidR="008F6A0E" w:rsidRPr="00D44A32">
        <w:rPr>
          <w:snapToGrid w:val="0"/>
          <w:lang w:val="fr-FR"/>
        </w:rPr>
        <w:t xml:space="preserve">10.c) du document, </w:t>
      </w:r>
      <w:r w:rsidR="00A1605A" w:rsidRPr="00D44A32">
        <w:rPr>
          <w:snapToGrid w:val="0"/>
          <w:lang w:val="fr-FR"/>
        </w:rPr>
        <w:t>à savoir</w:t>
      </w:r>
      <w:r w:rsidRPr="00D44A32">
        <w:rPr>
          <w:rStyle w:val="FootnoteReference"/>
          <w:snapToGrid w:val="0"/>
          <w:lang w:val="fr-FR"/>
        </w:rPr>
        <w:footnoteReference w:id="34"/>
      </w:r>
      <w:r w:rsidR="00365E0C" w:rsidRPr="00D44A32">
        <w:rPr>
          <w:snapToGrid w:val="0"/>
          <w:lang w:val="fr-FR"/>
        </w:rPr>
        <w:t> </w:t>
      </w:r>
      <w:r w:rsidRPr="00D44A32">
        <w:rPr>
          <w:snapToGrid w:val="0"/>
          <w:lang w:val="fr-FR"/>
        </w:rPr>
        <w:t>:</w:t>
      </w:r>
    </w:p>
    <w:p w:rsidR="002B18A7" w:rsidRPr="00D44A32" w:rsidRDefault="002B18A7" w:rsidP="00D44A32">
      <w:pPr>
        <w:rPr>
          <w:snapToGrid w:val="0"/>
          <w:lang w:val="fr-FR"/>
        </w:rPr>
      </w:pPr>
    </w:p>
    <w:p w:rsidR="002B18A7" w:rsidRPr="00D44A32" w:rsidRDefault="007909DD" w:rsidP="00D44A32">
      <w:pPr>
        <w:pStyle w:val="ListParagraph"/>
        <w:keepNext/>
        <w:numPr>
          <w:ilvl w:val="2"/>
          <w:numId w:val="6"/>
        </w:numPr>
        <w:tabs>
          <w:tab w:val="left" w:pos="567"/>
          <w:tab w:val="left" w:pos="1560"/>
        </w:tabs>
        <w:ind w:left="1701" w:hanging="567"/>
        <w:rPr>
          <w:lang w:val="fr-FR"/>
        </w:rPr>
      </w:pPr>
      <w:r w:rsidRPr="00D44A32">
        <w:rPr>
          <w:lang w:val="fr-FR"/>
        </w:rPr>
        <w:t>Date et référence du document contenant les principes directeurs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UPOV;</w:t>
      </w:r>
    </w:p>
    <w:p w:rsidR="002B18A7" w:rsidRPr="00D44A32" w:rsidRDefault="000962D3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Date et/ou référence des principes directeurs du service ayant établi le rapport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</w:t>
      </w:r>
      <w:r w:rsidR="00E831EC" w:rsidRPr="00D44A32">
        <w:rPr>
          <w:snapToGrid w:val="0"/>
          <w:lang w:val="fr-FR"/>
        </w:rPr>
        <w:t>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Service ayant établi le rapport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Station(s) et lieu(x)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Période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examen;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567"/>
          <w:tab w:val="left" w:pos="1560"/>
          <w:tab w:val="left" w:pos="5103"/>
        </w:tabs>
        <w:ind w:left="1701" w:hanging="567"/>
        <w:rPr>
          <w:lang w:val="fr-FR"/>
        </w:rPr>
      </w:pPr>
      <w:r w:rsidRPr="00D44A32">
        <w:rPr>
          <w:lang w:val="fr-FR"/>
        </w:rPr>
        <w:t>Date et lieu de publication du document;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1560"/>
        </w:tabs>
        <w:ind w:left="1560" w:hanging="426"/>
        <w:rPr>
          <w:lang w:val="fr-FR"/>
        </w:rPr>
      </w:pPr>
      <w:r w:rsidRPr="00D44A32">
        <w:rPr>
          <w:lang w:val="fr-FR"/>
        </w:rPr>
        <w:t>Groupe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 (tableau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 caractères;  niveaux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expression;  note;  </w:t>
      </w:r>
      <w:r w:rsidR="000962D3" w:rsidRPr="00D44A32">
        <w:rPr>
          <w:lang w:val="fr-FR"/>
        </w:rPr>
        <w:t>observations</w:t>
      </w:r>
      <w:r w:rsidRPr="00D44A32">
        <w:rPr>
          <w:lang w:val="fr-FR"/>
        </w:rPr>
        <w:t>);</w:t>
      </w:r>
    </w:p>
    <w:p w:rsidR="002B18A7" w:rsidRPr="00D44A32" w:rsidRDefault="007909DD" w:rsidP="00D44A32">
      <w:pPr>
        <w:pStyle w:val="ListParagraph"/>
        <w:numPr>
          <w:ilvl w:val="2"/>
          <w:numId w:val="6"/>
        </w:numPr>
        <w:tabs>
          <w:tab w:val="left" w:pos="1560"/>
        </w:tabs>
        <w:ind w:left="1701" w:hanging="567"/>
        <w:rPr>
          <w:lang w:val="fr-FR"/>
        </w:rPr>
      </w:pPr>
      <w:r w:rsidRPr="00D44A32">
        <w:rPr>
          <w:lang w:val="fr-FR"/>
        </w:rPr>
        <w:t>Renseignements complémentaires;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</w:r>
      <w:r w:rsidR="007909DD" w:rsidRPr="00D44A32">
        <w:rPr>
          <w:lang w:val="fr-FR"/>
        </w:rPr>
        <w:t>a)</w:t>
      </w:r>
      <w:r w:rsidR="007909DD" w:rsidRPr="00D44A32">
        <w:rPr>
          <w:lang w:val="fr-FR"/>
        </w:rPr>
        <w:tab/>
        <w:t>Données additionnelles;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</w:r>
      <w:r w:rsidR="007909DD" w:rsidRPr="00D44A32">
        <w:rPr>
          <w:lang w:val="fr-FR"/>
        </w:rPr>
        <w:t>b)</w:t>
      </w:r>
      <w:r w:rsidR="007909DD" w:rsidRPr="00D44A32">
        <w:rPr>
          <w:lang w:val="fr-FR"/>
        </w:rPr>
        <w:tab/>
        <w:t>Photographie (</w:t>
      </w:r>
      <w:r w:rsidR="000962D3" w:rsidRPr="00D44A32">
        <w:rPr>
          <w:lang w:val="fr-FR"/>
        </w:rPr>
        <w:t>le cas échéant</w:t>
      </w:r>
      <w:r w:rsidR="007909DD" w:rsidRPr="00D44A32">
        <w:rPr>
          <w:lang w:val="fr-FR"/>
        </w:rPr>
        <w:t>);</w:t>
      </w:r>
    </w:p>
    <w:p w:rsidR="002B18A7" w:rsidRPr="00D44A32" w:rsidRDefault="00E831EC" w:rsidP="00D44A32">
      <w:pPr>
        <w:ind w:left="1134"/>
        <w:rPr>
          <w:lang w:val="fr-FR"/>
        </w:rPr>
      </w:pPr>
      <w:r w:rsidRPr="00D44A32">
        <w:rPr>
          <w:lang w:val="fr-FR"/>
        </w:rPr>
        <w:tab/>
        <w:t>c)</w:t>
      </w:r>
      <w:r w:rsidRPr="00D44A32">
        <w:rPr>
          <w:lang w:val="fr-FR"/>
        </w:rPr>
        <w:tab/>
      </w:r>
      <w:r w:rsidR="000962D3" w:rsidRPr="00D44A32">
        <w:rPr>
          <w:lang w:val="fr-FR"/>
        </w:rPr>
        <w:t>Version du code RHS des couleurs utilisée (le cas échéant)</w:t>
      </w:r>
    </w:p>
    <w:p w:rsidR="002B18A7" w:rsidRPr="00D44A32" w:rsidRDefault="00E831EC" w:rsidP="00D44A32">
      <w:pPr>
        <w:tabs>
          <w:tab w:val="left" w:pos="284"/>
        </w:tabs>
        <w:ind w:left="1134"/>
        <w:rPr>
          <w:lang w:val="fr-FR"/>
        </w:rPr>
      </w:pPr>
      <w:r w:rsidRPr="00D44A32">
        <w:rPr>
          <w:lang w:val="fr-FR"/>
        </w:rPr>
        <w:tab/>
      </w:r>
      <w:r w:rsidR="007909DD" w:rsidRPr="00D44A32">
        <w:rPr>
          <w:lang w:val="fr-FR"/>
        </w:rPr>
        <w:t>d)</w:t>
      </w:r>
      <w:r w:rsidR="007909DD" w:rsidRPr="00D44A32">
        <w:rPr>
          <w:lang w:val="fr-FR"/>
        </w:rPr>
        <w:tab/>
      </w:r>
      <w:r w:rsidR="000962D3" w:rsidRPr="00D44A32">
        <w:rPr>
          <w:lang w:val="fr-FR"/>
        </w:rPr>
        <w:t>Observations</w:t>
      </w:r>
      <w:r w:rsidR="007909DD" w:rsidRPr="00D44A32">
        <w:rPr>
          <w:lang w:val="fr-FR"/>
        </w:rPr>
        <w:t>.</w:t>
      </w:r>
    </w:p>
    <w:p w:rsidR="002B18A7" w:rsidRPr="00D44A32" w:rsidRDefault="002B18A7" w:rsidP="00D44A32">
      <w:pPr>
        <w:tabs>
          <w:tab w:val="left" w:pos="284"/>
        </w:tabs>
        <w:ind w:left="1134"/>
        <w:rPr>
          <w:lang w:val="fr-FR"/>
        </w:rPr>
      </w:pPr>
    </w:p>
    <w:p w:rsidR="002B18A7" w:rsidRPr="00D44A32" w:rsidRDefault="00280480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0962D3" w:rsidRPr="00D44A32">
        <w:rPr>
          <w:lang w:val="fr-FR"/>
        </w:rPr>
        <w:t>Le</w:t>
      </w:r>
      <w:r w:rsidRPr="00D44A32">
        <w:rPr>
          <w:lang w:val="fr-FR"/>
        </w:rPr>
        <w:t xml:space="preserve"> CAJ </w:t>
      </w:r>
      <w:r w:rsidR="000962D3" w:rsidRPr="00D44A32">
        <w:rPr>
          <w:lang w:val="fr-FR"/>
        </w:rPr>
        <w:t xml:space="preserve">est invité à examiner les </w:t>
      </w:r>
      <w:r w:rsidRPr="00D44A32">
        <w:rPr>
          <w:lang w:val="fr-FR"/>
        </w:rPr>
        <w:t>conclusions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</w:t>
      </w:r>
      <w:r w:rsidR="004C4C27" w:rsidRPr="00D44A32">
        <w:rPr>
          <w:lang w:val="fr-FR"/>
        </w:rPr>
        <w:t xml:space="preserve"> </w:t>
      </w:r>
      <w:r w:rsidR="000962D3" w:rsidRPr="00D44A32">
        <w:rPr>
          <w:lang w:val="fr-FR"/>
        </w:rPr>
        <w:t>sur les points suivants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>:</w:t>
      </w:r>
    </w:p>
    <w:p w:rsidR="002B18A7" w:rsidRPr="00D44A32" w:rsidRDefault="002B18A7" w:rsidP="00D44A32">
      <w:pPr>
        <w:pStyle w:val="DecisionParagraphs"/>
        <w:rPr>
          <w:lang w:val="fr-FR"/>
        </w:rPr>
      </w:pPr>
    </w:p>
    <w:p w:rsidR="00A1605A" w:rsidRPr="00D44A32" w:rsidRDefault="004C4C27" w:rsidP="00D44A32">
      <w:pPr>
        <w:pStyle w:val="DecisionParagraphs"/>
        <w:tabs>
          <w:tab w:val="left" w:pos="5954"/>
        </w:tabs>
        <w:rPr>
          <w:lang w:val="fr-FR"/>
        </w:rPr>
      </w:pPr>
      <w:r w:rsidRPr="00D44A32">
        <w:rPr>
          <w:lang w:val="fr-FR"/>
        </w:rPr>
        <w:tab/>
      </w:r>
      <w:r w:rsidR="00280480" w:rsidRPr="00D44A32">
        <w:rPr>
          <w:lang w:val="fr-FR"/>
        </w:rPr>
        <w:t>a)</w:t>
      </w:r>
      <w:r w:rsidR="00280480" w:rsidRPr="00D44A32">
        <w:rPr>
          <w:lang w:val="fr-FR"/>
        </w:rPr>
        <w:tab/>
      </w:r>
      <w:r w:rsidR="00155A3B" w:rsidRPr="00D44A32">
        <w:rPr>
          <w:lang w:val="fr-FR"/>
        </w:rPr>
        <w:t>l</w:t>
      </w:r>
      <w:r w:rsidR="000962D3" w:rsidRPr="00D44A32">
        <w:rPr>
          <w:lang w:val="fr-FR"/>
        </w:rPr>
        <w:t>e ou les buts de la description variétale élaborée au moment de l</w:t>
      </w:r>
      <w:r w:rsidR="00A1605A" w:rsidRPr="00D44A32">
        <w:rPr>
          <w:lang w:val="fr-FR"/>
        </w:rPr>
        <w:t>’</w:t>
      </w:r>
      <w:r w:rsidR="000962D3" w:rsidRPr="00D44A32">
        <w:rPr>
          <w:lang w:val="fr-FR"/>
        </w:rPr>
        <w:t>octroi du droit d</w:t>
      </w:r>
      <w:r w:rsidR="00A1605A" w:rsidRPr="00D44A32">
        <w:rPr>
          <w:lang w:val="fr-FR"/>
        </w:rPr>
        <w:t>’</w:t>
      </w:r>
      <w:r w:rsidR="000962D3" w:rsidRPr="00D44A32">
        <w:rPr>
          <w:lang w:val="fr-FR"/>
        </w:rPr>
        <w:t xml:space="preserve">obtenteur (description variétale initiale), comme indiqué au </w:t>
      </w:r>
      <w:r w:rsidRPr="00D44A32">
        <w:rPr>
          <w:lang w:val="fr-FR"/>
        </w:rPr>
        <w:t>paragraph</w:t>
      </w:r>
      <w:r w:rsidR="000962D3" w:rsidRPr="00D44A32">
        <w:rPr>
          <w:lang w:val="fr-FR"/>
        </w:rPr>
        <w:t>e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37; </w:t>
      </w:r>
      <w:r w:rsidR="000962D3" w:rsidRPr="00D44A32">
        <w:rPr>
          <w:lang w:val="fr-FR"/>
        </w:rPr>
        <w:t xml:space="preserve"> et</w:t>
      </w:r>
    </w:p>
    <w:p w:rsidR="002B18A7" w:rsidRPr="00D44A32" w:rsidRDefault="002B18A7" w:rsidP="00D44A32">
      <w:pPr>
        <w:pStyle w:val="DecisionParagraphs"/>
        <w:tabs>
          <w:tab w:val="left" w:pos="5954"/>
        </w:tabs>
        <w:rPr>
          <w:lang w:val="fr-FR"/>
        </w:rPr>
      </w:pPr>
    </w:p>
    <w:p w:rsidR="002B18A7" w:rsidRPr="00D44A32" w:rsidRDefault="004C4C27" w:rsidP="00D44A32">
      <w:pPr>
        <w:pStyle w:val="DecisionParagraphs"/>
        <w:tabs>
          <w:tab w:val="left" w:pos="5954"/>
        </w:tabs>
        <w:rPr>
          <w:lang w:val="fr-FR"/>
        </w:rPr>
      </w:pPr>
      <w:r w:rsidRPr="00D44A32">
        <w:rPr>
          <w:lang w:val="fr-FR"/>
        </w:rPr>
        <w:tab/>
        <w:t xml:space="preserve">b) </w:t>
      </w:r>
      <w:r w:rsidR="006D15FD" w:rsidRPr="00D44A32">
        <w:rPr>
          <w:lang w:val="fr-FR"/>
        </w:rPr>
        <w:tab/>
      </w:r>
      <w:r w:rsidR="00155A3B" w:rsidRPr="00D44A32">
        <w:rPr>
          <w:lang w:val="fr-FR"/>
        </w:rPr>
        <w:t>l</w:t>
      </w:r>
      <w:r w:rsidR="000962D3" w:rsidRPr="00D44A32">
        <w:rPr>
          <w:lang w:val="fr-FR"/>
        </w:rPr>
        <w:t xml:space="preserve">e statut de la description variétale initiale, au regard de la vérification de la conformité du matériel végétal à une variété protégée aux fins de </w:t>
      </w:r>
      <w:r w:rsidR="00155A3B" w:rsidRPr="00D44A32">
        <w:rPr>
          <w:lang w:val="fr-FR"/>
        </w:rPr>
        <w:t>la défense</w:t>
      </w:r>
      <w:r w:rsidR="000962D3" w:rsidRPr="00D44A32">
        <w:rPr>
          <w:lang w:val="fr-FR"/>
        </w:rPr>
        <w:t xml:space="preserve"> d</w:t>
      </w:r>
      <w:r w:rsidR="005416DD" w:rsidRPr="00D44A32">
        <w:rPr>
          <w:lang w:val="fr-FR"/>
        </w:rPr>
        <w:t>es</w:t>
      </w:r>
      <w:r w:rsidR="000962D3" w:rsidRPr="00D44A32">
        <w:rPr>
          <w:lang w:val="fr-FR"/>
        </w:rPr>
        <w:t xml:space="preserve"> droit</w:t>
      </w:r>
      <w:r w:rsidR="005416DD" w:rsidRPr="00D44A32">
        <w:rPr>
          <w:lang w:val="fr-FR"/>
        </w:rPr>
        <w:t>s</w:t>
      </w:r>
      <w:r w:rsidR="000962D3" w:rsidRPr="00D44A32">
        <w:rPr>
          <w:lang w:val="fr-FR"/>
        </w:rPr>
        <w:t xml:space="preserve"> d</w:t>
      </w:r>
      <w:r w:rsidR="00A1605A" w:rsidRPr="00D44A32">
        <w:rPr>
          <w:lang w:val="fr-FR"/>
        </w:rPr>
        <w:t>’</w:t>
      </w:r>
      <w:r w:rsidR="000962D3" w:rsidRPr="00D44A32">
        <w:rPr>
          <w:lang w:val="fr-FR"/>
        </w:rPr>
        <w:t>obtenteur</w:t>
      </w:r>
      <w:r w:rsidRPr="00D44A32">
        <w:rPr>
          <w:lang w:val="fr-FR"/>
        </w:rPr>
        <w:t xml:space="preserve">, </w:t>
      </w:r>
      <w:r w:rsidR="000962D3" w:rsidRPr="00D44A32">
        <w:rPr>
          <w:lang w:val="fr-FR"/>
        </w:rPr>
        <w:t>comme indiqué aux</w:t>
      </w:r>
      <w:r w:rsidRPr="00D44A32">
        <w:rPr>
          <w:lang w:val="fr-FR"/>
        </w:rPr>
        <w:t xml:space="preserve"> paragraph</w:t>
      </w:r>
      <w:r w:rsidR="000962D3" w:rsidRPr="00D44A32">
        <w:rPr>
          <w:lang w:val="fr-FR"/>
        </w:rPr>
        <w:t>e</w:t>
      </w:r>
      <w:r w:rsidRPr="00D44A32">
        <w:rPr>
          <w:lang w:val="fr-FR"/>
        </w:rPr>
        <w:t>s</w:t>
      </w:r>
      <w:r w:rsidR="00365E0C" w:rsidRPr="00D44A32">
        <w:rPr>
          <w:lang w:val="fr-FR"/>
        </w:rPr>
        <w:t> </w:t>
      </w:r>
      <w:r w:rsidRPr="00D44A32">
        <w:rPr>
          <w:lang w:val="fr-FR"/>
        </w:rPr>
        <w:t xml:space="preserve">38 </w:t>
      </w:r>
      <w:r w:rsidR="000962D3" w:rsidRPr="00D44A32">
        <w:rPr>
          <w:lang w:val="fr-FR"/>
        </w:rPr>
        <w:t>et</w:t>
      </w:r>
      <w:r w:rsidRPr="00D44A32">
        <w:rPr>
          <w:lang w:val="fr-FR"/>
        </w:rPr>
        <w:t xml:space="preserve"> 39.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7909DD" w:rsidP="00D44A32">
      <w:pPr>
        <w:pStyle w:val="Heading2"/>
        <w:rPr>
          <w:lang w:val="fr-FR"/>
        </w:rPr>
      </w:pPr>
      <w:bookmarkStart w:id="24" w:name="_Toc413318626"/>
      <w:bookmarkStart w:id="25" w:name="_Toc413404243"/>
      <w:r w:rsidRPr="00D44A32">
        <w:rPr>
          <w:lang w:val="fr-FR"/>
        </w:rPr>
        <w:t>Dénominations variétales (document CAJ/71/3)</w:t>
      </w:r>
      <w:bookmarkEnd w:id="24"/>
      <w:bookmarkEnd w:id="25"/>
    </w:p>
    <w:p w:rsidR="002B18A7" w:rsidRPr="00D44A32" w:rsidRDefault="002B18A7" w:rsidP="00D44A32">
      <w:pPr>
        <w:keepNext/>
        <w:rPr>
          <w:lang w:val="fr-FR"/>
        </w:rPr>
      </w:pPr>
    </w:p>
    <w:p w:rsidR="002B18A7" w:rsidRPr="00D44A32" w:rsidRDefault="00075BFC" w:rsidP="00D44A32">
      <w:pPr>
        <w:rPr>
          <w:kern w:val="28"/>
          <w:lang w:val="fr-FR"/>
        </w:rPr>
      </w:pPr>
      <w:r w:rsidRPr="00D44A32">
        <w:rPr>
          <w:rFonts w:cs="Arial"/>
          <w:snapToGrid w:val="0"/>
          <w:lang w:val="fr-FR"/>
        </w:rPr>
        <w:fldChar w:fldCharType="begin"/>
      </w:r>
      <w:r w:rsidRPr="00D44A32">
        <w:rPr>
          <w:rFonts w:cs="Arial"/>
          <w:snapToGrid w:val="0"/>
          <w:lang w:val="fr-FR"/>
        </w:rPr>
        <w:instrText xml:space="preserve"> AUTONUM  </w:instrText>
      </w:r>
      <w:r w:rsidRPr="00D44A32">
        <w:rPr>
          <w:rFonts w:cs="Arial"/>
          <w:snapToGrid w:val="0"/>
          <w:lang w:val="fr-FR"/>
        </w:rPr>
        <w:fldChar w:fldCharType="end"/>
      </w:r>
      <w:r w:rsidRPr="00D44A32">
        <w:rPr>
          <w:rFonts w:cs="Arial"/>
          <w:snapToGrid w:val="0"/>
          <w:lang w:val="fr-FR"/>
        </w:rPr>
        <w:tab/>
      </w:r>
      <w:r w:rsidR="000962D3" w:rsidRPr="00D44A32">
        <w:rPr>
          <w:rFonts w:cs="Arial"/>
          <w:snapToGrid w:val="0"/>
          <w:lang w:val="fr-FR"/>
        </w:rPr>
        <w:t xml:space="preserve">Un rapport sur les travaux concernant la possibilité </w:t>
      </w:r>
      <w:r w:rsidR="00D32E36" w:rsidRPr="00D44A32">
        <w:rPr>
          <w:rFonts w:cs="Arial"/>
          <w:lang w:val="fr-FR"/>
        </w:rPr>
        <w:t>d</w:t>
      </w:r>
      <w:r w:rsidR="00A1605A" w:rsidRPr="00D44A32">
        <w:rPr>
          <w:rFonts w:cs="Arial"/>
          <w:lang w:val="fr-FR"/>
        </w:rPr>
        <w:t>’</w:t>
      </w:r>
      <w:r w:rsidR="00D32E36" w:rsidRPr="00D44A32">
        <w:rPr>
          <w:rFonts w:cs="Arial"/>
          <w:lang w:val="fr-FR"/>
        </w:rPr>
        <w:t>élaboration d</w:t>
      </w:r>
      <w:r w:rsidR="00A1605A" w:rsidRPr="00D44A32">
        <w:rPr>
          <w:rFonts w:cs="Arial"/>
          <w:lang w:val="fr-FR"/>
        </w:rPr>
        <w:t>’</w:t>
      </w:r>
      <w:r w:rsidR="00D32E36" w:rsidRPr="00D44A32">
        <w:rPr>
          <w:rFonts w:cs="Arial"/>
          <w:lang w:val="fr-FR"/>
        </w:rPr>
        <w:t>un outil de recherche de l</w:t>
      </w:r>
      <w:r w:rsidR="00A1605A" w:rsidRPr="00D44A32">
        <w:rPr>
          <w:rFonts w:cs="Arial"/>
          <w:lang w:val="fr-FR"/>
        </w:rPr>
        <w:t>’</w:t>
      </w:r>
      <w:r w:rsidR="00D32E36" w:rsidRPr="00D44A32">
        <w:rPr>
          <w:rFonts w:cs="Arial"/>
          <w:lang w:val="fr-FR"/>
        </w:rPr>
        <w:t xml:space="preserve">UPOV de similarité aux fins de la dénomination variétale </w:t>
      </w:r>
      <w:r w:rsidR="00155A3B" w:rsidRPr="00D44A32">
        <w:rPr>
          <w:rFonts w:cs="Arial"/>
          <w:snapToGrid w:val="0"/>
          <w:lang w:val="fr-FR"/>
        </w:rPr>
        <w:t>et d</w:t>
      </w:r>
      <w:r w:rsidR="000962D3" w:rsidRPr="00D44A32">
        <w:rPr>
          <w:rFonts w:cs="Arial"/>
          <w:snapToGrid w:val="0"/>
          <w:lang w:val="fr-FR"/>
        </w:rPr>
        <w:t xml:space="preserve">es propositions </w:t>
      </w:r>
      <w:r w:rsidR="00155A3B" w:rsidRPr="00D44A32">
        <w:rPr>
          <w:rFonts w:cs="Arial"/>
          <w:snapToGrid w:val="0"/>
          <w:lang w:val="fr-FR"/>
        </w:rPr>
        <w:t>de</w:t>
      </w:r>
      <w:r w:rsidR="000962D3" w:rsidRPr="00D44A32">
        <w:rPr>
          <w:rFonts w:cs="Arial"/>
          <w:snapToGrid w:val="0"/>
          <w:lang w:val="fr-FR"/>
        </w:rPr>
        <w:t xml:space="preserve"> </w:t>
      </w:r>
      <w:r w:rsidRPr="00D44A32">
        <w:rPr>
          <w:rFonts w:cs="Arial"/>
          <w:snapToGrid w:val="0"/>
          <w:lang w:val="fr-FR" w:eastAsia="ja-JP"/>
        </w:rPr>
        <w:t>r</w:t>
      </w:r>
      <w:r w:rsidR="000962D3" w:rsidRPr="00D44A32">
        <w:rPr>
          <w:rFonts w:cs="Arial"/>
          <w:snapToGrid w:val="0"/>
          <w:lang w:val="fr-FR" w:eastAsia="ja-JP"/>
        </w:rPr>
        <w:t>é</w:t>
      </w:r>
      <w:r w:rsidRPr="00D44A32">
        <w:rPr>
          <w:rFonts w:cs="Arial"/>
          <w:snapToGrid w:val="0"/>
          <w:lang w:val="fr-FR" w:eastAsia="ja-JP"/>
        </w:rPr>
        <w:t xml:space="preserve">vision </w:t>
      </w:r>
      <w:r w:rsidR="000962D3" w:rsidRPr="00D44A32">
        <w:rPr>
          <w:rFonts w:cs="Arial"/>
          <w:snapToGrid w:val="0"/>
          <w:lang w:val="fr-FR" w:eastAsia="ja-JP"/>
        </w:rPr>
        <w:t xml:space="preserve">éventuelle des </w:t>
      </w:r>
      <w:r w:rsidRPr="00D44A32">
        <w:rPr>
          <w:rFonts w:cs="Arial"/>
          <w:lang w:val="fr-FR"/>
        </w:rPr>
        <w:t>“</w:t>
      </w:r>
      <w:r w:rsidR="000962D3" w:rsidRPr="00D44A32">
        <w:t xml:space="preserve">Notes explicatives concernant les dénominations variétales en vertu de la </w:t>
      </w:r>
      <w:r w:rsidR="00A1605A" w:rsidRPr="00D44A32">
        <w:t>Convention UPOV</w:t>
      </w:r>
      <w:r w:rsidRPr="00D44A32">
        <w:rPr>
          <w:rFonts w:cs="Arial"/>
          <w:lang w:val="fr-FR"/>
        </w:rPr>
        <w:t>” (</w:t>
      </w:r>
      <w:r w:rsidR="00A1605A" w:rsidRPr="00D44A32">
        <w:rPr>
          <w:rFonts w:cs="Arial"/>
          <w:lang w:val="fr-FR"/>
        </w:rPr>
        <w:t>document UP</w:t>
      </w:r>
      <w:r w:rsidRPr="00D44A32">
        <w:rPr>
          <w:rFonts w:cs="Arial"/>
          <w:lang w:val="fr-FR"/>
        </w:rPr>
        <w:t>OV/INF/12/4)</w:t>
      </w:r>
      <w:r w:rsidRPr="00D44A32">
        <w:rPr>
          <w:rFonts w:cs="Arial"/>
          <w:snapToGrid w:val="0"/>
          <w:lang w:val="fr-FR"/>
        </w:rPr>
        <w:t xml:space="preserve"> </w:t>
      </w:r>
      <w:r w:rsidR="000962D3" w:rsidRPr="00D44A32">
        <w:rPr>
          <w:rFonts w:cs="Arial"/>
          <w:snapToGrid w:val="0"/>
          <w:lang w:val="fr-FR"/>
        </w:rPr>
        <w:t>figure</w:t>
      </w:r>
      <w:r w:rsidR="00155A3B" w:rsidRPr="00D44A32">
        <w:rPr>
          <w:rFonts w:cs="Arial"/>
          <w:snapToGrid w:val="0"/>
          <w:lang w:val="fr-FR"/>
        </w:rPr>
        <w:t>nt</w:t>
      </w:r>
      <w:r w:rsidR="000962D3" w:rsidRPr="00D44A32">
        <w:rPr>
          <w:rFonts w:cs="Arial"/>
          <w:snapToGrid w:val="0"/>
          <w:lang w:val="fr-FR"/>
        </w:rPr>
        <w:t xml:space="preserve"> dans le </w:t>
      </w:r>
      <w:r w:rsidRPr="00D44A32">
        <w:rPr>
          <w:kern w:val="28"/>
          <w:lang w:val="fr-FR"/>
        </w:rPr>
        <w:t>document CAJ/71/3 “</w:t>
      </w:r>
      <w:r w:rsidR="000962D3" w:rsidRPr="00D44A32">
        <w:rPr>
          <w:kern w:val="28"/>
          <w:lang w:val="fr-FR"/>
        </w:rPr>
        <w:t>Dé</w:t>
      </w:r>
      <w:r w:rsidRPr="00D44A32">
        <w:rPr>
          <w:kern w:val="28"/>
          <w:lang w:val="fr-FR"/>
        </w:rPr>
        <w:t>nominations</w:t>
      </w:r>
      <w:r w:rsidR="000962D3" w:rsidRPr="00D44A32">
        <w:rPr>
          <w:kern w:val="28"/>
          <w:lang w:val="fr-FR"/>
        </w:rPr>
        <w:t xml:space="preserve"> variétales</w:t>
      </w:r>
      <w:r w:rsidRPr="00D44A32">
        <w:rPr>
          <w:kern w:val="28"/>
          <w:lang w:val="fr-FR"/>
        </w:rPr>
        <w:t>”.</w:t>
      </w:r>
    </w:p>
    <w:p w:rsidR="002B18A7" w:rsidRPr="00D44A32" w:rsidRDefault="002B18A7" w:rsidP="00D44A32">
      <w:pPr>
        <w:tabs>
          <w:tab w:val="left" w:pos="567"/>
        </w:tabs>
        <w:rPr>
          <w:lang w:val="fr-FR"/>
        </w:rPr>
      </w:pPr>
    </w:p>
    <w:p w:rsidR="002B18A7" w:rsidRPr="00D44A32" w:rsidRDefault="00131904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B00946" w:rsidRPr="00D44A32">
        <w:rPr>
          <w:lang w:val="fr-FR"/>
        </w:rPr>
        <w:t xml:space="preserve">Le </w:t>
      </w:r>
      <w:r w:rsidRPr="00D44A32">
        <w:rPr>
          <w:lang w:val="fr-FR"/>
        </w:rPr>
        <w:t xml:space="preserve">CAJ </w:t>
      </w:r>
      <w:r w:rsidR="00B00946" w:rsidRPr="00D44A32">
        <w:rPr>
          <w:lang w:val="fr-FR"/>
        </w:rPr>
        <w:t xml:space="preserve">est invité à </w:t>
      </w:r>
      <w:r w:rsidRPr="00D44A32">
        <w:rPr>
          <w:lang w:val="fr-FR"/>
        </w:rPr>
        <w:t>note</w:t>
      </w:r>
      <w:r w:rsidR="00B00946" w:rsidRPr="00D44A32">
        <w:rPr>
          <w:lang w:val="fr-FR"/>
        </w:rPr>
        <w:t>r qu</w:t>
      </w:r>
      <w:r w:rsidR="00A1605A" w:rsidRPr="00D44A32">
        <w:rPr>
          <w:lang w:val="fr-FR"/>
        </w:rPr>
        <w:t>’</w:t>
      </w:r>
      <w:r w:rsidR="00B00946" w:rsidRPr="00D44A32">
        <w:rPr>
          <w:lang w:val="fr-FR"/>
        </w:rPr>
        <w:t xml:space="preserve">un rapport </w:t>
      </w:r>
      <w:r w:rsidR="00155A3B" w:rsidRPr="00D44A32">
        <w:rPr>
          <w:lang w:val="fr-FR"/>
        </w:rPr>
        <w:t xml:space="preserve">sur </w:t>
      </w:r>
      <w:r w:rsidR="00B00946" w:rsidRPr="00D44A32">
        <w:rPr>
          <w:rFonts w:cs="Arial"/>
          <w:snapToGrid w:val="0"/>
          <w:lang w:val="fr-FR"/>
        </w:rPr>
        <w:t xml:space="preserve">les travaux concernant la possibilité </w:t>
      </w:r>
      <w:r w:rsidR="00B00946" w:rsidRPr="00D44A32">
        <w:rPr>
          <w:rFonts w:cs="Arial"/>
          <w:lang w:val="fr-FR"/>
        </w:rPr>
        <w:t>d</w:t>
      </w:r>
      <w:r w:rsidR="00A1605A" w:rsidRPr="00D44A32">
        <w:rPr>
          <w:rFonts w:cs="Arial"/>
          <w:lang w:val="fr-FR"/>
        </w:rPr>
        <w:t>’</w:t>
      </w:r>
      <w:r w:rsidR="00B00946" w:rsidRPr="00D44A32">
        <w:rPr>
          <w:rFonts w:cs="Arial"/>
          <w:lang w:val="fr-FR"/>
        </w:rPr>
        <w:t>élaboration d</w:t>
      </w:r>
      <w:r w:rsidR="00A1605A" w:rsidRPr="00D44A32">
        <w:rPr>
          <w:rFonts w:cs="Arial"/>
          <w:lang w:val="fr-FR"/>
        </w:rPr>
        <w:t>’</w:t>
      </w:r>
      <w:r w:rsidR="00B00946" w:rsidRPr="00D44A32">
        <w:rPr>
          <w:rFonts w:cs="Arial"/>
          <w:lang w:val="fr-FR"/>
        </w:rPr>
        <w:t>un outil de recherche de l</w:t>
      </w:r>
      <w:r w:rsidR="00A1605A" w:rsidRPr="00D44A32">
        <w:rPr>
          <w:rFonts w:cs="Arial"/>
          <w:lang w:val="fr-FR"/>
        </w:rPr>
        <w:t>’</w:t>
      </w:r>
      <w:r w:rsidR="00B00946" w:rsidRPr="00D44A32">
        <w:rPr>
          <w:rFonts w:cs="Arial"/>
          <w:lang w:val="fr-FR"/>
        </w:rPr>
        <w:t xml:space="preserve">UPOV de similarité aux fins de la dénomination variétale </w:t>
      </w:r>
      <w:r w:rsidR="00155A3B" w:rsidRPr="00D44A32">
        <w:rPr>
          <w:rFonts w:cs="Arial"/>
          <w:snapToGrid w:val="0"/>
          <w:lang w:val="fr-FR"/>
        </w:rPr>
        <w:t>et d</w:t>
      </w:r>
      <w:r w:rsidR="00B00946" w:rsidRPr="00D44A32">
        <w:rPr>
          <w:rFonts w:cs="Arial"/>
          <w:snapToGrid w:val="0"/>
          <w:lang w:val="fr-FR"/>
        </w:rPr>
        <w:t xml:space="preserve">es propositions </w:t>
      </w:r>
      <w:r w:rsidR="00155A3B" w:rsidRPr="00D44A32">
        <w:rPr>
          <w:rFonts w:cs="Arial"/>
          <w:snapToGrid w:val="0"/>
          <w:lang w:val="fr-FR"/>
        </w:rPr>
        <w:t xml:space="preserve">de </w:t>
      </w:r>
      <w:r w:rsidR="00B00946" w:rsidRPr="00D44A32">
        <w:rPr>
          <w:rFonts w:cs="Arial"/>
          <w:snapToGrid w:val="0"/>
          <w:lang w:val="fr-FR" w:eastAsia="ja-JP"/>
        </w:rPr>
        <w:t xml:space="preserve">révision éventuelle </w:t>
      </w:r>
      <w:r w:rsidR="00B00946" w:rsidRPr="00D44A32">
        <w:rPr>
          <w:rFonts w:cs="Arial"/>
          <w:lang w:val="fr-FR"/>
        </w:rPr>
        <w:t xml:space="preserve">du document </w:t>
      </w:r>
      <w:r w:rsidR="00B00946" w:rsidRPr="00D44A32">
        <w:rPr>
          <w:lang w:val="fr-FR"/>
        </w:rPr>
        <w:t xml:space="preserve">UPOV/INF/12/4 </w:t>
      </w:r>
      <w:r w:rsidR="00B00946" w:rsidRPr="00D44A32">
        <w:rPr>
          <w:rFonts w:cs="Arial"/>
          <w:lang w:val="fr-FR"/>
        </w:rPr>
        <w:t>“</w:t>
      </w:r>
      <w:r w:rsidR="00B00946" w:rsidRPr="00D44A32">
        <w:t xml:space="preserve">Notes explicatives concernant les dénominations variétales en vertu de la </w:t>
      </w:r>
      <w:r w:rsidR="00A1605A" w:rsidRPr="00D44A32">
        <w:t>Convention UPOV</w:t>
      </w:r>
      <w:r w:rsidR="00B00946" w:rsidRPr="00D44A32">
        <w:rPr>
          <w:rFonts w:cs="Arial"/>
          <w:lang w:val="fr-FR"/>
        </w:rPr>
        <w:t>” figure</w:t>
      </w:r>
      <w:r w:rsidR="00155A3B" w:rsidRPr="00D44A32">
        <w:rPr>
          <w:rFonts w:cs="Arial"/>
          <w:lang w:val="fr-FR"/>
        </w:rPr>
        <w:t>nt</w:t>
      </w:r>
      <w:r w:rsidR="00B00946" w:rsidRPr="00D44A32">
        <w:rPr>
          <w:rFonts w:cs="Arial"/>
          <w:lang w:val="fr-FR"/>
        </w:rPr>
        <w:t xml:space="preserve"> dans le </w:t>
      </w:r>
      <w:r w:rsidRPr="00D44A32">
        <w:rPr>
          <w:lang w:val="fr-FR"/>
        </w:rPr>
        <w:t>document CAJ/71/3 “</w:t>
      </w:r>
      <w:r w:rsidR="00B00946" w:rsidRPr="00D44A32">
        <w:rPr>
          <w:lang w:val="fr-FR"/>
        </w:rPr>
        <w:t>Dé</w:t>
      </w:r>
      <w:r w:rsidRPr="00D44A32">
        <w:rPr>
          <w:lang w:val="fr-FR"/>
        </w:rPr>
        <w:t>nominations</w:t>
      </w:r>
      <w:r w:rsidR="00B00946" w:rsidRPr="00D44A32">
        <w:rPr>
          <w:lang w:val="fr-FR"/>
        </w:rPr>
        <w:t xml:space="preserve"> variétales</w:t>
      </w:r>
      <w:r w:rsidR="00365E0C" w:rsidRPr="00D44A32">
        <w:rPr>
          <w:lang w:val="fr-FR"/>
        </w:rPr>
        <w:t>”</w:t>
      </w:r>
      <w:r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7909DD" w:rsidP="00D44A32">
      <w:pPr>
        <w:pStyle w:val="Heading1"/>
        <w:rPr>
          <w:lang w:val="fr-FR"/>
        </w:rPr>
      </w:pPr>
      <w:bookmarkStart w:id="26" w:name="_Toc413318627"/>
      <w:bookmarkStart w:id="27" w:name="_Toc413404244"/>
      <w:r w:rsidRPr="00D44A32">
        <w:rPr>
          <w:lang w:val="fr-FR"/>
        </w:rPr>
        <w:t>Questions concernant la part</w:t>
      </w:r>
      <w:r w:rsidR="00716567" w:rsidRPr="00D44A32">
        <w:rPr>
          <w:lang w:val="fr-FR"/>
        </w:rPr>
        <w:t>icipation d</w:t>
      </w:r>
      <w:r w:rsidR="00A1605A" w:rsidRPr="00D44A32">
        <w:rPr>
          <w:lang w:val="fr-FR"/>
        </w:rPr>
        <w:t>’</w:t>
      </w:r>
      <w:r w:rsidR="00716567" w:rsidRPr="00D44A32">
        <w:rPr>
          <w:lang w:val="fr-FR"/>
        </w:rPr>
        <w:t>observateurs</w:t>
      </w:r>
      <w:r w:rsidR="00A1605A" w:rsidRPr="00D44A32">
        <w:rPr>
          <w:lang w:val="fr-FR"/>
        </w:rPr>
        <w:t xml:space="preserve"> au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</w:t>
      </w:r>
      <w:bookmarkEnd w:id="26"/>
      <w:bookmarkEnd w:id="27"/>
    </w:p>
    <w:p w:rsidR="002B18A7" w:rsidRPr="00D44A32" w:rsidRDefault="002B18A7" w:rsidP="00D44A32">
      <w:pPr>
        <w:keepNext/>
        <w:rPr>
          <w:lang w:val="fr-FR"/>
        </w:rPr>
      </w:pPr>
    </w:p>
    <w:p w:rsidR="002B18A7" w:rsidRPr="00D44A32" w:rsidRDefault="00891783" w:rsidP="00D44A32">
      <w:pPr>
        <w:rPr>
          <w:rFonts w:cs="Arial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2618EB" w:rsidRPr="00D44A32">
        <w:rPr>
          <w:rFonts w:cs="Arial"/>
          <w:lang w:val="fr-FR"/>
        </w:rPr>
        <w:t>Le</w:t>
      </w:r>
      <w:r w:rsidRPr="00D44A32">
        <w:rPr>
          <w:rFonts w:cs="Arial"/>
          <w:lang w:val="fr-FR"/>
        </w:rPr>
        <w:t xml:space="preserve"> CAJ</w:t>
      </w:r>
      <w:r w:rsidR="00C42784" w:rsidRPr="00D44A32">
        <w:rPr>
          <w:rFonts w:cs="Arial"/>
          <w:lang w:val="fr-FR"/>
        </w:rPr>
        <w:noBreakHyphen/>
      </w:r>
      <w:r w:rsidRPr="00D44A32">
        <w:rPr>
          <w:rFonts w:cs="Arial"/>
          <w:lang w:val="fr-FR"/>
        </w:rPr>
        <w:t>AG</w:t>
      </w:r>
      <w:r w:rsidR="00F4074C" w:rsidRPr="00D44A32">
        <w:rPr>
          <w:rStyle w:val="FootnoteReference"/>
          <w:rFonts w:cs="Arial"/>
          <w:lang w:val="fr-FR"/>
        </w:rPr>
        <w:footnoteReference w:id="35"/>
      </w:r>
      <w:r w:rsidR="00B20B9F" w:rsidRPr="00D44A32">
        <w:rPr>
          <w:rFonts w:cs="Arial"/>
          <w:lang w:val="fr-FR"/>
        </w:rPr>
        <w:t xml:space="preserve"> </w:t>
      </w:r>
      <w:r w:rsidR="002618EB" w:rsidRPr="00D44A32">
        <w:rPr>
          <w:rFonts w:cs="Arial"/>
          <w:lang w:val="fr-FR"/>
        </w:rPr>
        <w:t xml:space="preserve">a examiné le </w:t>
      </w:r>
      <w:r w:rsidRPr="00D44A32">
        <w:rPr>
          <w:rFonts w:cs="Arial"/>
          <w:lang w:val="fr-FR"/>
        </w:rPr>
        <w:t>document CAJ</w:t>
      </w:r>
      <w:r w:rsidR="00C42784" w:rsidRPr="00D44A32">
        <w:rPr>
          <w:rFonts w:cs="Arial"/>
          <w:lang w:val="fr-FR"/>
        </w:rPr>
        <w:noBreakHyphen/>
      </w:r>
      <w:r w:rsidRPr="00D44A32">
        <w:rPr>
          <w:rFonts w:cs="Arial"/>
          <w:lang w:val="fr-FR"/>
        </w:rPr>
        <w:t>AG/14/9/5</w:t>
      </w:r>
      <w:r w:rsidR="00F32866" w:rsidRPr="00D44A32">
        <w:rPr>
          <w:rFonts w:cs="Arial"/>
          <w:lang w:val="fr-FR"/>
        </w:rPr>
        <w:t xml:space="preserve"> “</w:t>
      </w:r>
      <w:r w:rsidR="00F32866" w:rsidRPr="00D44A32">
        <w:rPr>
          <w:lang w:val="fr-FR"/>
        </w:rPr>
        <w:t>Matters concerning observers in the CAJ</w:t>
      </w:r>
      <w:r w:rsidR="00C42784" w:rsidRPr="00D44A32">
        <w:rPr>
          <w:lang w:val="fr-FR"/>
        </w:rPr>
        <w:noBreakHyphen/>
      </w:r>
      <w:r w:rsidR="00F32866" w:rsidRPr="00D44A32">
        <w:rPr>
          <w:lang w:val="fr-FR"/>
        </w:rPr>
        <w:t>AG”</w:t>
      </w:r>
      <w:r w:rsidRPr="00D44A32">
        <w:rPr>
          <w:rFonts w:cs="Arial"/>
          <w:lang w:val="fr-FR"/>
        </w:rPr>
        <w:t xml:space="preserve"> </w:t>
      </w:r>
      <w:r w:rsidR="002618EB" w:rsidRPr="00D44A32">
        <w:rPr>
          <w:rFonts w:cs="Arial"/>
          <w:lang w:val="fr-FR"/>
        </w:rPr>
        <w:t>(</w:t>
      </w:r>
      <w:r w:rsidR="005416DD" w:rsidRPr="00D44A32">
        <w:rPr>
          <w:rFonts w:cs="Arial"/>
          <w:lang w:val="fr-FR"/>
        </w:rPr>
        <w:t>q</w:t>
      </w:r>
      <w:r w:rsidR="002618EB" w:rsidRPr="00D44A32">
        <w:rPr>
          <w:rFonts w:cs="Arial"/>
          <w:lang w:val="fr-FR"/>
        </w:rPr>
        <w:t>uestions concernant la participation d</w:t>
      </w:r>
      <w:r w:rsidR="00A1605A" w:rsidRPr="00D44A32">
        <w:rPr>
          <w:rFonts w:cs="Arial"/>
          <w:lang w:val="fr-FR"/>
        </w:rPr>
        <w:t>’</w:t>
      </w:r>
      <w:r w:rsidR="002618EB" w:rsidRPr="00D44A32">
        <w:rPr>
          <w:rFonts w:cs="Arial"/>
          <w:lang w:val="fr-FR"/>
        </w:rPr>
        <w:t>observateurs</w:t>
      </w:r>
      <w:r w:rsidR="00A1605A" w:rsidRPr="00D44A32">
        <w:rPr>
          <w:rFonts w:cs="Arial"/>
          <w:lang w:val="fr-FR"/>
        </w:rPr>
        <w:t xml:space="preserve"> au CAJ</w:t>
      </w:r>
      <w:r w:rsidR="00C42784" w:rsidRPr="00D44A32">
        <w:rPr>
          <w:rFonts w:cs="Arial"/>
          <w:szCs w:val="22"/>
          <w:lang w:val="fr-FR"/>
        </w:rPr>
        <w:noBreakHyphen/>
      </w:r>
      <w:r w:rsidR="002618EB" w:rsidRPr="00D44A32">
        <w:rPr>
          <w:rFonts w:cs="Arial"/>
          <w:szCs w:val="22"/>
          <w:lang w:val="fr-FR"/>
        </w:rPr>
        <w:t xml:space="preserve">AG) </w:t>
      </w:r>
      <w:r w:rsidR="00AE7C7E" w:rsidRPr="00D44A32">
        <w:rPr>
          <w:rFonts w:cs="Arial"/>
          <w:szCs w:val="22"/>
          <w:lang w:val="fr-FR"/>
        </w:rPr>
        <w:t>et est convenu que cette question devrait être examinée par</w:t>
      </w:r>
      <w:r w:rsidR="00A1605A" w:rsidRPr="00D44A32">
        <w:rPr>
          <w:rFonts w:cs="Arial"/>
          <w:szCs w:val="22"/>
          <w:lang w:val="fr-FR"/>
        </w:rPr>
        <w:t xml:space="preserve"> le CAJ</w:t>
      </w:r>
      <w:r w:rsidR="00AE7C7E" w:rsidRPr="00D44A32">
        <w:rPr>
          <w:rFonts w:cs="Arial"/>
          <w:szCs w:val="22"/>
          <w:lang w:val="fr-FR"/>
        </w:rPr>
        <w:t xml:space="preserve"> au moment approprié</w:t>
      </w:r>
      <w:r w:rsidR="00B20B9F" w:rsidRPr="00D44A32">
        <w:rPr>
          <w:rStyle w:val="FootnoteReference"/>
          <w:rFonts w:cs="Arial"/>
          <w:lang w:val="fr-FR"/>
        </w:rPr>
        <w:footnoteReference w:id="36"/>
      </w:r>
      <w:r w:rsidR="00AE7C7E" w:rsidRPr="00D44A32">
        <w:rPr>
          <w:rFonts w:cs="Arial"/>
          <w:szCs w:val="22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A1605A" w:rsidRPr="00D44A32" w:rsidRDefault="00653017" w:rsidP="00D44A32">
      <w:pPr>
        <w:tabs>
          <w:tab w:val="left" w:pos="567"/>
        </w:tabs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893402" w:rsidRPr="00D44A32">
        <w:rPr>
          <w:lang w:val="fr-FR"/>
        </w:rPr>
        <w:t>Compte tenu des éléments ci</w:t>
      </w:r>
      <w:r w:rsidR="00C42784" w:rsidRPr="00D44A32">
        <w:rPr>
          <w:szCs w:val="22"/>
          <w:lang w:val="fr-FR"/>
        </w:rPr>
        <w:noBreakHyphen/>
      </w:r>
      <w:r w:rsidR="00893402" w:rsidRPr="00D44A32">
        <w:rPr>
          <w:szCs w:val="22"/>
          <w:lang w:val="fr-FR"/>
        </w:rPr>
        <w:t>dessus, il est proposé d</w:t>
      </w:r>
      <w:r w:rsidR="00A1605A" w:rsidRPr="00D44A32">
        <w:rPr>
          <w:szCs w:val="22"/>
          <w:lang w:val="fr-FR"/>
        </w:rPr>
        <w:t>’</w:t>
      </w:r>
      <w:r w:rsidR="00893402" w:rsidRPr="00D44A32">
        <w:rPr>
          <w:szCs w:val="22"/>
          <w:lang w:val="fr-FR"/>
        </w:rPr>
        <w:t>examiner les questions concernant la participation d</w:t>
      </w:r>
      <w:r w:rsidR="00A1605A" w:rsidRPr="00D44A32">
        <w:rPr>
          <w:szCs w:val="22"/>
          <w:lang w:val="fr-FR"/>
        </w:rPr>
        <w:t>’</w:t>
      </w:r>
      <w:r w:rsidR="00893402" w:rsidRPr="00D44A32">
        <w:rPr>
          <w:szCs w:val="22"/>
          <w:lang w:val="fr-FR"/>
        </w:rPr>
        <w:t>observateurs</w:t>
      </w:r>
      <w:r w:rsidR="00A1605A" w:rsidRPr="00D44A32">
        <w:rPr>
          <w:szCs w:val="22"/>
          <w:lang w:val="fr-FR"/>
        </w:rPr>
        <w:t xml:space="preserve"> au </w:t>
      </w:r>
      <w:r w:rsidR="00A1605A" w:rsidRPr="00D44A32">
        <w:rPr>
          <w:lang w:val="fr-FR"/>
        </w:rPr>
        <w:t>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893402" w:rsidRPr="00D44A32">
        <w:rPr>
          <w:lang w:val="fr-FR"/>
        </w:rPr>
        <w:t>en cas de convocation d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une session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="006D15FD" w:rsidRPr="00D44A32">
        <w:rPr>
          <w:lang w:val="fr-FR"/>
        </w:rPr>
        <w:t xml:space="preserve">AG </w:t>
      </w:r>
      <w:r w:rsidR="00893402" w:rsidRPr="00D44A32">
        <w:rPr>
          <w:lang w:val="fr-FR"/>
        </w:rPr>
        <w:t>par</w:t>
      </w:r>
      <w:r w:rsidR="00A1605A" w:rsidRPr="00D44A32">
        <w:rPr>
          <w:lang w:val="fr-FR"/>
        </w:rPr>
        <w:t xml:space="preserve"> le CAJ</w:t>
      </w:r>
      <w:r w:rsidRPr="00D44A32">
        <w:rPr>
          <w:rStyle w:val="FootnoteReference"/>
          <w:lang w:val="fr-FR"/>
        </w:rPr>
        <w:footnoteReference w:id="37"/>
      </w:r>
      <w:r w:rsidR="00893402" w:rsidRPr="00D44A32">
        <w:rPr>
          <w:lang w:val="fr-FR"/>
        </w:rPr>
        <w:t>.</w:t>
      </w:r>
    </w:p>
    <w:p w:rsidR="002B18A7" w:rsidRPr="00D44A32" w:rsidRDefault="002B18A7" w:rsidP="00D44A32">
      <w:pPr>
        <w:rPr>
          <w:rFonts w:cs="Arial"/>
          <w:lang w:val="fr-FR"/>
        </w:rPr>
      </w:pPr>
    </w:p>
    <w:p w:rsidR="002B18A7" w:rsidRPr="00D44A32" w:rsidRDefault="00891783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893402" w:rsidRPr="00D44A32">
        <w:rPr>
          <w:lang w:val="fr-FR"/>
        </w:rPr>
        <w:t xml:space="preserve">Le </w:t>
      </w:r>
      <w:r w:rsidRPr="00D44A32">
        <w:rPr>
          <w:lang w:val="fr-FR"/>
        </w:rPr>
        <w:t>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AG </w:t>
      </w:r>
      <w:r w:rsidR="00893402" w:rsidRPr="00D44A32">
        <w:rPr>
          <w:lang w:val="fr-FR"/>
        </w:rPr>
        <w:t>a proposé</w:t>
      </w:r>
      <w:r w:rsidR="00A1605A" w:rsidRPr="00D44A32">
        <w:rPr>
          <w:lang w:val="fr-FR"/>
        </w:rPr>
        <w:t xml:space="preserve"> au CAJ</w:t>
      </w:r>
      <w:r w:rsidR="00893402" w:rsidRPr="00D44A32">
        <w:rPr>
          <w:lang w:val="fr-FR"/>
        </w:rPr>
        <w:t xml:space="preserve"> d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examiner les avantages qu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 xml:space="preserve">il y aurait à inviter les membres et les observateurs à faire des observations par écrit sur </w:t>
      </w:r>
      <w:r w:rsidR="00B57457" w:rsidRPr="00D44A32">
        <w:rPr>
          <w:lang w:val="fr-FR"/>
        </w:rPr>
        <w:t>l</w:t>
      </w:r>
      <w:r w:rsidR="00893402" w:rsidRPr="00D44A32">
        <w:rPr>
          <w:lang w:val="fr-FR"/>
        </w:rPr>
        <w:t>es documents pertinents</w:t>
      </w:r>
      <w:r w:rsidR="00A1605A" w:rsidRPr="00D44A32">
        <w:rPr>
          <w:lang w:val="fr-FR"/>
        </w:rPr>
        <w:t xml:space="preserve"> du CAJ</w:t>
      </w:r>
      <w:r w:rsidR="00B57457" w:rsidRPr="00D44A32">
        <w:rPr>
          <w:lang w:val="fr-FR"/>
        </w:rPr>
        <w:t xml:space="preserve"> </w:t>
      </w:r>
      <w:r w:rsidR="00893402" w:rsidRPr="00D44A32">
        <w:rPr>
          <w:lang w:val="fr-FR"/>
        </w:rPr>
        <w:t>avant ses sessions</w:t>
      </w:r>
      <w:r w:rsidR="006D15FD" w:rsidRPr="00D44A32">
        <w:rPr>
          <w:rStyle w:val="FootnoteReference"/>
          <w:rFonts w:cs="Arial"/>
          <w:lang w:val="fr-FR"/>
        </w:rPr>
        <w:footnoteReference w:id="38"/>
      </w:r>
      <w:r w:rsidR="005416DD" w:rsidRPr="00D44A32">
        <w:rPr>
          <w:lang w:val="fr-FR"/>
        </w:rPr>
        <w:t>.</w:t>
      </w:r>
    </w:p>
    <w:p w:rsidR="002B18A7" w:rsidRPr="00D44A32" w:rsidRDefault="002B18A7" w:rsidP="00D44A32">
      <w:pPr>
        <w:tabs>
          <w:tab w:val="left" w:pos="567"/>
        </w:tabs>
        <w:rPr>
          <w:lang w:val="fr-FR"/>
        </w:rPr>
      </w:pPr>
    </w:p>
    <w:p w:rsidR="002B18A7" w:rsidRPr="00D44A32" w:rsidRDefault="00653017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7909DD" w:rsidRPr="00D44A32">
        <w:rPr>
          <w:lang w:val="fr-FR"/>
        </w:rPr>
        <w:t>Le CAJ est invité</w:t>
      </w:r>
      <w:r w:rsidR="0096163C">
        <w:rPr>
          <w:lang w:val="fr-FR"/>
        </w:rPr>
        <w:t xml:space="preserve"> à :</w:t>
      </w:r>
    </w:p>
    <w:p w:rsidR="002B18A7" w:rsidRPr="00D44A32" w:rsidRDefault="002B18A7" w:rsidP="00D44A32">
      <w:pPr>
        <w:pStyle w:val="DecisionParagraphs"/>
        <w:rPr>
          <w:lang w:val="fr-FR"/>
        </w:rPr>
      </w:pPr>
    </w:p>
    <w:p w:rsidR="002B18A7" w:rsidRPr="00D44A32" w:rsidRDefault="00893402" w:rsidP="00D44A32">
      <w:pPr>
        <w:pStyle w:val="DecisionParagraphs"/>
        <w:tabs>
          <w:tab w:val="left" w:pos="5954"/>
        </w:tabs>
        <w:rPr>
          <w:lang w:val="fr-FR"/>
        </w:rPr>
      </w:pPr>
      <w:r w:rsidRPr="00D44A32">
        <w:rPr>
          <w:lang w:val="fr-FR"/>
        </w:rPr>
        <w:tab/>
      </w:r>
      <w:r w:rsidR="00F32866" w:rsidRPr="00D44A32">
        <w:rPr>
          <w:lang w:val="fr-FR"/>
        </w:rPr>
        <w:t>a)</w:t>
      </w:r>
      <w:r w:rsidR="00827F80" w:rsidRPr="00D44A32">
        <w:rPr>
          <w:lang w:val="fr-FR"/>
        </w:rPr>
        <w:tab/>
      </w:r>
      <w:r w:rsidRPr="00D44A32">
        <w:rPr>
          <w:szCs w:val="22"/>
          <w:lang w:val="fr-FR"/>
        </w:rPr>
        <w:t>examiner les questions concernant la participation d</w:t>
      </w:r>
      <w:r w:rsidR="00A1605A" w:rsidRPr="00D44A32">
        <w:rPr>
          <w:szCs w:val="22"/>
          <w:lang w:val="fr-FR"/>
        </w:rPr>
        <w:t>’</w:t>
      </w:r>
      <w:r w:rsidRPr="00D44A32">
        <w:rPr>
          <w:szCs w:val="22"/>
          <w:lang w:val="fr-FR"/>
        </w:rPr>
        <w:t>observateurs</w:t>
      </w:r>
      <w:r w:rsidR="00A1605A" w:rsidRPr="00D44A32">
        <w:rPr>
          <w:szCs w:val="22"/>
          <w:lang w:val="fr-FR"/>
        </w:rPr>
        <w:t xml:space="preserve"> au </w:t>
      </w:r>
      <w:r w:rsidR="00A1605A" w:rsidRPr="00D44A32">
        <w:rPr>
          <w:lang w:val="fr-FR"/>
        </w:rPr>
        <w:t>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 en cas de convocation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une session</w:t>
      </w:r>
      <w:r w:rsidR="00A1605A" w:rsidRPr="00D44A32">
        <w:rPr>
          <w:lang w:val="fr-FR"/>
        </w:rPr>
        <w:t xml:space="preserve"> du CAJ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>AG par</w:t>
      </w:r>
      <w:r w:rsidR="00A1605A" w:rsidRPr="00D44A32">
        <w:rPr>
          <w:lang w:val="fr-FR"/>
        </w:rPr>
        <w:t xml:space="preserve"> le CAJ</w:t>
      </w:r>
      <w:r w:rsidR="00F32866" w:rsidRPr="00D44A32">
        <w:rPr>
          <w:lang w:val="fr-FR"/>
        </w:rPr>
        <w:t xml:space="preserve">; </w:t>
      </w:r>
      <w:r w:rsidRPr="00D44A32">
        <w:rPr>
          <w:lang w:val="fr-FR"/>
        </w:rPr>
        <w:t xml:space="preserve"> et</w:t>
      </w:r>
    </w:p>
    <w:p w:rsidR="002B18A7" w:rsidRPr="00D44A32" w:rsidRDefault="002B18A7" w:rsidP="00D44A32">
      <w:pPr>
        <w:pStyle w:val="DecisionParagraphs"/>
        <w:rPr>
          <w:lang w:val="fr-FR"/>
        </w:rPr>
      </w:pPr>
    </w:p>
    <w:p w:rsidR="00A1605A" w:rsidRPr="00D44A32" w:rsidRDefault="00F32866" w:rsidP="00D44A32">
      <w:pPr>
        <w:pStyle w:val="DecisionParagraphs"/>
        <w:tabs>
          <w:tab w:val="left" w:pos="5954"/>
        </w:tabs>
        <w:rPr>
          <w:lang w:val="fr-FR"/>
        </w:rPr>
      </w:pPr>
      <w:r w:rsidRPr="00D44A32">
        <w:rPr>
          <w:lang w:val="fr-FR"/>
        </w:rPr>
        <w:tab/>
        <w:t>b)</w:t>
      </w:r>
      <w:r w:rsidR="00827F80" w:rsidRPr="00D44A32">
        <w:rPr>
          <w:lang w:val="fr-FR"/>
        </w:rPr>
        <w:tab/>
      </w:r>
      <w:r w:rsidR="00893402" w:rsidRPr="00D44A32">
        <w:rPr>
          <w:lang w:val="fr-FR"/>
        </w:rPr>
        <w:t>examiner les avantages qu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il y aurait à inviter les membres et les observateurs à faire des observatio</w:t>
      </w:r>
      <w:r w:rsidR="00B57457" w:rsidRPr="00D44A32">
        <w:rPr>
          <w:lang w:val="fr-FR"/>
        </w:rPr>
        <w:t>ns par écrit sur l</w:t>
      </w:r>
      <w:r w:rsidR="00893402" w:rsidRPr="00D44A32">
        <w:rPr>
          <w:lang w:val="fr-FR"/>
        </w:rPr>
        <w:t>es documents pertinents</w:t>
      </w:r>
      <w:r w:rsidR="00A1605A" w:rsidRPr="00D44A32">
        <w:rPr>
          <w:lang w:val="fr-FR"/>
        </w:rPr>
        <w:t xml:space="preserve"> du CAJ</w:t>
      </w:r>
      <w:r w:rsidR="00B57457" w:rsidRPr="00D44A32">
        <w:rPr>
          <w:lang w:val="fr-FR"/>
        </w:rPr>
        <w:t xml:space="preserve"> </w:t>
      </w:r>
      <w:r w:rsidR="00893402" w:rsidRPr="00D44A32">
        <w:rPr>
          <w:lang w:val="fr-FR"/>
        </w:rPr>
        <w:t>avant ses sessions</w:t>
      </w:r>
      <w:r w:rsidRPr="00D44A32">
        <w:rPr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893402" w:rsidP="00D44A32">
      <w:pPr>
        <w:pStyle w:val="Heading1"/>
        <w:rPr>
          <w:lang w:val="fr-FR"/>
        </w:rPr>
      </w:pPr>
      <w:bookmarkStart w:id="28" w:name="_Toc413318628"/>
      <w:bookmarkStart w:id="29" w:name="_Toc413404245"/>
      <w:r w:rsidRPr="00D44A32">
        <w:rPr>
          <w:lang w:val="fr-FR"/>
        </w:rPr>
        <w:t>QUESTION SOUMISE AU COMITé CONSULTATIF ET AU CONSEIL PAR LE CAJ</w:t>
      </w:r>
      <w:bookmarkEnd w:id="28"/>
      <w:bookmarkEnd w:id="29"/>
    </w:p>
    <w:p w:rsidR="002B18A7" w:rsidRPr="00D44A32" w:rsidRDefault="002B18A7" w:rsidP="00D44A32">
      <w:pPr>
        <w:keepNext/>
        <w:rPr>
          <w:lang w:val="fr-FR"/>
        </w:rPr>
      </w:pPr>
    </w:p>
    <w:p w:rsidR="002B18A7" w:rsidRPr="00D44A32" w:rsidRDefault="00B520F2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893402" w:rsidRPr="00D44A32">
        <w:rPr>
          <w:lang w:val="fr-FR"/>
        </w:rPr>
        <w:t>À sa soixante</w:t>
      </w:r>
      <w:r w:rsidR="00C42784" w:rsidRPr="00D44A32">
        <w:rPr>
          <w:szCs w:val="22"/>
          <w:lang w:val="fr-FR"/>
        </w:rPr>
        <w:noBreakHyphen/>
      </w:r>
      <w:r w:rsidR="00893402" w:rsidRPr="00D44A32">
        <w:rPr>
          <w:szCs w:val="22"/>
          <w:lang w:val="fr-FR"/>
        </w:rPr>
        <w:t>dixième</w:t>
      </w:r>
      <w:r w:rsidR="00365E0C" w:rsidRPr="00D44A32">
        <w:rPr>
          <w:szCs w:val="22"/>
          <w:lang w:val="fr-FR"/>
        </w:rPr>
        <w:t> </w:t>
      </w:r>
      <w:r w:rsidR="00893402" w:rsidRPr="00D44A32">
        <w:rPr>
          <w:szCs w:val="22"/>
          <w:lang w:val="fr-FR"/>
        </w:rPr>
        <w:t>session</w:t>
      </w:r>
      <w:r w:rsidR="00461396" w:rsidRPr="00D44A32">
        <w:rPr>
          <w:rStyle w:val="FootnoteReference"/>
          <w:lang w:val="fr-FR"/>
        </w:rPr>
        <w:footnoteReference w:id="39"/>
      </w:r>
      <w:r w:rsidR="00893402" w:rsidRPr="00D44A32">
        <w:rPr>
          <w:szCs w:val="22"/>
          <w:lang w:val="fr-FR"/>
        </w:rPr>
        <w:t>,</w:t>
      </w:r>
      <w:r w:rsidR="00A1605A" w:rsidRPr="00D44A32">
        <w:rPr>
          <w:szCs w:val="22"/>
          <w:lang w:val="fr-FR"/>
        </w:rPr>
        <w:t xml:space="preserve"> </w:t>
      </w:r>
      <w:r w:rsidR="00A1605A" w:rsidRPr="00D44A32">
        <w:rPr>
          <w:lang w:val="fr-FR"/>
        </w:rPr>
        <w:t>le</w:t>
      </w:r>
      <w:r w:rsidR="00A1605A" w:rsidRPr="00D44A32">
        <w:rPr>
          <w:szCs w:val="22"/>
          <w:lang w:val="fr-FR"/>
        </w:rPr>
        <w:t> </w:t>
      </w:r>
      <w:r w:rsidR="00A1605A" w:rsidRPr="00D44A32">
        <w:rPr>
          <w:lang w:val="fr-FR"/>
        </w:rPr>
        <w:t>CAJ</w:t>
      </w:r>
      <w:r w:rsidR="00893402" w:rsidRPr="00D44A32">
        <w:rPr>
          <w:lang w:val="fr-FR"/>
        </w:rPr>
        <w:t xml:space="preserve"> a noté l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intérêt exprimé pour l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examen des effets de la mise en œuvre du “Protocole de Nagoya sur l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accès aux ressources génétiques et le partage juste et équitable des avantages découlant de leur utilisation relatif à la Convention sur la diversité biologique” au regard de l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exception en faveur de l</w:t>
      </w:r>
      <w:r w:rsidR="00A1605A" w:rsidRPr="00D44A32">
        <w:rPr>
          <w:lang w:val="fr-FR"/>
        </w:rPr>
        <w:t>’</w:t>
      </w:r>
      <w:r w:rsidR="00893402" w:rsidRPr="00D44A32">
        <w:rPr>
          <w:lang w:val="fr-FR"/>
        </w:rPr>
        <w:t>obtenteur et du rapport entre les deux</w:t>
      </w:r>
      <w:r w:rsidR="007F6C95" w:rsidRPr="00D44A32">
        <w:rPr>
          <w:lang w:val="fr-FR"/>
        </w:rPr>
        <w:t>.  Il a noté qu</w:t>
      </w:r>
      <w:r w:rsidR="00A1605A" w:rsidRPr="00D44A32">
        <w:rPr>
          <w:lang w:val="fr-FR"/>
        </w:rPr>
        <w:t>’</w:t>
      </w:r>
      <w:r w:rsidR="007F6C95" w:rsidRPr="00D44A32">
        <w:rPr>
          <w:lang w:val="fr-FR"/>
        </w:rPr>
        <w:t>il serait fait part de cet intérêt au Comité consultatif et au Conseil.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B520F2" w:rsidP="00D44A32">
      <w:pPr>
        <w:rPr>
          <w:lang w:val="fr-FR"/>
        </w:rPr>
      </w:pPr>
      <w:r w:rsidRPr="00D44A32">
        <w:rPr>
          <w:lang w:val="fr-FR"/>
        </w:rPr>
        <w:lastRenderedPageBreak/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7F6C95" w:rsidRPr="00D44A32">
        <w:rPr>
          <w:lang w:val="fr-FR"/>
        </w:rPr>
        <w:t>À sa quarante</w:t>
      </w:r>
      <w:r w:rsidR="00C42784" w:rsidRPr="00D44A32">
        <w:rPr>
          <w:szCs w:val="22"/>
          <w:lang w:val="fr-FR"/>
        </w:rPr>
        <w:noBreakHyphen/>
      </w:r>
      <w:r w:rsidR="007F6C95" w:rsidRPr="00D44A32">
        <w:rPr>
          <w:szCs w:val="22"/>
          <w:lang w:val="fr-FR"/>
        </w:rPr>
        <w:t>huitième</w:t>
      </w:r>
      <w:r w:rsidR="00365E0C" w:rsidRPr="00D44A32">
        <w:rPr>
          <w:szCs w:val="22"/>
          <w:lang w:val="fr-FR"/>
        </w:rPr>
        <w:t> </w:t>
      </w:r>
      <w:r w:rsidR="007F6C95" w:rsidRPr="00D44A32">
        <w:rPr>
          <w:szCs w:val="22"/>
          <w:lang w:val="fr-FR"/>
        </w:rPr>
        <w:t>session ordinaire</w:t>
      </w:r>
      <w:r w:rsidR="004C4C27" w:rsidRPr="00D44A32">
        <w:rPr>
          <w:rStyle w:val="FootnoteReference"/>
          <w:lang w:val="fr-FR"/>
        </w:rPr>
        <w:footnoteReference w:id="40"/>
      </w:r>
      <w:r w:rsidR="007F6C95" w:rsidRPr="00D44A32">
        <w:rPr>
          <w:szCs w:val="22"/>
          <w:lang w:val="fr-FR"/>
        </w:rPr>
        <w:t xml:space="preserve">, le Conseil a pris note </w:t>
      </w:r>
      <w:r w:rsidR="005416DD" w:rsidRPr="00D44A32">
        <w:rPr>
          <w:szCs w:val="22"/>
          <w:lang w:val="fr-FR"/>
        </w:rPr>
        <w:t xml:space="preserve">des </w:t>
      </w:r>
      <w:r w:rsidR="007F6C95" w:rsidRPr="00D44A32">
        <w:rPr>
          <w:szCs w:val="22"/>
          <w:lang w:val="fr-FR"/>
        </w:rPr>
        <w:t>travaux accomplis par le</w:t>
      </w:r>
      <w:r w:rsidR="00B8547A" w:rsidRPr="00D44A32">
        <w:rPr>
          <w:szCs w:val="22"/>
          <w:lang w:val="fr-FR"/>
        </w:rPr>
        <w:t xml:space="preserve"> Comité consultatif à sa quatre</w:t>
      </w:r>
      <w:r w:rsidR="00C42784" w:rsidRPr="00D44A32">
        <w:rPr>
          <w:szCs w:val="22"/>
          <w:lang w:val="fr-FR"/>
        </w:rPr>
        <w:noBreakHyphen/>
      </w:r>
      <w:r w:rsidR="00B8547A" w:rsidRPr="00D44A32">
        <w:rPr>
          <w:szCs w:val="22"/>
          <w:lang w:val="fr-FR"/>
        </w:rPr>
        <w:t>vingt</w:t>
      </w:r>
      <w:r w:rsidR="00C42784" w:rsidRPr="00D44A32">
        <w:rPr>
          <w:szCs w:val="22"/>
          <w:lang w:val="fr-FR"/>
        </w:rPr>
        <w:noBreakHyphen/>
      </w:r>
      <w:r w:rsidR="007F6C95" w:rsidRPr="00D44A32">
        <w:rPr>
          <w:szCs w:val="22"/>
          <w:lang w:val="fr-FR"/>
        </w:rPr>
        <w:t>huitième</w:t>
      </w:r>
      <w:r w:rsidR="00365E0C" w:rsidRPr="00D44A32">
        <w:rPr>
          <w:szCs w:val="22"/>
          <w:lang w:val="fr-FR"/>
        </w:rPr>
        <w:t> </w:t>
      </w:r>
      <w:r w:rsidR="007F6C95" w:rsidRPr="00D44A32">
        <w:rPr>
          <w:szCs w:val="22"/>
          <w:lang w:val="fr-FR"/>
        </w:rPr>
        <w:t>session</w:t>
      </w:r>
      <w:r w:rsidR="00461396" w:rsidRPr="00D44A32">
        <w:rPr>
          <w:rStyle w:val="FootnoteReference"/>
          <w:lang w:val="fr-FR"/>
        </w:rPr>
        <w:footnoteReference w:id="41"/>
      </w:r>
      <w:r w:rsidR="007F6C95" w:rsidRPr="00D44A32">
        <w:rPr>
          <w:szCs w:val="22"/>
          <w:lang w:val="fr-FR"/>
        </w:rPr>
        <w:t>,</w:t>
      </w:r>
      <w:r w:rsidRPr="00D44A32">
        <w:rPr>
          <w:lang w:val="fr-FR"/>
        </w:rPr>
        <w:t xml:space="preserve"> </w:t>
      </w:r>
      <w:r w:rsidR="007F6C95" w:rsidRPr="00D44A32">
        <w:rPr>
          <w:lang w:val="fr-FR"/>
        </w:rPr>
        <w:t xml:space="preserve">dont il est rendu compte dans le </w:t>
      </w:r>
      <w:r w:rsidRPr="00D44A32">
        <w:rPr>
          <w:lang w:val="fr-FR"/>
        </w:rPr>
        <w:t>document C/48/19 “Report by the President on the work of the eighty</w:t>
      </w:r>
      <w:r w:rsidR="00C42784" w:rsidRPr="00D44A32">
        <w:rPr>
          <w:lang w:val="fr-FR"/>
        </w:rPr>
        <w:noBreakHyphen/>
      </w:r>
      <w:r w:rsidRPr="00D44A32">
        <w:rPr>
          <w:lang w:val="fr-FR"/>
        </w:rPr>
        <w:t xml:space="preserve">eighth session of the Consultative Committee; </w:t>
      </w:r>
      <w:r w:rsidR="00365E0C" w:rsidRPr="00D44A32">
        <w:rPr>
          <w:lang w:val="fr-FR"/>
        </w:rPr>
        <w:t xml:space="preserve"> </w:t>
      </w:r>
      <w:r w:rsidRPr="00D44A32">
        <w:rPr>
          <w:lang w:val="fr-FR"/>
        </w:rPr>
        <w:t>adoption of recommendations, if any, prepared by that Committee”</w:t>
      </w:r>
      <w:r w:rsidR="007F6C95" w:rsidRPr="00D44A32">
        <w:rPr>
          <w:lang w:val="fr-FR"/>
        </w:rPr>
        <w:t xml:space="preserve"> (rapport de la présidente</w:t>
      </w:r>
      <w:r w:rsidR="00B8547A" w:rsidRPr="00D44A32">
        <w:rPr>
          <w:lang w:val="fr-FR"/>
        </w:rPr>
        <w:t xml:space="preserve"> sur les travaux de la quatre</w:t>
      </w:r>
      <w:r w:rsidR="00C42784" w:rsidRPr="00D44A32">
        <w:rPr>
          <w:szCs w:val="22"/>
          <w:lang w:val="fr-FR"/>
        </w:rPr>
        <w:noBreakHyphen/>
      </w:r>
      <w:r w:rsidR="00B8547A" w:rsidRPr="00D44A32">
        <w:rPr>
          <w:lang w:val="fr-FR"/>
        </w:rPr>
        <w:t>vingt</w:t>
      </w:r>
      <w:r w:rsidR="00C42784" w:rsidRPr="00D44A32">
        <w:rPr>
          <w:szCs w:val="22"/>
          <w:lang w:val="fr-FR"/>
        </w:rPr>
        <w:noBreakHyphen/>
      </w:r>
      <w:r w:rsidR="007F6C95" w:rsidRPr="00D44A32">
        <w:rPr>
          <w:lang w:val="fr-FR"/>
        </w:rPr>
        <w:t>huitième</w:t>
      </w:r>
      <w:r w:rsidR="00365E0C" w:rsidRPr="00D44A32">
        <w:rPr>
          <w:lang w:val="fr-FR"/>
        </w:rPr>
        <w:t> </w:t>
      </w:r>
      <w:r w:rsidR="007F6C95" w:rsidRPr="00D44A32">
        <w:rPr>
          <w:lang w:val="fr-FR"/>
        </w:rPr>
        <w:t xml:space="preserve">session du Comité consultatif; </w:t>
      </w:r>
      <w:r w:rsidR="00B8547A" w:rsidRPr="00D44A32">
        <w:rPr>
          <w:lang w:val="fr-FR"/>
        </w:rPr>
        <w:t xml:space="preserve"> </w:t>
      </w:r>
      <w:r w:rsidR="007F6C95" w:rsidRPr="00D44A32">
        <w:rPr>
          <w:lang w:val="fr-FR"/>
        </w:rPr>
        <w:t>adoption, le cas échéant, des recommandations élaborées par ce comité)</w:t>
      </w:r>
      <w:r w:rsidRPr="00D44A32">
        <w:rPr>
          <w:lang w:val="fr-FR"/>
        </w:rPr>
        <w:t xml:space="preserve">, </w:t>
      </w:r>
      <w:r w:rsidR="007F6C95" w:rsidRPr="00D44A32">
        <w:rPr>
          <w:lang w:val="fr-FR"/>
        </w:rPr>
        <w:t>qui indique ce qui suit</w:t>
      </w:r>
      <w:r w:rsidR="00461396" w:rsidRPr="00D44A32">
        <w:rPr>
          <w:rStyle w:val="FootnoteReference"/>
          <w:lang w:val="fr-FR"/>
        </w:rPr>
        <w:footnoteReference w:id="42"/>
      </w:r>
      <w:r w:rsidR="007F6C95" w:rsidRPr="00D44A32">
        <w:rPr>
          <w:lang w:val="fr-FR"/>
        </w:rPr>
        <w:t> 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B520F2" w:rsidP="00D44A32">
      <w:pPr>
        <w:ind w:left="567" w:right="567"/>
        <w:rPr>
          <w:sz w:val="18"/>
          <w:szCs w:val="18"/>
          <w:lang w:val="fr-FR"/>
        </w:rPr>
      </w:pPr>
      <w:r w:rsidRPr="00D44A32">
        <w:rPr>
          <w:sz w:val="18"/>
          <w:szCs w:val="18"/>
          <w:lang w:val="fr-FR"/>
        </w:rPr>
        <w:t>“</w:t>
      </w:r>
      <w:r w:rsidR="0024570C" w:rsidRPr="00D44A32">
        <w:rPr>
          <w:sz w:val="18"/>
          <w:szCs w:val="18"/>
          <w:lang w:val="fr-FR"/>
        </w:rPr>
        <w:t>61.</w:t>
      </w:r>
      <w:r w:rsidRPr="00D44A32">
        <w:rPr>
          <w:sz w:val="18"/>
          <w:szCs w:val="18"/>
          <w:lang w:val="fr-FR"/>
        </w:rPr>
        <w:tab/>
      </w:r>
      <w:r w:rsidR="00B8547A" w:rsidRPr="00D44A32">
        <w:rPr>
          <w:sz w:val="18"/>
          <w:szCs w:val="18"/>
          <w:lang w:val="fr-FR"/>
        </w:rPr>
        <w:t xml:space="preserve">Le Comité consultatif </w:t>
      </w:r>
      <w:r w:rsidR="005416DD" w:rsidRPr="00D44A32">
        <w:rPr>
          <w:sz w:val="18"/>
          <w:szCs w:val="18"/>
          <w:lang w:val="fr-FR"/>
        </w:rPr>
        <w:t>noté</w:t>
      </w:r>
      <w:r w:rsidR="00B8547A" w:rsidRPr="00D44A32">
        <w:rPr>
          <w:sz w:val="18"/>
          <w:szCs w:val="18"/>
          <w:lang w:val="fr-FR"/>
        </w:rPr>
        <w:t xml:space="preserve"> que, à sa soixante</w:t>
      </w:r>
      <w:r w:rsidR="00C42784" w:rsidRPr="00D44A32">
        <w:rPr>
          <w:sz w:val="18"/>
          <w:szCs w:val="18"/>
          <w:lang w:val="fr-FR"/>
        </w:rPr>
        <w:noBreakHyphen/>
      </w:r>
      <w:r w:rsidR="00B8547A" w:rsidRPr="00D44A32">
        <w:rPr>
          <w:sz w:val="18"/>
          <w:szCs w:val="18"/>
          <w:lang w:val="fr-FR"/>
        </w:rPr>
        <w:t>dixième</w:t>
      </w:r>
      <w:r w:rsidR="00365E0C" w:rsidRPr="00D44A32">
        <w:rPr>
          <w:sz w:val="18"/>
          <w:szCs w:val="18"/>
          <w:lang w:val="fr-FR"/>
        </w:rPr>
        <w:t> </w:t>
      </w:r>
      <w:r w:rsidR="00B8547A" w:rsidRPr="00D44A32">
        <w:rPr>
          <w:sz w:val="18"/>
          <w:szCs w:val="18"/>
          <w:lang w:val="fr-FR"/>
        </w:rPr>
        <w:t>session tenue à Genève le</w:t>
      </w:r>
      <w:r w:rsidR="005416DD" w:rsidRPr="00D44A32">
        <w:rPr>
          <w:sz w:val="18"/>
          <w:szCs w:val="18"/>
          <w:lang w:val="fr-FR"/>
        </w:rPr>
        <w:t xml:space="preserve"> </w:t>
      </w:r>
      <w:r w:rsidR="00B8547A" w:rsidRPr="00D44A32">
        <w:rPr>
          <w:sz w:val="18"/>
          <w:szCs w:val="18"/>
          <w:lang w:val="fr-FR"/>
        </w:rPr>
        <w:t>1</w:t>
      </w:r>
      <w:r w:rsidR="00A1605A" w:rsidRPr="00D44A32">
        <w:rPr>
          <w:sz w:val="18"/>
          <w:szCs w:val="18"/>
          <w:lang w:val="fr-FR"/>
        </w:rPr>
        <w:t>3 octobre 20</w:t>
      </w:r>
      <w:r w:rsidR="00B8547A" w:rsidRPr="00D44A32">
        <w:rPr>
          <w:sz w:val="18"/>
          <w:szCs w:val="18"/>
          <w:lang w:val="fr-FR"/>
        </w:rPr>
        <w:t>14, le Comité administratif et juridique (CAJ) a</w:t>
      </w:r>
      <w:r w:rsidR="005416DD" w:rsidRPr="00D44A32">
        <w:rPr>
          <w:sz w:val="18"/>
          <w:szCs w:val="18"/>
          <w:lang w:val="fr-FR"/>
        </w:rPr>
        <w:t>vait</w:t>
      </w:r>
      <w:r w:rsidR="00B8547A" w:rsidRPr="00D44A32">
        <w:rPr>
          <w:sz w:val="18"/>
          <w:szCs w:val="18"/>
          <w:lang w:val="fr-FR"/>
        </w:rPr>
        <w:t xml:space="preserve"> noté l</w:t>
      </w:r>
      <w:r w:rsidR="00A1605A" w:rsidRPr="00D44A32">
        <w:rPr>
          <w:sz w:val="18"/>
          <w:szCs w:val="18"/>
          <w:lang w:val="fr-FR"/>
        </w:rPr>
        <w:t>’</w:t>
      </w:r>
      <w:r w:rsidR="00B8547A" w:rsidRPr="00D44A32">
        <w:rPr>
          <w:sz w:val="18"/>
          <w:szCs w:val="18"/>
          <w:lang w:val="fr-FR"/>
        </w:rPr>
        <w:t>intérêt exprimé pour l</w:t>
      </w:r>
      <w:r w:rsidR="00A1605A" w:rsidRPr="00D44A32">
        <w:rPr>
          <w:sz w:val="18"/>
          <w:szCs w:val="18"/>
          <w:lang w:val="fr-FR"/>
        </w:rPr>
        <w:t>’</w:t>
      </w:r>
      <w:r w:rsidR="00B8547A" w:rsidRPr="00D44A32">
        <w:rPr>
          <w:sz w:val="18"/>
          <w:szCs w:val="18"/>
          <w:lang w:val="fr-FR"/>
        </w:rPr>
        <w:t>examen des effets</w:t>
      </w:r>
      <w:r w:rsidR="005416DD" w:rsidRPr="00D44A32">
        <w:rPr>
          <w:sz w:val="18"/>
          <w:szCs w:val="18"/>
          <w:lang w:val="fr-FR"/>
        </w:rPr>
        <w:t xml:space="preserve"> </w:t>
      </w:r>
      <w:r w:rsidR="00B8547A" w:rsidRPr="00D44A32">
        <w:rPr>
          <w:sz w:val="18"/>
          <w:szCs w:val="18"/>
          <w:lang w:val="fr-FR"/>
        </w:rPr>
        <w:t xml:space="preserve">de la mise en </w:t>
      </w:r>
      <w:r w:rsidR="005416DD" w:rsidRPr="00D44A32">
        <w:rPr>
          <w:sz w:val="18"/>
          <w:szCs w:val="18"/>
          <w:lang w:val="fr-FR"/>
        </w:rPr>
        <w:t xml:space="preserve">œuvre </w:t>
      </w:r>
      <w:r w:rsidR="00B8547A" w:rsidRPr="00D44A32">
        <w:rPr>
          <w:sz w:val="18"/>
          <w:szCs w:val="18"/>
          <w:lang w:val="fr-FR"/>
        </w:rPr>
        <w:t>du “Protocole de Nagoya sur l</w:t>
      </w:r>
      <w:r w:rsidR="00A1605A" w:rsidRPr="00D44A32">
        <w:rPr>
          <w:sz w:val="18"/>
          <w:szCs w:val="18"/>
          <w:lang w:val="fr-FR"/>
        </w:rPr>
        <w:t>’</w:t>
      </w:r>
      <w:r w:rsidR="00B8547A" w:rsidRPr="00D44A32">
        <w:rPr>
          <w:sz w:val="18"/>
          <w:szCs w:val="18"/>
          <w:lang w:val="fr-FR"/>
        </w:rPr>
        <w:t>accès aux ressources génétiques et le partage juste et</w:t>
      </w:r>
      <w:r w:rsidR="005416DD" w:rsidRPr="00D44A32">
        <w:rPr>
          <w:sz w:val="18"/>
          <w:szCs w:val="18"/>
          <w:lang w:val="fr-FR"/>
        </w:rPr>
        <w:t xml:space="preserve"> </w:t>
      </w:r>
      <w:r w:rsidR="00B8547A" w:rsidRPr="00D44A32">
        <w:rPr>
          <w:sz w:val="18"/>
          <w:szCs w:val="18"/>
          <w:lang w:val="fr-FR"/>
        </w:rPr>
        <w:t>équitable des avantages découlant de leur utilisation relatif à la Convention sur la diversité biologique” au</w:t>
      </w:r>
      <w:r w:rsidR="005416DD" w:rsidRPr="00D44A32">
        <w:rPr>
          <w:sz w:val="18"/>
          <w:szCs w:val="18"/>
          <w:lang w:val="fr-FR"/>
        </w:rPr>
        <w:t xml:space="preserve"> </w:t>
      </w:r>
      <w:r w:rsidR="00B8547A" w:rsidRPr="00D44A32">
        <w:rPr>
          <w:sz w:val="18"/>
          <w:szCs w:val="18"/>
          <w:lang w:val="fr-FR"/>
        </w:rPr>
        <w:t>regard de l</w:t>
      </w:r>
      <w:r w:rsidR="00A1605A" w:rsidRPr="00D44A32">
        <w:rPr>
          <w:sz w:val="18"/>
          <w:szCs w:val="18"/>
          <w:lang w:val="fr-FR"/>
        </w:rPr>
        <w:t>’</w:t>
      </w:r>
      <w:r w:rsidR="00B8547A" w:rsidRPr="00D44A32">
        <w:rPr>
          <w:sz w:val="18"/>
          <w:szCs w:val="18"/>
          <w:lang w:val="fr-FR"/>
        </w:rPr>
        <w:t>exception en faveur de l</w:t>
      </w:r>
      <w:r w:rsidR="00A1605A" w:rsidRPr="00D44A32">
        <w:rPr>
          <w:sz w:val="18"/>
          <w:szCs w:val="18"/>
          <w:lang w:val="fr-FR"/>
        </w:rPr>
        <w:t>’</w:t>
      </w:r>
      <w:r w:rsidR="00B8547A" w:rsidRPr="00D44A32">
        <w:rPr>
          <w:sz w:val="18"/>
          <w:szCs w:val="18"/>
          <w:lang w:val="fr-FR"/>
        </w:rPr>
        <w:t>obtenteur et du rapport entre les deux</w:t>
      </w:r>
      <w:r w:rsidR="00365E0C" w:rsidRPr="00D44A32">
        <w:rPr>
          <w:sz w:val="18"/>
          <w:szCs w:val="18"/>
          <w:lang w:val="fr-FR"/>
        </w:rPr>
        <w:t> </w:t>
      </w:r>
      <w:r w:rsidR="00B8547A" w:rsidRPr="00D44A32">
        <w:rPr>
          <w:sz w:val="18"/>
          <w:szCs w:val="18"/>
          <w:lang w:val="fr-FR"/>
        </w:rPr>
        <w:t>(voir le paragraphe</w:t>
      </w:r>
      <w:r w:rsidR="00365E0C" w:rsidRPr="00D44A32">
        <w:rPr>
          <w:sz w:val="18"/>
          <w:szCs w:val="18"/>
          <w:lang w:val="fr-FR"/>
        </w:rPr>
        <w:t> </w:t>
      </w:r>
      <w:r w:rsidR="00B8547A" w:rsidRPr="00D44A32">
        <w:rPr>
          <w:sz w:val="18"/>
          <w:szCs w:val="18"/>
          <w:lang w:val="fr-FR"/>
        </w:rPr>
        <w:t>40 du</w:t>
      </w:r>
      <w:r w:rsidR="005416DD" w:rsidRPr="00D44A32">
        <w:rPr>
          <w:sz w:val="18"/>
          <w:szCs w:val="18"/>
          <w:lang w:val="fr-FR"/>
        </w:rPr>
        <w:t xml:space="preserve"> </w:t>
      </w:r>
      <w:r w:rsidR="00B8547A" w:rsidRPr="00D44A32">
        <w:rPr>
          <w:sz w:val="18"/>
          <w:szCs w:val="18"/>
          <w:lang w:val="fr-FR"/>
        </w:rPr>
        <w:t>document CAJ/70/10 “Compte rendu des conclusions”)</w:t>
      </w:r>
      <w:r w:rsidR="0024570C" w:rsidRPr="00D44A32">
        <w:rPr>
          <w:sz w:val="18"/>
          <w:szCs w:val="18"/>
          <w:lang w:val="fr-FR"/>
        </w:rPr>
        <w:t>”</w:t>
      </w:r>
      <w:r w:rsidR="00B8547A" w:rsidRPr="00D44A32">
        <w:rPr>
          <w:sz w:val="18"/>
          <w:szCs w:val="18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8A03AB" w:rsidP="00D44A32">
      <w:pPr>
        <w:pStyle w:val="DecisionParagraphs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B8547A" w:rsidRPr="00D44A32">
        <w:rPr>
          <w:lang w:val="fr-FR"/>
        </w:rPr>
        <w:t>Le</w:t>
      </w:r>
      <w:r w:rsidRPr="00D44A32">
        <w:rPr>
          <w:lang w:val="fr-FR"/>
        </w:rPr>
        <w:t xml:space="preserve"> CAJ </w:t>
      </w:r>
      <w:r w:rsidR="00B8547A" w:rsidRPr="00D44A32">
        <w:rPr>
          <w:lang w:val="fr-FR"/>
        </w:rPr>
        <w:t>est invité à noter qu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 xml:space="preserve">il a été </w:t>
      </w:r>
      <w:r w:rsidR="005416DD" w:rsidRPr="00D44A32">
        <w:rPr>
          <w:lang w:val="fr-FR"/>
        </w:rPr>
        <w:t>fait part</w:t>
      </w:r>
      <w:r w:rsidR="00B8547A" w:rsidRPr="00D44A32">
        <w:rPr>
          <w:lang w:val="fr-FR"/>
        </w:rPr>
        <w:t xml:space="preserve"> au Comité consultatif et au Conseil de l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intérêt exprimé pour l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examen des effets de la mise en œuvre du “Protocole de Nagoya sur l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accès aux ressources génétiques et le partage juste et équitable des avantages découlant de leur utilisation relatif à la Convention sur la diversité biologique” au regard de l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exception en faveur de l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obtenteur et du rapport entre les deux</w:t>
      </w:r>
      <w:r w:rsidRPr="00D44A32">
        <w:rPr>
          <w:lang w:val="fr-FR"/>
        </w:rPr>
        <w:t>,</w:t>
      </w:r>
      <w:r w:rsidR="00B8547A" w:rsidRPr="00D44A32">
        <w:rPr>
          <w:lang w:val="fr-FR"/>
        </w:rPr>
        <w:t xml:space="preserve"> comme indiqué au </w:t>
      </w:r>
      <w:r w:rsidRPr="00D44A32">
        <w:rPr>
          <w:lang w:val="fr-FR"/>
        </w:rPr>
        <w:t>paragraph</w:t>
      </w:r>
      <w:r w:rsidR="00B8547A" w:rsidRPr="00D44A32">
        <w:rPr>
          <w:lang w:val="fr-FR"/>
        </w:rPr>
        <w:t>e</w:t>
      </w:r>
      <w:r w:rsidRPr="00D44A32">
        <w:rPr>
          <w:lang w:val="fr-FR"/>
        </w:rPr>
        <w:t> 4</w:t>
      </w:r>
      <w:r w:rsidR="00461396" w:rsidRPr="00D44A32">
        <w:rPr>
          <w:lang w:val="fr-FR"/>
        </w:rPr>
        <w:t>8</w:t>
      </w:r>
      <w:r w:rsidRPr="00D44A32">
        <w:rPr>
          <w:lang w:val="fr-FR"/>
        </w:rPr>
        <w:t>.</w:t>
      </w:r>
    </w:p>
    <w:p w:rsidR="002B18A7" w:rsidRDefault="002B18A7" w:rsidP="00D44A32">
      <w:pPr>
        <w:pStyle w:val="DecisionParagraphs"/>
        <w:ind w:left="0"/>
        <w:rPr>
          <w:i w:val="0"/>
          <w:lang w:val="fr-FR"/>
        </w:rPr>
      </w:pPr>
    </w:p>
    <w:p w:rsidR="0096163C" w:rsidRDefault="0096163C" w:rsidP="00D44A32">
      <w:pPr>
        <w:pStyle w:val="DecisionParagraphs"/>
        <w:ind w:left="0"/>
        <w:rPr>
          <w:i w:val="0"/>
          <w:lang w:val="fr-FR"/>
        </w:rPr>
      </w:pPr>
    </w:p>
    <w:p w:rsidR="0096163C" w:rsidRPr="00D44A32" w:rsidRDefault="0096163C" w:rsidP="00D44A32">
      <w:pPr>
        <w:pStyle w:val="DecisionParagraphs"/>
        <w:ind w:left="0"/>
        <w:rPr>
          <w:i w:val="0"/>
          <w:lang w:val="fr-FR"/>
        </w:rPr>
      </w:pPr>
    </w:p>
    <w:p w:rsidR="00A1605A" w:rsidRPr="00D44A32" w:rsidRDefault="00B8547A" w:rsidP="00D44A32">
      <w:pPr>
        <w:pStyle w:val="Heading1"/>
        <w:rPr>
          <w:lang w:val="fr-FR"/>
        </w:rPr>
      </w:pPr>
      <w:bookmarkStart w:id="30" w:name="_Toc413318629"/>
      <w:bookmarkStart w:id="31" w:name="_Toc413404246"/>
      <w:r w:rsidRPr="00D44A32">
        <w:rPr>
          <w:lang w:val="fr-FR"/>
        </w:rPr>
        <w:t>programme provisoire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>information</w:t>
      </w:r>
      <w:bookmarkEnd w:id="30"/>
      <w:bookmarkEnd w:id="31"/>
    </w:p>
    <w:p w:rsidR="002B18A7" w:rsidRPr="00D44A32" w:rsidRDefault="002B18A7" w:rsidP="00D44A32">
      <w:pPr>
        <w:keepNext/>
        <w:rPr>
          <w:lang w:val="fr-FR"/>
        </w:rPr>
      </w:pPr>
    </w:p>
    <w:p w:rsidR="00A1605A" w:rsidRPr="00D44A32" w:rsidRDefault="00B93B31" w:rsidP="00D44A32">
      <w:pPr>
        <w:tabs>
          <w:tab w:val="left" w:pos="567"/>
        </w:tabs>
        <w:spacing w:after="240"/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B8547A" w:rsidRPr="00D44A32">
        <w:rPr>
          <w:lang w:val="fr-FR"/>
        </w:rPr>
        <w:t xml:space="preserve">Sous réserve des progrès </w:t>
      </w:r>
      <w:r w:rsidR="005416DD" w:rsidRPr="00D44A32">
        <w:rPr>
          <w:lang w:val="fr-FR"/>
        </w:rPr>
        <w:t>réalisés par</w:t>
      </w:r>
      <w:r w:rsidR="00A1605A" w:rsidRPr="00D44A32">
        <w:rPr>
          <w:lang w:val="fr-FR"/>
        </w:rPr>
        <w:t xml:space="preserve"> le CAJ</w:t>
      </w:r>
      <w:r w:rsidR="00B8547A" w:rsidRPr="00D44A32">
        <w:rPr>
          <w:lang w:val="fr-FR"/>
        </w:rPr>
        <w:t xml:space="preserve"> à </w:t>
      </w:r>
      <w:r w:rsidR="005416DD" w:rsidRPr="00D44A32">
        <w:rPr>
          <w:lang w:val="fr-FR"/>
        </w:rPr>
        <w:t>s</w:t>
      </w:r>
      <w:r w:rsidR="00B8547A" w:rsidRPr="00D44A32">
        <w:rPr>
          <w:lang w:val="fr-FR"/>
        </w:rPr>
        <w:t>a soixante et onzième</w:t>
      </w:r>
      <w:r w:rsidR="00365E0C" w:rsidRPr="00D44A32">
        <w:rPr>
          <w:lang w:val="fr-FR"/>
        </w:rPr>
        <w:t> </w:t>
      </w:r>
      <w:r w:rsidR="008A03AB" w:rsidRPr="00D44A32">
        <w:rPr>
          <w:lang w:val="fr-FR"/>
        </w:rPr>
        <w:t xml:space="preserve">session, </w:t>
      </w:r>
      <w:r w:rsidR="00B8547A" w:rsidRPr="00D44A32">
        <w:rPr>
          <w:lang w:val="fr-FR"/>
        </w:rPr>
        <w:t xml:space="preserve">il est </w:t>
      </w:r>
      <w:r w:rsidR="008A03AB" w:rsidRPr="00D44A32">
        <w:rPr>
          <w:lang w:val="fr-FR"/>
        </w:rPr>
        <w:t>propos</w:t>
      </w:r>
      <w:r w:rsidR="00B8547A" w:rsidRPr="00D44A32">
        <w:rPr>
          <w:lang w:val="fr-FR"/>
        </w:rPr>
        <w:t xml:space="preserve">é </w:t>
      </w:r>
      <w:r w:rsidR="005416DD" w:rsidRPr="00D44A32">
        <w:rPr>
          <w:lang w:val="fr-FR"/>
        </w:rPr>
        <w:t>qu</w:t>
      </w:r>
      <w:r w:rsidR="00A1605A" w:rsidRPr="00D44A32">
        <w:rPr>
          <w:lang w:val="fr-FR"/>
        </w:rPr>
        <w:t>’</w:t>
      </w:r>
      <w:r w:rsidR="005416DD" w:rsidRPr="00D44A32">
        <w:rPr>
          <w:lang w:val="fr-FR"/>
        </w:rPr>
        <w:t>il examine</w:t>
      </w:r>
      <w:r w:rsidR="00B8547A" w:rsidRPr="00D44A32">
        <w:rPr>
          <w:lang w:val="fr-FR"/>
        </w:rPr>
        <w:t xml:space="preserve"> les documents d</w:t>
      </w:r>
      <w:r w:rsidR="00A1605A" w:rsidRPr="00D44A32">
        <w:rPr>
          <w:lang w:val="fr-FR"/>
        </w:rPr>
        <w:t>’</w:t>
      </w:r>
      <w:r w:rsidR="00B8547A" w:rsidRPr="00D44A32">
        <w:rPr>
          <w:lang w:val="fr-FR"/>
        </w:rPr>
        <w:t>information ci</w:t>
      </w:r>
      <w:r w:rsidR="00C42784" w:rsidRPr="00D44A32">
        <w:rPr>
          <w:szCs w:val="22"/>
          <w:lang w:val="fr-FR"/>
        </w:rPr>
        <w:noBreakHyphen/>
      </w:r>
      <w:r w:rsidR="005416DD" w:rsidRPr="00D44A32">
        <w:rPr>
          <w:szCs w:val="22"/>
          <w:lang w:val="fr-FR"/>
        </w:rPr>
        <w:t>après à s</w:t>
      </w:r>
      <w:r w:rsidR="00B8547A" w:rsidRPr="00D44A32">
        <w:rPr>
          <w:szCs w:val="22"/>
          <w:lang w:val="fr-FR"/>
        </w:rPr>
        <w:t xml:space="preserve">a </w:t>
      </w:r>
      <w:r w:rsidR="00A22F43" w:rsidRPr="00D44A32">
        <w:rPr>
          <w:lang w:val="fr-FR"/>
        </w:rPr>
        <w:t>soixante</w:t>
      </w:r>
      <w:r w:rsidR="00C42784" w:rsidRPr="00D44A32">
        <w:rPr>
          <w:lang w:val="fr-FR"/>
        </w:rPr>
        <w:noBreakHyphen/>
      </w:r>
      <w:r w:rsidR="00A22F43" w:rsidRPr="00D44A32">
        <w:rPr>
          <w:lang w:val="fr-FR"/>
        </w:rPr>
        <w:t>douzième</w:t>
      </w:r>
      <w:r w:rsidR="00365E0C" w:rsidRPr="00D44A32">
        <w:rPr>
          <w:lang w:val="fr-FR"/>
        </w:rPr>
        <w:t> </w:t>
      </w:r>
      <w:r w:rsidR="00A22F43" w:rsidRPr="00D44A32">
        <w:rPr>
          <w:lang w:val="fr-FR"/>
        </w:rPr>
        <w:t>session</w:t>
      </w:r>
      <w:r w:rsidR="005416DD" w:rsidRPr="00D44A32">
        <w:rPr>
          <w:lang w:val="fr-FR"/>
        </w:rPr>
        <w:t> </w:t>
      </w:r>
      <w:r w:rsidR="00461396" w:rsidRPr="00D44A32">
        <w:rPr>
          <w:lang w:val="fr-FR"/>
        </w:rPr>
        <w:t>:</w:t>
      </w:r>
    </w:p>
    <w:p w:rsidR="002B18A7" w:rsidRPr="00D44A32" w:rsidRDefault="00B8547A" w:rsidP="00D44A32">
      <w:pPr>
        <w:ind w:left="567" w:right="567"/>
        <w:rPr>
          <w:lang w:val="fr-FR"/>
        </w:rPr>
      </w:pPr>
      <w:r w:rsidRPr="00D44A32">
        <w:t>Notes explicatives sur les variétés essentiellement dérivées selon l</w:t>
      </w:r>
      <w:r w:rsidR="00A1605A" w:rsidRPr="00D44A32">
        <w:t>’</w:t>
      </w:r>
      <w:r w:rsidRPr="00D44A32">
        <w:t>Acte de</w:t>
      </w:r>
      <w:r w:rsidR="00365E0C" w:rsidRPr="00D44A32">
        <w:t> </w:t>
      </w:r>
      <w:r w:rsidRPr="00D44A32">
        <w:t xml:space="preserve">1991 de la </w:t>
      </w:r>
      <w:r w:rsidR="00A1605A" w:rsidRPr="00D44A32">
        <w:t>Convention UPOV</w:t>
      </w:r>
      <w:r w:rsidRPr="00D44A32">
        <w:rPr>
          <w:lang w:val="fr-FR"/>
        </w:rPr>
        <w:t xml:space="preserve"> </w:t>
      </w:r>
      <w:r w:rsidR="00957DA8" w:rsidRPr="00D44A32">
        <w:rPr>
          <w:lang w:val="fr-FR"/>
        </w:rPr>
        <w:t>(r</w:t>
      </w:r>
      <w:r w:rsidRPr="00D44A32">
        <w:rPr>
          <w:lang w:val="fr-FR"/>
        </w:rPr>
        <w:t>é</w:t>
      </w:r>
      <w:r w:rsidR="008A03AB" w:rsidRPr="00D44A32">
        <w:rPr>
          <w:lang w:val="fr-FR"/>
        </w:rPr>
        <w:t>vision) (</w:t>
      </w:r>
      <w:r w:rsidR="001C20A6" w:rsidRPr="00D44A32">
        <w:rPr>
          <w:kern w:val="28"/>
          <w:lang w:val="fr-FR"/>
        </w:rPr>
        <w:t>document CAJ/72</w:t>
      </w:r>
      <w:r w:rsidR="008A03AB" w:rsidRPr="00D44A32">
        <w:rPr>
          <w:kern w:val="28"/>
          <w:lang w:val="fr-FR"/>
        </w:rPr>
        <w:t>/2</w:t>
      </w:r>
      <w:r w:rsidR="000571C2" w:rsidRPr="00D44A32">
        <w:rPr>
          <w:kern w:val="28"/>
          <w:lang w:val="fr-FR"/>
        </w:rPr>
        <w:t xml:space="preserve"> “</w:t>
      </w:r>
      <w:r w:rsidR="005416DD" w:rsidRPr="00D44A32">
        <w:rPr>
          <w:kern w:val="28"/>
          <w:lang w:val="fr-FR"/>
        </w:rPr>
        <w:t>Élaboration de matériel d</w:t>
      </w:r>
      <w:r w:rsidR="00A1605A" w:rsidRPr="00D44A32">
        <w:rPr>
          <w:kern w:val="28"/>
          <w:lang w:val="fr-FR"/>
        </w:rPr>
        <w:t>’</w:t>
      </w:r>
      <w:r w:rsidR="000571C2" w:rsidRPr="00D44A32">
        <w:rPr>
          <w:kern w:val="28"/>
          <w:lang w:val="fr-FR"/>
        </w:rPr>
        <w:t xml:space="preserve">information </w:t>
      </w:r>
      <w:r w:rsidR="005416DD" w:rsidRPr="00D44A32">
        <w:rPr>
          <w:kern w:val="28"/>
          <w:lang w:val="fr-FR"/>
        </w:rPr>
        <w:t xml:space="preserve">concernant la </w:t>
      </w:r>
      <w:r w:rsidR="00A1605A" w:rsidRPr="00D44A32">
        <w:rPr>
          <w:kern w:val="28"/>
          <w:lang w:val="fr-FR"/>
        </w:rPr>
        <w:t>Convention UPOV</w:t>
      </w:r>
      <w:r w:rsidR="000571C2" w:rsidRPr="00D44A32">
        <w:rPr>
          <w:kern w:val="28"/>
          <w:lang w:val="fr-FR"/>
        </w:rPr>
        <w:t>”</w:t>
      </w:r>
      <w:r w:rsidR="001C20A6" w:rsidRPr="00D44A32">
        <w:rPr>
          <w:lang w:val="fr-FR"/>
        </w:rPr>
        <w:t xml:space="preserve"> </w:t>
      </w:r>
      <w:r w:rsidRPr="00D44A32">
        <w:rPr>
          <w:lang w:val="fr-FR"/>
        </w:rPr>
        <w:t>et</w:t>
      </w:r>
      <w:r w:rsidR="001C20A6" w:rsidRPr="00D44A32">
        <w:rPr>
          <w:lang w:val="fr-FR"/>
        </w:rPr>
        <w:t xml:space="preserve"> </w:t>
      </w:r>
      <w:r w:rsidR="001C20A6" w:rsidRPr="00D44A32">
        <w:rPr>
          <w:rFonts w:cs="Arial"/>
          <w:lang w:val="fr-FR"/>
        </w:rPr>
        <w:t xml:space="preserve">document </w:t>
      </w:r>
      <w:r w:rsidRPr="00D44A32">
        <w:rPr>
          <w:lang w:val="fr-FR"/>
        </w:rPr>
        <w:t>UPOV/EXN/EDV/2</w:t>
      </w:r>
      <w:r w:rsidR="000571C2" w:rsidRPr="00D44A32">
        <w:rPr>
          <w:lang w:val="fr-FR"/>
        </w:rPr>
        <w:t> </w:t>
      </w:r>
      <w:r w:rsidR="00461396" w:rsidRPr="00D44A32">
        <w:rPr>
          <w:lang w:val="fr-FR"/>
        </w:rPr>
        <w:t>Draft 6)</w:t>
      </w:r>
    </w:p>
    <w:p w:rsidR="002B18A7" w:rsidRPr="00D44A32" w:rsidRDefault="002B18A7" w:rsidP="00D44A32">
      <w:pPr>
        <w:ind w:left="1134" w:right="567" w:hanging="567"/>
        <w:rPr>
          <w:strike/>
          <w:lang w:val="fr-FR"/>
        </w:rPr>
      </w:pPr>
    </w:p>
    <w:p w:rsidR="002B18A7" w:rsidRPr="00D44A32" w:rsidRDefault="008A03AB" w:rsidP="00D44A32">
      <w:pPr>
        <w:ind w:left="567" w:right="567"/>
        <w:rPr>
          <w:lang w:val="fr-FR"/>
        </w:rPr>
      </w:pPr>
      <w:r w:rsidRPr="00D44A32">
        <w:rPr>
          <w:lang w:val="fr-FR"/>
        </w:rPr>
        <w:t xml:space="preserve">Notes </w:t>
      </w:r>
      <w:r w:rsidR="00B8547A" w:rsidRPr="00D44A32">
        <w:rPr>
          <w:lang w:val="fr-FR"/>
        </w:rPr>
        <w:t>explicatives concernant les dé</w:t>
      </w:r>
      <w:r w:rsidRPr="00D44A32">
        <w:rPr>
          <w:lang w:val="fr-FR"/>
        </w:rPr>
        <w:t xml:space="preserve">nominations </w:t>
      </w:r>
      <w:r w:rsidR="00B8547A" w:rsidRPr="00D44A32">
        <w:rPr>
          <w:lang w:val="fr-FR"/>
        </w:rPr>
        <w:t xml:space="preserve">variétales en vertu de la </w:t>
      </w:r>
      <w:r w:rsidR="00A1605A" w:rsidRPr="00D44A32">
        <w:rPr>
          <w:lang w:val="fr-FR"/>
        </w:rPr>
        <w:t>Convention UPOV</w:t>
      </w:r>
      <w:r w:rsidR="00B8547A" w:rsidRPr="00D44A32">
        <w:rPr>
          <w:lang w:val="fr-FR"/>
        </w:rPr>
        <w:t xml:space="preserve"> </w:t>
      </w:r>
      <w:r w:rsidR="00957DA8" w:rsidRPr="00D44A32">
        <w:rPr>
          <w:lang w:val="fr-FR"/>
        </w:rPr>
        <w:t>(r</w:t>
      </w:r>
      <w:r w:rsidR="00B8547A" w:rsidRPr="00D44A32">
        <w:rPr>
          <w:lang w:val="fr-FR"/>
        </w:rPr>
        <w:t>é</w:t>
      </w:r>
      <w:r w:rsidRPr="00D44A32">
        <w:rPr>
          <w:lang w:val="fr-FR"/>
        </w:rPr>
        <w:t>vision) (</w:t>
      </w:r>
      <w:r w:rsidR="00461396" w:rsidRPr="00D44A32">
        <w:rPr>
          <w:kern w:val="28"/>
          <w:lang w:val="fr-FR"/>
        </w:rPr>
        <w:t xml:space="preserve">document </w:t>
      </w:r>
      <w:r w:rsidRPr="00D44A32">
        <w:rPr>
          <w:kern w:val="28"/>
          <w:lang w:val="fr-FR"/>
        </w:rPr>
        <w:t>CAJ</w:t>
      </w:r>
      <w:r w:rsidR="00461396" w:rsidRPr="00D44A32">
        <w:rPr>
          <w:kern w:val="28"/>
          <w:lang w:val="fr-FR"/>
        </w:rPr>
        <w:t>/72/3</w:t>
      </w:r>
      <w:r w:rsidR="00B5113F" w:rsidRPr="00D44A32">
        <w:rPr>
          <w:kern w:val="28"/>
          <w:lang w:val="fr-FR"/>
        </w:rPr>
        <w:t xml:space="preserve"> “</w:t>
      </w:r>
      <w:r w:rsidR="005416DD" w:rsidRPr="00D44A32">
        <w:rPr>
          <w:kern w:val="28"/>
          <w:lang w:val="fr-FR"/>
        </w:rPr>
        <w:t>Dé</w:t>
      </w:r>
      <w:r w:rsidR="00B5113F" w:rsidRPr="00D44A32">
        <w:rPr>
          <w:kern w:val="28"/>
          <w:lang w:val="fr-FR"/>
        </w:rPr>
        <w:t>nominations</w:t>
      </w:r>
      <w:r w:rsidR="005416DD" w:rsidRPr="00D44A32">
        <w:rPr>
          <w:kern w:val="28"/>
          <w:lang w:val="fr-FR"/>
        </w:rPr>
        <w:t xml:space="preserve"> variétales</w:t>
      </w:r>
      <w:r w:rsidR="00B5113F" w:rsidRPr="00D44A32">
        <w:rPr>
          <w:kern w:val="28"/>
          <w:lang w:val="fr-FR"/>
        </w:rPr>
        <w:t>”)</w:t>
      </w:r>
    </w:p>
    <w:p w:rsidR="002B18A7" w:rsidRPr="00D44A32" w:rsidRDefault="002B18A7" w:rsidP="00D44A32">
      <w:pPr>
        <w:ind w:left="567" w:right="567"/>
        <w:rPr>
          <w:lang w:val="fr-FR"/>
        </w:rPr>
      </w:pPr>
    </w:p>
    <w:p w:rsidR="002B18A7" w:rsidRPr="00D44A32" w:rsidRDefault="001C26D9" w:rsidP="00D44A32">
      <w:pPr>
        <w:ind w:left="567"/>
        <w:rPr>
          <w:lang w:val="fr-FR"/>
        </w:rPr>
      </w:pPr>
      <w:r w:rsidRPr="00D44A32">
        <w:rPr>
          <w:lang w:val="fr-FR"/>
        </w:rPr>
        <w:t>Bulletin type de l</w:t>
      </w:r>
      <w:r w:rsidR="00A1605A" w:rsidRPr="00D44A32">
        <w:rPr>
          <w:lang w:val="fr-FR"/>
        </w:rPr>
        <w:t>’</w:t>
      </w:r>
      <w:r w:rsidRPr="00D44A32">
        <w:rPr>
          <w:lang w:val="fr-FR"/>
        </w:rPr>
        <w:t xml:space="preserve">UPOV de la protection des obtentions végétales </w:t>
      </w:r>
      <w:r w:rsidR="00957DA8" w:rsidRPr="00D44A32">
        <w:rPr>
          <w:lang w:val="fr-FR"/>
        </w:rPr>
        <w:t>(r</w:t>
      </w:r>
      <w:r w:rsidRPr="00D44A32">
        <w:rPr>
          <w:lang w:val="fr-FR"/>
        </w:rPr>
        <w:t>é</w:t>
      </w:r>
      <w:r w:rsidR="00B93B31" w:rsidRPr="00D44A32">
        <w:rPr>
          <w:lang w:val="fr-FR"/>
        </w:rPr>
        <w:t>vision) (</w:t>
      </w:r>
      <w:r w:rsidR="00B93B31" w:rsidRPr="00D44A32">
        <w:rPr>
          <w:kern w:val="28"/>
          <w:lang w:val="fr-FR"/>
        </w:rPr>
        <w:t>document CAJ/72/2 “</w:t>
      </w:r>
      <w:r w:rsidR="005416DD" w:rsidRPr="00D44A32">
        <w:rPr>
          <w:kern w:val="28"/>
          <w:lang w:val="fr-FR"/>
        </w:rPr>
        <w:t>Élaboration de matériel d</w:t>
      </w:r>
      <w:r w:rsidR="00A1605A" w:rsidRPr="00D44A32">
        <w:rPr>
          <w:kern w:val="28"/>
          <w:lang w:val="fr-FR"/>
        </w:rPr>
        <w:t>’</w:t>
      </w:r>
      <w:r w:rsidR="005416DD" w:rsidRPr="00D44A32">
        <w:rPr>
          <w:kern w:val="28"/>
          <w:lang w:val="fr-FR"/>
        </w:rPr>
        <w:t xml:space="preserve">information concernant la </w:t>
      </w:r>
      <w:r w:rsidR="00A1605A" w:rsidRPr="00D44A32">
        <w:rPr>
          <w:kern w:val="28"/>
          <w:lang w:val="fr-FR"/>
        </w:rPr>
        <w:t>Convention UPOV</w:t>
      </w:r>
      <w:r w:rsidR="00B93B31" w:rsidRPr="00D44A32">
        <w:rPr>
          <w:kern w:val="28"/>
          <w:lang w:val="fr-FR"/>
        </w:rPr>
        <w:t>”</w:t>
      </w:r>
      <w:r w:rsidR="00B5113F" w:rsidRPr="00D44A32">
        <w:rPr>
          <w:lang w:val="fr-FR"/>
        </w:rPr>
        <w:t>)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300EE2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1C26D9" w:rsidRPr="00D44A32">
        <w:rPr>
          <w:lang w:val="fr-FR"/>
        </w:rPr>
        <w:t>À sa soixante</w:t>
      </w:r>
      <w:r w:rsidR="00C42784" w:rsidRPr="00D44A32">
        <w:rPr>
          <w:szCs w:val="22"/>
          <w:lang w:val="fr-FR"/>
        </w:rPr>
        <w:noBreakHyphen/>
      </w:r>
      <w:r w:rsidR="001C26D9" w:rsidRPr="00D44A32">
        <w:rPr>
          <w:szCs w:val="22"/>
          <w:lang w:val="fr-FR"/>
        </w:rPr>
        <w:t>dixième</w:t>
      </w:r>
      <w:r w:rsidR="00365E0C" w:rsidRPr="00D44A32">
        <w:rPr>
          <w:szCs w:val="22"/>
          <w:lang w:val="fr-FR"/>
        </w:rPr>
        <w:t> </w:t>
      </w:r>
      <w:r w:rsidR="001C26D9" w:rsidRPr="00D44A32">
        <w:rPr>
          <w:szCs w:val="22"/>
          <w:lang w:val="fr-FR"/>
        </w:rPr>
        <w:t>session</w:t>
      </w:r>
      <w:r w:rsidRPr="00D44A32">
        <w:rPr>
          <w:rStyle w:val="FootnoteReference"/>
          <w:lang w:val="fr-FR"/>
        </w:rPr>
        <w:footnoteReference w:id="43"/>
      </w:r>
      <w:r w:rsidR="001C26D9" w:rsidRPr="00D44A32">
        <w:rPr>
          <w:szCs w:val="22"/>
          <w:lang w:val="fr-FR"/>
        </w:rPr>
        <w:t>,</w:t>
      </w:r>
      <w:r w:rsidR="00A1605A" w:rsidRPr="00D44A32">
        <w:rPr>
          <w:szCs w:val="22"/>
          <w:lang w:val="fr-FR"/>
        </w:rPr>
        <w:t xml:space="preserve"> le CAJ</w:t>
      </w:r>
      <w:r w:rsidR="001C26D9" w:rsidRPr="00D44A32">
        <w:rPr>
          <w:szCs w:val="22"/>
          <w:lang w:val="fr-FR"/>
        </w:rPr>
        <w:t xml:space="preserve"> est convenu </w:t>
      </w:r>
      <w:r w:rsidR="00D34C00" w:rsidRPr="00D44A32">
        <w:rPr>
          <w:szCs w:val="22"/>
          <w:lang w:val="fr-FR"/>
        </w:rPr>
        <w:t xml:space="preserve">que </w:t>
      </w:r>
      <w:r w:rsidR="00954B28" w:rsidRPr="00D44A32">
        <w:rPr>
          <w:szCs w:val="22"/>
          <w:lang w:val="fr-FR"/>
        </w:rPr>
        <w:t>Bureau de l</w:t>
      </w:r>
      <w:r w:rsidR="00A1605A" w:rsidRPr="00D44A32">
        <w:rPr>
          <w:szCs w:val="22"/>
          <w:lang w:val="fr-FR"/>
        </w:rPr>
        <w:t>’</w:t>
      </w:r>
      <w:r w:rsidR="00954B28" w:rsidRPr="00D44A32">
        <w:rPr>
          <w:szCs w:val="22"/>
          <w:lang w:val="fr-FR"/>
        </w:rPr>
        <w:t>Union devrait établir un projet de révision du document UPOV/INF/5 “Bulletin type de l</w:t>
      </w:r>
      <w:r w:rsidR="00A1605A" w:rsidRPr="00D44A32">
        <w:rPr>
          <w:szCs w:val="22"/>
          <w:lang w:val="fr-FR"/>
        </w:rPr>
        <w:t>’</w:t>
      </w:r>
      <w:r w:rsidR="00954B28" w:rsidRPr="00D44A32">
        <w:rPr>
          <w:szCs w:val="22"/>
          <w:lang w:val="fr-FR"/>
        </w:rPr>
        <w:t>UPOV de la protection des obtentions végétales” (document UPOV/INF/5/1 Dra</w:t>
      </w:r>
      <w:r w:rsidR="00D34C00" w:rsidRPr="00D44A32">
        <w:rPr>
          <w:szCs w:val="22"/>
          <w:lang w:val="fr-FR"/>
        </w:rPr>
        <w:t xml:space="preserve">ft 1) </w:t>
      </w:r>
      <w:r w:rsidR="005416DD" w:rsidRPr="00D44A32">
        <w:rPr>
          <w:szCs w:val="22"/>
          <w:lang w:val="fr-FR"/>
        </w:rPr>
        <w:t>qui lui sera soumis à sa</w:t>
      </w:r>
      <w:r w:rsidR="00D34C00" w:rsidRPr="00D44A32">
        <w:rPr>
          <w:szCs w:val="22"/>
          <w:lang w:val="fr-FR"/>
        </w:rPr>
        <w:t xml:space="preserve"> soixante</w:t>
      </w:r>
      <w:r w:rsidR="00C42784" w:rsidRPr="00D44A32">
        <w:rPr>
          <w:szCs w:val="22"/>
          <w:lang w:val="fr-FR"/>
        </w:rPr>
        <w:noBreakHyphen/>
      </w:r>
      <w:r w:rsidR="00954B28" w:rsidRPr="00D44A32">
        <w:rPr>
          <w:szCs w:val="22"/>
          <w:lang w:val="fr-FR"/>
        </w:rPr>
        <w:t>douzième</w:t>
      </w:r>
      <w:r w:rsidR="00365E0C" w:rsidRPr="00D44A32">
        <w:rPr>
          <w:szCs w:val="22"/>
          <w:lang w:val="fr-FR"/>
        </w:rPr>
        <w:t> </w:t>
      </w:r>
      <w:r w:rsidR="00954B28" w:rsidRPr="00D44A32">
        <w:rPr>
          <w:szCs w:val="22"/>
          <w:lang w:val="fr-FR"/>
        </w:rPr>
        <w:t xml:space="preserve">session prévue en </w:t>
      </w:r>
      <w:r w:rsidR="00A1605A" w:rsidRPr="00D44A32">
        <w:rPr>
          <w:szCs w:val="22"/>
          <w:lang w:val="fr-FR"/>
        </w:rPr>
        <w:t>octobre 20</w:t>
      </w:r>
      <w:r w:rsidR="00954B28" w:rsidRPr="00D44A32">
        <w:rPr>
          <w:szCs w:val="22"/>
          <w:lang w:val="fr-FR"/>
        </w:rPr>
        <w:t>15, sous réserve de son examen du programme d</w:t>
      </w:r>
      <w:r w:rsidR="00A1605A" w:rsidRPr="00D44A32">
        <w:rPr>
          <w:szCs w:val="22"/>
          <w:lang w:val="fr-FR"/>
        </w:rPr>
        <w:t>’</w:t>
      </w:r>
      <w:r w:rsidR="00954B28" w:rsidRPr="00D44A32">
        <w:rPr>
          <w:szCs w:val="22"/>
          <w:lang w:val="fr-FR"/>
        </w:rPr>
        <w:t>élaboration du matériel d</w:t>
      </w:r>
      <w:r w:rsidR="00A1605A" w:rsidRPr="00D44A32">
        <w:rPr>
          <w:szCs w:val="22"/>
          <w:lang w:val="fr-FR"/>
        </w:rPr>
        <w:t>’</w:t>
      </w:r>
      <w:r w:rsidR="00954B28" w:rsidRPr="00D44A32">
        <w:rPr>
          <w:szCs w:val="22"/>
          <w:lang w:val="fr-FR"/>
        </w:rPr>
        <w:t>information</w:t>
      </w:r>
      <w:r w:rsidRPr="00D44A32">
        <w:rPr>
          <w:rStyle w:val="FootnoteReference"/>
          <w:lang w:val="fr-FR"/>
        </w:rPr>
        <w:footnoteReference w:id="44"/>
      </w:r>
      <w:r w:rsidR="00954B28" w:rsidRPr="00D44A32">
        <w:rPr>
          <w:szCs w:val="22"/>
          <w:lang w:val="fr-FR"/>
        </w:rPr>
        <w:t>.</w:t>
      </w:r>
      <w:r w:rsidRPr="00D44A32">
        <w:rPr>
          <w:lang w:val="fr-FR"/>
        </w:rPr>
        <w:t xml:space="preserve">  </w:t>
      </w:r>
      <w:r w:rsidR="00954B28" w:rsidRPr="00D44A32">
        <w:rPr>
          <w:lang w:val="fr-FR"/>
        </w:rPr>
        <w:t>Il est proposé de reporter l</w:t>
      </w:r>
      <w:r w:rsidR="00A1605A" w:rsidRPr="00D44A32">
        <w:rPr>
          <w:lang w:val="fr-FR"/>
        </w:rPr>
        <w:t>’</w:t>
      </w:r>
      <w:r w:rsidR="00954B28" w:rsidRPr="00D44A32">
        <w:rPr>
          <w:lang w:val="fr-FR"/>
        </w:rPr>
        <w:t>élaboration d</w:t>
      </w:r>
      <w:r w:rsidR="00A1605A" w:rsidRPr="00D44A32">
        <w:rPr>
          <w:lang w:val="fr-FR"/>
        </w:rPr>
        <w:t>’</w:t>
      </w:r>
      <w:r w:rsidR="00954B28" w:rsidRPr="00D44A32">
        <w:rPr>
          <w:lang w:val="fr-FR"/>
        </w:rPr>
        <w:t xml:space="preserve">un projet de révision du </w:t>
      </w:r>
      <w:r w:rsidRPr="00D44A32">
        <w:rPr>
          <w:lang w:val="fr-FR"/>
        </w:rPr>
        <w:t>document UPOV/INF/</w:t>
      </w:r>
      <w:r w:rsidR="005416DD" w:rsidRPr="00D44A32">
        <w:rPr>
          <w:lang w:val="fr-FR"/>
        </w:rPr>
        <w:t>5/1 Draft 1</w:t>
      </w:r>
      <w:r w:rsidR="00B5113F" w:rsidRPr="00D44A32">
        <w:rPr>
          <w:lang w:val="fr-FR"/>
        </w:rPr>
        <w:t xml:space="preserve"> </w:t>
      </w:r>
      <w:r w:rsidR="00954B28" w:rsidRPr="00D44A32">
        <w:rPr>
          <w:lang w:val="fr-FR"/>
        </w:rPr>
        <w:t>en attendant l</w:t>
      </w:r>
      <w:r w:rsidR="00A1605A" w:rsidRPr="00D44A32">
        <w:rPr>
          <w:lang w:val="fr-FR"/>
        </w:rPr>
        <w:t>’</w:t>
      </w:r>
      <w:r w:rsidR="005416DD" w:rsidRPr="00D44A32">
        <w:rPr>
          <w:lang w:val="fr-FR"/>
        </w:rPr>
        <w:t xml:space="preserve">avancement </w:t>
      </w:r>
      <w:r w:rsidR="00954B28" w:rsidRPr="00D44A32">
        <w:rPr>
          <w:lang w:val="fr-FR"/>
        </w:rPr>
        <w:t>des travaux concernant l</w:t>
      </w:r>
      <w:r w:rsidR="00A1605A" w:rsidRPr="00D44A32">
        <w:rPr>
          <w:lang w:val="fr-FR"/>
        </w:rPr>
        <w:t>’</w:t>
      </w:r>
      <w:r w:rsidR="00954B28" w:rsidRPr="00D44A32">
        <w:rPr>
          <w:lang w:val="fr-FR"/>
        </w:rPr>
        <w:t>élaboration d</w:t>
      </w:r>
      <w:r w:rsidR="00A1605A" w:rsidRPr="00D44A32">
        <w:rPr>
          <w:lang w:val="fr-FR"/>
        </w:rPr>
        <w:t>’</w:t>
      </w:r>
      <w:r w:rsidR="00954B28" w:rsidRPr="00D44A32">
        <w:rPr>
          <w:lang w:val="fr-FR"/>
        </w:rPr>
        <w:t xml:space="preserve">un prototype de formulaire électronique </w:t>
      </w:r>
      <w:r w:rsidR="00B5113F" w:rsidRPr="00D44A32">
        <w:rPr>
          <w:lang w:val="fr-FR"/>
        </w:rPr>
        <w:t>(</w:t>
      </w:r>
      <w:r w:rsidR="00954B28" w:rsidRPr="00D44A32">
        <w:rPr>
          <w:lang w:val="fr-FR"/>
        </w:rPr>
        <w:t xml:space="preserve">voir le </w:t>
      </w:r>
      <w:r w:rsidR="00B5113F" w:rsidRPr="00D44A32">
        <w:rPr>
          <w:lang w:val="fr-FR"/>
        </w:rPr>
        <w:t>document CAJ/71/4).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DC173A" w:rsidP="00D44A32">
      <w:pPr>
        <w:rPr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954B28" w:rsidRPr="00D44A32">
        <w:rPr>
          <w:szCs w:val="22"/>
          <w:lang w:val="fr-FR"/>
        </w:rPr>
        <w:t>Sous réserve de l</w:t>
      </w:r>
      <w:r w:rsidR="00A1605A" w:rsidRPr="00D44A32">
        <w:rPr>
          <w:szCs w:val="22"/>
          <w:lang w:val="fr-FR"/>
        </w:rPr>
        <w:t>’</w:t>
      </w:r>
      <w:r w:rsidR="00954B28" w:rsidRPr="00D44A32">
        <w:rPr>
          <w:szCs w:val="22"/>
          <w:lang w:val="fr-FR"/>
        </w:rPr>
        <w:t>approbation</w:t>
      </w:r>
      <w:r w:rsidR="00A1605A" w:rsidRPr="00D44A32">
        <w:rPr>
          <w:szCs w:val="22"/>
          <w:lang w:val="fr-FR"/>
        </w:rPr>
        <w:t xml:space="preserve"> du </w:t>
      </w:r>
      <w:r w:rsidR="00A1605A" w:rsidRPr="00D44A32">
        <w:rPr>
          <w:lang w:val="fr-FR"/>
        </w:rPr>
        <w:t>CAJ</w:t>
      </w:r>
      <w:r w:rsidR="000571C2" w:rsidRPr="00D44A32">
        <w:rPr>
          <w:lang w:val="fr-FR"/>
        </w:rPr>
        <w:t xml:space="preserve"> </w:t>
      </w:r>
      <w:r w:rsidR="00954B28" w:rsidRPr="00D44A32">
        <w:rPr>
          <w:lang w:val="fr-FR"/>
        </w:rPr>
        <w:t>à sa soixante et onzième</w:t>
      </w:r>
      <w:r w:rsidR="00365E0C" w:rsidRPr="00D44A32">
        <w:rPr>
          <w:lang w:val="fr-FR"/>
        </w:rPr>
        <w:t> </w:t>
      </w:r>
      <w:r w:rsidR="000571C2" w:rsidRPr="00D44A32">
        <w:rPr>
          <w:lang w:val="fr-FR"/>
        </w:rPr>
        <w:t xml:space="preserve">session, </w:t>
      </w:r>
      <w:r w:rsidR="00954B28" w:rsidRPr="00D44A32">
        <w:rPr>
          <w:lang w:val="fr-FR"/>
        </w:rPr>
        <w:t>le Conseil sera invité à adopter</w:t>
      </w:r>
      <w:r w:rsidR="00E773CC" w:rsidRPr="00D44A32">
        <w:rPr>
          <w:lang w:val="fr-FR"/>
        </w:rPr>
        <w:t xml:space="preserve">, </w:t>
      </w:r>
      <w:r w:rsidR="00954B28" w:rsidRPr="00D44A32">
        <w:rPr>
          <w:lang w:val="fr-FR"/>
        </w:rPr>
        <w:t>à sa</w:t>
      </w:r>
      <w:r w:rsidR="00E773CC" w:rsidRPr="00D44A32">
        <w:rPr>
          <w:lang w:val="fr-FR"/>
        </w:rPr>
        <w:t xml:space="preserve"> </w:t>
      </w:r>
      <w:r w:rsidR="00954B28" w:rsidRPr="00D44A32">
        <w:rPr>
          <w:lang w:val="fr-FR"/>
        </w:rPr>
        <w:t>quarante</w:t>
      </w:r>
      <w:r w:rsidR="00C42784" w:rsidRPr="00D44A32">
        <w:rPr>
          <w:szCs w:val="22"/>
          <w:lang w:val="fr-FR"/>
        </w:rPr>
        <w:noBreakHyphen/>
      </w:r>
      <w:r w:rsidR="00F53FBF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F53FBF" w:rsidRPr="00D44A32">
        <w:rPr>
          <w:lang w:val="fr-FR"/>
        </w:rPr>
        <w:t>session ordinaire</w:t>
      </w:r>
      <w:r w:rsidR="00E773CC" w:rsidRPr="00D44A32">
        <w:rPr>
          <w:lang w:val="fr-FR"/>
        </w:rPr>
        <w:t xml:space="preserve"> </w:t>
      </w:r>
      <w:r w:rsidR="00F53FBF" w:rsidRPr="00D44A32">
        <w:rPr>
          <w:lang w:val="fr-FR"/>
        </w:rPr>
        <w:t>prévue le 2</w:t>
      </w:r>
      <w:r w:rsidR="00A1605A" w:rsidRPr="00D44A32">
        <w:rPr>
          <w:lang w:val="fr-FR"/>
        </w:rPr>
        <w:t>9 octobre 20</w:t>
      </w:r>
      <w:r w:rsidR="00F53FBF" w:rsidRPr="00D44A32">
        <w:rPr>
          <w:lang w:val="fr-FR"/>
        </w:rPr>
        <w:t>15</w:t>
      </w:r>
      <w:r w:rsidR="00E773CC" w:rsidRPr="00D44A32">
        <w:rPr>
          <w:lang w:val="fr-FR"/>
        </w:rPr>
        <w:t xml:space="preserve">, </w:t>
      </w:r>
      <w:r w:rsidR="00954B28" w:rsidRPr="00D44A32">
        <w:rPr>
          <w:lang w:val="fr-FR"/>
        </w:rPr>
        <w:t>les notes explicatives suivantes </w:t>
      </w:r>
      <w:r w:rsidR="00E773CC" w:rsidRPr="00D44A32">
        <w:rPr>
          <w:lang w:val="fr-FR"/>
        </w:rPr>
        <w:t>: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E773CC" w:rsidP="0096163C">
      <w:pPr>
        <w:keepNext/>
        <w:ind w:left="567" w:right="567"/>
        <w:rPr>
          <w:lang w:val="fr-FR"/>
        </w:rPr>
      </w:pPr>
      <w:r w:rsidRPr="00D44A32">
        <w:rPr>
          <w:lang w:val="fr-FR"/>
        </w:rPr>
        <w:lastRenderedPageBreak/>
        <w:t xml:space="preserve">Notes </w:t>
      </w:r>
      <w:r w:rsidR="00954B28" w:rsidRPr="00D44A32">
        <w:rPr>
          <w:lang w:val="fr-FR"/>
        </w:rPr>
        <w:t xml:space="preserve">explicatives sur le matériel de reproduction ou de multiplication </w:t>
      </w:r>
      <w:r w:rsidR="00827378" w:rsidRPr="00D44A32">
        <w:rPr>
          <w:lang w:val="fr-FR"/>
        </w:rPr>
        <w:t>selon</w:t>
      </w:r>
      <w:r w:rsidR="00954B28" w:rsidRPr="00D44A32">
        <w:rPr>
          <w:lang w:val="fr-FR"/>
        </w:rPr>
        <w:t xml:space="preserve"> l</w:t>
      </w:r>
      <w:r w:rsidR="00A1605A" w:rsidRPr="00D44A32">
        <w:rPr>
          <w:lang w:val="fr-FR"/>
        </w:rPr>
        <w:t>’</w:t>
      </w:r>
      <w:r w:rsidR="00954B28" w:rsidRPr="00D44A32">
        <w:rPr>
          <w:lang w:val="fr-FR"/>
        </w:rPr>
        <w:t>Acte de</w:t>
      </w:r>
      <w:r w:rsidR="00365E0C" w:rsidRPr="00D44A32">
        <w:rPr>
          <w:lang w:val="fr-FR"/>
        </w:rPr>
        <w:t> </w:t>
      </w:r>
      <w:r w:rsidRPr="00D44A32">
        <w:rPr>
          <w:spacing w:val="-2"/>
          <w:lang w:val="fr-FR"/>
        </w:rPr>
        <w:t xml:space="preserve">1991 </w:t>
      </w:r>
      <w:r w:rsidR="00954B28" w:rsidRPr="00D44A32">
        <w:rPr>
          <w:spacing w:val="-2"/>
          <w:lang w:val="fr-FR"/>
        </w:rPr>
        <w:t xml:space="preserve">de la </w:t>
      </w:r>
      <w:r w:rsidR="00A1605A" w:rsidRPr="00D44A32">
        <w:rPr>
          <w:lang w:val="fr-FR"/>
        </w:rPr>
        <w:t>Convention UPOV</w:t>
      </w:r>
      <w:r w:rsidR="00954B28" w:rsidRPr="00D44A32">
        <w:rPr>
          <w:lang w:val="fr-FR"/>
        </w:rPr>
        <w:t xml:space="preserve"> </w:t>
      </w:r>
      <w:r w:rsidRPr="00D44A32">
        <w:rPr>
          <w:lang w:val="fr-FR"/>
        </w:rPr>
        <w:t>(</w:t>
      </w:r>
      <w:r w:rsidR="00A1605A" w:rsidRPr="00D44A32">
        <w:rPr>
          <w:lang w:val="fr-FR"/>
        </w:rPr>
        <w:t>document UP</w:t>
      </w:r>
      <w:r w:rsidRPr="00D44A32">
        <w:rPr>
          <w:lang w:val="fr-FR"/>
        </w:rPr>
        <w:t>OV/EXN/PPM/1)</w:t>
      </w:r>
    </w:p>
    <w:p w:rsidR="002B18A7" w:rsidRPr="00D44A32" w:rsidRDefault="002B18A7" w:rsidP="0096163C">
      <w:pPr>
        <w:keepNext/>
        <w:ind w:right="567"/>
        <w:rPr>
          <w:kern w:val="28"/>
          <w:lang w:val="fr-FR"/>
        </w:rPr>
      </w:pPr>
    </w:p>
    <w:p w:rsidR="00A1605A" w:rsidRPr="00D44A32" w:rsidRDefault="007909DD" w:rsidP="00D44A32">
      <w:pPr>
        <w:ind w:left="567" w:right="567"/>
        <w:rPr>
          <w:kern w:val="28"/>
          <w:lang w:val="fr-FR"/>
        </w:rPr>
      </w:pPr>
      <w:r w:rsidRPr="00D44A32">
        <w:rPr>
          <w:kern w:val="28"/>
          <w:lang w:val="fr-FR"/>
        </w:rPr>
        <w:t>Notes explicatives sur la déchéance de l</w:t>
      </w:r>
      <w:r w:rsidR="00A1605A" w:rsidRPr="00D44A32">
        <w:rPr>
          <w:kern w:val="28"/>
          <w:lang w:val="fr-FR"/>
        </w:rPr>
        <w:t>’</w:t>
      </w:r>
      <w:r w:rsidRPr="00D44A32">
        <w:rPr>
          <w:kern w:val="28"/>
          <w:lang w:val="fr-FR"/>
        </w:rPr>
        <w:t>obten</w:t>
      </w:r>
      <w:r w:rsidR="00954B28" w:rsidRPr="00D44A32">
        <w:rPr>
          <w:kern w:val="28"/>
          <w:lang w:val="fr-FR"/>
        </w:rPr>
        <w:t xml:space="preserve">teur selon la </w:t>
      </w:r>
      <w:r w:rsidR="00A1605A" w:rsidRPr="00D44A32">
        <w:rPr>
          <w:kern w:val="28"/>
          <w:lang w:val="fr-FR"/>
        </w:rPr>
        <w:t>Convention UPOV</w:t>
      </w:r>
      <w:r w:rsidR="00954B28" w:rsidRPr="00D44A32">
        <w:rPr>
          <w:kern w:val="28"/>
          <w:lang w:val="fr-FR"/>
        </w:rPr>
        <w:t xml:space="preserve"> (</w:t>
      </w:r>
      <w:r w:rsidR="00957DA8" w:rsidRPr="00D44A32">
        <w:rPr>
          <w:kern w:val="28"/>
          <w:lang w:val="fr-FR"/>
        </w:rPr>
        <w:t>r</w:t>
      </w:r>
      <w:r w:rsidRPr="00D44A32">
        <w:rPr>
          <w:kern w:val="28"/>
          <w:lang w:val="fr-FR"/>
        </w:rPr>
        <w:t>évision) (document UPOV/EXN/CAN/2)</w:t>
      </w:r>
    </w:p>
    <w:p w:rsidR="002B18A7" w:rsidRPr="00D44A32" w:rsidRDefault="002B18A7" w:rsidP="00D44A32">
      <w:pPr>
        <w:ind w:left="1134" w:right="567" w:hanging="567"/>
        <w:rPr>
          <w:lang w:val="fr-FR"/>
        </w:rPr>
      </w:pPr>
    </w:p>
    <w:p w:rsidR="00A1605A" w:rsidRPr="00D44A32" w:rsidRDefault="00954B28" w:rsidP="00D44A32">
      <w:pPr>
        <w:ind w:left="567" w:right="567"/>
        <w:rPr>
          <w:lang w:val="fr-FR"/>
        </w:rPr>
      </w:pPr>
      <w:r w:rsidRPr="00D44A32">
        <w:t>Notes explicatives sur la nullité du droit d</w:t>
      </w:r>
      <w:r w:rsidR="00A1605A" w:rsidRPr="00D44A32">
        <w:t>’</w:t>
      </w:r>
      <w:r w:rsidRPr="00D44A32">
        <w:t xml:space="preserve">obtenteur selon la </w:t>
      </w:r>
      <w:r w:rsidR="00A1605A" w:rsidRPr="00D44A32">
        <w:t>Convention UPOV</w:t>
      </w:r>
      <w:r w:rsidRPr="00D44A32">
        <w:rPr>
          <w:lang w:val="fr-FR"/>
        </w:rPr>
        <w:t xml:space="preserve"> </w:t>
      </w:r>
      <w:r w:rsidR="00957DA8" w:rsidRPr="00D44A32">
        <w:rPr>
          <w:lang w:val="fr-FR"/>
        </w:rPr>
        <w:t>(r</w:t>
      </w:r>
      <w:r w:rsidRPr="00D44A32">
        <w:rPr>
          <w:lang w:val="fr-FR"/>
        </w:rPr>
        <w:t>é</w:t>
      </w:r>
      <w:r w:rsidR="00E773CC" w:rsidRPr="00D44A32">
        <w:rPr>
          <w:lang w:val="fr-FR"/>
        </w:rPr>
        <w:t>vision) (</w:t>
      </w:r>
      <w:r w:rsidR="00A1605A" w:rsidRPr="00D44A32">
        <w:rPr>
          <w:lang w:val="fr-FR"/>
        </w:rPr>
        <w:t>document UP</w:t>
      </w:r>
      <w:r w:rsidR="00E773CC" w:rsidRPr="00D44A32">
        <w:rPr>
          <w:lang w:val="fr-FR"/>
        </w:rPr>
        <w:t>OV/EXN/NUL/2)</w:t>
      </w:r>
    </w:p>
    <w:p w:rsidR="002B18A7" w:rsidRPr="00D44A32" w:rsidRDefault="002B18A7" w:rsidP="00D44A32">
      <w:pPr>
        <w:ind w:right="567"/>
        <w:rPr>
          <w:kern w:val="28"/>
          <w:lang w:val="fr-FR"/>
        </w:rPr>
      </w:pPr>
    </w:p>
    <w:p w:rsidR="00A1605A" w:rsidRPr="00D44A32" w:rsidRDefault="007909DD" w:rsidP="00D44A32">
      <w:pPr>
        <w:ind w:left="567" w:right="567"/>
        <w:rPr>
          <w:lang w:val="fr-FR"/>
        </w:rPr>
      </w:pPr>
      <w:r w:rsidRPr="00D44A32">
        <w:rPr>
          <w:lang w:val="fr-FR"/>
        </w:rPr>
        <w:t>Notes explicatives sur la protection provisoire se</w:t>
      </w:r>
      <w:r w:rsidR="00954B28" w:rsidRPr="00D44A32">
        <w:rPr>
          <w:lang w:val="fr-FR"/>
        </w:rPr>
        <w:t xml:space="preserve">lon la </w:t>
      </w:r>
      <w:r w:rsidR="00A1605A" w:rsidRPr="00D44A32">
        <w:rPr>
          <w:lang w:val="fr-FR"/>
        </w:rPr>
        <w:t>Convention UPOV</w:t>
      </w:r>
      <w:r w:rsidR="00954B28" w:rsidRPr="00D44A32">
        <w:rPr>
          <w:lang w:val="fr-FR"/>
        </w:rPr>
        <w:t xml:space="preserve"> (</w:t>
      </w:r>
      <w:r w:rsidR="00957DA8" w:rsidRPr="00D44A32">
        <w:rPr>
          <w:lang w:val="fr-FR"/>
        </w:rPr>
        <w:t>r</w:t>
      </w:r>
      <w:r w:rsidRPr="00D44A32">
        <w:rPr>
          <w:lang w:val="fr-FR"/>
        </w:rPr>
        <w:t>évision) (document UPOV/EXN/PRP/2)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954B28" w:rsidP="00D44A32">
      <w:pPr>
        <w:rPr>
          <w:spacing w:val="-2"/>
          <w:lang w:val="fr-FR"/>
        </w:rPr>
      </w:pPr>
      <w:r w:rsidRPr="00D44A32">
        <w:rPr>
          <w:spacing w:val="-2"/>
          <w:lang w:val="fr-FR"/>
        </w:rPr>
        <w:t xml:space="preserve">Parallèlement aux </w:t>
      </w:r>
      <w:r w:rsidR="007909DD" w:rsidRPr="00D44A32">
        <w:rPr>
          <w:spacing w:val="-2"/>
          <w:lang w:val="fr-FR"/>
        </w:rPr>
        <w:t>notes explicatives que le Conseil sera invité à adopter à sa quarante</w:t>
      </w:r>
      <w:r w:rsidR="00C42784" w:rsidRPr="00D44A32">
        <w:rPr>
          <w:spacing w:val="-2"/>
          <w:lang w:val="fr-FR"/>
        </w:rPr>
        <w:noBreakHyphen/>
      </w:r>
      <w:r w:rsidR="007909DD" w:rsidRPr="00D44A32">
        <w:rPr>
          <w:spacing w:val="-2"/>
          <w:lang w:val="fr-FR"/>
        </w:rPr>
        <w:t>neuvième session ordinaire, il est proposé d</w:t>
      </w:r>
      <w:r w:rsidR="00A1605A" w:rsidRPr="00D44A32">
        <w:rPr>
          <w:spacing w:val="-2"/>
          <w:lang w:val="fr-FR"/>
        </w:rPr>
        <w:t>’</w:t>
      </w:r>
      <w:r w:rsidR="007909DD" w:rsidRPr="00D44A32">
        <w:rPr>
          <w:spacing w:val="-2"/>
          <w:lang w:val="fr-FR"/>
        </w:rPr>
        <w:t>adopter une version révisée du document UPOV/INF/6/3 “Orientations en vue de la rédaction de lois fondées sur l</w:t>
      </w:r>
      <w:r w:rsidR="00A1605A" w:rsidRPr="00D44A32">
        <w:rPr>
          <w:spacing w:val="-2"/>
          <w:lang w:val="fr-FR"/>
        </w:rPr>
        <w:t>’</w:t>
      </w:r>
      <w:r w:rsidR="007909DD" w:rsidRPr="00D44A32">
        <w:rPr>
          <w:spacing w:val="-2"/>
          <w:lang w:val="fr-FR"/>
        </w:rPr>
        <w:t xml:space="preserve">Acte de 1991 de la </w:t>
      </w:r>
      <w:r w:rsidR="00A1605A" w:rsidRPr="00D44A32">
        <w:rPr>
          <w:spacing w:val="-2"/>
          <w:lang w:val="fr-FR"/>
        </w:rPr>
        <w:t>Convention UPOV</w:t>
      </w:r>
      <w:r w:rsidR="007909DD" w:rsidRPr="00D44A32">
        <w:rPr>
          <w:spacing w:val="-2"/>
          <w:lang w:val="fr-FR"/>
        </w:rPr>
        <w:t>” (document UPOV/INF/6/4).</w:t>
      </w:r>
    </w:p>
    <w:p w:rsidR="002B18A7" w:rsidRPr="00D44A32" w:rsidRDefault="002B18A7" w:rsidP="00D44A32">
      <w:pPr>
        <w:rPr>
          <w:rFonts w:eastAsia="MS Mincho"/>
          <w:highlight w:val="yellow"/>
          <w:lang w:val="fr-FR"/>
        </w:rPr>
      </w:pPr>
    </w:p>
    <w:p w:rsidR="002B18A7" w:rsidRPr="00D44A32" w:rsidRDefault="00DC173A" w:rsidP="00D44A32">
      <w:pPr>
        <w:pStyle w:val="DecisionParagraphs"/>
        <w:rPr>
          <w:spacing w:val="-2"/>
          <w:lang w:val="fr-FR"/>
        </w:rPr>
      </w:pPr>
      <w:r w:rsidRPr="00D44A32">
        <w:rPr>
          <w:lang w:val="fr-FR"/>
        </w:rPr>
        <w:fldChar w:fldCharType="begin"/>
      </w:r>
      <w:r w:rsidRPr="00D44A32">
        <w:rPr>
          <w:lang w:val="fr-FR"/>
        </w:rPr>
        <w:instrText xml:space="preserve"> AUTONUM  </w:instrText>
      </w:r>
      <w:r w:rsidRPr="00D44A32">
        <w:rPr>
          <w:lang w:val="fr-FR"/>
        </w:rPr>
        <w:fldChar w:fldCharType="end"/>
      </w:r>
      <w:r w:rsidRPr="00D44A32">
        <w:rPr>
          <w:lang w:val="fr-FR"/>
        </w:rPr>
        <w:tab/>
      </w:r>
      <w:r w:rsidR="007909DD" w:rsidRPr="00D44A32">
        <w:rPr>
          <w:lang w:val="fr-FR"/>
        </w:rPr>
        <w:t>Le CAJ est invité</w:t>
      </w:r>
      <w:r w:rsidR="0096163C">
        <w:rPr>
          <w:lang w:val="fr-FR"/>
        </w:rPr>
        <w:t xml:space="preserve"> à :</w:t>
      </w:r>
    </w:p>
    <w:p w:rsidR="002B18A7" w:rsidRPr="00D44A32" w:rsidRDefault="002B18A7" w:rsidP="00D44A32">
      <w:pPr>
        <w:pStyle w:val="DecisionParagraphs"/>
        <w:rPr>
          <w:spacing w:val="-2"/>
          <w:lang w:val="fr-FR"/>
        </w:rPr>
      </w:pPr>
    </w:p>
    <w:p w:rsidR="002B18A7" w:rsidRPr="00D44A32" w:rsidRDefault="004C152A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  <w:r w:rsidRPr="00D44A32">
        <w:rPr>
          <w:spacing w:val="-2"/>
          <w:lang w:val="fr-FR"/>
        </w:rPr>
        <w:tab/>
        <w:t>a)</w:t>
      </w:r>
      <w:r w:rsidRPr="00D44A32">
        <w:rPr>
          <w:spacing w:val="-2"/>
          <w:lang w:val="fr-FR"/>
        </w:rPr>
        <w:tab/>
      </w:r>
      <w:r w:rsidR="00954B28" w:rsidRPr="00D44A32">
        <w:rPr>
          <w:spacing w:val="-2"/>
          <w:lang w:val="fr-FR"/>
        </w:rPr>
        <w:t xml:space="preserve">examiner, sous réserve des progrès </w:t>
      </w:r>
      <w:r w:rsidR="005416DD" w:rsidRPr="00D44A32">
        <w:rPr>
          <w:spacing w:val="-2"/>
          <w:lang w:val="fr-FR"/>
        </w:rPr>
        <w:t>réalisés par</w:t>
      </w:r>
      <w:r w:rsidR="00A1605A" w:rsidRPr="00D44A32">
        <w:rPr>
          <w:spacing w:val="-2"/>
          <w:lang w:val="fr-FR"/>
        </w:rPr>
        <w:t xml:space="preserve"> le CAJ</w:t>
      </w:r>
      <w:r w:rsidR="00954B28" w:rsidRPr="00D44A32">
        <w:rPr>
          <w:spacing w:val="-2"/>
          <w:lang w:val="fr-FR"/>
        </w:rPr>
        <w:t xml:space="preserve"> à </w:t>
      </w:r>
      <w:r w:rsidR="005416DD" w:rsidRPr="00D44A32">
        <w:rPr>
          <w:spacing w:val="-2"/>
          <w:lang w:val="fr-FR"/>
        </w:rPr>
        <w:t>s</w:t>
      </w:r>
      <w:r w:rsidR="00954B28" w:rsidRPr="00D44A32">
        <w:rPr>
          <w:spacing w:val="-2"/>
          <w:lang w:val="fr-FR"/>
        </w:rPr>
        <w:t>a soixante et onzième</w:t>
      </w:r>
      <w:r w:rsidR="00365E0C" w:rsidRPr="00D44A32">
        <w:rPr>
          <w:spacing w:val="-2"/>
          <w:lang w:val="fr-FR"/>
        </w:rPr>
        <w:t> </w:t>
      </w:r>
      <w:r w:rsidRPr="00D44A32">
        <w:rPr>
          <w:spacing w:val="-2"/>
          <w:lang w:val="fr-FR"/>
        </w:rPr>
        <w:t xml:space="preserve">session, </w:t>
      </w:r>
      <w:r w:rsidR="00D34C00" w:rsidRPr="00D44A32">
        <w:rPr>
          <w:spacing w:val="-2"/>
          <w:lang w:val="fr-FR"/>
        </w:rPr>
        <w:t xml:space="preserve">le </w:t>
      </w:r>
      <w:r w:rsidR="00D34C00" w:rsidRPr="00D44A32">
        <w:rPr>
          <w:lang w:val="fr-FR"/>
        </w:rPr>
        <w:t>programme provisoire d</w:t>
      </w:r>
      <w:r w:rsidR="00A1605A" w:rsidRPr="00D44A32">
        <w:rPr>
          <w:lang w:val="fr-FR"/>
        </w:rPr>
        <w:t>’</w:t>
      </w:r>
      <w:r w:rsidR="00D34C00" w:rsidRPr="00D44A32">
        <w:rPr>
          <w:lang w:val="fr-FR"/>
        </w:rPr>
        <w:t>élaboration de matériel d</w:t>
      </w:r>
      <w:r w:rsidR="00A1605A" w:rsidRPr="00D44A32">
        <w:rPr>
          <w:lang w:val="fr-FR"/>
        </w:rPr>
        <w:t>’</w:t>
      </w:r>
      <w:r w:rsidR="00D34C00" w:rsidRPr="00D44A32">
        <w:rPr>
          <w:lang w:val="fr-FR"/>
        </w:rPr>
        <w:t>information</w:t>
      </w:r>
      <w:r w:rsidR="00DF2A30" w:rsidRPr="00D44A32">
        <w:rPr>
          <w:lang w:val="fr-FR"/>
        </w:rPr>
        <w:t xml:space="preserve">, </w:t>
      </w:r>
      <w:r w:rsidR="00D34C00" w:rsidRPr="00D44A32">
        <w:rPr>
          <w:lang w:val="fr-FR"/>
        </w:rPr>
        <w:t xml:space="preserve">comme indiqué aux </w:t>
      </w:r>
      <w:r w:rsidR="00DF2A30" w:rsidRPr="00D44A32">
        <w:rPr>
          <w:lang w:val="fr-FR"/>
        </w:rPr>
        <w:t>paragraph</w:t>
      </w:r>
      <w:r w:rsidR="00D34C00" w:rsidRPr="00D44A32">
        <w:rPr>
          <w:lang w:val="fr-FR"/>
        </w:rPr>
        <w:t>e</w:t>
      </w:r>
      <w:r w:rsidR="00171C6B" w:rsidRPr="00D44A32">
        <w:rPr>
          <w:lang w:val="fr-FR"/>
        </w:rPr>
        <w:t>s</w:t>
      </w:r>
      <w:r w:rsidR="00365E0C" w:rsidRPr="00D44A32">
        <w:rPr>
          <w:lang w:val="fr-FR"/>
        </w:rPr>
        <w:t> </w:t>
      </w:r>
      <w:r w:rsidR="00DF2A30" w:rsidRPr="00D44A32">
        <w:rPr>
          <w:lang w:val="fr-FR"/>
        </w:rPr>
        <w:t>5</w:t>
      </w:r>
      <w:r w:rsidR="00171C6B" w:rsidRPr="00D44A32">
        <w:rPr>
          <w:lang w:val="fr-FR"/>
        </w:rPr>
        <w:t xml:space="preserve">0 </w:t>
      </w:r>
      <w:r w:rsidR="00D34C00" w:rsidRPr="00D44A32">
        <w:rPr>
          <w:lang w:val="fr-FR"/>
        </w:rPr>
        <w:t>à</w:t>
      </w:r>
      <w:r w:rsidR="00171C6B" w:rsidRPr="00D44A32">
        <w:rPr>
          <w:lang w:val="fr-FR"/>
        </w:rPr>
        <w:t xml:space="preserve"> 52</w:t>
      </w:r>
      <w:r w:rsidR="00E773CC" w:rsidRPr="00D44A32">
        <w:rPr>
          <w:lang w:val="fr-FR"/>
        </w:rPr>
        <w:t xml:space="preserve">; </w:t>
      </w:r>
      <w:r w:rsidR="00D34C00" w:rsidRPr="00D44A32">
        <w:rPr>
          <w:lang w:val="fr-FR"/>
        </w:rPr>
        <w:t xml:space="preserve"> et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2B18A7" w:rsidRPr="00D44A32" w:rsidRDefault="004C152A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  <w:r w:rsidRPr="00D44A32">
        <w:rPr>
          <w:spacing w:val="-2"/>
          <w:lang w:val="fr-FR"/>
        </w:rPr>
        <w:tab/>
        <w:t>b)</w:t>
      </w:r>
      <w:r w:rsidRPr="00D44A32">
        <w:rPr>
          <w:spacing w:val="-2"/>
          <w:lang w:val="fr-FR"/>
        </w:rPr>
        <w:tab/>
      </w:r>
      <w:r w:rsidR="00171C6B" w:rsidRPr="00D44A32">
        <w:rPr>
          <w:spacing w:val="-2"/>
          <w:lang w:val="fr-FR"/>
        </w:rPr>
        <w:t>note</w:t>
      </w:r>
      <w:r w:rsidR="00D34C00" w:rsidRPr="00D44A32">
        <w:rPr>
          <w:spacing w:val="-2"/>
          <w:lang w:val="fr-FR"/>
        </w:rPr>
        <w:t xml:space="preserve">r que, sous réserve </w:t>
      </w:r>
      <w:r w:rsidR="00D34C00" w:rsidRPr="00D44A32">
        <w:rPr>
          <w:szCs w:val="22"/>
          <w:lang w:val="fr-FR"/>
        </w:rPr>
        <w:t xml:space="preserve">de </w:t>
      </w:r>
      <w:r w:rsidR="00B57457" w:rsidRPr="00D44A32">
        <w:rPr>
          <w:szCs w:val="22"/>
          <w:lang w:val="fr-FR"/>
        </w:rPr>
        <w:t xml:space="preserve">son </w:t>
      </w:r>
      <w:r w:rsidR="00D34C00" w:rsidRPr="00D44A32">
        <w:rPr>
          <w:szCs w:val="22"/>
          <w:lang w:val="fr-FR"/>
        </w:rPr>
        <w:t xml:space="preserve">approbation </w:t>
      </w:r>
      <w:r w:rsidR="00D34C00" w:rsidRPr="00D44A32">
        <w:rPr>
          <w:lang w:val="fr-FR"/>
        </w:rPr>
        <w:t>à sa soixante et onzième</w:t>
      </w:r>
      <w:r w:rsidR="00365E0C" w:rsidRPr="00D44A32">
        <w:rPr>
          <w:lang w:val="fr-FR"/>
        </w:rPr>
        <w:t> </w:t>
      </w:r>
      <w:r w:rsidR="00D34C00" w:rsidRPr="00D44A32">
        <w:rPr>
          <w:lang w:val="fr-FR"/>
        </w:rPr>
        <w:t>session, le Conseil sera invité à adopter à sa quarante</w:t>
      </w:r>
      <w:r w:rsidR="00C42784" w:rsidRPr="00D44A32">
        <w:rPr>
          <w:szCs w:val="22"/>
          <w:lang w:val="fr-FR"/>
        </w:rPr>
        <w:noBreakHyphen/>
      </w:r>
      <w:r w:rsidR="00D34C00" w:rsidRPr="00D44A32">
        <w:rPr>
          <w:lang w:val="fr-FR"/>
        </w:rPr>
        <w:t>neuvième</w:t>
      </w:r>
      <w:r w:rsidR="00365E0C" w:rsidRPr="00D44A32">
        <w:rPr>
          <w:lang w:val="fr-FR"/>
        </w:rPr>
        <w:t> </w:t>
      </w:r>
      <w:r w:rsidR="00D34C00" w:rsidRPr="00D44A32">
        <w:rPr>
          <w:lang w:val="fr-FR"/>
        </w:rPr>
        <w:t>session ordinaire</w:t>
      </w:r>
      <w:r w:rsidR="00365E0C" w:rsidRPr="00D44A32">
        <w:rPr>
          <w:lang w:val="fr-FR"/>
        </w:rPr>
        <w:t> </w:t>
      </w:r>
      <w:r w:rsidR="00E773CC" w:rsidRPr="00D44A32">
        <w:rPr>
          <w:lang w:val="fr-FR"/>
        </w:rPr>
        <w:t>: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A1605A" w:rsidRPr="0096163C" w:rsidRDefault="00E773CC" w:rsidP="00D44A32">
      <w:pPr>
        <w:pStyle w:val="DecisionParagraphs"/>
        <w:tabs>
          <w:tab w:val="left" w:pos="5954"/>
          <w:tab w:val="left" w:pos="6521"/>
        </w:tabs>
        <w:rPr>
          <w:spacing w:val="-4"/>
          <w:lang w:val="fr-FR"/>
        </w:rPr>
      </w:pPr>
      <w:r w:rsidRPr="00D44A32">
        <w:rPr>
          <w:spacing w:val="-2"/>
          <w:lang w:val="fr-FR"/>
        </w:rPr>
        <w:tab/>
        <w:t>i)</w:t>
      </w:r>
      <w:r w:rsidRPr="00D44A32">
        <w:rPr>
          <w:spacing w:val="-2"/>
          <w:lang w:val="fr-FR"/>
        </w:rPr>
        <w:tab/>
      </w:r>
      <w:r w:rsidR="00D34C00" w:rsidRPr="00D44A32">
        <w:rPr>
          <w:spacing w:val="-2"/>
          <w:lang w:val="fr-FR"/>
        </w:rPr>
        <w:t>les</w:t>
      </w:r>
      <w:r w:rsidR="00DF2A30" w:rsidRPr="00D44A32">
        <w:rPr>
          <w:spacing w:val="-2"/>
          <w:lang w:val="fr-FR"/>
        </w:rPr>
        <w:t xml:space="preserve"> “</w:t>
      </w:r>
      <w:r w:rsidR="00D34C00" w:rsidRPr="00D44A32">
        <w:rPr>
          <w:spacing w:val="-2"/>
          <w:lang w:val="fr-FR"/>
        </w:rPr>
        <w:t xml:space="preserve">Notes explicatives sur le matériel de reproduction ou de multiplication </w:t>
      </w:r>
      <w:r w:rsidR="00827378" w:rsidRPr="00D44A32">
        <w:rPr>
          <w:spacing w:val="-2"/>
          <w:lang w:val="fr-FR"/>
        </w:rPr>
        <w:t>selon</w:t>
      </w:r>
      <w:r w:rsidR="00D34C00" w:rsidRPr="00D44A32">
        <w:rPr>
          <w:spacing w:val="-2"/>
          <w:lang w:val="fr-FR"/>
        </w:rPr>
        <w:t xml:space="preserve"> l</w:t>
      </w:r>
      <w:r w:rsidR="00A1605A" w:rsidRPr="00D44A32">
        <w:rPr>
          <w:spacing w:val="-2"/>
          <w:lang w:val="fr-FR"/>
        </w:rPr>
        <w:t>’</w:t>
      </w:r>
      <w:r w:rsidR="00D34C00" w:rsidRPr="00D44A32">
        <w:rPr>
          <w:spacing w:val="-2"/>
          <w:lang w:val="fr-FR"/>
        </w:rPr>
        <w:t>Acte de</w:t>
      </w:r>
      <w:r w:rsidR="00365E0C" w:rsidRPr="00D44A32">
        <w:rPr>
          <w:spacing w:val="-2"/>
          <w:lang w:val="fr-FR"/>
        </w:rPr>
        <w:t> </w:t>
      </w:r>
      <w:r w:rsidR="00D34C00" w:rsidRPr="00D44A32">
        <w:rPr>
          <w:spacing w:val="-2"/>
          <w:lang w:val="fr-FR"/>
        </w:rPr>
        <w:t xml:space="preserve">1991 </w:t>
      </w:r>
      <w:r w:rsidR="00D34C00" w:rsidRPr="0096163C">
        <w:rPr>
          <w:spacing w:val="-4"/>
          <w:lang w:val="fr-FR"/>
        </w:rPr>
        <w:t xml:space="preserve">de la </w:t>
      </w:r>
      <w:r w:rsidR="00A1605A" w:rsidRPr="0096163C">
        <w:rPr>
          <w:spacing w:val="-4"/>
          <w:lang w:val="fr-FR"/>
        </w:rPr>
        <w:t>Convention UPOV</w:t>
      </w:r>
      <w:r w:rsidR="00D34C00" w:rsidRPr="0096163C">
        <w:rPr>
          <w:spacing w:val="-4"/>
          <w:lang w:val="fr-FR"/>
        </w:rPr>
        <w:t xml:space="preserve"> (</w:t>
      </w:r>
      <w:r w:rsidR="00A1605A" w:rsidRPr="0096163C">
        <w:rPr>
          <w:spacing w:val="-4"/>
          <w:lang w:val="fr-FR"/>
        </w:rPr>
        <w:t>document UP</w:t>
      </w:r>
      <w:r w:rsidR="00D34C00" w:rsidRPr="0096163C">
        <w:rPr>
          <w:spacing w:val="-4"/>
          <w:lang w:val="fr-FR"/>
        </w:rPr>
        <w:t>OV/EXN/PPM/1)</w:t>
      </w:r>
      <w:r w:rsidRPr="0096163C">
        <w:rPr>
          <w:spacing w:val="-4"/>
          <w:lang w:val="fr-FR"/>
        </w:rPr>
        <w:t>;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2B18A7" w:rsidRPr="00D44A32" w:rsidRDefault="00E773CC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  <w:r w:rsidRPr="00D44A32">
        <w:rPr>
          <w:spacing w:val="-2"/>
          <w:lang w:val="fr-FR"/>
        </w:rPr>
        <w:tab/>
        <w:t>ii)</w:t>
      </w:r>
      <w:r w:rsidRPr="00D44A32">
        <w:rPr>
          <w:spacing w:val="-2"/>
          <w:lang w:val="fr-FR"/>
        </w:rPr>
        <w:tab/>
      </w:r>
      <w:r w:rsidR="00D34C00" w:rsidRPr="00D44A32">
        <w:rPr>
          <w:spacing w:val="-2"/>
          <w:lang w:val="fr-FR"/>
        </w:rPr>
        <w:t>les</w:t>
      </w:r>
      <w:r w:rsidR="00DF2A30" w:rsidRPr="00D44A32">
        <w:rPr>
          <w:spacing w:val="-2"/>
          <w:lang w:val="fr-FR"/>
        </w:rPr>
        <w:t xml:space="preserve"> “</w:t>
      </w:r>
      <w:r w:rsidR="00D34C00" w:rsidRPr="00D44A32">
        <w:rPr>
          <w:spacing w:val="-2"/>
          <w:lang w:val="fr-FR"/>
        </w:rPr>
        <w:t>Notes explicatives sur la déchéance de l</w:t>
      </w:r>
      <w:r w:rsidR="00A1605A" w:rsidRPr="00D44A32">
        <w:rPr>
          <w:spacing w:val="-2"/>
          <w:lang w:val="fr-FR"/>
        </w:rPr>
        <w:t>’</w:t>
      </w:r>
      <w:r w:rsidR="00D34C00" w:rsidRPr="00D44A32">
        <w:rPr>
          <w:spacing w:val="-2"/>
          <w:lang w:val="fr-FR"/>
        </w:rPr>
        <w:t xml:space="preserve">obtenteur selon la </w:t>
      </w:r>
      <w:r w:rsidR="00A1605A" w:rsidRPr="00D44A32">
        <w:rPr>
          <w:spacing w:val="-2"/>
          <w:lang w:val="fr-FR"/>
        </w:rPr>
        <w:t>Convention UPOV</w:t>
      </w:r>
      <w:r w:rsidR="00D34C00" w:rsidRPr="00D44A32">
        <w:rPr>
          <w:spacing w:val="-2"/>
          <w:lang w:val="fr-FR"/>
        </w:rPr>
        <w:t xml:space="preserve"> (</w:t>
      </w:r>
      <w:r w:rsidR="00957DA8" w:rsidRPr="00D44A32">
        <w:rPr>
          <w:spacing w:val="-2"/>
          <w:lang w:val="fr-FR"/>
        </w:rPr>
        <w:t>r</w:t>
      </w:r>
      <w:r w:rsidR="00D34C00" w:rsidRPr="00D44A32">
        <w:rPr>
          <w:spacing w:val="-2"/>
          <w:lang w:val="fr-FR"/>
        </w:rPr>
        <w:t>évision) (document UPOV/EXN/CAN/2)</w:t>
      </w:r>
      <w:r w:rsidRPr="00D44A32">
        <w:rPr>
          <w:spacing w:val="-2"/>
          <w:lang w:val="fr-FR"/>
        </w:rPr>
        <w:t xml:space="preserve">;  </w:t>
      </w:r>
      <w:r w:rsidR="00B57457" w:rsidRPr="00D44A32">
        <w:rPr>
          <w:spacing w:val="-2"/>
          <w:lang w:val="fr-FR"/>
        </w:rPr>
        <w:t>et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2B18A7" w:rsidRPr="00D44A32" w:rsidRDefault="00E773CC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  <w:r w:rsidRPr="00D44A32">
        <w:rPr>
          <w:spacing w:val="-2"/>
          <w:lang w:val="fr-FR"/>
        </w:rPr>
        <w:tab/>
        <w:t>iii)</w:t>
      </w:r>
      <w:r w:rsidRPr="00D44A32">
        <w:rPr>
          <w:spacing w:val="-2"/>
          <w:lang w:val="fr-FR"/>
        </w:rPr>
        <w:tab/>
      </w:r>
      <w:r w:rsidR="00D34C00" w:rsidRPr="00D44A32">
        <w:rPr>
          <w:spacing w:val="-2"/>
          <w:lang w:val="fr-FR"/>
        </w:rPr>
        <w:t>les</w:t>
      </w:r>
      <w:r w:rsidR="00171C6B" w:rsidRPr="00D44A32">
        <w:rPr>
          <w:spacing w:val="-2"/>
          <w:lang w:val="fr-FR"/>
        </w:rPr>
        <w:t xml:space="preserve"> </w:t>
      </w:r>
      <w:r w:rsidR="00365E0C" w:rsidRPr="00D44A32">
        <w:rPr>
          <w:spacing w:val="-2"/>
          <w:lang w:val="fr-FR"/>
        </w:rPr>
        <w:t>“</w:t>
      </w:r>
      <w:r w:rsidR="00D34C00" w:rsidRPr="00D44A32">
        <w:rPr>
          <w:spacing w:val="-2"/>
        </w:rPr>
        <w:t>Notes explicatives sur la nullité du droit d</w:t>
      </w:r>
      <w:r w:rsidR="00A1605A" w:rsidRPr="00D44A32">
        <w:rPr>
          <w:spacing w:val="-2"/>
        </w:rPr>
        <w:t>’</w:t>
      </w:r>
      <w:r w:rsidR="00D34C00" w:rsidRPr="00D44A32">
        <w:rPr>
          <w:spacing w:val="-2"/>
        </w:rPr>
        <w:t xml:space="preserve">obtenteur selon la </w:t>
      </w:r>
      <w:r w:rsidR="00A1605A" w:rsidRPr="00D44A32">
        <w:rPr>
          <w:spacing w:val="-2"/>
        </w:rPr>
        <w:t>Convention UPOV</w:t>
      </w:r>
      <w:r w:rsidR="00D34C00" w:rsidRPr="00D44A32">
        <w:rPr>
          <w:spacing w:val="-2"/>
          <w:lang w:val="fr-FR"/>
        </w:rPr>
        <w:t xml:space="preserve"> </w:t>
      </w:r>
      <w:r w:rsidR="00957DA8" w:rsidRPr="00D44A32">
        <w:rPr>
          <w:spacing w:val="-2"/>
          <w:lang w:val="fr-FR"/>
        </w:rPr>
        <w:t>(r</w:t>
      </w:r>
      <w:r w:rsidR="00D34C00" w:rsidRPr="00D44A32">
        <w:rPr>
          <w:spacing w:val="-2"/>
          <w:lang w:val="fr-FR"/>
        </w:rPr>
        <w:t>évision) (</w:t>
      </w:r>
      <w:r w:rsidR="00A1605A" w:rsidRPr="00D44A32">
        <w:rPr>
          <w:spacing w:val="-2"/>
          <w:lang w:val="fr-FR"/>
        </w:rPr>
        <w:t>document UP</w:t>
      </w:r>
      <w:r w:rsidR="00D34C00" w:rsidRPr="00D44A32">
        <w:rPr>
          <w:spacing w:val="-2"/>
          <w:lang w:val="fr-FR"/>
        </w:rPr>
        <w:t>OV/EXN/NUL/2)</w:t>
      </w:r>
      <w:r w:rsidRPr="00D44A32">
        <w:rPr>
          <w:spacing w:val="-2"/>
          <w:lang w:val="fr-FR"/>
        </w:rPr>
        <w:t>;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2B18A7" w:rsidRPr="00D44A32" w:rsidRDefault="00E773CC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  <w:r w:rsidRPr="00D44A32">
        <w:rPr>
          <w:spacing w:val="-2"/>
          <w:lang w:val="fr-FR"/>
        </w:rPr>
        <w:tab/>
        <w:t>iv)</w:t>
      </w:r>
      <w:r w:rsidR="002A2583" w:rsidRPr="00D44A32">
        <w:rPr>
          <w:spacing w:val="-2"/>
          <w:lang w:val="fr-FR"/>
        </w:rPr>
        <w:tab/>
      </w:r>
      <w:r w:rsidR="00D34C00" w:rsidRPr="00D44A32">
        <w:rPr>
          <w:spacing w:val="-2"/>
          <w:lang w:val="fr-FR"/>
        </w:rPr>
        <w:t>les</w:t>
      </w:r>
      <w:r w:rsidR="00DF2A30" w:rsidRPr="00D44A32">
        <w:rPr>
          <w:spacing w:val="-2"/>
          <w:lang w:val="fr-FR"/>
        </w:rPr>
        <w:t xml:space="preserve"> “</w:t>
      </w:r>
      <w:r w:rsidR="00D34C00" w:rsidRPr="00D44A32">
        <w:rPr>
          <w:lang w:val="fr-FR"/>
        </w:rPr>
        <w:t xml:space="preserve">Notes explicatives sur la protection provisoire selon la </w:t>
      </w:r>
      <w:r w:rsidR="00A1605A" w:rsidRPr="00D44A32">
        <w:rPr>
          <w:lang w:val="fr-FR"/>
        </w:rPr>
        <w:t>Convention UPOV</w:t>
      </w:r>
      <w:r w:rsidR="00D34C00" w:rsidRPr="00D44A32">
        <w:rPr>
          <w:lang w:val="fr-FR"/>
        </w:rPr>
        <w:t xml:space="preserve"> (</w:t>
      </w:r>
      <w:r w:rsidR="00957DA8" w:rsidRPr="00D44A32">
        <w:rPr>
          <w:lang w:val="fr-FR"/>
        </w:rPr>
        <w:t>r</w:t>
      </w:r>
      <w:r w:rsidR="00D34C00" w:rsidRPr="00D44A32">
        <w:rPr>
          <w:lang w:val="fr-FR"/>
        </w:rPr>
        <w:t>évision) (document UPOV/EXN/PRP/2)</w:t>
      </w:r>
      <w:r w:rsidRPr="00D44A32">
        <w:rPr>
          <w:spacing w:val="-2"/>
          <w:lang w:val="fr-FR"/>
        </w:rPr>
        <w:t>;</w:t>
      </w:r>
      <w:r w:rsidR="00171C6B" w:rsidRPr="00D44A32">
        <w:rPr>
          <w:spacing w:val="-2"/>
          <w:lang w:val="fr-FR"/>
        </w:rPr>
        <w:t xml:space="preserve"> </w:t>
      </w:r>
      <w:r w:rsidR="00D34C00" w:rsidRPr="00D44A32">
        <w:rPr>
          <w:spacing w:val="-2"/>
          <w:lang w:val="fr-FR"/>
        </w:rPr>
        <w:t xml:space="preserve"> </w:t>
      </w:r>
      <w:r w:rsidR="00B57457" w:rsidRPr="00D44A32">
        <w:rPr>
          <w:spacing w:val="-2"/>
          <w:lang w:val="fr-FR"/>
        </w:rPr>
        <w:t>ainsi que,</w:t>
      </w:r>
    </w:p>
    <w:p w:rsidR="002B18A7" w:rsidRPr="00D44A32" w:rsidRDefault="002B18A7" w:rsidP="00D44A32">
      <w:pPr>
        <w:pStyle w:val="DecisionParagraphs"/>
        <w:tabs>
          <w:tab w:val="left" w:pos="5954"/>
          <w:tab w:val="left" w:pos="6521"/>
        </w:tabs>
        <w:rPr>
          <w:spacing w:val="-2"/>
          <w:lang w:val="fr-FR"/>
        </w:rPr>
      </w:pPr>
    </w:p>
    <w:p w:rsidR="002B18A7" w:rsidRPr="00D44A32" w:rsidRDefault="00E773CC" w:rsidP="00D44A32">
      <w:pPr>
        <w:pStyle w:val="DecisionParagraphs"/>
        <w:tabs>
          <w:tab w:val="left" w:pos="5954"/>
          <w:tab w:val="left" w:pos="6521"/>
        </w:tabs>
        <w:rPr>
          <w:lang w:val="fr-FR"/>
        </w:rPr>
      </w:pPr>
      <w:r w:rsidRPr="00D44A32">
        <w:rPr>
          <w:spacing w:val="-2"/>
          <w:lang w:val="fr-FR"/>
        </w:rPr>
        <w:tab/>
      </w:r>
      <w:r w:rsidR="00DF2A30" w:rsidRPr="00D44A32">
        <w:rPr>
          <w:spacing w:val="-2"/>
          <w:lang w:val="fr-FR"/>
        </w:rPr>
        <w:t>v</w:t>
      </w:r>
      <w:r w:rsidRPr="00D44A32">
        <w:rPr>
          <w:spacing w:val="-2"/>
          <w:lang w:val="fr-FR"/>
        </w:rPr>
        <w:t>)</w:t>
      </w:r>
      <w:r w:rsidR="002A2583" w:rsidRPr="00D44A32">
        <w:rPr>
          <w:spacing w:val="-2"/>
          <w:lang w:val="fr-FR"/>
        </w:rPr>
        <w:tab/>
      </w:r>
      <w:r w:rsidR="00D34C00" w:rsidRPr="00D44A32">
        <w:rPr>
          <w:spacing w:val="-2"/>
          <w:lang w:val="fr-FR"/>
        </w:rPr>
        <w:t>parallèlement aux notes explicatives indiquées ci</w:t>
      </w:r>
      <w:r w:rsidR="00C42784" w:rsidRPr="00D44A32">
        <w:rPr>
          <w:spacing w:val="-2"/>
          <w:szCs w:val="22"/>
          <w:lang w:val="fr-FR"/>
        </w:rPr>
        <w:noBreakHyphen/>
      </w:r>
      <w:r w:rsidR="00D34C00" w:rsidRPr="00D44A32">
        <w:rPr>
          <w:spacing w:val="-2"/>
          <w:szCs w:val="22"/>
          <w:lang w:val="fr-FR"/>
        </w:rPr>
        <w:t>dessus</w:t>
      </w:r>
      <w:r w:rsidR="00DF2A30" w:rsidRPr="00D44A32">
        <w:rPr>
          <w:spacing w:val="-2"/>
          <w:lang w:val="fr-FR"/>
        </w:rPr>
        <w:t xml:space="preserve">, </w:t>
      </w:r>
      <w:r w:rsidR="00D34C00" w:rsidRPr="00D44A32">
        <w:rPr>
          <w:spacing w:val="-2"/>
          <w:lang w:val="fr-FR"/>
        </w:rPr>
        <w:t>une version révisée du document UPOV/INF/6/3 “Orientations en vue de la rédaction de lois fondées sur l</w:t>
      </w:r>
      <w:r w:rsidR="00A1605A" w:rsidRPr="00D44A32">
        <w:rPr>
          <w:spacing w:val="-2"/>
          <w:lang w:val="fr-FR"/>
        </w:rPr>
        <w:t>’</w:t>
      </w:r>
      <w:r w:rsidR="00D34C00" w:rsidRPr="00D44A32">
        <w:rPr>
          <w:spacing w:val="-2"/>
          <w:lang w:val="fr-FR"/>
        </w:rPr>
        <w:t xml:space="preserve">Acte de 1991 de la </w:t>
      </w:r>
      <w:r w:rsidR="00A1605A" w:rsidRPr="00D44A32">
        <w:rPr>
          <w:spacing w:val="-2"/>
          <w:lang w:val="fr-FR"/>
        </w:rPr>
        <w:t>Convention UPOV</w:t>
      </w:r>
      <w:r w:rsidR="00D34C00" w:rsidRPr="00D44A32">
        <w:rPr>
          <w:spacing w:val="-2"/>
          <w:lang w:val="fr-FR"/>
        </w:rPr>
        <w:t>” (document UPOV/INF/6/4)</w:t>
      </w:r>
      <w:r w:rsidR="00DC173A" w:rsidRPr="00D44A32">
        <w:rPr>
          <w:rFonts w:cs="Arial"/>
          <w:lang w:val="fr-FR"/>
        </w:rPr>
        <w:t>.</w:t>
      </w: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2B18A7" w:rsidRPr="00D44A32" w:rsidRDefault="007909DD" w:rsidP="00D44A32">
      <w:pPr>
        <w:jc w:val="right"/>
        <w:rPr>
          <w:snapToGrid w:val="0"/>
          <w:lang w:val="fr-FR"/>
        </w:rPr>
      </w:pPr>
      <w:r w:rsidRPr="00D44A32">
        <w:rPr>
          <w:snapToGrid w:val="0"/>
          <w:lang w:val="fr-FR"/>
        </w:rPr>
        <w:t>[L</w:t>
      </w:r>
      <w:r w:rsidR="00A1605A" w:rsidRPr="00D44A32">
        <w:rPr>
          <w:snapToGrid w:val="0"/>
          <w:lang w:val="fr-FR"/>
        </w:rPr>
        <w:t>’</w:t>
      </w:r>
      <w:r w:rsidRPr="00D44A32">
        <w:rPr>
          <w:snapToGrid w:val="0"/>
          <w:lang w:val="fr-FR"/>
        </w:rPr>
        <w:t>annexe suit]</w:t>
      </w:r>
    </w:p>
    <w:p w:rsidR="009612F3" w:rsidRPr="00D44A32" w:rsidRDefault="009612F3" w:rsidP="00D44A32">
      <w:pPr>
        <w:jc w:val="left"/>
        <w:rPr>
          <w:lang w:val="fr-FR"/>
        </w:rPr>
        <w:sectPr w:rsidR="009612F3" w:rsidRPr="00D44A32" w:rsidSect="00A1605A">
          <w:headerReference w:type="default" r:id="rId11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2B18A7" w:rsidRPr="00D44A32" w:rsidRDefault="009612F3" w:rsidP="00D44A32">
      <w:pPr>
        <w:jc w:val="center"/>
        <w:rPr>
          <w:lang w:val="fr-FR"/>
        </w:rPr>
      </w:pPr>
      <w:r w:rsidRPr="00D44A32">
        <w:rPr>
          <w:lang w:val="fr-FR"/>
        </w:rPr>
        <w:lastRenderedPageBreak/>
        <w:t>CAJ/</w:t>
      </w:r>
      <w:r w:rsidR="009C44BE" w:rsidRPr="00D44A32">
        <w:rPr>
          <w:lang w:val="fr-FR"/>
        </w:rPr>
        <w:t>71</w:t>
      </w:r>
      <w:r w:rsidRPr="00D44A32">
        <w:rPr>
          <w:lang w:val="fr-FR"/>
        </w:rPr>
        <w:t>/2</w:t>
      </w:r>
    </w:p>
    <w:p w:rsidR="002B18A7" w:rsidRPr="00D44A32" w:rsidRDefault="002B18A7" w:rsidP="00D44A32">
      <w:pPr>
        <w:jc w:val="center"/>
        <w:rPr>
          <w:lang w:val="fr-FR"/>
        </w:rPr>
      </w:pPr>
    </w:p>
    <w:p w:rsidR="002B18A7" w:rsidRPr="00D44A32" w:rsidRDefault="007909DD" w:rsidP="00D44A32">
      <w:pPr>
        <w:jc w:val="center"/>
        <w:rPr>
          <w:lang w:val="fr-FR"/>
        </w:rPr>
      </w:pPr>
      <w:r w:rsidRPr="00D44A32">
        <w:rPr>
          <w:lang w:val="fr-FR"/>
        </w:rPr>
        <w:t>ANNEXE</w:t>
      </w:r>
    </w:p>
    <w:p w:rsidR="002B18A7" w:rsidRPr="00D44A32" w:rsidRDefault="002B18A7" w:rsidP="00D44A32">
      <w:pPr>
        <w:jc w:val="center"/>
        <w:rPr>
          <w:sz w:val="16"/>
          <w:szCs w:val="16"/>
          <w:lang w:val="fr-FR"/>
        </w:rPr>
      </w:pPr>
    </w:p>
    <w:p w:rsidR="002B18A7" w:rsidRPr="00D44A32" w:rsidRDefault="002B18A7" w:rsidP="00D44A32">
      <w:pPr>
        <w:jc w:val="center"/>
        <w:rPr>
          <w:sz w:val="16"/>
          <w:szCs w:val="16"/>
          <w:lang w:val="fr-FR"/>
        </w:rPr>
      </w:pPr>
    </w:p>
    <w:p w:rsidR="002B18A7" w:rsidRPr="00D44A32" w:rsidRDefault="005416DD" w:rsidP="00D44A32">
      <w:pPr>
        <w:jc w:val="center"/>
        <w:rPr>
          <w:lang w:val="fr-FR"/>
        </w:rPr>
      </w:pPr>
      <w:r w:rsidRPr="00D44A32">
        <w:rPr>
          <w:lang w:val="fr-FR"/>
        </w:rPr>
        <w:t>PRÉSENTATION</w:t>
      </w:r>
      <w:r w:rsidR="00A40147" w:rsidRPr="00D44A32">
        <w:rPr>
          <w:lang w:val="fr-FR"/>
        </w:rPr>
        <w:t xml:space="preserve"> GÉNÉRAL</w:t>
      </w:r>
      <w:r w:rsidRPr="00D44A32">
        <w:rPr>
          <w:lang w:val="fr-FR"/>
        </w:rPr>
        <w:t>E</w:t>
      </w:r>
      <w:r w:rsidR="00A40147" w:rsidRPr="00D44A32">
        <w:rPr>
          <w:lang w:val="fr-FR"/>
        </w:rPr>
        <w:t xml:space="preserve"> DU MATÉRIEL D</w:t>
      </w:r>
      <w:r w:rsidR="00A1605A" w:rsidRPr="00D44A32">
        <w:rPr>
          <w:lang w:val="fr-FR"/>
        </w:rPr>
        <w:t>’</w:t>
      </w:r>
      <w:r w:rsidR="00A40147" w:rsidRPr="00D44A32">
        <w:rPr>
          <w:lang w:val="fr-FR"/>
        </w:rPr>
        <w:t>INFORMATION</w:t>
      </w:r>
    </w:p>
    <w:p w:rsidR="002B18A7" w:rsidRPr="00D44A32" w:rsidRDefault="002B18A7" w:rsidP="00D44A32">
      <w:pPr>
        <w:jc w:val="center"/>
        <w:rPr>
          <w:sz w:val="16"/>
          <w:szCs w:val="16"/>
          <w:lang w:val="fr-FR"/>
        </w:rPr>
      </w:pPr>
    </w:p>
    <w:p w:rsidR="002B18A7" w:rsidRPr="00D44A32" w:rsidRDefault="002B18A7" w:rsidP="00D44A32">
      <w:pPr>
        <w:jc w:val="center"/>
        <w:rPr>
          <w:sz w:val="16"/>
          <w:szCs w:val="16"/>
          <w:lang w:val="fr-FR"/>
        </w:rPr>
      </w:pPr>
    </w:p>
    <w:p w:rsidR="002B18A7" w:rsidRPr="00D44A32" w:rsidRDefault="007909DD" w:rsidP="00D44A32">
      <w:pPr>
        <w:jc w:val="left"/>
        <w:rPr>
          <w:lang w:val="fr-FR"/>
        </w:rPr>
      </w:pPr>
      <w:r w:rsidRPr="00D44A32">
        <w:rPr>
          <w:lang w:val="fr-FR"/>
        </w:rPr>
        <w:t>NOTES EXPLICATIVES</w:t>
      </w:r>
    </w:p>
    <w:p w:rsidR="009612F3" w:rsidRPr="00D44A32" w:rsidRDefault="009612F3" w:rsidP="00D44A32">
      <w:pPr>
        <w:jc w:val="left"/>
        <w:rPr>
          <w:sz w:val="16"/>
          <w:szCs w:val="16"/>
          <w:lang w:val="fr-FR"/>
        </w:rPr>
      </w:pPr>
    </w:p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D44A32" w:rsidRPr="00D44A32" w:rsidTr="00891783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9612F3" w:rsidRPr="00D44A32" w:rsidRDefault="009612F3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R</w:t>
            </w:r>
            <w:r w:rsidR="005416DD" w:rsidRPr="00D44A32">
              <w:rPr>
                <w:rFonts w:cs="Arial"/>
                <w:sz w:val="18"/>
                <w:szCs w:val="18"/>
                <w:lang w:val="fr-FR"/>
              </w:rPr>
              <w:t>éfé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rence</w:t>
            </w:r>
          </w:p>
        </w:tc>
        <w:tc>
          <w:tcPr>
            <w:tcW w:w="4717" w:type="dxa"/>
            <w:shd w:val="clear" w:color="auto" w:fill="D9D9D9"/>
          </w:tcPr>
          <w:p w:rsidR="009612F3" w:rsidRPr="00D44A32" w:rsidRDefault="005416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Notes explicatives sur</w:t>
            </w:r>
            <w:r w:rsidR="00B57457" w:rsidRPr="00D44A32">
              <w:rPr>
                <w:rFonts w:cs="Arial"/>
                <w:sz w:val="18"/>
                <w:szCs w:val="18"/>
                <w:lang w:val="fr-FR"/>
              </w:rPr>
              <w:t xml:space="preserve"> les questions suivantes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:</w:t>
            </w:r>
          </w:p>
        </w:tc>
        <w:tc>
          <w:tcPr>
            <w:tcW w:w="3912" w:type="dxa"/>
            <w:shd w:val="clear" w:color="auto" w:fill="D9D9D9"/>
          </w:tcPr>
          <w:p w:rsidR="009612F3" w:rsidRPr="00D44A32" w:rsidRDefault="005416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État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UPOV/EXN/BRD</w:t>
            </w:r>
          </w:p>
        </w:tc>
        <w:tc>
          <w:tcPr>
            <w:tcW w:w="4717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Définition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obtenteur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UPOV/EXN/BRD/1 adopté en octobre 2013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UPOV/EXN/CAL</w:t>
            </w:r>
          </w:p>
        </w:tc>
        <w:tc>
          <w:tcPr>
            <w:tcW w:w="4717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Conditions et limitations </w:t>
            </w:r>
            <w:r w:rsidR="00E762F8" w:rsidRPr="00D44A32">
              <w:rPr>
                <w:rFonts w:cs="Arial"/>
                <w:sz w:val="18"/>
                <w:szCs w:val="18"/>
                <w:lang w:val="fr-FR"/>
              </w:rPr>
              <w:t>relatives à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autorisation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obtenteur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à l’égard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du matériel de reproduction ou de multiplication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UPOV/EXN/CAL/1 adopté en octobre 2010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7909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Déchéance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UPOV/EXN/CAN/1 adopté en octobre 2009</w:t>
            </w:r>
          </w:p>
          <w:p w:rsidR="00826164" w:rsidRPr="00D44A32" w:rsidRDefault="00826164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UPOV/EXN/CAN/2 Draft 3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CAJ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Variétés essentiellement dérivées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UPOV/EXN/EDV/1 adopté en octobre 2009</w:t>
            </w:r>
          </w:p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UPOV/EXN/EDV/2 Draft 6 devant être examiné par le CAJ en octobre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UPOV/EXN/ENF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Défense des droits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UPOV/EXN/ENF/1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UPOV/EXN/EXC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Exceptions au droit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obtenteur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UPOV/EXN/EXC/1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UPOV/EXN/GEN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Genres et espèces devant être protégés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UPOV/EXN/GEN/1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Actes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à l’égard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du produit de la récolte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2B18A7" w:rsidRPr="00D44A32" w:rsidRDefault="00E8755A" w:rsidP="00D44A32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iCs/>
                <w:sz w:val="18"/>
                <w:szCs w:val="18"/>
                <w:lang w:val="fr-FR"/>
              </w:rPr>
              <w:t>UPOV/EXN/HRV/1 adopté en octobre 2013</w:t>
            </w:r>
          </w:p>
          <w:p w:rsidR="009612F3" w:rsidRPr="00D44A32" w:rsidRDefault="009612F3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UPOV/EXN/NAT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Traitement national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UPOV/EXN/NAT/1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UPOV/EXN/NOV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Nouveauté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UPOV/EXN/NOV/1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Nullité du droit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UPOV/EXN/NUL/1 adopté en octobre 2009</w:t>
            </w:r>
          </w:p>
          <w:p w:rsidR="00826164" w:rsidRPr="00D44A32" w:rsidRDefault="00826164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UPOV/EXN/NUL/2 Draft 3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CAJ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9612F3" w:rsidRPr="00D44A32" w:rsidRDefault="00E762F8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Matériel de reproduction ou de multiplication </w:t>
            </w:r>
            <w:r w:rsidR="00827378" w:rsidRPr="00D44A32">
              <w:rPr>
                <w:rFonts w:cs="Arial"/>
                <w:sz w:val="18"/>
                <w:szCs w:val="18"/>
                <w:lang w:val="fr-FR"/>
              </w:rPr>
              <w:t>selon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365E0C"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826164" w:rsidRPr="00D44A32" w:rsidRDefault="00826164" w:rsidP="00D44A32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UPOV/EXN/PPM/1 Draft 4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CAJ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UPOV/EXN/PRI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Droit de priorité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UPOV/EXN/PRI/1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471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Protection provisoire selon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826164" w:rsidRPr="00D44A32" w:rsidRDefault="009612F3" w:rsidP="00D44A32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UPOV/EXN/PRP/1 adopt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é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n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o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ctob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r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2009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br/>
            </w:r>
            <w:r w:rsidR="00826164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UPOV/EXN/PRP/2 Draft 3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CAJ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Définition de la variété selon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UPOV/EXN/VAR/1 adopté en octobre 2010</w:t>
            </w:r>
          </w:p>
        </w:tc>
      </w:tr>
    </w:tbl>
    <w:p w:rsidR="002B18A7" w:rsidRPr="00D44A32" w:rsidRDefault="009612F3" w:rsidP="00D44A32">
      <w:pPr>
        <w:rPr>
          <w:lang w:val="fr-FR"/>
        </w:rPr>
      </w:pPr>
      <w:r w:rsidRPr="00D44A32">
        <w:rPr>
          <w:sz w:val="18"/>
          <w:szCs w:val="18"/>
          <w:lang w:val="fr-FR"/>
        </w:rPr>
        <w:br w:type="page"/>
      </w:r>
      <w:r w:rsidR="00B81BC2" w:rsidRPr="00D44A32">
        <w:rPr>
          <w:lang w:val="fr-FR"/>
        </w:rPr>
        <w:lastRenderedPageBreak/>
        <w:t>DOCUMENTS D</w:t>
      </w:r>
      <w:r w:rsidR="00A1605A" w:rsidRPr="00D44A32">
        <w:rPr>
          <w:lang w:val="fr-FR"/>
        </w:rPr>
        <w:t>’</w:t>
      </w:r>
      <w:r w:rsidR="00B81BC2" w:rsidRPr="00D44A32">
        <w:rPr>
          <w:lang w:val="fr-FR"/>
        </w:rPr>
        <w:t>INFORMATION</w:t>
      </w:r>
    </w:p>
    <w:p w:rsidR="009612F3" w:rsidRPr="00D44A32" w:rsidRDefault="009612F3" w:rsidP="00D44A32">
      <w:pPr>
        <w:rPr>
          <w:lang w:val="fr-FR"/>
        </w:rPr>
      </w:pP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D44A32" w:rsidRPr="00D44A32" w:rsidTr="00891783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Dernière référence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612F3" w:rsidRPr="00D44A32" w:rsidRDefault="005416DD" w:rsidP="00D44A3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ocuments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INF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612F3" w:rsidRPr="00D44A32" w:rsidRDefault="005416DD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État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C42784" w:rsidRPr="00D44A32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D44A32">
              <w:rPr>
                <w:rFonts w:cs="Arial"/>
                <w:sz w:val="18"/>
                <w:szCs w:val="18"/>
                <w:lang w:val="fr-FR"/>
              </w:rPr>
              <w:t>EXN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Liste des documents UPOV/INF</w:t>
            </w:r>
            <w:r w:rsidR="00C42784" w:rsidRPr="00D44A32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D44A32">
              <w:rPr>
                <w:rFonts w:cs="Arial"/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20" w:type="dxa"/>
          </w:tcPr>
          <w:p w:rsidR="009612F3" w:rsidRPr="00D44A32" w:rsidRDefault="009612F3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C42784" w:rsidRPr="00D44A32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D44A32">
              <w:rPr>
                <w:rFonts w:cs="Arial"/>
                <w:sz w:val="18"/>
                <w:szCs w:val="18"/>
                <w:lang w:val="fr-FR"/>
              </w:rPr>
              <w:t>EXN/6 adopt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é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n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o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ctob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r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2014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br/>
              <w:t>UPOV/INF</w:t>
            </w:r>
            <w:r w:rsidR="00C42784" w:rsidRPr="00D44A32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EXN/7 Draft 1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Conseil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UPOV/INF/4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Règlement financier et règlement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exécution du Règlement financier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UPOV/INF/4/3 adopté en mars 2013</w:t>
            </w:r>
          </w:p>
          <w:p w:rsidR="00AB6E5A" w:rsidRPr="00D44A32" w:rsidRDefault="00E762F8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Projet de révision du document </w:t>
            </w:r>
            <w:r w:rsidR="00AB6E5A" w:rsidRPr="00D44A32">
              <w:rPr>
                <w:rFonts w:cs="Arial"/>
                <w:sz w:val="18"/>
                <w:szCs w:val="18"/>
                <w:lang w:val="fr-FR"/>
              </w:rPr>
              <w:t xml:space="preserve">UPOV/INF/4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devant être examiné par le 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Conseil en 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AB6E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UPOV/INF/5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Bulletin type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 de la protection des obtentions végétales</w:t>
            </w:r>
          </w:p>
        </w:tc>
        <w:tc>
          <w:tcPr>
            <w:tcW w:w="3920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UPOV/INF/5 adopté en octobre 1979</w:t>
            </w:r>
          </w:p>
          <w:p w:rsidR="009612F3" w:rsidRPr="00D44A32" w:rsidRDefault="00E762F8" w:rsidP="00CF290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Projet de révision du document </w:t>
            </w:r>
            <w:r w:rsidR="00AB6E5A" w:rsidRPr="00D44A32">
              <w:rPr>
                <w:rFonts w:cs="Arial"/>
                <w:sz w:val="18"/>
                <w:szCs w:val="18"/>
                <w:lang w:val="fr-FR"/>
              </w:rPr>
              <w:t xml:space="preserve">UPOV/INF/5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devant être examiné par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 xml:space="preserve"> le 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CAJ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CF2903">
              <w:rPr>
                <w:rFonts w:cs="Arial"/>
                <w:spacing w:val="-2"/>
                <w:sz w:val="18"/>
                <w:szCs w:val="18"/>
                <w:lang w:val="fr-FR"/>
              </w:rPr>
              <w:t>octobre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 20</w:t>
            </w:r>
            <w:r w:rsidR="00AB6E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UPOV/INF/6</w:t>
            </w:r>
          </w:p>
        </w:tc>
        <w:tc>
          <w:tcPr>
            <w:tcW w:w="4807" w:type="dxa"/>
          </w:tcPr>
          <w:p w:rsidR="009612F3" w:rsidRPr="00D44A32" w:rsidRDefault="00E762F8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</w:rPr>
              <w:t>Orientations en vue de la rédaction de lois fondées sur l</w:t>
            </w:r>
            <w:r w:rsidR="00A1605A" w:rsidRPr="00D44A32">
              <w:rPr>
                <w:rFonts w:cs="Arial"/>
                <w:sz w:val="18"/>
                <w:szCs w:val="18"/>
              </w:rPr>
              <w:t>’</w:t>
            </w:r>
            <w:r w:rsidRPr="00D44A32">
              <w:rPr>
                <w:rFonts w:cs="Arial"/>
                <w:sz w:val="18"/>
                <w:szCs w:val="18"/>
              </w:rPr>
              <w:t>Acte de</w:t>
            </w:r>
            <w:r w:rsidR="00365E0C" w:rsidRPr="00D44A32">
              <w:rPr>
                <w:rFonts w:cs="Arial"/>
                <w:sz w:val="18"/>
                <w:szCs w:val="18"/>
              </w:rPr>
              <w:t> </w:t>
            </w:r>
            <w:r w:rsidRPr="00D44A32">
              <w:rPr>
                <w:rFonts w:cs="Arial"/>
                <w:sz w:val="18"/>
                <w:szCs w:val="18"/>
              </w:rPr>
              <w:t xml:space="preserve">1991 de la </w:t>
            </w:r>
            <w:r w:rsidR="00A1605A" w:rsidRPr="00D44A32">
              <w:rPr>
                <w:rFonts w:cs="Arial"/>
                <w:sz w:val="18"/>
                <w:szCs w:val="18"/>
              </w:rPr>
              <w:t>Convention UPOV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UPOV/INF/6/3 adopté en octobre 2013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UPOV/INF/7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Règlement intérieur du Conseil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UPOV/INF/7 adopté en octobre 1982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UPOV/INF/8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Accord entre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Organisation Mondiale de la Propriété Intellectuelle et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Union internationale pour la protection des obtentions végétales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UPOV/INF/8 signé en novembre 1982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UPOV/INF/9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Accord entre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UPOV/INF/9 signé en novembre 1983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UPOV/INF/10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UPOV/INF/10/1 adopté en octobre 2010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UPOV/INF/12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UPOV/INF/12/4 adopté en novembre 2012</w:t>
            </w:r>
          </w:p>
          <w:p w:rsidR="00DF2A30" w:rsidRPr="00D44A32" w:rsidRDefault="00E762F8" w:rsidP="00D44A32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Projet de révision du document 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U</w:t>
            </w:r>
            <w:r w:rsidR="00CF15C3" w:rsidRPr="00D44A32">
              <w:rPr>
                <w:rFonts w:cs="Arial"/>
                <w:sz w:val="18"/>
                <w:szCs w:val="18"/>
                <w:lang w:val="fr-FR"/>
              </w:rPr>
              <w:t>POV/INF/12</w:t>
            </w:r>
            <w:r w:rsidR="00DF2A30" w:rsidRPr="00D44A3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devant être examiné par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 xml:space="preserve"> le 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CAJ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DF2A30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UPOV/INF/13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UPOV/INF/13/1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UPOV/INF/14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orientation destiné aux membres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 concernant la procédure à suivre pour ratifier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365E0C"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Convention UPOV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 ou y adhérer</w:t>
            </w:r>
          </w:p>
        </w:tc>
        <w:tc>
          <w:tcPr>
            <w:tcW w:w="3920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UPOV/INF/14/1 adopté en octobre 2009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UPOV/INF/15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orientation destiné aux membres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 concernant les obligations en cours et les notifications connexes</w:t>
            </w:r>
          </w:p>
        </w:tc>
        <w:tc>
          <w:tcPr>
            <w:tcW w:w="3920" w:type="dxa"/>
          </w:tcPr>
          <w:p w:rsidR="002B18A7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UPOV/INF/15/2 adopté en mars 2013</w:t>
            </w:r>
          </w:p>
          <w:p w:rsidR="009612F3" w:rsidRPr="00D44A32" w:rsidRDefault="00DF2A30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 xml:space="preserve">POV/INF/15/3 Draft 2 </w:t>
            </w:r>
            <w:r w:rsidR="00B81BC2" w:rsidRPr="00D44A32">
              <w:rPr>
                <w:rFonts w:cs="Arial"/>
                <w:sz w:val="18"/>
                <w:szCs w:val="18"/>
                <w:lang w:val="fr-FR"/>
              </w:rPr>
              <w:t>devant être examiné par le Conseil en</w:t>
            </w:r>
            <w:r w:rsidR="00B81BC2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mars 2015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UPOV/INF/16</w:t>
            </w:r>
          </w:p>
        </w:tc>
        <w:tc>
          <w:tcPr>
            <w:tcW w:w="4807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</w:tcPr>
          <w:p w:rsidR="002B18A7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UPOV/INF/16/4 adopté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 xml:space="preserve">n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ctob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r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e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 </w:t>
            </w:r>
            <w:r w:rsidR="009612F3" w:rsidRPr="00D44A32">
              <w:rPr>
                <w:rFonts w:cs="Arial"/>
                <w:sz w:val="18"/>
                <w:szCs w:val="18"/>
                <w:lang w:val="fr-FR"/>
              </w:rPr>
              <w:t>2014</w:t>
            </w:r>
          </w:p>
          <w:p w:rsidR="007F0390" w:rsidRPr="00D44A32" w:rsidRDefault="00E762F8" w:rsidP="00D44A32">
            <w:pPr>
              <w:jc w:val="left"/>
              <w:rPr>
                <w:rFonts w:cs="Arial"/>
                <w:strike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Projet de révision du document </w:t>
            </w:r>
            <w:r w:rsidR="007F0390" w:rsidRPr="00D44A32">
              <w:rPr>
                <w:rFonts w:cs="Arial"/>
                <w:sz w:val="18"/>
                <w:szCs w:val="18"/>
                <w:lang w:val="fr-FR"/>
              </w:rPr>
              <w:t xml:space="preserve">UPOV/INF/16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devant être examiné par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 xml:space="preserve"> le 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CAJ</w:t>
            </w:r>
            <w:r w:rsidR="007F0390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en 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7F0390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E8755A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UPOV/INF/17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Directives concernant les profils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ADN : choix des marqueurs moléculaires et construction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une base de données y relative (“Directives BMT”)</w:t>
            </w:r>
          </w:p>
        </w:tc>
        <w:tc>
          <w:tcPr>
            <w:tcW w:w="3920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UPOV/INF/17/1 adopté en octobre 2010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UPOV/INF/18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Utilisation possible des marqueurs moléculaires dans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examen de la distinction,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homogénéité et de la stabilité (DHS)</w:t>
            </w:r>
          </w:p>
        </w:tc>
        <w:tc>
          <w:tcPr>
            <w:tcW w:w="3920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UPOV/INF/18/1 adopté en octobre 2011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UPOV/INF/19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Règles concernant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observateur auprès des organes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9612F3" w:rsidRPr="00D44A32" w:rsidRDefault="00B81BC2" w:rsidP="00D44A32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iCs/>
                <w:sz w:val="18"/>
                <w:szCs w:val="18"/>
                <w:lang w:val="fr-FR"/>
              </w:rPr>
              <w:t>UPOV/INF/19/1 adopté en novembre 2012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UPOV/INF/20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Règles concernant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accès aux documents de l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9612F3" w:rsidRPr="00D44A32" w:rsidRDefault="00B81BC2" w:rsidP="00D44A32">
            <w:pPr>
              <w:jc w:val="left"/>
              <w:rPr>
                <w:rFonts w:cs="Arial"/>
                <w:iCs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iCs/>
                <w:sz w:val="18"/>
                <w:szCs w:val="18"/>
                <w:lang w:val="fr-FR"/>
              </w:rPr>
              <w:t>UPOV/INF/20/1 adopté en novembre 2012</w:t>
            </w:r>
          </w:p>
        </w:tc>
      </w:tr>
      <w:tr w:rsidR="00D44A32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UPOV/INF/21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Mécanismes extrajudiciaires de règlement des litiges</w:t>
            </w:r>
          </w:p>
        </w:tc>
        <w:tc>
          <w:tcPr>
            <w:tcW w:w="3920" w:type="dxa"/>
          </w:tcPr>
          <w:p w:rsidR="009612F3" w:rsidRPr="00D44A32" w:rsidRDefault="00B81BC2" w:rsidP="00D44A3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>UPOV/INF/21/1 adopté en novembre 2012</w:t>
            </w:r>
          </w:p>
        </w:tc>
      </w:tr>
      <w:tr w:rsidR="009612F3" w:rsidRPr="00D44A32" w:rsidTr="00891783">
        <w:trPr>
          <w:cantSplit/>
          <w:jc w:val="center"/>
        </w:trPr>
        <w:tc>
          <w:tcPr>
            <w:tcW w:w="1758" w:type="dxa"/>
          </w:tcPr>
          <w:p w:rsidR="009612F3" w:rsidRPr="00D44A32" w:rsidRDefault="00B81BC2" w:rsidP="00D44A32">
            <w:pPr>
              <w:rPr>
                <w:sz w:val="18"/>
                <w:szCs w:val="18"/>
                <w:lang w:val="fr-FR"/>
              </w:rPr>
            </w:pPr>
            <w:r w:rsidRPr="00D44A32">
              <w:rPr>
                <w:sz w:val="18"/>
                <w:szCs w:val="18"/>
                <w:lang w:val="fr-FR"/>
              </w:rPr>
              <w:t>UPOV/INF/22</w:t>
            </w:r>
          </w:p>
        </w:tc>
        <w:tc>
          <w:tcPr>
            <w:tcW w:w="4807" w:type="dxa"/>
          </w:tcPr>
          <w:p w:rsidR="009612F3" w:rsidRPr="00D44A32" w:rsidRDefault="00B81BC2" w:rsidP="00D44A32">
            <w:pPr>
              <w:rPr>
                <w:sz w:val="18"/>
                <w:szCs w:val="18"/>
                <w:lang w:val="fr-FR"/>
              </w:rPr>
            </w:pPr>
            <w:r w:rsidRPr="00D44A32">
              <w:rPr>
                <w:sz w:val="18"/>
                <w:szCs w:val="18"/>
                <w:lang w:val="fr-FR"/>
              </w:rPr>
              <w:t>Logiciels et équipements utilisés par les membres de l</w:t>
            </w:r>
            <w:r w:rsidR="00A1605A" w:rsidRPr="00D44A32">
              <w:rPr>
                <w:sz w:val="18"/>
                <w:szCs w:val="18"/>
                <w:lang w:val="fr-FR"/>
              </w:rPr>
              <w:t>’</w:t>
            </w:r>
            <w:r w:rsidRPr="00D44A32">
              <w:rPr>
                <w:sz w:val="18"/>
                <w:szCs w:val="18"/>
                <w:lang w:val="fr-FR"/>
              </w:rPr>
              <w:t>Union</w:t>
            </w:r>
            <w:r w:rsidR="009612F3" w:rsidRPr="00D44A32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20" w:type="dxa"/>
          </w:tcPr>
          <w:p w:rsidR="002B18A7" w:rsidRPr="00D44A32" w:rsidRDefault="00B81BC2" w:rsidP="00D44A32">
            <w:pPr>
              <w:jc w:val="left"/>
              <w:rPr>
                <w:sz w:val="18"/>
                <w:szCs w:val="18"/>
                <w:lang w:val="fr-FR"/>
              </w:rPr>
            </w:pPr>
            <w:r w:rsidRPr="00D44A32">
              <w:rPr>
                <w:sz w:val="18"/>
                <w:szCs w:val="18"/>
                <w:lang w:val="fr-FR"/>
              </w:rPr>
              <w:t>UPOV/INF/22/1 adopté en octobre 2014</w:t>
            </w:r>
          </w:p>
          <w:p w:rsidR="007F0390" w:rsidRPr="00D44A32" w:rsidRDefault="00E762F8" w:rsidP="00D44A32">
            <w:pPr>
              <w:jc w:val="left"/>
              <w:rPr>
                <w:sz w:val="18"/>
                <w:szCs w:val="18"/>
                <w:highlight w:val="yellow"/>
                <w:lang w:val="fr-FR"/>
              </w:rPr>
            </w:pPr>
            <w:r w:rsidRPr="00D44A32">
              <w:rPr>
                <w:rFonts w:cs="Arial"/>
                <w:sz w:val="18"/>
                <w:szCs w:val="18"/>
                <w:lang w:val="fr-FR"/>
              </w:rPr>
              <w:t xml:space="preserve">Projet de révision du document </w:t>
            </w:r>
            <w:r w:rsidR="007F0390" w:rsidRPr="00D44A32">
              <w:rPr>
                <w:rFonts w:cs="Arial"/>
                <w:sz w:val="18"/>
                <w:szCs w:val="18"/>
                <w:lang w:val="fr-FR"/>
              </w:rPr>
              <w:t xml:space="preserve">UPOV/INF/22 </w:t>
            </w:r>
            <w:r w:rsidRPr="00D44A32">
              <w:rPr>
                <w:rFonts w:cs="Arial"/>
                <w:sz w:val="18"/>
                <w:szCs w:val="18"/>
                <w:lang w:val="fr-FR"/>
              </w:rPr>
              <w:t>devant être examiné par</w:t>
            </w:r>
            <w:r w:rsidR="00A1605A" w:rsidRPr="00D44A32">
              <w:rPr>
                <w:rFonts w:cs="Arial"/>
                <w:sz w:val="18"/>
                <w:szCs w:val="18"/>
                <w:lang w:val="fr-FR"/>
              </w:rPr>
              <w:t xml:space="preserve"> le 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CAJ</w:t>
            </w:r>
            <w:r w:rsidRPr="00D44A32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A1605A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7F0390" w:rsidRPr="00D44A32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</w:tbl>
    <w:p w:rsidR="002B18A7" w:rsidRPr="00D44A32" w:rsidRDefault="002B18A7" w:rsidP="00D44A32">
      <w:pPr>
        <w:rPr>
          <w:lang w:val="fr-FR"/>
        </w:rPr>
      </w:pPr>
    </w:p>
    <w:p w:rsidR="002B18A7" w:rsidRPr="00D44A32" w:rsidRDefault="002B18A7" w:rsidP="00D44A32">
      <w:pPr>
        <w:rPr>
          <w:lang w:val="fr-FR"/>
        </w:rPr>
      </w:pPr>
    </w:p>
    <w:p w:rsidR="00171C6B" w:rsidRPr="00D44A32" w:rsidRDefault="00171C6B" w:rsidP="00D44A32">
      <w:pPr>
        <w:jc w:val="right"/>
        <w:rPr>
          <w:lang w:val="fr-FR"/>
        </w:rPr>
      </w:pPr>
      <w:bookmarkStart w:id="32" w:name="_GoBack"/>
      <w:bookmarkEnd w:id="32"/>
      <w:r w:rsidRPr="00D44A32">
        <w:rPr>
          <w:lang w:val="fr-FR"/>
        </w:rPr>
        <w:t>[</w:t>
      </w:r>
      <w:r w:rsidR="00B81BC2" w:rsidRPr="00D44A32">
        <w:rPr>
          <w:lang w:val="fr-FR"/>
        </w:rPr>
        <w:t>Fin de l</w:t>
      </w:r>
      <w:r w:rsidR="00A1605A" w:rsidRPr="00D44A32">
        <w:rPr>
          <w:lang w:val="fr-FR"/>
        </w:rPr>
        <w:t>’</w:t>
      </w:r>
      <w:r w:rsidR="00B81BC2" w:rsidRPr="00D44A32">
        <w:rPr>
          <w:lang w:val="fr-FR"/>
        </w:rPr>
        <w:t>a</w:t>
      </w:r>
      <w:r w:rsidRPr="00D44A32">
        <w:rPr>
          <w:lang w:val="fr-FR"/>
        </w:rPr>
        <w:t>nnex</w:t>
      </w:r>
      <w:r w:rsidR="00B81BC2" w:rsidRPr="00D44A32">
        <w:rPr>
          <w:lang w:val="fr-FR"/>
        </w:rPr>
        <w:t>e</w:t>
      </w:r>
      <w:r w:rsidRPr="00D44A32">
        <w:rPr>
          <w:lang w:val="fr-FR"/>
        </w:rPr>
        <w:t xml:space="preserve"> </w:t>
      </w:r>
      <w:r w:rsidR="00B81BC2" w:rsidRPr="00D44A32">
        <w:rPr>
          <w:lang w:val="fr-FR"/>
        </w:rPr>
        <w:t>et du</w:t>
      </w:r>
      <w:r w:rsidRPr="00D44A32">
        <w:rPr>
          <w:lang w:val="fr-FR"/>
        </w:rPr>
        <w:t xml:space="preserve"> document]</w:t>
      </w:r>
    </w:p>
    <w:sectPr w:rsidR="00171C6B" w:rsidRPr="00D44A32" w:rsidSect="00A1605A">
      <w:headerReference w:type="defaul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DDA" w:rsidRDefault="00355DDA" w:rsidP="009C44BE">
      <w:pPr>
        <w:spacing w:before="120"/>
      </w:pPr>
      <w:r>
        <w:separator/>
      </w:r>
    </w:p>
  </w:endnote>
  <w:endnote w:type="continuationSeparator" w:id="0">
    <w:p w:rsidR="00355DDA" w:rsidRDefault="00355DDA">
      <w:r>
        <w:separator/>
      </w:r>
    </w:p>
    <w:p w:rsidR="00355DDA" w:rsidRPr="00664515" w:rsidRDefault="00355DDA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355DDA" w:rsidRPr="00664515" w:rsidRDefault="00355DDA">
      <w:pPr>
        <w:rPr>
          <w:lang w:val="fr-CH"/>
        </w:rPr>
      </w:pPr>
    </w:p>
    <w:p w:rsidR="00355DDA" w:rsidRPr="00664515" w:rsidRDefault="00355DDA">
      <w:pPr>
        <w:rPr>
          <w:lang w:val="fr-CH"/>
        </w:rPr>
      </w:pPr>
    </w:p>
  </w:endnote>
  <w:endnote w:type="continuationNotice" w:id="1">
    <w:p w:rsidR="00355DDA" w:rsidRPr="00664515" w:rsidRDefault="00355DDA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355DDA" w:rsidRPr="00664515" w:rsidRDefault="00355DDA">
      <w:pPr>
        <w:rPr>
          <w:lang w:val="fr-CH"/>
        </w:rPr>
      </w:pPr>
    </w:p>
    <w:p w:rsidR="00355DDA" w:rsidRPr="00664515" w:rsidRDefault="00355DDA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DA" w:rsidRPr="00987A0D" w:rsidRDefault="00355DDA" w:rsidP="00987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DDA" w:rsidRDefault="00355DDA" w:rsidP="009D690D">
      <w:pPr>
        <w:spacing w:before="120"/>
      </w:pPr>
      <w:r>
        <w:separator/>
      </w:r>
    </w:p>
  </w:footnote>
  <w:footnote w:type="continuationSeparator" w:id="0">
    <w:p w:rsidR="00355DDA" w:rsidRDefault="00355DDA" w:rsidP="00520297">
      <w:pPr>
        <w:spacing w:before="120"/>
        <w:jc w:val="left"/>
      </w:pPr>
      <w:r>
        <w:separator/>
      </w:r>
    </w:p>
  </w:footnote>
  <w:footnote w:type="continuationNotice" w:id="1">
    <w:p w:rsidR="00355DDA" w:rsidRDefault="00355DDA"/>
  </w:footnote>
  <w:footnote w:id="2">
    <w:p w:rsidR="00355DDA" w:rsidRPr="00D44A32" w:rsidRDefault="00355DDA" w:rsidP="009276AB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D44A32">
        <w:rPr>
          <w:lang w:val="fr-FR"/>
        </w:rPr>
        <w:t>Tenue à Genève le 24 octobre 2005.</w:t>
      </w:r>
    </w:p>
  </w:footnote>
  <w:footnote w:id="3">
    <w:p w:rsidR="00355DDA" w:rsidRPr="00D44A32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Voir les paragraphes 8 à 10 du document CAJ/52/4 intitulé “Méthode d’élaboration de matériels d’information concernant l’Acte de 1991 de la Convention UPOV”.</w:t>
      </w:r>
    </w:p>
  </w:footnote>
  <w:footnote w:id="4">
    <w:p w:rsidR="00355DDA" w:rsidRPr="00D44A32" w:rsidRDefault="00355DDA" w:rsidP="003F137F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Voir les paragraphes 11 à 14 du document CAJ/52/4 et le paragraphe 67 du document CAJ/52/5 “Compte rendu”.</w:t>
      </w:r>
    </w:p>
  </w:footnote>
  <w:footnote w:id="5">
    <w:p w:rsidR="00355DDA" w:rsidRPr="00D44A32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Tenue à Genève le 13 octobre 2014.</w:t>
      </w:r>
    </w:p>
  </w:footnote>
  <w:footnote w:id="6">
    <w:p w:rsidR="00355DDA" w:rsidRPr="00D44A32" w:rsidRDefault="00355DDA" w:rsidP="009276AB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Tenue à Genève les 14 et 17 octobre 2014.</w:t>
      </w:r>
    </w:p>
  </w:footnote>
  <w:footnote w:id="7">
    <w:p w:rsidR="00355DDA" w:rsidRPr="00D44A32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Voir les paragraphes 38 à 41 du document CAJ/70/10 “Compte rendu des conclusions”.</w:t>
      </w:r>
    </w:p>
  </w:footnote>
  <w:footnote w:id="8">
    <w:p w:rsidR="00355DDA" w:rsidRPr="00D44A32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D44A32">
        <w:rPr>
          <w:lang w:val="fr-FR"/>
        </w:rPr>
        <w:t>Voir le paragraphe 39 du document CAJ/70/10 “Compte rendu des conclusions”.</w:t>
      </w:r>
    </w:p>
  </w:footnote>
  <w:footnote w:id="9">
    <w:p w:rsidR="00355DDA" w:rsidRPr="00D44A32" w:rsidRDefault="00355DDA" w:rsidP="009276AB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Voir les paragraphes 34 et 35 du document CAJ-AG/14/9/6 "Compte rendu des conclusions".</w:t>
      </w:r>
    </w:p>
  </w:footnote>
  <w:footnote w:id="10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session.</w:t>
      </w:r>
    </w:p>
  </w:footnote>
  <w:footnote w:id="11">
    <w:p w:rsidR="00355DDA" w:rsidRPr="00D44A32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 xml:space="preserve">Voir les paragraphes 26 et 31 du </w:t>
      </w:r>
      <w:r w:rsidRPr="00100B93">
        <w:rPr>
          <w:lang w:val="fr-FR"/>
        </w:rPr>
        <w:t>document CAJ</w:t>
      </w:r>
      <w:r>
        <w:rPr>
          <w:lang w:val="fr-FR"/>
        </w:rPr>
        <w:t>-</w:t>
      </w:r>
      <w:r w:rsidRPr="00100B93">
        <w:rPr>
          <w:lang w:val="fr-FR"/>
        </w:rPr>
        <w:t>AG/14/9</w:t>
      </w:r>
      <w:r w:rsidRPr="00D44A32">
        <w:rPr>
          <w:lang w:val="fr-FR"/>
        </w:rPr>
        <w:t>/6 “Compte rendu des conclusions”.</w:t>
      </w:r>
    </w:p>
  </w:footnote>
  <w:footnote w:id="12">
    <w:p w:rsidR="00355DDA" w:rsidRPr="00100B93" w:rsidRDefault="00355DDA" w:rsidP="009642CF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 w:eastAsia="ja-JP"/>
        </w:rPr>
        <w:tab/>
        <w:t>Prévue à Genève les 26 et 27</w:t>
      </w:r>
      <w:r>
        <w:rPr>
          <w:lang w:val="fr-FR" w:eastAsia="ja-JP"/>
        </w:rPr>
        <w:t> </w:t>
      </w:r>
      <w:r w:rsidRPr="00100B93">
        <w:rPr>
          <w:lang w:val="fr-FR" w:eastAsia="ja-JP"/>
        </w:rPr>
        <w:t>octobre</w:t>
      </w:r>
      <w:r>
        <w:rPr>
          <w:lang w:val="fr-FR" w:eastAsia="ja-JP"/>
        </w:rPr>
        <w:t> </w:t>
      </w:r>
      <w:r w:rsidRPr="00100B93">
        <w:rPr>
          <w:lang w:val="fr-FR" w:eastAsia="ja-JP"/>
        </w:rPr>
        <w:t>2015.</w:t>
      </w:r>
    </w:p>
  </w:footnote>
  <w:footnote w:id="13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session.</w:t>
      </w:r>
    </w:p>
  </w:footnote>
  <w:footnote w:id="14">
    <w:p w:rsidR="00355DDA" w:rsidRPr="00100B93" w:rsidRDefault="00355DDA">
      <w:pPr>
        <w:pStyle w:val="FootnoteText"/>
        <w:rPr>
          <w:highlight w:val="yellow"/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Voir les paragraphes 7 et 8 du document CAJ</w:t>
      </w:r>
      <w:r>
        <w:rPr>
          <w:lang w:val="fr-FR"/>
        </w:rPr>
        <w:t>-</w:t>
      </w:r>
      <w:r w:rsidRPr="00100B93">
        <w:rPr>
          <w:lang w:val="fr-FR"/>
        </w:rPr>
        <w:t>AG/14/9/6 “Compte rendu des conclusions”.</w:t>
      </w:r>
    </w:p>
  </w:footnote>
  <w:footnote w:id="15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session.</w:t>
      </w:r>
    </w:p>
  </w:footnote>
  <w:footnote w:id="16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Voir les paragraphes 9 and 10 du document CAJ</w:t>
      </w:r>
      <w:r>
        <w:rPr>
          <w:lang w:val="fr-FR"/>
        </w:rPr>
        <w:t>-</w:t>
      </w:r>
      <w:r w:rsidRPr="00100B93">
        <w:rPr>
          <w:lang w:val="fr-FR"/>
        </w:rPr>
        <w:t>AG/14/9/6 “Compte rendu des conclusions”.</w:t>
      </w:r>
    </w:p>
  </w:footnote>
  <w:footnote w:id="17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</w:t>
      </w:r>
      <w:r>
        <w:rPr>
          <w:lang w:val="fr-FR"/>
        </w:rPr>
        <w:t>.</w:t>
      </w:r>
    </w:p>
  </w:footnote>
  <w:footnote w:id="18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>Voir les paragraphes 11 et 12 du</w:t>
      </w:r>
      <w:r w:rsidRPr="00100B93">
        <w:rPr>
          <w:lang w:val="fr-FR"/>
        </w:rPr>
        <w:t xml:space="preserve"> document CAJ</w:t>
      </w:r>
      <w:r>
        <w:rPr>
          <w:lang w:val="fr-FR"/>
        </w:rPr>
        <w:t>-</w:t>
      </w:r>
      <w:r w:rsidRPr="00100B93">
        <w:rPr>
          <w:lang w:val="fr-FR"/>
        </w:rPr>
        <w:t>AG/14/9/6 “Compte rendu des conclusions”.</w:t>
      </w:r>
    </w:p>
  </w:footnote>
  <w:footnote w:id="19">
    <w:p w:rsidR="00355DDA" w:rsidRPr="00D44A32" w:rsidRDefault="00355DDA" w:rsidP="00855B17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D44A32">
        <w:rPr>
          <w:lang w:val="fr-FR"/>
        </w:rPr>
        <w:t>Tenue à Genève le 10 avril 2014.</w:t>
      </w:r>
    </w:p>
  </w:footnote>
  <w:footnote w:id="20">
    <w:p w:rsidR="00355DDA" w:rsidRPr="00D44A32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</w:r>
      <w:r w:rsidRPr="00D44A32">
        <w:rPr>
          <w:rFonts w:cs="Arial"/>
          <w:lang w:val="fr-FR"/>
        </w:rPr>
        <w:t>Voir le paragraphe 19 du document CAJ/69/13 “</w:t>
      </w:r>
      <w:r w:rsidRPr="00D44A32">
        <w:rPr>
          <w:lang w:val="fr-FR"/>
        </w:rPr>
        <w:t>Compte rendu</w:t>
      </w:r>
      <w:r w:rsidRPr="00D44A32">
        <w:rPr>
          <w:rFonts w:cs="Arial"/>
          <w:lang w:val="fr-FR"/>
        </w:rPr>
        <w:t>”.</w:t>
      </w:r>
    </w:p>
  </w:footnote>
  <w:footnote w:id="21">
    <w:p w:rsidR="00355DDA" w:rsidRPr="00D44A32" w:rsidRDefault="00355DDA" w:rsidP="00855B17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D44A32">
        <w:rPr>
          <w:lang w:val="fr-FR"/>
        </w:rPr>
        <w:t>“Si le caractère est important pour l’harmonisation internationale des descriptions variétales (caractère avec astérisque) et s’il est influencé par le milieu (comme la plupart des caractères qualitatifs et pseudo-qualitatifs) […..] il est nécessaire d’indiquer des variétés à titre d’exemples” dans les principes directeurs d’examen (voir le paragraphe 3.3.iii) de la note indicative GN 28 “Variétés indiquées à titre d’exemples”, à l’annexe 3 du document TGP/7).</w:t>
      </w:r>
    </w:p>
    <w:p w:rsidR="00355DDA" w:rsidRPr="00D44A32" w:rsidRDefault="00355DDA" w:rsidP="00855B17">
      <w:pPr>
        <w:pStyle w:val="FootnoteText"/>
        <w:rPr>
          <w:lang w:val="fr-FR"/>
        </w:rPr>
      </w:pPr>
      <w:r w:rsidRPr="00D44A32">
        <w:rPr>
          <w:lang w:val="fr-FR"/>
        </w:rPr>
        <w:tab/>
        <w:t>“1.2.3 Les variétés indiquées à titre d’exemples sont importantes pour corriger dans la mesure du possible les variations de l’expression des caractères dues à l’année et au milieu.  […] ” (voir le paragraphe 1.2.3 de la note indicative GN 28 “Variétés indiquées à titre d’exemples”, à l’annexe 3 du document TGP/7)</w:t>
      </w:r>
    </w:p>
  </w:footnote>
  <w:footnote w:id="22">
    <w:p w:rsidR="00355DDA" w:rsidRPr="00D44A32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À sa neuvième session.</w:t>
      </w:r>
    </w:p>
  </w:footnote>
  <w:footnote w:id="23">
    <w:p w:rsidR="00355DDA" w:rsidRPr="00100B93" w:rsidRDefault="00355DDA">
      <w:pPr>
        <w:pStyle w:val="FootnoteText"/>
        <w:rPr>
          <w:lang w:val="fr-FR"/>
        </w:rPr>
      </w:pPr>
      <w:r w:rsidRPr="00D44A32">
        <w:rPr>
          <w:rStyle w:val="FootnoteReference"/>
          <w:lang w:val="fr-FR"/>
        </w:rPr>
        <w:footnoteRef/>
      </w:r>
      <w:r w:rsidRPr="00D44A32">
        <w:rPr>
          <w:lang w:val="fr-FR"/>
        </w:rPr>
        <w:t xml:space="preserve"> </w:t>
      </w:r>
      <w:r w:rsidRPr="00D44A32">
        <w:rPr>
          <w:lang w:val="fr-FR"/>
        </w:rPr>
        <w:tab/>
        <w:t>Voir les paragraphes 13 et 14 du document CAJ</w:t>
      </w:r>
      <w:r>
        <w:rPr>
          <w:lang w:val="fr-FR"/>
        </w:rPr>
        <w:t>-</w:t>
      </w:r>
      <w:r w:rsidRPr="00100B93">
        <w:rPr>
          <w:lang w:val="fr-FR"/>
        </w:rPr>
        <w:t>AG/14/9/6 “Compte rendu des conclusions”.</w:t>
      </w:r>
    </w:p>
  </w:footnote>
  <w:footnote w:id="24">
    <w:p w:rsidR="00355DDA" w:rsidRPr="00100B93" w:rsidRDefault="00355DDA" w:rsidP="00072AD8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session.</w:t>
      </w:r>
    </w:p>
  </w:footnote>
  <w:footnote w:id="25">
    <w:p w:rsidR="00355DDA" w:rsidRPr="00100B93" w:rsidRDefault="00355DDA" w:rsidP="00072AD8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>Voir les paragraphes 24 et 25 du</w:t>
      </w:r>
      <w:r w:rsidRPr="00100B93">
        <w:rPr>
          <w:lang w:val="fr-FR"/>
        </w:rPr>
        <w:t xml:space="preserve"> document CAJ</w:t>
      </w:r>
      <w:r>
        <w:rPr>
          <w:lang w:val="fr-FR"/>
        </w:rPr>
        <w:t>-</w:t>
      </w:r>
      <w:r w:rsidRPr="00100B93">
        <w:rPr>
          <w:lang w:val="fr-FR"/>
        </w:rPr>
        <w:t>AG/14/9/6 “</w:t>
      </w:r>
      <w:r>
        <w:rPr>
          <w:lang w:val="fr-FR"/>
        </w:rPr>
        <w:t>Compte rendu des conclusions</w:t>
      </w:r>
      <w:r w:rsidRPr="00100B93">
        <w:rPr>
          <w:lang w:val="fr-FR"/>
        </w:rPr>
        <w:t>”.</w:t>
      </w:r>
    </w:p>
  </w:footnote>
  <w:footnote w:id="26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>Tenue à Genève les 21 et 25 octobre </w:t>
      </w:r>
      <w:r w:rsidRPr="00100B93">
        <w:rPr>
          <w:snapToGrid w:val="0"/>
          <w:lang w:val="fr-FR"/>
        </w:rPr>
        <w:t>2013,</w:t>
      </w:r>
    </w:p>
  </w:footnote>
  <w:footnote w:id="27">
    <w:p w:rsidR="00355DDA" w:rsidRPr="00100B93" w:rsidRDefault="00355DDA" w:rsidP="00E831EC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 xml:space="preserve">Sur la base des cas </w:t>
      </w:r>
      <w:r w:rsidRPr="00100B93">
        <w:rPr>
          <w:lang w:val="fr-FR"/>
        </w:rPr>
        <w:t xml:space="preserve">3 </w:t>
      </w:r>
      <w:r>
        <w:rPr>
          <w:lang w:val="fr-FR"/>
        </w:rPr>
        <w:t>et</w:t>
      </w:r>
      <w:r w:rsidRPr="00100B93">
        <w:rPr>
          <w:lang w:val="fr-FR"/>
        </w:rPr>
        <w:t xml:space="preserve"> 4 </w:t>
      </w:r>
      <w:r>
        <w:rPr>
          <w:lang w:val="fr-FR"/>
        </w:rPr>
        <w:t>présentés dans l’appendice 1 de l’a</w:t>
      </w:r>
      <w:r w:rsidRPr="00100B93">
        <w:rPr>
          <w:lang w:val="fr-FR"/>
        </w:rPr>
        <w:t>nnex</w:t>
      </w:r>
      <w:r>
        <w:rPr>
          <w:lang w:val="fr-FR"/>
        </w:rPr>
        <w:t>e</w:t>
      </w:r>
      <w:r w:rsidRPr="00100B93">
        <w:rPr>
          <w:lang w:val="fr-FR"/>
        </w:rPr>
        <w:t xml:space="preserve"> I </w:t>
      </w:r>
      <w:r>
        <w:rPr>
          <w:lang w:val="fr-FR"/>
        </w:rPr>
        <w:t>du</w:t>
      </w:r>
      <w:r w:rsidRPr="00100B93">
        <w:rPr>
          <w:lang w:val="fr-FR"/>
        </w:rPr>
        <w:t xml:space="preserve"> document </w:t>
      </w:r>
      <w:r w:rsidRPr="00100B93">
        <w:rPr>
          <w:snapToGrid w:val="0"/>
          <w:lang w:val="fr-FR"/>
        </w:rPr>
        <w:t>CAJ</w:t>
      </w:r>
      <w:r>
        <w:rPr>
          <w:snapToGrid w:val="0"/>
          <w:lang w:val="fr-FR"/>
        </w:rPr>
        <w:t>-</w:t>
      </w:r>
      <w:r w:rsidRPr="00100B93">
        <w:rPr>
          <w:snapToGrid w:val="0"/>
          <w:lang w:val="fr-FR"/>
        </w:rPr>
        <w:t xml:space="preserve">AG/11/6/4 </w:t>
      </w:r>
      <w:r>
        <w:rPr>
          <w:snapToGrid w:val="0"/>
          <w:lang w:val="fr-FR"/>
        </w:rPr>
        <w:t xml:space="preserve">et dans les </w:t>
      </w:r>
      <w:r w:rsidRPr="00100B93">
        <w:rPr>
          <w:lang w:val="fr-FR"/>
        </w:rPr>
        <w:t>paragraph</w:t>
      </w:r>
      <w:r>
        <w:rPr>
          <w:lang w:val="fr-FR"/>
        </w:rPr>
        <w:t>e</w:t>
      </w:r>
      <w:r w:rsidRPr="00100B93">
        <w:rPr>
          <w:lang w:val="fr-FR"/>
        </w:rPr>
        <w:t xml:space="preserve">s 9 </w:t>
      </w:r>
      <w:r>
        <w:rPr>
          <w:lang w:val="fr-FR"/>
        </w:rPr>
        <w:t xml:space="preserve">et </w:t>
      </w:r>
      <w:r w:rsidRPr="00100B93">
        <w:rPr>
          <w:lang w:val="fr-FR"/>
        </w:rPr>
        <w:t xml:space="preserve">10 </w:t>
      </w:r>
      <w:r>
        <w:rPr>
          <w:lang w:val="fr-FR"/>
        </w:rPr>
        <w:t xml:space="preserve">du </w:t>
      </w:r>
      <w:r w:rsidRPr="00100B93">
        <w:rPr>
          <w:lang w:val="fr-FR"/>
        </w:rPr>
        <w:t>document CAJ/60/8.</w:t>
      </w:r>
    </w:p>
  </w:footnote>
  <w:footnote w:id="28">
    <w:p w:rsidR="00355DDA" w:rsidRPr="005E5D94" w:rsidRDefault="00355DDA" w:rsidP="00541A67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 </w:t>
      </w:r>
      <w:r w:rsidRPr="00100B93">
        <w:rPr>
          <w:lang w:val="fr-FR"/>
        </w:rPr>
        <w:tab/>
      </w:r>
      <w:r w:rsidRPr="005E5D94">
        <w:rPr>
          <w:lang w:val="fr-FR"/>
        </w:rPr>
        <w:t>Tenue à Genève le 10 avril 2014.</w:t>
      </w:r>
    </w:p>
  </w:footnote>
  <w:footnote w:id="29">
    <w:p w:rsidR="00355DDA" w:rsidRPr="00100B93" w:rsidRDefault="00355DDA" w:rsidP="00E831EC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 </w:t>
      </w:r>
      <w:r w:rsidRPr="00100B93">
        <w:rPr>
          <w:lang w:val="fr-FR"/>
        </w:rPr>
        <w:tab/>
      </w:r>
      <w:r>
        <w:rPr>
          <w:lang w:val="fr-FR"/>
        </w:rPr>
        <w:t>Voir le paragraphe 18 du</w:t>
      </w:r>
      <w:r w:rsidRPr="00100B93">
        <w:rPr>
          <w:lang w:val="fr-FR"/>
        </w:rPr>
        <w:t xml:space="preserve"> document CAJ/69/13 “</w:t>
      </w:r>
      <w:r>
        <w:rPr>
          <w:lang w:val="fr-FR"/>
        </w:rPr>
        <w:t>Compte rendu</w:t>
      </w:r>
      <w:r w:rsidRPr="00100B93">
        <w:rPr>
          <w:lang w:val="fr-FR"/>
        </w:rPr>
        <w:t>”.</w:t>
      </w:r>
    </w:p>
  </w:footnote>
  <w:footnote w:id="30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  <w:t>À sa neuvième session.</w:t>
      </w:r>
    </w:p>
  </w:footnote>
  <w:footnote w:id="31">
    <w:p w:rsidR="00355DDA" w:rsidRPr="00100B93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>
        <w:rPr>
          <w:lang w:val="fr-FR"/>
        </w:rPr>
        <w:t>Voir les paragraphes 19 et 20 du</w:t>
      </w:r>
      <w:r w:rsidRPr="00100B93">
        <w:rPr>
          <w:lang w:val="fr-FR"/>
        </w:rPr>
        <w:t xml:space="preserve"> document CAJ</w:t>
      </w:r>
      <w:r>
        <w:rPr>
          <w:lang w:val="fr-FR"/>
        </w:rPr>
        <w:t>-</w:t>
      </w:r>
      <w:r w:rsidRPr="00100B93">
        <w:rPr>
          <w:lang w:val="fr-FR"/>
        </w:rPr>
        <w:t>AG/14/9/6 “</w:t>
      </w:r>
      <w:r>
        <w:rPr>
          <w:lang w:val="fr-FR"/>
        </w:rPr>
        <w:t>Compte rendu des conclusions”</w:t>
      </w:r>
      <w:r w:rsidRPr="00100B93">
        <w:rPr>
          <w:lang w:val="fr-FR"/>
        </w:rPr>
        <w:t>.</w:t>
      </w:r>
    </w:p>
  </w:footnote>
  <w:footnote w:id="32">
    <w:p w:rsidR="00355DDA" w:rsidRPr="005E5D94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5E5D94">
        <w:rPr>
          <w:lang w:val="fr-FR"/>
        </w:rPr>
        <w:t>À sa neuvième session.</w:t>
      </w:r>
    </w:p>
  </w:footnote>
  <w:footnote w:id="33">
    <w:p w:rsidR="00355DDA" w:rsidRPr="005E5D94" w:rsidRDefault="00355DDA" w:rsidP="00057C6A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 21 du document CAJ-AG/14/9/6 “Compte rendu des conclusions”.</w:t>
      </w:r>
    </w:p>
  </w:footnote>
  <w:footnote w:id="34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 22 du document CAJ-AG/14/9/6 “Compte rendu des conclusions”.</w:t>
      </w:r>
    </w:p>
  </w:footnote>
  <w:footnote w:id="35">
    <w:p w:rsidR="00355DDA" w:rsidRPr="005E5D94" w:rsidRDefault="00355DDA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5E5D94">
        <w:rPr>
          <w:lang w:val="fr-FR"/>
        </w:rPr>
        <w:t>À sa neuvième session</w:t>
      </w:r>
      <w:r w:rsidRPr="005E5D94">
        <w:rPr>
          <w:rFonts w:cs="Arial"/>
          <w:lang w:val="fr-FR"/>
        </w:rPr>
        <w:t>.</w:t>
      </w:r>
    </w:p>
  </w:footnote>
  <w:footnote w:id="36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 32 du document CAJ-AG/14/9/6 “Compte rendu des conclusions”.</w:t>
      </w:r>
    </w:p>
  </w:footnote>
  <w:footnote w:id="37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les paragraphes 38 à 41 du document CAJ/70/10 “Compte rendu des conclusions”.</w:t>
      </w:r>
    </w:p>
  </w:footnote>
  <w:footnote w:id="38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 33 du document CAJ-AG/14/9/6 “Compte rendu des conclusions”.</w:t>
      </w:r>
    </w:p>
  </w:footnote>
  <w:footnote w:id="39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Tenue à Genève le 13 octobre 2014.</w:t>
      </w:r>
    </w:p>
  </w:footnote>
  <w:footnote w:id="40">
    <w:p w:rsidR="00355DDA" w:rsidRPr="005E5D94" w:rsidRDefault="00355DDA" w:rsidP="007909DD">
      <w:pPr>
        <w:pStyle w:val="FootnoteText"/>
        <w:rPr>
          <w:lang w:val="fr-FR"/>
        </w:rPr>
      </w:pPr>
      <w:r w:rsidRPr="00100B93">
        <w:rPr>
          <w:rStyle w:val="FootnoteReference"/>
          <w:lang w:val="fr-FR"/>
        </w:rPr>
        <w:footnoteRef/>
      </w:r>
      <w:r w:rsidRPr="00100B93">
        <w:rPr>
          <w:lang w:val="fr-FR"/>
        </w:rPr>
        <w:t xml:space="preserve"> </w:t>
      </w:r>
      <w:r w:rsidRPr="00100B93">
        <w:rPr>
          <w:lang w:val="fr-FR"/>
        </w:rPr>
        <w:tab/>
      </w:r>
      <w:r w:rsidRPr="005E5D94">
        <w:rPr>
          <w:lang w:val="fr-FR"/>
        </w:rPr>
        <w:t>Tenue à Genève le 16 octobre 2014.</w:t>
      </w:r>
    </w:p>
  </w:footnote>
  <w:footnote w:id="41">
    <w:p w:rsidR="00355DDA" w:rsidRPr="005E5D94" w:rsidRDefault="00355DDA" w:rsidP="00461396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Tenue à Genève les 15 et 16 octobre 2014.</w:t>
      </w:r>
    </w:p>
  </w:footnote>
  <w:footnote w:id="42">
    <w:p w:rsidR="00355DDA" w:rsidRPr="005E5D94" w:rsidRDefault="00355DDA" w:rsidP="00461396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 61 du document C/48/19.</w:t>
      </w:r>
    </w:p>
  </w:footnote>
  <w:footnote w:id="43">
    <w:p w:rsidR="00355DDA" w:rsidRPr="005E5D94" w:rsidRDefault="00355DDA" w:rsidP="00300EE2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Tenue le 13 octobre 2014.</w:t>
      </w:r>
    </w:p>
  </w:footnote>
  <w:footnote w:id="44">
    <w:p w:rsidR="00355DDA" w:rsidRPr="005E5D94" w:rsidRDefault="00355DDA" w:rsidP="007909DD">
      <w:pPr>
        <w:pStyle w:val="FootnoteText"/>
        <w:rPr>
          <w:lang w:val="fr-FR"/>
        </w:rPr>
      </w:pPr>
      <w:r w:rsidRPr="005E5D94">
        <w:rPr>
          <w:rStyle w:val="FootnoteReference"/>
          <w:lang w:val="fr-FR"/>
        </w:rPr>
        <w:footnoteRef/>
      </w:r>
      <w:r w:rsidRPr="005E5D94">
        <w:rPr>
          <w:lang w:val="fr-FR"/>
        </w:rPr>
        <w:t xml:space="preserve"> </w:t>
      </w:r>
      <w:r w:rsidRPr="005E5D94">
        <w:rPr>
          <w:lang w:val="fr-FR"/>
        </w:rPr>
        <w:tab/>
        <w:t>Voir le paragraphe 19 du document CAJ/70/10 “Compte rendu des conclusions”.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DA" w:rsidRDefault="00355DDA">
    <w:pPr>
      <w:jc w:val="center"/>
    </w:pPr>
    <w:r>
      <w:t>CAJ/71/2</w:t>
    </w:r>
  </w:p>
  <w:p w:rsidR="00355DDA" w:rsidRDefault="00355DDA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5A2AB5">
      <w:rPr>
        <w:noProof/>
      </w:rPr>
      <w:t>17</w:t>
    </w:r>
    <w:r>
      <w:fldChar w:fldCharType="end"/>
    </w:r>
  </w:p>
  <w:p w:rsidR="00355DDA" w:rsidRDefault="00355DDA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DDA" w:rsidRPr="00997029" w:rsidRDefault="00355DDA" w:rsidP="00E23920">
    <w:pPr>
      <w:jc w:val="center"/>
      <w:rPr>
        <w:rStyle w:val="PageNumber"/>
      </w:rPr>
    </w:pPr>
    <w:r>
      <w:rPr>
        <w:rStyle w:val="PageNumber"/>
      </w:rPr>
      <w:t>CAJ/71/2</w:t>
    </w:r>
  </w:p>
  <w:p w:rsidR="00355DDA" w:rsidRPr="00997029" w:rsidRDefault="00355DDA" w:rsidP="00E23920">
    <w:pPr>
      <w:jc w:val="cent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5A2AB5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355DDA" w:rsidRPr="00997029" w:rsidRDefault="00355DDA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03FE"/>
    <w:multiLevelType w:val="hybridMultilevel"/>
    <w:tmpl w:val="C0D2B172"/>
    <w:lvl w:ilvl="0" w:tplc="72628AC2">
      <w:start w:val="1"/>
      <w:numFmt w:val="lowerLetter"/>
      <w:lvlText w:val="(%1)"/>
      <w:lvlJc w:val="left"/>
      <w:pPr>
        <w:ind w:left="68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597" w:hanging="360"/>
      </w:pPr>
    </w:lvl>
    <w:lvl w:ilvl="2" w:tplc="0409001B" w:tentative="1">
      <w:start w:val="1"/>
      <w:numFmt w:val="lowerRoman"/>
      <w:lvlText w:val="%3."/>
      <w:lvlJc w:val="right"/>
      <w:pPr>
        <w:ind w:left="8317" w:hanging="180"/>
      </w:pPr>
    </w:lvl>
    <w:lvl w:ilvl="3" w:tplc="0409000F" w:tentative="1">
      <w:start w:val="1"/>
      <w:numFmt w:val="decimal"/>
      <w:lvlText w:val="%4."/>
      <w:lvlJc w:val="left"/>
      <w:pPr>
        <w:ind w:left="9037" w:hanging="360"/>
      </w:pPr>
    </w:lvl>
    <w:lvl w:ilvl="4" w:tplc="04090019" w:tentative="1">
      <w:start w:val="1"/>
      <w:numFmt w:val="lowerLetter"/>
      <w:lvlText w:val="%5."/>
      <w:lvlJc w:val="left"/>
      <w:pPr>
        <w:ind w:left="9757" w:hanging="360"/>
      </w:pPr>
    </w:lvl>
    <w:lvl w:ilvl="5" w:tplc="0409001B" w:tentative="1">
      <w:start w:val="1"/>
      <w:numFmt w:val="lowerRoman"/>
      <w:lvlText w:val="%6."/>
      <w:lvlJc w:val="right"/>
      <w:pPr>
        <w:ind w:left="10477" w:hanging="180"/>
      </w:pPr>
    </w:lvl>
    <w:lvl w:ilvl="6" w:tplc="0409000F" w:tentative="1">
      <w:start w:val="1"/>
      <w:numFmt w:val="decimal"/>
      <w:lvlText w:val="%7."/>
      <w:lvlJc w:val="left"/>
      <w:pPr>
        <w:ind w:left="11197" w:hanging="360"/>
      </w:pPr>
    </w:lvl>
    <w:lvl w:ilvl="7" w:tplc="04090019" w:tentative="1">
      <w:start w:val="1"/>
      <w:numFmt w:val="lowerLetter"/>
      <w:lvlText w:val="%8."/>
      <w:lvlJc w:val="left"/>
      <w:pPr>
        <w:ind w:left="11917" w:hanging="360"/>
      </w:pPr>
    </w:lvl>
    <w:lvl w:ilvl="8" w:tplc="0409001B" w:tentative="1">
      <w:start w:val="1"/>
      <w:numFmt w:val="lowerRoman"/>
      <w:lvlText w:val="%9."/>
      <w:lvlJc w:val="right"/>
      <w:pPr>
        <w:ind w:left="12637" w:hanging="180"/>
      </w:pPr>
    </w:lvl>
  </w:abstractNum>
  <w:abstractNum w:abstractNumId="1">
    <w:nsid w:val="18FE102A"/>
    <w:multiLevelType w:val="hybridMultilevel"/>
    <w:tmpl w:val="1DDE27F2"/>
    <w:lvl w:ilvl="0" w:tplc="6250EDE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7A48F3"/>
    <w:multiLevelType w:val="hybridMultilevel"/>
    <w:tmpl w:val="2A928814"/>
    <w:lvl w:ilvl="0" w:tplc="D8F6F8CA">
      <w:start w:val="1"/>
      <w:numFmt w:val="lowerRoman"/>
      <w:lvlText w:val="%1)"/>
      <w:lvlJc w:val="left"/>
      <w:pPr>
        <w:ind w:left="55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900" w:hanging="360"/>
      </w:pPr>
    </w:lvl>
    <w:lvl w:ilvl="2" w:tplc="040C001B" w:tentative="1">
      <w:start w:val="1"/>
      <w:numFmt w:val="lowerRoman"/>
      <w:lvlText w:val="%3."/>
      <w:lvlJc w:val="right"/>
      <w:pPr>
        <w:ind w:left="6620" w:hanging="180"/>
      </w:pPr>
    </w:lvl>
    <w:lvl w:ilvl="3" w:tplc="040C000F" w:tentative="1">
      <w:start w:val="1"/>
      <w:numFmt w:val="decimal"/>
      <w:lvlText w:val="%4."/>
      <w:lvlJc w:val="left"/>
      <w:pPr>
        <w:ind w:left="7340" w:hanging="360"/>
      </w:pPr>
    </w:lvl>
    <w:lvl w:ilvl="4" w:tplc="040C0019" w:tentative="1">
      <w:start w:val="1"/>
      <w:numFmt w:val="lowerLetter"/>
      <w:lvlText w:val="%5."/>
      <w:lvlJc w:val="left"/>
      <w:pPr>
        <w:ind w:left="8060" w:hanging="360"/>
      </w:pPr>
    </w:lvl>
    <w:lvl w:ilvl="5" w:tplc="040C001B" w:tentative="1">
      <w:start w:val="1"/>
      <w:numFmt w:val="lowerRoman"/>
      <w:lvlText w:val="%6."/>
      <w:lvlJc w:val="right"/>
      <w:pPr>
        <w:ind w:left="8780" w:hanging="180"/>
      </w:pPr>
    </w:lvl>
    <w:lvl w:ilvl="6" w:tplc="040C000F" w:tentative="1">
      <w:start w:val="1"/>
      <w:numFmt w:val="decimal"/>
      <w:lvlText w:val="%7."/>
      <w:lvlJc w:val="left"/>
      <w:pPr>
        <w:ind w:left="9500" w:hanging="360"/>
      </w:pPr>
    </w:lvl>
    <w:lvl w:ilvl="7" w:tplc="040C0019" w:tentative="1">
      <w:start w:val="1"/>
      <w:numFmt w:val="lowerLetter"/>
      <w:lvlText w:val="%8."/>
      <w:lvlJc w:val="left"/>
      <w:pPr>
        <w:ind w:left="10220" w:hanging="360"/>
      </w:pPr>
    </w:lvl>
    <w:lvl w:ilvl="8" w:tplc="040C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3CAD79CE"/>
    <w:multiLevelType w:val="hybridMultilevel"/>
    <w:tmpl w:val="F326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268D"/>
    <w:multiLevelType w:val="hybridMultilevel"/>
    <w:tmpl w:val="659C8BEA"/>
    <w:lvl w:ilvl="0" w:tplc="9C74812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92F8B"/>
    <w:multiLevelType w:val="hybridMultilevel"/>
    <w:tmpl w:val="9C668BE2"/>
    <w:lvl w:ilvl="0" w:tplc="D158AF32">
      <w:start w:val="1"/>
      <w:numFmt w:val="lowerLetter"/>
      <w:lvlText w:val="(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Trademarks\Meetings|Trademarks\Other|Trademarks\Publications|Patents\Meetings|Patents\Other|Patents\Publications|IP in General\Academy|IP in General\Arbitration and Mediation|IP in General\Meetings|IP in General\Other|IP in General\Press Room|IP in General\Publications|IP in General\SpeechDG2014|Glossaries\EN-FR|Copyright\Meetings|Copyright\Other|Copyright\Publications|Budget and Finance\Meetings|Budget and Finance\Other|Budget and Finance\Publications|Administrative\Meetings|Administrative\Other|Administrative\Publications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"/>
    <w:docVar w:name="TextBaseURL" w:val="empty"/>
    <w:docVar w:name="UILng" w:val="en"/>
  </w:docVars>
  <w:rsids>
    <w:rsidRoot w:val="0041524B"/>
    <w:rsid w:val="00001380"/>
    <w:rsid w:val="00001D48"/>
    <w:rsid w:val="000024FD"/>
    <w:rsid w:val="00006A57"/>
    <w:rsid w:val="00010CF3"/>
    <w:rsid w:val="00011E27"/>
    <w:rsid w:val="00014285"/>
    <w:rsid w:val="000148BC"/>
    <w:rsid w:val="00016155"/>
    <w:rsid w:val="0001630D"/>
    <w:rsid w:val="00024AB8"/>
    <w:rsid w:val="00036028"/>
    <w:rsid w:val="000446B9"/>
    <w:rsid w:val="00047E21"/>
    <w:rsid w:val="000571C2"/>
    <w:rsid w:val="00057C6A"/>
    <w:rsid w:val="0006472C"/>
    <w:rsid w:val="00072AD8"/>
    <w:rsid w:val="000758CE"/>
    <w:rsid w:val="00075BFC"/>
    <w:rsid w:val="00085505"/>
    <w:rsid w:val="0009466C"/>
    <w:rsid w:val="00094E86"/>
    <w:rsid w:val="000962D3"/>
    <w:rsid w:val="000965E1"/>
    <w:rsid w:val="000B713C"/>
    <w:rsid w:val="000C38DC"/>
    <w:rsid w:val="000C7021"/>
    <w:rsid w:val="000D0D32"/>
    <w:rsid w:val="000D0DCB"/>
    <w:rsid w:val="000D492E"/>
    <w:rsid w:val="000D6BBC"/>
    <w:rsid w:val="000D7780"/>
    <w:rsid w:val="00100B93"/>
    <w:rsid w:val="00105929"/>
    <w:rsid w:val="00110481"/>
    <w:rsid w:val="001129EA"/>
    <w:rsid w:val="001131D5"/>
    <w:rsid w:val="00131904"/>
    <w:rsid w:val="00141DB8"/>
    <w:rsid w:val="00155A3B"/>
    <w:rsid w:val="00155F6F"/>
    <w:rsid w:val="00171C6B"/>
    <w:rsid w:val="0017474A"/>
    <w:rsid w:val="001758C6"/>
    <w:rsid w:val="00197FE8"/>
    <w:rsid w:val="001C03D4"/>
    <w:rsid w:val="001C20A6"/>
    <w:rsid w:val="001C26D9"/>
    <w:rsid w:val="001C3DF3"/>
    <w:rsid w:val="001C7E73"/>
    <w:rsid w:val="001F1F2A"/>
    <w:rsid w:val="00200B26"/>
    <w:rsid w:val="0021332C"/>
    <w:rsid w:val="00213982"/>
    <w:rsid w:val="00225955"/>
    <w:rsid w:val="00232C2F"/>
    <w:rsid w:val="00237C7D"/>
    <w:rsid w:val="0024416D"/>
    <w:rsid w:val="0024570C"/>
    <w:rsid w:val="002618EB"/>
    <w:rsid w:val="00270E13"/>
    <w:rsid w:val="0027309C"/>
    <w:rsid w:val="002800A0"/>
    <w:rsid w:val="00280209"/>
    <w:rsid w:val="00280480"/>
    <w:rsid w:val="00281060"/>
    <w:rsid w:val="00281AC7"/>
    <w:rsid w:val="0029439F"/>
    <w:rsid w:val="002A2583"/>
    <w:rsid w:val="002A4B49"/>
    <w:rsid w:val="002A6E50"/>
    <w:rsid w:val="002B18A7"/>
    <w:rsid w:val="002C256A"/>
    <w:rsid w:val="002C462D"/>
    <w:rsid w:val="002E7BA1"/>
    <w:rsid w:val="002F4D26"/>
    <w:rsid w:val="002F78FA"/>
    <w:rsid w:val="00300EE2"/>
    <w:rsid w:val="00301B66"/>
    <w:rsid w:val="00305A7F"/>
    <w:rsid w:val="003152FE"/>
    <w:rsid w:val="00327436"/>
    <w:rsid w:val="00344BD6"/>
    <w:rsid w:val="003478F1"/>
    <w:rsid w:val="0035528D"/>
    <w:rsid w:val="00355DDA"/>
    <w:rsid w:val="00361821"/>
    <w:rsid w:val="00365E0C"/>
    <w:rsid w:val="0038694A"/>
    <w:rsid w:val="003A17C8"/>
    <w:rsid w:val="003B2467"/>
    <w:rsid w:val="003C4783"/>
    <w:rsid w:val="003C563E"/>
    <w:rsid w:val="003D227C"/>
    <w:rsid w:val="003D2B4D"/>
    <w:rsid w:val="003D3DBA"/>
    <w:rsid w:val="003E2ED5"/>
    <w:rsid w:val="003F137F"/>
    <w:rsid w:val="003F6136"/>
    <w:rsid w:val="0041524B"/>
    <w:rsid w:val="004215D0"/>
    <w:rsid w:val="004224C1"/>
    <w:rsid w:val="00427139"/>
    <w:rsid w:val="00444A88"/>
    <w:rsid w:val="004515C1"/>
    <w:rsid w:val="00461059"/>
    <w:rsid w:val="00461396"/>
    <w:rsid w:val="00474DA4"/>
    <w:rsid w:val="004928CF"/>
    <w:rsid w:val="0049520C"/>
    <w:rsid w:val="004967C5"/>
    <w:rsid w:val="004A33CB"/>
    <w:rsid w:val="004C152A"/>
    <w:rsid w:val="004C4C27"/>
    <w:rsid w:val="004D047D"/>
    <w:rsid w:val="004D6B85"/>
    <w:rsid w:val="004D7B6E"/>
    <w:rsid w:val="004F305A"/>
    <w:rsid w:val="004F5B1B"/>
    <w:rsid w:val="00503756"/>
    <w:rsid w:val="0050638A"/>
    <w:rsid w:val="00507A1B"/>
    <w:rsid w:val="00512164"/>
    <w:rsid w:val="0051387D"/>
    <w:rsid w:val="0051392E"/>
    <w:rsid w:val="00520297"/>
    <w:rsid w:val="00531C2C"/>
    <w:rsid w:val="005338F9"/>
    <w:rsid w:val="005416DD"/>
    <w:rsid w:val="00541A67"/>
    <w:rsid w:val="0054281C"/>
    <w:rsid w:val="0055142A"/>
    <w:rsid w:val="00551E76"/>
    <w:rsid w:val="0055268D"/>
    <w:rsid w:val="00561D02"/>
    <w:rsid w:val="00565994"/>
    <w:rsid w:val="00572E44"/>
    <w:rsid w:val="00576BE4"/>
    <w:rsid w:val="00580075"/>
    <w:rsid w:val="005A2AB5"/>
    <w:rsid w:val="005A400A"/>
    <w:rsid w:val="005B11B9"/>
    <w:rsid w:val="005E237C"/>
    <w:rsid w:val="005E5D94"/>
    <w:rsid w:val="005F4025"/>
    <w:rsid w:val="00612379"/>
    <w:rsid w:val="0061555F"/>
    <w:rsid w:val="00625F49"/>
    <w:rsid w:val="00641200"/>
    <w:rsid w:val="00642940"/>
    <w:rsid w:val="00645F46"/>
    <w:rsid w:val="00653017"/>
    <w:rsid w:val="00653C88"/>
    <w:rsid w:val="00654C93"/>
    <w:rsid w:val="00663ED8"/>
    <w:rsid w:val="006644B9"/>
    <w:rsid w:val="00664515"/>
    <w:rsid w:val="00687EB4"/>
    <w:rsid w:val="006A75EC"/>
    <w:rsid w:val="006B17D2"/>
    <w:rsid w:val="006B377B"/>
    <w:rsid w:val="006B45FA"/>
    <w:rsid w:val="006C224E"/>
    <w:rsid w:val="006D15FD"/>
    <w:rsid w:val="006F4AC2"/>
    <w:rsid w:val="00716567"/>
    <w:rsid w:val="00732DEC"/>
    <w:rsid w:val="00735BD5"/>
    <w:rsid w:val="00735EC0"/>
    <w:rsid w:val="0073787A"/>
    <w:rsid w:val="0075117E"/>
    <w:rsid w:val="007519A7"/>
    <w:rsid w:val="007556F6"/>
    <w:rsid w:val="00760EEF"/>
    <w:rsid w:val="00777EE5"/>
    <w:rsid w:val="00784836"/>
    <w:rsid w:val="0079023E"/>
    <w:rsid w:val="007909DD"/>
    <w:rsid w:val="00790CF5"/>
    <w:rsid w:val="007B6894"/>
    <w:rsid w:val="007C6639"/>
    <w:rsid w:val="007D0B9D"/>
    <w:rsid w:val="007D19B0"/>
    <w:rsid w:val="007F0390"/>
    <w:rsid w:val="007F498F"/>
    <w:rsid w:val="007F6C95"/>
    <w:rsid w:val="0080410A"/>
    <w:rsid w:val="0080679D"/>
    <w:rsid w:val="008108B0"/>
    <w:rsid w:val="00811B20"/>
    <w:rsid w:val="0082296E"/>
    <w:rsid w:val="00824099"/>
    <w:rsid w:val="00826164"/>
    <w:rsid w:val="00827378"/>
    <w:rsid w:val="00827F80"/>
    <w:rsid w:val="00836E88"/>
    <w:rsid w:val="00855B17"/>
    <w:rsid w:val="00855DBD"/>
    <w:rsid w:val="00862498"/>
    <w:rsid w:val="008668E7"/>
    <w:rsid w:val="00867AC1"/>
    <w:rsid w:val="008715CD"/>
    <w:rsid w:val="00871677"/>
    <w:rsid w:val="00871C65"/>
    <w:rsid w:val="00890BA2"/>
    <w:rsid w:val="00891783"/>
    <w:rsid w:val="00893402"/>
    <w:rsid w:val="008A03AB"/>
    <w:rsid w:val="008A1D4E"/>
    <w:rsid w:val="008A395B"/>
    <w:rsid w:val="008A6B40"/>
    <w:rsid w:val="008A743F"/>
    <w:rsid w:val="008B31E7"/>
    <w:rsid w:val="008B51D0"/>
    <w:rsid w:val="008C0970"/>
    <w:rsid w:val="008D2CF7"/>
    <w:rsid w:val="008D3E45"/>
    <w:rsid w:val="008E620D"/>
    <w:rsid w:val="008E793E"/>
    <w:rsid w:val="008F1D00"/>
    <w:rsid w:val="008F6A0E"/>
    <w:rsid w:val="00900C26"/>
    <w:rsid w:val="0090197F"/>
    <w:rsid w:val="00906DDC"/>
    <w:rsid w:val="009121D1"/>
    <w:rsid w:val="00923B6B"/>
    <w:rsid w:val="00926875"/>
    <w:rsid w:val="009276AB"/>
    <w:rsid w:val="00931C4C"/>
    <w:rsid w:val="00934E09"/>
    <w:rsid w:val="00936253"/>
    <w:rsid w:val="00954B28"/>
    <w:rsid w:val="00957DA8"/>
    <w:rsid w:val="009612F3"/>
    <w:rsid w:val="0096163C"/>
    <w:rsid w:val="009621E9"/>
    <w:rsid w:val="009642CF"/>
    <w:rsid w:val="00966F6F"/>
    <w:rsid w:val="00970F54"/>
    <w:rsid w:val="00970FED"/>
    <w:rsid w:val="00987A0D"/>
    <w:rsid w:val="00996234"/>
    <w:rsid w:val="00997029"/>
    <w:rsid w:val="009C44BE"/>
    <w:rsid w:val="009D0DE5"/>
    <w:rsid w:val="009D690D"/>
    <w:rsid w:val="009E65B6"/>
    <w:rsid w:val="00A15EE5"/>
    <w:rsid w:val="00A1605A"/>
    <w:rsid w:val="00A22F43"/>
    <w:rsid w:val="00A2670B"/>
    <w:rsid w:val="00A40147"/>
    <w:rsid w:val="00A417D6"/>
    <w:rsid w:val="00A42AC3"/>
    <w:rsid w:val="00A42C33"/>
    <w:rsid w:val="00A430CF"/>
    <w:rsid w:val="00A54309"/>
    <w:rsid w:val="00A6466B"/>
    <w:rsid w:val="00A64F21"/>
    <w:rsid w:val="00A776DE"/>
    <w:rsid w:val="00AA420B"/>
    <w:rsid w:val="00AB2B93"/>
    <w:rsid w:val="00AB5466"/>
    <w:rsid w:val="00AB6E5A"/>
    <w:rsid w:val="00AD0F5D"/>
    <w:rsid w:val="00AE0EF1"/>
    <w:rsid w:val="00AE7B33"/>
    <w:rsid w:val="00AE7C7E"/>
    <w:rsid w:val="00AE7D1F"/>
    <w:rsid w:val="00B00946"/>
    <w:rsid w:val="00B07301"/>
    <w:rsid w:val="00B20B9F"/>
    <w:rsid w:val="00B224DE"/>
    <w:rsid w:val="00B34E4F"/>
    <w:rsid w:val="00B5113F"/>
    <w:rsid w:val="00B520F2"/>
    <w:rsid w:val="00B55E3E"/>
    <w:rsid w:val="00B57457"/>
    <w:rsid w:val="00B81BC2"/>
    <w:rsid w:val="00B82CA5"/>
    <w:rsid w:val="00B84BBD"/>
    <w:rsid w:val="00B8547A"/>
    <w:rsid w:val="00B93B31"/>
    <w:rsid w:val="00BA43FB"/>
    <w:rsid w:val="00BC127D"/>
    <w:rsid w:val="00BC1FE6"/>
    <w:rsid w:val="00BD4C24"/>
    <w:rsid w:val="00BE53FD"/>
    <w:rsid w:val="00BF62AE"/>
    <w:rsid w:val="00C061B6"/>
    <w:rsid w:val="00C21DBF"/>
    <w:rsid w:val="00C2446C"/>
    <w:rsid w:val="00C36AE5"/>
    <w:rsid w:val="00C41F17"/>
    <w:rsid w:val="00C42784"/>
    <w:rsid w:val="00C54BF4"/>
    <w:rsid w:val="00C5791C"/>
    <w:rsid w:val="00C656BE"/>
    <w:rsid w:val="00C66290"/>
    <w:rsid w:val="00C72A85"/>
    <w:rsid w:val="00C72B7A"/>
    <w:rsid w:val="00C905CA"/>
    <w:rsid w:val="00C973F2"/>
    <w:rsid w:val="00CA0D73"/>
    <w:rsid w:val="00CA29F7"/>
    <w:rsid w:val="00CA70DE"/>
    <w:rsid w:val="00CA774A"/>
    <w:rsid w:val="00CC11B0"/>
    <w:rsid w:val="00CF15C3"/>
    <w:rsid w:val="00CF2903"/>
    <w:rsid w:val="00CF689E"/>
    <w:rsid w:val="00CF7E36"/>
    <w:rsid w:val="00D14089"/>
    <w:rsid w:val="00D21C53"/>
    <w:rsid w:val="00D233D8"/>
    <w:rsid w:val="00D24210"/>
    <w:rsid w:val="00D32E36"/>
    <w:rsid w:val="00D34C00"/>
    <w:rsid w:val="00D3708D"/>
    <w:rsid w:val="00D40426"/>
    <w:rsid w:val="00D44A32"/>
    <w:rsid w:val="00D56ED3"/>
    <w:rsid w:val="00D57C96"/>
    <w:rsid w:val="00D73BC2"/>
    <w:rsid w:val="00D82782"/>
    <w:rsid w:val="00D85980"/>
    <w:rsid w:val="00D91203"/>
    <w:rsid w:val="00D95174"/>
    <w:rsid w:val="00D95A5C"/>
    <w:rsid w:val="00DA6F36"/>
    <w:rsid w:val="00DB09CA"/>
    <w:rsid w:val="00DC00EA"/>
    <w:rsid w:val="00DC173A"/>
    <w:rsid w:val="00DC1949"/>
    <w:rsid w:val="00DF2A30"/>
    <w:rsid w:val="00E0473C"/>
    <w:rsid w:val="00E23920"/>
    <w:rsid w:val="00E2596B"/>
    <w:rsid w:val="00E31398"/>
    <w:rsid w:val="00E35513"/>
    <w:rsid w:val="00E42E66"/>
    <w:rsid w:val="00E60612"/>
    <w:rsid w:val="00E6094F"/>
    <w:rsid w:val="00E72D49"/>
    <w:rsid w:val="00E7593C"/>
    <w:rsid w:val="00E762F8"/>
    <w:rsid w:val="00E7678A"/>
    <w:rsid w:val="00E773CC"/>
    <w:rsid w:val="00E83014"/>
    <w:rsid w:val="00E831EC"/>
    <w:rsid w:val="00E8755A"/>
    <w:rsid w:val="00E935F1"/>
    <w:rsid w:val="00E94A81"/>
    <w:rsid w:val="00EA0530"/>
    <w:rsid w:val="00EA1FFB"/>
    <w:rsid w:val="00EA7128"/>
    <w:rsid w:val="00EB048E"/>
    <w:rsid w:val="00EB3EFA"/>
    <w:rsid w:val="00EC31F5"/>
    <w:rsid w:val="00EF2F89"/>
    <w:rsid w:val="00F04DEB"/>
    <w:rsid w:val="00F1237A"/>
    <w:rsid w:val="00F22CBD"/>
    <w:rsid w:val="00F32866"/>
    <w:rsid w:val="00F37961"/>
    <w:rsid w:val="00F4074C"/>
    <w:rsid w:val="00F50E29"/>
    <w:rsid w:val="00F53FBF"/>
    <w:rsid w:val="00F6334D"/>
    <w:rsid w:val="00F753A6"/>
    <w:rsid w:val="00F7721A"/>
    <w:rsid w:val="00FA49AB"/>
    <w:rsid w:val="00FA6FC2"/>
    <w:rsid w:val="00FB0D37"/>
    <w:rsid w:val="00FD12E1"/>
    <w:rsid w:val="00FD2F4F"/>
    <w:rsid w:val="00FD7D6A"/>
    <w:rsid w:val="00FE39C7"/>
    <w:rsid w:val="00FE4AF3"/>
    <w:rsid w:val="00FE7F6B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831EC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32C2F"/>
    <w:pPr>
      <w:tabs>
        <w:tab w:val="right" w:leader="dot" w:pos="9639"/>
      </w:tabs>
      <w:spacing w:after="6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507A1B"/>
    <w:pPr>
      <w:tabs>
        <w:tab w:val="right" w:leader="dot" w:pos="9639"/>
      </w:tabs>
      <w:spacing w:after="120"/>
      <w:ind w:right="992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612F3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612F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9612F3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9612F3"/>
    <w:pPr>
      <w:ind w:left="720"/>
      <w:contextualSpacing/>
    </w:pPr>
  </w:style>
  <w:style w:type="character" w:customStyle="1" w:styleId="Heading2Char">
    <w:name w:val="Heading 2 Char"/>
    <w:link w:val="Heading2"/>
    <w:rsid w:val="00E831EC"/>
    <w:rPr>
      <w:rFonts w:ascii="Arial" w:hAnsi="Arial"/>
      <w:snapToGrid w:val="0"/>
      <w:u w:val="single"/>
    </w:rPr>
  </w:style>
  <w:style w:type="paragraph" w:customStyle="1" w:styleId="Style1">
    <w:name w:val="Style1"/>
    <w:basedOn w:val="Normal"/>
    <w:rsid w:val="00E2596B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831EC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232C2F"/>
    <w:pPr>
      <w:tabs>
        <w:tab w:val="right" w:leader="dot" w:pos="9639"/>
      </w:tabs>
      <w:spacing w:after="60"/>
      <w:ind w:left="284" w:right="851"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507A1B"/>
    <w:pPr>
      <w:tabs>
        <w:tab w:val="right" w:leader="dot" w:pos="9639"/>
      </w:tabs>
      <w:spacing w:after="120"/>
      <w:ind w:right="992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rsid w:val="009612F3"/>
    <w:rPr>
      <w:rFonts w:ascii="Arial" w:hAnsi="Arial"/>
      <w:i/>
    </w:rPr>
  </w:style>
  <w:style w:type="character" w:customStyle="1" w:styleId="FootnoteTextChar">
    <w:name w:val="Footnote Text Char"/>
    <w:link w:val="FootnoteText"/>
    <w:rsid w:val="009612F3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9612F3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9612F3"/>
    <w:pPr>
      <w:ind w:left="720"/>
      <w:contextualSpacing/>
    </w:pPr>
  </w:style>
  <w:style w:type="character" w:customStyle="1" w:styleId="Heading2Char">
    <w:name w:val="Heading 2 Char"/>
    <w:link w:val="Heading2"/>
    <w:rsid w:val="00E831EC"/>
    <w:rPr>
      <w:rFonts w:ascii="Arial" w:hAnsi="Arial"/>
      <w:snapToGrid w:val="0"/>
      <w:u w:val="single"/>
    </w:rPr>
  </w:style>
  <w:style w:type="paragraph" w:customStyle="1" w:styleId="Style1">
    <w:name w:val="Style1"/>
    <w:basedOn w:val="Normal"/>
    <w:rsid w:val="00E2596B"/>
    <w:pPr>
      <w:tabs>
        <w:tab w:val="decimal" w:pos="907"/>
        <w:tab w:val="left" w:pos="1077"/>
      </w:tabs>
    </w:pPr>
    <w:rPr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A558-2937-468E-A4A3-7303069AFF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B84A4-AA04-40C8-8C67-7FA102BE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8062</Words>
  <Characters>47160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CAJ/70/</vt:lpstr>
    </vt:vector>
  </TitlesOfParts>
  <Company>UPOV</Company>
  <LinksUpToDate>false</LinksUpToDate>
  <CharactersWithSpaces>55112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CAJ/70/</dc:title>
  <dc:creator>PASIEKA Allie</dc:creator>
  <cp:keywords>DB/mhf</cp:keywords>
  <cp:lastModifiedBy>BESSE Ariane</cp:lastModifiedBy>
  <cp:revision>3</cp:revision>
  <cp:lastPrinted>2015-03-09T16:02:00Z</cp:lastPrinted>
  <dcterms:created xsi:type="dcterms:W3CDTF">2015-03-09T16:01:00Z</dcterms:created>
  <dcterms:modified xsi:type="dcterms:W3CDTF">2015-03-09T16:02:00Z</dcterms:modified>
</cp:coreProperties>
</file>