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11AFE" w:rsidRPr="00646A34" w:rsidTr="00FB0D37">
        <w:trPr>
          <w:trHeight w:val="1760"/>
        </w:trPr>
        <w:tc>
          <w:tcPr>
            <w:tcW w:w="4243" w:type="dxa"/>
          </w:tcPr>
          <w:p w:rsidR="000D7780" w:rsidRPr="00646A34" w:rsidRDefault="000D7780" w:rsidP="007D0B9D">
            <w:pPr>
              <w:rPr>
                <w:lang w:val="fr-FR"/>
              </w:rPr>
            </w:pPr>
          </w:p>
        </w:tc>
        <w:tc>
          <w:tcPr>
            <w:tcW w:w="1646" w:type="dxa"/>
            <w:vAlign w:val="center"/>
          </w:tcPr>
          <w:p w:rsidR="000D7780" w:rsidRPr="00646A34" w:rsidRDefault="00110481" w:rsidP="00576BE4">
            <w:pPr>
              <w:pStyle w:val="LogoUPOV"/>
              <w:rPr>
                <w:lang w:val="fr-FR"/>
              </w:rPr>
            </w:pPr>
            <w:r w:rsidRPr="00646A34">
              <w:rPr>
                <w:noProof/>
              </w:rPr>
              <w:drawing>
                <wp:inline distT="0" distB="0" distL="0" distR="0" wp14:anchorId="073F7C30" wp14:editId="298BFA8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7851" w:rsidRPr="00646A34" w:rsidRDefault="00D3489D" w:rsidP="00576BE4">
            <w:pPr>
              <w:pStyle w:val="Lettrine"/>
              <w:rPr>
                <w:lang w:val="fr-FR"/>
              </w:rPr>
            </w:pPr>
            <w:r w:rsidRPr="00646A34">
              <w:rPr>
                <w:lang w:val="fr-FR"/>
              </w:rPr>
              <w:t>F</w:t>
            </w:r>
          </w:p>
          <w:p w:rsidR="00827851" w:rsidRPr="00646A34" w:rsidRDefault="00F37961" w:rsidP="00474DA4">
            <w:pPr>
              <w:pStyle w:val="Docoriginal"/>
              <w:jc w:val="left"/>
              <w:rPr>
                <w:lang w:val="fr-FR"/>
              </w:rPr>
            </w:pPr>
            <w:r w:rsidRPr="00646A34">
              <w:rPr>
                <w:lang w:val="fr-FR"/>
              </w:rPr>
              <w:t>CAJ/</w:t>
            </w:r>
            <w:r w:rsidR="00155F6F" w:rsidRPr="00646A34">
              <w:rPr>
                <w:lang w:val="fr-FR"/>
              </w:rPr>
              <w:t>70</w:t>
            </w:r>
            <w:r w:rsidR="00EB3EFA" w:rsidRPr="00646A34">
              <w:rPr>
                <w:lang w:val="fr-FR"/>
              </w:rPr>
              <w:t>/</w:t>
            </w:r>
            <w:bookmarkStart w:id="0" w:name="Code"/>
            <w:bookmarkEnd w:id="0"/>
            <w:r w:rsidR="00664C4A" w:rsidRPr="00646A34">
              <w:rPr>
                <w:lang w:val="fr-FR"/>
              </w:rPr>
              <w:t>5</w:t>
            </w:r>
          </w:p>
          <w:p w:rsidR="00827851" w:rsidRPr="00646A34" w:rsidRDefault="0061555F" w:rsidP="00474DA4">
            <w:pPr>
              <w:pStyle w:val="Docoriginal"/>
              <w:jc w:val="left"/>
              <w:rPr>
                <w:lang w:val="fr-FR"/>
              </w:rPr>
            </w:pPr>
            <w:r w:rsidRPr="00646A34">
              <w:rPr>
                <w:rStyle w:val="StyleDoclangBold"/>
                <w:b/>
                <w:bCs/>
                <w:spacing w:val="0"/>
                <w:lang w:val="fr-FR"/>
              </w:rPr>
              <w:t>ORIGINAL</w:t>
            </w:r>
            <w:r w:rsidR="00395B04" w:rsidRPr="00646A34">
              <w:rPr>
                <w:rStyle w:val="StyleDoclangBold"/>
                <w:b/>
                <w:bCs/>
                <w:spacing w:val="0"/>
                <w:lang w:val="fr-FR"/>
              </w:rPr>
              <w:t> </w:t>
            </w:r>
            <w:r w:rsidR="000D7780" w:rsidRPr="00646A34">
              <w:rPr>
                <w:rStyle w:val="StyleDoclangBold"/>
                <w:b/>
                <w:bCs/>
                <w:spacing w:val="0"/>
                <w:lang w:val="fr-FR"/>
              </w:rPr>
              <w:t>:</w:t>
            </w:r>
            <w:r w:rsidRPr="00646A34">
              <w:rPr>
                <w:rStyle w:val="StyleDocoriginalNotBold1"/>
                <w:spacing w:val="0"/>
                <w:lang w:val="fr-FR"/>
              </w:rPr>
              <w:t xml:space="preserve"> </w:t>
            </w:r>
            <w:r w:rsidR="00D3489D" w:rsidRPr="00646A34">
              <w:rPr>
                <w:rStyle w:val="StyleDocoriginalNotBold1"/>
                <w:spacing w:val="0"/>
                <w:lang w:val="fr-FR"/>
              </w:rPr>
              <w:t>anglais</w:t>
            </w:r>
            <w:bookmarkStart w:id="1" w:name="Original"/>
            <w:bookmarkEnd w:id="1"/>
          </w:p>
          <w:p w:rsidR="000D7780" w:rsidRPr="00646A34" w:rsidRDefault="000D7780" w:rsidP="00D3489D">
            <w:pPr>
              <w:pStyle w:val="Docoriginal"/>
              <w:jc w:val="left"/>
              <w:rPr>
                <w:b w:val="0"/>
                <w:spacing w:val="0"/>
                <w:lang w:val="fr-FR"/>
              </w:rPr>
            </w:pPr>
            <w:r w:rsidRPr="00646A34">
              <w:rPr>
                <w:spacing w:val="0"/>
                <w:lang w:val="fr-FR"/>
              </w:rPr>
              <w:t>DATE</w:t>
            </w:r>
            <w:r w:rsidR="00D3489D" w:rsidRPr="00646A34">
              <w:rPr>
                <w:spacing w:val="0"/>
                <w:lang w:val="fr-FR"/>
              </w:rPr>
              <w:t> </w:t>
            </w:r>
            <w:r w:rsidRPr="00646A34">
              <w:rPr>
                <w:spacing w:val="0"/>
                <w:lang w:val="fr-FR"/>
              </w:rPr>
              <w:t>:</w:t>
            </w:r>
            <w:r w:rsidRPr="00646A34">
              <w:rPr>
                <w:rStyle w:val="StyleDocoriginalNotBold1"/>
                <w:spacing w:val="0"/>
                <w:lang w:val="fr-FR"/>
              </w:rPr>
              <w:t xml:space="preserve"> </w:t>
            </w:r>
            <w:bookmarkStart w:id="2" w:name="Date"/>
            <w:bookmarkEnd w:id="2"/>
            <w:r w:rsidR="00D3489D" w:rsidRPr="00646A34">
              <w:rPr>
                <w:rStyle w:val="StyleDocoriginalNotBold1"/>
                <w:spacing w:val="0"/>
                <w:lang w:val="fr-FR"/>
              </w:rPr>
              <w:t>18 août </w:t>
            </w:r>
            <w:r w:rsidR="00155F6F" w:rsidRPr="00646A34">
              <w:rPr>
                <w:rStyle w:val="StyleDocoriginalNotBold1"/>
                <w:spacing w:val="0"/>
                <w:lang w:val="fr-FR"/>
              </w:rPr>
              <w:t>2014</w:t>
            </w:r>
          </w:p>
        </w:tc>
      </w:tr>
      <w:tr w:rsidR="00F11AFE" w:rsidRPr="00646A34" w:rsidTr="00FB0D37">
        <w:tc>
          <w:tcPr>
            <w:tcW w:w="10131" w:type="dxa"/>
            <w:gridSpan w:val="3"/>
          </w:tcPr>
          <w:p w:rsidR="000D7780" w:rsidRPr="00646A34" w:rsidRDefault="004C2203" w:rsidP="004C2203">
            <w:pPr>
              <w:pStyle w:val="upove"/>
              <w:rPr>
                <w:caps/>
                <w:sz w:val="28"/>
                <w:lang w:val="fr-FR"/>
              </w:rPr>
            </w:pPr>
            <w:r w:rsidRPr="00646A34">
              <w:rPr>
                <w:caps/>
                <w:snapToGrid w:val="0"/>
                <w:lang w:val="fr-FR"/>
              </w:rPr>
              <w:t>Union internationale pour la protection des obtentions végétales</w:t>
            </w:r>
            <w:r w:rsidR="0024416D" w:rsidRPr="00646A34">
              <w:rPr>
                <w:caps/>
                <w:snapToGrid w:val="0"/>
                <w:lang w:val="fr-FR"/>
              </w:rPr>
              <w:t xml:space="preserve"> </w:t>
            </w:r>
          </w:p>
        </w:tc>
      </w:tr>
      <w:tr w:rsidR="00F11AFE" w:rsidRPr="00646A34" w:rsidTr="00FB0D37">
        <w:tc>
          <w:tcPr>
            <w:tcW w:w="10131" w:type="dxa"/>
            <w:gridSpan w:val="3"/>
          </w:tcPr>
          <w:p w:rsidR="000D7780" w:rsidRPr="00646A34" w:rsidRDefault="00867AC1" w:rsidP="004C2203">
            <w:pPr>
              <w:pStyle w:val="Country"/>
              <w:rPr>
                <w:lang w:val="fr-FR"/>
              </w:rPr>
            </w:pPr>
            <w:r w:rsidRPr="00646A34">
              <w:rPr>
                <w:lang w:val="fr-FR"/>
              </w:rPr>
              <w:t>Gen</w:t>
            </w:r>
            <w:r w:rsidR="004C2203" w:rsidRPr="00646A34">
              <w:rPr>
                <w:lang w:val="fr-FR"/>
              </w:rPr>
              <w:t>ève</w:t>
            </w:r>
          </w:p>
        </w:tc>
      </w:tr>
    </w:tbl>
    <w:p w:rsidR="00827851" w:rsidRPr="00646A34" w:rsidRDefault="00DA48C1" w:rsidP="00DA48C1">
      <w:pPr>
        <w:pStyle w:val="Sessiontc"/>
        <w:rPr>
          <w:lang w:val="fr-FR"/>
        </w:rPr>
      </w:pPr>
      <w:r w:rsidRPr="00646A34">
        <w:rPr>
          <w:lang w:val="fr-FR"/>
        </w:rPr>
        <w:t>Comité administratif et juridique</w:t>
      </w:r>
    </w:p>
    <w:p w:rsidR="00827851" w:rsidRPr="00646A34" w:rsidRDefault="00DA48C1" w:rsidP="00DA48C1">
      <w:pPr>
        <w:pStyle w:val="Sessiontcplacedate"/>
        <w:rPr>
          <w:lang w:val="fr-FR"/>
        </w:rPr>
      </w:pPr>
      <w:r w:rsidRPr="00646A34">
        <w:rPr>
          <w:lang w:val="fr-FR"/>
        </w:rPr>
        <w:t>Soixante</w:t>
      </w:r>
      <w:r w:rsidR="00DF28A5" w:rsidRPr="00646A34">
        <w:rPr>
          <w:lang w:val="fr-FR"/>
        </w:rPr>
        <w:noBreakHyphen/>
      </w:r>
      <w:r w:rsidRPr="00646A34">
        <w:rPr>
          <w:lang w:val="fr-FR"/>
        </w:rPr>
        <w:t>dixième session</w:t>
      </w:r>
    </w:p>
    <w:p w:rsidR="00827851" w:rsidRPr="00646A34" w:rsidRDefault="00DA48C1" w:rsidP="00DA48C1">
      <w:pPr>
        <w:pStyle w:val="Sessiontcplacedate"/>
        <w:spacing w:before="0"/>
        <w:rPr>
          <w:lang w:val="fr-FR"/>
        </w:rPr>
      </w:pPr>
      <w:r w:rsidRPr="00646A34">
        <w:rPr>
          <w:lang w:val="fr-FR"/>
        </w:rPr>
        <w:t>Genève, 13 octobre 2014</w:t>
      </w:r>
    </w:p>
    <w:p w:rsidR="00F72F8E" w:rsidRPr="00646A34" w:rsidRDefault="00DA48C1" w:rsidP="00DA48C1">
      <w:pPr>
        <w:pStyle w:val="Titleofdoc0"/>
        <w:rPr>
          <w:lang w:val="fr-FR"/>
        </w:rPr>
      </w:pPr>
      <w:bookmarkStart w:id="3" w:name="TitleOfDoc"/>
      <w:bookmarkEnd w:id="3"/>
      <w:r w:rsidRPr="00646A34">
        <w:rPr>
          <w:lang w:val="fr-FR"/>
        </w:rPr>
        <w:t>Document d</w:t>
      </w:r>
      <w:r w:rsidR="00F72F8E" w:rsidRPr="00646A34">
        <w:rPr>
          <w:lang w:val="fr-FR"/>
        </w:rPr>
        <w:t>’</w:t>
      </w:r>
      <w:r w:rsidRPr="00646A34">
        <w:rPr>
          <w:lang w:val="fr-FR"/>
        </w:rPr>
        <w:t>orientation destiné aux membres de l</w:t>
      </w:r>
      <w:r w:rsidR="00F72F8E" w:rsidRPr="00646A34">
        <w:rPr>
          <w:lang w:val="fr-FR"/>
        </w:rPr>
        <w:t>’</w:t>
      </w:r>
      <w:r w:rsidRPr="00646A34">
        <w:rPr>
          <w:lang w:val="fr-FR"/>
        </w:rPr>
        <w:t>UPOV concernant</w:t>
      </w:r>
      <w:r w:rsidR="00DF28A5" w:rsidRPr="00646A34">
        <w:rPr>
          <w:lang w:val="fr-FR"/>
        </w:rPr>
        <w:br/>
      </w:r>
      <w:r w:rsidRPr="00646A34">
        <w:rPr>
          <w:lang w:val="fr-FR"/>
        </w:rPr>
        <w:t xml:space="preserve">les obligations en cours et les notifications connexes, ainsi que </w:t>
      </w:r>
      <w:r w:rsidR="00DF28A5" w:rsidRPr="00646A34">
        <w:rPr>
          <w:lang w:val="fr-FR"/>
        </w:rPr>
        <w:br/>
      </w:r>
      <w:r w:rsidRPr="00646A34">
        <w:rPr>
          <w:lang w:val="fr-FR"/>
        </w:rPr>
        <w:t>la fourniture d</w:t>
      </w:r>
      <w:r w:rsidR="00F72F8E" w:rsidRPr="00646A34">
        <w:rPr>
          <w:lang w:val="fr-FR"/>
        </w:rPr>
        <w:t>’</w:t>
      </w:r>
      <w:r w:rsidRPr="00646A34">
        <w:rPr>
          <w:lang w:val="fr-FR"/>
        </w:rPr>
        <w:t>informations visant à faciliter la coopération</w:t>
      </w:r>
      <w:r w:rsidR="009462BA" w:rsidRPr="00646A34">
        <w:rPr>
          <w:lang w:val="fr-FR"/>
        </w:rPr>
        <w:br/>
      </w:r>
      <w:r w:rsidRPr="00646A34">
        <w:rPr>
          <w:lang w:val="fr-FR"/>
        </w:rPr>
        <w:t>(révision)</w:t>
      </w:r>
    </w:p>
    <w:p w:rsidR="00827851" w:rsidRPr="00646A34" w:rsidRDefault="007E6717" w:rsidP="007E6717">
      <w:pPr>
        <w:pStyle w:val="preparedby1"/>
        <w:rPr>
          <w:color w:val="A6A6A6" w:themeColor="background1" w:themeShade="A6"/>
          <w:lang w:val="fr-FR"/>
        </w:rPr>
      </w:pPr>
      <w:bookmarkStart w:id="4" w:name="Prepared"/>
      <w:bookmarkEnd w:id="4"/>
      <w:r w:rsidRPr="00646A34">
        <w:rPr>
          <w:lang w:val="fr-FR"/>
        </w:rPr>
        <w:t>Document établi par le Bureau de l</w:t>
      </w:r>
      <w:r w:rsidR="00F72F8E" w:rsidRPr="00646A34">
        <w:rPr>
          <w:lang w:val="fr-FR"/>
        </w:rPr>
        <w:t>’</w:t>
      </w:r>
      <w:r w:rsidRPr="00646A34">
        <w:rPr>
          <w:lang w:val="fr-FR"/>
        </w:rPr>
        <w:t xml:space="preserve">Union </w:t>
      </w:r>
      <w:r w:rsidR="00836E88" w:rsidRPr="00646A34">
        <w:rPr>
          <w:lang w:val="fr-FR"/>
        </w:rPr>
        <w:br/>
      </w:r>
      <w:r w:rsidR="00836E88" w:rsidRPr="00646A34">
        <w:rPr>
          <w:lang w:val="fr-FR"/>
        </w:rPr>
        <w:br/>
      </w:r>
      <w:r w:rsidR="009D4E3F" w:rsidRPr="00646A34">
        <w:rPr>
          <w:color w:val="A6A6A6" w:themeColor="background1" w:themeShade="A6"/>
          <w:lang w:val="fr-FR"/>
        </w:rPr>
        <w:t>Avertissement : le présent document ne représente pas les principes ou les orientations de l</w:t>
      </w:r>
      <w:r w:rsidR="00F72F8E" w:rsidRPr="00646A34">
        <w:rPr>
          <w:color w:val="A6A6A6" w:themeColor="background1" w:themeShade="A6"/>
          <w:lang w:val="fr-FR"/>
        </w:rPr>
        <w:t>’</w:t>
      </w:r>
      <w:r w:rsidR="009D4E3F" w:rsidRPr="00646A34">
        <w:rPr>
          <w:color w:val="A6A6A6" w:themeColor="background1" w:themeShade="A6"/>
          <w:lang w:val="fr-FR"/>
        </w:rPr>
        <w:t>UPOV</w:t>
      </w:r>
    </w:p>
    <w:p w:rsidR="00827851" w:rsidRPr="00646A34" w:rsidRDefault="00B34841" w:rsidP="0049408F">
      <w:pPr>
        <w:rPr>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49408F" w:rsidRPr="00646A34">
        <w:rPr>
          <w:lang w:val="fr-FR"/>
        </w:rPr>
        <w:t>L</w:t>
      </w:r>
      <w:r w:rsidR="00F72F8E" w:rsidRPr="00646A34">
        <w:rPr>
          <w:lang w:val="fr-FR"/>
        </w:rPr>
        <w:t>’</w:t>
      </w:r>
      <w:r w:rsidR="0049408F" w:rsidRPr="00646A34">
        <w:rPr>
          <w:lang w:val="fr-FR"/>
        </w:rPr>
        <w:t>objet du présent document est d</w:t>
      </w:r>
      <w:r w:rsidR="00F72F8E" w:rsidRPr="00646A34">
        <w:rPr>
          <w:lang w:val="fr-FR"/>
        </w:rPr>
        <w:t>’</w:t>
      </w:r>
      <w:r w:rsidR="0049408F" w:rsidRPr="00646A34">
        <w:rPr>
          <w:lang w:val="fr-FR"/>
        </w:rPr>
        <w:t>inviter</w:t>
      </w:r>
      <w:r w:rsidR="00F72F8E" w:rsidRPr="00646A34">
        <w:rPr>
          <w:lang w:val="fr-FR"/>
        </w:rPr>
        <w:t xml:space="preserve"> le CAJ</w:t>
      </w:r>
      <w:r w:rsidR="0049408F" w:rsidRPr="00646A34">
        <w:rPr>
          <w:lang w:val="fr-FR"/>
        </w:rPr>
        <w:t xml:space="preserve"> à examiner des propositions concernant :</w:t>
      </w:r>
    </w:p>
    <w:p w:rsidR="00827851" w:rsidRPr="00646A34" w:rsidRDefault="00827851" w:rsidP="00B34841">
      <w:pPr>
        <w:rPr>
          <w:lang w:val="fr-FR"/>
        </w:rPr>
      </w:pPr>
    </w:p>
    <w:p w:rsidR="00827851" w:rsidRPr="00646A34" w:rsidRDefault="00344301" w:rsidP="00344301">
      <w:pPr>
        <w:ind w:firstLine="567"/>
        <w:rPr>
          <w:lang w:val="fr-FR"/>
        </w:rPr>
      </w:pPr>
      <w:r w:rsidRPr="00646A34">
        <w:rPr>
          <w:lang w:val="fr-FR"/>
        </w:rPr>
        <w:t xml:space="preserve">a) la transformation du document UPOV/INF/15 </w:t>
      </w:r>
      <w:r w:rsidR="00E607B1" w:rsidRPr="00646A34">
        <w:rPr>
          <w:lang w:val="fr-FR"/>
        </w:rPr>
        <w:t>“</w:t>
      </w:r>
      <w:r w:rsidRPr="00646A34">
        <w:rPr>
          <w:lang w:val="fr-FR"/>
        </w:rPr>
        <w:t>Document d</w:t>
      </w:r>
      <w:r w:rsidR="00F72F8E" w:rsidRPr="00646A34">
        <w:rPr>
          <w:lang w:val="fr-FR"/>
        </w:rPr>
        <w:t>’</w:t>
      </w:r>
      <w:r w:rsidRPr="00646A34">
        <w:rPr>
          <w:lang w:val="fr-FR"/>
        </w:rPr>
        <w:t>orientation destiné aux membres de l</w:t>
      </w:r>
      <w:r w:rsidR="00F72F8E" w:rsidRPr="00646A34">
        <w:rPr>
          <w:lang w:val="fr-FR"/>
        </w:rPr>
        <w:t>’</w:t>
      </w:r>
      <w:r w:rsidRPr="00646A34">
        <w:rPr>
          <w:lang w:val="fr-FR"/>
        </w:rPr>
        <w:t>UPOV concernant les obligations en cours et les notifications connexes, ainsi que la fourniture d</w:t>
      </w:r>
      <w:r w:rsidR="00F72F8E" w:rsidRPr="00646A34">
        <w:rPr>
          <w:lang w:val="fr-FR"/>
        </w:rPr>
        <w:t>’</w:t>
      </w:r>
      <w:r w:rsidRPr="00646A34">
        <w:rPr>
          <w:lang w:val="fr-FR"/>
        </w:rPr>
        <w:t>informations visant à faciliter la coopération</w:t>
      </w:r>
      <w:r w:rsidR="00E607B1" w:rsidRPr="00646A34">
        <w:rPr>
          <w:lang w:val="fr-FR"/>
        </w:rPr>
        <w:t>”</w:t>
      </w:r>
      <w:r w:rsidRPr="00646A34">
        <w:rPr>
          <w:lang w:val="fr-FR"/>
        </w:rPr>
        <w:t xml:space="preserve"> en un document</w:t>
      </w:r>
      <w:r w:rsidR="00DF28A5" w:rsidRPr="00646A34">
        <w:rPr>
          <w:lang w:val="fr-FR"/>
        </w:rPr>
        <w:noBreakHyphen/>
      </w:r>
      <w:r w:rsidRPr="00646A34">
        <w:rPr>
          <w:lang w:val="fr-FR"/>
        </w:rPr>
        <w:t>cadre qui déterminera les questions clés pour le fonctionnement d</w:t>
      </w:r>
      <w:r w:rsidR="00F72F8E" w:rsidRPr="00646A34">
        <w:rPr>
          <w:lang w:val="fr-FR"/>
        </w:rPr>
        <w:t>’</w:t>
      </w:r>
      <w:r w:rsidRPr="00646A34">
        <w:rPr>
          <w:lang w:val="fr-FR"/>
        </w:rPr>
        <w:t>un système de protection des obtentions végétales et fournira des liens renvoyant aux documents d</w:t>
      </w:r>
      <w:r w:rsidR="00F72F8E" w:rsidRPr="00646A34">
        <w:rPr>
          <w:lang w:val="fr-FR"/>
        </w:rPr>
        <w:t>’</w:t>
      </w:r>
      <w:r w:rsidRPr="00646A34">
        <w:rPr>
          <w:lang w:val="fr-FR"/>
        </w:rPr>
        <w:t>information détaillés;  et</w:t>
      </w:r>
    </w:p>
    <w:p w:rsidR="00827851" w:rsidRPr="00646A34" w:rsidRDefault="00827851" w:rsidP="00A977BA">
      <w:pPr>
        <w:ind w:firstLine="567"/>
        <w:rPr>
          <w:lang w:val="fr-FR"/>
        </w:rPr>
      </w:pPr>
    </w:p>
    <w:p w:rsidR="00827851" w:rsidRPr="00646A34" w:rsidRDefault="006F7608" w:rsidP="006F7608">
      <w:pPr>
        <w:ind w:firstLine="567"/>
        <w:rPr>
          <w:rFonts w:cs="Arial"/>
          <w:lang w:val="fr-FR"/>
        </w:rPr>
      </w:pPr>
      <w:r w:rsidRPr="00646A34">
        <w:rPr>
          <w:rFonts w:cs="Arial"/>
          <w:lang w:val="fr-FR"/>
        </w:rPr>
        <w:t xml:space="preserve">b) </w:t>
      </w:r>
      <w:r w:rsidR="006341A0" w:rsidRPr="00646A34">
        <w:rPr>
          <w:rFonts w:cs="Arial"/>
          <w:lang w:val="fr-FR"/>
        </w:rPr>
        <w:t>l</w:t>
      </w:r>
      <w:r w:rsidR="00F72F8E" w:rsidRPr="00646A34">
        <w:rPr>
          <w:rFonts w:cs="Arial"/>
          <w:lang w:val="fr-FR"/>
        </w:rPr>
        <w:t>’</w:t>
      </w:r>
      <w:r w:rsidR="006341A0" w:rsidRPr="00646A34">
        <w:rPr>
          <w:rFonts w:cs="Arial"/>
          <w:lang w:val="fr-FR"/>
        </w:rPr>
        <w:t>incorporation</w:t>
      </w:r>
      <w:r w:rsidRPr="00646A34">
        <w:rPr>
          <w:rFonts w:cs="Arial"/>
          <w:lang w:val="fr-FR"/>
        </w:rPr>
        <w:t>, dans le document UPOV/INF/15, d</w:t>
      </w:r>
      <w:r w:rsidR="00F72F8E" w:rsidRPr="00646A34">
        <w:rPr>
          <w:rFonts w:cs="Arial"/>
          <w:lang w:val="fr-FR"/>
        </w:rPr>
        <w:t>’</w:t>
      </w:r>
      <w:r w:rsidRPr="00646A34">
        <w:rPr>
          <w:rFonts w:cs="Arial"/>
          <w:lang w:val="fr-FR"/>
        </w:rPr>
        <w:t>orientations sur : le créneau pour le dépôt des demandes;  l</w:t>
      </w:r>
      <w:r w:rsidR="00F72F8E" w:rsidRPr="00646A34">
        <w:rPr>
          <w:rFonts w:cs="Arial"/>
          <w:lang w:val="fr-FR"/>
        </w:rPr>
        <w:t>’</w:t>
      </w:r>
      <w:r w:rsidRPr="00646A34">
        <w:rPr>
          <w:rFonts w:cs="Arial"/>
          <w:lang w:val="fr-FR"/>
        </w:rPr>
        <w:t>information généalogique;  le dépôt électronique des demandes;  la confidentialité du matériel du déposant lorsque les centres d</w:t>
      </w:r>
      <w:r w:rsidR="00F72F8E" w:rsidRPr="00646A34">
        <w:rPr>
          <w:rFonts w:cs="Arial"/>
          <w:lang w:val="fr-FR"/>
        </w:rPr>
        <w:t>’</w:t>
      </w:r>
      <w:r w:rsidRPr="00646A34">
        <w:rPr>
          <w:rFonts w:cs="Arial"/>
          <w:lang w:val="fr-FR"/>
        </w:rPr>
        <w:t>examen créent des variétés de la même espèce;  et la fréquence de la communication des données et l</w:t>
      </w:r>
      <w:r w:rsidR="00F72F8E" w:rsidRPr="00646A34">
        <w:rPr>
          <w:rFonts w:cs="Arial"/>
          <w:lang w:val="fr-FR"/>
        </w:rPr>
        <w:t>’</w:t>
      </w:r>
      <w:r w:rsidRPr="00646A34">
        <w:rPr>
          <w:rFonts w:cs="Arial"/>
          <w:lang w:val="fr-FR"/>
        </w:rPr>
        <w:t>exhaustivité des bases de données.</w:t>
      </w:r>
    </w:p>
    <w:p w:rsidR="00827851" w:rsidRPr="00646A34" w:rsidRDefault="00827851" w:rsidP="00B34841">
      <w:pPr>
        <w:rPr>
          <w:lang w:val="fr-FR"/>
        </w:rPr>
      </w:pPr>
    </w:p>
    <w:p w:rsidR="004C5DA1" w:rsidRPr="00646A34" w:rsidRDefault="004C5DA1" w:rsidP="00B34841">
      <w:pPr>
        <w:rPr>
          <w:lang w:val="fr-FR"/>
        </w:rPr>
      </w:pPr>
    </w:p>
    <w:p w:rsidR="00827851" w:rsidRPr="00646A34" w:rsidRDefault="000979CA" w:rsidP="000979CA">
      <w:pPr>
        <w:rPr>
          <w:u w:val="single"/>
          <w:lang w:val="fr-FR"/>
        </w:rPr>
      </w:pPr>
      <w:r w:rsidRPr="00646A34">
        <w:rPr>
          <w:u w:val="single"/>
          <w:lang w:val="fr-FR"/>
        </w:rPr>
        <w:t>Table des matières</w:t>
      </w:r>
    </w:p>
    <w:p w:rsidR="00827851" w:rsidRPr="00646A34" w:rsidRDefault="00827851" w:rsidP="00B34841">
      <w:pPr>
        <w:rPr>
          <w:lang w:val="fr-FR"/>
        </w:rPr>
      </w:pPr>
    </w:p>
    <w:p w:rsidR="007B7145" w:rsidRDefault="006A6E24">
      <w:pPr>
        <w:pStyle w:val="TOC1"/>
        <w:rPr>
          <w:rFonts w:asciiTheme="minorHAnsi" w:eastAsiaTheme="minorEastAsia" w:hAnsiTheme="minorHAnsi" w:cstheme="minorBidi"/>
          <w:caps w:val="0"/>
          <w:sz w:val="22"/>
          <w:szCs w:val="22"/>
        </w:rPr>
      </w:pPr>
      <w:r w:rsidRPr="00646A34">
        <w:rPr>
          <w:u w:val="single"/>
          <w:lang w:val="fr-FR"/>
        </w:rPr>
        <w:fldChar w:fldCharType="begin"/>
      </w:r>
      <w:r w:rsidRPr="00646A34">
        <w:rPr>
          <w:u w:val="single"/>
          <w:lang w:val="fr-FR"/>
        </w:rPr>
        <w:instrText xml:space="preserve"> TOC \o "1-2" \h \z \u </w:instrText>
      </w:r>
      <w:r w:rsidRPr="00646A34">
        <w:rPr>
          <w:u w:val="single"/>
          <w:lang w:val="fr-FR"/>
        </w:rPr>
        <w:fldChar w:fldCharType="separate"/>
      </w:r>
      <w:hyperlink w:anchor="_Toc398280919" w:history="1">
        <w:r w:rsidR="007B7145" w:rsidRPr="00E44A7D">
          <w:rPr>
            <w:rStyle w:val="Hyperlink"/>
            <w:lang w:val="fr-FR"/>
          </w:rPr>
          <w:t>II.</w:t>
        </w:r>
        <w:r w:rsidR="007B7145">
          <w:rPr>
            <w:rFonts w:asciiTheme="minorHAnsi" w:eastAsiaTheme="minorEastAsia" w:hAnsiTheme="minorHAnsi" w:cstheme="minorBidi"/>
            <w:caps w:val="0"/>
            <w:sz w:val="22"/>
            <w:szCs w:val="22"/>
          </w:rPr>
          <w:tab/>
        </w:r>
        <w:r w:rsidR="007B7145" w:rsidRPr="00E44A7D">
          <w:rPr>
            <w:rStyle w:val="Hyperlink"/>
            <w:lang w:val="fr-FR"/>
          </w:rPr>
          <w:t>Document</w:t>
        </w:r>
        <w:r w:rsidR="007B7145" w:rsidRPr="00E44A7D">
          <w:rPr>
            <w:rStyle w:val="Hyperlink"/>
            <w:lang w:val="fr-FR"/>
          </w:rPr>
          <w:noBreakHyphen/>
          <w:t>cadre UPOV/INF/15 “Document d’orientation destiné aux membres de l’UPOV concernant les obligations en cours et les notifications connexes, ainsi que la fourniture d’informations visant à faciliter la coopération”</w:t>
        </w:r>
        <w:r w:rsidR="007B7145">
          <w:rPr>
            <w:webHidden/>
          </w:rPr>
          <w:tab/>
        </w:r>
        <w:r w:rsidR="007B7145">
          <w:rPr>
            <w:webHidden/>
          </w:rPr>
          <w:fldChar w:fldCharType="begin"/>
        </w:r>
        <w:r w:rsidR="007B7145">
          <w:rPr>
            <w:webHidden/>
          </w:rPr>
          <w:instrText xml:space="preserve"> PAGEREF _Toc398280919 \h </w:instrText>
        </w:r>
        <w:r w:rsidR="007B7145">
          <w:rPr>
            <w:webHidden/>
          </w:rPr>
        </w:r>
        <w:r w:rsidR="007B7145">
          <w:rPr>
            <w:webHidden/>
          </w:rPr>
          <w:fldChar w:fldCharType="separate"/>
        </w:r>
        <w:r w:rsidR="007B7145">
          <w:rPr>
            <w:webHidden/>
          </w:rPr>
          <w:t>2</w:t>
        </w:r>
        <w:r w:rsidR="007B7145">
          <w:rPr>
            <w:webHidden/>
          </w:rPr>
          <w:fldChar w:fldCharType="end"/>
        </w:r>
      </w:hyperlink>
    </w:p>
    <w:p w:rsidR="007B7145" w:rsidRDefault="00204B18">
      <w:pPr>
        <w:pStyle w:val="TOC1"/>
        <w:rPr>
          <w:rFonts w:asciiTheme="minorHAnsi" w:eastAsiaTheme="minorEastAsia" w:hAnsiTheme="minorHAnsi" w:cstheme="minorBidi"/>
          <w:caps w:val="0"/>
          <w:sz w:val="22"/>
          <w:szCs w:val="22"/>
        </w:rPr>
      </w:pPr>
      <w:hyperlink w:anchor="_Toc398280920" w:history="1">
        <w:r w:rsidR="007B7145" w:rsidRPr="00E44A7D">
          <w:rPr>
            <w:rStyle w:val="Hyperlink"/>
            <w:lang w:val="fr-FR"/>
          </w:rPr>
          <w:t>III.</w:t>
        </w:r>
        <w:r w:rsidR="007B7145">
          <w:rPr>
            <w:rFonts w:asciiTheme="minorHAnsi" w:eastAsiaTheme="minorEastAsia" w:hAnsiTheme="minorHAnsi" w:cstheme="minorBidi"/>
            <w:caps w:val="0"/>
            <w:sz w:val="22"/>
            <w:szCs w:val="22"/>
          </w:rPr>
          <w:tab/>
        </w:r>
        <w:r w:rsidR="007B7145" w:rsidRPr="00E44A7D">
          <w:rPr>
            <w:rStyle w:val="Hyperlink"/>
            <w:lang w:val="fr-FR"/>
          </w:rPr>
          <w:t>QUESTIONS INDIVIDUELLES APPROUVÉES PAR LE CAJ, à SA SOIXANTE</w:t>
        </w:r>
        <w:r w:rsidR="007B7145" w:rsidRPr="00E44A7D">
          <w:rPr>
            <w:rStyle w:val="Hyperlink"/>
            <w:lang w:val="fr-FR"/>
          </w:rPr>
          <w:noBreakHyphen/>
          <w:t xml:space="preserve">NEUVIÈME SESSION, </w:t>
        </w:r>
        <w:r w:rsidR="007B7145" w:rsidRPr="00E44A7D">
          <w:rPr>
            <w:rStyle w:val="Hyperlink"/>
            <w:snapToGrid w:val="0"/>
            <w:lang w:val="fr-FR"/>
          </w:rPr>
          <w:t>pour l’élaboration d’orientations complémentaires dans le document upov/inf/15</w:t>
        </w:r>
        <w:r w:rsidR="007B7145">
          <w:rPr>
            <w:webHidden/>
          </w:rPr>
          <w:tab/>
        </w:r>
        <w:r w:rsidR="007B7145">
          <w:rPr>
            <w:webHidden/>
          </w:rPr>
          <w:fldChar w:fldCharType="begin"/>
        </w:r>
        <w:r w:rsidR="007B7145">
          <w:rPr>
            <w:webHidden/>
          </w:rPr>
          <w:instrText xml:space="preserve"> PAGEREF _Toc398280920 \h </w:instrText>
        </w:r>
        <w:r w:rsidR="007B7145">
          <w:rPr>
            <w:webHidden/>
          </w:rPr>
        </w:r>
        <w:r w:rsidR="007B7145">
          <w:rPr>
            <w:webHidden/>
          </w:rPr>
          <w:fldChar w:fldCharType="separate"/>
        </w:r>
        <w:r w:rsidR="007B7145">
          <w:rPr>
            <w:webHidden/>
          </w:rPr>
          <w:t>3</w:t>
        </w:r>
        <w:r w:rsidR="007B7145">
          <w:rPr>
            <w:webHidden/>
          </w:rPr>
          <w:fldChar w:fldCharType="end"/>
        </w:r>
      </w:hyperlink>
    </w:p>
    <w:p w:rsidR="007B7145" w:rsidRDefault="00204B18">
      <w:pPr>
        <w:pStyle w:val="TOC2"/>
        <w:rPr>
          <w:rFonts w:asciiTheme="minorHAnsi" w:eastAsiaTheme="minorEastAsia" w:hAnsiTheme="minorHAnsi" w:cstheme="minorBidi"/>
          <w:sz w:val="22"/>
          <w:szCs w:val="22"/>
        </w:rPr>
      </w:pPr>
      <w:hyperlink w:anchor="_Toc398280921" w:history="1">
        <w:r w:rsidR="007B7145" w:rsidRPr="00E44A7D">
          <w:rPr>
            <w:rStyle w:val="Hyperlink"/>
            <w:lang w:val="fr-FR"/>
          </w:rPr>
          <w:t>Créneau pour le dépôt des demandes</w:t>
        </w:r>
        <w:r w:rsidR="007B7145">
          <w:rPr>
            <w:webHidden/>
          </w:rPr>
          <w:tab/>
        </w:r>
        <w:r w:rsidR="007B7145">
          <w:rPr>
            <w:webHidden/>
          </w:rPr>
          <w:fldChar w:fldCharType="begin"/>
        </w:r>
        <w:r w:rsidR="007B7145">
          <w:rPr>
            <w:webHidden/>
          </w:rPr>
          <w:instrText xml:space="preserve"> PAGEREF _Toc398280921 \h </w:instrText>
        </w:r>
        <w:r w:rsidR="007B7145">
          <w:rPr>
            <w:webHidden/>
          </w:rPr>
        </w:r>
        <w:r w:rsidR="007B7145">
          <w:rPr>
            <w:webHidden/>
          </w:rPr>
          <w:fldChar w:fldCharType="separate"/>
        </w:r>
        <w:r w:rsidR="007B7145">
          <w:rPr>
            <w:webHidden/>
          </w:rPr>
          <w:t>3</w:t>
        </w:r>
        <w:r w:rsidR="007B7145">
          <w:rPr>
            <w:webHidden/>
          </w:rPr>
          <w:fldChar w:fldCharType="end"/>
        </w:r>
      </w:hyperlink>
    </w:p>
    <w:p w:rsidR="007B7145" w:rsidRDefault="00204B18">
      <w:pPr>
        <w:pStyle w:val="TOC2"/>
        <w:rPr>
          <w:rFonts w:asciiTheme="minorHAnsi" w:eastAsiaTheme="minorEastAsia" w:hAnsiTheme="minorHAnsi" w:cstheme="minorBidi"/>
          <w:sz w:val="22"/>
          <w:szCs w:val="22"/>
        </w:rPr>
      </w:pPr>
      <w:hyperlink w:anchor="_Toc398280922" w:history="1">
        <w:r w:rsidR="007B7145" w:rsidRPr="00E44A7D">
          <w:rPr>
            <w:rStyle w:val="Hyperlink"/>
            <w:lang w:val="fr-FR"/>
          </w:rPr>
          <w:t>Information généalogique</w:t>
        </w:r>
        <w:r w:rsidR="007B7145">
          <w:rPr>
            <w:webHidden/>
          </w:rPr>
          <w:tab/>
        </w:r>
        <w:r w:rsidR="007B7145">
          <w:rPr>
            <w:webHidden/>
          </w:rPr>
          <w:fldChar w:fldCharType="begin"/>
        </w:r>
        <w:r w:rsidR="007B7145">
          <w:rPr>
            <w:webHidden/>
          </w:rPr>
          <w:instrText xml:space="preserve"> PAGEREF _Toc398280922 \h </w:instrText>
        </w:r>
        <w:r w:rsidR="007B7145">
          <w:rPr>
            <w:webHidden/>
          </w:rPr>
        </w:r>
        <w:r w:rsidR="007B7145">
          <w:rPr>
            <w:webHidden/>
          </w:rPr>
          <w:fldChar w:fldCharType="separate"/>
        </w:r>
        <w:r w:rsidR="007B7145">
          <w:rPr>
            <w:webHidden/>
          </w:rPr>
          <w:t>3</w:t>
        </w:r>
        <w:r w:rsidR="007B7145">
          <w:rPr>
            <w:webHidden/>
          </w:rPr>
          <w:fldChar w:fldCharType="end"/>
        </w:r>
      </w:hyperlink>
    </w:p>
    <w:p w:rsidR="007B7145" w:rsidRDefault="00204B18">
      <w:pPr>
        <w:pStyle w:val="TOC2"/>
        <w:rPr>
          <w:rFonts w:asciiTheme="minorHAnsi" w:eastAsiaTheme="minorEastAsia" w:hAnsiTheme="minorHAnsi" w:cstheme="minorBidi"/>
          <w:sz w:val="22"/>
          <w:szCs w:val="22"/>
        </w:rPr>
      </w:pPr>
      <w:hyperlink w:anchor="_Toc398280923" w:history="1">
        <w:r w:rsidR="007B7145" w:rsidRPr="00E44A7D">
          <w:rPr>
            <w:rStyle w:val="Hyperlink"/>
            <w:lang w:val="fr-FR"/>
          </w:rPr>
          <w:t>Dépôt électronique des demandes</w:t>
        </w:r>
        <w:r w:rsidR="007B7145">
          <w:rPr>
            <w:webHidden/>
          </w:rPr>
          <w:tab/>
        </w:r>
        <w:r w:rsidR="007B7145">
          <w:rPr>
            <w:webHidden/>
          </w:rPr>
          <w:fldChar w:fldCharType="begin"/>
        </w:r>
        <w:r w:rsidR="007B7145">
          <w:rPr>
            <w:webHidden/>
          </w:rPr>
          <w:instrText xml:space="preserve"> PAGEREF _Toc398280923 \h </w:instrText>
        </w:r>
        <w:r w:rsidR="007B7145">
          <w:rPr>
            <w:webHidden/>
          </w:rPr>
        </w:r>
        <w:r w:rsidR="007B7145">
          <w:rPr>
            <w:webHidden/>
          </w:rPr>
          <w:fldChar w:fldCharType="separate"/>
        </w:r>
        <w:r w:rsidR="007B7145">
          <w:rPr>
            <w:webHidden/>
          </w:rPr>
          <w:t>3</w:t>
        </w:r>
        <w:r w:rsidR="007B7145">
          <w:rPr>
            <w:webHidden/>
          </w:rPr>
          <w:fldChar w:fldCharType="end"/>
        </w:r>
      </w:hyperlink>
    </w:p>
    <w:p w:rsidR="007B7145" w:rsidRDefault="00204B18">
      <w:pPr>
        <w:pStyle w:val="TOC2"/>
        <w:rPr>
          <w:rFonts w:asciiTheme="minorHAnsi" w:eastAsiaTheme="minorEastAsia" w:hAnsiTheme="minorHAnsi" w:cstheme="minorBidi"/>
          <w:sz w:val="22"/>
          <w:szCs w:val="22"/>
        </w:rPr>
      </w:pPr>
      <w:hyperlink w:anchor="_Toc398280924" w:history="1">
        <w:r w:rsidR="007B7145" w:rsidRPr="00E44A7D">
          <w:rPr>
            <w:rStyle w:val="Hyperlink"/>
            <w:rFonts w:eastAsia="Arial"/>
            <w:lang w:val="fr-FR"/>
          </w:rPr>
          <w:t>Confidentialité du matériel du déposant lorsque les centres d’examen créent des variétés de la même espèce</w:t>
        </w:r>
        <w:r w:rsidR="007B7145">
          <w:rPr>
            <w:webHidden/>
          </w:rPr>
          <w:tab/>
        </w:r>
        <w:r w:rsidR="007B7145">
          <w:rPr>
            <w:webHidden/>
          </w:rPr>
          <w:fldChar w:fldCharType="begin"/>
        </w:r>
        <w:r w:rsidR="007B7145">
          <w:rPr>
            <w:webHidden/>
          </w:rPr>
          <w:instrText xml:space="preserve"> PAGEREF _Toc398280924 \h </w:instrText>
        </w:r>
        <w:r w:rsidR="007B7145">
          <w:rPr>
            <w:webHidden/>
          </w:rPr>
        </w:r>
        <w:r w:rsidR="007B7145">
          <w:rPr>
            <w:webHidden/>
          </w:rPr>
          <w:fldChar w:fldCharType="separate"/>
        </w:r>
        <w:r w:rsidR="007B7145">
          <w:rPr>
            <w:webHidden/>
          </w:rPr>
          <w:t>4</w:t>
        </w:r>
        <w:r w:rsidR="007B7145">
          <w:rPr>
            <w:webHidden/>
          </w:rPr>
          <w:fldChar w:fldCharType="end"/>
        </w:r>
      </w:hyperlink>
    </w:p>
    <w:p w:rsidR="007B7145" w:rsidRDefault="00204B18">
      <w:pPr>
        <w:pStyle w:val="TOC2"/>
        <w:rPr>
          <w:rFonts w:asciiTheme="minorHAnsi" w:eastAsiaTheme="minorEastAsia" w:hAnsiTheme="minorHAnsi" w:cstheme="minorBidi"/>
          <w:sz w:val="22"/>
          <w:szCs w:val="22"/>
        </w:rPr>
      </w:pPr>
      <w:hyperlink w:anchor="_Toc398280925" w:history="1">
        <w:r w:rsidR="007B7145" w:rsidRPr="00E44A7D">
          <w:rPr>
            <w:rStyle w:val="Hyperlink"/>
            <w:lang w:val="fr-FR"/>
          </w:rPr>
          <w:t>Fréquence de la communication des données et exhaustivité des bases de données</w:t>
        </w:r>
        <w:r w:rsidR="007B7145">
          <w:rPr>
            <w:webHidden/>
          </w:rPr>
          <w:tab/>
        </w:r>
        <w:r w:rsidR="007B7145">
          <w:rPr>
            <w:webHidden/>
          </w:rPr>
          <w:fldChar w:fldCharType="begin"/>
        </w:r>
        <w:r w:rsidR="007B7145">
          <w:rPr>
            <w:webHidden/>
          </w:rPr>
          <w:instrText xml:space="preserve"> PAGEREF _Toc398280925 \h </w:instrText>
        </w:r>
        <w:r w:rsidR="007B7145">
          <w:rPr>
            <w:webHidden/>
          </w:rPr>
        </w:r>
        <w:r w:rsidR="007B7145">
          <w:rPr>
            <w:webHidden/>
          </w:rPr>
          <w:fldChar w:fldCharType="separate"/>
        </w:r>
        <w:r w:rsidR="007B7145">
          <w:rPr>
            <w:webHidden/>
          </w:rPr>
          <w:t>4</w:t>
        </w:r>
        <w:r w:rsidR="007B7145">
          <w:rPr>
            <w:webHidden/>
          </w:rPr>
          <w:fldChar w:fldCharType="end"/>
        </w:r>
      </w:hyperlink>
    </w:p>
    <w:p w:rsidR="00535FA4" w:rsidRPr="00646A34" w:rsidRDefault="006A6E24" w:rsidP="002858EB">
      <w:pPr>
        <w:rPr>
          <w:noProof/>
          <w:u w:val="single"/>
          <w:lang w:val="fr-FR"/>
        </w:rPr>
      </w:pPr>
      <w:r w:rsidRPr="00646A34">
        <w:rPr>
          <w:noProof/>
          <w:u w:val="single"/>
          <w:lang w:val="fr-FR"/>
        </w:rPr>
        <w:fldChar w:fldCharType="end"/>
      </w:r>
    </w:p>
    <w:p w:rsidR="00535FA4" w:rsidRPr="00646A34" w:rsidRDefault="00535FA4" w:rsidP="00535FA4">
      <w:pPr>
        <w:ind w:left="284" w:right="850" w:hanging="284"/>
        <w:rPr>
          <w:noProof/>
          <w:lang w:val="fr-FR"/>
        </w:rPr>
      </w:pPr>
      <w:r w:rsidRPr="00646A34">
        <w:rPr>
          <w:noProof/>
          <w:lang w:val="fr-FR"/>
        </w:rPr>
        <w:t>ANNEXE : </w:t>
      </w:r>
      <w:r w:rsidRPr="00646A34">
        <w:rPr>
          <w:lang w:val="fr-FR"/>
        </w:rPr>
        <w:t>MODULES 1 ET 2 DES COURS DL</w:t>
      </w:r>
      <w:r w:rsidRPr="00646A34">
        <w:rPr>
          <w:lang w:val="fr-FR"/>
        </w:rPr>
        <w:noBreakHyphen/>
        <w:t>305 “EXAMEN DES DEMANDES DE DROITS D’OBTENTEUR” ET DL</w:t>
      </w:r>
      <w:r w:rsidRPr="00646A34">
        <w:rPr>
          <w:lang w:val="fr-FR"/>
        </w:rPr>
        <w:noBreakHyphen/>
        <w:t>305A “ADMINISTRATION DES DROITS D’OBTENTEUR”</w:t>
      </w:r>
    </w:p>
    <w:p w:rsidR="00535FA4" w:rsidRPr="00646A34" w:rsidRDefault="00535FA4" w:rsidP="002858EB">
      <w:pPr>
        <w:rPr>
          <w:noProof/>
          <w:u w:val="single"/>
          <w:lang w:val="fr-FR"/>
        </w:rPr>
      </w:pPr>
    </w:p>
    <w:p w:rsidR="00F13B8A" w:rsidRPr="00646A34" w:rsidRDefault="00F13B8A" w:rsidP="002858EB">
      <w:pPr>
        <w:rPr>
          <w:noProof/>
          <w:u w:val="single"/>
          <w:lang w:val="fr-FR"/>
        </w:rPr>
      </w:pPr>
    </w:p>
    <w:p w:rsidR="00827851" w:rsidRPr="00646A34" w:rsidRDefault="00A14160" w:rsidP="00F13B8A">
      <w:pPr>
        <w:keepNext/>
        <w:rPr>
          <w:lang w:val="fr-FR"/>
        </w:rPr>
      </w:pPr>
      <w:r w:rsidRPr="00646A34">
        <w:rPr>
          <w:lang w:val="fr-FR"/>
        </w:rPr>
        <w:lastRenderedPageBreak/>
        <w:t>I</w:t>
      </w:r>
      <w:r w:rsidR="000979CA" w:rsidRPr="00646A34">
        <w:rPr>
          <w:lang w:val="fr-FR"/>
        </w:rPr>
        <w:t xml:space="preserve">. </w:t>
      </w:r>
      <w:r w:rsidR="00DF28A5" w:rsidRPr="00646A34">
        <w:rPr>
          <w:lang w:val="fr-FR"/>
        </w:rPr>
        <w:tab/>
      </w:r>
      <w:r w:rsidR="000979CA" w:rsidRPr="00646A34">
        <w:rPr>
          <w:lang w:val="fr-FR"/>
        </w:rPr>
        <w:t>I</w:t>
      </w:r>
      <w:r w:rsidRPr="00646A34">
        <w:rPr>
          <w:lang w:val="fr-FR"/>
        </w:rPr>
        <w:t>NFORMATIONS GÉNÉRALES</w:t>
      </w:r>
    </w:p>
    <w:p w:rsidR="00827851" w:rsidRPr="00646A34" w:rsidRDefault="00827851" w:rsidP="00F13B8A">
      <w:pPr>
        <w:keepNext/>
        <w:rPr>
          <w:lang w:val="fr-FR"/>
        </w:rPr>
      </w:pPr>
    </w:p>
    <w:p w:rsidR="00827851" w:rsidRPr="00646A34" w:rsidRDefault="00910DD9" w:rsidP="0080679D">
      <w:pPr>
        <w:rPr>
          <w:snapToGrid w:val="0"/>
          <w:lang w:val="fr-FR"/>
        </w:rPr>
      </w:pPr>
      <w:r w:rsidRPr="00646A34">
        <w:rPr>
          <w:snapToGrid w:val="0"/>
          <w:lang w:val="fr-FR"/>
        </w:rPr>
        <w:fldChar w:fldCharType="begin"/>
      </w:r>
      <w:r w:rsidRPr="00646A34">
        <w:rPr>
          <w:snapToGrid w:val="0"/>
          <w:lang w:val="fr-FR"/>
        </w:rPr>
        <w:instrText xml:space="preserve"> AUTONUM  </w:instrText>
      </w:r>
      <w:r w:rsidRPr="00646A34">
        <w:rPr>
          <w:snapToGrid w:val="0"/>
          <w:lang w:val="fr-FR"/>
        </w:rPr>
        <w:fldChar w:fldCharType="end"/>
      </w:r>
      <w:r w:rsidRPr="00646A34">
        <w:rPr>
          <w:snapToGrid w:val="0"/>
          <w:lang w:val="fr-FR"/>
        </w:rPr>
        <w:tab/>
      </w:r>
      <w:r w:rsidR="00A847BF" w:rsidRPr="00646A34">
        <w:rPr>
          <w:snapToGrid w:val="0"/>
          <w:lang w:val="fr-FR"/>
        </w:rPr>
        <w:t>À sa soixante</w:t>
      </w:r>
      <w:r w:rsidR="00DF28A5" w:rsidRPr="00646A34">
        <w:rPr>
          <w:snapToGrid w:val="0"/>
          <w:lang w:val="fr-FR"/>
        </w:rPr>
        <w:noBreakHyphen/>
      </w:r>
      <w:r w:rsidR="00A847BF" w:rsidRPr="00646A34">
        <w:rPr>
          <w:snapToGrid w:val="0"/>
          <w:lang w:val="fr-FR"/>
        </w:rPr>
        <w:t>neuvième</w:t>
      </w:r>
      <w:r w:rsidR="00395B04" w:rsidRPr="00646A34">
        <w:rPr>
          <w:snapToGrid w:val="0"/>
          <w:lang w:val="fr-FR"/>
        </w:rPr>
        <w:t> </w:t>
      </w:r>
      <w:r w:rsidR="00A847BF" w:rsidRPr="00646A34">
        <w:rPr>
          <w:snapToGrid w:val="0"/>
          <w:lang w:val="fr-FR"/>
        </w:rPr>
        <w:t>session</w:t>
      </w:r>
      <w:r w:rsidR="00F92F9B" w:rsidRPr="00646A34">
        <w:rPr>
          <w:snapToGrid w:val="0"/>
          <w:lang w:val="fr-FR"/>
        </w:rPr>
        <w:t>,</w:t>
      </w:r>
      <w:r w:rsidR="00A847BF" w:rsidRPr="00646A34">
        <w:rPr>
          <w:snapToGrid w:val="0"/>
          <w:lang w:val="fr-FR"/>
        </w:rPr>
        <w:t xml:space="preserve"> qui s</w:t>
      </w:r>
      <w:r w:rsidR="00F72F8E" w:rsidRPr="00646A34">
        <w:rPr>
          <w:snapToGrid w:val="0"/>
          <w:lang w:val="fr-FR"/>
        </w:rPr>
        <w:t>’</w:t>
      </w:r>
      <w:r w:rsidR="00A847BF" w:rsidRPr="00646A34">
        <w:rPr>
          <w:snapToGrid w:val="0"/>
          <w:lang w:val="fr-FR"/>
        </w:rPr>
        <w:t>est tenue à Genève le 10 avril 2014,</w:t>
      </w:r>
      <w:r w:rsidR="00F72F8E" w:rsidRPr="00646A34">
        <w:rPr>
          <w:snapToGrid w:val="0"/>
          <w:lang w:val="fr-FR"/>
        </w:rPr>
        <w:t xml:space="preserve"> le CAJ</w:t>
      </w:r>
      <w:r w:rsidR="00A847BF" w:rsidRPr="00646A34">
        <w:rPr>
          <w:snapToGrid w:val="0"/>
          <w:lang w:val="fr-FR"/>
        </w:rPr>
        <w:t xml:space="preserve"> a </w:t>
      </w:r>
      <w:r w:rsidR="00F53DB7" w:rsidRPr="00646A34">
        <w:rPr>
          <w:snapToGrid w:val="0"/>
          <w:lang w:val="fr-FR"/>
        </w:rPr>
        <w:t xml:space="preserve">examiné le document CAJ/69/10 intitulé </w:t>
      </w:r>
      <w:r w:rsidR="00E607B1" w:rsidRPr="00646A34">
        <w:rPr>
          <w:snapToGrid w:val="0"/>
          <w:lang w:val="fr-FR"/>
        </w:rPr>
        <w:t>“</w:t>
      </w:r>
      <w:r w:rsidR="00F53DB7" w:rsidRPr="00646A34">
        <w:rPr>
          <w:snapToGrid w:val="0"/>
          <w:lang w:val="fr-FR"/>
        </w:rPr>
        <w:t>Questions soulevées par l</w:t>
      </w:r>
      <w:r w:rsidR="00F72F8E" w:rsidRPr="00646A34">
        <w:rPr>
          <w:snapToGrid w:val="0"/>
          <w:lang w:val="fr-FR"/>
        </w:rPr>
        <w:t>’</w:t>
      </w:r>
      <w:r w:rsidR="00F53DB7" w:rsidRPr="00646A34">
        <w:rPr>
          <w:i/>
          <w:snapToGrid w:val="0"/>
          <w:lang w:val="fr-FR"/>
        </w:rPr>
        <w:t>International Seed Federation</w:t>
      </w:r>
      <w:r w:rsidR="00F53DB7" w:rsidRPr="00646A34">
        <w:rPr>
          <w:snapToGrid w:val="0"/>
          <w:lang w:val="fr-FR"/>
        </w:rPr>
        <w:t xml:space="preserve"> (ISF)</w:t>
      </w:r>
      <w:r w:rsidR="00E607B1" w:rsidRPr="00646A34">
        <w:rPr>
          <w:snapToGrid w:val="0"/>
          <w:lang w:val="fr-FR"/>
        </w:rPr>
        <w:t>”</w:t>
      </w:r>
      <w:r w:rsidR="00F53DB7" w:rsidRPr="00646A34">
        <w:rPr>
          <w:snapToGrid w:val="0"/>
          <w:lang w:val="fr-FR"/>
        </w:rPr>
        <w:t xml:space="preserve">, et est convenu de transformer le document UPOV/INF/15 </w:t>
      </w:r>
      <w:r w:rsidR="00E607B1" w:rsidRPr="00646A34">
        <w:rPr>
          <w:snapToGrid w:val="0"/>
          <w:lang w:val="fr-FR"/>
        </w:rPr>
        <w:t>“</w:t>
      </w:r>
      <w:r w:rsidR="00F53DB7" w:rsidRPr="00646A34">
        <w:rPr>
          <w:snapToGrid w:val="0"/>
          <w:lang w:val="fr-FR"/>
        </w:rPr>
        <w:t>Document d</w:t>
      </w:r>
      <w:r w:rsidR="00F72F8E" w:rsidRPr="00646A34">
        <w:rPr>
          <w:snapToGrid w:val="0"/>
          <w:lang w:val="fr-FR"/>
        </w:rPr>
        <w:t>’</w:t>
      </w:r>
      <w:r w:rsidR="00F53DB7" w:rsidRPr="00646A34">
        <w:rPr>
          <w:snapToGrid w:val="0"/>
          <w:lang w:val="fr-FR"/>
        </w:rPr>
        <w:t>orientation destiné aux membres de l</w:t>
      </w:r>
      <w:r w:rsidR="00F72F8E" w:rsidRPr="00646A34">
        <w:rPr>
          <w:snapToGrid w:val="0"/>
          <w:lang w:val="fr-FR"/>
        </w:rPr>
        <w:t>’</w:t>
      </w:r>
      <w:r w:rsidR="00F53DB7" w:rsidRPr="00646A34">
        <w:rPr>
          <w:snapToGrid w:val="0"/>
          <w:lang w:val="fr-FR"/>
        </w:rPr>
        <w:t>UPOV concernant les obligations en cours et les notifications connexes, ainsi que la fourniture d</w:t>
      </w:r>
      <w:r w:rsidR="00F72F8E" w:rsidRPr="00646A34">
        <w:rPr>
          <w:snapToGrid w:val="0"/>
          <w:lang w:val="fr-FR"/>
        </w:rPr>
        <w:t>’</w:t>
      </w:r>
      <w:r w:rsidR="00F53DB7" w:rsidRPr="00646A34">
        <w:rPr>
          <w:snapToGrid w:val="0"/>
          <w:lang w:val="fr-FR"/>
        </w:rPr>
        <w:t>informations visant à faciliter la coopération</w:t>
      </w:r>
      <w:r w:rsidR="00E607B1" w:rsidRPr="00646A34">
        <w:rPr>
          <w:snapToGrid w:val="0"/>
          <w:lang w:val="fr-FR"/>
        </w:rPr>
        <w:t>”</w:t>
      </w:r>
      <w:r w:rsidR="00F53DB7" w:rsidRPr="00646A34">
        <w:rPr>
          <w:snapToGrid w:val="0"/>
          <w:lang w:val="fr-FR"/>
        </w:rPr>
        <w:t xml:space="preserve"> en un document</w:t>
      </w:r>
      <w:r w:rsidR="00DF28A5" w:rsidRPr="00646A34">
        <w:rPr>
          <w:snapToGrid w:val="0"/>
          <w:lang w:val="fr-FR"/>
        </w:rPr>
        <w:noBreakHyphen/>
      </w:r>
      <w:r w:rsidR="00F53DB7" w:rsidRPr="00646A34">
        <w:rPr>
          <w:snapToGrid w:val="0"/>
          <w:lang w:val="fr-FR"/>
        </w:rPr>
        <w:t>cadre qui déterminera</w:t>
      </w:r>
      <w:r w:rsidR="00E918EC" w:rsidRPr="00646A34">
        <w:rPr>
          <w:snapToGrid w:val="0"/>
          <w:lang w:val="fr-FR"/>
        </w:rPr>
        <w:t>it</w:t>
      </w:r>
      <w:r w:rsidR="00F53DB7" w:rsidRPr="00646A34">
        <w:rPr>
          <w:snapToGrid w:val="0"/>
          <w:lang w:val="fr-FR"/>
        </w:rPr>
        <w:t xml:space="preserve"> les questions clés pour le fonctionnement d</w:t>
      </w:r>
      <w:r w:rsidR="00F72F8E" w:rsidRPr="00646A34">
        <w:rPr>
          <w:snapToGrid w:val="0"/>
          <w:lang w:val="fr-FR"/>
        </w:rPr>
        <w:t>’</w:t>
      </w:r>
      <w:r w:rsidR="00F53DB7" w:rsidRPr="00646A34">
        <w:rPr>
          <w:snapToGrid w:val="0"/>
          <w:lang w:val="fr-FR"/>
        </w:rPr>
        <w:t>un système de protection des obtentions végétales et fournira</w:t>
      </w:r>
      <w:r w:rsidR="00E918EC" w:rsidRPr="00646A34">
        <w:rPr>
          <w:snapToGrid w:val="0"/>
          <w:lang w:val="fr-FR"/>
        </w:rPr>
        <w:t>it</w:t>
      </w:r>
      <w:r w:rsidR="00F53DB7" w:rsidRPr="00646A34">
        <w:rPr>
          <w:snapToGrid w:val="0"/>
          <w:lang w:val="fr-FR"/>
        </w:rPr>
        <w:t xml:space="preserve"> un lien avec les orientations détaillées pertinentes</w:t>
      </w:r>
      <w:r w:rsidR="00C40F00" w:rsidRPr="00646A34">
        <w:rPr>
          <w:snapToGrid w:val="0"/>
          <w:lang w:val="fr-FR"/>
        </w:rPr>
        <w:t xml:space="preserve">. </w:t>
      </w:r>
      <w:r w:rsidR="00395B04" w:rsidRPr="00646A34">
        <w:rPr>
          <w:snapToGrid w:val="0"/>
          <w:lang w:val="fr-FR"/>
        </w:rPr>
        <w:t xml:space="preserve"> </w:t>
      </w:r>
      <w:r w:rsidR="00343D83" w:rsidRPr="00646A34">
        <w:rPr>
          <w:snapToGrid w:val="0"/>
          <w:lang w:val="fr-FR"/>
        </w:rPr>
        <w:t>À la même session,</w:t>
      </w:r>
      <w:r w:rsidR="00F72F8E" w:rsidRPr="00646A34">
        <w:rPr>
          <w:snapToGrid w:val="0"/>
          <w:lang w:val="fr-FR"/>
        </w:rPr>
        <w:t xml:space="preserve"> le CAJ</w:t>
      </w:r>
      <w:r w:rsidR="00343D83" w:rsidRPr="00646A34">
        <w:rPr>
          <w:snapToGrid w:val="0"/>
          <w:lang w:val="fr-FR"/>
        </w:rPr>
        <w:t xml:space="preserve"> est en outre convenu de modifier le titre du document UPOV/INF/15 en conséquence et d</w:t>
      </w:r>
      <w:r w:rsidR="00F72F8E" w:rsidRPr="00646A34">
        <w:rPr>
          <w:snapToGrid w:val="0"/>
          <w:lang w:val="fr-FR"/>
        </w:rPr>
        <w:t>’</w:t>
      </w:r>
      <w:r w:rsidR="00343D83" w:rsidRPr="00646A34">
        <w:rPr>
          <w:snapToGrid w:val="0"/>
          <w:lang w:val="fr-FR"/>
        </w:rPr>
        <w:t xml:space="preserve">incorporer les éléments pertinents des modules 1 </w:t>
      </w:r>
      <w:r w:rsidR="006E5095" w:rsidRPr="00646A34">
        <w:rPr>
          <w:snapToGrid w:val="0"/>
          <w:lang w:val="fr-FR"/>
        </w:rPr>
        <w:t>(</w:t>
      </w:r>
      <w:r w:rsidR="00E607B1" w:rsidRPr="00646A34">
        <w:rPr>
          <w:snapToGrid w:val="0"/>
          <w:lang w:val="fr-FR"/>
        </w:rPr>
        <w:t>“</w:t>
      </w:r>
      <w:r w:rsidR="006E5095" w:rsidRPr="00646A34">
        <w:rPr>
          <w:snapToGrid w:val="0"/>
          <w:lang w:val="fr-FR"/>
        </w:rPr>
        <w:t>Le service d</w:t>
      </w:r>
      <w:r w:rsidR="00F72F8E" w:rsidRPr="00646A34">
        <w:rPr>
          <w:snapToGrid w:val="0"/>
          <w:lang w:val="fr-FR"/>
        </w:rPr>
        <w:t>’</w:t>
      </w:r>
      <w:r w:rsidR="006E5095" w:rsidRPr="00646A34">
        <w:rPr>
          <w:snapToGrid w:val="0"/>
          <w:lang w:val="fr-FR"/>
        </w:rPr>
        <w:t>octroi des droits d</w:t>
      </w:r>
      <w:r w:rsidR="00F72F8E" w:rsidRPr="00646A34">
        <w:rPr>
          <w:snapToGrid w:val="0"/>
          <w:lang w:val="fr-FR"/>
        </w:rPr>
        <w:t>’</w:t>
      </w:r>
      <w:r w:rsidR="006E5095" w:rsidRPr="00646A34">
        <w:rPr>
          <w:snapToGrid w:val="0"/>
          <w:lang w:val="fr-FR"/>
        </w:rPr>
        <w:t>obtenteur</w:t>
      </w:r>
      <w:r w:rsidR="00E607B1" w:rsidRPr="00646A34">
        <w:rPr>
          <w:snapToGrid w:val="0"/>
          <w:lang w:val="fr-FR"/>
        </w:rPr>
        <w:t>”</w:t>
      </w:r>
      <w:r w:rsidR="0091112A" w:rsidRPr="00646A34">
        <w:rPr>
          <w:snapToGrid w:val="0"/>
          <w:lang w:val="fr-FR"/>
        </w:rPr>
        <w:t>)</w:t>
      </w:r>
      <w:r w:rsidR="00343D83" w:rsidRPr="00646A34">
        <w:rPr>
          <w:snapToGrid w:val="0"/>
          <w:lang w:val="fr-FR"/>
        </w:rPr>
        <w:t xml:space="preserve"> et 2 </w:t>
      </w:r>
      <w:r w:rsidR="0091112A" w:rsidRPr="00646A34">
        <w:rPr>
          <w:snapToGrid w:val="0"/>
          <w:lang w:val="fr-FR"/>
        </w:rPr>
        <w:t>(</w:t>
      </w:r>
      <w:r w:rsidR="00E607B1" w:rsidRPr="00646A34">
        <w:rPr>
          <w:snapToGrid w:val="0"/>
          <w:lang w:val="fr-FR"/>
        </w:rPr>
        <w:t>“</w:t>
      </w:r>
      <w:r w:rsidR="0091112A" w:rsidRPr="00646A34">
        <w:rPr>
          <w:snapToGrid w:val="0"/>
          <w:lang w:val="fr-FR"/>
        </w:rPr>
        <w:t>Administration des demandes</w:t>
      </w:r>
      <w:r w:rsidR="00E607B1" w:rsidRPr="00646A34">
        <w:rPr>
          <w:snapToGrid w:val="0"/>
          <w:lang w:val="fr-FR"/>
        </w:rPr>
        <w:t>”</w:t>
      </w:r>
      <w:r w:rsidR="0091112A" w:rsidRPr="00646A34">
        <w:rPr>
          <w:snapToGrid w:val="0"/>
          <w:lang w:val="fr-FR"/>
        </w:rPr>
        <w:t>)</w:t>
      </w:r>
      <w:r w:rsidR="00343D83" w:rsidRPr="00646A34">
        <w:rPr>
          <w:snapToGrid w:val="0"/>
          <w:lang w:val="fr-FR"/>
        </w:rPr>
        <w:t xml:space="preserve"> du Programme d</w:t>
      </w:r>
      <w:r w:rsidR="00F72F8E" w:rsidRPr="00646A34">
        <w:rPr>
          <w:snapToGrid w:val="0"/>
          <w:lang w:val="fr-FR"/>
        </w:rPr>
        <w:t>’</w:t>
      </w:r>
      <w:r w:rsidR="00343D83" w:rsidRPr="00646A34">
        <w:rPr>
          <w:snapToGrid w:val="0"/>
          <w:lang w:val="fr-FR"/>
        </w:rPr>
        <w:t>enseignement à distance de l</w:t>
      </w:r>
      <w:r w:rsidR="00F72F8E" w:rsidRPr="00646A34">
        <w:rPr>
          <w:snapToGrid w:val="0"/>
          <w:lang w:val="fr-FR"/>
        </w:rPr>
        <w:t>’</w:t>
      </w:r>
      <w:r w:rsidR="00343D83" w:rsidRPr="00646A34">
        <w:rPr>
          <w:snapToGrid w:val="0"/>
          <w:lang w:val="fr-FR"/>
        </w:rPr>
        <w:t xml:space="preserve">UPOV </w:t>
      </w:r>
      <w:r w:rsidR="00E607B1" w:rsidRPr="00646A34">
        <w:rPr>
          <w:snapToGrid w:val="0"/>
          <w:lang w:val="fr-FR"/>
        </w:rPr>
        <w:t>“</w:t>
      </w:r>
      <w:r w:rsidR="00343D83" w:rsidRPr="00646A34">
        <w:rPr>
          <w:snapToGrid w:val="0"/>
          <w:lang w:val="fr-FR"/>
        </w:rPr>
        <w:t>Examen des demandes de droits d</w:t>
      </w:r>
      <w:r w:rsidR="00F72F8E" w:rsidRPr="00646A34">
        <w:rPr>
          <w:snapToGrid w:val="0"/>
          <w:lang w:val="fr-FR"/>
        </w:rPr>
        <w:t>’</w:t>
      </w:r>
      <w:r w:rsidR="00343D83" w:rsidRPr="00646A34">
        <w:rPr>
          <w:snapToGrid w:val="0"/>
          <w:lang w:val="fr-FR"/>
        </w:rPr>
        <w:t>obtenteur</w:t>
      </w:r>
      <w:r w:rsidR="00E607B1" w:rsidRPr="00646A34">
        <w:rPr>
          <w:snapToGrid w:val="0"/>
          <w:lang w:val="fr-FR"/>
        </w:rPr>
        <w:t>”</w:t>
      </w:r>
      <w:r w:rsidR="006341A0" w:rsidRPr="00646A34">
        <w:rPr>
          <w:snapToGrid w:val="0"/>
          <w:lang w:val="fr-FR"/>
        </w:rPr>
        <w:t xml:space="preserve"> (DL</w:t>
      </w:r>
      <w:r w:rsidR="00DF28A5" w:rsidRPr="00646A34">
        <w:rPr>
          <w:snapToGrid w:val="0"/>
          <w:lang w:val="fr-FR"/>
        </w:rPr>
        <w:noBreakHyphen/>
      </w:r>
      <w:r w:rsidR="00343D83" w:rsidRPr="00646A34">
        <w:rPr>
          <w:snapToGrid w:val="0"/>
          <w:lang w:val="fr-FR"/>
        </w:rPr>
        <w:t xml:space="preserve">305), ainsi que les éléments </w:t>
      </w:r>
      <w:r w:rsidR="001340FA" w:rsidRPr="00646A34">
        <w:rPr>
          <w:snapToGrid w:val="0"/>
          <w:lang w:val="fr-FR"/>
        </w:rPr>
        <w:t>approuvés</w:t>
      </w:r>
      <w:r w:rsidR="001B4459" w:rsidRPr="00646A34">
        <w:rPr>
          <w:snapToGrid w:val="0"/>
          <w:lang w:val="fr-FR"/>
        </w:rPr>
        <w:t xml:space="preserve"> par</w:t>
      </w:r>
      <w:r w:rsidR="00F72F8E" w:rsidRPr="00646A34">
        <w:rPr>
          <w:snapToGrid w:val="0"/>
          <w:lang w:val="fr-FR"/>
        </w:rPr>
        <w:t xml:space="preserve"> le CAJ</w:t>
      </w:r>
      <w:r w:rsidR="001B4459" w:rsidRPr="00646A34">
        <w:rPr>
          <w:snapToGrid w:val="0"/>
          <w:lang w:val="fr-FR"/>
        </w:rPr>
        <w:t xml:space="preserve"> </w:t>
      </w:r>
      <w:r w:rsidR="00343D83" w:rsidRPr="00646A34">
        <w:rPr>
          <w:snapToGrid w:val="0"/>
          <w:lang w:val="fr-FR"/>
        </w:rPr>
        <w:t>pour l</w:t>
      </w:r>
      <w:r w:rsidR="00F72F8E" w:rsidRPr="00646A34">
        <w:rPr>
          <w:snapToGrid w:val="0"/>
          <w:lang w:val="fr-FR"/>
        </w:rPr>
        <w:t>’</w:t>
      </w:r>
      <w:r w:rsidR="00343D83" w:rsidRPr="00646A34">
        <w:rPr>
          <w:snapToGrid w:val="0"/>
          <w:lang w:val="fr-FR"/>
        </w:rPr>
        <w:t>élaboration d</w:t>
      </w:r>
      <w:r w:rsidR="00F72F8E" w:rsidRPr="00646A34">
        <w:rPr>
          <w:snapToGrid w:val="0"/>
          <w:lang w:val="fr-FR"/>
        </w:rPr>
        <w:t>’</w:t>
      </w:r>
      <w:r w:rsidR="00343D83" w:rsidRPr="00646A34">
        <w:rPr>
          <w:snapToGrid w:val="0"/>
          <w:lang w:val="fr-FR"/>
        </w:rPr>
        <w:t xml:space="preserve">orientations concernant les questions </w:t>
      </w:r>
      <w:r w:rsidR="006D2984" w:rsidRPr="00646A34">
        <w:rPr>
          <w:snapToGrid w:val="0"/>
          <w:lang w:val="fr-FR"/>
        </w:rPr>
        <w:t>présentées</w:t>
      </w:r>
      <w:r w:rsidR="00343D83" w:rsidRPr="00646A34">
        <w:rPr>
          <w:snapToGrid w:val="0"/>
          <w:lang w:val="fr-FR"/>
        </w:rPr>
        <w:t xml:space="preserve"> dans le document </w:t>
      </w:r>
      <w:r w:rsidR="006D2984" w:rsidRPr="00646A34">
        <w:rPr>
          <w:snapToGrid w:val="0"/>
          <w:lang w:val="fr-FR"/>
        </w:rPr>
        <w:t xml:space="preserve">CAJ/69/10 </w:t>
      </w:r>
      <w:r w:rsidR="00E607B1" w:rsidRPr="00646A34">
        <w:rPr>
          <w:snapToGrid w:val="0"/>
          <w:lang w:val="fr-FR"/>
        </w:rPr>
        <w:t>“</w:t>
      </w:r>
      <w:r w:rsidR="006D2984" w:rsidRPr="00646A34">
        <w:rPr>
          <w:snapToGrid w:val="0"/>
          <w:lang w:val="fr-FR"/>
        </w:rPr>
        <w:t>Questions soulevées par l</w:t>
      </w:r>
      <w:r w:rsidR="00F72F8E" w:rsidRPr="00646A34">
        <w:rPr>
          <w:snapToGrid w:val="0"/>
          <w:lang w:val="fr-FR"/>
        </w:rPr>
        <w:t>’</w:t>
      </w:r>
      <w:r w:rsidR="006D2984" w:rsidRPr="00646A34">
        <w:rPr>
          <w:i/>
          <w:snapToGrid w:val="0"/>
          <w:lang w:val="fr-FR"/>
        </w:rPr>
        <w:t>International Seed Federation</w:t>
      </w:r>
      <w:r w:rsidR="006D2984" w:rsidRPr="00646A34">
        <w:rPr>
          <w:snapToGrid w:val="0"/>
          <w:lang w:val="fr-FR"/>
        </w:rPr>
        <w:t xml:space="preserve"> (ISF)</w:t>
      </w:r>
      <w:r w:rsidR="00E607B1" w:rsidRPr="00646A34">
        <w:rPr>
          <w:snapToGrid w:val="0"/>
          <w:lang w:val="fr-FR"/>
        </w:rPr>
        <w:t>”</w:t>
      </w:r>
      <w:r w:rsidR="006D2984" w:rsidRPr="00646A34">
        <w:rPr>
          <w:snapToGrid w:val="0"/>
          <w:lang w:val="fr-FR"/>
        </w:rPr>
        <w:t xml:space="preserve"> (voir les </w:t>
      </w:r>
      <w:r w:rsidR="00666BB4" w:rsidRPr="00646A34">
        <w:rPr>
          <w:lang w:val="fr-FR"/>
        </w:rPr>
        <w:t xml:space="preserve">documents CAJ/69/12 </w:t>
      </w:r>
      <w:r w:rsidR="00E607B1" w:rsidRPr="00646A34">
        <w:rPr>
          <w:lang w:val="fr-FR"/>
        </w:rPr>
        <w:t>“</w:t>
      </w:r>
      <w:r w:rsidR="00B13918" w:rsidRPr="00646A34">
        <w:rPr>
          <w:lang w:val="fr-FR"/>
        </w:rPr>
        <w:t>Compte rendu des conclusions</w:t>
      </w:r>
      <w:r w:rsidR="00E607B1" w:rsidRPr="00646A34">
        <w:rPr>
          <w:lang w:val="fr-FR"/>
        </w:rPr>
        <w:t>”</w:t>
      </w:r>
      <w:r w:rsidR="00666BB4" w:rsidRPr="00646A34">
        <w:rPr>
          <w:lang w:val="fr-FR"/>
        </w:rPr>
        <w:t>, paragraph</w:t>
      </w:r>
      <w:r w:rsidR="006D2984" w:rsidRPr="00646A34">
        <w:rPr>
          <w:lang w:val="fr-FR"/>
        </w:rPr>
        <w:t>e </w:t>
      </w:r>
      <w:r w:rsidR="00666BB4" w:rsidRPr="00646A34">
        <w:rPr>
          <w:lang w:val="fr-FR"/>
        </w:rPr>
        <w:t xml:space="preserve">92, </w:t>
      </w:r>
      <w:r w:rsidR="006D2984" w:rsidRPr="00646A34">
        <w:rPr>
          <w:lang w:val="fr-FR"/>
        </w:rPr>
        <w:t xml:space="preserve">et </w:t>
      </w:r>
      <w:r w:rsidR="00666BB4" w:rsidRPr="00646A34">
        <w:rPr>
          <w:lang w:val="fr-FR"/>
        </w:rPr>
        <w:t>CAJ/69/10, paragraph</w:t>
      </w:r>
      <w:r w:rsidR="006D2984" w:rsidRPr="00646A34">
        <w:rPr>
          <w:lang w:val="fr-FR"/>
        </w:rPr>
        <w:t>e </w:t>
      </w:r>
      <w:r w:rsidR="00666BB4" w:rsidRPr="00646A34">
        <w:rPr>
          <w:lang w:val="fr-FR"/>
        </w:rPr>
        <w:t>32).</w:t>
      </w:r>
      <w:r w:rsidR="00FC77C6" w:rsidRPr="00646A34">
        <w:rPr>
          <w:snapToGrid w:val="0"/>
          <w:lang w:val="fr-FR"/>
        </w:rPr>
        <w:t xml:space="preserve">  </w:t>
      </w:r>
      <w:r w:rsidR="00B13918" w:rsidRPr="00646A34">
        <w:rPr>
          <w:snapToGrid w:val="0"/>
          <w:lang w:val="fr-FR"/>
        </w:rPr>
        <w:t>À sa soixante</w:t>
      </w:r>
      <w:r w:rsidR="00DF28A5" w:rsidRPr="00646A34">
        <w:rPr>
          <w:snapToGrid w:val="0"/>
          <w:lang w:val="fr-FR"/>
        </w:rPr>
        <w:noBreakHyphen/>
      </w:r>
      <w:r w:rsidR="00B13918" w:rsidRPr="00646A34">
        <w:rPr>
          <w:snapToGrid w:val="0"/>
          <w:lang w:val="fr-FR"/>
        </w:rPr>
        <w:t>neuvième</w:t>
      </w:r>
      <w:r w:rsidR="00395B04" w:rsidRPr="00646A34">
        <w:rPr>
          <w:snapToGrid w:val="0"/>
          <w:lang w:val="fr-FR"/>
        </w:rPr>
        <w:t> </w:t>
      </w:r>
      <w:r w:rsidR="00B13918" w:rsidRPr="00646A34">
        <w:rPr>
          <w:snapToGrid w:val="0"/>
          <w:lang w:val="fr-FR"/>
        </w:rPr>
        <w:t>session,</w:t>
      </w:r>
      <w:r w:rsidR="00F72F8E" w:rsidRPr="00646A34">
        <w:rPr>
          <w:snapToGrid w:val="0"/>
          <w:lang w:val="fr-FR"/>
        </w:rPr>
        <w:t xml:space="preserve"> le CAJ</w:t>
      </w:r>
      <w:r w:rsidR="00B13918" w:rsidRPr="00646A34">
        <w:rPr>
          <w:snapToGrid w:val="0"/>
          <w:lang w:val="fr-FR"/>
        </w:rPr>
        <w:t xml:space="preserve"> </w:t>
      </w:r>
      <w:r w:rsidR="00F82280" w:rsidRPr="00646A34">
        <w:rPr>
          <w:snapToGrid w:val="0"/>
          <w:lang w:val="fr-FR"/>
        </w:rPr>
        <w:t>est convenu, s</w:t>
      </w:r>
      <w:r w:rsidR="00F72F8E" w:rsidRPr="00646A34">
        <w:rPr>
          <w:snapToGrid w:val="0"/>
          <w:lang w:val="fr-FR"/>
        </w:rPr>
        <w:t>’</w:t>
      </w:r>
      <w:r w:rsidR="00F82280" w:rsidRPr="00646A34">
        <w:rPr>
          <w:snapToGrid w:val="0"/>
          <w:lang w:val="fr-FR"/>
        </w:rPr>
        <w:t>agissant des prochaines étapes, que le Bureau de l</w:t>
      </w:r>
      <w:r w:rsidR="00F72F8E" w:rsidRPr="00646A34">
        <w:rPr>
          <w:snapToGrid w:val="0"/>
          <w:lang w:val="fr-FR"/>
        </w:rPr>
        <w:t>’</w:t>
      </w:r>
      <w:r w:rsidR="00F82280" w:rsidRPr="00646A34">
        <w:rPr>
          <w:snapToGrid w:val="0"/>
          <w:lang w:val="fr-FR"/>
        </w:rPr>
        <w:t>Union élaborera</w:t>
      </w:r>
      <w:r w:rsidR="002F5A37" w:rsidRPr="00646A34">
        <w:rPr>
          <w:snapToGrid w:val="0"/>
          <w:lang w:val="fr-FR"/>
        </w:rPr>
        <w:t>it</w:t>
      </w:r>
      <w:r w:rsidR="00F82280" w:rsidRPr="00646A34">
        <w:rPr>
          <w:snapToGrid w:val="0"/>
          <w:lang w:val="fr-FR"/>
        </w:rPr>
        <w:t xml:space="preserve"> des documents pertinents sur les questions concernant chacun des points à propos desquels le CAJ a</w:t>
      </w:r>
      <w:r w:rsidR="002F5A37" w:rsidRPr="00646A34">
        <w:rPr>
          <w:snapToGrid w:val="0"/>
          <w:lang w:val="fr-FR"/>
        </w:rPr>
        <w:t>vait</w:t>
      </w:r>
      <w:r w:rsidR="00F82280" w:rsidRPr="00646A34">
        <w:rPr>
          <w:snapToGrid w:val="0"/>
          <w:lang w:val="fr-FR"/>
        </w:rPr>
        <w:t xml:space="preserve"> accepté d</w:t>
      </w:r>
      <w:r w:rsidR="00F72F8E" w:rsidRPr="00646A34">
        <w:rPr>
          <w:snapToGrid w:val="0"/>
          <w:lang w:val="fr-FR"/>
        </w:rPr>
        <w:t>’</w:t>
      </w:r>
      <w:r w:rsidR="00F82280" w:rsidRPr="00646A34">
        <w:rPr>
          <w:snapToGrid w:val="0"/>
          <w:lang w:val="fr-FR"/>
        </w:rPr>
        <w:t>élaborer des orientations plus précises, et qu</w:t>
      </w:r>
      <w:r w:rsidR="00F72F8E" w:rsidRPr="00646A34">
        <w:rPr>
          <w:snapToGrid w:val="0"/>
          <w:lang w:val="fr-FR"/>
        </w:rPr>
        <w:t>’</w:t>
      </w:r>
      <w:r w:rsidR="00F82280" w:rsidRPr="00646A34">
        <w:rPr>
          <w:snapToGrid w:val="0"/>
          <w:lang w:val="fr-FR"/>
        </w:rPr>
        <w:t>il présentera</w:t>
      </w:r>
      <w:r w:rsidR="002F5A37" w:rsidRPr="00646A34">
        <w:rPr>
          <w:snapToGrid w:val="0"/>
          <w:lang w:val="fr-FR"/>
        </w:rPr>
        <w:t>it</w:t>
      </w:r>
      <w:r w:rsidR="00F82280" w:rsidRPr="00646A34">
        <w:rPr>
          <w:snapToGrid w:val="0"/>
          <w:lang w:val="fr-FR"/>
        </w:rPr>
        <w:t xml:space="preserve"> ces questions pour </w:t>
      </w:r>
      <w:r w:rsidR="002F5A37" w:rsidRPr="00646A34">
        <w:rPr>
          <w:snapToGrid w:val="0"/>
          <w:lang w:val="fr-FR"/>
        </w:rPr>
        <w:t>examen par le CAJ à sa soixante</w:t>
      </w:r>
      <w:r w:rsidR="00DF28A5" w:rsidRPr="00646A34">
        <w:rPr>
          <w:snapToGrid w:val="0"/>
          <w:lang w:val="fr-FR"/>
        </w:rPr>
        <w:noBreakHyphen/>
      </w:r>
      <w:r w:rsidR="00F82280" w:rsidRPr="00646A34">
        <w:rPr>
          <w:snapToGrid w:val="0"/>
          <w:lang w:val="fr-FR"/>
        </w:rPr>
        <w:t xml:space="preserve">dixième session.  </w:t>
      </w:r>
      <w:r w:rsidR="002F5A37" w:rsidRPr="00646A34">
        <w:rPr>
          <w:snapToGrid w:val="0"/>
          <w:lang w:val="fr-FR"/>
        </w:rPr>
        <w:t>À ce stade, le CAJ prendrait une décision quant aux organes pertinents chargés d</w:t>
      </w:r>
      <w:r w:rsidR="00F72F8E" w:rsidRPr="00646A34">
        <w:rPr>
          <w:snapToGrid w:val="0"/>
          <w:lang w:val="fr-FR"/>
        </w:rPr>
        <w:t>’</w:t>
      </w:r>
      <w:r w:rsidR="002F5A37" w:rsidRPr="00646A34">
        <w:rPr>
          <w:snapToGrid w:val="0"/>
          <w:lang w:val="fr-FR"/>
        </w:rPr>
        <w:t>examiner ces questions (</w:t>
      </w:r>
      <w:r w:rsidR="00485A80" w:rsidRPr="00646A34">
        <w:rPr>
          <w:snapToGrid w:val="0"/>
          <w:lang w:val="fr-FR"/>
        </w:rPr>
        <w:t xml:space="preserve">voir le document CAJ/69/12 </w:t>
      </w:r>
      <w:r w:rsidR="00E607B1" w:rsidRPr="00646A34">
        <w:rPr>
          <w:snapToGrid w:val="0"/>
          <w:lang w:val="fr-FR"/>
        </w:rPr>
        <w:t>“</w:t>
      </w:r>
      <w:r w:rsidR="00485A80" w:rsidRPr="00646A34">
        <w:rPr>
          <w:snapToGrid w:val="0"/>
          <w:lang w:val="fr-FR"/>
        </w:rPr>
        <w:t>Compte rendu des conclusions</w:t>
      </w:r>
      <w:r w:rsidR="00E607B1" w:rsidRPr="00646A34">
        <w:rPr>
          <w:snapToGrid w:val="0"/>
          <w:lang w:val="fr-FR"/>
        </w:rPr>
        <w:t>”</w:t>
      </w:r>
      <w:r w:rsidR="00485A80" w:rsidRPr="00646A34">
        <w:rPr>
          <w:snapToGrid w:val="0"/>
          <w:lang w:val="fr-FR"/>
        </w:rPr>
        <w:t>, paragraphe 93</w:t>
      </w:r>
      <w:r w:rsidR="002F5A37" w:rsidRPr="00646A34">
        <w:rPr>
          <w:snapToGrid w:val="0"/>
          <w:lang w:val="fr-FR"/>
        </w:rPr>
        <w:t>).</w:t>
      </w:r>
    </w:p>
    <w:p w:rsidR="00827851" w:rsidRPr="00646A34" w:rsidRDefault="00827851" w:rsidP="0080679D">
      <w:pPr>
        <w:rPr>
          <w:snapToGrid w:val="0"/>
          <w:lang w:val="fr-FR"/>
        </w:rPr>
      </w:pPr>
    </w:p>
    <w:p w:rsidR="001D3E6E" w:rsidRPr="00646A34" w:rsidRDefault="001D3E6E" w:rsidP="0080679D">
      <w:pPr>
        <w:rPr>
          <w:snapToGrid w:val="0"/>
          <w:lang w:val="fr-FR"/>
        </w:rPr>
      </w:pPr>
    </w:p>
    <w:p w:rsidR="00827851" w:rsidRPr="00646A34" w:rsidRDefault="00827851" w:rsidP="002F79BB">
      <w:pPr>
        <w:rPr>
          <w:lang w:val="fr-FR"/>
        </w:rPr>
      </w:pPr>
    </w:p>
    <w:p w:rsidR="00827851" w:rsidRPr="00646A34" w:rsidRDefault="008E19FC" w:rsidP="00535FA4">
      <w:pPr>
        <w:pStyle w:val="Heading1"/>
        <w:rPr>
          <w:lang w:val="fr-FR"/>
        </w:rPr>
      </w:pPr>
      <w:bookmarkStart w:id="5" w:name="_Toc381102838"/>
      <w:bookmarkStart w:id="6" w:name="_Toc381102868"/>
      <w:bookmarkStart w:id="7" w:name="_Toc381359976"/>
      <w:bookmarkStart w:id="8" w:name="_Toc398280919"/>
      <w:r w:rsidRPr="00646A34">
        <w:rPr>
          <w:lang w:val="fr-FR"/>
        </w:rPr>
        <w:t>I</w:t>
      </w:r>
      <w:r w:rsidR="00B34841" w:rsidRPr="00646A34">
        <w:rPr>
          <w:lang w:val="fr-FR"/>
        </w:rPr>
        <w:t>I</w:t>
      </w:r>
      <w:r w:rsidRPr="00646A34">
        <w:rPr>
          <w:lang w:val="fr-FR"/>
        </w:rPr>
        <w:t>.</w:t>
      </w:r>
      <w:r w:rsidRPr="00646A34">
        <w:rPr>
          <w:lang w:val="fr-FR"/>
        </w:rPr>
        <w:tab/>
      </w:r>
      <w:bookmarkEnd w:id="5"/>
      <w:bookmarkEnd w:id="6"/>
      <w:bookmarkEnd w:id="7"/>
      <w:r w:rsidR="00FB158B" w:rsidRPr="00646A34">
        <w:rPr>
          <w:lang w:val="fr-FR"/>
        </w:rPr>
        <w:t>Document</w:t>
      </w:r>
      <w:r w:rsidR="00DF28A5" w:rsidRPr="00646A34">
        <w:rPr>
          <w:lang w:val="fr-FR"/>
        </w:rPr>
        <w:noBreakHyphen/>
      </w:r>
      <w:r w:rsidR="00FB158B" w:rsidRPr="00646A34">
        <w:rPr>
          <w:lang w:val="fr-FR"/>
        </w:rPr>
        <w:t xml:space="preserve">cadre UPOV/INF/15 </w:t>
      </w:r>
      <w:r w:rsidR="00E607B1" w:rsidRPr="00646A34">
        <w:rPr>
          <w:lang w:val="fr-FR"/>
        </w:rPr>
        <w:t>“</w:t>
      </w:r>
      <w:r w:rsidR="00FB158B" w:rsidRPr="00646A34">
        <w:rPr>
          <w:lang w:val="fr-FR"/>
        </w:rPr>
        <w:t>Document d</w:t>
      </w:r>
      <w:r w:rsidR="00F72F8E" w:rsidRPr="00646A34">
        <w:rPr>
          <w:lang w:val="fr-FR"/>
        </w:rPr>
        <w:t>’</w:t>
      </w:r>
      <w:r w:rsidR="00FB158B" w:rsidRPr="00646A34">
        <w:rPr>
          <w:lang w:val="fr-FR"/>
        </w:rPr>
        <w:t>orientation destiné aux membres de l</w:t>
      </w:r>
      <w:r w:rsidR="00F72F8E" w:rsidRPr="00646A34">
        <w:rPr>
          <w:lang w:val="fr-FR"/>
        </w:rPr>
        <w:t>’</w:t>
      </w:r>
      <w:r w:rsidR="00FB158B" w:rsidRPr="00646A34">
        <w:rPr>
          <w:lang w:val="fr-FR"/>
        </w:rPr>
        <w:t>UPOV concernant les obligations en cours et les notifications connexes, ainsi que la fourniture d</w:t>
      </w:r>
      <w:r w:rsidR="00F72F8E" w:rsidRPr="00646A34">
        <w:rPr>
          <w:lang w:val="fr-FR"/>
        </w:rPr>
        <w:t>’</w:t>
      </w:r>
      <w:r w:rsidR="00FB158B" w:rsidRPr="00646A34">
        <w:rPr>
          <w:lang w:val="fr-FR"/>
        </w:rPr>
        <w:t>informations visant à faciliter la coopération</w:t>
      </w:r>
      <w:r w:rsidR="00E607B1" w:rsidRPr="00646A34">
        <w:rPr>
          <w:lang w:val="fr-FR"/>
        </w:rPr>
        <w:t>”</w:t>
      </w:r>
      <w:bookmarkEnd w:id="8"/>
    </w:p>
    <w:p w:rsidR="00827851" w:rsidRPr="00646A34" w:rsidRDefault="00827851" w:rsidP="00535FA4">
      <w:pPr>
        <w:pStyle w:val="Heading1"/>
        <w:rPr>
          <w:lang w:val="fr-FR"/>
        </w:rPr>
      </w:pPr>
    </w:p>
    <w:p w:rsidR="00827851" w:rsidRPr="00646A34" w:rsidRDefault="008E19FC" w:rsidP="00FB158B">
      <w:pPr>
        <w:rPr>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FB158B" w:rsidRPr="00646A34">
        <w:rPr>
          <w:lang w:val="fr-FR"/>
        </w:rPr>
        <w:t>Le document UPOV/INF/15 contient actuellement des orientations destinées aux membres de l</w:t>
      </w:r>
      <w:r w:rsidR="00F72F8E" w:rsidRPr="00646A34">
        <w:rPr>
          <w:lang w:val="fr-FR"/>
        </w:rPr>
        <w:t>’</w:t>
      </w:r>
      <w:r w:rsidR="00FB158B" w:rsidRPr="00646A34">
        <w:rPr>
          <w:lang w:val="fr-FR"/>
        </w:rPr>
        <w:t>Union sur les obligations en cours et les notifications connexes, ainsi que sur la fourniture d</w:t>
      </w:r>
      <w:r w:rsidR="00F72F8E" w:rsidRPr="00646A34">
        <w:rPr>
          <w:lang w:val="fr-FR"/>
        </w:rPr>
        <w:t>’</w:t>
      </w:r>
      <w:r w:rsidR="00FB158B" w:rsidRPr="00646A34">
        <w:rPr>
          <w:lang w:val="fr-FR"/>
        </w:rPr>
        <w:t>informations visant à faciliter la coopération.</w:t>
      </w:r>
      <w:r w:rsidRPr="00646A34">
        <w:rPr>
          <w:lang w:val="fr-FR"/>
        </w:rPr>
        <w:t xml:space="preserve">  </w:t>
      </w:r>
      <w:r w:rsidR="00FB158B" w:rsidRPr="00646A34">
        <w:rPr>
          <w:szCs w:val="24"/>
          <w:lang w:val="fr-FR"/>
        </w:rPr>
        <w:t>Lorsqu</w:t>
      </w:r>
      <w:r w:rsidR="00F72F8E" w:rsidRPr="00646A34">
        <w:rPr>
          <w:szCs w:val="24"/>
          <w:lang w:val="fr-FR"/>
        </w:rPr>
        <w:t>’</w:t>
      </w:r>
      <w:r w:rsidR="00FB158B" w:rsidRPr="00646A34">
        <w:rPr>
          <w:szCs w:val="24"/>
          <w:lang w:val="fr-FR"/>
        </w:rPr>
        <w:t>ils sont nommés, les représentants au Conseil reçoivent une copie du document UPOV/INF/15.</w:t>
      </w:r>
    </w:p>
    <w:p w:rsidR="00827851" w:rsidRPr="00646A34" w:rsidRDefault="00827851" w:rsidP="008E19FC">
      <w:pPr>
        <w:rPr>
          <w:lang w:val="fr-FR"/>
        </w:rPr>
      </w:pPr>
    </w:p>
    <w:p w:rsidR="00F72F8E" w:rsidRPr="00646A34" w:rsidRDefault="008E19FC" w:rsidP="00FB158B">
      <w:pPr>
        <w:rPr>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FB158B" w:rsidRPr="00646A34">
        <w:rPr>
          <w:lang w:val="fr-FR"/>
        </w:rPr>
        <w:t>L</w:t>
      </w:r>
      <w:r w:rsidR="00F72F8E" w:rsidRPr="00646A34">
        <w:rPr>
          <w:lang w:val="fr-FR"/>
        </w:rPr>
        <w:t>’</w:t>
      </w:r>
      <w:r w:rsidR="00FB158B" w:rsidRPr="00646A34">
        <w:rPr>
          <w:lang w:val="fr-FR"/>
        </w:rPr>
        <w:t>invitation du Comité consultatif à sa quatre</w:t>
      </w:r>
      <w:r w:rsidR="00DF28A5" w:rsidRPr="00646A34">
        <w:rPr>
          <w:lang w:val="fr-FR"/>
        </w:rPr>
        <w:noBreakHyphen/>
      </w:r>
      <w:r w:rsidR="00FB158B" w:rsidRPr="00646A34">
        <w:rPr>
          <w:lang w:val="fr-FR"/>
        </w:rPr>
        <w:t>vingt</w:t>
      </w:r>
      <w:r w:rsidR="00DF28A5" w:rsidRPr="00646A34">
        <w:rPr>
          <w:lang w:val="fr-FR"/>
        </w:rPr>
        <w:noBreakHyphen/>
      </w:r>
      <w:r w:rsidR="00FB158B" w:rsidRPr="00646A34">
        <w:rPr>
          <w:lang w:val="fr-FR"/>
        </w:rPr>
        <w:t>sixième session, qui s</w:t>
      </w:r>
      <w:r w:rsidR="00F72F8E" w:rsidRPr="00646A34">
        <w:rPr>
          <w:lang w:val="fr-FR"/>
        </w:rPr>
        <w:t>’</w:t>
      </w:r>
      <w:r w:rsidR="00FB158B" w:rsidRPr="00646A34">
        <w:rPr>
          <w:lang w:val="fr-FR"/>
        </w:rPr>
        <w:t>est tenue à Genève les 23 et 24 octobre 2013, portait sur la transformation du document UPOV/INF/15 en un doc</w:t>
      </w:r>
      <w:r w:rsidR="003F6E7B" w:rsidRPr="00646A34">
        <w:rPr>
          <w:lang w:val="fr-FR"/>
        </w:rPr>
        <w:t>ument</w:t>
      </w:r>
      <w:r w:rsidR="00DF28A5" w:rsidRPr="00646A34">
        <w:rPr>
          <w:lang w:val="fr-FR"/>
        </w:rPr>
        <w:noBreakHyphen/>
      </w:r>
      <w:r w:rsidR="00FB158B" w:rsidRPr="00646A34">
        <w:rPr>
          <w:lang w:val="fr-FR"/>
        </w:rPr>
        <w:t>cadre qui fournirait :</w:t>
      </w:r>
    </w:p>
    <w:p w:rsidR="00827851" w:rsidRPr="00646A34" w:rsidRDefault="00827851" w:rsidP="008E19FC">
      <w:pPr>
        <w:rPr>
          <w:lang w:val="fr-FR"/>
        </w:rPr>
      </w:pPr>
    </w:p>
    <w:p w:rsidR="00F72F8E" w:rsidRPr="00646A34" w:rsidRDefault="005507A4" w:rsidP="005507A4">
      <w:pPr>
        <w:ind w:firstLine="567"/>
        <w:rPr>
          <w:lang w:val="fr-FR"/>
        </w:rPr>
      </w:pPr>
      <w:r w:rsidRPr="00646A34">
        <w:rPr>
          <w:lang w:val="fr-FR"/>
        </w:rPr>
        <w:t>i)</w:t>
      </w:r>
      <w:r w:rsidRPr="00646A34">
        <w:rPr>
          <w:lang w:val="fr-FR"/>
        </w:rPr>
        <w:tab/>
        <w:t>un aperçu général du fonctionnement des principaux éléments d</w:t>
      </w:r>
      <w:r w:rsidR="00F72F8E" w:rsidRPr="00646A34">
        <w:rPr>
          <w:lang w:val="fr-FR"/>
        </w:rPr>
        <w:t>’</w:t>
      </w:r>
      <w:r w:rsidRPr="00646A34">
        <w:rPr>
          <w:lang w:val="fr-FR"/>
        </w:rPr>
        <w:t>un système de protection des obtentions végétales;  et</w:t>
      </w:r>
    </w:p>
    <w:p w:rsidR="00827851" w:rsidRPr="00646A34" w:rsidRDefault="00827851" w:rsidP="008E19FC">
      <w:pPr>
        <w:rPr>
          <w:lang w:val="fr-FR"/>
        </w:rPr>
      </w:pPr>
    </w:p>
    <w:p w:rsidR="00827851" w:rsidRPr="00646A34" w:rsidRDefault="005507A4" w:rsidP="005507A4">
      <w:pPr>
        <w:ind w:firstLine="567"/>
        <w:rPr>
          <w:lang w:val="fr-FR"/>
        </w:rPr>
      </w:pPr>
      <w:r w:rsidRPr="00646A34">
        <w:rPr>
          <w:lang w:val="fr-FR"/>
        </w:rPr>
        <w:t>ii)</w:t>
      </w:r>
      <w:r w:rsidRPr="00646A34">
        <w:rPr>
          <w:lang w:val="fr-FR"/>
        </w:rPr>
        <w:tab/>
        <w:t>un lien avec les orientations détaillées pertinentes.</w:t>
      </w:r>
    </w:p>
    <w:p w:rsidR="00827851" w:rsidRPr="00646A34" w:rsidRDefault="00827851" w:rsidP="001B0A79">
      <w:pPr>
        <w:rPr>
          <w:lang w:val="fr-FR"/>
        </w:rPr>
      </w:pPr>
    </w:p>
    <w:p w:rsidR="00827851" w:rsidRPr="00646A34" w:rsidRDefault="00D138FA" w:rsidP="00D138FA">
      <w:pPr>
        <w:rPr>
          <w:lang w:val="fr-FR"/>
        </w:rPr>
      </w:pPr>
      <w:r w:rsidRPr="00646A34">
        <w:rPr>
          <w:lang w:val="fr-FR"/>
        </w:rPr>
        <w:t>(Voir le document C/47/15</w:t>
      </w:r>
      <w:r w:rsidR="00395B04" w:rsidRPr="00646A34">
        <w:rPr>
          <w:lang w:val="fr-FR"/>
        </w:rPr>
        <w:t> </w:t>
      </w:r>
      <w:r w:rsidRPr="00646A34">
        <w:rPr>
          <w:lang w:val="fr-FR"/>
        </w:rPr>
        <w:t xml:space="preserve">Rev. </w:t>
      </w:r>
      <w:r w:rsidR="00E607B1" w:rsidRPr="00646A34">
        <w:rPr>
          <w:lang w:val="fr-FR"/>
        </w:rPr>
        <w:t>“</w:t>
      </w:r>
      <w:r w:rsidRPr="00646A34">
        <w:rPr>
          <w:lang w:val="fr-FR"/>
        </w:rPr>
        <w:t>Rapport du président sur les travaux de la quatre</w:t>
      </w:r>
      <w:r w:rsidR="00DF28A5" w:rsidRPr="00646A34">
        <w:rPr>
          <w:lang w:val="fr-FR"/>
        </w:rPr>
        <w:noBreakHyphen/>
      </w:r>
      <w:r w:rsidRPr="00646A34">
        <w:rPr>
          <w:lang w:val="fr-FR"/>
        </w:rPr>
        <w:t>vingt</w:t>
      </w:r>
      <w:r w:rsidR="00DF28A5" w:rsidRPr="00646A34">
        <w:rPr>
          <w:lang w:val="fr-FR"/>
        </w:rPr>
        <w:noBreakHyphen/>
      </w:r>
      <w:r w:rsidRPr="00646A34">
        <w:rPr>
          <w:lang w:val="fr-FR"/>
        </w:rPr>
        <w:t>sixième session du Comité consultatif;  adoption, le cas échéant, des recommandations élaborées par ce comité</w:t>
      </w:r>
      <w:r w:rsidR="00E607B1" w:rsidRPr="00646A34">
        <w:rPr>
          <w:lang w:val="fr-FR"/>
        </w:rPr>
        <w:t>”</w:t>
      </w:r>
      <w:r w:rsidRPr="00646A34">
        <w:rPr>
          <w:lang w:val="fr-FR"/>
        </w:rPr>
        <w:t>, paragraphes 62 à 66.)</w:t>
      </w:r>
    </w:p>
    <w:p w:rsidR="00827851" w:rsidRPr="00646A34" w:rsidRDefault="00827851" w:rsidP="001B0A79">
      <w:pPr>
        <w:rPr>
          <w:lang w:val="fr-FR"/>
        </w:rPr>
      </w:pPr>
    </w:p>
    <w:p w:rsidR="00827851" w:rsidRPr="00646A34" w:rsidRDefault="001B0A79" w:rsidP="001B0A79">
      <w:pPr>
        <w:rPr>
          <w:snapToGrid w:val="0"/>
          <w:lang w:val="fr-FR"/>
        </w:rPr>
      </w:pPr>
      <w:r w:rsidRPr="00646A34">
        <w:rPr>
          <w:snapToGrid w:val="0"/>
          <w:lang w:val="fr-FR"/>
        </w:rPr>
        <w:fldChar w:fldCharType="begin"/>
      </w:r>
      <w:r w:rsidRPr="00646A34">
        <w:rPr>
          <w:snapToGrid w:val="0"/>
          <w:lang w:val="fr-FR"/>
        </w:rPr>
        <w:instrText xml:space="preserve"> AUTONUM  </w:instrText>
      </w:r>
      <w:r w:rsidRPr="00646A34">
        <w:rPr>
          <w:snapToGrid w:val="0"/>
          <w:lang w:val="fr-FR"/>
        </w:rPr>
        <w:fldChar w:fldCharType="end"/>
      </w:r>
      <w:r w:rsidRPr="00646A34">
        <w:rPr>
          <w:snapToGrid w:val="0"/>
          <w:lang w:val="fr-FR"/>
        </w:rPr>
        <w:tab/>
      </w:r>
      <w:r w:rsidR="00E918EC" w:rsidRPr="00646A34">
        <w:rPr>
          <w:snapToGrid w:val="0"/>
          <w:lang w:val="fr-FR"/>
        </w:rPr>
        <w:t>À sa soixante</w:t>
      </w:r>
      <w:r w:rsidR="00DF28A5" w:rsidRPr="00646A34">
        <w:rPr>
          <w:snapToGrid w:val="0"/>
          <w:lang w:val="fr-FR"/>
        </w:rPr>
        <w:noBreakHyphen/>
      </w:r>
      <w:r w:rsidR="00E918EC" w:rsidRPr="00646A34">
        <w:rPr>
          <w:snapToGrid w:val="0"/>
          <w:lang w:val="fr-FR"/>
        </w:rPr>
        <w:t>neuvième</w:t>
      </w:r>
      <w:r w:rsidR="00395B04" w:rsidRPr="00646A34">
        <w:rPr>
          <w:snapToGrid w:val="0"/>
          <w:lang w:val="fr-FR"/>
        </w:rPr>
        <w:t> </w:t>
      </w:r>
      <w:r w:rsidR="00E918EC" w:rsidRPr="00646A34">
        <w:rPr>
          <w:snapToGrid w:val="0"/>
          <w:lang w:val="fr-FR"/>
        </w:rPr>
        <w:t>session, qui s</w:t>
      </w:r>
      <w:r w:rsidR="00F72F8E" w:rsidRPr="00646A34">
        <w:rPr>
          <w:snapToGrid w:val="0"/>
          <w:lang w:val="fr-FR"/>
        </w:rPr>
        <w:t>’</w:t>
      </w:r>
      <w:r w:rsidR="00E918EC" w:rsidRPr="00646A34">
        <w:rPr>
          <w:snapToGrid w:val="0"/>
          <w:lang w:val="fr-FR"/>
        </w:rPr>
        <w:t>est tenue à Genève le 10 avril 2014,</w:t>
      </w:r>
      <w:r w:rsidR="00F72F8E" w:rsidRPr="00646A34">
        <w:rPr>
          <w:snapToGrid w:val="0"/>
          <w:lang w:val="fr-FR"/>
        </w:rPr>
        <w:t xml:space="preserve"> le CAJ</w:t>
      </w:r>
      <w:r w:rsidR="00E918EC" w:rsidRPr="00646A34">
        <w:rPr>
          <w:snapToGrid w:val="0"/>
          <w:lang w:val="fr-FR"/>
        </w:rPr>
        <w:t xml:space="preserve"> a examiné le document CAJ/69/10 intitulé </w:t>
      </w:r>
      <w:r w:rsidR="00E607B1" w:rsidRPr="00646A34">
        <w:rPr>
          <w:snapToGrid w:val="0"/>
          <w:lang w:val="fr-FR"/>
        </w:rPr>
        <w:t>“</w:t>
      </w:r>
      <w:r w:rsidR="00E918EC" w:rsidRPr="00646A34">
        <w:rPr>
          <w:snapToGrid w:val="0"/>
          <w:lang w:val="fr-FR"/>
        </w:rPr>
        <w:t>Questions soulevées par l</w:t>
      </w:r>
      <w:r w:rsidR="00F72F8E" w:rsidRPr="00646A34">
        <w:rPr>
          <w:snapToGrid w:val="0"/>
          <w:lang w:val="fr-FR"/>
        </w:rPr>
        <w:t>’</w:t>
      </w:r>
      <w:r w:rsidR="00E918EC" w:rsidRPr="00646A34">
        <w:rPr>
          <w:snapToGrid w:val="0"/>
          <w:lang w:val="fr-FR"/>
        </w:rPr>
        <w:t>I</w:t>
      </w:r>
      <w:r w:rsidR="00E918EC" w:rsidRPr="00646A34">
        <w:rPr>
          <w:i/>
          <w:snapToGrid w:val="0"/>
          <w:lang w:val="fr-FR"/>
        </w:rPr>
        <w:t>nternational Seed Federation</w:t>
      </w:r>
      <w:r w:rsidR="00E918EC" w:rsidRPr="00646A34">
        <w:rPr>
          <w:snapToGrid w:val="0"/>
          <w:lang w:val="fr-FR"/>
        </w:rPr>
        <w:t xml:space="preserve"> (ISF)</w:t>
      </w:r>
      <w:r w:rsidR="00E607B1" w:rsidRPr="00646A34">
        <w:rPr>
          <w:snapToGrid w:val="0"/>
          <w:lang w:val="fr-FR"/>
        </w:rPr>
        <w:t>”</w:t>
      </w:r>
      <w:r w:rsidR="00E918EC" w:rsidRPr="00646A34">
        <w:rPr>
          <w:snapToGrid w:val="0"/>
          <w:lang w:val="fr-FR"/>
        </w:rPr>
        <w:t xml:space="preserve">, et est convenu de transformer le document UPOV/INF/15 </w:t>
      </w:r>
      <w:r w:rsidR="00E607B1" w:rsidRPr="00646A34">
        <w:rPr>
          <w:snapToGrid w:val="0"/>
          <w:lang w:val="fr-FR"/>
        </w:rPr>
        <w:t>“</w:t>
      </w:r>
      <w:r w:rsidR="00E918EC" w:rsidRPr="00646A34">
        <w:rPr>
          <w:snapToGrid w:val="0"/>
          <w:lang w:val="fr-FR"/>
        </w:rPr>
        <w:t>Document d</w:t>
      </w:r>
      <w:r w:rsidR="00F72F8E" w:rsidRPr="00646A34">
        <w:rPr>
          <w:snapToGrid w:val="0"/>
          <w:lang w:val="fr-FR"/>
        </w:rPr>
        <w:t>’</w:t>
      </w:r>
      <w:r w:rsidR="00E918EC" w:rsidRPr="00646A34">
        <w:rPr>
          <w:snapToGrid w:val="0"/>
          <w:lang w:val="fr-FR"/>
        </w:rPr>
        <w:t>orientation destiné aux membres de l</w:t>
      </w:r>
      <w:r w:rsidR="00F72F8E" w:rsidRPr="00646A34">
        <w:rPr>
          <w:snapToGrid w:val="0"/>
          <w:lang w:val="fr-FR"/>
        </w:rPr>
        <w:t>’</w:t>
      </w:r>
      <w:r w:rsidR="00E918EC" w:rsidRPr="00646A34">
        <w:rPr>
          <w:snapToGrid w:val="0"/>
          <w:lang w:val="fr-FR"/>
        </w:rPr>
        <w:t>UPOV concernant les obligations en cours et les notifications connexes, ainsi que la fourniture d</w:t>
      </w:r>
      <w:r w:rsidR="00F72F8E" w:rsidRPr="00646A34">
        <w:rPr>
          <w:snapToGrid w:val="0"/>
          <w:lang w:val="fr-FR"/>
        </w:rPr>
        <w:t>’</w:t>
      </w:r>
      <w:r w:rsidR="00E918EC" w:rsidRPr="00646A34">
        <w:rPr>
          <w:snapToGrid w:val="0"/>
          <w:lang w:val="fr-FR"/>
        </w:rPr>
        <w:t>informations visant à faciliter la coopération</w:t>
      </w:r>
      <w:r w:rsidR="00E607B1" w:rsidRPr="00646A34">
        <w:rPr>
          <w:snapToGrid w:val="0"/>
          <w:lang w:val="fr-FR"/>
        </w:rPr>
        <w:t>”</w:t>
      </w:r>
      <w:r w:rsidR="00E918EC" w:rsidRPr="00646A34">
        <w:rPr>
          <w:snapToGrid w:val="0"/>
          <w:lang w:val="fr-FR"/>
        </w:rPr>
        <w:t xml:space="preserve"> en un document</w:t>
      </w:r>
      <w:r w:rsidR="00DF28A5" w:rsidRPr="00646A34">
        <w:rPr>
          <w:snapToGrid w:val="0"/>
          <w:lang w:val="fr-FR"/>
        </w:rPr>
        <w:noBreakHyphen/>
      </w:r>
      <w:r w:rsidR="00E918EC" w:rsidRPr="00646A34">
        <w:rPr>
          <w:snapToGrid w:val="0"/>
          <w:lang w:val="fr-FR"/>
        </w:rPr>
        <w:t>cadre qui déterminerait les questions clés pour le fonctionnement d</w:t>
      </w:r>
      <w:r w:rsidR="00F72F8E" w:rsidRPr="00646A34">
        <w:rPr>
          <w:snapToGrid w:val="0"/>
          <w:lang w:val="fr-FR"/>
        </w:rPr>
        <w:t>’</w:t>
      </w:r>
      <w:r w:rsidR="00E918EC" w:rsidRPr="00646A34">
        <w:rPr>
          <w:snapToGrid w:val="0"/>
          <w:lang w:val="fr-FR"/>
        </w:rPr>
        <w:t>un système de protection des obtentions végétales et fournirait un lien avec les orientations détaillées pertinentes.</w:t>
      </w:r>
    </w:p>
    <w:p w:rsidR="00827851" w:rsidRPr="00646A34" w:rsidRDefault="00827851" w:rsidP="001B0A79">
      <w:pPr>
        <w:rPr>
          <w:lang w:val="fr-FR"/>
        </w:rPr>
      </w:pPr>
    </w:p>
    <w:p w:rsidR="00827851" w:rsidRPr="00646A34" w:rsidRDefault="001B0A79" w:rsidP="004C5DA1">
      <w:pPr>
        <w:spacing w:after="240"/>
        <w:rPr>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B507D0" w:rsidRPr="00646A34">
        <w:rPr>
          <w:snapToGrid w:val="0"/>
          <w:lang w:val="fr-FR"/>
        </w:rPr>
        <w:t>À la même session,</w:t>
      </w:r>
      <w:r w:rsidR="00F72F8E" w:rsidRPr="00646A34">
        <w:rPr>
          <w:snapToGrid w:val="0"/>
          <w:lang w:val="fr-FR"/>
        </w:rPr>
        <w:t xml:space="preserve"> le CAJ</w:t>
      </w:r>
      <w:r w:rsidR="00B507D0" w:rsidRPr="00646A34">
        <w:rPr>
          <w:snapToGrid w:val="0"/>
          <w:lang w:val="fr-FR"/>
        </w:rPr>
        <w:t xml:space="preserve"> est en outre convenu de modifier le titre du document UPOV/INF/15 en conséquence et d</w:t>
      </w:r>
      <w:r w:rsidR="00F72F8E" w:rsidRPr="00646A34">
        <w:rPr>
          <w:snapToGrid w:val="0"/>
          <w:lang w:val="fr-FR"/>
        </w:rPr>
        <w:t>’</w:t>
      </w:r>
      <w:r w:rsidR="00B507D0" w:rsidRPr="00646A34">
        <w:rPr>
          <w:snapToGrid w:val="0"/>
          <w:lang w:val="fr-FR"/>
        </w:rPr>
        <w:t>incorporer les éléments pertinents des modules 1 (</w:t>
      </w:r>
      <w:r w:rsidR="00E607B1" w:rsidRPr="00646A34">
        <w:rPr>
          <w:snapToGrid w:val="0"/>
          <w:lang w:val="fr-FR"/>
        </w:rPr>
        <w:t>“</w:t>
      </w:r>
      <w:r w:rsidR="00B507D0" w:rsidRPr="00646A34">
        <w:rPr>
          <w:snapToGrid w:val="0"/>
          <w:lang w:val="fr-FR"/>
        </w:rPr>
        <w:t>Le service d</w:t>
      </w:r>
      <w:r w:rsidR="00F72F8E" w:rsidRPr="00646A34">
        <w:rPr>
          <w:snapToGrid w:val="0"/>
          <w:lang w:val="fr-FR"/>
        </w:rPr>
        <w:t>’</w:t>
      </w:r>
      <w:r w:rsidR="00B507D0" w:rsidRPr="00646A34">
        <w:rPr>
          <w:snapToGrid w:val="0"/>
          <w:lang w:val="fr-FR"/>
        </w:rPr>
        <w:t>octroi des droits d</w:t>
      </w:r>
      <w:r w:rsidR="00F72F8E" w:rsidRPr="00646A34">
        <w:rPr>
          <w:snapToGrid w:val="0"/>
          <w:lang w:val="fr-FR"/>
        </w:rPr>
        <w:t>’</w:t>
      </w:r>
      <w:r w:rsidR="00B507D0" w:rsidRPr="00646A34">
        <w:rPr>
          <w:snapToGrid w:val="0"/>
          <w:lang w:val="fr-FR"/>
        </w:rPr>
        <w:t>obtenteur</w:t>
      </w:r>
      <w:r w:rsidR="00E607B1" w:rsidRPr="00646A34">
        <w:rPr>
          <w:snapToGrid w:val="0"/>
          <w:lang w:val="fr-FR"/>
        </w:rPr>
        <w:t>”</w:t>
      </w:r>
      <w:r w:rsidR="00B507D0" w:rsidRPr="00646A34">
        <w:rPr>
          <w:snapToGrid w:val="0"/>
          <w:lang w:val="fr-FR"/>
        </w:rPr>
        <w:t>) et 2 (</w:t>
      </w:r>
      <w:r w:rsidR="00E607B1" w:rsidRPr="00646A34">
        <w:rPr>
          <w:snapToGrid w:val="0"/>
          <w:lang w:val="fr-FR"/>
        </w:rPr>
        <w:t>“</w:t>
      </w:r>
      <w:r w:rsidR="00B507D0" w:rsidRPr="00646A34">
        <w:rPr>
          <w:snapToGrid w:val="0"/>
          <w:lang w:val="fr-FR"/>
        </w:rPr>
        <w:t>Administration des demandes</w:t>
      </w:r>
      <w:r w:rsidR="00E607B1" w:rsidRPr="00646A34">
        <w:rPr>
          <w:snapToGrid w:val="0"/>
          <w:lang w:val="fr-FR"/>
        </w:rPr>
        <w:t>”</w:t>
      </w:r>
      <w:r w:rsidR="00B507D0" w:rsidRPr="00646A34">
        <w:rPr>
          <w:snapToGrid w:val="0"/>
          <w:lang w:val="fr-FR"/>
        </w:rPr>
        <w:t>) du Programme d</w:t>
      </w:r>
      <w:r w:rsidR="00F72F8E" w:rsidRPr="00646A34">
        <w:rPr>
          <w:snapToGrid w:val="0"/>
          <w:lang w:val="fr-FR"/>
        </w:rPr>
        <w:t>’</w:t>
      </w:r>
      <w:r w:rsidR="00B507D0" w:rsidRPr="00646A34">
        <w:rPr>
          <w:snapToGrid w:val="0"/>
          <w:lang w:val="fr-FR"/>
        </w:rPr>
        <w:t>enseignement à distance de l</w:t>
      </w:r>
      <w:r w:rsidR="00F72F8E" w:rsidRPr="00646A34">
        <w:rPr>
          <w:snapToGrid w:val="0"/>
          <w:lang w:val="fr-FR"/>
        </w:rPr>
        <w:t>’</w:t>
      </w:r>
      <w:r w:rsidR="00B507D0" w:rsidRPr="00646A34">
        <w:rPr>
          <w:snapToGrid w:val="0"/>
          <w:lang w:val="fr-FR"/>
        </w:rPr>
        <w:t xml:space="preserve">UPOV </w:t>
      </w:r>
      <w:r w:rsidR="00E607B1" w:rsidRPr="00646A34">
        <w:rPr>
          <w:snapToGrid w:val="0"/>
          <w:lang w:val="fr-FR"/>
        </w:rPr>
        <w:t>“</w:t>
      </w:r>
      <w:r w:rsidR="00B507D0" w:rsidRPr="00646A34">
        <w:rPr>
          <w:snapToGrid w:val="0"/>
          <w:lang w:val="fr-FR"/>
        </w:rPr>
        <w:t>Examen des demandes de droits d</w:t>
      </w:r>
      <w:r w:rsidR="00F72F8E" w:rsidRPr="00646A34">
        <w:rPr>
          <w:snapToGrid w:val="0"/>
          <w:lang w:val="fr-FR"/>
        </w:rPr>
        <w:t>’</w:t>
      </w:r>
      <w:r w:rsidR="00B507D0" w:rsidRPr="00646A34">
        <w:rPr>
          <w:snapToGrid w:val="0"/>
          <w:lang w:val="fr-FR"/>
        </w:rPr>
        <w:t>obtenteur</w:t>
      </w:r>
      <w:r w:rsidR="00E607B1" w:rsidRPr="00646A34">
        <w:rPr>
          <w:snapToGrid w:val="0"/>
          <w:lang w:val="fr-FR"/>
        </w:rPr>
        <w:t>”</w:t>
      </w:r>
      <w:r w:rsidR="006341A0" w:rsidRPr="00646A34">
        <w:rPr>
          <w:snapToGrid w:val="0"/>
          <w:lang w:val="fr-FR"/>
        </w:rPr>
        <w:t xml:space="preserve"> (DL</w:t>
      </w:r>
      <w:r w:rsidR="00DF28A5" w:rsidRPr="00646A34">
        <w:rPr>
          <w:snapToGrid w:val="0"/>
          <w:lang w:val="fr-FR"/>
        </w:rPr>
        <w:noBreakHyphen/>
      </w:r>
      <w:r w:rsidR="00B507D0" w:rsidRPr="00646A34">
        <w:rPr>
          <w:snapToGrid w:val="0"/>
          <w:lang w:val="fr-FR"/>
        </w:rPr>
        <w:t xml:space="preserve">305), ainsi que les éléments </w:t>
      </w:r>
      <w:r w:rsidR="00C70A2C" w:rsidRPr="00646A34">
        <w:rPr>
          <w:snapToGrid w:val="0"/>
          <w:lang w:val="fr-FR"/>
        </w:rPr>
        <w:t xml:space="preserve">approuvés </w:t>
      </w:r>
      <w:r w:rsidR="00B507D0" w:rsidRPr="00646A34">
        <w:rPr>
          <w:snapToGrid w:val="0"/>
          <w:lang w:val="fr-FR"/>
        </w:rPr>
        <w:t>par</w:t>
      </w:r>
      <w:r w:rsidR="00F72F8E" w:rsidRPr="00646A34">
        <w:rPr>
          <w:snapToGrid w:val="0"/>
          <w:lang w:val="fr-FR"/>
        </w:rPr>
        <w:t xml:space="preserve"> le CAJ</w:t>
      </w:r>
      <w:r w:rsidR="00B507D0" w:rsidRPr="00646A34">
        <w:rPr>
          <w:snapToGrid w:val="0"/>
          <w:lang w:val="fr-FR"/>
        </w:rPr>
        <w:t xml:space="preserve"> pour l</w:t>
      </w:r>
      <w:r w:rsidR="00F72F8E" w:rsidRPr="00646A34">
        <w:rPr>
          <w:snapToGrid w:val="0"/>
          <w:lang w:val="fr-FR"/>
        </w:rPr>
        <w:t>’</w:t>
      </w:r>
      <w:r w:rsidR="00B507D0" w:rsidRPr="00646A34">
        <w:rPr>
          <w:snapToGrid w:val="0"/>
          <w:lang w:val="fr-FR"/>
        </w:rPr>
        <w:t>élaboration d</w:t>
      </w:r>
      <w:r w:rsidR="00F72F8E" w:rsidRPr="00646A34">
        <w:rPr>
          <w:snapToGrid w:val="0"/>
          <w:lang w:val="fr-FR"/>
        </w:rPr>
        <w:t>’</w:t>
      </w:r>
      <w:r w:rsidR="00B507D0" w:rsidRPr="00646A34">
        <w:rPr>
          <w:snapToGrid w:val="0"/>
          <w:lang w:val="fr-FR"/>
        </w:rPr>
        <w:t xml:space="preserve">orientations concernant les questions présentées dans le document CAJ/69/10 (voir les </w:t>
      </w:r>
      <w:r w:rsidR="00B507D0" w:rsidRPr="00646A34">
        <w:rPr>
          <w:lang w:val="fr-FR"/>
        </w:rPr>
        <w:t xml:space="preserve">documents CAJ/69/12 </w:t>
      </w:r>
      <w:r w:rsidR="00E607B1" w:rsidRPr="00646A34">
        <w:rPr>
          <w:lang w:val="fr-FR"/>
        </w:rPr>
        <w:t>“</w:t>
      </w:r>
      <w:r w:rsidR="00B507D0" w:rsidRPr="00646A34">
        <w:rPr>
          <w:lang w:val="fr-FR"/>
        </w:rPr>
        <w:t>Compte rendu des conclusions</w:t>
      </w:r>
      <w:r w:rsidR="00E607B1" w:rsidRPr="00646A34">
        <w:rPr>
          <w:lang w:val="fr-FR"/>
        </w:rPr>
        <w:t>”</w:t>
      </w:r>
      <w:r w:rsidR="00B507D0" w:rsidRPr="00646A34">
        <w:rPr>
          <w:lang w:val="fr-FR"/>
        </w:rPr>
        <w:t>, paragraphe </w:t>
      </w:r>
      <w:r w:rsidR="00CA2935" w:rsidRPr="00646A34">
        <w:rPr>
          <w:lang w:val="fr-FR"/>
        </w:rPr>
        <w:t xml:space="preserve">92, et CAJ/69/10, paragraphe 32, ainsi que la section III du présent document </w:t>
      </w:r>
      <w:r w:rsidR="00E607B1" w:rsidRPr="00646A34">
        <w:rPr>
          <w:lang w:val="fr-FR"/>
        </w:rPr>
        <w:t>“</w:t>
      </w:r>
      <w:r w:rsidR="00A976B0" w:rsidRPr="00646A34">
        <w:rPr>
          <w:lang w:val="fr-FR"/>
        </w:rPr>
        <w:t>Questions individuelles approuvées par</w:t>
      </w:r>
      <w:r w:rsidR="00F72F8E" w:rsidRPr="00646A34">
        <w:rPr>
          <w:lang w:val="fr-FR"/>
        </w:rPr>
        <w:t xml:space="preserve"> le CAJ</w:t>
      </w:r>
      <w:r w:rsidR="00A976B0" w:rsidRPr="00646A34">
        <w:rPr>
          <w:lang w:val="fr-FR"/>
        </w:rPr>
        <w:t>, à sa soixante</w:t>
      </w:r>
      <w:r w:rsidR="00DF28A5" w:rsidRPr="00646A34">
        <w:rPr>
          <w:lang w:val="fr-FR"/>
        </w:rPr>
        <w:noBreakHyphen/>
      </w:r>
      <w:r w:rsidR="00A976B0" w:rsidRPr="00646A34">
        <w:rPr>
          <w:lang w:val="fr-FR"/>
        </w:rPr>
        <w:t>neuvième</w:t>
      </w:r>
      <w:r w:rsidR="00395B04" w:rsidRPr="00646A34">
        <w:rPr>
          <w:lang w:val="fr-FR"/>
        </w:rPr>
        <w:t> </w:t>
      </w:r>
      <w:r w:rsidR="00A976B0" w:rsidRPr="00646A34">
        <w:rPr>
          <w:lang w:val="fr-FR"/>
        </w:rPr>
        <w:t>session, pour l</w:t>
      </w:r>
      <w:r w:rsidR="00F72F8E" w:rsidRPr="00646A34">
        <w:rPr>
          <w:lang w:val="fr-FR"/>
        </w:rPr>
        <w:t>’</w:t>
      </w:r>
      <w:r w:rsidR="00A976B0" w:rsidRPr="00646A34">
        <w:rPr>
          <w:lang w:val="fr-FR"/>
        </w:rPr>
        <w:t>élaboration d</w:t>
      </w:r>
      <w:r w:rsidR="00F72F8E" w:rsidRPr="00646A34">
        <w:rPr>
          <w:lang w:val="fr-FR"/>
        </w:rPr>
        <w:t>’</w:t>
      </w:r>
      <w:r w:rsidR="00A976B0" w:rsidRPr="00646A34">
        <w:rPr>
          <w:lang w:val="fr-FR"/>
        </w:rPr>
        <w:t>orientations complémentaires dans le document UPOV/INF/15</w:t>
      </w:r>
      <w:r w:rsidR="00E607B1" w:rsidRPr="00646A34">
        <w:rPr>
          <w:lang w:val="fr-FR"/>
        </w:rPr>
        <w:t>”</w:t>
      </w:r>
      <w:r w:rsidR="00CA2935" w:rsidRPr="00646A34">
        <w:rPr>
          <w:lang w:val="fr-FR"/>
        </w:rPr>
        <w:t xml:space="preserve">).  </w:t>
      </w:r>
      <w:r w:rsidR="00550F2B" w:rsidRPr="00646A34">
        <w:rPr>
          <w:lang w:val="fr-FR"/>
        </w:rPr>
        <w:t>Le Comité consultatif a approuvé la scission du cours DL</w:t>
      </w:r>
      <w:r w:rsidR="00DF28A5" w:rsidRPr="00646A34">
        <w:rPr>
          <w:lang w:val="fr-FR"/>
        </w:rPr>
        <w:noBreakHyphen/>
      </w:r>
      <w:r w:rsidR="00550F2B" w:rsidRPr="00646A34">
        <w:rPr>
          <w:lang w:val="fr-FR"/>
        </w:rPr>
        <w:t>305 en deux</w:t>
      </w:r>
      <w:r w:rsidR="00395B04" w:rsidRPr="00646A34">
        <w:rPr>
          <w:lang w:val="fr-FR"/>
        </w:rPr>
        <w:t> </w:t>
      </w:r>
      <w:r w:rsidR="00550F2B" w:rsidRPr="00646A34">
        <w:rPr>
          <w:lang w:val="fr-FR"/>
        </w:rPr>
        <w:t xml:space="preserve">cours distincts </w:t>
      </w:r>
      <w:r w:rsidR="00550F2B" w:rsidRPr="00646A34">
        <w:rPr>
          <w:lang w:val="fr-FR"/>
        </w:rPr>
        <w:lastRenderedPageBreak/>
        <w:t>(DL</w:t>
      </w:r>
      <w:r w:rsidR="00DF28A5" w:rsidRPr="00646A34">
        <w:rPr>
          <w:lang w:val="fr-FR"/>
        </w:rPr>
        <w:noBreakHyphen/>
      </w:r>
      <w:r w:rsidR="00550F2B" w:rsidRPr="00646A34">
        <w:rPr>
          <w:lang w:val="fr-FR"/>
        </w:rPr>
        <w:t xml:space="preserve">305A </w:t>
      </w:r>
      <w:r w:rsidR="009B7BF7" w:rsidRPr="00646A34">
        <w:rPr>
          <w:lang w:val="fr-FR"/>
        </w:rPr>
        <w:t>et</w:t>
      </w:r>
      <w:r w:rsidR="00550F2B" w:rsidRPr="00646A34">
        <w:rPr>
          <w:lang w:val="fr-FR"/>
        </w:rPr>
        <w:t xml:space="preserve"> DL</w:t>
      </w:r>
      <w:r w:rsidR="00DF28A5" w:rsidRPr="00646A34">
        <w:rPr>
          <w:lang w:val="fr-FR"/>
        </w:rPr>
        <w:noBreakHyphen/>
      </w:r>
      <w:r w:rsidR="00550F2B" w:rsidRPr="00646A34">
        <w:rPr>
          <w:lang w:val="fr-FR"/>
        </w:rPr>
        <w:t xml:space="preserve">305B).  </w:t>
      </w:r>
      <w:r w:rsidR="009B7BF7" w:rsidRPr="00646A34">
        <w:rPr>
          <w:lang w:val="fr-FR"/>
        </w:rPr>
        <w:t>Les modules 1 et 2 sont regroupés dans le cours DL</w:t>
      </w:r>
      <w:r w:rsidR="00DF28A5" w:rsidRPr="00646A34">
        <w:rPr>
          <w:lang w:val="fr-FR"/>
        </w:rPr>
        <w:noBreakHyphen/>
      </w:r>
      <w:r w:rsidR="009B7BF7" w:rsidRPr="00646A34">
        <w:rPr>
          <w:lang w:val="fr-FR"/>
        </w:rPr>
        <w:t xml:space="preserve">305A </w:t>
      </w:r>
      <w:r w:rsidR="00E607B1" w:rsidRPr="00646A34">
        <w:rPr>
          <w:lang w:val="fr-FR"/>
        </w:rPr>
        <w:t>“</w:t>
      </w:r>
      <w:r w:rsidR="009272C2" w:rsidRPr="00646A34">
        <w:rPr>
          <w:lang w:val="fr-FR"/>
        </w:rPr>
        <w:t>Administration des droits d</w:t>
      </w:r>
      <w:r w:rsidR="00F72F8E" w:rsidRPr="00646A34">
        <w:rPr>
          <w:lang w:val="fr-FR"/>
        </w:rPr>
        <w:t>’</w:t>
      </w:r>
      <w:r w:rsidR="009272C2" w:rsidRPr="00646A34">
        <w:rPr>
          <w:lang w:val="fr-FR"/>
        </w:rPr>
        <w:t>obtenteur</w:t>
      </w:r>
      <w:r w:rsidR="00E607B1" w:rsidRPr="00646A34">
        <w:rPr>
          <w:lang w:val="fr-FR"/>
        </w:rPr>
        <w:t>”</w:t>
      </w:r>
      <w:r w:rsidR="009272C2" w:rsidRPr="00646A34">
        <w:rPr>
          <w:lang w:val="fr-FR"/>
        </w:rPr>
        <w:t>.</w:t>
      </w:r>
    </w:p>
    <w:p w:rsidR="00827851" w:rsidRPr="00646A34" w:rsidRDefault="008E19FC" w:rsidP="00AB32BC">
      <w:pPr>
        <w:rPr>
          <w:kern w:val="28"/>
          <w:lang w:val="fr-FR"/>
        </w:rPr>
      </w:pPr>
      <w:r w:rsidRPr="00646A34">
        <w:rPr>
          <w:rFonts w:cs="Arial"/>
          <w:lang w:val="fr-FR"/>
        </w:rPr>
        <w:fldChar w:fldCharType="begin"/>
      </w:r>
      <w:r w:rsidRPr="00646A34">
        <w:rPr>
          <w:rFonts w:cs="Arial"/>
          <w:lang w:val="fr-FR"/>
        </w:rPr>
        <w:instrText xml:space="preserve"> AUTONUM  </w:instrText>
      </w:r>
      <w:r w:rsidRPr="00646A34">
        <w:rPr>
          <w:rFonts w:cs="Arial"/>
          <w:lang w:val="fr-FR"/>
        </w:rPr>
        <w:fldChar w:fldCharType="end"/>
      </w:r>
      <w:r w:rsidRPr="00646A34">
        <w:rPr>
          <w:rFonts w:cs="Arial"/>
          <w:lang w:val="fr-FR"/>
        </w:rPr>
        <w:tab/>
      </w:r>
      <w:r w:rsidR="00AB32BC" w:rsidRPr="00646A34">
        <w:rPr>
          <w:rFonts w:cs="Arial"/>
          <w:lang w:val="fr-FR"/>
        </w:rPr>
        <w:t xml:space="preserve">Sur la base de ce qui précède, le document UPOV/INF/15/3 Draft 1 a été élaboré </w:t>
      </w:r>
      <w:r w:rsidR="002D1139" w:rsidRPr="00646A34">
        <w:rPr>
          <w:rFonts w:cs="Arial"/>
          <w:lang w:val="fr-FR"/>
        </w:rPr>
        <w:t>afin de</w:t>
      </w:r>
      <w:r w:rsidR="00AB32BC" w:rsidRPr="00646A34">
        <w:rPr>
          <w:rFonts w:cs="Arial"/>
          <w:lang w:val="fr-FR"/>
        </w:rPr>
        <w:t xml:space="preserve"> </w:t>
      </w:r>
      <w:r w:rsidR="006E128D" w:rsidRPr="00646A34">
        <w:rPr>
          <w:rFonts w:cs="Arial"/>
          <w:lang w:val="fr-FR"/>
        </w:rPr>
        <w:t>présenter</w:t>
      </w:r>
      <w:r w:rsidR="00AB32BC" w:rsidRPr="00646A34">
        <w:rPr>
          <w:rFonts w:cs="Arial"/>
          <w:lang w:val="fr-FR"/>
        </w:rPr>
        <w:t xml:space="preserve"> les propositions suivantes</w:t>
      </w:r>
      <w:r w:rsidR="00F72F8E" w:rsidRPr="00646A34">
        <w:rPr>
          <w:rFonts w:cs="Arial"/>
          <w:lang w:val="fr-FR"/>
        </w:rPr>
        <w:t xml:space="preserve"> au CAJ</w:t>
      </w:r>
      <w:r w:rsidR="00AB32BC" w:rsidRPr="00646A34">
        <w:rPr>
          <w:rFonts w:cs="Arial"/>
          <w:lang w:val="fr-FR"/>
        </w:rPr>
        <w:t xml:space="preserve"> pour examen à sa soixante</w:t>
      </w:r>
      <w:r w:rsidR="00DF28A5" w:rsidRPr="00646A34">
        <w:rPr>
          <w:rFonts w:cs="Arial"/>
          <w:lang w:val="fr-FR"/>
        </w:rPr>
        <w:noBreakHyphen/>
      </w:r>
      <w:r w:rsidR="00AB32BC" w:rsidRPr="00646A34">
        <w:rPr>
          <w:rFonts w:cs="Arial"/>
          <w:lang w:val="fr-FR"/>
        </w:rPr>
        <w:t>dixième</w:t>
      </w:r>
      <w:r w:rsidR="00395B04" w:rsidRPr="00646A34">
        <w:rPr>
          <w:rFonts w:cs="Arial"/>
          <w:lang w:val="fr-FR"/>
        </w:rPr>
        <w:t> </w:t>
      </w:r>
      <w:r w:rsidR="00AB32BC" w:rsidRPr="00646A34">
        <w:rPr>
          <w:rFonts w:cs="Arial"/>
          <w:lang w:val="fr-FR"/>
        </w:rPr>
        <w:t>session :</w:t>
      </w:r>
    </w:p>
    <w:p w:rsidR="00827851" w:rsidRPr="00646A34" w:rsidRDefault="00827851" w:rsidP="00E16C51">
      <w:pPr>
        <w:rPr>
          <w:lang w:val="fr-FR"/>
        </w:rPr>
      </w:pPr>
    </w:p>
    <w:p w:rsidR="00F72F8E" w:rsidRPr="00646A34" w:rsidRDefault="00D621E7" w:rsidP="00D621E7">
      <w:pPr>
        <w:ind w:firstLine="567"/>
        <w:rPr>
          <w:spacing w:val="-2"/>
          <w:lang w:val="fr-FR"/>
        </w:rPr>
      </w:pPr>
      <w:r w:rsidRPr="00646A34">
        <w:rPr>
          <w:spacing w:val="-2"/>
          <w:lang w:val="fr-FR"/>
        </w:rPr>
        <w:t>a)</w:t>
      </w:r>
      <w:r w:rsidRPr="00646A34">
        <w:rPr>
          <w:spacing w:val="-2"/>
          <w:lang w:val="fr-FR"/>
        </w:rPr>
        <w:tab/>
        <w:t xml:space="preserve">modification du titre du document, consistant à remplacer </w:t>
      </w:r>
      <w:r w:rsidR="00E607B1" w:rsidRPr="00646A34">
        <w:rPr>
          <w:spacing w:val="-2"/>
          <w:lang w:val="fr-FR"/>
        </w:rPr>
        <w:t>“</w:t>
      </w:r>
      <w:r w:rsidRPr="00646A34">
        <w:rPr>
          <w:spacing w:val="-2"/>
          <w:lang w:val="fr-FR"/>
        </w:rPr>
        <w:t>Document d</w:t>
      </w:r>
      <w:r w:rsidR="00F72F8E" w:rsidRPr="00646A34">
        <w:rPr>
          <w:spacing w:val="-2"/>
          <w:lang w:val="fr-FR"/>
        </w:rPr>
        <w:t>’</w:t>
      </w:r>
      <w:r w:rsidRPr="00646A34">
        <w:rPr>
          <w:spacing w:val="-2"/>
          <w:lang w:val="fr-FR"/>
        </w:rPr>
        <w:t>orientation destiné aux membres de l</w:t>
      </w:r>
      <w:r w:rsidR="00F72F8E" w:rsidRPr="00646A34">
        <w:rPr>
          <w:spacing w:val="-2"/>
          <w:lang w:val="fr-FR"/>
        </w:rPr>
        <w:t>’</w:t>
      </w:r>
      <w:r w:rsidRPr="00646A34">
        <w:rPr>
          <w:spacing w:val="-2"/>
          <w:lang w:val="fr-FR"/>
        </w:rPr>
        <w:t>UPOV concernant les obligations en cours et les notifications connexes, ainsi que la fourniture d</w:t>
      </w:r>
      <w:r w:rsidR="00F72F8E" w:rsidRPr="00646A34">
        <w:rPr>
          <w:spacing w:val="-2"/>
          <w:lang w:val="fr-FR"/>
        </w:rPr>
        <w:t>’</w:t>
      </w:r>
      <w:r w:rsidRPr="00646A34">
        <w:rPr>
          <w:spacing w:val="-2"/>
          <w:lang w:val="fr-FR"/>
        </w:rPr>
        <w:t>informations visant à faciliter la coopération</w:t>
      </w:r>
      <w:r w:rsidR="00E607B1" w:rsidRPr="00646A34">
        <w:rPr>
          <w:spacing w:val="-2"/>
          <w:lang w:val="fr-FR"/>
        </w:rPr>
        <w:t>”</w:t>
      </w:r>
      <w:r w:rsidRPr="00646A34">
        <w:rPr>
          <w:spacing w:val="-2"/>
          <w:lang w:val="fr-FR"/>
        </w:rPr>
        <w:t xml:space="preserve"> par </w:t>
      </w:r>
      <w:r w:rsidR="00E607B1" w:rsidRPr="00646A34">
        <w:rPr>
          <w:spacing w:val="-2"/>
          <w:lang w:val="fr-FR"/>
        </w:rPr>
        <w:t>“</w:t>
      </w:r>
      <w:r w:rsidRPr="00646A34">
        <w:rPr>
          <w:spacing w:val="-2"/>
          <w:lang w:val="fr-FR"/>
        </w:rPr>
        <w:t>Document d</w:t>
      </w:r>
      <w:r w:rsidR="00F72F8E" w:rsidRPr="00646A34">
        <w:rPr>
          <w:spacing w:val="-2"/>
          <w:lang w:val="fr-FR"/>
        </w:rPr>
        <w:t>’</w:t>
      </w:r>
      <w:r w:rsidRPr="00646A34">
        <w:rPr>
          <w:spacing w:val="-2"/>
          <w:lang w:val="fr-FR"/>
        </w:rPr>
        <w:t>orientation destiné aux membres de l</w:t>
      </w:r>
      <w:r w:rsidR="00F72F8E" w:rsidRPr="00646A34">
        <w:rPr>
          <w:spacing w:val="-2"/>
          <w:lang w:val="fr-FR"/>
        </w:rPr>
        <w:t>’</w:t>
      </w:r>
      <w:r w:rsidRPr="00646A34">
        <w:rPr>
          <w:spacing w:val="-2"/>
          <w:lang w:val="fr-FR"/>
        </w:rPr>
        <w:t>UPOV</w:t>
      </w:r>
      <w:r w:rsidR="00E607B1" w:rsidRPr="00646A34">
        <w:rPr>
          <w:spacing w:val="-2"/>
          <w:lang w:val="fr-FR"/>
        </w:rPr>
        <w:t>”</w:t>
      </w:r>
      <w:r w:rsidRPr="00646A34">
        <w:rPr>
          <w:spacing w:val="-2"/>
          <w:lang w:val="fr-FR"/>
        </w:rPr>
        <w:t>;</w:t>
      </w:r>
    </w:p>
    <w:p w:rsidR="00827851" w:rsidRPr="00646A34" w:rsidRDefault="00827851" w:rsidP="00E16C51">
      <w:pPr>
        <w:ind w:firstLine="567"/>
        <w:rPr>
          <w:sz w:val="18"/>
          <w:lang w:val="fr-FR"/>
        </w:rPr>
      </w:pPr>
    </w:p>
    <w:p w:rsidR="00F72F8E" w:rsidRPr="00646A34" w:rsidRDefault="00FD18D1" w:rsidP="00FD18D1">
      <w:pPr>
        <w:ind w:firstLine="567"/>
        <w:rPr>
          <w:lang w:val="fr-FR"/>
        </w:rPr>
      </w:pPr>
      <w:r w:rsidRPr="00646A34">
        <w:rPr>
          <w:lang w:val="fr-FR"/>
        </w:rPr>
        <w:t>b)</w:t>
      </w:r>
      <w:r w:rsidRPr="00646A34">
        <w:rPr>
          <w:lang w:val="fr-FR"/>
        </w:rPr>
        <w:tab/>
        <w:t>introduction de modifications dans le préambule pour préciser le but visé par la transformation du document UPOV/INF/15 en un document</w:t>
      </w:r>
      <w:r w:rsidR="00DF28A5" w:rsidRPr="00646A34">
        <w:rPr>
          <w:lang w:val="fr-FR"/>
        </w:rPr>
        <w:noBreakHyphen/>
      </w:r>
      <w:r w:rsidRPr="00646A34">
        <w:rPr>
          <w:lang w:val="fr-FR"/>
        </w:rPr>
        <w:t>cadre qui fournirait :</w:t>
      </w:r>
    </w:p>
    <w:p w:rsidR="00827851" w:rsidRPr="00646A34" w:rsidRDefault="00827851" w:rsidP="00C21647">
      <w:pPr>
        <w:rPr>
          <w:lang w:val="fr-FR"/>
        </w:rPr>
      </w:pPr>
    </w:p>
    <w:p w:rsidR="00F72F8E" w:rsidRPr="00646A34" w:rsidRDefault="00FD18D1" w:rsidP="00FD18D1">
      <w:pPr>
        <w:ind w:left="567" w:firstLine="567"/>
        <w:rPr>
          <w:lang w:val="fr-FR"/>
        </w:rPr>
      </w:pPr>
      <w:r w:rsidRPr="00646A34">
        <w:rPr>
          <w:lang w:val="fr-FR"/>
        </w:rPr>
        <w:t>i)</w:t>
      </w:r>
      <w:r w:rsidRPr="00646A34">
        <w:rPr>
          <w:lang w:val="fr-FR"/>
        </w:rPr>
        <w:tab/>
        <w:t>un aperçu général du fonctionnement des principaux éléments d</w:t>
      </w:r>
      <w:r w:rsidR="00F72F8E" w:rsidRPr="00646A34">
        <w:rPr>
          <w:lang w:val="fr-FR"/>
        </w:rPr>
        <w:t>’</w:t>
      </w:r>
      <w:r w:rsidRPr="00646A34">
        <w:rPr>
          <w:lang w:val="fr-FR"/>
        </w:rPr>
        <w:t>un système de protection des obtentions végétales;  et</w:t>
      </w:r>
    </w:p>
    <w:p w:rsidR="00827851" w:rsidRPr="00646A34" w:rsidRDefault="00827851" w:rsidP="00C21647">
      <w:pPr>
        <w:rPr>
          <w:sz w:val="14"/>
          <w:lang w:val="fr-FR"/>
        </w:rPr>
      </w:pPr>
    </w:p>
    <w:p w:rsidR="00827851" w:rsidRPr="00646A34" w:rsidRDefault="00FD18D1" w:rsidP="00FD18D1">
      <w:pPr>
        <w:ind w:left="567" w:firstLine="567"/>
        <w:rPr>
          <w:kern w:val="28"/>
          <w:lang w:val="fr-FR"/>
        </w:rPr>
      </w:pPr>
      <w:r w:rsidRPr="00646A34">
        <w:rPr>
          <w:kern w:val="28"/>
          <w:lang w:val="fr-FR"/>
        </w:rPr>
        <w:t>ii)</w:t>
      </w:r>
      <w:r w:rsidRPr="00646A34">
        <w:rPr>
          <w:kern w:val="28"/>
          <w:lang w:val="fr-FR"/>
        </w:rPr>
        <w:tab/>
        <w:t>un lien avec les orientations détaillées pertinentes.</w:t>
      </w:r>
    </w:p>
    <w:p w:rsidR="00827851" w:rsidRPr="00646A34" w:rsidRDefault="00827851" w:rsidP="00E16C51">
      <w:pPr>
        <w:keepNext/>
        <w:ind w:firstLine="567"/>
        <w:rPr>
          <w:sz w:val="18"/>
          <w:lang w:val="fr-FR"/>
        </w:rPr>
      </w:pPr>
    </w:p>
    <w:p w:rsidR="00BF547E" w:rsidRPr="00646A34" w:rsidRDefault="0089088A" w:rsidP="00E16C51">
      <w:pPr>
        <w:keepNext/>
        <w:ind w:firstLine="567"/>
        <w:rPr>
          <w:lang w:val="fr-FR"/>
        </w:rPr>
      </w:pPr>
      <w:r w:rsidRPr="00646A34">
        <w:rPr>
          <w:lang w:val="fr-FR"/>
        </w:rPr>
        <w:t>c</w:t>
      </w:r>
      <w:r w:rsidR="00E16C51" w:rsidRPr="00646A34">
        <w:rPr>
          <w:lang w:val="fr-FR"/>
        </w:rPr>
        <w:t>)</w:t>
      </w:r>
      <w:r w:rsidR="00DF28A5" w:rsidRPr="00646A34">
        <w:rPr>
          <w:lang w:val="fr-FR"/>
        </w:rPr>
        <w:t xml:space="preserve"> </w:t>
      </w:r>
      <w:r w:rsidR="00DF28A5" w:rsidRPr="00646A34">
        <w:rPr>
          <w:lang w:val="fr-FR"/>
        </w:rPr>
        <w:tab/>
      </w:r>
      <w:r w:rsidR="006341A0" w:rsidRPr="00646A34">
        <w:rPr>
          <w:snapToGrid w:val="0"/>
          <w:lang w:val="fr-FR"/>
        </w:rPr>
        <w:t>incorporation des éléments pertinents des modules 1 (</w:t>
      </w:r>
      <w:r w:rsidR="00E607B1" w:rsidRPr="00646A34">
        <w:rPr>
          <w:snapToGrid w:val="0"/>
          <w:lang w:val="fr-FR"/>
        </w:rPr>
        <w:t>“</w:t>
      </w:r>
      <w:r w:rsidR="006341A0" w:rsidRPr="00646A34">
        <w:rPr>
          <w:snapToGrid w:val="0"/>
          <w:lang w:val="fr-FR"/>
        </w:rPr>
        <w:t>Le service d</w:t>
      </w:r>
      <w:r w:rsidR="00F72F8E" w:rsidRPr="00646A34">
        <w:rPr>
          <w:snapToGrid w:val="0"/>
          <w:lang w:val="fr-FR"/>
        </w:rPr>
        <w:t>’</w:t>
      </w:r>
      <w:r w:rsidR="006341A0" w:rsidRPr="00646A34">
        <w:rPr>
          <w:snapToGrid w:val="0"/>
          <w:lang w:val="fr-FR"/>
        </w:rPr>
        <w:t>octroi des droits d</w:t>
      </w:r>
      <w:r w:rsidR="00F72F8E" w:rsidRPr="00646A34">
        <w:rPr>
          <w:snapToGrid w:val="0"/>
          <w:lang w:val="fr-FR"/>
        </w:rPr>
        <w:t>’</w:t>
      </w:r>
      <w:r w:rsidR="006341A0" w:rsidRPr="00646A34">
        <w:rPr>
          <w:snapToGrid w:val="0"/>
          <w:lang w:val="fr-FR"/>
        </w:rPr>
        <w:t>obtenteur</w:t>
      </w:r>
      <w:r w:rsidR="00E607B1" w:rsidRPr="00646A34">
        <w:rPr>
          <w:snapToGrid w:val="0"/>
          <w:lang w:val="fr-FR"/>
        </w:rPr>
        <w:t>”</w:t>
      </w:r>
      <w:r w:rsidR="006341A0" w:rsidRPr="00646A34">
        <w:rPr>
          <w:snapToGrid w:val="0"/>
          <w:lang w:val="fr-FR"/>
        </w:rPr>
        <w:t>) et 2 (</w:t>
      </w:r>
      <w:r w:rsidR="00E607B1" w:rsidRPr="00646A34">
        <w:rPr>
          <w:snapToGrid w:val="0"/>
          <w:lang w:val="fr-FR"/>
        </w:rPr>
        <w:t>“</w:t>
      </w:r>
      <w:r w:rsidR="006341A0" w:rsidRPr="00646A34">
        <w:rPr>
          <w:snapToGrid w:val="0"/>
          <w:lang w:val="fr-FR"/>
        </w:rPr>
        <w:t>Administration des demandes</w:t>
      </w:r>
      <w:r w:rsidR="00E607B1" w:rsidRPr="00646A34">
        <w:rPr>
          <w:snapToGrid w:val="0"/>
          <w:lang w:val="fr-FR"/>
        </w:rPr>
        <w:t>”</w:t>
      </w:r>
      <w:r w:rsidR="006341A0" w:rsidRPr="00646A34">
        <w:rPr>
          <w:snapToGrid w:val="0"/>
          <w:lang w:val="fr-FR"/>
        </w:rPr>
        <w:t>) des cours DL</w:t>
      </w:r>
      <w:r w:rsidR="00DF28A5" w:rsidRPr="00646A34">
        <w:rPr>
          <w:snapToGrid w:val="0"/>
          <w:lang w:val="fr-FR"/>
        </w:rPr>
        <w:noBreakHyphen/>
      </w:r>
      <w:r w:rsidR="006341A0" w:rsidRPr="00646A34">
        <w:rPr>
          <w:snapToGrid w:val="0"/>
          <w:lang w:val="fr-FR"/>
        </w:rPr>
        <w:t xml:space="preserve">305 </w:t>
      </w:r>
      <w:r w:rsidR="00E607B1" w:rsidRPr="00646A34">
        <w:rPr>
          <w:snapToGrid w:val="0"/>
          <w:lang w:val="fr-FR"/>
        </w:rPr>
        <w:t>“</w:t>
      </w:r>
      <w:r w:rsidR="006341A0" w:rsidRPr="00646A34">
        <w:rPr>
          <w:snapToGrid w:val="0"/>
          <w:lang w:val="fr-FR"/>
        </w:rPr>
        <w:t>Examen des demandes de droits d</w:t>
      </w:r>
      <w:r w:rsidR="00F72F8E" w:rsidRPr="00646A34">
        <w:rPr>
          <w:snapToGrid w:val="0"/>
          <w:lang w:val="fr-FR"/>
        </w:rPr>
        <w:t>’</w:t>
      </w:r>
      <w:r w:rsidR="006341A0" w:rsidRPr="00646A34">
        <w:rPr>
          <w:snapToGrid w:val="0"/>
          <w:lang w:val="fr-FR"/>
        </w:rPr>
        <w:t>obtenteur</w:t>
      </w:r>
      <w:r w:rsidR="00E607B1" w:rsidRPr="00646A34">
        <w:rPr>
          <w:snapToGrid w:val="0"/>
          <w:lang w:val="fr-FR"/>
        </w:rPr>
        <w:t>”</w:t>
      </w:r>
      <w:r w:rsidR="006341A0" w:rsidRPr="00646A34">
        <w:rPr>
          <w:snapToGrid w:val="0"/>
          <w:lang w:val="fr-FR"/>
        </w:rPr>
        <w:t xml:space="preserve"> et </w:t>
      </w:r>
      <w:r w:rsidR="006341A0" w:rsidRPr="00646A34">
        <w:rPr>
          <w:lang w:val="fr-FR"/>
        </w:rPr>
        <w:t>DL</w:t>
      </w:r>
      <w:r w:rsidR="00DF28A5" w:rsidRPr="00646A34">
        <w:rPr>
          <w:lang w:val="fr-FR"/>
        </w:rPr>
        <w:noBreakHyphen/>
      </w:r>
      <w:r w:rsidR="006341A0" w:rsidRPr="00646A34">
        <w:rPr>
          <w:lang w:val="fr-FR"/>
        </w:rPr>
        <w:t xml:space="preserve">305A </w:t>
      </w:r>
      <w:r w:rsidR="00E607B1" w:rsidRPr="00646A34">
        <w:rPr>
          <w:lang w:val="fr-FR"/>
        </w:rPr>
        <w:t>“</w:t>
      </w:r>
      <w:r w:rsidR="006341A0" w:rsidRPr="00646A34">
        <w:rPr>
          <w:lang w:val="fr-FR"/>
        </w:rPr>
        <w:t>Administration des droits d</w:t>
      </w:r>
      <w:r w:rsidR="00F72F8E" w:rsidRPr="00646A34">
        <w:rPr>
          <w:lang w:val="fr-FR"/>
        </w:rPr>
        <w:t>’</w:t>
      </w:r>
      <w:r w:rsidR="006341A0" w:rsidRPr="00646A34">
        <w:rPr>
          <w:lang w:val="fr-FR"/>
        </w:rPr>
        <w:t>obtenteur</w:t>
      </w:r>
      <w:r w:rsidR="00E607B1" w:rsidRPr="00646A34">
        <w:rPr>
          <w:lang w:val="fr-FR"/>
        </w:rPr>
        <w:t>”</w:t>
      </w:r>
      <w:r w:rsidR="006341A0" w:rsidRPr="00646A34">
        <w:rPr>
          <w:lang w:val="fr-FR"/>
        </w:rPr>
        <w:t xml:space="preserve"> (</w:t>
      </w:r>
      <w:r w:rsidR="00CA772B" w:rsidRPr="00646A34">
        <w:rPr>
          <w:lang w:val="fr-FR"/>
        </w:rPr>
        <w:t>les modules </w:t>
      </w:r>
      <w:r w:rsidR="00BD6F6E" w:rsidRPr="00646A34">
        <w:rPr>
          <w:lang w:val="fr-FR"/>
        </w:rPr>
        <w:t>1 et 2 d</w:t>
      </w:r>
      <w:r w:rsidR="00CA772B" w:rsidRPr="00646A34">
        <w:rPr>
          <w:lang w:val="fr-FR"/>
        </w:rPr>
        <w:t>es cours</w:t>
      </w:r>
      <w:r w:rsidR="00BD6F6E" w:rsidRPr="00646A34">
        <w:rPr>
          <w:lang w:val="fr-FR"/>
        </w:rPr>
        <w:t xml:space="preserve"> DL</w:t>
      </w:r>
      <w:r w:rsidR="00DF28A5" w:rsidRPr="00646A34">
        <w:rPr>
          <w:lang w:val="fr-FR"/>
        </w:rPr>
        <w:noBreakHyphen/>
      </w:r>
      <w:r w:rsidR="00BD6F6E" w:rsidRPr="00646A34">
        <w:rPr>
          <w:lang w:val="fr-FR"/>
        </w:rPr>
        <w:t xml:space="preserve">305 </w:t>
      </w:r>
      <w:r w:rsidR="00CA772B" w:rsidRPr="00646A34">
        <w:rPr>
          <w:lang w:val="fr-FR"/>
        </w:rPr>
        <w:t>et DL</w:t>
      </w:r>
      <w:r w:rsidR="00DF28A5" w:rsidRPr="00646A34">
        <w:rPr>
          <w:lang w:val="fr-FR"/>
        </w:rPr>
        <w:noBreakHyphen/>
      </w:r>
      <w:r w:rsidR="00CA772B" w:rsidRPr="00646A34">
        <w:rPr>
          <w:lang w:val="fr-FR"/>
        </w:rPr>
        <w:t xml:space="preserve">305A </w:t>
      </w:r>
      <w:r w:rsidR="00BD6F6E" w:rsidRPr="00646A34">
        <w:rPr>
          <w:lang w:val="fr-FR"/>
        </w:rPr>
        <w:t xml:space="preserve">sont reproduits </w:t>
      </w:r>
      <w:r w:rsidR="00BB5A23" w:rsidRPr="00646A34">
        <w:rPr>
          <w:lang w:val="fr-FR"/>
        </w:rPr>
        <w:t>dans</w:t>
      </w:r>
      <w:r w:rsidR="00BD6F6E" w:rsidRPr="00646A34">
        <w:rPr>
          <w:lang w:val="fr-FR"/>
        </w:rPr>
        <w:t xml:space="preserve"> l</w:t>
      </w:r>
      <w:r w:rsidR="00F72F8E" w:rsidRPr="00646A34">
        <w:rPr>
          <w:lang w:val="fr-FR"/>
        </w:rPr>
        <w:t>’</w:t>
      </w:r>
      <w:r w:rsidR="00BD6F6E" w:rsidRPr="00646A34">
        <w:rPr>
          <w:lang w:val="fr-FR"/>
        </w:rPr>
        <w:t>annexe du présent document</w:t>
      </w:r>
      <w:r w:rsidR="006341A0" w:rsidRPr="00646A34">
        <w:rPr>
          <w:lang w:val="fr-FR"/>
        </w:rPr>
        <w:t>).</w:t>
      </w:r>
    </w:p>
    <w:p w:rsidR="00796464" w:rsidRPr="00646A34" w:rsidRDefault="00796464" w:rsidP="001D3E6E">
      <w:pPr>
        <w:rPr>
          <w:lang w:val="fr-FR"/>
        </w:rPr>
      </w:pPr>
    </w:p>
    <w:p w:rsidR="001D3E6E" w:rsidRPr="00646A34" w:rsidRDefault="001D3E6E" w:rsidP="001D3E6E">
      <w:pPr>
        <w:rPr>
          <w:lang w:val="fr-FR"/>
        </w:rPr>
      </w:pPr>
    </w:p>
    <w:p w:rsidR="00827851" w:rsidRPr="00646A34" w:rsidRDefault="00827851" w:rsidP="008E19FC">
      <w:pPr>
        <w:rPr>
          <w:kern w:val="28"/>
          <w:lang w:val="fr-FR"/>
        </w:rPr>
      </w:pPr>
    </w:p>
    <w:p w:rsidR="001340FA" w:rsidRPr="00646A34" w:rsidRDefault="00B34841" w:rsidP="00535FA4">
      <w:pPr>
        <w:pStyle w:val="Heading1"/>
        <w:rPr>
          <w:lang w:val="fr-FR"/>
        </w:rPr>
      </w:pPr>
      <w:bookmarkStart w:id="9" w:name="_Toc398280920"/>
      <w:bookmarkStart w:id="10" w:name="_Toc379530097"/>
      <w:bookmarkStart w:id="11" w:name="_Toc381102829"/>
      <w:bookmarkStart w:id="12" w:name="_Toc381102857"/>
      <w:bookmarkStart w:id="13" w:name="_Toc381359965"/>
      <w:r w:rsidRPr="00646A34">
        <w:rPr>
          <w:lang w:val="fr-FR"/>
        </w:rPr>
        <w:t>III.</w:t>
      </w:r>
      <w:r w:rsidRPr="00646A34">
        <w:rPr>
          <w:lang w:val="fr-FR"/>
        </w:rPr>
        <w:tab/>
      </w:r>
      <w:r w:rsidR="006D5D83" w:rsidRPr="00646A34">
        <w:rPr>
          <w:lang w:val="fr-FR"/>
        </w:rPr>
        <w:t xml:space="preserve">QUESTIONS INDIVIDUELLES </w:t>
      </w:r>
      <w:r w:rsidR="001340FA" w:rsidRPr="00646A34">
        <w:rPr>
          <w:lang w:val="fr-FR"/>
        </w:rPr>
        <w:t>APPROUVÉES PAR LE CAJ, à SA SOIXANTE</w:t>
      </w:r>
      <w:r w:rsidR="00DF28A5" w:rsidRPr="00646A34">
        <w:rPr>
          <w:lang w:val="fr-FR"/>
        </w:rPr>
        <w:noBreakHyphen/>
      </w:r>
      <w:r w:rsidR="001340FA" w:rsidRPr="00646A34">
        <w:rPr>
          <w:lang w:val="fr-FR"/>
        </w:rPr>
        <w:t xml:space="preserve">NEUVIÈME SESSION, </w:t>
      </w:r>
      <w:r w:rsidR="001340FA" w:rsidRPr="00646A34">
        <w:rPr>
          <w:snapToGrid w:val="0"/>
          <w:lang w:val="fr-FR"/>
        </w:rPr>
        <w:t>pour l</w:t>
      </w:r>
      <w:r w:rsidR="00F72F8E" w:rsidRPr="00646A34">
        <w:rPr>
          <w:snapToGrid w:val="0"/>
          <w:lang w:val="fr-FR"/>
        </w:rPr>
        <w:t>’</w:t>
      </w:r>
      <w:r w:rsidR="001340FA" w:rsidRPr="00646A34">
        <w:rPr>
          <w:snapToGrid w:val="0"/>
          <w:lang w:val="fr-FR"/>
        </w:rPr>
        <w:t>élaboration d</w:t>
      </w:r>
      <w:r w:rsidR="00F72F8E" w:rsidRPr="00646A34">
        <w:rPr>
          <w:snapToGrid w:val="0"/>
          <w:lang w:val="fr-FR"/>
        </w:rPr>
        <w:t>’</w:t>
      </w:r>
      <w:r w:rsidR="001340FA" w:rsidRPr="00646A34">
        <w:rPr>
          <w:snapToGrid w:val="0"/>
          <w:lang w:val="fr-FR"/>
        </w:rPr>
        <w:t>orientations complémentaires dans le document upov/inf/15</w:t>
      </w:r>
      <w:bookmarkEnd w:id="9"/>
    </w:p>
    <w:p w:rsidR="006D5D83" w:rsidRPr="00646A34" w:rsidRDefault="006D5D83" w:rsidP="006D5D83">
      <w:pPr>
        <w:rPr>
          <w:lang w:val="fr-FR"/>
        </w:rPr>
      </w:pPr>
    </w:p>
    <w:bookmarkEnd w:id="10"/>
    <w:bookmarkEnd w:id="11"/>
    <w:bookmarkEnd w:id="12"/>
    <w:bookmarkEnd w:id="13"/>
    <w:p w:rsidR="00C70A2C" w:rsidRPr="00646A34" w:rsidRDefault="00A73668" w:rsidP="00A73668">
      <w:pPr>
        <w:rPr>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C70A2C" w:rsidRPr="00646A34">
        <w:rPr>
          <w:lang w:val="fr-FR"/>
        </w:rPr>
        <w:t>À sa soixante</w:t>
      </w:r>
      <w:r w:rsidR="00DF28A5" w:rsidRPr="00646A34">
        <w:rPr>
          <w:lang w:val="fr-FR"/>
        </w:rPr>
        <w:noBreakHyphen/>
      </w:r>
      <w:r w:rsidR="00C70A2C" w:rsidRPr="00646A34">
        <w:rPr>
          <w:lang w:val="fr-FR"/>
        </w:rPr>
        <w:t>neuvième</w:t>
      </w:r>
      <w:r w:rsidR="00395B04" w:rsidRPr="00646A34">
        <w:rPr>
          <w:lang w:val="fr-FR"/>
        </w:rPr>
        <w:t> </w:t>
      </w:r>
      <w:r w:rsidR="00C70A2C" w:rsidRPr="00646A34">
        <w:rPr>
          <w:lang w:val="fr-FR"/>
        </w:rPr>
        <w:t>session,</w:t>
      </w:r>
      <w:r w:rsidR="00F72F8E" w:rsidRPr="00646A34">
        <w:rPr>
          <w:lang w:val="fr-FR"/>
        </w:rPr>
        <w:t xml:space="preserve"> le CAJ</w:t>
      </w:r>
      <w:r w:rsidR="00C70A2C" w:rsidRPr="00646A34">
        <w:rPr>
          <w:lang w:val="fr-FR"/>
        </w:rPr>
        <w:t xml:space="preserve"> est convenu d</w:t>
      </w:r>
      <w:r w:rsidR="00F72F8E" w:rsidRPr="00646A34">
        <w:rPr>
          <w:lang w:val="fr-FR"/>
        </w:rPr>
        <w:t>’</w:t>
      </w:r>
      <w:r w:rsidR="00C70A2C" w:rsidRPr="00646A34">
        <w:rPr>
          <w:lang w:val="fr-FR"/>
        </w:rPr>
        <w:t xml:space="preserve">incorporer dans le document UPOV/INF/15 </w:t>
      </w:r>
      <w:r w:rsidR="00C70A2C" w:rsidRPr="00646A34">
        <w:rPr>
          <w:snapToGrid w:val="0"/>
          <w:lang w:val="fr-FR"/>
        </w:rPr>
        <w:t>les éléments</w:t>
      </w:r>
      <w:r w:rsidR="00C32B5D" w:rsidRPr="00646A34">
        <w:rPr>
          <w:snapToGrid w:val="0"/>
          <w:lang w:val="fr-FR"/>
        </w:rPr>
        <w:t xml:space="preserve"> pertinents</w:t>
      </w:r>
      <w:r w:rsidR="00C70A2C" w:rsidRPr="00646A34">
        <w:rPr>
          <w:snapToGrid w:val="0"/>
          <w:lang w:val="fr-FR"/>
        </w:rPr>
        <w:t xml:space="preserve"> approuvés par</w:t>
      </w:r>
      <w:r w:rsidR="00F72F8E" w:rsidRPr="00646A34">
        <w:rPr>
          <w:snapToGrid w:val="0"/>
          <w:lang w:val="fr-FR"/>
        </w:rPr>
        <w:t xml:space="preserve"> le CAJ</w:t>
      </w:r>
      <w:r w:rsidR="00C70A2C" w:rsidRPr="00646A34">
        <w:rPr>
          <w:snapToGrid w:val="0"/>
          <w:lang w:val="fr-FR"/>
        </w:rPr>
        <w:t xml:space="preserve"> pour l</w:t>
      </w:r>
      <w:r w:rsidR="00F72F8E" w:rsidRPr="00646A34">
        <w:rPr>
          <w:snapToGrid w:val="0"/>
          <w:lang w:val="fr-FR"/>
        </w:rPr>
        <w:t>’</w:t>
      </w:r>
      <w:r w:rsidR="00C70A2C" w:rsidRPr="00646A34">
        <w:rPr>
          <w:snapToGrid w:val="0"/>
          <w:lang w:val="fr-FR"/>
        </w:rPr>
        <w:t>élaboration d</w:t>
      </w:r>
      <w:r w:rsidR="00F72F8E" w:rsidRPr="00646A34">
        <w:rPr>
          <w:snapToGrid w:val="0"/>
          <w:lang w:val="fr-FR"/>
        </w:rPr>
        <w:t>’</w:t>
      </w:r>
      <w:r w:rsidR="00C70A2C" w:rsidRPr="00646A34">
        <w:rPr>
          <w:snapToGrid w:val="0"/>
          <w:lang w:val="fr-FR"/>
        </w:rPr>
        <w:t xml:space="preserve">orientations concernant les questions présentées dans le document CAJ/69/10 </w:t>
      </w:r>
      <w:r w:rsidR="00E607B1" w:rsidRPr="00646A34">
        <w:rPr>
          <w:snapToGrid w:val="0"/>
          <w:lang w:val="fr-FR"/>
        </w:rPr>
        <w:t>“</w:t>
      </w:r>
      <w:r w:rsidR="00C70A2C" w:rsidRPr="00646A34">
        <w:rPr>
          <w:snapToGrid w:val="0"/>
          <w:lang w:val="fr-FR"/>
        </w:rPr>
        <w:t>Questions soulevées par l</w:t>
      </w:r>
      <w:r w:rsidR="00F72F8E" w:rsidRPr="00646A34">
        <w:rPr>
          <w:snapToGrid w:val="0"/>
          <w:lang w:val="fr-FR"/>
        </w:rPr>
        <w:t>’</w:t>
      </w:r>
      <w:r w:rsidR="00C70A2C" w:rsidRPr="00646A34">
        <w:rPr>
          <w:i/>
          <w:snapToGrid w:val="0"/>
          <w:lang w:val="fr-FR"/>
        </w:rPr>
        <w:t>International Seed Federation</w:t>
      </w:r>
      <w:r w:rsidR="00C70A2C" w:rsidRPr="00646A34">
        <w:rPr>
          <w:snapToGrid w:val="0"/>
          <w:lang w:val="fr-FR"/>
        </w:rPr>
        <w:t xml:space="preserve"> (ISF)</w:t>
      </w:r>
      <w:r w:rsidR="00E607B1" w:rsidRPr="00646A34">
        <w:rPr>
          <w:snapToGrid w:val="0"/>
          <w:lang w:val="fr-FR"/>
        </w:rPr>
        <w:t>”</w:t>
      </w:r>
      <w:r w:rsidR="00C70A2C" w:rsidRPr="00646A34">
        <w:rPr>
          <w:snapToGrid w:val="0"/>
          <w:lang w:val="fr-FR"/>
        </w:rPr>
        <w:t xml:space="preserve"> (voir les </w:t>
      </w:r>
      <w:r w:rsidR="00C70A2C" w:rsidRPr="00646A34">
        <w:rPr>
          <w:lang w:val="fr-FR"/>
        </w:rPr>
        <w:t xml:space="preserve">documents </w:t>
      </w:r>
      <w:r w:rsidR="00C32B5D" w:rsidRPr="00646A34">
        <w:rPr>
          <w:lang w:val="fr-FR"/>
        </w:rPr>
        <w:t xml:space="preserve">CAJ/69/10, paragraphe 32, et </w:t>
      </w:r>
      <w:r w:rsidR="00C70A2C" w:rsidRPr="00646A34">
        <w:rPr>
          <w:lang w:val="fr-FR"/>
        </w:rPr>
        <w:t xml:space="preserve">CAJ/69/12 </w:t>
      </w:r>
      <w:r w:rsidR="00E607B1" w:rsidRPr="00646A34">
        <w:rPr>
          <w:lang w:val="fr-FR"/>
        </w:rPr>
        <w:t>“</w:t>
      </w:r>
      <w:r w:rsidR="00C70A2C" w:rsidRPr="00646A34">
        <w:rPr>
          <w:lang w:val="fr-FR"/>
        </w:rPr>
        <w:t>Compte rendu des conclusions</w:t>
      </w:r>
      <w:r w:rsidR="00E607B1" w:rsidRPr="00646A34">
        <w:rPr>
          <w:lang w:val="fr-FR"/>
        </w:rPr>
        <w:t>”</w:t>
      </w:r>
      <w:r w:rsidR="00C70A2C" w:rsidRPr="00646A34">
        <w:rPr>
          <w:lang w:val="fr-FR"/>
        </w:rPr>
        <w:t>, paragraphe</w:t>
      </w:r>
      <w:r w:rsidR="00C32B5D" w:rsidRPr="00646A34">
        <w:rPr>
          <w:lang w:val="fr-FR"/>
        </w:rPr>
        <w:t>s 80, 81, 83, 88, 90 et 92</w:t>
      </w:r>
      <w:r w:rsidR="00C70A2C" w:rsidRPr="00646A34">
        <w:rPr>
          <w:lang w:val="fr-FR"/>
        </w:rPr>
        <w:t>).</w:t>
      </w:r>
    </w:p>
    <w:p w:rsidR="00827851" w:rsidRPr="00646A34" w:rsidRDefault="00827851" w:rsidP="00B34841">
      <w:pPr>
        <w:rPr>
          <w:lang w:val="fr-FR"/>
        </w:rPr>
      </w:pPr>
    </w:p>
    <w:p w:rsidR="006E128D" w:rsidRPr="00646A34" w:rsidRDefault="00430CEA" w:rsidP="00430CEA">
      <w:pPr>
        <w:rPr>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6E128D" w:rsidRPr="00646A34">
        <w:rPr>
          <w:lang w:val="fr-FR"/>
        </w:rPr>
        <w:t>Sur cette base, des propositions sur les questions suivantes sont présentées comme indiqué dans le document UPOV/INF/15/3 Draft 1.</w:t>
      </w:r>
    </w:p>
    <w:p w:rsidR="00827851" w:rsidRPr="00646A34" w:rsidRDefault="00827851" w:rsidP="00B34841">
      <w:pPr>
        <w:rPr>
          <w:lang w:val="fr-FR"/>
        </w:rPr>
      </w:pPr>
    </w:p>
    <w:p w:rsidR="006D5D83" w:rsidRPr="00646A34" w:rsidRDefault="006D5D83" w:rsidP="00B34841">
      <w:pPr>
        <w:rPr>
          <w:lang w:val="fr-FR"/>
        </w:rPr>
      </w:pPr>
    </w:p>
    <w:p w:rsidR="00827851" w:rsidRPr="00646A34" w:rsidRDefault="00CC3FD9" w:rsidP="00204B18">
      <w:pPr>
        <w:pStyle w:val="Heading2"/>
      </w:pPr>
      <w:bookmarkStart w:id="14" w:name="_Toc398280921"/>
      <w:r w:rsidRPr="00646A34">
        <w:t>Créneau pour le dépôt des demandes</w:t>
      </w:r>
      <w:bookmarkEnd w:id="14"/>
    </w:p>
    <w:p w:rsidR="00827851" w:rsidRPr="00646A34" w:rsidRDefault="00827851" w:rsidP="00B34841">
      <w:pPr>
        <w:keepNext/>
        <w:rPr>
          <w:snapToGrid w:val="0"/>
          <w:lang w:val="fr-FR"/>
        </w:rPr>
      </w:pPr>
    </w:p>
    <w:p w:rsidR="00543EE6" w:rsidRPr="00646A34" w:rsidRDefault="00B34841" w:rsidP="00B34841">
      <w:pPr>
        <w:rPr>
          <w:rFonts w:eastAsia="SimSun"/>
          <w:iCs/>
          <w:lang w:val="fr-FR"/>
        </w:rPr>
      </w:pPr>
      <w:r w:rsidRPr="00646A34">
        <w:rPr>
          <w:iCs/>
          <w:lang w:val="fr-FR"/>
        </w:rPr>
        <w:fldChar w:fldCharType="begin"/>
      </w:r>
      <w:r w:rsidRPr="00646A34">
        <w:rPr>
          <w:iCs/>
          <w:lang w:val="fr-FR"/>
        </w:rPr>
        <w:instrText xml:space="preserve"> AUTONUM  </w:instrText>
      </w:r>
      <w:r w:rsidRPr="00646A34">
        <w:rPr>
          <w:iCs/>
          <w:lang w:val="fr-FR"/>
        </w:rPr>
        <w:fldChar w:fldCharType="end"/>
      </w:r>
      <w:r w:rsidRPr="00646A34">
        <w:rPr>
          <w:rFonts w:eastAsia="SimSun"/>
          <w:iCs/>
          <w:lang w:val="fr-FR"/>
        </w:rPr>
        <w:tab/>
      </w:r>
      <w:r w:rsidR="00543EE6" w:rsidRPr="00646A34">
        <w:rPr>
          <w:rFonts w:eastAsia="SimSun"/>
          <w:iCs/>
          <w:lang w:val="fr-FR"/>
        </w:rPr>
        <w:t>À sa soixante</w:t>
      </w:r>
      <w:r w:rsidR="00DF28A5" w:rsidRPr="00646A34">
        <w:rPr>
          <w:rFonts w:eastAsia="SimSun"/>
          <w:iCs/>
          <w:lang w:val="fr-FR"/>
        </w:rPr>
        <w:noBreakHyphen/>
      </w:r>
      <w:r w:rsidR="00543EE6" w:rsidRPr="00646A34">
        <w:rPr>
          <w:rFonts w:eastAsia="SimSun"/>
          <w:iCs/>
          <w:lang w:val="fr-FR"/>
        </w:rPr>
        <w:t>neuvième</w:t>
      </w:r>
      <w:r w:rsidR="00395B04" w:rsidRPr="00646A34">
        <w:rPr>
          <w:rFonts w:eastAsia="SimSun"/>
          <w:iCs/>
          <w:lang w:val="fr-FR"/>
        </w:rPr>
        <w:t> </w:t>
      </w:r>
      <w:r w:rsidR="00543EE6" w:rsidRPr="00646A34">
        <w:rPr>
          <w:rFonts w:eastAsia="SimSun"/>
          <w:iCs/>
          <w:lang w:val="fr-FR"/>
        </w:rPr>
        <w:t>session,</w:t>
      </w:r>
      <w:r w:rsidR="00F72F8E" w:rsidRPr="00646A34">
        <w:rPr>
          <w:rFonts w:eastAsia="SimSun"/>
          <w:iCs/>
          <w:lang w:val="fr-FR"/>
        </w:rPr>
        <w:t xml:space="preserve"> le CAJ</w:t>
      </w:r>
      <w:r w:rsidR="00543EE6" w:rsidRPr="00646A34">
        <w:rPr>
          <w:rFonts w:eastAsia="SimSun"/>
          <w:iCs/>
          <w:lang w:val="fr-FR"/>
        </w:rPr>
        <w:t xml:space="preserve"> a approuvé l</w:t>
      </w:r>
      <w:r w:rsidR="00F72F8E" w:rsidRPr="00646A34">
        <w:rPr>
          <w:rFonts w:eastAsia="SimSun"/>
          <w:iCs/>
          <w:lang w:val="fr-FR"/>
        </w:rPr>
        <w:t>’</w:t>
      </w:r>
      <w:r w:rsidR="00543EE6" w:rsidRPr="00646A34">
        <w:rPr>
          <w:rFonts w:eastAsia="SimSun"/>
          <w:iCs/>
          <w:lang w:val="fr-FR"/>
        </w:rPr>
        <w:t xml:space="preserve">élaboration de conseils sur le créneau de dépôt des demandes à faire figurer dans le document UPOV/INF/15 (voir le document CAJ/69/12 </w:t>
      </w:r>
      <w:r w:rsidR="00E607B1" w:rsidRPr="00646A34">
        <w:rPr>
          <w:rFonts w:eastAsia="SimSun"/>
          <w:iCs/>
          <w:lang w:val="fr-FR"/>
        </w:rPr>
        <w:t>“</w:t>
      </w:r>
      <w:r w:rsidR="00543EE6" w:rsidRPr="00646A34">
        <w:rPr>
          <w:rFonts w:eastAsia="SimSun"/>
          <w:iCs/>
          <w:lang w:val="fr-FR"/>
        </w:rPr>
        <w:t>Compte rendu des conclusions</w:t>
      </w:r>
      <w:r w:rsidR="00E607B1" w:rsidRPr="00646A34">
        <w:rPr>
          <w:rFonts w:eastAsia="SimSun"/>
          <w:iCs/>
          <w:lang w:val="fr-FR"/>
        </w:rPr>
        <w:t>”</w:t>
      </w:r>
      <w:r w:rsidR="00543EE6" w:rsidRPr="00646A34">
        <w:rPr>
          <w:rFonts w:eastAsia="SimSun"/>
          <w:iCs/>
          <w:lang w:val="fr-FR"/>
        </w:rPr>
        <w:t>, paragraphe 80).</w:t>
      </w:r>
    </w:p>
    <w:p w:rsidR="00543EE6" w:rsidRPr="00646A34" w:rsidRDefault="00543EE6" w:rsidP="00B34841">
      <w:pPr>
        <w:rPr>
          <w:rFonts w:eastAsia="SimSun"/>
          <w:iCs/>
          <w:lang w:val="fr-FR"/>
        </w:rPr>
      </w:pPr>
    </w:p>
    <w:p w:rsidR="00723C0A" w:rsidRPr="00646A34" w:rsidRDefault="00D25E7D" w:rsidP="00D25E7D">
      <w:pPr>
        <w:rPr>
          <w:rFonts w:eastAsia="SimSun"/>
          <w:iCs/>
          <w:lang w:val="fr-FR"/>
        </w:rPr>
      </w:pPr>
      <w:r w:rsidRPr="00646A34">
        <w:rPr>
          <w:iCs/>
          <w:lang w:val="fr-FR"/>
        </w:rPr>
        <w:fldChar w:fldCharType="begin"/>
      </w:r>
      <w:r w:rsidRPr="00646A34">
        <w:rPr>
          <w:iCs/>
          <w:lang w:val="fr-FR"/>
        </w:rPr>
        <w:instrText xml:space="preserve"> AUTONUM  </w:instrText>
      </w:r>
      <w:r w:rsidRPr="00646A34">
        <w:rPr>
          <w:iCs/>
          <w:lang w:val="fr-FR"/>
        </w:rPr>
        <w:fldChar w:fldCharType="end"/>
      </w:r>
      <w:r w:rsidRPr="00646A34">
        <w:rPr>
          <w:rFonts w:eastAsia="SimSun"/>
          <w:iCs/>
          <w:lang w:val="fr-FR"/>
        </w:rPr>
        <w:tab/>
      </w:r>
      <w:r w:rsidR="00723C0A" w:rsidRPr="00646A34">
        <w:rPr>
          <w:rFonts w:eastAsia="SimSun"/>
          <w:iCs/>
          <w:lang w:val="fr-FR"/>
        </w:rPr>
        <w:t>Les propositions d</w:t>
      </w:r>
      <w:r w:rsidR="00F72F8E" w:rsidRPr="00646A34">
        <w:rPr>
          <w:rFonts w:eastAsia="SimSun"/>
          <w:iCs/>
          <w:lang w:val="fr-FR"/>
        </w:rPr>
        <w:t>’</w:t>
      </w:r>
      <w:r w:rsidR="00723C0A" w:rsidRPr="00646A34">
        <w:rPr>
          <w:rFonts w:eastAsia="SimSun"/>
          <w:iCs/>
          <w:lang w:val="fr-FR"/>
        </w:rPr>
        <w:t>orientations sont présentées au paragraphe 45 du</w:t>
      </w:r>
      <w:r w:rsidR="00B933D9" w:rsidRPr="00646A34">
        <w:rPr>
          <w:rFonts w:eastAsia="SimSun"/>
          <w:iCs/>
          <w:lang w:val="fr-FR"/>
        </w:rPr>
        <w:t xml:space="preserve"> document UPOV/INF/15/3 Draft </w:t>
      </w:r>
      <w:r w:rsidR="00723C0A" w:rsidRPr="00646A34">
        <w:rPr>
          <w:rFonts w:eastAsia="SimSun"/>
          <w:iCs/>
          <w:lang w:val="fr-FR"/>
        </w:rPr>
        <w:t>1 (texte surligné).</w:t>
      </w:r>
    </w:p>
    <w:p w:rsidR="00827851" w:rsidRPr="00646A34" w:rsidRDefault="00827851" w:rsidP="00B34841">
      <w:pPr>
        <w:rPr>
          <w:lang w:val="fr-FR"/>
        </w:rPr>
      </w:pPr>
    </w:p>
    <w:p w:rsidR="00827851" w:rsidRPr="00646A34" w:rsidRDefault="00827851" w:rsidP="00B34841">
      <w:pPr>
        <w:rPr>
          <w:snapToGrid w:val="0"/>
          <w:lang w:val="fr-FR"/>
        </w:rPr>
      </w:pPr>
    </w:p>
    <w:p w:rsidR="00827851" w:rsidRPr="00646A34" w:rsidRDefault="00E37E03" w:rsidP="00204B18">
      <w:pPr>
        <w:pStyle w:val="Heading2"/>
      </w:pPr>
      <w:bookmarkStart w:id="15" w:name="_Toc381102831"/>
      <w:bookmarkStart w:id="16" w:name="_Toc381102859"/>
      <w:bookmarkStart w:id="17" w:name="_Toc381359967"/>
      <w:bookmarkStart w:id="18" w:name="_Toc398280922"/>
      <w:r w:rsidRPr="00646A34">
        <w:t>I</w:t>
      </w:r>
      <w:r w:rsidR="00B34841" w:rsidRPr="00646A34">
        <w:t>nformation</w:t>
      </w:r>
      <w:bookmarkEnd w:id="15"/>
      <w:bookmarkEnd w:id="16"/>
      <w:bookmarkEnd w:id="17"/>
      <w:r w:rsidRPr="00646A34">
        <w:t xml:space="preserve"> généalogique</w:t>
      </w:r>
      <w:bookmarkEnd w:id="18"/>
    </w:p>
    <w:p w:rsidR="00827851" w:rsidRPr="00646A34" w:rsidRDefault="00827851" w:rsidP="00204B18">
      <w:pPr>
        <w:pStyle w:val="Heading2"/>
      </w:pPr>
    </w:p>
    <w:p w:rsidR="002B15C2" w:rsidRPr="00646A34" w:rsidRDefault="00B34841" w:rsidP="00B34841">
      <w:pPr>
        <w:rPr>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1D438B" w:rsidRPr="00646A34">
        <w:rPr>
          <w:lang w:val="fr-FR"/>
        </w:rPr>
        <w:t>À sa soixante</w:t>
      </w:r>
      <w:r w:rsidR="00DF28A5" w:rsidRPr="00646A34">
        <w:rPr>
          <w:lang w:val="fr-FR"/>
        </w:rPr>
        <w:noBreakHyphen/>
      </w:r>
      <w:r w:rsidR="001D438B" w:rsidRPr="00646A34">
        <w:rPr>
          <w:lang w:val="fr-FR"/>
        </w:rPr>
        <w:t>neuvième</w:t>
      </w:r>
      <w:r w:rsidR="00395B04" w:rsidRPr="00646A34">
        <w:rPr>
          <w:lang w:val="fr-FR"/>
        </w:rPr>
        <w:t> </w:t>
      </w:r>
      <w:r w:rsidR="001D438B" w:rsidRPr="00646A34">
        <w:rPr>
          <w:lang w:val="fr-FR"/>
        </w:rPr>
        <w:t>session,</w:t>
      </w:r>
      <w:r w:rsidR="00F72F8E" w:rsidRPr="00646A34">
        <w:rPr>
          <w:lang w:val="fr-FR"/>
        </w:rPr>
        <w:t xml:space="preserve"> le CAJ</w:t>
      </w:r>
      <w:r w:rsidR="001D438B" w:rsidRPr="00646A34">
        <w:rPr>
          <w:lang w:val="fr-FR"/>
        </w:rPr>
        <w:t xml:space="preserve"> est convenu </w:t>
      </w:r>
      <w:r w:rsidR="002B15C2" w:rsidRPr="00646A34">
        <w:rPr>
          <w:lang w:val="fr-FR"/>
        </w:rPr>
        <w:t>d</w:t>
      </w:r>
      <w:r w:rsidR="00F72F8E" w:rsidRPr="00646A34">
        <w:rPr>
          <w:lang w:val="fr-FR"/>
        </w:rPr>
        <w:t>’</w:t>
      </w:r>
      <w:r w:rsidR="002B15C2" w:rsidRPr="00646A34">
        <w:rPr>
          <w:lang w:val="fr-FR"/>
        </w:rPr>
        <w:t>élaborer des orientations complémentaires sur les demandes d</w:t>
      </w:r>
      <w:r w:rsidR="00F72F8E" w:rsidRPr="00646A34">
        <w:rPr>
          <w:lang w:val="fr-FR"/>
        </w:rPr>
        <w:t>’</w:t>
      </w:r>
      <w:r w:rsidR="002B15C2" w:rsidRPr="00646A34">
        <w:rPr>
          <w:lang w:val="fr-FR"/>
        </w:rPr>
        <w:t xml:space="preserve">information généalogique </w:t>
      </w:r>
      <w:r w:rsidR="001D438B" w:rsidRPr="00646A34">
        <w:rPr>
          <w:lang w:val="fr-FR"/>
        </w:rPr>
        <w:t>(</w:t>
      </w:r>
      <w:r w:rsidR="001F1B96" w:rsidRPr="00646A34">
        <w:rPr>
          <w:lang w:val="fr-FR"/>
        </w:rPr>
        <w:t xml:space="preserve">voir le document CAJ/69/12 </w:t>
      </w:r>
      <w:r w:rsidR="00E607B1" w:rsidRPr="00646A34">
        <w:rPr>
          <w:lang w:val="fr-FR"/>
        </w:rPr>
        <w:t>“</w:t>
      </w:r>
      <w:r w:rsidR="001F1B96" w:rsidRPr="00646A34">
        <w:rPr>
          <w:lang w:val="fr-FR"/>
        </w:rPr>
        <w:t>Compte rendu des conclusions</w:t>
      </w:r>
      <w:r w:rsidR="00E607B1" w:rsidRPr="00646A34">
        <w:rPr>
          <w:lang w:val="fr-FR"/>
        </w:rPr>
        <w:t>”</w:t>
      </w:r>
      <w:r w:rsidR="001F1B96" w:rsidRPr="00646A34">
        <w:rPr>
          <w:lang w:val="fr-FR"/>
        </w:rPr>
        <w:t>, paragraphe 81</w:t>
      </w:r>
      <w:r w:rsidR="001D438B" w:rsidRPr="00646A34">
        <w:rPr>
          <w:lang w:val="fr-FR"/>
        </w:rPr>
        <w:t>).</w:t>
      </w:r>
    </w:p>
    <w:p w:rsidR="002B15C2" w:rsidRPr="00646A34" w:rsidRDefault="002B15C2" w:rsidP="00B34841">
      <w:pPr>
        <w:rPr>
          <w:lang w:val="fr-FR"/>
        </w:rPr>
      </w:pPr>
    </w:p>
    <w:bookmarkStart w:id="19" w:name="_Toc381102832"/>
    <w:bookmarkStart w:id="20" w:name="_Toc381102860"/>
    <w:bookmarkStart w:id="21" w:name="_Toc381359968"/>
    <w:p w:rsidR="00723C0A" w:rsidRPr="00646A34" w:rsidRDefault="00D25E7D" w:rsidP="00B34841">
      <w:pPr>
        <w:rPr>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723C0A" w:rsidRPr="00646A34">
        <w:rPr>
          <w:lang w:val="fr-FR"/>
        </w:rPr>
        <w:t>Les propositions d</w:t>
      </w:r>
      <w:r w:rsidR="00F72F8E" w:rsidRPr="00646A34">
        <w:rPr>
          <w:lang w:val="fr-FR"/>
        </w:rPr>
        <w:t>’</w:t>
      </w:r>
      <w:r w:rsidR="00723C0A" w:rsidRPr="00646A34">
        <w:rPr>
          <w:lang w:val="fr-FR"/>
        </w:rPr>
        <w:t>orientations sont présentées au</w:t>
      </w:r>
      <w:r w:rsidR="00333037" w:rsidRPr="00646A34">
        <w:rPr>
          <w:lang w:val="fr-FR"/>
        </w:rPr>
        <w:t>x</w:t>
      </w:r>
      <w:r w:rsidR="00723C0A" w:rsidRPr="00646A34">
        <w:rPr>
          <w:lang w:val="fr-FR"/>
        </w:rPr>
        <w:t xml:space="preserve"> paragraphe</w:t>
      </w:r>
      <w:r w:rsidR="00333037" w:rsidRPr="00646A34">
        <w:rPr>
          <w:lang w:val="fr-FR"/>
        </w:rPr>
        <w:t xml:space="preserve">s 36 et 64 </w:t>
      </w:r>
      <w:r w:rsidR="00723C0A" w:rsidRPr="00646A34">
        <w:rPr>
          <w:lang w:val="fr-FR"/>
        </w:rPr>
        <w:t>du document UPOV/INF/15/3 Draft 1 (texte surligné)</w:t>
      </w:r>
      <w:r w:rsidR="00333037" w:rsidRPr="00646A34">
        <w:rPr>
          <w:lang w:val="fr-FR"/>
        </w:rPr>
        <w:t>.</w:t>
      </w:r>
    </w:p>
    <w:p w:rsidR="00827851" w:rsidRPr="00646A34" w:rsidRDefault="00827851" w:rsidP="001D3E6E">
      <w:pPr>
        <w:rPr>
          <w:lang w:val="fr-FR"/>
        </w:rPr>
      </w:pPr>
    </w:p>
    <w:p w:rsidR="006F789C" w:rsidRPr="00646A34" w:rsidRDefault="006F789C" w:rsidP="001D3E6E">
      <w:pPr>
        <w:rPr>
          <w:lang w:val="fr-FR"/>
        </w:rPr>
      </w:pPr>
    </w:p>
    <w:p w:rsidR="00827851" w:rsidRPr="00646A34" w:rsidRDefault="00E37E03" w:rsidP="00204B18">
      <w:pPr>
        <w:pStyle w:val="Heading2"/>
      </w:pPr>
      <w:bookmarkStart w:id="22" w:name="_Toc398280923"/>
      <w:bookmarkEnd w:id="19"/>
      <w:bookmarkEnd w:id="20"/>
      <w:bookmarkEnd w:id="21"/>
      <w:r w:rsidRPr="00646A34">
        <w:t>Dépôt électronique des demandes</w:t>
      </w:r>
      <w:bookmarkEnd w:id="22"/>
    </w:p>
    <w:p w:rsidR="00827851" w:rsidRPr="00646A34" w:rsidRDefault="00827851" w:rsidP="00B34841">
      <w:pPr>
        <w:keepNext/>
        <w:rPr>
          <w:snapToGrid w:val="0"/>
          <w:u w:val="single"/>
          <w:lang w:val="fr-FR"/>
        </w:rPr>
      </w:pPr>
    </w:p>
    <w:p w:rsidR="00827851" w:rsidRPr="00646A34" w:rsidRDefault="00B34841" w:rsidP="004C5DA1">
      <w:pPr>
        <w:spacing w:after="240"/>
        <w:rPr>
          <w:rFonts w:eastAsia="SimSun"/>
          <w:iCs/>
          <w:lang w:val="fr-FR"/>
        </w:rPr>
      </w:pPr>
      <w:r w:rsidRPr="00646A34">
        <w:rPr>
          <w:iCs/>
          <w:lang w:val="fr-FR"/>
        </w:rPr>
        <w:fldChar w:fldCharType="begin"/>
      </w:r>
      <w:r w:rsidRPr="00646A34">
        <w:rPr>
          <w:iCs/>
          <w:lang w:val="fr-FR"/>
        </w:rPr>
        <w:instrText xml:space="preserve"> AUTONUM  </w:instrText>
      </w:r>
      <w:r w:rsidRPr="00646A34">
        <w:rPr>
          <w:iCs/>
          <w:lang w:val="fr-FR"/>
        </w:rPr>
        <w:fldChar w:fldCharType="end"/>
      </w:r>
      <w:r w:rsidRPr="00646A34">
        <w:rPr>
          <w:rFonts w:eastAsia="SimSun"/>
          <w:iCs/>
          <w:lang w:val="fr-FR"/>
        </w:rPr>
        <w:tab/>
      </w:r>
      <w:r w:rsidR="00766EB5" w:rsidRPr="00646A34">
        <w:rPr>
          <w:rFonts w:eastAsia="SimSun"/>
          <w:iCs/>
          <w:lang w:val="fr-FR"/>
        </w:rPr>
        <w:t>À sa soixante</w:t>
      </w:r>
      <w:r w:rsidR="00DF28A5" w:rsidRPr="00646A34">
        <w:rPr>
          <w:rFonts w:eastAsia="SimSun"/>
          <w:iCs/>
          <w:lang w:val="fr-FR"/>
        </w:rPr>
        <w:noBreakHyphen/>
      </w:r>
      <w:r w:rsidR="00766EB5" w:rsidRPr="00646A34">
        <w:rPr>
          <w:rFonts w:eastAsia="SimSun"/>
          <w:iCs/>
          <w:lang w:val="fr-FR"/>
        </w:rPr>
        <w:t>neuvième</w:t>
      </w:r>
      <w:r w:rsidR="00395B04" w:rsidRPr="00646A34">
        <w:rPr>
          <w:rFonts w:eastAsia="SimSun"/>
          <w:iCs/>
          <w:lang w:val="fr-FR"/>
        </w:rPr>
        <w:t> </w:t>
      </w:r>
      <w:r w:rsidR="00766EB5" w:rsidRPr="00646A34">
        <w:rPr>
          <w:rFonts w:eastAsia="SimSun"/>
          <w:iCs/>
          <w:lang w:val="fr-FR"/>
        </w:rPr>
        <w:t>session,</w:t>
      </w:r>
      <w:r w:rsidR="00F72F8E" w:rsidRPr="00646A34">
        <w:rPr>
          <w:rFonts w:eastAsia="SimSun"/>
          <w:iCs/>
          <w:lang w:val="fr-FR"/>
        </w:rPr>
        <w:t xml:space="preserve"> le CAJ</w:t>
      </w:r>
      <w:r w:rsidR="00766EB5" w:rsidRPr="00646A34">
        <w:rPr>
          <w:rFonts w:eastAsia="SimSun"/>
          <w:iCs/>
          <w:lang w:val="fr-FR"/>
        </w:rPr>
        <w:t xml:space="preserve"> a pris note des initiatives existantes ayant trait aux demandes électroniques, telles qu</w:t>
      </w:r>
      <w:r w:rsidR="00F72F8E" w:rsidRPr="00646A34">
        <w:rPr>
          <w:rFonts w:eastAsia="SimSun"/>
          <w:iCs/>
          <w:lang w:val="fr-FR"/>
        </w:rPr>
        <w:t>’</w:t>
      </w:r>
      <w:r w:rsidR="00766EB5" w:rsidRPr="00646A34">
        <w:rPr>
          <w:rFonts w:eastAsia="SimSun"/>
          <w:iCs/>
          <w:lang w:val="fr-FR"/>
        </w:rPr>
        <w:t xml:space="preserve">elles figurent </w:t>
      </w:r>
      <w:r w:rsidR="00AB783D" w:rsidRPr="00646A34">
        <w:rPr>
          <w:rFonts w:eastAsia="SimSun"/>
          <w:iCs/>
          <w:lang w:val="fr-FR"/>
        </w:rPr>
        <w:t>au</w:t>
      </w:r>
      <w:r w:rsidR="00766EB5" w:rsidRPr="00646A34">
        <w:rPr>
          <w:rFonts w:eastAsia="SimSun"/>
          <w:iCs/>
          <w:lang w:val="fr-FR"/>
        </w:rPr>
        <w:t xml:space="preserve"> paragraphe 9 du document CAJ/69/10 (</w:t>
      </w:r>
      <w:r w:rsidR="00766EB5" w:rsidRPr="00646A34">
        <w:rPr>
          <w:lang w:val="fr-FR"/>
        </w:rPr>
        <w:t xml:space="preserve">voir le document CAJ/69/12 </w:t>
      </w:r>
      <w:r w:rsidR="00E607B1" w:rsidRPr="00646A34">
        <w:rPr>
          <w:lang w:val="fr-FR"/>
        </w:rPr>
        <w:lastRenderedPageBreak/>
        <w:t>“</w:t>
      </w:r>
      <w:r w:rsidR="00766EB5" w:rsidRPr="00646A34">
        <w:rPr>
          <w:lang w:val="fr-FR"/>
        </w:rPr>
        <w:t>Compte rendu des conclusions</w:t>
      </w:r>
      <w:r w:rsidR="00E607B1" w:rsidRPr="00646A34">
        <w:rPr>
          <w:lang w:val="fr-FR"/>
        </w:rPr>
        <w:t>”</w:t>
      </w:r>
      <w:r w:rsidR="00766EB5" w:rsidRPr="00646A34">
        <w:rPr>
          <w:lang w:val="fr-FR"/>
        </w:rPr>
        <w:t>, paragraphe 82</w:t>
      </w:r>
      <w:r w:rsidR="00766EB5" w:rsidRPr="00646A34">
        <w:rPr>
          <w:rFonts w:eastAsia="SimSun"/>
          <w:iCs/>
          <w:lang w:val="fr-FR"/>
        </w:rPr>
        <w:t>).  Les derniers faits nouveaux concernant le prototype de formulaire électronique de l</w:t>
      </w:r>
      <w:r w:rsidR="00F72F8E" w:rsidRPr="00646A34">
        <w:rPr>
          <w:rFonts w:eastAsia="SimSun"/>
          <w:iCs/>
          <w:lang w:val="fr-FR"/>
        </w:rPr>
        <w:t>’</w:t>
      </w:r>
      <w:r w:rsidR="00766EB5" w:rsidRPr="00646A34">
        <w:rPr>
          <w:rFonts w:eastAsia="SimSun"/>
          <w:iCs/>
          <w:lang w:val="fr-FR"/>
        </w:rPr>
        <w:t xml:space="preserve">UPOV sont présentés dans le document </w:t>
      </w:r>
      <w:r w:rsidR="005A7C80" w:rsidRPr="00646A34">
        <w:rPr>
          <w:rFonts w:eastAsia="SimSun"/>
          <w:iCs/>
          <w:lang w:val="fr-FR"/>
        </w:rPr>
        <w:t xml:space="preserve">CAJ/70/7 </w:t>
      </w:r>
      <w:r w:rsidR="00E607B1" w:rsidRPr="00646A34">
        <w:rPr>
          <w:bCs/>
          <w:snapToGrid w:val="0"/>
          <w:lang w:val="fr-FR"/>
        </w:rPr>
        <w:t>“</w:t>
      </w:r>
      <w:r w:rsidR="005A7C80" w:rsidRPr="00646A34">
        <w:rPr>
          <w:bCs/>
          <w:snapToGrid w:val="0"/>
          <w:lang w:val="fr-FR"/>
        </w:rPr>
        <w:t>Systèmes de dépôt électronique des demandes</w:t>
      </w:r>
      <w:r w:rsidR="00E607B1" w:rsidRPr="00646A34">
        <w:rPr>
          <w:kern w:val="28"/>
          <w:lang w:val="fr-FR"/>
        </w:rPr>
        <w:t>”</w:t>
      </w:r>
      <w:r w:rsidRPr="00646A34">
        <w:rPr>
          <w:kern w:val="28"/>
          <w:lang w:val="fr-FR"/>
        </w:rPr>
        <w:t>.</w:t>
      </w:r>
    </w:p>
    <w:p w:rsidR="00BC02D6" w:rsidRPr="00646A34" w:rsidRDefault="00B34841" w:rsidP="00B34841">
      <w:pPr>
        <w:rPr>
          <w:rFonts w:eastAsia="SimSun"/>
          <w:lang w:val="fr-FR"/>
        </w:rPr>
      </w:pPr>
      <w:r w:rsidRPr="00646A34">
        <w:rPr>
          <w:rFonts w:eastAsia="SimSun"/>
          <w:lang w:val="fr-FR"/>
        </w:rPr>
        <w:fldChar w:fldCharType="begin"/>
      </w:r>
      <w:r w:rsidRPr="00646A34">
        <w:rPr>
          <w:rFonts w:eastAsia="SimSun"/>
          <w:lang w:val="fr-FR"/>
        </w:rPr>
        <w:instrText xml:space="preserve"> AUTONUM  </w:instrText>
      </w:r>
      <w:r w:rsidRPr="00646A34">
        <w:rPr>
          <w:rFonts w:eastAsia="SimSun"/>
          <w:lang w:val="fr-FR"/>
        </w:rPr>
        <w:fldChar w:fldCharType="end"/>
      </w:r>
      <w:r w:rsidRPr="00646A34">
        <w:rPr>
          <w:rFonts w:eastAsia="SimSun"/>
          <w:lang w:val="fr-FR"/>
        </w:rPr>
        <w:tab/>
      </w:r>
      <w:r w:rsidR="00BC02D6" w:rsidRPr="00646A34">
        <w:rPr>
          <w:rFonts w:eastAsia="SimSun"/>
          <w:lang w:val="fr-FR"/>
        </w:rPr>
        <w:t>À sa soixante</w:t>
      </w:r>
      <w:r w:rsidR="00DF28A5" w:rsidRPr="00646A34">
        <w:rPr>
          <w:rFonts w:eastAsia="SimSun"/>
          <w:lang w:val="fr-FR"/>
        </w:rPr>
        <w:noBreakHyphen/>
      </w:r>
      <w:r w:rsidR="00BC02D6" w:rsidRPr="00646A34">
        <w:rPr>
          <w:rFonts w:eastAsia="SimSun"/>
          <w:lang w:val="fr-FR"/>
        </w:rPr>
        <w:t>neuvième</w:t>
      </w:r>
      <w:r w:rsidR="00395B04" w:rsidRPr="00646A34">
        <w:rPr>
          <w:rFonts w:eastAsia="SimSun"/>
          <w:lang w:val="fr-FR"/>
        </w:rPr>
        <w:t> </w:t>
      </w:r>
      <w:r w:rsidR="00BC02D6" w:rsidRPr="00646A34">
        <w:rPr>
          <w:rFonts w:eastAsia="SimSun"/>
          <w:lang w:val="fr-FR"/>
        </w:rPr>
        <w:t>session,</w:t>
      </w:r>
      <w:r w:rsidR="00F72F8E" w:rsidRPr="00646A34">
        <w:rPr>
          <w:rFonts w:eastAsia="SimSun"/>
          <w:lang w:val="fr-FR"/>
        </w:rPr>
        <w:t xml:space="preserve"> le CAJ</w:t>
      </w:r>
      <w:r w:rsidR="00BC02D6" w:rsidRPr="00646A34">
        <w:rPr>
          <w:rFonts w:eastAsia="SimSun"/>
          <w:lang w:val="fr-FR"/>
        </w:rPr>
        <w:t xml:space="preserve"> est convenu d</w:t>
      </w:r>
      <w:r w:rsidR="00F72F8E" w:rsidRPr="00646A34">
        <w:rPr>
          <w:rFonts w:eastAsia="SimSun"/>
          <w:lang w:val="fr-FR"/>
        </w:rPr>
        <w:t>’</w:t>
      </w:r>
      <w:r w:rsidR="00BC02D6" w:rsidRPr="00646A34">
        <w:rPr>
          <w:rFonts w:eastAsia="SimSun"/>
          <w:lang w:val="fr-FR"/>
        </w:rPr>
        <w:t xml:space="preserve">élaborer dans le document UPOV/INF/15 des orientations sur la possibilité de déposer des demandes par voie électronique (voir le document CAJ/69/12 </w:t>
      </w:r>
      <w:r w:rsidR="00E607B1" w:rsidRPr="00646A34">
        <w:rPr>
          <w:rFonts w:eastAsia="SimSun"/>
          <w:lang w:val="fr-FR"/>
        </w:rPr>
        <w:t>“</w:t>
      </w:r>
      <w:r w:rsidR="00BC02D6" w:rsidRPr="00646A34">
        <w:rPr>
          <w:rFonts w:eastAsia="SimSun"/>
          <w:lang w:val="fr-FR"/>
        </w:rPr>
        <w:t>Compte rendu des conclusions</w:t>
      </w:r>
      <w:r w:rsidR="00E607B1" w:rsidRPr="00646A34">
        <w:rPr>
          <w:rFonts w:eastAsia="SimSun"/>
          <w:lang w:val="fr-FR"/>
        </w:rPr>
        <w:t>”</w:t>
      </w:r>
      <w:r w:rsidR="00BC02D6" w:rsidRPr="00646A34">
        <w:rPr>
          <w:rFonts w:eastAsia="SimSun"/>
          <w:lang w:val="fr-FR"/>
        </w:rPr>
        <w:t>, paragraphe 83).</w:t>
      </w:r>
    </w:p>
    <w:p w:rsidR="00827851" w:rsidRPr="00646A34" w:rsidRDefault="00827851" w:rsidP="00B34841">
      <w:pPr>
        <w:rPr>
          <w:lang w:val="fr-FR"/>
        </w:rPr>
      </w:pPr>
    </w:p>
    <w:p w:rsidR="00723C0A" w:rsidRPr="00646A34" w:rsidRDefault="009B0D2F" w:rsidP="009B0D2F">
      <w:pPr>
        <w:rPr>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723C0A" w:rsidRPr="00646A34">
        <w:rPr>
          <w:lang w:val="fr-FR"/>
        </w:rPr>
        <w:t>Les propositions d</w:t>
      </w:r>
      <w:r w:rsidR="00F72F8E" w:rsidRPr="00646A34">
        <w:rPr>
          <w:lang w:val="fr-FR"/>
        </w:rPr>
        <w:t>’</w:t>
      </w:r>
      <w:r w:rsidR="00723C0A" w:rsidRPr="00646A34">
        <w:rPr>
          <w:lang w:val="fr-FR"/>
        </w:rPr>
        <w:t>orientations</w:t>
      </w:r>
      <w:r w:rsidR="00BC02D6" w:rsidRPr="00646A34">
        <w:rPr>
          <w:lang w:val="fr-FR"/>
        </w:rPr>
        <w:t xml:space="preserve"> sur la possibilité de déposer des demandes par voie électronique</w:t>
      </w:r>
      <w:r w:rsidR="00723C0A" w:rsidRPr="00646A34">
        <w:rPr>
          <w:lang w:val="fr-FR"/>
        </w:rPr>
        <w:t xml:space="preserve"> sont présentées au paragraphe</w:t>
      </w:r>
      <w:r w:rsidR="00BC02D6" w:rsidRPr="00646A34">
        <w:rPr>
          <w:lang w:val="fr-FR"/>
        </w:rPr>
        <w:t> </w:t>
      </w:r>
      <w:r w:rsidR="00723C0A" w:rsidRPr="00646A34">
        <w:rPr>
          <w:lang w:val="fr-FR"/>
        </w:rPr>
        <w:t>4</w:t>
      </w:r>
      <w:r w:rsidR="00BC02D6" w:rsidRPr="00646A34">
        <w:rPr>
          <w:lang w:val="fr-FR"/>
        </w:rPr>
        <w:t>6</w:t>
      </w:r>
      <w:r w:rsidR="00723C0A" w:rsidRPr="00646A34">
        <w:rPr>
          <w:lang w:val="fr-FR"/>
        </w:rPr>
        <w:t xml:space="preserve"> du document UPOV/INF/15/3 Draft 1</w:t>
      </w:r>
      <w:r w:rsidR="00BC02D6" w:rsidRPr="00646A34">
        <w:rPr>
          <w:lang w:val="fr-FR"/>
        </w:rPr>
        <w:t>.</w:t>
      </w:r>
    </w:p>
    <w:p w:rsidR="00827851" w:rsidRPr="00646A34" w:rsidRDefault="00827851" w:rsidP="00B34841">
      <w:pPr>
        <w:rPr>
          <w:lang w:val="fr-FR"/>
        </w:rPr>
      </w:pPr>
    </w:p>
    <w:p w:rsidR="006D5D83" w:rsidRPr="00646A34" w:rsidRDefault="006D5D83" w:rsidP="00B34841">
      <w:pPr>
        <w:rPr>
          <w:lang w:val="fr-FR"/>
        </w:rPr>
      </w:pPr>
    </w:p>
    <w:p w:rsidR="00827851" w:rsidRPr="00204B18" w:rsidRDefault="00B34841" w:rsidP="00204B18">
      <w:pPr>
        <w:pStyle w:val="Heading2"/>
      </w:pPr>
      <w:bookmarkStart w:id="23" w:name="_Toc381359973"/>
      <w:bookmarkStart w:id="24" w:name="_Toc398280924"/>
      <w:r w:rsidRPr="00204B18">
        <w:t>C</w:t>
      </w:r>
      <w:r w:rsidR="00E37E03" w:rsidRPr="00204B18">
        <w:t>onfidentialité du matériel du déposant lorsque les centres d</w:t>
      </w:r>
      <w:r w:rsidR="00F72F8E" w:rsidRPr="00204B18">
        <w:t>’</w:t>
      </w:r>
      <w:r w:rsidR="00E37E03" w:rsidRPr="00204B18">
        <w:t>examen créent des variétés de la même espèce</w:t>
      </w:r>
      <w:bookmarkEnd w:id="23"/>
      <w:bookmarkEnd w:id="24"/>
    </w:p>
    <w:p w:rsidR="00827851" w:rsidRPr="00646A34" w:rsidRDefault="00827851" w:rsidP="00B34841">
      <w:pPr>
        <w:keepNext/>
        <w:rPr>
          <w:rFonts w:eastAsia="Arial"/>
          <w:lang w:val="fr-FR"/>
        </w:rPr>
      </w:pPr>
    </w:p>
    <w:p w:rsidR="002C2206" w:rsidRPr="00646A34" w:rsidRDefault="00B34841" w:rsidP="00B34841">
      <w:pPr>
        <w:rPr>
          <w:snapToGrid w:val="0"/>
          <w:lang w:val="fr-FR"/>
        </w:rPr>
      </w:pPr>
      <w:r w:rsidRPr="00646A34">
        <w:rPr>
          <w:snapToGrid w:val="0"/>
          <w:lang w:val="fr-FR"/>
        </w:rPr>
        <w:fldChar w:fldCharType="begin"/>
      </w:r>
      <w:r w:rsidRPr="00646A34">
        <w:rPr>
          <w:snapToGrid w:val="0"/>
          <w:lang w:val="fr-FR"/>
        </w:rPr>
        <w:instrText xml:space="preserve"> AUTONUM  </w:instrText>
      </w:r>
      <w:r w:rsidRPr="00646A34">
        <w:rPr>
          <w:snapToGrid w:val="0"/>
          <w:lang w:val="fr-FR"/>
        </w:rPr>
        <w:fldChar w:fldCharType="end"/>
      </w:r>
      <w:r w:rsidRPr="00646A34">
        <w:rPr>
          <w:snapToGrid w:val="0"/>
          <w:lang w:val="fr-FR"/>
        </w:rPr>
        <w:tab/>
      </w:r>
      <w:r w:rsidR="00A50EFB" w:rsidRPr="00646A34">
        <w:rPr>
          <w:snapToGrid w:val="0"/>
          <w:lang w:val="fr-FR"/>
        </w:rPr>
        <w:t>À sa soixante</w:t>
      </w:r>
      <w:r w:rsidR="00DF28A5" w:rsidRPr="00646A34">
        <w:rPr>
          <w:snapToGrid w:val="0"/>
          <w:lang w:val="fr-FR"/>
        </w:rPr>
        <w:noBreakHyphen/>
      </w:r>
      <w:r w:rsidR="00A50EFB" w:rsidRPr="00646A34">
        <w:rPr>
          <w:snapToGrid w:val="0"/>
          <w:lang w:val="fr-FR"/>
        </w:rPr>
        <w:t>neuvième</w:t>
      </w:r>
      <w:r w:rsidR="00395B04" w:rsidRPr="00646A34">
        <w:rPr>
          <w:snapToGrid w:val="0"/>
          <w:lang w:val="fr-FR"/>
        </w:rPr>
        <w:t> </w:t>
      </w:r>
      <w:r w:rsidR="00A50EFB" w:rsidRPr="00646A34">
        <w:rPr>
          <w:snapToGrid w:val="0"/>
          <w:lang w:val="fr-FR"/>
        </w:rPr>
        <w:t>session,</w:t>
      </w:r>
      <w:r w:rsidR="00F72F8E" w:rsidRPr="00646A34">
        <w:rPr>
          <w:snapToGrid w:val="0"/>
          <w:lang w:val="fr-FR"/>
        </w:rPr>
        <w:t xml:space="preserve"> le CAJ</w:t>
      </w:r>
      <w:r w:rsidR="00A50EFB" w:rsidRPr="00646A34">
        <w:rPr>
          <w:snapToGrid w:val="0"/>
          <w:lang w:val="fr-FR"/>
        </w:rPr>
        <w:t xml:space="preserve"> </w:t>
      </w:r>
      <w:r w:rsidR="00C10763" w:rsidRPr="00646A34">
        <w:rPr>
          <w:snapToGrid w:val="0"/>
          <w:lang w:val="fr-FR"/>
        </w:rPr>
        <w:t xml:space="preserve">a pris </w:t>
      </w:r>
      <w:r w:rsidR="00436D8C" w:rsidRPr="00646A34">
        <w:rPr>
          <w:snapToGrid w:val="0"/>
          <w:lang w:val="fr-FR"/>
        </w:rPr>
        <w:t xml:space="preserve">note des délibérations qui ont eu lieu en son sein concernant les </w:t>
      </w:r>
      <w:r w:rsidR="00E607B1" w:rsidRPr="00646A34">
        <w:rPr>
          <w:snapToGrid w:val="0"/>
          <w:lang w:val="fr-FR"/>
        </w:rPr>
        <w:t>“</w:t>
      </w:r>
      <w:r w:rsidR="00436D8C" w:rsidRPr="00646A34">
        <w:rPr>
          <w:snapToGrid w:val="0"/>
          <w:lang w:val="fr-FR"/>
        </w:rPr>
        <w:t>Recommandations visant à garantir l</w:t>
      </w:r>
      <w:r w:rsidR="00F72F8E" w:rsidRPr="00646A34">
        <w:rPr>
          <w:snapToGrid w:val="0"/>
          <w:lang w:val="fr-FR"/>
        </w:rPr>
        <w:t>’</w:t>
      </w:r>
      <w:r w:rsidR="00436D8C" w:rsidRPr="00646A34">
        <w:rPr>
          <w:snapToGrid w:val="0"/>
          <w:lang w:val="fr-FR"/>
        </w:rPr>
        <w:t>indépendance des centres procédant à l</w:t>
      </w:r>
      <w:r w:rsidR="00F72F8E" w:rsidRPr="00646A34">
        <w:rPr>
          <w:snapToGrid w:val="0"/>
          <w:lang w:val="fr-FR"/>
        </w:rPr>
        <w:t>’</w:t>
      </w:r>
      <w:r w:rsidR="00436D8C" w:rsidRPr="00646A34">
        <w:rPr>
          <w:snapToGrid w:val="0"/>
          <w:lang w:val="fr-FR"/>
        </w:rPr>
        <w:t>examen DHS qui mènent des activités d</w:t>
      </w:r>
      <w:r w:rsidR="00F72F8E" w:rsidRPr="00646A34">
        <w:rPr>
          <w:snapToGrid w:val="0"/>
          <w:lang w:val="fr-FR"/>
        </w:rPr>
        <w:t>’</w:t>
      </w:r>
      <w:r w:rsidR="00436D8C" w:rsidRPr="00646A34">
        <w:rPr>
          <w:snapToGrid w:val="0"/>
          <w:lang w:val="fr-FR"/>
        </w:rPr>
        <w:t>amélioration des plantes ou qui sont associés à de telles activités</w:t>
      </w:r>
      <w:r w:rsidR="00E607B1" w:rsidRPr="00646A34">
        <w:rPr>
          <w:snapToGrid w:val="0"/>
          <w:lang w:val="fr-FR"/>
        </w:rPr>
        <w:t>”</w:t>
      </w:r>
      <w:r w:rsidR="00436D8C" w:rsidRPr="00646A34">
        <w:rPr>
          <w:snapToGrid w:val="0"/>
          <w:lang w:val="fr-FR"/>
        </w:rPr>
        <w:t>, c</w:t>
      </w:r>
      <w:r w:rsidR="00750182" w:rsidRPr="00646A34">
        <w:rPr>
          <w:snapToGrid w:val="0"/>
          <w:lang w:val="fr-FR"/>
        </w:rPr>
        <w:t xml:space="preserve">omme indiqué </w:t>
      </w:r>
      <w:r w:rsidR="00AB783D" w:rsidRPr="00646A34">
        <w:rPr>
          <w:snapToGrid w:val="0"/>
          <w:lang w:val="fr-FR"/>
        </w:rPr>
        <w:t xml:space="preserve">au </w:t>
      </w:r>
      <w:r w:rsidR="00750182" w:rsidRPr="00646A34">
        <w:rPr>
          <w:snapToGrid w:val="0"/>
          <w:lang w:val="fr-FR"/>
        </w:rPr>
        <w:t>paragraphe </w:t>
      </w:r>
      <w:r w:rsidR="00436D8C" w:rsidRPr="00646A34">
        <w:rPr>
          <w:snapToGrid w:val="0"/>
          <w:lang w:val="fr-FR"/>
        </w:rPr>
        <w:t>22 du document CAJ/69/10</w:t>
      </w:r>
      <w:r w:rsidR="00AD1084" w:rsidRPr="00646A34">
        <w:rPr>
          <w:snapToGrid w:val="0"/>
          <w:lang w:val="fr-FR"/>
        </w:rPr>
        <w:t xml:space="preserve"> (</w:t>
      </w:r>
      <w:r w:rsidR="00750182" w:rsidRPr="00646A34">
        <w:rPr>
          <w:snapToGrid w:val="0"/>
          <w:lang w:val="fr-FR"/>
        </w:rPr>
        <w:t xml:space="preserve">voir le document CAJ/69/12 </w:t>
      </w:r>
      <w:r w:rsidR="00E607B1" w:rsidRPr="00646A34">
        <w:rPr>
          <w:snapToGrid w:val="0"/>
          <w:lang w:val="fr-FR"/>
        </w:rPr>
        <w:t>“</w:t>
      </w:r>
      <w:r w:rsidR="00750182" w:rsidRPr="00646A34">
        <w:rPr>
          <w:snapToGrid w:val="0"/>
          <w:lang w:val="fr-FR"/>
        </w:rPr>
        <w:t>Compte rendu des conclusions</w:t>
      </w:r>
      <w:r w:rsidR="00E607B1" w:rsidRPr="00646A34">
        <w:rPr>
          <w:snapToGrid w:val="0"/>
          <w:lang w:val="fr-FR"/>
        </w:rPr>
        <w:t>”</w:t>
      </w:r>
      <w:r w:rsidR="00750182" w:rsidRPr="00646A34">
        <w:rPr>
          <w:snapToGrid w:val="0"/>
          <w:lang w:val="fr-FR"/>
        </w:rPr>
        <w:t>, paragraphe 87</w:t>
      </w:r>
      <w:r w:rsidR="00AD1084" w:rsidRPr="00646A34">
        <w:rPr>
          <w:snapToGrid w:val="0"/>
          <w:lang w:val="fr-FR"/>
        </w:rPr>
        <w:t>).</w:t>
      </w:r>
    </w:p>
    <w:p w:rsidR="00827851" w:rsidRPr="00646A34" w:rsidRDefault="00827851" w:rsidP="00B34841">
      <w:pPr>
        <w:rPr>
          <w:snapToGrid w:val="0"/>
          <w:lang w:val="fr-FR"/>
        </w:rPr>
      </w:pPr>
    </w:p>
    <w:p w:rsidR="00750182" w:rsidRPr="00646A34" w:rsidRDefault="00B34841" w:rsidP="007C0653">
      <w:pPr>
        <w:rPr>
          <w:snapToGrid w:val="0"/>
          <w:lang w:val="fr-FR"/>
        </w:rPr>
      </w:pPr>
      <w:r w:rsidRPr="00646A34">
        <w:rPr>
          <w:snapToGrid w:val="0"/>
          <w:lang w:val="fr-FR"/>
        </w:rPr>
        <w:fldChar w:fldCharType="begin"/>
      </w:r>
      <w:r w:rsidRPr="00646A34">
        <w:rPr>
          <w:snapToGrid w:val="0"/>
          <w:lang w:val="fr-FR"/>
        </w:rPr>
        <w:instrText xml:space="preserve"> AUTONUM  </w:instrText>
      </w:r>
      <w:r w:rsidRPr="00646A34">
        <w:rPr>
          <w:snapToGrid w:val="0"/>
          <w:lang w:val="fr-FR"/>
        </w:rPr>
        <w:fldChar w:fldCharType="end"/>
      </w:r>
      <w:r w:rsidRPr="00646A34">
        <w:rPr>
          <w:snapToGrid w:val="0"/>
          <w:lang w:val="fr-FR"/>
        </w:rPr>
        <w:tab/>
      </w:r>
      <w:r w:rsidR="00750182" w:rsidRPr="00646A34">
        <w:rPr>
          <w:snapToGrid w:val="0"/>
          <w:lang w:val="fr-FR"/>
        </w:rPr>
        <w:t>À sa soixante</w:t>
      </w:r>
      <w:r w:rsidR="00DF28A5" w:rsidRPr="00646A34">
        <w:rPr>
          <w:snapToGrid w:val="0"/>
          <w:lang w:val="fr-FR"/>
        </w:rPr>
        <w:noBreakHyphen/>
      </w:r>
      <w:r w:rsidR="00750182" w:rsidRPr="00646A34">
        <w:rPr>
          <w:snapToGrid w:val="0"/>
          <w:lang w:val="fr-FR"/>
        </w:rPr>
        <w:t>neuvième</w:t>
      </w:r>
      <w:r w:rsidR="00395B04" w:rsidRPr="00646A34">
        <w:rPr>
          <w:snapToGrid w:val="0"/>
          <w:lang w:val="fr-FR"/>
        </w:rPr>
        <w:t> </w:t>
      </w:r>
      <w:r w:rsidR="00750182" w:rsidRPr="00646A34">
        <w:rPr>
          <w:snapToGrid w:val="0"/>
          <w:lang w:val="fr-FR"/>
        </w:rPr>
        <w:t>session,</w:t>
      </w:r>
      <w:r w:rsidR="00F72F8E" w:rsidRPr="00646A34">
        <w:rPr>
          <w:snapToGrid w:val="0"/>
          <w:lang w:val="fr-FR"/>
        </w:rPr>
        <w:t xml:space="preserve"> le CAJ</w:t>
      </w:r>
      <w:r w:rsidR="00750182" w:rsidRPr="00646A34">
        <w:rPr>
          <w:lang w:val="fr-FR"/>
        </w:rPr>
        <w:t xml:space="preserve"> est convenu </w:t>
      </w:r>
      <w:r w:rsidR="00750182" w:rsidRPr="00646A34">
        <w:rPr>
          <w:snapToGrid w:val="0"/>
          <w:lang w:val="fr-FR"/>
        </w:rPr>
        <w:t>d</w:t>
      </w:r>
      <w:r w:rsidR="00F72F8E" w:rsidRPr="00646A34">
        <w:rPr>
          <w:snapToGrid w:val="0"/>
          <w:lang w:val="fr-FR"/>
        </w:rPr>
        <w:t>’</w:t>
      </w:r>
      <w:r w:rsidR="00750182" w:rsidRPr="00646A34">
        <w:rPr>
          <w:snapToGrid w:val="0"/>
          <w:lang w:val="fr-FR"/>
        </w:rPr>
        <w:t>intégrer dans le document UPOV/INF/15 des orientations sur la confidentialité du matériel du déposant lorsque les centres d</w:t>
      </w:r>
      <w:r w:rsidR="00F72F8E" w:rsidRPr="00646A34">
        <w:rPr>
          <w:snapToGrid w:val="0"/>
          <w:lang w:val="fr-FR"/>
        </w:rPr>
        <w:t>’</w:t>
      </w:r>
      <w:r w:rsidR="00750182" w:rsidRPr="00646A34">
        <w:rPr>
          <w:snapToGrid w:val="0"/>
          <w:lang w:val="fr-FR"/>
        </w:rPr>
        <w:t>examen mènent des activités d</w:t>
      </w:r>
      <w:r w:rsidR="00F72F8E" w:rsidRPr="00646A34">
        <w:rPr>
          <w:snapToGrid w:val="0"/>
          <w:lang w:val="fr-FR"/>
        </w:rPr>
        <w:t>’</w:t>
      </w:r>
      <w:r w:rsidR="00750182" w:rsidRPr="00646A34">
        <w:rPr>
          <w:snapToGrid w:val="0"/>
          <w:lang w:val="fr-FR"/>
        </w:rPr>
        <w:t xml:space="preserve">amélioration des plantes ou sont associés à de telles activités (voir le document CAJ/69/12 </w:t>
      </w:r>
      <w:r w:rsidR="00E607B1" w:rsidRPr="00646A34">
        <w:rPr>
          <w:snapToGrid w:val="0"/>
          <w:lang w:val="fr-FR"/>
        </w:rPr>
        <w:t>“</w:t>
      </w:r>
      <w:r w:rsidR="00750182" w:rsidRPr="00646A34">
        <w:rPr>
          <w:snapToGrid w:val="0"/>
          <w:lang w:val="fr-FR"/>
        </w:rPr>
        <w:t>Compte rendu des conclusions</w:t>
      </w:r>
      <w:r w:rsidR="00E607B1" w:rsidRPr="00646A34">
        <w:rPr>
          <w:snapToGrid w:val="0"/>
          <w:lang w:val="fr-FR"/>
        </w:rPr>
        <w:t>”</w:t>
      </w:r>
      <w:r w:rsidR="00750182" w:rsidRPr="00646A34">
        <w:rPr>
          <w:snapToGrid w:val="0"/>
          <w:lang w:val="fr-FR"/>
        </w:rPr>
        <w:t>, paragraphe 88).</w:t>
      </w:r>
    </w:p>
    <w:p w:rsidR="00827851" w:rsidRPr="00646A34" w:rsidRDefault="00827851" w:rsidP="00B34841">
      <w:pPr>
        <w:rPr>
          <w:snapToGrid w:val="0"/>
          <w:lang w:val="fr-FR"/>
        </w:rPr>
      </w:pPr>
    </w:p>
    <w:p w:rsidR="00723C0A" w:rsidRPr="00646A34" w:rsidRDefault="009B0D2F" w:rsidP="00B34841">
      <w:pPr>
        <w:rPr>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723C0A" w:rsidRPr="00646A34">
        <w:rPr>
          <w:lang w:val="fr-FR"/>
        </w:rPr>
        <w:t>Les propositions d</w:t>
      </w:r>
      <w:r w:rsidR="00F72F8E" w:rsidRPr="00646A34">
        <w:rPr>
          <w:lang w:val="fr-FR"/>
        </w:rPr>
        <w:t>’</w:t>
      </w:r>
      <w:r w:rsidR="00723C0A" w:rsidRPr="00646A34">
        <w:rPr>
          <w:lang w:val="fr-FR"/>
        </w:rPr>
        <w:t>orientations s</w:t>
      </w:r>
      <w:r w:rsidR="00750182" w:rsidRPr="00646A34">
        <w:rPr>
          <w:lang w:val="fr-FR"/>
        </w:rPr>
        <w:t xml:space="preserve">ont présentées au paragraphe 62 </w:t>
      </w:r>
      <w:r w:rsidR="002A508C" w:rsidRPr="00646A34">
        <w:rPr>
          <w:lang w:val="fr-FR"/>
        </w:rPr>
        <w:t>du document UPOV/INF/15/3 Draft </w:t>
      </w:r>
      <w:r w:rsidR="00723C0A" w:rsidRPr="00646A34">
        <w:rPr>
          <w:lang w:val="fr-FR"/>
        </w:rPr>
        <w:t>1 (texte surligné)</w:t>
      </w:r>
      <w:r w:rsidR="00750182" w:rsidRPr="00646A34">
        <w:rPr>
          <w:lang w:val="fr-FR"/>
        </w:rPr>
        <w:t>.</w:t>
      </w:r>
    </w:p>
    <w:p w:rsidR="00827851" w:rsidRPr="00646A34" w:rsidRDefault="00827851" w:rsidP="00B34841">
      <w:pPr>
        <w:rPr>
          <w:lang w:val="fr-FR"/>
        </w:rPr>
      </w:pPr>
    </w:p>
    <w:p w:rsidR="00827851" w:rsidRPr="00646A34" w:rsidRDefault="00827851" w:rsidP="007B099F">
      <w:pPr>
        <w:rPr>
          <w:lang w:val="fr-FR"/>
        </w:rPr>
      </w:pPr>
      <w:bookmarkStart w:id="25" w:name="_Toc381102836"/>
      <w:bookmarkStart w:id="26" w:name="_Toc381102864"/>
      <w:bookmarkStart w:id="27" w:name="_Toc381359974"/>
    </w:p>
    <w:p w:rsidR="00827851" w:rsidRPr="00646A34" w:rsidRDefault="00B34841" w:rsidP="00204B18">
      <w:pPr>
        <w:pStyle w:val="Heading2"/>
      </w:pPr>
      <w:bookmarkStart w:id="28" w:name="_Toc398280925"/>
      <w:r w:rsidRPr="00646A34">
        <w:t>F</w:t>
      </w:r>
      <w:r w:rsidR="00E37E03" w:rsidRPr="00646A34">
        <w:t>réquence de la communication des données et exhaustivité des bases de données</w:t>
      </w:r>
      <w:bookmarkEnd w:id="25"/>
      <w:bookmarkEnd w:id="26"/>
      <w:bookmarkEnd w:id="27"/>
      <w:bookmarkEnd w:id="28"/>
    </w:p>
    <w:p w:rsidR="00827851" w:rsidRPr="00646A34" w:rsidRDefault="00827851" w:rsidP="00B34841">
      <w:pPr>
        <w:rPr>
          <w:snapToGrid w:val="0"/>
          <w:lang w:val="fr-FR"/>
        </w:rPr>
      </w:pPr>
    </w:p>
    <w:p w:rsidR="00827851" w:rsidRPr="00646A34" w:rsidRDefault="00B34841" w:rsidP="00B34841">
      <w:pPr>
        <w:spacing w:after="240"/>
        <w:rPr>
          <w:snapToGrid w:val="0"/>
          <w:lang w:val="fr-FR"/>
        </w:rPr>
      </w:pPr>
      <w:r w:rsidRPr="00646A34">
        <w:rPr>
          <w:snapToGrid w:val="0"/>
          <w:lang w:val="fr-FR"/>
        </w:rPr>
        <w:fldChar w:fldCharType="begin"/>
      </w:r>
      <w:r w:rsidRPr="00646A34">
        <w:rPr>
          <w:snapToGrid w:val="0"/>
          <w:lang w:val="fr-FR"/>
        </w:rPr>
        <w:instrText xml:space="preserve"> AUTONUM  </w:instrText>
      </w:r>
      <w:r w:rsidRPr="00646A34">
        <w:rPr>
          <w:snapToGrid w:val="0"/>
          <w:lang w:val="fr-FR"/>
        </w:rPr>
        <w:fldChar w:fldCharType="end"/>
      </w:r>
      <w:r w:rsidRPr="00646A34">
        <w:rPr>
          <w:snapToGrid w:val="0"/>
          <w:lang w:val="fr-FR"/>
        </w:rPr>
        <w:tab/>
      </w:r>
      <w:r w:rsidR="00750182" w:rsidRPr="00646A34">
        <w:rPr>
          <w:snapToGrid w:val="0"/>
          <w:lang w:val="fr-FR"/>
        </w:rPr>
        <w:t>À sa soixante</w:t>
      </w:r>
      <w:r w:rsidR="00DF28A5" w:rsidRPr="00646A34">
        <w:rPr>
          <w:snapToGrid w:val="0"/>
          <w:lang w:val="fr-FR"/>
        </w:rPr>
        <w:noBreakHyphen/>
      </w:r>
      <w:r w:rsidR="00750182" w:rsidRPr="00646A34">
        <w:rPr>
          <w:snapToGrid w:val="0"/>
          <w:lang w:val="fr-FR"/>
        </w:rPr>
        <w:t>neuvième</w:t>
      </w:r>
      <w:r w:rsidR="00395B04" w:rsidRPr="00646A34">
        <w:rPr>
          <w:snapToGrid w:val="0"/>
          <w:lang w:val="fr-FR"/>
        </w:rPr>
        <w:t> </w:t>
      </w:r>
      <w:r w:rsidR="00750182" w:rsidRPr="00646A34">
        <w:rPr>
          <w:snapToGrid w:val="0"/>
          <w:lang w:val="fr-FR"/>
        </w:rPr>
        <w:t>session,</w:t>
      </w:r>
      <w:r w:rsidR="00F72F8E" w:rsidRPr="00646A34">
        <w:rPr>
          <w:snapToGrid w:val="0"/>
          <w:lang w:val="fr-FR"/>
        </w:rPr>
        <w:t xml:space="preserve"> le CAJ</w:t>
      </w:r>
      <w:r w:rsidR="00750182" w:rsidRPr="00646A34">
        <w:rPr>
          <w:lang w:val="fr-FR"/>
        </w:rPr>
        <w:t xml:space="preserve"> a </w:t>
      </w:r>
      <w:r w:rsidR="00750182" w:rsidRPr="00646A34">
        <w:rPr>
          <w:snapToGrid w:val="0"/>
          <w:lang w:val="fr-FR"/>
        </w:rPr>
        <w:t xml:space="preserve">pris note que le document CAJ/69/6 </w:t>
      </w:r>
      <w:r w:rsidR="00E607B1" w:rsidRPr="00646A34">
        <w:rPr>
          <w:snapToGrid w:val="0"/>
          <w:lang w:val="fr-FR"/>
        </w:rPr>
        <w:t>“</w:t>
      </w:r>
      <w:r w:rsidR="00750182" w:rsidRPr="00646A34">
        <w:rPr>
          <w:snapToGrid w:val="0"/>
          <w:lang w:val="fr-FR"/>
        </w:rPr>
        <w:t>Bases de donnée</w:t>
      </w:r>
      <w:r w:rsidR="00FD4400" w:rsidRPr="00646A34">
        <w:rPr>
          <w:snapToGrid w:val="0"/>
          <w:lang w:val="fr-FR"/>
        </w:rPr>
        <w:t>s d</w:t>
      </w:r>
      <w:r w:rsidR="00F72F8E" w:rsidRPr="00646A34">
        <w:rPr>
          <w:snapToGrid w:val="0"/>
          <w:lang w:val="fr-FR"/>
        </w:rPr>
        <w:t>’</w:t>
      </w:r>
      <w:r w:rsidR="00FD4400" w:rsidRPr="00646A34">
        <w:rPr>
          <w:snapToGrid w:val="0"/>
          <w:lang w:val="fr-FR"/>
        </w:rPr>
        <w:t>information de l</w:t>
      </w:r>
      <w:r w:rsidR="00F72F8E" w:rsidRPr="00646A34">
        <w:rPr>
          <w:snapToGrid w:val="0"/>
          <w:lang w:val="fr-FR"/>
        </w:rPr>
        <w:t>’</w:t>
      </w:r>
      <w:r w:rsidR="00FD4400" w:rsidRPr="00646A34">
        <w:rPr>
          <w:snapToGrid w:val="0"/>
          <w:lang w:val="fr-FR"/>
        </w:rPr>
        <w:t>UPOV</w:t>
      </w:r>
      <w:r w:rsidR="00E607B1" w:rsidRPr="00646A34">
        <w:rPr>
          <w:snapToGrid w:val="0"/>
          <w:lang w:val="fr-FR"/>
        </w:rPr>
        <w:t>”</w:t>
      </w:r>
      <w:r w:rsidR="00FD4400" w:rsidRPr="00646A34">
        <w:rPr>
          <w:snapToGrid w:val="0"/>
          <w:lang w:val="fr-FR"/>
        </w:rPr>
        <w:t xml:space="preserve"> contient</w:t>
      </w:r>
      <w:r w:rsidR="00750182" w:rsidRPr="00646A34">
        <w:rPr>
          <w:snapToGrid w:val="0"/>
          <w:lang w:val="fr-FR"/>
        </w:rPr>
        <w:t xml:space="preserve"> des questions pertinentes sur la communication régulière d</w:t>
      </w:r>
      <w:r w:rsidR="00F72F8E" w:rsidRPr="00646A34">
        <w:rPr>
          <w:snapToGrid w:val="0"/>
          <w:lang w:val="fr-FR"/>
        </w:rPr>
        <w:t>’</w:t>
      </w:r>
      <w:r w:rsidR="00750182" w:rsidRPr="00646A34">
        <w:rPr>
          <w:snapToGrid w:val="0"/>
          <w:lang w:val="fr-FR"/>
        </w:rPr>
        <w:t xml:space="preserve">informations à la base de données sur les variétés végétales PLUTO et que le document CAJ/69/6 </w:t>
      </w:r>
      <w:r w:rsidR="00FD4400" w:rsidRPr="00646A34">
        <w:rPr>
          <w:snapToGrid w:val="0"/>
          <w:lang w:val="fr-FR"/>
        </w:rPr>
        <w:t xml:space="preserve">contient </w:t>
      </w:r>
      <w:r w:rsidR="00750182" w:rsidRPr="00646A34">
        <w:rPr>
          <w:snapToGrid w:val="0"/>
          <w:lang w:val="fr-FR"/>
        </w:rPr>
        <w:t>les réponses à une enquête auprès des membres de l</w:t>
      </w:r>
      <w:r w:rsidR="00F72F8E" w:rsidRPr="00646A34">
        <w:rPr>
          <w:snapToGrid w:val="0"/>
          <w:lang w:val="fr-FR"/>
        </w:rPr>
        <w:t>’</w:t>
      </w:r>
      <w:r w:rsidR="00750182" w:rsidRPr="00646A34">
        <w:rPr>
          <w:snapToGrid w:val="0"/>
          <w:lang w:val="fr-FR"/>
        </w:rPr>
        <w:t>Union quant à leur utilisation des bases de données aux fins de la protection des obtentions végétales, ainsi que leur utilisation des systèmes de dépôt électronique des demandes (</w:t>
      </w:r>
      <w:r w:rsidR="00FD4400" w:rsidRPr="00646A34">
        <w:rPr>
          <w:snapToGrid w:val="0"/>
          <w:lang w:val="fr-FR"/>
        </w:rPr>
        <w:t xml:space="preserve">voir le document CAJ/69/12 </w:t>
      </w:r>
      <w:r w:rsidR="00E607B1" w:rsidRPr="00646A34">
        <w:rPr>
          <w:snapToGrid w:val="0"/>
          <w:lang w:val="fr-FR"/>
        </w:rPr>
        <w:t>“</w:t>
      </w:r>
      <w:r w:rsidR="00FD4400" w:rsidRPr="00646A34">
        <w:rPr>
          <w:snapToGrid w:val="0"/>
          <w:lang w:val="fr-FR"/>
        </w:rPr>
        <w:t>Compte rendu des conclusions</w:t>
      </w:r>
      <w:r w:rsidR="00E607B1" w:rsidRPr="00646A34">
        <w:rPr>
          <w:snapToGrid w:val="0"/>
          <w:lang w:val="fr-FR"/>
        </w:rPr>
        <w:t>”</w:t>
      </w:r>
      <w:r w:rsidR="00FD4400" w:rsidRPr="00646A34">
        <w:rPr>
          <w:snapToGrid w:val="0"/>
          <w:lang w:val="fr-FR"/>
        </w:rPr>
        <w:t>, paragraphe 89)</w:t>
      </w:r>
      <w:r w:rsidRPr="00646A34">
        <w:rPr>
          <w:lang w:val="fr-FR"/>
        </w:rPr>
        <w:t>.</w:t>
      </w:r>
    </w:p>
    <w:p w:rsidR="00750182" w:rsidRPr="00646A34" w:rsidRDefault="00B34841" w:rsidP="00B34841">
      <w:pPr>
        <w:rPr>
          <w:rFonts w:eastAsia="SimSun"/>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750182" w:rsidRPr="00646A34">
        <w:rPr>
          <w:lang w:val="fr-FR"/>
        </w:rPr>
        <w:t>À sa soixante</w:t>
      </w:r>
      <w:r w:rsidR="00DF28A5" w:rsidRPr="00646A34">
        <w:rPr>
          <w:lang w:val="fr-FR"/>
        </w:rPr>
        <w:noBreakHyphen/>
      </w:r>
      <w:r w:rsidR="00750182" w:rsidRPr="00646A34">
        <w:rPr>
          <w:lang w:val="fr-FR"/>
        </w:rPr>
        <w:t>neuvième</w:t>
      </w:r>
      <w:r w:rsidR="00395B04" w:rsidRPr="00646A34">
        <w:rPr>
          <w:lang w:val="fr-FR"/>
        </w:rPr>
        <w:t> </w:t>
      </w:r>
      <w:r w:rsidR="00750182" w:rsidRPr="00646A34">
        <w:rPr>
          <w:lang w:val="fr-FR"/>
        </w:rPr>
        <w:t>session,</w:t>
      </w:r>
      <w:r w:rsidR="00F72F8E" w:rsidRPr="00646A34">
        <w:rPr>
          <w:lang w:val="fr-FR"/>
        </w:rPr>
        <w:t xml:space="preserve"> le CAJ</w:t>
      </w:r>
      <w:r w:rsidR="00750182" w:rsidRPr="00646A34">
        <w:rPr>
          <w:rFonts w:eastAsia="SimSun"/>
          <w:lang w:val="fr-FR"/>
        </w:rPr>
        <w:t xml:space="preserve"> </w:t>
      </w:r>
      <w:r w:rsidR="00FD4400" w:rsidRPr="00646A34">
        <w:rPr>
          <w:rFonts w:eastAsia="SimSun"/>
          <w:lang w:val="fr-FR"/>
        </w:rPr>
        <w:t>est convenu d</w:t>
      </w:r>
      <w:r w:rsidR="00F72F8E" w:rsidRPr="00646A34">
        <w:rPr>
          <w:rFonts w:eastAsia="SimSun"/>
          <w:lang w:val="fr-FR"/>
        </w:rPr>
        <w:t>’</w:t>
      </w:r>
      <w:r w:rsidR="00FD4400" w:rsidRPr="00646A34">
        <w:rPr>
          <w:rFonts w:eastAsia="SimSun"/>
          <w:lang w:val="fr-FR"/>
        </w:rPr>
        <w:t>élaborer des orientations sur la fréquence de la communication des données et l</w:t>
      </w:r>
      <w:r w:rsidR="00F72F8E" w:rsidRPr="00646A34">
        <w:rPr>
          <w:rFonts w:eastAsia="SimSun"/>
          <w:lang w:val="fr-FR"/>
        </w:rPr>
        <w:t>’</w:t>
      </w:r>
      <w:r w:rsidR="00FD4400" w:rsidRPr="00646A34">
        <w:rPr>
          <w:rFonts w:eastAsia="SimSun"/>
          <w:lang w:val="fr-FR"/>
        </w:rPr>
        <w:t xml:space="preserve">exhaustivité des bases de données parallèlement à la mise à jour du document UPOV/INF/5 </w:t>
      </w:r>
      <w:r w:rsidR="00E607B1" w:rsidRPr="00646A34">
        <w:rPr>
          <w:rFonts w:eastAsia="SimSun"/>
          <w:lang w:val="fr-FR"/>
        </w:rPr>
        <w:t>“</w:t>
      </w:r>
      <w:r w:rsidR="00FD4400" w:rsidRPr="00646A34">
        <w:rPr>
          <w:rFonts w:eastAsia="SimSun"/>
          <w:lang w:val="fr-FR"/>
        </w:rPr>
        <w:t>Bulletin type de l</w:t>
      </w:r>
      <w:r w:rsidR="00F72F8E" w:rsidRPr="00646A34">
        <w:rPr>
          <w:rFonts w:eastAsia="SimSun"/>
          <w:lang w:val="fr-FR"/>
        </w:rPr>
        <w:t>’</w:t>
      </w:r>
      <w:r w:rsidR="00FD4400" w:rsidRPr="00646A34">
        <w:rPr>
          <w:rFonts w:eastAsia="SimSun"/>
          <w:lang w:val="fr-FR"/>
        </w:rPr>
        <w:t>UPOV de la protection des obtentions végétales</w:t>
      </w:r>
      <w:r w:rsidR="00E607B1" w:rsidRPr="00646A34">
        <w:rPr>
          <w:rFonts w:eastAsia="SimSun"/>
          <w:lang w:val="fr-FR"/>
        </w:rPr>
        <w:t>”</w:t>
      </w:r>
      <w:r w:rsidR="00FD4400" w:rsidRPr="00646A34">
        <w:rPr>
          <w:rFonts w:eastAsia="SimSun"/>
          <w:lang w:val="fr-FR"/>
        </w:rPr>
        <w:t>, c</w:t>
      </w:r>
      <w:r w:rsidR="00D6450E" w:rsidRPr="00646A34">
        <w:rPr>
          <w:rFonts w:eastAsia="SimSun"/>
          <w:lang w:val="fr-FR"/>
        </w:rPr>
        <w:t xml:space="preserve">omme indiqué </w:t>
      </w:r>
      <w:r w:rsidR="00AB783D" w:rsidRPr="00646A34">
        <w:rPr>
          <w:rFonts w:eastAsia="SimSun"/>
          <w:lang w:val="fr-FR"/>
        </w:rPr>
        <w:t xml:space="preserve">au </w:t>
      </w:r>
      <w:r w:rsidR="00D6450E" w:rsidRPr="00646A34">
        <w:rPr>
          <w:rFonts w:eastAsia="SimSun"/>
          <w:lang w:val="fr-FR"/>
        </w:rPr>
        <w:t>paragraphe </w:t>
      </w:r>
      <w:r w:rsidR="00FD4400" w:rsidRPr="00646A34">
        <w:rPr>
          <w:rFonts w:eastAsia="SimSun"/>
          <w:lang w:val="fr-FR"/>
        </w:rPr>
        <w:t>26 du document CAJ/69/10 et dans le document UPOV/INF/15 (</w:t>
      </w:r>
      <w:r w:rsidR="007544CE" w:rsidRPr="00646A34">
        <w:rPr>
          <w:rFonts w:eastAsia="SimSun"/>
          <w:lang w:val="fr-FR"/>
        </w:rPr>
        <w:t xml:space="preserve">voir le document CAJ/69/12 </w:t>
      </w:r>
      <w:r w:rsidR="00E607B1" w:rsidRPr="00646A34">
        <w:rPr>
          <w:rFonts w:eastAsia="SimSun"/>
          <w:lang w:val="fr-FR"/>
        </w:rPr>
        <w:t>“</w:t>
      </w:r>
      <w:r w:rsidR="007544CE" w:rsidRPr="00646A34">
        <w:rPr>
          <w:rFonts w:eastAsia="SimSun"/>
          <w:lang w:val="fr-FR"/>
        </w:rPr>
        <w:t>Compte rendu des conclusions</w:t>
      </w:r>
      <w:r w:rsidR="00E607B1" w:rsidRPr="00646A34">
        <w:rPr>
          <w:rFonts w:eastAsia="SimSun"/>
          <w:lang w:val="fr-FR"/>
        </w:rPr>
        <w:t>”</w:t>
      </w:r>
      <w:r w:rsidR="007544CE" w:rsidRPr="00646A34">
        <w:rPr>
          <w:rFonts w:eastAsia="SimSun"/>
          <w:lang w:val="fr-FR"/>
        </w:rPr>
        <w:t>, paragraphe 90</w:t>
      </w:r>
      <w:r w:rsidR="00FD4400" w:rsidRPr="00646A34">
        <w:rPr>
          <w:rFonts w:eastAsia="SimSun"/>
          <w:lang w:val="fr-FR"/>
        </w:rPr>
        <w:t>).</w:t>
      </w:r>
    </w:p>
    <w:p w:rsidR="00827851" w:rsidRPr="00646A34" w:rsidRDefault="00827851" w:rsidP="00B34841">
      <w:pPr>
        <w:rPr>
          <w:lang w:val="fr-FR"/>
        </w:rPr>
      </w:pPr>
    </w:p>
    <w:p w:rsidR="00827851" w:rsidRPr="00646A34" w:rsidRDefault="00B34841" w:rsidP="00B34841">
      <w:pPr>
        <w:rPr>
          <w:bCs/>
          <w:snapToGrid w:val="0"/>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184857" w:rsidRPr="00646A34">
        <w:rPr>
          <w:rFonts w:eastAsia="SimSun"/>
          <w:iCs/>
          <w:lang w:val="fr-FR"/>
        </w:rPr>
        <w:t xml:space="preserve">Les derniers faits nouveaux concernant la mise à jour du document UPOV/INF/5 sont présentés dans le document </w:t>
      </w:r>
      <w:r w:rsidRPr="00646A34">
        <w:rPr>
          <w:bCs/>
          <w:snapToGrid w:val="0"/>
          <w:lang w:val="fr-FR"/>
        </w:rPr>
        <w:t xml:space="preserve">CAJ/70/3 </w:t>
      </w:r>
      <w:r w:rsidR="00E607B1" w:rsidRPr="00646A34">
        <w:rPr>
          <w:bCs/>
          <w:snapToGrid w:val="0"/>
          <w:lang w:val="fr-FR"/>
        </w:rPr>
        <w:t>“</w:t>
      </w:r>
      <w:r w:rsidR="00203ED2" w:rsidRPr="00646A34">
        <w:rPr>
          <w:bCs/>
          <w:snapToGrid w:val="0"/>
          <w:lang w:val="fr-FR"/>
        </w:rPr>
        <w:t xml:space="preserve">Révision du document UPOV/INF/5 </w:t>
      </w:r>
      <w:r w:rsidR="00F72F8E" w:rsidRPr="00646A34">
        <w:rPr>
          <w:lang w:val="fr-FR"/>
        </w:rPr>
        <w:t>‘</w:t>
      </w:r>
      <w:r w:rsidR="00203ED2" w:rsidRPr="00646A34">
        <w:rPr>
          <w:bCs/>
          <w:snapToGrid w:val="0"/>
          <w:lang w:val="fr-FR"/>
        </w:rPr>
        <w:t>Bulletin type de l</w:t>
      </w:r>
      <w:r w:rsidR="00F72F8E" w:rsidRPr="00646A34">
        <w:rPr>
          <w:bCs/>
          <w:snapToGrid w:val="0"/>
          <w:lang w:val="fr-FR"/>
        </w:rPr>
        <w:t>’</w:t>
      </w:r>
      <w:r w:rsidR="00203ED2" w:rsidRPr="00646A34">
        <w:rPr>
          <w:bCs/>
          <w:snapToGrid w:val="0"/>
          <w:lang w:val="fr-FR"/>
        </w:rPr>
        <w:t>UPOV de la protection des obtentions végétales</w:t>
      </w:r>
      <w:r w:rsidR="00F72F8E" w:rsidRPr="00646A34">
        <w:rPr>
          <w:lang w:val="fr-FR"/>
        </w:rPr>
        <w:t>’</w:t>
      </w:r>
      <w:r w:rsidR="00D80A3D" w:rsidRPr="00646A34">
        <w:rPr>
          <w:lang w:val="fr-FR"/>
        </w:rPr>
        <w:t>”</w:t>
      </w:r>
      <w:r w:rsidR="00203ED2" w:rsidRPr="00646A34">
        <w:rPr>
          <w:bCs/>
          <w:snapToGrid w:val="0"/>
          <w:lang w:val="fr-FR"/>
        </w:rPr>
        <w:t>.</w:t>
      </w:r>
    </w:p>
    <w:p w:rsidR="00203ED2" w:rsidRPr="00646A34" w:rsidRDefault="00203ED2" w:rsidP="00B34841">
      <w:pPr>
        <w:rPr>
          <w:kern w:val="28"/>
          <w:lang w:val="fr-FR"/>
        </w:rPr>
      </w:pPr>
    </w:p>
    <w:p w:rsidR="00E7182D" w:rsidRPr="00646A34" w:rsidRDefault="0045667D" w:rsidP="009921F4">
      <w:pPr>
        <w:ind w:right="9"/>
        <w:rPr>
          <w:lang w:val="fr-FR"/>
        </w:rPr>
      </w:pPr>
      <w:r w:rsidRPr="00646A34">
        <w:rPr>
          <w:lang w:val="fr-FR"/>
        </w:rPr>
        <w:fldChar w:fldCharType="begin"/>
      </w:r>
      <w:r w:rsidRPr="00646A34">
        <w:rPr>
          <w:lang w:val="fr-FR"/>
        </w:rPr>
        <w:instrText xml:space="preserve"> AUTONUM  </w:instrText>
      </w:r>
      <w:r w:rsidRPr="00646A34">
        <w:rPr>
          <w:lang w:val="fr-FR"/>
        </w:rPr>
        <w:fldChar w:fldCharType="end"/>
      </w:r>
      <w:r w:rsidRPr="00646A34">
        <w:rPr>
          <w:lang w:val="fr-FR"/>
        </w:rPr>
        <w:tab/>
      </w:r>
      <w:r w:rsidR="00E7182D" w:rsidRPr="00646A34">
        <w:rPr>
          <w:lang w:val="fr-FR"/>
        </w:rPr>
        <w:t xml:space="preserve">Le CAJ </w:t>
      </w:r>
      <w:r w:rsidR="008E02D0" w:rsidRPr="00646A34">
        <w:rPr>
          <w:lang w:val="fr-FR"/>
        </w:rPr>
        <w:t>souhaitera peut</w:t>
      </w:r>
      <w:r w:rsidR="00DF28A5" w:rsidRPr="00646A34">
        <w:rPr>
          <w:lang w:val="fr-FR"/>
        </w:rPr>
        <w:noBreakHyphen/>
      </w:r>
      <w:r w:rsidR="008E02D0" w:rsidRPr="00646A34">
        <w:rPr>
          <w:lang w:val="fr-FR"/>
        </w:rPr>
        <w:t>être prendre note que la section 4 modifiée</w:t>
      </w:r>
      <w:r w:rsidR="00DB6CE6" w:rsidRPr="00646A34">
        <w:rPr>
          <w:lang w:val="fr-FR"/>
        </w:rPr>
        <w:t xml:space="preserve"> </w:t>
      </w:r>
      <w:r w:rsidR="00E607B1" w:rsidRPr="00646A34">
        <w:rPr>
          <w:lang w:val="fr-FR"/>
        </w:rPr>
        <w:t>“</w:t>
      </w:r>
      <w:r w:rsidR="00DB6CE6" w:rsidRPr="00646A34">
        <w:rPr>
          <w:lang w:val="fr-FR"/>
        </w:rPr>
        <w:t>Fréquence de la mise à jour des données</w:t>
      </w:r>
      <w:r w:rsidR="00E607B1" w:rsidRPr="00646A34">
        <w:rPr>
          <w:lang w:val="fr-FR"/>
        </w:rPr>
        <w:t>”</w:t>
      </w:r>
      <w:r w:rsidR="008E02D0" w:rsidRPr="00646A34">
        <w:rPr>
          <w:lang w:val="fr-FR"/>
        </w:rPr>
        <w:t xml:space="preserve"> du </w:t>
      </w:r>
      <w:r w:rsidR="009921F4" w:rsidRPr="00646A34">
        <w:rPr>
          <w:lang w:val="fr-FR"/>
        </w:rPr>
        <w:t>programme d</w:t>
      </w:r>
      <w:r w:rsidR="00F72F8E" w:rsidRPr="00646A34">
        <w:rPr>
          <w:lang w:val="fr-FR"/>
        </w:rPr>
        <w:t>’</w:t>
      </w:r>
      <w:r w:rsidR="009921F4" w:rsidRPr="00646A34">
        <w:rPr>
          <w:lang w:val="fr-FR"/>
        </w:rPr>
        <w:t xml:space="preserve">améliorations de la base de données </w:t>
      </w:r>
      <w:r w:rsidR="00122430" w:rsidRPr="00646A34">
        <w:rPr>
          <w:lang w:val="fr-FR"/>
        </w:rPr>
        <w:t>de l</w:t>
      </w:r>
      <w:r w:rsidR="00F72F8E" w:rsidRPr="00646A34">
        <w:rPr>
          <w:lang w:val="fr-FR"/>
        </w:rPr>
        <w:t>’</w:t>
      </w:r>
      <w:r w:rsidR="00122430" w:rsidRPr="00646A34">
        <w:rPr>
          <w:lang w:val="fr-FR"/>
        </w:rPr>
        <w:t>U</w:t>
      </w:r>
      <w:bookmarkStart w:id="29" w:name="_GoBack"/>
      <w:bookmarkEnd w:id="29"/>
      <w:r w:rsidR="00122430" w:rsidRPr="00646A34">
        <w:rPr>
          <w:lang w:val="fr-FR"/>
        </w:rPr>
        <w:t xml:space="preserve">POV </w:t>
      </w:r>
      <w:r w:rsidR="009921F4" w:rsidRPr="00646A34">
        <w:rPr>
          <w:lang w:val="fr-FR"/>
        </w:rPr>
        <w:t>sur les variétés végétales (PLUTO)</w:t>
      </w:r>
      <w:r w:rsidR="008E02D0" w:rsidRPr="00646A34">
        <w:rPr>
          <w:lang w:val="fr-FR"/>
        </w:rPr>
        <w:t>, qui a été approuvée par</w:t>
      </w:r>
      <w:r w:rsidR="00F72F8E" w:rsidRPr="00646A34">
        <w:rPr>
          <w:lang w:val="fr-FR"/>
        </w:rPr>
        <w:t xml:space="preserve"> le CAJ</w:t>
      </w:r>
      <w:r w:rsidR="008E02D0" w:rsidRPr="00646A34">
        <w:rPr>
          <w:lang w:val="fr-FR"/>
        </w:rPr>
        <w:t xml:space="preserve"> à sa </w:t>
      </w:r>
      <w:r w:rsidR="00DB6CE6" w:rsidRPr="00646A34">
        <w:rPr>
          <w:lang w:val="fr-FR"/>
        </w:rPr>
        <w:t>soixante</w:t>
      </w:r>
      <w:r w:rsidR="00DF28A5" w:rsidRPr="00646A34">
        <w:rPr>
          <w:lang w:val="fr-FR"/>
        </w:rPr>
        <w:noBreakHyphen/>
      </w:r>
      <w:r w:rsidR="00DB6CE6" w:rsidRPr="00646A34">
        <w:rPr>
          <w:lang w:val="fr-FR"/>
        </w:rPr>
        <w:t>huitième</w:t>
      </w:r>
      <w:r w:rsidR="00395B04" w:rsidRPr="00646A34">
        <w:rPr>
          <w:lang w:val="fr-FR"/>
        </w:rPr>
        <w:t> </w:t>
      </w:r>
      <w:r w:rsidR="00DB6CE6" w:rsidRPr="00646A34">
        <w:rPr>
          <w:lang w:val="fr-FR"/>
        </w:rPr>
        <w:t>session, tenue à Genève le 21 octobre 2013</w:t>
      </w:r>
      <w:r w:rsidR="008E02D0" w:rsidRPr="00646A34">
        <w:rPr>
          <w:lang w:val="fr-FR"/>
        </w:rPr>
        <w:t xml:space="preserve">, </w:t>
      </w:r>
      <w:r w:rsidR="00122430" w:rsidRPr="00646A34">
        <w:rPr>
          <w:lang w:val="fr-FR"/>
        </w:rPr>
        <w:t xml:space="preserve">sert de fondement aux </w:t>
      </w:r>
      <w:r w:rsidR="00DB6CE6" w:rsidRPr="00646A34">
        <w:rPr>
          <w:lang w:val="fr-FR"/>
        </w:rPr>
        <w:t>propositions d</w:t>
      </w:r>
      <w:r w:rsidR="00F72F8E" w:rsidRPr="00646A34">
        <w:rPr>
          <w:lang w:val="fr-FR"/>
        </w:rPr>
        <w:t>’</w:t>
      </w:r>
      <w:r w:rsidR="00DB6CE6" w:rsidRPr="00646A34">
        <w:rPr>
          <w:lang w:val="fr-FR"/>
        </w:rPr>
        <w:t>orientations présentées au paragraphe 25 du document UPOV/INF/15/3 Draft 1</w:t>
      </w:r>
      <w:r w:rsidR="00122430" w:rsidRPr="00646A34">
        <w:rPr>
          <w:lang w:val="fr-FR"/>
        </w:rPr>
        <w:t xml:space="preserve"> (</w:t>
      </w:r>
      <w:r w:rsidR="00E607B1" w:rsidRPr="00646A34">
        <w:rPr>
          <w:lang w:val="fr-FR"/>
        </w:rPr>
        <w:t>voir le document CAJ/68/11 “Compte rendu”, paragraphe 27</w:t>
      </w:r>
      <w:r w:rsidR="00122430" w:rsidRPr="00646A34">
        <w:rPr>
          <w:lang w:val="fr-FR"/>
        </w:rPr>
        <w:t>).</w:t>
      </w:r>
    </w:p>
    <w:p w:rsidR="00E7182D" w:rsidRPr="00646A34" w:rsidRDefault="00E7182D" w:rsidP="0045667D">
      <w:pPr>
        <w:ind w:right="9"/>
        <w:rPr>
          <w:lang w:val="fr-FR"/>
        </w:rPr>
      </w:pPr>
    </w:p>
    <w:p w:rsidR="00827851" w:rsidRPr="00204B18" w:rsidRDefault="009B0D2F" w:rsidP="00B34841">
      <w:pPr>
        <w:rPr>
          <w:snapToGrid w:val="0"/>
          <w:lang w:val="fr-FR"/>
        </w:rPr>
      </w:pPr>
      <w:r w:rsidRPr="00204B18">
        <w:rPr>
          <w:snapToGrid w:val="0"/>
          <w:lang w:val="fr-FR"/>
        </w:rPr>
        <w:fldChar w:fldCharType="begin"/>
      </w:r>
      <w:r w:rsidRPr="00204B18">
        <w:rPr>
          <w:snapToGrid w:val="0"/>
          <w:lang w:val="fr-FR"/>
        </w:rPr>
        <w:instrText xml:space="preserve"> AUTONUM  </w:instrText>
      </w:r>
      <w:r w:rsidRPr="00204B18">
        <w:rPr>
          <w:snapToGrid w:val="0"/>
          <w:lang w:val="fr-FR"/>
        </w:rPr>
        <w:fldChar w:fldCharType="end"/>
      </w:r>
      <w:r w:rsidRPr="00204B18">
        <w:rPr>
          <w:snapToGrid w:val="0"/>
          <w:lang w:val="fr-FR"/>
        </w:rPr>
        <w:tab/>
      </w:r>
      <w:r w:rsidR="00723C0A" w:rsidRPr="00204B18">
        <w:rPr>
          <w:snapToGrid w:val="0"/>
          <w:lang w:val="fr-FR"/>
        </w:rPr>
        <w:t>Les propositions d</w:t>
      </w:r>
      <w:r w:rsidR="00F72F8E" w:rsidRPr="00204B18">
        <w:rPr>
          <w:snapToGrid w:val="0"/>
          <w:lang w:val="fr-FR"/>
        </w:rPr>
        <w:t>’</w:t>
      </w:r>
      <w:r w:rsidR="00723C0A" w:rsidRPr="00204B18">
        <w:rPr>
          <w:snapToGrid w:val="0"/>
          <w:lang w:val="fr-FR"/>
        </w:rPr>
        <w:t xml:space="preserve">orientations </w:t>
      </w:r>
      <w:r w:rsidR="00505B19" w:rsidRPr="00204B18">
        <w:rPr>
          <w:snapToGrid w:val="0"/>
          <w:lang w:val="fr-FR"/>
        </w:rPr>
        <w:t>sur la fréquence de la communication des données et l</w:t>
      </w:r>
      <w:r w:rsidR="00F72F8E" w:rsidRPr="00204B18">
        <w:rPr>
          <w:snapToGrid w:val="0"/>
          <w:lang w:val="fr-FR"/>
        </w:rPr>
        <w:t>’</w:t>
      </w:r>
      <w:r w:rsidR="00505B19" w:rsidRPr="00204B18">
        <w:rPr>
          <w:snapToGrid w:val="0"/>
          <w:lang w:val="fr-FR"/>
        </w:rPr>
        <w:t>exhaustivité des bases de données sont présentées au</w:t>
      </w:r>
      <w:r w:rsidR="00204B18" w:rsidRPr="00204B18">
        <w:rPr>
          <w:snapToGrid w:val="0"/>
          <w:lang w:val="fr-FR"/>
        </w:rPr>
        <w:t>x</w:t>
      </w:r>
      <w:r w:rsidR="00505B19" w:rsidRPr="00204B18">
        <w:rPr>
          <w:snapToGrid w:val="0"/>
          <w:lang w:val="fr-FR"/>
        </w:rPr>
        <w:t xml:space="preserve"> paragraphe</w:t>
      </w:r>
      <w:r w:rsidR="00204B18" w:rsidRPr="00204B18">
        <w:rPr>
          <w:snapToGrid w:val="0"/>
          <w:lang w:val="fr-FR"/>
        </w:rPr>
        <w:t xml:space="preserve">s 25 et </w:t>
      </w:r>
      <w:r w:rsidR="00723C0A" w:rsidRPr="00204B18">
        <w:rPr>
          <w:snapToGrid w:val="0"/>
          <w:lang w:val="fr-FR"/>
        </w:rPr>
        <w:t>4</w:t>
      </w:r>
      <w:r w:rsidR="00505B19" w:rsidRPr="00204B18">
        <w:rPr>
          <w:snapToGrid w:val="0"/>
          <w:lang w:val="fr-FR"/>
        </w:rPr>
        <w:t>6</w:t>
      </w:r>
      <w:r w:rsidR="00723C0A" w:rsidRPr="00204B18">
        <w:rPr>
          <w:snapToGrid w:val="0"/>
          <w:lang w:val="fr-FR"/>
        </w:rPr>
        <w:t xml:space="preserve"> du document UPOV/INF/15/3 Draft 1 (texte surligné)</w:t>
      </w:r>
      <w:r w:rsidR="00505B19" w:rsidRPr="00204B18">
        <w:rPr>
          <w:snapToGrid w:val="0"/>
          <w:lang w:val="fr-FR"/>
        </w:rPr>
        <w:t>.</w:t>
      </w:r>
    </w:p>
    <w:p w:rsidR="00827851" w:rsidRPr="00646A34" w:rsidRDefault="00827851" w:rsidP="007B099F">
      <w:pPr>
        <w:rPr>
          <w:snapToGrid w:val="0"/>
          <w:lang w:val="fr-FR"/>
        </w:rPr>
      </w:pPr>
    </w:p>
    <w:p w:rsidR="00827851" w:rsidRPr="00646A34" w:rsidRDefault="00B34841" w:rsidP="009B0D2F">
      <w:pPr>
        <w:pStyle w:val="DecisionParagraphs"/>
        <w:rPr>
          <w:rFonts w:eastAsia="SimSun"/>
          <w:lang w:val="fr-FR"/>
        </w:rPr>
      </w:pPr>
      <w:r w:rsidRPr="00646A34">
        <w:rPr>
          <w:iCs/>
          <w:lang w:val="fr-FR"/>
        </w:rPr>
        <w:fldChar w:fldCharType="begin"/>
      </w:r>
      <w:r w:rsidRPr="00646A34">
        <w:rPr>
          <w:iCs/>
          <w:lang w:val="fr-FR"/>
        </w:rPr>
        <w:instrText xml:space="preserve"> AUTONUM  </w:instrText>
      </w:r>
      <w:r w:rsidRPr="00646A34">
        <w:rPr>
          <w:iCs/>
          <w:lang w:val="fr-FR"/>
        </w:rPr>
        <w:fldChar w:fldCharType="end"/>
      </w:r>
      <w:r w:rsidRPr="00646A34">
        <w:rPr>
          <w:rFonts w:eastAsia="SimSun"/>
          <w:iCs/>
          <w:lang w:val="fr-FR"/>
        </w:rPr>
        <w:tab/>
      </w:r>
      <w:r w:rsidR="00505B19" w:rsidRPr="00646A34">
        <w:rPr>
          <w:rFonts w:eastAsia="SimSun"/>
          <w:iCs/>
          <w:lang w:val="fr-FR"/>
        </w:rPr>
        <w:t xml:space="preserve">Le CAJ est invité à examiner le </w:t>
      </w:r>
      <w:r w:rsidRPr="00646A34">
        <w:rPr>
          <w:lang w:val="fr-FR"/>
        </w:rPr>
        <w:t xml:space="preserve">document </w:t>
      </w:r>
      <w:r w:rsidR="009B0D2F" w:rsidRPr="00646A34">
        <w:rPr>
          <w:snapToGrid w:val="0"/>
          <w:lang w:val="fr-FR"/>
        </w:rPr>
        <w:t>UPOV/INF/15/3 Draft 1</w:t>
      </w:r>
      <w:r w:rsidR="009B0D2F" w:rsidRPr="00646A34">
        <w:rPr>
          <w:kern w:val="28"/>
          <w:lang w:val="fr-FR"/>
        </w:rPr>
        <w:t>.</w:t>
      </w:r>
    </w:p>
    <w:p w:rsidR="00827851" w:rsidRPr="00204B18" w:rsidRDefault="00204B18" w:rsidP="00204B18">
      <w:pPr>
        <w:pStyle w:val="DecisionParagraphs"/>
        <w:spacing w:line="360" w:lineRule="auto"/>
        <w:rPr>
          <w:rFonts w:eastAsia="SimSun"/>
          <w:lang w:val="fr-FR"/>
        </w:rPr>
      </w:pPr>
      <w:r w:rsidRPr="00204B18">
        <w:rPr>
          <w:rFonts w:eastAsia="SimSun" w:cs="Arial"/>
          <w:noProof/>
          <w:lang w:val="fr-FR"/>
        </w:rPr>
        <mc:AlternateContent>
          <mc:Choice Requires="wps">
            <w:drawing>
              <wp:anchor distT="0" distB="0" distL="114300" distR="114300" simplePos="0" relativeHeight="251659264" behindDoc="0" locked="0" layoutInCell="0" allowOverlap="1" wp14:anchorId="6B0BE102" wp14:editId="41C3F3FA">
                <wp:simplePos x="0" y="0"/>
                <wp:positionH relativeFrom="column">
                  <wp:posOffset>4294505</wp:posOffset>
                </wp:positionH>
                <wp:positionV relativeFrom="paragraph">
                  <wp:posOffset>290566</wp:posOffset>
                </wp:positionV>
                <wp:extent cx="1920875" cy="22860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B18" w:rsidRPr="009929A5" w:rsidRDefault="00204B18">
                            <w:pPr>
                              <w:ind w:right="53"/>
                              <w:jc w:val="right"/>
                              <w:rPr>
                                <w:rFonts w:cs="Arial"/>
                              </w:rPr>
                            </w:pPr>
                            <w:r w:rsidRPr="009929A5">
                              <w:rPr>
                                <w:rFonts w:cs="Arial"/>
                              </w:rPr>
                              <w:t>[</w:t>
                            </w:r>
                            <w:r w:rsidRPr="00646A34">
                              <w:rPr>
                                <w:lang w:val="fr-FR"/>
                              </w:rPr>
                              <w:t>L’annexe suit</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2.9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crQ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" o:allowincell="f" filled="f" stroked="f">
                <v:textbox inset="0,0,0,0">
                  <w:txbxContent>
                    <w:p w:rsidR="00204B18" w:rsidRPr="009929A5" w:rsidRDefault="00204B18">
                      <w:pPr>
                        <w:ind w:right="53"/>
                        <w:jc w:val="right"/>
                        <w:rPr>
                          <w:rFonts w:cs="Arial"/>
                        </w:rPr>
                      </w:pPr>
                      <w:r w:rsidRPr="009929A5">
                        <w:rPr>
                          <w:rFonts w:cs="Arial"/>
                        </w:rPr>
                        <w:t>[</w:t>
                      </w:r>
                      <w:r w:rsidRPr="00646A34">
                        <w:rPr>
                          <w:lang w:val="fr-FR"/>
                        </w:rPr>
                        <w:t>L’annexe suit</w:t>
                      </w:r>
                      <w:r w:rsidRPr="009929A5">
                        <w:rPr>
                          <w:rFonts w:cs="Arial"/>
                        </w:rPr>
                        <w:t>]</w:t>
                      </w:r>
                    </w:p>
                  </w:txbxContent>
                </v:textbox>
              </v:shape>
            </w:pict>
          </mc:Fallback>
        </mc:AlternateContent>
      </w:r>
    </w:p>
    <w:p w:rsidR="004E5B9C" w:rsidRPr="00646A34" w:rsidRDefault="004E5B9C" w:rsidP="004E5B9C">
      <w:pPr>
        <w:pStyle w:val="DecisionParagraphs"/>
        <w:jc w:val="right"/>
        <w:rPr>
          <w:i w:val="0"/>
          <w:lang w:val="fr-FR"/>
        </w:rPr>
        <w:sectPr w:rsidR="004E5B9C" w:rsidRPr="00646A34" w:rsidSect="00AC28EC">
          <w:headerReference w:type="default" r:id="rId11"/>
          <w:pgSz w:w="11907" w:h="16840" w:code="9"/>
          <w:pgMar w:top="510" w:right="1134" w:bottom="1134" w:left="1134" w:header="510" w:footer="680" w:gutter="0"/>
          <w:cols w:space="720"/>
          <w:titlePg/>
          <w:docGrid w:linePitch="272"/>
        </w:sectPr>
      </w:pPr>
    </w:p>
    <w:p w:rsidR="00827851" w:rsidRPr="00646A34" w:rsidRDefault="004E5B9C" w:rsidP="004E5B9C">
      <w:pPr>
        <w:jc w:val="center"/>
        <w:rPr>
          <w:lang w:val="fr-FR"/>
        </w:rPr>
      </w:pPr>
      <w:r w:rsidRPr="00646A34">
        <w:rPr>
          <w:lang w:val="fr-FR"/>
        </w:rPr>
        <w:lastRenderedPageBreak/>
        <w:t>CAJ/70/5</w:t>
      </w:r>
    </w:p>
    <w:p w:rsidR="00827851" w:rsidRPr="00646A34" w:rsidRDefault="00827851" w:rsidP="004E5B9C">
      <w:pPr>
        <w:jc w:val="center"/>
        <w:rPr>
          <w:lang w:val="fr-FR"/>
        </w:rPr>
      </w:pPr>
    </w:p>
    <w:p w:rsidR="00827851" w:rsidRPr="00646A34" w:rsidRDefault="004E5B9C" w:rsidP="00535FA4">
      <w:pPr>
        <w:jc w:val="center"/>
        <w:rPr>
          <w:lang w:val="fr-FR"/>
        </w:rPr>
      </w:pPr>
      <w:bookmarkStart w:id="30" w:name="_Toc395697260"/>
      <w:bookmarkStart w:id="31" w:name="_Toc396383803"/>
      <w:r w:rsidRPr="00646A34">
        <w:rPr>
          <w:lang w:val="fr-FR"/>
        </w:rPr>
        <w:t>ANNEX</w:t>
      </w:r>
      <w:bookmarkEnd w:id="30"/>
      <w:r w:rsidR="006D5D83" w:rsidRPr="00646A34">
        <w:rPr>
          <w:lang w:val="fr-FR"/>
        </w:rPr>
        <w:t>E</w:t>
      </w:r>
      <w:bookmarkEnd w:id="31"/>
    </w:p>
    <w:p w:rsidR="00827851" w:rsidRPr="00646A34" w:rsidRDefault="00827851" w:rsidP="00535FA4">
      <w:pPr>
        <w:pStyle w:val="Heading1"/>
        <w:rPr>
          <w:lang w:val="fr-FR"/>
        </w:rPr>
      </w:pPr>
    </w:p>
    <w:p w:rsidR="00535FA4" w:rsidRPr="00646A34" w:rsidRDefault="00535FA4" w:rsidP="00535FA4">
      <w:pPr>
        <w:rPr>
          <w:lang w:val="fr-FR"/>
        </w:rPr>
      </w:pPr>
    </w:p>
    <w:p w:rsidR="00827851" w:rsidRPr="00646A34" w:rsidRDefault="00535FA4" w:rsidP="007B7145">
      <w:pPr>
        <w:jc w:val="center"/>
        <w:rPr>
          <w:lang w:val="fr-FR"/>
        </w:rPr>
      </w:pPr>
      <w:r w:rsidRPr="00646A34">
        <w:rPr>
          <w:lang w:val="fr-FR"/>
        </w:rPr>
        <w:t>MODULES 1 ET 2 DES COURS DL</w:t>
      </w:r>
      <w:r w:rsidRPr="00646A34">
        <w:rPr>
          <w:lang w:val="fr-FR"/>
        </w:rPr>
        <w:noBreakHyphen/>
        <w:t>305 “EXAMEN DES DEMANDES DE DROITS D’OBTENTEUR”</w:t>
      </w:r>
      <w:r w:rsidR="007B7145">
        <w:rPr>
          <w:lang w:val="fr-FR"/>
        </w:rPr>
        <w:br/>
      </w:r>
      <w:r w:rsidRPr="00646A34">
        <w:rPr>
          <w:lang w:val="fr-FR"/>
        </w:rPr>
        <w:t>ET DL</w:t>
      </w:r>
      <w:r w:rsidRPr="00646A34">
        <w:rPr>
          <w:lang w:val="fr-FR"/>
        </w:rPr>
        <w:noBreakHyphen/>
        <w:t>305A “ADMINISTRATION DES DROITS D’OBTENTEUR”</w:t>
      </w:r>
    </w:p>
    <w:p w:rsidR="00827851" w:rsidRPr="00646A34" w:rsidRDefault="00827851" w:rsidP="004E5B9C">
      <w:pPr>
        <w:rPr>
          <w:lang w:val="fr-FR"/>
        </w:rPr>
      </w:pPr>
    </w:p>
    <w:p w:rsidR="00827851" w:rsidRPr="00646A34" w:rsidRDefault="00827851" w:rsidP="004E5B9C">
      <w:pPr>
        <w:rPr>
          <w:lang w:val="fr-FR"/>
        </w:rPr>
      </w:pPr>
    </w:p>
    <w:p w:rsidR="00827851" w:rsidRPr="00646A34" w:rsidRDefault="00827851" w:rsidP="00F13B8A">
      <w:pPr>
        <w:rPr>
          <w:lang w:val="fr-FR"/>
        </w:rPr>
      </w:pPr>
    </w:p>
    <w:p w:rsidR="00827851" w:rsidRPr="00646A34" w:rsidRDefault="00827851" w:rsidP="00F13B8A">
      <w:pPr>
        <w:rPr>
          <w:lang w:val="fr-FR"/>
        </w:rPr>
      </w:pPr>
    </w:p>
    <w:p w:rsidR="00F72F8E" w:rsidRPr="00646A34" w:rsidRDefault="001052F7" w:rsidP="004E5B9C">
      <w:pPr>
        <w:rPr>
          <w:szCs w:val="24"/>
          <w:lang w:val="fr-FR"/>
        </w:rPr>
      </w:pPr>
      <w:r w:rsidRPr="00646A34">
        <w:rPr>
          <w:szCs w:val="24"/>
          <w:lang w:val="fr-FR"/>
        </w:rPr>
        <w:t>MODULE </w:t>
      </w:r>
      <w:r w:rsidR="004E5B9C" w:rsidRPr="00646A34">
        <w:rPr>
          <w:szCs w:val="24"/>
          <w:lang w:val="fr-FR"/>
        </w:rPr>
        <w:t>1</w:t>
      </w:r>
      <w:r w:rsidRPr="00646A34">
        <w:rPr>
          <w:szCs w:val="24"/>
          <w:lang w:val="fr-FR"/>
        </w:rPr>
        <w:t> </w:t>
      </w:r>
      <w:r w:rsidR="004E5B9C" w:rsidRPr="00646A34">
        <w:rPr>
          <w:szCs w:val="24"/>
          <w:lang w:val="fr-FR"/>
        </w:rPr>
        <w:t xml:space="preserve">: </w:t>
      </w:r>
      <w:r w:rsidRPr="00646A34">
        <w:rPr>
          <w:szCs w:val="24"/>
          <w:lang w:val="fr-FR"/>
        </w:rPr>
        <w:t>LE SERVICE D</w:t>
      </w:r>
      <w:r w:rsidR="00F72F8E" w:rsidRPr="00646A34">
        <w:rPr>
          <w:szCs w:val="24"/>
          <w:lang w:val="fr-FR"/>
        </w:rPr>
        <w:t>’</w:t>
      </w:r>
      <w:r w:rsidRPr="00646A34">
        <w:rPr>
          <w:szCs w:val="24"/>
          <w:lang w:val="fr-FR"/>
        </w:rPr>
        <w:t>OCTROI DES DROITS D</w:t>
      </w:r>
      <w:r w:rsidR="00F72F8E" w:rsidRPr="00646A34">
        <w:rPr>
          <w:szCs w:val="24"/>
          <w:lang w:val="fr-FR"/>
        </w:rPr>
        <w:t>’</w:t>
      </w:r>
      <w:r w:rsidRPr="00646A34">
        <w:rPr>
          <w:szCs w:val="24"/>
          <w:lang w:val="fr-FR"/>
        </w:rPr>
        <w:t>OBTENTEUR</w:t>
      </w:r>
    </w:p>
    <w:p w:rsidR="00827851" w:rsidRPr="00646A34" w:rsidRDefault="00827851" w:rsidP="004E5B9C">
      <w:pPr>
        <w:rPr>
          <w:lang w:val="fr-FR"/>
        </w:rPr>
      </w:pPr>
    </w:p>
    <w:p w:rsidR="00827851" w:rsidRPr="00646A34" w:rsidRDefault="001052F7" w:rsidP="004E5B9C">
      <w:pPr>
        <w:rPr>
          <w:u w:val="single"/>
          <w:lang w:val="fr-FR"/>
        </w:rPr>
      </w:pPr>
      <w:r w:rsidRPr="00646A34">
        <w:rPr>
          <w:u w:val="single"/>
          <w:lang w:val="fr-FR"/>
        </w:rPr>
        <w:t>Objectif</w:t>
      </w:r>
    </w:p>
    <w:p w:rsidR="00827851" w:rsidRPr="00646A34" w:rsidRDefault="00827851" w:rsidP="004E5B9C">
      <w:pPr>
        <w:rPr>
          <w:i/>
          <w:lang w:val="fr-FR"/>
        </w:rPr>
      </w:pPr>
    </w:p>
    <w:p w:rsidR="00827851" w:rsidRPr="00646A34" w:rsidRDefault="001052F7" w:rsidP="004E5B9C">
      <w:pPr>
        <w:rPr>
          <w:i/>
          <w:lang w:val="fr-FR"/>
        </w:rPr>
      </w:pPr>
      <w:r w:rsidRPr="00646A34">
        <w:rPr>
          <w:i/>
          <w:lang w:val="fr-FR"/>
        </w:rPr>
        <w:t>L</w:t>
      </w:r>
      <w:r w:rsidR="00F72F8E" w:rsidRPr="00646A34">
        <w:rPr>
          <w:i/>
          <w:lang w:val="fr-FR"/>
        </w:rPr>
        <w:t>’</w:t>
      </w:r>
      <w:r w:rsidRPr="00646A34">
        <w:rPr>
          <w:i/>
          <w:lang w:val="fr-FR"/>
        </w:rPr>
        <w:t>objectif du présent module est de donner un aperçu général de la structure et des fonctions d</w:t>
      </w:r>
      <w:r w:rsidR="00F72F8E" w:rsidRPr="00646A34">
        <w:rPr>
          <w:i/>
          <w:lang w:val="fr-FR"/>
        </w:rPr>
        <w:t>’</w:t>
      </w:r>
      <w:r w:rsidRPr="00646A34">
        <w:rPr>
          <w:i/>
          <w:lang w:val="fr-FR"/>
        </w:rPr>
        <w:t>un service d</w:t>
      </w:r>
      <w:r w:rsidR="00F72F8E" w:rsidRPr="00646A34">
        <w:rPr>
          <w:i/>
          <w:lang w:val="fr-FR"/>
        </w:rPr>
        <w:t>’</w:t>
      </w:r>
      <w:r w:rsidRPr="00646A34">
        <w:rPr>
          <w:i/>
          <w:lang w:val="fr-FR"/>
        </w:rPr>
        <w:t>octroi des droits d</w:t>
      </w:r>
      <w:r w:rsidR="00F72F8E" w:rsidRPr="00646A34">
        <w:rPr>
          <w:i/>
          <w:lang w:val="fr-FR"/>
        </w:rPr>
        <w:t>’</w:t>
      </w:r>
      <w:r w:rsidRPr="00646A34">
        <w:rPr>
          <w:i/>
          <w:lang w:val="fr-FR"/>
        </w:rPr>
        <w:t>obtenteur</w:t>
      </w:r>
      <w:r w:rsidR="004E5B9C" w:rsidRPr="00646A34">
        <w:rPr>
          <w:i/>
          <w:lang w:val="fr-FR"/>
        </w:rPr>
        <w:t>.</w:t>
      </w:r>
    </w:p>
    <w:p w:rsidR="00827851" w:rsidRPr="00646A34" w:rsidRDefault="00827851" w:rsidP="004E5B9C">
      <w:pPr>
        <w:rPr>
          <w:u w:val="single"/>
          <w:lang w:val="fr-FR"/>
        </w:rPr>
      </w:pPr>
    </w:p>
    <w:p w:rsidR="00827851" w:rsidRPr="00646A34" w:rsidRDefault="00827851" w:rsidP="004E5B9C">
      <w:pPr>
        <w:rPr>
          <w:u w:val="single"/>
          <w:lang w:val="fr-FR"/>
        </w:rPr>
      </w:pPr>
    </w:p>
    <w:p w:rsidR="00827851" w:rsidRPr="00646A34" w:rsidRDefault="004E5B9C" w:rsidP="004E5B9C">
      <w:pPr>
        <w:rPr>
          <w:u w:val="single"/>
          <w:lang w:val="fr-FR"/>
        </w:rPr>
      </w:pPr>
      <w:r w:rsidRPr="00646A34">
        <w:rPr>
          <w:u w:val="single"/>
          <w:lang w:val="fr-FR"/>
        </w:rPr>
        <w:br w:type="page"/>
      </w:r>
    </w:p>
    <w:p w:rsidR="00F13245" w:rsidRPr="00646A34" w:rsidRDefault="00F13245" w:rsidP="00B84489">
      <w:pPr>
        <w:rPr>
          <w:rFonts w:eastAsia="MS Mincho" w:cs="Arial"/>
          <w:lang w:val="fr-FR"/>
        </w:rPr>
      </w:pPr>
      <w:r w:rsidRPr="00646A34">
        <w:rPr>
          <w:rFonts w:eastAsia="MS Mincho" w:cs="Arial"/>
          <w:lang w:val="fr-FR"/>
        </w:rPr>
        <w:lastRenderedPageBreak/>
        <w:t>INTRODUCTION</w:t>
      </w:r>
    </w:p>
    <w:p w:rsidR="00F13245" w:rsidRPr="00646A34" w:rsidRDefault="00F13245" w:rsidP="00B84489">
      <w:pPr>
        <w:rPr>
          <w:rFonts w:eastAsia="MS Mincho" w:cs="Arial"/>
          <w:lang w:val="fr-FR"/>
        </w:rPr>
      </w:pPr>
    </w:p>
    <w:p w:rsidR="00B84489" w:rsidRPr="00646A34" w:rsidRDefault="00B84489" w:rsidP="00B84489">
      <w:pPr>
        <w:rPr>
          <w:rFonts w:eastAsia="MS Mincho" w:cs="Arial"/>
          <w:lang w:val="fr-FR"/>
        </w:rPr>
      </w:pPr>
      <w:r w:rsidRPr="00646A34">
        <w:rPr>
          <w:rFonts w:eastAsia="MS Mincho" w:cs="Arial"/>
          <w:lang w:val="fr-FR"/>
        </w:rPr>
        <w:t>Les demandes de droits d</w:t>
      </w:r>
      <w:r w:rsidR="00F72F8E" w:rsidRPr="00646A34">
        <w:rPr>
          <w:rFonts w:eastAsia="MS Mincho" w:cs="Arial"/>
          <w:lang w:val="fr-FR"/>
        </w:rPr>
        <w:t>’</w:t>
      </w:r>
      <w:r w:rsidRPr="00646A34">
        <w:rPr>
          <w:rFonts w:eastAsia="MS Mincho" w:cs="Arial"/>
          <w:lang w:val="fr-FR"/>
        </w:rPr>
        <w:t>obtenteur sont soumises à l</w:t>
      </w:r>
      <w:r w:rsidR="00F72F8E" w:rsidRPr="00646A34">
        <w:rPr>
          <w:rFonts w:eastAsia="MS Mincho" w:cs="Arial"/>
          <w:lang w:val="fr-FR"/>
        </w:rPr>
        <w:t>’</w:t>
      </w:r>
      <w:r w:rsidRPr="00646A34">
        <w:rPr>
          <w:rFonts w:eastAsia="MS Mincho" w:cs="Arial"/>
          <w:lang w:val="fr-FR"/>
        </w:rPr>
        <w:t>examen du service établi sur le territoire du membre de l</w:t>
      </w:r>
      <w:r w:rsidR="00F72F8E" w:rsidRPr="00646A34">
        <w:rPr>
          <w:rFonts w:eastAsia="MS Mincho" w:cs="Arial"/>
          <w:lang w:val="fr-FR"/>
        </w:rPr>
        <w:t>’</w:t>
      </w:r>
      <w:r w:rsidRPr="00646A34">
        <w:rPr>
          <w:rFonts w:eastAsia="MS Mincho" w:cs="Arial"/>
          <w:lang w:val="fr-FR"/>
        </w:rPr>
        <w:t>UPOV concerné.  Conformément à l</w:t>
      </w:r>
      <w:r w:rsidR="00F72F8E" w:rsidRPr="00646A34">
        <w:rPr>
          <w:rFonts w:eastAsia="MS Mincho" w:cs="Arial"/>
          <w:lang w:val="fr-FR"/>
        </w:rPr>
        <w:t>’</w:t>
      </w:r>
      <w:r w:rsidRPr="00646A34">
        <w:rPr>
          <w:rFonts w:eastAsia="MS Mincho" w:cs="Arial"/>
          <w:lang w:val="fr-FR"/>
        </w:rPr>
        <w:t>article 30 de l</w:t>
      </w:r>
      <w:r w:rsidR="00F72F8E" w:rsidRPr="00646A34">
        <w:rPr>
          <w:rFonts w:eastAsia="MS Mincho" w:cs="Arial"/>
          <w:lang w:val="fr-FR"/>
        </w:rPr>
        <w:t>’</w:t>
      </w:r>
      <w:r w:rsidRPr="00646A34">
        <w:rPr>
          <w:rFonts w:eastAsia="MS Mincho" w:cs="Arial"/>
          <w:lang w:val="fr-FR"/>
        </w:rPr>
        <w:t>Acte de</w:t>
      </w:r>
      <w:r w:rsidR="00395B04" w:rsidRPr="00646A34">
        <w:rPr>
          <w:rFonts w:eastAsia="MS Mincho" w:cs="Arial"/>
          <w:lang w:val="fr-FR"/>
        </w:rPr>
        <w:t> </w:t>
      </w:r>
      <w:r w:rsidRPr="00646A34">
        <w:rPr>
          <w:rFonts w:eastAsia="MS Mincho" w:cs="Arial"/>
          <w:lang w:val="fr-FR"/>
        </w:rPr>
        <w:t>1991 et à l</w:t>
      </w:r>
      <w:r w:rsidR="00F72F8E" w:rsidRPr="00646A34">
        <w:rPr>
          <w:rFonts w:eastAsia="MS Mincho" w:cs="Arial"/>
          <w:lang w:val="fr-FR"/>
        </w:rPr>
        <w:t>’</w:t>
      </w:r>
      <w:r w:rsidRPr="00646A34">
        <w:rPr>
          <w:rFonts w:eastAsia="MS Mincho" w:cs="Arial"/>
          <w:lang w:val="fr-FR"/>
        </w:rPr>
        <w:t>article 7 de l</w:t>
      </w:r>
      <w:r w:rsidR="00F72F8E" w:rsidRPr="00646A34">
        <w:rPr>
          <w:rFonts w:eastAsia="MS Mincho" w:cs="Arial"/>
          <w:lang w:val="fr-FR"/>
        </w:rPr>
        <w:t>’</w:t>
      </w:r>
      <w:r w:rsidRPr="00646A34">
        <w:rPr>
          <w:rFonts w:eastAsia="MS Mincho" w:cs="Arial"/>
          <w:lang w:val="fr-FR"/>
        </w:rPr>
        <w:t>Acte de</w:t>
      </w:r>
      <w:r w:rsidR="00395B04" w:rsidRPr="00646A34">
        <w:rPr>
          <w:rFonts w:eastAsia="MS Mincho" w:cs="Arial"/>
          <w:lang w:val="fr-FR"/>
        </w:rPr>
        <w:t> </w:t>
      </w:r>
      <w:r w:rsidRPr="00646A34">
        <w:rPr>
          <w:rFonts w:eastAsia="MS Mincho" w:cs="Arial"/>
          <w:lang w:val="fr-FR"/>
        </w:rPr>
        <w:t>1978 de la </w:t>
      </w:r>
      <w:r w:rsidR="00F72F8E" w:rsidRPr="00646A34">
        <w:rPr>
          <w:rFonts w:eastAsia="MS Mincho" w:cs="Arial"/>
          <w:lang w:val="fr-FR"/>
        </w:rPr>
        <w:t>Convention UPOV</w:t>
      </w:r>
      <w:r w:rsidRPr="00646A34">
        <w:rPr>
          <w:rFonts w:eastAsia="MS Mincho" w:cs="Arial"/>
          <w:lang w:val="fr-FR"/>
        </w:rPr>
        <w:t>, les membres de l</w:t>
      </w:r>
      <w:r w:rsidR="00F72F8E" w:rsidRPr="00646A34">
        <w:rPr>
          <w:rFonts w:eastAsia="MS Mincho" w:cs="Arial"/>
          <w:lang w:val="fr-FR"/>
        </w:rPr>
        <w:t>’</w:t>
      </w:r>
      <w:r w:rsidRPr="00646A34">
        <w:rPr>
          <w:rFonts w:eastAsia="MS Mincho" w:cs="Arial"/>
          <w:lang w:val="fr-FR"/>
        </w:rPr>
        <w:t>UPOV établissent un service chargé d</w:t>
      </w:r>
      <w:r w:rsidR="00F72F8E" w:rsidRPr="00646A34">
        <w:rPr>
          <w:rFonts w:eastAsia="MS Mincho" w:cs="Arial"/>
          <w:lang w:val="fr-FR"/>
        </w:rPr>
        <w:t>’</w:t>
      </w:r>
      <w:r w:rsidRPr="00646A34">
        <w:rPr>
          <w:rFonts w:eastAsia="MS Mincho" w:cs="Arial"/>
          <w:lang w:val="fr-FR"/>
        </w:rPr>
        <w:t>octroyer des droits d</w:t>
      </w:r>
      <w:r w:rsidR="00F72F8E" w:rsidRPr="00646A34">
        <w:rPr>
          <w:rFonts w:eastAsia="MS Mincho" w:cs="Arial"/>
          <w:lang w:val="fr-FR"/>
        </w:rPr>
        <w:t>’</w:t>
      </w:r>
      <w:r w:rsidRPr="00646A34">
        <w:rPr>
          <w:rFonts w:eastAsia="MS Mincho" w:cs="Arial"/>
          <w:lang w:val="fr-FR"/>
        </w:rPr>
        <w:t>obtenteur.  Ils veillent également à ce que le public soit informé des demandes de droit d</w:t>
      </w:r>
      <w:r w:rsidR="00F72F8E" w:rsidRPr="00646A34">
        <w:rPr>
          <w:rFonts w:eastAsia="MS Mincho" w:cs="Arial"/>
          <w:lang w:val="fr-FR"/>
        </w:rPr>
        <w:t>’</w:t>
      </w:r>
      <w:r w:rsidRPr="00646A34">
        <w:rPr>
          <w:rFonts w:eastAsia="MS Mincho" w:cs="Arial"/>
          <w:lang w:val="fr-FR"/>
        </w:rPr>
        <w:t>obtenteur et des droits d</w:t>
      </w:r>
      <w:r w:rsidR="00F72F8E" w:rsidRPr="00646A34">
        <w:rPr>
          <w:rFonts w:eastAsia="MS Mincho" w:cs="Arial"/>
          <w:lang w:val="fr-FR"/>
        </w:rPr>
        <w:t>’</w:t>
      </w:r>
      <w:r w:rsidRPr="00646A34">
        <w:rPr>
          <w:rFonts w:eastAsia="MS Mincho" w:cs="Arial"/>
          <w:lang w:val="fr-FR"/>
        </w:rPr>
        <w:t>obtenteur délivrés ainsi que des dénominations proposées et approuvées.</w:t>
      </w:r>
    </w:p>
    <w:p w:rsidR="00827851" w:rsidRPr="00646A34" w:rsidRDefault="00827851" w:rsidP="004E5B9C">
      <w:pPr>
        <w:rPr>
          <w:lang w:val="fr-FR"/>
        </w:rPr>
      </w:pPr>
    </w:p>
    <w:p w:rsidR="00827851" w:rsidRPr="00646A34" w:rsidRDefault="00E607B1" w:rsidP="004E5B9C">
      <w:pPr>
        <w:ind w:left="1701" w:right="1703"/>
        <w:rPr>
          <w:lang w:val="fr-FR"/>
        </w:rPr>
      </w:pPr>
      <w:r w:rsidRPr="00646A34">
        <w:rPr>
          <w:lang w:val="fr-FR"/>
        </w:rPr>
        <w:t>“</w:t>
      </w:r>
      <w:r w:rsidR="00B84489" w:rsidRPr="00646A34">
        <w:rPr>
          <w:rFonts w:eastAsia="MS Mincho" w:cs="Arial"/>
          <w:b/>
          <w:bCs/>
          <w:lang w:val="fr-FR"/>
        </w:rPr>
        <w:t xml:space="preserve">Article 30 Application de la Convention </w:t>
      </w:r>
      <w:r w:rsidR="006F789C" w:rsidRPr="00646A34">
        <w:rPr>
          <w:rFonts w:eastAsia="MS Mincho" w:cs="Arial"/>
          <w:lang w:val="fr-FR"/>
        </w:rPr>
        <w:t>1) </w:t>
      </w:r>
      <w:r w:rsidR="00B84489" w:rsidRPr="00646A34">
        <w:rPr>
          <w:rFonts w:eastAsia="MS Mincho" w:cs="Arial"/>
          <w:lang w:val="fr-FR"/>
        </w:rPr>
        <w:t>Chaque Partie contractante prend toutes mesures nécessaires pour l</w:t>
      </w:r>
      <w:r w:rsidR="00F72F8E" w:rsidRPr="00646A34">
        <w:rPr>
          <w:rFonts w:eastAsia="MS Mincho" w:cs="Arial"/>
          <w:lang w:val="fr-FR"/>
        </w:rPr>
        <w:t>’</w:t>
      </w:r>
      <w:r w:rsidR="00B84489" w:rsidRPr="00646A34">
        <w:rPr>
          <w:rFonts w:eastAsia="MS Mincho" w:cs="Arial"/>
          <w:lang w:val="fr-FR"/>
        </w:rPr>
        <w:t>application de la présente Convention et, notamment :[…] ii) établit un service chargé d</w:t>
      </w:r>
      <w:r w:rsidR="00F72F8E" w:rsidRPr="00646A34">
        <w:rPr>
          <w:rFonts w:eastAsia="MS Mincho" w:cs="Arial"/>
          <w:lang w:val="fr-FR"/>
        </w:rPr>
        <w:t>’</w:t>
      </w:r>
      <w:r w:rsidR="00B84489" w:rsidRPr="00646A34">
        <w:rPr>
          <w:rFonts w:eastAsia="MS Mincho" w:cs="Arial"/>
          <w:lang w:val="fr-FR"/>
        </w:rPr>
        <w:t>octroyer des droits d</w:t>
      </w:r>
      <w:r w:rsidR="00F72F8E" w:rsidRPr="00646A34">
        <w:rPr>
          <w:rFonts w:eastAsia="MS Mincho" w:cs="Arial"/>
          <w:lang w:val="fr-FR"/>
        </w:rPr>
        <w:t>’</w:t>
      </w:r>
      <w:r w:rsidR="00B84489" w:rsidRPr="00646A34">
        <w:rPr>
          <w:rFonts w:eastAsia="MS Mincho" w:cs="Arial"/>
          <w:lang w:val="fr-FR"/>
        </w:rPr>
        <w:t>obtenteur ou charge le service établi par une autre Partie contractante d</w:t>
      </w:r>
      <w:r w:rsidR="00F72F8E" w:rsidRPr="00646A34">
        <w:rPr>
          <w:rFonts w:eastAsia="MS Mincho" w:cs="Arial"/>
          <w:lang w:val="fr-FR"/>
        </w:rPr>
        <w:t>’</w:t>
      </w:r>
      <w:r w:rsidR="00B84489" w:rsidRPr="00646A34">
        <w:rPr>
          <w:rFonts w:eastAsia="MS Mincho" w:cs="Arial"/>
          <w:lang w:val="fr-FR"/>
        </w:rPr>
        <w:t>octroyer de tels droits;  iii) assure l</w:t>
      </w:r>
      <w:r w:rsidR="00F72F8E" w:rsidRPr="00646A34">
        <w:rPr>
          <w:rFonts w:eastAsia="MS Mincho" w:cs="Arial"/>
          <w:lang w:val="fr-FR"/>
        </w:rPr>
        <w:t>’</w:t>
      </w:r>
      <w:r w:rsidR="00B84489" w:rsidRPr="00646A34">
        <w:rPr>
          <w:rFonts w:eastAsia="MS Mincho" w:cs="Arial"/>
          <w:lang w:val="fr-FR"/>
        </w:rPr>
        <w:t>information du public par la publication périodique de renseignements sur – les demandes de droits d</w:t>
      </w:r>
      <w:r w:rsidR="00F72F8E" w:rsidRPr="00646A34">
        <w:rPr>
          <w:rFonts w:eastAsia="MS Mincho" w:cs="Arial"/>
          <w:lang w:val="fr-FR"/>
        </w:rPr>
        <w:t>’</w:t>
      </w:r>
      <w:r w:rsidR="00B84489" w:rsidRPr="00646A34">
        <w:rPr>
          <w:rFonts w:eastAsia="MS Mincho" w:cs="Arial"/>
          <w:lang w:val="fr-FR"/>
        </w:rPr>
        <w:t>obtenteur et les droits d</w:t>
      </w:r>
      <w:r w:rsidR="00F72F8E" w:rsidRPr="00646A34">
        <w:rPr>
          <w:rFonts w:eastAsia="MS Mincho" w:cs="Arial"/>
          <w:lang w:val="fr-FR"/>
        </w:rPr>
        <w:t>’</w:t>
      </w:r>
      <w:r w:rsidR="00B84489" w:rsidRPr="00646A34">
        <w:rPr>
          <w:rFonts w:eastAsia="MS Mincho" w:cs="Arial"/>
          <w:lang w:val="fr-FR"/>
        </w:rPr>
        <w:t>obtenteur délivrés, et – les dénominations proposées et approuvées</w:t>
      </w:r>
      <w:r w:rsidRPr="00646A34">
        <w:rPr>
          <w:lang w:val="fr-FR"/>
        </w:rPr>
        <w:t>”</w:t>
      </w:r>
      <w:r w:rsidR="006F789C" w:rsidRPr="00646A34">
        <w:rPr>
          <w:lang w:val="fr-FR"/>
        </w:rPr>
        <w:t>.</w:t>
      </w:r>
    </w:p>
    <w:p w:rsidR="00827851" w:rsidRPr="00646A34" w:rsidRDefault="00827851" w:rsidP="004E5B9C">
      <w:pPr>
        <w:rPr>
          <w:lang w:val="fr-FR"/>
        </w:rPr>
      </w:pPr>
    </w:p>
    <w:p w:rsidR="00B84489" w:rsidRPr="00646A34" w:rsidRDefault="00B84489" w:rsidP="00B84489">
      <w:pPr>
        <w:rPr>
          <w:rFonts w:eastAsia="MS Mincho" w:cs="Arial"/>
          <w:lang w:val="fr-FR"/>
        </w:rPr>
      </w:pPr>
      <w:r w:rsidRPr="00646A34">
        <w:rPr>
          <w:rFonts w:eastAsia="MS Mincho" w:cs="Arial"/>
          <w:lang w:val="fr-FR"/>
        </w:rPr>
        <w:t>La taille et la structure du service d</w:t>
      </w:r>
      <w:r w:rsidR="00F72F8E" w:rsidRPr="00646A34">
        <w:rPr>
          <w:rFonts w:eastAsia="MS Mincho" w:cs="Arial"/>
          <w:lang w:val="fr-FR"/>
        </w:rPr>
        <w:t>’</w:t>
      </w:r>
      <w:r w:rsidRPr="00646A34">
        <w:rPr>
          <w:rFonts w:eastAsia="MS Mincho" w:cs="Arial"/>
          <w:lang w:val="fr-FR"/>
        </w:rPr>
        <w:t>octroi des droits d</w:t>
      </w:r>
      <w:r w:rsidR="00F72F8E" w:rsidRPr="00646A34">
        <w:rPr>
          <w:rFonts w:eastAsia="MS Mincho" w:cs="Arial"/>
          <w:lang w:val="fr-FR"/>
        </w:rPr>
        <w:t>’</w:t>
      </w:r>
      <w:r w:rsidRPr="00646A34">
        <w:rPr>
          <w:rFonts w:eastAsia="MS Mincho" w:cs="Arial"/>
          <w:lang w:val="fr-FR"/>
        </w:rPr>
        <w:t>obtenteur varient en fonction de la manière dont chaque membre de l</w:t>
      </w:r>
      <w:r w:rsidR="00F72F8E" w:rsidRPr="00646A34">
        <w:rPr>
          <w:rFonts w:eastAsia="MS Mincho" w:cs="Arial"/>
          <w:lang w:val="fr-FR"/>
        </w:rPr>
        <w:t>’</w:t>
      </w:r>
      <w:r w:rsidRPr="00646A34">
        <w:rPr>
          <w:rFonts w:eastAsia="MS Mincho" w:cs="Arial"/>
          <w:lang w:val="fr-FR"/>
        </w:rPr>
        <w:t>UPOV prévoit l</w:t>
      </w:r>
      <w:r w:rsidR="00F72F8E" w:rsidRPr="00646A34">
        <w:rPr>
          <w:rFonts w:eastAsia="MS Mincho" w:cs="Arial"/>
          <w:lang w:val="fr-FR"/>
        </w:rPr>
        <w:t>’</w:t>
      </w:r>
      <w:r w:rsidRPr="00646A34">
        <w:rPr>
          <w:rFonts w:eastAsia="MS Mincho" w:cs="Arial"/>
          <w:lang w:val="fr-FR"/>
        </w:rPr>
        <w:t xml:space="preserve">application de la </w:t>
      </w:r>
      <w:r w:rsidR="00F72F8E" w:rsidRPr="00646A34">
        <w:rPr>
          <w:rFonts w:eastAsia="MS Mincho" w:cs="Arial"/>
          <w:lang w:val="fr-FR"/>
        </w:rPr>
        <w:t>Convention UPOV</w:t>
      </w:r>
      <w:r w:rsidRPr="00646A34">
        <w:rPr>
          <w:rFonts w:eastAsia="MS Mincho" w:cs="Arial"/>
          <w:lang w:val="fr-FR"/>
        </w:rPr>
        <w:t xml:space="preserve"> et l</w:t>
      </w:r>
      <w:r w:rsidR="00F72F8E" w:rsidRPr="00646A34">
        <w:rPr>
          <w:rFonts w:eastAsia="MS Mincho" w:cs="Arial"/>
          <w:lang w:val="fr-FR"/>
        </w:rPr>
        <w:t>’</w:t>
      </w:r>
      <w:r w:rsidRPr="00646A34">
        <w:rPr>
          <w:rFonts w:eastAsia="MS Mincho" w:cs="Arial"/>
          <w:lang w:val="fr-FR"/>
        </w:rPr>
        <w:t>examen des demandes de droits d</w:t>
      </w:r>
      <w:r w:rsidR="00F72F8E" w:rsidRPr="00646A34">
        <w:rPr>
          <w:rFonts w:eastAsia="MS Mincho" w:cs="Arial"/>
          <w:lang w:val="fr-FR"/>
        </w:rPr>
        <w:t>’</w:t>
      </w:r>
      <w:r w:rsidRPr="00646A34">
        <w:rPr>
          <w:rFonts w:eastAsia="MS Mincho" w:cs="Arial"/>
          <w:lang w:val="fr-FR"/>
        </w:rPr>
        <w:t>obtenteur en particulier.</w:t>
      </w:r>
    </w:p>
    <w:p w:rsidR="00B84489" w:rsidRPr="00646A34" w:rsidRDefault="00B84489" w:rsidP="00B84489">
      <w:pPr>
        <w:rPr>
          <w:rFonts w:eastAsia="MS Mincho" w:cs="Arial"/>
          <w:lang w:val="fr-FR"/>
        </w:rPr>
      </w:pPr>
    </w:p>
    <w:p w:rsidR="00B84489" w:rsidRPr="00646A34" w:rsidRDefault="00B84489" w:rsidP="00B84489">
      <w:pPr>
        <w:rPr>
          <w:rFonts w:eastAsia="MS Mincho" w:cs="Arial"/>
          <w:lang w:val="fr-FR"/>
        </w:rPr>
      </w:pPr>
      <w:r w:rsidRPr="00646A34">
        <w:rPr>
          <w:rFonts w:eastAsia="MS Mincho" w:cs="Arial"/>
          <w:lang w:val="fr-FR"/>
        </w:rPr>
        <w:t>L</w:t>
      </w:r>
      <w:r w:rsidR="00F72F8E" w:rsidRPr="00646A34">
        <w:rPr>
          <w:rFonts w:eastAsia="MS Mincho" w:cs="Arial"/>
          <w:lang w:val="fr-FR"/>
        </w:rPr>
        <w:t>’</w:t>
      </w:r>
      <w:r w:rsidRPr="00646A34">
        <w:rPr>
          <w:rFonts w:eastAsia="MS Mincho" w:cs="Arial"/>
          <w:lang w:val="fr-FR"/>
        </w:rPr>
        <w:t>examen des demandes de droits d</w:t>
      </w:r>
      <w:r w:rsidR="00F72F8E" w:rsidRPr="00646A34">
        <w:rPr>
          <w:rFonts w:eastAsia="MS Mincho" w:cs="Arial"/>
          <w:lang w:val="fr-FR"/>
        </w:rPr>
        <w:t>’</w:t>
      </w:r>
      <w:r w:rsidRPr="00646A34">
        <w:rPr>
          <w:rFonts w:eastAsia="MS Mincho" w:cs="Arial"/>
          <w:lang w:val="fr-FR"/>
        </w:rPr>
        <w:t>obtenteur est exigé dans l</w:t>
      </w:r>
      <w:r w:rsidR="00F72F8E" w:rsidRPr="00646A34">
        <w:rPr>
          <w:rFonts w:eastAsia="MS Mincho" w:cs="Arial"/>
          <w:lang w:val="fr-FR"/>
        </w:rPr>
        <w:t>’</w:t>
      </w:r>
      <w:r w:rsidRPr="00646A34">
        <w:rPr>
          <w:rFonts w:eastAsia="MS Mincho" w:cs="Arial"/>
          <w:lang w:val="fr-FR"/>
        </w:rPr>
        <w:t>article 12 de l</w:t>
      </w:r>
      <w:r w:rsidR="00F72F8E" w:rsidRPr="00646A34">
        <w:rPr>
          <w:rFonts w:eastAsia="MS Mincho" w:cs="Arial"/>
          <w:lang w:val="fr-FR"/>
        </w:rPr>
        <w:t>’</w:t>
      </w:r>
      <w:r w:rsidRPr="00646A34">
        <w:rPr>
          <w:rFonts w:eastAsia="MS Mincho" w:cs="Arial"/>
          <w:lang w:val="fr-FR"/>
        </w:rPr>
        <w:t>Acte de</w:t>
      </w:r>
      <w:r w:rsidR="00395B04" w:rsidRPr="00646A34">
        <w:rPr>
          <w:rFonts w:eastAsia="MS Mincho" w:cs="Arial"/>
          <w:lang w:val="fr-FR"/>
        </w:rPr>
        <w:t> </w:t>
      </w:r>
      <w:r w:rsidRPr="00646A34">
        <w:rPr>
          <w:rFonts w:eastAsia="MS Mincho" w:cs="Arial"/>
          <w:lang w:val="fr-FR"/>
        </w:rPr>
        <w:t>1991 et dans l</w:t>
      </w:r>
      <w:r w:rsidR="00F72F8E" w:rsidRPr="00646A34">
        <w:rPr>
          <w:rFonts w:eastAsia="MS Mincho" w:cs="Arial"/>
          <w:lang w:val="fr-FR"/>
        </w:rPr>
        <w:t>’</w:t>
      </w:r>
      <w:r w:rsidRPr="00646A34">
        <w:rPr>
          <w:rFonts w:eastAsia="MS Mincho" w:cs="Arial"/>
          <w:lang w:val="fr-FR"/>
        </w:rPr>
        <w:t>article 7 de l</w:t>
      </w:r>
      <w:r w:rsidR="00F72F8E" w:rsidRPr="00646A34">
        <w:rPr>
          <w:rFonts w:eastAsia="MS Mincho" w:cs="Arial"/>
          <w:lang w:val="fr-FR"/>
        </w:rPr>
        <w:t>’</w:t>
      </w:r>
      <w:r w:rsidRPr="00646A34">
        <w:rPr>
          <w:rFonts w:eastAsia="MS Mincho" w:cs="Arial"/>
          <w:lang w:val="fr-FR"/>
        </w:rPr>
        <w:t>Acte de</w:t>
      </w:r>
      <w:r w:rsidR="00395B04" w:rsidRPr="00646A34">
        <w:rPr>
          <w:rFonts w:eastAsia="MS Mincho" w:cs="Arial"/>
          <w:lang w:val="fr-FR"/>
        </w:rPr>
        <w:t> </w:t>
      </w:r>
      <w:r w:rsidRPr="00646A34">
        <w:rPr>
          <w:rFonts w:eastAsia="MS Mincho" w:cs="Arial"/>
          <w:lang w:val="fr-FR"/>
        </w:rPr>
        <w:t xml:space="preserve">1978 de la </w:t>
      </w:r>
      <w:r w:rsidR="00F72F8E" w:rsidRPr="00646A34">
        <w:rPr>
          <w:rFonts w:eastAsia="MS Mincho" w:cs="Arial"/>
          <w:lang w:val="fr-FR"/>
        </w:rPr>
        <w:t>Convention UPOV</w:t>
      </w:r>
      <w:r w:rsidRPr="00646A34">
        <w:rPr>
          <w:rFonts w:eastAsia="MS Mincho" w:cs="Arial"/>
          <w:lang w:val="fr-FR"/>
        </w:rPr>
        <w:t>.</w:t>
      </w:r>
      <w:r w:rsidR="00395B04" w:rsidRPr="00646A34">
        <w:rPr>
          <w:rFonts w:eastAsia="MS Mincho" w:cs="Arial"/>
          <w:lang w:val="fr-FR"/>
        </w:rPr>
        <w:t xml:space="preserve"> </w:t>
      </w:r>
      <w:r w:rsidRPr="00646A34">
        <w:rPr>
          <w:rFonts w:eastAsia="MS Mincho" w:cs="Arial"/>
          <w:lang w:val="fr-FR"/>
        </w:rPr>
        <w:t xml:space="preserve"> La décision d</w:t>
      </w:r>
      <w:r w:rsidR="00F72F8E" w:rsidRPr="00646A34">
        <w:rPr>
          <w:rFonts w:eastAsia="MS Mincho" w:cs="Arial"/>
          <w:lang w:val="fr-FR"/>
        </w:rPr>
        <w:t>’</w:t>
      </w:r>
      <w:r w:rsidRPr="00646A34">
        <w:rPr>
          <w:rFonts w:eastAsia="MS Mincho" w:cs="Arial"/>
          <w:lang w:val="fr-FR"/>
        </w:rPr>
        <w:t>octroyer un droit d</w:t>
      </w:r>
      <w:r w:rsidR="00F72F8E" w:rsidRPr="00646A34">
        <w:rPr>
          <w:rFonts w:eastAsia="MS Mincho" w:cs="Arial"/>
          <w:lang w:val="fr-FR"/>
        </w:rPr>
        <w:t>’</w:t>
      </w:r>
      <w:r w:rsidRPr="00646A34">
        <w:rPr>
          <w:rFonts w:eastAsia="MS Mincho" w:cs="Arial"/>
          <w:lang w:val="fr-FR"/>
        </w:rPr>
        <w:t>obtenteur exige un examen de la conformité aux conditions de protection, telles qu</w:t>
      </w:r>
      <w:r w:rsidR="00F72F8E" w:rsidRPr="00646A34">
        <w:rPr>
          <w:rFonts w:eastAsia="MS Mincho" w:cs="Arial"/>
          <w:lang w:val="fr-FR"/>
        </w:rPr>
        <w:t>’</w:t>
      </w:r>
      <w:r w:rsidRPr="00646A34">
        <w:rPr>
          <w:rFonts w:eastAsia="MS Mincho" w:cs="Arial"/>
          <w:lang w:val="fr-FR"/>
        </w:rPr>
        <w:t>elles figurent dans les articles 5 à 9 de l</w:t>
      </w:r>
      <w:r w:rsidR="00F72F8E" w:rsidRPr="00646A34">
        <w:rPr>
          <w:rFonts w:eastAsia="MS Mincho" w:cs="Arial"/>
          <w:lang w:val="fr-FR"/>
        </w:rPr>
        <w:t>’</w:t>
      </w:r>
      <w:r w:rsidRPr="00646A34">
        <w:rPr>
          <w:rFonts w:eastAsia="MS Mincho" w:cs="Arial"/>
          <w:lang w:val="fr-FR"/>
        </w:rPr>
        <w:t>Acte de</w:t>
      </w:r>
      <w:r w:rsidR="00395B04" w:rsidRPr="00646A34">
        <w:rPr>
          <w:rFonts w:eastAsia="MS Mincho" w:cs="Arial"/>
          <w:lang w:val="fr-FR"/>
        </w:rPr>
        <w:t> </w:t>
      </w:r>
      <w:r w:rsidRPr="00646A34">
        <w:rPr>
          <w:rFonts w:eastAsia="MS Mincho" w:cs="Arial"/>
          <w:lang w:val="fr-FR"/>
        </w:rPr>
        <w:t>1991 et l</w:t>
      </w:r>
      <w:r w:rsidR="00F72F8E" w:rsidRPr="00646A34">
        <w:rPr>
          <w:rFonts w:eastAsia="MS Mincho" w:cs="Arial"/>
          <w:lang w:val="fr-FR"/>
        </w:rPr>
        <w:t>’</w:t>
      </w:r>
      <w:r w:rsidRPr="00646A34">
        <w:rPr>
          <w:rFonts w:eastAsia="MS Mincho" w:cs="Arial"/>
          <w:lang w:val="fr-FR"/>
        </w:rPr>
        <w:t>article 6 de l</w:t>
      </w:r>
      <w:r w:rsidR="00F72F8E" w:rsidRPr="00646A34">
        <w:rPr>
          <w:rFonts w:eastAsia="MS Mincho" w:cs="Arial"/>
          <w:lang w:val="fr-FR"/>
        </w:rPr>
        <w:t>’</w:t>
      </w:r>
      <w:r w:rsidRPr="00646A34">
        <w:rPr>
          <w:rFonts w:eastAsia="MS Mincho" w:cs="Arial"/>
          <w:lang w:val="fr-FR"/>
        </w:rPr>
        <w:t>Acte de</w:t>
      </w:r>
      <w:r w:rsidR="00395B04" w:rsidRPr="00646A34">
        <w:rPr>
          <w:rFonts w:eastAsia="MS Mincho" w:cs="Arial"/>
          <w:lang w:val="fr-FR"/>
        </w:rPr>
        <w:t> </w:t>
      </w:r>
      <w:r w:rsidRPr="00646A34">
        <w:rPr>
          <w:rFonts w:eastAsia="MS Mincho" w:cs="Arial"/>
          <w:lang w:val="fr-FR"/>
        </w:rPr>
        <w:t xml:space="preserve">1978 de la </w:t>
      </w:r>
      <w:r w:rsidR="00F72F8E" w:rsidRPr="00646A34">
        <w:rPr>
          <w:rFonts w:eastAsia="MS Mincho" w:cs="Arial"/>
          <w:lang w:val="fr-FR"/>
        </w:rPr>
        <w:t>Convention UPOV</w:t>
      </w:r>
      <w:r w:rsidRPr="00646A34">
        <w:rPr>
          <w:rFonts w:eastAsia="MS Mincho" w:cs="Arial"/>
          <w:lang w:val="fr-FR"/>
        </w:rPr>
        <w:t xml:space="preserve">, </w:t>
      </w:r>
      <w:r w:rsidR="00F72F8E" w:rsidRPr="00646A34">
        <w:rPr>
          <w:rFonts w:eastAsia="MS Mincho" w:cs="Arial"/>
          <w:lang w:val="fr-FR"/>
        </w:rPr>
        <w:t>à savoir</w:t>
      </w:r>
      <w:r w:rsidRPr="00646A34">
        <w:rPr>
          <w:rFonts w:eastAsia="MS Mincho" w:cs="Arial"/>
          <w:lang w:val="fr-FR"/>
        </w:rPr>
        <w:t xml:space="preserve"> les conditions de nouveauté, de distinction, d</w:t>
      </w:r>
      <w:r w:rsidR="00F72F8E" w:rsidRPr="00646A34">
        <w:rPr>
          <w:rFonts w:eastAsia="MS Mincho" w:cs="Arial"/>
          <w:lang w:val="fr-FR"/>
        </w:rPr>
        <w:t>’</w:t>
      </w:r>
      <w:r w:rsidRPr="00646A34">
        <w:rPr>
          <w:rFonts w:eastAsia="MS Mincho" w:cs="Arial"/>
          <w:lang w:val="fr-FR"/>
        </w:rPr>
        <w:t>homogénéité et de stabilité (DHS), une dénomination appropriée et les formalités applicables.</w:t>
      </w:r>
    </w:p>
    <w:p w:rsidR="00827851" w:rsidRPr="00646A34" w:rsidRDefault="00827851" w:rsidP="004E5B9C">
      <w:pPr>
        <w:rPr>
          <w:lang w:val="fr-FR"/>
        </w:rPr>
      </w:pPr>
    </w:p>
    <w:p w:rsidR="00827851" w:rsidRPr="00646A34" w:rsidRDefault="00E607B1" w:rsidP="004E5B9C">
      <w:pPr>
        <w:tabs>
          <w:tab w:val="left" w:pos="7371"/>
        </w:tabs>
        <w:ind w:left="1701" w:right="1702"/>
        <w:rPr>
          <w:rFonts w:cs="Arial"/>
          <w:lang w:val="fr-FR"/>
        </w:rPr>
      </w:pPr>
      <w:r w:rsidRPr="00646A34">
        <w:rPr>
          <w:rFonts w:cs="Arial"/>
          <w:lang w:val="fr-FR"/>
        </w:rPr>
        <w:t>“</w:t>
      </w:r>
      <w:r w:rsidR="00B84489" w:rsidRPr="00646A34">
        <w:rPr>
          <w:rFonts w:eastAsia="MS Mincho" w:cs="Arial"/>
          <w:b/>
          <w:bCs/>
          <w:lang w:val="fr-FR"/>
        </w:rPr>
        <w:t>Article 12 Examen de la demande</w:t>
      </w:r>
      <w:r w:rsidR="00B84489" w:rsidRPr="00646A34">
        <w:rPr>
          <w:rFonts w:eastAsia="MS Mincho" w:cs="Arial"/>
          <w:lang w:val="fr-FR"/>
        </w:rPr>
        <w:t xml:space="preserve"> La décision d</w:t>
      </w:r>
      <w:r w:rsidR="00F72F8E" w:rsidRPr="00646A34">
        <w:rPr>
          <w:rFonts w:eastAsia="MS Mincho" w:cs="Arial"/>
          <w:lang w:val="fr-FR"/>
        </w:rPr>
        <w:t>’</w:t>
      </w:r>
      <w:r w:rsidR="00B84489" w:rsidRPr="00646A34">
        <w:rPr>
          <w:rFonts w:eastAsia="MS Mincho" w:cs="Arial"/>
          <w:lang w:val="fr-FR"/>
        </w:rPr>
        <w:t>octroyer un droit d</w:t>
      </w:r>
      <w:r w:rsidR="00F72F8E" w:rsidRPr="00646A34">
        <w:rPr>
          <w:rFonts w:eastAsia="MS Mincho" w:cs="Arial"/>
          <w:lang w:val="fr-FR"/>
        </w:rPr>
        <w:t>’</w:t>
      </w:r>
      <w:r w:rsidR="00B84489" w:rsidRPr="00646A34">
        <w:rPr>
          <w:rFonts w:eastAsia="MS Mincho" w:cs="Arial"/>
          <w:lang w:val="fr-FR"/>
        </w:rPr>
        <w:t>obtenteur exige un examen de la conformité aux conditions prévues aux articles 5 à 9.  Dans le cadre de cet examen, le service peut mettre la variété en culture ou effectuer les autres essais nécessaires, faire effectuer la mise en culture ou les autres essais nécessaires, ou prendre en compte les résultats des essais en culture ou d</w:t>
      </w:r>
      <w:r w:rsidR="00F72F8E" w:rsidRPr="00646A34">
        <w:rPr>
          <w:rFonts w:eastAsia="MS Mincho" w:cs="Arial"/>
          <w:lang w:val="fr-FR"/>
        </w:rPr>
        <w:t>’</w:t>
      </w:r>
      <w:r w:rsidR="00B84489" w:rsidRPr="00646A34">
        <w:rPr>
          <w:rFonts w:eastAsia="MS Mincho" w:cs="Arial"/>
          <w:lang w:val="fr-FR"/>
        </w:rPr>
        <w:t>autres essais déjà effectués.  En vue de cet examen, le service peut exiger de l</w:t>
      </w:r>
      <w:r w:rsidR="00F72F8E" w:rsidRPr="00646A34">
        <w:rPr>
          <w:rFonts w:eastAsia="MS Mincho" w:cs="Arial"/>
          <w:lang w:val="fr-FR"/>
        </w:rPr>
        <w:t>’</w:t>
      </w:r>
      <w:r w:rsidR="00B84489" w:rsidRPr="00646A34">
        <w:rPr>
          <w:rFonts w:eastAsia="MS Mincho" w:cs="Arial"/>
          <w:lang w:val="fr-FR"/>
        </w:rPr>
        <w:t>obtenteur tout renseignement, document ou matériel nécessaire</w:t>
      </w:r>
      <w:r w:rsidR="004E5B9C" w:rsidRPr="00646A34">
        <w:rPr>
          <w:rFonts w:cs="Arial"/>
          <w:lang w:val="fr-FR"/>
        </w:rPr>
        <w:t>.</w:t>
      </w:r>
      <w:r w:rsidRPr="00646A34">
        <w:rPr>
          <w:rFonts w:cs="Arial"/>
          <w:lang w:val="fr-FR"/>
        </w:rPr>
        <w:t>”</w:t>
      </w:r>
    </w:p>
    <w:p w:rsidR="00827851" w:rsidRPr="00646A34" w:rsidRDefault="00827851" w:rsidP="004E5B9C">
      <w:pPr>
        <w:tabs>
          <w:tab w:val="left" w:pos="7371"/>
        </w:tabs>
        <w:ind w:left="1701" w:right="1702"/>
        <w:rPr>
          <w:rFonts w:cs="Arial"/>
          <w:lang w:val="fr-FR"/>
        </w:rPr>
      </w:pPr>
    </w:p>
    <w:p w:rsidR="00647FF0" w:rsidRPr="00646A34" w:rsidRDefault="00647FF0" w:rsidP="00647FF0">
      <w:pPr>
        <w:autoSpaceDE w:val="0"/>
        <w:autoSpaceDN w:val="0"/>
        <w:adjustRightInd w:val="0"/>
        <w:rPr>
          <w:rFonts w:eastAsia="MS Mincho" w:cs="Arial"/>
          <w:lang w:val="fr-FR"/>
        </w:rPr>
      </w:pPr>
      <w:r w:rsidRPr="00646A34">
        <w:rPr>
          <w:rFonts w:eastAsia="MS Mincho" w:cs="Arial"/>
          <w:lang w:val="fr-FR"/>
        </w:rPr>
        <w:t>Les services d</w:t>
      </w:r>
      <w:r w:rsidR="00F72F8E" w:rsidRPr="00646A34">
        <w:rPr>
          <w:rFonts w:eastAsia="MS Mincho" w:cs="Arial"/>
          <w:lang w:val="fr-FR"/>
        </w:rPr>
        <w:t>’</w:t>
      </w:r>
      <w:r w:rsidRPr="00646A34">
        <w:rPr>
          <w:rFonts w:eastAsia="MS Mincho" w:cs="Arial"/>
          <w:lang w:val="fr-FR"/>
        </w:rPr>
        <w:t>octroi des droits d</w:t>
      </w:r>
      <w:r w:rsidR="00F72F8E" w:rsidRPr="00646A34">
        <w:rPr>
          <w:rFonts w:eastAsia="MS Mincho" w:cs="Arial"/>
          <w:lang w:val="fr-FR"/>
        </w:rPr>
        <w:t>’</w:t>
      </w:r>
      <w:r w:rsidRPr="00646A34">
        <w:rPr>
          <w:rFonts w:eastAsia="MS Mincho" w:cs="Arial"/>
          <w:lang w:val="fr-FR"/>
        </w:rPr>
        <w:t>obtenteur doivent prendre les mesures nécessaires pour sauvegarder les intérêts de l</w:t>
      </w:r>
      <w:r w:rsidR="00F72F8E" w:rsidRPr="00646A34">
        <w:rPr>
          <w:rFonts w:eastAsia="MS Mincho" w:cs="Arial"/>
          <w:lang w:val="fr-FR"/>
        </w:rPr>
        <w:t>’</w:t>
      </w:r>
      <w:r w:rsidRPr="00646A34">
        <w:rPr>
          <w:rFonts w:eastAsia="MS Mincho" w:cs="Arial"/>
          <w:lang w:val="fr-FR"/>
        </w:rPr>
        <w:t>obtenteur quant aux documents, renseignements et matériel fournis dans le cadre de la demande.</w:t>
      </w:r>
    </w:p>
    <w:p w:rsidR="00647FF0" w:rsidRPr="00646A34" w:rsidRDefault="00647FF0" w:rsidP="00647FF0">
      <w:pPr>
        <w:autoSpaceDE w:val="0"/>
        <w:autoSpaceDN w:val="0"/>
        <w:adjustRightInd w:val="0"/>
        <w:rPr>
          <w:rFonts w:eastAsia="MS Mincho" w:cs="Arial"/>
          <w:lang w:val="fr-FR"/>
        </w:rPr>
      </w:pPr>
    </w:p>
    <w:p w:rsidR="00F13B8A" w:rsidRPr="00646A34" w:rsidRDefault="00F13B8A" w:rsidP="00F13B8A">
      <w:pPr>
        <w:rPr>
          <w:lang w:val="fr-FR"/>
        </w:rPr>
      </w:pPr>
      <w:r w:rsidRPr="00646A34">
        <w:rPr>
          <w:lang w:val="fr-FR"/>
        </w:rPr>
        <w:t>L’UPOV a élaboré la “Collection UPOV” de matériels d’orientation et d’information sur la protection des obtentions végétales en vertu de la Convention UPOV.  Il sied cependant de rappeler que les seules obligations à caractère contraignant auxquelles sont soumis les membres de l’Union sont celles prévues dans la Convention UPOV elle</w:t>
      </w:r>
      <w:r w:rsidRPr="00646A34">
        <w:rPr>
          <w:lang w:val="fr-FR"/>
        </w:rPr>
        <w:noBreakHyphen/>
        <w:t>même, et les matériels ne doivent pas être interprétés d’une manière incompatible avec l’Acte pertinent par le membre de l’Union concerné.</w:t>
      </w:r>
    </w:p>
    <w:p w:rsidR="00F13B8A" w:rsidRPr="00646A34" w:rsidRDefault="00F13B8A" w:rsidP="00F13B8A">
      <w:pPr>
        <w:rPr>
          <w:lang w:val="fr-FR"/>
        </w:rPr>
      </w:pPr>
    </w:p>
    <w:p w:rsidR="00F13B8A" w:rsidRPr="00646A34" w:rsidRDefault="00F13B8A" w:rsidP="00F13B8A">
      <w:pPr>
        <w:rPr>
          <w:lang w:val="fr-FR"/>
        </w:rPr>
      </w:pPr>
      <w:r w:rsidRPr="00646A34">
        <w:rPr>
          <w:lang w:val="fr-FR"/>
        </w:rPr>
        <w:t xml:space="preserve">Une liste actualisée du contenu et de l’état d’avancement des matériels figurant dans la Collection UPOV est affichée dans la </w:t>
      </w:r>
      <w:hyperlink r:id="rId12" w:anchor="toc" w:history="1">
        <w:r w:rsidRPr="00646A34">
          <w:rPr>
            <w:rStyle w:val="Hyperlink"/>
            <w:lang w:val="fr-FR"/>
          </w:rPr>
          <w:t>table des matières</w:t>
        </w:r>
      </w:hyperlink>
      <w:r w:rsidRPr="00646A34">
        <w:rPr>
          <w:lang w:val="fr-FR"/>
        </w:rPr>
        <w:t xml:space="preserve"> publiée sur le site Web de l’UPOV et illustrée ci</w:t>
      </w:r>
      <w:r w:rsidRPr="00646A34">
        <w:rPr>
          <w:lang w:val="fr-FR"/>
        </w:rPr>
        <w:noBreakHyphen/>
        <w:t>dessous</w:t>
      </w:r>
      <w:r w:rsidRPr="00646A34">
        <w:rPr>
          <w:vertAlign w:val="superscript"/>
          <w:lang w:val="fr-FR"/>
        </w:rPr>
        <w:footnoteReference w:id="2"/>
      </w:r>
      <w:r w:rsidRPr="00646A34">
        <w:rPr>
          <w:lang w:val="fr-FR"/>
        </w:rPr>
        <w:t xml:space="preserve">.  Les membres de l’Union (deux jeux par membre de l’Union) de même que les États et les organisations ayant le statut d’observateur (un jeu par État ou organisation) reçoivent des classeurs destinés à contenir la “Collection UPOV”.  Dans un premier temps, des versions imprimées de tous les documents de la “Collection UPOV”, à l’exception des principes directeurs d’examen, sont fournies avec les dossiers.  Une fois distribués les dossiers de la “Collection UPOV” accompagnés d’un jeu de documents imprimés, le Bureau de l’Union ne fournit plus aucun autre document imprimé.  Toutes les personnes désignées des organes de l’UPOV recevront une notification par voie électronique à chaque mise à jour de la Collection UPOV.  S’agissant des personnes ayant reçu les dossiers, cette notification sert à leur indiquer d’imprimer les nouvelles versions et </w:t>
      </w:r>
      <w:r w:rsidRPr="00646A34">
        <w:rPr>
          <w:lang w:val="fr-FR"/>
        </w:rPr>
        <w:lastRenderedPageBreak/>
        <w:t xml:space="preserve">à remplacer les versions précédentes des documents concernés.  Les autres utilisateurs pourront </w:t>
      </w:r>
      <w:hyperlink r:id="rId13" w:history="1">
        <w:r w:rsidRPr="00646A34">
          <w:rPr>
            <w:rStyle w:val="Hyperlink"/>
            <w:lang w:val="fr-FR"/>
          </w:rPr>
          <w:t>s’inscrire</w:t>
        </w:r>
      </w:hyperlink>
      <w:r w:rsidRPr="00646A34">
        <w:rPr>
          <w:lang w:val="fr-FR"/>
        </w:rPr>
        <w:t xml:space="preserve"> afin de recevoir une notification par voie électronique à chaque mise à jour de ladite collection.</w:t>
      </w:r>
    </w:p>
    <w:p w:rsidR="00827851" w:rsidRPr="00646A34" w:rsidRDefault="00827851" w:rsidP="004E5B9C">
      <w:pPr>
        <w:rPr>
          <w:lang w:val="fr-FR"/>
        </w:rPr>
      </w:pPr>
    </w:p>
    <w:p w:rsidR="00827851" w:rsidRPr="00646A34" w:rsidRDefault="00827851" w:rsidP="004E5B9C">
      <w:pPr>
        <w:rPr>
          <w:lang w:val="fr-FR"/>
        </w:rPr>
      </w:pPr>
    </w:p>
    <w:p w:rsidR="00827851" w:rsidRPr="00646A34" w:rsidRDefault="004E5B9C" w:rsidP="004E5B9C">
      <w:pPr>
        <w:keepNext/>
        <w:rPr>
          <w:u w:val="single"/>
          <w:lang w:val="fr-FR"/>
        </w:rPr>
      </w:pPr>
      <w:r w:rsidRPr="00646A34">
        <w:rPr>
          <w:u w:val="single"/>
          <w:lang w:val="fr-FR"/>
        </w:rPr>
        <w:t xml:space="preserve">Table </w:t>
      </w:r>
      <w:r w:rsidR="00EC510B" w:rsidRPr="00646A34">
        <w:rPr>
          <w:u w:val="single"/>
          <w:lang w:val="fr-FR"/>
        </w:rPr>
        <w:t>des matières</w:t>
      </w:r>
    </w:p>
    <w:p w:rsidR="004E5B9C" w:rsidRPr="00646A34" w:rsidRDefault="004E5B9C" w:rsidP="004E5B9C">
      <w:pPr>
        <w:keepNext/>
        <w:rPr>
          <w:lang w:val="fr-FR"/>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523"/>
        <w:gridCol w:w="9174"/>
      </w:tblGrid>
      <w:tr w:rsidR="00F11AFE" w:rsidRPr="00646A34" w:rsidTr="00B96909">
        <w:trPr>
          <w:tblCellSpacing w:w="7" w:type="dxa"/>
        </w:trPr>
        <w:tc>
          <w:tcPr>
            <w:tcW w:w="0" w:type="auto"/>
            <w:shd w:val="clear" w:color="auto" w:fill="FFFFFF"/>
            <w:hideMark/>
          </w:tcPr>
          <w:p w:rsidR="00FD2367" w:rsidRPr="00646A34" w:rsidRDefault="00FD2367" w:rsidP="00F53DB7">
            <w:pPr>
              <w:spacing w:after="120"/>
              <w:jc w:val="left"/>
              <w:rPr>
                <w:rFonts w:cs="Arial"/>
                <w:lang w:val="fr-FR"/>
              </w:rPr>
            </w:pPr>
            <w:r w:rsidRPr="00646A34">
              <w:rPr>
                <w:rFonts w:cs="Arial"/>
                <w:lang w:val="fr-FR"/>
              </w:rPr>
              <w:t>a)</w:t>
            </w:r>
          </w:p>
        </w:tc>
        <w:tc>
          <w:tcPr>
            <w:tcW w:w="4740" w:type="pct"/>
            <w:shd w:val="clear" w:color="auto" w:fill="FFFFFF"/>
            <w:hideMark/>
          </w:tcPr>
          <w:p w:rsidR="00FD2367" w:rsidRPr="00646A34" w:rsidRDefault="00F72F8E" w:rsidP="00DF28A5">
            <w:pPr>
              <w:rPr>
                <w:lang w:val="fr-FR"/>
              </w:rPr>
            </w:pPr>
            <w:r w:rsidRPr="00646A34">
              <w:rPr>
                <w:lang w:val="fr-FR"/>
              </w:rPr>
              <w:t>Convention UPOV</w:t>
            </w:r>
          </w:p>
        </w:tc>
      </w:tr>
      <w:tr w:rsidR="00F11AFE" w:rsidRPr="00646A34" w:rsidTr="00B96909">
        <w:trPr>
          <w:tblCellSpacing w:w="7" w:type="dxa"/>
        </w:trPr>
        <w:tc>
          <w:tcPr>
            <w:tcW w:w="0" w:type="auto"/>
            <w:shd w:val="clear" w:color="auto" w:fill="FFFFFF"/>
            <w:hideMark/>
          </w:tcPr>
          <w:p w:rsidR="00FD2367" w:rsidRPr="00646A34" w:rsidRDefault="00FD2367" w:rsidP="00F53DB7">
            <w:pPr>
              <w:spacing w:after="120"/>
              <w:jc w:val="left"/>
              <w:rPr>
                <w:rFonts w:cs="Arial"/>
                <w:lang w:val="fr-FR"/>
              </w:rPr>
            </w:pPr>
            <w:r w:rsidRPr="00646A34">
              <w:rPr>
                <w:rFonts w:cs="Arial"/>
                <w:lang w:val="fr-FR"/>
              </w:rPr>
              <w:t>b)</w:t>
            </w:r>
          </w:p>
        </w:tc>
        <w:tc>
          <w:tcPr>
            <w:tcW w:w="4740" w:type="pct"/>
            <w:shd w:val="clear" w:color="auto" w:fill="FFFFFF"/>
            <w:hideMark/>
          </w:tcPr>
          <w:p w:rsidR="00FD2367" w:rsidRPr="00646A34" w:rsidRDefault="00FD2367" w:rsidP="00DF28A5">
            <w:pPr>
              <w:rPr>
                <w:lang w:val="fr-FR"/>
              </w:rPr>
            </w:pPr>
            <w:r w:rsidRPr="00646A34">
              <w:rPr>
                <w:lang w:val="fr-FR"/>
              </w:rPr>
              <w:t>Série de documents UPOV/INF</w:t>
            </w:r>
          </w:p>
        </w:tc>
      </w:tr>
      <w:tr w:rsidR="00F11AFE" w:rsidRPr="00646A34" w:rsidTr="00B96909">
        <w:trPr>
          <w:tblCellSpacing w:w="7" w:type="dxa"/>
        </w:trPr>
        <w:tc>
          <w:tcPr>
            <w:tcW w:w="0" w:type="auto"/>
            <w:shd w:val="clear" w:color="auto" w:fill="FFFFFF"/>
            <w:hideMark/>
          </w:tcPr>
          <w:p w:rsidR="00FD2367" w:rsidRPr="00646A34" w:rsidRDefault="00FD2367" w:rsidP="00F53DB7">
            <w:pPr>
              <w:spacing w:after="120"/>
              <w:jc w:val="left"/>
              <w:rPr>
                <w:rFonts w:cs="Arial"/>
                <w:lang w:val="fr-FR"/>
              </w:rPr>
            </w:pPr>
            <w:r w:rsidRPr="00646A34">
              <w:rPr>
                <w:rFonts w:cs="Arial"/>
                <w:lang w:val="fr-FR"/>
              </w:rPr>
              <w:t>c)</w:t>
            </w:r>
          </w:p>
        </w:tc>
        <w:tc>
          <w:tcPr>
            <w:tcW w:w="4740" w:type="pct"/>
            <w:shd w:val="clear" w:color="auto" w:fill="FFFFFF"/>
            <w:hideMark/>
          </w:tcPr>
          <w:p w:rsidR="00FD2367" w:rsidRPr="00646A34" w:rsidRDefault="00FD2367" w:rsidP="00DF28A5">
            <w:pPr>
              <w:rPr>
                <w:lang w:val="fr-FR"/>
              </w:rPr>
            </w:pPr>
            <w:r w:rsidRPr="00646A34">
              <w:rPr>
                <w:lang w:val="fr-FR"/>
              </w:rPr>
              <w:t xml:space="preserve">Notes explicatives sur la </w:t>
            </w:r>
            <w:r w:rsidR="00F72F8E" w:rsidRPr="00646A34">
              <w:rPr>
                <w:lang w:val="fr-FR"/>
              </w:rPr>
              <w:t>Convention UPOV</w:t>
            </w:r>
          </w:p>
        </w:tc>
      </w:tr>
      <w:tr w:rsidR="00F11AFE" w:rsidRPr="00646A34" w:rsidTr="00B96909">
        <w:trPr>
          <w:tblCellSpacing w:w="7" w:type="dxa"/>
        </w:trPr>
        <w:tc>
          <w:tcPr>
            <w:tcW w:w="0" w:type="auto"/>
            <w:shd w:val="clear" w:color="auto" w:fill="FFFFFF"/>
            <w:hideMark/>
          </w:tcPr>
          <w:p w:rsidR="00FD2367" w:rsidRPr="00646A34" w:rsidRDefault="00FD2367" w:rsidP="00F53DB7">
            <w:pPr>
              <w:spacing w:after="120"/>
              <w:jc w:val="left"/>
              <w:rPr>
                <w:rFonts w:cs="Arial"/>
                <w:lang w:val="fr-FR"/>
              </w:rPr>
            </w:pPr>
            <w:r w:rsidRPr="00646A34">
              <w:rPr>
                <w:rFonts w:cs="Arial"/>
                <w:lang w:val="fr-FR"/>
              </w:rPr>
              <w:t>d)</w:t>
            </w:r>
          </w:p>
        </w:tc>
        <w:tc>
          <w:tcPr>
            <w:tcW w:w="4740" w:type="pct"/>
            <w:shd w:val="clear" w:color="auto" w:fill="FFFFFF"/>
            <w:hideMark/>
          </w:tcPr>
          <w:p w:rsidR="00FD2367" w:rsidRPr="00646A34" w:rsidRDefault="00FD2367" w:rsidP="00646A34">
            <w:pPr>
              <w:jc w:val="left"/>
              <w:rPr>
                <w:lang w:val="fr-FR"/>
              </w:rPr>
            </w:pPr>
            <w:r w:rsidRPr="00646A34">
              <w:rPr>
                <w:lang w:val="fr-FR"/>
              </w:rPr>
              <w:t>Introduction générale à l</w:t>
            </w:r>
            <w:r w:rsidR="00F72F8E" w:rsidRPr="00646A34">
              <w:rPr>
                <w:lang w:val="fr-FR"/>
              </w:rPr>
              <w:t>’</w:t>
            </w:r>
            <w:r w:rsidRPr="00646A34">
              <w:rPr>
                <w:lang w:val="fr-FR"/>
              </w:rPr>
              <w:t>examen de la distinction, de l</w:t>
            </w:r>
            <w:r w:rsidR="00F72F8E" w:rsidRPr="00646A34">
              <w:rPr>
                <w:lang w:val="fr-FR"/>
              </w:rPr>
              <w:t>’</w:t>
            </w:r>
            <w:r w:rsidRPr="00646A34">
              <w:rPr>
                <w:lang w:val="fr-FR"/>
              </w:rPr>
              <w:t>homogénéité et de la stabilité et à l</w:t>
            </w:r>
            <w:r w:rsidR="00F72F8E" w:rsidRPr="00646A34">
              <w:rPr>
                <w:lang w:val="fr-FR"/>
              </w:rPr>
              <w:t>’</w:t>
            </w:r>
            <w:r w:rsidRPr="00646A34">
              <w:rPr>
                <w:lang w:val="fr-FR"/>
              </w:rPr>
              <w:t>harmonisation des descriptions des obtentions végétales (document TG/1/3)</w:t>
            </w:r>
          </w:p>
        </w:tc>
      </w:tr>
      <w:tr w:rsidR="00F11AFE" w:rsidRPr="00646A34" w:rsidTr="00B96909">
        <w:trPr>
          <w:tblCellSpacing w:w="7" w:type="dxa"/>
        </w:trPr>
        <w:tc>
          <w:tcPr>
            <w:tcW w:w="0" w:type="auto"/>
            <w:shd w:val="clear" w:color="auto" w:fill="FFFFFF"/>
            <w:hideMark/>
          </w:tcPr>
          <w:p w:rsidR="00FD2367" w:rsidRPr="00646A34" w:rsidRDefault="00FD2367" w:rsidP="00F53DB7">
            <w:pPr>
              <w:spacing w:after="120"/>
              <w:jc w:val="left"/>
              <w:rPr>
                <w:rFonts w:cs="Arial"/>
                <w:lang w:val="fr-FR"/>
              </w:rPr>
            </w:pPr>
            <w:r w:rsidRPr="00646A34">
              <w:rPr>
                <w:rFonts w:cs="Arial"/>
                <w:lang w:val="fr-FR"/>
              </w:rPr>
              <w:t>e)</w:t>
            </w:r>
          </w:p>
        </w:tc>
        <w:tc>
          <w:tcPr>
            <w:tcW w:w="4740" w:type="pct"/>
            <w:shd w:val="clear" w:color="auto" w:fill="FFFFFF"/>
            <w:hideMark/>
          </w:tcPr>
          <w:p w:rsidR="00FD2367" w:rsidRPr="00646A34" w:rsidRDefault="00FD2367" w:rsidP="00DF28A5">
            <w:pPr>
              <w:rPr>
                <w:lang w:val="fr-FR"/>
              </w:rPr>
            </w:pPr>
            <w:r w:rsidRPr="00646A34">
              <w:rPr>
                <w:lang w:val="fr-FR"/>
              </w:rPr>
              <w:t>Documents TGP</w:t>
            </w:r>
          </w:p>
        </w:tc>
      </w:tr>
      <w:tr w:rsidR="00F11AFE" w:rsidRPr="00646A34" w:rsidTr="00B96909">
        <w:trPr>
          <w:tblCellSpacing w:w="7" w:type="dxa"/>
        </w:trPr>
        <w:tc>
          <w:tcPr>
            <w:tcW w:w="0" w:type="auto"/>
            <w:shd w:val="clear" w:color="auto" w:fill="FFFFFF"/>
            <w:hideMark/>
          </w:tcPr>
          <w:p w:rsidR="00FD2367" w:rsidRPr="00646A34" w:rsidRDefault="00FD2367" w:rsidP="00F53DB7">
            <w:pPr>
              <w:spacing w:after="120"/>
              <w:jc w:val="left"/>
              <w:rPr>
                <w:rFonts w:cs="Arial"/>
                <w:lang w:val="fr-FR"/>
              </w:rPr>
            </w:pPr>
            <w:r w:rsidRPr="00646A34">
              <w:rPr>
                <w:rFonts w:cs="Arial"/>
                <w:lang w:val="fr-FR"/>
              </w:rPr>
              <w:t>f)</w:t>
            </w:r>
          </w:p>
        </w:tc>
        <w:tc>
          <w:tcPr>
            <w:tcW w:w="4740" w:type="pct"/>
            <w:shd w:val="clear" w:color="auto" w:fill="FFFFFF"/>
            <w:hideMark/>
          </w:tcPr>
          <w:p w:rsidR="00FD2367" w:rsidRPr="00646A34" w:rsidRDefault="00FD2367" w:rsidP="00DF28A5">
            <w:pPr>
              <w:rPr>
                <w:lang w:val="fr-FR"/>
              </w:rPr>
            </w:pPr>
            <w:r w:rsidRPr="00646A34">
              <w:rPr>
                <w:lang w:val="fr-FR"/>
              </w:rPr>
              <w:t>Principes directeurs d</w:t>
            </w:r>
            <w:r w:rsidR="00F72F8E" w:rsidRPr="00646A34">
              <w:rPr>
                <w:lang w:val="fr-FR"/>
              </w:rPr>
              <w:t>’</w:t>
            </w:r>
            <w:r w:rsidRPr="00646A34">
              <w:rPr>
                <w:lang w:val="fr-FR"/>
              </w:rPr>
              <w:t>examen</w:t>
            </w:r>
          </w:p>
        </w:tc>
      </w:tr>
      <w:tr w:rsidR="00F11AFE" w:rsidRPr="00646A34" w:rsidTr="00B96909">
        <w:trPr>
          <w:tblCellSpacing w:w="7" w:type="dxa"/>
        </w:trPr>
        <w:tc>
          <w:tcPr>
            <w:tcW w:w="0" w:type="auto"/>
            <w:shd w:val="clear" w:color="auto" w:fill="FFFFFF"/>
            <w:hideMark/>
          </w:tcPr>
          <w:p w:rsidR="00FD2367" w:rsidRPr="00646A34" w:rsidRDefault="00FD2367" w:rsidP="00F53DB7">
            <w:pPr>
              <w:spacing w:after="120"/>
              <w:jc w:val="left"/>
              <w:rPr>
                <w:rFonts w:cs="Arial"/>
                <w:lang w:val="fr-FR"/>
              </w:rPr>
            </w:pPr>
            <w:r w:rsidRPr="00646A34">
              <w:rPr>
                <w:rFonts w:cs="Arial"/>
                <w:lang w:val="fr-FR"/>
              </w:rPr>
              <w:t>g)</w:t>
            </w:r>
          </w:p>
        </w:tc>
        <w:tc>
          <w:tcPr>
            <w:tcW w:w="4740" w:type="pct"/>
            <w:shd w:val="clear" w:color="auto" w:fill="FFFFFF"/>
            <w:hideMark/>
          </w:tcPr>
          <w:p w:rsidR="00FD2367" w:rsidRPr="00646A34" w:rsidRDefault="00FD2367" w:rsidP="00DF28A5">
            <w:pPr>
              <w:rPr>
                <w:lang w:val="fr-FR"/>
              </w:rPr>
            </w:pPr>
            <w:r w:rsidRPr="00646A34">
              <w:rPr>
                <w:lang w:val="fr-FR"/>
              </w:rPr>
              <w:t>Collection UPOV de lois et traités (UPOV</w:t>
            </w:r>
            <w:r w:rsidR="00646A34">
              <w:rPr>
                <w:lang w:val="fr-FR"/>
              </w:rPr>
              <w:t xml:space="preserve"> </w:t>
            </w:r>
            <w:r w:rsidRPr="00646A34">
              <w:rPr>
                <w:lang w:val="fr-FR"/>
              </w:rPr>
              <w:t>Lex)</w:t>
            </w:r>
          </w:p>
        </w:tc>
      </w:tr>
      <w:tr w:rsidR="00F11AFE" w:rsidRPr="00646A34" w:rsidTr="00B96909">
        <w:trPr>
          <w:tblCellSpacing w:w="7" w:type="dxa"/>
        </w:trPr>
        <w:tc>
          <w:tcPr>
            <w:tcW w:w="0" w:type="auto"/>
            <w:shd w:val="clear" w:color="auto" w:fill="FFFFFF"/>
            <w:hideMark/>
          </w:tcPr>
          <w:p w:rsidR="00FD2367" w:rsidRPr="00646A34" w:rsidRDefault="00FD2367" w:rsidP="00F53DB7">
            <w:pPr>
              <w:spacing w:after="120"/>
              <w:jc w:val="left"/>
              <w:rPr>
                <w:rFonts w:cs="Arial"/>
                <w:lang w:val="fr-FR"/>
              </w:rPr>
            </w:pPr>
            <w:r w:rsidRPr="00646A34">
              <w:rPr>
                <w:rFonts w:cs="Arial"/>
                <w:lang w:val="fr-FR"/>
              </w:rPr>
              <w:t>h)</w:t>
            </w:r>
          </w:p>
        </w:tc>
        <w:tc>
          <w:tcPr>
            <w:tcW w:w="4740" w:type="pct"/>
            <w:shd w:val="clear" w:color="auto" w:fill="FFFFFF"/>
            <w:hideMark/>
          </w:tcPr>
          <w:p w:rsidR="00FD2367" w:rsidRPr="00646A34" w:rsidRDefault="00FD2367" w:rsidP="00DF28A5">
            <w:pPr>
              <w:rPr>
                <w:lang w:val="fr-FR"/>
              </w:rPr>
            </w:pPr>
            <w:r w:rsidRPr="00646A34">
              <w:rPr>
                <w:lang w:val="fr-FR"/>
              </w:rPr>
              <w:t>Liste des membres de l</w:t>
            </w:r>
            <w:r w:rsidR="00F72F8E" w:rsidRPr="00646A34">
              <w:rPr>
                <w:lang w:val="fr-FR"/>
              </w:rPr>
              <w:t>’</w:t>
            </w:r>
            <w:r w:rsidRPr="00646A34">
              <w:rPr>
                <w:lang w:val="fr-FR"/>
              </w:rPr>
              <w:t>UPOV</w:t>
            </w:r>
          </w:p>
        </w:tc>
      </w:tr>
      <w:tr w:rsidR="00F11AFE" w:rsidRPr="00646A34" w:rsidTr="00B96909">
        <w:trPr>
          <w:tblCellSpacing w:w="7" w:type="dxa"/>
        </w:trPr>
        <w:tc>
          <w:tcPr>
            <w:tcW w:w="0" w:type="auto"/>
            <w:shd w:val="clear" w:color="auto" w:fill="FFFFFF"/>
            <w:hideMark/>
          </w:tcPr>
          <w:p w:rsidR="00FD2367" w:rsidRPr="00646A34" w:rsidRDefault="00FD2367" w:rsidP="00F53DB7">
            <w:pPr>
              <w:spacing w:after="120"/>
              <w:jc w:val="left"/>
              <w:rPr>
                <w:rFonts w:cs="Arial"/>
                <w:lang w:val="fr-FR"/>
              </w:rPr>
            </w:pPr>
            <w:r w:rsidRPr="00646A34">
              <w:rPr>
                <w:rFonts w:cs="Arial"/>
                <w:lang w:val="fr-FR"/>
              </w:rPr>
              <w:t>i)</w:t>
            </w:r>
          </w:p>
        </w:tc>
        <w:tc>
          <w:tcPr>
            <w:tcW w:w="4740" w:type="pct"/>
            <w:shd w:val="clear" w:color="auto" w:fill="FFFFFF"/>
            <w:hideMark/>
          </w:tcPr>
          <w:p w:rsidR="00FD2367" w:rsidRPr="00646A34" w:rsidRDefault="00FD2367" w:rsidP="00DF28A5">
            <w:pPr>
              <w:rPr>
                <w:lang w:val="fr-FR"/>
              </w:rPr>
            </w:pPr>
            <w:r w:rsidRPr="00646A34">
              <w:rPr>
                <w:lang w:val="fr-FR"/>
              </w:rPr>
              <w:t>Répertoire des services de protection des obtentions végétales</w:t>
            </w:r>
          </w:p>
        </w:tc>
      </w:tr>
      <w:tr w:rsidR="00F11AFE" w:rsidRPr="00646A34" w:rsidTr="00B96909">
        <w:trPr>
          <w:tblCellSpacing w:w="7" w:type="dxa"/>
        </w:trPr>
        <w:tc>
          <w:tcPr>
            <w:tcW w:w="0" w:type="auto"/>
            <w:shd w:val="clear" w:color="auto" w:fill="FFFFFF"/>
            <w:hideMark/>
          </w:tcPr>
          <w:p w:rsidR="00FD2367" w:rsidRPr="00646A34" w:rsidRDefault="00FD2367" w:rsidP="00F53DB7">
            <w:pPr>
              <w:spacing w:after="120"/>
              <w:jc w:val="left"/>
              <w:rPr>
                <w:rFonts w:cs="Arial"/>
                <w:lang w:val="fr-FR"/>
              </w:rPr>
            </w:pPr>
            <w:r w:rsidRPr="00646A34">
              <w:rPr>
                <w:rFonts w:cs="Arial"/>
                <w:lang w:val="fr-FR"/>
              </w:rPr>
              <w:t>j)</w:t>
            </w:r>
          </w:p>
        </w:tc>
        <w:tc>
          <w:tcPr>
            <w:tcW w:w="4740" w:type="pct"/>
            <w:shd w:val="clear" w:color="auto" w:fill="FFFFFF"/>
            <w:hideMark/>
          </w:tcPr>
          <w:p w:rsidR="00FD2367" w:rsidRPr="00646A34" w:rsidRDefault="00FD2367" w:rsidP="00DF28A5">
            <w:pPr>
              <w:rPr>
                <w:lang w:val="fr-FR"/>
              </w:rPr>
            </w:pPr>
            <w:r w:rsidRPr="00646A34">
              <w:rPr>
                <w:lang w:val="fr-FR"/>
              </w:rPr>
              <w:t>Organigramme de l</w:t>
            </w:r>
            <w:r w:rsidR="00F72F8E" w:rsidRPr="00646A34">
              <w:rPr>
                <w:lang w:val="fr-FR"/>
              </w:rPr>
              <w:t>’</w:t>
            </w:r>
            <w:r w:rsidRPr="00646A34">
              <w:rPr>
                <w:lang w:val="fr-FR"/>
              </w:rPr>
              <w:t>UPOV</w:t>
            </w:r>
          </w:p>
        </w:tc>
      </w:tr>
      <w:tr w:rsidR="00F11AFE" w:rsidRPr="00646A34" w:rsidTr="00B96909">
        <w:trPr>
          <w:tblCellSpacing w:w="7" w:type="dxa"/>
        </w:trPr>
        <w:tc>
          <w:tcPr>
            <w:tcW w:w="0" w:type="auto"/>
            <w:shd w:val="clear" w:color="auto" w:fill="FFFFFF"/>
            <w:hideMark/>
          </w:tcPr>
          <w:p w:rsidR="004E5B9C" w:rsidRPr="00646A34" w:rsidRDefault="004E5B9C" w:rsidP="00F53DB7">
            <w:pPr>
              <w:pStyle w:val="NormalWeb"/>
              <w:spacing w:before="0" w:beforeAutospacing="0" w:after="120" w:afterAutospacing="0"/>
              <w:rPr>
                <w:rFonts w:ascii="Arial" w:hAnsi="Arial" w:cs="Arial"/>
                <w:sz w:val="20"/>
                <w:szCs w:val="20"/>
                <w:lang w:val="fr-FR"/>
              </w:rPr>
            </w:pPr>
            <w:r w:rsidRPr="00646A34">
              <w:rPr>
                <w:rFonts w:ascii="Arial" w:hAnsi="Arial" w:cs="Arial"/>
                <w:sz w:val="20"/>
                <w:szCs w:val="20"/>
                <w:lang w:val="fr-FR"/>
              </w:rPr>
              <w:t>k)</w:t>
            </w:r>
          </w:p>
        </w:tc>
        <w:tc>
          <w:tcPr>
            <w:tcW w:w="4740" w:type="pct"/>
            <w:shd w:val="clear" w:color="auto" w:fill="FFFFFF"/>
            <w:hideMark/>
          </w:tcPr>
          <w:p w:rsidR="00827851" w:rsidRPr="00646A34" w:rsidRDefault="00B06381" w:rsidP="00F53DB7">
            <w:pPr>
              <w:jc w:val="left"/>
              <w:rPr>
                <w:rFonts w:cs="Arial"/>
                <w:sz w:val="8"/>
                <w:lang w:val="fr-FR"/>
              </w:rPr>
            </w:pPr>
            <w:r w:rsidRPr="00646A34">
              <w:rPr>
                <w:rFonts w:cs="Arial"/>
                <w:lang w:val="fr-FR"/>
              </w:rPr>
              <w:t>Bases de données et informations</w:t>
            </w:r>
            <w:r w:rsidR="004E5B9C" w:rsidRPr="00646A34">
              <w:rPr>
                <w:rFonts w:cs="Arial"/>
                <w:lang w:val="fr-FR"/>
              </w:rPr>
              <w:br/>
            </w:r>
          </w:p>
          <w:p w:rsidR="00827851" w:rsidRPr="00646A34" w:rsidRDefault="00B06381" w:rsidP="00B06381">
            <w:pPr>
              <w:pStyle w:val="ListParagraph"/>
              <w:numPr>
                <w:ilvl w:val="0"/>
                <w:numId w:val="2"/>
              </w:numPr>
              <w:spacing w:after="120"/>
              <w:ind w:left="714" w:hanging="357"/>
              <w:rPr>
                <w:rFonts w:cs="Arial"/>
                <w:lang w:val="fr-FR"/>
              </w:rPr>
            </w:pPr>
            <w:r w:rsidRPr="00646A34">
              <w:rPr>
                <w:rFonts w:cs="Arial"/>
                <w:lang w:val="fr-FR"/>
              </w:rPr>
              <w:t>Liste des taxons protégés par les membres de l</w:t>
            </w:r>
            <w:r w:rsidR="00F72F8E" w:rsidRPr="00646A34">
              <w:rPr>
                <w:rFonts w:cs="Arial"/>
                <w:lang w:val="fr-FR"/>
              </w:rPr>
              <w:t>’</w:t>
            </w:r>
            <w:r w:rsidR="004E5B9C" w:rsidRPr="00646A34">
              <w:rPr>
                <w:rFonts w:cs="Arial"/>
                <w:lang w:val="fr-FR"/>
              </w:rPr>
              <w:t>Union</w:t>
            </w:r>
          </w:p>
          <w:p w:rsidR="00B06381" w:rsidRPr="00646A34" w:rsidRDefault="00B06381" w:rsidP="00B06381">
            <w:pPr>
              <w:numPr>
                <w:ilvl w:val="0"/>
                <w:numId w:val="2"/>
              </w:numPr>
              <w:spacing w:after="120"/>
              <w:ind w:left="714" w:hanging="357"/>
              <w:jc w:val="left"/>
              <w:rPr>
                <w:lang w:val="fr-FR"/>
              </w:rPr>
            </w:pPr>
            <w:r w:rsidRPr="00646A34">
              <w:rPr>
                <w:lang w:val="fr-FR"/>
              </w:rPr>
              <w:t>Coopération en matière d</w:t>
            </w:r>
            <w:r w:rsidR="00F72F8E" w:rsidRPr="00646A34">
              <w:rPr>
                <w:lang w:val="fr-FR"/>
              </w:rPr>
              <w:t>’</w:t>
            </w:r>
            <w:r w:rsidRPr="00646A34">
              <w:rPr>
                <w:lang w:val="fr-FR"/>
              </w:rPr>
              <w:t>examen</w:t>
            </w:r>
          </w:p>
          <w:p w:rsidR="004E5B9C" w:rsidRPr="00646A34" w:rsidRDefault="00B06381" w:rsidP="00B06381">
            <w:pPr>
              <w:numPr>
                <w:ilvl w:val="0"/>
                <w:numId w:val="2"/>
              </w:numPr>
              <w:spacing w:after="120"/>
              <w:ind w:left="714" w:right="300" w:hanging="357"/>
              <w:jc w:val="left"/>
              <w:rPr>
                <w:rFonts w:cs="Arial"/>
                <w:lang w:val="fr-FR"/>
              </w:rPr>
            </w:pPr>
            <w:r w:rsidRPr="00646A34">
              <w:rPr>
                <w:rFonts w:cs="Arial"/>
                <w:lang w:val="fr-FR"/>
              </w:rPr>
              <w:t>Liste des genres et espèces pour lesquels les services ont une expérience pratique en matière d</w:t>
            </w:r>
            <w:r w:rsidR="00F72F8E" w:rsidRPr="00646A34">
              <w:rPr>
                <w:rFonts w:cs="Arial"/>
                <w:lang w:val="fr-FR"/>
              </w:rPr>
              <w:t>’</w:t>
            </w:r>
            <w:r w:rsidRPr="00646A34">
              <w:rPr>
                <w:rFonts w:cs="Arial"/>
                <w:lang w:val="fr-FR"/>
              </w:rPr>
              <w:t>examen de la distinction, de l</w:t>
            </w:r>
            <w:r w:rsidR="00F72F8E" w:rsidRPr="00646A34">
              <w:rPr>
                <w:rFonts w:cs="Arial"/>
                <w:lang w:val="fr-FR"/>
              </w:rPr>
              <w:t>’</w:t>
            </w:r>
            <w:r w:rsidRPr="00646A34">
              <w:rPr>
                <w:rFonts w:cs="Arial"/>
                <w:lang w:val="fr-FR"/>
              </w:rPr>
              <w:t>homogénéité et de la stabilité</w:t>
            </w:r>
          </w:p>
        </w:tc>
      </w:tr>
      <w:tr w:rsidR="00F11AFE" w:rsidRPr="00646A34" w:rsidTr="00B96909">
        <w:trPr>
          <w:tblCellSpacing w:w="7" w:type="dxa"/>
        </w:trPr>
        <w:tc>
          <w:tcPr>
            <w:tcW w:w="0" w:type="auto"/>
            <w:shd w:val="clear" w:color="auto" w:fill="FFFFFF"/>
            <w:hideMark/>
          </w:tcPr>
          <w:p w:rsidR="00B96909" w:rsidRPr="00646A34" w:rsidRDefault="00B96909" w:rsidP="00F53DB7">
            <w:pPr>
              <w:spacing w:after="120"/>
              <w:jc w:val="left"/>
              <w:rPr>
                <w:rFonts w:cs="Arial"/>
                <w:lang w:val="fr-FR"/>
              </w:rPr>
            </w:pPr>
            <w:r w:rsidRPr="00646A34">
              <w:rPr>
                <w:rFonts w:cs="Arial"/>
                <w:lang w:val="fr-FR"/>
              </w:rPr>
              <w:t>l)</w:t>
            </w:r>
          </w:p>
        </w:tc>
        <w:tc>
          <w:tcPr>
            <w:tcW w:w="4740" w:type="pct"/>
            <w:shd w:val="clear" w:color="auto" w:fill="FFFFFF"/>
            <w:hideMark/>
          </w:tcPr>
          <w:p w:rsidR="00B96909" w:rsidRPr="00646A34" w:rsidRDefault="00B96909" w:rsidP="00DF28A5">
            <w:pPr>
              <w:jc w:val="left"/>
              <w:rPr>
                <w:lang w:val="fr-FR"/>
              </w:rPr>
            </w:pPr>
            <w:r w:rsidRPr="00646A34">
              <w:rPr>
                <w:lang w:val="fr-FR"/>
              </w:rPr>
              <w:t>Base de données sur les variétés végétales</w:t>
            </w:r>
          </w:p>
        </w:tc>
      </w:tr>
      <w:tr w:rsidR="00F11AFE" w:rsidRPr="00646A34" w:rsidTr="00B96909">
        <w:trPr>
          <w:tblCellSpacing w:w="7" w:type="dxa"/>
        </w:trPr>
        <w:tc>
          <w:tcPr>
            <w:tcW w:w="0" w:type="auto"/>
            <w:shd w:val="clear" w:color="auto" w:fill="FFFFFF"/>
            <w:hideMark/>
          </w:tcPr>
          <w:p w:rsidR="00B96909" w:rsidRPr="00646A34" w:rsidRDefault="00B96909" w:rsidP="00F53DB7">
            <w:pPr>
              <w:spacing w:after="120"/>
              <w:jc w:val="left"/>
              <w:rPr>
                <w:rFonts w:cs="Arial"/>
                <w:lang w:val="fr-FR"/>
              </w:rPr>
            </w:pPr>
            <w:r w:rsidRPr="00646A34">
              <w:rPr>
                <w:rFonts w:cs="Arial"/>
                <w:lang w:val="fr-FR"/>
              </w:rPr>
              <w:t>m)</w:t>
            </w:r>
          </w:p>
        </w:tc>
        <w:tc>
          <w:tcPr>
            <w:tcW w:w="4740" w:type="pct"/>
            <w:shd w:val="clear" w:color="auto" w:fill="FFFFFF"/>
            <w:hideMark/>
          </w:tcPr>
          <w:p w:rsidR="00B96909" w:rsidRPr="00646A34" w:rsidRDefault="00B96909" w:rsidP="00DF28A5">
            <w:pPr>
              <w:jc w:val="left"/>
              <w:rPr>
                <w:lang w:val="fr-FR"/>
              </w:rPr>
            </w:pPr>
            <w:r w:rsidRPr="00646A34">
              <w:rPr>
                <w:lang w:val="fr-FR"/>
              </w:rPr>
              <w:t xml:space="preserve">Base de données </w:t>
            </w:r>
            <w:r w:rsidR="00646A34" w:rsidRPr="00646A34">
              <w:rPr>
                <w:lang w:val="fr-FR"/>
              </w:rPr>
              <w:t>GENIE</w:t>
            </w:r>
          </w:p>
        </w:tc>
      </w:tr>
    </w:tbl>
    <w:p w:rsidR="00827851" w:rsidRPr="00646A34" w:rsidRDefault="00827851" w:rsidP="004E5B9C">
      <w:pPr>
        <w:rPr>
          <w:lang w:val="fr-FR"/>
        </w:rPr>
      </w:pPr>
    </w:p>
    <w:p w:rsidR="00827851" w:rsidRPr="00646A34" w:rsidRDefault="00566661" w:rsidP="004E5B9C">
      <w:pPr>
        <w:rPr>
          <w:b/>
          <w:bCs/>
          <w:kern w:val="36"/>
          <w:lang w:val="fr-FR" w:eastAsia="nl-NL"/>
        </w:rPr>
      </w:pPr>
      <w:r w:rsidRPr="00646A34">
        <w:rPr>
          <w:lang w:val="fr-FR"/>
        </w:rPr>
        <w:t>Des renvois aux matériels que contient la Collection UPOV seront effectués d</w:t>
      </w:r>
      <w:r w:rsidR="00F72F8E" w:rsidRPr="00646A34">
        <w:rPr>
          <w:lang w:val="fr-FR"/>
        </w:rPr>
        <w:t>’</w:t>
      </w:r>
      <w:r w:rsidRPr="00646A34">
        <w:rPr>
          <w:lang w:val="fr-FR"/>
        </w:rPr>
        <w:t>un bout à l</w:t>
      </w:r>
      <w:r w:rsidR="00F72F8E" w:rsidRPr="00646A34">
        <w:rPr>
          <w:lang w:val="fr-FR"/>
        </w:rPr>
        <w:t>’</w:t>
      </w:r>
      <w:r w:rsidRPr="00646A34">
        <w:rPr>
          <w:lang w:val="fr-FR"/>
        </w:rPr>
        <w:t>autre du cours DL</w:t>
      </w:r>
      <w:r w:rsidR="00DF28A5" w:rsidRPr="00646A34">
        <w:rPr>
          <w:lang w:val="fr-FR"/>
        </w:rPr>
        <w:noBreakHyphen/>
      </w:r>
      <w:r w:rsidRPr="00646A34">
        <w:rPr>
          <w:lang w:val="fr-FR"/>
        </w:rPr>
        <w:t>305 à l</w:t>
      </w:r>
      <w:r w:rsidR="00F72F8E" w:rsidRPr="00646A34">
        <w:rPr>
          <w:lang w:val="fr-FR"/>
        </w:rPr>
        <w:t>’</w:t>
      </w:r>
      <w:r w:rsidRPr="00646A34">
        <w:rPr>
          <w:lang w:val="fr-FR"/>
        </w:rPr>
        <w:t>intention des étudiants qui souhaitent obtenir de plus amples informations sur des sujets pertinents.</w:t>
      </w:r>
    </w:p>
    <w:p w:rsidR="00827851" w:rsidRPr="00646A34" w:rsidRDefault="00827851" w:rsidP="00F13B8A">
      <w:pPr>
        <w:spacing w:line="360" w:lineRule="auto"/>
        <w:rPr>
          <w:lang w:val="fr-FR"/>
        </w:rPr>
      </w:pPr>
    </w:p>
    <w:p w:rsidR="00827851" w:rsidRPr="00646A34" w:rsidRDefault="00827851" w:rsidP="004E5B9C">
      <w:pPr>
        <w:rPr>
          <w:lang w:val="fr-FR"/>
        </w:rPr>
      </w:pPr>
    </w:p>
    <w:p w:rsidR="007B27C5" w:rsidRPr="00646A34" w:rsidRDefault="007B27C5" w:rsidP="006D5E20">
      <w:pPr>
        <w:rPr>
          <w:rFonts w:eastAsia="MS Mincho" w:cs="Arial"/>
          <w:lang w:val="fr-FR"/>
        </w:rPr>
      </w:pPr>
      <w:r w:rsidRPr="00646A34">
        <w:rPr>
          <w:rFonts w:eastAsia="MS Mincho" w:cs="Arial"/>
          <w:lang w:val="fr-FR"/>
        </w:rPr>
        <w:t>CRÉATION D</w:t>
      </w:r>
      <w:r w:rsidR="00F72F8E" w:rsidRPr="00646A34">
        <w:rPr>
          <w:rFonts w:eastAsia="MS Mincho" w:cs="Arial"/>
          <w:lang w:val="fr-FR"/>
        </w:rPr>
        <w:t>’</w:t>
      </w:r>
      <w:r w:rsidRPr="00646A34">
        <w:rPr>
          <w:rFonts w:eastAsia="MS Mincho" w:cs="Arial"/>
          <w:lang w:val="fr-FR"/>
        </w:rPr>
        <w:t>UN SERVICE D</w:t>
      </w:r>
      <w:r w:rsidR="00F72F8E" w:rsidRPr="00646A34">
        <w:rPr>
          <w:rFonts w:eastAsia="MS Mincho" w:cs="Arial"/>
          <w:lang w:val="fr-FR"/>
        </w:rPr>
        <w:t>’</w:t>
      </w:r>
      <w:r w:rsidRPr="00646A34">
        <w:rPr>
          <w:rFonts w:eastAsia="MS Mincho" w:cs="Arial"/>
          <w:lang w:val="fr-FR"/>
        </w:rPr>
        <w:t>OCTROI DES DROITS D</w:t>
      </w:r>
      <w:r w:rsidR="00F72F8E" w:rsidRPr="00646A34">
        <w:rPr>
          <w:rFonts w:eastAsia="MS Mincho" w:cs="Arial"/>
          <w:lang w:val="fr-FR"/>
        </w:rPr>
        <w:t>’</w:t>
      </w:r>
      <w:r w:rsidRPr="00646A34">
        <w:rPr>
          <w:rFonts w:eastAsia="MS Mincho" w:cs="Arial"/>
          <w:lang w:val="fr-FR"/>
        </w:rPr>
        <w:t>OBTENTEUR</w:t>
      </w:r>
    </w:p>
    <w:p w:rsidR="007B27C5" w:rsidRPr="00646A34" w:rsidRDefault="007B27C5" w:rsidP="006D5E20">
      <w:pPr>
        <w:rPr>
          <w:rFonts w:eastAsia="MS Mincho" w:cs="Arial"/>
          <w:lang w:val="fr-FR"/>
        </w:rPr>
      </w:pPr>
    </w:p>
    <w:p w:rsidR="006D5E20" w:rsidRPr="00646A34" w:rsidRDefault="006D5E20" w:rsidP="006D5E20">
      <w:pPr>
        <w:rPr>
          <w:rFonts w:eastAsia="MS Mincho" w:cs="Arial"/>
          <w:lang w:val="fr-FR"/>
        </w:rPr>
      </w:pPr>
      <w:r w:rsidRPr="00646A34">
        <w:rPr>
          <w:rFonts w:eastAsia="MS Mincho" w:cs="Arial"/>
          <w:lang w:val="fr-FR"/>
        </w:rPr>
        <w:t>Le service d</w:t>
      </w:r>
      <w:r w:rsidR="00F72F8E" w:rsidRPr="00646A34">
        <w:rPr>
          <w:rFonts w:eastAsia="MS Mincho" w:cs="Arial"/>
          <w:lang w:val="fr-FR"/>
        </w:rPr>
        <w:t>’</w:t>
      </w:r>
      <w:r w:rsidRPr="00646A34">
        <w:rPr>
          <w:rFonts w:eastAsia="MS Mincho" w:cs="Arial"/>
          <w:lang w:val="fr-FR"/>
        </w:rPr>
        <w:t>octroi des droits d</w:t>
      </w:r>
      <w:r w:rsidR="00F72F8E" w:rsidRPr="00646A34">
        <w:rPr>
          <w:rFonts w:eastAsia="MS Mincho" w:cs="Arial"/>
          <w:lang w:val="fr-FR"/>
        </w:rPr>
        <w:t>’</w:t>
      </w:r>
      <w:r w:rsidRPr="00646A34">
        <w:rPr>
          <w:rFonts w:eastAsia="MS Mincho" w:cs="Arial"/>
          <w:lang w:val="fr-FR"/>
        </w:rPr>
        <w:t>obtenteur est souvent placé sous la direction du ministère chargé de l</w:t>
      </w:r>
      <w:r w:rsidR="00F72F8E" w:rsidRPr="00646A34">
        <w:rPr>
          <w:rFonts w:eastAsia="MS Mincho" w:cs="Arial"/>
          <w:lang w:val="fr-FR"/>
        </w:rPr>
        <w:t>’</w:t>
      </w:r>
      <w:r w:rsidRPr="00646A34">
        <w:rPr>
          <w:rFonts w:eastAsia="MS Mincho" w:cs="Arial"/>
          <w:lang w:val="fr-FR"/>
        </w:rPr>
        <w:t>agriculture ou de celui chargé de la propriété intellectuelle.  Les ministères chargés de l</w:t>
      </w:r>
      <w:r w:rsidR="00F72F8E" w:rsidRPr="00646A34">
        <w:rPr>
          <w:rFonts w:eastAsia="MS Mincho" w:cs="Arial"/>
          <w:lang w:val="fr-FR"/>
        </w:rPr>
        <w:t>’</w:t>
      </w:r>
      <w:r w:rsidRPr="00646A34">
        <w:rPr>
          <w:rFonts w:eastAsia="MS Mincho" w:cs="Arial"/>
          <w:lang w:val="fr-FR"/>
        </w:rPr>
        <w:t xml:space="preserve">agriculture ont normalement une expérience des programmes liés aux variétés végétales comme la certification des semences et le listage national des variétés. </w:t>
      </w:r>
      <w:r w:rsidR="00395B04" w:rsidRPr="00646A34">
        <w:rPr>
          <w:rFonts w:eastAsia="MS Mincho" w:cs="Arial"/>
          <w:lang w:val="fr-FR"/>
        </w:rPr>
        <w:t xml:space="preserve"> </w:t>
      </w:r>
      <w:r w:rsidRPr="00646A34">
        <w:rPr>
          <w:rFonts w:eastAsia="MS Mincho" w:cs="Arial"/>
          <w:lang w:val="fr-FR"/>
        </w:rPr>
        <w:t>Toutefois, le service d</w:t>
      </w:r>
      <w:r w:rsidR="00F72F8E" w:rsidRPr="00646A34">
        <w:rPr>
          <w:rFonts w:eastAsia="MS Mincho" w:cs="Arial"/>
          <w:lang w:val="fr-FR"/>
        </w:rPr>
        <w:t>’</w:t>
      </w:r>
      <w:r w:rsidRPr="00646A34">
        <w:rPr>
          <w:rFonts w:eastAsia="MS Mincho" w:cs="Arial"/>
          <w:lang w:val="fr-FR"/>
        </w:rPr>
        <w:t>octroi des droits d</w:t>
      </w:r>
      <w:r w:rsidR="00F72F8E" w:rsidRPr="00646A34">
        <w:rPr>
          <w:rFonts w:eastAsia="MS Mincho" w:cs="Arial"/>
          <w:lang w:val="fr-FR"/>
        </w:rPr>
        <w:t>’</w:t>
      </w:r>
      <w:r w:rsidRPr="00646A34">
        <w:rPr>
          <w:rFonts w:eastAsia="MS Mincho" w:cs="Arial"/>
          <w:lang w:val="fr-FR"/>
        </w:rPr>
        <w:t>obtenteur peut par exemple être placé sous la direction d</w:t>
      </w:r>
      <w:r w:rsidR="00F72F8E" w:rsidRPr="00646A34">
        <w:rPr>
          <w:rFonts w:eastAsia="MS Mincho" w:cs="Arial"/>
          <w:lang w:val="fr-FR"/>
        </w:rPr>
        <w:t>’</w:t>
      </w:r>
      <w:r w:rsidRPr="00646A34">
        <w:rPr>
          <w:rFonts w:eastAsia="MS Mincho" w:cs="Arial"/>
          <w:lang w:val="fr-FR"/>
        </w:rPr>
        <w:t>un ministère chargé de la propriété intellectuelle.</w:t>
      </w:r>
    </w:p>
    <w:p w:rsidR="006D5E20" w:rsidRPr="00646A34" w:rsidRDefault="006D5E20" w:rsidP="006D5E20">
      <w:pPr>
        <w:rPr>
          <w:rFonts w:eastAsia="MS Mincho" w:cs="Arial"/>
          <w:lang w:val="fr-FR"/>
        </w:rPr>
      </w:pPr>
    </w:p>
    <w:p w:rsidR="006D5E20" w:rsidRPr="00646A34" w:rsidRDefault="006D5E20" w:rsidP="006D5E20">
      <w:pPr>
        <w:rPr>
          <w:rFonts w:eastAsia="MS Mincho" w:cs="Arial"/>
          <w:lang w:val="fr-FR"/>
        </w:rPr>
      </w:pPr>
      <w:r w:rsidRPr="00646A34">
        <w:rPr>
          <w:rFonts w:eastAsia="MS Mincho" w:cs="Arial"/>
          <w:lang w:val="fr-FR"/>
        </w:rPr>
        <w:t>Un membre de l</w:t>
      </w:r>
      <w:r w:rsidR="00F72F8E" w:rsidRPr="00646A34">
        <w:rPr>
          <w:rFonts w:eastAsia="MS Mincho" w:cs="Arial"/>
          <w:lang w:val="fr-FR"/>
        </w:rPr>
        <w:t>’</w:t>
      </w:r>
      <w:r w:rsidRPr="00646A34">
        <w:rPr>
          <w:rFonts w:eastAsia="MS Mincho" w:cs="Arial"/>
          <w:lang w:val="fr-FR"/>
        </w:rPr>
        <w:t>UPOV peut également décider de confier l</w:t>
      </w:r>
      <w:r w:rsidR="00F72F8E" w:rsidRPr="00646A34">
        <w:rPr>
          <w:rFonts w:eastAsia="MS Mincho" w:cs="Arial"/>
          <w:lang w:val="fr-FR"/>
        </w:rPr>
        <w:t>’</w:t>
      </w:r>
      <w:r w:rsidRPr="00646A34">
        <w:rPr>
          <w:rFonts w:eastAsia="MS Mincho" w:cs="Arial"/>
          <w:lang w:val="fr-FR"/>
        </w:rPr>
        <w:t>octroi de droits d</w:t>
      </w:r>
      <w:r w:rsidR="00F72F8E" w:rsidRPr="00646A34">
        <w:rPr>
          <w:rFonts w:eastAsia="MS Mincho" w:cs="Arial"/>
          <w:lang w:val="fr-FR"/>
        </w:rPr>
        <w:t>’</w:t>
      </w:r>
      <w:r w:rsidRPr="00646A34">
        <w:rPr>
          <w:rFonts w:eastAsia="MS Mincho" w:cs="Arial"/>
          <w:lang w:val="fr-FR"/>
        </w:rPr>
        <w:t>obtenteur au service d</w:t>
      </w:r>
      <w:r w:rsidR="00F72F8E" w:rsidRPr="00646A34">
        <w:rPr>
          <w:rFonts w:eastAsia="MS Mincho" w:cs="Arial"/>
          <w:lang w:val="fr-FR"/>
        </w:rPr>
        <w:t>’</w:t>
      </w:r>
      <w:r w:rsidRPr="00646A34">
        <w:rPr>
          <w:rFonts w:eastAsia="MS Mincho" w:cs="Arial"/>
          <w:lang w:val="fr-FR"/>
        </w:rPr>
        <w:t>octroi d</w:t>
      </w:r>
      <w:r w:rsidR="00F72F8E" w:rsidRPr="00646A34">
        <w:rPr>
          <w:rFonts w:eastAsia="MS Mincho" w:cs="Arial"/>
          <w:lang w:val="fr-FR"/>
        </w:rPr>
        <w:t>’</w:t>
      </w:r>
      <w:r w:rsidRPr="00646A34">
        <w:rPr>
          <w:rFonts w:eastAsia="MS Mincho" w:cs="Arial"/>
          <w:lang w:val="fr-FR"/>
        </w:rPr>
        <w:t>un autre membre comme une organisation intergouvernementale régionale ou supranationale.</w:t>
      </w:r>
    </w:p>
    <w:p w:rsidR="00827851" w:rsidRPr="00646A34" w:rsidRDefault="00827851" w:rsidP="00F13B8A">
      <w:pPr>
        <w:spacing w:line="360" w:lineRule="auto"/>
        <w:rPr>
          <w:lang w:val="fr-FR"/>
        </w:rPr>
      </w:pPr>
    </w:p>
    <w:p w:rsidR="00827851" w:rsidRPr="00646A34" w:rsidRDefault="00827851" w:rsidP="004E5B9C">
      <w:pPr>
        <w:rPr>
          <w:lang w:val="fr-FR"/>
        </w:rPr>
      </w:pPr>
    </w:p>
    <w:p w:rsidR="00FD7150" w:rsidRPr="00646A34" w:rsidRDefault="00FD7150" w:rsidP="00C1320D">
      <w:pPr>
        <w:rPr>
          <w:rFonts w:eastAsia="MS Mincho" w:cs="Arial"/>
          <w:lang w:val="fr-FR"/>
        </w:rPr>
      </w:pPr>
      <w:r w:rsidRPr="00646A34">
        <w:rPr>
          <w:rFonts w:eastAsia="MS Mincho" w:cs="Arial"/>
          <w:lang w:val="fr-FR"/>
        </w:rPr>
        <w:t>FONCTIONS ET STRUCTURE D</w:t>
      </w:r>
      <w:r w:rsidR="00F72F8E" w:rsidRPr="00646A34">
        <w:rPr>
          <w:rFonts w:eastAsia="MS Mincho" w:cs="Arial"/>
          <w:lang w:val="fr-FR"/>
        </w:rPr>
        <w:t>’</w:t>
      </w:r>
      <w:r w:rsidRPr="00646A34">
        <w:rPr>
          <w:rFonts w:eastAsia="MS Mincho" w:cs="Arial"/>
          <w:lang w:val="fr-FR"/>
        </w:rPr>
        <w:t>UN SERVICE D</w:t>
      </w:r>
      <w:r w:rsidR="00F72F8E" w:rsidRPr="00646A34">
        <w:rPr>
          <w:rFonts w:eastAsia="MS Mincho" w:cs="Arial"/>
          <w:lang w:val="fr-FR"/>
        </w:rPr>
        <w:t>’</w:t>
      </w:r>
      <w:r w:rsidRPr="00646A34">
        <w:rPr>
          <w:rFonts w:eastAsia="MS Mincho" w:cs="Arial"/>
          <w:lang w:val="fr-FR"/>
        </w:rPr>
        <w:t>OCTROI DES DROITS D</w:t>
      </w:r>
      <w:r w:rsidR="00F72F8E" w:rsidRPr="00646A34">
        <w:rPr>
          <w:rFonts w:eastAsia="MS Mincho" w:cs="Arial"/>
          <w:lang w:val="fr-FR"/>
        </w:rPr>
        <w:t>’</w:t>
      </w:r>
      <w:r w:rsidRPr="00646A34">
        <w:rPr>
          <w:rFonts w:eastAsia="MS Mincho" w:cs="Arial"/>
          <w:lang w:val="fr-FR"/>
        </w:rPr>
        <w:t>OBTENTEUR</w:t>
      </w:r>
    </w:p>
    <w:p w:rsidR="00FD7150" w:rsidRPr="00646A34" w:rsidRDefault="00FD7150" w:rsidP="00C1320D">
      <w:pPr>
        <w:rPr>
          <w:rFonts w:eastAsia="MS Mincho" w:cs="Arial"/>
          <w:lang w:val="fr-FR"/>
        </w:rPr>
      </w:pPr>
    </w:p>
    <w:p w:rsidR="00C1320D" w:rsidRPr="00646A34" w:rsidRDefault="00C1320D" w:rsidP="00C1320D">
      <w:pPr>
        <w:rPr>
          <w:rFonts w:eastAsia="MS Mincho" w:cs="Arial"/>
          <w:lang w:val="fr-FR"/>
        </w:rPr>
      </w:pPr>
      <w:r w:rsidRPr="00646A34">
        <w:rPr>
          <w:rFonts w:eastAsia="MS Mincho" w:cs="Arial"/>
          <w:lang w:val="fr-FR"/>
        </w:rPr>
        <w:t xml:space="preserve">La </w:t>
      </w:r>
      <w:r w:rsidR="00F72F8E" w:rsidRPr="00646A34">
        <w:rPr>
          <w:rFonts w:eastAsia="MS Mincho" w:cs="Arial"/>
          <w:lang w:val="fr-FR"/>
        </w:rPr>
        <w:t>Convention UPOV</w:t>
      </w:r>
      <w:r w:rsidRPr="00646A34">
        <w:rPr>
          <w:rFonts w:eastAsia="MS Mincho" w:cs="Arial"/>
          <w:lang w:val="fr-FR"/>
        </w:rPr>
        <w:t xml:space="preserve"> définit les activités du service d</w:t>
      </w:r>
      <w:r w:rsidR="00F72F8E" w:rsidRPr="00646A34">
        <w:rPr>
          <w:rFonts w:eastAsia="MS Mincho" w:cs="Arial"/>
          <w:lang w:val="fr-FR"/>
        </w:rPr>
        <w:t>’</w:t>
      </w:r>
      <w:r w:rsidRPr="00646A34">
        <w:rPr>
          <w:rFonts w:eastAsia="MS Mincho" w:cs="Arial"/>
          <w:lang w:val="fr-FR"/>
        </w:rPr>
        <w:t>octroi des droits d</w:t>
      </w:r>
      <w:r w:rsidR="00F72F8E" w:rsidRPr="00646A34">
        <w:rPr>
          <w:rFonts w:eastAsia="MS Mincho" w:cs="Arial"/>
          <w:lang w:val="fr-FR"/>
        </w:rPr>
        <w:t>’</w:t>
      </w:r>
      <w:r w:rsidRPr="00646A34">
        <w:rPr>
          <w:rFonts w:eastAsia="MS Mincho" w:cs="Arial"/>
          <w:lang w:val="fr-FR"/>
        </w:rPr>
        <w:t>obtenteur, mais il n</w:t>
      </w:r>
      <w:r w:rsidR="00F72F8E" w:rsidRPr="00646A34">
        <w:rPr>
          <w:rFonts w:eastAsia="MS Mincho" w:cs="Arial"/>
          <w:lang w:val="fr-FR"/>
        </w:rPr>
        <w:t>’</w:t>
      </w:r>
      <w:r w:rsidRPr="00646A34">
        <w:rPr>
          <w:rFonts w:eastAsia="MS Mincho" w:cs="Arial"/>
          <w:lang w:val="fr-FR"/>
        </w:rPr>
        <w:t xml:space="preserve">en définit pas un modèle en particulier. </w:t>
      </w:r>
      <w:r w:rsidR="00395B04" w:rsidRPr="00646A34">
        <w:rPr>
          <w:rFonts w:eastAsia="MS Mincho" w:cs="Arial"/>
          <w:lang w:val="fr-FR"/>
        </w:rPr>
        <w:t xml:space="preserve"> </w:t>
      </w:r>
      <w:r w:rsidRPr="00646A34">
        <w:rPr>
          <w:rFonts w:eastAsia="MS Mincho" w:cs="Arial"/>
          <w:lang w:val="fr-FR"/>
        </w:rPr>
        <w:t>C</w:t>
      </w:r>
      <w:r w:rsidR="00F72F8E" w:rsidRPr="00646A34">
        <w:rPr>
          <w:rFonts w:eastAsia="MS Mincho" w:cs="Arial"/>
          <w:lang w:val="fr-FR"/>
        </w:rPr>
        <w:t>’</w:t>
      </w:r>
      <w:r w:rsidRPr="00646A34">
        <w:rPr>
          <w:rFonts w:eastAsia="MS Mincho" w:cs="Arial"/>
          <w:lang w:val="fr-FR"/>
        </w:rPr>
        <w:t>est pourquoi les membres de l</w:t>
      </w:r>
      <w:r w:rsidR="00F72F8E" w:rsidRPr="00646A34">
        <w:rPr>
          <w:rFonts w:eastAsia="MS Mincho" w:cs="Arial"/>
          <w:lang w:val="fr-FR"/>
        </w:rPr>
        <w:t>’</w:t>
      </w:r>
      <w:r w:rsidRPr="00646A34">
        <w:rPr>
          <w:rFonts w:eastAsia="MS Mincho" w:cs="Arial"/>
          <w:lang w:val="fr-FR"/>
        </w:rPr>
        <w:t>UPOV peuvent organiser le service d</w:t>
      </w:r>
      <w:r w:rsidR="00F72F8E" w:rsidRPr="00646A34">
        <w:rPr>
          <w:rFonts w:eastAsia="MS Mincho" w:cs="Arial"/>
          <w:lang w:val="fr-FR"/>
        </w:rPr>
        <w:t>’</w:t>
      </w:r>
      <w:r w:rsidRPr="00646A34">
        <w:rPr>
          <w:rFonts w:eastAsia="MS Mincho" w:cs="Arial"/>
          <w:lang w:val="fr-FR"/>
        </w:rPr>
        <w:t>octroi en fonction de leur situation.</w:t>
      </w:r>
    </w:p>
    <w:p w:rsidR="00C1320D" w:rsidRPr="00646A34" w:rsidRDefault="00C1320D" w:rsidP="00C1320D">
      <w:pPr>
        <w:rPr>
          <w:rFonts w:eastAsia="MS Mincho" w:cs="Arial"/>
          <w:lang w:val="fr-FR"/>
        </w:rPr>
      </w:pPr>
    </w:p>
    <w:p w:rsidR="00F13B8A" w:rsidRPr="00646A34" w:rsidRDefault="00F13B8A">
      <w:pPr>
        <w:jc w:val="left"/>
        <w:rPr>
          <w:rFonts w:eastAsia="MS Mincho" w:cs="Arial"/>
          <w:lang w:val="fr-FR"/>
        </w:rPr>
      </w:pPr>
      <w:r w:rsidRPr="00646A34">
        <w:rPr>
          <w:rFonts w:eastAsia="MS Mincho" w:cs="Arial"/>
          <w:lang w:val="fr-FR"/>
        </w:rPr>
        <w:br w:type="page"/>
      </w:r>
    </w:p>
    <w:p w:rsidR="00C1320D" w:rsidRPr="00646A34" w:rsidRDefault="00C1320D" w:rsidP="00F13B8A">
      <w:pPr>
        <w:keepNext/>
        <w:rPr>
          <w:rFonts w:eastAsia="MS Mincho" w:cs="Arial"/>
          <w:lang w:val="fr-FR"/>
        </w:rPr>
      </w:pPr>
      <w:r w:rsidRPr="00646A34">
        <w:rPr>
          <w:rFonts w:eastAsia="MS Mincho" w:cs="Arial"/>
          <w:lang w:val="fr-FR"/>
        </w:rPr>
        <w:lastRenderedPageBreak/>
        <w:t>L</w:t>
      </w:r>
      <w:r w:rsidR="00F72F8E" w:rsidRPr="00646A34">
        <w:rPr>
          <w:rFonts w:eastAsia="MS Mincho" w:cs="Arial"/>
          <w:lang w:val="fr-FR"/>
        </w:rPr>
        <w:t>’</w:t>
      </w:r>
      <w:r w:rsidRPr="00646A34">
        <w:rPr>
          <w:rFonts w:eastAsia="MS Mincho" w:cs="Arial"/>
          <w:lang w:val="fr-FR"/>
        </w:rPr>
        <w:t>ordinogramme ci</w:t>
      </w:r>
      <w:r w:rsidR="00DF28A5" w:rsidRPr="00646A34">
        <w:rPr>
          <w:rFonts w:eastAsia="MS Mincho" w:cs="Arial"/>
          <w:lang w:val="fr-FR"/>
        </w:rPr>
        <w:noBreakHyphen/>
      </w:r>
      <w:r w:rsidRPr="00646A34">
        <w:rPr>
          <w:rFonts w:eastAsia="MS Mincho" w:cs="Arial"/>
          <w:lang w:val="fr-FR"/>
        </w:rPr>
        <w:t>après illustre les tâches fondamentales d</w:t>
      </w:r>
      <w:r w:rsidR="00F72F8E" w:rsidRPr="00646A34">
        <w:rPr>
          <w:rFonts w:eastAsia="MS Mincho" w:cs="Arial"/>
          <w:lang w:val="fr-FR"/>
        </w:rPr>
        <w:t>’</w:t>
      </w:r>
      <w:r w:rsidRPr="00646A34">
        <w:rPr>
          <w:rFonts w:eastAsia="MS Mincho" w:cs="Arial"/>
          <w:lang w:val="fr-FR"/>
        </w:rPr>
        <w:t>un service d</w:t>
      </w:r>
      <w:r w:rsidR="00F72F8E" w:rsidRPr="00646A34">
        <w:rPr>
          <w:rFonts w:eastAsia="MS Mincho" w:cs="Arial"/>
          <w:lang w:val="fr-FR"/>
        </w:rPr>
        <w:t>’</w:t>
      </w:r>
      <w:r w:rsidRPr="00646A34">
        <w:rPr>
          <w:rFonts w:eastAsia="MS Mincho" w:cs="Arial"/>
          <w:lang w:val="fr-FR"/>
        </w:rPr>
        <w:t>octroi typique des droits d</w:t>
      </w:r>
      <w:r w:rsidR="00F72F8E" w:rsidRPr="00646A34">
        <w:rPr>
          <w:rFonts w:eastAsia="MS Mincho" w:cs="Arial"/>
          <w:lang w:val="fr-FR"/>
        </w:rPr>
        <w:t>’</w:t>
      </w:r>
      <w:r w:rsidRPr="00646A34">
        <w:rPr>
          <w:rFonts w:eastAsia="MS Mincho" w:cs="Arial"/>
          <w:lang w:val="fr-FR"/>
        </w:rPr>
        <w:t>obtenteur.</w:t>
      </w:r>
      <w:r w:rsidR="00395B04" w:rsidRPr="00646A34">
        <w:rPr>
          <w:rFonts w:eastAsia="MS Mincho" w:cs="Arial"/>
          <w:lang w:val="fr-FR"/>
        </w:rPr>
        <w:t xml:space="preserve"> </w:t>
      </w:r>
      <w:r w:rsidRPr="00646A34">
        <w:rPr>
          <w:rFonts w:eastAsia="MS Mincho" w:cs="Arial"/>
          <w:lang w:val="fr-FR"/>
        </w:rPr>
        <w:t xml:space="preserve"> Le module 2 : “Administration des demandes” donne de plus amples informations sur ces tâches.</w:t>
      </w:r>
    </w:p>
    <w:p w:rsidR="00827851" w:rsidRPr="00646A34" w:rsidRDefault="00827851" w:rsidP="00F13B8A">
      <w:pPr>
        <w:keepNext/>
        <w:rPr>
          <w:lang w:val="fr-FR"/>
        </w:rPr>
      </w:pPr>
    </w:p>
    <w:p w:rsidR="00827851" w:rsidRPr="00646A34" w:rsidRDefault="00134615" w:rsidP="00F13B8A">
      <w:pPr>
        <w:keepNext/>
        <w:rPr>
          <w:lang w:val="fr-FR"/>
        </w:rPr>
      </w:pPr>
      <w:r w:rsidRPr="00646A34">
        <w:rPr>
          <w:lang w:val="fr-FR"/>
        </w:rPr>
        <w:t>Ordinogramme </w:t>
      </w:r>
      <w:r w:rsidR="004E5B9C" w:rsidRPr="00646A34">
        <w:rPr>
          <w:lang w:val="fr-FR"/>
        </w:rPr>
        <w:t>1</w:t>
      </w:r>
      <w:r w:rsidR="004E5B9C" w:rsidRPr="00646A34">
        <w:rPr>
          <w:vertAlign w:val="superscript"/>
          <w:lang w:val="fr-FR"/>
        </w:rPr>
        <w:footnoteReference w:id="3"/>
      </w:r>
      <w:r w:rsidRPr="00646A34">
        <w:rPr>
          <w:lang w:val="fr-FR"/>
        </w:rPr>
        <w:t> </w:t>
      </w:r>
      <w:r w:rsidR="004E5B9C" w:rsidRPr="00646A34">
        <w:rPr>
          <w:lang w:val="fr-FR"/>
        </w:rPr>
        <w:t xml:space="preserve">: </w:t>
      </w:r>
      <w:r w:rsidRPr="00646A34">
        <w:rPr>
          <w:lang w:val="fr-FR"/>
        </w:rPr>
        <w:t>Tâches fondamentales du service d</w:t>
      </w:r>
      <w:r w:rsidR="00F72F8E" w:rsidRPr="00646A34">
        <w:rPr>
          <w:lang w:val="fr-FR"/>
        </w:rPr>
        <w:t>’</w:t>
      </w:r>
      <w:r w:rsidRPr="00646A34">
        <w:rPr>
          <w:lang w:val="fr-FR"/>
        </w:rPr>
        <w:t>octroi des droits d</w:t>
      </w:r>
      <w:r w:rsidR="00F72F8E" w:rsidRPr="00646A34">
        <w:rPr>
          <w:lang w:val="fr-FR"/>
        </w:rPr>
        <w:t>’</w:t>
      </w:r>
      <w:r w:rsidRPr="00646A34">
        <w:rPr>
          <w:lang w:val="fr-FR"/>
        </w:rPr>
        <w:t>obtenteur</w:t>
      </w:r>
    </w:p>
    <w:p w:rsidR="00827851" w:rsidRPr="00646A34" w:rsidRDefault="00827851" w:rsidP="00F13B8A">
      <w:pPr>
        <w:keepNext/>
        <w:rPr>
          <w:lang w:val="fr-FR"/>
        </w:rPr>
      </w:pPr>
    </w:p>
    <w:p w:rsidR="00827851" w:rsidRPr="00646A34" w:rsidRDefault="00B44ADB" w:rsidP="004E5B9C">
      <w:pPr>
        <w:jc w:val="right"/>
        <w:rPr>
          <w:lang w:val="fr-FR"/>
        </w:rPr>
      </w:pPr>
      <w:r w:rsidRPr="00646A34">
        <w:rPr>
          <w:lang w:val="fr-FR"/>
        </w:rPr>
        <w:object w:dxaOrig="13237" w:dyaOrig="10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75pt;height:412.3pt" o:ole="">
            <v:imagedata r:id="rId14" o:title=""/>
          </v:shape>
          <o:OLEObject Type="Embed" ProgID="Msxml2.SAXXMLReader.5.0" ShapeID="_x0000_i1025" DrawAspect="Content" ObjectID="_1472045577" r:id="rId15"/>
        </w:object>
      </w:r>
    </w:p>
    <w:p w:rsidR="00827851" w:rsidRPr="00646A34" w:rsidRDefault="00827851" w:rsidP="004E5B9C">
      <w:pPr>
        <w:jc w:val="right"/>
        <w:rPr>
          <w:lang w:val="fr-FR"/>
        </w:rPr>
      </w:pPr>
    </w:p>
    <w:p w:rsidR="00827851" w:rsidRPr="00646A34" w:rsidRDefault="00827851" w:rsidP="004E5B9C">
      <w:pPr>
        <w:jc w:val="right"/>
        <w:rPr>
          <w:lang w:val="fr-FR"/>
        </w:rPr>
      </w:pPr>
    </w:p>
    <w:p w:rsidR="00827851" w:rsidRPr="00646A34" w:rsidRDefault="00827851" w:rsidP="004E5B9C">
      <w:pPr>
        <w:jc w:val="right"/>
        <w:rPr>
          <w:lang w:val="fr-FR"/>
        </w:rPr>
      </w:pPr>
    </w:p>
    <w:p w:rsidR="00827851" w:rsidRPr="00646A34" w:rsidRDefault="004E5B9C" w:rsidP="004E5B9C">
      <w:pPr>
        <w:jc w:val="left"/>
        <w:rPr>
          <w:lang w:val="fr-FR"/>
        </w:rPr>
      </w:pPr>
      <w:r w:rsidRPr="00646A34">
        <w:rPr>
          <w:lang w:val="fr-FR"/>
        </w:rPr>
        <w:br w:type="page"/>
      </w:r>
    </w:p>
    <w:p w:rsidR="00827851" w:rsidRPr="00646A34" w:rsidRDefault="00827851" w:rsidP="004E5B9C">
      <w:pPr>
        <w:jc w:val="right"/>
        <w:rPr>
          <w:lang w:val="fr-FR"/>
        </w:rPr>
      </w:pPr>
    </w:p>
    <w:p w:rsidR="00827851" w:rsidRPr="00646A34" w:rsidRDefault="00B12C1D" w:rsidP="004E5B9C">
      <w:pPr>
        <w:rPr>
          <w:sz w:val="22"/>
          <w:lang w:val="fr-FR"/>
        </w:rPr>
      </w:pPr>
      <w:r w:rsidRPr="00646A34">
        <w:rPr>
          <w:sz w:val="22"/>
          <w:lang w:val="fr-FR"/>
        </w:rPr>
        <w:t>MODULE 2 : ADMINISTRATION DES DEMANDES</w:t>
      </w:r>
    </w:p>
    <w:p w:rsidR="00827851" w:rsidRPr="00646A34" w:rsidRDefault="00827851" w:rsidP="004E5B9C">
      <w:pPr>
        <w:rPr>
          <w:lang w:val="fr-FR"/>
        </w:rPr>
      </w:pPr>
    </w:p>
    <w:p w:rsidR="00827851" w:rsidRPr="00646A34" w:rsidRDefault="00B12C1D" w:rsidP="004E5B9C">
      <w:pPr>
        <w:rPr>
          <w:u w:val="single"/>
          <w:lang w:val="fr-FR"/>
        </w:rPr>
      </w:pPr>
      <w:r w:rsidRPr="00646A34">
        <w:rPr>
          <w:u w:val="single"/>
          <w:lang w:val="fr-FR"/>
        </w:rPr>
        <w:t>Objectif</w:t>
      </w:r>
    </w:p>
    <w:p w:rsidR="00827851" w:rsidRPr="00646A34" w:rsidRDefault="00827851" w:rsidP="004E5B9C">
      <w:pPr>
        <w:rPr>
          <w:lang w:val="fr-FR"/>
        </w:rPr>
      </w:pPr>
    </w:p>
    <w:p w:rsidR="00827851" w:rsidRPr="00646A34" w:rsidRDefault="00B12C1D" w:rsidP="004E5B9C">
      <w:pPr>
        <w:rPr>
          <w:i/>
          <w:lang w:val="fr-FR"/>
        </w:rPr>
      </w:pPr>
      <w:r w:rsidRPr="00646A34">
        <w:rPr>
          <w:i/>
          <w:lang w:val="fr-FR"/>
        </w:rPr>
        <w:t>Le présent module a pour objectif d</w:t>
      </w:r>
      <w:r w:rsidR="00F72F8E" w:rsidRPr="00646A34">
        <w:rPr>
          <w:i/>
          <w:lang w:val="fr-FR"/>
        </w:rPr>
        <w:t>’</w:t>
      </w:r>
      <w:r w:rsidRPr="00646A34">
        <w:rPr>
          <w:i/>
          <w:lang w:val="fr-FR"/>
        </w:rPr>
        <w:t>expliquer les tâches de base dont est chargé le service d</w:t>
      </w:r>
      <w:r w:rsidR="00F72F8E" w:rsidRPr="00646A34">
        <w:rPr>
          <w:i/>
          <w:lang w:val="fr-FR"/>
        </w:rPr>
        <w:t>’</w:t>
      </w:r>
      <w:r w:rsidRPr="00646A34">
        <w:rPr>
          <w:i/>
          <w:lang w:val="fr-FR"/>
        </w:rPr>
        <w:t>octroi des droits d</w:t>
      </w:r>
      <w:r w:rsidR="00F72F8E" w:rsidRPr="00646A34">
        <w:rPr>
          <w:i/>
          <w:lang w:val="fr-FR"/>
        </w:rPr>
        <w:t>’</w:t>
      </w:r>
      <w:r w:rsidRPr="00646A34">
        <w:rPr>
          <w:i/>
          <w:lang w:val="fr-FR"/>
        </w:rPr>
        <w:t>obtenteur en ce qui concerne l</w:t>
      </w:r>
      <w:r w:rsidR="00F72F8E" w:rsidRPr="00646A34">
        <w:rPr>
          <w:i/>
          <w:lang w:val="fr-FR"/>
        </w:rPr>
        <w:t>’</w:t>
      </w:r>
      <w:r w:rsidRPr="00646A34">
        <w:rPr>
          <w:i/>
          <w:lang w:val="fr-FR"/>
        </w:rPr>
        <w:t>administration des demandes de droit d</w:t>
      </w:r>
      <w:r w:rsidR="00F72F8E" w:rsidRPr="00646A34">
        <w:rPr>
          <w:i/>
          <w:lang w:val="fr-FR"/>
        </w:rPr>
        <w:t>’</w:t>
      </w:r>
      <w:r w:rsidRPr="00646A34">
        <w:rPr>
          <w:i/>
          <w:lang w:val="fr-FR"/>
        </w:rPr>
        <w:t>obtenteur.  Le module explique les tâches de base exécutées au sein du service d</w:t>
      </w:r>
      <w:r w:rsidR="00F72F8E" w:rsidRPr="00646A34">
        <w:rPr>
          <w:i/>
          <w:lang w:val="fr-FR"/>
        </w:rPr>
        <w:t>’</w:t>
      </w:r>
      <w:r w:rsidRPr="00646A34">
        <w:rPr>
          <w:i/>
          <w:lang w:val="fr-FR"/>
        </w:rPr>
        <w:t>octroi des droits d</w:t>
      </w:r>
      <w:r w:rsidR="00F72F8E" w:rsidRPr="00646A34">
        <w:rPr>
          <w:i/>
          <w:lang w:val="fr-FR"/>
        </w:rPr>
        <w:t>’</w:t>
      </w:r>
      <w:r w:rsidRPr="00646A34">
        <w:rPr>
          <w:i/>
          <w:lang w:val="fr-FR"/>
        </w:rPr>
        <w:t>obtenteur, comme il ressort du diagramme figurant dans le</w:t>
      </w:r>
      <w:r w:rsidRPr="00646A34">
        <w:rPr>
          <w:lang w:val="fr-FR"/>
        </w:rPr>
        <w:t xml:space="preserve"> </w:t>
      </w:r>
      <w:r w:rsidRPr="00646A34">
        <w:rPr>
          <w:i/>
          <w:lang w:val="fr-FR"/>
        </w:rPr>
        <w:t>module 1 intitulé “Le service d</w:t>
      </w:r>
      <w:r w:rsidR="00F72F8E" w:rsidRPr="00646A34">
        <w:rPr>
          <w:i/>
          <w:lang w:val="fr-FR"/>
        </w:rPr>
        <w:t>’</w:t>
      </w:r>
      <w:r w:rsidRPr="00646A34">
        <w:rPr>
          <w:i/>
          <w:lang w:val="fr-FR"/>
        </w:rPr>
        <w:t>octroi des droits d</w:t>
      </w:r>
      <w:r w:rsidR="00F72F8E" w:rsidRPr="00646A34">
        <w:rPr>
          <w:i/>
          <w:lang w:val="fr-FR"/>
        </w:rPr>
        <w:t>’</w:t>
      </w:r>
      <w:r w:rsidRPr="00646A34">
        <w:rPr>
          <w:i/>
          <w:lang w:val="fr-FR"/>
        </w:rPr>
        <w:t>obtenteur”</w:t>
      </w:r>
      <w:r w:rsidR="004E5B9C" w:rsidRPr="00646A34">
        <w:rPr>
          <w:i/>
          <w:lang w:val="fr-FR"/>
        </w:rPr>
        <w:t>.</w:t>
      </w:r>
    </w:p>
    <w:p w:rsidR="00827851" w:rsidRPr="00646A34" w:rsidRDefault="00827851" w:rsidP="004E5B9C">
      <w:pPr>
        <w:rPr>
          <w:lang w:val="fr-FR"/>
        </w:rPr>
      </w:pPr>
    </w:p>
    <w:p w:rsidR="00827851" w:rsidRPr="00646A34" w:rsidRDefault="00827851" w:rsidP="004E5B9C">
      <w:pPr>
        <w:rPr>
          <w:lang w:val="fr-FR"/>
        </w:rPr>
      </w:pPr>
    </w:p>
    <w:p w:rsidR="00827851" w:rsidRPr="00646A34" w:rsidRDefault="004E5B9C" w:rsidP="004E5B9C">
      <w:pPr>
        <w:rPr>
          <w:lang w:val="fr-FR"/>
        </w:rPr>
      </w:pPr>
      <w:r w:rsidRPr="00646A34">
        <w:rPr>
          <w:lang w:val="fr-FR"/>
        </w:rPr>
        <w:br w:type="page"/>
      </w:r>
    </w:p>
    <w:p w:rsidR="00827851" w:rsidRPr="00646A34" w:rsidRDefault="00B12C1D" w:rsidP="004E5B9C">
      <w:pPr>
        <w:rPr>
          <w:lang w:val="fr-FR"/>
        </w:rPr>
      </w:pPr>
      <w:bookmarkStart w:id="32" w:name="_Toc378597572"/>
      <w:bookmarkStart w:id="33" w:name="_Toc381102841"/>
      <w:bookmarkStart w:id="34" w:name="_Toc381102871"/>
      <w:r w:rsidRPr="00646A34">
        <w:rPr>
          <w:lang w:val="fr-FR"/>
        </w:rPr>
        <w:lastRenderedPageBreak/>
        <w:t>DEMANDE DE DROITS D</w:t>
      </w:r>
      <w:r w:rsidR="00F72F8E" w:rsidRPr="00646A34">
        <w:rPr>
          <w:lang w:val="fr-FR"/>
        </w:rPr>
        <w:t>’</w:t>
      </w:r>
      <w:r w:rsidRPr="00646A34">
        <w:rPr>
          <w:lang w:val="fr-FR"/>
        </w:rPr>
        <w:t xml:space="preserve">OBTENTEUR </w:t>
      </w:r>
      <w:r w:rsidR="004E5B9C" w:rsidRPr="00646A34">
        <w:rPr>
          <w:lang w:val="fr-FR"/>
        </w:rPr>
        <w:t>(</w:t>
      </w:r>
      <w:r w:rsidRPr="00646A34">
        <w:rPr>
          <w:caps/>
          <w:lang w:val="fr-FR"/>
        </w:rPr>
        <w:t>voir la note</w:t>
      </w:r>
      <w:r w:rsidR="00071A28" w:rsidRPr="00646A34">
        <w:rPr>
          <w:caps/>
          <w:lang w:val="fr-FR"/>
        </w:rPr>
        <w:t> </w:t>
      </w:r>
      <w:r w:rsidRPr="00646A34">
        <w:rPr>
          <w:caps/>
          <w:lang w:val="fr-FR"/>
        </w:rPr>
        <w:t>a du diagramme figurant dans le Module 1</w:t>
      </w:r>
      <w:r w:rsidR="004E5B9C" w:rsidRPr="00646A34">
        <w:rPr>
          <w:lang w:val="fr-FR"/>
        </w:rPr>
        <w:t>)</w:t>
      </w:r>
      <w:bookmarkEnd w:id="32"/>
      <w:bookmarkEnd w:id="33"/>
      <w:bookmarkEnd w:id="34"/>
    </w:p>
    <w:p w:rsidR="00827851" w:rsidRPr="00646A34" w:rsidRDefault="00827851" w:rsidP="004E5B9C">
      <w:pPr>
        <w:rPr>
          <w:lang w:val="fr-FR"/>
        </w:rPr>
      </w:pPr>
    </w:p>
    <w:p w:rsidR="00827851" w:rsidRPr="00646A34" w:rsidRDefault="004E5B9C" w:rsidP="004E5B9C">
      <w:pPr>
        <w:rPr>
          <w:u w:val="single"/>
          <w:lang w:val="fr-FR"/>
        </w:rPr>
      </w:pPr>
      <w:bookmarkStart w:id="35" w:name="_Toc381102842"/>
      <w:bookmarkStart w:id="36" w:name="_Toc381102872"/>
      <w:r w:rsidRPr="00646A34">
        <w:rPr>
          <w:u w:val="single"/>
          <w:lang w:val="fr-FR"/>
        </w:rPr>
        <w:t>Introduction</w:t>
      </w:r>
      <w:bookmarkEnd w:id="35"/>
      <w:bookmarkEnd w:id="36"/>
    </w:p>
    <w:p w:rsidR="00827851" w:rsidRPr="00646A34" w:rsidRDefault="00827851" w:rsidP="004E5B9C">
      <w:pPr>
        <w:rPr>
          <w:lang w:val="fr-FR"/>
        </w:rPr>
      </w:pPr>
    </w:p>
    <w:p w:rsidR="00F72F8E" w:rsidRPr="00646A34" w:rsidRDefault="00B12C1D" w:rsidP="00B12C1D">
      <w:pPr>
        <w:rPr>
          <w:lang w:val="fr-FR"/>
        </w:rPr>
      </w:pPr>
      <w:r w:rsidRPr="00646A34">
        <w:rPr>
          <w:lang w:val="fr-FR"/>
        </w:rPr>
        <w:t>Avant de recevoir les demandes de droits d</w:t>
      </w:r>
      <w:r w:rsidR="00F72F8E" w:rsidRPr="00646A34">
        <w:rPr>
          <w:lang w:val="fr-FR"/>
        </w:rPr>
        <w:t>’</w:t>
      </w:r>
      <w:r w:rsidRPr="00646A34">
        <w:rPr>
          <w:lang w:val="fr-FR"/>
        </w:rPr>
        <w:t>obtenteur, le service d</w:t>
      </w:r>
      <w:r w:rsidR="00F72F8E" w:rsidRPr="00646A34">
        <w:rPr>
          <w:lang w:val="fr-FR"/>
        </w:rPr>
        <w:t>’</w:t>
      </w:r>
      <w:r w:rsidRPr="00646A34">
        <w:rPr>
          <w:lang w:val="fr-FR"/>
        </w:rPr>
        <w:t>octroi des droits d</w:t>
      </w:r>
      <w:r w:rsidR="00F72F8E" w:rsidRPr="00646A34">
        <w:rPr>
          <w:lang w:val="fr-FR"/>
        </w:rPr>
        <w:t>’</w:t>
      </w:r>
      <w:r w:rsidRPr="00646A34">
        <w:rPr>
          <w:lang w:val="fr-FR"/>
        </w:rPr>
        <w:t>obtenteur doit avoir établi les formulaires appropriés et être en mesure d</w:t>
      </w:r>
      <w:r w:rsidR="00F72F8E" w:rsidRPr="00646A34">
        <w:rPr>
          <w:lang w:val="fr-FR"/>
        </w:rPr>
        <w:t>’</w:t>
      </w:r>
      <w:r w:rsidRPr="00646A34">
        <w:rPr>
          <w:lang w:val="fr-FR"/>
        </w:rPr>
        <w:t>attribuer une date et une heure de dépôt.</w:t>
      </w:r>
    </w:p>
    <w:p w:rsidR="00B12C1D" w:rsidRPr="00646A34" w:rsidRDefault="00B12C1D" w:rsidP="00B12C1D">
      <w:pPr>
        <w:rPr>
          <w:lang w:val="fr-FR"/>
        </w:rPr>
      </w:pPr>
    </w:p>
    <w:p w:rsidR="00F72F8E" w:rsidRPr="00646A34" w:rsidRDefault="00B12C1D" w:rsidP="00B12C1D">
      <w:pPr>
        <w:rPr>
          <w:lang w:val="fr-FR"/>
        </w:rPr>
      </w:pPr>
      <w:r w:rsidRPr="00646A34">
        <w:rPr>
          <w:lang w:val="fr-FR"/>
        </w:rPr>
        <w:t>Les dispositions juridiques en vigueur dans certains membres de l</w:t>
      </w:r>
      <w:r w:rsidR="00F72F8E" w:rsidRPr="00646A34">
        <w:rPr>
          <w:lang w:val="fr-FR"/>
        </w:rPr>
        <w:t>’</w:t>
      </w:r>
      <w:r w:rsidRPr="00646A34">
        <w:rPr>
          <w:lang w:val="fr-FR"/>
        </w:rPr>
        <w:t>UPOV autorisent le dépôt de demandes sur papier uniquement.  D</w:t>
      </w:r>
      <w:r w:rsidR="00F72F8E" w:rsidRPr="00646A34">
        <w:rPr>
          <w:lang w:val="fr-FR"/>
        </w:rPr>
        <w:t>’</w:t>
      </w:r>
      <w:r w:rsidRPr="00646A34">
        <w:rPr>
          <w:lang w:val="fr-FR"/>
        </w:rPr>
        <w:t>autres membres autorisent l</w:t>
      </w:r>
      <w:r w:rsidR="00F72F8E" w:rsidRPr="00646A34">
        <w:rPr>
          <w:lang w:val="fr-FR"/>
        </w:rPr>
        <w:t>’</w:t>
      </w:r>
      <w:r w:rsidRPr="00646A34">
        <w:rPr>
          <w:lang w:val="fr-FR"/>
        </w:rPr>
        <w:t>utilisation de formulaires de demande électroniques pour remplacer ou compléter les demandes sur papier, ce qui facilite l</w:t>
      </w:r>
      <w:r w:rsidR="00F72F8E" w:rsidRPr="00646A34">
        <w:rPr>
          <w:lang w:val="fr-FR"/>
        </w:rPr>
        <w:t>’</w:t>
      </w:r>
      <w:r w:rsidRPr="00646A34">
        <w:rPr>
          <w:lang w:val="fr-FR"/>
        </w:rPr>
        <w:t>utilisation des bases de données et la gestion de l</w:t>
      </w:r>
      <w:r w:rsidR="00F72F8E" w:rsidRPr="00646A34">
        <w:rPr>
          <w:lang w:val="fr-FR"/>
        </w:rPr>
        <w:t>’</w:t>
      </w:r>
      <w:r w:rsidRPr="00646A34">
        <w:rPr>
          <w:lang w:val="fr-FR"/>
        </w:rPr>
        <w:t>information.  Afin de pouvoir accepter les demandes sous forme électronique, les membres de l</w:t>
      </w:r>
      <w:r w:rsidR="00F72F8E" w:rsidRPr="00646A34">
        <w:rPr>
          <w:lang w:val="fr-FR"/>
        </w:rPr>
        <w:t>’</w:t>
      </w:r>
      <w:r w:rsidRPr="00646A34">
        <w:rPr>
          <w:lang w:val="fr-FR"/>
        </w:rPr>
        <w:t>UPOV devront peut</w:t>
      </w:r>
      <w:r w:rsidR="00DF28A5" w:rsidRPr="00646A34">
        <w:rPr>
          <w:lang w:val="fr-FR"/>
        </w:rPr>
        <w:noBreakHyphen/>
      </w:r>
      <w:r w:rsidRPr="00646A34">
        <w:rPr>
          <w:lang w:val="fr-FR"/>
        </w:rPr>
        <w:t>être mettre en place des systèmes auxiliaires dédiés, par exemple, à la reconnaissance des signatures numériques, au paiement électronique ou à des questions de sécurité.</w:t>
      </w:r>
    </w:p>
    <w:p w:rsidR="00B12C1D" w:rsidRPr="00646A34" w:rsidRDefault="00B12C1D" w:rsidP="00B12C1D">
      <w:pPr>
        <w:rPr>
          <w:lang w:val="fr-FR"/>
        </w:rPr>
      </w:pPr>
    </w:p>
    <w:p w:rsidR="00827851" w:rsidRPr="00646A34" w:rsidRDefault="00B12C1D" w:rsidP="00B12C1D">
      <w:pPr>
        <w:rPr>
          <w:rFonts w:cs="Arial"/>
          <w:u w:val="single"/>
          <w:lang w:val="fr-FR"/>
        </w:rPr>
      </w:pPr>
      <w:r w:rsidRPr="00646A34">
        <w:rPr>
          <w:lang w:val="fr-FR"/>
        </w:rPr>
        <w:t>Les demandes de protection doivent être administrées par le service d</w:t>
      </w:r>
      <w:r w:rsidR="00F72F8E" w:rsidRPr="00646A34">
        <w:rPr>
          <w:lang w:val="fr-FR"/>
        </w:rPr>
        <w:t>’</w:t>
      </w:r>
      <w:r w:rsidRPr="00646A34">
        <w:rPr>
          <w:lang w:val="fr-FR"/>
        </w:rPr>
        <w:t>octroi des droits d</w:t>
      </w:r>
      <w:r w:rsidR="00F72F8E" w:rsidRPr="00646A34">
        <w:rPr>
          <w:lang w:val="fr-FR"/>
        </w:rPr>
        <w:t>’</w:t>
      </w:r>
      <w:r w:rsidRPr="00646A34">
        <w:rPr>
          <w:lang w:val="fr-FR"/>
        </w:rPr>
        <w:t>obtenteur et leur gestion peut nécessiter l</w:t>
      </w:r>
      <w:r w:rsidR="00F72F8E" w:rsidRPr="00646A34">
        <w:rPr>
          <w:lang w:val="fr-FR"/>
        </w:rPr>
        <w:t>’</w:t>
      </w:r>
      <w:r w:rsidRPr="00646A34">
        <w:rPr>
          <w:lang w:val="fr-FR"/>
        </w:rPr>
        <w:t>utilisation de logiciels précis.  Le partage de logiciels entre membres de l</w:t>
      </w:r>
      <w:r w:rsidR="00F72F8E" w:rsidRPr="00646A34">
        <w:rPr>
          <w:lang w:val="fr-FR"/>
        </w:rPr>
        <w:t>’</w:t>
      </w:r>
      <w:r w:rsidRPr="00646A34">
        <w:rPr>
          <w:lang w:val="fr-FR"/>
        </w:rPr>
        <w:t>UPOV constitue un moyen essentiel d</w:t>
      </w:r>
      <w:r w:rsidR="00F72F8E" w:rsidRPr="00646A34">
        <w:rPr>
          <w:lang w:val="fr-FR"/>
        </w:rPr>
        <w:t>’</w:t>
      </w:r>
      <w:r w:rsidRPr="00646A34">
        <w:rPr>
          <w:lang w:val="fr-FR"/>
        </w:rPr>
        <w:t>appui à l</w:t>
      </w:r>
      <w:r w:rsidR="00F72F8E" w:rsidRPr="00646A34">
        <w:rPr>
          <w:lang w:val="fr-FR"/>
        </w:rPr>
        <w:t>’</w:t>
      </w:r>
      <w:r w:rsidRPr="00646A34">
        <w:rPr>
          <w:lang w:val="fr-FR"/>
        </w:rPr>
        <w:t>administration des demandes et à l</w:t>
      </w:r>
      <w:r w:rsidR="00F72F8E" w:rsidRPr="00646A34">
        <w:rPr>
          <w:lang w:val="fr-FR"/>
        </w:rPr>
        <w:t>’</w:t>
      </w:r>
      <w:r w:rsidRPr="00646A34">
        <w:rPr>
          <w:lang w:val="fr-FR"/>
        </w:rPr>
        <w:t>examen des variétés.  Des informations sur le partage de logiciels entre membres de l</w:t>
      </w:r>
      <w:r w:rsidR="00F72F8E" w:rsidRPr="00646A34">
        <w:rPr>
          <w:lang w:val="fr-FR"/>
        </w:rPr>
        <w:t>’</w:t>
      </w:r>
      <w:r w:rsidRPr="00646A34">
        <w:rPr>
          <w:lang w:val="fr-FR"/>
        </w:rPr>
        <w:t xml:space="preserve">UPOV figurent dans le </w:t>
      </w:r>
      <w:r w:rsidR="00F72F8E" w:rsidRPr="00646A34">
        <w:rPr>
          <w:lang w:val="fr-FR"/>
        </w:rPr>
        <w:t>document UP</w:t>
      </w:r>
      <w:r w:rsidRPr="00646A34">
        <w:rPr>
          <w:lang w:val="fr-FR"/>
        </w:rPr>
        <w:t xml:space="preserve">OV/INF/16 “Logiciels échangeables” </w:t>
      </w:r>
      <w:r w:rsidR="004E5B9C" w:rsidRPr="00646A34">
        <w:rPr>
          <w:lang w:val="fr-FR"/>
        </w:rPr>
        <w:t>(</w:t>
      </w:r>
      <w:r w:rsidRPr="00646A34">
        <w:rPr>
          <w:lang w:val="fr-FR"/>
        </w:rPr>
        <w:t>disponible à l</w:t>
      </w:r>
      <w:r w:rsidR="00F72F8E" w:rsidRPr="00646A34">
        <w:rPr>
          <w:lang w:val="fr-FR"/>
        </w:rPr>
        <w:t>’</w:t>
      </w:r>
      <w:r w:rsidRPr="00646A34">
        <w:rPr>
          <w:lang w:val="fr-FR"/>
        </w:rPr>
        <w:t xml:space="preserve">adresse </w:t>
      </w:r>
      <w:hyperlink r:id="rId16" w:history="1">
        <w:r w:rsidRPr="00646A34">
          <w:rPr>
            <w:rFonts w:cs="Arial"/>
            <w:u w:val="single"/>
            <w:lang w:val="fr-FR"/>
          </w:rPr>
          <w:t>http://www.upov.int/information_documents/fr/</w:t>
        </w:r>
      </w:hyperlink>
      <w:r w:rsidR="004E5B9C" w:rsidRPr="00646A34">
        <w:rPr>
          <w:lang w:val="fr-FR"/>
        </w:rPr>
        <w:t>)</w:t>
      </w:r>
      <w:r w:rsidRPr="00646A34">
        <w:rPr>
          <w:lang w:val="fr-FR"/>
        </w:rPr>
        <w:t>.</w:t>
      </w:r>
    </w:p>
    <w:p w:rsidR="00827851" w:rsidRPr="00646A34" w:rsidRDefault="00827851" w:rsidP="004E5B9C">
      <w:pPr>
        <w:rPr>
          <w:lang w:val="fr-FR"/>
        </w:rPr>
      </w:pPr>
    </w:p>
    <w:p w:rsidR="00827851" w:rsidRPr="00646A34" w:rsidRDefault="00827851" w:rsidP="004E5B9C">
      <w:pPr>
        <w:rPr>
          <w:lang w:val="fr-FR"/>
        </w:rPr>
      </w:pPr>
    </w:p>
    <w:p w:rsidR="00660557" w:rsidRPr="00646A34" w:rsidRDefault="00660557" w:rsidP="003E450C">
      <w:pPr>
        <w:rPr>
          <w:u w:val="single"/>
          <w:lang w:val="fr-FR"/>
        </w:rPr>
      </w:pPr>
      <w:r w:rsidRPr="00646A34">
        <w:rPr>
          <w:u w:val="single"/>
          <w:lang w:val="fr-FR"/>
        </w:rPr>
        <w:t>Élaboration de formulaires</w:t>
      </w:r>
    </w:p>
    <w:p w:rsidR="00660557" w:rsidRPr="00646A34" w:rsidRDefault="00660557" w:rsidP="003E450C">
      <w:pPr>
        <w:rPr>
          <w:lang w:val="fr-FR"/>
        </w:rPr>
      </w:pPr>
    </w:p>
    <w:p w:rsidR="00F72F8E" w:rsidRPr="00646A34" w:rsidRDefault="003E450C" w:rsidP="003E450C">
      <w:pPr>
        <w:rPr>
          <w:lang w:val="fr-FR"/>
        </w:rPr>
      </w:pPr>
      <w:r w:rsidRPr="00646A34">
        <w:rPr>
          <w:lang w:val="fr-FR"/>
        </w:rPr>
        <w:t>En vue de faciliter la mise en œuvre des procédures de dépôt des demandes de protection des obtentions végétales, l</w:t>
      </w:r>
      <w:r w:rsidR="00F72F8E" w:rsidRPr="00646A34">
        <w:rPr>
          <w:lang w:val="fr-FR"/>
        </w:rPr>
        <w:t>’</w:t>
      </w:r>
      <w:r w:rsidRPr="00646A34">
        <w:rPr>
          <w:lang w:val="fr-FR"/>
        </w:rPr>
        <w:t>UPOV a établi des formulaires types qui peuvent être utilisés par les services d</w:t>
      </w:r>
      <w:r w:rsidR="00F72F8E" w:rsidRPr="00646A34">
        <w:rPr>
          <w:lang w:val="fr-FR"/>
        </w:rPr>
        <w:t>’</w:t>
      </w:r>
      <w:r w:rsidRPr="00646A34">
        <w:rPr>
          <w:lang w:val="fr-FR"/>
        </w:rPr>
        <w:t>octroi des droits d</w:t>
      </w:r>
      <w:r w:rsidR="00F72F8E" w:rsidRPr="00646A34">
        <w:rPr>
          <w:lang w:val="fr-FR"/>
        </w:rPr>
        <w:t>’</w:t>
      </w:r>
      <w:r w:rsidRPr="00646A34">
        <w:rPr>
          <w:lang w:val="fr-FR"/>
        </w:rPr>
        <w:t>obtenteur dans un cadre national ou régional.</w:t>
      </w:r>
    </w:p>
    <w:p w:rsidR="003E450C" w:rsidRPr="00646A34" w:rsidRDefault="003E450C" w:rsidP="003E450C">
      <w:pPr>
        <w:rPr>
          <w:lang w:val="fr-FR"/>
        </w:rPr>
      </w:pPr>
    </w:p>
    <w:p w:rsidR="003E450C" w:rsidRPr="00646A34" w:rsidRDefault="003E450C" w:rsidP="003E450C">
      <w:pPr>
        <w:keepNext/>
        <w:outlineLvl w:val="2"/>
        <w:rPr>
          <w:i/>
          <w:lang w:val="fr-FR"/>
        </w:rPr>
      </w:pPr>
      <w:bookmarkStart w:id="37" w:name="_Toc382814020"/>
      <w:bookmarkStart w:id="38" w:name="_Toc378597574"/>
      <w:r w:rsidRPr="00646A34">
        <w:rPr>
          <w:i/>
          <w:lang w:val="fr-FR"/>
        </w:rPr>
        <w:t>Formulaire type de demande élaboré par l</w:t>
      </w:r>
      <w:r w:rsidR="00F72F8E" w:rsidRPr="00646A34">
        <w:rPr>
          <w:i/>
          <w:lang w:val="fr-FR"/>
        </w:rPr>
        <w:t>’</w:t>
      </w:r>
      <w:r w:rsidRPr="00646A34">
        <w:rPr>
          <w:i/>
          <w:lang w:val="fr-FR"/>
        </w:rPr>
        <w:t>UPOV</w:t>
      </w:r>
      <w:bookmarkEnd w:id="37"/>
      <w:bookmarkEnd w:id="38"/>
    </w:p>
    <w:p w:rsidR="00827851" w:rsidRPr="00646A34" w:rsidRDefault="00827851" w:rsidP="004E5B9C">
      <w:pPr>
        <w:keepNext/>
        <w:rPr>
          <w:u w:val="single"/>
          <w:lang w:val="fr-FR"/>
        </w:rPr>
      </w:pPr>
    </w:p>
    <w:p w:rsidR="003E450C" w:rsidRPr="00646A34" w:rsidRDefault="003E450C" w:rsidP="003E450C">
      <w:pPr>
        <w:rPr>
          <w:lang w:val="fr-FR"/>
        </w:rPr>
      </w:pPr>
      <w:r w:rsidRPr="00646A34">
        <w:rPr>
          <w:lang w:val="fr-FR"/>
        </w:rPr>
        <w:t xml:space="preserve">Le </w:t>
      </w:r>
      <w:r w:rsidR="00F72F8E" w:rsidRPr="00646A34">
        <w:rPr>
          <w:lang w:val="fr-FR"/>
        </w:rPr>
        <w:t>document TG</w:t>
      </w:r>
      <w:r w:rsidRPr="00646A34">
        <w:rPr>
          <w:lang w:val="fr-FR"/>
        </w:rPr>
        <w:t>P/5 intitulé “Expérience et coopération en matière d</w:t>
      </w:r>
      <w:r w:rsidR="00F72F8E" w:rsidRPr="00646A34">
        <w:rPr>
          <w:lang w:val="fr-FR"/>
        </w:rPr>
        <w:t>’</w:t>
      </w:r>
      <w:r w:rsidRPr="00646A34">
        <w:rPr>
          <w:lang w:val="fr-FR"/>
        </w:rPr>
        <w:t>examen</w:t>
      </w:r>
      <w:r w:rsidR="00395B04" w:rsidRPr="00646A34">
        <w:rPr>
          <w:lang w:val="fr-FR"/>
        </w:rPr>
        <w:t> </w:t>
      </w:r>
      <w:r w:rsidRPr="00646A34">
        <w:rPr>
          <w:lang w:val="fr-FR"/>
        </w:rPr>
        <w:t>DHS” contient le “Formulaire type de l</w:t>
      </w:r>
      <w:r w:rsidR="00F72F8E" w:rsidRPr="00646A34">
        <w:rPr>
          <w:lang w:val="fr-FR"/>
        </w:rPr>
        <w:t>’</w:t>
      </w:r>
      <w:r w:rsidRPr="00646A34">
        <w:rPr>
          <w:lang w:val="fr-FR"/>
        </w:rPr>
        <w:t>UPOV pour la demande de protection d</w:t>
      </w:r>
      <w:r w:rsidR="00F72F8E" w:rsidRPr="00646A34">
        <w:rPr>
          <w:lang w:val="fr-FR"/>
        </w:rPr>
        <w:t>’</w:t>
      </w:r>
      <w:r w:rsidRPr="00646A34">
        <w:rPr>
          <w:lang w:val="fr-FR"/>
        </w:rPr>
        <w:t>une obtention végétale” (</w:t>
      </w:r>
      <w:hyperlink r:id="rId17" w:history="1">
        <w:r w:rsidRPr="00646A34">
          <w:rPr>
            <w:rFonts w:cs="Arial"/>
            <w:lang w:val="fr-FR"/>
          </w:rPr>
          <w:t>TGP/5, Section</w:t>
        </w:r>
        <w:r w:rsidR="00395B04" w:rsidRPr="00646A34">
          <w:rPr>
            <w:rFonts w:cs="Arial"/>
            <w:lang w:val="fr-FR"/>
          </w:rPr>
          <w:t> </w:t>
        </w:r>
        <w:r w:rsidRPr="00646A34">
          <w:rPr>
            <w:rFonts w:cs="Arial"/>
            <w:lang w:val="fr-FR"/>
          </w:rPr>
          <w:t>2</w:t>
        </w:r>
      </w:hyperlink>
      <w:r w:rsidRPr="00646A34">
        <w:rPr>
          <w:lang w:val="fr-FR"/>
        </w:rPr>
        <w:t>).  Le formulaire type de l</w:t>
      </w:r>
      <w:r w:rsidR="00F72F8E" w:rsidRPr="00646A34">
        <w:rPr>
          <w:lang w:val="fr-FR"/>
        </w:rPr>
        <w:t>’</w:t>
      </w:r>
      <w:r w:rsidRPr="00646A34">
        <w:rPr>
          <w:lang w:val="fr-FR"/>
        </w:rPr>
        <w:t>UPOV se présente comme dans l</w:t>
      </w:r>
      <w:r w:rsidR="00F72F8E" w:rsidRPr="00646A34">
        <w:rPr>
          <w:lang w:val="fr-FR"/>
        </w:rPr>
        <w:t>’</w:t>
      </w:r>
      <w:r w:rsidRPr="00646A34">
        <w:rPr>
          <w:lang w:val="fr-FR"/>
        </w:rPr>
        <w:t>extrait figurant à la page suivante (disponible à l</w:t>
      </w:r>
      <w:r w:rsidR="00F72F8E" w:rsidRPr="00646A34">
        <w:rPr>
          <w:lang w:val="fr-FR"/>
        </w:rPr>
        <w:t>’</w:t>
      </w:r>
      <w:r w:rsidRPr="00646A34">
        <w:rPr>
          <w:lang w:val="fr-FR"/>
        </w:rPr>
        <w:t>adresse</w:t>
      </w:r>
      <w:r w:rsidR="00E16F72" w:rsidRPr="00646A34">
        <w:rPr>
          <w:lang w:val="fr-FR"/>
        </w:rPr>
        <w:t xml:space="preserve"> </w:t>
      </w:r>
      <w:hyperlink r:id="rId18" w:history="1">
        <w:r w:rsidR="00E16F72" w:rsidRPr="00646A34">
          <w:rPr>
            <w:rStyle w:val="Hyperlink"/>
            <w:lang w:val="fr-FR"/>
          </w:rPr>
          <w:t>http://www.upov.int/tgp/fr/</w:t>
        </w:r>
      </w:hyperlink>
      <w:r w:rsidRPr="00646A34">
        <w:rPr>
          <w:lang w:val="fr-FR"/>
        </w:rPr>
        <w:t>).</w:t>
      </w:r>
    </w:p>
    <w:p w:rsidR="003E450C" w:rsidRPr="00646A34" w:rsidRDefault="003E450C" w:rsidP="003E450C">
      <w:pPr>
        <w:rPr>
          <w:lang w:val="fr-FR"/>
        </w:rPr>
      </w:pPr>
    </w:p>
    <w:p w:rsidR="00F72F8E" w:rsidRPr="00646A34" w:rsidRDefault="003E450C" w:rsidP="003E450C">
      <w:pPr>
        <w:autoSpaceDE w:val="0"/>
        <w:autoSpaceDN w:val="0"/>
        <w:adjustRightInd w:val="0"/>
        <w:rPr>
          <w:lang w:val="fr-FR"/>
        </w:rPr>
      </w:pPr>
      <w:r w:rsidRPr="00646A34">
        <w:rPr>
          <w:lang w:val="fr-FR"/>
        </w:rPr>
        <w:t>Lors de la conversion du formulaire type de l</w:t>
      </w:r>
      <w:r w:rsidR="00F72F8E" w:rsidRPr="00646A34">
        <w:rPr>
          <w:lang w:val="fr-FR"/>
        </w:rPr>
        <w:t>’</w:t>
      </w:r>
      <w:r w:rsidRPr="00646A34">
        <w:rPr>
          <w:lang w:val="fr-FR"/>
        </w:rPr>
        <w:t>UPOV en formulaire propre à un service d</w:t>
      </w:r>
      <w:r w:rsidR="00F72F8E" w:rsidRPr="00646A34">
        <w:rPr>
          <w:lang w:val="fr-FR"/>
        </w:rPr>
        <w:t>’</w:t>
      </w:r>
      <w:r w:rsidRPr="00646A34">
        <w:rPr>
          <w:lang w:val="fr-FR"/>
        </w:rPr>
        <w:t>octroi des droits d</w:t>
      </w:r>
      <w:r w:rsidR="00F72F8E" w:rsidRPr="00646A34">
        <w:rPr>
          <w:lang w:val="fr-FR"/>
        </w:rPr>
        <w:t>’</w:t>
      </w:r>
      <w:r w:rsidRPr="00646A34">
        <w:rPr>
          <w:lang w:val="fr-FR"/>
        </w:rPr>
        <w:t>obtenteur et lors de l</w:t>
      </w:r>
      <w:r w:rsidR="00F72F8E" w:rsidRPr="00646A34">
        <w:rPr>
          <w:lang w:val="fr-FR"/>
        </w:rPr>
        <w:t>’</w:t>
      </w:r>
      <w:r w:rsidRPr="00646A34">
        <w:rPr>
          <w:lang w:val="fr-FR"/>
        </w:rPr>
        <w:t>élaboration des instructions pour remplir le formulaire, la teneur de la législation applicable du membre de l</w:t>
      </w:r>
      <w:r w:rsidR="00F72F8E" w:rsidRPr="00646A34">
        <w:rPr>
          <w:lang w:val="fr-FR"/>
        </w:rPr>
        <w:t>’</w:t>
      </w:r>
      <w:r w:rsidRPr="00646A34">
        <w:rPr>
          <w:lang w:val="fr-FR"/>
        </w:rPr>
        <w:t>UPOV, ainsi que la terminologie utilisée dans cette législation doivent être prises en considération.  Afin que le formulaire type puisse jouer son rôle, il est essentiel que la disposition, l</w:t>
      </w:r>
      <w:r w:rsidR="00F72F8E" w:rsidRPr="00646A34">
        <w:rPr>
          <w:lang w:val="fr-FR"/>
        </w:rPr>
        <w:t>’</w:t>
      </w:r>
      <w:r w:rsidRPr="00646A34">
        <w:rPr>
          <w:lang w:val="fr-FR"/>
        </w:rPr>
        <w:t>objet et la numérotation des rubriques soient respectés dans les formulaires propres à un service donné.</w:t>
      </w:r>
    </w:p>
    <w:p w:rsidR="003E450C" w:rsidRPr="00646A34" w:rsidRDefault="003E450C" w:rsidP="003E450C">
      <w:pPr>
        <w:autoSpaceDE w:val="0"/>
        <w:autoSpaceDN w:val="0"/>
        <w:adjustRightInd w:val="0"/>
        <w:rPr>
          <w:lang w:val="fr-FR"/>
        </w:rPr>
      </w:pPr>
    </w:p>
    <w:p w:rsidR="00F72F8E" w:rsidRPr="00646A34" w:rsidRDefault="003E450C" w:rsidP="003E450C">
      <w:pPr>
        <w:autoSpaceDE w:val="0"/>
        <w:autoSpaceDN w:val="0"/>
        <w:adjustRightInd w:val="0"/>
        <w:rPr>
          <w:lang w:val="fr-FR"/>
        </w:rPr>
      </w:pPr>
      <w:r w:rsidRPr="00646A34">
        <w:rPr>
          <w:lang w:val="fr-FR"/>
        </w:rPr>
        <w:t>Un renvoi normalisé de l</w:t>
      </w:r>
      <w:r w:rsidR="00F72F8E" w:rsidRPr="00646A34">
        <w:rPr>
          <w:lang w:val="fr-FR"/>
        </w:rPr>
        <w:t>’</w:t>
      </w:r>
      <w:r w:rsidRPr="00646A34">
        <w:rPr>
          <w:lang w:val="fr-FR"/>
        </w:rPr>
        <w:t>UPOV a été fourni pour chaque champ du formulaire type de l</w:t>
      </w:r>
      <w:r w:rsidR="00F72F8E" w:rsidRPr="00646A34">
        <w:rPr>
          <w:lang w:val="fr-FR"/>
        </w:rPr>
        <w:t>’</w:t>
      </w:r>
      <w:r w:rsidRPr="00646A34">
        <w:rPr>
          <w:lang w:val="fr-FR"/>
        </w:rPr>
        <w:t>UPOV.</w:t>
      </w:r>
      <w:r w:rsidR="006F789C" w:rsidRPr="00646A34">
        <w:rPr>
          <w:lang w:val="fr-FR"/>
        </w:rPr>
        <w:t xml:space="preserve">  Par exemple, pour le point 1.</w:t>
      </w:r>
      <w:r w:rsidRPr="00646A34">
        <w:rPr>
          <w:lang w:val="fr-FR"/>
        </w:rPr>
        <w:t>a) “Demandeur(s) Nom(s)”, le renvoi normalisé de l</w:t>
      </w:r>
      <w:r w:rsidR="00F72F8E" w:rsidRPr="00646A34">
        <w:rPr>
          <w:lang w:val="fr-FR"/>
        </w:rPr>
        <w:t>’</w:t>
      </w:r>
      <w:r w:rsidR="006F789C" w:rsidRPr="00646A34">
        <w:rPr>
          <w:lang w:val="fr-FR"/>
        </w:rPr>
        <w:t>UPOV est “UPOV A1 : 1a)</w:t>
      </w:r>
      <w:r w:rsidRPr="00646A34">
        <w:rPr>
          <w:lang w:val="fr-FR"/>
        </w:rPr>
        <w:t>i)”.  Pour faciliter l</w:t>
      </w:r>
      <w:r w:rsidR="00F72F8E" w:rsidRPr="00646A34">
        <w:rPr>
          <w:lang w:val="fr-FR"/>
        </w:rPr>
        <w:t>’</w:t>
      </w:r>
      <w:r w:rsidRPr="00646A34">
        <w:rPr>
          <w:lang w:val="fr-FR"/>
        </w:rPr>
        <w:t>harmonisation et aider les déposants, un service peut inclure les renvois normalisés de l</w:t>
      </w:r>
      <w:r w:rsidR="00F72F8E" w:rsidRPr="00646A34">
        <w:rPr>
          <w:lang w:val="fr-FR"/>
        </w:rPr>
        <w:t>’</w:t>
      </w:r>
      <w:r w:rsidRPr="00646A34">
        <w:rPr>
          <w:lang w:val="fr-FR"/>
        </w:rPr>
        <w:t>UPOV dans les champs correspondants dans ses propres formulaires.  Il appartient à chaque service de déterminer si les champs dans ses propres formulaires correspondent de manière suffisamment précise à ceux figurant dans le formulaire de demande type de l</w:t>
      </w:r>
      <w:r w:rsidR="00F72F8E" w:rsidRPr="00646A34">
        <w:rPr>
          <w:lang w:val="fr-FR"/>
        </w:rPr>
        <w:t>’</w:t>
      </w:r>
      <w:r w:rsidRPr="00646A34">
        <w:rPr>
          <w:lang w:val="fr-FR"/>
        </w:rPr>
        <w:t>UPOV pour qu</w:t>
      </w:r>
      <w:r w:rsidR="00F72F8E" w:rsidRPr="00646A34">
        <w:rPr>
          <w:lang w:val="fr-FR"/>
        </w:rPr>
        <w:t>’</w:t>
      </w:r>
      <w:r w:rsidRPr="00646A34">
        <w:rPr>
          <w:lang w:val="fr-FR"/>
        </w:rPr>
        <w:t>il soit possible d</w:t>
      </w:r>
      <w:r w:rsidR="00F72F8E" w:rsidRPr="00646A34">
        <w:rPr>
          <w:lang w:val="fr-FR"/>
        </w:rPr>
        <w:t>’</w:t>
      </w:r>
      <w:r w:rsidRPr="00646A34">
        <w:rPr>
          <w:lang w:val="fr-FR"/>
        </w:rPr>
        <w:t>effectuer ces renvois.</w:t>
      </w:r>
    </w:p>
    <w:p w:rsidR="003E450C" w:rsidRPr="00646A34" w:rsidRDefault="003E450C" w:rsidP="003E450C">
      <w:pPr>
        <w:autoSpaceDE w:val="0"/>
        <w:autoSpaceDN w:val="0"/>
        <w:adjustRightInd w:val="0"/>
        <w:rPr>
          <w:lang w:val="fr-FR"/>
        </w:rPr>
      </w:pPr>
    </w:p>
    <w:p w:rsidR="00F72F8E" w:rsidRPr="00646A34" w:rsidRDefault="003E450C" w:rsidP="003E450C">
      <w:pPr>
        <w:autoSpaceDE w:val="0"/>
        <w:autoSpaceDN w:val="0"/>
        <w:adjustRightInd w:val="0"/>
        <w:rPr>
          <w:lang w:val="fr-FR"/>
        </w:rPr>
      </w:pPr>
      <w:r w:rsidRPr="00646A34">
        <w:rPr>
          <w:lang w:val="fr-FR"/>
        </w:rPr>
        <w:t xml:space="preserve">Le document </w:t>
      </w:r>
      <w:hyperlink r:id="rId19" w:history="1">
        <w:r w:rsidRPr="00646A34">
          <w:rPr>
            <w:rFonts w:cs="Arial"/>
            <w:lang w:val="fr-FR"/>
          </w:rPr>
          <w:t>TGP/5, Section</w:t>
        </w:r>
        <w:r w:rsidR="00395B04" w:rsidRPr="00646A34">
          <w:rPr>
            <w:rFonts w:cs="Arial"/>
            <w:lang w:val="fr-FR"/>
          </w:rPr>
          <w:t> </w:t>
        </w:r>
        <w:r w:rsidRPr="00646A34">
          <w:rPr>
            <w:rFonts w:cs="Arial"/>
            <w:lang w:val="fr-FR"/>
          </w:rPr>
          <w:t>2</w:t>
        </w:r>
      </w:hyperlink>
      <w:r w:rsidRPr="00646A34">
        <w:rPr>
          <w:lang w:val="fr-FR"/>
        </w:rPr>
        <w:t xml:space="preserve"> contient des informations plus détaillées sur les différentes rubriques du formulaire type de l</w:t>
      </w:r>
      <w:r w:rsidR="00F72F8E" w:rsidRPr="00646A34">
        <w:rPr>
          <w:lang w:val="fr-FR"/>
        </w:rPr>
        <w:t>’</w:t>
      </w:r>
      <w:r w:rsidRPr="00646A34">
        <w:rPr>
          <w:lang w:val="fr-FR"/>
        </w:rPr>
        <w:t>UPOV.</w:t>
      </w:r>
    </w:p>
    <w:p w:rsidR="00827851" w:rsidRPr="00646A34" w:rsidRDefault="00827851" w:rsidP="004E5B9C">
      <w:pPr>
        <w:rPr>
          <w:lang w:val="fr-FR"/>
        </w:rPr>
      </w:pPr>
    </w:p>
    <w:p w:rsidR="00827851" w:rsidRPr="00646A34" w:rsidRDefault="003E450C" w:rsidP="004E5B9C">
      <w:pPr>
        <w:rPr>
          <w:lang w:val="fr-FR"/>
        </w:rPr>
      </w:pPr>
      <w:r w:rsidRPr="00646A34">
        <w:rPr>
          <w:noProof/>
        </w:rPr>
        <w:lastRenderedPageBreak/>
        <w:drawing>
          <wp:inline distT="0" distB="0" distL="0" distR="0" wp14:anchorId="7A16021F" wp14:editId="395C689B">
            <wp:extent cx="5943600" cy="685038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6850380"/>
                    </a:xfrm>
                    <a:prstGeom prst="rect">
                      <a:avLst/>
                    </a:prstGeom>
                    <a:noFill/>
                    <a:ln>
                      <a:noFill/>
                    </a:ln>
                  </pic:spPr>
                </pic:pic>
              </a:graphicData>
            </a:graphic>
          </wp:inline>
        </w:drawing>
      </w:r>
    </w:p>
    <w:p w:rsidR="00827851" w:rsidRPr="00646A34" w:rsidRDefault="00827851" w:rsidP="004E5B9C">
      <w:pPr>
        <w:rPr>
          <w:lang w:val="fr-FR"/>
        </w:rPr>
      </w:pPr>
    </w:p>
    <w:p w:rsidR="000B2AC7" w:rsidRPr="00646A34" w:rsidRDefault="000B2AC7" w:rsidP="000B2AC7">
      <w:pPr>
        <w:keepNext/>
        <w:outlineLvl w:val="2"/>
        <w:rPr>
          <w:i/>
          <w:lang w:val="fr-FR"/>
        </w:rPr>
      </w:pPr>
      <w:bookmarkStart w:id="39" w:name="_Toc378597575"/>
      <w:bookmarkStart w:id="40" w:name="_Toc382814021"/>
      <w:r w:rsidRPr="00646A34">
        <w:rPr>
          <w:i/>
          <w:lang w:val="fr-FR"/>
        </w:rPr>
        <w:t>Questionnaire</w:t>
      </w:r>
      <w:bookmarkEnd w:id="39"/>
      <w:r w:rsidRPr="00646A34">
        <w:rPr>
          <w:i/>
          <w:lang w:val="fr-FR"/>
        </w:rPr>
        <w:t xml:space="preserve"> technique</w:t>
      </w:r>
      <w:bookmarkEnd w:id="40"/>
    </w:p>
    <w:p w:rsidR="000B2AC7" w:rsidRPr="00646A34" w:rsidRDefault="000B2AC7" w:rsidP="000B2AC7">
      <w:pPr>
        <w:rPr>
          <w:lang w:val="fr-FR"/>
        </w:rPr>
      </w:pPr>
    </w:p>
    <w:p w:rsidR="00F72F8E" w:rsidRPr="00646A34" w:rsidRDefault="000B2AC7" w:rsidP="000B2AC7">
      <w:pPr>
        <w:rPr>
          <w:lang w:val="fr-FR"/>
        </w:rPr>
      </w:pPr>
      <w:r w:rsidRPr="00646A34">
        <w:rPr>
          <w:lang w:val="fr-FR"/>
        </w:rPr>
        <w:t>Afin de faciliter le processus d</w:t>
      </w:r>
      <w:r w:rsidR="00F72F8E" w:rsidRPr="00646A34">
        <w:rPr>
          <w:lang w:val="fr-FR"/>
        </w:rPr>
        <w:t>’</w:t>
      </w:r>
      <w:r w:rsidRPr="00646A34">
        <w:rPr>
          <w:lang w:val="fr-FR"/>
        </w:rPr>
        <w:t>examen des variétés, l</w:t>
      </w:r>
      <w:r w:rsidR="00F72F8E" w:rsidRPr="00646A34">
        <w:rPr>
          <w:lang w:val="fr-FR"/>
        </w:rPr>
        <w:t>’</w:t>
      </w:r>
      <w:r w:rsidRPr="00646A34">
        <w:rPr>
          <w:lang w:val="fr-FR"/>
        </w:rPr>
        <w:t>obtenteur est prié de communiquer certains renseignements, généralement au moyen d</w:t>
      </w:r>
      <w:r w:rsidR="00F72F8E" w:rsidRPr="00646A34">
        <w:rPr>
          <w:lang w:val="fr-FR"/>
        </w:rPr>
        <w:t>’</w:t>
      </w:r>
      <w:r w:rsidRPr="00646A34">
        <w:rPr>
          <w:lang w:val="fr-FR"/>
        </w:rPr>
        <w:t>un questionnaire technique à déposer avec la demande.  Les renseignements demandés dans le questionnaire technique portent sur des caractères précis qui sont importants pour distinguer les variétés, sur des informations concernant le schéma de sélection de la variété ainsi que sur toute autre donnée susceptible de contribuer à la distinction de la variété considérée.  Dans le questionnaire, il est également demandé à l</w:t>
      </w:r>
      <w:r w:rsidR="00F72F8E" w:rsidRPr="00646A34">
        <w:rPr>
          <w:lang w:val="fr-FR"/>
        </w:rPr>
        <w:t>’</w:t>
      </w:r>
      <w:r w:rsidRPr="00646A34">
        <w:rPr>
          <w:lang w:val="fr-FR"/>
        </w:rPr>
        <w:t>obtenteur d</w:t>
      </w:r>
      <w:r w:rsidR="00F72F8E" w:rsidRPr="00646A34">
        <w:rPr>
          <w:lang w:val="fr-FR"/>
        </w:rPr>
        <w:t>’</w:t>
      </w:r>
      <w:r w:rsidRPr="00646A34">
        <w:rPr>
          <w:lang w:val="fr-FR"/>
        </w:rPr>
        <w:t>indiquer des variétés similaires et les caractères par lesquels la variété candidate peut se distinguer de celles</w:t>
      </w:r>
      <w:r w:rsidR="00DF28A5" w:rsidRPr="00646A34">
        <w:rPr>
          <w:lang w:val="fr-FR"/>
        </w:rPr>
        <w:noBreakHyphen/>
      </w:r>
      <w:r w:rsidRPr="00646A34">
        <w:rPr>
          <w:lang w:val="fr-FR"/>
        </w:rPr>
        <w:t>ci.  Lors de l</w:t>
      </w:r>
      <w:r w:rsidR="00F72F8E" w:rsidRPr="00646A34">
        <w:rPr>
          <w:lang w:val="fr-FR"/>
        </w:rPr>
        <w:t>’</w:t>
      </w:r>
      <w:r w:rsidRPr="00646A34">
        <w:rPr>
          <w:lang w:val="fr-FR"/>
        </w:rPr>
        <w:t>établissement par l</w:t>
      </w:r>
      <w:r w:rsidR="00F72F8E" w:rsidRPr="00646A34">
        <w:rPr>
          <w:lang w:val="fr-FR"/>
        </w:rPr>
        <w:t>’</w:t>
      </w:r>
      <w:r w:rsidRPr="00646A34">
        <w:rPr>
          <w:lang w:val="fr-FR"/>
        </w:rPr>
        <w:t>UPOV des “Principes directeurs pour la conduite de l</w:t>
      </w:r>
      <w:r w:rsidR="00F72F8E" w:rsidRPr="00646A34">
        <w:rPr>
          <w:lang w:val="fr-FR"/>
        </w:rPr>
        <w:t>’</w:t>
      </w:r>
      <w:r w:rsidRPr="00646A34">
        <w:rPr>
          <w:lang w:val="fr-FR"/>
        </w:rPr>
        <w:t>examen des caractères distinctifs, de l</w:t>
      </w:r>
      <w:r w:rsidR="00F72F8E" w:rsidRPr="00646A34">
        <w:rPr>
          <w:lang w:val="fr-FR"/>
        </w:rPr>
        <w:t>’</w:t>
      </w:r>
      <w:r w:rsidRPr="00646A34">
        <w:rPr>
          <w:lang w:val="fr-FR"/>
        </w:rPr>
        <w:t>homogénéité et de la stabilité”, ou “principes directeurs d</w:t>
      </w:r>
      <w:r w:rsidR="00F72F8E" w:rsidRPr="00646A34">
        <w:rPr>
          <w:lang w:val="fr-FR"/>
        </w:rPr>
        <w:t>’</w:t>
      </w:r>
      <w:r w:rsidRPr="00646A34">
        <w:rPr>
          <w:lang w:val="fr-FR"/>
        </w:rPr>
        <w:t>examen” pour de nombreuses espèces ou autres groupements de variétés (voir à l</w:t>
      </w:r>
      <w:r w:rsidR="00F72F8E" w:rsidRPr="00646A34">
        <w:rPr>
          <w:lang w:val="fr-FR"/>
        </w:rPr>
        <w:t>’</w:t>
      </w:r>
      <w:r w:rsidRPr="00646A34">
        <w:rPr>
          <w:lang w:val="fr-FR"/>
        </w:rPr>
        <w:t>adresse</w:t>
      </w:r>
      <w:r w:rsidR="00E16F72" w:rsidRPr="00646A34">
        <w:rPr>
          <w:lang w:val="fr-FR"/>
        </w:rPr>
        <w:t xml:space="preserve"> </w:t>
      </w:r>
      <w:hyperlink r:id="rId21" w:history="1">
        <w:r w:rsidR="00E16F72" w:rsidRPr="00646A34">
          <w:rPr>
            <w:rStyle w:val="Hyperlink"/>
            <w:lang w:val="fr-FR"/>
          </w:rPr>
          <w:t>http://www.upov.int/test_guidelines/fr/</w:t>
        </w:r>
      </w:hyperlink>
      <w:r w:rsidRPr="00646A34">
        <w:rPr>
          <w:lang w:val="fr-FR"/>
        </w:rPr>
        <w:t>), un questionnaire technique type a été élaboré au chapitre 10.</w:t>
      </w:r>
    </w:p>
    <w:p w:rsidR="00827851" w:rsidRPr="00646A34" w:rsidRDefault="00827851" w:rsidP="004E5B9C">
      <w:pPr>
        <w:rPr>
          <w:lang w:val="fr-FR"/>
        </w:rPr>
      </w:pPr>
    </w:p>
    <w:p w:rsidR="000B2AC7" w:rsidRPr="00646A34" w:rsidRDefault="000B2AC7" w:rsidP="000B2AC7">
      <w:pPr>
        <w:pStyle w:val="Heading3"/>
        <w:rPr>
          <w:lang w:val="fr-FR"/>
        </w:rPr>
      </w:pPr>
      <w:bookmarkStart w:id="41" w:name="_Toc382814022"/>
      <w:bookmarkStart w:id="42" w:name="_Toc378597576"/>
      <w:r w:rsidRPr="00646A34">
        <w:rPr>
          <w:lang w:val="fr-FR"/>
        </w:rPr>
        <w:lastRenderedPageBreak/>
        <w:t>Échantillon de la variété</w:t>
      </w:r>
      <w:bookmarkEnd w:id="41"/>
      <w:bookmarkEnd w:id="42"/>
    </w:p>
    <w:p w:rsidR="000B2AC7" w:rsidRPr="00646A34" w:rsidRDefault="000B2AC7" w:rsidP="000B2AC7">
      <w:pPr>
        <w:keepNext/>
        <w:rPr>
          <w:lang w:val="fr-FR"/>
        </w:rPr>
      </w:pPr>
    </w:p>
    <w:p w:rsidR="000B2AC7" w:rsidRPr="00646A34" w:rsidRDefault="000B2AC7" w:rsidP="000B2AC7">
      <w:pPr>
        <w:rPr>
          <w:lang w:val="fr-FR"/>
        </w:rPr>
      </w:pPr>
      <w:r w:rsidRPr="00646A34">
        <w:rPr>
          <w:lang w:val="fr-FR"/>
        </w:rPr>
        <w:t>Le document TGP/5 “Expérience et coopération en matière d</w:t>
      </w:r>
      <w:r w:rsidR="00F72F8E" w:rsidRPr="00646A34">
        <w:rPr>
          <w:lang w:val="fr-FR"/>
        </w:rPr>
        <w:t>’</w:t>
      </w:r>
      <w:r w:rsidRPr="00646A34">
        <w:rPr>
          <w:lang w:val="fr-FR"/>
        </w:rPr>
        <w:t>examen</w:t>
      </w:r>
      <w:r w:rsidR="00395B04" w:rsidRPr="00646A34">
        <w:rPr>
          <w:lang w:val="fr-FR"/>
        </w:rPr>
        <w:t> </w:t>
      </w:r>
      <w:r w:rsidRPr="00646A34">
        <w:rPr>
          <w:lang w:val="fr-FR"/>
        </w:rPr>
        <w:t>DHS”, Section</w:t>
      </w:r>
      <w:r w:rsidR="00395B04" w:rsidRPr="00646A34">
        <w:rPr>
          <w:lang w:val="fr-FR"/>
        </w:rPr>
        <w:t> </w:t>
      </w:r>
      <w:r w:rsidRPr="00646A34">
        <w:rPr>
          <w:lang w:val="fr-FR"/>
        </w:rPr>
        <w:t>4 “Formulaire type de l</w:t>
      </w:r>
      <w:r w:rsidR="00F72F8E" w:rsidRPr="00646A34">
        <w:rPr>
          <w:lang w:val="fr-FR"/>
        </w:rPr>
        <w:t>’</w:t>
      </w:r>
      <w:r w:rsidRPr="00646A34">
        <w:rPr>
          <w:lang w:val="fr-FR"/>
        </w:rPr>
        <w:t>UPOV pour la désignation de l</w:t>
      </w:r>
      <w:r w:rsidR="00F72F8E" w:rsidRPr="00646A34">
        <w:rPr>
          <w:lang w:val="fr-FR"/>
        </w:rPr>
        <w:t>’</w:t>
      </w:r>
      <w:r w:rsidRPr="00646A34">
        <w:rPr>
          <w:lang w:val="fr-FR"/>
        </w:rPr>
        <w:t>échantillon de la variété” contient un modèle à utiliser conjointement avec le matériel végétal fourni parallèlement au matériel végétal fourni aux fins de l</w:t>
      </w:r>
      <w:r w:rsidR="00F72F8E" w:rsidRPr="00646A34">
        <w:rPr>
          <w:lang w:val="fr-FR"/>
        </w:rPr>
        <w:t>’</w:t>
      </w:r>
      <w:r w:rsidRPr="00646A34">
        <w:rPr>
          <w:lang w:val="fr-FR"/>
        </w:rPr>
        <w:t>examen des variétés candidates.</w:t>
      </w:r>
    </w:p>
    <w:p w:rsidR="00827851" w:rsidRPr="00646A34" w:rsidRDefault="00827851" w:rsidP="004E5B9C">
      <w:pPr>
        <w:rPr>
          <w:lang w:val="fr-FR"/>
        </w:rPr>
      </w:pPr>
    </w:p>
    <w:p w:rsidR="00DE3859" w:rsidRPr="00646A34" w:rsidRDefault="00DE3859" w:rsidP="000B2AC7">
      <w:pPr>
        <w:rPr>
          <w:u w:val="single"/>
          <w:lang w:val="fr-FR"/>
        </w:rPr>
      </w:pPr>
    </w:p>
    <w:p w:rsidR="00DE3859" w:rsidRPr="00646A34" w:rsidRDefault="00DE3859" w:rsidP="000B2AC7">
      <w:pPr>
        <w:rPr>
          <w:u w:val="single"/>
          <w:lang w:val="fr-FR"/>
        </w:rPr>
      </w:pPr>
      <w:r w:rsidRPr="00646A34">
        <w:rPr>
          <w:u w:val="single"/>
          <w:lang w:val="fr-FR"/>
        </w:rPr>
        <w:t>Attribution de la date de dépôt</w:t>
      </w:r>
    </w:p>
    <w:p w:rsidR="00DE3859" w:rsidRPr="00646A34" w:rsidRDefault="00DE3859" w:rsidP="000B2AC7">
      <w:pPr>
        <w:rPr>
          <w:lang w:val="fr-FR"/>
        </w:rPr>
      </w:pPr>
    </w:p>
    <w:p w:rsidR="00F72F8E" w:rsidRPr="00646A34" w:rsidRDefault="000B2AC7" w:rsidP="000B2AC7">
      <w:pPr>
        <w:rPr>
          <w:lang w:val="fr-FR"/>
        </w:rPr>
      </w:pPr>
      <w:r w:rsidRPr="00646A34">
        <w:rPr>
          <w:lang w:val="fr-FR"/>
        </w:rPr>
        <w:t>Les demandes reçues par le service d</w:t>
      </w:r>
      <w:r w:rsidR="00F72F8E" w:rsidRPr="00646A34">
        <w:rPr>
          <w:lang w:val="fr-FR"/>
        </w:rPr>
        <w:t>’</w:t>
      </w:r>
      <w:r w:rsidRPr="00646A34">
        <w:rPr>
          <w:lang w:val="fr-FR"/>
        </w:rPr>
        <w:t>octroi des droits d</w:t>
      </w:r>
      <w:r w:rsidR="00F72F8E" w:rsidRPr="00646A34">
        <w:rPr>
          <w:lang w:val="fr-FR"/>
        </w:rPr>
        <w:t>’</w:t>
      </w:r>
      <w:r w:rsidRPr="00646A34">
        <w:rPr>
          <w:lang w:val="fr-FR"/>
        </w:rPr>
        <w:t>obtenteur doivent se voir attribuer une date de dépôt.  Cette étape est nécessaire aux fins de l</w:t>
      </w:r>
      <w:r w:rsidR="00F72F8E" w:rsidRPr="00646A34">
        <w:rPr>
          <w:lang w:val="fr-FR"/>
        </w:rPr>
        <w:t>’</w:t>
      </w:r>
      <w:r w:rsidRPr="00646A34">
        <w:rPr>
          <w:lang w:val="fr-FR"/>
        </w:rPr>
        <w:t>examen de la nouveauté (voir le module 5 intitulé “Examen de la nouveauté”) et de la distinction (voir le module 9 intitulé “Examen de la distinction”).</w:t>
      </w:r>
    </w:p>
    <w:p w:rsidR="000B2AC7" w:rsidRPr="00646A34" w:rsidRDefault="000B2AC7" w:rsidP="000B2AC7">
      <w:pPr>
        <w:rPr>
          <w:lang w:val="fr-FR"/>
        </w:rPr>
      </w:pPr>
    </w:p>
    <w:p w:rsidR="000B2AC7" w:rsidRPr="00646A34" w:rsidRDefault="000B2AC7" w:rsidP="000B2AC7">
      <w:pPr>
        <w:rPr>
          <w:lang w:val="fr-FR"/>
        </w:rPr>
      </w:pPr>
      <w:r w:rsidRPr="00646A34">
        <w:rPr>
          <w:szCs w:val="22"/>
          <w:lang w:val="fr-FR"/>
        </w:rPr>
        <w:t xml:space="preserve">La </w:t>
      </w:r>
      <w:r w:rsidR="00F72F8E" w:rsidRPr="00646A34">
        <w:rPr>
          <w:szCs w:val="22"/>
          <w:lang w:val="fr-FR"/>
        </w:rPr>
        <w:t>Convention UPOV</w:t>
      </w:r>
      <w:r w:rsidRPr="00646A34">
        <w:rPr>
          <w:szCs w:val="22"/>
          <w:lang w:val="fr-FR"/>
        </w:rPr>
        <w:t xml:space="preserve"> prévoit un droit de priorité pendant un délai de 12 mois, fondé sur une demande antérieure de protection de la même variété déposée auprès d</w:t>
      </w:r>
      <w:r w:rsidR="00F72F8E" w:rsidRPr="00646A34">
        <w:rPr>
          <w:szCs w:val="22"/>
          <w:lang w:val="fr-FR"/>
        </w:rPr>
        <w:t>’</w:t>
      </w:r>
      <w:r w:rsidRPr="00646A34">
        <w:rPr>
          <w:szCs w:val="22"/>
          <w:lang w:val="fr-FR"/>
        </w:rPr>
        <w:t>un autre membre de l</w:t>
      </w:r>
      <w:r w:rsidR="00F72F8E" w:rsidRPr="00646A34">
        <w:rPr>
          <w:szCs w:val="22"/>
          <w:lang w:val="fr-FR"/>
        </w:rPr>
        <w:t>’</w:t>
      </w:r>
      <w:r w:rsidRPr="00646A34">
        <w:rPr>
          <w:szCs w:val="22"/>
          <w:lang w:val="fr-FR"/>
        </w:rPr>
        <w:t>UPOV, en vertu duquel une demande subséquente est traitée comme si elle avait été déposée à la date de dépôt de la première demande.  Le droit de priorité produit ses effets en ce qui concerne l</w:t>
      </w:r>
      <w:r w:rsidR="00F72F8E" w:rsidRPr="00646A34">
        <w:rPr>
          <w:szCs w:val="22"/>
          <w:lang w:val="fr-FR"/>
        </w:rPr>
        <w:t>’</w:t>
      </w:r>
      <w:r w:rsidRPr="00646A34">
        <w:rPr>
          <w:szCs w:val="22"/>
          <w:lang w:val="fr-FR"/>
        </w:rPr>
        <w:t xml:space="preserve">examen des conditions relatives à la nouveauté et à la distinction et les dénominations proposées </w:t>
      </w:r>
      <w:r w:rsidRPr="00646A34">
        <w:rPr>
          <w:lang w:val="fr-FR"/>
        </w:rPr>
        <w:t>(voir le module 4 intitulé : “Demande d</w:t>
      </w:r>
      <w:r w:rsidR="00F72F8E" w:rsidRPr="00646A34">
        <w:rPr>
          <w:lang w:val="fr-FR"/>
        </w:rPr>
        <w:t>’</w:t>
      </w:r>
      <w:r w:rsidRPr="00646A34">
        <w:rPr>
          <w:lang w:val="fr-FR"/>
        </w:rPr>
        <w:t>octroi du droit d</w:t>
      </w:r>
      <w:r w:rsidR="00F72F8E" w:rsidRPr="00646A34">
        <w:rPr>
          <w:lang w:val="fr-FR"/>
        </w:rPr>
        <w:t>’</w:t>
      </w:r>
      <w:r w:rsidRPr="00646A34">
        <w:rPr>
          <w:lang w:val="fr-FR"/>
        </w:rPr>
        <w:t>obtenteur” du cours d</w:t>
      </w:r>
      <w:r w:rsidR="00F72F8E" w:rsidRPr="00646A34">
        <w:rPr>
          <w:lang w:val="fr-FR"/>
        </w:rPr>
        <w:t>’</w:t>
      </w:r>
      <w:r w:rsidRPr="00646A34">
        <w:rPr>
          <w:lang w:val="fr-FR"/>
        </w:rPr>
        <w:t>enseignement à distance DL</w:t>
      </w:r>
      <w:r w:rsidR="00DF28A5" w:rsidRPr="00646A34">
        <w:rPr>
          <w:lang w:val="fr-FR"/>
        </w:rPr>
        <w:noBreakHyphen/>
      </w:r>
      <w:r w:rsidRPr="00646A34">
        <w:rPr>
          <w:lang w:val="fr-FR"/>
        </w:rPr>
        <w:t xml:space="preserve">205 intitulé “Introduction au système UPOV de protection des variétés végétales selon la </w:t>
      </w:r>
      <w:r w:rsidR="00F72F8E" w:rsidRPr="00646A34">
        <w:rPr>
          <w:lang w:val="fr-FR"/>
        </w:rPr>
        <w:t>Convention UPOV</w:t>
      </w:r>
      <w:r w:rsidRPr="00646A34">
        <w:rPr>
          <w:lang w:val="fr-FR"/>
        </w:rPr>
        <w:t xml:space="preserve">”, ainsi que le </w:t>
      </w:r>
      <w:r w:rsidR="00F72F8E" w:rsidRPr="00646A34">
        <w:rPr>
          <w:lang w:val="fr-FR"/>
        </w:rPr>
        <w:t>document UP</w:t>
      </w:r>
      <w:r w:rsidRPr="00646A34">
        <w:rPr>
          <w:lang w:val="fr-FR"/>
        </w:rPr>
        <w:t xml:space="preserve">OV/EXN/PRI intitulé “Notes explicatives sur le droit de priorité selon la </w:t>
      </w:r>
      <w:r w:rsidR="00F72F8E" w:rsidRPr="00646A34">
        <w:rPr>
          <w:lang w:val="fr-FR"/>
        </w:rPr>
        <w:t>Convention UPOV</w:t>
      </w:r>
      <w:r w:rsidRPr="00646A34">
        <w:rPr>
          <w:lang w:val="fr-FR"/>
        </w:rPr>
        <w:t>” qui peut être consulté à l</w:t>
      </w:r>
      <w:r w:rsidR="00F72F8E" w:rsidRPr="00646A34">
        <w:rPr>
          <w:lang w:val="fr-FR"/>
        </w:rPr>
        <w:t>’</w:t>
      </w:r>
      <w:r w:rsidRPr="00646A34">
        <w:rPr>
          <w:lang w:val="fr-FR"/>
        </w:rPr>
        <w:t>adresse</w:t>
      </w:r>
      <w:r w:rsidR="00E16F72" w:rsidRPr="00646A34">
        <w:rPr>
          <w:lang w:val="fr-FR"/>
        </w:rPr>
        <w:t xml:space="preserve"> </w:t>
      </w:r>
      <w:hyperlink r:id="rId22" w:history="1">
        <w:r w:rsidR="00E16F72" w:rsidRPr="00646A34">
          <w:rPr>
            <w:rStyle w:val="Hyperlink"/>
            <w:lang w:val="fr-FR"/>
          </w:rPr>
          <w:t>http://www.upov.int/explanatory_notes/fr/</w:t>
        </w:r>
      </w:hyperlink>
      <w:r w:rsidRPr="00646A34">
        <w:rPr>
          <w:lang w:val="fr-FR"/>
        </w:rPr>
        <w:t>).</w:t>
      </w:r>
    </w:p>
    <w:p w:rsidR="00827851" w:rsidRPr="00646A34" w:rsidRDefault="00827851" w:rsidP="004E5B9C">
      <w:pPr>
        <w:rPr>
          <w:lang w:val="fr-FR"/>
        </w:rPr>
      </w:pPr>
    </w:p>
    <w:p w:rsidR="00827851" w:rsidRPr="00646A34" w:rsidRDefault="00827851" w:rsidP="004E5B9C">
      <w:pPr>
        <w:rPr>
          <w:lang w:val="fr-FR"/>
        </w:rPr>
      </w:pPr>
    </w:p>
    <w:p w:rsidR="000B2AC7" w:rsidRPr="00646A34" w:rsidRDefault="000B2AC7" w:rsidP="000B2AC7">
      <w:pPr>
        <w:rPr>
          <w:lang w:val="fr-FR"/>
        </w:rPr>
      </w:pPr>
      <w:bookmarkStart w:id="43" w:name="_Toc378597579"/>
      <w:bookmarkStart w:id="44" w:name="_Toc381102848"/>
      <w:bookmarkStart w:id="45" w:name="_Toc381102878"/>
      <w:r w:rsidRPr="00646A34">
        <w:rPr>
          <w:lang w:val="fr-FR"/>
        </w:rPr>
        <w:t xml:space="preserve">DÉPÔT DE LA DEMANDE EN BONNE ET DUE </w:t>
      </w:r>
      <w:r w:rsidRPr="00646A34">
        <w:rPr>
          <w:caps/>
          <w:lang w:val="fr-FR"/>
        </w:rPr>
        <w:t>FORME (voir la note</w:t>
      </w:r>
      <w:r w:rsidR="00071A28" w:rsidRPr="00646A34">
        <w:rPr>
          <w:caps/>
          <w:lang w:val="fr-FR"/>
        </w:rPr>
        <w:t> </w:t>
      </w:r>
      <w:r w:rsidRPr="00646A34">
        <w:rPr>
          <w:caps/>
          <w:lang w:val="fr-FR"/>
        </w:rPr>
        <w:t xml:space="preserve">b </w:t>
      </w:r>
      <w:r w:rsidR="00244798" w:rsidRPr="00646A34">
        <w:rPr>
          <w:caps/>
          <w:lang w:val="fr-FR"/>
        </w:rPr>
        <w:t xml:space="preserve">DU </w:t>
      </w:r>
      <w:r w:rsidRPr="00646A34">
        <w:rPr>
          <w:caps/>
          <w:lang w:val="fr-FR"/>
        </w:rPr>
        <w:t>diagramme figurant dans le Module 1)</w:t>
      </w:r>
    </w:p>
    <w:bookmarkEnd w:id="43"/>
    <w:bookmarkEnd w:id="44"/>
    <w:bookmarkEnd w:id="45"/>
    <w:p w:rsidR="00827851" w:rsidRPr="00646A34" w:rsidRDefault="00827851" w:rsidP="004E5B9C">
      <w:pPr>
        <w:rPr>
          <w:lang w:val="fr-FR"/>
        </w:rPr>
      </w:pPr>
    </w:p>
    <w:p w:rsidR="00244798" w:rsidRPr="00646A34" w:rsidRDefault="00244798" w:rsidP="00244798">
      <w:pPr>
        <w:rPr>
          <w:lang w:val="fr-FR"/>
        </w:rPr>
      </w:pPr>
      <w:r w:rsidRPr="00646A34">
        <w:rPr>
          <w:lang w:val="fr-FR"/>
        </w:rPr>
        <w:t>Il convient de vérifier la conformité des demandes avec les conditions de forme applicables et les exigences en matière de taxes afin qu</w:t>
      </w:r>
      <w:r w:rsidR="00F72F8E" w:rsidRPr="00646A34">
        <w:rPr>
          <w:lang w:val="fr-FR"/>
        </w:rPr>
        <w:t>’</w:t>
      </w:r>
      <w:r w:rsidRPr="00646A34">
        <w:rPr>
          <w:lang w:val="fr-FR"/>
        </w:rPr>
        <w:t>elles puissent être considérées comme ayant été déposées en bonne et due forme.  Pour qu</w:t>
      </w:r>
      <w:r w:rsidR="00F72F8E" w:rsidRPr="00646A34">
        <w:rPr>
          <w:lang w:val="fr-FR"/>
        </w:rPr>
        <w:t>’</w:t>
      </w:r>
      <w:r w:rsidRPr="00646A34">
        <w:rPr>
          <w:lang w:val="fr-FR"/>
        </w:rPr>
        <w:t>une demande soit considérée comme ayant été déposée en bonne et due forme, elle doit être présentée par une personne pouvant prétendre au droit d</w:t>
      </w:r>
      <w:r w:rsidR="00F72F8E" w:rsidRPr="00646A34">
        <w:rPr>
          <w:lang w:val="fr-FR"/>
        </w:rPr>
        <w:t>’</w:t>
      </w:r>
      <w:r w:rsidRPr="00646A34">
        <w:rPr>
          <w:lang w:val="fr-FR"/>
        </w:rPr>
        <w:t>obtenteur (voir le module 3 intitulé “Droit à présenter une demande”).</w:t>
      </w:r>
    </w:p>
    <w:p w:rsidR="00244798" w:rsidRPr="00646A34" w:rsidRDefault="00244798" w:rsidP="00244798">
      <w:pPr>
        <w:rPr>
          <w:lang w:val="fr-FR"/>
        </w:rPr>
      </w:pPr>
    </w:p>
    <w:p w:rsidR="00F72F8E" w:rsidRPr="00646A34" w:rsidRDefault="00244798" w:rsidP="00244798">
      <w:pPr>
        <w:rPr>
          <w:lang w:val="fr-FR"/>
        </w:rPr>
      </w:pPr>
      <w:r w:rsidRPr="00646A34">
        <w:rPr>
          <w:lang w:val="fr-FR"/>
        </w:rPr>
        <w:t>Les demandes déposées en bonne et due forme doivent être préparées aux fins de leur publication par l</w:t>
      </w:r>
      <w:r w:rsidR="00F72F8E" w:rsidRPr="00646A34">
        <w:rPr>
          <w:lang w:val="fr-FR"/>
        </w:rPr>
        <w:t>’</w:t>
      </w:r>
      <w:r w:rsidRPr="00646A34">
        <w:rPr>
          <w:lang w:val="fr-FR"/>
        </w:rPr>
        <w:t>agent chargé du dossier ou la personne chargée du traitement initial des formulaires de demande.  Des informations doivent également être fournies aux autres agents concernés au sein du service afin de leur permettre de préparer les étapes suivantes de la procédure d</w:t>
      </w:r>
      <w:r w:rsidR="00F72F8E" w:rsidRPr="00646A34">
        <w:rPr>
          <w:lang w:val="fr-FR"/>
        </w:rPr>
        <w:t>’</w:t>
      </w:r>
      <w:r w:rsidRPr="00646A34">
        <w:rPr>
          <w:lang w:val="fr-FR"/>
        </w:rPr>
        <w:t>examen.</w:t>
      </w:r>
    </w:p>
    <w:p w:rsidR="00827851" w:rsidRPr="00646A34" w:rsidRDefault="00827851" w:rsidP="004E5B9C">
      <w:pPr>
        <w:rPr>
          <w:lang w:val="fr-FR"/>
        </w:rPr>
      </w:pPr>
    </w:p>
    <w:p w:rsidR="00827851" w:rsidRPr="00646A34" w:rsidRDefault="00827851" w:rsidP="004E5B9C">
      <w:pPr>
        <w:rPr>
          <w:lang w:val="fr-FR"/>
        </w:rPr>
      </w:pPr>
    </w:p>
    <w:p w:rsidR="00827851" w:rsidRPr="00646A34" w:rsidRDefault="004E5B9C" w:rsidP="004E5B9C">
      <w:pPr>
        <w:rPr>
          <w:lang w:val="fr-FR"/>
        </w:rPr>
      </w:pPr>
      <w:bookmarkStart w:id="46" w:name="_Toc378597580"/>
      <w:bookmarkStart w:id="47" w:name="_Toc381102849"/>
      <w:bookmarkStart w:id="48" w:name="_Toc381102879"/>
      <w:r w:rsidRPr="00646A34">
        <w:rPr>
          <w:lang w:val="fr-FR"/>
        </w:rPr>
        <w:t>PUBLICATION (</w:t>
      </w:r>
      <w:r w:rsidR="00A22E37" w:rsidRPr="00646A34">
        <w:rPr>
          <w:lang w:val="fr-FR"/>
        </w:rPr>
        <w:t>VOIR LA NOTE C DU DIAGRAMME FIGURANT DANS LE MODULE</w:t>
      </w:r>
      <w:r w:rsidR="006F789C" w:rsidRPr="00646A34">
        <w:rPr>
          <w:lang w:val="fr-FR"/>
        </w:rPr>
        <w:t> </w:t>
      </w:r>
      <w:r w:rsidR="00A22E37" w:rsidRPr="00646A34">
        <w:rPr>
          <w:lang w:val="fr-FR"/>
        </w:rPr>
        <w:t>1</w:t>
      </w:r>
      <w:r w:rsidRPr="00646A34">
        <w:rPr>
          <w:lang w:val="fr-FR"/>
        </w:rPr>
        <w:t>)</w:t>
      </w:r>
      <w:bookmarkEnd w:id="46"/>
      <w:bookmarkEnd w:id="47"/>
      <w:bookmarkEnd w:id="48"/>
    </w:p>
    <w:p w:rsidR="00827851" w:rsidRPr="00646A34" w:rsidRDefault="00827851" w:rsidP="004E5B9C">
      <w:pPr>
        <w:rPr>
          <w:lang w:val="fr-FR"/>
        </w:rPr>
      </w:pPr>
    </w:p>
    <w:p w:rsidR="00827851" w:rsidRPr="00646A34" w:rsidRDefault="00A22E37" w:rsidP="004E5B9C">
      <w:pPr>
        <w:rPr>
          <w:lang w:val="fr-FR"/>
        </w:rPr>
      </w:pPr>
      <w:r w:rsidRPr="00646A34">
        <w:rPr>
          <w:lang w:val="fr-FR"/>
        </w:rPr>
        <w:t>Voir le module</w:t>
      </w:r>
      <w:r w:rsidR="00B1368E" w:rsidRPr="00646A34">
        <w:rPr>
          <w:lang w:val="fr-FR"/>
        </w:rPr>
        <w:t> </w:t>
      </w:r>
      <w:r w:rsidRPr="00646A34">
        <w:rPr>
          <w:lang w:val="fr-FR"/>
        </w:rPr>
        <w:t>4 intitulé “Informations à publier</w:t>
      </w:r>
      <w:r w:rsidR="00E607B1" w:rsidRPr="00646A34">
        <w:rPr>
          <w:lang w:val="fr-FR"/>
        </w:rPr>
        <w:t>”</w:t>
      </w:r>
      <w:r w:rsidR="004E5B9C" w:rsidRPr="00646A34">
        <w:rPr>
          <w:lang w:val="fr-FR"/>
        </w:rPr>
        <w:t>.</w:t>
      </w:r>
    </w:p>
    <w:p w:rsidR="00827851" w:rsidRPr="00646A34" w:rsidRDefault="00827851" w:rsidP="004E5B9C">
      <w:pPr>
        <w:rPr>
          <w:lang w:val="fr-FR"/>
        </w:rPr>
      </w:pPr>
    </w:p>
    <w:p w:rsidR="00827851" w:rsidRPr="00646A34" w:rsidRDefault="00827851" w:rsidP="004E5B9C">
      <w:pPr>
        <w:keepNext/>
        <w:outlineLvl w:val="1"/>
        <w:rPr>
          <w:u w:val="single"/>
          <w:lang w:val="fr-FR"/>
        </w:rPr>
      </w:pPr>
    </w:p>
    <w:p w:rsidR="00827851" w:rsidRPr="00646A34" w:rsidRDefault="003B46E1" w:rsidP="004E5B9C">
      <w:pPr>
        <w:rPr>
          <w:lang w:val="fr-FR"/>
        </w:rPr>
      </w:pPr>
      <w:bookmarkStart w:id="49" w:name="_Toc378597581"/>
      <w:bookmarkStart w:id="50" w:name="_Toc381102850"/>
      <w:bookmarkStart w:id="51" w:name="_Toc381102880"/>
      <w:r w:rsidRPr="00646A34">
        <w:rPr>
          <w:lang w:val="fr-FR"/>
        </w:rPr>
        <w:t xml:space="preserve">EXAMEN DES CONDITIONS </w:t>
      </w:r>
      <w:r w:rsidR="004E5B9C" w:rsidRPr="00646A34">
        <w:rPr>
          <w:lang w:val="fr-FR"/>
        </w:rPr>
        <w:t>(</w:t>
      </w:r>
      <w:r w:rsidRPr="00646A34">
        <w:rPr>
          <w:lang w:val="fr-FR"/>
        </w:rPr>
        <w:t>VOIR LA NOTE D DU DIAGRAMME FIGURANT DANS LE MODULE 1</w:t>
      </w:r>
      <w:r w:rsidR="004E5B9C" w:rsidRPr="00646A34">
        <w:rPr>
          <w:lang w:val="fr-FR"/>
        </w:rPr>
        <w:t>)</w:t>
      </w:r>
      <w:bookmarkEnd w:id="49"/>
      <w:bookmarkEnd w:id="50"/>
      <w:bookmarkEnd w:id="51"/>
    </w:p>
    <w:p w:rsidR="00827851" w:rsidRPr="00646A34" w:rsidRDefault="00827851" w:rsidP="004E5B9C">
      <w:pPr>
        <w:rPr>
          <w:lang w:val="fr-FR"/>
        </w:rPr>
      </w:pPr>
    </w:p>
    <w:p w:rsidR="00F72F8E" w:rsidRPr="00646A34" w:rsidRDefault="000231D7" w:rsidP="000231D7">
      <w:pPr>
        <w:rPr>
          <w:lang w:val="fr-FR"/>
        </w:rPr>
      </w:pPr>
      <w:r w:rsidRPr="00646A34">
        <w:rPr>
          <w:lang w:val="fr-FR"/>
        </w:rPr>
        <w:t>L</w:t>
      </w:r>
      <w:r w:rsidR="00F72F8E" w:rsidRPr="00646A34">
        <w:rPr>
          <w:lang w:val="fr-FR"/>
        </w:rPr>
        <w:t>’</w:t>
      </w:r>
      <w:r w:rsidRPr="00646A34">
        <w:rPr>
          <w:lang w:val="fr-FR"/>
        </w:rPr>
        <w:t>examen de la nouveauté et de la dénomination proposée, ainsi que l</w:t>
      </w:r>
      <w:r w:rsidR="00F72F8E" w:rsidRPr="00646A34">
        <w:rPr>
          <w:lang w:val="fr-FR"/>
        </w:rPr>
        <w:t>’</w:t>
      </w:r>
      <w:r w:rsidRPr="00646A34">
        <w:rPr>
          <w:lang w:val="fr-FR"/>
        </w:rPr>
        <w:t>examen DHS doivent être menés en parallèle, afin d</w:t>
      </w:r>
      <w:r w:rsidR="00F72F8E" w:rsidRPr="00646A34">
        <w:rPr>
          <w:lang w:val="fr-FR"/>
        </w:rPr>
        <w:t>’</w:t>
      </w:r>
      <w:r w:rsidRPr="00646A34">
        <w:rPr>
          <w:lang w:val="fr-FR"/>
        </w:rPr>
        <w:t>éviter un retard dans l</w:t>
      </w:r>
      <w:r w:rsidR="00F72F8E" w:rsidRPr="00646A34">
        <w:rPr>
          <w:lang w:val="fr-FR"/>
        </w:rPr>
        <w:t>’</w:t>
      </w:r>
      <w:r w:rsidRPr="00646A34">
        <w:rPr>
          <w:lang w:val="fr-FR"/>
        </w:rPr>
        <w:t>octroi des droits d</w:t>
      </w:r>
      <w:r w:rsidR="00F72F8E" w:rsidRPr="00646A34">
        <w:rPr>
          <w:lang w:val="fr-FR"/>
        </w:rPr>
        <w:t>’</w:t>
      </w:r>
      <w:r w:rsidRPr="00646A34">
        <w:rPr>
          <w:lang w:val="fr-FR"/>
        </w:rPr>
        <w:t xml:space="preserve">obtenteur.  Plus précisément, la </w:t>
      </w:r>
      <w:r w:rsidR="00F72F8E" w:rsidRPr="00646A34">
        <w:rPr>
          <w:lang w:val="fr-FR"/>
        </w:rPr>
        <w:t>Convention UPOV</w:t>
      </w:r>
      <w:r w:rsidRPr="00646A34">
        <w:rPr>
          <w:lang w:val="fr-FR"/>
        </w:rPr>
        <w:t xml:space="preserve"> exige que la dénomination soit enregistrée par le service en même temps qu</w:t>
      </w:r>
      <w:r w:rsidR="00F72F8E" w:rsidRPr="00646A34">
        <w:rPr>
          <w:lang w:val="fr-FR"/>
        </w:rPr>
        <w:t>’</w:t>
      </w:r>
      <w:r w:rsidRPr="00646A34">
        <w:rPr>
          <w:lang w:val="fr-FR"/>
        </w:rPr>
        <w:t>est octroyé le droit d</w:t>
      </w:r>
      <w:r w:rsidR="00F72F8E" w:rsidRPr="00646A34">
        <w:rPr>
          <w:lang w:val="fr-FR"/>
        </w:rPr>
        <w:t>’</w:t>
      </w:r>
      <w:r w:rsidRPr="00646A34">
        <w:rPr>
          <w:lang w:val="fr-FR"/>
        </w:rPr>
        <w:t>obtenteur (article 20.3) de l</w:t>
      </w:r>
      <w:r w:rsidR="00F72F8E" w:rsidRPr="00646A34">
        <w:rPr>
          <w:lang w:val="fr-FR"/>
        </w:rPr>
        <w:t>’</w:t>
      </w:r>
      <w:r w:rsidRPr="00646A34">
        <w:rPr>
          <w:lang w:val="fr-FR"/>
        </w:rPr>
        <w:t>Acte de</w:t>
      </w:r>
      <w:r w:rsidR="00395B04" w:rsidRPr="00646A34">
        <w:rPr>
          <w:lang w:val="fr-FR"/>
        </w:rPr>
        <w:t> </w:t>
      </w:r>
      <w:r w:rsidRPr="00646A34">
        <w:rPr>
          <w:lang w:val="fr-FR"/>
        </w:rPr>
        <w:t>1991 et article 13.3) de l</w:t>
      </w:r>
      <w:r w:rsidR="00F72F8E" w:rsidRPr="00646A34">
        <w:rPr>
          <w:lang w:val="fr-FR"/>
        </w:rPr>
        <w:t>’</w:t>
      </w:r>
      <w:r w:rsidRPr="00646A34">
        <w:rPr>
          <w:lang w:val="fr-FR"/>
        </w:rPr>
        <w:t>Acte de</w:t>
      </w:r>
      <w:r w:rsidR="00395B04" w:rsidRPr="00646A34">
        <w:rPr>
          <w:lang w:val="fr-FR"/>
        </w:rPr>
        <w:t> </w:t>
      </w:r>
      <w:r w:rsidRPr="00646A34">
        <w:rPr>
          <w:lang w:val="fr-FR"/>
        </w:rPr>
        <w:t>1978).  Différentes options existent s</w:t>
      </w:r>
      <w:r w:rsidR="00F72F8E" w:rsidRPr="00646A34">
        <w:rPr>
          <w:lang w:val="fr-FR"/>
        </w:rPr>
        <w:t>’</w:t>
      </w:r>
      <w:r w:rsidRPr="00646A34">
        <w:rPr>
          <w:lang w:val="fr-FR"/>
        </w:rPr>
        <w:t>agissant de la procédure d</w:t>
      </w:r>
      <w:r w:rsidR="00F72F8E" w:rsidRPr="00646A34">
        <w:rPr>
          <w:lang w:val="fr-FR"/>
        </w:rPr>
        <w:t>’</w:t>
      </w:r>
      <w:r w:rsidRPr="00646A34">
        <w:rPr>
          <w:lang w:val="fr-FR"/>
        </w:rPr>
        <w:t>examen.  Par exemple, une personne peut être désignée comme “agent chargé du dossier” et chargée de la gestion de tous les aspects de l</w:t>
      </w:r>
      <w:r w:rsidR="00F72F8E" w:rsidRPr="00646A34">
        <w:rPr>
          <w:lang w:val="fr-FR"/>
        </w:rPr>
        <w:t>’</w:t>
      </w:r>
      <w:r w:rsidRPr="00646A34">
        <w:rPr>
          <w:lang w:val="fr-FR"/>
        </w:rPr>
        <w:t>examen susmentionnée, ou alors, différentes parties du travail peuvent être confiées à des spécialistes.</w:t>
      </w:r>
    </w:p>
    <w:p w:rsidR="000231D7" w:rsidRPr="00646A34" w:rsidRDefault="000231D7" w:rsidP="000231D7">
      <w:pPr>
        <w:rPr>
          <w:lang w:val="fr-FR"/>
        </w:rPr>
      </w:pPr>
    </w:p>
    <w:p w:rsidR="000231D7" w:rsidRPr="00646A34" w:rsidRDefault="000231D7" w:rsidP="000231D7">
      <w:pPr>
        <w:rPr>
          <w:caps/>
          <w:lang w:val="fr-FR"/>
        </w:rPr>
      </w:pPr>
      <w:r w:rsidRPr="00646A34">
        <w:rPr>
          <w:lang w:val="fr-FR"/>
        </w:rPr>
        <w:t>L</w:t>
      </w:r>
      <w:r w:rsidR="00F72F8E" w:rsidRPr="00646A34">
        <w:rPr>
          <w:lang w:val="fr-FR"/>
        </w:rPr>
        <w:t>’</w:t>
      </w:r>
      <w:r w:rsidRPr="00646A34">
        <w:rPr>
          <w:lang w:val="fr-FR"/>
        </w:rPr>
        <w:t>examen de la dénomination fait l</w:t>
      </w:r>
      <w:r w:rsidR="00F72F8E" w:rsidRPr="00646A34">
        <w:rPr>
          <w:lang w:val="fr-FR"/>
        </w:rPr>
        <w:t>’</w:t>
      </w:r>
      <w:r w:rsidRPr="00646A34">
        <w:rPr>
          <w:lang w:val="fr-FR"/>
        </w:rPr>
        <w:t>objet du module 6 intitulé “Examen de la dénomination des variétés”.  L</w:t>
      </w:r>
      <w:r w:rsidR="00F72F8E" w:rsidRPr="00646A34">
        <w:rPr>
          <w:lang w:val="fr-FR"/>
        </w:rPr>
        <w:t>’</w:t>
      </w:r>
      <w:r w:rsidRPr="00646A34">
        <w:rPr>
          <w:lang w:val="fr-FR"/>
        </w:rPr>
        <w:t>examen de la nouveauté est traité dans le module 5 intitulé “Examen de la nouveauté”, alors que les modules 7 à 13 portent sur l</w:t>
      </w:r>
      <w:r w:rsidR="00F72F8E" w:rsidRPr="00646A34">
        <w:rPr>
          <w:lang w:val="fr-FR"/>
        </w:rPr>
        <w:t>’</w:t>
      </w:r>
      <w:r w:rsidRPr="00646A34">
        <w:rPr>
          <w:lang w:val="fr-FR"/>
        </w:rPr>
        <w:t>“Examen DHS”.</w:t>
      </w:r>
    </w:p>
    <w:p w:rsidR="00827851" w:rsidRPr="00646A34" w:rsidRDefault="00827851" w:rsidP="004E5B9C">
      <w:pPr>
        <w:rPr>
          <w:lang w:val="fr-FR"/>
        </w:rPr>
      </w:pPr>
    </w:p>
    <w:p w:rsidR="00827851" w:rsidRPr="00646A34" w:rsidRDefault="00827851" w:rsidP="00E16F72">
      <w:pPr>
        <w:rPr>
          <w:lang w:val="fr-FR"/>
        </w:rPr>
      </w:pPr>
    </w:p>
    <w:p w:rsidR="00827851" w:rsidRPr="00646A34" w:rsidRDefault="00FE3190" w:rsidP="00E16F72">
      <w:pPr>
        <w:keepNext/>
        <w:rPr>
          <w:lang w:val="fr-FR"/>
        </w:rPr>
      </w:pPr>
      <w:bookmarkStart w:id="52" w:name="_Toc378597582"/>
      <w:bookmarkStart w:id="53" w:name="_Toc381102851"/>
      <w:bookmarkStart w:id="54" w:name="_Toc381102881"/>
      <w:r w:rsidRPr="00646A34">
        <w:rPr>
          <w:lang w:val="fr-FR"/>
        </w:rPr>
        <w:lastRenderedPageBreak/>
        <w:t xml:space="preserve">EXAMEN DHS </w:t>
      </w:r>
      <w:r w:rsidR="004E5B9C" w:rsidRPr="00646A34">
        <w:rPr>
          <w:lang w:val="fr-FR"/>
        </w:rPr>
        <w:t>(</w:t>
      </w:r>
      <w:bookmarkEnd w:id="52"/>
      <w:bookmarkEnd w:id="53"/>
      <w:bookmarkEnd w:id="54"/>
      <w:r w:rsidR="00E01B7B" w:rsidRPr="00646A34">
        <w:rPr>
          <w:lang w:val="fr-FR"/>
        </w:rPr>
        <w:t>VOIR LA NOTE E DU DIAGRAMME FIGURANT DANS LE MODULE</w:t>
      </w:r>
      <w:r w:rsidR="006F789C" w:rsidRPr="00646A34">
        <w:rPr>
          <w:lang w:val="fr-FR"/>
        </w:rPr>
        <w:t> </w:t>
      </w:r>
      <w:r w:rsidR="00E01B7B" w:rsidRPr="00646A34">
        <w:rPr>
          <w:lang w:val="fr-FR"/>
        </w:rPr>
        <w:t>1)</w:t>
      </w:r>
    </w:p>
    <w:p w:rsidR="00827851" w:rsidRPr="00646A34" w:rsidRDefault="00827851" w:rsidP="00E16F72">
      <w:pPr>
        <w:keepNext/>
        <w:rPr>
          <w:lang w:val="fr-FR"/>
        </w:rPr>
      </w:pPr>
    </w:p>
    <w:p w:rsidR="00827851" w:rsidRPr="00646A34" w:rsidRDefault="00FE3190" w:rsidP="00E16F72">
      <w:pPr>
        <w:keepNext/>
        <w:autoSpaceDE w:val="0"/>
        <w:autoSpaceDN w:val="0"/>
        <w:adjustRightInd w:val="0"/>
        <w:rPr>
          <w:lang w:val="fr-FR"/>
        </w:rPr>
      </w:pPr>
      <w:r w:rsidRPr="00646A34">
        <w:rPr>
          <w:lang w:val="fr-FR"/>
        </w:rPr>
        <w:t>La taille et la structure des services d</w:t>
      </w:r>
      <w:r w:rsidR="00F72F8E" w:rsidRPr="00646A34">
        <w:rPr>
          <w:lang w:val="fr-FR"/>
        </w:rPr>
        <w:t>’</w:t>
      </w:r>
      <w:r w:rsidRPr="00646A34">
        <w:rPr>
          <w:lang w:val="fr-FR"/>
        </w:rPr>
        <w:t>octroi des droits d</w:t>
      </w:r>
      <w:r w:rsidR="00F72F8E" w:rsidRPr="00646A34">
        <w:rPr>
          <w:lang w:val="fr-FR"/>
        </w:rPr>
        <w:t>’</w:t>
      </w:r>
      <w:r w:rsidRPr="00646A34">
        <w:rPr>
          <w:lang w:val="fr-FR"/>
        </w:rPr>
        <w:t>obtenteur sont liées aux modalités d</w:t>
      </w:r>
      <w:r w:rsidR="00F72F8E" w:rsidRPr="00646A34">
        <w:rPr>
          <w:lang w:val="fr-FR"/>
        </w:rPr>
        <w:t>’</w:t>
      </w:r>
      <w:r w:rsidRPr="00646A34">
        <w:rPr>
          <w:lang w:val="fr-FR"/>
        </w:rPr>
        <w:t>examen</w:t>
      </w:r>
      <w:r w:rsidR="00395B04" w:rsidRPr="00646A34">
        <w:rPr>
          <w:lang w:val="fr-FR"/>
        </w:rPr>
        <w:t> </w:t>
      </w:r>
      <w:r w:rsidRPr="00646A34">
        <w:rPr>
          <w:lang w:val="fr-FR"/>
        </w:rPr>
        <w:t>DHS.  Un service peut, par exemple, recourir à un ou plusieurs des systèmes suivants </w:t>
      </w:r>
      <w:r w:rsidR="004E5B9C" w:rsidRPr="00646A34">
        <w:rPr>
          <w:lang w:val="fr-FR"/>
        </w:rPr>
        <w:t>:</w:t>
      </w:r>
    </w:p>
    <w:p w:rsidR="00827851" w:rsidRPr="00646A34" w:rsidRDefault="00827851" w:rsidP="004E5B9C">
      <w:pPr>
        <w:autoSpaceDE w:val="0"/>
        <w:autoSpaceDN w:val="0"/>
        <w:adjustRightInd w:val="0"/>
        <w:rPr>
          <w:lang w:val="fr-FR"/>
        </w:rPr>
      </w:pPr>
    </w:p>
    <w:p w:rsidR="00827851" w:rsidRPr="00646A34" w:rsidRDefault="007C6B86" w:rsidP="007C6B86">
      <w:pPr>
        <w:numPr>
          <w:ilvl w:val="0"/>
          <w:numId w:val="1"/>
        </w:numPr>
        <w:autoSpaceDE w:val="0"/>
        <w:autoSpaceDN w:val="0"/>
        <w:adjustRightInd w:val="0"/>
        <w:spacing w:after="120"/>
        <w:rPr>
          <w:lang w:val="fr-FR"/>
        </w:rPr>
      </w:pPr>
      <w:r w:rsidRPr="00646A34">
        <w:rPr>
          <w:lang w:val="fr-FR"/>
        </w:rPr>
        <w:t>le service procède lui</w:t>
      </w:r>
      <w:r w:rsidR="00DF28A5" w:rsidRPr="00646A34">
        <w:rPr>
          <w:lang w:val="fr-FR"/>
        </w:rPr>
        <w:noBreakHyphen/>
      </w:r>
      <w:r w:rsidRPr="00646A34">
        <w:rPr>
          <w:lang w:val="fr-FR"/>
        </w:rPr>
        <w:t>même à la mise en culture ou autres essais (examen effectué par le service</w:t>
      </w:r>
      <w:r w:rsidR="004E5B9C" w:rsidRPr="00646A34">
        <w:rPr>
          <w:lang w:val="fr-FR"/>
        </w:rPr>
        <w:t>)</w:t>
      </w:r>
      <w:r w:rsidRPr="00646A34">
        <w:rPr>
          <w:lang w:val="fr-FR"/>
        </w:rPr>
        <w:t>.</w:t>
      </w:r>
    </w:p>
    <w:p w:rsidR="00827851" w:rsidRPr="00646A34" w:rsidRDefault="007C6B86" w:rsidP="004E5B9C">
      <w:pPr>
        <w:numPr>
          <w:ilvl w:val="0"/>
          <w:numId w:val="1"/>
        </w:numPr>
        <w:autoSpaceDE w:val="0"/>
        <w:autoSpaceDN w:val="0"/>
        <w:adjustRightInd w:val="0"/>
        <w:spacing w:after="120"/>
        <w:ind w:hanging="357"/>
        <w:rPr>
          <w:lang w:val="fr-FR"/>
        </w:rPr>
      </w:pPr>
      <w:r w:rsidRPr="00646A34">
        <w:rPr>
          <w:lang w:val="fr-FR"/>
        </w:rPr>
        <w:t>le service prend les dispositions nécessaires pour qu</w:t>
      </w:r>
      <w:r w:rsidR="00F72F8E" w:rsidRPr="00646A34">
        <w:rPr>
          <w:lang w:val="fr-FR"/>
        </w:rPr>
        <w:t>’</w:t>
      </w:r>
      <w:r w:rsidRPr="00646A34">
        <w:rPr>
          <w:lang w:val="fr-FR"/>
        </w:rPr>
        <w:t>une ou plusieurs tierces parties procèdent à la mise en culture ou autres essais (en dehors du service).  Dans ce dernier cas, la tierce partie peut être, par exemple, un autre service, un institut indépendant ou l</w:t>
      </w:r>
      <w:r w:rsidR="00F72F8E" w:rsidRPr="00646A34">
        <w:rPr>
          <w:lang w:val="fr-FR"/>
        </w:rPr>
        <w:t>’</w:t>
      </w:r>
      <w:r w:rsidRPr="00646A34">
        <w:rPr>
          <w:lang w:val="fr-FR"/>
        </w:rPr>
        <w:t>obtenteur</w:t>
      </w:r>
      <w:r w:rsidR="004E5B9C" w:rsidRPr="00646A34">
        <w:rPr>
          <w:lang w:val="fr-FR"/>
        </w:rPr>
        <w:t>.</w:t>
      </w:r>
    </w:p>
    <w:p w:rsidR="00827851" w:rsidRPr="00646A34" w:rsidRDefault="007C6B86" w:rsidP="00E16F72">
      <w:pPr>
        <w:numPr>
          <w:ilvl w:val="0"/>
          <w:numId w:val="1"/>
        </w:numPr>
        <w:autoSpaceDE w:val="0"/>
        <w:autoSpaceDN w:val="0"/>
        <w:adjustRightInd w:val="0"/>
        <w:ind w:hanging="357"/>
        <w:rPr>
          <w:lang w:val="fr-FR"/>
        </w:rPr>
      </w:pPr>
      <w:r w:rsidRPr="00646A34">
        <w:rPr>
          <w:lang w:val="fr-FR"/>
        </w:rPr>
        <w:t>le service prend en considération les résultats des essais en culture ou autres essais qui ont déjà été effectués (en dehors du service</w:t>
      </w:r>
      <w:r w:rsidR="004E5B9C" w:rsidRPr="00646A34">
        <w:rPr>
          <w:lang w:val="fr-FR"/>
        </w:rPr>
        <w:t>).</w:t>
      </w:r>
    </w:p>
    <w:p w:rsidR="00827851" w:rsidRPr="00646A34" w:rsidRDefault="00827851" w:rsidP="004E5B9C">
      <w:pPr>
        <w:autoSpaceDE w:val="0"/>
        <w:autoSpaceDN w:val="0"/>
        <w:adjustRightInd w:val="0"/>
        <w:rPr>
          <w:lang w:val="fr-FR"/>
        </w:rPr>
      </w:pPr>
    </w:p>
    <w:p w:rsidR="00F72F8E" w:rsidRPr="00646A34" w:rsidRDefault="005D4A9B" w:rsidP="005D4A9B">
      <w:pPr>
        <w:autoSpaceDE w:val="0"/>
        <w:autoSpaceDN w:val="0"/>
        <w:adjustRightInd w:val="0"/>
        <w:rPr>
          <w:lang w:val="fr-FR"/>
        </w:rPr>
      </w:pPr>
      <w:r w:rsidRPr="00646A34">
        <w:rPr>
          <w:lang w:val="fr-FR"/>
        </w:rPr>
        <w:t>Les différentes options en matière de coopération entre services et de coopération avec l</w:t>
      </w:r>
      <w:r w:rsidR="00F72F8E" w:rsidRPr="00646A34">
        <w:rPr>
          <w:lang w:val="fr-FR"/>
        </w:rPr>
        <w:t>’</w:t>
      </w:r>
      <w:r w:rsidRPr="00646A34">
        <w:rPr>
          <w:lang w:val="fr-FR"/>
        </w:rPr>
        <w:t>obtenteur dans le cadre de l</w:t>
      </w:r>
      <w:r w:rsidR="00F72F8E" w:rsidRPr="00646A34">
        <w:rPr>
          <w:lang w:val="fr-FR"/>
        </w:rPr>
        <w:t>’</w:t>
      </w:r>
      <w:r w:rsidRPr="00646A34">
        <w:rPr>
          <w:lang w:val="fr-FR"/>
        </w:rPr>
        <w:t>examen DHS sont étudiées plus en détail dans le module 13 intitulé “Coopération en matière d</w:t>
      </w:r>
      <w:r w:rsidR="00F72F8E" w:rsidRPr="00646A34">
        <w:rPr>
          <w:lang w:val="fr-FR"/>
        </w:rPr>
        <w:t>’</w:t>
      </w:r>
      <w:r w:rsidRPr="00646A34">
        <w:rPr>
          <w:lang w:val="fr-FR"/>
        </w:rPr>
        <w:t xml:space="preserve">examen DHS”.  Le </w:t>
      </w:r>
      <w:r w:rsidR="00F72F8E" w:rsidRPr="00646A34">
        <w:rPr>
          <w:lang w:val="fr-FR"/>
        </w:rPr>
        <w:t>document TG</w:t>
      </w:r>
      <w:r w:rsidRPr="00646A34">
        <w:rPr>
          <w:lang w:val="fr-FR"/>
        </w:rPr>
        <w:t>P/5 intitulé “Expérience et coopération en matière d</w:t>
      </w:r>
      <w:r w:rsidR="00F72F8E" w:rsidRPr="00646A34">
        <w:rPr>
          <w:lang w:val="fr-FR"/>
        </w:rPr>
        <w:t>’</w:t>
      </w:r>
      <w:r w:rsidRPr="00646A34">
        <w:rPr>
          <w:lang w:val="fr-FR"/>
        </w:rPr>
        <w:t>examen</w:t>
      </w:r>
      <w:r w:rsidR="00395B04" w:rsidRPr="00646A34">
        <w:rPr>
          <w:lang w:val="fr-FR"/>
        </w:rPr>
        <w:t> </w:t>
      </w:r>
      <w:r w:rsidRPr="00646A34">
        <w:rPr>
          <w:lang w:val="fr-FR"/>
        </w:rPr>
        <w:t>DHS”, Section 1 “Accord administratif type pour la coopération internationale en matière d</w:t>
      </w:r>
      <w:r w:rsidR="00F72F8E" w:rsidRPr="00646A34">
        <w:rPr>
          <w:lang w:val="fr-FR"/>
        </w:rPr>
        <w:t>’</w:t>
      </w:r>
      <w:r w:rsidRPr="00646A34">
        <w:rPr>
          <w:lang w:val="fr-FR"/>
        </w:rPr>
        <w:t>examen des variétés” fournit également des indications utiles dans le cadre d</w:t>
      </w:r>
      <w:r w:rsidR="00F72F8E" w:rsidRPr="00646A34">
        <w:rPr>
          <w:lang w:val="fr-FR"/>
        </w:rPr>
        <w:t>’</w:t>
      </w:r>
      <w:r w:rsidRPr="00646A34">
        <w:rPr>
          <w:lang w:val="fr-FR"/>
        </w:rPr>
        <w:t>un accord administratif type pour la coopération internationale en matière d</w:t>
      </w:r>
      <w:r w:rsidR="00F72F8E" w:rsidRPr="00646A34">
        <w:rPr>
          <w:lang w:val="fr-FR"/>
        </w:rPr>
        <w:t>’</w:t>
      </w:r>
      <w:r w:rsidRPr="00646A34">
        <w:rPr>
          <w:lang w:val="fr-FR"/>
        </w:rPr>
        <w:t>examen des variétés.  Les membres de l</w:t>
      </w:r>
      <w:r w:rsidR="00F72F8E" w:rsidRPr="00646A34">
        <w:rPr>
          <w:lang w:val="fr-FR"/>
        </w:rPr>
        <w:t>’</w:t>
      </w:r>
      <w:r w:rsidRPr="00646A34">
        <w:rPr>
          <w:lang w:val="fr-FR"/>
        </w:rPr>
        <w:t>UPOV peuvent conclure des arrangements informels pour l</w:t>
      </w:r>
      <w:r w:rsidR="00F72F8E" w:rsidRPr="00646A34">
        <w:rPr>
          <w:lang w:val="fr-FR"/>
        </w:rPr>
        <w:t>’</w:t>
      </w:r>
      <w:r w:rsidRPr="00646A34">
        <w:rPr>
          <w:lang w:val="fr-FR"/>
        </w:rPr>
        <w:t>achat de rapports d</w:t>
      </w:r>
      <w:r w:rsidR="00F72F8E" w:rsidRPr="00646A34">
        <w:rPr>
          <w:lang w:val="fr-FR"/>
        </w:rPr>
        <w:t>’</w:t>
      </w:r>
      <w:r w:rsidRPr="00646A34">
        <w:rPr>
          <w:lang w:val="fr-FR"/>
        </w:rPr>
        <w:t>examen</w:t>
      </w:r>
      <w:r w:rsidR="00395B04" w:rsidRPr="00646A34">
        <w:rPr>
          <w:lang w:val="fr-FR"/>
        </w:rPr>
        <w:t> </w:t>
      </w:r>
      <w:r w:rsidRPr="00646A34">
        <w:rPr>
          <w:lang w:val="fr-FR"/>
        </w:rPr>
        <w:t>DHS (par exemple, par échange de lettres).</w:t>
      </w:r>
    </w:p>
    <w:p w:rsidR="00827851" w:rsidRPr="00646A34" w:rsidRDefault="00827851" w:rsidP="004E5B9C">
      <w:pPr>
        <w:autoSpaceDE w:val="0"/>
        <w:autoSpaceDN w:val="0"/>
        <w:adjustRightInd w:val="0"/>
        <w:rPr>
          <w:lang w:val="fr-FR"/>
        </w:rPr>
      </w:pPr>
    </w:p>
    <w:p w:rsidR="00827851" w:rsidRPr="00646A34" w:rsidRDefault="00827851" w:rsidP="00E16F72">
      <w:pPr>
        <w:rPr>
          <w:lang w:val="fr-FR"/>
        </w:rPr>
      </w:pPr>
    </w:p>
    <w:p w:rsidR="00827851" w:rsidRPr="00646A34" w:rsidRDefault="005D4A9B" w:rsidP="004E5B9C">
      <w:pPr>
        <w:keepNext/>
        <w:rPr>
          <w:lang w:val="fr-FR"/>
        </w:rPr>
      </w:pPr>
      <w:bookmarkStart w:id="55" w:name="_Toc378597583"/>
      <w:bookmarkStart w:id="56" w:name="_Toc381102852"/>
      <w:bookmarkStart w:id="57" w:name="_Toc381102882"/>
      <w:r w:rsidRPr="00646A34">
        <w:rPr>
          <w:lang w:val="fr-FR"/>
        </w:rPr>
        <w:t xml:space="preserve">DÉCISION </w:t>
      </w:r>
      <w:r w:rsidR="004E5B9C" w:rsidRPr="00646A34">
        <w:rPr>
          <w:lang w:val="fr-FR"/>
        </w:rPr>
        <w:t>PROPOS</w:t>
      </w:r>
      <w:r w:rsidRPr="00646A34">
        <w:rPr>
          <w:lang w:val="fr-FR"/>
        </w:rPr>
        <w:t>ÉE</w:t>
      </w:r>
      <w:r w:rsidR="004E5B9C" w:rsidRPr="00646A34">
        <w:rPr>
          <w:lang w:val="fr-FR"/>
        </w:rPr>
        <w:t xml:space="preserve"> (</w:t>
      </w:r>
      <w:r w:rsidR="00E01B7B" w:rsidRPr="00646A34">
        <w:rPr>
          <w:lang w:val="fr-FR"/>
        </w:rPr>
        <w:t>VOIR LA NOTE F DU DIAGRAMME FIGURANT DANS LE MODULE</w:t>
      </w:r>
      <w:r w:rsidR="006F789C" w:rsidRPr="00646A34">
        <w:rPr>
          <w:lang w:val="fr-FR"/>
        </w:rPr>
        <w:t> </w:t>
      </w:r>
      <w:r w:rsidR="00E01B7B" w:rsidRPr="00646A34">
        <w:rPr>
          <w:lang w:val="fr-FR"/>
        </w:rPr>
        <w:t>1</w:t>
      </w:r>
      <w:r w:rsidR="004E5B9C" w:rsidRPr="00646A34">
        <w:rPr>
          <w:lang w:val="fr-FR"/>
        </w:rPr>
        <w:t>)</w:t>
      </w:r>
      <w:bookmarkEnd w:id="55"/>
      <w:bookmarkEnd w:id="56"/>
      <w:bookmarkEnd w:id="57"/>
    </w:p>
    <w:p w:rsidR="00827851" w:rsidRPr="00646A34" w:rsidRDefault="00827851" w:rsidP="004E5B9C">
      <w:pPr>
        <w:keepNext/>
        <w:rPr>
          <w:lang w:val="fr-FR"/>
        </w:rPr>
      </w:pPr>
    </w:p>
    <w:p w:rsidR="00827851" w:rsidRPr="00646A34" w:rsidRDefault="006F789C" w:rsidP="004E5B9C">
      <w:pPr>
        <w:rPr>
          <w:lang w:val="fr-FR"/>
        </w:rPr>
      </w:pPr>
      <w:r w:rsidRPr="00646A34">
        <w:rPr>
          <w:lang w:val="fr-FR"/>
        </w:rPr>
        <w:t>Sur la base des résultats de l’examen de la nouveauté et de la dénomination et de l’examen DHS, une décision peut être proposée concernant l’octroi de la protection.  Cette décision peut être proposée au service chargé de l’octroi des droits d’obtenteur (service d’octroi des droits d’obtenteur) par un responsable ou un groupe de spécialistes, tels qu’un comité ou un groupe d’experts.  Si la décision est négative, le rejet de la demande est publié (voir le module 4 intitulé “Informations à publier”).  Le demandeur peut former un recours contre la décision négative proposée par le service</w:t>
      </w:r>
      <w:r w:rsidR="004E5B9C" w:rsidRPr="00646A34">
        <w:rPr>
          <w:lang w:val="fr-FR"/>
        </w:rPr>
        <w:t>.</w:t>
      </w:r>
    </w:p>
    <w:p w:rsidR="00827851" w:rsidRPr="00646A34" w:rsidRDefault="00827851" w:rsidP="00E16F72">
      <w:pPr>
        <w:rPr>
          <w:lang w:val="fr-FR"/>
        </w:rPr>
      </w:pPr>
    </w:p>
    <w:p w:rsidR="00827851" w:rsidRPr="00646A34" w:rsidRDefault="00827851" w:rsidP="004E5B9C">
      <w:pPr>
        <w:rPr>
          <w:lang w:val="fr-FR"/>
        </w:rPr>
      </w:pPr>
    </w:p>
    <w:p w:rsidR="00827851" w:rsidRPr="00646A34" w:rsidRDefault="004E5B9C" w:rsidP="004E5B9C">
      <w:pPr>
        <w:keepNext/>
        <w:rPr>
          <w:lang w:val="fr-FR"/>
        </w:rPr>
      </w:pPr>
      <w:bookmarkStart w:id="58" w:name="_Toc378597584"/>
      <w:bookmarkStart w:id="59" w:name="_Toc381102853"/>
      <w:bookmarkStart w:id="60" w:name="_Toc381102883"/>
      <w:r w:rsidRPr="00646A34">
        <w:rPr>
          <w:lang w:val="fr-FR"/>
        </w:rPr>
        <w:t>OBJECTIONS (</w:t>
      </w:r>
      <w:r w:rsidR="00E01B7B" w:rsidRPr="00646A34">
        <w:rPr>
          <w:lang w:val="fr-FR"/>
        </w:rPr>
        <w:t>VOIR LA NOTE G DU DIAGRAMME FIGURANT DANS LE MODULE 1</w:t>
      </w:r>
      <w:r w:rsidRPr="00646A34">
        <w:rPr>
          <w:lang w:val="fr-FR"/>
        </w:rPr>
        <w:t>)</w:t>
      </w:r>
      <w:bookmarkEnd w:id="58"/>
      <w:bookmarkEnd w:id="59"/>
      <w:bookmarkEnd w:id="60"/>
    </w:p>
    <w:p w:rsidR="00827851" w:rsidRPr="00646A34" w:rsidRDefault="00827851" w:rsidP="004E5B9C">
      <w:pPr>
        <w:keepNext/>
        <w:rPr>
          <w:lang w:val="fr-FR"/>
        </w:rPr>
      </w:pPr>
    </w:p>
    <w:p w:rsidR="00F72F8E" w:rsidRPr="00646A34" w:rsidRDefault="00EE717D" w:rsidP="004E5B9C">
      <w:pPr>
        <w:rPr>
          <w:lang w:val="fr-FR"/>
        </w:rPr>
      </w:pPr>
      <w:r w:rsidRPr="00646A34">
        <w:rPr>
          <w:lang w:val="fr-FR"/>
        </w:rPr>
        <w:t>Sur la base des résultats de l</w:t>
      </w:r>
      <w:r w:rsidR="00F72F8E" w:rsidRPr="00646A34">
        <w:rPr>
          <w:lang w:val="fr-FR"/>
        </w:rPr>
        <w:t>’</w:t>
      </w:r>
      <w:r w:rsidRPr="00646A34">
        <w:rPr>
          <w:lang w:val="fr-FR"/>
        </w:rPr>
        <w:t>examen de la nouveauté et de la dénomination et de l</w:t>
      </w:r>
      <w:r w:rsidR="00F72F8E" w:rsidRPr="00646A34">
        <w:rPr>
          <w:lang w:val="fr-FR"/>
        </w:rPr>
        <w:t>’</w:t>
      </w:r>
      <w:r w:rsidRPr="00646A34">
        <w:rPr>
          <w:lang w:val="fr-FR"/>
        </w:rPr>
        <w:t>examen DHS, une décision peut être proposée concernant l</w:t>
      </w:r>
      <w:r w:rsidR="00F72F8E" w:rsidRPr="00646A34">
        <w:rPr>
          <w:lang w:val="fr-FR"/>
        </w:rPr>
        <w:t>’</w:t>
      </w:r>
      <w:r w:rsidRPr="00646A34">
        <w:rPr>
          <w:lang w:val="fr-FR"/>
        </w:rPr>
        <w:t>octroi de la protection.  Cette décision peut être proposée au service chargé de l</w:t>
      </w:r>
      <w:r w:rsidR="00F72F8E" w:rsidRPr="00646A34">
        <w:rPr>
          <w:lang w:val="fr-FR"/>
        </w:rPr>
        <w:t>’</w:t>
      </w:r>
      <w:r w:rsidRPr="00646A34">
        <w:rPr>
          <w:lang w:val="fr-FR"/>
        </w:rPr>
        <w:t>octroi des droits d</w:t>
      </w:r>
      <w:r w:rsidR="00F72F8E" w:rsidRPr="00646A34">
        <w:rPr>
          <w:lang w:val="fr-FR"/>
        </w:rPr>
        <w:t>’</w:t>
      </w:r>
      <w:r w:rsidRPr="00646A34">
        <w:rPr>
          <w:lang w:val="fr-FR"/>
        </w:rPr>
        <w:t>obtenteur (service d</w:t>
      </w:r>
      <w:r w:rsidR="00F72F8E" w:rsidRPr="00646A34">
        <w:rPr>
          <w:lang w:val="fr-FR"/>
        </w:rPr>
        <w:t>’</w:t>
      </w:r>
      <w:r w:rsidRPr="00646A34">
        <w:rPr>
          <w:lang w:val="fr-FR"/>
        </w:rPr>
        <w:t>octroi des droits d</w:t>
      </w:r>
      <w:r w:rsidR="00F72F8E" w:rsidRPr="00646A34">
        <w:rPr>
          <w:lang w:val="fr-FR"/>
        </w:rPr>
        <w:t>’</w:t>
      </w:r>
      <w:r w:rsidRPr="00646A34">
        <w:rPr>
          <w:lang w:val="fr-FR"/>
        </w:rPr>
        <w:t>obtenteur) par un responsable ou un groupe de spécialistes, tels qu</w:t>
      </w:r>
      <w:r w:rsidR="00F72F8E" w:rsidRPr="00646A34">
        <w:rPr>
          <w:lang w:val="fr-FR"/>
        </w:rPr>
        <w:t>’</w:t>
      </w:r>
      <w:r w:rsidRPr="00646A34">
        <w:rPr>
          <w:lang w:val="fr-FR"/>
        </w:rPr>
        <w:t>un comité ou un groupe d</w:t>
      </w:r>
      <w:r w:rsidR="00F72F8E" w:rsidRPr="00646A34">
        <w:rPr>
          <w:lang w:val="fr-FR"/>
        </w:rPr>
        <w:t>’</w:t>
      </w:r>
      <w:r w:rsidRPr="00646A34">
        <w:rPr>
          <w:lang w:val="fr-FR"/>
        </w:rPr>
        <w:t>experts.  Si la décision est négative, le rejet de la demande est publié (voir le module 4 intitulé “Informations à publier”).  Le demandeur peut former un recours contre la décision négative proposée par le service</w:t>
      </w:r>
      <w:r w:rsidR="004E5B9C" w:rsidRPr="00646A34">
        <w:rPr>
          <w:lang w:val="fr-FR"/>
        </w:rPr>
        <w:t>.</w:t>
      </w:r>
    </w:p>
    <w:p w:rsidR="00827851" w:rsidRPr="00646A34" w:rsidRDefault="00827851" w:rsidP="00E16F72">
      <w:pPr>
        <w:rPr>
          <w:lang w:val="fr-FR"/>
        </w:rPr>
      </w:pPr>
    </w:p>
    <w:p w:rsidR="00827851" w:rsidRPr="00646A34" w:rsidRDefault="00827851" w:rsidP="004E5B9C">
      <w:pPr>
        <w:rPr>
          <w:lang w:val="fr-FR"/>
        </w:rPr>
      </w:pPr>
    </w:p>
    <w:p w:rsidR="00827851" w:rsidRPr="00646A34" w:rsidRDefault="00EE717D" w:rsidP="004E5B9C">
      <w:pPr>
        <w:keepNext/>
        <w:rPr>
          <w:lang w:val="fr-FR"/>
        </w:rPr>
      </w:pPr>
      <w:bookmarkStart w:id="61" w:name="_Toc378597585"/>
      <w:bookmarkStart w:id="62" w:name="_Toc381102854"/>
      <w:bookmarkStart w:id="63" w:name="_Toc381102884"/>
      <w:r w:rsidRPr="00646A34">
        <w:rPr>
          <w:lang w:val="fr-FR"/>
        </w:rPr>
        <w:t xml:space="preserve">OCTROI DU TITRE </w:t>
      </w:r>
      <w:r w:rsidR="004E5B9C" w:rsidRPr="00646A34">
        <w:rPr>
          <w:lang w:val="fr-FR"/>
        </w:rPr>
        <w:t>(</w:t>
      </w:r>
      <w:r w:rsidR="00E01B7B" w:rsidRPr="00646A34">
        <w:rPr>
          <w:lang w:val="fr-FR"/>
        </w:rPr>
        <w:t>VOIR LA NOTE H DU DIAGRAMME FIGURANT DANS LE MODULE</w:t>
      </w:r>
      <w:r w:rsidR="00071A28" w:rsidRPr="00646A34">
        <w:rPr>
          <w:lang w:val="fr-FR"/>
        </w:rPr>
        <w:t> </w:t>
      </w:r>
      <w:r w:rsidR="00E01B7B" w:rsidRPr="00646A34">
        <w:rPr>
          <w:lang w:val="fr-FR"/>
        </w:rPr>
        <w:t>1</w:t>
      </w:r>
      <w:r w:rsidR="004E5B9C" w:rsidRPr="00646A34">
        <w:rPr>
          <w:lang w:val="fr-FR"/>
        </w:rPr>
        <w:t>)</w:t>
      </w:r>
      <w:bookmarkEnd w:id="61"/>
      <w:bookmarkEnd w:id="62"/>
      <w:bookmarkEnd w:id="63"/>
    </w:p>
    <w:p w:rsidR="00827851" w:rsidRPr="00646A34" w:rsidRDefault="00827851" w:rsidP="004E5B9C">
      <w:pPr>
        <w:keepNext/>
        <w:rPr>
          <w:lang w:val="fr-FR"/>
        </w:rPr>
      </w:pPr>
    </w:p>
    <w:p w:rsidR="00827851" w:rsidRPr="00646A34" w:rsidRDefault="00EE717D" w:rsidP="004E5B9C">
      <w:pPr>
        <w:rPr>
          <w:lang w:val="fr-FR"/>
        </w:rPr>
      </w:pPr>
      <w:r w:rsidRPr="00646A34">
        <w:rPr>
          <w:lang w:val="fr-FR"/>
        </w:rPr>
        <w:t>Si la décision concernant l</w:t>
      </w:r>
      <w:r w:rsidR="00F72F8E" w:rsidRPr="00646A34">
        <w:rPr>
          <w:lang w:val="fr-FR"/>
        </w:rPr>
        <w:t>’</w:t>
      </w:r>
      <w:r w:rsidRPr="00646A34">
        <w:rPr>
          <w:lang w:val="fr-FR"/>
        </w:rPr>
        <w:t>octroi de la protection est positive, le titre est octroyé.  Le titre est délivré au titulaire du droit d</w:t>
      </w:r>
      <w:r w:rsidR="00F72F8E" w:rsidRPr="00646A34">
        <w:rPr>
          <w:lang w:val="fr-FR"/>
        </w:rPr>
        <w:t>’</w:t>
      </w:r>
      <w:r w:rsidRPr="00646A34">
        <w:rPr>
          <w:lang w:val="fr-FR"/>
        </w:rPr>
        <w:t>obtenteur.  Les droits d</w:t>
      </w:r>
      <w:r w:rsidR="00F72F8E" w:rsidRPr="00646A34">
        <w:rPr>
          <w:lang w:val="fr-FR"/>
        </w:rPr>
        <w:t>’</w:t>
      </w:r>
      <w:r w:rsidRPr="00646A34">
        <w:rPr>
          <w:lang w:val="fr-FR"/>
        </w:rPr>
        <w:t>obtenteur octroyés, ainsi que les dénominations approuvées sont enregistrés et publiés au même moment par le service d</w:t>
      </w:r>
      <w:r w:rsidR="00F72F8E" w:rsidRPr="00646A34">
        <w:rPr>
          <w:lang w:val="fr-FR"/>
        </w:rPr>
        <w:t>’</w:t>
      </w:r>
      <w:r w:rsidRPr="00646A34">
        <w:rPr>
          <w:lang w:val="fr-FR"/>
        </w:rPr>
        <w:t>octroi des droits d</w:t>
      </w:r>
      <w:r w:rsidR="00F72F8E" w:rsidRPr="00646A34">
        <w:rPr>
          <w:lang w:val="fr-FR"/>
        </w:rPr>
        <w:t>’</w:t>
      </w:r>
      <w:r w:rsidRPr="00646A34">
        <w:rPr>
          <w:lang w:val="fr-FR"/>
        </w:rPr>
        <w:t>obtenteur (voir le module 4 intitulé “Informations à publier”</w:t>
      </w:r>
      <w:r w:rsidR="004E5B9C" w:rsidRPr="00646A34">
        <w:rPr>
          <w:lang w:val="fr-FR"/>
        </w:rPr>
        <w:t>).</w:t>
      </w:r>
    </w:p>
    <w:p w:rsidR="00827851" w:rsidRPr="00646A34" w:rsidRDefault="00827851" w:rsidP="004E5B9C">
      <w:pPr>
        <w:rPr>
          <w:szCs w:val="22"/>
          <w:lang w:val="fr-FR"/>
        </w:rPr>
      </w:pPr>
    </w:p>
    <w:p w:rsidR="00827851" w:rsidRPr="00646A34" w:rsidRDefault="00827851" w:rsidP="004E5B9C">
      <w:pPr>
        <w:rPr>
          <w:szCs w:val="22"/>
          <w:lang w:val="fr-FR"/>
        </w:rPr>
      </w:pPr>
    </w:p>
    <w:p w:rsidR="00827851" w:rsidRPr="00646A34" w:rsidRDefault="00EE717D" w:rsidP="004E5B9C">
      <w:pPr>
        <w:keepNext/>
        <w:rPr>
          <w:lang w:val="fr-FR"/>
        </w:rPr>
      </w:pPr>
      <w:bookmarkStart w:id="64" w:name="_Toc378597586"/>
      <w:bookmarkStart w:id="65" w:name="_Toc381102855"/>
      <w:bookmarkStart w:id="66" w:name="_Toc381102885"/>
      <w:r w:rsidRPr="00646A34">
        <w:rPr>
          <w:lang w:val="fr-FR"/>
        </w:rPr>
        <w:t>QUESTIONS À PRENDRE EN CONSIDÉRATION APRÈS L</w:t>
      </w:r>
      <w:r w:rsidR="00F72F8E" w:rsidRPr="00646A34">
        <w:rPr>
          <w:lang w:val="fr-FR"/>
        </w:rPr>
        <w:t>’</w:t>
      </w:r>
      <w:r w:rsidRPr="00646A34">
        <w:rPr>
          <w:lang w:val="fr-FR"/>
        </w:rPr>
        <w:t xml:space="preserve">OCTROI DU TITRE </w:t>
      </w:r>
      <w:r w:rsidR="004E5B9C" w:rsidRPr="00646A34">
        <w:rPr>
          <w:lang w:val="fr-FR"/>
        </w:rPr>
        <w:t>(</w:t>
      </w:r>
      <w:r w:rsidR="00E01B7B" w:rsidRPr="00646A34">
        <w:rPr>
          <w:lang w:val="fr-FR"/>
        </w:rPr>
        <w:t>VOIR LA NOTE</w:t>
      </w:r>
      <w:r w:rsidR="00071A28" w:rsidRPr="00646A34">
        <w:rPr>
          <w:lang w:val="fr-FR"/>
        </w:rPr>
        <w:t> </w:t>
      </w:r>
      <w:r w:rsidR="00E01B7B" w:rsidRPr="00646A34">
        <w:rPr>
          <w:lang w:val="fr-FR"/>
        </w:rPr>
        <w:t>I DU DI</w:t>
      </w:r>
      <w:r w:rsidR="00071A28" w:rsidRPr="00646A34">
        <w:rPr>
          <w:lang w:val="fr-FR"/>
        </w:rPr>
        <w:t>AGRAMME FIGURANT DANS LE MODULE </w:t>
      </w:r>
      <w:r w:rsidR="00E01B7B" w:rsidRPr="00646A34">
        <w:rPr>
          <w:lang w:val="fr-FR"/>
        </w:rPr>
        <w:t>1</w:t>
      </w:r>
      <w:r w:rsidR="004E5B9C" w:rsidRPr="00646A34">
        <w:rPr>
          <w:lang w:val="fr-FR"/>
        </w:rPr>
        <w:t>)</w:t>
      </w:r>
      <w:bookmarkEnd w:id="64"/>
      <w:bookmarkEnd w:id="65"/>
      <w:bookmarkEnd w:id="66"/>
    </w:p>
    <w:p w:rsidR="00827851" w:rsidRPr="00646A34" w:rsidRDefault="00827851" w:rsidP="004E5B9C">
      <w:pPr>
        <w:keepNext/>
        <w:rPr>
          <w:szCs w:val="22"/>
          <w:lang w:val="fr-FR"/>
        </w:rPr>
      </w:pPr>
    </w:p>
    <w:p w:rsidR="00F72F8E" w:rsidRPr="00646A34" w:rsidRDefault="00EE717D" w:rsidP="00EE717D">
      <w:pPr>
        <w:tabs>
          <w:tab w:val="left" w:pos="1440"/>
        </w:tabs>
        <w:rPr>
          <w:spacing w:val="-2"/>
          <w:lang w:val="fr-FR"/>
        </w:rPr>
      </w:pPr>
      <w:r w:rsidRPr="00646A34">
        <w:rPr>
          <w:spacing w:val="-2"/>
          <w:szCs w:val="22"/>
          <w:lang w:val="fr-FR"/>
        </w:rPr>
        <w:t>Les tâches incombant au service après l</w:t>
      </w:r>
      <w:r w:rsidR="00F72F8E" w:rsidRPr="00646A34">
        <w:rPr>
          <w:spacing w:val="-2"/>
          <w:szCs w:val="22"/>
          <w:lang w:val="fr-FR"/>
        </w:rPr>
        <w:t>’</w:t>
      </w:r>
      <w:r w:rsidRPr="00646A34">
        <w:rPr>
          <w:spacing w:val="-2"/>
          <w:szCs w:val="22"/>
          <w:lang w:val="fr-FR"/>
        </w:rPr>
        <w:t>octroi des droits d</w:t>
      </w:r>
      <w:r w:rsidR="00F72F8E" w:rsidRPr="00646A34">
        <w:rPr>
          <w:spacing w:val="-2"/>
          <w:szCs w:val="22"/>
          <w:lang w:val="fr-FR"/>
        </w:rPr>
        <w:t>’</w:t>
      </w:r>
      <w:r w:rsidRPr="00646A34">
        <w:rPr>
          <w:spacing w:val="-2"/>
          <w:szCs w:val="22"/>
          <w:lang w:val="fr-FR"/>
        </w:rPr>
        <w:t>obtenteur comprennent l</w:t>
      </w:r>
      <w:r w:rsidR="00F72F8E" w:rsidRPr="00646A34">
        <w:rPr>
          <w:spacing w:val="-2"/>
          <w:szCs w:val="22"/>
          <w:lang w:val="fr-FR"/>
        </w:rPr>
        <w:t>’</w:t>
      </w:r>
      <w:r w:rsidRPr="00646A34">
        <w:rPr>
          <w:spacing w:val="-2"/>
          <w:szCs w:val="22"/>
          <w:lang w:val="fr-FR"/>
        </w:rPr>
        <w:t>obligation de maintenir à jour les renseignements pertinents dans le registre et les bases de données, la gestion du paiement des taxes (le cas échéant) par l</w:t>
      </w:r>
      <w:r w:rsidR="00F72F8E" w:rsidRPr="00646A34">
        <w:rPr>
          <w:spacing w:val="-2"/>
          <w:szCs w:val="22"/>
          <w:lang w:val="fr-FR"/>
        </w:rPr>
        <w:t>’</w:t>
      </w:r>
      <w:r w:rsidRPr="00646A34">
        <w:rPr>
          <w:spacing w:val="-2"/>
          <w:szCs w:val="22"/>
          <w:lang w:val="fr-FR"/>
        </w:rPr>
        <w:t>obtenteur en vue de maintenir les droits en vigueur et la publication d</w:t>
      </w:r>
      <w:r w:rsidR="00F72F8E" w:rsidRPr="00646A34">
        <w:rPr>
          <w:spacing w:val="-2"/>
          <w:szCs w:val="22"/>
          <w:lang w:val="fr-FR"/>
        </w:rPr>
        <w:t>’</w:t>
      </w:r>
      <w:r w:rsidRPr="00646A34">
        <w:rPr>
          <w:spacing w:val="-2"/>
          <w:szCs w:val="22"/>
          <w:lang w:val="fr-FR"/>
        </w:rPr>
        <w:t>informations pertinentes après l</w:t>
      </w:r>
      <w:r w:rsidR="00F72F8E" w:rsidRPr="00646A34">
        <w:rPr>
          <w:spacing w:val="-2"/>
          <w:szCs w:val="22"/>
          <w:lang w:val="fr-FR"/>
        </w:rPr>
        <w:t>’</w:t>
      </w:r>
      <w:r w:rsidRPr="00646A34">
        <w:rPr>
          <w:spacing w:val="-2"/>
          <w:szCs w:val="22"/>
          <w:lang w:val="fr-FR"/>
        </w:rPr>
        <w:t>octroi des droits, par exemple, l</w:t>
      </w:r>
      <w:r w:rsidR="00F72F8E" w:rsidRPr="00646A34">
        <w:rPr>
          <w:spacing w:val="-2"/>
          <w:szCs w:val="22"/>
          <w:lang w:val="fr-FR"/>
        </w:rPr>
        <w:t>’</w:t>
      </w:r>
      <w:r w:rsidRPr="00646A34">
        <w:rPr>
          <w:spacing w:val="-2"/>
          <w:szCs w:val="22"/>
          <w:lang w:val="fr-FR"/>
        </w:rPr>
        <w:t>expiration des droits d</w:t>
      </w:r>
      <w:r w:rsidR="00F72F8E" w:rsidRPr="00646A34">
        <w:rPr>
          <w:spacing w:val="-2"/>
          <w:szCs w:val="22"/>
          <w:lang w:val="fr-FR"/>
        </w:rPr>
        <w:t>’</w:t>
      </w:r>
      <w:r w:rsidRPr="00646A34">
        <w:rPr>
          <w:spacing w:val="-2"/>
          <w:szCs w:val="22"/>
          <w:lang w:val="fr-FR"/>
        </w:rPr>
        <w:t xml:space="preserve">obtenteur et les changements concernant le titulaire des droits et les dénominations (voir le </w:t>
      </w:r>
      <w:r w:rsidRPr="00646A34">
        <w:rPr>
          <w:spacing w:val="-2"/>
          <w:lang w:val="fr-FR"/>
        </w:rPr>
        <w:t>module 4 intitulé</w:t>
      </w:r>
      <w:r w:rsidRPr="00646A34">
        <w:rPr>
          <w:spacing w:val="-2"/>
          <w:szCs w:val="22"/>
          <w:lang w:val="fr-FR"/>
        </w:rPr>
        <w:t xml:space="preserve"> “</w:t>
      </w:r>
      <w:r w:rsidRPr="00646A34">
        <w:rPr>
          <w:spacing w:val="-2"/>
          <w:lang w:val="fr-FR"/>
        </w:rPr>
        <w:t>Informations à publier”).  Le service peut aussi décider de prendre des mesures en vue de contrôler le maintien de la variété.</w:t>
      </w:r>
    </w:p>
    <w:p w:rsidR="00827851" w:rsidRPr="00646A34" w:rsidRDefault="00827851" w:rsidP="004E5B9C">
      <w:pPr>
        <w:autoSpaceDE w:val="0"/>
        <w:autoSpaceDN w:val="0"/>
        <w:adjustRightInd w:val="0"/>
        <w:rPr>
          <w:lang w:val="fr-FR"/>
        </w:rPr>
      </w:pPr>
    </w:p>
    <w:p w:rsidR="00827851" w:rsidRPr="00646A34" w:rsidRDefault="00827851" w:rsidP="004E5B9C">
      <w:pPr>
        <w:autoSpaceDE w:val="0"/>
        <w:autoSpaceDN w:val="0"/>
        <w:adjustRightInd w:val="0"/>
        <w:rPr>
          <w:lang w:val="fr-FR"/>
        </w:rPr>
      </w:pPr>
    </w:p>
    <w:p w:rsidR="00827851" w:rsidRPr="00646A34" w:rsidRDefault="004E5B9C" w:rsidP="00DF2472">
      <w:pPr>
        <w:autoSpaceDE w:val="0"/>
        <w:autoSpaceDN w:val="0"/>
        <w:adjustRightInd w:val="0"/>
        <w:jc w:val="right"/>
        <w:rPr>
          <w:lang w:val="fr-FR"/>
        </w:rPr>
      </w:pPr>
      <w:r w:rsidRPr="00646A34">
        <w:rPr>
          <w:lang w:val="fr-FR"/>
        </w:rPr>
        <w:t>[</w:t>
      </w:r>
      <w:r w:rsidR="002965DE" w:rsidRPr="00646A34">
        <w:rPr>
          <w:lang w:val="fr-FR"/>
        </w:rPr>
        <w:t>Fin de l</w:t>
      </w:r>
      <w:r w:rsidR="00F72F8E" w:rsidRPr="00646A34">
        <w:rPr>
          <w:lang w:val="fr-FR"/>
        </w:rPr>
        <w:t>’</w:t>
      </w:r>
      <w:r w:rsidR="002965DE" w:rsidRPr="00646A34">
        <w:rPr>
          <w:lang w:val="fr-FR"/>
        </w:rPr>
        <w:t>a</w:t>
      </w:r>
      <w:r w:rsidRPr="00646A34">
        <w:rPr>
          <w:lang w:val="fr-FR"/>
        </w:rPr>
        <w:t>nnex</w:t>
      </w:r>
      <w:r w:rsidR="002965DE" w:rsidRPr="00646A34">
        <w:rPr>
          <w:lang w:val="fr-FR"/>
        </w:rPr>
        <w:t>e</w:t>
      </w:r>
      <w:r w:rsidRPr="00646A34">
        <w:rPr>
          <w:lang w:val="fr-FR"/>
        </w:rPr>
        <w:t xml:space="preserve"> </w:t>
      </w:r>
      <w:r w:rsidR="002965DE" w:rsidRPr="00646A34">
        <w:rPr>
          <w:lang w:val="fr-FR"/>
        </w:rPr>
        <w:t xml:space="preserve">et du </w:t>
      </w:r>
      <w:r w:rsidRPr="00646A34">
        <w:rPr>
          <w:lang w:val="fr-FR"/>
        </w:rPr>
        <w:t>document]</w:t>
      </w:r>
    </w:p>
    <w:sectPr w:rsidR="00827851" w:rsidRPr="00646A34" w:rsidSect="00AC28EC">
      <w:headerReference w:type="default" r:id="rId23"/>
      <w:footerReference w:type="first" r:id="rId24"/>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172" w:rsidRDefault="00FC7172">
      <w:r>
        <w:separator/>
      </w:r>
    </w:p>
    <w:p w:rsidR="00FC7172" w:rsidRDefault="00FC7172"/>
    <w:p w:rsidR="00FC7172" w:rsidRDefault="00FC7172"/>
  </w:endnote>
  <w:endnote w:type="continuationSeparator" w:id="0">
    <w:p w:rsidR="00FC7172" w:rsidRDefault="00FC7172">
      <w:r>
        <w:separator/>
      </w:r>
    </w:p>
    <w:p w:rsidR="00FC7172" w:rsidRPr="00664515" w:rsidRDefault="00FC7172">
      <w:pPr>
        <w:pStyle w:val="Footer"/>
        <w:spacing w:after="60"/>
        <w:rPr>
          <w:sz w:val="18"/>
          <w:lang w:val="fr-CH"/>
        </w:rPr>
      </w:pPr>
      <w:r w:rsidRPr="00664515">
        <w:rPr>
          <w:sz w:val="18"/>
          <w:lang w:val="fr-CH"/>
        </w:rPr>
        <w:t>[Suite de la note de la page précédente]</w:t>
      </w:r>
    </w:p>
    <w:p w:rsidR="00FC7172" w:rsidRPr="00664515" w:rsidRDefault="00FC7172">
      <w:pPr>
        <w:rPr>
          <w:lang w:val="fr-CH"/>
        </w:rPr>
      </w:pPr>
    </w:p>
    <w:p w:rsidR="00FC7172" w:rsidRPr="00664515" w:rsidRDefault="00FC7172">
      <w:pPr>
        <w:rPr>
          <w:lang w:val="fr-CH"/>
        </w:rPr>
      </w:pPr>
    </w:p>
  </w:endnote>
  <w:endnote w:type="continuationNotice" w:id="1">
    <w:p w:rsidR="00FC7172" w:rsidRPr="00664515" w:rsidRDefault="00FC7172">
      <w:pPr>
        <w:spacing w:before="60"/>
        <w:jc w:val="right"/>
        <w:rPr>
          <w:sz w:val="18"/>
          <w:lang w:val="fr-CH"/>
        </w:rPr>
      </w:pPr>
      <w:r w:rsidRPr="00664515">
        <w:rPr>
          <w:sz w:val="18"/>
          <w:lang w:val="fr-CH"/>
        </w:rPr>
        <w:t>[Suite de la note page suivante]</w:t>
      </w:r>
    </w:p>
    <w:p w:rsidR="00FC7172" w:rsidRPr="00664515" w:rsidRDefault="00FC7172">
      <w:pPr>
        <w:rPr>
          <w:lang w:val="fr-CH"/>
        </w:rPr>
      </w:pPr>
    </w:p>
    <w:p w:rsidR="00FC7172" w:rsidRPr="00664515" w:rsidRDefault="00FC71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A5" w:rsidRPr="00F2271C" w:rsidRDefault="00DF28A5" w:rsidP="00F22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172" w:rsidRDefault="00FC7172" w:rsidP="009D690D">
      <w:pPr>
        <w:spacing w:before="120"/>
      </w:pPr>
      <w:r>
        <w:separator/>
      </w:r>
    </w:p>
  </w:footnote>
  <w:footnote w:type="continuationSeparator" w:id="0">
    <w:p w:rsidR="00FC7172" w:rsidRDefault="00FC7172" w:rsidP="00520297">
      <w:pPr>
        <w:spacing w:before="120"/>
        <w:jc w:val="left"/>
      </w:pPr>
      <w:r>
        <w:separator/>
      </w:r>
    </w:p>
  </w:footnote>
  <w:footnote w:type="continuationNotice" w:id="1">
    <w:p w:rsidR="00FC7172" w:rsidRDefault="00FC7172"/>
  </w:footnote>
  <w:footnote w:id="2">
    <w:p w:rsidR="00F13B8A" w:rsidRDefault="00F13B8A" w:rsidP="00F13B8A">
      <w:pPr>
        <w:spacing w:before="60"/>
        <w:ind w:left="567" w:hanging="567"/>
        <w:rPr>
          <w:lang w:val="fr-CH"/>
        </w:rPr>
      </w:pPr>
      <w:r>
        <w:rPr>
          <w:sz w:val="16"/>
          <w:szCs w:val="16"/>
          <w:vertAlign w:val="superscript"/>
        </w:rPr>
        <w:footnoteRef/>
      </w:r>
      <w:r>
        <w:rPr>
          <w:rStyle w:val="FootnoteTextChar"/>
          <w:lang w:val="fr-FR"/>
        </w:rPr>
        <w:tab/>
        <w:t>Prière de noter que cette table est fournie à des fins d’illustration et qu’elle risque d’être caduque lors de la lecture : le lien avec la table des matières actuelle est donné dans le texte ci</w:t>
      </w:r>
      <w:r>
        <w:rPr>
          <w:rStyle w:val="FootnoteTextChar"/>
          <w:lang w:val="fr-FR"/>
        </w:rPr>
        <w:noBreakHyphen/>
        <w:t>dessus.</w:t>
      </w:r>
    </w:p>
  </w:footnote>
  <w:footnote w:id="3">
    <w:p w:rsidR="00DF28A5" w:rsidRPr="00134615" w:rsidRDefault="00DF28A5" w:rsidP="00134615">
      <w:pPr>
        <w:ind w:left="567" w:hanging="567"/>
        <w:rPr>
          <w:lang w:val="fr-CH"/>
        </w:rPr>
      </w:pPr>
      <w:r w:rsidRPr="00C0236D">
        <w:rPr>
          <w:vertAlign w:val="superscript"/>
        </w:rPr>
        <w:footnoteRef/>
      </w:r>
      <w:r w:rsidRPr="00134615">
        <w:rPr>
          <w:lang w:val="fr-CH"/>
        </w:rPr>
        <w:tab/>
      </w:r>
      <w:r w:rsidRPr="00134615">
        <w:rPr>
          <w:rStyle w:val="FootnoteTextChar"/>
          <w:lang w:val="fr-CH"/>
        </w:rPr>
        <w:t>Les notes qu</w:t>
      </w:r>
      <w:r w:rsidR="006F789C">
        <w:rPr>
          <w:rStyle w:val="FootnoteTextChar"/>
          <w:lang w:val="fr-CH"/>
        </w:rPr>
        <w:t>i figurent dans le diagramme ci</w:t>
      </w:r>
      <w:r w:rsidR="006F789C" w:rsidRPr="006F789C">
        <w:rPr>
          <w:rStyle w:val="FootnoteTextChar"/>
          <w:lang w:val="fr-FR"/>
        </w:rPr>
        <w:noBreakHyphen/>
      </w:r>
      <w:r w:rsidRPr="00134615">
        <w:rPr>
          <w:rStyle w:val="FootnoteTextChar"/>
          <w:lang w:val="fr-CH"/>
        </w:rPr>
        <w:t>dessus concernent l’administration de l’examen et</w:t>
      </w:r>
      <w:r>
        <w:rPr>
          <w:rStyle w:val="FootnoteTextChar"/>
          <w:lang w:val="fr-CH"/>
        </w:rPr>
        <w:t xml:space="preserve"> sont expliquées dans le module </w:t>
      </w:r>
      <w:r w:rsidRPr="00134615">
        <w:rPr>
          <w:rStyle w:val="FootnoteTextChar"/>
          <w:lang w:val="fr-CH"/>
        </w:rPr>
        <w:t>2 “Administration des demandes”.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A5" w:rsidRPr="00997029" w:rsidRDefault="00DF28A5" w:rsidP="00E23920">
    <w:pPr>
      <w:jc w:val="center"/>
      <w:rPr>
        <w:rStyle w:val="PageNumber"/>
      </w:rPr>
    </w:pPr>
    <w:r>
      <w:rPr>
        <w:rStyle w:val="PageNumber"/>
      </w:rPr>
      <w:t>CAJ/70/5</w:t>
    </w:r>
  </w:p>
  <w:p w:rsidR="00DF28A5" w:rsidRPr="00997029" w:rsidRDefault="00DF28A5"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204B18">
      <w:rPr>
        <w:rStyle w:val="PageNumber"/>
        <w:noProof/>
      </w:rPr>
      <w:t>4</w:t>
    </w:r>
    <w:r w:rsidRPr="00997029">
      <w:rPr>
        <w:rStyle w:val="PageNumber"/>
      </w:rPr>
      <w:fldChar w:fldCharType="end"/>
    </w:r>
  </w:p>
  <w:p w:rsidR="00DF28A5" w:rsidRPr="00997029" w:rsidRDefault="00DF28A5"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A5" w:rsidRDefault="00DF28A5" w:rsidP="00E23920">
    <w:pPr>
      <w:jc w:val="center"/>
      <w:rPr>
        <w:rStyle w:val="PageNumber"/>
      </w:rPr>
    </w:pPr>
    <w:r>
      <w:rPr>
        <w:rStyle w:val="PageNumber"/>
      </w:rPr>
      <w:t>CAJ/70/5</w:t>
    </w:r>
  </w:p>
  <w:p w:rsidR="00DF28A5" w:rsidRPr="00997029" w:rsidRDefault="00DF28A5" w:rsidP="00E23920">
    <w:pPr>
      <w:jc w:val="center"/>
    </w:pPr>
    <w:r>
      <w:rPr>
        <w:rStyle w:val="PageNumber"/>
      </w:rPr>
      <w:t xml:space="preserve">Annexe,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204B18">
      <w:rPr>
        <w:rStyle w:val="PageNumber"/>
        <w:noProof/>
      </w:rPr>
      <w:t>9</w:t>
    </w:r>
    <w:r w:rsidRPr="00997029">
      <w:rPr>
        <w:rStyle w:val="PageNumber"/>
      </w:rPr>
      <w:fldChar w:fldCharType="end"/>
    </w:r>
  </w:p>
  <w:p w:rsidR="00DF28A5" w:rsidRPr="00997029" w:rsidRDefault="00DF28A5"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67D6"/>
    <w:multiLevelType w:val="multilevel"/>
    <w:tmpl w:val="6F3E25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A5C7BB4"/>
    <w:multiLevelType w:val="hybridMultilevel"/>
    <w:tmpl w:val="F992F904"/>
    <w:lvl w:ilvl="0" w:tplc="00A29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745BC"/>
    <w:multiLevelType w:val="hybridMultilevel"/>
    <w:tmpl w:val="B0CC23F8"/>
    <w:lvl w:ilvl="0" w:tplc="62329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D734B"/>
    <w:multiLevelType w:val="hybridMultilevel"/>
    <w:tmpl w:val="37E24C62"/>
    <w:lvl w:ilvl="0" w:tplc="BD644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41B1E"/>
    <w:multiLevelType w:val="hybridMultilevel"/>
    <w:tmpl w:val="583C583C"/>
    <w:lvl w:ilvl="0" w:tplc="6172B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246370"/>
    <w:multiLevelType w:val="hybridMultilevel"/>
    <w:tmpl w:val="C8BEBAEE"/>
    <w:lvl w:ilvl="0" w:tplc="D5B4F9C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nsid w:val="714E0A3F"/>
    <w:multiLevelType w:val="multilevel"/>
    <w:tmpl w:val="82E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1"/>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PreTradBeta|UPOV_Beta|WIPONew"/>
    <w:docVar w:name="TermBaseURL" w:val="empty"/>
    <w:docVar w:name="TextBases" w:val="transmlp.wipo.int\UPOV\Meetings|transmlp.wipo.int\UPOV\Publications|transmlp.wipo.int\UPOV\Technical Guidelines|transmlp.wipo.int\UPOV\Other|transmlp.wipo.int\WorkspaceFTS\EN-FR\ACE|transmlp.wipo.int\WorkspaceFTS\EN-FR\Administratif|transmlp.wipo.int\WorkspaceFTS\EN-FR\AMC|transmlp.wipo.int\WorkspaceFTS\EN-FR\Assemblées|transmlp.wipo.int\WorkspaceFTS\EN-FR\Budapest|transmlp.wipo.int\WorkspaceFTS\EN-FR\CDIP|transmlp.wipo.int\WorkspaceFTS\EN-FR\CWS|transmlp.wipo.int\WorkspaceFTS\EN-FR\Divers|transmlp.wipo.int\WorkspaceFTS\EN-FR\GRTKF|transmlp.wipo.int\WorkspaceFTS\EN-FR\Hague|transmlp.wipo.int\WorkspaceFTS\EN-FR\IPC|transmlp.wipo.int\WorkspaceFTS\EN-FR\Lisbonne|transmlp.wipo.int\WorkspaceFTS\EN-FR\Madrid|transmlp.wipo.int\WorkspaceFTS\EN-FR\PCT|transmlp.wipo.int\WorkspaceFTS\EN-FR\PLT|transmlp.wipo.int\WorkspaceFTS\EN-FR\SCCR|transmlp.wipo.int\WorkspaceFTS\EN-FR\SCP|transmlp.wipo.int\WorkspaceFTS\EN-FR\SCT|transmlp.wipo.int\WorkspaceFTS\EN-FR\UPOV|transmlp.wipo.int\WorkspaceFTS\EN-FR\WO_CC|transmlp.wipo.int\WorkspaceFTS\EN-FR\WO_GA|transmlp.wipo.int\WorkspaceFTS\EN-FR\WO_PBC|transmlp.wipo.int\Glossaries\EN-FR|transmlp.wipo.int\Treaties\Model Laws|transmlp.wipo.int\Treaties\Other Laws and Agreements|transmlp.wipo.int\Treaties\WIPO-administered|transmlp.wipo.int\Administrative\Meetings|transmlp.wipo.int\Administrative\Other|transmlp.wipo.int\Administrative\Publications|transmlp.wipo.int\Budget and Finance\Meetings|transmlp.wipo.int\Budget and Finance\Other|transmlp.wipo.int\Budget and Finance\Publications|transmlp.wipo.int\Copyright\Meetings|transmlp.wipo.int\Copyright\Other|transmlp.wipo.int\Copyright\Publications|transmlp.wipo.int\Patents\Meetings|transmlp.wipo.int\Patents\Other|transmlp.wipo.int\Patents\Publications|transmlp.wipo.int\Trademarks\Meetings|transmlp.wipo.int\Trademarks\Other|transmlp.wipo.int\Trademarks\Publications|transmlp.wipo.int\IP in General\Academy|transmlp.wipo.int\IP in General\Arbitration and Mediation|transmlp.wipo.int\IP in General\Meetings|transmlp.wipo.int\IP in General\Other|transmlp.wipo.int\IP in General\Press Room|transmlp.wipo.int\IP in General\Publications"/>
    <w:docVar w:name="TextBaseURL" w:val="empty"/>
    <w:docVar w:name="UILng" w:val="en"/>
  </w:docVars>
  <w:rsids>
    <w:rsidRoot w:val="00F32656"/>
    <w:rsid w:val="00001380"/>
    <w:rsid w:val="00001D48"/>
    <w:rsid w:val="000020D6"/>
    <w:rsid w:val="00010CF3"/>
    <w:rsid w:val="00011E27"/>
    <w:rsid w:val="000148BC"/>
    <w:rsid w:val="000231D7"/>
    <w:rsid w:val="00024AB8"/>
    <w:rsid w:val="00030888"/>
    <w:rsid w:val="00036028"/>
    <w:rsid w:val="000446B9"/>
    <w:rsid w:val="00047E21"/>
    <w:rsid w:val="00052049"/>
    <w:rsid w:val="000578CD"/>
    <w:rsid w:val="0006472C"/>
    <w:rsid w:val="00071A28"/>
    <w:rsid w:val="00073A49"/>
    <w:rsid w:val="00084B65"/>
    <w:rsid w:val="00085505"/>
    <w:rsid w:val="000979CA"/>
    <w:rsid w:val="000A1B0F"/>
    <w:rsid w:val="000B2AC7"/>
    <w:rsid w:val="000C7021"/>
    <w:rsid w:val="000D492E"/>
    <w:rsid w:val="000D6BBC"/>
    <w:rsid w:val="000D7780"/>
    <w:rsid w:val="000F5DB1"/>
    <w:rsid w:val="00102653"/>
    <w:rsid w:val="001052F7"/>
    <w:rsid w:val="00105929"/>
    <w:rsid w:val="00110481"/>
    <w:rsid w:val="00112F00"/>
    <w:rsid w:val="001131D5"/>
    <w:rsid w:val="00120769"/>
    <w:rsid w:val="00122430"/>
    <w:rsid w:val="001247A9"/>
    <w:rsid w:val="001340FA"/>
    <w:rsid w:val="00134615"/>
    <w:rsid w:val="00140618"/>
    <w:rsid w:val="00141DB8"/>
    <w:rsid w:val="00155F6F"/>
    <w:rsid w:val="0017049A"/>
    <w:rsid w:val="001736CB"/>
    <w:rsid w:val="0017474A"/>
    <w:rsid w:val="001758C6"/>
    <w:rsid w:val="0018110A"/>
    <w:rsid w:val="00184857"/>
    <w:rsid w:val="001B0A79"/>
    <w:rsid w:val="001B4459"/>
    <w:rsid w:val="001C2276"/>
    <w:rsid w:val="001C3DF3"/>
    <w:rsid w:val="001C414B"/>
    <w:rsid w:val="001D3E6E"/>
    <w:rsid w:val="001D438B"/>
    <w:rsid w:val="001F1B96"/>
    <w:rsid w:val="001F1F2A"/>
    <w:rsid w:val="001F42B3"/>
    <w:rsid w:val="00203ED2"/>
    <w:rsid w:val="00204B18"/>
    <w:rsid w:val="0021332C"/>
    <w:rsid w:val="00213982"/>
    <w:rsid w:val="00217DAC"/>
    <w:rsid w:val="00236788"/>
    <w:rsid w:val="00237C7D"/>
    <w:rsid w:val="0024416D"/>
    <w:rsid w:val="00244798"/>
    <w:rsid w:val="00265753"/>
    <w:rsid w:val="0027309C"/>
    <w:rsid w:val="002800A0"/>
    <w:rsid w:val="00281060"/>
    <w:rsid w:val="002858EB"/>
    <w:rsid w:val="0029439F"/>
    <w:rsid w:val="002965DE"/>
    <w:rsid w:val="002970AA"/>
    <w:rsid w:val="002A508C"/>
    <w:rsid w:val="002A6E50"/>
    <w:rsid w:val="002B15C2"/>
    <w:rsid w:val="002C2206"/>
    <w:rsid w:val="002C256A"/>
    <w:rsid w:val="002D1139"/>
    <w:rsid w:val="002E5A37"/>
    <w:rsid w:val="002E7BA1"/>
    <w:rsid w:val="002F5A37"/>
    <w:rsid w:val="002F78FA"/>
    <w:rsid w:val="002F79BB"/>
    <w:rsid w:val="00305A7F"/>
    <w:rsid w:val="00310633"/>
    <w:rsid w:val="003152FE"/>
    <w:rsid w:val="00327436"/>
    <w:rsid w:val="00333037"/>
    <w:rsid w:val="00340736"/>
    <w:rsid w:val="00343D83"/>
    <w:rsid w:val="00344301"/>
    <w:rsid w:val="00344BD6"/>
    <w:rsid w:val="003529C6"/>
    <w:rsid w:val="0035528D"/>
    <w:rsid w:val="00355E85"/>
    <w:rsid w:val="00361821"/>
    <w:rsid w:val="00365009"/>
    <w:rsid w:val="00395B04"/>
    <w:rsid w:val="003A17C8"/>
    <w:rsid w:val="003B46E1"/>
    <w:rsid w:val="003C563E"/>
    <w:rsid w:val="003D0EE2"/>
    <w:rsid w:val="003D227C"/>
    <w:rsid w:val="003D2B4D"/>
    <w:rsid w:val="003E450C"/>
    <w:rsid w:val="003F6136"/>
    <w:rsid w:val="003F6E7B"/>
    <w:rsid w:val="00427139"/>
    <w:rsid w:val="00430CEA"/>
    <w:rsid w:val="00436D8C"/>
    <w:rsid w:val="00444A88"/>
    <w:rsid w:val="004503FC"/>
    <w:rsid w:val="00455F62"/>
    <w:rsid w:val="0045667D"/>
    <w:rsid w:val="00474DA4"/>
    <w:rsid w:val="00485A80"/>
    <w:rsid w:val="0049408F"/>
    <w:rsid w:val="004A77B3"/>
    <w:rsid w:val="004C2203"/>
    <w:rsid w:val="004C3FCF"/>
    <w:rsid w:val="004C5DA1"/>
    <w:rsid w:val="004D047D"/>
    <w:rsid w:val="004D1617"/>
    <w:rsid w:val="004E5B9C"/>
    <w:rsid w:val="004F0D9D"/>
    <w:rsid w:val="004F305A"/>
    <w:rsid w:val="00505B19"/>
    <w:rsid w:val="00512164"/>
    <w:rsid w:val="00520297"/>
    <w:rsid w:val="005338F9"/>
    <w:rsid w:val="00535FA4"/>
    <w:rsid w:val="0054281C"/>
    <w:rsid w:val="00543EE6"/>
    <w:rsid w:val="005507A4"/>
    <w:rsid w:val="00550F2B"/>
    <w:rsid w:val="0055268D"/>
    <w:rsid w:val="00552ACA"/>
    <w:rsid w:val="00566661"/>
    <w:rsid w:val="00572E44"/>
    <w:rsid w:val="005769D9"/>
    <w:rsid w:val="00576BE4"/>
    <w:rsid w:val="005773A0"/>
    <w:rsid w:val="005874B2"/>
    <w:rsid w:val="00594353"/>
    <w:rsid w:val="005950A4"/>
    <w:rsid w:val="005A400A"/>
    <w:rsid w:val="005A7C80"/>
    <w:rsid w:val="005D4A9B"/>
    <w:rsid w:val="005F76A6"/>
    <w:rsid w:val="005F79FB"/>
    <w:rsid w:val="00612379"/>
    <w:rsid w:val="0061555F"/>
    <w:rsid w:val="00630180"/>
    <w:rsid w:val="00630A8B"/>
    <w:rsid w:val="006341A0"/>
    <w:rsid w:val="00641200"/>
    <w:rsid w:val="00646A34"/>
    <w:rsid w:val="00647FF0"/>
    <w:rsid w:val="00653861"/>
    <w:rsid w:val="00660557"/>
    <w:rsid w:val="00663ED8"/>
    <w:rsid w:val="00664515"/>
    <w:rsid w:val="00664C4A"/>
    <w:rsid w:val="00666BB4"/>
    <w:rsid w:val="006757C6"/>
    <w:rsid w:val="00686E75"/>
    <w:rsid w:val="00687EB4"/>
    <w:rsid w:val="006A6E24"/>
    <w:rsid w:val="006B17D2"/>
    <w:rsid w:val="006B45FA"/>
    <w:rsid w:val="006C224E"/>
    <w:rsid w:val="006C4C5D"/>
    <w:rsid w:val="006D2058"/>
    <w:rsid w:val="006D2984"/>
    <w:rsid w:val="006D47DE"/>
    <w:rsid w:val="006D5D83"/>
    <w:rsid w:val="006D5E20"/>
    <w:rsid w:val="006E128D"/>
    <w:rsid w:val="006E5095"/>
    <w:rsid w:val="006F7608"/>
    <w:rsid w:val="006F789C"/>
    <w:rsid w:val="007008F2"/>
    <w:rsid w:val="00706A3F"/>
    <w:rsid w:val="00720FE4"/>
    <w:rsid w:val="00723C0A"/>
    <w:rsid w:val="00732DEC"/>
    <w:rsid w:val="00735BD5"/>
    <w:rsid w:val="00746887"/>
    <w:rsid w:val="00750182"/>
    <w:rsid w:val="0075117E"/>
    <w:rsid w:val="007544CE"/>
    <w:rsid w:val="007556F6"/>
    <w:rsid w:val="00757ED0"/>
    <w:rsid w:val="00760EEF"/>
    <w:rsid w:val="00765AFC"/>
    <w:rsid w:val="00766EB5"/>
    <w:rsid w:val="007715DA"/>
    <w:rsid w:val="00777EE5"/>
    <w:rsid w:val="00784836"/>
    <w:rsid w:val="007856D8"/>
    <w:rsid w:val="0079023E"/>
    <w:rsid w:val="00796464"/>
    <w:rsid w:val="007A5673"/>
    <w:rsid w:val="007B099F"/>
    <w:rsid w:val="007B27C5"/>
    <w:rsid w:val="007B6894"/>
    <w:rsid w:val="007B7145"/>
    <w:rsid w:val="007C0653"/>
    <w:rsid w:val="007C6639"/>
    <w:rsid w:val="007C6B86"/>
    <w:rsid w:val="007D0B9D"/>
    <w:rsid w:val="007D19B0"/>
    <w:rsid w:val="007E6717"/>
    <w:rsid w:val="007F3FE2"/>
    <w:rsid w:val="007F498F"/>
    <w:rsid w:val="0080679D"/>
    <w:rsid w:val="00806DCA"/>
    <w:rsid w:val="008108B0"/>
    <w:rsid w:val="00811B20"/>
    <w:rsid w:val="0082296E"/>
    <w:rsid w:val="00824099"/>
    <w:rsid w:val="00827851"/>
    <w:rsid w:val="00836E88"/>
    <w:rsid w:val="008518FE"/>
    <w:rsid w:val="00855DBD"/>
    <w:rsid w:val="00864C6D"/>
    <w:rsid w:val="00867AC1"/>
    <w:rsid w:val="00885B70"/>
    <w:rsid w:val="0089088A"/>
    <w:rsid w:val="008A395B"/>
    <w:rsid w:val="008A743F"/>
    <w:rsid w:val="008B0146"/>
    <w:rsid w:val="008B51D0"/>
    <w:rsid w:val="008C0970"/>
    <w:rsid w:val="008C51AB"/>
    <w:rsid w:val="008D2CF7"/>
    <w:rsid w:val="008D2F71"/>
    <w:rsid w:val="008E02D0"/>
    <w:rsid w:val="008E19FC"/>
    <w:rsid w:val="008E793E"/>
    <w:rsid w:val="00900C26"/>
    <w:rsid w:val="0090197F"/>
    <w:rsid w:val="00906DDC"/>
    <w:rsid w:val="00906E03"/>
    <w:rsid w:val="00910DD9"/>
    <w:rsid w:val="0091112A"/>
    <w:rsid w:val="009118FD"/>
    <w:rsid w:val="00913177"/>
    <w:rsid w:val="00925BA4"/>
    <w:rsid w:val="009272C2"/>
    <w:rsid w:val="00934E09"/>
    <w:rsid w:val="00936253"/>
    <w:rsid w:val="009462BA"/>
    <w:rsid w:val="00966BDB"/>
    <w:rsid w:val="009676CF"/>
    <w:rsid w:val="00970FED"/>
    <w:rsid w:val="00984B3F"/>
    <w:rsid w:val="0098522D"/>
    <w:rsid w:val="0099107C"/>
    <w:rsid w:val="009921F4"/>
    <w:rsid w:val="00997029"/>
    <w:rsid w:val="009B0D2F"/>
    <w:rsid w:val="009B0DB2"/>
    <w:rsid w:val="009B7BF7"/>
    <w:rsid w:val="009C2757"/>
    <w:rsid w:val="009C5999"/>
    <w:rsid w:val="009D0DE5"/>
    <w:rsid w:val="009D1C08"/>
    <w:rsid w:val="009D2B93"/>
    <w:rsid w:val="009D4E3F"/>
    <w:rsid w:val="009D690D"/>
    <w:rsid w:val="009E5FBD"/>
    <w:rsid w:val="009E65B6"/>
    <w:rsid w:val="00A007F5"/>
    <w:rsid w:val="00A14160"/>
    <w:rsid w:val="00A22E37"/>
    <w:rsid w:val="00A40E15"/>
    <w:rsid w:val="00A42AC3"/>
    <w:rsid w:val="00A430CF"/>
    <w:rsid w:val="00A50EFB"/>
    <w:rsid w:val="00A54309"/>
    <w:rsid w:val="00A54F85"/>
    <w:rsid w:val="00A73668"/>
    <w:rsid w:val="00A75D77"/>
    <w:rsid w:val="00A847BF"/>
    <w:rsid w:val="00A976B0"/>
    <w:rsid w:val="00A977BA"/>
    <w:rsid w:val="00AB2B93"/>
    <w:rsid w:val="00AB32BC"/>
    <w:rsid w:val="00AB783D"/>
    <w:rsid w:val="00AC28EC"/>
    <w:rsid w:val="00AD1084"/>
    <w:rsid w:val="00AE0EF1"/>
    <w:rsid w:val="00B06381"/>
    <w:rsid w:val="00B07301"/>
    <w:rsid w:val="00B10E7E"/>
    <w:rsid w:val="00B12C1D"/>
    <w:rsid w:val="00B1368E"/>
    <w:rsid w:val="00B13918"/>
    <w:rsid w:val="00B2068F"/>
    <w:rsid w:val="00B224DE"/>
    <w:rsid w:val="00B242C0"/>
    <w:rsid w:val="00B309EA"/>
    <w:rsid w:val="00B34029"/>
    <w:rsid w:val="00B34841"/>
    <w:rsid w:val="00B44ADB"/>
    <w:rsid w:val="00B507D0"/>
    <w:rsid w:val="00B65A82"/>
    <w:rsid w:val="00B84489"/>
    <w:rsid w:val="00B84BBD"/>
    <w:rsid w:val="00B933D9"/>
    <w:rsid w:val="00B96909"/>
    <w:rsid w:val="00BA012A"/>
    <w:rsid w:val="00BA43FB"/>
    <w:rsid w:val="00BA46A9"/>
    <w:rsid w:val="00BB5A23"/>
    <w:rsid w:val="00BC02D6"/>
    <w:rsid w:val="00BC127D"/>
    <w:rsid w:val="00BC1FE6"/>
    <w:rsid w:val="00BD2A1E"/>
    <w:rsid w:val="00BD4C24"/>
    <w:rsid w:val="00BD57DA"/>
    <w:rsid w:val="00BD6F6E"/>
    <w:rsid w:val="00BE4FF3"/>
    <w:rsid w:val="00BF547E"/>
    <w:rsid w:val="00C024C8"/>
    <w:rsid w:val="00C061B6"/>
    <w:rsid w:val="00C10763"/>
    <w:rsid w:val="00C1320D"/>
    <w:rsid w:val="00C21647"/>
    <w:rsid w:val="00C21DBF"/>
    <w:rsid w:val="00C2446C"/>
    <w:rsid w:val="00C32B5D"/>
    <w:rsid w:val="00C36AE5"/>
    <w:rsid w:val="00C37CB9"/>
    <w:rsid w:val="00C40F00"/>
    <w:rsid w:val="00C41F17"/>
    <w:rsid w:val="00C54BF4"/>
    <w:rsid w:val="00C5791C"/>
    <w:rsid w:val="00C60D87"/>
    <w:rsid w:val="00C66290"/>
    <w:rsid w:val="00C70A2C"/>
    <w:rsid w:val="00C72B7A"/>
    <w:rsid w:val="00C973F2"/>
    <w:rsid w:val="00CA2935"/>
    <w:rsid w:val="00CA3412"/>
    <w:rsid w:val="00CA4B03"/>
    <w:rsid w:val="00CA4CA7"/>
    <w:rsid w:val="00CA772B"/>
    <w:rsid w:val="00CA774A"/>
    <w:rsid w:val="00CC11B0"/>
    <w:rsid w:val="00CC3FD9"/>
    <w:rsid w:val="00CC4F3C"/>
    <w:rsid w:val="00CF07F3"/>
    <w:rsid w:val="00CF7E36"/>
    <w:rsid w:val="00D138FA"/>
    <w:rsid w:val="00D233D8"/>
    <w:rsid w:val="00D24210"/>
    <w:rsid w:val="00D25E7D"/>
    <w:rsid w:val="00D3489D"/>
    <w:rsid w:val="00D3708D"/>
    <w:rsid w:val="00D40426"/>
    <w:rsid w:val="00D43A76"/>
    <w:rsid w:val="00D43E24"/>
    <w:rsid w:val="00D57C96"/>
    <w:rsid w:val="00D621E7"/>
    <w:rsid w:val="00D6450E"/>
    <w:rsid w:val="00D6692D"/>
    <w:rsid w:val="00D80A3D"/>
    <w:rsid w:val="00D91203"/>
    <w:rsid w:val="00D95174"/>
    <w:rsid w:val="00D95A5C"/>
    <w:rsid w:val="00DA48C1"/>
    <w:rsid w:val="00DA6F36"/>
    <w:rsid w:val="00DB6CE6"/>
    <w:rsid w:val="00DC00EA"/>
    <w:rsid w:val="00DE3859"/>
    <w:rsid w:val="00DF2472"/>
    <w:rsid w:val="00DF28A5"/>
    <w:rsid w:val="00DF6C56"/>
    <w:rsid w:val="00E01B7B"/>
    <w:rsid w:val="00E1361F"/>
    <w:rsid w:val="00E16C51"/>
    <w:rsid w:val="00E16F72"/>
    <w:rsid w:val="00E23920"/>
    <w:rsid w:val="00E37E03"/>
    <w:rsid w:val="00E40389"/>
    <w:rsid w:val="00E45120"/>
    <w:rsid w:val="00E46D1A"/>
    <w:rsid w:val="00E53C36"/>
    <w:rsid w:val="00E607B1"/>
    <w:rsid w:val="00E7182D"/>
    <w:rsid w:val="00E72D49"/>
    <w:rsid w:val="00E7593C"/>
    <w:rsid w:val="00E7678A"/>
    <w:rsid w:val="00E918EC"/>
    <w:rsid w:val="00E935F1"/>
    <w:rsid w:val="00E94A81"/>
    <w:rsid w:val="00EA1FFB"/>
    <w:rsid w:val="00EB048E"/>
    <w:rsid w:val="00EB3EFA"/>
    <w:rsid w:val="00EC4922"/>
    <w:rsid w:val="00EC510B"/>
    <w:rsid w:val="00ED1516"/>
    <w:rsid w:val="00EE717D"/>
    <w:rsid w:val="00EF2F89"/>
    <w:rsid w:val="00F01CF0"/>
    <w:rsid w:val="00F04DEB"/>
    <w:rsid w:val="00F050A6"/>
    <w:rsid w:val="00F11AFE"/>
    <w:rsid w:val="00F1237A"/>
    <w:rsid w:val="00F13245"/>
    <w:rsid w:val="00F13B8A"/>
    <w:rsid w:val="00F2271C"/>
    <w:rsid w:val="00F22CBD"/>
    <w:rsid w:val="00F32656"/>
    <w:rsid w:val="00F3608F"/>
    <w:rsid w:val="00F37961"/>
    <w:rsid w:val="00F53DB7"/>
    <w:rsid w:val="00F6334D"/>
    <w:rsid w:val="00F7089C"/>
    <w:rsid w:val="00F72F8E"/>
    <w:rsid w:val="00F82280"/>
    <w:rsid w:val="00F917BB"/>
    <w:rsid w:val="00F92425"/>
    <w:rsid w:val="00F92F9B"/>
    <w:rsid w:val="00FA49AB"/>
    <w:rsid w:val="00FB0D37"/>
    <w:rsid w:val="00FB158B"/>
    <w:rsid w:val="00FB1C61"/>
    <w:rsid w:val="00FB4320"/>
    <w:rsid w:val="00FC7172"/>
    <w:rsid w:val="00FC77C6"/>
    <w:rsid w:val="00FD18D1"/>
    <w:rsid w:val="00FD2367"/>
    <w:rsid w:val="00FD4400"/>
    <w:rsid w:val="00FD7150"/>
    <w:rsid w:val="00FE3190"/>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857"/>
    <w:pPr>
      <w:jc w:val="both"/>
    </w:pPr>
    <w:rPr>
      <w:rFonts w:ascii="Arial" w:hAnsi="Arial"/>
    </w:rPr>
  </w:style>
  <w:style w:type="paragraph" w:styleId="Heading1">
    <w:name w:val="heading 1"/>
    <w:next w:val="Normal"/>
    <w:autoRedefine/>
    <w:qFormat/>
    <w:rsid w:val="00535FA4"/>
    <w:pPr>
      <w:keepNext/>
      <w:ind w:left="567" w:hanging="567"/>
      <w:jc w:val="both"/>
      <w:outlineLvl w:val="0"/>
    </w:pPr>
    <w:rPr>
      <w:rFonts w:ascii="Arial" w:hAnsi="Arial"/>
      <w:caps/>
      <w:szCs w:val="24"/>
    </w:rPr>
  </w:style>
  <w:style w:type="paragraph" w:styleId="Heading2">
    <w:name w:val="heading 2"/>
    <w:next w:val="Normal"/>
    <w:autoRedefine/>
    <w:qFormat/>
    <w:rsid w:val="00204B18"/>
    <w:pPr>
      <w:keepNext/>
      <w:jc w:val="both"/>
      <w:outlineLvl w:val="1"/>
    </w:pPr>
    <w:rPr>
      <w:rFonts w:ascii="Arial" w:eastAsia="Arial" w:hAnsi="Arial"/>
      <w:spacing w:val="-2"/>
      <w:u w:val="single"/>
      <w:lang w:val="fr-FR"/>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uiPriority w:val="99"/>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A6E24"/>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6A6E24"/>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6A6E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A6E24"/>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E5B9C"/>
    <w:rPr>
      <w:rFonts w:ascii="Arial" w:hAnsi="Arial"/>
      <w:i/>
    </w:rPr>
  </w:style>
  <w:style w:type="character" w:customStyle="1" w:styleId="FootnoteTextChar">
    <w:name w:val="Footnote Text Char"/>
    <w:basedOn w:val="DefaultParagraphFont"/>
    <w:link w:val="FootnoteText"/>
    <w:uiPriority w:val="99"/>
    <w:locked/>
    <w:rsid w:val="004E5B9C"/>
    <w:rPr>
      <w:rFonts w:ascii="Arial" w:hAnsi="Arial"/>
      <w:sz w:val="16"/>
    </w:rPr>
  </w:style>
  <w:style w:type="paragraph" w:styleId="NormalWeb">
    <w:name w:val="Normal (Web)"/>
    <w:basedOn w:val="Normal"/>
    <w:uiPriority w:val="99"/>
    <w:unhideWhenUsed/>
    <w:rsid w:val="004E5B9C"/>
    <w:pPr>
      <w:spacing w:before="100" w:beforeAutospacing="1" w:after="100" w:afterAutospacing="1"/>
      <w:jc w:val="left"/>
    </w:pPr>
    <w:rPr>
      <w:rFonts w:ascii="Times New Roman" w:hAnsi="Times New Roman"/>
      <w:sz w:val="24"/>
      <w:szCs w:val="24"/>
    </w:rPr>
  </w:style>
  <w:style w:type="table" w:styleId="TableGrid">
    <w:name w:val="Table Grid"/>
    <w:basedOn w:val="TableNormal"/>
    <w:rsid w:val="00FB1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B0F"/>
    <w:pPr>
      <w:ind w:left="720"/>
      <w:contextualSpacing/>
    </w:pPr>
  </w:style>
  <w:style w:type="paragraph" w:styleId="TOCHeading">
    <w:name w:val="TOC Heading"/>
    <w:basedOn w:val="Heading1"/>
    <w:next w:val="Normal"/>
    <w:uiPriority w:val="39"/>
    <w:semiHidden/>
    <w:unhideWhenUsed/>
    <w:qFormat/>
    <w:rsid w:val="006A6E2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3Char">
    <w:name w:val="Heading 3 Char"/>
    <w:basedOn w:val="DefaultParagraphFont"/>
    <w:link w:val="Heading3"/>
    <w:rsid w:val="000B2AC7"/>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857"/>
    <w:pPr>
      <w:jc w:val="both"/>
    </w:pPr>
    <w:rPr>
      <w:rFonts w:ascii="Arial" w:hAnsi="Arial"/>
    </w:rPr>
  </w:style>
  <w:style w:type="paragraph" w:styleId="Heading1">
    <w:name w:val="heading 1"/>
    <w:next w:val="Normal"/>
    <w:autoRedefine/>
    <w:qFormat/>
    <w:rsid w:val="00535FA4"/>
    <w:pPr>
      <w:keepNext/>
      <w:ind w:left="567" w:hanging="567"/>
      <w:jc w:val="both"/>
      <w:outlineLvl w:val="0"/>
    </w:pPr>
    <w:rPr>
      <w:rFonts w:ascii="Arial" w:hAnsi="Arial"/>
      <w:caps/>
      <w:szCs w:val="24"/>
    </w:rPr>
  </w:style>
  <w:style w:type="paragraph" w:styleId="Heading2">
    <w:name w:val="heading 2"/>
    <w:next w:val="Normal"/>
    <w:autoRedefine/>
    <w:qFormat/>
    <w:rsid w:val="00204B18"/>
    <w:pPr>
      <w:keepNext/>
      <w:jc w:val="both"/>
      <w:outlineLvl w:val="1"/>
    </w:pPr>
    <w:rPr>
      <w:rFonts w:ascii="Arial" w:eastAsia="Arial" w:hAnsi="Arial"/>
      <w:spacing w:val="-2"/>
      <w:u w:val="single"/>
      <w:lang w:val="fr-FR"/>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uiPriority w:val="99"/>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A6E24"/>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6A6E24"/>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6A6E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A6E24"/>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E5B9C"/>
    <w:rPr>
      <w:rFonts w:ascii="Arial" w:hAnsi="Arial"/>
      <w:i/>
    </w:rPr>
  </w:style>
  <w:style w:type="character" w:customStyle="1" w:styleId="FootnoteTextChar">
    <w:name w:val="Footnote Text Char"/>
    <w:basedOn w:val="DefaultParagraphFont"/>
    <w:link w:val="FootnoteText"/>
    <w:uiPriority w:val="99"/>
    <w:locked/>
    <w:rsid w:val="004E5B9C"/>
    <w:rPr>
      <w:rFonts w:ascii="Arial" w:hAnsi="Arial"/>
      <w:sz w:val="16"/>
    </w:rPr>
  </w:style>
  <w:style w:type="paragraph" w:styleId="NormalWeb">
    <w:name w:val="Normal (Web)"/>
    <w:basedOn w:val="Normal"/>
    <w:uiPriority w:val="99"/>
    <w:unhideWhenUsed/>
    <w:rsid w:val="004E5B9C"/>
    <w:pPr>
      <w:spacing w:before="100" w:beforeAutospacing="1" w:after="100" w:afterAutospacing="1"/>
      <w:jc w:val="left"/>
    </w:pPr>
    <w:rPr>
      <w:rFonts w:ascii="Times New Roman" w:hAnsi="Times New Roman"/>
      <w:sz w:val="24"/>
      <w:szCs w:val="24"/>
    </w:rPr>
  </w:style>
  <w:style w:type="table" w:styleId="TableGrid">
    <w:name w:val="Table Grid"/>
    <w:basedOn w:val="TableNormal"/>
    <w:rsid w:val="00FB1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B0F"/>
    <w:pPr>
      <w:ind w:left="720"/>
      <w:contextualSpacing/>
    </w:pPr>
  </w:style>
  <w:style w:type="paragraph" w:styleId="TOCHeading">
    <w:name w:val="TOC Heading"/>
    <w:basedOn w:val="Heading1"/>
    <w:next w:val="Normal"/>
    <w:uiPriority w:val="39"/>
    <w:semiHidden/>
    <w:unhideWhenUsed/>
    <w:qFormat/>
    <w:rsid w:val="006A6E2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3Char">
    <w:name w:val="Heading 3 Char"/>
    <w:basedOn w:val="DefaultParagraphFont"/>
    <w:link w:val="Heading3"/>
    <w:rsid w:val="000B2AC7"/>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410">
      <w:bodyDiv w:val="1"/>
      <w:marLeft w:val="0"/>
      <w:marRight w:val="0"/>
      <w:marTop w:val="0"/>
      <w:marBottom w:val="0"/>
      <w:divBdr>
        <w:top w:val="none" w:sz="0" w:space="0" w:color="auto"/>
        <w:left w:val="none" w:sz="0" w:space="0" w:color="auto"/>
        <w:bottom w:val="none" w:sz="0" w:space="0" w:color="auto"/>
        <w:right w:val="none" w:sz="0" w:space="0" w:color="auto"/>
      </w:divBdr>
    </w:div>
    <w:div w:id="13773625">
      <w:bodyDiv w:val="1"/>
      <w:marLeft w:val="0"/>
      <w:marRight w:val="0"/>
      <w:marTop w:val="0"/>
      <w:marBottom w:val="0"/>
      <w:divBdr>
        <w:top w:val="none" w:sz="0" w:space="0" w:color="auto"/>
        <w:left w:val="none" w:sz="0" w:space="0" w:color="auto"/>
        <w:bottom w:val="none" w:sz="0" w:space="0" w:color="auto"/>
        <w:right w:val="none" w:sz="0" w:space="0" w:color="auto"/>
      </w:divBdr>
      <w:divsChild>
        <w:div w:id="2092267202">
          <w:marLeft w:val="0"/>
          <w:marRight w:val="0"/>
          <w:marTop w:val="0"/>
          <w:marBottom w:val="0"/>
          <w:divBdr>
            <w:top w:val="none" w:sz="0" w:space="0" w:color="auto"/>
            <w:left w:val="none" w:sz="0" w:space="0" w:color="auto"/>
            <w:bottom w:val="none" w:sz="0" w:space="0" w:color="auto"/>
            <w:right w:val="none" w:sz="0" w:space="0" w:color="auto"/>
          </w:divBdr>
        </w:div>
        <w:div w:id="402065302">
          <w:marLeft w:val="0"/>
          <w:marRight w:val="0"/>
          <w:marTop w:val="0"/>
          <w:marBottom w:val="0"/>
          <w:divBdr>
            <w:top w:val="none" w:sz="0" w:space="0" w:color="auto"/>
            <w:left w:val="none" w:sz="0" w:space="0" w:color="auto"/>
            <w:bottom w:val="none" w:sz="0" w:space="0" w:color="auto"/>
            <w:right w:val="none" w:sz="0" w:space="0" w:color="auto"/>
          </w:divBdr>
        </w:div>
      </w:divsChild>
    </w:div>
    <w:div w:id="23989997">
      <w:bodyDiv w:val="1"/>
      <w:marLeft w:val="0"/>
      <w:marRight w:val="0"/>
      <w:marTop w:val="0"/>
      <w:marBottom w:val="0"/>
      <w:divBdr>
        <w:top w:val="none" w:sz="0" w:space="0" w:color="auto"/>
        <w:left w:val="none" w:sz="0" w:space="0" w:color="auto"/>
        <w:bottom w:val="none" w:sz="0" w:space="0" w:color="auto"/>
        <w:right w:val="none" w:sz="0" w:space="0" w:color="auto"/>
      </w:divBdr>
    </w:div>
    <w:div w:id="190844110">
      <w:bodyDiv w:val="1"/>
      <w:marLeft w:val="0"/>
      <w:marRight w:val="0"/>
      <w:marTop w:val="0"/>
      <w:marBottom w:val="0"/>
      <w:divBdr>
        <w:top w:val="none" w:sz="0" w:space="0" w:color="auto"/>
        <w:left w:val="none" w:sz="0" w:space="0" w:color="auto"/>
        <w:bottom w:val="none" w:sz="0" w:space="0" w:color="auto"/>
        <w:right w:val="none" w:sz="0" w:space="0" w:color="auto"/>
      </w:divBdr>
    </w:div>
    <w:div w:id="445806917">
      <w:bodyDiv w:val="1"/>
      <w:marLeft w:val="0"/>
      <w:marRight w:val="0"/>
      <w:marTop w:val="0"/>
      <w:marBottom w:val="0"/>
      <w:divBdr>
        <w:top w:val="none" w:sz="0" w:space="0" w:color="auto"/>
        <w:left w:val="none" w:sz="0" w:space="0" w:color="auto"/>
        <w:bottom w:val="none" w:sz="0" w:space="0" w:color="auto"/>
        <w:right w:val="none" w:sz="0" w:space="0" w:color="auto"/>
      </w:divBdr>
    </w:div>
    <w:div w:id="585503416">
      <w:bodyDiv w:val="1"/>
      <w:marLeft w:val="0"/>
      <w:marRight w:val="0"/>
      <w:marTop w:val="0"/>
      <w:marBottom w:val="0"/>
      <w:divBdr>
        <w:top w:val="none" w:sz="0" w:space="0" w:color="auto"/>
        <w:left w:val="none" w:sz="0" w:space="0" w:color="auto"/>
        <w:bottom w:val="none" w:sz="0" w:space="0" w:color="auto"/>
        <w:right w:val="none" w:sz="0" w:space="0" w:color="auto"/>
      </w:divBdr>
    </w:div>
    <w:div w:id="604658043">
      <w:bodyDiv w:val="1"/>
      <w:marLeft w:val="0"/>
      <w:marRight w:val="0"/>
      <w:marTop w:val="0"/>
      <w:marBottom w:val="0"/>
      <w:divBdr>
        <w:top w:val="none" w:sz="0" w:space="0" w:color="auto"/>
        <w:left w:val="none" w:sz="0" w:space="0" w:color="auto"/>
        <w:bottom w:val="none" w:sz="0" w:space="0" w:color="auto"/>
        <w:right w:val="none" w:sz="0" w:space="0" w:color="auto"/>
      </w:divBdr>
    </w:div>
    <w:div w:id="610742040">
      <w:bodyDiv w:val="1"/>
      <w:marLeft w:val="0"/>
      <w:marRight w:val="0"/>
      <w:marTop w:val="0"/>
      <w:marBottom w:val="0"/>
      <w:divBdr>
        <w:top w:val="none" w:sz="0" w:space="0" w:color="auto"/>
        <w:left w:val="none" w:sz="0" w:space="0" w:color="auto"/>
        <w:bottom w:val="none" w:sz="0" w:space="0" w:color="auto"/>
        <w:right w:val="none" w:sz="0" w:space="0" w:color="auto"/>
      </w:divBdr>
    </w:div>
    <w:div w:id="645620924">
      <w:bodyDiv w:val="1"/>
      <w:marLeft w:val="0"/>
      <w:marRight w:val="0"/>
      <w:marTop w:val="0"/>
      <w:marBottom w:val="0"/>
      <w:divBdr>
        <w:top w:val="none" w:sz="0" w:space="0" w:color="auto"/>
        <w:left w:val="none" w:sz="0" w:space="0" w:color="auto"/>
        <w:bottom w:val="none" w:sz="0" w:space="0" w:color="auto"/>
        <w:right w:val="none" w:sz="0" w:space="0" w:color="auto"/>
      </w:divBdr>
    </w:div>
    <w:div w:id="681711501">
      <w:bodyDiv w:val="1"/>
      <w:marLeft w:val="0"/>
      <w:marRight w:val="0"/>
      <w:marTop w:val="0"/>
      <w:marBottom w:val="0"/>
      <w:divBdr>
        <w:top w:val="none" w:sz="0" w:space="0" w:color="auto"/>
        <w:left w:val="none" w:sz="0" w:space="0" w:color="auto"/>
        <w:bottom w:val="none" w:sz="0" w:space="0" w:color="auto"/>
        <w:right w:val="none" w:sz="0" w:space="0" w:color="auto"/>
      </w:divBdr>
    </w:div>
    <w:div w:id="725832743">
      <w:bodyDiv w:val="1"/>
      <w:marLeft w:val="0"/>
      <w:marRight w:val="0"/>
      <w:marTop w:val="0"/>
      <w:marBottom w:val="0"/>
      <w:divBdr>
        <w:top w:val="none" w:sz="0" w:space="0" w:color="auto"/>
        <w:left w:val="none" w:sz="0" w:space="0" w:color="auto"/>
        <w:bottom w:val="none" w:sz="0" w:space="0" w:color="auto"/>
        <w:right w:val="none" w:sz="0" w:space="0" w:color="auto"/>
      </w:divBdr>
    </w:div>
    <w:div w:id="1001085460">
      <w:bodyDiv w:val="1"/>
      <w:marLeft w:val="0"/>
      <w:marRight w:val="0"/>
      <w:marTop w:val="0"/>
      <w:marBottom w:val="0"/>
      <w:divBdr>
        <w:top w:val="none" w:sz="0" w:space="0" w:color="auto"/>
        <w:left w:val="none" w:sz="0" w:space="0" w:color="auto"/>
        <w:bottom w:val="none" w:sz="0" w:space="0" w:color="auto"/>
        <w:right w:val="none" w:sz="0" w:space="0" w:color="auto"/>
      </w:divBdr>
    </w:div>
    <w:div w:id="1486361186">
      <w:bodyDiv w:val="1"/>
      <w:marLeft w:val="0"/>
      <w:marRight w:val="0"/>
      <w:marTop w:val="0"/>
      <w:marBottom w:val="0"/>
      <w:divBdr>
        <w:top w:val="none" w:sz="0" w:space="0" w:color="auto"/>
        <w:left w:val="none" w:sz="0" w:space="0" w:color="auto"/>
        <w:bottom w:val="none" w:sz="0" w:space="0" w:color="auto"/>
        <w:right w:val="none" w:sz="0" w:space="0" w:color="auto"/>
      </w:divBdr>
    </w:div>
    <w:div w:id="1500270449">
      <w:bodyDiv w:val="1"/>
      <w:marLeft w:val="0"/>
      <w:marRight w:val="0"/>
      <w:marTop w:val="0"/>
      <w:marBottom w:val="0"/>
      <w:divBdr>
        <w:top w:val="none" w:sz="0" w:space="0" w:color="auto"/>
        <w:left w:val="none" w:sz="0" w:space="0" w:color="auto"/>
        <w:bottom w:val="none" w:sz="0" w:space="0" w:color="auto"/>
        <w:right w:val="none" w:sz="0" w:space="0" w:color="auto"/>
      </w:divBdr>
    </w:div>
    <w:div w:id="1507289399">
      <w:bodyDiv w:val="1"/>
      <w:marLeft w:val="0"/>
      <w:marRight w:val="0"/>
      <w:marTop w:val="0"/>
      <w:marBottom w:val="0"/>
      <w:divBdr>
        <w:top w:val="none" w:sz="0" w:space="0" w:color="auto"/>
        <w:left w:val="none" w:sz="0" w:space="0" w:color="auto"/>
        <w:bottom w:val="none" w:sz="0" w:space="0" w:color="auto"/>
        <w:right w:val="none" w:sz="0" w:space="0" w:color="auto"/>
      </w:divBdr>
    </w:div>
    <w:div w:id="1535078257">
      <w:bodyDiv w:val="1"/>
      <w:marLeft w:val="0"/>
      <w:marRight w:val="0"/>
      <w:marTop w:val="0"/>
      <w:marBottom w:val="0"/>
      <w:divBdr>
        <w:top w:val="none" w:sz="0" w:space="0" w:color="auto"/>
        <w:left w:val="none" w:sz="0" w:space="0" w:color="auto"/>
        <w:bottom w:val="none" w:sz="0" w:space="0" w:color="auto"/>
        <w:right w:val="none" w:sz="0" w:space="0" w:color="auto"/>
      </w:divBdr>
    </w:div>
    <w:div w:id="1562903551">
      <w:bodyDiv w:val="1"/>
      <w:marLeft w:val="0"/>
      <w:marRight w:val="0"/>
      <w:marTop w:val="0"/>
      <w:marBottom w:val="0"/>
      <w:divBdr>
        <w:top w:val="none" w:sz="0" w:space="0" w:color="auto"/>
        <w:left w:val="none" w:sz="0" w:space="0" w:color="auto"/>
        <w:bottom w:val="none" w:sz="0" w:space="0" w:color="auto"/>
        <w:right w:val="none" w:sz="0" w:space="0" w:color="auto"/>
      </w:divBdr>
    </w:div>
    <w:div w:id="1636137772">
      <w:bodyDiv w:val="1"/>
      <w:marLeft w:val="0"/>
      <w:marRight w:val="0"/>
      <w:marTop w:val="0"/>
      <w:marBottom w:val="0"/>
      <w:divBdr>
        <w:top w:val="none" w:sz="0" w:space="0" w:color="auto"/>
        <w:left w:val="none" w:sz="0" w:space="0" w:color="auto"/>
        <w:bottom w:val="none" w:sz="0" w:space="0" w:color="auto"/>
        <w:right w:val="none" w:sz="0" w:space="0" w:color="auto"/>
      </w:divBdr>
    </w:div>
    <w:div w:id="1652174877">
      <w:bodyDiv w:val="1"/>
      <w:marLeft w:val="0"/>
      <w:marRight w:val="0"/>
      <w:marTop w:val="0"/>
      <w:marBottom w:val="0"/>
      <w:divBdr>
        <w:top w:val="none" w:sz="0" w:space="0" w:color="auto"/>
        <w:left w:val="none" w:sz="0" w:space="0" w:color="auto"/>
        <w:bottom w:val="none" w:sz="0" w:space="0" w:color="auto"/>
        <w:right w:val="none" w:sz="0" w:space="0" w:color="auto"/>
      </w:divBdr>
    </w:div>
    <w:div w:id="1657491926">
      <w:bodyDiv w:val="1"/>
      <w:marLeft w:val="0"/>
      <w:marRight w:val="0"/>
      <w:marTop w:val="0"/>
      <w:marBottom w:val="0"/>
      <w:divBdr>
        <w:top w:val="none" w:sz="0" w:space="0" w:color="auto"/>
        <w:left w:val="none" w:sz="0" w:space="0" w:color="auto"/>
        <w:bottom w:val="none" w:sz="0" w:space="0" w:color="auto"/>
        <w:right w:val="none" w:sz="0" w:space="0" w:color="auto"/>
      </w:divBdr>
    </w:div>
    <w:div w:id="1756124919">
      <w:bodyDiv w:val="1"/>
      <w:marLeft w:val="0"/>
      <w:marRight w:val="0"/>
      <w:marTop w:val="0"/>
      <w:marBottom w:val="0"/>
      <w:divBdr>
        <w:top w:val="none" w:sz="0" w:space="0" w:color="auto"/>
        <w:left w:val="none" w:sz="0" w:space="0" w:color="auto"/>
        <w:bottom w:val="none" w:sz="0" w:space="0" w:color="auto"/>
        <w:right w:val="none" w:sz="0" w:space="0" w:color="auto"/>
      </w:divBdr>
      <w:divsChild>
        <w:div w:id="894195663">
          <w:marLeft w:val="0"/>
          <w:marRight w:val="0"/>
          <w:marTop w:val="0"/>
          <w:marBottom w:val="0"/>
          <w:divBdr>
            <w:top w:val="none" w:sz="0" w:space="0" w:color="auto"/>
            <w:left w:val="none" w:sz="0" w:space="0" w:color="auto"/>
            <w:bottom w:val="none" w:sz="0" w:space="0" w:color="auto"/>
            <w:right w:val="none" w:sz="0" w:space="0" w:color="auto"/>
          </w:divBdr>
        </w:div>
        <w:div w:id="909850187">
          <w:marLeft w:val="0"/>
          <w:marRight w:val="0"/>
          <w:marTop w:val="0"/>
          <w:marBottom w:val="0"/>
          <w:divBdr>
            <w:top w:val="none" w:sz="0" w:space="0" w:color="auto"/>
            <w:left w:val="none" w:sz="0" w:space="0" w:color="auto"/>
            <w:bottom w:val="none" w:sz="0" w:space="0" w:color="auto"/>
            <w:right w:val="none" w:sz="0" w:space="0" w:color="auto"/>
          </w:divBdr>
        </w:div>
        <w:div w:id="1785687772">
          <w:marLeft w:val="0"/>
          <w:marRight w:val="0"/>
          <w:marTop w:val="0"/>
          <w:marBottom w:val="0"/>
          <w:divBdr>
            <w:top w:val="none" w:sz="0" w:space="0" w:color="auto"/>
            <w:left w:val="none" w:sz="0" w:space="0" w:color="auto"/>
            <w:bottom w:val="none" w:sz="0" w:space="0" w:color="auto"/>
            <w:right w:val="none" w:sz="0" w:space="0" w:color="auto"/>
          </w:divBdr>
        </w:div>
        <w:div w:id="117914684">
          <w:marLeft w:val="0"/>
          <w:marRight w:val="0"/>
          <w:marTop w:val="0"/>
          <w:marBottom w:val="0"/>
          <w:divBdr>
            <w:top w:val="none" w:sz="0" w:space="0" w:color="auto"/>
            <w:left w:val="none" w:sz="0" w:space="0" w:color="auto"/>
            <w:bottom w:val="none" w:sz="0" w:space="0" w:color="auto"/>
            <w:right w:val="none" w:sz="0" w:space="0" w:color="auto"/>
          </w:divBdr>
        </w:div>
      </w:divsChild>
    </w:div>
    <w:div w:id="1787893971">
      <w:bodyDiv w:val="1"/>
      <w:marLeft w:val="0"/>
      <w:marRight w:val="0"/>
      <w:marTop w:val="0"/>
      <w:marBottom w:val="0"/>
      <w:divBdr>
        <w:top w:val="none" w:sz="0" w:space="0" w:color="auto"/>
        <w:left w:val="none" w:sz="0" w:space="0" w:color="auto"/>
        <w:bottom w:val="none" w:sz="0" w:space="0" w:color="auto"/>
        <w:right w:val="none" w:sz="0" w:space="0" w:color="auto"/>
      </w:divBdr>
    </w:div>
    <w:div w:id="181471032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 w:id="1868523822">
      <w:bodyDiv w:val="1"/>
      <w:marLeft w:val="0"/>
      <w:marRight w:val="0"/>
      <w:marTop w:val="0"/>
      <w:marBottom w:val="0"/>
      <w:divBdr>
        <w:top w:val="none" w:sz="0" w:space="0" w:color="auto"/>
        <w:left w:val="none" w:sz="0" w:space="0" w:color="auto"/>
        <w:bottom w:val="none" w:sz="0" w:space="0" w:color="auto"/>
        <w:right w:val="none" w:sz="0" w:space="0" w:color="auto"/>
      </w:divBdr>
    </w:div>
    <w:div w:id="1922565794">
      <w:bodyDiv w:val="1"/>
      <w:marLeft w:val="0"/>
      <w:marRight w:val="0"/>
      <w:marTop w:val="0"/>
      <w:marBottom w:val="0"/>
      <w:divBdr>
        <w:top w:val="none" w:sz="0" w:space="0" w:color="auto"/>
        <w:left w:val="none" w:sz="0" w:space="0" w:color="auto"/>
        <w:bottom w:val="none" w:sz="0" w:space="0" w:color="auto"/>
        <w:right w:val="none" w:sz="0" w:space="0" w:color="auto"/>
      </w:divBdr>
    </w:div>
    <w:div w:id="2016762893">
      <w:bodyDiv w:val="1"/>
      <w:marLeft w:val="0"/>
      <w:marRight w:val="0"/>
      <w:marTop w:val="0"/>
      <w:marBottom w:val="0"/>
      <w:divBdr>
        <w:top w:val="none" w:sz="0" w:space="0" w:color="auto"/>
        <w:left w:val="none" w:sz="0" w:space="0" w:color="auto"/>
        <w:bottom w:val="none" w:sz="0" w:space="0" w:color="auto"/>
        <w:right w:val="none" w:sz="0" w:space="0" w:color="auto"/>
      </w:divBdr>
    </w:div>
    <w:div w:id="2065105193">
      <w:bodyDiv w:val="1"/>
      <w:marLeft w:val="0"/>
      <w:marRight w:val="0"/>
      <w:marTop w:val="0"/>
      <w:marBottom w:val="0"/>
      <w:divBdr>
        <w:top w:val="none" w:sz="0" w:space="0" w:color="auto"/>
        <w:left w:val="none" w:sz="0" w:space="0" w:color="auto"/>
        <w:bottom w:val="none" w:sz="0" w:space="0" w:color="auto"/>
        <w:right w:val="none" w:sz="0" w:space="0" w:color="auto"/>
      </w:divBdr>
    </w:div>
    <w:div w:id="209716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pov.int/resource/fr/subscribe.jsp" TargetMode="External"/><Relationship Id="rId18" Type="http://schemas.openxmlformats.org/officeDocument/2006/relationships/hyperlink" Target="http://www.upov.int/tgp/f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upov.int/test_guidelines/fr/" TargetMode="External"/><Relationship Id="rId7" Type="http://schemas.openxmlformats.org/officeDocument/2006/relationships/webSettings" Target="webSettings.xml"/><Relationship Id="rId12" Type="http://schemas.openxmlformats.org/officeDocument/2006/relationships/hyperlink" Target="http://www.upov.int/upov_collection/fr/" TargetMode="External"/><Relationship Id="rId17" Type="http://schemas.openxmlformats.org/officeDocument/2006/relationships/hyperlink" Target="http://www.upov.int/tgp/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pov.int/information_documents/fr/"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upov.int/tgp/e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hyperlink" Target="http://www.upov.int/explanatory_not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2D18-7336-455D-A22B-C39B66E64C95}">
  <ds:schemaRefs>
    <ds:schemaRef ds:uri="http://schemas.openxmlformats.org/officeDocument/2006/bibliography"/>
  </ds:schemaRefs>
</ds:datastoreItem>
</file>

<file path=customXml/itemProps2.xml><?xml version="1.0" encoding="utf-8"?>
<ds:datastoreItem xmlns:ds="http://schemas.openxmlformats.org/officeDocument/2006/customXml" ds:itemID="{B1A327F3-C5C3-4F22-983B-B5B4BA82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13</Pages>
  <Words>4969</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34717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keywords>CV/mhf</cp:keywords>
  <cp:lastModifiedBy>BESSE Ariane</cp:lastModifiedBy>
  <cp:revision>161</cp:revision>
  <cp:lastPrinted>2014-09-12T08:20:00Z</cp:lastPrinted>
  <dcterms:created xsi:type="dcterms:W3CDTF">2014-08-01T13:12:00Z</dcterms:created>
  <dcterms:modified xsi:type="dcterms:W3CDTF">2014-09-12T14:47:00Z</dcterms:modified>
</cp:coreProperties>
</file>