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2D4E72" w:rsidRPr="00C86793" w:rsidTr="00726EED">
        <w:trPr>
          <w:trHeight w:val="1760"/>
        </w:trPr>
        <w:tc>
          <w:tcPr>
            <w:tcW w:w="4243" w:type="dxa"/>
          </w:tcPr>
          <w:p w:rsidR="00A15F3A" w:rsidRPr="002D4E72" w:rsidRDefault="00A15F3A" w:rsidP="00726EED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1646" w:type="dxa"/>
            <w:vAlign w:val="center"/>
          </w:tcPr>
          <w:p w:rsidR="00A15F3A" w:rsidRPr="002D4E72" w:rsidRDefault="00A15F3A" w:rsidP="00726EED">
            <w:pPr>
              <w:pStyle w:val="LogoUPOV"/>
              <w:rPr>
                <w:lang w:val="fr-FR"/>
              </w:rPr>
            </w:pPr>
            <w:r w:rsidRPr="002D4E72">
              <w:rPr>
                <w:noProof/>
              </w:rPr>
              <w:drawing>
                <wp:inline distT="0" distB="0" distL="0" distR="0" wp14:anchorId="7FD9293B" wp14:editId="490FAD33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A15F3A" w:rsidRPr="002D4E72" w:rsidRDefault="00A15F3A" w:rsidP="00726EED">
            <w:pPr>
              <w:pStyle w:val="Lettrine"/>
              <w:rPr>
                <w:lang w:val="fr-FR"/>
              </w:rPr>
            </w:pPr>
            <w:r w:rsidRPr="002D4E72">
              <w:rPr>
                <w:lang w:val="fr-FR"/>
              </w:rPr>
              <w:t>F</w:t>
            </w:r>
          </w:p>
          <w:p w:rsidR="00A15F3A" w:rsidRPr="002D4E72" w:rsidRDefault="00A15F3A" w:rsidP="00726EED">
            <w:pPr>
              <w:pStyle w:val="Docoriginal"/>
              <w:jc w:val="left"/>
              <w:rPr>
                <w:lang w:val="fr-FR"/>
              </w:rPr>
            </w:pPr>
            <w:r w:rsidRPr="002D4E72">
              <w:rPr>
                <w:lang w:val="fr-FR"/>
              </w:rPr>
              <w:t>CAJ/70/</w:t>
            </w:r>
            <w:bookmarkStart w:id="1" w:name="Code"/>
            <w:bookmarkEnd w:id="1"/>
            <w:r w:rsidRPr="002D4E72">
              <w:rPr>
                <w:lang w:val="fr-FR"/>
              </w:rPr>
              <w:t>4</w:t>
            </w:r>
          </w:p>
          <w:p w:rsidR="00A15F3A" w:rsidRPr="002D4E72" w:rsidRDefault="00A15F3A" w:rsidP="00726EED">
            <w:pPr>
              <w:pStyle w:val="Docoriginal"/>
              <w:jc w:val="left"/>
              <w:rPr>
                <w:lang w:val="fr-FR"/>
              </w:rPr>
            </w:pPr>
            <w:r w:rsidRPr="002D4E72">
              <w:rPr>
                <w:rStyle w:val="StyleDoclangBold"/>
                <w:b/>
                <w:bCs/>
                <w:spacing w:val="0"/>
                <w:lang w:val="fr-FR"/>
              </w:rPr>
              <w:t>ORIGINAL :</w:t>
            </w:r>
            <w:r w:rsidRPr="002D4E72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Original"/>
            <w:bookmarkEnd w:id="2"/>
            <w:r w:rsidRPr="002D4E72">
              <w:rPr>
                <w:rStyle w:val="StyleDocoriginalNotBold1"/>
                <w:spacing w:val="0"/>
                <w:lang w:val="fr-FR"/>
              </w:rPr>
              <w:t>anglais</w:t>
            </w:r>
          </w:p>
          <w:p w:rsidR="00A15F3A" w:rsidRPr="002D4E72" w:rsidRDefault="00A15F3A" w:rsidP="00A15F3A">
            <w:pPr>
              <w:pStyle w:val="Docoriginal"/>
              <w:jc w:val="left"/>
              <w:rPr>
                <w:b w:val="0"/>
                <w:spacing w:val="0"/>
                <w:lang w:val="fr-FR" w:eastAsia="ja-JP"/>
              </w:rPr>
            </w:pPr>
            <w:r w:rsidRPr="002D4E72">
              <w:rPr>
                <w:spacing w:val="0"/>
                <w:lang w:val="fr-FR"/>
              </w:rPr>
              <w:t>DATE :</w:t>
            </w:r>
            <w:r w:rsidRPr="002D4E72">
              <w:rPr>
                <w:b w:val="0"/>
                <w:spacing w:val="0"/>
                <w:lang w:val="fr-FR"/>
              </w:rPr>
              <w:t xml:space="preserve"> </w:t>
            </w:r>
            <w:bookmarkStart w:id="3" w:name="Date"/>
            <w:bookmarkEnd w:id="3"/>
            <w:r w:rsidR="00184710" w:rsidRPr="0094293E">
              <w:rPr>
                <w:b w:val="0"/>
                <w:spacing w:val="0"/>
                <w:lang w:val="fr-FR"/>
              </w:rPr>
              <w:t>14</w:t>
            </w:r>
            <w:r w:rsidRPr="0094293E">
              <w:rPr>
                <w:rStyle w:val="StyleDocoriginalNotBold1"/>
                <w:spacing w:val="0"/>
                <w:lang w:val="fr-FR" w:eastAsia="ja-JP"/>
              </w:rPr>
              <w:t> août </w:t>
            </w:r>
            <w:r w:rsidRPr="0094293E">
              <w:rPr>
                <w:b w:val="0"/>
                <w:spacing w:val="0"/>
                <w:lang w:val="fr-FR"/>
              </w:rPr>
              <w:t>201</w:t>
            </w:r>
            <w:r w:rsidRPr="0094293E">
              <w:rPr>
                <w:b w:val="0"/>
                <w:spacing w:val="0"/>
                <w:lang w:val="fr-FR" w:eastAsia="ja-JP"/>
              </w:rPr>
              <w:t>4</w:t>
            </w:r>
          </w:p>
        </w:tc>
      </w:tr>
      <w:tr w:rsidR="002D4E72" w:rsidRPr="00C86793" w:rsidTr="00726EED">
        <w:tc>
          <w:tcPr>
            <w:tcW w:w="10131" w:type="dxa"/>
            <w:gridSpan w:val="3"/>
          </w:tcPr>
          <w:p w:rsidR="00A15F3A" w:rsidRPr="002D4E72" w:rsidRDefault="00A15F3A" w:rsidP="00726EED">
            <w:pPr>
              <w:pStyle w:val="upove"/>
              <w:rPr>
                <w:caps/>
                <w:sz w:val="28"/>
                <w:lang w:val="fr-FR"/>
              </w:rPr>
            </w:pPr>
            <w:r w:rsidRPr="002D4E72">
              <w:rPr>
                <w:caps/>
                <w:snapToGrid w:val="0"/>
                <w:lang w:val="fr-FR"/>
              </w:rPr>
              <w:t xml:space="preserve">Union internationale pour la protection des obtentions végétales </w:t>
            </w:r>
          </w:p>
        </w:tc>
      </w:tr>
      <w:tr w:rsidR="002D4E72" w:rsidRPr="002D4E72" w:rsidTr="00726EED">
        <w:tc>
          <w:tcPr>
            <w:tcW w:w="10131" w:type="dxa"/>
            <w:gridSpan w:val="3"/>
          </w:tcPr>
          <w:p w:rsidR="00A15F3A" w:rsidRPr="002D4E72" w:rsidRDefault="00A15F3A" w:rsidP="00726EED">
            <w:pPr>
              <w:pStyle w:val="Country"/>
              <w:rPr>
                <w:lang w:val="fr-FR"/>
              </w:rPr>
            </w:pPr>
            <w:r w:rsidRPr="002D4E72">
              <w:rPr>
                <w:lang w:val="fr-FR"/>
              </w:rPr>
              <w:t>Genève</w:t>
            </w:r>
          </w:p>
        </w:tc>
      </w:tr>
    </w:tbl>
    <w:p w:rsidR="00A15F3A" w:rsidRPr="002D4E72" w:rsidRDefault="00A15F3A" w:rsidP="00A15F3A">
      <w:pPr>
        <w:pStyle w:val="Sessiontc"/>
        <w:rPr>
          <w:lang w:val="fr-FR"/>
        </w:rPr>
      </w:pPr>
      <w:r w:rsidRPr="002D4E72">
        <w:rPr>
          <w:lang w:val="fr-FR"/>
        </w:rPr>
        <w:t>Comité administratif et juridique</w:t>
      </w:r>
    </w:p>
    <w:p w:rsidR="00A15F3A" w:rsidRPr="002D4E72" w:rsidRDefault="00A15F3A" w:rsidP="00A15F3A">
      <w:pPr>
        <w:pStyle w:val="Sessiontcplacedate"/>
        <w:rPr>
          <w:lang w:val="fr-FR"/>
        </w:rPr>
      </w:pPr>
      <w:r w:rsidRPr="002D4E72">
        <w:rPr>
          <w:lang w:val="fr-FR"/>
        </w:rPr>
        <w:t>Soixante</w:t>
      </w:r>
      <w:r w:rsidR="002457D3" w:rsidRPr="002D4E72">
        <w:rPr>
          <w:lang w:val="fr-FR"/>
        </w:rPr>
        <w:noBreakHyphen/>
      </w:r>
      <w:r w:rsidRPr="002D4E72">
        <w:rPr>
          <w:lang w:val="fr-FR"/>
        </w:rPr>
        <w:t>dixième session</w:t>
      </w:r>
      <w:r w:rsidRPr="002D4E72">
        <w:rPr>
          <w:lang w:val="fr-FR"/>
        </w:rPr>
        <w:br/>
        <w:t>Genève, 13 octobre 2014</w:t>
      </w:r>
    </w:p>
    <w:p w:rsidR="004A52A9" w:rsidRPr="002D4E72" w:rsidRDefault="00616C4F" w:rsidP="00616C4F">
      <w:pPr>
        <w:pStyle w:val="Titleofdoc0"/>
        <w:rPr>
          <w:lang w:val="fr-FR"/>
        </w:rPr>
      </w:pPr>
      <w:r w:rsidRPr="002D4E72">
        <w:rPr>
          <w:lang w:val="fr-FR"/>
        </w:rPr>
        <w:t>Dénominations variétales</w:t>
      </w:r>
    </w:p>
    <w:p w:rsidR="004A52A9" w:rsidRPr="00D7628A" w:rsidRDefault="00616C4F" w:rsidP="00616C4F">
      <w:pPr>
        <w:pStyle w:val="preparedby1"/>
        <w:rPr>
          <w:color w:val="A6A6A6" w:themeColor="background1" w:themeShade="A6"/>
          <w:lang w:val="fr-CH"/>
        </w:rPr>
      </w:pPr>
      <w:bookmarkStart w:id="4" w:name="Prepared"/>
      <w:bookmarkEnd w:id="4"/>
      <w:r w:rsidRPr="002D4E72">
        <w:rPr>
          <w:lang w:val="fr-FR"/>
        </w:rPr>
        <w:t>Document établi par le Bureau de l</w:t>
      </w:r>
      <w:r w:rsidR="000A7F98" w:rsidRPr="002D4E72">
        <w:rPr>
          <w:lang w:val="fr-FR"/>
        </w:rPr>
        <w:t>’</w:t>
      </w:r>
      <w:r w:rsidRPr="002D4E72">
        <w:rPr>
          <w:lang w:val="fr-FR"/>
        </w:rPr>
        <w:t>Union</w:t>
      </w:r>
      <w:r w:rsidR="00B633A2" w:rsidRPr="002D4E72">
        <w:rPr>
          <w:lang w:val="fr-FR"/>
        </w:rPr>
        <w:br/>
      </w:r>
      <w:r w:rsidR="00B633A2" w:rsidRPr="002D4E72">
        <w:rPr>
          <w:lang w:val="fr-FR"/>
        </w:rPr>
        <w:br/>
      </w:r>
      <w:r w:rsidRPr="00D7628A">
        <w:rPr>
          <w:color w:val="A6A6A6" w:themeColor="background1" w:themeShade="A6"/>
          <w:lang w:val="fr-CH"/>
        </w:rPr>
        <w:t>Avertissement : le présent document ne représente pas les principes ou les orientations de l</w:t>
      </w:r>
      <w:r w:rsidR="000A7F98" w:rsidRPr="00D7628A">
        <w:rPr>
          <w:color w:val="A6A6A6" w:themeColor="background1" w:themeShade="A6"/>
          <w:lang w:val="fr-CH"/>
        </w:rPr>
        <w:t>’</w:t>
      </w:r>
      <w:r w:rsidRPr="00D7628A">
        <w:rPr>
          <w:color w:val="A6A6A6" w:themeColor="background1" w:themeShade="A6"/>
          <w:lang w:val="fr-CH"/>
        </w:rPr>
        <w:t>UPOV</w:t>
      </w:r>
    </w:p>
    <w:p w:rsidR="004A52A9" w:rsidRPr="002D4E72" w:rsidRDefault="004A52A9" w:rsidP="001D483F">
      <w:pPr>
        <w:rPr>
          <w:rFonts w:cs="Arial"/>
          <w:snapToGrid w:val="0"/>
          <w:lang w:val="fr-FR"/>
        </w:rPr>
      </w:pPr>
    </w:p>
    <w:p w:rsidR="004A52A9" w:rsidRPr="002D4E72" w:rsidRDefault="004A52A9" w:rsidP="00F03B03">
      <w:pPr>
        <w:rPr>
          <w:rFonts w:cs="Arial"/>
          <w:snapToGrid w:val="0"/>
          <w:lang w:val="fr-FR"/>
        </w:rPr>
      </w:pPr>
    </w:p>
    <w:p w:rsidR="0060018F" w:rsidRPr="002D4E72" w:rsidRDefault="00B633A2" w:rsidP="0060018F">
      <w:pPr>
        <w:jc w:val="left"/>
        <w:rPr>
          <w:rFonts w:cs="Arial"/>
          <w:b/>
          <w:snapToGrid w:val="0"/>
          <w:lang w:val="fr-FR"/>
        </w:rPr>
        <w:sectPr w:rsidR="0060018F" w:rsidRPr="002D4E72" w:rsidSect="00A15F3A">
          <w:headerReference w:type="default" r:id="rId13"/>
          <w:footerReference w:type="default" r:id="rId14"/>
          <w:footerReference w:type="first" r:id="rId15"/>
          <w:endnotePr>
            <w:numFmt w:val="lowerLetter"/>
          </w:endnotePr>
          <w:type w:val="continuous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  <w:r w:rsidRPr="002D4E72">
        <w:rPr>
          <w:rFonts w:cs="Arial"/>
          <w:b/>
          <w:snapToGrid w:val="0"/>
          <w:lang w:val="fr-FR"/>
        </w:rPr>
        <w:t>Résumé</w:t>
      </w:r>
      <w:r w:rsidR="00B40BF0" w:rsidRPr="002D4E72">
        <w:rPr>
          <w:rFonts w:cs="Arial"/>
          <w:b/>
          <w:snapToGrid w:val="0"/>
          <w:lang w:val="fr-FR"/>
        </w:rPr>
        <w:t xml:space="preserve"> analytique</w:t>
      </w:r>
      <w:r w:rsidR="001F67A6" w:rsidRPr="002D4E72">
        <w:rPr>
          <w:rStyle w:val="EndnoteReference"/>
          <w:rFonts w:cs="Arial"/>
          <w:b/>
          <w:snapToGrid w:val="0"/>
          <w:lang w:val="fr-FR"/>
        </w:rPr>
        <w:endnoteReference w:id="2"/>
      </w:r>
    </w:p>
    <w:p w:rsidR="004A52A9" w:rsidRPr="002D4E72" w:rsidRDefault="004A52A9" w:rsidP="00F03B03">
      <w:pPr>
        <w:rPr>
          <w:rFonts w:cs="Arial"/>
          <w:b/>
          <w:snapToGrid w:val="0"/>
          <w:lang w:val="fr-FR"/>
        </w:rPr>
      </w:pPr>
    </w:p>
    <w:p w:rsidR="004A52A9" w:rsidRPr="002D4E72" w:rsidRDefault="004A52A9" w:rsidP="00F03B03">
      <w:pPr>
        <w:rPr>
          <w:rFonts w:cs="Arial"/>
          <w:b/>
          <w:snapToGrid w:val="0"/>
          <w:lang w:val="fr-FR"/>
        </w:rPr>
      </w:pPr>
    </w:p>
    <w:p w:rsidR="004A52A9" w:rsidRPr="002D4E72" w:rsidRDefault="00ED786F" w:rsidP="00F40990">
      <w:pPr>
        <w:rPr>
          <w:rFonts w:cs="Arial"/>
          <w:snapToGrid w:val="0"/>
          <w:lang w:val="fr-FR"/>
        </w:rPr>
      </w:pPr>
      <w:r w:rsidRPr="002D4E72">
        <w:rPr>
          <w:rFonts w:cs="Arial"/>
          <w:snapToGrid w:val="0"/>
          <w:lang w:val="fr-FR"/>
        </w:rPr>
        <w:fldChar w:fldCharType="begin"/>
      </w:r>
      <w:r w:rsidRPr="002D4E72">
        <w:rPr>
          <w:rFonts w:cs="Arial"/>
          <w:snapToGrid w:val="0"/>
          <w:lang w:val="fr-FR"/>
        </w:rPr>
        <w:instrText xml:space="preserve"> AUTONUM  </w:instrText>
      </w:r>
      <w:r w:rsidRPr="002D4E72">
        <w:rPr>
          <w:rFonts w:cs="Arial"/>
          <w:snapToGrid w:val="0"/>
          <w:lang w:val="fr-FR"/>
        </w:rPr>
        <w:fldChar w:fldCharType="end"/>
      </w:r>
      <w:r w:rsidRPr="002D4E72">
        <w:rPr>
          <w:rFonts w:cs="Arial"/>
          <w:snapToGrid w:val="0"/>
          <w:lang w:val="fr-FR"/>
        </w:rPr>
        <w:tab/>
      </w:r>
      <w:r w:rsidR="00F40990" w:rsidRPr="002D4E72">
        <w:rPr>
          <w:rFonts w:cs="Arial"/>
          <w:snapToGrid w:val="0"/>
          <w:lang w:val="fr-FR"/>
        </w:rPr>
        <w:t>L</w:t>
      </w:r>
      <w:r w:rsidR="000A7F98" w:rsidRPr="002D4E72">
        <w:rPr>
          <w:rFonts w:cs="Arial"/>
          <w:snapToGrid w:val="0"/>
          <w:lang w:val="fr-FR"/>
        </w:rPr>
        <w:t>’</w:t>
      </w:r>
      <w:r w:rsidR="00F40990" w:rsidRPr="002D4E72">
        <w:rPr>
          <w:rFonts w:cs="Arial"/>
          <w:snapToGrid w:val="0"/>
          <w:lang w:val="fr-FR"/>
        </w:rPr>
        <w:t>objet du présent document est de rendre compte des faits nouveaux concernant le groupe de travail chargé d</w:t>
      </w:r>
      <w:r w:rsidR="000A7F98" w:rsidRPr="002D4E72">
        <w:rPr>
          <w:rFonts w:cs="Arial"/>
          <w:snapToGrid w:val="0"/>
          <w:lang w:val="fr-FR"/>
        </w:rPr>
        <w:t>’</w:t>
      </w:r>
      <w:r w:rsidR="00F40990" w:rsidRPr="002D4E72">
        <w:rPr>
          <w:rFonts w:cs="Arial"/>
          <w:snapToGrid w:val="0"/>
          <w:lang w:val="fr-FR"/>
        </w:rPr>
        <w:t xml:space="preserve">élaborer des propositions relatives à un </w:t>
      </w:r>
      <w:r w:rsidR="00B633A2" w:rsidRPr="002D4E72">
        <w:rPr>
          <w:rFonts w:cs="Arial"/>
          <w:lang w:val="fr-FR"/>
        </w:rPr>
        <w:t>outil de recherche de l</w:t>
      </w:r>
      <w:r w:rsidR="000A7F98" w:rsidRPr="002D4E72">
        <w:rPr>
          <w:rFonts w:cs="Arial"/>
          <w:lang w:val="fr-FR"/>
        </w:rPr>
        <w:t>’</w:t>
      </w:r>
      <w:r w:rsidR="00B633A2" w:rsidRPr="002D4E72">
        <w:rPr>
          <w:rFonts w:cs="Arial"/>
          <w:lang w:val="fr-FR"/>
        </w:rPr>
        <w:t>UPOV de similarité aux fins de la dénomination variétale</w:t>
      </w:r>
      <w:r w:rsidR="00F40990" w:rsidRPr="002D4E72">
        <w:rPr>
          <w:rFonts w:cs="Arial"/>
          <w:snapToGrid w:val="0"/>
          <w:lang w:val="fr-FR"/>
        </w:rPr>
        <w:t xml:space="preserve"> (ci</w:t>
      </w:r>
      <w:r w:rsidR="002457D3" w:rsidRPr="002D4E72">
        <w:rPr>
          <w:rFonts w:cs="Arial"/>
          <w:snapToGrid w:val="0"/>
          <w:lang w:val="fr-FR"/>
        </w:rPr>
        <w:noBreakHyphen/>
      </w:r>
      <w:r w:rsidR="00F40990" w:rsidRPr="002D4E72">
        <w:rPr>
          <w:rFonts w:cs="Arial"/>
          <w:snapToGrid w:val="0"/>
          <w:lang w:val="fr-FR"/>
        </w:rPr>
        <w:t xml:space="preserve">après dénommé </w:t>
      </w:r>
      <w:r w:rsidR="00470851" w:rsidRPr="002D4E72">
        <w:rPr>
          <w:rFonts w:cs="Arial"/>
          <w:snapToGrid w:val="0"/>
          <w:lang w:val="fr-FR"/>
        </w:rPr>
        <w:t>“</w:t>
      </w:r>
      <w:r w:rsidR="00F40990" w:rsidRPr="002D4E72">
        <w:rPr>
          <w:rFonts w:cs="Arial"/>
          <w:snapToGrid w:val="0"/>
          <w:lang w:val="fr-FR"/>
        </w:rPr>
        <w:t>WG</w:t>
      </w:r>
      <w:r w:rsidR="002457D3" w:rsidRPr="002D4E72">
        <w:rPr>
          <w:rFonts w:cs="Arial"/>
          <w:snapToGrid w:val="0"/>
          <w:lang w:val="fr-FR"/>
        </w:rPr>
        <w:noBreakHyphen/>
      </w:r>
      <w:r w:rsidR="00F40990" w:rsidRPr="002D4E72">
        <w:rPr>
          <w:rFonts w:cs="Arial"/>
          <w:snapToGrid w:val="0"/>
          <w:lang w:val="fr-FR"/>
        </w:rPr>
        <w:t>DST</w:t>
      </w:r>
      <w:r w:rsidR="00470851" w:rsidRPr="002D4E72">
        <w:rPr>
          <w:rFonts w:cs="Arial"/>
          <w:snapToGrid w:val="0"/>
          <w:lang w:val="fr-FR"/>
        </w:rPr>
        <w:t>”</w:t>
      </w:r>
      <w:r w:rsidR="00F40990" w:rsidRPr="002D4E72">
        <w:rPr>
          <w:rFonts w:cs="Arial"/>
          <w:snapToGrid w:val="0"/>
          <w:lang w:val="fr-FR"/>
        </w:rPr>
        <w:t xml:space="preserve">) et la révision du document UPOV/INF/12/4 </w:t>
      </w:r>
      <w:r w:rsidR="00470851" w:rsidRPr="002D4E72">
        <w:rPr>
          <w:rFonts w:cs="Arial"/>
          <w:snapToGrid w:val="0"/>
          <w:lang w:val="fr-FR"/>
        </w:rPr>
        <w:t>“</w:t>
      </w:r>
      <w:r w:rsidR="00F40990" w:rsidRPr="002D4E72">
        <w:rPr>
          <w:rFonts w:cs="Arial"/>
          <w:snapToGrid w:val="0"/>
          <w:lang w:val="fr-FR"/>
        </w:rPr>
        <w:t xml:space="preserve">Notes explicatives concernant les dénominations variétales en vertu de la </w:t>
      </w:r>
      <w:r w:rsidR="000A7F98" w:rsidRPr="002D4E72">
        <w:rPr>
          <w:rFonts w:cs="Arial"/>
          <w:snapToGrid w:val="0"/>
          <w:lang w:val="fr-FR"/>
        </w:rPr>
        <w:t>Convention UPOV</w:t>
      </w:r>
      <w:r w:rsidR="00470851" w:rsidRPr="002D4E72">
        <w:rPr>
          <w:rFonts w:cs="Arial"/>
          <w:snapToGrid w:val="0"/>
          <w:lang w:val="fr-FR"/>
        </w:rPr>
        <w:t>”</w:t>
      </w:r>
      <w:r w:rsidR="00F40990" w:rsidRPr="002D4E72">
        <w:rPr>
          <w:rFonts w:cs="Arial"/>
          <w:snapToGrid w:val="0"/>
          <w:lang w:val="fr-FR"/>
        </w:rPr>
        <w:t>.</w:t>
      </w:r>
    </w:p>
    <w:p w:rsidR="004A52A9" w:rsidRPr="002D4E72" w:rsidRDefault="004A52A9" w:rsidP="00ED786F">
      <w:pPr>
        <w:rPr>
          <w:lang w:val="fr-FR"/>
        </w:rPr>
      </w:pPr>
    </w:p>
    <w:p w:rsidR="000A7F98" w:rsidRPr="002D4E72" w:rsidRDefault="007F741C" w:rsidP="00F40990">
      <w:pPr>
        <w:rPr>
          <w:lang w:val="fr-FR"/>
        </w:rPr>
      </w:pPr>
      <w:r w:rsidRPr="002D4E72">
        <w:rPr>
          <w:rFonts w:cs="Arial"/>
          <w:snapToGrid w:val="0"/>
          <w:lang w:val="fr-FR"/>
        </w:rPr>
        <w:fldChar w:fldCharType="begin"/>
      </w:r>
      <w:r w:rsidRPr="002D4E72">
        <w:rPr>
          <w:rFonts w:cs="Arial"/>
          <w:snapToGrid w:val="0"/>
          <w:lang w:val="fr-FR"/>
        </w:rPr>
        <w:instrText xml:space="preserve"> AUTONUM  </w:instrText>
      </w:r>
      <w:r w:rsidRPr="002D4E72">
        <w:rPr>
          <w:rFonts w:cs="Arial"/>
          <w:snapToGrid w:val="0"/>
          <w:lang w:val="fr-FR"/>
        </w:rPr>
        <w:fldChar w:fldCharType="end"/>
      </w:r>
      <w:r w:rsidRPr="002D4E72">
        <w:rPr>
          <w:rFonts w:cs="Arial"/>
          <w:snapToGrid w:val="0"/>
          <w:lang w:val="fr-FR"/>
        </w:rPr>
        <w:tab/>
      </w:r>
      <w:r w:rsidR="00F40990" w:rsidRPr="002D4E72">
        <w:rPr>
          <w:rFonts w:cs="Arial"/>
          <w:snapToGrid w:val="0"/>
          <w:lang w:val="fr-FR"/>
        </w:rPr>
        <w:t>Un rapport sur la première réunion du WG</w:t>
      </w:r>
      <w:r w:rsidR="002457D3" w:rsidRPr="002D4E72">
        <w:rPr>
          <w:rFonts w:cs="Arial"/>
          <w:snapToGrid w:val="0"/>
          <w:lang w:val="fr-FR"/>
        </w:rPr>
        <w:noBreakHyphen/>
      </w:r>
      <w:r w:rsidR="00F40990" w:rsidRPr="002D4E72">
        <w:rPr>
          <w:rFonts w:cs="Arial"/>
          <w:snapToGrid w:val="0"/>
          <w:lang w:val="fr-FR"/>
        </w:rPr>
        <w:t xml:space="preserve">DST, qui se tiendra à Genève le </w:t>
      </w:r>
      <w:r w:rsidR="000A7F98" w:rsidRPr="002D4E72">
        <w:rPr>
          <w:rFonts w:cs="Arial"/>
          <w:snapToGrid w:val="0"/>
          <w:lang w:val="fr-FR"/>
        </w:rPr>
        <w:t>3 septembre 20</w:t>
      </w:r>
      <w:r w:rsidR="00F40990" w:rsidRPr="002D4E72">
        <w:rPr>
          <w:rFonts w:cs="Arial"/>
          <w:snapToGrid w:val="0"/>
          <w:lang w:val="fr-FR"/>
        </w:rPr>
        <w:t>14, sera présenté</w:t>
      </w:r>
      <w:r w:rsidR="000A7F98" w:rsidRPr="002D4E72">
        <w:rPr>
          <w:rFonts w:cs="Arial"/>
          <w:snapToGrid w:val="0"/>
          <w:lang w:val="fr-FR"/>
        </w:rPr>
        <w:t xml:space="preserve"> au CAJ</w:t>
      </w:r>
      <w:r w:rsidR="00F40990" w:rsidRPr="002D4E72">
        <w:rPr>
          <w:rFonts w:cs="Arial"/>
          <w:snapToGrid w:val="0"/>
          <w:lang w:val="fr-FR"/>
        </w:rPr>
        <w:t xml:space="preserve"> à sa soixante</w:t>
      </w:r>
      <w:r w:rsidR="002457D3" w:rsidRPr="002D4E72">
        <w:rPr>
          <w:rFonts w:cs="Arial"/>
          <w:snapToGrid w:val="0"/>
          <w:lang w:val="fr-FR"/>
        </w:rPr>
        <w:noBreakHyphen/>
      </w:r>
      <w:r w:rsidR="00F40990" w:rsidRPr="002D4E72">
        <w:rPr>
          <w:rFonts w:cs="Arial"/>
          <w:snapToGrid w:val="0"/>
          <w:lang w:val="fr-FR"/>
        </w:rPr>
        <w:t>dixième</w:t>
      </w:r>
      <w:r w:rsidR="00470851" w:rsidRPr="002D4E72">
        <w:rPr>
          <w:rFonts w:cs="Arial"/>
          <w:snapToGrid w:val="0"/>
          <w:lang w:val="fr-FR"/>
        </w:rPr>
        <w:t> </w:t>
      </w:r>
      <w:r w:rsidR="00F40990" w:rsidRPr="002D4E72">
        <w:rPr>
          <w:rFonts w:cs="Arial"/>
          <w:snapToGrid w:val="0"/>
          <w:lang w:val="fr-FR"/>
        </w:rPr>
        <w:t>session.</w:t>
      </w:r>
    </w:p>
    <w:p w:rsidR="004A52A9" w:rsidRPr="002D4E72" w:rsidRDefault="004A52A9" w:rsidP="00F03B03">
      <w:pPr>
        <w:rPr>
          <w:i/>
          <w:lang w:val="fr-FR" w:eastAsia="ja-JP"/>
        </w:rPr>
      </w:pPr>
    </w:p>
    <w:p w:rsidR="004A52A9" w:rsidRPr="002D4E72" w:rsidRDefault="00397154" w:rsidP="00A466D6">
      <w:pPr>
        <w:rPr>
          <w:i/>
          <w:lang w:val="fr-FR" w:eastAsia="ja-JP"/>
        </w:rPr>
      </w:pPr>
      <w:r w:rsidRPr="002D4E72">
        <w:rPr>
          <w:rFonts w:cs="Arial"/>
          <w:snapToGrid w:val="0"/>
          <w:lang w:val="fr-FR"/>
        </w:rPr>
        <w:fldChar w:fldCharType="begin"/>
      </w:r>
      <w:r w:rsidRPr="002D4E72">
        <w:rPr>
          <w:rFonts w:cs="Arial"/>
          <w:snapToGrid w:val="0"/>
          <w:lang w:val="fr-FR"/>
        </w:rPr>
        <w:instrText xml:space="preserve"> AUTONUM  </w:instrText>
      </w:r>
      <w:r w:rsidRPr="002D4E72">
        <w:rPr>
          <w:rFonts w:cs="Arial"/>
          <w:snapToGrid w:val="0"/>
          <w:lang w:val="fr-FR"/>
        </w:rPr>
        <w:fldChar w:fldCharType="end"/>
      </w:r>
      <w:r w:rsidRPr="002D4E72">
        <w:rPr>
          <w:rFonts w:cs="Arial"/>
          <w:snapToGrid w:val="0"/>
          <w:lang w:val="fr-FR"/>
        </w:rPr>
        <w:tab/>
      </w:r>
      <w:r w:rsidR="00A466D6" w:rsidRPr="002D4E72">
        <w:rPr>
          <w:rFonts w:cs="Arial"/>
          <w:snapToGrid w:val="0"/>
          <w:lang w:val="fr-FR"/>
        </w:rPr>
        <w:t xml:space="preserve">Les </w:t>
      </w:r>
      <w:r w:rsidR="00B40BF0" w:rsidRPr="002D4E72">
        <w:rPr>
          <w:rFonts w:cs="Arial"/>
          <w:snapToGrid w:val="0"/>
          <w:lang w:val="fr-FR"/>
        </w:rPr>
        <w:t>derniers progrès accomplis</w:t>
      </w:r>
      <w:r w:rsidR="00A466D6" w:rsidRPr="002D4E72">
        <w:rPr>
          <w:rFonts w:cs="Arial"/>
          <w:snapToGrid w:val="0"/>
          <w:lang w:val="fr-FR"/>
        </w:rPr>
        <w:t xml:space="preserve"> concernant la révision du document UPOV/INF/12 “Notes explicatives concernant les dénominations variétales en vertu de la </w:t>
      </w:r>
      <w:r w:rsidR="000A7F98" w:rsidRPr="002D4E72">
        <w:rPr>
          <w:rFonts w:cs="Arial"/>
          <w:snapToGrid w:val="0"/>
          <w:lang w:val="fr-FR"/>
        </w:rPr>
        <w:t>Convention UPOV</w:t>
      </w:r>
      <w:r w:rsidR="00A466D6" w:rsidRPr="002D4E72">
        <w:rPr>
          <w:rFonts w:cs="Arial"/>
          <w:snapToGrid w:val="0"/>
          <w:lang w:val="fr-FR"/>
        </w:rPr>
        <w:t>”, qu</w:t>
      </w:r>
      <w:r w:rsidR="00B40BF0" w:rsidRPr="002D4E72">
        <w:rPr>
          <w:rFonts w:cs="Arial"/>
          <w:snapToGrid w:val="0"/>
          <w:lang w:val="fr-FR"/>
        </w:rPr>
        <w:t>i seront examinés par</w:t>
      </w:r>
      <w:r w:rsidR="000A7F98" w:rsidRPr="002D4E72">
        <w:rPr>
          <w:rFonts w:cs="Arial"/>
          <w:snapToGrid w:val="0"/>
          <w:lang w:val="fr-FR"/>
        </w:rPr>
        <w:t xml:space="preserve"> le CAJ</w:t>
      </w:r>
      <w:r w:rsidR="002457D3" w:rsidRPr="002D4E72">
        <w:rPr>
          <w:rFonts w:cs="Arial"/>
          <w:snapToGrid w:val="0"/>
          <w:lang w:val="fr-FR"/>
        </w:rPr>
        <w:noBreakHyphen/>
      </w:r>
      <w:r w:rsidR="00B40BF0" w:rsidRPr="002D4E72">
        <w:rPr>
          <w:rFonts w:cs="Arial"/>
          <w:snapToGrid w:val="0"/>
          <w:lang w:val="fr-FR"/>
        </w:rPr>
        <w:t>AG</w:t>
      </w:r>
      <w:r w:rsidR="00A466D6" w:rsidRPr="002D4E72">
        <w:rPr>
          <w:rFonts w:cs="Arial"/>
          <w:snapToGrid w:val="0"/>
          <w:lang w:val="fr-FR"/>
        </w:rPr>
        <w:t xml:space="preserve"> à sa neuvième</w:t>
      </w:r>
      <w:r w:rsidR="00470851" w:rsidRPr="002D4E72">
        <w:rPr>
          <w:rFonts w:cs="Arial"/>
          <w:snapToGrid w:val="0"/>
          <w:lang w:val="fr-FR"/>
        </w:rPr>
        <w:t> </w:t>
      </w:r>
      <w:r w:rsidR="00A466D6" w:rsidRPr="002D4E72">
        <w:rPr>
          <w:rFonts w:cs="Arial"/>
          <w:snapToGrid w:val="0"/>
          <w:lang w:val="fr-FR"/>
        </w:rPr>
        <w:t>session les 14 et 1</w:t>
      </w:r>
      <w:r w:rsidR="000A7F98" w:rsidRPr="002D4E72">
        <w:rPr>
          <w:rFonts w:cs="Arial"/>
          <w:snapToGrid w:val="0"/>
          <w:lang w:val="fr-FR"/>
        </w:rPr>
        <w:t>7 octobre 20</w:t>
      </w:r>
      <w:r w:rsidR="00A466D6" w:rsidRPr="002D4E72">
        <w:rPr>
          <w:rFonts w:cs="Arial"/>
          <w:snapToGrid w:val="0"/>
          <w:lang w:val="fr-FR"/>
        </w:rPr>
        <w:t>14, sont présentés dans le document CAJ/70/2 “Élaboration de matériel d</w:t>
      </w:r>
      <w:r w:rsidR="000A7F98" w:rsidRPr="002D4E72">
        <w:rPr>
          <w:rFonts w:cs="Arial"/>
          <w:snapToGrid w:val="0"/>
          <w:lang w:val="fr-FR"/>
        </w:rPr>
        <w:t>’</w:t>
      </w:r>
      <w:r w:rsidR="00A466D6" w:rsidRPr="002D4E72">
        <w:rPr>
          <w:rFonts w:cs="Arial"/>
          <w:snapToGrid w:val="0"/>
          <w:lang w:val="fr-FR"/>
        </w:rPr>
        <w:t xml:space="preserve">information concernant la </w:t>
      </w:r>
      <w:r w:rsidR="000A7F98" w:rsidRPr="002D4E72">
        <w:rPr>
          <w:rFonts w:cs="Arial"/>
          <w:snapToGrid w:val="0"/>
          <w:lang w:val="fr-FR"/>
        </w:rPr>
        <w:t>Convention UPOV</w:t>
      </w:r>
      <w:r w:rsidR="00470851" w:rsidRPr="002D4E72">
        <w:rPr>
          <w:rFonts w:cs="Arial"/>
          <w:snapToGrid w:val="0"/>
          <w:lang w:val="fr-FR"/>
        </w:rPr>
        <w:t>”</w:t>
      </w:r>
      <w:r w:rsidR="00A466D6" w:rsidRPr="002D4E72">
        <w:rPr>
          <w:rFonts w:cs="Arial"/>
          <w:snapToGrid w:val="0"/>
          <w:lang w:val="fr-FR"/>
        </w:rPr>
        <w:t>.</w:t>
      </w:r>
    </w:p>
    <w:p w:rsidR="004A52A9" w:rsidRPr="002D4E72" w:rsidRDefault="004A52A9" w:rsidP="00F03B03">
      <w:pPr>
        <w:rPr>
          <w:i/>
          <w:lang w:val="fr-FR" w:eastAsia="ja-JP"/>
        </w:rPr>
      </w:pPr>
    </w:p>
    <w:p w:rsidR="004A52A9" w:rsidRPr="002D4E72" w:rsidRDefault="004A52A9" w:rsidP="00F03B03">
      <w:pPr>
        <w:rPr>
          <w:i/>
          <w:lang w:val="fr-FR" w:eastAsia="ja-JP"/>
        </w:rPr>
      </w:pPr>
    </w:p>
    <w:p w:rsidR="004A52A9" w:rsidRPr="002D4E72" w:rsidRDefault="004A52A9" w:rsidP="00F03B03">
      <w:pPr>
        <w:rPr>
          <w:i/>
          <w:lang w:val="fr-FR" w:eastAsia="ja-JP"/>
        </w:rPr>
      </w:pPr>
    </w:p>
    <w:p w:rsidR="004A52A9" w:rsidRPr="002D4E72" w:rsidRDefault="004A52A9" w:rsidP="00F03B03">
      <w:pPr>
        <w:rPr>
          <w:i/>
          <w:lang w:val="fr-FR" w:eastAsia="ja-JP"/>
        </w:rPr>
      </w:pPr>
    </w:p>
    <w:p w:rsidR="004A52A9" w:rsidRPr="002D4E72" w:rsidRDefault="004A52A9" w:rsidP="001D483F">
      <w:pPr>
        <w:rPr>
          <w:rFonts w:cs="Arial"/>
          <w:i/>
          <w:snapToGrid w:val="0"/>
          <w:lang w:val="fr-FR"/>
        </w:rPr>
      </w:pPr>
    </w:p>
    <w:p w:rsidR="00D62150" w:rsidRPr="002D4E72" w:rsidRDefault="00D62150" w:rsidP="001D483F">
      <w:pPr>
        <w:rPr>
          <w:rFonts w:cs="Arial"/>
          <w:i/>
          <w:snapToGrid w:val="0"/>
          <w:lang w:val="fr-FR"/>
        </w:rPr>
        <w:sectPr w:rsidR="00D62150" w:rsidRPr="002D4E72" w:rsidSect="00A15F3A">
          <w:type w:val="continuous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4A52A9" w:rsidRPr="002D4E72" w:rsidRDefault="004A52A9" w:rsidP="001D483F">
      <w:pPr>
        <w:rPr>
          <w:rFonts w:cs="Arial"/>
          <w:i/>
          <w:snapToGrid w:val="0"/>
          <w:lang w:val="fr-FR"/>
        </w:rPr>
      </w:pPr>
    </w:p>
    <w:p w:rsidR="000A7F98" w:rsidRPr="002D4E72" w:rsidRDefault="00A466D6" w:rsidP="00A466D6">
      <w:pPr>
        <w:rPr>
          <w:rFonts w:cs="Arial"/>
          <w:snapToGrid w:val="0"/>
          <w:u w:val="single"/>
          <w:lang w:val="fr-FR"/>
        </w:rPr>
      </w:pPr>
      <w:r w:rsidRPr="002D4E72">
        <w:rPr>
          <w:rFonts w:cs="Arial"/>
          <w:snapToGrid w:val="0"/>
          <w:u w:val="single"/>
          <w:lang w:val="fr-FR"/>
        </w:rPr>
        <w:t>Table des matières</w:t>
      </w:r>
    </w:p>
    <w:p w:rsidR="004A52A9" w:rsidRPr="002D4E72" w:rsidRDefault="004A52A9" w:rsidP="001D483F">
      <w:pPr>
        <w:rPr>
          <w:rFonts w:cs="Arial"/>
          <w:snapToGrid w:val="0"/>
          <w:lang w:val="fr-FR"/>
        </w:rPr>
      </w:pPr>
    </w:p>
    <w:p w:rsidR="002D4E72" w:rsidRDefault="001D483F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 w:rsidRPr="002D4E72">
        <w:rPr>
          <w:rFonts w:cs="Arial"/>
          <w:noProof w:val="0"/>
          <w:snapToGrid w:val="0"/>
          <w:lang w:val="fr-FR"/>
        </w:rPr>
        <w:fldChar w:fldCharType="begin"/>
      </w:r>
      <w:r w:rsidRPr="002D4E72">
        <w:rPr>
          <w:rFonts w:cs="Arial"/>
          <w:noProof w:val="0"/>
          <w:snapToGrid w:val="0"/>
          <w:lang w:val="fr-FR"/>
        </w:rPr>
        <w:instrText xml:space="preserve"> TOC \o "1-3" \h \z \u </w:instrText>
      </w:r>
      <w:r w:rsidRPr="002D4E72">
        <w:rPr>
          <w:rFonts w:cs="Arial"/>
          <w:noProof w:val="0"/>
          <w:snapToGrid w:val="0"/>
          <w:lang w:val="fr-FR"/>
        </w:rPr>
        <w:fldChar w:fldCharType="separate"/>
      </w:r>
      <w:hyperlink w:anchor="_Toc396974687" w:history="1">
        <w:r w:rsidR="002D4E72" w:rsidRPr="00157F13">
          <w:rPr>
            <w:rStyle w:val="Hyperlink"/>
            <w:snapToGrid w:val="0"/>
            <w:lang w:val="fr-FR"/>
          </w:rPr>
          <w:t>I.</w:t>
        </w:r>
        <w:r w:rsidR="002D4E72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D4E72" w:rsidRPr="00157F13">
          <w:rPr>
            <w:rStyle w:val="Hyperlink"/>
            <w:snapToGrid w:val="0"/>
            <w:lang w:val="fr-FR"/>
          </w:rPr>
          <w:t>Possibilité d’élaboration d’un outil de recherche de l’UPOV de similarité aux fins de la dénomination variétale</w:t>
        </w:r>
        <w:r w:rsidR="002D4E72">
          <w:rPr>
            <w:webHidden/>
          </w:rPr>
          <w:tab/>
        </w:r>
        <w:r w:rsidR="002D4E72">
          <w:rPr>
            <w:webHidden/>
          </w:rPr>
          <w:fldChar w:fldCharType="begin"/>
        </w:r>
        <w:r w:rsidR="002D4E72">
          <w:rPr>
            <w:webHidden/>
          </w:rPr>
          <w:instrText xml:space="preserve"> PAGEREF _Toc396974687 \h </w:instrText>
        </w:r>
        <w:r w:rsidR="002D4E72">
          <w:rPr>
            <w:webHidden/>
          </w:rPr>
        </w:r>
        <w:r w:rsidR="002D4E72">
          <w:rPr>
            <w:webHidden/>
          </w:rPr>
          <w:fldChar w:fldCharType="separate"/>
        </w:r>
        <w:r w:rsidR="00B46E48">
          <w:rPr>
            <w:webHidden/>
          </w:rPr>
          <w:t>2</w:t>
        </w:r>
        <w:r w:rsidR="002D4E72">
          <w:rPr>
            <w:webHidden/>
          </w:rPr>
          <w:fldChar w:fldCharType="end"/>
        </w:r>
      </w:hyperlink>
    </w:p>
    <w:p w:rsidR="002D4E72" w:rsidRDefault="00C86793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96974688" w:history="1">
        <w:r w:rsidR="002D4E72" w:rsidRPr="00157F13">
          <w:rPr>
            <w:rStyle w:val="Hyperlink"/>
            <w:snapToGrid w:val="0"/>
            <w:lang w:val="fr-FR"/>
          </w:rPr>
          <w:t>II.</w:t>
        </w:r>
        <w:r w:rsidR="002D4E72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D4E72" w:rsidRPr="00157F13">
          <w:rPr>
            <w:rStyle w:val="Hyperlink"/>
            <w:snapToGrid w:val="0"/>
            <w:lang w:val="fr-FR"/>
          </w:rPr>
          <w:t>rÉvision du document UPOV/INF/12 “Notes explicatives concernant les dÉnominations variÉtales en vertu de la Convention UPOV”</w:t>
        </w:r>
        <w:r w:rsidR="002D4E72">
          <w:rPr>
            <w:webHidden/>
          </w:rPr>
          <w:tab/>
        </w:r>
        <w:r w:rsidR="002D4E72">
          <w:rPr>
            <w:webHidden/>
          </w:rPr>
          <w:fldChar w:fldCharType="begin"/>
        </w:r>
        <w:r w:rsidR="002D4E72">
          <w:rPr>
            <w:webHidden/>
          </w:rPr>
          <w:instrText xml:space="preserve"> PAGEREF _Toc396974688 \h </w:instrText>
        </w:r>
        <w:r w:rsidR="002D4E72">
          <w:rPr>
            <w:webHidden/>
          </w:rPr>
        </w:r>
        <w:r w:rsidR="002D4E72">
          <w:rPr>
            <w:webHidden/>
          </w:rPr>
          <w:fldChar w:fldCharType="separate"/>
        </w:r>
        <w:r w:rsidR="00B46E48">
          <w:rPr>
            <w:webHidden/>
          </w:rPr>
          <w:t>2</w:t>
        </w:r>
        <w:r w:rsidR="002D4E72">
          <w:rPr>
            <w:webHidden/>
          </w:rPr>
          <w:fldChar w:fldCharType="end"/>
        </w:r>
      </w:hyperlink>
    </w:p>
    <w:p w:rsidR="004A52A9" w:rsidRPr="002D4E72" w:rsidRDefault="001D483F" w:rsidP="002A551B">
      <w:pPr>
        <w:ind w:left="567" w:hanging="567"/>
        <w:rPr>
          <w:rFonts w:cs="Arial"/>
          <w:snapToGrid w:val="0"/>
          <w:lang w:val="fr-FR"/>
        </w:rPr>
      </w:pPr>
      <w:r w:rsidRPr="002D4E72">
        <w:rPr>
          <w:rFonts w:cs="Arial"/>
          <w:snapToGrid w:val="0"/>
          <w:lang w:val="fr-FR"/>
        </w:rPr>
        <w:fldChar w:fldCharType="end"/>
      </w:r>
    </w:p>
    <w:p w:rsidR="004A52A9" w:rsidRPr="002D4E72" w:rsidRDefault="004A52A9" w:rsidP="002A551B">
      <w:pPr>
        <w:ind w:left="567" w:hanging="567"/>
        <w:rPr>
          <w:rFonts w:cs="Arial"/>
          <w:snapToGrid w:val="0"/>
          <w:lang w:val="fr-FR"/>
        </w:rPr>
      </w:pPr>
    </w:p>
    <w:p w:rsidR="004A52A9" w:rsidRPr="002D4E72" w:rsidRDefault="001D483F" w:rsidP="00A466D6">
      <w:pPr>
        <w:rPr>
          <w:rFonts w:cs="Arial"/>
          <w:snapToGrid w:val="0"/>
          <w:lang w:val="fr-FR"/>
        </w:rPr>
      </w:pPr>
      <w:r w:rsidRPr="002D4E72">
        <w:rPr>
          <w:rFonts w:cs="Arial"/>
          <w:snapToGrid w:val="0"/>
          <w:lang w:val="fr-FR"/>
        </w:rPr>
        <w:fldChar w:fldCharType="begin"/>
      </w:r>
      <w:r w:rsidRPr="002D4E72">
        <w:rPr>
          <w:rFonts w:cs="Arial"/>
          <w:snapToGrid w:val="0"/>
          <w:lang w:val="fr-FR"/>
        </w:rPr>
        <w:instrText xml:space="preserve"> AUTONUM  </w:instrText>
      </w:r>
      <w:r w:rsidRPr="002D4E72">
        <w:rPr>
          <w:rFonts w:cs="Arial"/>
          <w:snapToGrid w:val="0"/>
          <w:lang w:val="fr-FR"/>
        </w:rPr>
        <w:fldChar w:fldCharType="end"/>
      </w:r>
      <w:r w:rsidRPr="002D4E72">
        <w:rPr>
          <w:rFonts w:cs="Arial"/>
          <w:snapToGrid w:val="0"/>
          <w:lang w:val="fr-FR"/>
        </w:rPr>
        <w:tab/>
      </w:r>
      <w:r w:rsidR="00A466D6" w:rsidRPr="002D4E72">
        <w:rPr>
          <w:rFonts w:cs="Arial"/>
          <w:snapToGrid w:val="0"/>
          <w:lang w:val="fr-FR"/>
        </w:rPr>
        <w:t>Les abréviations ci</w:t>
      </w:r>
      <w:r w:rsidR="002457D3" w:rsidRPr="002D4E72">
        <w:rPr>
          <w:rFonts w:cs="Arial"/>
          <w:snapToGrid w:val="0"/>
          <w:lang w:val="fr-FR"/>
        </w:rPr>
        <w:noBreakHyphen/>
      </w:r>
      <w:r w:rsidR="00A466D6" w:rsidRPr="002D4E72">
        <w:rPr>
          <w:rFonts w:cs="Arial"/>
          <w:snapToGrid w:val="0"/>
          <w:lang w:val="fr-FR"/>
        </w:rPr>
        <w:t>après sont utilisées dans le présent document :</w:t>
      </w:r>
    </w:p>
    <w:p w:rsidR="004A52A9" w:rsidRPr="002D4E72" w:rsidRDefault="004A52A9" w:rsidP="001D483F">
      <w:pPr>
        <w:rPr>
          <w:rFonts w:cs="Arial"/>
          <w:snapToGrid w:val="0"/>
          <w:lang w:val="fr-FR"/>
        </w:rPr>
      </w:pPr>
    </w:p>
    <w:p w:rsidR="000A7F98" w:rsidRPr="002D4E72" w:rsidRDefault="00A466D6" w:rsidP="00A466D6">
      <w:pPr>
        <w:ind w:left="567"/>
        <w:rPr>
          <w:rFonts w:cs="Arial"/>
          <w:snapToGrid w:val="0"/>
          <w:lang w:val="fr-FR"/>
        </w:rPr>
      </w:pPr>
      <w:r w:rsidRPr="002D4E72">
        <w:rPr>
          <w:rFonts w:cs="Arial"/>
          <w:snapToGrid w:val="0"/>
          <w:lang w:val="fr-FR"/>
        </w:rPr>
        <w:t>CAJ : Comité administratif et juridique</w:t>
      </w:r>
    </w:p>
    <w:p w:rsidR="000A7F98" w:rsidRPr="002D4E72" w:rsidRDefault="00A466D6" w:rsidP="00A466D6">
      <w:pPr>
        <w:ind w:left="567"/>
        <w:rPr>
          <w:rFonts w:cs="Arial"/>
          <w:snapToGrid w:val="0"/>
          <w:lang w:val="fr-FR"/>
        </w:rPr>
      </w:pPr>
      <w:r w:rsidRPr="002D4E72">
        <w:rPr>
          <w:rFonts w:cs="Arial"/>
          <w:snapToGrid w:val="0"/>
          <w:lang w:val="fr-FR"/>
        </w:rPr>
        <w:t>CAJ</w:t>
      </w:r>
      <w:r w:rsidR="002457D3" w:rsidRPr="002D4E72">
        <w:rPr>
          <w:rFonts w:cs="Arial"/>
          <w:snapToGrid w:val="0"/>
          <w:lang w:val="fr-FR"/>
        </w:rPr>
        <w:noBreakHyphen/>
      </w:r>
      <w:r w:rsidRPr="002D4E72">
        <w:rPr>
          <w:rFonts w:cs="Arial"/>
          <w:snapToGrid w:val="0"/>
          <w:lang w:val="fr-FR"/>
        </w:rPr>
        <w:t>AG : Groupe consultatif du Comité administratif et juridique</w:t>
      </w:r>
    </w:p>
    <w:p w:rsidR="004A52A9" w:rsidRPr="002D4E72" w:rsidRDefault="00A466D6" w:rsidP="00A466D6">
      <w:pPr>
        <w:ind w:left="567"/>
        <w:rPr>
          <w:rFonts w:cs="Arial"/>
          <w:snapToGrid w:val="0"/>
          <w:lang w:val="fr-FR"/>
        </w:rPr>
      </w:pPr>
      <w:r w:rsidRPr="002D4E72">
        <w:rPr>
          <w:rFonts w:cs="Arial"/>
          <w:snapToGrid w:val="0"/>
          <w:lang w:val="fr-FR"/>
        </w:rPr>
        <w:t>TC : Comité technique</w:t>
      </w:r>
    </w:p>
    <w:p w:rsidR="004A52A9" w:rsidRPr="002D4E72" w:rsidRDefault="00B633A2" w:rsidP="00A466D6">
      <w:pPr>
        <w:ind w:left="567"/>
        <w:rPr>
          <w:rFonts w:cs="Arial"/>
          <w:snapToGrid w:val="0"/>
          <w:lang w:val="fr-FR"/>
        </w:rPr>
      </w:pPr>
      <w:r w:rsidRPr="002D4E72">
        <w:rPr>
          <w:rFonts w:cs="Arial"/>
          <w:snapToGrid w:val="0"/>
          <w:lang w:val="fr-FR"/>
        </w:rPr>
        <w:t>Commission de l</w:t>
      </w:r>
      <w:r w:rsidR="000A7F98" w:rsidRPr="002D4E72">
        <w:rPr>
          <w:rFonts w:cs="Arial"/>
          <w:snapToGrid w:val="0"/>
          <w:lang w:val="fr-FR"/>
        </w:rPr>
        <w:t>’</w:t>
      </w:r>
      <w:r w:rsidRPr="002D4E72">
        <w:rPr>
          <w:rFonts w:cs="Arial"/>
          <w:snapToGrid w:val="0"/>
          <w:lang w:val="fr-FR"/>
        </w:rPr>
        <w:t xml:space="preserve">UISB : </w:t>
      </w:r>
      <w:r w:rsidR="00A466D6" w:rsidRPr="002D4E72">
        <w:rPr>
          <w:rFonts w:cs="Arial"/>
          <w:snapToGrid w:val="0"/>
          <w:lang w:val="fr-FR"/>
        </w:rPr>
        <w:t>Commission de l</w:t>
      </w:r>
      <w:r w:rsidR="000A7F98" w:rsidRPr="002D4E72">
        <w:rPr>
          <w:rFonts w:cs="Arial"/>
          <w:snapToGrid w:val="0"/>
          <w:lang w:val="fr-FR"/>
        </w:rPr>
        <w:t>’</w:t>
      </w:r>
      <w:r w:rsidR="00A466D6" w:rsidRPr="002D4E72">
        <w:rPr>
          <w:rFonts w:cs="Arial"/>
          <w:snapToGrid w:val="0"/>
          <w:lang w:val="fr-FR"/>
        </w:rPr>
        <w:t>Union internationale des sciences biologiques</w:t>
      </w:r>
    </w:p>
    <w:p w:rsidR="004A52A9" w:rsidRPr="002D4E72" w:rsidRDefault="00A466D6" w:rsidP="00A466D6">
      <w:pPr>
        <w:ind w:left="567"/>
        <w:rPr>
          <w:rFonts w:cs="Arial"/>
          <w:snapToGrid w:val="0"/>
          <w:lang w:val="fr-FR"/>
        </w:rPr>
      </w:pPr>
      <w:r w:rsidRPr="002D4E72">
        <w:rPr>
          <w:rFonts w:cs="Arial"/>
          <w:snapToGrid w:val="0"/>
          <w:lang w:val="fr-FR"/>
        </w:rPr>
        <w:t>Commission de l</w:t>
      </w:r>
      <w:r w:rsidR="000A7F98" w:rsidRPr="002D4E72">
        <w:rPr>
          <w:rFonts w:cs="Arial"/>
          <w:snapToGrid w:val="0"/>
          <w:lang w:val="fr-FR"/>
        </w:rPr>
        <w:t>’</w:t>
      </w:r>
      <w:r w:rsidRPr="002D4E72">
        <w:rPr>
          <w:rFonts w:cs="Arial"/>
          <w:snapToGrid w:val="0"/>
          <w:lang w:val="fr-FR"/>
        </w:rPr>
        <w:t>ISHS : Commission de la Société internationale de la science horticole</w:t>
      </w:r>
    </w:p>
    <w:p w:rsidR="004A52A9" w:rsidRPr="002D4E72" w:rsidRDefault="004A52A9" w:rsidP="001D483F">
      <w:pPr>
        <w:rPr>
          <w:rFonts w:cs="Arial"/>
          <w:snapToGrid w:val="0"/>
          <w:lang w:val="fr-FR"/>
        </w:rPr>
      </w:pPr>
    </w:p>
    <w:p w:rsidR="004A52A9" w:rsidRPr="002D4E72" w:rsidRDefault="004A52A9" w:rsidP="001D483F">
      <w:pPr>
        <w:rPr>
          <w:lang w:val="fr-FR"/>
        </w:rPr>
      </w:pPr>
    </w:p>
    <w:p w:rsidR="004A52A9" w:rsidRPr="002D4E72" w:rsidRDefault="004A52A9" w:rsidP="001D483F">
      <w:pPr>
        <w:rPr>
          <w:lang w:val="fr-FR"/>
        </w:rPr>
      </w:pPr>
    </w:p>
    <w:p w:rsidR="004A52A9" w:rsidRPr="002D4E72" w:rsidRDefault="00A466D6" w:rsidP="00B633A2">
      <w:pPr>
        <w:pStyle w:val="Heading1"/>
        <w:rPr>
          <w:snapToGrid w:val="0"/>
          <w:lang w:val="fr-FR"/>
        </w:rPr>
      </w:pPr>
      <w:bookmarkStart w:id="5" w:name="_Toc396974687"/>
      <w:r w:rsidRPr="002D4E72">
        <w:rPr>
          <w:snapToGrid w:val="0"/>
          <w:lang w:val="fr-FR"/>
        </w:rPr>
        <w:t>Possibilité d</w:t>
      </w:r>
      <w:r w:rsidR="000A7F98" w:rsidRPr="002D4E72">
        <w:rPr>
          <w:snapToGrid w:val="0"/>
          <w:lang w:val="fr-FR"/>
        </w:rPr>
        <w:t>’</w:t>
      </w:r>
      <w:r w:rsidRPr="002D4E72">
        <w:rPr>
          <w:snapToGrid w:val="0"/>
          <w:lang w:val="fr-FR"/>
        </w:rPr>
        <w:t>élaboration d</w:t>
      </w:r>
      <w:r w:rsidR="000A7F98" w:rsidRPr="002D4E72">
        <w:rPr>
          <w:snapToGrid w:val="0"/>
          <w:lang w:val="fr-FR"/>
        </w:rPr>
        <w:t>’</w:t>
      </w:r>
      <w:r w:rsidRPr="002D4E72">
        <w:rPr>
          <w:snapToGrid w:val="0"/>
          <w:lang w:val="fr-FR"/>
        </w:rPr>
        <w:t>un outil de recherche de l</w:t>
      </w:r>
      <w:r w:rsidR="000A7F98" w:rsidRPr="002D4E72">
        <w:rPr>
          <w:snapToGrid w:val="0"/>
          <w:lang w:val="fr-FR"/>
        </w:rPr>
        <w:t>’</w:t>
      </w:r>
      <w:r w:rsidRPr="002D4E72">
        <w:rPr>
          <w:snapToGrid w:val="0"/>
          <w:lang w:val="fr-FR"/>
        </w:rPr>
        <w:t>UPOV de similarité aux fins de la dénomination variétale</w:t>
      </w:r>
      <w:r w:rsidRPr="002D4E72">
        <w:rPr>
          <w:rStyle w:val="FootnoteReference"/>
          <w:snapToGrid w:val="0"/>
          <w:lang w:val="fr-FR"/>
        </w:rPr>
        <w:footnoteReference w:id="2"/>
      </w:r>
      <w:bookmarkEnd w:id="5"/>
    </w:p>
    <w:p w:rsidR="004A52A9" w:rsidRPr="002D4E72" w:rsidRDefault="004A52A9" w:rsidP="002D70DD">
      <w:pPr>
        <w:rPr>
          <w:spacing w:val="-2"/>
          <w:kern w:val="28"/>
          <w:lang w:val="fr-FR"/>
        </w:rPr>
      </w:pPr>
    </w:p>
    <w:p w:rsidR="004A52A9" w:rsidRPr="002D4E72" w:rsidRDefault="00FB4349" w:rsidP="00A466D6">
      <w:pPr>
        <w:rPr>
          <w:lang w:val="fr-FR"/>
        </w:rPr>
      </w:pPr>
      <w:r w:rsidRPr="002D4E72">
        <w:rPr>
          <w:spacing w:val="-2"/>
          <w:kern w:val="28"/>
          <w:lang w:val="fr-FR"/>
        </w:rPr>
        <w:fldChar w:fldCharType="begin"/>
      </w:r>
      <w:r w:rsidRPr="002D4E72">
        <w:rPr>
          <w:spacing w:val="-2"/>
          <w:kern w:val="28"/>
          <w:lang w:val="fr-FR"/>
        </w:rPr>
        <w:instrText xml:space="preserve"> AUTONUM  </w:instrText>
      </w:r>
      <w:r w:rsidRPr="002D4E72">
        <w:rPr>
          <w:spacing w:val="-2"/>
          <w:kern w:val="28"/>
          <w:lang w:val="fr-FR"/>
        </w:rPr>
        <w:fldChar w:fldCharType="end"/>
      </w:r>
      <w:r w:rsidRPr="002D4E72">
        <w:rPr>
          <w:spacing w:val="-2"/>
          <w:kern w:val="28"/>
          <w:lang w:val="fr-FR"/>
        </w:rPr>
        <w:tab/>
      </w:r>
      <w:r w:rsidR="00A466D6" w:rsidRPr="002D4E72">
        <w:rPr>
          <w:spacing w:val="-2"/>
          <w:kern w:val="28"/>
          <w:lang w:val="fr-FR"/>
        </w:rPr>
        <w:t>À sa soixante</w:t>
      </w:r>
      <w:r w:rsidR="002457D3" w:rsidRPr="002D4E72">
        <w:rPr>
          <w:spacing w:val="-2"/>
          <w:kern w:val="28"/>
          <w:lang w:val="fr-FR"/>
        </w:rPr>
        <w:noBreakHyphen/>
      </w:r>
      <w:r w:rsidR="00A466D6" w:rsidRPr="002D4E72">
        <w:rPr>
          <w:spacing w:val="-2"/>
          <w:kern w:val="28"/>
          <w:lang w:val="fr-FR"/>
        </w:rPr>
        <w:t>huitième</w:t>
      </w:r>
      <w:r w:rsidR="00470851" w:rsidRPr="002D4E72">
        <w:rPr>
          <w:spacing w:val="-2"/>
          <w:kern w:val="28"/>
          <w:lang w:val="fr-FR"/>
        </w:rPr>
        <w:t> </w:t>
      </w:r>
      <w:r w:rsidR="00A466D6" w:rsidRPr="002D4E72">
        <w:rPr>
          <w:spacing w:val="-2"/>
          <w:kern w:val="28"/>
          <w:lang w:val="fr-FR"/>
        </w:rPr>
        <w:t>session, tenue à Genève le 2</w:t>
      </w:r>
      <w:r w:rsidR="000A7F98" w:rsidRPr="002D4E72">
        <w:rPr>
          <w:spacing w:val="-2"/>
          <w:kern w:val="28"/>
          <w:lang w:val="fr-FR"/>
        </w:rPr>
        <w:t>1 octobre 20</w:t>
      </w:r>
      <w:r w:rsidR="00A466D6" w:rsidRPr="002D4E72">
        <w:rPr>
          <w:spacing w:val="-2"/>
          <w:kern w:val="28"/>
          <w:lang w:val="fr-FR"/>
        </w:rPr>
        <w:t xml:space="preserve">13, le </w:t>
      </w:r>
      <w:r w:rsidR="00B40BF0" w:rsidRPr="002D4E72">
        <w:rPr>
          <w:spacing w:val="-2"/>
          <w:kern w:val="28"/>
          <w:lang w:val="fr-FR"/>
        </w:rPr>
        <w:t>Comité administratif et juridique (</w:t>
      </w:r>
      <w:r w:rsidR="00A466D6" w:rsidRPr="002D4E72">
        <w:rPr>
          <w:spacing w:val="-2"/>
          <w:kern w:val="28"/>
          <w:lang w:val="fr-FR"/>
        </w:rPr>
        <w:t>CAJ</w:t>
      </w:r>
      <w:r w:rsidR="00B40BF0" w:rsidRPr="002D4E72">
        <w:rPr>
          <w:spacing w:val="-2"/>
          <w:kern w:val="28"/>
          <w:lang w:val="fr-FR"/>
        </w:rPr>
        <w:t>)</w:t>
      </w:r>
      <w:r w:rsidR="00A466D6" w:rsidRPr="002D4E72">
        <w:rPr>
          <w:spacing w:val="-2"/>
          <w:kern w:val="28"/>
          <w:lang w:val="fr-FR"/>
        </w:rPr>
        <w:t xml:space="preserve"> a approuvé la création d</w:t>
      </w:r>
      <w:r w:rsidR="000A7F98" w:rsidRPr="002D4E72">
        <w:rPr>
          <w:spacing w:val="-2"/>
          <w:kern w:val="28"/>
          <w:lang w:val="fr-FR"/>
        </w:rPr>
        <w:t>’</w:t>
      </w:r>
      <w:r w:rsidR="00A466D6" w:rsidRPr="002D4E72">
        <w:rPr>
          <w:spacing w:val="-2"/>
          <w:kern w:val="28"/>
          <w:lang w:val="fr-FR"/>
        </w:rPr>
        <w:t>un groupe de travail chargé d</w:t>
      </w:r>
      <w:r w:rsidR="000A7F98" w:rsidRPr="002D4E72">
        <w:rPr>
          <w:spacing w:val="-2"/>
          <w:kern w:val="28"/>
          <w:lang w:val="fr-FR"/>
        </w:rPr>
        <w:t>’</w:t>
      </w:r>
      <w:r w:rsidR="00A466D6" w:rsidRPr="002D4E72">
        <w:rPr>
          <w:spacing w:val="-2"/>
          <w:kern w:val="28"/>
          <w:lang w:val="fr-FR"/>
        </w:rPr>
        <w:t xml:space="preserve">élaborer des propositions relatives à un </w:t>
      </w:r>
      <w:r w:rsidR="00B633A2" w:rsidRPr="002D4E72">
        <w:rPr>
          <w:rFonts w:cs="Arial"/>
          <w:lang w:val="fr-FR"/>
        </w:rPr>
        <w:t>outil de recherche de l</w:t>
      </w:r>
      <w:r w:rsidR="000A7F98" w:rsidRPr="002D4E72">
        <w:rPr>
          <w:rFonts w:cs="Arial"/>
          <w:lang w:val="fr-FR"/>
        </w:rPr>
        <w:t>’</w:t>
      </w:r>
      <w:r w:rsidR="00B633A2" w:rsidRPr="002D4E72">
        <w:rPr>
          <w:rFonts w:cs="Arial"/>
          <w:lang w:val="fr-FR"/>
        </w:rPr>
        <w:t>UPOV de similarité aux fins de la dénomination variétale</w:t>
      </w:r>
      <w:r w:rsidR="00A466D6" w:rsidRPr="002D4E72">
        <w:rPr>
          <w:spacing w:val="-2"/>
          <w:kern w:val="28"/>
          <w:lang w:val="fr-FR"/>
        </w:rPr>
        <w:t xml:space="preserve"> (WG</w:t>
      </w:r>
      <w:r w:rsidR="002457D3" w:rsidRPr="002D4E72">
        <w:rPr>
          <w:spacing w:val="-2"/>
          <w:kern w:val="28"/>
          <w:lang w:val="fr-FR"/>
        </w:rPr>
        <w:noBreakHyphen/>
      </w:r>
      <w:r w:rsidR="00A466D6" w:rsidRPr="002D4E72">
        <w:rPr>
          <w:spacing w:val="-2"/>
          <w:kern w:val="28"/>
          <w:lang w:val="fr-FR"/>
        </w:rPr>
        <w:t>DST).</w:t>
      </w:r>
      <w:r w:rsidR="00470851" w:rsidRPr="002D4E72">
        <w:rPr>
          <w:spacing w:val="-2"/>
          <w:kern w:val="28"/>
          <w:lang w:val="fr-FR"/>
        </w:rPr>
        <w:t xml:space="preserve"> </w:t>
      </w:r>
      <w:r w:rsidRPr="002D4E72">
        <w:rPr>
          <w:spacing w:val="-2"/>
          <w:kern w:val="28"/>
          <w:lang w:val="fr-FR"/>
        </w:rPr>
        <w:t xml:space="preserve"> </w:t>
      </w:r>
      <w:r w:rsidR="00A466D6" w:rsidRPr="002D4E72">
        <w:rPr>
          <w:lang w:val="fr-FR"/>
        </w:rPr>
        <w:t>Le mandat et la composition du WG</w:t>
      </w:r>
      <w:r w:rsidR="002457D3" w:rsidRPr="002D4E72">
        <w:rPr>
          <w:lang w:val="fr-FR"/>
        </w:rPr>
        <w:noBreakHyphen/>
      </w:r>
      <w:r w:rsidR="00A466D6" w:rsidRPr="002D4E72">
        <w:rPr>
          <w:lang w:val="fr-FR"/>
        </w:rPr>
        <w:t>DST figurent dans les annexes I et II du présent document.</w:t>
      </w:r>
    </w:p>
    <w:p w:rsidR="004A52A9" w:rsidRPr="002D4E72" w:rsidRDefault="004A52A9" w:rsidP="002D70DD">
      <w:pPr>
        <w:rPr>
          <w:lang w:val="fr-FR"/>
        </w:rPr>
      </w:pPr>
    </w:p>
    <w:p w:rsidR="004A52A9" w:rsidRPr="002D4E72" w:rsidRDefault="002D70DD" w:rsidP="00797691">
      <w:pPr>
        <w:rPr>
          <w:lang w:val="fr-FR"/>
        </w:rPr>
      </w:pPr>
      <w:r w:rsidRPr="002D4E72">
        <w:rPr>
          <w:lang w:val="fr-FR"/>
        </w:rPr>
        <w:fldChar w:fldCharType="begin"/>
      </w:r>
      <w:r w:rsidRPr="002D4E72">
        <w:rPr>
          <w:lang w:val="fr-FR"/>
        </w:rPr>
        <w:instrText xml:space="preserve"> AUTONUM  </w:instrText>
      </w:r>
      <w:r w:rsidRPr="002D4E72">
        <w:rPr>
          <w:lang w:val="fr-FR"/>
        </w:rPr>
        <w:fldChar w:fldCharType="end"/>
      </w:r>
      <w:r w:rsidRPr="002D4E72">
        <w:rPr>
          <w:lang w:val="fr-FR"/>
        </w:rPr>
        <w:tab/>
      </w:r>
      <w:r w:rsidR="00797691" w:rsidRPr="002D4E72">
        <w:rPr>
          <w:lang w:val="fr-FR"/>
        </w:rPr>
        <w:t>À sa soixante</w:t>
      </w:r>
      <w:r w:rsidR="002457D3" w:rsidRPr="002D4E72">
        <w:rPr>
          <w:lang w:val="fr-FR"/>
        </w:rPr>
        <w:noBreakHyphen/>
      </w:r>
      <w:r w:rsidR="00797691" w:rsidRPr="002D4E72">
        <w:rPr>
          <w:lang w:val="fr-FR"/>
        </w:rPr>
        <w:t>neuvième</w:t>
      </w:r>
      <w:r w:rsidR="00470851" w:rsidRPr="002D4E72">
        <w:rPr>
          <w:lang w:val="fr-FR"/>
        </w:rPr>
        <w:t> </w:t>
      </w:r>
      <w:r w:rsidR="00797691" w:rsidRPr="002D4E72">
        <w:rPr>
          <w:lang w:val="fr-FR"/>
        </w:rPr>
        <w:t xml:space="preserve">session, tenue à </w:t>
      </w:r>
      <w:r w:rsidR="00B633A2" w:rsidRPr="002D4E72">
        <w:rPr>
          <w:lang w:val="fr-FR"/>
        </w:rPr>
        <w:t>G</w:t>
      </w:r>
      <w:r w:rsidR="00797691" w:rsidRPr="002D4E72">
        <w:rPr>
          <w:lang w:val="fr-FR"/>
        </w:rPr>
        <w:t>enève le 1</w:t>
      </w:r>
      <w:r w:rsidR="000A7F98" w:rsidRPr="002D4E72">
        <w:rPr>
          <w:lang w:val="fr-FR"/>
        </w:rPr>
        <w:t>0 avril 20</w:t>
      </w:r>
      <w:r w:rsidR="00797691" w:rsidRPr="002D4E72">
        <w:rPr>
          <w:lang w:val="fr-FR"/>
        </w:rPr>
        <w:t>14,</w:t>
      </w:r>
      <w:r w:rsidR="000A7F98" w:rsidRPr="002D4E72">
        <w:rPr>
          <w:lang w:val="fr-FR"/>
        </w:rPr>
        <w:t xml:space="preserve"> le CAJ</w:t>
      </w:r>
      <w:r w:rsidR="00797691" w:rsidRPr="002D4E72">
        <w:rPr>
          <w:lang w:val="fr-FR"/>
        </w:rPr>
        <w:t xml:space="preserve"> a noté que le</w:t>
      </w:r>
      <w:r w:rsidR="000A7F98" w:rsidRPr="002D4E72">
        <w:rPr>
          <w:lang w:val="fr-FR"/>
        </w:rPr>
        <w:t> TC</w:t>
      </w:r>
      <w:r w:rsidR="00797691" w:rsidRPr="002D4E72">
        <w:rPr>
          <w:lang w:val="fr-FR"/>
        </w:rPr>
        <w:t>, à sa cinquantième</w:t>
      </w:r>
      <w:r w:rsidR="00470851" w:rsidRPr="002D4E72">
        <w:rPr>
          <w:lang w:val="fr-FR"/>
        </w:rPr>
        <w:t> </w:t>
      </w:r>
      <w:r w:rsidR="00797691" w:rsidRPr="002D4E72">
        <w:rPr>
          <w:lang w:val="fr-FR"/>
        </w:rPr>
        <w:t xml:space="preserve">session tenue à Genève du 7 au </w:t>
      </w:r>
      <w:r w:rsidR="000A7F98" w:rsidRPr="002D4E72">
        <w:rPr>
          <w:lang w:val="fr-FR"/>
        </w:rPr>
        <w:t>9 avril 20</w:t>
      </w:r>
      <w:r w:rsidR="00797691" w:rsidRPr="002D4E72">
        <w:rPr>
          <w:lang w:val="fr-FR"/>
        </w:rPr>
        <w:t>14, avait approuvé la création d</w:t>
      </w:r>
      <w:r w:rsidR="000A7F98" w:rsidRPr="002D4E72">
        <w:rPr>
          <w:lang w:val="fr-FR"/>
        </w:rPr>
        <w:t>’</w:t>
      </w:r>
      <w:r w:rsidR="00797691" w:rsidRPr="002D4E72">
        <w:rPr>
          <w:lang w:val="fr-FR"/>
        </w:rPr>
        <w:t>un groupe de travail chargé de mettre au point un outil de recherche de l</w:t>
      </w:r>
      <w:r w:rsidR="000A7F98" w:rsidRPr="002D4E72">
        <w:rPr>
          <w:lang w:val="fr-FR"/>
        </w:rPr>
        <w:t>’</w:t>
      </w:r>
      <w:r w:rsidR="00797691" w:rsidRPr="002D4E72">
        <w:rPr>
          <w:lang w:val="fr-FR"/>
        </w:rPr>
        <w:t>UPOV de similarité et avait invité des experts à contribuer à ces travaux.</w:t>
      </w:r>
      <w:r w:rsidRPr="002D4E72">
        <w:rPr>
          <w:lang w:val="fr-FR"/>
        </w:rPr>
        <w:t xml:space="preserve">  </w:t>
      </w:r>
      <w:r w:rsidR="00797691" w:rsidRPr="002D4E72">
        <w:rPr>
          <w:lang w:val="fr-FR"/>
        </w:rPr>
        <w:t>En outre, le CAJ est convenu avec le</w:t>
      </w:r>
      <w:r w:rsidR="000A7F98" w:rsidRPr="002D4E72">
        <w:rPr>
          <w:lang w:val="fr-FR"/>
        </w:rPr>
        <w:t> TC</w:t>
      </w:r>
      <w:r w:rsidR="00797691" w:rsidRPr="002D4E72">
        <w:rPr>
          <w:lang w:val="fr-FR"/>
        </w:rPr>
        <w:t xml:space="preserve"> que les aspects linguistiques et alphabétiques posaient certaines difficultés, que le groupe de travail devrait examiner pour définir les objectifs de ses travaux</w:t>
      </w:r>
      <w:r w:rsidR="00797691" w:rsidRPr="002D4E72">
        <w:rPr>
          <w:rStyle w:val="FootnoteReference"/>
          <w:lang w:val="fr-FR"/>
        </w:rPr>
        <w:footnoteReference w:id="3"/>
      </w:r>
      <w:r w:rsidR="00797691" w:rsidRPr="002D4E72">
        <w:rPr>
          <w:lang w:val="fr-FR"/>
        </w:rPr>
        <w:t>.</w:t>
      </w:r>
    </w:p>
    <w:p w:rsidR="004A52A9" w:rsidRPr="002D4E72" w:rsidRDefault="004A52A9" w:rsidP="002D70DD">
      <w:pPr>
        <w:rPr>
          <w:lang w:val="fr-FR"/>
        </w:rPr>
      </w:pPr>
    </w:p>
    <w:p w:rsidR="004A52A9" w:rsidRPr="002D4E72" w:rsidRDefault="00FB4349" w:rsidP="00797691">
      <w:pPr>
        <w:rPr>
          <w:lang w:val="fr-FR"/>
        </w:rPr>
      </w:pPr>
      <w:r w:rsidRPr="002D4E72">
        <w:rPr>
          <w:lang w:val="fr-FR"/>
        </w:rPr>
        <w:fldChar w:fldCharType="begin"/>
      </w:r>
      <w:r w:rsidRPr="002D4E72">
        <w:rPr>
          <w:lang w:val="fr-FR"/>
        </w:rPr>
        <w:instrText xml:space="preserve"> AUTONUM  </w:instrText>
      </w:r>
      <w:r w:rsidRPr="002D4E72">
        <w:rPr>
          <w:lang w:val="fr-FR"/>
        </w:rPr>
        <w:fldChar w:fldCharType="end"/>
      </w:r>
      <w:r w:rsidRPr="002D4E72">
        <w:rPr>
          <w:lang w:val="fr-FR"/>
        </w:rPr>
        <w:tab/>
      </w:r>
      <w:r w:rsidR="00797691" w:rsidRPr="002D4E72">
        <w:rPr>
          <w:lang w:val="fr-FR"/>
        </w:rPr>
        <w:t>Le 1</w:t>
      </w:r>
      <w:r w:rsidR="000A7F98" w:rsidRPr="002D4E72">
        <w:rPr>
          <w:lang w:val="fr-FR"/>
        </w:rPr>
        <w:t>2 mai 20</w:t>
      </w:r>
      <w:r w:rsidR="00797691" w:rsidRPr="002D4E72">
        <w:rPr>
          <w:lang w:val="fr-FR"/>
        </w:rPr>
        <w:t>14, les États</w:t>
      </w:r>
      <w:r w:rsidR="002457D3" w:rsidRPr="002D4E72">
        <w:rPr>
          <w:lang w:val="fr-FR"/>
        </w:rPr>
        <w:noBreakHyphen/>
      </w:r>
      <w:r w:rsidR="00797691" w:rsidRPr="002D4E72">
        <w:rPr>
          <w:lang w:val="fr-FR"/>
        </w:rPr>
        <w:t>Unis d</w:t>
      </w:r>
      <w:r w:rsidR="000A7F98" w:rsidRPr="002D4E72">
        <w:rPr>
          <w:lang w:val="fr-FR"/>
        </w:rPr>
        <w:t>’</w:t>
      </w:r>
      <w:r w:rsidR="00797691" w:rsidRPr="002D4E72">
        <w:rPr>
          <w:lang w:val="fr-FR"/>
        </w:rPr>
        <w:t>Amérique ont demandé à participer au WG</w:t>
      </w:r>
      <w:r w:rsidR="002457D3" w:rsidRPr="002D4E72">
        <w:rPr>
          <w:lang w:val="fr-FR"/>
        </w:rPr>
        <w:noBreakHyphen/>
      </w:r>
      <w:r w:rsidR="00797691" w:rsidRPr="002D4E72">
        <w:rPr>
          <w:lang w:val="fr-FR"/>
        </w:rPr>
        <w:t>DST.</w:t>
      </w:r>
    </w:p>
    <w:p w:rsidR="004A52A9" w:rsidRPr="002D4E72" w:rsidRDefault="004A52A9" w:rsidP="002D70DD">
      <w:pPr>
        <w:rPr>
          <w:lang w:val="fr-FR"/>
        </w:rPr>
      </w:pPr>
    </w:p>
    <w:p w:rsidR="004A52A9" w:rsidRPr="002D4E72" w:rsidRDefault="00ED786F" w:rsidP="00797691">
      <w:pPr>
        <w:rPr>
          <w:lang w:val="fr-FR"/>
        </w:rPr>
      </w:pPr>
      <w:r w:rsidRPr="002D4E72">
        <w:rPr>
          <w:lang w:val="fr-FR"/>
        </w:rPr>
        <w:fldChar w:fldCharType="begin"/>
      </w:r>
      <w:r w:rsidRPr="002D4E72">
        <w:rPr>
          <w:lang w:val="fr-FR"/>
        </w:rPr>
        <w:instrText xml:space="preserve"> AUTONUM  </w:instrText>
      </w:r>
      <w:r w:rsidRPr="002D4E72">
        <w:rPr>
          <w:lang w:val="fr-FR"/>
        </w:rPr>
        <w:fldChar w:fldCharType="end"/>
      </w:r>
      <w:r w:rsidRPr="002D4E72">
        <w:rPr>
          <w:lang w:val="fr-FR"/>
        </w:rPr>
        <w:tab/>
      </w:r>
      <w:r w:rsidR="00797691" w:rsidRPr="002D4E72">
        <w:rPr>
          <w:lang w:val="fr-FR"/>
        </w:rPr>
        <w:t xml:space="preserve">Le </w:t>
      </w:r>
      <w:r w:rsidR="000A7F98" w:rsidRPr="002D4E72">
        <w:rPr>
          <w:lang w:val="fr-FR"/>
        </w:rPr>
        <w:t>4 août 20</w:t>
      </w:r>
      <w:r w:rsidR="00797691" w:rsidRPr="002D4E72">
        <w:rPr>
          <w:lang w:val="fr-FR"/>
        </w:rPr>
        <w:t>14, l</w:t>
      </w:r>
      <w:r w:rsidR="000A7F98" w:rsidRPr="002D4E72">
        <w:rPr>
          <w:lang w:val="fr-FR"/>
        </w:rPr>
        <w:t>’</w:t>
      </w:r>
      <w:r w:rsidR="00797691" w:rsidRPr="002D4E72">
        <w:rPr>
          <w:lang w:val="fr-FR"/>
        </w:rPr>
        <w:t>Australie a demandé à participer au WG</w:t>
      </w:r>
      <w:r w:rsidR="002457D3" w:rsidRPr="002D4E72">
        <w:rPr>
          <w:lang w:val="fr-FR"/>
        </w:rPr>
        <w:noBreakHyphen/>
      </w:r>
      <w:r w:rsidR="00797691" w:rsidRPr="002D4E72">
        <w:rPr>
          <w:lang w:val="fr-FR"/>
        </w:rPr>
        <w:t>DST.</w:t>
      </w:r>
    </w:p>
    <w:p w:rsidR="004A52A9" w:rsidRPr="002D4E72" w:rsidRDefault="004A52A9" w:rsidP="002D70DD">
      <w:pPr>
        <w:rPr>
          <w:lang w:val="fr-FR"/>
        </w:rPr>
      </w:pPr>
    </w:p>
    <w:p w:rsidR="000A7F98" w:rsidRPr="002D4E72" w:rsidRDefault="00FB4349" w:rsidP="00797691">
      <w:pPr>
        <w:rPr>
          <w:lang w:val="fr-FR"/>
        </w:rPr>
      </w:pPr>
      <w:r w:rsidRPr="002D4E72">
        <w:rPr>
          <w:lang w:val="fr-FR"/>
        </w:rPr>
        <w:fldChar w:fldCharType="begin"/>
      </w:r>
      <w:r w:rsidRPr="002D4E72">
        <w:rPr>
          <w:lang w:val="fr-FR"/>
        </w:rPr>
        <w:instrText xml:space="preserve"> AUTONUM  </w:instrText>
      </w:r>
      <w:r w:rsidRPr="002D4E72">
        <w:rPr>
          <w:lang w:val="fr-FR"/>
        </w:rPr>
        <w:fldChar w:fldCharType="end"/>
      </w:r>
      <w:r w:rsidR="00DF0767" w:rsidRPr="002D4E72">
        <w:rPr>
          <w:lang w:val="fr-FR"/>
        </w:rPr>
        <w:tab/>
      </w:r>
      <w:r w:rsidR="00B633A2" w:rsidRPr="002D4E72">
        <w:rPr>
          <w:lang w:val="fr-FR"/>
        </w:rPr>
        <w:t>L</w:t>
      </w:r>
      <w:r w:rsidR="00797691" w:rsidRPr="002D4E72">
        <w:rPr>
          <w:lang w:val="fr-FR"/>
        </w:rPr>
        <w:t>a première réunion du WG</w:t>
      </w:r>
      <w:r w:rsidR="002457D3" w:rsidRPr="002D4E72">
        <w:rPr>
          <w:lang w:val="fr-FR"/>
        </w:rPr>
        <w:noBreakHyphen/>
      </w:r>
      <w:r w:rsidR="00797691" w:rsidRPr="002D4E72">
        <w:rPr>
          <w:lang w:val="fr-FR"/>
        </w:rPr>
        <w:t>DST se tiendra au siège de l</w:t>
      </w:r>
      <w:r w:rsidR="000A7F98" w:rsidRPr="002D4E72">
        <w:rPr>
          <w:lang w:val="fr-FR"/>
        </w:rPr>
        <w:t>’</w:t>
      </w:r>
      <w:r w:rsidR="00797691" w:rsidRPr="002D4E72">
        <w:rPr>
          <w:lang w:val="fr-FR"/>
        </w:rPr>
        <w:t xml:space="preserve">UPOV à Genève, le </w:t>
      </w:r>
      <w:r w:rsidR="000A7F98" w:rsidRPr="002D4E72">
        <w:rPr>
          <w:lang w:val="fr-FR"/>
        </w:rPr>
        <w:t>3 septembre 20</w:t>
      </w:r>
      <w:r w:rsidR="002D4E72">
        <w:rPr>
          <w:lang w:val="fr-FR"/>
        </w:rPr>
        <w:t>14 (voir </w:t>
      </w:r>
      <w:r w:rsidR="00797691" w:rsidRPr="002D4E72">
        <w:rPr>
          <w:lang w:val="fr-FR"/>
        </w:rPr>
        <w:t>la circulaire E</w:t>
      </w:r>
      <w:r w:rsidR="002457D3" w:rsidRPr="002D4E72">
        <w:rPr>
          <w:lang w:val="fr-FR"/>
        </w:rPr>
        <w:noBreakHyphen/>
      </w:r>
      <w:r w:rsidR="00797691" w:rsidRPr="002D4E72">
        <w:rPr>
          <w:lang w:val="fr-FR"/>
        </w:rPr>
        <w:t>14/189 de l</w:t>
      </w:r>
      <w:r w:rsidR="000A7F98" w:rsidRPr="002D4E72">
        <w:rPr>
          <w:lang w:val="fr-FR"/>
        </w:rPr>
        <w:t>’</w:t>
      </w:r>
      <w:r w:rsidR="00797691" w:rsidRPr="002D4E72">
        <w:rPr>
          <w:lang w:val="fr-FR"/>
        </w:rPr>
        <w:t>UPOV datée du 1</w:t>
      </w:r>
      <w:r w:rsidR="000A7F98" w:rsidRPr="002D4E72">
        <w:rPr>
          <w:lang w:val="fr-FR"/>
        </w:rPr>
        <w:t>5 juillet 20</w:t>
      </w:r>
      <w:r w:rsidR="00797691" w:rsidRPr="002D4E72">
        <w:rPr>
          <w:lang w:val="fr-FR"/>
        </w:rPr>
        <w:t>14).</w:t>
      </w:r>
    </w:p>
    <w:p w:rsidR="004A52A9" w:rsidRPr="002D4E72" w:rsidRDefault="004A52A9" w:rsidP="002D70DD">
      <w:pPr>
        <w:rPr>
          <w:lang w:val="fr-FR"/>
        </w:rPr>
      </w:pPr>
    </w:p>
    <w:p w:rsidR="004A52A9" w:rsidRPr="002D4E72" w:rsidRDefault="002D70DD" w:rsidP="00797691">
      <w:pPr>
        <w:rPr>
          <w:lang w:val="fr-FR"/>
        </w:rPr>
      </w:pPr>
      <w:r w:rsidRPr="002D4E72">
        <w:rPr>
          <w:lang w:val="fr-FR"/>
        </w:rPr>
        <w:fldChar w:fldCharType="begin"/>
      </w:r>
      <w:r w:rsidRPr="002D4E72">
        <w:rPr>
          <w:lang w:val="fr-FR"/>
        </w:rPr>
        <w:instrText xml:space="preserve"> AUTONUM  </w:instrText>
      </w:r>
      <w:r w:rsidRPr="002D4E72">
        <w:rPr>
          <w:lang w:val="fr-FR"/>
        </w:rPr>
        <w:fldChar w:fldCharType="end"/>
      </w:r>
      <w:r w:rsidRPr="002D4E72">
        <w:rPr>
          <w:lang w:val="fr-FR"/>
        </w:rPr>
        <w:tab/>
      </w:r>
      <w:r w:rsidR="00797691" w:rsidRPr="002D4E72">
        <w:rPr>
          <w:lang w:val="fr-FR"/>
        </w:rPr>
        <w:t>Un rapport sur la première réunion du WG</w:t>
      </w:r>
      <w:r w:rsidR="002457D3" w:rsidRPr="002D4E72">
        <w:rPr>
          <w:lang w:val="fr-FR"/>
        </w:rPr>
        <w:noBreakHyphen/>
      </w:r>
      <w:r w:rsidR="00797691" w:rsidRPr="002D4E72">
        <w:rPr>
          <w:lang w:val="fr-FR"/>
        </w:rPr>
        <w:t>DST sera présenté</w:t>
      </w:r>
      <w:r w:rsidR="000A7F98" w:rsidRPr="002D4E72">
        <w:rPr>
          <w:lang w:val="fr-FR"/>
        </w:rPr>
        <w:t xml:space="preserve"> au CAJ</w:t>
      </w:r>
      <w:r w:rsidR="00797691" w:rsidRPr="002D4E72">
        <w:rPr>
          <w:lang w:val="fr-FR"/>
        </w:rPr>
        <w:t xml:space="preserve"> à sa soixante</w:t>
      </w:r>
      <w:r w:rsidR="002457D3" w:rsidRPr="002D4E72">
        <w:rPr>
          <w:lang w:val="fr-FR"/>
        </w:rPr>
        <w:noBreakHyphen/>
      </w:r>
      <w:r w:rsidR="00797691" w:rsidRPr="002D4E72">
        <w:rPr>
          <w:lang w:val="fr-FR"/>
        </w:rPr>
        <w:t>dixième</w:t>
      </w:r>
      <w:r w:rsidR="00470851" w:rsidRPr="002D4E72">
        <w:rPr>
          <w:lang w:val="fr-FR"/>
        </w:rPr>
        <w:t> </w:t>
      </w:r>
      <w:r w:rsidR="00797691" w:rsidRPr="002D4E72">
        <w:rPr>
          <w:lang w:val="fr-FR"/>
        </w:rPr>
        <w:t>session.</w:t>
      </w:r>
    </w:p>
    <w:p w:rsidR="004A52A9" w:rsidRPr="002D4E72" w:rsidRDefault="004A52A9" w:rsidP="002D70DD">
      <w:pPr>
        <w:rPr>
          <w:lang w:val="fr-FR"/>
        </w:rPr>
      </w:pPr>
    </w:p>
    <w:p w:rsidR="004A52A9" w:rsidRPr="002D4E72" w:rsidRDefault="004A52A9" w:rsidP="002D70DD">
      <w:pPr>
        <w:rPr>
          <w:lang w:val="fr-FR"/>
        </w:rPr>
      </w:pPr>
    </w:p>
    <w:p w:rsidR="004A52A9" w:rsidRPr="002D4E72" w:rsidRDefault="004A52A9" w:rsidP="001D483F">
      <w:pPr>
        <w:rPr>
          <w:rFonts w:cs="Arial"/>
          <w:snapToGrid w:val="0"/>
          <w:lang w:val="fr-FR"/>
        </w:rPr>
      </w:pPr>
    </w:p>
    <w:p w:rsidR="004A52A9" w:rsidRPr="002D4E72" w:rsidRDefault="00797691" w:rsidP="00B633A2">
      <w:pPr>
        <w:pStyle w:val="Heading1"/>
        <w:rPr>
          <w:snapToGrid w:val="0"/>
          <w:lang w:val="fr-FR"/>
        </w:rPr>
      </w:pPr>
      <w:bookmarkStart w:id="6" w:name="_Toc396974688"/>
      <w:r w:rsidRPr="002D4E72">
        <w:rPr>
          <w:snapToGrid w:val="0"/>
          <w:lang w:val="fr-FR"/>
        </w:rPr>
        <w:t xml:space="preserve">rÉvision du document UPOV/INF/12 “Notes explicatives concernant les dÉnominations variÉtales en vertu de la </w:t>
      </w:r>
      <w:r w:rsidR="000A7F98" w:rsidRPr="002D4E72">
        <w:rPr>
          <w:snapToGrid w:val="0"/>
          <w:lang w:val="fr-FR"/>
        </w:rPr>
        <w:t>Convention UPOV</w:t>
      </w:r>
      <w:r w:rsidRPr="002D4E72">
        <w:rPr>
          <w:snapToGrid w:val="0"/>
          <w:lang w:val="fr-FR"/>
        </w:rPr>
        <w:t>”</w:t>
      </w:r>
      <w:bookmarkEnd w:id="6"/>
    </w:p>
    <w:p w:rsidR="004A52A9" w:rsidRPr="002D4E72" w:rsidRDefault="004A52A9" w:rsidP="00376C56">
      <w:pPr>
        <w:keepNext/>
        <w:rPr>
          <w:lang w:val="fr-FR"/>
        </w:rPr>
      </w:pPr>
    </w:p>
    <w:p w:rsidR="004A52A9" w:rsidRPr="002D4E72" w:rsidRDefault="00376C56" w:rsidP="00797691">
      <w:pPr>
        <w:spacing w:after="720"/>
        <w:rPr>
          <w:lang w:val="fr-FR"/>
        </w:rPr>
      </w:pPr>
      <w:r w:rsidRPr="002D4E72">
        <w:rPr>
          <w:lang w:val="fr-FR"/>
        </w:rPr>
        <w:fldChar w:fldCharType="begin"/>
      </w:r>
      <w:r w:rsidRPr="002D4E72">
        <w:rPr>
          <w:lang w:val="fr-FR"/>
        </w:rPr>
        <w:instrText xml:space="preserve"> AUTONUM  </w:instrText>
      </w:r>
      <w:r w:rsidRPr="002D4E72">
        <w:rPr>
          <w:lang w:val="fr-FR"/>
        </w:rPr>
        <w:fldChar w:fldCharType="end"/>
      </w:r>
      <w:r w:rsidRPr="002D4E72">
        <w:rPr>
          <w:lang w:val="fr-FR"/>
        </w:rPr>
        <w:tab/>
      </w:r>
      <w:r w:rsidR="00797691" w:rsidRPr="002D4E72">
        <w:rPr>
          <w:lang w:val="fr-FR"/>
        </w:rPr>
        <w:t xml:space="preserve">Les faits nouveaux concernant la révision du document UPOV/INF/12 “Notes explicatives concernant les dénominations variétales en vertu de la </w:t>
      </w:r>
      <w:r w:rsidR="000A7F98" w:rsidRPr="002D4E72">
        <w:rPr>
          <w:lang w:val="fr-FR"/>
        </w:rPr>
        <w:t>Convention UPOV</w:t>
      </w:r>
      <w:r w:rsidR="00797691" w:rsidRPr="002D4E72">
        <w:rPr>
          <w:lang w:val="fr-FR"/>
        </w:rPr>
        <w:t>”, qui seront examinés par</w:t>
      </w:r>
      <w:r w:rsidR="000A7F98" w:rsidRPr="002D4E72">
        <w:rPr>
          <w:lang w:val="fr-FR"/>
        </w:rPr>
        <w:t xml:space="preserve"> le CAJ</w:t>
      </w:r>
      <w:r w:rsidR="002457D3" w:rsidRPr="002D4E72">
        <w:rPr>
          <w:lang w:val="fr-FR"/>
        </w:rPr>
        <w:noBreakHyphen/>
      </w:r>
      <w:r w:rsidR="00797691" w:rsidRPr="002D4E72">
        <w:rPr>
          <w:lang w:val="fr-FR"/>
        </w:rPr>
        <w:t>AG, à sa neuvième</w:t>
      </w:r>
      <w:r w:rsidR="00470851" w:rsidRPr="002D4E72">
        <w:rPr>
          <w:lang w:val="fr-FR"/>
        </w:rPr>
        <w:t> </w:t>
      </w:r>
      <w:r w:rsidR="00797691" w:rsidRPr="002D4E72">
        <w:rPr>
          <w:lang w:val="fr-FR"/>
        </w:rPr>
        <w:t>session les 14 et 1</w:t>
      </w:r>
      <w:r w:rsidR="000A7F98" w:rsidRPr="002D4E72">
        <w:rPr>
          <w:lang w:val="fr-FR"/>
        </w:rPr>
        <w:t>7 octobre 20</w:t>
      </w:r>
      <w:r w:rsidR="00797691" w:rsidRPr="002D4E72">
        <w:rPr>
          <w:lang w:val="fr-FR"/>
        </w:rPr>
        <w:t>14, sont présentés dans le document CAJ/70/2 “Élaboration de matériel d</w:t>
      </w:r>
      <w:r w:rsidR="000A7F98" w:rsidRPr="002D4E72">
        <w:rPr>
          <w:lang w:val="fr-FR"/>
        </w:rPr>
        <w:t>’</w:t>
      </w:r>
      <w:r w:rsidR="00797691" w:rsidRPr="002D4E72">
        <w:rPr>
          <w:lang w:val="fr-FR"/>
        </w:rPr>
        <w:t>informatio</w:t>
      </w:r>
      <w:r w:rsidR="00B40BF0" w:rsidRPr="002D4E72">
        <w:rPr>
          <w:lang w:val="fr-FR"/>
        </w:rPr>
        <w:t xml:space="preserve">n concernant la </w:t>
      </w:r>
      <w:r w:rsidR="000A7F98" w:rsidRPr="002D4E72">
        <w:rPr>
          <w:lang w:val="fr-FR"/>
        </w:rPr>
        <w:t>Convention UPOV</w:t>
      </w:r>
      <w:r w:rsidR="00470851" w:rsidRPr="002D4E72">
        <w:rPr>
          <w:lang w:val="fr-FR"/>
        </w:rPr>
        <w:t>”</w:t>
      </w:r>
      <w:r w:rsidR="00797691" w:rsidRPr="002D4E72">
        <w:rPr>
          <w:lang w:val="fr-FR"/>
        </w:rPr>
        <w:t>.</w:t>
      </w:r>
    </w:p>
    <w:p w:rsidR="000A7F98" w:rsidRPr="002D4E72" w:rsidRDefault="000A7F98" w:rsidP="00636AAE">
      <w:pPr>
        <w:spacing w:after="720"/>
        <w:rPr>
          <w:lang w:val="fr-FR"/>
        </w:rPr>
      </w:pPr>
    </w:p>
    <w:p w:rsidR="004A52A9" w:rsidRPr="002D4E72" w:rsidRDefault="004A52A9" w:rsidP="006B130D">
      <w:pPr>
        <w:pStyle w:val="DecisionParagraphs"/>
        <w:rPr>
          <w:snapToGrid w:val="0"/>
          <w:lang w:val="fr-FR"/>
        </w:rPr>
      </w:pPr>
    </w:p>
    <w:p w:rsidR="000A7F98" w:rsidRPr="002D4E72" w:rsidRDefault="001D483F" w:rsidP="006D3AFC">
      <w:pPr>
        <w:pStyle w:val="DecisionParagraphs"/>
        <w:rPr>
          <w:lang w:val="fr-FR"/>
        </w:rPr>
      </w:pPr>
      <w:r w:rsidRPr="002D4E72">
        <w:rPr>
          <w:lang w:val="fr-FR"/>
        </w:rPr>
        <w:fldChar w:fldCharType="begin"/>
      </w:r>
      <w:r w:rsidRPr="002D4E72">
        <w:rPr>
          <w:lang w:val="fr-FR"/>
        </w:rPr>
        <w:instrText xml:space="preserve"> AUTONUM  </w:instrText>
      </w:r>
      <w:r w:rsidRPr="002D4E72">
        <w:rPr>
          <w:lang w:val="fr-FR"/>
        </w:rPr>
        <w:fldChar w:fldCharType="end"/>
      </w:r>
      <w:r w:rsidRPr="002D4E72">
        <w:rPr>
          <w:lang w:val="fr-FR"/>
        </w:rPr>
        <w:tab/>
      </w:r>
      <w:r w:rsidR="006D3AFC" w:rsidRPr="002D4E72">
        <w:rPr>
          <w:lang w:val="fr-FR"/>
        </w:rPr>
        <w:t xml:space="preserve">Le CAJ est invité à prendre note </w:t>
      </w:r>
      <w:r w:rsidR="00B40BF0" w:rsidRPr="002D4E72">
        <w:rPr>
          <w:lang w:val="fr-FR"/>
        </w:rPr>
        <w:t>des éléments suivants :</w:t>
      </w:r>
    </w:p>
    <w:p w:rsidR="004A52A9" w:rsidRPr="002D4E72" w:rsidRDefault="004A52A9" w:rsidP="006B130D">
      <w:pPr>
        <w:pStyle w:val="DecisionParagraphs"/>
        <w:rPr>
          <w:lang w:val="fr-FR"/>
        </w:rPr>
      </w:pPr>
    </w:p>
    <w:p w:rsidR="004A52A9" w:rsidRPr="002D4E72" w:rsidRDefault="006D3AFC" w:rsidP="00B94803">
      <w:pPr>
        <w:pStyle w:val="DecisionParagraphs"/>
        <w:numPr>
          <w:ilvl w:val="0"/>
          <w:numId w:val="8"/>
        </w:numPr>
        <w:tabs>
          <w:tab w:val="left" w:pos="5954"/>
        </w:tabs>
        <w:ind w:left="4820" w:firstLine="567"/>
        <w:rPr>
          <w:lang w:val="fr-FR"/>
        </w:rPr>
      </w:pPr>
      <w:r w:rsidRPr="002D4E72">
        <w:rPr>
          <w:lang w:val="fr-FR"/>
        </w:rPr>
        <w:t>un rapport sur la première réunion du WG</w:t>
      </w:r>
      <w:r w:rsidR="002457D3" w:rsidRPr="002D4E72">
        <w:rPr>
          <w:lang w:val="fr-FR"/>
        </w:rPr>
        <w:noBreakHyphen/>
      </w:r>
      <w:r w:rsidRPr="002D4E72">
        <w:rPr>
          <w:lang w:val="fr-FR"/>
        </w:rPr>
        <w:t xml:space="preserve">DST, qui se tiendra à Genève le </w:t>
      </w:r>
      <w:r w:rsidR="000A7F98" w:rsidRPr="002D4E72">
        <w:rPr>
          <w:lang w:val="fr-FR"/>
        </w:rPr>
        <w:t>3 septembre 20</w:t>
      </w:r>
      <w:r w:rsidRPr="002D4E72">
        <w:rPr>
          <w:lang w:val="fr-FR"/>
        </w:rPr>
        <w:t>14, sera présenté</w:t>
      </w:r>
      <w:r w:rsidR="000A7F98" w:rsidRPr="002D4E72">
        <w:rPr>
          <w:lang w:val="fr-FR"/>
        </w:rPr>
        <w:t xml:space="preserve"> au CAJ</w:t>
      </w:r>
      <w:r w:rsidRPr="002D4E72">
        <w:rPr>
          <w:lang w:val="fr-FR"/>
        </w:rPr>
        <w:t xml:space="preserve"> à sa soixante</w:t>
      </w:r>
      <w:r w:rsidR="002457D3" w:rsidRPr="002D4E72">
        <w:rPr>
          <w:lang w:val="fr-FR"/>
        </w:rPr>
        <w:noBreakHyphen/>
      </w:r>
      <w:r w:rsidRPr="002D4E72">
        <w:rPr>
          <w:lang w:val="fr-FR"/>
        </w:rPr>
        <w:t>dixième</w:t>
      </w:r>
      <w:r w:rsidR="00470851" w:rsidRPr="002D4E72">
        <w:rPr>
          <w:lang w:val="fr-FR"/>
        </w:rPr>
        <w:t> </w:t>
      </w:r>
      <w:r w:rsidRPr="002D4E72">
        <w:rPr>
          <w:lang w:val="fr-FR"/>
        </w:rPr>
        <w:t>session</w:t>
      </w:r>
      <w:r w:rsidR="00B94803" w:rsidRPr="002D4E72">
        <w:rPr>
          <w:lang w:val="fr-FR"/>
        </w:rPr>
        <w:t>;</w:t>
      </w:r>
    </w:p>
    <w:p w:rsidR="004A52A9" w:rsidRPr="002D4E72" w:rsidRDefault="004A52A9" w:rsidP="00F21342">
      <w:pPr>
        <w:pStyle w:val="DecisionParagraphs"/>
        <w:rPr>
          <w:lang w:val="fr-FR"/>
        </w:rPr>
      </w:pPr>
    </w:p>
    <w:p w:rsidR="004A52A9" w:rsidRPr="002D4E72" w:rsidRDefault="006D3AFC" w:rsidP="00B94803">
      <w:pPr>
        <w:pStyle w:val="DecisionParagraphs"/>
        <w:numPr>
          <w:ilvl w:val="0"/>
          <w:numId w:val="8"/>
        </w:numPr>
        <w:tabs>
          <w:tab w:val="left" w:pos="5954"/>
        </w:tabs>
        <w:ind w:left="4820" w:firstLine="567"/>
        <w:rPr>
          <w:lang w:val="fr-FR"/>
        </w:rPr>
      </w:pPr>
      <w:r w:rsidRPr="002D4E72">
        <w:rPr>
          <w:lang w:val="fr-FR"/>
        </w:rPr>
        <w:t xml:space="preserve">les </w:t>
      </w:r>
      <w:r w:rsidR="00B40BF0" w:rsidRPr="002D4E72">
        <w:rPr>
          <w:lang w:val="fr-FR"/>
        </w:rPr>
        <w:t>derniers progrès accomplis</w:t>
      </w:r>
      <w:r w:rsidRPr="002D4E72">
        <w:rPr>
          <w:lang w:val="fr-FR"/>
        </w:rPr>
        <w:t xml:space="preserve"> concernant la révision du document UPOV/INF/12 “Notes explicatives concernant les dénominations variétales en vertu de la </w:t>
      </w:r>
      <w:r w:rsidR="000A7F98" w:rsidRPr="002D4E72">
        <w:rPr>
          <w:lang w:val="fr-FR"/>
        </w:rPr>
        <w:t>Convention UPOV</w:t>
      </w:r>
      <w:r w:rsidRPr="002D4E72">
        <w:rPr>
          <w:lang w:val="fr-FR"/>
        </w:rPr>
        <w:t>”, qui seront examinés par</w:t>
      </w:r>
      <w:r w:rsidR="000A7F98" w:rsidRPr="002D4E72">
        <w:rPr>
          <w:lang w:val="fr-FR"/>
        </w:rPr>
        <w:t xml:space="preserve"> le CAJ</w:t>
      </w:r>
      <w:r w:rsidR="002457D3" w:rsidRPr="002D4E72">
        <w:rPr>
          <w:lang w:val="fr-FR"/>
        </w:rPr>
        <w:noBreakHyphen/>
      </w:r>
      <w:r w:rsidRPr="002D4E72">
        <w:rPr>
          <w:lang w:val="fr-FR"/>
        </w:rPr>
        <w:t>AG, à sa neuvième</w:t>
      </w:r>
      <w:r w:rsidR="00470851" w:rsidRPr="002D4E72">
        <w:rPr>
          <w:lang w:val="fr-FR"/>
        </w:rPr>
        <w:t> </w:t>
      </w:r>
      <w:r w:rsidRPr="002D4E72">
        <w:rPr>
          <w:lang w:val="fr-FR"/>
        </w:rPr>
        <w:t>session les 14 et 1</w:t>
      </w:r>
      <w:r w:rsidR="000A7F98" w:rsidRPr="002D4E72">
        <w:rPr>
          <w:lang w:val="fr-FR"/>
        </w:rPr>
        <w:t>7 octobre 20</w:t>
      </w:r>
      <w:r w:rsidRPr="002D4E72">
        <w:rPr>
          <w:lang w:val="fr-FR"/>
        </w:rPr>
        <w:t>14, sont présentés dans le document CAJ/70/2 “Élaboration de matériel d</w:t>
      </w:r>
      <w:r w:rsidR="000A7F98" w:rsidRPr="002D4E72">
        <w:rPr>
          <w:lang w:val="fr-FR"/>
        </w:rPr>
        <w:t>’</w:t>
      </w:r>
      <w:r w:rsidRPr="002D4E72">
        <w:rPr>
          <w:lang w:val="fr-FR"/>
        </w:rPr>
        <w:t xml:space="preserve">information concernant la </w:t>
      </w:r>
      <w:r w:rsidR="000A7F98" w:rsidRPr="002D4E72">
        <w:rPr>
          <w:lang w:val="fr-FR"/>
        </w:rPr>
        <w:t>Convention UPOV</w:t>
      </w:r>
      <w:r w:rsidR="00B94803" w:rsidRPr="002D4E72">
        <w:rPr>
          <w:lang w:val="fr-FR"/>
        </w:rPr>
        <w:t>”</w:t>
      </w:r>
      <w:r w:rsidRPr="002D4E72">
        <w:rPr>
          <w:lang w:val="fr-FR"/>
        </w:rPr>
        <w:t>.</w:t>
      </w:r>
    </w:p>
    <w:p w:rsidR="004A52A9" w:rsidRPr="002D4E72" w:rsidRDefault="004A52A9" w:rsidP="006B130D">
      <w:pPr>
        <w:pStyle w:val="DecisionParagraphs"/>
        <w:rPr>
          <w:lang w:val="fr-FR"/>
        </w:rPr>
      </w:pPr>
    </w:p>
    <w:p w:rsidR="004A52A9" w:rsidRPr="002D4E72" w:rsidRDefault="004A52A9" w:rsidP="00F21342">
      <w:pPr>
        <w:pStyle w:val="DecisionParagraphs"/>
        <w:ind w:left="0"/>
        <w:rPr>
          <w:lang w:val="fr-FR"/>
        </w:rPr>
      </w:pPr>
    </w:p>
    <w:p w:rsidR="004A52A9" w:rsidRPr="002D4E72" w:rsidRDefault="004A52A9" w:rsidP="001D483F">
      <w:pPr>
        <w:rPr>
          <w:snapToGrid w:val="0"/>
          <w:lang w:val="fr-FR"/>
        </w:rPr>
      </w:pPr>
    </w:p>
    <w:p w:rsidR="004A52A9" w:rsidRPr="002D4E72" w:rsidRDefault="004A52A9" w:rsidP="001D483F">
      <w:pPr>
        <w:rPr>
          <w:snapToGrid w:val="0"/>
          <w:lang w:val="fr-FR"/>
        </w:rPr>
      </w:pPr>
    </w:p>
    <w:p w:rsidR="004A52A9" w:rsidRPr="002D4E72" w:rsidRDefault="006D3AFC" w:rsidP="006D3AFC">
      <w:pPr>
        <w:jc w:val="right"/>
        <w:rPr>
          <w:snapToGrid w:val="0"/>
          <w:lang w:val="fr-FR"/>
        </w:rPr>
      </w:pPr>
      <w:r w:rsidRPr="002D4E72">
        <w:rPr>
          <w:snapToGrid w:val="0"/>
          <w:lang w:val="fr-FR"/>
        </w:rPr>
        <w:t>[Les annexes suivent]</w:t>
      </w:r>
    </w:p>
    <w:p w:rsidR="004A52A9" w:rsidRPr="002D4E72" w:rsidRDefault="00AA5EB1">
      <w:pPr>
        <w:jc w:val="left"/>
        <w:rPr>
          <w:snapToGrid w:val="0"/>
          <w:lang w:val="fr-FR"/>
        </w:rPr>
      </w:pPr>
      <w:r w:rsidRPr="002D4E72">
        <w:rPr>
          <w:snapToGrid w:val="0"/>
          <w:lang w:val="fr-FR"/>
        </w:rPr>
        <w:br w:type="page"/>
      </w:r>
    </w:p>
    <w:p w:rsidR="003A0A5A" w:rsidRPr="002D4E72" w:rsidRDefault="003A0A5A">
      <w:pPr>
        <w:jc w:val="left"/>
        <w:rPr>
          <w:snapToGrid w:val="0"/>
          <w:lang w:val="fr-FR"/>
        </w:rPr>
        <w:sectPr w:rsidR="003A0A5A" w:rsidRPr="002D4E72" w:rsidSect="00A15F3A">
          <w:footerReference w:type="default" r:id="rId16"/>
          <w:headerReference w:type="first" r:id="rId17"/>
          <w:footerReference w:type="first" r:id="rId18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4A52A9" w:rsidRPr="002D4E72" w:rsidRDefault="003A0A5A" w:rsidP="003A0A5A">
      <w:pPr>
        <w:jc w:val="center"/>
        <w:rPr>
          <w:snapToGrid w:val="0"/>
          <w:lang w:val="fr-FR"/>
        </w:rPr>
      </w:pPr>
      <w:r w:rsidRPr="002D4E72">
        <w:rPr>
          <w:snapToGrid w:val="0"/>
          <w:lang w:val="fr-FR"/>
        </w:rPr>
        <w:lastRenderedPageBreak/>
        <w:t>CAJ/70/4</w:t>
      </w:r>
    </w:p>
    <w:p w:rsidR="004A52A9" w:rsidRPr="002D4E72" w:rsidRDefault="004A52A9" w:rsidP="003A0A5A">
      <w:pPr>
        <w:rPr>
          <w:snapToGrid w:val="0"/>
          <w:lang w:val="fr-FR"/>
        </w:rPr>
      </w:pPr>
    </w:p>
    <w:p w:rsidR="004A52A9" w:rsidRPr="002D4E72" w:rsidRDefault="006D3AFC" w:rsidP="006D3AFC">
      <w:pPr>
        <w:jc w:val="center"/>
        <w:rPr>
          <w:rFonts w:cs="Arial"/>
          <w:lang w:val="fr-FR"/>
        </w:rPr>
      </w:pPr>
      <w:r w:rsidRPr="002D4E72">
        <w:rPr>
          <w:rFonts w:cs="Arial"/>
          <w:lang w:val="fr-FR"/>
        </w:rPr>
        <w:t>ANNEXE I</w:t>
      </w:r>
    </w:p>
    <w:p w:rsidR="004A52A9" w:rsidRPr="002D4E72" w:rsidRDefault="004A52A9" w:rsidP="002D70DD">
      <w:pPr>
        <w:jc w:val="center"/>
        <w:rPr>
          <w:rFonts w:cs="Arial"/>
          <w:lang w:val="fr-FR"/>
        </w:rPr>
      </w:pPr>
    </w:p>
    <w:p w:rsidR="004A52A9" w:rsidRPr="002D4E72" w:rsidRDefault="004A52A9" w:rsidP="002D70DD">
      <w:pPr>
        <w:jc w:val="center"/>
        <w:rPr>
          <w:rFonts w:cs="Arial"/>
          <w:lang w:val="fr-FR"/>
        </w:rPr>
      </w:pPr>
    </w:p>
    <w:p w:rsidR="004A52A9" w:rsidRPr="002D4E72" w:rsidRDefault="006D3AFC" w:rsidP="006D3AFC">
      <w:pPr>
        <w:jc w:val="center"/>
        <w:rPr>
          <w:rFonts w:cs="Arial"/>
          <w:lang w:val="fr-FR"/>
        </w:rPr>
      </w:pPr>
      <w:r w:rsidRPr="002D4E72">
        <w:rPr>
          <w:rFonts w:cs="Arial"/>
          <w:lang w:val="fr-FR"/>
        </w:rPr>
        <w:t xml:space="preserve">MANDAT DU GROUPE DE TRAVAIL </w:t>
      </w:r>
      <w:r w:rsidR="00B633A2" w:rsidRPr="002D4E72">
        <w:rPr>
          <w:rFonts w:cs="Arial"/>
          <w:lang w:val="fr-FR"/>
        </w:rPr>
        <w:t>CHARGÉ D</w:t>
      </w:r>
      <w:r w:rsidR="000A7F98" w:rsidRPr="002D4E72">
        <w:rPr>
          <w:rFonts w:cs="Arial"/>
          <w:lang w:val="fr-FR"/>
        </w:rPr>
        <w:t>’</w:t>
      </w:r>
      <w:r w:rsidR="00B633A2" w:rsidRPr="002D4E72">
        <w:rPr>
          <w:rFonts w:cs="Arial"/>
          <w:lang w:val="fr-FR"/>
        </w:rPr>
        <w:t xml:space="preserve">ÉLABORER </w:t>
      </w:r>
      <w:r w:rsidR="002D4E72">
        <w:rPr>
          <w:rFonts w:cs="Arial"/>
          <w:lang w:val="fr-FR"/>
        </w:rPr>
        <w:t>DES PROPOSITIONS RELATIVES À </w:t>
      </w:r>
      <w:r w:rsidR="00B94803" w:rsidRPr="002D4E72">
        <w:rPr>
          <w:rFonts w:cs="Arial"/>
          <w:lang w:val="fr-FR"/>
        </w:rPr>
        <w:t>UN </w:t>
      </w:r>
      <w:r w:rsidR="00B633A2" w:rsidRPr="002D4E72">
        <w:rPr>
          <w:rFonts w:cs="Arial"/>
          <w:lang w:val="fr-FR"/>
        </w:rPr>
        <w:t>OUTIL DE RECHERCHE DE L</w:t>
      </w:r>
      <w:r w:rsidR="000A7F98" w:rsidRPr="002D4E72">
        <w:rPr>
          <w:rFonts w:cs="Arial"/>
          <w:lang w:val="fr-FR"/>
        </w:rPr>
        <w:t>’</w:t>
      </w:r>
      <w:r w:rsidR="00B633A2" w:rsidRPr="002D4E72">
        <w:rPr>
          <w:rFonts w:cs="Arial"/>
          <w:lang w:val="fr-FR"/>
        </w:rPr>
        <w:t>UPOV DE SIMILARITÉ AUX FINS DE LA DÉNOMINATION VARIÉTALE</w:t>
      </w:r>
    </w:p>
    <w:p w:rsidR="004A52A9" w:rsidRPr="002D4E72" w:rsidRDefault="006D3AFC" w:rsidP="006D3AFC">
      <w:pPr>
        <w:jc w:val="center"/>
        <w:rPr>
          <w:rFonts w:cs="Arial"/>
          <w:lang w:val="fr-FR"/>
        </w:rPr>
      </w:pPr>
      <w:r w:rsidRPr="002D4E72">
        <w:rPr>
          <w:rFonts w:cs="Arial"/>
          <w:lang w:val="fr-FR"/>
        </w:rPr>
        <w:t>(</w:t>
      </w:r>
      <w:proofErr w:type="gramStart"/>
      <w:r w:rsidRPr="002D4E72">
        <w:rPr>
          <w:rFonts w:cs="Arial"/>
          <w:lang w:val="fr-FR"/>
        </w:rPr>
        <w:t>ci</w:t>
      </w:r>
      <w:r w:rsidR="002457D3" w:rsidRPr="002D4E72">
        <w:rPr>
          <w:rFonts w:cs="Arial"/>
          <w:lang w:val="fr-FR"/>
        </w:rPr>
        <w:noBreakHyphen/>
      </w:r>
      <w:r w:rsidRPr="002D4E72">
        <w:rPr>
          <w:rFonts w:cs="Arial"/>
          <w:lang w:val="fr-FR"/>
        </w:rPr>
        <w:t>après</w:t>
      </w:r>
      <w:proofErr w:type="gramEnd"/>
      <w:r w:rsidRPr="002D4E72">
        <w:rPr>
          <w:rFonts w:cs="Arial"/>
          <w:lang w:val="fr-FR"/>
        </w:rPr>
        <w:t xml:space="preserve"> dénommé </w:t>
      </w:r>
      <w:r w:rsidR="00470851" w:rsidRPr="002D4E72">
        <w:rPr>
          <w:rFonts w:cs="Arial"/>
          <w:lang w:val="fr-FR"/>
        </w:rPr>
        <w:t>“</w:t>
      </w:r>
      <w:r w:rsidRPr="002D4E72">
        <w:rPr>
          <w:rFonts w:cs="Arial"/>
          <w:lang w:val="fr-FR"/>
        </w:rPr>
        <w:t>Groupe de travail sur l</w:t>
      </w:r>
      <w:r w:rsidR="000A7F98" w:rsidRPr="002D4E72">
        <w:rPr>
          <w:rFonts w:cs="Arial"/>
          <w:lang w:val="fr-FR"/>
        </w:rPr>
        <w:t>’</w:t>
      </w:r>
      <w:r w:rsidR="00B633A2" w:rsidRPr="002D4E72">
        <w:rPr>
          <w:rFonts w:cs="Arial"/>
          <w:lang w:val="fr-FR"/>
        </w:rPr>
        <w:t xml:space="preserve">outil </w:t>
      </w:r>
      <w:r w:rsidRPr="002D4E72">
        <w:rPr>
          <w:rFonts w:cs="Arial"/>
          <w:lang w:val="fr-FR"/>
        </w:rPr>
        <w:t>de recherche pour les dénominations</w:t>
      </w:r>
      <w:r w:rsidR="00470851" w:rsidRPr="002D4E72">
        <w:rPr>
          <w:rFonts w:cs="Arial"/>
          <w:lang w:val="fr-FR"/>
        </w:rPr>
        <w:t>”</w:t>
      </w:r>
      <w:r w:rsidRPr="002D4E72">
        <w:rPr>
          <w:rFonts w:cs="Arial"/>
          <w:lang w:val="fr-FR"/>
        </w:rPr>
        <w:t>)</w:t>
      </w:r>
    </w:p>
    <w:p w:rsidR="004A52A9" w:rsidRPr="002D4E72" w:rsidRDefault="004A52A9" w:rsidP="002D70DD">
      <w:pPr>
        <w:jc w:val="center"/>
        <w:rPr>
          <w:rFonts w:cs="Arial"/>
          <w:lang w:val="fr-FR"/>
        </w:rPr>
      </w:pPr>
    </w:p>
    <w:p w:rsidR="004623DE" w:rsidRPr="002D4E72" w:rsidRDefault="004623DE" w:rsidP="002D70DD">
      <w:pPr>
        <w:jc w:val="center"/>
        <w:rPr>
          <w:rFonts w:cs="Arial"/>
          <w:lang w:val="fr-FR"/>
        </w:rPr>
      </w:pPr>
    </w:p>
    <w:p w:rsidR="004A52A9" w:rsidRPr="002D4E72" w:rsidRDefault="006D3AFC" w:rsidP="006D3AFC">
      <w:pPr>
        <w:rPr>
          <w:rFonts w:cs="Arial"/>
          <w:lang w:val="fr-FR"/>
        </w:rPr>
      </w:pPr>
      <w:r w:rsidRPr="002D4E72">
        <w:rPr>
          <w:rFonts w:cs="Arial"/>
          <w:lang w:val="fr-FR"/>
        </w:rPr>
        <w:t>CRÉATION D</w:t>
      </w:r>
      <w:r w:rsidR="000A7F98" w:rsidRPr="002D4E72">
        <w:rPr>
          <w:rFonts w:cs="Arial"/>
          <w:lang w:val="fr-FR"/>
        </w:rPr>
        <w:t>’</w:t>
      </w:r>
      <w:r w:rsidRPr="002D4E72">
        <w:rPr>
          <w:rFonts w:cs="Arial"/>
          <w:lang w:val="fr-FR"/>
        </w:rPr>
        <w:t>UN GROUPE DE TRAVAIL</w:t>
      </w:r>
    </w:p>
    <w:p w:rsidR="004A52A9" w:rsidRPr="002D4E72" w:rsidRDefault="004A52A9" w:rsidP="002D70DD">
      <w:pPr>
        <w:rPr>
          <w:rFonts w:cs="Arial"/>
          <w:lang w:val="fr-FR"/>
        </w:rPr>
      </w:pPr>
    </w:p>
    <w:p w:rsidR="004A52A9" w:rsidRPr="002D4E72" w:rsidRDefault="00B4262C" w:rsidP="00B4262C">
      <w:pPr>
        <w:rPr>
          <w:rFonts w:cs="Arial"/>
          <w:lang w:val="fr-FR"/>
        </w:rPr>
      </w:pPr>
      <w:r w:rsidRPr="002D4E72">
        <w:rPr>
          <w:rFonts w:cs="Arial"/>
          <w:lang w:val="fr-FR"/>
        </w:rPr>
        <w:t>À sa soixante</w:t>
      </w:r>
      <w:r w:rsidR="002457D3" w:rsidRPr="002D4E72">
        <w:rPr>
          <w:rFonts w:cs="Arial"/>
          <w:lang w:val="fr-FR"/>
        </w:rPr>
        <w:noBreakHyphen/>
      </w:r>
      <w:r w:rsidRPr="002D4E72">
        <w:rPr>
          <w:rFonts w:cs="Arial"/>
          <w:lang w:val="fr-FR"/>
        </w:rPr>
        <w:t>huitième session</w:t>
      </w:r>
      <w:r w:rsidR="00B40BF0" w:rsidRPr="002D4E72">
        <w:rPr>
          <w:rFonts w:cs="Arial"/>
          <w:lang w:val="fr-FR"/>
        </w:rPr>
        <w:t>,</w:t>
      </w:r>
      <w:r w:rsidRPr="002D4E72">
        <w:rPr>
          <w:rFonts w:cs="Arial"/>
          <w:lang w:val="fr-FR"/>
        </w:rPr>
        <w:t xml:space="preserve"> tenue à Genève le 21 octobre 2013, le</w:t>
      </w:r>
      <w:r w:rsidRPr="002D4E72">
        <w:rPr>
          <w:lang w:val="fr-FR"/>
        </w:rPr>
        <w:t xml:space="preserve"> </w:t>
      </w:r>
      <w:r w:rsidRPr="002D4E72">
        <w:rPr>
          <w:rFonts w:cs="Arial"/>
          <w:lang w:val="fr-FR"/>
        </w:rPr>
        <w:t>Comité administratif et juridique (CAJ) a examiné le document CAJ/68/9 “Possibilité d</w:t>
      </w:r>
      <w:r w:rsidR="000A7F98" w:rsidRPr="002D4E72">
        <w:rPr>
          <w:rFonts w:cs="Arial"/>
          <w:lang w:val="fr-FR"/>
        </w:rPr>
        <w:t>’</w:t>
      </w:r>
      <w:r w:rsidRPr="002D4E72">
        <w:rPr>
          <w:rFonts w:cs="Arial"/>
          <w:lang w:val="fr-FR"/>
        </w:rPr>
        <w:t>élaboration d</w:t>
      </w:r>
      <w:r w:rsidR="000A7F98" w:rsidRPr="002D4E72">
        <w:rPr>
          <w:rFonts w:cs="Arial"/>
          <w:lang w:val="fr-FR"/>
        </w:rPr>
        <w:t>’</w:t>
      </w:r>
      <w:r w:rsidRPr="002D4E72">
        <w:rPr>
          <w:rFonts w:cs="Arial"/>
          <w:lang w:val="fr-FR"/>
        </w:rPr>
        <w:t>un outil de recherche de l</w:t>
      </w:r>
      <w:r w:rsidR="000A7F98" w:rsidRPr="002D4E72">
        <w:rPr>
          <w:rFonts w:cs="Arial"/>
          <w:lang w:val="fr-FR"/>
        </w:rPr>
        <w:t>’</w:t>
      </w:r>
      <w:r w:rsidRPr="002D4E72">
        <w:rPr>
          <w:rFonts w:cs="Arial"/>
          <w:lang w:val="fr-FR"/>
        </w:rPr>
        <w:t>UPOV de similarité aux fins de la dénomination variétale” et approuvé la création d</w:t>
      </w:r>
      <w:r w:rsidR="000A7F98" w:rsidRPr="002D4E72">
        <w:rPr>
          <w:rFonts w:cs="Arial"/>
          <w:lang w:val="fr-FR"/>
        </w:rPr>
        <w:t>’</w:t>
      </w:r>
      <w:r w:rsidRPr="002D4E72">
        <w:rPr>
          <w:rFonts w:cs="Arial"/>
          <w:lang w:val="fr-FR"/>
        </w:rPr>
        <w:t>un groupe de travail chargé d</w:t>
      </w:r>
      <w:r w:rsidR="000A7F98" w:rsidRPr="002D4E72">
        <w:rPr>
          <w:rFonts w:cs="Arial"/>
          <w:lang w:val="fr-FR"/>
        </w:rPr>
        <w:t>’</w:t>
      </w:r>
      <w:r w:rsidRPr="002D4E72">
        <w:rPr>
          <w:rFonts w:cs="Arial"/>
          <w:lang w:val="fr-FR"/>
        </w:rPr>
        <w:t>élaborer des propositions relatives à un outil de recherche de l</w:t>
      </w:r>
      <w:r w:rsidR="000A7F98" w:rsidRPr="002D4E72">
        <w:rPr>
          <w:rFonts w:cs="Arial"/>
          <w:lang w:val="fr-FR"/>
        </w:rPr>
        <w:t>’</w:t>
      </w:r>
      <w:r w:rsidRPr="002D4E72">
        <w:rPr>
          <w:rFonts w:cs="Arial"/>
          <w:lang w:val="fr-FR"/>
        </w:rPr>
        <w:t>UPOV de similarité aux fins de la dénomination variétale, comme proposé dans les paragraphes 4 à 7 du document CAJ/68/9, comme suit</w:t>
      </w:r>
      <w:r w:rsidRPr="002D4E72">
        <w:rPr>
          <w:rStyle w:val="FootnoteReference"/>
          <w:rFonts w:cs="Arial"/>
          <w:lang w:val="fr-FR"/>
        </w:rPr>
        <w:footnoteReference w:id="4"/>
      </w:r>
      <w:r w:rsidR="00470851" w:rsidRPr="002D4E72">
        <w:rPr>
          <w:rFonts w:cs="Arial"/>
          <w:lang w:val="fr-FR"/>
        </w:rPr>
        <w:t> </w:t>
      </w:r>
      <w:r w:rsidRPr="002D4E72">
        <w:rPr>
          <w:rFonts w:cs="Arial"/>
          <w:lang w:val="fr-FR"/>
        </w:rPr>
        <w:t>:</w:t>
      </w:r>
    </w:p>
    <w:p w:rsidR="004A52A9" w:rsidRPr="002D4E72" w:rsidRDefault="004A52A9" w:rsidP="002D70DD">
      <w:pPr>
        <w:rPr>
          <w:rFonts w:cs="Arial"/>
          <w:lang w:val="fr-FR"/>
        </w:rPr>
      </w:pPr>
    </w:p>
    <w:p w:rsidR="004A52A9" w:rsidRPr="002D4E72" w:rsidRDefault="004A52A9" w:rsidP="004A52A9">
      <w:pPr>
        <w:ind w:left="567" w:right="567"/>
        <w:rPr>
          <w:rFonts w:cs="Arial"/>
          <w:lang w:val="fr-FR"/>
        </w:rPr>
      </w:pPr>
      <w:r w:rsidRPr="002D4E72">
        <w:rPr>
          <w:rFonts w:cs="Arial"/>
          <w:lang w:val="fr-FR"/>
        </w:rPr>
        <w:t>Ce groupe sera composé comme suit :</w:t>
      </w:r>
    </w:p>
    <w:p w:rsidR="004A52A9" w:rsidRPr="002D4E72" w:rsidRDefault="004A52A9" w:rsidP="002D70DD">
      <w:pPr>
        <w:ind w:left="567" w:right="567"/>
        <w:rPr>
          <w:rFonts w:cs="Arial"/>
          <w:lang w:val="fr-FR"/>
        </w:rPr>
      </w:pPr>
    </w:p>
    <w:p w:rsidR="004A52A9" w:rsidRPr="002D4E72" w:rsidRDefault="002D70DD" w:rsidP="004A52A9">
      <w:pPr>
        <w:spacing w:line="360" w:lineRule="auto"/>
        <w:ind w:left="567" w:right="567"/>
        <w:rPr>
          <w:rFonts w:cs="Arial"/>
          <w:lang w:val="fr-FR"/>
        </w:rPr>
      </w:pPr>
      <w:r w:rsidRPr="002D4E72">
        <w:rPr>
          <w:rFonts w:cs="Arial"/>
          <w:lang w:val="fr-FR"/>
        </w:rPr>
        <w:tab/>
      </w:r>
      <w:r w:rsidR="00B633A2" w:rsidRPr="002D4E72">
        <w:rPr>
          <w:rFonts w:cs="Arial"/>
          <w:lang w:val="fr-FR"/>
        </w:rPr>
        <w:t>a)</w:t>
      </w:r>
      <w:r w:rsidR="00B633A2" w:rsidRPr="002D4E72">
        <w:rPr>
          <w:rFonts w:cs="Arial"/>
          <w:lang w:val="fr-FR"/>
        </w:rPr>
        <w:tab/>
      </w:r>
      <w:r w:rsidR="004A52A9" w:rsidRPr="002D4E72">
        <w:rPr>
          <w:rFonts w:cs="Arial"/>
          <w:lang w:val="fr-FR"/>
        </w:rPr>
        <w:t>examinateurs de dénominations en provenance de membres de l</w:t>
      </w:r>
      <w:r w:rsidR="000A7F98" w:rsidRPr="002D4E72">
        <w:rPr>
          <w:rFonts w:cs="Arial"/>
          <w:lang w:val="fr-FR"/>
        </w:rPr>
        <w:t>’</w:t>
      </w:r>
      <w:r w:rsidR="004A52A9" w:rsidRPr="002D4E72">
        <w:rPr>
          <w:rFonts w:cs="Arial"/>
          <w:lang w:val="fr-FR"/>
        </w:rPr>
        <w:t>Union (trois à six experts);</w:t>
      </w:r>
    </w:p>
    <w:p w:rsidR="004A52A9" w:rsidRPr="002D4E72" w:rsidRDefault="002D70DD" w:rsidP="004A52A9">
      <w:pPr>
        <w:spacing w:line="360" w:lineRule="auto"/>
        <w:ind w:left="567" w:right="567"/>
        <w:rPr>
          <w:rFonts w:cs="Arial"/>
          <w:lang w:val="fr-FR"/>
        </w:rPr>
      </w:pPr>
      <w:r w:rsidRPr="002D4E72">
        <w:rPr>
          <w:rFonts w:cs="Arial"/>
          <w:lang w:val="fr-FR"/>
        </w:rPr>
        <w:tab/>
      </w:r>
      <w:r w:rsidR="00B633A2" w:rsidRPr="002D4E72">
        <w:rPr>
          <w:rFonts w:cs="Arial"/>
          <w:lang w:val="fr-FR"/>
        </w:rPr>
        <w:t>b)</w:t>
      </w:r>
      <w:r w:rsidR="00B633A2" w:rsidRPr="002D4E72">
        <w:rPr>
          <w:rFonts w:cs="Arial"/>
          <w:lang w:val="fr-FR"/>
        </w:rPr>
        <w:tab/>
      </w:r>
      <w:r w:rsidR="004A52A9" w:rsidRPr="002D4E72">
        <w:rPr>
          <w:rFonts w:cs="Arial"/>
          <w:lang w:val="fr-FR"/>
        </w:rPr>
        <w:t>service des bases de données mondiales de l</w:t>
      </w:r>
      <w:r w:rsidR="000A7F98" w:rsidRPr="002D4E72">
        <w:rPr>
          <w:rFonts w:cs="Arial"/>
          <w:lang w:val="fr-FR"/>
        </w:rPr>
        <w:t>’</w:t>
      </w:r>
      <w:r w:rsidR="004A52A9" w:rsidRPr="002D4E72">
        <w:rPr>
          <w:rFonts w:cs="Arial"/>
          <w:lang w:val="fr-FR"/>
        </w:rPr>
        <w:t>OMPI (responsable de la base de données PLUTO);</w:t>
      </w:r>
    </w:p>
    <w:p w:rsidR="004A52A9" w:rsidRPr="002D4E72" w:rsidRDefault="002D70DD" w:rsidP="004A52A9">
      <w:pPr>
        <w:spacing w:line="360" w:lineRule="auto"/>
        <w:ind w:left="567" w:right="567"/>
        <w:rPr>
          <w:rFonts w:cs="Arial"/>
          <w:lang w:val="fr-FR"/>
        </w:rPr>
      </w:pPr>
      <w:r w:rsidRPr="002D4E72">
        <w:rPr>
          <w:rFonts w:cs="Arial"/>
          <w:lang w:val="fr-FR"/>
        </w:rPr>
        <w:tab/>
      </w:r>
      <w:r w:rsidR="00B633A2" w:rsidRPr="002D4E72">
        <w:rPr>
          <w:rFonts w:cs="Arial"/>
          <w:lang w:val="fr-FR"/>
        </w:rPr>
        <w:t>c)</w:t>
      </w:r>
      <w:r w:rsidR="00B633A2" w:rsidRPr="002D4E72">
        <w:rPr>
          <w:rFonts w:cs="Arial"/>
          <w:lang w:val="fr-FR"/>
        </w:rPr>
        <w:tab/>
      </w:r>
      <w:r w:rsidR="004A52A9" w:rsidRPr="002D4E72">
        <w:rPr>
          <w:rFonts w:cs="Arial"/>
          <w:lang w:val="fr-FR"/>
        </w:rPr>
        <w:t>Office communautaire des variétés végétales (OCVV) de l</w:t>
      </w:r>
      <w:r w:rsidR="000A7F98" w:rsidRPr="002D4E72">
        <w:rPr>
          <w:rFonts w:cs="Arial"/>
          <w:lang w:val="fr-FR"/>
        </w:rPr>
        <w:t>’</w:t>
      </w:r>
      <w:r w:rsidR="004A52A9" w:rsidRPr="002D4E72">
        <w:rPr>
          <w:rFonts w:cs="Arial"/>
          <w:lang w:val="fr-FR"/>
        </w:rPr>
        <w:t>Union européenne;  et</w:t>
      </w:r>
    </w:p>
    <w:p w:rsidR="004A52A9" w:rsidRPr="002D4E72" w:rsidRDefault="002D70DD" w:rsidP="004A52A9">
      <w:pPr>
        <w:ind w:left="567" w:right="567"/>
        <w:rPr>
          <w:rFonts w:cs="Arial"/>
          <w:lang w:val="fr-FR"/>
        </w:rPr>
      </w:pPr>
      <w:r w:rsidRPr="002D4E72">
        <w:rPr>
          <w:rFonts w:cs="Arial"/>
          <w:lang w:val="fr-FR"/>
        </w:rPr>
        <w:tab/>
      </w:r>
      <w:r w:rsidR="004A52A9" w:rsidRPr="002D4E72">
        <w:rPr>
          <w:rFonts w:cs="Arial"/>
          <w:lang w:val="fr-FR"/>
        </w:rPr>
        <w:t>d)</w:t>
      </w:r>
      <w:r w:rsidR="00B633A2" w:rsidRPr="002D4E72">
        <w:rPr>
          <w:rFonts w:cs="Arial"/>
          <w:lang w:val="fr-FR"/>
        </w:rPr>
        <w:tab/>
      </w:r>
      <w:r w:rsidR="004A52A9" w:rsidRPr="002D4E72">
        <w:rPr>
          <w:rFonts w:cs="Arial"/>
          <w:lang w:val="fr-FR"/>
        </w:rPr>
        <w:t>Bureau de l</w:t>
      </w:r>
      <w:r w:rsidR="000A7F98" w:rsidRPr="002D4E72">
        <w:rPr>
          <w:rFonts w:cs="Arial"/>
          <w:lang w:val="fr-FR"/>
        </w:rPr>
        <w:t>’</w:t>
      </w:r>
      <w:r w:rsidR="004A52A9" w:rsidRPr="002D4E72">
        <w:rPr>
          <w:rFonts w:cs="Arial"/>
          <w:lang w:val="fr-FR"/>
        </w:rPr>
        <w:t>Union.</w:t>
      </w:r>
    </w:p>
    <w:p w:rsidR="004A52A9" w:rsidRPr="002D4E72" w:rsidRDefault="004A52A9" w:rsidP="002D70DD">
      <w:pPr>
        <w:ind w:left="567" w:right="567"/>
        <w:rPr>
          <w:rFonts w:cs="Arial"/>
          <w:lang w:val="fr-FR"/>
        </w:rPr>
      </w:pPr>
    </w:p>
    <w:p w:rsidR="000A7F98" w:rsidRPr="002D4E72" w:rsidRDefault="004A52A9" w:rsidP="004A52A9">
      <w:pPr>
        <w:ind w:left="567" w:right="567"/>
        <w:rPr>
          <w:rFonts w:cs="Arial"/>
          <w:lang w:val="fr-FR"/>
        </w:rPr>
      </w:pPr>
      <w:r w:rsidRPr="002D4E72">
        <w:rPr>
          <w:rFonts w:cs="Arial"/>
          <w:lang w:val="fr-FR"/>
        </w:rPr>
        <w:t>Le programme de travail du groupe de travail sera établi par le groupe de travail lui</w:t>
      </w:r>
      <w:r w:rsidR="002457D3" w:rsidRPr="002D4E72">
        <w:rPr>
          <w:rFonts w:cs="Arial"/>
          <w:lang w:val="fr-FR"/>
        </w:rPr>
        <w:noBreakHyphen/>
      </w:r>
      <w:r w:rsidRPr="002D4E72">
        <w:rPr>
          <w:rFonts w:cs="Arial"/>
          <w:lang w:val="fr-FR"/>
        </w:rPr>
        <w:t>même;  cependant, il est prévu que la première étape consiste à examiner les modes de recherche déjà disponibles dans l</w:t>
      </w:r>
      <w:r w:rsidR="000A7F98" w:rsidRPr="002D4E72">
        <w:rPr>
          <w:rFonts w:cs="Arial"/>
          <w:lang w:val="fr-FR"/>
        </w:rPr>
        <w:t>’</w:t>
      </w:r>
      <w:r w:rsidRPr="002D4E72">
        <w:rPr>
          <w:rFonts w:cs="Arial"/>
          <w:lang w:val="fr-FR"/>
        </w:rPr>
        <w:t>onglet Recherche de dénomination de la base de données PLUTO, notamment le facteur de similarité (moteur de recherche de l</w:t>
      </w:r>
      <w:r w:rsidR="000A7F98" w:rsidRPr="002D4E72">
        <w:rPr>
          <w:rFonts w:cs="Arial"/>
          <w:lang w:val="fr-FR"/>
        </w:rPr>
        <w:t>’</w:t>
      </w:r>
      <w:r w:rsidRPr="002D4E72">
        <w:rPr>
          <w:rFonts w:cs="Arial"/>
          <w:lang w:val="fr-FR"/>
        </w:rPr>
        <w:t>OCVV), ainsi qu</w:t>
      </w:r>
      <w:r w:rsidR="000A7F98" w:rsidRPr="002D4E72">
        <w:rPr>
          <w:rFonts w:cs="Arial"/>
          <w:lang w:val="fr-FR"/>
        </w:rPr>
        <w:t>’</w:t>
      </w:r>
      <w:r w:rsidRPr="002D4E72">
        <w:rPr>
          <w:rFonts w:cs="Arial"/>
          <w:lang w:val="fr-FR"/>
        </w:rPr>
        <w:t>à examiner les modes de recherche utilisés dans d</w:t>
      </w:r>
      <w:r w:rsidR="000A7F98" w:rsidRPr="002D4E72">
        <w:rPr>
          <w:rFonts w:cs="Arial"/>
          <w:lang w:val="fr-FR"/>
        </w:rPr>
        <w:t>’</w:t>
      </w:r>
      <w:r w:rsidRPr="002D4E72">
        <w:rPr>
          <w:rFonts w:cs="Arial"/>
          <w:lang w:val="fr-FR"/>
        </w:rPr>
        <w:t>autres situations (p. ex. en lien avec les marques) susceptibles de fournir une autre base à un outil de recherche de l</w:t>
      </w:r>
      <w:r w:rsidR="000A7F98" w:rsidRPr="002D4E72">
        <w:rPr>
          <w:rFonts w:cs="Arial"/>
          <w:lang w:val="fr-FR"/>
        </w:rPr>
        <w:t>’</w:t>
      </w:r>
      <w:r w:rsidRPr="002D4E72">
        <w:rPr>
          <w:rFonts w:cs="Arial"/>
          <w:lang w:val="fr-FR"/>
        </w:rPr>
        <w:t>UPOV de similarité.</w:t>
      </w:r>
    </w:p>
    <w:p w:rsidR="004A52A9" w:rsidRPr="002D4E72" w:rsidRDefault="004A52A9" w:rsidP="002D70DD">
      <w:pPr>
        <w:ind w:left="567" w:right="567"/>
        <w:rPr>
          <w:rFonts w:cs="Arial"/>
          <w:lang w:val="fr-FR"/>
        </w:rPr>
      </w:pPr>
    </w:p>
    <w:p w:rsidR="000A7F98" w:rsidRPr="002D4E72" w:rsidRDefault="004A52A9" w:rsidP="004A52A9">
      <w:pPr>
        <w:ind w:left="567" w:right="567"/>
        <w:rPr>
          <w:lang w:val="fr-FR"/>
        </w:rPr>
      </w:pPr>
      <w:r w:rsidRPr="002D4E72">
        <w:rPr>
          <w:rFonts w:cs="Arial"/>
          <w:lang w:val="fr-FR"/>
        </w:rPr>
        <w:t>L</w:t>
      </w:r>
      <w:r w:rsidR="000A7F98" w:rsidRPr="002D4E72">
        <w:rPr>
          <w:rFonts w:cs="Arial"/>
          <w:lang w:val="fr-FR"/>
        </w:rPr>
        <w:t>’</w:t>
      </w:r>
      <w:r w:rsidRPr="002D4E72">
        <w:rPr>
          <w:rFonts w:cs="Arial"/>
          <w:lang w:val="fr-FR"/>
        </w:rPr>
        <w:t xml:space="preserve">examen de la pertinence des modes de recherche tiendra compte, en particulier, du document UPOV/INF/12 “Notes explicatives concernant les dénominations variétales en vertu de la </w:t>
      </w:r>
      <w:r w:rsidR="000A7F98" w:rsidRPr="002D4E72">
        <w:rPr>
          <w:rFonts w:cs="Arial"/>
          <w:lang w:val="fr-FR"/>
        </w:rPr>
        <w:t>Convention UPOV</w:t>
      </w:r>
      <w:r w:rsidRPr="002D4E72">
        <w:rPr>
          <w:rFonts w:cs="Arial"/>
          <w:lang w:val="fr-FR"/>
        </w:rPr>
        <w:t>”.  À cet égard, le groupe de travail devra se référer au CAJ pour obtenir des indications supplémentaires si ses travaux indiquent qu</w:t>
      </w:r>
      <w:r w:rsidR="000A7F98" w:rsidRPr="002D4E72">
        <w:rPr>
          <w:rFonts w:cs="Arial"/>
          <w:lang w:val="fr-FR"/>
        </w:rPr>
        <w:t>’</w:t>
      </w:r>
      <w:r w:rsidRPr="002D4E72">
        <w:rPr>
          <w:rFonts w:cs="Arial"/>
          <w:lang w:val="fr-FR"/>
        </w:rPr>
        <w:t>un examen du document UPOV/INF/12 est nécessaire à l</w:t>
      </w:r>
      <w:r w:rsidR="000A7F98" w:rsidRPr="002D4E72">
        <w:rPr>
          <w:rFonts w:cs="Arial"/>
          <w:lang w:val="fr-FR"/>
        </w:rPr>
        <w:t>’</w:t>
      </w:r>
      <w:r w:rsidRPr="002D4E72">
        <w:rPr>
          <w:rFonts w:cs="Arial"/>
          <w:lang w:val="fr-FR"/>
        </w:rPr>
        <w:t>élaboration d</w:t>
      </w:r>
      <w:r w:rsidR="000A7F98" w:rsidRPr="002D4E72">
        <w:rPr>
          <w:rFonts w:cs="Arial"/>
          <w:lang w:val="fr-FR"/>
        </w:rPr>
        <w:t>’</w:t>
      </w:r>
      <w:r w:rsidRPr="002D4E72">
        <w:rPr>
          <w:rFonts w:cs="Arial"/>
          <w:lang w:val="fr-FR"/>
        </w:rPr>
        <w:t>un outil de recherche de l</w:t>
      </w:r>
      <w:r w:rsidR="000A7F98" w:rsidRPr="002D4E72">
        <w:rPr>
          <w:rFonts w:cs="Arial"/>
          <w:lang w:val="fr-FR"/>
        </w:rPr>
        <w:t>’</w:t>
      </w:r>
      <w:r w:rsidRPr="002D4E72">
        <w:rPr>
          <w:rFonts w:cs="Arial"/>
          <w:lang w:val="fr-FR"/>
        </w:rPr>
        <w:t>UPOV de similarité efficace.</w:t>
      </w:r>
    </w:p>
    <w:p w:rsidR="004A52A9" w:rsidRPr="002D4E72" w:rsidRDefault="004A52A9" w:rsidP="002D70DD">
      <w:pPr>
        <w:ind w:left="567" w:right="567"/>
        <w:rPr>
          <w:rFonts w:cs="Arial"/>
          <w:lang w:val="fr-FR"/>
        </w:rPr>
      </w:pPr>
    </w:p>
    <w:p w:rsidR="004A52A9" w:rsidRPr="002D4E72" w:rsidRDefault="004A52A9" w:rsidP="004A52A9">
      <w:pPr>
        <w:ind w:left="567" w:right="567"/>
        <w:rPr>
          <w:rFonts w:cs="Arial"/>
          <w:lang w:val="fr-FR"/>
        </w:rPr>
      </w:pPr>
      <w:r w:rsidRPr="002D4E72">
        <w:rPr>
          <w:rFonts w:cs="Arial"/>
          <w:lang w:val="fr-FR"/>
        </w:rPr>
        <w:t>Les réunions du groupe de travail seront accueillies et présidées par le Bureau de l</w:t>
      </w:r>
      <w:r w:rsidR="000A7F98" w:rsidRPr="002D4E72">
        <w:rPr>
          <w:rFonts w:cs="Arial"/>
          <w:lang w:val="fr-FR"/>
        </w:rPr>
        <w:t>’</w:t>
      </w:r>
      <w:r w:rsidRPr="002D4E72">
        <w:rPr>
          <w:rFonts w:cs="Arial"/>
          <w:lang w:val="fr-FR"/>
        </w:rPr>
        <w:t>Union à Genève.  Les réunions ne seront pas organisées de sorte à coïncider avec les sessions de l</w:t>
      </w:r>
      <w:r w:rsidR="000A7F98" w:rsidRPr="002D4E72">
        <w:rPr>
          <w:rFonts w:cs="Arial"/>
          <w:lang w:val="fr-FR"/>
        </w:rPr>
        <w:t>’</w:t>
      </w:r>
      <w:r w:rsidRPr="002D4E72">
        <w:rPr>
          <w:rFonts w:cs="Arial"/>
          <w:lang w:val="fr-FR"/>
        </w:rPr>
        <w:t>UPOV et la participation électronique des examinateurs de dénominations et de l</w:t>
      </w:r>
      <w:r w:rsidR="000A7F98" w:rsidRPr="002D4E72">
        <w:rPr>
          <w:rFonts w:cs="Arial"/>
          <w:lang w:val="fr-FR"/>
        </w:rPr>
        <w:t>’</w:t>
      </w:r>
      <w:r w:rsidRPr="002D4E72">
        <w:rPr>
          <w:rFonts w:cs="Arial"/>
          <w:lang w:val="fr-FR"/>
        </w:rPr>
        <w:t>OCVV sera prévue.  Les propositions élaborées par le groupe de travail seront présentées au CAJ ainsi qu</w:t>
      </w:r>
      <w:r w:rsidR="000A7F98" w:rsidRPr="002D4E72">
        <w:rPr>
          <w:rFonts w:cs="Arial"/>
          <w:lang w:val="fr-FR"/>
        </w:rPr>
        <w:t>’</w:t>
      </w:r>
      <w:r w:rsidRPr="002D4E72">
        <w:rPr>
          <w:rFonts w:cs="Arial"/>
          <w:lang w:val="fr-FR"/>
        </w:rPr>
        <w:t>au Comité technique (TC), et ces comités recevront un bref compte rendu des réunions du groupe de travail.</w:t>
      </w:r>
    </w:p>
    <w:p w:rsidR="004A52A9" w:rsidRPr="002D4E72" w:rsidRDefault="004A52A9" w:rsidP="002D70DD">
      <w:pPr>
        <w:rPr>
          <w:rFonts w:cs="Arial"/>
          <w:lang w:val="fr-FR"/>
        </w:rPr>
      </w:pPr>
    </w:p>
    <w:p w:rsidR="004A52A9" w:rsidRPr="002D4E72" w:rsidRDefault="004A52A9" w:rsidP="004A52A9">
      <w:pPr>
        <w:rPr>
          <w:rFonts w:cs="Arial"/>
          <w:lang w:val="fr-FR"/>
        </w:rPr>
      </w:pPr>
      <w:r w:rsidRPr="002D4E72">
        <w:rPr>
          <w:rFonts w:cs="Arial"/>
          <w:lang w:val="fr-FR"/>
        </w:rPr>
        <w:t>À sa soixante</w:t>
      </w:r>
      <w:r w:rsidR="002457D3" w:rsidRPr="002D4E72">
        <w:rPr>
          <w:rFonts w:cs="Arial"/>
          <w:lang w:val="fr-FR"/>
        </w:rPr>
        <w:noBreakHyphen/>
      </w:r>
      <w:r w:rsidRPr="002D4E72">
        <w:rPr>
          <w:rFonts w:cs="Arial"/>
          <w:lang w:val="fr-FR"/>
        </w:rPr>
        <w:t>huitième session, le CAJ a pris note de la suggestion de la délégation de l</w:t>
      </w:r>
      <w:r w:rsidR="000A7F98" w:rsidRPr="002D4E72">
        <w:rPr>
          <w:rFonts w:cs="Arial"/>
          <w:lang w:val="fr-FR"/>
        </w:rPr>
        <w:t>’</w:t>
      </w:r>
      <w:r w:rsidRPr="002D4E72">
        <w:rPr>
          <w:rFonts w:cs="Arial"/>
          <w:lang w:val="fr-FR"/>
        </w:rPr>
        <w:t>Union européenne tendant à inclure dans ce groupe de travail des examinateurs de dénominations en provenance de l</w:t>
      </w:r>
      <w:r w:rsidR="000A7F98" w:rsidRPr="002D4E72">
        <w:rPr>
          <w:rFonts w:cs="Arial"/>
          <w:lang w:val="fr-FR"/>
        </w:rPr>
        <w:t>’</w:t>
      </w:r>
      <w:r w:rsidRPr="002D4E72">
        <w:rPr>
          <w:rFonts w:cs="Arial"/>
          <w:lang w:val="fr-FR"/>
        </w:rPr>
        <w:t>Espagne et des Pays</w:t>
      </w:r>
      <w:r w:rsidR="002457D3" w:rsidRPr="002D4E72">
        <w:rPr>
          <w:rFonts w:cs="Arial"/>
          <w:lang w:val="fr-FR"/>
        </w:rPr>
        <w:noBreakHyphen/>
      </w:r>
      <w:r w:rsidRPr="002D4E72">
        <w:rPr>
          <w:rFonts w:cs="Arial"/>
          <w:lang w:val="fr-FR"/>
        </w:rPr>
        <w:t>Bas, et indiqué qu</w:t>
      </w:r>
      <w:r w:rsidR="000A7F98" w:rsidRPr="002D4E72">
        <w:rPr>
          <w:rFonts w:cs="Arial"/>
          <w:lang w:val="fr-FR"/>
        </w:rPr>
        <w:t>’</w:t>
      </w:r>
      <w:r w:rsidRPr="002D4E72">
        <w:rPr>
          <w:rFonts w:cs="Arial"/>
          <w:lang w:val="fr-FR"/>
        </w:rPr>
        <w:t>il importait de s</w:t>
      </w:r>
      <w:r w:rsidR="000A7F98" w:rsidRPr="002D4E72">
        <w:rPr>
          <w:rFonts w:cs="Arial"/>
          <w:lang w:val="fr-FR"/>
        </w:rPr>
        <w:t>’</w:t>
      </w:r>
      <w:r w:rsidRPr="002D4E72">
        <w:rPr>
          <w:rFonts w:cs="Arial"/>
          <w:lang w:val="fr-FR"/>
        </w:rPr>
        <w:t>assurer que les experts couvrent suffisamment les aspects linguistiques des dénominations variétales</w:t>
      </w:r>
      <w:r w:rsidRPr="002D4E72">
        <w:rPr>
          <w:rStyle w:val="FootnoteReference"/>
          <w:rFonts w:cs="Arial"/>
          <w:lang w:val="fr-FR"/>
        </w:rPr>
        <w:footnoteReference w:id="5"/>
      </w:r>
      <w:r w:rsidRPr="002D4E72">
        <w:rPr>
          <w:rFonts w:cs="Arial"/>
          <w:lang w:val="fr-FR"/>
        </w:rPr>
        <w:t>.</w:t>
      </w:r>
    </w:p>
    <w:p w:rsidR="004A52A9" w:rsidRPr="002D4E72" w:rsidRDefault="004A52A9" w:rsidP="002D70DD">
      <w:pPr>
        <w:rPr>
          <w:rFonts w:cs="Arial"/>
          <w:lang w:val="fr-FR"/>
        </w:rPr>
      </w:pPr>
    </w:p>
    <w:p w:rsidR="004A52A9" w:rsidRPr="002D4E72" w:rsidRDefault="00B75412" w:rsidP="00B75412">
      <w:pPr>
        <w:rPr>
          <w:rFonts w:cs="Arial"/>
          <w:lang w:val="fr-FR"/>
        </w:rPr>
      </w:pPr>
      <w:r w:rsidRPr="002D4E72">
        <w:rPr>
          <w:rFonts w:cs="Arial"/>
          <w:lang w:val="fr-FR"/>
        </w:rPr>
        <w:t>À sa soixante</w:t>
      </w:r>
      <w:r w:rsidR="002457D3" w:rsidRPr="002D4E72">
        <w:rPr>
          <w:rFonts w:cs="Arial"/>
          <w:lang w:val="fr-FR"/>
        </w:rPr>
        <w:noBreakHyphen/>
      </w:r>
      <w:r w:rsidRPr="002D4E72">
        <w:rPr>
          <w:rFonts w:cs="Arial"/>
          <w:lang w:val="fr-FR"/>
        </w:rPr>
        <w:t>huitième</w:t>
      </w:r>
      <w:r w:rsidR="00470851" w:rsidRPr="002D4E72">
        <w:rPr>
          <w:rFonts w:cs="Arial"/>
          <w:lang w:val="fr-FR"/>
        </w:rPr>
        <w:t> </w:t>
      </w:r>
      <w:r w:rsidRPr="002D4E72">
        <w:rPr>
          <w:rFonts w:cs="Arial"/>
          <w:lang w:val="fr-FR"/>
        </w:rPr>
        <w:t>session,</w:t>
      </w:r>
      <w:r w:rsidR="000A7F98" w:rsidRPr="002D4E72">
        <w:rPr>
          <w:rFonts w:cs="Arial"/>
          <w:lang w:val="fr-FR"/>
        </w:rPr>
        <w:t xml:space="preserve"> le CAJ</w:t>
      </w:r>
      <w:r w:rsidRPr="002D4E72">
        <w:rPr>
          <w:rFonts w:cs="Arial"/>
          <w:lang w:val="fr-FR"/>
        </w:rPr>
        <w:t xml:space="preserve"> est convenu que les membres et observateurs devraient être encouragés à faire des suggestions sur les questions relatives aux tâches du groupe de travail</w:t>
      </w:r>
      <w:r w:rsidRPr="002D4E72">
        <w:rPr>
          <w:rStyle w:val="FootnoteReference"/>
          <w:rFonts w:cs="Arial"/>
          <w:lang w:val="fr-FR"/>
        </w:rPr>
        <w:footnoteReference w:id="6"/>
      </w:r>
      <w:r w:rsidRPr="002D4E72">
        <w:rPr>
          <w:rFonts w:cs="Arial"/>
          <w:lang w:val="fr-FR"/>
        </w:rPr>
        <w:t>.</w:t>
      </w:r>
    </w:p>
    <w:p w:rsidR="00124F90" w:rsidRDefault="00124F90" w:rsidP="00B75412">
      <w:pPr>
        <w:jc w:val="right"/>
        <w:rPr>
          <w:rFonts w:cs="Arial"/>
          <w:lang w:val="fr-FR"/>
        </w:rPr>
      </w:pPr>
    </w:p>
    <w:p w:rsidR="004A52A9" w:rsidRPr="002D4E72" w:rsidRDefault="00B75412" w:rsidP="00B75412">
      <w:pPr>
        <w:jc w:val="right"/>
        <w:rPr>
          <w:rFonts w:cs="Arial"/>
          <w:lang w:val="fr-FR"/>
        </w:rPr>
      </w:pPr>
      <w:r w:rsidRPr="002D4E72">
        <w:rPr>
          <w:rFonts w:cs="Arial"/>
          <w:lang w:val="fr-FR"/>
        </w:rPr>
        <w:t>[L</w:t>
      </w:r>
      <w:r w:rsidR="000A7F98" w:rsidRPr="002D4E72">
        <w:rPr>
          <w:rFonts w:cs="Arial"/>
          <w:lang w:val="fr-FR"/>
        </w:rPr>
        <w:t>’</w:t>
      </w:r>
      <w:r w:rsidRPr="002D4E72">
        <w:rPr>
          <w:rFonts w:cs="Arial"/>
          <w:lang w:val="fr-FR"/>
        </w:rPr>
        <w:t>annexe II suit]</w:t>
      </w:r>
    </w:p>
    <w:p w:rsidR="003A0A5A" w:rsidRPr="002D4E72" w:rsidRDefault="003A0A5A">
      <w:pPr>
        <w:jc w:val="left"/>
        <w:rPr>
          <w:rFonts w:cs="Arial"/>
          <w:lang w:val="fr-FR"/>
        </w:rPr>
        <w:sectPr w:rsidR="003A0A5A" w:rsidRPr="002D4E72" w:rsidSect="00A15F3A">
          <w:headerReference w:type="first" r:id="rId19"/>
          <w:type w:val="continuous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4A52A9" w:rsidRPr="002D4E72" w:rsidRDefault="003A0A5A" w:rsidP="003A0A5A">
      <w:pPr>
        <w:jc w:val="center"/>
        <w:rPr>
          <w:rFonts w:cs="Arial"/>
          <w:lang w:val="fr-FR"/>
        </w:rPr>
      </w:pPr>
      <w:r w:rsidRPr="002D4E72">
        <w:rPr>
          <w:rFonts w:cs="Arial"/>
          <w:lang w:val="fr-FR"/>
        </w:rPr>
        <w:lastRenderedPageBreak/>
        <w:t>CAJ/70/4</w:t>
      </w:r>
    </w:p>
    <w:p w:rsidR="004A52A9" w:rsidRPr="002D4E72" w:rsidRDefault="004A52A9" w:rsidP="002D70DD">
      <w:pPr>
        <w:jc w:val="center"/>
        <w:rPr>
          <w:rFonts w:cs="Arial"/>
          <w:lang w:val="fr-FR"/>
        </w:rPr>
      </w:pPr>
    </w:p>
    <w:p w:rsidR="004A52A9" w:rsidRPr="002D4E72" w:rsidRDefault="00B75412" w:rsidP="00B75412">
      <w:pPr>
        <w:jc w:val="center"/>
        <w:rPr>
          <w:rFonts w:cs="Arial"/>
          <w:lang w:val="fr-FR"/>
        </w:rPr>
      </w:pPr>
      <w:r w:rsidRPr="002D4E72">
        <w:rPr>
          <w:rFonts w:cs="Arial"/>
          <w:lang w:val="fr-FR"/>
        </w:rPr>
        <w:t>ANNEXE II</w:t>
      </w:r>
    </w:p>
    <w:p w:rsidR="004A52A9" w:rsidRPr="002D4E72" w:rsidRDefault="004A52A9" w:rsidP="002D70DD">
      <w:pPr>
        <w:jc w:val="center"/>
        <w:rPr>
          <w:rFonts w:cs="Arial"/>
          <w:lang w:val="fr-FR"/>
        </w:rPr>
      </w:pPr>
    </w:p>
    <w:p w:rsidR="004A52A9" w:rsidRPr="002D4E72" w:rsidRDefault="004A52A9" w:rsidP="002D70DD">
      <w:pPr>
        <w:jc w:val="center"/>
        <w:rPr>
          <w:rFonts w:cs="Arial"/>
          <w:lang w:val="fr-FR"/>
        </w:rPr>
      </w:pPr>
    </w:p>
    <w:p w:rsidR="000A7F98" w:rsidRPr="002D4E72" w:rsidRDefault="00B75412" w:rsidP="00B75412">
      <w:pPr>
        <w:jc w:val="center"/>
        <w:rPr>
          <w:rFonts w:cs="Arial"/>
          <w:lang w:val="fr-FR"/>
        </w:rPr>
      </w:pPr>
      <w:r w:rsidRPr="002D4E72">
        <w:rPr>
          <w:rFonts w:cs="Arial"/>
          <w:lang w:val="fr-FR"/>
        </w:rPr>
        <w:t xml:space="preserve">MANDAT DU GROUPE DE TRAVAIL </w:t>
      </w:r>
      <w:r w:rsidR="00B633A2" w:rsidRPr="002D4E72">
        <w:rPr>
          <w:rFonts w:cs="Arial"/>
          <w:lang w:val="fr-FR"/>
        </w:rPr>
        <w:t>CHARGÉ D</w:t>
      </w:r>
      <w:r w:rsidR="000A7F98" w:rsidRPr="002D4E72">
        <w:rPr>
          <w:rFonts w:cs="Arial"/>
          <w:lang w:val="fr-FR"/>
        </w:rPr>
        <w:t>’</w:t>
      </w:r>
      <w:r w:rsidR="00B633A2" w:rsidRPr="002D4E72">
        <w:rPr>
          <w:rFonts w:cs="Arial"/>
          <w:lang w:val="fr-FR"/>
        </w:rPr>
        <w:t xml:space="preserve">ÉLABORER DES PROPOSITIONS RELATIVES </w:t>
      </w:r>
      <w:r w:rsidR="002D4E72">
        <w:rPr>
          <w:rFonts w:cs="Arial"/>
          <w:lang w:val="fr-FR"/>
        </w:rPr>
        <w:t>À </w:t>
      </w:r>
      <w:r w:rsidR="00B94803" w:rsidRPr="002D4E72">
        <w:rPr>
          <w:rFonts w:cs="Arial"/>
          <w:lang w:val="fr-FR"/>
        </w:rPr>
        <w:t>UN </w:t>
      </w:r>
      <w:r w:rsidR="00B633A2" w:rsidRPr="002D4E72">
        <w:rPr>
          <w:rFonts w:cs="Arial"/>
          <w:lang w:val="fr-FR"/>
        </w:rPr>
        <w:t>OUTIL DE RECHERCHE DE L</w:t>
      </w:r>
      <w:r w:rsidR="000A7F98" w:rsidRPr="002D4E72">
        <w:rPr>
          <w:rFonts w:cs="Arial"/>
          <w:lang w:val="fr-FR"/>
        </w:rPr>
        <w:t>’</w:t>
      </w:r>
      <w:r w:rsidR="00B633A2" w:rsidRPr="002D4E72">
        <w:rPr>
          <w:rFonts w:cs="Arial"/>
          <w:lang w:val="fr-FR"/>
        </w:rPr>
        <w:t>UPOV DE SIMILARITÉ AUX FINS DE LA DÉNOMINATION</w:t>
      </w:r>
      <w:r w:rsidR="006725F8" w:rsidRPr="002D4E72">
        <w:rPr>
          <w:rFonts w:cs="Arial"/>
          <w:lang w:val="fr-FR"/>
        </w:rPr>
        <w:t xml:space="preserve"> VARIÉTALE</w:t>
      </w:r>
    </w:p>
    <w:p w:rsidR="004A52A9" w:rsidRPr="002D4E72" w:rsidRDefault="004A52A9" w:rsidP="002D70DD">
      <w:pPr>
        <w:jc w:val="center"/>
        <w:rPr>
          <w:rFonts w:cs="Arial"/>
          <w:lang w:val="fr-FR"/>
        </w:rPr>
      </w:pPr>
    </w:p>
    <w:p w:rsidR="004A52A9" w:rsidRPr="002D4E72" w:rsidRDefault="00B75412" w:rsidP="00B75412">
      <w:pPr>
        <w:jc w:val="center"/>
        <w:rPr>
          <w:rFonts w:cs="Arial"/>
          <w:lang w:val="fr-FR"/>
        </w:rPr>
      </w:pPr>
      <w:r w:rsidRPr="002D4E72">
        <w:rPr>
          <w:rFonts w:cs="Arial"/>
          <w:lang w:val="fr-FR"/>
        </w:rPr>
        <w:t xml:space="preserve">(Composition du groupe de travail le </w:t>
      </w:r>
      <w:r w:rsidR="00C86793">
        <w:rPr>
          <w:rFonts w:cs="Arial"/>
          <w:lang w:val="fr-FR"/>
        </w:rPr>
        <w:t>14</w:t>
      </w:r>
      <w:bookmarkStart w:id="7" w:name="_GoBack"/>
      <w:bookmarkEnd w:id="7"/>
      <w:r w:rsidR="000A7F98" w:rsidRPr="002D4E72">
        <w:rPr>
          <w:rFonts w:cs="Arial"/>
          <w:lang w:val="fr-FR"/>
        </w:rPr>
        <w:t> août 20</w:t>
      </w:r>
      <w:r w:rsidRPr="002D4E72">
        <w:rPr>
          <w:rFonts w:cs="Arial"/>
          <w:lang w:val="fr-FR"/>
        </w:rPr>
        <w:t>14)</w:t>
      </w:r>
    </w:p>
    <w:p w:rsidR="004A52A9" w:rsidRPr="002D4E72" w:rsidRDefault="004A52A9" w:rsidP="002D70DD">
      <w:pPr>
        <w:jc w:val="center"/>
        <w:rPr>
          <w:rFonts w:cs="Arial"/>
          <w:lang w:val="fr-FR"/>
        </w:rPr>
      </w:pPr>
    </w:p>
    <w:p w:rsidR="004A52A9" w:rsidRPr="002D4E72" w:rsidRDefault="004A52A9" w:rsidP="002D70DD">
      <w:pPr>
        <w:jc w:val="center"/>
        <w:rPr>
          <w:rFonts w:cs="Arial"/>
          <w:lang w:val="fr-FR"/>
        </w:rPr>
      </w:pPr>
    </w:p>
    <w:p w:rsidR="002D70DD" w:rsidRPr="002D4E72" w:rsidRDefault="002D70DD" w:rsidP="002D70DD">
      <w:pPr>
        <w:jc w:val="center"/>
        <w:rPr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402"/>
        <w:gridCol w:w="4253"/>
      </w:tblGrid>
      <w:tr w:rsidR="002D4E72" w:rsidRPr="002D4E72" w:rsidTr="005D3B96">
        <w:trPr>
          <w:jc w:val="center"/>
        </w:trPr>
        <w:tc>
          <w:tcPr>
            <w:tcW w:w="3402" w:type="dxa"/>
          </w:tcPr>
          <w:p w:rsidR="002D70DD" w:rsidRPr="002D4E72" w:rsidRDefault="00B75412" w:rsidP="00B75412">
            <w:pPr>
              <w:rPr>
                <w:i/>
                <w:lang w:val="fr-FR"/>
              </w:rPr>
            </w:pPr>
            <w:r w:rsidRPr="002D4E72">
              <w:rPr>
                <w:i/>
                <w:lang w:val="fr-FR"/>
              </w:rPr>
              <w:t>Membre de l</w:t>
            </w:r>
            <w:r w:rsidR="000A7F98" w:rsidRPr="002D4E72">
              <w:rPr>
                <w:i/>
                <w:lang w:val="fr-FR"/>
              </w:rPr>
              <w:t>’</w:t>
            </w:r>
            <w:r w:rsidRPr="002D4E72">
              <w:rPr>
                <w:i/>
                <w:lang w:val="fr-FR"/>
              </w:rPr>
              <w:t>Union</w:t>
            </w:r>
          </w:p>
        </w:tc>
        <w:tc>
          <w:tcPr>
            <w:tcW w:w="4253" w:type="dxa"/>
          </w:tcPr>
          <w:p w:rsidR="002D70DD" w:rsidRPr="002D4E72" w:rsidRDefault="00B75412" w:rsidP="00B75412">
            <w:pPr>
              <w:rPr>
                <w:i/>
                <w:lang w:val="fr-FR"/>
              </w:rPr>
            </w:pPr>
            <w:r w:rsidRPr="002D4E72">
              <w:rPr>
                <w:i/>
                <w:lang w:val="fr-FR"/>
              </w:rPr>
              <w:t>Expert</w:t>
            </w:r>
          </w:p>
        </w:tc>
      </w:tr>
      <w:tr w:rsidR="002D4E72" w:rsidRPr="002D4E72" w:rsidTr="005D3B96">
        <w:trPr>
          <w:jc w:val="center"/>
        </w:trPr>
        <w:tc>
          <w:tcPr>
            <w:tcW w:w="3402" w:type="dxa"/>
          </w:tcPr>
          <w:p w:rsidR="00ED786F" w:rsidRPr="002D4E72" w:rsidRDefault="00B75412" w:rsidP="00B75412">
            <w:pPr>
              <w:rPr>
                <w:lang w:val="fr-FR"/>
              </w:rPr>
            </w:pPr>
            <w:r w:rsidRPr="002D4E72">
              <w:rPr>
                <w:lang w:val="fr-FR"/>
              </w:rPr>
              <w:t>Australie</w:t>
            </w:r>
          </w:p>
        </w:tc>
        <w:tc>
          <w:tcPr>
            <w:tcW w:w="4253" w:type="dxa"/>
          </w:tcPr>
          <w:p w:rsidR="00ED786F" w:rsidRPr="002D4E72" w:rsidRDefault="00696015" w:rsidP="00B633A2">
            <w:pPr>
              <w:rPr>
                <w:lang w:val="fr-FR"/>
              </w:rPr>
            </w:pPr>
            <w:r w:rsidRPr="002D4E72">
              <w:rPr>
                <w:lang w:val="fr-FR"/>
              </w:rPr>
              <w:t>M. </w:t>
            </w:r>
            <w:r w:rsidR="00B94803" w:rsidRPr="002D4E72">
              <w:rPr>
                <w:lang w:val="fr-FR"/>
              </w:rPr>
              <w:t>Nik </w:t>
            </w:r>
            <w:r w:rsidR="00ED786F" w:rsidRPr="002D4E72">
              <w:rPr>
                <w:lang w:val="fr-FR"/>
              </w:rPr>
              <w:t>Hulse</w:t>
            </w:r>
          </w:p>
        </w:tc>
      </w:tr>
      <w:tr w:rsidR="002D4E72" w:rsidRPr="002D4E72" w:rsidTr="005D3B96">
        <w:trPr>
          <w:jc w:val="center"/>
        </w:trPr>
        <w:tc>
          <w:tcPr>
            <w:tcW w:w="3402" w:type="dxa"/>
          </w:tcPr>
          <w:p w:rsidR="002D70DD" w:rsidRPr="002D4E72" w:rsidRDefault="00B75412" w:rsidP="00B75412">
            <w:pPr>
              <w:rPr>
                <w:lang w:val="fr-FR"/>
              </w:rPr>
            </w:pPr>
            <w:r w:rsidRPr="002D4E72">
              <w:rPr>
                <w:lang w:val="fr-FR"/>
              </w:rPr>
              <w:t>Union européenne</w:t>
            </w:r>
          </w:p>
        </w:tc>
        <w:tc>
          <w:tcPr>
            <w:tcW w:w="4253" w:type="dxa"/>
          </w:tcPr>
          <w:p w:rsidR="004A52A9" w:rsidRPr="002D4E72" w:rsidRDefault="00B94803" w:rsidP="005D3B96">
            <w:pPr>
              <w:rPr>
                <w:lang w:val="fr-FR"/>
              </w:rPr>
            </w:pPr>
            <w:r w:rsidRPr="002D4E72">
              <w:rPr>
                <w:lang w:val="fr-FR"/>
              </w:rPr>
              <w:t>M. </w:t>
            </w:r>
            <w:r w:rsidR="002D70DD" w:rsidRPr="002D4E72">
              <w:rPr>
                <w:lang w:val="fr-FR"/>
              </w:rPr>
              <w:t>Jean</w:t>
            </w:r>
            <w:r w:rsidRPr="002D4E72">
              <w:rPr>
                <w:lang w:val="fr-FR"/>
              </w:rPr>
              <w:t> </w:t>
            </w:r>
            <w:r w:rsidR="002D70DD" w:rsidRPr="002D4E72">
              <w:rPr>
                <w:lang w:val="fr-FR"/>
              </w:rPr>
              <w:t>Maison (</w:t>
            </w:r>
            <w:r w:rsidR="00B40BF0" w:rsidRPr="002D4E72">
              <w:rPr>
                <w:lang w:val="fr-FR"/>
              </w:rPr>
              <w:t>OCVV</w:t>
            </w:r>
            <w:r w:rsidR="002D70DD" w:rsidRPr="002D4E72">
              <w:rPr>
                <w:lang w:val="fr-FR"/>
              </w:rPr>
              <w:t>)</w:t>
            </w:r>
          </w:p>
          <w:p w:rsidR="004A52A9" w:rsidRPr="002D4E72" w:rsidRDefault="002D70DD" w:rsidP="005D3B96">
            <w:pPr>
              <w:rPr>
                <w:lang w:val="fr-FR"/>
              </w:rPr>
            </w:pPr>
            <w:r w:rsidRPr="002D4E72">
              <w:rPr>
                <w:lang w:val="fr-FR"/>
              </w:rPr>
              <w:t>M.</w:t>
            </w:r>
            <w:r w:rsidR="00470851" w:rsidRPr="002D4E72">
              <w:rPr>
                <w:lang w:val="fr-FR"/>
              </w:rPr>
              <w:t> </w:t>
            </w:r>
            <w:r w:rsidRPr="002D4E72">
              <w:rPr>
                <w:lang w:val="fr-FR"/>
              </w:rPr>
              <w:t>Patrick</w:t>
            </w:r>
            <w:r w:rsidR="00B94803" w:rsidRPr="002D4E72">
              <w:rPr>
                <w:lang w:val="fr-FR"/>
              </w:rPr>
              <w:t> </w:t>
            </w:r>
            <w:r w:rsidRPr="002D4E72">
              <w:rPr>
                <w:lang w:val="fr-FR"/>
              </w:rPr>
              <w:t>Lecoq (</w:t>
            </w:r>
            <w:r w:rsidR="00B40BF0" w:rsidRPr="002D4E72">
              <w:rPr>
                <w:lang w:val="fr-FR"/>
              </w:rPr>
              <w:t>OCVV</w:t>
            </w:r>
            <w:r w:rsidRPr="002D4E72">
              <w:rPr>
                <w:lang w:val="fr-FR"/>
              </w:rPr>
              <w:t>)</w:t>
            </w:r>
          </w:p>
          <w:p w:rsidR="002D70DD" w:rsidRPr="002D4E72" w:rsidRDefault="002D70DD" w:rsidP="00B633A2">
            <w:pPr>
              <w:rPr>
                <w:lang w:val="fr-FR"/>
              </w:rPr>
            </w:pPr>
            <w:r w:rsidRPr="002D4E72">
              <w:rPr>
                <w:lang w:val="fr-FR"/>
              </w:rPr>
              <w:t>M</w:t>
            </w:r>
            <w:r w:rsidR="00B633A2" w:rsidRPr="002D4E72">
              <w:rPr>
                <w:lang w:val="fr-FR"/>
              </w:rPr>
              <w:t>me</w:t>
            </w:r>
            <w:r w:rsidR="00470851" w:rsidRPr="002D4E72">
              <w:rPr>
                <w:lang w:val="fr-FR"/>
              </w:rPr>
              <w:t> </w:t>
            </w:r>
            <w:r w:rsidR="00696015" w:rsidRPr="002D4E72">
              <w:rPr>
                <w:lang w:val="fr-FR"/>
              </w:rPr>
              <w:t>Carole </w:t>
            </w:r>
            <w:r w:rsidRPr="002D4E72">
              <w:rPr>
                <w:lang w:val="fr-FR"/>
              </w:rPr>
              <w:t>Bonneau (</w:t>
            </w:r>
            <w:r w:rsidR="00B40BF0" w:rsidRPr="002D4E72">
              <w:rPr>
                <w:lang w:val="fr-FR"/>
              </w:rPr>
              <w:t>OCVV</w:t>
            </w:r>
            <w:r w:rsidRPr="002D4E72">
              <w:rPr>
                <w:lang w:val="fr-FR"/>
              </w:rPr>
              <w:t>)</w:t>
            </w:r>
          </w:p>
        </w:tc>
      </w:tr>
      <w:tr w:rsidR="002D4E72" w:rsidRPr="002D4E72" w:rsidTr="005D3B96">
        <w:trPr>
          <w:jc w:val="center"/>
        </w:trPr>
        <w:tc>
          <w:tcPr>
            <w:tcW w:w="3402" w:type="dxa"/>
          </w:tcPr>
          <w:p w:rsidR="002D70DD" w:rsidRPr="002D4E72" w:rsidRDefault="00B75412" w:rsidP="00B75412">
            <w:pPr>
              <w:rPr>
                <w:lang w:val="fr-FR"/>
              </w:rPr>
            </w:pPr>
            <w:r w:rsidRPr="002D4E72">
              <w:rPr>
                <w:lang w:val="fr-FR"/>
              </w:rPr>
              <w:t>Pays</w:t>
            </w:r>
            <w:r w:rsidR="002457D3" w:rsidRPr="002D4E72">
              <w:rPr>
                <w:lang w:val="fr-FR"/>
              </w:rPr>
              <w:noBreakHyphen/>
            </w:r>
            <w:r w:rsidRPr="002D4E72">
              <w:rPr>
                <w:lang w:val="fr-FR"/>
              </w:rPr>
              <w:t>Bas</w:t>
            </w:r>
          </w:p>
        </w:tc>
        <w:tc>
          <w:tcPr>
            <w:tcW w:w="4253" w:type="dxa"/>
          </w:tcPr>
          <w:p w:rsidR="002D70DD" w:rsidRPr="002D4E72" w:rsidRDefault="00696015" w:rsidP="00B94803">
            <w:pPr>
              <w:rPr>
                <w:lang w:val="fr-FR"/>
              </w:rPr>
            </w:pPr>
            <w:r w:rsidRPr="002D4E72">
              <w:rPr>
                <w:lang w:val="fr-FR"/>
              </w:rPr>
              <w:t>M. </w:t>
            </w:r>
            <w:proofErr w:type="spellStart"/>
            <w:r w:rsidR="002D70DD" w:rsidRPr="002D4E72">
              <w:rPr>
                <w:lang w:val="fr-FR"/>
              </w:rPr>
              <w:t>Kees</w:t>
            </w:r>
            <w:proofErr w:type="spellEnd"/>
            <w:r w:rsidR="00B94803" w:rsidRPr="002D4E72">
              <w:rPr>
                <w:lang w:val="fr-FR"/>
              </w:rPr>
              <w:t> </w:t>
            </w:r>
            <w:r w:rsidR="002D70DD" w:rsidRPr="002D4E72">
              <w:rPr>
                <w:lang w:val="fr-FR"/>
              </w:rPr>
              <w:t>van</w:t>
            </w:r>
            <w:r w:rsidR="00B94803" w:rsidRPr="002D4E72">
              <w:rPr>
                <w:lang w:val="fr-FR"/>
              </w:rPr>
              <w:t> </w:t>
            </w:r>
            <w:proofErr w:type="spellStart"/>
            <w:r w:rsidR="002D70DD" w:rsidRPr="002D4E72">
              <w:rPr>
                <w:lang w:val="fr-FR"/>
              </w:rPr>
              <w:t>Ettekoven</w:t>
            </w:r>
            <w:proofErr w:type="spellEnd"/>
          </w:p>
        </w:tc>
      </w:tr>
      <w:tr w:rsidR="002D4E72" w:rsidRPr="002D4E72" w:rsidTr="005D3B96">
        <w:trPr>
          <w:jc w:val="center"/>
        </w:trPr>
        <w:tc>
          <w:tcPr>
            <w:tcW w:w="3402" w:type="dxa"/>
          </w:tcPr>
          <w:p w:rsidR="002D70DD" w:rsidRPr="002D4E72" w:rsidRDefault="00B75412" w:rsidP="00B75412">
            <w:pPr>
              <w:rPr>
                <w:lang w:val="fr-FR"/>
              </w:rPr>
            </w:pPr>
            <w:r w:rsidRPr="002D4E72">
              <w:rPr>
                <w:lang w:val="fr-FR"/>
              </w:rPr>
              <w:t>Espagne</w:t>
            </w:r>
          </w:p>
        </w:tc>
        <w:tc>
          <w:tcPr>
            <w:tcW w:w="4253" w:type="dxa"/>
          </w:tcPr>
          <w:p w:rsidR="002D70DD" w:rsidRPr="002D4E72" w:rsidRDefault="00696015" w:rsidP="00B75412">
            <w:pPr>
              <w:rPr>
                <w:lang w:val="fr-FR"/>
              </w:rPr>
            </w:pPr>
            <w:r w:rsidRPr="002D4E72">
              <w:rPr>
                <w:lang w:val="fr-FR"/>
              </w:rPr>
              <w:t>M. Luis </w:t>
            </w:r>
            <w:proofErr w:type="spellStart"/>
            <w:r w:rsidR="00B75412" w:rsidRPr="002D4E72">
              <w:rPr>
                <w:lang w:val="fr-FR"/>
              </w:rPr>
              <w:t>Salaices</w:t>
            </w:r>
            <w:proofErr w:type="spellEnd"/>
          </w:p>
        </w:tc>
      </w:tr>
      <w:tr w:rsidR="002D70DD" w:rsidRPr="002D4E72" w:rsidTr="005D3B96">
        <w:trPr>
          <w:jc w:val="center"/>
        </w:trPr>
        <w:tc>
          <w:tcPr>
            <w:tcW w:w="3402" w:type="dxa"/>
          </w:tcPr>
          <w:p w:rsidR="002D70DD" w:rsidRPr="002D4E72" w:rsidRDefault="00B75412" w:rsidP="00B75412">
            <w:pPr>
              <w:rPr>
                <w:lang w:val="fr-FR"/>
              </w:rPr>
            </w:pPr>
            <w:r w:rsidRPr="002D4E72">
              <w:rPr>
                <w:lang w:val="fr-FR"/>
              </w:rPr>
              <w:t>États</w:t>
            </w:r>
            <w:r w:rsidR="002457D3" w:rsidRPr="002D4E72">
              <w:rPr>
                <w:lang w:val="fr-FR"/>
              </w:rPr>
              <w:noBreakHyphen/>
            </w:r>
            <w:r w:rsidRPr="002D4E72">
              <w:rPr>
                <w:lang w:val="fr-FR"/>
              </w:rPr>
              <w:t>Unis d</w:t>
            </w:r>
            <w:r w:rsidR="000A7F98" w:rsidRPr="002D4E72">
              <w:rPr>
                <w:lang w:val="fr-FR"/>
              </w:rPr>
              <w:t>’</w:t>
            </w:r>
            <w:r w:rsidRPr="002D4E72">
              <w:rPr>
                <w:lang w:val="fr-FR"/>
              </w:rPr>
              <w:t>Amérique</w:t>
            </w:r>
          </w:p>
        </w:tc>
        <w:tc>
          <w:tcPr>
            <w:tcW w:w="4253" w:type="dxa"/>
          </w:tcPr>
          <w:p w:rsidR="002D70DD" w:rsidRPr="002D4E72" w:rsidRDefault="00696015" w:rsidP="00B633A2">
            <w:pPr>
              <w:rPr>
                <w:lang w:val="fr-FR"/>
              </w:rPr>
            </w:pPr>
            <w:r w:rsidRPr="002D4E72">
              <w:rPr>
                <w:lang w:val="fr-FR"/>
              </w:rPr>
              <w:t>M. </w:t>
            </w:r>
            <w:r w:rsidR="002D70DD" w:rsidRPr="002D4E72">
              <w:rPr>
                <w:lang w:val="fr-FR"/>
              </w:rPr>
              <w:t>Fawad S.</w:t>
            </w:r>
            <w:r w:rsidR="00470851" w:rsidRPr="002D4E72">
              <w:rPr>
                <w:lang w:val="fr-FR"/>
              </w:rPr>
              <w:t> </w:t>
            </w:r>
            <w:r w:rsidR="002D70DD" w:rsidRPr="002D4E72">
              <w:rPr>
                <w:lang w:val="fr-FR"/>
              </w:rPr>
              <w:t>Shah</w:t>
            </w:r>
          </w:p>
        </w:tc>
      </w:tr>
    </w:tbl>
    <w:p w:rsidR="004A52A9" w:rsidRPr="002D4E72" w:rsidRDefault="004A52A9" w:rsidP="002D70DD">
      <w:pPr>
        <w:rPr>
          <w:lang w:val="fr-FR"/>
        </w:rPr>
      </w:pPr>
    </w:p>
    <w:p w:rsidR="002D70DD" w:rsidRPr="002D4E72" w:rsidRDefault="002D70DD" w:rsidP="002D70DD">
      <w:pPr>
        <w:rPr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7655"/>
      </w:tblGrid>
      <w:tr w:rsidR="002D4E72" w:rsidRPr="00C86793" w:rsidTr="005D3B96">
        <w:trPr>
          <w:jc w:val="center"/>
        </w:trPr>
        <w:tc>
          <w:tcPr>
            <w:tcW w:w="7655" w:type="dxa"/>
          </w:tcPr>
          <w:p w:rsidR="002D70DD" w:rsidRPr="002D4E72" w:rsidRDefault="00B75412" w:rsidP="00B75412">
            <w:pPr>
              <w:jc w:val="center"/>
              <w:rPr>
                <w:i/>
                <w:lang w:val="fr-FR"/>
              </w:rPr>
            </w:pPr>
            <w:r w:rsidRPr="002D4E72">
              <w:rPr>
                <w:i/>
                <w:lang w:val="fr-FR"/>
              </w:rPr>
              <w:t>Service des bases de données mondiales de l</w:t>
            </w:r>
            <w:r w:rsidR="000A7F98" w:rsidRPr="002D4E72">
              <w:rPr>
                <w:i/>
                <w:lang w:val="fr-FR"/>
              </w:rPr>
              <w:t>’</w:t>
            </w:r>
            <w:r w:rsidRPr="002D4E72">
              <w:rPr>
                <w:i/>
                <w:lang w:val="fr-FR"/>
              </w:rPr>
              <w:t>OMPI</w:t>
            </w:r>
          </w:p>
        </w:tc>
      </w:tr>
      <w:tr w:rsidR="002D4E72" w:rsidRPr="002D4E72" w:rsidTr="005D3B96">
        <w:trPr>
          <w:jc w:val="center"/>
        </w:trPr>
        <w:tc>
          <w:tcPr>
            <w:tcW w:w="7655" w:type="dxa"/>
          </w:tcPr>
          <w:p w:rsidR="002D70DD" w:rsidRPr="002D4E72" w:rsidRDefault="00696015" w:rsidP="00B94803">
            <w:pPr>
              <w:rPr>
                <w:lang w:val="fr-FR"/>
              </w:rPr>
            </w:pPr>
            <w:r w:rsidRPr="002D4E72">
              <w:rPr>
                <w:rFonts w:cs="Arial"/>
                <w:lang w:val="fr-FR"/>
              </w:rPr>
              <w:t>M. </w:t>
            </w:r>
            <w:r w:rsidR="002D70DD" w:rsidRPr="002D4E72">
              <w:rPr>
                <w:rFonts w:cs="Arial"/>
                <w:lang w:val="fr-FR"/>
              </w:rPr>
              <w:t>Glenn</w:t>
            </w:r>
            <w:r w:rsidR="00B94803" w:rsidRPr="002D4E72">
              <w:rPr>
                <w:rFonts w:cs="Arial"/>
                <w:lang w:val="fr-FR"/>
              </w:rPr>
              <w:t> </w:t>
            </w:r>
            <w:r w:rsidR="002D70DD" w:rsidRPr="002D4E72">
              <w:rPr>
                <w:rFonts w:cs="Arial"/>
                <w:lang w:val="fr-FR"/>
              </w:rPr>
              <w:t>Mac</w:t>
            </w:r>
            <w:r w:rsidR="00B94803" w:rsidRPr="002D4E72">
              <w:rPr>
                <w:rFonts w:cs="Arial"/>
                <w:lang w:val="fr-FR"/>
              </w:rPr>
              <w:t> </w:t>
            </w:r>
            <w:proofErr w:type="spellStart"/>
            <w:r w:rsidR="002D70DD" w:rsidRPr="002D4E72">
              <w:rPr>
                <w:rFonts w:cs="Arial"/>
                <w:lang w:val="fr-FR"/>
              </w:rPr>
              <w:t>Stravic</w:t>
            </w:r>
            <w:proofErr w:type="spellEnd"/>
          </w:p>
        </w:tc>
      </w:tr>
      <w:tr w:rsidR="002D70DD" w:rsidRPr="002D4E72" w:rsidTr="005D3B96">
        <w:trPr>
          <w:jc w:val="center"/>
        </w:trPr>
        <w:tc>
          <w:tcPr>
            <w:tcW w:w="7655" w:type="dxa"/>
          </w:tcPr>
          <w:p w:rsidR="002D70DD" w:rsidRPr="002D4E72" w:rsidRDefault="002D70DD" w:rsidP="00B633A2">
            <w:pPr>
              <w:rPr>
                <w:rFonts w:cs="Arial"/>
                <w:lang w:val="fr-FR"/>
              </w:rPr>
            </w:pPr>
            <w:r w:rsidRPr="002D4E72">
              <w:rPr>
                <w:rFonts w:cs="Arial"/>
                <w:lang w:val="fr-FR"/>
              </w:rPr>
              <w:t>M</w:t>
            </w:r>
            <w:r w:rsidR="00B633A2" w:rsidRPr="002D4E72">
              <w:rPr>
                <w:rFonts w:cs="Arial"/>
                <w:lang w:val="fr-FR"/>
              </w:rPr>
              <w:t>me</w:t>
            </w:r>
            <w:r w:rsidR="00470851" w:rsidRPr="002D4E72">
              <w:rPr>
                <w:rFonts w:cs="Arial"/>
                <w:lang w:val="fr-FR"/>
              </w:rPr>
              <w:t> </w:t>
            </w:r>
            <w:r w:rsidR="00696015" w:rsidRPr="002D4E72">
              <w:rPr>
                <w:rFonts w:cs="Arial"/>
                <w:lang w:val="fr-FR"/>
              </w:rPr>
              <w:t>Lili </w:t>
            </w:r>
            <w:r w:rsidRPr="002D4E72">
              <w:rPr>
                <w:rFonts w:cs="Arial"/>
                <w:lang w:val="fr-FR"/>
              </w:rPr>
              <w:t>Chen</w:t>
            </w:r>
          </w:p>
        </w:tc>
      </w:tr>
    </w:tbl>
    <w:p w:rsidR="004A52A9" w:rsidRPr="002D4E72" w:rsidRDefault="004A52A9" w:rsidP="002D70DD">
      <w:pPr>
        <w:rPr>
          <w:lang w:val="fr-FR"/>
        </w:rPr>
      </w:pPr>
    </w:p>
    <w:p w:rsidR="002D70DD" w:rsidRPr="002D4E72" w:rsidRDefault="002D70DD" w:rsidP="002D70DD">
      <w:pPr>
        <w:rPr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7655"/>
      </w:tblGrid>
      <w:tr w:rsidR="002D4E72" w:rsidRPr="002D4E72" w:rsidTr="005D3B96">
        <w:trPr>
          <w:jc w:val="center"/>
        </w:trPr>
        <w:tc>
          <w:tcPr>
            <w:tcW w:w="7655" w:type="dxa"/>
          </w:tcPr>
          <w:p w:rsidR="002D70DD" w:rsidRPr="002D4E72" w:rsidRDefault="00B75412" w:rsidP="00B75412">
            <w:pPr>
              <w:jc w:val="center"/>
              <w:rPr>
                <w:i/>
                <w:lang w:val="fr-FR"/>
              </w:rPr>
            </w:pPr>
            <w:r w:rsidRPr="002D4E72">
              <w:rPr>
                <w:i/>
                <w:lang w:val="fr-FR"/>
              </w:rPr>
              <w:t>Bureau de l</w:t>
            </w:r>
            <w:r w:rsidR="000A7F98" w:rsidRPr="002D4E72">
              <w:rPr>
                <w:i/>
                <w:lang w:val="fr-FR"/>
              </w:rPr>
              <w:t>’</w:t>
            </w:r>
            <w:r w:rsidRPr="002D4E72">
              <w:rPr>
                <w:i/>
                <w:lang w:val="fr-FR"/>
              </w:rPr>
              <w:t>Union</w:t>
            </w:r>
          </w:p>
        </w:tc>
      </w:tr>
      <w:tr w:rsidR="002D4E72" w:rsidRPr="002D4E72" w:rsidTr="005D3B96">
        <w:trPr>
          <w:jc w:val="center"/>
        </w:trPr>
        <w:tc>
          <w:tcPr>
            <w:tcW w:w="7655" w:type="dxa"/>
          </w:tcPr>
          <w:p w:rsidR="002D70DD" w:rsidRPr="002D4E72" w:rsidRDefault="00696015" w:rsidP="00B40BF0">
            <w:pPr>
              <w:rPr>
                <w:lang w:val="fr-FR"/>
              </w:rPr>
            </w:pPr>
            <w:r w:rsidRPr="002D4E72">
              <w:rPr>
                <w:lang w:val="fr-FR"/>
              </w:rPr>
              <w:t>M. Peter </w:t>
            </w:r>
            <w:r w:rsidR="002D70DD" w:rsidRPr="002D4E72">
              <w:rPr>
                <w:lang w:val="fr-FR"/>
              </w:rPr>
              <w:t xml:space="preserve">Button, </w:t>
            </w:r>
            <w:r w:rsidR="00B40BF0" w:rsidRPr="002D4E72">
              <w:rPr>
                <w:lang w:val="fr-FR"/>
              </w:rPr>
              <w:t>président</w:t>
            </w:r>
          </w:p>
        </w:tc>
      </w:tr>
      <w:tr w:rsidR="002D4E72" w:rsidRPr="002D4E72" w:rsidTr="005D3B96">
        <w:trPr>
          <w:jc w:val="center"/>
        </w:trPr>
        <w:tc>
          <w:tcPr>
            <w:tcW w:w="7655" w:type="dxa"/>
          </w:tcPr>
          <w:p w:rsidR="002D70DD" w:rsidRPr="002D4E72" w:rsidRDefault="00B633A2" w:rsidP="00B633A2">
            <w:pPr>
              <w:rPr>
                <w:lang w:val="fr-FR"/>
              </w:rPr>
            </w:pPr>
            <w:r w:rsidRPr="002D4E72">
              <w:rPr>
                <w:lang w:val="fr-FR"/>
              </w:rPr>
              <w:t>Mme</w:t>
            </w:r>
            <w:r w:rsidR="00470851" w:rsidRPr="002D4E72">
              <w:rPr>
                <w:lang w:val="fr-FR"/>
              </w:rPr>
              <w:t> </w:t>
            </w:r>
            <w:r w:rsidR="00696015" w:rsidRPr="002D4E72">
              <w:rPr>
                <w:lang w:val="fr-FR"/>
              </w:rPr>
              <w:t>Yolanda </w:t>
            </w:r>
            <w:r w:rsidR="002D70DD" w:rsidRPr="002D4E72">
              <w:rPr>
                <w:lang w:val="fr-FR"/>
              </w:rPr>
              <w:t>Huerta</w:t>
            </w:r>
          </w:p>
        </w:tc>
      </w:tr>
      <w:tr w:rsidR="002D4E72" w:rsidRPr="002D4E72" w:rsidTr="005D3B96">
        <w:trPr>
          <w:jc w:val="center"/>
        </w:trPr>
        <w:tc>
          <w:tcPr>
            <w:tcW w:w="7655" w:type="dxa"/>
          </w:tcPr>
          <w:p w:rsidR="002D70DD" w:rsidRPr="002D4E72" w:rsidRDefault="00696015" w:rsidP="00B94803">
            <w:pPr>
              <w:rPr>
                <w:lang w:val="fr-FR"/>
              </w:rPr>
            </w:pPr>
            <w:r w:rsidRPr="002D4E72">
              <w:rPr>
                <w:lang w:val="fr-FR"/>
              </w:rPr>
              <w:t>M. </w:t>
            </w:r>
            <w:r w:rsidR="002D70DD" w:rsidRPr="002D4E72">
              <w:rPr>
                <w:lang w:val="fr-FR"/>
              </w:rPr>
              <w:t>Jun</w:t>
            </w:r>
            <w:r w:rsidR="00B94803" w:rsidRPr="002D4E72">
              <w:rPr>
                <w:lang w:val="fr-FR"/>
              </w:rPr>
              <w:t> </w:t>
            </w:r>
            <w:r w:rsidR="002D70DD" w:rsidRPr="002D4E72">
              <w:rPr>
                <w:lang w:val="fr-FR"/>
              </w:rPr>
              <w:t>Koide</w:t>
            </w:r>
          </w:p>
        </w:tc>
      </w:tr>
      <w:tr w:rsidR="002D4E72" w:rsidRPr="002D4E72" w:rsidTr="005D3B96">
        <w:trPr>
          <w:jc w:val="center"/>
        </w:trPr>
        <w:tc>
          <w:tcPr>
            <w:tcW w:w="7655" w:type="dxa"/>
          </w:tcPr>
          <w:p w:rsidR="002D70DD" w:rsidRPr="002D4E72" w:rsidRDefault="00696015" w:rsidP="00B633A2">
            <w:pPr>
              <w:rPr>
                <w:lang w:val="fr-FR"/>
              </w:rPr>
            </w:pPr>
            <w:r w:rsidRPr="002D4E72">
              <w:rPr>
                <w:lang w:val="fr-FR"/>
              </w:rPr>
              <w:t>M. </w:t>
            </w:r>
            <w:r w:rsidR="00B94803" w:rsidRPr="002D4E72">
              <w:rPr>
                <w:lang w:val="fr-FR"/>
              </w:rPr>
              <w:t>Ben </w:t>
            </w:r>
            <w:r w:rsidR="002D70DD" w:rsidRPr="002D4E72">
              <w:rPr>
                <w:lang w:val="fr-FR"/>
              </w:rPr>
              <w:t>Rivoire</w:t>
            </w:r>
          </w:p>
        </w:tc>
      </w:tr>
      <w:tr w:rsidR="002D70DD" w:rsidRPr="002D4E72" w:rsidTr="005D3B96">
        <w:trPr>
          <w:jc w:val="center"/>
        </w:trPr>
        <w:tc>
          <w:tcPr>
            <w:tcW w:w="7655" w:type="dxa"/>
          </w:tcPr>
          <w:p w:rsidR="002D70DD" w:rsidRPr="002D4E72" w:rsidRDefault="00B94803" w:rsidP="00B94803">
            <w:pPr>
              <w:rPr>
                <w:lang w:val="fr-FR"/>
              </w:rPr>
            </w:pPr>
            <w:r w:rsidRPr="002D4E72">
              <w:rPr>
                <w:lang w:val="fr-FR"/>
              </w:rPr>
              <w:t>M. </w:t>
            </w:r>
            <w:r w:rsidR="002D70DD" w:rsidRPr="002D4E72">
              <w:rPr>
                <w:lang w:val="fr-FR"/>
              </w:rPr>
              <w:t>Leontino</w:t>
            </w:r>
            <w:r w:rsidRPr="002D4E72">
              <w:rPr>
                <w:lang w:val="fr-FR"/>
              </w:rPr>
              <w:t> </w:t>
            </w:r>
            <w:proofErr w:type="spellStart"/>
            <w:r w:rsidR="002D70DD" w:rsidRPr="002D4E72">
              <w:rPr>
                <w:lang w:val="fr-FR"/>
              </w:rPr>
              <w:t>Taveira</w:t>
            </w:r>
            <w:proofErr w:type="spellEnd"/>
          </w:p>
        </w:tc>
      </w:tr>
    </w:tbl>
    <w:p w:rsidR="004A52A9" w:rsidRPr="002D4E72" w:rsidRDefault="004A52A9" w:rsidP="002D70DD">
      <w:pPr>
        <w:rPr>
          <w:lang w:val="fr-FR"/>
        </w:rPr>
      </w:pPr>
    </w:p>
    <w:p w:rsidR="004A52A9" w:rsidRPr="002D4E72" w:rsidRDefault="004A52A9" w:rsidP="002D70DD">
      <w:pPr>
        <w:rPr>
          <w:rFonts w:cs="Arial"/>
          <w:lang w:val="fr-FR"/>
        </w:rPr>
      </w:pPr>
    </w:p>
    <w:p w:rsidR="004A52A9" w:rsidRPr="002D4E72" w:rsidRDefault="004A52A9" w:rsidP="002D70DD">
      <w:pPr>
        <w:rPr>
          <w:rFonts w:cs="Arial"/>
          <w:lang w:val="fr-FR"/>
        </w:rPr>
      </w:pPr>
    </w:p>
    <w:p w:rsidR="004A52A9" w:rsidRPr="002D4E72" w:rsidRDefault="00B75412" w:rsidP="00B75412">
      <w:pPr>
        <w:jc w:val="right"/>
        <w:rPr>
          <w:rFonts w:cs="Arial"/>
          <w:lang w:val="fr-FR"/>
        </w:rPr>
      </w:pPr>
      <w:r w:rsidRPr="002D4E72">
        <w:rPr>
          <w:rFonts w:cs="Arial"/>
          <w:lang w:val="fr-FR"/>
        </w:rPr>
        <w:t>[Fin de l</w:t>
      </w:r>
      <w:r w:rsidR="000A7F98" w:rsidRPr="002D4E72">
        <w:rPr>
          <w:rFonts w:cs="Arial"/>
          <w:lang w:val="fr-FR"/>
        </w:rPr>
        <w:t>’</w:t>
      </w:r>
      <w:r w:rsidRPr="002D4E72">
        <w:rPr>
          <w:rFonts w:cs="Arial"/>
          <w:lang w:val="fr-FR"/>
        </w:rPr>
        <w:t>annexe II et du document]</w:t>
      </w:r>
    </w:p>
    <w:p w:rsidR="004A52A9" w:rsidRPr="002D4E72" w:rsidRDefault="004A52A9" w:rsidP="001D483F">
      <w:pPr>
        <w:rPr>
          <w:snapToGrid w:val="0"/>
          <w:lang w:val="fr-FR"/>
        </w:rPr>
      </w:pPr>
    </w:p>
    <w:p w:rsidR="004A52A9" w:rsidRPr="002D4E72" w:rsidRDefault="004A52A9" w:rsidP="001D483F">
      <w:pPr>
        <w:rPr>
          <w:snapToGrid w:val="0"/>
          <w:lang w:val="fr-FR"/>
        </w:rPr>
      </w:pPr>
    </w:p>
    <w:sectPr w:rsidR="004A52A9" w:rsidRPr="002D4E72" w:rsidSect="00A15F3A"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656" w:rsidRDefault="00F32656">
      <w:r>
        <w:separator/>
      </w:r>
    </w:p>
  </w:endnote>
  <w:endnote w:type="continuationSeparator" w:id="0">
    <w:p w:rsidR="00F32656" w:rsidRDefault="00F32656">
      <w:r>
        <w:separator/>
      </w:r>
    </w:p>
    <w:p w:rsidR="00F32656" w:rsidRPr="00664515" w:rsidRDefault="00F32656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F32656" w:rsidRPr="00664515" w:rsidRDefault="00F32656">
      <w:pPr>
        <w:rPr>
          <w:lang w:val="fr-CH"/>
        </w:rPr>
      </w:pPr>
    </w:p>
    <w:p w:rsidR="00F32656" w:rsidRPr="00664515" w:rsidRDefault="00F32656">
      <w:pPr>
        <w:rPr>
          <w:lang w:val="fr-CH"/>
        </w:rPr>
      </w:pPr>
    </w:p>
  </w:endnote>
  <w:endnote w:type="continuationNotice" w:id="1">
    <w:p w:rsidR="00F32656" w:rsidRPr="00664515" w:rsidRDefault="00F32656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F32656" w:rsidRPr="00664515" w:rsidRDefault="00F32656">
      <w:pPr>
        <w:rPr>
          <w:lang w:val="fr-CH"/>
        </w:rPr>
      </w:pPr>
    </w:p>
    <w:p w:rsidR="00F32656" w:rsidRPr="00664515" w:rsidRDefault="00F32656">
      <w:pPr>
        <w:rPr>
          <w:lang w:val="fr-CH"/>
        </w:rPr>
      </w:pPr>
    </w:p>
  </w:endnote>
  <w:endnote w:id="2">
    <w:p w:rsidR="00B75412" w:rsidRPr="002D4E72" w:rsidRDefault="001F67A6" w:rsidP="00B75412">
      <w:pPr>
        <w:rPr>
          <w:sz w:val="18"/>
          <w:szCs w:val="18"/>
          <w:lang w:val="fr-FR"/>
        </w:rPr>
      </w:pPr>
      <w:r w:rsidRPr="00C339B6">
        <w:rPr>
          <w:rStyle w:val="EndnoteReference"/>
          <w:lang w:val="fr-FR"/>
        </w:rPr>
        <w:endnoteRef/>
      </w:r>
      <w:r w:rsidRPr="00C339B6">
        <w:rPr>
          <w:lang w:val="fr-FR"/>
        </w:rPr>
        <w:t xml:space="preserve"> </w:t>
      </w:r>
      <w:r w:rsidR="00B94803">
        <w:rPr>
          <w:lang w:val="fr-FR"/>
        </w:rPr>
        <w:tab/>
      </w:r>
      <w:r w:rsidR="00B75412" w:rsidRPr="002D4E72">
        <w:rPr>
          <w:sz w:val="16"/>
          <w:szCs w:val="16"/>
          <w:lang w:val="fr-FR"/>
        </w:rPr>
        <w:t>À sa soixante</w:t>
      </w:r>
      <w:r w:rsidR="00B94803" w:rsidRPr="002D4E72">
        <w:rPr>
          <w:sz w:val="16"/>
          <w:szCs w:val="16"/>
          <w:lang w:val="fr-FR"/>
        </w:rPr>
        <w:noBreakHyphen/>
      </w:r>
      <w:r w:rsidR="00B75412" w:rsidRPr="002D4E72">
        <w:rPr>
          <w:sz w:val="16"/>
          <w:szCs w:val="16"/>
          <w:lang w:val="fr-FR"/>
        </w:rPr>
        <w:t>neuvième session, tenue à Genève le 10</w:t>
      </w:r>
      <w:r w:rsidR="00B94803" w:rsidRPr="002D4E72">
        <w:rPr>
          <w:sz w:val="16"/>
          <w:szCs w:val="16"/>
          <w:lang w:val="fr-FR"/>
        </w:rPr>
        <w:t> </w:t>
      </w:r>
      <w:r w:rsidR="00B75412" w:rsidRPr="002D4E72">
        <w:rPr>
          <w:sz w:val="16"/>
          <w:szCs w:val="16"/>
          <w:lang w:val="fr-FR"/>
        </w:rPr>
        <w:t>avril</w:t>
      </w:r>
      <w:r w:rsidR="00B94803" w:rsidRPr="002D4E72">
        <w:rPr>
          <w:sz w:val="16"/>
          <w:szCs w:val="16"/>
          <w:lang w:val="fr-FR"/>
        </w:rPr>
        <w:t> </w:t>
      </w:r>
      <w:r w:rsidR="00B75412" w:rsidRPr="002D4E72">
        <w:rPr>
          <w:sz w:val="16"/>
          <w:szCs w:val="16"/>
          <w:lang w:val="fr-FR"/>
        </w:rPr>
        <w:t>2014, le CAJ a accepté d’examiner la possibilité de modifier des documents du CAJ afin</w:t>
      </w:r>
      <w:r w:rsidR="00B75412" w:rsidRPr="002D4E72">
        <w:rPr>
          <w:sz w:val="18"/>
          <w:szCs w:val="18"/>
          <w:lang w:val="fr-FR"/>
        </w:rPr>
        <w:t> </w:t>
      </w:r>
    </w:p>
    <w:p w:rsidR="00B75412" w:rsidRPr="002D4E72" w:rsidRDefault="00B75412" w:rsidP="00B75412">
      <w:pPr>
        <w:pStyle w:val="ListParagraph"/>
        <w:numPr>
          <w:ilvl w:val="0"/>
          <w:numId w:val="1"/>
        </w:numPr>
        <w:ind w:left="1134" w:hanging="567"/>
        <w:rPr>
          <w:sz w:val="16"/>
          <w:szCs w:val="16"/>
          <w:lang w:val="fr-FR"/>
        </w:rPr>
      </w:pPr>
      <w:r w:rsidRPr="002D4E72">
        <w:rPr>
          <w:sz w:val="16"/>
          <w:szCs w:val="16"/>
          <w:lang w:val="fr-FR"/>
        </w:rPr>
        <w:t>d’inclure un résumé analytique,</w:t>
      </w:r>
    </w:p>
    <w:p w:rsidR="00B75412" w:rsidRPr="002D4E72" w:rsidRDefault="00C339B6" w:rsidP="00C339B6">
      <w:pPr>
        <w:pStyle w:val="ListParagraph"/>
        <w:numPr>
          <w:ilvl w:val="0"/>
          <w:numId w:val="1"/>
        </w:numPr>
        <w:ind w:left="1134" w:hanging="567"/>
        <w:rPr>
          <w:sz w:val="16"/>
          <w:szCs w:val="16"/>
          <w:lang w:val="fr-FR"/>
        </w:rPr>
      </w:pPr>
      <w:r w:rsidRPr="002D4E72">
        <w:rPr>
          <w:sz w:val="16"/>
          <w:szCs w:val="16"/>
          <w:lang w:val="fr-FR"/>
        </w:rPr>
        <w:t>de faire référence à des documents antérieurs dans des notes en bas de page,</w:t>
      </w:r>
    </w:p>
    <w:p w:rsidR="00B75412" w:rsidRPr="002D4E72" w:rsidRDefault="00C339B6" w:rsidP="001F67A6">
      <w:pPr>
        <w:pStyle w:val="ListParagraph"/>
        <w:numPr>
          <w:ilvl w:val="0"/>
          <w:numId w:val="1"/>
        </w:numPr>
        <w:ind w:left="1134" w:hanging="567"/>
        <w:rPr>
          <w:sz w:val="16"/>
          <w:szCs w:val="16"/>
          <w:lang w:val="fr-FR"/>
        </w:rPr>
      </w:pPr>
      <w:r w:rsidRPr="002D4E72">
        <w:rPr>
          <w:sz w:val="16"/>
          <w:szCs w:val="16"/>
          <w:lang w:val="fr-FR"/>
        </w:rPr>
        <w:t>de recourir à des exposés,</w:t>
      </w:r>
    </w:p>
    <w:p w:rsidR="00B75412" w:rsidRPr="002D4E72" w:rsidRDefault="00C339B6" w:rsidP="001F67A6">
      <w:pPr>
        <w:pStyle w:val="ListParagraph"/>
        <w:numPr>
          <w:ilvl w:val="0"/>
          <w:numId w:val="1"/>
        </w:numPr>
        <w:ind w:left="1134" w:hanging="567"/>
        <w:rPr>
          <w:sz w:val="16"/>
          <w:szCs w:val="16"/>
          <w:lang w:val="fr-FR"/>
        </w:rPr>
      </w:pPr>
      <w:r w:rsidRPr="002D4E72">
        <w:rPr>
          <w:sz w:val="16"/>
          <w:szCs w:val="16"/>
          <w:lang w:val="fr-FR"/>
        </w:rPr>
        <w:t xml:space="preserve">de </w:t>
      </w:r>
      <w:r w:rsidR="00B633A2" w:rsidRPr="002D4E72">
        <w:rPr>
          <w:sz w:val="16"/>
          <w:szCs w:val="16"/>
          <w:lang w:val="fr-FR"/>
        </w:rPr>
        <w:t>fusionner les paragraphes conce</w:t>
      </w:r>
      <w:r w:rsidRPr="002D4E72">
        <w:rPr>
          <w:sz w:val="16"/>
          <w:szCs w:val="16"/>
          <w:lang w:val="fr-FR"/>
        </w:rPr>
        <w:t>r</w:t>
      </w:r>
      <w:r w:rsidR="00B633A2" w:rsidRPr="002D4E72">
        <w:rPr>
          <w:sz w:val="16"/>
          <w:szCs w:val="16"/>
          <w:lang w:val="fr-FR"/>
        </w:rPr>
        <w:t>n</w:t>
      </w:r>
      <w:r w:rsidRPr="002D4E72">
        <w:rPr>
          <w:sz w:val="16"/>
          <w:szCs w:val="16"/>
          <w:lang w:val="fr-FR"/>
        </w:rPr>
        <w:t>ant des d</w:t>
      </w:r>
      <w:r w:rsidR="00B633A2" w:rsidRPr="002D4E72">
        <w:rPr>
          <w:sz w:val="16"/>
          <w:szCs w:val="16"/>
          <w:lang w:val="fr-FR"/>
        </w:rPr>
        <w:t>é</w:t>
      </w:r>
      <w:r w:rsidRPr="002D4E72">
        <w:rPr>
          <w:sz w:val="16"/>
          <w:szCs w:val="16"/>
          <w:lang w:val="fr-FR"/>
        </w:rPr>
        <w:t xml:space="preserve">cisions relatives à des points pour </w:t>
      </w:r>
      <w:r w:rsidR="001F67A6" w:rsidRPr="002D4E72">
        <w:rPr>
          <w:sz w:val="16"/>
          <w:szCs w:val="16"/>
          <w:lang w:val="fr-FR"/>
        </w:rPr>
        <w:t>information.</w:t>
      </w:r>
    </w:p>
    <w:p w:rsidR="00B75412" w:rsidRPr="002D4E72" w:rsidRDefault="00B75412" w:rsidP="001F67A6">
      <w:pPr>
        <w:rPr>
          <w:sz w:val="16"/>
          <w:szCs w:val="16"/>
          <w:lang w:val="fr-FR"/>
        </w:rPr>
      </w:pPr>
    </w:p>
    <w:p w:rsidR="00B75412" w:rsidRDefault="00C339B6" w:rsidP="001F67A6">
      <w:pPr>
        <w:rPr>
          <w:sz w:val="16"/>
          <w:szCs w:val="16"/>
          <w:lang w:val="fr-FR"/>
        </w:rPr>
      </w:pPr>
      <w:r w:rsidRPr="002D4E72">
        <w:rPr>
          <w:sz w:val="16"/>
          <w:szCs w:val="16"/>
          <w:lang w:val="fr-FR"/>
        </w:rPr>
        <w:t>Le CAJ a demandé au Bureau de l’Union d’élaborer des exemples qu’il examinera à sa soixante</w:t>
      </w:r>
      <w:r w:rsidR="00B94803" w:rsidRPr="002D4E72">
        <w:rPr>
          <w:sz w:val="16"/>
          <w:szCs w:val="16"/>
          <w:lang w:val="fr-FR"/>
        </w:rPr>
        <w:noBreakHyphen/>
        <w:t>dixième </w:t>
      </w:r>
      <w:r w:rsidRPr="002D4E72">
        <w:rPr>
          <w:sz w:val="16"/>
          <w:szCs w:val="16"/>
          <w:lang w:val="fr-FR"/>
        </w:rPr>
        <w:t>session et de fournir des informations concernant les incidences sur les ressources pour le Bureau de l’Union</w:t>
      </w:r>
      <w:r w:rsidR="001F67A6" w:rsidRPr="002D4E72">
        <w:rPr>
          <w:sz w:val="16"/>
          <w:szCs w:val="16"/>
          <w:lang w:val="fr-FR"/>
        </w:rPr>
        <w:t xml:space="preserve"> (</w:t>
      </w:r>
      <w:r w:rsidRPr="002D4E72">
        <w:rPr>
          <w:sz w:val="16"/>
          <w:szCs w:val="16"/>
          <w:lang w:val="fr-FR"/>
        </w:rPr>
        <w:t>voir les paragraphes 95 et</w:t>
      </w:r>
      <w:r w:rsidR="00B94803" w:rsidRPr="002D4E72">
        <w:rPr>
          <w:sz w:val="16"/>
          <w:szCs w:val="16"/>
          <w:lang w:val="fr-FR"/>
        </w:rPr>
        <w:t> </w:t>
      </w:r>
      <w:r w:rsidRPr="002D4E72">
        <w:rPr>
          <w:sz w:val="16"/>
          <w:szCs w:val="16"/>
          <w:lang w:val="fr-FR"/>
        </w:rPr>
        <w:t xml:space="preserve">96 du </w:t>
      </w:r>
      <w:r w:rsidR="001F67A6" w:rsidRPr="002D4E72">
        <w:rPr>
          <w:sz w:val="16"/>
          <w:szCs w:val="16"/>
          <w:lang w:val="fr-FR"/>
        </w:rPr>
        <w:t>document CAJ/69/12 “</w:t>
      </w:r>
      <w:r w:rsidRPr="002D4E72">
        <w:rPr>
          <w:sz w:val="16"/>
          <w:szCs w:val="16"/>
          <w:lang w:val="fr-FR"/>
        </w:rPr>
        <w:t>Compte rendu des conclusions</w:t>
      </w:r>
      <w:r w:rsidR="001F67A6" w:rsidRPr="002D4E72">
        <w:rPr>
          <w:sz w:val="16"/>
          <w:szCs w:val="16"/>
          <w:lang w:val="fr-FR"/>
        </w:rPr>
        <w:t>”).</w:t>
      </w:r>
    </w:p>
    <w:p w:rsidR="002D4E72" w:rsidRPr="002D4E72" w:rsidRDefault="002D4E72" w:rsidP="001F67A6">
      <w:pPr>
        <w:rPr>
          <w:sz w:val="16"/>
          <w:szCs w:val="16"/>
          <w:lang w:val="fr-FR"/>
        </w:rPr>
      </w:pPr>
    </w:p>
    <w:p w:rsidR="001F67A6" w:rsidRPr="002D4E72" w:rsidRDefault="00C339B6" w:rsidP="00B94803">
      <w:pPr>
        <w:rPr>
          <w:rFonts w:cs="Arial"/>
          <w:snapToGrid w:val="0"/>
          <w:sz w:val="16"/>
          <w:szCs w:val="16"/>
          <w:lang w:val="fr-FR"/>
        </w:rPr>
      </w:pPr>
      <w:r w:rsidRPr="002D4E72">
        <w:rPr>
          <w:rFonts w:cs="Arial"/>
          <w:snapToGrid w:val="0"/>
          <w:sz w:val="16"/>
          <w:szCs w:val="16"/>
          <w:lang w:val="fr-FR"/>
        </w:rPr>
        <w:t>Le présent document a pour objet de donner un exemple</w:t>
      </w:r>
      <w:r w:rsidR="001F67A6" w:rsidRPr="002D4E72">
        <w:rPr>
          <w:rFonts w:cs="Arial"/>
          <w:snapToGrid w:val="0"/>
          <w:sz w:val="16"/>
          <w:szCs w:val="16"/>
          <w:lang w:val="fr-FR"/>
        </w:rPr>
        <w:t xml:space="preserve">. </w:t>
      </w:r>
      <w:r w:rsidRPr="002D4E72">
        <w:rPr>
          <w:rFonts w:cs="Arial"/>
          <w:snapToGrid w:val="0"/>
          <w:sz w:val="16"/>
          <w:szCs w:val="16"/>
          <w:lang w:val="fr-FR"/>
        </w:rPr>
        <w:t xml:space="preserve"> Des i</w:t>
      </w:r>
      <w:r w:rsidR="001F67A6" w:rsidRPr="002D4E72">
        <w:rPr>
          <w:sz w:val="16"/>
          <w:szCs w:val="16"/>
          <w:lang w:val="fr-FR"/>
        </w:rPr>
        <w:t>nformation</w:t>
      </w:r>
      <w:r w:rsidRPr="002D4E72">
        <w:rPr>
          <w:sz w:val="16"/>
          <w:szCs w:val="16"/>
          <w:lang w:val="fr-FR"/>
        </w:rPr>
        <w:t>s concernant les incidences sur les ressources pour le Bureau de l’Union ser</w:t>
      </w:r>
      <w:r w:rsidR="00B40BF0" w:rsidRPr="002D4E72">
        <w:rPr>
          <w:sz w:val="16"/>
          <w:szCs w:val="16"/>
          <w:lang w:val="fr-FR"/>
        </w:rPr>
        <w:t>o</w:t>
      </w:r>
      <w:r w:rsidRPr="002D4E72">
        <w:rPr>
          <w:sz w:val="16"/>
          <w:szCs w:val="16"/>
          <w:lang w:val="fr-FR"/>
        </w:rPr>
        <w:t xml:space="preserve">nt fournies dans un </w:t>
      </w:r>
      <w:r w:rsidR="001F67A6" w:rsidRPr="002D4E72">
        <w:rPr>
          <w:rFonts w:cs="Arial"/>
          <w:snapToGrid w:val="0"/>
          <w:sz w:val="16"/>
          <w:szCs w:val="16"/>
          <w:lang w:val="fr-FR"/>
        </w:rPr>
        <w:t xml:space="preserve">document </w:t>
      </w:r>
      <w:r w:rsidRPr="002D4E72">
        <w:rPr>
          <w:rFonts w:cs="Arial"/>
          <w:snapToGrid w:val="0"/>
          <w:sz w:val="16"/>
          <w:szCs w:val="16"/>
          <w:lang w:val="fr-FR"/>
        </w:rPr>
        <w:t>pour examen à la session du CAJ de ma</w:t>
      </w:r>
      <w:r w:rsidR="00B94803" w:rsidRPr="002D4E72">
        <w:rPr>
          <w:rFonts w:cs="Arial"/>
          <w:snapToGrid w:val="0"/>
          <w:sz w:val="16"/>
          <w:szCs w:val="16"/>
          <w:lang w:val="fr-FR"/>
        </w:rPr>
        <w:t>rs 2015.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F3A" w:rsidRDefault="00A15F3A" w:rsidP="00A15F3A">
    <w:pPr>
      <w:pStyle w:val="Footer"/>
      <w:tabs>
        <w:tab w:val="right" w:pos="8504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B46E48">
      <w:rPr>
        <w:noProof/>
        <w:sz w:val="16"/>
      </w:rPr>
      <w:t>n:\orgupov\shared\document\caj\caj70\caj_70_04_35682_fr_xxx.docx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  <w:t>(DB/</w:t>
    </w:r>
    <w:proofErr w:type="spellStart"/>
    <w:r>
      <w:rPr>
        <w:sz w:val="16"/>
      </w:rPr>
      <w:t>ko</w:t>
    </w:r>
    <w:proofErr w:type="spellEnd"/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"d-MMM-yy" </w:instrText>
    </w:r>
    <w:r>
      <w:rPr>
        <w:sz w:val="16"/>
      </w:rPr>
      <w:fldChar w:fldCharType="separate"/>
    </w:r>
    <w:r w:rsidR="00C86793">
      <w:rPr>
        <w:noProof/>
        <w:sz w:val="16"/>
      </w:rPr>
      <w:t>29-Aug-14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"h:mm" </w:instrText>
    </w:r>
    <w:r>
      <w:rPr>
        <w:sz w:val="16"/>
      </w:rPr>
      <w:fldChar w:fldCharType="separate"/>
    </w:r>
    <w:r w:rsidR="00C86793">
      <w:rPr>
        <w:noProof/>
        <w:sz w:val="16"/>
      </w:rPr>
      <w:t>4:30</w:t>
    </w:r>
    <w:r>
      <w:rPr>
        <w:sz w:val="16"/>
      </w:rPr>
      <w:fldChar w:fldCharType="end"/>
    </w:r>
    <w:r>
      <w:rPr>
        <w:sz w:val="16"/>
      </w:rPr>
      <w:t>)</w:t>
    </w:r>
  </w:p>
  <w:p w:rsidR="00A15F3A" w:rsidRDefault="00A15F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F3A" w:rsidRPr="00A15F3A" w:rsidRDefault="00A15F3A" w:rsidP="00A15F3A">
    <w:pPr>
      <w:pStyle w:val="Footer"/>
      <w:tabs>
        <w:tab w:val="right" w:pos="8504"/>
      </w:tabs>
      <w:jc w:val="center"/>
      <w:rPr>
        <w:rFonts w:ascii="Times New Roman" w:hAnsi="Times New Roman"/>
        <w:b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1AC" w:rsidRPr="003021AC" w:rsidRDefault="003021AC" w:rsidP="003021A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1AC" w:rsidRPr="003021AC" w:rsidRDefault="003021AC" w:rsidP="003021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656" w:rsidRDefault="00F32656" w:rsidP="009D690D">
      <w:pPr>
        <w:spacing w:before="120"/>
      </w:pPr>
      <w:r>
        <w:separator/>
      </w:r>
    </w:p>
  </w:footnote>
  <w:footnote w:type="continuationSeparator" w:id="0">
    <w:p w:rsidR="00F32656" w:rsidRDefault="00F32656" w:rsidP="00520297">
      <w:pPr>
        <w:spacing w:before="120"/>
        <w:jc w:val="left"/>
      </w:pPr>
      <w:r>
        <w:separator/>
      </w:r>
    </w:p>
  </w:footnote>
  <w:footnote w:type="continuationNotice" w:id="1">
    <w:p w:rsidR="00F32656" w:rsidRDefault="00F32656"/>
  </w:footnote>
  <w:footnote w:id="2">
    <w:p w:rsidR="00A466D6" w:rsidRPr="002D4E72" w:rsidRDefault="00A466D6" w:rsidP="00A466D6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184710">
        <w:rPr>
          <w:lang w:val="fr-CH"/>
        </w:rPr>
        <w:t xml:space="preserve"> </w:t>
      </w:r>
      <w:r>
        <w:rPr>
          <w:lang w:val="fr-CH"/>
        </w:rPr>
        <w:tab/>
      </w:r>
      <w:r w:rsidRPr="002D4E72">
        <w:rPr>
          <w:lang w:val="fr-CH"/>
        </w:rPr>
        <w:t xml:space="preserve">La présente partie a été établie sur la base du document CAJ/69/9 </w:t>
      </w:r>
      <w:r w:rsidR="00835C7C" w:rsidRPr="002D4E72">
        <w:rPr>
          <w:lang w:val="fr-CH"/>
        </w:rPr>
        <w:t>“</w:t>
      </w:r>
      <w:r w:rsidRPr="002D4E72">
        <w:rPr>
          <w:lang w:val="fr-CH"/>
        </w:rPr>
        <w:t>Possibilité d</w:t>
      </w:r>
      <w:r w:rsidR="00C3724C" w:rsidRPr="002D4E72">
        <w:rPr>
          <w:lang w:val="fr-CH"/>
        </w:rPr>
        <w:t>’</w:t>
      </w:r>
      <w:r w:rsidRPr="002D4E72">
        <w:rPr>
          <w:lang w:val="fr-CH"/>
        </w:rPr>
        <w:t>élaboration d</w:t>
      </w:r>
      <w:r w:rsidR="00C3724C" w:rsidRPr="002D4E72">
        <w:rPr>
          <w:lang w:val="fr-CH"/>
        </w:rPr>
        <w:t>’</w:t>
      </w:r>
      <w:r w:rsidRPr="002D4E72">
        <w:rPr>
          <w:lang w:val="fr-CH"/>
        </w:rPr>
        <w:t>un outil de recherche de l</w:t>
      </w:r>
      <w:r w:rsidR="00C3724C" w:rsidRPr="002D4E72">
        <w:rPr>
          <w:lang w:val="fr-CH"/>
        </w:rPr>
        <w:t>’</w:t>
      </w:r>
      <w:r w:rsidRPr="002D4E72">
        <w:rPr>
          <w:lang w:val="fr-CH"/>
        </w:rPr>
        <w:t>UPOV de similarité aux fins de la dénomination variétale</w:t>
      </w:r>
      <w:r w:rsidR="00835C7C" w:rsidRPr="002D4E72">
        <w:rPr>
          <w:lang w:val="fr-CH"/>
        </w:rPr>
        <w:t>”</w:t>
      </w:r>
      <w:r w:rsidRPr="002D4E72">
        <w:rPr>
          <w:lang w:val="fr-CH"/>
        </w:rPr>
        <w:t>.</w:t>
      </w:r>
    </w:p>
  </w:footnote>
  <w:footnote w:id="3">
    <w:p w:rsidR="00797691" w:rsidRPr="002D4E72" w:rsidRDefault="00797691" w:rsidP="00797691">
      <w:pPr>
        <w:pStyle w:val="FootnoteText"/>
        <w:rPr>
          <w:lang w:val="fr-CH"/>
        </w:rPr>
      </w:pPr>
      <w:r w:rsidRPr="002D4E72">
        <w:rPr>
          <w:rStyle w:val="FootnoteReference"/>
        </w:rPr>
        <w:footnoteRef/>
      </w:r>
      <w:r w:rsidRPr="00184710">
        <w:rPr>
          <w:lang w:val="fr-CH"/>
        </w:rPr>
        <w:t xml:space="preserve"> </w:t>
      </w:r>
      <w:r w:rsidRPr="002D4E72">
        <w:rPr>
          <w:lang w:val="fr-CH"/>
        </w:rPr>
        <w:tab/>
      </w:r>
      <w:r w:rsidR="00B633A2" w:rsidRPr="002D4E72">
        <w:rPr>
          <w:lang w:val="fr-CH"/>
        </w:rPr>
        <w:t>V</w:t>
      </w:r>
      <w:r w:rsidRPr="002D4E72">
        <w:rPr>
          <w:lang w:val="fr-CH"/>
        </w:rPr>
        <w:t xml:space="preserve">oir le paragraphe 77 du document CAJ/69/12 “Compte rendu des conclusions”. </w:t>
      </w:r>
      <w:r w:rsidR="00835C7C" w:rsidRPr="002D4E72">
        <w:rPr>
          <w:lang w:val="fr-CH"/>
        </w:rPr>
        <w:t xml:space="preserve"> </w:t>
      </w:r>
    </w:p>
  </w:footnote>
  <w:footnote w:id="4">
    <w:p w:rsidR="00B4262C" w:rsidRPr="002D4E72" w:rsidRDefault="00B4262C" w:rsidP="002D4E72">
      <w:pPr>
        <w:pStyle w:val="FootnoteText"/>
        <w:spacing w:before="0"/>
        <w:rPr>
          <w:lang w:val="fr-CH"/>
        </w:rPr>
      </w:pPr>
      <w:r>
        <w:rPr>
          <w:rStyle w:val="FootnoteReference"/>
        </w:rPr>
        <w:footnoteRef/>
      </w:r>
      <w:r w:rsidRPr="00184710">
        <w:rPr>
          <w:lang w:val="fr-CH"/>
        </w:rPr>
        <w:t xml:space="preserve"> </w:t>
      </w:r>
      <w:r w:rsidR="00B94803" w:rsidRPr="00184710">
        <w:rPr>
          <w:lang w:val="fr-CH"/>
        </w:rPr>
        <w:tab/>
      </w:r>
      <w:r w:rsidRPr="00184710">
        <w:rPr>
          <w:lang w:val="fr-CH"/>
        </w:rPr>
        <w:t>Voir le paragraphe 40 du document CAJ/68/10 “Compte rendu des conclusions”.</w:t>
      </w:r>
    </w:p>
  </w:footnote>
  <w:footnote w:id="5">
    <w:p w:rsidR="004A52A9" w:rsidRPr="002D4E72" w:rsidRDefault="004A52A9" w:rsidP="002D4E72">
      <w:pPr>
        <w:pStyle w:val="FootnoteText"/>
        <w:spacing w:before="0"/>
        <w:rPr>
          <w:lang w:val="fr-CH"/>
        </w:rPr>
      </w:pPr>
      <w:r w:rsidRPr="002D4E72">
        <w:rPr>
          <w:rStyle w:val="FootnoteReference"/>
        </w:rPr>
        <w:footnoteRef/>
      </w:r>
      <w:r w:rsidRPr="00184710">
        <w:rPr>
          <w:lang w:val="fr-CH"/>
        </w:rPr>
        <w:t xml:space="preserve"> </w:t>
      </w:r>
      <w:r w:rsidR="00B94803" w:rsidRPr="00184710">
        <w:rPr>
          <w:lang w:val="fr-CH"/>
        </w:rPr>
        <w:tab/>
      </w:r>
      <w:r w:rsidRPr="002D4E72">
        <w:rPr>
          <w:lang w:val="fr-CH"/>
        </w:rPr>
        <w:t>Voir le paragraphe 41 du document CAJ/68/10 “Compte rendu des conclusions”.</w:t>
      </w:r>
    </w:p>
  </w:footnote>
  <w:footnote w:id="6">
    <w:p w:rsidR="00B75412" w:rsidRPr="002D4E72" w:rsidRDefault="00B75412" w:rsidP="002D4E72">
      <w:pPr>
        <w:pStyle w:val="FootnoteText"/>
        <w:spacing w:before="0"/>
        <w:rPr>
          <w:lang w:val="fr-CH"/>
        </w:rPr>
      </w:pPr>
      <w:r w:rsidRPr="002D4E72">
        <w:rPr>
          <w:rStyle w:val="FootnoteReference"/>
        </w:rPr>
        <w:footnoteRef/>
      </w:r>
      <w:r w:rsidRPr="00184710">
        <w:rPr>
          <w:lang w:val="fr-CH"/>
        </w:rPr>
        <w:t xml:space="preserve"> </w:t>
      </w:r>
      <w:r w:rsidR="00B94803" w:rsidRPr="00184710">
        <w:rPr>
          <w:lang w:val="fr-CH"/>
        </w:rPr>
        <w:tab/>
      </w:r>
      <w:r w:rsidRPr="00184710">
        <w:rPr>
          <w:lang w:val="fr-CH"/>
        </w:rPr>
        <w:t>Voir le paragraphe 42 du document CAJ/68/10 “Compte rendu des conclusions”.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8FA" w:rsidRPr="00997029" w:rsidRDefault="002F78FA" w:rsidP="00E23920">
    <w:pPr>
      <w:jc w:val="center"/>
      <w:rPr>
        <w:rStyle w:val="PageNumber"/>
      </w:rPr>
    </w:pPr>
    <w:r>
      <w:rPr>
        <w:rStyle w:val="PageNumber"/>
      </w:rPr>
      <w:t>CAJ/</w:t>
    </w:r>
    <w:r w:rsidR="00155F6F">
      <w:rPr>
        <w:rStyle w:val="PageNumber"/>
      </w:rPr>
      <w:t>70</w:t>
    </w:r>
    <w:r>
      <w:rPr>
        <w:rStyle w:val="PageNumber"/>
      </w:rPr>
      <w:t>/</w:t>
    </w:r>
    <w:r w:rsidR="001D483F">
      <w:rPr>
        <w:rStyle w:val="PageNumber"/>
      </w:rPr>
      <w:t>4</w:t>
    </w:r>
  </w:p>
  <w:p w:rsidR="002F78FA" w:rsidRPr="00997029" w:rsidRDefault="002F78FA" w:rsidP="00E23920">
    <w:pPr>
      <w:jc w:val="center"/>
    </w:pPr>
    <w:proofErr w:type="gramStart"/>
    <w:r w:rsidRPr="00997029">
      <w:t>page</w:t>
    </w:r>
    <w:proofErr w:type="gramEnd"/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C86793">
      <w:rPr>
        <w:rStyle w:val="PageNumber"/>
        <w:noProof/>
      </w:rPr>
      <w:t>3</w:t>
    </w:r>
    <w:r w:rsidRPr="00997029">
      <w:rPr>
        <w:rStyle w:val="PageNumber"/>
      </w:rPr>
      <w:fldChar w:fldCharType="end"/>
    </w:r>
  </w:p>
  <w:p w:rsidR="002F78FA" w:rsidRPr="00997029" w:rsidRDefault="002F78FA" w:rsidP="00EB048E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3DE" w:rsidRDefault="004623DE">
    <w:pPr>
      <w:pStyle w:val="Header"/>
      <w:rPr>
        <w:lang w:val="fr-CH"/>
      </w:rPr>
    </w:pPr>
    <w:r>
      <w:rPr>
        <w:lang w:val="fr-CH"/>
      </w:rPr>
      <w:t>CAJ /70/4</w:t>
    </w:r>
  </w:p>
  <w:p w:rsidR="004623DE" w:rsidRDefault="004623DE">
    <w:pPr>
      <w:pStyle w:val="Header"/>
      <w:rPr>
        <w:lang w:val="fr-CH"/>
      </w:rPr>
    </w:pPr>
    <w:r>
      <w:rPr>
        <w:lang w:val="fr-CH"/>
      </w:rPr>
      <w:t>Page 2</w:t>
    </w:r>
  </w:p>
  <w:p w:rsidR="004623DE" w:rsidRPr="004623DE" w:rsidRDefault="004623DE">
    <w:pPr>
      <w:pStyle w:val="Header"/>
      <w:rPr>
        <w:lang w:val="fr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3DE" w:rsidRPr="004623DE" w:rsidRDefault="004623DE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70C4"/>
    <w:multiLevelType w:val="hybridMultilevel"/>
    <w:tmpl w:val="68EA49DC"/>
    <w:lvl w:ilvl="0" w:tplc="08ECA780">
      <w:start w:val="1"/>
      <w:numFmt w:val="lowerLetter"/>
      <w:lvlText w:val="(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115B0686"/>
    <w:multiLevelType w:val="hybridMultilevel"/>
    <w:tmpl w:val="745C66FC"/>
    <w:lvl w:ilvl="0" w:tplc="058404B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8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D48E2"/>
    <w:multiLevelType w:val="hybridMultilevel"/>
    <w:tmpl w:val="CA76C10C"/>
    <w:lvl w:ilvl="0" w:tplc="E14008A4">
      <w:start w:val="1"/>
      <w:numFmt w:val="lowerLetter"/>
      <w:lvlText w:val="%1)"/>
      <w:lvlJc w:val="left"/>
      <w:pPr>
        <w:ind w:left="6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3">
    <w:nsid w:val="3AE47E57"/>
    <w:multiLevelType w:val="hybridMultilevel"/>
    <w:tmpl w:val="7374B12C"/>
    <w:lvl w:ilvl="0" w:tplc="7B3C3460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F2641"/>
    <w:multiLevelType w:val="hybridMultilevel"/>
    <w:tmpl w:val="BB16F13E"/>
    <w:lvl w:ilvl="0" w:tplc="48680C7E">
      <w:start w:val="1"/>
      <w:numFmt w:val="lowerLetter"/>
      <w:lvlText w:val="(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5">
    <w:nsid w:val="3CAD79CE"/>
    <w:multiLevelType w:val="hybridMultilevel"/>
    <w:tmpl w:val="F326C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43A6F"/>
    <w:multiLevelType w:val="hybridMultilevel"/>
    <w:tmpl w:val="27AA2B0E"/>
    <w:lvl w:ilvl="0" w:tplc="774ABCDE">
      <w:start w:val="1"/>
      <w:numFmt w:val="lowerLetter"/>
      <w:lvlText w:val="(%1)"/>
      <w:lvlJc w:val="left"/>
      <w:pPr>
        <w:ind w:left="53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7">
    <w:nsid w:val="4A3A693D"/>
    <w:multiLevelType w:val="hybridMultilevel"/>
    <w:tmpl w:val="2E888DC0"/>
    <w:lvl w:ilvl="0" w:tplc="40DC9DB2">
      <w:start w:val="1"/>
      <w:numFmt w:val="lowerLetter"/>
      <w:lvlText w:val="(%1)"/>
      <w:lvlJc w:val="left"/>
      <w:pPr>
        <w:ind w:left="5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6" w:hanging="360"/>
      </w:pPr>
    </w:lvl>
    <w:lvl w:ilvl="2" w:tplc="0409001B" w:tentative="1">
      <w:start w:val="1"/>
      <w:numFmt w:val="lowerRoman"/>
      <w:lvlText w:val="%3."/>
      <w:lvlJc w:val="right"/>
      <w:pPr>
        <w:ind w:left="7186" w:hanging="180"/>
      </w:pPr>
    </w:lvl>
    <w:lvl w:ilvl="3" w:tplc="0409000F" w:tentative="1">
      <w:start w:val="1"/>
      <w:numFmt w:val="decimal"/>
      <w:lvlText w:val="%4."/>
      <w:lvlJc w:val="left"/>
      <w:pPr>
        <w:ind w:left="7906" w:hanging="360"/>
      </w:pPr>
    </w:lvl>
    <w:lvl w:ilvl="4" w:tplc="04090019" w:tentative="1">
      <w:start w:val="1"/>
      <w:numFmt w:val="lowerLetter"/>
      <w:lvlText w:val="%5."/>
      <w:lvlJc w:val="left"/>
      <w:pPr>
        <w:ind w:left="8626" w:hanging="360"/>
      </w:pPr>
    </w:lvl>
    <w:lvl w:ilvl="5" w:tplc="0409001B" w:tentative="1">
      <w:start w:val="1"/>
      <w:numFmt w:val="lowerRoman"/>
      <w:lvlText w:val="%6."/>
      <w:lvlJc w:val="right"/>
      <w:pPr>
        <w:ind w:left="9346" w:hanging="180"/>
      </w:pPr>
    </w:lvl>
    <w:lvl w:ilvl="6" w:tplc="0409000F" w:tentative="1">
      <w:start w:val="1"/>
      <w:numFmt w:val="decimal"/>
      <w:lvlText w:val="%7."/>
      <w:lvlJc w:val="left"/>
      <w:pPr>
        <w:ind w:left="10066" w:hanging="360"/>
      </w:pPr>
    </w:lvl>
    <w:lvl w:ilvl="7" w:tplc="04090019" w:tentative="1">
      <w:start w:val="1"/>
      <w:numFmt w:val="lowerLetter"/>
      <w:lvlText w:val="%8."/>
      <w:lvlJc w:val="left"/>
      <w:pPr>
        <w:ind w:left="10786" w:hanging="360"/>
      </w:pPr>
    </w:lvl>
    <w:lvl w:ilvl="8" w:tplc="0409001B" w:tentative="1">
      <w:start w:val="1"/>
      <w:numFmt w:val="lowerRoman"/>
      <w:lvlText w:val="%9."/>
      <w:lvlJc w:val="right"/>
      <w:pPr>
        <w:ind w:left="11506" w:hanging="180"/>
      </w:pPr>
    </w:lvl>
  </w:abstractNum>
  <w:abstractNum w:abstractNumId="8">
    <w:nsid w:val="60920F01"/>
    <w:multiLevelType w:val="hybridMultilevel"/>
    <w:tmpl w:val="9BBE375C"/>
    <w:lvl w:ilvl="0" w:tplc="29A4C406">
      <w:start w:val="1"/>
      <w:numFmt w:val="lowerLetter"/>
      <w:lvlText w:val="(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9">
    <w:nsid w:val="620C3CDD"/>
    <w:multiLevelType w:val="hybridMultilevel"/>
    <w:tmpl w:val="560EEF1E"/>
    <w:lvl w:ilvl="0" w:tplc="00A078E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8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73F82"/>
    <w:multiLevelType w:val="hybridMultilevel"/>
    <w:tmpl w:val="1FD225CC"/>
    <w:lvl w:ilvl="0" w:tplc="B61612CA">
      <w:start w:val="1"/>
      <w:numFmt w:val="lowerLetter"/>
      <w:lvlText w:val="(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10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Duplicates DB|WIPONew|PreTradBeta|UPOV_Beta"/>
    <w:docVar w:name="TermBaseURL" w:val="empty"/>
    <w:docVar w:name="TextBases" w:val="UPOV\Meetings|UPOV\Other|UPOV\Publications|UPOV\Technical Guidelines|Treaties\Model Laws|Treaties\Other Laws and Agreements|Treaties\WIPO-administered|Trademarks\Meetings|Trademarks\Other|Trademarks\Publications|Patents\Meetings|Patents\Other|Patents\Publications|IP in General\Academy|IP in General\Arbitration and Mediation|IP in General\Meetings|IP in General\Other|IP in General\Press Room|IP in General\Publications|Glossaries\EN-FR|Copyright\Meetings|Copyright\Other|Copyright\Publications|Budget and Finance\Meetings|Budget and Finance\Other|Budget and Finance\Publications|Administrative\Meetings|Administrative\Other|Administrative\Publications|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"/>
    <w:docVar w:name="TextBaseURL" w:val="empty"/>
    <w:docVar w:name="UILng" w:val="en"/>
  </w:docVars>
  <w:rsids>
    <w:rsidRoot w:val="00F32656"/>
    <w:rsid w:val="00001380"/>
    <w:rsid w:val="00001D48"/>
    <w:rsid w:val="00010CF3"/>
    <w:rsid w:val="00011E27"/>
    <w:rsid w:val="000148BC"/>
    <w:rsid w:val="00024AB8"/>
    <w:rsid w:val="00036028"/>
    <w:rsid w:val="000446B9"/>
    <w:rsid w:val="00047E21"/>
    <w:rsid w:val="000635F1"/>
    <w:rsid w:val="0006472C"/>
    <w:rsid w:val="00064796"/>
    <w:rsid w:val="00085505"/>
    <w:rsid w:val="000A7F98"/>
    <w:rsid w:val="000C450F"/>
    <w:rsid w:val="000C7021"/>
    <w:rsid w:val="000D492E"/>
    <w:rsid w:val="000D6BBC"/>
    <w:rsid w:val="000D7780"/>
    <w:rsid w:val="00105929"/>
    <w:rsid w:val="00110481"/>
    <w:rsid w:val="001131D5"/>
    <w:rsid w:val="00124F90"/>
    <w:rsid w:val="00141DB8"/>
    <w:rsid w:val="00155F6F"/>
    <w:rsid w:val="0017474A"/>
    <w:rsid w:val="001758C6"/>
    <w:rsid w:val="00184710"/>
    <w:rsid w:val="00190B81"/>
    <w:rsid w:val="001C3DF3"/>
    <w:rsid w:val="001D483F"/>
    <w:rsid w:val="001F1F2A"/>
    <w:rsid w:val="001F67A6"/>
    <w:rsid w:val="0021332C"/>
    <w:rsid w:val="00213982"/>
    <w:rsid w:val="00237C7D"/>
    <w:rsid w:val="0024416D"/>
    <w:rsid w:val="002457D3"/>
    <w:rsid w:val="0027309C"/>
    <w:rsid w:val="002800A0"/>
    <w:rsid w:val="00281060"/>
    <w:rsid w:val="0029439F"/>
    <w:rsid w:val="002A322F"/>
    <w:rsid w:val="002A551B"/>
    <w:rsid w:val="002A5B14"/>
    <w:rsid w:val="002A6E50"/>
    <w:rsid w:val="002C256A"/>
    <w:rsid w:val="002D4E72"/>
    <w:rsid w:val="002D70DD"/>
    <w:rsid w:val="002E7BA1"/>
    <w:rsid w:val="002F78FA"/>
    <w:rsid w:val="003021AC"/>
    <w:rsid w:val="00305A7F"/>
    <w:rsid w:val="003152FE"/>
    <w:rsid w:val="00327436"/>
    <w:rsid w:val="00344BD6"/>
    <w:rsid w:val="0035528D"/>
    <w:rsid w:val="00361821"/>
    <w:rsid w:val="00376C56"/>
    <w:rsid w:val="00397154"/>
    <w:rsid w:val="003A0A5A"/>
    <w:rsid w:val="003A17C8"/>
    <w:rsid w:val="003C563E"/>
    <w:rsid w:val="003D227C"/>
    <w:rsid w:val="003D2B4D"/>
    <w:rsid w:val="003D6DAF"/>
    <w:rsid w:val="003E67F8"/>
    <w:rsid w:val="003F1037"/>
    <w:rsid w:val="003F6136"/>
    <w:rsid w:val="00427139"/>
    <w:rsid w:val="00444A88"/>
    <w:rsid w:val="00446BC2"/>
    <w:rsid w:val="004623DE"/>
    <w:rsid w:val="00470851"/>
    <w:rsid w:val="004732A7"/>
    <w:rsid w:val="00474DA4"/>
    <w:rsid w:val="004A52A9"/>
    <w:rsid w:val="004D047D"/>
    <w:rsid w:val="004D1617"/>
    <w:rsid w:val="004F0A25"/>
    <w:rsid w:val="004F305A"/>
    <w:rsid w:val="00512164"/>
    <w:rsid w:val="005121A6"/>
    <w:rsid w:val="00520297"/>
    <w:rsid w:val="00524038"/>
    <w:rsid w:val="005338F9"/>
    <w:rsid w:val="0054281C"/>
    <w:rsid w:val="0055268D"/>
    <w:rsid w:val="00572E44"/>
    <w:rsid w:val="00576BE4"/>
    <w:rsid w:val="005A400A"/>
    <w:rsid w:val="005D2E37"/>
    <w:rsid w:val="0060018F"/>
    <w:rsid w:val="00612379"/>
    <w:rsid w:val="0061555F"/>
    <w:rsid w:val="00616C4F"/>
    <w:rsid w:val="00630A8B"/>
    <w:rsid w:val="006350AB"/>
    <w:rsid w:val="00636AAE"/>
    <w:rsid w:val="00641200"/>
    <w:rsid w:val="00663ED8"/>
    <w:rsid w:val="00664515"/>
    <w:rsid w:val="006725F8"/>
    <w:rsid w:val="00687EB4"/>
    <w:rsid w:val="00696015"/>
    <w:rsid w:val="006B130D"/>
    <w:rsid w:val="006B17D2"/>
    <w:rsid w:val="006B45FA"/>
    <w:rsid w:val="006C224E"/>
    <w:rsid w:val="006D3AFC"/>
    <w:rsid w:val="00732DEC"/>
    <w:rsid w:val="00735BD5"/>
    <w:rsid w:val="0075117E"/>
    <w:rsid w:val="007556F6"/>
    <w:rsid w:val="00760EEF"/>
    <w:rsid w:val="0076602F"/>
    <w:rsid w:val="00777EE5"/>
    <w:rsid w:val="00783EDA"/>
    <w:rsid w:val="00784836"/>
    <w:rsid w:val="007860D2"/>
    <w:rsid w:val="0079023E"/>
    <w:rsid w:val="00797691"/>
    <w:rsid w:val="007B6894"/>
    <w:rsid w:val="007C6639"/>
    <w:rsid w:val="007D0B9D"/>
    <w:rsid w:val="007D19B0"/>
    <w:rsid w:val="007F498F"/>
    <w:rsid w:val="007F5980"/>
    <w:rsid w:val="007F741C"/>
    <w:rsid w:val="0080679D"/>
    <w:rsid w:val="008108B0"/>
    <w:rsid w:val="00811B20"/>
    <w:rsid w:val="0082296E"/>
    <w:rsid w:val="00824099"/>
    <w:rsid w:val="00835C7C"/>
    <w:rsid w:val="00836E88"/>
    <w:rsid w:val="00847955"/>
    <w:rsid w:val="00855DBD"/>
    <w:rsid w:val="00867AC1"/>
    <w:rsid w:val="008837CE"/>
    <w:rsid w:val="008A395B"/>
    <w:rsid w:val="008A743F"/>
    <w:rsid w:val="008B129D"/>
    <w:rsid w:val="008B51D0"/>
    <w:rsid w:val="008C0970"/>
    <w:rsid w:val="008D2CF7"/>
    <w:rsid w:val="008D2FC8"/>
    <w:rsid w:val="008E793E"/>
    <w:rsid w:val="00900C26"/>
    <w:rsid w:val="0090197F"/>
    <w:rsid w:val="00906DDC"/>
    <w:rsid w:val="00934E09"/>
    <w:rsid w:val="00936253"/>
    <w:rsid w:val="0094293E"/>
    <w:rsid w:val="00944C03"/>
    <w:rsid w:val="0095226C"/>
    <w:rsid w:val="00970FED"/>
    <w:rsid w:val="00997029"/>
    <w:rsid w:val="009C1193"/>
    <w:rsid w:val="009D0DE5"/>
    <w:rsid w:val="009D1C08"/>
    <w:rsid w:val="009D690D"/>
    <w:rsid w:val="009D7B76"/>
    <w:rsid w:val="009E6407"/>
    <w:rsid w:val="009E65A2"/>
    <w:rsid w:val="009E65B6"/>
    <w:rsid w:val="009F776E"/>
    <w:rsid w:val="00A12D06"/>
    <w:rsid w:val="00A15F3A"/>
    <w:rsid w:val="00A31962"/>
    <w:rsid w:val="00A42AC3"/>
    <w:rsid w:val="00A430CF"/>
    <w:rsid w:val="00A466D6"/>
    <w:rsid w:val="00A54309"/>
    <w:rsid w:val="00A6303F"/>
    <w:rsid w:val="00A75177"/>
    <w:rsid w:val="00A83973"/>
    <w:rsid w:val="00A87649"/>
    <w:rsid w:val="00AA5EB1"/>
    <w:rsid w:val="00AB2B93"/>
    <w:rsid w:val="00AE0EF1"/>
    <w:rsid w:val="00B07301"/>
    <w:rsid w:val="00B224DE"/>
    <w:rsid w:val="00B31504"/>
    <w:rsid w:val="00B40BF0"/>
    <w:rsid w:val="00B4262C"/>
    <w:rsid w:val="00B46E48"/>
    <w:rsid w:val="00B605A8"/>
    <w:rsid w:val="00B62A7B"/>
    <w:rsid w:val="00B633A2"/>
    <w:rsid w:val="00B75412"/>
    <w:rsid w:val="00B84BBD"/>
    <w:rsid w:val="00B94803"/>
    <w:rsid w:val="00BA43FB"/>
    <w:rsid w:val="00BC127D"/>
    <w:rsid w:val="00BC1FE6"/>
    <w:rsid w:val="00BD4C24"/>
    <w:rsid w:val="00BF43D9"/>
    <w:rsid w:val="00C061B6"/>
    <w:rsid w:val="00C21DBF"/>
    <w:rsid w:val="00C2446C"/>
    <w:rsid w:val="00C339B6"/>
    <w:rsid w:val="00C36AE5"/>
    <w:rsid w:val="00C3724C"/>
    <w:rsid w:val="00C41F17"/>
    <w:rsid w:val="00C54BF4"/>
    <w:rsid w:val="00C5791C"/>
    <w:rsid w:val="00C66290"/>
    <w:rsid w:val="00C72B7A"/>
    <w:rsid w:val="00C86793"/>
    <w:rsid w:val="00C973F2"/>
    <w:rsid w:val="00CA774A"/>
    <w:rsid w:val="00CC11B0"/>
    <w:rsid w:val="00CF2096"/>
    <w:rsid w:val="00CF7E36"/>
    <w:rsid w:val="00D233D8"/>
    <w:rsid w:val="00D24210"/>
    <w:rsid w:val="00D342E2"/>
    <w:rsid w:val="00D3708D"/>
    <w:rsid w:val="00D40426"/>
    <w:rsid w:val="00D541EC"/>
    <w:rsid w:val="00D57C96"/>
    <w:rsid w:val="00D62150"/>
    <w:rsid w:val="00D7628A"/>
    <w:rsid w:val="00D91203"/>
    <w:rsid w:val="00D95174"/>
    <w:rsid w:val="00D95A5C"/>
    <w:rsid w:val="00DA6F36"/>
    <w:rsid w:val="00DB2BE5"/>
    <w:rsid w:val="00DC00EA"/>
    <w:rsid w:val="00DF0767"/>
    <w:rsid w:val="00E23920"/>
    <w:rsid w:val="00E40A1F"/>
    <w:rsid w:val="00E72D49"/>
    <w:rsid w:val="00E7593C"/>
    <w:rsid w:val="00E7678A"/>
    <w:rsid w:val="00E80D8E"/>
    <w:rsid w:val="00E935F1"/>
    <w:rsid w:val="00E94A81"/>
    <w:rsid w:val="00EA1FFB"/>
    <w:rsid w:val="00EB048E"/>
    <w:rsid w:val="00EB3EFA"/>
    <w:rsid w:val="00EC4922"/>
    <w:rsid w:val="00ED786F"/>
    <w:rsid w:val="00EE2D14"/>
    <w:rsid w:val="00EF2F89"/>
    <w:rsid w:val="00EF3B63"/>
    <w:rsid w:val="00F03B03"/>
    <w:rsid w:val="00F04DEB"/>
    <w:rsid w:val="00F1237A"/>
    <w:rsid w:val="00F21342"/>
    <w:rsid w:val="00F22CBD"/>
    <w:rsid w:val="00F32656"/>
    <w:rsid w:val="00F32FC6"/>
    <w:rsid w:val="00F37961"/>
    <w:rsid w:val="00F40990"/>
    <w:rsid w:val="00F53615"/>
    <w:rsid w:val="00F6334D"/>
    <w:rsid w:val="00F80C45"/>
    <w:rsid w:val="00FA49AB"/>
    <w:rsid w:val="00FB0D37"/>
    <w:rsid w:val="00FB4349"/>
    <w:rsid w:val="00FE39C7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B633A2"/>
    <w:pPr>
      <w:keepNext/>
      <w:numPr>
        <w:numId w:val="11"/>
      </w:numPr>
      <w:ind w:left="567" w:hanging="567"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2A551B"/>
    <w:pPr>
      <w:tabs>
        <w:tab w:val="left" w:pos="1134"/>
        <w:tab w:val="right" w:leader="dot" w:pos="9639"/>
      </w:tabs>
      <w:spacing w:before="120"/>
      <w:ind w:left="567" w:right="851"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1D483F"/>
    <w:pPr>
      <w:tabs>
        <w:tab w:val="right" w:leader="dot" w:pos="9639"/>
      </w:tabs>
      <w:spacing w:before="120"/>
      <w:ind w:left="284" w:right="284" w:hanging="284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633A2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1D483F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1D483F"/>
    <w:rPr>
      <w:rFonts w:ascii="Arial" w:hAnsi="Arial"/>
      <w:lang w:val="fr-FR"/>
    </w:rPr>
  </w:style>
  <w:style w:type="character" w:customStyle="1" w:styleId="DecisionParagraphsChar">
    <w:name w:val="DecisionParagraphs Char"/>
    <w:basedOn w:val="DefaultParagraphFont"/>
    <w:link w:val="DecisionParagraphs"/>
    <w:rsid w:val="001D483F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F03B03"/>
    <w:pPr>
      <w:ind w:left="720"/>
      <w:contextualSpacing/>
    </w:pPr>
  </w:style>
  <w:style w:type="table" w:styleId="TableGrid">
    <w:name w:val="Table Grid"/>
    <w:basedOn w:val="TableNormal"/>
    <w:rsid w:val="00766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E6407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B633A2"/>
    <w:pPr>
      <w:keepNext/>
      <w:numPr>
        <w:numId w:val="11"/>
      </w:numPr>
      <w:ind w:left="567" w:hanging="567"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2A551B"/>
    <w:pPr>
      <w:tabs>
        <w:tab w:val="left" w:pos="1134"/>
        <w:tab w:val="right" w:leader="dot" w:pos="9639"/>
      </w:tabs>
      <w:spacing w:before="120"/>
      <w:ind w:left="567" w:right="851"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1D483F"/>
    <w:pPr>
      <w:tabs>
        <w:tab w:val="right" w:leader="dot" w:pos="9639"/>
      </w:tabs>
      <w:spacing w:before="120"/>
      <w:ind w:left="284" w:right="284" w:hanging="284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633A2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1D483F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1D483F"/>
    <w:rPr>
      <w:rFonts w:ascii="Arial" w:hAnsi="Arial"/>
      <w:lang w:val="fr-FR"/>
    </w:rPr>
  </w:style>
  <w:style w:type="character" w:customStyle="1" w:styleId="DecisionParagraphsChar">
    <w:name w:val="DecisionParagraphs Char"/>
    <w:basedOn w:val="DefaultParagraphFont"/>
    <w:link w:val="DecisionParagraphs"/>
    <w:rsid w:val="001D483F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F03B03"/>
    <w:pPr>
      <w:ind w:left="720"/>
      <w:contextualSpacing/>
    </w:pPr>
  </w:style>
  <w:style w:type="table" w:styleId="TableGrid">
    <w:name w:val="Table Grid"/>
    <w:basedOn w:val="TableNormal"/>
    <w:rsid w:val="00766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E640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BE86D-3090-4AEB-8928-C152E11F4E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9FF6E4-7BC6-4429-9A26-761FD91C37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91EBD2-48ED-4BBA-992D-CB9F7F3E39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743265-1A80-4F5D-951C-5BA0206F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1307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CAJ/70/</vt:lpstr>
    </vt:vector>
  </TitlesOfParts>
  <Company>UPOV</Company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CAJ/70/</dc:title>
  <dc:creator>MAY Jessica</dc:creator>
  <cp:keywords>DB/ko</cp:keywords>
  <cp:lastModifiedBy>LONG Victoria</cp:lastModifiedBy>
  <cp:revision>18</cp:revision>
  <cp:lastPrinted>2014-08-28T13:51:00Z</cp:lastPrinted>
  <dcterms:created xsi:type="dcterms:W3CDTF">2014-08-15T14:05:00Z</dcterms:created>
  <dcterms:modified xsi:type="dcterms:W3CDTF">2014-08-29T14:30:00Z</dcterms:modified>
</cp:coreProperties>
</file>