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08E0" w:rsidRPr="00456DF8" w:rsidTr="0049455A">
        <w:trPr>
          <w:trHeight w:val="1760"/>
        </w:trPr>
        <w:tc>
          <w:tcPr>
            <w:tcW w:w="4243" w:type="dxa"/>
          </w:tcPr>
          <w:p w:rsidR="004516A2" w:rsidRPr="002908E0" w:rsidRDefault="004516A2" w:rsidP="0049455A">
            <w:pPr>
              <w:rPr>
                <w:lang w:val="fr-FR"/>
              </w:rPr>
            </w:pPr>
          </w:p>
        </w:tc>
        <w:tc>
          <w:tcPr>
            <w:tcW w:w="1646" w:type="dxa"/>
            <w:vAlign w:val="center"/>
          </w:tcPr>
          <w:p w:rsidR="004516A2" w:rsidRPr="002908E0" w:rsidRDefault="004516A2" w:rsidP="0049455A">
            <w:pPr>
              <w:pStyle w:val="LogoUPOV"/>
              <w:rPr>
                <w:lang w:val="fr-FR"/>
              </w:rPr>
            </w:pPr>
            <w:r w:rsidRPr="002908E0">
              <w:rPr>
                <w:noProof/>
              </w:rPr>
              <w:drawing>
                <wp:inline distT="0" distB="0" distL="0" distR="0" wp14:anchorId="698BF7DA" wp14:editId="39B046E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516A2" w:rsidRPr="002908E0" w:rsidRDefault="004516A2" w:rsidP="0049455A">
            <w:pPr>
              <w:pStyle w:val="Lettrine"/>
              <w:rPr>
                <w:lang w:val="fr-FR"/>
              </w:rPr>
            </w:pPr>
            <w:r w:rsidRPr="002908E0">
              <w:rPr>
                <w:lang w:val="fr-FR"/>
              </w:rPr>
              <w:t>F</w:t>
            </w:r>
          </w:p>
          <w:p w:rsidR="004516A2" w:rsidRPr="002908E0" w:rsidRDefault="004516A2" w:rsidP="0049455A">
            <w:pPr>
              <w:pStyle w:val="Docoriginal"/>
              <w:jc w:val="left"/>
              <w:rPr>
                <w:lang w:val="fr-FR"/>
              </w:rPr>
            </w:pPr>
            <w:r w:rsidRPr="002908E0">
              <w:rPr>
                <w:lang w:val="fr-FR"/>
              </w:rPr>
              <w:t>CAJ/70/</w:t>
            </w:r>
            <w:bookmarkStart w:id="0" w:name="Code"/>
            <w:bookmarkEnd w:id="0"/>
            <w:r w:rsidRPr="002908E0">
              <w:rPr>
                <w:lang w:val="fr-FR"/>
              </w:rPr>
              <w:t>3</w:t>
            </w:r>
          </w:p>
          <w:p w:rsidR="004516A2" w:rsidRPr="002908E0" w:rsidRDefault="004516A2" w:rsidP="0049455A">
            <w:pPr>
              <w:pStyle w:val="Docoriginal"/>
              <w:jc w:val="left"/>
              <w:rPr>
                <w:lang w:val="fr-FR"/>
              </w:rPr>
            </w:pPr>
            <w:r w:rsidRPr="002908E0">
              <w:rPr>
                <w:rStyle w:val="StyleDoclangBold"/>
                <w:b/>
                <w:bCs/>
                <w:spacing w:val="0"/>
                <w:lang w:val="fr-FR"/>
              </w:rPr>
              <w:t>ORIGINAL :</w:t>
            </w:r>
            <w:r w:rsidRPr="002908E0">
              <w:rPr>
                <w:rStyle w:val="StyleDocoriginalNotBold1"/>
                <w:spacing w:val="0"/>
                <w:lang w:val="fr-FR"/>
              </w:rPr>
              <w:t xml:space="preserve"> </w:t>
            </w:r>
            <w:bookmarkStart w:id="1" w:name="Original"/>
            <w:bookmarkEnd w:id="1"/>
            <w:r w:rsidRPr="002908E0">
              <w:rPr>
                <w:b w:val="0"/>
                <w:spacing w:val="0"/>
                <w:lang w:val="fr-FR"/>
              </w:rPr>
              <w:t>anglais</w:t>
            </w:r>
          </w:p>
          <w:p w:rsidR="004516A2" w:rsidRPr="002908E0" w:rsidRDefault="004516A2" w:rsidP="008528F1">
            <w:pPr>
              <w:pStyle w:val="Docoriginal"/>
              <w:jc w:val="left"/>
              <w:rPr>
                <w:lang w:val="fr-FR"/>
              </w:rPr>
            </w:pPr>
            <w:r w:rsidRPr="002908E0">
              <w:rPr>
                <w:spacing w:val="0"/>
                <w:lang w:val="fr-FR"/>
              </w:rPr>
              <w:t>DATE :</w:t>
            </w:r>
            <w:r w:rsidRPr="002908E0">
              <w:rPr>
                <w:b w:val="0"/>
                <w:spacing w:val="0"/>
                <w:lang w:val="fr-FR"/>
              </w:rPr>
              <w:t xml:space="preserve"> </w:t>
            </w:r>
            <w:bookmarkStart w:id="2" w:name="Date"/>
            <w:bookmarkEnd w:id="2"/>
            <w:r w:rsidR="008528F1" w:rsidRPr="008528F1">
              <w:rPr>
                <w:b w:val="0"/>
                <w:spacing w:val="0"/>
                <w:lang w:val="fr-FR"/>
              </w:rPr>
              <w:t>7</w:t>
            </w:r>
            <w:r w:rsidRPr="008528F1">
              <w:rPr>
                <w:rStyle w:val="StyleDocoriginalNotBold1"/>
                <w:spacing w:val="0"/>
                <w:lang w:val="fr-FR"/>
              </w:rPr>
              <w:t xml:space="preserve"> août 2014</w:t>
            </w:r>
          </w:p>
        </w:tc>
      </w:tr>
      <w:tr w:rsidR="002908E0" w:rsidRPr="00456DF8" w:rsidTr="0049455A">
        <w:tc>
          <w:tcPr>
            <w:tcW w:w="10131" w:type="dxa"/>
            <w:gridSpan w:val="3"/>
          </w:tcPr>
          <w:p w:rsidR="004516A2" w:rsidRPr="002908E0" w:rsidRDefault="004516A2" w:rsidP="0049455A">
            <w:pPr>
              <w:pStyle w:val="upove"/>
              <w:rPr>
                <w:sz w:val="28"/>
                <w:lang w:val="fr-FR"/>
              </w:rPr>
            </w:pPr>
            <w:r w:rsidRPr="002908E0">
              <w:rPr>
                <w:spacing w:val="6"/>
                <w:lang w:val="fr-FR"/>
              </w:rPr>
              <w:t>UNION INTERNATIONALE POUR LA PROTECTION DES OBTENTIONS VÉGÉTALES</w:t>
            </w:r>
          </w:p>
        </w:tc>
      </w:tr>
      <w:tr w:rsidR="002908E0" w:rsidRPr="002908E0" w:rsidTr="0049455A">
        <w:tc>
          <w:tcPr>
            <w:tcW w:w="10131" w:type="dxa"/>
            <w:gridSpan w:val="3"/>
          </w:tcPr>
          <w:p w:rsidR="004516A2" w:rsidRPr="002908E0" w:rsidRDefault="004516A2" w:rsidP="0049455A">
            <w:pPr>
              <w:pStyle w:val="Country"/>
              <w:rPr>
                <w:lang w:val="fr-FR"/>
              </w:rPr>
            </w:pPr>
            <w:r w:rsidRPr="002908E0">
              <w:rPr>
                <w:lang w:val="fr-FR"/>
              </w:rPr>
              <w:t>Genève</w:t>
            </w:r>
          </w:p>
        </w:tc>
      </w:tr>
    </w:tbl>
    <w:p w:rsidR="004516A2" w:rsidRPr="002908E0" w:rsidRDefault="004516A2" w:rsidP="004516A2">
      <w:pPr>
        <w:pStyle w:val="Sessiontc"/>
        <w:rPr>
          <w:lang w:val="fr-FR"/>
        </w:rPr>
      </w:pPr>
      <w:r w:rsidRPr="002908E0">
        <w:rPr>
          <w:lang w:val="fr-FR"/>
        </w:rPr>
        <w:t>Comité administratif et juridique</w:t>
      </w:r>
    </w:p>
    <w:p w:rsidR="004516A2" w:rsidRPr="002908E0" w:rsidRDefault="004516A2" w:rsidP="004516A2">
      <w:pPr>
        <w:pStyle w:val="Sessiontcplacedate"/>
        <w:rPr>
          <w:lang w:val="fr-FR"/>
        </w:rPr>
      </w:pPr>
      <w:r w:rsidRPr="002908E0">
        <w:rPr>
          <w:lang w:val="fr-FR"/>
        </w:rPr>
        <w:t>Soixante</w:t>
      </w:r>
      <w:r w:rsidR="0049455A" w:rsidRPr="002908E0">
        <w:rPr>
          <w:lang w:val="fr-FR"/>
        </w:rPr>
        <w:noBreakHyphen/>
      </w:r>
      <w:r w:rsidRPr="002908E0">
        <w:rPr>
          <w:lang w:val="fr-FR"/>
        </w:rPr>
        <w:t>dixième session</w:t>
      </w:r>
      <w:r w:rsidRPr="002908E0">
        <w:rPr>
          <w:lang w:val="fr-FR"/>
        </w:rPr>
        <w:br/>
        <w:t>Genève, 13 octobre 2014</w:t>
      </w:r>
    </w:p>
    <w:p w:rsidR="00D30F00" w:rsidRPr="002908E0" w:rsidRDefault="00616630" w:rsidP="00616630">
      <w:pPr>
        <w:pStyle w:val="Titleofdoc0"/>
        <w:rPr>
          <w:lang w:val="fr-FR"/>
        </w:rPr>
      </w:pPr>
      <w:r w:rsidRPr="002908E0">
        <w:rPr>
          <w:lang w:val="fr-FR"/>
        </w:rPr>
        <w:t>Révision du document UPOV/INF/5 “Bulletin type de l</w:t>
      </w:r>
      <w:r w:rsidR="004516A2" w:rsidRPr="002908E0">
        <w:rPr>
          <w:lang w:val="fr-FR"/>
        </w:rPr>
        <w:t>’</w:t>
      </w:r>
      <w:r w:rsidRPr="002908E0">
        <w:rPr>
          <w:lang w:val="fr-FR"/>
        </w:rPr>
        <w:t>UPOV de la protection des obtentions végétales”</w:t>
      </w:r>
    </w:p>
    <w:p w:rsidR="00D30F00" w:rsidRPr="002908E0" w:rsidRDefault="00616630" w:rsidP="00FB2BCB">
      <w:pPr>
        <w:pStyle w:val="preparedby1"/>
        <w:rPr>
          <w:lang w:val="fr-FR"/>
        </w:rPr>
      </w:pPr>
      <w:bookmarkStart w:id="3" w:name="Prepared"/>
      <w:bookmarkEnd w:id="3"/>
      <w:r w:rsidRPr="002908E0">
        <w:rPr>
          <w:lang w:val="fr-FR"/>
        </w:rPr>
        <w:t>Document établi par le Bureau de l</w:t>
      </w:r>
      <w:r w:rsidR="004516A2" w:rsidRPr="002908E0">
        <w:rPr>
          <w:lang w:val="fr-FR"/>
        </w:rPr>
        <w:t>’</w:t>
      </w:r>
      <w:r w:rsidRPr="002908E0">
        <w:rPr>
          <w:lang w:val="fr-FR"/>
        </w:rPr>
        <w:t xml:space="preserve">Union  </w:t>
      </w:r>
      <w:r w:rsidR="00FB2BCB" w:rsidRPr="002908E0">
        <w:rPr>
          <w:lang w:val="fr-FR"/>
        </w:rPr>
        <w:br/>
      </w:r>
      <w:r w:rsidR="00FB2BCB" w:rsidRPr="002908E0">
        <w:rPr>
          <w:lang w:val="fr-FR"/>
        </w:rPr>
        <w:br/>
      </w:r>
      <w:r w:rsidRPr="00A36618">
        <w:rPr>
          <w:color w:val="A6A6A6" w:themeColor="background1" w:themeShade="A6"/>
          <w:lang w:val="fr-CH"/>
        </w:rPr>
        <w:t>Avertissement : le présent document ne représente pas les principes ou les orientations de l</w:t>
      </w:r>
      <w:r w:rsidR="004516A2" w:rsidRPr="00A36618">
        <w:rPr>
          <w:color w:val="A6A6A6" w:themeColor="background1" w:themeShade="A6"/>
          <w:lang w:val="fr-CH"/>
        </w:rPr>
        <w:t>’</w:t>
      </w:r>
      <w:r w:rsidRPr="00A36618">
        <w:rPr>
          <w:color w:val="A6A6A6" w:themeColor="background1" w:themeShade="A6"/>
          <w:lang w:val="fr-CH"/>
        </w:rPr>
        <w:t>UPOV</w:t>
      </w:r>
    </w:p>
    <w:p w:rsidR="00D30F00" w:rsidRPr="002908E0" w:rsidRDefault="00FA0F51" w:rsidP="00616630">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616630" w:rsidRPr="002908E0">
        <w:rPr>
          <w:lang w:val="fr-FR"/>
        </w:rPr>
        <w:t>L</w:t>
      </w:r>
      <w:r w:rsidR="004516A2" w:rsidRPr="002908E0">
        <w:rPr>
          <w:lang w:val="fr-FR"/>
        </w:rPr>
        <w:t>’</w:t>
      </w:r>
      <w:r w:rsidR="00616630" w:rsidRPr="002908E0">
        <w:rPr>
          <w:lang w:val="fr-FR"/>
        </w:rPr>
        <w:t>objet du présent document est d</w:t>
      </w:r>
      <w:r w:rsidR="004516A2" w:rsidRPr="002908E0">
        <w:rPr>
          <w:lang w:val="fr-FR"/>
        </w:rPr>
        <w:t>’</w:t>
      </w:r>
      <w:r w:rsidR="00616630" w:rsidRPr="002908E0">
        <w:rPr>
          <w:lang w:val="fr-FR"/>
        </w:rPr>
        <w:t xml:space="preserve">examiner les faits nouveaux pouvant présenter un intérêt </w:t>
      </w:r>
      <w:r w:rsidR="00035473" w:rsidRPr="002908E0">
        <w:rPr>
          <w:lang w:val="fr-FR"/>
        </w:rPr>
        <w:t xml:space="preserve">pour </w:t>
      </w:r>
      <w:r w:rsidR="00616630" w:rsidRPr="002908E0">
        <w:rPr>
          <w:lang w:val="fr-FR"/>
        </w:rPr>
        <w:t>la mise à jour du document UPOV/INF/5 “Bulletin type de l</w:t>
      </w:r>
      <w:r w:rsidR="004516A2" w:rsidRPr="002908E0">
        <w:rPr>
          <w:lang w:val="fr-FR"/>
        </w:rPr>
        <w:t>’</w:t>
      </w:r>
      <w:r w:rsidR="00616630" w:rsidRPr="002908E0">
        <w:rPr>
          <w:lang w:val="fr-FR"/>
        </w:rPr>
        <w:t>UPOV de la protection des obtentions végétales”, ainsi qu</w:t>
      </w:r>
      <w:r w:rsidR="004516A2" w:rsidRPr="002908E0">
        <w:rPr>
          <w:lang w:val="fr-FR"/>
        </w:rPr>
        <w:t>’</w:t>
      </w:r>
      <w:r w:rsidR="00616630" w:rsidRPr="002908E0">
        <w:rPr>
          <w:lang w:val="fr-FR"/>
        </w:rPr>
        <w:t>une proposition concernant la révision du</w:t>
      </w:r>
      <w:r w:rsidR="00035473" w:rsidRPr="002908E0">
        <w:rPr>
          <w:lang w:val="fr-FR"/>
        </w:rPr>
        <w:t>dit document</w:t>
      </w:r>
      <w:r w:rsidR="00616630" w:rsidRPr="002908E0">
        <w:rPr>
          <w:lang w:val="fr-FR"/>
        </w:rPr>
        <w:t>.</w:t>
      </w:r>
    </w:p>
    <w:p w:rsidR="00D30F00" w:rsidRPr="002908E0" w:rsidRDefault="00D30F00" w:rsidP="00FA0F51">
      <w:pPr>
        <w:rPr>
          <w:lang w:val="fr-FR"/>
        </w:rPr>
      </w:pPr>
    </w:p>
    <w:p w:rsidR="00D30F00" w:rsidRPr="002908E0" w:rsidRDefault="00D30F00" w:rsidP="00FA0F51">
      <w:pPr>
        <w:rPr>
          <w:lang w:val="fr-FR"/>
        </w:rPr>
      </w:pPr>
    </w:p>
    <w:p w:rsidR="00D30F00" w:rsidRPr="002908E0" w:rsidRDefault="00616630" w:rsidP="00616630">
      <w:pPr>
        <w:rPr>
          <w:u w:val="single"/>
          <w:lang w:val="fr-FR"/>
        </w:rPr>
      </w:pPr>
      <w:r w:rsidRPr="002908E0">
        <w:rPr>
          <w:u w:val="single"/>
          <w:lang w:val="fr-FR"/>
        </w:rPr>
        <w:t>Table des matières</w:t>
      </w:r>
      <w:r w:rsidR="00C17CEA" w:rsidRPr="002908E0">
        <w:rPr>
          <w:u w:val="single"/>
          <w:lang w:val="fr-FR"/>
        </w:rPr>
        <w:t xml:space="preserve"> </w:t>
      </w:r>
    </w:p>
    <w:p w:rsidR="00D30F00" w:rsidRPr="002908E0" w:rsidRDefault="00D30F00" w:rsidP="00FA0F51">
      <w:pPr>
        <w:rPr>
          <w:sz w:val="18"/>
          <w:szCs w:val="18"/>
          <w:u w:val="single"/>
          <w:lang w:val="fr-FR"/>
        </w:rPr>
      </w:pPr>
    </w:p>
    <w:p w:rsidR="00627261" w:rsidRPr="002908E0" w:rsidRDefault="000234A0">
      <w:pPr>
        <w:pStyle w:val="TOC1"/>
        <w:rPr>
          <w:rFonts w:asciiTheme="minorHAnsi" w:eastAsiaTheme="minorEastAsia" w:hAnsiTheme="minorHAnsi" w:cstheme="minorBidi"/>
          <w:caps w:val="0"/>
          <w:sz w:val="22"/>
          <w:szCs w:val="22"/>
          <w:lang w:val="fr-FR"/>
        </w:rPr>
      </w:pPr>
      <w:r w:rsidRPr="002908E0">
        <w:rPr>
          <w:u w:val="single"/>
          <w:lang w:val="fr-FR"/>
        </w:rPr>
        <w:fldChar w:fldCharType="begin"/>
      </w:r>
      <w:r w:rsidRPr="002908E0">
        <w:rPr>
          <w:u w:val="single"/>
          <w:lang w:val="fr-FR"/>
        </w:rPr>
        <w:instrText xml:space="preserve"> TOC \o "1-2" \h \z \u </w:instrText>
      </w:r>
      <w:r w:rsidRPr="002908E0">
        <w:rPr>
          <w:u w:val="single"/>
          <w:lang w:val="fr-FR"/>
        </w:rPr>
        <w:fldChar w:fldCharType="separate"/>
      </w:r>
      <w:hyperlink w:anchor="_Toc395860238" w:history="1">
        <w:r w:rsidR="00627261" w:rsidRPr="002908E0">
          <w:rPr>
            <w:rStyle w:val="Hyperlink"/>
            <w:color w:val="auto"/>
            <w:lang w:val="fr-FR"/>
          </w:rPr>
          <w:t>I.</w:t>
        </w:r>
        <w:r w:rsidR="00627261" w:rsidRPr="002908E0">
          <w:rPr>
            <w:rFonts w:asciiTheme="minorHAnsi" w:eastAsiaTheme="minorEastAsia" w:hAnsiTheme="minorHAnsi" w:cstheme="minorBidi"/>
            <w:caps w:val="0"/>
            <w:sz w:val="22"/>
            <w:szCs w:val="22"/>
            <w:lang w:val="fr-FR"/>
          </w:rPr>
          <w:tab/>
        </w:r>
        <w:r w:rsidR="00627261" w:rsidRPr="002908E0">
          <w:rPr>
            <w:rStyle w:val="Hyperlink"/>
            <w:color w:val="auto"/>
            <w:lang w:val="fr-FR"/>
          </w:rPr>
          <w:t>INTRODUCTION</w:t>
        </w:r>
        <w:r w:rsidR="00627261" w:rsidRPr="002908E0">
          <w:rPr>
            <w:webHidden/>
            <w:lang w:val="fr-FR"/>
          </w:rPr>
          <w:tab/>
        </w:r>
        <w:r w:rsidR="00627261" w:rsidRPr="002908E0">
          <w:rPr>
            <w:webHidden/>
            <w:lang w:val="fr-FR"/>
          </w:rPr>
          <w:fldChar w:fldCharType="begin"/>
        </w:r>
        <w:r w:rsidR="00627261" w:rsidRPr="002908E0">
          <w:rPr>
            <w:webHidden/>
            <w:lang w:val="fr-FR"/>
          </w:rPr>
          <w:instrText xml:space="preserve"> PAGEREF _Toc395860238 \h </w:instrText>
        </w:r>
        <w:r w:rsidR="00627261" w:rsidRPr="002908E0">
          <w:rPr>
            <w:webHidden/>
            <w:lang w:val="fr-FR"/>
          </w:rPr>
        </w:r>
        <w:r w:rsidR="00627261" w:rsidRPr="002908E0">
          <w:rPr>
            <w:webHidden/>
            <w:lang w:val="fr-FR"/>
          </w:rPr>
          <w:fldChar w:fldCharType="separate"/>
        </w:r>
        <w:r w:rsidR="002142C8">
          <w:rPr>
            <w:webHidden/>
            <w:lang w:val="fr-FR"/>
          </w:rPr>
          <w:t>1</w:t>
        </w:r>
        <w:r w:rsidR="00627261" w:rsidRPr="002908E0">
          <w:rPr>
            <w:webHidden/>
            <w:lang w:val="fr-FR"/>
          </w:rPr>
          <w:fldChar w:fldCharType="end"/>
        </w:r>
      </w:hyperlink>
    </w:p>
    <w:p w:rsidR="00627261" w:rsidRPr="002908E0" w:rsidRDefault="00456DF8">
      <w:pPr>
        <w:pStyle w:val="TOC1"/>
        <w:rPr>
          <w:rFonts w:asciiTheme="minorHAnsi" w:eastAsiaTheme="minorEastAsia" w:hAnsiTheme="minorHAnsi" w:cstheme="minorBidi"/>
          <w:caps w:val="0"/>
          <w:sz w:val="22"/>
          <w:szCs w:val="22"/>
          <w:lang w:val="fr-FR"/>
        </w:rPr>
      </w:pPr>
      <w:hyperlink w:anchor="_Toc395860239" w:history="1">
        <w:r w:rsidR="00627261" w:rsidRPr="002908E0">
          <w:rPr>
            <w:rStyle w:val="Hyperlink"/>
            <w:color w:val="auto"/>
            <w:lang w:val="fr-FR"/>
          </w:rPr>
          <w:t xml:space="preserve">II. </w:t>
        </w:r>
        <w:r w:rsidR="00627261" w:rsidRPr="002908E0">
          <w:rPr>
            <w:rFonts w:asciiTheme="minorHAnsi" w:eastAsiaTheme="minorEastAsia" w:hAnsiTheme="minorHAnsi" w:cstheme="minorBidi"/>
            <w:caps w:val="0"/>
            <w:sz w:val="22"/>
            <w:szCs w:val="22"/>
            <w:lang w:val="fr-FR"/>
          </w:rPr>
          <w:tab/>
        </w:r>
        <w:r w:rsidR="00627261" w:rsidRPr="002908E0">
          <w:rPr>
            <w:rStyle w:val="Hyperlink"/>
            <w:color w:val="auto"/>
            <w:lang w:val="fr-FR"/>
          </w:rPr>
          <w:t>questions pertinentes concernant la mise à jour du DOCUMENT UPOV/INF/5</w:t>
        </w:r>
        <w:r w:rsidR="00627261" w:rsidRPr="002908E0">
          <w:rPr>
            <w:webHidden/>
            <w:lang w:val="fr-FR"/>
          </w:rPr>
          <w:tab/>
        </w:r>
        <w:r w:rsidR="00627261" w:rsidRPr="002908E0">
          <w:rPr>
            <w:webHidden/>
            <w:lang w:val="fr-FR"/>
          </w:rPr>
          <w:fldChar w:fldCharType="begin"/>
        </w:r>
        <w:r w:rsidR="00627261" w:rsidRPr="002908E0">
          <w:rPr>
            <w:webHidden/>
            <w:lang w:val="fr-FR"/>
          </w:rPr>
          <w:instrText xml:space="preserve"> PAGEREF _Toc395860239 \h </w:instrText>
        </w:r>
        <w:r w:rsidR="00627261" w:rsidRPr="002908E0">
          <w:rPr>
            <w:webHidden/>
            <w:lang w:val="fr-FR"/>
          </w:rPr>
        </w:r>
        <w:r w:rsidR="00627261" w:rsidRPr="002908E0">
          <w:rPr>
            <w:webHidden/>
            <w:lang w:val="fr-FR"/>
          </w:rPr>
          <w:fldChar w:fldCharType="separate"/>
        </w:r>
        <w:r w:rsidR="002142C8">
          <w:rPr>
            <w:webHidden/>
            <w:lang w:val="fr-FR"/>
          </w:rPr>
          <w:t>2</w:t>
        </w:r>
        <w:r w:rsidR="00627261" w:rsidRPr="002908E0">
          <w:rPr>
            <w:webHidden/>
            <w:lang w:val="fr-FR"/>
          </w:rPr>
          <w:fldChar w:fldCharType="end"/>
        </w:r>
      </w:hyperlink>
    </w:p>
    <w:p w:rsidR="00627261" w:rsidRPr="002908E0" w:rsidRDefault="00456DF8">
      <w:pPr>
        <w:pStyle w:val="TOC2"/>
        <w:rPr>
          <w:rFonts w:asciiTheme="minorHAnsi" w:eastAsiaTheme="minorEastAsia" w:hAnsiTheme="minorHAnsi" w:cstheme="minorBidi"/>
          <w:sz w:val="22"/>
          <w:szCs w:val="22"/>
          <w:lang w:val="fr-FR"/>
        </w:rPr>
      </w:pPr>
      <w:hyperlink w:anchor="_Toc395860240" w:history="1">
        <w:r w:rsidR="00627261" w:rsidRPr="002908E0">
          <w:rPr>
            <w:rStyle w:val="Hyperlink"/>
            <w:color w:val="auto"/>
            <w:lang w:val="fr-FR"/>
          </w:rPr>
          <w:t>Élaboration d’un prototype de formulaire électronique</w:t>
        </w:r>
        <w:r w:rsidR="00627261" w:rsidRPr="002908E0">
          <w:rPr>
            <w:webHidden/>
            <w:lang w:val="fr-FR"/>
          </w:rPr>
          <w:tab/>
        </w:r>
        <w:r w:rsidR="00627261" w:rsidRPr="002908E0">
          <w:rPr>
            <w:webHidden/>
            <w:lang w:val="fr-FR"/>
          </w:rPr>
          <w:fldChar w:fldCharType="begin"/>
        </w:r>
        <w:r w:rsidR="00627261" w:rsidRPr="002908E0">
          <w:rPr>
            <w:webHidden/>
            <w:lang w:val="fr-FR"/>
          </w:rPr>
          <w:instrText xml:space="preserve"> PAGEREF _Toc395860240 \h </w:instrText>
        </w:r>
        <w:r w:rsidR="00627261" w:rsidRPr="002908E0">
          <w:rPr>
            <w:webHidden/>
            <w:lang w:val="fr-FR"/>
          </w:rPr>
        </w:r>
        <w:r w:rsidR="00627261" w:rsidRPr="002908E0">
          <w:rPr>
            <w:webHidden/>
            <w:lang w:val="fr-FR"/>
          </w:rPr>
          <w:fldChar w:fldCharType="separate"/>
        </w:r>
        <w:r w:rsidR="002142C8">
          <w:rPr>
            <w:webHidden/>
            <w:lang w:val="fr-FR"/>
          </w:rPr>
          <w:t>2</w:t>
        </w:r>
        <w:r w:rsidR="00627261" w:rsidRPr="002908E0">
          <w:rPr>
            <w:webHidden/>
            <w:lang w:val="fr-FR"/>
          </w:rPr>
          <w:fldChar w:fldCharType="end"/>
        </w:r>
      </w:hyperlink>
    </w:p>
    <w:p w:rsidR="00627261" w:rsidRPr="002908E0" w:rsidRDefault="00456DF8">
      <w:pPr>
        <w:pStyle w:val="TOC2"/>
        <w:rPr>
          <w:rFonts w:asciiTheme="minorHAnsi" w:eastAsiaTheme="minorEastAsia" w:hAnsiTheme="minorHAnsi" w:cstheme="minorBidi"/>
          <w:sz w:val="22"/>
          <w:szCs w:val="22"/>
          <w:lang w:val="fr-FR"/>
        </w:rPr>
      </w:pPr>
      <w:hyperlink w:anchor="_Toc395860241" w:history="1">
        <w:r w:rsidR="00627261" w:rsidRPr="002908E0">
          <w:rPr>
            <w:rStyle w:val="Hyperlink"/>
            <w:color w:val="auto"/>
            <w:lang w:val="fr-FR"/>
          </w:rPr>
          <w:t>Questions relatives aux variétés essentiellement dérivées</w:t>
        </w:r>
        <w:r w:rsidR="00627261" w:rsidRPr="002908E0">
          <w:rPr>
            <w:webHidden/>
            <w:lang w:val="fr-FR"/>
          </w:rPr>
          <w:tab/>
        </w:r>
        <w:r w:rsidR="00627261" w:rsidRPr="002908E0">
          <w:rPr>
            <w:webHidden/>
            <w:lang w:val="fr-FR"/>
          </w:rPr>
          <w:fldChar w:fldCharType="begin"/>
        </w:r>
        <w:r w:rsidR="00627261" w:rsidRPr="002908E0">
          <w:rPr>
            <w:webHidden/>
            <w:lang w:val="fr-FR"/>
          </w:rPr>
          <w:instrText xml:space="preserve"> PAGEREF _Toc395860241 \h </w:instrText>
        </w:r>
        <w:r w:rsidR="00627261" w:rsidRPr="002908E0">
          <w:rPr>
            <w:webHidden/>
            <w:lang w:val="fr-FR"/>
          </w:rPr>
        </w:r>
        <w:r w:rsidR="00627261" w:rsidRPr="002908E0">
          <w:rPr>
            <w:webHidden/>
            <w:lang w:val="fr-FR"/>
          </w:rPr>
          <w:fldChar w:fldCharType="separate"/>
        </w:r>
        <w:r w:rsidR="002142C8">
          <w:rPr>
            <w:webHidden/>
            <w:lang w:val="fr-FR"/>
          </w:rPr>
          <w:t>2</w:t>
        </w:r>
        <w:r w:rsidR="00627261" w:rsidRPr="002908E0">
          <w:rPr>
            <w:webHidden/>
            <w:lang w:val="fr-FR"/>
          </w:rPr>
          <w:fldChar w:fldCharType="end"/>
        </w:r>
      </w:hyperlink>
    </w:p>
    <w:p w:rsidR="00627261" w:rsidRPr="002908E0" w:rsidRDefault="00456DF8">
      <w:pPr>
        <w:pStyle w:val="TOC2"/>
        <w:rPr>
          <w:rFonts w:asciiTheme="minorHAnsi" w:eastAsiaTheme="minorEastAsia" w:hAnsiTheme="minorHAnsi" w:cstheme="minorBidi"/>
          <w:sz w:val="22"/>
          <w:szCs w:val="22"/>
          <w:lang w:val="fr-FR"/>
        </w:rPr>
      </w:pPr>
      <w:hyperlink w:anchor="_Toc395860242" w:history="1">
        <w:r w:rsidR="00627261" w:rsidRPr="002908E0">
          <w:rPr>
            <w:rStyle w:val="Hyperlink"/>
            <w:color w:val="auto"/>
            <w:lang w:val="fr-FR"/>
          </w:rPr>
          <w:t>Questions concernant la fréquence de la communication des données et l’exhaustivité des bases de données</w:t>
        </w:r>
        <w:r w:rsidR="00627261" w:rsidRPr="002908E0">
          <w:rPr>
            <w:webHidden/>
            <w:lang w:val="fr-FR"/>
          </w:rPr>
          <w:tab/>
        </w:r>
        <w:r w:rsidR="00627261" w:rsidRPr="002908E0">
          <w:rPr>
            <w:webHidden/>
            <w:lang w:val="fr-FR"/>
          </w:rPr>
          <w:fldChar w:fldCharType="begin"/>
        </w:r>
        <w:r w:rsidR="00627261" w:rsidRPr="002908E0">
          <w:rPr>
            <w:webHidden/>
            <w:lang w:val="fr-FR"/>
          </w:rPr>
          <w:instrText xml:space="preserve"> PAGEREF _Toc395860242 \h </w:instrText>
        </w:r>
        <w:r w:rsidR="00627261" w:rsidRPr="002908E0">
          <w:rPr>
            <w:webHidden/>
            <w:lang w:val="fr-FR"/>
          </w:rPr>
        </w:r>
        <w:r w:rsidR="00627261" w:rsidRPr="002908E0">
          <w:rPr>
            <w:webHidden/>
            <w:lang w:val="fr-FR"/>
          </w:rPr>
          <w:fldChar w:fldCharType="separate"/>
        </w:r>
        <w:r w:rsidR="002142C8">
          <w:rPr>
            <w:webHidden/>
            <w:lang w:val="fr-FR"/>
          </w:rPr>
          <w:t>3</w:t>
        </w:r>
        <w:r w:rsidR="00627261" w:rsidRPr="002908E0">
          <w:rPr>
            <w:webHidden/>
            <w:lang w:val="fr-FR"/>
          </w:rPr>
          <w:fldChar w:fldCharType="end"/>
        </w:r>
      </w:hyperlink>
    </w:p>
    <w:p w:rsidR="00627261" w:rsidRPr="002908E0" w:rsidRDefault="00456DF8">
      <w:pPr>
        <w:pStyle w:val="TOC2"/>
        <w:rPr>
          <w:rFonts w:asciiTheme="minorHAnsi" w:eastAsiaTheme="minorEastAsia" w:hAnsiTheme="minorHAnsi" w:cstheme="minorBidi"/>
          <w:sz w:val="22"/>
          <w:szCs w:val="22"/>
          <w:lang w:val="fr-FR"/>
        </w:rPr>
      </w:pPr>
      <w:hyperlink w:anchor="_Toc395860243" w:history="1">
        <w:r w:rsidR="00627261" w:rsidRPr="002908E0">
          <w:rPr>
            <w:rStyle w:val="Hyperlink"/>
            <w:color w:val="auto"/>
            <w:lang w:val="fr-FR"/>
          </w:rPr>
          <w:t>Cours d’enseignement à distance “Examen des demandes de droits d’obtenteur” (DL</w:t>
        </w:r>
        <w:r w:rsidR="00627261" w:rsidRPr="002908E0">
          <w:rPr>
            <w:rStyle w:val="Hyperlink"/>
            <w:color w:val="auto"/>
            <w:lang w:val="fr-FR"/>
          </w:rPr>
          <w:noBreakHyphen/>
          <w:t>305)</w:t>
        </w:r>
        <w:r w:rsidR="00627261" w:rsidRPr="002908E0">
          <w:rPr>
            <w:webHidden/>
            <w:lang w:val="fr-FR"/>
          </w:rPr>
          <w:tab/>
        </w:r>
        <w:r w:rsidR="00627261" w:rsidRPr="002908E0">
          <w:rPr>
            <w:webHidden/>
            <w:lang w:val="fr-FR"/>
          </w:rPr>
          <w:fldChar w:fldCharType="begin"/>
        </w:r>
        <w:r w:rsidR="00627261" w:rsidRPr="002908E0">
          <w:rPr>
            <w:webHidden/>
            <w:lang w:val="fr-FR"/>
          </w:rPr>
          <w:instrText xml:space="preserve"> PAGEREF _Toc395860243 \h </w:instrText>
        </w:r>
        <w:r w:rsidR="00627261" w:rsidRPr="002908E0">
          <w:rPr>
            <w:webHidden/>
            <w:lang w:val="fr-FR"/>
          </w:rPr>
        </w:r>
        <w:r w:rsidR="00627261" w:rsidRPr="002908E0">
          <w:rPr>
            <w:webHidden/>
            <w:lang w:val="fr-FR"/>
          </w:rPr>
          <w:fldChar w:fldCharType="separate"/>
        </w:r>
        <w:r w:rsidR="002142C8">
          <w:rPr>
            <w:webHidden/>
            <w:lang w:val="fr-FR"/>
          </w:rPr>
          <w:t>3</w:t>
        </w:r>
        <w:r w:rsidR="00627261" w:rsidRPr="002908E0">
          <w:rPr>
            <w:webHidden/>
            <w:lang w:val="fr-FR"/>
          </w:rPr>
          <w:fldChar w:fldCharType="end"/>
        </w:r>
      </w:hyperlink>
    </w:p>
    <w:p w:rsidR="00627261" w:rsidRPr="002908E0" w:rsidRDefault="00456DF8">
      <w:pPr>
        <w:pStyle w:val="TOC1"/>
        <w:rPr>
          <w:rFonts w:asciiTheme="minorHAnsi" w:eastAsiaTheme="minorEastAsia" w:hAnsiTheme="minorHAnsi" w:cstheme="minorBidi"/>
          <w:caps w:val="0"/>
          <w:sz w:val="22"/>
          <w:szCs w:val="22"/>
          <w:lang w:val="fr-FR"/>
        </w:rPr>
      </w:pPr>
      <w:hyperlink w:anchor="_Toc395860244" w:history="1">
        <w:r w:rsidR="00627261" w:rsidRPr="002908E0">
          <w:rPr>
            <w:rStyle w:val="Hyperlink"/>
            <w:color w:val="auto"/>
            <w:lang w:val="fr-FR"/>
          </w:rPr>
          <w:t xml:space="preserve">III. </w:t>
        </w:r>
        <w:r w:rsidR="00627261" w:rsidRPr="002908E0">
          <w:rPr>
            <w:rFonts w:asciiTheme="minorHAnsi" w:eastAsiaTheme="minorEastAsia" w:hAnsiTheme="minorHAnsi" w:cstheme="minorBidi"/>
            <w:caps w:val="0"/>
            <w:sz w:val="22"/>
            <w:szCs w:val="22"/>
            <w:lang w:val="fr-FR"/>
          </w:rPr>
          <w:tab/>
        </w:r>
        <w:r w:rsidR="00627261" w:rsidRPr="002908E0">
          <w:rPr>
            <w:rStyle w:val="Hyperlink"/>
            <w:color w:val="auto"/>
            <w:lang w:val="fr-FR"/>
          </w:rPr>
          <w:t>proposition concernant la mise à jour du DOCUMENT UPOV/INF/5</w:t>
        </w:r>
        <w:r w:rsidR="00627261" w:rsidRPr="002908E0">
          <w:rPr>
            <w:webHidden/>
            <w:lang w:val="fr-FR"/>
          </w:rPr>
          <w:tab/>
        </w:r>
        <w:r w:rsidR="00627261" w:rsidRPr="002908E0">
          <w:rPr>
            <w:webHidden/>
            <w:lang w:val="fr-FR"/>
          </w:rPr>
          <w:fldChar w:fldCharType="begin"/>
        </w:r>
        <w:r w:rsidR="00627261" w:rsidRPr="002908E0">
          <w:rPr>
            <w:webHidden/>
            <w:lang w:val="fr-FR"/>
          </w:rPr>
          <w:instrText xml:space="preserve"> PAGEREF _Toc395860244 \h </w:instrText>
        </w:r>
        <w:r w:rsidR="00627261" w:rsidRPr="002908E0">
          <w:rPr>
            <w:webHidden/>
            <w:lang w:val="fr-FR"/>
          </w:rPr>
        </w:r>
        <w:r w:rsidR="00627261" w:rsidRPr="002908E0">
          <w:rPr>
            <w:webHidden/>
            <w:lang w:val="fr-FR"/>
          </w:rPr>
          <w:fldChar w:fldCharType="separate"/>
        </w:r>
        <w:r w:rsidR="002142C8">
          <w:rPr>
            <w:webHidden/>
            <w:lang w:val="fr-FR"/>
          </w:rPr>
          <w:t>3</w:t>
        </w:r>
        <w:r w:rsidR="00627261" w:rsidRPr="002908E0">
          <w:rPr>
            <w:webHidden/>
            <w:lang w:val="fr-FR"/>
          </w:rPr>
          <w:fldChar w:fldCharType="end"/>
        </w:r>
      </w:hyperlink>
    </w:p>
    <w:p w:rsidR="00D30F00" w:rsidRPr="002908E0" w:rsidRDefault="000234A0" w:rsidP="00FA0F51">
      <w:pPr>
        <w:rPr>
          <w:noProof/>
          <w:u w:val="single"/>
          <w:lang w:val="fr-FR"/>
        </w:rPr>
      </w:pPr>
      <w:r w:rsidRPr="002908E0">
        <w:rPr>
          <w:noProof/>
          <w:u w:val="single"/>
          <w:lang w:val="fr-FR"/>
        </w:rPr>
        <w:fldChar w:fldCharType="end"/>
      </w:r>
    </w:p>
    <w:p w:rsidR="00D30F00" w:rsidRPr="002908E0" w:rsidRDefault="00D30F00" w:rsidP="00FA0F51">
      <w:pPr>
        <w:rPr>
          <w:noProof/>
          <w:u w:val="single"/>
          <w:lang w:val="fr-FR"/>
        </w:rPr>
      </w:pPr>
    </w:p>
    <w:p w:rsidR="00D30F00" w:rsidRPr="002908E0" w:rsidRDefault="00D30F00" w:rsidP="00FA0F51">
      <w:pPr>
        <w:rPr>
          <w:u w:val="single"/>
          <w:lang w:val="fr-FR"/>
        </w:rPr>
      </w:pPr>
    </w:p>
    <w:p w:rsidR="00D30F00" w:rsidRPr="002908E0" w:rsidRDefault="005901DF" w:rsidP="00616630">
      <w:pPr>
        <w:pStyle w:val="Heading1"/>
        <w:rPr>
          <w:lang w:val="fr-FR"/>
        </w:rPr>
      </w:pPr>
      <w:bookmarkStart w:id="4" w:name="_Toc395860238"/>
      <w:r w:rsidRPr="002908E0">
        <w:rPr>
          <w:lang w:val="fr-FR"/>
        </w:rPr>
        <w:t>I.</w:t>
      </w:r>
      <w:r w:rsidRPr="002908E0">
        <w:rPr>
          <w:lang w:val="fr-FR"/>
        </w:rPr>
        <w:tab/>
      </w:r>
      <w:r w:rsidR="00616630" w:rsidRPr="002908E0">
        <w:rPr>
          <w:lang w:val="fr-FR"/>
        </w:rPr>
        <w:t>INTRODUCTION</w:t>
      </w:r>
      <w:bookmarkEnd w:id="4"/>
    </w:p>
    <w:p w:rsidR="00D30F00" w:rsidRPr="002908E0" w:rsidRDefault="00D30F00" w:rsidP="00FA0F51">
      <w:pPr>
        <w:rPr>
          <w:u w:val="single"/>
          <w:lang w:val="fr-FR"/>
        </w:rPr>
      </w:pPr>
    </w:p>
    <w:p w:rsidR="00D30F00" w:rsidRPr="002908E0" w:rsidRDefault="00FA0F51" w:rsidP="00616630">
      <w:pPr>
        <w:rPr>
          <w:spacing w:val="-2"/>
          <w:szCs w:val="24"/>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616630" w:rsidRPr="002908E0">
        <w:rPr>
          <w:lang w:val="fr-FR"/>
        </w:rPr>
        <w:t>Le “Bulletin type de l</w:t>
      </w:r>
      <w:r w:rsidR="004516A2" w:rsidRPr="002908E0">
        <w:rPr>
          <w:lang w:val="fr-FR"/>
        </w:rPr>
        <w:t>’</w:t>
      </w:r>
      <w:r w:rsidR="00616630" w:rsidRPr="002908E0">
        <w:rPr>
          <w:lang w:val="fr-FR"/>
        </w:rPr>
        <w:t>UPOV de la protection des obtentions végétales” (document UPOV/INF/5) a été adopté par le Conseil le 18 octobre 1979 (voir les paragraphes 12 et 12a du document C/XIII/17).</w:t>
      </w:r>
      <w:r w:rsidRPr="002908E0">
        <w:rPr>
          <w:lang w:val="fr-FR"/>
        </w:rPr>
        <w:t xml:space="preserve">  </w:t>
      </w:r>
      <w:r w:rsidR="0049455A" w:rsidRPr="002908E0">
        <w:rPr>
          <w:lang w:val="fr-FR"/>
        </w:rPr>
        <w:t>Un </w:t>
      </w:r>
      <w:r w:rsidR="00616630" w:rsidRPr="002908E0">
        <w:rPr>
          <w:lang w:val="fr-FR"/>
        </w:rPr>
        <w:t xml:space="preserve">exemplaire du document UPOV/INF/5 est accessible dans la Collection UPOV (voir </w:t>
      </w:r>
      <w:hyperlink r:id="rId11" w:history="1">
        <w:r w:rsidR="00035473" w:rsidRPr="00C100A6">
          <w:rPr>
            <w:rStyle w:val="Hyperlink"/>
            <w:spacing w:val="-2"/>
            <w:szCs w:val="24"/>
            <w:lang w:val="fr-CH"/>
          </w:rPr>
          <w:t>http://www.upov.int/upov_collection/fr/</w:t>
        </w:r>
      </w:hyperlink>
      <w:r w:rsidR="00616630" w:rsidRPr="002908E0">
        <w:rPr>
          <w:lang w:val="fr-FR"/>
        </w:rPr>
        <w:t>).</w:t>
      </w:r>
    </w:p>
    <w:p w:rsidR="00D30F00" w:rsidRPr="002908E0" w:rsidRDefault="00D30F00" w:rsidP="00FA0F51">
      <w:pPr>
        <w:rPr>
          <w:i/>
          <w:spacing w:val="-2"/>
          <w:szCs w:val="24"/>
          <w:lang w:val="fr-FR"/>
        </w:rPr>
      </w:pPr>
    </w:p>
    <w:p w:rsidR="004516A2" w:rsidRPr="002908E0" w:rsidRDefault="00FA0F51" w:rsidP="00616630">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616630" w:rsidRPr="002908E0">
        <w:rPr>
          <w:lang w:val="fr-FR"/>
        </w:rPr>
        <w:t>À sa soixante</w:t>
      </w:r>
      <w:r w:rsidR="0049455A" w:rsidRPr="002908E0">
        <w:rPr>
          <w:lang w:val="fr-FR"/>
        </w:rPr>
        <w:noBreakHyphen/>
      </w:r>
      <w:r w:rsidR="00616630" w:rsidRPr="002908E0">
        <w:rPr>
          <w:lang w:val="fr-FR"/>
        </w:rPr>
        <w:t>quatrième session</w:t>
      </w:r>
      <w:r w:rsidR="00035473" w:rsidRPr="002908E0">
        <w:rPr>
          <w:lang w:val="fr-FR"/>
        </w:rPr>
        <w:t>,</w:t>
      </w:r>
      <w:r w:rsidR="00616630" w:rsidRPr="002908E0">
        <w:rPr>
          <w:lang w:val="fr-FR"/>
        </w:rPr>
        <w:t xml:space="preserve"> tenue à Genève le 17 octobre 2011, le CAJ est convenu que le document UPOV/INF/5 devai</w:t>
      </w:r>
      <w:r w:rsidR="004A7723" w:rsidRPr="002908E0">
        <w:rPr>
          <w:lang w:val="fr-FR"/>
        </w:rPr>
        <w:t>t être mis à jour de manière à</w:t>
      </w:r>
    </w:p>
    <w:p w:rsidR="00D30F00" w:rsidRPr="002908E0" w:rsidRDefault="00D30F00" w:rsidP="00FA0F51">
      <w:pPr>
        <w:rPr>
          <w:lang w:val="fr-FR"/>
        </w:rPr>
      </w:pPr>
    </w:p>
    <w:p w:rsidR="00D30F00" w:rsidRPr="00A36618" w:rsidRDefault="00A36618" w:rsidP="00A36618">
      <w:pPr>
        <w:rPr>
          <w:lang w:val="fr-FR"/>
        </w:rPr>
      </w:pPr>
      <w:r w:rsidRPr="00C100A6">
        <w:rPr>
          <w:lang w:val="fr-CH"/>
        </w:rPr>
        <w:tab/>
      </w:r>
      <w:proofErr w:type="gramStart"/>
      <w:r w:rsidRPr="00A36618">
        <w:rPr>
          <w:lang w:val="fr-CH"/>
        </w:rPr>
        <w:t>a</w:t>
      </w:r>
      <w:proofErr w:type="gramEnd"/>
      <w:r w:rsidRPr="00A36618">
        <w:rPr>
          <w:lang w:val="fr-CH"/>
        </w:rPr>
        <w:t>)</w:t>
      </w:r>
      <w:r w:rsidRPr="00A36618">
        <w:rPr>
          <w:lang w:val="fr-CH"/>
        </w:rPr>
        <w:tab/>
      </w:r>
      <w:r w:rsidR="00616630" w:rsidRPr="00A36618">
        <w:rPr>
          <w:lang w:val="fr-FR"/>
        </w:rPr>
        <w:t>tenir compte de l</w:t>
      </w:r>
      <w:r w:rsidR="004516A2" w:rsidRPr="00A36618">
        <w:rPr>
          <w:lang w:val="fr-FR"/>
        </w:rPr>
        <w:t>’</w:t>
      </w:r>
      <w:r w:rsidR="00616630" w:rsidRPr="00A36618">
        <w:rPr>
          <w:lang w:val="fr-FR"/>
        </w:rPr>
        <w:t>énoncé de l</w:t>
      </w:r>
      <w:r w:rsidR="004516A2" w:rsidRPr="00A36618">
        <w:rPr>
          <w:lang w:val="fr-FR"/>
        </w:rPr>
        <w:t>’</w:t>
      </w:r>
      <w:r w:rsidR="00616630" w:rsidRPr="00A36618">
        <w:rPr>
          <w:lang w:val="fr-FR"/>
        </w:rPr>
        <w:t xml:space="preserve">Acte de 1991 de la </w:t>
      </w:r>
      <w:r w:rsidR="004516A2" w:rsidRPr="00A36618">
        <w:rPr>
          <w:lang w:val="fr-FR"/>
        </w:rPr>
        <w:t>Convention UPOV</w:t>
      </w:r>
      <w:r w:rsidR="00616630" w:rsidRPr="00A36618">
        <w:rPr>
          <w:lang w:val="fr-FR"/>
        </w:rPr>
        <w:t xml:space="preserve"> et des documents récemment adoptés par le Conseil (tels que le formulaire type de l</w:t>
      </w:r>
      <w:r w:rsidR="004516A2" w:rsidRPr="00A36618">
        <w:rPr>
          <w:lang w:val="fr-FR"/>
        </w:rPr>
        <w:t>’</w:t>
      </w:r>
      <w:r w:rsidR="00616630" w:rsidRPr="00A36618">
        <w:rPr>
          <w:lang w:val="fr-FR"/>
        </w:rPr>
        <w:t>UPOV pour la demande de protection d</w:t>
      </w:r>
      <w:r w:rsidR="004516A2" w:rsidRPr="00A36618">
        <w:rPr>
          <w:lang w:val="fr-FR"/>
        </w:rPr>
        <w:t>’</w:t>
      </w:r>
      <w:r w:rsidR="00616630" w:rsidRPr="00A36618">
        <w:rPr>
          <w:lang w:val="fr-FR"/>
        </w:rPr>
        <w:t>une obtention végétale (document TGP/5 section 2/3));</w:t>
      </w:r>
    </w:p>
    <w:p w:rsidR="00D30F00" w:rsidRPr="002908E0" w:rsidRDefault="00D30F00" w:rsidP="00FA0F51">
      <w:pPr>
        <w:rPr>
          <w:lang w:val="fr-FR"/>
        </w:rPr>
      </w:pPr>
    </w:p>
    <w:p w:rsidR="00D30F00" w:rsidRPr="00A36618" w:rsidRDefault="00A36618" w:rsidP="00A36618">
      <w:pPr>
        <w:rPr>
          <w:lang w:val="fr-FR"/>
        </w:rPr>
      </w:pPr>
      <w:r w:rsidRPr="00FF2963">
        <w:rPr>
          <w:lang w:val="fr-CH"/>
        </w:rPr>
        <w:tab/>
      </w:r>
      <w:r w:rsidRPr="00A36618">
        <w:rPr>
          <w:lang w:val="fr-CH"/>
        </w:rPr>
        <w:t>b)</w:t>
      </w:r>
      <w:r w:rsidRPr="00A36618">
        <w:rPr>
          <w:lang w:val="fr-CH"/>
        </w:rPr>
        <w:tab/>
      </w:r>
      <w:r w:rsidR="00616630" w:rsidRPr="00A36618">
        <w:rPr>
          <w:lang w:val="fr-FR"/>
        </w:rPr>
        <w:t>examiner les faits nouveaux importants en ce qui concerne les formats des bulletins nationaux et régionaux des membres de l</w:t>
      </w:r>
      <w:r w:rsidR="004516A2" w:rsidRPr="00A36618">
        <w:rPr>
          <w:lang w:val="fr-FR"/>
        </w:rPr>
        <w:t>’</w:t>
      </w:r>
      <w:r w:rsidR="00616630" w:rsidRPr="00A36618">
        <w:rPr>
          <w:lang w:val="fr-FR"/>
        </w:rPr>
        <w:t>Union;  et</w:t>
      </w:r>
    </w:p>
    <w:p w:rsidR="00D30F00" w:rsidRPr="002908E0" w:rsidRDefault="00D30F00" w:rsidP="00FA0F51">
      <w:pPr>
        <w:rPr>
          <w:lang w:val="fr-FR"/>
        </w:rPr>
      </w:pPr>
    </w:p>
    <w:p w:rsidR="00D30F00" w:rsidRPr="00A36618" w:rsidRDefault="00A36618" w:rsidP="00A36618">
      <w:pPr>
        <w:spacing w:after="240"/>
        <w:rPr>
          <w:lang w:val="fr-FR"/>
        </w:rPr>
      </w:pPr>
      <w:r w:rsidRPr="00FF2963">
        <w:rPr>
          <w:lang w:val="fr-CH"/>
        </w:rPr>
        <w:tab/>
      </w:r>
      <w:r w:rsidRPr="00A36618">
        <w:rPr>
          <w:lang w:val="fr-CH"/>
        </w:rPr>
        <w:t>c)</w:t>
      </w:r>
      <w:r w:rsidRPr="00A36618">
        <w:rPr>
          <w:lang w:val="fr-CH"/>
        </w:rPr>
        <w:tab/>
      </w:r>
      <w:r w:rsidR="00616630" w:rsidRPr="00A36618">
        <w:rPr>
          <w:lang w:val="fr-FR"/>
        </w:rPr>
        <w:t>simplifier la structure du document (voir le paragraphe 8 du document CAJ/64/11 “Compte rendu des conclusions”).</w:t>
      </w:r>
    </w:p>
    <w:p w:rsidR="00D30F00" w:rsidRPr="002908E0" w:rsidRDefault="00FA0F51" w:rsidP="00616630">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616630" w:rsidRPr="002908E0">
        <w:rPr>
          <w:lang w:val="fr-FR"/>
        </w:rPr>
        <w:t>À sa soixante</w:t>
      </w:r>
      <w:r w:rsidR="0049455A" w:rsidRPr="002908E0">
        <w:rPr>
          <w:lang w:val="fr-FR"/>
        </w:rPr>
        <w:noBreakHyphen/>
      </w:r>
      <w:r w:rsidR="00616630" w:rsidRPr="002908E0">
        <w:rPr>
          <w:lang w:val="fr-FR"/>
        </w:rPr>
        <w:t>cinquième session,</w:t>
      </w:r>
      <w:r w:rsidR="004516A2" w:rsidRPr="002908E0">
        <w:rPr>
          <w:lang w:val="fr-FR"/>
        </w:rPr>
        <w:t xml:space="preserve"> le CAJ</w:t>
      </w:r>
      <w:r w:rsidR="00616630" w:rsidRPr="002908E0">
        <w:rPr>
          <w:lang w:val="fr-FR"/>
        </w:rPr>
        <w:t xml:space="preserve"> a approuvé le programme de mise à jour du document UPOV/INF/5 “Bulletin type de l</w:t>
      </w:r>
      <w:r w:rsidR="004516A2" w:rsidRPr="002908E0">
        <w:rPr>
          <w:lang w:val="fr-FR"/>
        </w:rPr>
        <w:t>’</w:t>
      </w:r>
      <w:r w:rsidR="00616630" w:rsidRPr="002908E0">
        <w:rPr>
          <w:lang w:val="fr-FR"/>
        </w:rPr>
        <w:t>UPOV de la protection des obtentions végétales” indiqué plus haut, et noté qu</w:t>
      </w:r>
      <w:r w:rsidR="004516A2" w:rsidRPr="002908E0">
        <w:rPr>
          <w:lang w:val="fr-FR"/>
        </w:rPr>
        <w:t>’</w:t>
      </w:r>
      <w:r w:rsidR="00616630" w:rsidRPr="002908E0">
        <w:rPr>
          <w:lang w:val="fr-FR"/>
        </w:rPr>
        <w:t>un document fournissant des informations générales sur les modifications proposées et un premier projet de la révision du document UPOV/INF/5</w:t>
      </w:r>
      <w:r w:rsidR="004A7723" w:rsidRPr="002908E0">
        <w:rPr>
          <w:lang w:val="fr-FR"/>
        </w:rPr>
        <w:t xml:space="preserve"> lui</w:t>
      </w:r>
      <w:r w:rsidR="00616630" w:rsidRPr="002908E0">
        <w:rPr>
          <w:lang w:val="fr-FR"/>
        </w:rPr>
        <w:t xml:space="preserve"> seraient présentés à sa soixante</w:t>
      </w:r>
      <w:r w:rsidR="0049455A" w:rsidRPr="002908E0">
        <w:rPr>
          <w:lang w:val="fr-FR"/>
        </w:rPr>
        <w:noBreakHyphen/>
      </w:r>
      <w:r w:rsidR="00616630" w:rsidRPr="002908E0">
        <w:rPr>
          <w:lang w:val="fr-FR"/>
        </w:rPr>
        <w:t>septième session qui se tiendrait en mars 2013 (voir le paragraphe 19 du document CAJ/65/12 “Compte rendu des conclusions”).</w:t>
      </w:r>
    </w:p>
    <w:p w:rsidR="00D30F00" w:rsidRPr="002908E0" w:rsidRDefault="00D30F00" w:rsidP="00FA0F51">
      <w:pPr>
        <w:rPr>
          <w:lang w:val="fr-FR"/>
        </w:rPr>
      </w:pPr>
    </w:p>
    <w:p w:rsidR="00D30F00" w:rsidRPr="002908E0" w:rsidRDefault="00FA0F51" w:rsidP="00616630">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616630" w:rsidRPr="002908E0">
        <w:rPr>
          <w:lang w:val="fr-FR"/>
        </w:rPr>
        <w:t>À sa soixante</w:t>
      </w:r>
      <w:r w:rsidR="0049455A" w:rsidRPr="002908E0">
        <w:rPr>
          <w:lang w:val="fr-FR"/>
        </w:rPr>
        <w:noBreakHyphen/>
      </w:r>
      <w:r w:rsidR="00616630" w:rsidRPr="002908E0">
        <w:rPr>
          <w:lang w:val="fr-FR"/>
        </w:rPr>
        <w:t>septième session, le CAJ est convenu d</w:t>
      </w:r>
      <w:r w:rsidR="004516A2" w:rsidRPr="002908E0">
        <w:rPr>
          <w:lang w:val="fr-FR"/>
        </w:rPr>
        <w:t>’</w:t>
      </w:r>
      <w:r w:rsidR="00616630" w:rsidRPr="002908E0">
        <w:rPr>
          <w:lang w:val="fr-FR"/>
        </w:rPr>
        <w:t>attendre que des progrès soient réalisés en ce qui concern</w:t>
      </w:r>
      <w:r w:rsidR="004A7723" w:rsidRPr="002908E0">
        <w:rPr>
          <w:lang w:val="fr-FR"/>
        </w:rPr>
        <w:t>ait</w:t>
      </w:r>
      <w:r w:rsidR="00616630" w:rsidRPr="002908E0">
        <w:rPr>
          <w:lang w:val="fr-FR"/>
        </w:rPr>
        <w:t xml:space="preserve"> l</w:t>
      </w:r>
      <w:r w:rsidR="004516A2" w:rsidRPr="002908E0">
        <w:rPr>
          <w:lang w:val="fr-FR"/>
        </w:rPr>
        <w:t>’</w:t>
      </w:r>
      <w:r w:rsidR="00616630" w:rsidRPr="002908E0">
        <w:rPr>
          <w:lang w:val="fr-FR"/>
        </w:rPr>
        <w:t>élaboration d</w:t>
      </w:r>
      <w:r w:rsidR="004516A2" w:rsidRPr="002908E0">
        <w:rPr>
          <w:lang w:val="fr-FR"/>
        </w:rPr>
        <w:t>’</w:t>
      </w:r>
      <w:r w:rsidR="00616630" w:rsidRPr="002908E0">
        <w:rPr>
          <w:lang w:val="fr-FR"/>
        </w:rPr>
        <w:t>un prototype de formulaire électronique, les questions relatives aux variétés essentiellement dérivées se posant après l</w:t>
      </w:r>
      <w:r w:rsidR="004516A2" w:rsidRPr="002908E0">
        <w:rPr>
          <w:lang w:val="fr-FR"/>
        </w:rPr>
        <w:t>’</w:t>
      </w:r>
      <w:r w:rsidR="00616630" w:rsidRPr="002908E0">
        <w:rPr>
          <w:lang w:val="fr-FR"/>
        </w:rPr>
        <w:t>octroi d</w:t>
      </w:r>
      <w:r w:rsidR="004516A2" w:rsidRPr="002908E0">
        <w:rPr>
          <w:lang w:val="fr-FR"/>
        </w:rPr>
        <w:t>’</w:t>
      </w:r>
      <w:r w:rsidR="00616630" w:rsidRPr="002908E0">
        <w:rPr>
          <w:lang w:val="fr-FR"/>
        </w:rPr>
        <w:t>un droit d</w:t>
      </w:r>
      <w:r w:rsidR="004516A2" w:rsidRPr="002908E0">
        <w:rPr>
          <w:lang w:val="fr-FR"/>
        </w:rPr>
        <w:t>’</w:t>
      </w:r>
      <w:r w:rsidR="00616630" w:rsidRPr="002908E0">
        <w:rPr>
          <w:lang w:val="fr-FR"/>
        </w:rPr>
        <w:t>obtenteur et le cours d</w:t>
      </w:r>
      <w:r w:rsidR="004516A2" w:rsidRPr="002908E0">
        <w:rPr>
          <w:lang w:val="fr-FR"/>
        </w:rPr>
        <w:t>’</w:t>
      </w:r>
      <w:r w:rsidR="00616630" w:rsidRPr="002908E0">
        <w:rPr>
          <w:lang w:val="fr-FR"/>
        </w:rPr>
        <w:t>enseignement à distance “Examen des demandes de droits d</w:t>
      </w:r>
      <w:r w:rsidR="004516A2" w:rsidRPr="002908E0">
        <w:rPr>
          <w:lang w:val="fr-FR"/>
        </w:rPr>
        <w:t>’</w:t>
      </w:r>
      <w:r w:rsidR="00616630" w:rsidRPr="002908E0">
        <w:rPr>
          <w:lang w:val="fr-FR"/>
        </w:rPr>
        <w:t>obtenteur” (DL</w:t>
      </w:r>
      <w:r w:rsidR="0049455A" w:rsidRPr="002908E0">
        <w:rPr>
          <w:lang w:val="fr-FR"/>
        </w:rPr>
        <w:noBreakHyphen/>
      </w:r>
      <w:r w:rsidR="00616630" w:rsidRPr="002908E0">
        <w:rPr>
          <w:lang w:val="fr-FR"/>
        </w:rPr>
        <w:t>305), pour évaluer les incidences éventuelles sur la révision du document UPOV/INF/5 (voir les paragraphes 6 à 9 du document CAJ/67/10 “</w:t>
      </w:r>
      <w:r w:rsidR="00A10AFA" w:rsidRPr="00A10AFA">
        <w:rPr>
          <w:lang w:val="fr-FR"/>
        </w:rPr>
        <w:t>Programme de mise à jour du document UPOV/INF/5 “Bulletin type de l’UPOV de la protection des obtentions végétales”</w:t>
      </w:r>
      <w:r w:rsidR="00A10AFA">
        <w:rPr>
          <w:lang w:val="fr-FR"/>
        </w:rPr>
        <w:t>).</w:t>
      </w:r>
      <w:r w:rsidR="00F31EEB" w:rsidRPr="002908E0">
        <w:rPr>
          <w:lang w:val="fr-FR"/>
        </w:rPr>
        <w:t xml:space="preserve"> </w:t>
      </w:r>
      <w:r w:rsidR="004516A2" w:rsidRPr="002908E0">
        <w:rPr>
          <w:lang w:val="fr-FR"/>
        </w:rPr>
        <w:t xml:space="preserve"> Le CAJ</w:t>
      </w:r>
      <w:r w:rsidR="00616630" w:rsidRPr="002908E0">
        <w:rPr>
          <w:lang w:val="fr-FR"/>
        </w:rPr>
        <w:t xml:space="preserve"> est convenu également d</w:t>
      </w:r>
      <w:r w:rsidR="004516A2" w:rsidRPr="002908E0">
        <w:rPr>
          <w:lang w:val="fr-FR"/>
        </w:rPr>
        <w:t>’</w:t>
      </w:r>
      <w:r w:rsidR="00616630" w:rsidRPr="002908E0">
        <w:rPr>
          <w:lang w:val="fr-FR"/>
        </w:rPr>
        <w:t>ajouter un point concernant le programme de mise à jour du document UPOV/INF/5 à sa soixante</w:t>
      </w:r>
      <w:r w:rsidR="0049455A" w:rsidRPr="002908E0">
        <w:rPr>
          <w:lang w:val="fr-FR"/>
        </w:rPr>
        <w:noBreakHyphen/>
      </w:r>
      <w:r w:rsidR="00616630" w:rsidRPr="002908E0">
        <w:rPr>
          <w:lang w:val="fr-FR"/>
        </w:rPr>
        <w:t>huitième</w:t>
      </w:r>
      <w:r w:rsidR="00F21B25" w:rsidRPr="002908E0">
        <w:rPr>
          <w:lang w:val="fr-FR"/>
        </w:rPr>
        <w:t> </w:t>
      </w:r>
      <w:r w:rsidR="00616630" w:rsidRPr="002908E0">
        <w:rPr>
          <w:lang w:val="fr-FR"/>
        </w:rPr>
        <w:t xml:space="preserve">session prévue en </w:t>
      </w:r>
      <w:r w:rsidR="004516A2" w:rsidRPr="002908E0">
        <w:rPr>
          <w:lang w:val="fr-FR"/>
        </w:rPr>
        <w:t>octobre 20</w:t>
      </w:r>
      <w:r w:rsidR="00616630" w:rsidRPr="002908E0">
        <w:rPr>
          <w:lang w:val="fr-FR"/>
        </w:rPr>
        <w:t>13 (voir le paragraphe</w:t>
      </w:r>
      <w:r w:rsidR="00F21B25" w:rsidRPr="002908E0">
        <w:rPr>
          <w:lang w:val="fr-FR"/>
        </w:rPr>
        <w:t> </w:t>
      </w:r>
      <w:r w:rsidR="00616630" w:rsidRPr="002908E0">
        <w:rPr>
          <w:lang w:val="fr-FR"/>
        </w:rPr>
        <w:t>23 du document CAJ/67/15 “Compte rendu”).</w:t>
      </w:r>
    </w:p>
    <w:p w:rsidR="00D30F00" w:rsidRPr="002908E0" w:rsidRDefault="00D30F00" w:rsidP="00FA0F51">
      <w:pPr>
        <w:rPr>
          <w:lang w:val="fr-FR"/>
        </w:rPr>
      </w:pPr>
    </w:p>
    <w:p w:rsidR="004516A2" w:rsidRPr="002908E0" w:rsidRDefault="00F31EEB" w:rsidP="002A0AC2">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2A0AC2" w:rsidRPr="002908E0">
        <w:rPr>
          <w:lang w:val="fr-FR"/>
        </w:rPr>
        <w:t>À sa soixante</w:t>
      </w:r>
      <w:r w:rsidR="0049455A" w:rsidRPr="002908E0">
        <w:rPr>
          <w:lang w:val="fr-FR"/>
        </w:rPr>
        <w:noBreakHyphen/>
      </w:r>
      <w:r w:rsidR="002A0AC2" w:rsidRPr="002908E0">
        <w:rPr>
          <w:lang w:val="fr-FR"/>
        </w:rPr>
        <w:t>huitième session</w:t>
      </w:r>
      <w:r w:rsidR="004A7723" w:rsidRPr="002908E0">
        <w:rPr>
          <w:lang w:val="fr-FR"/>
        </w:rPr>
        <w:t>,</w:t>
      </w:r>
      <w:r w:rsidR="002A0AC2" w:rsidRPr="002908E0">
        <w:rPr>
          <w:lang w:val="fr-FR"/>
        </w:rPr>
        <w:t xml:space="preserve"> tenue à Genève le 21 octobre 2013, le CAJ a reçu un rapport sur des questions pertinentes concernant la mise à jour du document UPOV/INF/5 et est convenu d</w:t>
      </w:r>
      <w:r w:rsidR="004516A2" w:rsidRPr="002908E0">
        <w:rPr>
          <w:lang w:val="fr-FR"/>
        </w:rPr>
        <w:t>’</w:t>
      </w:r>
      <w:r w:rsidR="002A0AC2" w:rsidRPr="002908E0">
        <w:rPr>
          <w:lang w:val="fr-FR"/>
        </w:rPr>
        <w:t>ajouter un point concernant la révision du document UPOV/INF/5 “Bulletin type de l</w:t>
      </w:r>
      <w:r w:rsidR="004516A2" w:rsidRPr="002908E0">
        <w:rPr>
          <w:lang w:val="fr-FR"/>
        </w:rPr>
        <w:t>’</w:t>
      </w:r>
      <w:r w:rsidR="002A0AC2" w:rsidRPr="002908E0">
        <w:rPr>
          <w:lang w:val="fr-FR"/>
        </w:rPr>
        <w:t xml:space="preserve">UPOV de la protection des obtentions végétales” </w:t>
      </w:r>
      <w:r w:rsidR="004A7723" w:rsidRPr="002908E0">
        <w:rPr>
          <w:lang w:val="fr-FR"/>
        </w:rPr>
        <w:t>dans le programme de sa</w:t>
      </w:r>
      <w:r w:rsidR="002A0AC2" w:rsidRPr="002908E0">
        <w:rPr>
          <w:lang w:val="fr-FR"/>
        </w:rPr>
        <w:t xml:space="preserve"> soixante</w:t>
      </w:r>
      <w:r w:rsidR="0049455A" w:rsidRPr="002908E0">
        <w:rPr>
          <w:lang w:val="fr-FR"/>
        </w:rPr>
        <w:noBreakHyphen/>
      </w:r>
      <w:r w:rsidR="002A0AC2" w:rsidRPr="002908E0">
        <w:rPr>
          <w:lang w:val="fr-FR"/>
        </w:rPr>
        <w:t>dixième session qui se tiendra</w:t>
      </w:r>
      <w:r w:rsidR="004A7723" w:rsidRPr="002908E0">
        <w:rPr>
          <w:lang w:val="fr-FR"/>
        </w:rPr>
        <w:t>it</w:t>
      </w:r>
      <w:r w:rsidR="002A0AC2" w:rsidRPr="002908E0">
        <w:rPr>
          <w:lang w:val="fr-FR"/>
        </w:rPr>
        <w:t xml:space="preserve"> en octobre 2014 (voir le paragraphe 17 du document CAJ/68/10 “Compte rendu des conclusions”).</w:t>
      </w:r>
    </w:p>
    <w:p w:rsidR="00D30F00" w:rsidRPr="002908E0" w:rsidRDefault="00D30F00" w:rsidP="00F31EEB">
      <w:pPr>
        <w:rPr>
          <w:lang w:val="fr-FR"/>
        </w:rPr>
      </w:pPr>
    </w:p>
    <w:p w:rsidR="00D30F00" w:rsidRPr="002908E0" w:rsidRDefault="00D30F00" w:rsidP="00FA0F51">
      <w:pPr>
        <w:rPr>
          <w:lang w:val="fr-FR"/>
        </w:rPr>
      </w:pPr>
    </w:p>
    <w:p w:rsidR="00D30F00" w:rsidRPr="002908E0" w:rsidRDefault="00D30F00" w:rsidP="00FA0F51">
      <w:pPr>
        <w:rPr>
          <w:lang w:val="fr-FR"/>
        </w:rPr>
      </w:pPr>
    </w:p>
    <w:p w:rsidR="00D30F00" w:rsidRPr="002908E0" w:rsidRDefault="002A0AC2" w:rsidP="002A0AC2">
      <w:pPr>
        <w:pStyle w:val="Heading1"/>
        <w:rPr>
          <w:lang w:val="fr-FR"/>
        </w:rPr>
      </w:pPr>
      <w:bookmarkStart w:id="5" w:name="_Toc395860239"/>
      <w:r w:rsidRPr="002908E0">
        <w:rPr>
          <w:lang w:val="fr-FR"/>
        </w:rPr>
        <w:t xml:space="preserve">II. </w:t>
      </w:r>
      <w:r w:rsidR="005901DF" w:rsidRPr="002908E0">
        <w:rPr>
          <w:lang w:val="fr-FR"/>
        </w:rPr>
        <w:tab/>
      </w:r>
      <w:r w:rsidRPr="002908E0">
        <w:rPr>
          <w:lang w:val="fr-FR"/>
        </w:rPr>
        <w:t>questions pertinentes concernant la mise à jour du DOCUMENT UPOV/INF/5</w:t>
      </w:r>
      <w:bookmarkEnd w:id="5"/>
    </w:p>
    <w:p w:rsidR="00D30F00" w:rsidRPr="002908E0" w:rsidRDefault="00D30F00" w:rsidP="00FA0F51">
      <w:pPr>
        <w:rPr>
          <w:lang w:val="fr-FR"/>
        </w:rPr>
      </w:pPr>
    </w:p>
    <w:p w:rsidR="00D30F00" w:rsidRPr="002908E0" w:rsidRDefault="00FA0F51" w:rsidP="002A0AC2">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2A0AC2" w:rsidRPr="002908E0">
        <w:rPr>
          <w:lang w:val="fr-FR"/>
        </w:rPr>
        <w:t xml:space="preserve">Le CAJ </w:t>
      </w:r>
      <w:r w:rsidR="004A7723" w:rsidRPr="002908E0">
        <w:rPr>
          <w:lang w:val="fr-FR"/>
        </w:rPr>
        <w:t>souhaitera peut</w:t>
      </w:r>
      <w:r w:rsidR="0049455A" w:rsidRPr="002908E0">
        <w:rPr>
          <w:szCs w:val="22"/>
          <w:lang w:val="fr-FR"/>
        </w:rPr>
        <w:noBreakHyphen/>
      </w:r>
      <w:r w:rsidR="004A7723" w:rsidRPr="002908E0">
        <w:rPr>
          <w:szCs w:val="22"/>
          <w:lang w:val="fr-FR"/>
        </w:rPr>
        <w:t>être</w:t>
      </w:r>
      <w:r w:rsidR="002A0AC2" w:rsidRPr="002908E0">
        <w:rPr>
          <w:lang w:val="fr-FR"/>
        </w:rPr>
        <w:t xml:space="preserve"> prendre note des questions ci</w:t>
      </w:r>
      <w:r w:rsidR="0049455A" w:rsidRPr="002908E0">
        <w:rPr>
          <w:lang w:val="fr-FR"/>
        </w:rPr>
        <w:noBreakHyphen/>
      </w:r>
      <w:r w:rsidR="002A0AC2" w:rsidRPr="002908E0">
        <w:rPr>
          <w:lang w:val="fr-FR"/>
        </w:rPr>
        <w:t xml:space="preserve">après pouvant présenter un intérêt </w:t>
      </w:r>
      <w:r w:rsidR="004A7723" w:rsidRPr="002908E0">
        <w:rPr>
          <w:lang w:val="fr-FR"/>
        </w:rPr>
        <w:t>pour</w:t>
      </w:r>
      <w:r w:rsidR="002A0AC2" w:rsidRPr="002908E0">
        <w:rPr>
          <w:lang w:val="fr-FR"/>
        </w:rPr>
        <w:t xml:space="preserve"> la mise à jour du document UPOV/INF/5.</w:t>
      </w:r>
    </w:p>
    <w:p w:rsidR="00D30F00" w:rsidRPr="002908E0" w:rsidRDefault="00D30F00" w:rsidP="00FA0F51">
      <w:pPr>
        <w:rPr>
          <w:snapToGrid w:val="0"/>
          <w:lang w:val="fr-FR"/>
        </w:rPr>
      </w:pPr>
    </w:p>
    <w:p w:rsidR="00D30F00" w:rsidRPr="002908E0" w:rsidRDefault="00D30F00" w:rsidP="00FA0F51">
      <w:pPr>
        <w:rPr>
          <w:snapToGrid w:val="0"/>
          <w:lang w:val="fr-FR"/>
        </w:rPr>
      </w:pPr>
    </w:p>
    <w:p w:rsidR="00D30F00" w:rsidRPr="002908E0" w:rsidRDefault="002A0AC2" w:rsidP="002A0AC2">
      <w:pPr>
        <w:pStyle w:val="Heading2"/>
        <w:rPr>
          <w:lang w:val="fr-FR"/>
        </w:rPr>
      </w:pPr>
      <w:bookmarkStart w:id="6" w:name="_Toc395860240"/>
      <w:r w:rsidRPr="002908E0">
        <w:rPr>
          <w:lang w:val="fr-FR"/>
        </w:rPr>
        <w:t>Élaboration d</w:t>
      </w:r>
      <w:r w:rsidR="004516A2" w:rsidRPr="002908E0">
        <w:rPr>
          <w:lang w:val="fr-FR"/>
        </w:rPr>
        <w:t>’</w:t>
      </w:r>
      <w:r w:rsidRPr="002908E0">
        <w:rPr>
          <w:lang w:val="fr-FR"/>
        </w:rPr>
        <w:t>un prototype de formulaire électronique</w:t>
      </w:r>
      <w:bookmarkEnd w:id="6"/>
    </w:p>
    <w:p w:rsidR="00D30F00" w:rsidRPr="002908E0" w:rsidRDefault="00D30F00" w:rsidP="008953CD">
      <w:pPr>
        <w:keepNext/>
        <w:rPr>
          <w:snapToGrid w:val="0"/>
          <w:lang w:val="fr-FR"/>
        </w:rPr>
      </w:pPr>
    </w:p>
    <w:p w:rsidR="004516A2" w:rsidRPr="002908E0" w:rsidRDefault="00FA0F51" w:rsidP="002A0AC2">
      <w:pPr>
        <w:rPr>
          <w:bCs/>
          <w:snapToGrid w:val="0"/>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2A0AC2" w:rsidRPr="002908E0">
        <w:rPr>
          <w:lang w:val="fr-FR"/>
        </w:rPr>
        <w:t>À sa soixante</w:t>
      </w:r>
      <w:r w:rsidR="0049455A" w:rsidRPr="002908E0">
        <w:rPr>
          <w:lang w:val="fr-FR"/>
        </w:rPr>
        <w:noBreakHyphen/>
      </w:r>
      <w:r w:rsidR="002A0AC2" w:rsidRPr="002908E0">
        <w:rPr>
          <w:lang w:val="fr-FR"/>
        </w:rPr>
        <w:t>sixième session</w:t>
      </w:r>
      <w:r w:rsidR="004A7723" w:rsidRPr="002908E0">
        <w:rPr>
          <w:lang w:val="fr-FR"/>
        </w:rPr>
        <w:t>,</w:t>
      </w:r>
      <w:r w:rsidR="002A0AC2" w:rsidRPr="002908E0">
        <w:rPr>
          <w:lang w:val="fr-FR"/>
        </w:rPr>
        <w:t xml:space="preserve"> tenue à Genève le 29 octobre 2012,</w:t>
      </w:r>
      <w:r w:rsidR="004516A2" w:rsidRPr="002908E0">
        <w:rPr>
          <w:lang w:val="fr-FR"/>
        </w:rPr>
        <w:t xml:space="preserve"> le CAJ</w:t>
      </w:r>
      <w:r w:rsidR="002A0AC2" w:rsidRPr="002908E0">
        <w:rPr>
          <w:lang w:val="fr-FR"/>
        </w:rPr>
        <w:t xml:space="preserve"> a approuvé l</w:t>
      </w:r>
      <w:r w:rsidR="004516A2" w:rsidRPr="002908E0">
        <w:rPr>
          <w:lang w:val="fr-FR"/>
        </w:rPr>
        <w:t>’</w:t>
      </w:r>
      <w:r w:rsidR="002A0AC2" w:rsidRPr="002908E0">
        <w:rPr>
          <w:lang w:val="fr-FR"/>
        </w:rPr>
        <w:t>élaboration d</w:t>
      </w:r>
      <w:r w:rsidR="004516A2" w:rsidRPr="002908E0">
        <w:rPr>
          <w:lang w:val="fr-FR"/>
        </w:rPr>
        <w:t>’</w:t>
      </w:r>
      <w:r w:rsidR="002A0AC2" w:rsidRPr="002908E0">
        <w:rPr>
          <w:lang w:val="fr-FR"/>
        </w:rPr>
        <w:t>un prototype de formulaire électronique à l</w:t>
      </w:r>
      <w:r w:rsidR="004516A2" w:rsidRPr="002908E0">
        <w:rPr>
          <w:lang w:val="fr-FR"/>
        </w:rPr>
        <w:t>’</w:t>
      </w:r>
      <w:r w:rsidR="002A0AC2" w:rsidRPr="002908E0">
        <w:rPr>
          <w:lang w:val="fr-FR"/>
        </w:rPr>
        <w:t>intention des membres intéressés de l</w:t>
      </w:r>
      <w:r w:rsidR="004516A2" w:rsidRPr="002908E0">
        <w:rPr>
          <w:lang w:val="fr-FR"/>
        </w:rPr>
        <w:t>’</w:t>
      </w:r>
      <w:r w:rsidR="002A0AC2" w:rsidRPr="002908E0">
        <w:rPr>
          <w:lang w:val="fr-FR"/>
        </w:rPr>
        <w:t xml:space="preserve">Union et est convenu que les aspects clés du prototype </w:t>
      </w:r>
      <w:r w:rsidR="004A7723" w:rsidRPr="002908E0">
        <w:rPr>
          <w:lang w:val="fr-FR"/>
        </w:rPr>
        <w:t>du point de vue</w:t>
      </w:r>
      <w:r w:rsidR="002A0AC2" w:rsidRPr="002908E0">
        <w:rPr>
          <w:lang w:val="fr-FR"/>
        </w:rPr>
        <w:t xml:space="preserve"> des membres de l</w:t>
      </w:r>
      <w:r w:rsidR="004516A2" w:rsidRPr="002908E0">
        <w:rPr>
          <w:lang w:val="fr-FR"/>
        </w:rPr>
        <w:t>’</w:t>
      </w:r>
      <w:r w:rsidR="002A0AC2" w:rsidRPr="002908E0">
        <w:rPr>
          <w:lang w:val="fr-FR"/>
        </w:rPr>
        <w:t xml:space="preserve">Union seraient définis comme indiqué aux paragraphes 22 et 23 du document CAJ/66/8 “Compte rendu des conclusions”. </w:t>
      </w:r>
      <w:r w:rsidR="00F21B25" w:rsidRPr="002908E0">
        <w:rPr>
          <w:lang w:val="fr-FR"/>
        </w:rPr>
        <w:t xml:space="preserve"> </w:t>
      </w:r>
      <w:r w:rsidR="002A0AC2" w:rsidRPr="002908E0">
        <w:rPr>
          <w:lang w:val="fr-FR"/>
        </w:rPr>
        <w:t>Plus précisément, en ce q</w:t>
      </w:r>
      <w:r w:rsidR="004A7723" w:rsidRPr="002908E0">
        <w:rPr>
          <w:lang w:val="fr-FR"/>
        </w:rPr>
        <w:t>ui concernait</w:t>
      </w:r>
      <w:r w:rsidR="002A0AC2" w:rsidRPr="002908E0">
        <w:rPr>
          <w:lang w:val="fr-FR"/>
        </w:rPr>
        <w:t xml:space="preserve"> son contenu, “[l]e formulaire électronique de l</w:t>
      </w:r>
      <w:r w:rsidR="004516A2" w:rsidRPr="002908E0">
        <w:rPr>
          <w:lang w:val="fr-FR"/>
        </w:rPr>
        <w:t>’</w:t>
      </w:r>
      <w:r w:rsidR="002A0AC2" w:rsidRPr="002908E0">
        <w:rPr>
          <w:lang w:val="fr-FR"/>
        </w:rPr>
        <w:t>UPOV contiendrait tous les éléments requis par les membres participants de l</w:t>
      </w:r>
      <w:r w:rsidR="004516A2" w:rsidRPr="002908E0">
        <w:rPr>
          <w:lang w:val="fr-FR"/>
        </w:rPr>
        <w:t>’</w:t>
      </w:r>
      <w:r w:rsidR="002A0AC2" w:rsidRPr="002908E0">
        <w:rPr>
          <w:lang w:val="fr-FR"/>
        </w:rPr>
        <w:t xml:space="preserve">Union, </w:t>
      </w:r>
      <w:r w:rsidR="004516A2" w:rsidRPr="002908E0">
        <w:rPr>
          <w:lang w:val="fr-FR"/>
        </w:rPr>
        <w:t>c’est</w:t>
      </w:r>
      <w:r w:rsidR="0049455A" w:rsidRPr="002908E0">
        <w:rPr>
          <w:lang w:val="fr-FR"/>
        </w:rPr>
        <w:noBreakHyphen/>
      </w:r>
      <w:r w:rsidR="004516A2" w:rsidRPr="002908E0">
        <w:rPr>
          <w:lang w:val="fr-FR"/>
        </w:rPr>
        <w:t>à</w:t>
      </w:r>
      <w:r w:rsidR="0049455A" w:rsidRPr="002908E0">
        <w:rPr>
          <w:lang w:val="fr-FR"/>
        </w:rPr>
        <w:noBreakHyphen/>
      </w:r>
      <w:r w:rsidR="004516A2" w:rsidRPr="002908E0">
        <w:rPr>
          <w:lang w:val="fr-FR"/>
        </w:rPr>
        <w:t>dire</w:t>
      </w:r>
      <w:r w:rsidR="002A0AC2" w:rsidRPr="002908E0">
        <w:rPr>
          <w:lang w:val="fr-FR"/>
        </w:rPr>
        <w:t xml:space="preserve"> tous les éléments figurant dans le formulaire de demande type de l</w:t>
      </w:r>
      <w:r w:rsidR="004516A2" w:rsidRPr="002908E0">
        <w:rPr>
          <w:lang w:val="fr-FR"/>
        </w:rPr>
        <w:t>’</w:t>
      </w:r>
      <w:r w:rsidR="002A0AC2" w:rsidRPr="002908E0">
        <w:rPr>
          <w:lang w:val="fr-FR"/>
        </w:rPr>
        <w:t>UPOV ainsi que les éléments relatifs à une demande dans le membre participant de l</w:t>
      </w:r>
      <w:r w:rsidR="004516A2" w:rsidRPr="002908E0">
        <w:rPr>
          <w:lang w:val="fr-FR"/>
        </w:rPr>
        <w:t>’</w:t>
      </w:r>
      <w:r w:rsidR="002A0AC2" w:rsidRPr="002908E0">
        <w:rPr>
          <w:lang w:val="fr-FR"/>
        </w:rPr>
        <w:t>Union concerné.</w:t>
      </w:r>
      <w:r w:rsidRPr="002908E0">
        <w:rPr>
          <w:lang w:val="fr-FR"/>
        </w:rPr>
        <w:t xml:space="preserve">  </w:t>
      </w:r>
      <w:r w:rsidR="002A0AC2" w:rsidRPr="002908E0">
        <w:rPr>
          <w:bCs/>
          <w:snapToGrid w:val="0"/>
          <w:lang w:val="fr-FR"/>
        </w:rPr>
        <w:t>Les déposants choisiraient les membres de l</w:t>
      </w:r>
      <w:r w:rsidR="004516A2" w:rsidRPr="002908E0">
        <w:rPr>
          <w:bCs/>
          <w:snapToGrid w:val="0"/>
          <w:lang w:val="fr-FR"/>
        </w:rPr>
        <w:t>’</w:t>
      </w:r>
      <w:r w:rsidR="002A0AC2" w:rsidRPr="002908E0">
        <w:rPr>
          <w:bCs/>
          <w:snapToGrid w:val="0"/>
          <w:lang w:val="fr-FR"/>
        </w:rPr>
        <w:t>Union où ils souhaitent présenter une demande, et tous les éléments pertinents pour les membres choisis de l</w:t>
      </w:r>
      <w:r w:rsidR="004516A2" w:rsidRPr="002908E0">
        <w:rPr>
          <w:bCs/>
          <w:snapToGrid w:val="0"/>
          <w:lang w:val="fr-FR"/>
        </w:rPr>
        <w:t>’</w:t>
      </w:r>
      <w:r w:rsidR="002A0AC2" w:rsidRPr="002908E0">
        <w:rPr>
          <w:bCs/>
          <w:snapToGrid w:val="0"/>
          <w:lang w:val="fr-FR"/>
        </w:rPr>
        <w:t>Union seraient présentés pour achèvement”.</w:t>
      </w:r>
    </w:p>
    <w:p w:rsidR="00D30F00" w:rsidRPr="002908E0" w:rsidRDefault="00D30F00" w:rsidP="00FA0F51">
      <w:pPr>
        <w:rPr>
          <w:bCs/>
          <w:snapToGrid w:val="0"/>
          <w:lang w:val="fr-FR"/>
        </w:rPr>
      </w:pPr>
    </w:p>
    <w:p w:rsidR="00D30F00" w:rsidRPr="002908E0" w:rsidRDefault="002C4270" w:rsidP="002A0AC2">
      <w:pPr>
        <w:rPr>
          <w:bCs/>
          <w:snapToGrid w:val="0"/>
          <w:lang w:val="fr-FR"/>
        </w:rPr>
      </w:pPr>
      <w:r w:rsidRPr="002908E0">
        <w:rPr>
          <w:bCs/>
          <w:snapToGrid w:val="0"/>
          <w:lang w:val="fr-FR"/>
        </w:rPr>
        <w:fldChar w:fldCharType="begin"/>
      </w:r>
      <w:r w:rsidRPr="002908E0">
        <w:rPr>
          <w:bCs/>
          <w:snapToGrid w:val="0"/>
          <w:lang w:val="fr-FR"/>
        </w:rPr>
        <w:instrText xml:space="preserve"> AUTONUM  </w:instrText>
      </w:r>
      <w:r w:rsidRPr="002908E0">
        <w:rPr>
          <w:bCs/>
          <w:snapToGrid w:val="0"/>
          <w:lang w:val="fr-FR"/>
        </w:rPr>
        <w:fldChar w:fldCharType="end"/>
      </w:r>
      <w:r w:rsidRPr="002908E0">
        <w:rPr>
          <w:bCs/>
          <w:snapToGrid w:val="0"/>
          <w:lang w:val="fr-FR"/>
        </w:rPr>
        <w:tab/>
      </w:r>
      <w:r w:rsidR="002A0AC2" w:rsidRPr="002908E0">
        <w:rPr>
          <w:bCs/>
          <w:snapToGrid w:val="0"/>
          <w:lang w:val="fr-FR"/>
        </w:rPr>
        <w:t>Les derniers faits nouveaux concernant le prototype de formulaire électronique sont présentés dans le document CAJ/70/7 “Systèmes de dépôt électronique des demandes”.</w:t>
      </w:r>
    </w:p>
    <w:p w:rsidR="00D30F00" w:rsidRPr="002908E0" w:rsidRDefault="00D30F00" w:rsidP="00FA0F51">
      <w:pPr>
        <w:rPr>
          <w:snapToGrid w:val="0"/>
          <w:lang w:val="fr-FR"/>
        </w:rPr>
      </w:pPr>
    </w:p>
    <w:p w:rsidR="00D30F00" w:rsidRPr="002908E0" w:rsidRDefault="00D30F00" w:rsidP="00FA0F51">
      <w:pPr>
        <w:rPr>
          <w:lang w:val="fr-FR"/>
        </w:rPr>
      </w:pPr>
      <w:bookmarkStart w:id="7" w:name="_Toc348509924"/>
    </w:p>
    <w:p w:rsidR="004516A2" w:rsidRPr="002908E0" w:rsidRDefault="002A0AC2" w:rsidP="002A0AC2">
      <w:pPr>
        <w:pStyle w:val="Heading2"/>
        <w:rPr>
          <w:lang w:val="fr-FR"/>
        </w:rPr>
      </w:pPr>
      <w:bookmarkStart w:id="8" w:name="_Toc395860241"/>
      <w:r w:rsidRPr="002908E0">
        <w:rPr>
          <w:lang w:val="fr-FR"/>
        </w:rPr>
        <w:t xml:space="preserve">Questions </w:t>
      </w:r>
      <w:r w:rsidR="00035473" w:rsidRPr="002908E0">
        <w:rPr>
          <w:lang w:val="fr-FR"/>
        </w:rPr>
        <w:t>relatives aux</w:t>
      </w:r>
      <w:r w:rsidR="00C81164" w:rsidRPr="002908E0">
        <w:rPr>
          <w:lang w:val="fr-FR"/>
        </w:rPr>
        <w:t xml:space="preserve"> </w:t>
      </w:r>
      <w:r w:rsidRPr="002908E0">
        <w:rPr>
          <w:lang w:val="fr-FR"/>
        </w:rPr>
        <w:t>variétés essentiellement dérivées</w:t>
      </w:r>
      <w:bookmarkEnd w:id="7"/>
      <w:bookmarkEnd w:id="8"/>
    </w:p>
    <w:p w:rsidR="00D30F00" w:rsidRPr="002908E0" w:rsidRDefault="00D30F00" w:rsidP="008953CD">
      <w:pPr>
        <w:keepNext/>
        <w:rPr>
          <w:lang w:val="fr-FR"/>
        </w:rPr>
      </w:pPr>
    </w:p>
    <w:p w:rsidR="003056C2" w:rsidRDefault="00FA0F51" w:rsidP="00731F73">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731F73" w:rsidRPr="002908E0">
        <w:rPr>
          <w:lang w:val="fr-FR"/>
        </w:rPr>
        <w:t>Les questions examinées par le Groupe consultatif du Comité administratif et juridique (CAJ</w:t>
      </w:r>
      <w:r w:rsidR="0049455A" w:rsidRPr="002908E0">
        <w:rPr>
          <w:lang w:val="fr-FR"/>
        </w:rPr>
        <w:noBreakHyphen/>
      </w:r>
      <w:r w:rsidR="00731F73" w:rsidRPr="002908E0">
        <w:rPr>
          <w:lang w:val="fr-FR"/>
        </w:rPr>
        <w:t>AG) concernant la révision des “Notes explicatives sur les variétés essentiellement dérivées selon l</w:t>
      </w:r>
      <w:r w:rsidR="004516A2" w:rsidRPr="002908E0">
        <w:rPr>
          <w:lang w:val="fr-FR"/>
        </w:rPr>
        <w:t>’</w:t>
      </w:r>
      <w:r w:rsidR="00731F73" w:rsidRPr="002908E0">
        <w:rPr>
          <w:lang w:val="fr-FR"/>
        </w:rPr>
        <w:t xml:space="preserve">Acte de 1991 de la </w:t>
      </w:r>
      <w:r w:rsidR="004516A2" w:rsidRPr="002908E0">
        <w:rPr>
          <w:lang w:val="fr-FR"/>
        </w:rPr>
        <w:t>Convention UPOV</w:t>
      </w:r>
      <w:r w:rsidR="00731F73" w:rsidRPr="002908E0">
        <w:rPr>
          <w:lang w:val="fr-FR"/>
        </w:rPr>
        <w:t xml:space="preserve">” qui pourraient présenter un intérêt </w:t>
      </w:r>
      <w:r w:rsidR="004A7723" w:rsidRPr="002908E0">
        <w:rPr>
          <w:lang w:val="fr-FR"/>
        </w:rPr>
        <w:t>pour</w:t>
      </w:r>
      <w:r w:rsidR="00731F73" w:rsidRPr="002908E0">
        <w:rPr>
          <w:lang w:val="fr-FR"/>
        </w:rPr>
        <w:t xml:space="preserve"> la mise à jour du document UPOV/INF/5 </w:t>
      </w:r>
      <w:r w:rsidR="004A7723" w:rsidRPr="002908E0">
        <w:rPr>
          <w:lang w:val="fr-FR"/>
        </w:rPr>
        <w:t>sont énoncées</w:t>
      </w:r>
      <w:r w:rsidR="00731F73" w:rsidRPr="002908E0">
        <w:rPr>
          <w:lang w:val="fr-FR"/>
        </w:rPr>
        <w:t xml:space="preserve"> aux paragraphes</w:t>
      </w:r>
      <w:r w:rsidR="00F21B25" w:rsidRPr="002908E0">
        <w:rPr>
          <w:lang w:val="fr-FR"/>
        </w:rPr>
        <w:t> </w:t>
      </w:r>
      <w:r w:rsidR="00731F73" w:rsidRPr="002908E0">
        <w:rPr>
          <w:lang w:val="fr-FR"/>
        </w:rPr>
        <w:t>45 à 47 du document CAJ</w:t>
      </w:r>
      <w:r w:rsidR="0049455A" w:rsidRPr="002908E0">
        <w:rPr>
          <w:lang w:val="fr-FR"/>
        </w:rPr>
        <w:noBreakHyphen/>
      </w:r>
      <w:r w:rsidR="00731F73" w:rsidRPr="002908E0">
        <w:rPr>
          <w:lang w:val="fr-FR"/>
        </w:rPr>
        <w:t>AG/13/8/10 “Compte rendu” en rapport avec la section </w:t>
      </w:r>
      <w:proofErr w:type="spellStart"/>
      <w:r w:rsidR="00731F73" w:rsidRPr="002908E0">
        <w:rPr>
          <w:lang w:val="fr-FR"/>
        </w:rPr>
        <w:t>II</w:t>
      </w:r>
      <w:r w:rsidR="00035473" w:rsidRPr="002908E0">
        <w:rPr>
          <w:lang w:val="fr-FR"/>
        </w:rPr>
        <w:t>.</w:t>
      </w:r>
      <w:r w:rsidR="00731F73" w:rsidRPr="002908E0">
        <w:rPr>
          <w:lang w:val="fr-FR"/>
        </w:rPr>
        <w:t>d</w:t>
      </w:r>
      <w:proofErr w:type="spellEnd"/>
      <w:r w:rsidR="00731F73" w:rsidRPr="002908E0">
        <w:rPr>
          <w:lang w:val="fr-FR"/>
        </w:rPr>
        <w:t>) “Questions relatives aux variétés essentiellement dérivées qui ne bénéficient pas de la protection de plein droit” et e)</w:t>
      </w:r>
      <w:r w:rsidR="00F21B25" w:rsidRPr="002908E0">
        <w:rPr>
          <w:lang w:val="fr-FR"/>
        </w:rPr>
        <w:t> </w:t>
      </w:r>
      <w:r w:rsidR="00731F73" w:rsidRPr="002908E0">
        <w:rPr>
          <w:lang w:val="fr-FR"/>
        </w:rPr>
        <w:t>“Exposés sur les systèmes des membres de l</w:t>
      </w:r>
      <w:r w:rsidR="004516A2" w:rsidRPr="002908E0">
        <w:rPr>
          <w:lang w:val="fr-FR"/>
        </w:rPr>
        <w:t>’</w:t>
      </w:r>
      <w:r w:rsidR="00731F73" w:rsidRPr="002908E0">
        <w:rPr>
          <w:lang w:val="fr-FR"/>
        </w:rPr>
        <w:t>Union relatifs aux variétés essentiellement dé</w:t>
      </w:r>
      <w:r w:rsidR="005901DF" w:rsidRPr="002908E0">
        <w:rPr>
          <w:lang w:val="fr-FR"/>
        </w:rPr>
        <w:t>riv</w:t>
      </w:r>
      <w:r w:rsidR="00731F73" w:rsidRPr="002908E0">
        <w:rPr>
          <w:lang w:val="fr-FR"/>
        </w:rPr>
        <w:t>ées” du document CAJ</w:t>
      </w:r>
      <w:r w:rsidR="0049455A" w:rsidRPr="002908E0">
        <w:rPr>
          <w:lang w:val="fr-FR"/>
        </w:rPr>
        <w:noBreakHyphen/>
      </w:r>
      <w:r w:rsidR="00731F73" w:rsidRPr="002908E0">
        <w:rPr>
          <w:lang w:val="fr-FR"/>
        </w:rPr>
        <w:t>AG/13/8/2 “</w:t>
      </w:r>
      <w:proofErr w:type="spellStart"/>
      <w:r w:rsidR="00731F73" w:rsidRPr="002908E0">
        <w:rPr>
          <w:lang w:val="fr-FR"/>
        </w:rPr>
        <w:t>Explanatory</w:t>
      </w:r>
      <w:proofErr w:type="spellEnd"/>
      <w:r w:rsidR="00731F73" w:rsidRPr="002908E0">
        <w:rPr>
          <w:lang w:val="fr-FR"/>
        </w:rPr>
        <w:t xml:space="preserve"> Notes on </w:t>
      </w:r>
      <w:proofErr w:type="spellStart"/>
      <w:r w:rsidR="00731F73" w:rsidRPr="002908E0">
        <w:rPr>
          <w:lang w:val="fr-FR"/>
        </w:rPr>
        <w:t>Essentially</w:t>
      </w:r>
      <w:proofErr w:type="spellEnd"/>
      <w:r w:rsidR="00731F73" w:rsidRPr="002908E0">
        <w:rPr>
          <w:lang w:val="fr-FR"/>
        </w:rPr>
        <w:t xml:space="preserve"> </w:t>
      </w:r>
      <w:proofErr w:type="spellStart"/>
      <w:r w:rsidR="00731F73" w:rsidRPr="002908E0">
        <w:rPr>
          <w:lang w:val="fr-FR"/>
        </w:rPr>
        <w:t>Derived</w:t>
      </w:r>
      <w:proofErr w:type="spellEnd"/>
      <w:r w:rsidR="00731F73" w:rsidRPr="002908E0">
        <w:rPr>
          <w:lang w:val="fr-FR"/>
        </w:rPr>
        <w:t xml:space="preserve"> </w:t>
      </w:r>
      <w:proofErr w:type="spellStart"/>
      <w:r w:rsidR="00731F73" w:rsidRPr="002908E0">
        <w:rPr>
          <w:lang w:val="fr-FR"/>
        </w:rPr>
        <w:t>Varieties</w:t>
      </w:r>
      <w:proofErr w:type="spellEnd"/>
      <w:r w:rsidR="00731F73" w:rsidRPr="002908E0">
        <w:rPr>
          <w:lang w:val="fr-FR"/>
        </w:rPr>
        <w:t xml:space="preserve"> </w:t>
      </w:r>
      <w:proofErr w:type="spellStart"/>
      <w:r w:rsidR="00731F73" w:rsidRPr="002908E0">
        <w:rPr>
          <w:lang w:val="fr-FR"/>
        </w:rPr>
        <w:t>under</w:t>
      </w:r>
      <w:proofErr w:type="spellEnd"/>
      <w:r w:rsidR="00731F73" w:rsidRPr="002908E0">
        <w:rPr>
          <w:lang w:val="fr-FR"/>
        </w:rPr>
        <w:t xml:space="preserve"> the 1991 </w:t>
      </w:r>
      <w:proofErr w:type="spellStart"/>
      <w:r w:rsidR="00731F73" w:rsidRPr="002908E0">
        <w:rPr>
          <w:lang w:val="fr-FR"/>
        </w:rPr>
        <w:t>Act</w:t>
      </w:r>
      <w:proofErr w:type="spellEnd"/>
      <w:r w:rsidR="00731F73" w:rsidRPr="002908E0">
        <w:rPr>
          <w:lang w:val="fr-FR"/>
        </w:rPr>
        <w:t xml:space="preserve"> of the UPOV Convention (</w:t>
      </w:r>
      <w:proofErr w:type="spellStart"/>
      <w:r w:rsidR="00731F73" w:rsidRPr="002908E0">
        <w:rPr>
          <w:lang w:val="fr-FR"/>
        </w:rPr>
        <w:t>Revision</w:t>
      </w:r>
      <w:proofErr w:type="spellEnd"/>
      <w:r w:rsidR="00731F73" w:rsidRPr="002908E0">
        <w:rPr>
          <w:lang w:val="fr-FR"/>
        </w:rPr>
        <w:t>)”</w:t>
      </w:r>
      <w:r w:rsidR="005901DF" w:rsidRPr="002908E0">
        <w:rPr>
          <w:lang w:val="fr-FR"/>
        </w:rPr>
        <w:t xml:space="preserve"> (Notes explicatives sur les variétés essentiellement dérivées selon l</w:t>
      </w:r>
      <w:r w:rsidR="004516A2" w:rsidRPr="002908E0">
        <w:rPr>
          <w:lang w:val="fr-FR"/>
        </w:rPr>
        <w:t>’</w:t>
      </w:r>
      <w:r w:rsidR="005901DF" w:rsidRPr="002908E0">
        <w:rPr>
          <w:lang w:val="fr-FR"/>
        </w:rPr>
        <w:t>Acte de</w:t>
      </w:r>
      <w:r w:rsidR="00F21B25" w:rsidRPr="002908E0">
        <w:rPr>
          <w:lang w:val="fr-FR"/>
        </w:rPr>
        <w:t> </w:t>
      </w:r>
      <w:r w:rsidR="005901DF" w:rsidRPr="002908E0">
        <w:rPr>
          <w:lang w:val="fr-FR"/>
        </w:rPr>
        <w:t xml:space="preserve">1991 de la </w:t>
      </w:r>
      <w:r w:rsidR="004516A2" w:rsidRPr="002908E0">
        <w:rPr>
          <w:lang w:val="fr-FR"/>
        </w:rPr>
        <w:t>Convention UPOV</w:t>
      </w:r>
      <w:r w:rsidR="005901DF" w:rsidRPr="002908E0">
        <w:rPr>
          <w:lang w:val="fr-FR"/>
        </w:rPr>
        <w:t xml:space="preserve"> (révision),</w:t>
      </w:r>
      <w:r w:rsidR="00731F73" w:rsidRPr="002908E0">
        <w:rPr>
          <w:lang w:val="fr-FR"/>
        </w:rPr>
        <w:t xml:space="preserve"> (reproduits ci</w:t>
      </w:r>
      <w:r w:rsidR="0049455A" w:rsidRPr="002908E0">
        <w:rPr>
          <w:lang w:val="fr-FR"/>
        </w:rPr>
        <w:noBreakHyphen/>
      </w:r>
      <w:r w:rsidR="00731F73" w:rsidRPr="002908E0">
        <w:rPr>
          <w:lang w:val="fr-FR"/>
        </w:rPr>
        <w:t>dessous).</w:t>
      </w:r>
    </w:p>
    <w:p w:rsidR="003056C2" w:rsidRDefault="003056C2">
      <w:pPr>
        <w:jc w:val="left"/>
        <w:rPr>
          <w:lang w:val="fr-FR"/>
        </w:rPr>
      </w:pPr>
      <w:r>
        <w:rPr>
          <w:lang w:val="fr-FR"/>
        </w:rPr>
        <w:br w:type="page"/>
      </w:r>
    </w:p>
    <w:p w:rsidR="00D30F00" w:rsidRPr="002908E0" w:rsidRDefault="00F21B25" w:rsidP="00731F73">
      <w:pPr>
        <w:ind w:left="567"/>
        <w:rPr>
          <w:i/>
          <w:sz w:val="18"/>
          <w:lang w:val="fr-FR"/>
        </w:rPr>
      </w:pPr>
      <w:r w:rsidRPr="002908E0">
        <w:rPr>
          <w:i/>
          <w:sz w:val="18"/>
          <w:lang w:val="fr-FR"/>
        </w:rPr>
        <w:lastRenderedPageBreak/>
        <w:t>“</w:t>
      </w:r>
      <w:r w:rsidR="00731F73" w:rsidRPr="002908E0">
        <w:rPr>
          <w:i/>
          <w:sz w:val="18"/>
          <w:lang w:val="fr-FR"/>
        </w:rPr>
        <w:t>Questions relatives aux variétés essentiellement dérivées qui ne bénéficient pas de la protection de plein droit</w:t>
      </w:r>
    </w:p>
    <w:p w:rsidR="00D30F00" w:rsidRPr="002908E0" w:rsidRDefault="00D30F00" w:rsidP="003056C2">
      <w:pPr>
        <w:pStyle w:val="Heading3"/>
      </w:pPr>
    </w:p>
    <w:p w:rsidR="00D30F00" w:rsidRPr="002908E0" w:rsidRDefault="00F21B25" w:rsidP="00731F73">
      <w:pPr>
        <w:ind w:left="567" w:right="567"/>
        <w:rPr>
          <w:sz w:val="18"/>
          <w:szCs w:val="18"/>
          <w:lang w:val="fr-FR"/>
        </w:rPr>
      </w:pPr>
      <w:r w:rsidRPr="002908E0">
        <w:rPr>
          <w:sz w:val="18"/>
          <w:szCs w:val="18"/>
          <w:lang w:val="fr-FR"/>
        </w:rPr>
        <w:t>“</w:t>
      </w:r>
      <w:r w:rsidR="00731F73" w:rsidRPr="002908E0">
        <w:rPr>
          <w:sz w:val="18"/>
          <w:szCs w:val="18"/>
          <w:lang w:val="fr-FR"/>
        </w:rPr>
        <w:t>45.</w:t>
      </w:r>
      <w:r w:rsidRPr="002908E0">
        <w:rPr>
          <w:sz w:val="18"/>
          <w:szCs w:val="18"/>
          <w:lang w:val="fr-FR"/>
        </w:rPr>
        <w:t xml:space="preserve"> </w:t>
      </w:r>
      <w:r w:rsidR="004516A2" w:rsidRPr="002908E0">
        <w:rPr>
          <w:sz w:val="18"/>
          <w:szCs w:val="18"/>
          <w:lang w:val="fr-FR"/>
        </w:rPr>
        <w:t xml:space="preserve"> Le CAJ</w:t>
      </w:r>
      <w:r w:rsidR="0049455A" w:rsidRPr="002908E0">
        <w:rPr>
          <w:sz w:val="18"/>
          <w:szCs w:val="18"/>
          <w:lang w:val="fr-FR"/>
        </w:rPr>
        <w:noBreakHyphen/>
      </w:r>
      <w:r w:rsidR="00731F73" w:rsidRPr="002908E0">
        <w:rPr>
          <w:sz w:val="18"/>
          <w:szCs w:val="18"/>
          <w:lang w:val="fr-FR"/>
        </w:rPr>
        <w:t>AG convient d</w:t>
      </w:r>
      <w:r w:rsidR="004516A2" w:rsidRPr="002908E0">
        <w:rPr>
          <w:sz w:val="18"/>
          <w:szCs w:val="18"/>
          <w:lang w:val="fr-FR"/>
        </w:rPr>
        <w:t>’</w:t>
      </w:r>
      <w:r w:rsidR="00731F73" w:rsidRPr="002908E0">
        <w:rPr>
          <w:sz w:val="18"/>
          <w:szCs w:val="18"/>
          <w:lang w:val="fr-FR"/>
        </w:rPr>
        <w:t>envisager la possibilité d</w:t>
      </w:r>
      <w:r w:rsidR="004516A2" w:rsidRPr="002908E0">
        <w:rPr>
          <w:sz w:val="18"/>
          <w:szCs w:val="18"/>
          <w:lang w:val="fr-FR"/>
        </w:rPr>
        <w:t>’</w:t>
      </w:r>
      <w:r w:rsidR="00731F73" w:rsidRPr="002908E0">
        <w:rPr>
          <w:sz w:val="18"/>
          <w:szCs w:val="18"/>
          <w:lang w:val="fr-FR"/>
        </w:rPr>
        <w:t>élaborer des orientations sur les questions soulevées dans les paragraphes</w:t>
      </w:r>
      <w:r w:rsidRPr="002908E0">
        <w:rPr>
          <w:sz w:val="18"/>
          <w:szCs w:val="18"/>
          <w:lang w:val="fr-FR"/>
        </w:rPr>
        <w:t> </w:t>
      </w:r>
      <w:r w:rsidR="00731F73" w:rsidRPr="002908E0">
        <w:rPr>
          <w:sz w:val="18"/>
          <w:szCs w:val="18"/>
          <w:lang w:val="fr-FR"/>
        </w:rPr>
        <w:t>15 à 18 du document CAJ</w:t>
      </w:r>
      <w:r w:rsidR="0049455A" w:rsidRPr="002908E0">
        <w:rPr>
          <w:sz w:val="18"/>
          <w:szCs w:val="18"/>
          <w:lang w:val="fr-FR"/>
        </w:rPr>
        <w:noBreakHyphen/>
      </w:r>
      <w:r w:rsidR="00731F73" w:rsidRPr="002908E0">
        <w:rPr>
          <w:sz w:val="18"/>
          <w:szCs w:val="18"/>
          <w:lang w:val="fr-FR"/>
        </w:rPr>
        <w:t>AG/13/8/2 (concernant la situation des variétés essentiellement dérivées qui ne bénéficient pas de la protection de plein droit), après l</w:t>
      </w:r>
      <w:r w:rsidR="004516A2" w:rsidRPr="002908E0">
        <w:rPr>
          <w:sz w:val="18"/>
          <w:szCs w:val="18"/>
          <w:lang w:val="fr-FR"/>
        </w:rPr>
        <w:t>’</w:t>
      </w:r>
      <w:r w:rsidR="00731F73" w:rsidRPr="002908E0">
        <w:rPr>
          <w:sz w:val="18"/>
          <w:szCs w:val="18"/>
          <w:lang w:val="fr-FR"/>
        </w:rPr>
        <w:t>adoption du document révisé UPOV/EXN/EDV/2.</w:t>
      </w:r>
    </w:p>
    <w:p w:rsidR="00D30F00" w:rsidRPr="002908E0" w:rsidRDefault="00D30F00" w:rsidP="00C17CEA">
      <w:pPr>
        <w:ind w:left="567" w:right="567"/>
        <w:rPr>
          <w:sz w:val="18"/>
          <w:szCs w:val="18"/>
          <w:lang w:val="fr-FR"/>
        </w:rPr>
      </w:pPr>
    </w:p>
    <w:p w:rsidR="00D30F00" w:rsidRPr="002908E0" w:rsidRDefault="00F21B25" w:rsidP="00731F73">
      <w:pPr>
        <w:ind w:left="567" w:right="567"/>
        <w:rPr>
          <w:sz w:val="18"/>
          <w:szCs w:val="18"/>
          <w:lang w:val="fr-FR"/>
        </w:rPr>
      </w:pPr>
      <w:r w:rsidRPr="002908E0">
        <w:rPr>
          <w:sz w:val="18"/>
          <w:szCs w:val="18"/>
          <w:lang w:val="fr-FR"/>
        </w:rPr>
        <w:t>“</w:t>
      </w:r>
      <w:r w:rsidR="00731F73" w:rsidRPr="002908E0">
        <w:rPr>
          <w:sz w:val="18"/>
          <w:szCs w:val="18"/>
          <w:lang w:val="fr-FR"/>
        </w:rPr>
        <w:t>46.</w:t>
      </w:r>
      <w:r w:rsidRPr="002908E0">
        <w:rPr>
          <w:sz w:val="18"/>
          <w:szCs w:val="18"/>
          <w:lang w:val="fr-FR"/>
        </w:rPr>
        <w:t xml:space="preserve"> </w:t>
      </w:r>
      <w:r w:rsidR="004516A2" w:rsidRPr="002908E0">
        <w:rPr>
          <w:sz w:val="18"/>
          <w:szCs w:val="18"/>
          <w:lang w:val="fr-FR"/>
        </w:rPr>
        <w:t xml:space="preserve"> Le CAJ</w:t>
      </w:r>
      <w:r w:rsidR="0049455A" w:rsidRPr="002908E0">
        <w:rPr>
          <w:sz w:val="18"/>
          <w:szCs w:val="18"/>
          <w:lang w:val="fr-FR"/>
        </w:rPr>
        <w:noBreakHyphen/>
      </w:r>
      <w:r w:rsidR="00731F73" w:rsidRPr="002908E0">
        <w:rPr>
          <w:sz w:val="18"/>
          <w:szCs w:val="18"/>
          <w:lang w:val="fr-FR"/>
        </w:rPr>
        <w:t>AG fait remarquer que les questions soulevées dans les paragraphes 15 à 18 du document CAJ</w:t>
      </w:r>
      <w:r w:rsidR="0049455A" w:rsidRPr="002908E0">
        <w:rPr>
          <w:sz w:val="18"/>
          <w:szCs w:val="18"/>
          <w:lang w:val="fr-FR"/>
        </w:rPr>
        <w:noBreakHyphen/>
      </w:r>
      <w:r w:rsidR="00731F73" w:rsidRPr="002908E0">
        <w:rPr>
          <w:sz w:val="18"/>
          <w:szCs w:val="18"/>
          <w:lang w:val="fr-FR"/>
        </w:rPr>
        <w:t>AG/13/8/2 ne se poseraient pas si les obtenteurs protégeaient les variétés essentiellement dérivées de plein droit.</w:t>
      </w:r>
    </w:p>
    <w:p w:rsidR="00D30F00" w:rsidRPr="002908E0" w:rsidRDefault="00D30F00" w:rsidP="00C17CEA">
      <w:pPr>
        <w:spacing w:line="360" w:lineRule="auto"/>
        <w:ind w:left="567" w:right="567"/>
        <w:rPr>
          <w:sz w:val="18"/>
          <w:szCs w:val="18"/>
          <w:lang w:val="fr-FR"/>
        </w:rPr>
      </w:pPr>
    </w:p>
    <w:p w:rsidR="00D30F00" w:rsidRPr="002908E0" w:rsidRDefault="00F21B25" w:rsidP="00731F73">
      <w:pPr>
        <w:keepNext/>
        <w:ind w:left="567"/>
        <w:rPr>
          <w:i/>
          <w:sz w:val="18"/>
          <w:lang w:val="fr-FR"/>
        </w:rPr>
      </w:pPr>
      <w:r w:rsidRPr="002908E0">
        <w:rPr>
          <w:i/>
          <w:sz w:val="18"/>
          <w:lang w:val="fr-FR"/>
        </w:rPr>
        <w:t>“</w:t>
      </w:r>
      <w:r w:rsidR="00731F73" w:rsidRPr="002908E0">
        <w:rPr>
          <w:i/>
          <w:sz w:val="18"/>
          <w:lang w:val="fr-FR"/>
        </w:rPr>
        <w:t>Exposés sur les systèmes des membres de l</w:t>
      </w:r>
      <w:r w:rsidR="004516A2" w:rsidRPr="002908E0">
        <w:rPr>
          <w:i/>
          <w:sz w:val="18"/>
          <w:lang w:val="fr-FR"/>
        </w:rPr>
        <w:t>’</w:t>
      </w:r>
      <w:r w:rsidR="00731F73" w:rsidRPr="002908E0">
        <w:rPr>
          <w:i/>
          <w:sz w:val="18"/>
          <w:lang w:val="fr-FR"/>
        </w:rPr>
        <w:t>Union relatifs aux variétés essentiellement dérivées</w:t>
      </w:r>
    </w:p>
    <w:p w:rsidR="00D30F00" w:rsidRPr="002908E0" w:rsidRDefault="00D30F00" w:rsidP="00D17C95">
      <w:pPr>
        <w:keepNext/>
        <w:ind w:left="567" w:right="567"/>
        <w:rPr>
          <w:sz w:val="18"/>
          <w:szCs w:val="18"/>
          <w:lang w:val="fr-FR"/>
        </w:rPr>
      </w:pPr>
    </w:p>
    <w:p w:rsidR="00D30F00" w:rsidRPr="002908E0" w:rsidRDefault="00F21B25" w:rsidP="00731F73">
      <w:pPr>
        <w:ind w:left="567" w:right="567"/>
        <w:rPr>
          <w:sz w:val="18"/>
          <w:szCs w:val="18"/>
          <w:lang w:val="fr-FR"/>
        </w:rPr>
      </w:pPr>
      <w:r w:rsidRPr="002908E0">
        <w:rPr>
          <w:sz w:val="18"/>
          <w:szCs w:val="18"/>
          <w:lang w:val="fr-FR"/>
        </w:rPr>
        <w:t>“</w:t>
      </w:r>
      <w:r w:rsidR="00731F73" w:rsidRPr="002908E0">
        <w:rPr>
          <w:sz w:val="18"/>
          <w:szCs w:val="18"/>
          <w:lang w:val="fr-FR"/>
        </w:rPr>
        <w:t>47.</w:t>
      </w:r>
      <w:r w:rsidRPr="002908E0">
        <w:rPr>
          <w:sz w:val="18"/>
          <w:szCs w:val="18"/>
          <w:lang w:val="fr-FR"/>
        </w:rPr>
        <w:t xml:space="preserve"> </w:t>
      </w:r>
      <w:r w:rsidR="004516A2" w:rsidRPr="002908E0">
        <w:rPr>
          <w:sz w:val="18"/>
          <w:szCs w:val="18"/>
          <w:lang w:val="fr-FR"/>
        </w:rPr>
        <w:t xml:space="preserve"> Le CAJ</w:t>
      </w:r>
      <w:r w:rsidR="0049455A" w:rsidRPr="002908E0">
        <w:rPr>
          <w:sz w:val="18"/>
          <w:szCs w:val="18"/>
          <w:lang w:val="fr-FR"/>
        </w:rPr>
        <w:noBreakHyphen/>
      </w:r>
      <w:r w:rsidR="00731F73" w:rsidRPr="002908E0">
        <w:rPr>
          <w:sz w:val="18"/>
          <w:szCs w:val="18"/>
          <w:lang w:val="fr-FR"/>
        </w:rPr>
        <w:t>AG note que, lors d</w:t>
      </w:r>
      <w:r w:rsidR="004516A2" w:rsidRPr="002908E0">
        <w:rPr>
          <w:sz w:val="18"/>
          <w:szCs w:val="18"/>
          <w:lang w:val="fr-FR"/>
        </w:rPr>
        <w:t>’</w:t>
      </w:r>
      <w:r w:rsidR="00731F73" w:rsidRPr="002908E0">
        <w:rPr>
          <w:sz w:val="18"/>
          <w:szCs w:val="18"/>
          <w:lang w:val="fr-FR"/>
        </w:rPr>
        <w:t>une future session</w:t>
      </w:r>
      <w:r w:rsidR="004516A2" w:rsidRPr="002908E0">
        <w:rPr>
          <w:sz w:val="18"/>
          <w:szCs w:val="18"/>
          <w:lang w:val="fr-FR"/>
        </w:rPr>
        <w:t xml:space="preserve"> du CAJ</w:t>
      </w:r>
      <w:r w:rsidR="0049455A" w:rsidRPr="002908E0">
        <w:rPr>
          <w:sz w:val="18"/>
          <w:szCs w:val="18"/>
          <w:lang w:val="fr-FR"/>
        </w:rPr>
        <w:noBreakHyphen/>
      </w:r>
      <w:r w:rsidR="00731F73" w:rsidRPr="002908E0">
        <w:rPr>
          <w:sz w:val="18"/>
          <w:szCs w:val="18"/>
          <w:lang w:val="fr-FR"/>
        </w:rPr>
        <w:t>AG, les délégations australienne, brésilienne et de l</w:t>
      </w:r>
      <w:r w:rsidR="004516A2" w:rsidRPr="002908E0">
        <w:rPr>
          <w:sz w:val="18"/>
          <w:szCs w:val="18"/>
          <w:lang w:val="fr-FR"/>
        </w:rPr>
        <w:t>’</w:t>
      </w:r>
      <w:r w:rsidR="00731F73" w:rsidRPr="002908E0">
        <w:rPr>
          <w:sz w:val="18"/>
          <w:szCs w:val="18"/>
          <w:lang w:val="fr-FR"/>
        </w:rPr>
        <w:t>Union européenne, ainsi que d</w:t>
      </w:r>
      <w:r w:rsidR="004516A2" w:rsidRPr="002908E0">
        <w:rPr>
          <w:sz w:val="18"/>
          <w:szCs w:val="18"/>
          <w:lang w:val="fr-FR"/>
        </w:rPr>
        <w:t>’</w:t>
      </w:r>
      <w:r w:rsidR="00731F73" w:rsidRPr="002908E0">
        <w:rPr>
          <w:sz w:val="18"/>
          <w:szCs w:val="18"/>
          <w:lang w:val="fr-FR"/>
        </w:rPr>
        <w:t>autres membres de l</w:t>
      </w:r>
      <w:r w:rsidR="004516A2" w:rsidRPr="002908E0">
        <w:rPr>
          <w:sz w:val="18"/>
          <w:szCs w:val="18"/>
          <w:lang w:val="fr-FR"/>
        </w:rPr>
        <w:t>’</w:t>
      </w:r>
      <w:r w:rsidR="00731F73" w:rsidRPr="002908E0">
        <w:rPr>
          <w:sz w:val="18"/>
          <w:szCs w:val="18"/>
          <w:lang w:val="fr-FR"/>
        </w:rPr>
        <w:t>Union, seront invitées à présenter des exposés sur leurs systèmes concernant les variétés essentiellement dérivées</w:t>
      </w:r>
      <w:r w:rsidRPr="002908E0">
        <w:rPr>
          <w:sz w:val="18"/>
          <w:szCs w:val="18"/>
          <w:lang w:val="fr-FR"/>
        </w:rPr>
        <w:t>”</w:t>
      </w:r>
      <w:r w:rsidR="0049455A" w:rsidRPr="002908E0">
        <w:rPr>
          <w:sz w:val="18"/>
          <w:szCs w:val="18"/>
          <w:lang w:val="fr-FR"/>
        </w:rPr>
        <w:t>.</w:t>
      </w:r>
    </w:p>
    <w:p w:rsidR="00D30F00" w:rsidRPr="002908E0" w:rsidRDefault="00D30F00" w:rsidP="00C17CEA">
      <w:pPr>
        <w:ind w:left="567" w:right="567"/>
        <w:rPr>
          <w:sz w:val="18"/>
          <w:szCs w:val="18"/>
          <w:lang w:val="fr-FR"/>
        </w:rPr>
      </w:pPr>
    </w:p>
    <w:p w:rsidR="00D30F00" w:rsidRPr="002908E0" w:rsidRDefault="0002041C" w:rsidP="00D76637">
      <w:pPr>
        <w:rPr>
          <w:kern w:val="28"/>
          <w:lang w:val="fr-FR"/>
        </w:rPr>
      </w:pPr>
      <w:r w:rsidRPr="002908E0">
        <w:rPr>
          <w:bCs/>
          <w:snapToGrid w:val="0"/>
          <w:lang w:val="fr-FR"/>
        </w:rPr>
        <w:fldChar w:fldCharType="begin"/>
      </w:r>
      <w:r w:rsidRPr="002908E0">
        <w:rPr>
          <w:bCs/>
          <w:snapToGrid w:val="0"/>
          <w:lang w:val="fr-FR"/>
        </w:rPr>
        <w:instrText xml:space="preserve"> AUTONUM  </w:instrText>
      </w:r>
      <w:r w:rsidRPr="002908E0">
        <w:rPr>
          <w:bCs/>
          <w:snapToGrid w:val="0"/>
          <w:lang w:val="fr-FR"/>
        </w:rPr>
        <w:fldChar w:fldCharType="end"/>
      </w:r>
      <w:r w:rsidRPr="002908E0">
        <w:rPr>
          <w:bCs/>
          <w:snapToGrid w:val="0"/>
          <w:lang w:val="fr-FR"/>
        </w:rPr>
        <w:tab/>
      </w:r>
      <w:r w:rsidR="00D76637" w:rsidRPr="002908E0">
        <w:rPr>
          <w:bCs/>
          <w:snapToGrid w:val="0"/>
          <w:lang w:val="fr-FR"/>
        </w:rPr>
        <w:t>Les faits nouveaux concernant l</w:t>
      </w:r>
      <w:r w:rsidR="004516A2" w:rsidRPr="002908E0">
        <w:rPr>
          <w:bCs/>
          <w:snapToGrid w:val="0"/>
          <w:lang w:val="fr-FR"/>
        </w:rPr>
        <w:t>’</w:t>
      </w:r>
      <w:r w:rsidR="00D76637" w:rsidRPr="002908E0">
        <w:rPr>
          <w:bCs/>
          <w:snapToGrid w:val="0"/>
          <w:lang w:val="fr-FR"/>
        </w:rPr>
        <w:t>élaboration d</w:t>
      </w:r>
      <w:r w:rsidR="004516A2" w:rsidRPr="002908E0">
        <w:rPr>
          <w:bCs/>
          <w:snapToGrid w:val="0"/>
          <w:lang w:val="fr-FR"/>
        </w:rPr>
        <w:t>’</w:t>
      </w:r>
      <w:r w:rsidR="00D76637" w:rsidRPr="002908E0">
        <w:rPr>
          <w:bCs/>
          <w:snapToGrid w:val="0"/>
          <w:lang w:val="fr-FR"/>
        </w:rPr>
        <w:t>orientations sur les variétés essentiellement dérivées sont présentés dans le document CAJ/70/2 “</w:t>
      </w:r>
      <w:r w:rsidR="00FB2BCB" w:rsidRPr="002908E0">
        <w:rPr>
          <w:kern w:val="28"/>
          <w:lang w:val="fr-FR"/>
        </w:rPr>
        <w:t>Élaboration de matériel d</w:t>
      </w:r>
      <w:r w:rsidR="004516A2" w:rsidRPr="002908E0">
        <w:rPr>
          <w:kern w:val="28"/>
          <w:lang w:val="fr-FR"/>
        </w:rPr>
        <w:t>’</w:t>
      </w:r>
      <w:r w:rsidR="00FB2BCB" w:rsidRPr="002908E0">
        <w:rPr>
          <w:kern w:val="28"/>
          <w:lang w:val="fr-FR"/>
        </w:rPr>
        <w:t xml:space="preserve">information concernant la </w:t>
      </w:r>
      <w:r w:rsidR="004516A2" w:rsidRPr="002908E0">
        <w:rPr>
          <w:kern w:val="28"/>
          <w:lang w:val="fr-FR"/>
        </w:rPr>
        <w:t>Convention UPOV</w:t>
      </w:r>
      <w:r w:rsidR="00D76637" w:rsidRPr="002908E0">
        <w:rPr>
          <w:bCs/>
          <w:snapToGrid w:val="0"/>
          <w:lang w:val="fr-FR"/>
        </w:rPr>
        <w:t>”.</w:t>
      </w:r>
    </w:p>
    <w:p w:rsidR="00D30F00" w:rsidRPr="002908E0" w:rsidRDefault="00D30F00" w:rsidP="00FA0F51">
      <w:pPr>
        <w:rPr>
          <w:kern w:val="28"/>
          <w:lang w:val="fr-FR"/>
        </w:rPr>
      </w:pPr>
    </w:p>
    <w:p w:rsidR="00D30F00" w:rsidRPr="002908E0" w:rsidRDefault="00D30F00" w:rsidP="00FA0F51">
      <w:pPr>
        <w:rPr>
          <w:u w:val="single"/>
          <w:lang w:val="fr-FR"/>
        </w:rPr>
      </w:pPr>
    </w:p>
    <w:p w:rsidR="00D30F00" w:rsidRPr="002908E0" w:rsidRDefault="00D76637" w:rsidP="00D76637">
      <w:pPr>
        <w:pStyle w:val="Heading2"/>
        <w:rPr>
          <w:lang w:val="fr-FR"/>
        </w:rPr>
      </w:pPr>
      <w:bookmarkStart w:id="9" w:name="_Toc395860242"/>
      <w:r w:rsidRPr="002908E0">
        <w:rPr>
          <w:lang w:val="fr-FR"/>
        </w:rPr>
        <w:t>Questions concernant la fréquence de la communication des données et l</w:t>
      </w:r>
      <w:r w:rsidR="004516A2" w:rsidRPr="002908E0">
        <w:rPr>
          <w:lang w:val="fr-FR"/>
        </w:rPr>
        <w:t>’</w:t>
      </w:r>
      <w:r w:rsidR="003056C2">
        <w:rPr>
          <w:lang w:val="fr-FR"/>
        </w:rPr>
        <w:t>exhaustivité des bases de </w:t>
      </w:r>
      <w:r w:rsidRPr="002908E0">
        <w:rPr>
          <w:lang w:val="fr-FR"/>
        </w:rPr>
        <w:t>données</w:t>
      </w:r>
      <w:bookmarkEnd w:id="9"/>
    </w:p>
    <w:p w:rsidR="00D30F00" w:rsidRPr="002908E0" w:rsidRDefault="00D30F00" w:rsidP="00C17CEA">
      <w:pPr>
        <w:pStyle w:val="Heading2"/>
        <w:rPr>
          <w:lang w:val="fr-FR"/>
        </w:rPr>
      </w:pPr>
    </w:p>
    <w:p w:rsidR="00D30F00" w:rsidRPr="002908E0" w:rsidRDefault="00994491" w:rsidP="00F104BC">
      <w:pPr>
        <w:rPr>
          <w:lang w:val="fr-FR"/>
        </w:rPr>
      </w:pPr>
      <w:r w:rsidRPr="002908E0">
        <w:rPr>
          <w:snapToGrid w:val="0"/>
          <w:lang w:val="fr-FR"/>
        </w:rPr>
        <w:fldChar w:fldCharType="begin"/>
      </w:r>
      <w:r w:rsidRPr="002908E0">
        <w:rPr>
          <w:snapToGrid w:val="0"/>
          <w:lang w:val="fr-FR"/>
        </w:rPr>
        <w:instrText xml:space="preserve"> AUTONUM  </w:instrText>
      </w:r>
      <w:r w:rsidRPr="002908E0">
        <w:rPr>
          <w:snapToGrid w:val="0"/>
          <w:lang w:val="fr-FR"/>
        </w:rPr>
        <w:fldChar w:fldCharType="end"/>
      </w:r>
      <w:r w:rsidRPr="002908E0">
        <w:rPr>
          <w:snapToGrid w:val="0"/>
          <w:lang w:val="fr-FR"/>
        </w:rPr>
        <w:tab/>
      </w:r>
      <w:r w:rsidR="005A6160" w:rsidRPr="002908E0">
        <w:rPr>
          <w:snapToGrid w:val="0"/>
          <w:lang w:val="fr-FR"/>
        </w:rPr>
        <w:t>À sa soixante</w:t>
      </w:r>
      <w:r w:rsidR="0049455A" w:rsidRPr="002908E0">
        <w:rPr>
          <w:snapToGrid w:val="0"/>
          <w:lang w:val="fr-FR"/>
        </w:rPr>
        <w:noBreakHyphen/>
      </w:r>
      <w:r w:rsidR="005A6160" w:rsidRPr="002908E0">
        <w:rPr>
          <w:snapToGrid w:val="0"/>
          <w:lang w:val="fr-FR"/>
        </w:rPr>
        <w:t>neuv</w:t>
      </w:r>
      <w:r w:rsidR="00F104BC" w:rsidRPr="002908E0">
        <w:rPr>
          <w:snapToGrid w:val="0"/>
          <w:lang w:val="fr-FR"/>
        </w:rPr>
        <w:t>ième</w:t>
      </w:r>
      <w:r w:rsidR="00F21B25" w:rsidRPr="002908E0">
        <w:rPr>
          <w:snapToGrid w:val="0"/>
          <w:lang w:val="fr-FR"/>
        </w:rPr>
        <w:t> </w:t>
      </w:r>
      <w:r w:rsidR="00F104BC" w:rsidRPr="002908E0">
        <w:rPr>
          <w:snapToGrid w:val="0"/>
          <w:lang w:val="fr-FR"/>
        </w:rPr>
        <w:t>session</w:t>
      </w:r>
      <w:r w:rsidR="005A6160" w:rsidRPr="002908E0">
        <w:rPr>
          <w:snapToGrid w:val="0"/>
          <w:lang w:val="fr-FR"/>
        </w:rPr>
        <w:t>,</w:t>
      </w:r>
      <w:r w:rsidR="00F104BC" w:rsidRPr="002908E0">
        <w:rPr>
          <w:snapToGrid w:val="0"/>
          <w:lang w:val="fr-FR"/>
        </w:rPr>
        <w:t xml:space="preserve"> tenue à Genève le 1</w:t>
      </w:r>
      <w:r w:rsidR="004516A2" w:rsidRPr="002908E0">
        <w:rPr>
          <w:snapToGrid w:val="0"/>
          <w:lang w:val="fr-FR"/>
        </w:rPr>
        <w:t>0 avril 20</w:t>
      </w:r>
      <w:r w:rsidR="00F104BC" w:rsidRPr="002908E0">
        <w:rPr>
          <w:snapToGrid w:val="0"/>
          <w:lang w:val="fr-FR"/>
        </w:rPr>
        <w:t>14,</w:t>
      </w:r>
      <w:r w:rsidR="004516A2" w:rsidRPr="002908E0">
        <w:rPr>
          <w:snapToGrid w:val="0"/>
          <w:lang w:val="fr-FR"/>
        </w:rPr>
        <w:t xml:space="preserve"> le CAJ</w:t>
      </w:r>
      <w:r w:rsidR="00F104BC" w:rsidRPr="002908E0">
        <w:rPr>
          <w:snapToGrid w:val="0"/>
          <w:lang w:val="fr-FR"/>
        </w:rPr>
        <w:t xml:space="preserve"> a examiné le document CAJ/69/10 “Questions soulevées par l</w:t>
      </w:r>
      <w:r w:rsidR="004516A2" w:rsidRPr="002908E0">
        <w:rPr>
          <w:snapToGrid w:val="0"/>
          <w:lang w:val="fr-FR"/>
        </w:rPr>
        <w:t>’</w:t>
      </w:r>
      <w:r w:rsidR="00F104BC" w:rsidRPr="002908E0">
        <w:rPr>
          <w:snapToGrid w:val="0"/>
          <w:lang w:val="fr-FR"/>
        </w:rPr>
        <w:t xml:space="preserve">International </w:t>
      </w:r>
      <w:proofErr w:type="spellStart"/>
      <w:r w:rsidR="00F104BC" w:rsidRPr="002908E0">
        <w:rPr>
          <w:snapToGrid w:val="0"/>
          <w:lang w:val="fr-FR"/>
        </w:rPr>
        <w:t>Seed</w:t>
      </w:r>
      <w:proofErr w:type="spellEnd"/>
      <w:r w:rsidR="00F104BC" w:rsidRPr="002908E0">
        <w:rPr>
          <w:snapToGrid w:val="0"/>
          <w:lang w:val="fr-FR"/>
        </w:rPr>
        <w:t xml:space="preserve"> </w:t>
      </w:r>
      <w:proofErr w:type="spellStart"/>
      <w:r w:rsidR="00F104BC" w:rsidRPr="002908E0">
        <w:rPr>
          <w:snapToGrid w:val="0"/>
          <w:lang w:val="fr-FR"/>
        </w:rPr>
        <w:t>Federation</w:t>
      </w:r>
      <w:proofErr w:type="spellEnd"/>
      <w:r w:rsidR="00F104BC" w:rsidRPr="002908E0">
        <w:rPr>
          <w:snapToGrid w:val="0"/>
          <w:lang w:val="fr-FR"/>
        </w:rPr>
        <w:t xml:space="preserve"> (ISF)” et noté que le document CAJ/69/6 “Bases de données d</w:t>
      </w:r>
      <w:r w:rsidR="004516A2" w:rsidRPr="002908E0">
        <w:rPr>
          <w:snapToGrid w:val="0"/>
          <w:lang w:val="fr-FR"/>
        </w:rPr>
        <w:t>’</w:t>
      </w:r>
      <w:r w:rsidR="00F104BC" w:rsidRPr="002908E0">
        <w:rPr>
          <w:snapToGrid w:val="0"/>
          <w:lang w:val="fr-FR"/>
        </w:rPr>
        <w:t>information de l</w:t>
      </w:r>
      <w:r w:rsidR="004516A2" w:rsidRPr="002908E0">
        <w:rPr>
          <w:snapToGrid w:val="0"/>
          <w:lang w:val="fr-FR"/>
        </w:rPr>
        <w:t>’</w:t>
      </w:r>
      <w:r w:rsidR="00F104BC" w:rsidRPr="002908E0">
        <w:rPr>
          <w:snapToGrid w:val="0"/>
          <w:lang w:val="fr-FR"/>
        </w:rPr>
        <w:t>UPOV” contenait des questions pertinentes sur la communication régulière d</w:t>
      </w:r>
      <w:r w:rsidR="004516A2" w:rsidRPr="002908E0">
        <w:rPr>
          <w:snapToGrid w:val="0"/>
          <w:lang w:val="fr-FR"/>
        </w:rPr>
        <w:t>’</w:t>
      </w:r>
      <w:r w:rsidR="00F104BC" w:rsidRPr="002908E0">
        <w:rPr>
          <w:snapToGrid w:val="0"/>
          <w:lang w:val="fr-FR"/>
        </w:rPr>
        <w:t>informations à la base de données sur les variétés végétales PLUTO e</w:t>
      </w:r>
      <w:r w:rsidR="005A6160" w:rsidRPr="002908E0">
        <w:rPr>
          <w:snapToGrid w:val="0"/>
          <w:lang w:val="fr-FR"/>
        </w:rPr>
        <w:t>t que le document CAJ/69/6 cont</w:t>
      </w:r>
      <w:r w:rsidR="00F104BC" w:rsidRPr="002908E0">
        <w:rPr>
          <w:snapToGrid w:val="0"/>
          <w:lang w:val="fr-FR"/>
        </w:rPr>
        <w:t>en</w:t>
      </w:r>
      <w:r w:rsidR="005A6160" w:rsidRPr="002908E0">
        <w:rPr>
          <w:snapToGrid w:val="0"/>
          <w:lang w:val="fr-FR"/>
        </w:rPr>
        <w:t>ai</w:t>
      </w:r>
      <w:r w:rsidR="00F104BC" w:rsidRPr="002908E0">
        <w:rPr>
          <w:snapToGrid w:val="0"/>
          <w:lang w:val="fr-FR"/>
        </w:rPr>
        <w:t>t les réponses à une enquête auprès des membres de l</w:t>
      </w:r>
      <w:r w:rsidR="004516A2" w:rsidRPr="002908E0">
        <w:rPr>
          <w:snapToGrid w:val="0"/>
          <w:lang w:val="fr-FR"/>
        </w:rPr>
        <w:t>’</w:t>
      </w:r>
      <w:r w:rsidR="00F104BC" w:rsidRPr="002908E0">
        <w:rPr>
          <w:snapToGrid w:val="0"/>
          <w:lang w:val="fr-FR"/>
        </w:rPr>
        <w:t>Union quant à leur utilisation des bases de données aux fins de la protection des obtentions végétales, ainsi que leur utilisation des systèmes de dépôt électronique des demandes (voir le paragraphe</w:t>
      </w:r>
      <w:r w:rsidR="00F21B25" w:rsidRPr="002908E0">
        <w:rPr>
          <w:snapToGrid w:val="0"/>
          <w:lang w:val="fr-FR"/>
        </w:rPr>
        <w:t> </w:t>
      </w:r>
      <w:r w:rsidR="00F104BC" w:rsidRPr="002908E0">
        <w:rPr>
          <w:snapToGrid w:val="0"/>
          <w:lang w:val="fr-FR"/>
        </w:rPr>
        <w:t>89 du document CAJ/69/12 “Compte rendu des conclusions”).</w:t>
      </w:r>
    </w:p>
    <w:p w:rsidR="00D30F00" w:rsidRPr="002908E0" w:rsidRDefault="00D30F00" w:rsidP="00207D56">
      <w:pPr>
        <w:rPr>
          <w:snapToGrid w:val="0"/>
          <w:lang w:val="fr-FR"/>
        </w:rPr>
      </w:pPr>
    </w:p>
    <w:p w:rsidR="00D30F00" w:rsidRPr="002908E0" w:rsidRDefault="00994491" w:rsidP="005661AD">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5661AD" w:rsidRPr="002908E0">
        <w:rPr>
          <w:lang w:val="fr-FR"/>
        </w:rPr>
        <w:t>À sa soixante</w:t>
      </w:r>
      <w:r w:rsidR="0049455A" w:rsidRPr="002908E0">
        <w:rPr>
          <w:lang w:val="fr-FR"/>
        </w:rPr>
        <w:noBreakHyphen/>
      </w:r>
      <w:r w:rsidR="005661AD" w:rsidRPr="002908E0">
        <w:rPr>
          <w:lang w:val="fr-FR"/>
        </w:rPr>
        <w:t>neuvième</w:t>
      </w:r>
      <w:r w:rsidR="00F21B25" w:rsidRPr="002908E0">
        <w:rPr>
          <w:lang w:val="fr-FR"/>
        </w:rPr>
        <w:t> </w:t>
      </w:r>
      <w:r w:rsidR="005661AD" w:rsidRPr="002908E0">
        <w:rPr>
          <w:lang w:val="fr-FR"/>
        </w:rPr>
        <w:t>session,</w:t>
      </w:r>
      <w:r w:rsidR="004516A2" w:rsidRPr="002908E0">
        <w:rPr>
          <w:lang w:val="fr-FR"/>
        </w:rPr>
        <w:t xml:space="preserve"> le CAJ</w:t>
      </w:r>
      <w:r w:rsidR="005661AD" w:rsidRPr="002908E0">
        <w:rPr>
          <w:lang w:val="fr-FR"/>
        </w:rPr>
        <w:t xml:space="preserve"> est convenu d</w:t>
      </w:r>
      <w:r w:rsidR="004516A2" w:rsidRPr="002908E0">
        <w:rPr>
          <w:lang w:val="fr-FR"/>
        </w:rPr>
        <w:t>’</w:t>
      </w:r>
      <w:r w:rsidR="005661AD" w:rsidRPr="002908E0">
        <w:rPr>
          <w:lang w:val="fr-FR"/>
        </w:rPr>
        <w:t>élaborer des orientations sur la fréquence de la communication des données et l</w:t>
      </w:r>
      <w:r w:rsidR="004516A2" w:rsidRPr="002908E0">
        <w:rPr>
          <w:lang w:val="fr-FR"/>
        </w:rPr>
        <w:t>’</w:t>
      </w:r>
      <w:r w:rsidR="005661AD" w:rsidRPr="002908E0">
        <w:rPr>
          <w:lang w:val="fr-FR"/>
        </w:rPr>
        <w:t>exhaustivité des bases de données parallèlement à la mise à jour du document UPOV/INF/5 “Bulletin type de l</w:t>
      </w:r>
      <w:r w:rsidR="004516A2" w:rsidRPr="002908E0">
        <w:rPr>
          <w:lang w:val="fr-FR"/>
        </w:rPr>
        <w:t>’</w:t>
      </w:r>
      <w:r w:rsidR="005661AD" w:rsidRPr="002908E0">
        <w:rPr>
          <w:lang w:val="fr-FR"/>
        </w:rPr>
        <w:t>UPOV de la protection des obtentions végétales</w:t>
      </w:r>
      <w:r w:rsidR="00F21B25" w:rsidRPr="002908E0">
        <w:rPr>
          <w:lang w:val="fr-FR"/>
        </w:rPr>
        <w:t>”</w:t>
      </w:r>
      <w:r w:rsidR="005A6160" w:rsidRPr="002908E0">
        <w:rPr>
          <w:lang w:val="fr-FR"/>
        </w:rPr>
        <w:t>,</w:t>
      </w:r>
      <w:r w:rsidR="005661AD" w:rsidRPr="002908E0">
        <w:rPr>
          <w:lang w:val="fr-FR"/>
        </w:rPr>
        <w:t xml:space="preserve"> comme indiqué dans le document UPOV/INF/15 “Document d</w:t>
      </w:r>
      <w:r w:rsidR="004516A2" w:rsidRPr="002908E0">
        <w:rPr>
          <w:lang w:val="fr-FR"/>
        </w:rPr>
        <w:t>’</w:t>
      </w:r>
      <w:r w:rsidR="005661AD" w:rsidRPr="002908E0">
        <w:rPr>
          <w:lang w:val="fr-FR"/>
        </w:rPr>
        <w:t>orientation destiné aux membres de l</w:t>
      </w:r>
      <w:r w:rsidR="004516A2" w:rsidRPr="002908E0">
        <w:rPr>
          <w:lang w:val="fr-FR"/>
        </w:rPr>
        <w:t>’</w:t>
      </w:r>
      <w:r w:rsidR="005661AD" w:rsidRPr="002908E0">
        <w:rPr>
          <w:lang w:val="fr-FR"/>
        </w:rPr>
        <w:t>UPOV concernant les obligations en cours et les notifications connexes ainsi que la fourniture d</w:t>
      </w:r>
      <w:r w:rsidR="004516A2" w:rsidRPr="002908E0">
        <w:rPr>
          <w:lang w:val="fr-FR"/>
        </w:rPr>
        <w:t>’</w:t>
      </w:r>
      <w:r w:rsidR="005661AD" w:rsidRPr="002908E0">
        <w:rPr>
          <w:lang w:val="fr-FR"/>
        </w:rPr>
        <w:t>informations visant à faciliter la coo</w:t>
      </w:r>
      <w:r w:rsidR="005901DF" w:rsidRPr="002908E0">
        <w:rPr>
          <w:lang w:val="fr-FR"/>
        </w:rPr>
        <w:t>pération” (voir le paragr</w:t>
      </w:r>
      <w:r w:rsidR="005661AD" w:rsidRPr="002908E0">
        <w:rPr>
          <w:lang w:val="fr-FR"/>
        </w:rPr>
        <w:t>a</w:t>
      </w:r>
      <w:r w:rsidR="005901DF" w:rsidRPr="002908E0">
        <w:rPr>
          <w:lang w:val="fr-FR"/>
        </w:rPr>
        <w:t>p</w:t>
      </w:r>
      <w:r w:rsidR="005661AD" w:rsidRPr="002908E0">
        <w:rPr>
          <w:lang w:val="fr-FR"/>
        </w:rPr>
        <w:t>he</w:t>
      </w:r>
      <w:r w:rsidR="00F21B25" w:rsidRPr="002908E0">
        <w:rPr>
          <w:lang w:val="fr-FR"/>
        </w:rPr>
        <w:t> </w:t>
      </w:r>
      <w:r w:rsidR="005661AD" w:rsidRPr="002908E0">
        <w:rPr>
          <w:lang w:val="fr-FR"/>
        </w:rPr>
        <w:t>90 du document CAJ/69/12 “Compte rendu des conclusions”).</w:t>
      </w:r>
    </w:p>
    <w:p w:rsidR="00D30F00" w:rsidRPr="002908E0" w:rsidRDefault="00D30F00" w:rsidP="00994491">
      <w:pPr>
        <w:rPr>
          <w:lang w:val="fr-FR"/>
        </w:rPr>
      </w:pPr>
    </w:p>
    <w:p w:rsidR="00D30F00" w:rsidRPr="002908E0" w:rsidRDefault="001D48D3" w:rsidP="00FB2342">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FB2342" w:rsidRPr="002908E0">
        <w:rPr>
          <w:lang w:val="fr-FR"/>
        </w:rPr>
        <w:t>Les faits nouveaux intervenus en ce qui concerne l</w:t>
      </w:r>
      <w:r w:rsidR="004516A2" w:rsidRPr="002908E0">
        <w:rPr>
          <w:lang w:val="fr-FR"/>
        </w:rPr>
        <w:t>’</w:t>
      </w:r>
      <w:r w:rsidR="00FB2342" w:rsidRPr="002908E0">
        <w:rPr>
          <w:lang w:val="fr-FR"/>
        </w:rPr>
        <w:t>élaboration d</w:t>
      </w:r>
      <w:r w:rsidR="004516A2" w:rsidRPr="002908E0">
        <w:rPr>
          <w:lang w:val="fr-FR"/>
        </w:rPr>
        <w:t>’</w:t>
      </w:r>
      <w:r w:rsidR="00FB2342" w:rsidRPr="002908E0">
        <w:rPr>
          <w:lang w:val="fr-FR"/>
        </w:rPr>
        <w:t>orientations sur la fréquence de la communication des données et l</w:t>
      </w:r>
      <w:r w:rsidR="004516A2" w:rsidRPr="002908E0">
        <w:rPr>
          <w:lang w:val="fr-FR"/>
        </w:rPr>
        <w:t>’</w:t>
      </w:r>
      <w:r w:rsidR="00FB2342" w:rsidRPr="002908E0">
        <w:rPr>
          <w:lang w:val="fr-FR"/>
        </w:rPr>
        <w:t>exhaustivité des bases de données sont présentés dans le document CAJ/70/5 “</w:t>
      </w:r>
      <w:r w:rsidR="00FB2BCB" w:rsidRPr="002908E0">
        <w:rPr>
          <w:kern w:val="28"/>
          <w:lang w:val="fr-FR"/>
        </w:rPr>
        <w:t xml:space="preserve"> Document d</w:t>
      </w:r>
      <w:r w:rsidR="004516A2" w:rsidRPr="002908E0">
        <w:rPr>
          <w:kern w:val="28"/>
          <w:lang w:val="fr-FR"/>
        </w:rPr>
        <w:t>’</w:t>
      </w:r>
      <w:r w:rsidR="00FB2BCB" w:rsidRPr="002908E0">
        <w:rPr>
          <w:kern w:val="28"/>
          <w:lang w:val="fr-FR"/>
        </w:rPr>
        <w:t>orientation destiné aux membres de l</w:t>
      </w:r>
      <w:r w:rsidR="004516A2" w:rsidRPr="002908E0">
        <w:rPr>
          <w:kern w:val="28"/>
          <w:lang w:val="fr-FR"/>
        </w:rPr>
        <w:t>’</w:t>
      </w:r>
      <w:r w:rsidR="00FB2BCB" w:rsidRPr="002908E0">
        <w:rPr>
          <w:kern w:val="28"/>
          <w:lang w:val="fr-FR"/>
        </w:rPr>
        <w:t>UPOV concernant les obligations en cours et les notifications connexes, ainsi que la fourniture d</w:t>
      </w:r>
      <w:r w:rsidR="004516A2" w:rsidRPr="002908E0">
        <w:rPr>
          <w:kern w:val="28"/>
          <w:lang w:val="fr-FR"/>
        </w:rPr>
        <w:t>’</w:t>
      </w:r>
      <w:r w:rsidR="00FB2BCB" w:rsidRPr="002908E0">
        <w:rPr>
          <w:kern w:val="28"/>
          <w:lang w:val="fr-FR"/>
        </w:rPr>
        <w:t>informations visant à faciliter la coopération (révision)</w:t>
      </w:r>
      <w:r w:rsidR="00FB2342" w:rsidRPr="002908E0">
        <w:rPr>
          <w:lang w:val="fr-FR"/>
        </w:rPr>
        <w:t>”.</w:t>
      </w:r>
    </w:p>
    <w:p w:rsidR="00D30F00" w:rsidRPr="002908E0" w:rsidRDefault="00D30F00" w:rsidP="00994491">
      <w:pPr>
        <w:rPr>
          <w:snapToGrid w:val="0"/>
          <w:lang w:val="fr-FR"/>
        </w:rPr>
      </w:pPr>
    </w:p>
    <w:p w:rsidR="00D30F00" w:rsidRPr="002908E0" w:rsidRDefault="00D30F00" w:rsidP="00FA0F51">
      <w:pPr>
        <w:rPr>
          <w:snapToGrid w:val="0"/>
          <w:lang w:val="fr-FR"/>
        </w:rPr>
      </w:pPr>
    </w:p>
    <w:p w:rsidR="00D30F00" w:rsidRPr="002908E0" w:rsidRDefault="00FB2342" w:rsidP="00FB2342">
      <w:pPr>
        <w:pStyle w:val="Heading2"/>
        <w:rPr>
          <w:lang w:val="fr-FR"/>
        </w:rPr>
      </w:pPr>
      <w:bookmarkStart w:id="10" w:name="_Toc395860243"/>
      <w:r w:rsidRPr="002908E0">
        <w:rPr>
          <w:lang w:val="fr-FR"/>
        </w:rPr>
        <w:t>Cours d</w:t>
      </w:r>
      <w:r w:rsidR="004516A2" w:rsidRPr="002908E0">
        <w:rPr>
          <w:lang w:val="fr-FR"/>
        </w:rPr>
        <w:t>’</w:t>
      </w:r>
      <w:r w:rsidRPr="002908E0">
        <w:rPr>
          <w:lang w:val="fr-FR"/>
        </w:rPr>
        <w:t>enseignement à distance “Examen des demandes de droits d</w:t>
      </w:r>
      <w:r w:rsidR="004516A2" w:rsidRPr="002908E0">
        <w:rPr>
          <w:lang w:val="fr-FR"/>
        </w:rPr>
        <w:t>’</w:t>
      </w:r>
      <w:r w:rsidRPr="002908E0">
        <w:rPr>
          <w:lang w:val="fr-FR"/>
        </w:rPr>
        <w:t>obtenteur” (DL</w:t>
      </w:r>
      <w:r w:rsidR="0049455A" w:rsidRPr="002908E0">
        <w:rPr>
          <w:lang w:val="fr-FR"/>
        </w:rPr>
        <w:noBreakHyphen/>
      </w:r>
      <w:r w:rsidRPr="002908E0">
        <w:rPr>
          <w:lang w:val="fr-FR"/>
        </w:rPr>
        <w:t>305)</w:t>
      </w:r>
      <w:bookmarkEnd w:id="10"/>
    </w:p>
    <w:p w:rsidR="00D30F00" w:rsidRPr="002908E0" w:rsidRDefault="00D30F00" w:rsidP="00FA0F51">
      <w:pPr>
        <w:rPr>
          <w:snapToGrid w:val="0"/>
          <w:u w:val="single"/>
          <w:lang w:val="fr-FR"/>
        </w:rPr>
      </w:pPr>
    </w:p>
    <w:p w:rsidR="004516A2" w:rsidRPr="002908E0" w:rsidRDefault="00FA0F51" w:rsidP="00FB2342">
      <w:pPr>
        <w:rPr>
          <w:lang w:val="fr-FR"/>
        </w:rPr>
      </w:pPr>
      <w:r w:rsidRPr="002908E0">
        <w:rPr>
          <w:snapToGrid w:val="0"/>
          <w:lang w:val="fr-FR"/>
        </w:rPr>
        <w:fldChar w:fldCharType="begin"/>
      </w:r>
      <w:r w:rsidRPr="002908E0">
        <w:rPr>
          <w:snapToGrid w:val="0"/>
          <w:lang w:val="fr-FR"/>
        </w:rPr>
        <w:instrText xml:space="preserve"> AUTONUM  </w:instrText>
      </w:r>
      <w:r w:rsidRPr="002908E0">
        <w:rPr>
          <w:snapToGrid w:val="0"/>
          <w:lang w:val="fr-FR"/>
        </w:rPr>
        <w:fldChar w:fldCharType="end"/>
      </w:r>
      <w:r w:rsidRPr="002908E0">
        <w:rPr>
          <w:snapToGrid w:val="0"/>
          <w:lang w:val="fr-FR"/>
        </w:rPr>
        <w:tab/>
      </w:r>
      <w:r w:rsidR="00FB2342" w:rsidRPr="002908E0">
        <w:rPr>
          <w:snapToGrid w:val="0"/>
          <w:lang w:val="fr-FR"/>
        </w:rPr>
        <w:t>Les cours d</w:t>
      </w:r>
      <w:r w:rsidR="004516A2" w:rsidRPr="002908E0">
        <w:rPr>
          <w:snapToGrid w:val="0"/>
          <w:lang w:val="fr-FR"/>
        </w:rPr>
        <w:t>’</w:t>
      </w:r>
      <w:r w:rsidR="00FB2342" w:rsidRPr="002908E0">
        <w:rPr>
          <w:snapToGrid w:val="0"/>
          <w:lang w:val="fr-FR"/>
        </w:rPr>
        <w:t>enseignement à distance DL</w:t>
      </w:r>
      <w:r w:rsidR="0049455A" w:rsidRPr="002908E0">
        <w:rPr>
          <w:snapToGrid w:val="0"/>
          <w:lang w:val="fr-FR"/>
        </w:rPr>
        <w:noBreakHyphen/>
      </w:r>
      <w:r w:rsidR="00FB2342" w:rsidRPr="002908E0">
        <w:rPr>
          <w:snapToGrid w:val="0"/>
          <w:lang w:val="fr-FR"/>
        </w:rPr>
        <w:t>305 “Examen des demandes de droits d</w:t>
      </w:r>
      <w:r w:rsidR="004516A2" w:rsidRPr="002908E0">
        <w:rPr>
          <w:snapToGrid w:val="0"/>
          <w:lang w:val="fr-FR"/>
        </w:rPr>
        <w:t>’</w:t>
      </w:r>
      <w:r w:rsidR="00FB2342" w:rsidRPr="002908E0">
        <w:rPr>
          <w:snapToGrid w:val="0"/>
          <w:lang w:val="fr-FR"/>
        </w:rPr>
        <w:t>obtenteur” et DL</w:t>
      </w:r>
      <w:r w:rsidR="0049455A" w:rsidRPr="002908E0">
        <w:rPr>
          <w:snapToGrid w:val="0"/>
          <w:lang w:val="fr-FR"/>
        </w:rPr>
        <w:noBreakHyphen/>
      </w:r>
      <w:r w:rsidR="00FB2342" w:rsidRPr="002908E0">
        <w:rPr>
          <w:snapToGrid w:val="0"/>
          <w:lang w:val="fr-FR"/>
        </w:rPr>
        <w:t xml:space="preserve">305A </w:t>
      </w:r>
      <w:r w:rsidR="00F21B25" w:rsidRPr="002908E0">
        <w:rPr>
          <w:snapToGrid w:val="0"/>
          <w:lang w:val="fr-FR"/>
        </w:rPr>
        <w:t>“</w:t>
      </w:r>
      <w:r w:rsidR="00FB2342" w:rsidRPr="002908E0">
        <w:rPr>
          <w:snapToGrid w:val="0"/>
          <w:lang w:val="fr-FR"/>
        </w:rPr>
        <w:t>Administration des droits d</w:t>
      </w:r>
      <w:r w:rsidR="004516A2" w:rsidRPr="002908E0">
        <w:rPr>
          <w:snapToGrid w:val="0"/>
          <w:lang w:val="fr-FR"/>
        </w:rPr>
        <w:t>’</w:t>
      </w:r>
      <w:r w:rsidR="00FB2342" w:rsidRPr="002908E0">
        <w:rPr>
          <w:snapToGrid w:val="0"/>
          <w:lang w:val="fr-FR"/>
        </w:rPr>
        <w:t>obtenteur</w:t>
      </w:r>
      <w:r w:rsidR="00F21B25" w:rsidRPr="002908E0">
        <w:rPr>
          <w:snapToGrid w:val="0"/>
          <w:lang w:val="fr-FR"/>
        </w:rPr>
        <w:t>”</w:t>
      </w:r>
      <w:r w:rsidR="00035473" w:rsidRPr="002908E0">
        <w:rPr>
          <w:snapToGrid w:val="0"/>
          <w:lang w:val="fr-FR"/>
        </w:rPr>
        <w:t xml:space="preserve"> contiennent le m</w:t>
      </w:r>
      <w:r w:rsidR="00FB2342" w:rsidRPr="002908E0">
        <w:rPr>
          <w:snapToGrid w:val="0"/>
          <w:lang w:val="fr-FR"/>
        </w:rPr>
        <w:t>odule</w:t>
      </w:r>
      <w:r w:rsidR="00035473" w:rsidRPr="002908E0">
        <w:rPr>
          <w:snapToGrid w:val="0"/>
          <w:lang w:val="fr-FR"/>
        </w:rPr>
        <w:t> </w:t>
      </w:r>
      <w:r w:rsidR="00FB2342" w:rsidRPr="002908E0">
        <w:rPr>
          <w:snapToGrid w:val="0"/>
          <w:lang w:val="fr-FR"/>
        </w:rPr>
        <w:t>4 </w:t>
      </w:r>
      <w:r w:rsidR="0049455A" w:rsidRPr="002908E0">
        <w:rPr>
          <w:snapToGrid w:val="0"/>
          <w:lang w:val="fr-FR"/>
        </w:rPr>
        <w:t>“</w:t>
      </w:r>
      <w:r w:rsidR="00FB2342" w:rsidRPr="002908E0">
        <w:rPr>
          <w:snapToGrid w:val="0"/>
          <w:lang w:val="fr-FR"/>
        </w:rPr>
        <w:t>Informations à publier</w:t>
      </w:r>
      <w:r w:rsidR="00F21B25" w:rsidRPr="002908E0">
        <w:rPr>
          <w:snapToGrid w:val="0"/>
          <w:lang w:val="fr-FR"/>
        </w:rPr>
        <w:t>”.</w:t>
      </w:r>
      <w:r w:rsidRPr="002908E0">
        <w:rPr>
          <w:lang w:val="fr-FR"/>
        </w:rPr>
        <w:t xml:space="preserve">  </w:t>
      </w:r>
      <w:r w:rsidR="0049455A" w:rsidRPr="002908E0">
        <w:rPr>
          <w:snapToGrid w:val="0"/>
          <w:lang w:val="fr-FR"/>
        </w:rPr>
        <w:t>Le module </w:t>
      </w:r>
      <w:r w:rsidR="00FB2342" w:rsidRPr="002908E0">
        <w:rPr>
          <w:snapToGrid w:val="0"/>
          <w:lang w:val="fr-FR"/>
        </w:rPr>
        <w:t>4 figure dans l</w:t>
      </w:r>
      <w:r w:rsidR="004516A2" w:rsidRPr="002908E0">
        <w:rPr>
          <w:snapToGrid w:val="0"/>
          <w:lang w:val="fr-FR"/>
        </w:rPr>
        <w:t>’</w:t>
      </w:r>
      <w:r w:rsidR="00FB2342" w:rsidRPr="002908E0">
        <w:rPr>
          <w:snapToGrid w:val="0"/>
          <w:lang w:val="fr-FR"/>
        </w:rPr>
        <w:t>annexe du présent document.</w:t>
      </w:r>
    </w:p>
    <w:p w:rsidR="00D30F00" w:rsidRPr="002908E0" w:rsidRDefault="00D30F00" w:rsidP="00FA0F51">
      <w:pPr>
        <w:rPr>
          <w:lang w:val="fr-FR"/>
        </w:rPr>
      </w:pPr>
    </w:p>
    <w:p w:rsidR="00D30F00" w:rsidRPr="002908E0" w:rsidRDefault="00D30F00" w:rsidP="00E9366A">
      <w:pPr>
        <w:pStyle w:val="Heading1"/>
        <w:rPr>
          <w:lang w:val="fr-FR"/>
        </w:rPr>
      </w:pPr>
      <w:bookmarkStart w:id="11" w:name="_Toc394677134"/>
    </w:p>
    <w:p w:rsidR="00D30F00" w:rsidRPr="002908E0" w:rsidRDefault="00FB2342" w:rsidP="00FB2342">
      <w:pPr>
        <w:pStyle w:val="Heading1"/>
        <w:rPr>
          <w:lang w:val="fr-FR"/>
        </w:rPr>
      </w:pPr>
      <w:bookmarkStart w:id="12" w:name="_Toc395860244"/>
      <w:bookmarkEnd w:id="11"/>
      <w:r w:rsidRPr="002908E0">
        <w:rPr>
          <w:lang w:val="fr-FR"/>
        </w:rPr>
        <w:t xml:space="preserve">III. </w:t>
      </w:r>
      <w:r w:rsidR="00035473" w:rsidRPr="002908E0">
        <w:rPr>
          <w:lang w:val="fr-FR"/>
        </w:rPr>
        <w:tab/>
      </w:r>
      <w:r w:rsidRPr="002908E0">
        <w:rPr>
          <w:lang w:val="fr-FR"/>
        </w:rPr>
        <w:t>proposition concernant la mise à jour du DOCUMENT UPOV/INF/5</w:t>
      </w:r>
      <w:bookmarkEnd w:id="12"/>
    </w:p>
    <w:p w:rsidR="00D30F00" w:rsidRPr="002908E0" w:rsidRDefault="00D30F00" w:rsidP="00097E1F">
      <w:pPr>
        <w:rPr>
          <w:lang w:val="fr-FR"/>
        </w:rPr>
      </w:pPr>
    </w:p>
    <w:p w:rsidR="00D30F00" w:rsidRPr="002908E0" w:rsidRDefault="00097E1F" w:rsidP="00FB2342">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FB2342" w:rsidRPr="002908E0">
        <w:rPr>
          <w:lang w:val="fr-FR"/>
        </w:rPr>
        <w:t>À sa soixante</w:t>
      </w:r>
      <w:r w:rsidR="0049455A" w:rsidRPr="002908E0">
        <w:rPr>
          <w:lang w:val="fr-FR"/>
        </w:rPr>
        <w:noBreakHyphen/>
      </w:r>
      <w:r w:rsidR="00FB2342" w:rsidRPr="002908E0">
        <w:rPr>
          <w:lang w:val="fr-FR"/>
        </w:rPr>
        <w:t>quatrième</w:t>
      </w:r>
      <w:r w:rsidR="00F21B25" w:rsidRPr="002908E0">
        <w:rPr>
          <w:lang w:val="fr-FR"/>
        </w:rPr>
        <w:t> </w:t>
      </w:r>
      <w:r w:rsidR="00FB2342" w:rsidRPr="002908E0">
        <w:rPr>
          <w:lang w:val="fr-FR"/>
        </w:rPr>
        <w:t>session,</w:t>
      </w:r>
      <w:r w:rsidR="004516A2" w:rsidRPr="002908E0">
        <w:rPr>
          <w:lang w:val="fr-FR"/>
        </w:rPr>
        <w:t xml:space="preserve"> le CAJ</w:t>
      </w:r>
      <w:r w:rsidR="00FB2342" w:rsidRPr="002908E0">
        <w:rPr>
          <w:lang w:val="fr-FR"/>
        </w:rPr>
        <w:t xml:space="preserve"> est convenu que le document UPOV/INF/5 devait être mis à jour de manière à (voir le paragraphe</w:t>
      </w:r>
      <w:r w:rsidR="00F21B25" w:rsidRPr="002908E0">
        <w:rPr>
          <w:lang w:val="fr-FR"/>
        </w:rPr>
        <w:t> </w:t>
      </w:r>
      <w:r w:rsidR="00FB2342" w:rsidRPr="002908E0">
        <w:rPr>
          <w:lang w:val="fr-FR"/>
        </w:rPr>
        <w:t>3)</w:t>
      </w:r>
    </w:p>
    <w:p w:rsidR="00D30F00" w:rsidRPr="002908E0" w:rsidRDefault="00D30F00" w:rsidP="00097E1F">
      <w:pPr>
        <w:rPr>
          <w:lang w:val="fr-FR"/>
        </w:rPr>
      </w:pPr>
    </w:p>
    <w:p w:rsidR="00D30F00" w:rsidRPr="002908E0" w:rsidRDefault="00097E1F" w:rsidP="00FB2342">
      <w:pPr>
        <w:rPr>
          <w:lang w:val="fr-FR"/>
        </w:rPr>
      </w:pPr>
      <w:r w:rsidRPr="002908E0">
        <w:rPr>
          <w:lang w:val="fr-FR"/>
        </w:rPr>
        <w:tab/>
      </w:r>
      <w:proofErr w:type="gramStart"/>
      <w:r w:rsidR="00FB2342" w:rsidRPr="002908E0">
        <w:rPr>
          <w:lang w:val="fr-FR"/>
        </w:rPr>
        <w:t>a</w:t>
      </w:r>
      <w:proofErr w:type="gramEnd"/>
      <w:r w:rsidR="00FB2342" w:rsidRPr="002908E0">
        <w:rPr>
          <w:lang w:val="fr-FR"/>
        </w:rPr>
        <w:t xml:space="preserve">) </w:t>
      </w:r>
      <w:r w:rsidR="005901DF" w:rsidRPr="002908E0">
        <w:rPr>
          <w:lang w:val="fr-FR"/>
        </w:rPr>
        <w:tab/>
      </w:r>
      <w:r w:rsidR="00FB2342" w:rsidRPr="002908E0">
        <w:rPr>
          <w:lang w:val="fr-FR"/>
        </w:rPr>
        <w:t>tenir compte de l</w:t>
      </w:r>
      <w:r w:rsidR="004516A2" w:rsidRPr="002908E0">
        <w:rPr>
          <w:lang w:val="fr-FR"/>
        </w:rPr>
        <w:t>’</w:t>
      </w:r>
      <w:r w:rsidR="00FB2342" w:rsidRPr="002908E0">
        <w:rPr>
          <w:lang w:val="fr-FR"/>
        </w:rPr>
        <w:t>énoncé de l</w:t>
      </w:r>
      <w:r w:rsidR="004516A2" w:rsidRPr="002908E0">
        <w:rPr>
          <w:lang w:val="fr-FR"/>
        </w:rPr>
        <w:t>’</w:t>
      </w:r>
      <w:r w:rsidR="00FB2342" w:rsidRPr="002908E0">
        <w:rPr>
          <w:lang w:val="fr-FR"/>
        </w:rPr>
        <w:t xml:space="preserve">Acte de 1991 de la </w:t>
      </w:r>
      <w:r w:rsidR="004516A2" w:rsidRPr="002908E0">
        <w:rPr>
          <w:lang w:val="fr-FR"/>
        </w:rPr>
        <w:t>Convention UPOV</w:t>
      </w:r>
      <w:r w:rsidR="00FB2342" w:rsidRPr="002908E0">
        <w:rPr>
          <w:lang w:val="fr-FR"/>
        </w:rPr>
        <w:t xml:space="preserve"> et des documents récemment adoptés par le Conseil (tels que le formulaire type de l</w:t>
      </w:r>
      <w:r w:rsidR="004516A2" w:rsidRPr="002908E0">
        <w:rPr>
          <w:lang w:val="fr-FR"/>
        </w:rPr>
        <w:t>’</w:t>
      </w:r>
      <w:r w:rsidR="00FB2342" w:rsidRPr="002908E0">
        <w:rPr>
          <w:lang w:val="fr-FR"/>
        </w:rPr>
        <w:t>UPOV pour la demande de protection d</w:t>
      </w:r>
      <w:r w:rsidR="004516A2" w:rsidRPr="002908E0">
        <w:rPr>
          <w:lang w:val="fr-FR"/>
        </w:rPr>
        <w:t>’</w:t>
      </w:r>
      <w:r w:rsidR="00FB2342" w:rsidRPr="002908E0">
        <w:rPr>
          <w:lang w:val="fr-FR"/>
        </w:rPr>
        <w:t>une obtention végétale (document TGP/5 section 2/3));</w:t>
      </w:r>
    </w:p>
    <w:p w:rsidR="00D30F00" w:rsidRPr="002908E0" w:rsidRDefault="00D30F00" w:rsidP="00097E1F">
      <w:pPr>
        <w:rPr>
          <w:lang w:val="fr-FR"/>
        </w:rPr>
      </w:pPr>
    </w:p>
    <w:p w:rsidR="00D30F00" w:rsidRPr="002908E0" w:rsidRDefault="00097E1F" w:rsidP="00FB2342">
      <w:pPr>
        <w:rPr>
          <w:lang w:val="fr-FR"/>
        </w:rPr>
      </w:pPr>
      <w:r w:rsidRPr="002908E0">
        <w:rPr>
          <w:lang w:val="fr-FR"/>
        </w:rPr>
        <w:lastRenderedPageBreak/>
        <w:tab/>
      </w:r>
      <w:r w:rsidR="00FB2342" w:rsidRPr="002908E0">
        <w:rPr>
          <w:lang w:val="fr-FR"/>
        </w:rPr>
        <w:t xml:space="preserve">b) </w:t>
      </w:r>
      <w:r w:rsidR="005901DF" w:rsidRPr="002908E0">
        <w:rPr>
          <w:lang w:val="fr-FR"/>
        </w:rPr>
        <w:tab/>
      </w:r>
      <w:r w:rsidR="00FB2342" w:rsidRPr="002908E0">
        <w:rPr>
          <w:lang w:val="fr-FR"/>
        </w:rPr>
        <w:t>examiner les faits nouveaux importants en ce qui concerne les formats des bulletins nationaux et régionaux des membres de l</w:t>
      </w:r>
      <w:r w:rsidR="004516A2" w:rsidRPr="002908E0">
        <w:rPr>
          <w:lang w:val="fr-FR"/>
        </w:rPr>
        <w:t>’</w:t>
      </w:r>
      <w:r w:rsidR="00FB2342" w:rsidRPr="002908E0">
        <w:rPr>
          <w:lang w:val="fr-FR"/>
        </w:rPr>
        <w:t>Union;  et</w:t>
      </w:r>
    </w:p>
    <w:p w:rsidR="00D30F00" w:rsidRPr="002908E0" w:rsidRDefault="00D30F00" w:rsidP="00097E1F">
      <w:pPr>
        <w:rPr>
          <w:lang w:val="fr-FR"/>
        </w:rPr>
      </w:pPr>
    </w:p>
    <w:p w:rsidR="00D30F00" w:rsidRPr="002908E0" w:rsidRDefault="00097E1F" w:rsidP="00FB2342">
      <w:pPr>
        <w:rPr>
          <w:lang w:val="fr-FR"/>
        </w:rPr>
      </w:pPr>
      <w:r w:rsidRPr="002908E0">
        <w:rPr>
          <w:lang w:val="fr-FR"/>
        </w:rPr>
        <w:tab/>
      </w:r>
      <w:r w:rsidR="00FB2342" w:rsidRPr="002908E0">
        <w:rPr>
          <w:lang w:val="fr-FR"/>
        </w:rPr>
        <w:t>c)</w:t>
      </w:r>
      <w:r w:rsidR="005901DF" w:rsidRPr="002908E0">
        <w:rPr>
          <w:lang w:val="fr-FR"/>
        </w:rPr>
        <w:tab/>
      </w:r>
      <w:r w:rsidR="00FB2342" w:rsidRPr="002908E0">
        <w:rPr>
          <w:lang w:val="fr-FR"/>
        </w:rPr>
        <w:t>simplifier la structure du document (voir le paragraphe 8 du document CAJ/64/11 “Compte rendu des conclusions”).</w:t>
      </w:r>
    </w:p>
    <w:p w:rsidR="00D30F00" w:rsidRPr="002908E0" w:rsidRDefault="00D30F00" w:rsidP="00097E1F">
      <w:pPr>
        <w:rPr>
          <w:lang w:val="fr-FR"/>
        </w:rPr>
      </w:pPr>
    </w:p>
    <w:p w:rsidR="00D30F00" w:rsidRPr="002908E0" w:rsidRDefault="00270827" w:rsidP="00447DFA">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447DFA" w:rsidRPr="002908E0">
        <w:rPr>
          <w:lang w:val="fr-FR"/>
        </w:rPr>
        <w:t>Compte tenu de ce qui précède, il est proposé que le Bureau de l</w:t>
      </w:r>
      <w:r w:rsidR="004516A2" w:rsidRPr="002908E0">
        <w:rPr>
          <w:lang w:val="fr-FR"/>
        </w:rPr>
        <w:t>’</w:t>
      </w:r>
      <w:r w:rsidR="00447DFA" w:rsidRPr="002908E0">
        <w:rPr>
          <w:lang w:val="fr-FR"/>
        </w:rPr>
        <w:t xml:space="preserve">Union établisse un document (document UPOV/INF/5/1 </w:t>
      </w:r>
      <w:proofErr w:type="spellStart"/>
      <w:r w:rsidR="00447DFA" w:rsidRPr="002908E0">
        <w:rPr>
          <w:lang w:val="fr-FR"/>
        </w:rPr>
        <w:t>Draft</w:t>
      </w:r>
      <w:proofErr w:type="spellEnd"/>
      <w:r w:rsidR="00447DFA" w:rsidRPr="002908E0">
        <w:rPr>
          <w:lang w:val="fr-FR"/>
        </w:rPr>
        <w:t xml:space="preserve"> 1) concernant la révision du document UPOV/INF/5 “Bulletin type de l</w:t>
      </w:r>
      <w:r w:rsidR="004516A2" w:rsidRPr="002908E0">
        <w:rPr>
          <w:lang w:val="fr-FR"/>
        </w:rPr>
        <w:t>’</w:t>
      </w:r>
      <w:r w:rsidR="00447DFA" w:rsidRPr="002908E0">
        <w:rPr>
          <w:lang w:val="fr-FR"/>
        </w:rPr>
        <w:t xml:space="preserve">UPOV </w:t>
      </w:r>
      <w:r w:rsidR="005A6160" w:rsidRPr="002908E0">
        <w:rPr>
          <w:lang w:val="fr-FR"/>
        </w:rPr>
        <w:t>de</w:t>
      </w:r>
      <w:r w:rsidR="00447DFA" w:rsidRPr="002908E0">
        <w:rPr>
          <w:lang w:val="fr-FR"/>
        </w:rPr>
        <w:t xml:space="preserve"> la protection des obtentions végétales” pour examen par</w:t>
      </w:r>
      <w:r w:rsidR="004516A2" w:rsidRPr="002908E0">
        <w:rPr>
          <w:lang w:val="fr-FR"/>
        </w:rPr>
        <w:t xml:space="preserve"> le CAJ</w:t>
      </w:r>
      <w:r w:rsidR="00447DFA" w:rsidRPr="002908E0">
        <w:rPr>
          <w:lang w:val="fr-FR"/>
        </w:rPr>
        <w:t xml:space="preserve"> à sa soixante et onzième</w:t>
      </w:r>
      <w:r w:rsidR="00F21B25" w:rsidRPr="002908E0">
        <w:rPr>
          <w:lang w:val="fr-FR"/>
        </w:rPr>
        <w:t> </w:t>
      </w:r>
      <w:r w:rsidR="00447DFA" w:rsidRPr="002908E0">
        <w:rPr>
          <w:lang w:val="fr-FR"/>
        </w:rPr>
        <w:t xml:space="preserve">session prévue en </w:t>
      </w:r>
      <w:r w:rsidR="004516A2" w:rsidRPr="002908E0">
        <w:rPr>
          <w:lang w:val="fr-FR"/>
        </w:rPr>
        <w:t>mars 20</w:t>
      </w:r>
      <w:r w:rsidR="00447DFA" w:rsidRPr="002908E0">
        <w:rPr>
          <w:lang w:val="fr-FR"/>
        </w:rPr>
        <w:t>15.</w:t>
      </w:r>
    </w:p>
    <w:p w:rsidR="00D30F00" w:rsidRPr="002908E0" w:rsidRDefault="00D30F00" w:rsidP="00FA0F51">
      <w:pPr>
        <w:rPr>
          <w:lang w:val="fr-FR"/>
        </w:rPr>
      </w:pPr>
    </w:p>
    <w:p w:rsidR="00D30F00" w:rsidRPr="002908E0" w:rsidRDefault="00F31EEB" w:rsidP="007D4741">
      <w:pPr>
        <w:rPr>
          <w:lang w:val="fr-FR"/>
        </w:rPr>
      </w:pPr>
      <w:r w:rsidRPr="002908E0">
        <w:rPr>
          <w:lang w:val="fr-FR"/>
        </w:rPr>
        <w:fldChar w:fldCharType="begin"/>
      </w:r>
      <w:r w:rsidRPr="002908E0">
        <w:rPr>
          <w:lang w:val="fr-FR"/>
        </w:rPr>
        <w:instrText xml:space="preserve"> AUTONUM  </w:instrText>
      </w:r>
      <w:r w:rsidRPr="002908E0">
        <w:rPr>
          <w:lang w:val="fr-FR"/>
        </w:rPr>
        <w:fldChar w:fldCharType="end"/>
      </w:r>
      <w:r w:rsidRPr="002908E0">
        <w:rPr>
          <w:lang w:val="fr-FR"/>
        </w:rPr>
        <w:tab/>
      </w:r>
      <w:r w:rsidR="007D4741" w:rsidRPr="002908E0">
        <w:rPr>
          <w:lang w:val="fr-FR"/>
        </w:rPr>
        <w:t>Parallèlement à la révision du document UPOV/INF/5, il est également proposé de suivre les progrès réalisés en ce qui concerne l</w:t>
      </w:r>
      <w:r w:rsidR="004516A2" w:rsidRPr="002908E0">
        <w:rPr>
          <w:lang w:val="fr-FR"/>
        </w:rPr>
        <w:t>’</w:t>
      </w:r>
      <w:r w:rsidR="007D4741" w:rsidRPr="002908E0">
        <w:rPr>
          <w:lang w:val="fr-FR"/>
        </w:rPr>
        <w:t>élaboration d</w:t>
      </w:r>
      <w:r w:rsidR="004516A2" w:rsidRPr="002908E0">
        <w:rPr>
          <w:lang w:val="fr-FR"/>
        </w:rPr>
        <w:t>’</w:t>
      </w:r>
      <w:r w:rsidR="007D4741" w:rsidRPr="002908E0">
        <w:rPr>
          <w:lang w:val="fr-FR"/>
        </w:rPr>
        <w:t>un prototype de formulaire électronique, les questions relatives aux variétés essentielleme</w:t>
      </w:r>
      <w:r w:rsidR="005901DF" w:rsidRPr="002908E0">
        <w:rPr>
          <w:lang w:val="fr-FR"/>
        </w:rPr>
        <w:t>nt dérivées et les questions co</w:t>
      </w:r>
      <w:r w:rsidR="007D4741" w:rsidRPr="002908E0">
        <w:rPr>
          <w:lang w:val="fr-FR"/>
        </w:rPr>
        <w:t>n</w:t>
      </w:r>
      <w:r w:rsidR="005901DF" w:rsidRPr="002908E0">
        <w:rPr>
          <w:lang w:val="fr-FR"/>
        </w:rPr>
        <w:t>c</w:t>
      </w:r>
      <w:r w:rsidR="007D4741" w:rsidRPr="002908E0">
        <w:rPr>
          <w:lang w:val="fr-FR"/>
        </w:rPr>
        <w:t>ernant la fréquence de la communication des données et l</w:t>
      </w:r>
      <w:r w:rsidR="004516A2" w:rsidRPr="002908E0">
        <w:rPr>
          <w:lang w:val="fr-FR"/>
        </w:rPr>
        <w:t>’</w:t>
      </w:r>
      <w:r w:rsidR="007D4741" w:rsidRPr="002908E0">
        <w:rPr>
          <w:lang w:val="fr-FR"/>
        </w:rPr>
        <w:t>exhaustivité des bases de données, pour évaluer les incidences éventuelles sur la révision du document UPOV/INF/5.</w:t>
      </w:r>
    </w:p>
    <w:p w:rsidR="00D30F00" w:rsidRPr="002908E0" w:rsidRDefault="00D30F00" w:rsidP="00FA0F51">
      <w:pPr>
        <w:rPr>
          <w:snapToGrid w:val="0"/>
          <w:lang w:val="fr-FR"/>
        </w:rPr>
      </w:pPr>
    </w:p>
    <w:p w:rsidR="004516A2" w:rsidRPr="002908E0" w:rsidRDefault="00FA0F51" w:rsidP="007D4741">
      <w:pPr>
        <w:tabs>
          <w:tab w:val="left" w:pos="5387"/>
          <w:tab w:val="left" w:pos="5954"/>
        </w:tabs>
        <w:ind w:left="4820"/>
        <w:rPr>
          <w:i/>
          <w:snapToGrid w:val="0"/>
          <w:lang w:val="fr-FR"/>
        </w:rPr>
      </w:pPr>
      <w:r w:rsidRPr="002908E0">
        <w:rPr>
          <w:i/>
          <w:snapToGrid w:val="0"/>
          <w:lang w:val="fr-FR"/>
        </w:rPr>
        <w:fldChar w:fldCharType="begin"/>
      </w:r>
      <w:r w:rsidRPr="002908E0">
        <w:rPr>
          <w:i/>
          <w:snapToGrid w:val="0"/>
          <w:lang w:val="fr-FR"/>
        </w:rPr>
        <w:instrText xml:space="preserve"> AUTONUM  </w:instrText>
      </w:r>
      <w:r w:rsidRPr="002908E0">
        <w:rPr>
          <w:i/>
          <w:snapToGrid w:val="0"/>
          <w:lang w:val="fr-FR"/>
        </w:rPr>
        <w:fldChar w:fldCharType="end"/>
      </w:r>
      <w:r w:rsidRPr="002908E0">
        <w:rPr>
          <w:i/>
          <w:snapToGrid w:val="0"/>
          <w:lang w:val="fr-FR"/>
        </w:rPr>
        <w:tab/>
      </w:r>
      <w:r w:rsidR="007D4741" w:rsidRPr="002908E0">
        <w:rPr>
          <w:i/>
          <w:snapToGrid w:val="0"/>
          <w:lang w:val="fr-FR"/>
        </w:rPr>
        <w:t>Le CAJ est invité</w:t>
      </w:r>
    </w:p>
    <w:p w:rsidR="00D30F00" w:rsidRPr="002908E0" w:rsidRDefault="00D30F00" w:rsidP="00FA0F51">
      <w:pPr>
        <w:tabs>
          <w:tab w:val="left" w:pos="5387"/>
          <w:tab w:val="left" w:pos="5954"/>
        </w:tabs>
        <w:ind w:left="4820"/>
        <w:rPr>
          <w:i/>
          <w:snapToGrid w:val="0"/>
          <w:lang w:val="fr-FR"/>
        </w:rPr>
      </w:pPr>
    </w:p>
    <w:p w:rsidR="004516A2" w:rsidRPr="002908E0" w:rsidRDefault="00FA0F51" w:rsidP="007D4741">
      <w:pPr>
        <w:tabs>
          <w:tab w:val="left" w:pos="5387"/>
          <w:tab w:val="left" w:pos="5954"/>
        </w:tabs>
        <w:ind w:left="4820"/>
        <w:rPr>
          <w:i/>
          <w:snapToGrid w:val="0"/>
          <w:lang w:val="fr-FR"/>
        </w:rPr>
      </w:pPr>
      <w:r w:rsidRPr="002908E0">
        <w:rPr>
          <w:i/>
          <w:snapToGrid w:val="0"/>
          <w:lang w:val="fr-FR"/>
        </w:rPr>
        <w:tab/>
      </w:r>
      <w:r w:rsidR="007D4741" w:rsidRPr="002908E0">
        <w:rPr>
          <w:i/>
          <w:snapToGrid w:val="0"/>
          <w:lang w:val="fr-FR"/>
        </w:rPr>
        <w:t>a)</w:t>
      </w:r>
      <w:r w:rsidR="007D4741" w:rsidRPr="002908E0">
        <w:rPr>
          <w:snapToGrid w:val="0"/>
          <w:lang w:val="fr-FR"/>
        </w:rPr>
        <w:t xml:space="preserve"> </w:t>
      </w:r>
      <w:r w:rsidR="005A6160" w:rsidRPr="002908E0">
        <w:rPr>
          <w:snapToGrid w:val="0"/>
          <w:lang w:val="fr-FR"/>
        </w:rPr>
        <w:tab/>
      </w:r>
      <w:r w:rsidR="007D4741" w:rsidRPr="002908E0">
        <w:rPr>
          <w:i/>
          <w:snapToGrid w:val="0"/>
          <w:lang w:val="fr-FR"/>
        </w:rPr>
        <w:t>à prendre note des faits nouveaux intervenus présentant un intérêt dans la mise à jour du document UPOV/INF/5 concernant l</w:t>
      </w:r>
      <w:r w:rsidR="004516A2" w:rsidRPr="002908E0">
        <w:rPr>
          <w:i/>
          <w:snapToGrid w:val="0"/>
          <w:lang w:val="fr-FR"/>
        </w:rPr>
        <w:t>’</w:t>
      </w:r>
      <w:r w:rsidR="007D4741" w:rsidRPr="002908E0">
        <w:rPr>
          <w:i/>
          <w:snapToGrid w:val="0"/>
          <w:lang w:val="fr-FR"/>
        </w:rPr>
        <w:t>élaboration d</w:t>
      </w:r>
      <w:r w:rsidR="004516A2" w:rsidRPr="002908E0">
        <w:rPr>
          <w:i/>
          <w:snapToGrid w:val="0"/>
          <w:lang w:val="fr-FR"/>
        </w:rPr>
        <w:t>’</w:t>
      </w:r>
      <w:r w:rsidR="007D4741" w:rsidRPr="002908E0">
        <w:rPr>
          <w:i/>
          <w:snapToGrid w:val="0"/>
          <w:lang w:val="fr-FR"/>
        </w:rPr>
        <w:t xml:space="preserve">un prototype de formulaire électronique, les variétés essentiellement dérivées, la fréquence de </w:t>
      </w:r>
      <w:r w:rsidR="00FD6100" w:rsidRPr="002908E0">
        <w:rPr>
          <w:i/>
          <w:snapToGrid w:val="0"/>
          <w:lang w:val="fr-FR"/>
        </w:rPr>
        <w:t xml:space="preserve">la </w:t>
      </w:r>
      <w:r w:rsidR="007D4741" w:rsidRPr="002908E0">
        <w:rPr>
          <w:i/>
          <w:snapToGrid w:val="0"/>
          <w:lang w:val="fr-FR"/>
        </w:rPr>
        <w:t>communication des données</w:t>
      </w:r>
      <w:r w:rsidR="005A6160" w:rsidRPr="002908E0">
        <w:rPr>
          <w:i/>
          <w:snapToGrid w:val="0"/>
          <w:lang w:val="fr-FR"/>
        </w:rPr>
        <w:t>,</w:t>
      </w:r>
      <w:r w:rsidR="007D4741" w:rsidRPr="002908E0">
        <w:rPr>
          <w:i/>
          <w:snapToGrid w:val="0"/>
          <w:lang w:val="fr-FR"/>
        </w:rPr>
        <w:t xml:space="preserve"> l</w:t>
      </w:r>
      <w:r w:rsidR="004516A2" w:rsidRPr="002908E0">
        <w:rPr>
          <w:i/>
          <w:snapToGrid w:val="0"/>
          <w:lang w:val="fr-FR"/>
        </w:rPr>
        <w:t>’</w:t>
      </w:r>
      <w:r w:rsidR="007D4741" w:rsidRPr="002908E0">
        <w:rPr>
          <w:i/>
          <w:snapToGrid w:val="0"/>
          <w:lang w:val="fr-FR"/>
        </w:rPr>
        <w:t>exhaustivité des bases de données et le cours d</w:t>
      </w:r>
      <w:r w:rsidR="004516A2" w:rsidRPr="002908E0">
        <w:rPr>
          <w:i/>
          <w:snapToGrid w:val="0"/>
          <w:lang w:val="fr-FR"/>
        </w:rPr>
        <w:t>’</w:t>
      </w:r>
      <w:r w:rsidR="007D4741" w:rsidRPr="002908E0">
        <w:rPr>
          <w:i/>
          <w:snapToGrid w:val="0"/>
          <w:lang w:val="fr-FR"/>
        </w:rPr>
        <w:t>enseignement à distance “Examen des demandes de droits d</w:t>
      </w:r>
      <w:r w:rsidR="004516A2" w:rsidRPr="002908E0">
        <w:rPr>
          <w:i/>
          <w:snapToGrid w:val="0"/>
          <w:lang w:val="fr-FR"/>
        </w:rPr>
        <w:t>’</w:t>
      </w:r>
      <w:r w:rsidR="007D4741" w:rsidRPr="002908E0">
        <w:rPr>
          <w:i/>
          <w:snapToGrid w:val="0"/>
          <w:lang w:val="fr-FR"/>
        </w:rPr>
        <w:t>obtenteur” (DL</w:t>
      </w:r>
      <w:r w:rsidR="0049455A" w:rsidRPr="002908E0">
        <w:rPr>
          <w:i/>
          <w:snapToGrid w:val="0"/>
          <w:lang w:val="fr-FR"/>
        </w:rPr>
        <w:noBreakHyphen/>
      </w:r>
      <w:r w:rsidR="007D4741" w:rsidRPr="002908E0">
        <w:rPr>
          <w:i/>
          <w:snapToGrid w:val="0"/>
          <w:lang w:val="fr-FR"/>
        </w:rPr>
        <w:t>305), dont il est rendu compte dans le présent document;  et</w:t>
      </w:r>
    </w:p>
    <w:p w:rsidR="00D30F00" w:rsidRPr="002908E0" w:rsidRDefault="00D30F00" w:rsidP="00A17FD2">
      <w:pPr>
        <w:tabs>
          <w:tab w:val="left" w:pos="5387"/>
          <w:tab w:val="left" w:pos="5954"/>
        </w:tabs>
        <w:rPr>
          <w:i/>
          <w:snapToGrid w:val="0"/>
          <w:lang w:val="fr-FR"/>
        </w:rPr>
      </w:pPr>
    </w:p>
    <w:p w:rsidR="00D30F00" w:rsidRPr="002908E0" w:rsidRDefault="00C17CEA" w:rsidP="007D4741">
      <w:pPr>
        <w:tabs>
          <w:tab w:val="left" w:pos="5387"/>
          <w:tab w:val="left" w:pos="5954"/>
        </w:tabs>
        <w:ind w:left="4820"/>
        <w:rPr>
          <w:i/>
          <w:spacing w:val="-2"/>
          <w:lang w:val="fr-FR"/>
        </w:rPr>
      </w:pPr>
      <w:r w:rsidRPr="002908E0">
        <w:rPr>
          <w:i/>
          <w:snapToGrid w:val="0"/>
          <w:spacing w:val="-2"/>
          <w:lang w:val="fr-FR"/>
        </w:rPr>
        <w:tab/>
      </w:r>
      <w:r w:rsidR="007D4741" w:rsidRPr="002908E0">
        <w:rPr>
          <w:i/>
          <w:snapToGrid w:val="0"/>
          <w:spacing w:val="-2"/>
          <w:lang w:val="fr-FR"/>
        </w:rPr>
        <w:t>b)</w:t>
      </w:r>
      <w:r w:rsidR="007D4741" w:rsidRPr="002908E0">
        <w:rPr>
          <w:i/>
          <w:snapToGrid w:val="0"/>
          <w:spacing w:val="-2"/>
          <w:lang w:val="fr-FR"/>
        </w:rPr>
        <w:tab/>
        <w:t>à approuver l</w:t>
      </w:r>
      <w:r w:rsidR="004516A2" w:rsidRPr="002908E0">
        <w:rPr>
          <w:i/>
          <w:snapToGrid w:val="0"/>
          <w:spacing w:val="-2"/>
          <w:lang w:val="fr-FR"/>
        </w:rPr>
        <w:t>’</w:t>
      </w:r>
      <w:r w:rsidR="007D4741" w:rsidRPr="002908E0">
        <w:rPr>
          <w:i/>
          <w:snapToGrid w:val="0"/>
          <w:spacing w:val="-2"/>
          <w:lang w:val="fr-FR"/>
        </w:rPr>
        <w:t>établissement par le Bureau de l</w:t>
      </w:r>
      <w:r w:rsidR="004516A2" w:rsidRPr="002908E0">
        <w:rPr>
          <w:i/>
          <w:snapToGrid w:val="0"/>
          <w:spacing w:val="-2"/>
          <w:lang w:val="fr-FR"/>
        </w:rPr>
        <w:t>’</w:t>
      </w:r>
      <w:r w:rsidR="007D4741" w:rsidRPr="002908E0">
        <w:rPr>
          <w:i/>
          <w:snapToGrid w:val="0"/>
          <w:spacing w:val="-2"/>
          <w:lang w:val="fr-FR"/>
        </w:rPr>
        <w:t>Union d</w:t>
      </w:r>
      <w:r w:rsidR="004516A2" w:rsidRPr="002908E0">
        <w:rPr>
          <w:i/>
          <w:snapToGrid w:val="0"/>
          <w:spacing w:val="-2"/>
          <w:lang w:val="fr-FR"/>
        </w:rPr>
        <w:t>’</w:t>
      </w:r>
      <w:r w:rsidR="007D4741" w:rsidRPr="002908E0">
        <w:rPr>
          <w:i/>
          <w:snapToGrid w:val="0"/>
          <w:spacing w:val="-2"/>
          <w:lang w:val="fr-FR"/>
        </w:rPr>
        <w:t>un projet de révision du document UPOV/INF/5 “Bulletin type de l</w:t>
      </w:r>
      <w:r w:rsidR="004516A2" w:rsidRPr="002908E0">
        <w:rPr>
          <w:i/>
          <w:snapToGrid w:val="0"/>
          <w:spacing w:val="-2"/>
          <w:lang w:val="fr-FR"/>
        </w:rPr>
        <w:t>’</w:t>
      </w:r>
      <w:r w:rsidR="007D4741" w:rsidRPr="002908E0">
        <w:rPr>
          <w:i/>
          <w:snapToGrid w:val="0"/>
          <w:spacing w:val="-2"/>
          <w:lang w:val="fr-FR"/>
        </w:rPr>
        <w:t>UPOV de la protection des obtentions végétales” (do</w:t>
      </w:r>
      <w:r w:rsidR="00C100A6">
        <w:rPr>
          <w:i/>
          <w:snapToGrid w:val="0"/>
          <w:spacing w:val="-2"/>
          <w:lang w:val="fr-FR"/>
        </w:rPr>
        <w:t>cument UPOV/INF/5/1 </w:t>
      </w:r>
      <w:proofErr w:type="spellStart"/>
      <w:r w:rsidR="007D4741" w:rsidRPr="002908E0">
        <w:rPr>
          <w:i/>
          <w:snapToGrid w:val="0"/>
          <w:spacing w:val="-2"/>
          <w:lang w:val="fr-FR"/>
        </w:rPr>
        <w:t>Draft</w:t>
      </w:r>
      <w:proofErr w:type="spellEnd"/>
      <w:r w:rsidR="00C100A6">
        <w:rPr>
          <w:i/>
          <w:snapToGrid w:val="0"/>
          <w:spacing w:val="-2"/>
          <w:lang w:val="fr-FR"/>
        </w:rPr>
        <w:t xml:space="preserve"> 1</w:t>
      </w:r>
      <w:r w:rsidR="007D4741" w:rsidRPr="002908E0">
        <w:rPr>
          <w:i/>
          <w:snapToGrid w:val="0"/>
          <w:spacing w:val="-2"/>
          <w:lang w:val="fr-FR"/>
        </w:rPr>
        <w:t>) pour examen à sa soixante et onzième</w:t>
      </w:r>
      <w:r w:rsidR="00F21B25" w:rsidRPr="002908E0">
        <w:rPr>
          <w:i/>
          <w:snapToGrid w:val="0"/>
          <w:spacing w:val="-2"/>
          <w:lang w:val="fr-FR"/>
        </w:rPr>
        <w:t> </w:t>
      </w:r>
      <w:r w:rsidR="007D4741" w:rsidRPr="002908E0">
        <w:rPr>
          <w:i/>
          <w:snapToGrid w:val="0"/>
          <w:spacing w:val="-2"/>
          <w:lang w:val="fr-FR"/>
        </w:rPr>
        <w:t xml:space="preserve">session prévue en </w:t>
      </w:r>
      <w:r w:rsidR="004516A2" w:rsidRPr="002908E0">
        <w:rPr>
          <w:i/>
          <w:snapToGrid w:val="0"/>
          <w:spacing w:val="-2"/>
          <w:lang w:val="fr-FR"/>
        </w:rPr>
        <w:t>mars 20</w:t>
      </w:r>
      <w:r w:rsidR="007D4741" w:rsidRPr="002908E0">
        <w:rPr>
          <w:i/>
          <w:snapToGrid w:val="0"/>
          <w:spacing w:val="-2"/>
          <w:lang w:val="fr-FR"/>
        </w:rPr>
        <w:t>15.</w:t>
      </w:r>
    </w:p>
    <w:p w:rsidR="00D30F00" w:rsidRPr="002908E0" w:rsidRDefault="00D30F00" w:rsidP="00FA0F51">
      <w:pPr>
        <w:jc w:val="right"/>
        <w:rPr>
          <w:snapToGrid w:val="0"/>
          <w:lang w:val="fr-FR"/>
        </w:rPr>
      </w:pPr>
    </w:p>
    <w:p w:rsidR="00D30F00" w:rsidRPr="002908E0" w:rsidRDefault="00D30F00">
      <w:pPr>
        <w:jc w:val="left"/>
        <w:rPr>
          <w:snapToGrid w:val="0"/>
          <w:lang w:val="fr-FR"/>
        </w:rPr>
      </w:pPr>
    </w:p>
    <w:p w:rsidR="00D30F00" w:rsidRPr="002908E0" w:rsidRDefault="00D30F00">
      <w:pPr>
        <w:jc w:val="left"/>
        <w:rPr>
          <w:snapToGrid w:val="0"/>
          <w:lang w:val="fr-FR"/>
        </w:rPr>
      </w:pPr>
    </w:p>
    <w:p w:rsidR="00D30F00" w:rsidRPr="002908E0" w:rsidRDefault="007D4741" w:rsidP="007D4741">
      <w:pPr>
        <w:jc w:val="right"/>
        <w:rPr>
          <w:snapToGrid w:val="0"/>
          <w:lang w:val="fr-FR"/>
        </w:rPr>
      </w:pPr>
      <w:r w:rsidRPr="002908E0">
        <w:rPr>
          <w:snapToGrid w:val="0"/>
          <w:lang w:val="fr-FR"/>
        </w:rPr>
        <w:t>[L</w:t>
      </w:r>
      <w:r w:rsidR="004516A2" w:rsidRPr="002908E0">
        <w:rPr>
          <w:snapToGrid w:val="0"/>
          <w:lang w:val="fr-FR"/>
        </w:rPr>
        <w:t>’</w:t>
      </w:r>
      <w:r w:rsidRPr="002908E0">
        <w:rPr>
          <w:snapToGrid w:val="0"/>
          <w:lang w:val="fr-FR"/>
        </w:rPr>
        <w:t>annexe suit]</w:t>
      </w:r>
    </w:p>
    <w:p w:rsidR="00D30F00" w:rsidRPr="002908E0" w:rsidRDefault="00D30F00" w:rsidP="0013444A">
      <w:pPr>
        <w:rPr>
          <w:snapToGrid w:val="0"/>
          <w:lang w:val="fr-FR"/>
        </w:rPr>
      </w:pPr>
    </w:p>
    <w:p w:rsidR="0013444A" w:rsidRPr="002908E0" w:rsidRDefault="0013444A" w:rsidP="0013444A">
      <w:pPr>
        <w:rPr>
          <w:snapToGrid w:val="0"/>
          <w:lang w:val="fr-FR"/>
        </w:rPr>
        <w:sectPr w:rsidR="0013444A" w:rsidRPr="002908E0" w:rsidSect="0049455A">
          <w:headerReference w:type="default" r:id="rId12"/>
          <w:footerReference w:type="first" r:id="rId13"/>
          <w:pgSz w:w="11907" w:h="16840" w:code="9"/>
          <w:pgMar w:top="510" w:right="1134" w:bottom="1134" w:left="1134" w:header="510" w:footer="680" w:gutter="0"/>
          <w:cols w:space="720"/>
          <w:titlePg/>
          <w:docGrid w:linePitch="272"/>
        </w:sectPr>
      </w:pPr>
    </w:p>
    <w:p w:rsidR="00D30F00" w:rsidRPr="002908E0" w:rsidRDefault="007D4741" w:rsidP="007D4741">
      <w:pPr>
        <w:jc w:val="center"/>
        <w:rPr>
          <w:lang w:val="fr-FR"/>
        </w:rPr>
      </w:pPr>
      <w:bookmarkStart w:id="13" w:name="_Toc371494316"/>
      <w:r w:rsidRPr="002908E0">
        <w:rPr>
          <w:lang w:val="fr-FR"/>
        </w:rPr>
        <w:lastRenderedPageBreak/>
        <w:t>CAJ/70/3</w:t>
      </w:r>
    </w:p>
    <w:p w:rsidR="00D30F00" w:rsidRPr="002908E0" w:rsidRDefault="00D30F00" w:rsidP="00A32187">
      <w:pPr>
        <w:jc w:val="center"/>
        <w:rPr>
          <w:lang w:val="fr-FR"/>
        </w:rPr>
      </w:pPr>
    </w:p>
    <w:p w:rsidR="00D30F00" w:rsidRPr="002908E0" w:rsidRDefault="007D4741" w:rsidP="007D4741">
      <w:pPr>
        <w:jc w:val="center"/>
        <w:rPr>
          <w:lang w:val="fr-FR"/>
        </w:rPr>
      </w:pPr>
      <w:r w:rsidRPr="002908E0">
        <w:rPr>
          <w:lang w:val="fr-FR"/>
        </w:rPr>
        <w:t>ANNEXE</w:t>
      </w:r>
      <w:r w:rsidR="00D73DD0" w:rsidRPr="002908E0">
        <w:rPr>
          <w:lang w:val="fr-FR"/>
        </w:rPr>
        <w:t xml:space="preserve"> </w:t>
      </w:r>
    </w:p>
    <w:p w:rsidR="00D30F00" w:rsidRPr="002908E0" w:rsidRDefault="00D30F00" w:rsidP="003940B0">
      <w:pPr>
        <w:jc w:val="center"/>
        <w:rPr>
          <w:lang w:val="fr-FR"/>
        </w:rPr>
      </w:pPr>
    </w:p>
    <w:p w:rsidR="00D30F00" w:rsidRPr="002908E0" w:rsidRDefault="007D4741" w:rsidP="007D4741">
      <w:pPr>
        <w:jc w:val="center"/>
        <w:rPr>
          <w:lang w:val="fr-FR"/>
        </w:rPr>
      </w:pPr>
      <w:r w:rsidRPr="002908E0">
        <w:rPr>
          <w:lang w:val="fr-FR"/>
        </w:rPr>
        <w:t>EXTRAIT DES COURS D</w:t>
      </w:r>
      <w:r w:rsidR="004516A2" w:rsidRPr="002908E0">
        <w:rPr>
          <w:lang w:val="fr-FR"/>
        </w:rPr>
        <w:t>’</w:t>
      </w:r>
      <w:r w:rsidRPr="002908E0">
        <w:rPr>
          <w:lang w:val="fr-FR"/>
        </w:rPr>
        <w:t>ENSEIGNEMENT À DISTANCE DL</w:t>
      </w:r>
      <w:r w:rsidR="0049455A" w:rsidRPr="002908E0">
        <w:rPr>
          <w:lang w:val="fr-FR"/>
        </w:rPr>
        <w:noBreakHyphen/>
      </w:r>
      <w:r w:rsidRPr="002908E0">
        <w:rPr>
          <w:lang w:val="fr-FR"/>
        </w:rPr>
        <w:t xml:space="preserve">305 “EXAMEN DES </w:t>
      </w:r>
      <w:r w:rsidR="004516A2" w:rsidRPr="002908E0">
        <w:rPr>
          <w:lang w:val="fr-FR"/>
        </w:rPr>
        <w:t>DEMANDES</w:t>
      </w:r>
      <w:r w:rsidRPr="002908E0">
        <w:rPr>
          <w:lang w:val="fr-FR"/>
        </w:rPr>
        <w:t xml:space="preserve"> DE DROITS D</w:t>
      </w:r>
      <w:r w:rsidR="004516A2" w:rsidRPr="002908E0">
        <w:rPr>
          <w:lang w:val="fr-FR"/>
        </w:rPr>
        <w:t>’</w:t>
      </w:r>
      <w:r w:rsidRPr="002908E0">
        <w:rPr>
          <w:lang w:val="fr-FR"/>
        </w:rPr>
        <w:t>OBTENTEUR” ET DL</w:t>
      </w:r>
      <w:r w:rsidR="0049455A" w:rsidRPr="002908E0">
        <w:rPr>
          <w:lang w:val="fr-FR"/>
        </w:rPr>
        <w:noBreakHyphen/>
      </w:r>
      <w:r w:rsidRPr="002908E0">
        <w:rPr>
          <w:lang w:val="fr-FR"/>
        </w:rPr>
        <w:t>305A “ADMINISTRATION DES DROITS D</w:t>
      </w:r>
      <w:r w:rsidR="004516A2" w:rsidRPr="002908E0">
        <w:rPr>
          <w:lang w:val="fr-FR"/>
        </w:rPr>
        <w:t>’</w:t>
      </w:r>
      <w:r w:rsidRPr="002908E0">
        <w:rPr>
          <w:lang w:val="fr-FR"/>
        </w:rPr>
        <w:t>OBTENTEUR”</w:t>
      </w:r>
    </w:p>
    <w:p w:rsidR="00D30F00" w:rsidRPr="002908E0" w:rsidRDefault="00D30F00" w:rsidP="003940B0">
      <w:pPr>
        <w:jc w:val="center"/>
        <w:rPr>
          <w:lang w:val="fr-FR"/>
        </w:rPr>
      </w:pPr>
    </w:p>
    <w:p w:rsidR="00D30F00" w:rsidRPr="002908E0" w:rsidRDefault="00D30F00" w:rsidP="003940B0">
      <w:pPr>
        <w:jc w:val="center"/>
        <w:rPr>
          <w:lang w:val="fr-FR"/>
        </w:rPr>
      </w:pPr>
    </w:p>
    <w:p w:rsidR="002908E0" w:rsidRPr="002908E0" w:rsidRDefault="002908E0" w:rsidP="002908E0">
      <w:pPr>
        <w:rPr>
          <w:b/>
          <w:sz w:val="24"/>
          <w:lang w:val="fr-FR"/>
        </w:rPr>
      </w:pPr>
      <w:bookmarkStart w:id="14" w:name="OLE_LINK1"/>
      <w:bookmarkEnd w:id="13"/>
      <w:r w:rsidRPr="002908E0">
        <w:rPr>
          <w:b/>
          <w:sz w:val="24"/>
          <w:lang w:val="fr-FR"/>
        </w:rPr>
        <w:t>MODULE 4 : INFORMATIONS À PUBLIER</w:t>
      </w:r>
    </w:p>
    <w:p w:rsidR="002908E0" w:rsidRPr="002908E0" w:rsidRDefault="002908E0" w:rsidP="002908E0">
      <w:pPr>
        <w:rPr>
          <w:strike/>
          <w:lang w:val="fr-FR"/>
        </w:rPr>
      </w:pPr>
    </w:p>
    <w:p w:rsidR="002908E0" w:rsidRPr="002908E0" w:rsidRDefault="002908E0" w:rsidP="002908E0">
      <w:pPr>
        <w:rPr>
          <w:u w:val="single"/>
          <w:lang w:val="fr-FR"/>
        </w:rPr>
      </w:pPr>
      <w:r w:rsidRPr="002908E0">
        <w:rPr>
          <w:u w:val="single"/>
          <w:lang w:val="fr-FR"/>
        </w:rPr>
        <w:t>Objectif</w:t>
      </w:r>
    </w:p>
    <w:p w:rsidR="002908E0" w:rsidRPr="002908E0" w:rsidRDefault="002908E0" w:rsidP="002908E0">
      <w:pPr>
        <w:rPr>
          <w:strike/>
          <w:lang w:val="fr-FR"/>
        </w:rPr>
      </w:pPr>
    </w:p>
    <w:p w:rsidR="002908E0" w:rsidRPr="002908E0" w:rsidRDefault="002908E0" w:rsidP="002908E0">
      <w:pPr>
        <w:rPr>
          <w:i/>
          <w:lang w:val="fr-FR"/>
        </w:rPr>
      </w:pPr>
      <w:r w:rsidRPr="002908E0">
        <w:rPr>
          <w:i/>
          <w:lang w:val="fr-FR"/>
        </w:rPr>
        <w:t>L’objet du présent module est de donner des explications sur l’obligation selon laquelle les membres de l’UPOV doivent assurer l’information du public par la publication périodique de renseignements sur les demandes de droits d’obtenteur et les droits d’obtenteur délivrés, et les dénominations proposées et approuvées.</w:t>
      </w:r>
    </w:p>
    <w:p w:rsidR="002908E0" w:rsidRPr="002908E0" w:rsidRDefault="002908E0" w:rsidP="002908E0">
      <w:pPr>
        <w:rPr>
          <w:i/>
          <w:lang w:val="fr-FR"/>
        </w:rPr>
      </w:pPr>
    </w:p>
    <w:p w:rsidR="00D30F00" w:rsidRPr="002908E0" w:rsidRDefault="002908E0" w:rsidP="002908E0">
      <w:pPr>
        <w:rPr>
          <w:i/>
          <w:lang w:val="fr-FR"/>
        </w:rPr>
      </w:pPr>
      <w:r w:rsidRPr="002908E0">
        <w:rPr>
          <w:i/>
          <w:lang w:val="fr-FR"/>
        </w:rPr>
        <w:t>Ce module renvoie aux dispositions pertinentes de la Convention UPOV relatives à l’obligation de communiquer au public des informations et aux informations que doit publier le membre de l’UPOV concerné, notamment en ce qui concerne les demandes de droits d’obtenteur et les droits d’obtenteur délivrés, et les questions à prendre en considération après l’octroi de droits d’obtenteur</w:t>
      </w:r>
      <w:r w:rsidR="00FA0F51" w:rsidRPr="002908E0">
        <w:rPr>
          <w:i/>
          <w:lang w:val="fr-FR"/>
        </w:rPr>
        <w:t>.</w:t>
      </w:r>
    </w:p>
    <w:p w:rsidR="00D30F00" w:rsidRPr="002908E0" w:rsidRDefault="00D30F00" w:rsidP="00FA0F51">
      <w:pPr>
        <w:rPr>
          <w:i/>
          <w:lang w:val="fr-FR"/>
        </w:rPr>
      </w:pPr>
    </w:p>
    <w:p w:rsidR="00D30F00" w:rsidRPr="002908E0" w:rsidRDefault="00D30F00" w:rsidP="00FA0F51">
      <w:pPr>
        <w:rPr>
          <w:i/>
          <w:lang w:val="fr-FR"/>
        </w:rPr>
      </w:pPr>
    </w:p>
    <w:bookmarkEnd w:id="14"/>
    <w:p w:rsidR="00D30F00" w:rsidRPr="002908E0" w:rsidRDefault="00FA0F51" w:rsidP="00FA0F51">
      <w:pPr>
        <w:tabs>
          <w:tab w:val="num" w:pos="720"/>
        </w:tabs>
        <w:outlineLvl w:val="0"/>
        <w:rPr>
          <w:i/>
          <w:lang w:val="fr-FR"/>
        </w:rPr>
      </w:pPr>
      <w:r w:rsidRPr="002908E0">
        <w:rPr>
          <w:i/>
          <w:lang w:val="fr-FR"/>
        </w:rPr>
        <w:br w:type="page"/>
      </w:r>
    </w:p>
    <w:p w:rsidR="002908E0" w:rsidRPr="002908E0" w:rsidRDefault="002908E0" w:rsidP="002908E0">
      <w:pPr>
        <w:rPr>
          <w:lang w:val="fr-FR"/>
        </w:rPr>
      </w:pPr>
      <w:r w:rsidRPr="002908E0">
        <w:rPr>
          <w:lang w:val="fr-FR"/>
        </w:rPr>
        <w:lastRenderedPageBreak/>
        <w:t>TABLE DES MATIÈRES</w:t>
      </w:r>
    </w:p>
    <w:p w:rsidR="002908E0" w:rsidRPr="002908E0" w:rsidRDefault="002908E0" w:rsidP="002908E0">
      <w:pPr>
        <w:rPr>
          <w:lang w:val="fr-FR"/>
        </w:rPr>
      </w:pPr>
    </w:p>
    <w:p w:rsidR="002908E0" w:rsidRPr="002908E0" w:rsidRDefault="002908E0" w:rsidP="002908E0">
      <w:pPr>
        <w:pStyle w:val="TOC1"/>
        <w:rPr>
          <w:rFonts w:asciiTheme="minorHAnsi" w:eastAsiaTheme="minorEastAsia" w:hAnsiTheme="minorHAnsi" w:cstheme="minorBidi"/>
          <w:caps w:val="0"/>
          <w:sz w:val="22"/>
          <w:szCs w:val="22"/>
          <w:lang w:val="fr-FR"/>
        </w:rPr>
      </w:pPr>
      <w:r w:rsidRPr="002908E0">
        <w:rPr>
          <w:noProof w:val="0"/>
          <w:lang w:val="fr-FR"/>
        </w:rPr>
        <w:fldChar w:fldCharType="begin"/>
      </w:r>
      <w:r w:rsidRPr="002908E0">
        <w:rPr>
          <w:noProof w:val="0"/>
          <w:lang w:val="fr-FR"/>
        </w:rPr>
        <w:instrText xml:space="preserve"> TOC \o "1-3" \h \z \u </w:instrText>
      </w:r>
      <w:r w:rsidRPr="002908E0">
        <w:rPr>
          <w:noProof w:val="0"/>
          <w:lang w:val="fr-FR"/>
        </w:rPr>
        <w:fldChar w:fldCharType="separate"/>
      </w:r>
      <w:hyperlink w:anchor="_Toc396212440" w:history="1">
        <w:r w:rsidRPr="002908E0">
          <w:rPr>
            <w:rStyle w:val="Hyperlink"/>
            <w:lang w:val="fr-FR"/>
          </w:rPr>
          <w:t>OBLIGATION de communiquer au PUBLIC des informations SUR LES QUESTIONS RELATIVES AUX DROITS D’OBTENTEUR</w:t>
        </w:r>
        <w:r w:rsidRPr="002908E0">
          <w:rPr>
            <w:webHidden/>
            <w:lang w:val="fr-FR"/>
          </w:rPr>
          <w:tab/>
        </w:r>
        <w:r w:rsidRPr="002908E0">
          <w:rPr>
            <w:webHidden/>
            <w:lang w:val="fr-FR"/>
          </w:rPr>
          <w:fldChar w:fldCharType="begin"/>
        </w:r>
        <w:r w:rsidRPr="002908E0">
          <w:rPr>
            <w:webHidden/>
            <w:lang w:val="fr-FR"/>
          </w:rPr>
          <w:instrText xml:space="preserve"> PAGEREF _Toc396212440 \h </w:instrText>
        </w:r>
        <w:r w:rsidRPr="002908E0">
          <w:rPr>
            <w:webHidden/>
            <w:lang w:val="fr-FR"/>
          </w:rPr>
        </w:r>
        <w:r w:rsidRPr="002908E0">
          <w:rPr>
            <w:webHidden/>
            <w:lang w:val="fr-FR"/>
          </w:rPr>
          <w:fldChar w:fldCharType="separate"/>
        </w:r>
        <w:r w:rsidR="002142C8">
          <w:rPr>
            <w:webHidden/>
            <w:lang w:val="fr-FR"/>
          </w:rPr>
          <w:t>3</w:t>
        </w:r>
        <w:r w:rsidRPr="002908E0">
          <w:rPr>
            <w:webHidden/>
            <w:lang w:val="fr-FR"/>
          </w:rPr>
          <w:fldChar w:fldCharType="end"/>
        </w:r>
      </w:hyperlink>
    </w:p>
    <w:p w:rsidR="002908E0" w:rsidRPr="002908E0" w:rsidRDefault="002142C8" w:rsidP="002908E0">
      <w:pPr>
        <w:pStyle w:val="TOC1"/>
        <w:rPr>
          <w:rFonts w:asciiTheme="minorHAnsi" w:eastAsiaTheme="minorEastAsia" w:hAnsiTheme="minorHAnsi" w:cstheme="minorBidi"/>
          <w:caps w:val="0"/>
          <w:sz w:val="22"/>
          <w:szCs w:val="22"/>
          <w:lang w:val="fr-FR"/>
        </w:rPr>
      </w:pPr>
      <w:hyperlink w:anchor="_Toc396212441" w:history="1">
        <w:r w:rsidR="002908E0" w:rsidRPr="002908E0">
          <w:rPr>
            <w:rStyle w:val="Hyperlink"/>
            <w:lang w:val="fr-FR"/>
          </w:rPr>
          <w:t>PUBLICATION DE RENSEIGNEMENTS SUR LES DEMANDES DE DROITS D’OBTENTEUR</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_Toc396212441 \h </w:instrText>
        </w:r>
        <w:r w:rsidR="002908E0" w:rsidRPr="002908E0">
          <w:rPr>
            <w:webHidden/>
            <w:lang w:val="fr-FR"/>
          </w:rPr>
        </w:r>
        <w:r w:rsidR="002908E0" w:rsidRPr="002908E0">
          <w:rPr>
            <w:webHidden/>
            <w:lang w:val="fr-FR"/>
          </w:rPr>
          <w:fldChar w:fldCharType="separate"/>
        </w:r>
        <w:r>
          <w:rPr>
            <w:webHidden/>
            <w:lang w:val="fr-FR"/>
          </w:rPr>
          <w:t>4</w:t>
        </w:r>
        <w:r w:rsidR="002908E0" w:rsidRPr="002908E0">
          <w:rPr>
            <w:webHidden/>
            <w:lang w:val="fr-FR"/>
          </w:rPr>
          <w:fldChar w:fldCharType="end"/>
        </w:r>
      </w:hyperlink>
    </w:p>
    <w:p w:rsidR="002908E0" w:rsidRPr="002908E0" w:rsidRDefault="002142C8" w:rsidP="002908E0">
      <w:pPr>
        <w:pStyle w:val="TOC2"/>
        <w:rPr>
          <w:rFonts w:asciiTheme="minorHAnsi" w:eastAsiaTheme="minorEastAsia" w:hAnsiTheme="minorHAnsi" w:cstheme="minorBidi"/>
          <w:sz w:val="22"/>
          <w:szCs w:val="22"/>
          <w:lang w:val="fr-FR"/>
        </w:rPr>
      </w:pPr>
      <w:hyperlink w:anchor="_Toc396212442" w:history="1">
        <w:r w:rsidR="002908E0" w:rsidRPr="002908E0">
          <w:rPr>
            <w:rStyle w:val="Hyperlink"/>
            <w:lang w:val="fr-FR"/>
          </w:rPr>
          <w:t>Renseignements à fournir en ce qui concerne les demandes de droits d’obtenteur</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_Toc396212442 \h </w:instrText>
        </w:r>
        <w:r w:rsidR="002908E0" w:rsidRPr="002908E0">
          <w:rPr>
            <w:webHidden/>
            <w:lang w:val="fr-FR"/>
          </w:rPr>
        </w:r>
        <w:r w:rsidR="002908E0" w:rsidRPr="002908E0">
          <w:rPr>
            <w:webHidden/>
            <w:lang w:val="fr-FR"/>
          </w:rPr>
          <w:fldChar w:fldCharType="separate"/>
        </w:r>
        <w:r>
          <w:rPr>
            <w:webHidden/>
            <w:lang w:val="fr-FR"/>
          </w:rPr>
          <w:t>4</w:t>
        </w:r>
        <w:r w:rsidR="002908E0" w:rsidRPr="002908E0">
          <w:rPr>
            <w:webHidden/>
            <w:lang w:val="fr-FR"/>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43" w:history="1">
        <w:r w:rsidR="002908E0" w:rsidRPr="002908E0">
          <w:rPr>
            <w:rStyle w:val="Hyperlink"/>
          </w:rPr>
          <w:t>Introduction</w:t>
        </w:r>
        <w:r w:rsidR="002908E0" w:rsidRPr="002908E0">
          <w:rPr>
            <w:webHidden/>
          </w:rPr>
          <w:tab/>
        </w:r>
        <w:r w:rsidR="002908E0" w:rsidRPr="002908E0">
          <w:rPr>
            <w:webHidden/>
          </w:rPr>
          <w:fldChar w:fldCharType="begin"/>
        </w:r>
        <w:r w:rsidR="002908E0" w:rsidRPr="002908E0">
          <w:rPr>
            <w:webHidden/>
          </w:rPr>
          <w:instrText xml:space="preserve"> PAGEREF _Toc396212443 \h </w:instrText>
        </w:r>
        <w:r w:rsidR="002908E0" w:rsidRPr="002908E0">
          <w:rPr>
            <w:webHidden/>
          </w:rPr>
        </w:r>
        <w:r w:rsidR="002908E0" w:rsidRPr="002908E0">
          <w:rPr>
            <w:webHidden/>
          </w:rPr>
          <w:fldChar w:fldCharType="separate"/>
        </w:r>
        <w:r>
          <w:rPr>
            <w:webHidden/>
          </w:rPr>
          <w:t>4</w:t>
        </w:r>
        <w:r w:rsidR="002908E0" w:rsidRPr="002908E0">
          <w:rPr>
            <w:webHidden/>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44" w:history="1">
        <w:r w:rsidR="002908E0" w:rsidRPr="002908E0">
          <w:rPr>
            <w:rStyle w:val="Hyperlink"/>
          </w:rPr>
          <w:t>Dénomination proposée</w:t>
        </w:r>
        <w:r w:rsidR="002908E0" w:rsidRPr="002908E0">
          <w:rPr>
            <w:webHidden/>
          </w:rPr>
          <w:tab/>
        </w:r>
        <w:r w:rsidR="002908E0" w:rsidRPr="002908E0">
          <w:rPr>
            <w:webHidden/>
          </w:rPr>
          <w:fldChar w:fldCharType="begin"/>
        </w:r>
        <w:r w:rsidR="002908E0" w:rsidRPr="002908E0">
          <w:rPr>
            <w:webHidden/>
          </w:rPr>
          <w:instrText xml:space="preserve"> PAGEREF _Toc396212444 \h </w:instrText>
        </w:r>
        <w:r w:rsidR="002908E0" w:rsidRPr="002908E0">
          <w:rPr>
            <w:webHidden/>
          </w:rPr>
        </w:r>
        <w:r w:rsidR="002908E0" w:rsidRPr="002908E0">
          <w:rPr>
            <w:webHidden/>
          </w:rPr>
          <w:fldChar w:fldCharType="separate"/>
        </w:r>
        <w:r>
          <w:rPr>
            <w:webHidden/>
          </w:rPr>
          <w:t>4</w:t>
        </w:r>
        <w:r w:rsidR="002908E0" w:rsidRPr="002908E0">
          <w:rPr>
            <w:webHidden/>
          </w:rPr>
          <w:fldChar w:fldCharType="end"/>
        </w:r>
      </w:hyperlink>
    </w:p>
    <w:p w:rsidR="002908E0" w:rsidRPr="002908E0" w:rsidRDefault="002142C8" w:rsidP="002908E0">
      <w:pPr>
        <w:pStyle w:val="TOC2"/>
        <w:rPr>
          <w:rFonts w:asciiTheme="minorHAnsi" w:eastAsiaTheme="minorEastAsia" w:hAnsiTheme="minorHAnsi" w:cstheme="minorBidi"/>
          <w:sz w:val="22"/>
          <w:szCs w:val="22"/>
          <w:lang w:val="fr-FR"/>
        </w:rPr>
      </w:pPr>
      <w:hyperlink w:anchor="_Toc396212445" w:history="1">
        <w:r w:rsidR="002908E0" w:rsidRPr="002908E0">
          <w:rPr>
            <w:rStyle w:val="Hyperlink"/>
            <w:lang w:val="fr-FR"/>
          </w:rPr>
          <w:t>Renseignements complémentaires pouvant être fournis en ce qui concerne les demandes de droits d’obtenteur</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_Toc396212445 \h </w:instrText>
        </w:r>
        <w:r w:rsidR="002908E0" w:rsidRPr="002908E0">
          <w:rPr>
            <w:webHidden/>
            <w:lang w:val="fr-FR"/>
          </w:rPr>
        </w:r>
        <w:r w:rsidR="002908E0" w:rsidRPr="002908E0">
          <w:rPr>
            <w:webHidden/>
            <w:lang w:val="fr-FR"/>
          </w:rPr>
          <w:fldChar w:fldCharType="separate"/>
        </w:r>
        <w:r>
          <w:rPr>
            <w:webHidden/>
            <w:lang w:val="fr-FR"/>
          </w:rPr>
          <w:t>5</w:t>
        </w:r>
        <w:r w:rsidR="002908E0" w:rsidRPr="002908E0">
          <w:rPr>
            <w:webHidden/>
            <w:lang w:val="fr-FR"/>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46" w:history="1">
        <w:r w:rsidR="002908E0" w:rsidRPr="002908E0">
          <w:rPr>
            <w:rStyle w:val="Hyperlink"/>
          </w:rPr>
          <w:t>Renseignements sur l’obtenteur de la variété ou son représentant</w:t>
        </w:r>
        <w:r w:rsidR="002908E0" w:rsidRPr="002908E0">
          <w:rPr>
            <w:webHidden/>
          </w:rPr>
          <w:tab/>
        </w:r>
        <w:r w:rsidR="002908E0" w:rsidRPr="002908E0">
          <w:rPr>
            <w:webHidden/>
          </w:rPr>
          <w:fldChar w:fldCharType="begin"/>
        </w:r>
        <w:r w:rsidR="002908E0" w:rsidRPr="002908E0">
          <w:rPr>
            <w:webHidden/>
          </w:rPr>
          <w:instrText xml:space="preserve"> PAGEREF _Toc396212446 \h </w:instrText>
        </w:r>
        <w:r w:rsidR="002908E0" w:rsidRPr="002908E0">
          <w:rPr>
            <w:webHidden/>
          </w:rPr>
        </w:r>
        <w:r w:rsidR="002908E0" w:rsidRPr="002908E0">
          <w:rPr>
            <w:webHidden/>
          </w:rPr>
          <w:fldChar w:fldCharType="separate"/>
        </w:r>
        <w:r>
          <w:rPr>
            <w:webHidden/>
          </w:rPr>
          <w:t>5</w:t>
        </w:r>
        <w:r w:rsidR="002908E0" w:rsidRPr="002908E0">
          <w:rPr>
            <w:webHidden/>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47" w:history="1">
        <w:r w:rsidR="002908E0" w:rsidRPr="002908E0">
          <w:rPr>
            <w:rStyle w:val="Hyperlink"/>
          </w:rPr>
          <w:t>Protection provisoire</w:t>
        </w:r>
        <w:r w:rsidR="002908E0" w:rsidRPr="002908E0">
          <w:rPr>
            <w:webHidden/>
          </w:rPr>
          <w:tab/>
        </w:r>
        <w:r w:rsidR="002908E0" w:rsidRPr="002908E0">
          <w:rPr>
            <w:webHidden/>
          </w:rPr>
          <w:fldChar w:fldCharType="begin"/>
        </w:r>
        <w:r w:rsidR="002908E0" w:rsidRPr="002908E0">
          <w:rPr>
            <w:webHidden/>
          </w:rPr>
          <w:instrText xml:space="preserve"> PAGEREF _Toc396212447 \h </w:instrText>
        </w:r>
        <w:r w:rsidR="002908E0" w:rsidRPr="002908E0">
          <w:rPr>
            <w:webHidden/>
          </w:rPr>
        </w:r>
        <w:r w:rsidR="002908E0" w:rsidRPr="002908E0">
          <w:rPr>
            <w:webHidden/>
          </w:rPr>
          <w:fldChar w:fldCharType="separate"/>
        </w:r>
        <w:r>
          <w:rPr>
            <w:webHidden/>
          </w:rPr>
          <w:t>5</w:t>
        </w:r>
        <w:r w:rsidR="002908E0" w:rsidRPr="002908E0">
          <w:rPr>
            <w:webHidden/>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48" w:history="1">
        <w:r w:rsidR="002908E0" w:rsidRPr="002908E0">
          <w:rPr>
            <w:rStyle w:val="Hyperlink"/>
          </w:rPr>
          <w:t>Descriptions et photographies des variétés</w:t>
        </w:r>
        <w:r w:rsidR="002908E0" w:rsidRPr="002908E0">
          <w:rPr>
            <w:webHidden/>
          </w:rPr>
          <w:tab/>
        </w:r>
        <w:r w:rsidR="002908E0" w:rsidRPr="002908E0">
          <w:rPr>
            <w:webHidden/>
          </w:rPr>
          <w:fldChar w:fldCharType="begin"/>
        </w:r>
        <w:r w:rsidR="002908E0" w:rsidRPr="002908E0">
          <w:rPr>
            <w:webHidden/>
          </w:rPr>
          <w:instrText xml:space="preserve"> PAGEREF _Toc396212448 \h </w:instrText>
        </w:r>
        <w:r w:rsidR="002908E0" w:rsidRPr="002908E0">
          <w:rPr>
            <w:webHidden/>
          </w:rPr>
        </w:r>
        <w:r w:rsidR="002908E0" w:rsidRPr="002908E0">
          <w:rPr>
            <w:webHidden/>
          </w:rPr>
          <w:fldChar w:fldCharType="separate"/>
        </w:r>
        <w:r>
          <w:rPr>
            <w:webHidden/>
          </w:rPr>
          <w:t>5</w:t>
        </w:r>
        <w:r w:rsidR="002908E0" w:rsidRPr="002908E0">
          <w:rPr>
            <w:webHidden/>
          </w:rPr>
          <w:fldChar w:fldCharType="end"/>
        </w:r>
      </w:hyperlink>
    </w:p>
    <w:p w:rsidR="002908E0" w:rsidRPr="002908E0" w:rsidRDefault="002142C8" w:rsidP="002908E0">
      <w:pPr>
        <w:pStyle w:val="TOC2"/>
        <w:rPr>
          <w:rFonts w:asciiTheme="minorHAnsi" w:eastAsiaTheme="minorEastAsia" w:hAnsiTheme="minorHAnsi" w:cstheme="minorBidi"/>
          <w:sz w:val="22"/>
          <w:szCs w:val="22"/>
          <w:lang w:val="fr-FR"/>
        </w:rPr>
      </w:pPr>
      <w:hyperlink w:anchor="_Toc396212449" w:history="1">
        <w:r w:rsidR="002908E0" w:rsidRPr="002908E0">
          <w:rPr>
            <w:rStyle w:val="Hyperlink"/>
            <w:lang w:val="fr-FR"/>
          </w:rPr>
          <w:t>Objections relatives à des renseignements publiés concernant une demande</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_Toc396212449 \h </w:instrText>
        </w:r>
        <w:r w:rsidR="002908E0" w:rsidRPr="002908E0">
          <w:rPr>
            <w:webHidden/>
            <w:lang w:val="fr-FR"/>
          </w:rPr>
        </w:r>
        <w:r w:rsidR="002908E0" w:rsidRPr="002908E0">
          <w:rPr>
            <w:webHidden/>
            <w:lang w:val="fr-FR"/>
          </w:rPr>
          <w:fldChar w:fldCharType="separate"/>
        </w:r>
        <w:r>
          <w:rPr>
            <w:webHidden/>
            <w:lang w:val="fr-FR"/>
          </w:rPr>
          <w:t>5</w:t>
        </w:r>
        <w:r w:rsidR="002908E0" w:rsidRPr="002908E0">
          <w:rPr>
            <w:webHidden/>
            <w:lang w:val="fr-FR"/>
          </w:rPr>
          <w:fldChar w:fldCharType="end"/>
        </w:r>
      </w:hyperlink>
    </w:p>
    <w:p w:rsidR="002908E0" w:rsidRPr="002908E0" w:rsidRDefault="002142C8" w:rsidP="002908E0">
      <w:pPr>
        <w:pStyle w:val="TOC2"/>
        <w:rPr>
          <w:rFonts w:asciiTheme="minorHAnsi" w:eastAsiaTheme="minorEastAsia" w:hAnsiTheme="minorHAnsi" w:cstheme="minorBidi"/>
          <w:sz w:val="22"/>
          <w:szCs w:val="22"/>
          <w:lang w:val="fr-FR"/>
        </w:rPr>
      </w:pPr>
      <w:hyperlink w:anchor="_Toc396212450" w:history="1">
        <w:r w:rsidR="002908E0" w:rsidRPr="002908E0">
          <w:rPr>
            <w:rStyle w:val="Hyperlink"/>
            <w:lang w:val="fr-FR"/>
          </w:rPr>
          <w:t>Retrait ou rejet d’une demande de droits d’obtenteur</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_Toc396212450 \h </w:instrText>
        </w:r>
        <w:r w:rsidR="002908E0" w:rsidRPr="002908E0">
          <w:rPr>
            <w:webHidden/>
            <w:lang w:val="fr-FR"/>
          </w:rPr>
        </w:r>
        <w:r w:rsidR="002908E0" w:rsidRPr="002908E0">
          <w:rPr>
            <w:webHidden/>
            <w:lang w:val="fr-FR"/>
          </w:rPr>
          <w:fldChar w:fldCharType="separate"/>
        </w:r>
        <w:r>
          <w:rPr>
            <w:webHidden/>
            <w:lang w:val="fr-FR"/>
          </w:rPr>
          <w:t>6</w:t>
        </w:r>
        <w:r w:rsidR="002908E0" w:rsidRPr="002908E0">
          <w:rPr>
            <w:webHidden/>
            <w:lang w:val="fr-FR"/>
          </w:rPr>
          <w:fldChar w:fldCharType="end"/>
        </w:r>
      </w:hyperlink>
    </w:p>
    <w:p w:rsidR="002908E0" w:rsidRPr="002908E0" w:rsidRDefault="002142C8" w:rsidP="002908E0">
      <w:pPr>
        <w:pStyle w:val="TOC1"/>
        <w:rPr>
          <w:rFonts w:asciiTheme="minorHAnsi" w:eastAsiaTheme="minorEastAsia" w:hAnsiTheme="minorHAnsi" w:cstheme="minorBidi"/>
          <w:caps w:val="0"/>
          <w:sz w:val="22"/>
          <w:szCs w:val="22"/>
          <w:lang w:val="fr-FR"/>
        </w:rPr>
      </w:pPr>
      <w:hyperlink w:anchor="_Toc396212451" w:history="1">
        <w:r w:rsidR="002908E0" w:rsidRPr="002908E0">
          <w:rPr>
            <w:rStyle w:val="Hyperlink"/>
            <w:lang w:val="fr-FR"/>
          </w:rPr>
          <w:t>PUBLICATION DE RENSEIGNEMENTS SUR LES DROITS D’OBTENTEUR DÉLIVRÉS</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_Toc396212451 \h </w:instrText>
        </w:r>
        <w:r w:rsidR="002908E0" w:rsidRPr="002908E0">
          <w:rPr>
            <w:webHidden/>
            <w:lang w:val="fr-FR"/>
          </w:rPr>
        </w:r>
        <w:r w:rsidR="002908E0" w:rsidRPr="002908E0">
          <w:rPr>
            <w:webHidden/>
            <w:lang w:val="fr-FR"/>
          </w:rPr>
          <w:fldChar w:fldCharType="separate"/>
        </w:r>
        <w:r>
          <w:rPr>
            <w:webHidden/>
            <w:lang w:val="fr-FR"/>
          </w:rPr>
          <w:t>6</w:t>
        </w:r>
        <w:r w:rsidR="002908E0" w:rsidRPr="002908E0">
          <w:rPr>
            <w:webHidden/>
            <w:lang w:val="fr-FR"/>
          </w:rPr>
          <w:fldChar w:fldCharType="end"/>
        </w:r>
      </w:hyperlink>
    </w:p>
    <w:p w:rsidR="002908E0" w:rsidRPr="002908E0" w:rsidRDefault="002142C8" w:rsidP="002908E0">
      <w:pPr>
        <w:pStyle w:val="TOC2"/>
        <w:rPr>
          <w:rFonts w:asciiTheme="minorHAnsi" w:eastAsiaTheme="minorEastAsia" w:hAnsiTheme="minorHAnsi" w:cstheme="minorBidi"/>
          <w:sz w:val="22"/>
          <w:szCs w:val="22"/>
          <w:lang w:val="fr-FR"/>
        </w:rPr>
      </w:pPr>
      <w:hyperlink w:anchor="_Toc396212452" w:history="1">
        <w:r w:rsidR="002908E0" w:rsidRPr="002908E0">
          <w:rPr>
            <w:rStyle w:val="Hyperlink"/>
            <w:lang w:val="fr-FR"/>
          </w:rPr>
          <w:t>Droits d’obtenteur délivrés et dénominations approuvées</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_Toc396212452 \h </w:instrText>
        </w:r>
        <w:r w:rsidR="002908E0" w:rsidRPr="002908E0">
          <w:rPr>
            <w:webHidden/>
            <w:lang w:val="fr-FR"/>
          </w:rPr>
        </w:r>
        <w:r w:rsidR="002908E0" w:rsidRPr="002908E0">
          <w:rPr>
            <w:webHidden/>
            <w:lang w:val="fr-FR"/>
          </w:rPr>
          <w:fldChar w:fldCharType="separate"/>
        </w:r>
        <w:r>
          <w:rPr>
            <w:webHidden/>
            <w:lang w:val="fr-FR"/>
          </w:rPr>
          <w:t>6</w:t>
        </w:r>
        <w:r w:rsidR="002908E0" w:rsidRPr="002908E0">
          <w:rPr>
            <w:webHidden/>
            <w:lang w:val="fr-FR"/>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53" w:history="1">
        <w:r w:rsidR="002908E0" w:rsidRPr="002908E0">
          <w:rPr>
            <w:rStyle w:val="Hyperlink"/>
          </w:rPr>
          <w:t>Renseignements à fournir</w:t>
        </w:r>
        <w:r w:rsidR="002908E0" w:rsidRPr="002908E0">
          <w:rPr>
            <w:webHidden/>
          </w:rPr>
          <w:tab/>
        </w:r>
        <w:r w:rsidR="002908E0" w:rsidRPr="002908E0">
          <w:rPr>
            <w:webHidden/>
          </w:rPr>
          <w:fldChar w:fldCharType="begin"/>
        </w:r>
        <w:r w:rsidR="002908E0" w:rsidRPr="002908E0">
          <w:rPr>
            <w:webHidden/>
          </w:rPr>
          <w:instrText xml:space="preserve"> PAGEREF _Toc396212453 \h </w:instrText>
        </w:r>
        <w:r w:rsidR="002908E0" w:rsidRPr="002908E0">
          <w:rPr>
            <w:webHidden/>
          </w:rPr>
        </w:r>
        <w:r w:rsidR="002908E0" w:rsidRPr="002908E0">
          <w:rPr>
            <w:webHidden/>
          </w:rPr>
          <w:fldChar w:fldCharType="separate"/>
        </w:r>
        <w:r>
          <w:rPr>
            <w:webHidden/>
          </w:rPr>
          <w:t>6</w:t>
        </w:r>
        <w:r w:rsidR="002908E0" w:rsidRPr="002908E0">
          <w:rPr>
            <w:webHidden/>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54" w:history="1">
        <w:r w:rsidR="002908E0" w:rsidRPr="002908E0">
          <w:rPr>
            <w:rStyle w:val="Hyperlink"/>
          </w:rPr>
          <w:t>Renseignements complémentaires</w:t>
        </w:r>
        <w:r w:rsidR="002908E0" w:rsidRPr="002908E0">
          <w:rPr>
            <w:webHidden/>
          </w:rPr>
          <w:tab/>
        </w:r>
        <w:r w:rsidR="002908E0" w:rsidRPr="002908E0">
          <w:rPr>
            <w:webHidden/>
          </w:rPr>
          <w:fldChar w:fldCharType="begin"/>
        </w:r>
        <w:r w:rsidR="002908E0" w:rsidRPr="002908E0">
          <w:rPr>
            <w:webHidden/>
          </w:rPr>
          <w:instrText xml:space="preserve"> PAGEREF _Toc396212454 \h </w:instrText>
        </w:r>
        <w:r w:rsidR="002908E0" w:rsidRPr="002908E0">
          <w:rPr>
            <w:webHidden/>
          </w:rPr>
        </w:r>
        <w:r w:rsidR="002908E0" w:rsidRPr="002908E0">
          <w:rPr>
            <w:webHidden/>
          </w:rPr>
          <w:fldChar w:fldCharType="separate"/>
        </w:r>
        <w:r>
          <w:rPr>
            <w:webHidden/>
          </w:rPr>
          <w:t>6</w:t>
        </w:r>
        <w:r w:rsidR="002908E0" w:rsidRPr="002908E0">
          <w:rPr>
            <w:webHidden/>
          </w:rPr>
          <w:fldChar w:fldCharType="end"/>
        </w:r>
      </w:hyperlink>
    </w:p>
    <w:p w:rsidR="002908E0" w:rsidRPr="002908E0" w:rsidRDefault="002142C8" w:rsidP="002908E0">
      <w:pPr>
        <w:pStyle w:val="TOC2"/>
        <w:rPr>
          <w:rFonts w:asciiTheme="minorHAnsi" w:eastAsiaTheme="minorEastAsia" w:hAnsiTheme="minorHAnsi" w:cstheme="minorBidi"/>
          <w:sz w:val="22"/>
          <w:szCs w:val="22"/>
          <w:lang w:val="fr-FR"/>
        </w:rPr>
      </w:pPr>
      <w:hyperlink w:anchor="_Toc396212455" w:history="1">
        <w:r w:rsidR="002908E0" w:rsidRPr="002908E0">
          <w:rPr>
            <w:rStyle w:val="Hyperlink"/>
            <w:lang w:val="fr-FR"/>
          </w:rPr>
          <w:t>Publication avant l’octroi du droit</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_Toc396212455 \h </w:instrText>
        </w:r>
        <w:r w:rsidR="002908E0" w:rsidRPr="002908E0">
          <w:rPr>
            <w:webHidden/>
            <w:lang w:val="fr-FR"/>
          </w:rPr>
        </w:r>
        <w:r w:rsidR="002908E0" w:rsidRPr="002908E0">
          <w:rPr>
            <w:webHidden/>
            <w:lang w:val="fr-FR"/>
          </w:rPr>
          <w:fldChar w:fldCharType="separate"/>
        </w:r>
        <w:r>
          <w:rPr>
            <w:webHidden/>
            <w:lang w:val="fr-FR"/>
          </w:rPr>
          <w:t>6</w:t>
        </w:r>
        <w:r w:rsidR="002908E0" w:rsidRPr="002908E0">
          <w:rPr>
            <w:webHidden/>
            <w:lang w:val="fr-FR"/>
          </w:rPr>
          <w:fldChar w:fldCharType="end"/>
        </w:r>
      </w:hyperlink>
    </w:p>
    <w:p w:rsidR="002908E0" w:rsidRPr="002908E0" w:rsidRDefault="002142C8" w:rsidP="002908E0">
      <w:pPr>
        <w:pStyle w:val="TOC2"/>
        <w:rPr>
          <w:rFonts w:asciiTheme="minorHAnsi" w:eastAsiaTheme="minorEastAsia" w:hAnsiTheme="minorHAnsi" w:cstheme="minorBidi"/>
          <w:sz w:val="22"/>
          <w:szCs w:val="22"/>
          <w:lang w:val="fr-FR"/>
        </w:rPr>
      </w:pPr>
      <w:hyperlink w:anchor="_Toc396212456" w:history="1">
        <w:r w:rsidR="002908E0" w:rsidRPr="002908E0">
          <w:rPr>
            <w:rStyle w:val="Hyperlink"/>
            <w:lang w:val="fr-FR" w:eastAsia="nl-NL"/>
          </w:rPr>
          <w:t>Extinction du droit de l’obtenteur</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_Toc396212456 \h </w:instrText>
        </w:r>
        <w:r w:rsidR="002908E0" w:rsidRPr="002908E0">
          <w:rPr>
            <w:webHidden/>
            <w:lang w:val="fr-FR"/>
          </w:rPr>
        </w:r>
        <w:r w:rsidR="002908E0" w:rsidRPr="002908E0">
          <w:rPr>
            <w:webHidden/>
            <w:lang w:val="fr-FR"/>
          </w:rPr>
          <w:fldChar w:fldCharType="separate"/>
        </w:r>
        <w:r>
          <w:rPr>
            <w:webHidden/>
            <w:lang w:val="fr-FR"/>
          </w:rPr>
          <w:t>7</w:t>
        </w:r>
        <w:r w:rsidR="002908E0" w:rsidRPr="002908E0">
          <w:rPr>
            <w:webHidden/>
            <w:lang w:val="fr-FR"/>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57" w:history="1">
        <w:r w:rsidR="002908E0" w:rsidRPr="002908E0">
          <w:rPr>
            <w:rStyle w:val="Hyperlink"/>
          </w:rPr>
          <w:t>Nullité des droits d’obtenteur</w:t>
        </w:r>
        <w:r w:rsidR="002908E0" w:rsidRPr="002908E0">
          <w:rPr>
            <w:webHidden/>
          </w:rPr>
          <w:tab/>
        </w:r>
        <w:r w:rsidR="002908E0" w:rsidRPr="002908E0">
          <w:rPr>
            <w:webHidden/>
          </w:rPr>
          <w:fldChar w:fldCharType="begin"/>
        </w:r>
        <w:r w:rsidR="002908E0" w:rsidRPr="002908E0">
          <w:rPr>
            <w:webHidden/>
          </w:rPr>
          <w:instrText xml:space="preserve"> PAGEREF _Toc396212457 \h </w:instrText>
        </w:r>
        <w:r w:rsidR="002908E0" w:rsidRPr="002908E0">
          <w:rPr>
            <w:webHidden/>
          </w:rPr>
        </w:r>
        <w:r w:rsidR="002908E0" w:rsidRPr="002908E0">
          <w:rPr>
            <w:webHidden/>
          </w:rPr>
          <w:fldChar w:fldCharType="separate"/>
        </w:r>
        <w:r>
          <w:rPr>
            <w:webHidden/>
          </w:rPr>
          <w:t>7</w:t>
        </w:r>
        <w:r w:rsidR="002908E0" w:rsidRPr="002908E0">
          <w:rPr>
            <w:webHidden/>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58" w:history="1">
        <w:r w:rsidR="002908E0" w:rsidRPr="002908E0">
          <w:rPr>
            <w:rStyle w:val="Hyperlink"/>
          </w:rPr>
          <w:t>Déchéance de l’obtenteur</w:t>
        </w:r>
        <w:r w:rsidR="002908E0" w:rsidRPr="002908E0">
          <w:rPr>
            <w:webHidden/>
          </w:rPr>
          <w:tab/>
        </w:r>
        <w:r w:rsidR="002908E0" w:rsidRPr="002908E0">
          <w:rPr>
            <w:webHidden/>
          </w:rPr>
          <w:fldChar w:fldCharType="begin"/>
        </w:r>
        <w:r w:rsidR="002908E0" w:rsidRPr="002908E0">
          <w:rPr>
            <w:webHidden/>
          </w:rPr>
          <w:instrText xml:space="preserve"> PAGEREF _Toc396212458 \h </w:instrText>
        </w:r>
        <w:r w:rsidR="002908E0" w:rsidRPr="002908E0">
          <w:rPr>
            <w:webHidden/>
          </w:rPr>
        </w:r>
        <w:r w:rsidR="002908E0" w:rsidRPr="002908E0">
          <w:rPr>
            <w:webHidden/>
          </w:rPr>
          <w:fldChar w:fldCharType="separate"/>
        </w:r>
        <w:r>
          <w:rPr>
            <w:webHidden/>
          </w:rPr>
          <w:t>8</w:t>
        </w:r>
        <w:r w:rsidR="002908E0" w:rsidRPr="002908E0">
          <w:rPr>
            <w:webHidden/>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59" w:history="1">
        <w:r w:rsidR="002908E0" w:rsidRPr="002908E0">
          <w:rPr>
            <w:rStyle w:val="Hyperlink"/>
          </w:rPr>
          <w:t>Renonciation aux droits d’obtenteur</w:t>
        </w:r>
        <w:r w:rsidR="002908E0" w:rsidRPr="002908E0">
          <w:rPr>
            <w:webHidden/>
          </w:rPr>
          <w:tab/>
        </w:r>
        <w:r w:rsidR="002908E0" w:rsidRPr="002908E0">
          <w:rPr>
            <w:webHidden/>
          </w:rPr>
          <w:fldChar w:fldCharType="begin"/>
        </w:r>
        <w:r w:rsidR="002908E0" w:rsidRPr="002908E0">
          <w:rPr>
            <w:webHidden/>
          </w:rPr>
          <w:instrText xml:space="preserve"> PAGEREF _Toc396212459 \h </w:instrText>
        </w:r>
        <w:r w:rsidR="002908E0" w:rsidRPr="002908E0">
          <w:rPr>
            <w:webHidden/>
          </w:rPr>
        </w:r>
        <w:r w:rsidR="002908E0" w:rsidRPr="002908E0">
          <w:rPr>
            <w:webHidden/>
          </w:rPr>
          <w:fldChar w:fldCharType="separate"/>
        </w:r>
        <w:r>
          <w:rPr>
            <w:webHidden/>
          </w:rPr>
          <w:t>9</w:t>
        </w:r>
        <w:r w:rsidR="002908E0" w:rsidRPr="002908E0">
          <w:rPr>
            <w:webHidden/>
          </w:rPr>
          <w:fldChar w:fldCharType="end"/>
        </w:r>
      </w:hyperlink>
    </w:p>
    <w:p w:rsidR="002908E0" w:rsidRPr="002908E0" w:rsidRDefault="002142C8" w:rsidP="002908E0">
      <w:pPr>
        <w:pStyle w:val="TOC3"/>
        <w:rPr>
          <w:rFonts w:asciiTheme="minorHAnsi" w:eastAsiaTheme="minorEastAsia" w:hAnsiTheme="minorHAnsi" w:cstheme="minorBidi"/>
          <w:i w:val="0"/>
          <w:sz w:val="22"/>
          <w:szCs w:val="22"/>
        </w:rPr>
      </w:pPr>
      <w:hyperlink w:anchor="_Toc396212460" w:history="1">
        <w:r w:rsidR="002908E0" w:rsidRPr="002908E0">
          <w:rPr>
            <w:rStyle w:val="Hyperlink"/>
          </w:rPr>
          <w:t>Expiration de la période de protection des droits d’obtenteur</w:t>
        </w:r>
        <w:r w:rsidR="002908E0" w:rsidRPr="002908E0">
          <w:rPr>
            <w:webHidden/>
          </w:rPr>
          <w:tab/>
        </w:r>
        <w:r w:rsidR="002908E0" w:rsidRPr="002908E0">
          <w:rPr>
            <w:webHidden/>
          </w:rPr>
          <w:fldChar w:fldCharType="begin"/>
        </w:r>
        <w:r w:rsidR="002908E0" w:rsidRPr="002908E0">
          <w:rPr>
            <w:webHidden/>
          </w:rPr>
          <w:instrText xml:space="preserve"> PAGEREF _Toc396212460 \h </w:instrText>
        </w:r>
        <w:r w:rsidR="002908E0" w:rsidRPr="002908E0">
          <w:rPr>
            <w:webHidden/>
          </w:rPr>
        </w:r>
        <w:r w:rsidR="002908E0" w:rsidRPr="002908E0">
          <w:rPr>
            <w:webHidden/>
          </w:rPr>
          <w:fldChar w:fldCharType="separate"/>
        </w:r>
        <w:r>
          <w:rPr>
            <w:webHidden/>
          </w:rPr>
          <w:t>9</w:t>
        </w:r>
        <w:r w:rsidR="002908E0" w:rsidRPr="002908E0">
          <w:rPr>
            <w:webHidden/>
          </w:rPr>
          <w:fldChar w:fldCharType="end"/>
        </w:r>
      </w:hyperlink>
    </w:p>
    <w:p w:rsidR="002908E0" w:rsidRPr="002908E0" w:rsidRDefault="002142C8" w:rsidP="002908E0">
      <w:pPr>
        <w:pStyle w:val="TOC2"/>
        <w:rPr>
          <w:rFonts w:asciiTheme="minorHAnsi" w:eastAsiaTheme="minorEastAsia" w:hAnsiTheme="minorHAnsi" w:cstheme="minorBidi"/>
          <w:sz w:val="22"/>
          <w:szCs w:val="22"/>
          <w:lang w:val="fr-FR"/>
        </w:rPr>
      </w:pPr>
      <w:hyperlink w:anchor="_Toc396212461" w:history="1">
        <w:r w:rsidR="002908E0" w:rsidRPr="002908E0">
          <w:rPr>
            <w:rStyle w:val="Hyperlink"/>
            <w:lang w:val="fr-FR" w:eastAsia="nl-NL"/>
          </w:rPr>
          <w:t>Modifications apportées aux dénominations variétales</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_Toc396212461 \h </w:instrText>
        </w:r>
        <w:r w:rsidR="002908E0" w:rsidRPr="002908E0">
          <w:rPr>
            <w:webHidden/>
            <w:lang w:val="fr-FR"/>
          </w:rPr>
        </w:r>
        <w:r w:rsidR="002908E0" w:rsidRPr="002908E0">
          <w:rPr>
            <w:webHidden/>
            <w:lang w:val="fr-FR"/>
          </w:rPr>
          <w:fldChar w:fldCharType="separate"/>
        </w:r>
        <w:r>
          <w:rPr>
            <w:webHidden/>
            <w:lang w:val="fr-FR"/>
          </w:rPr>
          <w:t>9</w:t>
        </w:r>
        <w:r w:rsidR="002908E0" w:rsidRPr="002908E0">
          <w:rPr>
            <w:webHidden/>
            <w:lang w:val="fr-FR"/>
          </w:rPr>
          <w:fldChar w:fldCharType="end"/>
        </w:r>
      </w:hyperlink>
    </w:p>
    <w:p w:rsidR="002908E0" w:rsidRPr="002908E0" w:rsidRDefault="002142C8" w:rsidP="002908E0">
      <w:pPr>
        <w:pStyle w:val="TOC2"/>
        <w:rPr>
          <w:rFonts w:asciiTheme="minorHAnsi" w:eastAsiaTheme="minorEastAsia" w:hAnsiTheme="minorHAnsi" w:cstheme="minorBidi"/>
          <w:sz w:val="22"/>
          <w:szCs w:val="22"/>
          <w:lang w:val="fr-FR"/>
        </w:rPr>
      </w:pPr>
      <w:hyperlink w:anchor="_Toc396212462" w:history="1">
        <w:r w:rsidR="002908E0" w:rsidRPr="002908E0">
          <w:rPr>
            <w:rStyle w:val="Hyperlink"/>
            <w:lang w:val="fr-FR" w:eastAsia="nl-NL"/>
          </w:rPr>
          <w:t>Modifications apportées en ce qui concerne l’obtenteur d’une variété ou son représentant</w:t>
        </w:r>
        <w:r w:rsidR="002908E0" w:rsidRPr="002908E0">
          <w:rPr>
            <w:webHidden/>
            <w:lang w:val="fr-FR"/>
          </w:rPr>
          <w:tab/>
        </w:r>
        <w:r w:rsidR="002908E0" w:rsidRPr="002908E0">
          <w:rPr>
            <w:webHidden/>
            <w:lang w:val="fr-FR"/>
          </w:rPr>
          <w:fldChar w:fldCharType="begin"/>
        </w:r>
        <w:r w:rsidR="002908E0" w:rsidRPr="002908E0">
          <w:rPr>
            <w:webHidden/>
            <w:lang w:val="fr-FR"/>
          </w:rPr>
          <w:instrText xml:space="preserve"> PAGEREF _Toc396212462 \h </w:instrText>
        </w:r>
        <w:r w:rsidR="002908E0" w:rsidRPr="002908E0">
          <w:rPr>
            <w:webHidden/>
            <w:lang w:val="fr-FR"/>
          </w:rPr>
        </w:r>
        <w:r w:rsidR="002908E0" w:rsidRPr="002908E0">
          <w:rPr>
            <w:webHidden/>
            <w:lang w:val="fr-FR"/>
          </w:rPr>
          <w:fldChar w:fldCharType="separate"/>
        </w:r>
        <w:r>
          <w:rPr>
            <w:webHidden/>
            <w:lang w:val="fr-FR"/>
          </w:rPr>
          <w:t>9</w:t>
        </w:r>
        <w:r w:rsidR="002908E0" w:rsidRPr="002908E0">
          <w:rPr>
            <w:webHidden/>
            <w:lang w:val="fr-FR"/>
          </w:rPr>
          <w:fldChar w:fldCharType="end"/>
        </w:r>
      </w:hyperlink>
    </w:p>
    <w:p w:rsidR="002908E0" w:rsidRPr="002908E0" w:rsidRDefault="002908E0" w:rsidP="002908E0">
      <w:pPr>
        <w:rPr>
          <w:lang w:val="fr-FR"/>
        </w:rPr>
      </w:pPr>
      <w:r w:rsidRPr="002908E0">
        <w:rPr>
          <w:b/>
          <w:bCs/>
          <w:lang w:val="fr-FR"/>
        </w:rPr>
        <w:fldChar w:fldCharType="end"/>
      </w:r>
    </w:p>
    <w:p w:rsidR="002908E0" w:rsidRPr="002908E0" w:rsidRDefault="002908E0" w:rsidP="002908E0">
      <w:pPr>
        <w:pStyle w:val="Heading1"/>
        <w:rPr>
          <w:lang w:val="fr-FR"/>
        </w:rPr>
      </w:pPr>
      <w:r w:rsidRPr="002908E0">
        <w:rPr>
          <w:lang w:val="fr-FR"/>
        </w:rPr>
        <w:br w:type="page"/>
      </w:r>
    </w:p>
    <w:p w:rsidR="002908E0" w:rsidRPr="002908E0" w:rsidRDefault="002908E0" w:rsidP="002908E0">
      <w:pPr>
        <w:pStyle w:val="Heading1"/>
        <w:rPr>
          <w:lang w:val="fr-FR"/>
        </w:rPr>
      </w:pPr>
      <w:bookmarkStart w:id="15" w:name="_Toc396212440"/>
      <w:r w:rsidRPr="002908E0">
        <w:rPr>
          <w:lang w:val="fr-FR"/>
        </w:rPr>
        <w:lastRenderedPageBreak/>
        <w:t>OBLIGATION de communiquer au PUBLIC des informations SUR LES QUESTIONS RELATIVES AUX DROITS D’OBTENTEUR</w:t>
      </w:r>
      <w:bookmarkEnd w:id="15"/>
    </w:p>
    <w:p w:rsidR="002908E0" w:rsidRPr="002908E0" w:rsidRDefault="002908E0" w:rsidP="002908E0">
      <w:pPr>
        <w:rPr>
          <w:lang w:val="fr-FR"/>
        </w:rPr>
      </w:pPr>
    </w:p>
    <w:p w:rsidR="002908E0" w:rsidRPr="002908E0" w:rsidRDefault="002908E0" w:rsidP="002908E0">
      <w:pPr>
        <w:rPr>
          <w:lang w:val="fr-FR"/>
        </w:rPr>
      </w:pPr>
      <w:r w:rsidRPr="002908E0">
        <w:rPr>
          <w:lang w:val="fr-FR"/>
        </w:rPr>
        <w:t>L’obligation de communiquer au public des informations sur les questions pertinentes relatives aux droits d’obtenteur est prévue à l’article 30.1</w:t>
      </w:r>
      <w:proofErr w:type="gramStart"/>
      <w:r w:rsidRPr="002908E0">
        <w:rPr>
          <w:lang w:val="fr-FR"/>
        </w:rPr>
        <w:t>)iii</w:t>
      </w:r>
      <w:proofErr w:type="gramEnd"/>
      <w:r w:rsidRPr="002908E0">
        <w:rPr>
          <w:lang w:val="fr-FR"/>
        </w:rPr>
        <w:t>) de l’Acte de 1991 de la Convention UPOV et à l’article 30.1)c) de l’Acte de 1978 de la Convention UPOV :</w:t>
      </w:r>
    </w:p>
    <w:p w:rsidR="002908E0" w:rsidRPr="002908E0" w:rsidRDefault="002908E0" w:rsidP="002908E0">
      <w:pPr>
        <w:rPr>
          <w:b/>
          <w:lang w:val="fr-FR"/>
        </w:rPr>
      </w:pPr>
    </w:p>
    <w:p w:rsidR="002908E0" w:rsidRDefault="002908E0" w:rsidP="002908E0">
      <w:pPr>
        <w:pBdr>
          <w:top w:val="single" w:sz="4" w:space="1" w:color="auto"/>
          <w:left w:val="single" w:sz="4" w:space="1" w:color="auto"/>
          <w:bottom w:val="single" w:sz="4" w:space="1" w:color="auto"/>
          <w:right w:val="single" w:sz="4" w:space="1" w:color="auto"/>
        </w:pBdr>
        <w:jc w:val="center"/>
        <w:rPr>
          <w:lang w:val="fr-FR"/>
        </w:rPr>
      </w:pPr>
      <w:r w:rsidRPr="002908E0">
        <w:rPr>
          <w:b/>
          <w:lang w:val="fr-FR"/>
        </w:rPr>
        <w:t xml:space="preserve">Acte de 1991 </w:t>
      </w:r>
      <w:r w:rsidRPr="002908E0">
        <w:rPr>
          <w:lang w:val="fr-FR"/>
        </w:rPr>
        <w:t>de la Convention UPOV</w:t>
      </w:r>
    </w:p>
    <w:p w:rsidR="002908E0" w:rsidRPr="002908E0" w:rsidRDefault="002908E0" w:rsidP="002908E0">
      <w:pPr>
        <w:pBdr>
          <w:top w:val="single" w:sz="4" w:space="1" w:color="auto"/>
          <w:left w:val="single" w:sz="4" w:space="1" w:color="auto"/>
          <w:bottom w:val="single" w:sz="4" w:space="1" w:color="auto"/>
          <w:right w:val="single" w:sz="4" w:space="1" w:color="auto"/>
        </w:pBdr>
        <w:jc w:val="center"/>
        <w:rPr>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jc w:val="center"/>
        <w:rPr>
          <w:lang w:val="fr-FR"/>
        </w:rPr>
      </w:pPr>
      <w:r w:rsidRPr="002908E0">
        <w:rPr>
          <w:b/>
          <w:lang w:val="fr-FR"/>
        </w:rPr>
        <w:t>Article 30</w:t>
      </w:r>
      <w:r w:rsidRPr="002908E0">
        <w:rPr>
          <w:b/>
          <w:lang w:val="fr-FR"/>
        </w:rPr>
        <w:br/>
      </w:r>
    </w:p>
    <w:p w:rsidR="002908E0" w:rsidRPr="002908E0" w:rsidRDefault="002908E0" w:rsidP="002908E0">
      <w:pPr>
        <w:pBdr>
          <w:top w:val="single" w:sz="4" w:space="1" w:color="auto"/>
          <w:left w:val="single" w:sz="4" w:space="1" w:color="auto"/>
          <w:bottom w:val="single" w:sz="4" w:space="1" w:color="auto"/>
          <w:right w:val="single" w:sz="4" w:space="1" w:color="auto"/>
        </w:pBdr>
        <w:jc w:val="center"/>
        <w:rPr>
          <w:lang w:val="fr-FR"/>
        </w:rPr>
      </w:pPr>
      <w:r w:rsidRPr="002908E0">
        <w:rPr>
          <w:b/>
          <w:lang w:val="fr-FR"/>
        </w:rPr>
        <w:t>Application de la Convention</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r w:rsidRPr="002908E0">
        <w:rPr>
          <w:lang w:val="fr-FR"/>
        </w:rPr>
        <w:tab/>
        <w:t>1)</w:t>
      </w:r>
      <w:r w:rsidRPr="002908E0">
        <w:rPr>
          <w:lang w:val="fr-FR"/>
        </w:rPr>
        <w:tab/>
        <w:t>[</w:t>
      </w:r>
      <w:r w:rsidRPr="002908E0">
        <w:rPr>
          <w:i/>
          <w:iCs/>
          <w:lang w:val="fr-FR"/>
        </w:rPr>
        <w:t>Mesures d’application</w:t>
      </w:r>
      <w:r w:rsidRPr="002908E0">
        <w:rPr>
          <w:lang w:val="fr-FR"/>
        </w:rPr>
        <w:t>] Chaque Partie contractante prend toutes mesures nécessaires pour l’application de la présente Convention et, notamment :</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rPr>
          <w:rFonts w:cs="Arial"/>
          <w:lang w:val="fr-FR"/>
        </w:rPr>
      </w:pPr>
      <w:r w:rsidRPr="002908E0">
        <w:rPr>
          <w:rFonts w:cs="Arial"/>
          <w:lang w:val="fr-FR"/>
        </w:rPr>
        <w:t>[…]</w:t>
      </w:r>
    </w:p>
    <w:p w:rsidR="002908E0" w:rsidRPr="002908E0" w:rsidRDefault="002908E0" w:rsidP="002908E0">
      <w:pPr>
        <w:pBdr>
          <w:top w:val="single" w:sz="4" w:space="1" w:color="auto"/>
          <w:left w:val="single" w:sz="4" w:space="1" w:color="auto"/>
          <w:bottom w:val="single" w:sz="4" w:space="1" w:color="auto"/>
          <w:right w:val="single" w:sz="4" w:space="1" w:color="auto"/>
        </w:pBdr>
        <w:rPr>
          <w:rFonts w:cs="Arial"/>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rPr>
          <w:rFonts w:cs="Arial"/>
          <w:lang w:val="fr-FR"/>
        </w:rPr>
      </w:pPr>
      <w:r w:rsidRPr="002908E0">
        <w:rPr>
          <w:rFonts w:cs="Arial"/>
          <w:lang w:val="fr-FR"/>
        </w:rPr>
        <w:tab/>
        <w:t>iii)</w:t>
      </w:r>
      <w:r w:rsidRPr="002908E0">
        <w:rPr>
          <w:rFonts w:cs="Arial"/>
          <w:lang w:val="fr-FR"/>
        </w:rPr>
        <w:tab/>
        <w:t>assure l’information du public par la publication périodique de renseignements sur</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r w:rsidRPr="002908E0">
        <w:rPr>
          <w:lang w:val="fr-FR"/>
        </w:rPr>
        <w:tab/>
      </w:r>
      <w:r w:rsidRPr="002908E0">
        <w:rPr>
          <w:lang w:val="fr-FR"/>
        </w:rPr>
        <w:noBreakHyphen/>
      </w:r>
      <w:r w:rsidRPr="002908E0">
        <w:rPr>
          <w:lang w:val="fr-FR"/>
        </w:rPr>
        <w:tab/>
      </w:r>
      <w:proofErr w:type="gramStart"/>
      <w:r w:rsidRPr="002908E0">
        <w:rPr>
          <w:lang w:val="fr-FR"/>
        </w:rPr>
        <w:t>les</w:t>
      </w:r>
      <w:proofErr w:type="gramEnd"/>
      <w:r w:rsidRPr="002908E0">
        <w:rPr>
          <w:lang w:val="fr-FR"/>
        </w:rPr>
        <w:t xml:space="preserve"> demandes de droits d’obtenteur et les droits d’obtenteur délivrés, et</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r w:rsidRPr="002908E0">
        <w:rPr>
          <w:lang w:val="fr-FR"/>
        </w:rPr>
        <w:tab/>
      </w:r>
      <w:r w:rsidRPr="002908E0">
        <w:rPr>
          <w:lang w:val="fr-FR"/>
        </w:rPr>
        <w:noBreakHyphen/>
      </w:r>
      <w:r w:rsidRPr="002908E0">
        <w:rPr>
          <w:lang w:val="fr-FR"/>
        </w:rPr>
        <w:tab/>
      </w:r>
      <w:proofErr w:type="gramStart"/>
      <w:r w:rsidRPr="002908E0">
        <w:rPr>
          <w:lang w:val="fr-FR"/>
        </w:rPr>
        <w:t>les</w:t>
      </w:r>
      <w:proofErr w:type="gramEnd"/>
      <w:r w:rsidRPr="002908E0">
        <w:rPr>
          <w:lang w:val="fr-FR"/>
        </w:rPr>
        <w:t xml:space="preserve"> dénominations proposées et approuvées.</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p>
    <w:p w:rsidR="002908E0" w:rsidRPr="002908E0" w:rsidRDefault="002908E0" w:rsidP="002908E0">
      <w:pPr>
        <w:rPr>
          <w:lang w:val="fr-FR"/>
        </w:rPr>
      </w:pPr>
    </w:p>
    <w:p w:rsidR="002908E0" w:rsidRPr="002908E0" w:rsidRDefault="002908E0" w:rsidP="002908E0">
      <w:pPr>
        <w:rPr>
          <w:b/>
          <w:lang w:val="fr-FR"/>
        </w:rPr>
      </w:pPr>
      <w:bookmarkStart w:id="16" w:name="_Toc371494322"/>
    </w:p>
    <w:bookmarkEnd w:id="16"/>
    <w:p w:rsidR="002908E0" w:rsidRPr="002908E0" w:rsidRDefault="002908E0" w:rsidP="002908E0">
      <w:pPr>
        <w:pBdr>
          <w:top w:val="single" w:sz="4" w:space="1" w:color="auto"/>
          <w:left w:val="single" w:sz="4" w:space="1" w:color="auto"/>
          <w:bottom w:val="single" w:sz="4" w:space="1" w:color="auto"/>
          <w:right w:val="single" w:sz="4" w:space="1" w:color="auto"/>
        </w:pBdr>
        <w:jc w:val="center"/>
        <w:rPr>
          <w:lang w:val="fr-FR"/>
        </w:rPr>
      </w:pPr>
      <w:r w:rsidRPr="002908E0">
        <w:rPr>
          <w:b/>
          <w:lang w:val="fr-FR"/>
        </w:rPr>
        <w:t xml:space="preserve">Acte de 1978 </w:t>
      </w:r>
      <w:r w:rsidRPr="002908E0">
        <w:rPr>
          <w:lang w:val="fr-FR"/>
        </w:rPr>
        <w:t>de la Convention UPOV</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jc w:val="center"/>
        <w:rPr>
          <w:lang w:val="fr-FR"/>
        </w:rPr>
      </w:pPr>
      <w:r w:rsidRPr="002908E0">
        <w:rPr>
          <w:lang w:val="fr-FR"/>
        </w:rPr>
        <w:t>Article 30</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jc w:val="center"/>
        <w:rPr>
          <w:b/>
          <w:lang w:val="fr-FR"/>
        </w:rPr>
      </w:pPr>
      <w:r w:rsidRPr="002908E0">
        <w:rPr>
          <w:b/>
          <w:lang w:val="fr-FR"/>
        </w:rPr>
        <w:t>Application de la Convention sur le plan national;  accords particuliers pour l’utilisation en commun de services chargés de l’examen</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r w:rsidRPr="002908E0">
        <w:rPr>
          <w:lang w:val="fr-FR"/>
        </w:rPr>
        <w:t>1)</w:t>
      </w:r>
      <w:r w:rsidRPr="002908E0">
        <w:rPr>
          <w:lang w:val="fr-FR"/>
        </w:rPr>
        <w:tab/>
        <w:t>Chaque État de l’Union prend toutes mesures nécessaires pour l’application de la présente Convention et, notamment : [...]</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r w:rsidRPr="002908E0">
        <w:rPr>
          <w:lang w:val="fr-FR"/>
        </w:rPr>
        <w:tab/>
        <w:t>c)</w:t>
      </w:r>
      <w:r w:rsidRPr="002908E0">
        <w:rPr>
          <w:lang w:val="fr-FR"/>
        </w:rPr>
        <w:tab/>
        <w:t>assure la communication au public des informations relatives à cette protection et au minimum la publication périodique de la liste des titres de protection délivrés.</w:t>
      </w:r>
    </w:p>
    <w:p w:rsidR="002908E0" w:rsidRPr="002908E0" w:rsidRDefault="002908E0" w:rsidP="002908E0">
      <w:pPr>
        <w:pBdr>
          <w:top w:val="single" w:sz="4" w:space="1" w:color="auto"/>
          <w:left w:val="single" w:sz="4" w:space="1" w:color="auto"/>
          <w:bottom w:val="single" w:sz="4" w:space="1" w:color="auto"/>
          <w:right w:val="single" w:sz="4" w:space="1" w:color="auto"/>
        </w:pBdr>
        <w:rPr>
          <w:lang w:val="fr-FR"/>
        </w:rPr>
      </w:pPr>
    </w:p>
    <w:p w:rsidR="002908E0" w:rsidRPr="002908E0" w:rsidRDefault="002908E0" w:rsidP="002908E0">
      <w:pPr>
        <w:rPr>
          <w:lang w:val="fr-FR"/>
        </w:rPr>
      </w:pPr>
    </w:p>
    <w:p w:rsidR="002908E0" w:rsidRPr="002908E0" w:rsidRDefault="002908E0" w:rsidP="002908E0">
      <w:pPr>
        <w:rPr>
          <w:lang w:val="fr-FR"/>
        </w:rPr>
      </w:pPr>
    </w:p>
    <w:p w:rsidR="002908E0" w:rsidRPr="002908E0" w:rsidRDefault="002908E0" w:rsidP="002908E0">
      <w:pPr>
        <w:rPr>
          <w:lang w:val="fr-FR"/>
        </w:rPr>
      </w:pPr>
    </w:p>
    <w:p w:rsidR="002908E0" w:rsidRPr="002908E0" w:rsidRDefault="002908E0" w:rsidP="002908E0">
      <w:pPr>
        <w:rPr>
          <w:lang w:val="fr-FR"/>
        </w:rPr>
      </w:pPr>
      <w:r w:rsidRPr="002908E0">
        <w:rPr>
          <w:lang w:val="fr-FR"/>
        </w:rPr>
        <w:t xml:space="preserve">L’obligation d’assurer l’information du public par la publication périodique de renseignements sur les demandes de droits d’obtenteur et les droits d’obtenteur délivrés, et les dénominations proposées et approuvées, a pour fondement la publication de bulletins officiels (voir le document </w:t>
      </w:r>
      <w:hyperlink r:id="rId14" w:history="1">
        <w:r w:rsidRPr="002908E0">
          <w:rPr>
            <w:rStyle w:val="Hyperlink"/>
            <w:rFonts w:cs="Arial"/>
            <w:lang w:val="fr-FR"/>
          </w:rPr>
          <w:t>UPOV/INF/5</w:t>
        </w:r>
      </w:hyperlink>
      <w:r w:rsidRPr="002908E0">
        <w:rPr>
          <w:lang w:val="fr-FR"/>
        </w:rPr>
        <w:t xml:space="preserve"> “Bulletin type de l’UPOV de la protection des obtentions végétales” disponible à l’adresse </w:t>
      </w:r>
      <w:hyperlink r:id="rId15" w:history="1">
        <w:r w:rsidRPr="002908E0">
          <w:rPr>
            <w:rStyle w:val="Hyperlink"/>
            <w:rFonts w:cs="Arial"/>
            <w:lang w:val="fr-FR"/>
          </w:rPr>
          <w:t>http://www.upov.int/information_documents/en/</w:t>
        </w:r>
      </w:hyperlink>
      <w:r w:rsidRPr="002908E0">
        <w:rPr>
          <w:lang w:val="fr-FR"/>
        </w:rPr>
        <w:t xml:space="preserve">) et d’autres publications telles que les publications électroniques.  On trouvera sur le site Web de l’UPOV, à l’adresse </w:t>
      </w:r>
      <w:hyperlink r:id="rId16" w:history="1">
        <w:r w:rsidRPr="002908E0">
          <w:rPr>
            <w:rStyle w:val="Hyperlink"/>
            <w:rFonts w:cs="Arial"/>
            <w:lang w:val="fr-FR"/>
          </w:rPr>
          <w:t>http://www.upov.int/members/en/pvp_offices.html</w:t>
        </w:r>
      </w:hyperlink>
      <w:r w:rsidRPr="002908E0">
        <w:rPr>
          <w:rStyle w:val="Hyperlink"/>
          <w:rFonts w:cs="Arial"/>
          <w:lang w:val="fr-FR"/>
        </w:rPr>
        <w:t xml:space="preserve">, </w:t>
      </w:r>
      <w:r w:rsidRPr="002908E0">
        <w:rPr>
          <w:lang w:val="fr-FR"/>
        </w:rPr>
        <w:t>des informations sur les publications officielles de chaque membre de l’UPOV.</w:t>
      </w:r>
    </w:p>
    <w:p w:rsidR="002908E0" w:rsidRPr="002908E0" w:rsidRDefault="002908E0" w:rsidP="002908E0">
      <w:pPr>
        <w:pStyle w:val="Heading1"/>
        <w:rPr>
          <w:lang w:val="fr-FR"/>
        </w:rPr>
      </w:pPr>
      <w:r w:rsidRPr="002908E0">
        <w:rPr>
          <w:lang w:val="fr-FR"/>
        </w:rPr>
        <w:br w:type="page"/>
      </w:r>
    </w:p>
    <w:p w:rsidR="002908E0" w:rsidRPr="002908E0" w:rsidRDefault="002908E0" w:rsidP="002908E0">
      <w:pPr>
        <w:pStyle w:val="Heading1"/>
        <w:rPr>
          <w:lang w:val="fr-FR"/>
        </w:rPr>
      </w:pPr>
      <w:bookmarkStart w:id="17" w:name="_Toc396212441"/>
      <w:bookmarkStart w:id="18" w:name="_Toc371496348"/>
      <w:r w:rsidRPr="002908E0">
        <w:rPr>
          <w:lang w:val="fr-FR"/>
        </w:rPr>
        <w:lastRenderedPageBreak/>
        <w:t>PUBLICATION DE RENSEIGNEMENTS SUR LES DEMANDES DE DROITS D’OBTENTEUR</w:t>
      </w:r>
      <w:bookmarkEnd w:id="17"/>
    </w:p>
    <w:p w:rsidR="002908E0" w:rsidRPr="002908E0" w:rsidRDefault="002908E0" w:rsidP="002908E0">
      <w:pPr>
        <w:rPr>
          <w:lang w:val="fr-FR"/>
        </w:rPr>
      </w:pPr>
    </w:p>
    <w:p w:rsidR="002908E0" w:rsidRPr="002908E0" w:rsidRDefault="002908E0" w:rsidP="003056C2">
      <w:pPr>
        <w:pStyle w:val="Heading4"/>
      </w:pPr>
      <w:bookmarkStart w:id="19" w:name="_Toc396212442"/>
      <w:bookmarkEnd w:id="18"/>
      <w:r w:rsidRPr="002908E0">
        <w:t>Renseignements à fournir en ce qui concerne les demandes de droits d’obtenteur</w:t>
      </w:r>
      <w:bookmarkEnd w:id="19"/>
    </w:p>
    <w:p w:rsidR="002908E0" w:rsidRPr="002908E0" w:rsidRDefault="002908E0" w:rsidP="002908E0">
      <w:pPr>
        <w:rPr>
          <w:lang w:val="fr-FR"/>
        </w:rPr>
      </w:pPr>
    </w:p>
    <w:p w:rsidR="002908E0" w:rsidRPr="00A10AFA" w:rsidRDefault="002908E0" w:rsidP="003056C2">
      <w:pPr>
        <w:pStyle w:val="Heading5"/>
        <w:rPr>
          <w:lang w:val="fr-FR"/>
        </w:rPr>
      </w:pPr>
      <w:bookmarkStart w:id="20" w:name="_Toc371496349"/>
      <w:bookmarkStart w:id="21" w:name="_Toc396212443"/>
      <w:r w:rsidRPr="00A10AFA">
        <w:rPr>
          <w:lang w:val="fr-FR"/>
        </w:rPr>
        <w:t>Introduction</w:t>
      </w:r>
      <w:bookmarkEnd w:id="20"/>
      <w:bookmarkEnd w:id="21"/>
    </w:p>
    <w:p w:rsidR="002908E0" w:rsidRPr="002908E0" w:rsidRDefault="002908E0" w:rsidP="002908E0">
      <w:pPr>
        <w:rPr>
          <w:lang w:val="fr-FR"/>
        </w:rPr>
      </w:pPr>
    </w:p>
    <w:p w:rsidR="002908E0" w:rsidRPr="002908E0" w:rsidRDefault="002908E0" w:rsidP="002908E0">
      <w:pPr>
        <w:rPr>
          <w:lang w:val="fr-FR"/>
        </w:rPr>
      </w:pPr>
      <w:r w:rsidRPr="002908E0">
        <w:rPr>
          <w:lang w:val="fr-FR"/>
        </w:rPr>
        <w:t>La Convention UPOV exige que le public soit informé par la publication périodique de renseignements sur les demandes de droits d’obtenteur (article 30.1) de l’Acte de 1991 et de l’Acte de 1978).</w:t>
      </w:r>
    </w:p>
    <w:p w:rsidR="002908E0" w:rsidRPr="002908E0" w:rsidRDefault="002908E0" w:rsidP="002908E0">
      <w:pPr>
        <w:rPr>
          <w:lang w:val="fr-FR"/>
        </w:rPr>
      </w:pPr>
    </w:p>
    <w:p w:rsidR="002908E0" w:rsidRPr="002908E0" w:rsidRDefault="002908E0" w:rsidP="002908E0">
      <w:pPr>
        <w:rPr>
          <w:lang w:val="fr-FR"/>
        </w:rPr>
      </w:pPr>
      <w:r w:rsidRPr="002908E0">
        <w:rPr>
          <w:lang w:val="fr-FR"/>
        </w:rPr>
        <w:t>Pour toute demande de droits d’obtenteur, ce sont au minimum les renseignements ci</w:t>
      </w:r>
      <w:r w:rsidRPr="002908E0">
        <w:rPr>
          <w:lang w:val="fr-FR"/>
        </w:rPr>
        <w:noBreakHyphen/>
        <w:t>après qui doivent être publiés :</w:t>
      </w:r>
    </w:p>
    <w:p w:rsidR="002908E0" w:rsidRPr="002908E0" w:rsidRDefault="002908E0" w:rsidP="002908E0">
      <w:pPr>
        <w:rPr>
          <w:lang w:val="fr-FR"/>
        </w:rPr>
      </w:pPr>
    </w:p>
    <w:p w:rsidR="002908E0" w:rsidRPr="002908E0" w:rsidRDefault="002908E0" w:rsidP="002908E0">
      <w:pPr>
        <w:ind w:left="567"/>
        <w:rPr>
          <w:lang w:val="fr-FR"/>
        </w:rPr>
      </w:pPr>
      <w:r w:rsidRPr="002908E0">
        <w:rPr>
          <w:lang w:val="fr-FR"/>
        </w:rPr>
        <w:t>Numéro de la demande</w:t>
      </w:r>
    </w:p>
    <w:p w:rsidR="002908E0" w:rsidRPr="002908E0" w:rsidRDefault="002908E0" w:rsidP="002908E0">
      <w:pPr>
        <w:ind w:left="567"/>
        <w:rPr>
          <w:lang w:val="fr-FR"/>
        </w:rPr>
      </w:pPr>
      <w:r w:rsidRPr="002908E0">
        <w:rPr>
          <w:lang w:val="fr-FR"/>
        </w:rPr>
        <w:t>Date de dépôt</w:t>
      </w:r>
    </w:p>
    <w:p w:rsidR="002908E0" w:rsidRPr="002908E0" w:rsidRDefault="002908E0" w:rsidP="002908E0">
      <w:pPr>
        <w:ind w:left="567"/>
        <w:rPr>
          <w:lang w:val="fr-FR"/>
        </w:rPr>
      </w:pPr>
      <w:r w:rsidRPr="002908E0">
        <w:rPr>
          <w:lang w:val="fr-FR"/>
        </w:rPr>
        <w:t>Référence de l’obtenteur ou dénomination proposée (voir la section ci</w:t>
      </w:r>
      <w:r w:rsidRPr="002908E0">
        <w:rPr>
          <w:lang w:val="fr-FR"/>
        </w:rPr>
        <w:noBreakHyphen/>
        <w:t>dessous “Dénomination proposée”)</w:t>
      </w:r>
    </w:p>
    <w:p w:rsidR="002908E0" w:rsidRPr="002908E0" w:rsidRDefault="002908E0" w:rsidP="002908E0">
      <w:pPr>
        <w:ind w:left="567"/>
        <w:rPr>
          <w:lang w:val="fr-FR"/>
        </w:rPr>
      </w:pPr>
      <w:r w:rsidRPr="002908E0">
        <w:rPr>
          <w:lang w:val="fr-FR"/>
        </w:rPr>
        <w:t>Demandeur</w:t>
      </w:r>
    </w:p>
    <w:p w:rsidR="002908E0" w:rsidRPr="002908E0" w:rsidRDefault="002908E0" w:rsidP="002908E0">
      <w:pPr>
        <w:rPr>
          <w:u w:val="single"/>
          <w:lang w:val="fr-FR"/>
        </w:rPr>
      </w:pPr>
    </w:p>
    <w:p w:rsidR="002908E0" w:rsidRPr="002908E0" w:rsidRDefault="002908E0" w:rsidP="002908E0">
      <w:pPr>
        <w:rPr>
          <w:lang w:val="fr-FR"/>
        </w:rPr>
      </w:pPr>
      <w:r w:rsidRPr="002908E0">
        <w:rPr>
          <w:lang w:val="fr-FR"/>
        </w:rPr>
        <w:t xml:space="preserve">Ces renseignements peuvent être présentés dans les formats indiqués dans le document </w:t>
      </w:r>
      <w:hyperlink r:id="rId17" w:history="1">
        <w:r w:rsidRPr="002908E0">
          <w:rPr>
            <w:rStyle w:val="Hyperlink"/>
            <w:rFonts w:cs="Arial"/>
            <w:u w:val="none"/>
            <w:lang w:val="fr-FR"/>
          </w:rPr>
          <w:t>UPOV/INF/5</w:t>
        </w:r>
      </w:hyperlink>
      <w:r w:rsidRPr="002908E0">
        <w:rPr>
          <w:lang w:val="fr-FR"/>
        </w:rPr>
        <w:t xml:space="preserve"> (p. ex. dans l’ordre alphabétique des noms botaniques ou des noms communs ou selon un classement des espèces par groupes de plantes).</w:t>
      </w:r>
    </w:p>
    <w:p w:rsidR="002908E0" w:rsidRPr="002908E0" w:rsidRDefault="002908E0" w:rsidP="002908E0">
      <w:pPr>
        <w:rPr>
          <w:u w:val="single"/>
          <w:lang w:val="fr-FR"/>
        </w:rPr>
      </w:pPr>
    </w:p>
    <w:p w:rsidR="002908E0" w:rsidRPr="00A10AFA" w:rsidRDefault="002908E0" w:rsidP="003056C2">
      <w:pPr>
        <w:pStyle w:val="Heading5"/>
        <w:rPr>
          <w:lang w:val="fr-FR"/>
        </w:rPr>
      </w:pPr>
      <w:bookmarkStart w:id="22" w:name="_Toc396212444"/>
      <w:r w:rsidRPr="00A10AFA">
        <w:rPr>
          <w:lang w:val="fr-FR"/>
        </w:rPr>
        <w:t>Dénomination proposée</w:t>
      </w:r>
      <w:bookmarkEnd w:id="22"/>
    </w:p>
    <w:p w:rsidR="002908E0" w:rsidRPr="002908E0" w:rsidRDefault="002908E0" w:rsidP="002908E0">
      <w:pPr>
        <w:rPr>
          <w:lang w:val="fr-FR"/>
        </w:rPr>
      </w:pPr>
    </w:p>
    <w:p w:rsidR="002908E0" w:rsidRPr="002908E0" w:rsidRDefault="002908E0" w:rsidP="002908E0">
      <w:pPr>
        <w:rPr>
          <w:lang w:val="fr-FR"/>
        </w:rPr>
      </w:pPr>
      <w:r w:rsidRPr="002908E0">
        <w:rPr>
          <w:lang w:val="fr-FR"/>
        </w:rPr>
        <w:t>La Convention UPOV exige que le public soit informé par la publication périodique de renseignements sur les dénominations proposées (article 30.1) de l’Acte de 1991 et de l’Acte de 1978).</w:t>
      </w:r>
    </w:p>
    <w:p w:rsidR="002908E0" w:rsidRPr="002908E0" w:rsidRDefault="002908E0" w:rsidP="002908E0">
      <w:pPr>
        <w:rPr>
          <w:lang w:val="fr-FR"/>
        </w:rPr>
      </w:pPr>
    </w:p>
    <w:p w:rsidR="002908E0" w:rsidRPr="002908E0" w:rsidRDefault="002908E0" w:rsidP="002908E0">
      <w:pPr>
        <w:rPr>
          <w:lang w:val="fr-FR"/>
        </w:rPr>
      </w:pPr>
      <w:r w:rsidRPr="002908E0">
        <w:rPr>
          <w:lang w:val="fr-FR"/>
        </w:rPr>
        <w:t>Les dénominations proposées sont souvent publiées en même temps que les renseignements sur les nouvelles demandes de droits d’obtenteur.  Il peut arriver que, au moment du dépôt ou de la publication de la demande, l’obtenteur ne soit pas en mesure de proposer une dénomination.  Dans pareil cas, ce dernier peut fournir une “référence de l’obtenteur” qui sera publiée avec la demande.  Lorsque la dénomination proposée est disponible, elle doit être publiée dans une section concernant les dénominations.</w:t>
      </w:r>
    </w:p>
    <w:p w:rsidR="002908E0" w:rsidRPr="002908E0" w:rsidRDefault="002908E0" w:rsidP="002908E0">
      <w:pPr>
        <w:rPr>
          <w:lang w:val="fr-FR"/>
        </w:rPr>
      </w:pPr>
    </w:p>
    <w:p w:rsidR="002908E0" w:rsidRPr="002908E0" w:rsidRDefault="002908E0" w:rsidP="002908E0">
      <w:pPr>
        <w:rPr>
          <w:lang w:val="fr-FR"/>
        </w:rPr>
      </w:pPr>
      <w:r w:rsidRPr="002908E0">
        <w:rPr>
          <w:lang w:val="fr-FR"/>
        </w:rPr>
        <w:t>Pour les dénominations proposées, ce sont généralement les renseignements ci</w:t>
      </w:r>
      <w:r w:rsidRPr="002908E0">
        <w:rPr>
          <w:lang w:val="fr-FR"/>
        </w:rPr>
        <w:noBreakHyphen/>
        <w:t>après qui sont publiés :</w:t>
      </w:r>
    </w:p>
    <w:p w:rsidR="002908E0" w:rsidRPr="002908E0" w:rsidRDefault="002908E0" w:rsidP="002908E0">
      <w:pPr>
        <w:rPr>
          <w:lang w:val="fr-FR"/>
        </w:rPr>
      </w:pPr>
    </w:p>
    <w:p w:rsidR="002908E0" w:rsidRPr="002908E0" w:rsidRDefault="002908E0" w:rsidP="002908E0">
      <w:pPr>
        <w:ind w:left="567"/>
        <w:rPr>
          <w:lang w:val="fr-FR"/>
        </w:rPr>
      </w:pPr>
      <w:r w:rsidRPr="002908E0">
        <w:rPr>
          <w:lang w:val="fr-FR"/>
        </w:rPr>
        <w:t>Numéro de la demande</w:t>
      </w:r>
    </w:p>
    <w:p w:rsidR="002908E0" w:rsidRPr="002908E0" w:rsidRDefault="002908E0" w:rsidP="002908E0">
      <w:pPr>
        <w:ind w:left="567"/>
        <w:rPr>
          <w:lang w:val="fr-FR"/>
        </w:rPr>
      </w:pPr>
      <w:r w:rsidRPr="002908E0">
        <w:rPr>
          <w:lang w:val="fr-FR"/>
        </w:rPr>
        <w:t>Dénomination proposée</w:t>
      </w:r>
    </w:p>
    <w:p w:rsidR="002908E0" w:rsidRPr="002908E0" w:rsidRDefault="002908E0" w:rsidP="002908E0">
      <w:pPr>
        <w:ind w:left="567"/>
        <w:rPr>
          <w:lang w:val="fr-FR"/>
        </w:rPr>
      </w:pPr>
      <w:r w:rsidRPr="002908E0">
        <w:rPr>
          <w:lang w:val="fr-FR"/>
        </w:rPr>
        <w:t>Demandeur</w:t>
      </w:r>
    </w:p>
    <w:p w:rsidR="002908E0" w:rsidRPr="002908E0" w:rsidRDefault="002908E0" w:rsidP="002908E0">
      <w:pPr>
        <w:rPr>
          <w:lang w:val="fr-FR"/>
        </w:rPr>
      </w:pPr>
    </w:p>
    <w:p w:rsidR="002908E0" w:rsidRPr="002908E0" w:rsidRDefault="002908E0" w:rsidP="002908E0">
      <w:pPr>
        <w:rPr>
          <w:lang w:val="fr-FR"/>
        </w:rPr>
      </w:pPr>
      <w:r w:rsidRPr="002908E0">
        <w:rPr>
          <w:lang w:val="fr-FR"/>
        </w:rPr>
        <w:t>Certains membres de l’UPOV publient également les renseignements complémentaires suivants :</w:t>
      </w:r>
    </w:p>
    <w:p w:rsidR="002908E0" w:rsidRPr="002908E0" w:rsidRDefault="002908E0" w:rsidP="002908E0">
      <w:pPr>
        <w:rPr>
          <w:lang w:val="fr-FR"/>
        </w:rPr>
      </w:pPr>
    </w:p>
    <w:p w:rsidR="002908E0" w:rsidRPr="002908E0" w:rsidRDefault="002908E0" w:rsidP="002908E0">
      <w:pPr>
        <w:ind w:left="567"/>
        <w:rPr>
          <w:lang w:val="fr-FR"/>
        </w:rPr>
      </w:pPr>
      <w:r w:rsidRPr="002908E0">
        <w:rPr>
          <w:lang w:val="fr-FR"/>
        </w:rPr>
        <w:t>Date de dépôt</w:t>
      </w:r>
    </w:p>
    <w:p w:rsidR="002908E0" w:rsidRPr="002908E0" w:rsidRDefault="002908E0" w:rsidP="002908E0">
      <w:pPr>
        <w:ind w:left="567"/>
        <w:rPr>
          <w:lang w:val="fr-FR"/>
        </w:rPr>
      </w:pPr>
      <w:r w:rsidRPr="002908E0">
        <w:rPr>
          <w:lang w:val="fr-FR"/>
        </w:rPr>
        <w:t>Référence de l’obtenteur</w:t>
      </w:r>
    </w:p>
    <w:p w:rsidR="002908E0" w:rsidRPr="002908E0" w:rsidRDefault="002908E0" w:rsidP="002908E0">
      <w:pPr>
        <w:rPr>
          <w:lang w:val="fr-FR"/>
        </w:rPr>
      </w:pPr>
    </w:p>
    <w:p w:rsidR="002908E0" w:rsidRPr="002908E0" w:rsidRDefault="002908E0" w:rsidP="002908E0">
      <w:pPr>
        <w:rPr>
          <w:lang w:val="fr-FR"/>
        </w:rPr>
      </w:pPr>
      <w:r w:rsidRPr="002908E0">
        <w:rPr>
          <w:lang w:val="fr-FR"/>
        </w:rPr>
        <w:t xml:space="preserve">La publication des dénominations proposées joue un rôle important dans l’examen des dénominations variétales (voir le module 6 intitulé “Examen de la dénomination des variétés”).  Dans le cas de deux dénominations variétales proposées concurrentes sur le même territoire ou sur des territoires différents, il convient de retenir la dénomination dont la date de publication est la plus antérieure;  le service compétent demandera à l’obtenteur, dont la dénomination proposée a été ou peut avoir été publiée à une date ultérieure, de soumettre une autre dénomination (voir le document UPOV/INF/12 “Notes explicatives concernant les dénominations variétales en vertu de la Convention UPOV” disponible à l’adresse </w:t>
      </w:r>
      <w:hyperlink r:id="rId18" w:history="1">
        <w:r w:rsidRPr="002908E0">
          <w:rPr>
            <w:rStyle w:val="Hyperlink"/>
            <w:rFonts w:cs="Arial"/>
            <w:lang w:val="fr-FR"/>
          </w:rPr>
          <w:t>http://www.upov.int/information_documents/en/</w:t>
        </w:r>
      </w:hyperlink>
      <w:r w:rsidRPr="002908E0">
        <w:rPr>
          <w:lang w:val="fr-FR"/>
        </w:rPr>
        <w:t>).</w:t>
      </w:r>
    </w:p>
    <w:p w:rsidR="002908E0" w:rsidRPr="002908E0" w:rsidRDefault="002908E0" w:rsidP="002908E0">
      <w:pPr>
        <w:rPr>
          <w:lang w:val="fr-FR"/>
        </w:rPr>
      </w:pPr>
    </w:p>
    <w:p w:rsidR="002908E0" w:rsidRPr="002908E0" w:rsidRDefault="002908E0" w:rsidP="002908E0">
      <w:pPr>
        <w:rPr>
          <w:lang w:val="fr-FR"/>
        </w:rPr>
      </w:pPr>
      <w:r w:rsidRPr="002908E0">
        <w:rPr>
          <w:lang w:val="fr-FR"/>
        </w:rPr>
        <w:t xml:space="preserve">L’obligation de communiquer aux autres membres de l’Union les informations relatives aux dénominations variétales repose sur l’échange de bulletins officiels et d’autres publications.  Cependant, la base de données </w:t>
      </w:r>
      <w:hyperlink r:id="rId19" w:history="1">
        <w:r w:rsidRPr="00F71235">
          <w:rPr>
            <w:rStyle w:val="Hyperlink"/>
            <w:rFonts w:cs="Arial"/>
            <w:color w:val="auto"/>
            <w:u w:val="none"/>
            <w:lang w:val="fr-FR"/>
          </w:rPr>
          <w:t>PLUTO</w:t>
        </w:r>
      </w:hyperlink>
      <w:r w:rsidRPr="002908E0">
        <w:rPr>
          <w:lang w:val="fr-FR"/>
        </w:rPr>
        <w:t xml:space="preserve"> sur les variétés végétales constitue un outil important permettant de tirer le meilleur parti des informations relatives aux dénominations variétales, mises à la disposition des membres de l’Union sous une forme pratique.  Les données fournies par les membres de l’UPOV, destinées à la </w:t>
      </w:r>
      <w:hyperlink r:id="rId20" w:history="1">
        <w:r w:rsidRPr="00F71235">
          <w:rPr>
            <w:rStyle w:val="Hyperlink"/>
            <w:rFonts w:cs="Arial"/>
            <w:color w:val="auto"/>
            <w:u w:val="none"/>
            <w:lang w:val="fr-FR"/>
          </w:rPr>
          <w:t>base de données PLUTO sur les variétés végétales</w:t>
        </w:r>
      </w:hyperlink>
      <w:r w:rsidRPr="00F71235">
        <w:rPr>
          <w:lang w:val="fr-FR"/>
        </w:rPr>
        <w:t>,</w:t>
      </w:r>
      <w:r w:rsidRPr="002908E0">
        <w:rPr>
          <w:lang w:val="fr-FR"/>
        </w:rPr>
        <w:t xml:space="preserve"> sont utiles notamment dans le cadre de l’examen des dénominations variétales.</w:t>
      </w:r>
    </w:p>
    <w:p w:rsidR="002908E0" w:rsidRPr="002908E0" w:rsidRDefault="002908E0" w:rsidP="002908E0">
      <w:pPr>
        <w:rPr>
          <w:lang w:val="fr-FR"/>
        </w:rPr>
      </w:pPr>
    </w:p>
    <w:p w:rsidR="002908E0" w:rsidRPr="002908E0" w:rsidRDefault="002908E0" w:rsidP="002908E0">
      <w:pPr>
        <w:rPr>
          <w:b/>
          <w:bCs/>
          <w:lang w:val="fr-FR"/>
        </w:rPr>
      </w:pPr>
    </w:p>
    <w:p w:rsidR="002908E0" w:rsidRPr="002908E0" w:rsidRDefault="002908E0" w:rsidP="003056C2">
      <w:pPr>
        <w:pStyle w:val="Heading4"/>
      </w:pPr>
      <w:bookmarkStart w:id="23" w:name="_Toc396212445"/>
      <w:r w:rsidRPr="002908E0">
        <w:lastRenderedPageBreak/>
        <w:t>Renseignements complémentaires pouvant être fournis en ce qui concerne les demandes de droits d’obtenteur</w:t>
      </w:r>
      <w:bookmarkEnd w:id="23"/>
    </w:p>
    <w:p w:rsidR="002908E0" w:rsidRPr="002908E0" w:rsidRDefault="002908E0" w:rsidP="002908E0">
      <w:pPr>
        <w:keepNext/>
        <w:rPr>
          <w:u w:val="single"/>
          <w:lang w:val="fr-FR"/>
        </w:rPr>
      </w:pPr>
    </w:p>
    <w:p w:rsidR="002908E0" w:rsidRPr="002908E0" w:rsidRDefault="002908E0" w:rsidP="002908E0">
      <w:pPr>
        <w:keepNext/>
        <w:rPr>
          <w:lang w:val="fr-FR"/>
        </w:rPr>
      </w:pPr>
      <w:r w:rsidRPr="002908E0">
        <w:rPr>
          <w:lang w:val="fr-FR"/>
        </w:rPr>
        <w:t>Selon le membre de l’UPOV, les données publiées peuvent contenir des renseignements complémentaires.</w:t>
      </w:r>
    </w:p>
    <w:p w:rsidR="002908E0" w:rsidRPr="002908E0" w:rsidRDefault="002908E0" w:rsidP="002908E0">
      <w:pPr>
        <w:keepNext/>
        <w:rPr>
          <w:lang w:val="fr-FR"/>
        </w:rPr>
      </w:pPr>
    </w:p>
    <w:p w:rsidR="002908E0" w:rsidRPr="002908E0" w:rsidRDefault="002908E0" w:rsidP="002908E0">
      <w:pPr>
        <w:rPr>
          <w:lang w:val="fr-FR"/>
        </w:rPr>
      </w:pPr>
      <w:r w:rsidRPr="002908E0">
        <w:rPr>
          <w:lang w:val="fr-FR"/>
        </w:rPr>
        <w:t>On trouvera ci</w:t>
      </w:r>
      <w:r w:rsidRPr="002908E0">
        <w:rPr>
          <w:lang w:val="fr-FR"/>
        </w:rPr>
        <w:noBreakHyphen/>
        <w:t>après à titre d’exemple une liste non exhaustive des renseignements complémentaires publiés par certains membres de l’UPOV :</w:t>
      </w:r>
    </w:p>
    <w:p w:rsidR="002908E0" w:rsidRPr="002908E0" w:rsidRDefault="002908E0" w:rsidP="002908E0">
      <w:pPr>
        <w:rPr>
          <w:lang w:val="fr-FR"/>
        </w:rPr>
      </w:pPr>
    </w:p>
    <w:p w:rsidR="002908E0" w:rsidRPr="002908E0" w:rsidRDefault="002908E0" w:rsidP="002908E0">
      <w:pPr>
        <w:ind w:left="567"/>
        <w:rPr>
          <w:lang w:val="fr-FR"/>
        </w:rPr>
      </w:pPr>
      <w:r w:rsidRPr="002908E0">
        <w:rPr>
          <w:lang w:val="fr-FR"/>
        </w:rPr>
        <w:t xml:space="preserve">Membre de l’UPOV </w:t>
      </w:r>
      <w:r w:rsidR="00456DF8">
        <w:rPr>
          <w:lang w:val="fr-FR"/>
        </w:rPr>
        <w:t>et date concernant la priorité</w:t>
      </w:r>
      <w:bookmarkStart w:id="24" w:name="_GoBack"/>
      <w:bookmarkEnd w:id="24"/>
    </w:p>
    <w:p w:rsidR="002908E0" w:rsidRPr="002908E0" w:rsidRDefault="002908E0" w:rsidP="002908E0">
      <w:pPr>
        <w:ind w:left="567"/>
        <w:rPr>
          <w:lang w:val="fr-FR"/>
        </w:rPr>
      </w:pPr>
      <w:r w:rsidRPr="002908E0">
        <w:rPr>
          <w:lang w:val="fr-FR"/>
        </w:rPr>
        <w:t>Personne ayant créé ou découvert et mis au point la variété (s’il ne s’agit pas du demandeur)</w:t>
      </w:r>
    </w:p>
    <w:p w:rsidR="002908E0" w:rsidRPr="002908E0" w:rsidRDefault="002908E0" w:rsidP="002908E0">
      <w:pPr>
        <w:ind w:left="567"/>
        <w:rPr>
          <w:lang w:val="fr-FR"/>
        </w:rPr>
      </w:pPr>
      <w:r w:rsidRPr="002908E0">
        <w:rPr>
          <w:lang w:val="fr-FR"/>
        </w:rPr>
        <w:t>Représentant ou mandataire</w:t>
      </w:r>
    </w:p>
    <w:p w:rsidR="002908E0" w:rsidRPr="002908E0" w:rsidRDefault="002908E0" w:rsidP="002908E0">
      <w:pPr>
        <w:ind w:left="567"/>
        <w:rPr>
          <w:lang w:val="fr-FR"/>
        </w:rPr>
      </w:pPr>
      <w:r w:rsidRPr="002908E0">
        <w:rPr>
          <w:lang w:val="fr-FR"/>
        </w:rPr>
        <w:t>Descriptions et photographies des variétés</w:t>
      </w:r>
    </w:p>
    <w:p w:rsidR="002908E0" w:rsidRPr="002908E0" w:rsidRDefault="002908E0" w:rsidP="002908E0">
      <w:pPr>
        <w:rPr>
          <w:lang w:val="fr-FR"/>
        </w:rPr>
      </w:pPr>
    </w:p>
    <w:p w:rsidR="002908E0" w:rsidRPr="00A10AFA" w:rsidRDefault="002908E0" w:rsidP="003056C2">
      <w:pPr>
        <w:pStyle w:val="Heading5"/>
        <w:rPr>
          <w:lang w:val="fr-FR"/>
        </w:rPr>
      </w:pPr>
      <w:bookmarkStart w:id="25" w:name="_Toc396212446"/>
      <w:r w:rsidRPr="00A10AFA">
        <w:rPr>
          <w:lang w:val="fr-FR"/>
        </w:rPr>
        <w:t>Renseignements sur l’obtenteur de la variété ou son représentant</w:t>
      </w:r>
      <w:bookmarkEnd w:id="25"/>
    </w:p>
    <w:p w:rsidR="002908E0" w:rsidRPr="002908E0" w:rsidRDefault="002908E0" w:rsidP="002908E0">
      <w:pPr>
        <w:rPr>
          <w:lang w:val="fr-FR"/>
        </w:rPr>
      </w:pPr>
    </w:p>
    <w:p w:rsidR="002908E0" w:rsidRPr="002908E0" w:rsidRDefault="002908E0" w:rsidP="002908E0">
      <w:pPr>
        <w:rPr>
          <w:lang w:val="fr-FR"/>
        </w:rPr>
      </w:pPr>
      <w:r w:rsidRPr="002908E0">
        <w:rPr>
          <w:lang w:val="fr-FR"/>
        </w:rPr>
        <w:t>Seul l’obtenteur au sens de l’article 1.iv) de l’Acte de 1991 de la Convention UPOV peut se voir octroyer un droit d’obtenteur.  Le demandeur doit être l’obtenteur (voir le module 3 intitulé “Droit au droit d’obtenteur”).</w:t>
      </w:r>
    </w:p>
    <w:p w:rsidR="002908E0" w:rsidRPr="002908E0" w:rsidRDefault="002908E0" w:rsidP="002908E0">
      <w:pPr>
        <w:rPr>
          <w:lang w:val="fr-FR"/>
        </w:rPr>
      </w:pPr>
    </w:p>
    <w:p w:rsidR="002908E0" w:rsidRPr="002908E0" w:rsidRDefault="002908E0" w:rsidP="002908E0">
      <w:pPr>
        <w:rPr>
          <w:lang w:val="fr-FR"/>
        </w:rPr>
      </w:pPr>
      <w:r w:rsidRPr="002908E0">
        <w:rPr>
          <w:lang w:val="fr-FR"/>
        </w:rPr>
        <w:t>Certaines publications indiquent le nom et l’adresse du demandeur, de la personne ayant créé ou découvert et mis au point la variété (s’il ne s’agit pas du demandeur) et du représentant ou mandataire.</w:t>
      </w:r>
    </w:p>
    <w:p w:rsidR="002908E0" w:rsidRPr="002908E0" w:rsidRDefault="002908E0" w:rsidP="002908E0">
      <w:pPr>
        <w:rPr>
          <w:lang w:val="fr-FR"/>
        </w:rPr>
      </w:pPr>
    </w:p>
    <w:p w:rsidR="002908E0" w:rsidRPr="002908E0" w:rsidRDefault="002908E0" w:rsidP="002908E0">
      <w:pPr>
        <w:rPr>
          <w:lang w:val="fr-FR"/>
        </w:rPr>
      </w:pPr>
      <w:r w:rsidRPr="002908E0">
        <w:rPr>
          <w:lang w:val="fr-FR"/>
        </w:rPr>
        <w:t>Toute modification apportée en ce qui concerne le demandeur et, le cas échéant, son représentant, doit également être publiée.</w:t>
      </w:r>
    </w:p>
    <w:p w:rsidR="002908E0" w:rsidRPr="002908E0" w:rsidRDefault="002908E0" w:rsidP="002908E0">
      <w:pPr>
        <w:rPr>
          <w:b/>
          <w:lang w:val="fr-FR"/>
        </w:rPr>
      </w:pPr>
    </w:p>
    <w:p w:rsidR="002908E0" w:rsidRPr="00A10AFA" w:rsidRDefault="002908E0" w:rsidP="003056C2">
      <w:pPr>
        <w:pStyle w:val="Heading5"/>
        <w:rPr>
          <w:lang w:val="fr-FR"/>
        </w:rPr>
      </w:pPr>
      <w:bookmarkStart w:id="26" w:name="_Toc396212447"/>
      <w:r w:rsidRPr="00A10AFA">
        <w:rPr>
          <w:lang w:val="fr-FR"/>
        </w:rPr>
        <w:t>Protection provisoire</w:t>
      </w:r>
      <w:bookmarkEnd w:id="26"/>
    </w:p>
    <w:p w:rsidR="002908E0" w:rsidRPr="002908E0" w:rsidRDefault="002908E0" w:rsidP="002908E0">
      <w:pPr>
        <w:rPr>
          <w:lang w:val="fr-FR"/>
        </w:rPr>
      </w:pPr>
    </w:p>
    <w:p w:rsidR="002908E0" w:rsidRPr="002908E0" w:rsidRDefault="002908E0" w:rsidP="002908E0">
      <w:pPr>
        <w:rPr>
          <w:lang w:val="fr-FR"/>
        </w:rPr>
      </w:pPr>
      <w:r w:rsidRPr="002908E0">
        <w:rPr>
          <w:lang w:val="fr-FR"/>
        </w:rPr>
        <w:t>L’article 13 de l’Acte de 1991 de la Convention UPOV prévoit que les membres de l’UPOV liés par ledit acte prennent des mesures destinées à sauvegarder les intérêts de l’obtenteur pendant la période comprise entre le dépôt de la demande d’octroi d’un droit d’obtenteur ou sa publication et l’octroi du droit.  Cette protection provisoire est une disposition facultative selon l’Acte de 1978 de la Convention UPOV (voir l’article 7.3).</w:t>
      </w:r>
    </w:p>
    <w:p w:rsidR="002908E0" w:rsidRPr="002908E0" w:rsidRDefault="002908E0" w:rsidP="002908E0">
      <w:pPr>
        <w:rPr>
          <w:lang w:val="fr-FR"/>
        </w:rPr>
      </w:pPr>
    </w:p>
    <w:p w:rsidR="002908E0" w:rsidRPr="002908E0" w:rsidRDefault="002908E0" w:rsidP="002908E0">
      <w:pPr>
        <w:rPr>
          <w:lang w:val="fr-FR"/>
        </w:rPr>
      </w:pPr>
      <w:r w:rsidRPr="002908E0">
        <w:rPr>
          <w:lang w:val="fr-FR"/>
        </w:rPr>
        <w:t>Un membre de l’UPOV peut prévoir dans sa législation que les mesures de protection provisoire ne prendront effet qu’à l’égard des personnes auxquelles l’obtenteur aura notifié le dépôt de la demande.  Cette notification peut être considérée comme effective à l’égard de toutes les personnes lorsque la loi a retenu la date de la publication comme date initiale de protection provisoire car la publication est généralement reconnue comme un mécanisme de notification à des tiers.</w:t>
      </w:r>
    </w:p>
    <w:p w:rsidR="002908E0" w:rsidRPr="002908E0" w:rsidRDefault="002908E0" w:rsidP="002908E0">
      <w:pPr>
        <w:rPr>
          <w:lang w:val="fr-FR"/>
        </w:rPr>
      </w:pPr>
    </w:p>
    <w:p w:rsidR="002908E0" w:rsidRPr="002908E0" w:rsidRDefault="002908E0" w:rsidP="002908E0">
      <w:pPr>
        <w:rPr>
          <w:lang w:val="fr-FR"/>
        </w:rPr>
      </w:pPr>
      <w:r w:rsidRPr="002908E0">
        <w:rPr>
          <w:lang w:val="fr-FR"/>
        </w:rPr>
        <w:t xml:space="preserve">Une introduction à la protection provisoire a été faite dans le cadre du module 4 </w:t>
      </w:r>
      <w:proofErr w:type="gramStart"/>
      <w:r w:rsidRPr="002908E0">
        <w:rPr>
          <w:lang w:val="fr-FR"/>
        </w:rPr>
        <w:t>intitulé</w:t>
      </w:r>
      <w:proofErr w:type="gramEnd"/>
      <w:r w:rsidRPr="002908E0">
        <w:rPr>
          <w:lang w:val="fr-FR"/>
        </w:rPr>
        <w:t xml:space="preserve"> “Demande d’octroi du droit d’obtenteur” du cours DL</w:t>
      </w:r>
      <w:r w:rsidRPr="002908E0">
        <w:rPr>
          <w:lang w:val="fr-FR"/>
        </w:rPr>
        <w:noBreakHyphen/>
        <w:t xml:space="preserve">205 et des renseignements complémentaires figurent dans le document UPOV/EXN/PRP “Notes explicatives sur la protection provisoire selon la Convention UPOV” (voir </w:t>
      </w:r>
      <w:hyperlink r:id="rId21" w:history="1">
        <w:r w:rsidRPr="002908E0">
          <w:rPr>
            <w:rStyle w:val="Hyperlink"/>
            <w:rFonts w:cs="Arial"/>
            <w:lang w:val="fr-FR"/>
          </w:rPr>
          <w:t>http://www.upov.int/explanatory_notes/en/</w:t>
        </w:r>
      </w:hyperlink>
      <w:hyperlink r:id="rId22" w:history="1">
        <w:r w:rsidRPr="002908E0">
          <w:rPr>
            <w:rStyle w:val="Hyperlink"/>
            <w:rFonts w:cs="Arial"/>
            <w:lang w:val="fr-FR"/>
          </w:rPr>
          <w:t>).</w:t>
        </w:r>
      </w:hyperlink>
    </w:p>
    <w:p w:rsidR="002908E0" w:rsidRPr="002908E0" w:rsidRDefault="002908E0" w:rsidP="002908E0">
      <w:pPr>
        <w:rPr>
          <w:lang w:val="fr-FR"/>
        </w:rPr>
      </w:pPr>
    </w:p>
    <w:p w:rsidR="002908E0" w:rsidRPr="00A10AFA" w:rsidRDefault="002908E0" w:rsidP="003056C2">
      <w:pPr>
        <w:pStyle w:val="Heading5"/>
        <w:rPr>
          <w:lang w:val="fr-FR"/>
        </w:rPr>
      </w:pPr>
      <w:bookmarkStart w:id="27" w:name="_Toc396212448"/>
      <w:r w:rsidRPr="00A10AFA">
        <w:rPr>
          <w:lang w:val="fr-FR"/>
        </w:rPr>
        <w:t>Descriptions et photographies des variétés</w:t>
      </w:r>
      <w:bookmarkEnd w:id="27"/>
    </w:p>
    <w:p w:rsidR="002908E0" w:rsidRPr="002908E0" w:rsidRDefault="002908E0" w:rsidP="002908E0">
      <w:pPr>
        <w:rPr>
          <w:lang w:val="fr-FR"/>
        </w:rPr>
      </w:pPr>
    </w:p>
    <w:p w:rsidR="002908E0" w:rsidRPr="002908E0" w:rsidRDefault="002908E0" w:rsidP="002908E0">
      <w:pPr>
        <w:rPr>
          <w:lang w:val="fr-FR"/>
        </w:rPr>
      </w:pPr>
      <w:r w:rsidRPr="002908E0">
        <w:rPr>
          <w:lang w:val="fr-FR"/>
        </w:rPr>
        <w:t>Dans le cadre des procédures complémentaires visant à renforcer l’examen de la distinction, des renseignements complémentaires, tels que des descriptions ou des photographies des variétés, peuvent également figurer parmi les données publiées par le membre de l’UPOV concerné.</w:t>
      </w:r>
    </w:p>
    <w:p w:rsidR="002908E0" w:rsidRPr="002908E0" w:rsidRDefault="002908E0" w:rsidP="002908E0">
      <w:pPr>
        <w:rPr>
          <w:lang w:val="fr-FR"/>
        </w:rPr>
      </w:pPr>
    </w:p>
    <w:p w:rsidR="002908E0" w:rsidRPr="002908E0" w:rsidRDefault="002908E0" w:rsidP="002908E0">
      <w:pPr>
        <w:rPr>
          <w:lang w:val="fr-FR"/>
        </w:rPr>
      </w:pPr>
    </w:p>
    <w:p w:rsidR="002908E0" w:rsidRPr="002908E0" w:rsidRDefault="002908E0" w:rsidP="003056C2">
      <w:pPr>
        <w:pStyle w:val="Heading4"/>
      </w:pPr>
      <w:bookmarkStart w:id="28" w:name="_Toc396212449"/>
      <w:r w:rsidRPr="002908E0">
        <w:t>Objections relatives à des renseignements publiés concernant une demande</w:t>
      </w:r>
      <w:bookmarkEnd w:id="28"/>
    </w:p>
    <w:p w:rsidR="002908E0" w:rsidRPr="002908E0" w:rsidRDefault="002908E0" w:rsidP="002908E0">
      <w:pPr>
        <w:rPr>
          <w:lang w:val="fr-FR"/>
        </w:rPr>
      </w:pPr>
    </w:p>
    <w:p w:rsidR="002908E0" w:rsidRPr="002908E0" w:rsidRDefault="002908E0" w:rsidP="002908E0">
      <w:pPr>
        <w:rPr>
          <w:lang w:val="fr-FR"/>
        </w:rPr>
      </w:pPr>
      <w:r w:rsidRPr="002908E0">
        <w:rPr>
          <w:lang w:val="fr-FR"/>
        </w:rPr>
        <w:t>Toute personne intéressée peut déposer une objection au moment de la publication de la demande ou d’une dénomination proposée, si elle estime que les renseignements fournis sont faux ou erronés.  Le service communique les objections pertinentes au demandeur qui doit avoir la possibilité de répondre à ces objections.</w:t>
      </w:r>
    </w:p>
    <w:p w:rsidR="002908E0" w:rsidRPr="002908E0" w:rsidRDefault="002908E0" w:rsidP="002908E0">
      <w:pPr>
        <w:rPr>
          <w:lang w:val="fr-FR"/>
        </w:rPr>
      </w:pPr>
    </w:p>
    <w:p w:rsidR="002908E0" w:rsidRPr="002908E0" w:rsidRDefault="002908E0" w:rsidP="002908E0">
      <w:pPr>
        <w:rPr>
          <w:lang w:val="fr-FR"/>
        </w:rPr>
      </w:pPr>
      <w:r w:rsidRPr="002908E0">
        <w:rPr>
          <w:lang w:val="fr-FR"/>
        </w:rPr>
        <w:t>La procédure de publication de renseignements sur les demandes permet généralement à des tiers de formuler des objections auprès du service, notamment en ce qui concerne le droit au droit d’obtenteur, la pertinence d’une dénomination variétale proposée et la conformité aux conditions de protection.</w:t>
      </w:r>
    </w:p>
    <w:p w:rsidR="002908E0" w:rsidRPr="002908E0" w:rsidRDefault="002908E0" w:rsidP="002908E0">
      <w:pPr>
        <w:rPr>
          <w:lang w:val="fr-FR"/>
        </w:rPr>
      </w:pPr>
    </w:p>
    <w:p w:rsidR="002908E0" w:rsidRPr="002908E0" w:rsidRDefault="002908E0" w:rsidP="002908E0">
      <w:pPr>
        <w:rPr>
          <w:b/>
          <w:lang w:val="fr-FR"/>
        </w:rPr>
      </w:pPr>
    </w:p>
    <w:p w:rsidR="002908E0" w:rsidRPr="002908E0" w:rsidRDefault="002908E0" w:rsidP="002908E0">
      <w:pPr>
        <w:jc w:val="left"/>
        <w:rPr>
          <w:u w:val="single"/>
          <w:lang w:val="fr-FR"/>
        </w:rPr>
      </w:pPr>
      <w:bookmarkStart w:id="29" w:name="_Toc371496355"/>
      <w:r w:rsidRPr="002908E0">
        <w:rPr>
          <w:lang w:val="fr-FR"/>
        </w:rPr>
        <w:br w:type="page"/>
      </w:r>
    </w:p>
    <w:p w:rsidR="002908E0" w:rsidRPr="002908E0" w:rsidRDefault="002908E0" w:rsidP="003056C2">
      <w:pPr>
        <w:pStyle w:val="Heading4"/>
      </w:pPr>
      <w:bookmarkStart w:id="30" w:name="_Toc396212450"/>
      <w:bookmarkEnd w:id="29"/>
      <w:r w:rsidRPr="002908E0">
        <w:lastRenderedPageBreak/>
        <w:t>Retrait ou rejet d’une demande de droits d’obtenteur</w:t>
      </w:r>
      <w:bookmarkEnd w:id="30"/>
    </w:p>
    <w:p w:rsidR="002908E0" w:rsidRPr="002908E0" w:rsidRDefault="002908E0" w:rsidP="002908E0">
      <w:pPr>
        <w:rPr>
          <w:lang w:val="fr-FR"/>
        </w:rPr>
      </w:pPr>
    </w:p>
    <w:p w:rsidR="002908E0" w:rsidRPr="002908E0" w:rsidRDefault="002908E0" w:rsidP="002908E0">
      <w:pPr>
        <w:rPr>
          <w:lang w:val="fr-FR"/>
        </w:rPr>
      </w:pPr>
      <w:r w:rsidRPr="002908E0">
        <w:rPr>
          <w:lang w:val="fr-FR"/>
        </w:rPr>
        <w:t>Dans le cadre de l’examen, le demandeur peut décider de retirer la demande de droits d’obtenteur.  Tout retrait d’une demande de droits d’obtenteur doit être publié.</w:t>
      </w:r>
    </w:p>
    <w:p w:rsidR="002908E0" w:rsidRPr="002908E0" w:rsidRDefault="002908E0" w:rsidP="002908E0">
      <w:pPr>
        <w:rPr>
          <w:lang w:val="fr-FR"/>
        </w:rPr>
      </w:pPr>
    </w:p>
    <w:p w:rsidR="002908E0" w:rsidRPr="002908E0" w:rsidRDefault="002908E0" w:rsidP="002908E0">
      <w:pPr>
        <w:rPr>
          <w:lang w:val="fr-FR"/>
        </w:rPr>
      </w:pPr>
      <w:r w:rsidRPr="002908E0">
        <w:rPr>
          <w:lang w:val="fr-FR"/>
        </w:rPr>
        <w:t>Le service peut décider de rejeter la demande pour non</w:t>
      </w:r>
      <w:r w:rsidRPr="002908E0">
        <w:rPr>
          <w:lang w:val="fr-FR"/>
        </w:rPr>
        <w:noBreakHyphen/>
        <w:t>respect des conditions d’octroi du droit d’obtenteur.  Tout rejet d’une demande de droits d’obtenteur doit être publié.</w:t>
      </w:r>
    </w:p>
    <w:p w:rsidR="002908E0" w:rsidRDefault="002908E0" w:rsidP="002908E0">
      <w:pPr>
        <w:rPr>
          <w:lang w:val="fr-FR"/>
        </w:rPr>
      </w:pPr>
    </w:p>
    <w:p w:rsidR="002908E0" w:rsidRPr="002908E0" w:rsidRDefault="002908E0" w:rsidP="002908E0">
      <w:pPr>
        <w:rPr>
          <w:lang w:val="fr-FR"/>
        </w:rPr>
      </w:pPr>
    </w:p>
    <w:p w:rsidR="002908E0" w:rsidRPr="002908E0" w:rsidRDefault="002908E0" w:rsidP="002908E0">
      <w:pPr>
        <w:rPr>
          <w:lang w:val="fr-FR"/>
        </w:rPr>
      </w:pPr>
    </w:p>
    <w:p w:rsidR="002908E0" w:rsidRPr="002908E0" w:rsidRDefault="002908E0" w:rsidP="003056C2">
      <w:pPr>
        <w:pStyle w:val="Heading3"/>
      </w:pPr>
      <w:bookmarkStart w:id="31" w:name="_Toc396212451"/>
      <w:r w:rsidRPr="002908E0">
        <w:t>PUBLICATION DE RENSEIGNEMENTS SUR LES DROITS D’OBTENTEUR DÉLIVRÉS</w:t>
      </w:r>
      <w:bookmarkEnd w:id="31"/>
    </w:p>
    <w:p w:rsidR="002908E0" w:rsidRPr="002908E0" w:rsidRDefault="002908E0" w:rsidP="002908E0">
      <w:pPr>
        <w:rPr>
          <w:lang w:val="fr-FR"/>
        </w:rPr>
      </w:pPr>
    </w:p>
    <w:p w:rsidR="002908E0" w:rsidRPr="002908E0" w:rsidRDefault="002908E0" w:rsidP="003056C2">
      <w:pPr>
        <w:pStyle w:val="Heading4"/>
      </w:pPr>
      <w:bookmarkStart w:id="32" w:name="_Toc396212452"/>
      <w:r w:rsidRPr="002908E0">
        <w:t>Droits d’obtenteur délivrés et dénominations approuvées</w:t>
      </w:r>
      <w:bookmarkEnd w:id="32"/>
    </w:p>
    <w:p w:rsidR="002908E0" w:rsidRPr="002908E0" w:rsidRDefault="002908E0" w:rsidP="002908E0">
      <w:pPr>
        <w:rPr>
          <w:lang w:val="fr-FR"/>
        </w:rPr>
      </w:pPr>
    </w:p>
    <w:p w:rsidR="002908E0" w:rsidRPr="002908E0" w:rsidRDefault="002908E0" w:rsidP="002908E0">
      <w:pPr>
        <w:rPr>
          <w:lang w:val="fr-FR"/>
        </w:rPr>
      </w:pPr>
      <w:r w:rsidRPr="002908E0">
        <w:rPr>
          <w:lang w:val="fr-FR"/>
        </w:rPr>
        <w:t>La Convention UPOV exige que le public soit informé par la publication périodique de renseignements sur les droits d’obtenteur délivrés et les dénominations approuvées (article 30.1) de l’Acte de 1991 et de l’Acte de 1978).</w:t>
      </w:r>
    </w:p>
    <w:p w:rsidR="002908E0" w:rsidRPr="002908E0" w:rsidRDefault="002908E0" w:rsidP="002908E0">
      <w:pPr>
        <w:rPr>
          <w:lang w:val="fr-FR"/>
        </w:rPr>
      </w:pPr>
    </w:p>
    <w:p w:rsidR="002908E0" w:rsidRPr="00A10AFA" w:rsidRDefault="002908E0" w:rsidP="003056C2">
      <w:pPr>
        <w:pStyle w:val="Heading5"/>
        <w:rPr>
          <w:lang w:val="fr-FR"/>
        </w:rPr>
      </w:pPr>
      <w:bookmarkStart w:id="33" w:name="_Toc396212453"/>
      <w:r w:rsidRPr="00A10AFA">
        <w:rPr>
          <w:lang w:val="fr-FR"/>
        </w:rPr>
        <w:t>Renseignements à fournir</w:t>
      </w:r>
      <w:bookmarkEnd w:id="33"/>
    </w:p>
    <w:p w:rsidR="002908E0" w:rsidRPr="002908E0" w:rsidRDefault="002908E0" w:rsidP="002908E0">
      <w:pPr>
        <w:rPr>
          <w:lang w:val="fr-FR"/>
        </w:rPr>
      </w:pPr>
    </w:p>
    <w:p w:rsidR="002908E0" w:rsidRPr="002908E0" w:rsidRDefault="002908E0" w:rsidP="002908E0">
      <w:pPr>
        <w:rPr>
          <w:lang w:val="fr-FR"/>
        </w:rPr>
      </w:pPr>
      <w:r w:rsidRPr="002908E0">
        <w:rPr>
          <w:lang w:val="fr-FR"/>
        </w:rPr>
        <w:t>Comme indiqué au module 2 intitulé “Administration des demandes”, la Convention UPOV exige que la dénomination soit enregistrée par le service en même temps qu’est octroyé le droit d’obtenteur (article 20.3) de l’Acte de 1991 et article 13.3) de l’Acte de 1978).</w:t>
      </w:r>
    </w:p>
    <w:p w:rsidR="002908E0" w:rsidRPr="002908E0" w:rsidRDefault="002908E0" w:rsidP="002908E0">
      <w:pPr>
        <w:rPr>
          <w:lang w:val="fr-FR"/>
        </w:rPr>
      </w:pPr>
    </w:p>
    <w:p w:rsidR="002908E0" w:rsidRPr="002908E0" w:rsidRDefault="002908E0" w:rsidP="002908E0">
      <w:pPr>
        <w:rPr>
          <w:lang w:val="fr-FR"/>
        </w:rPr>
      </w:pPr>
      <w:r w:rsidRPr="002908E0">
        <w:rPr>
          <w:lang w:val="fr-FR"/>
        </w:rPr>
        <w:t>En ce qui concerne les droits d’obtenteur délivrés et les dénominations approuvées, ce sont les informations ci</w:t>
      </w:r>
      <w:r w:rsidRPr="002908E0">
        <w:rPr>
          <w:lang w:val="fr-FR"/>
        </w:rPr>
        <w:noBreakHyphen/>
        <w:t>après qui doivent être publiées :</w:t>
      </w:r>
    </w:p>
    <w:p w:rsidR="002908E0" w:rsidRPr="002908E0" w:rsidRDefault="002908E0" w:rsidP="002908E0">
      <w:pPr>
        <w:rPr>
          <w:lang w:val="fr-FR"/>
        </w:rPr>
      </w:pPr>
    </w:p>
    <w:p w:rsidR="002908E0" w:rsidRPr="002908E0" w:rsidRDefault="002908E0" w:rsidP="002908E0">
      <w:pPr>
        <w:ind w:left="567"/>
        <w:rPr>
          <w:lang w:val="fr-FR"/>
        </w:rPr>
      </w:pPr>
      <w:r w:rsidRPr="002908E0">
        <w:rPr>
          <w:lang w:val="fr-FR"/>
        </w:rPr>
        <w:t>Numéro de la demande</w:t>
      </w:r>
    </w:p>
    <w:p w:rsidR="002908E0" w:rsidRPr="002908E0" w:rsidRDefault="002908E0" w:rsidP="002908E0">
      <w:pPr>
        <w:ind w:left="567"/>
        <w:rPr>
          <w:lang w:val="fr-FR"/>
        </w:rPr>
      </w:pPr>
      <w:r w:rsidRPr="002908E0">
        <w:rPr>
          <w:lang w:val="fr-FR"/>
        </w:rPr>
        <w:t>Date de dépôt</w:t>
      </w:r>
    </w:p>
    <w:p w:rsidR="002908E0" w:rsidRPr="002908E0" w:rsidRDefault="002908E0" w:rsidP="002908E0">
      <w:pPr>
        <w:ind w:left="567"/>
        <w:rPr>
          <w:lang w:val="fr-FR"/>
        </w:rPr>
      </w:pPr>
      <w:r w:rsidRPr="002908E0">
        <w:rPr>
          <w:lang w:val="fr-FR"/>
        </w:rPr>
        <w:t>Dénomination variétale approuvée</w:t>
      </w:r>
    </w:p>
    <w:p w:rsidR="002908E0" w:rsidRPr="002908E0" w:rsidRDefault="002908E0" w:rsidP="002908E0">
      <w:pPr>
        <w:ind w:left="567"/>
        <w:rPr>
          <w:lang w:val="fr-FR"/>
        </w:rPr>
      </w:pPr>
      <w:r w:rsidRPr="002908E0">
        <w:rPr>
          <w:lang w:val="fr-FR"/>
        </w:rPr>
        <w:t>Date d’octroi du droit d’obtenteur</w:t>
      </w:r>
    </w:p>
    <w:p w:rsidR="002908E0" w:rsidRPr="002908E0" w:rsidRDefault="002908E0" w:rsidP="002908E0">
      <w:pPr>
        <w:ind w:left="567"/>
        <w:rPr>
          <w:lang w:val="fr-FR"/>
        </w:rPr>
      </w:pPr>
      <w:r w:rsidRPr="002908E0">
        <w:rPr>
          <w:lang w:val="fr-FR"/>
        </w:rPr>
        <w:t>Numéro du titre délivré</w:t>
      </w:r>
    </w:p>
    <w:p w:rsidR="002908E0" w:rsidRPr="002908E0" w:rsidRDefault="002908E0" w:rsidP="002908E0">
      <w:pPr>
        <w:ind w:left="567"/>
        <w:rPr>
          <w:lang w:val="fr-FR"/>
        </w:rPr>
      </w:pPr>
      <w:r w:rsidRPr="002908E0">
        <w:rPr>
          <w:lang w:val="fr-FR"/>
        </w:rPr>
        <w:t>Titulaire du droit d’obtenteur</w:t>
      </w:r>
    </w:p>
    <w:p w:rsidR="002908E0" w:rsidRPr="002908E0" w:rsidRDefault="002908E0" w:rsidP="002908E0">
      <w:pPr>
        <w:rPr>
          <w:lang w:val="fr-FR"/>
        </w:rPr>
      </w:pPr>
    </w:p>
    <w:p w:rsidR="002908E0" w:rsidRPr="00A10AFA" w:rsidRDefault="002908E0" w:rsidP="003056C2">
      <w:pPr>
        <w:pStyle w:val="Heading5"/>
        <w:rPr>
          <w:lang w:val="fr-FR"/>
        </w:rPr>
      </w:pPr>
      <w:bookmarkStart w:id="34" w:name="_Toc396212454"/>
      <w:r w:rsidRPr="00A10AFA">
        <w:rPr>
          <w:lang w:val="fr-FR"/>
        </w:rPr>
        <w:t>Renseignements complémentaires</w:t>
      </w:r>
      <w:bookmarkEnd w:id="34"/>
    </w:p>
    <w:p w:rsidR="002908E0" w:rsidRPr="002908E0" w:rsidRDefault="002908E0" w:rsidP="002908E0">
      <w:pPr>
        <w:rPr>
          <w:lang w:val="fr-FR"/>
        </w:rPr>
      </w:pPr>
    </w:p>
    <w:p w:rsidR="002908E0" w:rsidRPr="002908E0" w:rsidRDefault="002908E0" w:rsidP="002908E0">
      <w:pPr>
        <w:rPr>
          <w:lang w:val="fr-FR"/>
        </w:rPr>
      </w:pPr>
      <w:r w:rsidRPr="002908E0">
        <w:rPr>
          <w:lang w:val="fr-FR"/>
        </w:rPr>
        <w:t>Selon le membre de l’UPOV, les données publiées peuvent contenir des renseignements complémentaires.</w:t>
      </w:r>
    </w:p>
    <w:p w:rsidR="002908E0" w:rsidRPr="002908E0" w:rsidRDefault="002908E0" w:rsidP="002908E0">
      <w:pPr>
        <w:rPr>
          <w:lang w:val="fr-FR"/>
        </w:rPr>
      </w:pPr>
    </w:p>
    <w:p w:rsidR="002908E0" w:rsidRPr="002908E0" w:rsidRDefault="002908E0" w:rsidP="002908E0">
      <w:pPr>
        <w:rPr>
          <w:lang w:val="fr-FR"/>
        </w:rPr>
      </w:pPr>
      <w:r w:rsidRPr="002908E0">
        <w:rPr>
          <w:lang w:val="fr-FR"/>
        </w:rPr>
        <w:t>Outre les renseignements publiés sur les demandes de droits d’obtenteur, on trouvera ci</w:t>
      </w:r>
      <w:r w:rsidRPr="002908E0">
        <w:rPr>
          <w:lang w:val="fr-FR"/>
        </w:rPr>
        <w:noBreakHyphen/>
        <w:t>après à titre d’exemple une liste non exhaustive des renseignements complémentaires publiés par certains membres de l’UPOV dans la section consacrée aux droits d’obtenteur délivrés :</w:t>
      </w:r>
    </w:p>
    <w:p w:rsidR="002908E0" w:rsidRPr="002908E0" w:rsidRDefault="002908E0" w:rsidP="002908E0">
      <w:pPr>
        <w:rPr>
          <w:lang w:val="fr-FR"/>
        </w:rPr>
      </w:pPr>
    </w:p>
    <w:p w:rsidR="002908E0" w:rsidRPr="002908E0" w:rsidRDefault="002908E0" w:rsidP="002908E0">
      <w:pPr>
        <w:numPr>
          <w:ilvl w:val="0"/>
          <w:numId w:val="1"/>
        </w:numPr>
        <w:rPr>
          <w:lang w:val="fr-FR"/>
        </w:rPr>
      </w:pPr>
      <w:r w:rsidRPr="002908E0">
        <w:rPr>
          <w:lang w:val="fr-FR"/>
        </w:rPr>
        <w:t>personne ayant créé ou découvert et mis au point la variété (s’il ne s’agit pas du titulaire du droit d’obtenteur)</w:t>
      </w:r>
    </w:p>
    <w:p w:rsidR="002908E0" w:rsidRPr="002908E0" w:rsidRDefault="002908E0" w:rsidP="002908E0">
      <w:pPr>
        <w:numPr>
          <w:ilvl w:val="0"/>
          <w:numId w:val="1"/>
        </w:numPr>
        <w:rPr>
          <w:lang w:val="fr-FR"/>
        </w:rPr>
      </w:pPr>
      <w:r w:rsidRPr="002908E0">
        <w:rPr>
          <w:lang w:val="fr-FR"/>
        </w:rPr>
        <w:t>Représentant ou mandataire</w:t>
      </w:r>
    </w:p>
    <w:p w:rsidR="002908E0" w:rsidRPr="002908E0" w:rsidRDefault="002908E0" w:rsidP="002908E0">
      <w:pPr>
        <w:numPr>
          <w:ilvl w:val="0"/>
          <w:numId w:val="1"/>
        </w:numPr>
        <w:rPr>
          <w:lang w:val="fr-FR"/>
        </w:rPr>
      </w:pPr>
      <w:r w:rsidRPr="002908E0">
        <w:rPr>
          <w:lang w:val="fr-FR"/>
        </w:rPr>
        <w:t>Dans le cadre des procédures complémentaires visant à renforcer l’examen de la distinction, des renseignements complémentaires, tels que des descriptions ou des photographies des variétés, peuvent également figurer parmi les données publiées par le membre de l’UPOV concerné.</w:t>
      </w:r>
    </w:p>
    <w:p w:rsidR="002908E0" w:rsidRPr="002908E0" w:rsidRDefault="002908E0" w:rsidP="002908E0">
      <w:pPr>
        <w:rPr>
          <w:lang w:val="fr-FR"/>
        </w:rPr>
      </w:pPr>
    </w:p>
    <w:p w:rsidR="002908E0" w:rsidRPr="002908E0" w:rsidRDefault="002908E0" w:rsidP="002908E0">
      <w:pPr>
        <w:rPr>
          <w:lang w:val="fr-FR"/>
        </w:rPr>
      </w:pPr>
    </w:p>
    <w:p w:rsidR="002908E0" w:rsidRPr="002908E0" w:rsidRDefault="002908E0" w:rsidP="003056C2">
      <w:pPr>
        <w:pStyle w:val="Heading4"/>
      </w:pPr>
      <w:bookmarkStart w:id="35" w:name="_Toc396212455"/>
      <w:r w:rsidRPr="002908E0">
        <w:t>Publication avant l’octroi du droit</w:t>
      </w:r>
      <w:bookmarkEnd w:id="35"/>
    </w:p>
    <w:p w:rsidR="002908E0" w:rsidRPr="002908E0" w:rsidRDefault="002908E0" w:rsidP="002908E0">
      <w:pPr>
        <w:rPr>
          <w:lang w:val="fr-FR"/>
        </w:rPr>
      </w:pPr>
    </w:p>
    <w:p w:rsidR="002908E0" w:rsidRPr="002908E0" w:rsidRDefault="002908E0" w:rsidP="002908E0">
      <w:pPr>
        <w:rPr>
          <w:lang w:val="fr-FR"/>
        </w:rPr>
      </w:pPr>
      <w:r w:rsidRPr="002908E0">
        <w:rPr>
          <w:lang w:val="fr-FR"/>
        </w:rPr>
        <w:t>Outre les renseignements sur les demandes de droits d’obtenteur et les droits d’obtenteur délivrés, certains membres de l’UPOV publient également les décisions proposées par le service avant l’octroi du droit.</w:t>
      </w:r>
    </w:p>
    <w:p w:rsidR="002908E0" w:rsidRPr="002908E0" w:rsidRDefault="002908E0" w:rsidP="002908E0">
      <w:pPr>
        <w:rPr>
          <w:lang w:val="fr-FR"/>
        </w:rPr>
      </w:pPr>
    </w:p>
    <w:p w:rsidR="002908E0" w:rsidRPr="002908E0" w:rsidRDefault="002908E0" w:rsidP="002908E0">
      <w:pPr>
        <w:rPr>
          <w:lang w:val="fr-FR"/>
        </w:rPr>
      </w:pPr>
      <w:r w:rsidRPr="002908E0">
        <w:rPr>
          <w:lang w:val="fr-FR"/>
        </w:rPr>
        <w:t xml:space="preserve">Si la législation du membre de l’UPOV concerné exige du service qu’il publie son intention d’octroyer la protection ou de rejeter une demande, une section peut être prévue à cet effet dans la publication (voir le document UPOV/INF/5 disponible à l’adresse </w:t>
      </w:r>
      <w:hyperlink r:id="rId23" w:history="1">
        <w:r w:rsidRPr="002908E0">
          <w:rPr>
            <w:rStyle w:val="Hyperlink"/>
            <w:rFonts w:cs="Arial"/>
            <w:lang w:val="fr-FR"/>
          </w:rPr>
          <w:t>http://www.upov.int/information_documents/en/</w:t>
        </w:r>
      </w:hyperlink>
      <w:r w:rsidRPr="002908E0">
        <w:rPr>
          <w:lang w:val="fr-FR"/>
        </w:rPr>
        <w:t>).  Cette publication donne la possibilité aux parties pour lesquelles le résultat de la demande de protection est important d’émettre des réserves et de produire des preuves en faveur ou à l’encontre de la décision proposée.</w:t>
      </w:r>
    </w:p>
    <w:p w:rsidR="002908E0" w:rsidRPr="002908E0" w:rsidRDefault="002908E0" w:rsidP="002908E0">
      <w:pPr>
        <w:rPr>
          <w:lang w:val="fr-FR"/>
        </w:rPr>
      </w:pPr>
    </w:p>
    <w:p w:rsidR="002908E0" w:rsidRPr="002908E0" w:rsidRDefault="002908E0" w:rsidP="003056C2">
      <w:pPr>
        <w:pStyle w:val="Heading4"/>
        <w:rPr>
          <w:lang w:eastAsia="nl-NL"/>
        </w:rPr>
      </w:pPr>
      <w:bookmarkStart w:id="36" w:name="_Toc396212456"/>
      <w:r w:rsidRPr="002908E0">
        <w:rPr>
          <w:lang w:eastAsia="nl-NL"/>
        </w:rPr>
        <w:lastRenderedPageBreak/>
        <w:t>Extinction du droit de l’obtenteur</w:t>
      </w:r>
      <w:bookmarkEnd w:id="36"/>
    </w:p>
    <w:p w:rsidR="002908E0" w:rsidRPr="002908E0" w:rsidRDefault="002908E0" w:rsidP="002908E0">
      <w:pPr>
        <w:rPr>
          <w:lang w:val="fr-FR"/>
        </w:rPr>
      </w:pPr>
    </w:p>
    <w:p w:rsidR="002908E0" w:rsidRPr="002908E0" w:rsidRDefault="002908E0" w:rsidP="002908E0">
      <w:pPr>
        <w:rPr>
          <w:lang w:val="fr-FR"/>
        </w:rPr>
      </w:pPr>
      <w:r w:rsidRPr="002908E0">
        <w:rPr>
          <w:lang w:val="fr-FR"/>
        </w:rPr>
        <w:t>Les droits de l’obtenteur peuvent s’éteindre pour les motifs suivants : nullité des droits d’obtenteur;  déchéance des droits d’obtenteur;  renonciation aux droits d’obtenteur ou expiration de la durée de la protection des droits d’obtenteur.</w:t>
      </w:r>
    </w:p>
    <w:p w:rsidR="002908E0" w:rsidRPr="002908E0" w:rsidRDefault="002908E0" w:rsidP="002908E0">
      <w:pPr>
        <w:rPr>
          <w:lang w:val="fr-FR"/>
        </w:rPr>
      </w:pPr>
    </w:p>
    <w:p w:rsidR="002908E0" w:rsidRPr="002908E0" w:rsidRDefault="002908E0" w:rsidP="002908E0">
      <w:pPr>
        <w:rPr>
          <w:lang w:val="fr-FR"/>
        </w:rPr>
      </w:pPr>
      <w:r w:rsidRPr="002908E0">
        <w:rPr>
          <w:lang w:val="fr-FR"/>
        </w:rPr>
        <w:t>Dans pareil cas, les renseignements ci</w:t>
      </w:r>
      <w:r w:rsidRPr="002908E0">
        <w:rPr>
          <w:lang w:val="fr-FR"/>
        </w:rPr>
        <w:noBreakHyphen/>
        <w:t>après doivent être publiés :</w:t>
      </w:r>
    </w:p>
    <w:p w:rsidR="002908E0" w:rsidRPr="002908E0" w:rsidRDefault="002908E0" w:rsidP="002908E0">
      <w:pPr>
        <w:rPr>
          <w:lang w:val="fr-FR"/>
        </w:rPr>
      </w:pPr>
    </w:p>
    <w:p w:rsidR="002908E0" w:rsidRPr="002908E0" w:rsidRDefault="002908E0" w:rsidP="002908E0">
      <w:pPr>
        <w:ind w:left="567"/>
        <w:rPr>
          <w:lang w:val="fr-FR"/>
        </w:rPr>
      </w:pPr>
      <w:r w:rsidRPr="002908E0">
        <w:rPr>
          <w:lang w:val="fr-FR"/>
        </w:rPr>
        <w:t>Numéro du titre délivré</w:t>
      </w:r>
    </w:p>
    <w:p w:rsidR="002908E0" w:rsidRPr="002908E0" w:rsidRDefault="002908E0" w:rsidP="002908E0">
      <w:pPr>
        <w:ind w:left="567"/>
        <w:rPr>
          <w:lang w:val="fr-FR"/>
        </w:rPr>
      </w:pPr>
      <w:r w:rsidRPr="002908E0">
        <w:rPr>
          <w:lang w:val="fr-FR"/>
        </w:rPr>
        <w:t>Date d’octroi du droit d’obtenteur</w:t>
      </w:r>
    </w:p>
    <w:p w:rsidR="002908E0" w:rsidRPr="002908E0" w:rsidRDefault="002908E0" w:rsidP="002908E0">
      <w:pPr>
        <w:ind w:left="567"/>
        <w:rPr>
          <w:lang w:val="fr-FR"/>
        </w:rPr>
      </w:pPr>
      <w:r w:rsidRPr="002908E0">
        <w:rPr>
          <w:lang w:val="fr-FR"/>
        </w:rPr>
        <w:t>Dénomination variétale approuvée</w:t>
      </w:r>
    </w:p>
    <w:p w:rsidR="002908E0" w:rsidRPr="002908E0" w:rsidRDefault="002908E0" w:rsidP="002908E0">
      <w:pPr>
        <w:ind w:left="567"/>
        <w:rPr>
          <w:lang w:val="fr-FR"/>
        </w:rPr>
      </w:pPr>
      <w:r w:rsidRPr="002908E0">
        <w:rPr>
          <w:lang w:val="fr-FR"/>
        </w:rPr>
        <w:t>Titulaire du droit d’obtenteur</w:t>
      </w:r>
    </w:p>
    <w:p w:rsidR="002908E0" w:rsidRPr="002908E0" w:rsidRDefault="002908E0" w:rsidP="002908E0">
      <w:pPr>
        <w:ind w:left="567"/>
        <w:rPr>
          <w:lang w:val="fr-FR"/>
        </w:rPr>
      </w:pPr>
      <w:r w:rsidRPr="002908E0">
        <w:rPr>
          <w:lang w:val="fr-FR"/>
        </w:rPr>
        <w:t>Date d’extinction du droit d’obtenteur (c’est</w:t>
      </w:r>
      <w:r w:rsidRPr="002908E0">
        <w:rPr>
          <w:lang w:val="fr-FR"/>
        </w:rPr>
        <w:noBreakHyphen/>
        <w:t>à</w:t>
      </w:r>
      <w:r w:rsidRPr="002908E0">
        <w:rPr>
          <w:lang w:val="fr-FR"/>
        </w:rPr>
        <w:noBreakHyphen/>
        <w:t>dire la date à laquelle le droit d’obtenteur est déclaré nul, la date à laquelle l’obtenteur est déchu de son droit, la date à laquelle ce dernier renonce à son droit ou la date à laquelle la protection expire)</w:t>
      </w:r>
    </w:p>
    <w:p w:rsidR="002908E0" w:rsidRPr="002908E0" w:rsidRDefault="002908E0" w:rsidP="002908E0">
      <w:pPr>
        <w:rPr>
          <w:lang w:val="fr-FR"/>
        </w:rPr>
      </w:pPr>
    </w:p>
    <w:p w:rsidR="002908E0" w:rsidRPr="00A10AFA" w:rsidRDefault="002908E0" w:rsidP="003056C2">
      <w:pPr>
        <w:pStyle w:val="Heading5"/>
        <w:rPr>
          <w:lang w:val="fr-FR"/>
        </w:rPr>
      </w:pPr>
      <w:bookmarkStart w:id="37" w:name="_Toc396212457"/>
      <w:r w:rsidRPr="00A10AFA">
        <w:rPr>
          <w:lang w:val="fr-FR"/>
        </w:rPr>
        <w:t>Nullité des droits d’obtenteur</w:t>
      </w:r>
      <w:bookmarkEnd w:id="37"/>
    </w:p>
    <w:p w:rsidR="002908E0" w:rsidRPr="002908E0" w:rsidRDefault="002908E0" w:rsidP="002908E0">
      <w:pPr>
        <w:rPr>
          <w:lang w:val="fr-FR"/>
        </w:rPr>
      </w:pPr>
    </w:p>
    <w:p w:rsidR="002908E0" w:rsidRPr="002908E0" w:rsidRDefault="002908E0" w:rsidP="002908E0">
      <w:pPr>
        <w:rPr>
          <w:lang w:val="fr-FR"/>
        </w:rPr>
      </w:pPr>
      <w:r w:rsidRPr="002908E0">
        <w:rPr>
          <w:lang w:val="fr-FR"/>
        </w:rPr>
        <w:t>Les dispositions relatives à la nullité du droit d’obtenteur énoncées à l’article 21 de l’Acte de 1991 de la Convention UPOV et à l’article 10.1) et 4) de l’Acte de 1978 de la Convention UPOV sont les suivantes :</w:t>
      </w:r>
    </w:p>
    <w:p w:rsidR="002908E0" w:rsidRPr="002908E0" w:rsidRDefault="002908E0" w:rsidP="002908E0">
      <w:pPr>
        <w:rPr>
          <w:lang w:val="fr-FR"/>
        </w:rPr>
      </w:pPr>
    </w:p>
    <w:p w:rsidR="002908E0" w:rsidRPr="002908E0" w:rsidRDefault="002908E0" w:rsidP="002908E0">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r w:rsidRPr="002908E0">
        <w:rPr>
          <w:b/>
          <w:sz w:val="18"/>
          <w:szCs w:val="18"/>
          <w:lang w:val="fr-FR"/>
        </w:rPr>
        <w:t xml:space="preserve">Acte de 1991 </w:t>
      </w:r>
      <w:r w:rsidRPr="002908E0">
        <w:rPr>
          <w:sz w:val="18"/>
          <w:szCs w:val="18"/>
          <w:lang w:val="fr-FR"/>
        </w:rPr>
        <w:t>de la Convention UPOV</w:t>
      </w:r>
    </w:p>
    <w:p w:rsidR="002908E0" w:rsidRPr="002908E0" w:rsidRDefault="002908E0" w:rsidP="002908E0">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2908E0" w:rsidRPr="002908E0" w:rsidRDefault="002908E0" w:rsidP="002908E0">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r w:rsidRPr="002908E0">
        <w:rPr>
          <w:b/>
          <w:sz w:val="18"/>
          <w:szCs w:val="18"/>
          <w:lang w:val="fr-FR"/>
        </w:rPr>
        <w:t>Article 21</w:t>
      </w:r>
    </w:p>
    <w:p w:rsidR="002908E0" w:rsidRPr="002908E0" w:rsidRDefault="002908E0" w:rsidP="002908E0">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2908E0" w:rsidRPr="002908E0" w:rsidRDefault="002908E0" w:rsidP="002908E0">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r w:rsidRPr="002908E0">
        <w:rPr>
          <w:b/>
          <w:sz w:val="18"/>
          <w:szCs w:val="18"/>
          <w:lang w:val="fr-FR"/>
        </w:rPr>
        <w:t>Nullité du droit d’obtenteur</w:t>
      </w:r>
    </w:p>
    <w:p w:rsidR="002908E0" w:rsidRPr="002908E0" w:rsidRDefault="002908E0" w:rsidP="002908E0">
      <w:pPr>
        <w:keepNext/>
        <w:keepLines/>
        <w:pBdr>
          <w:top w:val="single" w:sz="4" w:space="1" w:color="auto"/>
          <w:left w:val="single" w:sz="4" w:space="4" w:color="auto"/>
          <w:bottom w:val="single" w:sz="4" w:space="1" w:color="auto"/>
          <w:right w:val="single" w:sz="4" w:space="4" w:color="auto"/>
        </w:pBdr>
        <w:ind w:left="567" w:right="571"/>
        <w:jc w:val="center"/>
        <w:rPr>
          <w:sz w:val="18"/>
          <w:szCs w:val="18"/>
          <w:lang w:val="fr-FR"/>
        </w:rPr>
      </w:pPr>
    </w:p>
    <w:p w:rsidR="002908E0" w:rsidRPr="002908E0" w:rsidRDefault="002908E0" w:rsidP="002908E0">
      <w:pPr>
        <w:pBdr>
          <w:top w:val="single" w:sz="4" w:space="1" w:color="auto"/>
          <w:left w:val="single" w:sz="4" w:space="4" w:color="auto"/>
          <w:bottom w:val="single" w:sz="4" w:space="1" w:color="auto"/>
          <w:right w:val="single" w:sz="4" w:space="4" w:color="auto"/>
        </w:pBdr>
        <w:ind w:left="567" w:right="571"/>
        <w:rPr>
          <w:sz w:val="18"/>
          <w:szCs w:val="18"/>
          <w:lang w:val="fr-FR"/>
        </w:rPr>
      </w:pPr>
      <w:r w:rsidRPr="002908E0">
        <w:rPr>
          <w:sz w:val="18"/>
          <w:szCs w:val="18"/>
          <w:lang w:val="fr-FR"/>
        </w:rPr>
        <w:tab/>
      </w:r>
      <w:r w:rsidRPr="002908E0">
        <w:rPr>
          <w:sz w:val="18"/>
          <w:szCs w:val="18"/>
          <w:lang w:val="fr-FR"/>
        </w:rPr>
        <w:tab/>
        <w:t>1)</w:t>
      </w:r>
      <w:r w:rsidRPr="002908E0">
        <w:rPr>
          <w:sz w:val="18"/>
          <w:szCs w:val="18"/>
          <w:lang w:val="fr-FR"/>
        </w:rPr>
        <w:tab/>
        <w:t>[</w:t>
      </w:r>
      <w:r w:rsidRPr="002908E0">
        <w:rPr>
          <w:i/>
          <w:sz w:val="18"/>
          <w:szCs w:val="18"/>
          <w:lang w:val="fr-FR"/>
        </w:rPr>
        <w:t>Motifs de nullité</w:t>
      </w:r>
      <w:r w:rsidRPr="002908E0">
        <w:rPr>
          <w:sz w:val="18"/>
          <w:szCs w:val="18"/>
          <w:lang w:val="fr-FR"/>
        </w:rPr>
        <w:t>] Chaque Partie contractante déclare nul un droit d’obtenteur qu’elle a octroyé s’il est avéré</w:t>
      </w:r>
    </w:p>
    <w:p w:rsidR="002908E0" w:rsidRPr="002908E0" w:rsidRDefault="002908E0" w:rsidP="002908E0">
      <w:pPr>
        <w:pBdr>
          <w:top w:val="single" w:sz="4" w:space="1" w:color="auto"/>
          <w:left w:val="single" w:sz="4" w:space="4" w:color="auto"/>
          <w:bottom w:val="single" w:sz="4" w:space="1" w:color="auto"/>
          <w:right w:val="single" w:sz="4" w:space="4" w:color="auto"/>
        </w:pBdr>
        <w:ind w:left="567" w:right="571"/>
        <w:rPr>
          <w:sz w:val="18"/>
          <w:szCs w:val="18"/>
          <w:lang w:val="fr-FR"/>
        </w:rPr>
      </w:pPr>
    </w:p>
    <w:p w:rsidR="002908E0" w:rsidRPr="002908E0" w:rsidRDefault="002908E0" w:rsidP="002908E0">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val="fr-FR" w:eastAsia="nl-NL"/>
        </w:rPr>
      </w:pPr>
      <w:r w:rsidRPr="002908E0">
        <w:rPr>
          <w:sz w:val="18"/>
          <w:szCs w:val="18"/>
          <w:lang w:val="fr-FR" w:eastAsia="nl-NL"/>
        </w:rPr>
        <w:tab/>
        <w:t>i)</w:t>
      </w:r>
      <w:r w:rsidRPr="002908E0">
        <w:rPr>
          <w:sz w:val="18"/>
          <w:szCs w:val="18"/>
          <w:lang w:val="fr-FR" w:eastAsia="nl-NL"/>
        </w:rPr>
        <w:tab/>
        <w:t>que les conditions fixées aux articles 6 et 7 n’étaient pas effectivement remplies lors de l’octroi du droit d’obtenteur,</w:t>
      </w:r>
    </w:p>
    <w:p w:rsidR="002908E0" w:rsidRPr="002908E0" w:rsidRDefault="002908E0" w:rsidP="002908E0">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val="fr-FR" w:eastAsia="nl-NL"/>
        </w:rPr>
      </w:pPr>
    </w:p>
    <w:p w:rsidR="002908E0" w:rsidRPr="002908E0" w:rsidRDefault="002908E0" w:rsidP="002908E0">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val="fr-FR" w:eastAsia="nl-NL"/>
        </w:rPr>
      </w:pPr>
      <w:r w:rsidRPr="002908E0">
        <w:rPr>
          <w:sz w:val="18"/>
          <w:szCs w:val="18"/>
          <w:lang w:val="fr-FR" w:eastAsia="nl-NL"/>
        </w:rPr>
        <w:tab/>
        <w:t>ii)</w:t>
      </w:r>
      <w:r w:rsidRPr="002908E0">
        <w:rPr>
          <w:sz w:val="18"/>
          <w:szCs w:val="18"/>
          <w:lang w:val="fr-FR" w:eastAsia="nl-NL"/>
        </w:rPr>
        <w:tab/>
        <w:t>que, lorsque l’octroi du droit d’obtenteur a été essentiellement fondé sur les renseignements et documents fournis par l’obtenteur, les conditions fixées aux articles 8 et 9 n’étaient pas effectivement remplies lors de l’octroi du droit d’obtenteur, [</w:t>
      </w:r>
      <w:r w:rsidRPr="002908E0">
        <w:rPr>
          <w:rStyle w:val="FootnoteReference"/>
          <w:sz w:val="18"/>
          <w:szCs w:val="18"/>
          <w:lang w:val="fr-FR" w:eastAsia="nl-NL"/>
        </w:rPr>
        <w:footnoteReference w:id="2"/>
      </w:r>
      <w:r w:rsidRPr="002908E0">
        <w:rPr>
          <w:sz w:val="18"/>
          <w:szCs w:val="18"/>
          <w:lang w:val="fr-FR" w:eastAsia="nl-NL"/>
        </w:rPr>
        <w:t>] ou</w:t>
      </w:r>
    </w:p>
    <w:p w:rsidR="002908E0" w:rsidRPr="002908E0" w:rsidRDefault="002908E0" w:rsidP="002908E0">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val="fr-FR" w:eastAsia="nl-NL"/>
        </w:rPr>
      </w:pPr>
    </w:p>
    <w:p w:rsidR="002908E0" w:rsidRPr="002908E0" w:rsidRDefault="002908E0" w:rsidP="002908E0">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val="fr-FR" w:eastAsia="nl-NL"/>
        </w:rPr>
      </w:pPr>
      <w:r w:rsidRPr="002908E0">
        <w:rPr>
          <w:sz w:val="18"/>
          <w:szCs w:val="18"/>
          <w:lang w:val="fr-FR" w:eastAsia="nl-NL"/>
        </w:rPr>
        <w:tab/>
        <w:t>iii)</w:t>
      </w:r>
      <w:r w:rsidRPr="002908E0">
        <w:rPr>
          <w:sz w:val="18"/>
          <w:szCs w:val="18"/>
          <w:lang w:val="fr-FR" w:eastAsia="nl-NL"/>
        </w:rPr>
        <w:tab/>
        <w:t>que le droit d’obtenteur a été octroyé à une personne qui n’y avait pas droit, à moins qu’il ne soit transféré à la personne qui y a droit</w:t>
      </w:r>
      <w:proofErr w:type="gramStart"/>
      <w:r w:rsidRPr="002908E0">
        <w:rPr>
          <w:sz w:val="18"/>
          <w:szCs w:val="18"/>
          <w:lang w:val="fr-FR" w:eastAsia="nl-NL"/>
        </w:rPr>
        <w:t>.[</w:t>
      </w:r>
      <w:proofErr w:type="gramEnd"/>
      <w:r w:rsidRPr="002908E0">
        <w:rPr>
          <w:rStyle w:val="FootnoteReference"/>
          <w:sz w:val="18"/>
          <w:szCs w:val="18"/>
          <w:lang w:val="fr-FR" w:eastAsia="nl-NL"/>
        </w:rPr>
        <w:footnoteReference w:id="3"/>
      </w:r>
      <w:r w:rsidRPr="002908E0">
        <w:rPr>
          <w:sz w:val="18"/>
          <w:szCs w:val="18"/>
          <w:lang w:val="fr-FR" w:eastAsia="nl-NL"/>
        </w:rPr>
        <w:t>]</w:t>
      </w:r>
    </w:p>
    <w:p w:rsidR="002908E0" w:rsidRPr="002908E0" w:rsidRDefault="002908E0" w:rsidP="002908E0">
      <w:pPr>
        <w:pBdr>
          <w:top w:val="single" w:sz="4" w:space="1" w:color="auto"/>
          <w:left w:val="single" w:sz="4" w:space="4" w:color="auto"/>
          <w:bottom w:val="single" w:sz="4" w:space="1" w:color="auto"/>
          <w:right w:val="single" w:sz="4" w:space="4" w:color="auto"/>
        </w:pBdr>
        <w:ind w:left="567" w:right="571"/>
        <w:rPr>
          <w:sz w:val="18"/>
          <w:szCs w:val="18"/>
          <w:lang w:val="fr-FR"/>
        </w:rPr>
      </w:pPr>
    </w:p>
    <w:p w:rsidR="002908E0" w:rsidRPr="002908E0" w:rsidRDefault="002908E0" w:rsidP="002908E0">
      <w:pPr>
        <w:pBdr>
          <w:top w:val="single" w:sz="4" w:space="1" w:color="auto"/>
          <w:left w:val="single" w:sz="4" w:space="4" w:color="auto"/>
          <w:bottom w:val="single" w:sz="4" w:space="1" w:color="auto"/>
          <w:right w:val="single" w:sz="4" w:space="4" w:color="auto"/>
        </w:pBdr>
        <w:ind w:left="567" w:right="571"/>
        <w:rPr>
          <w:sz w:val="18"/>
          <w:szCs w:val="18"/>
          <w:lang w:val="fr-FR"/>
        </w:rPr>
      </w:pPr>
      <w:r w:rsidRPr="002908E0">
        <w:rPr>
          <w:sz w:val="18"/>
          <w:szCs w:val="18"/>
          <w:lang w:val="fr-FR"/>
        </w:rPr>
        <w:tab/>
      </w:r>
      <w:r w:rsidRPr="002908E0">
        <w:rPr>
          <w:sz w:val="18"/>
          <w:szCs w:val="18"/>
          <w:lang w:val="fr-FR"/>
        </w:rPr>
        <w:tab/>
        <w:t>2)</w:t>
      </w:r>
      <w:r w:rsidRPr="002908E0">
        <w:rPr>
          <w:sz w:val="18"/>
          <w:szCs w:val="18"/>
          <w:lang w:val="fr-FR"/>
        </w:rPr>
        <w:tab/>
        <w:t>[</w:t>
      </w:r>
      <w:r w:rsidRPr="002908E0">
        <w:rPr>
          <w:i/>
          <w:sz w:val="18"/>
          <w:szCs w:val="18"/>
          <w:lang w:val="fr-FR"/>
        </w:rPr>
        <w:t>Exclusion de tout autre motif</w:t>
      </w:r>
      <w:r w:rsidRPr="002908E0">
        <w:rPr>
          <w:sz w:val="18"/>
          <w:szCs w:val="18"/>
          <w:lang w:val="fr-FR"/>
        </w:rPr>
        <w:t>] Aucun droit d’obtenteur ne peut être annulé pour d’autres motifs que ceux mentionnés au paragraphe 1).</w:t>
      </w:r>
    </w:p>
    <w:p w:rsidR="002908E0" w:rsidRPr="002908E0" w:rsidRDefault="002908E0" w:rsidP="002908E0">
      <w:pPr>
        <w:pBdr>
          <w:top w:val="single" w:sz="4" w:space="1" w:color="auto"/>
          <w:left w:val="single" w:sz="4" w:space="4" w:color="auto"/>
          <w:bottom w:val="single" w:sz="4" w:space="1" w:color="auto"/>
          <w:right w:val="single" w:sz="4" w:space="4" w:color="auto"/>
        </w:pBdr>
        <w:ind w:left="567" w:right="571"/>
        <w:rPr>
          <w:lang w:val="fr-FR"/>
        </w:rPr>
      </w:pPr>
    </w:p>
    <w:p w:rsidR="002908E0" w:rsidRPr="002908E0" w:rsidRDefault="002908E0" w:rsidP="002908E0">
      <w:pPr>
        <w:ind w:left="567" w:right="571"/>
        <w:rPr>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overflowPunct w:val="0"/>
        <w:autoSpaceDE w:val="0"/>
        <w:autoSpaceDN w:val="0"/>
        <w:adjustRightInd w:val="0"/>
        <w:ind w:left="567" w:right="566"/>
        <w:jc w:val="center"/>
        <w:textAlignment w:val="baseline"/>
        <w:rPr>
          <w:bCs/>
          <w:sz w:val="18"/>
          <w:szCs w:val="18"/>
          <w:lang w:val="fr-FR"/>
        </w:rPr>
      </w:pPr>
      <w:r w:rsidRPr="002908E0">
        <w:rPr>
          <w:bCs/>
          <w:sz w:val="18"/>
          <w:szCs w:val="18"/>
          <w:lang w:val="fr-FR"/>
        </w:rPr>
        <w:t xml:space="preserve">Article 10 de </w:t>
      </w:r>
      <w:r w:rsidRPr="002908E0">
        <w:rPr>
          <w:b/>
          <w:bCs/>
          <w:sz w:val="18"/>
          <w:szCs w:val="18"/>
          <w:lang w:val="fr-FR"/>
        </w:rPr>
        <w:t xml:space="preserve">l’Acte de 1978 </w:t>
      </w:r>
      <w:r w:rsidRPr="002908E0">
        <w:rPr>
          <w:bCs/>
          <w:sz w:val="18"/>
          <w:szCs w:val="18"/>
          <w:lang w:val="fr-FR"/>
        </w:rPr>
        <w:t>de la Convention UPOV</w:t>
      </w:r>
    </w:p>
    <w:p w:rsidR="002908E0" w:rsidRPr="002908E0" w:rsidRDefault="002908E0" w:rsidP="002908E0">
      <w:pPr>
        <w:pBdr>
          <w:top w:val="single" w:sz="4" w:space="1" w:color="auto"/>
          <w:left w:val="single" w:sz="4" w:space="1" w:color="auto"/>
          <w:bottom w:val="single" w:sz="4" w:space="1" w:color="auto"/>
          <w:right w:val="single" w:sz="4" w:space="1" w:color="auto"/>
        </w:pBdr>
        <w:overflowPunct w:val="0"/>
        <w:autoSpaceDE w:val="0"/>
        <w:autoSpaceDN w:val="0"/>
        <w:adjustRightInd w:val="0"/>
        <w:ind w:left="567" w:right="566"/>
        <w:jc w:val="center"/>
        <w:textAlignment w:val="baseline"/>
        <w:rPr>
          <w:b/>
          <w:sz w:val="18"/>
          <w:szCs w:val="18"/>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overflowPunct w:val="0"/>
        <w:autoSpaceDE w:val="0"/>
        <w:autoSpaceDN w:val="0"/>
        <w:adjustRightInd w:val="0"/>
        <w:ind w:left="567" w:right="566"/>
        <w:jc w:val="center"/>
        <w:textAlignment w:val="baseline"/>
        <w:rPr>
          <w:b/>
          <w:sz w:val="18"/>
          <w:szCs w:val="18"/>
          <w:lang w:val="fr-FR"/>
        </w:rPr>
      </w:pPr>
      <w:r w:rsidRPr="002908E0">
        <w:rPr>
          <w:b/>
          <w:sz w:val="18"/>
          <w:szCs w:val="18"/>
          <w:lang w:val="fr-FR"/>
        </w:rPr>
        <w:t>Article 10</w:t>
      </w:r>
    </w:p>
    <w:p w:rsidR="002908E0" w:rsidRPr="002908E0" w:rsidRDefault="002908E0" w:rsidP="002908E0">
      <w:pPr>
        <w:pBdr>
          <w:top w:val="single" w:sz="4" w:space="1" w:color="auto"/>
          <w:left w:val="single" w:sz="4" w:space="1" w:color="auto"/>
          <w:bottom w:val="single" w:sz="4" w:space="1" w:color="auto"/>
          <w:right w:val="single" w:sz="4" w:space="1" w:color="auto"/>
        </w:pBdr>
        <w:ind w:left="567" w:right="566"/>
        <w:rPr>
          <w:sz w:val="18"/>
          <w:szCs w:val="18"/>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overflowPunct w:val="0"/>
        <w:autoSpaceDE w:val="0"/>
        <w:autoSpaceDN w:val="0"/>
        <w:adjustRightInd w:val="0"/>
        <w:ind w:left="567" w:right="566"/>
        <w:jc w:val="center"/>
        <w:textAlignment w:val="baseline"/>
        <w:rPr>
          <w:b/>
          <w:sz w:val="18"/>
          <w:szCs w:val="18"/>
          <w:lang w:val="fr-FR"/>
        </w:rPr>
      </w:pPr>
      <w:r w:rsidRPr="002908E0">
        <w:rPr>
          <w:b/>
          <w:sz w:val="18"/>
          <w:szCs w:val="18"/>
          <w:lang w:val="fr-FR"/>
        </w:rPr>
        <w:t>Nullité [et déchéance] des droits protégés</w:t>
      </w:r>
    </w:p>
    <w:p w:rsidR="002908E0" w:rsidRPr="002908E0" w:rsidRDefault="002908E0" w:rsidP="002908E0">
      <w:pPr>
        <w:pBdr>
          <w:top w:val="single" w:sz="4" w:space="1" w:color="auto"/>
          <w:left w:val="single" w:sz="4" w:space="1" w:color="auto"/>
          <w:bottom w:val="single" w:sz="4" w:space="1" w:color="auto"/>
          <w:right w:val="single" w:sz="4" w:space="1" w:color="auto"/>
        </w:pBdr>
        <w:ind w:left="567" w:right="566"/>
        <w:rPr>
          <w:sz w:val="18"/>
          <w:szCs w:val="18"/>
          <w:lang w:val="fr-FR"/>
        </w:rPr>
      </w:pPr>
    </w:p>
    <w:p w:rsidR="002908E0" w:rsidRPr="002908E0" w:rsidRDefault="002908E0" w:rsidP="002908E0">
      <w:pPr>
        <w:pBdr>
          <w:top w:val="single" w:sz="4" w:space="1" w:color="auto"/>
          <w:left w:val="single" w:sz="4" w:space="1" w:color="auto"/>
          <w:bottom w:val="single" w:sz="4" w:space="1" w:color="auto"/>
          <w:right w:val="single" w:sz="4" w:space="1" w:color="auto"/>
        </w:pBdr>
        <w:spacing w:after="120"/>
        <w:ind w:left="567" w:right="566"/>
        <w:rPr>
          <w:sz w:val="18"/>
          <w:szCs w:val="18"/>
          <w:lang w:val="fr-FR"/>
        </w:rPr>
      </w:pPr>
      <w:r w:rsidRPr="002908E0">
        <w:rPr>
          <w:sz w:val="18"/>
          <w:szCs w:val="18"/>
          <w:lang w:val="fr-FR"/>
        </w:rPr>
        <w:tab/>
      </w:r>
      <w:r w:rsidRPr="002908E0">
        <w:rPr>
          <w:sz w:val="18"/>
          <w:szCs w:val="18"/>
          <w:lang w:val="fr-FR"/>
        </w:rPr>
        <w:tab/>
        <w:t>1)</w:t>
      </w:r>
      <w:r w:rsidRPr="002908E0">
        <w:rPr>
          <w:sz w:val="18"/>
          <w:szCs w:val="18"/>
          <w:lang w:val="fr-FR"/>
        </w:rPr>
        <w:tab/>
        <w:t>Le droit de l’obtenteur est déclaré nul, en conformité des dispositions de la législation nationale de chaque État de l’Union, s’il est avéré que les conditions fixées à l’article 6.1)a) et b) n’étaient pas effectivement remplies lors de la délivrance du titre de protection.</w:t>
      </w:r>
    </w:p>
    <w:p w:rsidR="002908E0" w:rsidRPr="002908E0" w:rsidRDefault="002908E0" w:rsidP="002908E0">
      <w:pPr>
        <w:pBdr>
          <w:top w:val="single" w:sz="4" w:space="1" w:color="auto"/>
          <w:left w:val="single" w:sz="4" w:space="1" w:color="auto"/>
          <w:bottom w:val="single" w:sz="4" w:space="1" w:color="auto"/>
          <w:right w:val="single" w:sz="4" w:space="1" w:color="auto"/>
        </w:pBdr>
        <w:spacing w:after="120"/>
        <w:ind w:left="567" w:right="566"/>
        <w:rPr>
          <w:strike/>
          <w:sz w:val="18"/>
          <w:szCs w:val="18"/>
          <w:vertAlign w:val="superscript"/>
          <w:lang w:val="fr-FR"/>
        </w:rPr>
      </w:pPr>
      <w:r w:rsidRPr="002908E0">
        <w:rPr>
          <w:sz w:val="18"/>
          <w:szCs w:val="18"/>
          <w:lang w:val="fr-FR"/>
        </w:rPr>
        <w:tab/>
      </w:r>
      <w:r w:rsidRPr="002908E0">
        <w:rPr>
          <w:sz w:val="18"/>
          <w:szCs w:val="18"/>
          <w:lang w:val="fr-FR"/>
        </w:rPr>
        <w:tab/>
        <w:t>[…]</w:t>
      </w:r>
      <w:r w:rsidRPr="002908E0">
        <w:rPr>
          <w:sz w:val="18"/>
          <w:szCs w:val="18"/>
          <w:vertAlign w:val="superscript"/>
          <w:lang w:val="fr-FR"/>
        </w:rPr>
        <w:t>[</w:t>
      </w:r>
      <w:r w:rsidRPr="002908E0">
        <w:rPr>
          <w:sz w:val="18"/>
          <w:szCs w:val="18"/>
          <w:vertAlign w:val="superscript"/>
          <w:lang w:val="fr-FR"/>
        </w:rPr>
        <w:footnoteReference w:id="4"/>
      </w:r>
      <w:r w:rsidRPr="002908E0">
        <w:rPr>
          <w:sz w:val="18"/>
          <w:szCs w:val="18"/>
          <w:vertAlign w:val="superscript"/>
          <w:lang w:val="fr-FR"/>
        </w:rPr>
        <w:t>]</w:t>
      </w:r>
    </w:p>
    <w:p w:rsidR="002908E0" w:rsidRPr="002908E0" w:rsidRDefault="002908E0" w:rsidP="002908E0">
      <w:pPr>
        <w:pBdr>
          <w:top w:val="single" w:sz="4" w:space="1" w:color="auto"/>
          <w:left w:val="single" w:sz="4" w:space="1" w:color="auto"/>
          <w:bottom w:val="single" w:sz="4" w:space="1" w:color="auto"/>
          <w:right w:val="single" w:sz="4" w:space="1" w:color="auto"/>
        </w:pBdr>
        <w:spacing w:after="120"/>
        <w:ind w:left="567" w:right="566"/>
        <w:rPr>
          <w:sz w:val="18"/>
          <w:szCs w:val="18"/>
          <w:lang w:val="fr-FR"/>
        </w:rPr>
      </w:pPr>
      <w:r w:rsidRPr="002908E0">
        <w:rPr>
          <w:sz w:val="18"/>
          <w:szCs w:val="18"/>
          <w:lang w:val="fr-FR"/>
        </w:rPr>
        <w:tab/>
      </w:r>
      <w:r w:rsidRPr="002908E0">
        <w:rPr>
          <w:sz w:val="18"/>
          <w:szCs w:val="18"/>
          <w:lang w:val="fr-FR"/>
        </w:rPr>
        <w:tab/>
        <w:t>4)</w:t>
      </w:r>
      <w:r w:rsidRPr="002908E0">
        <w:rPr>
          <w:sz w:val="18"/>
          <w:szCs w:val="18"/>
          <w:lang w:val="fr-FR"/>
        </w:rPr>
        <w:tab/>
        <w:t>Le droit de l’obtenteur ne peut être annulé [et l’obtenteur ne peut être déchu de son droit] pour d’autres motifs que ceux mentionnés au présent article.</w:t>
      </w:r>
    </w:p>
    <w:p w:rsidR="002908E0" w:rsidRPr="002908E0" w:rsidRDefault="002908E0" w:rsidP="002908E0">
      <w:pPr>
        <w:rPr>
          <w:lang w:val="fr-FR"/>
        </w:rPr>
      </w:pPr>
      <w:r w:rsidRPr="002908E0">
        <w:rPr>
          <w:lang w:val="fr-FR"/>
        </w:rPr>
        <w:lastRenderedPageBreak/>
        <w:t xml:space="preserve">Lorsque le droit d’obtenteur est déclaré nul, cela revient à affirmer qu’il s’agit d’un droit non valable qui, dès le début, n’aurait pas dû être octroyé (voir le document UPOV/EXN/NUL “Notes explicatives sur la nullité du droit d’obtenteur selon la Convention UPOV” disponible à l’adresse </w:t>
      </w:r>
      <w:hyperlink r:id="rId24" w:history="1">
        <w:r w:rsidRPr="002908E0">
          <w:rPr>
            <w:rStyle w:val="Hyperlink"/>
            <w:rFonts w:cs="Arial"/>
            <w:lang w:val="fr-FR"/>
          </w:rPr>
          <w:t>http://www.upov.int/explanatory_notes/en/</w:t>
        </w:r>
      </w:hyperlink>
      <w:r w:rsidRPr="002908E0">
        <w:rPr>
          <w:lang w:val="fr-FR"/>
        </w:rPr>
        <w:t>).</w:t>
      </w:r>
    </w:p>
    <w:p w:rsidR="002908E0" w:rsidRPr="002908E0" w:rsidRDefault="002908E0" w:rsidP="002908E0">
      <w:pPr>
        <w:rPr>
          <w:lang w:val="fr-FR"/>
        </w:rPr>
      </w:pPr>
    </w:p>
    <w:p w:rsidR="002908E0" w:rsidRPr="002908E0" w:rsidRDefault="002908E0" w:rsidP="002908E0">
      <w:pPr>
        <w:rPr>
          <w:lang w:val="fr-FR"/>
        </w:rPr>
      </w:pPr>
      <w:r w:rsidRPr="002908E0">
        <w:rPr>
          <w:lang w:val="fr-FR"/>
        </w:rPr>
        <w:t>Toute décision concernant la nullité d’un droit d’obtenteur doit être publiée.</w:t>
      </w:r>
    </w:p>
    <w:p w:rsidR="002908E0" w:rsidRPr="002908E0" w:rsidRDefault="002908E0" w:rsidP="002908E0">
      <w:pPr>
        <w:rPr>
          <w:lang w:val="fr-FR"/>
        </w:rPr>
      </w:pPr>
    </w:p>
    <w:p w:rsidR="002908E0" w:rsidRPr="00A10AFA" w:rsidRDefault="002908E0" w:rsidP="003F3F7A">
      <w:pPr>
        <w:pStyle w:val="Heading5"/>
        <w:rPr>
          <w:lang w:val="fr-FR"/>
        </w:rPr>
      </w:pPr>
      <w:bookmarkStart w:id="38" w:name="_Toc396212458"/>
      <w:r w:rsidRPr="00A10AFA">
        <w:rPr>
          <w:lang w:val="fr-FR"/>
        </w:rPr>
        <w:t>Déchéance de l’obtenteur</w:t>
      </w:r>
      <w:bookmarkEnd w:id="38"/>
    </w:p>
    <w:p w:rsidR="002908E0" w:rsidRPr="002908E0" w:rsidRDefault="002908E0" w:rsidP="002908E0">
      <w:pPr>
        <w:rPr>
          <w:lang w:val="fr-FR"/>
        </w:rPr>
      </w:pPr>
    </w:p>
    <w:p w:rsidR="002908E0" w:rsidRPr="002908E0" w:rsidRDefault="002908E0" w:rsidP="002908E0">
      <w:pPr>
        <w:rPr>
          <w:lang w:val="fr-FR"/>
        </w:rPr>
      </w:pPr>
      <w:r w:rsidRPr="002908E0">
        <w:rPr>
          <w:lang w:val="fr-FR"/>
        </w:rPr>
        <w:t>Les dispositions relatives à la déchéance de l’obtenteur énoncées à l’article 22 de l’Acte de 1991 de la Convention UPOV et à l’article 10.2) à 4) de l’Acte de 1978 de la Convention UPOV sont les suivantes :</w:t>
      </w:r>
    </w:p>
    <w:p w:rsidR="002908E0" w:rsidRPr="002908E0" w:rsidRDefault="002908E0" w:rsidP="002908E0">
      <w:pPr>
        <w:rPr>
          <w:lang w:val="fr-FR"/>
        </w:rPr>
      </w:pP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center"/>
        <w:rPr>
          <w:b/>
          <w:sz w:val="22"/>
          <w:szCs w:val="22"/>
          <w:lang w:val="fr-FR"/>
        </w:rPr>
      </w:pP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center"/>
        <w:rPr>
          <w:b/>
          <w:sz w:val="18"/>
          <w:lang w:val="fr-FR"/>
        </w:rPr>
      </w:pPr>
      <w:r w:rsidRPr="002908E0">
        <w:rPr>
          <w:b/>
          <w:sz w:val="18"/>
          <w:lang w:val="fr-FR"/>
        </w:rPr>
        <w:t>Acte de 1991</w:t>
      </w:r>
      <w:r w:rsidRPr="002908E0">
        <w:rPr>
          <w:sz w:val="18"/>
          <w:lang w:val="fr-FR"/>
        </w:rPr>
        <w:t xml:space="preserve"> de la Convention UPOV</w:t>
      </w: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center"/>
        <w:rPr>
          <w:b/>
          <w:sz w:val="18"/>
          <w:lang w:val="fr-FR"/>
        </w:rPr>
      </w:pP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center"/>
        <w:rPr>
          <w:b/>
          <w:sz w:val="18"/>
          <w:lang w:val="fr-FR"/>
        </w:rPr>
      </w:pPr>
      <w:r w:rsidRPr="002908E0">
        <w:rPr>
          <w:b/>
          <w:sz w:val="18"/>
          <w:lang w:val="fr-FR"/>
        </w:rPr>
        <w:t>Article 22</w:t>
      </w: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center"/>
        <w:rPr>
          <w:b/>
          <w:sz w:val="18"/>
          <w:lang w:val="fr-FR"/>
        </w:rPr>
      </w:pP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center"/>
        <w:rPr>
          <w:b/>
          <w:sz w:val="18"/>
          <w:lang w:val="fr-FR"/>
        </w:rPr>
      </w:pPr>
      <w:r w:rsidRPr="002908E0">
        <w:rPr>
          <w:b/>
          <w:sz w:val="18"/>
          <w:lang w:val="fr-FR"/>
        </w:rPr>
        <w:t>Déchéance de l’obtenteur</w:t>
      </w: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center"/>
        <w:rPr>
          <w:b/>
          <w:sz w:val="18"/>
          <w:lang w:val="fr-FR"/>
        </w:rPr>
      </w:pP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left"/>
        <w:rPr>
          <w:sz w:val="18"/>
          <w:lang w:val="fr-FR"/>
        </w:rPr>
      </w:pPr>
      <w:r w:rsidRPr="002908E0">
        <w:rPr>
          <w:sz w:val="18"/>
          <w:lang w:val="fr-FR"/>
        </w:rPr>
        <w:tab/>
      </w:r>
      <w:r w:rsidRPr="002908E0">
        <w:rPr>
          <w:sz w:val="18"/>
          <w:lang w:val="fr-FR"/>
        </w:rPr>
        <w:tab/>
        <w:t>1)</w:t>
      </w:r>
      <w:r w:rsidRPr="002908E0">
        <w:rPr>
          <w:sz w:val="18"/>
          <w:lang w:val="fr-FR"/>
        </w:rPr>
        <w:tab/>
        <w:t>[</w:t>
      </w:r>
      <w:r w:rsidRPr="002908E0">
        <w:rPr>
          <w:i/>
          <w:sz w:val="18"/>
          <w:lang w:val="fr-FR"/>
        </w:rPr>
        <w:t>Motifs de déchéance</w:t>
      </w:r>
      <w:r w:rsidRPr="002908E0">
        <w:rPr>
          <w:sz w:val="18"/>
          <w:lang w:val="fr-FR"/>
        </w:rPr>
        <w:t>]</w:t>
      </w:r>
      <w:r w:rsidRPr="002908E0">
        <w:rPr>
          <w:i/>
          <w:sz w:val="18"/>
          <w:lang w:val="fr-FR"/>
        </w:rPr>
        <w:t xml:space="preserve"> a) </w:t>
      </w:r>
      <w:r w:rsidRPr="002908E0">
        <w:rPr>
          <w:sz w:val="18"/>
          <w:lang w:val="fr-FR"/>
        </w:rPr>
        <w:t>Chaque Partie contractante peut déchoir l’obtenteur du droit qu’elle lui a octroyé s’il est avéré que les conditions fixées aux articles 8 et 9 ne sont plus effectivement remplies.</w:t>
      </w:r>
      <w:r w:rsidRPr="002908E0">
        <w:rPr>
          <w:sz w:val="18"/>
          <w:lang w:val="fr-FR"/>
        </w:rPr>
        <w:br/>
      </w:r>
      <w:r w:rsidRPr="002908E0">
        <w:rPr>
          <w:sz w:val="18"/>
          <w:lang w:val="fr-FR"/>
        </w:rPr>
        <w:br/>
        <w:t>b) En outre, chaque Partie contractante peut déchoir l’obtenteur du droit qu’elle lui a octroyé si, dans un délai prescrit et après mise en demeure,</w:t>
      </w: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left"/>
        <w:rPr>
          <w:sz w:val="18"/>
          <w:lang w:val="fr-FR"/>
        </w:rPr>
      </w:pPr>
    </w:p>
    <w:p w:rsidR="002908E0" w:rsidRPr="002908E0" w:rsidRDefault="002908E0" w:rsidP="002908E0">
      <w:pPr>
        <w:keepNext/>
        <w:keepLines/>
        <w:pBdr>
          <w:top w:val="single" w:sz="4" w:space="1" w:color="auto"/>
          <w:left w:val="single" w:sz="4" w:space="1" w:color="auto"/>
          <w:bottom w:val="single" w:sz="4" w:space="1" w:color="auto"/>
          <w:right w:val="single" w:sz="4" w:space="1" w:color="auto"/>
        </w:pBdr>
        <w:ind w:left="567" w:right="571"/>
        <w:jc w:val="left"/>
        <w:rPr>
          <w:szCs w:val="22"/>
          <w:lang w:val="fr-FR"/>
        </w:rPr>
      </w:pPr>
      <w:r w:rsidRPr="002908E0">
        <w:rPr>
          <w:sz w:val="18"/>
          <w:lang w:val="fr-FR"/>
        </w:rPr>
        <w:tab/>
      </w:r>
      <w:r w:rsidRPr="002908E0">
        <w:rPr>
          <w:sz w:val="18"/>
          <w:lang w:val="fr-FR"/>
        </w:rPr>
        <w:tab/>
        <w:t>i)</w:t>
      </w:r>
      <w:r w:rsidRPr="002908E0">
        <w:rPr>
          <w:sz w:val="18"/>
          <w:lang w:val="fr-FR"/>
        </w:rPr>
        <w:tab/>
        <w:t>l’obtenteur ne présente pas au service les renseignements, documents ou matériel jugés nécessaires au contrôle du maintien de la variété,</w:t>
      </w:r>
      <w:r w:rsidRPr="002908E0">
        <w:rPr>
          <w:sz w:val="18"/>
          <w:lang w:val="fr-FR"/>
        </w:rPr>
        <w:br/>
      </w:r>
      <w:r w:rsidRPr="002908E0">
        <w:rPr>
          <w:sz w:val="18"/>
          <w:lang w:val="fr-FR"/>
        </w:rPr>
        <w:br/>
      </w:r>
      <w:r w:rsidRPr="002908E0">
        <w:rPr>
          <w:sz w:val="18"/>
          <w:lang w:val="fr-FR"/>
        </w:rPr>
        <w:tab/>
      </w:r>
      <w:r w:rsidRPr="002908E0">
        <w:rPr>
          <w:sz w:val="18"/>
          <w:lang w:val="fr-FR"/>
        </w:rPr>
        <w:tab/>
        <w:t>ii)</w:t>
      </w:r>
      <w:r w:rsidRPr="002908E0">
        <w:rPr>
          <w:sz w:val="18"/>
          <w:lang w:val="fr-FR"/>
        </w:rPr>
        <w:tab/>
        <w:t>l’obtenteur n’a pas acquitté les taxes dues, le cas échéant, pour le maintien en vigueur de son droit, ou</w:t>
      </w:r>
      <w:r w:rsidRPr="002908E0">
        <w:rPr>
          <w:sz w:val="18"/>
          <w:lang w:val="fr-FR"/>
        </w:rPr>
        <w:br/>
      </w:r>
      <w:r w:rsidRPr="002908E0">
        <w:rPr>
          <w:sz w:val="18"/>
          <w:lang w:val="fr-FR"/>
        </w:rPr>
        <w:br/>
      </w:r>
      <w:r w:rsidRPr="002908E0">
        <w:rPr>
          <w:sz w:val="18"/>
          <w:lang w:val="fr-FR"/>
        </w:rPr>
        <w:tab/>
      </w:r>
      <w:r w:rsidRPr="002908E0">
        <w:rPr>
          <w:sz w:val="18"/>
          <w:lang w:val="fr-FR"/>
        </w:rPr>
        <w:tab/>
        <w:t>iii)</w:t>
      </w:r>
      <w:r w:rsidRPr="002908E0">
        <w:rPr>
          <w:sz w:val="18"/>
          <w:lang w:val="fr-FR"/>
        </w:rPr>
        <w:tab/>
        <w:t>l’obtenteur ne propose pas, en cas de radiation de la dénomination de la variété après l’octroi du droit, une autre dénomination qui convienne.</w:t>
      </w:r>
      <w:r w:rsidRPr="002908E0">
        <w:rPr>
          <w:sz w:val="18"/>
          <w:lang w:val="fr-FR"/>
        </w:rPr>
        <w:br/>
      </w:r>
      <w:r w:rsidRPr="002908E0">
        <w:rPr>
          <w:sz w:val="18"/>
          <w:lang w:val="fr-FR"/>
        </w:rPr>
        <w:br/>
      </w:r>
      <w:r w:rsidRPr="002908E0">
        <w:rPr>
          <w:sz w:val="18"/>
          <w:lang w:val="fr-FR"/>
        </w:rPr>
        <w:tab/>
      </w:r>
      <w:r w:rsidRPr="002908E0">
        <w:rPr>
          <w:sz w:val="18"/>
          <w:lang w:val="fr-FR"/>
        </w:rPr>
        <w:tab/>
        <w:t>2)</w:t>
      </w:r>
      <w:r w:rsidRPr="002908E0">
        <w:rPr>
          <w:sz w:val="18"/>
          <w:lang w:val="fr-FR"/>
        </w:rPr>
        <w:tab/>
        <w:t>[</w:t>
      </w:r>
      <w:r w:rsidRPr="002908E0">
        <w:rPr>
          <w:i/>
          <w:iCs/>
          <w:sz w:val="18"/>
          <w:lang w:val="fr-FR"/>
        </w:rPr>
        <w:t>Exclusion de tout autre motif</w:t>
      </w:r>
      <w:r w:rsidRPr="002908E0">
        <w:rPr>
          <w:sz w:val="18"/>
          <w:lang w:val="fr-FR"/>
        </w:rPr>
        <w:t>] Aucun obtenteur ne peut être déchu de son droit pour d’autres motifs que ceux mentionnés au paragraphe 1).</w:t>
      </w:r>
      <w:r w:rsidRPr="002908E0">
        <w:rPr>
          <w:sz w:val="18"/>
          <w:lang w:val="fr-FR"/>
        </w:rPr>
        <w:br/>
      </w:r>
    </w:p>
    <w:p w:rsidR="002908E0" w:rsidRPr="002908E0" w:rsidRDefault="002908E0" w:rsidP="002908E0">
      <w:pPr>
        <w:rPr>
          <w:lang w:val="fr-FR"/>
        </w:rPr>
      </w:pPr>
    </w:p>
    <w:p w:rsidR="002908E0" w:rsidRPr="002908E0" w:rsidRDefault="002908E0" w:rsidP="002908E0">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rFonts w:ascii="Times New Roman" w:hAnsi="Times New Roman"/>
          <w:b/>
          <w:sz w:val="22"/>
          <w:szCs w:val="22"/>
          <w:lang w:val="fr-FR"/>
        </w:rPr>
      </w:pPr>
    </w:p>
    <w:p w:rsidR="002908E0" w:rsidRPr="002908E0" w:rsidRDefault="002908E0" w:rsidP="002908E0">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bCs/>
          <w:sz w:val="18"/>
          <w:lang w:val="fr-FR"/>
        </w:rPr>
      </w:pPr>
      <w:r w:rsidRPr="002908E0">
        <w:rPr>
          <w:b/>
          <w:bCs/>
          <w:sz w:val="18"/>
          <w:lang w:val="fr-FR"/>
        </w:rPr>
        <w:t>Acte de 1978</w:t>
      </w:r>
      <w:r w:rsidRPr="002908E0">
        <w:rPr>
          <w:bCs/>
          <w:sz w:val="18"/>
          <w:lang w:val="fr-FR"/>
        </w:rPr>
        <w:t xml:space="preserve"> de la Convention UPOV</w:t>
      </w:r>
    </w:p>
    <w:p w:rsidR="002908E0" w:rsidRPr="002908E0" w:rsidRDefault="002908E0" w:rsidP="002908E0">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b/>
          <w:sz w:val="18"/>
          <w:lang w:val="fr-FR"/>
        </w:rPr>
      </w:pPr>
    </w:p>
    <w:p w:rsidR="002908E0" w:rsidRPr="002908E0" w:rsidRDefault="002908E0" w:rsidP="002908E0">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b/>
          <w:sz w:val="18"/>
          <w:lang w:val="fr-FR"/>
        </w:rPr>
      </w:pPr>
      <w:r w:rsidRPr="002908E0">
        <w:rPr>
          <w:b/>
          <w:sz w:val="18"/>
          <w:lang w:val="fr-FR"/>
        </w:rPr>
        <w:t>Article 10</w:t>
      </w:r>
    </w:p>
    <w:p w:rsidR="002908E0" w:rsidRPr="002908E0" w:rsidRDefault="002908E0" w:rsidP="002908E0">
      <w:pPr>
        <w:pBdr>
          <w:top w:val="single" w:sz="4" w:space="1" w:color="auto"/>
          <w:left w:val="single" w:sz="4" w:space="5" w:color="auto"/>
          <w:bottom w:val="single" w:sz="4" w:space="1" w:color="auto"/>
          <w:right w:val="single" w:sz="4" w:space="6" w:color="auto"/>
        </w:pBdr>
        <w:ind w:left="567" w:right="566"/>
        <w:rPr>
          <w:sz w:val="18"/>
          <w:lang w:val="fr-FR"/>
        </w:rPr>
      </w:pPr>
    </w:p>
    <w:p w:rsidR="002908E0" w:rsidRPr="002908E0" w:rsidRDefault="002908E0" w:rsidP="002908E0">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b/>
          <w:sz w:val="18"/>
          <w:lang w:val="fr-FR"/>
        </w:rPr>
      </w:pPr>
      <w:r w:rsidRPr="002908E0">
        <w:rPr>
          <w:b/>
          <w:sz w:val="18"/>
          <w:lang w:val="fr-FR"/>
        </w:rPr>
        <w:t>[Nullité et] déchéance des droits protégés</w:t>
      </w:r>
    </w:p>
    <w:p w:rsidR="002908E0" w:rsidRPr="002908E0" w:rsidRDefault="002908E0" w:rsidP="002908E0">
      <w:pPr>
        <w:pBdr>
          <w:top w:val="single" w:sz="4" w:space="1" w:color="auto"/>
          <w:left w:val="single" w:sz="4" w:space="5" w:color="auto"/>
          <w:bottom w:val="single" w:sz="4" w:space="1" w:color="auto"/>
          <w:right w:val="single" w:sz="4" w:space="6" w:color="auto"/>
        </w:pBdr>
        <w:ind w:left="567" w:right="566"/>
        <w:rPr>
          <w:sz w:val="18"/>
          <w:lang w:val="fr-FR"/>
        </w:rPr>
      </w:pPr>
      <w:r w:rsidRPr="002908E0">
        <w:rPr>
          <w:sz w:val="18"/>
          <w:lang w:val="fr-FR"/>
        </w:rPr>
        <w:t>[…]</w:t>
      </w:r>
      <w:r w:rsidRPr="002908E0">
        <w:rPr>
          <w:sz w:val="18"/>
          <w:vertAlign w:val="superscript"/>
          <w:lang w:val="fr-FR"/>
        </w:rPr>
        <w:t>[</w:t>
      </w:r>
      <w:r w:rsidRPr="002908E0">
        <w:rPr>
          <w:sz w:val="18"/>
          <w:vertAlign w:val="superscript"/>
          <w:lang w:val="fr-FR"/>
        </w:rPr>
        <w:footnoteReference w:id="5"/>
      </w:r>
      <w:r w:rsidRPr="002908E0">
        <w:rPr>
          <w:sz w:val="18"/>
          <w:vertAlign w:val="superscript"/>
          <w:lang w:val="fr-FR"/>
        </w:rPr>
        <w:t>]</w:t>
      </w:r>
    </w:p>
    <w:p w:rsidR="002908E0" w:rsidRPr="002908E0" w:rsidRDefault="002908E0" w:rsidP="002908E0">
      <w:pPr>
        <w:pBdr>
          <w:top w:val="single" w:sz="4" w:space="1" w:color="auto"/>
          <w:left w:val="single" w:sz="4" w:space="5" w:color="auto"/>
          <w:bottom w:val="single" w:sz="4" w:space="1" w:color="auto"/>
          <w:right w:val="single" w:sz="4" w:space="6" w:color="auto"/>
        </w:pBdr>
        <w:spacing w:after="120"/>
        <w:ind w:left="567" w:right="566"/>
        <w:rPr>
          <w:sz w:val="18"/>
          <w:lang w:val="fr-FR"/>
        </w:rPr>
      </w:pPr>
      <w:r w:rsidRPr="002908E0">
        <w:rPr>
          <w:sz w:val="18"/>
          <w:lang w:val="fr-FR"/>
        </w:rPr>
        <w:tab/>
      </w:r>
      <w:r w:rsidRPr="002908E0">
        <w:rPr>
          <w:sz w:val="18"/>
          <w:lang w:val="fr-FR"/>
        </w:rPr>
        <w:tab/>
        <w:t xml:space="preserve">2) </w:t>
      </w:r>
      <w:r w:rsidRPr="002908E0">
        <w:rPr>
          <w:sz w:val="18"/>
          <w:lang w:val="fr-FR"/>
        </w:rPr>
        <w:tab/>
        <w:t>Est déchu de son droit l’obtenteur qui n’est pas en mesure de présenter à l’autorité compétente le matériel de reproduction ou de multiplication permettant d’obtenir la variété avec ses caractères tels qu’ils ont été définis au moment où la protection a été accordée.</w:t>
      </w:r>
    </w:p>
    <w:p w:rsidR="002908E0" w:rsidRPr="002908E0" w:rsidRDefault="002908E0" w:rsidP="002908E0">
      <w:pPr>
        <w:pBdr>
          <w:top w:val="single" w:sz="4" w:space="1" w:color="auto"/>
          <w:left w:val="single" w:sz="4" w:space="5" w:color="auto"/>
          <w:bottom w:val="single" w:sz="4" w:space="1" w:color="auto"/>
          <w:right w:val="single" w:sz="4" w:space="6" w:color="auto"/>
        </w:pBdr>
        <w:spacing w:after="120"/>
        <w:ind w:left="567" w:right="566"/>
        <w:rPr>
          <w:sz w:val="18"/>
          <w:lang w:val="fr-FR"/>
        </w:rPr>
      </w:pPr>
      <w:r w:rsidRPr="002908E0">
        <w:rPr>
          <w:sz w:val="18"/>
          <w:lang w:val="fr-FR"/>
        </w:rPr>
        <w:tab/>
      </w:r>
      <w:r w:rsidRPr="002908E0">
        <w:rPr>
          <w:sz w:val="18"/>
          <w:lang w:val="fr-FR"/>
        </w:rPr>
        <w:tab/>
        <w:t>3)</w:t>
      </w:r>
      <w:r w:rsidRPr="002908E0">
        <w:rPr>
          <w:sz w:val="18"/>
          <w:lang w:val="fr-FR"/>
        </w:rPr>
        <w:tab/>
        <w:t>Peut être déchu de son droit l’obtenteur :</w:t>
      </w:r>
    </w:p>
    <w:p w:rsidR="002908E0" w:rsidRPr="002908E0" w:rsidRDefault="002908E0" w:rsidP="002908E0">
      <w:pPr>
        <w:pBdr>
          <w:top w:val="single" w:sz="4" w:space="1" w:color="auto"/>
          <w:left w:val="single" w:sz="4" w:space="5" w:color="auto"/>
          <w:bottom w:val="single" w:sz="4" w:space="1" w:color="auto"/>
          <w:right w:val="single" w:sz="4" w:space="6" w:color="auto"/>
        </w:pBdr>
        <w:spacing w:after="120"/>
        <w:ind w:left="567" w:right="566"/>
        <w:rPr>
          <w:sz w:val="18"/>
          <w:lang w:val="fr-FR"/>
        </w:rPr>
      </w:pPr>
      <w:r w:rsidRPr="002908E0">
        <w:rPr>
          <w:sz w:val="18"/>
          <w:lang w:val="fr-FR"/>
        </w:rPr>
        <w:tab/>
      </w:r>
      <w:r w:rsidRPr="002908E0">
        <w:rPr>
          <w:sz w:val="18"/>
          <w:lang w:val="fr-FR"/>
        </w:rPr>
        <w:tab/>
      </w:r>
      <w:r w:rsidRPr="002908E0">
        <w:rPr>
          <w:i/>
          <w:sz w:val="18"/>
          <w:lang w:val="fr-FR"/>
        </w:rPr>
        <w:t>a)</w:t>
      </w:r>
      <w:r w:rsidRPr="002908E0">
        <w:rPr>
          <w:sz w:val="18"/>
          <w:lang w:val="fr-FR"/>
        </w:rPr>
        <w:t xml:space="preserve"> </w:t>
      </w:r>
      <w:r w:rsidRPr="002908E0">
        <w:rPr>
          <w:sz w:val="18"/>
          <w:lang w:val="fr-FR"/>
        </w:rPr>
        <w:tab/>
        <w:t>qui ne présente pas à l’autorité compétente, dans un délai prescrit et après mise en demeure, le matériel de reproduction ou de multiplication, les documents et renseignements jugés nécessaires au contrôle de la variété, ou ne permet pas l’inspection des mesures prises en vue de la conservation de la variété;</w:t>
      </w:r>
    </w:p>
    <w:p w:rsidR="002908E0" w:rsidRPr="002908E0" w:rsidRDefault="002908E0" w:rsidP="002908E0">
      <w:pPr>
        <w:pBdr>
          <w:top w:val="single" w:sz="4" w:space="1" w:color="auto"/>
          <w:left w:val="single" w:sz="4" w:space="5" w:color="auto"/>
          <w:bottom w:val="single" w:sz="4" w:space="1" w:color="auto"/>
          <w:right w:val="single" w:sz="4" w:space="6" w:color="auto"/>
        </w:pBdr>
        <w:spacing w:after="120"/>
        <w:ind w:left="567" w:right="566"/>
        <w:rPr>
          <w:sz w:val="18"/>
          <w:lang w:val="fr-FR"/>
        </w:rPr>
      </w:pPr>
      <w:r w:rsidRPr="002908E0">
        <w:rPr>
          <w:sz w:val="18"/>
          <w:lang w:val="fr-FR"/>
        </w:rPr>
        <w:tab/>
      </w:r>
      <w:r w:rsidRPr="002908E0">
        <w:rPr>
          <w:sz w:val="18"/>
          <w:lang w:val="fr-FR"/>
        </w:rPr>
        <w:tab/>
      </w:r>
      <w:r w:rsidRPr="002908E0">
        <w:rPr>
          <w:i/>
          <w:sz w:val="18"/>
          <w:lang w:val="fr-FR"/>
        </w:rPr>
        <w:t>b)</w:t>
      </w:r>
      <w:r w:rsidRPr="002908E0">
        <w:rPr>
          <w:sz w:val="18"/>
          <w:lang w:val="fr-FR"/>
        </w:rPr>
        <w:tab/>
        <w:t>qui n’a pas acquitté dans les délais prescrits les taxes dues, le cas échéant, pour le maintien en vigueur de ses droits.</w:t>
      </w:r>
    </w:p>
    <w:p w:rsidR="002908E0" w:rsidRPr="002908E0" w:rsidRDefault="002908E0" w:rsidP="002908E0">
      <w:pPr>
        <w:pBdr>
          <w:top w:val="single" w:sz="4" w:space="1" w:color="auto"/>
          <w:left w:val="single" w:sz="4" w:space="5" w:color="auto"/>
          <w:bottom w:val="single" w:sz="4" w:space="1" w:color="auto"/>
          <w:right w:val="single" w:sz="4" w:space="6" w:color="auto"/>
        </w:pBdr>
        <w:spacing w:after="120"/>
        <w:ind w:left="567" w:right="566"/>
        <w:rPr>
          <w:sz w:val="18"/>
          <w:lang w:val="fr-FR"/>
        </w:rPr>
      </w:pPr>
      <w:r w:rsidRPr="002908E0">
        <w:rPr>
          <w:sz w:val="18"/>
          <w:lang w:val="fr-FR"/>
        </w:rPr>
        <w:tab/>
      </w:r>
      <w:r w:rsidRPr="002908E0">
        <w:rPr>
          <w:sz w:val="18"/>
          <w:lang w:val="fr-FR"/>
        </w:rPr>
        <w:tab/>
        <w:t>4)</w:t>
      </w:r>
      <w:r w:rsidRPr="002908E0">
        <w:rPr>
          <w:sz w:val="18"/>
          <w:lang w:val="fr-FR"/>
        </w:rPr>
        <w:tab/>
        <w:t>Le droit de l’obtenteur ne peut être annulé et l’obtenteur ne peut être déchu de son droit pour d’autres motifs que ceux mentionnés au présent article.</w:t>
      </w:r>
    </w:p>
    <w:p w:rsidR="002908E0" w:rsidRPr="002908E0" w:rsidRDefault="002908E0" w:rsidP="002908E0">
      <w:pPr>
        <w:rPr>
          <w:szCs w:val="24"/>
          <w:lang w:val="fr-FR"/>
        </w:rPr>
      </w:pPr>
      <w:r w:rsidRPr="002908E0">
        <w:rPr>
          <w:lang w:val="fr-FR"/>
        </w:rPr>
        <w:lastRenderedPageBreak/>
        <w:t xml:space="preserve">La déchéance de l’obtenteur signifie que, à partir d’une date donnée, le droit d’obtenteur n’est plus valable et qu’il n’est plus nécessaire d’obtenir l’autorisation de l’obtenteur de la variété pour les actes relevant du droit d’obtenteur.  Lorsque l’obtenteur est déchu de son droit, le droit est valable jusqu’à sa date de déchéance, ce qui signifie plus précisément que le droit était valable au moment où il a été octroyé (voir le document UPOV/EXN/CAN “Notes explicatives sur la déchéance du droit d’obtenteur selon la Convention UPOV” disponible à l’adresse </w:t>
      </w:r>
      <w:hyperlink r:id="rId25" w:history="1">
        <w:r w:rsidRPr="002908E0">
          <w:rPr>
            <w:rStyle w:val="Hyperlink"/>
            <w:rFonts w:cs="Arial"/>
            <w:lang w:val="fr-FR"/>
          </w:rPr>
          <w:t>http://www.upov.int/explanatory_notes/en/</w:t>
        </w:r>
      </w:hyperlink>
      <w:r w:rsidRPr="002908E0">
        <w:rPr>
          <w:lang w:val="fr-FR"/>
        </w:rPr>
        <w:t>).</w:t>
      </w:r>
    </w:p>
    <w:p w:rsidR="002908E0" w:rsidRPr="002908E0" w:rsidRDefault="002908E0" w:rsidP="002908E0">
      <w:pPr>
        <w:rPr>
          <w:szCs w:val="24"/>
          <w:lang w:val="fr-FR"/>
        </w:rPr>
      </w:pPr>
    </w:p>
    <w:p w:rsidR="002908E0" w:rsidRPr="002908E0" w:rsidRDefault="002908E0" w:rsidP="002908E0">
      <w:pPr>
        <w:rPr>
          <w:lang w:val="fr-FR"/>
        </w:rPr>
      </w:pPr>
      <w:r w:rsidRPr="002908E0">
        <w:rPr>
          <w:lang w:val="fr-FR"/>
        </w:rPr>
        <w:t>Toute décision concernant la déchéance de l’obtenteur doit être publiée.</w:t>
      </w:r>
    </w:p>
    <w:p w:rsidR="002908E0" w:rsidRPr="002908E0" w:rsidRDefault="002908E0" w:rsidP="002908E0">
      <w:pPr>
        <w:rPr>
          <w:lang w:val="fr-FR"/>
        </w:rPr>
      </w:pPr>
    </w:p>
    <w:p w:rsidR="002908E0" w:rsidRPr="00A10AFA" w:rsidRDefault="002908E0" w:rsidP="003F3F7A">
      <w:pPr>
        <w:pStyle w:val="Heading5"/>
        <w:rPr>
          <w:lang w:val="fr-FR"/>
        </w:rPr>
      </w:pPr>
      <w:bookmarkStart w:id="39" w:name="_Toc396212459"/>
      <w:r w:rsidRPr="00A10AFA">
        <w:rPr>
          <w:lang w:val="fr-FR"/>
        </w:rPr>
        <w:t>Renonciation aux droits d’obtenteur</w:t>
      </w:r>
      <w:bookmarkEnd w:id="39"/>
    </w:p>
    <w:p w:rsidR="002908E0" w:rsidRPr="002908E0" w:rsidRDefault="002908E0" w:rsidP="002908E0">
      <w:pPr>
        <w:rPr>
          <w:lang w:val="fr-FR"/>
        </w:rPr>
      </w:pPr>
    </w:p>
    <w:p w:rsidR="002908E0" w:rsidRPr="002908E0" w:rsidRDefault="002908E0" w:rsidP="002908E0">
      <w:pPr>
        <w:rPr>
          <w:lang w:val="fr-FR"/>
        </w:rPr>
      </w:pPr>
      <w:r w:rsidRPr="002908E0">
        <w:rPr>
          <w:lang w:val="fr-FR"/>
        </w:rPr>
        <w:t>Avant l’expiration de la période de protection du droit d’obtenteur, le titulaire du droit peut décider de renoncer au droit d’obtenteur.</w:t>
      </w:r>
    </w:p>
    <w:p w:rsidR="002908E0" w:rsidRPr="002908E0" w:rsidRDefault="002908E0" w:rsidP="002908E0">
      <w:pPr>
        <w:rPr>
          <w:lang w:val="fr-FR"/>
        </w:rPr>
      </w:pPr>
    </w:p>
    <w:p w:rsidR="002908E0" w:rsidRPr="002908E0" w:rsidRDefault="002908E0" w:rsidP="002908E0">
      <w:pPr>
        <w:rPr>
          <w:lang w:val="fr-FR"/>
        </w:rPr>
      </w:pPr>
      <w:r w:rsidRPr="002908E0">
        <w:rPr>
          <w:lang w:val="fr-FR"/>
        </w:rPr>
        <w:t>Toute renonciation aux droits d’obtenteur doit être publiée.</w:t>
      </w:r>
    </w:p>
    <w:p w:rsidR="002908E0" w:rsidRPr="002908E0" w:rsidRDefault="002908E0" w:rsidP="002908E0">
      <w:pPr>
        <w:rPr>
          <w:lang w:val="fr-FR"/>
        </w:rPr>
      </w:pPr>
    </w:p>
    <w:p w:rsidR="002908E0" w:rsidRPr="00A10AFA" w:rsidRDefault="002908E0" w:rsidP="003F3F7A">
      <w:pPr>
        <w:pStyle w:val="Heading5"/>
        <w:rPr>
          <w:lang w:val="fr-FR"/>
        </w:rPr>
      </w:pPr>
      <w:bookmarkStart w:id="40" w:name="_Toc396212460"/>
      <w:r w:rsidRPr="00A10AFA">
        <w:rPr>
          <w:lang w:val="fr-FR"/>
        </w:rPr>
        <w:t>Expiration de la période de protection des droits d’obtenteur</w:t>
      </w:r>
      <w:bookmarkEnd w:id="40"/>
    </w:p>
    <w:p w:rsidR="002908E0" w:rsidRPr="002908E0" w:rsidRDefault="002908E0" w:rsidP="002908E0">
      <w:pPr>
        <w:rPr>
          <w:lang w:val="fr-FR"/>
        </w:rPr>
      </w:pPr>
    </w:p>
    <w:p w:rsidR="002908E0" w:rsidRPr="002908E0" w:rsidRDefault="002908E0" w:rsidP="002908E0">
      <w:pPr>
        <w:rPr>
          <w:lang w:val="fr-FR"/>
        </w:rPr>
      </w:pPr>
      <w:r w:rsidRPr="002908E0">
        <w:rPr>
          <w:lang w:val="fr-FR"/>
        </w:rPr>
        <w:t>Aux termes de la Convention UPOV, la période de protection (article 19 de l’Acte de 1991 et article 8 de l’Acte de 1978) est calculée à partir de la date d’octroi du droit d’obtenteur.  Les périodes de protection spécifiques sont prévues par la législation régissant les droits d’obtenteur.</w:t>
      </w:r>
    </w:p>
    <w:p w:rsidR="002908E0" w:rsidRPr="002908E0" w:rsidRDefault="002908E0" w:rsidP="002908E0">
      <w:pPr>
        <w:rPr>
          <w:lang w:val="fr-FR"/>
        </w:rPr>
      </w:pPr>
    </w:p>
    <w:p w:rsidR="002908E0" w:rsidRPr="002908E0" w:rsidRDefault="002908E0" w:rsidP="002908E0">
      <w:pPr>
        <w:rPr>
          <w:lang w:val="fr-FR"/>
        </w:rPr>
      </w:pPr>
      <w:r w:rsidRPr="002908E0">
        <w:rPr>
          <w:lang w:val="fr-FR"/>
        </w:rPr>
        <w:t>La date d’expiration de la période de protection des droits d’obtenteur peut être publiée.  La date d’expiration peut également être déterminée à partir de la date d’octroi du droit et de la période de protection prévue par la législation.</w:t>
      </w:r>
    </w:p>
    <w:p w:rsidR="002908E0" w:rsidRPr="002908E0" w:rsidRDefault="002908E0" w:rsidP="002908E0">
      <w:pPr>
        <w:rPr>
          <w:lang w:val="fr-FR"/>
        </w:rPr>
      </w:pPr>
    </w:p>
    <w:p w:rsidR="002908E0" w:rsidRPr="002908E0" w:rsidRDefault="002908E0" w:rsidP="002908E0">
      <w:pPr>
        <w:rPr>
          <w:lang w:val="fr-FR"/>
        </w:rPr>
      </w:pPr>
    </w:p>
    <w:p w:rsidR="002908E0" w:rsidRPr="002908E0" w:rsidRDefault="002908E0" w:rsidP="003F3F7A">
      <w:pPr>
        <w:pStyle w:val="Heading4"/>
        <w:rPr>
          <w:lang w:eastAsia="nl-NL"/>
        </w:rPr>
      </w:pPr>
      <w:bookmarkStart w:id="41" w:name="_Toc396212461"/>
      <w:r w:rsidRPr="002908E0">
        <w:rPr>
          <w:lang w:eastAsia="nl-NL"/>
        </w:rPr>
        <w:t>Modifications apportées aux dénominations variétales</w:t>
      </w:r>
      <w:bookmarkEnd w:id="41"/>
    </w:p>
    <w:p w:rsidR="002908E0" w:rsidRPr="002908E0" w:rsidRDefault="002908E0" w:rsidP="002908E0">
      <w:pPr>
        <w:rPr>
          <w:lang w:val="fr-FR" w:eastAsia="nl-NL"/>
        </w:rPr>
      </w:pPr>
    </w:p>
    <w:p w:rsidR="002908E0" w:rsidRPr="002908E0" w:rsidRDefault="002908E0" w:rsidP="002908E0">
      <w:pPr>
        <w:rPr>
          <w:lang w:val="fr-FR"/>
        </w:rPr>
      </w:pPr>
      <w:r w:rsidRPr="002908E0">
        <w:rPr>
          <w:lang w:val="fr-FR"/>
        </w:rPr>
        <w:t>L’article 20.7) de l’Acte de 1991 et l’article 13.7) de l’Acte de 1978 de la Convention UPOV sont les suivants :</w:t>
      </w:r>
    </w:p>
    <w:p w:rsidR="002908E0" w:rsidRPr="002908E0" w:rsidRDefault="002908E0" w:rsidP="002908E0">
      <w:pPr>
        <w:rPr>
          <w:lang w:val="fr-FR"/>
        </w:rPr>
      </w:pPr>
    </w:p>
    <w:p w:rsidR="002908E0" w:rsidRPr="002908E0" w:rsidRDefault="002908E0" w:rsidP="002908E0">
      <w:pPr>
        <w:ind w:left="540" w:right="729"/>
        <w:jc w:val="center"/>
        <w:rPr>
          <w:lang w:val="fr-FR"/>
        </w:rPr>
      </w:pPr>
      <w:r w:rsidRPr="002908E0">
        <w:rPr>
          <w:lang w:val="fr-FR"/>
        </w:rPr>
        <w:t>Paragraphe 7</w:t>
      </w:r>
    </w:p>
    <w:p w:rsidR="002908E0" w:rsidRPr="002908E0" w:rsidRDefault="002908E0" w:rsidP="002908E0">
      <w:pPr>
        <w:ind w:left="540" w:right="729"/>
        <w:rPr>
          <w:lang w:val="fr-FR"/>
        </w:rPr>
      </w:pPr>
    </w:p>
    <w:p w:rsidR="002908E0" w:rsidRPr="002908E0" w:rsidRDefault="002908E0" w:rsidP="002908E0">
      <w:pPr>
        <w:ind w:left="540" w:right="729"/>
        <w:rPr>
          <w:lang w:val="fr-FR"/>
        </w:rPr>
      </w:pPr>
      <w:r w:rsidRPr="002908E0">
        <w:rPr>
          <w:lang w:val="fr-FR"/>
        </w:rPr>
        <w:tab/>
        <w:t>[</w:t>
      </w:r>
      <w:r w:rsidRPr="002908E0">
        <w:rPr>
          <w:i/>
          <w:lang w:val="fr-FR"/>
        </w:rPr>
        <w:t>Obligation d’utiliser la dénomination</w:t>
      </w:r>
      <w:r w:rsidRPr="002908E0">
        <w:rPr>
          <w:lang w:val="fr-FR"/>
        </w:rPr>
        <w:t>] Celui qui, sur le territoire de l’une des Parties contractantes, procède à la mise en vente ou à la commercialisation du matériel de reproduction ou de multiplication végétative d’une variété protégée sur ledit territoire est tenu d’utiliser la dénomination de cette variété, même après l’expiration du droit d’obtenteur relatif à cette variété, pour autant que, conformément aux dispositions du paragraphe 4), des droits antérieurs ne s’opposent pas à cette utilisation.</w:t>
      </w:r>
    </w:p>
    <w:p w:rsidR="002908E0" w:rsidRPr="002908E0" w:rsidRDefault="002908E0" w:rsidP="002908E0">
      <w:pPr>
        <w:rPr>
          <w:lang w:val="fr-FR"/>
        </w:rPr>
      </w:pPr>
    </w:p>
    <w:p w:rsidR="002908E0" w:rsidRPr="002908E0" w:rsidRDefault="002908E0" w:rsidP="002908E0">
      <w:pPr>
        <w:rPr>
          <w:lang w:val="fr-FR"/>
        </w:rPr>
      </w:pPr>
      <w:r w:rsidRPr="002908E0">
        <w:rPr>
          <w:lang w:val="fr-FR"/>
        </w:rPr>
        <w:t>Si, après l’octroi d’un droit d’obtenteur, on constate l’existence d’un droit antérieur concernant la dénomination, qui aurait conduit au refus de cette dénomination, celle</w:t>
      </w:r>
      <w:r w:rsidRPr="002908E0">
        <w:rPr>
          <w:lang w:val="fr-FR"/>
        </w:rPr>
        <w:noBreakHyphen/>
        <w:t>ci sera radiée et l’obtenteur proposera une autre dénomination qui convienne à la variété.  L’article 22.1)</w:t>
      </w:r>
      <w:r w:rsidRPr="002908E0">
        <w:rPr>
          <w:i/>
          <w:lang w:val="fr-FR"/>
        </w:rPr>
        <w:t>b</w:t>
      </w:r>
      <w:proofErr w:type="gramStart"/>
      <w:r w:rsidRPr="002908E0">
        <w:rPr>
          <w:lang w:val="fr-FR"/>
        </w:rPr>
        <w:t>)iii</w:t>
      </w:r>
      <w:proofErr w:type="gramEnd"/>
      <w:r w:rsidRPr="002908E0">
        <w:rPr>
          <w:lang w:val="fr-FR"/>
        </w:rPr>
        <w:t>) de l’Acte de 1991 dispose que si l’obtenteur ne propose pas une autre dénomination qui convienne, le service peut radier le droit d’obtenteur.</w:t>
      </w:r>
    </w:p>
    <w:p w:rsidR="002908E0" w:rsidRPr="002908E0" w:rsidRDefault="002908E0" w:rsidP="002908E0">
      <w:pPr>
        <w:rPr>
          <w:lang w:val="fr-FR"/>
        </w:rPr>
      </w:pPr>
    </w:p>
    <w:p w:rsidR="002908E0" w:rsidRPr="002908E0" w:rsidRDefault="002908E0" w:rsidP="002908E0">
      <w:pPr>
        <w:rPr>
          <w:lang w:val="fr-FR"/>
        </w:rPr>
      </w:pPr>
      <w:r w:rsidRPr="002908E0">
        <w:rPr>
          <w:lang w:val="fr-FR"/>
        </w:rPr>
        <w:t>Toute dénomination radiée ou nouvelle dénomination approuvée doit être publiée.</w:t>
      </w:r>
    </w:p>
    <w:p w:rsidR="002908E0" w:rsidRPr="002908E0" w:rsidRDefault="002908E0" w:rsidP="002908E0">
      <w:pPr>
        <w:rPr>
          <w:lang w:val="fr-FR"/>
        </w:rPr>
      </w:pPr>
    </w:p>
    <w:p w:rsidR="002908E0" w:rsidRPr="002908E0" w:rsidRDefault="002908E0" w:rsidP="002908E0">
      <w:pPr>
        <w:rPr>
          <w:lang w:val="fr-FR"/>
        </w:rPr>
      </w:pPr>
      <w:r w:rsidRPr="002908E0">
        <w:rPr>
          <w:lang w:val="fr-FR"/>
        </w:rPr>
        <w:t>L’obligation d’utiliser la dénomination de la variété, même après l’expiration du droit d’obtenteur, signifie que le service devra éventuellement publier les modifications apportées aux dénominations après l’expiration des droits d’obtenteur.</w:t>
      </w:r>
    </w:p>
    <w:p w:rsidR="002908E0" w:rsidRPr="002908E0" w:rsidRDefault="002908E0" w:rsidP="002908E0">
      <w:pPr>
        <w:rPr>
          <w:lang w:val="fr-FR"/>
        </w:rPr>
      </w:pPr>
    </w:p>
    <w:p w:rsidR="002908E0" w:rsidRPr="002908E0" w:rsidRDefault="002908E0" w:rsidP="002908E0">
      <w:pPr>
        <w:rPr>
          <w:lang w:val="fr-FR"/>
        </w:rPr>
      </w:pPr>
    </w:p>
    <w:p w:rsidR="002908E0" w:rsidRPr="002908E0" w:rsidRDefault="002908E0" w:rsidP="003F3F7A">
      <w:pPr>
        <w:pStyle w:val="Heading4"/>
        <w:rPr>
          <w:lang w:eastAsia="nl-NL"/>
        </w:rPr>
      </w:pPr>
      <w:bookmarkStart w:id="42" w:name="_Toc396212462"/>
      <w:r w:rsidRPr="002908E0">
        <w:rPr>
          <w:lang w:eastAsia="nl-NL"/>
        </w:rPr>
        <w:t>Modifications apportées en ce qui concerne l’obtenteur d’une variété ou son représentant</w:t>
      </w:r>
      <w:bookmarkEnd w:id="42"/>
    </w:p>
    <w:p w:rsidR="002908E0" w:rsidRPr="002908E0" w:rsidRDefault="002908E0" w:rsidP="002908E0">
      <w:pPr>
        <w:rPr>
          <w:lang w:val="fr-FR"/>
        </w:rPr>
      </w:pPr>
    </w:p>
    <w:p w:rsidR="002908E0" w:rsidRPr="002908E0" w:rsidRDefault="002908E0" w:rsidP="002908E0">
      <w:pPr>
        <w:rPr>
          <w:lang w:val="fr-FR"/>
        </w:rPr>
      </w:pPr>
      <w:r w:rsidRPr="002908E0">
        <w:rPr>
          <w:lang w:val="fr-FR"/>
        </w:rPr>
        <w:t>Seul l’obtenteur au sens de l’article 1.iv) de l’Acte de 1991 de la Convention UPOV peut se voir octroyer un droit d’obtenteur.</w:t>
      </w:r>
    </w:p>
    <w:p w:rsidR="002908E0" w:rsidRPr="002908E0" w:rsidRDefault="002908E0" w:rsidP="002908E0">
      <w:pPr>
        <w:rPr>
          <w:lang w:val="fr-FR"/>
        </w:rPr>
      </w:pPr>
    </w:p>
    <w:p w:rsidR="002908E0" w:rsidRPr="002908E0" w:rsidRDefault="002908E0" w:rsidP="002908E0">
      <w:pPr>
        <w:rPr>
          <w:lang w:val="fr-FR"/>
        </w:rPr>
      </w:pPr>
      <w:r w:rsidRPr="002908E0">
        <w:rPr>
          <w:lang w:val="fr-FR"/>
        </w:rPr>
        <w:t>Les modifications apportées en ce qui concerne le titulaire du droit d’obtenteur et, le cas échéant, son représentant, doivent être publiées.</w:t>
      </w:r>
    </w:p>
    <w:p w:rsidR="002908E0" w:rsidRDefault="002908E0" w:rsidP="002908E0">
      <w:pPr>
        <w:rPr>
          <w:lang w:val="fr-FR"/>
        </w:rPr>
      </w:pPr>
    </w:p>
    <w:p w:rsidR="002908E0" w:rsidRDefault="002908E0" w:rsidP="002908E0">
      <w:pPr>
        <w:rPr>
          <w:lang w:val="fr-FR"/>
        </w:rPr>
      </w:pPr>
    </w:p>
    <w:p w:rsidR="002908E0" w:rsidRPr="002908E0" w:rsidRDefault="002908E0" w:rsidP="002908E0">
      <w:pPr>
        <w:rPr>
          <w:lang w:val="fr-FR"/>
        </w:rPr>
      </w:pPr>
    </w:p>
    <w:p w:rsidR="00FA0F51" w:rsidRPr="002908E0" w:rsidRDefault="002908E0" w:rsidP="00FA0F51">
      <w:pPr>
        <w:jc w:val="right"/>
        <w:rPr>
          <w:lang w:val="fr-FR"/>
        </w:rPr>
      </w:pPr>
      <w:r w:rsidRPr="002908E0">
        <w:rPr>
          <w:lang w:val="fr-FR"/>
        </w:rPr>
        <w:t>[Fin du module</w:t>
      </w:r>
      <w:r w:rsidR="00FA0F51" w:rsidRPr="002908E0">
        <w:rPr>
          <w:lang w:val="fr-FR"/>
        </w:rPr>
        <w:t>]</w:t>
      </w:r>
    </w:p>
    <w:sectPr w:rsidR="00FA0F51" w:rsidRPr="002908E0" w:rsidSect="0049455A">
      <w:headerReference w:type="default" r:id="rId26"/>
      <w:footerReference w:type="first" r:id="rId27"/>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18" w:rsidRDefault="00A36618">
      <w:r>
        <w:separator/>
      </w:r>
    </w:p>
    <w:p w:rsidR="00A36618" w:rsidRDefault="00A36618"/>
    <w:p w:rsidR="00A36618" w:rsidRDefault="00A36618"/>
  </w:endnote>
  <w:endnote w:type="continuationSeparator" w:id="0">
    <w:p w:rsidR="00A36618" w:rsidRDefault="00A36618">
      <w:r>
        <w:separator/>
      </w:r>
    </w:p>
    <w:p w:rsidR="00A36618" w:rsidRPr="00664515" w:rsidRDefault="00A36618">
      <w:pPr>
        <w:pStyle w:val="Footer"/>
        <w:spacing w:after="60"/>
        <w:rPr>
          <w:sz w:val="18"/>
          <w:lang w:val="fr-CH"/>
        </w:rPr>
      </w:pPr>
      <w:r w:rsidRPr="00664515">
        <w:rPr>
          <w:sz w:val="18"/>
          <w:lang w:val="fr-CH"/>
        </w:rPr>
        <w:t>[Suite de la note de la page précédente]</w:t>
      </w:r>
    </w:p>
    <w:p w:rsidR="00A36618" w:rsidRPr="00664515" w:rsidRDefault="00A36618">
      <w:pPr>
        <w:rPr>
          <w:lang w:val="fr-CH"/>
        </w:rPr>
      </w:pPr>
    </w:p>
    <w:p w:rsidR="00A36618" w:rsidRPr="00664515" w:rsidRDefault="00A36618">
      <w:pPr>
        <w:rPr>
          <w:lang w:val="fr-CH"/>
        </w:rPr>
      </w:pPr>
    </w:p>
  </w:endnote>
  <w:endnote w:type="continuationNotice" w:id="1">
    <w:p w:rsidR="00A36618" w:rsidRPr="00664515" w:rsidRDefault="00A36618">
      <w:pPr>
        <w:spacing w:before="60"/>
        <w:jc w:val="right"/>
        <w:rPr>
          <w:sz w:val="18"/>
          <w:lang w:val="fr-CH"/>
        </w:rPr>
      </w:pPr>
      <w:r w:rsidRPr="00664515">
        <w:rPr>
          <w:sz w:val="18"/>
          <w:lang w:val="fr-CH"/>
        </w:rPr>
        <w:t>[Suite de la note page suivante]</w:t>
      </w:r>
    </w:p>
    <w:p w:rsidR="00A36618" w:rsidRPr="00664515" w:rsidRDefault="00A36618">
      <w:pPr>
        <w:rPr>
          <w:lang w:val="fr-CH"/>
        </w:rPr>
      </w:pPr>
    </w:p>
    <w:p w:rsidR="00A36618" w:rsidRPr="00664515" w:rsidRDefault="00A3661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18" w:rsidRPr="0049455A" w:rsidRDefault="00A36618" w:rsidP="00A10AFA">
    <w:pPr>
      <w:pStyle w:val="Footer"/>
      <w:tabs>
        <w:tab w:val="right" w:pos="8504"/>
      </w:tabs>
      <w:rPr>
        <w:rFonts w:ascii="Times New Roman" w:hAnsi="Times New Roman"/>
        <w:b/>
        <w:sz w:val="24"/>
      </w:rPr>
    </w:pPr>
    <w:r>
      <w:rPr>
        <w:sz w:val="16"/>
      </w:rPr>
      <w:fldChar w:fldCharType="begin"/>
    </w:r>
    <w:r>
      <w:rPr>
        <w:sz w:val="16"/>
      </w:rPr>
      <w:instrText xml:space="preserve"> FILENAME \* Lower\p  \* MERGEFORMAT </w:instrText>
    </w:r>
    <w:r>
      <w:rPr>
        <w:sz w:val="16"/>
      </w:rPr>
      <w:fldChar w:fldCharType="separate"/>
    </w:r>
    <w:r w:rsidR="002142C8">
      <w:rPr>
        <w:noProof/>
        <w:sz w:val="16"/>
      </w:rPr>
      <w:t>n:\orgupov\shared\document\caj\caj70\caj_70_03_35628_fr_x.docx</w:t>
    </w:r>
    <w:r>
      <w:rPr>
        <w:sz w:val="16"/>
      </w:rP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18" w:rsidRPr="0049455A" w:rsidRDefault="00A36618" w:rsidP="00494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18" w:rsidRDefault="00A36618" w:rsidP="009D690D">
      <w:pPr>
        <w:spacing w:before="120"/>
      </w:pPr>
      <w:r>
        <w:separator/>
      </w:r>
    </w:p>
  </w:footnote>
  <w:footnote w:type="continuationSeparator" w:id="0">
    <w:p w:rsidR="00A36618" w:rsidRDefault="00A36618" w:rsidP="00520297">
      <w:pPr>
        <w:spacing w:before="120"/>
        <w:jc w:val="left"/>
      </w:pPr>
      <w:r>
        <w:separator/>
      </w:r>
    </w:p>
  </w:footnote>
  <w:footnote w:type="continuationNotice" w:id="1">
    <w:p w:rsidR="00A36618" w:rsidRDefault="00A36618"/>
  </w:footnote>
  <w:footnote w:id="2">
    <w:p w:rsidR="00A36618" w:rsidRPr="002908E0" w:rsidRDefault="00A36618" w:rsidP="002908E0">
      <w:pPr>
        <w:pStyle w:val="FootnoteText"/>
        <w:rPr>
          <w:lang w:val="fr-CH"/>
        </w:rPr>
      </w:pPr>
      <w:r w:rsidRPr="002908E0">
        <w:rPr>
          <w:rStyle w:val="FootnoteReference"/>
        </w:rPr>
        <w:footnoteRef/>
      </w:r>
      <w:r w:rsidRPr="00A10AFA">
        <w:rPr>
          <w:lang w:val="fr-FR"/>
        </w:rPr>
        <w:t xml:space="preserve"> </w:t>
      </w:r>
      <w:r w:rsidRPr="002908E0">
        <w:rPr>
          <w:lang w:val="fr-CH"/>
        </w:rPr>
        <w:tab/>
      </w:r>
      <w:r w:rsidRPr="002908E0">
        <w:rPr>
          <w:color w:val="000000"/>
          <w:lang w:val="fr-CH"/>
        </w:rPr>
        <w:t>L'Acte de 1978 ne contient pas de disposition correspondante à l'article 21.1</w:t>
      </w:r>
      <w:proofErr w:type="gramStart"/>
      <w:r w:rsidRPr="002908E0">
        <w:rPr>
          <w:color w:val="000000"/>
          <w:lang w:val="fr-CH"/>
        </w:rPr>
        <w:t>)ii</w:t>
      </w:r>
      <w:proofErr w:type="gramEnd"/>
      <w:r w:rsidRPr="002908E0">
        <w:rPr>
          <w:color w:val="000000"/>
          <w:lang w:val="fr-CH"/>
        </w:rPr>
        <w:t>) de l'Acte de 1991.</w:t>
      </w:r>
    </w:p>
  </w:footnote>
  <w:footnote w:id="3">
    <w:p w:rsidR="00A36618" w:rsidRPr="002908E0" w:rsidRDefault="00A36618" w:rsidP="002908E0">
      <w:pPr>
        <w:pStyle w:val="FootnoteText"/>
        <w:rPr>
          <w:lang w:val="fr-CH"/>
        </w:rPr>
      </w:pPr>
      <w:r w:rsidRPr="002908E0">
        <w:rPr>
          <w:rStyle w:val="FootnoteReference"/>
        </w:rPr>
        <w:footnoteRef/>
      </w:r>
      <w:r w:rsidRPr="00A10AFA">
        <w:rPr>
          <w:lang w:val="fr-FR"/>
        </w:rPr>
        <w:t xml:space="preserve"> </w:t>
      </w:r>
      <w:r w:rsidRPr="002908E0">
        <w:rPr>
          <w:lang w:val="fr-CH"/>
        </w:rPr>
        <w:tab/>
      </w:r>
      <w:r w:rsidRPr="002908E0">
        <w:rPr>
          <w:color w:val="000000"/>
          <w:lang w:val="fr-CH"/>
        </w:rPr>
        <w:t>L'Acte de 1978 ne contient pas de disposition correspondante à l'article 21.1</w:t>
      </w:r>
      <w:proofErr w:type="gramStart"/>
      <w:r w:rsidRPr="002908E0">
        <w:rPr>
          <w:color w:val="000000"/>
          <w:lang w:val="fr-CH"/>
        </w:rPr>
        <w:t>)iii</w:t>
      </w:r>
      <w:proofErr w:type="gramEnd"/>
      <w:r w:rsidRPr="002908E0">
        <w:rPr>
          <w:color w:val="000000"/>
          <w:lang w:val="fr-CH"/>
        </w:rPr>
        <w:t>) de l'Acte de 1991.</w:t>
      </w:r>
    </w:p>
  </w:footnote>
  <w:footnote w:id="4">
    <w:p w:rsidR="00A36618" w:rsidRPr="00A10AFA" w:rsidRDefault="00A36618" w:rsidP="002908E0">
      <w:pPr>
        <w:pStyle w:val="FootnoteText"/>
        <w:ind w:left="720" w:hanging="720"/>
        <w:rPr>
          <w:lang w:val="fr-FR"/>
        </w:rPr>
      </w:pPr>
      <w:r w:rsidRPr="002908E0">
        <w:rPr>
          <w:rStyle w:val="FootnoteReference"/>
        </w:rPr>
        <w:footnoteRef/>
      </w:r>
      <w:r w:rsidRPr="00A10AFA">
        <w:rPr>
          <w:lang w:val="fr-FR"/>
        </w:rPr>
        <w:tab/>
      </w:r>
      <w:r w:rsidRPr="00A10AFA">
        <w:rPr>
          <w:color w:val="000000"/>
          <w:lang w:val="fr-FR"/>
        </w:rPr>
        <w:t>Les dispositions des paragraphes 2 et 3 de l'article 10 de l'Acte de 1978 concernent la déchéance des droits protégés (voir les Notes explicatives sur la déchéance du droit d'obtenteur selon la Convention UPOV (</w:t>
      </w:r>
      <w:r w:rsidR="00456DF8">
        <w:fldChar w:fldCharType="begin"/>
      </w:r>
      <w:r w:rsidR="00456DF8" w:rsidRPr="00456DF8">
        <w:rPr>
          <w:lang w:val="fr-CH"/>
        </w:rPr>
        <w:instrText xml:space="preserve"> HYPERLINK "http://www.upov.int/explanatory_notes/en/" </w:instrText>
      </w:r>
      <w:r w:rsidR="00456DF8">
        <w:fldChar w:fldCharType="separate"/>
      </w:r>
      <w:r w:rsidRPr="00A10AFA">
        <w:rPr>
          <w:rStyle w:val="Hyperlink"/>
          <w:rFonts w:cs="Arial"/>
          <w:lang w:val="fr-FR"/>
        </w:rPr>
        <w:t>http://www.upov.int/explanatory_notes/en/</w:t>
      </w:r>
      <w:r w:rsidR="00456DF8">
        <w:rPr>
          <w:rStyle w:val="Hyperlink"/>
          <w:rFonts w:cs="Arial"/>
          <w:lang w:val="fr-FR"/>
        </w:rPr>
        <w:fldChar w:fldCharType="end"/>
      </w:r>
      <w:r w:rsidRPr="00A10AFA">
        <w:rPr>
          <w:color w:val="000000"/>
          <w:lang w:val="fr-FR"/>
        </w:rPr>
        <w:t>).</w:t>
      </w:r>
    </w:p>
  </w:footnote>
  <w:footnote w:id="5">
    <w:p w:rsidR="00A36618" w:rsidRPr="00A10AFA" w:rsidRDefault="00A36618" w:rsidP="002908E0">
      <w:pPr>
        <w:ind w:left="540" w:hanging="540"/>
        <w:rPr>
          <w:rStyle w:val="FootnoteTextChar"/>
          <w:szCs w:val="16"/>
          <w:lang w:val="fr-FR"/>
        </w:rPr>
      </w:pPr>
      <w:r w:rsidRPr="002908E0">
        <w:rPr>
          <w:rStyle w:val="FootnoteReference"/>
          <w:sz w:val="16"/>
          <w:szCs w:val="16"/>
        </w:rPr>
        <w:footnoteRef/>
      </w:r>
      <w:r w:rsidRPr="00A10AFA">
        <w:rPr>
          <w:sz w:val="16"/>
          <w:szCs w:val="16"/>
          <w:lang w:val="fr-FR"/>
        </w:rPr>
        <w:tab/>
      </w:r>
      <w:r w:rsidRPr="00A10AFA">
        <w:rPr>
          <w:color w:val="000000"/>
          <w:sz w:val="16"/>
          <w:szCs w:val="16"/>
          <w:lang w:val="fr-FR"/>
        </w:rPr>
        <w:t xml:space="preserve">Les dispositions du paragraphe 1 de l'article 10 de l'Acte de 1978 concernent la nullité des droits protégés (voir les Notes explicatives sur la nullité du droit d'obtenteur selon la Convention UPOV (voir le document </w:t>
      </w:r>
      <w:r w:rsidR="00456DF8">
        <w:fldChar w:fldCharType="begin"/>
      </w:r>
      <w:r w:rsidR="00456DF8" w:rsidRPr="00456DF8">
        <w:rPr>
          <w:lang w:val="fr-CH"/>
        </w:rPr>
        <w:instrText xml:space="preserve"> HYPERLINK "http://www.upov.int/explanatory_notes/en/" </w:instrText>
      </w:r>
      <w:r w:rsidR="00456DF8">
        <w:fldChar w:fldCharType="separate"/>
      </w:r>
      <w:r w:rsidRPr="00A10AFA">
        <w:rPr>
          <w:rStyle w:val="Hyperlink"/>
          <w:rFonts w:cs="Arial"/>
          <w:sz w:val="16"/>
          <w:szCs w:val="16"/>
          <w:u w:val="none"/>
          <w:lang w:val="fr-FR"/>
        </w:rPr>
        <w:t>UPOV/EXN/NUL</w:t>
      </w:r>
      <w:r w:rsidR="00456DF8">
        <w:rPr>
          <w:rStyle w:val="Hyperlink"/>
          <w:rFonts w:cs="Arial"/>
          <w:sz w:val="16"/>
          <w:szCs w:val="16"/>
          <w:u w:val="none"/>
          <w:lang w:val="fr-FR"/>
        </w:rPr>
        <w:fldChar w:fldCharType="end"/>
      </w:r>
      <w:r w:rsidRPr="00A10AFA">
        <w:rPr>
          <w:color w:val="000000"/>
          <w:sz w:val="16"/>
          <w:szCs w:val="16"/>
          <w:lang w:val="fr-FR"/>
        </w:rPr>
        <w:t xml:space="preserve"> disponible à l'adresse </w:t>
      </w:r>
      <w:hyperlink r:id="rId1" w:history="1">
        <w:r w:rsidRPr="00A10AFA">
          <w:rPr>
            <w:rStyle w:val="Hyperlink"/>
            <w:rFonts w:cs="Arial"/>
            <w:sz w:val="16"/>
            <w:szCs w:val="16"/>
            <w:u w:val="none"/>
            <w:lang w:val="fr-FR"/>
          </w:rPr>
          <w:t>http://www.upov.int/explanatory_notes/en/</w:t>
        </w:r>
      </w:hyperlink>
      <w:r w:rsidRPr="00A10AFA">
        <w:rPr>
          <w:color w:val="000000"/>
          <w:sz w:val="16"/>
          <w:szCs w:val="16"/>
          <w:lang w:val="fr-FR"/>
        </w:rPr>
        <w:t>).</w:t>
      </w:r>
    </w:p>
    <w:p w:rsidR="00A36618" w:rsidRPr="00A10AFA" w:rsidRDefault="00A36618" w:rsidP="002908E0">
      <w:pPr>
        <w:ind w:left="540" w:hanging="540"/>
        <w:rPr>
          <w:rStyle w:val="FootnoteTextCha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18" w:rsidRPr="00997029" w:rsidRDefault="00A36618" w:rsidP="00E23920">
    <w:pPr>
      <w:jc w:val="center"/>
      <w:rPr>
        <w:rStyle w:val="PageNumber"/>
      </w:rPr>
    </w:pPr>
    <w:r>
      <w:rPr>
        <w:rStyle w:val="PageNumber"/>
      </w:rPr>
      <w:t>CAJ/70/3</w:t>
    </w:r>
  </w:p>
  <w:p w:rsidR="00A36618" w:rsidRPr="00997029" w:rsidRDefault="00A36618"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56DF8">
      <w:rPr>
        <w:rStyle w:val="PageNumber"/>
        <w:noProof/>
      </w:rPr>
      <w:t>4</w:t>
    </w:r>
    <w:r w:rsidRPr="00997029">
      <w:rPr>
        <w:rStyle w:val="PageNumber"/>
      </w:rPr>
      <w:fldChar w:fldCharType="end"/>
    </w:r>
  </w:p>
  <w:p w:rsidR="00A36618" w:rsidRPr="00997029" w:rsidRDefault="00A36618"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18" w:rsidRPr="00997029" w:rsidRDefault="00A36618" w:rsidP="00E23920">
    <w:pPr>
      <w:jc w:val="center"/>
      <w:rPr>
        <w:rStyle w:val="PageNumber"/>
      </w:rPr>
    </w:pPr>
    <w:r>
      <w:rPr>
        <w:rStyle w:val="PageNumber"/>
      </w:rPr>
      <w:t>CAJ/70/3</w:t>
    </w:r>
  </w:p>
  <w:p w:rsidR="00A36618" w:rsidRPr="00997029" w:rsidRDefault="00A36618" w:rsidP="00E23920">
    <w:pPr>
      <w:jc w:val="center"/>
    </w:pPr>
    <w:proofErr w:type="spellStart"/>
    <w:r>
      <w:t>Annexe</w:t>
    </w:r>
    <w:proofErr w:type="spellEnd"/>
    <w:r>
      <w:t xml:space="preserv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56DF8">
      <w:rPr>
        <w:rStyle w:val="PageNumber"/>
        <w:noProof/>
      </w:rPr>
      <w:t>5</w:t>
    </w:r>
    <w:r w:rsidRPr="00997029">
      <w:rPr>
        <w:rStyle w:val="PageNumber"/>
      </w:rPr>
      <w:fldChar w:fldCharType="end"/>
    </w:r>
  </w:p>
  <w:p w:rsidR="00A36618" w:rsidRPr="00997029" w:rsidRDefault="00A36618"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991"/>
    <w:multiLevelType w:val="hybridMultilevel"/>
    <w:tmpl w:val="997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26A67"/>
    <w:multiLevelType w:val="hybridMultilevel"/>
    <w:tmpl w:val="AEF8E3F6"/>
    <w:lvl w:ilvl="0" w:tplc="FF8647B6">
      <w:start w:val="1"/>
      <w:numFmt w:val="lowerLetter"/>
      <w:lvlText w:val="%1)"/>
      <w:lvlJc w:val="left"/>
      <w:pPr>
        <w:ind w:left="930" w:hanging="360"/>
      </w:pPr>
      <w:rPr>
        <w:rFonts w:hint="default"/>
        <w:color w:val="auto"/>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
    <w:nsid w:val="73F96581"/>
    <w:multiLevelType w:val="hybridMultilevel"/>
    <w:tmpl w:val="F3267BFA"/>
    <w:lvl w:ilvl="0" w:tplc="8ACA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
    <w:docVar w:name="TextBaseURL" w:val="empty"/>
    <w:docVar w:name="UILng" w:val="en"/>
  </w:docVars>
  <w:rsids>
    <w:rsidRoot w:val="00F32656"/>
    <w:rsid w:val="00001380"/>
    <w:rsid w:val="00001D48"/>
    <w:rsid w:val="0000256E"/>
    <w:rsid w:val="00010CF3"/>
    <w:rsid w:val="00011E27"/>
    <w:rsid w:val="00011E52"/>
    <w:rsid w:val="000148BC"/>
    <w:rsid w:val="0002041C"/>
    <w:rsid w:val="000234A0"/>
    <w:rsid w:val="00024AB8"/>
    <w:rsid w:val="000333E0"/>
    <w:rsid w:val="00035473"/>
    <w:rsid w:val="00036028"/>
    <w:rsid w:val="000446B9"/>
    <w:rsid w:val="00047E21"/>
    <w:rsid w:val="0006472C"/>
    <w:rsid w:val="00085505"/>
    <w:rsid w:val="00097E1F"/>
    <w:rsid w:val="000C7021"/>
    <w:rsid w:val="000D492E"/>
    <w:rsid w:val="000D6BBC"/>
    <w:rsid w:val="000D7780"/>
    <w:rsid w:val="00105929"/>
    <w:rsid w:val="00110481"/>
    <w:rsid w:val="001131D5"/>
    <w:rsid w:val="0011405F"/>
    <w:rsid w:val="0013444A"/>
    <w:rsid w:val="00141DB8"/>
    <w:rsid w:val="00155F6F"/>
    <w:rsid w:val="0017474A"/>
    <w:rsid w:val="001758C6"/>
    <w:rsid w:val="00175D48"/>
    <w:rsid w:val="001C23D1"/>
    <w:rsid w:val="001C3DF3"/>
    <w:rsid w:val="001D48D3"/>
    <w:rsid w:val="001F1F2A"/>
    <w:rsid w:val="00207D56"/>
    <w:rsid w:val="0021332C"/>
    <w:rsid w:val="00213982"/>
    <w:rsid w:val="002142C8"/>
    <w:rsid w:val="002258F1"/>
    <w:rsid w:val="00237C7D"/>
    <w:rsid w:val="0024416D"/>
    <w:rsid w:val="00253E4F"/>
    <w:rsid w:val="00264B71"/>
    <w:rsid w:val="00270827"/>
    <w:rsid w:val="0027309C"/>
    <w:rsid w:val="002800A0"/>
    <w:rsid w:val="00281060"/>
    <w:rsid w:val="002908E0"/>
    <w:rsid w:val="0029439F"/>
    <w:rsid w:val="002A0AC2"/>
    <w:rsid w:val="002A6E50"/>
    <w:rsid w:val="002C256A"/>
    <w:rsid w:val="002C4270"/>
    <w:rsid w:val="002C6184"/>
    <w:rsid w:val="002E7BA1"/>
    <w:rsid w:val="002F78FA"/>
    <w:rsid w:val="003056C2"/>
    <w:rsid w:val="00305A7F"/>
    <w:rsid w:val="003152FE"/>
    <w:rsid w:val="00327436"/>
    <w:rsid w:val="00344BD6"/>
    <w:rsid w:val="00350FB4"/>
    <w:rsid w:val="0035528D"/>
    <w:rsid w:val="00361821"/>
    <w:rsid w:val="003940B0"/>
    <w:rsid w:val="00396045"/>
    <w:rsid w:val="003A17C8"/>
    <w:rsid w:val="003C563E"/>
    <w:rsid w:val="003D227C"/>
    <w:rsid w:val="003D2B4D"/>
    <w:rsid w:val="003F3F7A"/>
    <w:rsid w:val="003F6136"/>
    <w:rsid w:val="00427139"/>
    <w:rsid w:val="00441CF6"/>
    <w:rsid w:val="00444A88"/>
    <w:rsid w:val="00447DFA"/>
    <w:rsid w:val="004516A2"/>
    <w:rsid w:val="00456DF8"/>
    <w:rsid w:val="00474DA4"/>
    <w:rsid w:val="0049455A"/>
    <w:rsid w:val="004A7723"/>
    <w:rsid w:val="004D047D"/>
    <w:rsid w:val="004D1617"/>
    <w:rsid w:val="004F305A"/>
    <w:rsid w:val="00505473"/>
    <w:rsid w:val="00512164"/>
    <w:rsid w:val="00520297"/>
    <w:rsid w:val="005338F9"/>
    <w:rsid w:val="0054281C"/>
    <w:rsid w:val="0055268D"/>
    <w:rsid w:val="005661AD"/>
    <w:rsid w:val="00572E44"/>
    <w:rsid w:val="00576BE4"/>
    <w:rsid w:val="005901DF"/>
    <w:rsid w:val="00596C06"/>
    <w:rsid w:val="005974B2"/>
    <w:rsid w:val="005A400A"/>
    <w:rsid w:val="005A6160"/>
    <w:rsid w:val="00612379"/>
    <w:rsid w:val="0061555F"/>
    <w:rsid w:val="00616630"/>
    <w:rsid w:val="00624687"/>
    <w:rsid w:val="00627261"/>
    <w:rsid w:val="00630A8B"/>
    <w:rsid w:val="00641200"/>
    <w:rsid w:val="00663ED8"/>
    <w:rsid w:val="00664515"/>
    <w:rsid w:val="00675D0B"/>
    <w:rsid w:val="00687EB4"/>
    <w:rsid w:val="00691DAE"/>
    <w:rsid w:val="006A352A"/>
    <w:rsid w:val="006B17D2"/>
    <w:rsid w:val="006B45FA"/>
    <w:rsid w:val="006C224E"/>
    <w:rsid w:val="006F5F11"/>
    <w:rsid w:val="00731F73"/>
    <w:rsid w:val="00732DEC"/>
    <w:rsid w:val="00735BD5"/>
    <w:rsid w:val="0075117E"/>
    <w:rsid w:val="007548F7"/>
    <w:rsid w:val="007556F6"/>
    <w:rsid w:val="00760EEF"/>
    <w:rsid w:val="00777EE5"/>
    <w:rsid w:val="00784836"/>
    <w:rsid w:val="0079023E"/>
    <w:rsid w:val="007B6894"/>
    <w:rsid w:val="007C6639"/>
    <w:rsid w:val="007D0B9D"/>
    <w:rsid w:val="007D19B0"/>
    <w:rsid w:val="007D4741"/>
    <w:rsid w:val="007E4CFD"/>
    <w:rsid w:val="007F498F"/>
    <w:rsid w:val="0080679D"/>
    <w:rsid w:val="008108B0"/>
    <w:rsid w:val="00811B20"/>
    <w:rsid w:val="0082296E"/>
    <w:rsid w:val="00824099"/>
    <w:rsid w:val="00836E88"/>
    <w:rsid w:val="008528F1"/>
    <w:rsid w:val="00855DBD"/>
    <w:rsid w:val="00867AC1"/>
    <w:rsid w:val="008953CD"/>
    <w:rsid w:val="008A395B"/>
    <w:rsid w:val="008A743F"/>
    <w:rsid w:val="008B51D0"/>
    <w:rsid w:val="008C0970"/>
    <w:rsid w:val="008C7A8C"/>
    <w:rsid w:val="008D2CF7"/>
    <w:rsid w:val="008E793E"/>
    <w:rsid w:val="00900C26"/>
    <w:rsid w:val="0090197F"/>
    <w:rsid w:val="00906DDC"/>
    <w:rsid w:val="00934E09"/>
    <w:rsid w:val="00936253"/>
    <w:rsid w:val="00970FED"/>
    <w:rsid w:val="00994491"/>
    <w:rsid w:val="00997029"/>
    <w:rsid w:val="009D0DE5"/>
    <w:rsid w:val="009D690D"/>
    <w:rsid w:val="009E65B6"/>
    <w:rsid w:val="009F1992"/>
    <w:rsid w:val="00A10AFA"/>
    <w:rsid w:val="00A16814"/>
    <w:rsid w:val="00A17FD2"/>
    <w:rsid w:val="00A23C62"/>
    <w:rsid w:val="00A2796B"/>
    <w:rsid w:val="00A32187"/>
    <w:rsid w:val="00A36618"/>
    <w:rsid w:val="00A42AC3"/>
    <w:rsid w:val="00A430CF"/>
    <w:rsid w:val="00A54309"/>
    <w:rsid w:val="00A85006"/>
    <w:rsid w:val="00A85EF1"/>
    <w:rsid w:val="00AB2B93"/>
    <w:rsid w:val="00AE0EF1"/>
    <w:rsid w:val="00AF107D"/>
    <w:rsid w:val="00B07301"/>
    <w:rsid w:val="00B137F0"/>
    <w:rsid w:val="00B224DE"/>
    <w:rsid w:val="00B84BBD"/>
    <w:rsid w:val="00B93DDD"/>
    <w:rsid w:val="00B96741"/>
    <w:rsid w:val="00BA43FB"/>
    <w:rsid w:val="00BC127D"/>
    <w:rsid w:val="00BC1FE6"/>
    <w:rsid w:val="00BC2815"/>
    <w:rsid w:val="00BD4C24"/>
    <w:rsid w:val="00C061B6"/>
    <w:rsid w:val="00C100A6"/>
    <w:rsid w:val="00C17CEA"/>
    <w:rsid w:val="00C2065C"/>
    <w:rsid w:val="00C21DBF"/>
    <w:rsid w:val="00C2446C"/>
    <w:rsid w:val="00C36AE5"/>
    <w:rsid w:val="00C41F17"/>
    <w:rsid w:val="00C54BF4"/>
    <w:rsid w:val="00C5791C"/>
    <w:rsid w:val="00C66290"/>
    <w:rsid w:val="00C72B7A"/>
    <w:rsid w:val="00C81164"/>
    <w:rsid w:val="00C973F2"/>
    <w:rsid w:val="00CA774A"/>
    <w:rsid w:val="00CC11B0"/>
    <w:rsid w:val="00CD3BA2"/>
    <w:rsid w:val="00CF7E36"/>
    <w:rsid w:val="00D13E71"/>
    <w:rsid w:val="00D17C95"/>
    <w:rsid w:val="00D233D8"/>
    <w:rsid w:val="00D24210"/>
    <w:rsid w:val="00D30F00"/>
    <w:rsid w:val="00D3708D"/>
    <w:rsid w:val="00D40426"/>
    <w:rsid w:val="00D57C96"/>
    <w:rsid w:val="00D70C4F"/>
    <w:rsid w:val="00D73DD0"/>
    <w:rsid w:val="00D76637"/>
    <w:rsid w:val="00D91203"/>
    <w:rsid w:val="00D95174"/>
    <w:rsid w:val="00D95A5C"/>
    <w:rsid w:val="00DA6F36"/>
    <w:rsid w:val="00DC00EA"/>
    <w:rsid w:val="00E23920"/>
    <w:rsid w:val="00E6665C"/>
    <w:rsid w:val="00E72D49"/>
    <w:rsid w:val="00E7593C"/>
    <w:rsid w:val="00E7678A"/>
    <w:rsid w:val="00E935F1"/>
    <w:rsid w:val="00E9366A"/>
    <w:rsid w:val="00E94A81"/>
    <w:rsid w:val="00EA1FFB"/>
    <w:rsid w:val="00EB048E"/>
    <w:rsid w:val="00EB3EFA"/>
    <w:rsid w:val="00EF2F89"/>
    <w:rsid w:val="00F04DEB"/>
    <w:rsid w:val="00F104BC"/>
    <w:rsid w:val="00F1237A"/>
    <w:rsid w:val="00F21B25"/>
    <w:rsid w:val="00F22CBD"/>
    <w:rsid w:val="00F31EEB"/>
    <w:rsid w:val="00F32656"/>
    <w:rsid w:val="00F37961"/>
    <w:rsid w:val="00F41742"/>
    <w:rsid w:val="00F50613"/>
    <w:rsid w:val="00F6334D"/>
    <w:rsid w:val="00F71235"/>
    <w:rsid w:val="00F73178"/>
    <w:rsid w:val="00F84664"/>
    <w:rsid w:val="00F93A75"/>
    <w:rsid w:val="00FA0F51"/>
    <w:rsid w:val="00FA49AB"/>
    <w:rsid w:val="00FB0D37"/>
    <w:rsid w:val="00FB2342"/>
    <w:rsid w:val="00FB25D8"/>
    <w:rsid w:val="00FB2BCB"/>
    <w:rsid w:val="00FD6100"/>
    <w:rsid w:val="00FE39C7"/>
    <w:rsid w:val="00FE4AF3"/>
    <w:rsid w:val="00FF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3056C2"/>
    <w:pPr>
      <w:keepNext/>
      <w:jc w:val="both"/>
      <w:outlineLvl w:val="0"/>
    </w:pPr>
    <w:rPr>
      <w:rFonts w:ascii="Arial" w:hAnsi="Arial"/>
      <w:caps/>
    </w:rPr>
  </w:style>
  <w:style w:type="paragraph" w:styleId="Heading2">
    <w:name w:val="heading 2"/>
    <w:next w:val="Normal"/>
    <w:link w:val="Heading2Char"/>
    <w:autoRedefine/>
    <w:qFormat/>
    <w:rsid w:val="00C17CEA"/>
    <w:pPr>
      <w:keepNext/>
      <w:jc w:val="both"/>
      <w:outlineLvl w:val="1"/>
    </w:pPr>
    <w:rPr>
      <w:rFonts w:ascii="Arial" w:hAnsi="Arial"/>
      <w:snapToGrid w:val="0"/>
      <w:u w:val="single"/>
    </w:rPr>
  </w:style>
  <w:style w:type="paragraph" w:styleId="Heading3">
    <w:name w:val="heading 3"/>
    <w:next w:val="Normal"/>
    <w:link w:val="Heading3Char"/>
    <w:autoRedefine/>
    <w:qFormat/>
    <w:rsid w:val="003056C2"/>
    <w:pPr>
      <w:keepNext/>
      <w:jc w:val="both"/>
      <w:outlineLvl w:val="2"/>
    </w:pPr>
    <w:rPr>
      <w:rFonts w:ascii="Arial" w:hAnsi="Arial"/>
      <w:lang w:val="fr-FR"/>
    </w:rPr>
  </w:style>
  <w:style w:type="paragraph" w:styleId="Heading4">
    <w:name w:val="heading 4"/>
    <w:next w:val="Normal"/>
    <w:autoRedefine/>
    <w:qFormat/>
    <w:rsid w:val="003056C2"/>
    <w:pPr>
      <w:keepNext/>
      <w:jc w:val="both"/>
      <w:outlineLvl w:val="3"/>
    </w:pPr>
    <w:rPr>
      <w:rFonts w:ascii="Arial" w:hAnsi="Arial"/>
      <w:u w:val="single"/>
      <w:lang w:val="fr-FR"/>
    </w:rPr>
  </w:style>
  <w:style w:type="paragraph" w:styleId="Heading5">
    <w:name w:val="heading 5"/>
    <w:next w:val="Normal"/>
    <w:autoRedefine/>
    <w:qFormat/>
    <w:rsid w:val="00CD3BA2"/>
    <w:pPr>
      <w:keepNext/>
      <w:ind w:left="567" w:hanging="567"/>
      <w:jc w:val="both"/>
      <w:outlineLvl w:val="4"/>
    </w:pPr>
    <w:rPr>
      <w:rFonts w:ascii="Arial" w:hAnsi="Arial"/>
      <w:i/>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uiPriority w:val="99"/>
    <w:rsid w:val="00011E52"/>
    <w:pPr>
      <w:spacing w:before="60"/>
      <w:ind w:left="567" w:hanging="567"/>
      <w:jc w:val="both"/>
    </w:pPr>
    <w:rPr>
      <w:rFonts w:ascii="Arial" w:hAnsi="Arial"/>
      <w:sz w:val="16"/>
    </w:rPr>
  </w:style>
  <w:style w:type="character" w:styleId="FootnoteReference">
    <w:name w:val="footnote reference"/>
    <w:basedOn w:val="DefaultParagraphFont"/>
    <w:uiPriority w:val="99"/>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441CF6"/>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93DDD"/>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3056C2"/>
    <w:rPr>
      <w:rFonts w:ascii="Arial" w:hAnsi="Arial"/>
      <w:caps/>
    </w:rPr>
  </w:style>
  <w:style w:type="character" w:customStyle="1" w:styleId="Heading2Char">
    <w:name w:val="Heading 2 Char"/>
    <w:basedOn w:val="DefaultParagraphFont"/>
    <w:link w:val="Heading2"/>
    <w:rsid w:val="00C17CEA"/>
    <w:rPr>
      <w:rFonts w:ascii="Arial" w:hAnsi="Arial"/>
      <w:snapToGrid w:val="0"/>
      <w:u w:val="single"/>
    </w:rPr>
  </w:style>
  <w:style w:type="character" w:customStyle="1" w:styleId="FootnoteTextChar">
    <w:name w:val="Footnote Text Char"/>
    <w:basedOn w:val="DefaultParagraphFont"/>
    <w:link w:val="FootnoteText"/>
    <w:uiPriority w:val="99"/>
    <w:rsid w:val="00011E52"/>
    <w:rPr>
      <w:rFonts w:ascii="Arial" w:hAnsi="Arial"/>
      <w:sz w:val="16"/>
    </w:rPr>
  </w:style>
  <w:style w:type="paragraph" w:styleId="ListParagraph">
    <w:name w:val="List Paragraph"/>
    <w:basedOn w:val="Normal"/>
    <w:uiPriority w:val="34"/>
    <w:qFormat/>
    <w:rsid w:val="00C17CEA"/>
    <w:pPr>
      <w:ind w:left="720"/>
      <w:contextualSpacing/>
    </w:pPr>
  </w:style>
  <w:style w:type="table" w:styleId="TableGrid">
    <w:name w:val="Table Grid"/>
    <w:basedOn w:val="TableNormal"/>
    <w:rsid w:val="00A23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056C2"/>
    <w:rPr>
      <w:rFonts w:ascii="Arial" w:hAnsi="Arial"/>
      <w:lang w:val="fr-FR"/>
    </w:rPr>
  </w:style>
  <w:style w:type="character" w:styleId="FollowedHyperlink">
    <w:name w:val="FollowedHyperlink"/>
    <w:basedOn w:val="DefaultParagraphFont"/>
    <w:uiPriority w:val="99"/>
    <w:unhideWhenUsed/>
    <w:rsid w:val="002908E0"/>
    <w:rPr>
      <w:color w:val="800080" w:themeColor="followedHyperlink"/>
      <w:u w:val="single"/>
    </w:rPr>
  </w:style>
  <w:style w:type="character" w:customStyle="1" w:styleId="HeaderChar">
    <w:name w:val="Header Char"/>
    <w:basedOn w:val="DefaultParagraphFont"/>
    <w:link w:val="Header"/>
    <w:uiPriority w:val="99"/>
    <w:rsid w:val="002908E0"/>
    <w:rPr>
      <w:rFonts w:ascii="Arial" w:hAnsi="Arial"/>
      <w:lang w:val="fr-FR"/>
    </w:rPr>
  </w:style>
  <w:style w:type="character" w:customStyle="1" w:styleId="FooterChar">
    <w:name w:val="Footer Char"/>
    <w:aliases w:val="doc_path_name Char"/>
    <w:basedOn w:val="DefaultParagraphFont"/>
    <w:link w:val="Footer"/>
    <w:uiPriority w:val="99"/>
    <w:rsid w:val="002908E0"/>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3056C2"/>
    <w:pPr>
      <w:keepNext/>
      <w:jc w:val="both"/>
      <w:outlineLvl w:val="0"/>
    </w:pPr>
    <w:rPr>
      <w:rFonts w:ascii="Arial" w:hAnsi="Arial"/>
      <w:caps/>
    </w:rPr>
  </w:style>
  <w:style w:type="paragraph" w:styleId="Heading2">
    <w:name w:val="heading 2"/>
    <w:next w:val="Normal"/>
    <w:link w:val="Heading2Char"/>
    <w:autoRedefine/>
    <w:qFormat/>
    <w:rsid w:val="00C17CEA"/>
    <w:pPr>
      <w:keepNext/>
      <w:jc w:val="both"/>
      <w:outlineLvl w:val="1"/>
    </w:pPr>
    <w:rPr>
      <w:rFonts w:ascii="Arial" w:hAnsi="Arial"/>
      <w:snapToGrid w:val="0"/>
      <w:u w:val="single"/>
    </w:rPr>
  </w:style>
  <w:style w:type="paragraph" w:styleId="Heading3">
    <w:name w:val="heading 3"/>
    <w:next w:val="Normal"/>
    <w:link w:val="Heading3Char"/>
    <w:autoRedefine/>
    <w:qFormat/>
    <w:rsid w:val="003056C2"/>
    <w:pPr>
      <w:keepNext/>
      <w:jc w:val="both"/>
      <w:outlineLvl w:val="2"/>
    </w:pPr>
    <w:rPr>
      <w:rFonts w:ascii="Arial" w:hAnsi="Arial"/>
      <w:lang w:val="fr-FR"/>
    </w:rPr>
  </w:style>
  <w:style w:type="paragraph" w:styleId="Heading4">
    <w:name w:val="heading 4"/>
    <w:next w:val="Normal"/>
    <w:autoRedefine/>
    <w:qFormat/>
    <w:rsid w:val="003056C2"/>
    <w:pPr>
      <w:keepNext/>
      <w:jc w:val="both"/>
      <w:outlineLvl w:val="3"/>
    </w:pPr>
    <w:rPr>
      <w:rFonts w:ascii="Arial" w:hAnsi="Arial"/>
      <w:u w:val="single"/>
      <w:lang w:val="fr-FR"/>
    </w:rPr>
  </w:style>
  <w:style w:type="paragraph" w:styleId="Heading5">
    <w:name w:val="heading 5"/>
    <w:next w:val="Normal"/>
    <w:autoRedefine/>
    <w:qFormat/>
    <w:rsid w:val="00CD3BA2"/>
    <w:pPr>
      <w:keepNext/>
      <w:ind w:left="567" w:hanging="567"/>
      <w:jc w:val="both"/>
      <w:outlineLvl w:val="4"/>
    </w:pPr>
    <w:rPr>
      <w:rFonts w:ascii="Arial" w:hAnsi="Arial"/>
      <w:i/>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uiPriority w:val="99"/>
    <w:rsid w:val="00011E52"/>
    <w:pPr>
      <w:spacing w:before="60"/>
      <w:ind w:left="567" w:hanging="567"/>
      <w:jc w:val="both"/>
    </w:pPr>
    <w:rPr>
      <w:rFonts w:ascii="Arial" w:hAnsi="Arial"/>
      <w:sz w:val="16"/>
    </w:rPr>
  </w:style>
  <w:style w:type="character" w:styleId="FootnoteReference">
    <w:name w:val="footnote reference"/>
    <w:basedOn w:val="DefaultParagraphFont"/>
    <w:uiPriority w:val="99"/>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441CF6"/>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93DDD"/>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3056C2"/>
    <w:rPr>
      <w:rFonts w:ascii="Arial" w:hAnsi="Arial"/>
      <w:caps/>
    </w:rPr>
  </w:style>
  <w:style w:type="character" w:customStyle="1" w:styleId="Heading2Char">
    <w:name w:val="Heading 2 Char"/>
    <w:basedOn w:val="DefaultParagraphFont"/>
    <w:link w:val="Heading2"/>
    <w:rsid w:val="00C17CEA"/>
    <w:rPr>
      <w:rFonts w:ascii="Arial" w:hAnsi="Arial"/>
      <w:snapToGrid w:val="0"/>
      <w:u w:val="single"/>
    </w:rPr>
  </w:style>
  <w:style w:type="character" w:customStyle="1" w:styleId="FootnoteTextChar">
    <w:name w:val="Footnote Text Char"/>
    <w:basedOn w:val="DefaultParagraphFont"/>
    <w:link w:val="FootnoteText"/>
    <w:uiPriority w:val="99"/>
    <w:rsid w:val="00011E52"/>
    <w:rPr>
      <w:rFonts w:ascii="Arial" w:hAnsi="Arial"/>
      <w:sz w:val="16"/>
    </w:rPr>
  </w:style>
  <w:style w:type="paragraph" w:styleId="ListParagraph">
    <w:name w:val="List Paragraph"/>
    <w:basedOn w:val="Normal"/>
    <w:uiPriority w:val="34"/>
    <w:qFormat/>
    <w:rsid w:val="00C17CEA"/>
    <w:pPr>
      <w:ind w:left="720"/>
      <w:contextualSpacing/>
    </w:pPr>
  </w:style>
  <w:style w:type="table" w:styleId="TableGrid">
    <w:name w:val="Table Grid"/>
    <w:basedOn w:val="TableNormal"/>
    <w:rsid w:val="00A23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056C2"/>
    <w:rPr>
      <w:rFonts w:ascii="Arial" w:hAnsi="Arial"/>
      <w:lang w:val="fr-FR"/>
    </w:rPr>
  </w:style>
  <w:style w:type="character" w:styleId="FollowedHyperlink">
    <w:name w:val="FollowedHyperlink"/>
    <w:basedOn w:val="DefaultParagraphFont"/>
    <w:uiPriority w:val="99"/>
    <w:unhideWhenUsed/>
    <w:rsid w:val="002908E0"/>
    <w:rPr>
      <w:color w:val="800080" w:themeColor="followedHyperlink"/>
      <w:u w:val="single"/>
    </w:rPr>
  </w:style>
  <w:style w:type="character" w:customStyle="1" w:styleId="HeaderChar">
    <w:name w:val="Header Char"/>
    <w:basedOn w:val="DefaultParagraphFont"/>
    <w:link w:val="Header"/>
    <w:uiPriority w:val="99"/>
    <w:rsid w:val="002908E0"/>
    <w:rPr>
      <w:rFonts w:ascii="Arial" w:hAnsi="Arial"/>
      <w:lang w:val="fr-FR"/>
    </w:rPr>
  </w:style>
  <w:style w:type="character" w:customStyle="1" w:styleId="FooterChar">
    <w:name w:val="Footer Char"/>
    <w:aliases w:val="doc_path_name Char"/>
    <w:basedOn w:val="DefaultParagraphFont"/>
    <w:link w:val="Footer"/>
    <w:uiPriority w:val="99"/>
    <w:rsid w:val="002908E0"/>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7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upov.int/information_documents/en/"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upov.int/explanatory_notes/en/"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upov.int/information_documents/en/list.jsp" TargetMode="External"/><Relationship Id="rId25" Type="http://schemas.openxmlformats.org/officeDocument/2006/relationships/hyperlink" Target="http://www.upov.int/explanatory_notes/en/" TargetMode="External"/><Relationship Id="rId2" Type="http://schemas.openxmlformats.org/officeDocument/2006/relationships/customXml" Target="../customXml/item2.xml"/><Relationship Id="rId16" Type="http://schemas.openxmlformats.org/officeDocument/2006/relationships/hyperlink" Target="http://www.upov.int/members/en/pvp_offices.html" TargetMode="External"/><Relationship Id="rId20" Type="http://schemas.openxmlformats.org/officeDocument/2006/relationships/hyperlink" Target="http://www.upov.int/pluto/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ov.int/upov_collection/fr/" TargetMode="External"/><Relationship Id="rId24" Type="http://schemas.openxmlformats.org/officeDocument/2006/relationships/hyperlink" Target="http://www.upov.int/explanatory_notes/en/" TargetMode="External"/><Relationship Id="rId5" Type="http://schemas.microsoft.com/office/2007/relationships/stylesWithEffects" Target="stylesWithEffects.xml"/><Relationship Id="rId15" Type="http://schemas.openxmlformats.org/officeDocument/2006/relationships/hyperlink" Target="http://www.upov.int/information_documents/en/" TargetMode="External"/><Relationship Id="rId23" Type="http://schemas.openxmlformats.org/officeDocument/2006/relationships/hyperlink" Target="http://www.upov.int/information_documents/e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upov.int/pluto/e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pov.int/information_documents/en/list.jsp" TargetMode="External"/><Relationship Id="rId22" Type="http://schemas.openxmlformats.org/officeDocument/2006/relationships/hyperlink" Target="http://www.upov.int/explanatory_notes/en/"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xplanatory_not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4AC0-8D23-48D1-A5F9-2D763DECC368}">
  <ds:schemaRefs>
    <ds:schemaRef ds:uri="http://schemas.openxmlformats.org/officeDocument/2006/bibliography"/>
  </ds:schemaRefs>
</ds:datastoreItem>
</file>

<file path=customXml/itemProps2.xml><?xml version="1.0" encoding="utf-8"?>
<ds:datastoreItem xmlns:ds="http://schemas.openxmlformats.org/officeDocument/2006/customXml" ds:itemID="{E66DA58A-CCFA-4CD4-933A-E71505C0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5078</Words>
  <Characters>32255</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37259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keywords>DB/mhf</cp:keywords>
  <cp:lastModifiedBy>MAY Jessica</cp:lastModifiedBy>
  <cp:revision>30</cp:revision>
  <cp:lastPrinted>2014-08-29T14:53:00Z</cp:lastPrinted>
  <dcterms:created xsi:type="dcterms:W3CDTF">2014-08-14T12:09:00Z</dcterms:created>
  <dcterms:modified xsi:type="dcterms:W3CDTF">2014-08-29T15:33:00Z</dcterms:modified>
</cp:coreProperties>
</file>