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B2441" w:rsidRPr="001E10C8" w:rsidTr="00852F29">
        <w:trPr>
          <w:trHeight w:val="1760"/>
        </w:trPr>
        <w:tc>
          <w:tcPr>
            <w:tcW w:w="4243" w:type="dxa"/>
          </w:tcPr>
          <w:p w:rsidR="00DB2441" w:rsidRPr="006140CC" w:rsidRDefault="00DB2441" w:rsidP="00852F29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1646" w:type="dxa"/>
            <w:vAlign w:val="center"/>
          </w:tcPr>
          <w:p w:rsidR="00DB2441" w:rsidRPr="006140CC" w:rsidRDefault="00DB2441" w:rsidP="00852F29">
            <w:pPr>
              <w:pStyle w:val="LogoUPOV"/>
              <w:rPr>
                <w:lang w:val="fr-FR"/>
              </w:rPr>
            </w:pPr>
            <w:r w:rsidRPr="006140CC">
              <w:rPr>
                <w:noProof/>
              </w:rPr>
              <w:drawing>
                <wp:inline distT="0" distB="0" distL="0" distR="0" wp14:anchorId="4995E9A5" wp14:editId="17313CE8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DB2441" w:rsidRPr="006140CC" w:rsidRDefault="00DB2441" w:rsidP="00852F29">
            <w:pPr>
              <w:pStyle w:val="Lettrine"/>
              <w:rPr>
                <w:lang w:val="fr-FR"/>
              </w:rPr>
            </w:pPr>
            <w:r w:rsidRPr="006140CC">
              <w:rPr>
                <w:lang w:val="fr-FR"/>
              </w:rPr>
              <w:t>F</w:t>
            </w:r>
          </w:p>
          <w:p w:rsidR="00DB2441" w:rsidRPr="006140CC" w:rsidRDefault="00DB2441" w:rsidP="00852F29">
            <w:pPr>
              <w:pStyle w:val="Docoriginal"/>
              <w:jc w:val="left"/>
              <w:rPr>
                <w:lang w:val="fr-FR"/>
              </w:rPr>
            </w:pPr>
            <w:r w:rsidRPr="006140CC">
              <w:rPr>
                <w:lang w:val="fr-FR"/>
              </w:rPr>
              <w:t>CAJ/70/</w:t>
            </w:r>
            <w:bookmarkStart w:id="1" w:name="Code"/>
            <w:bookmarkEnd w:id="1"/>
            <w:r w:rsidRPr="006140CC">
              <w:rPr>
                <w:lang w:val="fr-FR"/>
              </w:rPr>
              <w:t>2</w:t>
            </w:r>
          </w:p>
          <w:p w:rsidR="00DB2441" w:rsidRPr="006140CC" w:rsidRDefault="00DB2441" w:rsidP="00852F29">
            <w:pPr>
              <w:pStyle w:val="Docoriginal"/>
              <w:jc w:val="left"/>
              <w:rPr>
                <w:lang w:val="fr-FR"/>
              </w:rPr>
            </w:pPr>
            <w:r w:rsidRPr="006140CC">
              <w:rPr>
                <w:rStyle w:val="StyleDoclangBold"/>
                <w:b/>
                <w:bCs/>
                <w:spacing w:val="0"/>
                <w:lang w:val="fr-FR"/>
              </w:rPr>
              <w:t>ORIGINAL :</w:t>
            </w:r>
            <w:r w:rsidRPr="006140CC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Original"/>
            <w:bookmarkEnd w:id="2"/>
            <w:r w:rsidRPr="006140CC">
              <w:rPr>
                <w:b w:val="0"/>
                <w:spacing w:val="0"/>
                <w:lang w:val="fr-FR"/>
              </w:rPr>
              <w:t>anglais</w:t>
            </w:r>
          </w:p>
          <w:p w:rsidR="00DB2441" w:rsidRPr="006140CC" w:rsidRDefault="00DB2441" w:rsidP="000A7774">
            <w:pPr>
              <w:pStyle w:val="Docoriginal"/>
              <w:jc w:val="left"/>
              <w:rPr>
                <w:lang w:val="fr-FR"/>
              </w:rPr>
            </w:pPr>
            <w:r w:rsidRPr="006140CC">
              <w:rPr>
                <w:spacing w:val="0"/>
                <w:lang w:val="fr-FR"/>
              </w:rPr>
              <w:t>DATE :</w:t>
            </w:r>
            <w:r w:rsidRPr="006140CC">
              <w:rPr>
                <w:b w:val="0"/>
                <w:spacing w:val="0"/>
                <w:lang w:val="fr-FR"/>
              </w:rPr>
              <w:t xml:space="preserve"> </w:t>
            </w:r>
            <w:bookmarkStart w:id="3" w:name="Date"/>
            <w:bookmarkEnd w:id="3"/>
            <w:r w:rsidR="003626AF">
              <w:rPr>
                <w:rStyle w:val="StyleDocoriginalNotBold1"/>
                <w:spacing w:val="0"/>
                <w:lang w:val="fr-FR"/>
              </w:rPr>
              <w:t>10</w:t>
            </w:r>
            <w:r w:rsidR="000A7774">
              <w:rPr>
                <w:rStyle w:val="StyleDocoriginalNotBold1"/>
                <w:spacing w:val="0"/>
                <w:lang w:val="fr-FR"/>
              </w:rPr>
              <w:t xml:space="preserve"> septembre </w:t>
            </w:r>
            <w:r w:rsidRPr="006140CC">
              <w:rPr>
                <w:rStyle w:val="StyleDocoriginalNotBold1"/>
                <w:spacing w:val="0"/>
                <w:lang w:val="fr-FR"/>
              </w:rPr>
              <w:t>2014</w:t>
            </w:r>
          </w:p>
        </w:tc>
      </w:tr>
      <w:tr w:rsidR="00DB2441" w:rsidRPr="001E10C8" w:rsidTr="00852F29">
        <w:tc>
          <w:tcPr>
            <w:tcW w:w="10131" w:type="dxa"/>
            <w:gridSpan w:val="3"/>
          </w:tcPr>
          <w:p w:rsidR="00DB2441" w:rsidRPr="006140CC" w:rsidRDefault="00DB2441" w:rsidP="00852F29">
            <w:pPr>
              <w:pStyle w:val="upove"/>
              <w:rPr>
                <w:sz w:val="28"/>
                <w:lang w:val="fr-FR"/>
              </w:rPr>
            </w:pPr>
            <w:r w:rsidRPr="006140CC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DB2441" w:rsidRPr="006140CC" w:rsidTr="00852F29">
        <w:tc>
          <w:tcPr>
            <w:tcW w:w="10131" w:type="dxa"/>
            <w:gridSpan w:val="3"/>
          </w:tcPr>
          <w:p w:rsidR="00DB2441" w:rsidRPr="006140CC" w:rsidRDefault="00DB2441" w:rsidP="00852F29">
            <w:pPr>
              <w:pStyle w:val="Country"/>
              <w:rPr>
                <w:lang w:val="fr-FR"/>
              </w:rPr>
            </w:pPr>
            <w:r w:rsidRPr="006140CC">
              <w:rPr>
                <w:lang w:val="fr-FR"/>
              </w:rPr>
              <w:t>Genève</w:t>
            </w:r>
          </w:p>
        </w:tc>
      </w:tr>
    </w:tbl>
    <w:p w:rsidR="00DB2441" w:rsidRPr="006140CC" w:rsidRDefault="00DB2441" w:rsidP="00DB2441">
      <w:pPr>
        <w:pStyle w:val="Sessiontc"/>
        <w:rPr>
          <w:lang w:val="fr-FR"/>
        </w:rPr>
      </w:pPr>
      <w:r w:rsidRPr="006140CC">
        <w:rPr>
          <w:lang w:val="fr-FR"/>
        </w:rPr>
        <w:t>Comité administratif et juridique</w:t>
      </w:r>
    </w:p>
    <w:p w:rsidR="00DB2441" w:rsidRPr="006140CC" w:rsidRDefault="00DB2441" w:rsidP="00DB2441">
      <w:pPr>
        <w:pStyle w:val="Sessiontcplacedate"/>
        <w:rPr>
          <w:lang w:val="fr-FR"/>
        </w:rPr>
      </w:pPr>
      <w:r w:rsidRPr="006140CC">
        <w:rPr>
          <w:lang w:val="fr-FR"/>
        </w:rPr>
        <w:t>Soixante</w:t>
      </w:r>
      <w:r w:rsidRPr="006140CC">
        <w:rPr>
          <w:lang w:val="fr-FR"/>
        </w:rPr>
        <w:noBreakHyphen/>
        <w:t>dixième session</w:t>
      </w:r>
      <w:r w:rsidRPr="006140CC">
        <w:rPr>
          <w:lang w:val="fr-FR"/>
        </w:rPr>
        <w:br/>
        <w:t>Genève, 13 octobre 2014</w:t>
      </w:r>
    </w:p>
    <w:p w:rsidR="00B85CBA" w:rsidRPr="006140CC" w:rsidRDefault="00E25AC4" w:rsidP="00E25AC4">
      <w:pPr>
        <w:pStyle w:val="Titleofdoc0"/>
        <w:rPr>
          <w:lang w:val="fr-FR"/>
        </w:rPr>
      </w:pPr>
      <w:r w:rsidRPr="006140CC">
        <w:rPr>
          <w:lang w:val="fr-FR"/>
        </w:rPr>
        <w:t>Élaboration de matériel d</w:t>
      </w:r>
      <w:r w:rsidR="004274E1" w:rsidRPr="006140CC">
        <w:rPr>
          <w:lang w:val="fr-FR"/>
        </w:rPr>
        <w:t>’</w:t>
      </w:r>
      <w:r w:rsidRPr="006140CC">
        <w:rPr>
          <w:lang w:val="fr-FR"/>
        </w:rPr>
        <w:t xml:space="preserve">information </w:t>
      </w:r>
      <w:r w:rsidR="00DB2441" w:rsidRPr="006140CC">
        <w:rPr>
          <w:lang w:val="fr-FR"/>
        </w:rPr>
        <w:t>concernant</w:t>
      </w:r>
      <w:r w:rsidRPr="006140CC">
        <w:rPr>
          <w:lang w:val="fr-FR"/>
        </w:rPr>
        <w:t xml:space="preserve"> la </w:t>
      </w:r>
      <w:r w:rsidR="004274E1" w:rsidRPr="006140CC">
        <w:rPr>
          <w:lang w:val="fr-FR"/>
        </w:rPr>
        <w:t>Convention UPOV</w:t>
      </w:r>
    </w:p>
    <w:p w:rsidR="00B85CBA" w:rsidRPr="006140CC" w:rsidRDefault="00E25AC4" w:rsidP="00E25AC4">
      <w:pPr>
        <w:pStyle w:val="preparedby1"/>
        <w:rPr>
          <w:lang w:val="fr-FR"/>
        </w:rPr>
      </w:pPr>
      <w:bookmarkStart w:id="4" w:name="Prepared"/>
      <w:bookmarkEnd w:id="4"/>
      <w:r w:rsidRPr="006140CC">
        <w:rPr>
          <w:color w:val="000000"/>
          <w:lang w:val="fr-FR"/>
        </w:rPr>
        <w:t>Document établi par le Bureau de l</w:t>
      </w:r>
      <w:r w:rsidR="004274E1" w:rsidRPr="006140CC">
        <w:rPr>
          <w:color w:val="000000"/>
          <w:lang w:val="fr-FR"/>
        </w:rPr>
        <w:t>’</w:t>
      </w:r>
      <w:r w:rsidRPr="006140CC">
        <w:rPr>
          <w:color w:val="000000"/>
          <w:lang w:val="fr-FR"/>
        </w:rPr>
        <w:t>Union</w:t>
      </w:r>
      <w:r w:rsidR="00DB2441" w:rsidRPr="006140CC">
        <w:rPr>
          <w:color w:val="000000"/>
          <w:lang w:val="fr-FR"/>
        </w:rPr>
        <w:br/>
      </w:r>
      <w:r w:rsidR="00DB2441" w:rsidRPr="006140CC">
        <w:rPr>
          <w:color w:val="000000"/>
          <w:lang w:val="fr-FR"/>
        </w:rPr>
        <w:br/>
      </w:r>
      <w:r w:rsidR="00A331EC" w:rsidRPr="006140CC">
        <w:rPr>
          <w:color w:val="A6A6A6"/>
          <w:lang w:val="fr-FR"/>
        </w:rPr>
        <w:t>Avertissement : le présent document ne représente pas les principes ou les orientations de l</w:t>
      </w:r>
      <w:r w:rsidR="004274E1" w:rsidRPr="006140CC">
        <w:rPr>
          <w:color w:val="A6A6A6"/>
          <w:lang w:val="fr-FR"/>
        </w:rPr>
        <w:t>’</w:t>
      </w:r>
      <w:r w:rsidR="00A331EC" w:rsidRPr="006140CC">
        <w:rPr>
          <w:color w:val="A6A6A6"/>
          <w:lang w:val="fr-FR"/>
        </w:rPr>
        <w:t>UPOV</w:t>
      </w:r>
    </w:p>
    <w:p w:rsidR="00B85CBA" w:rsidRPr="006140CC" w:rsidRDefault="003F4782" w:rsidP="00C57DAB">
      <w:pPr>
        <w:jc w:val="left"/>
        <w:rPr>
          <w:rFonts w:cs="Arial"/>
          <w:b/>
          <w:snapToGrid w:val="0"/>
          <w:lang w:val="fr-FR"/>
        </w:rPr>
      </w:pPr>
      <w:r w:rsidRPr="006140CC">
        <w:rPr>
          <w:rFonts w:cs="Arial"/>
          <w:b/>
          <w:snapToGrid w:val="0"/>
          <w:lang w:val="fr-FR"/>
        </w:rPr>
        <w:t>Résumé analytique</w:t>
      </w:r>
      <w:r w:rsidR="002132BB" w:rsidRPr="006140CC">
        <w:rPr>
          <w:rStyle w:val="EndnoteReference"/>
          <w:rFonts w:cs="Arial"/>
          <w:b/>
          <w:snapToGrid w:val="0"/>
          <w:lang w:val="fr-FR"/>
        </w:rPr>
        <w:endnoteReference w:id="2"/>
      </w:r>
    </w:p>
    <w:p w:rsidR="00B85CBA" w:rsidRDefault="00B85CBA" w:rsidP="00C57DAB">
      <w:pPr>
        <w:jc w:val="left"/>
        <w:rPr>
          <w:rFonts w:cs="Arial"/>
          <w:b/>
          <w:snapToGrid w:val="0"/>
          <w:lang w:val="fr-FR"/>
        </w:rPr>
      </w:pPr>
    </w:p>
    <w:p w:rsidR="00242B27" w:rsidRPr="006140CC" w:rsidRDefault="00242B27" w:rsidP="00C57DAB">
      <w:pPr>
        <w:jc w:val="left"/>
        <w:rPr>
          <w:rFonts w:cs="Arial"/>
          <w:b/>
          <w:snapToGrid w:val="0"/>
          <w:lang w:val="fr-FR"/>
        </w:rPr>
      </w:pPr>
    </w:p>
    <w:p w:rsidR="00B85CBA" w:rsidRPr="006140CC" w:rsidRDefault="00826636" w:rsidP="00311F89">
      <w:pPr>
        <w:rPr>
          <w:lang w:val="fr-FR"/>
        </w:rPr>
      </w:pPr>
      <w:r w:rsidRPr="006140CC">
        <w:rPr>
          <w:lang w:val="fr-FR"/>
        </w:rPr>
        <w:fldChar w:fldCharType="begin"/>
      </w:r>
      <w:r w:rsidRPr="006140CC">
        <w:rPr>
          <w:lang w:val="fr-FR"/>
        </w:rPr>
        <w:instrText xml:space="preserve"> AUTONUM  </w:instrText>
      </w:r>
      <w:r w:rsidRPr="006140CC">
        <w:rPr>
          <w:lang w:val="fr-FR"/>
        </w:rPr>
        <w:fldChar w:fldCharType="end"/>
      </w:r>
      <w:r w:rsidRPr="006140CC">
        <w:rPr>
          <w:lang w:val="fr-FR"/>
        </w:rPr>
        <w:tab/>
      </w:r>
      <w:r w:rsidR="00A331EC" w:rsidRPr="006140CC">
        <w:rPr>
          <w:lang w:val="fr-FR"/>
        </w:rPr>
        <w:t>Le présent document a pour objet d</w:t>
      </w:r>
      <w:r w:rsidR="004274E1" w:rsidRPr="006140CC">
        <w:rPr>
          <w:lang w:val="fr-FR"/>
        </w:rPr>
        <w:t>’</w:t>
      </w:r>
      <w:r w:rsidR="00A331EC" w:rsidRPr="006140CC">
        <w:rPr>
          <w:lang w:val="fr-FR"/>
        </w:rPr>
        <w:t xml:space="preserve">apporter des informations </w:t>
      </w:r>
      <w:r w:rsidR="00311F89" w:rsidRPr="006140CC">
        <w:rPr>
          <w:lang w:val="fr-FR"/>
        </w:rPr>
        <w:t xml:space="preserve">sur le programme </w:t>
      </w:r>
      <w:r w:rsidR="00A331EC" w:rsidRPr="006140CC">
        <w:rPr>
          <w:lang w:val="fr-FR"/>
        </w:rPr>
        <w:t>d</w:t>
      </w:r>
      <w:r w:rsidR="004274E1" w:rsidRPr="006140CC">
        <w:rPr>
          <w:lang w:val="fr-FR"/>
        </w:rPr>
        <w:t>’</w:t>
      </w:r>
      <w:r w:rsidR="00311F89" w:rsidRPr="006140CC">
        <w:rPr>
          <w:lang w:val="fr-FR"/>
        </w:rPr>
        <w:t>élaboration d</w:t>
      </w:r>
      <w:r w:rsidR="00A331EC" w:rsidRPr="006140CC">
        <w:rPr>
          <w:lang w:val="fr-FR"/>
        </w:rPr>
        <w:t>u</w:t>
      </w:r>
      <w:r w:rsidR="00311F89" w:rsidRPr="006140CC">
        <w:rPr>
          <w:lang w:val="fr-FR"/>
        </w:rPr>
        <w:t xml:space="preserve"> matériel d</w:t>
      </w:r>
      <w:r w:rsidR="004274E1" w:rsidRPr="006140CC">
        <w:rPr>
          <w:lang w:val="fr-FR"/>
        </w:rPr>
        <w:t>’</w:t>
      </w:r>
      <w:r w:rsidR="00311F89" w:rsidRPr="006140CC">
        <w:rPr>
          <w:lang w:val="fr-FR"/>
        </w:rPr>
        <w:t>information.</w:t>
      </w:r>
    </w:p>
    <w:p w:rsidR="00B85CBA" w:rsidRPr="006140CC" w:rsidRDefault="00B85CBA" w:rsidP="00BB3B30">
      <w:pPr>
        <w:rPr>
          <w:lang w:val="fr-FR"/>
        </w:rPr>
      </w:pPr>
    </w:p>
    <w:p w:rsidR="004274E1" w:rsidRPr="006140CC" w:rsidRDefault="005C5D7E" w:rsidP="00311F89">
      <w:pPr>
        <w:rPr>
          <w:lang w:val="fr-FR"/>
        </w:rPr>
      </w:pPr>
      <w:r w:rsidRPr="006140CC">
        <w:rPr>
          <w:lang w:val="fr-FR"/>
        </w:rPr>
        <w:fldChar w:fldCharType="begin"/>
      </w:r>
      <w:r w:rsidRPr="006140CC">
        <w:rPr>
          <w:lang w:val="fr-FR"/>
        </w:rPr>
        <w:instrText xml:space="preserve"> AUTONUM  </w:instrText>
      </w:r>
      <w:r w:rsidRPr="006140CC">
        <w:rPr>
          <w:lang w:val="fr-FR"/>
        </w:rPr>
        <w:fldChar w:fldCharType="end"/>
      </w:r>
      <w:r w:rsidRPr="006140CC">
        <w:rPr>
          <w:lang w:val="fr-FR"/>
        </w:rPr>
        <w:tab/>
      </w:r>
      <w:r w:rsidR="00311F89" w:rsidRPr="006140CC">
        <w:rPr>
          <w:lang w:val="fr-FR"/>
        </w:rPr>
        <w:t>Le document rend notamment compte de ce qui suit</w:t>
      </w:r>
      <w:r w:rsidR="005369C2" w:rsidRPr="006140CC">
        <w:rPr>
          <w:lang w:val="fr-FR"/>
        </w:rPr>
        <w:t> </w:t>
      </w:r>
      <w:r w:rsidR="00311F89" w:rsidRPr="006140CC">
        <w:rPr>
          <w:lang w:val="fr-FR"/>
        </w:rPr>
        <w:t>:</w:t>
      </w:r>
    </w:p>
    <w:p w:rsidR="00B85CBA" w:rsidRPr="006140CC" w:rsidRDefault="00B85CBA" w:rsidP="00BB3B30">
      <w:pPr>
        <w:rPr>
          <w:lang w:val="fr-FR"/>
        </w:rPr>
      </w:pPr>
    </w:p>
    <w:p w:rsidR="00B85CBA" w:rsidRPr="006140CC" w:rsidRDefault="00CA776C" w:rsidP="00CA776C">
      <w:pPr>
        <w:pStyle w:val="ListParagraph"/>
        <w:numPr>
          <w:ilvl w:val="0"/>
          <w:numId w:val="9"/>
        </w:numPr>
        <w:ind w:left="0" w:firstLine="567"/>
        <w:rPr>
          <w:szCs w:val="24"/>
          <w:lang w:val="fr-FR"/>
        </w:rPr>
      </w:pPr>
      <w:r w:rsidRPr="006140CC">
        <w:rPr>
          <w:szCs w:val="24"/>
          <w:lang w:val="fr-FR"/>
        </w:rPr>
        <w:t xml:space="preserve">de nouvelles versions des notes explicatives concernant le matériel de reproduction </w:t>
      </w:r>
      <w:r w:rsidR="00A331EC" w:rsidRPr="006140CC">
        <w:rPr>
          <w:szCs w:val="24"/>
          <w:lang w:val="fr-FR"/>
        </w:rPr>
        <w:t xml:space="preserve">ou de multiplication végétative, le </w:t>
      </w:r>
      <w:r w:rsidRPr="006140CC">
        <w:rPr>
          <w:szCs w:val="24"/>
          <w:lang w:val="fr-FR"/>
        </w:rPr>
        <w:t xml:space="preserve">produit de </w:t>
      </w:r>
      <w:r w:rsidR="00D75862">
        <w:rPr>
          <w:szCs w:val="24"/>
          <w:lang w:val="fr-FR"/>
        </w:rPr>
        <w:t xml:space="preserve">la </w:t>
      </w:r>
      <w:r w:rsidRPr="006140CC">
        <w:rPr>
          <w:szCs w:val="24"/>
          <w:lang w:val="fr-FR"/>
        </w:rPr>
        <w:t xml:space="preserve">récolte, les variétés essentiellement dérivées, la déchéance, la nullité, les dénominations de la variété et la protection provisoire ont été diffusées en </w:t>
      </w:r>
      <w:r w:rsidR="004274E1" w:rsidRPr="006140CC">
        <w:rPr>
          <w:szCs w:val="24"/>
          <w:lang w:val="fr-FR"/>
        </w:rPr>
        <w:t>mai 20</w:t>
      </w:r>
      <w:r w:rsidRPr="006140CC">
        <w:rPr>
          <w:szCs w:val="24"/>
          <w:lang w:val="fr-FR"/>
        </w:rPr>
        <w:t>14, et des observations ont été transmises par les membres du CAJ</w:t>
      </w:r>
      <w:r w:rsidR="00A331EC" w:rsidRPr="006140CC">
        <w:rPr>
          <w:szCs w:val="24"/>
          <w:lang w:val="fr-FR"/>
        </w:rPr>
        <w:t xml:space="preserve"> et les observateurs auprès de ce comité</w:t>
      </w:r>
      <w:r w:rsidRPr="006140CC">
        <w:rPr>
          <w:szCs w:val="24"/>
          <w:lang w:val="fr-FR"/>
        </w:rPr>
        <w:t xml:space="preserve">;  en fonction de ces observations, de nouvelles versions des notes explicatives susmentionnées seront diffusées </w:t>
      </w:r>
      <w:r w:rsidR="009B7215" w:rsidRPr="006140CC">
        <w:rPr>
          <w:szCs w:val="24"/>
          <w:lang w:val="fr-FR"/>
        </w:rPr>
        <w:t>pour le</w:t>
      </w:r>
      <w:r w:rsidRPr="006140CC">
        <w:rPr>
          <w:szCs w:val="24"/>
          <w:lang w:val="fr-FR"/>
        </w:rPr>
        <w:t xml:space="preserve"> 2</w:t>
      </w:r>
      <w:r w:rsidR="004274E1" w:rsidRPr="006140CC">
        <w:rPr>
          <w:szCs w:val="24"/>
          <w:lang w:val="fr-FR"/>
        </w:rPr>
        <w:t>9 août 20</w:t>
      </w:r>
      <w:r w:rsidR="009B7215" w:rsidRPr="006140CC">
        <w:rPr>
          <w:szCs w:val="24"/>
          <w:lang w:val="fr-FR"/>
        </w:rPr>
        <w:t>14 et seront examinées par le</w:t>
      </w:r>
      <w:r w:rsidR="00A331EC" w:rsidRPr="006140CC">
        <w:rPr>
          <w:szCs w:val="24"/>
          <w:lang w:val="fr-FR"/>
        </w:rPr>
        <w:t> CAJ</w:t>
      </w:r>
      <w:r w:rsidR="00DB2441" w:rsidRPr="006140CC">
        <w:rPr>
          <w:szCs w:val="24"/>
          <w:lang w:val="fr-FR"/>
        </w:rPr>
        <w:noBreakHyphen/>
      </w:r>
      <w:r w:rsidR="00A331EC" w:rsidRPr="006140CC">
        <w:rPr>
          <w:szCs w:val="24"/>
          <w:lang w:val="fr-FR"/>
        </w:rPr>
        <w:t>AG,</w:t>
      </w:r>
      <w:r w:rsidRPr="006140CC">
        <w:rPr>
          <w:szCs w:val="24"/>
          <w:lang w:val="fr-FR"/>
        </w:rPr>
        <w:t xml:space="preserve"> à sa neuvième session qui se tiendra les 14 et 17 octobre 2014;  un compte rendu des travaux</w:t>
      </w:r>
      <w:r w:rsidR="004274E1" w:rsidRPr="006140CC">
        <w:rPr>
          <w:szCs w:val="24"/>
          <w:lang w:val="fr-FR"/>
        </w:rPr>
        <w:t xml:space="preserve"> du CAJ</w:t>
      </w:r>
      <w:r w:rsidR="00DB2441" w:rsidRPr="006140CC">
        <w:rPr>
          <w:szCs w:val="24"/>
          <w:lang w:val="fr-FR"/>
        </w:rPr>
        <w:noBreakHyphen/>
      </w:r>
      <w:r w:rsidRPr="006140CC">
        <w:rPr>
          <w:szCs w:val="24"/>
          <w:lang w:val="fr-FR"/>
        </w:rPr>
        <w:t>AG à sa neuviè</w:t>
      </w:r>
      <w:r w:rsidR="00A331EC" w:rsidRPr="006140CC">
        <w:rPr>
          <w:szCs w:val="24"/>
          <w:lang w:val="fr-FR"/>
        </w:rPr>
        <w:t>me session sera présenté</w:t>
      </w:r>
      <w:r w:rsidR="004274E1" w:rsidRPr="006140CC">
        <w:rPr>
          <w:szCs w:val="24"/>
          <w:lang w:val="fr-FR"/>
        </w:rPr>
        <w:t xml:space="preserve"> au CAJ</w:t>
      </w:r>
      <w:r w:rsidR="00A331EC" w:rsidRPr="006140CC">
        <w:rPr>
          <w:szCs w:val="24"/>
          <w:lang w:val="fr-FR"/>
        </w:rPr>
        <w:t xml:space="preserve">, </w:t>
      </w:r>
      <w:r w:rsidRPr="006140CC">
        <w:rPr>
          <w:szCs w:val="24"/>
          <w:lang w:val="fr-FR"/>
        </w:rPr>
        <w:t>à sa soixante</w:t>
      </w:r>
      <w:r w:rsidR="00D3241D">
        <w:rPr>
          <w:szCs w:val="24"/>
          <w:lang w:val="fr-FR"/>
        </w:rPr>
        <w:t> </w:t>
      </w:r>
      <w:r w:rsidRPr="006140CC">
        <w:rPr>
          <w:szCs w:val="24"/>
          <w:lang w:val="fr-FR"/>
        </w:rPr>
        <w:t>et</w:t>
      </w:r>
      <w:r w:rsidR="00D3241D">
        <w:rPr>
          <w:szCs w:val="24"/>
          <w:lang w:val="fr-FR"/>
        </w:rPr>
        <w:t> </w:t>
      </w:r>
      <w:r w:rsidRPr="006140CC">
        <w:rPr>
          <w:szCs w:val="24"/>
          <w:lang w:val="fr-FR"/>
        </w:rPr>
        <w:t>onzième</w:t>
      </w:r>
      <w:r w:rsidR="005369C2" w:rsidRPr="006140CC">
        <w:rPr>
          <w:szCs w:val="24"/>
          <w:lang w:val="fr-FR"/>
        </w:rPr>
        <w:t> </w:t>
      </w:r>
      <w:r w:rsidRPr="006140CC">
        <w:rPr>
          <w:szCs w:val="24"/>
          <w:lang w:val="fr-FR"/>
        </w:rPr>
        <w:t xml:space="preserve">session, qui se tiendra en </w:t>
      </w:r>
      <w:r w:rsidR="004274E1" w:rsidRPr="006140CC">
        <w:rPr>
          <w:szCs w:val="24"/>
          <w:lang w:val="fr-FR"/>
        </w:rPr>
        <w:t>mars 20</w:t>
      </w:r>
      <w:r w:rsidRPr="006140CC">
        <w:rPr>
          <w:szCs w:val="24"/>
          <w:lang w:val="fr-FR"/>
        </w:rPr>
        <w:t>15;</w:t>
      </w:r>
    </w:p>
    <w:p w:rsidR="00B85CBA" w:rsidRPr="006140CC" w:rsidRDefault="00B85CBA" w:rsidP="001B56EB">
      <w:pPr>
        <w:rPr>
          <w:szCs w:val="24"/>
          <w:lang w:val="fr-FR"/>
        </w:rPr>
      </w:pPr>
    </w:p>
    <w:p w:rsidR="00B85CBA" w:rsidRPr="006140CC" w:rsidRDefault="009A6956" w:rsidP="009A6956">
      <w:pPr>
        <w:pStyle w:val="ListParagraph"/>
        <w:numPr>
          <w:ilvl w:val="0"/>
          <w:numId w:val="9"/>
        </w:numPr>
        <w:ind w:left="0" w:firstLine="567"/>
        <w:rPr>
          <w:lang w:val="fr-FR"/>
        </w:rPr>
      </w:pPr>
      <w:r w:rsidRPr="006140CC">
        <w:rPr>
          <w:lang w:val="fr-FR"/>
        </w:rPr>
        <w:t xml:space="preserve">les versions </w:t>
      </w:r>
      <w:r w:rsidR="00A331EC" w:rsidRPr="006140CC">
        <w:rPr>
          <w:lang w:val="fr-FR"/>
        </w:rPr>
        <w:t xml:space="preserve">allemande, espagnole et française </w:t>
      </w:r>
      <w:r w:rsidRPr="006140CC">
        <w:rPr>
          <w:lang w:val="fr-FR"/>
        </w:rPr>
        <w:t>du compte rendu du “Séminaire sur les variétés essentiellement dérivées” (p</w:t>
      </w:r>
      <w:r w:rsidR="001E10C8">
        <w:rPr>
          <w:lang w:val="fr-FR"/>
        </w:rPr>
        <w:t>ublication UPOV n° </w:t>
      </w:r>
      <w:r w:rsidRPr="006140CC">
        <w:rPr>
          <w:lang w:val="fr-FR"/>
        </w:rPr>
        <w:t>358), qui s</w:t>
      </w:r>
      <w:r w:rsidR="004274E1" w:rsidRPr="006140CC">
        <w:rPr>
          <w:lang w:val="fr-FR"/>
        </w:rPr>
        <w:t>’</w:t>
      </w:r>
      <w:r w:rsidRPr="006140CC">
        <w:rPr>
          <w:lang w:val="fr-FR"/>
        </w:rPr>
        <w:t xml:space="preserve">est tenu à Genève le 22 octobre 2013, </w:t>
      </w:r>
      <w:r w:rsidR="00A331EC" w:rsidRPr="006140CC">
        <w:rPr>
          <w:lang w:val="fr-FR"/>
        </w:rPr>
        <w:t>sont</w:t>
      </w:r>
      <w:r w:rsidRPr="006140CC">
        <w:rPr>
          <w:lang w:val="fr-FR"/>
        </w:rPr>
        <w:t xml:space="preserve"> maintenant publiée</w:t>
      </w:r>
      <w:r w:rsidR="00A331EC" w:rsidRPr="006140CC">
        <w:rPr>
          <w:lang w:val="fr-FR"/>
        </w:rPr>
        <w:t>s</w:t>
      </w:r>
      <w:r w:rsidRPr="006140CC">
        <w:rPr>
          <w:lang w:val="fr-FR"/>
        </w:rPr>
        <w:t xml:space="preserve"> sur le site Web de l</w:t>
      </w:r>
      <w:r w:rsidR="004274E1" w:rsidRPr="006140CC">
        <w:rPr>
          <w:lang w:val="fr-FR"/>
        </w:rPr>
        <w:t>’</w:t>
      </w:r>
      <w:r w:rsidRPr="006140CC">
        <w:rPr>
          <w:lang w:val="fr-FR"/>
        </w:rPr>
        <w:t xml:space="preserve">UPOV </w:t>
      </w:r>
      <w:r w:rsidR="00A331EC" w:rsidRPr="006140CC">
        <w:rPr>
          <w:lang w:val="fr-FR"/>
        </w:rPr>
        <w:t>à l</w:t>
      </w:r>
      <w:r w:rsidR="004274E1" w:rsidRPr="006140CC">
        <w:rPr>
          <w:lang w:val="fr-FR"/>
        </w:rPr>
        <w:t>’</w:t>
      </w:r>
      <w:r w:rsidR="00A331EC" w:rsidRPr="006140CC">
        <w:rPr>
          <w:lang w:val="fr-FR"/>
        </w:rPr>
        <w:t xml:space="preserve">adresse </w:t>
      </w:r>
      <w:r w:rsidRPr="006140CC">
        <w:rPr>
          <w:lang w:val="fr-FR"/>
        </w:rPr>
        <w:t>(</w:t>
      </w:r>
      <w:hyperlink r:id="rId11" w:history="1">
        <w:r w:rsidRPr="00BB5FC0">
          <w:rPr>
            <w:rStyle w:val="Hyperlink"/>
            <w:lang w:val="fr-FR"/>
          </w:rPr>
          <w:t>http://www.upov.int/meetings/fr/details.jsp?meeting_id=29782</w:t>
        </w:r>
      </w:hyperlink>
      <w:r w:rsidRPr="006140CC">
        <w:rPr>
          <w:lang w:val="fr-FR"/>
        </w:rPr>
        <w:t>).</w:t>
      </w:r>
    </w:p>
    <w:p w:rsidR="00B85CBA" w:rsidRPr="00BB5FC0" w:rsidRDefault="00B85CBA" w:rsidP="00BB5FC0">
      <w:pPr>
        <w:rPr>
          <w:lang w:val="fr-FR"/>
        </w:rPr>
      </w:pPr>
    </w:p>
    <w:p w:rsidR="00B85CBA" w:rsidRPr="006140CC" w:rsidRDefault="005C5D7E" w:rsidP="009A6956">
      <w:pPr>
        <w:pStyle w:val="ListParagraph"/>
        <w:ind w:left="0"/>
        <w:rPr>
          <w:szCs w:val="24"/>
          <w:lang w:val="fr-FR"/>
        </w:rPr>
      </w:pPr>
      <w:r w:rsidRPr="006140CC">
        <w:rPr>
          <w:lang w:val="fr-FR"/>
        </w:rPr>
        <w:fldChar w:fldCharType="begin"/>
      </w:r>
      <w:r w:rsidRPr="006140CC">
        <w:rPr>
          <w:lang w:val="fr-FR"/>
        </w:rPr>
        <w:instrText xml:space="preserve"> AUTONUM  </w:instrText>
      </w:r>
      <w:r w:rsidRPr="006140CC">
        <w:rPr>
          <w:lang w:val="fr-FR"/>
        </w:rPr>
        <w:fldChar w:fldCharType="end"/>
      </w:r>
      <w:r w:rsidRPr="006140CC">
        <w:rPr>
          <w:lang w:val="fr-FR"/>
        </w:rPr>
        <w:tab/>
      </w:r>
      <w:r w:rsidR="00A331EC" w:rsidRPr="006140CC">
        <w:rPr>
          <w:lang w:val="fr-FR"/>
        </w:rPr>
        <w:t>L</w:t>
      </w:r>
      <w:r w:rsidR="009A6956" w:rsidRPr="006140CC">
        <w:rPr>
          <w:lang w:val="fr-FR"/>
        </w:rPr>
        <w:t>e document indique également que les faits nouveaux concernant les sujets ci</w:t>
      </w:r>
      <w:r w:rsidR="00DB2441" w:rsidRPr="006140CC">
        <w:rPr>
          <w:lang w:val="fr-FR"/>
        </w:rPr>
        <w:noBreakHyphen/>
      </w:r>
      <w:r w:rsidR="009A6956" w:rsidRPr="006140CC">
        <w:rPr>
          <w:lang w:val="fr-FR"/>
        </w:rPr>
        <w:t>après ne sont pas examinés dans le présent document mais dans les documents CAJ/70/3 et CAJ/70/5, respectivement</w:t>
      </w:r>
      <w:r w:rsidR="005369C2" w:rsidRPr="006140CC">
        <w:rPr>
          <w:lang w:val="fr-FR"/>
        </w:rPr>
        <w:t> </w:t>
      </w:r>
      <w:r w:rsidR="009A6956" w:rsidRPr="006140CC">
        <w:rPr>
          <w:lang w:val="fr-FR"/>
        </w:rPr>
        <w:t>:</w:t>
      </w:r>
    </w:p>
    <w:p w:rsidR="00B85CBA" w:rsidRPr="006140CC" w:rsidRDefault="00B85CBA" w:rsidP="00BB3B30">
      <w:pPr>
        <w:pStyle w:val="ListParagraph"/>
        <w:ind w:left="0"/>
        <w:rPr>
          <w:szCs w:val="24"/>
          <w:lang w:val="fr-FR"/>
        </w:rPr>
      </w:pPr>
    </w:p>
    <w:p w:rsidR="004274E1" w:rsidRPr="006140CC" w:rsidRDefault="009A6956" w:rsidP="009A6956">
      <w:pPr>
        <w:pStyle w:val="ListParagraph"/>
        <w:numPr>
          <w:ilvl w:val="0"/>
          <w:numId w:val="11"/>
        </w:numPr>
        <w:ind w:left="0" w:firstLine="567"/>
        <w:rPr>
          <w:szCs w:val="24"/>
          <w:lang w:val="fr-FR"/>
        </w:rPr>
      </w:pPr>
      <w:r w:rsidRPr="006140CC">
        <w:rPr>
          <w:szCs w:val="24"/>
          <w:lang w:val="fr-FR"/>
        </w:rPr>
        <w:t>faits nouveaux concernant la révision du document UPOV/INF/5 “Bulletin type de l</w:t>
      </w:r>
      <w:r w:rsidR="004274E1" w:rsidRPr="006140CC">
        <w:rPr>
          <w:szCs w:val="24"/>
          <w:lang w:val="fr-FR"/>
        </w:rPr>
        <w:t>’</w:t>
      </w:r>
      <w:r w:rsidRPr="006140CC">
        <w:rPr>
          <w:szCs w:val="24"/>
          <w:lang w:val="fr-FR"/>
        </w:rPr>
        <w:t xml:space="preserve">UPOV de la protection des obtentions végétales” (document CAJ/70/3); </w:t>
      </w:r>
      <w:r w:rsidR="005369C2" w:rsidRPr="006140CC">
        <w:rPr>
          <w:szCs w:val="24"/>
          <w:lang w:val="fr-FR"/>
        </w:rPr>
        <w:t xml:space="preserve"> </w:t>
      </w:r>
      <w:r w:rsidRPr="006140CC">
        <w:rPr>
          <w:szCs w:val="24"/>
          <w:lang w:val="fr-FR"/>
        </w:rPr>
        <w:t>et</w:t>
      </w:r>
    </w:p>
    <w:p w:rsidR="00B85CBA" w:rsidRPr="006140CC" w:rsidRDefault="00B85CBA" w:rsidP="002114E4">
      <w:pPr>
        <w:rPr>
          <w:szCs w:val="24"/>
          <w:lang w:val="fr-FR"/>
        </w:rPr>
      </w:pPr>
    </w:p>
    <w:p w:rsidR="004274E1" w:rsidRPr="006140CC" w:rsidRDefault="009A6956" w:rsidP="009A6956">
      <w:pPr>
        <w:pStyle w:val="ListParagraph"/>
        <w:numPr>
          <w:ilvl w:val="0"/>
          <w:numId w:val="11"/>
        </w:numPr>
        <w:ind w:left="0" w:firstLine="567"/>
        <w:rPr>
          <w:szCs w:val="24"/>
          <w:lang w:val="fr-FR"/>
        </w:rPr>
      </w:pPr>
      <w:r w:rsidRPr="006140CC">
        <w:rPr>
          <w:szCs w:val="24"/>
          <w:lang w:val="fr-FR"/>
        </w:rPr>
        <w:t>faits nouveaux concernant la révision du document UPOV/INF/15 “Document d</w:t>
      </w:r>
      <w:r w:rsidR="004274E1" w:rsidRPr="006140CC">
        <w:rPr>
          <w:szCs w:val="24"/>
          <w:lang w:val="fr-FR"/>
        </w:rPr>
        <w:t>’</w:t>
      </w:r>
      <w:r w:rsidRPr="006140CC">
        <w:rPr>
          <w:szCs w:val="24"/>
          <w:lang w:val="fr-FR"/>
        </w:rPr>
        <w:t>orientation destiné aux membres de l</w:t>
      </w:r>
      <w:r w:rsidR="004274E1" w:rsidRPr="006140CC">
        <w:rPr>
          <w:szCs w:val="24"/>
          <w:lang w:val="fr-FR"/>
        </w:rPr>
        <w:t>’</w:t>
      </w:r>
      <w:r w:rsidRPr="006140CC">
        <w:rPr>
          <w:szCs w:val="24"/>
          <w:lang w:val="fr-FR"/>
        </w:rPr>
        <w:t>UPOV concernant les obligations en cours et les notifications connexes</w:t>
      </w:r>
      <w:r w:rsidR="00B85CBA" w:rsidRPr="006140CC">
        <w:rPr>
          <w:szCs w:val="24"/>
          <w:lang w:val="fr-FR"/>
        </w:rPr>
        <w:t>,</w:t>
      </w:r>
      <w:r w:rsidRPr="006140CC">
        <w:rPr>
          <w:szCs w:val="24"/>
          <w:lang w:val="fr-FR"/>
        </w:rPr>
        <w:t xml:space="preserve"> ainsi que la fourniture d</w:t>
      </w:r>
      <w:r w:rsidR="004274E1" w:rsidRPr="006140CC">
        <w:rPr>
          <w:szCs w:val="24"/>
          <w:lang w:val="fr-FR"/>
        </w:rPr>
        <w:t>’</w:t>
      </w:r>
      <w:r w:rsidRPr="006140CC">
        <w:rPr>
          <w:szCs w:val="24"/>
          <w:lang w:val="fr-FR"/>
        </w:rPr>
        <w:t>informations visant à faciliter la coopération” (voir le document CAJ/70/5).</w:t>
      </w:r>
    </w:p>
    <w:p w:rsidR="00B85CBA" w:rsidRPr="006140CC" w:rsidRDefault="00B85CBA" w:rsidP="00BB3B30">
      <w:pPr>
        <w:pStyle w:val="ListParagraph"/>
        <w:ind w:left="0"/>
        <w:rPr>
          <w:szCs w:val="24"/>
          <w:lang w:val="fr-FR"/>
        </w:rPr>
      </w:pPr>
    </w:p>
    <w:p w:rsidR="00BB5FC0" w:rsidRDefault="00BB5FC0">
      <w:pPr>
        <w:jc w:val="left"/>
        <w:rPr>
          <w:u w:val="single"/>
          <w:lang w:val="fr-FR"/>
        </w:rPr>
      </w:pPr>
      <w:r>
        <w:rPr>
          <w:u w:val="single"/>
          <w:lang w:val="fr-FR"/>
        </w:rPr>
        <w:br w:type="page"/>
      </w:r>
    </w:p>
    <w:p w:rsidR="00B85CBA" w:rsidRPr="006140CC" w:rsidRDefault="009A6956" w:rsidP="009A6956">
      <w:pPr>
        <w:rPr>
          <w:u w:val="single"/>
          <w:lang w:val="fr-FR"/>
        </w:rPr>
      </w:pPr>
      <w:r w:rsidRPr="006140CC">
        <w:rPr>
          <w:u w:val="single"/>
          <w:lang w:val="fr-FR"/>
        </w:rPr>
        <w:lastRenderedPageBreak/>
        <w:t>Table des matières</w:t>
      </w:r>
    </w:p>
    <w:p w:rsidR="00B85CBA" w:rsidRPr="006140CC" w:rsidRDefault="00B85CBA" w:rsidP="00B27C88">
      <w:pPr>
        <w:rPr>
          <w:lang w:val="fr-FR"/>
        </w:rPr>
      </w:pPr>
    </w:p>
    <w:p w:rsidR="007A7CD4" w:rsidRDefault="00B27C88" w:rsidP="00B7255C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FR" w:eastAsia="fr-FR"/>
        </w:rPr>
      </w:pPr>
      <w:r w:rsidRPr="006140CC">
        <w:rPr>
          <w:rFonts w:eastAsia="Arial Unicode MS" w:cs="Arial"/>
          <w:b/>
          <w:noProof w:val="0"/>
          <w:lang w:val="fr-FR"/>
        </w:rPr>
        <w:fldChar w:fldCharType="begin"/>
      </w:r>
      <w:r w:rsidRPr="006140CC">
        <w:rPr>
          <w:rFonts w:eastAsia="Arial Unicode MS" w:cs="Arial"/>
          <w:b/>
          <w:noProof w:val="0"/>
          <w:lang w:val="fr-FR"/>
        </w:rPr>
        <w:instrText xml:space="preserve"> TOC \o "1-3" \u </w:instrText>
      </w:r>
      <w:r w:rsidRPr="006140CC">
        <w:rPr>
          <w:rFonts w:eastAsia="Arial Unicode MS" w:cs="Arial"/>
          <w:b/>
          <w:noProof w:val="0"/>
          <w:lang w:val="fr-FR"/>
        </w:rPr>
        <w:fldChar w:fldCharType="separate"/>
      </w:r>
      <w:r w:rsidR="007A7CD4" w:rsidRPr="00100B55">
        <w:rPr>
          <w:lang w:val="fr-FR"/>
        </w:rPr>
        <w:t>Rappel</w:t>
      </w:r>
      <w:r w:rsidR="007A7CD4" w:rsidRPr="001E10C8">
        <w:rPr>
          <w:lang w:val="fr-CH"/>
        </w:rPr>
        <w:tab/>
      </w:r>
      <w:r w:rsidR="007A7CD4">
        <w:fldChar w:fldCharType="begin"/>
      </w:r>
      <w:r w:rsidR="007A7CD4" w:rsidRPr="001E10C8">
        <w:rPr>
          <w:lang w:val="fr-CH"/>
        </w:rPr>
        <w:instrText xml:space="preserve"> PAGEREF _Toc397003939 \h </w:instrText>
      </w:r>
      <w:r w:rsidR="007A7CD4">
        <w:fldChar w:fldCharType="separate"/>
      </w:r>
      <w:r w:rsidR="00FD7134">
        <w:rPr>
          <w:lang w:val="fr-CH"/>
        </w:rPr>
        <w:t>2</w:t>
      </w:r>
      <w:r w:rsidR="007A7CD4">
        <w:fldChar w:fldCharType="end"/>
      </w:r>
    </w:p>
    <w:p w:rsidR="007A7CD4" w:rsidRDefault="007A7CD4" w:rsidP="00B7255C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FR" w:eastAsia="fr-FR"/>
        </w:rPr>
      </w:pPr>
      <w:r w:rsidRPr="00100B55">
        <w:rPr>
          <w:lang w:val="fr-FR"/>
        </w:rPr>
        <w:t>Aperçu général du matériel d’information</w:t>
      </w:r>
      <w:r w:rsidRPr="001E10C8">
        <w:rPr>
          <w:lang w:val="fr-CH"/>
        </w:rPr>
        <w:tab/>
      </w:r>
      <w:r>
        <w:fldChar w:fldCharType="begin"/>
      </w:r>
      <w:r w:rsidRPr="001E10C8">
        <w:rPr>
          <w:lang w:val="fr-CH"/>
        </w:rPr>
        <w:instrText xml:space="preserve"> PAGEREF _Toc397003940 \h </w:instrText>
      </w:r>
      <w:r>
        <w:fldChar w:fldCharType="separate"/>
      </w:r>
      <w:r w:rsidR="00FD7134">
        <w:rPr>
          <w:lang w:val="fr-CH"/>
        </w:rPr>
        <w:t>2</w:t>
      </w:r>
      <w:r>
        <w:fldChar w:fldCharType="end"/>
      </w:r>
    </w:p>
    <w:p w:rsidR="007A7CD4" w:rsidRDefault="007A7CD4" w:rsidP="00B7255C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FR" w:eastAsia="fr-FR"/>
        </w:rPr>
      </w:pPr>
      <w:r w:rsidRPr="00100B55">
        <w:rPr>
          <w:lang w:val="fr-FR"/>
        </w:rPr>
        <w:t>Questions à examiner par le CAJ</w:t>
      </w:r>
      <w:r w:rsidRPr="00100B55">
        <w:rPr>
          <w:lang w:val="fr-FR"/>
        </w:rPr>
        <w:noBreakHyphen/>
        <w:t>AG à sa neuvième session</w:t>
      </w:r>
      <w:r w:rsidRPr="001E10C8">
        <w:rPr>
          <w:lang w:val="fr-CH"/>
        </w:rPr>
        <w:tab/>
      </w:r>
      <w:r>
        <w:fldChar w:fldCharType="begin"/>
      </w:r>
      <w:r w:rsidRPr="001E10C8">
        <w:rPr>
          <w:lang w:val="fr-CH"/>
        </w:rPr>
        <w:instrText xml:space="preserve"> PAGEREF _Toc397003941 \h </w:instrText>
      </w:r>
      <w:r>
        <w:fldChar w:fldCharType="separate"/>
      </w:r>
      <w:r w:rsidR="00FD7134">
        <w:rPr>
          <w:lang w:val="fr-CH"/>
        </w:rPr>
        <w:t>2</w:t>
      </w:r>
      <w:r>
        <w:fldChar w:fldCharType="end"/>
      </w:r>
    </w:p>
    <w:p w:rsidR="007A7CD4" w:rsidRDefault="007A7CD4" w:rsidP="00B7255C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FR" w:eastAsia="fr-FR"/>
        </w:rPr>
      </w:pPr>
      <w:r w:rsidRPr="00100B55">
        <w:rPr>
          <w:lang w:val="fr-FR"/>
        </w:rPr>
        <w:t>Mise à jour du document UPOV/INF/5 “Bulletin type de l’UPOV de la protection des obtentions végétales”</w:t>
      </w:r>
      <w:r w:rsidRPr="001E10C8">
        <w:rPr>
          <w:lang w:val="fr-CH"/>
        </w:rPr>
        <w:tab/>
      </w:r>
      <w:r>
        <w:fldChar w:fldCharType="begin"/>
      </w:r>
      <w:r w:rsidRPr="001E10C8">
        <w:rPr>
          <w:lang w:val="fr-CH"/>
        </w:rPr>
        <w:instrText xml:space="preserve"> PAGEREF _Toc397003942 \h </w:instrText>
      </w:r>
      <w:r>
        <w:fldChar w:fldCharType="separate"/>
      </w:r>
      <w:r w:rsidR="00FD7134">
        <w:rPr>
          <w:lang w:val="fr-CH"/>
        </w:rPr>
        <w:t>4</w:t>
      </w:r>
      <w:r>
        <w:fldChar w:fldCharType="end"/>
      </w:r>
    </w:p>
    <w:p w:rsidR="007A7CD4" w:rsidRDefault="007A7CD4" w:rsidP="00B7255C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FR" w:eastAsia="fr-FR"/>
        </w:rPr>
      </w:pPr>
      <w:r w:rsidRPr="00100B55">
        <w:rPr>
          <w:lang w:val="fr-FR"/>
        </w:rPr>
        <w:t>Révision du document UPOV/INF/15 “Document d’orientation destiné aux membres de l’UPOV concernant les obligations en cours et les notifications connexes ainsi que la fourniture d’informations visant à faciliter la coopération”</w:t>
      </w:r>
      <w:r w:rsidRPr="001E10C8">
        <w:rPr>
          <w:lang w:val="fr-CH"/>
        </w:rPr>
        <w:tab/>
      </w:r>
      <w:r>
        <w:fldChar w:fldCharType="begin"/>
      </w:r>
      <w:r w:rsidRPr="001E10C8">
        <w:rPr>
          <w:lang w:val="fr-CH"/>
        </w:rPr>
        <w:instrText xml:space="preserve"> PAGEREF _Toc397003943 \h </w:instrText>
      </w:r>
      <w:r>
        <w:fldChar w:fldCharType="separate"/>
      </w:r>
      <w:r w:rsidR="00FD7134">
        <w:rPr>
          <w:lang w:val="fr-CH"/>
        </w:rPr>
        <w:t>4</w:t>
      </w:r>
      <w:r>
        <w:fldChar w:fldCharType="end"/>
      </w:r>
    </w:p>
    <w:p w:rsidR="007A7CD4" w:rsidRDefault="007A7CD4" w:rsidP="00B7255C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FR" w:eastAsia="fr-FR"/>
        </w:rPr>
      </w:pPr>
      <w:r w:rsidRPr="00100B55">
        <w:rPr>
          <w:lang w:val="fr-FR"/>
        </w:rPr>
        <w:t>Compte rendu du “Séminaire sur les variétés essentiellement dérivées” en français, allemand et espagnol</w:t>
      </w:r>
      <w:r w:rsidRPr="001E10C8">
        <w:rPr>
          <w:lang w:val="fr-CH"/>
        </w:rPr>
        <w:tab/>
      </w:r>
      <w:r>
        <w:fldChar w:fldCharType="begin"/>
      </w:r>
      <w:r w:rsidRPr="001E10C8">
        <w:rPr>
          <w:lang w:val="fr-CH"/>
        </w:rPr>
        <w:instrText xml:space="preserve"> PAGEREF _Toc397003944 \h </w:instrText>
      </w:r>
      <w:r>
        <w:fldChar w:fldCharType="separate"/>
      </w:r>
      <w:r w:rsidR="00FD7134">
        <w:rPr>
          <w:lang w:val="fr-CH"/>
        </w:rPr>
        <w:t>5</w:t>
      </w:r>
      <w:r>
        <w:fldChar w:fldCharType="end"/>
      </w:r>
    </w:p>
    <w:p w:rsidR="00B85CBA" w:rsidRPr="006140CC" w:rsidRDefault="00B27C88" w:rsidP="00221435">
      <w:pPr>
        <w:tabs>
          <w:tab w:val="left" w:pos="567"/>
        </w:tabs>
        <w:spacing w:line="360" w:lineRule="auto"/>
        <w:rPr>
          <w:rFonts w:eastAsia="Arial Unicode MS" w:cs="Arial"/>
          <w:b/>
          <w:bCs/>
          <w:caps/>
          <w:lang w:val="fr-FR"/>
        </w:rPr>
      </w:pPr>
      <w:r w:rsidRPr="006140CC">
        <w:rPr>
          <w:rFonts w:eastAsia="Arial Unicode MS" w:cs="Arial"/>
          <w:b/>
          <w:bCs/>
          <w:caps/>
          <w:lang w:val="fr-FR"/>
        </w:rPr>
        <w:fldChar w:fldCharType="end"/>
      </w:r>
    </w:p>
    <w:p w:rsidR="00B85CBA" w:rsidRPr="006140CC" w:rsidRDefault="00B85CBA" w:rsidP="00B27C88">
      <w:pPr>
        <w:tabs>
          <w:tab w:val="left" w:pos="567"/>
        </w:tabs>
        <w:rPr>
          <w:rFonts w:eastAsia="Arial Unicode MS" w:cs="Arial"/>
          <w:b/>
          <w:bCs/>
          <w:caps/>
          <w:lang w:val="fr-FR"/>
        </w:rPr>
      </w:pPr>
    </w:p>
    <w:p w:rsidR="00B85CBA" w:rsidRPr="006140CC" w:rsidRDefault="00852F29" w:rsidP="00852F29">
      <w:pPr>
        <w:pStyle w:val="Heading1"/>
        <w:rPr>
          <w:lang w:val="fr-FR"/>
        </w:rPr>
      </w:pPr>
      <w:bookmarkStart w:id="5" w:name="_Toc397003939"/>
      <w:r w:rsidRPr="006140CC">
        <w:rPr>
          <w:lang w:val="fr-FR"/>
        </w:rPr>
        <w:t>Rappel</w:t>
      </w:r>
      <w:bookmarkEnd w:id="5"/>
    </w:p>
    <w:p w:rsidR="00B85CBA" w:rsidRPr="006140CC" w:rsidRDefault="00B85CBA" w:rsidP="00B27C88">
      <w:pPr>
        <w:keepNext/>
        <w:rPr>
          <w:rFonts w:cs="Arial"/>
          <w:lang w:val="fr-FR"/>
        </w:rPr>
      </w:pPr>
    </w:p>
    <w:p w:rsidR="00B85CBA" w:rsidRPr="006140CC" w:rsidRDefault="00B27C88" w:rsidP="009A6956">
      <w:pPr>
        <w:rPr>
          <w:lang w:val="fr-FR"/>
        </w:rPr>
      </w:pPr>
      <w:r w:rsidRPr="006140CC">
        <w:rPr>
          <w:lang w:val="fr-FR"/>
        </w:rPr>
        <w:fldChar w:fldCharType="begin"/>
      </w:r>
      <w:r w:rsidRPr="006140CC">
        <w:rPr>
          <w:lang w:val="fr-FR"/>
        </w:rPr>
        <w:instrText xml:space="preserve"> AUTONUM  </w:instrText>
      </w:r>
      <w:r w:rsidRPr="006140CC">
        <w:rPr>
          <w:lang w:val="fr-FR"/>
        </w:rPr>
        <w:fldChar w:fldCharType="end"/>
      </w:r>
      <w:r w:rsidRPr="006140CC">
        <w:rPr>
          <w:lang w:val="fr-FR"/>
        </w:rPr>
        <w:tab/>
      </w:r>
      <w:r w:rsidR="009A6956" w:rsidRPr="006140CC">
        <w:rPr>
          <w:lang w:val="fr-FR"/>
        </w:rPr>
        <w:t>Le CAJ</w:t>
      </w:r>
      <w:r w:rsidR="009A6956" w:rsidRPr="006140CC">
        <w:rPr>
          <w:rStyle w:val="FootnoteReference"/>
          <w:lang w:val="fr-FR"/>
        </w:rPr>
        <w:footnoteReference w:id="2"/>
      </w:r>
      <w:r w:rsidR="009A6956" w:rsidRPr="006140CC">
        <w:rPr>
          <w:lang w:val="fr-FR"/>
        </w:rPr>
        <w:t xml:space="preserve"> a approuvé une méthode d</w:t>
      </w:r>
      <w:r w:rsidR="004274E1" w:rsidRPr="006140CC">
        <w:rPr>
          <w:lang w:val="fr-FR"/>
        </w:rPr>
        <w:t>’</w:t>
      </w:r>
      <w:r w:rsidR="009A6956" w:rsidRPr="006140CC">
        <w:rPr>
          <w:lang w:val="fr-FR"/>
        </w:rPr>
        <w:t>élaboration de matériel d</w:t>
      </w:r>
      <w:r w:rsidR="004274E1" w:rsidRPr="006140CC">
        <w:rPr>
          <w:lang w:val="fr-FR"/>
        </w:rPr>
        <w:t>’</w:t>
      </w:r>
      <w:r w:rsidR="009A6956" w:rsidRPr="006140CC">
        <w:rPr>
          <w:lang w:val="fr-FR"/>
        </w:rPr>
        <w:t xml:space="preserve">information concernant la </w:t>
      </w:r>
      <w:r w:rsidR="004274E1" w:rsidRPr="006140CC">
        <w:rPr>
          <w:lang w:val="fr-FR"/>
        </w:rPr>
        <w:t>Convention UPOV</w:t>
      </w:r>
      <w:r w:rsidR="009A6956" w:rsidRPr="006140CC">
        <w:rPr>
          <w:rStyle w:val="FootnoteReference"/>
          <w:lang w:val="fr-FR"/>
        </w:rPr>
        <w:footnoteReference w:id="3"/>
      </w:r>
      <w:r w:rsidR="009A6956" w:rsidRPr="006140CC">
        <w:rPr>
          <w:lang w:val="fr-FR"/>
        </w:rPr>
        <w:t>.</w:t>
      </w:r>
      <w:r w:rsidR="00DD0067" w:rsidRPr="006140CC">
        <w:rPr>
          <w:lang w:val="fr-FR"/>
        </w:rPr>
        <w:t xml:space="preserve">  </w:t>
      </w:r>
      <w:r w:rsidR="009A6956" w:rsidRPr="006140CC">
        <w:rPr>
          <w:lang w:val="fr-FR"/>
        </w:rPr>
        <w:t>Il est également convenu de la création d</w:t>
      </w:r>
      <w:r w:rsidR="004274E1" w:rsidRPr="006140CC">
        <w:rPr>
          <w:lang w:val="fr-FR"/>
        </w:rPr>
        <w:t>’</w:t>
      </w:r>
      <w:r w:rsidR="009A6956" w:rsidRPr="006140CC">
        <w:rPr>
          <w:lang w:val="fr-FR"/>
        </w:rPr>
        <w:t>un groupe consultatif</w:t>
      </w:r>
      <w:r w:rsidR="004274E1" w:rsidRPr="006140CC">
        <w:rPr>
          <w:lang w:val="fr-FR"/>
        </w:rPr>
        <w:t xml:space="preserve"> du CAJ</w:t>
      </w:r>
      <w:r w:rsidR="009A6956" w:rsidRPr="006140CC">
        <w:rPr>
          <w:lang w:val="fr-FR"/>
        </w:rPr>
        <w:t xml:space="preserve"> (“CAJ</w:t>
      </w:r>
      <w:r w:rsidR="00DB2441" w:rsidRPr="006140CC">
        <w:rPr>
          <w:lang w:val="fr-FR"/>
        </w:rPr>
        <w:noBreakHyphen/>
      </w:r>
      <w:r w:rsidR="009A6956" w:rsidRPr="006140CC">
        <w:rPr>
          <w:lang w:val="fr-FR"/>
        </w:rPr>
        <w:t>AG”) chargé d</w:t>
      </w:r>
      <w:r w:rsidR="004274E1" w:rsidRPr="006140CC">
        <w:rPr>
          <w:lang w:val="fr-FR"/>
        </w:rPr>
        <w:t>’</w:t>
      </w:r>
      <w:r w:rsidR="009A6956" w:rsidRPr="006140CC">
        <w:rPr>
          <w:lang w:val="fr-FR"/>
        </w:rPr>
        <w:t>aider à élaborer des documents relatifs à ce matériel</w:t>
      </w:r>
      <w:r w:rsidR="009A6956" w:rsidRPr="006140CC">
        <w:rPr>
          <w:rStyle w:val="FootnoteReference"/>
          <w:lang w:val="fr-FR"/>
        </w:rPr>
        <w:footnoteReference w:id="4"/>
      </w:r>
      <w:r w:rsidR="009A6956" w:rsidRPr="006140CC">
        <w:rPr>
          <w:lang w:val="fr-FR"/>
        </w:rPr>
        <w:t>.</w:t>
      </w:r>
    </w:p>
    <w:p w:rsidR="00B85CBA" w:rsidRPr="006140CC" w:rsidRDefault="00B85CBA" w:rsidP="00B27C88">
      <w:pPr>
        <w:rPr>
          <w:lang w:val="fr-FR"/>
        </w:rPr>
      </w:pPr>
    </w:p>
    <w:p w:rsidR="004274E1" w:rsidRPr="006140CC" w:rsidRDefault="00B27C88" w:rsidP="009A6956">
      <w:pPr>
        <w:rPr>
          <w:lang w:val="fr-FR"/>
        </w:rPr>
      </w:pPr>
      <w:r w:rsidRPr="006140CC">
        <w:rPr>
          <w:lang w:val="fr-FR"/>
        </w:rPr>
        <w:fldChar w:fldCharType="begin"/>
      </w:r>
      <w:r w:rsidRPr="006140CC">
        <w:rPr>
          <w:lang w:val="fr-FR"/>
        </w:rPr>
        <w:instrText xml:space="preserve"> AUTONUM  </w:instrText>
      </w:r>
      <w:r w:rsidRPr="006140CC">
        <w:rPr>
          <w:lang w:val="fr-FR"/>
        </w:rPr>
        <w:fldChar w:fldCharType="end"/>
      </w:r>
      <w:r w:rsidRPr="006140CC">
        <w:rPr>
          <w:lang w:val="fr-FR"/>
        </w:rPr>
        <w:tab/>
      </w:r>
      <w:r w:rsidR="009A6956" w:rsidRPr="006140CC">
        <w:rPr>
          <w:lang w:val="fr-FR"/>
        </w:rPr>
        <w:t>La méthode convenue est résumée comme suit : le Bureau de l</w:t>
      </w:r>
      <w:r w:rsidR="004274E1" w:rsidRPr="006140CC">
        <w:rPr>
          <w:lang w:val="fr-FR"/>
        </w:rPr>
        <w:t>’</w:t>
      </w:r>
      <w:r w:rsidR="009A6956" w:rsidRPr="006140CC">
        <w:rPr>
          <w:lang w:val="fr-FR"/>
        </w:rPr>
        <w:t>Union élabore</w:t>
      </w:r>
      <w:r w:rsidR="00B85CBA" w:rsidRPr="006140CC">
        <w:rPr>
          <w:lang w:val="fr-FR"/>
        </w:rPr>
        <w:t>ra certains projets de matériel</w:t>
      </w:r>
      <w:r w:rsidR="009A6956" w:rsidRPr="006140CC">
        <w:rPr>
          <w:lang w:val="fr-FR"/>
        </w:rPr>
        <w:t xml:space="preserve"> traitant de questions qu</w:t>
      </w:r>
      <w:r w:rsidR="004274E1" w:rsidRPr="006140CC">
        <w:rPr>
          <w:lang w:val="fr-FR"/>
        </w:rPr>
        <w:t>’</w:t>
      </w:r>
      <w:r w:rsidR="009A6956" w:rsidRPr="006140CC">
        <w:rPr>
          <w:lang w:val="fr-FR"/>
        </w:rPr>
        <w:t>il estime</w:t>
      </w:r>
      <w:r w:rsidR="00B85CBA" w:rsidRPr="006140CC">
        <w:rPr>
          <w:lang w:val="fr-FR"/>
        </w:rPr>
        <w:t xml:space="preserve"> </w:t>
      </w:r>
      <w:r w:rsidR="009A6956" w:rsidRPr="006140CC">
        <w:rPr>
          <w:lang w:val="fr-FR"/>
        </w:rPr>
        <w:t>simples et il les diffusera au</w:t>
      </w:r>
      <w:r w:rsidR="00B85CBA" w:rsidRPr="006140CC">
        <w:rPr>
          <w:lang w:val="fr-FR"/>
        </w:rPr>
        <w:t>près d</w:t>
      </w:r>
      <w:r w:rsidR="009A6956" w:rsidRPr="006140CC">
        <w:rPr>
          <w:lang w:val="fr-FR"/>
        </w:rPr>
        <w:t>u CAJ pour que soient formulées des observations dans un délai imparti.  Dans d</w:t>
      </w:r>
      <w:r w:rsidR="004274E1" w:rsidRPr="006140CC">
        <w:rPr>
          <w:lang w:val="fr-FR"/>
        </w:rPr>
        <w:t>’</w:t>
      </w:r>
      <w:r w:rsidR="009A6956" w:rsidRPr="006140CC">
        <w:rPr>
          <w:lang w:val="fr-FR"/>
        </w:rPr>
        <w:t>autres cas, lorsqu</w:t>
      </w:r>
      <w:r w:rsidR="004274E1" w:rsidRPr="006140CC">
        <w:rPr>
          <w:lang w:val="fr-FR"/>
        </w:rPr>
        <w:t>’</w:t>
      </w:r>
      <w:r w:rsidR="009A6956" w:rsidRPr="006140CC">
        <w:rPr>
          <w:lang w:val="fr-FR"/>
        </w:rPr>
        <w:t>il est estimé que les questions sont délicates et que les délibérations à une session du CAJ revêtent de l</w:t>
      </w:r>
      <w:r w:rsidR="004274E1" w:rsidRPr="006140CC">
        <w:rPr>
          <w:lang w:val="fr-FR"/>
        </w:rPr>
        <w:t>’</w:t>
      </w:r>
      <w:r w:rsidR="009A6956" w:rsidRPr="006140CC">
        <w:rPr>
          <w:lang w:val="fr-FR"/>
        </w:rPr>
        <w:t>importance pour l</w:t>
      </w:r>
      <w:r w:rsidR="004274E1" w:rsidRPr="006140CC">
        <w:rPr>
          <w:lang w:val="fr-FR"/>
        </w:rPr>
        <w:t>’</w:t>
      </w:r>
      <w:r w:rsidR="009A6956" w:rsidRPr="006140CC">
        <w:rPr>
          <w:lang w:val="fr-FR"/>
        </w:rPr>
        <w:t>élaboration d</w:t>
      </w:r>
      <w:r w:rsidR="00B85CBA" w:rsidRPr="006140CC">
        <w:rPr>
          <w:lang w:val="fr-FR"/>
        </w:rPr>
        <w:t>u matériel</w:t>
      </w:r>
      <w:r w:rsidR="009A6956" w:rsidRPr="006140CC">
        <w:rPr>
          <w:lang w:val="fr-FR"/>
        </w:rPr>
        <w:t xml:space="preserve"> d</w:t>
      </w:r>
      <w:r w:rsidR="004274E1" w:rsidRPr="006140CC">
        <w:rPr>
          <w:lang w:val="fr-FR"/>
        </w:rPr>
        <w:t>’</w:t>
      </w:r>
      <w:r w:rsidR="009A6956" w:rsidRPr="006140CC">
        <w:rPr>
          <w:lang w:val="fr-FR"/>
        </w:rPr>
        <w:t>information approprié, mais également dans les cas où un projet de texte traitant d</w:t>
      </w:r>
      <w:r w:rsidR="004274E1" w:rsidRPr="006140CC">
        <w:rPr>
          <w:lang w:val="fr-FR"/>
        </w:rPr>
        <w:t>’</w:t>
      </w:r>
      <w:r w:rsidR="009A6956" w:rsidRPr="006140CC">
        <w:rPr>
          <w:lang w:val="fr-FR"/>
        </w:rPr>
        <w:t>une question apparemment simple aura soulevé des difficultés inattendues lors de sa diffusion pour observations, il sera fait appel au CAJ</w:t>
      </w:r>
      <w:r w:rsidR="00DB2441" w:rsidRPr="006140CC">
        <w:rPr>
          <w:lang w:val="fr-FR"/>
        </w:rPr>
        <w:noBreakHyphen/>
      </w:r>
      <w:r w:rsidR="009A6956" w:rsidRPr="006140CC">
        <w:rPr>
          <w:lang w:val="fr-FR"/>
        </w:rPr>
        <w:t>AG avant que le CAJ soit invité à en délibérer à sa session.</w:t>
      </w:r>
    </w:p>
    <w:p w:rsidR="00B85CBA" w:rsidRPr="006140CC" w:rsidRDefault="00B85CBA" w:rsidP="00B27C88">
      <w:pPr>
        <w:rPr>
          <w:lang w:val="fr-FR"/>
        </w:rPr>
      </w:pPr>
    </w:p>
    <w:p w:rsidR="00B85CBA" w:rsidRDefault="00B85CBA" w:rsidP="00B27C88">
      <w:pPr>
        <w:rPr>
          <w:lang w:val="fr-FR"/>
        </w:rPr>
      </w:pPr>
    </w:p>
    <w:p w:rsidR="00221435" w:rsidRPr="006140CC" w:rsidRDefault="00221435" w:rsidP="00B27C88">
      <w:pPr>
        <w:rPr>
          <w:lang w:val="fr-FR"/>
        </w:rPr>
      </w:pPr>
    </w:p>
    <w:p w:rsidR="00B85CBA" w:rsidRPr="006140CC" w:rsidRDefault="00852F29" w:rsidP="00852F29">
      <w:pPr>
        <w:pStyle w:val="Heading1"/>
        <w:rPr>
          <w:lang w:val="fr-FR"/>
        </w:rPr>
      </w:pPr>
      <w:bookmarkStart w:id="6" w:name="_Toc397003940"/>
      <w:r w:rsidRPr="006140CC">
        <w:rPr>
          <w:lang w:val="fr-FR"/>
        </w:rPr>
        <w:t>Aperçu général du matériel d’information</w:t>
      </w:r>
      <w:bookmarkEnd w:id="6"/>
    </w:p>
    <w:p w:rsidR="00B85CBA" w:rsidRPr="006140CC" w:rsidRDefault="00B85CBA" w:rsidP="00B27C88">
      <w:pPr>
        <w:keepNext/>
        <w:rPr>
          <w:rFonts w:cs="Arial"/>
          <w:lang w:val="fr-FR"/>
        </w:rPr>
      </w:pPr>
    </w:p>
    <w:p w:rsidR="004274E1" w:rsidRPr="006140CC" w:rsidRDefault="00B27C88" w:rsidP="009A6956">
      <w:pPr>
        <w:rPr>
          <w:rFonts w:cs="Arial"/>
          <w:lang w:val="fr-FR"/>
        </w:rPr>
      </w:pPr>
      <w:r w:rsidRPr="006140CC">
        <w:rPr>
          <w:rFonts w:cs="Arial"/>
          <w:lang w:val="fr-FR"/>
        </w:rPr>
        <w:fldChar w:fldCharType="begin"/>
      </w:r>
      <w:r w:rsidRPr="006140CC">
        <w:rPr>
          <w:rFonts w:cs="Arial"/>
          <w:lang w:val="fr-FR"/>
        </w:rPr>
        <w:instrText xml:space="preserve"> AUTONUM  </w:instrText>
      </w:r>
      <w:r w:rsidRPr="006140CC">
        <w:rPr>
          <w:rFonts w:cs="Arial"/>
          <w:lang w:val="fr-FR"/>
        </w:rPr>
        <w:fldChar w:fldCharType="end"/>
      </w:r>
      <w:r w:rsidRPr="006140CC">
        <w:rPr>
          <w:rFonts w:cs="Arial"/>
          <w:lang w:val="fr-FR"/>
        </w:rPr>
        <w:tab/>
      </w:r>
      <w:r w:rsidR="009A6956" w:rsidRPr="006140CC">
        <w:rPr>
          <w:rFonts w:cs="Arial"/>
          <w:lang w:val="fr-FR"/>
        </w:rPr>
        <w:t>L</w:t>
      </w:r>
      <w:r w:rsidR="004274E1" w:rsidRPr="006140CC">
        <w:rPr>
          <w:rFonts w:cs="Arial"/>
          <w:lang w:val="fr-FR"/>
        </w:rPr>
        <w:t>’</w:t>
      </w:r>
      <w:r w:rsidR="009A6956" w:rsidRPr="006140CC">
        <w:rPr>
          <w:rFonts w:cs="Arial"/>
          <w:lang w:val="fr-FR"/>
        </w:rPr>
        <w:t>annexe du présent document contie</w:t>
      </w:r>
      <w:r w:rsidR="00AE1413" w:rsidRPr="006140CC">
        <w:rPr>
          <w:rFonts w:cs="Arial"/>
          <w:lang w:val="fr-FR"/>
        </w:rPr>
        <w:t>nt une présentation générale du</w:t>
      </w:r>
      <w:r w:rsidR="009A6956" w:rsidRPr="006140CC">
        <w:rPr>
          <w:rFonts w:cs="Arial"/>
          <w:lang w:val="fr-FR"/>
        </w:rPr>
        <w:t xml:space="preserve"> matériel d</w:t>
      </w:r>
      <w:r w:rsidR="004274E1" w:rsidRPr="006140CC">
        <w:rPr>
          <w:rFonts w:cs="Arial"/>
          <w:lang w:val="fr-FR"/>
        </w:rPr>
        <w:t>’</w:t>
      </w:r>
      <w:r w:rsidR="009A6956" w:rsidRPr="006140CC">
        <w:rPr>
          <w:rFonts w:cs="Arial"/>
          <w:lang w:val="fr-FR"/>
        </w:rPr>
        <w:t>information élaboré et en cours d</w:t>
      </w:r>
      <w:r w:rsidR="004274E1" w:rsidRPr="006140CC">
        <w:rPr>
          <w:rFonts w:cs="Arial"/>
          <w:lang w:val="fr-FR"/>
        </w:rPr>
        <w:t>’</w:t>
      </w:r>
      <w:r w:rsidR="009A6956" w:rsidRPr="006140CC">
        <w:rPr>
          <w:rFonts w:cs="Arial"/>
          <w:lang w:val="fr-FR"/>
        </w:rPr>
        <w:t>élaboration.</w:t>
      </w:r>
    </w:p>
    <w:p w:rsidR="00B85CBA" w:rsidRPr="006140CC" w:rsidRDefault="00B85CBA" w:rsidP="00B27C88">
      <w:pPr>
        <w:rPr>
          <w:rFonts w:cs="Arial"/>
          <w:lang w:val="fr-FR"/>
        </w:rPr>
      </w:pPr>
    </w:p>
    <w:p w:rsidR="00B85CBA" w:rsidRDefault="00B85CBA" w:rsidP="00B27C88">
      <w:pPr>
        <w:rPr>
          <w:lang w:val="fr-FR"/>
        </w:rPr>
      </w:pPr>
    </w:p>
    <w:p w:rsidR="00221435" w:rsidRPr="006140CC" w:rsidRDefault="00221435" w:rsidP="00B27C88">
      <w:pPr>
        <w:rPr>
          <w:lang w:val="fr-FR"/>
        </w:rPr>
      </w:pPr>
    </w:p>
    <w:p w:rsidR="00B85CBA" w:rsidRPr="006140CC" w:rsidRDefault="00852F29" w:rsidP="00852F29">
      <w:pPr>
        <w:pStyle w:val="Heading1"/>
        <w:rPr>
          <w:lang w:val="fr-FR"/>
        </w:rPr>
      </w:pPr>
      <w:bookmarkStart w:id="7" w:name="_Toc397003941"/>
      <w:r w:rsidRPr="006140CC">
        <w:rPr>
          <w:lang w:val="fr-FR"/>
        </w:rPr>
        <w:t>Questions à examiner par le CAJ</w:t>
      </w:r>
      <w:r w:rsidRPr="006140CC">
        <w:rPr>
          <w:lang w:val="fr-FR"/>
        </w:rPr>
        <w:noBreakHyphen/>
        <w:t>AG à sa neuvième session</w:t>
      </w:r>
      <w:bookmarkEnd w:id="7"/>
    </w:p>
    <w:p w:rsidR="00B85CBA" w:rsidRPr="006140CC" w:rsidRDefault="00B85CBA" w:rsidP="00A845F1">
      <w:pPr>
        <w:rPr>
          <w:lang w:val="fr-FR"/>
        </w:rPr>
      </w:pPr>
    </w:p>
    <w:p w:rsidR="00B85CBA" w:rsidRPr="006140CC" w:rsidRDefault="00A845F1" w:rsidP="009A6956">
      <w:pPr>
        <w:rPr>
          <w:snapToGrid w:val="0"/>
          <w:lang w:val="fr-FR"/>
        </w:rPr>
      </w:pPr>
      <w:r w:rsidRPr="006140CC">
        <w:rPr>
          <w:lang w:val="fr-FR"/>
        </w:rPr>
        <w:fldChar w:fldCharType="begin"/>
      </w:r>
      <w:r w:rsidRPr="006140CC">
        <w:rPr>
          <w:lang w:val="fr-FR"/>
        </w:rPr>
        <w:instrText xml:space="preserve"> AUTONUM  </w:instrText>
      </w:r>
      <w:r w:rsidRPr="006140CC">
        <w:rPr>
          <w:lang w:val="fr-FR"/>
        </w:rPr>
        <w:fldChar w:fldCharType="end"/>
      </w:r>
      <w:r w:rsidRPr="006140CC">
        <w:rPr>
          <w:lang w:val="fr-FR"/>
        </w:rPr>
        <w:tab/>
      </w:r>
      <w:r w:rsidR="009A6956" w:rsidRPr="006140CC">
        <w:rPr>
          <w:lang w:val="fr-FR"/>
        </w:rPr>
        <w:t>Le CAJ</w:t>
      </w:r>
      <w:r w:rsidR="009A6956" w:rsidRPr="006140CC">
        <w:rPr>
          <w:rStyle w:val="FootnoteReference"/>
          <w:lang w:val="fr-FR"/>
        </w:rPr>
        <w:footnoteReference w:id="5"/>
      </w:r>
      <w:r w:rsidR="009A6956" w:rsidRPr="006140CC">
        <w:rPr>
          <w:lang w:val="fr-FR"/>
        </w:rPr>
        <w:t xml:space="preserve"> </w:t>
      </w:r>
      <w:r w:rsidR="00AE1413" w:rsidRPr="006140CC">
        <w:rPr>
          <w:lang w:val="fr-FR"/>
        </w:rPr>
        <w:t>a approuvé</w:t>
      </w:r>
      <w:r w:rsidR="009A6956" w:rsidRPr="006140CC">
        <w:rPr>
          <w:lang w:val="fr-FR"/>
        </w:rPr>
        <w:t xml:space="preserve"> le programme de travail relatif à l</w:t>
      </w:r>
      <w:r w:rsidR="004274E1" w:rsidRPr="006140CC">
        <w:rPr>
          <w:lang w:val="fr-FR"/>
        </w:rPr>
        <w:t>’</w:t>
      </w:r>
      <w:r w:rsidR="009A6956" w:rsidRPr="006140CC">
        <w:rPr>
          <w:lang w:val="fr-FR"/>
        </w:rPr>
        <w:t>élaboration d</w:t>
      </w:r>
      <w:r w:rsidR="00AE1413" w:rsidRPr="006140CC">
        <w:rPr>
          <w:lang w:val="fr-FR"/>
        </w:rPr>
        <w:t>u</w:t>
      </w:r>
      <w:r w:rsidR="009A6956" w:rsidRPr="006140CC">
        <w:rPr>
          <w:lang w:val="fr-FR"/>
        </w:rPr>
        <w:t xml:space="preserve"> matériel d</w:t>
      </w:r>
      <w:r w:rsidR="004274E1" w:rsidRPr="006140CC">
        <w:rPr>
          <w:lang w:val="fr-FR"/>
        </w:rPr>
        <w:t>’</w:t>
      </w:r>
      <w:r w:rsidR="009A6956" w:rsidRPr="006140CC">
        <w:rPr>
          <w:lang w:val="fr-FR"/>
        </w:rPr>
        <w:t>information pour la neuvième session</w:t>
      </w:r>
      <w:r w:rsidR="009A6956" w:rsidRPr="006140CC">
        <w:rPr>
          <w:rStyle w:val="FootnoteReference"/>
          <w:lang w:val="fr-FR"/>
        </w:rPr>
        <w:footnoteReference w:id="6"/>
      </w:r>
      <w:r w:rsidR="009A6956" w:rsidRPr="006140CC">
        <w:rPr>
          <w:lang w:val="fr-FR"/>
        </w:rPr>
        <w:t xml:space="preserve"> du CAJ</w:t>
      </w:r>
      <w:r w:rsidR="00DB2441" w:rsidRPr="006140CC">
        <w:rPr>
          <w:lang w:val="fr-FR"/>
        </w:rPr>
        <w:noBreakHyphen/>
      </w:r>
      <w:r w:rsidR="009A6956" w:rsidRPr="006140CC">
        <w:rPr>
          <w:lang w:val="fr-FR"/>
        </w:rPr>
        <w:t>AG</w:t>
      </w:r>
      <w:r w:rsidR="009A6956" w:rsidRPr="006140CC">
        <w:rPr>
          <w:rStyle w:val="FootnoteReference"/>
          <w:lang w:val="fr-FR"/>
        </w:rPr>
        <w:footnoteReference w:id="7"/>
      </w:r>
      <w:r w:rsidR="009A6956" w:rsidRPr="006140CC">
        <w:rPr>
          <w:lang w:val="fr-FR"/>
        </w:rPr>
        <w:t>.</w:t>
      </w:r>
    </w:p>
    <w:p w:rsidR="00B85CBA" w:rsidRPr="006140CC" w:rsidRDefault="00B85CBA" w:rsidP="00A845F1">
      <w:pPr>
        <w:rPr>
          <w:snapToGrid w:val="0"/>
          <w:lang w:val="fr-FR"/>
        </w:rPr>
      </w:pPr>
    </w:p>
    <w:p w:rsidR="00B85CBA" w:rsidRPr="006140CC" w:rsidRDefault="00A845F1" w:rsidP="009A6956">
      <w:pPr>
        <w:rPr>
          <w:lang w:val="fr-FR"/>
        </w:rPr>
      </w:pPr>
      <w:r w:rsidRPr="006140CC">
        <w:rPr>
          <w:rFonts w:cs="Arial"/>
          <w:lang w:val="fr-FR"/>
        </w:rPr>
        <w:fldChar w:fldCharType="begin"/>
      </w:r>
      <w:r w:rsidRPr="006140CC">
        <w:rPr>
          <w:rFonts w:cs="Arial"/>
          <w:lang w:val="fr-FR"/>
        </w:rPr>
        <w:instrText xml:space="preserve"> AUTONUM  </w:instrText>
      </w:r>
      <w:r w:rsidRPr="006140CC">
        <w:rPr>
          <w:rFonts w:cs="Arial"/>
          <w:lang w:val="fr-FR"/>
        </w:rPr>
        <w:fldChar w:fldCharType="end"/>
      </w:r>
      <w:r w:rsidRPr="006140CC">
        <w:rPr>
          <w:rFonts w:cs="Arial"/>
          <w:lang w:val="fr-FR"/>
        </w:rPr>
        <w:tab/>
      </w:r>
      <w:r w:rsidR="009A6956" w:rsidRPr="006140CC">
        <w:rPr>
          <w:rFonts w:cs="Arial"/>
          <w:lang w:val="fr-FR"/>
        </w:rPr>
        <w:t xml:space="preserve">Le CAJ </w:t>
      </w:r>
      <w:r w:rsidR="00D75862">
        <w:rPr>
          <w:rFonts w:cs="Arial"/>
          <w:lang w:val="fr-FR"/>
        </w:rPr>
        <w:t>était convenu</w:t>
      </w:r>
      <w:r w:rsidR="009A6956" w:rsidRPr="006140CC">
        <w:rPr>
          <w:rFonts w:cs="Arial"/>
          <w:lang w:val="fr-FR"/>
        </w:rPr>
        <w:t xml:space="preserve"> que les nouvelles versions suiva</w:t>
      </w:r>
      <w:r w:rsidR="00D75862">
        <w:rPr>
          <w:rFonts w:cs="Arial"/>
          <w:lang w:val="fr-FR"/>
        </w:rPr>
        <w:t>ntes des notes explicatives seraie</w:t>
      </w:r>
      <w:r w:rsidR="009A6956" w:rsidRPr="006140CC">
        <w:rPr>
          <w:rFonts w:cs="Arial"/>
          <w:lang w:val="fr-FR"/>
        </w:rPr>
        <w:t>nt communiquées au CAJ</w:t>
      </w:r>
      <w:r w:rsidR="00DB2441" w:rsidRPr="006140CC">
        <w:rPr>
          <w:rFonts w:cs="Arial"/>
          <w:lang w:val="fr-FR"/>
        </w:rPr>
        <w:noBreakHyphen/>
      </w:r>
      <w:r w:rsidR="009A6956" w:rsidRPr="006140CC">
        <w:rPr>
          <w:rFonts w:cs="Arial"/>
          <w:lang w:val="fr-FR"/>
        </w:rPr>
        <w:t>AG</w:t>
      </w:r>
      <w:r w:rsidR="00D75862">
        <w:rPr>
          <w:rFonts w:cs="Arial"/>
          <w:lang w:val="fr-FR"/>
        </w:rPr>
        <w:t xml:space="preserve"> avant le</w:t>
      </w:r>
      <w:r w:rsidR="009A6956" w:rsidRPr="006140CC">
        <w:rPr>
          <w:rFonts w:cs="Arial"/>
          <w:lang w:val="fr-FR"/>
        </w:rPr>
        <w:t xml:space="preserve"> 9 mai 2014, et que les membres du CAJ et les observateurs aur</w:t>
      </w:r>
      <w:r w:rsidR="00D75862">
        <w:rPr>
          <w:rFonts w:cs="Arial"/>
          <w:lang w:val="fr-FR"/>
        </w:rPr>
        <w:t>aie</w:t>
      </w:r>
      <w:r w:rsidR="009A6956" w:rsidRPr="006140CC">
        <w:rPr>
          <w:rFonts w:cs="Arial"/>
          <w:lang w:val="fr-FR"/>
        </w:rPr>
        <w:t>nt également la possibilité de formuler des observations</w:t>
      </w:r>
      <w:r w:rsidR="00BB5FC0" w:rsidRPr="00210134">
        <w:rPr>
          <w:rStyle w:val="FootnoteReference"/>
          <w:szCs w:val="24"/>
        </w:rPr>
        <w:footnoteReference w:id="8"/>
      </w:r>
      <w:r w:rsidR="009A6956" w:rsidRPr="006140CC">
        <w:rPr>
          <w:rFonts w:cs="Arial"/>
          <w:lang w:val="fr-FR"/>
        </w:rPr>
        <w:t> :</w:t>
      </w:r>
    </w:p>
    <w:p w:rsidR="00B85CBA" w:rsidRPr="006140CC" w:rsidRDefault="00B85CBA" w:rsidP="00954C3C">
      <w:pPr>
        <w:rPr>
          <w:u w:val="single"/>
          <w:lang w:val="fr-FR"/>
        </w:rPr>
      </w:pPr>
    </w:p>
    <w:p w:rsidR="004274E1" w:rsidRPr="006140CC" w:rsidRDefault="009A6956" w:rsidP="009A6956">
      <w:pPr>
        <w:keepNext/>
        <w:rPr>
          <w:u w:val="single"/>
          <w:lang w:val="fr-FR"/>
        </w:rPr>
      </w:pPr>
      <w:r w:rsidRPr="006140CC">
        <w:rPr>
          <w:u w:val="single"/>
          <w:lang w:val="fr-FR"/>
        </w:rPr>
        <w:lastRenderedPageBreak/>
        <w:t>Notes explicatives sur les variétés essentiellement dérivées selon l</w:t>
      </w:r>
      <w:r w:rsidR="004274E1" w:rsidRPr="006140CC">
        <w:rPr>
          <w:u w:val="single"/>
          <w:lang w:val="fr-FR"/>
        </w:rPr>
        <w:t>’</w:t>
      </w:r>
      <w:r w:rsidRPr="006140CC">
        <w:rPr>
          <w:u w:val="single"/>
          <w:lang w:val="fr-FR"/>
        </w:rPr>
        <w:t>Acte de 1991 de la </w:t>
      </w:r>
      <w:r w:rsidR="004274E1" w:rsidRPr="006140CC">
        <w:rPr>
          <w:u w:val="single"/>
          <w:lang w:val="fr-FR"/>
        </w:rPr>
        <w:t>Convention UPOV</w:t>
      </w:r>
      <w:r w:rsidRPr="006140CC">
        <w:rPr>
          <w:u w:val="single"/>
          <w:lang w:val="fr-FR"/>
        </w:rPr>
        <w:t xml:space="preserve"> (document UPOV/EXN/EDV/2 Draft 4)</w:t>
      </w:r>
    </w:p>
    <w:p w:rsidR="00B85CBA" w:rsidRPr="006140CC" w:rsidRDefault="00B85CBA" w:rsidP="00CF4D54">
      <w:pPr>
        <w:keepNext/>
        <w:rPr>
          <w:lang w:val="fr-FR"/>
        </w:rPr>
      </w:pPr>
    </w:p>
    <w:p w:rsidR="00B85CBA" w:rsidRPr="00221435" w:rsidRDefault="00CA1732" w:rsidP="0000620B">
      <w:pPr>
        <w:rPr>
          <w:lang w:val="fr-FR"/>
        </w:rPr>
      </w:pPr>
      <w:r w:rsidRPr="00221435">
        <w:rPr>
          <w:rFonts w:cs="Arial"/>
          <w:lang w:val="fr-FR"/>
        </w:rPr>
        <w:fldChar w:fldCharType="begin"/>
      </w:r>
      <w:r w:rsidRPr="00221435">
        <w:rPr>
          <w:rFonts w:cs="Arial"/>
          <w:lang w:val="fr-FR"/>
        </w:rPr>
        <w:instrText xml:space="preserve"> AUTONUM  </w:instrText>
      </w:r>
      <w:r w:rsidRPr="00221435">
        <w:rPr>
          <w:rFonts w:cs="Arial"/>
          <w:lang w:val="fr-FR"/>
        </w:rPr>
        <w:fldChar w:fldCharType="end"/>
      </w:r>
      <w:r w:rsidRPr="00221435">
        <w:rPr>
          <w:rFonts w:cs="Arial"/>
          <w:lang w:val="fr-FR"/>
        </w:rPr>
        <w:tab/>
      </w:r>
      <w:r w:rsidR="0000620B" w:rsidRPr="00221435">
        <w:rPr>
          <w:rFonts w:cs="Arial"/>
          <w:lang w:val="fr-FR"/>
        </w:rPr>
        <w:t>Des observations ont été transmises par l</w:t>
      </w:r>
      <w:r w:rsidR="004274E1" w:rsidRPr="00221435">
        <w:rPr>
          <w:rFonts w:cs="Arial"/>
          <w:lang w:val="fr-FR"/>
        </w:rPr>
        <w:t>’</w:t>
      </w:r>
      <w:r w:rsidR="00221435" w:rsidRPr="00221435">
        <w:rPr>
          <w:rFonts w:cs="Arial"/>
          <w:lang w:val="fr-FR"/>
        </w:rPr>
        <w:t>Argentine, la Norvège, l’</w:t>
      </w:r>
      <w:r w:rsidR="0000620B" w:rsidRPr="00221435">
        <w:rPr>
          <w:rFonts w:cs="Arial"/>
          <w:i/>
          <w:lang w:val="fr-FR"/>
        </w:rPr>
        <w:t xml:space="preserve">Association for Plant Breeding for the Benefit of Society </w:t>
      </w:r>
      <w:r w:rsidR="0000620B" w:rsidRPr="00221435">
        <w:rPr>
          <w:rFonts w:cs="Arial"/>
          <w:lang w:val="fr-FR"/>
        </w:rPr>
        <w:t>(APBREBES)</w:t>
      </w:r>
      <w:r w:rsidR="005578E1" w:rsidRPr="00221435">
        <w:rPr>
          <w:rFonts w:cs="Arial"/>
          <w:lang w:val="fr-FR"/>
        </w:rPr>
        <w:t xml:space="preserve">, </w:t>
      </w:r>
      <w:r w:rsidR="0000620B" w:rsidRPr="00221435">
        <w:rPr>
          <w:rFonts w:cs="Arial"/>
          <w:lang w:val="fr-FR"/>
        </w:rPr>
        <w:t>la Communauté internationale des obtenteurs de plantes ornementales et fruitières de reproduction asexuée (C</w:t>
      </w:r>
      <w:r w:rsidR="001E10C8" w:rsidRPr="00221435">
        <w:rPr>
          <w:rFonts w:cs="Arial"/>
          <w:lang w:val="fr-FR"/>
        </w:rPr>
        <w:t>IOPORA), CropLife International et</w:t>
      </w:r>
      <w:r w:rsidR="0000620B" w:rsidRPr="00221435">
        <w:rPr>
          <w:rFonts w:cs="Arial"/>
          <w:lang w:val="fr-FR"/>
        </w:rPr>
        <w:t xml:space="preserve"> la </w:t>
      </w:r>
      <w:r w:rsidR="0000620B" w:rsidRPr="00221435">
        <w:rPr>
          <w:rFonts w:cs="Arial"/>
          <w:i/>
          <w:lang w:val="fr-FR"/>
        </w:rPr>
        <w:t xml:space="preserve">European Seed Association </w:t>
      </w:r>
      <w:r w:rsidR="0000620B" w:rsidRPr="00221435">
        <w:rPr>
          <w:rFonts w:cs="Arial"/>
          <w:lang w:val="fr-FR"/>
        </w:rPr>
        <w:t>(ESA).</w:t>
      </w:r>
    </w:p>
    <w:p w:rsidR="00B85CBA" w:rsidRPr="00221435" w:rsidRDefault="00B85CBA" w:rsidP="00293742">
      <w:pPr>
        <w:tabs>
          <w:tab w:val="left" w:pos="1560"/>
        </w:tabs>
        <w:spacing w:line="360" w:lineRule="auto"/>
        <w:rPr>
          <w:lang w:val="fr-FR"/>
        </w:rPr>
      </w:pPr>
    </w:p>
    <w:p w:rsidR="004274E1" w:rsidRPr="006140CC" w:rsidRDefault="0000620B" w:rsidP="0000620B">
      <w:pPr>
        <w:rPr>
          <w:u w:val="single"/>
          <w:lang w:val="fr-FR"/>
        </w:rPr>
      </w:pPr>
      <w:r w:rsidRPr="006140CC">
        <w:rPr>
          <w:u w:val="single"/>
          <w:lang w:val="fr-FR"/>
        </w:rPr>
        <w:t xml:space="preserve">Notes explicatives sur le matériel de reproduction ou de multiplication </w:t>
      </w:r>
      <w:r w:rsidR="00D75862">
        <w:rPr>
          <w:u w:val="single"/>
          <w:lang w:val="fr-FR"/>
        </w:rPr>
        <w:t xml:space="preserve">selon la Convention UPOV </w:t>
      </w:r>
      <w:r w:rsidRPr="006140CC">
        <w:rPr>
          <w:u w:val="single"/>
          <w:lang w:val="fr-FR"/>
        </w:rPr>
        <w:t>(document UPOV/EXN/PPM Draft 2)</w:t>
      </w:r>
    </w:p>
    <w:p w:rsidR="00B85CBA" w:rsidRPr="006140CC" w:rsidRDefault="00B85CBA" w:rsidP="000B76D6">
      <w:pPr>
        <w:rPr>
          <w:lang w:val="fr-FR"/>
        </w:rPr>
      </w:pPr>
    </w:p>
    <w:p w:rsidR="00B85CBA" w:rsidRPr="006140CC" w:rsidRDefault="00852F29" w:rsidP="0000620B">
      <w:pPr>
        <w:rPr>
          <w:lang w:val="fr-FR"/>
        </w:rPr>
      </w:pPr>
      <w:r w:rsidRPr="006140CC">
        <w:rPr>
          <w:rFonts w:cs="Arial"/>
          <w:lang w:val="fr-FR"/>
        </w:rPr>
        <w:fldChar w:fldCharType="begin"/>
      </w:r>
      <w:r w:rsidRPr="006140CC">
        <w:rPr>
          <w:rFonts w:cs="Arial"/>
          <w:lang w:val="fr-FR"/>
        </w:rPr>
        <w:instrText xml:space="preserve"> AUTONUM  </w:instrText>
      </w:r>
      <w:r w:rsidRPr="006140CC">
        <w:rPr>
          <w:rFonts w:cs="Arial"/>
          <w:lang w:val="fr-FR"/>
        </w:rPr>
        <w:fldChar w:fldCharType="end"/>
      </w:r>
      <w:r w:rsidRPr="006140CC">
        <w:rPr>
          <w:rFonts w:cs="Arial"/>
          <w:lang w:val="fr-FR"/>
        </w:rPr>
        <w:tab/>
      </w:r>
      <w:r w:rsidR="0000620B" w:rsidRPr="006140CC">
        <w:rPr>
          <w:rFonts w:cs="Arial"/>
          <w:lang w:val="fr-FR"/>
        </w:rPr>
        <w:t xml:space="preserve">Des observations ont été transmises par </w:t>
      </w:r>
      <w:r w:rsidR="00293742" w:rsidRPr="006140CC">
        <w:rPr>
          <w:rFonts w:cs="Arial"/>
          <w:lang w:val="fr-FR"/>
        </w:rPr>
        <w:t>la Nouvelle</w:t>
      </w:r>
      <w:r w:rsidR="00293742" w:rsidRPr="006140CC">
        <w:rPr>
          <w:rFonts w:cs="Arial"/>
          <w:lang w:val="fr-FR"/>
        </w:rPr>
        <w:noBreakHyphen/>
        <w:t>Zélande</w:t>
      </w:r>
      <w:r w:rsidR="00293742">
        <w:rPr>
          <w:rFonts w:cs="Arial"/>
          <w:lang w:val="fr-FR"/>
        </w:rPr>
        <w:t>,</w:t>
      </w:r>
      <w:r w:rsidR="00293742" w:rsidRPr="006140CC">
        <w:rPr>
          <w:rFonts w:cs="Arial"/>
          <w:lang w:val="fr-FR"/>
        </w:rPr>
        <w:t xml:space="preserve"> </w:t>
      </w:r>
      <w:r w:rsidR="0000620B" w:rsidRPr="006140CC">
        <w:rPr>
          <w:rFonts w:cs="Arial"/>
          <w:lang w:val="fr-FR"/>
        </w:rPr>
        <w:t>APBREBES,</w:t>
      </w:r>
      <w:r w:rsidR="00293742">
        <w:rPr>
          <w:rFonts w:cs="Arial"/>
          <w:lang w:val="fr-FR"/>
        </w:rPr>
        <w:t xml:space="preserve"> </w:t>
      </w:r>
      <w:r w:rsidR="004274E1" w:rsidRPr="006140CC">
        <w:rPr>
          <w:rFonts w:cs="Arial"/>
          <w:lang w:val="fr-FR"/>
        </w:rPr>
        <w:t>CIO</w:t>
      </w:r>
      <w:r w:rsidR="0000620B" w:rsidRPr="006140CC">
        <w:rPr>
          <w:rFonts w:cs="Arial"/>
          <w:lang w:val="fr-FR"/>
        </w:rPr>
        <w:t xml:space="preserve">PORA, </w:t>
      </w:r>
      <w:r w:rsidR="00293742">
        <w:rPr>
          <w:rFonts w:eastAsia="Arial Unicode MS" w:cs="Arial"/>
          <w:lang w:val="fr-FR"/>
        </w:rPr>
        <w:t>CropLife </w:t>
      </w:r>
      <w:r w:rsidR="0000620B" w:rsidRPr="00D3241D">
        <w:rPr>
          <w:rFonts w:cs="Arial"/>
          <w:lang w:val="fr-FR"/>
        </w:rPr>
        <w:t>Inte</w:t>
      </w:r>
      <w:r w:rsidR="0000620B" w:rsidRPr="006140CC">
        <w:rPr>
          <w:rFonts w:cs="Arial"/>
          <w:lang w:val="fr-FR"/>
        </w:rPr>
        <w:t>rnational</w:t>
      </w:r>
      <w:r w:rsidR="00293742">
        <w:rPr>
          <w:rFonts w:cs="Arial"/>
          <w:lang w:val="fr-FR"/>
        </w:rPr>
        <w:t xml:space="preserve"> et</w:t>
      </w:r>
      <w:r w:rsidR="0000620B" w:rsidRPr="006140CC">
        <w:rPr>
          <w:rFonts w:cs="Arial"/>
          <w:lang w:val="fr-FR"/>
        </w:rPr>
        <w:t xml:space="preserve"> </w:t>
      </w:r>
      <w:r w:rsidR="00293742">
        <w:rPr>
          <w:rFonts w:cs="Arial"/>
          <w:lang w:val="fr-FR"/>
        </w:rPr>
        <w:t>ESA</w:t>
      </w:r>
      <w:r w:rsidR="0000620B" w:rsidRPr="006140CC">
        <w:rPr>
          <w:rFonts w:cs="Arial"/>
          <w:lang w:val="fr-FR"/>
        </w:rPr>
        <w:t>.</w:t>
      </w:r>
    </w:p>
    <w:p w:rsidR="00B85CBA" w:rsidRPr="006140CC" w:rsidRDefault="00B85CBA" w:rsidP="00293742">
      <w:pPr>
        <w:spacing w:line="360" w:lineRule="auto"/>
        <w:rPr>
          <w:highlight w:val="yellow"/>
          <w:lang w:val="fr-FR"/>
        </w:rPr>
      </w:pPr>
    </w:p>
    <w:p w:rsidR="004274E1" w:rsidRPr="006140CC" w:rsidRDefault="0000620B" w:rsidP="0000620B">
      <w:pPr>
        <w:rPr>
          <w:u w:val="single"/>
          <w:lang w:val="fr-FR"/>
        </w:rPr>
      </w:pPr>
      <w:r w:rsidRPr="006140CC">
        <w:rPr>
          <w:u w:val="single"/>
          <w:lang w:val="fr-FR"/>
        </w:rPr>
        <w:t xml:space="preserve">Notes explicatives sur les actes </w:t>
      </w:r>
      <w:r w:rsidR="004274E1" w:rsidRPr="006140CC">
        <w:rPr>
          <w:u w:val="single"/>
          <w:lang w:val="fr-FR"/>
        </w:rPr>
        <w:t>à l’égard</w:t>
      </w:r>
      <w:r w:rsidRPr="006140CC">
        <w:rPr>
          <w:u w:val="single"/>
          <w:lang w:val="fr-FR"/>
        </w:rPr>
        <w:t xml:space="preserve"> du produit de la récolte selon l</w:t>
      </w:r>
      <w:r w:rsidR="004274E1" w:rsidRPr="006140CC">
        <w:rPr>
          <w:u w:val="single"/>
          <w:lang w:val="fr-FR"/>
        </w:rPr>
        <w:t>’</w:t>
      </w:r>
      <w:r w:rsidRPr="006140CC">
        <w:rPr>
          <w:u w:val="single"/>
          <w:lang w:val="fr-FR"/>
        </w:rPr>
        <w:t xml:space="preserve">Acte de 1991 de la </w:t>
      </w:r>
      <w:r w:rsidR="004274E1" w:rsidRPr="006140CC">
        <w:rPr>
          <w:u w:val="single"/>
          <w:lang w:val="fr-FR"/>
        </w:rPr>
        <w:t>Convention UPOV</w:t>
      </w:r>
      <w:r w:rsidRPr="006140CC">
        <w:rPr>
          <w:u w:val="single"/>
          <w:lang w:val="fr-FR"/>
        </w:rPr>
        <w:t xml:space="preserve"> (document UPOV/EXN/HRV/2 Draft 1)</w:t>
      </w:r>
    </w:p>
    <w:p w:rsidR="00B85CBA" w:rsidRPr="006140CC" w:rsidRDefault="00B85CBA" w:rsidP="000B76D6">
      <w:pPr>
        <w:rPr>
          <w:highlight w:val="yellow"/>
          <w:lang w:val="fr-FR"/>
        </w:rPr>
      </w:pPr>
    </w:p>
    <w:p w:rsidR="00B85CBA" w:rsidRDefault="00CA1732" w:rsidP="00293742">
      <w:pPr>
        <w:rPr>
          <w:rFonts w:cs="Arial"/>
          <w:lang w:val="fr-FR"/>
        </w:rPr>
      </w:pPr>
      <w:r w:rsidRPr="006140CC">
        <w:rPr>
          <w:rFonts w:cs="Arial"/>
          <w:lang w:val="fr-FR"/>
        </w:rPr>
        <w:fldChar w:fldCharType="begin"/>
      </w:r>
      <w:r w:rsidRPr="006140CC">
        <w:rPr>
          <w:rFonts w:cs="Arial"/>
          <w:lang w:val="fr-FR"/>
        </w:rPr>
        <w:instrText xml:space="preserve"> AUTONUM  </w:instrText>
      </w:r>
      <w:r w:rsidRPr="006140CC">
        <w:rPr>
          <w:rFonts w:cs="Arial"/>
          <w:lang w:val="fr-FR"/>
        </w:rPr>
        <w:fldChar w:fldCharType="end"/>
      </w:r>
      <w:r w:rsidRPr="006140CC">
        <w:rPr>
          <w:rFonts w:cs="Arial"/>
          <w:lang w:val="fr-FR"/>
        </w:rPr>
        <w:tab/>
      </w:r>
      <w:r w:rsidR="0000620B" w:rsidRPr="006140CC">
        <w:rPr>
          <w:rFonts w:cs="Arial"/>
          <w:lang w:val="fr-FR"/>
        </w:rPr>
        <w:t xml:space="preserve">Des observations ont été transmises par </w:t>
      </w:r>
      <w:r w:rsidR="00293742">
        <w:rPr>
          <w:rFonts w:cs="Arial"/>
          <w:lang w:val="fr-FR"/>
        </w:rPr>
        <w:t xml:space="preserve">l’Argentine, </w:t>
      </w:r>
      <w:r w:rsidR="00293742" w:rsidRPr="006140CC">
        <w:rPr>
          <w:rFonts w:cs="Arial"/>
          <w:lang w:val="fr-FR"/>
        </w:rPr>
        <w:t>les États</w:t>
      </w:r>
      <w:r w:rsidR="00293742" w:rsidRPr="006140CC">
        <w:rPr>
          <w:rFonts w:cs="Arial"/>
          <w:lang w:val="fr-FR"/>
        </w:rPr>
        <w:noBreakHyphen/>
        <w:t>Unis d’Amérique</w:t>
      </w:r>
      <w:r w:rsidR="00293742">
        <w:rPr>
          <w:rFonts w:cs="Arial"/>
          <w:lang w:val="fr-FR"/>
        </w:rPr>
        <w:t>,</w:t>
      </w:r>
      <w:r w:rsidR="00293742" w:rsidRPr="006140CC">
        <w:rPr>
          <w:rFonts w:cs="Arial"/>
          <w:lang w:val="fr-FR"/>
        </w:rPr>
        <w:t xml:space="preserve"> la Fédération de Russie</w:t>
      </w:r>
      <w:r w:rsidR="00293742">
        <w:rPr>
          <w:rFonts w:cs="Arial"/>
          <w:lang w:val="fr-FR"/>
        </w:rPr>
        <w:t>,</w:t>
      </w:r>
      <w:r w:rsidR="00293742" w:rsidRPr="006140CC">
        <w:rPr>
          <w:rFonts w:cs="Arial"/>
          <w:lang w:val="fr-FR"/>
        </w:rPr>
        <w:t xml:space="preserve"> </w:t>
      </w:r>
      <w:r w:rsidR="0000620B" w:rsidRPr="006140CC">
        <w:rPr>
          <w:rFonts w:cs="Arial"/>
          <w:lang w:val="fr-FR"/>
        </w:rPr>
        <w:t>APBREBES,</w:t>
      </w:r>
      <w:r w:rsidR="004274E1" w:rsidRPr="006140CC">
        <w:rPr>
          <w:rFonts w:cs="Arial"/>
          <w:lang w:val="fr-FR"/>
        </w:rPr>
        <w:t xml:space="preserve"> CIO</w:t>
      </w:r>
      <w:r w:rsidR="00293742">
        <w:rPr>
          <w:rFonts w:cs="Arial"/>
          <w:lang w:val="fr-FR"/>
        </w:rPr>
        <w:t>PORA, CropLife International</w:t>
      </w:r>
      <w:r w:rsidR="0000620B" w:rsidRPr="006140CC">
        <w:rPr>
          <w:rFonts w:cs="Arial"/>
          <w:lang w:val="fr-FR"/>
        </w:rPr>
        <w:t xml:space="preserve"> </w:t>
      </w:r>
      <w:r w:rsidR="00293742">
        <w:rPr>
          <w:rFonts w:cs="Arial"/>
          <w:lang w:val="fr-FR"/>
        </w:rPr>
        <w:t>et ESA</w:t>
      </w:r>
      <w:r w:rsidR="0000620B" w:rsidRPr="006140CC">
        <w:rPr>
          <w:rFonts w:cs="Arial"/>
          <w:lang w:val="fr-FR"/>
        </w:rPr>
        <w:t>.</w:t>
      </w:r>
    </w:p>
    <w:p w:rsidR="00293742" w:rsidRPr="006140CC" w:rsidRDefault="00293742" w:rsidP="00293742">
      <w:pPr>
        <w:spacing w:line="360" w:lineRule="auto"/>
        <w:rPr>
          <w:highlight w:val="yellow"/>
          <w:lang w:val="fr-FR"/>
        </w:rPr>
      </w:pPr>
    </w:p>
    <w:p w:rsidR="00B85CBA" w:rsidRPr="006140CC" w:rsidRDefault="0000620B" w:rsidP="0000620B">
      <w:pPr>
        <w:rPr>
          <w:u w:val="single"/>
          <w:lang w:val="fr-FR"/>
        </w:rPr>
      </w:pPr>
      <w:r w:rsidRPr="006140CC">
        <w:rPr>
          <w:u w:val="single"/>
          <w:lang w:val="fr-FR"/>
        </w:rPr>
        <w:t>Notes explicatives sur la déchéance de l</w:t>
      </w:r>
      <w:r w:rsidR="004274E1" w:rsidRPr="006140CC">
        <w:rPr>
          <w:u w:val="single"/>
          <w:lang w:val="fr-FR"/>
        </w:rPr>
        <w:t>’</w:t>
      </w:r>
      <w:r w:rsidRPr="006140CC">
        <w:rPr>
          <w:u w:val="single"/>
          <w:lang w:val="fr-FR"/>
        </w:rPr>
        <w:t xml:space="preserve">obtenteur selon la </w:t>
      </w:r>
      <w:r w:rsidR="004274E1" w:rsidRPr="006140CC">
        <w:rPr>
          <w:u w:val="single"/>
          <w:lang w:val="fr-FR"/>
        </w:rPr>
        <w:t>Convention UPOV</w:t>
      </w:r>
      <w:r w:rsidRPr="006140CC">
        <w:rPr>
          <w:u w:val="single"/>
          <w:lang w:val="fr-FR"/>
        </w:rPr>
        <w:t xml:space="preserve"> (document UPOV/EXN/CAN/2 Draft 1)</w:t>
      </w:r>
    </w:p>
    <w:p w:rsidR="00B85CBA" w:rsidRPr="006140CC" w:rsidRDefault="00B85CBA" w:rsidP="000B76D6">
      <w:pPr>
        <w:rPr>
          <w:highlight w:val="yellow"/>
          <w:lang w:val="fr-FR"/>
        </w:rPr>
      </w:pPr>
    </w:p>
    <w:p w:rsidR="00B85CBA" w:rsidRPr="006140CC" w:rsidRDefault="00CA1732" w:rsidP="0000620B">
      <w:pPr>
        <w:rPr>
          <w:highlight w:val="yellow"/>
          <w:lang w:val="fr-FR"/>
        </w:rPr>
      </w:pPr>
      <w:r w:rsidRPr="006140CC">
        <w:rPr>
          <w:rFonts w:cs="Arial"/>
          <w:lang w:val="fr-FR"/>
        </w:rPr>
        <w:fldChar w:fldCharType="begin"/>
      </w:r>
      <w:r w:rsidRPr="006140CC">
        <w:rPr>
          <w:rFonts w:cs="Arial"/>
          <w:lang w:val="fr-FR"/>
        </w:rPr>
        <w:instrText xml:space="preserve"> AUTONUM  </w:instrText>
      </w:r>
      <w:r w:rsidRPr="006140CC">
        <w:rPr>
          <w:rFonts w:cs="Arial"/>
          <w:lang w:val="fr-FR"/>
        </w:rPr>
        <w:fldChar w:fldCharType="end"/>
      </w:r>
      <w:r w:rsidRPr="006140CC">
        <w:rPr>
          <w:rFonts w:cs="Arial"/>
          <w:lang w:val="fr-FR"/>
        </w:rPr>
        <w:tab/>
      </w:r>
      <w:r w:rsidR="0000620B" w:rsidRPr="006140CC">
        <w:rPr>
          <w:rFonts w:cs="Arial"/>
          <w:lang w:val="fr-FR"/>
        </w:rPr>
        <w:t>Des observations ont été transmis</w:t>
      </w:r>
      <w:r w:rsidR="00293742">
        <w:rPr>
          <w:rFonts w:cs="Arial"/>
          <w:lang w:val="fr-FR"/>
        </w:rPr>
        <w:t xml:space="preserve">es par </w:t>
      </w:r>
      <w:r w:rsidR="00293742" w:rsidRPr="006140CC">
        <w:rPr>
          <w:rFonts w:cs="Arial"/>
          <w:lang w:val="fr-FR"/>
        </w:rPr>
        <w:t>la Nouvelle</w:t>
      </w:r>
      <w:r w:rsidR="00293742" w:rsidRPr="006140CC">
        <w:rPr>
          <w:rFonts w:cs="Arial"/>
          <w:lang w:val="fr-FR"/>
        </w:rPr>
        <w:noBreakHyphen/>
        <w:t>Zélande</w:t>
      </w:r>
      <w:r w:rsidR="00293742">
        <w:rPr>
          <w:rFonts w:cs="Arial"/>
          <w:lang w:val="fr-FR"/>
        </w:rPr>
        <w:t xml:space="preserve"> et CropLife International</w:t>
      </w:r>
      <w:r w:rsidR="0000620B" w:rsidRPr="006140CC">
        <w:rPr>
          <w:rFonts w:cs="Arial"/>
          <w:lang w:val="fr-FR"/>
        </w:rPr>
        <w:t>.</w:t>
      </w:r>
    </w:p>
    <w:p w:rsidR="00B85CBA" w:rsidRPr="006140CC" w:rsidRDefault="00B85CBA" w:rsidP="00293742">
      <w:pPr>
        <w:tabs>
          <w:tab w:val="left" w:pos="1560"/>
        </w:tabs>
        <w:spacing w:line="360" w:lineRule="auto"/>
        <w:rPr>
          <w:sz w:val="18"/>
          <w:szCs w:val="18"/>
          <w:highlight w:val="yellow"/>
          <w:lang w:val="fr-FR"/>
        </w:rPr>
      </w:pPr>
    </w:p>
    <w:p w:rsidR="004274E1" w:rsidRPr="006140CC" w:rsidRDefault="0000620B" w:rsidP="0000620B">
      <w:pPr>
        <w:keepNext/>
        <w:rPr>
          <w:u w:val="single"/>
          <w:lang w:val="fr-FR"/>
        </w:rPr>
      </w:pPr>
      <w:r w:rsidRPr="006140CC">
        <w:rPr>
          <w:u w:val="single"/>
          <w:lang w:val="fr-FR"/>
        </w:rPr>
        <w:t>Notes explicatives sur la nullité du droit d</w:t>
      </w:r>
      <w:r w:rsidR="004274E1" w:rsidRPr="006140CC">
        <w:rPr>
          <w:u w:val="single"/>
          <w:lang w:val="fr-FR"/>
        </w:rPr>
        <w:t>’</w:t>
      </w:r>
      <w:r w:rsidRPr="006140CC">
        <w:rPr>
          <w:u w:val="single"/>
          <w:lang w:val="fr-FR"/>
        </w:rPr>
        <w:t xml:space="preserve">obtenteur selon la </w:t>
      </w:r>
      <w:r w:rsidR="004274E1" w:rsidRPr="006140CC">
        <w:rPr>
          <w:u w:val="single"/>
          <w:lang w:val="fr-FR"/>
        </w:rPr>
        <w:t>Convention UPOV</w:t>
      </w:r>
      <w:r w:rsidRPr="006140CC">
        <w:rPr>
          <w:u w:val="single"/>
          <w:lang w:val="fr-FR"/>
        </w:rPr>
        <w:t xml:space="preserve"> (document UPOV/EXN/NUL/2 Draft 1)</w:t>
      </w:r>
    </w:p>
    <w:p w:rsidR="00B85CBA" w:rsidRPr="006140CC" w:rsidRDefault="00B85CBA" w:rsidP="000B76D6">
      <w:pPr>
        <w:keepNext/>
        <w:rPr>
          <w:highlight w:val="yellow"/>
          <w:lang w:val="fr-FR"/>
        </w:rPr>
      </w:pPr>
    </w:p>
    <w:p w:rsidR="00B85CBA" w:rsidRPr="006140CC" w:rsidRDefault="00CA1732" w:rsidP="0000620B">
      <w:pPr>
        <w:rPr>
          <w:highlight w:val="yellow"/>
          <w:lang w:val="fr-FR"/>
        </w:rPr>
      </w:pPr>
      <w:r w:rsidRPr="006140CC">
        <w:rPr>
          <w:rFonts w:cs="Arial"/>
          <w:lang w:val="fr-FR"/>
        </w:rPr>
        <w:fldChar w:fldCharType="begin"/>
      </w:r>
      <w:r w:rsidRPr="006140CC">
        <w:rPr>
          <w:rFonts w:cs="Arial"/>
          <w:lang w:val="fr-FR"/>
        </w:rPr>
        <w:instrText xml:space="preserve"> AUTONUM  </w:instrText>
      </w:r>
      <w:r w:rsidRPr="006140CC">
        <w:rPr>
          <w:rFonts w:cs="Arial"/>
          <w:lang w:val="fr-FR"/>
        </w:rPr>
        <w:fldChar w:fldCharType="end"/>
      </w:r>
      <w:r w:rsidRPr="006140CC">
        <w:rPr>
          <w:rFonts w:cs="Arial"/>
          <w:lang w:val="fr-FR"/>
        </w:rPr>
        <w:tab/>
      </w:r>
      <w:r w:rsidR="0000620B" w:rsidRPr="006140CC">
        <w:rPr>
          <w:rFonts w:cs="Arial"/>
          <w:lang w:val="fr-FR"/>
        </w:rPr>
        <w:t>Des observations ont été transmises par ESA.</w:t>
      </w:r>
    </w:p>
    <w:p w:rsidR="00B85CBA" w:rsidRPr="006140CC" w:rsidRDefault="00B85CBA" w:rsidP="00293742">
      <w:pPr>
        <w:spacing w:line="360" w:lineRule="auto"/>
        <w:rPr>
          <w:highlight w:val="yellow"/>
          <w:lang w:val="fr-FR"/>
        </w:rPr>
      </w:pPr>
    </w:p>
    <w:p w:rsidR="004274E1" w:rsidRPr="006140CC" w:rsidRDefault="0000620B" w:rsidP="0000620B">
      <w:pPr>
        <w:rPr>
          <w:u w:val="single"/>
          <w:lang w:val="fr-FR"/>
        </w:rPr>
      </w:pPr>
      <w:r w:rsidRPr="006140CC">
        <w:rPr>
          <w:u w:val="single"/>
          <w:lang w:val="fr-FR"/>
        </w:rPr>
        <w:t xml:space="preserve">Notes explicatives </w:t>
      </w:r>
      <w:r w:rsidR="00D75862">
        <w:rPr>
          <w:u w:val="single"/>
          <w:lang w:val="fr-FR"/>
        </w:rPr>
        <w:t>concernant</w:t>
      </w:r>
      <w:r w:rsidRPr="006140CC">
        <w:rPr>
          <w:u w:val="single"/>
          <w:lang w:val="fr-FR"/>
        </w:rPr>
        <w:t xml:space="preserve"> les dénominations variétales </w:t>
      </w:r>
      <w:r w:rsidR="00D75862">
        <w:rPr>
          <w:u w:val="single"/>
          <w:lang w:val="fr-FR"/>
        </w:rPr>
        <w:t>en vertu de</w:t>
      </w:r>
      <w:r w:rsidRPr="006140CC">
        <w:rPr>
          <w:u w:val="single"/>
          <w:lang w:val="fr-FR"/>
        </w:rPr>
        <w:t xml:space="preserve"> la </w:t>
      </w:r>
      <w:r w:rsidR="004274E1" w:rsidRPr="006140CC">
        <w:rPr>
          <w:u w:val="single"/>
          <w:lang w:val="fr-FR"/>
        </w:rPr>
        <w:t>Convention UPOV</w:t>
      </w:r>
      <w:r w:rsidRPr="006140CC">
        <w:rPr>
          <w:u w:val="single"/>
          <w:lang w:val="fr-FR"/>
        </w:rPr>
        <w:t xml:space="preserve"> (document UPOV/INF/12/5 Draft 1)</w:t>
      </w:r>
    </w:p>
    <w:p w:rsidR="00B85CBA" w:rsidRPr="006140CC" w:rsidRDefault="00B85CBA" w:rsidP="000B76D6">
      <w:pPr>
        <w:rPr>
          <w:highlight w:val="yellow"/>
          <w:lang w:val="fr-FR"/>
        </w:rPr>
      </w:pPr>
    </w:p>
    <w:p w:rsidR="00B85CBA" w:rsidRPr="006140CC" w:rsidRDefault="00CA1732" w:rsidP="0000620B">
      <w:pPr>
        <w:rPr>
          <w:highlight w:val="yellow"/>
          <w:lang w:val="fr-FR"/>
        </w:rPr>
      </w:pPr>
      <w:r w:rsidRPr="006140CC">
        <w:rPr>
          <w:rFonts w:cs="Arial"/>
          <w:lang w:val="fr-FR"/>
        </w:rPr>
        <w:fldChar w:fldCharType="begin"/>
      </w:r>
      <w:r w:rsidRPr="006140CC">
        <w:rPr>
          <w:rFonts w:cs="Arial"/>
          <w:lang w:val="fr-FR"/>
        </w:rPr>
        <w:instrText xml:space="preserve"> AUTONUM  </w:instrText>
      </w:r>
      <w:r w:rsidRPr="006140CC">
        <w:rPr>
          <w:rFonts w:cs="Arial"/>
          <w:lang w:val="fr-FR"/>
        </w:rPr>
        <w:fldChar w:fldCharType="end"/>
      </w:r>
      <w:r w:rsidRPr="006140CC">
        <w:rPr>
          <w:rFonts w:cs="Arial"/>
          <w:lang w:val="fr-FR"/>
        </w:rPr>
        <w:tab/>
      </w:r>
      <w:r w:rsidR="0000620B" w:rsidRPr="006140CC">
        <w:rPr>
          <w:rFonts w:cs="Arial"/>
          <w:lang w:val="fr-FR"/>
        </w:rPr>
        <w:t>Des obs</w:t>
      </w:r>
      <w:r w:rsidR="00293742">
        <w:rPr>
          <w:rFonts w:cs="Arial"/>
          <w:lang w:val="fr-FR"/>
        </w:rPr>
        <w:t xml:space="preserve">ervations ont été transmises par l’Argentine, </w:t>
      </w:r>
      <w:r w:rsidR="00293742" w:rsidRPr="006140CC">
        <w:rPr>
          <w:rFonts w:cs="Arial"/>
          <w:lang w:val="fr-FR"/>
        </w:rPr>
        <w:t>la Nouvelle</w:t>
      </w:r>
      <w:r w:rsidR="00293742" w:rsidRPr="006140CC">
        <w:rPr>
          <w:rFonts w:cs="Arial"/>
          <w:lang w:val="fr-FR"/>
        </w:rPr>
        <w:noBreakHyphen/>
        <w:t>Zélande</w:t>
      </w:r>
      <w:r w:rsidR="00293742">
        <w:rPr>
          <w:rFonts w:cs="Arial"/>
          <w:lang w:val="fr-FR"/>
        </w:rPr>
        <w:t xml:space="preserve">, APBREBES et </w:t>
      </w:r>
      <w:r w:rsidR="0000620B" w:rsidRPr="006140CC">
        <w:rPr>
          <w:rFonts w:cs="Arial"/>
          <w:lang w:val="fr-FR"/>
        </w:rPr>
        <w:t>ESA.</w:t>
      </w:r>
    </w:p>
    <w:p w:rsidR="00B85CBA" w:rsidRPr="006140CC" w:rsidRDefault="00B85CBA" w:rsidP="00293742">
      <w:pPr>
        <w:spacing w:line="360" w:lineRule="auto"/>
        <w:rPr>
          <w:highlight w:val="yellow"/>
          <w:lang w:val="fr-FR"/>
        </w:rPr>
      </w:pPr>
    </w:p>
    <w:p w:rsidR="004274E1" w:rsidRPr="006140CC" w:rsidRDefault="0000620B" w:rsidP="0000620B">
      <w:pPr>
        <w:rPr>
          <w:u w:val="single"/>
          <w:lang w:val="fr-FR"/>
        </w:rPr>
      </w:pPr>
      <w:r w:rsidRPr="006140CC">
        <w:rPr>
          <w:u w:val="single"/>
          <w:lang w:val="fr-FR"/>
        </w:rPr>
        <w:t xml:space="preserve">Notes explicatives sur la protection provisoire selon la </w:t>
      </w:r>
      <w:r w:rsidR="004274E1" w:rsidRPr="006140CC">
        <w:rPr>
          <w:u w:val="single"/>
          <w:lang w:val="fr-FR"/>
        </w:rPr>
        <w:t>Convention UPOV</w:t>
      </w:r>
      <w:r w:rsidRPr="006140CC">
        <w:rPr>
          <w:u w:val="single"/>
          <w:lang w:val="fr-FR"/>
        </w:rPr>
        <w:t xml:space="preserve"> (document UPOV/EXN/PRP/2 Draft 1)</w:t>
      </w:r>
    </w:p>
    <w:p w:rsidR="00B85CBA" w:rsidRPr="006140CC" w:rsidRDefault="00B85CBA" w:rsidP="00C64852">
      <w:pPr>
        <w:rPr>
          <w:highlight w:val="yellow"/>
          <w:lang w:val="fr-FR"/>
        </w:rPr>
      </w:pPr>
    </w:p>
    <w:p w:rsidR="00B85CBA" w:rsidRPr="006140CC" w:rsidRDefault="00CA1732" w:rsidP="0000620B">
      <w:pPr>
        <w:rPr>
          <w:highlight w:val="lightGray"/>
          <w:lang w:val="fr-FR"/>
        </w:rPr>
      </w:pPr>
      <w:r w:rsidRPr="006140CC">
        <w:rPr>
          <w:rFonts w:cs="Arial"/>
          <w:lang w:val="fr-FR"/>
        </w:rPr>
        <w:fldChar w:fldCharType="begin"/>
      </w:r>
      <w:r w:rsidRPr="006140CC">
        <w:rPr>
          <w:rFonts w:cs="Arial"/>
          <w:lang w:val="fr-FR"/>
        </w:rPr>
        <w:instrText xml:space="preserve"> AUTONUM  </w:instrText>
      </w:r>
      <w:r w:rsidRPr="006140CC">
        <w:rPr>
          <w:rFonts w:cs="Arial"/>
          <w:lang w:val="fr-FR"/>
        </w:rPr>
        <w:fldChar w:fldCharType="end"/>
      </w:r>
      <w:r w:rsidRPr="006140CC">
        <w:rPr>
          <w:rFonts w:cs="Arial"/>
          <w:lang w:val="fr-FR"/>
        </w:rPr>
        <w:tab/>
      </w:r>
      <w:r w:rsidR="0000620B" w:rsidRPr="006140CC">
        <w:rPr>
          <w:rFonts w:cs="Arial"/>
          <w:lang w:val="fr-FR"/>
        </w:rPr>
        <w:t>Des observations ont été transmises par CropLife International.</w:t>
      </w:r>
    </w:p>
    <w:p w:rsidR="00B85CBA" w:rsidRPr="006140CC" w:rsidRDefault="00B85CBA" w:rsidP="00293742">
      <w:pPr>
        <w:spacing w:line="360" w:lineRule="auto"/>
        <w:ind w:left="567" w:hanging="567"/>
        <w:rPr>
          <w:lang w:val="fr-FR"/>
        </w:rPr>
      </w:pPr>
    </w:p>
    <w:p w:rsidR="004274E1" w:rsidRPr="00C67FF6" w:rsidRDefault="00C64852" w:rsidP="0000620B">
      <w:pPr>
        <w:rPr>
          <w:szCs w:val="24"/>
          <w:lang w:val="fr-FR"/>
        </w:rPr>
      </w:pPr>
      <w:r w:rsidRPr="00C67FF6">
        <w:rPr>
          <w:lang w:val="fr-FR"/>
        </w:rPr>
        <w:fldChar w:fldCharType="begin"/>
      </w:r>
      <w:r w:rsidRPr="00C67FF6">
        <w:rPr>
          <w:lang w:val="fr-FR"/>
        </w:rPr>
        <w:instrText xml:space="preserve"> AUTONUM  </w:instrText>
      </w:r>
      <w:r w:rsidRPr="00C67FF6">
        <w:rPr>
          <w:lang w:val="fr-FR"/>
        </w:rPr>
        <w:fldChar w:fldCharType="end"/>
      </w:r>
      <w:r w:rsidRPr="00C67FF6">
        <w:rPr>
          <w:lang w:val="fr-FR"/>
        </w:rPr>
        <w:tab/>
      </w:r>
      <w:r w:rsidR="0000620B" w:rsidRPr="00C67FF6">
        <w:rPr>
          <w:lang w:val="fr-FR"/>
        </w:rPr>
        <w:t xml:space="preserve">Les observations et notes explicatives susmentionnées sont disponibles sur le </w:t>
      </w:r>
      <w:r w:rsidR="00C35095">
        <w:rPr>
          <w:lang w:val="fr-FR"/>
        </w:rPr>
        <w:br/>
      </w:r>
      <w:r w:rsidR="0000620B" w:rsidRPr="00C67FF6">
        <w:rPr>
          <w:lang w:val="fr-FR"/>
        </w:rPr>
        <w:t>site</w:t>
      </w:r>
      <w:r w:rsidR="00C67FF6">
        <w:rPr>
          <w:lang w:val="fr-FR"/>
        </w:rPr>
        <w:t xml:space="preserve"> </w:t>
      </w:r>
      <w:r w:rsidR="0000620B" w:rsidRPr="00C67FF6">
        <w:rPr>
          <w:lang w:val="fr-FR"/>
        </w:rPr>
        <w:t>Web de l</w:t>
      </w:r>
      <w:r w:rsidR="004274E1" w:rsidRPr="00C67FF6">
        <w:rPr>
          <w:lang w:val="fr-FR"/>
        </w:rPr>
        <w:t>’</w:t>
      </w:r>
      <w:r w:rsidR="0000620B" w:rsidRPr="00C67FF6">
        <w:rPr>
          <w:lang w:val="fr-FR"/>
        </w:rPr>
        <w:t xml:space="preserve">UPOV, dans la section </w:t>
      </w:r>
      <w:r w:rsidR="005369C2" w:rsidRPr="00C67FF6">
        <w:rPr>
          <w:lang w:val="fr-FR"/>
        </w:rPr>
        <w:t>“</w:t>
      </w:r>
      <w:r w:rsidR="0000620B" w:rsidRPr="00C67FF6">
        <w:rPr>
          <w:lang w:val="fr-FR"/>
        </w:rPr>
        <w:t>Examen par correspondance</w:t>
      </w:r>
      <w:r w:rsidR="005369C2" w:rsidRPr="00C67FF6">
        <w:rPr>
          <w:lang w:val="fr-FR"/>
        </w:rPr>
        <w:t>”</w:t>
      </w:r>
      <w:r w:rsidR="00C67FF6" w:rsidRPr="00C67FF6">
        <w:rPr>
          <w:lang w:val="fr-FR"/>
        </w:rPr>
        <w:t xml:space="preserve"> du CAJ</w:t>
      </w:r>
      <w:r w:rsidR="00C67FF6" w:rsidRPr="00C67FF6">
        <w:rPr>
          <w:lang w:val="fr-FR"/>
        </w:rPr>
        <w:noBreakHyphen/>
        <w:t>AG/13</w:t>
      </w:r>
      <w:r w:rsidR="0000620B" w:rsidRPr="00C67FF6">
        <w:rPr>
          <w:lang w:val="fr-FR"/>
        </w:rPr>
        <w:t xml:space="preserve"> </w:t>
      </w:r>
      <w:hyperlink r:id="rId12" w:history="1">
        <w:r w:rsidR="00852F29" w:rsidRPr="00C67FF6">
          <w:rPr>
            <w:rStyle w:val="Hyperlink"/>
            <w:lang w:val="fr-FR"/>
          </w:rPr>
          <w:t>http://www.upov.int/meetings/fr/details.jsp?meeting_id=29783</w:t>
        </w:r>
      </w:hyperlink>
      <w:r w:rsidR="00852F29" w:rsidRPr="00C67FF6">
        <w:rPr>
          <w:lang w:val="fr-FR"/>
        </w:rPr>
        <w:t>.</w:t>
      </w:r>
    </w:p>
    <w:p w:rsidR="00B85CBA" w:rsidRPr="006140CC" w:rsidRDefault="00B85CBA" w:rsidP="00A845F1">
      <w:pPr>
        <w:rPr>
          <w:snapToGrid w:val="0"/>
          <w:highlight w:val="yellow"/>
          <w:lang w:val="fr-FR"/>
        </w:rPr>
      </w:pPr>
    </w:p>
    <w:p w:rsidR="00B85CBA" w:rsidRPr="006140CC" w:rsidRDefault="00C64852" w:rsidP="0000620B">
      <w:pPr>
        <w:rPr>
          <w:snapToGrid w:val="0"/>
          <w:highlight w:val="yellow"/>
          <w:lang w:val="fr-FR"/>
        </w:rPr>
      </w:pPr>
      <w:r w:rsidRPr="006140CC">
        <w:rPr>
          <w:szCs w:val="24"/>
          <w:lang w:val="fr-FR"/>
        </w:rPr>
        <w:fldChar w:fldCharType="begin"/>
      </w:r>
      <w:r w:rsidRPr="006140CC">
        <w:rPr>
          <w:szCs w:val="24"/>
          <w:lang w:val="fr-FR"/>
        </w:rPr>
        <w:instrText xml:space="preserve"> AUTONUM  </w:instrText>
      </w:r>
      <w:r w:rsidRPr="006140CC">
        <w:rPr>
          <w:szCs w:val="24"/>
          <w:lang w:val="fr-FR"/>
        </w:rPr>
        <w:fldChar w:fldCharType="end"/>
      </w:r>
      <w:r w:rsidRPr="006140CC">
        <w:rPr>
          <w:szCs w:val="24"/>
          <w:lang w:val="fr-FR"/>
        </w:rPr>
        <w:tab/>
      </w:r>
      <w:r w:rsidR="0000620B" w:rsidRPr="006140CC">
        <w:rPr>
          <w:szCs w:val="24"/>
          <w:lang w:val="fr-FR"/>
        </w:rPr>
        <w:t xml:space="preserve">Sur la base des observations reçues, de nouvelles versions des notes explicatives susmentionnées </w:t>
      </w:r>
      <w:r w:rsidR="00C35095">
        <w:rPr>
          <w:szCs w:val="24"/>
          <w:lang w:val="fr-FR"/>
        </w:rPr>
        <w:t xml:space="preserve">ont été </w:t>
      </w:r>
      <w:r w:rsidR="0000620B" w:rsidRPr="006140CC">
        <w:rPr>
          <w:szCs w:val="24"/>
          <w:lang w:val="fr-FR"/>
        </w:rPr>
        <w:t xml:space="preserve">publiées le </w:t>
      </w:r>
      <w:r w:rsidR="00C35095">
        <w:rPr>
          <w:szCs w:val="24"/>
          <w:lang w:val="fr-FR"/>
        </w:rPr>
        <w:t xml:space="preserve">10 septembre </w:t>
      </w:r>
      <w:r w:rsidR="0000620B" w:rsidRPr="006140CC">
        <w:rPr>
          <w:szCs w:val="24"/>
          <w:lang w:val="fr-FR"/>
        </w:rPr>
        <w:t xml:space="preserve">2014 et </w:t>
      </w:r>
      <w:r w:rsidR="00C35095">
        <w:rPr>
          <w:szCs w:val="24"/>
          <w:lang w:val="fr-FR"/>
        </w:rPr>
        <w:t xml:space="preserve">seront </w:t>
      </w:r>
      <w:r w:rsidR="0000620B" w:rsidRPr="006140CC">
        <w:rPr>
          <w:szCs w:val="24"/>
          <w:lang w:val="fr-FR"/>
        </w:rPr>
        <w:t>examinées par le CAJ</w:t>
      </w:r>
      <w:r w:rsidR="00DB2441" w:rsidRPr="006140CC">
        <w:rPr>
          <w:szCs w:val="24"/>
          <w:lang w:val="fr-FR"/>
        </w:rPr>
        <w:noBreakHyphen/>
      </w:r>
      <w:r w:rsidR="0000620B" w:rsidRPr="006140CC">
        <w:rPr>
          <w:szCs w:val="24"/>
          <w:lang w:val="fr-FR"/>
        </w:rPr>
        <w:t>AG à sa neuvième</w:t>
      </w:r>
      <w:r w:rsidR="005369C2" w:rsidRPr="006140CC">
        <w:rPr>
          <w:szCs w:val="24"/>
          <w:lang w:val="fr-FR"/>
        </w:rPr>
        <w:t> </w:t>
      </w:r>
      <w:r w:rsidR="0000620B" w:rsidRPr="006140CC">
        <w:rPr>
          <w:szCs w:val="24"/>
          <w:lang w:val="fr-FR"/>
        </w:rPr>
        <w:t>session</w:t>
      </w:r>
      <w:r w:rsidR="005578E1">
        <w:rPr>
          <w:szCs w:val="24"/>
          <w:lang w:val="fr-FR"/>
        </w:rPr>
        <w:t xml:space="preserve">.  </w:t>
      </w:r>
      <w:r w:rsidR="0000620B" w:rsidRPr="006140CC">
        <w:rPr>
          <w:rFonts w:cs="Arial"/>
          <w:lang w:val="fr-FR"/>
        </w:rPr>
        <w:t>Les membres</w:t>
      </w:r>
      <w:r w:rsidR="004274E1" w:rsidRPr="006140CC">
        <w:rPr>
          <w:rFonts w:cs="Arial"/>
          <w:lang w:val="fr-FR"/>
        </w:rPr>
        <w:t xml:space="preserve"> du CAJ</w:t>
      </w:r>
      <w:r w:rsidR="0000620B" w:rsidRPr="006140CC">
        <w:rPr>
          <w:rFonts w:cs="Arial"/>
          <w:lang w:val="fr-FR"/>
        </w:rPr>
        <w:t xml:space="preserve"> et observateurs auprès de ce comité en </w:t>
      </w:r>
      <w:r w:rsidR="00C35095">
        <w:rPr>
          <w:rFonts w:cs="Arial"/>
          <w:lang w:val="fr-FR"/>
        </w:rPr>
        <w:t xml:space="preserve">ont été </w:t>
      </w:r>
      <w:r w:rsidR="0000620B" w:rsidRPr="006140CC">
        <w:rPr>
          <w:rFonts w:cs="Arial"/>
          <w:lang w:val="fr-FR"/>
        </w:rPr>
        <w:t>dûment informés.</w:t>
      </w:r>
      <w:r w:rsidR="00C35095" w:rsidRPr="00C35095">
        <w:rPr>
          <w:rStyle w:val="FootnoteReference"/>
          <w:rFonts w:cs="Arial"/>
          <w:lang w:val="fr-FR"/>
        </w:rPr>
        <w:t xml:space="preserve"> </w:t>
      </w:r>
      <w:r w:rsidR="00C35095" w:rsidRPr="006140CC">
        <w:rPr>
          <w:rStyle w:val="FootnoteReference"/>
          <w:rFonts w:cs="Arial"/>
          <w:lang w:val="fr-FR"/>
        </w:rPr>
        <w:footnoteReference w:id="9"/>
      </w:r>
    </w:p>
    <w:p w:rsidR="00B85CBA" w:rsidRPr="006140CC" w:rsidRDefault="00B85CBA" w:rsidP="00A845F1">
      <w:pPr>
        <w:rPr>
          <w:szCs w:val="24"/>
          <w:highlight w:val="yellow"/>
          <w:lang w:val="fr-FR"/>
        </w:rPr>
      </w:pPr>
    </w:p>
    <w:p w:rsidR="00B85CBA" w:rsidRPr="006140CC" w:rsidRDefault="00D477FD" w:rsidP="002A0D39">
      <w:pPr>
        <w:rPr>
          <w:szCs w:val="24"/>
          <w:lang w:val="fr-FR"/>
        </w:rPr>
      </w:pPr>
      <w:r w:rsidRPr="006140CC">
        <w:rPr>
          <w:szCs w:val="24"/>
          <w:lang w:val="fr-FR"/>
        </w:rPr>
        <w:fldChar w:fldCharType="begin"/>
      </w:r>
      <w:r w:rsidRPr="006140CC">
        <w:rPr>
          <w:szCs w:val="24"/>
          <w:lang w:val="fr-FR"/>
        </w:rPr>
        <w:instrText xml:space="preserve"> AUTONUM  </w:instrText>
      </w:r>
      <w:r w:rsidRPr="006140CC">
        <w:rPr>
          <w:szCs w:val="24"/>
          <w:lang w:val="fr-FR"/>
        </w:rPr>
        <w:fldChar w:fldCharType="end"/>
      </w:r>
      <w:r w:rsidRPr="006140CC">
        <w:rPr>
          <w:szCs w:val="24"/>
          <w:lang w:val="fr-FR"/>
        </w:rPr>
        <w:tab/>
      </w:r>
      <w:r w:rsidR="002A0D39" w:rsidRPr="006140CC">
        <w:rPr>
          <w:szCs w:val="24"/>
          <w:lang w:val="fr-FR"/>
        </w:rPr>
        <w:t>Le projet d</w:t>
      </w:r>
      <w:r w:rsidR="004274E1" w:rsidRPr="006140CC">
        <w:rPr>
          <w:szCs w:val="24"/>
          <w:lang w:val="fr-FR"/>
        </w:rPr>
        <w:t>’</w:t>
      </w:r>
      <w:r w:rsidR="002A0D39" w:rsidRPr="006140CC">
        <w:rPr>
          <w:szCs w:val="24"/>
          <w:lang w:val="fr-FR"/>
        </w:rPr>
        <w:t>ordre du jour de la neuvième</w:t>
      </w:r>
      <w:r w:rsidR="005369C2" w:rsidRPr="006140CC">
        <w:rPr>
          <w:szCs w:val="24"/>
          <w:lang w:val="fr-FR"/>
        </w:rPr>
        <w:t> </w:t>
      </w:r>
      <w:r w:rsidR="002A0D39" w:rsidRPr="006140CC">
        <w:rPr>
          <w:szCs w:val="24"/>
          <w:lang w:val="fr-FR"/>
        </w:rPr>
        <w:t>session</w:t>
      </w:r>
      <w:r w:rsidR="004274E1" w:rsidRPr="006140CC">
        <w:rPr>
          <w:szCs w:val="24"/>
          <w:lang w:val="fr-FR"/>
        </w:rPr>
        <w:t xml:space="preserve"> du CAJ</w:t>
      </w:r>
      <w:r w:rsidR="00DB2441" w:rsidRPr="006140CC">
        <w:rPr>
          <w:szCs w:val="24"/>
          <w:lang w:val="fr-FR"/>
        </w:rPr>
        <w:noBreakHyphen/>
      </w:r>
      <w:r w:rsidR="002A0D39" w:rsidRPr="006140CC">
        <w:rPr>
          <w:szCs w:val="24"/>
          <w:lang w:val="fr-FR"/>
        </w:rPr>
        <w:t>AG fait l</w:t>
      </w:r>
      <w:r w:rsidR="004274E1" w:rsidRPr="006140CC">
        <w:rPr>
          <w:szCs w:val="24"/>
          <w:lang w:val="fr-FR"/>
        </w:rPr>
        <w:t>’</w:t>
      </w:r>
      <w:r w:rsidR="002A0D39" w:rsidRPr="006140CC">
        <w:rPr>
          <w:szCs w:val="24"/>
          <w:lang w:val="fr-FR"/>
        </w:rPr>
        <w:t xml:space="preserve">objet du </w:t>
      </w:r>
      <w:r w:rsidR="004274E1" w:rsidRPr="006140CC">
        <w:rPr>
          <w:szCs w:val="24"/>
          <w:lang w:val="fr-FR"/>
        </w:rPr>
        <w:t>document CA</w:t>
      </w:r>
      <w:r w:rsidR="002A0D39" w:rsidRPr="006140CC">
        <w:rPr>
          <w:szCs w:val="24"/>
          <w:lang w:val="fr-FR"/>
        </w:rPr>
        <w:t>J</w:t>
      </w:r>
      <w:r w:rsidR="00DB2441" w:rsidRPr="006140CC">
        <w:rPr>
          <w:szCs w:val="24"/>
          <w:lang w:val="fr-FR"/>
        </w:rPr>
        <w:noBreakHyphen/>
      </w:r>
      <w:r w:rsidR="002A0D39" w:rsidRPr="006140CC">
        <w:rPr>
          <w:szCs w:val="24"/>
          <w:lang w:val="fr-FR"/>
        </w:rPr>
        <w:t>AG/14/9/1 (reproduit ci</w:t>
      </w:r>
      <w:r w:rsidR="00DB2441" w:rsidRPr="006140CC">
        <w:rPr>
          <w:szCs w:val="24"/>
          <w:lang w:val="fr-FR"/>
        </w:rPr>
        <w:noBreakHyphen/>
      </w:r>
      <w:r w:rsidR="002A0D39" w:rsidRPr="006140CC">
        <w:rPr>
          <w:szCs w:val="24"/>
          <w:lang w:val="fr-FR"/>
        </w:rPr>
        <w:t>dessous).</w:t>
      </w:r>
    </w:p>
    <w:p w:rsidR="00B85CBA" w:rsidRPr="006140CC" w:rsidRDefault="00B85CBA" w:rsidP="00A845F1">
      <w:pPr>
        <w:rPr>
          <w:szCs w:val="24"/>
          <w:lang w:val="fr-FR"/>
        </w:rPr>
      </w:pPr>
    </w:p>
    <w:p w:rsidR="00B85CBA" w:rsidRPr="006140CC" w:rsidRDefault="002A0D39" w:rsidP="00852F29">
      <w:pPr>
        <w:pStyle w:val="ListParagraph"/>
        <w:numPr>
          <w:ilvl w:val="0"/>
          <w:numId w:val="7"/>
        </w:numPr>
        <w:ind w:left="1134" w:hanging="567"/>
        <w:rPr>
          <w:lang w:val="fr-FR"/>
        </w:rPr>
      </w:pPr>
      <w:r w:rsidRPr="006140CC">
        <w:rPr>
          <w:lang w:val="fr-FR"/>
        </w:rPr>
        <w:t>Ouverture de la session</w:t>
      </w:r>
    </w:p>
    <w:p w:rsidR="00B85CBA" w:rsidRPr="006140CC" w:rsidRDefault="00B85CBA" w:rsidP="00852F29">
      <w:pPr>
        <w:ind w:left="1134" w:hanging="567"/>
        <w:rPr>
          <w:lang w:val="fr-FR"/>
        </w:rPr>
      </w:pPr>
    </w:p>
    <w:p w:rsidR="00B85CBA" w:rsidRPr="006140CC" w:rsidRDefault="002A0D39" w:rsidP="00852F29">
      <w:pPr>
        <w:pStyle w:val="ListParagraph"/>
        <w:numPr>
          <w:ilvl w:val="0"/>
          <w:numId w:val="7"/>
        </w:numPr>
        <w:ind w:left="1134" w:hanging="567"/>
        <w:rPr>
          <w:lang w:val="fr-FR"/>
        </w:rPr>
      </w:pPr>
      <w:r w:rsidRPr="006140CC">
        <w:rPr>
          <w:lang w:val="fr-FR"/>
        </w:rPr>
        <w:t>Adoption de l</w:t>
      </w:r>
      <w:r w:rsidR="004274E1" w:rsidRPr="006140CC">
        <w:rPr>
          <w:lang w:val="fr-FR"/>
        </w:rPr>
        <w:t>’</w:t>
      </w:r>
      <w:r w:rsidRPr="006140CC">
        <w:rPr>
          <w:lang w:val="fr-FR"/>
        </w:rPr>
        <w:t>ordre du jour</w:t>
      </w:r>
    </w:p>
    <w:p w:rsidR="00B85CBA" w:rsidRPr="006140CC" w:rsidRDefault="00B85CBA" w:rsidP="00852F29">
      <w:pPr>
        <w:ind w:left="1134" w:hanging="567"/>
        <w:rPr>
          <w:lang w:val="fr-FR"/>
        </w:rPr>
      </w:pPr>
    </w:p>
    <w:p w:rsidR="00B85CBA" w:rsidRPr="006140CC" w:rsidRDefault="002A0D39" w:rsidP="007B45C4">
      <w:pPr>
        <w:pStyle w:val="ListParagraph"/>
        <w:keepNext/>
        <w:numPr>
          <w:ilvl w:val="0"/>
          <w:numId w:val="7"/>
        </w:numPr>
        <w:ind w:left="1134" w:hanging="567"/>
        <w:rPr>
          <w:lang w:val="fr-FR"/>
        </w:rPr>
      </w:pPr>
      <w:r w:rsidRPr="006140CC">
        <w:rPr>
          <w:lang w:val="fr-FR"/>
        </w:rPr>
        <w:lastRenderedPageBreak/>
        <w:t>Variétés essentiellement dérivées</w:t>
      </w:r>
    </w:p>
    <w:p w:rsidR="00B85CBA" w:rsidRPr="006140CC" w:rsidRDefault="00B85CBA" w:rsidP="00852F29">
      <w:pPr>
        <w:ind w:left="1134" w:hanging="567"/>
        <w:rPr>
          <w:lang w:val="fr-FR"/>
        </w:rPr>
      </w:pPr>
    </w:p>
    <w:p w:rsidR="00B85CBA" w:rsidRPr="006140CC" w:rsidRDefault="002A0D39" w:rsidP="00852F29">
      <w:pPr>
        <w:pStyle w:val="ListParagraph"/>
        <w:numPr>
          <w:ilvl w:val="0"/>
          <w:numId w:val="12"/>
        </w:numPr>
        <w:ind w:left="1134" w:firstLine="0"/>
        <w:rPr>
          <w:lang w:val="fr-FR"/>
        </w:rPr>
      </w:pPr>
      <w:r w:rsidRPr="006140CC">
        <w:rPr>
          <w:lang w:val="fr-FR"/>
        </w:rPr>
        <w:t>Notes explicatives sur les variétés essentiellement dérivées selon l</w:t>
      </w:r>
      <w:r w:rsidR="004274E1" w:rsidRPr="006140CC">
        <w:rPr>
          <w:lang w:val="fr-FR"/>
        </w:rPr>
        <w:t>’</w:t>
      </w:r>
      <w:r w:rsidRPr="006140CC">
        <w:rPr>
          <w:lang w:val="fr-FR"/>
        </w:rPr>
        <w:t>Acte de 1991 de la </w:t>
      </w:r>
      <w:r w:rsidR="004274E1" w:rsidRPr="006140CC">
        <w:rPr>
          <w:lang w:val="fr-FR"/>
        </w:rPr>
        <w:t>Convention UPOV</w:t>
      </w:r>
      <w:r w:rsidRPr="006140CC">
        <w:rPr>
          <w:lang w:val="fr-FR"/>
        </w:rPr>
        <w:t xml:space="preserve"> (révision) (documents CAJ</w:t>
      </w:r>
      <w:r w:rsidR="00DB2441" w:rsidRPr="006140CC">
        <w:rPr>
          <w:lang w:val="fr-FR"/>
        </w:rPr>
        <w:noBreakHyphen/>
      </w:r>
      <w:r w:rsidRPr="006140CC">
        <w:rPr>
          <w:lang w:val="fr-FR"/>
        </w:rPr>
        <w:t>AG/14/6/2 et UPOV/EXN/EDV/5 Draft 2)</w:t>
      </w:r>
    </w:p>
    <w:p w:rsidR="00B85CBA" w:rsidRPr="006140CC" w:rsidRDefault="00B85CBA" w:rsidP="00852F29">
      <w:pPr>
        <w:ind w:left="1134"/>
        <w:rPr>
          <w:lang w:val="fr-FR"/>
        </w:rPr>
      </w:pPr>
    </w:p>
    <w:p w:rsidR="00B85CBA" w:rsidRPr="006140CC" w:rsidRDefault="002A0D39" w:rsidP="00852F29">
      <w:pPr>
        <w:pStyle w:val="ListParagraph"/>
        <w:numPr>
          <w:ilvl w:val="0"/>
          <w:numId w:val="12"/>
        </w:numPr>
        <w:ind w:left="1134" w:firstLine="0"/>
        <w:rPr>
          <w:lang w:val="fr-FR"/>
        </w:rPr>
      </w:pPr>
      <w:r w:rsidRPr="006140CC">
        <w:rPr>
          <w:lang w:val="fr-FR"/>
        </w:rPr>
        <w:t xml:space="preserve">Possibles mécanismes extrajudiciaires de règlement des litiges pour les variétés essentiellement </w:t>
      </w:r>
      <w:r w:rsidR="005578E1">
        <w:rPr>
          <w:lang w:val="fr-FR"/>
        </w:rPr>
        <w:t xml:space="preserve">dérivées </w:t>
      </w:r>
      <w:r w:rsidRPr="006140CC">
        <w:rPr>
          <w:lang w:val="fr-FR"/>
        </w:rPr>
        <w:t>(document CAJ</w:t>
      </w:r>
      <w:r w:rsidR="00DB2441" w:rsidRPr="006140CC">
        <w:rPr>
          <w:lang w:val="fr-FR"/>
        </w:rPr>
        <w:noBreakHyphen/>
      </w:r>
      <w:r w:rsidRPr="006140CC">
        <w:rPr>
          <w:lang w:val="fr-FR"/>
        </w:rPr>
        <w:t>AG/14/9/3)</w:t>
      </w:r>
    </w:p>
    <w:p w:rsidR="00B85CBA" w:rsidRPr="006140CC" w:rsidRDefault="00B85CBA" w:rsidP="00852F29">
      <w:pPr>
        <w:ind w:left="1134" w:hanging="567"/>
        <w:rPr>
          <w:lang w:val="fr-FR"/>
        </w:rPr>
      </w:pPr>
    </w:p>
    <w:p w:rsidR="00B85CBA" w:rsidRPr="006140CC" w:rsidRDefault="002A0D39" w:rsidP="00852F29">
      <w:pPr>
        <w:pStyle w:val="ListParagraph"/>
        <w:numPr>
          <w:ilvl w:val="0"/>
          <w:numId w:val="7"/>
        </w:numPr>
        <w:ind w:left="1134" w:hanging="567"/>
        <w:rPr>
          <w:lang w:val="fr-FR"/>
        </w:rPr>
      </w:pPr>
      <w:r w:rsidRPr="006140CC">
        <w:rPr>
          <w:lang w:val="fr-FR"/>
        </w:rPr>
        <w:t>Notes explicatives sur le matériel de reproduction ou de multiplication (document UPOV/EXN/PPM/1 Draft 3)</w:t>
      </w:r>
    </w:p>
    <w:p w:rsidR="00B85CBA" w:rsidRPr="006140CC" w:rsidRDefault="00B85CBA" w:rsidP="00852F29">
      <w:pPr>
        <w:ind w:left="1134" w:hanging="567"/>
        <w:rPr>
          <w:lang w:val="fr-FR"/>
        </w:rPr>
      </w:pPr>
    </w:p>
    <w:p w:rsidR="00B85CBA" w:rsidRPr="006140CC" w:rsidRDefault="002A0D39" w:rsidP="00852F29">
      <w:pPr>
        <w:pStyle w:val="ListParagraph"/>
        <w:numPr>
          <w:ilvl w:val="0"/>
          <w:numId w:val="7"/>
        </w:numPr>
        <w:ind w:left="1134" w:hanging="567"/>
        <w:rPr>
          <w:lang w:val="fr-FR"/>
        </w:rPr>
      </w:pPr>
      <w:r w:rsidRPr="006140CC">
        <w:rPr>
          <w:lang w:val="fr-FR"/>
        </w:rPr>
        <w:t xml:space="preserve">Notes explicatives sur les actes </w:t>
      </w:r>
      <w:r w:rsidR="004274E1" w:rsidRPr="006140CC">
        <w:rPr>
          <w:lang w:val="fr-FR"/>
        </w:rPr>
        <w:t>à l’égard</w:t>
      </w:r>
      <w:r w:rsidRPr="006140CC">
        <w:rPr>
          <w:lang w:val="fr-FR"/>
        </w:rPr>
        <w:t xml:space="preserve"> du produit de la récolte selon l</w:t>
      </w:r>
      <w:r w:rsidR="004274E1" w:rsidRPr="006140CC">
        <w:rPr>
          <w:lang w:val="fr-FR"/>
        </w:rPr>
        <w:t>’</w:t>
      </w:r>
      <w:r w:rsidRPr="006140CC">
        <w:rPr>
          <w:lang w:val="fr-FR"/>
        </w:rPr>
        <w:t xml:space="preserve">Acte de 1991 de la </w:t>
      </w:r>
      <w:r w:rsidR="004274E1" w:rsidRPr="006140CC">
        <w:rPr>
          <w:lang w:val="fr-FR"/>
        </w:rPr>
        <w:t>Convention UPOV</w:t>
      </w:r>
      <w:r w:rsidRPr="006140CC">
        <w:rPr>
          <w:lang w:val="fr-FR"/>
        </w:rPr>
        <w:t xml:space="preserve"> (Révision) (document UPOV/EXN/HRV/2 Draft 2)</w:t>
      </w:r>
    </w:p>
    <w:p w:rsidR="00B85CBA" w:rsidRPr="006140CC" w:rsidRDefault="00B85CBA" w:rsidP="00852F29">
      <w:pPr>
        <w:ind w:left="1134" w:hanging="567"/>
        <w:rPr>
          <w:lang w:val="fr-FR"/>
        </w:rPr>
      </w:pPr>
    </w:p>
    <w:p w:rsidR="00B85CBA" w:rsidRPr="006140CC" w:rsidRDefault="002A0D39" w:rsidP="00852F29">
      <w:pPr>
        <w:pStyle w:val="ListParagraph"/>
        <w:numPr>
          <w:ilvl w:val="0"/>
          <w:numId w:val="7"/>
        </w:numPr>
        <w:ind w:left="1134" w:hanging="567"/>
        <w:rPr>
          <w:lang w:val="fr-FR"/>
        </w:rPr>
      </w:pPr>
      <w:r w:rsidRPr="006140CC">
        <w:rPr>
          <w:lang w:val="fr-FR"/>
        </w:rPr>
        <w:t>Notes explicatives sur la déchéance de l</w:t>
      </w:r>
      <w:r w:rsidR="004274E1" w:rsidRPr="006140CC">
        <w:rPr>
          <w:lang w:val="fr-FR"/>
        </w:rPr>
        <w:t>’</w:t>
      </w:r>
      <w:r w:rsidRPr="006140CC">
        <w:rPr>
          <w:lang w:val="fr-FR"/>
        </w:rPr>
        <w:t xml:space="preserve">obtenteur selon la </w:t>
      </w:r>
      <w:r w:rsidR="004274E1" w:rsidRPr="006140CC">
        <w:rPr>
          <w:lang w:val="fr-FR"/>
        </w:rPr>
        <w:t>Convention UPOV</w:t>
      </w:r>
      <w:r w:rsidRPr="006140CC">
        <w:rPr>
          <w:lang w:val="fr-FR"/>
        </w:rPr>
        <w:t xml:space="preserve"> (document UPOV/EXN/CAN/2 (Révision) Draft 2)</w:t>
      </w:r>
    </w:p>
    <w:p w:rsidR="00B85CBA" w:rsidRPr="006140CC" w:rsidRDefault="00B85CBA" w:rsidP="00852F29">
      <w:pPr>
        <w:ind w:left="1134" w:hanging="567"/>
        <w:rPr>
          <w:lang w:val="fr-FR"/>
        </w:rPr>
      </w:pPr>
    </w:p>
    <w:p w:rsidR="00B85CBA" w:rsidRPr="006140CC" w:rsidRDefault="002A0D39" w:rsidP="00852F29">
      <w:pPr>
        <w:pStyle w:val="ListParagraph"/>
        <w:numPr>
          <w:ilvl w:val="0"/>
          <w:numId w:val="7"/>
        </w:numPr>
        <w:ind w:left="1134" w:hanging="567"/>
        <w:rPr>
          <w:lang w:val="fr-FR"/>
        </w:rPr>
      </w:pPr>
      <w:r w:rsidRPr="006140CC">
        <w:rPr>
          <w:lang w:val="fr-FR"/>
        </w:rPr>
        <w:t>Notes explicatives sur la nullité du droit d</w:t>
      </w:r>
      <w:r w:rsidR="004274E1" w:rsidRPr="006140CC">
        <w:rPr>
          <w:lang w:val="fr-FR"/>
        </w:rPr>
        <w:t>’</w:t>
      </w:r>
      <w:r w:rsidRPr="006140CC">
        <w:rPr>
          <w:lang w:val="fr-FR"/>
        </w:rPr>
        <w:t xml:space="preserve">obtenteur selon la </w:t>
      </w:r>
      <w:r w:rsidR="004274E1" w:rsidRPr="006140CC">
        <w:rPr>
          <w:lang w:val="fr-FR"/>
        </w:rPr>
        <w:t>Convention UPOV</w:t>
      </w:r>
      <w:r w:rsidRPr="006140CC">
        <w:rPr>
          <w:lang w:val="fr-FR"/>
        </w:rPr>
        <w:t xml:space="preserve"> (document UPOV/EXN/NUL/2 (Révision) Draft 2)</w:t>
      </w:r>
    </w:p>
    <w:p w:rsidR="00B85CBA" w:rsidRPr="006140CC" w:rsidRDefault="00B85CBA" w:rsidP="00852F29">
      <w:pPr>
        <w:ind w:left="1134" w:hanging="567"/>
        <w:rPr>
          <w:lang w:val="fr-FR"/>
        </w:rPr>
      </w:pPr>
    </w:p>
    <w:p w:rsidR="00B85CBA" w:rsidRPr="006140CC" w:rsidRDefault="002A0D39" w:rsidP="00852F29">
      <w:pPr>
        <w:pStyle w:val="ListParagraph"/>
        <w:numPr>
          <w:ilvl w:val="0"/>
          <w:numId w:val="7"/>
        </w:numPr>
        <w:ind w:left="1134" w:hanging="567"/>
        <w:rPr>
          <w:lang w:val="fr-FR"/>
        </w:rPr>
      </w:pPr>
      <w:r w:rsidRPr="006140CC">
        <w:rPr>
          <w:lang w:val="fr-FR"/>
        </w:rPr>
        <w:t xml:space="preserve">Notes explicatives </w:t>
      </w:r>
      <w:r w:rsidR="00C67FF6">
        <w:rPr>
          <w:lang w:val="fr-FR"/>
        </w:rPr>
        <w:t>concernant</w:t>
      </w:r>
      <w:r w:rsidRPr="006140CC">
        <w:rPr>
          <w:lang w:val="fr-FR"/>
        </w:rPr>
        <w:t xml:space="preserve"> les dénominations variétales </w:t>
      </w:r>
      <w:r w:rsidR="00C67FF6">
        <w:rPr>
          <w:lang w:val="fr-FR"/>
        </w:rPr>
        <w:t>en vertu de</w:t>
      </w:r>
      <w:r w:rsidRPr="006140CC">
        <w:rPr>
          <w:lang w:val="fr-FR"/>
        </w:rPr>
        <w:t xml:space="preserve"> la </w:t>
      </w:r>
      <w:r w:rsidR="004274E1" w:rsidRPr="006140CC">
        <w:rPr>
          <w:lang w:val="fr-FR"/>
        </w:rPr>
        <w:t>Convention UPOV</w:t>
      </w:r>
      <w:r w:rsidRPr="006140CC">
        <w:rPr>
          <w:lang w:val="fr-FR"/>
        </w:rPr>
        <w:t xml:space="preserve"> (Révision) (document UPOV/INF/12/5 Draft 2)</w:t>
      </w:r>
    </w:p>
    <w:p w:rsidR="00B85CBA" w:rsidRPr="006140CC" w:rsidRDefault="00B85CBA" w:rsidP="00852F29">
      <w:pPr>
        <w:ind w:left="1134" w:hanging="567"/>
        <w:rPr>
          <w:lang w:val="fr-FR"/>
        </w:rPr>
      </w:pPr>
    </w:p>
    <w:p w:rsidR="00B85CBA" w:rsidRPr="006140CC" w:rsidRDefault="002A0D39" w:rsidP="00852F29">
      <w:pPr>
        <w:pStyle w:val="ListParagraph"/>
        <w:numPr>
          <w:ilvl w:val="0"/>
          <w:numId w:val="7"/>
        </w:numPr>
        <w:ind w:left="1134" w:hanging="567"/>
        <w:rPr>
          <w:lang w:val="fr-FR"/>
        </w:rPr>
      </w:pPr>
      <w:r w:rsidRPr="006140CC">
        <w:rPr>
          <w:lang w:val="fr-FR"/>
        </w:rPr>
        <w:t>Questions concernant les descriptions variétales (document CAJ</w:t>
      </w:r>
      <w:r w:rsidR="00DB2441" w:rsidRPr="006140CC">
        <w:rPr>
          <w:lang w:val="fr-FR"/>
        </w:rPr>
        <w:noBreakHyphen/>
      </w:r>
      <w:r w:rsidRPr="006140CC">
        <w:rPr>
          <w:lang w:val="fr-FR"/>
        </w:rPr>
        <w:t>AG/14/9/4)</w:t>
      </w:r>
    </w:p>
    <w:p w:rsidR="00B85CBA" w:rsidRPr="006140CC" w:rsidRDefault="00B85CBA" w:rsidP="00852F29">
      <w:pPr>
        <w:ind w:left="1134" w:hanging="567"/>
        <w:rPr>
          <w:lang w:val="fr-FR"/>
        </w:rPr>
      </w:pPr>
    </w:p>
    <w:p w:rsidR="00B85CBA" w:rsidRPr="006140CC" w:rsidRDefault="002A0D39" w:rsidP="00852F29">
      <w:pPr>
        <w:pStyle w:val="ListParagraph"/>
        <w:numPr>
          <w:ilvl w:val="0"/>
          <w:numId w:val="7"/>
        </w:numPr>
        <w:ind w:left="1134" w:hanging="567"/>
        <w:rPr>
          <w:lang w:val="fr-FR"/>
        </w:rPr>
      </w:pPr>
      <w:r w:rsidRPr="006140CC">
        <w:rPr>
          <w:lang w:val="fr-FR"/>
        </w:rPr>
        <w:t xml:space="preserve">Notes explicatives sur la protection provisoire selon la </w:t>
      </w:r>
      <w:r w:rsidR="004274E1" w:rsidRPr="006140CC">
        <w:rPr>
          <w:lang w:val="fr-FR"/>
        </w:rPr>
        <w:t>Convention UPOV</w:t>
      </w:r>
      <w:r w:rsidRPr="006140CC">
        <w:rPr>
          <w:lang w:val="fr-FR"/>
        </w:rPr>
        <w:t xml:space="preserve"> (Révision) (document UPOV/EXN/PRP/2 Draft 2)</w:t>
      </w:r>
    </w:p>
    <w:p w:rsidR="00B85CBA" w:rsidRPr="006140CC" w:rsidRDefault="00B85CBA" w:rsidP="00852F29">
      <w:pPr>
        <w:ind w:left="1134" w:hanging="567"/>
        <w:rPr>
          <w:lang w:val="fr-FR"/>
        </w:rPr>
      </w:pPr>
    </w:p>
    <w:p w:rsidR="00B85CBA" w:rsidRPr="006140CC" w:rsidRDefault="002A0D39" w:rsidP="00852F29">
      <w:pPr>
        <w:pStyle w:val="ListParagraph"/>
        <w:numPr>
          <w:ilvl w:val="0"/>
          <w:numId w:val="7"/>
        </w:numPr>
        <w:ind w:left="1134" w:hanging="567"/>
        <w:rPr>
          <w:lang w:val="fr-FR"/>
        </w:rPr>
      </w:pPr>
      <w:r w:rsidRPr="006140CC">
        <w:rPr>
          <w:lang w:val="fr-FR"/>
        </w:rPr>
        <w:t>Questions concernant les observateurs</w:t>
      </w:r>
      <w:r w:rsidR="004274E1" w:rsidRPr="006140CC">
        <w:rPr>
          <w:lang w:val="fr-FR"/>
        </w:rPr>
        <w:t xml:space="preserve"> au CAJ</w:t>
      </w:r>
      <w:r w:rsidR="00DB2441" w:rsidRPr="006140CC">
        <w:rPr>
          <w:lang w:val="fr-FR"/>
        </w:rPr>
        <w:noBreakHyphen/>
      </w:r>
      <w:r w:rsidRPr="006140CC">
        <w:rPr>
          <w:lang w:val="fr-FR"/>
        </w:rPr>
        <w:t>AG (document CAJ</w:t>
      </w:r>
      <w:r w:rsidR="00DB2441" w:rsidRPr="006140CC">
        <w:rPr>
          <w:lang w:val="fr-FR"/>
        </w:rPr>
        <w:noBreakHyphen/>
      </w:r>
      <w:r w:rsidRPr="006140CC">
        <w:rPr>
          <w:lang w:val="fr-FR"/>
        </w:rPr>
        <w:t>AG/14/9/</w:t>
      </w:r>
      <w:r w:rsidR="00E35663" w:rsidRPr="00E35663">
        <w:rPr>
          <w:highlight w:val="lightGray"/>
          <w:lang w:val="fr-FR"/>
        </w:rPr>
        <w:t>5</w:t>
      </w:r>
      <w:bookmarkStart w:id="8" w:name="_GoBack"/>
      <w:bookmarkEnd w:id="8"/>
      <w:r w:rsidRPr="006140CC">
        <w:rPr>
          <w:lang w:val="fr-FR"/>
        </w:rPr>
        <w:t>)</w:t>
      </w:r>
    </w:p>
    <w:p w:rsidR="00B85CBA" w:rsidRPr="006140CC" w:rsidRDefault="00B85CBA" w:rsidP="00852F29">
      <w:pPr>
        <w:ind w:left="1134" w:hanging="567"/>
        <w:rPr>
          <w:lang w:val="fr-FR"/>
        </w:rPr>
      </w:pPr>
    </w:p>
    <w:p w:rsidR="00B85CBA" w:rsidRPr="006140CC" w:rsidRDefault="002A0D39" w:rsidP="000B76D6">
      <w:pPr>
        <w:pStyle w:val="ListParagraph"/>
        <w:numPr>
          <w:ilvl w:val="0"/>
          <w:numId w:val="7"/>
        </w:numPr>
        <w:ind w:left="1134" w:hanging="567"/>
        <w:rPr>
          <w:lang w:val="fr-FR"/>
        </w:rPr>
      </w:pPr>
      <w:r w:rsidRPr="006140CC">
        <w:rPr>
          <w:lang w:val="fr-FR"/>
        </w:rPr>
        <w:t>Questions soumises pour examen</w:t>
      </w:r>
      <w:r w:rsidR="004274E1" w:rsidRPr="006140CC">
        <w:rPr>
          <w:lang w:val="fr-FR"/>
        </w:rPr>
        <w:t xml:space="preserve"> au CAJ</w:t>
      </w:r>
      <w:r w:rsidR="00DB2441" w:rsidRPr="006140CC">
        <w:rPr>
          <w:lang w:val="fr-FR"/>
        </w:rPr>
        <w:noBreakHyphen/>
      </w:r>
      <w:r w:rsidRPr="006140CC">
        <w:rPr>
          <w:lang w:val="fr-FR"/>
        </w:rPr>
        <w:t>AG par</w:t>
      </w:r>
      <w:r w:rsidR="004274E1" w:rsidRPr="006140CC">
        <w:rPr>
          <w:lang w:val="fr-FR"/>
        </w:rPr>
        <w:t xml:space="preserve"> le CAJ</w:t>
      </w:r>
      <w:r w:rsidRPr="006140CC">
        <w:rPr>
          <w:lang w:val="fr-FR"/>
        </w:rPr>
        <w:t xml:space="preserve"> depuis la huitième</w:t>
      </w:r>
      <w:r w:rsidR="005369C2" w:rsidRPr="006140CC">
        <w:rPr>
          <w:lang w:val="fr-FR"/>
        </w:rPr>
        <w:t> </w:t>
      </w:r>
      <w:r w:rsidRPr="006140CC">
        <w:rPr>
          <w:lang w:val="fr-FR"/>
        </w:rPr>
        <w:t>session du CAJ</w:t>
      </w:r>
      <w:r w:rsidR="00DB2441" w:rsidRPr="006140CC">
        <w:rPr>
          <w:lang w:val="fr-FR"/>
        </w:rPr>
        <w:noBreakHyphen/>
      </w:r>
      <w:r w:rsidRPr="006140CC">
        <w:rPr>
          <w:lang w:val="fr-FR"/>
        </w:rPr>
        <w:t>AG</w:t>
      </w:r>
    </w:p>
    <w:p w:rsidR="00B85CBA" w:rsidRPr="006140CC" w:rsidRDefault="00B85CBA" w:rsidP="000B76D6">
      <w:pPr>
        <w:ind w:left="1134" w:hanging="567"/>
        <w:rPr>
          <w:lang w:val="fr-FR"/>
        </w:rPr>
      </w:pPr>
    </w:p>
    <w:p w:rsidR="00B85CBA" w:rsidRPr="006140CC" w:rsidRDefault="002A0D39" w:rsidP="000B76D6">
      <w:pPr>
        <w:pStyle w:val="ListParagraph"/>
        <w:numPr>
          <w:ilvl w:val="0"/>
          <w:numId w:val="7"/>
        </w:numPr>
        <w:ind w:left="1134" w:hanging="567"/>
        <w:rPr>
          <w:lang w:val="fr-FR"/>
        </w:rPr>
      </w:pPr>
      <w:r w:rsidRPr="006140CC">
        <w:rPr>
          <w:lang w:val="fr-FR"/>
        </w:rPr>
        <w:t>Date et programme de la dixième session</w:t>
      </w:r>
    </w:p>
    <w:p w:rsidR="00B85CBA" w:rsidRPr="006140CC" w:rsidRDefault="00B85CBA" w:rsidP="000B76D6">
      <w:pPr>
        <w:rPr>
          <w:lang w:val="fr-FR"/>
        </w:rPr>
      </w:pPr>
    </w:p>
    <w:p w:rsidR="004274E1" w:rsidRPr="006140CC" w:rsidRDefault="00941A7E" w:rsidP="002A0D39">
      <w:pPr>
        <w:rPr>
          <w:szCs w:val="24"/>
          <w:lang w:val="fr-FR"/>
        </w:rPr>
      </w:pPr>
      <w:r w:rsidRPr="006140CC">
        <w:rPr>
          <w:lang w:val="fr-FR"/>
        </w:rPr>
        <w:fldChar w:fldCharType="begin"/>
      </w:r>
      <w:r w:rsidRPr="006140CC">
        <w:rPr>
          <w:lang w:val="fr-FR"/>
        </w:rPr>
        <w:instrText xml:space="preserve"> AUTONUM  </w:instrText>
      </w:r>
      <w:r w:rsidRPr="006140CC">
        <w:rPr>
          <w:lang w:val="fr-FR"/>
        </w:rPr>
        <w:fldChar w:fldCharType="end"/>
      </w:r>
      <w:r w:rsidRPr="006140CC">
        <w:rPr>
          <w:lang w:val="fr-FR"/>
        </w:rPr>
        <w:tab/>
      </w:r>
      <w:r w:rsidR="002A0D39" w:rsidRPr="006140CC">
        <w:rPr>
          <w:lang w:val="fr-FR"/>
        </w:rPr>
        <w:t>Le CAJ souhaitera peut</w:t>
      </w:r>
      <w:r w:rsidR="00DB2441" w:rsidRPr="006140CC">
        <w:rPr>
          <w:lang w:val="fr-FR"/>
        </w:rPr>
        <w:noBreakHyphen/>
      </w:r>
      <w:r w:rsidR="002A0D39" w:rsidRPr="006140CC">
        <w:rPr>
          <w:lang w:val="fr-FR"/>
        </w:rPr>
        <w:t>être note</w:t>
      </w:r>
      <w:r w:rsidR="00C67FF6">
        <w:rPr>
          <w:lang w:val="fr-FR"/>
        </w:rPr>
        <w:t>r</w:t>
      </w:r>
      <w:r w:rsidR="002A0D39" w:rsidRPr="006140CC">
        <w:rPr>
          <w:lang w:val="fr-FR"/>
        </w:rPr>
        <w:t xml:space="preserve"> qu</w:t>
      </w:r>
      <w:r w:rsidR="004274E1" w:rsidRPr="006140CC">
        <w:rPr>
          <w:lang w:val="fr-FR"/>
        </w:rPr>
        <w:t>’</w:t>
      </w:r>
      <w:r w:rsidR="002A0D39" w:rsidRPr="006140CC">
        <w:rPr>
          <w:lang w:val="fr-FR"/>
        </w:rPr>
        <w:t xml:space="preserve">un nouvel examen du document UPOV/INF/12 “Notes explicatives concernant les dénominations variétales en vertu de la </w:t>
      </w:r>
      <w:r w:rsidR="004274E1" w:rsidRPr="006140CC">
        <w:rPr>
          <w:lang w:val="fr-FR"/>
        </w:rPr>
        <w:t>Convention UPOV</w:t>
      </w:r>
      <w:r w:rsidR="002A0D39" w:rsidRPr="006140CC">
        <w:rPr>
          <w:lang w:val="fr-FR"/>
        </w:rPr>
        <w:t>” pourrait être nécessaire en rapport avec l</w:t>
      </w:r>
      <w:r w:rsidR="004274E1" w:rsidRPr="006140CC">
        <w:rPr>
          <w:lang w:val="fr-FR"/>
        </w:rPr>
        <w:t>’</w:t>
      </w:r>
      <w:r w:rsidR="002A0D39" w:rsidRPr="006140CC">
        <w:rPr>
          <w:lang w:val="fr-FR"/>
        </w:rPr>
        <w:t>élaboration d</w:t>
      </w:r>
      <w:r w:rsidR="004274E1" w:rsidRPr="006140CC">
        <w:rPr>
          <w:lang w:val="fr-FR"/>
        </w:rPr>
        <w:t>’</w:t>
      </w:r>
      <w:r w:rsidR="002A0D39" w:rsidRPr="006140CC">
        <w:rPr>
          <w:lang w:val="fr-FR"/>
        </w:rPr>
        <w:t>un outil de recherche de l</w:t>
      </w:r>
      <w:r w:rsidR="004274E1" w:rsidRPr="006140CC">
        <w:rPr>
          <w:lang w:val="fr-FR"/>
        </w:rPr>
        <w:t>’</w:t>
      </w:r>
      <w:r w:rsidR="002A0D39" w:rsidRPr="006140CC">
        <w:rPr>
          <w:lang w:val="fr-FR"/>
        </w:rPr>
        <w:t xml:space="preserve">UPOV de similarité </w:t>
      </w:r>
      <w:r w:rsidR="00C67FF6">
        <w:rPr>
          <w:lang w:val="fr-FR"/>
        </w:rPr>
        <w:t xml:space="preserve">qui soit </w:t>
      </w:r>
      <w:r w:rsidR="002A0D39" w:rsidRPr="006140CC">
        <w:rPr>
          <w:lang w:val="fr-FR"/>
        </w:rPr>
        <w:t>efficace</w:t>
      </w:r>
      <w:r w:rsidR="005578E1">
        <w:rPr>
          <w:lang w:val="fr-FR"/>
        </w:rPr>
        <w:t xml:space="preserve">.  </w:t>
      </w:r>
      <w:r w:rsidR="002A0D39" w:rsidRPr="006140CC">
        <w:rPr>
          <w:rFonts w:cs="Arial"/>
          <w:lang w:val="fr-FR"/>
        </w:rPr>
        <w:t xml:space="preserve">Les faits nouveaux intervenus en ce qui concerne ce sujet figurent dans le </w:t>
      </w:r>
      <w:r w:rsidR="004274E1" w:rsidRPr="006140CC">
        <w:rPr>
          <w:rFonts w:cs="Arial"/>
          <w:lang w:val="fr-FR"/>
        </w:rPr>
        <w:t>document CA</w:t>
      </w:r>
      <w:r w:rsidR="002A0D39" w:rsidRPr="006140CC">
        <w:rPr>
          <w:rFonts w:cs="Arial"/>
          <w:lang w:val="fr-FR"/>
        </w:rPr>
        <w:t xml:space="preserve">J/70/4 intitulé </w:t>
      </w:r>
      <w:r w:rsidR="005369C2" w:rsidRPr="006140CC">
        <w:rPr>
          <w:rFonts w:cs="Arial"/>
          <w:lang w:val="fr-FR"/>
        </w:rPr>
        <w:t>“</w:t>
      </w:r>
      <w:r w:rsidR="002A0D39" w:rsidRPr="006140CC">
        <w:rPr>
          <w:rFonts w:cs="Arial"/>
          <w:lang w:val="fr-FR"/>
        </w:rPr>
        <w:t>Dénomination de la variété</w:t>
      </w:r>
      <w:r w:rsidR="005369C2" w:rsidRPr="006140CC">
        <w:rPr>
          <w:rFonts w:cs="Arial"/>
          <w:lang w:val="fr-FR"/>
        </w:rPr>
        <w:t>”</w:t>
      </w:r>
      <w:r w:rsidR="002A0D39" w:rsidRPr="006140CC">
        <w:rPr>
          <w:rFonts w:cs="Arial"/>
          <w:lang w:val="fr-FR"/>
        </w:rPr>
        <w:t>.</w:t>
      </w:r>
    </w:p>
    <w:p w:rsidR="00B85CBA" w:rsidRPr="006140CC" w:rsidRDefault="00B85CBA" w:rsidP="000022C4">
      <w:pPr>
        <w:rPr>
          <w:szCs w:val="24"/>
          <w:lang w:val="fr-FR"/>
        </w:rPr>
      </w:pPr>
    </w:p>
    <w:p w:rsidR="00B85CBA" w:rsidRPr="006140CC" w:rsidRDefault="002E2A4D" w:rsidP="002A0D39">
      <w:pPr>
        <w:rPr>
          <w:lang w:val="fr-FR"/>
        </w:rPr>
      </w:pPr>
      <w:r w:rsidRPr="006140CC">
        <w:rPr>
          <w:szCs w:val="24"/>
          <w:lang w:val="fr-FR"/>
        </w:rPr>
        <w:fldChar w:fldCharType="begin"/>
      </w:r>
      <w:r w:rsidRPr="006140CC">
        <w:rPr>
          <w:szCs w:val="24"/>
          <w:lang w:val="fr-FR"/>
        </w:rPr>
        <w:instrText xml:space="preserve"> AUTONUM  </w:instrText>
      </w:r>
      <w:r w:rsidRPr="006140CC">
        <w:rPr>
          <w:szCs w:val="24"/>
          <w:lang w:val="fr-FR"/>
        </w:rPr>
        <w:fldChar w:fldCharType="end"/>
      </w:r>
      <w:r w:rsidRPr="006140CC">
        <w:rPr>
          <w:szCs w:val="24"/>
          <w:lang w:val="fr-FR"/>
        </w:rPr>
        <w:tab/>
      </w:r>
      <w:r w:rsidR="002A0D39" w:rsidRPr="006140CC">
        <w:rPr>
          <w:szCs w:val="24"/>
          <w:lang w:val="fr-FR"/>
        </w:rPr>
        <w:t>Un compte rendu des travaux du CAJ</w:t>
      </w:r>
      <w:r w:rsidR="00DB2441" w:rsidRPr="006140CC">
        <w:rPr>
          <w:szCs w:val="24"/>
          <w:lang w:val="fr-FR"/>
        </w:rPr>
        <w:noBreakHyphen/>
      </w:r>
      <w:r w:rsidR="002A0D39" w:rsidRPr="006140CC">
        <w:rPr>
          <w:szCs w:val="24"/>
          <w:lang w:val="fr-FR"/>
        </w:rPr>
        <w:t>AG, réuni en sa neuvième</w:t>
      </w:r>
      <w:r w:rsidR="00D3241D">
        <w:rPr>
          <w:szCs w:val="24"/>
          <w:lang w:val="fr-FR"/>
        </w:rPr>
        <w:t> </w:t>
      </w:r>
      <w:r w:rsidR="002A0D39" w:rsidRPr="006140CC">
        <w:rPr>
          <w:szCs w:val="24"/>
          <w:lang w:val="fr-FR"/>
        </w:rPr>
        <w:t>session, sera présenté à la soixante</w:t>
      </w:r>
      <w:r w:rsidR="000B76D6">
        <w:rPr>
          <w:szCs w:val="24"/>
          <w:lang w:val="fr-FR"/>
        </w:rPr>
        <w:t> </w:t>
      </w:r>
      <w:r w:rsidR="002A0D39" w:rsidRPr="006140CC">
        <w:rPr>
          <w:szCs w:val="24"/>
          <w:lang w:val="fr-FR"/>
        </w:rPr>
        <w:t>et</w:t>
      </w:r>
      <w:r w:rsidR="000B76D6">
        <w:rPr>
          <w:szCs w:val="24"/>
          <w:lang w:val="fr-FR"/>
        </w:rPr>
        <w:t> </w:t>
      </w:r>
      <w:r w:rsidR="002A0D39" w:rsidRPr="006140CC">
        <w:rPr>
          <w:szCs w:val="24"/>
          <w:lang w:val="fr-FR"/>
        </w:rPr>
        <w:t>onzième session du CAJ, qui se tiendra en mars 2015.</w:t>
      </w:r>
    </w:p>
    <w:p w:rsidR="00B85CBA" w:rsidRDefault="00B85CBA" w:rsidP="000B76D6">
      <w:pPr>
        <w:pStyle w:val="Heading1"/>
        <w:keepNext w:val="0"/>
        <w:rPr>
          <w:lang w:val="fr-FR"/>
        </w:rPr>
      </w:pPr>
    </w:p>
    <w:p w:rsidR="007B45C4" w:rsidRPr="007B45C4" w:rsidRDefault="007B45C4" w:rsidP="007B45C4">
      <w:pPr>
        <w:rPr>
          <w:lang w:val="fr-FR"/>
        </w:rPr>
      </w:pPr>
    </w:p>
    <w:p w:rsidR="00B85CBA" w:rsidRPr="006140CC" w:rsidRDefault="00B85CBA" w:rsidP="000B76D6">
      <w:pPr>
        <w:pStyle w:val="Heading1"/>
        <w:keepNext w:val="0"/>
        <w:rPr>
          <w:highlight w:val="yellow"/>
          <w:lang w:val="fr-FR"/>
        </w:rPr>
      </w:pPr>
    </w:p>
    <w:p w:rsidR="00B85CBA" w:rsidRPr="006140CC" w:rsidRDefault="002A0D39" w:rsidP="00B85CBA">
      <w:pPr>
        <w:pStyle w:val="Heading1"/>
        <w:rPr>
          <w:lang w:val="fr-FR"/>
        </w:rPr>
      </w:pPr>
      <w:bookmarkStart w:id="9" w:name="_Toc397003942"/>
      <w:r w:rsidRPr="006140CC">
        <w:rPr>
          <w:lang w:val="fr-FR"/>
        </w:rPr>
        <w:t>Mise à jour du document UPOV/INF/5 “Bulletin type de l</w:t>
      </w:r>
      <w:r w:rsidR="004274E1" w:rsidRPr="006140CC">
        <w:rPr>
          <w:lang w:val="fr-FR"/>
        </w:rPr>
        <w:t>’</w:t>
      </w:r>
      <w:r w:rsidRPr="006140CC">
        <w:rPr>
          <w:lang w:val="fr-FR"/>
        </w:rPr>
        <w:t>UPOV de la protection des obtentions végétales”</w:t>
      </w:r>
      <w:bookmarkEnd w:id="9"/>
    </w:p>
    <w:p w:rsidR="00B85CBA" w:rsidRPr="006140CC" w:rsidRDefault="00B85CBA" w:rsidP="000B76D6">
      <w:pPr>
        <w:rPr>
          <w:lang w:val="fr-FR"/>
        </w:rPr>
      </w:pPr>
    </w:p>
    <w:p w:rsidR="00B85CBA" w:rsidRPr="006140CC" w:rsidRDefault="00945F98" w:rsidP="002A0D39">
      <w:pPr>
        <w:pStyle w:val="ListParagraph"/>
        <w:ind w:left="0"/>
        <w:rPr>
          <w:szCs w:val="24"/>
          <w:lang w:val="fr-FR"/>
        </w:rPr>
      </w:pPr>
      <w:r w:rsidRPr="006140CC">
        <w:rPr>
          <w:lang w:val="fr-FR"/>
        </w:rPr>
        <w:fldChar w:fldCharType="begin"/>
      </w:r>
      <w:r w:rsidRPr="006140CC">
        <w:rPr>
          <w:lang w:val="fr-FR"/>
        </w:rPr>
        <w:instrText xml:space="preserve"> AUTONUM  </w:instrText>
      </w:r>
      <w:r w:rsidRPr="006140CC">
        <w:rPr>
          <w:lang w:val="fr-FR"/>
        </w:rPr>
        <w:fldChar w:fldCharType="end"/>
      </w:r>
      <w:r w:rsidRPr="006140CC">
        <w:rPr>
          <w:lang w:val="fr-FR"/>
        </w:rPr>
        <w:tab/>
      </w:r>
      <w:r w:rsidR="002A0D39" w:rsidRPr="006140CC">
        <w:rPr>
          <w:lang w:val="fr-FR"/>
        </w:rPr>
        <w:t>L</w:t>
      </w:r>
      <w:r w:rsidR="004274E1" w:rsidRPr="006140CC">
        <w:rPr>
          <w:lang w:val="fr-FR"/>
        </w:rPr>
        <w:t>’</w:t>
      </w:r>
      <w:r w:rsidR="002A0D39" w:rsidRPr="006140CC">
        <w:rPr>
          <w:lang w:val="fr-FR"/>
        </w:rPr>
        <w:t>évolution des travaux concernant la révision du document UPOV/INF/5 “Bulletin type de l</w:t>
      </w:r>
      <w:r w:rsidR="004274E1" w:rsidRPr="006140CC">
        <w:rPr>
          <w:lang w:val="fr-FR"/>
        </w:rPr>
        <w:t>’</w:t>
      </w:r>
      <w:r w:rsidR="002A0D39" w:rsidRPr="006140CC">
        <w:rPr>
          <w:lang w:val="fr-FR"/>
        </w:rPr>
        <w:t>UPOV de la protection des obtentions végétales” est présentée dans le document CAJ/70/3.</w:t>
      </w:r>
    </w:p>
    <w:p w:rsidR="00B85CBA" w:rsidRDefault="00B85CBA" w:rsidP="00945F98">
      <w:pPr>
        <w:pStyle w:val="ListParagraph"/>
        <w:ind w:left="0"/>
        <w:rPr>
          <w:szCs w:val="24"/>
          <w:lang w:val="fr-FR"/>
        </w:rPr>
      </w:pPr>
    </w:p>
    <w:p w:rsidR="007B45C4" w:rsidRPr="006140CC" w:rsidRDefault="007B45C4" w:rsidP="00945F98">
      <w:pPr>
        <w:pStyle w:val="ListParagraph"/>
        <w:ind w:left="0"/>
        <w:rPr>
          <w:szCs w:val="24"/>
          <w:lang w:val="fr-FR"/>
        </w:rPr>
      </w:pPr>
    </w:p>
    <w:p w:rsidR="00B85CBA" w:rsidRPr="006140CC" w:rsidRDefault="00B85CBA" w:rsidP="000B76D6">
      <w:pPr>
        <w:pStyle w:val="Heading1"/>
        <w:keepNext w:val="0"/>
        <w:rPr>
          <w:lang w:val="fr-FR"/>
        </w:rPr>
      </w:pPr>
    </w:p>
    <w:p w:rsidR="00B85CBA" w:rsidRPr="006140CC" w:rsidRDefault="00852F29" w:rsidP="00852F29">
      <w:pPr>
        <w:pStyle w:val="Heading1"/>
        <w:rPr>
          <w:rStyle w:val="Heading1Char"/>
          <w:caps/>
          <w:lang w:val="fr-FR"/>
        </w:rPr>
      </w:pPr>
      <w:bookmarkStart w:id="10" w:name="_Toc397003943"/>
      <w:r w:rsidRPr="006140CC">
        <w:rPr>
          <w:rStyle w:val="Heading1Char"/>
          <w:caps/>
          <w:lang w:val="fr-FR"/>
        </w:rPr>
        <w:t>Révision du document UPOV/INF/15 “Document d’orientation destiné aux membres de l’UPOV concernant les obligations en cours et les notifications connexes ainsi que la fourniture d’informations visant à faciliter la coopération”</w:t>
      </w:r>
      <w:bookmarkEnd w:id="10"/>
    </w:p>
    <w:p w:rsidR="00B85CBA" w:rsidRPr="006140CC" w:rsidRDefault="00B85CBA" w:rsidP="002C2B0C">
      <w:pPr>
        <w:rPr>
          <w:caps/>
          <w:snapToGrid w:val="0"/>
          <w:lang w:val="fr-FR"/>
        </w:rPr>
      </w:pPr>
    </w:p>
    <w:p w:rsidR="00B85CBA" w:rsidRPr="006140CC" w:rsidRDefault="00945F98" w:rsidP="002A0D39">
      <w:pPr>
        <w:rPr>
          <w:szCs w:val="24"/>
          <w:lang w:val="fr-FR"/>
        </w:rPr>
      </w:pPr>
      <w:r w:rsidRPr="006140CC">
        <w:rPr>
          <w:szCs w:val="24"/>
          <w:lang w:val="fr-FR"/>
        </w:rPr>
        <w:fldChar w:fldCharType="begin"/>
      </w:r>
      <w:r w:rsidRPr="006140CC">
        <w:rPr>
          <w:szCs w:val="24"/>
          <w:lang w:val="fr-FR"/>
        </w:rPr>
        <w:instrText xml:space="preserve"> AUTONUM  </w:instrText>
      </w:r>
      <w:r w:rsidRPr="006140CC">
        <w:rPr>
          <w:szCs w:val="24"/>
          <w:lang w:val="fr-FR"/>
        </w:rPr>
        <w:fldChar w:fldCharType="end"/>
      </w:r>
      <w:r w:rsidRPr="006140CC">
        <w:rPr>
          <w:szCs w:val="24"/>
          <w:lang w:val="fr-FR"/>
        </w:rPr>
        <w:tab/>
      </w:r>
      <w:r w:rsidR="002A0D39" w:rsidRPr="006140CC">
        <w:rPr>
          <w:szCs w:val="24"/>
          <w:lang w:val="fr-FR"/>
        </w:rPr>
        <w:t>L</w:t>
      </w:r>
      <w:r w:rsidR="004274E1" w:rsidRPr="006140CC">
        <w:rPr>
          <w:szCs w:val="24"/>
          <w:lang w:val="fr-FR"/>
        </w:rPr>
        <w:t>’</w:t>
      </w:r>
      <w:r w:rsidR="002A0D39" w:rsidRPr="006140CC">
        <w:rPr>
          <w:szCs w:val="24"/>
          <w:lang w:val="fr-FR"/>
        </w:rPr>
        <w:t>évolution des travaux concernant la révision du document UPOV/INF/15 “Document d</w:t>
      </w:r>
      <w:r w:rsidR="004274E1" w:rsidRPr="006140CC">
        <w:rPr>
          <w:szCs w:val="24"/>
          <w:lang w:val="fr-FR"/>
        </w:rPr>
        <w:t>’</w:t>
      </w:r>
      <w:r w:rsidR="002A0D39" w:rsidRPr="006140CC">
        <w:rPr>
          <w:szCs w:val="24"/>
          <w:lang w:val="fr-FR"/>
        </w:rPr>
        <w:t>orientation destiné aux membres de l</w:t>
      </w:r>
      <w:r w:rsidR="004274E1" w:rsidRPr="006140CC">
        <w:rPr>
          <w:szCs w:val="24"/>
          <w:lang w:val="fr-FR"/>
        </w:rPr>
        <w:t>’</w:t>
      </w:r>
      <w:r w:rsidR="002A0D39" w:rsidRPr="006140CC">
        <w:rPr>
          <w:szCs w:val="24"/>
          <w:lang w:val="fr-FR"/>
        </w:rPr>
        <w:t>UPOV concernant les obligations en cours et les notifications connexes ainsi que la fourniture d</w:t>
      </w:r>
      <w:r w:rsidR="004274E1" w:rsidRPr="006140CC">
        <w:rPr>
          <w:szCs w:val="24"/>
          <w:lang w:val="fr-FR"/>
        </w:rPr>
        <w:t>’</w:t>
      </w:r>
      <w:r w:rsidR="002A0D39" w:rsidRPr="006140CC">
        <w:rPr>
          <w:szCs w:val="24"/>
          <w:lang w:val="fr-FR"/>
        </w:rPr>
        <w:t>informations visant à faciliter la coopération” est présentée dans le document CAJ/70/5.</w:t>
      </w:r>
    </w:p>
    <w:p w:rsidR="00B85CBA" w:rsidRPr="006140CC" w:rsidRDefault="00B85CBA" w:rsidP="00945F98">
      <w:pPr>
        <w:rPr>
          <w:lang w:val="fr-FR"/>
        </w:rPr>
      </w:pPr>
    </w:p>
    <w:p w:rsidR="00B85CBA" w:rsidRDefault="00B85CBA" w:rsidP="00945F98">
      <w:pPr>
        <w:pStyle w:val="ListParagraph"/>
        <w:ind w:left="0"/>
        <w:rPr>
          <w:lang w:val="fr-FR"/>
        </w:rPr>
      </w:pPr>
    </w:p>
    <w:p w:rsidR="00B85CBA" w:rsidRPr="006140CC" w:rsidRDefault="002A0D39" w:rsidP="000B76D6">
      <w:pPr>
        <w:pStyle w:val="Heading1"/>
        <w:rPr>
          <w:lang w:val="fr-FR"/>
        </w:rPr>
      </w:pPr>
      <w:bookmarkStart w:id="11" w:name="_Toc397003944"/>
      <w:r w:rsidRPr="006140CC">
        <w:rPr>
          <w:lang w:val="fr-FR"/>
        </w:rPr>
        <w:lastRenderedPageBreak/>
        <w:t>Compte rendu du “Séminaire sur les variét</w:t>
      </w:r>
      <w:r w:rsidR="000B76D6">
        <w:rPr>
          <w:lang w:val="fr-FR"/>
        </w:rPr>
        <w:t>és essentiellement dérivées” en </w:t>
      </w:r>
      <w:r w:rsidRPr="006140CC">
        <w:rPr>
          <w:lang w:val="fr-FR"/>
        </w:rPr>
        <w:t>français, allemand et espagnol</w:t>
      </w:r>
      <w:bookmarkEnd w:id="11"/>
    </w:p>
    <w:p w:rsidR="00B85CBA" w:rsidRPr="006140CC" w:rsidRDefault="00B85CBA" w:rsidP="000B76D6">
      <w:pPr>
        <w:keepNext/>
        <w:rPr>
          <w:lang w:val="fr-FR"/>
        </w:rPr>
      </w:pPr>
    </w:p>
    <w:p w:rsidR="004274E1" w:rsidRPr="006140CC" w:rsidRDefault="002E2A4D" w:rsidP="000B76D6">
      <w:pPr>
        <w:keepNext/>
        <w:rPr>
          <w:lang w:val="fr-FR"/>
        </w:rPr>
      </w:pPr>
      <w:r w:rsidRPr="006140CC">
        <w:rPr>
          <w:lang w:val="fr-FR"/>
        </w:rPr>
        <w:fldChar w:fldCharType="begin"/>
      </w:r>
      <w:r w:rsidRPr="006140CC">
        <w:rPr>
          <w:lang w:val="fr-FR"/>
        </w:rPr>
        <w:instrText xml:space="preserve"> AUTONUM  </w:instrText>
      </w:r>
      <w:r w:rsidRPr="006140CC">
        <w:rPr>
          <w:lang w:val="fr-FR"/>
        </w:rPr>
        <w:fldChar w:fldCharType="end"/>
      </w:r>
      <w:r w:rsidRPr="006140CC">
        <w:rPr>
          <w:lang w:val="fr-FR"/>
        </w:rPr>
        <w:tab/>
      </w:r>
      <w:r w:rsidR="002A0D39" w:rsidRPr="006140CC">
        <w:rPr>
          <w:lang w:val="fr-FR"/>
        </w:rPr>
        <w:t>Le séminaire sur les variétés essentiellement dérivées s</w:t>
      </w:r>
      <w:r w:rsidR="004274E1" w:rsidRPr="006140CC">
        <w:rPr>
          <w:lang w:val="fr-FR"/>
        </w:rPr>
        <w:t>’</w:t>
      </w:r>
      <w:r w:rsidR="002A0D39" w:rsidRPr="006140CC">
        <w:rPr>
          <w:lang w:val="fr-FR"/>
        </w:rPr>
        <w:t>est tenu à Genève le 22 octobre 2013.</w:t>
      </w:r>
      <w:r w:rsidR="006140CC" w:rsidRPr="006140CC">
        <w:rPr>
          <w:lang w:val="fr-FR"/>
        </w:rPr>
        <w:t xml:space="preserve"> </w:t>
      </w:r>
      <w:r w:rsidRPr="006140CC">
        <w:rPr>
          <w:lang w:val="fr-FR"/>
        </w:rPr>
        <w:t xml:space="preserve"> </w:t>
      </w:r>
      <w:r w:rsidR="006140CC" w:rsidRPr="006140CC">
        <w:rPr>
          <w:lang w:val="fr-FR"/>
        </w:rPr>
        <w:t>La </w:t>
      </w:r>
      <w:r w:rsidR="002A0D39" w:rsidRPr="006140CC">
        <w:rPr>
          <w:lang w:val="fr-FR"/>
        </w:rPr>
        <w:t xml:space="preserve">version anglaise du compte rendu (publication n° 358) est disponible depuis </w:t>
      </w:r>
      <w:r w:rsidR="004274E1" w:rsidRPr="006140CC">
        <w:rPr>
          <w:lang w:val="fr-FR"/>
        </w:rPr>
        <w:t>février 20</w:t>
      </w:r>
      <w:r w:rsidR="002A0D39" w:rsidRPr="006140CC">
        <w:rPr>
          <w:lang w:val="fr-FR"/>
        </w:rPr>
        <w:t>14</w:t>
      </w:r>
      <w:r w:rsidR="002A0D39" w:rsidRPr="006140CC">
        <w:rPr>
          <w:rStyle w:val="FootnoteReference"/>
          <w:lang w:val="fr-FR"/>
        </w:rPr>
        <w:footnoteReference w:id="10"/>
      </w:r>
      <w:r w:rsidR="002A0D39" w:rsidRPr="006140CC">
        <w:rPr>
          <w:lang w:val="fr-FR"/>
        </w:rPr>
        <w:t>.</w:t>
      </w:r>
    </w:p>
    <w:p w:rsidR="00B85CBA" w:rsidRPr="006140CC" w:rsidRDefault="00B85CBA" w:rsidP="002E2A4D">
      <w:pPr>
        <w:rPr>
          <w:lang w:val="fr-FR"/>
        </w:rPr>
      </w:pPr>
    </w:p>
    <w:p w:rsidR="004274E1" w:rsidRPr="006140CC" w:rsidRDefault="00945F98" w:rsidP="002A0D39">
      <w:pPr>
        <w:spacing w:after="240"/>
        <w:rPr>
          <w:lang w:val="fr-FR"/>
        </w:rPr>
      </w:pPr>
      <w:r w:rsidRPr="006140CC">
        <w:rPr>
          <w:rFonts w:cs="Arial"/>
          <w:lang w:val="fr-FR"/>
        </w:rPr>
        <w:fldChar w:fldCharType="begin"/>
      </w:r>
      <w:r w:rsidRPr="006140CC">
        <w:rPr>
          <w:rFonts w:cs="Arial"/>
          <w:lang w:val="fr-FR"/>
        </w:rPr>
        <w:instrText xml:space="preserve"> AUTONUM  </w:instrText>
      </w:r>
      <w:r w:rsidRPr="006140CC">
        <w:rPr>
          <w:rFonts w:cs="Arial"/>
          <w:lang w:val="fr-FR"/>
        </w:rPr>
        <w:fldChar w:fldCharType="end"/>
      </w:r>
      <w:r w:rsidRPr="006140CC">
        <w:rPr>
          <w:rFonts w:cs="Arial"/>
          <w:lang w:val="fr-FR"/>
        </w:rPr>
        <w:tab/>
      </w:r>
      <w:r w:rsidR="002A0D39" w:rsidRPr="006140CC">
        <w:rPr>
          <w:rFonts w:cs="Arial"/>
          <w:lang w:val="fr-FR"/>
        </w:rPr>
        <w:t>La publication n° 358 en allemand, espagnol et français a été affichée sur le site Web de l</w:t>
      </w:r>
      <w:r w:rsidR="004274E1" w:rsidRPr="006140CC">
        <w:rPr>
          <w:rFonts w:cs="Arial"/>
          <w:lang w:val="fr-FR"/>
        </w:rPr>
        <w:t>’</w:t>
      </w:r>
      <w:r w:rsidR="002A0D39" w:rsidRPr="006140CC">
        <w:rPr>
          <w:rFonts w:cs="Arial"/>
          <w:lang w:val="fr-FR"/>
        </w:rPr>
        <w:t>UPOV à l</w:t>
      </w:r>
      <w:r w:rsidR="004274E1" w:rsidRPr="006140CC">
        <w:rPr>
          <w:rFonts w:cs="Arial"/>
          <w:lang w:val="fr-FR"/>
        </w:rPr>
        <w:t>’</w:t>
      </w:r>
      <w:r w:rsidR="002A0D39" w:rsidRPr="006140CC">
        <w:rPr>
          <w:rFonts w:cs="Arial"/>
          <w:lang w:val="fr-FR"/>
        </w:rPr>
        <w:t>adresse (</w:t>
      </w:r>
      <w:hyperlink r:id="rId13" w:history="1">
        <w:r w:rsidR="006140CC" w:rsidRPr="006140CC">
          <w:rPr>
            <w:rStyle w:val="Hyperlink"/>
            <w:rFonts w:cs="Arial"/>
            <w:lang w:val="fr-FR"/>
          </w:rPr>
          <w:t>http://www.upov.int/meetings/fr/details.jsp?meeting_id=29782</w:t>
        </w:r>
      </w:hyperlink>
      <w:r w:rsidR="002A0D39" w:rsidRPr="006140CC">
        <w:rPr>
          <w:rFonts w:cs="Arial"/>
          <w:lang w:val="fr-FR"/>
        </w:rPr>
        <w:t>).</w:t>
      </w:r>
    </w:p>
    <w:p w:rsidR="004274E1" w:rsidRPr="006140CC" w:rsidRDefault="000022C4" w:rsidP="002A0D39">
      <w:pPr>
        <w:pStyle w:val="DecisionParagraphs"/>
        <w:rPr>
          <w:lang w:val="fr-FR"/>
        </w:rPr>
      </w:pPr>
      <w:r w:rsidRPr="006140CC">
        <w:rPr>
          <w:lang w:val="fr-FR"/>
        </w:rPr>
        <w:fldChar w:fldCharType="begin"/>
      </w:r>
      <w:r w:rsidRPr="006140CC">
        <w:rPr>
          <w:lang w:val="fr-FR"/>
        </w:rPr>
        <w:instrText xml:space="preserve"> AUTONUM  </w:instrText>
      </w:r>
      <w:r w:rsidRPr="006140CC">
        <w:rPr>
          <w:lang w:val="fr-FR"/>
        </w:rPr>
        <w:fldChar w:fldCharType="end"/>
      </w:r>
      <w:r w:rsidRPr="006140CC">
        <w:rPr>
          <w:lang w:val="fr-FR"/>
        </w:rPr>
        <w:tab/>
      </w:r>
      <w:r w:rsidR="002A0D39" w:rsidRPr="006140CC">
        <w:rPr>
          <w:lang w:val="fr-FR"/>
        </w:rPr>
        <w:t>Le CAJ est invité à noter que</w:t>
      </w:r>
    </w:p>
    <w:p w:rsidR="004274E1" w:rsidRPr="003E47EC" w:rsidRDefault="004274E1" w:rsidP="002E2A4D">
      <w:pPr>
        <w:pStyle w:val="DecisionParagraphs"/>
        <w:rPr>
          <w:sz w:val="16"/>
          <w:szCs w:val="24"/>
          <w:lang w:val="fr-FR"/>
        </w:rPr>
      </w:pPr>
    </w:p>
    <w:p w:rsidR="00B85CBA" w:rsidRPr="006140CC" w:rsidRDefault="009B7215" w:rsidP="003E47EC">
      <w:pPr>
        <w:pStyle w:val="DecisionParagraphs"/>
        <w:numPr>
          <w:ilvl w:val="0"/>
          <w:numId w:val="10"/>
        </w:numPr>
        <w:tabs>
          <w:tab w:val="clear" w:pos="5387"/>
          <w:tab w:val="left" w:pos="5812"/>
        </w:tabs>
        <w:ind w:left="4820" w:firstLine="567"/>
        <w:rPr>
          <w:szCs w:val="24"/>
          <w:lang w:val="fr-FR"/>
        </w:rPr>
      </w:pPr>
      <w:r w:rsidRPr="006140CC">
        <w:rPr>
          <w:szCs w:val="24"/>
          <w:lang w:val="fr-FR"/>
        </w:rPr>
        <w:t>de nouvelles versions des notes explicatives concernant le matériel de reproduction ou de multiplication végétative</w:t>
      </w:r>
      <w:r w:rsidR="00C67FF6">
        <w:rPr>
          <w:szCs w:val="24"/>
          <w:lang w:val="fr-FR"/>
        </w:rPr>
        <w:t>, le</w:t>
      </w:r>
      <w:r w:rsidRPr="006140CC">
        <w:rPr>
          <w:szCs w:val="24"/>
          <w:lang w:val="fr-FR"/>
        </w:rPr>
        <w:t xml:space="preserve"> produit de </w:t>
      </w:r>
      <w:r w:rsidR="00C67FF6">
        <w:rPr>
          <w:szCs w:val="24"/>
          <w:lang w:val="fr-FR"/>
        </w:rPr>
        <w:t xml:space="preserve">la </w:t>
      </w:r>
      <w:r w:rsidRPr="006140CC">
        <w:rPr>
          <w:szCs w:val="24"/>
          <w:lang w:val="fr-FR"/>
        </w:rPr>
        <w:t xml:space="preserve">récolte, les variétés essentiellement dérivées, la déchéance, la nullité, les dénominations de la variété et la protection provisoire ont été diffusées en </w:t>
      </w:r>
      <w:r w:rsidR="004274E1" w:rsidRPr="006140CC">
        <w:rPr>
          <w:szCs w:val="24"/>
          <w:lang w:val="fr-FR"/>
        </w:rPr>
        <w:t>mai 20</w:t>
      </w:r>
      <w:r w:rsidRPr="006140CC">
        <w:rPr>
          <w:szCs w:val="24"/>
          <w:lang w:val="fr-FR"/>
        </w:rPr>
        <w:t xml:space="preserve">14, et des observations ont été transmises par les membres </w:t>
      </w:r>
      <w:r w:rsidR="00C67FF6">
        <w:rPr>
          <w:szCs w:val="24"/>
          <w:lang w:val="fr-FR"/>
        </w:rPr>
        <w:t xml:space="preserve">du CAJ </w:t>
      </w:r>
      <w:r w:rsidRPr="006140CC">
        <w:rPr>
          <w:szCs w:val="24"/>
          <w:lang w:val="fr-FR"/>
        </w:rPr>
        <w:t xml:space="preserve">et </w:t>
      </w:r>
      <w:r w:rsidR="00C67FF6">
        <w:rPr>
          <w:szCs w:val="24"/>
          <w:lang w:val="fr-FR"/>
        </w:rPr>
        <w:t xml:space="preserve">les </w:t>
      </w:r>
      <w:r w:rsidRPr="006140CC">
        <w:rPr>
          <w:szCs w:val="24"/>
          <w:lang w:val="fr-FR"/>
        </w:rPr>
        <w:t>observateurs</w:t>
      </w:r>
      <w:r w:rsidR="00C67FF6">
        <w:rPr>
          <w:szCs w:val="24"/>
          <w:lang w:val="fr-FR"/>
        </w:rPr>
        <w:t xml:space="preserve"> auprès de ce comité</w:t>
      </w:r>
      <w:r w:rsidRPr="006140CC">
        <w:rPr>
          <w:szCs w:val="24"/>
          <w:lang w:val="fr-FR"/>
        </w:rPr>
        <w:t>, comme indiqué au</w:t>
      </w:r>
      <w:r w:rsidR="0043541D">
        <w:rPr>
          <w:szCs w:val="24"/>
          <w:lang w:val="fr-FR"/>
        </w:rPr>
        <w:t>x</w:t>
      </w:r>
      <w:r w:rsidRPr="006140CC">
        <w:rPr>
          <w:szCs w:val="24"/>
          <w:lang w:val="fr-FR"/>
        </w:rPr>
        <w:t xml:space="preserve"> paragraphe</w:t>
      </w:r>
      <w:r w:rsidR="0043541D">
        <w:rPr>
          <w:szCs w:val="24"/>
          <w:lang w:val="fr-FR"/>
        </w:rPr>
        <w:t>s</w:t>
      </w:r>
      <w:r w:rsidRPr="006140CC">
        <w:rPr>
          <w:szCs w:val="24"/>
          <w:lang w:val="fr-FR"/>
        </w:rPr>
        <w:t> </w:t>
      </w:r>
      <w:r w:rsidR="0043541D">
        <w:rPr>
          <w:szCs w:val="24"/>
        </w:rPr>
        <w:t>9 à 16</w:t>
      </w:r>
      <w:r w:rsidRPr="006140CC">
        <w:rPr>
          <w:szCs w:val="24"/>
          <w:lang w:val="fr-FR"/>
        </w:rPr>
        <w:t xml:space="preserve"> ci</w:t>
      </w:r>
      <w:r w:rsidR="00DB2441" w:rsidRPr="006140CC">
        <w:rPr>
          <w:szCs w:val="24"/>
          <w:lang w:val="fr-FR"/>
        </w:rPr>
        <w:noBreakHyphen/>
      </w:r>
      <w:r w:rsidRPr="006140CC">
        <w:rPr>
          <w:szCs w:val="24"/>
          <w:lang w:val="fr-FR"/>
        </w:rPr>
        <w:t>dessus;</w:t>
      </w:r>
    </w:p>
    <w:p w:rsidR="004274E1" w:rsidRPr="003E47EC" w:rsidRDefault="004274E1" w:rsidP="006140CC">
      <w:pPr>
        <w:pStyle w:val="DecisionParagraphs"/>
        <w:tabs>
          <w:tab w:val="clear" w:pos="5387"/>
          <w:tab w:val="left" w:pos="5954"/>
        </w:tabs>
        <w:ind w:firstLine="567"/>
        <w:rPr>
          <w:sz w:val="16"/>
          <w:szCs w:val="24"/>
          <w:lang w:val="fr-FR"/>
        </w:rPr>
      </w:pPr>
    </w:p>
    <w:p w:rsidR="004274E1" w:rsidRPr="0043541D" w:rsidRDefault="009B7215" w:rsidP="003E47EC">
      <w:pPr>
        <w:pStyle w:val="DecisionParagraphs"/>
        <w:numPr>
          <w:ilvl w:val="0"/>
          <w:numId w:val="10"/>
        </w:numPr>
        <w:tabs>
          <w:tab w:val="clear" w:pos="5387"/>
          <w:tab w:val="left" w:pos="5812"/>
        </w:tabs>
        <w:ind w:left="4820" w:firstLine="567"/>
        <w:rPr>
          <w:rFonts w:cs="Arial"/>
          <w:lang w:val="fr-FR"/>
        </w:rPr>
      </w:pPr>
      <w:r w:rsidRPr="0043541D">
        <w:rPr>
          <w:rFonts w:cs="Arial"/>
          <w:lang w:val="fr-FR"/>
        </w:rPr>
        <w:t xml:space="preserve">en fonction de ces observations, de nouvelles versions des notes explicatives susmentionnées </w:t>
      </w:r>
      <w:r w:rsidR="008258C0">
        <w:rPr>
          <w:rFonts w:cs="Arial"/>
          <w:lang w:val="fr-FR"/>
        </w:rPr>
        <w:t xml:space="preserve">ont été publiées </w:t>
      </w:r>
      <w:r w:rsidRPr="0043541D">
        <w:rPr>
          <w:rFonts w:cs="Arial"/>
          <w:lang w:val="fr-FR"/>
        </w:rPr>
        <w:t xml:space="preserve">le </w:t>
      </w:r>
      <w:r w:rsidR="008258C0">
        <w:rPr>
          <w:rFonts w:cs="Arial"/>
          <w:lang w:val="fr-FR"/>
        </w:rPr>
        <w:t>10 septembre </w:t>
      </w:r>
      <w:r w:rsidR="004274E1" w:rsidRPr="0043541D">
        <w:rPr>
          <w:rFonts w:cs="Arial"/>
          <w:lang w:val="fr-FR"/>
        </w:rPr>
        <w:t>20</w:t>
      </w:r>
      <w:r w:rsidRPr="0043541D">
        <w:rPr>
          <w:rFonts w:cs="Arial"/>
          <w:lang w:val="fr-FR"/>
        </w:rPr>
        <w:t>14 et seront examinées par</w:t>
      </w:r>
      <w:r w:rsidR="004274E1" w:rsidRPr="0043541D">
        <w:rPr>
          <w:rFonts w:cs="Arial"/>
          <w:lang w:val="fr-FR"/>
        </w:rPr>
        <w:t xml:space="preserve"> le</w:t>
      </w:r>
      <w:r w:rsidR="008258C0">
        <w:rPr>
          <w:rFonts w:cs="Arial"/>
          <w:lang w:val="fr-FR"/>
        </w:rPr>
        <w:t xml:space="preserve"> </w:t>
      </w:r>
      <w:r w:rsidR="004274E1" w:rsidRPr="0043541D">
        <w:rPr>
          <w:rFonts w:cs="Arial"/>
          <w:lang w:val="fr-FR"/>
        </w:rPr>
        <w:t>CAJ</w:t>
      </w:r>
      <w:r w:rsidR="00DB2441" w:rsidRPr="0043541D">
        <w:rPr>
          <w:rFonts w:cs="Arial"/>
          <w:lang w:val="fr-FR"/>
        </w:rPr>
        <w:noBreakHyphen/>
      </w:r>
      <w:r w:rsidRPr="0043541D">
        <w:rPr>
          <w:rFonts w:cs="Arial"/>
          <w:lang w:val="fr-FR"/>
        </w:rPr>
        <w:t>AG à sa neuvième</w:t>
      </w:r>
      <w:r w:rsidR="005369C2" w:rsidRPr="0043541D">
        <w:rPr>
          <w:rFonts w:cs="Arial"/>
          <w:lang w:val="fr-FR"/>
        </w:rPr>
        <w:t> </w:t>
      </w:r>
      <w:r w:rsidRPr="0043541D">
        <w:rPr>
          <w:rFonts w:cs="Arial"/>
          <w:lang w:val="fr-FR"/>
        </w:rPr>
        <w:t xml:space="preserve">session qui se </w:t>
      </w:r>
      <w:r w:rsidR="008258C0">
        <w:rPr>
          <w:rFonts w:cs="Arial"/>
          <w:lang w:val="fr-FR"/>
        </w:rPr>
        <w:t>tiendra les 14 </w:t>
      </w:r>
      <w:r w:rsidRPr="0043541D">
        <w:rPr>
          <w:rFonts w:cs="Arial"/>
          <w:lang w:val="fr-FR"/>
        </w:rPr>
        <w:t>et 1</w:t>
      </w:r>
      <w:r w:rsidR="004274E1" w:rsidRPr="0043541D">
        <w:rPr>
          <w:rFonts w:cs="Arial"/>
          <w:lang w:val="fr-FR"/>
        </w:rPr>
        <w:t>7 octobre 20</w:t>
      </w:r>
      <w:r w:rsidRPr="0043541D">
        <w:rPr>
          <w:rFonts w:cs="Arial"/>
          <w:lang w:val="fr-FR"/>
        </w:rPr>
        <w:t>14;</w:t>
      </w:r>
    </w:p>
    <w:p w:rsidR="004274E1" w:rsidRPr="003E47EC" w:rsidRDefault="004274E1" w:rsidP="006140CC">
      <w:pPr>
        <w:pStyle w:val="ListParagraph"/>
        <w:tabs>
          <w:tab w:val="left" w:pos="5954"/>
        </w:tabs>
        <w:ind w:left="4820" w:firstLine="567"/>
        <w:rPr>
          <w:sz w:val="16"/>
          <w:szCs w:val="24"/>
          <w:lang w:val="fr-FR"/>
        </w:rPr>
      </w:pPr>
    </w:p>
    <w:p w:rsidR="00B85CBA" w:rsidRPr="0043541D" w:rsidRDefault="009B7215" w:rsidP="003E47EC">
      <w:pPr>
        <w:pStyle w:val="DecisionParagraphs"/>
        <w:numPr>
          <w:ilvl w:val="0"/>
          <w:numId w:val="10"/>
        </w:numPr>
        <w:tabs>
          <w:tab w:val="clear" w:pos="5387"/>
          <w:tab w:val="left" w:pos="5812"/>
        </w:tabs>
        <w:ind w:left="4820" w:firstLine="567"/>
        <w:rPr>
          <w:spacing w:val="-2"/>
          <w:szCs w:val="24"/>
          <w:lang w:val="fr-FR"/>
        </w:rPr>
      </w:pPr>
      <w:r w:rsidRPr="0043541D">
        <w:rPr>
          <w:rFonts w:cs="Arial"/>
          <w:spacing w:val="-2"/>
          <w:lang w:val="fr-FR"/>
        </w:rPr>
        <w:t xml:space="preserve">un nouvel examen du document UPOV/INF/12 “Notes explicatives concernant les dénominations variétales en vertu de la </w:t>
      </w:r>
      <w:r w:rsidR="004274E1" w:rsidRPr="0043541D">
        <w:rPr>
          <w:rFonts w:cs="Arial"/>
          <w:spacing w:val="-2"/>
          <w:lang w:val="fr-FR"/>
        </w:rPr>
        <w:t>Convention UPOV</w:t>
      </w:r>
      <w:r w:rsidRPr="0043541D">
        <w:rPr>
          <w:rFonts w:cs="Arial"/>
          <w:spacing w:val="-2"/>
          <w:lang w:val="fr-FR"/>
        </w:rPr>
        <w:t>” pourrait être nécessaire en rapport avec l</w:t>
      </w:r>
      <w:r w:rsidR="004274E1" w:rsidRPr="0043541D">
        <w:rPr>
          <w:rFonts w:cs="Arial"/>
          <w:spacing w:val="-2"/>
          <w:lang w:val="fr-FR"/>
        </w:rPr>
        <w:t>’</w:t>
      </w:r>
      <w:r w:rsidRPr="0043541D">
        <w:rPr>
          <w:rFonts w:cs="Arial"/>
          <w:spacing w:val="-2"/>
          <w:lang w:val="fr-FR"/>
        </w:rPr>
        <w:t>élaboration d</w:t>
      </w:r>
      <w:r w:rsidR="004274E1" w:rsidRPr="0043541D">
        <w:rPr>
          <w:rFonts w:cs="Arial"/>
          <w:spacing w:val="-2"/>
          <w:lang w:val="fr-FR"/>
        </w:rPr>
        <w:t>’</w:t>
      </w:r>
      <w:r w:rsidRPr="0043541D">
        <w:rPr>
          <w:rFonts w:cs="Arial"/>
          <w:spacing w:val="-2"/>
          <w:lang w:val="fr-FR"/>
        </w:rPr>
        <w:t>un outil de recherche de l</w:t>
      </w:r>
      <w:r w:rsidR="004274E1" w:rsidRPr="0043541D">
        <w:rPr>
          <w:rFonts w:cs="Arial"/>
          <w:spacing w:val="-2"/>
          <w:lang w:val="fr-FR"/>
        </w:rPr>
        <w:t>’</w:t>
      </w:r>
      <w:r w:rsidRPr="0043541D">
        <w:rPr>
          <w:rFonts w:cs="Arial"/>
          <w:spacing w:val="-2"/>
          <w:lang w:val="fr-FR"/>
        </w:rPr>
        <w:t xml:space="preserve">UPOV de similarité </w:t>
      </w:r>
      <w:r w:rsidR="00C67FF6" w:rsidRPr="0043541D">
        <w:rPr>
          <w:rFonts w:cs="Arial"/>
          <w:spacing w:val="-2"/>
          <w:lang w:val="fr-FR"/>
        </w:rPr>
        <w:t xml:space="preserve">qui soit </w:t>
      </w:r>
      <w:r w:rsidRPr="0043541D">
        <w:rPr>
          <w:rFonts w:cs="Arial"/>
          <w:spacing w:val="-2"/>
          <w:lang w:val="fr-FR"/>
        </w:rPr>
        <w:t>efficace (voir le document CAJ/70/4);</w:t>
      </w:r>
    </w:p>
    <w:p w:rsidR="004274E1" w:rsidRPr="003E47EC" w:rsidRDefault="004274E1" w:rsidP="006140CC">
      <w:pPr>
        <w:pStyle w:val="ListParagraph"/>
        <w:tabs>
          <w:tab w:val="left" w:pos="5954"/>
        </w:tabs>
        <w:ind w:left="4820" w:firstLine="567"/>
        <w:rPr>
          <w:sz w:val="16"/>
          <w:szCs w:val="24"/>
          <w:lang w:val="fr-FR"/>
        </w:rPr>
      </w:pPr>
    </w:p>
    <w:p w:rsidR="00B85CBA" w:rsidRPr="0043541D" w:rsidRDefault="009B7215" w:rsidP="003E47EC">
      <w:pPr>
        <w:pStyle w:val="DecisionParagraphs"/>
        <w:numPr>
          <w:ilvl w:val="0"/>
          <w:numId w:val="10"/>
        </w:numPr>
        <w:tabs>
          <w:tab w:val="clear" w:pos="5387"/>
          <w:tab w:val="left" w:pos="5812"/>
        </w:tabs>
        <w:ind w:left="4820" w:firstLine="567"/>
        <w:rPr>
          <w:spacing w:val="-2"/>
          <w:szCs w:val="24"/>
          <w:lang w:val="fr-FR"/>
        </w:rPr>
      </w:pPr>
      <w:r w:rsidRPr="0043541D">
        <w:rPr>
          <w:spacing w:val="-2"/>
          <w:szCs w:val="24"/>
          <w:lang w:val="fr-FR"/>
        </w:rPr>
        <w:t>un compte rendu des travaux</w:t>
      </w:r>
      <w:r w:rsidR="004274E1" w:rsidRPr="0043541D">
        <w:rPr>
          <w:spacing w:val="-2"/>
          <w:szCs w:val="24"/>
          <w:lang w:val="fr-FR"/>
        </w:rPr>
        <w:t xml:space="preserve"> du CAJ</w:t>
      </w:r>
      <w:r w:rsidR="00DB2441" w:rsidRPr="0043541D">
        <w:rPr>
          <w:spacing w:val="-2"/>
          <w:szCs w:val="24"/>
          <w:lang w:val="fr-FR"/>
        </w:rPr>
        <w:noBreakHyphen/>
      </w:r>
      <w:r w:rsidRPr="0043541D">
        <w:rPr>
          <w:spacing w:val="-2"/>
          <w:szCs w:val="24"/>
          <w:lang w:val="fr-FR"/>
        </w:rPr>
        <w:t>AG à sa neuvième</w:t>
      </w:r>
      <w:r w:rsidR="005369C2" w:rsidRPr="0043541D">
        <w:rPr>
          <w:spacing w:val="-2"/>
          <w:szCs w:val="24"/>
          <w:lang w:val="fr-FR"/>
        </w:rPr>
        <w:t> </w:t>
      </w:r>
      <w:r w:rsidRPr="0043541D">
        <w:rPr>
          <w:spacing w:val="-2"/>
          <w:szCs w:val="24"/>
          <w:lang w:val="fr-FR"/>
        </w:rPr>
        <w:t>session sera présenté</w:t>
      </w:r>
      <w:r w:rsidR="004274E1" w:rsidRPr="0043541D">
        <w:rPr>
          <w:spacing w:val="-2"/>
          <w:szCs w:val="24"/>
          <w:lang w:val="fr-FR"/>
        </w:rPr>
        <w:t xml:space="preserve"> au CAJ</w:t>
      </w:r>
      <w:r w:rsidRPr="0043541D">
        <w:rPr>
          <w:spacing w:val="-2"/>
          <w:szCs w:val="24"/>
          <w:lang w:val="fr-FR"/>
        </w:rPr>
        <w:t>, à sa soixante</w:t>
      </w:r>
      <w:r w:rsidR="00D3241D" w:rsidRPr="0043541D">
        <w:rPr>
          <w:spacing w:val="-2"/>
          <w:szCs w:val="24"/>
          <w:lang w:val="fr-FR"/>
        </w:rPr>
        <w:t> </w:t>
      </w:r>
      <w:r w:rsidRPr="0043541D">
        <w:rPr>
          <w:spacing w:val="-2"/>
          <w:szCs w:val="24"/>
          <w:lang w:val="fr-FR"/>
        </w:rPr>
        <w:t>et</w:t>
      </w:r>
      <w:r w:rsidR="00D3241D" w:rsidRPr="0043541D">
        <w:rPr>
          <w:spacing w:val="-2"/>
          <w:szCs w:val="24"/>
          <w:lang w:val="fr-FR"/>
        </w:rPr>
        <w:t> </w:t>
      </w:r>
      <w:r w:rsidRPr="0043541D">
        <w:rPr>
          <w:spacing w:val="-2"/>
          <w:szCs w:val="24"/>
          <w:lang w:val="fr-FR"/>
        </w:rPr>
        <w:t>onzième</w:t>
      </w:r>
      <w:r w:rsidR="005369C2" w:rsidRPr="0043541D">
        <w:rPr>
          <w:spacing w:val="-2"/>
          <w:szCs w:val="24"/>
          <w:lang w:val="fr-FR"/>
        </w:rPr>
        <w:t> </w:t>
      </w:r>
      <w:r w:rsidRPr="0043541D">
        <w:rPr>
          <w:spacing w:val="-2"/>
          <w:szCs w:val="24"/>
          <w:lang w:val="fr-FR"/>
        </w:rPr>
        <w:t xml:space="preserve">session, qui se tiendra en </w:t>
      </w:r>
      <w:r w:rsidR="004274E1" w:rsidRPr="0043541D">
        <w:rPr>
          <w:spacing w:val="-2"/>
          <w:szCs w:val="24"/>
          <w:lang w:val="fr-FR"/>
        </w:rPr>
        <w:t>mars 20</w:t>
      </w:r>
      <w:r w:rsidRPr="0043541D">
        <w:rPr>
          <w:spacing w:val="-2"/>
          <w:szCs w:val="24"/>
          <w:lang w:val="fr-FR"/>
        </w:rPr>
        <w:t>15;</w:t>
      </w:r>
    </w:p>
    <w:p w:rsidR="004274E1" w:rsidRPr="003E47EC" w:rsidRDefault="004274E1" w:rsidP="006140CC">
      <w:pPr>
        <w:pStyle w:val="ListParagraph"/>
        <w:tabs>
          <w:tab w:val="left" w:pos="5954"/>
        </w:tabs>
        <w:ind w:left="4820" w:firstLine="567"/>
        <w:rPr>
          <w:sz w:val="16"/>
          <w:szCs w:val="24"/>
          <w:lang w:val="fr-FR"/>
        </w:rPr>
      </w:pPr>
    </w:p>
    <w:p w:rsidR="004274E1" w:rsidRPr="006140CC" w:rsidRDefault="009B7215" w:rsidP="003E47EC">
      <w:pPr>
        <w:pStyle w:val="DecisionParagraphs"/>
        <w:numPr>
          <w:ilvl w:val="0"/>
          <w:numId w:val="10"/>
        </w:numPr>
        <w:tabs>
          <w:tab w:val="clear" w:pos="5387"/>
          <w:tab w:val="left" w:pos="5812"/>
        </w:tabs>
        <w:ind w:left="4820" w:firstLine="567"/>
        <w:rPr>
          <w:szCs w:val="24"/>
          <w:lang w:val="fr-FR"/>
        </w:rPr>
      </w:pPr>
      <w:r w:rsidRPr="006140CC">
        <w:rPr>
          <w:szCs w:val="24"/>
          <w:lang w:val="fr-FR"/>
        </w:rPr>
        <w:t>les faits nouveaux concernant la révision du document UPOV/INF/5 “Bulletin type de l</w:t>
      </w:r>
      <w:r w:rsidR="004274E1" w:rsidRPr="006140CC">
        <w:rPr>
          <w:szCs w:val="24"/>
          <w:lang w:val="fr-FR"/>
        </w:rPr>
        <w:t>’</w:t>
      </w:r>
      <w:r w:rsidRPr="006140CC">
        <w:rPr>
          <w:szCs w:val="24"/>
          <w:lang w:val="fr-FR"/>
        </w:rPr>
        <w:t>UPOV de la protection des obtentions végétales” sont indiqués dans le document CAJ/70/3;</w:t>
      </w:r>
    </w:p>
    <w:p w:rsidR="00B85CBA" w:rsidRPr="003E47EC" w:rsidRDefault="00B85CBA" w:rsidP="006140CC">
      <w:pPr>
        <w:pStyle w:val="DecisionParagraphs"/>
        <w:tabs>
          <w:tab w:val="clear" w:pos="5387"/>
          <w:tab w:val="left" w:pos="5954"/>
        </w:tabs>
        <w:ind w:firstLine="567"/>
        <w:rPr>
          <w:sz w:val="16"/>
          <w:szCs w:val="24"/>
          <w:lang w:val="fr-FR"/>
        </w:rPr>
      </w:pPr>
    </w:p>
    <w:p w:rsidR="00B85CBA" w:rsidRPr="0043541D" w:rsidRDefault="009B7215" w:rsidP="003E47EC">
      <w:pPr>
        <w:pStyle w:val="DecisionParagraphs"/>
        <w:numPr>
          <w:ilvl w:val="0"/>
          <w:numId w:val="10"/>
        </w:numPr>
        <w:tabs>
          <w:tab w:val="clear" w:pos="5387"/>
          <w:tab w:val="left" w:pos="5812"/>
        </w:tabs>
        <w:ind w:left="4820" w:firstLine="567"/>
        <w:rPr>
          <w:spacing w:val="-2"/>
          <w:szCs w:val="24"/>
          <w:lang w:val="fr-FR"/>
        </w:rPr>
      </w:pPr>
      <w:r w:rsidRPr="0043541D">
        <w:rPr>
          <w:spacing w:val="-2"/>
          <w:szCs w:val="24"/>
          <w:lang w:val="fr-FR"/>
        </w:rPr>
        <w:t>les faits nouveaux concernant la révision du document UPOV/INF/15 “Document d</w:t>
      </w:r>
      <w:r w:rsidR="004274E1" w:rsidRPr="0043541D">
        <w:rPr>
          <w:spacing w:val="-2"/>
          <w:szCs w:val="24"/>
          <w:lang w:val="fr-FR"/>
        </w:rPr>
        <w:t>’</w:t>
      </w:r>
      <w:r w:rsidRPr="0043541D">
        <w:rPr>
          <w:spacing w:val="-2"/>
          <w:szCs w:val="24"/>
          <w:lang w:val="fr-FR"/>
        </w:rPr>
        <w:t>orientation destiné aux membres de l</w:t>
      </w:r>
      <w:r w:rsidR="004274E1" w:rsidRPr="0043541D">
        <w:rPr>
          <w:spacing w:val="-2"/>
          <w:szCs w:val="24"/>
          <w:lang w:val="fr-FR"/>
        </w:rPr>
        <w:t>’</w:t>
      </w:r>
      <w:r w:rsidRPr="0043541D">
        <w:rPr>
          <w:spacing w:val="-2"/>
          <w:szCs w:val="24"/>
          <w:lang w:val="fr-FR"/>
        </w:rPr>
        <w:t>UPOV concernant les obligations en cours et les notifications connexes ainsi que la fourniture d</w:t>
      </w:r>
      <w:r w:rsidR="004274E1" w:rsidRPr="0043541D">
        <w:rPr>
          <w:spacing w:val="-2"/>
          <w:szCs w:val="24"/>
          <w:lang w:val="fr-FR"/>
        </w:rPr>
        <w:t>’</w:t>
      </w:r>
      <w:r w:rsidRPr="0043541D">
        <w:rPr>
          <w:spacing w:val="-2"/>
          <w:szCs w:val="24"/>
          <w:lang w:val="fr-FR"/>
        </w:rPr>
        <w:t>informations visant à faciliter la coopération” sont indiqués dans le document CAJ/70/5;</w:t>
      </w:r>
    </w:p>
    <w:p w:rsidR="00B85CBA" w:rsidRPr="003E47EC" w:rsidRDefault="00B85CBA" w:rsidP="006140CC">
      <w:pPr>
        <w:pStyle w:val="DecisionParagraphs"/>
        <w:tabs>
          <w:tab w:val="clear" w:pos="5387"/>
          <w:tab w:val="left" w:pos="5954"/>
        </w:tabs>
        <w:ind w:firstLine="567"/>
        <w:rPr>
          <w:sz w:val="16"/>
          <w:lang w:val="fr-FR"/>
        </w:rPr>
      </w:pPr>
    </w:p>
    <w:p w:rsidR="00B85CBA" w:rsidRPr="003E47EC" w:rsidRDefault="009B7215" w:rsidP="003E47EC">
      <w:pPr>
        <w:pStyle w:val="DecisionParagraphs"/>
        <w:numPr>
          <w:ilvl w:val="0"/>
          <w:numId w:val="10"/>
        </w:numPr>
        <w:tabs>
          <w:tab w:val="clear" w:pos="5387"/>
          <w:tab w:val="left" w:pos="4820"/>
          <w:tab w:val="left" w:pos="5812"/>
        </w:tabs>
        <w:ind w:left="4820" w:firstLine="567"/>
        <w:rPr>
          <w:spacing w:val="-6"/>
          <w:szCs w:val="24"/>
          <w:lang w:val="fr-FR"/>
        </w:rPr>
      </w:pPr>
      <w:r w:rsidRPr="003E47EC">
        <w:rPr>
          <w:spacing w:val="-6"/>
          <w:szCs w:val="24"/>
          <w:lang w:val="fr-FR"/>
        </w:rPr>
        <w:t>les versions allemand</w:t>
      </w:r>
      <w:r w:rsidR="00C67FF6" w:rsidRPr="003E47EC">
        <w:rPr>
          <w:spacing w:val="-6"/>
          <w:szCs w:val="24"/>
          <w:lang w:val="fr-FR"/>
        </w:rPr>
        <w:t>e</w:t>
      </w:r>
      <w:r w:rsidRPr="003E47EC">
        <w:rPr>
          <w:spacing w:val="-6"/>
          <w:szCs w:val="24"/>
          <w:lang w:val="fr-FR"/>
        </w:rPr>
        <w:t>, espagnol</w:t>
      </w:r>
      <w:r w:rsidR="00C67FF6" w:rsidRPr="003E47EC">
        <w:rPr>
          <w:spacing w:val="-6"/>
          <w:szCs w:val="24"/>
          <w:lang w:val="fr-FR"/>
        </w:rPr>
        <w:t>e</w:t>
      </w:r>
      <w:r w:rsidRPr="003E47EC">
        <w:rPr>
          <w:spacing w:val="-6"/>
          <w:szCs w:val="24"/>
          <w:lang w:val="fr-FR"/>
        </w:rPr>
        <w:t xml:space="preserve"> et français</w:t>
      </w:r>
      <w:r w:rsidR="00C67FF6" w:rsidRPr="003E47EC">
        <w:rPr>
          <w:spacing w:val="-6"/>
          <w:szCs w:val="24"/>
          <w:lang w:val="fr-FR"/>
        </w:rPr>
        <w:t>e</w:t>
      </w:r>
      <w:r w:rsidRPr="003E47EC">
        <w:rPr>
          <w:spacing w:val="-6"/>
          <w:szCs w:val="24"/>
          <w:lang w:val="fr-FR"/>
        </w:rPr>
        <w:t xml:space="preserve"> du compte rendu du “Séminaire s</w:t>
      </w:r>
      <w:r w:rsidR="003E47EC" w:rsidRPr="003E47EC">
        <w:rPr>
          <w:spacing w:val="-6"/>
          <w:szCs w:val="24"/>
          <w:lang w:val="fr-FR"/>
        </w:rPr>
        <w:t xml:space="preserve">ur les </w:t>
      </w:r>
      <w:r w:rsidRPr="003E47EC">
        <w:rPr>
          <w:spacing w:val="-6"/>
          <w:szCs w:val="24"/>
          <w:lang w:val="fr-FR"/>
        </w:rPr>
        <w:t>variétés essentiellement dérivées” (publication UPOV n° 358), qui s</w:t>
      </w:r>
      <w:r w:rsidR="004274E1" w:rsidRPr="003E47EC">
        <w:rPr>
          <w:spacing w:val="-6"/>
          <w:szCs w:val="24"/>
          <w:lang w:val="fr-FR"/>
        </w:rPr>
        <w:t>’</w:t>
      </w:r>
      <w:r w:rsidRPr="003E47EC">
        <w:rPr>
          <w:spacing w:val="-6"/>
          <w:szCs w:val="24"/>
          <w:lang w:val="fr-FR"/>
        </w:rPr>
        <w:t xml:space="preserve">est tenu à Genève le 22 octobre 2013, </w:t>
      </w:r>
      <w:r w:rsidR="005578E1" w:rsidRPr="003E47EC">
        <w:rPr>
          <w:spacing w:val="-6"/>
          <w:szCs w:val="24"/>
          <w:lang w:val="fr-FR"/>
        </w:rPr>
        <w:t>sont</w:t>
      </w:r>
      <w:r w:rsidRPr="003E47EC">
        <w:rPr>
          <w:spacing w:val="-6"/>
          <w:szCs w:val="24"/>
          <w:lang w:val="fr-FR"/>
        </w:rPr>
        <w:t xml:space="preserve"> maintenant publiée</w:t>
      </w:r>
      <w:r w:rsidR="005578E1" w:rsidRPr="003E47EC">
        <w:rPr>
          <w:spacing w:val="-6"/>
          <w:szCs w:val="24"/>
          <w:lang w:val="fr-FR"/>
        </w:rPr>
        <w:t>s</w:t>
      </w:r>
      <w:r w:rsidRPr="003E47EC">
        <w:rPr>
          <w:spacing w:val="-6"/>
          <w:szCs w:val="24"/>
          <w:lang w:val="fr-FR"/>
        </w:rPr>
        <w:t xml:space="preserve"> sur le site Web de l</w:t>
      </w:r>
      <w:r w:rsidR="004274E1" w:rsidRPr="003E47EC">
        <w:rPr>
          <w:spacing w:val="-6"/>
          <w:szCs w:val="24"/>
          <w:lang w:val="fr-FR"/>
        </w:rPr>
        <w:t>’</w:t>
      </w:r>
      <w:r w:rsidRPr="003E47EC">
        <w:rPr>
          <w:spacing w:val="-6"/>
          <w:szCs w:val="24"/>
          <w:lang w:val="fr-FR"/>
        </w:rPr>
        <w:t>UPOV à l</w:t>
      </w:r>
      <w:r w:rsidR="004274E1" w:rsidRPr="003E47EC">
        <w:rPr>
          <w:spacing w:val="-6"/>
          <w:szCs w:val="24"/>
          <w:lang w:val="fr-FR"/>
        </w:rPr>
        <w:t>’</w:t>
      </w:r>
      <w:r w:rsidRPr="003E47EC">
        <w:rPr>
          <w:spacing w:val="-6"/>
          <w:szCs w:val="24"/>
          <w:lang w:val="fr-FR"/>
        </w:rPr>
        <w:t xml:space="preserve">adresse </w:t>
      </w:r>
      <w:hyperlink r:id="rId14" w:history="1">
        <w:r w:rsidR="006140CC" w:rsidRPr="003E47EC">
          <w:rPr>
            <w:rStyle w:val="Hyperlink"/>
            <w:spacing w:val="-6"/>
            <w:szCs w:val="24"/>
            <w:lang w:val="fr-FR"/>
          </w:rPr>
          <w:t>http://www.upov.int/meetings/fr/details.jsp?meeting_id=29782</w:t>
        </w:r>
      </w:hyperlink>
      <w:r w:rsidRPr="003E47EC">
        <w:rPr>
          <w:spacing w:val="-6"/>
          <w:szCs w:val="24"/>
          <w:lang w:val="fr-FR"/>
        </w:rPr>
        <w:t>).</w:t>
      </w:r>
    </w:p>
    <w:p w:rsidR="00B85CBA" w:rsidRPr="003E47EC" w:rsidRDefault="003E47EC" w:rsidP="003E47EC">
      <w:pPr>
        <w:rPr>
          <w:lang w:val="fr-FR"/>
        </w:rPr>
      </w:pPr>
      <w:r w:rsidRPr="003E47E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605682" wp14:editId="76E39011">
                <wp:simplePos x="0" y="0"/>
                <wp:positionH relativeFrom="column">
                  <wp:posOffset>4294505</wp:posOffset>
                </wp:positionH>
                <wp:positionV relativeFrom="paragraph">
                  <wp:posOffset>215900</wp:posOffset>
                </wp:positionV>
                <wp:extent cx="1920875" cy="2286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7EC" w:rsidRPr="009929A5" w:rsidRDefault="003E47EC">
                            <w:pPr>
                              <w:ind w:right="53"/>
                              <w:jc w:val="right"/>
                              <w:rPr>
                                <w:rFonts w:cs="Arial"/>
                              </w:rPr>
                            </w:pPr>
                            <w:r w:rsidRPr="006140CC">
                              <w:rPr>
                                <w:snapToGrid w:val="0"/>
                                <w:lang w:val="fr-FR"/>
                              </w:rPr>
                              <w:t>[L’annexe suit]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8.15pt;margin-top:17pt;width:15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VcrQ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" o:allowincell="f" filled="f" stroked="f">
                <v:textbox inset="0,0,0,0">
                  <w:txbxContent>
                    <w:p w:rsidR="003E47EC" w:rsidRPr="009929A5" w:rsidRDefault="003E47EC">
                      <w:pPr>
                        <w:ind w:right="53"/>
                        <w:jc w:val="right"/>
                        <w:rPr>
                          <w:rFonts w:cs="Arial"/>
                        </w:rPr>
                      </w:pPr>
                      <w:r w:rsidRPr="006140CC">
                        <w:rPr>
                          <w:snapToGrid w:val="0"/>
                          <w:lang w:val="fr-FR"/>
                        </w:rPr>
                        <w:t>[L’annexe suit]</w:t>
                      </w:r>
                    </w:p>
                  </w:txbxContent>
                </v:textbox>
              </v:shape>
            </w:pict>
          </mc:Fallback>
        </mc:AlternateContent>
      </w:r>
    </w:p>
    <w:p w:rsidR="00B27C88" w:rsidRPr="006140CC" w:rsidRDefault="00B27C88" w:rsidP="00F75CBE">
      <w:pPr>
        <w:jc w:val="left"/>
        <w:rPr>
          <w:lang w:val="fr-FR"/>
        </w:rPr>
        <w:sectPr w:rsidR="00B27C88" w:rsidRPr="006140CC" w:rsidSect="004274E1">
          <w:headerReference w:type="default" r:id="rId15"/>
          <w:footerReference w:type="first" r:id="rId16"/>
          <w:endnotePr>
            <w:numFmt w:val="lowerLetter"/>
          </w:endnotePr>
          <w:type w:val="continuous"/>
          <w:pgSz w:w="11907" w:h="16840" w:code="9"/>
          <w:pgMar w:top="510" w:right="1134" w:bottom="1134" w:left="1134" w:header="510" w:footer="624" w:gutter="0"/>
          <w:cols w:space="720"/>
          <w:titlePg/>
          <w:docGrid w:linePitch="272"/>
        </w:sectPr>
      </w:pPr>
    </w:p>
    <w:p w:rsidR="00B85CBA" w:rsidRPr="006140CC" w:rsidRDefault="009B7215" w:rsidP="009B7215">
      <w:pPr>
        <w:jc w:val="center"/>
        <w:rPr>
          <w:lang w:val="fr-FR"/>
        </w:rPr>
      </w:pPr>
      <w:r w:rsidRPr="006140CC">
        <w:rPr>
          <w:lang w:val="fr-FR"/>
        </w:rPr>
        <w:lastRenderedPageBreak/>
        <w:t>APERÇU GÉNÉRAL D</w:t>
      </w:r>
      <w:r w:rsidR="00C67FF6">
        <w:rPr>
          <w:lang w:val="fr-FR"/>
        </w:rPr>
        <w:t>U MATÉRIEL</w:t>
      </w:r>
      <w:r w:rsidRPr="006140CC">
        <w:rPr>
          <w:lang w:val="fr-FR"/>
        </w:rPr>
        <w:t xml:space="preserve"> D</w:t>
      </w:r>
      <w:r w:rsidR="004274E1" w:rsidRPr="006140CC">
        <w:rPr>
          <w:lang w:val="fr-FR"/>
        </w:rPr>
        <w:t>’</w:t>
      </w:r>
      <w:r w:rsidRPr="006140CC">
        <w:rPr>
          <w:lang w:val="fr-FR"/>
        </w:rPr>
        <w:t>INFORMATION</w:t>
      </w:r>
    </w:p>
    <w:p w:rsidR="00B85CBA" w:rsidRPr="006140CC" w:rsidRDefault="00B85CBA" w:rsidP="00B27C88">
      <w:pPr>
        <w:jc w:val="center"/>
        <w:rPr>
          <w:sz w:val="16"/>
          <w:szCs w:val="16"/>
          <w:lang w:val="fr-FR"/>
        </w:rPr>
      </w:pPr>
    </w:p>
    <w:p w:rsidR="00B85CBA" w:rsidRPr="006140CC" w:rsidRDefault="00B85CBA" w:rsidP="00B27C88">
      <w:pPr>
        <w:jc w:val="center"/>
        <w:rPr>
          <w:sz w:val="16"/>
          <w:szCs w:val="16"/>
          <w:lang w:val="fr-FR"/>
        </w:rPr>
      </w:pPr>
    </w:p>
    <w:p w:rsidR="00B85CBA" w:rsidRPr="006140CC" w:rsidRDefault="009B7215" w:rsidP="009B7215">
      <w:pPr>
        <w:jc w:val="left"/>
        <w:rPr>
          <w:lang w:val="fr-FR"/>
        </w:rPr>
      </w:pPr>
      <w:r w:rsidRPr="006140CC">
        <w:rPr>
          <w:lang w:val="fr-FR"/>
        </w:rPr>
        <w:t>NOTES EXPLICATIVES</w:t>
      </w:r>
    </w:p>
    <w:p w:rsidR="00B27C88" w:rsidRPr="006140CC" w:rsidRDefault="00B27C88" w:rsidP="00B27C88">
      <w:pPr>
        <w:jc w:val="left"/>
        <w:rPr>
          <w:sz w:val="16"/>
          <w:szCs w:val="16"/>
          <w:lang w:val="fr-FR"/>
        </w:rPr>
      </w:pPr>
    </w:p>
    <w:tbl>
      <w:tblPr>
        <w:tblW w:w="103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741"/>
        <w:gridCol w:w="4717"/>
        <w:gridCol w:w="3912"/>
      </w:tblGrid>
      <w:tr w:rsidR="00415619" w:rsidRPr="000B76D6" w:rsidTr="00C67FF6">
        <w:trPr>
          <w:cantSplit/>
          <w:tblHeader/>
          <w:jc w:val="center"/>
        </w:trPr>
        <w:tc>
          <w:tcPr>
            <w:tcW w:w="1741" w:type="dxa"/>
            <w:shd w:val="clear" w:color="auto" w:fill="D9D9D9"/>
            <w:tcMar>
              <w:bottom w:w="28" w:type="dxa"/>
            </w:tcMar>
          </w:tcPr>
          <w:p w:rsidR="00B27C88" w:rsidRPr="000B76D6" w:rsidRDefault="00B27C88" w:rsidP="000B76D6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R</w:t>
            </w:r>
            <w:r w:rsidR="000B76D6" w:rsidRPr="000B76D6">
              <w:rPr>
                <w:rFonts w:cs="Arial"/>
                <w:sz w:val="18"/>
                <w:szCs w:val="18"/>
                <w:lang w:val="fr-FR"/>
              </w:rPr>
              <w:t>é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f</w:t>
            </w:r>
            <w:r w:rsidR="000B76D6" w:rsidRPr="000B76D6">
              <w:rPr>
                <w:rFonts w:cs="Arial"/>
                <w:sz w:val="18"/>
                <w:szCs w:val="18"/>
                <w:lang w:val="fr-FR"/>
              </w:rPr>
              <w:t>é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rence</w:t>
            </w:r>
          </w:p>
        </w:tc>
        <w:tc>
          <w:tcPr>
            <w:tcW w:w="4717" w:type="dxa"/>
            <w:shd w:val="clear" w:color="auto" w:fill="D9D9D9"/>
            <w:tcMar>
              <w:bottom w:w="28" w:type="dxa"/>
            </w:tcMar>
          </w:tcPr>
          <w:p w:rsidR="00B27C88" w:rsidRPr="000B76D6" w:rsidRDefault="000B76D6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Notes explicatives sur</w:t>
            </w:r>
            <w:r w:rsidR="005369C2" w:rsidRPr="000B76D6">
              <w:rPr>
                <w:rFonts w:cs="Arial"/>
                <w:sz w:val="18"/>
                <w:szCs w:val="18"/>
                <w:lang w:val="fr-FR"/>
              </w:rPr>
              <w:t> </w:t>
            </w:r>
            <w:r w:rsidR="00B27C88" w:rsidRPr="000B76D6">
              <w:rPr>
                <w:rFonts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3912" w:type="dxa"/>
            <w:shd w:val="clear" w:color="auto" w:fill="D9D9D9"/>
            <w:tcMar>
              <w:bottom w:w="28" w:type="dxa"/>
            </w:tcMar>
          </w:tcPr>
          <w:p w:rsidR="00B27C88" w:rsidRPr="000B76D6" w:rsidRDefault="00C67FF6" w:rsidP="000B76D6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État d’avancement</w:t>
            </w:r>
          </w:p>
        </w:tc>
      </w:tr>
      <w:tr w:rsidR="00415619" w:rsidRPr="001E10C8" w:rsidTr="00C67FF6">
        <w:trPr>
          <w:cantSplit/>
          <w:jc w:val="center"/>
        </w:trPr>
        <w:tc>
          <w:tcPr>
            <w:tcW w:w="1741" w:type="dxa"/>
            <w:tcMar>
              <w:bottom w:w="28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UPOV/EXN/BRD</w:t>
            </w:r>
          </w:p>
        </w:tc>
        <w:tc>
          <w:tcPr>
            <w:tcW w:w="4717" w:type="dxa"/>
            <w:tcMar>
              <w:bottom w:w="28" w:type="dxa"/>
            </w:tcMar>
          </w:tcPr>
          <w:p w:rsidR="00B27C88" w:rsidRPr="000B76D6" w:rsidRDefault="009B7215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Notes explicatives sur la définition de l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obtenteur selon l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Acte de</w:t>
            </w:r>
            <w:r w:rsidR="005369C2" w:rsidRPr="000B76D6">
              <w:rPr>
                <w:rFonts w:cs="Arial"/>
                <w:sz w:val="18"/>
                <w:szCs w:val="18"/>
                <w:lang w:val="fr-FR"/>
              </w:rPr>
              <w:t> 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1991 de la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  <w:tcMar>
              <w:bottom w:w="28" w:type="dxa"/>
            </w:tcMar>
          </w:tcPr>
          <w:p w:rsidR="00B27C88" w:rsidRPr="000B76D6" w:rsidRDefault="00B27C88" w:rsidP="009B7215">
            <w:pPr>
              <w:jc w:val="left"/>
              <w:rPr>
                <w:rFonts w:cs="Arial"/>
                <w:strike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iCs/>
                <w:sz w:val="18"/>
                <w:szCs w:val="18"/>
                <w:lang w:val="fr-FR"/>
              </w:rPr>
              <w:t>UPOV/EXN/BRD/1 adopt</w:t>
            </w:r>
            <w:r w:rsidR="009B7215" w:rsidRPr="000B76D6">
              <w:rPr>
                <w:rFonts w:cs="Arial"/>
                <w:iCs/>
                <w:sz w:val="18"/>
                <w:szCs w:val="18"/>
                <w:lang w:val="fr-FR"/>
              </w:rPr>
              <w:t xml:space="preserve">é en </w:t>
            </w:r>
            <w:r w:rsidR="004274E1" w:rsidRPr="000B76D6">
              <w:rPr>
                <w:rFonts w:cs="Arial"/>
                <w:iCs/>
                <w:sz w:val="18"/>
                <w:szCs w:val="18"/>
                <w:lang w:val="fr-FR"/>
              </w:rPr>
              <w:t>octobre 20</w:t>
            </w:r>
            <w:r w:rsidRPr="000B76D6">
              <w:rPr>
                <w:rFonts w:cs="Arial"/>
                <w:iCs/>
                <w:sz w:val="18"/>
                <w:szCs w:val="18"/>
                <w:lang w:val="fr-FR"/>
              </w:rPr>
              <w:t>13</w:t>
            </w:r>
          </w:p>
        </w:tc>
      </w:tr>
      <w:tr w:rsidR="00415619" w:rsidRPr="001E10C8" w:rsidTr="00C67FF6">
        <w:trPr>
          <w:cantSplit/>
          <w:jc w:val="center"/>
        </w:trPr>
        <w:tc>
          <w:tcPr>
            <w:tcW w:w="1741" w:type="dxa"/>
            <w:tcMar>
              <w:bottom w:w="28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UPOV/EXN/CAL</w:t>
            </w:r>
          </w:p>
        </w:tc>
        <w:tc>
          <w:tcPr>
            <w:tcW w:w="4717" w:type="dxa"/>
            <w:tcMar>
              <w:bottom w:w="28" w:type="dxa"/>
            </w:tcMar>
          </w:tcPr>
          <w:p w:rsidR="00B27C88" w:rsidRPr="000B76D6" w:rsidRDefault="009B7215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Notes explicatives sur les conditions et limitations relatives à l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autorisation de l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obtenteur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à l’égard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 du matériel de reproduction ou de multiplication selon la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  <w:tcMar>
              <w:bottom w:w="28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UPOV/EXN/CAL/1 </w:t>
            </w:r>
            <w:r w:rsidR="009B7215" w:rsidRPr="000B76D6">
              <w:rPr>
                <w:rFonts w:cs="Arial"/>
                <w:iCs/>
                <w:sz w:val="18"/>
                <w:szCs w:val="18"/>
                <w:lang w:val="fr-FR"/>
              </w:rPr>
              <w:t xml:space="preserve">adopté en </w:t>
            </w:r>
            <w:r w:rsidR="004274E1" w:rsidRPr="000B76D6">
              <w:rPr>
                <w:rFonts w:cs="Arial"/>
                <w:iCs/>
                <w:sz w:val="18"/>
                <w:szCs w:val="18"/>
                <w:lang w:val="fr-FR"/>
              </w:rPr>
              <w:t>octobre 20</w:t>
            </w:r>
            <w:r w:rsidRPr="000B76D6">
              <w:rPr>
                <w:rFonts w:cs="Arial"/>
                <w:iCs/>
                <w:sz w:val="18"/>
                <w:szCs w:val="18"/>
                <w:lang w:val="fr-FR"/>
              </w:rPr>
              <w:t>10</w:t>
            </w:r>
          </w:p>
        </w:tc>
      </w:tr>
      <w:tr w:rsidR="00415619" w:rsidRPr="001E10C8" w:rsidTr="00C67FF6">
        <w:trPr>
          <w:cantSplit/>
          <w:jc w:val="center"/>
        </w:trPr>
        <w:tc>
          <w:tcPr>
            <w:tcW w:w="1741" w:type="dxa"/>
            <w:tcMar>
              <w:bottom w:w="28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UPOV/EXN/CAN</w:t>
            </w:r>
          </w:p>
        </w:tc>
        <w:tc>
          <w:tcPr>
            <w:tcW w:w="4717" w:type="dxa"/>
            <w:tcMar>
              <w:bottom w:w="28" w:type="dxa"/>
            </w:tcMar>
          </w:tcPr>
          <w:p w:rsidR="00B27C88" w:rsidRPr="000B76D6" w:rsidRDefault="009B7215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Notes explicatives sur la déchéance de l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obtenteur selon la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  <w:tcMar>
              <w:bottom w:w="28" w:type="dxa"/>
            </w:tcMar>
          </w:tcPr>
          <w:p w:rsidR="00B85CBA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UPOV/EXN/CAN/1 </w:t>
            </w:r>
            <w:r w:rsidR="009B7215" w:rsidRPr="000B76D6">
              <w:rPr>
                <w:rFonts w:cs="Arial"/>
                <w:iCs/>
                <w:sz w:val="18"/>
                <w:szCs w:val="18"/>
                <w:lang w:val="fr-FR"/>
              </w:rPr>
              <w:t xml:space="preserve">adopté en </w:t>
            </w:r>
            <w:r w:rsidR="004274E1" w:rsidRPr="000B76D6">
              <w:rPr>
                <w:rFonts w:cs="Arial"/>
                <w:iCs/>
                <w:sz w:val="18"/>
                <w:szCs w:val="18"/>
                <w:lang w:val="fr-FR"/>
              </w:rPr>
              <w:t>octobre 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20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09</w:t>
            </w:r>
          </w:p>
          <w:p w:rsidR="00B85CBA" w:rsidRPr="000B76D6" w:rsidRDefault="005578E1" w:rsidP="00415619">
            <w:pPr>
              <w:jc w:val="left"/>
              <w:rPr>
                <w:rFonts w:cs="Arial"/>
                <w:spacing w:val="-2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UPOV/EXN/CAN/2 </w:t>
            </w:r>
            <w:r w:rsidR="00B27C88" w:rsidRPr="000B76D6">
              <w:rPr>
                <w:rFonts w:cs="Arial"/>
                <w:sz w:val="18"/>
                <w:szCs w:val="18"/>
                <w:lang w:val="fr-FR"/>
              </w:rPr>
              <w:t>Draft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 </w:t>
            </w:r>
            <w:r w:rsidR="00B27C88" w:rsidRPr="000B76D6">
              <w:rPr>
                <w:rFonts w:cs="Arial"/>
                <w:sz w:val="18"/>
                <w:szCs w:val="18"/>
                <w:lang w:val="fr-FR"/>
              </w:rPr>
              <w:t>1</w:t>
            </w:r>
            <w:r w:rsidR="00B27C88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="00415619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>examiné par le CAJ</w:t>
            </w:r>
            <w:r w:rsidR="00DB2441" w:rsidRPr="000B76D6">
              <w:rPr>
                <w:rFonts w:cs="Arial"/>
                <w:spacing w:val="-2"/>
                <w:sz w:val="18"/>
                <w:szCs w:val="18"/>
                <w:lang w:val="fr-FR"/>
              </w:rPr>
              <w:noBreakHyphen/>
            </w:r>
            <w:r w:rsidR="00415619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>AG par correspondance</w:t>
            </w:r>
          </w:p>
          <w:p w:rsidR="00B27C88" w:rsidRPr="000B76D6" w:rsidRDefault="005578E1" w:rsidP="00C67FF6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UPOV/EXN/CAN/2 Draft </w:t>
            </w:r>
            <w:r w:rsidR="00B27C88" w:rsidRPr="000B76D6">
              <w:rPr>
                <w:rFonts w:cs="Arial"/>
                <w:sz w:val="18"/>
                <w:szCs w:val="18"/>
                <w:lang w:val="fr-FR"/>
              </w:rPr>
              <w:t>2</w:t>
            </w:r>
            <w:r w:rsidR="00B27C88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="00C67FF6">
              <w:rPr>
                <w:rFonts w:cs="Arial"/>
                <w:spacing w:val="-2"/>
                <w:sz w:val="18"/>
                <w:szCs w:val="18"/>
                <w:lang w:val="fr-FR"/>
              </w:rPr>
              <w:t>sera</w:t>
            </w:r>
            <w:r w:rsidR="00415619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 examiné par le CAJ</w:t>
            </w:r>
            <w:r w:rsidR="00DB2441" w:rsidRPr="000B76D6">
              <w:rPr>
                <w:rFonts w:cs="Arial"/>
                <w:spacing w:val="-2"/>
                <w:sz w:val="18"/>
                <w:szCs w:val="18"/>
                <w:lang w:val="fr-FR"/>
              </w:rPr>
              <w:noBreakHyphen/>
            </w:r>
            <w:r w:rsidR="00415619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>AG e</w:t>
            </w:r>
            <w:r w:rsidR="00B27C88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n </w:t>
            </w:r>
            <w:r w:rsidR="004274E1" w:rsidRPr="000B76D6">
              <w:rPr>
                <w:rFonts w:cs="Arial"/>
                <w:iCs/>
                <w:sz w:val="18"/>
                <w:szCs w:val="18"/>
                <w:lang w:val="fr-FR"/>
              </w:rPr>
              <w:t>octobre </w:t>
            </w:r>
            <w:r w:rsidR="004274E1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>20</w:t>
            </w:r>
            <w:r w:rsidR="00B27C88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>14</w:t>
            </w:r>
          </w:p>
        </w:tc>
      </w:tr>
      <w:tr w:rsidR="00415619" w:rsidRPr="001E10C8" w:rsidTr="00C67FF6">
        <w:trPr>
          <w:cantSplit/>
          <w:jc w:val="center"/>
        </w:trPr>
        <w:tc>
          <w:tcPr>
            <w:tcW w:w="1741" w:type="dxa"/>
            <w:tcMar>
              <w:bottom w:w="28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UPOV/EXN/EDV</w:t>
            </w:r>
          </w:p>
        </w:tc>
        <w:tc>
          <w:tcPr>
            <w:tcW w:w="4717" w:type="dxa"/>
            <w:tcMar>
              <w:bottom w:w="28" w:type="dxa"/>
            </w:tcMar>
          </w:tcPr>
          <w:p w:rsidR="00B27C88" w:rsidRPr="000B76D6" w:rsidRDefault="009B7215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Notes explicatives sur les variétés essentiellement dérivées selon l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Acte de</w:t>
            </w:r>
            <w:r w:rsidR="005369C2" w:rsidRPr="000B76D6">
              <w:rPr>
                <w:rFonts w:cs="Arial"/>
                <w:sz w:val="18"/>
                <w:szCs w:val="18"/>
                <w:lang w:val="fr-FR"/>
              </w:rPr>
              <w:t> 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1991 de la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  <w:tcMar>
              <w:bottom w:w="28" w:type="dxa"/>
            </w:tcMar>
          </w:tcPr>
          <w:p w:rsidR="00B85CBA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UPOV/EXN/EDV/1 </w:t>
            </w:r>
            <w:r w:rsidR="009B7215" w:rsidRPr="000B76D6">
              <w:rPr>
                <w:rFonts w:cs="Arial"/>
                <w:iCs/>
                <w:sz w:val="18"/>
                <w:szCs w:val="18"/>
                <w:lang w:val="fr-FR"/>
              </w:rPr>
              <w:t xml:space="preserve">adopté en </w:t>
            </w:r>
            <w:r w:rsidR="004274E1" w:rsidRPr="000B76D6">
              <w:rPr>
                <w:rFonts w:cs="Arial"/>
                <w:iCs/>
                <w:sz w:val="18"/>
                <w:szCs w:val="18"/>
                <w:lang w:val="fr-FR"/>
              </w:rPr>
              <w:t>octobre 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20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09</w:t>
            </w:r>
          </w:p>
          <w:p w:rsidR="00B85CBA" w:rsidRPr="000B76D6" w:rsidRDefault="00B27C88" w:rsidP="00415619">
            <w:pPr>
              <w:jc w:val="left"/>
              <w:rPr>
                <w:rFonts w:cs="Arial"/>
                <w:spacing w:val="-2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UPOV/EXN/EDV/2</w:t>
            </w:r>
            <w:r w:rsidR="005578E1" w:rsidRPr="000B76D6">
              <w:rPr>
                <w:rFonts w:cs="Arial"/>
                <w:sz w:val="18"/>
                <w:szCs w:val="18"/>
                <w:lang w:val="fr-FR"/>
              </w:rPr>
              <w:t> 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Draft</w:t>
            </w:r>
            <w:r w:rsidR="005578E1" w:rsidRPr="000B76D6">
              <w:rPr>
                <w:rFonts w:cs="Arial"/>
                <w:sz w:val="18"/>
                <w:szCs w:val="18"/>
                <w:lang w:val="fr-FR"/>
              </w:rPr>
              <w:t> 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4</w:t>
            </w:r>
            <w:r w:rsidRPr="000B76D6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="00415619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>examiné par le CAJ</w:t>
            </w:r>
            <w:r w:rsidR="00DB2441" w:rsidRPr="000B76D6">
              <w:rPr>
                <w:rFonts w:cs="Arial"/>
                <w:spacing w:val="-2"/>
                <w:sz w:val="18"/>
                <w:szCs w:val="18"/>
                <w:lang w:val="fr-FR"/>
              </w:rPr>
              <w:noBreakHyphen/>
            </w:r>
            <w:r w:rsidR="00415619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>AG par correspondance</w:t>
            </w:r>
          </w:p>
          <w:p w:rsidR="00B27C88" w:rsidRPr="000B76D6" w:rsidRDefault="005578E1" w:rsidP="00C67FF6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UPOV/EXN/EDV/2 Draft </w:t>
            </w:r>
            <w:r w:rsidR="00B27C88" w:rsidRPr="000B76D6">
              <w:rPr>
                <w:rFonts w:cs="Arial"/>
                <w:sz w:val="18"/>
                <w:szCs w:val="18"/>
                <w:lang w:val="fr-FR"/>
              </w:rPr>
              <w:t>5</w:t>
            </w:r>
            <w:r w:rsidR="00B27C88" w:rsidRPr="000B76D6">
              <w:rPr>
                <w:rFonts w:cs="Arial"/>
                <w:iCs/>
                <w:sz w:val="18"/>
                <w:szCs w:val="18"/>
                <w:lang w:val="fr-FR"/>
              </w:rPr>
              <w:t xml:space="preserve"> </w:t>
            </w:r>
            <w:r w:rsidR="00C67FF6">
              <w:rPr>
                <w:rFonts w:cs="Arial"/>
                <w:spacing w:val="-2"/>
                <w:sz w:val="18"/>
                <w:szCs w:val="18"/>
                <w:lang w:val="fr-FR"/>
              </w:rPr>
              <w:t>sera</w:t>
            </w:r>
            <w:r w:rsidR="00415619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 examiné par le CAJ</w:t>
            </w:r>
            <w:r w:rsidR="00DB2441" w:rsidRPr="000B76D6">
              <w:rPr>
                <w:rFonts w:cs="Arial"/>
                <w:spacing w:val="-2"/>
                <w:sz w:val="18"/>
                <w:szCs w:val="18"/>
                <w:lang w:val="fr-FR"/>
              </w:rPr>
              <w:noBreakHyphen/>
            </w:r>
            <w:r w:rsidR="00415619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AG en </w:t>
            </w:r>
            <w:r w:rsidR="004274E1" w:rsidRPr="000B76D6">
              <w:rPr>
                <w:rFonts w:cs="Arial"/>
                <w:iCs/>
                <w:sz w:val="18"/>
                <w:szCs w:val="18"/>
                <w:lang w:val="fr-FR"/>
              </w:rPr>
              <w:t>octobre </w:t>
            </w:r>
            <w:r w:rsidR="004274E1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>20</w:t>
            </w:r>
            <w:r w:rsidR="00415619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>14</w:t>
            </w:r>
          </w:p>
        </w:tc>
      </w:tr>
      <w:tr w:rsidR="00415619" w:rsidRPr="001E10C8" w:rsidTr="00C67FF6">
        <w:trPr>
          <w:cantSplit/>
          <w:jc w:val="center"/>
        </w:trPr>
        <w:tc>
          <w:tcPr>
            <w:tcW w:w="1741" w:type="dxa"/>
            <w:tcMar>
              <w:bottom w:w="28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UPOV/EXN/ENF</w:t>
            </w:r>
          </w:p>
        </w:tc>
        <w:tc>
          <w:tcPr>
            <w:tcW w:w="4717" w:type="dxa"/>
            <w:tcMar>
              <w:bottom w:w="28" w:type="dxa"/>
            </w:tcMar>
          </w:tcPr>
          <w:p w:rsidR="00B27C88" w:rsidRPr="000B76D6" w:rsidRDefault="009B7215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Notes explicatives sur la défense des droits d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obtenteur selon la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  <w:tcMar>
              <w:bottom w:w="28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UPOV/EXN/ENF/1 </w:t>
            </w:r>
            <w:r w:rsidR="009B7215" w:rsidRPr="000B76D6">
              <w:rPr>
                <w:rFonts w:cs="Arial"/>
                <w:iCs/>
                <w:sz w:val="18"/>
                <w:szCs w:val="18"/>
                <w:lang w:val="fr-FR"/>
              </w:rPr>
              <w:t xml:space="preserve">adopté en </w:t>
            </w:r>
            <w:r w:rsidR="004274E1" w:rsidRPr="000B76D6">
              <w:rPr>
                <w:rFonts w:cs="Arial"/>
                <w:iCs/>
                <w:sz w:val="18"/>
                <w:szCs w:val="18"/>
                <w:lang w:val="fr-FR"/>
              </w:rPr>
              <w:t>octobre 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20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09</w:t>
            </w:r>
          </w:p>
        </w:tc>
      </w:tr>
      <w:tr w:rsidR="00415619" w:rsidRPr="001E10C8" w:rsidTr="00C67FF6">
        <w:trPr>
          <w:cantSplit/>
          <w:jc w:val="center"/>
        </w:trPr>
        <w:tc>
          <w:tcPr>
            <w:tcW w:w="1741" w:type="dxa"/>
            <w:tcMar>
              <w:bottom w:w="28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UPOV/EXN/EXC</w:t>
            </w:r>
          </w:p>
        </w:tc>
        <w:tc>
          <w:tcPr>
            <w:tcW w:w="4717" w:type="dxa"/>
            <w:tcMar>
              <w:bottom w:w="28" w:type="dxa"/>
            </w:tcMar>
          </w:tcPr>
          <w:p w:rsidR="00B27C88" w:rsidRPr="000B76D6" w:rsidRDefault="009B7215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Notes explicatives sur les exceptions au droit d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obtenteur selon l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Acte de</w:t>
            </w:r>
            <w:r w:rsidR="005369C2" w:rsidRPr="000B76D6">
              <w:rPr>
                <w:rFonts w:cs="Arial"/>
                <w:sz w:val="18"/>
                <w:szCs w:val="18"/>
                <w:lang w:val="fr-FR"/>
              </w:rPr>
              <w:t> 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1991 de la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  <w:tcMar>
              <w:bottom w:w="28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UPOV/EXN/EXC/1 </w:t>
            </w:r>
            <w:r w:rsidR="009B7215" w:rsidRPr="000B76D6">
              <w:rPr>
                <w:rFonts w:cs="Arial"/>
                <w:iCs/>
                <w:sz w:val="18"/>
                <w:szCs w:val="18"/>
                <w:lang w:val="fr-FR"/>
              </w:rPr>
              <w:t xml:space="preserve">adopté en </w:t>
            </w:r>
            <w:r w:rsidR="004274E1" w:rsidRPr="000B76D6">
              <w:rPr>
                <w:rFonts w:cs="Arial"/>
                <w:iCs/>
                <w:sz w:val="18"/>
                <w:szCs w:val="18"/>
                <w:lang w:val="fr-FR"/>
              </w:rPr>
              <w:t>octobre 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20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09</w:t>
            </w:r>
          </w:p>
        </w:tc>
      </w:tr>
      <w:tr w:rsidR="00415619" w:rsidRPr="001E10C8" w:rsidTr="00C67FF6">
        <w:trPr>
          <w:cantSplit/>
          <w:jc w:val="center"/>
        </w:trPr>
        <w:tc>
          <w:tcPr>
            <w:tcW w:w="1741" w:type="dxa"/>
            <w:tcMar>
              <w:bottom w:w="28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UPOV/EXN/GEN</w:t>
            </w:r>
          </w:p>
        </w:tc>
        <w:tc>
          <w:tcPr>
            <w:tcW w:w="4717" w:type="dxa"/>
            <w:tcMar>
              <w:bottom w:w="28" w:type="dxa"/>
            </w:tcMar>
          </w:tcPr>
          <w:p w:rsidR="00B27C88" w:rsidRPr="000B76D6" w:rsidRDefault="009B7215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Notes explicatives sur les genres et espèces devant être protégés selon l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Acte de</w:t>
            </w:r>
            <w:r w:rsidR="005369C2" w:rsidRPr="000B76D6">
              <w:rPr>
                <w:rFonts w:cs="Arial"/>
                <w:sz w:val="18"/>
                <w:szCs w:val="18"/>
                <w:lang w:val="fr-FR"/>
              </w:rPr>
              <w:t> 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1991 de la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  <w:tcMar>
              <w:bottom w:w="28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UPOV/EXN/GEN/1 </w:t>
            </w:r>
            <w:r w:rsidR="009B7215" w:rsidRPr="000B76D6">
              <w:rPr>
                <w:rFonts w:cs="Arial"/>
                <w:iCs/>
                <w:sz w:val="18"/>
                <w:szCs w:val="18"/>
                <w:lang w:val="fr-FR"/>
              </w:rPr>
              <w:t xml:space="preserve">adopté en </w:t>
            </w:r>
            <w:r w:rsidR="004274E1" w:rsidRPr="000B76D6">
              <w:rPr>
                <w:rFonts w:cs="Arial"/>
                <w:iCs/>
                <w:sz w:val="18"/>
                <w:szCs w:val="18"/>
                <w:lang w:val="fr-FR"/>
              </w:rPr>
              <w:t>octobre 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20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09</w:t>
            </w:r>
          </w:p>
        </w:tc>
      </w:tr>
      <w:tr w:rsidR="00415619" w:rsidRPr="001E10C8" w:rsidTr="00C67FF6">
        <w:trPr>
          <w:cantSplit/>
          <w:jc w:val="center"/>
        </w:trPr>
        <w:tc>
          <w:tcPr>
            <w:tcW w:w="1741" w:type="dxa"/>
            <w:tcMar>
              <w:bottom w:w="28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UPOV/EXN/HRV</w:t>
            </w:r>
          </w:p>
        </w:tc>
        <w:tc>
          <w:tcPr>
            <w:tcW w:w="4717" w:type="dxa"/>
            <w:tcMar>
              <w:bottom w:w="28" w:type="dxa"/>
            </w:tcMar>
          </w:tcPr>
          <w:p w:rsidR="00B27C88" w:rsidRPr="000B76D6" w:rsidRDefault="009B7215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Notes explicatives sur les actes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à l’égard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 du produit de la récolte selon l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Acte de</w:t>
            </w:r>
            <w:r w:rsidR="005369C2" w:rsidRPr="000B76D6">
              <w:rPr>
                <w:rFonts w:cs="Arial"/>
                <w:sz w:val="18"/>
                <w:szCs w:val="18"/>
                <w:lang w:val="fr-FR"/>
              </w:rPr>
              <w:t> 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1991 de la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  <w:tcMar>
              <w:bottom w:w="28" w:type="dxa"/>
            </w:tcMar>
          </w:tcPr>
          <w:p w:rsidR="00B85CBA" w:rsidRPr="000B76D6" w:rsidRDefault="00B27C88" w:rsidP="00B27C88">
            <w:pPr>
              <w:jc w:val="left"/>
              <w:rPr>
                <w:rFonts w:cs="Arial"/>
                <w:iCs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iCs/>
                <w:sz w:val="18"/>
                <w:szCs w:val="18"/>
                <w:lang w:val="fr-FR"/>
              </w:rPr>
              <w:t xml:space="preserve">UPOV/EXN/HRV/1 </w:t>
            </w:r>
            <w:r w:rsidR="009B7215" w:rsidRPr="000B76D6">
              <w:rPr>
                <w:rFonts w:cs="Arial"/>
                <w:iCs/>
                <w:sz w:val="18"/>
                <w:szCs w:val="18"/>
                <w:lang w:val="fr-FR"/>
              </w:rPr>
              <w:t xml:space="preserve">adopté en </w:t>
            </w:r>
            <w:r w:rsidR="004274E1" w:rsidRPr="000B76D6">
              <w:rPr>
                <w:rFonts w:cs="Arial"/>
                <w:iCs/>
                <w:sz w:val="18"/>
                <w:szCs w:val="18"/>
                <w:lang w:val="fr-FR"/>
              </w:rPr>
              <w:t>octobre 20</w:t>
            </w:r>
            <w:r w:rsidRPr="000B76D6">
              <w:rPr>
                <w:rFonts w:cs="Arial"/>
                <w:iCs/>
                <w:sz w:val="18"/>
                <w:szCs w:val="18"/>
                <w:lang w:val="fr-FR"/>
              </w:rPr>
              <w:t>13</w:t>
            </w:r>
          </w:p>
          <w:p w:rsidR="00B85CBA" w:rsidRPr="000B76D6" w:rsidRDefault="00B27C88" w:rsidP="00415619">
            <w:pPr>
              <w:jc w:val="left"/>
              <w:rPr>
                <w:rFonts w:cs="Arial"/>
                <w:spacing w:val="-2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iCs/>
                <w:sz w:val="18"/>
                <w:szCs w:val="18"/>
                <w:lang w:val="fr-FR"/>
              </w:rPr>
              <w:t>UPOV/EXN/HRV/2</w:t>
            </w:r>
            <w:r w:rsidR="005578E1" w:rsidRPr="000B76D6">
              <w:rPr>
                <w:rFonts w:cs="Arial"/>
                <w:iCs/>
                <w:sz w:val="18"/>
                <w:szCs w:val="18"/>
                <w:lang w:val="fr-FR"/>
              </w:rPr>
              <w:t> </w:t>
            </w:r>
            <w:r w:rsidRPr="000B76D6">
              <w:rPr>
                <w:rFonts w:cs="Arial"/>
                <w:iCs/>
                <w:sz w:val="18"/>
                <w:szCs w:val="18"/>
                <w:lang w:val="fr-FR"/>
              </w:rPr>
              <w:t>Draft</w:t>
            </w:r>
            <w:r w:rsidR="005578E1" w:rsidRPr="000B76D6">
              <w:rPr>
                <w:rFonts w:cs="Arial"/>
                <w:iCs/>
                <w:sz w:val="18"/>
                <w:szCs w:val="18"/>
                <w:lang w:val="fr-FR"/>
              </w:rPr>
              <w:t> </w:t>
            </w:r>
            <w:r w:rsidRPr="000B76D6">
              <w:rPr>
                <w:rFonts w:cs="Arial"/>
                <w:iCs/>
                <w:sz w:val="18"/>
                <w:szCs w:val="18"/>
                <w:lang w:val="fr-FR"/>
              </w:rPr>
              <w:t>1</w:t>
            </w:r>
            <w:r w:rsidRPr="000B76D6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="00415619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>examiné par le CAJ</w:t>
            </w:r>
            <w:r w:rsidR="00DB2441" w:rsidRPr="000B76D6">
              <w:rPr>
                <w:rFonts w:cs="Arial"/>
                <w:spacing w:val="-2"/>
                <w:sz w:val="18"/>
                <w:szCs w:val="18"/>
                <w:lang w:val="fr-FR"/>
              </w:rPr>
              <w:noBreakHyphen/>
            </w:r>
            <w:r w:rsidR="00415619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>AG par correspondance</w:t>
            </w:r>
          </w:p>
          <w:p w:rsidR="00B27C88" w:rsidRPr="000B76D6" w:rsidRDefault="005578E1" w:rsidP="00C67FF6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iCs/>
                <w:sz w:val="18"/>
                <w:szCs w:val="18"/>
                <w:lang w:val="fr-FR"/>
              </w:rPr>
              <w:t>UPOV/EXN/HRV/2 Draft </w:t>
            </w:r>
            <w:r w:rsidR="00B27C88" w:rsidRPr="000B76D6">
              <w:rPr>
                <w:rFonts w:cs="Arial"/>
                <w:iCs/>
                <w:sz w:val="18"/>
                <w:szCs w:val="18"/>
                <w:lang w:val="fr-FR"/>
              </w:rPr>
              <w:t>2</w:t>
            </w:r>
            <w:r w:rsidR="00B27C88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="00C67FF6">
              <w:rPr>
                <w:rFonts w:cs="Arial"/>
                <w:spacing w:val="-2"/>
                <w:sz w:val="18"/>
                <w:szCs w:val="18"/>
                <w:lang w:val="fr-FR"/>
              </w:rPr>
              <w:t>sera</w:t>
            </w:r>
            <w:r w:rsidR="00415619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 examiné par le CAJ</w:t>
            </w:r>
            <w:r w:rsidR="00DB2441" w:rsidRPr="000B76D6">
              <w:rPr>
                <w:rFonts w:cs="Arial"/>
                <w:spacing w:val="-2"/>
                <w:sz w:val="18"/>
                <w:szCs w:val="18"/>
                <w:lang w:val="fr-FR"/>
              </w:rPr>
              <w:noBreakHyphen/>
            </w:r>
            <w:r w:rsidR="00415619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>AG e</w:t>
            </w:r>
            <w:r w:rsidR="000B76D6">
              <w:rPr>
                <w:rFonts w:cs="Arial"/>
                <w:spacing w:val="-2"/>
                <w:sz w:val="18"/>
                <w:szCs w:val="18"/>
                <w:lang w:val="fr-FR"/>
              </w:rPr>
              <w:t>n </w:t>
            </w:r>
            <w:r w:rsidR="004274E1" w:rsidRPr="000B76D6">
              <w:rPr>
                <w:rFonts w:cs="Arial"/>
                <w:iCs/>
                <w:sz w:val="18"/>
                <w:szCs w:val="18"/>
                <w:lang w:val="fr-FR"/>
              </w:rPr>
              <w:t>octobre </w:t>
            </w:r>
            <w:r w:rsidR="004274E1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>20</w:t>
            </w:r>
            <w:r w:rsidR="00415619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>14</w:t>
            </w:r>
          </w:p>
        </w:tc>
      </w:tr>
      <w:tr w:rsidR="00415619" w:rsidRPr="001E10C8" w:rsidTr="00C67FF6">
        <w:trPr>
          <w:cantSplit/>
          <w:jc w:val="center"/>
        </w:trPr>
        <w:tc>
          <w:tcPr>
            <w:tcW w:w="1741" w:type="dxa"/>
            <w:tcMar>
              <w:bottom w:w="28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UPOV/EXN/NAT</w:t>
            </w:r>
          </w:p>
        </w:tc>
        <w:tc>
          <w:tcPr>
            <w:tcW w:w="4717" w:type="dxa"/>
            <w:tcMar>
              <w:bottom w:w="28" w:type="dxa"/>
            </w:tcMar>
          </w:tcPr>
          <w:p w:rsidR="00B27C88" w:rsidRPr="000B76D6" w:rsidRDefault="009B7215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Notes explicatives sur le traitement national selon l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Acte de</w:t>
            </w:r>
            <w:r w:rsidR="005369C2" w:rsidRPr="000B76D6">
              <w:rPr>
                <w:rFonts w:cs="Arial"/>
                <w:sz w:val="18"/>
                <w:szCs w:val="18"/>
                <w:lang w:val="fr-FR"/>
              </w:rPr>
              <w:t> 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1991 de la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  <w:tcMar>
              <w:bottom w:w="28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UPOV/EXN/NAT/1 </w:t>
            </w:r>
            <w:r w:rsidR="009B7215" w:rsidRPr="000B76D6">
              <w:rPr>
                <w:rFonts w:cs="Arial"/>
                <w:iCs/>
                <w:sz w:val="18"/>
                <w:szCs w:val="18"/>
                <w:lang w:val="fr-FR"/>
              </w:rPr>
              <w:t xml:space="preserve">adopté en </w:t>
            </w:r>
            <w:r w:rsidR="004274E1" w:rsidRPr="000B76D6">
              <w:rPr>
                <w:rFonts w:cs="Arial"/>
                <w:iCs/>
                <w:sz w:val="18"/>
                <w:szCs w:val="18"/>
                <w:lang w:val="fr-FR"/>
              </w:rPr>
              <w:t>octobre 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20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09</w:t>
            </w:r>
          </w:p>
        </w:tc>
      </w:tr>
      <w:tr w:rsidR="00415619" w:rsidRPr="001E10C8" w:rsidTr="00C67FF6">
        <w:trPr>
          <w:cantSplit/>
          <w:jc w:val="center"/>
        </w:trPr>
        <w:tc>
          <w:tcPr>
            <w:tcW w:w="1741" w:type="dxa"/>
            <w:tcMar>
              <w:bottom w:w="28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UPOV/EXN/NOV</w:t>
            </w:r>
          </w:p>
        </w:tc>
        <w:tc>
          <w:tcPr>
            <w:tcW w:w="4717" w:type="dxa"/>
            <w:tcMar>
              <w:bottom w:w="28" w:type="dxa"/>
            </w:tcMar>
          </w:tcPr>
          <w:p w:rsidR="00B27C88" w:rsidRPr="000B76D6" w:rsidRDefault="009B7215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Notes explicatives sur la nouveauté selon la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  <w:tcMar>
              <w:bottom w:w="28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UPOV/EXN/NOV/1 </w:t>
            </w:r>
            <w:r w:rsidR="009B7215" w:rsidRPr="000B76D6">
              <w:rPr>
                <w:rFonts w:cs="Arial"/>
                <w:iCs/>
                <w:sz w:val="18"/>
                <w:szCs w:val="18"/>
                <w:lang w:val="fr-FR"/>
              </w:rPr>
              <w:t xml:space="preserve">adopté en </w:t>
            </w:r>
            <w:r w:rsidR="004274E1" w:rsidRPr="000B76D6">
              <w:rPr>
                <w:rFonts w:cs="Arial"/>
                <w:iCs/>
                <w:sz w:val="18"/>
                <w:szCs w:val="18"/>
                <w:lang w:val="fr-FR"/>
              </w:rPr>
              <w:t>octobre 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20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09</w:t>
            </w:r>
          </w:p>
        </w:tc>
      </w:tr>
      <w:tr w:rsidR="00415619" w:rsidRPr="001E10C8" w:rsidTr="00C67FF6">
        <w:trPr>
          <w:cantSplit/>
          <w:jc w:val="center"/>
        </w:trPr>
        <w:tc>
          <w:tcPr>
            <w:tcW w:w="1741" w:type="dxa"/>
            <w:tcMar>
              <w:bottom w:w="28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UPOV/EXN/NUL</w:t>
            </w:r>
          </w:p>
        </w:tc>
        <w:tc>
          <w:tcPr>
            <w:tcW w:w="4717" w:type="dxa"/>
            <w:tcMar>
              <w:bottom w:w="28" w:type="dxa"/>
            </w:tcMar>
          </w:tcPr>
          <w:p w:rsidR="00B27C88" w:rsidRPr="000B76D6" w:rsidRDefault="009B7215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Notes explicatives sur la nullité du droit d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obtenteur selon la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  <w:tcMar>
              <w:bottom w:w="28" w:type="dxa"/>
            </w:tcMar>
          </w:tcPr>
          <w:p w:rsidR="00B85CBA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UPOV/EXN/NUL/1 </w:t>
            </w:r>
            <w:r w:rsidR="009B7215" w:rsidRPr="000B76D6">
              <w:rPr>
                <w:rFonts w:cs="Arial"/>
                <w:iCs/>
                <w:sz w:val="18"/>
                <w:szCs w:val="18"/>
                <w:lang w:val="fr-FR"/>
              </w:rPr>
              <w:t xml:space="preserve">adopté en </w:t>
            </w:r>
            <w:r w:rsidR="004274E1" w:rsidRPr="000B76D6">
              <w:rPr>
                <w:rFonts w:cs="Arial"/>
                <w:iCs/>
                <w:sz w:val="18"/>
                <w:szCs w:val="18"/>
                <w:lang w:val="fr-FR"/>
              </w:rPr>
              <w:t>octobre 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20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09</w:t>
            </w:r>
          </w:p>
          <w:p w:rsidR="00B85CBA" w:rsidRPr="000B76D6" w:rsidRDefault="00B27C88" w:rsidP="00415619">
            <w:pPr>
              <w:jc w:val="left"/>
              <w:rPr>
                <w:rFonts w:cs="Arial"/>
                <w:spacing w:val="-2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UPOV/EXN/NUL/2</w:t>
            </w:r>
            <w:r w:rsidR="005578E1" w:rsidRPr="000B76D6">
              <w:rPr>
                <w:rFonts w:cs="Arial"/>
                <w:sz w:val="18"/>
                <w:szCs w:val="18"/>
                <w:lang w:val="fr-FR"/>
              </w:rPr>
              <w:t> 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Draft</w:t>
            </w:r>
            <w:r w:rsidR="005578E1" w:rsidRPr="000B76D6">
              <w:rPr>
                <w:rFonts w:cs="Arial"/>
                <w:sz w:val="18"/>
                <w:szCs w:val="18"/>
                <w:lang w:val="fr-FR"/>
              </w:rPr>
              <w:t> 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1</w:t>
            </w:r>
            <w:r w:rsidRPr="000B76D6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="00415619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>examiné par le CAJ</w:t>
            </w:r>
            <w:r w:rsidR="00DB2441" w:rsidRPr="000B76D6">
              <w:rPr>
                <w:rFonts w:cs="Arial"/>
                <w:spacing w:val="-2"/>
                <w:sz w:val="18"/>
                <w:szCs w:val="18"/>
                <w:lang w:val="fr-FR"/>
              </w:rPr>
              <w:noBreakHyphen/>
            </w:r>
            <w:r w:rsidR="00415619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>AG par correspondance</w:t>
            </w:r>
          </w:p>
          <w:p w:rsidR="00B27C88" w:rsidRPr="000B76D6" w:rsidRDefault="005578E1" w:rsidP="00C67FF6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UPOV/EXN/NUL/2 Draft </w:t>
            </w:r>
            <w:r w:rsidR="00B27C88" w:rsidRPr="000B76D6">
              <w:rPr>
                <w:rFonts w:cs="Arial"/>
                <w:sz w:val="18"/>
                <w:szCs w:val="18"/>
                <w:lang w:val="fr-FR"/>
              </w:rPr>
              <w:t>2</w:t>
            </w:r>
            <w:r w:rsidR="00B27C88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="00C67FF6">
              <w:rPr>
                <w:rFonts w:cs="Arial"/>
                <w:spacing w:val="-2"/>
                <w:sz w:val="18"/>
                <w:szCs w:val="18"/>
                <w:lang w:val="fr-FR"/>
              </w:rPr>
              <w:t>sera</w:t>
            </w:r>
            <w:r w:rsidR="00415619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 examiné par le CAJ</w:t>
            </w:r>
            <w:r w:rsidR="00DB2441" w:rsidRPr="000B76D6">
              <w:rPr>
                <w:rFonts w:cs="Arial"/>
                <w:spacing w:val="-2"/>
                <w:sz w:val="18"/>
                <w:szCs w:val="18"/>
                <w:lang w:val="fr-FR"/>
              </w:rPr>
              <w:noBreakHyphen/>
            </w:r>
            <w:r w:rsidR="00C67FF6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AG </w:t>
            </w:r>
            <w:r w:rsidR="00415619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en </w:t>
            </w:r>
            <w:r w:rsidR="004274E1" w:rsidRPr="000B76D6">
              <w:rPr>
                <w:rFonts w:cs="Arial"/>
                <w:iCs/>
                <w:sz w:val="18"/>
                <w:szCs w:val="18"/>
                <w:lang w:val="fr-FR"/>
              </w:rPr>
              <w:t>octobre </w:t>
            </w:r>
            <w:r w:rsidR="004274E1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>20</w:t>
            </w:r>
            <w:r w:rsidR="00415619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>14</w:t>
            </w:r>
          </w:p>
        </w:tc>
      </w:tr>
      <w:tr w:rsidR="00415619" w:rsidRPr="001E10C8" w:rsidTr="00C67FF6">
        <w:trPr>
          <w:cantSplit/>
          <w:jc w:val="center"/>
        </w:trPr>
        <w:tc>
          <w:tcPr>
            <w:tcW w:w="1741" w:type="dxa"/>
            <w:tcBorders>
              <w:bottom w:val="single" w:sz="2" w:space="0" w:color="auto"/>
            </w:tcBorders>
            <w:tcMar>
              <w:bottom w:w="28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UPOV/EXN/PPM</w:t>
            </w:r>
          </w:p>
        </w:tc>
        <w:tc>
          <w:tcPr>
            <w:tcW w:w="4717" w:type="dxa"/>
            <w:tcBorders>
              <w:bottom w:val="single" w:sz="2" w:space="0" w:color="auto"/>
            </w:tcBorders>
            <w:tcMar>
              <w:bottom w:w="28" w:type="dxa"/>
            </w:tcMar>
          </w:tcPr>
          <w:p w:rsidR="00B27C88" w:rsidRPr="000B76D6" w:rsidRDefault="00415619" w:rsidP="00415619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Matériel de reproduction ou de multiplication selon la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  <w:tcBorders>
              <w:bottom w:val="single" w:sz="2" w:space="0" w:color="auto"/>
            </w:tcBorders>
            <w:tcMar>
              <w:bottom w:w="28" w:type="dxa"/>
            </w:tcMar>
          </w:tcPr>
          <w:p w:rsidR="00B85CBA" w:rsidRPr="000B76D6" w:rsidRDefault="00B27C88" w:rsidP="00415619">
            <w:pPr>
              <w:jc w:val="left"/>
              <w:rPr>
                <w:rFonts w:cs="Arial"/>
                <w:spacing w:val="-2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UPOV/EXN/PPM Draft 2 </w:t>
            </w:r>
            <w:r w:rsidR="00415619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>examiné par le CAJ</w:t>
            </w:r>
            <w:r w:rsidR="00DB2441" w:rsidRPr="000B76D6">
              <w:rPr>
                <w:rFonts w:cs="Arial"/>
                <w:spacing w:val="-2"/>
                <w:sz w:val="18"/>
                <w:szCs w:val="18"/>
                <w:lang w:val="fr-FR"/>
              </w:rPr>
              <w:noBreakHyphen/>
            </w:r>
            <w:r w:rsidR="00415619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>AG par correspondance</w:t>
            </w:r>
          </w:p>
          <w:p w:rsidR="00B27C88" w:rsidRPr="000B76D6" w:rsidRDefault="00B27C88" w:rsidP="00C67FF6">
            <w:pPr>
              <w:jc w:val="left"/>
              <w:rPr>
                <w:rFonts w:cs="Arial"/>
                <w:spacing w:val="-2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pacing w:val="-2"/>
                <w:sz w:val="18"/>
                <w:szCs w:val="18"/>
                <w:lang w:val="fr-FR"/>
              </w:rPr>
              <w:t>UPOV/EXN/PPM</w:t>
            </w:r>
            <w:r w:rsidR="006B3F92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>/1</w:t>
            </w:r>
            <w:r w:rsidRPr="000B76D6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 Draft 3 </w:t>
            </w:r>
            <w:r w:rsidR="00C67FF6">
              <w:rPr>
                <w:rFonts w:cs="Arial"/>
                <w:spacing w:val="-2"/>
                <w:sz w:val="18"/>
                <w:szCs w:val="18"/>
                <w:lang w:val="fr-FR"/>
              </w:rPr>
              <w:t>sera</w:t>
            </w:r>
            <w:r w:rsidR="00415619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 examiné par le CAJ</w:t>
            </w:r>
            <w:r w:rsidR="00DB2441" w:rsidRPr="000B76D6">
              <w:rPr>
                <w:rFonts w:cs="Arial"/>
                <w:spacing w:val="-2"/>
                <w:sz w:val="18"/>
                <w:szCs w:val="18"/>
                <w:lang w:val="fr-FR"/>
              </w:rPr>
              <w:noBreakHyphen/>
            </w:r>
            <w:r w:rsidR="00415619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AG en </w:t>
            </w:r>
            <w:r w:rsidR="004274E1" w:rsidRPr="000B76D6">
              <w:rPr>
                <w:rFonts w:cs="Arial"/>
                <w:iCs/>
                <w:sz w:val="18"/>
                <w:szCs w:val="18"/>
                <w:lang w:val="fr-FR"/>
              </w:rPr>
              <w:t>octobre </w:t>
            </w:r>
            <w:r w:rsidR="004274E1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>20</w:t>
            </w:r>
            <w:r w:rsidR="00415619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>14</w:t>
            </w:r>
          </w:p>
        </w:tc>
      </w:tr>
      <w:tr w:rsidR="00415619" w:rsidRPr="001E10C8" w:rsidTr="00C67FF6">
        <w:trPr>
          <w:cantSplit/>
          <w:jc w:val="center"/>
        </w:trPr>
        <w:tc>
          <w:tcPr>
            <w:tcW w:w="1741" w:type="dxa"/>
            <w:tcMar>
              <w:bottom w:w="28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UPOV/EXN/PRI</w:t>
            </w:r>
          </w:p>
        </w:tc>
        <w:tc>
          <w:tcPr>
            <w:tcW w:w="4717" w:type="dxa"/>
            <w:tcMar>
              <w:bottom w:w="28" w:type="dxa"/>
            </w:tcMar>
          </w:tcPr>
          <w:p w:rsidR="00B27C88" w:rsidRPr="000B76D6" w:rsidRDefault="009B7215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Notes explicatives sur le droit de priorité selon la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  <w:tcMar>
              <w:bottom w:w="28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UPOV/EXN/PRI/1 </w:t>
            </w:r>
            <w:r w:rsidR="009B7215" w:rsidRPr="000B76D6">
              <w:rPr>
                <w:rFonts w:cs="Arial"/>
                <w:iCs/>
                <w:sz w:val="18"/>
                <w:szCs w:val="18"/>
                <w:lang w:val="fr-FR"/>
              </w:rPr>
              <w:t xml:space="preserve">adopté en </w:t>
            </w:r>
            <w:r w:rsidR="004274E1" w:rsidRPr="000B76D6">
              <w:rPr>
                <w:rFonts w:cs="Arial"/>
                <w:iCs/>
                <w:sz w:val="18"/>
                <w:szCs w:val="18"/>
                <w:lang w:val="fr-FR"/>
              </w:rPr>
              <w:t>octobre 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20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09</w:t>
            </w:r>
          </w:p>
        </w:tc>
      </w:tr>
      <w:tr w:rsidR="00415619" w:rsidRPr="001E10C8" w:rsidTr="00C67FF6">
        <w:trPr>
          <w:cantSplit/>
          <w:jc w:val="center"/>
        </w:trPr>
        <w:tc>
          <w:tcPr>
            <w:tcW w:w="1741" w:type="dxa"/>
            <w:tcMar>
              <w:bottom w:w="28" w:type="dxa"/>
            </w:tcMar>
          </w:tcPr>
          <w:p w:rsidR="00B27C88" w:rsidRPr="000B76D6" w:rsidRDefault="00B27C88" w:rsidP="00C67FF6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UPOV/EXN/PRP</w:t>
            </w:r>
          </w:p>
        </w:tc>
        <w:tc>
          <w:tcPr>
            <w:tcW w:w="4717" w:type="dxa"/>
            <w:tcMar>
              <w:bottom w:w="28" w:type="dxa"/>
            </w:tcMar>
          </w:tcPr>
          <w:p w:rsidR="00B27C88" w:rsidRPr="000B76D6" w:rsidRDefault="009B7215" w:rsidP="00C67FF6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Notes explicatives sur la protection provisoire selon la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  <w:tcMar>
              <w:bottom w:w="28" w:type="dxa"/>
            </w:tcMar>
          </w:tcPr>
          <w:p w:rsidR="00B85CBA" w:rsidRPr="000B76D6" w:rsidRDefault="00B27C88" w:rsidP="00C67FF6">
            <w:pPr>
              <w:jc w:val="left"/>
              <w:rPr>
                <w:rFonts w:cs="Arial"/>
                <w:spacing w:val="-2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UPOV/EXN/PRP/1 </w:t>
            </w:r>
            <w:r w:rsidR="009B7215" w:rsidRPr="000B76D6">
              <w:rPr>
                <w:rFonts w:cs="Arial"/>
                <w:iCs/>
                <w:sz w:val="18"/>
                <w:szCs w:val="18"/>
                <w:lang w:val="fr-FR"/>
              </w:rPr>
              <w:t xml:space="preserve">adopté en </w:t>
            </w:r>
            <w:r w:rsidR="004274E1" w:rsidRPr="000B76D6">
              <w:rPr>
                <w:rFonts w:cs="Arial"/>
                <w:iCs/>
                <w:sz w:val="18"/>
                <w:szCs w:val="18"/>
                <w:lang w:val="fr-FR"/>
              </w:rPr>
              <w:t>octobre 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20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09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br/>
            </w:r>
            <w:r w:rsidRPr="000B76D6">
              <w:rPr>
                <w:rFonts w:cs="Arial"/>
                <w:spacing w:val="-2"/>
                <w:sz w:val="18"/>
                <w:szCs w:val="18"/>
                <w:lang w:val="fr-FR"/>
              </w:rPr>
              <w:t>UPOV/EXN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/PRP/2</w:t>
            </w:r>
            <w:r w:rsidR="005578E1" w:rsidRPr="000B76D6">
              <w:rPr>
                <w:rFonts w:cs="Arial"/>
                <w:sz w:val="18"/>
                <w:szCs w:val="18"/>
                <w:lang w:val="fr-FR"/>
              </w:rPr>
              <w:t> </w:t>
            </w:r>
            <w:r w:rsidRPr="000B76D6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Draft 1 </w:t>
            </w:r>
            <w:r w:rsidR="00415619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>examiné par le CAJ</w:t>
            </w:r>
            <w:r w:rsidR="00DB2441" w:rsidRPr="000B76D6">
              <w:rPr>
                <w:rFonts w:cs="Arial"/>
                <w:spacing w:val="-2"/>
                <w:sz w:val="18"/>
                <w:szCs w:val="18"/>
                <w:lang w:val="fr-FR"/>
              </w:rPr>
              <w:noBreakHyphen/>
            </w:r>
            <w:r w:rsidR="00415619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>AG par correspondance</w:t>
            </w:r>
          </w:p>
          <w:p w:rsidR="00B27C88" w:rsidRPr="000B76D6" w:rsidRDefault="00B27C88" w:rsidP="00C67FF6">
            <w:pPr>
              <w:jc w:val="left"/>
              <w:rPr>
                <w:rFonts w:cs="Arial"/>
                <w:spacing w:val="-2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pacing w:val="-2"/>
                <w:sz w:val="18"/>
                <w:szCs w:val="18"/>
                <w:lang w:val="fr-FR"/>
              </w:rPr>
              <w:t>UPOV/EXN/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PRP/2</w:t>
            </w:r>
            <w:r w:rsidR="005578E1" w:rsidRPr="000B76D6">
              <w:rPr>
                <w:rFonts w:cs="Arial"/>
                <w:sz w:val="18"/>
                <w:szCs w:val="18"/>
                <w:lang w:val="fr-FR"/>
              </w:rPr>
              <w:t> </w:t>
            </w:r>
            <w:r w:rsidRPr="000B76D6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Draft 2 </w:t>
            </w:r>
            <w:r w:rsidR="00C67FF6">
              <w:rPr>
                <w:rFonts w:cs="Arial"/>
                <w:spacing w:val="-2"/>
                <w:sz w:val="18"/>
                <w:szCs w:val="18"/>
                <w:lang w:val="fr-FR"/>
              </w:rPr>
              <w:t>sera</w:t>
            </w:r>
            <w:r w:rsidR="00415619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 examiné par le CAJ</w:t>
            </w:r>
            <w:r w:rsidR="00DB2441" w:rsidRPr="000B76D6">
              <w:rPr>
                <w:rFonts w:cs="Arial"/>
                <w:spacing w:val="-2"/>
                <w:sz w:val="18"/>
                <w:szCs w:val="18"/>
                <w:lang w:val="fr-FR"/>
              </w:rPr>
              <w:noBreakHyphen/>
            </w:r>
            <w:r w:rsidR="00415619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AG en </w:t>
            </w:r>
            <w:r w:rsidR="004274E1" w:rsidRPr="000B76D6">
              <w:rPr>
                <w:rFonts w:cs="Arial"/>
                <w:iCs/>
                <w:sz w:val="18"/>
                <w:szCs w:val="18"/>
                <w:lang w:val="fr-FR"/>
              </w:rPr>
              <w:t>octobre </w:t>
            </w:r>
            <w:r w:rsidR="004274E1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>20</w:t>
            </w:r>
            <w:r w:rsidR="00415619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>14</w:t>
            </w:r>
          </w:p>
        </w:tc>
      </w:tr>
      <w:tr w:rsidR="00415619" w:rsidRPr="001E10C8" w:rsidTr="00C67FF6">
        <w:trPr>
          <w:cantSplit/>
          <w:jc w:val="center"/>
        </w:trPr>
        <w:tc>
          <w:tcPr>
            <w:tcW w:w="1741" w:type="dxa"/>
            <w:tcBorders>
              <w:bottom w:val="single" w:sz="2" w:space="0" w:color="auto"/>
            </w:tcBorders>
            <w:tcMar>
              <w:bottom w:w="28" w:type="dxa"/>
            </w:tcMar>
          </w:tcPr>
          <w:p w:rsidR="00B27C88" w:rsidRPr="000B76D6" w:rsidRDefault="00B27C88" w:rsidP="00C67FF6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UPOV/EXN/VAR</w:t>
            </w:r>
          </w:p>
        </w:tc>
        <w:tc>
          <w:tcPr>
            <w:tcW w:w="4717" w:type="dxa"/>
            <w:tcBorders>
              <w:bottom w:val="single" w:sz="2" w:space="0" w:color="auto"/>
            </w:tcBorders>
            <w:tcMar>
              <w:bottom w:w="28" w:type="dxa"/>
            </w:tcMar>
          </w:tcPr>
          <w:p w:rsidR="00B27C88" w:rsidRPr="000B76D6" w:rsidRDefault="009B7215" w:rsidP="00C67FF6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Notes explicatives sur la définition de la variété selon l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Acte de</w:t>
            </w:r>
            <w:r w:rsidR="005369C2" w:rsidRPr="000B76D6">
              <w:rPr>
                <w:rFonts w:cs="Arial"/>
                <w:sz w:val="18"/>
                <w:szCs w:val="18"/>
                <w:lang w:val="fr-FR"/>
              </w:rPr>
              <w:t> 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1991 de la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  <w:tcBorders>
              <w:bottom w:val="single" w:sz="2" w:space="0" w:color="auto"/>
            </w:tcBorders>
            <w:tcMar>
              <w:bottom w:w="28" w:type="dxa"/>
            </w:tcMar>
          </w:tcPr>
          <w:p w:rsidR="00B27C88" w:rsidRPr="000B76D6" w:rsidRDefault="00B27C88" w:rsidP="00C67FF6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UPOV/EXN/VAR/1 </w:t>
            </w:r>
            <w:r w:rsidR="009B7215" w:rsidRPr="000B76D6">
              <w:rPr>
                <w:rFonts w:cs="Arial"/>
                <w:iCs/>
                <w:sz w:val="18"/>
                <w:szCs w:val="18"/>
                <w:lang w:val="fr-FR"/>
              </w:rPr>
              <w:t xml:space="preserve">adopté en </w:t>
            </w:r>
            <w:r w:rsidR="004274E1" w:rsidRPr="000B76D6">
              <w:rPr>
                <w:rFonts w:cs="Arial"/>
                <w:iCs/>
                <w:sz w:val="18"/>
                <w:szCs w:val="18"/>
                <w:lang w:val="fr-FR"/>
              </w:rPr>
              <w:t>octobre 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20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10</w:t>
            </w:r>
          </w:p>
        </w:tc>
      </w:tr>
    </w:tbl>
    <w:p w:rsidR="00B85CBA" w:rsidRPr="006140CC" w:rsidRDefault="00B27C88" w:rsidP="00B27C88">
      <w:pPr>
        <w:rPr>
          <w:lang w:val="fr-FR"/>
        </w:rPr>
      </w:pPr>
      <w:r w:rsidRPr="006140CC">
        <w:rPr>
          <w:sz w:val="18"/>
          <w:szCs w:val="18"/>
          <w:lang w:val="fr-FR"/>
        </w:rPr>
        <w:br w:type="page"/>
      </w:r>
      <w:r w:rsidRPr="006140CC">
        <w:rPr>
          <w:lang w:val="fr-FR"/>
        </w:rPr>
        <w:lastRenderedPageBreak/>
        <w:t>DOCUMENTS</w:t>
      </w:r>
      <w:r w:rsidR="00415619" w:rsidRPr="006140CC">
        <w:rPr>
          <w:lang w:val="fr-FR"/>
        </w:rPr>
        <w:t xml:space="preserve"> D</w:t>
      </w:r>
      <w:r w:rsidR="004274E1" w:rsidRPr="006140CC">
        <w:rPr>
          <w:lang w:val="fr-FR"/>
        </w:rPr>
        <w:t>’</w:t>
      </w:r>
      <w:r w:rsidR="00415619" w:rsidRPr="006140CC">
        <w:rPr>
          <w:lang w:val="fr-FR"/>
        </w:rPr>
        <w:t>INFORMATION</w:t>
      </w:r>
    </w:p>
    <w:p w:rsidR="00B27C88" w:rsidRPr="006140CC" w:rsidRDefault="00B27C88" w:rsidP="00B27C88">
      <w:pPr>
        <w:rPr>
          <w:lang w:val="fr-FR"/>
        </w:rPr>
      </w:pPr>
    </w:p>
    <w:tbl>
      <w:tblPr>
        <w:tblW w:w="1048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758"/>
        <w:gridCol w:w="4807"/>
        <w:gridCol w:w="3920"/>
      </w:tblGrid>
      <w:tr w:rsidR="00415619" w:rsidRPr="000B76D6" w:rsidTr="00442EB3">
        <w:trPr>
          <w:cantSplit/>
          <w:tblHeader/>
          <w:jc w:val="center"/>
        </w:trPr>
        <w:tc>
          <w:tcPr>
            <w:tcW w:w="17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bottom w:w="11" w:type="dxa"/>
            </w:tcMar>
          </w:tcPr>
          <w:p w:rsidR="00B27C88" w:rsidRPr="000B76D6" w:rsidRDefault="00C67FF6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Références les plus récentes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bottom w:w="11" w:type="dxa"/>
            </w:tcMar>
          </w:tcPr>
          <w:p w:rsidR="00B27C88" w:rsidRPr="000B76D6" w:rsidRDefault="00C67FF6" w:rsidP="00C67FF6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D</w:t>
            </w:r>
            <w:r w:rsidR="00B27C88" w:rsidRPr="000B76D6">
              <w:rPr>
                <w:rFonts w:cs="Arial"/>
                <w:sz w:val="18"/>
                <w:szCs w:val="18"/>
                <w:lang w:val="fr-FR"/>
              </w:rPr>
              <w:t>ocuments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d’information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bottom w:w="11" w:type="dxa"/>
            </w:tcMar>
          </w:tcPr>
          <w:p w:rsidR="00B27C88" w:rsidRPr="000B76D6" w:rsidRDefault="00C67FF6" w:rsidP="000B76D6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État d’avancement</w:t>
            </w:r>
          </w:p>
        </w:tc>
      </w:tr>
      <w:tr w:rsidR="00415619" w:rsidRPr="001E10C8" w:rsidTr="00442EB3">
        <w:trPr>
          <w:cantSplit/>
          <w:jc w:val="center"/>
        </w:trPr>
        <w:tc>
          <w:tcPr>
            <w:tcW w:w="1758" w:type="dxa"/>
            <w:tcMar>
              <w:bottom w:w="11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UPOV/INF</w:t>
            </w:r>
            <w:r w:rsidR="00DB2441" w:rsidRPr="000B76D6">
              <w:rPr>
                <w:rFonts w:cs="Arial"/>
                <w:sz w:val="18"/>
                <w:szCs w:val="18"/>
                <w:lang w:val="fr-FR"/>
              </w:rPr>
              <w:noBreakHyphen/>
            </w:r>
            <w:r w:rsidRPr="000B76D6">
              <w:rPr>
                <w:rFonts w:cs="Arial"/>
                <w:sz w:val="18"/>
                <w:szCs w:val="18"/>
                <w:lang w:val="fr-FR"/>
              </w:rPr>
              <w:t>EXN</w:t>
            </w:r>
          </w:p>
        </w:tc>
        <w:tc>
          <w:tcPr>
            <w:tcW w:w="4807" w:type="dxa"/>
            <w:tcMar>
              <w:bottom w:w="11" w:type="dxa"/>
            </w:tcMar>
          </w:tcPr>
          <w:p w:rsidR="00B27C88" w:rsidRPr="000B76D6" w:rsidRDefault="00415619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Liste des documents UPOV/INF</w:t>
            </w:r>
            <w:r w:rsidR="00DB2441" w:rsidRPr="000B76D6">
              <w:rPr>
                <w:rFonts w:cs="Arial"/>
                <w:sz w:val="18"/>
                <w:szCs w:val="18"/>
                <w:lang w:val="fr-FR"/>
              </w:rPr>
              <w:noBreakHyphen/>
            </w:r>
            <w:r w:rsidRPr="000B76D6">
              <w:rPr>
                <w:rFonts w:cs="Arial"/>
                <w:sz w:val="18"/>
                <w:szCs w:val="18"/>
                <w:lang w:val="fr-FR"/>
              </w:rPr>
              <w:t>EXN et date de la version la plus récente de ces documents</w:t>
            </w:r>
          </w:p>
        </w:tc>
        <w:tc>
          <w:tcPr>
            <w:tcW w:w="3920" w:type="dxa"/>
            <w:tcMar>
              <w:bottom w:w="11" w:type="dxa"/>
            </w:tcMar>
          </w:tcPr>
          <w:p w:rsidR="00B27C88" w:rsidRPr="000B76D6" w:rsidRDefault="00B27C88" w:rsidP="00C67FF6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UPOV/INF</w:t>
            </w:r>
            <w:r w:rsidR="00DB2441" w:rsidRPr="000B76D6">
              <w:rPr>
                <w:rFonts w:cs="Arial"/>
                <w:sz w:val="18"/>
                <w:szCs w:val="18"/>
                <w:lang w:val="fr-FR"/>
              </w:rPr>
              <w:noBreakHyphen/>
            </w:r>
            <w:r w:rsidRPr="000B76D6">
              <w:rPr>
                <w:rFonts w:cs="Arial"/>
                <w:sz w:val="18"/>
                <w:szCs w:val="18"/>
                <w:lang w:val="fr-FR"/>
              </w:rPr>
              <w:t>EXN/5 adopt</w:t>
            </w:r>
            <w:r w:rsidR="00415619" w:rsidRPr="000B76D6">
              <w:rPr>
                <w:rFonts w:cs="Arial"/>
                <w:sz w:val="18"/>
                <w:szCs w:val="18"/>
                <w:lang w:val="fr-FR"/>
              </w:rPr>
              <w:t xml:space="preserve">é en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octobre 20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13</w:t>
            </w:r>
            <w:r w:rsidR="006B3F92" w:rsidRPr="000B76D6">
              <w:rPr>
                <w:rFonts w:cs="Arial"/>
                <w:sz w:val="18"/>
                <w:szCs w:val="18"/>
                <w:lang w:val="fr-FR"/>
              </w:rPr>
              <w:br/>
              <w:t>UPOV/INF</w:t>
            </w:r>
            <w:r w:rsidR="00DB2441" w:rsidRPr="000B76D6">
              <w:rPr>
                <w:rFonts w:cs="Arial"/>
                <w:sz w:val="18"/>
                <w:szCs w:val="18"/>
                <w:lang w:val="fr-FR"/>
              </w:rPr>
              <w:noBreakHyphen/>
            </w:r>
            <w:r w:rsidR="006B3F92" w:rsidRPr="000B76D6">
              <w:rPr>
                <w:rFonts w:cs="Arial"/>
                <w:sz w:val="18"/>
                <w:szCs w:val="18"/>
                <w:lang w:val="fr-FR"/>
              </w:rPr>
              <w:t>EXN/6</w:t>
            </w:r>
            <w:r w:rsidR="005578E1" w:rsidRPr="000B76D6">
              <w:rPr>
                <w:rFonts w:cs="Arial"/>
                <w:sz w:val="18"/>
                <w:szCs w:val="18"/>
                <w:lang w:val="fr-FR"/>
              </w:rPr>
              <w:t> </w:t>
            </w:r>
            <w:r w:rsidR="006B3F92" w:rsidRPr="000B76D6">
              <w:rPr>
                <w:rFonts w:cs="Arial"/>
                <w:sz w:val="18"/>
                <w:szCs w:val="18"/>
                <w:lang w:val="fr-FR"/>
              </w:rPr>
              <w:t>Draft</w:t>
            </w:r>
            <w:r w:rsidR="005578E1" w:rsidRPr="000B76D6">
              <w:rPr>
                <w:rFonts w:cs="Arial"/>
                <w:sz w:val="18"/>
                <w:szCs w:val="18"/>
                <w:lang w:val="fr-FR"/>
              </w:rPr>
              <w:t> </w:t>
            </w:r>
            <w:r w:rsidR="006B3F92" w:rsidRPr="000B76D6">
              <w:rPr>
                <w:rFonts w:cs="Arial"/>
                <w:sz w:val="18"/>
                <w:szCs w:val="18"/>
                <w:lang w:val="fr-FR"/>
              </w:rPr>
              <w:t xml:space="preserve">1 </w:t>
            </w:r>
            <w:r w:rsidR="00C67FF6">
              <w:rPr>
                <w:rFonts w:cs="Arial"/>
                <w:sz w:val="18"/>
                <w:szCs w:val="18"/>
                <w:lang w:val="fr-FR"/>
              </w:rPr>
              <w:t>sera</w:t>
            </w:r>
            <w:r w:rsidR="00415619" w:rsidRPr="000B76D6">
              <w:rPr>
                <w:rFonts w:cs="Arial"/>
                <w:sz w:val="18"/>
                <w:szCs w:val="18"/>
                <w:lang w:val="fr-FR"/>
              </w:rPr>
              <w:t xml:space="preserve"> examiné par le Conseil en octobre 2014</w:t>
            </w:r>
          </w:p>
        </w:tc>
      </w:tr>
      <w:tr w:rsidR="00415619" w:rsidRPr="001E10C8" w:rsidTr="00442EB3">
        <w:trPr>
          <w:cantSplit/>
          <w:jc w:val="center"/>
        </w:trPr>
        <w:tc>
          <w:tcPr>
            <w:tcW w:w="1758" w:type="dxa"/>
            <w:tcMar>
              <w:bottom w:w="11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UPOV/INF/4</w:t>
            </w:r>
          </w:p>
        </w:tc>
        <w:tc>
          <w:tcPr>
            <w:tcW w:w="4807" w:type="dxa"/>
            <w:tcMar>
              <w:bottom w:w="11" w:type="dxa"/>
            </w:tcMar>
          </w:tcPr>
          <w:p w:rsidR="00B27C88" w:rsidRPr="000B76D6" w:rsidRDefault="00415619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Règlement financier et règlement d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exécution du Règlement financier de l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UPOV</w:t>
            </w:r>
          </w:p>
        </w:tc>
        <w:tc>
          <w:tcPr>
            <w:tcW w:w="3920" w:type="dxa"/>
            <w:tcMar>
              <w:bottom w:w="11" w:type="dxa"/>
            </w:tcMar>
          </w:tcPr>
          <w:p w:rsidR="00B27C88" w:rsidRPr="000B76D6" w:rsidRDefault="00B27C88" w:rsidP="00415619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UPOV/INF/4/3 </w:t>
            </w:r>
            <w:r w:rsidR="00415619" w:rsidRPr="000B76D6">
              <w:rPr>
                <w:rFonts w:cs="Arial"/>
                <w:sz w:val="18"/>
                <w:szCs w:val="18"/>
                <w:lang w:val="fr-FR"/>
              </w:rPr>
              <w:t xml:space="preserve">adopté en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mars 20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13</w:t>
            </w:r>
          </w:p>
        </w:tc>
      </w:tr>
      <w:tr w:rsidR="00415619" w:rsidRPr="001E10C8" w:rsidTr="00442EB3">
        <w:trPr>
          <w:cantSplit/>
          <w:jc w:val="center"/>
        </w:trPr>
        <w:tc>
          <w:tcPr>
            <w:tcW w:w="1758" w:type="dxa"/>
            <w:tcMar>
              <w:bottom w:w="11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UPOV/INF/5</w:t>
            </w:r>
          </w:p>
        </w:tc>
        <w:tc>
          <w:tcPr>
            <w:tcW w:w="4807" w:type="dxa"/>
            <w:tcMar>
              <w:bottom w:w="11" w:type="dxa"/>
            </w:tcMar>
          </w:tcPr>
          <w:p w:rsidR="00B27C88" w:rsidRPr="000B76D6" w:rsidRDefault="00415619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Bulletin type de l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UPOV de la protection des obtentions végétales</w:t>
            </w:r>
          </w:p>
        </w:tc>
        <w:tc>
          <w:tcPr>
            <w:tcW w:w="3920" w:type="dxa"/>
            <w:tcMar>
              <w:bottom w:w="11" w:type="dxa"/>
            </w:tcMar>
          </w:tcPr>
          <w:p w:rsidR="00B85CBA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UPOV/INF/5 </w:t>
            </w:r>
            <w:r w:rsidR="00415619" w:rsidRPr="000B76D6">
              <w:rPr>
                <w:rFonts w:cs="Arial"/>
                <w:sz w:val="18"/>
                <w:szCs w:val="18"/>
                <w:lang w:val="fr-FR"/>
              </w:rPr>
              <w:t xml:space="preserve">adopté en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octobre 19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79</w:t>
            </w:r>
          </w:p>
          <w:p w:rsidR="00B27C88" w:rsidRPr="000B76D6" w:rsidRDefault="00B27C88" w:rsidP="00C67FF6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(</w:t>
            </w:r>
            <w:r w:rsidR="00415619" w:rsidRPr="000B76D6">
              <w:rPr>
                <w:rFonts w:cs="Arial"/>
                <w:sz w:val="18"/>
                <w:szCs w:val="18"/>
                <w:lang w:val="fr-FR"/>
              </w:rPr>
              <w:t>La révision du document UPOV/INF/5 sera e</w:t>
            </w:r>
            <w:r w:rsidR="00C67FF6">
              <w:rPr>
                <w:rFonts w:cs="Arial"/>
                <w:sz w:val="18"/>
                <w:szCs w:val="18"/>
                <w:lang w:val="fr-FR"/>
              </w:rPr>
              <w:t>xamin</w:t>
            </w:r>
            <w:r w:rsidR="00415619" w:rsidRPr="000B76D6">
              <w:rPr>
                <w:rFonts w:cs="Arial"/>
                <w:sz w:val="18"/>
                <w:szCs w:val="18"/>
                <w:lang w:val="fr-FR"/>
              </w:rPr>
              <w:t>ée par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 xml:space="preserve"> le CAJ</w:t>
            </w:r>
            <w:r w:rsidR="00415619" w:rsidRPr="000B76D6">
              <w:rPr>
                <w:rFonts w:cs="Arial"/>
                <w:sz w:val="18"/>
                <w:szCs w:val="18"/>
                <w:lang w:val="fr-FR"/>
              </w:rPr>
              <w:t xml:space="preserve"> en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mars 20</w:t>
            </w:r>
            <w:r w:rsidR="00415619" w:rsidRPr="000B76D6">
              <w:rPr>
                <w:rFonts w:cs="Arial"/>
                <w:sz w:val="18"/>
                <w:szCs w:val="18"/>
                <w:lang w:val="fr-FR"/>
              </w:rPr>
              <w:t>15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 xml:space="preserve"> – </w:t>
            </w:r>
            <w:r w:rsidR="00415619" w:rsidRPr="000B76D6">
              <w:rPr>
                <w:rFonts w:cs="Arial"/>
                <w:sz w:val="18"/>
                <w:szCs w:val="18"/>
                <w:lang w:val="fr-FR"/>
              </w:rPr>
              <w:t>voir le document CAJ/70/3)</w:t>
            </w:r>
          </w:p>
        </w:tc>
      </w:tr>
      <w:tr w:rsidR="00415619" w:rsidRPr="001E10C8" w:rsidTr="00442EB3">
        <w:trPr>
          <w:cantSplit/>
          <w:jc w:val="center"/>
        </w:trPr>
        <w:tc>
          <w:tcPr>
            <w:tcW w:w="1758" w:type="dxa"/>
            <w:tcMar>
              <w:bottom w:w="11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UPOV/INF/6</w:t>
            </w:r>
          </w:p>
        </w:tc>
        <w:tc>
          <w:tcPr>
            <w:tcW w:w="4807" w:type="dxa"/>
            <w:tcMar>
              <w:bottom w:w="11" w:type="dxa"/>
            </w:tcMar>
          </w:tcPr>
          <w:p w:rsidR="00B27C88" w:rsidRPr="000B76D6" w:rsidRDefault="00415619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Orientations en vue de la rédaction de lois fondées sur l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Acte de</w:t>
            </w:r>
            <w:r w:rsidR="005369C2" w:rsidRPr="000B76D6">
              <w:rPr>
                <w:rFonts w:cs="Arial"/>
                <w:sz w:val="18"/>
                <w:szCs w:val="18"/>
                <w:lang w:val="fr-FR"/>
              </w:rPr>
              <w:t> 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1991 de la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20" w:type="dxa"/>
            <w:tcMar>
              <w:bottom w:w="11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UPOV/INF/6/3 </w:t>
            </w:r>
            <w:r w:rsidR="00415619" w:rsidRPr="000B76D6">
              <w:rPr>
                <w:rFonts w:cs="Arial"/>
                <w:sz w:val="18"/>
                <w:szCs w:val="18"/>
                <w:lang w:val="fr-FR"/>
              </w:rPr>
              <w:t xml:space="preserve">adopté en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octobre 20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13</w:t>
            </w:r>
          </w:p>
        </w:tc>
      </w:tr>
      <w:tr w:rsidR="00415619" w:rsidRPr="001E10C8" w:rsidTr="00442EB3">
        <w:trPr>
          <w:cantSplit/>
          <w:jc w:val="center"/>
        </w:trPr>
        <w:tc>
          <w:tcPr>
            <w:tcW w:w="1758" w:type="dxa"/>
            <w:tcMar>
              <w:bottom w:w="11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UPOV/INF/7</w:t>
            </w:r>
          </w:p>
        </w:tc>
        <w:tc>
          <w:tcPr>
            <w:tcW w:w="4807" w:type="dxa"/>
            <w:tcMar>
              <w:bottom w:w="11" w:type="dxa"/>
            </w:tcMar>
          </w:tcPr>
          <w:p w:rsidR="00B27C88" w:rsidRPr="000B76D6" w:rsidRDefault="00415619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Règlement au Conseil</w:t>
            </w:r>
          </w:p>
        </w:tc>
        <w:tc>
          <w:tcPr>
            <w:tcW w:w="3920" w:type="dxa"/>
            <w:tcMar>
              <w:bottom w:w="11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UPOV/INF/7 </w:t>
            </w:r>
            <w:r w:rsidR="00415619" w:rsidRPr="000B76D6">
              <w:rPr>
                <w:rFonts w:cs="Arial"/>
                <w:sz w:val="18"/>
                <w:szCs w:val="18"/>
                <w:lang w:val="fr-FR"/>
              </w:rPr>
              <w:t xml:space="preserve">adopté en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octobre 19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82</w:t>
            </w:r>
          </w:p>
        </w:tc>
      </w:tr>
      <w:tr w:rsidR="00415619" w:rsidRPr="001E10C8" w:rsidTr="00442EB3">
        <w:trPr>
          <w:cantSplit/>
          <w:jc w:val="center"/>
        </w:trPr>
        <w:tc>
          <w:tcPr>
            <w:tcW w:w="1758" w:type="dxa"/>
            <w:tcMar>
              <w:bottom w:w="11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UPOV/INF/8</w:t>
            </w:r>
          </w:p>
        </w:tc>
        <w:tc>
          <w:tcPr>
            <w:tcW w:w="4807" w:type="dxa"/>
            <w:tcMar>
              <w:bottom w:w="11" w:type="dxa"/>
            </w:tcMar>
          </w:tcPr>
          <w:p w:rsidR="00B27C88" w:rsidRPr="000B76D6" w:rsidRDefault="00415619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Accord entre l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Organisation mondiale de la propriété intellectuelle et l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Union internationale pour la protection des obtentions végétales signé le 2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6 novembre 19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82</w:t>
            </w:r>
          </w:p>
        </w:tc>
        <w:tc>
          <w:tcPr>
            <w:tcW w:w="3920" w:type="dxa"/>
            <w:tcMar>
              <w:bottom w:w="11" w:type="dxa"/>
            </w:tcMar>
          </w:tcPr>
          <w:p w:rsidR="00B27C88" w:rsidRPr="000B76D6" w:rsidRDefault="00B27C88" w:rsidP="00415619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UPOV/INF/8 </w:t>
            </w:r>
            <w:r w:rsidR="00415619" w:rsidRPr="000B76D6">
              <w:rPr>
                <w:rFonts w:cs="Arial"/>
                <w:sz w:val="18"/>
                <w:szCs w:val="18"/>
                <w:lang w:val="fr-FR"/>
              </w:rPr>
              <w:t xml:space="preserve">signé en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novembre 19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82</w:t>
            </w:r>
          </w:p>
        </w:tc>
      </w:tr>
      <w:tr w:rsidR="00415619" w:rsidRPr="001E10C8" w:rsidTr="00442EB3">
        <w:trPr>
          <w:cantSplit/>
          <w:jc w:val="center"/>
        </w:trPr>
        <w:tc>
          <w:tcPr>
            <w:tcW w:w="1758" w:type="dxa"/>
            <w:tcMar>
              <w:bottom w:w="11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UPOV/INF/9</w:t>
            </w:r>
          </w:p>
        </w:tc>
        <w:tc>
          <w:tcPr>
            <w:tcW w:w="4807" w:type="dxa"/>
            <w:tcMar>
              <w:bottom w:w="11" w:type="dxa"/>
            </w:tcMar>
          </w:tcPr>
          <w:p w:rsidR="00B27C88" w:rsidRPr="000B76D6" w:rsidRDefault="00415619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Accord entre l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Union internationale pour la protection des obtentions végétales et le Conseil fédéral suisse pour déterminer le statut juridique en Suisse de cette union (Accord de siège)</w:t>
            </w:r>
          </w:p>
        </w:tc>
        <w:tc>
          <w:tcPr>
            <w:tcW w:w="3920" w:type="dxa"/>
            <w:tcMar>
              <w:bottom w:w="11" w:type="dxa"/>
            </w:tcMar>
          </w:tcPr>
          <w:p w:rsidR="00B27C88" w:rsidRPr="000B76D6" w:rsidRDefault="00B27C88" w:rsidP="00415619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UPOV/INF/9 sign</w:t>
            </w:r>
            <w:r w:rsidR="00415619" w:rsidRPr="000B76D6">
              <w:rPr>
                <w:rFonts w:cs="Arial"/>
                <w:sz w:val="18"/>
                <w:szCs w:val="18"/>
                <w:lang w:val="fr-FR"/>
              </w:rPr>
              <w:t xml:space="preserve">é en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novembre 19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83</w:t>
            </w:r>
          </w:p>
        </w:tc>
      </w:tr>
      <w:tr w:rsidR="00415619" w:rsidRPr="001E10C8" w:rsidTr="00442EB3">
        <w:trPr>
          <w:cantSplit/>
          <w:jc w:val="center"/>
        </w:trPr>
        <w:tc>
          <w:tcPr>
            <w:tcW w:w="1758" w:type="dxa"/>
            <w:tcMar>
              <w:bottom w:w="11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UPOV/INF/10</w:t>
            </w:r>
          </w:p>
        </w:tc>
        <w:tc>
          <w:tcPr>
            <w:tcW w:w="4807" w:type="dxa"/>
            <w:tcMar>
              <w:bottom w:w="11" w:type="dxa"/>
            </w:tcMar>
          </w:tcPr>
          <w:p w:rsidR="00B27C88" w:rsidRPr="000B76D6" w:rsidRDefault="00415619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Audit interne</w:t>
            </w:r>
          </w:p>
        </w:tc>
        <w:tc>
          <w:tcPr>
            <w:tcW w:w="3920" w:type="dxa"/>
            <w:tcMar>
              <w:bottom w:w="11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UPOV/INF/10/1 </w:t>
            </w:r>
            <w:r w:rsidR="00415619" w:rsidRPr="000B76D6">
              <w:rPr>
                <w:rFonts w:cs="Arial"/>
                <w:sz w:val="18"/>
                <w:szCs w:val="18"/>
                <w:lang w:val="fr-FR"/>
              </w:rPr>
              <w:t xml:space="preserve">adopté en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octobre 20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10</w:t>
            </w:r>
          </w:p>
        </w:tc>
      </w:tr>
      <w:tr w:rsidR="00415619" w:rsidRPr="001E10C8" w:rsidTr="00442EB3">
        <w:trPr>
          <w:cantSplit/>
          <w:jc w:val="center"/>
        </w:trPr>
        <w:tc>
          <w:tcPr>
            <w:tcW w:w="1758" w:type="dxa"/>
            <w:tcMar>
              <w:bottom w:w="11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UPOV/INF/12</w:t>
            </w:r>
          </w:p>
        </w:tc>
        <w:tc>
          <w:tcPr>
            <w:tcW w:w="4807" w:type="dxa"/>
            <w:tcMar>
              <w:bottom w:w="11" w:type="dxa"/>
            </w:tcMar>
          </w:tcPr>
          <w:p w:rsidR="00B27C88" w:rsidRPr="000B76D6" w:rsidRDefault="00415619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Notes explicatives concernant les dénominations variétales en vertu de la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20" w:type="dxa"/>
            <w:tcMar>
              <w:bottom w:w="11" w:type="dxa"/>
            </w:tcMar>
          </w:tcPr>
          <w:p w:rsidR="00B85CBA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UPOV/INF/12/4 </w:t>
            </w:r>
            <w:r w:rsidR="00415619" w:rsidRPr="000B76D6">
              <w:rPr>
                <w:rFonts w:cs="Arial"/>
                <w:sz w:val="18"/>
                <w:szCs w:val="18"/>
                <w:lang w:val="fr-FR"/>
              </w:rPr>
              <w:t xml:space="preserve">adopté en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novembre 20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12</w:t>
            </w:r>
          </w:p>
          <w:p w:rsidR="00B85CBA" w:rsidRPr="000B76D6" w:rsidRDefault="00B27C88" w:rsidP="00415619">
            <w:pPr>
              <w:jc w:val="left"/>
              <w:rPr>
                <w:rFonts w:cs="Arial"/>
                <w:spacing w:val="-2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UPOV/INF/12/5</w:t>
            </w:r>
            <w:r w:rsidR="005578E1" w:rsidRPr="000B76D6">
              <w:rPr>
                <w:rFonts w:cs="Arial"/>
                <w:sz w:val="18"/>
                <w:szCs w:val="18"/>
                <w:lang w:val="fr-FR"/>
              </w:rPr>
              <w:t> 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Draft</w:t>
            </w:r>
            <w:r w:rsidR="005578E1" w:rsidRPr="000B76D6">
              <w:rPr>
                <w:rFonts w:cs="Arial"/>
                <w:sz w:val="18"/>
                <w:szCs w:val="18"/>
                <w:lang w:val="fr-FR"/>
              </w:rPr>
              <w:t> 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1</w:t>
            </w:r>
            <w:r w:rsidRPr="000B76D6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="00415619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>sera examiné par le CAJ</w:t>
            </w:r>
            <w:r w:rsidR="00DB2441" w:rsidRPr="000B76D6">
              <w:rPr>
                <w:rFonts w:cs="Arial"/>
                <w:spacing w:val="-2"/>
                <w:sz w:val="18"/>
                <w:szCs w:val="18"/>
                <w:lang w:val="fr-FR"/>
              </w:rPr>
              <w:noBreakHyphen/>
            </w:r>
            <w:r w:rsidR="00415619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>AG par correspondance</w:t>
            </w:r>
          </w:p>
          <w:p w:rsidR="00B27C88" w:rsidRPr="000B76D6" w:rsidRDefault="00B27C88" w:rsidP="00442EB3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UPOV/INF/12/5</w:t>
            </w:r>
            <w:r w:rsidR="005578E1" w:rsidRPr="000B76D6">
              <w:rPr>
                <w:rFonts w:cs="Arial"/>
                <w:sz w:val="18"/>
                <w:szCs w:val="18"/>
                <w:lang w:val="fr-FR"/>
              </w:rPr>
              <w:t> 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Draft</w:t>
            </w:r>
            <w:r w:rsidR="005578E1" w:rsidRPr="000B76D6">
              <w:rPr>
                <w:rFonts w:cs="Arial"/>
                <w:sz w:val="18"/>
                <w:szCs w:val="18"/>
                <w:lang w:val="fr-FR"/>
              </w:rPr>
              <w:t> 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2 </w:t>
            </w:r>
            <w:r w:rsidR="00415619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>sera examiné par le CAJ</w:t>
            </w:r>
            <w:r w:rsidR="00DB2441" w:rsidRPr="000B76D6">
              <w:rPr>
                <w:rFonts w:cs="Arial"/>
                <w:spacing w:val="-2"/>
                <w:sz w:val="18"/>
                <w:szCs w:val="18"/>
                <w:lang w:val="fr-FR"/>
              </w:rPr>
              <w:noBreakHyphen/>
            </w:r>
            <w:r w:rsidR="00415619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AG en </w:t>
            </w:r>
            <w:r w:rsidR="004274E1" w:rsidRPr="000B76D6">
              <w:rPr>
                <w:rFonts w:cs="Arial"/>
                <w:iCs/>
                <w:sz w:val="18"/>
                <w:szCs w:val="18"/>
                <w:lang w:val="fr-FR"/>
              </w:rPr>
              <w:t>octobre </w:t>
            </w:r>
            <w:r w:rsidR="004274E1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>20</w:t>
            </w:r>
            <w:r w:rsidR="00415619" w:rsidRPr="000B76D6">
              <w:rPr>
                <w:rFonts w:cs="Arial"/>
                <w:spacing w:val="-2"/>
                <w:sz w:val="18"/>
                <w:szCs w:val="18"/>
                <w:lang w:val="fr-FR"/>
              </w:rPr>
              <w:t>14</w:t>
            </w:r>
          </w:p>
        </w:tc>
      </w:tr>
      <w:tr w:rsidR="00415619" w:rsidRPr="001E10C8" w:rsidTr="00442EB3">
        <w:trPr>
          <w:cantSplit/>
          <w:jc w:val="center"/>
        </w:trPr>
        <w:tc>
          <w:tcPr>
            <w:tcW w:w="1758" w:type="dxa"/>
            <w:tcMar>
              <w:bottom w:w="11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UPOV/INF/13</w:t>
            </w:r>
          </w:p>
        </w:tc>
        <w:tc>
          <w:tcPr>
            <w:tcW w:w="4807" w:type="dxa"/>
            <w:tcMar>
              <w:bottom w:w="11" w:type="dxa"/>
            </w:tcMar>
          </w:tcPr>
          <w:p w:rsidR="00B27C88" w:rsidRPr="000B76D6" w:rsidRDefault="00415619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Document d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orientation concernant la procédure à suivre pour devenir membre de l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UPOV</w:t>
            </w:r>
          </w:p>
        </w:tc>
        <w:tc>
          <w:tcPr>
            <w:tcW w:w="3920" w:type="dxa"/>
            <w:tcMar>
              <w:bottom w:w="11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UPOV/INF/13/1 </w:t>
            </w:r>
            <w:r w:rsidR="00415619" w:rsidRPr="000B76D6">
              <w:rPr>
                <w:rFonts w:cs="Arial"/>
                <w:sz w:val="18"/>
                <w:szCs w:val="18"/>
                <w:lang w:val="fr-FR"/>
              </w:rPr>
              <w:t xml:space="preserve">adopté en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octobre 20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09</w:t>
            </w:r>
          </w:p>
        </w:tc>
      </w:tr>
      <w:tr w:rsidR="00415619" w:rsidRPr="001E10C8" w:rsidTr="00442EB3">
        <w:trPr>
          <w:cantSplit/>
          <w:jc w:val="center"/>
        </w:trPr>
        <w:tc>
          <w:tcPr>
            <w:tcW w:w="1758" w:type="dxa"/>
            <w:tcMar>
              <w:bottom w:w="11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UPOV/INF/14</w:t>
            </w:r>
          </w:p>
        </w:tc>
        <w:tc>
          <w:tcPr>
            <w:tcW w:w="4807" w:type="dxa"/>
            <w:tcMar>
              <w:bottom w:w="11" w:type="dxa"/>
            </w:tcMar>
          </w:tcPr>
          <w:p w:rsidR="00B27C88" w:rsidRPr="000B76D6" w:rsidRDefault="00415619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Document d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orientation destiné aux membres de l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UPOV concernant la procédure à suivre pour ratifier l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Acte de</w:t>
            </w:r>
            <w:r w:rsidR="005369C2" w:rsidRPr="000B76D6">
              <w:rPr>
                <w:rFonts w:cs="Arial"/>
                <w:sz w:val="18"/>
                <w:szCs w:val="18"/>
                <w:lang w:val="fr-FR"/>
              </w:rPr>
              <w:t> 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1991 de la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Convention UPOV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 ou y adhérer</w:t>
            </w:r>
          </w:p>
        </w:tc>
        <w:tc>
          <w:tcPr>
            <w:tcW w:w="3920" w:type="dxa"/>
            <w:tcMar>
              <w:bottom w:w="11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UPOV/INF/14/1 </w:t>
            </w:r>
            <w:r w:rsidR="00415619" w:rsidRPr="000B76D6">
              <w:rPr>
                <w:rFonts w:cs="Arial"/>
                <w:sz w:val="18"/>
                <w:szCs w:val="18"/>
                <w:lang w:val="fr-FR"/>
              </w:rPr>
              <w:t xml:space="preserve">adopté en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octobre 20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09</w:t>
            </w:r>
          </w:p>
        </w:tc>
      </w:tr>
      <w:tr w:rsidR="00415619" w:rsidRPr="001E10C8" w:rsidTr="00442EB3">
        <w:trPr>
          <w:cantSplit/>
          <w:jc w:val="center"/>
        </w:trPr>
        <w:tc>
          <w:tcPr>
            <w:tcW w:w="1758" w:type="dxa"/>
            <w:tcMar>
              <w:bottom w:w="11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UPOV/INF/15</w:t>
            </w:r>
          </w:p>
        </w:tc>
        <w:tc>
          <w:tcPr>
            <w:tcW w:w="4807" w:type="dxa"/>
            <w:tcMar>
              <w:bottom w:w="11" w:type="dxa"/>
            </w:tcMar>
          </w:tcPr>
          <w:p w:rsidR="00B27C88" w:rsidRPr="000B76D6" w:rsidRDefault="00415619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Document d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orientation destiné aux membres de l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UPOV concernant les obligations en cours et les notifications connexes, ainsi que la fourniture d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informations visant à faciliter la coopération</w:t>
            </w:r>
          </w:p>
        </w:tc>
        <w:tc>
          <w:tcPr>
            <w:tcW w:w="3920" w:type="dxa"/>
            <w:tcMar>
              <w:bottom w:w="11" w:type="dxa"/>
            </w:tcMar>
          </w:tcPr>
          <w:p w:rsidR="00B85CBA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UPOV/INF/15/2 adopt</w:t>
            </w:r>
            <w:r w:rsidR="00415619" w:rsidRPr="000B76D6">
              <w:rPr>
                <w:rFonts w:cs="Arial"/>
                <w:sz w:val="18"/>
                <w:szCs w:val="18"/>
                <w:lang w:val="fr-FR"/>
              </w:rPr>
              <w:t>é e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n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mars 20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13</w:t>
            </w:r>
          </w:p>
          <w:p w:rsidR="006B3F92" w:rsidRPr="000B76D6" w:rsidRDefault="00476059" w:rsidP="00442EB3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(</w:t>
            </w:r>
            <w:r w:rsidR="00415619" w:rsidRPr="000B76D6">
              <w:rPr>
                <w:rFonts w:cs="Arial"/>
                <w:sz w:val="18"/>
                <w:szCs w:val="18"/>
                <w:lang w:val="fr-FR"/>
              </w:rPr>
              <w:t xml:space="preserve">La révision du document 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UPOV/INF/15 </w:t>
            </w:r>
            <w:r w:rsidR="00415619" w:rsidRPr="000B76D6">
              <w:rPr>
                <w:rFonts w:cs="Arial"/>
                <w:sz w:val="18"/>
                <w:szCs w:val="18"/>
                <w:lang w:val="fr-FR"/>
              </w:rPr>
              <w:t>sera e</w:t>
            </w:r>
            <w:r w:rsidR="00442EB3">
              <w:rPr>
                <w:rFonts w:cs="Arial"/>
                <w:sz w:val="18"/>
                <w:szCs w:val="18"/>
                <w:lang w:val="fr-FR"/>
              </w:rPr>
              <w:t>xaminé</w:t>
            </w:r>
            <w:r w:rsidR="00415619" w:rsidRPr="000B76D6">
              <w:rPr>
                <w:rFonts w:cs="Arial"/>
                <w:sz w:val="18"/>
                <w:szCs w:val="18"/>
                <w:lang w:val="fr-FR"/>
              </w:rPr>
              <w:t>e par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 xml:space="preserve"> le CAJ</w:t>
            </w:r>
            <w:r w:rsidR="00415619" w:rsidRPr="000B76D6">
              <w:rPr>
                <w:rFonts w:cs="Arial"/>
                <w:sz w:val="18"/>
                <w:szCs w:val="18"/>
                <w:lang w:val="fr-FR"/>
              </w:rPr>
              <w:t xml:space="preserve"> en </w:t>
            </w:r>
            <w:r w:rsidR="005578E1" w:rsidRPr="000B76D6">
              <w:rPr>
                <w:rFonts w:cs="Arial"/>
                <w:sz w:val="18"/>
                <w:szCs w:val="18"/>
                <w:lang w:val="fr-FR"/>
              </w:rPr>
              <w:t>octobre 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2014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 xml:space="preserve"> – 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documents CAJ/70/5 </w:t>
            </w:r>
            <w:r w:rsidR="00415619" w:rsidRPr="000B76D6">
              <w:rPr>
                <w:rFonts w:cs="Arial"/>
                <w:kern w:val="28"/>
                <w:sz w:val="18"/>
                <w:szCs w:val="18"/>
                <w:lang w:val="fr-FR"/>
              </w:rPr>
              <w:t>et</w:t>
            </w:r>
            <w:r w:rsidRPr="000B76D6">
              <w:rPr>
                <w:rFonts w:cs="Arial"/>
                <w:kern w:val="28"/>
                <w:sz w:val="18"/>
                <w:szCs w:val="18"/>
                <w:lang w:val="fr-FR"/>
              </w:rPr>
              <w:t xml:space="preserve"> </w:t>
            </w:r>
            <w:r w:rsidR="006B3F92" w:rsidRPr="000B76D6">
              <w:rPr>
                <w:rFonts w:cs="Arial"/>
                <w:kern w:val="28"/>
                <w:sz w:val="18"/>
                <w:szCs w:val="18"/>
                <w:lang w:val="fr-FR"/>
              </w:rPr>
              <w:t>UPOV/INF/15/3 Draft 1</w:t>
            </w:r>
            <w:r w:rsidRPr="000B76D6">
              <w:rPr>
                <w:rFonts w:cs="Arial"/>
                <w:kern w:val="28"/>
                <w:sz w:val="18"/>
                <w:szCs w:val="18"/>
                <w:lang w:val="fr-FR"/>
              </w:rPr>
              <w:t>)</w:t>
            </w:r>
          </w:p>
        </w:tc>
      </w:tr>
      <w:tr w:rsidR="00415619" w:rsidRPr="001E10C8" w:rsidTr="00442EB3">
        <w:trPr>
          <w:cantSplit/>
          <w:jc w:val="center"/>
        </w:trPr>
        <w:tc>
          <w:tcPr>
            <w:tcW w:w="1758" w:type="dxa"/>
            <w:tcMar>
              <w:bottom w:w="11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UPOV/INF/16</w:t>
            </w:r>
          </w:p>
        </w:tc>
        <w:tc>
          <w:tcPr>
            <w:tcW w:w="4807" w:type="dxa"/>
            <w:tcMar>
              <w:bottom w:w="11" w:type="dxa"/>
            </w:tcMar>
          </w:tcPr>
          <w:p w:rsidR="00B27C88" w:rsidRPr="000B76D6" w:rsidRDefault="00415619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Logiciels échangeables</w:t>
            </w:r>
          </w:p>
        </w:tc>
        <w:tc>
          <w:tcPr>
            <w:tcW w:w="3920" w:type="dxa"/>
            <w:tcMar>
              <w:bottom w:w="11" w:type="dxa"/>
            </w:tcMar>
          </w:tcPr>
          <w:p w:rsidR="00B27C88" w:rsidRPr="000B76D6" w:rsidRDefault="00B27C88" w:rsidP="005578E1">
            <w:pPr>
              <w:jc w:val="left"/>
              <w:rPr>
                <w:rFonts w:cs="Arial"/>
                <w:strike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UPOV/INF/16/3 </w:t>
            </w:r>
            <w:r w:rsidR="00415619" w:rsidRPr="000B76D6">
              <w:rPr>
                <w:rFonts w:cs="Arial"/>
                <w:sz w:val="18"/>
                <w:szCs w:val="18"/>
                <w:lang w:val="fr-FR"/>
              </w:rPr>
              <w:t xml:space="preserve">adopté en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octobre 20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13</w:t>
            </w:r>
            <w:r w:rsidR="00476059" w:rsidRPr="000B76D6">
              <w:rPr>
                <w:rFonts w:cs="Arial"/>
                <w:sz w:val="18"/>
                <w:szCs w:val="18"/>
                <w:lang w:val="fr-FR"/>
              </w:rPr>
              <w:br/>
              <w:t>(</w:t>
            </w:r>
            <w:r w:rsidR="00415619" w:rsidRPr="000B76D6">
              <w:rPr>
                <w:rFonts w:cs="Arial"/>
                <w:sz w:val="18"/>
                <w:szCs w:val="18"/>
                <w:lang w:val="fr-FR"/>
              </w:rPr>
              <w:t>L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="00415619" w:rsidRPr="000B76D6">
              <w:rPr>
                <w:rFonts w:cs="Arial"/>
                <w:sz w:val="18"/>
                <w:szCs w:val="18"/>
                <w:lang w:val="fr-FR"/>
              </w:rPr>
              <w:t>a</w:t>
            </w:r>
            <w:r w:rsidR="00476059" w:rsidRPr="000B76D6">
              <w:rPr>
                <w:rFonts w:cs="Arial"/>
                <w:sz w:val="18"/>
                <w:szCs w:val="18"/>
                <w:lang w:val="fr-FR"/>
              </w:rPr>
              <w:t xml:space="preserve">doption </w:t>
            </w:r>
            <w:r w:rsidR="00415619" w:rsidRPr="000B76D6">
              <w:rPr>
                <w:rFonts w:cs="Arial"/>
                <w:sz w:val="18"/>
                <w:szCs w:val="18"/>
                <w:lang w:val="fr-FR"/>
              </w:rPr>
              <w:t>du</w:t>
            </w:r>
            <w:r w:rsidR="00476059" w:rsidRPr="000B76D6">
              <w:rPr>
                <w:rFonts w:cs="Arial"/>
                <w:sz w:val="18"/>
                <w:szCs w:val="18"/>
                <w:lang w:val="fr-FR"/>
              </w:rPr>
              <w:t xml:space="preserve"> document UPOV/INF/16/4 </w:t>
            </w:r>
            <w:r w:rsidR="00415619" w:rsidRPr="000B76D6">
              <w:rPr>
                <w:rFonts w:cs="Arial"/>
                <w:sz w:val="18"/>
                <w:szCs w:val="18"/>
                <w:lang w:val="fr-FR"/>
              </w:rPr>
              <w:t>sera envisagée par le Co</w:t>
            </w:r>
            <w:r w:rsidR="00476059" w:rsidRPr="000B76D6">
              <w:rPr>
                <w:rFonts w:cs="Arial"/>
                <w:sz w:val="18"/>
                <w:szCs w:val="18"/>
                <w:lang w:val="fr-FR"/>
              </w:rPr>
              <w:t>n</w:t>
            </w:r>
            <w:r w:rsidR="00415619" w:rsidRPr="000B76D6">
              <w:rPr>
                <w:rFonts w:cs="Arial"/>
                <w:sz w:val="18"/>
                <w:szCs w:val="18"/>
                <w:lang w:val="fr-FR"/>
              </w:rPr>
              <w:t>se</w:t>
            </w:r>
            <w:r w:rsidR="00476059" w:rsidRPr="000B76D6">
              <w:rPr>
                <w:rFonts w:cs="Arial"/>
                <w:sz w:val="18"/>
                <w:szCs w:val="18"/>
                <w:lang w:val="fr-FR"/>
              </w:rPr>
              <w:t xml:space="preserve">il </w:t>
            </w:r>
            <w:r w:rsidR="00415619" w:rsidRPr="000B76D6">
              <w:rPr>
                <w:rFonts w:cs="Arial"/>
                <w:sz w:val="18"/>
                <w:szCs w:val="18"/>
                <w:lang w:val="fr-FR"/>
              </w:rPr>
              <w:t xml:space="preserve">en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octobre 20</w:t>
            </w:r>
            <w:r w:rsidR="00476059" w:rsidRPr="000B76D6">
              <w:rPr>
                <w:rFonts w:cs="Arial"/>
                <w:sz w:val="18"/>
                <w:szCs w:val="18"/>
                <w:lang w:val="fr-FR"/>
              </w:rPr>
              <w:t xml:space="preserve">14 – </w:t>
            </w:r>
            <w:r w:rsidR="00415619" w:rsidRPr="000B76D6">
              <w:rPr>
                <w:rFonts w:cs="Arial"/>
                <w:sz w:val="18"/>
                <w:szCs w:val="18"/>
                <w:lang w:val="fr-FR"/>
              </w:rPr>
              <w:t>voir le</w:t>
            </w:r>
            <w:r w:rsidR="00476059" w:rsidRPr="000B76D6">
              <w:rPr>
                <w:rFonts w:cs="Arial"/>
                <w:sz w:val="18"/>
                <w:szCs w:val="18"/>
                <w:lang w:val="fr-FR"/>
              </w:rPr>
              <w:t xml:space="preserve"> document UPOV/INF/16/4</w:t>
            </w:r>
            <w:r w:rsidR="005578E1" w:rsidRPr="000B76D6">
              <w:rPr>
                <w:rFonts w:cs="Arial"/>
                <w:sz w:val="18"/>
                <w:szCs w:val="18"/>
                <w:lang w:val="fr-FR"/>
              </w:rPr>
              <w:t> </w:t>
            </w:r>
            <w:r w:rsidR="00476059" w:rsidRPr="000B76D6">
              <w:rPr>
                <w:rFonts w:cs="Arial"/>
                <w:sz w:val="18"/>
                <w:szCs w:val="18"/>
                <w:lang w:val="fr-FR"/>
              </w:rPr>
              <w:t>Draft</w:t>
            </w:r>
            <w:r w:rsidR="005578E1" w:rsidRPr="000B76D6">
              <w:rPr>
                <w:rFonts w:cs="Arial"/>
                <w:sz w:val="18"/>
                <w:szCs w:val="18"/>
                <w:lang w:val="fr-FR"/>
              </w:rPr>
              <w:t> </w:t>
            </w:r>
            <w:r w:rsidR="00476059" w:rsidRPr="000B76D6">
              <w:rPr>
                <w:rFonts w:cs="Arial"/>
                <w:sz w:val="18"/>
                <w:szCs w:val="18"/>
                <w:lang w:val="fr-FR"/>
              </w:rPr>
              <w:t>1)</w:t>
            </w:r>
          </w:p>
        </w:tc>
      </w:tr>
      <w:tr w:rsidR="00415619" w:rsidRPr="001E10C8" w:rsidTr="00442EB3">
        <w:trPr>
          <w:cantSplit/>
          <w:jc w:val="center"/>
        </w:trPr>
        <w:tc>
          <w:tcPr>
            <w:tcW w:w="1758" w:type="dxa"/>
            <w:tcMar>
              <w:bottom w:w="11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UPOV/INF/17</w:t>
            </w:r>
          </w:p>
        </w:tc>
        <w:tc>
          <w:tcPr>
            <w:tcW w:w="4807" w:type="dxa"/>
            <w:tcMar>
              <w:bottom w:w="11" w:type="dxa"/>
            </w:tcMar>
          </w:tcPr>
          <w:p w:rsidR="00B27C88" w:rsidRPr="000B76D6" w:rsidRDefault="00415619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Directives concernant les profils d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ADN</w:t>
            </w:r>
            <w:r w:rsidR="005369C2" w:rsidRPr="000B76D6">
              <w:rPr>
                <w:rFonts w:cs="Arial"/>
                <w:sz w:val="18"/>
                <w:szCs w:val="18"/>
                <w:lang w:val="fr-FR"/>
              </w:rPr>
              <w:t> 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: choix des marqueurs moléculaires et construction d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une base de données y relative (</w:t>
            </w:r>
            <w:r w:rsidR="005369C2" w:rsidRPr="000B76D6">
              <w:rPr>
                <w:rFonts w:cs="Arial"/>
                <w:sz w:val="18"/>
                <w:szCs w:val="18"/>
                <w:lang w:val="fr-FR"/>
              </w:rPr>
              <w:t>“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Directives BMT</w:t>
            </w:r>
            <w:r w:rsidR="005369C2" w:rsidRPr="000B76D6">
              <w:rPr>
                <w:rFonts w:cs="Arial"/>
                <w:sz w:val="18"/>
                <w:szCs w:val="18"/>
                <w:lang w:val="fr-FR"/>
              </w:rPr>
              <w:t>”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)</w:t>
            </w:r>
          </w:p>
        </w:tc>
        <w:tc>
          <w:tcPr>
            <w:tcW w:w="3920" w:type="dxa"/>
            <w:tcMar>
              <w:bottom w:w="11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UPOV/INF/17/1 </w:t>
            </w:r>
            <w:r w:rsidR="00415619" w:rsidRPr="000B76D6">
              <w:rPr>
                <w:rFonts w:cs="Arial"/>
                <w:sz w:val="18"/>
                <w:szCs w:val="18"/>
                <w:lang w:val="fr-FR"/>
              </w:rPr>
              <w:t xml:space="preserve">adopté en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octobre 20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10</w:t>
            </w:r>
          </w:p>
        </w:tc>
      </w:tr>
      <w:tr w:rsidR="00415619" w:rsidRPr="001E10C8" w:rsidTr="00442EB3">
        <w:trPr>
          <w:cantSplit/>
          <w:jc w:val="center"/>
        </w:trPr>
        <w:tc>
          <w:tcPr>
            <w:tcW w:w="1758" w:type="dxa"/>
            <w:tcMar>
              <w:bottom w:w="11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UPOV/INF/18</w:t>
            </w:r>
          </w:p>
        </w:tc>
        <w:tc>
          <w:tcPr>
            <w:tcW w:w="4807" w:type="dxa"/>
            <w:tcMar>
              <w:bottom w:w="11" w:type="dxa"/>
            </w:tcMar>
          </w:tcPr>
          <w:p w:rsidR="00B27C88" w:rsidRPr="000B76D6" w:rsidRDefault="00415619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Utilisation possible des marqueurs moléculaires dans l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examen de la distinction, de l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homogénéité et de la stabilité (DHS)</w:t>
            </w:r>
          </w:p>
        </w:tc>
        <w:tc>
          <w:tcPr>
            <w:tcW w:w="3920" w:type="dxa"/>
            <w:tcMar>
              <w:bottom w:w="11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UPOV/INF/18/1 </w:t>
            </w:r>
            <w:r w:rsidR="00415619" w:rsidRPr="000B76D6">
              <w:rPr>
                <w:rFonts w:cs="Arial"/>
                <w:sz w:val="18"/>
                <w:szCs w:val="18"/>
                <w:lang w:val="fr-FR"/>
              </w:rPr>
              <w:t xml:space="preserve">adopté en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octobre 20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11</w:t>
            </w:r>
          </w:p>
        </w:tc>
      </w:tr>
      <w:tr w:rsidR="00415619" w:rsidRPr="001E10C8" w:rsidTr="00442EB3">
        <w:trPr>
          <w:cantSplit/>
          <w:jc w:val="center"/>
        </w:trPr>
        <w:tc>
          <w:tcPr>
            <w:tcW w:w="1758" w:type="dxa"/>
            <w:tcMar>
              <w:bottom w:w="11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UPOV/INF/19</w:t>
            </w:r>
          </w:p>
        </w:tc>
        <w:tc>
          <w:tcPr>
            <w:tcW w:w="4807" w:type="dxa"/>
            <w:tcMar>
              <w:bottom w:w="11" w:type="dxa"/>
            </w:tcMar>
          </w:tcPr>
          <w:p w:rsidR="00B27C88" w:rsidRPr="000B76D6" w:rsidRDefault="00415619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Règles concernant l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octroi à des États et à des organisations intergouvernementales ou des organisations internationales non gouvernementales du statut d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observateur auprès des organes de l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UPOV</w:t>
            </w:r>
          </w:p>
        </w:tc>
        <w:tc>
          <w:tcPr>
            <w:tcW w:w="3920" w:type="dxa"/>
            <w:tcMar>
              <w:bottom w:w="11" w:type="dxa"/>
            </w:tcMar>
          </w:tcPr>
          <w:p w:rsidR="00B27C88" w:rsidRPr="000B76D6" w:rsidRDefault="00B27C88" w:rsidP="00415619">
            <w:pPr>
              <w:jc w:val="left"/>
              <w:rPr>
                <w:rFonts w:cs="Arial"/>
                <w:iCs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UPOV/INF/19/1 </w:t>
            </w:r>
            <w:r w:rsidR="00415619" w:rsidRPr="000B76D6">
              <w:rPr>
                <w:rFonts w:cs="Arial"/>
                <w:sz w:val="18"/>
                <w:szCs w:val="18"/>
                <w:lang w:val="fr-FR"/>
              </w:rPr>
              <w:t xml:space="preserve">adopté en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novembre </w:t>
            </w:r>
            <w:r w:rsidR="004274E1" w:rsidRPr="000B76D6">
              <w:rPr>
                <w:rFonts w:cs="Arial"/>
                <w:iCs/>
                <w:sz w:val="18"/>
                <w:szCs w:val="18"/>
                <w:lang w:val="fr-FR"/>
              </w:rPr>
              <w:t>20</w:t>
            </w:r>
            <w:r w:rsidRPr="000B76D6">
              <w:rPr>
                <w:rFonts w:cs="Arial"/>
                <w:iCs/>
                <w:sz w:val="18"/>
                <w:szCs w:val="18"/>
                <w:lang w:val="fr-FR"/>
              </w:rPr>
              <w:t>12</w:t>
            </w:r>
          </w:p>
        </w:tc>
      </w:tr>
      <w:tr w:rsidR="00415619" w:rsidRPr="001E10C8" w:rsidTr="00442EB3">
        <w:trPr>
          <w:cantSplit/>
          <w:jc w:val="center"/>
        </w:trPr>
        <w:tc>
          <w:tcPr>
            <w:tcW w:w="1758" w:type="dxa"/>
            <w:tcMar>
              <w:bottom w:w="11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UPOV/INF/20</w:t>
            </w:r>
          </w:p>
        </w:tc>
        <w:tc>
          <w:tcPr>
            <w:tcW w:w="4807" w:type="dxa"/>
            <w:tcMar>
              <w:bottom w:w="11" w:type="dxa"/>
            </w:tcMar>
          </w:tcPr>
          <w:p w:rsidR="00B27C88" w:rsidRPr="000B76D6" w:rsidRDefault="00415619" w:rsidP="00B27C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Règles concernant l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accès aux documents de l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UPOV</w:t>
            </w:r>
          </w:p>
        </w:tc>
        <w:tc>
          <w:tcPr>
            <w:tcW w:w="3920" w:type="dxa"/>
            <w:tcMar>
              <w:bottom w:w="11" w:type="dxa"/>
            </w:tcMar>
          </w:tcPr>
          <w:p w:rsidR="00B27C88" w:rsidRPr="000B76D6" w:rsidRDefault="00B27C88" w:rsidP="00B27C88">
            <w:pPr>
              <w:jc w:val="left"/>
              <w:rPr>
                <w:rFonts w:cs="Arial"/>
                <w:iCs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UPOV/INF/20/1 </w:t>
            </w:r>
            <w:r w:rsidR="00415619" w:rsidRPr="000B76D6">
              <w:rPr>
                <w:rFonts w:cs="Arial"/>
                <w:sz w:val="18"/>
                <w:szCs w:val="18"/>
                <w:lang w:val="fr-FR"/>
              </w:rPr>
              <w:t>adopté e</w:t>
            </w:r>
            <w:r w:rsidR="00415619" w:rsidRPr="000B76D6">
              <w:rPr>
                <w:rFonts w:cs="Arial"/>
                <w:iCs/>
                <w:sz w:val="18"/>
                <w:szCs w:val="18"/>
                <w:lang w:val="fr-FR"/>
              </w:rPr>
              <w:t xml:space="preserve">n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novembre </w:t>
            </w:r>
            <w:r w:rsidR="004274E1" w:rsidRPr="000B76D6">
              <w:rPr>
                <w:rFonts w:cs="Arial"/>
                <w:iCs/>
                <w:sz w:val="18"/>
                <w:szCs w:val="18"/>
                <w:lang w:val="fr-FR"/>
              </w:rPr>
              <w:t>20</w:t>
            </w:r>
            <w:r w:rsidRPr="000B76D6">
              <w:rPr>
                <w:rFonts w:cs="Arial"/>
                <w:iCs/>
                <w:sz w:val="18"/>
                <w:szCs w:val="18"/>
                <w:lang w:val="fr-FR"/>
              </w:rPr>
              <w:t>12</w:t>
            </w:r>
          </w:p>
        </w:tc>
      </w:tr>
      <w:tr w:rsidR="00415619" w:rsidRPr="001E10C8" w:rsidTr="00442EB3">
        <w:trPr>
          <w:cantSplit/>
          <w:jc w:val="center"/>
        </w:trPr>
        <w:tc>
          <w:tcPr>
            <w:tcW w:w="1758" w:type="dxa"/>
            <w:tcMar>
              <w:bottom w:w="11" w:type="dxa"/>
            </w:tcMar>
          </w:tcPr>
          <w:p w:rsidR="00B27C88" w:rsidRPr="000B76D6" w:rsidRDefault="00B27C88" w:rsidP="000B76D6">
            <w:pPr>
              <w:keepNext/>
              <w:keepLines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UPOV/INF/21</w:t>
            </w:r>
          </w:p>
        </w:tc>
        <w:tc>
          <w:tcPr>
            <w:tcW w:w="4807" w:type="dxa"/>
            <w:tcMar>
              <w:bottom w:w="11" w:type="dxa"/>
            </w:tcMar>
          </w:tcPr>
          <w:p w:rsidR="00B27C88" w:rsidRPr="000B76D6" w:rsidRDefault="00415619" w:rsidP="000B76D6">
            <w:pPr>
              <w:keepNext/>
              <w:keepLines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Mécanismes extrajudiciaires de règlement des litiges</w:t>
            </w:r>
          </w:p>
        </w:tc>
        <w:tc>
          <w:tcPr>
            <w:tcW w:w="3920" w:type="dxa"/>
            <w:tcMar>
              <w:bottom w:w="11" w:type="dxa"/>
            </w:tcMar>
          </w:tcPr>
          <w:p w:rsidR="00B27C88" w:rsidRPr="000B76D6" w:rsidRDefault="00B27C88" w:rsidP="000B76D6">
            <w:pPr>
              <w:keepNext/>
              <w:keepLines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UPOV/INF/21/1 adopt</w:t>
            </w:r>
            <w:r w:rsidR="00415619" w:rsidRPr="000B76D6">
              <w:rPr>
                <w:rFonts w:cs="Arial"/>
                <w:sz w:val="18"/>
                <w:szCs w:val="18"/>
                <w:lang w:val="fr-FR"/>
              </w:rPr>
              <w:t>é e</w:t>
            </w:r>
            <w:r w:rsidRPr="000B76D6">
              <w:rPr>
                <w:rFonts w:cs="Arial"/>
                <w:iCs/>
                <w:sz w:val="18"/>
                <w:szCs w:val="18"/>
                <w:lang w:val="fr-FR"/>
              </w:rPr>
              <w:t xml:space="preserve">n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novembre </w:t>
            </w:r>
            <w:r w:rsidR="004274E1" w:rsidRPr="000B76D6">
              <w:rPr>
                <w:rFonts w:cs="Arial"/>
                <w:iCs/>
                <w:sz w:val="18"/>
                <w:szCs w:val="18"/>
                <w:lang w:val="fr-FR"/>
              </w:rPr>
              <w:t>20</w:t>
            </w:r>
            <w:r w:rsidRPr="000B76D6">
              <w:rPr>
                <w:rFonts w:cs="Arial"/>
                <w:iCs/>
                <w:sz w:val="18"/>
                <w:szCs w:val="18"/>
                <w:lang w:val="fr-FR"/>
              </w:rPr>
              <w:t>12</w:t>
            </w:r>
          </w:p>
        </w:tc>
      </w:tr>
      <w:tr w:rsidR="00415619" w:rsidRPr="001E10C8" w:rsidTr="00442EB3">
        <w:trPr>
          <w:cantSplit/>
          <w:jc w:val="center"/>
        </w:trPr>
        <w:tc>
          <w:tcPr>
            <w:tcW w:w="1758" w:type="dxa"/>
            <w:tcMar>
              <w:bottom w:w="11" w:type="dxa"/>
            </w:tcMar>
          </w:tcPr>
          <w:p w:rsidR="00476059" w:rsidRPr="000B76D6" w:rsidRDefault="00476059" w:rsidP="000B76D6">
            <w:pPr>
              <w:keepNext/>
              <w:keepLines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UPOV/INF/22</w:t>
            </w:r>
          </w:p>
        </w:tc>
        <w:tc>
          <w:tcPr>
            <w:tcW w:w="4807" w:type="dxa"/>
            <w:tcMar>
              <w:bottom w:w="11" w:type="dxa"/>
            </w:tcMar>
          </w:tcPr>
          <w:p w:rsidR="00476059" w:rsidRPr="000B76D6" w:rsidRDefault="00415619" w:rsidP="000B76D6">
            <w:pPr>
              <w:keepNext/>
              <w:keepLines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Logiciels et équipements utilisés par les membres de l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Union</w:t>
            </w:r>
          </w:p>
        </w:tc>
        <w:tc>
          <w:tcPr>
            <w:tcW w:w="3920" w:type="dxa"/>
            <w:tcMar>
              <w:bottom w:w="11" w:type="dxa"/>
            </w:tcMar>
          </w:tcPr>
          <w:p w:rsidR="00476059" w:rsidRPr="000B76D6" w:rsidRDefault="00476059" w:rsidP="00442EB3">
            <w:pPr>
              <w:keepNext/>
              <w:keepLines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76D6">
              <w:rPr>
                <w:rFonts w:cs="Arial"/>
                <w:sz w:val="18"/>
                <w:szCs w:val="18"/>
                <w:lang w:val="fr-FR"/>
              </w:rPr>
              <w:t>UPOV/INF/22/1</w:t>
            </w:r>
            <w:r w:rsidR="005578E1" w:rsidRPr="000B76D6">
              <w:rPr>
                <w:rFonts w:cs="Arial"/>
                <w:sz w:val="18"/>
                <w:szCs w:val="18"/>
                <w:lang w:val="fr-FR"/>
              </w:rPr>
              <w:t> 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>Draft</w:t>
            </w:r>
            <w:r w:rsidR="005578E1" w:rsidRPr="000B76D6">
              <w:rPr>
                <w:rFonts w:cs="Arial"/>
                <w:sz w:val="18"/>
                <w:szCs w:val="18"/>
                <w:lang w:val="fr-FR"/>
              </w:rPr>
              <w:t> </w:t>
            </w:r>
            <w:r w:rsidRPr="000B76D6">
              <w:rPr>
                <w:rFonts w:cs="Arial"/>
                <w:sz w:val="18"/>
                <w:szCs w:val="18"/>
                <w:lang w:val="fr-FR"/>
              </w:rPr>
              <w:t xml:space="preserve">1 </w:t>
            </w:r>
            <w:r w:rsidR="00415619" w:rsidRPr="000B76D6">
              <w:rPr>
                <w:rFonts w:cs="Arial"/>
                <w:sz w:val="18"/>
                <w:szCs w:val="18"/>
                <w:lang w:val="fr-FR"/>
              </w:rPr>
              <w:t xml:space="preserve">sera </w:t>
            </w:r>
            <w:r w:rsidR="00442EB3">
              <w:rPr>
                <w:rFonts w:cs="Arial"/>
                <w:sz w:val="18"/>
                <w:szCs w:val="18"/>
                <w:lang w:val="fr-FR"/>
              </w:rPr>
              <w:t>examiné</w:t>
            </w:r>
            <w:r w:rsidR="00415619" w:rsidRPr="000B76D6">
              <w:rPr>
                <w:rFonts w:cs="Arial"/>
                <w:sz w:val="18"/>
                <w:szCs w:val="18"/>
                <w:lang w:val="fr-FR"/>
              </w:rPr>
              <w:t xml:space="preserve"> par le Conseil en </w:t>
            </w:r>
            <w:r w:rsidR="004274E1" w:rsidRPr="000B76D6">
              <w:rPr>
                <w:rFonts w:cs="Arial"/>
                <w:sz w:val="18"/>
                <w:szCs w:val="18"/>
                <w:lang w:val="fr-FR"/>
              </w:rPr>
              <w:t>octobre 20</w:t>
            </w:r>
            <w:r w:rsidR="00415619" w:rsidRPr="000B76D6">
              <w:rPr>
                <w:rFonts w:cs="Arial"/>
                <w:sz w:val="18"/>
                <w:szCs w:val="18"/>
                <w:lang w:val="fr-FR"/>
              </w:rPr>
              <w:t>14</w:t>
            </w:r>
          </w:p>
        </w:tc>
      </w:tr>
    </w:tbl>
    <w:p w:rsidR="00442EB3" w:rsidRDefault="00442EB3" w:rsidP="00415619">
      <w:pPr>
        <w:jc w:val="right"/>
        <w:rPr>
          <w:lang w:val="fr-FR"/>
        </w:rPr>
      </w:pPr>
    </w:p>
    <w:p w:rsidR="00B85CBA" w:rsidRPr="006140CC" w:rsidRDefault="00B85CBA" w:rsidP="00415619">
      <w:pPr>
        <w:jc w:val="right"/>
        <w:rPr>
          <w:lang w:val="fr-FR"/>
        </w:rPr>
      </w:pPr>
    </w:p>
    <w:p w:rsidR="00B85CBA" w:rsidRDefault="00B85CBA" w:rsidP="00B27C88">
      <w:pPr>
        <w:rPr>
          <w:snapToGrid w:val="0"/>
          <w:lang w:val="fr-FR"/>
        </w:rPr>
      </w:pPr>
    </w:p>
    <w:p w:rsidR="001B4474" w:rsidRPr="006140CC" w:rsidRDefault="001B4474" w:rsidP="00B27C88">
      <w:pPr>
        <w:rPr>
          <w:snapToGrid w:val="0"/>
          <w:lang w:val="fr-FR"/>
        </w:rPr>
      </w:pPr>
    </w:p>
    <w:p w:rsidR="00900C26" w:rsidRPr="006140CC" w:rsidRDefault="001B4474" w:rsidP="00B27C88">
      <w:pPr>
        <w:rPr>
          <w:snapToGrid w:val="0"/>
          <w:lang w:val="fr-FR"/>
        </w:rPr>
      </w:pPr>
      <w:r w:rsidRPr="001B4474">
        <w:rPr>
          <w:rFonts w:cs="Arial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3AEF3BA" wp14:editId="29C8F6D2">
                <wp:simplePos x="0" y="0"/>
                <wp:positionH relativeFrom="column">
                  <wp:posOffset>4294505</wp:posOffset>
                </wp:positionH>
                <wp:positionV relativeFrom="paragraph">
                  <wp:posOffset>2514600</wp:posOffset>
                </wp:positionV>
                <wp:extent cx="1920875" cy="228600"/>
                <wp:effectExtent l="0" t="0" r="317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474" w:rsidRPr="009929A5" w:rsidRDefault="001B4474">
                            <w:pPr>
                              <w:ind w:right="53"/>
                              <w:jc w:val="right"/>
                              <w:rPr>
                                <w:rFonts w:cs="Arial"/>
                              </w:rPr>
                            </w:pPr>
                            <w:r w:rsidRPr="006140CC">
                              <w:rPr>
                                <w:lang w:val="fr-FR"/>
                              </w:rPr>
                              <w:t>[Fin de l’annexe et du document]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8.15pt;margin-top:198pt;width:151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7IA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" o:allowincell="f" filled="f" stroked="f">
                <v:textbox inset="0,0,0,0">
                  <w:txbxContent>
                    <w:p w:rsidR="001B4474" w:rsidRPr="009929A5" w:rsidRDefault="001B4474">
                      <w:pPr>
                        <w:ind w:right="53"/>
                        <w:jc w:val="right"/>
                        <w:rPr>
                          <w:rFonts w:cs="Arial"/>
                        </w:rPr>
                      </w:pPr>
                      <w:r w:rsidRPr="006140CC">
                        <w:rPr>
                          <w:lang w:val="fr-FR"/>
                        </w:rPr>
                        <w:t>[Fin de l’annexe et du document]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0C26" w:rsidRPr="006140CC" w:rsidSect="004274E1">
      <w:headerReference w:type="default" r:id="rId17"/>
      <w:headerReference w:type="first" r:id="rId18"/>
      <w:footerReference w:type="first" r:id="rId19"/>
      <w:endnotePr>
        <w:numFmt w:val="lowerLetter"/>
      </w:endnotePr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F29" w:rsidRDefault="00852F29">
      <w:r>
        <w:separator/>
      </w:r>
    </w:p>
  </w:endnote>
  <w:endnote w:type="continuationSeparator" w:id="0">
    <w:p w:rsidR="00852F29" w:rsidRDefault="00852F29">
      <w:r>
        <w:separator/>
      </w:r>
    </w:p>
    <w:p w:rsidR="00852F29" w:rsidRPr="00664515" w:rsidRDefault="00852F29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852F29" w:rsidRPr="00664515" w:rsidRDefault="00852F29">
      <w:pPr>
        <w:rPr>
          <w:lang w:val="fr-CH"/>
        </w:rPr>
      </w:pPr>
    </w:p>
    <w:p w:rsidR="00852F29" w:rsidRPr="00664515" w:rsidRDefault="00852F29">
      <w:pPr>
        <w:rPr>
          <w:lang w:val="fr-CH"/>
        </w:rPr>
      </w:pPr>
    </w:p>
  </w:endnote>
  <w:endnote w:type="continuationNotice" w:id="1">
    <w:p w:rsidR="00852F29" w:rsidRPr="00664515" w:rsidRDefault="00852F29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852F29" w:rsidRPr="00664515" w:rsidRDefault="00852F29">
      <w:pPr>
        <w:rPr>
          <w:lang w:val="fr-CH"/>
        </w:rPr>
      </w:pPr>
    </w:p>
    <w:p w:rsidR="00852F29" w:rsidRPr="00664515" w:rsidRDefault="00852F29">
      <w:pPr>
        <w:rPr>
          <w:lang w:val="fr-CH"/>
        </w:rPr>
      </w:pPr>
    </w:p>
  </w:endnote>
  <w:endnote w:id="2">
    <w:p w:rsidR="00852F29" w:rsidRPr="006140CC" w:rsidRDefault="00852F29" w:rsidP="00B7255C">
      <w:pPr>
        <w:ind w:left="284" w:hanging="284"/>
        <w:rPr>
          <w:sz w:val="16"/>
          <w:szCs w:val="16"/>
          <w:lang w:val="fr-CH"/>
        </w:rPr>
      </w:pPr>
      <w:r w:rsidRPr="006140CC">
        <w:rPr>
          <w:rStyle w:val="EndnoteReference"/>
        </w:rPr>
        <w:endnoteRef/>
      </w:r>
      <w:r w:rsidRPr="006140CC">
        <w:rPr>
          <w:lang w:val="fr-CH"/>
        </w:rPr>
        <w:t xml:space="preserve"> </w:t>
      </w:r>
      <w:r w:rsidR="006140CC" w:rsidRPr="006140CC">
        <w:rPr>
          <w:lang w:val="fr-CH"/>
        </w:rPr>
        <w:tab/>
      </w:r>
      <w:r w:rsidRPr="006140CC">
        <w:rPr>
          <w:sz w:val="16"/>
          <w:szCs w:val="16"/>
          <w:lang w:val="fr-CH"/>
        </w:rPr>
        <w:t>Le CAJ, à sa soixante</w:t>
      </w:r>
      <w:r w:rsidR="006140CC" w:rsidRPr="006140CC">
        <w:rPr>
          <w:sz w:val="16"/>
          <w:szCs w:val="16"/>
          <w:lang w:val="fr-CH"/>
        </w:rPr>
        <w:noBreakHyphen/>
      </w:r>
      <w:r w:rsidRPr="006140CC">
        <w:rPr>
          <w:sz w:val="16"/>
          <w:szCs w:val="16"/>
          <w:lang w:val="fr-CH"/>
        </w:rPr>
        <w:t>neuvième session tenue à Genève le 10</w:t>
      </w:r>
      <w:r w:rsidR="006140CC" w:rsidRPr="006140CC">
        <w:rPr>
          <w:sz w:val="16"/>
          <w:szCs w:val="16"/>
          <w:lang w:val="fr-CH"/>
        </w:rPr>
        <w:t> </w:t>
      </w:r>
      <w:r w:rsidRPr="006140CC">
        <w:rPr>
          <w:sz w:val="16"/>
          <w:szCs w:val="16"/>
          <w:lang w:val="fr-CH"/>
        </w:rPr>
        <w:t>avril 2014, a accepté d’examiner la possibilité de modifier des documents du CAJ afin :</w:t>
      </w:r>
    </w:p>
    <w:p w:rsidR="00852F29" w:rsidRPr="006140CC" w:rsidRDefault="00852F29" w:rsidP="00B7255C">
      <w:pPr>
        <w:pStyle w:val="ListParagraph"/>
        <w:numPr>
          <w:ilvl w:val="0"/>
          <w:numId w:val="8"/>
        </w:numPr>
        <w:ind w:left="851" w:hanging="284"/>
        <w:rPr>
          <w:sz w:val="16"/>
          <w:szCs w:val="16"/>
        </w:rPr>
      </w:pPr>
      <w:r w:rsidRPr="006140CC">
        <w:rPr>
          <w:sz w:val="16"/>
          <w:szCs w:val="16"/>
        </w:rPr>
        <w:t>d’inclure un résumé analytique,</w:t>
      </w:r>
    </w:p>
    <w:p w:rsidR="00852F29" w:rsidRPr="006140CC" w:rsidRDefault="00852F29" w:rsidP="00B7255C">
      <w:pPr>
        <w:pStyle w:val="ListParagraph"/>
        <w:numPr>
          <w:ilvl w:val="0"/>
          <w:numId w:val="8"/>
        </w:numPr>
        <w:ind w:left="851" w:hanging="284"/>
        <w:rPr>
          <w:sz w:val="16"/>
          <w:szCs w:val="16"/>
          <w:lang w:val="fr-CH"/>
        </w:rPr>
      </w:pPr>
      <w:r w:rsidRPr="006140CC">
        <w:rPr>
          <w:sz w:val="16"/>
          <w:szCs w:val="16"/>
          <w:lang w:val="fr-CH"/>
        </w:rPr>
        <w:t>de faire référence à des documents antérieurs dans des notes en bas de page,</w:t>
      </w:r>
    </w:p>
    <w:p w:rsidR="00852F29" w:rsidRPr="006140CC" w:rsidRDefault="00852F29" w:rsidP="00B7255C">
      <w:pPr>
        <w:pStyle w:val="ListParagraph"/>
        <w:numPr>
          <w:ilvl w:val="0"/>
          <w:numId w:val="8"/>
        </w:numPr>
        <w:ind w:left="851" w:hanging="284"/>
        <w:rPr>
          <w:sz w:val="16"/>
          <w:szCs w:val="16"/>
          <w:lang w:val="fr-CH"/>
        </w:rPr>
      </w:pPr>
      <w:r w:rsidRPr="006140CC">
        <w:rPr>
          <w:sz w:val="16"/>
          <w:szCs w:val="16"/>
          <w:lang w:val="fr-CH"/>
        </w:rPr>
        <w:t>de recourir à des exposés,</w:t>
      </w:r>
    </w:p>
    <w:p w:rsidR="00852F29" w:rsidRPr="006140CC" w:rsidRDefault="00852F29" w:rsidP="00B7255C">
      <w:pPr>
        <w:pStyle w:val="ListParagraph"/>
        <w:numPr>
          <w:ilvl w:val="0"/>
          <w:numId w:val="8"/>
        </w:numPr>
        <w:ind w:left="851" w:hanging="284"/>
        <w:rPr>
          <w:sz w:val="16"/>
          <w:szCs w:val="16"/>
          <w:lang w:val="fr-CH"/>
        </w:rPr>
      </w:pPr>
      <w:r w:rsidRPr="006140CC">
        <w:rPr>
          <w:sz w:val="16"/>
          <w:szCs w:val="16"/>
          <w:lang w:val="fr-CH"/>
        </w:rPr>
        <w:t>de fusionner les paragraphes concernant des décisions relatives à des points pour information.</w:t>
      </w:r>
    </w:p>
    <w:p w:rsidR="00852F29" w:rsidRPr="006140CC" w:rsidRDefault="00852F29" w:rsidP="002132BB">
      <w:pPr>
        <w:rPr>
          <w:sz w:val="16"/>
          <w:szCs w:val="16"/>
          <w:lang w:val="fr-CH"/>
        </w:rPr>
      </w:pPr>
    </w:p>
    <w:p w:rsidR="00852F29" w:rsidRPr="006140CC" w:rsidRDefault="00852F29" w:rsidP="00B7255C">
      <w:pPr>
        <w:ind w:left="284"/>
        <w:rPr>
          <w:sz w:val="16"/>
          <w:szCs w:val="16"/>
          <w:lang w:val="fr-CH"/>
        </w:rPr>
      </w:pPr>
      <w:r w:rsidRPr="006140CC">
        <w:rPr>
          <w:sz w:val="16"/>
          <w:szCs w:val="16"/>
          <w:lang w:val="fr-CH"/>
        </w:rPr>
        <w:t xml:space="preserve">Le CAJ a demandé au Bureau de l’Union d’élaborer des exemples qu’il examinera à sa soixante-dixième session et de fournir des informations </w:t>
      </w:r>
      <w:r w:rsidR="00442EB3">
        <w:rPr>
          <w:sz w:val="16"/>
          <w:szCs w:val="16"/>
          <w:lang w:val="fr-CH"/>
        </w:rPr>
        <w:t>sur les incidences en matière de</w:t>
      </w:r>
      <w:r w:rsidRPr="006140CC">
        <w:rPr>
          <w:sz w:val="16"/>
          <w:szCs w:val="16"/>
          <w:lang w:val="fr-CH"/>
        </w:rPr>
        <w:t xml:space="preserve"> ressources </w:t>
      </w:r>
      <w:r w:rsidR="00442EB3">
        <w:rPr>
          <w:sz w:val="16"/>
          <w:szCs w:val="16"/>
          <w:lang w:val="fr-CH"/>
        </w:rPr>
        <w:t xml:space="preserve">pour le Bureau de l’Union </w:t>
      </w:r>
      <w:r w:rsidRPr="006140CC">
        <w:rPr>
          <w:sz w:val="16"/>
          <w:szCs w:val="16"/>
          <w:lang w:val="fr-CH"/>
        </w:rPr>
        <w:t>(voir les paragraphes</w:t>
      </w:r>
      <w:r w:rsidR="006140CC" w:rsidRPr="006140CC">
        <w:rPr>
          <w:sz w:val="16"/>
          <w:szCs w:val="16"/>
          <w:lang w:val="fr-CH"/>
        </w:rPr>
        <w:t> </w:t>
      </w:r>
      <w:r w:rsidRPr="006140CC">
        <w:rPr>
          <w:sz w:val="16"/>
          <w:szCs w:val="16"/>
          <w:lang w:val="fr-CH"/>
        </w:rPr>
        <w:t>95 et</w:t>
      </w:r>
      <w:r w:rsidR="006140CC" w:rsidRPr="006140CC">
        <w:rPr>
          <w:sz w:val="16"/>
          <w:szCs w:val="16"/>
          <w:lang w:val="fr-CH"/>
        </w:rPr>
        <w:t> </w:t>
      </w:r>
      <w:r w:rsidRPr="006140CC">
        <w:rPr>
          <w:sz w:val="16"/>
          <w:szCs w:val="16"/>
          <w:lang w:val="fr-CH"/>
        </w:rPr>
        <w:t>96 du document CAJ/69/12</w:t>
      </w:r>
      <w:r w:rsidR="00442EB3">
        <w:rPr>
          <w:sz w:val="16"/>
          <w:szCs w:val="16"/>
          <w:lang w:val="fr-CH"/>
        </w:rPr>
        <w:t xml:space="preserve"> “Compte rendu des conclusions”</w:t>
      </w:r>
      <w:r w:rsidRPr="006140CC">
        <w:rPr>
          <w:sz w:val="16"/>
          <w:szCs w:val="16"/>
          <w:lang w:val="fr-CH"/>
        </w:rPr>
        <w:t>).</w:t>
      </w:r>
    </w:p>
    <w:p w:rsidR="00852F29" w:rsidRPr="006140CC" w:rsidRDefault="00852F29" w:rsidP="00B7255C">
      <w:pPr>
        <w:ind w:left="284"/>
        <w:rPr>
          <w:rFonts w:cs="Arial"/>
          <w:snapToGrid w:val="0"/>
          <w:sz w:val="16"/>
          <w:szCs w:val="16"/>
          <w:lang w:val="fr-CH"/>
        </w:rPr>
      </w:pPr>
    </w:p>
    <w:p w:rsidR="00852F29" w:rsidRPr="006140CC" w:rsidRDefault="00852F29" w:rsidP="00B7255C">
      <w:pPr>
        <w:ind w:left="284"/>
        <w:rPr>
          <w:rFonts w:cs="Arial"/>
          <w:snapToGrid w:val="0"/>
          <w:sz w:val="16"/>
          <w:szCs w:val="16"/>
          <w:lang w:val="fr-CH"/>
        </w:rPr>
      </w:pPr>
      <w:r w:rsidRPr="006140CC">
        <w:rPr>
          <w:rFonts w:cs="Arial"/>
          <w:snapToGrid w:val="0"/>
          <w:sz w:val="16"/>
          <w:szCs w:val="16"/>
          <w:lang w:val="fr-CH"/>
        </w:rPr>
        <w:t xml:space="preserve">Ce </w:t>
      </w:r>
      <w:r w:rsidR="006140CC" w:rsidRPr="006140CC">
        <w:rPr>
          <w:rFonts w:cs="Arial"/>
          <w:snapToGrid w:val="0"/>
          <w:sz w:val="16"/>
          <w:szCs w:val="16"/>
          <w:lang w:val="fr-CH"/>
        </w:rPr>
        <w:t>document est destiné à servir d’</w:t>
      </w:r>
      <w:r w:rsidRPr="006140CC">
        <w:rPr>
          <w:rFonts w:cs="Arial"/>
          <w:snapToGrid w:val="0"/>
          <w:sz w:val="16"/>
          <w:szCs w:val="16"/>
          <w:lang w:val="fr-CH"/>
        </w:rPr>
        <w:t xml:space="preserve">exemple.  </w:t>
      </w:r>
      <w:r w:rsidR="00442EB3">
        <w:rPr>
          <w:rFonts w:cs="Arial"/>
          <w:snapToGrid w:val="0"/>
          <w:sz w:val="16"/>
          <w:szCs w:val="16"/>
          <w:lang w:val="fr-CH"/>
        </w:rPr>
        <w:t>L</w:t>
      </w:r>
      <w:r w:rsidRPr="006140CC">
        <w:rPr>
          <w:rFonts w:cs="Arial"/>
          <w:snapToGrid w:val="0"/>
          <w:sz w:val="16"/>
          <w:szCs w:val="16"/>
          <w:lang w:val="fr-CH"/>
        </w:rPr>
        <w:t xml:space="preserve">es informations </w:t>
      </w:r>
      <w:r w:rsidR="00442EB3">
        <w:rPr>
          <w:sz w:val="16"/>
          <w:szCs w:val="16"/>
          <w:lang w:val="fr-CH"/>
        </w:rPr>
        <w:t>sur les incidences en matière de</w:t>
      </w:r>
      <w:r w:rsidR="00442EB3" w:rsidRPr="006140CC">
        <w:rPr>
          <w:sz w:val="16"/>
          <w:szCs w:val="16"/>
          <w:lang w:val="fr-CH"/>
        </w:rPr>
        <w:t xml:space="preserve"> ressources </w:t>
      </w:r>
      <w:r w:rsidR="00442EB3">
        <w:rPr>
          <w:sz w:val="16"/>
          <w:szCs w:val="16"/>
          <w:lang w:val="fr-CH"/>
        </w:rPr>
        <w:t>pour le Bureau de l’Union</w:t>
      </w:r>
      <w:r w:rsidRPr="006140CC">
        <w:rPr>
          <w:rFonts w:cs="Arial"/>
          <w:snapToGrid w:val="0"/>
          <w:sz w:val="16"/>
          <w:szCs w:val="16"/>
          <w:lang w:val="fr-CH"/>
        </w:rPr>
        <w:t xml:space="preserve"> seront</w:t>
      </w:r>
      <w:r w:rsidR="00442EB3">
        <w:rPr>
          <w:rFonts w:cs="Arial"/>
          <w:snapToGrid w:val="0"/>
          <w:sz w:val="16"/>
          <w:szCs w:val="16"/>
          <w:lang w:val="fr-CH"/>
        </w:rPr>
        <w:t xml:space="preserve"> transmises </w:t>
      </w:r>
      <w:r w:rsidRPr="006140CC">
        <w:rPr>
          <w:rFonts w:cs="Arial"/>
          <w:snapToGrid w:val="0"/>
          <w:sz w:val="16"/>
          <w:szCs w:val="16"/>
          <w:lang w:val="fr-CH"/>
        </w:rPr>
        <w:t>dans un document destiné à être examiné à la session du CAJ de mars</w:t>
      </w:r>
      <w:r w:rsidR="006140CC" w:rsidRPr="006140CC">
        <w:rPr>
          <w:rFonts w:cs="Arial"/>
          <w:snapToGrid w:val="0"/>
          <w:sz w:val="16"/>
          <w:szCs w:val="16"/>
          <w:lang w:val="fr-CH"/>
        </w:rPr>
        <w:t> </w:t>
      </w:r>
      <w:r w:rsidRPr="006140CC">
        <w:rPr>
          <w:rFonts w:cs="Arial"/>
          <w:snapToGrid w:val="0"/>
          <w:sz w:val="16"/>
          <w:szCs w:val="16"/>
          <w:lang w:val="fr-CH"/>
        </w:rPr>
        <w:t>2015.</w:t>
      </w:r>
    </w:p>
    <w:p w:rsidR="00852F29" w:rsidRPr="002E7F15" w:rsidRDefault="00852F29">
      <w:pPr>
        <w:pStyle w:val="EndnoteText"/>
        <w:rPr>
          <w:sz w:val="16"/>
          <w:szCs w:val="16"/>
          <w:lang w:val="fr-CH"/>
        </w:rPr>
      </w:pPr>
    </w:p>
    <w:p w:rsidR="00852F29" w:rsidRPr="006140CC" w:rsidRDefault="00852F29">
      <w:pPr>
        <w:pStyle w:val="EndnoteText"/>
        <w:rPr>
          <w:sz w:val="16"/>
          <w:szCs w:val="16"/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F29" w:rsidRPr="004274E1" w:rsidRDefault="00852F29" w:rsidP="004274E1">
    <w:pPr>
      <w:pStyle w:val="Footer"/>
      <w:tabs>
        <w:tab w:val="right" w:pos="8504"/>
      </w:tabs>
      <w:jc w:val="center"/>
      <w:rPr>
        <w:rFonts w:ascii="Times New Roman" w:hAnsi="Times New Roman"/>
        <w:b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F29" w:rsidRPr="00476059" w:rsidRDefault="00852F29" w:rsidP="004760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F29" w:rsidRDefault="00852F29" w:rsidP="009D690D">
      <w:pPr>
        <w:spacing w:before="120"/>
      </w:pPr>
      <w:r>
        <w:separator/>
      </w:r>
    </w:p>
  </w:footnote>
  <w:footnote w:type="continuationSeparator" w:id="0">
    <w:p w:rsidR="00852F29" w:rsidRDefault="00852F29" w:rsidP="00520297">
      <w:pPr>
        <w:spacing w:before="120"/>
        <w:jc w:val="left"/>
      </w:pPr>
      <w:r>
        <w:separator/>
      </w:r>
    </w:p>
  </w:footnote>
  <w:footnote w:type="continuationNotice" w:id="1">
    <w:p w:rsidR="00852F29" w:rsidRDefault="00852F29"/>
  </w:footnote>
  <w:footnote w:id="2">
    <w:p w:rsidR="00852F29" w:rsidRPr="009A6956" w:rsidRDefault="00852F29" w:rsidP="00FD7134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9A6956">
        <w:rPr>
          <w:lang w:val="fr-CH"/>
        </w:rPr>
        <w:t xml:space="preserve"> </w:t>
      </w:r>
      <w:r w:rsidRPr="009A6956">
        <w:rPr>
          <w:lang w:val="fr-CH"/>
        </w:rPr>
        <w:tab/>
        <w:t>À sa cinquante</w:t>
      </w:r>
      <w:r>
        <w:rPr>
          <w:lang w:val="fr-CH"/>
        </w:rPr>
        <w:noBreakHyphen/>
      </w:r>
      <w:r w:rsidRPr="009A6956">
        <w:rPr>
          <w:lang w:val="fr-CH"/>
        </w:rPr>
        <w:t>deuxièm</w:t>
      </w:r>
      <w:r>
        <w:rPr>
          <w:lang w:val="fr-CH"/>
        </w:rPr>
        <w:t>e session, tenue à Genève le 24 </w:t>
      </w:r>
      <w:r w:rsidRPr="009A6956">
        <w:rPr>
          <w:lang w:val="fr-CH"/>
        </w:rPr>
        <w:t>octobre 2005.</w:t>
      </w:r>
    </w:p>
  </w:footnote>
  <w:footnote w:id="3">
    <w:p w:rsidR="00852F29" w:rsidRPr="002E7F15" w:rsidRDefault="00852F29" w:rsidP="00FD7134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9A6956">
        <w:rPr>
          <w:lang w:val="fr-CH"/>
        </w:rPr>
        <w:t xml:space="preserve"> </w:t>
      </w:r>
      <w:r w:rsidRPr="009A6956">
        <w:rPr>
          <w:lang w:val="fr-CH"/>
        </w:rPr>
        <w:tab/>
        <w:t>Voir les paragraphes</w:t>
      </w:r>
      <w:r>
        <w:rPr>
          <w:lang w:val="fr-CH"/>
        </w:rPr>
        <w:t> </w:t>
      </w:r>
      <w:r w:rsidRPr="009A6956">
        <w:rPr>
          <w:lang w:val="fr-CH"/>
        </w:rPr>
        <w:t>8 à</w:t>
      </w:r>
      <w:r>
        <w:rPr>
          <w:lang w:val="fr-CH"/>
        </w:rPr>
        <w:t> </w:t>
      </w:r>
      <w:r w:rsidRPr="009A6956">
        <w:rPr>
          <w:lang w:val="fr-CH"/>
        </w:rPr>
        <w:t xml:space="preserve">10 </w:t>
      </w:r>
      <w:r w:rsidRPr="002E7F15">
        <w:rPr>
          <w:lang w:val="fr-CH"/>
        </w:rPr>
        <w:t xml:space="preserve">du document CAJ/52/4 intitulé </w:t>
      </w:r>
      <w:r>
        <w:rPr>
          <w:lang w:val="fr-CH"/>
        </w:rPr>
        <w:t>“</w:t>
      </w:r>
      <w:r w:rsidRPr="002E7F15">
        <w:rPr>
          <w:lang w:val="fr-CH"/>
        </w:rPr>
        <w:t xml:space="preserve">Méthode d’élaboration de </w:t>
      </w:r>
      <w:r>
        <w:rPr>
          <w:lang w:val="fr-CH"/>
        </w:rPr>
        <w:t>matériels d’information</w:t>
      </w:r>
      <w:r w:rsidRPr="002E7F15">
        <w:rPr>
          <w:lang w:val="fr-CH"/>
        </w:rPr>
        <w:t xml:space="preserve"> concernant l</w:t>
      </w:r>
      <w:r>
        <w:rPr>
          <w:lang w:val="fr-CH"/>
        </w:rPr>
        <w:t>’Acte de 1991 de l</w:t>
      </w:r>
      <w:r w:rsidRPr="002E7F15">
        <w:rPr>
          <w:lang w:val="fr-CH"/>
        </w:rPr>
        <w:t>a Convention UPOV</w:t>
      </w:r>
      <w:r>
        <w:rPr>
          <w:lang w:val="fr-CH"/>
        </w:rPr>
        <w:t>”</w:t>
      </w:r>
      <w:r w:rsidRPr="002E7F15">
        <w:rPr>
          <w:lang w:val="fr-CH"/>
        </w:rPr>
        <w:t>.</w:t>
      </w:r>
    </w:p>
  </w:footnote>
  <w:footnote w:id="4">
    <w:p w:rsidR="00852F29" w:rsidRPr="002E7F15" w:rsidRDefault="00852F29" w:rsidP="00FD7134">
      <w:pPr>
        <w:pStyle w:val="FootnoteText"/>
        <w:rPr>
          <w:lang w:val="fr-CH"/>
        </w:rPr>
      </w:pPr>
      <w:r w:rsidRPr="002E7F15">
        <w:rPr>
          <w:rStyle w:val="FootnoteReference"/>
        </w:rPr>
        <w:footnoteRef/>
      </w:r>
      <w:r w:rsidRPr="002E7F15">
        <w:rPr>
          <w:lang w:val="fr-CH"/>
        </w:rPr>
        <w:t xml:space="preserve"> </w:t>
      </w:r>
      <w:r w:rsidRPr="002E7F15">
        <w:rPr>
          <w:lang w:val="fr-CH"/>
        </w:rPr>
        <w:tab/>
        <w:t>Voir les paragraphes</w:t>
      </w:r>
      <w:r>
        <w:rPr>
          <w:lang w:val="fr-CH"/>
        </w:rPr>
        <w:t> </w:t>
      </w:r>
      <w:r w:rsidRPr="002E7F15">
        <w:rPr>
          <w:lang w:val="fr-CH"/>
        </w:rPr>
        <w:t>11 à</w:t>
      </w:r>
      <w:r>
        <w:rPr>
          <w:lang w:val="fr-CH"/>
        </w:rPr>
        <w:t> </w:t>
      </w:r>
      <w:r w:rsidRPr="002E7F15">
        <w:rPr>
          <w:lang w:val="fr-CH"/>
        </w:rPr>
        <w:t>14 du document CAJ/52/4 et le paragraphe</w:t>
      </w:r>
      <w:r>
        <w:rPr>
          <w:lang w:val="fr-CH"/>
        </w:rPr>
        <w:t> </w:t>
      </w:r>
      <w:r w:rsidRPr="002E7F15">
        <w:rPr>
          <w:lang w:val="fr-CH"/>
        </w:rPr>
        <w:t>67 du document CAJ/52/5 “Compte rendu”.</w:t>
      </w:r>
    </w:p>
  </w:footnote>
  <w:footnote w:id="5">
    <w:p w:rsidR="00852F29" w:rsidRPr="009A6956" w:rsidRDefault="00852F29" w:rsidP="00FD7134">
      <w:pPr>
        <w:pStyle w:val="FootnoteText"/>
        <w:rPr>
          <w:lang w:val="fr-CH"/>
        </w:rPr>
      </w:pPr>
      <w:r w:rsidRPr="002E7F15">
        <w:rPr>
          <w:rStyle w:val="FootnoteReference"/>
        </w:rPr>
        <w:footnoteRef/>
      </w:r>
      <w:r w:rsidRPr="002E7F15">
        <w:rPr>
          <w:lang w:val="fr-CH"/>
        </w:rPr>
        <w:t xml:space="preserve"> </w:t>
      </w:r>
      <w:r w:rsidRPr="002E7F15">
        <w:rPr>
          <w:lang w:val="fr-CH"/>
        </w:rPr>
        <w:tab/>
        <w:t>À sa soixante</w:t>
      </w:r>
      <w:r>
        <w:rPr>
          <w:lang w:val="fr-CH"/>
        </w:rPr>
        <w:noBreakHyphen/>
      </w:r>
      <w:r w:rsidRPr="002E7F15">
        <w:rPr>
          <w:lang w:val="fr-CH"/>
        </w:rPr>
        <w:t xml:space="preserve">neuvième session, tenue </w:t>
      </w:r>
      <w:r w:rsidRPr="009A6956">
        <w:rPr>
          <w:lang w:val="fr-CH"/>
        </w:rPr>
        <w:t>à Genève le 10</w:t>
      </w:r>
      <w:r>
        <w:rPr>
          <w:lang w:val="fr-CH"/>
        </w:rPr>
        <w:t> </w:t>
      </w:r>
      <w:r w:rsidRPr="009A6956">
        <w:rPr>
          <w:lang w:val="fr-CH"/>
        </w:rPr>
        <w:t>avril 2014.</w:t>
      </w:r>
    </w:p>
  </w:footnote>
  <w:footnote w:id="6">
    <w:p w:rsidR="00852F29" w:rsidRPr="009A6956" w:rsidRDefault="00852F29" w:rsidP="00FD7134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9A6956">
        <w:rPr>
          <w:lang w:val="fr-CH"/>
        </w:rPr>
        <w:t xml:space="preserve"> </w:t>
      </w:r>
      <w:r w:rsidRPr="009A6956">
        <w:rPr>
          <w:lang w:val="fr-CH"/>
        </w:rPr>
        <w:tab/>
        <w:t>Qui se tiendra les 14 et 17</w:t>
      </w:r>
      <w:r>
        <w:rPr>
          <w:lang w:val="fr-CH"/>
        </w:rPr>
        <w:t> </w:t>
      </w:r>
      <w:r w:rsidRPr="009A6956">
        <w:rPr>
          <w:lang w:val="fr-CH"/>
        </w:rPr>
        <w:t>octobre</w:t>
      </w:r>
      <w:r>
        <w:rPr>
          <w:lang w:val="fr-CH"/>
        </w:rPr>
        <w:t> </w:t>
      </w:r>
      <w:r w:rsidRPr="009A6956">
        <w:rPr>
          <w:lang w:val="fr-CH"/>
        </w:rPr>
        <w:t>2014.</w:t>
      </w:r>
    </w:p>
  </w:footnote>
  <w:footnote w:id="7">
    <w:p w:rsidR="00852F29" w:rsidRPr="009A6956" w:rsidRDefault="00852F29" w:rsidP="00FD7134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rPr>
          <w:lang w:val="fr-CH"/>
        </w:rPr>
        <w:t xml:space="preserve"> </w:t>
      </w:r>
      <w:r>
        <w:rPr>
          <w:lang w:val="fr-CH"/>
        </w:rPr>
        <w:tab/>
        <w:t>Voir les paragraphes 65 et </w:t>
      </w:r>
      <w:r w:rsidRPr="009A6956">
        <w:rPr>
          <w:lang w:val="fr-CH"/>
        </w:rPr>
        <w:t>66 du document CAJ/69/2 “Élaboration de matériel</w:t>
      </w:r>
      <w:r>
        <w:rPr>
          <w:lang w:val="fr-CH"/>
        </w:rPr>
        <w:t>s</w:t>
      </w:r>
      <w:r w:rsidRPr="009A6956">
        <w:rPr>
          <w:lang w:val="fr-CH"/>
        </w:rPr>
        <w:t xml:space="preserve"> d’information </w:t>
      </w:r>
      <w:r>
        <w:rPr>
          <w:lang w:val="fr-CH"/>
        </w:rPr>
        <w:t>concernant</w:t>
      </w:r>
      <w:r w:rsidRPr="009A6956">
        <w:rPr>
          <w:lang w:val="fr-CH"/>
        </w:rPr>
        <w:t xml:space="preserve"> la Convention UPOV” et le paragraphe 26 du document CAJ/69/12 “Compte rendu des conclusions”.</w:t>
      </w:r>
    </w:p>
  </w:footnote>
  <w:footnote w:id="8">
    <w:p w:rsidR="00BB5FC0" w:rsidRPr="001E10C8" w:rsidRDefault="00BB5FC0" w:rsidP="00FD7134">
      <w:pPr>
        <w:pStyle w:val="FootnoteText"/>
        <w:rPr>
          <w:lang w:val="fr-CH"/>
        </w:rPr>
      </w:pPr>
      <w:r w:rsidRPr="00D75862">
        <w:rPr>
          <w:rStyle w:val="FootnoteReference"/>
        </w:rPr>
        <w:footnoteRef/>
      </w:r>
      <w:r w:rsidRPr="001E10C8">
        <w:rPr>
          <w:lang w:val="fr-CH"/>
        </w:rPr>
        <w:t xml:space="preserve"> </w:t>
      </w:r>
      <w:r w:rsidRPr="001E10C8">
        <w:rPr>
          <w:lang w:val="fr-CH"/>
        </w:rPr>
        <w:tab/>
        <w:t>Voir le paragraphe 27 du document CAJ/69/12 “</w:t>
      </w:r>
      <w:r w:rsidR="000B76D6" w:rsidRPr="001E10C8">
        <w:rPr>
          <w:lang w:val="fr-CH"/>
        </w:rPr>
        <w:t>Compte rendu des c</w:t>
      </w:r>
      <w:r w:rsidRPr="001E10C8">
        <w:rPr>
          <w:lang w:val="fr-CH"/>
        </w:rPr>
        <w:t>onclusions” et les circulaires UPOV E</w:t>
      </w:r>
      <w:r w:rsidR="000B76D6" w:rsidRPr="001E10C8">
        <w:rPr>
          <w:lang w:val="fr-CH"/>
        </w:rPr>
        <w:noBreakHyphen/>
      </w:r>
      <w:r w:rsidRPr="001E10C8">
        <w:rPr>
          <w:lang w:val="fr-CH"/>
        </w:rPr>
        <w:t>14/128 du 12 mai 2014, E</w:t>
      </w:r>
      <w:r w:rsidR="000B76D6" w:rsidRPr="001E10C8">
        <w:rPr>
          <w:lang w:val="fr-CH"/>
        </w:rPr>
        <w:noBreakHyphen/>
      </w:r>
      <w:r w:rsidRPr="001E10C8">
        <w:rPr>
          <w:lang w:val="fr-CH"/>
        </w:rPr>
        <w:t>14/136 du 20 mai 2014 et E</w:t>
      </w:r>
      <w:r w:rsidR="000B76D6" w:rsidRPr="001E10C8">
        <w:rPr>
          <w:lang w:val="fr-CH"/>
        </w:rPr>
        <w:noBreakHyphen/>
      </w:r>
      <w:r w:rsidRPr="001E10C8">
        <w:rPr>
          <w:lang w:val="fr-CH"/>
        </w:rPr>
        <w:t>14/143 du 23 mai 2014.</w:t>
      </w:r>
    </w:p>
  </w:footnote>
  <w:footnote w:id="9">
    <w:p w:rsidR="00C35095" w:rsidRPr="002E7F15" w:rsidRDefault="00C35095" w:rsidP="00C35095">
      <w:pPr>
        <w:pStyle w:val="FootnoteText"/>
        <w:rPr>
          <w:lang w:val="fr-CH"/>
        </w:rPr>
      </w:pPr>
      <w:r w:rsidRPr="002E7F15">
        <w:rPr>
          <w:rStyle w:val="FootnoteReference"/>
        </w:rPr>
        <w:footnoteRef/>
      </w:r>
      <w:r w:rsidRPr="002E7F15">
        <w:rPr>
          <w:lang w:val="fr-CH"/>
        </w:rPr>
        <w:t xml:space="preserve"> </w:t>
      </w:r>
      <w:r>
        <w:rPr>
          <w:lang w:val="fr-CH"/>
        </w:rPr>
        <w:tab/>
      </w:r>
      <w:r w:rsidRPr="002E7F15">
        <w:rPr>
          <w:lang w:val="fr-CH"/>
        </w:rPr>
        <w:t>Voir le paragraphe 28 du document CAJ/69/12 “Compte rendu des conclusions”.</w:t>
      </w:r>
    </w:p>
  </w:footnote>
  <w:footnote w:id="10">
    <w:p w:rsidR="00852F29" w:rsidRPr="002A0D39" w:rsidRDefault="00852F29" w:rsidP="00FD7134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2A0D39">
        <w:rPr>
          <w:lang w:val="fr-CH"/>
        </w:rPr>
        <w:t xml:space="preserve"> </w:t>
      </w:r>
      <w:r w:rsidR="006140CC">
        <w:rPr>
          <w:lang w:val="fr-CH"/>
        </w:rPr>
        <w:tab/>
      </w:r>
      <w:r w:rsidRPr="002A0D39">
        <w:rPr>
          <w:lang w:val="fr-CH"/>
        </w:rPr>
        <w:t xml:space="preserve">Voir </w:t>
      </w:r>
      <w:r w:rsidR="00AC6A48">
        <w:rPr>
          <w:lang w:val="fr-CH"/>
        </w:rPr>
        <w:t xml:space="preserve">la </w:t>
      </w:r>
      <w:r w:rsidRPr="002A0D39">
        <w:rPr>
          <w:lang w:val="fr-CH"/>
        </w:rPr>
        <w:t>circulai</w:t>
      </w:r>
      <w:r w:rsidR="006140CC">
        <w:rPr>
          <w:lang w:val="fr-CH"/>
        </w:rPr>
        <w:t>re E</w:t>
      </w:r>
      <w:r w:rsidR="006140CC">
        <w:rPr>
          <w:lang w:val="fr-CH"/>
        </w:rPr>
        <w:noBreakHyphen/>
      </w:r>
      <w:r w:rsidRPr="002A0D39">
        <w:rPr>
          <w:lang w:val="fr-CH"/>
        </w:rPr>
        <w:t>14/038 de l’UPOV du 25</w:t>
      </w:r>
      <w:r w:rsidR="006140CC">
        <w:rPr>
          <w:lang w:val="fr-CH"/>
        </w:rPr>
        <w:t> </w:t>
      </w:r>
      <w:r w:rsidRPr="002A0D39">
        <w:rPr>
          <w:lang w:val="fr-CH"/>
        </w:rPr>
        <w:t>février</w:t>
      </w:r>
      <w:r w:rsidR="006140CC">
        <w:rPr>
          <w:lang w:val="fr-CH"/>
        </w:rPr>
        <w:t> </w:t>
      </w:r>
      <w:r w:rsidRPr="002A0D39">
        <w:rPr>
          <w:lang w:val="fr-CH"/>
        </w:rPr>
        <w:t>2014.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F29" w:rsidRDefault="00852F29">
    <w:pPr>
      <w:jc w:val="center"/>
    </w:pPr>
    <w:r>
      <w:t>CAJ/70/2</w:t>
    </w:r>
  </w:p>
  <w:p w:rsidR="00852F29" w:rsidRDefault="00852F29">
    <w:pPr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35663">
      <w:rPr>
        <w:noProof/>
      </w:rPr>
      <w:t>4</w:t>
    </w:r>
    <w:r>
      <w:fldChar w:fldCharType="end"/>
    </w:r>
  </w:p>
  <w:p w:rsidR="00852F29" w:rsidRDefault="00852F29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F29" w:rsidRPr="00997029" w:rsidRDefault="00852F29" w:rsidP="00E23920">
    <w:pPr>
      <w:jc w:val="center"/>
      <w:rPr>
        <w:rStyle w:val="PageNumber"/>
      </w:rPr>
    </w:pPr>
    <w:r>
      <w:rPr>
        <w:rStyle w:val="PageNumber"/>
      </w:rPr>
      <w:t>CAJ/70/2</w:t>
    </w:r>
  </w:p>
  <w:p w:rsidR="00852F29" w:rsidRPr="00997029" w:rsidRDefault="00852F29" w:rsidP="00E23920">
    <w:pPr>
      <w:jc w:val="center"/>
    </w:pPr>
    <w:r>
      <w:t xml:space="preserve">Annexe, </w:t>
    </w: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E35663">
      <w:rPr>
        <w:rStyle w:val="PageNumber"/>
        <w:noProof/>
      </w:rPr>
      <w:t>3</w:t>
    </w:r>
    <w:r w:rsidRPr="00997029">
      <w:rPr>
        <w:rStyle w:val="PageNumber"/>
      </w:rPr>
      <w:fldChar w:fldCharType="end"/>
    </w:r>
  </w:p>
  <w:p w:rsidR="00852F29" w:rsidRPr="00997029" w:rsidRDefault="00852F29" w:rsidP="00EB048E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0CC" w:rsidRDefault="006140CC" w:rsidP="006140CC">
    <w:pPr>
      <w:jc w:val="center"/>
      <w:rPr>
        <w:lang w:val="fr-CH"/>
      </w:rPr>
    </w:pPr>
    <w:r w:rsidRPr="002E7F15">
      <w:rPr>
        <w:lang w:val="fr-CH"/>
      </w:rPr>
      <w:t>CAJ/70/2</w:t>
    </w:r>
  </w:p>
  <w:p w:rsidR="006140CC" w:rsidRDefault="006140CC" w:rsidP="006140CC">
    <w:pPr>
      <w:jc w:val="center"/>
      <w:rPr>
        <w:lang w:val="fr-CH"/>
      </w:rPr>
    </w:pPr>
  </w:p>
  <w:p w:rsidR="006140CC" w:rsidRDefault="006140CC" w:rsidP="006140CC">
    <w:pPr>
      <w:jc w:val="center"/>
      <w:rPr>
        <w:lang w:val="fr-CH"/>
      </w:rPr>
    </w:pPr>
    <w:r w:rsidRPr="002E7F15">
      <w:rPr>
        <w:lang w:val="fr-CH"/>
      </w:rPr>
      <w:t>ANNEXE</w:t>
    </w:r>
  </w:p>
  <w:p w:rsidR="006140CC" w:rsidRDefault="006140CC" w:rsidP="006140CC">
    <w:pPr>
      <w:jc w:val="center"/>
      <w:rPr>
        <w:sz w:val="16"/>
        <w:szCs w:val="16"/>
        <w:lang w:val="fr-CH"/>
      </w:rPr>
    </w:pPr>
  </w:p>
  <w:p w:rsidR="006140CC" w:rsidRDefault="006140CC" w:rsidP="006140CC">
    <w:pPr>
      <w:jc w:val="center"/>
      <w:rPr>
        <w:sz w:val="16"/>
        <w:szCs w:val="16"/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23E3"/>
    <w:multiLevelType w:val="multilevel"/>
    <w:tmpl w:val="0186BAAC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E203FE"/>
    <w:multiLevelType w:val="hybridMultilevel"/>
    <w:tmpl w:val="3D506F9A"/>
    <w:lvl w:ilvl="0" w:tplc="C5FA9A84">
      <w:start w:val="1"/>
      <w:numFmt w:val="lowerLetter"/>
      <w:lvlText w:val="%1)"/>
      <w:lvlJc w:val="left"/>
      <w:pPr>
        <w:ind w:left="687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597" w:hanging="360"/>
      </w:pPr>
    </w:lvl>
    <w:lvl w:ilvl="2" w:tplc="0409001B" w:tentative="1">
      <w:start w:val="1"/>
      <w:numFmt w:val="lowerRoman"/>
      <w:lvlText w:val="%3."/>
      <w:lvlJc w:val="right"/>
      <w:pPr>
        <w:ind w:left="8317" w:hanging="180"/>
      </w:pPr>
    </w:lvl>
    <w:lvl w:ilvl="3" w:tplc="0409000F" w:tentative="1">
      <w:start w:val="1"/>
      <w:numFmt w:val="decimal"/>
      <w:lvlText w:val="%4."/>
      <w:lvlJc w:val="left"/>
      <w:pPr>
        <w:ind w:left="9037" w:hanging="360"/>
      </w:pPr>
    </w:lvl>
    <w:lvl w:ilvl="4" w:tplc="04090019" w:tentative="1">
      <w:start w:val="1"/>
      <w:numFmt w:val="lowerLetter"/>
      <w:lvlText w:val="%5."/>
      <w:lvlJc w:val="left"/>
      <w:pPr>
        <w:ind w:left="9757" w:hanging="360"/>
      </w:pPr>
    </w:lvl>
    <w:lvl w:ilvl="5" w:tplc="0409001B" w:tentative="1">
      <w:start w:val="1"/>
      <w:numFmt w:val="lowerRoman"/>
      <w:lvlText w:val="%6."/>
      <w:lvlJc w:val="right"/>
      <w:pPr>
        <w:ind w:left="10477" w:hanging="180"/>
      </w:pPr>
    </w:lvl>
    <w:lvl w:ilvl="6" w:tplc="0409000F" w:tentative="1">
      <w:start w:val="1"/>
      <w:numFmt w:val="decimal"/>
      <w:lvlText w:val="%7."/>
      <w:lvlJc w:val="left"/>
      <w:pPr>
        <w:ind w:left="11197" w:hanging="360"/>
      </w:pPr>
    </w:lvl>
    <w:lvl w:ilvl="7" w:tplc="04090019" w:tentative="1">
      <w:start w:val="1"/>
      <w:numFmt w:val="lowerLetter"/>
      <w:lvlText w:val="%8."/>
      <w:lvlJc w:val="left"/>
      <w:pPr>
        <w:ind w:left="11917" w:hanging="360"/>
      </w:pPr>
    </w:lvl>
    <w:lvl w:ilvl="8" w:tplc="0409001B" w:tentative="1">
      <w:start w:val="1"/>
      <w:numFmt w:val="lowerRoman"/>
      <w:lvlText w:val="%9."/>
      <w:lvlJc w:val="right"/>
      <w:pPr>
        <w:ind w:left="12637" w:hanging="180"/>
      </w:pPr>
    </w:lvl>
  </w:abstractNum>
  <w:abstractNum w:abstractNumId="2">
    <w:nsid w:val="0FF4273D"/>
    <w:multiLevelType w:val="hybridMultilevel"/>
    <w:tmpl w:val="1A06CA70"/>
    <w:lvl w:ilvl="0" w:tplc="7F36DC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FE102A"/>
    <w:multiLevelType w:val="hybridMultilevel"/>
    <w:tmpl w:val="E746F968"/>
    <w:lvl w:ilvl="0" w:tplc="6512E3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8334BE"/>
    <w:multiLevelType w:val="hybridMultilevel"/>
    <w:tmpl w:val="55121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47E89"/>
    <w:multiLevelType w:val="hybridMultilevel"/>
    <w:tmpl w:val="3DCC2296"/>
    <w:lvl w:ilvl="0" w:tplc="719869DA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704840"/>
    <w:multiLevelType w:val="hybridMultilevel"/>
    <w:tmpl w:val="918AB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D79CE"/>
    <w:multiLevelType w:val="hybridMultilevel"/>
    <w:tmpl w:val="F326C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92F8B"/>
    <w:multiLevelType w:val="hybridMultilevel"/>
    <w:tmpl w:val="B96C0DFA"/>
    <w:lvl w:ilvl="0" w:tplc="70B8C95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E6B79AA"/>
    <w:multiLevelType w:val="hybridMultilevel"/>
    <w:tmpl w:val="0186BAAC"/>
    <w:lvl w:ilvl="0" w:tplc="6C6E4232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12737D"/>
    <w:multiLevelType w:val="hybridMultilevel"/>
    <w:tmpl w:val="D95C239A"/>
    <w:lvl w:ilvl="0" w:tplc="3CE44916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777B7CAB"/>
    <w:multiLevelType w:val="hybridMultilevel"/>
    <w:tmpl w:val="F748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11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uplicates NT|WIPONew"/>
    <w:docVar w:name="TermBaseURL" w:val="empty"/>
    <w:docVar w:name="TextBases" w:val="UPOV\Meetings|UPOV\Other|UPOV\Publications|UPOV\Technical Guidelines"/>
    <w:docVar w:name="TextBaseURL" w:val="empty"/>
    <w:docVar w:name="UILng" w:val="en"/>
  </w:docVars>
  <w:rsids>
    <w:rsidRoot w:val="00F32656"/>
    <w:rsid w:val="00001380"/>
    <w:rsid w:val="00001D48"/>
    <w:rsid w:val="000022C4"/>
    <w:rsid w:val="0000620B"/>
    <w:rsid w:val="00010CF3"/>
    <w:rsid w:val="000118F7"/>
    <w:rsid w:val="00011E27"/>
    <w:rsid w:val="000148BC"/>
    <w:rsid w:val="00015BDE"/>
    <w:rsid w:val="00024AB8"/>
    <w:rsid w:val="00024B58"/>
    <w:rsid w:val="00036028"/>
    <w:rsid w:val="000446B9"/>
    <w:rsid w:val="00047E21"/>
    <w:rsid w:val="0006472C"/>
    <w:rsid w:val="000778E1"/>
    <w:rsid w:val="00082B57"/>
    <w:rsid w:val="00085505"/>
    <w:rsid w:val="000A7774"/>
    <w:rsid w:val="000B76D6"/>
    <w:rsid w:val="000C7021"/>
    <w:rsid w:val="000C7356"/>
    <w:rsid w:val="000D492E"/>
    <w:rsid w:val="000D6BBC"/>
    <w:rsid w:val="000D7780"/>
    <w:rsid w:val="000F337D"/>
    <w:rsid w:val="00105929"/>
    <w:rsid w:val="001070B0"/>
    <w:rsid w:val="00110481"/>
    <w:rsid w:val="00110595"/>
    <w:rsid w:val="001131D5"/>
    <w:rsid w:val="001203FB"/>
    <w:rsid w:val="001374EC"/>
    <w:rsid w:val="00141DB8"/>
    <w:rsid w:val="00155F6F"/>
    <w:rsid w:val="0017474A"/>
    <w:rsid w:val="001758C6"/>
    <w:rsid w:val="001B4474"/>
    <w:rsid w:val="001B56EB"/>
    <w:rsid w:val="001B640B"/>
    <w:rsid w:val="001C3DF3"/>
    <w:rsid w:val="001D19FB"/>
    <w:rsid w:val="001E10C8"/>
    <w:rsid w:val="001F1F2A"/>
    <w:rsid w:val="00210134"/>
    <w:rsid w:val="002114E4"/>
    <w:rsid w:val="002132BB"/>
    <w:rsid w:val="0021332C"/>
    <w:rsid w:val="00213982"/>
    <w:rsid w:val="00221435"/>
    <w:rsid w:val="00222753"/>
    <w:rsid w:val="00237C7D"/>
    <w:rsid w:val="00242B27"/>
    <w:rsid w:val="0024416D"/>
    <w:rsid w:val="002514C5"/>
    <w:rsid w:val="00257A8B"/>
    <w:rsid w:val="00262409"/>
    <w:rsid w:val="0027309C"/>
    <w:rsid w:val="002800A0"/>
    <w:rsid w:val="00281060"/>
    <w:rsid w:val="002925E2"/>
    <w:rsid w:val="00293742"/>
    <w:rsid w:val="0029439F"/>
    <w:rsid w:val="002A0D39"/>
    <w:rsid w:val="002A265D"/>
    <w:rsid w:val="002A6E50"/>
    <w:rsid w:val="002C03CB"/>
    <w:rsid w:val="002C256A"/>
    <w:rsid w:val="002C2B0C"/>
    <w:rsid w:val="002E2A4D"/>
    <w:rsid w:val="002E7BA1"/>
    <w:rsid w:val="002E7F15"/>
    <w:rsid w:val="002F444E"/>
    <w:rsid w:val="002F78FA"/>
    <w:rsid w:val="00300B1B"/>
    <w:rsid w:val="00305A7F"/>
    <w:rsid w:val="00311F89"/>
    <w:rsid w:val="003152FE"/>
    <w:rsid w:val="00327436"/>
    <w:rsid w:val="00330594"/>
    <w:rsid w:val="00343346"/>
    <w:rsid w:val="00344BD6"/>
    <w:rsid w:val="00346346"/>
    <w:rsid w:val="0035528D"/>
    <w:rsid w:val="00361821"/>
    <w:rsid w:val="003626AF"/>
    <w:rsid w:val="003628FD"/>
    <w:rsid w:val="003A17C8"/>
    <w:rsid w:val="003B7F13"/>
    <w:rsid w:val="003C563E"/>
    <w:rsid w:val="003D227C"/>
    <w:rsid w:val="003D2B4D"/>
    <w:rsid w:val="003E47EC"/>
    <w:rsid w:val="003F4782"/>
    <w:rsid w:val="003F6136"/>
    <w:rsid w:val="00413EC4"/>
    <w:rsid w:val="00415619"/>
    <w:rsid w:val="00416172"/>
    <w:rsid w:val="00427139"/>
    <w:rsid w:val="004274E1"/>
    <w:rsid w:val="0043541D"/>
    <w:rsid w:val="0043721D"/>
    <w:rsid w:val="00442EB3"/>
    <w:rsid w:val="00444A88"/>
    <w:rsid w:val="00473B81"/>
    <w:rsid w:val="00473E16"/>
    <w:rsid w:val="00474DA4"/>
    <w:rsid w:val="00476059"/>
    <w:rsid w:val="00490999"/>
    <w:rsid w:val="004A0697"/>
    <w:rsid w:val="004C3EF4"/>
    <w:rsid w:val="004C51B6"/>
    <w:rsid w:val="004D047D"/>
    <w:rsid w:val="004D6C1B"/>
    <w:rsid w:val="004F305A"/>
    <w:rsid w:val="00512164"/>
    <w:rsid w:val="00520297"/>
    <w:rsid w:val="005338F9"/>
    <w:rsid w:val="005369C2"/>
    <w:rsid w:val="00536A0D"/>
    <w:rsid w:val="0054281C"/>
    <w:rsid w:val="0055268D"/>
    <w:rsid w:val="005578E1"/>
    <w:rsid w:val="00566990"/>
    <w:rsid w:val="00572E44"/>
    <w:rsid w:val="00576BE4"/>
    <w:rsid w:val="00585809"/>
    <w:rsid w:val="005A400A"/>
    <w:rsid w:val="005B6F20"/>
    <w:rsid w:val="005B73CE"/>
    <w:rsid w:val="005C5D7E"/>
    <w:rsid w:val="005E3119"/>
    <w:rsid w:val="00612379"/>
    <w:rsid w:val="006140CC"/>
    <w:rsid w:val="0061555F"/>
    <w:rsid w:val="00641200"/>
    <w:rsid w:val="00663ED8"/>
    <w:rsid w:val="00664515"/>
    <w:rsid w:val="00677010"/>
    <w:rsid w:val="00687EB4"/>
    <w:rsid w:val="006A0ABF"/>
    <w:rsid w:val="006B17D2"/>
    <w:rsid w:val="006B3F92"/>
    <w:rsid w:val="006B45FA"/>
    <w:rsid w:val="006C224E"/>
    <w:rsid w:val="006C30CD"/>
    <w:rsid w:val="006E28F5"/>
    <w:rsid w:val="007075EF"/>
    <w:rsid w:val="00732DEC"/>
    <w:rsid w:val="00735BD5"/>
    <w:rsid w:val="0075117E"/>
    <w:rsid w:val="007556F6"/>
    <w:rsid w:val="00760EEF"/>
    <w:rsid w:val="00777EE5"/>
    <w:rsid w:val="00784836"/>
    <w:rsid w:val="0079023E"/>
    <w:rsid w:val="007A7CD4"/>
    <w:rsid w:val="007B45C4"/>
    <w:rsid w:val="007B6894"/>
    <w:rsid w:val="007C6639"/>
    <w:rsid w:val="007D0B9D"/>
    <w:rsid w:val="007D19B0"/>
    <w:rsid w:val="007E4B39"/>
    <w:rsid w:val="007E4E4E"/>
    <w:rsid w:val="007F498F"/>
    <w:rsid w:val="0080679D"/>
    <w:rsid w:val="008108B0"/>
    <w:rsid w:val="00811B20"/>
    <w:rsid w:val="0082296E"/>
    <w:rsid w:val="00824099"/>
    <w:rsid w:val="008258C0"/>
    <w:rsid w:val="00826636"/>
    <w:rsid w:val="00836E88"/>
    <w:rsid w:val="00847AF4"/>
    <w:rsid w:val="00852F29"/>
    <w:rsid w:val="00855DBD"/>
    <w:rsid w:val="00856E16"/>
    <w:rsid w:val="00867AC1"/>
    <w:rsid w:val="008711F3"/>
    <w:rsid w:val="008A395B"/>
    <w:rsid w:val="008A743F"/>
    <w:rsid w:val="008B51D0"/>
    <w:rsid w:val="008C0970"/>
    <w:rsid w:val="008C5178"/>
    <w:rsid w:val="008D2CF7"/>
    <w:rsid w:val="008D7794"/>
    <w:rsid w:val="008E793E"/>
    <w:rsid w:val="00900C26"/>
    <w:rsid w:val="0090197F"/>
    <w:rsid w:val="00906DDC"/>
    <w:rsid w:val="00912BFD"/>
    <w:rsid w:val="00934E09"/>
    <w:rsid w:val="00936253"/>
    <w:rsid w:val="00941A41"/>
    <w:rsid w:val="00941A7E"/>
    <w:rsid w:val="00945F98"/>
    <w:rsid w:val="00954C3C"/>
    <w:rsid w:val="00970FED"/>
    <w:rsid w:val="00997029"/>
    <w:rsid w:val="00997A07"/>
    <w:rsid w:val="009A6956"/>
    <w:rsid w:val="009B7215"/>
    <w:rsid w:val="009D0DE5"/>
    <w:rsid w:val="009D3769"/>
    <w:rsid w:val="009D690D"/>
    <w:rsid w:val="009E65B6"/>
    <w:rsid w:val="00A20EDE"/>
    <w:rsid w:val="00A23A85"/>
    <w:rsid w:val="00A331EC"/>
    <w:rsid w:val="00A4107A"/>
    <w:rsid w:val="00A42AC3"/>
    <w:rsid w:val="00A430CF"/>
    <w:rsid w:val="00A47BFC"/>
    <w:rsid w:val="00A54309"/>
    <w:rsid w:val="00A845F1"/>
    <w:rsid w:val="00AB23F9"/>
    <w:rsid w:val="00AB2B93"/>
    <w:rsid w:val="00AC6A48"/>
    <w:rsid w:val="00AD2FEA"/>
    <w:rsid w:val="00AE0EF1"/>
    <w:rsid w:val="00AE1413"/>
    <w:rsid w:val="00AE3D3F"/>
    <w:rsid w:val="00B07301"/>
    <w:rsid w:val="00B224DE"/>
    <w:rsid w:val="00B27632"/>
    <w:rsid w:val="00B27C88"/>
    <w:rsid w:val="00B7255C"/>
    <w:rsid w:val="00B84BBD"/>
    <w:rsid w:val="00B85CBA"/>
    <w:rsid w:val="00B94C97"/>
    <w:rsid w:val="00BA0462"/>
    <w:rsid w:val="00BA43FB"/>
    <w:rsid w:val="00BB3B30"/>
    <w:rsid w:val="00BB5FC0"/>
    <w:rsid w:val="00BC127D"/>
    <w:rsid w:val="00BC1FE6"/>
    <w:rsid w:val="00BD4C24"/>
    <w:rsid w:val="00BE4C3B"/>
    <w:rsid w:val="00BE6E69"/>
    <w:rsid w:val="00C061B6"/>
    <w:rsid w:val="00C145A1"/>
    <w:rsid w:val="00C21DBF"/>
    <w:rsid w:val="00C2446C"/>
    <w:rsid w:val="00C35095"/>
    <w:rsid w:val="00C36AE5"/>
    <w:rsid w:val="00C41F17"/>
    <w:rsid w:val="00C53308"/>
    <w:rsid w:val="00C54BF4"/>
    <w:rsid w:val="00C5791C"/>
    <w:rsid w:val="00C57DAB"/>
    <w:rsid w:val="00C620C2"/>
    <w:rsid w:val="00C64852"/>
    <w:rsid w:val="00C66290"/>
    <w:rsid w:val="00C67FF6"/>
    <w:rsid w:val="00C72B7A"/>
    <w:rsid w:val="00C76CE8"/>
    <w:rsid w:val="00C84806"/>
    <w:rsid w:val="00C973F2"/>
    <w:rsid w:val="00CA1732"/>
    <w:rsid w:val="00CA774A"/>
    <w:rsid w:val="00CA776C"/>
    <w:rsid w:val="00CC11B0"/>
    <w:rsid w:val="00CF4D54"/>
    <w:rsid w:val="00CF7E36"/>
    <w:rsid w:val="00D05349"/>
    <w:rsid w:val="00D233D8"/>
    <w:rsid w:val="00D24210"/>
    <w:rsid w:val="00D3241D"/>
    <w:rsid w:val="00D3708D"/>
    <w:rsid w:val="00D40426"/>
    <w:rsid w:val="00D477FD"/>
    <w:rsid w:val="00D57C96"/>
    <w:rsid w:val="00D75862"/>
    <w:rsid w:val="00D91203"/>
    <w:rsid w:val="00D95174"/>
    <w:rsid w:val="00D95A5C"/>
    <w:rsid w:val="00DA6F36"/>
    <w:rsid w:val="00DB2441"/>
    <w:rsid w:val="00DB710F"/>
    <w:rsid w:val="00DC00EA"/>
    <w:rsid w:val="00DD0067"/>
    <w:rsid w:val="00E23920"/>
    <w:rsid w:val="00E25AC4"/>
    <w:rsid w:val="00E27818"/>
    <w:rsid w:val="00E35663"/>
    <w:rsid w:val="00E72D49"/>
    <w:rsid w:val="00E7593C"/>
    <w:rsid w:val="00E7678A"/>
    <w:rsid w:val="00E86D23"/>
    <w:rsid w:val="00E935F1"/>
    <w:rsid w:val="00E94A81"/>
    <w:rsid w:val="00EA1FFB"/>
    <w:rsid w:val="00EB048E"/>
    <w:rsid w:val="00EB3EFA"/>
    <w:rsid w:val="00ED415F"/>
    <w:rsid w:val="00ED4F1C"/>
    <w:rsid w:val="00EF2F89"/>
    <w:rsid w:val="00EF40BA"/>
    <w:rsid w:val="00F04DEB"/>
    <w:rsid w:val="00F1237A"/>
    <w:rsid w:val="00F22CBD"/>
    <w:rsid w:val="00F32656"/>
    <w:rsid w:val="00F37961"/>
    <w:rsid w:val="00F52630"/>
    <w:rsid w:val="00F52B73"/>
    <w:rsid w:val="00F62CFD"/>
    <w:rsid w:val="00F6334D"/>
    <w:rsid w:val="00F75CBE"/>
    <w:rsid w:val="00F81DB3"/>
    <w:rsid w:val="00F91E21"/>
    <w:rsid w:val="00F94423"/>
    <w:rsid w:val="00FA49AB"/>
    <w:rsid w:val="00FB0D37"/>
    <w:rsid w:val="00FB68F4"/>
    <w:rsid w:val="00FD7134"/>
    <w:rsid w:val="00FE39C7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B85CBA"/>
    <w:pPr>
      <w:keepNext/>
      <w:jc w:val="both"/>
      <w:outlineLvl w:val="0"/>
    </w:pPr>
    <w:rPr>
      <w:rFonts w:ascii="Arial" w:hAnsi="Arial"/>
      <w:caps/>
      <w:lang w:val="fr-CH"/>
    </w:rPr>
  </w:style>
  <w:style w:type="paragraph" w:styleId="Heading2">
    <w:name w:val="heading 2"/>
    <w:next w:val="Normal"/>
    <w:link w:val="Heading2Char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945F98"/>
    <w:pPr>
      <w:keepNext/>
      <w:jc w:val="both"/>
      <w:outlineLvl w:val="2"/>
    </w:pPr>
    <w:rPr>
      <w:rFonts w:ascii="Arial" w:hAnsi="Arial"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476059"/>
    <w:pPr>
      <w:tabs>
        <w:tab w:val="center" w:pos="4536"/>
        <w:tab w:val="right" w:pos="9072"/>
      </w:tabs>
      <w:jc w:val="center"/>
    </w:pPr>
    <w:rPr>
      <w:rFonts w:ascii="Arial" w:hAnsi="Arial"/>
      <w:sz w:val="10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D7134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6B3F92"/>
    <w:pPr>
      <w:tabs>
        <w:tab w:val="right" w:leader="dot" w:pos="9639"/>
      </w:tabs>
      <w:spacing w:after="60"/>
      <w:ind w:left="567" w:right="851"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B27C88"/>
    <w:pPr>
      <w:tabs>
        <w:tab w:val="right" w:leader="dot" w:pos="9639"/>
      </w:tabs>
      <w:spacing w:after="60"/>
      <w:ind w:left="851" w:right="851"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B7255C"/>
    <w:pPr>
      <w:tabs>
        <w:tab w:val="right" w:leader="dot" w:pos="9639"/>
      </w:tabs>
      <w:spacing w:after="120"/>
      <w:ind w:right="567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basedOn w:val="DefaultParagraphFont"/>
    <w:link w:val="DecisionParagraphs"/>
    <w:rsid w:val="00B27C88"/>
    <w:rPr>
      <w:rFonts w:ascii="Arial" w:hAnsi="Arial"/>
      <w:i/>
    </w:rPr>
  </w:style>
  <w:style w:type="paragraph" w:customStyle="1" w:styleId="StyleTOC1Left">
    <w:name w:val="Style TOC 1 + Left"/>
    <w:basedOn w:val="TOC1"/>
    <w:rsid w:val="00B27C88"/>
    <w:pPr>
      <w:spacing w:before="120"/>
      <w:ind w:right="851"/>
    </w:pPr>
    <w:rPr>
      <w:noProof w:val="0"/>
      <w:sz w:val="18"/>
    </w:rPr>
  </w:style>
  <w:style w:type="character" w:customStyle="1" w:styleId="Heading2Char">
    <w:name w:val="Heading 2 Char"/>
    <w:basedOn w:val="DefaultParagraphFont"/>
    <w:link w:val="Heading2"/>
    <w:rsid w:val="00B27C88"/>
    <w:rPr>
      <w:rFonts w:ascii="Arial" w:hAnsi="Arial"/>
      <w:u w:val="single"/>
    </w:rPr>
  </w:style>
  <w:style w:type="table" w:styleId="TableGrid">
    <w:name w:val="Table Grid"/>
    <w:basedOn w:val="TableNormal"/>
    <w:rsid w:val="00B27C8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ading2ItalicNounderline">
    <w:name w:val="Style Heading 2 + Italic No underline"/>
    <w:basedOn w:val="Heading2"/>
    <w:rsid w:val="00B27C88"/>
    <w:rPr>
      <w:i/>
      <w:iCs/>
      <w:spacing w:val="-2"/>
      <w:u w:val="none"/>
    </w:rPr>
  </w:style>
  <w:style w:type="paragraph" w:styleId="NormalWeb">
    <w:name w:val="Normal (Web)"/>
    <w:basedOn w:val="Normal"/>
    <w:uiPriority w:val="99"/>
    <w:unhideWhenUsed/>
    <w:rsid w:val="00B27C88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</w:rPr>
  </w:style>
  <w:style w:type="paragraph" w:customStyle="1" w:styleId="Style1">
    <w:name w:val="Style1"/>
    <w:basedOn w:val="Normal"/>
    <w:rsid w:val="00B27C88"/>
    <w:pPr>
      <w:tabs>
        <w:tab w:val="decimal" w:pos="907"/>
        <w:tab w:val="left" w:pos="1077"/>
      </w:tabs>
    </w:pPr>
    <w:rPr>
      <w:rFonts w:ascii="Times New Roman" w:hAnsi="Times New Roman"/>
      <w:sz w:val="24"/>
    </w:rPr>
  </w:style>
  <w:style w:type="character" w:customStyle="1" w:styleId="FootnoteTextChar">
    <w:name w:val="Footnote Text Char"/>
    <w:link w:val="FootnoteText"/>
    <w:rsid w:val="00FD7134"/>
    <w:rPr>
      <w:rFonts w:ascii="Arial" w:hAnsi="Arial"/>
      <w:sz w:val="16"/>
    </w:rPr>
  </w:style>
  <w:style w:type="character" w:customStyle="1" w:styleId="Heading1Char">
    <w:name w:val="Heading 1 Char"/>
    <w:basedOn w:val="DefaultParagraphFont"/>
    <w:link w:val="Heading1"/>
    <w:rsid w:val="00B85CBA"/>
    <w:rPr>
      <w:rFonts w:ascii="Arial" w:hAnsi="Arial"/>
      <w:caps/>
      <w:lang w:val="fr-CH"/>
    </w:rPr>
  </w:style>
  <w:style w:type="paragraph" w:styleId="ListParagraph">
    <w:name w:val="List Paragraph"/>
    <w:basedOn w:val="Normal"/>
    <w:uiPriority w:val="34"/>
    <w:qFormat/>
    <w:rsid w:val="00EF40BA"/>
    <w:pPr>
      <w:ind w:left="720"/>
      <w:contextualSpacing/>
    </w:pPr>
  </w:style>
  <w:style w:type="character" w:styleId="FollowedHyperlink">
    <w:name w:val="FollowedHyperlink"/>
    <w:basedOn w:val="DefaultParagraphFont"/>
    <w:rsid w:val="00852F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B85CBA"/>
    <w:pPr>
      <w:keepNext/>
      <w:jc w:val="both"/>
      <w:outlineLvl w:val="0"/>
    </w:pPr>
    <w:rPr>
      <w:rFonts w:ascii="Arial" w:hAnsi="Arial"/>
      <w:caps/>
      <w:lang w:val="fr-CH"/>
    </w:rPr>
  </w:style>
  <w:style w:type="paragraph" w:styleId="Heading2">
    <w:name w:val="heading 2"/>
    <w:next w:val="Normal"/>
    <w:link w:val="Heading2Char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945F98"/>
    <w:pPr>
      <w:keepNext/>
      <w:jc w:val="both"/>
      <w:outlineLvl w:val="2"/>
    </w:pPr>
    <w:rPr>
      <w:rFonts w:ascii="Arial" w:hAnsi="Arial"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476059"/>
    <w:pPr>
      <w:tabs>
        <w:tab w:val="center" w:pos="4536"/>
        <w:tab w:val="right" w:pos="9072"/>
      </w:tabs>
      <w:jc w:val="center"/>
    </w:pPr>
    <w:rPr>
      <w:rFonts w:ascii="Arial" w:hAnsi="Arial"/>
      <w:sz w:val="10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D7134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6B3F92"/>
    <w:pPr>
      <w:tabs>
        <w:tab w:val="right" w:leader="dot" w:pos="9639"/>
      </w:tabs>
      <w:spacing w:after="60"/>
      <w:ind w:left="567" w:right="851"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B27C88"/>
    <w:pPr>
      <w:tabs>
        <w:tab w:val="right" w:leader="dot" w:pos="9639"/>
      </w:tabs>
      <w:spacing w:after="60"/>
      <w:ind w:left="851" w:right="851"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B7255C"/>
    <w:pPr>
      <w:tabs>
        <w:tab w:val="right" w:leader="dot" w:pos="9639"/>
      </w:tabs>
      <w:spacing w:after="120"/>
      <w:ind w:right="567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basedOn w:val="DefaultParagraphFont"/>
    <w:link w:val="DecisionParagraphs"/>
    <w:rsid w:val="00B27C88"/>
    <w:rPr>
      <w:rFonts w:ascii="Arial" w:hAnsi="Arial"/>
      <w:i/>
    </w:rPr>
  </w:style>
  <w:style w:type="paragraph" w:customStyle="1" w:styleId="StyleTOC1Left">
    <w:name w:val="Style TOC 1 + Left"/>
    <w:basedOn w:val="TOC1"/>
    <w:rsid w:val="00B27C88"/>
    <w:pPr>
      <w:spacing w:before="120"/>
      <w:ind w:right="851"/>
    </w:pPr>
    <w:rPr>
      <w:noProof w:val="0"/>
      <w:sz w:val="18"/>
    </w:rPr>
  </w:style>
  <w:style w:type="character" w:customStyle="1" w:styleId="Heading2Char">
    <w:name w:val="Heading 2 Char"/>
    <w:basedOn w:val="DefaultParagraphFont"/>
    <w:link w:val="Heading2"/>
    <w:rsid w:val="00B27C88"/>
    <w:rPr>
      <w:rFonts w:ascii="Arial" w:hAnsi="Arial"/>
      <w:u w:val="single"/>
    </w:rPr>
  </w:style>
  <w:style w:type="table" w:styleId="TableGrid">
    <w:name w:val="Table Grid"/>
    <w:basedOn w:val="TableNormal"/>
    <w:rsid w:val="00B27C8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ading2ItalicNounderline">
    <w:name w:val="Style Heading 2 + Italic No underline"/>
    <w:basedOn w:val="Heading2"/>
    <w:rsid w:val="00B27C88"/>
    <w:rPr>
      <w:i/>
      <w:iCs/>
      <w:spacing w:val="-2"/>
      <w:u w:val="none"/>
    </w:rPr>
  </w:style>
  <w:style w:type="paragraph" w:styleId="NormalWeb">
    <w:name w:val="Normal (Web)"/>
    <w:basedOn w:val="Normal"/>
    <w:uiPriority w:val="99"/>
    <w:unhideWhenUsed/>
    <w:rsid w:val="00B27C88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</w:rPr>
  </w:style>
  <w:style w:type="paragraph" w:customStyle="1" w:styleId="Style1">
    <w:name w:val="Style1"/>
    <w:basedOn w:val="Normal"/>
    <w:rsid w:val="00B27C88"/>
    <w:pPr>
      <w:tabs>
        <w:tab w:val="decimal" w:pos="907"/>
        <w:tab w:val="left" w:pos="1077"/>
      </w:tabs>
    </w:pPr>
    <w:rPr>
      <w:rFonts w:ascii="Times New Roman" w:hAnsi="Times New Roman"/>
      <w:sz w:val="24"/>
    </w:rPr>
  </w:style>
  <w:style w:type="character" w:customStyle="1" w:styleId="FootnoteTextChar">
    <w:name w:val="Footnote Text Char"/>
    <w:link w:val="FootnoteText"/>
    <w:rsid w:val="00FD7134"/>
    <w:rPr>
      <w:rFonts w:ascii="Arial" w:hAnsi="Arial"/>
      <w:sz w:val="16"/>
    </w:rPr>
  </w:style>
  <w:style w:type="character" w:customStyle="1" w:styleId="Heading1Char">
    <w:name w:val="Heading 1 Char"/>
    <w:basedOn w:val="DefaultParagraphFont"/>
    <w:link w:val="Heading1"/>
    <w:rsid w:val="00B85CBA"/>
    <w:rPr>
      <w:rFonts w:ascii="Arial" w:hAnsi="Arial"/>
      <w:caps/>
      <w:lang w:val="fr-CH"/>
    </w:rPr>
  </w:style>
  <w:style w:type="paragraph" w:styleId="ListParagraph">
    <w:name w:val="List Paragraph"/>
    <w:basedOn w:val="Normal"/>
    <w:uiPriority w:val="34"/>
    <w:qFormat/>
    <w:rsid w:val="00EF40BA"/>
    <w:pPr>
      <w:ind w:left="720"/>
      <w:contextualSpacing/>
    </w:pPr>
  </w:style>
  <w:style w:type="character" w:styleId="FollowedHyperlink">
    <w:name w:val="FollowedHyperlink"/>
    <w:basedOn w:val="DefaultParagraphFont"/>
    <w:rsid w:val="00852F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pov.int/meetings/fr/details.jsp?meeting_id=29782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upov.int/meetings/fr/details.jsp?meeting_id=29783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pov.int/meetings/fr/details.jsp?meeting_id=29782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upov.int/meetings/fr/details.jsp?meeting_id=297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63B37-742F-49A3-A0CD-5ED962A4DC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BC92E8-B32D-48B9-8639-A2D00AD4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8</Pages>
  <Words>2702</Words>
  <Characters>16783</Characters>
  <Application>Microsoft Office Word</Application>
  <DocSecurity>0</DocSecurity>
  <Lines>139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CAJ/70/</vt:lpstr>
    </vt:vector>
  </TitlesOfParts>
  <Company>UPOV</Company>
  <LinksUpToDate>false</LinksUpToDate>
  <CharactersWithSpaces>19447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CAJ/70/</dc:title>
  <dc:creator>MAY Jessica</dc:creator>
  <cp:keywords>NG/ko</cp:keywords>
  <cp:lastModifiedBy>BESSE Ariane</cp:lastModifiedBy>
  <cp:revision>27</cp:revision>
  <cp:lastPrinted>2014-09-09T16:48:00Z</cp:lastPrinted>
  <dcterms:created xsi:type="dcterms:W3CDTF">2014-08-28T10:18:00Z</dcterms:created>
  <dcterms:modified xsi:type="dcterms:W3CDTF">2014-09-12T16:24:00Z</dcterms:modified>
</cp:coreProperties>
</file>