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8730BA" w:rsidTr="00900241">
        <w:trPr>
          <w:trHeight w:val="1760"/>
        </w:trPr>
        <w:tc>
          <w:tcPr>
            <w:tcW w:w="4243" w:type="dxa"/>
          </w:tcPr>
          <w:p w:rsidR="000D7780" w:rsidRPr="008730BA" w:rsidRDefault="000D7780" w:rsidP="006655D3"/>
        </w:tc>
        <w:tc>
          <w:tcPr>
            <w:tcW w:w="1646" w:type="dxa"/>
            <w:vAlign w:val="center"/>
          </w:tcPr>
          <w:p w:rsidR="000D7780" w:rsidRPr="008730BA" w:rsidRDefault="00AD6353" w:rsidP="006655D3">
            <w:pPr>
              <w:pStyle w:val="LogoUPOV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81075" cy="485775"/>
                  <wp:effectExtent l="0" t="0" r="9525" b="9525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8730BA" w:rsidRDefault="008730BA" w:rsidP="006655D3">
            <w:pPr>
              <w:pStyle w:val="Lettrine"/>
            </w:pPr>
            <w:r w:rsidRPr="008730BA">
              <w:t>F</w:t>
            </w:r>
          </w:p>
          <w:p w:rsidR="000D7780" w:rsidRPr="008730BA" w:rsidRDefault="0060443F" w:rsidP="006655D3">
            <w:pPr>
              <w:pStyle w:val="Docoriginal"/>
            </w:pPr>
            <w:r>
              <w:t>CAJ</w:t>
            </w:r>
            <w:r w:rsidR="00667404" w:rsidRPr="008730BA">
              <w:t>/</w:t>
            </w:r>
            <w:r>
              <w:t>69</w:t>
            </w:r>
            <w:r w:rsidR="00667404" w:rsidRPr="008730BA">
              <w:t>/</w:t>
            </w:r>
            <w:bookmarkStart w:id="0" w:name="Code"/>
            <w:bookmarkEnd w:id="0"/>
            <w:r>
              <w:t>4</w:t>
            </w:r>
          </w:p>
          <w:p w:rsidR="000D7780" w:rsidRPr="008730BA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8730BA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D30941" w:rsidRPr="008730BA">
              <w:rPr>
                <w:rStyle w:val="StyleDoclangBold"/>
                <w:b/>
                <w:bCs/>
                <w:spacing w:val="0"/>
                <w:lang w:val="fr-FR"/>
              </w:rPr>
              <w:t> :</w:t>
            </w:r>
            <w:r w:rsidR="000D7780" w:rsidRPr="008730BA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="00FA5688" w:rsidRPr="008730BA">
              <w:rPr>
                <w:b w:val="0"/>
                <w:spacing w:val="0"/>
              </w:rPr>
              <w:t>anglais</w:t>
            </w:r>
          </w:p>
          <w:p w:rsidR="000D7780" w:rsidRPr="008730BA" w:rsidRDefault="000D7780" w:rsidP="0060443F">
            <w:pPr>
              <w:pStyle w:val="Docoriginal"/>
            </w:pPr>
            <w:r w:rsidRPr="008730BA">
              <w:rPr>
                <w:spacing w:val="0"/>
              </w:rPr>
              <w:t>DATE</w:t>
            </w:r>
            <w:r w:rsidR="00D30941" w:rsidRPr="008730BA">
              <w:rPr>
                <w:spacing w:val="0"/>
              </w:rPr>
              <w:t> </w:t>
            </w:r>
            <w:r w:rsidR="00D30941" w:rsidRPr="00745392">
              <w:rPr>
                <w:spacing w:val="0"/>
              </w:rPr>
              <w:t>:</w:t>
            </w:r>
            <w:r w:rsidRPr="00745392">
              <w:rPr>
                <w:spacing w:val="0"/>
              </w:rPr>
              <w:t xml:space="preserve"> </w:t>
            </w:r>
            <w:bookmarkStart w:id="2" w:name="Date"/>
            <w:bookmarkEnd w:id="2"/>
            <w:r w:rsidR="0060443F">
              <w:rPr>
                <w:b w:val="0"/>
                <w:spacing w:val="0"/>
              </w:rPr>
              <w:t>13</w:t>
            </w:r>
            <w:r w:rsidR="00900241" w:rsidRPr="00745392">
              <w:rPr>
                <w:b w:val="0"/>
                <w:spacing w:val="0"/>
              </w:rPr>
              <w:t> </w:t>
            </w:r>
            <w:r w:rsidR="0060443F">
              <w:rPr>
                <w:b w:val="0"/>
                <w:spacing w:val="0"/>
              </w:rPr>
              <w:t>mars</w:t>
            </w:r>
            <w:r w:rsidR="00900241" w:rsidRPr="00745392">
              <w:rPr>
                <w:b w:val="0"/>
                <w:spacing w:val="0"/>
              </w:rPr>
              <w:t> 20</w:t>
            </w:r>
            <w:r w:rsidR="001131D5" w:rsidRPr="00745392">
              <w:rPr>
                <w:b w:val="0"/>
                <w:spacing w:val="0"/>
              </w:rPr>
              <w:t>1</w:t>
            </w:r>
            <w:r w:rsidR="00050E16" w:rsidRPr="00745392">
              <w:rPr>
                <w:b w:val="0"/>
                <w:spacing w:val="0"/>
              </w:rPr>
              <w:t>4</w:t>
            </w:r>
          </w:p>
        </w:tc>
      </w:tr>
      <w:tr w:rsidR="000D7780" w:rsidRPr="008730BA" w:rsidTr="00900241">
        <w:tc>
          <w:tcPr>
            <w:tcW w:w="10131" w:type="dxa"/>
            <w:gridSpan w:val="3"/>
          </w:tcPr>
          <w:p w:rsidR="000D7780" w:rsidRPr="008730BA" w:rsidRDefault="00FA5688" w:rsidP="006655D3">
            <w:pPr>
              <w:pStyle w:val="upove"/>
              <w:rPr>
                <w:sz w:val="28"/>
              </w:rPr>
            </w:pPr>
            <w:r w:rsidRPr="008730BA">
              <w:rPr>
                <w:snapToGrid w:val="0"/>
              </w:rPr>
              <w:t>UNION INTERNATIONALE POUR LA PROTECTION DES OBTENTIONS V</w:t>
            </w:r>
            <w:r w:rsidRPr="008730BA">
              <w:rPr>
                <w:rFonts w:cs="Arial"/>
                <w:snapToGrid w:val="0"/>
              </w:rPr>
              <w:t>É</w:t>
            </w:r>
            <w:r w:rsidRPr="008730BA">
              <w:rPr>
                <w:snapToGrid w:val="0"/>
              </w:rPr>
              <w:t>G</w:t>
            </w:r>
            <w:r w:rsidRPr="008730BA">
              <w:rPr>
                <w:rFonts w:cs="Arial"/>
                <w:snapToGrid w:val="0"/>
              </w:rPr>
              <w:t>É</w:t>
            </w:r>
            <w:r w:rsidRPr="008730BA">
              <w:rPr>
                <w:snapToGrid w:val="0"/>
              </w:rPr>
              <w:t>TALES</w:t>
            </w:r>
          </w:p>
        </w:tc>
      </w:tr>
      <w:tr w:rsidR="000D7780" w:rsidRPr="008730BA" w:rsidTr="00900241">
        <w:tc>
          <w:tcPr>
            <w:tcW w:w="10131" w:type="dxa"/>
            <w:gridSpan w:val="3"/>
          </w:tcPr>
          <w:p w:rsidR="000D7780" w:rsidRPr="008730BA" w:rsidRDefault="00867AC1" w:rsidP="00FA5688">
            <w:pPr>
              <w:pStyle w:val="Country"/>
            </w:pPr>
            <w:r w:rsidRPr="008730BA">
              <w:t>Gen</w:t>
            </w:r>
            <w:r w:rsidR="00FA5688" w:rsidRPr="008730BA">
              <w:t>ève</w:t>
            </w:r>
          </w:p>
        </w:tc>
      </w:tr>
    </w:tbl>
    <w:p w:rsidR="000D7780" w:rsidRPr="008730BA" w:rsidRDefault="0024416D" w:rsidP="006655D3">
      <w:pPr>
        <w:pStyle w:val="Sessiontc"/>
      </w:pPr>
      <w:r w:rsidRPr="008730BA">
        <w:t>Com</w:t>
      </w:r>
      <w:r w:rsidR="00FA5688" w:rsidRPr="008730BA">
        <w:t xml:space="preserve">ité </w:t>
      </w:r>
      <w:r w:rsidR="0060443F">
        <w:t>ADMINISTRATIF ET JURIDIQUE</w:t>
      </w:r>
    </w:p>
    <w:p w:rsidR="00FA5688" w:rsidRPr="008730BA" w:rsidRDefault="0060443F" w:rsidP="00FA5688">
      <w:pPr>
        <w:pStyle w:val="Sessiontcplacedate"/>
      </w:pPr>
      <w:bookmarkStart w:id="3" w:name="TitleOfDoc"/>
      <w:bookmarkEnd w:id="3"/>
      <w:r>
        <w:t>Soixante</w:t>
      </w:r>
      <w:r>
        <w:noBreakHyphen/>
        <w:t>neuvième</w:t>
      </w:r>
      <w:r w:rsidR="00D30941" w:rsidRPr="008730BA">
        <w:t> </w:t>
      </w:r>
      <w:r w:rsidR="00FA5688" w:rsidRPr="008730BA">
        <w:t>session</w:t>
      </w:r>
      <w:r w:rsidR="00FA5688" w:rsidRPr="008730BA">
        <w:br/>
        <w:t xml:space="preserve">Genève, </w:t>
      </w:r>
      <w:r>
        <w:t>10</w:t>
      </w:r>
      <w:r w:rsidR="00900241" w:rsidRPr="008730BA">
        <w:t> avril 20</w:t>
      </w:r>
      <w:r w:rsidR="00FA5688" w:rsidRPr="008730BA">
        <w:t>14</w:t>
      </w:r>
    </w:p>
    <w:p w:rsidR="000D7780" w:rsidRPr="008730BA" w:rsidRDefault="00AE48EB" w:rsidP="006655D3">
      <w:pPr>
        <w:pStyle w:val="Titleofdoc0"/>
      </w:pPr>
      <w:r w:rsidRPr="008730BA">
        <w:t>techniques</w:t>
      </w:r>
      <w:r w:rsidR="00FA5688" w:rsidRPr="008730BA">
        <w:t xml:space="preserve"> moléculaires</w:t>
      </w:r>
    </w:p>
    <w:p w:rsidR="00FA5688" w:rsidRPr="008730BA" w:rsidRDefault="00FA5688" w:rsidP="00FA5688">
      <w:pPr>
        <w:pStyle w:val="preparedby1"/>
        <w:rPr>
          <w:color w:val="A6A6A6"/>
        </w:rPr>
      </w:pPr>
      <w:bookmarkStart w:id="4" w:name="Prepared"/>
      <w:bookmarkStart w:id="5" w:name="_Toc374716168"/>
      <w:bookmarkEnd w:id="4"/>
      <w:r w:rsidRPr="008730BA">
        <w:t>Document établi par le Bureau de l</w:t>
      </w:r>
      <w:r w:rsidR="00900241" w:rsidRPr="008730BA">
        <w:t>’</w:t>
      </w:r>
      <w:r w:rsidRPr="008730BA">
        <w:t>Union</w:t>
      </w:r>
      <w:r w:rsidRPr="008730BA">
        <w:br/>
      </w:r>
      <w:r w:rsidRPr="008730BA">
        <w:br/>
      </w:r>
      <w:r w:rsidRPr="008730BA">
        <w:rPr>
          <w:color w:val="A6A6A6"/>
        </w:rPr>
        <w:t>Avertissement</w:t>
      </w:r>
      <w:r w:rsidR="00D30941" w:rsidRPr="008730BA">
        <w:rPr>
          <w:color w:val="A6A6A6"/>
        </w:rPr>
        <w:t> </w:t>
      </w:r>
      <w:r w:rsidRPr="008730BA">
        <w:rPr>
          <w:color w:val="A6A6A6"/>
        </w:rPr>
        <w:t>: le présent document ne représente pas les principes ou les orientations de l</w:t>
      </w:r>
      <w:r w:rsidR="00900241" w:rsidRPr="008730BA">
        <w:rPr>
          <w:color w:val="A6A6A6"/>
        </w:rPr>
        <w:t>’</w:t>
      </w:r>
      <w:r w:rsidRPr="008730BA">
        <w:rPr>
          <w:color w:val="A6A6A6"/>
        </w:rPr>
        <w:t>UPOV</w:t>
      </w:r>
    </w:p>
    <w:p w:rsidR="00900241" w:rsidRPr="008730BA" w:rsidRDefault="000543D3" w:rsidP="000F7E6A">
      <w:r w:rsidRPr="008730BA">
        <w:fldChar w:fldCharType="begin"/>
      </w:r>
      <w:r w:rsidR="000F7E6A" w:rsidRPr="008730BA">
        <w:instrText xml:space="preserve"> AUTONUM  </w:instrText>
      </w:r>
      <w:r w:rsidRPr="008730BA">
        <w:fldChar w:fldCharType="end"/>
      </w:r>
      <w:r w:rsidR="000F7E6A" w:rsidRPr="008730BA">
        <w:tab/>
      </w:r>
      <w:r w:rsidR="00FA5688" w:rsidRPr="008730BA">
        <w:t>Le présent document a pour objet de faire rapport sur les faits nouveaux concernant</w:t>
      </w:r>
      <w:r w:rsidR="00D30941" w:rsidRPr="008730BA">
        <w:t> </w:t>
      </w:r>
      <w:r w:rsidR="000F7E6A" w:rsidRPr="008730BA">
        <w:t>:</w:t>
      </w:r>
    </w:p>
    <w:p w:rsidR="000F7E6A" w:rsidRPr="008730BA" w:rsidRDefault="000F7E6A" w:rsidP="000F7E6A"/>
    <w:p w:rsidR="000F7E6A" w:rsidRPr="008730BA" w:rsidRDefault="000F7E6A" w:rsidP="00A53CDD">
      <w:pPr>
        <w:ind w:left="1134" w:hanging="567"/>
        <w:rPr>
          <w:noProof/>
        </w:rPr>
      </w:pPr>
      <w:r w:rsidRPr="008730BA">
        <w:t>a)</w:t>
      </w:r>
      <w:r w:rsidRPr="008730BA">
        <w:tab/>
      </w:r>
      <w:r w:rsidR="00FA5688" w:rsidRPr="008730BA">
        <w:t>l</w:t>
      </w:r>
      <w:r w:rsidR="00900241" w:rsidRPr="008730BA">
        <w:t>’</w:t>
      </w:r>
      <w:r w:rsidR="00FA5688" w:rsidRPr="008730BA">
        <w:t>utilisation des marqueurs biochimiques et moléculaires dans l</w:t>
      </w:r>
      <w:r w:rsidR="00900241" w:rsidRPr="008730BA">
        <w:t>’</w:t>
      </w:r>
      <w:r w:rsidR="00FA5688" w:rsidRPr="008730BA">
        <w:t>examen de la distinction, de</w:t>
      </w:r>
      <w:r w:rsidR="008730BA" w:rsidRPr="008730BA">
        <w:t> </w:t>
      </w:r>
      <w:r w:rsidR="00FA5688" w:rsidRPr="008730BA">
        <w:t>l</w:t>
      </w:r>
      <w:r w:rsidR="00900241" w:rsidRPr="008730BA">
        <w:t>’</w:t>
      </w:r>
      <w:r w:rsidR="00FA5688" w:rsidRPr="008730BA">
        <w:t>homogénéité et de la stabilité (DHS);</w:t>
      </w:r>
    </w:p>
    <w:p w:rsidR="000F7E6A" w:rsidRPr="008730BA" w:rsidRDefault="000F7E6A" w:rsidP="000F7E6A">
      <w:pPr>
        <w:ind w:left="1134" w:hanging="567"/>
        <w:rPr>
          <w:snapToGrid w:val="0"/>
        </w:rPr>
      </w:pPr>
    </w:p>
    <w:p w:rsidR="000F7E6A" w:rsidRPr="008730BA" w:rsidRDefault="000F7E6A" w:rsidP="00A53CDD">
      <w:pPr>
        <w:ind w:left="1134" w:hanging="567"/>
      </w:pPr>
      <w:r w:rsidRPr="008730BA">
        <w:t>b)</w:t>
      </w:r>
      <w:r w:rsidRPr="008730BA">
        <w:tab/>
      </w:r>
      <w:r w:rsidR="00FA5688" w:rsidRPr="008730BA">
        <w:t>le Groupe de travail sur les techniques biochimiques et moléculaires, no</w:t>
      </w:r>
      <w:r w:rsidR="00F31977" w:rsidRPr="008730BA">
        <w:t>tamment les profils d</w:t>
      </w:r>
      <w:r w:rsidR="00900241" w:rsidRPr="008730BA">
        <w:t>’</w:t>
      </w:r>
      <w:r w:rsidR="00F31977" w:rsidRPr="008730BA">
        <w:t>ADN (BMT)</w:t>
      </w:r>
      <w:r w:rsidR="001D5E40" w:rsidRPr="008730BA">
        <w:t xml:space="preserve">; </w:t>
      </w:r>
      <w:r w:rsidR="00D30941" w:rsidRPr="008730BA">
        <w:t xml:space="preserve"> </w:t>
      </w:r>
      <w:r w:rsidR="00FA5688" w:rsidRPr="008730BA">
        <w:t>et</w:t>
      </w:r>
    </w:p>
    <w:p w:rsidR="000F7E6A" w:rsidRPr="008730BA" w:rsidRDefault="000F7E6A" w:rsidP="000F7E6A">
      <w:pPr>
        <w:ind w:left="1134" w:hanging="567"/>
      </w:pPr>
    </w:p>
    <w:p w:rsidR="001D5E40" w:rsidRPr="008730BA" w:rsidRDefault="000F7E6A" w:rsidP="00A53CDD">
      <w:pPr>
        <w:ind w:left="1134" w:hanging="567"/>
      </w:pPr>
      <w:r w:rsidRPr="008730BA">
        <w:t>c)</w:t>
      </w:r>
      <w:r w:rsidR="00F74FDE" w:rsidRPr="008730BA">
        <w:tab/>
      </w:r>
      <w:r w:rsidR="00FA5688" w:rsidRPr="008730BA">
        <w:t xml:space="preserve">la </w:t>
      </w:r>
      <w:r w:rsidR="007E7B95" w:rsidRPr="008730BA">
        <w:t>diffusion</w:t>
      </w:r>
      <w:r w:rsidR="00E339A6" w:rsidRPr="008730BA">
        <w:t xml:space="preserve"> </w:t>
      </w:r>
      <w:r w:rsidR="00FA5688" w:rsidRPr="008730BA">
        <w:t>d</w:t>
      </w:r>
      <w:r w:rsidR="00900241" w:rsidRPr="008730BA">
        <w:t>’</w:t>
      </w:r>
      <w:r w:rsidRPr="008730BA">
        <w:t>information</w:t>
      </w:r>
      <w:r w:rsidR="00FA5688" w:rsidRPr="008730BA">
        <w:t>s</w:t>
      </w:r>
      <w:r w:rsidRPr="008730BA">
        <w:t xml:space="preserve"> </w:t>
      </w:r>
      <w:r w:rsidR="00FA5688" w:rsidRPr="008730BA">
        <w:t>à un plus large public, y</w:t>
      </w:r>
      <w:r w:rsidR="00D30941" w:rsidRPr="008730BA">
        <w:t> </w:t>
      </w:r>
      <w:r w:rsidR="00FA5688" w:rsidRPr="008730BA">
        <w:t>compris les obtenteurs et le public en</w:t>
      </w:r>
      <w:r w:rsidR="008730BA" w:rsidRPr="008730BA">
        <w:t> </w:t>
      </w:r>
      <w:r w:rsidR="00FA5688" w:rsidRPr="008730BA">
        <w:t>général</w:t>
      </w:r>
      <w:r w:rsidR="007E7B95" w:rsidRPr="008730BA">
        <w:t>, sur la situation à l</w:t>
      </w:r>
      <w:r w:rsidR="00900241" w:rsidRPr="008730BA">
        <w:t>’</w:t>
      </w:r>
      <w:r w:rsidR="007E7B95" w:rsidRPr="008730BA">
        <w:t>UPOV concernant l</w:t>
      </w:r>
      <w:r w:rsidR="00900241" w:rsidRPr="008730BA">
        <w:t>’</w:t>
      </w:r>
      <w:r w:rsidR="007E7B95" w:rsidRPr="008730BA">
        <w:t>utilisation de techniques moléculaires</w:t>
      </w:r>
      <w:r w:rsidRPr="008730BA">
        <w:t>.</w:t>
      </w:r>
      <w:bookmarkEnd w:id="5"/>
    </w:p>
    <w:p w:rsidR="001D5E40" w:rsidRPr="008730BA" w:rsidRDefault="001D5E40" w:rsidP="001D5E40"/>
    <w:p w:rsidR="00362C4E" w:rsidRPr="008730BA" w:rsidRDefault="000543D3" w:rsidP="00362C4E">
      <w:pPr>
        <w:keepNext/>
        <w:rPr>
          <w:color w:val="000000"/>
        </w:rPr>
      </w:pPr>
      <w:r w:rsidRPr="008730BA">
        <w:fldChar w:fldCharType="begin"/>
      </w:r>
      <w:r w:rsidR="00C65728" w:rsidRPr="008730BA">
        <w:instrText xml:space="preserve"> AUTONUM  </w:instrText>
      </w:r>
      <w:r w:rsidRPr="008730BA">
        <w:fldChar w:fldCharType="end"/>
      </w:r>
      <w:r w:rsidR="00195A44" w:rsidRPr="008730BA">
        <w:tab/>
      </w:r>
      <w:r w:rsidR="007E7B95" w:rsidRPr="008730BA">
        <w:rPr>
          <w:color w:val="000000"/>
        </w:rPr>
        <w:t xml:space="preserve">Les </w:t>
      </w:r>
      <w:r w:rsidR="00362C4E" w:rsidRPr="008730BA">
        <w:rPr>
          <w:color w:val="000000"/>
        </w:rPr>
        <w:t>ab</w:t>
      </w:r>
      <w:r w:rsidR="007E7B95" w:rsidRPr="008730BA">
        <w:rPr>
          <w:color w:val="000000"/>
        </w:rPr>
        <w:t>ré</w:t>
      </w:r>
      <w:r w:rsidR="00362C4E" w:rsidRPr="008730BA">
        <w:rPr>
          <w:color w:val="000000"/>
        </w:rPr>
        <w:t xml:space="preserve">viations </w:t>
      </w:r>
      <w:r w:rsidR="007E7B95" w:rsidRPr="008730BA">
        <w:rPr>
          <w:color w:val="000000"/>
        </w:rPr>
        <w:t>suivantes sont utilisées dans le présent</w:t>
      </w:r>
      <w:r w:rsidR="00362C4E" w:rsidRPr="008730BA">
        <w:rPr>
          <w:color w:val="000000"/>
        </w:rPr>
        <w:t xml:space="preserve"> document</w:t>
      </w:r>
      <w:r w:rsidR="00D30941" w:rsidRPr="008730BA">
        <w:rPr>
          <w:color w:val="000000"/>
        </w:rPr>
        <w:t> </w:t>
      </w:r>
      <w:r w:rsidR="00362C4E" w:rsidRPr="008730BA">
        <w:rPr>
          <w:color w:val="000000"/>
        </w:rPr>
        <w:t>:</w:t>
      </w:r>
    </w:p>
    <w:p w:rsidR="00362C4E" w:rsidRPr="008730BA" w:rsidRDefault="00362C4E" w:rsidP="00362C4E">
      <w:pPr>
        <w:keepNext/>
        <w:ind w:left="1692" w:hanging="1125"/>
        <w:jc w:val="left"/>
        <w:rPr>
          <w:color w:val="000000"/>
        </w:rPr>
      </w:pPr>
    </w:p>
    <w:p w:rsidR="002F749F" w:rsidRPr="008730BA" w:rsidRDefault="00362C4E" w:rsidP="002F749F">
      <w:pPr>
        <w:keepNext/>
        <w:tabs>
          <w:tab w:val="left" w:pos="567"/>
          <w:tab w:val="left" w:pos="1701"/>
        </w:tabs>
        <w:ind w:left="1701" w:hanging="1134"/>
      </w:pPr>
      <w:r w:rsidRPr="008730BA">
        <w:t>BMT</w:t>
      </w:r>
      <w:r w:rsidR="00D30941" w:rsidRPr="008730BA">
        <w:t xml:space="preserve"> : </w:t>
      </w:r>
      <w:r w:rsidRPr="008730BA">
        <w:tab/>
      </w:r>
      <w:r w:rsidR="007E7B95" w:rsidRPr="008730BA">
        <w:t>Groupe de travail sur les techniques biochimiques et moléculaires, notamment les profils d</w:t>
      </w:r>
      <w:r w:rsidR="00900241" w:rsidRPr="008730BA">
        <w:t>’</w:t>
      </w:r>
      <w:r w:rsidR="007E7B95" w:rsidRPr="008730BA">
        <w:t>ADN</w:t>
      </w:r>
    </w:p>
    <w:p w:rsidR="00362C4E" w:rsidRPr="008730BA" w:rsidRDefault="00362C4E" w:rsidP="00362C4E">
      <w:pPr>
        <w:keepNext/>
        <w:tabs>
          <w:tab w:val="left" w:pos="567"/>
          <w:tab w:val="left" w:pos="1701"/>
        </w:tabs>
        <w:ind w:firstLine="567"/>
      </w:pPr>
      <w:r w:rsidRPr="008730BA">
        <w:t>CAJ</w:t>
      </w:r>
      <w:r w:rsidR="00D30941" w:rsidRPr="008730BA">
        <w:t xml:space="preserve"> : </w:t>
      </w:r>
      <w:r w:rsidR="00195A44" w:rsidRPr="008730BA">
        <w:tab/>
      </w:r>
      <w:r w:rsidR="007E7B95" w:rsidRPr="008730BA">
        <w:t>Comité administratif et juridique</w:t>
      </w:r>
    </w:p>
    <w:p w:rsidR="00C45724" w:rsidRPr="008730BA" w:rsidRDefault="00362C4E" w:rsidP="00C45724">
      <w:pPr>
        <w:keepNext/>
        <w:tabs>
          <w:tab w:val="left" w:pos="567"/>
          <w:tab w:val="left" w:pos="1701"/>
        </w:tabs>
        <w:ind w:firstLine="567"/>
      </w:pPr>
      <w:r w:rsidRPr="008730BA">
        <w:t>TC</w:t>
      </w:r>
      <w:r w:rsidR="00D30941" w:rsidRPr="008730BA">
        <w:t xml:space="preserve"> : </w:t>
      </w:r>
      <w:r w:rsidRPr="008730BA">
        <w:tab/>
      </w:r>
      <w:r w:rsidR="007E7B95" w:rsidRPr="008730BA">
        <w:t>Comité technique</w:t>
      </w:r>
    </w:p>
    <w:p w:rsidR="001D5E40" w:rsidRPr="008730BA" w:rsidRDefault="00C45724" w:rsidP="00C45724">
      <w:pPr>
        <w:keepNext/>
        <w:tabs>
          <w:tab w:val="left" w:pos="567"/>
          <w:tab w:val="left" w:pos="1701"/>
        </w:tabs>
        <w:ind w:firstLine="567"/>
      </w:pPr>
      <w:r w:rsidRPr="008730BA">
        <w:t>TC</w:t>
      </w:r>
      <w:r w:rsidR="00900241" w:rsidRPr="008730BA">
        <w:t>-</w:t>
      </w:r>
      <w:r w:rsidRPr="008730BA">
        <w:t>EDC</w:t>
      </w:r>
      <w:r w:rsidR="00D30941" w:rsidRPr="008730BA">
        <w:t xml:space="preserve"> : </w:t>
      </w:r>
      <w:r w:rsidR="00195A44" w:rsidRPr="008730BA">
        <w:tab/>
      </w:r>
      <w:r w:rsidR="007E7B95" w:rsidRPr="008730BA">
        <w:t>Comité de rédaction élargi</w:t>
      </w:r>
    </w:p>
    <w:p w:rsidR="001D5E40" w:rsidRPr="008730BA" w:rsidRDefault="001D5E40" w:rsidP="001D5E40"/>
    <w:p w:rsidR="00362C4E" w:rsidRPr="008730BA" w:rsidRDefault="00362C4E" w:rsidP="001D5E40"/>
    <w:p w:rsidR="00C45724" w:rsidRPr="008730BA" w:rsidRDefault="00C45724" w:rsidP="001D5E40"/>
    <w:p w:rsidR="001D5E40" w:rsidRPr="008730BA" w:rsidRDefault="007E7B95" w:rsidP="001D5E40">
      <w:pPr>
        <w:pStyle w:val="Heading1"/>
        <w:rPr>
          <w:lang w:val="fr-FR"/>
        </w:rPr>
      </w:pPr>
      <w:r w:rsidRPr="008730BA">
        <w:rPr>
          <w:lang w:val="fr-FR"/>
        </w:rPr>
        <w:t>utilisation des marqueurs biochimiques et moléculaires dans l</w:t>
      </w:r>
      <w:r w:rsidR="00900241" w:rsidRPr="008730BA">
        <w:rPr>
          <w:lang w:val="fr-FR"/>
        </w:rPr>
        <w:t>’</w:t>
      </w:r>
      <w:r w:rsidRPr="008730BA">
        <w:rPr>
          <w:lang w:val="fr-FR"/>
        </w:rPr>
        <w:t>examen de la</w:t>
      </w:r>
      <w:r w:rsidR="008730BA" w:rsidRPr="008730BA">
        <w:rPr>
          <w:lang w:val="fr-FR"/>
        </w:rPr>
        <w:t> </w:t>
      </w:r>
      <w:r w:rsidRPr="008730BA">
        <w:rPr>
          <w:lang w:val="fr-FR"/>
        </w:rPr>
        <w:t>distinction, de l</w:t>
      </w:r>
      <w:r w:rsidR="00900241" w:rsidRPr="008730BA">
        <w:rPr>
          <w:lang w:val="fr-FR"/>
        </w:rPr>
        <w:t>’</w:t>
      </w:r>
      <w:r w:rsidRPr="008730BA">
        <w:rPr>
          <w:lang w:val="fr-FR"/>
        </w:rPr>
        <w:t>homogénéité et de la stabilité (DHS</w:t>
      </w:r>
      <w:r w:rsidR="001D5E40" w:rsidRPr="008730BA">
        <w:rPr>
          <w:lang w:val="fr-FR"/>
        </w:rPr>
        <w:t>)</w:t>
      </w:r>
    </w:p>
    <w:p w:rsidR="00362C4E" w:rsidRPr="008730BA" w:rsidRDefault="00362C4E" w:rsidP="00362C4E"/>
    <w:p w:rsidR="00362C4E" w:rsidRPr="008730BA" w:rsidRDefault="000543D3" w:rsidP="007E7B95">
      <w:r w:rsidRPr="008730BA">
        <w:fldChar w:fldCharType="begin"/>
      </w:r>
      <w:r w:rsidR="00362C4E" w:rsidRPr="008730BA">
        <w:instrText xml:space="preserve"> AUTONUM  </w:instrText>
      </w:r>
      <w:r w:rsidRPr="008730BA">
        <w:fldChar w:fldCharType="end"/>
      </w:r>
      <w:r w:rsidR="007E7B95" w:rsidRPr="008730BA">
        <w:tab/>
        <w:t>À sa quarante</w:t>
      </w:r>
      <w:r w:rsidR="00900241" w:rsidRPr="008730BA">
        <w:t>-</w:t>
      </w:r>
      <w:r w:rsidR="007E7B95" w:rsidRPr="008730BA">
        <w:t>septième</w:t>
      </w:r>
      <w:r w:rsidR="00D30941" w:rsidRPr="008730BA">
        <w:t> </w:t>
      </w:r>
      <w:r w:rsidR="007E7B95" w:rsidRPr="008730BA">
        <w:t>session ordinaire tenue à Genève le 2</w:t>
      </w:r>
      <w:r w:rsidR="00900241" w:rsidRPr="008730BA">
        <w:t>4 octobre 20</w:t>
      </w:r>
      <w:r w:rsidR="007E7B95" w:rsidRPr="008730BA">
        <w:t xml:space="preserve">13, le Conseil a adopté le document TGP/15/1 </w:t>
      </w:r>
      <w:r w:rsidR="00D30941" w:rsidRPr="008730BA">
        <w:t>“</w:t>
      </w:r>
      <w:r w:rsidR="007E7B95" w:rsidRPr="008730BA">
        <w:t>Conseils en ce qui concerne l</w:t>
      </w:r>
      <w:r w:rsidR="00900241" w:rsidRPr="008730BA">
        <w:t>’</w:t>
      </w:r>
      <w:r w:rsidR="007E7B95" w:rsidRPr="008730BA">
        <w:t>utilisation des marqueurs biochimiques et moléculaires dans l</w:t>
      </w:r>
      <w:r w:rsidR="00900241" w:rsidRPr="008730BA">
        <w:t>’</w:t>
      </w:r>
      <w:r w:rsidR="007E7B95" w:rsidRPr="008730BA">
        <w:t>examen de la distinction, de l</w:t>
      </w:r>
      <w:r w:rsidR="00900241" w:rsidRPr="008730BA">
        <w:t>’</w:t>
      </w:r>
      <w:r w:rsidR="007E7B95" w:rsidRPr="008730BA">
        <w:t>homogénéité et de la stabilité (DHS)</w:t>
      </w:r>
      <w:r w:rsidR="00D30941" w:rsidRPr="008730BA">
        <w:t>”</w:t>
      </w:r>
      <w:r w:rsidR="007E7B95" w:rsidRPr="008730BA">
        <w:t xml:space="preserve"> </w:t>
      </w:r>
      <w:r w:rsidR="00195A44" w:rsidRPr="008730BA">
        <w:t>(</w:t>
      </w:r>
      <w:r w:rsidR="007E7B95" w:rsidRPr="008730BA">
        <w:t>voir le paragraphe</w:t>
      </w:r>
      <w:r w:rsidR="00D30941" w:rsidRPr="008730BA">
        <w:t> </w:t>
      </w:r>
      <w:r w:rsidR="007E7B95" w:rsidRPr="008730BA">
        <w:t>23 du</w:t>
      </w:r>
      <w:r w:rsidR="00195A44" w:rsidRPr="008730BA">
        <w:t xml:space="preserve"> </w:t>
      </w:r>
      <w:r w:rsidR="00362C4E" w:rsidRPr="008730BA">
        <w:t>document C/4</w:t>
      </w:r>
      <w:r w:rsidR="007E7B95" w:rsidRPr="008730BA">
        <w:t xml:space="preserve">7/19 </w:t>
      </w:r>
      <w:r w:rsidR="00D30941" w:rsidRPr="008730BA">
        <w:t>“</w:t>
      </w:r>
      <w:r w:rsidR="007E7B95" w:rsidRPr="008730BA">
        <w:t>Compte rendu des décisions</w:t>
      </w:r>
      <w:r w:rsidR="00D30941" w:rsidRPr="008730BA">
        <w:t>”</w:t>
      </w:r>
      <w:r w:rsidR="00362C4E" w:rsidRPr="008730BA">
        <w:t>).</w:t>
      </w:r>
    </w:p>
    <w:p w:rsidR="003D1397" w:rsidRDefault="003D1397">
      <w:pPr>
        <w:jc w:val="left"/>
        <w:rPr>
          <w:snapToGrid w:val="0"/>
        </w:rPr>
      </w:pPr>
    </w:p>
    <w:p w:rsidR="00693AD0" w:rsidRDefault="00693AD0">
      <w:pPr>
        <w:jc w:val="left"/>
        <w:rPr>
          <w:snapToGrid w:val="0"/>
        </w:rPr>
      </w:pPr>
    </w:p>
    <w:p w:rsidR="00693AD0" w:rsidRDefault="00693AD0">
      <w:pPr>
        <w:jc w:val="left"/>
        <w:rPr>
          <w:snapToGrid w:val="0"/>
        </w:rPr>
      </w:pPr>
    </w:p>
    <w:p w:rsidR="001D5E40" w:rsidRPr="008730BA" w:rsidRDefault="007E7B95" w:rsidP="001D5E40">
      <w:pPr>
        <w:pStyle w:val="Heading1"/>
        <w:rPr>
          <w:lang w:val="fr-FR"/>
        </w:rPr>
      </w:pPr>
      <w:r w:rsidRPr="008730BA">
        <w:rPr>
          <w:lang w:val="fr-FR"/>
        </w:rPr>
        <w:lastRenderedPageBreak/>
        <w:t>Groupe de travail sur les techniques biochimiques et moléculaires, notamment les profils d</w:t>
      </w:r>
      <w:r w:rsidR="00900241" w:rsidRPr="008730BA">
        <w:rPr>
          <w:lang w:val="fr-FR"/>
        </w:rPr>
        <w:t>’</w:t>
      </w:r>
      <w:r w:rsidRPr="008730BA">
        <w:rPr>
          <w:lang w:val="fr-FR"/>
        </w:rPr>
        <w:t xml:space="preserve">ADN </w:t>
      </w:r>
      <w:r w:rsidR="001D5E40" w:rsidRPr="008730BA">
        <w:rPr>
          <w:lang w:val="fr-FR"/>
        </w:rPr>
        <w:t>(BMT)</w:t>
      </w:r>
    </w:p>
    <w:p w:rsidR="00233C64" w:rsidRPr="008730BA" w:rsidRDefault="00233C64" w:rsidP="00693AD0">
      <w:pPr>
        <w:keepNext/>
      </w:pPr>
    </w:p>
    <w:p w:rsidR="00F00F8C" w:rsidRPr="008730BA" w:rsidRDefault="007E7B95" w:rsidP="00693AD0">
      <w:pPr>
        <w:keepNext/>
        <w:rPr>
          <w:u w:val="single"/>
        </w:rPr>
      </w:pPr>
      <w:r w:rsidRPr="008730BA">
        <w:rPr>
          <w:u w:val="single"/>
        </w:rPr>
        <w:t>Généralités</w:t>
      </w:r>
    </w:p>
    <w:p w:rsidR="00F00F8C" w:rsidRPr="008730BA" w:rsidRDefault="00F00F8C" w:rsidP="00693AD0">
      <w:pPr>
        <w:keepNext/>
      </w:pPr>
    </w:p>
    <w:p w:rsidR="00233C64" w:rsidRPr="008730BA" w:rsidRDefault="000543D3" w:rsidP="00693AD0">
      <w:pPr>
        <w:keepNext/>
      </w:pPr>
      <w:r w:rsidRPr="008730BA">
        <w:fldChar w:fldCharType="begin"/>
      </w:r>
      <w:r w:rsidR="00233C64" w:rsidRPr="008730BA">
        <w:instrText xml:space="preserve"> AUTONUM  </w:instrText>
      </w:r>
      <w:r w:rsidRPr="008730BA">
        <w:fldChar w:fldCharType="end"/>
      </w:r>
      <w:r w:rsidR="00233C64" w:rsidRPr="008730BA">
        <w:tab/>
      </w:r>
      <w:r w:rsidR="00BA6BA4" w:rsidRPr="008730BA">
        <w:t xml:space="preserve">Le </w:t>
      </w:r>
      <w:r w:rsidR="00D124D1" w:rsidRPr="008730BA">
        <w:t>mandat</w:t>
      </w:r>
      <w:r w:rsidR="00900241" w:rsidRPr="008730BA">
        <w:t xml:space="preserve"> du BMT</w:t>
      </w:r>
      <w:r w:rsidR="00F00F8C" w:rsidRPr="008730BA">
        <w:t xml:space="preserve"> </w:t>
      </w:r>
      <w:r w:rsidR="00BA6BA4" w:rsidRPr="008730BA">
        <w:t xml:space="preserve">est </w:t>
      </w:r>
      <w:r w:rsidR="002D6D40" w:rsidRPr="008730BA">
        <w:t>indiqué</w:t>
      </w:r>
      <w:r w:rsidR="00BA6BA4" w:rsidRPr="008730BA">
        <w:t xml:space="preserve"> à l</w:t>
      </w:r>
      <w:r w:rsidR="00900241" w:rsidRPr="008730BA">
        <w:t>’</w:t>
      </w:r>
      <w:r w:rsidR="00BA6BA4" w:rsidRPr="008730BA">
        <w:t>a</w:t>
      </w:r>
      <w:r w:rsidR="00233C64" w:rsidRPr="008730BA">
        <w:t>nnex</w:t>
      </w:r>
      <w:r w:rsidR="00BA6BA4" w:rsidRPr="008730BA">
        <w:t>e</w:t>
      </w:r>
      <w:r w:rsidR="00233C64" w:rsidRPr="008730BA">
        <w:t xml:space="preserve"> </w:t>
      </w:r>
      <w:r w:rsidR="002F749F" w:rsidRPr="008730BA">
        <w:t xml:space="preserve">I </w:t>
      </w:r>
      <w:r w:rsidR="00BA6BA4" w:rsidRPr="008730BA">
        <w:t>du présent document</w:t>
      </w:r>
      <w:r w:rsidR="00233C64" w:rsidRPr="008730BA">
        <w:t>.</w:t>
      </w:r>
    </w:p>
    <w:p w:rsidR="00E339A6" w:rsidRPr="008730BA" w:rsidRDefault="00E339A6" w:rsidP="00233C64"/>
    <w:p w:rsidR="00E339A6" w:rsidRPr="00437C0E" w:rsidRDefault="000543D3" w:rsidP="00E339A6">
      <w:pPr>
        <w:rPr>
          <w:rFonts w:cs="Arial"/>
          <w:spacing w:val="-2"/>
        </w:rPr>
      </w:pPr>
      <w:r w:rsidRPr="00437C0E">
        <w:rPr>
          <w:rFonts w:cs="Arial"/>
          <w:spacing w:val="-2"/>
        </w:rPr>
        <w:fldChar w:fldCharType="begin"/>
      </w:r>
      <w:r w:rsidR="00E339A6" w:rsidRPr="00437C0E">
        <w:rPr>
          <w:rFonts w:cs="Arial"/>
          <w:spacing w:val="-2"/>
        </w:rPr>
        <w:instrText xml:space="preserve"> AUTONUM  </w:instrText>
      </w:r>
      <w:r w:rsidRPr="00437C0E">
        <w:rPr>
          <w:rFonts w:cs="Arial"/>
          <w:spacing w:val="-2"/>
        </w:rPr>
        <w:fldChar w:fldCharType="end"/>
      </w:r>
      <w:r w:rsidR="00195A44" w:rsidRPr="00437C0E">
        <w:rPr>
          <w:rFonts w:cs="Arial"/>
          <w:spacing w:val="-2"/>
        </w:rPr>
        <w:tab/>
      </w:r>
      <w:r w:rsidR="00BA6BA4" w:rsidRPr="00437C0E">
        <w:rPr>
          <w:rFonts w:cs="Arial"/>
          <w:spacing w:val="-2"/>
        </w:rPr>
        <w:t>L</w:t>
      </w:r>
      <w:r w:rsidR="00E339A6" w:rsidRPr="00437C0E">
        <w:rPr>
          <w:rFonts w:cs="Arial"/>
          <w:spacing w:val="-2"/>
        </w:rPr>
        <w:t xml:space="preserve">e BMT, </w:t>
      </w:r>
      <w:r w:rsidR="00BA6BA4" w:rsidRPr="00437C0E">
        <w:rPr>
          <w:rFonts w:cs="Arial"/>
          <w:spacing w:val="-2"/>
        </w:rPr>
        <w:t>à sa treizième</w:t>
      </w:r>
      <w:r w:rsidR="00D30941" w:rsidRPr="00437C0E">
        <w:rPr>
          <w:rFonts w:cs="Arial"/>
          <w:spacing w:val="-2"/>
        </w:rPr>
        <w:t> </w:t>
      </w:r>
      <w:r w:rsidR="00E339A6" w:rsidRPr="00437C0E">
        <w:rPr>
          <w:rFonts w:cs="Arial"/>
          <w:spacing w:val="-2"/>
        </w:rPr>
        <w:t>session</w:t>
      </w:r>
      <w:r w:rsidR="00BA6BA4" w:rsidRPr="00437C0E">
        <w:rPr>
          <w:rFonts w:cs="Arial"/>
          <w:spacing w:val="-2"/>
        </w:rPr>
        <w:t xml:space="preserve"> tenue à</w:t>
      </w:r>
      <w:r w:rsidR="00E339A6" w:rsidRPr="00437C0E">
        <w:rPr>
          <w:rFonts w:cs="Arial"/>
          <w:spacing w:val="-2"/>
        </w:rPr>
        <w:t xml:space="preserve"> Brasilia</w:t>
      </w:r>
      <w:r w:rsidR="00BA6BA4" w:rsidRPr="00437C0E">
        <w:rPr>
          <w:rFonts w:cs="Arial"/>
          <w:spacing w:val="-2"/>
        </w:rPr>
        <w:t xml:space="preserve"> du 22 au 2</w:t>
      </w:r>
      <w:r w:rsidR="00900241" w:rsidRPr="00437C0E">
        <w:rPr>
          <w:rFonts w:cs="Arial"/>
          <w:spacing w:val="-2"/>
        </w:rPr>
        <w:t>4 novembre 20</w:t>
      </w:r>
      <w:r w:rsidR="00E339A6" w:rsidRPr="00437C0E">
        <w:rPr>
          <w:rFonts w:cs="Arial"/>
          <w:spacing w:val="-2"/>
        </w:rPr>
        <w:t xml:space="preserve">11, </w:t>
      </w:r>
      <w:r w:rsidR="00BA6BA4" w:rsidRPr="00437C0E">
        <w:rPr>
          <w:rFonts w:cs="Arial"/>
          <w:spacing w:val="-2"/>
        </w:rPr>
        <w:t>envisageait de débattre les points suivants lors de sa quatorzième</w:t>
      </w:r>
      <w:r w:rsidR="00D30941" w:rsidRPr="00437C0E">
        <w:rPr>
          <w:rFonts w:cs="Arial"/>
          <w:spacing w:val="-2"/>
        </w:rPr>
        <w:t> </w:t>
      </w:r>
      <w:r w:rsidR="00E339A6" w:rsidRPr="00437C0E">
        <w:rPr>
          <w:rFonts w:cs="Arial"/>
          <w:spacing w:val="-2"/>
        </w:rPr>
        <w:t>session (</w:t>
      </w:r>
      <w:r w:rsidR="00BA6BA4" w:rsidRPr="00437C0E">
        <w:rPr>
          <w:rFonts w:cs="Arial"/>
          <w:spacing w:val="-2"/>
        </w:rPr>
        <w:t>voir le paragraphe</w:t>
      </w:r>
      <w:r w:rsidR="00D30941" w:rsidRPr="00437C0E">
        <w:rPr>
          <w:rFonts w:cs="Arial"/>
          <w:spacing w:val="-2"/>
        </w:rPr>
        <w:t> </w:t>
      </w:r>
      <w:r w:rsidR="00BA6BA4" w:rsidRPr="00437C0E">
        <w:rPr>
          <w:rFonts w:cs="Arial"/>
          <w:spacing w:val="-2"/>
        </w:rPr>
        <w:t>72 du</w:t>
      </w:r>
      <w:r w:rsidR="00E339A6" w:rsidRPr="00437C0E">
        <w:rPr>
          <w:rFonts w:cs="Arial"/>
          <w:spacing w:val="-2"/>
        </w:rPr>
        <w:t xml:space="preserve"> document BMT/13/36 </w:t>
      </w:r>
      <w:r w:rsidR="00D30941" w:rsidRPr="00437C0E">
        <w:rPr>
          <w:rFonts w:cs="Arial"/>
          <w:spacing w:val="-2"/>
        </w:rPr>
        <w:t>“</w:t>
      </w:r>
      <w:r w:rsidR="00E47333" w:rsidRPr="00437C0E">
        <w:rPr>
          <w:rFonts w:cs="Arial"/>
          <w:spacing w:val="-2"/>
        </w:rPr>
        <w:t>Report</w:t>
      </w:r>
      <w:r w:rsidR="00D30941" w:rsidRPr="00437C0E">
        <w:rPr>
          <w:rFonts w:cs="Arial"/>
          <w:spacing w:val="-2"/>
        </w:rPr>
        <w:t>”</w:t>
      </w:r>
      <w:r w:rsidR="00E339A6" w:rsidRPr="00437C0E">
        <w:rPr>
          <w:rFonts w:cs="Arial"/>
          <w:spacing w:val="-2"/>
        </w:rPr>
        <w:t>)</w:t>
      </w:r>
      <w:r w:rsidR="00D30941" w:rsidRPr="00437C0E">
        <w:rPr>
          <w:rFonts w:cs="Arial"/>
          <w:spacing w:val="-2"/>
        </w:rPr>
        <w:t> :</w:t>
      </w:r>
    </w:p>
    <w:p w:rsidR="00E339A6" w:rsidRPr="00437C0E" w:rsidRDefault="00E339A6" w:rsidP="00E339A6">
      <w:pPr>
        <w:rPr>
          <w:rFonts w:cs="Arial"/>
          <w:sz w:val="18"/>
        </w:rPr>
      </w:pPr>
    </w:p>
    <w:p w:rsidR="00E339A6" w:rsidRPr="008730BA" w:rsidRDefault="00E339A6" w:rsidP="00E339A6">
      <w:pPr>
        <w:spacing w:after="240"/>
        <w:ind w:left="1134" w:hanging="425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1.</w:t>
      </w:r>
      <w:r w:rsidRPr="008730BA">
        <w:rPr>
          <w:rFonts w:eastAsia="MS Mincho" w:cs="Arial"/>
          <w:lang w:eastAsia="ja-JP" w:bidi="th-TH"/>
        </w:rPr>
        <w:tab/>
      </w:r>
      <w:r w:rsidR="00E47333" w:rsidRPr="008730BA">
        <w:rPr>
          <w:rFonts w:eastAsia="MS Mincho" w:cs="Arial"/>
          <w:lang w:eastAsia="ja-JP" w:bidi="th-TH"/>
        </w:rPr>
        <w:t>Ouverture de la</w:t>
      </w:r>
      <w:r w:rsidRPr="008730BA">
        <w:rPr>
          <w:rFonts w:eastAsia="MS Mincho" w:cs="Arial"/>
          <w:lang w:eastAsia="ja-JP" w:bidi="th-TH"/>
        </w:rPr>
        <w:t xml:space="preserve"> session</w:t>
      </w:r>
    </w:p>
    <w:p w:rsidR="00E339A6" w:rsidRPr="008730BA" w:rsidRDefault="00E339A6" w:rsidP="00E339A6">
      <w:pPr>
        <w:spacing w:after="240"/>
        <w:ind w:left="1134" w:hanging="425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2.</w:t>
      </w:r>
      <w:r w:rsidRPr="008730BA">
        <w:rPr>
          <w:rFonts w:eastAsia="MS Mincho" w:cs="Arial"/>
          <w:lang w:eastAsia="ja-JP" w:bidi="th-TH"/>
        </w:rPr>
        <w:tab/>
        <w:t xml:space="preserve">Adoption </w:t>
      </w:r>
      <w:r w:rsidR="00E47333" w:rsidRPr="008730BA">
        <w:rPr>
          <w:rFonts w:eastAsia="MS Mincho" w:cs="Arial"/>
          <w:lang w:eastAsia="ja-JP" w:bidi="th-TH"/>
        </w:rPr>
        <w:t>de l</w:t>
      </w:r>
      <w:r w:rsidR="00900241" w:rsidRPr="008730BA">
        <w:rPr>
          <w:rFonts w:eastAsia="MS Mincho" w:cs="Arial"/>
          <w:lang w:eastAsia="ja-JP" w:bidi="th-TH"/>
        </w:rPr>
        <w:t>’</w:t>
      </w:r>
      <w:r w:rsidR="00E47333" w:rsidRPr="008730BA">
        <w:rPr>
          <w:rFonts w:eastAsia="MS Mincho" w:cs="Arial"/>
          <w:lang w:eastAsia="ja-JP" w:bidi="th-TH"/>
        </w:rPr>
        <w:t>ordre du jour</w:t>
      </w:r>
    </w:p>
    <w:p w:rsidR="00E47333" w:rsidRPr="008730BA" w:rsidRDefault="00E339A6" w:rsidP="00E339A6">
      <w:pPr>
        <w:spacing w:after="240"/>
        <w:ind w:left="1134" w:hanging="425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3.</w:t>
      </w:r>
      <w:r w:rsidRPr="008730BA">
        <w:rPr>
          <w:rFonts w:eastAsia="MS Mincho" w:cs="Arial"/>
          <w:lang w:eastAsia="ja-JP" w:bidi="th-TH"/>
        </w:rPr>
        <w:tab/>
      </w:r>
      <w:r w:rsidR="00E47333" w:rsidRPr="008730BA">
        <w:rPr>
          <w:rFonts w:eastAsia="MS Mincho" w:cs="Arial"/>
          <w:lang w:eastAsia="ja-JP" w:bidi="th-TH"/>
        </w:rPr>
        <w:t>Comptes rendus des faits nouveaux survenus au sein de l</w:t>
      </w:r>
      <w:r w:rsidR="00900241" w:rsidRPr="008730BA">
        <w:rPr>
          <w:rFonts w:eastAsia="MS Mincho" w:cs="Arial"/>
          <w:lang w:eastAsia="ja-JP" w:bidi="th-TH"/>
        </w:rPr>
        <w:t>’</w:t>
      </w:r>
      <w:r w:rsidR="00E47333" w:rsidRPr="008730BA">
        <w:rPr>
          <w:rFonts w:eastAsia="MS Mincho" w:cs="Arial"/>
          <w:lang w:eastAsia="ja-JP" w:bidi="th-TH"/>
        </w:rPr>
        <w:t>UPOV et concernant les techniques biochimiques et moléculaires</w:t>
      </w:r>
    </w:p>
    <w:p w:rsidR="00E339A6" w:rsidRPr="008730BA" w:rsidRDefault="00E339A6" w:rsidP="00E339A6">
      <w:pPr>
        <w:spacing w:after="240"/>
        <w:ind w:left="1134" w:hanging="425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4.</w:t>
      </w:r>
      <w:r w:rsidRPr="008730BA">
        <w:rPr>
          <w:rFonts w:eastAsia="MS Mincho" w:cs="Arial"/>
          <w:lang w:eastAsia="ja-JP" w:bidi="th-TH"/>
        </w:rPr>
        <w:tab/>
      </w:r>
      <w:r w:rsidR="00E47333" w:rsidRPr="008730BA">
        <w:rPr>
          <w:rFonts w:eastAsia="MS Mincho" w:cs="Arial"/>
          <w:lang w:eastAsia="ja-JP" w:bidi="th-TH"/>
        </w:rPr>
        <w:t>Comptes rendus sur l</w:t>
      </w:r>
      <w:r w:rsidR="00900241" w:rsidRPr="008730BA">
        <w:rPr>
          <w:rFonts w:eastAsia="MS Mincho" w:cs="Arial"/>
          <w:lang w:eastAsia="ja-JP" w:bidi="th-TH"/>
        </w:rPr>
        <w:t>’</w:t>
      </w:r>
      <w:r w:rsidR="00E47333" w:rsidRPr="008730BA">
        <w:rPr>
          <w:rFonts w:eastAsia="MS Mincho" w:cs="Arial"/>
          <w:lang w:eastAsia="ja-JP" w:bidi="th-TH"/>
        </w:rPr>
        <w:t>état d</w:t>
      </w:r>
      <w:r w:rsidR="00900241" w:rsidRPr="008730BA">
        <w:rPr>
          <w:rFonts w:eastAsia="MS Mincho" w:cs="Arial"/>
          <w:lang w:eastAsia="ja-JP" w:bidi="th-TH"/>
        </w:rPr>
        <w:t>’</w:t>
      </w:r>
      <w:r w:rsidR="00E47333" w:rsidRPr="008730BA">
        <w:rPr>
          <w:rFonts w:eastAsia="MS Mincho" w:cs="Arial"/>
          <w:lang w:eastAsia="ja-JP" w:bidi="th-TH"/>
        </w:rPr>
        <w:t xml:space="preserve">avancement des travaux des </w:t>
      </w:r>
      <w:r w:rsidR="00E47333" w:rsidRPr="008730BA">
        <w:t>sous</w:t>
      </w:r>
      <w:r w:rsidR="00900241" w:rsidRPr="008730BA">
        <w:t>-</w:t>
      </w:r>
      <w:r w:rsidR="00E47333" w:rsidRPr="008730BA">
        <w:t>groupes ad</w:t>
      </w:r>
      <w:r w:rsidR="00D30941" w:rsidRPr="008730BA">
        <w:t> </w:t>
      </w:r>
      <w:r w:rsidR="00E47333" w:rsidRPr="008730BA">
        <w:t>hoc sur les</w:t>
      </w:r>
      <w:r w:rsidR="00693AD0">
        <w:t xml:space="preserve"> </w:t>
      </w:r>
      <w:r w:rsidR="00E47333" w:rsidRPr="008730BA">
        <w:t>techniques moléculaires (sous</w:t>
      </w:r>
      <w:r w:rsidR="00900241" w:rsidRPr="008730BA">
        <w:t>-</w:t>
      </w:r>
      <w:r w:rsidR="00E47333" w:rsidRPr="008730BA">
        <w:t>groupes sur les plantes cultivées)</w:t>
      </w:r>
    </w:p>
    <w:p w:rsidR="00E47333" w:rsidRPr="008730BA" w:rsidRDefault="00E339A6" w:rsidP="00E339A6">
      <w:pPr>
        <w:spacing w:after="240"/>
        <w:ind w:left="1134" w:hanging="425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5.</w:t>
      </w:r>
      <w:r w:rsidRPr="008730BA">
        <w:rPr>
          <w:rFonts w:eastAsia="MS Mincho" w:cs="Arial"/>
          <w:lang w:eastAsia="ja-JP" w:bidi="th-TH"/>
        </w:rPr>
        <w:tab/>
      </w:r>
      <w:r w:rsidR="00E47333" w:rsidRPr="008730BA">
        <w:rPr>
          <w:rFonts w:eastAsia="MS Mincho" w:cs="Arial"/>
          <w:lang w:eastAsia="ja-JP" w:bidi="th-TH"/>
        </w:rPr>
        <w:t xml:space="preserve">Exposés succincts sur les faits nouveaux survenus en matière de techniques biochimiques et moléculaires, présentés par les </w:t>
      </w:r>
      <w:r w:rsidR="00E47333" w:rsidRPr="008730BA">
        <w:t>spécialistes de l</w:t>
      </w:r>
      <w:r w:rsidR="00900241" w:rsidRPr="008730BA">
        <w:t>’</w:t>
      </w:r>
      <w:r w:rsidR="00E47333" w:rsidRPr="008730BA">
        <w:t>examen</w:t>
      </w:r>
      <w:r w:rsidR="00D30941" w:rsidRPr="008730BA">
        <w:t> </w:t>
      </w:r>
      <w:r w:rsidR="00E47333" w:rsidRPr="008730BA">
        <w:t>DHS</w:t>
      </w:r>
      <w:r w:rsidR="00E47333" w:rsidRPr="008730BA">
        <w:rPr>
          <w:rFonts w:eastAsia="MS Mincho" w:cs="Arial"/>
          <w:lang w:eastAsia="ja-JP" w:bidi="th-TH"/>
        </w:rPr>
        <w:t xml:space="preserve">, des spécialistes </w:t>
      </w:r>
      <w:r w:rsidR="00E47333" w:rsidRPr="008730BA">
        <w:t>des techniques biochimiques et moléculaires, des obtenteurs et les organisations internationales concernées</w:t>
      </w:r>
    </w:p>
    <w:p w:rsidR="00E339A6" w:rsidRPr="008730BA" w:rsidRDefault="00E339A6" w:rsidP="00AF7425">
      <w:pPr>
        <w:spacing w:after="120"/>
        <w:ind w:left="1134" w:hanging="425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6.</w:t>
      </w:r>
      <w:r w:rsidRPr="008730BA">
        <w:rPr>
          <w:rFonts w:eastAsia="MS Mincho" w:cs="Arial"/>
          <w:lang w:eastAsia="ja-JP" w:bidi="th-TH"/>
        </w:rPr>
        <w:tab/>
      </w:r>
      <w:r w:rsidR="00E47333" w:rsidRPr="008730BA">
        <w:rPr>
          <w:rFonts w:eastAsia="MS Mincho" w:cs="Arial"/>
          <w:lang w:eastAsia="ja-JP" w:bidi="th-TH"/>
        </w:rPr>
        <w:t>Compte rendu des travaux sur les techniques moléculaires pour les différentes plantes</w:t>
      </w:r>
      <w:r w:rsidR="00D30941" w:rsidRPr="008730BA">
        <w:rPr>
          <w:rFonts w:eastAsia="MS Mincho" w:cs="Arial"/>
          <w:lang w:eastAsia="ja-JP" w:bidi="th-TH"/>
        </w:rPr>
        <w:t> </w:t>
      </w:r>
      <w:r w:rsidRPr="008730BA">
        <w:rPr>
          <w:rFonts w:eastAsia="MS Mincho" w:cs="Arial"/>
          <w:lang w:eastAsia="ja-JP" w:bidi="th-TH"/>
        </w:rPr>
        <w:t>:</w:t>
      </w:r>
    </w:p>
    <w:p w:rsidR="00E339A6" w:rsidRPr="008730BA" w:rsidRDefault="00E339A6" w:rsidP="0016382E">
      <w:pPr>
        <w:spacing w:after="120"/>
        <w:ind w:left="1134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a)</w:t>
      </w:r>
      <w:r w:rsidRPr="008730BA">
        <w:rPr>
          <w:rFonts w:eastAsia="MS Mincho" w:cs="Arial"/>
          <w:lang w:eastAsia="ja-JP" w:bidi="th-TH"/>
        </w:rPr>
        <w:tab/>
      </w:r>
      <w:r w:rsidR="00E47333" w:rsidRPr="008730BA">
        <w:t>espèces multipliées par voie végétative</w:t>
      </w:r>
    </w:p>
    <w:p w:rsidR="00E339A6" w:rsidRPr="008730BA" w:rsidRDefault="00E339A6" w:rsidP="0016382E">
      <w:pPr>
        <w:spacing w:after="120"/>
        <w:ind w:left="1134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b)</w:t>
      </w:r>
      <w:r w:rsidRPr="008730BA">
        <w:rPr>
          <w:rFonts w:eastAsia="MS Mincho" w:cs="Arial"/>
          <w:lang w:eastAsia="ja-JP" w:bidi="th-TH"/>
        </w:rPr>
        <w:tab/>
      </w:r>
      <w:r w:rsidR="00E47333" w:rsidRPr="008730BA">
        <w:t>espèces autogames</w:t>
      </w:r>
    </w:p>
    <w:p w:rsidR="00E339A6" w:rsidRPr="008730BA" w:rsidRDefault="00E339A6" w:rsidP="00E339A6">
      <w:pPr>
        <w:spacing w:after="240"/>
        <w:ind w:left="1134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c)</w:t>
      </w:r>
      <w:r w:rsidRPr="008730BA">
        <w:rPr>
          <w:rFonts w:eastAsia="MS Mincho" w:cs="Arial"/>
          <w:lang w:eastAsia="ja-JP" w:bidi="th-TH"/>
        </w:rPr>
        <w:tab/>
      </w:r>
      <w:r w:rsidR="00E47333" w:rsidRPr="008730BA">
        <w:t>espèces allogames</w:t>
      </w:r>
    </w:p>
    <w:p w:rsidR="00900241" w:rsidRPr="008730BA" w:rsidRDefault="00E339A6" w:rsidP="00E339A6">
      <w:pPr>
        <w:spacing w:after="240"/>
        <w:ind w:left="1134" w:hanging="425"/>
      </w:pPr>
      <w:r w:rsidRPr="008730BA">
        <w:rPr>
          <w:rFonts w:eastAsia="MS Mincho" w:cs="Arial"/>
          <w:lang w:eastAsia="ja-JP" w:bidi="th-TH"/>
        </w:rPr>
        <w:t>7.</w:t>
      </w:r>
      <w:r w:rsidRPr="008730BA">
        <w:rPr>
          <w:rFonts w:eastAsia="MS Mincho" w:cs="Arial"/>
          <w:lang w:eastAsia="ja-JP" w:bidi="th-TH"/>
        </w:rPr>
        <w:tab/>
      </w:r>
      <w:r w:rsidR="00E47333" w:rsidRPr="008730BA">
        <w:t>Directives internationales en matière de techniques moléculaires</w:t>
      </w:r>
    </w:p>
    <w:p w:rsidR="00E339A6" w:rsidRPr="008730BA" w:rsidRDefault="00E339A6" w:rsidP="00E339A6">
      <w:pPr>
        <w:spacing w:after="240"/>
        <w:ind w:left="1134" w:hanging="425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8.</w:t>
      </w:r>
      <w:r w:rsidRPr="008730BA">
        <w:rPr>
          <w:rFonts w:eastAsia="MS Mincho" w:cs="Arial"/>
          <w:lang w:eastAsia="ja-JP" w:bidi="th-TH"/>
        </w:rPr>
        <w:tab/>
      </w:r>
      <w:r w:rsidR="00E47333" w:rsidRPr="008730BA">
        <w:t>Bases de données des descriptions variétales</w:t>
      </w:r>
    </w:p>
    <w:p w:rsidR="00E339A6" w:rsidRPr="008730BA" w:rsidRDefault="00E339A6" w:rsidP="00E339A6">
      <w:pPr>
        <w:spacing w:after="240"/>
        <w:ind w:left="1134" w:hanging="425"/>
      </w:pPr>
      <w:r w:rsidRPr="008730BA">
        <w:rPr>
          <w:rFonts w:eastAsia="MS Mincho" w:cs="Arial"/>
          <w:lang w:eastAsia="ja-JP" w:bidi="th-TH"/>
        </w:rPr>
        <w:t>9.</w:t>
      </w:r>
      <w:r w:rsidRPr="008730BA">
        <w:rPr>
          <w:rFonts w:eastAsia="MS Mincho" w:cs="Arial"/>
          <w:lang w:eastAsia="ja-JP" w:bidi="th-TH"/>
        </w:rPr>
        <w:tab/>
      </w:r>
      <w:r w:rsidR="00E47333" w:rsidRPr="008730BA">
        <w:t>Méthodes d</w:t>
      </w:r>
      <w:r w:rsidR="00900241" w:rsidRPr="008730BA">
        <w:t>’</w:t>
      </w:r>
      <w:r w:rsidR="00E47333" w:rsidRPr="008730BA">
        <w:t>analyse des données moléculaires</w:t>
      </w:r>
    </w:p>
    <w:p w:rsidR="00B34BB0" w:rsidRPr="008730BA" w:rsidRDefault="00B34BB0" w:rsidP="00E339A6">
      <w:pPr>
        <w:spacing w:after="240"/>
        <w:ind w:left="1134" w:hanging="425"/>
        <w:rPr>
          <w:rFonts w:eastAsia="MS Mincho" w:cs="Arial"/>
          <w:dstrike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10.</w:t>
      </w:r>
      <w:r w:rsidRPr="008730BA">
        <w:rPr>
          <w:rFonts w:eastAsia="MS Mincho" w:cs="Arial"/>
          <w:lang w:eastAsia="ja-JP" w:bidi="th-TH"/>
        </w:rPr>
        <w:tab/>
      </w:r>
      <w:r w:rsidRPr="008730BA">
        <w:t>Utilisation des techniques moléculaires pour l</w:t>
      </w:r>
      <w:r w:rsidR="00900241" w:rsidRPr="008730BA">
        <w:t>’</w:t>
      </w:r>
      <w:r w:rsidRPr="008730BA">
        <w:t>appréciation de la notion de variété essentiellement dérivée</w:t>
      </w:r>
    </w:p>
    <w:p w:rsidR="00E339A6" w:rsidRPr="008730BA" w:rsidRDefault="00B34BB0" w:rsidP="00E339A6">
      <w:pPr>
        <w:spacing w:after="240"/>
        <w:ind w:left="1134" w:hanging="425"/>
        <w:rPr>
          <w:rFonts w:eastAsia="MS Mincho" w:cs="Arial"/>
          <w:lang w:eastAsia="ja-JP" w:bidi="th-TH"/>
        </w:rPr>
      </w:pPr>
      <w:r w:rsidRPr="008730BA">
        <w:t>11.</w:t>
      </w:r>
      <w:r w:rsidRPr="008730BA">
        <w:tab/>
        <w:t>Utilisation des techniques moléculaires pour l</w:t>
      </w:r>
      <w:r w:rsidR="00900241" w:rsidRPr="008730BA">
        <w:t>’</w:t>
      </w:r>
      <w:r w:rsidRPr="008730BA">
        <w:t>identification des variétés</w:t>
      </w:r>
    </w:p>
    <w:p w:rsidR="00E339A6" w:rsidRPr="008730BA" w:rsidRDefault="00E339A6" w:rsidP="00E339A6">
      <w:pPr>
        <w:spacing w:after="240"/>
        <w:ind w:left="1134" w:hanging="425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12.</w:t>
      </w:r>
      <w:r w:rsidRPr="008730BA">
        <w:rPr>
          <w:rFonts w:eastAsia="MS Mincho" w:cs="Arial"/>
          <w:lang w:eastAsia="ja-JP" w:bidi="th-TH"/>
        </w:rPr>
        <w:tab/>
      </w:r>
      <w:r w:rsidR="00B34BB0" w:rsidRPr="008730BA">
        <w:t>Recommandations relatives à la création de nouveaux sous</w:t>
      </w:r>
      <w:r w:rsidR="00900241" w:rsidRPr="008730BA">
        <w:t>-</w:t>
      </w:r>
      <w:r w:rsidR="00B34BB0" w:rsidRPr="008730BA">
        <w:t>groupes sur les plantes cultivées</w:t>
      </w:r>
    </w:p>
    <w:p w:rsidR="00E339A6" w:rsidRPr="008730BA" w:rsidRDefault="00E339A6" w:rsidP="00E339A6">
      <w:pPr>
        <w:spacing w:after="240"/>
        <w:ind w:left="1134" w:hanging="425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13.</w:t>
      </w:r>
      <w:r w:rsidRPr="008730BA">
        <w:rPr>
          <w:rFonts w:eastAsia="MS Mincho" w:cs="Arial"/>
          <w:lang w:eastAsia="ja-JP" w:bidi="th-TH"/>
        </w:rPr>
        <w:tab/>
      </w:r>
      <w:r w:rsidR="00B34BB0" w:rsidRPr="008730BA">
        <w:t>Date et lieu de la prochaine session</w:t>
      </w:r>
    </w:p>
    <w:p w:rsidR="00E339A6" w:rsidRPr="008730BA" w:rsidRDefault="00E339A6" w:rsidP="00E339A6">
      <w:pPr>
        <w:spacing w:after="240"/>
        <w:ind w:left="1134" w:hanging="425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14.</w:t>
      </w:r>
      <w:r w:rsidRPr="008730BA">
        <w:rPr>
          <w:rFonts w:eastAsia="MS Mincho" w:cs="Arial"/>
          <w:lang w:eastAsia="ja-JP" w:bidi="th-TH"/>
        </w:rPr>
        <w:tab/>
      </w:r>
      <w:r w:rsidR="00B34BB0" w:rsidRPr="008730BA">
        <w:t>Programme futur</w:t>
      </w:r>
    </w:p>
    <w:p w:rsidR="00B34BB0" w:rsidRPr="008730BA" w:rsidRDefault="00E339A6" w:rsidP="00B34BB0">
      <w:pPr>
        <w:spacing w:after="240"/>
        <w:ind w:left="1134" w:hanging="425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15.</w:t>
      </w:r>
      <w:r w:rsidRPr="008730BA">
        <w:rPr>
          <w:rFonts w:eastAsia="MS Mincho" w:cs="Arial"/>
          <w:lang w:eastAsia="ja-JP" w:bidi="th-TH"/>
        </w:rPr>
        <w:tab/>
      </w:r>
      <w:r w:rsidR="00B34BB0" w:rsidRPr="008730BA">
        <w:rPr>
          <w:rFonts w:eastAsia="MS Mincho" w:cs="Arial"/>
          <w:lang w:eastAsia="ja-JP" w:bidi="th-TH"/>
        </w:rPr>
        <w:t>Compte rendu de la session (si le temps imparti le permet)</w:t>
      </w:r>
    </w:p>
    <w:p w:rsidR="00E339A6" w:rsidRPr="008730BA" w:rsidRDefault="00E339A6" w:rsidP="00E339A6">
      <w:pPr>
        <w:spacing w:after="240"/>
        <w:ind w:left="1134" w:hanging="425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16.</w:t>
      </w:r>
      <w:r w:rsidRPr="008730BA">
        <w:rPr>
          <w:rFonts w:eastAsia="MS Mincho" w:cs="Arial"/>
          <w:lang w:eastAsia="ja-JP" w:bidi="th-TH"/>
        </w:rPr>
        <w:tab/>
      </w:r>
      <w:r w:rsidR="00B34BB0" w:rsidRPr="008730BA">
        <w:t>Clôture de la session</w:t>
      </w:r>
    </w:p>
    <w:p w:rsidR="00E339A6" w:rsidRPr="008730BA" w:rsidRDefault="000543D3" w:rsidP="00B34BB0">
      <w:r w:rsidRPr="008730BA">
        <w:fldChar w:fldCharType="begin"/>
      </w:r>
      <w:r w:rsidR="00E339A6" w:rsidRPr="008730BA">
        <w:instrText xml:space="preserve"> AUTONUM  </w:instrText>
      </w:r>
      <w:r w:rsidRPr="008730BA">
        <w:fldChar w:fldCharType="end"/>
      </w:r>
      <w:r w:rsidR="00E339A6" w:rsidRPr="008730BA">
        <w:tab/>
      </w:r>
      <w:r w:rsidR="00B34BB0" w:rsidRPr="008730BA">
        <w:t>L</w:t>
      </w:r>
      <w:r w:rsidR="00E339A6" w:rsidRPr="008730BA">
        <w:t>e</w:t>
      </w:r>
      <w:r w:rsidR="00900241" w:rsidRPr="008730BA">
        <w:t> TC</w:t>
      </w:r>
      <w:r w:rsidR="00E339A6" w:rsidRPr="008730BA">
        <w:t xml:space="preserve">, </w:t>
      </w:r>
      <w:r w:rsidR="00B34BB0" w:rsidRPr="008730BA">
        <w:t>à sa quarante</w:t>
      </w:r>
      <w:r w:rsidR="00900241" w:rsidRPr="008730BA">
        <w:t>-</w:t>
      </w:r>
      <w:r w:rsidR="00B34BB0" w:rsidRPr="008730BA">
        <w:t>huitième</w:t>
      </w:r>
      <w:r w:rsidR="00D30941" w:rsidRPr="008730BA">
        <w:t> </w:t>
      </w:r>
      <w:r w:rsidR="00E339A6" w:rsidRPr="008730BA">
        <w:t>session</w:t>
      </w:r>
      <w:r w:rsidR="00B34BB0" w:rsidRPr="008730BA">
        <w:t xml:space="preserve"> tenue du 26 au 2</w:t>
      </w:r>
      <w:r w:rsidR="00900241" w:rsidRPr="008730BA">
        <w:t>8 mars 20</w:t>
      </w:r>
      <w:r w:rsidR="00E339A6" w:rsidRPr="008730BA">
        <w:t xml:space="preserve">12, </w:t>
      </w:r>
      <w:r w:rsidR="00E339A6" w:rsidRPr="008730BA">
        <w:rPr>
          <w:rFonts w:cs="Arial"/>
          <w:lang w:eastAsia="ja-JP"/>
        </w:rPr>
        <w:t>a</w:t>
      </w:r>
      <w:r w:rsidR="00B34BB0" w:rsidRPr="008730BA">
        <w:rPr>
          <w:rFonts w:cs="Arial"/>
          <w:lang w:eastAsia="ja-JP"/>
        </w:rPr>
        <w:t xml:space="preserve"> approuvé le programme de la</w:t>
      </w:r>
      <w:r w:rsidR="0016382E">
        <w:rPr>
          <w:rFonts w:cs="Arial"/>
          <w:lang w:eastAsia="ja-JP"/>
        </w:rPr>
        <w:t xml:space="preserve"> </w:t>
      </w:r>
      <w:r w:rsidR="00B34BB0" w:rsidRPr="008730BA">
        <w:rPr>
          <w:rFonts w:cs="Arial"/>
          <w:lang w:eastAsia="ja-JP"/>
        </w:rPr>
        <w:t>quatorzième</w:t>
      </w:r>
      <w:r w:rsidR="00D30941" w:rsidRPr="008730BA">
        <w:rPr>
          <w:rFonts w:cs="Arial"/>
          <w:lang w:eastAsia="ja-JP"/>
        </w:rPr>
        <w:t> </w:t>
      </w:r>
      <w:r w:rsidR="00E339A6" w:rsidRPr="008730BA">
        <w:t>session</w:t>
      </w:r>
      <w:r w:rsidR="00900241" w:rsidRPr="008730BA">
        <w:t xml:space="preserve"> du BMT</w:t>
      </w:r>
      <w:r w:rsidR="00B34BB0" w:rsidRPr="008730BA">
        <w:t>, prévue en</w:t>
      </w:r>
      <w:r w:rsidR="00D30941" w:rsidRPr="008730BA">
        <w:t> </w:t>
      </w:r>
      <w:r w:rsidR="00E339A6" w:rsidRPr="008730BA">
        <w:t>201</w:t>
      </w:r>
      <w:r w:rsidR="003D1397">
        <w:t>4</w:t>
      </w:r>
      <w:r w:rsidR="00E339A6" w:rsidRPr="008730BA">
        <w:t xml:space="preserve">, </w:t>
      </w:r>
      <w:r w:rsidR="00B34BB0" w:rsidRPr="008730BA">
        <w:t>y</w:t>
      </w:r>
      <w:r w:rsidR="00D30941" w:rsidRPr="008730BA">
        <w:t> </w:t>
      </w:r>
      <w:r w:rsidR="00B34BB0" w:rsidRPr="008730BA">
        <w:t>compris la</w:t>
      </w:r>
      <w:r w:rsidR="00F31977" w:rsidRPr="008730BA">
        <w:t xml:space="preserve"> tenue d</w:t>
      </w:r>
      <w:r w:rsidR="00900241" w:rsidRPr="008730BA">
        <w:t>’</w:t>
      </w:r>
      <w:r w:rsidR="00F31977" w:rsidRPr="008730BA">
        <w:t>une journée spéciale (</w:t>
      </w:r>
      <w:r w:rsidR="00D30941" w:rsidRPr="008730BA">
        <w:t>“</w:t>
      </w:r>
      <w:r w:rsidR="00B34BB0" w:rsidRPr="008730BA">
        <w:t>Journée des</w:t>
      </w:r>
      <w:r w:rsidR="0016382E">
        <w:t xml:space="preserve"> </w:t>
      </w:r>
      <w:r w:rsidR="00B34BB0" w:rsidRPr="008730BA">
        <w:t>obtenteurs</w:t>
      </w:r>
      <w:r w:rsidR="00D30941" w:rsidRPr="008730BA">
        <w:t>”</w:t>
      </w:r>
      <w:r w:rsidR="00B34BB0" w:rsidRPr="008730BA">
        <w:t>), en ce qui concerne les points de l</w:t>
      </w:r>
      <w:r w:rsidR="00900241" w:rsidRPr="008730BA">
        <w:t>’</w:t>
      </w:r>
      <w:r w:rsidR="00B34BB0" w:rsidRPr="008730BA">
        <w:t>ordre du jour relatifs à l</w:t>
      </w:r>
      <w:r w:rsidR="00900241" w:rsidRPr="008730BA">
        <w:t>’</w:t>
      </w:r>
      <w:r w:rsidR="00B34BB0" w:rsidRPr="008730BA">
        <w:t>utilisation de techniques moléculaires pour l</w:t>
      </w:r>
      <w:r w:rsidR="00900241" w:rsidRPr="008730BA">
        <w:t>’</w:t>
      </w:r>
      <w:r w:rsidR="00B34BB0" w:rsidRPr="008730BA">
        <w:t>appréciation de la notion de variété essentiellement dérivée et pour l</w:t>
      </w:r>
      <w:r w:rsidR="00900241" w:rsidRPr="008730BA">
        <w:t>’</w:t>
      </w:r>
      <w:r w:rsidR="00B34BB0" w:rsidRPr="008730BA">
        <w:t>identification des</w:t>
      </w:r>
      <w:r w:rsidR="007222BC">
        <w:t> </w:t>
      </w:r>
      <w:r w:rsidR="00B34BB0" w:rsidRPr="008730BA">
        <w:t>variétés, ainsi qu</w:t>
      </w:r>
      <w:r w:rsidR="00900241" w:rsidRPr="008730BA">
        <w:t>’</w:t>
      </w:r>
      <w:r w:rsidR="00B34BB0" w:rsidRPr="008730BA">
        <w:t>indiqué aux paragraphes</w:t>
      </w:r>
      <w:r w:rsidR="00D30941" w:rsidRPr="008730BA">
        <w:t> </w:t>
      </w:r>
      <w:r w:rsidR="00B34BB0" w:rsidRPr="008730BA">
        <w:t xml:space="preserve">32 et 33 du </w:t>
      </w:r>
      <w:r w:rsidR="00900241" w:rsidRPr="008730BA">
        <w:t>document TC</w:t>
      </w:r>
      <w:r w:rsidR="00E339A6" w:rsidRPr="008730BA">
        <w:t>/48/7 (</w:t>
      </w:r>
      <w:r w:rsidR="00B34BB0" w:rsidRPr="008730BA">
        <w:t>voir le paragraphe</w:t>
      </w:r>
      <w:r w:rsidR="00D30941" w:rsidRPr="008730BA">
        <w:t> </w:t>
      </w:r>
      <w:r w:rsidR="00B34BB0" w:rsidRPr="008730BA">
        <w:t xml:space="preserve">222 du </w:t>
      </w:r>
      <w:r w:rsidR="00900241" w:rsidRPr="008730BA">
        <w:t>document TC</w:t>
      </w:r>
      <w:r w:rsidR="00E339A6" w:rsidRPr="008730BA">
        <w:t>/48/</w:t>
      </w:r>
      <w:r w:rsidR="00776750" w:rsidRPr="008730BA">
        <w:t xml:space="preserve">23 </w:t>
      </w:r>
      <w:r w:rsidR="00D30941" w:rsidRPr="008730BA">
        <w:t>“</w:t>
      </w:r>
      <w:r w:rsidR="00B34BB0" w:rsidRPr="008730BA">
        <w:t>Compte rendu</w:t>
      </w:r>
      <w:r w:rsidR="00D30941" w:rsidRPr="008730BA">
        <w:t>”</w:t>
      </w:r>
      <w:r w:rsidR="00E339A6" w:rsidRPr="008730BA">
        <w:t>).</w:t>
      </w:r>
    </w:p>
    <w:p w:rsidR="00E339A6" w:rsidRPr="00437C0E" w:rsidRDefault="00E339A6" w:rsidP="00E339A6">
      <w:pPr>
        <w:rPr>
          <w:sz w:val="18"/>
        </w:rPr>
      </w:pPr>
    </w:p>
    <w:p w:rsidR="00FE216A" w:rsidRPr="008730BA" w:rsidRDefault="000543D3" w:rsidP="00437C0E">
      <w:pPr>
        <w:spacing w:after="240"/>
        <w:rPr>
          <w:rFonts w:ascii="ArialMT" w:hAnsi="ArialMT" w:cs="ArialMT"/>
          <w:lang w:bidi="km-KH"/>
        </w:rPr>
      </w:pPr>
      <w:r w:rsidRPr="008730BA">
        <w:fldChar w:fldCharType="begin"/>
      </w:r>
      <w:r w:rsidR="00E339A6" w:rsidRPr="008730BA">
        <w:instrText xml:space="preserve"> AUTONUM  </w:instrText>
      </w:r>
      <w:r w:rsidRPr="008730BA">
        <w:fldChar w:fldCharType="end"/>
      </w:r>
      <w:r w:rsidR="00195A44" w:rsidRPr="008730BA">
        <w:tab/>
      </w:r>
      <w:r w:rsidR="003554B5" w:rsidRPr="008730BA">
        <w:rPr>
          <w:rFonts w:ascii="ArialMT" w:hAnsi="ArialMT" w:cs="ArialMT"/>
          <w:lang w:bidi="km-KH"/>
        </w:rPr>
        <w:t>L</w:t>
      </w:r>
      <w:r w:rsidR="00D41FEC" w:rsidRPr="008730BA">
        <w:rPr>
          <w:rFonts w:ascii="ArialMT" w:hAnsi="ArialMT" w:cs="ArialMT"/>
          <w:lang w:bidi="km-KH"/>
        </w:rPr>
        <w:t>e</w:t>
      </w:r>
      <w:r w:rsidR="00900241" w:rsidRPr="008730BA">
        <w:rPr>
          <w:rFonts w:ascii="ArialMT" w:hAnsi="ArialMT" w:cs="ArialMT"/>
          <w:lang w:bidi="km-KH"/>
        </w:rPr>
        <w:t> TC</w:t>
      </w:r>
      <w:r w:rsidR="00E339A6" w:rsidRPr="008730BA">
        <w:rPr>
          <w:rFonts w:ascii="ArialMT" w:hAnsi="ArialMT" w:cs="ArialMT"/>
          <w:lang w:bidi="km-KH"/>
        </w:rPr>
        <w:t xml:space="preserve"> </w:t>
      </w:r>
      <w:r w:rsidR="00FE216A" w:rsidRPr="008730BA">
        <w:rPr>
          <w:rFonts w:ascii="ArialMT" w:hAnsi="ArialMT" w:cs="ArialMT"/>
          <w:lang w:bidi="km-KH"/>
        </w:rPr>
        <w:t>est également convenu qu</w:t>
      </w:r>
      <w:r w:rsidR="00900241" w:rsidRPr="008730BA">
        <w:rPr>
          <w:rFonts w:ascii="ArialMT" w:hAnsi="ArialMT" w:cs="ArialMT"/>
          <w:lang w:bidi="km-KH"/>
        </w:rPr>
        <w:t>’</w:t>
      </w:r>
      <w:r w:rsidR="00FE216A" w:rsidRPr="008730BA">
        <w:rPr>
          <w:rFonts w:ascii="ArialMT" w:hAnsi="ArialMT" w:cs="ArialMT"/>
          <w:lang w:bidi="km-KH"/>
        </w:rPr>
        <w:t xml:space="preserve">il serait </w:t>
      </w:r>
      <w:r w:rsidR="000C4E0E" w:rsidRPr="008730BA">
        <w:rPr>
          <w:rFonts w:ascii="ArialMT" w:hAnsi="ArialMT" w:cs="ArialMT"/>
          <w:lang w:bidi="km-KH"/>
        </w:rPr>
        <w:t>judicieux</w:t>
      </w:r>
      <w:r w:rsidR="00FE216A" w:rsidRPr="008730BA">
        <w:rPr>
          <w:rFonts w:ascii="ArialMT" w:hAnsi="ArialMT" w:cs="ArialMT"/>
          <w:lang w:bidi="km-KH"/>
        </w:rPr>
        <w:t xml:space="preserve"> que le Bureau de l</w:t>
      </w:r>
      <w:r w:rsidR="00900241" w:rsidRPr="008730BA">
        <w:rPr>
          <w:rFonts w:ascii="ArialMT" w:hAnsi="ArialMT" w:cs="ArialMT"/>
          <w:lang w:bidi="km-KH"/>
        </w:rPr>
        <w:t>’</w:t>
      </w:r>
      <w:r w:rsidR="00FE216A" w:rsidRPr="008730BA">
        <w:rPr>
          <w:rFonts w:ascii="ArialMT" w:hAnsi="ArialMT" w:cs="ArialMT"/>
          <w:lang w:bidi="km-KH"/>
        </w:rPr>
        <w:t xml:space="preserve">Union </w:t>
      </w:r>
      <w:r w:rsidR="000C4E0E" w:rsidRPr="008730BA">
        <w:rPr>
          <w:rFonts w:ascii="ArialMT" w:hAnsi="ArialMT" w:cs="ArialMT"/>
          <w:lang w:bidi="km-KH"/>
        </w:rPr>
        <w:t>étudie</w:t>
      </w:r>
      <w:r w:rsidR="00FE216A" w:rsidRPr="008730BA">
        <w:rPr>
          <w:rFonts w:ascii="ArialMT" w:hAnsi="ArialMT" w:cs="ArialMT"/>
          <w:lang w:bidi="km-KH"/>
        </w:rPr>
        <w:t xml:space="preserve"> la possibilité d</w:t>
      </w:r>
      <w:r w:rsidR="00900241" w:rsidRPr="008730BA">
        <w:rPr>
          <w:rFonts w:ascii="ArialMT" w:hAnsi="ArialMT" w:cs="ArialMT"/>
          <w:lang w:bidi="km-KH"/>
        </w:rPr>
        <w:t>’</w:t>
      </w:r>
      <w:r w:rsidR="00FE216A" w:rsidRPr="008730BA">
        <w:rPr>
          <w:rFonts w:ascii="ArialMT" w:hAnsi="ArialMT" w:cs="ArialMT"/>
          <w:lang w:bidi="km-KH"/>
        </w:rPr>
        <w:t>organiser une réunion coordonnée</w:t>
      </w:r>
      <w:r w:rsidR="00900241" w:rsidRPr="008730BA">
        <w:rPr>
          <w:rFonts w:ascii="ArialMT" w:hAnsi="ArialMT" w:cs="ArialMT"/>
          <w:lang w:bidi="km-KH"/>
        </w:rPr>
        <w:t xml:space="preserve"> du BMT</w:t>
      </w:r>
      <w:r w:rsidR="00FE216A" w:rsidRPr="008730BA">
        <w:rPr>
          <w:rFonts w:ascii="ArialMT" w:hAnsi="ArialMT" w:cs="ArialMT"/>
          <w:lang w:bidi="km-KH"/>
        </w:rPr>
        <w:t xml:space="preserve"> et du groupe de travail sur </w:t>
      </w:r>
      <w:r w:rsidR="00FE216A" w:rsidRPr="008730BA">
        <w:t>les méthodes ADN de la</w:t>
      </w:r>
      <w:r w:rsidR="00AF7425">
        <w:t xml:space="preserve"> </w:t>
      </w:r>
      <w:r w:rsidR="007222BC">
        <w:t>C</w:t>
      </w:r>
      <w:r w:rsidR="00FE216A" w:rsidRPr="008730BA">
        <w:t>ommission des variétés de l</w:t>
      </w:r>
      <w:r w:rsidR="00900241" w:rsidRPr="008730BA">
        <w:t>’</w:t>
      </w:r>
      <w:r w:rsidR="00FE216A" w:rsidRPr="008730BA">
        <w:t>ISTA en vue de la quatorzième</w:t>
      </w:r>
      <w:r w:rsidR="00D30941" w:rsidRPr="008730BA">
        <w:t> </w:t>
      </w:r>
      <w:r w:rsidR="00FE216A" w:rsidRPr="008730BA">
        <w:t>session</w:t>
      </w:r>
      <w:r w:rsidR="00900241" w:rsidRPr="008730BA">
        <w:t xml:space="preserve"> du BMT</w:t>
      </w:r>
      <w:r w:rsidR="00FE216A" w:rsidRPr="008730BA">
        <w:t xml:space="preserve"> (voir le paragraphe</w:t>
      </w:r>
      <w:r w:rsidR="00D30941" w:rsidRPr="008730BA">
        <w:t> </w:t>
      </w:r>
      <w:r w:rsidR="00FE216A" w:rsidRPr="008730BA">
        <w:t xml:space="preserve">221 du </w:t>
      </w:r>
      <w:r w:rsidR="00900241" w:rsidRPr="008730BA">
        <w:t>document TC</w:t>
      </w:r>
      <w:r w:rsidR="00FE216A" w:rsidRPr="008730BA">
        <w:t>/48/2</w:t>
      </w:r>
      <w:r w:rsidR="0016382E">
        <w:t>3</w:t>
      </w:r>
      <w:r w:rsidR="00FE216A" w:rsidRPr="008730BA">
        <w:t xml:space="preserve"> </w:t>
      </w:r>
      <w:r w:rsidR="00D30941" w:rsidRPr="008730BA">
        <w:t>“</w:t>
      </w:r>
      <w:r w:rsidR="00FE216A" w:rsidRPr="008730BA">
        <w:t>Compte rendu des conclusions</w:t>
      </w:r>
      <w:r w:rsidR="00D30941" w:rsidRPr="008730BA">
        <w:t>”</w:t>
      </w:r>
      <w:r w:rsidR="00FE216A" w:rsidRPr="008730BA">
        <w:t>).</w:t>
      </w:r>
    </w:p>
    <w:p w:rsidR="00233C64" w:rsidRPr="008730BA" w:rsidRDefault="000543D3" w:rsidP="00233C64">
      <w:r w:rsidRPr="008730BA">
        <w:lastRenderedPageBreak/>
        <w:fldChar w:fldCharType="begin"/>
      </w:r>
      <w:r w:rsidR="00233C64" w:rsidRPr="008730BA">
        <w:instrText xml:space="preserve"> AUTONUM  </w:instrText>
      </w:r>
      <w:r w:rsidRPr="008730BA">
        <w:fldChar w:fldCharType="end"/>
      </w:r>
      <w:r w:rsidR="00233C64" w:rsidRPr="008730BA">
        <w:tab/>
      </w:r>
      <w:r w:rsidR="00FE216A" w:rsidRPr="008730BA">
        <w:t>Le</w:t>
      </w:r>
      <w:r w:rsidR="00233C64" w:rsidRPr="008730BA">
        <w:t xml:space="preserve"> </w:t>
      </w:r>
      <w:r w:rsidR="00864FB2" w:rsidRPr="008730BA">
        <w:t>CAJ</w:t>
      </w:r>
      <w:r w:rsidR="00233C64" w:rsidRPr="008730BA">
        <w:t xml:space="preserve">, </w:t>
      </w:r>
      <w:r w:rsidR="00FE216A" w:rsidRPr="008730BA">
        <w:t>à sa soixante</w:t>
      </w:r>
      <w:r w:rsidR="00900241" w:rsidRPr="008730BA">
        <w:t>-</w:t>
      </w:r>
      <w:r w:rsidR="00FE216A" w:rsidRPr="008730BA">
        <w:t>cinquième</w:t>
      </w:r>
      <w:r w:rsidR="00D30941" w:rsidRPr="008730BA">
        <w:t> </w:t>
      </w:r>
      <w:r w:rsidR="00FE216A" w:rsidRPr="008730BA">
        <w:t>session tenue à Genève le 2</w:t>
      </w:r>
      <w:r w:rsidR="00900241" w:rsidRPr="008730BA">
        <w:t>9 mars 20</w:t>
      </w:r>
      <w:r w:rsidR="00233C64" w:rsidRPr="008730BA">
        <w:t xml:space="preserve">12, </w:t>
      </w:r>
      <w:r w:rsidR="00FE216A" w:rsidRPr="008730BA">
        <w:t xml:space="preserve">a pris </w:t>
      </w:r>
      <w:r w:rsidR="000C4E0E" w:rsidRPr="008730BA">
        <w:t>note</w:t>
      </w:r>
      <w:r w:rsidR="00FE216A" w:rsidRPr="008730BA">
        <w:t xml:space="preserve"> des</w:t>
      </w:r>
      <w:r w:rsidR="00AF7425">
        <w:t xml:space="preserve"> </w:t>
      </w:r>
      <w:r w:rsidR="00FE216A" w:rsidRPr="008730BA">
        <w:t>conclusion</w:t>
      </w:r>
      <w:r w:rsidR="000C4E0E" w:rsidRPr="008730BA">
        <w:t>s</w:t>
      </w:r>
      <w:r w:rsidR="00FE216A" w:rsidRPr="008730BA">
        <w:t xml:space="preserve"> suivantes du</w:t>
      </w:r>
      <w:r w:rsidR="00900241" w:rsidRPr="008730BA">
        <w:t> TC</w:t>
      </w:r>
      <w:r w:rsidR="00233C64" w:rsidRPr="008730BA">
        <w:t xml:space="preserve"> </w:t>
      </w:r>
      <w:r w:rsidR="00FE216A" w:rsidRPr="008730BA">
        <w:t>à sa quarante</w:t>
      </w:r>
      <w:r w:rsidR="00900241" w:rsidRPr="008730BA">
        <w:t>-</w:t>
      </w:r>
      <w:r w:rsidR="00FE216A" w:rsidRPr="008730BA">
        <w:t>huitième</w:t>
      </w:r>
      <w:r w:rsidR="00D30941" w:rsidRPr="008730BA">
        <w:t> </w:t>
      </w:r>
      <w:r w:rsidR="00233C64" w:rsidRPr="008730BA">
        <w:t>session</w:t>
      </w:r>
      <w:r w:rsidR="00FE216A" w:rsidRPr="008730BA">
        <w:t xml:space="preserve"> tenue à Genève du 26 au 2</w:t>
      </w:r>
      <w:r w:rsidR="00900241" w:rsidRPr="008730BA">
        <w:t>8 mars 20</w:t>
      </w:r>
      <w:r w:rsidR="00233C64" w:rsidRPr="008730BA">
        <w:t>12 (</w:t>
      </w:r>
      <w:r w:rsidR="00FE216A" w:rsidRPr="008730BA">
        <w:t>voir le paragraphe</w:t>
      </w:r>
      <w:r w:rsidR="00D30941" w:rsidRPr="008730BA">
        <w:t> </w:t>
      </w:r>
      <w:r w:rsidR="00FE216A" w:rsidRPr="008730BA">
        <w:t xml:space="preserve">78 du document CAJ/65/13 </w:t>
      </w:r>
      <w:r w:rsidR="00D30941" w:rsidRPr="008730BA">
        <w:t>“</w:t>
      </w:r>
      <w:r w:rsidR="000C4E0E" w:rsidRPr="008730BA">
        <w:t>Compte rendu</w:t>
      </w:r>
      <w:r w:rsidR="00D30941" w:rsidRPr="008730BA">
        <w:t>”</w:t>
      </w:r>
      <w:r w:rsidR="00FE216A" w:rsidRPr="008730BA">
        <w:t>)</w:t>
      </w:r>
      <w:r w:rsidR="00D30941" w:rsidRPr="008730BA">
        <w:t> :</w:t>
      </w:r>
    </w:p>
    <w:p w:rsidR="00233C64" w:rsidRPr="008730BA" w:rsidRDefault="00233C64" w:rsidP="00233C64"/>
    <w:p w:rsidR="00233C64" w:rsidRPr="008730BA" w:rsidRDefault="000C4E0E" w:rsidP="00233C64">
      <w:pPr>
        <w:pStyle w:val="ListParagraph"/>
        <w:numPr>
          <w:ilvl w:val="0"/>
          <w:numId w:val="1"/>
        </w:numPr>
        <w:tabs>
          <w:tab w:val="clear" w:pos="930"/>
        </w:tabs>
        <w:ind w:left="0" w:firstLine="567"/>
      </w:pPr>
      <w:r w:rsidRPr="008730BA">
        <w:t>L</w:t>
      </w:r>
      <w:r w:rsidR="00233C64" w:rsidRPr="008730BA">
        <w:t>e</w:t>
      </w:r>
      <w:r w:rsidR="00900241" w:rsidRPr="008730BA">
        <w:t> TC</w:t>
      </w:r>
      <w:r w:rsidR="00233C64" w:rsidRPr="008730BA">
        <w:t xml:space="preserve"> </w:t>
      </w:r>
      <w:r w:rsidRPr="008730BA">
        <w:t>est convenu qu</w:t>
      </w:r>
      <w:r w:rsidR="00900241" w:rsidRPr="008730BA">
        <w:t>’</w:t>
      </w:r>
      <w:r w:rsidRPr="008730BA">
        <w:t>il serait judicieux que le Bureau de l</w:t>
      </w:r>
      <w:r w:rsidR="00900241" w:rsidRPr="008730BA">
        <w:t>’</w:t>
      </w:r>
      <w:r w:rsidRPr="008730BA">
        <w:t>Union étudie la possibilité d</w:t>
      </w:r>
      <w:r w:rsidR="00900241" w:rsidRPr="008730BA">
        <w:t>’</w:t>
      </w:r>
      <w:r w:rsidRPr="008730BA">
        <w:t>une réunion coordonnée</w:t>
      </w:r>
      <w:r w:rsidR="00900241" w:rsidRPr="008730BA">
        <w:t xml:space="preserve"> du BMT</w:t>
      </w:r>
      <w:r w:rsidR="007222BC">
        <w:t xml:space="preserve"> et du g</w:t>
      </w:r>
      <w:r w:rsidRPr="008730BA">
        <w:t>roupe de travail sur les méthodes ADN de la Commission des variétés de l</w:t>
      </w:r>
      <w:r w:rsidR="00900241" w:rsidRPr="008730BA">
        <w:t>’</w:t>
      </w:r>
      <w:r w:rsidRPr="008730BA">
        <w:t>Association internationale d</w:t>
      </w:r>
      <w:r w:rsidR="00900241" w:rsidRPr="008730BA">
        <w:t>’</w:t>
      </w:r>
      <w:r w:rsidRPr="008730BA">
        <w:t>essais de semences (ISTA), pour la quatorzième</w:t>
      </w:r>
      <w:r w:rsidR="00D30941" w:rsidRPr="008730BA">
        <w:t> </w:t>
      </w:r>
      <w:r w:rsidRPr="008730BA">
        <w:t>session</w:t>
      </w:r>
      <w:r w:rsidR="00900241" w:rsidRPr="008730BA">
        <w:t xml:space="preserve"> du BMT</w:t>
      </w:r>
      <w:r w:rsidR="007222BC">
        <w:rPr>
          <w:rFonts w:cs="Arial"/>
          <w:lang w:eastAsia="ja-JP"/>
        </w:rPr>
        <w:t>.</w:t>
      </w:r>
    </w:p>
    <w:p w:rsidR="00233C64" w:rsidRPr="008730BA" w:rsidRDefault="00233C64" w:rsidP="00233C64">
      <w:pPr>
        <w:tabs>
          <w:tab w:val="num" w:pos="567"/>
        </w:tabs>
        <w:ind w:left="567"/>
      </w:pPr>
    </w:p>
    <w:p w:rsidR="00233C64" w:rsidRPr="008730BA" w:rsidRDefault="000C4E0E" w:rsidP="00233C64">
      <w:pPr>
        <w:pStyle w:val="ListParagraph"/>
        <w:numPr>
          <w:ilvl w:val="0"/>
          <w:numId w:val="1"/>
        </w:numPr>
        <w:tabs>
          <w:tab w:val="clear" w:pos="930"/>
        </w:tabs>
        <w:ind w:left="0" w:firstLine="567"/>
      </w:pPr>
      <w:r w:rsidRPr="008730BA">
        <w:t>Le</w:t>
      </w:r>
      <w:r w:rsidR="00900241" w:rsidRPr="008730BA">
        <w:t> TC</w:t>
      </w:r>
      <w:r w:rsidRPr="008730BA">
        <w:t xml:space="preserve"> a approuvé le programme de la quatorzième</w:t>
      </w:r>
      <w:r w:rsidR="00D30941" w:rsidRPr="008730BA">
        <w:t> </w:t>
      </w:r>
      <w:r w:rsidRPr="008730BA">
        <w:t>session</w:t>
      </w:r>
      <w:r w:rsidR="00900241" w:rsidRPr="008730BA">
        <w:t xml:space="preserve"> du BMT</w:t>
      </w:r>
      <w:r w:rsidRPr="008730BA">
        <w:t>, y</w:t>
      </w:r>
      <w:r w:rsidR="00D30941" w:rsidRPr="008730BA">
        <w:t> </w:t>
      </w:r>
      <w:r w:rsidRPr="008730BA">
        <w:t>compris la tenue d</w:t>
      </w:r>
      <w:r w:rsidR="00900241" w:rsidRPr="008730BA">
        <w:t>’</w:t>
      </w:r>
      <w:r w:rsidRPr="008730BA">
        <w:t>une journée spéciale (</w:t>
      </w:r>
      <w:r w:rsidR="00D30941" w:rsidRPr="008730BA">
        <w:t>“</w:t>
      </w:r>
      <w:r w:rsidRPr="008730BA">
        <w:t>Journée des obtenteurs</w:t>
      </w:r>
      <w:r w:rsidR="00D30941" w:rsidRPr="008730BA">
        <w:t>”</w:t>
      </w:r>
      <w:r w:rsidRPr="008730BA">
        <w:t>), en ce qui concerne les points de l</w:t>
      </w:r>
      <w:r w:rsidR="00900241" w:rsidRPr="008730BA">
        <w:t>’</w:t>
      </w:r>
      <w:r w:rsidRPr="008730BA">
        <w:t>ordre du jour relatifs à l</w:t>
      </w:r>
      <w:r w:rsidR="00900241" w:rsidRPr="008730BA">
        <w:t>’</w:t>
      </w:r>
      <w:r w:rsidRPr="008730BA">
        <w:t>utilisation de techniques moléculaires pour l</w:t>
      </w:r>
      <w:r w:rsidR="00900241" w:rsidRPr="008730BA">
        <w:t>’</w:t>
      </w:r>
      <w:r w:rsidRPr="008730BA">
        <w:t>appréciation de la notion de variété essentiellement dérivée et pour l</w:t>
      </w:r>
      <w:r w:rsidR="00900241" w:rsidRPr="008730BA">
        <w:t>’</w:t>
      </w:r>
      <w:r w:rsidRPr="008730BA">
        <w:t>identification des variétés, comme indiqué aux paragraphes</w:t>
      </w:r>
      <w:r w:rsidR="00D30941" w:rsidRPr="008730BA">
        <w:t> </w:t>
      </w:r>
      <w:r w:rsidRPr="008730BA">
        <w:t xml:space="preserve">32 et 33 du </w:t>
      </w:r>
      <w:r w:rsidR="00900241" w:rsidRPr="008730BA">
        <w:t>document TC</w:t>
      </w:r>
      <w:r w:rsidRPr="008730BA">
        <w:t>/48/7</w:t>
      </w:r>
      <w:r w:rsidR="00233C64" w:rsidRPr="008730BA">
        <w:t>.</w:t>
      </w:r>
    </w:p>
    <w:p w:rsidR="00233C64" w:rsidRPr="008730BA" w:rsidRDefault="00233C64" w:rsidP="00233C64"/>
    <w:p w:rsidR="00233C64" w:rsidRPr="008730BA" w:rsidRDefault="000543D3" w:rsidP="000C4E0E">
      <w:r w:rsidRPr="008730BA">
        <w:fldChar w:fldCharType="begin"/>
      </w:r>
      <w:r w:rsidR="00233C64" w:rsidRPr="008730BA">
        <w:instrText xml:space="preserve"> AUTONUM  </w:instrText>
      </w:r>
      <w:r w:rsidRPr="008730BA">
        <w:fldChar w:fldCharType="end"/>
      </w:r>
      <w:r w:rsidR="00233C64" w:rsidRPr="008730BA">
        <w:tab/>
      </w:r>
      <w:r w:rsidR="000C4E0E" w:rsidRPr="008730BA">
        <w:t>À sa quarante</w:t>
      </w:r>
      <w:r w:rsidR="00900241" w:rsidRPr="008730BA">
        <w:t>-</w:t>
      </w:r>
      <w:r w:rsidR="000C4E0E" w:rsidRPr="008730BA">
        <w:t>neuvième</w:t>
      </w:r>
      <w:r w:rsidR="00D30941" w:rsidRPr="008730BA">
        <w:t> </w:t>
      </w:r>
      <w:r w:rsidR="000C4E0E" w:rsidRPr="008730BA">
        <w:t>session tenue à Genève du 18 au 2</w:t>
      </w:r>
      <w:r w:rsidR="00900241" w:rsidRPr="008730BA">
        <w:t>0 mars </w:t>
      </w:r>
      <w:r w:rsidR="00900241" w:rsidRPr="008730BA">
        <w:rPr>
          <w:color w:val="000000"/>
        </w:rPr>
        <w:t>20</w:t>
      </w:r>
      <w:r w:rsidR="00233C64" w:rsidRPr="008730BA">
        <w:rPr>
          <w:color w:val="000000"/>
        </w:rPr>
        <w:t>13,</w:t>
      </w:r>
      <w:r w:rsidR="000C4E0E" w:rsidRPr="008730BA">
        <w:rPr>
          <w:color w:val="000000"/>
        </w:rPr>
        <w:t xml:space="preserve"> le</w:t>
      </w:r>
      <w:r w:rsidR="00900241" w:rsidRPr="008730BA">
        <w:rPr>
          <w:color w:val="000000"/>
        </w:rPr>
        <w:t> TC</w:t>
      </w:r>
      <w:r w:rsidR="000C4E0E" w:rsidRPr="008730BA">
        <w:rPr>
          <w:color w:val="000000"/>
        </w:rPr>
        <w:t xml:space="preserve"> a suivi les exposés ci</w:t>
      </w:r>
      <w:r w:rsidR="00900241" w:rsidRPr="008730BA">
        <w:rPr>
          <w:color w:val="000000"/>
        </w:rPr>
        <w:t>-</w:t>
      </w:r>
      <w:r w:rsidR="000C4E0E" w:rsidRPr="008730BA">
        <w:rPr>
          <w:color w:val="000000"/>
        </w:rPr>
        <w:t xml:space="preserve">après </w:t>
      </w:r>
      <w:r w:rsidR="000C4E0E" w:rsidRPr="008730BA">
        <w:t>d</w:t>
      </w:r>
      <w:r w:rsidR="00900241" w:rsidRPr="008730BA">
        <w:t>’</w:t>
      </w:r>
      <w:r w:rsidR="000C4E0E" w:rsidRPr="008730BA">
        <w:t>organisations internationales concernées (voir les paragraphes</w:t>
      </w:r>
      <w:r w:rsidR="00D30941" w:rsidRPr="008730BA">
        <w:t> </w:t>
      </w:r>
      <w:r w:rsidR="000C4E0E" w:rsidRPr="008730BA">
        <w:t xml:space="preserve">131 à 133 du </w:t>
      </w:r>
      <w:r w:rsidR="00900241" w:rsidRPr="008730BA">
        <w:t>document TC</w:t>
      </w:r>
      <w:r w:rsidR="000C4E0E" w:rsidRPr="008730BA">
        <w:t xml:space="preserve">/49/41 </w:t>
      </w:r>
      <w:r w:rsidR="00D30941" w:rsidRPr="008730BA">
        <w:t>“</w:t>
      </w:r>
      <w:r w:rsidR="000C4E0E" w:rsidRPr="008730BA">
        <w:t>Compte rendu des conclusions</w:t>
      </w:r>
      <w:r w:rsidR="00D30941" w:rsidRPr="008730BA">
        <w:t>”</w:t>
      </w:r>
      <w:r w:rsidR="000C4E0E" w:rsidRPr="008730BA">
        <w:t>, disponible sur le site</w:t>
      </w:r>
      <w:r w:rsidR="00D30941" w:rsidRPr="008730BA">
        <w:t> </w:t>
      </w:r>
      <w:r w:rsidR="000C4E0E" w:rsidRPr="008730BA">
        <w:t>Web de l</w:t>
      </w:r>
      <w:r w:rsidR="00900241" w:rsidRPr="008730BA">
        <w:t>’</w:t>
      </w:r>
      <w:r w:rsidR="000C4E0E" w:rsidRPr="008730BA">
        <w:t>UPOV à l</w:t>
      </w:r>
      <w:r w:rsidR="00900241" w:rsidRPr="008730BA">
        <w:t>’</w:t>
      </w:r>
      <w:r w:rsidR="000C4E0E" w:rsidRPr="008730BA">
        <w:t>adresse suivante</w:t>
      </w:r>
      <w:r w:rsidR="00D30941" w:rsidRPr="008730BA">
        <w:t> </w:t>
      </w:r>
      <w:r w:rsidR="000C4E0E" w:rsidRPr="008730BA">
        <w:t>:</w:t>
      </w:r>
      <w:r w:rsidR="00693AD0" w:rsidRPr="00693AD0">
        <w:t xml:space="preserve"> </w:t>
      </w:r>
      <w:hyperlink r:id="rId11" w:history="1">
        <w:r w:rsidR="00693AD0" w:rsidRPr="00E51891">
          <w:rPr>
            <w:rStyle w:val="Hyperlink"/>
          </w:rPr>
          <w:t>http://upov.int/meetings/fr/details.jsp?meeting_id=28343</w:t>
        </w:r>
      </w:hyperlink>
      <w:r w:rsidR="000C4E0E" w:rsidRPr="00714B1A">
        <w:t>).</w:t>
      </w:r>
    </w:p>
    <w:p w:rsidR="00233C64" w:rsidRPr="008730BA" w:rsidRDefault="00233C64" w:rsidP="00233C64"/>
    <w:tbl>
      <w:tblPr>
        <w:tblW w:w="9410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571"/>
        <w:gridCol w:w="2839"/>
      </w:tblGrid>
      <w:tr w:rsidR="00233C64" w:rsidRPr="008730BA" w:rsidTr="00AF7425"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C64" w:rsidRPr="008730BA" w:rsidRDefault="000C4E0E" w:rsidP="00AF7425">
            <w:pPr>
              <w:spacing w:before="60" w:after="60"/>
              <w:jc w:val="left"/>
            </w:pPr>
            <w:r w:rsidRPr="008730BA">
              <w:t>Situation concernant l</w:t>
            </w:r>
            <w:r w:rsidR="00900241" w:rsidRPr="008730BA">
              <w:t>’</w:t>
            </w:r>
            <w:r w:rsidRPr="008730BA">
              <w:t>utilisation de techniques moléculaires en</w:t>
            </w:r>
            <w:r w:rsidR="007222BC">
              <w:t> </w:t>
            </w:r>
            <w:r w:rsidRPr="008730BA">
              <w:t>relation avec les semences à l</w:t>
            </w:r>
            <w:r w:rsidR="00900241" w:rsidRPr="008730BA">
              <w:t>’</w:t>
            </w:r>
            <w:r w:rsidRPr="008730BA">
              <w:t>Organisation internationale de normalisation (ISO)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241" w:rsidRPr="008730BA" w:rsidRDefault="000C4E0E" w:rsidP="009A74AE">
            <w:pPr>
              <w:spacing w:before="60" w:after="60"/>
              <w:jc w:val="left"/>
            </w:pPr>
            <w:r w:rsidRPr="008730BA">
              <w:t>Présenté par M.</w:t>
            </w:r>
            <w:r w:rsidR="00D30941" w:rsidRPr="008730BA">
              <w:t> </w:t>
            </w:r>
            <w:r w:rsidR="00233C64" w:rsidRPr="008730BA">
              <w:t>Paul</w:t>
            </w:r>
            <w:r w:rsidR="007222BC">
              <w:t> </w:t>
            </w:r>
            <w:r w:rsidR="00233C64" w:rsidRPr="008730BA">
              <w:t>Zankowski (</w:t>
            </w:r>
            <w:r w:rsidRPr="008730BA">
              <w:t>États</w:t>
            </w:r>
            <w:r w:rsidR="007222BC" w:rsidRPr="003961D4">
              <w:noBreakHyphen/>
            </w:r>
            <w:r w:rsidRPr="008730BA">
              <w:t>Unis d</w:t>
            </w:r>
            <w:r w:rsidR="00900241" w:rsidRPr="008730BA">
              <w:t>’</w:t>
            </w:r>
            <w:r w:rsidRPr="008730BA">
              <w:t>Amérique</w:t>
            </w:r>
            <w:r w:rsidR="00233C64" w:rsidRPr="008730BA">
              <w:t>)</w:t>
            </w:r>
          </w:p>
          <w:p w:rsidR="00233C64" w:rsidRPr="008730BA" w:rsidRDefault="00233C64" w:rsidP="007222BC">
            <w:pPr>
              <w:spacing w:before="60" w:after="60"/>
              <w:jc w:val="left"/>
            </w:pPr>
            <w:r w:rsidRPr="008730BA">
              <w:t>(</w:t>
            </w:r>
            <w:r w:rsidR="000C4E0E" w:rsidRPr="008730BA">
              <w:t>Établi par M.</w:t>
            </w:r>
            <w:r w:rsidR="00D30941" w:rsidRPr="008730BA">
              <w:t> </w:t>
            </w:r>
            <w:r w:rsidRPr="008730BA">
              <w:t>Michael</w:t>
            </w:r>
            <w:r w:rsidR="007222BC">
              <w:t> </w:t>
            </w:r>
            <w:r w:rsidRPr="008730BA">
              <w:t>Sussman (ISO))</w:t>
            </w:r>
          </w:p>
        </w:tc>
      </w:tr>
      <w:tr w:rsidR="00233C64" w:rsidRPr="008730BA" w:rsidTr="00AF7425"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C64" w:rsidRPr="008730BA" w:rsidRDefault="000C4E0E" w:rsidP="00AF7425">
            <w:pPr>
              <w:spacing w:before="60" w:after="60"/>
              <w:jc w:val="left"/>
            </w:pPr>
            <w:r w:rsidRPr="008730BA">
              <w:t>Situation concernant l</w:t>
            </w:r>
            <w:r w:rsidR="00900241" w:rsidRPr="008730BA">
              <w:t>’</w:t>
            </w:r>
            <w:r w:rsidRPr="008730BA">
              <w:t>utilisation de techniques moléculaires à l</w:t>
            </w:r>
            <w:r w:rsidR="00900241" w:rsidRPr="008730BA">
              <w:t>’</w:t>
            </w:r>
            <w:r w:rsidRPr="008730BA">
              <w:t>Association internationale d</w:t>
            </w:r>
            <w:r w:rsidR="00900241" w:rsidRPr="008730BA">
              <w:t>’</w:t>
            </w:r>
            <w:r w:rsidRPr="008730BA">
              <w:t>essais de semences (</w:t>
            </w:r>
            <w:r w:rsidR="00233C64" w:rsidRPr="00693AD0">
              <w:rPr>
                <w:i/>
              </w:rPr>
              <w:t>Internat</w:t>
            </w:r>
            <w:r w:rsidRPr="00693AD0">
              <w:rPr>
                <w:i/>
              </w:rPr>
              <w:t>ional Seed Testing Association</w:t>
            </w:r>
            <w:r w:rsidRPr="008730BA">
              <w:t xml:space="preserve"> </w:t>
            </w:r>
            <w:r w:rsidR="00D30941" w:rsidRPr="008730BA">
              <w:t>–</w:t>
            </w:r>
            <w:r w:rsidRPr="008730BA">
              <w:t xml:space="preserve"> </w:t>
            </w:r>
            <w:r w:rsidR="00233C64" w:rsidRPr="008730BA">
              <w:t>ISTA)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C64" w:rsidRPr="008730BA" w:rsidRDefault="00233C64" w:rsidP="007222BC">
            <w:pPr>
              <w:spacing w:before="60" w:after="60"/>
            </w:pPr>
            <w:r w:rsidRPr="008730BA">
              <w:t>M</w:t>
            </w:r>
            <w:r w:rsidR="000C4E0E" w:rsidRPr="008730BA">
              <w:t>me</w:t>
            </w:r>
            <w:r w:rsidR="007222BC">
              <w:t> </w:t>
            </w:r>
            <w:r w:rsidRPr="008730BA">
              <w:t>Rita</w:t>
            </w:r>
            <w:r w:rsidR="007222BC">
              <w:t> </w:t>
            </w:r>
            <w:r w:rsidRPr="008730BA">
              <w:t>Zecchinelli (ISTA)</w:t>
            </w:r>
          </w:p>
        </w:tc>
      </w:tr>
      <w:tr w:rsidR="00233C64" w:rsidRPr="008730BA" w:rsidTr="00AF7425"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C64" w:rsidRPr="00AF7425" w:rsidRDefault="000C4E0E" w:rsidP="00AF7425">
            <w:pPr>
              <w:spacing w:before="60" w:after="60"/>
              <w:jc w:val="left"/>
              <w:rPr>
                <w:spacing w:val="-2"/>
              </w:rPr>
            </w:pPr>
            <w:r w:rsidRPr="00AF7425">
              <w:rPr>
                <w:spacing w:val="-2"/>
              </w:rPr>
              <w:t>Situation concernant l</w:t>
            </w:r>
            <w:r w:rsidR="00900241" w:rsidRPr="00AF7425">
              <w:rPr>
                <w:spacing w:val="-2"/>
              </w:rPr>
              <w:t>’</w:t>
            </w:r>
            <w:r w:rsidRPr="00AF7425">
              <w:rPr>
                <w:spacing w:val="-2"/>
              </w:rPr>
              <w:t>utilisation de techniques moléculaires à l</w:t>
            </w:r>
            <w:r w:rsidR="00900241" w:rsidRPr="00AF7425">
              <w:rPr>
                <w:spacing w:val="-2"/>
              </w:rPr>
              <w:t>’</w:t>
            </w:r>
            <w:r w:rsidRPr="00AF7425">
              <w:rPr>
                <w:spacing w:val="-2"/>
              </w:rPr>
              <w:t>Organisation de coopération et de développement économiques (OCDE)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C64" w:rsidRPr="008730BA" w:rsidRDefault="007222BC" w:rsidP="009A74AE">
            <w:pPr>
              <w:spacing w:before="60" w:after="60"/>
            </w:pPr>
            <w:r>
              <w:t>M. Michael </w:t>
            </w:r>
            <w:r w:rsidR="00233C64" w:rsidRPr="008730BA">
              <w:t>Ryan (</w:t>
            </w:r>
            <w:r w:rsidR="000C4E0E" w:rsidRPr="008730BA">
              <w:t>OCDE</w:t>
            </w:r>
            <w:r w:rsidR="00233C64" w:rsidRPr="008730BA">
              <w:t>)</w:t>
            </w:r>
          </w:p>
        </w:tc>
      </w:tr>
    </w:tbl>
    <w:p w:rsidR="00233C64" w:rsidRPr="008730BA" w:rsidRDefault="00233C64" w:rsidP="00233C64">
      <w:pPr>
        <w:autoSpaceDE w:val="0"/>
        <w:autoSpaceDN w:val="0"/>
        <w:adjustRightInd w:val="0"/>
      </w:pPr>
    </w:p>
    <w:p w:rsidR="008255AF" w:rsidRPr="008730BA" w:rsidRDefault="000543D3" w:rsidP="00233C64">
      <w:r w:rsidRPr="008730BA">
        <w:fldChar w:fldCharType="begin"/>
      </w:r>
      <w:r w:rsidR="00233C64" w:rsidRPr="008730BA">
        <w:instrText xml:space="preserve"> AUTONUM  </w:instrText>
      </w:r>
      <w:r w:rsidRPr="008730BA">
        <w:fldChar w:fldCharType="end"/>
      </w:r>
      <w:r w:rsidR="00233C64" w:rsidRPr="008730BA">
        <w:tab/>
      </w:r>
      <w:r w:rsidR="000C4E0E" w:rsidRPr="008730BA">
        <w:t>À sa quarante</w:t>
      </w:r>
      <w:r w:rsidR="00900241" w:rsidRPr="008730BA">
        <w:t>-</w:t>
      </w:r>
      <w:r w:rsidR="000C4E0E" w:rsidRPr="008730BA">
        <w:t>neuvième</w:t>
      </w:r>
      <w:r w:rsidR="00D30941" w:rsidRPr="008730BA">
        <w:t> </w:t>
      </w:r>
      <w:r w:rsidR="000C4E0E" w:rsidRPr="008730BA">
        <w:t>session, le</w:t>
      </w:r>
      <w:r w:rsidR="00900241" w:rsidRPr="008730BA">
        <w:t> TC</w:t>
      </w:r>
      <w:r w:rsidR="000C4E0E" w:rsidRPr="008730BA">
        <w:t xml:space="preserve"> a rappelé que</w:t>
      </w:r>
      <w:r w:rsidR="00900241" w:rsidRPr="008730BA">
        <w:t xml:space="preserve"> le BMT</w:t>
      </w:r>
      <w:r w:rsidR="002D6D40" w:rsidRPr="008730BA">
        <w:t>,</w:t>
      </w:r>
      <w:r w:rsidR="000C4E0E" w:rsidRPr="008730BA">
        <w:t xml:space="preserve"> </w:t>
      </w:r>
      <w:r w:rsidR="002D6D40" w:rsidRPr="008730BA">
        <w:t>dont le mandat est reproduit à l</w:t>
      </w:r>
      <w:r w:rsidR="00900241" w:rsidRPr="008730BA">
        <w:t>’</w:t>
      </w:r>
      <w:r w:rsidR="002D6D40" w:rsidRPr="008730BA">
        <w:t>annexe</w:t>
      </w:r>
      <w:r w:rsidR="007222BC">
        <w:t> </w:t>
      </w:r>
      <w:r w:rsidR="002D6D40" w:rsidRPr="008730BA">
        <w:t>II du présent document,</w:t>
      </w:r>
      <w:r w:rsidR="007222BC">
        <w:t xml:space="preserve"> </w:t>
      </w:r>
      <w:r w:rsidR="000C4E0E" w:rsidRPr="008730BA">
        <w:t xml:space="preserve">est un groupe ouvert aux </w:t>
      </w:r>
      <w:r w:rsidR="008255AF" w:rsidRPr="008730BA">
        <w:t>spécialistes</w:t>
      </w:r>
      <w:r w:rsidR="000C4E0E" w:rsidRPr="008730BA">
        <w:t xml:space="preserve"> de l</w:t>
      </w:r>
      <w:r w:rsidR="00900241" w:rsidRPr="008730BA">
        <w:t>’</w:t>
      </w:r>
      <w:r w:rsidR="000C4E0E" w:rsidRPr="008730BA">
        <w:t>examen</w:t>
      </w:r>
      <w:r w:rsidR="00D30941" w:rsidRPr="008730BA">
        <w:t> </w:t>
      </w:r>
      <w:r w:rsidR="000C4E0E" w:rsidRPr="008730BA">
        <w:t>DHS, aux spécialistes en techniques biochimiques et moléculaires et aux obtenteurs</w:t>
      </w:r>
      <w:r w:rsidR="002D6D40" w:rsidRPr="008730BA">
        <w:t>.</w:t>
      </w:r>
      <w:r w:rsidR="008255AF" w:rsidRPr="008730BA">
        <w:t xml:space="preserve"> </w:t>
      </w:r>
      <w:r w:rsidR="00F31977" w:rsidRPr="008730BA">
        <w:t xml:space="preserve"> </w:t>
      </w:r>
      <w:r w:rsidR="008255AF" w:rsidRPr="008730BA">
        <w:t>À cet égard, il a fait sienne l</w:t>
      </w:r>
      <w:r w:rsidR="00900241" w:rsidRPr="008730BA">
        <w:t>’</w:t>
      </w:r>
      <w:r w:rsidR="008255AF" w:rsidRPr="008730BA">
        <w:t>initiative prise d</w:t>
      </w:r>
      <w:r w:rsidR="00900241" w:rsidRPr="008730BA">
        <w:t>’</w:t>
      </w:r>
      <w:r w:rsidR="008255AF" w:rsidRPr="008730BA">
        <w:t>organiser une réunion conjointe avec l</w:t>
      </w:r>
      <w:r w:rsidR="00900241" w:rsidRPr="008730BA">
        <w:t>’</w:t>
      </w:r>
      <w:r w:rsidR="008255AF" w:rsidRPr="008730BA">
        <w:t>ISO, l</w:t>
      </w:r>
      <w:r w:rsidR="00900241" w:rsidRPr="008730BA">
        <w:t>’</w:t>
      </w:r>
      <w:r w:rsidR="008255AF" w:rsidRPr="008730BA">
        <w:t>ISTA et l</w:t>
      </w:r>
      <w:r w:rsidR="00900241" w:rsidRPr="008730BA">
        <w:t>’</w:t>
      </w:r>
      <w:r w:rsidR="008255AF" w:rsidRPr="008730BA">
        <w:t>OCDE à laquelle assisteraient des obtenteurs, en</w:t>
      </w:r>
      <w:r w:rsidR="007222BC">
        <w:t> </w:t>
      </w:r>
      <w:r w:rsidR="008255AF" w:rsidRPr="008730BA">
        <w:t>vue d</w:t>
      </w:r>
      <w:r w:rsidR="00900241" w:rsidRPr="008730BA">
        <w:t>’</w:t>
      </w:r>
      <w:r w:rsidR="008255AF" w:rsidRPr="008730BA">
        <w:t xml:space="preserve">appuyer le </w:t>
      </w:r>
      <w:r w:rsidR="00D124D1" w:rsidRPr="008730BA">
        <w:t>mandat</w:t>
      </w:r>
      <w:r w:rsidR="00900241" w:rsidRPr="008730BA">
        <w:t xml:space="preserve"> du BMT</w:t>
      </w:r>
      <w:r w:rsidR="008255AF" w:rsidRPr="008730BA">
        <w:t xml:space="preserve"> concernant les alinéas</w:t>
      </w:r>
      <w:r w:rsidR="00D30941" w:rsidRPr="008730BA">
        <w:t> </w:t>
      </w:r>
      <w:r w:rsidR="008255AF" w:rsidRPr="008730BA">
        <w:t>i), ii), iv)</w:t>
      </w:r>
      <w:r w:rsidR="00D30941" w:rsidRPr="008730BA">
        <w:t> </w:t>
      </w:r>
      <w:r w:rsidR="008255AF" w:rsidRPr="008730BA">
        <w:t>et vi)</w:t>
      </w:r>
      <w:r w:rsidR="00D30941" w:rsidRPr="008730BA">
        <w:t> </w:t>
      </w:r>
      <w:r w:rsidR="008255AF" w:rsidRPr="008730BA">
        <w:t xml:space="preserve">et, en particulier, viii) du </w:t>
      </w:r>
      <w:r w:rsidR="00D124D1" w:rsidRPr="008730BA">
        <w:t>mandat</w:t>
      </w:r>
      <w:r w:rsidR="00900241" w:rsidRPr="008730BA">
        <w:t xml:space="preserve"> du BMT</w:t>
      </w:r>
      <w:r w:rsidR="008255AF" w:rsidRPr="008730BA">
        <w:t xml:space="preserve"> (voir les paragraphes</w:t>
      </w:r>
      <w:r w:rsidR="00D30941" w:rsidRPr="008730BA">
        <w:t> </w:t>
      </w:r>
      <w:r w:rsidR="008255AF" w:rsidRPr="008730BA">
        <w:t xml:space="preserve">134 et 135 du </w:t>
      </w:r>
      <w:r w:rsidR="00900241" w:rsidRPr="008730BA">
        <w:t>document TC</w:t>
      </w:r>
      <w:r w:rsidR="008255AF" w:rsidRPr="008730BA">
        <w:t xml:space="preserve">/49/41 </w:t>
      </w:r>
      <w:r w:rsidR="00D30941" w:rsidRPr="008730BA">
        <w:t>“</w:t>
      </w:r>
      <w:r w:rsidR="008255AF" w:rsidRPr="008730BA">
        <w:t>Compte rendu des conclusions</w:t>
      </w:r>
      <w:r w:rsidR="00D30941" w:rsidRPr="008730BA">
        <w:t>”</w:t>
      </w:r>
      <w:r w:rsidR="008255AF" w:rsidRPr="008730BA">
        <w:t xml:space="preserve"> et l</w:t>
      </w:r>
      <w:r w:rsidR="00900241" w:rsidRPr="008730BA">
        <w:t>’</w:t>
      </w:r>
      <w:r w:rsidR="00B3465C">
        <w:t>annexe I</w:t>
      </w:r>
      <w:r w:rsidR="008255AF" w:rsidRPr="008730BA">
        <w:t xml:space="preserve"> du présent document).</w:t>
      </w:r>
    </w:p>
    <w:p w:rsidR="00233C64" w:rsidRPr="008730BA" w:rsidRDefault="00233C64" w:rsidP="00233C64"/>
    <w:p w:rsidR="008255AF" w:rsidRPr="008730BA" w:rsidRDefault="000543D3" w:rsidP="00233C64">
      <w:pPr>
        <w:autoSpaceDE w:val="0"/>
        <w:autoSpaceDN w:val="0"/>
        <w:adjustRightInd w:val="0"/>
        <w:rPr>
          <w:rFonts w:cs="Arial"/>
          <w:color w:val="000000"/>
        </w:rPr>
      </w:pPr>
      <w:r w:rsidRPr="008730BA">
        <w:fldChar w:fldCharType="begin"/>
      </w:r>
      <w:r w:rsidR="00233C64" w:rsidRPr="008730BA">
        <w:instrText xml:space="preserve"> AUTONUM  </w:instrText>
      </w:r>
      <w:r w:rsidRPr="008730BA">
        <w:fldChar w:fldCharType="end"/>
      </w:r>
      <w:r w:rsidR="00233C64" w:rsidRPr="008730BA">
        <w:rPr>
          <w:rFonts w:cs="Arial"/>
          <w:color w:val="000000"/>
        </w:rPr>
        <w:tab/>
      </w:r>
      <w:r w:rsidR="008255AF" w:rsidRPr="008730BA">
        <w:t xml:space="preserve">À sa </w:t>
      </w:r>
      <w:r w:rsidR="00A94AFD">
        <w:t>soixante</w:t>
      </w:r>
      <w:r w:rsidR="00A94AFD">
        <w:noBreakHyphen/>
        <w:t>septième</w:t>
      </w:r>
      <w:r w:rsidR="00D30941" w:rsidRPr="008730BA">
        <w:t> </w:t>
      </w:r>
      <w:r w:rsidR="008255AF" w:rsidRPr="008730BA">
        <w:t>session</w:t>
      </w:r>
      <w:r w:rsidR="00A94AFD">
        <w:t xml:space="preserve"> tenue le 21 mars 2013,</w:t>
      </w:r>
      <w:r w:rsidR="008255AF" w:rsidRPr="008730BA">
        <w:t xml:space="preserve"> le</w:t>
      </w:r>
      <w:r w:rsidR="00900241" w:rsidRPr="008730BA">
        <w:t> </w:t>
      </w:r>
      <w:r w:rsidR="00A94AFD">
        <w:t>CAJ</w:t>
      </w:r>
      <w:r w:rsidR="008255AF" w:rsidRPr="008730BA">
        <w:t xml:space="preserve"> </w:t>
      </w:r>
      <w:r w:rsidR="00A94AFD">
        <w:t xml:space="preserve">a noté que le TC était </w:t>
      </w:r>
      <w:r w:rsidR="008255AF" w:rsidRPr="008730BA">
        <w:t xml:space="preserve">convenu </w:t>
      </w:r>
      <w:r w:rsidR="00A94AFD">
        <w:t>d’étudier la possibilité</w:t>
      </w:r>
      <w:r w:rsidR="008255AF" w:rsidRPr="008730BA">
        <w:t xml:space="preserve"> de </w:t>
      </w:r>
      <w:r w:rsidR="00A94AFD">
        <w:t>coordonner</w:t>
      </w:r>
      <w:r w:rsidR="008255AF" w:rsidRPr="008730BA">
        <w:t xml:space="preserve"> une réunion</w:t>
      </w:r>
      <w:r w:rsidR="00A94AFD">
        <w:t>, à l’occasion de la quatorzième session du BMT,</w:t>
      </w:r>
      <w:r w:rsidR="008255AF" w:rsidRPr="008730BA">
        <w:t xml:space="preserve"> avec </w:t>
      </w:r>
      <w:r w:rsidR="00A94AFD">
        <w:t xml:space="preserve">celles </w:t>
      </w:r>
      <w:r w:rsidR="008255AF" w:rsidRPr="008730BA">
        <w:t>d</w:t>
      </w:r>
      <w:r w:rsidR="00900241" w:rsidRPr="008730BA">
        <w:t>’</w:t>
      </w:r>
      <w:r w:rsidR="008255AF" w:rsidRPr="008730BA">
        <w:t xml:space="preserve">autres organisations internationales </w:t>
      </w:r>
      <w:r w:rsidR="00A94AFD">
        <w:t>intéressées,</w:t>
      </w:r>
      <w:r w:rsidR="008255AF" w:rsidRPr="008730BA">
        <w:t xml:space="preserve"> comme indiqué</w:t>
      </w:r>
      <w:r w:rsidR="00A94AFD">
        <w:t xml:space="preserve"> aux paragraphes 8 et 9 du</w:t>
      </w:r>
      <w:r w:rsidR="008255AF" w:rsidRPr="008730BA">
        <w:t xml:space="preserve"> </w:t>
      </w:r>
      <w:r w:rsidR="00900241" w:rsidRPr="008730BA">
        <w:t xml:space="preserve">document </w:t>
      </w:r>
      <w:r w:rsidR="00A94AFD">
        <w:t>CAJ/67/4.</w:t>
      </w:r>
      <w:r w:rsidR="008255AF" w:rsidRPr="008730BA">
        <w:t xml:space="preserve"> </w:t>
      </w:r>
      <w:r w:rsidR="00F31977" w:rsidRPr="008730BA">
        <w:t xml:space="preserve"> </w:t>
      </w:r>
      <w:r w:rsidR="008255AF" w:rsidRPr="008730BA">
        <w:t xml:space="preserve">Il </w:t>
      </w:r>
      <w:r w:rsidR="00A94AFD">
        <w:t>a aussi noté que le TC était</w:t>
      </w:r>
      <w:r w:rsidR="008255AF" w:rsidRPr="008730BA">
        <w:t xml:space="preserve"> également convenu que, s</w:t>
      </w:r>
      <w:r w:rsidR="00900241" w:rsidRPr="008730BA">
        <w:t>’</w:t>
      </w:r>
      <w:r w:rsidR="008255AF" w:rsidRPr="008730BA">
        <w:t>il n</w:t>
      </w:r>
      <w:r w:rsidR="00751ADD">
        <w:t>’était</w:t>
      </w:r>
      <w:r w:rsidR="008255AF" w:rsidRPr="008730BA">
        <w:t xml:space="preserve"> pas possible d</w:t>
      </w:r>
      <w:r w:rsidR="00900241" w:rsidRPr="008730BA">
        <w:t>’</w:t>
      </w:r>
      <w:r w:rsidR="008255AF" w:rsidRPr="008730BA">
        <w:t xml:space="preserve">organiser une réunion </w:t>
      </w:r>
      <w:r w:rsidR="00751ADD">
        <w:t>commune</w:t>
      </w:r>
      <w:r w:rsidR="008255AF" w:rsidRPr="008730BA">
        <w:t xml:space="preserve"> avec d</w:t>
      </w:r>
      <w:r w:rsidR="00900241" w:rsidRPr="008730BA">
        <w:t>’</w:t>
      </w:r>
      <w:r w:rsidR="008255AF" w:rsidRPr="008730BA">
        <w:t>autres organisations</w:t>
      </w:r>
      <w:r w:rsidR="00751ADD">
        <w:t xml:space="preserve"> </w:t>
      </w:r>
      <w:r w:rsidR="00751ADD" w:rsidRPr="008730BA">
        <w:t>en 2014</w:t>
      </w:r>
      <w:r w:rsidR="008255AF" w:rsidRPr="008730BA">
        <w:t xml:space="preserve">, une </w:t>
      </w:r>
      <w:r w:rsidR="00751ADD">
        <w:t>session</w:t>
      </w:r>
      <w:r w:rsidR="00900241" w:rsidRPr="008730BA">
        <w:t xml:space="preserve"> du BMT</w:t>
      </w:r>
      <w:r w:rsidR="008255AF" w:rsidRPr="008730BA">
        <w:t xml:space="preserve"> devrait être organisée dans l</w:t>
      </w:r>
      <w:r w:rsidR="00900241" w:rsidRPr="008730BA">
        <w:t>’</w:t>
      </w:r>
      <w:r w:rsidR="008255AF" w:rsidRPr="008730BA">
        <w:t>intervalle (voir le paragraphe</w:t>
      </w:r>
      <w:r w:rsidR="00D30941" w:rsidRPr="008730BA">
        <w:t> </w:t>
      </w:r>
      <w:r w:rsidR="00751ADD">
        <w:t>42</w:t>
      </w:r>
      <w:r w:rsidR="008255AF" w:rsidRPr="008730BA">
        <w:t xml:space="preserve"> du </w:t>
      </w:r>
      <w:r w:rsidR="00900241" w:rsidRPr="008730BA">
        <w:t xml:space="preserve">document </w:t>
      </w:r>
      <w:r w:rsidR="00751ADD">
        <w:t>CAJ</w:t>
      </w:r>
      <w:r w:rsidR="008255AF" w:rsidRPr="008730BA">
        <w:t>/</w:t>
      </w:r>
      <w:r w:rsidR="00751ADD">
        <w:t>67</w:t>
      </w:r>
      <w:r w:rsidR="008255AF" w:rsidRPr="008730BA">
        <w:t>/</w:t>
      </w:r>
      <w:r w:rsidR="00751ADD">
        <w:t>14</w:t>
      </w:r>
      <w:r w:rsidR="008255AF" w:rsidRPr="008730BA">
        <w:t xml:space="preserve"> </w:t>
      </w:r>
      <w:r w:rsidR="00D30941" w:rsidRPr="008730BA">
        <w:t>“</w:t>
      </w:r>
      <w:r w:rsidR="008255AF" w:rsidRPr="008730BA">
        <w:t>Compte rendu des conclusions</w:t>
      </w:r>
      <w:r w:rsidR="00D30941" w:rsidRPr="008730BA">
        <w:t>”</w:t>
      </w:r>
      <w:r w:rsidR="008255AF" w:rsidRPr="008730BA">
        <w:t>).</w:t>
      </w:r>
    </w:p>
    <w:p w:rsidR="00233C64" w:rsidRPr="008730BA" w:rsidRDefault="00233C64" w:rsidP="00233C64">
      <w:pPr>
        <w:autoSpaceDE w:val="0"/>
        <w:autoSpaceDN w:val="0"/>
        <w:adjustRightInd w:val="0"/>
        <w:rPr>
          <w:rFonts w:ascii="ArialMT" w:hAnsi="ArialMT" w:cs="ArialMT"/>
          <w:highlight w:val="yellow"/>
        </w:rPr>
      </w:pPr>
    </w:p>
    <w:p w:rsidR="008255AF" w:rsidRPr="008730BA" w:rsidRDefault="000543D3" w:rsidP="00233C64">
      <w:pPr>
        <w:autoSpaceDE w:val="0"/>
        <w:autoSpaceDN w:val="0"/>
        <w:adjustRightInd w:val="0"/>
        <w:rPr>
          <w:rFonts w:cs="Arial"/>
          <w:color w:val="000000"/>
        </w:rPr>
      </w:pPr>
      <w:r w:rsidRPr="008730BA">
        <w:fldChar w:fldCharType="begin"/>
      </w:r>
      <w:r w:rsidR="00233C64" w:rsidRPr="008730BA">
        <w:instrText xml:space="preserve"> AUTONUM  </w:instrText>
      </w:r>
      <w:r w:rsidRPr="008730BA">
        <w:fldChar w:fldCharType="end"/>
      </w:r>
      <w:r w:rsidR="00233C64" w:rsidRPr="008730BA">
        <w:rPr>
          <w:rFonts w:cs="Arial"/>
          <w:color w:val="000000"/>
        </w:rPr>
        <w:tab/>
      </w:r>
      <w:r w:rsidR="008255AF" w:rsidRPr="008730BA">
        <w:rPr>
          <w:rFonts w:cs="Arial"/>
          <w:color w:val="000000"/>
        </w:rPr>
        <w:t xml:space="preserve">Le </w:t>
      </w:r>
      <w:r w:rsidR="00900241" w:rsidRPr="008730BA">
        <w:rPr>
          <w:rFonts w:cs="Arial"/>
          <w:color w:val="000000"/>
        </w:rPr>
        <w:t>3 mai 20</w:t>
      </w:r>
      <w:r w:rsidR="00233C64" w:rsidRPr="008730BA">
        <w:rPr>
          <w:rFonts w:cs="Arial"/>
          <w:color w:val="000000"/>
        </w:rPr>
        <w:t xml:space="preserve">13, </w:t>
      </w:r>
      <w:r w:rsidR="008255AF" w:rsidRPr="008730BA">
        <w:rPr>
          <w:rFonts w:cs="Arial"/>
          <w:color w:val="000000"/>
        </w:rPr>
        <w:t>le Bureau de l</w:t>
      </w:r>
      <w:r w:rsidR="00900241" w:rsidRPr="008730BA">
        <w:rPr>
          <w:rFonts w:cs="Arial"/>
          <w:color w:val="000000"/>
        </w:rPr>
        <w:t>’</w:t>
      </w:r>
      <w:r w:rsidR="00233C64" w:rsidRPr="008730BA">
        <w:rPr>
          <w:rFonts w:cs="Arial"/>
          <w:color w:val="000000"/>
        </w:rPr>
        <w:t xml:space="preserve">Union </w:t>
      </w:r>
      <w:r w:rsidR="008255AF" w:rsidRPr="008730BA">
        <w:rPr>
          <w:rFonts w:cs="Arial"/>
          <w:color w:val="000000"/>
        </w:rPr>
        <w:t>a adressé une lettre à M.</w:t>
      </w:r>
      <w:r w:rsidR="00D30941" w:rsidRPr="008730BA">
        <w:rPr>
          <w:rFonts w:cs="Arial"/>
          <w:color w:val="000000"/>
        </w:rPr>
        <w:t> </w:t>
      </w:r>
      <w:r w:rsidR="007222BC">
        <w:rPr>
          <w:rFonts w:cs="Arial"/>
          <w:color w:val="000000"/>
        </w:rPr>
        <w:t>Michael </w:t>
      </w:r>
      <w:r w:rsidR="00233C64" w:rsidRPr="008730BA">
        <w:rPr>
          <w:rFonts w:cs="Arial"/>
          <w:color w:val="000000"/>
        </w:rPr>
        <w:t xml:space="preserve">Sussman, </w:t>
      </w:r>
      <w:r w:rsidR="008255AF" w:rsidRPr="008730BA">
        <w:t>président d</w:t>
      </w:r>
      <w:r w:rsidR="006665FB">
        <w:t>e l’</w:t>
      </w:r>
      <w:r w:rsidR="00553EB5">
        <w:t>ISO/</w:t>
      </w:r>
      <w:r w:rsidR="00900241" w:rsidRPr="008730BA">
        <w:t>TC</w:t>
      </w:r>
      <w:r w:rsidR="00553EB5">
        <w:t> 34</w:t>
      </w:r>
      <w:r w:rsidR="008255AF" w:rsidRPr="008730BA">
        <w:t>/SC</w:t>
      </w:r>
      <w:r w:rsidR="00553EB5">
        <w:t> </w:t>
      </w:r>
      <w:r w:rsidR="008255AF" w:rsidRPr="008730BA">
        <w:t>16, M.</w:t>
      </w:r>
      <w:r w:rsidR="00D30941" w:rsidRPr="008730BA">
        <w:t> </w:t>
      </w:r>
      <w:r w:rsidR="00B3465C">
        <w:t>Heinz </w:t>
      </w:r>
      <w:r w:rsidR="008255AF" w:rsidRPr="008730BA">
        <w:t>Schmid, secrétaire général par in</w:t>
      </w:r>
      <w:r w:rsidR="00F31977" w:rsidRPr="008730BA">
        <w:t>té</w:t>
      </w:r>
      <w:r w:rsidR="008255AF" w:rsidRPr="008730BA">
        <w:t>rim de l</w:t>
      </w:r>
      <w:r w:rsidR="00900241" w:rsidRPr="008730BA">
        <w:t>’</w:t>
      </w:r>
      <w:r w:rsidR="008255AF" w:rsidRPr="008730BA">
        <w:t>ISTA</w:t>
      </w:r>
      <w:r w:rsidR="008255AF" w:rsidRPr="008730BA">
        <w:rPr>
          <w:rFonts w:cs="Arial"/>
          <w:color w:val="000000"/>
        </w:rPr>
        <w:t xml:space="preserve"> </w:t>
      </w:r>
      <w:r w:rsidR="008255AF" w:rsidRPr="008730BA">
        <w:t>et M.</w:t>
      </w:r>
      <w:r w:rsidR="00D30941" w:rsidRPr="008730BA">
        <w:t> </w:t>
      </w:r>
      <w:r w:rsidR="00B3465C">
        <w:t>Michael </w:t>
      </w:r>
      <w:r w:rsidR="008255AF" w:rsidRPr="008730BA">
        <w:t>Ryan, chef d</w:t>
      </w:r>
      <w:r w:rsidR="00900241" w:rsidRPr="008730BA">
        <w:t>’</w:t>
      </w:r>
      <w:r w:rsidR="009F1391">
        <w:t>unité, Codes et s</w:t>
      </w:r>
      <w:r w:rsidR="008255AF" w:rsidRPr="008730BA">
        <w:t>ystèmes agricoles de l</w:t>
      </w:r>
      <w:r w:rsidR="00900241" w:rsidRPr="008730BA">
        <w:t>’</w:t>
      </w:r>
      <w:r w:rsidR="008255AF" w:rsidRPr="008730BA">
        <w:t>OCDE, respectivement, leur demandant d</w:t>
      </w:r>
      <w:r w:rsidR="00900241" w:rsidRPr="008730BA">
        <w:t>’</w:t>
      </w:r>
      <w:r w:rsidR="008255AF" w:rsidRPr="008730BA">
        <w:t>étudier la possibilité de tenir une réunion coordonnée avec la quatorzième</w:t>
      </w:r>
      <w:r w:rsidR="00D30941" w:rsidRPr="008730BA">
        <w:t> </w:t>
      </w:r>
      <w:r w:rsidR="008255AF" w:rsidRPr="008730BA">
        <w:t>session</w:t>
      </w:r>
      <w:r w:rsidR="00900241" w:rsidRPr="008730BA">
        <w:t xml:space="preserve"> du BMT</w:t>
      </w:r>
      <w:r w:rsidR="008255AF" w:rsidRPr="008730BA">
        <w:t>.</w:t>
      </w:r>
      <w:r w:rsidR="00F31977" w:rsidRPr="008730BA">
        <w:t xml:space="preserve"> </w:t>
      </w:r>
      <w:r w:rsidR="008255AF" w:rsidRPr="008730BA">
        <w:t xml:space="preserve"> Le Bureau de l</w:t>
      </w:r>
      <w:r w:rsidR="00900241" w:rsidRPr="008730BA">
        <w:t>’</w:t>
      </w:r>
      <w:r w:rsidR="008255AF" w:rsidRPr="008730BA">
        <w:t>Union a reçu une réponse positive de l</w:t>
      </w:r>
      <w:r w:rsidR="00900241" w:rsidRPr="008730BA">
        <w:t>’</w:t>
      </w:r>
      <w:r w:rsidR="008255AF" w:rsidRPr="008730BA">
        <w:t>ISTA et de l</w:t>
      </w:r>
      <w:r w:rsidR="00900241" w:rsidRPr="008730BA">
        <w:t>’</w:t>
      </w:r>
      <w:r w:rsidR="008255AF" w:rsidRPr="008730BA">
        <w:t xml:space="preserve">OCDE. </w:t>
      </w:r>
      <w:r w:rsidR="00F31977" w:rsidRPr="008730BA">
        <w:t xml:space="preserve"> </w:t>
      </w:r>
      <w:r w:rsidR="008255AF" w:rsidRPr="008730BA">
        <w:t>M.</w:t>
      </w:r>
      <w:r w:rsidR="00D30941" w:rsidRPr="008730BA">
        <w:t> </w:t>
      </w:r>
      <w:r w:rsidR="00B3465C">
        <w:t>Michael </w:t>
      </w:r>
      <w:r w:rsidR="008255AF" w:rsidRPr="008730BA">
        <w:t>Sussman (ISO) a indiqué que l</w:t>
      </w:r>
      <w:r w:rsidR="00900241" w:rsidRPr="008730BA">
        <w:t>’</w:t>
      </w:r>
      <w:r w:rsidR="008255AF" w:rsidRPr="008730BA">
        <w:t>ISO avait des conditions formelles pour établir des liaisons et un cadre avec d</w:t>
      </w:r>
      <w:r w:rsidR="00900241" w:rsidRPr="008730BA">
        <w:t>’</w:t>
      </w:r>
      <w:r w:rsidR="008255AF" w:rsidRPr="008730BA">
        <w:t>autres organisations internationales concernant ses travaux et qu</w:t>
      </w:r>
      <w:r w:rsidR="00900241" w:rsidRPr="008730BA">
        <w:t>’</w:t>
      </w:r>
      <w:r w:rsidR="008255AF" w:rsidRPr="008730BA">
        <w:t>il pourrait ne pas s</w:t>
      </w:r>
      <w:r w:rsidR="00900241" w:rsidRPr="008730BA">
        <w:t>’</w:t>
      </w:r>
      <w:r w:rsidR="008255AF" w:rsidRPr="008730BA">
        <w:t>avérer possible d</w:t>
      </w:r>
      <w:r w:rsidR="00900241" w:rsidRPr="008730BA">
        <w:t>’</w:t>
      </w:r>
      <w:r w:rsidR="008255AF" w:rsidRPr="008730BA">
        <w:t>établir de telles liaisons et un cadre entre l</w:t>
      </w:r>
      <w:r w:rsidR="006665FB">
        <w:t>’</w:t>
      </w:r>
      <w:r w:rsidR="008255AF" w:rsidRPr="008730BA">
        <w:t>ISO</w:t>
      </w:r>
      <w:r w:rsidR="006665FB">
        <w:t>/</w:t>
      </w:r>
      <w:r w:rsidR="00900241" w:rsidRPr="008730BA">
        <w:t>TC</w:t>
      </w:r>
      <w:r w:rsidR="006665FB">
        <w:t> </w:t>
      </w:r>
      <w:r w:rsidR="008255AF" w:rsidRPr="008730BA">
        <w:t>34/SC</w:t>
      </w:r>
      <w:r w:rsidR="006665FB">
        <w:t> </w:t>
      </w:r>
      <w:r w:rsidR="008255AF" w:rsidRPr="008730BA">
        <w:t>16 et l</w:t>
      </w:r>
      <w:r w:rsidR="00900241" w:rsidRPr="008730BA">
        <w:t>’</w:t>
      </w:r>
      <w:r w:rsidR="008255AF" w:rsidRPr="008730BA">
        <w:t xml:space="preserve">UPOV avant la date prévue de la réunion coordonnée. </w:t>
      </w:r>
      <w:r w:rsidR="00F31977" w:rsidRPr="008730BA">
        <w:t xml:space="preserve"> </w:t>
      </w:r>
      <w:r w:rsidR="008255AF" w:rsidRPr="008730BA">
        <w:t>M.</w:t>
      </w:r>
      <w:r w:rsidR="00D30941" w:rsidRPr="008730BA">
        <w:t> </w:t>
      </w:r>
      <w:r w:rsidR="008255AF" w:rsidRPr="008730BA">
        <w:t>Sussman s</w:t>
      </w:r>
      <w:r w:rsidR="00900241" w:rsidRPr="008730BA">
        <w:t>’</w:t>
      </w:r>
      <w:r w:rsidR="008255AF" w:rsidRPr="008730BA">
        <w:t xml:space="preserve">est déclaré prêt à poursuivre la pratique en vigueur, </w:t>
      </w:r>
      <w:r w:rsidR="00900241" w:rsidRPr="008730BA">
        <w:t>à savoir</w:t>
      </w:r>
      <w:r w:rsidR="008255AF" w:rsidRPr="008730BA">
        <w:t xml:space="preserve"> que lui ou ses collègues participeraient sur invitation à la</w:t>
      </w:r>
      <w:r w:rsidR="00F27D7D">
        <w:t> </w:t>
      </w:r>
      <w:r w:rsidR="008255AF" w:rsidRPr="008730BA">
        <w:t>session</w:t>
      </w:r>
      <w:r w:rsidR="00900241" w:rsidRPr="008730BA">
        <w:t xml:space="preserve"> du BMT</w:t>
      </w:r>
      <w:r w:rsidR="008255AF" w:rsidRPr="008730BA">
        <w:t xml:space="preserve"> pour y faire des exposés sur leurs travaux.</w:t>
      </w:r>
    </w:p>
    <w:p w:rsidR="00233C64" w:rsidRPr="008730BA" w:rsidRDefault="00233C64" w:rsidP="00233C64">
      <w:pPr>
        <w:autoSpaceDE w:val="0"/>
        <w:autoSpaceDN w:val="0"/>
        <w:adjustRightInd w:val="0"/>
        <w:rPr>
          <w:rFonts w:ascii="ArialMT" w:hAnsi="ArialMT" w:cs="ArialMT"/>
        </w:rPr>
      </w:pPr>
    </w:p>
    <w:p w:rsidR="00900241" w:rsidRPr="008730BA" w:rsidRDefault="000543D3" w:rsidP="00CA72F3">
      <w:pPr>
        <w:autoSpaceDE w:val="0"/>
        <w:autoSpaceDN w:val="0"/>
        <w:adjustRightInd w:val="0"/>
      </w:pPr>
      <w:r w:rsidRPr="008730BA">
        <w:fldChar w:fldCharType="begin"/>
      </w:r>
      <w:r w:rsidR="00233C64" w:rsidRPr="008730BA">
        <w:instrText xml:space="preserve"> AUTONUM  </w:instrText>
      </w:r>
      <w:r w:rsidRPr="008730BA">
        <w:fldChar w:fldCharType="end"/>
      </w:r>
      <w:r w:rsidR="00233C64" w:rsidRPr="008730BA">
        <w:tab/>
      </w:r>
      <w:r w:rsidR="008255AF" w:rsidRPr="008730BA">
        <w:t>Après consultation de la République de Corée, de l</w:t>
      </w:r>
      <w:r w:rsidR="00900241" w:rsidRPr="008730BA">
        <w:t>’</w:t>
      </w:r>
      <w:r w:rsidR="008255AF" w:rsidRPr="008730BA">
        <w:t>ISTA et de l</w:t>
      </w:r>
      <w:r w:rsidR="00900241" w:rsidRPr="008730BA">
        <w:t>’</w:t>
      </w:r>
      <w:r w:rsidR="008255AF" w:rsidRPr="008730BA">
        <w:t>OCDE, il a été proposé que la quatorzième</w:t>
      </w:r>
      <w:r w:rsidR="00D30941" w:rsidRPr="008730BA">
        <w:t> </w:t>
      </w:r>
      <w:r w:rsidR="008255AF" w:rsidRPr="008730BA">
        <w:t>session</w:t>
      </w:r>
      <w:r w:rsidR="00900241" w:rsidRPr="008730BA">
        <w:t xml:space="preserve"> du BMT</w:t>
      </w:r>
      <w:r w:rsidR="008255AF" w:rsidRPr="008730BA">
        <w:t xml:space="preserve"> se tienne du 11 au 1</w:t>
      </w:r>
      <w:r w:rsidR="00900241" w:rsidRPr="008730BA">
        <w:t>4 novembre 20</w:t>
      </w:r>
      <w:r w:rsidR="00F27D7D">
        <w:t>14, à Séoul</w:t>
      </w:r>
      <w:r w:rsidR="008255AF" w:rsidRPr="008730BA">
        <w:t xml:space="preserve"> </w:t>
      </w:r>
      <w:r w:rsidR="00F27D7D">
        <w:t>(</w:t>
      </w:r>
      <w:r w:rsidR="008255AF" w:rsidRPr="008730BA">
        <w:t>République de Corée</w:t>
      </w:r>
      <w:r w:rsidR="00F27D7D">
        <w:t>)</w:t>
      </w:r>
      <w:r w:rsidR="008255AF" w:rsidRPr="008730BA">
        <w:t>, son</w:t>
      </w:r>
      <w:r w:rsidR="00F27D7D">
        <w:t> </w:t>
      </w:r>
      <w:r w:rsidR="008255AF" w:rsidRPr="008730BA">
        <w:t>atelier préparatoire se tenant le 1</w:t>
      </w:r>
      <w:r w:rsidR="00900241" w:rsidRPr="008730BA">
        <w:t>0 novembre 20</w:t>
      </w:r>
      <w:r w:rsidR="008255AF" w:rsidRPr="008730BA">
        <w:t>14.</w:t>
      </w:r>
      <w:r w:rsidR="00CA72F3" w:rsidRPr="008730BA">
        <w:t xml:space="preserve"> </w:t>
      </w:r>
      <w:r w:rsidR="00F31977" w:rsidRPr="008730BA">
        <w:t xml:space="preserve"> </w:t>
      </w:r>
      <w:r w:rsidR="00CA72F3" w:rsidRPr="008730BA">
        <w:t>En concertation avec l</w:t>
      </w:r>
      <w:r w:rsidR="00900241" w:rsidRPr="008730BA">
        <w:t>’</w:t>
      </w:r>
      <w:r w:rsidR="00CA72F3" w:rsidRPr="008730BA">
        <w:t>ISTA et l</w:t>
      </w:r>
      <w:r w:rsidR="00900241" w:rsidRPr="008730BA">
        <w:t>’</w:t>
      </w:r>
      <w:r w:rsidR="00CA72F3" w:rsidRPr="008730BA">
        <w:t>OCDE et, selon qu</w:t>
      </w:r>
      <w:r w:rsidR="00900241" w:rsidRPr="008730BA">
        <w:t>’</w:t>
      </w:r>
      <w:r w:rsidR="00CA72F3" w:rsidRPr="008730BA">
        <w:t>il convient, la quatorzième</w:t>
      </w:r>
      <w:r w:rsidR="00D30941" w:rsidRPr="008730BA">
        <w:t> </w:t>
      </w:r>
      <w:r w:rsidR="00CA72F3" w:rsidRPr="008730BA">
        <w:t>session</w:t>
      </w:r>
      <w:r w:rsidR="00900241" w:rsidRPr="008730BA">
        <w:t xml:space="preserve"> du BMT</w:t>
      </w:r>
      <w:r w:rsidR="00CA72F3" w:rsidRPr="008730BA">
        <w:t xml:space="preserve"> sera coordonnée avec des réunions de ces organisations internationales.</w:t>
      </w:r>
    </w:p>
    <w:p w:rsidR="00233C64" w:rsidRPr="008730BA" w:rsidRDefault="00233C64" w:rsidP="00233C64">
      <w:pPr>
        <w:rPr>
          <w:highlight w:val="yellow"/>
        </w:rPr>
      </w:pPr>
    </w:p>
    <w:p w:rsidR="00CA72F3" w:rsidRPr="008730BA" w:rsidRDefault="000543D3" w:rsidP="00FD7B1A">
      <w:r w:rsidRPr="008730BA">
        <w:lastRenderedPageBreak/>
        <w:fldChar w:fldCharType="begin"/>
      </w:r>
      <w:r w:rsidR="00FD7B1A" w:rsidRPr="008730BA">
        <w:instrText xml:space="preserve"> AUTONUM  </w:instrText>
      </w:r>
      <w:r w:rsidRPr="008730BA">
        <w:fldChar w:fldCharType="end"/>
      </w:r>
      <w:r w:rsidR="00FD7B1A" w:rsidRPr="008730BA">
        <w:tab/>
      </w:r>
      <w:r w:rsidR="00CA72F3" w:rsidRPr="008730BA">
        <w:t>À sa quarante</w:t>
      </w:r>
      <w:r w:rsidR="00900241" w:rsidRPr="008730BA">
        <w:t>-</w:t>
      </w:r>
      <w:r w:rsidR="00CA72F3" w:rsidRPr="008730BA">
        <w:t>septième</w:t>
      </w:r>
      <w:r w:rsidR="00D30941" w:rsidRPr="008730BA">
        <w:t> </w:t>
      </w:r>
      <w:r w:rsidR="00CA72F3" w:rsidRPr="008730BA">
        <w:t>session ordinaire tenue à Genève le 2</w:t>
      </w:r>
      <w:r w:rsidR="00900241" w:rsidRPr="008730BA">
        <w:t>4 octobre 20</w:t>
      </w:r>
      <w:r w:rsidR="00CA72F3" w:rsidRPr="008730BA">
        <w:t>13, le Conseil a approuvé le calendrier des réunions en</w:t>
      </w:r>
      <w:r w:rsidR="00D30941" w:rsidRPr="008730BA">
        <w:t> </w:t>
      </w:r>
      <w:r w:rsidR="00CA72F3" w:rsidRPr="008730BA">
        <w:t xml:space="preserve">2014, figurant dans le document C/47/8 </w:t>
      </w:r>
      <w:r w:rsidR="00D30941" w:rsidRPr="008730BA">
        <w:t>“</w:t>
      </w:r>
      <w:r w:rsidR="00CA72F3" w:rsidRPr="008730BA">
        <w:t>Calendrier des réunions en</w:t>
      </w:r>
      <w:r w:rsidR="00D30941" w:rsidRPr="008730BA">
        <w:t> </w:t>
      </w:r>
      <w:r w:rsidR="00CA72F3" w:rsidRPr="008730BA">
        <w:t>2014</w:t>
      </w:r>
      <w:r w:rsidR="00D30941" w:rsidRPr="008730BA">
        <w:t>”</w:t>
      </w:r>
      <w:r w:rsidR="00CA72F3" w:rsidRPr="008730BA">
        <w:t>, sous réserve de la modification suivante (voir le paragraphe</w:t>
      </w:r>
      <w:r w:rsidR="00D30941" w:rsidRPr="008730BA">
        <w:t> </w:t>
      </w:r>
      <w:r w:rsidR="00CA72F3" w:rsidRPr="008730BA">
        <w:t xml:space="preserve">52 du document C/47/19 </w:t>
      </w:r>
      <w:r w:rsidR="00D30941" w:rsidRPr="008730BA">
        <w:t>“</w:t>
      </w:r>
      <w:r w:rsidR="00CA72F3" w:rsidRPr="008730BA">
        <w:t>Compte rendu des</w:t>
      </w:r>
      <w:r w:rsidR="0016382E">
        <w:t xml:space="preserve"> </w:t>
      </w:r>
      <w:r w:rsidR="00CA72F3" w:rsidRPr="008730BA">
        <w:t>décisions</w:t>
      </w:r>
      <w:r w:rsidR="00D30941" w:rsidRPr="008730BA">
        <w:t>”</w:t>
      </w:r>
      <w:r w:rsidR="00CA72F3" w:rsidRPr="008730BA">
        <w:t>)</w:t>
      </w:r>
      <w:r w:rsidR="00D30941" w:rsidRPr="008730BA">
        <w:t> :</w:t>
      </w:r>
    </w:p>
    <w:p w:rsidR="00FD7B1A" w:rsidRPr="008730BA" w:rsidRDefault="00FD7B1A" w:rsidP="00FD7B1A">
      <w:pPr>
        <w:rPr>
          <w:highlight w:val="yellow"/>
        </w:rPr>
      </w:pPr>
    </w:p>
    <w:p w:rsidR="00FD7B1A" w:rsidRPr="008730BA" w:rsidRDefault="00D30941" w:rsidP="00FD7B1A">
      <w:pPr>
        <w:keepNext/>
        <w:ind w:left="567" w:right="567"/>
        <w:rPr>
          <w:rFonts w:cs="Arial"/>
          <w:sz w:val="18"/>
          <w:szCs w:val="18"/>
        </w:rPr>
      </w:pPr>
      <w:r w:rsidRPr="008730BA">
        <w:rPr>
          <w:rFonts w:cs="Arial"/>
          <w:sz w:val="18"/>
          <w:szCs w:val="18"/>
        </w:rPr>
        <w:t>“</w:t>
      </w:r>
      <w:r w:rsidR="00CA72F3" w:rsidRPr="008730BA">
        <w:rPr>
          <w:rFonts w:cs="Arial"/>
          <w:sz w:val="18"/>
          <w:szCs w:val="18"/>
        </w:rPr>
        <w:t>BMT : Groupe de travail sur les techniques biochimiques et moléculaires, notamment les profils d</w:t>
      </w:r>
      <w:r w:rsidR="00900241" w:rsidRPr="008730BA">
        <w:rPr>
          <w:rFonts w:cs="Arial"/>
          <w:sz w:val="18"/>
          <w:szCs w:val="18"/>
        </w:rPr>
        <w:t>’</w:t>
      </w:r>
      <w:r w:rsidR="00CA72F3" w:rsidRPr="008730BA">
        <w:rPr>
          <w:rFonts w:cs="Arial"/>
          <w:sz w:val="18"/>
          <w:szCs w:val="18"/>
        </w:rPr>
        <w:t>ADN (BMT)</w:t>
      </w:r>
      <w:r w:rsidRPr="008730BA">
        <w:rPr>
          <w:rFonts w:cs="Arial"/>
          <w:sz w:val="18"/>
          <w:szCs w:val="18"/>
        </w:rPr>
        <w:t>”</w:t>
      </w:r>
    </w:p>
    <w:p w:rsidR="00FD7B1A" w:rsidRPr="00AF7425" w:rsidRDefault="00FD7B1A" w:rsidP="00FD7B1A">
      <w:pPr>
        <w:keepNext/>
        <w:ind w:left="567" w:right="567"/>
        <w:rPr>
          <w:rFonts w:cs="Arial"/>
          <w:sz w:val="12"/>
          <w:szCs w:val="18"/>
          <w:u w:val="single"/>
        </w:rPr>
      </w:pPr>
    </w:p>
    <w:p w:rsidR="00CA72F3" w:rsidRPr="008730BA" w:rsidRDefault="00CA72F3" w:rsidP="00CA72F3">
      <w:pPr>
        <w:ind w:left="567" w:right="567"/>
        <w:rPr>
          <w:rFonts w:cs="Arial"/>
          <w:sz w:val="18"/>
          <w:szCs w:val="18"/>
        </w:rPr>
      </w:pPr>
      <w:r w:rsidRPr="008730BA">
        <w:rPr>
          <w:rFonts w:cs="Arial"/>
          <w:sz w:val="18"/>
          <w:szCs w:val="18"/>
        </w:rPr>
        <w:t>BMT/14</w:t>
      </w:r>
      <w:r w:rsidRPr="008730BA">
        <w:rPr>
          <w:rFonts w:cs="Arial"/>
          <w:sz w:val="18"/>
          <w:szCs w:val="18"/>
        </w:rPr>
        <w:tab/>
      </w:r>
      <w:r w:rsidRPr="008730BA">
        <w:rPr>
          <w:rFonts w:cs="Arial"/>
          <w:strike/>
          <w:sz w:val="18"/>
          <w:szCs w:val="18"/>
          <w:highlight w:val="lightGray"/>
        </w:rPr>
        <w:t xml:space="preserve">11 </w:t>
      </w:r>
      <w:r w:rsidR="00D30941" w:rsidRPr="008730BA">
        <w:rPr>
          <w:rFonts w:cs="Arial"/>
          <w:strike/>
          <w:sz w:val="18"/>
          <w:szCs w:val="18"/>
          <w:highlight w:val="lightGray"/>
        </w:rPr>
        <w:t>–</w:t>
      </w:r>
      <w:r w:rsidRPr="008730BA">
        <w:rPr>
          <w:rFonts w:cs="Arial"/>
          <w:strike/>
          <w:sz w:val="18"/>
          <w:szCs w:val="18"/>
          <w:highlight w:val="lightGray"/>
        </w:rPr>
        <w:t xml:space="preserve"> 14 </w:t>
      </w:r>
      <w:r w:rsidRPr="008730BA">
        <w:rPr>
          <w:rFonts w:cs="Arial"/>
          <w:sz w:val="18"/>
          <w:szCs w:val="18"/>
          <w:highlight w:val="lightGray"/>
          <w:u w:val="single"/>
        </w:rPr>
        <w:t xml:space="preserve">10 </w:t>
      </w:r>
      <w:r w:rsidR="00900241" w:rsidRPr="008730BA">
        <w:rPr>
          <w:rFonts w:cs="Arial"/>
          <w:sz w:val="18"/>
          <w:szCs w:val="18"/>
          <w:highlight w:val="lightGray"/>
          <w:u w:val="single"/>
        </w:rPr>
        <w:t>-</w:t>
      </w:r>
      <w:r w:rsidRPr="008730BA">
        <w:rPr>
          <w:rFonts w:cs="Arial"/>
          <w:sz w:val="18"/>
          <w:szCs w:val="18"/>
          <w:highlight w:val="lightGray"/>
          <w:u w:val="single"/>
        </w:rPr>
        <w:t>13</w:t>
      </w:r>
      <w:r w:rsidRPr="008730BA">
        <w:rPr>
          <w:rFonts w:cs="Arial"/>
          <w:sz w:val="18"/>
          <w:szCs w:val="18"/>
          <w:highlight w:val="lightGray"/>
        </w:rPr>
        <w:t> </w:t>
      </w:r>
      <w:r w:rsidRPr="008730BA">
        <w:rPr>
          <w:rFonts w:cs="Arial"/>
          <w:sz w:val="18"/>
          <w:szCs w:val="18"/>
        </w:rPr>
        <w:t>novembre, Séoul (République de Corée)</w:t>
      </w:r>
    </w:p>
    <w:p w:rsidR="00FD7B1A" w:rsidRPr="008730BA" w:rsidRDefault="00CA72F3" w:rsidP="00CA72F3">
      <w:pPr>
        <w:ind w:left="1134" w:right="567" w:firstLine="567"/>
        <w:rPr>
          <w:rFonts w:cs="Arial"/>
          <w:sz w:val="18"/>
          <w:szCs w:val="18"/>
        </w:rPr>
      </w:pPr>
      <w:r w:rsidRPr="008730BA">
        <w:rPr>
          <w:rFonts w:cs="Arial"/>
          <w:sz w:val="18"/>
          <w:szCs w:val="18"/>
        </w:rPr>
        <w:t xml:space="preserve">(Atelier préparatoire le </w:t>
      </w:r>
      <w:r w:rsidRPr="008730BA">
        <w:rPr>
          <w:rFonts w:cs="Arial"/>
          <w:strike/>
          <w:sz w:val="18"/>
          <w:szCs w:val="18"/>
          <w:highlight w:val="lightGray"/>
        </w:rPr>
        <w:t>10</w:t>
      </w:r>
      <w:r w:rsidRPr="008730BA">
        <w:rPr>
          <w:rFonts w:cs="Arial"/>
          <w:sz w:val="18"/>
          <w:szCs w:val="18"/>
          <w:highlight w:val="lightGray"/>
        </w:rPr>
        <w:t xml:space="preserve"> </w:t>
      </w:r>
      <w:r w:rsidRPr="008730BA">
        <w:rPr>
          <w:rFonts w:cs="Arial"/>
          <w:sz w:val="18"/>
          <w:szCs w:val="18"/>
          <w:highlight w:val="lightGray"/>
          <w:u w:val="single"/>
        </w:rPr>
        <w:t>9</w:t>
      </w:r>
      <w:r w:rsidRPr="008730BA">
        <w:rPr>
          <w:rFonts w:cs="Arial"/>
          <w:sz w:val="18"/>
          <w:szCs w:val="18"/>
          <w:highlight w:val="lightGray"/>
        </w:rPr>
        <w:t> </w:t>
      </w:r>
      <w:r w:rsidRPr="008730BA">
        <w:rPr>
          <w:rFonts w:cs="Arial"/>
          <w:sz w:val="18"/>
          <w:szCs w:val="18"/>
        </w:rPr>
        <w:t>novembre)</w:t>
      </w:r>
      <w:r w:rsidR="00D30941" w:rsidRPr="008730BA">
        <w:rPr>
          <w:rFonts w:cs="Arial"/>
          <w:sz w:val="18"/>
          <w:szCs w:val="18"/>
        </w:rPr>
        <w:t>”</w:t>
      </w:r>
    </w:p>
    <w:p w:rsidR="002F1823" w:rsidRPr="008730BA" w:rsidRDefault="002F1823" w:rsidP="009C1286">
      <w:pPr>
        <w:ind w:right="567"/>
        <w:rPr>
          <w:rFonts w:cs="Arial"/>
          <w:sz w:val="18"/>
          <w:szCs w:val="18"/>
        </w:rPr>
      </w:pPr>
    </w:p>
    <w:p w:rsidR="00137D62" w:rsidRPr="008730BA" w:rsidRDefault="000543D3" w:rsidP="00F9175E">
      <w:r w:rsidRPr="008730BA">
        <w:fldChar w:fldCharType="begin"/>
      </w:r>
      <w:r w:rsidR="005C5B75" w:rsidRPr="008730BA">
        <w:instrText xml:space="preserve"> AUTONUM  </w:instrText>
      </w:r>
      <w:r w:rsidRPr="008730BA">
        <w:fldChar w:fldCharType="end"/>
      </w:r>
      <w:r w:rsidR="005C5B75" w:rsidRPr="008730BA">
        <w:tab/>
      </w:r>
      <w:r w:rsidR="00771FC6" w:rsidRPr="008730BA">
        <w:t>S</w:t>
      </w:r>
      <w:r w:rsidR="00900241" w:rsidRPr="008730BA">
        <w:t>’</w:t>
      </w:r>
      <w:r w:rsidR="00771FC6" w:rsidRPr="008730BA">
        <w:t xml:space="preserve">agissant du programme de la </w:t>
      </w:r>
      <w:r w:rsidR="00380F1F" w:rsidRPr="008730BA">
        <w:t>quatorzième</w:t>
      </w:r>
      <w:r w:rsidR="00D30941" w:rsidRPr="008730BA">
        <w:t> </w:t>
      </w:r>
      <w:r w:rsidR="00380F1F" w:rsidRPr="008730BA">
        <w:t>session</w:t>
      </w:r>
      <w:r w:rsidR="00900241" w:rsidRPr="008730BA">
        <w:t xml:space="preserve"> du BMT</w:t>
      </w:r>
      <w:r w:rsidR="00380F1F" w:rsidRPr="008730BA">
        <w:t>, il est rappelé ceci</w:t>
      </w:r>
      <w:r w:rsidR="00D30941" w:rsidRPr="008730BA">
        <w:t> </w:t>
      </w:r>
      <w:r w:rsidR="00F9175E" w:rsidRPr="008730BA">
        <w:t>:</w:t>
      </w:r>
    </w:p>
    <w:p w:rsidR="00137D62" w:rsidRPr="008730BA" w:rsidRDefault="00137D62" w:rsidP="009C1286">
      <w:pPr>
        <w:ind w:right="567"/>
      </w:pPr>
    </w:p>
    <w:p w:rsidR="00380F1F" w:rsidRPr="008730BA" w:rsidRDefault="00F27D7D" w:rsidP="0016382E">
      <w:pPr>
        <w:pStyle w:val="ListParagraph"/>
        <w:numPr>
          <w:ilvl w:val="0"/>
          <w:numId w:val="8"/>
        </w:numPr>
        <w:ind w:left="0" w:firstLine="567"/>
      </w:pPr>
      <w:r w:rsidRPr="008730BA">
        <w:t>à</w:t>
      </w:r>
      <w:r w:rsidR="00380F1F" w:rsidRPr="008730BA">
        <w:t xml:space="preserve"> sa quarante</w:t>
      </w:r>
      <w:r w:rsidR="00900241" w:rsidRPr="008730BA">
        <w:t>-</w:t>
      </w:r>
      <w:r w:rsidR="00380F1F" w:rsidRPr="008730BA">
        <w:t>huitième</w:t>
      </w:r>
      <w:r w:rsidR="00D30941" w:rsidRPr="008730BA">
        <w:t> </w:t>
      </w:r>
      <w:r w:rsidR="00380F1F" w:rsidRPr="008730BA">
        <w:t>session tenue à Genève du 26 au 2</w:t>
      </w:r>
      <w:r w:rsidR="00900241" w:rsidRPr="008730BA">
        <w:t>8 mars 20</w:t>
      </w:r>
      <w:r w:rsidR="00380F1F" w:rsidRPr="008730BA">
        <w:t>12, le</w:t>
      </w:r>
      <w:r w:rsidR="00900241" w:rsidRPr="008730BA">
        <w:t> TC</w:t>
      </w:r>
      <w:r w:rsidR="00380F1F" w:rsidRPr="008730BA">
        <w:t xml:space="preserve"> est convenu de supprimer les réunions des sous</w:t>
      </w:r>
      <w:r w:rsidR="00900241" w:rsidRPr="008730BA">
        <w:t>-</w:t>
      </w:r>
      <w:r w:rsidR="00380F1F" w:rsidRPr="008730BA">
        <w:t>groupes sur les plantes cultivées et d</w:t>
      </w:r>
      <w:r w:rsidR="00900241" w:rsidRPr="008730BA">
        <w:t>’</w:t>
      </w:r>
      <w:r w:rsidR="00380F1F" w:rsidRPr="008730BA">
        <w:t>inclure les discussions dans les</w:t>
      </w:r>
      <w:r>
        <w:t> </w:t>
      </w:r>
      <w:r w:rsidR="00380F1F" w:rsidRPr="008730BA">
        <w:t>sessions</w:t>
      </w:r>
      <w:r w:rsidR="00900241" w:rsidRPr="008730BA">
        <w:t xml:space="preserve"> du BMT</w:t>
      </w:r>
      <w:r w:rsidR="00380F1F" w:rsidRPr="008730BA">
        <w:t>, comme indiqué au paragraphe</w:t>
      </w:r>
      <w:r w:rsidR="00D30941" w:rsidRPr="008730BA">
        <w:t> </w:t>
      </w:r>
      <w:r w:rsidR="00380F1F" w:rsidRPr="008730BA">
        <w:t xml:space="preserve">26 du </w:t>
      </w:r>
      <w:r w:rsidR="00900241" w:rsidRPr="008730BA">
        <w:t>document TC</w:t>
      </w:r>
      <w:r w:rsidR="00380F1F" w:rsidRPr="008730BA">
        <w:t>/48/7 (voir le paragraphe</w:t>
      </w:r>
      <w:r w:rsidR="00D30941" w:rsidRPr="008730BA">
        <w:t> </w:t>
      </w:r>
      <w:r w:rsidR="00380F1F" w:rsidRPr="008730BA">
        <w:t xml:space="preserve">219 du </w:t>
      </w:r>
      <w:r w:rsidR="00900241" w:rsidRPr="008730BA">
        <w:t>document TC</w:t>
      </w:r>
      <w:r w:rsidR="00380F1F" w:rsidRPr="008730BA">
        <w:t xml:space="preserve">/48/23 </w:t>
      </w:r>
      <w:r w:rsidR="00D30941" w:rsidRPr="008730BA">
        <w:t>“</w:t>
      </w:r>
      <w:r w:rsidR="00380F1F" w:rsidRPr="008730BA">
        <w:t>Compte rendu</w:t>
      </w:r>
      <w:r w:rsidR="00D30941" w:rsidRPr="008730BA">
        <w:t>”</w:t>
      </w:r>
      <w:r w:rsidR="00380F1F" w:rsidRPr="008730BA">
        <w:t>);</w:t>
      </w:r>
    </w:p>
    <w:p w:rsidR="001F1E4C" w:rsidRPr="00437C0E" w:rsidRDefault="001F1E4C" w:rsidP="0016382E">
      <w:pPr>
        <w:pStyle w:val="ListParagraph"/>
        <w:ind w:left="0" w:firstLine="567"/>
        <w:rPr>
          <w:sz w:val="16"/>
        </w:rPr>
      </w:pPr>
    </w:p>
    <w:p w:rsidR="00380F1F" w:rsidRPr="008730BA" w:rsidRDefault="00F27D7D" w:rsidP="0016382E">
      <w:pPr>
        <w:pStyle w:val="ListParagraph"/>
        <w:numPr>
          <w:ilvl w:val="0"/>
          <w:numId w:val="8"/>
        </w:numPr>
        <w:ind w:left="0" w:firstLine="567"/>
      </w:pPr>
      <w:r w:rsidRPr="008730BA">
        <w:t>à</w:t>
      </w:r>
      <w:r w:rsidR="00380F1F" w:rsidRPr="008730BA">
        <w:t xml:space="preserve"> sa treizième</w:t>
      </w:r>
      <w:r w:rsidR="00D30941" w:rsidRPr="008730BA">
        <w:t> </w:t>
      </w:r>
      <w:r w:rsidR="00380F1F" w:rsidRPr="008730BA">
        <w:t>session tenue à Brasilia du 22 au 2</w:t>
      </w:r>
      <w:r w:rsidR="00900241" w:rsidRPr="008730BA">
        <w:t>4 novembre 20</w:t>
      </w:r>
      <w:r w:rsidR="00380F1F" w:rsidRPr="008730BA">
        <w:t>11,</w:t>
      </w:r>
      <w:r w:rsidR="00900241" w:rsidRPr="008730BA">
        <w:t xml:space="preserve"> le BMT</w:t>
      </w:r>
      <w:r w:rsidR="00380F1F" w:rsidRPr="008730BA">
        <w:t xml:space="preserve"> a demandé au</w:t>
      </w:r>
      <w:r w:rsidR="00900241" w:rsidRPr="008730BA">
        <w:t> TC</w:t>
      </w:r>
      <w:r w:rsidR="00380F1F" w:rsidRPr="008730BA">
        <w:t xml:space="preserve"> d</w:t>
      </w:r>
      <w:r w:rsidR="00900241" w:rsidRPr="008730BA">
        <w:t>’</w:t>
      </w:r>
      <w:r w:rsidR="00380F1F" w:rsidRPr="008730BA">
        <w:t>examiner la possibilité d</w:t>
      </w:r>
      <w:r w:rsidR="00900241" w:rsidRPr="008730BA">
        <w:t>’</w:t>
      </w:r>
      <w:r w:rsidR="00380F1F" w:rsidRPr="008730BA">
        <w:t>ordonner les points de l</w:t>
      </w:r>
      <w:r w:rsidR="00900241" w:rsidRPr="008730BA">
        <w:t>’</w:t>
      </w:r>
      <w:r w:rsidR="00380F1F" w:rsidRPr="008730BA">
        <w:t>ordre du jour de façon à tenir compte de l</w:t>
      </w:r>
      <w:r w:rsidR="00900241" w:rsidRPr="008730BA">
        <w:t>’</w:t>
      </w:r>
      <w:r w:rsidR="00380F1F" w:rsidRPr="008730BA">
        <w:t xml:space="preserve">organisation de la réunion et, en particulier, de placer les points relatifs à la </w:t>
      </w:r>
      <w:r w:rsidR="00D30941" w:rsidRPr="008730BA">
        <w:t>“</w:t>
      </w:r>
      <w:r w:rsidR="00380F1F" w:rsidRPr="008730BA">
        <w:t>Journée des obtenteurs</w:t>
      </w:r>
      <w:r w:rsidR="00D30941" w:rsidRPr="008730BA">
        <w:t>”</w:t>
      </w:r>
      <w:r w:rsidR="00380F1F" w:rsidRPr="008730BA">
        <w:t xml:space="preserve"> après le point</w:t>
      </w:r>
      <w:r w:rsidR="00D30941" w:rsidRPr="008730BA">
        <w:t> </w:t>
      </w:r>
      <w:r w:rsidR="00380F1F" w:rsidRPr="008730BA">
        <w:t>5 de l</w:t>
      </w:r>
      <w:r w:rsidR="00900241" w:rsidRPr="008730BA">
        <w:t>’</w:t>
      </w:r>
      <w:r w:rsidR="00380F1F" w:rsidRPr="008730BA">
        <w:t>ordre du jour (voir le paragraphe</w:t>
      </w:r>
      <w:r w:rsidR="00D30941" w:rsidRPr="008730BA">
        <w:t> </w:t>
      </w:r>
      <w:r w:rsidR="00380F1F" w:rsidRPr="008730BA">
        <w:t>73</w:t>
      </w:r>
      <w:r w:rsidR="00900241" w:rsidRPr="008730BA">
        <w:t xml:space="preserve"> du BMT</w:t>
      </w:r>
      <w:r w:rsidR="00380F1F" w:rsidRPr="008730BA">
        <w:t xml:space="preserve">/13/36 </w:t>
      </w:r>
      <w:r w:rsidR="00D30941" w:rsidRPr="008730BA">
        <w:t>“</w:t>
      </w:r>
      <w:r w:rsidR="00380F1F" w:rsidRPr="008730BA">
        <w:t>Compte rendu</w:t>
      </w:r>
      <w:r w:rsidR="00D30941" w:rsidRPr="008730BA">
        <w:t>”</w:t>
      </w:r>
      <w:r w:rsidR="00380F1F" w:rsidRPr="008730BA">
        <w:t>).</w:t>
      </w:r>
    </w:p>
    <w:p w:rsidR="001F1E4C" w:rsidRPr="008730BA" w:rsidRDefault="001F1E4C" w:rsidP="001F1E4C"/>
    <w:p w:rsidR="00380F1F" w:rsidRPr="008730BA" w:rsidRDefault="000543D3" w:rsidP="00380F1F">
      <w:r w:rsidRPr="008730BA">
        <w:fldChar w:fldCharType="begin"/>
      </w:r>
      <w:r w:rsidR="003D3BC8" w:rsidRPr="008730BA">
        <w:instrText xml:space="preserve"> AUTONUM  </w:instrText>
      </w:r>
      <w:r w:rsidRPr="008730BA">
        <w:fldChar w:fldCharType="end"/>
      </w:r>
      <w:r w:rsidR="003D3BC8" w:rsidRPr="008730BA">
        <w:tab/>
      </w:r>
      <w:r w:rsidR="00380F1F" w:rsidRPr="008730BA">
        <w:t xml:space="preserve">À cet égard, il </w:t>
      </w:r>
      <w:r w:rsidR="00683176">
        <w:t>a été</w:t>
      </w:r>
      <w:r w:rsidR="00380F1F" w:rsidRPr="008730BA">
        <w:t xml:space="preserve"> proposé </w:t>
      </w:r>
      <w:r w:rsidR="00683176">
        <w:t xml:space="preserve">au TC </w:t>
      </w:r>
      <w:r w:rsidR="00380F1F" w:rsidRPr="008730BA">
        <w:t>de supprimer du programme les points de l</w:t>
      </w:r>
      <w:r w:rsidR="00900241" w:rsidRPr="008730BA">
        <w:t>’</w:t>
      </w:r>
      <w:r w:rsidR="00F27D7D">
        <w:t>ordre du jour </w:t>
      </w:r>
      <w:r w:rsidR="00380F1F" w:rsidRPr="008730BA">
        <w:t xml:space="preserve">4 </w:t>
      </w:r>
      <w:r w:rsidR="00D30941" w:rsidRPr="008730BA">
        <w:t>“</w:t>
      </w:r>
      <w:r w:rsidR="00380F1F" w:rsidRPr="008730BA">
        <w:t>Rapports sur les travaux des sous</w:t>
      </w:r>
      <w:r w:rsidR="00900241" w:rsidRPr="008730BA">
        <w:t>-</w:t>
      </w:r>
      <w:r w:rsidR="00380F1F" w:rsidRPr="008730BA">
        <w:t>groupes ad</w:t>
      </w:r>
      <w:r w:rsidR="00D30941" w:rsidRPr="008730BA">
        <w:t> </w:t>
      </w:r>
      <w:r w:rsidR="00380F1F" w:rsidRPr="008730BA">
        <w:t>hoc sur l</w:t>
      </w:r>
      <w:r w:rsidR="00900241" w:rsidRPr="008730BA">
        <w:t>’</w:t>
      </w:r>
      <w:r w:rsidR="00380F1F" w:rsidRPr="008730BA">
        <w:t>application des techniques moléculaires aux plantes cultivées (sous</w:t>
      </w:r>
      <w:r w:rsidR="00900241" w:rsidRPr="008730BA">
        <w:t>-</w:t>
      </w:r>
      <w:r w:rsidR="00380F1F" w:rsidRPr="008730BA">
        <w:t>groupes sur les plantes cultivées)</w:t>
      </w:r>
      <w:r w:rsidR="00D30941" w:rsidRPr="008730BA">
        <w:t>”</w:t>
      </w:r>
      <w:r w:rsidR="00380F1F" w:rsidRPr="008730BA">
        <w:t xml:space="preserve"> et 12 </w:t>
      </w:r>
      <w:r w:rsidR="00D30941" w:rsidRPr="008730BA">
        <w:t>“</w:t>
      </w:r>
      <w:r w:rsidR="00380F1F" w:rsidRPr="008730BA">
        <w:t>Recommandations relatives à la création de nouveaux sous</w:t>
      </w:r>
      <w:r w:rsidR="00F27D7D" w:rsidRPr="003961D4">
        <w:noBreakHyphen/>
      </w:r>
      <w:r w:rsidR="00380F1F" w:rsidRPr="008730BA">
        <w:t>groupes sur les plantes cultivées</w:t>
      </w:r>
      <w:r w:rsidR="00D30941" w:rsidRPr="008730BA">
        <w:t>”</w:t>
      </w:r>
      <w:r w:rsidR="00380F1F" w:rsidRPr="008730BA">
        <w:t xml:space="preserve"> de la manière suivante</w:t>
      </w:r>
      <w:r w:rsidR="00D30941" w:rsidRPr="008730BA">
        <w:t> </w:t>
      </w:r>
      <w:r w:rsidR="00380F1F" w:rsidRPr="008730BA">
        <w:t>:</w:t>
      </w:r>
    </w:p>
    <w:p w:rsidR="00380F1F" w:rsidRPr="008730BA" w:rsidRDefault="00380F1F" w:rsidP="00380F1F">
      <w:pPr>
        <w:rPr>
          <w:rFonts w:cs="Arial"/>
        </w:rPr>
      </w:pPr>
    </w:p>
    <w:p w:rsidR="00380F1F" w:rsidRPr="008730BA" w:rsidRDefault="00380F1F" w:rsidP="00AF7425">
      <w:pPr>
        <w:spacing w:after="240"/>
        <w:ind w:left="993" w:hanging="426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1.</w:t>
      </w:r>
      <w:r w:rsidRPr="008730BA">
        <w:rPr>
          <w:rFonts w:eastAsia="MS Mincho" w:cs="Arial"/>
          <w:lang w:eastAsia="ja-JP" w:bidi="th-TH"/>
        </w:rPr>
        <w:tab/>
        <w:t>Ouverture de la session</w:t>
      </w:r>
    </w:p>
    <w:p w:rsidR="00380F1F" w:rsidRPr="008730BA" w:rsidRDefault="00380F1F" w:rsidP="00AF7425">
      <w:pPr>
        <w:spacing w:after="240"/>
        <w:ind w:left="993" w:hanging="426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2.</w:t>
      </w:r>
      <w:r w:rsidRPr="008730BA">
        <w:rPr>
          <w:rFonts w:eastAsia="MS Mincho" w:cs="Arial"/>
          <w:lang w:eastAsia="ja-JP" w:bidi="th-TH"/>
        </w:rPr>
        <w:tab/>
        <w:t>Adoption de l</w:t>
      </w:r>
      <w:r w:rsidR="00900241" w:rsidRPr="008730BA">
        <w:rPr>
          <w:rFonts w:eastAsia="MS Mincho" w:cs="Arial"/>
          <w:lang w:eastAsia="ja-JP" w:bidi="th-TH"/>
        </w:rPr>
        <w:t>’</w:t>
      </w:r>
      <w:r w:rsidRPr="008730BA">
        <w:rPr>
          <w:rFonts w:eastAsia="MS Mincho" w:cs="Arial"/>
          <w:lang w:eastAsia="ja-JP" w:bidi="th-TH"/>
        </w:rPr>
        <w:t>ordre du jour</w:t>
      </w:r>
    </w:p>
    <w:p w:rsidR="00380F1F" w:rsidRPr="008730BA" w:rsidRDefault="00380F1F" w:rsidP="00AF7425">
      <w:pPr>
        <w:spacing w:after="240"/>
        <w:ind w:left="993" w:hanging="426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3.</w:t>
      </w:r>
      <w:r w:rsidRPr="008730BA">
        <w:rPr>
          <w:rFonts w:eastAsia="MS Mincho" w:cs="Arial"/>
          <w:lang w:eastAsia="ja-JP" w:bidi="th-TH"/>
        </w:rPr>
        <w:tab/>
        <w:t>Comptes rendus des faits nouveaux survenus au sein de l</w:t>
      </w:r>
      <w:r w:rsidR="00900241" w:rsidRPr="008730BA">
        <w:rPr>
          <w:rFonts w:eastAsia="MS Mincho" w:cs="Arial"/>
          <w:lang w:eastAsia="ja-JP" w:bidi="th-TH"/>
        </w:rPr>
        <w:t>’</w:t>
      </w:r>
      <w:r w:rsidRPr="008730BA">
        <w:rPr>
          <w:rFonts w:eastAsia="MS Mincho" w:cs="Arial"/>
          <w:lang w:eastAsia="ja-JP" w:bidi="th-TH"/>
        </w:rPr>
        <w:t>UPOV et concernant les techniques biochimiques et moléculaires</w:t>
      </w:r>
    </w:p>
    <w:p w:rsidR="00380F1F" w:rsidRPr="008730BA" w:rsidRDefault="00D3584F" w:rsidP="00AF7425">
      <w:pPr>
        <w:spacing w:after="240"/>
        <w:ind w:left="993" w:hanging="426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4</w:t>
      </w:r>
      <w:r w:rsidR="00380F1F" w:rsidRPr="008730BA">
        <w:rPr>
          <w:rFonts w:eastAsia="MS Mincho" w:cs="Arial"/>
          <w:lang w:eastAsia="ja-JP" w:bidi="th-TH"/>
        </w:rPr>
        <w:t>.</w:t>
      </w:r>
      <w:r w:rsidR="00380F1F" w:rsidRPr="008730BA">
        <w:rPr>
          <w:rFonts w:eastAsia="MS Mincho" w:cs="Arial"/>
          <w:lang w:eastAsia="ja-JP" w:bidi="th-TH"/>
        </w:rPr>
        <w:tab/>
        <w:t xml:space="preserve">Exposés succincts sur les faits nouveaux survenus en matière de techniques biochimiques et moléculaires, présentés par les </w:t>
      </w:r>
      <w:r w:rsidR="00380F1F" w:rsidRPr="008730BA">
        <w:t>spécialistes de l</w:t>
      </w:r>
      <w:r w:rsidR="00900241" w:rsidRPr="008730BA">
        <w:t>’</w:t>
      </w:r>
      <w:r w:rsidR="00380F1F" w:rsidRPr="008730BA">
        <w:t>examen</w:t>
      </w:r>
      <w:r w:rsidR="00D30941" w:rsidRPr="008730BA">
        <w:t> </w:t>
      </w:r>
      <w:r w:rsidR="00380F1F" w:rsidRPr="008730BA">
        <w:t>DHS</w:t>
      </w:r>
      <w:r w:rsidR="00380F1F" w:rsidRPr="008730BA">
        <w:rPr>
          <w:rFonts w:eastAsia="MS Mincho" w:cs="Arial"/>
          <w:lang w:eastAsia="ja-JP" w:bidi="th-TH"/>
        </w:rPr>
        <w:t xml:space="preserve">, des spécialistes </w:t>
      </w:r>
      <w:r w:rsidR="00380F1F" w:rsidRPr="008730BA">
        <w:t>des techniques biochimiques et moléculaires, des obtenteurs et les organisations internationales concernées</w:t>
      </w:r>
    </w:p>
    <w:p w:rsidR="00380F1F" w:rsidRPr="008730BA" w:rsidRDefault="00D3584F" w:rsidP="00AF7425">
      <w:pPr>
        <w:spacing w:after="120"/>
        <w:ind w:left="993" w:hanging="426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5</w:t>
      </w:r>
      <w:r w:rsidR="00380F1F" w:rsidRPr="008730BA">
        <w:rPr>
          <w:rFonts w:eastAsia="MS Mincho" w:cs="Arial"/>
          <w:lang w:eastAsia="ja-JP" w:bidi="th-TH"/>
        </w:rPr>
        <w:tab/>
        <w:t>Compte rendu des travaux sur les techniques moléculaires pour les différentes plantes</w:t>
      </w:r>
      <w:r w:rsidR="00D30941" w:rsidRPr="008730BA">
        <w:rPr>
          <w:rFonts w:eastAsia="MS Mincho" w:cs="Arial"/>
          <w:lang w:eastAsia="ja-JP" w:bidi="th-TH"/>
        </w:rPr>
        <w:t> </w:t>
      </w:r>
      <w:r w:rsidR="00380F1F" w:rsidRPr="008730BA">
        <w:rPr>
          <w:rFonts w:eastAsia="MS Mincho" w:cs="Arial"/>
          <w:lang w:eastAsia="ja-JP" w:bidi="th-TH"/>
        </w:rPr>
        <w:t>:</w:t>
      </w:r>
    </w:p>
    <w:p w:rsidR="00380F1F" w:rsidRPr="008730BA" w:rsidRDefault="00380F1F" w:rsidP="00AF7425">
      <w:pPr>
        <w:spacing w:after="120"/>
        <w:ind w:left="993" w:hanging="426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a)</w:t>
      </w:r>
      <w:r w:rsidRPr="008730BA">
        <w:rPr>
          <w:rFonts w:eastAsia="MS Mincho" w:cs="Arial"/>
          <w:lang w:eastAsia="ja-JP" w:bidi="th-TH"/>
        </w:rPr>
        <w:tab/>
      </w:r>
      <w:r w:rsidRPr="008730BA">
        <w:t>espèces multipliées par voie végétative</w:t>
      </w:r>
    </w:p>
    <w:p w:rsidR="00380F1F" w:rsidRPr="008730BA" w:rsidRDefault="00380F1F" w:rsidP="00AF7425">
      <w:pPr>
        <w:spacing w:after="120"/>
        <w:ind w:left="993" w:hanging="426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b)</w:t>
      </w:r>
      <w:r w:rsidRPr="008730BA">
        <w:rPr>
          <w:rFonts w:eastAsia="MS Mincho" w:cs="Arial"/>
          <w:lang w:eastAsia="ja-JP" w:bidi="th-TH"/>
        </w:rPr>
        <w:tab/>
      </w:r>
      <w:r w:rsidRPr="008730BA">
        <w:t>espèces autogames</w:t>
      </w:r>
    </w:p>
    <w:p w:rsidR="00380F1F" w:rsidRPr="008730BA" w:rsidRDefault="00380F1F" w:rsidP="00AF7425">
      <w:pPr>
        <w:spacing w:after="240"/>
        <w:ind w:left="993" w:hanging="426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c)</w:t>
      </w:r>
      <w:r w:rsidRPr="008730BA">
        <w:rPr>
          <w:rFonts w:eastAsia="MS Mincho" w:cs="Arial"/>
          <w:lang w:eastAsia="ja-JP" w:bidi="th-TH"/>
        </w:rPr>
        <w:tab/>
      </w:r>
      <w:r w:rsidRPr="008730BA">
        <w:t>espèces allogames</w:t>
      </w:r>
    </w:p>
    <w:p w:rsidR="00900241" w:rsidRPr="008730BA" w:rsidRDefault="00D3584F" w:rsidP="00AF7425">
      <w:pPr>
        <w:spacing w:after="240"/>
        <w:ind w:left="993" w:hanging="426"/>
      </w:pPr>
      <w:r w:rsidRPr="008730BA">
        <w:rPr>
          <w:rFonts w:eastAsia="MS Mincho" w:cs="Arial"/>
          <w:lang w:eastAsia="ja-JP" w:bidi="th-TH"/>
        </w:rPr>
        <w:t>6</w:t>
      </w:r>
      <w:r w:rsidR="00380F1F" w:rsidRPr="008730BA">
        <w:rPr>
          <w:rFonts w:eastAsia="MS Mincho" w:cs="Arial"/>
          <w:lang w:eastAsia="ja-JP" w:bidi="th-TH"/>
        </w:rPr>
        <w:t>.</w:t>
      </w:r>
      <w:r w:rsidR="00380F1F" w:rsidRPr="008730BA">
        <w:rPr>
          <w:rFonts w:eastAsia="MS Mincho" w:cs="Arial"/>
          <w:lang w:eastAsia="ja-JP" w:bidi="th-TH"/>
        </w:rPr>
        <w:tab/>
      </w:r>
      <w:r w:rsidR="00380F1F" w:rsidRPr="008730BA">
        <w:t>Directives internationales en matière de techniques moléculaires</w:t>
      </w:r>
    </w:p>
    <w:p w:rsidR="00380F1F" w:rsidRPr="008730BA" w:rsidRDefault="00D3584F" w:rsidP="00AF7425">
      <w:pPr>
        <w:spacing w:after="240"/>
        <w:ind w:left="993" w:hanging="426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7</w:t>
      </w:r>
      <w:r w:rsidR="00380F1F" w:rsidRPr="008730BA">
        <w:rPr>
          <w:rFonts w:eastAsia="MS Mincho" w:cs="Arial"/>
          <w:lang w:eastAsia="ja-JP" w:bidi="th-TH"/>
        </w:rPr>
        <w:t>.</w:t>
      </w:r>
      <w:r w:rsidR="00380F1F" w:rsidRPr="008730BA">
        <w:rPr>
          <w:rFonts w:eastAsia="MS Mincho" w:cs="Arial"/>
          <w:lang w:eastAsia="ja-JP" w:bidi="th-TH"/>
        </w:rPr>
        <w:tab/>
      </w:r>
      <w:r w:rsidR="00380F1F" w:rsidRPr="008730BA">
        <w:t>Bases de données des descriptions variétales</w:t>
      </w:r>
    </w:p>
    <w:p w:rsidR="00380F1F" w:rsidRPr="008730BA" w:rsidRDefault="00D3584F" w:rsidP="00AF7425">
      <w:pPr>
        <w:spacing w:after="240"/>
        <w:ind w:left="993" w:hanging="426"/>
      </w:pPr>
      <w:r w:rsidRPr="008730BA">
        <w:rPr>
          <w:rFonts w:eastAsia="MS Mincho" w:cs="Arial"/>
          <w:lang w:eastAsia="ja-JP" w:bidi="th-TH"/>
        </w:rPr>
        <w:t>8</w:t>
      </w:r>
      <w:r w:rsidR="00380F1F" w:rsidRPr="008730BA">
        <w:rPr>
          <w:rFonts w:eastAsia="MS Mincho" w:cs="Arial"/>
          <w:lang w:eastAsia="ja-JP" w:bidi="th-TH"/>
        </w:rPr>
        <w:t>.</w:t>
      </w:r>
      <w:r w:rsidR="00380F1F" w:rsidRPr="008730BA">
        <w:rPr>
          <w:rFonts w:eastAsia="MS Mincho" w:cs="Arial"/>
          <w:lang w:eastAsia="ja-JP" w:bidi="th-TH"/>
        </w:rPr>
        <w:tab/>
      </w:r>
      <w:r w:rsidR="00380F1F" w:rsidRPr="008730BA">
        <w:t>Méthodes d</w:t>
      </w:r>
      <w:r w:rsidR="00900241" w:rsidRPr="008730BA">
        <w:t>’</w:t>
      </w:r>
      <w:r w:rsidR="00380F1F" w:rsidRPr="008730BA">
        <w:t>analyse des données moléculaires</w:t>
      </w:r>
    </w:p>
    <w:p w:rsidR="00380F1F" w:rsidRPr="008730BA" w:rsidRDefault="00D3584F" w:rsidP="00AF7425">
      <w:pPr>
        <w:spacing w:after="240"/>
        <w:ind w:left="993" w:hanging="426"/>
        <w:rPr>
          <w:rFonts w:eastAsia="MS Mincho" w:cs="Arial"/>
          <w:dstrike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9</w:t>
      </w:r>
      <w:r w:rsidR="00380F1F" w:rsidRPr="008730BA">
        <w:rPr>
          <w:rFonts w:eastAsia="MS Mincho" w:cs="Arial"/>
          <w:lang w:eastAsia="ja-JP" w:bidi="th-TH"/>
        </w:rPr>
        <w:t>.</w:t>
      </w:r>
      <w:r w:rsidR="00380F1F" w:rsidRPr="008730BA">
        <w:rPr>
          <w:rFonts w:eastAsia="MS Mincho" w:cs="Arial"/>
          <w:lang w:eastAsia="ja-JP" w:bidi="th-TH"/>
        </w:rPr>
        <w:tab/>
      </w:r>
      <w:r w:rsidR="00380F1F" w:rsidRPr="008730BA">
        <w:t>Utilisation des techniques moléculaires pour l</w:t>
      </w:r>
      <w:r w:rsidR="00900241" w:rsidRPr="008730BA">
        <w:t>’</w:t>
      </w:r>
      <w:r w:rsidR="00380F1F" w:rsidRPr="008730BA">
        <w:t>appréciation de la notion de variété essentiellement dérivée</w:t>
      </w:r>
    </w:p>
    <w:p w:rsidR="00380F1F" w:rsidRPr="008730BA" w:rsidRDefault="00380F1F" w:rsidP="00AF7425">
      <w:pPr>
        <w:spacing w:after="240"/>
        <w:ind w:left="993" w:hanging="426"/>
        <w:rPr>
          <w:rFonts w:eastAsia="MS Mincho" w:cs="Arial"/>
          <w:lang w:eastAsia="ja-JP" w:bidi="th-TH"/>
        </w:rPr>
      </w:pPr>
      <w:r w:rsidRPr="008730BA">
        <w:t>1</w:t>
      </w:r>
      <w:r w:rsidR="00D3584F" w:rsidRPr="008730BA">
        <w:t>0</w:t>
      </w:r>
      <w:r w:rsidRPr="008730BA">
        <w:t>.</w:t>
      </w:r>
      <w:r w:rsidRPr="008730BA">
        <w:tab/>
        <w:t>Utilisation des techniques moléculaires pour l</w:t>
      </w:r>
      <w:r w:rsidR="00900241" w:rsidRPr="008730BA">
        <w:t>’</w:t>
      </w:r>
      <w:r w:rsidRPr="008730BA">
        <w:t>identification des variétés</w:t>
      </w:r>
    </w:p>
    <w:p w:rsidR="00380F1F" w:rsidRPr="008730BA" w:rsidRDefault="00380F1F" w:rsidP="00AF7425">
      <w:pPr>
        <w:spacing w:after="240"/>
        <w:ind w:left="993" w:hanging="426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1</w:t>
      </w:r>
      <w:r w:rsidR="00D3584F" w:rsidRPr="008730BA">
        <w:rPr>
          <w:rFonts w:eastAsia="MS Mincho" w:cs="Arial"/>
          <w:lang w:eastAsia="ja-JP" w:bidi="th-TH"/>
        </w:rPr>
        <w:t>1</w:t>
      </w:r>
      <w:r w:rsidRPr="008730BA">
        <w:rPr>
          <w:rFonts w:eastAsia="MS Mincho" w:cs="Arial"/>
          <w:lang w:eastAsia="ja-JP" w:bidi="th-TH"/>
        </w:rPr>
        <w:t>.</w:t>
      </w:r>
      <w:r w:rsidRPr="008730BA">
        <w:rPr>
          <w:rFonts w:eastAsia="MS Mincho" w:cs="Arial"/>
          <w:lang w:eastAsia="ja-JP" w:bidi="th-TH"/>
        </w:rPr>
        <w:tab/>
      </w:r>
      <w:r w:rsidRPr="008730BA">
        <w:t>Date et lieu de la prochaine session</w:t>
      </w:r>
    </w:p>
    <w:p w:rsidR="00380F1F" w:rsidRPr="008730BA" w:rsidRDefault="00380F1F" w:rsidP="00AF7425">
      <w:pPr>
        <w:spacing w:after="240"/>
        <w:ind w:left="993" w:hanging="426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1</w:t>
      </w:r>
      <w:r w:rsidR="00D3584F" w:rsidRPr="008730BA">
        <w:rPr>
          <w:rFonts w:eastAsia="MS Mincho" w:cs="Arial"/>
          <w:lang w:eastAsia="ja-JP" w:bidi="th-TH"/>
        </w:rPr>
        <w:t>2</w:t>
      </w:r>
      <w:r w:rsidRPr="008730BA">
        <w:rPr>
          <w:rFonts w:eastAsia="MS Mincho" w:cs="Arial"/>
          <w:lang w:eastAsia="ja-JP" w:bidi="th-TH"/>
        </w:rPr>
        <w:t>.</w:t>
      </w:r>
      <w:r w:rsidRPr="008730BA">
        <w:rPr>
          <w:rFonts w:eastAsia="MS Mincho" w:cs="Arial"/>
          <w:lang w:eastAsia="ja-JP" w:bidi="th-TH"/>
        </w:rPr>
        <w:tab/>
      </w:r>
      <w:r w:rsidRPr="008730BA">
        <w:t>Programme futur</w:t>
      </w:r>
    </w:p>
    <w:p w:rsidR="00380F1F" w:rsidRPr="008730BA" w:rsidRDefault="00380F1F" w:rsidP="00AF7425">
      <w:pPr>
        <w:spacing w:after="240"/>
        <w:ind w:left="993" w:hanging="426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1</w:t>
      </w:r>
      <w:r w:rsidR="00D3584F" w:rsidRPr="008730BA">
        <w:rPr>
          <w:rFonts w:eastAsia="MS Mincho" w:cs="Arial"/>
          <w:lang w:eastAsia="ja-JP" w:bidi="th-TH"/>
        </w:rPr>
        <w:t>3</w:t>
      </w:r>
      <w:r w:rsidRPr="008730BA">
        <w:rPr>
          <w:rFonts w:eastAsia="MS Mincho" w:cs="Arial"/>
          <w:lang w:eastAsia="ja-JP" w:bidi="th-TH"/>
        </w:rPr>
        <w:t>.</w:t>
      </w:r>
      <w:r w:rsidRPr="008730BA">
        <w:rPr>
          <w:rFonts w:eastAsia="MS Mincho" w:cs="Arial"/>
          <w:lang w:eastAsia="ja-JP" w:bidi="th-TH"/>
        </w:rPr>
        <w:tab/>
        <w:t>Compte rendu de la session (si le temps imparti le permet)</w:t>
      </w:r>
    </w:p>
    <w:p w:rsidR="00380F1F" w:rsidRPr="008730BA" w:rsidRDefault="00380F1F" w:rsidP="00AF7425">
      <w:pPr>
        <w:spacing w:after="240"/>
        <w:ind w:left="993" w:hanging="426"/>
        <w:rPr>
          <w:rFonts w:eastAsia="MS Mincho" w:cs="Arial"/>
          <w:lang w:eastAsia="ja-JP" w:bidi="th-TH"/>
        </w:rPr>
      </w:pPr>
      <w:r w:rsidRPr="008730BA">
        <w:rPr>
          <w:rFonts w:eastAsia="MS Mincho" w:cs="Arial"/>
          <w:lang w:eastAsia="ja-JP" w:bidi="th-TH"/>
        </w:rPr>
        <w:t>1</w:t>
      </w:r>
      <w:r w:rsidR="00D3584F" w:rsidRPr="008730BA">
        <w:rPr>
          <w:rFonts w:eastAsia="MS Mincho" w:cs="Arial"/>
          <w:lang w:eastAsia="ja-JP" w:bidi="th-TH"/>
        </w:rPr>
        <w:t>4</w:t>
      </w:r>
      <w:r w:rsidRPr="008730BA">
        <w:rPr>
          <w:rFonts w:eastAsia="MS Mincho" w:cs="Arial"/>
          <w:lang w:eastAsia="ja-JP" w:bidi="th-TH"/>
        </w:rPr>
        <w:t>.</w:t>
      </w:r>
      <w:r w:rsidRPr="008730BA">
        <w:rPr>
          <w:rFonts w:eastAsia="MS Mincho" w:cs="Arial"/>
          <w:lang w:eastAsia="ja-JP" w:bidi="th-TH"/>
        </w:rPr>
        <w:tab/>
      </w:r>
      <w:r w:rsidRPr="008730BA">
        <w:t>Clôture de la session</w:t>
      </w:r>
    </w:p>
    <w:p w:rsidR="00D3584F" w:rsidRPr="008730BA" w:rsidRDefault="000543D3" w:rsidP="0063139E">
      <w:pPr>
        <w:rPr>
          <w:rFonts w:cs="Arial"/>
          <w:color w:val="000000"/>
        </w:rPr>
      </w:pPr>
      <w:r w:rsidRPr="008730BA">
        <w:lastRenderedPageBreak/>
        <w:fldChar w:fldCharType="begin"/>
      </w:r>
      <w:r w:rsidR="009C1286" w:rsidRPr="008730BA">
        <w:instrText xml:space="preserve"> AUTONUM  </w:instrText>
      </w:r>
      <w:r w:rsidRPr="008730BA">
        <w:fldChar w:fldCharType="end"/>
      </w:r>
      <w:r w:rsidR="009C1286" w:rsidRPr="008730BA">
        <w:rPr>
          <w:rFonts w:cs="Arial"/>
          <w:color w:val="000000"/>
        </w:rPr>
        <w:tab/>
      </w:r>
      <w:r w:rsidR="00D3584F" w:rsidRPr="008730BA">
        <w:rPr>
          <w:rFonts w:cs="Arial"/>
          <w:color w:val="000000"/>
        </w:rPr>
        <w:t>S</w:t>
      </w:r>
      <w:r w:rsidR="00900241" w:rsidRPr="008730BA">
        <w:rPr>
          <w:rFonts w:cs="Arial"/>
          <w:color w:val="000000"/>
        </w:rPr>
        <w:t>’</w:t>
      </w:r>
      <w:r w:rsidR="00D3584F" w:rsidRPr="008730BA">
        <w:rPr>
          <w:rFonts w:cs="Arial"/>
          <w:color w:val="000000"/>
        </w:rPr>
        <w:t>agissant de l</w:t>
      </w:r>
      <w:r w:rsidR="00900241" w:rsidRPr="008730BA">
        <w:rPr>
          <w:rFonts w:cs="Arial"/>
          <w:color w:val="000000"/>
        </w:rPr>
        <w:t>’</w:t>
      </w:r>
      <w:r w:rsidR="00D3584F" w:rsidRPr="008730BA">
        <w:rPr>
          <w:rFonts w:cs="Arial"/>
          <w:color w:val="000000"/>
        </w:rPr>
        <w:t>organisation de la réunion coordonnée avec l</w:t>
      </w:r>
      <w:r w:rsidR="00900241" w:rsidRPr="008730BA">
        <w:rPr>
          <w:rFonts w:cs="Arial"/>
          <w:color w:val="000000"/>
        </w:rPr>
        <w:t>’</w:t>
      </w:r>
      <w:r w:rsidR="00D3584F" w:rsidRPr="008730BA">
        <w:rPr>
          <w:rFonts w:cs="Arial"/>
          <w:color w:val="000000"/>
        </w:rPr>
        <w:t>ISTA et l</w:t>
      </w:r>
      <w:r w:rsidR="00900241" w:rsidRPr="008730BA">
        <w:rPr>
          <w:rFonts w:cs="Arial"/>
          <w:color w:val="000000"/>
        </w:rPr>
        <w:t>’</w:t>
      </w:r>
      <w:r w:rsidR="00D3584F" w:rsidRPr="008730BA">
        <w:rPr>
          <w:rFonts w:cs="Arial"/>
          <w:color w:val="000000"/>
        </w:rPr>
        <w:t>OCDE, il est proposé de tenir un</w:t>
      </w:r>
      <w:r w:rsidR="00AF7425">
        <w:rPr>
          <w:rFonts w:cs="Arial"/>
          <w:color w:val="000000"/>
        </w:rPr>
        <w:t xml:space="preserve"> </w:t>
      </w:r>
      <w:r w:rsidR="00D3584F" w:rsidRPr="008730BA">
        <w:rPr>
          <w:rFonts w:cs="Arial"/>
          <w:color w:val="000000"/>
        </w:rPr>
        <w:t>atelier conjoint avec l</w:t>
      </w:r>
      <w:r w:rsidR="00900241" w:rsidRPr="008730BA">
        <w:rPr>
          <w:rFonts w:cs="Arial"/>
          <w:color w:val="000000"/>
        </w:rPr>
        <w:t>’</w:t>
      </w:r>
      <w:r w:rsidR="00D3584F" w:rsidRPr="008730BA">
        <w:rPr>
          <w:rFonts w:cs="Arial"/>
          <w:color w:val="000000"/>
        </w:rPr>
        <w:t>ISTA et l</w:t>
      </w:r>
      <w:r w:rsidR="00900241" w:rsidRPr="008730BA">
        <w:rPr>
          <w:rFonts w:cs="Arial"/>
          <w:color w:val="000000"/>
        </w:rPr>
        <w:t>’</w:t>
      </w:r>
      <w:r w:rsidR="00D3584F" w:rsidRPr="008730BA">
        <w:rPr>
          <w:rFonts w:cs="Arial"/>
          <w:color w:val="000000"/>
        </w:rPr>
        <w:t>OCDE le matin et en début d</w:t>
      </w:r>
      <w:r w:rsidR="00900241" w:rsidRPr="008730BA">
        <w:rPr>
          <w:rFonts w:cs="Arial"/>
          <w:color w:val="000000"/>
        </w:rPr>
        <w:t>’</w:t>
      </w:r>
      <w:r w:rsidR="00D3584F" w:rsidRPr="008730BA">
        <w:rPr>
          <w:rFonts w:cs="Arial"/>
          <w:color w:val="000000"/>
        </w:rPr>
        <w:t>après</w:t>
      </w:r>
      <w:r w:rsidR="00900241" w:rsidRPr="008730BA">
        <w:rPr>
          <w:rFonts w:cs="Arial"/>
          <w:color w:val="000000"/>
        </w:rPr>
        <w:t>-</w:t>
      </w:r>
      <w:r w:rsidR="00D3584F" w:rsidRPr="008730BA">
        <w:rPr>
          <w:rFonts w:cs="Arial"/>
          <w:color w:val="000000"/>
        </w:rPr>
        <w:t>midi du 1</w:t>
      </w:r>
      <w:r w:rsidR="00900241" w:rsidRPr="008730BA">
        <w:rPr>
          <w:rFonts w:cs="Arial"/>
          <w:color w:val="000000"/>
        </w:rPr>
        <w:t>2 novembre 20</w:t>
      </w:r>
      <w:r w:rsidR="00D3584F" w:rsidRPr="008730BA">
        <w:rPr>
          <w:rFonts w:cs="Arial"/>
          <w:color w:val="000000"/>
        </w:rPr>
        <w:t xml:space="preserve">14. </w:t>
      </w:r>
      <w:r w:rsidR="00D30941" w:rsidRPr="008730BA">
        <w:rPr>
          <w:rFonts w:cs="Arial"/>
          <w:color w:val="000000"/>
        </w:rPr>
        <w:t xml:space="preserve"> </w:t>
      </w:r>
      <w:r w:rsidR="00D3584F" w:rsidRPr="008730BA">
        <w:rPr>
          <w:rFonts w:cs="Arial"/>
          <w:color w:val="000000"/>
        </w:rPr>
        <w:t>Le titre proposé pour cet atelier est</w:t>
      </w:r>
      <w:r w:rsidR="00D30941" w:rsidRPr="008730BA">
        <w:rPr>
          <w:rFonts w:cs="Arial"/>
          <w:color w:val="000000"/>
        </w:rPr>
        <w:t> :</w:t>
      </w:r>
      <w:r w:rsidR="00D3584F" w:rsidRPr="008730BA">
        <w:rPr>
          <w:rFonts w:cs="Arial"/>
          <w:color w:val="000000"/>
        </w:rPr>
        <w:t xml:space="preserve"> </w:t>
      </w:r>
      <w:r w:rsidR="00D30941" w:rsidRPr="008730BA">
        <w:rPr>
          <w:rFonts w:cs="Arial"/>
          <w:color w:val="000000"/>
        </w:rPr>
        <w:t>“</w:t>
      </w:r>
      <w:r w:rsidR="00D3584F" w:rsidRPr="008730BA">
        <w:rPr>
          <w:rFonts w:cs="Arial"/>
          <w:color w:val="000000"/>
        </w:rPr>
        <w:t>Atelier conjoint de l</w:t>
      </w:r>
      <w:r w:rsidR="00900241" w:rsidRPr="008730BA">
        <w:rPr>
          <w:rFonts w:cs="Arial"/>
          <w:color w:val="000000"/>
        </w:rPr>
        <w:t>’</w:t>
      </w:r>
      <w:r w:rsidR="00D3584F" w:rsidRPr="008730BA">
        <w:rPr>
          <w:rFonts w:cs="Arial"/>
          <w:color w:val="000000"/>
        </w:rPr>
        <w:t>OCDE, de l</w:t>
      </w:r>
      <w:r w:rsidR="00900241" w:rsidRPr="008730BA">
        <w:rPr>
          <w:rFonts w:cs="Arial"/>
          <w:color w:val="000000"/>
        </w:rPr>
        <w:t>’</w:t>
      </w:r>
      <w:r w:rsidR="00D3584F" w:rsidRPr="008730BA">
        <w:rPr>
          <w:rFonts w:cs="Arial"/>
          <w:color w:val="000000"/>
        </w:rPr>
        <w:t>UPOV et de l</w:t>
      </w:r>
      <w:r w:rsidR="00900241" w:rsidRPr="008730BA">
        <w:rPr>
          <w:rFonts w:cs="Arial"/>
          <w:color w:val="000000"/>
        </w:rPr>
        <w:t>’</w:t>
      </w:r>
      <w:r w:rsidR="00D3584F" w:rsidRPr="008730BA">
        <w:rPr>
          <w:rFonts w:cs="Arial"/>
          <w:color w:val="000000"/>
        </w:rPr>
        <w:t>ISTA sur les techniques moléculaires</w:t>
      </w:r>
      <w:r w:rsidR="00D30941" w:rsidRPr="008730BA">
        <w:rPr>
          <w:rFonts w:cs="Arial"/>
          <w:color w:val="000000"/>
        </w:rPr>
        <w:t>”</w:t>
      </w:r>
      <w:r w:rsidR="00D3584F" w:rsidRPr="008730BA">
        <w:rPr>
          <w:rFonts w:cs="Arial"/>
          <w:color w:val="000000"/>
        </w:rPr>
        <w:t xml:space="preserve"> (en abrégé</w:t>
      </w:r>
      <w:r w:rsidR="00D30941" w:rsidRPr="008730BA">
        <w:rPr>
          <w:rFonts w:cs="Arial"/>
          <w:color w:val="000000"/>
        </w:rPr>
        <w:t> </w:t>
      </w:r>
      <w:r w:rsidR="00D3584F" w:rsidRPr="008730BA">
        <w:rPr>
          <w:rFonts w:cs="Arial"/>
          <w:color w:val="000000"/>
        </w:rPr>
        <w:t xml:space="preserve">: Atelier conjoint). </w:t>
      </w:r>
      <w:r w:rsidR="00F31977" w:rsidRPr="008730BA">
        <w:rPr>
          <w:rFonts w:cs="Arial"/>
          <w:color w:val="000000"/>
        </w:rPr>
        <w:t xml:space="preserve"> </w:t>
      </w:r>
      <w:r w:rsidR="00D3584F" w:rsidRPr="008730BA">
        <w:rPr>
          <w:rFonts w:cs="Arial"/>
          <w:color w:val="000000"/>
        </w:rPr>
        <w:t>Le programme suivant est proposé</w:t>
      </w:r>
      <w:r w:rsidR="00D30941" w:rsidRPr="008730BA">
        <w:rPr>
          <w:rFonts w:cs="Arial"/>
          <w:color w:val="000000"/>
        </w:rPr>
        <w:t> </w:t>
      </w:r>
      <w:r w:rsidR="00D3584F" w:rsidRPr="008730BA">
        <w:rPr>
          <w:rFonts w:cs="Arial"/>
          <w:color w:val="000000"/>
        </w:rPr>
        <w:t>:</w:t>
      </w:r>
    </w:p>
    <w:p w:rsidR="008E5807" w:rsidRPr="008730BA" w:rsidRDefault="008E5807" w:rsidP="008E5807">
      <w:pPr>
        <w:jc w:val="left"/>
      </w:pPr>
    </w:p>
    <w:p w:rsidR="00CC5C93" w:rsidRPr="008730BA" w:rsidRDefault="00D3584F" w:rsidP="00CC5C93">
      <w:pPr>
        <w:pStyle w:val="ListParagraph"/>
        <w:numPr>
          <w:ilvl w:val="0"/>
          <w:numId w:val="6"/>
        </w:numPr>
        <w:contextualSpacing w:val="0"/>
        <w:rPr>
          <w:rFonts w:cs="Arial"/>
        </w:rPr>
      </w:pPr>
      <w:r w:rsidRPr="008730BA">
        <w:rPr>
          <w:rFonts w:cs="Arial"/>
        </w:rPr>
        <w:t>Bienvenue et ouverture</w:t>
      </w:r>
    </w:p>
    <w:p w:rsidR="00CC5C93" w:rsidRPr="008730BA" w:rsidRDefault="00CC5C93" w:rsidP="00CC5C93">
      <w:pPr>
        <w:rPr>
          <w:rFonts w:cs="Arial"/>
        </w:rPr>
      </w:pPr>
    </w:p>
    <w:p w:rsidR="00900241" w:rsidRPr="008730BA" w:rsidRDefault="00CC5C93" w:rsidP="00CC5C93">
      <w:pPr>
        <w:pStyle w:val="ListParagraph"/>
        <w:numPr>
          <w:ilvl w:val="0"/>
          <w:numId w:val="6"/>
        </w:numPr>
        <w:contextualSpacing w:val="0"/>
      </w:pPr>
      <w:r w:rsidRPr="008730BA">
        <w:rPr>
          <w:rFonts w:cs="Arial"/>
        </w:rPr>
        <w:t>Introduction</w:t>
      </w:r>
      <w:r w:rsidR="00D3584F" w:rsidRPr="008730BA">
        <w:rPr>
          <w:rFonts w:cs="Arial"/>
        </w:rPr>
        <w:t xml:space="preserve"> aux </w:t>
      </w:r>
      <w:r w:rsidR="002D6D40" w:rsidRPr="008730BA">
        <w:t>s</w:t>
      </w:r>
      <w:r w:rsidR="00D3584F" w:rsidRPr="008730BA">
        <w:t>ystèmes de certification des semences de l</w:t>
      </w:r>
      <w:r w:rsidR="00900241" w:rsidRPr="008730BA">
        <w:t>’</w:t>
      </w:r>
      <w:r w:rsidR="00D3584F" w:rsidRPr="008730BA">
        <w:t>OCDE et situation de l</w:t>
      </w:r>
      <w:r w:rsidR="00900241" w:rsidRPr="008730BA">
        <w:t>’</w:t>
      </w:r>
      <w:r w:rsidR="00D3584F" w:rsidRPr="008730BA">
        <w:t>OCDE concernant l</w:t>
      </w:r>
      <w:r w:rsidR="00900241" w:rsidRPr="008730BA">
        <w:t>’</w:t>
      </w:r>
      <w:r w:rsidR="00D3584F" w:rsidRPr="008730BA">
        <w:t>utilisation de techniques moléculaires</w:t>
      </w:r>
    </w:p>
    <w:p w:rsidR="00CC5C93" w:rsidRPr="008730BA" w:rsidRDefault="00CC5C93" w:rsidP="00CC5C93">
      <w:pPr>
        <w:rPr>
          <w:rFonts w:cs="Arial"/>
        </w:rPr>
      </w:pPr>
    </w:p>
    <w:p w:rsidR="00CC5C93" w:rsidRPr="008730BA" w:rsidRDefault="00895F99" w:rsidP="00CC5C93">
      <w:pPr>
        <w:pStyle w:val="ListParagraph"/>
        <w:numPr>
          <w:ilvl w:val="0"/>
          <w:numId w:val="6"/>
        </w:numPr>
        <w:contextualSpacing w:val="0"/>
        <w:rPr>
          <w:rFonts w:cs="Arial"/>
        </w:rPr>
      </w:pPr>
      <w:r w:rsidRPr="008730BA">
        <w:rPr>
          <w:rFonts w:cs="Arial"/>
        </w:rPr>
        <w:t xml:space="preserve">Introduction </w:t>
      </w:r>
      <w:r w:rsidR="00D3584F" w:rsidRPr="008730BA">
        <w:rPr>
          <w:rFonts w:cs="Arial"/>
        </w:rPr>
        <w:t>à l</w:t>
      </w:r>
      <w:r w:rsidR="00900241" w:rsidRPr="008730BA">
        <w:rPr>
          <w:rFonts w:cs="Arial"/>
        </w:rPr>
        <w:t>’</w:t>
      </w:r>
      <w:r w:rsidRPr="008730BA">
        <w:rPr>
          <w:rFonts w:cs="Arial"/>
        </w:rPr>
        <w:t xml:space="preserve">UPOV </w:t>
      </w:r>
      <w:r w:rsidR="009800EB" w:rsidRPr="008730BA">
        <w:rPr>
          <w:rFonts w:cs="Arial"/>
        </w:rPr>
        <w:t xml:space="preserve">et </w:t>
      </w:r>
      <w:r w:rsidR="00D3584F" w:rsidRPr="008730BA">
        <w:t>situation de l</w:t>
      </w:r>
      <w:r w:rsidR="00900241" w:rsidRPr="008730BA">
        <w:t>’</w:t>
      </w:r>
      <w:r w:rsidR="00D3584F" w:rsidRPr="008730BA">
        <w:t>UPOV concernant l</w:t>
      </w:r>
      <w:r w:rsidR="00900241" w:rsidRPr="008730BA">
        <w:t>’</w:t>
      </w:r>
      <w:r w:rsidR="00D3584F" w:rsidRPr="008730BA">
        <w:t>utilisation de techniques moléculaires</w:t>
      </w:r>
    </w:p>
    <w:p w:rsidR="00CC5C93" w:rsidRPr="008730BA" w:rsidRDefault="00CC5C93" w:rsidP="00CC5C93">
      <w:pPr>
        <w:rPr>
          <w:rFonts w:cs="Arial"/>
        </w:rPr>
      </w:pPr>
    </w:p>
    <w:p w:rsidR="00CC5C93" w:rsidRPr="008730BA" w:rsidRDefault="00D3584F" w:rsidP="00CC5C93">
      <w:pPr>
        <w:pStyle w:val="ListParagraph"/>
        <w:numPr>
          <w:ilvl w:val="0"/>
          <w:numId w:val="6"/>
        </w:numPr>
        <w:contextualSpacing w:val="0"/>
        <w:rPr>
          <w:rFonts w:cs="Arial"/>
        </w:rPr>
      </w:pPr>
      <w:r w:rsidRPr="008730BA">
        <w:rPr>
          <w:rFonts w:cs="Arial"/>
        </w:rPr>
        <w:t>Introduction à l</w:t>
      </w:r>
      <w:r w:rsidR="00900241" w:rsidRPr="008730BA">
        <w:rPr>
          <w:rFonts w:cs="Arial"/>
        </w:rPr>
        <w:t>’</w:t>
      </w:r>
      <w:r w:rsidRPr="008730BA">
        <w:rPr>
          <w:rFonts w:cs="Arial"/>
        </w:rPr>
        <w:t xml:space="preserve">ISTA </w:t>
      </w:r>
      <w:r w:rsidR="009800EB" w:rsidRPr="008730BA">
        <w:rPr>
          <w:rFonts w:cs="Arial"/>
        </w:rPr>
        <w:t xml:space="preserve">et </w:t>
      </w:r>
      <w:r w:rsidRPr="008730BA">
        <w:t>situation de l</w:t>
      </w:r>
      <w:r w:rsidR="00900241" w:rsidRPr="008730BA">
        <w:t>’</w:t>
      </w:r>
      <w:r w:rsidRPr="008730BA">
        <w:t>ISTA concernant l</w:t>
      </w:r>
      <w:r w:rsidR="00900241" w:rsidRPr="008730BA">
        <w:t>’</w:t>
      </w:r>
      <w:r w:rsidRPr="008730BA">
        <w:t>utilisation de techniques moléculaires</w:t>
      </w:r>
    </w:p>
    <w:p w:rsidR="00CC5C93" w:rsidRPr="008730BA" w:rsidRDefault="00CC5C93" w:rsidP="00CC5C93">
      <w:pPr>
        <w:rPr>
          <w:rFonts w:cs="Arial"/>
        </w:rPr>
      </w:pPr>
    </w:p>
    <w:p w:rsidR="00CC5C93" w:rsidRPr="008730BA" w:rsidRDefault="00D160AA" w:rsidP="00CC5C93">
      <w:pPr>
        <w:pStyle w:val="ListParagraph"/>
        <w:numPr>
          <w:ilvl w:val="0"/>
          <w:numId w:val="6"/>
        </w:numPr>
        <w:contextualSpacing w:val="0"/>
        <w:rPr>
          <w:rFonts w:cs="Arial"/>
        </w:rPr>
      </w:pPr>
      <w:r w:rsidRPr="008730BA">
        <w:rPr>
          <w:rFonts w:cs="Arial"/>
        </w:rPr>
        <w:t>Domaines existants de coopération entre l</w:t>
      </w:r>
      <w:r w:rsidR="00900241" w:rsidRPr="008730BA">
        <w:rPr>
          <w:rFonts w:cs="Arial"/>
        </w:rPr>
        <w:t>’</w:t>
      </w:r>
      <w:r w:rsidRPr="008730BA">
        <w:rPr>
          <w:rFonts w:cs="Arial"/>
        </w:rPr>
        <w:t xml:space="preserve">OCDE, </w:t>
      </w:r>
      <w:r w:rsidR="00274659">
        <w:rPr>
          <w:rFonts w:cs="Arial"/>
        </w:rPr>
        <w:t>l’</w:t>
      </w:r>
      <w:r w:rsidR="00CC5C93" w:rsidRPr="008730BA">
        <w:rPr>
          <w:rFonts w:cs="Arial"/>
        </w:rPr>
        <w:t>UPOV</w:t>
      </w:r>
      <w:r w:rsidR="00895F99" w:rsidRPr="008730BA">
        <w:rPr>
          <w:rFonts w:cs="Arial"/>
        </w:rPr>
        <w:t xml:space="preserve"> </w:t>
      </w:r>
      <w:r w:rsidRPr="008730BA">
        <w:rPr>
          <w:rFonts w:cs="Arial"/>
        </w:rPr>
        <w:t>et l</w:t>
      </w:r>
      <w:r w:rsidR="00900241" w:rsidRPr="008730BA">
        <w:rPr>
          <w:rFonts w:cs="Arial"/>
        </w:rPr>
        <w:t>’</w:t>
      </w:r>
      <w:r w:rsidR="00895F99" w:rsidRPr="008730BA">
        <w:rPr>
          <w:rFonts w:cs="Arial"/>
        </w:rPr>
        <w:t>ISTA</w:t>
      </w:r>
    </w:p>
    <w:p w:rsidR="00CC5C93" w:rsidRPr="008730BA" w:rsidRDefault="00CC5C93" w:rsidP="00CC5C93">
      <w:pPr>
        <w:rPr>
          <w:rFonts w:cs="Arial"/>
        </w:rPr>
      </w:pPr>
    </w:p>
    <w:p w:rsidR="00D160AA" w:rsidRPr="008730BA" w:rsidRDefault="00D160AA" w:rsidP="00CC5C93">
      <w:pPr>
        <w:pStyle w:val="ListParagraph"/>
        <w:numPr>
          <w:ilvl w:val="0"/>
          <w:numId w:val="6"/>
        </w:numPr>
        <w:contextualSpacing w:val="0"/>
        <w:rPr>
          <w:rFonts w:cs="Arial"/>
        </w:rPr>
      </w:pPr>
      <w:r w:rsidRPr="008730BA">
        <w:rPr>
          <w:rFonts w:cs="Arial"/>
        </w:rPr>
        <w:t>Possibilités de coopération entre l</w:t>
      </w:r>
      <w:r w:rsidR="00900241" w:rsidRPr="008730BA">
        <w:rPr>
          <w:rFonts w:cs="Arial"/>
        </w:rPr>
        <w:t>’</w:t>
      </w:r>
      <w:r w:rsidRPr="008730BA">
        <w:rPr>
          <w:rFonts w:cs="Arial"/>
        </w:rPr>
        <w:t>OCDE, l</w:t>
      </w:r>
      <w:r w:rsidR="00900241" w:rsidRPr="008730BA">
        <w:rPr>
          <w:rFonts w:cs="Arial"/>
        </w:rPr>
        <w:t>’</w:t>
      </w:r>
      <w:r w:rsidRPr="008730BA">
        <w:rPr>
          <w:rFonts w:cs="Arial"/>
        </w:rPr>
        <w:t>UPOV et l</w:t>
      </w:r>
      <w:r w:rsidR="00900241" w:rsidRPr="008730BA">
        <w:rPr>
          <w:rFonts w:cs="Arial"/>
        </w:rPr>
        <w:t>’</w:t>
      </w:r>
      <w:r w:rsidRPr="008730BA">
        <w:rPr>
          <w:rFonts w:cs="Arial"/>
        </w:rPr>
        <w:t>ISTA</w:t>
      </w:r>
      <w:r w:rsidRPr="008730BA">
        <w:t xml:space="preserve"> concernant les techniques moléculaires (débat)</w:t>
      </w:r>
    </w:p>
    <w:p w:rsidR="00CC5C93" w:rsidRPr="008730BA" w:rsidRDefault="00CC5C93" w:rsidP="00CC5C93">
      <w:pPr>
        <w:pStyle w:val="ListParagraph"/>
        <w:rPr>
          <w:rFonts w:eastAsia="MS Mincho" w:cs="Arial"/>
          <w:lang w:eastAsia="ja-JP" w:bidi="th-TH"/>
        </w:rPr>
      </w:pPr>
    </w:p>
    <w:p w:rsidR="005245AD" w:rsidRPr="008730BA" w:rsidRDefault="00D160AA" w:rsidP="005245AD">
      <w:pPr>
        <w:pStyle w:val="ListParagraph"/>
        <w:numPr>
          <w:ilvl w:val="0"/>
          <w:numId w:val="6"/>
        </w:numPr>
        <w:contextualSpacing w:val="0"/>
        <w:rPr>
          <w:rFonts w:cs="Arial"/>
        </w:rPr>
      </w:pPr>
      <w:r w:rsidRPr="008730BA">
        <w:rPr>
          <w:rFonts w:eastAsia="MS Mincho" w:cs="Arial"/>
          <w:lang w:eastAsia="ja-JP" w:bidi="th-TH"/>
        </w:rPr>
        <w:t>Clôture</w:t>
      </w:r>
    </w:p>
    <w:p w:rsidR="005245AD" w:rsidRPr="008730BA" w:rsidRDefault="005245AD" w:rsidP="005245AD">
      <w:pPr>
        <w:pStyle w:val="ListParagraph"/>
        <w:rPr>
          <w:rFonts w:eastAsia="MS Mincho" w:cs="Arial"/>
          <w:lang w:eastAsia="ja-JP" w:bidi="th-TH"/>
        </w:rPr>
      </w:pPr>
    </w:p>
    <w:p w:rsidR="00FD7B1A" w:rsidRPr="008730BA" w:rsidRDefault="000543D3" w:rsidP="005245AD">
      <w:pPr>
        <w:rPr>
          <w:rFonts w:cs="Arial"/>
        </w:rPr>
      </w:pPr>
      <w:r w:rsidRPr="008730BA">
        <w:fldChar w:fldCharType="begin"/>
      </w:r>
      <w:r w:rsidR="005245AD" w:rsidRPr="008730BA">
        <w:instrText xml:space="preserve"> AUTONUM  </w:instrText>
      </w:r>
      <w:r w:rsidRPr="008730BA">
        <w:fldChar w:fldCharType="end"/>
      </w:r>
      <w:r w:rsidR="005245AD" w:rsidRPr="008730BA">
        <w:rPr>
          <w:rFonts w:eastAsia="MS Mincho" w:cs="Arial"/>
          <w:lang w:eastAsia="ja-JP" w:bidi="th-TH"/>
        </w:rPr>
        <w:tab/>
      </w:r>
      <w:r w:rsidR="00D160AA" w:rsidRPr="008730BA">
        <w:rPr>
          <w:rFonts w:eastAsia="MS Mincho" w:cs="Arial"/>
          <w:lang w:eastAsia="ja-JP" w:bidi="th-TH"/>
        </w:rPr>
        <w:t>Un plan de travail provisoire pour la quatorzième</w:t>
      </w:r>
      <w:r w:rsidR="00D30941" w:rsidRPr="008730BA">
        <w:rPr>
          <w:rFonts w:eastAsia="MS Mincho" w:cs="Arial"/>
          <w:lang w:eastAsia="ja-JP" w:bidi="th-TH"/>
        </w:rPr>
        <w:t> </w:t>
      </w:r>
      <w:r w:rsidR="00D160AA" w:rsidRPr="008730BA">
        <w:rPr>
          <w:rFonts w:eastAsia="MS Mincho" w:cs="Arial"/>
          <w:lang w:eastAsia="ja-JP" w:bidi="th-TH"/>
        </w:rPr>
        <w:t>session</w:t>
      </w:r>
      <w:r w:rsidR="00900241" w:rsidRPr="008730BA">
        <w:rPr>
          <w:rFonts w:eastAsia="MS Mincho" w:cs="Arial"/>
          <w:lang w:eastAsia="ja-JP" w:bidi="th-TH"/>
        </w:rPr>
        <w:t xml:space="preserve"> du BMT</w:t>
      </w:r>
      <w:r w:rsidR="00D160AA" w:rsidRPr="008730BA">
        <w:rPr>
          <w:rFonts w:eastAsia="MS Mincho" w:cs="Arial"/>
          <w:lang w:eastAsia="ja-JP" w:bidi="th-TH"/>
        </w:rPr>
        <w:t>, son atelier préparatoire et l</w:t>
      </w:r>
      <w:r w:rsidR="00900241" w:rsidRPr="008730BA">
        <w:rPr>
          <w:rFonts w:eastAsia="MS Mincho" w:cs="Arial"/>
          <w:lang w:eastAsia="ja-JP" w:bidi="th-TH"/>
        </w:rPr>
        <w:t>’</w:t>
      </w:r>
      <w:r w:rsidR="00D160AA" w:rsidRPr="008730BA">
        <w:rPr>
          <w:rFonts w:eastAsia="MS Mincho" w:cs="Arial"/>
          <w:lang w:eastAsia="ja-JP" w:bidi="th-TH"/>
        </w:rPr>
        <w:t>Atelier conjoint</w:t>
      </w:r>
      <w:r w:rsidR="00F27D7D">
        <w:rPr>
          <w:rFonts w:eastAsia="MS Mincho" w:cs="Arial"/>
          <w:lang w:eastAsia="ja-JP" w:bidi="th-TH"/>
        </w:rPr>
        <w:t>,</w:t>
      </w:r>
      <w:r w:rsidR="00D160AA" w:rsidRPr="008730BA">
        <w:rPr>
          <w:rFonts w:eastAsia="MS Mincho" w:cs="Arial"/>
          <w:lang w:eastAsia="ja-JP" w:bidi="th-TH"/>
        </w:rPr>
        <w:t xml:space="preserve"> est joint au présent document (annexe II).</w:t>
      </w:r>
    </w:p>
    <w:p w:rsidR="005245AD" w:rsidRPr="008730BA" w:rsidRDefault="005245AD" w:rsidP="005245AD">
      <w:pPr>
        <w:rPr>
          <w:rFonts w:cs="Arial"/>
        </w:rPr>
      </w:pPr>
    </w:p>
    <w:p w:rsidR="00876B8F" w:rsidRPr="008730BA" w:rsidRDefault="00F27D7D" w:rsidP="00A53CDD">
      <w:pPr>
        <w:tabs>
          <w:tab w:val="left" w:pos="5387"/>
        </w:tabs>
        <w:ind w:left="4820"/>
        <w:rPr>
          <w:rFonts w:eastAsia="MS Mincho" w:cs="Arial"/>
          <w:i/>
          <w:iCs/>
          <w:snapToGrid w:val="0"/>
          <w:color w:val="000000"/>
        </w:rPr>
      </w:pPr>
      <w:r>
        <w:rPr>
          <w:i/>
          <w:iCs/>
        </w:rPr>
        <w:fldChar w:fldCharType="begin"/>
      </w:r>
      <w:r>
        <w:rPr>
          <w:i/>
          <w:iCs/>
        </w:rPr>
        <w:instrText xml:space="preserve"> AUTONUM  </w:instrText>
      </w:r>
      <w:r>
        <w:rPr>
          <w:i/>
          <w:iCs/>
        </w:rPr>
        <w:fldChar w:fldCharType="end"/>
      </w:r>
      <w:r>
        <w:rPr>
          <w:i/>
          <w:iCs/>
        </w:rPr>
        <w:tab/>
      </w:r>
      <w:r w:rsidR="00D160AA" w:rsidRPr="008730BA">
        <w:rPr>
          <w:rFonts w:eastAsia="MS Mincho" w:cs="Arial"/>
          <w:i/>
          <w:iCs/>
          <w:snapToGrid w:val="0"/>
          <w:color w:val="000000"/>
        </w:rPr>
        <w:t>L</w:t>
      </w:r>
      <w:r w:rsidR="00FD7B1A" w:rsidRPr="008730BA">
        <w:rPr>
          <w:rFonts w:eastAsia="MS Mincho" w:cs="Arial"/>
          <w:i/>
          <w:iCs/>
          <w:snapToGrid w:val="0"/>
          <w:color w:val="000000"/>
        </w:rPr>
        <w:t>e</w:t>
      </w:r>
      <w:r w:rsidR="00900241" w:rsidRPr="008730BA">
        <w:rPr>
          <w:rFonts w:eastAsia="MS Mincho" w:cs="Arial"/>
          <w:i/>
          <w:iCs/>
          <w:snapToGrid w:val="0"/>
          <w:color w:val="000000"/>
        </w:rPr>
        <w:t> </w:t>
      </w:r>
      <w:r w:rsidR="00683176">
        <w:rPr>
          <w:rFonts w:eastAsia="MS Mincho" w:cs="Arial"/>
          <w:i/>
          <w:iCs/>
          <w:snapToGrid w:val="0"/>
          <w:color w:val="000000"/>
        </w:rPr>
        <w:t>CAJ</w:t>
      </w:r>
      <w:r w:rsidR="00FD7B1A" w:rsidRPr="008730BA">
        <w:rPr>
          <w:rFonts w:eastAsia="MS Mincho" w:cs="Arial"/>
          <w:i/>
          <w:iCs/>
          <w:snapToGrid w:val="0"/>
          <w:color w:val="000000"/>
        </w:rPr>
        <w:t xml:space="preserve"> </w:t>
      </w:r>
      <w:r>
        <w:rPr>
          <w:rFonts w:eastAsia="MS Mincho" w:cs="Arial"/>
          <w:i/>
          <w:iCs/>
          <w:snapToGrid w:val="0"/>
          <w:color w:val="000000"/>
        </w:rPr>
        <w:t>est invité</w:t>
      </w:r>
      <w:r w:rsidR="00683176">
        <w:rPr>
          <w:rFonts w:eastAsia="MS Mincho" w:cs="Arial"/>
          <w:i/>
          <w:iCs/>
          <w:snapToGrid w:val="0"/>
          <w:color w:val="000000"/>
        </w:rPr>
        <w:t xml:space="preserve"> à noter</w:t>
      </w:r>
      <w:r w:rsidR="0004464A">
        <w:rPr>
          <w:rFonts w:eastAsia="MS Mincho" w:cs="Arial"/>
          <w:i/>
          <w:iCs/>
          <w:snapToGrid w:val="0"/>
          <w:color w:val="000000"/>
        </w:rPr>
        <w:t> :</w:t>
      </w:r>
      <w:r w:rsidR="00683176">
        <w:rPr>
          <w:rFonts w:eastAsia="MS Mincho" w:cs="Arial"/>
          <w:i/>
          <w:iCs/>
          <w:snapToGrid w:val="0"/>
          <w:color w:val="000000"/>
        </w:rPr>
        <w:t xml:space="preserve"> </w:t>
      </w:r>
    </w:p>
    <w:p w:rsidR="00633EA9" w:rsidRPr="008730BA" w:rsidRDefault="00633EA9" w:rsidP="00FD7B1A">
      <w:pPr>
        <w:ind w:left="4820"/>
        <w:rPr>
          <w:rFonts w:eastAsia="MS Mincho" w:cs="Arial"/>
          <w:i/>
          <w:iCs/>
          <w:snapToGrid w:val="0"/>
          <w:color w:val="000000"/>
        </w:rPr>
      </w:pPr>
    </w:p>
    <w:p w:rsidR="00633EA9" w:rsidRPr="008730BA" w:rsidRDefault="00A53CDD" w:rsidP="00A53CDD">
      <w:pPr>
        <w:tabs>
          <w:tab w:val="left" w:pos="567"/>
          <w:tab w:val="left" w:pos="5954"/>
        </w:tabs>
        <w:ind w:left="4820" w:firstLine="567"/>
        <w:rPr>
          <w:i/>
          <w:iCs/>
        </w:rPr>
      </w:pPr>
      <w:r w:rsidRPr="008730BA">
        <w:rPr>
          <w:rFonts w:eastAsia="MS Mincho" w:cs="Arial"/>
          <w:i/>
          <w:iCs/>
          <w:snapToGrid w:val="0"/>
          <w:color w:val="000000"/>
        </w:rPr>
        <w:t>a)</w:t>
      </w:r>
      <w:r w:rsidRPr="008730BA">
        <w:rPr>
          <w:rFonts w:eastAsia="MS Mincho" w:cs="Arial"/>
          <w:i/>
          <w:iCs/>
          <w:snapToGrid w:val="0"/>
          <w:color w:val="000000"/>
        </w:rPr>
        <w:tab/>
      </w:r>
      <w:r w:rsidR="0004464A">
        <w:rPr>
          <w:rFonts w:eastAsia="MS Mincho" w:cs="Arial"/>
          <w:i/>
          <w:iCs/>
          <w:snapToGrid w:val="0"/>
          <w:color w:val="000000"/>
        </w:rPr>
        <w:t xml:space="preserve">que </w:t>
      </w:r>
      <w:r w:rsidR="00D160AA" w:rsidRPr="008730BA">
        <w:rPr>
          <w:rFonts w:eastAsia="MS Mincho" w:cs="Arial"/>
          <w:i/>
          <w:iCs/>
          <w:snapToGrid w:val="0"/>
          <w:color w:val="000000"/>
        </w:rPr>
        <w:t>la quatorzième</w:t>
      </w:r>
      <w:r w:rsidR="00D30941" w:rsidRPr="008730BA">
        <w:rPr>
          <w:rFonts w:eastAsia="MS Mincho" w:cs="Arial"/>
          <w:i/>
          <w:iCs/>
          <w:snapToGrid w:val="0"/>
          <w:color w:val="000000"/>
        </w:rPr>
        <w:t> </w:t>
      </w:r>
      <w:r w:rsidR="00233C64" w:rsidRPr="008730BA">
        <w:rPr>
          <w:rFonts w:eastAsia="MS Mincho" w:cs="Arial"/>
          <w:i/>
          <w:iCs/>
          <w:snapToGrid w:val="0"/>
          <w:color w:val="000000"/>
        </w:rPr>
        <w:t>session</w:t>
      </w:r>
      <w:r w:rsidR="00900241" w:rsidRPr="008730BA">
        <w:rPr>
          <w:rFonts w:eastAsia="MS Mincho" w:cs="Arial"/>
          <w:i/>
          <w:iCs/>
          <w:snapToGrid w:val="0"/>
          <w:color w:val="000000"/>
        </w:rPr>
        <w:t xml:space="preserve"> du BMT</w:t>
      </w:r>
      <w:r w:rsidR="00D160AA" w:rsidRPr="008730BA">
        <w:rPr>
          <w:rFonts w:eastAsia="MS Mincho" w:cs="Arial"/>
          <w:i/>
          <w:iCs/>
          <w:snapToGrid w:val="0"/>
          <w:color w:val="000000"/>
        </w:rPr>
        <w:t xml:space="preserve"> se tiendra à Sé</w:t>
      </w:r>
      <w:r w:rsidR="00233C64" w:rsidRPr="008730BA">
        <w:rPr>
          <w:rFonts w:eastAsia="MS Mincho" w:cs="Arial"/>
          <w:i/>
          <w:iCs/>
          <w:snapToGrid w:val="0"/>
          <w:color w:val="000000"/>
        </w:rPr>
        <w:t xml:space="preserve">oul </w:t>
      </w:r>
      <w:r w:rsidR="00F27D7D">
        <w:rPr>
          <w:rFonts w:eastAsia="MS Mincho" w:cs="Arial"/>
          <w:i/>
          <w:iCs/>
          <w:snapToGrid w:val="0"/>
          <w:color w:val="000000"/>
        </w:rPr>
        <w:t>(</w:t>
      </w:r>
      <w:r w:rsidR="00D160AA" w:rsidRPr="008730BA">
        <w:rPr>
          <w:rFonts w:eastAsia="MS Mincho" w:cs="Arial"/>
          <w:i/>
          <w:iCs/>
          <w:snapToGrid w:val="0"/>
          <w:color w:val="000000"/>
        </w:rPr>
        <w:t>République de Corée</w:t>
      </w:r>
      <w:r w:rsidR="00F27D7D">
        <w:rPr>
          <w:rFonts w:eastAsia="MS Mincho" w:cs="Arial"/>
          <w:i/>
          <w:iCs/>
          <w:snapToGrid w:val="0"/>
          <w:color w:val="000000"/>
        </w:rPr>
        <w:t>)</w:t>
      </w:r>
      <w:r w:rsidR="00D160AA" w:rsidRPr="008730BA">
        <w:rPr>
          <w:rFonts w:eastAsia="MS Mincho" w:cs="Arial"/>
          <w:i/>
          <w:iCs/>
          <w:snapToGrid w:val="0"/>
          <w:color w:val="000000"/>
        </w:rPr>
        <w:t xml:space="preserve"> du</w:t>
      </w:r>
      <w:r w:rsidR="0079128B" w:rsidRPr="008730BA">
        <w:rPr>
          <w:rFonts w:eastAsia="MS Mincho" w:cs="Arial"/>
          <w:i/>
          <w:iCs/>
          <w:snapToGrid w:val="0"/>
          <w:color w:val="000000"/>
        </w:rPr>
        <w:t xml:space="preserve"> 10</w:t>
      </w:r>
      <w:r w:rsidR="00D160AA" w:rsidRPr="008730BA">
        <w:rPr>
          <w:rFonts w:eastAsia="MS Mincho" w:cs="Arial"/>
          <w:i/>
          <w:iCs/>
          <w:snapToGrid w:val="0"/>
          <w:color w:val="000000"/>
        </w:rPr>
        <w:t xml:space="preserve"> au</w:t>
      </w:r>
      <w:r w:rsidR="0079128B" w:rsidRPr="008730BA">
        <w:rPr>
          <w:rFonts w:eastAsia="MS Mincho" w:cs="Arial"/>
          <w:i/>
          <w:iCs/>
          <w:snapToGrid w:val="0"/>
          <w:color w:val="000000"/>
        </w:rPr>
        <w:t xml:space="preserve"> 1</w:t>
      </w:r>
      <w:r w:rsidR="00900241" w:rsidRPr="008730BA">
        <w:rPr>
          <w:rFonts w:eastAsia="MS Mincho" w:cs="Arial"/>
          <w:i/>
          <w:iCs/>
          <w:snapToGrid w:val="0"/>
          <w:color w:val="000000"/>
        </w:rPr>
        <w:t>3 novembre 20</w:t>
      </w:r>
      <w:r w:rsidR="0079128B" w:rsidRPr="008730BA">
        <w:rPr>
          <w:rFonts w:eastAsia="MS Mincho" w:cs="Arial"/>
          <w:i/>
          <w:iCs/>
          <w:snapToGrid w:val="0"/>
          <w:color w:val="000000"/>
        </w:rPr>
        <w:t>14;</w:t>
      </w:r>
    </w:p>
    <w:p w:rsidR="0079128B" w:rsidRPr="008730BA" w:rsidRDefault="0079128B" w:rsidP="00A53CDD">
      <w:pPr>
        <w:pStyle w:val="ListParagraph"/>
        <w:ind w:left="4820" w:firstLine="567"/>
        <w:rPr>
          <w:i/>
          <w:iCs/>
        </w:rPr>
      </w:pPr>
    </w:p>
    <w:p w:rsidR="00D160AA" w:rsidRPr="008730BA" w:rsidRDefault="00A53CDD" w:rsidP="00A53CDD">
      <w:pPr>
        <w:tabs>
          <w:tab w:val="left" w:pos="5954"/>
        </w:tabs>
        <w:ind w:left="4820" w:firstLine="567"/>
        <w:rPr>
          <w:i/>
          <w:iCs/>
        </w:rPr>
      </w:pPr>
      <w:r w:rsidRPr="008730BA">
        <w:rPr>
          <w:i/>
          <w:iCs/>
        </w:rPr>
        <w:t>b)</w:t>
      </w:r>
      <w:r w:rsidRPr="008730BA">
        <w:rPr>
          <w:i/>
          <w:iCs/>
        </w:rPr>
        <w:tab/>
      </w:r>
      <w:r w:rsidR="0004464A">
        <w:rPr>
          <w:i/>
          <w:iCs/>
        </w:rPr>
        <w:t xml:space="preserve">que </w:t>
      </w:r>
      <w:r w:rsidR="00D160AA" w:rsidRPr="008730BA">
        <w:rPr>
          <w:i/>
          <w:iCs/>
        </w:rPr>
        <w:t xml:space="preserve">la modification proposée du programme de la </w:t>
      </w:r>
      <w:r w:rsidR="00D160AA" w:rsidRPr="008730BA">
        <w:rPr>
          <w:rFonts w:eastAsia="MS Mincho" w:cs="Arial"/>
          <w:i/>
          <w:iCs/>
          <w:snapToGrid w:val="0"/>
          <w:color w:val="000000"/>
        </w:rPr>
        <w:t>quatorzième</w:t>
      </w:r>
      <w:r w:rsidR="00DC02AC">
        <w:rPr>
          <w:rFonts w:eastAsia="MS Mincho" w:cs="Arial"/>
          <w:i/>
          <w:iCs/>
          <w:snapToGrid w:val="0"/>
          <w:color w:val="000000"/>
        </w:rPr>
        <w:t xml:space="preserve"> </w:t>
      </w:r>
      <w:r w:rsidR="00D160AA" w:rsidRPr="008730BA">
        <w:rPr>
          <w:rFonts w:eastAsia="MS Mincho" w:cs="Arial"/>
          <w:i/>
          <w:iCs/>
          <w:snapToGrid w:val="0"/>
          <w:color w:val="000000"/>
        </w:rPr>
        <w:t>session</w:t>
      </w:r>
      <w:r w:rsidR="00900241" w:rsidRPr="008730BA">
        <w:rPr>
          <w:rFonts w:eastAsia="MS Mincho" w:cs="Arial"/>
          <w:i/>
          <w:iCs/>
          <w:snapToGrid w:val="0"/>
          <w:color w:val="000000"/>
        </w:rPr>
        <w:t xml:space="preserve"> du BMT</w:t>
      </w:r>
      <w:r w:rsidR="00D160AA" w:rsidRPr="008730BA">
        <w:rPr>
          <w:rFonts w:eastAsia="MS Mincho" w:cs="Arial"/>
          <w:i/>
          <w:iCs/>
          <w:snapToGrid w:val="0"/>
          <w:color w:val="000000"/>
        </w:rPr>
        <w:t>, indiquée au paragraphe</w:t>
      </w:r>
      <w:r w:rsidR="00D30941" w:rsidRPr="008730BA">
        <w:rPr>
          <w:rFonts w:eastAsia="MS Mincho" w:cs="Arial"/>
          <w:i/>
          <w:iCs/>
          <w:snapToGrid w:val="0"/>
          <w:color w:val="000000"/>
        </w:rPr>
        <w:t> </w:t>
      </w:r>
      <w:r w:rsidR="007C659B">
        <w:rPr>
          <w:rFonts w:eastAsia="MS Mincho" w:cs="Arial"/>
          <w:i/>
          <w:iCs/>
          <w:snapToGrid w:val="0"/>
          <w:color w:val="000000"/>
        </w:rPr>
        <w:t>15</w:t>
      </w:r>
      <w:r w:rsidR="00D160AA" w:rsidRPr="008730BA">
        <w:rPr>
          <w:rFonts w:eastAsia="MS Mincho" w:cs="Arial"/>
          <w:i/>
          <w:iCs/>
          <w:snapToGrid w:val="0"/>
          <w:color w:val="000000"/>
        </w:rPr>
        <w:t xml:space="preserve"> du présent document, et</w:t>
      </w:r>
    </w:p>
    <w:p w:rsidR="0079128B" w:rsidRPr="008730BA" w:rsidRDefault="0079128B" w:rsidP="00A53CDD">
      <w:pPr>
        <w:ind w:left="4820" w:firstLine="567"/>
        <w:rPr>
          <w:i/>
          <w:iCs/>
        </w:rPr>
      </w:pPr>
      <w:bookmarkStart w:id="6" w:name="_GoBack"/>
      <w:bookmarkEnd w:id="6"/>
    </w:p>
    <w:p w:rsidR="00D160AA" w:rsidRPr="008730BA" w:rsidRDefault="00A53CDD" w:rsidP="00A53CDD">
      <w:pPr>
        <w:tabs>
          <w:tab w:val="left" w:pos="5954"/>
        </w:tabs>
        <w:ind w:left="4820" w:firstLine="567"/>
        <w:rPr>
          <w:i/>
          <w:iCs/>
        </w:rPr>
      </w:pPr>
      <w:r w:rsidRPr="008730BA">
        <w:rPr>
          <w:rFonts w:eastAsia="MS Mincho" w:cs="Arial"/>
          <w:i/>
          <w:iCs/>
          <w:snapToGrid w:val="0"/>
          <w:color w:val="000000"/>
        </w:rPr>
        <w:t>c)</w:t>
      </w:r>
      <w:r w:rsidRPr="008730BA">
        <w:rPr>
          <w:rFonts w:eastAsia="MS Mincho" w:cs="Arial"/>
          <w:i/>
          <w:iCs/>
          <w:snapToGrid w:val="0"/>
          <w:color w:val="000000"/>
        </w:rPr>
        <w:tab/>
      </w:r>
      <w:r w:rsidR="00D160AA" w:rsidRPr="008730BA">
        <w:rPr>
          <w:i/>
          <w:iCs/>
        </w:rPr>
        <w:t>la proposition de jumeler la quatorzième</w:t>
      </w:r>
      <w:r w:rsidR="00DC02AC">
        <w:rPr>
          <w:i/>
          <w:iCs/>
        </w:rPr>
        <w:t xml:space="preserve"> </w:t>
      </w:r>
      <w:r w:rsidR="00D160AA" w:rsidRPr="008730BA">
        <w:rPr>
          <w:i/>
          <w:iCs/>
        </w:rPr>
        <w:t>session</w:t>
      </w:r>
      <w:r w:rsidR="00900241" w:rsidRPr="008730BA">
        <w:rPr>
          <w:i/>
          <w:iCs/>
        </w:rPr>
        <w:t xml:space="preserve"> du BMT</w:t>
      </w:r>
      <w:r w:rsidR="00D160AA" w:rsidRPr="008730BA">
        <w:rPr>
          <w:i/>
          <w:iCs/>
        </w:rPr>
        <w:t xml:space="preserve"> avec l</w:t>
      </w:r>
      <w:r w:rsidR="00900241" w:rsidRPr="008730BA">
        <w:rPr>
          <w:i/>
          <w:iCs/>
        </w:rPr>
        <w:t>’</w:t>
      </w:r>
      <w:r w:rsidR="00D160AA" w:rsidRPr="008730BA">
        <w:rPr>
          <w:i/>
          <w:iCs/>
        </w:rPr>
        <w:t>Atelier conjoint de l</w:t>
      </w:r>
      <w:r w:rsidR="00900241" w:rsidRPr="008730BA">
        <w:rPr>
          <w:i/>
          <w:iCs/>
        </w:rPr>
        <w:t>’</w:t>
      </w:r>
      <w:r w:rsidR="00D160AA" w:rsidRPr="008730BA">
        <w:rPr>
          <w:i/>
          <w:iCs/>
        </w:rPr>
        <w:t>ISTA et de l</w:t>
      </w:r>
      <w:r w:rsidR="00900241" w:rsidRPr="008730BA">
        <w:rPr>
          <w:i/>
          <w:iCs/>
        </w:rPr>
        <w:t>’</w:t>
      </w:r>
      <w:r w:rsidR="00D160AA" w:rsidRPr="008730BA">
        <w:rPr>
          <w:i/>
          <w:iCs/>
        </w:rPr>
        <w:t>OCDE, qui se tiendra le 1</w:t>
      </w:r>
      <w:r w:rsidR="00900241" w:rsidRPr="008730BA">
        <w:rPr>
          <w:i/>
          <w:iCs/>
        </w:rPr>
        <w:t>2 novembre 20</w:t>
      </w:r>
      <w:r w:rsidR="00D160AA" w:rsidRPr="008730BA">
        <w:rPr>
          <w:i/>
          <w:iCs/>
        </w:rPr>
        <w:t>14, comme indiqué au paragraphe</w:t>
      </w:r>
      <w:r w:rsidR="00D30941" w:rsidRPr="008730BA">
        <w:rPr>
          <w:i/>
          <w:iCs/>
        </w:rPr>
        <w:t> </w:t>
      </w:r>
      <w:r w:rsidR="00F83589">
        <w:rPr>
          <w:i/>
          <w:iCs/>
        </w:rPr>
        <w:t>17</w:t>
      </w:r>
      <w:r w:rsidR="00D160AA" w:rsidRPr="008730BA">
        <w:rPr>
          <w:i/>
          <w:iCs/>
        </w:rPr>
        <w:t xml:space="preserve"> du présent document.</w:t>
      </w:r>
    </w:p>
    <w:p w:rsidR="00FD7B1A" w:rsidRPr="008730BA" w:rsidRDefault="00FD7B1A" w:rsidP="0016382E"/>
    <w:p w:rsidR="006E737F" w:rsidRPr="008730BA" w:rsidRDefault="006E737F" w:rsidP="0016382E"/>
    <w:p w:rsidR="00A53CDD" w:rsidRPr="008730BA" w:rsidRDefault="00A53CDD" w:rsidP="0016382E"/>
    <w:p w:rsidR="001D5E40" w:rsidRPr="008730BA" w:rsidRDefault="007E7B95" w:rsidP="001D5E40">
      <w:pPr>
        <w:pStyle w:val="Heading1"/>
        <w:rPr>
          <w:lang w:val="fr-FR"/>
        </w:rPr>
      </w:pPr>
      <w:r w:rsidRPr="008730BA">
        <w:rPr>
          <w:lang w:val="fr-FR"/>
        </w:rPr>
        <w:t>diffusion d</w:t>
      </w:r>
      <w:r w:rsidR="00900241" w:rsidRPr="008730BA">
        <w:rPr>
          <w:lang w:val="fr-FR"/>
        </w:rPr>
        <w:t>’</w:t>
      </w:r>
      <w:r w:rsidRPr="008730BA">
        <w:rPr>
          <w:lang w:val="fr-FR"/>
        </w:rPr>
        <w:t>informations à un plus large public, y</w:t>
      </w:r>
      <w:r w:rsidR="00D30941" w:rsidRPr="008730BA">
        <w:rPr>
          <w:lang w:val="fr-FR"/>
        </w:rPr>
        <w:t> </w:t>
      </w:r>
      <w:r w:rsidRPr="008730BA">
        <w:rPr>
          <w:lang w:val="fr-FR"/>
        </w:rPr>
        <w:t>compris les obtenteurs et le</w:t>
      </w:r>
      <w:r w:rsidR="00AF7425">
        <w:rPr>
          <w:lang w:val="fr-FR"/>
        </w:rPr>
        <w:t xml:space="preserve"> </w:t>
      </w:r>
      <w:r w:rsidRPr="008730BA">
        <w:rPr>
          <w:lang w:val="fr-FR"/>
        </w:rPr>
        <w:t>public en général, sur la situation à l</w:t>
      </w:r>
      <w:r w:rsidR="00900241" w:rsidRPr="008730BA">
        <w:rPr>
          <w:lang w:val="fr-FR"/>
        </w:rPr>
        <w:t>’</w:t>
      </w:r>
      <w:r w:rsidRPr="008730BA">
        <w:rPr>
          <w:lang w:val="fr-FR"/>
        </w:rPr>
        <w:t>UPOV concernant l</w:t>
      </w:r>
      <w:r w:rsidR="00900241" w:rsidRPr="008730BA">
        <w:rPr>
          <w:lang w:val="fr-FR"/>
        </w:rPr>
        <w:t>’</w:t>
      </w:r>
      <w:r w:rsidRPr="008730BA">
        <w:rPr>
          <w:lang w:val="fr-FR"/>
        </w:rPr>
        <w:t>utilisation de techniques moléculaires</w:t>
      </w:r>
    </w:p>
    <w:p w:rsidR="001D5E40" w:rsidRPr="008730BA" w:rsidRDefault="001D5E40" w:rsidP="001D5E40"/>
    <w:p w:rsidR="007E7B95" w:rsidRPr="008730BA" w:rsidRDefault="007E7B95" w:rsidP="007E7B95">
      <w:pPr>
        <w:rPr>
          <w:u w:val="single"/>
        </w:rPr>
      </w:pPr>
      <w:r w:rsidRPr="008730BA">
        <w:rPr>
          <w:u w:val="single"/>
        </w:rPr>
        <w:t>Généralités</w:t>
      </w:r>
    </w:p>
    <w:p w:rsidR="001D5E40" w:rsidRPr="008730BA" w:rsidRDefault="001D5E40" w:rsidP="001D5E40"/>
    <w:p w:rsidR="00D160AA" w:rsidRPr="008730BA" w:rsidRDefault="000543D3" w:rsidP="001D5E40">
      <w:r w:rsidRPr="008730BA">
        <w:fldChar w:fldCharType="begin"/>
      </w:r>
      <w:r w:rsidR="001D5E40" w:rsidRPr="008730BA">
        <w:instrText xml:space="preserve"> AUTONUM  </w:instrText>
      </w:r>
      <w:r w:rsidRPr="008730BA">
        <w:fldChar w:fldCharType="end"/>
      </w:r>
      <w:r w:rsidR="00F74FDE" w:rsidRPr="008730BA">
        <w:tab/>
      </w:r>
      <w:r w:rsidR="00D160AA" w:rsidRPr="008730BA">
        <w:t>À sa quarante</w:t>
      </w:r>
      <w:r w:rsidR="00900241" w:rsidRPr="008730BA">
        <w:t>-</w:t>
      </w:r>
      <w:r w:rsidR="00D160AA" w:rsidRPr="008730BA">
        <w:t>neuvième</w:t>
      </w:r>
      <w:r w:rsidR="00D30941" w:rsidRPr="008730BA">
        <w:t> </w:t>
      </w:r>
      <w:r w:rsidR="00D160AA" w:rsidRPr="008730BA">
        <w:t>session tenue à Genève du 18 au 2</w:t>
      </w:r>
      <w:r w:rsidR="00900241" w:rsidRPr="008730BA">
        <w:t>0 mars 20</w:t>
      </w:r>
      <w:r w:rsidR="00D160AA" w:rsidRPr="008730BA">
        <w:t>13, le</w:t>
      </w:r>
      <w:r w:rsidR="00900241" w:rsidRPr="008730BA">
        <w:t> TC</w:t>
      </w:r>
      <w:r w:rsidR="00D160AA" w:rsidRPr="008730BA">
        <w:t xml:space="preserve"> est convenu qu</w:t>
      </w:r>
      <w:r w:rsidR="00900241" w:rsidRPr="008730BA">
        <w:t>’</w:t>
      </w:r>
      <w:r w:rsidR="00D160AA" w:rsidRPr="008730BA">
        <w:t>il</w:t>
      </w:r>
      <w:r w:rsidR="00F27D7D">
        <w:t> </w:t>
      </w:r>
      <w:r w:rsidR="00D160AA" w:rsidRPr="008730BA">
        <w:t>était nécessaire de diffuser à un plus large public, y</w:t>
      </w:r>
      <w:r w:rsidR="00D30941" w:rsidRPr="008730BA">
        <w:t> </w:t>
      </w:r>
      <w:r w:rsidR="00D160AA" w:rsidRPr="008730BA">
        <w:t>compris les obtenteurs et le public en général, des</w:t>
      </w:r>
      <w:r w:rsidR="00F27D7D">
        <w:t> </w:t>
      </w:r>
      <w:r w:rsidR="00D160AA" w:rsidRPr="008730BA">
        <w:t>informations appropriées sur la situation à l</w:t>
      </w:r>
      <w:r w:rsidR="00900241" w:rsidRPr="008730BA">
        <w:t>’</w:t>
      </w:r>
      <w:r w:rsidR="00D160AA" w:rsidRPr="008730BA">
        <w:t>UPOV concernant l</w:t>
      </w:r>
      <w:r w:rsidR="00900241" w:rsidRPr="008730BA">
        <w:t>’</w:t>
      </w:r>
      <w:r w:rsidR="00D160AA" w:rsidRPr="008730BA">
        <w:t>utilisation de techniques moléculaires.</w:t>
      </w:r>
      <w:r w:rsidR="00F31977" w:rsidRPr="008730BA">
        <w:t xml:space="preserve"> </w:t>
      </w:r>
      <w:r w:rsidR="00D160AA" w:rsidRPr="008730BA">
        <w:t xml:space="preserve"> Ces informations devraient expliquer les avantages et les inconvénients potentiels de ces techniques ainsi que le lien entre génotype et phénotype, qui sont l</w:t>
      </w:r>
      <w:r w:rsidR="00900241" w:rsidRPr="008730BA">
        <w:t>’</w:t>
      </w:r>
      <w:r w:rsidR="00D160AA" w:rsidRPr="008730BA">
        <w:t>assise de la situation à l</w:t>
      </w:r>
      <w:r w:rsidR="00900241" w:rsidRPr="008730BA">
        <w:t>’</w:t>
      </w:r>
      <w:r w:rsidR="00D160AA" w:rsidRPr="008730BA">
        <w:t xml:space="preserve">UPOV (voir le </w:t>
      </w:r>
      <w:r w:rsidR="003D6013" w:rsidRPr="008730BA">
        <w:t>paragraphe</w:t>
      </w:r>
      <w:r w:rsidR="00D30941" w:rsidRPr="008730BA">
        <w:t> </w:t>
      </w:r>
      <w:r w:rsidR="003D6013" w:rsidRPr="008730BA">
        <w:t xml:space="preserve">136 du </w:t>
      </w:r>
      <w:r w:rsidR="00900241" w:rsidRPr="008730BA">
        <w:t>document TC</w:t>
      </w:r>
      <w:r w:rsidR="003D6013" w:rsidRPr="008730BA">
        <w:t xml:space="preserve">/49/41 </w:t>
      </w:r>
      <w:r w:rsidR="00D30941" w:rsidRPr="008730BA">
        <w:t>“</w:t>
      </w:r>
      <w:r w:rsidR="003D6013" w:rsidRPr="008730BA">
        <w:t>Compte rendu des conclusions</w:t>
      </w:r>
      <w:r w:rsidR="00D30941" w:rsidRPr="008730BA">
        <w:t>”</w:t>
      </w:r>
      <w:r w:rsidR="003D6013" w:rsidRPr="008730BA">
        <w:t>).</w:t>
      </w:r>
    </w:p>
    <w:p w:rsidR="001D5E40" w:rsidRPr="008730BA" w:rsidRDefault="001D5E40" w:rsidP="001D5E40"/>
    <w:p w:rsidR="003D6013" w:rsidRPr="008730BA" w:rsidRDefault="000543D3" w:rsidP="001D5E40">
      <w:r w:rsidRPr="008730BA">
        <w:fldChar w:fldCharType="begin"/>
      </w:r>
      <w:r w:rsidR="001D5E40" w:rsidRPr="008730BA">
        <w:instrText xml:space="preserve"> AUTONUM  </w:instrText>
      </w:r>
      <w:r w:rsidRPr="008730BA">
        <w:fldChar w:fldCharType="end"/>
      </w:r>
      <w:r w:rsidR="00F74FDE" w:rsidRPr="008730BA">
        <w:tab/>
      </w:r>
      <w:r w:rsidR="003D6013" w:rsidRPr="008730BA">
        <w:t>À sa quatre</w:t>
      </w:r>
      <w:r w:rsidR="00900241" w:rsidRPr="008730BA">
        <w:t>-</w:t>
      </w:r>
      <w:r w:rsidR="003D6013" w:rsidRPr="008730BA">
        <w:t>vingt</w:t>
      </w:r>
      <w:r w:rsidR="00900241" w:rsidRPr="008730BA">
        <w:t>-</w:t>
      </w:r>
      <w:r w:rsidR="003D6013" w:rsidRPr="008730BA">
        <w:t>sixième</w:t>
      </w:r>
      <w:r w:rsidR="00D30941" w:rsidRPr="008730BA">
        <w:t> </w:t>
      </w:r>
      <w:r w:rsidR="003D6013" w:rsidRPr="008730BA">
        <w:t>session tenue à Genève les 23 et 2</w:t>
      </w:r>
      <w:r w:rsidR="00900241" w:rsidRPr="008730BA">
        <w:t>4 octobre 20</w:t>
      </w:r>
      <w:r w:rsidR="003D6013" w:rsidRPr="008730BA">
        <w:t xml:space="preserve">13, le Comité consultatif a examiné une série de réponses à des questions fréquemment posées. </w:t>
      </w:r>
      <w:r w:rsidR="00F31977" w:rsidRPr="008730BA">
        <w:t xml:space="preserve"> </w:t>
      </w:r>
      <w:r w:rsidR="003D6013" w:rsidRPr="008730BA">
        <w:t>L</w:t>
      </w:r>
      <w:r w:rsidR="00900241" w:rsidRPr="008730BA">
        <w:t>’</w:t>
      </w:r>
      <w:r w:rsidR="003D6013" w:rsidRPr="008730BA">
        <w:t xml:space="preserve">une de ces questions était la suivante : </w:t>
      </w:r>
      <w:r w:rsidR="00D30941" w:rsidRPr="008730BA">
        <w:t>“</w:t>
      </w:r>
      <w:r w:rsidR="003D6013" w:rsidRPr="008730BA">
        <w:t>L</w:t>
      </w:r>
      <w:r w:rsidR="00900241" w:rsidRPr="008730BA">
        <w:t>’</w:t>
      </w:r>
      <w:r w:rsidR="003D6013" w:rsidRPr="008730BA">
        <w:t>UPOV autorise</w:t>
      </w:r>
      <w:r w:rsidR="00900241" w:rsidRPr="008730BA">
        <w:t>-</w:t>
      </w:r>
      <w:r w:rsidR="003D6013" w:rsidRPr="008730BA">
        <w:t>t</w:t>
      </w:r>
      <w:r w:rsidR="00900241" w:rsidRPr="008730BA">
        <w:t>-</w:t>
      </w:r>
      <w:r w:rsidR="003D6013" w:rsidRPr="008730BA">
        <w:t>elle l</w:t>
      </w:r>
      <w:r w:rsidR="00900241" w:rsidRPr="008730BA">
        <w:t>’</w:t>
      </w:r>
      <w:r w:rsidR="003D6013" w:rsidRPr="008730BA">
        <w:t>utilisation de techniques moléculaires (profils d</w:t>
      </w:r>
      <w:r w:rsidR="00900241" w:rsidRPr="008730BA">
        <w:t>’</w:t>
      </w:r>
      <w:r w:rsidR="003D6013" w:rsidRPr="008730BA">
        <w:t>ADN) dans le cadre de l</w:t>
      </w:r>
      <w:r w:rsidR="00900241" w:rsidRPr="008730BA">
        <w:t>’</w:t>
      </w:r>
      <w:r w:rsidR="003D6013" w:rsidRPr="008730BA">
        <w:t>examen</w:t>
      </w:r>
      <w:r w:rsidR="00D30941" w:rsidRPr="008730BA">
        <w:t> </w:t>
      </w:r>
      <w:r w:rsidR="003D6013" w:rsidRPr="008730BA">
        <w:t>DHS?</w:t>
      </w:r>
      <w:r w:rsidR="00F27D7D">
        <w:t xml:space="preserve">”  </w:t>
      </w:r>
      <w:r w:rsidR="00973D17" w:rsidRPr="008730BA">
        <w:t xml:space="preserve">À cet égard, le Comité consultatif est convenu que la réponse à cette question serait élaborée par le Comité technique. </w:t>
      </w:r>
      <w:r w:rsidR="00F31977" w:rsidRPr="008730BA">
        <w:t xml:space="preserve"> </w:t>
      </w:r>
      <w:r w:rsidR="00973D17" w:rsidRPr="008730BA">
        <w:t>Le Comité consultatif est convenu d</w:t>
      </w:r>
      <w:r w:rsidR="00900241" w:rsidRPr="008730BA">
        <w:t>’</w:t>
      </w:r>
      <w:r w:rsidR="00973D17" w:rsidRPr="008730BA">
        <w:t>examiner les projets de réponses à cette question et d</w:t>
      </w:r>
      <w:r w:rsidR="00900241" w:rsidRPr="008730BA">
        <w:t>’</w:t>
      </w:r>
      <w:r w:rsidR="00973D17" w:rsidRPr="008730BA">
        <w:t>autres questions fréquemment posées lors de sa quatre</w:t>
      </w:r>
      <w:r w:rsidR="00900241" w:rsidRPr="008730BA">
        <w:t>-</w:t>
      </w:r>
      <w:r w:rsidR="00973D17" w:rsidRPr="008730BA">
        <w:t>vingt</w:t>
      </w:r>
      <w:r w:rsidR="00900241" w:rsidRPr="008730BA">
        <w:t>-</w:t>
      </w:r>
      <w:r w:rsidR="00973D17" w:rsidRPr="008730BA">
        <w:t>septième</w:t>
      </w:r>
      <w:r w:rsidR="00D30941" w:rsidRPr="008730BA">
        <w:t> </w:t>
      </w:r>
      <w:r w:rsidR="00973D17" w:rsidRPr="008730BA">
        <w:t>session prévue le 1</w:t>
      </w:r>
      <w:r w:rsidR="00900241" w:rsidRPr="008730BA">
        <w:t>1 avril 20</w:t>
      </w:r>
      <w:r w:rsidR="00973D17" w:rsidRPr="008730BA">
        <w:t>14 à Genève.</w:t>
      </w:r>
    </w:p>
    <w:p w:rsidR="001D5E40" w:rsidRPr="008730BA" w:rsidRDefault="001D5E40" w:rsidP="001D5E40"/>
    <w:p w:rsidR="006E737F" w:rsidRPr="008730BA" w:rsidRDefault="006E737F" w:rsidP="001D5E40"/>
    <w:p w:rsidR="001D5E40" w:rsidRPr="008730BA" w:rsidRDefault="007E7B95" w:rsidP="001D5E40">
      <w:pPr>
        <w:rPr>
          <w:u w:val="single"/>
        </w:rPr>
      </w:pPr>
      <w:r w:rsidRPr="008730BA">
        <w:rPr>
          <w:u w:val="single"/>
        </w:rPr>
        <w:lastRenderedPageBreak/>
        <w:t>Proposition</w:t>
      </w:r>
    </w:p>
    <w:p w:rsidR="001D5E40" w:rsidRPr="008730BA" w:rsidRDefault="001D5E40" w:rsidP="001D5E40"/>
    <w:p w:rsidR="00973D17" w:rsidRPr="00AF7425" w:rsidRDefault="000543D3" w:rsidP="001D5E40">
      <w:pPr>
        <w:rPr>
          <w:spacing w:val="-2"/>
        </w:rPr>
      </w:pPr>
      <w:r w:rsidRPr="00AF7425">
        <w:rPr>
          <w:spacing w:val="-2"/>
        </w:rPr>
        <w:fldChar w:fldCharType="begin"/>
      </w:r>
      <w:r w:rsidR="001D5E40" w:rsidRPr="00AF7425">
        <w:rPr>
          <w:spacing w:val="-2"/>
        </w:rPr>
        <w:instrText xml:space="preserve"> AUTONUM  </w:instrText>
      </w:r>
      <w:r w:rsidRPr="00AF7425">
        <w:rPr>
          <w:spacing w:val="-2"/>
        </w:rPr>
        <w:fldChar w:fldCharType="end"/>
      </w:r>
      <w:r w:rsidR="00F74FDE" w:rsidRPr="00AF7425">
        <w:rPr>
          <w:spacing w:val="-2"/>
        </w:rPr>
        <w:tab/>
      </w:r>
      <w:r w:rsidR="00973D17" w:rsidRPr="00AF7425">
        <w:rPr>
          <w:spacing w:val="-2"/>
        </w:rPr>
        <w:t xml:space="preserve">À sa réunion tenue à Genève les 8 et </w:t>
      </w:r>
      <w:r w:rsidR="00900241" w:rsidRPr="00AF7425">
        <w:rPr>
          <w:spacing w:val="-2"/>
        </w:rPr>
        <w:t>9 janvier </w:t>
      </w:r>
      <w:r w:rsidR="00900241" w:rsidRPr="00AF7425">
        <w:rPr>
          <w:spacing w:val="-2"/>
          <w:lang w:eastAsia="ja-JP"/>
        </w:rPr>
        <w:t>20</w:t>
      </w:r>
      <w:r w:rsidR="00477345" w:rsidRPr="00AF7425">
        <w:rPr>
          <w:spacing w:val="-2"/>
          <w:lang w:eastAsia="ja-JP"/>
        </w:rPr>
        <w:t>14,</w:t>
      </w:r>
      <w:r w:rsidR="00477345" w:rsidRPr="00AF7425">
        <w:rPr>
          <w:color w:val="000000"/>
          <w:spacing w:val="-2"/>
        </w:rPr>
        <w:t xml:space="preserve"> </w:t>
      </w:r>
      <w:r w:rsidR="00973D17" w:rsidRPr="00AF7425">
        <w:rPr>
          <w:color w:val="000000"/>
          <w:spacing w:val="-2"/>
        </w:rPr>
        <w:t>le</w:t>
      </w:r>
      <w:r w:rsidR="00F27D7D" w:rsidRPr="00AF7425">
        <w:rPr>
          <w:color w:val="000000"/>
          <w:spacing w:val="-2"/>
        </w:rPr>
        <w:t> TC</w:t>
      </w:r>
      <w:r w:rsidR="00F27D7D" w:rsidRPr="00AF7425">
        <w:rPr>
          <w:color w:val="000000"/>
          <w:spacing w:val="-2"/>
        </w:rPr>
        <w:noBreakHyphen/>
      </w:r>
      <w:r w:rsidR="00900241" w:rsidRPr="00AF7425">
        <w:rPr>
          <w:color w:val="000000"/>
          <w:spacing w:val="-2"/>
        </w:rPr>
        <w:t>EDC</w:t>
      </w:r>
      <w:r w:rsidR="00973D17" w:rsidRPr="00AF7425">
        <w:rPr>
          <w:color w:val="000000"/>
          <w:spacing w:val="-2"/>
        </w:rPr>
        <w:t xml:space="preserve"> a examiné le </w:t>
      </w:r>
      <w:r w:rsidR="00900241" w:rsidRPr="00AF7425">
        <w:rPr>
          <w:spacing w:val="-2"/>
        </w:rPr>
        <w:t>document TC</w:t>
      </w:r>
      <w:r w:rsidR="00F27D7D" w:rsidRPr="00AF7425">
        <w:rPr>
          <w:spacing w:val="-2"/>
        </w:rPr>
        <w:noBreakHyphen/>
      </w:r>
      <w:r w:rsidR="00900241" w:rsidRPr="00AF7425">
        <w:rPr>
          <w:spacing w:val="-2"/>
        </w:rPr>
        <w:t>EDC</w:t>
      </w:r>
      <w:r w:rsidR="00973D17" w:rsidRPr="00AF7425">
        <w:rPr>
          <w:spacing w:val="-2"/>
        </w:rPr>
        <w:t xml:space="preserve">/Jan14/24 </w:t>
      </w:r>
      <w:r w:rsidR="00D30941" w:rsidRPr="00AF7425">
        <w:rPr>
          <w:spacing w:val="-2"/>
        </w:rPr>
        <w:t>“</w:t>
      </w:r>
      <w:r w:rsidR="00477345" w:rsidRPr="00AF7425">
        <w:rPr>
          <w:spacing w:val="-2"/>
        </w:rPr>
        <w:t>Molecular Techniques</w:t>
      </w:r>
      <w:r w:rsidR="00D30941" w:rsidRPr="00AF7425">
        <w:rPr>
          <w:spacing w:val="-2"/>
        </w:rPr>
        <w:t>”</w:t>
      </w:r>
      <w:r w:rsidR="00973D17" w:rsidRPr="00AF7425">
        <w:rPr>
          <w:spacing w:val="-2"/>
        </w:rPr>
        <w:t xml:space="preserve"> et proposé le texte suivant pour fournir des informations sur la</w:t>
      </w:r>
      <w:r w:rsidR="0016382E" w:rsidRPr="00AF7425">
        <w:rPr>
          <w:spacing w:val="-2"/>
        </w:rPr>
        <w:t xml:space="preserve"> </w:t>
      </w:r>
      <w:r w:rsidR="00973D17" w:rsidRPr="00AF7425">
        <w:rPr>
          <w:spacing w:val="-2"/>
        </w:rPr>
        <w:t>situation à l</w:t>
      </w:r>
      <w:r w:rsidR="00900241" w:rsidRPr="00AF7425">
        <w:rPr>
          <w:spacing w:val="-2"/>
        </w:rPr>
        <w:t>’</w:t>
      </w:r>
      <w:r w:rsidR="00973D17" w:rsidRPr="00AF7425">
        <w:rPr>
          <w:spacing w:val="-2"/>
        </w:rPr>
        <w:t>UPOV concernant l</w:t>
      </w:r>
      <w:r w:rsidR="00900241" w:rsidRPr="00AF7425">
        <w:rPr>
          <w:spacing w:val="-2"/>
        </w:rPr>
        <w:t>’</w:t>
      </w:r>
      <w:r w:rsidR="00973D17" w:rsidRPr="00AF7425">
        <w:rPr>
          <w:spacing w:val="-2"/>
        </w:rPr>
        <w:t xml:space="preserve">utilisation de techniques moléculaires (le texte surligné est repris des documents TGP/15 </w:t>
      </w:r>
      <w:r w:rsidR="00D30941" w:rsidRPr="00AF7425">
        <w:rPr>
          <w:spacing w:val="-2"/>
        </w:rPr>
        <w:t>“</w:t>
      </w:r>
      <w:r w:rsidR="00973D17" w:rsidRPr="00AF7425">
        <w:rPr>
          <w:spacing w:val="-2"/>
        </w:rPr>
        <w:t>Conseils en ce qui concerne l</w:t>
      </w:r>
      <w:r w:rsidR="00900241" w:rsidRPr="00AF7425">
        <w:rPr>
          <w:spacing w:val="-2"/>
        </w:rPr>
        <w:t>’</w:t>
      </w:r>
      <w:r w:rsidR="00973D17" w:rsidRPr="00AF7425">
        <w:rPr>
          <w:spacing w:val="-2"/>
        </w:rPr>
        <w:t xml:space="preserve">utilisation des marqueurs </w:t>
      </w:r>
      <w:r w:rsidR="009F6DCD" w:rsidRPr="00AF7425">
        <w:rPr>
          <w:spacing w:val="-2"/>
        </w:rPr>
        <w:t>biochimiques et moléculaires dans l</w:t>
      </w:r>
      <w:r w:rsidR="00900241" w:rsidRPr="00AF7425">
        <w:rPr>
          <w:spacing w:val="-2"/>
        </w:rPr>
        <w:t>’</w:t>
      </w:r>
      <w:r w:rsidR="009F6DCD" w:rsidRPr="00AF7425">
        <w:rPr>
          <w:spacing w:val="-2"/>
        </w:rPr>
        <w:t>examen de la distinction, de l</w:t>
      </w:r>
      <w:r w:rsidR="00900241" w:rsidRPr="00AF7425">
        <w:rPr>
          <w:spacing w:val="-2"/>
        </w:rPr>
        <w:t>’</w:t>
      </w:r>
      <w:r w:rsidR="009F6DCD" w:rsidRPr="00AF7425">
        <w:rPr>
          <w:spacing w:val="-2"/>
        </w:rPr>
        <w:t>homogénéité et de la stabilité (DHS)</w:t>
      </w:r>
      <w:r w:rsidR="00D30941" w:rsidRPr="00AF7425">
        <w:rPr>
          <w:spacing w:val="-2"/>
        </w:rPr>
        <w:t>”</w:t>
      </w:r>
      <w:r w:rsidR="009F6DCD" w:rsidRPr="00AF7425">
        <w:rPr>
          <w:spacing w:val="-2"/>
        </w:rPr>
        <w:t xml:space="preserve"> et UPOV/INF/18 </w:t>
      </w:r>
      <w:r w:rsidR="00D30941" w:rsidRPr="00AF7425">
        <w:rPr>
          <w:spacing w:val="-2"/>
        </w:rPr>
        <w:t>“</w:t>
      </w:r>
      <w:r w:rsidR="009F6DCD" w:rsidRPr="00AF7425">
        <w:rPr>
          <w:spacing w:val="-2"/>
        </w:rPr>
        <w:t>Utilisation possible des marqueurs moléculaires dans l</w:t>
      </w:r>
      <w:r w:rsidR="00900241" w:rsidRPr="00AF7425">
        <w:rPr>
          <w:spacing w:val="-2"/>
        </w:rPr>
        <w:t>’</w:t>
      </w:r>
      <w:r w:rsidR="009F6DCD" w:rsidRPr="00AF7425">
        <w:rPr>
          <w:spacing w:val="-2"/>
        </w:rPr>
        <w:t>examen de la distinction, de l</w:t>
      </w:r>
      <w:r w:rsidR="00900241" w:rsidRPr="00AF7425">
        <w:rPr>
          <w:spacing w:val="-2"/>
        </w:rPr>
        <w:t>’</w:t>
      </w:r>
      <w:r w:rsidR="009F6DCD" w:rsidRPr="00AF7425">
        <w:rPr>
          <w:spacing w:val="-2"/>
        </w:rPr>
        <w:t>homogénéité et de la stabilité (DHS)</w:t>
      </w:r>
      <w:r w:rsidR="00D30941" w:rsidRPr="00AF7425">
        <w:rPr>
          <w:spacing w:val="-2"/>
        </w:rPr>
        <w:t>”</w:t>
      </w:r>
      <w:r w:rsidR="00DB18CB" w:rsidRPr="00AF7425">
        <w:rPr>
          <w:spacing w:val="-2"/>
        </w:rPr>
        <w:t>.</w:t>
      </w:r>
    </w:p>
    <w:p w:rsidR="003D6C70" w:rsidRPr="008730BA" w:rsidRDefault="003D6C70" w:rsidP="00477345">
      <w:pPr>
        <w:rPr>
          <w:rFonts w:cs="Arial"/>
        </w:rPr>
      </w:pPr>
    </w:p>
    <w:p w:rsidR="00477345" w:rsidRPr="008730BA" w:rsidRDefault="00C155CE" w:rsidP="00477345">
      <w:pPr>
        <w:ind w:left="567" w:right="567"/>
      </w:pPr>
      <w:r w:rsidRPr="00C155CE">
        <w:rPr>
          <w:rFonts w:cs="Arial"/>
          <w:color w:val="000000"/>
          <w:szCs w:val="22"/>
        </w:rPr>
        <w:t>“</w:t>
      </w:r>
      <w:r w:rsidR="00477345" w:rsidRPr="008730BA">
        <w:rPr>
          <w:rFonts w:cs="Arial"/>
        </w:rPr>
        <w:t>Question</w:t>
      </w:r>
      <w:r w:rsidR="00D30941" w:rsidRPr="008730BA">
        <w:rPr>
          <w:rFonts w:cs="Arial"/>
        </w:rPr>
        <w:t> :</w:t>
      </w:r>
      <w:r w:rsidR="00477345" w:rsidRPr="008730BA">
        <w:rPr>
          <w:rFonts w:cs="Arial"/>
        </w:rPr>
        <w:t xml:space="preserve"> </w:t>
      </w:r>
      <w:r w:rsidR="009F6DCD" w:rsidRPr="008730BA">
        <w:t>L</w:t>
      </w:r>
      <w:r w:rsidR="00900241" w:rsidRPr="008730BA">
        <w:t>’</w:t>
      </w:r>
      <w:r w:rsidR="009F6DCD" w:rsidRPr="008730BA">
        <w:t>UPOV autorise</w:t>
      </w:r>
      <w:r w:rsidR="00900241" w:rsidRPr="008730BA">
        <w:t>-</w:t>
      </w:r>
      <w:r w:rsidR="009F6DCD" w:rsidRPr="008730BA">
        <w:t>t</w:t>
      </w:r>
      <w:r w:rsidR="00900241" w:rsidRPr="008730BA">
        <w:t>-</w:t>
      </w:r>
      <w:r w:rsidR="009F6DCD" w:rsidRPr="008730BA">
        <w:t>elle l</w:t>
      </w:r>
      <w:r w:rsidR="00900241" w:rsidRPr="008730BA">
        <w:t>’</w:t>
      </w:r>
      <w:r w:rsidR="009F6DCD" w:rsidRPr="008730BA">
        <w:t>utilisation de techniques moléculaires (profils d</w:t>
      </w:r>
      <w:r w:rsidR="00900241" w:rsidRPr="008730BA">
        <w:t>’</w:t>
      </w:r>
      <w:r w:rsidR="009F6DCD" w:rsidRPr="008730BA">
        <w:t>ADN) dans le cadre de l</w:t>
      </w:r>
      <w:r w:rsidR="00900241" w:rsidRPr="008730BA">
        <w:t>’</w:t>
      </w:r>
      <w:r w:rsidR="009F6DCD" w:rsidRPr="008730BA">
        <w:t>examen</w:t>
      </w:r>
      <w:r w:rsidR="00D30941" w:rsidRPr="008730BA">
        <w:t> </w:t>
      </w:r>
      <w:r w:rsidR="009F6DCD" w:rsidRPr="008730BA">
        <w:t>DHS?</w:t>
      </w:r>
    </w:p>
    <w:p w:rsidR="00477345" w:rsidRPr="008730BA" w:rsidRDefault="00477345" w:rsidP="00477345">
      <w:pPr>
        <w:ind w:left="567" w:right="567"/>
      </w:pPr>
    </w:p>
    <w:p w:rsidR="009F6DCD" w:rsidRPr="008730BA" w:rsidRDefault="00C155CE" w:rsidP="00477345">
      <w:pPr>
        <w:ind w:left="567" w:right="567"/>
      </w:pPr>
      <w:r w:rsidRPr="003A6DF9">
        <w:rPr>
          <w:color w:val="000000"/>
          <w:szCs w:val="22"/>
        </w:rPr>
        <w:t>“</w:t>
      </w:r>
      <w:r w:rsidR="009F6DCD" w:rsidRPr="008730BA">
        <w:t>Réponse</w:t>
      </w:r>
      <w:r w:rsidR="00D30941" w:rsidRPr="008730BA">
        <w:t> :</w:t>
      </w:r>
      <w:r w:rsidR="00477345" w:rsidRPr="008730BA">
        <w:t xml:space="preserve"> </w:t>
      </w:r>
      <w:r w:rsidR="009F6DCD" w:rsidRPr="008730BA">
        <w:t xml:space="preserve">Il importe de noter que, dans certains cas, des variétés peuvent présenter un </w:t>
      </w:r>
      <w:r w:rsidR="00420752" w:rsidRPr="008730BA">
        <w:t>profil</w:t>
      </w:r>
      <w:r w:rsidR="009F6DCD" w:rsidRPr="008730BA">
        <w:t xml:space="preserve"> d</w:t>
      </w:r>
      <w:r w:rsidR="00900241" w:rsidRPr="008730BA">
        <w:t>’</w:t>
      </w:r>
      <w:r w:rsidR="009F6DCD" w:rsidRPr="008730BA">
        <w:t>ADN différent mais être identiques du point de vue morphologique</w:t>
      </w:r>
      <w:r w:rsidR="00D30941" w:rsidRPr="008730BA">
        <w:t xml:space="preserve">; </w:t>
      </w:r>
      <w:r w:rsidR="009F6DCD" w:rsidRPr="008730BA">
        <w:t xml:space="preserve"> dans d</w:t>
      </w:r>
      <w:r w:rsidR="00900241" w:rsidRPr="008730BA">
        <w:t>’</w:t>
      </w:r>
      <w:r w:rsidR="009F6DCD" w:rsidRPr="008730BA">
        <w:t>autres cas, en</w:t>
      </w:r>
      <w:r w:rsidR="00F27D7D">
        <w:t> </w:t>
      </w:r>
      <w:r w:rsidR="009F6DCD" w:rsidRPr="008730BA">
        <w:t>revanche, des variétés ayant une grande distance phénotypique peuvent présenter le même profil d</w:t>
      </w:r>
      <w:r w:rsidR="00900241" w:rsidRPr="008730BA">
        <w:t>’</w:t>
      </w:r>
      <w:r w:rsidR="009F6DCD" w:rsidRPr="008730BA">
        <w:t>ADN pour un ensemble particulier de marqueurs moléculaires (cas de certaines mutations, par exemple).</w:t>
      </w:r>
    </w:p>
    <w:p w:rsidR="00477345" w:rsidRPr="008730BA" w:rsidRDefault="00477345" w:rsidP="00477345">
      <w:pPr>
        <w:ind w:left="567" w:right="567"/>
        <w:rPr>
          <w:snapToGrid w:val="0"/>
        </w:rPr>
      </w:pPr>
    </w:p>
    <w:p w:rsidR="009F6DCD" w:rsidRPr="008730BA" w:rsidRDefault="00D30941" w:rsidP="00477345">
      <w:pPr>
        <w:ind w:left="567" w:right="567"/>
        <w:rPr>
          <w:snapToGrid w:val="0"/>
        </w:rPr>
      </w:pPr>
      <w:r w:rsidRPr="008730BA">
        <w:rPr>
          <w:snapToGrid w:val="0"/>
        </w:rPr>
        <w:t>“</w:t>
      </w:r>
      <w:r w:rsidR="009F6DCD" w:rsidRPr="008730BA">
        <w:rPr>
          <w:snapToGrid w:val="0"/>
        </w:rPr>
        <w:t>S</w:t>
      </w:r>
      <w:r w:rsidR="00900241" w:rsidRPr="008730BA">
        <w:rPr>
          <w:snapToGrid w:val="0"/>
        </w:rPr>
        <w:t>’</w:t>
      </w:r>
      <w:r w:rsidR="009F6DCD" w:rsidRPr="008730BA">
        <w:rPr>
          <w:snapToGrid w:val="0"/>
        </w:rPr>
        <w:t xml:space="preserve">agissant de </w:t>
      </w:r>
      <w:r w:rsidR="009F6DCD" w:rsidRPr="008730BA">
        <w:rPr>
          <w:snapToGrid w:val="0"/>
          <w:highlight w:val="lightGray"/>
        </w:rPr>
        <w:t>l</w:t>
      </w:r>
      <w:r w:rsidR="00900241" w:rsidRPr="008730BA">
        <w:rPr>
          <w:snapToGrid w:val="0"/>
          <w:highlight w:val="lightGray"/>
        </w:rPr>
        <w:t>’</w:t>
      </w:r>
      <w:r w:rsidR="009F6DCD" w:rsidRPr="008730BA">
        <w:rPr>
          <w:snapToGrid w:val="0"/>
          <w:highlight w:val="lightGray"/>
        </w:rPr>
        <w:t>utilisation de marqueurs moléculaires</w:t>
      </w:r>
      <w:r w:rsidR="009F6DCD" w:rsidRPr="008730BA">
        <w:rPr>
          <w:snapToGrid w:val="0"/>
        </w:rPr>
        <w:t xml:space="preserve"> qui n</w:t>
      </w:r>
      <w:r w:rsidR="00900241" w:rsidRPr="008730BA">
        <w:rPr>
          <w:snapToGrid w:val="0"/>
        </w:rPr>
        <w:t>’</w:t>
      </w:r>
      <w:r w:rsidR="009F6DCD" w:rsidRPr="008730BA">
        <w:rPr>
          <w:snapToGrid w:val="0"/>
        </w:rPr>
        <w:t xml:space="preserve">ont pas de rapport aux distances phénotypiques, le </w:t>
      </w:r>
      <w:r w:rsidR="009F6DCD" w:rsidRPr="008730BA">
        <w:rPr>
          <w:snapToGrid w:val="0"/>
          <w:highlight w:val="lightGray"/>
        </w:rPr>
        <w:t>problème</w:t>
      </w:r>
      <w:r w:rsidR="009F6DCD" w:rsidRPr="008730BA">
        <w:rPr>
          <w:snapToGrid w:val="0"/>
        </w:rPr>
        <w:t xml:space="preserve"> est qu</w:t>
      </w:r>
      <w:r w:rsidR="00900241" w:rsidRPr="008730BA">
        <w:rPr>
          <w:snapToGrid w:val="0"/>
        </w:rPr>
        <w:t>’</w:t>
      </w:r>
      <w:r w:rsidR="009F6DCD" w:rsidRPr="008730BA">
        <w:rPr>
          <w:snapToGrid w:val="0"/>
          <w:highlight w:val="lightGray"/>
        </w:rPr>
        <w:t>il peut s</w:t>
      </w:r>
      <w:r w:rsidR="00900241" w:rsidRPr="008730BA">
        <w:rPr>
          <w:snapToGrid w:val="0"/>
          <w:highlight w:val="lightGray"/>
        </w:rPr>
        <w:t>’</w:t>
      </w:r>
      <w:r w:rsidR="009F6DCD" w:rsidRPr="008730BA">
        <w:rPr>
          <w:snapToGrid w:val="0"/>
          <w:highlight w:val="lightGray"/>
        </w:rPr>
        <w:t>avérer possible d</w:t>
      </w:r>
      <w:r w:rsidR="00900241" w:rsidRPr="008730BA">
        <w:rPr>
          <w:snapToGrid w:val="0"/>
          <w:highlight w:val="lightGray"/>
        </w:rPr>
        <w:t>’</w:t>
      </w:r>
      <w:r w:rsidR="009F6DCD" w:rsidRPr="008730BA">
        <w:rPr>
          <w:snapToGrid w:val="0"/>
          <w:highlight w:val="lightGray"/>
        </w:rPr>
        <w:t>utiliser un nombre illimité de marqueurs pour trouver des différences entre les variétés</w:t>
      </w:r>
      <w:r w:rsidR="00610081" w:rsidRPr="008730BA">
        <w:rPr>
          <w:snapToGrid w:val="0"/>
        </w:rPr>
        <w:t xml:space="preserve">. </w:t>
      </w:r>
      <w:r w:rsidR="00F31977" w:rsidRPr="008730BA">
        <w:rPr>
          <w:snapToGrid w:val="0"/>
        </w:rPr>
        <w:t xml:space="preserve"> </w:t>
      </w:r>
      <w:r w:rsidR="00610081" w:rsidRPr="008730BA">
        <w:rPr>
          <w:snapToGrid w:val="0"/>
        </w:rPr>
        <w:t xml:space="preserve">En particulier, des </w:t>
      </w:r>
      <w:r w:rsidR="00610081" w:rsidRPr="008730BA">
        <w:rPr>
          <w:snapToGrid w:val="0"/>
          <w:highlight w:val="lightGray"/>
        </w:rPr>
        <w:t>différences</w:t>
      </w:r>
      <w:r w:rsidR="00610081" w:rsidRPr="008730BA">
        <w:rPr>
          <w:snapToGrid w:val="0"/>
        </w:rPr>
        <w:t xml:space="preserve"> </w:t>
      </w:r>
      <w:r w:rsidR="00610081" w:rsidRPr="008730BA">
        <w:rPr>
          <w:snapToGrid w:val="0"/>
          <w:highlight w:val="lightGray"/>
        </w:rPr>
        <w:t>établies au niveau génétique</w:t>
      </w:r>
      <w:r w:rsidR="00610081" w:rsidRPr="008730BA">
        <w:rPr>
          <w:snapToGrid w:val="0"/>
        </w:rPr>
        <w:t xml:space="preserve"> peuvent </w:t>
      </w:r>
      <w:r w:rsidR="00610081" w:rsidRPr="008730BA">
        <w:rPr>
          <w:snapToGrid w:val="0"/>
          <w:highlight w:val="lightGray"/>
        </w:rPr>
        <w:t>ne pas apparaître dans les caractères morphologiques</w:t>
      </w:r>
      <w:r w:rsidR="00610081" w:rsidRPr="008730BA">
        <w:rPr>
          <w:snapToGrid w:val="0"/>
        </w:rPr>
        <w:t>.</w:t>
      </w:r>
    </w:p>
    <w:p w:rsidR="00477345" w:rsidRPr="008730BA" w:rsidRDefault="00477345" w:rsidP="00477345">
      <w:pPr>
        <w:ind w:left="567" w:right="567"/>
        <w:rPr>
          <w:snapToGrid w:val="0"/>
        </w:rPr>
      </w:pPr>
    </w:p>
    <w:p w:rsidR="00900241" w:rsidRPr="008730BA" w:rsidRDefault="00D30941" w:rsidP="00477345">
      <w:pPr>
        <w:ind w:left="567" w:right="567"/>
        <w:rPr>
          <w:snapToGrid w:val="0"/>
        </w:rPr>
      </w:pPr>
      <w:r w:rsidRPr="008730BA">
        <w:rPr>
          <w:snapToGrid w:val="0"/>
        </w:rPr>
        <w:t>“</w:t>
      </w:r>
      <w:r w:rsidR="00610081" w:rsidRPr="008730BA">
        <w:rPr>
          <w:snapToGrid w:val="0"/>
        </w:rPr>
        <w:t>Sur cette base, l</w:t>
      </w:r>
      <w:r w:rsidR="00900241" w:rsidRPr="008730BA">
        <w:rPr>
          <w:snapToGrid w:val="0"/>
        </w:rPr>
        <w:t>’</w:t>
      </w:r>
      <w:r w:rsidR="00610081" w:rsidRPr="008730BA">
        <w:rPr>
          <w:snapToGrid w:val="0"/>
        </w:rPr>
        <w:t>UPOV est convenue des utilisations suivantes de marqueurs moléculaires dans le cadre de l</w:t>
      </w:r>
      <w:r w:rsidR="00900241" w:rsidRPr="008730BA">
        <w:rPr>
          <w:snapToGrid w:val="0"/>
        </w:rPr>
        <w:t>’</w:t>
      </w:r>
      <w:r w:rsidR="00610081" w:rsidRPr="008730BA">
        <w:rPr>
          <w:snapToGrid w:val="0"/>
        </w:rPr>
        <w:t>examen</w:t>
      </w:r>
      <w:r w:rsidRPr="008730BA">
        <w:rPr>
          <w:snapToGrid w:val="0"/>
        </w:rPr>
        <w:t> </w:t>
      </w:r>
      <w:r w:rsidR="00610081" w:rsidRPr="008730BA">
        <w:rPr>
          <w:snapToGrid w:val="0"/>
        </w:rPr>
        <w:t>DHS</w:t>
      </w:r>
      <w:r w:rsidRPr="008730BA">
        <w:rPr>
          <w:snapToGrid w:val="0"/>
        </w:rPr>
        <w:t> </w:t>
      </w:r>
      <w:r w:rsidR="00610081" w:rsidRPr="008730BA">
        <w:rPr>
          <w:snapToGrid w:val="0"/>
        </w:rPr>
        <w:t>:</w:t>
      </w:r>
    </w:p>
    <w:p w:rsidR="00477345" w:rsidRPr="008730BA" w:rsidRDefault="00477345" w:rsidP="00477345">
      <w:pPr>
        <w:ind w:left="567" w:right="567"/>
        <w:rPr>
          <w:snapToGrid w:val="0"/>
        </w:rPr>
      </w:pPr>
    </w:p>
    <w:p w:rsidR="00610081" w:rsidRPr="008730BA" w:rsidRDefault="00D30941" w:rsidP="00477345">
      <w:pPr>
        <w:ind w:left="567" w:right="567"/>
        <w:rPr>
          <w:snapToGrid w:val="0"/>
        </w:rPr>
      </w:pPr>
      <w:r w:rsidRPr="008730BA">
        <w:rPr>
          <w:snapToGrid w:val="0"/>
        </w:rPr>
        <w:t>“</w:t>
      </w:r>
      <w:r w:rsidR="00C155CE">
        <w:rPr>
          <w:snapToGrid w:val="0"/>
        </w:rPr>
        <w:t>a)</w:t>
      </w:r>
      <w:r w:rsidR="00C155CE">
        <w:rPr>
          <w:snapToGrid w:val="0"/>
        </w:rPr>
        <w:tab/>
      </w:r>
      <w:r w:rsidR="00610081" w:rsidRPr="008730BA">
        <w:rPr>
          <w:highlight w:val="lightGray"/>
        </w:rPr>
        <w:t>Les marqueurs moléculaires peuvent être utilisés pour examiner les caractères DHS qui répondent aux critères des caractères tels qu</w:t>
      </w:r>
      <w:r w:rsidR="00900241" w:rsidRPr="008730BA">
        <w:rPr>
          <w:highlight w:val="lightGray"/>
        </w:rPr>
        <w:t>’</w:t>
      </w:r>
      <w:r w:rsidR="00610081" w:rsidRPr="008730BA">
        <w:rPr>
          <w:highlight w:val="lightGray"/>
        </w:rPr>
        <w:t>ils sont indiqués dans l</w:t>
      </w:r>
      <w:r w:rsidR="00900241" w:rsidRPr="008730BA">
        <w:rPr>
          <w:highlight w:val="lightGray"/>
        </w:rPr>
        <w:t>’</w:t>
      </w:r>
      <w:r w:rsidR="00610081" w:rsidRPr="008730BA">
        <w:rPr>
          <w:highlight w:val="lightGray"/>
        </w:rPr>
        <w:t>Introduction générale</w:t>
      </w:r>
      <w:r w:rsidR="00610081" w:rsidRPr="008730BA">
        <w:t xml:space="preserve"> à condition qu</w:t>
      </w:r>
      <w:r w:rsidR="00900241" w:rsidRPr="008730BA">
        <w:t>’</w:t>
      </w:r>
      <w:r w:rsidR="00610081" w:rsidRPr="008730BA">
        <w:t xml:space="preserve">il existe une </w:t>
      </w:r>
      <w:r w:rsidR="00610081" w:rsidRPr="008730BA">
        <w:rPr>
          <w:highlight w:val="lightGray"/>
        </w:rPr>
        <w:t>corrélation</w:t>
      </w:r>
      <w:r w:rsidR="00610081" w:rsidRPr="008730BA">
        <w:t xml:space="preserve"> fiable </w:t>
      </w:r>
      <w:r w:rsidR="00610081" w:rsidRPr="008730BA">
        <w:rPr>
          <w:highlight w:val="lightGray"/>
        </w:rPr>
        <w:t>entre le marqueur et le caractère</w:t>
      </w:r>
      <w:r w:rsidR="00610081" w:rsidRPr="008730BA">
        <w:t>.</w:t>
      </w:r>
    </w:p>
    <w:p w:rsidR="00477345" w:rsidRPr="008730BA" w:rsidRDefault="00477345" w:rsidP="00477345">
      <w:pPr>
        <w:ind w:left="567" w:right="567"/>
        <w:rPr>
          <w:snapToGrid w:val="0"/>
        </w:rPr>
      </w:pPr>
    </w:p>
    <w:p w:rsidR="00610081" w:rsidRPr="008730BA" w:rsidRDefault="00D30941" w:rsidP="00477345">
      <w:pPr>
        <w:ind w:left="567" w:right="567"/>
        <w:rPr>
          <w:snapToGrid w:val="0"/>
        </w:rPr>
      </w:pPr>
      <w:r w:rsidRPr="008730BA">
        <w:rPr>
          <w:snapToGrid w:val="0"/>
        </w:rPr>
        <w:t>“</w:t>
      </w:r>
      <w:r w:rsidR="00477345" w:rsidRPr="008730BA">
        <w:rPr>
          <w:snapToGrid w:val="0"/>
        </w:rPr>
        <w:t>b)</w:t>
      </w:r>
      <w:r w:rsidR="00C155CE">
        <w:rPr>
          <w:snapToGrid w:val="0"/>
        </w:rPr>
        <w:tab/>
      </w:r>
      <w:r w:rsidR="00610081" w:rsidRPr="008730BA">
        <w:rPr>
          <w:highlight w:val="lightGray"/>
        </w:rPr>
        <w:t>Une combinaison de distances phénotypiques et molécu</w:t>
      </w:r>
      <w:r w:rsidR="00714B1A">
        <w:rPr>
          <w:highlight w:val="lightGray"/>
        </w:rPr>
        <w:t xml:space="preserve">laires peut être utilisée pour </w:t>
      </w:r>
      <w:r w:rsidR="00610081" w:rsidRPr="008730BA">
        <w:rPr>
          <w:highlight w:val="lightGray"/>
        </w:rPr>
        <w:t>améliorer la sélection des variétés</w:t>
      </w:r>
      <w:r w:rsidR="00610081" w:rsidRPr="008730BA">
        <w:t xml:space="preserve"> qu</w:t>
      </w:r>
      <w:r w:rsidR="00900241" w:rsidRPr="008730BA">
        <w:t>’</w:t>
      </w:r>
      <w:r w:rsidR="00610081" w:rsidRPr="008730BA">
        <w:t>il y a lieu de comparer dans le cadre de l</w:t>
      </w:r>
      <w:r w:rsidR="00900241" w:rsidRPr="008730BA">
        <w:t>’</w:t>
      </w:r>
      <w:r w:rsidR="00610081" w:rsidRPr="008730BA">
        <w:t xml:space="preserve">essai en culture </w:t>
      </w:r>
      <w:r w:rsidR="00610081" w:rsidRPr="008730BA">
        <w:rPr>
          <w:highlight w:val="lightGray"/>
        </w:rPr>
        <w:t>si les distances moléculaires sont suffisamment liées aux différences phénotypiques</w:t>
      </w:r>
      <w:r w:rsidR="00610081" w:rsidRPr="008730BA">
        <w:t xml:space="preserve">, et si </w:t>
      </w:r>
      <w:r w:rsidR="00610081" w:rsidRPr="008730BA">
        <w:rPr>
          <w:highlight w:val="lightGray"/>
        </w:rPr>
        <w:t>la méthode ne crée pas un risque accru de ne pas sélectionner une variété figurant dans la collection de variétés qu</w:t>
      </w:r>
      <w:r w:rsidR="00900241" w:rsidRPr="008730BA">
        <w:rPr>
          <w:highlight w:val="lightGray"/>
        </w:rPr>
        <w:t>’</w:t>
      </w:r>
      <w:r w:rsidR="00610081" w:rsidRPr="008730BA">
        <w:rPr>
          <w:highlight w:val="lightGray"/>
        </w:rPr>
        <w:t>il faut comparer aux variétés candidates dans le cadre de l</w:t>
      </w:r>
      <w:r w:rsidR="00900241" w:rsidRPr="008730BA">
        <w:rPr>
          <w:highlight w:val="lightGray"/>
        </w:rPr>
        <w:t>’</w:t>
      </w:r>
      <w:r w:rsidR="00610081" w:rsidRPr="008730BA">
        <w:rPr>
          <w:highlight w:val="lightGray"/>
        </w:rPr>
        <w:t>essai</w:t>
      </w:r>
      <w:r w:rsidR="00610081" w:rsidRPr="008730BA">
        <w:t xml:space="preserve"> DHS </w:t>
      </w:r>
      <w:r w:rsidR="00610081" w:rsidRPr="008730BA">
        <w:rPr>
          <w:highlight w:val="lightGray"/>
        </w:rPr>
        <w:t>en culture</w:t>
      </w:r>
      <w:r w:rsidR="00610081" w:rsidRPr="008730BA">
        <w:t>.</w:t>
      </w:r>
    </w:p>
    <w:p w:rsidR="00477345" w:rsidRPr="008730BA" w:rsidRDefault="00477345" w:rsidP="00477345">
      <w:pPr>
        <w:ind w:left="567" w:right="567"/>
        <w:rPr>
          <w:snapToGrid w:val="0"/>
        </w:rPr>
      </w:pPr>
    </w:p>
    <w:p w:rsidR="00DB18CB" w:rsidRDefault="00D30941" w:rsidP="00DB18CB">
      <w:pPr>
        <w:ind w:left="567" w:right="567"/>
      </w:pPr>
      <w:r w:rsidRPr="008730BA">
        <w:rPr>
          <w:snapToGrid w:val="0"/>
        </w:rPr>
        <w:t>“</w:t>
      </w:r>
      <w:r w:rsidR="00DB18CB" w:rsidRPr="008730BA">
        <w:rPr>
          <w:snapToGrid w:val="0"/>
        </w:rPr>
        <w:t>La situation à l</w:t>
      </w:r>
      <w:r w:rsidR="00900241" w:rsidRPr="008730BA">
        <w:rPr>
          <w:snapToGrid w:val="0"/>
        </w:rPr>
        <w:t>’</w:t>
      </w:r>
      <w:r w:rsidR="00DB18CB" w:rsidRPr="008730BA">
        <w:rPr>
          <w:snapToGrid w:val="0"/>
        </w:rPr>
        <w:t xml:space="preserve">UPOV est exposée dans les documents </w:t>
      </w:r>
      <w:r w:rsidR="00DB18CB" w:rsidRPr="008730BA">
        <w:t xml:space="preserve">TGP/15 </w:t>
      </w:r>
      <w:r w:rsidR="00C155CE">
        <w:t>‘</w:t>
      </w:r>
      <w:r w:rsidR="00DB18CB" w:rsidRPr="008730BA">
        <w:t>Conseils en ce qui concerne l</w:t>
      </w:r>
      <w:r w:rsidR="00900241" w:rsidRPr="008730BA">
        <w:t>’</w:t>
      </w:r>
      <w:r w:rsidR="00DB18CB" w:rsidRPr="008730BA">
        <w:t>utilisation des marqueurs biochimiques et moléculaires dans l</w:t>
      </w:r>
      <w:r w:rsidR="00900241" w:rsidRPr="008730BA">
        <w:t>’</w:t>
      </w:r>
      <w:r w:rsidR="00DB18CB" w:rsidRPr="008730BA">
        <w:t>examen de la distinction, de</w:t>
      </w:r>
      <w:r w:rsidR="0016382E">
        <w:t xml:space="preserve"> </w:t>
      </w:r>
      <w:r w:rsidR="00DB18CB" w:rsidRPr="008730BA">
        <w:t>l</w:t>
      </w:r>
      <w:r w:rsidR="00900241" w:rsidRPr="008730BA">
        <w:t>’</w:t>
      </w:r>
      <w:r w:rsidR="00DB18CB" w:rsidRPr="008730BA">
        <w:t>homogénéité et de la stabilité (DHS)</w:t>
      </w:r>
      <w:r w:rsidR="00C155CE">
        <w:t>’</w:t>
      </w:r>
      <w:r w:rsidR="00DB18CB" w:rsidRPr="008730BA">
        <w:t xml:space="preserve"> et UPOV/INF/18 </w:t>
      </w:r>
      <w:r w:rsidR="00C155CE">
        <w:t>‘</w:t>
      </w:r>
      <w:r w:rsidR="00DB18CB" w:rsidRPr="008730BA">
        <w:t>Utilisation possible des marqueurs moléculaires dans l</w:t>
      </w:r>
      <w:r w:rsidR="00900241" w:rsidRPr="008730BA">
        <w:t>’</w:t>
      </w:r>
      <w:r w:rsidR="00DB18CB" w:rsidRPr="008730BA">
        <w:t>examen de la distinction, de l</w:t>
      </w:r>
      <w:r w:rsidR="00900241" w:rsidRPr="008730BA">
        <w:t>’</w:t>
      </w:r>
      <w:r w:rsidR="00DB18CB" w:rsidRPr="008730BA">
        <w:t>homogénéité et de la stabilité (DHS)</w:t>
      </w:r>
      <w:r w:rsidR="00C155CE">
        <w:t>’”.</w:t>
      </w:r>
    </w:p>
    <w:p w:rsidR="008B3261" w:rsidRDefault="008B3261">
      <w:pPr>
        <w:jc w:val="left"/>
      </w:pPr>
    </w:p>
    <w:p w:rsidR="00B3465C" w:rsidRDefault="00420752" w:rsidP="00420752">
      <w:r w:rsidRPr="00292027">
        <w:fldChar w:fldCharType="begin"/>
      </w:r>
      <w:r w:rsidRPr="00292027">
        <w:instrText xml:space="preserve"> AUTONUM  </w:instrText>
      </w:r>
      <w:r w:rsidRPr="00292027">
        <w:fldChar w:fldCharType="end"/>
      </w:r>
      <w:r w:rsidRPr="00292027">
        <w:tab/>
      </w:r>
      <w:r w:rsidR="00674714">
        <w:t>À sa cinquantième session qui se tiendra à Genève du 7 au 9 avril 2014, le </w:t>
      </w:r>
      <w:r w:rsidRPr="00292027">
        <w:t>TC</w:t>
      </w:r>
      <w:r w:rsidR="00674714">
        <w:t xml:space="preserve"> sera invité à examiner </w:t>
      </w:r>
      <w:r w:rsidR="00F83589">
        <w:t>l’explication proposée de</w:t>
      </w:r>
      <w:r w:rsidR="00674714">
        <w:t xml:space="preserve"> la situation à l’UPOV en ce qui concerne l’utilisation de techniques moléculaires, qui figure au paragraphe 22 du présent document.</w:t>
      </w:r>
      <w:r w:rsidRPr="00292027">
        <w:t xml:space="preserve"> </w:t>
      </w:r>
      <w:r>
        <w:t xml:space="preserve"> </w:t>
      </w:r>
      <w:r w:rsidR="00674714">
        <w:t>Les observations formulées par le TC à sa cinquantième session</w:t>
      </w:r>
      <w:r w:rsidRPr="00292027">
        <w:t xml:space="preserve"> </w:t>
      </w:r>
      <w:r w:rsidR="00674714">
        <w:t>seront communiquées au CAJ à sa soixante</w:t>
      </w:r>
      <w:r w:rsidR="00674714">
        <w:noBreakHyphen/>
        <w:t>neuvième session qui se tiendra à Genève le 10 avril 2014</w:t>
      </w:r>
      <w:r w:rsidRPr="00292027">
        <w:t xml:space="preserve"> (</w:t>
      </w:r>
      <w:r w:rsidR="00674714">
        <w:t>voir le</w:t>
      </w:r>
      <w:r w:rsidRPr="00292027">
        <w:t xml:space="preserve"> document CAJ/69/11 “</w:t>
      </w:r>
      <w:r w:rsidR="00674714">
        <w:t>Rapport sur les faits nouveaux intervenus au sein du Comité technique</w:t>
      </w:r>
      <w:r w:rsidRPr="00292027">
        <w:t>”).</w:t>
      </w:r>
    </w:p>
    <w:p w:rsidR="00B3465C" w:rsidRDefault="00B3465C">
      <w:pPr>
        <w:jc w:val="left"/>
      </w:pPr>
    </w:p>
    <w:p w:rsidR="00DB18CB" w:rsidRPr="008730BA" w:rsidRDefault="000543D3" w:rsidP="00A53CDD">
      <w:pPr>
        <w:tabs>
          <w:tab w:val="left" w:pos="5387"/>
          <w:tab w:val="left" w:pos="5670"/>
        </w:tabs>
        <w:ind w:left="4820"/>
        <w:rPr>
          <w:i/>
        </w:rPr>
      </w:pPr>
      <w:r w:rsidRPr="008730BA">
        <w:rPr>
          <w:i/>
          <w:iCs/>
        </w:rPr>
        <w:fldChar w:fldCharType="begin"/>
      </w:r>
      <w:r w:rsidR="006E737F" w:rsidRPr="008730BA">
        <w:rPr>
          <w:i/>
          <w:iCs/>
        </w:rPr>
        <w:instrText xml:space="preserve"> AUTONUM  </w:instrText>
      </w:r>
      <w:r w:rsidRPr="008730BA">
        <w:rPr>
          <w:i/>
          <w:iCs/>
        </w:rPr>
        <w:fldChar w:fldCharType="end"/>
      </w:r>
      <w:r w:rsidR="00A53CDD" w:rsidRPr="008730BA">
        <w:rPr>
          <w:i/>
          <w:iCs/>
        </w:rPr>
        <w:tab/>
      </w:r>
      <w:r w:rsidR="00DB18CB" w:rsidRPr="008730BA">
        <w:rPr>
          <w:i/>
        </w:rPr>
        <w:t>L</w:t>
      </w:r>
      <w:r w:rsidR="003D6C70" w:rsidRPr="008730BA">
        <w:rPr>
          <w:i/>
        </w:rPr>
        <w:t>e</w:t>
      </w:r>
      <w:r w:rsidR="00900241" w:rsidRPr="008730BA">
        <w:rPr>
          <w:i/>
        </w:rPr>
        <w:t> </w:t>
      </w:r>
      <w:r w:rsidR="00674714">
        <w:rPr>
          <w:i/>
        </w:rPr>
        <w:t>CAJ</w:t>
      </w:r>
      <w:r w:rsidR="003D6C70" w:rsidRPr="008730BA">
        <w:rPr>
          <w:i/>
        </w:rPr>
        <w:t xml:space="preserve"> </w:t>
      </w:r>
      <w:r w:rsidR="00DB18CB" w:rsidRPr="008730BA">
        <w:rPr>
          <w:i/>
        </w:rPr>
        <w:t>est invité à examiner l</w:t>
      </w:r>
      <w:r w:rsidR="00900241" w:rsidRPr="008730BA">
        <w:rPr>
          <w:i/>
        </w:rPr>
        <w:t>’</w:t>
      </w:r>
      <w:r w:rsidR="00DB18CB" w:rsidRPr="008730BA">
        <w:rPr>
          <w:i/>
        </w:rPr>
        <w:t>explication proposée de la situation à l</w:t>
      </w:r>
      <w:r w:rsidR="00900241" w:rsidRPr="008730BA">
        <w:rPr>
          <w:i/>
        </w:rPr>
        <w:t>’</w:t>
      </w:r>
      <w:r w:rsidR="00DB18CB" w:rsidRPr="008730BA">
        <w:rPr>
          <w:i/>
        </w:rPr>
        <w:t>UPOV en ce qui concerne l</w:t>
      </w:r>
      <w:r w:rsidR="00900241" w:rsidRPr="008730BA">
        <w:rPr>
          <w:i/>
        </w:rPr>
        <w:t>’</w:t>
      </w:r>
      <w:r w:rsidR="00DB18CB" w:rsidRPr="008730BA">
        <w:rPr>
          <w:i/>
        </w:rPr>
        <w:t>utilisation de techniques moléculaires</w:t>
      </w:r>
      <w:r w:rsidR="00F83589">
        <w:rPr>
          <w:i/>
        </w:rPr>
        <w:t xml:space="preserve"> dans l’examen DHS</w:t>
      </w:r>
      <w:r w:rsidR="00DB18CB" w:rsidRPr="008730BA">
        <w:rPr>
          <w:i/>
        </w:rPr>
        <w:t>, comme indiqué au paragraphe</w:t>
      </w:r>
      <w:r w:rsidR="00D30941" w:rsidRPr="008730BA">
        <w:rPr>
          <w:i/>
        </w:rPr>
        <w:t> </w:t>
      </w:r>
      <w:r w:rsidR="00DB18CB" w:rsidRPr="008730BA">
        <w:rPr>
          <w:i/>
        </w:rPr>
        <w:t>2</w:t>
      </w:r>
      <w:r w:rsidR="00F83589">
        <w:rPr>
          <w:i/>
        </w:rPr>
        <w:t>2</w:t>
      </w:r>
      <w:r w:rsidR="00DB18CB" w:rsidRPr="008730BA">
        <w:rPr>
          <w:i/>
        </w:rPr>
        <w:t xml:space="preserve"> du présent document</w:t>
      </w:r>
      <w:r w:rsidR="008B3261">
        <w:rPr>
          <w:i/>
        </w:rPr>
        <w:t>, compte tenu de toute observation formulée par le TC à sa cinquantième session</w:t>
      </w:r>
      <w:r w:rsidR="00DB18CB" w:rsidRPr="008730BA">
        <w:rPr>
          <w:i/>
        </w:rPr>
        <w:t>.</w:t>
      </w:r>
    </w:p>
    <w:p w:rsidR="001D5E40" w:rsidRDefault="001D5E40" w:rsidP="003D6C70">
      <w:pPr>
        <w:ind w:left="4820"/>
        <w:rPr>
          <w:i/>
        </w:rPr>
      </w:pPr>
    </w:p>
    <w:p w:rsidR="00050E16" w:rsidRPr="008730BA" w:rsidRDefault="00AF7425" w:rsidP="00AF7425">
      <w:pPr>
        <w:ind w:left="4820"/>
        <w:rPr>
          <w:rFonts w:cs="Arial"/>
        </w:rPr>
      </w:pPr>
      <w:r w:rsidRPr="00AF7425">
        <w:rPr>
          <w:rFonts w:cs="Arial"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CAA80B" wp14:editId="2B9D92ED">
                <wp:simplePos x="0" y="0"/>
                <wp:positionH relativeFrom="column">
                  <wp:posOffset>4294505</wp:posOffset>
                </wp:positionH>
                <wp:positionV relativeFrom="paragraph">
                  <wp:posOffset>215900</wp:posOffset>
                </wp:positionV>
                <wp:extent cx="1920875" cy="2286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425" w:rsidRPr="009929A5" w:rsidRDefault="00AF7425">
                            <w:pPr>
                              <w:ind w:right="53"/>
                              <w:jc w:val="right"/>
                              <w:rPr>
                                <w:rFonts w:cs="Arial"/>
                              </w:rPr>
                            </w:pPr>
                            <w:r w:rsidRPr="009929A5">
                              <w:rPr>
                                <w:rFonts w:cs="Arial"/>
                              </w:rPr>
                              <w:t>[</w:t>
                            </w:r>
                            <w:r w:rsidRPr="008730BA">
                              <w:rPr>
                                <w:rFonts w:cs="Arial"/>
                              </w:rPr>
                              <w:t>Les annexes suiven</w:t>
                            </w:r>
                            <w:r>
                              <w:rPr>
                                <w:rFonts w:cs="Arial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8.15pt;margin-top:17pt;width:151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7Urg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" o:allowincell="f" filled="f" stroked="f">
                <v:textbox inset="0,0,0,0">
                  <w:txbxContent>
                    <w:p w:rsidR="00AF7425" w:rsidRPr="009929A5" w:rsidRDefault="00AF7425">
                      <w:pPr>
                        <w:ind w:right="53"/>
                        <w:jc w:val="right"/>
                        <w:rPr>
                          <w:rFonts w:cs="Arial"/>
                        </w:rPr>
                      </w:pPr>
                      <w:r w:rsidRPr="009929A5">
                        <w:rPr>
                          <w:rFonts w:cs="Arial"/>
                        </w:rPr>
                        <w:t>[</w:t>
                      </w:r>
                      <w:r w:rsidRPr="008730BA">
                        <w:rPr>
                          <w:rFonts w:cs="Arial"/>
                        </w:rPr>
                        <w:t>Les annexes suiven</w:t>
                      </w:r>
                      <w:r>
                        <w:rPr>
                          <w:rFonts w:cs="Arial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182CF6" w:rsidRPr="008730BA" w:rsidRDefault="00182CF6" w:rsidP="00F00F8C">
      <w:pPr>
        <w:pStyle w:val="Header"/>
        <w:jc w:val="left"/>
        <w:sectPr w:rsidR="00182CF6" w:rsidRPr="008730BA" w:rsidSect="00E71894">
          <w:headerReference w:type="default" r:id="rId12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954973" w:rsidRPr="008730BA" w:rsidRDefault="00D124D1" w:rsidP="00954973">
      <w:pPr>
        <w:spacing w:before="60" w:after="120"/>
        <w:jc w:val="center"/>
      </w:pPr>
      <w:r w:rsidRPr="008730BA">
        <w:lastRenderedPageBreak/>
        <w:t>MANDAT</w:t>
      </w:r>
      <w:r w:rsidR="007E7B95" w:rsidRPr="008730BA">
        <w:t xml:space="preserve"> DU GROUPE DE TRAVAIL SUR LES TECHNIQUES BIOCHIMIQUES</w:t>
      </w:r>
      <w:r w:rsidR="006667EE">
        <w:br/>
      </w:r>
      <w:r w:rsidR="007E7B95" w:rsidRPr="008730BA">
        <w:t>ET MOLÉCULAIRES, NOTAMMENT LES PROFILS D</w:t>
      </w:r>
      <w:r w:rsidR="00900241" w:rsidRPr="008730BA">
        <w:t>’</w:t>
      </w:r>
      <w:r w:rsidR="007E7B95" w:rsidRPr="008730BA">
        <w:t>ADN (BMT)</w:t>
      </w:r>
    </w:p>
    <w:p w:rsidR="00954973" w:rsidRPr="008730BA" w:rsidRDefault="00954973" w:rsidP="00954973">
      <w:pPr>
        <w:spacing w:before="60" w:after="120"/>
        <w:jc w:val="center"/>
        <w:rPr>
          <w:i/>
        </w:rPr>
      </w:pPr>
      <w:r w:rsidRPr="008730BA">
        <w:rPr>
          <w:i/>
        </w:rPr>
        <w:t>(</w:t>
      </w:r>
      <w:r w:rsidR="00D124D1" w:rsidRPr="008730BA">
        <w:rPr>
          <w:i/>
        </w:rPr>
        <w:t>tel qu</w:t>
      </w:r>
      <w:r w:rsidR="00900241" w:rsidRPr="008730BA">
        <w:rPr>
          <w:i/>
        </w:rPr>
        <w:t>’</w:t>
      </w:r>
      <w:r w:rsidR="00D124D1" w:rsidRPr="008730BA">
        <w:rPr>
          <w:i/>
        </w:rPr>
        <w:t>approuvé par le Comité technique, lors de sa trente</w:t>
      </w:r>
      <w:r w:rsidR="00900241" w:rsidRPr="008730BA">
        <w:rPr>
          <w:i/>
        </w:rPr>
        <w:t>-</w:t>
      </w:r>
      <w:r w:rsidR="00D124D1" w:rsidRPr="008730BA">
        <w:rPr>
          <w:i/>
        </w:rPr>
        <w:t>huitième</w:t>
      </w:r>
      <w:r w:rsidR="00D30941" w:rsidRPr="008730BA">
        <w:rPr>
          <w:i/>
        </w:rPr>
        <w:t> </w:t>
      </w:r>
      <w:r w:rsidR="00D124D1" w:rsidRPr="008730BA">
        <w:rPr>
          <w:i/>
        </w:rPr>
        <w:t>session tenue à Genève</w:t>
      </w:r>
      <w:r w:rsidR="0086424A" w:rsidRPr="008730BA">
        <w:rPr>
          <w:i/>
        </w:rPr>
        <w:br/>
      </w:r>
      <w:r w:rsidR="00D124D1" w:rsidRPr="008730BA">
        <w:rPr>
          <w:i/>
        </w:rPr>
        <w:t>du 15 au 1</w:t>
      </w:r>
      <w:r w:rsidR="00900241" w:rsidRPr="008730BA">
        <w:rPr>
          <w:i/>
        </w:rPr>
        <w:t>7 avril 20</w:t>
      </w:r>
      <w:r w:rsidRPr="008730BA">
        <w:rPr>
          <w:i/>
        </w:rPr>
        <w:t>02 (</w:t>
      </w:r>
      <w:r w:rsidR="00D124D1" w:rsidRPr="008730BA">
        <w:rPr>
          <w:i/>
        </w:rPr>
        <w:t>voir le paragraphe</w:t>
      </w:r>
      <w:r w:rsidR="00D30941" w:rsidRPr="008730BA">
        <w:rPr>
          <w:i/>
        </w:rPr>
        <w:t> </w:t>
      </w:r>
      <w:r w:rsidR="00D124D1" w:rsidRPr="008730BA">
        <w:rPr>
          <w:i/>
        </w:rPr>
        <w:t xml:space="preserve">204 du </w:t>
      </w:r>
      <w:r w:rsidR="00900241" w:rsidRPr="008730BA">
        <w:rPr>
          <w:i/>
        </w:rPr>
        <w:t>document TC</w:t>
      </w:r>
      <w:r w:rsidR="00D124D1" w:rsidRPr="008730BA">
        <w:rPr>
          <w:i/>
        </w:rPr>
        <w:t>/38/16</w:t>
      </w:r>
      <w:r w:rsidRPr="008730BA">
        <w:rPr>
          <w:i/>
        </w:rPr>
        <w:t>))</w:t>
      </w:r>
    </w:p>
    <w:p w:rsidR="00954973" w:rsidRPr="008730BA" w:rsidRDefault="00954973" w:rsidP="00954973">
      <w:pPr>
        <w:spacing w:before="60" w:after="60"/>
      </w:pPr>
    </w:p>
    <w:p w:rsidR="002E5ABC" w:rsidRPr="008730BA" w:rsidRDefault="002E5ABC" w:rsidP="002E5ABC">
      <w:pPr>
        <w:spacing w:before="60" w:after="60"/>
      </w:pPr>
      <w:r w:rsidRPr="008730BA">
        <w:t>Le BMT est un groupe ouvert aux experts de l</w:t>
      </w:r>
      <w:r w:rsidR="00900241" w:rsidRPr="008730BA">
        <w:t>’</w:t>
      </w:r>
      <w:r w:rsidRPr="008730BA">
        <w:t>examen</w:t>
      </w:r>
      <w:r w:rsidR="00D30941" w:rsidRPr="008730BA">
        <w:t> </w:t>
      </w:r>
      <w:r w:rsidRPr="008730BA">
        <w:t>DHS, aux spécialistes en techniques biochimiques et moléculaires et aux obtenteurs, dont le rôle consiste</w:t>
      </w:r>
    </w:p>
    <w:p w:rsidR="002E5ABC" w:rsidRPr="008730BA" w:rsidRDefault="002E5ABC" w:rsidP="002E5ABC">
      <w:pPr>
        <w:spacing w:before="60" w:after="60"/>
      </w:pPr>
    </w:p>
    <w:p w:rsidR="002E5ABC" w:rsidRPr="008730BA" w:rsidRDefault="002E5ABC" w:rsidP="002E5ABC">
      <w:pPr>
        <w:tabs>
          <w:tab w:val="left" w:pos="1134"/>
        </w:tabs>
        <w:spacing w:after="240"/>
        <w:ind w:left="1134" w:hanging="709"/>
      </w:pPr>
      <w:r w:rsidRPr="008730BA">
        <w:t xml:space="preserve">i) </w:t>
      </w:r>
      <w:r w:rsidRPr="008730BA">
        <w:tab/>
        <w:t>à suivre l</w:t>
      </w:r>
      <w:r w:rsidR="00900241" w:rsidRPr="008730BA">
        <w:t>’</w:t>
      </w:r>
      <w:r w:rsidRPr="008730BA">
        <w:t>évolution générale des techniques biochimiques et moléculaires;</w:t>
      </w:r>
    </w:p>
    <w:p w:rsidR="002E5ABC" w:rsidRPr="008730BA" w:rsidRDefault="002E5ABC" w:rsidP="002E5ABC">
      <w:pPr>
        <w:tabs>
          <w:tab w:val="left" w:pos="1134"/>
        </w:tabs>
        <w:spacing w:after="240"/>
        <w:ind w:left="1134" w:hanging="709"/>
      </w:pPr>
      <w:r w:rsidRPr="008730BA">
        <w:t xml:space="preserve">ii) </w:t>
      </w:r>
      <w:r w:rsidRPr="008730BA">
        <w:tab/>
        <w:t>à se tenir au courant des applications des techniques biochimiques et moléculaires à l</w:t>
      </w:r>
      <w:r w:rsidR="00900241" w:rsidRPr="008730BA">
        <w:t>’</w:t>
      </w:r>
      <w:r w:rsidRPr="008730BA">
        <w:t>amélioration des plantes;</w:t>
      </w:r>
    </w:p>
    <w:p w:rsidR="002E5ABC" w:rsidRPr="008730BA" w:rsidRDefault="002E5ABC" w:rsidP="002E5ABC">
      <w:pPr>
        <w:tabs>
          <w:tab w:val="left" w:pos="1134"/>
        </w:tabs>
        <w:spacing w:after="240"/>
        <w:ind w:left="1134" w:hanging="709"/>
      </w:pPr>
      <w:r w:rsidRPr="008730BA">
        <w:t xml:space="preserve">iii) </w:t>
      </w:r>
      <w:r w:rsidRPr="008730BA">
        <w:tab/>
        <w:t>à examiner les possibilités d</w:t>
      </w:r>
      <w:r w:rsidR="00900241" w:rsidRPr="008730BA">
        <w:t>’</w:t>
      </w:r>
      <w:r w:rsidRPr="008730BA">
        <w:t>application des techniques biochimiques et moléculaires à l</w:t>
      </w:r>
      <w:r w:rsidR="00900241" w:rsidRPr="008730BA">
        <w:t>’</w:t>
      </w:r>
      <w:r w:rsidRPr="008730BA">
        <w:t>examen</w:t>
      </w:r>
      <w:r w:rsidR="00D30941" w:rsidRPr="008730BA">
        <w:t> </w:t>
      </w:r>
      <w:r w:rsidRPr="008730BA">
        <w:t>DHS et à rendre compte de ses réflexions au Comité technique;</w:t>
      </w:r>
    </w:p>
    <w:p w:rsidR="002E5ABC" w:rsidRPr="008730BA" w:rsidRDefault="002E5ABC" w:rsidP="002E5ABC">
      <w:pPr>
        <w:tabs>
          <w:tab w:val="left" w:pos="1134"/>
        </w:tabs>
        <w:spacing w:after="240"/>
        <w:ind w:left="1134" w:hanging="709"/>
      </w:pPr>
      <w:r w:rsidRPr="008730BA">
        <w:t xml:space="preserve">iv) </w:t>
      </w:r>
      <w:r w:rsidRPr="008730BA">
        <w:tab/>
        <w:t>le cas échéant, à élaborer des directives relatives aux méthodes biochimiques et moléculaires et à leur harmonisation et, en particulier, à contribuer à l</w:t>
      </w:r>
      <w:r w:rsidR="00900241" w:rsidRPr="008730BA">
        <w:t>’</w:t>
      </w:r>
      <w:r w:rsidRPr="008730BA">
        <w:t xml:space="preserve">élaboration du document TGP/15, intitulé </w:t>
      </w:r>
      <w:r w:rsidR="00D30941" w:rsidRPr="008730BA">
        <w:t>“</w:t>
      </w:r>
      <w:r w:rsidRPr="008730BA">
        <w:t>Nouveaux types de caractères</w:t>
      </w:r>
      <w:r w:rsidR="00D30941" w:rsidRPr="008730BA">
        <w:t xml:space="preserve">”. </w:t>
      </w:r>
      <w:r w:rsidRPr="008730BA">
        <w:t xml:space="preserve"> Ces directives doivent être élaborées conjointement avec les groupes de travail techniques;</w:t>
      </w:r>
    </w:p>
    <w:p w:rsidR="002E5ABC" w:rsidRPr="008730BA" w:rsidRDefault="002E5ABC" w:rsidP="002E5ABC">
      <w:pPr>
        <w:tabs>
          <w:tab w:val="left" w:pos="1134"/>
        </w:tabs>
        <w:spacing w:after="240"/>
        <w:ind w:left="1134" w:hanging="709"/>
      </w:pPr>
      <w:r w:rsidRPr="008730BA">
        <w:t xml:space="preserve">v) </w:t>
      </w:r>
      <w:r w:rsidRPr="008730BA">
        <w:tab/>
        <w:t>à examiner les initiatives des groupes de travail techniques en ce qui concerne la création de sous</w:t>
      </w:r>
      <w:r w:rsidR="00900241" w:rsidRPr="008730BA">
        <w:t>-</w:t>
      </w:r>
      <w:r w:rsidRPr="008730BA">
        <w:t>groupes pour les plantes cultivées, en tenant compte des informations existantes et de la</w:t>
      </w:r>
      <w:r w:rsidR="0082054F">
        <w:t xml:space="preserve"> </w:t>
      </w:r>
      <w:r w:rsidRPr="008730BA">
        <w:t>nécessité de disposer de méthodes biochimiques et moléculaires;</w:t>
      </w:r>
    </w:p>
    <w:p w:rsidR="002E5ABC" w:rsidRPr="008730BA" w:rsidRDefault="002E5ABC" w:rsidP="002E5ABC">
      <w:pPr>
        <w:tabs>
          <w:tab w:val="left" w:pos="1134"/>
        </w:tabs>
        <w:spacing w:after="240"/>
        <w:ind w:left="1134" w:hanging="709"/>
      </w:pPr>
      <w:r w:rsidRPr="008730BA">
        <w:t xml:space="preserve">vi) </w:t>
      </w:r>
      <w:r w:rsidRPr="008730BA">
        <w:tab/>
        <w:t>à élaborer, conjointement avec</w:t>
      </w:r>
      <w:r w:rsidR="00900241" w:rsidRPr="008730BA">
        <w:t xml:space="preserve"> le TWC</w:t>
      </w:r>
      <w:r w:rsidRPr="008730BA">
        <w:t>, des directives relatives à la gestion et à l</w:t>
      </w:r>
      <w:r w:rsidR="00900241" w:rsidRPr="008730BA">
        <w:t>’</w:t>
      </w:r>
      <w:r w:rsidRPr="008730BA">
        <w:t>harmonisation de bases de données biochimiques et moléculaires;</w:t>
      </w:r>
    </w:p>
    <w:p w:rsidR="002E5ABC" w:rsidRPr="008730BA" w:rsidRDefault="002E5ABC" w:rsidP="002E5ABC">
      <w:pPr>
        <w:tabs>
          <w:tab w:val="left" w:pos="1134"/>
        </w:tabs>
        <w:spacing w:after="240"/>
        <w:ind w:left="1134" w:hanging="709"/>
      </w:pPr>
      <w:r w:rsidRPr="008730BA">
        <w:t xml:space="preserve">vii) </w:t>
      </w:r>
      <w:r w:rsidRPr="008730BA">
        <w:tab/>
        <w:t>à prendre connaissance des rapports des sous</w:t>
      </w:r>
      <w:r w:rsidR="00900241" w:rsidRPr="008730BA">
        <w:t>-</w:t>
      </w:r>
      <w:r w:rsidRPr="008730BA">
        <w:t>groupes pour les plantes cultivées et du groupe de réflexion sur les travaux</w:t>
      </w:r>
      <w:r w:rsidR="00900241" w:rsidRPr="008730BA">
        <w:t xml:space="preserve"> du BMT</w:t>
      </w:r>
      <w:r w:rsidRPr="008730BA">
        <w:t>;</w:t>
      </w:r>
    </w:p>
    <w:p w:rsidR="002E5ABC" w:rsidRPr="008730BA" w:rsidRDefault="002E5ABC" w:rsidP="002E5ABC">
      <w:pPr>
        <w:tabs>
          <w:tab w:val="left" w:pos="1134"/>
        </w:tabs>
        <w:spacing w:after="240"/>
        <w:ind w:left="1134" w:hanging="709"/>
      </w:pPr>
      <w:r w:rsidRPr="008730BA">
        <w:t xml:space="preserve">viii) </w:t>
      </w:r>
      <w:r w:rsidRPr="008730BA">
        <w:tab/>
        <w:t>à servir de cadre à des discussions sur l</w:t>
      </w:r>
      <w:r w:rsidR="00900241" w:rsidRPr="008730BA">
        <w:t>’</w:t>
      </w:r>
      <w:r w:rsidRPr="008730BA">
        <w:t>utilisation des techniques biochimiques et moléculaires en ce qui concerne les notions de variété essentiellement dérivée et d</w:t>
      </w:r>
      <w:r w:rsidR="00900241" w:rsidRPr="008730BA">
        <w:t>’</w:t>
      </w:r>
      <w:r w:rsidRPr="008730BA">
        <w:t>identification des variétés.</w:t>
      </w:r>
    </w:p>
    <w:p w:rsidR="00954973" w:rsidRPr="008730BA" w:rsidRDefault="00954973" w:rsidP="00954973"/>
    <w:p w:rsidR="00954973" w:rsidRPr="008730BA" w:rsidRDefault="00954973" w:rsidP="00954973">
      <w:pPr>
        <w:ind w:right="-1"/>
      </w:pPr>
    </w:p>
    <w:p w:rsidR="00954973" w:rsidRPr="008730BA" w:rsidRDefault="00954973" w:rsidP="00954973">
      <w:pPr>
        <w:ind w:right="-1"/>
      </w:pPr>
    </w:p>
    <w:p w:rsidR="00093F0C" w:rsidRPr="008730BA" w:rsidRDefault="00093F0C" w:rsidP="00954973">
      <w:pPr>
        <w:jc w:val="right"/>
        <w:rPr>
          <w:snapToGrid w:val="0"/>
        </w:rPr>
      </w:pPr>
      <w:r w:rsidRPr="008730BA">
        <w:rPr>
          <w:snapToGrid w:val="0"/>
        </w:rPr>
        <w:t>[</w:t>
      </w:r>
      <w:r w:rsidR="002E5ABC" w:rsidRPr="008730BA">
        <w:rPr>
          <w:snapToGrid w:val="0"/>
        </w:rPr>
        <w:t>L</w:t>
      </w:r>
      <w:r w:rsidR="00900241" w:rsidRPr="008730BA">
        <w:rPr>
          <w:snapToGrid w:val="0"/>
        </w:rPr>
        <w:t>’</w:t>
      </w:r>
      <w:r w:rsidR="002E5ABC" w:rsidRPr="008730BA">
        <w:rPr>
          <w:snapToGrid w:val="0"/>
        </w:rPr>
        <w:t>a</w:t>
      </w:r>
      <w:r w:rsidRPr="008730BA">
        <w:rPr>
          <w:snapToGrid w:val="0"/>
        </w:rPr>
        <w:t>nnex</w:t>
      </w:r>
      <w:r w:rsidR="002E5ABC" w:rsidRPr="008730BA">
        <w:rPr>
          <w:snapToGrid w:val="0"/>
        </w:rPr>
        <w:t>e</w:t>
      </w:r>
      <w:r w:rsidRPr="008730BA">
        <w:rPr>
          <w:snapToGrid w:val="0"/>
        </w:rPr>
        <w:t xml:space="preserve"> I</w:t>
      </w:r>
      <w:r w:rsidR="00676DFD" w:rsidRPr="008730BA">
        <w:rPr>
          <w:snapToGrid w:val="0"/>
        </w:rPr>
        <w:t>I</w:t>
      </w:r>
      <w:r w:rsidRPr="008730BA">
        <w:rPr>
          <w:snapToGrid w:val="0"/>
        </w:rPr>
        <w:t xml:space="preserve"> </w:t>
      </w:r>
      <w:r w:rsidR="002E5ABC" w:rsidRPr="008730BA">
        <w:rPr>
          <w:snapToGrid w:val="0"/>
        </w:rPr>
        <w:t>suit</w:t>
      </w:r>
      <w:r w:rsidRPr="008730BA">
        <w:rPr>
          <w:snapToGrid w:val="0"/>
        </w:rPr>
        <w:t>]</w:t>
      </w:r>
    </w:p>
    <w:p w:rsidR="00093F0C" w:rsidRPr="008730BA" w:rsidRDefault="00093F0C" w:rsidP="00093F0C">
      <w:pPr>
        <w:ind w:right="400"/>
        <w:rPr>
          <w:snapToGrid w:val="0"/>
        </w:rPr>
      </w:pPr>
    </w:p>
    <w:p w:rsidR="00093F0C" w:rsidRPr="008730BA" w:rsidRDefault="00093F0C" w:rsidP="00093F0C">
      <w:pPr>
        <w:ind w:right="400"/>
        <w:rPr>
          <w:snapToGrid w:val="0"/>
        </w:rPr>
      </w:pPr>
    </w:p>
    <w:p w:rsidR="00093F0C" w:rsidRPr="008730BA" w:rsidRDefault="00093F0C" w:rsidP="00093F0C">
      <w:pPr>
        <w:ind w:right="400"/>
        <w:rPr>
          <w:snapToGrid w:val="0"/>
        </w:rPr>
        <w:sectPr w:rsidR="00093F0C" w:rsidRPr="008730BA" w:rsidSect="00E71894">
          <w:headerReference w:type="first" r:id="rId13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093F0C" w:rsidRPr="008730BA" w:rsidRDefault="00093F0C" w:rsidP="001F68F6">
      <w:pPr>
        <w:ind w:right="28"/>
        <w:jc w:val="center"/>
        <w:rPr>
          <w:bCs/>
          <w:snapToGrid w:val="0"/>
        </w:rPr>
      </w:pPr>
    </w:p>
    <w:p w:rsidR="00E71894" w:rsidRPr="00FB27C4" w:rsidRDefault="007E7B95" w:rsidP="00E71894">
      <w:pPr>
        <w:tabs>
          <w:tab w:val="left" w:pos="567"/>
          <w:tab w:val="left" w:pos="1134"/>
          <w:tab w:val="left" w:pos="1701"/>
          <w:tab w:val="left" w:pos="5670"/>
        </w:tabs>
        <w:jc w:val="center"/>
        <w:rPr>
          <w:rFonts w:cs="Arial"/>
          <w:bCs/>
        </w:rPr>
      </w:pPr>
      <w:r w:rsidRPr="00FB27C4">
        <w:rPr>
          <w:rFonts w:cs="Arial"/>
          <w:bCs/>
        </w:rPr>
        <w:t>GROUPE DE TRAVAIL SUR LES TECHNIQUES BIOCHIMIQUES ET MOLÉCULAIRES, NOTAMMENT LES PROFILS D</w:t>
      </w:r>
      <w:r w:rsidR="00900241" w:rsidRPr="00FB27C4">
        <w:rPr>
          <w:rFonts w:cs="Arial"/>
          <w:bCs/>
        </w:rPr>
        <w:t>’</w:t>
      </w:r>
      <w:r w:rsidRPr="00FB27C4">
        <w:rPr>
          <w:rFonts w:cs="Arial"/>
          <w:bCs/>
        </w:rPr>
        <w:t xml:space="preserve">ADN </w:t>
      </w:r>
      <w:r w:rsidR="00E71894" w:rsidRPr="00FB27C4">
        <w:rPr>
          <w:rFonts w:cs="Arial"/>
          <w:bCs/>
        </w:rPr>
        <w:t>(BMT)</w:t>
      </w:r>
    </w:p>
    <w:p w:rsidR="00E71894" w:rsidRPr="00FB27C4" w:rsidRDefault="009F1391" w:rsidP="00E71894">
      <w:pPr>
        <w:jc w:val="center"/>
        <w:rPr>
          <w:rFonts w:cs="Arial"/>
        </w:rPr>
      </w:pPr>
      <w:r w:rsidRPr="00FB27C4">
        <w:rPr>
          <w:rFonts w:cs="Arial"/>
        </w:rPr>
        <w:t>Quatorzième</w:t>
      </w:r>
      <w:r w:rsidR="00D30941" w:rsidRPr="00FB27C4">
        <w:rPr>
          <w:rFonts w:cs="Arial"/>
        </w:rPr>
        <w:t> </w:t>
      </w:r>
      <w:r w:rsidR="002E5ABC" w:rsidRPr="00FB27C4">
        <w:rPr>
          <w:rFonts w:cs="Arial"/>
        </w:rPr>
        <w:t>s</w:t>
      </w:r>
      <w:r w:rsidR="00E71894" w:rsidRPr="00FB27C4">
        <w:rPr>
          <w:rFonts w:cs="Arial"/>
        </w:rPr>
        <w:t>ession, S</w:t>
      </w:r>
      <w:r w:rsidR="002E5ABC" w:rsidRPr="00FB27C4">
        <w:rPr>
          <w:rFonts w:cs="Arial"/>
        </w:rPr>
        <w:t>é</w:t>
      </w:r>
      <w:r w:rsidR="00E71894" w:rsidRPr="00FB27C4">
        <w:rPr>
          <w:rFonts w:cs="Arial"/>
        </w:rPr>
        <w:t xml:space="preserve">oul </w:t>
      </w:r>
      <w:r w:rsidR="006667EE" w:rsidRPr="00FB27C4">
        <w:rPr>
          <w:rFonts w:cs="Arial"/>
        </w:rPr>
        <w:t>(</w:t>
      </w:r>
      <w:r w:rsidR="002E5ABC" w:rsidRPr="00FB27C4">
        <w:rPr>
          <w:rFonts w:cs="Arial"/>
        </w:rPr>
        <w:t>République de Corée</w:t>
      </w:r>
      <w:r w:rsidR="006667EE" w:rsidRPr="00FB27C4">
        <w:rPr>
          <w:rFonts w:cs="Arial"/>
        </w:rPr>
        <w:t>)</w:t>
      </w:r>
      <w:r w:rsidR="00E71894" w:rsidRPr="00FB27C4">
        <w:rPr>
          <w:rFonts w:cs="Arial"/>
        </w:rPr>
        <w:t xml:space="preserve">, </w:t>
      </w:r>
      <w:r w:rsidR="002E5ABC" w:rsidRPr="00FB27C4">
        <w:rPr>
          <w:rFonts w:cs="Arial"/>
        </w:rPr>
        <w:t>10</w:t>
      </w:r>
      <w:r w:rsidR="00900241" w:rsidRPr="00FB27C4">
        <w:rPr>
          <w:rFonts w:cs="Arial"/>
        </w:rPr>
        <w:t>-</w:t>
      </w:r>
      <w:r w:rsidR="002E5ABC" w:rsidRPr="00FB27C4">
        <w:rPr>
          <w:rFonts w:cs="Arial"/>
        </w:rPr>
        <w:t>1</w:t>
      </w:r>
      <w:r w:rsidR="00900241" w:rsidRPr="00FB27C4">
        <w:rPr>
          <w:rFonts w:cs="Arial"/>
        </w:rPr>
        <w:t>3 novembre 20</w:t>
      </w:r>
      <w:r w:rsidR="00E71894" w:rsidRPr="00FB27C4">
        <w:rPr>
          <w:rFonts w:cs="Arial"/>
        </w:rPr>
        <w:t xml:space="preserve">14 / </w:t>
      </w:r>
      <w:r w:rsidR="002E5ABC" w:rsidRPr="00FB27C4">
        <w:rPr>
          <w:rFonts w:cs="Arial"/>
        </w:rPr>
        <w:t>Atelier préparatoire</w:t>
      </w:r>
      <w:r w:rsidR="00E71894" w:rsidRPr="00FB27C4">
        <w:rPr>
          <w:rFonts w:cs="Arial"/>
        </w:rPr>
        <w:t xml:space="preserve">, </w:t>
      </w:r>
      <w:r w:rsidR="00900241" w:rsidRPr="00FB27C4">
        <w:rPr>
          <w:rFonts w:cs="Arial"/>
        </w:rPr>
        <w:t>9 novembre 20</w:t>
      </w:r>
      <w:r w:rsidR="00E71894" w:rsidRPr="00FB27C4">
        <w:rPr>
          <w:rFonts w:cs="Arial"/>
        </w:rPr>
        <w:t xml:space="preserve">14 / </w:t>
      </w:r>
      <w:r w:rsidR="002E5ABC" w:rsidRPr="00FB27C4">
        <w:rPr>
          <w:rFonts w:cs="Arial"/>
        </w:rPr>
        <w:t>Atelier conjoint</w:t>
      </w:r>
      <w:r w:rsidR="00E71894" w:rsidRPr="00FB27C4">
        <w:rPr>
          <w:rFonts w:cs="Arial"/>
        </w:rPr>
        <w:t xml:space="preserve">, </w:t>
      </w:r>
      <w:r w:rsidR="002E5ABC" w:rsidRPr="00FB27C4">
        <w:rPr>
          <w:rFonts w:cs="Arial"/>
        </w:rPr>
        <w:t>1</w:t>
      </w:r>
      <w:r w:rsidR="00900241" w:rsidRPr="00FB27C4">
        <w:rPr>
          <w:rFonts w:cs="Arial"/>
        </w:rPr>
        <w:t>2 novembre 20</w:t>
      </w:r>
      <w:r w:rsidR="0086424A" w:rsidRPr="00FB27C4">
        <w:rPr>
          <w:rFonts w:cs="Arial"/>
        </w:rPr>
        <w:t>14</w:t>
      </w:r>
    </w:p>
    <w:p w:rsidR="006B20F4" w:rsidRPr="008730BA" w:rsidRDefault="006B20F4" w:rsidP="00E71894">
      <w:pPr>
        <w:jc w:val="center"/>
        <w:rPr>
          <w:rFonts w:cs="Arial"/>
        </w:rPr>
      </w:pPr>
    </w:p>
    <w:tbl>
      <w:tblPr>
        <w:tblW w:w="5172" w:type="pct"/>
        <w:jc w:val="center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17"/>
        <w:gridCol w:w="1559"/>
        <w:gridCol w:w="3546"/>
        <w:gridCol w:w="2698"/>
        <w:gridCol w:w="4247"/>
        <w:gridCol w:w="2124"/>
      </w:tblGrid>
      <w:tr w:rsidR="001F68F6" w:rsidRPr="008730BA" w:rsidTr="006B20F4">
        <w:trPr>
          <w:cantSplit/>
          <w:tblHeader/>
          <w:jc w:val="center"/>
        </w:trPr>
        <w:tc>
          <w:tcPr>
            <w:tcW w:w="335" w:type="pct"/>
          </w:tcPr>
          <w:p w:rsidR="00E71894" w:rsidRPr="008730BA" w:rsidRDefault="00E71894" w:rsidP="001F68F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3" w:type="pct"/>
          </w:tcPr>
          <w:p w:rsidR="00E71894" w:rsidRPr="008730BA" w:rsidRDefault="002E5ABC" w:rsidP="001F68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730BA">
              <w:rPr>
                <w:rFonts w:cs="Arial"/>
                <w:b/>
                <w:sz w:val="18"/>
                <w:szCs w:val="18"/>
              </w:rPr>
              <w:t>Dimanche 9 nov.</w:t>
            </w:r>
          </w:p>
        </w:tc>
        <w:tc>
          <w:tcPr>
            <w:tcW w:w="1167" w:type="pct"/>
            <w:tcBorders>
              <w:bottom w:val="single" w:sz="4" w:space="0" w:color="auto"/>
            </w:tcBorders>
          </w:tcPr>
          <w:p w:rsidR="00E71894" w:rsidRPr="008730BA" w:rsidRDefault="002E5ABC" w:rsidP="001F68F6">
            <w:pPr>
              <w:keepNext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  <w:r w:rsidRPr="008730BA">
              <w:rPr>
                <w:rFonts w:cs="Arial"/>
                <w:b/>
                <w:sz w:val="18"/>
                <w:szCs w:val="18"/>
              </w:rPr>
              <w:t>Lundi 10 nov.</w:t>
            </w: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:rsidR="00E71894" w:rsidRPr="008730BA" w:rsidRDefault="002E5ABC" w:rsidP="001F68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730BA">
              <w:rPr>
                <w:rFonts w:cs="Arial"/>
                <w:b/>
                <w:sz w:val="18"/>
                <w:szCs w:val="18"/>
              </w:rPr>
              <w:t>Mardi 11 nov.</w:t>
            </w:r>
          </w:p>
        </w:tc>
        <w:tc>
          <w:tcPr>
            <w:tcW w:w="1398" w:type="pct"/>
            <w:tcBorders>
              <w:bottom w:val="single" w:sz="4" w:space="0" w:color="auto"/>
            </w:tcBorders>
          </w:tcPr>
          <w:p w:rsidR="00E71894" w:rsidRPr="008730BA" w:rsidRDefault="002E5ABC" w:rsidP="001F68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730BA">
              <w:rPr>
                <w:rFonts w:cs="Arial"/>
                <w:b/>
                <w:sz w:val="18"/>
                <w:szCs w:val="18"/>
              </w:rPr>
              <w:t>Mercredi 12 nov.</w:t>
            </w:r>
          </w:p>
        </w:tc>
        <w:tc>
          <w:tcPr>
            <w:tcW w:w="699" w:type="pct"/>
            <w:tcBorders>
              <w:bottom w:val="single" w:sz="4" w:space="0" w:color="auto"/>
            </w:tcBorders>
          </w:tcPr>
          <w:p w:rsidR="00E71894" w:rsidRPr="008730BA" w:rsidRDefault="002E5ABC" w:rsidP="001F68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730BA">
              <w:rPr>
                <w:rFonts w:cs="Arial"/>
                <w:b/>
                <w:sz w:val="18"/>
                <w:szCs w:val="18"/>
              </w:rPr>
              <w:t>Jeudi 13 nov.</w:t>
            </w:r>
          </w:p>
        </w:tc>
      </w:tr>
      <w:tr w:rsidR="001F68F6" w:rsidRPr="008730BA" w:rsidTr="006B20F4">
        <w:trPr>
          <w:cantSplit/>
          <w:jc w:val="center"/>
        </w:trPr>
        <w:tc>
          <w:tcPr>
            <w:tcW w:w="335" w:type="pct"/>
            <w:tcBorders>
              <w:bottom w:val="single" w:sz="4" w:space="0" w:color="auto"/>
            </w:tcBorders>
          </w:tcPr>
          <w:p w:rsidR="00E71894" w:rsidRPr="008730BA" w:rsidRDefault="00E71894" w:rsidP="001F68F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8730BA">
              <w:rPr>
                <w:rFonts w:cs="Arial"/>
                <w:bCs/>
                <w:sz w:val="18"/>
                <w:szCs w:val="18"/>
              </w:rPr>
              <w:t>9</w:t>
            </w:r>
            <w:r w:rsidR="006667EE">
              <w:rPr>
                <w:rFonts w:cs="Arial"/>
                <w:bCs/>
                <w:sz w:val="18"/>
                <w:szCs w:val="18"/>
              </w:rPr>
              <w:t> </w:t>
            </w:r>
            <w:r w:rsidR="00DC7F7A" w:rsidRPr="008730BA">
              <w:rPr>
                <w:rFonts w:cs="Arial"/>
                <w:bCs/>
                <w:sz w:val="18"/>
                <w:szCs w:val="18"/>
              </w:rPr>
              <w:t>h</w:t>
            </w:r>
            <w:r w:rsidR="006667EE">
              <w:rPr>
                <w:rFonts w:cs="Arial"/>
                <w:bCs/>
                <w:sz w:val="18"/>
                <w:szCs w:val="18"/>
              </w:rPr>
              <w:t>eures</w:t>
            </w:r>
          </w:p>
        </w:tc>
        <w:tc>
          <w:tcPr>
            <w:tcW w:w="513" w:type="pct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E71894" w:rsidRPr="008730BA" w:rsidRDefault="00E71894" w:rsidP="001F68F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pct"/>
            <w:tcBorders>
              <w:bottom w:val="single" w:sz="4" w:space="0" w:color="auto"/>
            </w:tcBorders>
            <w:shd w:val="clear" w:color="auto" w:fill="8DB3E2"/>
          </w:tcPr>
          <w:p w:rsidR="00900241" w:rsidRPr="008730BA" w:rsidRDefault="00DC7F7A" w:rsidP="001F68F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730BA">
              <w:rPr>
                <w:rFonts w:cs="Arial"/>
                <w:b/>
                <w:bCs/>
                <w:sz w:val="18"/>
                <w:szCs w:val="18"/>
              </w:rPr>
              <w:t xml:space="preserve">RÉUNION DU </w:t>
            </w:r>
            <w:r w:rsidR="00E71894" w:rsidRPr="008730BA">
              <w:rPr>
                <w:rFonts w:cs="Arial"/>
                <w:b/>
                <w:bCs/>
                <w:sz w:val="18"/>
                <w:szCs w:val="18"/>
              </w:rPr>
              <w:t>BMT</w:t>
            </w:r>
          </w:p>
          <w:p w:rsidR="00E71894" w:rsidRPr="008730BA" w:rsidRDefault="00DC7F7A" w:rsidP="00C51A1B">
            <w:pPr>
              <w:spacing w:after="40"/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Point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>1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Pr="008730BA">
              <w:rPr>
                <w:rFonts w:cs="Arial"/>
                <w:sz w:val="18"/>
                <w:szCs w:val="18"/>
                <w:u w:val="single"/>
              </w:rPr>
              <w:t xml:space="preserve">Ouverture de la 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>session</w:t>
            </w:r>
          </w:p>
          <w:p w:rsidR="00E71894" w:rsidRPr="008730BA" w:rsidRDefault="00DC7F7A" w:rsidP="00C51A1B">
            <w:pPr>
              <w:spacing w:after="40"/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Point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>2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: Adoption 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de l</w:t>
            </w:r>
            <w:r w:rsidR="00900241" w:rsidRPr="008730BA">
              <w:rPr>
                <w:rFonts w:cs="Arial"/>
                <w:sz w:val="18"/>
                <w:szCs w:val="18"/>
                <w:u w:val="single"/>
              </w:rPr>
              <w:t>’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ordre du jour</w:t>
            </w:r>
          </w:p>
          <w:p w:rsidR="00E71894" w:rsidRPr="008730BA" w:rsidRDefault="00DC7F7A" w:rsidP="00C51A1B">
            <w:pPr>
              <w:spacing w:after="40"/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Point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>3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Comptes rendus des faits nouveaux survenus au sein de l</w:t>
            </w:r>
            <w:r w:rsidR="00900241" w:rsidRPr="008730BA">
              <w:rPr>
                <w:rFonts w:cs="Arial"/>
                <w:sz w:val="18"/>
                <w:szCs w:val="18"/>
                <w:u w:val="single"/>
              </w:rPr>
              <w:t>’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UPOV</w:t>
            </w:r>
          </w:p>
          <w:p w:rsidR="00E71894" w:rsidRPr="008730BA" w:rsidRDefault="00DC7F7A" w:rsidP="00C51A1B">
            <w:pPr>
              <w:spacing w:after="40"/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Point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>4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Exposés succincts par les</w:t>
            </w:r>
            <w:r w:rsidR="00D60337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>participants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8DB3E2"/>
          </w:tcPr>
          <w:p w:rsidR="00E71894" w:rsidRPr="008730BA" w:rsidRDefault="00E71894" w:rsidP="001F68F6">
            <w:pPr>
              <w:jc w:val="left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8730BA">
              <w:rPr>
                <w:rFonts w:cs="Arial"/>
                <w:b/>
                <w:bCs/>
                <w:i/>
                <w:iCs/>
                <w:sz w:val="18"/>
                <w:szCs w:val="18"/>
              </w:rPr>
              <w:t>[</w:t>
            </w:r>
            <w:r w:rsidR="00DC7F7A" w:rsidRPr="008730BA">
              <w:rPr>
                <w:rFonts w:cs="Arial"/>
                <w:b/>
                <w:bCs/>
                <w:i/>
                <w:iCs/>
                <w:sz w:val="18"/>
                <w:szCs w:val="18"/>
              </w:rPr>
              <w:t>Journée des obtenteurs</w:t>
            </w:r>
            <w:r w:rsidRPr="008730BA">
              <w:rPr>
                <w:rFonts w:cs="Arial"/>
                <w:b/>
                <w:bCs/>
                <w:i/>
                <w:iCs/>
                <w:sz w:val="18"/>
                <w:szCs w:val="18"/>
              </w:rPr>
              <w:t>]</w:t>
            </w:r>
          </w:p>
          <w:p w:rsidR="00E71894" w:rsidRPr="008730BA" w:rsidRDefault="00E71894" w:rsidP="001F68F6">
            <w:pPr>
              <w:jc w:val="left"/>
              <w:rPr>
                <w:rFonts w:cs="Arial"/>
                <w:sz w:val="18"/>
                <w:szCs w:val="18"/>
                <w:u w:val="single"/>
              </w:rPr>
            </w:pPr>
          </w:p>
          <w:p w:rsidR="00E71894" w:rsidRPr="008730BA" w:rsidRDefault="00DC7F7A" w:rsidP="001F68F6">
            <w:pPr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Point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113F7C">
              <w:rPr>
                <w:rFonts w:cs="Arial"/>
                <w:sz w:val="18"/>
                <w:szCs w:val="18"/>
                <w:u w:val="single"/>
              </w:rPr>
              <w:t xml:space="preserve">10 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I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>dentification</w:t>
            </w:r>
            <w:r w:rsidRPr="008730BA">
              <w:rPr>
                <w:rFonts w:cs="Arial"/>
                <w:sz w:val="18"/>
                <w:szCs w:val="18"/>
                <w:u w:val="single"/>
              </w:rPr>
              <w:t xml:space="preserve"> des</w:t>
            </w:r>
            <w:r w:rsidR="00D60337">
              <w:rPr>
                <w:rFonts w:cs="Arial"/>
                <w:sz w:val="18"/>
                <w:szCs w:val="18"/>
                <w:u w:val="single"/>
              </w:rPr>
              <w:t> 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variétés</w:t>
            </w:r>
          </w:p>
          <w:p w:rsidR="00E71894" w:rsidRPr="008730BA" w:rsidRDefault="00E71894" w:rsidP="001F68F6">
            <w:pPr>
              <w:jc w:val="left"/>
              <w:rPr>
                <w:rFonts w:cs="Arial"/>
                <w:sz w:val="18"/>
                <w:szCs w:val="18"/>
                <w:u w:val="single"/>
              </w:rPr>
            </w:pPr>
          </w:p>
          <w:p w:rsidR="00E71894" w:rsidRPr="008730BA" w:rsidRDefault="00E71894" w:rsidP="001F68F6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98" w:type="pct"/>
            <w:tcBorders>
              <w:bottom w:val="single" w:sz="4" w:space="0" w:color="auto"/>
            </w:tcBorders>
            <w:shd w:val="clear" w:color="auto" w:fill="FBD4B4"/>
          </w:tcPr>
          <w:p w:rsidR="00DC7F7A" w:rsidRPr="008730BA" w:rsidRDefault="00DC7F7A" w:rsidP="001F68F6">
            <w:pPr>
              <w:jc w:val="center"/>
              <w:rPr>
                <w:rFonts w:cs="Arial"/>
                <w:b/>
                <w:bCs/>
                <w:caps/>
                <w:sz w:val="18"/>
                <w:szCs w:val="18"/>
              </w:rPr>
            </w:pPr>
            <w:r w:rsidRPr="008730BA">
              <w:rPr>
                <w:rFonts w:cs="Arial"/>
                <w:b/>
                <w:bCs/>
                <w:caps/>
                <w:sz w:val="18"/>
                <w:szCs w:val="18"/>
              </w:rPr>
              <w:t>Atelier conjoint OCDE/UPOV/ISTA</w:t>
            </w:r>
          </w:p>
          <w:p w:rsidR="00E71894" w:rsidRPr="008730BA" w:rsidRDefault="00DC7F7A" w:rsidP="001F68F6">
            <w:pPr>
              <w:jc w:val="center"/>
              <w:rPr>
                <w:rFonts w:cs="Arial"/>
                <w:b/>
                <w:bCs/>
                <w:caps/>
                <w:sz w:val="18"/>
                <w:szCs w:val="18"/>
              </w:rPr>
            </w:pPr>
            <w:r w:rsidRPr="008730BA">
              <w:rPr>
                <w:rFonts w:cs="Arial"/>
                <w:b/>
                <w:bCs/>
                <w:caps/>
                <w:sz w:val="18"/>
                <w:szCs w:val="18"/>
              </w:rPr>
              <w:t>sur les techniques moléculaires</w:t>
            </w:r>
          </w:p>
          <w:p w:rsidR="00E71894" w:rsidRPr="008730BA" w:rsidRDefault="009800EB" w:rsidP="001F68F6">
            <w:pPr>
              <w:tabs>
                <w:tab w:val="left" w:pos="878"/>
              </w:tabs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i/>
                <w:iCs/>
                <w:sz w:val="18"/>
                <w:szCs w:val="18"/>
              </w:rPr>
              <w:t>9</w:t>
            </w:r>
            <w:r w:rsidR="00D60337">
              <w:rPr>
                <w:rFonts w:cs="Arial"/>
                <w:i/>
                <w:iCs/>
                <w:sz w:val="18"/>
                <w:szCs w:val="18"/>
              </w:rPr>
              <w:t> </w:t>
            </w:r>
            <w:r w:rsidRPr="008730BA">
              <w:rPr>
                <w:rFonts w:cs="Arial"/>
                <w:i/>
                <w:iCs/>
                <w:sz w:val="18"/>
                <w:szCs w:val="18"/>
              </w:rPr>
              <w:t>h</w:t>
            </w:r>
            <w:r w:rsidR="00D60337">
              <w:rPr>
                <w:rFonts w:cs="Arial"/>
                <w:i/>
                <w:iCs/>
                <w:sz w:val="18"/>
                <w:szCs w:val="18"/>
              </w:rPr>
              <w:t>eures</w:t>
            </w:r>
            <w:r w:rsidR="00D60337">
              <w:rPr>
                <w:rFonts w:cs="Arial"/>
                <w:i/>
                <w:iCs/>
                <w:sz w:val="18"/>
                <w:szCs w:val="18"/>
              </w:rPr>
              <w:tab/>
            </w:r>
            <w:r w:rsidR="00DC7F7A" w:rsidRPr="008730BA">
              <w:rPr>
                <w:rFonts w:cs="Arial"/>
                <w:sz w:val="18"/>
                <w:szCs w:val="18"/>
                <w:u w:val="single"/>
              </w:rPr>
              <w:t xml:space="preserve">Point 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>1</w:t>
            </w:r>
            <w:r w:rsidR="00D60337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Bienvenue et ouverture</w:t>
            </w:r>
          </w:p>
          <w:p w:rsidR="00E71894" w:rsidRPr="008730BA" w:rsidRDefault="00E71894" w:rsidP="001F68F6">
            <w:pPr>
              <w:tabs>
                <w:tab w:val="left" w:pos="891"/>
              </w:tabs>
              <w:ind w:left="907" w:hanging="907"/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i/>
                <w:iCs/>
                <w:sz w:val="18"/>
                <w:szCs w:val="18"/>
              </w:rPr>
              <w:t>9</w:t>
            </w:r>
            <w:r w:rsidR="00D60337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="009800EB" w:rsidRPr="008730BA">
              <w:rPr>
                <w:rFonts w:cs="Arial"/>
                <w:i/>
                <w:iCs/>
                <w:sz w:val="18"/>
                <w:szCs w:val="18"/>
              </w:rPr>
              <w:t>h</w:t>
            </w:r>
            <w:r w:rsidR="00D60337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8730BA">
              <w:rPr>
                <w:rFonts w:cs="Arial"/>
                <w:i/>
                <w:iCs/>
                <w:sz w:val="18"/>
                <w:szCs w:val="18"/>
              </w:rPr>
              <w:t>10</w:t>
            </w:r>
            <w:r w:rsidR="00D60337">
              <w:rPr>
                <w:rFonts w:cs="Arial"/>
                <w:sz w:val="18"/>
                <w:szCs w:val="18"/>
              </w:rPr>
              <w:tab/>
            </w:r>
            <w:r w:rsidR="00DC7F7A" w:rsidRPr="008730BA">
              <w:rPr>
                <w:rFonts w:cs="Arial"/>
                <w:sz w:val="18"/>
                <w:szCs w:val="18"/>
                <w:u w:val="single"/>
              </w:rPr>
              <w:t xml:space="preserve">Point 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2</w:t>
            </w:r>
            <w:r w:rsidR="00D60337">
              <w:rPr>
                <w:rFonts w:cs="Arial"/>
                <w:sz w:val="18"/>
                <w:szCs w:val="18"/>
                <w:u w:val="single"/>
              </w:rPr>
              <w:t> </w:t>
            </w:r>
            <w:r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="009F1391">
              <w:rPr>
                <w:rFonts w:cs="Arial"/>
                <w:sz w:val="18"/>
                <w:szCs w:val="18"/>
                <w:u w:val="single"/>
              </w:rPr>
              <w:t>Introduction aux s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ystèmes de certification des semences de l</w:t>
            </w:r>
            <w:r w:rsidR="00900241" w:rsidRPr="008730BA">
              <w:rPr>
                <w:rFonts w:cs="Arial"/>
                <w:sz w:val="18"/>
                <w:szCs w:val="18"/>
                <w:u w:val="single"/>
              </w:rPr>
              <w:t>’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OCDE et situation de l</w:t>
            </w:r>
            <w:r w:rsidR="00900241" w:rsidRPr="008730BA">
              <w:rPr>
                <w:rFonts w:cs="Arial"/>
                <w:sz w:val="18"/>
                <w:szCs w:val="18"/>
                <w:u w:val="single"/>
              </w:rPr>
              <w:t>’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OCDE concernant l</w:t>
            </w:r>
            <w:r w:rsidR="00900241" w:rsidRPr="008730BA">
              <w:rPr>
                <w:rFonts w:cs="Arial"/>
                <w:sz w:val="18"/>
                <w:szCs w:val="18"/>
                <w:u w:val="single"/>
              </w:rPr>
              <w:t>’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utilisation de techniques moléculaires</w:t>
            </w:r>
          </w:p>
          <w:p w:rsidR="00E71894" w:rsidRPr="008730BA" w:rsidRDefault="00E71894" w:rsidP="001F68F6">
            <w:pPr>
              <w:tabs>
                <w:tab w:val="left" w:pos="904"/>
              </w:tabs>
              <w:ind w:left="907" w:hanging="907"/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i/>
                <w:iCs/>
                <w:sz w:val="18"/>
                <w:szCs w:val="18"/>
              </w:rPr>
              <w:t>9</w:t>
            </w:r>
            <w:r w:rsidR="00D60337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="009800EB" w:rsidRPr="008730BA">
              <w:rPr>
                <w:rFonts w:cs="Arial"/>
                <w:i/>
                <w:iCs/>
                <w:sz w:val="18"/>
                <w:szCs w:val="18"/>
              </w:rPr>
              <w:t>h</w:t>
            </w:r>
            <w:r w:rsidR="00D60337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8730BA">
              <w:rPr>
                <w:rFonts w:cs="Arial"/>
                <w:i/>
                <w:iCs/>
                <w:sz w:val="18"/>
                <w:szCs w:val="18"/>
              </w:rPr>
              <w:t>50</w:t>
            </w:r>
            <w:r w:rsidR="00D60337">
              <w:rPr>
                <w:rFonts w:cs="Arial"/>
                <w:sz w:val="18"/>
                <w:szCs w:val="18"/>
              </w:rPr>
              <w:tab/>
            </w:r>
            <w:r w:rsidR="00DC7F7A" w:rsidRPr="008730BA">
              <w:rPr>
                <w:rFonts w:cs="Arial"/>
                <w:sz w:val="18"/>
                <w:szCs w:val="18"/>
                <w:u w:val="single"/>
              </w:rPr>
              <w:t xml:space="preserve">Point 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3</w:t>
            </w:r>
            <w:r w:rsidR="00D60337">
              <w:rPr>
                <w:rFonts w:cs="Arial"/>
                <w:sz w:val="18"/>
                <w:szCs w:val="18"/>
                <w:u w:val="single"/>
              </w:rPr>
              <w:t> </w:t>
            </w:r>
            <w:r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Introduction à l</w:t>
            </w:r>
            <w:r w:rsidR="00900241" w:rsidRPr="008730BA">
              <w:rPr>
                <w:rFonts w:cs="Arial"/>
                <w:sz w:val="18"/>
                <w:szCs w:val="18"/>
                <w:u w:val="single"/>
              </w:rPr>
              <w:t>’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UPOV situation de l</w:t>
            </w:r>
            <w:r w:rsidR="00900241" w:rsidRPr="008730BA">
              <w:rPr>
                <w:rFonts w:cs="Arial"/>
                <w:sz w:val="18"/>
                <w:szCs w:val="18"/>
                <w:u w:val="single"/>
              </w:rPr>
              <w:t>’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UPOV concernant l</w:t>
            </w:r>
            <w:r w:rsidR="00900241" w:rsidRPr="008730BA">
              <w:rPr>
                <w:rFonts w:cs="Arial"/>
                <w:sz w:val="18"/>
                <w:szCs w:val="18"/>
                <w:u w:val="single"/>
              </w:rPr>
              <w:t>’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utilisation de techniques moléculaires</w:t>
            </w:r>
          </w:p>
          <w:p w:rsidR="00900241" w:rsidRPr="008730BA" w:rsidRDefault="00E71894" w:rsidP="001F68F6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8730BA">
              <w:rPr>
                <w:rFonts w:cs="Arial"/>
                <w:i/>
                <w:iCs/>
                <w:sz w:val="16"/>
                <w:szCs w:val="16"/>
              </w:rPr>
              <w:t xml:space="preserve">* </w:t>
            </w:r>
            <w:r w:rsidR="00DC7F7A" w:rsidRPr="008730BA">
              <w:rPr>
                <w:rFonts w:cs="Arial"/>
                <w:i/>
                <w:iCs/>
                <w:sz w:val="16"/>
                <w:szCs w:val="16"/>
              </w:rPr>
              <w:t>Point</w:t>
            </w:r>
            <w:r w:rsidR="00D60337">
              <w:rPr>
                <w:rFonts w:cs="Arial"/>
                <w:i/>
                <w:iCs/>
                <w:sz w:val="16"/>
                <w:szCs w:val="16"/>
              </w:rPr>
              <w:t>s</w:t>
            </w:r>
            <w:r w:rsidR="00DC7F7A" w:rsidRPr="008730BA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 w:rsidRPr="008730BA">
              <w:rPr>
                <w:rFonts w:cs="Arial"/>
                <w:i/>
                <w:iCs/>
                <w:sz w:val="16"/>
                <w:szCs w:val="16"/>
              </w:rPr>
              <w:t>2</w:t>
            </w:r>
            <w:r w:rsidR="00900241" w:rsidRPr="008730BA">
              <w:rPr>
                <w:rFonts w:cs="Arial"/>
                <w:i/>
                <w:iCs/>
                <w:sz w:val="16"/>
                <w:szCs w:val="16"/>
              </w:rPr>
              <w:t>-</w:t>
            </w:r>
            <w:r w:rsidRPr="008730BA">
              <w:rPr>
                <w:rFonts w:cs="Arial"/>
                <w:i/>
                <w:iCs/>
                <w:sz w:val="16"/>
                <w:szCs w:val="16"/>
              </w:rPr>
              <w:t>4</w:t>
            </w:r>
            <w:r w:rsidR="00D60337">
              <w:rPr>
                <w:rFonts w:cs="Arial"/>
                <w:i/>
                <w:iCs/>
                <w:sz w:val="16"/>
                <w:szCs w:val="16"/>
              </w:rPr>
              <w:t> </w:t>
            </w:r>
            <w:r w:rsidRPr="008730BA">
              <w:rPr>
                <w:rFonts w:cs="Arial"/>
                <w:i/>
                <w:iCs/>
                <w:sz w:val="16"/>
                <w:szCs w:val="16"/>
              </w:rPr>
              <w:t xml:space="preserve">: </w:t>
            </w:r>
            <w:r w:rsidR="009800EB" w:rsidRPr="008730BA">
              <w:rPr>
                <w:rFonts w:cs="Arial"/>
                <w:i/>
                <w:iCs/>
                <w:sz w:val="16"/>
                <w:szCs w:val="16"/>
              </w:rPr>
              <w:t xml:space="preserve">exposé de </w:t>
            </w:r>
            <w:r w:rsidRPr="008730BA">
              <w:rPr>
                <w:rFonts w:cs="Arial"/>
                <w:i/>
                <w:iCs/>
                <w:sz w:val="16"/>
                <w:szCs w:val="16"/>
              </w:rPr>
              <w:t>30</w:t>
            </w:r>
            <w:r w:rsidR="009800EB" w:rsidRPr="008730BA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 w:rsidRPr="008730BA">
              <w:rPr>
                <w:rFonts w:cs="Arial"/>
                <w:i/>
                <w:iCs/>
                <w:sz w:val="16"/>
                <w:szCs w:val="16"/>
              </w:rPr>
              <w:t xml:space="preserve">mn + </w:t>
            </w:r>
            <w:r w:rsidR="009800EB" w:rsidRPr="008730BA">
              <w:rPr>
                <w:rFonts w:cs="Arial"/>
                <w:i/>
                <w:iCs/>
                <w:sz w:val="16"/>
                <w:szCs w:val="16"/>
              </w:rPr>
              <w:t>séance de questions</w:t>
            </w:r>
            <w:r w:rsidR="00D60337" w:rsidRPr="00D60337">
              <w:rPr>
                <w:rFonts w:cs="Arial"/>
                <w:i/>
                <w:iCs/>
                <w:sz w:val="16"/>
                <w:szCs w:val="16"/>
              </w:rPr>
              <w:noBreakHyphen/>
            </w:r>
            <w:r w:rsidR="009800EB" w:rsidRPr="008730BA">
              <w:rPr>
                <w:rFonts w:cs="Arial"/>
                <w:i/>
                <w:iCs/>
                <w:sz w:val="16"/>
                <w:szCs w:val="16"/>
              </w:rPr>
              <w:t>réponses de 10 mn</w:t>
            </w:r>
          </w:p>
          <w:p w:rsidR="00E71894" w:rsidRPr="008730BA" w:rsidRDefault="00E71894" w:rsidP="001F68F6">
            <w:pPr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i/>
                <w:iCs/>
                <w:sz w:val="16"/>
                <w:szCs w:val="16"/>
              </w:rPr>
              <w:t xml:space="preserve">* </w:t>
            </w:r>
            <w:r w:rsidR="00DC7F7A" w:rsidRPr="008730BA">
              <w:rPr>
                <w:rFonts w:cs="Arial"/>
                <w:i/>
                <w:iCs/>
                <w:sz w:val="16"/>
                <w:szCs w:val="16"/>
              </w:rPr>
              <w:t xml:space="preserve">Point </w:t>
            </w:r>
            <w:r w:rsidRPr="008730BA">
              <w:rPr>
                <w:rFonts w:cs="Arial"/>
                <w:i/>
                <w:iCs/>
                <w:sz w:val="16"/>
                <w:szCs w:val="16"/>
              </w:rPr>
              <w:t>5</w:t>
            </w:r>
            <w:r w:rsidR="00D60337">
              <w:rPr>
                <w:rFonts w:cs="Arial"/>
                <w:i/>
                <w:iCs/>
                <w:sz w:val="16"/>
                <w:szCs w:val="16"/>
              </w:rPr>
              <w:t> </w:t>
            </w:r>
            <w:r w:rsidRPr="008730BA">
              <w:rPr>
                <w:rFonts w:cs="Arial"/>
                <w:i/>
                <w:iCs/>
                <w:sz w:val="16"/>
                <w:szCs w:val="16"/>
              </w:rPr>
              <w:t xml:space="preserve">: </w:t>
            </w:r>
            <w:r w:rsidR="009800EB" w:rsidRPr="008730BA">
              <w:rPr>
                <w:rFonts w:cs="Arial"/>
                <w:i/>
                <w:iCs/>
                <w:sz w:val="16"/>
                <w:szCs w:val="16"/>
              </w:rPr>
              <w:t>exposé de 30 mn + séance de questions</w:t>
            </w:r>
            <w:r w:rsidR="00D60337" w:rsidRPr="00D60337">
              <w:rPr>
                <w:rFonts w:cs="Arial"/>
                <w:i/>
                <w:iCs/>
                <w:sz w:val="16"/>
                <w:szCs w:val="16"/>
              </w:rPr>
              <w:noBreakHyphen/>
            </w:r>
            <w:r w:rsidR="009800EB" w:rsidRPr="008730BA">
              <w:rPr>
                <w:rFonts w:cs="Arial"/>
                <w:i/>
                <w:iCs/>
                <w:sz w:val="16"/>
                <w:szCs w:val="16"/>
              </w:rPr>
              <w:t>réponses de 20 mn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8DB3E2"/>
          </w:tcPr>
          <w:p w:rsidR="00E71894" w:rsidRPr="008730BA" w:rsidRDefault="00DC7F7A" w:rsidP="00C51A1B">
            <w:pPr>
              <w:spacing w:after="40"/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Point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113F7C">
              <w:rPr>
                <w:rFonts w:cs="Arial"/>
                <w:sz w:val="18"/>
                <w:szCs w:val="18"/>
                <w:u w:val="single"/>
              </w:rPr>
              <w:t>5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Compte rendu des travaux sur les techniques moléculaires pour les différentes plantes</w:t>
            </w:r>
            <w:r w:rsidR="009800EB" w:rsidRPr="008730BA">
              <w:rPr>
                <w:rFonts w:cs="Arial"/>
                <w:i/>
                <w:iCs/>
                <w:sz w:val="18"/>
                <w:szCs w:val="18"/>
                <w:u w:val="single"/>
              </w:rPr>
              <w:t xml:space="preserve"> (suite)</w:t>
            </w:r>
          </w:p>
          <w:p w:rsidR="00E71894" w:rsidRPr="008730BA" w:rsidRDefault="00DC7F7A" w:rsidP="00C51A1B">
            <w:pPr>
              <w:spacing w:after="40"/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Point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113F7C">
              <w:rPr>
                <w:rFonts w:cs="Arial"/>
                <w:sz w:val="18"/>
                <w:szCs w:val="18"/>
                <w:u w:val="single"/>
              </w:rPr>
              <w:t>6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="008866C5" w:rsidRPr="008730BA">
              <w:rPr>
                <w:sz w:val="18"/>
                <w:szCs w:val="18"/>
                <w:u w:val="single"/>
              </w:rPr>
              <w:t>Directives internationales</w:t>
            </w:r>
          </w:p>
          <w:p w:rsidR="00E71894" w:rsidRPr="008730BA" w:rsidRDefault="00DC7F7A" w:rsidP="00C51A1B">
            <w:pPr>
              <w:spacing w:after="40"/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Point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>11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 xml:space="preserve">Date et lieu de la prochaine 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>session</w:t>
            </w:r>
          </w:p>
          <w:p w:rsidR="00E71894" w:rsidRPr="008730BA" w:rsidRDefault="00DC7F7A" w:rsidP="00C51A1B">
            <w:pPr>
              <w:tabs>
                <w:tab w:val="center" w:pos="4253"/>
                <w:tab w:val="right" w:pos="8505"/>
              </w:tabs>
              <w:spacing w:after="40"/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Point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>12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Programme futur</w:t>
            </w:r>
          </w:p>
        </w:tc>
      </w:tr>
      <w:tr w:rsidR="001F68F6" w:rsidRPr="008730BA" w:rsidTr="006B20F4">
        <w:trPr>
          <w:cantSplit/>
          <w:jc w:val="center"/>
        </w:trPr>
        <w:tc>
          <w:tcPr>
            <w:tcW w:w="335" w:type="pct"/>
            <w:shd w:val="clear" w:color="auto" w:fill="FFFFFF"/>
          </w:tcPr>
          <w:p w:rsidR="00E71894" w:rsidRPr="008730BA" w:rsidRDefault="00E71894" w:rsidP="001F68F6">
            <w:pPr>
              <w:jc w:val="center"/>
              <w:rPr>
                <w:rFonts w:cs="Arial"/>
                <w:sz w:val="18"/>
                <w:szCs w:val="18"/>
              </w:rPr>
            </w:pPr>
            <w:r w:rsidRPr="008730BA">
              <w:rPr>
                <w:rFonts w:cs="Arial"/>
                <w:sz w:val="18"/>
                <w:szCs w:val="18"/>
              </w:rPr>
              <w:t>10</w:t>
            </w:r>
            <w:r w:rsidR="006667EE">
              <w:rPr>
                <w:rFonts w:cs="Arial"/>
                <w:sz w:val="18"/>
                <w:szCs w:val="18"/>
              </w:rPr>
              <w:t> </w:t>
            </w:r>
            <w:r w:rsidR="00DC7F7A" w:rsidRPr="008730BA">
              <w:rPr>
                <w:rFonts w:cs="Arial"/>
                <w:sz w:val="18"/>
                <w:szCs w:val="18"/>
              </w:rPr>
              <w:t>h</w:t>
            </w:r>
            <w:r w:rsidR="006667EE">
              <w:rPr>
                <w:rFonts w:cs="Arial"/>
                <w:sz w:val="18"/>
                <w:szCs w:val="18"/>
              </w:rPr>
              <w:t> </w:t>
            </w:r>
            <w:r w:rsidRPr="008730BA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513" w:type="pct"/>
            <w:vMerge/>
            <w:tcBorders>
              <w:tl2br w:val="single" w:sz="4" w:space="0" w:color="auto"/>
              <w:tr2bl w:val="single" w:sz="4" w:space="0" w:color="auto"/>
            </w:tcBorders>
            <w:shd w:val="pct15" w:color="auto" w:fill="FFFFFF"/>
          </w:tcPr>
          <w:p w:rsidR="00E71894" w:rsidRPr="008730BA" w:rsidRDefault="00E71894" w:rsidP="001F68F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pct"/>
            <w:tcBorders>
              <w:bottom w:val="single" w:sz="4" w:space="0" w:color="auto"/>
            </w:tcBorders>
            <w:shd w:val="clear" w:color="auto" w:fill="auto"/>
          </w:tcPr>
          <w:p w:rsidR="00E71894" w:rsidRPr="008730BA" w:rsidRDefault="00DC7F7A" w:rsidP="001F68F6">
            <w:pPr>
              <w:jc w:val="center"/>
              <w:rPr>
                <w:rFonts w:cs="Arial"/>
                <w:sz w:val="18"/>
                <w:szCs w:val="18"/>
              </w:rPr>
            </w:pPr>
            <w:r w:rsidRPr="008730BA">
              <w:rPr>
                <w:rFonts w:cs="Arial"/>
                <w:sz w:val="18"/>
                <w:szCs w:val="18"/>
              </w:rPr>
              <w:t>PAUSE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</w:tcPr>
          <w:p w:rsidR="00E71894" w:rsidRPr="008730BA" w:rsidRDefault="00DC7F7A" w:rsidP="001F68F6">
            <w:pPr>
              <w:jc w:val="center"/>
              <w:rPr>
                <w:rFonts w:cs="Arial"/>
                <w:sz w:val="18"/>
                <w:szCs w:val="18"/>
              </w:rPr>
            </w:pPr>
            <w:r w:rsidRPr="008730BA">
              <w:rPr>
                <w:rFonts w:cs="Arial"/>
                <w:sz w:val="18"/>
                <w:szCs w:val="18"/>
              </w:rPr>
              <w:t>PAUSE</w:t>
            </w:r>
          </w:p>
        </w:tc>
        <w:tc>
          <w:tcPr>
            <w:tcW w:w="1398" w:type="pct"/>
            <w:tcBorders>
              <w:bottom w:val="single" w:sz="4" w:space="0" w:color="auto"/>
            </w:tcBorders>
            <w:shd w:val="clear" w:color="auto" w:fill="auto"/>
          </w:tcPr>
          <w:p w:rsidR="00E71894" w:rsidRPr="008730BA" w:rsidRDefault="00DC7F7A" w:rsidP="001F68F6">
            <w:pPr>
              <w:jc w:val="center"/>
              <w:rPr>
                <w:rFonts w:cs="Arial"/>
                <w:sz w:val="18"/>
                <w:szCs w:val="18"/>
              </w:rPr>
            </w:pPr>
            <w:r w:rsidRPr="008730BA">
              <w:rPr>
                <w:rFonts w:cs="Arial"/>
                <w:sz w:val="18"/>
                <w:szCs w:val="18"/>
              </w:rPr>
              <w:t>PAUSE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</w:tcPr>
          <w:p w:rsidR="00E71894" w:rsidRPr="008730BA" w:rsidRDefault="00DC7F7A" w:rsidP="001F68F6">
            <w:pPr>
              <w:jc w:val="center"/>
              <w:rPr>
                <w:rFonts w:cs="Arial"/>
                <w:sz w:val="18"/>
                <w:szCs w:val="18"/>
              </w:rPr>
            </w:pPr>
            <w:r w:rsidRPr="008730BA">
              <w:rPr>
                <w:rFonts w:cs="Arial"/>
                <w:sz w:val="18"/>
                <w:szCs w:val="18"/>
              </w:rPr>
              <w:t>PAUSE</w:t>
            </w:r>
          </w:p>
        </w:tc>
      </w:tr>
      <w:tr w:rsidR="001F68F6" w:rsidRPr="008730BA" w:rsidTr="006B20F4">
        <w:trPr>
          <w:cantSplit/>
          <w:jc w:val="center"/>
        </w:trPr>
        <w:tc>
          <w:tcPr>
            <w:tcW w:w="335" w:type="pct"/>
            <w:tcBorders>
              <w:bottom w:val="single" w:sz="4" w:space="0" w:color="auto"/>
            </w:tcBorders>
          </w:tcPr>
          <w:p w:rsidR="00E71894" w:rsidRPr="008730BA" w:rsidRDefault="00E71894" w:rsidP="001F68F6">
            <w:pPr>
              <w:jc w:val="center"/>
              <w:rPr>
                <w:rFonts w:cs="Arial"/>
                <w:sz w:val="18"/>
                <w:szCs w:val="18"/>
              </w:rPr>
            </w:pPr>
            <w:r w:rsidRPr="008730BA">
              <w:rPr>
                <w:rFonts w:cs="Arial"/>
                <w:sz w:val="18"/>
                <w:szCs w:val="18"/>
              </w:rPr>
              <w:t>11</w:t>
            </w:r>
            <w:r w:rsidR="006667EE">
              <w:rPr>
                <w:rFonts w:cs="Arial"/>
                <w:sz w:val="18"/>
                <w:szCs w:val="18"/>
              </w:rPr>
              <w:t> </w:t>
            </w:r>
            <w:r w:rsidR="00DC7F7A" w:rsidRPr="008730BA">
              <w:rPr>
                <w:rFonts w:cs="Arial"/>
                <w:sz w:val="18"/>
                <w:szCs w:val="18"/>
              </w:rPr>
              <w:t>h</w:t>
            </w:r>
            <w:r w:rsidR="006667EE">
              <w:rPr>
                <w:rFonts w:cs="Arial"/>
                <w:sz w:val="18"/>
                <w:szCs w:val="18"/>
              </w:rPr>
              <w:t>eures</w:t>
            </w:r>
          </w:p>
        </w:tc>
        <w:tc>
          <w:tcPr>
            <w:tcW w:w="513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E71894" w:rsidRPr="008730BA" w:rsidRDefault="00E71894" w:rsidP="001F68F6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167" w:type="pct"/>
            <w:tcBorders>
              <w:bottom w:val="single" w:sz="4" w:space="0" w:color="auto"/>
            </w:tcBorders>
            <w:shd w:val="clear" w:color="auto" w:fill="8DB3E2"/>
          </w:tcPr>
          <w:p w:rsidR="00DC7F7A" w:rsidRPr="008730BA" w:rsidRDefault="00DC7F7A" w:rsidP="001F68F6">
            <w:pPr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Point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113F7C">
              <w:rPr>
                <w:rFonts w:cs="Arial"/>
                <w:sz w:val="18"/>
                <w:szCs w:val="18"/>
                <w:u w:val="single"/>
              </w:rPr>
              <w:t>5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Compte rendu des travaux sur les techniques moléculaires pour les différentes plantes</w:t>
            </w:r>
          </w:p>
          <w:p w:rsidR="00900241" w:rsidRPr="008730BA" w:rsidRDefault="00DC7F7A" w:rsidP="001F68F6">
            <w:pPr>
              <w:numPr>
                <w:ilvl w:val="0"/>
                <w:numId w:val="11"/>
              </w:numPr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espèces multipliées par voie végétative</w:t>
            </w:r>
          </w:p>
          <w:p w:rsidR="00E71894" w:rsidRPr="008730BA" w:rsidRDefault="00DC7F7A" w:rsidP="001F68F6">
            <w:pPr>
              <w:numPr>
                <w:ilvl w:val="0"/>
                <w:numId w:val="11"/>
              </w:numPr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espèces autogames</w:t>
            </w:r>
          </w:p>
          <w:p w:rsidR="00E71894" w:rsidRPr="008730BA" w:rsidRDefault="00DC7F7A" w:rsidP="001F68F6">
            <w:pPr>
              <w:numPr>
                <w:ilvl w:val="0"/>
                <w:numId w:val="11"/>
              </w:numPr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espèces allogames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8DB3E2"/>
          </w:tcPr>
          <w:p w:rsidR="00E71894" w:rsidRPr="008730BA" w:rsidRDefault="00DC7F7A" w:rsidP="001F68F6">
            <w:pPr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Point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113F7C">
              <w:rPr>
                <w:rFonts w:cs="Arial"/>
                <w:sz w:val="18"/>
                <w:szCs w:val="18"/>
                <w:u w:val="single"/>
              </w:rPr>
              <w:t>10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Identification des</w:t>
            </w:r>
            <w:r w:rsidR="00D60337">
              <w:rPr>
                <w:rFonts w:cs="Arial"/>
                <w:sz w:val="18"/>
                <w:szCs w:val="18"/>
                <w:u w:val="single"/>
              </w:rPr>
              <w:t> 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variétés (</w:t>
            </w:r>
            <w:r w:rsidR="009800EB" w:rsidRPr="008730BA">
              <w:rPr>
                <w:rFonts w:cs="Arial"/>
                <w:i/>
                <w:iCs/>
                <w:sz w:val="18"/>
                <w:szCs w:val="18"/>
                <w:u w:val="single"/>
              </w:rPr>
              <w:t>suite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)</w:t>
            </w:r>
          </w:p>
        </w:tc>
        <w:tc>
          <w:tcPr>
            <w:tcW w:w="1398" w:type="pct"/>
            <w:tcBorders>
              <w:bottom w:val="single" w:sz="4" w:space="0" w:color="auto"/>
            </w:tcBorders>
            <w:shd w:val="clear" w:color="auto" w:fill="FBD4B4"/>
          </w:tcPr>
          <w:p w:rsidR="00E71894" w:rsidRPr="008730BA" w:rsidRDefault="00E71894" w:rsidP="001F68F6">
            <w:pPr>
              <w:ind w:left="879" w:hanging="907"/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i/>
                <w:iCs/>
                <w:sz w:val="18"/>
                <w:szCs w:val="18"/>
              </w:rPr>
              <w:t>11</w:t>
            </w:r>
            <w:r w:rsidR="00D60337">
              <w:rPr>
                <w:rFonts w:cs="Arial"/>
                <w:i/>
                <w:iCs/>
                <w:sz w:val="18"/>
                <w:szCs w:val="18"/>
              </w:rPr>
              <w:t> </w:t>
            </w:r>
            <w:r w:rsidR="009800EB" w:rsidRPr="008730BA">
              <w:rPr>
                <w:rFonts w:cs="Arial"/>
                <w:i/>
                <w:iCs/>
                <w:sz w:val="18"/>
                <w:szCs w:val="18"/>
              </w:rPr>
              <w:t>h</w:t>
            </w:r>
            <w:r w:rsidR="00D60337">
              <w:rPr>
                <w:rFonts w:cs="Arial"/>
                <w:i/>
                <w:iCs/>
                <w:sz w:val="18"/>
                <w:szCs w:val="18"/>
              </w:rPr>
              <w:t>eures</w:t>
            </w:r>
            <w:r w:rsidR="00D60337">
              <w:rPr>
                <w:rFonts w:cs="Arial"/>
                <w:sz w:val="18"/>
                <w:szCs w:val="18"/>
              </w:rPr>
              <w:t xml:space="preserve"> </w:t>
            </w:r>
            <w:r w:rsidR="00D60337">
              <w:rPr>
                <w:rFonts w:cs="Arial"/>
                <w:sz w:val="18"/>
                <w:szCs w:val="18"/>
              </w:rPr>
              <w:tab/>
            </w:r>
            <w:r w:rsidR="00DC7F7A" w:rsidRPr="008730BA">
              <w:rPr>
                <w:rFonts w:cs="Arial"/>
                <w:sz w:val="18"/>
                <w:szCs w:val="18"/>
                <w:u w:val="single"/>
              </w:rPr>
              <w:t xml:space="preserve">Point 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4</w:t>
            </w:r>
            <w:r w:rsidR="00D60337">
              <w:rPr>
                <w:rFonts w:cs="Arial"/>
                <w:sz w:val="18"/>
                <w:szCs w:val="18"/>
                <w:u w:val="single"/>
              </w:rPr>
              <w:t> </w:t>
            </w:r>
            <w:r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Introduction à l</w:t>
            </w:r>
            <w:r w:rsidR="00900241" w:rsidRPr="008730BA">
              <w:rPr>
                <w:rFonts w:cs="Arial"/>
                <w:sz w:val="18"/>
                <w:szCs w:val="18"/>
                <w:u w:val="single"/>
              </w:rPr>
              <w:t>’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ISTA et situation de l</w:t>
            </w:r>
            <w:r w:rsidR="00900241" w:rsidRPr="008730BA">
              <w:rPr>
                <w:rFonts w:cs="Arial"/>
                <w:sz w:val="18"/>
                <w:szCs w:val="18"/>
                <w:u w:val="single"/>
              </w:rPr>
              <w:t>’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ISTA concernant l</w:t>
            </w:r>
            <w:r w:rsidR="00900241" w:rsidRPr="008730BA">
              <w:rPr>
                <w:rFonts w:cs="Arial"/>
                <w:sz w:val="18"/>
                <w:szCs w:val="18"/>
                <w:u w:val="single"/>
              </w:rPr>
              <w:t>’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utilisation de techniques moléculaires</w:t>
            </w:r>
          </w:p>
          <w:p w:rsidR="00E71894" w:rsidRPr="008730BA" w:rsidRDefault="00E71894" w:rsidP="001F68F6">
            <w:pPr>
              <w:tabs>
                <w:tab w:val="left" w:pos="866"/>
              </w:tabs>
              <w:ind w:left="879" w:hanging="907"/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i/>
                <w:iCs/>
                <w:sz w:val="18"/>
                <w:szCs w:val="18"/>
              </w:rPr>
              <w:t>11</w:t>
            </w:r>
            <w:r w:rsidR="00D60337">
              <w:rPr>
                <w:rFonts w:cs="Arial"/>
                <w:i/>
                <w:iCs/>
                <w:sz w:val="18"/>
                <w:szCs w:val="18"/>
              </w:rPr>
              <w:t> </w:t>
            </w:r>
            <w:r w:rsidR="009800EB" w:rsidRPr="008730BA">
              <w:rPr>
                <w:rFonts w:cs="Arial"/>
                <w:i/>
                <w:iCs/>
                <w:sz w:val="18"/>
                <w:szCs w:val="18"/>
              </w:rPr>
              <w:t>h</w:t>
            </w:r>
            <w:r w:rsidR="00D60337">
              <w:rPr>
                <w:rFonts w:cs="Arial"/>
                <w:i/>
                <w:iCs/>
                <w:sz w:val="18"/>
                <w:szCs w:val="18"/>
              </w:rPr>
              <w:t> </w:t>
            </w:r>
            <w:r w:rsidRPr="008730BA">
              <w:rPr>
                <w:rFonts w:cs="Arial"/>
                <w:i/>
                <w:iCs/>
                <w:sz w:val="18"/>
                <w:szCs w:val="18"/>
              </w:rPr>
              <w:t>40</w:t>
            </w:r>
            <w:r w:rsidR="00D60337">
              <w:rPr>
                <w:rFonts w:cs="Arial"/>
                <w:sz w:val="18"/>
                <w:szCs w:val="18"/>
              </w:rPr>
              <w:tab/>
            </w:r>
            <w:r w:rsidR="00DC7F7A" w:rsidRPr="008730BA">
              <w:rPr>
                <w:rFonts w:cs="Arial"/>
                <w:sz w:val="18"/>
                <w:szCs w:val="18"/>
                <w:u w:val="single"/>
              </w:rPr>
              <w:t xml:space="preserve">Point 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5</w:t>
            </w:r>
            <w:r w:rsidR="00D60337">
              <w:rPr>
                <w:rFonts w:cs="Arial"/>
                <w:sz w:val="18"/>
                <w:szCs w:val="18"/>
                <w:u w:val="single"/>
              </w:rPr>
              <w:t> </w:t>
            </w:r>
            <w:r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Domaines existants de coopération entre l</w:t>
            </w:r>
            <w:r w:rsidR="00900241" w:rsidRPr="008730BA">
              <w:rPr>
                <w:rFonts w:cs="Arial"/>
                <w:sz w:val="18"/>
                <w:szCs w:val="18"/>
                <w:u w:val="single"/>
              </w:rPr>
              <w:t>’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OCDE, l</w:t>
            </w:r>
            <w:r w:rsidR="00900241" w:rsidRPr="008730BA">
              <w:rPr>
                <w:rFonts w:cs="Arial"/>
                <w:sz w:val="18"/>
                <w:szCs w:val="18"/>
                <w:u w:val="single"/>
              </w:rPr>
              <w:t>’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OECD, UPOV et l</w:t>
            </w:r>
            <w:r w:rsidR="00900241" w:rsidRPr="008730BA">
              <w:rPr>
                <w:rFonts w:cs="Arial"/>
                <w:sz w:val="18"/>
                <w:szCs w:val="18"/>
                <w:u w:val="single"/>
              </w:rPr>
              <w:t>’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ISTA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8DB3E2"/>
          </w:tcPr>
          <w:p w:rsidR="00E71894" w:rsidRPr="008730BA" w:rsidRDefault="00DC7F7A" w:rsidP="00C51A1B">
            <w:pPr>
              <w:spacing w:after="40"/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Point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>13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="00A0760B" w:rsidRPr="008730BA">
              <w:rPr>
                <w:rFonts w:cs="Arial"/>
                <w:sz w:val="18"/>
                <w:szCs w:val="18"/>
                <w:u w:val="single"/>
              </w:rPr>
              <w:t>Compte rendu de la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 session</w:t>
            </w:r>
          </w:p>
          <w:p w:rsidR="00E71894" w:rsidRPr="008730BA" w:rsidRDefault="00DC7F7A" w:rsidP="00C51A1B">
            <w:pPr>
              <w:spacing w:after="40"/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Point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>14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="00A0760B" w:rsidRPr="008730BA">
              <w:rPr>
                <w:rFonts w:cs="Arial"/>
                <w:sz w:val="18"/>
                <w:szCs w:val="18"/>
                <w:u w:val="single"/>
              </w:rPr>
              <w:t xml:space="preserve">Clôture de la 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>session</w:t>
            </w:r>
          </w:p>
        </w:tc>
      </w:tr>
      <w:tr w:rsidR="001F68F6" w:rsidRPr="008730BA" w:rsidTr="006B20F4">
        <w:trPr>
          <w:cantSplit/>
          <w:jc w:val="center"/>
        </w:trPr>
        <w:tc>
          <w:tcPr>
            <w:tcW w:w="335" w:type="pct"/>
            <w:shd w:val="clear" w:color="auto" w:fill="FFFFFF"/>
          </w:tcPr>
          <w:p w:rsidR="00E71894" w:rsidRPr="008730BA" w:rsidRDefault="00E71894" w:rsidP="001F68F6">
            <w:pPr>
              <w:jc w:val="center"/>
              <w:rPr>
                <w:rFonts w:cs="Arial"/>
                <w:sz w:val="18"/>
                <w:szCs w:val="18"/>
              </w:rPr>
            </w:pPr>
            <w:r w:rsidRPr="008730BA">
              <w:rPr>
                <w:rFonts w:cs="Arial"/>
                <w:sz w:val="18"/>
                <w:szCs w:val="18"/>
              </w:rPr>
              <w:t>12</w:t>
            </w:r>
            <w:r w:rsidR="006667EE">
              <w:rPr>
                <w:rFonts w:cs="Arial"/>
                <w:sz w:val="18"/>
                <w:szCs w:val="18"/>
              </w:rPr>
              <w:t> </w:t>
            </w:r>
            <w:r w:rsidR="00DC7F7A" w:rsidRPr="008730BA">
              <w:rPr>
                <w:rFonts w:cs="Arial"/>
                <w:sz w:val="18"/>
                <w:szCs w:val="18"/>
              </w:rPr>
              <w:t>h</w:t>
            </w:r>
            <w:r w:rsidR="006667EE">
              <w:rPr>
                <w:rFonts w:cs="Arial"/>
                <w:sz w:val="18"/>
                <w:szCs w:val="18"/>
              </w:rPr>
              <w:t> </w:t>
            </w:r>
            <w:r w:rsidRPr="008730BA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513" w:type="pct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pct15" w:color="auto" w:fill="FFFFFF"/>
            <w:vAlign w:val="center"/>
          </w:tcPr>
          <w:p w:rsidR="00E71894" w:rsidRPr="008730BA" w:rsidRDefault="00E71894" w:rsidP="001F68F6">
            <w:pPr>
              <w:keepNext/>
              <w:jc w:val="center"/>
              <w:outlineLvl w:val="2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894" w:rsidRPr="008730BA" w:rsidRDefault="00DC7F7A" w:rsidP="001F68F6">
            <w:pPr>
              <w:jc w:val="center"/>
              <w:rPr>
                <w:rFonts w:cs="Arial"/>
                <w:sz w:val="18"/>
                <w:szCs w:val="18"/>
              </w:rPr>
            </w:pPr>
            <w:r w:rsidRPr="008730BA">
              <w:rPr>
                <w:rFonts w:cs="Arial"/>
                <w:sz w:val="18"/>
                <w:szCs w:val="18"/>
              </w:rPr>
              <w:t>DÉJEUNER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894" w:rsidRPr="008730BA" w:rsidRDefault="00DC7F7A" w:rsidP="001F68F6">
            <w:pPr>
              <w:jc w:val="center"/>
              <w:rPr>
                <w:rFonts w:cs="Arial"/>
                <w:sz w:val="18"/>
                <w:szCs w:val="18"/>
              </w:rPr>
            </w:pPr>
            <w:r w:rsidRPr="008730BA">
              <w:rPr>
                <w:rFonts w:cs="Arial"/>
                <w:sz w:val="18"/>
                <w:szCs w:val="18"/>
              </w:rPr>
              <w:t>DÉJEUNER</w:t>
            </w:r>
          </w:p>
        </w:tc>
        <w:tc>
          <w:tcPr>
            <w:tcW w:w="1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894" w:rsidRPr="008730BA" w:rsidRDefault="00DC7F7A" w:rsidP="001F68F6">
            <w:pPr>
              <w:jc w:val="center"/>
              <w:rPr>
                <w:rFonts w:cs="Arial"/>
                <w:sz w:val="18"/>
                <w:szCs w:val="18"/>
              </w:rPr>
            </w:pPr>
            <w:r w:rsidRPr="008730BA">
              <w:rPr>
                <w:rFonts w:cs="Arial"/>
                <w:sz w:val="18"/>
                <w:szCs w:val="18"/>
              </w:rPr>
              <w:t>DÉJEUNER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1894" w:rsidRPr="008730BA" w:rsidRDefault="00DC7F7A" w:rsidP="001F68F6">
            <w:pPr>
              <w:jc w:val="center"/>
              <w:rPr>
                <w:rFonts w:cs="Arial"/>
                <w:sz w:val="18"/>
                <w:szCs w:val="18"/>
              </w:rPr>
            </w:pPr>
            <w:r w:rsidRPr="008730BA">
              <w:rPr>
                <w:rFonts w:cs="Arial"/>
                <w:bCs/>
                <w:sz w:val="18"/>
                <w:szCs w:val="18"/>
              </w:rPr>
              <w:t>FIN DE LA</w:t>
            </w:r>
            <w:r w:rsidR="00D60337">
              <w:rPr>
                <w:rFonts w:cs="Arial"/>
                <w:bCs/>
                <w:sz w:val="18"/>
                <w:szCs w:val="18"/>
              </w:rPr>
              <w:t> </w:t>
            </w:r>
            <w:r w:rsidRPr="008730BA">
              <w:rPr>
                <w:rFonts w:cs="Arial"/>
                <w:bCs/>
                <w:sz w:val="18"/>
                <w:szCs w:val="18"/>
              </w:rPr>
              <w:t>SESSION</w:t>
            </w:r>
          </w:p>
        </w:tc>
      </w:tr>
      <w:tr w:rsidR="006B20F4" w:rsidRPr="008730BA" w:rsidTr="006B20F4">
        <w:trPr>
          <w:cantSplit/>
          <w:jc w:val="center"/>
        </w:trPr>
        <w:tc>
          <w:tcPr>
            <w:tcW w:w="335" w:type="pct"/>
          </w:tcPr>
          <w:p w:rsidR="00E71894" w:rsidRPr="008730BA" w:rsidRDefault="00E71894" w:rsidP="001F68F6">
            <w:pPr>
              <w:jc w:val="center"/>
              <w:rPr>
                <w:rFonts w:cs="Arial"/>
                <w:sz w:val="18"/>
                <w:szCs w:val="18"/>
              </w:rPr>
            </w:pPr>
            <w:r w:rsidRPr="008730BA">
              <w:rPr>
                <w:rFonts w:cs="Arial"/>
                <w:sz w:val="18"/>
                <w:szCs w:val="18"/>
              </w:rPr>
              <w:t>14</w:t>
            </w:r>
            <w:r w:rsidR="006667EE">
              <w:rPr>
                <w:rFonts w:cs="Arial"/>
                <w:sz w:val="18"/>
                <w:szCs w:val="18"/>
              </w:rPr>
              <w:t> </w:t>
            </w:r>
            <w:r w:rsidR="00DC7F7A" w:rsidRPr="008730BA">
              <w:rPr>
                <w:rFonts w:cs="Arial"/>
                <w:sz w:val="18"/>
                <w:szCs w:val="18"/>
              </w:rPr>
              <w:t>h</w:t>
            </w:r>
            <w:r w:rsidR="006667EE">
              <w:rPr>
                <w:rFonts w:cs="Arial"/>
                <w:sz w:val="18"/>
                <w:szCs w:val="18"/>
              </w:rPr>
              <w:t>eures</w:t>
            </w:r>
          </w:p>
        </w:tc>
        <w:tc>
          <w:tcPr>
            <w:tcW w:w="513" w:type="pct"/>
            <w:vMerge w:val="restart"/>
            <w:shd w:val="clear" w:color="auto" w:fill="FFFFFF"/>
          </w:tcPr>
          <w:p w:rsidR="00E71894" w:rsidRPr="008730BA" w:rsidRDefault="00DC7F7A" w:rsidP="001F68F6">
            <w:pPr>
              <w:jc w:val="center"/>
              <w:rPr>
                <w:rFonts w:cs="Arial"/>
                <w:sz w:val="18"/>
                <w:szCs w:val="18"/>
              </w:rPr>
            </w:pPr>
            <w:r w:rsidRPr="008730BA">
              <w:rPr>
                <w:rFonts w:cs="Arial"/>
                <w:b/>
                <w:bCs/>
                <w:caps/>
                <w:sz w:val="18"/>
                <w:szCs w:val="18"/>
              </w:rPr>
              <w:t>atelier préparatoire</w:t>
            </w:r>
          </w:p>
        </w:tc>
        <w:tc>
          <w:tcPr>
            <w:tcW w:w="1167" w:type="pct"/>
            <w:vMerge w:val="restart"/>
            <w:shd w:val="clear" w:color="auto" w:fill="8DB3E2"/>
          </w:tcPr>
          <w:p w:rsidR="00E71894" w:rsidRPr="008730BA" w:rsidRDefault="00DC7F7A" w:rsidP="001F68F6">
            <w:pPr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Point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113F7C">
              <w:rPr>
                <w:rFonts w:cs="Arial"/>
                <w:sz w:val="18"/>
                <w:szCs w:val="18"/>
                <w:u w:val="single"/>
              </w:rPr>
              <w:t>5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Compte rendu des travaux sur les techniques moléculaires pour les</w:t>
            </w:r>
            <w:r w:rsidR="00D60337">
              <w:rPr>
                <w:rFonts w:cs="Arial"/>
                <w:sz w:val="18"/>
                <w:szCs w:val="18"/>
                <w:u w:val="single"/>
              </w:rPr>
              <w:t> 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différentes plantes</w:t>
            </w:r>
            <w:r w:rsidRPr="008730BA">
              <w:rPr>
                <w:rFonts w:cs="Arial"/>
                <w:i/>
                <w:iCs/>
                <w:sz w:val="18"/>
                <w:szCs w:val="18"/>
                <w:u w:val="single"/>
              </w:rPr>
              <w:t xml:space="preserve"> </w:t>
            </w:r>
            <w:r w:rsidR="00E71894" w:rsidRPr="008730BA">
              <w:rPr>
                <w:rFonts w:cs="Arial"/>
                <w:i/>
                <w:iCs/>
                <w:sz w:val="18"/>
                <w:szCs w:val="18"/>
                <w:u w:val="single"/>
              </w:rPr>
              <w:t>(</w:t>
            </w:r>
            <w:r w:rsidRPr="008730BA">
              <w:rPr>
                <w:rFonts w:cs="Arial"/>
                <w:i/>
                <w:iCs/>
                <w:sz w:val="18"/>
                <w:szCs w:val="18"/>
                <w:u w:val="single"/>
              </w:rPr>
              <w:t>suite</w:t>
            </w:r>
            <w:r w:rsidR="00E71894" w:rsidRPr="008730BA">
              <w:rPr>
                <w:rFonts w:cs="Arial"/>
                <w:i/>
                <w:iCs/>
                <w:sz w:val="18"/>
                <w:szCs w:val="18"/>
                <w:u w:val="single"/>
              </w:rPr>
              <w:t>)</w:t>
            </w:r>
          </w:p>
        </w:tc>
        <w:tc>
          <w:tcPr>
            <w:tcW w:w="888" w:type="pct"/>
            <w:vMerge w:val="restart"/>
            <w:shd w:val="clear" w:color="auto" w:fill="8DB3E2"/>
          </w:tcPr>
          <w:p w:rsidR="00E71894" w:rsidRPr="008730BA" w:rsidRDefault="009800EB" w:rsidP="001F68F6">
            <w:pPr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Point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113F7C">
              <w:rPr>
                <w:rFonts w:cs="Arial"/>
                <w:sz w:val="18"/>
                <w:szCs w:val="18"/>
                <w:u w:val="single"/>
              </w:rPr>
              <w:t>10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: Identification des</w:t>
            </w:r>
            <w:r w:rsidR="00D60337">
              <w:rPr>
                <w:rFonts w:cs="Arial"/>
                <w:sz w:val="18"/>
                <w:szCs w:val="18"/>
                <w:u w:val="single"/>
              </w:rPr>
              <w:t> 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variétés (</w:t>
            </w:r>
            <w:r w:rsidRPr="008730BA">
              <w:rPr>
                <w:rFonts w:cs="Arial"/>
                <w:i/>
                <w:iCs/>
                <w:sz w:val="18"/>
                <w:szCs w:val="18"/>
                <w:u w:val="single"/>
              </w:rPr>
              <w:t>suite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)</w:t>
            </w:r>
          </w:p>
          <w:p w:rsidR="009800EB" w:rsidRPr="008730BA" w:rsidRDefault="009800EB" w:rsidP="001F68F6">
            <w:pPr>
              <w:jc w:val="left"/>
              <w:rPr>
                <w:rFonts w:cs="Arial"/>
                <w:sz w:val="18"/>
                <w:szCs w:val="18"/>
                <w:u w:val="single"/>
              </w:rPr>
            </w:pPr>
          </w:p>
          <w:p w:rsidR="00E71894" w:rsidRPr="008730BA" w:rsidRDefault="00DC7F7A" w:rsidP="001F68F6">
            <w:pPr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Point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113F7C">
              <w:rPr>
                <w:rFonts w:cs="Arial"/>
                <w:sz w:val="18"/>
                <w:szCs w:val="18"/>
                <w:u w:val="single"/>
              </w:rPr>
              <w:t>9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 xml:space="preserve">Appréciation de la notion de variété essentiellement dérivée </w:t>
            </w:r>
          </w:p>
        </w:tc>
        <w:tc>
          <w:tcPr>
            <w:tcW w:w="1398" w:type="pct"/>
            <w:shd w:val="clear" w:color="auto" w:fill="FBD4B4"/>
          </w:tcPr>
          <w:p w:rsidR="00E71894" w:rsidRPr="008730BA" w:rsidRDefault="00E71894" w:rsidP="001F68F6">
            <w:pPr>
              <w:tabs>
                <w:tab w:val="left" w:pos="878"/>
              </w:tabs>
              <w:ind w:left="907" w:hanging="907"/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i/>
                <w:iCs/>
                <w:sz w:val="18"/>
                <w:szCs w:val="18"/>
              </w:rPr>
              <w:t>14</w:t>
            </w:r>
            <w:r w:rsidR="00D60337">
              <w:rPr>
                <w:rFonts w:cs="Arial"/>
                <w:i/>
                <w:iCs/>
                <w:sz w:val="18"/>
                <w:szCs w:val="18"/>
              </w:rPr>
              <w:t> </w:t>
            </w:r>
            <w:r w:rsidR="009800EB" w:rsidRPr="008730BA">
              <w:rPr>
                <w:rFonts w:cs="Arial"/>
                <w:i/>
                <w:iCs/>
                <w:sz w:val="18"/>
                <w:szCs w:val="18"/>
              </w:rPr>
              <w:t>h</w:t>
            </w:r>
            <w:r w:rsidR="00D60337">
              <w:rPr>
                <w:rFonts w:cs="Arial"/>
                <w:i/>
                <w:iCs/>
                <w:sz w:val="18"/>
                <w:szCs w:val="18"/>
              </w:rPr>
              <w:t>eures</w:t>
            </w:r>
            <w:r w:rsidR="00D60337">
              <w:rPr>
                <w:rFonts w:cs="Arial"/>
                <w:i/>
                <w:iCs/>
                <w:sz w:val="18"/>
                <w:szCs w:val="18"/>
              </w:rPr>
              <w:tab/>
            </w:r>
            <w:r w:rsidRPr="008730BA">
              <w:rPr>
                <w:rFonts w:cs="Arial"/>
                <w:sz w:val="18"/>
                <w:szCs w:val="18"/>
              </w:rPr>
              <w:t xml:space="preserve"> </w:t>
            </w:r>
            <w:r w:rsidR="00DC7F7A" w:rsidRPr="008730BA">
              <w:rPr>
                <w:rFonts w:cs="Arial"/>
                <w:sz w:val="18"/>
                <w:szCs w:val="18"/>
                <w:u w:val="single"/>
              </w:rPr>
              <w:t xml:space="preserve">Point 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6</w:t>
            </w:r>
            <w:r w:rsidR="00D60337">
              <w:rPr>
                <w:rFonts w:cs="Arial"/>
                <w:sz w:val="18"/>
                <w:szCs w:val="18"/>
                <w:u w:val="single"/>
              </w:rPr>
              <w:t> </w:t>
            </w:r>
            <w:r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Possibilités de coopération entre l</w:t>
            </w:r>
            <w:r w:rsidR="00900241" w:rsidRPr="008730BA">
              <w:rPr>
                <w:rFonts w:cs="Arial"/>
                <w:sz w:val="18"/>
                <w:szCs w:val="18"/>
                <w:u w:val="single"/>
              </w:rPr>
              <w:t>’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OCDE, l</w:t>
            </w:r>
            <w:r w:rsidR="00900241" w:rsidRPr="008730BA">
              <w:rPr>
                <w:rFonts w:cs="Arial"/>
                <w:sz w:val="18"/>
                <w:szCs w:val="18"/>
                <w:u w:val="single"/>
              </w:rPr>
              <w:t>’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OECD, UPOV et l</w:t>
            </w:r>
            <w:r w:rsidR="00900241" w:rsidRPr="008730BA">
              <w:rPr>
                <w:rFonts w:cs="Arial"/>
                <w:sz w:val="18"/>
                <w:szCs w:val="18"/>
                <w:u w:val="single"/>
              </w:rPr>
              <w:t>’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ISTA concernant les techniques moléculaires (débat)</w:t>
            </w:r>
          </w:p>
          <w:p w:rsidR="00E71894" w:rsidRPr="008730BA" w:rsidRDefault="00E71894" w:rsidP="001F68F6">
            <w:pPr>
              <w:tabs>
                <w:tab w:val="left" w:pos="904"/>
                <w:tab w:val="center" w:pos="4253"/>
                <w:tab w:val="right" w:pos="8505"/>
              </w:tabs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i/>
                <w:iCs/>
                <w:sz w:val="18"/>
                <w:szCs w:val="18"/>
              </w:rPr>
              <w:t>14</w:t>
            </w:r>
            <w:r w:rsidR="00D60337">
              <w:rPr>
                <w:rFonts w:cs="Arial"/>
                <w:i/>
                <w:iCs/>
                <w:sz w:val="18"/>
                <w:szCs w:val="18"/>
              </w:rPr>
              <w:t> </w:t>
            </w:r>
            <w:r w:rsidR="009800EB" w:rsidRPr="008730BA">
              <w:rPr>
                <w:rFonts w:cs="Arial"/>
                <w:i/>
                <w:iCs/>
                <w:sz w:val="18"/>
                <w:szCs w:val="18"/>
              </w:rPr>
              <w:t>h</w:t>
            </w:r>
            <w:r w:rsidR="00D60337">
              <w:rPr>
                <w:rFonts w:cs="Arial"/>
                <w:i/>
                <w:iCs/>
                <w:sz w:val="18"/>
                <w:szCs w:val="18"/>
              </w:rPr>
              <w:t> </w:t>
            </w:r>
            <w:r w:rsidRPr="008730BA">
              <w:rPr>
                <w:rFonts w:cs="Arial"/>
                <w:i/>
                <w:iCs/>
                <w:sz w:val="18"/>
                <w:szCs w:val="18"/>
              </w:rPr>
              <w:t xml:space="preserve">25 </w:t>
            </w:r>
            <w:r w:rsidRPr="008730BA">
              <w:rPr>
                <w:rFonts w:cs="Arial"/>
                <w:sz w:val="18"/>
                <w:szCs w:val="18"/>
              </w:rPr>
              <w:t xml:space="preserve"> </w:t>
            </w:r>
            <w:r w:rsidR="00D60337">
              <w:rPr>
                <w:rFonts w:cs="Arial"/>
                <w:sz w:val="18"/>
                <w:szCs w:val="18"/>
              </w:rPr>
              <w:tab/>
            </w:r>
            <w:r w:rsidR="00DC7F7A" w:rsidRPr="008730BA">
              <w:rPr>
                <w:rFonts w:cs="Arial"/>
                <w:sz w:val="18"/>
                <w:szCs w:val="18"/>
                <w:u w:val="single"/>
              </w:rPr>
              <w:t xml:space="preserve">Point </w:t>
            </w:r>
            <w:r w:rsidRPr="008730BA">
              <w:rPr>
                <w:rFonts w:cs="Arial"/>
                <w:sz w:val="18"/>
                <w:szCs w:val="18"/>
                <w:u w:val="single"/>
              </w:rPr>
              <w:t>7</w:t>
            </w:r>
            <w:r w:rsidR="00D60337">
              <w:rPr>
                <w:rFonts w:cs="Arial"/>
                <w:sz w:val="18"/>
                <w:szCs w:val="18"/>
                <w:u w:val="single"/>
              </w:rPr>
              <w:t> </w:t>
            </w:r>
            <w:r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Clôture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:rsidR="00E71894" w:rsidRPr="008730BA" w:rsidRDefault="00E71894" w:rsidP="001F68F6">
            <w:pPr>
              <w:tabs>
                <w:tab w:val="left" w:pos="198"/>
                <w:tab w:val="center" w:pos="4253"/>
                <w:tab w:val="right" w:pos="8505"/>
              </w:tabs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</w:tr>
      <w:tr w:rsidR="006B20F4" w:rsidRPr="008730BA" w:rsidTr="006B20F4">
        <w:trPr>
          <w:cantSplit/>
          <w:jc w:val="center"/>
        </w:trPr>
        <w:tc>
          <w:tcPr>
            <w:tcW w:w="335" w:type="pct"/>
            <w:tcBorders>
              <w:bottom w:val="single" w:sz="4" w:space="0" w:color="auto"/>
            </w:tcBorders>
          </w:tcPr>
          <w:p w:rsidR="00E71894" w:rsidRPr="008730BA" w:rsidRDefault="00E71894" w:rsidP="001F68F6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 w:rsidRPr="008730BA">
              <w:rPr>
                <w:rFonts w:cs="Arial"/>
                <w:iCs/>
                <w:sz w:val="18"/>
                <w:szCs w:val="18"/>
              </w:rPr>
              <w:t>14</w:t>
            </w:r>
            <w:r w:rsidR="006667EE">
              <w:rPr>
                <w:rFonts w:cs="Arial"/>
                <w:iCs/>
                <w:sz w:val="18"/>
                <w:szCs w:val="18"/>
              </w:rPr>
              <w:t> </w:t>
            </w:r>
            <w:r w:rsidR="00DC7F7A" w:rsidRPr="008730BA">
              <w:rPr>
                <w:rFonts w:cs="Arial"/>
                <w:iCs/>
                <w:sz w:val="18"/>
                <w:szCs w:val="18"/>
              </w:rPr>
              <w:t>h</w:t>
            </w:r>
            <w:r w:rsidR="006667EE">
              <w:rPr>
                <w:rFonts w:cs="Arial"/>
                <w:iCs/>
                <w:sz w:val="18"/>
                <w:szCs w:val="18"/>
              </w:rPr>
              <w:t> </w:t>
            </w:r>
            <w:r w:rsidRPr="008730BA">
              <w:rPr>
                <w:rFonts w:cs="Arial"/>
                <w:iCs/>
                <w:sz w:val="18"/>
                <w:szCs w:val="18"/>
              </w:rPr>
              <w:t>30</w:t>
            </w:r>
          </w:p>
        </w:tc>
        <w:tc>
          <w:tcPr>
            <w:tcW w:w="513" w:type="pct"/>
            <w:vMerge/>
            <w:shd w:val="clear" w:color="auto" w:fill="FFFFFF"/>
          </w:tcPr>
          <w:p w:rsidR="00E71894" w:rsidRPr="008730BA" w:rsidRDefault="00E71894" w:rsidP="001F68F6">
            <w:pPr>
              <w:jc w:val="center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shd w:val="clear" w:color="auto" w:fill="8DB3E2"/>
          </w:tcPr>
          <w:p w:rsidR="00E71894" w:rsidRPr="008730BA" w:rsidRDefault="00E71894" w:rsidP="001F68F6">
            <w:pPr>
              <w:jc w:val="left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shd w:val="clear" w:color="auto" w:fill="8DB3E2"/>
          </w:tcPr>
          <w:p w:rsidR="00E71894" w:rsidRPr="008730BA" w:rsidRDefault="00E71894" w:rsidP="001F68F6">
            <w:pPr>
              <w:jc w:val="left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398" w:type="pct"/>
            <w:tcBorders>
              <w:bottom w:val="single" w:sz="4" w:space="0" w:color="auto"/>
            </w:tcBorders>
            <w:shd w:val="clear" w:color="auto" w:fill="8DB3E2"/>
          </w:tcPr>
          <w:p w:rsidR="00E71894" w:rsidRPr="008730BA" w:rsidRDefault="00DC7F7A" w:rsidP="001F68F6">
            <w:pPr>
              <w:pStyle w:val="std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Point</w:t>
            </w:r>
            <w:r w:rsidR="00D30941" w:rsidRPr="008730BA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 </w:t>
            </w:r>
            <w:r w:rsidR="00E71894" w:rsidRPr="008730BA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7</w:t>
            </w:r>
            <w:r w:rsidR="00D30941" w:rsidRPr="008730BA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 </w:t>
            </w:r>
            <w:r w:rsidR="00E71894" w:rsidRPr="008730BA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: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 </w:t>
            </w:r>
            <w:r w:rsidR="009800EB" w:rsidRPr="008730BA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Bases de données des descriptions variétales</w:t>
            </w:r>
          </w:p>
        </w:tc>
        <w:tc>
          <w:tcPr>
            <w:tcW w:w="699" w:type="pct"/>
            <w:vMerge/>
            <w:tcBorders>
              <w:top w:val="nil"/>
            </w:tcBorders>
            <w:shd w:val="clear" w:color="auto" w:fill="FFFFFF"/>
          </w:tcPr>
          <w:p w:rsidR="00E71894" w:rsidRPr="008730BA" w:rsidRDefault="00E71894" w:rsidP="001F68F6">
            <w:pPr>
              <w:tabs>
                <w:tab w:val="left" w:pos="198"/>
                <w:tab w:val="center" w:pos="4253"/>
                <w:tab w:val="right" w:pos="8505"/>
              </w:tabs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</w:tr>
      <w:tr w:rsidR="006B20F4" w:rsidRPr="008730BA" w:rsidTr="006B20F4">
        <w:trPr>
          <w:cantSplit/>
          <w:jc w:val="center"/>
        </w:trPr>
        <w:tc>
          <w:tcPr>
            <w:tcW w:w="335" w:type="pct"/>
            <w:shd w:val="clear" w:color="auto" w:fill="FFFFFF"/>
          </w:tcPr>
          <w:p w:rsidR="00E71894" w:rsidRPr="008730BA" w:rsidRDefault="00E71894" w:rsidP="001F68F6">
            <w:pPr>
              <w:jc w:val="center"/>
              <w:rPr>
                <w:rFonts w:cs="Arial"/>
                <w:sz w:val="18"/>
                <w:szCs w:val="18"/>
              </w:rPr>
            </w:pPr>
            <w:r w:rsidRPr="008730BA">
              <w:rPr>
                <w:rFonts w:cs="Arial"/>
                <w:sz w:val="18"/>
                <w:szCs w:val="18"/>
              </w:rPr>
              <w:t>15</w:t>
            </w:r>
            <w:r w:rsidR="006667EE">
              <w:rPr>
                <w:rFonts w:cs="Arial"/>
                <w:sz w:val="18"/>
                <w:szCs w:val="18"/>
              </w:rPr>
              <w:t> </w:t>
            </w:r>
            <w:r w:rsidR="00DC7F7A" w:rsidRPr="008730BA">
              <w:rPr>
                <w:rFonts w:cs="Arial"/>
                <w:sz w:val="18"/>
                <w:szCs w:val="18"/>
              </w:rPr>
              <w:t>h</w:t>
            </w:r>
            <w:r w:rsidR="006667EE">
              <w:rPr>
                <w:rFonts w:cs="Arial"/>
                <w:sz w:val="18"/>
                <w:szCs w:val="18"/>
              </w:rPr>
              <w:t> </w:t>
            </w:r>
            <w:r w:rsidRPr="008730BA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513" w:type="pct"/>
            <w:vMerge/>
            <w:shd w:val="clear" w:color="auto" w:fill="FFFFFF"/>
            <w:vAlign w:val="center"/>
          </w:tcPr>
          <w:p w:rsidR="00E71894" w:rsidRPr="008730BA" w:rsidRDefault="00E71894" w:rsidP="001F68F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71894" w:rsidRPr="008730BA" w:rsidRDefault="00DC7F7A" w:rsidP="001F68F6">
            <w:pPr>
              <w:jc w:val="center"/>
              <w:rPr>
                <w:rFonts w:cs="Arial"/>
                <w:sz w:val="18"/>
                <w:szCs w:val="18"/>
              </w:rPr>
            </w:pPr>
            <w:r w:rsidRPr="008730BA">
              <w:rPr>
                <w:rFonts w:cs="Arial"/>
                <w:sz w:val="18"/>
                <w:szCs w:val="18"/>
              </w:rPr>
              <w:t>PAUSE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71894" w:rsidRPr="008730BA" w:rsidRDefault="00DC7F7A" w:rsidP="001F68F6">
            <w:pPr>
              <w:jc w:val="center"/>
              <w:rPr>
                <w:rFonts w:cs="Arial"/>
                <w:sz w:val="18"/>
                <w:szCs w:val="18"/>
              </w:rPr>
            </w:pPr>
            <w:r w:rsidRPr="008730BA">
              <w:rPr>
                <w:rFonts w:cs="Arial"/>
                <w:sz w:val="18"/>
                <w:szCs w:val="18"/>
              </w:rPr>
              <w:t>PAUSE</w:t>
            </w:r>
          </w:p>
        </w:tc>
        <w:tc>
          <w:tcPr>
            <w:tcW w:w="1398" w:type="pct"/>
            <w:tcBorders>
              <w:bottom w:val="single" w:sz="4" w:space="0" w:color="auto"/>
            </w:tcBorders>
            <w:shd w:val="clear" w:color="auto" w:fill="FFFFFF"/>
          </w:tcPr>
          <w:p w:rsidR="00E71894" w:rsidRPr="008730BA" w:rsidRDefault="00DC7F7A" w:rsidP="001F68F6">
            <w:pPr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730BA">
              <w:rPr>
                <w:rFonts w:cs="Arial"/>
                <w:sz w:val="18"/>
                <w:szCs w:val="18"/>
              </w:rPr>
              <w:t>PAUSE</w:t>
            </w:r>
          </w:p>
        </w:tc>
        <w:tc>
          <w:tcPr>
            <w:tcW w:w="699" w:type="pct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71894" w:rsidRPr="008730BA" w:rsidRDefault="00E71894" w:rsidP="001F68F6">
            <w:pPr>
              <w:jc w:val="center"/>
              <w:outlineLvl w:val="2"/>
              <w:rPr>
                <w:rFonts w:cs="Arial"/>
                <w:sz w:val="18"/>
                <w:szCs w:val="18"/>
              </w:rPr>
            </w:pPr>
          </w:p>
        </w:tc>
      </w:tr>
      <w:tr w:rsidR="006B20F4" w:rsidRPr="008730BA" w:rsidTr="006B20F4">
        <w:trPr>
          <w:cantSplit/>
          <w:jc w:val="center"/>
        </w:trPr>
        <w:tc>
          <w:tcPr>
            <w:tcW w:w="335" w:type="pct"/>
          </w:tcPr>
          <w:p w:rsidR="00E71894" w:rsidRPr="008730BA" w:rsidRDefault="00E71894" w:rsidP="001F68F6">
            <w:pPr>
              <w:jc w:val="center"/>
              <w:rPr>
                <w:rFonts w:cs="Arial"/>
                <w:sz w:val="18"/>
                <w:szCs w:val="18"/>
              </w:rPr>
            </w:pPr>
            <w:r w:rsidRPr="008730BA">
              <w:rPr>
                <w:rFonts w:cs="Arial"/>
                <w:sz w:val="18"/>
                <w:szCs w:val="18"/>
              </w:rPr>
              <w:t>16</w:t>
            </w:r>
            <w:r w:rsidR="00D60337">
              <w:rPr>
                <w:rFonts w:cs="Arial"/>
                <w:sz w:val="18"/>
                <w:szCs w:val="18"/>
              </w:rPr>
              <w:t> </w:t>
            </w:r>
            <w:r w:rsidR="00DC7F7A" w:rsidRPr="008730BA">
              <w:rPr>
                <w:rFonts w:cs="Arial"/>
                <w:sz w:val="18"/>
                <w:szCs w:val="18"/>
              </w:rPr>
              <w:t>h</w:t>
            </w:r>
            <w:r w:rsidR="00D60337">
              <w:rPr>
                <w:rFonts w:cs="Arial"/>
                <w:sz w:val="18"/>
                <w:szCs w:val="18"/>
              </w:rPr>
              <w:t>eures</w:t>
            </w:r>
          </w:p>
          <w:p w:rsidR="00E71894" w:rsidRPr="008730BA" w:rsidRDefault="00E71894" w:rsidP="001F68F6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E71894" w:rsidRPr="008730BA" w:rsidRDefault="00E71894" w:rsidP="001F68F6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E71894" w:rsidRPr="008730BA" w:rsidRDefault="00E71894" w:rsidP="001F68F6">
            <w:pPr>
              <w:jc w:val="center"/>
              <w:rPr>
                <w:rFonts w:cs="Arial"/>
                <w:sz w:val="18"/>
                <w:szCs w:val="18"/>
              </w:rPr>
            </w:pPr>
            <w:r w:rsidRPr="008730BA">
              <w:rPr>
                <w:rFonts w:cs="Arial"/>
                <w:sz w:val="18"/>
                <w:szCs w:val="18"/>
              </w:rPr>
              <w:t>18</w:t>
            </w:r>
            <w:r w:rsidR="00D60337">
              <w:rPr>
                <w:rFonts w:cs="Arial"/>
                <w:sz w:val="18"/>
                <w:szCs w:val="18"/>
              </w:rPr>
              <w:t> </w:t>
            </w:r>
            <w:r w:rsidR="00DC7F7A" w:rsidRPr="008730BA">
              <w:rPr>
                <w:rFonts w:cs="Arial"/>
                <w:sz w:val="18"/>
                <w:szCs w:val="18"/>
              </w:rPr>
              <w:t>h</w:t>
            </w:r>
            <w:r w:rsidR="00D60337">
              <w:rPr>
                <w:rFonts w:cs="Arial"/>
                <w:sz w:val="18"/>
                <w:szCs w:val="18"/>
              </w:rPr>
              <w:t>eures</w:t>
            </w:r>
          </w:p>
        </w:tc>
        <w:tc>
          <w:tcPr>
            <w:tcW w:w="513" w:type="pct"/>
            <w:vMerge/>
            <w:shd w:val="clear" w:color="auto" w:fill="FFFFFF"/>
          </w:tcPr>
          <w:p w:rsidR="00E71894" w:rsidRPr="008730BA" w:rsidRDefault="00E71894" w:rsidP="001F68F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pct"/>
            <w:shd w:val="clear" w:color="auto" w:fill="8DB3E2"/>
          </w:tcPr>
          <w:p w:rsidR="00E71894" w:rsidRPr="008730BA" w:rsidRDefault="00E71894" w:rsidP="001F68F6">
            <w:pPr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i/>
                <w:iCs/>
                <w:sz w:val="18"/>
                <w:szCs w:val="18"/>
                <w:u w:val="single"/>
              </w:rPr>
              <w:t>(</w:t>
            </w:r>
            <w:r w:rsidR="00DC7F7A" w:rsidRPr="008730BA">
              <w:rPr>
                <w:rFonts w:cs="Arial"/>
                <w:i/>
                <w:iCs/>
                <w:sz w:val="18"/>
                <w:szCs w:val="18"/>
                <w:u w:val="single"/>
              </w:rPr>
              <w:t>suite</w:t>
            </w:r>
            <w:r w:rsidRPr="008730BA">
              <w:rPr>
                <w:rFonts w:cs="Arial"/>
                <w:i/>
                <w:iCs/>
                <w:sz w:val="18"/>
                <w:szCs w:val="18"/>
                <w:u w:val="single"/>
              </w:rPr>
              <w:t>)</w:t>
            </w:r>
          </w:p>
        </w:tc>
        <w:tc>
          <w:tcPr>
            <w:tcW w:w="888" w:type="pct"/>
            <w:shd w:val="clear" w:color="auto" w:fill="8DB3E2"/>
          </w:tcPr>
          <w:p w:rsidR="00900241" w:rsidRPr="008730BA" w:rsidRDefault="00DC7F7A" w:rsidP="00C51A1B">
            <w:pPr>
              <w:spacing w:after="40"/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Point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113F7C">
              <w:rPr>
                <w:rFonts w:cs="Arial"/>
                <w:sz w:val="18"/>
                <w:szCs w:val="18"/>
                <w:u w:val="single"/>
              </w:rPr>
              <w:t>9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 xml:space="preserve">Appréciation de la notion de variété essentiellement dérivée 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>(</w:t>
            </w:r>
            <w:r w:rsidRPr="008730BA">
              <w:rPr>
                <w:rFonts w:cs="Arial"/>
                <w:i/>
                <w:iCs/>
                <w:sz w:val="18"/>
                <w:szCs w:val="18"/>
                <w:u w:val="single"/>
              </w:rPr>
              <w:t>suite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>)</w:t>
            </w:r>
          </w:p>
          <w:p w:rsidR="00E71894" w:rsidRPr="008730BA" w:rsidRDefault="00DC7F7A" w:rsidP="001F68F6">
            <w:pPr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Point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>8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Méthodes d</w:t>
            </w:r>
            <w:r w:rsidR="00900241" w:rsidRPr="008730BA">
              <w:rPr>
                <w:rFonts w:cs="Arial"/>
                <w:sz w:val="18"/>
                <w:szCs w:val="18"/>
                <w:u w:val="single"/>
              </w:rPr>
              <w:t>’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analyse des</w:t>
            </w:r>
            <w:r w:rsidR="00D60337">
              <w:rPr>
                <w:rFonts w:cs="Arial"/>
                <w:sz w:val="18"/>
                <w:szCs w:val="18"/>
                <w:u w:val="single"/>
              </w:rPr>
              <w:t> 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données moléculaires</w:t>
            </w:r>
          </w:p>
        </w:tc>
        <w:tc>
          <w:tcPr>
            <w:tcW w:w="1398" w:type="pct"/>
            <w:shd w:val="clear" w:color="auto" w:fill="8DB3E2"/>
          </w:tcPr>
          <w:p w:rsidR="00E71894" w:rsidRPr="008730BA" w:rsidRDefault="00DC7F7A" w:rsidP="001F68F6">
            <w:pPr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8730BA">
              <w:rPr>
                <w:rFonts w:cs="Arial"/>
                <w:sz w:val="18"/>
                <w:szCs w:val="18"/>
                <w:u w:val="single"/>
              </w:rPr>
              <w:t>Point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113F7C">
              <w:rPr>
                <w:rFonts w:cs="Arial"/>
                <w:sz w:val="18"/>
                <w:szCs w:val="18"/>
                <w:u w:val="single"/>
              </w:rPr>
              <w:t>5</w:t>
            </w:r>
            <w:r w:rsidR="00D30941" w:rsidRPr="008730BA">
              <w:rPr>
                <w:rFonts w:cs="Arial"/>
                <w:sz w:val="18"/>
                <w:szCs w:val="18"/>
                <w:u w:val="single"/>
              </w:rPr>
              <w:t> </w:t>
            </w:r>
            <w:r w:rsidR="00E71894" w:rsidRPr="008730BA">
              <w:rPr>
                <w:rFonts w:cs="Arial"/>
                <w:sz w:val="18"/>
                <w:szCs w:val="18"/>
                <w:u w:val="single"/>
              </w:rPr>
              <w:t xml:space="preserve">: 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Compte rendu des travaux sur les</w:t>
            </w:r>
            <w:r w:rsidR="00D60337">
              <w:rPr>
                <w:rFonts w:cs="Arial"/>
                <w:sz w:val="18"/>
                <w:szCs w:val="18"/>
                <w:u w:val="single"/>
              </w:rPr>
              <w:t> </w:t>
            </w:r>
            <w:r w:rsidR="009800EB" w:rsidRPr="008730BA">
              <w:rPr>
                <w:rFonts w:cs="Arial"/>
                <w:sz w:val="18"/>
                <w:szCs w:val="18"/>
                <w:u w:val="single"/>
              </w:rPr>
              <w:t>techniques moléculaires pour les différentes plantes</w:t>
            </w:r>
            <w:r w:rsidR="009800EB" w:rsidRPr="008730BA">
              <w:rPr>
                <w:rFonts w:cs="Arial"/>
                <w:i/>
                <w:iCs/>
                <w:sz w:val="18"/>
                <w:szCs w:val="18"/>
                <w:u w:val="single"/>
              </w:rPr>
              <w:t xml:space="preserve"> (suite)</w:t>
            </w:r>
          </w:p>
        </w:tc>
        <w:tc>
          <w:tcPr>
            <w:tcW w:w="699" w:type="pct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71894" w:rsidRPr="008730BA" w:rsidRDefault="00E71894" w:rsidP="001F68F6">
            <w:pPr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</w:tr>
    </w:tbl>
    <w:p w:rsidR="00E71894" w:rsidRDefault="00E71894" w:rsidP="00E71894">
      <w:pPr>
        <w:jc w:val="left"/>
        <w:rPr>
          <w:rFonts w:cs="Arial"/>
          <w:sz w:val="18"/>
          <w:szCs w:val="18"/>
        </w:rPr>
      </w:pPr>
    </w:p>
    <w:p w:rsidR="00954973" w:rsidRPr="008730BA" w:rsidRDefault="00954973" w:rsidP="00E71894">
      <w:pPr>
        <w:jc w:val="right"/>
      </w:pPr>
      <w:r w:rsidRPr="008730BA">
        <w:rPr>
          <w:snapToGrid w:val="0"/>
        </w:rPr>
        <w:t>[</w:t>
      </w:r>
      <w:r w:rsidR="007E7B95" w:rsidRPr="008730BA">
        <w:rPr>
          <w:snapToGrid w:val="0"/>
        </w:rPr>
        <w:t>Fin de l</w:t>
      </w:r>
      <w:r w:rsidR="00900241" w:rsidRPr="008730BA">
        <w:rPr>
          <w:snapToGrid w:val="0"/>
        </w:rPr>
        <w:t>’</w:t>
      </w:r>
      <w:r w:rsidR="007E7B95" w:rsidRPr="008730BA">
        <w:rPr>
          <w:snapToGrid w:val="0"/>
        </w:rPr>
        <w:t>a</w:t>
      </w:r>
      <w:r w:rsidRPr="008730BA">
        <w:rPr>
          <w:snapToGrid w:val="0"/>
        </w:rPr>
        <w:t>nn</w:t>
      </w:r>
      <w:r w:rsidR="00B62A42" w:rsidRPr="008730BA">
        <w:rPr>
          <w:snapToGrid w:val="0"/>
        </w:rPr>
        <w:t>ex</w:t>
      </w:r>
      <w:r w:rsidR="007E7B95" w:rsidRPr="008730BA">
        <w:rPr>
          <w:snapToGrid w:val="0"/>
        </w:rPr>
        <w:t>e</w:t>
      </w:r>
      <w:r w:rsidR="00B62A42" w:rsidRPr="008730BA">
        <w:rPr>
          <w:snapToGrid w:val="0"/>
        </w:rPr>
        <w:t xml:space="preserve"> I</w:t>
      </w:r>
      <w:r w:rsidR="00093F0C" w:rsidRPr="008730BA">
        <w:rPr>
          <w:snapToGrid w:val="0"/>
        </w:rPr>
        <w:t>I</w:t>
      </w:r>
      <w:r w:rsidRPr="008730BA">
        <w:rPr>
          <w:snapToGrid w:val="0"/>
        </w:rPr>
        <w:t xml:space="preserve"> </w:t>
      </w:r>
      <w:r w:rsidR="007E7B95" w:rsidRPr="008730BA">
        <w:rPr>
          <w:snapToGrid w:val="0"/>
        </w:rPr>
        <w:t>et du</w:t>
      </w:r>
      <w:r w:rsidRPr="008730BA">
        <w:rPr>
          <w:snapToGrid w:val="0"/>
        </w:rPr>
        <w:t xml:space="preserve"> document]</w:t>
      </w:r>
    </w:p>
    <w:sectPr w:rsidR="00954973" w:rsidRPr="008730BA" w:rsidSect="001F68F6">
      <w:headerReference w:type="first" r:id="rId14"/>
      <w:pgSz w:w="16840" w:h="11907" w:orient="landscape" w:code="9"/>
      <w:pgMar w:top="510" w:right="1134" w:bottom="567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176" w:rsidRDefault="00683176" w:rsidP="006655D3">
      <w:r>
        <w:separator/>
      </w:r>
    </w:p>
    <w:p w:rsidR="00683176" w:rsidRDefault="00683176" w:rsidP="006655D3"/>
    <w:p w:rsidR="00683176" w:rsidRDefault="00683176" w:rsidP="006655D3"/>
  </w:endnote>
  <w:endnote w:type="continuationSeparator" w:id="0">
    <w:p w:rsidR="00683176" w:rsidRDefault="00683176" w:rsidP="006655D3">
      <w:r>
        <w:separator/>
      </w:r>
    </w:p>
    <w:p w:rsidR="00683176" w:rsidRPr="00477345" w:rsidRDefault="00683176">
      <w:pPr>
        <w:pStyle w:val="Footer"/>
        <w:spacing w:after="60"/>
        <w:rPr>
          <w:sz w:val="18"/>
          <w:lang w:val="fr-FR"/>
        </w:rPr>
      </w:pPr>
      <w:r w:rsidRPr="00477345">
        <w:rPr>
          <w:sz w:val="18"/>
          <w:lang w:val="fr-FR"/>
        </w:rPr>
        <w:t>[Suite de la note de la page précédente]</w:t>
      </w:r>
    </w:p>
    <w:p w:rsidR="00683176" w:rsidRPr="00477345" w:rsidRDefault="00683176" w:rsidP="006655D3"/>
    <w:p w:rsidR="00683176" w:rsidRPr="00477345" w:rsidRDefault="00683176" w:rsidP="006655D3"/>
  </w:endnote>
  <w:endnote w:type="continuationNotice" w:id="1">
    <w:p w:rsidR="00683176" w:rsidRPr="00477345" w:rsidRDefault="00683176" w:rsidP="006655D3">
      <w:r w:rsidRPr="00477345">
        <w:t>[Suite de la note page suivante]</w:t>
      </w:r>
    </w:p>
    <w:p w:rsidR="00683176" w:rsidRPr="00477345" w:rsidRDefault="00683176" w:rsidP="006655D3"/>
    <w:p w:rsidR="00683176" w:rsidRPr="00477345" w:rsidRDefault="00683176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176" w:rsidRDefault="00683176" w:rsidP="006655D3">
      <w:r>
        <w:separator/>
      </w:r>
    </w:p>
  </w:footnote>
  <w:footnote w:type="continuationSeparator" w:id="0">
    <w:p w:rsidR="00683176" w:rsidRDefault="00683176" w:rsidP="006655D3">
      <w:r>
        <w:separator/>
      </w:r>
    </w:p>
  </w:footnote>
  <w:footnote w:type="continuationNotice" w:id="1">
    <w:p w:rsidR="00683176" w:rsidRPr="00AB530F" w:rsidRDefault="0068317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76" w:rsidRPr="00C5280D" w:rsidRDefault="0068317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CAJ/69/4</w:t>
    </w:r>
  </w:p>
  <w:p w:rsidR="00683176" w:rsidRPr="00C5280D" w:rsidRDefault="00683176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44C66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683176" w:rsidRPr="00C5280D" w:rsidRDefault="00683176" w:rsidP="008730BA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76" w:rsidRDefault="00683176">
    <w:pPr>
      <w:pStyle w:val="Header"/>
      <w:rPr>
        <w:lang w:val="en-US"/>
      </w:rPr>
    </w:pPr>
    <w:r>
      <w:rPr>
        <w:lang w:val="en-US"/>
      </w:rPr>
      <w:t>CAJ/69/4</w:t>
    </w:r>
  </w:p>
  <w:p w:rsidR="00683176" w:rsidRDefault="00683176">
    <w:pPr>
      <w:pStyle w:val="Header"/>
      <w:rPr>
        <w:lang w:val="en-US"/>
      </w:rPr>
    </w:pPr>
  </w:p>
  <w:p w:rsidR="00683176" w:rsidRDefault="00683176">
    <w:pPr>
      <w:pStyle w:val="Header"/>
      <w:rPr>
        <w:lang w:val="en-US"/>
      </w:rPr>
    </w:pPr>
    <w:r>
      <w:rPr>
        <w:lang w:val="en-US"/>
      </w:rPr>
      <w:t>ANNEXE I</w:t>
    </w:r>
  </w:p>
  <w:p w:rsidR="00683176" w:rsidRPr="00954973" w:rsidRDefault="0068317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76" w:rsidRDefault="00683176">
    <w:pPr>
      <w:pStyle w:val="Header"/>
      <w:rPr>
        <w:lang w:val="en-US"/>
      </w:rPr>
    </w:pPr>
    <w:r>
      <w:rPr>
        <w:lang w:val="en-US"/>
      </w:rPr>
      <w:t>CAJ/69/4</w:t>
    </w:r>
  </w:p>
  <w:p w:rsidR="00683176" w:rsidRDefault="00683176">
    <w:pPr>
      <w:pStyle w:val="Header"/>
      <w:rPr>
        <w:lang w:val="en-US"/>
      </w:rPr>
    </w:pPr>
  </w:p>
  <w:p w:rsidR="00683176" w:rsidRPr="00954973" w:rsidRDefault="00683176">
    <w:pPr>
      <w:pStyle w:val="Header"/>
      <w:rPr>
        <w:lang w:val="en-US"/>
      </w:rPr>
    </w:pPr>
    <w:r>
      <w:rPr>
        <w:lang w:val="en-US"/>
      </w:rPr>
      <w:t>ANNEXE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B0472"/>
    <w:multiLevelType w:val="hybridMultilevel"/>
    <w:tmpl w:val="D4240EA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23DA3"/>
    <w:multiLevelType w:val="hybridMultilevel"/>
    <w:tmpl w:val="B33483A2"/>
    <w:lvl w:ilvl="0" w:tplc="8210023A">
      <w:start w:val="1"/>
      <w:numFmt w:val="lowerRoman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01E1F87"/>
    <w:multiLevelType w:val="hybridMultilevel"/>
    <w:tmpl w:val="47864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20BE6"/>
    <w:multiLevelType w:val="hybridMultilevel"/>
    <w:tmpl w:val="CA84BF40"/>
    <w:lvl w:ilvl="0" w:tplc="AC3CF6AC">
      <w:start w:val="1"/>
      <w:numFmt w:val="lowerLetter"/>
      <w:lvlText w:val="%1)"/>
      <w:lvlJc w:val="left"/>
      <w:pPr>
        <w:ind w:left="7590" w:hanging="360"/>
      </w:pPr>
      <w:rPr>
        <w:rFonts w:eastAsia="MS Mincho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140B4"/>
    <w:multiLevelType w:val="hybridMultilevel"/>
    <w:tmpl w:val="93467F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D744B"/>
    <w:multiLevelType w:val="hybridMultilevel"/>
    <w:tmpl w:val="B7F6FA6E"/>
    <w:lvl w:ilvl="0" w:tplc="040C0017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6D3DA0"/>
    <w:multiLevelType w:val="hybridMultilevel"/>
    <w:tmpl w:val="21C26D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84FA6"/>
    <w:multiLevelType w:val="hybridMultilevel"/>
    <w:tmpl w:val="1A08E8AC"/>
    <w:lvl w:ilvl="0" w:tplc="9CF86C1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8E619A"/>
    <w:multiLevelType w:val="hybridMultilevel"/>
    <w:tmpl w:val="75EA1B9A"/>
    <w:lvl w:ilvl="0" w:tplc="AB8217D4">
      <w:start w:val="1"/>
      <w:numFmt w:val="decimal"/>
      <w:lvlText w:val="%1)"/>
      <w:lvlJc w:val="left"/>
      <w:pPr>
        <w:ind w:left="5180" w:hanging="360"/>
      </w:pPr>
      <w:rPr>
        <w:rFonts w:eastAsia="MS Mincho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9">
    <w:nsid w:val="673E0B56"/>
    <w:multiLevelType w:val="hybridMultilevel"/>
    <w:tmpl w:val="91144E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34A3F"/>
    <w:multiLevelType w:val="hybridMultilevel"/>
    <w:tmpl w:val="407C452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69"/>
    <w:rsid w:val="00010CF3"/>
    <w:rsid w:val="00011122"/>
    <w:rsid w:val="00011E27"/>
    <w:rsid w:val="000148BC"/>
    <w:rsid w:val="00024AB8"/>
    <w:rsid w:val="00030854"/>
    <w:rsid w:val="000312A1"/>
    <w:rsid w:val="00036028"/>
    <w:rsid w:val="00044642"/>
    <w:rsid w:val="0004464A"/>
    <w:rsid w:val="000446B9"/>
    <w:rsid w:val="00047E21"/>
    <w:rsid w:val="00050E16"/>
    <w:rsid w:val="000543D3"/>
    <w:rsid w:val="000825CD"/>
    <w:rsid w:val="00085505"/>
    <w:rsid w:val="00093F0C"/>
    <w:rsid w:val="000A07DB"/>
    <w:rsid w:val="000A4E4F"/>
    <w:rsid w:val="000B7B9A"/>
    <w:rsid w:val="000C4E0E"/>
    <w:rsid w:val="000C7021"/>
    <w:rsid w:val="000D6BBC"/>
    <w:rsid w:val="000D7780"/>
    <w:rsid w:val="000F1D05"/>
    <w:rsid w:val="000F2249"/>
    <w:rsid w:val="000F2F11"/>
    <w:rsid w:val="000F7E6A"/>
    <w:rsid w:val="00105929"/>
    <w:rsid w:val="001131D5"/>
    <w:rsid w:val="00113F7C"/>
    <w:rsid w:val="00137D62"/>
    <w:rsid w:val="00141DB8"/>
    <w:rsid w:val="001533C5"/>
    <w:rsid w:val="00157DF4"/>
    <w:rsid w:val="0016382E"/>
    <w:rsid w:val="0017474A"/>
    <w:rsid w:val="001758C6"/>
    <w:rsid w:val="00182701"/>
    <w:rsid w:val="00182B99"/>
    <w:rsid w:val="00182CF6"/>
    <w:rsid w:val="00195A44"/>
    <w:rsid w:val="001B036B"/>
    <w:rsid w:val="001D3B2E"/>
    <w:rsid w:val="001D5E40"/>
    <w:rsid w:val="001D64B5"/>
    <w:rsid w:val="001E6801"/>
    <w:rsid w:val="001E7A46"/>
    <w:rsid w:val="001F1E4C"/>
    <w:rsid w:val="001F68F6"/>
    <w:rsid w:val="0021332C"/>
    <w:rsid w:val="00213982"/>
    <w:rsid w:val="00220FEE"/>
    <w:rsid w:val="00226590"/>
    <w:rsid w:val="00227838"/>
    <w:rsid w:val="00233C64"/>
    <w:rsid w:val="00235A4E"/>
    <w:rsid w:val="00243176"/>
    <w:rsid w:val="0024416D"/>
    <w:rsid w:val="00271736"/>
    <w:rsid w:val="00271911"/>
    <w:rsid w:val="00273186"/>
    <w:rsid w:val="00274659"/>
    <w:rsid w:val="00275B4D"/>
    <w:rsid w:val="002800A0"/>
    <w:rsid w:val="002801B3"/>
    <w:rsid w:val="00281060"/>
    <w:rsid w:val="0029409E"/>
    <w:rsid w:val="002940E8"/>
    <w:rsid w:val="002A6E50"/>
    <w:rsid w:val="002C256A"/>
    <w:rsid w:val="002D6D40"/>
    <w:rsid w:val="002E5ABC"/>
    <w:rsid w:val="002F1823"/>
    <w:rsid w:val="002F749F"/>
    <w:rsid w:val="00305A7F"/>
    <w:rsid w:val="00310440"/>
    <w:rsid w:val="003152FE"/>
    <w:rsid w:val="00327436"/>
    <w:rsid w:val="00341943"/>
    <w:rsid w:val="00344BD6"/>
    <w:rsid w:val="0035528D"/>
    <w:rsid w:val="003554B5"/>
    <w:rsid w:val="00361821"/>
    <w:rsid w:val="00362C4E"/>
    <w:rsid w:val="00380F1F"/>
    <w:rsid w:val="003D1397"/>
    <w:rsid w:val="003D227C"/>
    <w:rsid w:val="003D2B4D"/>
    <w:rsid w:val="003D3BC8"/>
    <w:rsid w:val="003D6013"/>
    <w:rsid w:val="003D6C70"/>
    <w:rsid w:val="0041245D"/>
    <w:rsid w:val="00417C69"/>
    <w:rsid w:val="00420752"/>
    <w:rsid w:val="00437C0E"/>
    <w:rsid w:val="00444A88"/>
    <w:rsid w:val="00444DCD"/>
    <w:rsid w:val="004512FF"/>
    <w:rsid w:val="00474386"/>
    <w:rsid w:val="00474DA4"/>
    <w:rsid w:val="00476B4D"/>
    <w:rsid w:val="00477345"/>
    <w:rsid w:val="004805FA"/>
    <w:rsid w:val="004C3886"/>
    <w:rsid w:val="004C7C85"/>
    <w:rsid w:val="004D047D"/>
    <w:rsid w:val="004F305A"/>
    <w:rsid w:val="00502EAC"/>
    <w:rsid w:val="00505459"/>
    <w:rsid w:val="00512164"/>
    <w:rsid w:val="00520297"/>
    <w:rsid w:val="005245AD"/>
    <w:rsid w:val="005338F9"/>
    <w:rsid w:val="00535D58"/>
    <w:rsid w:val="0054281C"/>
    <w:rsid w:val="0054520C"/>
    <w:rsid w:val="0055268D"/>
    <w:rsid w:val="00553EB5"/>
    <w:rsid w:val="00576BE4"/>
    <w:rsid w:val="00582380"/>
    <w:rsid w:val="005A400A"/>
    <w:rsid w:val="005C5272"/>
    <w:rsid w:val="005C5B75"/>
    <w:rsid w:val="005E32CB"/>
    <w:rsid w:val="005E590E"/>
    <w:rsid w:val="005F39AC"/>
    <w:rsid w:val="0060443F"/>
    <w:rsid w:val="00604DCD"/>
    <w:rsid w:val="00610081"/>
    <w:rsid w:val="00612379"/>
    <w:rsid w:val="00612C69"/>
    <w:rsid w:val="0061555F"/>
    <w:rsid w:val="0063139E"/>
    <w:rsid w:val="0063243A"/>
    <w:rsid w:val="00633EA9"/>
    <w:rsid w:val="00641200"/>
    <w:rsid w:val="006445EE"/>
    <w:rsid w:val="006655D3"/>
    <w:rsid w:val="006665FB"/>
    <w:rsid w:val="006667EE"/>
    <w:rsid w:val="00667404"/>
    <w:rsid w:val="00674714"/>
    <w:rsid w:val="00676DFD"/>
    <w:rsid w:val="00683176"/>
    <w:rsid w:val="00687EB4"/>
    <w:rsid w:val="006914F1"/>
    <w:rsid w:val="00693AD0"/>
    <w:rsid w:val="006942FE"/>
    <w:rsid w:val="006B17D2"/>
    <w:rsid w:val="006B20F4"/>
    <w:rsid w:val="006B3AEF"/>
    <w:rsid w:val="006C19F9"/>
    <w:rsid w:val="006C224E"/>
    <w:rsid w:val="006C3713"/>
    <w:rsid w:val="006D780A"/>
    <w:rsid w:val="006E737F"/>
    <w:rsid w:val="006F551D"/>
    <w:rsid w:val="006F69DC"/>
    <w:rsid w:val="00714B1A"/>
    <w:rsid w:val="007222BC"/>
    <w:rsid w:val="00732DEC"/>
    <w:rsid w:val="00735BD5"/>
    <w:rsid w:val="00744C66"/>
    <w:rsid w:val="00745392"/>
    <w:rsid w:val="00751ADD"/>
    <w:rsid w:val="007556F6"/>
    <w:rsid w:val="00760EEF"/>
    <w:rsid w:val="00767348"/>
    <w:rsid w:val="00771FC6"/>
    <w:rsid w:val="00776750"/>
    <w:rsid w:val="00777EE5"/>
    <w:rsid w:val="00784836"/>
    <w:rsid w:val="00787DEF"/>
    <w:rsid w:val="0079023E"/>
    <w:rsid w:val="0079128B"/>
    <w:rsid w:val="007A2854"/>
    <w:rsid w:val="007C659B"/>
    <w:rsid w:val="007D0B9D"/>
    <w:rsid w:val="007D19B0"/>
    <w:rsid w:val="007E7B95"/>
    <w:rsid w:val="007F4610"/>
    <w:rsid w:val="007F498F"/>
    <w:rsid w:val="0080482B"/>
    <w:rsid w:val="0080679D"/>
    <w:rsid w:val="008108B0"/>
    <w:rsid w:val="00811B20"/>
    <w:rsid w:val="00813850"/>
    <w:rsid w:val="008161A5"/>
    <w:rsid w:val="00816776"/>
    <w:rsid w:val="0082054F"/>
    <w:rsid w:val="0082296E"/>
    <w:rsid w:val="00824099"/>
    <w:rsid w:val="008255AF"/>
    <w:rsid w:val="00834411"/>
    <w:rsid w:val="00837FBC"/>
    <w:rsid w:val="00850570"/>
    <w:rsid w:val="00854C32"/>
    <w:rsid w:val="0086424A"/>
    <w:rsid w:val="00864FB2"/>
    <w:rsid w:val="008655E8"/>
    <w:rsid w:val="00867AC1"/>
    <w:rsid w:val="008730BA"/>
    <w:rsid w:val="00876B8F"/>
    <w:rsid w:val="008866C5"/>
    <w:rsid w:val="008929D6"/>
    <w:rsid w:val="00895F99"/>
    <w:rsid w:val="008A743F"/>
    <w:rsid w:val="008B3261"/>
    <w:rsid w:val="008C0088"/>
    <w:rsid w:val="008C0970"/>
    <w:rsid w:val="008D2CF7"/>
    <w:rsid w:val="008E5807"/>
    <w:rsid w:val="00900241"/>
    <w:rsid w:val="00900C26"/>
    <w:rsid w:val="0090197F"/>
    <w:rsid w:val="00903FAE"/>
    <w:rsid w:val="00904F82"/>
    <w:rsid w:val="00906DDC"/>
    <w:rsid w:val="0091378C"/>
    <w:rsid w:val="00934E09"/>
    <w:rsid w:val="00936253"/>
    <w:rsid w:val="00944D1B"/>
    <w:rsid w:val="00952DD4"/>
    <w:rsid w:val="00954973"/>
    <w:rsid w:val="009645C6"/>
    <w:rsid w:val="00970FED"/>
    <w:rsid w:val="00973D17"/>
    <w:rsid w:val="009800EB"/>
    <w:rsid w:val="00992D82"/>
    <w:rsid w:val="00994B77"/>
    <w:rsid w:val="00995483"/>
    <w:rsid w:val="00997029"/>
    <w:rsid w:val="009A4635"/>
    <w:rsid w:val="009A74AE"/>
    <w:rsid w:val="009C1286"/>
    <w:rsid w:val="009C4785"/>
    <w:rsid w:val="009C51B2"/>
    <w:rsid w:val="009D690D"/>
    <w:rsid w:val="009E65B6"/>
    <w:rsid w:val="009F1391"/>
    <w:rsid w:val="009F60CA"/>
    <w:rsid w:val="009F6DCD"/>
    <w:rsid w:val="00A01DAA"/>
    <w:rsid w:val="00A03296"/>
    <w:rsid w:val="00A05D8B"/>
    <w:rsid w:val="00A0760B"/>
    <w:rsid w:val="00A1087F"/>
    <w:rsid w:val="00A24C10"/>
    <w:rsid w:val="00A42AC3"/>
    <w:rsid w:val="00A430CF"/>
    <w:rsid w:val="00A45FFC"/>
    <w:rsid w:val="00A53CDD"/>
    <w:rsid w:val="00A54309"/>
    <w:rsid w:val="00A6084F"/>
    <w:rsid w:val="00A637AE"/>
    <w:rsid w:val="00A8342C"/>
    <w:rsid w:val="00A920F6"/>
    <w:rsid w:val="00A94AFD"/>
    <w:rsid w:val="00AB2812"/>
    <w:rsid w:val="00AB2B93"/>
    <w:rsid w:val="00AB530F"/>
    <w:rsid w:val="00AB5B7A"/>
    <w:rsid w:val="00AB6523"/>
    <w:rsid w:val="00AB7E5B"/>
    <w:rsid w:val="00AD54CD"/>
    <w:rsid w:val="00AD6353"/>
    <w:rsid w:val="00AE0EF1"/>
    <w:rsid w:val="00AE2937"/>
    <w:rsid w:val="00AE48EB"/>
    <w:rsid w:val="00AF2367"/>
    <w:rsid w:val="00AF7425"/>
    <w:rsid w:val="00B07301"/>
    <w:rsid w:val="00B20E48"/>
    <w:rsid w:val="00B21DDB"/>
    <w:rsid w:val="00B224DE"/>
    <w:rsid w:val="00B26CA2"/>
    <w:rsid w:val="00B3465C"/>
    <w:rsid w:val="00B34BB0"/>
    <w:rsid w:val="00B46575"/>
    <w:rsid w:val="00B62A42"/>
    <w:rsid w:val="00B64C36"/>
    <w:rsid w:val="00B84105"/>
    <w:rsid w:val="00B84BBD"/>
    <w:rsid w:val="00BA07CF"/>
    <w:rsid w:val="00BA43FB"/>
    <w:rsid w:val="00BA6BA4"/>
    <w:rsid w:val="00BC127D"/>
    <w:rsid w:val="00BC1FE6"/>
    <w:rsid w:val="00BF2F7A"/>
    <w:rsid w:val="00C061B6"/>
    <w:rsid w:val="00C155CE"/>
    <w:rsid w:val="00C17638"/>
    <w:rsid w:val="00C2446C"/>
    <w:rsid w:val="00C36AE5"/>
    <w:rsid w:val="00C41F17"/>
    <w:rsid w:val="00C45724"/>
    <w:rsid w:val="00C46C3A"/>
    <w:rsid w:val="00C51A1B"/>
    <w:rsid w:val="00C5280D"/>
    <w:rsid w:val="00C57432"/>
    <w:rsid w:val="00C5791C"/>
    <w:rsid w:val="00C65728"/>
    <w:rsid w:val="00C66290"/>
    <w:rsid w:val="00C72B7A"/>
    <w:rsid w:val="00C75835"/>
    <w:rsid w:val="00C82ADC"/>
    <w:rsid w:val="00C967F7"/>
    <w:rsid w:val="00C973F2"/>
    <w:rsid w:val="00CA304C"/>
    <w:rsid w:val="00CA72F3"/>
    <w:rsid w:val="00CA774A"/>
    <w:rsid w:val="00CB7125"/>
    <w:rsid w:val="00CC11B0"/>
    <w:rsid w:val="00CC5C93"/>
    <w:rsid w:val="00CF7E36"/>
    <w:rsid w:val="00D124D1"/>
    <w:rsid w:val="00D13F23"/>
    <w:rsid w:val="00D160AA"/>
    <w:rsid w:val="00D1712A"/>
    <w:rsid w:val="00D30941"/>
    <w:rsid w:val="00D3584F"/>
    <w:rsid w:val="00D3708D"/>
    <w:rsid w:val="00D40426"/>
    <w:rsid w:val="00D41FEC"/>
    <w:rsid w:val="00D57C96"/>
    <w:rsid w:val="00D60337"/>
    <w:rsid w:val="00D731EA"/>
    <w:rsid w:val="00D87251"/>
    <w:rsid w:val="00D91203"/>
    <w:rsid w:val="00D94D3A"/>
    <w:rsid w:val="00D95174"/>
    <w:rsid w:val="00DA6F36"/>
    <w:rsid w:val="00DB18CB"/>
    <w:rsid w:val="00DB596E"/>
    <w:rsid w:val="00DB7773"/>
    <w:rsid w:val="00DC00EA"/>
    <w:rsid w:val="00DC02AC"/>
    <w:rsid w:val="00DC04F7"/>
    <w:rsid w:val="00DC38A1"/>
    <w:rsid w:val="00DC7F7A"/>
    <w:rsid w:val="00E0335A"/>
    <w:rsid w:val="00E32F7E"/>
    <w:rsid w:val="00E339A6"/>
    <w:rsid w:val="00E34716"/>
    <w:rsid w:val="00E34B8A"/>
    <w:rsid w:val="00E359D2"/>
    <w:rsid w:val="00E47333"/>
    <w:rsid w:val="00E71894"/>
    <w:rsid w:val="00E72D49"/>
    <w:rsid w:val="00E7593C"/>
    <w:rsid w:val="00E7678A"/>
    <w:rsid w:val="00E82F50"/>
    <w:rsid w:val="00E87D10"/>
    <w:rsid w:val="00E935F1"/>
    <w:rsid w:val="00E94A81"/>
    <w:rsid w:val="00EA1FFB"/>
    <w:rsid w:val="00EB048E"/>
    <w:rsid w:val="00EB7BF9"/>
    <w:rsid w:val="00ED37DA"/>
    <w:rsid w:val="00ED4DE1"/>
    <w:rsid w:val="00EE1085"/>
    <w:rsid w:val="00EE3495"/>
    <w:rsid w:val="00EE34DF"/>
    <w:rsid w:val="00EF2F89"/>
    <w:rsid w:val="00F00F8C"/>
    <w:rsid w:val="00F042A5"/>
    <w:rsid w:val="00F1237A"/>
    <w:rsid w:val="00F221FB"/>
    <w:rsid w:val="00F22CBD"/>
    <w:rsid w:val="00F25CDB"/>
    <w:rsid w:val="00F27D7D"/>
    <w:rsid w:val="00F31977"/>
    <w:rsid w:val="00F40673"/>
    <w:rsid w:val="00F45372"/>
    <w:rsid w:val="00F5330E"/>
    <w:rsid w:val="00F551DC"/>
    <w:rsid w:val="00F560F7"/>
    <w:rsid w:val="00F6334D"/>
    <w:rsid w:val="00F74FDE"/>
    <w:rsid w:val="00F83589"/>
    <w:rsid w:val="00F9175E"/>
    <w:rsid w:val="00FA49AB"/>
    <w:rsid w:val="00FA5688"/>
    <w:rsid w:val="00FB27C4"/>
    <w:rsid w:val="00FC0DD4"/>
    <w:rsid w:val="00FD7B1A"/>
    <w:rsid w:val="00FE1DDE"/>
    <w:rsid w:val="00FE216A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7E6A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0F7E6A"/>
    <w:pPr>
      <w:keepNext/>
      <w:jc w:val="both"/>
      <w:outlineLvl w:val="1"/>
    </w:pPr>
    <w:rPr>
      <w:rFonts w:ascii="Arial" w:hAnsi="Arial" w:cs="Arial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477345"/>
    <w:rPr>
      <w:rFonts w:ascii="Arial" w:hAnsi="Arial"/>
      <w:caps/>
    </w:rPr>
  </w:style>
  <w:style w:type="character" w:styleId="Emphasis">
    <w:name w:val="Emphasis"/>
    <w:qFormat/>
    <w:rsid w:val="00D13F23"/>
    <w:rPr>
      <w:i/>
      <w:iCs/>
    </w:rPr>
  </w:style>
  <w:style w:type="paragraph" w:styleId="BodyTextIndent3">
    <w:name w:val="Body Text Indent 3"/>
    <w:basedOn w:val="Normal"/>
    <w:link w:val="BodyTextIndent3Char"/>
    <w:rsid w:val="000B7B9A"/>
    <w:pPr>
      <w:ind w:left="1701" w:hanging="1701"/>
    </w:pPr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odyTextIndent3Char">
    <w:name w:val="Body Text Indent 3 Char"/>
    <w:link w:val="BodyTextIndent3"/>
    <w:rsid w:val="000B7B9A"/>
    <w:rPr>
      <w:rFonts w:cs="Angsana New"/>
      <w:color w:val="000000"/>
      <w:sz w:val="24"/>
      <w:szCs w:val="24"/>
      <w:lang w:eastAsia="ja-JP" w:bidi="th-TH"/>
    </w:rPr>
  </w:style>
  <w:style w:type="paragraph" w:styleId="ListParagraph">
    <w:name w:val="List Paragraph"/>
    <w:basedOn w:val="Normal"/>
    <w:uiPriority w:val="34"/>
    <w:qFormat/>
    <w:rsid w:val="00233C64"/>
    <w:pPr>
      <w:ind w:left="720"/>
      <w:contextualSpacing/>
    </w:pPr>
  </w:style>
  <w:style w:type="table" w:styleId="TableGrid">
    <w:name w:val="Table Grid"/>
    <w:basedOn w:val="TableNormal"/>
    <w:rsid w:val="00233C6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275B4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75B4D"/>
    <w:rPr>
      <w:rFonts w:ascii="Arial" w:hAnsi="Arial"/>
    </w:rPr>
  </w:style>
  <w:style w:type="paragraph" w:customStyle="1" w:styleId="std">
    <w:name w:val="std"/>
    <w:basedOn w:val="Normal"/>
    <w:rsid w:val="00E47333"/>
    <w:pPr>
      <w:jc w:val="left"/>
    </w:pPr>
    <w:rPr>
      <w:rFonts w:ascii="Times New Roman" w:hAnsi="Times New Roman"/>
      <w:sz w:val="24"/>
      <w:szCs w:val="24"/>
      <w:lang w:eastAsia="fr-FR"/>
    </w:rPr>
  </w:style>
  <w:style w:type="character" w:customStyle="1" w:styleId="FooterChar">
    <w:name w:val="Footer Char"/>
    <w:aliases w:val="doc_path_name Char"/>
    <w:link w:val="Footer"/>
    <w:rsid w:val="008730BA"/>
    <w:rPr>
      <w:rFonts w:ascii="Arial" w:hAnsi="Arial"/>
      <w:sz w:val="14"/>
      <w:lang w:val="en-US" w:eastAsia="en-US"/>
    </w:rPr>
  </w:style>
  <w:style w:type="character" w:customStyle="1" w:styleId="HeaderChar">
    <w:name w:val="Header Char"/>
    <w:link w:val="Header"/>
    <w:uiPriority w:val="99"/>
    <w:rsid w:val="00850570"/>
    <w:rPr>
      <w:rFonts w:ascii="Arial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7E6A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0F7E6A"/>
    <w:pPr>
      <w:keepNext/>
      <w:jc w:val="both"/>
      <w:outlineLvl w:val="1"/>
    </w:pPr>
    <w:rPr>
      <w:rFonts w:ascii="Arial" w:hAnsi="Arial" w:cs="Arial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477345"/>
    <w:rPr>
      <w:rFonts w:ascii="Arial" w:hAnsi="Arial"/>
      <w:caps/>
    </w:rPr>
  </w:style>
  <w:style w:type="character" w:styleId="Emphasis">
    <w:name w:val="Emphasis"/>
    <w:qFormat/>
    <w:rsid w:val="00D13F23"/>
    <w:rPr>
      <w:i/>
      <w:iCs/>
    </w:rPr>
  </w:style>
  <w:style w:type="paragraph" w:styleId="BodyTextIndent3">
    <w:name w:val="Body Text Indent 3"/>
    <w:basedOn w:val="Normal"/>
    <w:link w:val="BodyTextIndent3Char"/>
    <w:rsid w:val="000B7B9A"/>
    <w:pPr>
      <w:ind w:left="1701" w:hanging="1701"/>
    </w:pPr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odyTextIndent3Char">
    <w:name w:val="Body Text Indent 3 Char"/>
    <w:link w:val="BodyTextIndent3"/>
    <w:rsid w:val="000B7B9A"/>
    <w:rPr>
      <w:rFonts w:cs="Angsana New"/>
      <w:color w:val="000000"/>
      <w:sz w:val="24"/>
      <w:szCs w:val="24"/>
      <w:lang w:eastAsia="ja-JP" w:bidi="th-TH"/>
    </w:rPr>
  </w:style>
  <w:style w:type="paragraph" w:styleId="ListParagraph">
    <w:name w:val="List Paragraph"/>
    <w:basedOn w:val="Normal"/>
    <w:uiPriority w:val="34"/>
    <w:qFormat/>
    <w:rsid w:val="00233C64"/>
    <w:pPr>
      <w:ind w:left="720"/>
      <w:contextualSpacing/>
    </w:pPr>
  </w:style>
  <w:style w:type="table" w:styleId="TableGrid">
    <w:name w:val="Table Grid"/>
    <w:basedOn w:val="TableNormal"/>
    <w:rsid w:val="00233C6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275B4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75B4D"/>
    <w:rPr>
      <w:rFonts w:ascii="Arial" w:hAnsi="Arial"/>
    </w:rPr>
  </w:style>
  <w:style w:type="paragraph" w:customStyle="1" w:styleId="std">
    <w:name w:val="std"/>
    <w:basedOn w:val="Normal"/>
    <w:rsid w:val="00E47333"/>
    <w:pPr>
      <w:jc w:val="left"/>
    </w:pPr>
    <w:rPr>
      <w:rFonts w:ascii="Times New Roman" w:hAnsi="Times New Roman"/>
      <w:sz w:val="24"/>
      <w:szCs w:val="24"/>
      <w:lang w:eastAsia="fr-FR"/>
    </w:rPr>
  </w:style>
  <w:style w:type="character" w:customStyle="1" w:styleId="FooterChar">
    <w:name w:val="Footer Char"/>
    <w:aliases w:val="doc_path_name Char"/>
    <w:link w:val="Footer"/>
    <w:rsid w:val="008730BA"/>
    <w:rPr>
      <w:rFonts w:ascii="Arial" w:hAnsi="Arial"/>
      <w:sz w:val="14"/>
      <w:lang w:val="en-US" w:eastAsia="en-US"/>
    </w:rPr>
  </w:style>
  <w:style w:type="character" w:customStyle="1" w:styleId="HeaderChar">
    <w:name w:val="Header Char"/>
    <w:link w:val="Header"/>
    <w:uiPriority w:val="99"/>
    <w:rsid w:val="00850570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pov.int/meetings/fr/details.jsp?meeting_id=28343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77623-F3A7-4B89-BE9E-3FFADA4456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0693AE-086F-4BC8-8A42-86C69C7C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3534</Words>
  <Characters>19744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tc_5_xx_xxx</vt:lpstr>
      <vt:lpstr>tc_5_xx_xxx</vt:lpstr>
    </vt:vector>
  </TitlesOfParts>
  <Company>UPOV</Company>
  <LinksUpToDate>false</LinksUpToDate>
  <CharactersWithSpaces>23232</CharactersWithSpaces>
  <SharedDoc>false</SharedDoc>
  <HLinks>
    <vt:vector size="6" baseType="variant">
      <vt:variant>
        <vt:i4>6553627</vt:i4>
      </vt:variant>
      <vt:variant>
        <vt:i4>26</vt:i4>
      </vt:variant>
      <vt:variant>
        <vt:i4>0</vt:i4>
      </vt:variant>
      <vt:variant>
        <vt:i4>5</vt:i4>
      </vt:variant>
      <vt:variant>
        <vt:lpwstr>http://upov.int/meetings/en/details.jsp?meeting_id=28343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tc_5_xx_xxx</dc:title>
  <dc:creator>FAVA Alexandra</dc:creator>
  <cp:keywords>MP/mhf</cp:keywords>
  <cp:lastModifiedBy>BESSE Ariane</cp:lastModifiedBy>
  <cp:revision>28</cp:revision>
  <cp:lastPrinted>2014-03-19T08:21:00Z</cp:lastPrinted>
  <dcterms:created xsi:type="dcterms:W3CDTF">2014-03-06T14:44:00Z</dcterms:created>
  <dcterms:modified xsi:type="dcterms:W3CDTF">2014-03-19T08:22:00Z</dcterms:modified>
</cp:coreProperties>
</file>