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40AD4" w:rsidRPr="00240AD4" w:rsidTr="00292050">
        <w:trPr>
          <w:trHeight w:val="1760"/>
        </w:trPr>
        <w:tc>
          <w:tcPr>
            <w:tcW w:w="4243" w:type="dxa"/>
          </w:tcPr>
          <w:p w:rsidR="00240AD4" w:rsidRPr="00240AD4" w:rsidRDefault="00240AD4" w:rsidP="0029205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240AD4" w:rsidRPr="00240AD4" w:rsidRDefault="00240AD4" w:rsidP="00292050">
            <w:pPr>
              <w:pStyle w:val="LogoUPOV"/>
              <w:rPr>
                <w:lang w:val="fr-FR"/>
              </w:rPr>
            </w:pPr>
            <w:r w:rsidRPr="00240AD4">
              <w:rPr>
                <w:noProof/>
              </w:rPr>
              <w:drawing>
                <wp:inline distT="0" distB="0" distL="0" distR="0" wp14:anchorId="0FE183F8" wp14:editId="59908A4C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240AD4" w:rsidRPr="00240AD4" w:rsidRDefault="00240AD4" w:rsidP="00292050">
            <w:pPr>
              <w:pStyle w:val="Lettrine"/>
              <w:rPr>
                <w:lang w:val="fr-FR"/>
              </w:rPr>
            </w:pPr>
            <w:r w:rsidRPr="00240AD4">
              <w:rPr>
                <w:lang w:val="fr-FR"/>
              </w:rPr>
              <w:t>F</w:t>
            </w:r>
          </w:p>
          <w:p w:rsidR="00240AD4" w:rsidRPr="00240AD4" w:rsidRDefault="00240AD4" w:rsidP="00292050">
            <w:pPr>
              <w:pStyle w:val="Docoriginal"/>
              <w:jc w:val="left"/>
              <w:rPr>
                <w:lang w:val="fr-FR"/>
              </w:rPr>
            </w:pPr>
            <w:r w:rsidRPr="00240AD4">
              <w:rPr>
                <w:lang w:val="fr-FR"/>
              </w:rPr>
              <w:t>CAJ/69/2</w:t>
            </w:r>
          </w:p>
          <w:p w:rsidR="00240AD4" w:rsidRPr="00240AD4" w:rsidRDefault="00240AD4" w:rsidP="00292050">
            <w:pPr>
              <w:pStyle w:val="Docoriginal"/>
              <w:jc w:val="left"/>
              <w:rPr>
                <w:lang w:val="fr-FR"/>
              </w:rPr>
            </w:pPr>
            <w:r w:rsidRPr="00240AD4">
              <w:rPr>
                <w:rStyle w:val="StyleDoclangBold"/>
                <w:b/>
                <w:spacing w:val="0"/>
                <w:lang w:val="fr-FR"/>
              </w:rPr>
              <w:t>ORIGINAL :</w:t>
            </w:r>
            <w:r w:rsidRPr="00240AD4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240AD4">
              <w:rPr>
                <w:b w:val="0"/>
                <w:spacing w:val="0"/>
                <w:lang w:val="fr-FR"/>
              </w:rPr>
              <w:t>anglais</w:t>
            </w:r>
          </w:p>
          <w:p w:rsidR="00240AD4" w:rsidRPr="00240AD4" w:rsidRDefault="00240AD4" w:rsidP="00292050">
            <w:pPr>
              <w:pStyle w:val="Docoriginal"/>
              <w:jc w:val="left"/>
              <w:rPr>
                <w:lang w:val="fr-FR"/>
              </w:rPr>
            </w:pPr>
            <w:r w:rsidRPr="00240AD4">
              <w:rPr>
                <w:spacing w:val="0"/>
                <w:lang w:val="fr-FR"/>
              </w:rPr>
              <w:t>DATE :</w:t>
            </w:r>
            <w:r w:rsidRPr="00240AD4">
              <w:rPr>
                <w:b w:val="0"/>
                <w:spacing w:val="0"/>
                <w:lang w:val="fr-FR"/>
              </w:rPr>
              <w:t xml:space="preserve"> 20 février 2014</w:t>
            </w:r>
          </w:p>
        </w:tc>
      </w:tr>
      <w:tr w:rsidR="00240AD4" w:rsidRPr="00240AD4" w:rsidTr="00292050">
        <w:tc>
          <w:tcPr>
            <w:tcW w:w="10131" w:type="dxa"/>
            <w:gridSpan w:val="3"/>
          </w:tcPr>
          <w:p w:rsidR="00240AD4" w:rsidRPr="00240AD4" w:rsidRDefault="00240AD4" w:rsidP="00292050">
            <w:pPr>
              <w:pStyle w:val="upove"/>
              <w:rPr>
                <w:sz w:val="28"/>
                <w:lang w:val="fr-FR"/>
              </w:rPr>
            </w:pPr>
            <w:r w:rsidRPr="00240AD4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240AD4" w:rsidRPr="00240AD4" w:rsidTr="00292050">
        <w:tc>
          <w:tcPr>
            <w:tcW w:w="10131" w:type="dxa"/>
            <w:gridSpan w:val="3"/>
          </w:tcPr>
          <w:p w:rsidR="00240AD4" w:rsidRPr="00240AD4" w:rsidRDefault="00240AD4" w:rsidP="00292050">
            <w:pPr>
              <w:pStyle w:val="Country"/>
              <w:rPr>
                <w:lang w:val="fr-FR"/>
              </w:rPr>
            </w:pPr>
            <w:r w:rsidRPr="00240AD4">
              <w:rPr>
                <w:lang w:val="fr-FR"/>
              </w:rPr>
              <w:t>Genève</w:t>
            </w:r>
          </w:p>
        </w:tc>
      </w:tr>
    </w:tbl>
    <w:p w:rsidR="00240AD4" w:rsidRPr="00240AD4" w:rsidRDefault="00240AD4" w:rsidP="00240AD4">
      <w:pPr>
        <w:pStyle w:val="Sessiontc"/>
        <w:rPr>
          <w:lang w:val="fr-FR"/>
        </w:rPr>
      </w:pPr>
      <w:r w:rsidRPr="00240AD4">
        <w:rPr>
          <w:lang w:val="fr-FR"/>
        </w:rPr>
        <w:t>Comité administratif et juridique</w:t>
      </w:r>
    </w:p>
    <w:p w:rsidR="00240AD4" w:rsidRPr="00240AD4" w:rsidRDefault="00240AD4" w:rsidP="00240AD4">
      <w:pPr>
        <w:pStyle w:val="Sessiontcplacedate"/>
        <w:rPr>
          <w:lang w:val="fr-FR"/>
        </w:rPr>
      </w:pPr>
      <w:r w:rsidRPr="00240AD4">
        <w:rPr>
          <w:lang w:val="fr-FR"/>
        </w:rPr>
        <w:t>Soixante-neuvième session</w:t>
      </w:r>
      <w:r w:rsidRPr="00240AD4">
        <w:rPr>
          <w:lang w:val="fr-FR"/>
        </w:rPr>
        <w:br/>
        <w:t>Genève, 10 avril 2014</w:t>
      </w:r>
    </w:p>
    <w:p w:rsidR="00AA5D79" w:rsidRPr="002C6F6E" w:rsidRDefault="00AA5D79" w:rsidP="0080679D">
      <w:pPr>
        <w:pStyle w:val="Titleofdoc0"/>
        <w:rPr>
          <w:lang w:val="fr-FR"/>
        </w:rPr>
      </w:pPr>
      <w:r w:rsidRPr="002C6F6E">
        <w:rPr>
          <w:kern w:val="28"/>
          <w:lang w:val="fr-FR"/>
        </w:rPr>
        <w:t>Élaboration de mat</w:t>
      </w:r>
      <w:r w:rsidR="00672815">
        <w:rPr>
          <w:kern w:val="28"/>
          <w:lang w:val="fr-FR"/>
        </w:rPr>
        <w:t>é</w:t>
      </w:r>
      <w:r w:rsidRPr="002C6F6E">
        <w:rPr>
          <w:kern w:val="28"/>
          <w:lang w:val="fr-FR"/>
        </w:rPr>
        <w:t>riels d</w:t>
      </w:r>
      <w:r w:rsidR="00A94E7B" w:rsidRPr="002C6F6E">
        <w:rPr>
          <w:kern w:val="28"/>
          <w:lang w:val="fr-FR"/>
        </w:rPr>
        <w:t>’</w:t>
      </w:r>
      <w:r w:rsidRPr="002C6F6E">
        <w:rPr>
          <w:kern w:val="28"/>
          <w:lang w:val="fr-FR"/>
        </w:rPr>
        <w:t xml:space="preserve">information concernant la </w:t>
      </w:r>
      <w:r w:rsidR="00A94E7B" w:rsidRPr="002C6F6E">
        <w:rPr>
          <w:kern w:val="28"/>
          <w:lang w:val="fr-FR"/>
        </w:rPr>
        <w:t>Convention UPOV</w:t>
      </w:r>
    </w:p>
    <w:p w:rsidR="00A94E7B" w:rsidRPr="002C6F6E" w:rsidRDefault="00AA5D79" w:rsidP="00B05DCB">
      <w:pPr>
        <w:pStyle w:val="preparedby1"/>
        <w:rPr>
          <w:color w:val="A6A6A6"/>
          <w:lang w:val="fr-FR"/>
        </w:rPr>
      </w:pPr>
      <w:bookmarkStart w:id="0" w:name="Prepared"/>
      <w:bookmarkEnd w:id="0"/>
      <w:r w:rsidRPr="002C6F6E">
        <w:rPr>
          <w:lang w:val="fr-FR"/>
        </w:rPr>
        <w:t>Document établi par le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</w:t>
      </w:r>
      <w:r w:rsidRPr="002C6F6E">
        <w:rPr>
          <w:lang w:val="fr-FR"/>
        </w:rPr>
        <w:br/>
      </w:r>
      <w:r w:rsidRPr="002C6F6E">
        <w:rPr>
          <w:lang w:val="fr-FR"/>
        </w:rPr>
        <w:br/>
      </w:r>
      <w:r w:rsidRPr="002C6F6E">
        <w:rPr>
          <w:color w:val="A6A6A6"/>
          <w:lang w:val="fr-FR"/>
        </w:rPr>
        <w:t>Avertissement : le présent document ne représente pas les principes ou les orientations de l</w:t>
      </w:r>
      <w:r w:rsidR="00A94E7B" w:rsidRPr="002C6F6E">
        <w:rPr>
          <w:color w:val="A6A6A6"/>
          <w:lang w:val="fr-FR"/>
        </w:rPr>
        <w:t>’</w:t>
      </w:r>
      <w:r w:rsidRPr="002C6F6E">
        <w:rPr>
          <w:color w:val="A6A6A6"/>
          <w:lang w:val="fr-FR"/>
        </w:rPr>
        <w:t>UPOV</w:t>
      </w:r>
    </w:p>
    <w:p w:rsidR="00AA5D79" w:rsidRPr="002C6F6E" w:rsidRDefault="00AA5D79" w:rsidP="004453B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présent document a pour objet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apporter des informations générales en vue de faciliter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par le Comité administratif et juridique (CAJ) de questions 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neuvième session, de faire rapport sur les travaux du groupe consulta</w:t>
      </w:r>
      <w:r w:rsidR="00240AD4">
        <w:rPr>
          <w:lang w:val="fr-FR"/>
        </w:rPr>
        <w:t xml:space="preserve">tif du </w:t>
      </w:r>
      <w:r w:rsidRPr="002C6F6E">
        <w:rPr>
          <w:lang w:val="fr-FR"/>
        </w:rPr>
        <w:t>CAJ (CAJ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AG) et de présenter un programme provisoire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information.</w:t>
      </w:r>
    </w:p>
    <w:p w:rsidR="00AA5D79" w:rsidRPr="002C6F6E" w:rsidRDefault="00AA5D79" w:rsidP="004453BD">
      <w:pPr>
        <w:rPr>
          <w:lang w:val="fr-FR"/>
        </w:rPr>
      </w:pPr>
    </w:p>
    <w:p w:rsidR="00292050" w:rsidRDefault="00AA5D7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2C6F6E">
        <w:rPr>
          <w:rFonts w:eastAsia="Arial Unicode MS"/>
          <w:b/>
          <w:bCs/>
          <w:noProof w:val="0"/>
          <w:lang w:val="fr-FR"/>
        </w:rPr>
        <w:fldChar w:fldCharType="begin"/>
      </w:r>
      <w:r w:rsidRPr="002C6F6E">
        <w:rPr>
          <w:rFonts w:eastAsia="Arial Unicode MS"/>
          <w:b/>
          <w:bCs/>
          <w:noProof w:val="0"/>
          <w:lang w:val="fr-FR"/>
        </w:rPr>
        <w:instrText xml:space="preserve"> TOC \o "1-3" \u </w:instrText>
      </w:r>
      <w:r w:rsidRPr="002C6F6E">
        <w:rPr>
          <w:rFonts w:eastAsia="Arial Unicode MS"/>
          <w:b/>
          <w:bCs/>
          <w:noProof w:val="0"/>
          <w:lang w:val="fr-FR"/>
        </w:rPr>
        <w:fldChar w:fldCharType="separate"/>
      </w:r>
      <w:r w:rsidR="00292050" w:rsidRPr="00906D2E">
        <w:rPr>
          <w:lang w:val="fr-FR"/>
        </w:rPr>
        <w:t>i.</w:t>
      </w:r>
      <w:r w:rsidR="00292050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292050" w:rsidRPr="00906D2E">
        <w:rPr>
          <w:lang w:val="fr-FR"/>
        </w:rPr>
        <w:t>Informations générales</w:t>
      </w:r>
      <w:r w:rsidR="00292050">
        <w:tab/>
      </w:r>
      <w:r w:rsidR="00292050">
        <w:fldChar w:fldCharType="begin"/>
      </w:r>
      <w:r w:rsidR="00292050">
        <w:instrText xml:space="preserve"> PAGEREF _Toc381194401 \h </w:instrText>
      </w:r>
      <w:r w:rsidR="00292050">
        <w:fldChar w:fldCharType="separate"/>
      </w:r>
      <w:r w:rsidR="003F4FEE">
        <w:t>2</w:t>
      </w:r>
      <w:r w:rsidR="00292050"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II.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Aperçu général des matériels d’information élaborés et en cours d’élaboration</w:t>
      </w:r>
      <w:r>
        <w:tab/>
      </w:r>
      <w:r>
        <w:fldChar w:fldCharType="begin"/>
      </w:r>
      <w:r>
        <w:instrText xml:space="preserve"> PAGEREF _Toc381194402 \h </w:instrText>
      </w:r>
      <w:r>
        <w:fldChar w:fldCharType="separate"/>
      </w:r>
      <w:r w:rsidR="003F4FEE">
        <w:t>2</w:t>
      </w:r>
      <w:r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III.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Questions concernant les variétés essentiellement dérivées</w:t>
      </w:r>
      <w:r>
        <w:tab/>
      </w:r>
      <w:r>
        <w:fldChar w:fldCharType="begin"/>
      </w:r>
      <w:r>
        <w:instrText xml:space="preserve"> PAGEREF _Toc381194403 \h </w:instrText>
      </w:r>
      <w:r>
        <w:fldChar w:fldCharType="separate"/>
      </w:r>
      <w:r w:rsidR="003F4FEE">
        <w:t>2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Séminaire sur les variétés essentiellement dérivées</w:t>
      </w:r>
      <w:r>
        <w:tab/>
      </w:r>
      <w:r>
        <w:fldChar w:fldCharType="begin"/>
      </w:r>
      <w:r>
        <w:instrText xml:space="preserve"> PAGEREF _Toc381194404 \h </w:instrText>
      </w:r>
      <w:r>
        <w:fldChar w:fldCharType="separate"/>
      </w:r>
      <w:r w:rsidR="003F4FEE">
        <w:t>2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Travaux du CAJ</w:t>
      </w:r>
      <w:r w:rsidRPr="00906D2E">
        <w:rPr>
          <w:lang w:val="fr-FR"/>
        </w:rPr>
        <w:noBreakHyphen/>
        <w:t>AG sur les variétés essentiellement dérivées</w:t>
      </w:r>
      <w:r>
        <w:tab/>
      </w:r>
      <w:r>
        <w:fldChar w:fldCharType="begin"/>
      </w:r>
      <w:r>
        <w:instrText xml:space="preserve"> PAGEREF _Toc381194405 \h </w:instrText>
      </w:r>
      <w:r>
        <w:fldChar w:fldCharType="separate"/>
      </w:r>
      <w:r w:rsidR="003F4FEE">
        <w:t>3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UPOV/EXN/EDV/2 Draft 3 “Notes explicatives sur les variétés essentiellement dérivées selon l’Acte de 1991 de la Convention UPOV”</w:t>
      </w:r>
      <w:r>
        <w:tab/>
      </w:r>
      <w:r>
        <w:fldChar w:fldCharType="begin"/>
      </w:r>
      <w:r>
        <w:instrText xml:space="preserve"> PAGEREF _Toc381194406 \h </w:instrText>
      </w:r>
      <w:r>
        <w:fldChar w:fldCharType="separate"/>
      </w:r>
      <w:r w:rsidR="003F4FEE">
        <w:t>3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L’utilisation des informations relatives à la variété initiale pour l’obtention de variétés essentiellement dérivées</w:t>
      </w:r>
      <w:r>
        <w:tab/>
      </w:r>
      <w:r>
        <w:fldChar w:fldCharType="begin"/>
      </w:r>
      <w:r>
        <w:instrText xml:space="preserve"> PAGEREF _Toc381194407 \h </w:instrText>
      </w:r>
      <w:r>
        <w:fldChar w:fldCharType="separate"/>
      </w:r>
      <w:r w:rsidR="003F4FEE">
        <w:t>3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Le rapport entre les points i) et iii) de l’article 14.5)b) de l’Acte de 1991 de la Convention</w:t>
      </w:r>
      <w:r>
        <w:tab/>
      </w:r>
      <w:r>
        <w:fldChar w:fldCharType="begin"/>
      </w:r>
      <w:r>
        <w:instrText xml:space="preserve"> PAGEREF _Toc381194408 \h </w:instrText>
      </w:r>
      <w:r>
        <w:fldChar w:fldCharType="separate"/>
      </w:r>
      <w:r w:rsidR="003F4FEE">
        <w:t>4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Questions relatives aux variétés essentiellement dérivées qui ne bénéficient pas de la protection de plein droit</w:t>
      </w:r>
      <w:r>
        <w:tab/>
      </w:r>
      <w:r>
        <w:fldChar w:fldCharType="begin"/>
      </w:r>
      <w:r>
        <w:instrText xml:space="preserve"> PAGEREF _Toc381194409 \h </w:instrText>
      </w:r>
      <w:r>
        <w:fldChar w:fldCharType="separate"/>
      </w:r>
      <w:r w:rsidR="003F4FEE">
        <w:t>5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Exposés sur les systèmes des membres de l’Union relatifs aux variétés essentiellement dérivées</w:t>
      </w:r>
      <w:r>
        <w:tab/>
      </w:r>
      <w:r>
        <w:fldChar w:fldCharType="begin"/>
      </w:r>
      <w:r>
        <w:instrText xml:space="preserve"> PAGEREF _Toc381194410 \h </w:instrText>
      </w:r>
      <w:r>
        <w:fldChar w:fldCharType="separate"/>
      </w:r>
      <w:r w:rsidR="003F4FEE">
        <w:t>6</w:t>
      </w:r>
      <w:r>
        <w:fldChar w:fldCharType="end"/>
      </w:r>
    </w:p>
    <w:p w:rsidR="00292050" w:rsidRDefault="00292050">
      <w:pPr>
        <w:pStyle w:val="TOC3"/>
        <w:rPr>
          <w:rFonts w:asciiTheme="minorHAnsi" w:eastAsiaTheme="minorEastAsia" w:hAnsiTheme="minorHAnsi" w:cstheme="minorBidi"/>
          <w:i w:val="0"/>
          <w:iCs w:val="0"/>
          <w:sz w:val="22"/>
          <w:szCs w:val="22"/>
          <w:lang w:val="en-US"/>
        </w:rPr>
      </w:pPr>
      <w:r w:rsidRPr="00906D2E">
        <w:t>Session III du séminaire sur les variétés essentiellement dérivées “Rôle éventuel des futures orientations de l’UPOV sur les variétés essentiellement dérivées”</w:t>
      </w:r>
      <w:r>
        <w:tab/>
      </w:r>
      <w:r>
        <w:fldChar w:fldCharType="begin"/>
      </w:r>
      <w:r>
        <w:instrText xml:space="preserve"> PAGEREF _Toc381194411 \h </w:instrText>
      </w:r>
      <w:r>
        <w:fldChar w:fldCharType="separate"/>
      </w:r>
      <w:r w:rsidR="003F4FEE">
        <w:t>6</w:t>
      </w:r>
      <w:r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IV.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Questions concernant les descriptions variétales</w:t>
      </w:r>
      <w:r>
        <w:tab/>
      </w:r>
      <w:r>
        <w:fldChar w:fldCharType="begin"/>
      </w:r>
      <w:r>
        <w:instrText xml:space="preserve"> PAGEREF _Toc381194412 \h </w:instrText>
      </w:r>
      <w:r>
        <w:fldChar w:fldCharType="separate"/>
      </w:r>
      <w:r w:rsidR="003F4FEE">
        <w:t>7</w:t>
      </w:r>
      <w:r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V.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Questions concernant la participation d’observateurs au CAJ</w:t>
      </w:r>
      <w:r w:rsidRPr="00906D2E">
        <w:rPr>
          <w:lang w:val="fr-FR"/>
        </w:rPr>
        <w:noBreakHyphen/>
        <w:t>AG</w:t>
      </w:r>
      <w:r>
        <w:tab/>
      </w:r>
      <w:r>
        <w:fldChar w:fldCharType="begin"/>
      </w:r>
      <w:r>
        <w:instrText xml:space="preserve"> PAGEREF _Toc381194413 \h </w:instrText>
      </w:r>
      <w:r>
        <w:fldChar w:fldCharType="separate"/>
      </w:r>
      <w:r w:rsidR="003F4FEE">
        <w:t>8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snapToGrid w:val="0"/>
          <w:lang w:val="fr-FR"/>
        </w:rPr>
        <w:t>Conclusions du Comité consultatif concernant la participation d’observateurs au CAJ</w:t>
      </w:r>
      <w:r w:rsidRPr="00906D2E">
        <w:rPr>
          <w:snapToGrid w:val="0"/>
          <w:lang w:val="fr-FR"/>
        </w:rPr>
        <w:noBreakHyphen/>
        <w:t>AG</w:t>
      </w:r>
      <w:r>
        <w:tab/>
      </w:r>
      <w:r>
        <w:fldChar w:fldCharType="begin"/>
      </w:r>
      <w:r>
        <w:instrText xml:space="preserve"> PAGEREF _Toc381194414 \h </w:instrText>
      </w:r>
      <w:r>
        <w:fldChar w:fldCharType="separate"/>
      </w:r>
      <w:r w:rsidR="003F4FEE">
        <w:t>8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Invitations</w:t>
      </w:r>
      <w:r w:rsidRPr="00906D2E">
        <w:rPr>
          <w:i/>
          <w:iCs/>
          <w:lang w:val="fr-FR"/>
        </w:rPr>
        <w:t xml:space="preserve"> </w:t>
      </w:r>
      <w:r w:rsidRPr="00906D2E">
        <w:rPr>
          <w:iCs/>
          <w:lang w:val="fr-FR"/>
        </w:rPr>
        <w:t>ad hoc</w:t>
      </w:r>
      <w:r w:rsidRPr="00906D2E">
        <w:rPr>
          <w:i/>
          <w:iCs/>
          <w:lang w:val="fr-FR"/>
        </w:rPr>
        <w:t xml:space="preserve"> </w:t>
      </w:r>
      <w:r w:rsidRPr="00906D2E">
        <w:rPr>
          <w:lang w:val="fr-FR"/>
        </w:rPr>
        <w:t>à la partie concernée de la neuvième session du </w:t>
      </w:r>
      <w:r w:rsidRPr="00906D2E">
        <w:rPr>
          <w:rFonts w:eastAsia="Batang"/>
          <w:snapToGrid w:val="0"/>
          <w:lang w:val="fr-FR" w:eastAsia="ko-KR"/>
        </w:rPr>
        <w:t>CAJ</w:t>
      </w:r>
      <w:r w:rsidRPr="00906D2E">
        <w:rPr>
          <w:rFonts w:eastAsia="Batang"/>
          <w:snapToGrid w:val="0"/>
          <w:lang w:val="fr-FR" w:eastAsia="ko-KR"/>
        </w:rPr>
        <w:noBreakHyphen/>
        <w:t>AG</w:t>
      </w:r>
      <w:r>
        <w:tab/>
      </w:r>
      <w:r>
        <w:fldChar w:fldCharType="begin"/>
      </w:r>
      <w:r>
        <w:instrText xml:space="preserve"> PAGEREF _Toc381194415 \h </w:instrText>
      </w:r>
      <w:r>
        <w:fldChar w:fldCharType="separate"/>
      </w:r>
      <w:r w:rsidR="003F4FEE">
        <w:t>9</w:t>
      </w:r>
      <w:r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VI.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Rapport sur les travaux du CAJ</w:t>
      </w:r>
      <w:r w:rsidRPr="00906D2E">
        <w:rPr>
          <w:lang w:val="fr-FR"/>
        </w:rPr>
        <w:noBreakHyphen/>
        <w:t>AG à sa huitième session</w:t>
      </w:r>
      <w:r>
        <w:tab/>
      </w:r>
      <w:r>
        <w:fldChar w:fldCharType="begin"/>
      </w:r>
      <w:r>
        <w:instrText xml:space="preserve"> PAGEREF _Toc381194416 \h </w:instrText>
      </w:r>
      <w:r>
        <w:fldChar w:fldCharType="separate"/>
      </w:r>
      <w:r w:rsidR="003F4FEE">
        <w:t>10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Notes explicatives sur la reproduction ou la multiplication et sur le matériel de reproduction  ou de multiplication</w:t>
      </w:r>
      <w:r>
        <w:tab/>
      </w:r>
      <w:r>
        <w:fldChar w:fldCharType="begin"/>
      </w:r>
      <w:r>
        <w:instrText xml:space="preserve"> PAGEREF _Toc381194417 \h </w:instrText>
      </w:r>
      <w:r>
        <w:fldChar w:fldCharType="separate"/>
      </w:r>
      <w:r w:rsidR="003F4FEE">
        <w:t>10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Notes explicatives sur les actes à l’égard du produit de la récolte</w:t>
      </w:r>
      <w:r>
        <w:tab/>
      </w:r>
      <w:r>
        <w:fldChar w:fldCharType="begin"/>
      </w:r>
      <w:r>
        <w:instrText xml:space="preserve"> PAGEREF _Toc381194418 \h </w:instrText>
      </w:r>
      <w:r>
        <w:fldChar w:fldCharType="separate"/>
      </w:r>
      <w:r w:rsidR="003F4FEE">
        <w:t>11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lastRenderedPageBreak/>
        <w:t>Questions concernant la déchéance de l’obtenteur</w:t>
      </w:r>
      <w:r>
        <w:tab/>
      </w:r>
      <w:r>
        <w:fldChar w:fldCharType="begin"/>
      </w:r>
      <w:r>
        <w:instrText xml:space="preserve"> PAGEREF _Toc381194419 \h </w:instrText>
      </w:r>
      <w:r>
        <w:fldChar w:fldCharType="separate"/>
      </w:r>
      <w:r w:rsidR="003F4FEE">
        <w:t>12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Questions concernant la nullité du droit d’obtenteur</w:t>
      </w:r>
      <w:r>
        <w:tab/>
      </w:r>
      <w:r>
        <w:fldChar w:fldCharType="begin"/>
      </w:r>
      <w:r>
        <w:instrText xml:space="preserve"> PAGEREF _Toc381194420 \h </w:instrText>
      </w:r>
      <w:r>
        <w:fldChar w:fldCharType="separate"/>
      </w:r>
      <w:r w:rsidR="003F4FEE">
        <w:t>12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Questions concernant les dénominations variétales</w:t>
      </w:r>
      <w:r>
        <w:tab/>
      </w:r>
      <w:r>
        <w:fldChar w:fldCharType="begin"/>
      </w:r>
      <w:r>
        <w:instrText xml:space="preserve"> PAGEREF _Toc381194421 \h </w:instrText>
      </w:r>
      <w:r>
        <w:fldChar w:fldCharType="separate"/>
      </w:r>
      <w:r w:rsidR="003F4FEE">
        <w:t>12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Questions se posant après l’octroi du droit d’obtenteur concernant la protection provisoire, le dépôt des demandes et la défense des droits d’obtenteur</w:t>
      </w:r>
      <w:r>
        <w:tab/>
      </w:r>
      <w:r>
        <w:fldChar w:fldCharType="begin"/>
      </w:r>
      <w:r>
        <w:instrText xml:space="preserve"> PAGEREF _Toc381194422 \h </w:instrText>
      </w:r>
      <w:r>
        <w:fldChar w:fldCharType="separate"/>
      </w:r>
      <w:r w:rsidR="003F4FEE">
        <w:t>13</w:t>
      </w:r>
      <w:r>
        <w:fldChar w:fldCharType="end"/>
      </w:r>
    </w:p>
    <w:p w:rsidR="00292050" w:rsidRDefault="0029205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D2E">
        <w:rPr>
          <w:lang w:val="fr-FR"/>
        </w:rPr>
        <w:t>VII.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906D2E">
        <w:rPr>
          <w:lang w:val="fr-FR"/>
        </w:rPr>
        <w:t>Programme d’élaboration de matériels d’information</w:t>
      </w:r>
      <w:r>
        <w:tab/>
      </w:r>
      <w:r>
        <w:fldChar w:fldCharType="begin"/>
      </w:r>
      <w:r>
        <w:instrText xml:space="preserve"> PAGEREF _Toc381194423 \h </w:instrText>
      </w:r>
      <w:r>
        <w:fldChar w:fldCharType="separate"/>
      </w:r>
      <w:r w:rsidR="003F4FEE">
        <w:t>14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Programme de travail relatif à l’élaboration de matériels d’information pour la neuvième session du CAJ</w:t>
      </w:r>
      <w:r w:rsidRPr="00906D2E">
        <w:rPr>
          <w:lang w:val="fr-FR"/>
        </w:rPr>
        <w:noBreakHyphen/>
        <w:t>AG, qui se tiendra à Genève en octobre 2014</w:t>
      </w:r>
      <w:r>
        <w:tab/>
      </w:r>
      <w:r>
        <w:fldChar w:fldCharType="begin"/>
      </w:r>
      <w:r>
        <w:instrText xml:space="preserve"> PAGEREF _Toc381194424 \h </w:instrText>
      </w:r>
      <w:r>
        <w:fldChar w:fldCharType="separate"/>
      </w:r>
      <w:r w:rsidR="003F4FEE">
        <w:t>14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Mise à jour du document UPOV/INF/5 “Bulletin type de l’UPOV de la protection des obtentions végétales”</w:t>
      </w:r>
      <w:r>
        <w:tab/>
      </w:r>
      <w:r>
        <w:fldChar w:fldCharType="begin"/>
      </w:r>
      <w:r>
        <w:instrText xml:space="preserve"> PAGEREF _Toc381194425 \h </w:instrText>
      </w:r>
      <w:r>
        <w:fldChar w:fldCharType="separate"/>
      </w:r>
      <w:r w:rsidR="003F4FEE">
        <w:t>16</w:t>
      </w:r>
      <w:r>
        <w:fldChar w:fldCharType="end"/>
      </w:r>
    </w:p>
    <w:p w:rsidR="00292050" w:rsidRDefault="00292050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906D2E">
        <w:rPr>
          <w:lang w:val="fr-FR"/>
        </w:rPr>
        <w:t>Révision du document UPOV/INF/15 “Document d’orientation destiné aux membres de l’UPOV concernant les obligations en cours et les notifications connexes ainsi que la fourniture d’informations visant à faciliter la coopération”</w:t>
      </w:r>
      <w:r>
        <w:tab/>
      </w:r>
      <w:r>
        <w:fldChar w:fldCharType="begin"/>
      </w:r>
      <w:r>
        <w:instrText xml:space="preserve"> PAGEREF _Toc381194426 \h </w:instrText>
      </w:r>
      <w:r>
        <w:fldChar w:fldCharType="separate"/>
      </w:r>
      <w:r w:rsidR="003F4FEE">
        <w:t>16</w:t>
      </w:r>
      <w:r>
        <w:fldChar w:fldCharType="end"/>
      </w:r>
    </w:p>
    <w:p w:rsidR="00AA5D79" w:rsidRPr="002C6F6E" w:rsidRDefault="00AA5D79" w:rsidP="004453BD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  <w:r w:rsidRPr="002C6F6E">
        <w:rPr>
          <w:rFonts w:eastAsia="Arial Unicode MS"/>
          <w:b/>
          <w:bCs/>
          <w:lang w:val="fr-FR"/>
        </w:rPr>
        <w:fldChar w:fldCharType="end"/>
      </w:r>
    </w:p>
    <w:p w:rsidR="00AA5D79" w:rsidRPr="002C6F6E" w:rsidRDefault="00AA5D79" w:rsidP="004453BD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</w:p>
    <w:p w:rsidR="00AA5D79" w:rsidRPr="002C6F6E" w:rsidRDefault="00AA5D79" w:rsidP="004453BD">
      <w:pPr>
        <w:tabs>
          <w:tab w:val="left" w:pos="567"/>
        </w:tabs>
        <w:rPr>
          <w:rFonts w:eastAsia="Arial Unicode MS"/>
          <w:b/>
          <w:bCs/>
          <w:caps/>
          <w:lang w:val="fr-FR"/>
        </w:rPr>
      </w:pPr>
    </w:p>
    <w:p w:rsidR="00AA5D79" w:rsidRPr="002C6F6E" w:rsidRDefault="00AA5D79" w:rsidP="00292050">
      <w:pPr>
        <w:pStyle w:val="Heading1"/>
        <w:rPr>
          <w:lang w:val="fr-FR"/>
        </w:rPr>
      </w:pPr>
      <w:bookmarkStart w:id="1" w:name="_Toc381194401"/>
      <w:r w:rsidRPr="002C6F6E">
        <w:rPr>
          <w:lang w:val="fr-FR"/>
        </w:rPr>
        <w:t>i.</w:t>
      </w:r>
      <w:r w:rsidRPr="002C6F6E">
        <w:rPr>
          <w:lang w:val="fr-FR"/>
        </w:rPr>
        <w:tab/>
      </w:r>
      <w:r w:rsidR="00672815">
        <w:rPr>
          <w:lang w:val="fr-FR"/>
        </w:rPr>
        <w:t>I</w:t>
      </w:r>
      <w:r w:rsidRPr="002C6F6E">
        <w:rPr>
          <w:lang w:val="fr-FR"/>
        </w:rPr>
        <w:t>nformations g</w:t>
      </w:r>
      <w:r w:rsidR="00672815">
        <w:rPr>
          <w:lang w:val="fr-FR"/>
        </w:rPr>
        <w:t>éné</w:t>
      </w:r>
      <w:r w:rsidRPr="002C6F6E">
        <w:rPr>
          <w:lang w:val="fr-FR"/>
        </w:rPr>
        <w:t>rales</w:t>
      </w:r>
      <w:bookmarkEnd w:id="1"/>
    </w:p>
    <w:p w:rsidR="00AA5D79" w:rsidRPr="002C6F6E" w:rsidRDefault="00AA5D79" w:rsidP="004453BD">
      <w:pPr>
        <w:keepNext/>
        <w:rPr>
          <w:lang w:val="fr-FR"/>
        </w:rPr>
      </w:pPr>
    </w:p>
    <w:p w:rsidR="00AA5D79" w:rsidRPr="002C6F6E" w:rsidRDefault="00AA5D79" w:rsidP="004453B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cinquante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deuxième session tenue à Genève le 24 octobre 2005, le Comité administratif et juridique (CAJ) a approuvé une méthode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information concernant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, méthode qui est expliquée dans les paragraphes 8 à</w:t>
      </w:r>
      <w:r w:rsidR="00672815">
        <w:rPr>
          <w:lang w:val="fr-FR"/>
        </w:rPr>
        <w:t> </w:t>
      </w:r>
      <w:r w:rsidRPr="002C6F6E">
        <w:rPr>
          <w:lang w:val="fr-FR"/>
        </w:rPr>
        <w:t xml:space="preserve">10 du document CAJ/52/4.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 xml:space="preserve">Il est également convenu de la création </w:t>
      </w:r>
      <w:r w:rsidR="00292050">
        <w:rPr>
          <w:lang w:val="fr-FR"/>
        </w:rPr>
        <w:t xml:space="preserve">du </w:t>
      </w:r>
      <w:r w:rsidRPr="002C6F6E">
        <w:rPr>
          <w:lang w:val="fr-FR"/>
        </w:rPr>
        <w:t>Groupe consultatif du Comité administratif et juridique (CAJ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AG), lequel est chargé de contribuer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des documents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information, selon la proposition énoncée dans les paragraphes 11 à</w:t>
      </w:r>
      <w:r w:rsidR="00672815">
        <w:rPr>
          <w:lang w:val="fr-FR"/>
        </w:rPr>
        <w:t> </w:t>
      </w:r>
      <w:r w:rsidRPr="002C6F6E">
        <w:rPr>
          <w:lang w:val="fr-FR"/>
        </w:rPr>
        <w:t>14 du document CAJ/52/4 (voir le paragraphe 67 du document CAJ/52/5 “Compte rendu”).</w:t>
      </w:r>
    </w:p>
    <w:p w:rsidR="00AA5D79" w:rsidRPr="002C6F6E" w:rsidRDefault="00AA5D79" w:rsidP="004453BD">
      <w:pPr>
        <w:rPr>
          <w:lang w:val="fr-FR"/>
        </w:rPr>
      </w:pPr>
    </w:p>
    <w:p w:rsidR="00AA5D79" w:rsidRPr="002C6F6E" w:rsidRDefault="00AA5D79" w:rsidP="004453B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La méthode convenue est résumée comme suit : le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élaborera certains projets de matériels traitant de questions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estimerait simples et il les diffusera au sein du CAJ pour que soient formulées des observations dans un délai imparti.  Dans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autres cas, lorsqu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est estimé que les questions sont plutôt délicates et que les délibérations à une session du CAJ revêtent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importance pour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appropriés, mais également dans les cas où un projet de texte traitant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question apparemment simple aura soulevé des difficultés inattendues lors de sa diffusion pour observations, il sera fait appel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avant que le CAJ soit invité à en délibérer à sa session.</w:t>
      </w:r>
    </w:p>
    <w:p w:rsidR="00AA5D79" w:rsidRDefault="00AA5D79" w:rsidP="004453BD">
      <w:pPr>
        <w:rPr>
          <w:lang w:val="fr-FR"/>
        </w:rPr>
      </w:pPr>
    </w:p>
    <w:p w:rsidR="002D6A42" w:rsidRDefault="002D6A42" w:rsidP="004453BD">
      <w:pPr>
        <w:rPr>
          <w:lang w:val="fr-FR"/>
        </w:rPr>
      </w:pPr>
    </w:p>
    <w:p w:rsidR="002D6A42" w:rsidRPr="002C6F6E" w:rsidRDefault="002D6A42" w:rsidP="004453BD">
      <w:pPr>
        <w:rPr>
          <w:lang w:val="fr-FR"/>
        </w:rPr>
      </w:pPr>
    </w:p>
    <w:p w:rsidR="00AA5D79" w:rsidRPr="002C6F6E" w:rsidRDefault="00AA5D79" w:rsidP="00292050">
      <w:pPr>
        <w:pStyle w:val="Heading1"/>
        <w:rPr>
          <w:lang w:val="fr-FR"/>
        </w:rPr>
      </w:pPr>
      <w:bookmarkStart w:id="2" w:name="_Toc381194402"/>
      <w:r w:rsidRPr="002C6F6E">
        <w:rPr>
          <w:lang w:val="fr-FR"/>
        </w:rPr>
        <w:t>II.</w:t>
      </w:r>
      <w:r w:rsidRPr="002C6F6E">
        <w:rPr>
          <w:lang w:val="fr-FR"/>
        </w:rPr>
        <w:tab/>
      </w:r>
      <w:r w:rsidR="00672815">
        <w:rPr>
          <w:lang w:val="fr-FR"/>
        </w:rPr>
        <w:t>A</w:t>
      </w:r>
      <w:r w:rsidRPr="002C6F6E">
        <w:rPr>
          <w:lang w:val="fr-FR"/>
        </w:rPr>
        <w:t>per</w:t>
      </w:r>
      <w:r w:rsidR="00672815">
        <w:rPr>
          <w:lang w:val="fr-FR"/>
        </w:rPr>
        <w:t>ç</w:t>
      </w:r>
      <w:r w:rsidRPr="002C6F6E">
        <w:rPr>
          <w:lang w:val="fr-FR"/>
        </w:rPr>
        <w:t>u g</w:t>
      </w:r>
      <w:r w:rsidR="00672815">
        <w:rPr>
          <w:lang w:val="fr-FR"/>
        </w:rPr>
        <w:t>é</w:t>
      </w:r>
      <w:r w:rsidRPr="002C6F6E">
        <w:rPr>
          <w:lang w:val="fr-FR"/>
        </w:rPr>
        <w:t>n</w:t>
      </w:r>
      <w:r w:rsidR="00672815">
        <w:rPr>
          <w:lang w:val="fr-FR"/>
        </w:rPr>
        <w:t>é</w:t>
      </w:r>
      <w:r w:rsidRPr="002C6F6E">
        <w:rPr>
          <w:lang w:val="fr-FR"/>
        </w:rPr>
        <w:t>ral</w:t>
      </w:r>
      <w:r w:rsidR="00672815">
        <w:rPr>
          <w:lang w:val="fr-FR"/>
        </w:rPr>
        <w:t xml:space="preserve"> des maté</w:t>
      </w:r>
      <w:r w:rsidRPr="002C6F6E">
        <w:rPr>
          <w:lang w:val="fr-FR"/>
        </w:rPr>
        <w:t>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information </w:t>
      </w:r>
      <w:r w:rsidR="00672815">
        <w:rPr>
          <w:lang w:val="fr-FR"/>
        </w:rPr>
        <w:t>é</w:t>
      </w:r>
      <w:r w:rsidRPr="002C6F6E">
        <w:rPr>
          <w:lang w:val="fr-FR"/>
        </w:rPr>
        <w:t>labor</w:t>
      </w:r>
      <w:r w:rsidR="00672815">
        <w:rPr>
          <w:lang w:val="fr-FR"/>
        </w:rPr>
        <w:t>é</w:t>
      </w:r>
      <w:r w:rsidRPr="002C6F6E">
        <w:rPr>
          <w:lang w:val="fr-FR"/>
        </w:rPr>
        <w:t>s et en cours d</w:t>
      </w:r>
      <w:r w:rsidR="00A94E7B" w:rsidRPr="002C6F6E">
        <w:rPr>
          <w:lang w:val="fr-FR"/>
        </w:rPr>
        <w:t>’</w:t>
      </w:r>
      <w:r w:rsidR="00672815">
        <w:rPr>
          <w:lang w:val="fr-FR"/>
        </w:rPr>
        <w:t>é</w:t>
      </w:r>
      <w:r w:rsidRPr="002C6F6E">
        <w:rPr>
          <w:lang w:val="fr-FR"/>
        </w:rPr>
        <w:t>laboration</w:t>
      </w:r>
      <w:bookmarkEnd w:id="2"/>
    </w:p>
    <w:p w:rsidR="00AA5D79" w:rsidRPr="002C6F6E" w:rsidRDefault="00AA5D79" w:rsidP="004453BD">
      <w:pPr>
        <w:keepNext/>
        <w:rPr>
          <w:lang w:val="fr-FR"/>
        </w:rPr>
      </w:pPr>
    </w:p>
    <w:p w:rsidR="00A94E7B" w:rsidRPr="002C6F6E" w:rsidRDefault="00AA5D79" w:rsidP="004453B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annexe du présent document contient une présentation générale des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élaborés et en cours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élaboration.</w:t>
      </w:r>
    </w:p>
    <w:p w:rsidR="00AA5D79" w:rsidRPr="002C6F6E" w:rsidRDefault="00AA5D79" w:rsidP="004453BD">
      <w:pPr>
        <w:rPr>
          <w:lang w:val="fr-FR"/>
        </w:rPr>
      </w:pPr>
    </w:p>
    <w:p w:rsidR="00AA5D79" w:rsidRPr="002C6F6E" w:rsidRDefault="00AA5D79" w:rsidP="004453BD">
      <w:pPr>
        <w:rPr>
          <w:lang w:val="fr-FR"/>
        </w:rPr>
      </w:pPr>
    </w:p>
    <w:p w:rsidR="00AA5D79" w:rsidRPr="002C6F6E" w:rsidRDefault="00AA5D79" w:rsidP="002A167B">
      <w:pPr>
        <w:rPr>
          <w:lang w:val="fr-FR"/>
        </w:rPr>
      </w:pPr>
    </w:p>
    <w:p w:rsidR="00AA5D79" w:rsidRPr="002C6F6E" w:rsidRDefault="00AA5D79" w:rsidP="00292050">
      <w:pPr>
        <w:pStyle w:val="Heading1"/>
        <w:rPr>
          <w:lang w:val="fr-FR"/>
        </w:rPr>
      </w:pPr>
      <w:bookmarkStart w:id="3" w:name="_Toc381194403"/>
      <w:r w:rsidRPr="002C6F6E">
        <w:rPr>
          <w:lang w:val="fr-FR"/>
        </w:rPr>
        <w:t>III.</w:t>
      </w:r>
      <w:r w:rsidRPr="002C6F6E">
        <w:rPr>
          <w:lang w:val="fr-FR"/>
        </w:rPr>
        <w:tab/>
      </w:r>
      <w:r w:rsidR="005F458E">
        <w:rPr>
          <w:lang w:val="fr-FR"/>
        </w:rPr>
        <w:t>Q</w:t>
      </w:r>
      <w:r w:rsidRPr="002C6F6E">
        <w:rPr>
          <w:lang w:val="fr-FR"/>
        </w:rPr>
        <w:t>uestions concernant les vari</w:t>
      </w:r>
      <w:r w:rsidR="005F458E">
        <w:rPr>
          <w:lang w:val="fr-FR"/>
        </w:rPr>
        <w:t>é</w:t>
      </w:r>
      <w:r w:rsidRPr="002C6F6E">
        <w:rPr>
          <w:lang w:val="fr-FR"/>
        </w:rPr>
        <w:t>t</w:t>
      </w:r>
      <w:r w:rsidR="005F458E">
        <w:rPr>
          <w:lang w:val="fr-FR"/>
        </w:rPr>
        <w:t>é</w:t>
      </w:r>
      <w:r w:rsidRPr="002C6F6E">
        <w:rPr>
          <w:lang w:val="fr-FR"/>
        </w:rPr>
        <w:t>s essentiellement d</w:t>
      </w:r>
      <w:r w:rsidR="005F458E">
        <w:rPr>
          <w:lang w:val="fr-FR"/>
        </w:rPr>
        <w:t>é</w:t>
      </w:r>
      <w:r w:rsidRPr="002C6F6E">
        <w:rPr>
          <w:lang w:val="fr-FR"/>
        </w:rPr>
        <w:t>riv</w:t>
      </w:r>
      <w:r w:rsidR="005F458E">
        <w:rPr>
          <w:lang w:val="fr-FR"/>
        </w:rPr>
        <w:t>é</w:t>
      </w:r>
      <w:r w:rsidRPr="002C6F6E">
        <w:rPr>
          <w:lang w:val="fr-FR"/>
        </w:rPr>
        <w:t>es</w:t>
      </w:r>
      <w:bookmarkEnd w:id="3"/>
    </w:p>
    <w:p w:rsidR="00AA5D79" w:rsidRPr="002C6F6E" w:rsidRDefault="00AA5D79" w:rsidP="008B57DD">
      <w:pPr>
        <w:rPr>
          <w:lang w:val="fr-FR"/>
        </w:rPr>
      </w:pPr>
    </w:p>
    <w:p w:rsidR="00AA5D79" w:rsidRPr="002C6F6E" w:rsidRDefault="00AA5D79" w:rsidP="00957E15">
      <w:pPr>
        <w:pStyle w:val="Heading2"/>
        <w:rPr>
          <w:lang w:val="fr-FR"/>
        </w:rPr>
      </w:pPr>
      <w:bookmarkStart w:id="4" w:name="_Toc381194404"/>
      <w:r w:rsidRPr="002C6F6E">
        <w:rPr>
          <w:lang w:val="fr-FR"/>
        </w:rPr>
        <w:t>Séminaire sur les variétés essentiellement dérivées</w:t>
      </w:r>
      <w:bookmarkEnd w:id="4"/>
    </w:p>
    <w:p w:rsidR="00AA5D79" w:rsidRPr="002C6F6E" w:rsidRDefault="00AA5D79" w:rsidP="002A167B">
      <w:pPr>
        <w:keepNext/>
        <w:rPr>
          <w:lang w:val="fr-FR"/>
        </w:rPr>
      </w:pPr>
    </w:p>
    <w:p w:rsidR="00A94E7B" w:rsidRPr="002C6F6E" w:rsidRDefault="00AA5D79" w:rsidP="009C2B64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 xml:space="preserve">Le </w:t>
      </w:r>
      <w:r w:rsidR="006B48B7">
        <w:rPr>
          <w:lang w:val="fr-FR"/>
        </w:rPr>
        <w:t>s</w:t>
      </w:r>
      <w:r w:rsidRPr="002C6F6E">
        <w:rPr>
          <w:lang w:val="fr-FR"/>
        </w:rPr>
        <w:t>éminaire sur les variétés essentiellement dérivées 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est tenu à Genève le 2</w:t>
      </w:r>
      <w:r w:rsidR="00A94E7B" w:rsidRPr="002C6F6E">
        <w:rPr>
          <w:lang w:val="fr-FR"/>
        </w:rPr>
        <w:t>2 octobre 20</w:t>
      </w:r>
      <w:r w:rsidRPr="002C6F6E">
        <w:rPr>
          <w:lang w:val="fr-FR"/>
        </w:rPr>
        <w:t>13 (ci</w:t>
      </w:r>
      <w:r w:rsidR="0021798E" w:rsidRPr="002C6F6E">
        <w:rPr>
          <w:lang w:val="fr-FR"/>
        </w:rPr>
        <w:noBreakHyphen/>
      </w:r>
      <w:r w:rsidR="002C0843">
        <w:rPr>
          <w:lang w:val="fr-FR"/>
        </w:rPr>
        <w:t>après dénommé</w:t>
      </w:r>
      <w:r w:rsidRPr="002C6F6E">
        <w:rPr>
          <w:lang w:val="fr-FR"/>
        </w:rPr>
        <w:t xml:space="preserve"> </w:t>
      </w:r>
      <w:r w:rsidR="002066CD">
        <w:rPr>
          <w:lang w:val="fr-FR"/>
        </w:rPr>
        <w:t>“s</w:t>
      </w:r>
      <w:r w:rsidRPr="002C6F6E">
        <w:rPr>
          <w:lang w:val="fr-FR"/>
        </w:rPr>
        <w:t>éminaire</w:t>
      </w:r>
      <w:r w:rsidR="002066CD">
        <w:rPr>
          <w:lang w:val="fr-FR"/>
        </w:rPr>
        <w:t>”</w:t>
      </w:r>
      <w:r w:rsidRPr="002C6F6E">
        <w:rPr>
          <w:lang w:val="fr-FR"/>
        </w:rPr>
        <w:t xml:space="preserve">).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Il a porté sur les questions suivantes :</w:t>
      </w:r>
    </w:p>
    <w:p w:rsidR="00AA5D79" w:rsidRPr="002C6F6E" w:rsidRDefault="00AA5D79" w:rsidP="009C2B64">
      <w:pPr>
        <w:rPr>
          <w:lang w:val="fr-FR"/>
        </w:rPr>
      </w:pPr>
    </w:p>
    <w:p w:rsidR="00AA5D79" w:rsidRPr="002C6F6E" w:rsidRDefault="00AA5D79" w:rsidP="006237BE">
      <w:pPr>
        <w:ind w:firstLine="567"/>
        <w:rPr>
          <w:lang w:val="fr-FR"/>
        </w:rPr>
      </w:pPr>
      <w:r w:rsidRPr="002C6F6E">
        <w:rPr>
          <w:lang w:val="fr-FR"/>
        </w:rPr>
        <w:t>a)</w:t>
      </w:r>
      <w:r w:rsidRPr="002C6F6E">
        <w:rPr>
          <w:lang w:val="fr-FR"/>
        </w:rPr>
        <w:tab/>
        <w:t>considérations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ordres technique et juridique sur les termes “principalement dérivée”, “caractères essentiels” et “différences résultant de la dérivation”, rapport entre les points i) et iii) 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 14.5)b)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 et incidence éventuelle sur la sélection végétale et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agriculture;</w:t>
      </w:r>
    </w:p>
    <w:p w:rsidR="00AA5D79" w:rsidRPr="002C6F6E" w:rsidRDefault="00AA5D79" w:rsidP="009C2B64">
      <w:pPr>
        <w:rPr>
          <w:lang w:val="fr-FR"/>
        </w:rPr>
      </w:pPr>
    </w:p>
    <w:p w:rsidR="00AA5D79" w:rsidRPr="002C6F6E" w:rsidRDefault="00AA5D79" w:rsidP="006237BE">
      <w:pPr>
        <w:ind w:firstLine="567"/>
        <w:rPr>
          <w:lang w:val="fr-FR"/>
        </w:rPr>
      </w:pPr>
      <w:r w:rsidRPr="002C6F6E">
        <w:rPr>
          <w:lang w:val="fr-FR"/>
        </w:rPr>
        <w:t>b)</w:t>
      </w:r>
      <w:r w:rsidRPr="002C6F6E">
        <w:rPr>
          <w:lang w:val="fr-FR"/>
        </w:rPr>
        <w:tab/>
        <w:t xml:space="preserve">expérience actuelle en ce qui concerne les variétés essentiellement dérivées;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et</w:t>
      </w:r>
    </w:p>
    <w:p w:rsidR="00AA5D79" w:rsidRPr="002C6F6E" w:rsidRDefault="00AA5D79" w:rsidP="006237BE">
      <w:pPr>
        <w:ind w:firstLine="567"/>
        <w:rPr>
          <w:lang w:val="fr-FR"/>
        </w:rPr>
      </w:pPr>
    </w:p>
    <w:p w:rsidR="00AA5D79" w:rsidRPr="002C6F6E" w:rsidRDefault="00AA5D79" w:rsidP="00CD6C8D">
      <w:pPr>
        <w:ind w:firstLine="567"/>
        <w:rPr>
          <w:lang w:val="fr-FR"/>
        </w:rPr>
      </w:pPr>
      <w:r w:rsidRPr="002C6F6E">
        <w:rPr>
          <w:lang w:val="fr-FR"/>
        </w:rPr>
        <w:t>c)</w:t>
      </w:r>
      <w:r w:rsidRPr="002C6F6E">
        <w:rPr>
          <w:lang w:val="fr-FR"/>
        </w:rPr>
        <w:tab/>
        <w:t>rôle éventuel des futures orientations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sur les variétés essentiellement dérivées dans les litiges devant les tribunaux.</w:t>
      </w:r>
    </w:p>
    <w:p w:rsidR="00AA5D79" w:rsidRPr="002C6F6E" w:rsidRDefault="00AA5D79" w:rsidP="009C2B64">
      <w:pPr>
        <w:rPr>
          <w:lang w:val="fr-FR"/>
        </w:rPr>
      </w:pPr>
    </w:p>
    <w:p w:rsidR="000E569C" w:rsidRDefault="00AA5D79" w:rsidP="000E569C">
      <w:pPr>
        <w:rPr>
          <w:rStyle w:val="Hyperlink"/>
          <w:color w:val="auto"/>
          <w:u w:val="none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Ce séminaire, qui était ouvert au public, a réuni 177 participants.  Les exposés et une vidéo du séminai</w:t>
      </w:r>
      <w:r w:rsidR="003A54E2">
        <w:rPr>
          <w:lang w:val="fr-FR"/>
        </w:rPr>
        <w:t xml:space="preserve">re sont accessibles sur le site </w:t>
      </w:r>
      <w:r w:rsidRPr="002C6F6E">
        <w:rPr>
          <w:lang w:val="fr-FR"/>
        </w:rPr>
        <w:t>Web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UPOV,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adresse suivante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 xml:space="preserve">: </w:t>
      </w:r>
      <w:hyperlink r:id="rId10" w:history="1">
        <w:r w:rsidR="00292050">
          <w:rPr>
            <w:rStyle w:val="Hyperlink"/>
            <w:lang w:val="fr-FR"/>
          </w:rPr>
          <w:t>http://www.upov.int/meetings/fr/details.jsp?meeting_id=29782</w:t>
        </w:r>
      </w:hyperlink>
      <w:r w:rsidR="000E569C" w:rsidRPr="000E569C">
        <w:rPr>
          <w:rStyle w:val="Hyperlink"/>
          <w:color w:val="auto"/>
          <w:u w:val="none"/>
          <w:lang w:val="fr-FR"/>
        </w:rPr>
        <w:t>.</w:t>
      </w:r>
    </w:p>
    <w:p w:rsidR="002D6A42" w:rsidRDefault="002D6A42" w:rsidP="000E569C">
      <w:pPr>
        <w:rPr>
          <w:rStyle w:val="Hyperlink"/>
          <w:color w:val="auto"/>
          <w:u w:val="none"/>
          <w:lang w:val="fr-FR"/>
        </w:rPr>
      </w:pPr>
    </w:p>
    <w:p w:rsidR="00AA5D79" w:rsidRPr="002C6F6E" w:rsidRDefault="00AA5D79" w:rsidP="0007574E">
      <w:pPr>
        <w:spacing w:after="240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La version anglaise de la publication du séminaire (</w:t>
      </w:r>
      <w:r w:rsidR="002066CD">
        <w:rPr>
          <w:lang w:val="fr-FR"/>
        </w:rPr>
        <w:t>p</w:t>
      </w:r>
      <w:r w:rsidRPr="002C6F6E">
        <w:rPr>
          <w:lang w:val="fr-FR"/>
        </w:rPr>
        <w:t xml:space="preserve">ublication </w:t>
      </w:r>
      <w:r w:rsidR="007E0AF4">
        <w:rPr>
          <w:lang w:val="fr-FR"/>
        </w:rPr>
        <w:t>n° </w:t>
      </w:r>
      <w:r w:rsidRPr="002C6F6E">
        <w:rPr>
          <w:lang w:val="fr-FR"/>
        </w:rPr>
        <w:t>358), qui contient les contributions écrites des intervenants et les délibérations, est disponible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adresse suivante : </w:t>
      </w:r>
      <w:hyperlink r:id="rId11" w:history="1">
        <w:r w:rsidR="003A54E2">
          <w:rPr>
            <w:rStyle w:val="Hyperlink"/>
            <w:lang w:val="fr-FR"/>
          </w:rPr>
          <w:t>http://www.upov.int/meetings/fr/details.jsp?meeting_id=29782</w:t>
        </w:r>
      </w:hyperlink>
      <w:r w:rsidRPr="002C6F6E">
        <w:rPr>
          <w:lang w:val="fr-FR"/>
        </w:rPr>
        <w:t xml:space="preserve">.  Des versions sur papier de la </w:t>
      </w:r>
      <w:r w:rsidR="002066CD">
        <w:rPr>
          <w:lang w:val="fr-FR"/>
        </w:rPr>
        <w:t>p</w:t>
      </w:r>
      <w:r w:rsidRPr="002C6F6E">
        <w:rPr>
          <w:lang w:val="fr-FR"/>
        </w:rPr>
        <w:t>ublication</w:t>
      </w:r>
      <w:r w:rsidR="003A54E2">
        <w:rPr>
          <w:lang w:val="fr-FR"/>
        </w:rPr>
        <w:t> </w:t>
      </w:r>
      <w:r w:rsidR="007E0AF4">
        <w:rPr>
          <w:lang w:val="fr-FR"/>
        </w:rPr>
        <w:t>n° </w:t>
      </w:r>
      <w:r w:rsidRPr="002C6F6E">
        <w:rPr>
          <w:lang w:val="fr-FR"/>
        </w:rPr>
        <w:t>358(E) seront distribuées</w:t>
      </w:r>
      <w:r w:rsidR="00A94E7B" w:rsidRPr="002C6F6E">
        <w:rPr>
          <w:lang w:val="fr-FR"/>
        </w:rPr>
        <w:t xml:space="preserve"> au CAJ</w:t>
      </w:r>
      <w:r w:rsidRPr="002C6F6E">
        <w:rPr>
          <w:lang w:val="fr-FR"/>
        </w:rPr>
        <w:t xml:space="preserve"> 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session.</w:t>
      </w:r>
    </w:p>
    <w:p w:rsidR="00A94E7B" w:rsidRPr="002C6F6E" w:rsidRDefault="00AA5D79" w:rsidP="00CD6C8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 xml:space="preserve">La publication </w:t>
      </w:r>
      <w:r w:rsidR="007E0AF4">
        <w:rPr>
          <w:lang w:val="fr-FR"/>
        </w:rPr>
        <w:t>n° </w:t>
      </w:r>
      <w:r w:rsidRPr="002C6F6E">
        <w:rPr>
          <w:lang w:val="fr-FR"/>
        </w:rPr>
        <w:t>358 en allemand, espagnol et français sera affichée, dès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elle devient disponible, sur le site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Web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tandis que les personnes désignées des organes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et les participants au séminaire seront eux notifiés en conséquence.</w:t>
      </w:r>
    </w:p>
    <w:p w:rsidR="00AA5D79" w:rsidRPr="002C6F6E" w:rsidRDefault="00AA5D79" w:rsidP="00CD6C8D">
      <w:pPr>
        <w:rPr>
          <w:lang w:val="fr-FR"/>
        </w:rPr>
      </w:pPr>
    </w:p>
    <w:p w:rsidR="00AA5D79" w:rsidRPr="002C6F6E" w:rsidRDefault="00AA5D79" w:rsidP="002A167B">
      <w:pPr>
        <w:rPr>
          <w:lang w:val="fr-FR"/>
        </w:rPr>
      </w:pPr>
    </w:p>
    <w:p w:rsidR="00AA5D79" w:rsidRPr="002C6F6E" w:rsidRDefault="00AA5D79" w:rsidP="00957E15">
      <w:pPr>
        <w:pStyle w:val="Heading2"/>
        <w:rPr>
          <w:lang w:val="fr-FR"/>
        </w:rPr>
      </w:pPr>
      <w:bookmarkStart w:id="5" w:name="_Toc381194405"/>
      <w:r w:rsidRPr="002C6F6E">
        <w:rPr>
          <w:lang w:val="fr-FR"/>
        </w:rPr>
        <w:t>Travaux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sur les variétés essentiellement dérivées</w:t>
      </w:r>
      <w:bookmarkEnd w:id="5"/>
    </w:p>
    <w:p w:rsidR="00AA5D79" w:rsidRPr="002C6F6E" w:rsidRDefault="00AA5D79" w:rsidP="008B57DD">
      <w:pPr>
        <w:rPr>
          <w:lang w:val="fr-FR"/>
        </w:rPr>
      </w:pPr>
    </w:p>
    <w:p w:rsidR="00A94E7B" w:rsidRPr="002C6F6E" w:rsidRDefault="00AA5D79" w:rsidP="008B57D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huitième session tenue à Genève le 21 octobre 2013,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a demandé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examiner à sa huitième session tenue à Genève le 25 octobre 2013 les conclusions du séminaire sur les variétés essentiellement dérivées tenu le 2</w:t>
      </w:r>
      <w:r w:rsidR="00A94E7B" w:rsidRPr="002C6F6E">
        <w:rPr>
          <w:lang w:val="fr-FR"/>
        </w:rPr>
        <w:t>2 octobre 20</w:t>
      </w:r>
      <w:r w:rsidRPr="002C6F6E">
        <w:rPr>
          <w:lang w:val="fr-FR"/>
        </w:rPr>
        <w:t>13, dans le cadre de ses travaux sur les orientations futures concernant ces variétés, comme indiqué dans les paragraphes 13 à</w:t>
      </w:r>
      <w:r w:rsidR="000E569C">
        <w:rPr>
          <w:lang w:val="fr-FR"/>
        </w:rPr>
        <w:t> </w:t>
      </w:r>
      <w:r w:rsidRPr="002C6F6E">
        <w:rPr>
          <w:lang w:val="fr-FR"/>
        </w:rPr>
        <w:t>16 du document CAJ/68/2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11 du document CAJ/68/10 “Compte rendu des conclusions”).</w:t>
      </w:r>
    </w:p>
    <w:p w:rsidR="00AA5D79" w:rsidRPr="002C6F6E" w:rsidRDefault="00AA5D79" w:rsidP="008B57DD">
      <w:pPr>
        <w:rPr>
          <w:lang w:val="fr-FR"/>
        </w:rPr>
      </w:pPr>
    </w:p>
    <w:p w:rsidR="00AA5D79" w:rsidRPr="002C6F6E" w:rsidRDefault="00AA5D79" w:rsidP="008B57D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Les paragraphes suivants contiennent les conclusions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sur les variétés essentiellement dérivées 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 tenue à Genève les 21 et 2</w:t>
      </w:r>
      <w:r w:rsidR="00A94E7B" w:rsidRPr="002C6F6E">
        <w:rPr>
          <w:lang w:val="fr-FR"/>
        </w:rPr>
        <w:t>5 octobre 20</w:t>
      </w:r>
      <w:r w:rsidRPr="002C6F6E">
        <w:rPr>
          <w:lang w:val="fr-FR"/>
        </w:rPr>
        <w:t>13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38 à</w:t>
      </w:r>
      <w:r w:rsidR="000E569C">
        <w:rPr>
          <w:lang w:val="fr-FR"/>
        </w:rPr>
        <w:t> </w:t>
      </w:r>
      <w:r w:rsidRPr="002C6F6E">
        <w:rPr>
          <w:lang w:val="fr-FR"/>
        </w:rPr>
        <w:t>49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8B57DD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examiné les documents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AG/13/8/2 et UPOV/EXN/EDV/2 Draft 3, les avis exprimés par les représentants de l</w:t>
      </w:r>
      <w:r w:rsidR="00A94E7B" w:rsidRPr="002C6F6E">
        <w:rPr>
          <w:lang w:val="fr-FR"/>
        </w:rPr>
        <w:t>’</w:t>
      </w:r>
      <w:r w:rsidRPr="00777DD8">
        <w:rPr>
          <w:i/>
          <w:lang w:val="fr-FR"/>
        </w:rPr>
        <w:t>Association for Plant Breeding for the Benefit of Society</w:t>
      </w:r>
      <w:r w:rsidRPr="002C6F6E">
        <w:rPr>
          <w:lang w:val="fr-FR"/>
        </w:rPr>
        <w:t xml:space="preserve"> (APBREBES) et de la Communauté internationale des obtenteurs de plantes ornementales et fruitières à reproduction asexuée (CIOPORA), tels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ils figurent dans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6 à</w:t>
      </w:r>
      <w:r w:rsidR="00B16E85">
        <w:rPr>
          <w:lang w:val="fr-FR"/>
        </w:rPr>
        <w:t> </w:t>
      </w:r>
      <w:r w:rsidRPr="002C6F6E">
        <w:rPr>
          <w:lang w:val="fr-FR"/>
        </w:rPr>
        <w:t>11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rendu”, et, comme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 demandé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les conclusions du séminaire sur les variétés essentiellement dérivées.</w:t>
      </w:r>
    </w:p>
    <w:p w:rsidR="00AA5D79" w:rsidRPr="002C6F6E" w:rsidRDefault="00AA5D79" w:rsidP="00BE75CC">
      <w:pPr>
        <w:spacing w:line="360" w:lineRule="auto"/>
        <w:rPr>
          <w:lang w:val="fr-FR"/>
        </w:rPr>
      </w:pPr>
    </w:p>
    <w:p w:rsidR="00AA5D79" w:rsidRPr="002C6F6E" w:rsidRDefault="00AA5D79" w:rsidP="00957E15">
      <w:pPr>
        <w:pStyle w:val="Heading3"/>
        <w:rPr>
          <w:lang w:val="fr-FR"/>
        </w:rPr>
      </w:pPr>
      <w:bookmarkStart w:id="6" w:name="_Toc381194406"/>
      <w:r w:rsidRPr="002C6F6E">
        <w:rPr>
          <w:lang w:val="fr-FR"/>
        </w:rPr>
        <w:t>UPOV/EXN/EDV/2 Draft 3 “Notes explicatives sur les variétés essentiellement dérivées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</w:t>
      </w:r>
      <w:bookmarkEnd w:id="6"/>
    </w:p>
    <w:p w:rsidR="00AA5D79" w:rsidRPr="002C6F6E" w:rsidRDefault="00AA5D79" w:rsidP="00BE75CC">
      <w:pPr>
        <w:keepNext/>
        <w:rPr>
          <w:i/>
          <w:iCs/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pris note que, 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septième session tenue à Genève le 21 mars 2013,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était convenu que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du document UPOV/EXN/EDV/2 Draft 3 “Notes explicatives sur les variétés essentiellement dérivées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 devrait être différé jusqu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à la fin du </w:t>
      </w:r>
      <w:r w:rsidR="006B48B7">
        <w:rPr>
          <w:lang w:val="fr-FR"/>
        </w:rPr>
        <w:t>s</w:t>
      </w:r>
      <w:r w:rsidRPr="002C6F6E">
        <w:rPr>
          <w:lang w:val="fr-FR"/>
        </w:rPr>
        <w:t>éminaire sur les variétés essentiellement dérivées et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de ce séminaire par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 (voir le paragraphe 15 du document CAJ/67/14 “Compte rendu des conclusions”).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également pris note que</w:t>
      </w:r>
      <w:r w:rsidR="00A94E7B" w:rsidRPr="002C6F6E">
        <w:rPr>
          <w:lang w:val="fr-FR"/>
        </w:rPr>
        <w:t xml:space="preserve"> le CAJ</w:t>
      </w:r>
      <w:r w:rsidRPr="002C6F6E">
        <w:rPr>
          <w:snapToGrid w:val="0"/>
          <w:lang w:val="fr-FR"/>
        </w:rPr>
        <w:t xml:space="preserve">, </w:t>
      </w:r>
      <w:r w:rsidRPr="002C6F6E">
        <w:rPr>
          <w:lang w:val="fr-FR"/>
        </w:rPr>
        <w:t>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septième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était convenu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serait utile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envisager de déplacer le paragraphe 8 du document UPOV/EXN/EDV/2 Draft 3 après le paragraphe 4. </w:t>
      </w:r>
      <w:r w:rsidR="00777DD8">
        <w:rPr>
          <w:lang w:val="fr-FR"/>
        </w:rPr>
        <w:t xml:space="preserve"> Le 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approuvé le déplacement du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 du document UPOV/EXN/EDV/2</w:t>
      </w:r>
      <w:r w:rsidR="00D10233">
        <w:rPr>
          <w:lang w:val="fr-FR"/>
        </w:rPr>
        <w:t> </w:t>
      </w:r>
      <w:r w:rsidRPr="002C6F6E">
        <w:rPr>
          <w:lang w:val="fr-FR"/>
        </w:rPr>
        <w:t>Draft</w:t>
      </w:r>
      <w:r w:rsidR="00D10233">
        <w:rPr>
          <w:lang w:val="fr-FR"/>
        </w:rPr>
        <w:t> </w:t>
      </w:r>
      <w:r w:rsidRPr="002C6F6E">
        <w:rPr>
          <w:lang w:val="fr-FR"/>
        </w:rPr>
        <w:t>3 après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 xml:space="preserve">4 dans </w:t>
      </w:r>
      <w:r w:rsidR="00FF48B0">
        <w:rPr>
          <w:lang w:val="fr-FR"/>
        </w:rPr>
        <w:t xml:space="preserve">la prochaine ébauche </w:t>
      </w:r>
      <w:r w:rsidRPr="002C6F6E">
        <w:rPr>
          <w:lang w:val="fr-FR"/>
        </w:rPr>
        <w:t>d</w:t>
      </w:r>
      <w:r w:rsidR="00FF48B0">
        <w:rPr>
          <w:lang w:val="fr-FR"/>
        </w:rPr>
        <w:t>u</w:t>
      </w:r>
      <w:r w:rsidRPr="002C6F6E">
        <w:rPr>
          <w:lang w:val="fr-FR"/>
        </w:rPr>
        <w:t xml:space="preserve"> document.</w:t>
      </w:r>
    </w:p>
    <w:p w:rsidR="00AA5D79" w:rsidRPr="002C6F6E" w:rsidRDefault="00AA5D79" w:rsidP="00BE75CC">
      <w:pPr>
        <w:spacing w:line="360" w:lineRule="auto"/>
        <w:rPr>
          <w:lang w:val="fr-FR"/>
        </w:rPr>
      </w:pPr>
    </w:p>
    <w:p w:rsidR="00A94E7B" w:rsidRPr="002C6F6E" w:rsidRDefault="00AA5D79" w:rsidP="00957E15">
      <w:pPr>
        <w:pStyle w:val="Heading3"/>
        <w:rPr>
          <w:lang w:val="fr-FR"/>
        </w:rPr>
      </w:pPr>
      <w:bookmarkStart w:id="7" w:name="_Toc381194407"/>
      <w:r w:rsidRPr="002C6F6E">
        <w:rPr>
          <w:lang w:val="fr-FR"/>
        </w:rPr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utilisation des informations relatives à la variété initiale pour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obtention de variétés essentiellement dérivées</w:t>
      </w:r>
      <w:bookmarkEnd w:id="7"/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rappelé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était convenu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faudrait envisager le texte suivant comme point de départ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exemple éventuel sur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utilisation des informations relatives à la variété initiale pour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obtention de variétés essentiellement dérivées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6 et</w:t>
      </w:r>
      <w:r w:rsidR="006B48B7">
        <w:rPr>
          <w:lang w:val="fr-FR"/>
        </w:rPr>
        <w:t> </w:t>
      </w:r>
      <w:r w:rsidRPr="002C6F6E">
        <w:rPr>
          <w:lang w:val="fr-FR"/>
        </w:rPr>
        <w:t>7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AG/13/8/2)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utilisation de données moléculaires prélevées sur une variété végétale, aux fins de la sélection de génotypes provenant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population principalement liée à la variété initiale, pour produire une variété au génotype semblable, peut fournir la preuve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dérivation principale.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noté que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exemple précité serait communiqué avec le projet de compte rendu (document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Prov.) et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période de trois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mois serait prévue pour formuler des observations (voir 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44</w:t>
      </w:r>
      <w:r w:rsidR="00FF48B0">
        <w:rPr>
          <w:lang w:val="fr-FR"/>
        </w:rPr>
        <w:t> </w:t>
      </w:r>
      <w:r w:rsidRPr="002C6F6E">
        <w:rPr>
          <w:lang w:val="fr-FR"/>
        </w:rPr>
        <w:t>h)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</w:t>
      </w:r>
      <w:r w:rsidR="00FF48B0">
        <w:rPr>
          <w:lang w:val="fr-FR"/>
        </w:rPr>
        <w:t>.</w:t>
      </w:r>
      <w:r w:rsidR="00E803B5">
        <w:rPr>
          <w:lang w:val="fr-FR"/>
        </w:rPr>
        <w:t>)</w:t>
      </w:r>
      <w:r w:rsidRPr="002C6F6E">
        <w:rPr>
          <w:lang w:val="fr-FR"/>
        </w:rPr>
        <w:t>.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indiqué que la notion de dérivation indirecte avait déjà été abordée comme suit dans le document UPOV/EXN/EDV/1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BE75CC">
      <w:pPr>
        <w:rPr>
          <w:lang w:val="fr-FR"/>
        </w:rPr>
      </w:pPr>
    </w:p>
    <w:p w:rsidR="00A94E7B" w:rsidRPr="002C6F6E" w:rsidRDefault="00AA5D79" w:rsidP="00BE75CC">
      <w:pPr>
        <w:pStyle w:val="Style1"/>
        <w:tabs>
          <w:tab w:val="clear" w:pos="907"/>
          <w:tab w:val="clear" w:pos="1077"/>
        </w:tabs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“5.</w:t>
      </w:r>
      <w:r w:rsidRPr="002C6F6E">
        <w:rPr>
          <w:sz w:val="18"/>
          <w:szCs w:val="18"/>
          <w:lang w:val="fr-FR"/>
        </w:rPr>
        <w:tab/>
        <w:t>Les variétés essentiellement dérivées sont obtenues, directement ou indirectement, à partir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variété dénommée “variété initiale”.  Dans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exemple proposé dans le schéma 1, la variété B est essentiellement dérivée de la variété A et principalement dérivée de la variété A.  Les variétés essentiellement dérivées peuvent aussi être indirectement obtenues à partir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variété initiale.  Dans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exemple figurant dans le schéma 2, la variété C est essentiellement dérivée de la variété initiale </w:t>
      </w:r>
      <w:r w:rsidR="00713521">
        <w:rPr>
          <w:sz w:val="18"/>
          <w:szCs w:val="18"/>
          <w:lang w:val="fr-FR"/>
        </w:rPr>
        <w:t>‘</w:t>
      </w:r>
      <w:r w:rsidRPr="002C6F6E">
        <w:rPr>
          <w:sz w:val="18"/>
          <w:szCs w:val="18"/>
          <w:lang w:val="fr-FR"/>
        </w:rPr>
        <w:t>A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, mais est principalement dérivée de la variété B.</w:t>
      </w:r>
    </w:p>
    <w:p w:rsidR="00AA5D79" w:rsidRPr="002C6F6E" w:rsidRDefault="00AA5D79" w:rsidP="00BE75CC">
      <w:pPr>
        <w:pStyle w:val="Style1"/>
        <w:tabs>
          <w:tab w:val="clear" w:pos="907"/>
          <w:tab w:val="clear" w:pos="1077"/>
        </w:tabs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pStyle w:val="Style1"/>
        <w:tabs>
          <w:tab w:val="clear" w:pos="907"/>
          <w:tab w:val="clear" w:pos="1077"/>
        </w:tabs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“6.</w:t>
      </w:r>
      <w:r w:rsidRPr="002C6F6E">
        <w:rPr>
          <w:sz w:val="18"/>
          <w:szCs w:val="18"/>
          <w:lang w:val="fr-FR"/>
        </w:rPr>
        <w:tab/>
        <w:t>Indépendamment de la question de savoir si la variété C a été obtenue directement à partir de la variété initiale A ou non, elle est essentiellement dérivée de la variété A si elle correspond à la définition figurant à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article 14.5)b).</w:t>
      </w:r>
    </w:p>
    <w:p w:rsidR="00AA5D79" w:rsidRPr="002C6F6E" w:rsidRDefault="00AA5D79" w:rsidP="00BE75CC">
      <w:pPr>
        <w:pStyle w:val="Style1"/>
        <w:tabs>
          <w:tab w:val="clear" w:pos="907"/>
          <w:tab w:val="clear" w:pos="1077"/>
        </w:tabs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pStyle w:val="Style1"/>
        <w:tabs>
          <w:tab w:val="clear" w:pos="907"/>
          <w:tab w:val="clear" w:pos="1077"/>
        </w:tabs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“7.</w:t>
      </w:r>
      <w:r w:rsidRPr="002C6F6E">
        <w:rPr>
          <w:sz w:val="18"/>
          <w:szCs w:val="18"/>
          <w:lang w:val="fr-FR"/>
        </w:rPr>
        <w:tab/>
        <w:t>Un autre moyen indirect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obtenir une variété essentiellement dérivée à partir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variété initiale pourrait être par utilisation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variété hybride afin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obtenir une variété essentiellement dérivée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des lignées parentales de la variété hybride</w:t>
      </w:r>
      <w:r w:rsidR="00E803B5">
        <w:rPr>
          <w:sz w:val="18"/>
          <w:szCs w:val="18"/>
          <w:lang w:val="fr-FR"/>
        </w:rPr>
        <w:t>.</w:t>
      </w:r>
      <w:r w:rsidRPr="002C6F6E">
        <w:rPr>
          <w:sz w:val="18"/>
          <w:szCs w:val="18"/>
          <w:lang w:val="fr-FR"/>
        </w:rPr>
        <w:t>”</w:t>
      </w:r>
    </w:p>
    <w:p w:rsidR="00AA5D79" w:rsidRPr="002C6F6E" w:rsidRDefault="00AA5D79" w:rsidP="00BE75CC">
      <w:pPr>
        <w:spacing w:line="360" w:lineRule="auto"/>
        <w:rPr>
          <w:lang w:val="fr-FR"/>
        </w:rPr>
      </w:pPr>
    </w:p>
    <w:p w:rsidR="00AA5D79" w:rsidRPr="002C6F6E" w:rsidRDefault="00AA5D79" w:rsidP="00957E15">
      <w:pPr>
        <w:pStyle w:val="Heading3"/>
        <w:rPr>
          <w:sz w:val="18"/>
          <w:szCs w:val="18"/>
          <w:lang w:val="fr-FR"/>
        </w:rPr>
      </w:pPr>
      <w:bookmarkStart w:id="8" w:name="_Toc381194408"/>
      <w:r w:rsidRPr="002C6F6E">
        <w:rPr>
          <w:lang w:val="fr-FR"/>
        </w:rPr>
        <w:t>Le</w:t>
      </w:r>
      <w:r w:rsidR="00E803B5">
        <w:rPr>
          <w:lang w:val="fr-FR"/>
        </w:rPr>
        <w:t xml:space="preserve"> rapport entre les points i) et </w:t>
      </w:r>
      <w:r w:rsidRPr="002C6F6E">
        <w:rPr>
          <w:lang w:val="fr-FR"/>
        </w:rPr>
        <w:t>iii)</w:t>
      </w:r>
      <w:r w:rsidR="00E803B5">
        <w:rPr>
          <w:lang w:val="fr-FR"/>
        </w:rPr>
        <w:t xml:space="preserve"> </w:t>
      </w:r>
      <w:r w:rsidRPr="002C6F6E">
        <w:rPr>
          <w:lang w:val="fr-FR"/>
        </w:rPr>
        <w:t>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 14.5)b)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 1991 de la Convention</w:t>
      </w:r>
      <w:bookmarkEnd w:id="8"/>
    </w:p>
    <w:p w:rsidR="00AA5D79" w:rsidRPr="002C6F6E" w:rsidRDefault="00AA5D79" w:rsidP="00957E15">
      <w:pPr>
        <w:pStyle w:val="Heading3"/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demandé au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élaborer un texte destiné à être incorporé dans une nouvelle ébauche du document UPOV/EXN/EDV/2, sur la base suivante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E24567">
      <w:pPr>
        <w:keepNext/>
        <w:ind w:firstLine="567"/>
        <w:rPr>
          <w:lang w:val="fr-FR"/>
        </w:rPr>
      </w:pPr>
      <w:r w:rsidRPr="002C6F6E">
        <w:rPr>
          <w:lang w:val="fr-FR"/>
        </w:rPr>
        <w:t>a)</w:t>
      </w:r>
      <w:r w:rsidRPr="002C6F6E">
        <w:rPr>
          <w:lang w:val="fr-FR"/>
        </w:rPr>
        <w:tab/>
        <w:t>pour inclure un préambule faisant référence au mandat de la Conférence diplomatique de 1991 :</w:t>
      </w:r>
    </w:p>
    <w:p w:rsidR="00AA5D79" w:rsidRPr="002C6F6E" w:rsidRDefault="00AA5D79" w:rsidP="00BE75CC">
      <w:pPr>
        <w:keepNext/>
        <w:rPr>
          <w:lang w:val="fr-FR"/>
        </w:rPr>
      </w:pP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“La Conférence diplomatique de révision de la Convention internationale pour la protection des obtentions végétales, tenue à Genève du 4 au 1</w:t>
      </w:r>
      <w:r w:rsidR="00A94E7B" w:rsidRPr="002C6F6E">
        <w:rPr>
          <w:sz w:val="18"/>
          <w:szCs w:val="18"/>
          <w:lang w:val="fr-FR"/>
        </w:rPr>
        <w:t>9 mars</w:t>
      </w:r>
      <w:r w:rsidR="00C50BD6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1991, a adopté la résolution suivante (voir le document DC/91/140)</w:t>
      </w:r>
      <w:r w:rsidR="00CA6FB9" w:rsidRPr="002C6F6E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: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94E7B" w:rsidP="00BE75CC">
      <w:pPr>
        <w:keepNext/>
        <w:ind w:left="1134" w:right="1134"/>
        <w:jc w:val="center"/>
        <w:rPr>
          <w:sz w:val="16"/>
          <w:szCs w:val="16"/>
          <w:lang w:val="fr-FR"/>
        </w:rPr>
      </w:pPr>
      <w:r w:rsidRPr="002C6F6E">
        <w:rPr>
          <w:sz w:val="16"/>
          <w:szCs w:val="16"/>
          <w:lang w:val="fr-FR"/>
        </w:rPr>
        <w:t>‘</w:t>
      </w:r>
      <w:r w:rsidR="00AA5D79" w:rsidRPr="002C6F6E">
        <w:rPr>
          <w:sz w:val="16"/>
          <w:szCs w:val="16"/>
          <w:lang w:val="fr-FR"/>
        </w:rPr>
        <w:t>Résolution relative à l</w:t>
      </w:r>
      <w:r w:rsidRPr="002C6F6E">
        <w:rPr>
          <w:sz w:val="16"/>
          <w:szCs w:val="16"/>
          <w:lang w:val="fr-FR"/>
        </w:rPr>
        <w:t>’</w:t>
      </w:r>
      <w:r w:rsidR="00AA5D79" w:rsidRPr="002C6F6E">
        <w:rPr>
          <w:sz w:val="16"/>
          <w:szCs w:val="16"/>
          <w:lang w:val="fr-FR"/>
        </w:rPr>
        <w:t>article</w:t>
      </w:r>
      <w:r w:rsidR="00CA6FB9" w:rsidRPr="002C6F6E">
        <w:rPr>
          <w:sz w:val="16"/>
          <w:szCs w:val="16"/>
          <w:lang w:val="fr-FR"/>
        </w:rPr>
        <w:t> </w:t>
      </w:r>
      <w:r w:rsidR="00AA5D79" w:rsidRPr="002C6F6E">
        <w:rPr>
          <w:sz w:val="16"/>
          <w:szCs w:val="16"/>
          <w:lang w:val="fr-FR"/>
        </w:rPr>
        <w:t>14.5)</w:t>
      </w:r>
    </w:p>
    <w:p w:rsidR="00AA5D79" w:rsidRPr="002C6F6E" w:rsidRDefault="00AA5D79" w:rsidP="00BE75CC">
      <w:pPr>
        <w:keepNext/>
        <w:ind w:left="1134" w:right="1134"/>
        <w:rPr>
          <w:sz w:val="16"/>
          <w:szCs w:val="16"/>
          <w:lang w:val="fr-FR"/>
        </w:rPr>
      </w:pPr>
    </w:p>
    <w:p w:rsidR="00AA5D79" w:rsidRPr="002C6F6E" w:rsidRDefault="00A94E7B" w:rsidP="002A167B">
      <w:pPr>
        <w:keepLines/>
        <w:ind w:left="1134" w:right="1134"/>
        <w:rPr>
          <w:sz w:val="16"/>
          <w:szCs w:val="16"/>
          <w:lang w:val="fr-FR"/>
        </w:rPr>
      </w:pPr>
      <w:r w:rsidRPr="002C6F6E">
        <w:rPr>
          <w:sz w:val="16"/>
          <w:szCs w:val="16"/>
          <w:lang w:val="fr-FR"/>
        </w:rPr>
        <w:t>‘</w:t>
      </w:r>
      <w:r w:rsidR="00AA5D79" w:rsidRPr="002C6F6E">
        <w:rPr>
          <w:sz w:val="16"/>
          <w:szCs w:val="16"/>
          <w:lang w:val="fr-FR"/>
        </w:rPr>
        <w:t xml:space="preserve">La Conférence diplomatique de révision de la Convention internationale pour la protection des obtentions </w:t>
      </w:r>
      <w:r w:rsidR="00BA1EAC">
        <w:rPr>
          <w:sz w:val="16"/>
          <w:szCs w:val="16"/>
          <w:lang w:val="fr-FR"/>
        </w:rPr>
        <w:t>végétales</w:t>
      </w:r>
      <w:r w:rsidR="00AA5D79" w:rsidRPr="002C6F6E">
        <w:rPr>
          <w:sz w:val="16"/>
          <w:szCs w:val="16"/>
          <w:lang w:val="fr-FR"/>
        </w:rPr>
        <w:t xml:space="preserve"> tenue du 4 au 1</w:t>
      </w:r>
      <w:r w:rsidRPr="002C6F6E">
        <w:rPr>
          <w:sz w:val="16"/>
          <w:szCs w:val="16"/>
          <w:lang w:val="fr-FR"/>
        </w:rPr>
        <w:t>8 mars 19</w:t>
      </w:r>
      <w:r w:rsidR="00AA5D79" w:rsidRPr="002C6F6E">
        <w:rPr>
          <w:sz w:val="16"/>
          <w:szCs w:val="16"/>
          <w:lang w:val="fr-FR"/>
        </w:rPr>
        <w:t>91 pri</w:t>
      </w:r>
      <w:r w:rsidR="00065164">
        <w:rPr>
          <w:sz w:val="16"/>
          <w:szCs w:val="16"/>
          <w:lang w:val="fr-FR"/>
        </w:rPr>
        <w:t>e</w:t>
      </w:r>
      <w:r w:rsidR="00AA5D79" w:rsidRPr="002C6F6E">
        <w:rPr>
          <w:sz w:val="16"/>
          <w:szCs w:val="16"/>
          <w:lang w:val="fr-FR"/>
        </w:rPr>
        <w:t xml:space="preserve"> le Secrétaire </w:t>
      </w:r>
      <w:r w:rsidR="00065164">
        <w:rPr>
          <w:sz w:val="16"/>
          <w:szCs w:val="16"/>
          <w:lang w:val="fr-FR"/>
        </w:rPr>
        <w:t>g</w:t>
      </w:r>
      <w:r w:rsidR="00AA5D79" w:rsidRPr="002C6F6E">
        <w:rPr>
          <w:sz w:val="16"/>
          <w:szCs w:val="16"/>
          <w:lang w:val="fr-FR"/>
        </w:rPr>
        <w:t>énéral de l</w:t>
      </w:r>
      <w:r w:rsidRPr="002C6F6E">
        <w:rPr>
          <w:sz w:val="16"/>
          <w:szCs w:val="16"/>
          <w:lang w:val="fr-FR"/>
        </w:rPr>
        <w:t>’</w:t>
      </w:r>
      <w:r w:rsidR="00AA5D79" w:rsidRPr="002C6F6E">
        <w:rPr>
          <w:sz w:val="16"/>
          <w:szCs w:val="16"/>
          <w:lang w:val="fr-FR"/>
        </w:rPr>
        <w:t>UPOV de commencer immédiatement après la Conférence les travaux en vue de l</w:t>
      </w:r>
      <w:r w:rsidRPr="002C6F6E">
        <w:rPr>
          <w:sz w:val="16"/>
          <w:szCs w:val="16"/>
          <w:lang w:val="fr-FR"/>
        </w:rPr>
        <w:t>’</w:t>
      </w:r>
      <w:r w:rsidR="00AA5D79" w:rsidRPr="002C6F6E">
        <w:rPr>
          <w:sz w:val="16"/>
          <w:szCs w:val="16"/>
          <w:lang w:val="fr-FR"/>
        </w:rPr>
        <w:t>établissement de projets de principes directeurs, en vue de leur adoption par le Conseil de l</w:t>
      </w:r>
      <w:r w:rsidRPr="002C6F6E">
        <w:rPr>
          <w:sz w:val="16"/>
          <w:szCs w:val="16"/>
          <w:lang w:val="fr-FR"/>
        </w:rPr>
        <w:t>’</w:t>
      </w:r>
      <w:r w:rsidR="00AA5D79" w:rsidRPr="002C6F6E">
        <w:rPr>
          <w:sz w:val="16"/>
          <w:szCs w:val="16"/>
          <w:lang w:val="fr-FR"/>
        </w:rPr>
        <w:t>UPOV, sur les variétés essentiellement dérivées</w:t>
      </w:r>
      <w:r w:rsidR="0021798E" w:rsidRPr="002C6F6E">
        <w:rPr>
          <w:sz w:val="16"/>
          <w:szCs w:val="16"/>
          <w:lang w:val="fr-FR"/>
        </w:rPr>
        <w:t>.</w:t>
      </w:r>
      <w:r w:rsidR="00BA1EAC">
        <w:rPr>
          <w:sz w:val="16"/>
          <w:szCs w:val="16"/>
          <w:lang w:val="fr-FR"/>
        </w:rPr>
        <w:t>’</w:t>
      </w:r>
      <w:r w:rsidR="00AA5D79" w:rsidRPr="002C6F6E">
        <w:rPr>
          <w:sz w:val="16"/>
          <w:szCs w:val="16"/>
          <w:lang w:val="fr-FR"/>
        </w:rPr>
        <w:t>”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ind w:right="567" w:firstLine="567"/>
        <w:rPr>
          <w:lang w:val="fr-FR"/>
        </w:rPr>
      </w:pPr>
      <w:r w:rsidRPr="002C6F6E">
        <w:rPr>
          <w:lang w:val="fr-FR"/>
        </w:rPr>
        <w:t>b)</w:t>
      </w:r>
      <w:r w:rsidRPr="002C6F6E">
        <w:rPr>
          <w:lang w:val="fr-FR"/>
        </w:rPr>
        <w:tab/>
        <w:t>pour préciser dans le préambule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objectif des orientations eu égard aux membres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et aux parties concernées;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ind w:firstLine="567"/>
        <w:rPr>
          <w:lang w:val="fr-FR"/>
        </w:rPr>
      </w:pPr>
      <w:r w:rsidRPr="002C6F6E">
        <w:rPr>
          <w:lang w:val="fr-FR"/>
        </w:rPr>
        <w:t>c)</w:t>
      </w:r>
      <w:r w:rsidRPr="002C6F6E">
        <w:rPr>
          <w:lang w:val="fr-FR"/>
        </w:rPr>
        <w:tab/>
        <w:t>pour introduire le texte du document UPOV/EXN/EDV/1 “Notes explicatives sur les variétés essentiellement dérivées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713521">
        <w:rPr>
          <w:lang w:val="fr-FR"/>
        </w:rPr>
        <w:t> </w:t>
      </w:r>
      <w:r w:rsidRPr="002C6F6E">
        <w:rPr>
          <w:lang w:val="fr-FR"/>
        </w:rPr>
        <w:t xml:space="preserve">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”, qui a été adopté par le Conseil à sa quarante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troisième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 ordinaire, tenue à Genève le 2</w:t>
      </w:r>
      <w:r w:rsidR="00A94E7B" w:rsidRPr="002C6F6E">
        <w:rPr>
          <w:lang w:val="fr-FR"/>
        </w:rPr>
        <w:t>2 octobre 20</w:t>
      </w:r>
      <w:r w:rsidRPr="002C6F6E">
        <w:rPr>
          <w:lang w:val="fr-FR"/>
        </w:rPr>
        <w:t>09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23 du document C/43/17 “Compte rendu”);</w:t>
      </w:r>
    </w:p>
    <w:p w:rsidR="00AA5D79" w:rsidRPr="002C6F6E" w:rsidRDefault="00AA5D79" w:rsidP="00BE75CC">
      <w:pPr>
        <w:ind w:firstLine="567"/>
        <w:rPr>
          <w:lang w:val="fr-FR"/>
        </w:rPr>
      </w:pPr>
    </w:p>
    <w:p w:rsidR="00AA5D79" w:rsidRPr="002C6F6E" w:rsidRDefault="00AA5D79" w:rsidP="00BE75CC">
      <w:pPr>
        <w:ind w:firstLine="567"/>
        <w:rPr>
          <w:lang w:val="fr-FR"/>
        </w:rPr>
      </w:pPr>
      <w:r w:rsidRPr="002C6F6E">
        <w:rPr>
          <w:lang w:val="fr-FR"/>
        </w:rPr>
        <w:t>d)</w:t>
      </w:r>
      <w:r w:rsidRPr="002C6F6E">
        <w:rPr>
          <w:lang w:val="fr-FR"/>
        </w:rPr>
        <w:tab/>
        <w:t>pour faire figurer le texte de la version UPOV/EXN/EDV/2 “Notes explicatives sur les variétés essentiellement dérivées en vertu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713521">
        <w:rPr>
          <w:lang w:val="fr-FR"/>
        </w:rPr>
        <w:t> </w:t>
      </w:r>
      <w:r w:rsidRPr="002C6F6E">
        <w:rPr>
          <w:lang w:val="fr-FR"/>
        </w:rPr>
        <w:t xml:space="preserve">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 (révision), qui avait déjà été approuvée par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AG;</w:t>
      </w:r>
    </w:p>
    <w:p w:rsidR="00AA5D79" w:rsidRPr="002C6F6E" w:rsidRDefault="00AA5D79" w:rsidP="00BE75CC">
      <w:pPr>
        <w:ind w:firstLine="567"/>
        <w:rPr>
          <w:lang w:val="fr-FR"/>
        </w:rPr>
      </w:pPr>
    </w:p>
    <w:p w:rsidR="00AA5D79" w:rsidRPr="002C6F6E" w:rsidRDefault="00AA5D79" w:rsidP="009D02CD">
      <w:pPr>
        <w:ind w:firstLine="567"/>
        <w:rPr>
          <w:lang w:val="fr-FR"/>
        </w:rPr>
      </w:pPr>
      <w:r w:rsidRPr="002C6F6E">
        <w:rPr>
          <w:lang w:val="fr-FR"/>
        </w:rPr>
        <w:t>e)</w:t>
      </w:r>
      <w:r w:rsidRPr="002C6F6E">
        <w:rPr>
          <w:lang w:val="fr-FR"/>
        </w:rPr>
        <w:tab/>
        <w:t>pour envisager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ajouter les parties pertinentes du projet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présenté dans le document IOM/6/2</w:t>
      </w:r>
      <w:r w:rsidR="00713521">
        <w:rPr>
          <w:lang w:val="fr-FR"/>
        </w:rPr>
        <w:t xml:space="preserve"> </w:t>
      </w:r>
      <w:r w:rsidRPr="002C6F6E">
        <w:rPr>
          <w:lang w:val="fr-FR"/>
        </w:rPr>
        <w:t>“Variétés essentiellement dérivées” à la sixième réunion avec les organisations internationales (IOM/6), en prenant en considération les débats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IOM/6 sur les propositions susmentionnées contenues dans le document IOM/6/5 “Compte rendu” (des copies des documents IOM/6/2 “Variétés essentiellement dérivées” et IOM/6/5 “Compte rendu” ont été mises en ligne comme documents de référence, dans les quatre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langues du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Union, sur la partie du site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Web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consacrée à la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 du Groupe consultatif du Comité administratif et juridique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AG/13/8);</w:t>
      </w:r>
    </w:p>
    <w:p w:rsidR="00AA5D79" w:rsidRPr="002C6F6E" w:rsidRDefault="00AA5D79" w:rsidP="00BE75CC">
      <w:pPr>
        <w:ind w:firstLine="567"/>
        <w:rPr>
          <w:lang w:val="fr-FR"/>
        </w:rPr>
      </w:pPr>
    </w:p>
    <w:p w:rsidR="00AA5D79" w:rsidRPr="002C6F6E" w:rsidRDefault="00AA5D79" w:rsidP="00BE75CC">
      <w:pPr>
        <w:ind w:firstLine="567"/>
        <w:rPr>
          <w:lang w:val="fr-FR"/>
        </w:rPr>
      </w:pPr>
      <w:r w:rsidRPr="002C6F6E">
        <w:rPr>
          <w:lang w:val="fr-FR"/>
        </w:rPr>
        <w:t>f)</w:t>
      </w:r>
      <w:r w:rsidRPr="002C6F6E">
        <w:rPr>
          <w:lang w:val="fr-FR"/>
        </w:rPr>
        <w:tab/>
        <w:t>pour inclure les éléments suivants du séminaire sur les variétés essentiellement dérivées :</w:t>
      </w:r>
    </w:p>
    <w:p w:rsidR="00AA5D79" w:rsidRPr="002C6F6E" w:rsidRDefault="00AA5D79" w:rsidP="00BE75CC">
      <w:pPr>
        <w:ind w:firstLine="567"/>
        <w:rPr>
          <w:lang w:val="fr-FR"/>
        </w:rPr>
      </w:pPr>
    </w:p>
    <w:p w:rsidR="00AA5D79" w:rsidRPr="002C6F6E" w:rsidRDefault="00AA5D79" w:rsidP="00BE75CC">
      <w:pPr>
        <w:ind w:left="513" w:firstLine="567"/>
        <w:rPr>
          <w:lang w:val="fr-FR"/>
        </w:rPr>
      </w:pPr>
      <w:r w:rsidRPr="002C6F6E">
        <w:rPr>
          <w:lang w:val="fr-FR"/>
        </w:rPr>
        <w:t>i)</w:t>
      </w:r>
      <w:r w:rsidRPr="002C6F6E">
        <w:rPr>
          <w:lang w:val="fr-FR"/>
        </w:rPr>
        <w:tab/>
        <w:t>la nécessité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examiner la situation des différentes plantes/espèces et les techniques de sélection, par exemple les mutants;</w:t>
      </w:r>
    </w:p>
    <w:p w:rsidR="00AA5D79" w:rsidRPr="002C6F6E" w:rsidRDefault="00AA5D79" w:rsidP="00BE75CC">
      <w:pPr>
        <w:ind w:left="513" w:firstLine="567"/>
        <w:rPr>
          <w:lang w:val="fr-FR"/>
        </w:rPr>
      </w:pPr>
    </w:p>
    <w:p w:rsidR="00AA5D79" w:rsidRPr="002C6F6E" w:rsidRDefault="00AA5D79" w:rsidP="00BE75CC">
      <w:pPr>
        <w:ind w:left="513" w:firstLine="567"/>
        <w:rPr>
          <w:lang w:val="fr-FR"/>
        </w:rPr>
      </w:pPr>
      <w:r w:rsidRPr="002C6F6E">
        <w:rPr>
          <w:lang w:val="fr-FR"/>
        </w:rPr>
        <w:lastRenderedPageBreak/>
        <w:t>ii)</w:t>
      </w:r>
      <w:r w:rsidRPr="002C6F6E">
        <w:rPr>
          <w:lang w:val="fr-FR"/>
        </w:rPr>
        <w:tab/>
        <w:t>pour expliquer la nécessité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examiner à la fois la dérivation principale (conformité génétique) et les caractères essentiels (phénotype), et, pour ces deux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aspects,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être considérés comme des points de départ possibles, tout en observant que le résultat serait le même;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ind w:firstLine="567"/>
        <w:rPr>
          <w:lang w:val="fr-FR"/>
        </w:rPr>
      </w:pPr>
      <w:r w:rsidRPr="002C6F6E">
        <w:rPr>
          <w:lang w:val="fr-FR"/>
        </w:rPr>
        <w:t>g)</w:t>
      </w:r>
      <w:r w:rsidRPr="002C6F6E">
        <w:rPr>
          <w:lang w:val="fr-FR"/>
        </w:rPr>
        <w:tab/>
        <w:t>pour retenir, comme éventuel point de départ, la note explicative</w:t>
      </w:r>
      <w:r w:rsidR="009763A6">
        <w:rPr>
          <w:lang w:val="fr-FR"/>
        </w:rPr>
        <w:t> </w:t>
      </w:r>
      <w:r w:rsidRPr="002C6F6E">
        <w:rPr>
          <w:lang w:val="fr-FR"/>
        </w:rPr>
        <w:t>6.ii) sur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5 intitulé “Effets du droit octroyé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obtenteur” présentée dans le document IOM/IV/2 (voir le paragraphe</w:t>
      </w:r>
      <w:r w:rsidR="00BA1EAC">
        <w:rPr>
          <w:lang w:val="fr-FR"/>
        </w:rPr>
        <w:t> </w:t>
      </w:r>
      <w:r w:rsidRPr="002C6F6E">
        <w:rPr>
          <w:lang w:val="fr-FR"/>
        </w:rPr>
        <w:t>12 du document IOM/6/2 “Variétés essentiellement dérivées” et le paragraphe</w:t>
      </w:r>
      <w:r w:rsidR="009763A6">
        <w:rPr>
          <w:lang w:val="fr-FR"/>
        </w:rPr>
        <w:t> </w:t>
      </w:r>
      <w:r w:rsidRPr="002C6F6E">
        <w:rPr>
          <w:lang w:val="fr-FR"/>
        </w:rPr>
        <w:t>11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AG/12/7/3, reproduits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dessous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94E7B" w:rsidRPr="002C6F6E" w:rsidRDefault="00A94E7B" w:rsidP="00BE75CC">
      <w:pPr>
        <w:rPr>
          <w:i/>
          <w:iCs/>
          <w:lang w:val="fr-FR"/>
        </w:rPr>
      </w:pP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“[…]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“ii)</w:t>
      </w:r>
      <w:r w:rsidRPr="002C6F6E">
        <w:rPr>
          <w:sz w:val="18"/>
          <w:szCs w:val="18"/>
          <w:lang w:val="fr-FR"/>
        </w:rPr>
        <w:tab/>
        <w:t>la variété dérivée doit conserver la quasi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totalité du génotype de la variété mère et se distinguer de cette variété par un nombre très limité de caractères (généralement par un caractère).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“[…]”;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BE75CC">
      <w:pPr>
        <w:ind w:firstLine="567"/>
        <w:rPr>
          <w:lang w:val="fr-FR"/>
        </w:rPr>
      </w:pPr>
      <w:r w:rsidRPr="002C6F6E">
        <w:rPr>
          <w:lang w:val="fr-FR"/>
        </w:rPr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noté que le texte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dessus serait diffusé avec le projet de compte rendu (document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BA1EAC">
        <w:rPr>
          <w:lang w:val="fr-FR"/>
        </w:rPr>
        <w:t> </w:t>
      </w:r>
      <w:r w:rsidRPr="002C6F6E">
        <w:rPr>
          <w:lang w:val="fr-FR"/>
        </w:rPr>
        <w:t>Prov.) et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période de trois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mois serait prévue pour formuler des observations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44</w:t>
      </w:r>
      <w:r w:rsidR="0021798E" w:rsidRPr="002C6F6E">
        <w:rPr>
          <w:lang w:val="fr-FR"/>
        </w:rPr>
        <w:t>.</w:t>
      </w:r>
      <w:r w:rsidRPr="002C6F6E">
        <w:rPr>
          <w:lang w:val="fr-FR"/>
        </w:rPr>
        <w:t>h) du document CAJ/AG/13/8/10 Prov.</w:t>
      </w:r>
      <w:r w:rsidR="00176241">
        <w:rPr>
          <w:lang w:val="fr-FR"/>
        </w:rPr>
        <w:t>)</w:t>
      </w:r>
      <w:r w:rsidRPr="002C6F6E">
        <w:rPr>
          <w:lang w:val="fr-FR"/>
        </w:rPr>
        <w:t>;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 xml:space="preserve"> et</w:t>
      </w:r>
    </w:p>
    <w:p w:rsidR="00AA5D79" w:rsidRPr="002C6F6E" w:rsidRDefault="00AA5D79" w:rsidP="00BE75CC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AE5D7A">
      <w:pPr>
        <w:ind w:firstLine="567"/>
        <w:rPr>
          <w:lang w:val="fr-FR"/>
        </w:rPr>
      </w:pPr>
      <w:r w:rsidRPr="002C6F6E">
        <w:rPr>
          <w:lang w:val="fr-FR"/>
        </w:rPr>
        <w:t>h)</w:t>
      </w:r>
      <w:r w:rsidRPr="002C6F6E">
        <w:rPr>
          <w:lang w:val="fr-FR"/>
        </w:rPr>
        <w:tab/>
        <w:t>afin que le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donne des exemples concernant les variétés essentiellement dérivées fondés sur : les exemples fournis dans le document IOM/6/2 “Variétés essentiellement dérivées”;  les exemples donnés par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Australie et le Japon lors du séminaire sur les variétés essentiellement dérivées; 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exemple fourni sur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utilisation des informations relatives à la variété initiale pour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obtention de variétés </w:t>
      </w:r>
      <w:r w:rsidRPr="00FF48B0">
        <w:rPr>
          <w:spacing w:val="-2"/>
          <w:lang w:val="fr-FR"/>
        </w:rPr>
        <w:t>essentiellement dérivées;  et la note explicative 6.ii) sur l</w:t>
      </w:r>
      <w:r w:rsidR="00A94E7B" w:rsidRPr="00FF48B0">
        <w:rPr>
          <w:spacing w:val="-2"/>
          <w:lang w:val="fr-FR"/>
        </w:rPr>
        <w:t>’</w:t>
      </w:r>
      <w:r w:rsidRPr="00FF48B0">
        <w:rPr>
          <w:spacing w:val="-2"/>
          <w:lang w:val="fr-FR"/>
        </w:rPr>
        <w:t>article</w:t>
      </w:r>
      <w:r w:rsidR="00176241" w:rsidRPr="00FF48B0">
        <w:rPr>
          <w:spacing w:val="-2"/>
          <w:lang w:val="fr-FR"/>
        </w:rPr>
        <w:t> </w:t>
      </w:r>
      <w:r w:rsidRPr="00FF48B0">
        <w:rPr>
          <w:spacing w:val="-2"/>
          <w:lang w:val="fr-FR"/>
        </w:rPr>
        <w:t>5 intitulé “Effets du droit octroyé à l</w:t>
      </w:r>
      <w:r w:rsidR="00A94E7B" w:rsidRPr="00FF48B0">
        <w:rPr>
          <w:spacing w:val="-2"/>
          <w:lang w:val="fr-FR"/>
        </w:rPr>
        <w:t>’</w:t>
      </w:r>
      <w:r w:rsidRPr="00FF48B0">
        <w:rPr>
          <w:spacing w:val="-2"/>
          <w:lang w:val="fr-FR"/>
        </w:rPr>
        <w:t xml:space="preserve">obtenteur” </w:t>
      </w:r>
      <w:r w:rsidRPr="002C6F6E">
        <w:rPr>
          <w:lang w:val="fr-FR"/>
        </w:rPr>
        <w:t>présentée dans le document IOM/IV/2 (paragraphes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41 et 4</w:t>
      </w:r>
      <w:r w:rsidR="00FF48B0">
        <w:rPr>
          <w:lang w:val="fr-FR"/>
        </w:rPr>
        <w:t>4 </w:t>
      </w:r>
      <w:r w:rsidRPr="002C6F6E">
        <w:rPr>
          <w:lang w:val="fr-FR"/>
        </w:rPr>
        <w:t>g) du document CAJ/AG/13/8/10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 xml:space="preserve">Prov.). 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disposerait de trois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 xml:space="preserve">mois pour formuler des observations sur les exemples concernant les variétés essentiellement dérivées.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La délégation australienne 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est offerte à fournir des renseignements supplémentaires sur le contexte des exemples donnés par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Australie à la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AG.</w:t>
      </w:r>
    </w:p>
    <w:p w:rsidR="00A94E7B" w:rsidRPr="002C6F6E" w:rsidRDefault="00A94E7B" w:rsidP="00AE5D7A">
      <w:pPr>
        <w:ind w:firstLine="567"/>
        <w:rPr>
          <w:lang w:val="fr-FR"/>
        </w:rPr>
      </w:pPr>
    </w:p>
    <w:p w:rsidR="00AA5D79" w:rsidRPr="002C6F6E" w:rsidRDefault="00AA5D79" w:rsidP="00675426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approche suivante afin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avancer sur les questions pertinentes entre ses huitième et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sessions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snapToGrid w:val="0"/>
          <w:lang w:val="fr-FR"/>
        </w:rPr>
        <w:t>:</w:t>
      </w:r>
    </w:p>
    <w:p w:rsidR="00AA5D79" w:rsidRPr="002C6F6E" w:rsidRDefault="00AA5D79" w:rsidP="00675426">
      <w:pPr>
        <w:ind w:left="567"/>
        <w:rPr>
          <w:lang w:val="fr-FR"/>
        </w:rPr>
      </w:pPr>
    </w:p>
    <w:p w:rsidR="00AA5D79" w:rsidRPr="002C6F6E" w:rsidRDefault="00AA5D79" w:rsidP="00AE5D7A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lang w:val="fr-FR"/>
        </w:rPr>
        <w:t>Diffusion</w:t>
      </w:r>
      <w:r w:rsidR="00147BFF">
        <w:rPr>
          <w:lang w:val="fr-FR"/>
        </w:rPr>
        <w:t>,</w:t>
      </w:r>
      <w:r w:rsidRPr="002C6F6E">
        <w:rPr>
          <w:lang w:val="fr-FR"/>
        </w:rPr>
        <w:t xml:space="preserve"> avant le 1</w:t>
      </w:r>
      <w:r w:rsidR="00A94E7B" w:rsidRPr="002C6F6E">
        <w:rPr>
          <w:lang w:val="fr-FR"/>
        </w:rPr>
        <w:t>5 novembre 20</w:t>
      </w:r>
      <w:r w:rsidRPr="002C6F6E">
        <w:rPr>
          <w:lang w:val="fr-FR"/>
        </w:rPr>
        <w:t>13, du “Projet de compte rendu” (document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Prov.) assorti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exemples concernant les variétés essentiellement dérivées</w:t>
      </w:r>
    </w:p>
    <w:p w:rsidR="00AA5D79" w:rsidRPr="002C6F6E" w:rsidRDefault="00AA5D79" w:rsidP="00AE5D7A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rStyle w:val="NormalAprs6ptChar"/>
          <w:sz w:val="20"/>
          <w:szCs w:val="20"/>
        </w:rPr>
        <w:t>Réception, avant le 1</w:t>
      </w:r>
      <w:r w:rsidR="00A94E7B" w:rsidRPr="002C6F6E">
        <w:rPr>
          <w:rStyle w:val="NormalAprs6ptChar"/>
          <w:sz w:val="20"/>
          <w:szCs w:val="20"/>
        </w:rPr>
        <w:t>3 décembre 20</w:t>
      </w:r>
      <w:r w:rsidRPr="002C6F6E">
        <w:rPr>
          <w:rStyle w:val="NormalAprs6ptChar"/>
          <w:sz w:val="20"/>
          <w:szCs w:val="20"/>
        </w:rPr>
        <w:t xml:space="preserve">13, des observations sur le “Projet de compte rendu” (document </w:t>
      </w:r>
      <w:r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Prov.)</w:t>
      </w:r>
    </w:p>
    <w:p w:rsidR="00A94E7B" w:rsidRPr="00147BFF" w:rsidRDefault="00AA5D79" w:rsidP="00147BFF">
      <w:pPr>
        <w:numPr>
          <w:ilvl w:val="0"/>
          <w:numId w:val="5"/>
        </w:numPr>
        <w:spacing w:after="120"/>
        <w:ind w:left="1134" w:hanging="567"/>
        <w:rPr>
          <w:rStyle w:val="NormalAprs6ptChar"/>
          <w:sz w:val="20"/>
          <w:szCs w:val="20"/>
        </w:rPr>
      </w:pPr>
      <w:r w:rsidRPr="002C6F6E">
        <w:rPr>
          <w:lang w:val="fr-FR"/>
        </w:rPr>
        <w:t>Réception, avant le 2</w:t>
      </w:r>
      <w:r w:rsidR="00A94E7B" w:rsidRPr="002C6F6E">
        <w:rPr>
          <w:lang w:val="fr-FR"/>
        </w:rPr>
        <w:t>1 février 20</w:t>
      </w:r>
      <w:r w:rsidRPr="002C6F6E">
        <w:rPr>
          <w:lang w:val="fr-FR"/>
        </w:rPr>
        <w:t xml:space="preserve">14, des observations sur les exemples concernant les variétés </w:t>
      </w:r>
      <w:r w:rsidRPr="00147BFF">
        <w:rPr>
          <w:rStyle w:val="NormalAprs6ptChar"/>
          <w:sz w:val="20"/>
          <w:szCs w:val="20"/>
        </w:rPr>
        <w:t>essentiellement dérivées</w:t>
      </w:r>
    </w:p>
    <w:p w:rsidR="00AA5D79" w:rsidRPr="002C6F6E" w:rsidRDefault="00147BFF" w:rsidP="00147BFF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>
        <w:rPr>
          <w:lang w:val="fr-FR"/>
        </w:rPr>
        <w:t>Diffusion, avant le 9 </w:t>
      </w:r>
      <w:r w:rsidR="00AA5D79" w:rsidRPr="002C6F6E">
        <w:rPr>
          <w:lang w:val="fr-FR"/>
        </w:rPr>
        <w:t>mai</w:t>
      </w:r>
      <w:r>
        <w:rPr>
          <w:lang w:val="fr-FR"/>
        </w:rPr>
        <w:t> </w:t>
      </w:r>
      <w:r w:rsidR="00AA5D79" w:rsidRPr="002C6F6E">
        <w:rPr>
          <w:lang w:val="fr-FR"/>
        </w:rPr>
        <w:t>2014, des nouveaux projets des notes explicatives pertinentes</w:t>
      </w:r>
    </w:p>
    <w:p w:rsidR="00AA5D79" w:rsidRPr="002C6F6E" w:rsidRDefault="00AA5D79" w:rsidP="00147BFF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rStyle w:val="NormalAprs6ptCar"/>
          <w:sz w:val="20"/>
          <w:szCs w:val="20"/>
        </w:rPr>
        <w:t>Réception, avant le 21</w:t>
      </w:r>
      <w:r w:rsidR="00147BFF">
        <w:rPr>
          <w:rStyle w:val="NormalAprs6ptCar"/>
          <w:sz w:val="20"/>
          <w:szCs w:val="20"/>
        </w:rPr>
        <w:t> </w:t>
      </w:r>
      <w:r w:rsidRPr="002C6F6E">
        <w:rPr>
          <w:rStyle w:val="NormalAprs6ptCar"/>
          <w:sz w:val="20"/>
          <w:szCs w:val="20"/>
        </w:rPr>
        <w:t>juin</w:t>
      </w:r>
      <w:r w:rsidR="00147BFF">
        <w:rPr>
          <w:rStyle w:val="NormalAprs6ptCar"/>
          <w:sz w:val="20"/>
          <w:szCs w:val="20"/>
        </w:rPr>
        <w:t> </w:t>
      </w:r>
      <w:r w:rsidRPr="002C6F6E">
        <w:rPr>
          <w:rStyle w:val="NormalAprs6ptCar"/>
          <w:sz w:val="20"/>
          <w:szCs w:val="20"/>
        </w:rPr>
        <w:t>2014, des observations sur les nouveaux projets des notes explicatives</w:t>
      </w:r>
      <w:r w:rsidRPr="002C6F6E">
        <w:rPr>
          <w:lang w:val="fr-FR"/>
        </w:rPr>
        <w:t xml:space="preserve"> pertinentes</w:t>
      </w:r>
    </w:p>
    <w:p w:rsidR="00AA5D79" w:rsidRPr="002C6F6E" w:rsidRDefault="00AA5D79" w:rsidP="0005711A">
      <w:pPr>
        <w:numPr>
          <w:ilvl w:val="0"/>
          <w:numId w:val="5"/>
        </w:numPr>
        <w:ind w:left="1134" w:hanging="567"/>
        <w:rPr>
          <w:lang w:val="fr-FR"/>
        </w:rPr>
      </w:pPr>
      <w:r w:rsidRPr="002C6F6E">
        <w:rPr>
          <w:lang w:val="fr-FR"/>
        </w:rPr>
        <w:t>Nouvelles versions révisées des notes explicatives pertinentes mises en ligne sur le site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Web avant le 2</w:t>
      </w:r>
      <w:r w:rsidR="00A94E7B" w:rsidRPr="002C6F6E">
        <w:rPr>
          <w:lang w:val="fr-FR"/>
        </w:rPr>
        <w:t>9 août 20</w:t>
      </w:r>
      <w:r w:rsidRPr="002C6F6E">
        <w:rPr>
          <w:lang w:val="fr-FR"/>
        </w:rPr>
        <w:t>14</w:t>
      </w:r>
    </w:p>
    <w:p w:rsidR="00AA5D79" w:rsidRPr="002C6F6E" w:rsidRDefault="00AA5D79" w:rsidP="0007574E">
      <w:pPr>
        <w:spacing w:line="360" w:lineRule="auto"/>
        <w:rPr>
          <w:lang w:val="fr-FR"/>
        </w:rPr>
      </w:pPr>
    </w:p>
    <w:p w:rsidR="00AA5D79" w:rsidRPr="002C6F6E" w:rsidRDefault="00AA5D79" w:rsidP="00957E15">
      <w:pPr>
        <w:pStyle w:val="Heading3"/>
        <w:rPr>
          <w:highlight w:val="yellow"/>
          <w:lang w:val="fr-FR"/>
        </w:rPr>
      </w:pPr>
      <w:bookmarkStart w:id="9" w:name="_Toc381194409"/>
      <w:r w:rsidRPr="002C6F6E">
        <w:rPr>
          <w:lang w:val="fr-FR"/>
        </w:rPr>
        <w:t>Questions relatives aux variétés essentiellement dérivées qui ne bénéficien</w:t>
      </w:r>
      <w:r w:rsidR="000745CF">
        <w:rPr>
          <w:lang w:val="fr-FR"/>
        </w:rPr>
        <w:t>t pas de la protection de plein </w:t>
      </w:r>
      <w:r w:rsidRPr="002C6F6E">
        <w:rPr>
          <w:lang w:val="fr-FR"/>
        </w:rPr>
        <w:t>droit</w:t>
      </w:r>
      <w:bookmarkEnd w:id="9"/>
    </w:p>
    <w:p w:rsidR="00AA5D79" w:rsidRPr="002C6F6E" w:rsidRDefault="00AA5D79" w:rsidP="00957E15">
      <w:pPr>
        <w:pStyle w:val="Heading3"/>
        <w:rPr>
          <w:highlight w:val="yellow"/>
          <w:lang w:val="fr-FR"/>
        </w:rPr>
      </w:pPr>
    </w:p>
    <w:p w:rsidR="00AA5D79" w:rsidRPr="002C6F6E" w:rsidRDefault="00AA5D79" w:rsidP="0005711A">
      <w:pPr>
        <w:keepNext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envisager la 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élaborer des orientations sur les questions soulevées dans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15 à</w:t>
      </w:r>
      <w:r w:rsidR="000745CF">
        <w:rPr>
          <w:lang w:val="fr-FR"/>
        </w:rPr>
        <w:t> </w:t>
      </w:r>
      <w:r w:rsidRPr="002C6F6E">
        <w:rPr>
          <w:lang w:val="fr-FR"/>
        </w:rPr>
        <w:t>18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AG/13/8/2, concernant le statut des variétés essentiellement dérivées qui ne bénéficient pas de la protection de plein droit, après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adoption du document révisé UPOV/EXN/EDV/2.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fait remarquer que les questions soulevées dans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15 à</w:t>
      </w:r>
      <w:r w:rsidR="000745CF">
        <w:rPr>
          <w:lang w:val="fr-FR"/>
        </w:rPr>
        <w:t> </w:t>
      </w:r>
      <w:r w:rsidRPr="002C6F6E">
        <w:rPr>
          <w:lang w:val="fr-FR"/>
        </w:rPr>
        <w:t>18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AG/13/8/2 ne se poseraient pas si les obtenteurs protégeaient les variétés essentiellement dérivées de plein droit.</w:t>
      </w:r>
    </w:p>
    <w:p w:rsidR="00AA5D79" w:rsidRPr="002C6F6E" w:rsidRDefault="00AA5D79" w:rsidP="00BE75CC">
      <w:pPr>
        <w:spacing w:line="360" w:lineRule="auto"/>
        <w:rPr>
          <w:lang w:val="fr-FR"/>
        </w:rPr>
      </w:pPr>
    </w:p>
    <w:p w:rsidR="00AA5D79" w:rsidRPr="002C6F6E" w:rsidRDefault="00AA5D79" w:rsidP="003B3C35">
      <w:pPr>
        <w:pStyle w:val="Heading3"/>
        <w:rPr>
          <w:lang w:val="fr-FR"/>
        </w:rPr>
      </w:pPr>
      <w:bookmarkStart w:id="10" w:name="_Toc381194410"/>
      <w:r w:rsidRPr="002C6F6E">
        <w:rPr>
          <w:lang w:val="fr-FR"/>
        </w:rPr>
        <w:lastRenderedPageBreak/>
        <w:t>Exposés sur les systèmes des membres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relatifs aux variétés essentiellement dé</w:t>
      </w:r>
      <w:r w:rsidR="00240AD4">
        <w:rPr>
          <w:lang w:val="fr-FR"/>
        </w:rPr>
        <w:t>r</w:t>
      </w:r>
      <w:r w:rsidRPr="002C6F6E">
        <w:rPr>
          <w:lang w:val="fr-FR"/>
        </w:rPr>
        <w:t>i</w:t>
      </w:r>
      <w:r w:rsidR="00240AD4">
        <w:rPr>
          <w:lang w:val="fr-FR"/>
        </w:rPr>
        <w:t>v</w:t>
      </w:r>
      <w:r w:rsidRPr="002C6F6E">
        <w:rPr>
          <w:lang w:val="fr-FR"/>
        </w:rPr>
        <w:t>ées</w:t>
      </w:r>
      <w:bookmarkEnd w:id="10"/>
    </w:p>
    <w:p w:rsidR="00AA5D79" w:rsidRPr="002C6F6E" w:rsidRDefault="00AA5D79" w:rsidP="002A167B">
      <w:pPr>
        <w:keepNext/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noté que, lors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future réunion, les délégations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Australie, du Brésil et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européenne et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autres membres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seraient invitées à présenter des exposés sur leurs systèmes concernant les variétés essentiellement dérivées.</w:t>
      </w:r>
    </w:p>
    <w:p w:rsidR="00AA5D79" w:rsidRPr="002C6F6E" w:rsidRDefault="00AA5D79" w:rsidP="00BE75CC">
      <w:pPr>
        <w:spacing w:line="360" w:lineRule="auto"/>
        <w:rPr>
          <w:lang w:val="fr-FR"/>
        </w:rPr>
      </w:pPr>
    </w:p>
    <w:p w:rsidR="00AA5D79" w:rsidRPr="002C6F6E" w:rsidRDefault="00AA5D79" w:rsidP="003B3C35">
      <w:pPr>
        <w:pStyle w:val="Heading3"/>
        <w:rPr>
          <w:lang w:val="fr-FR"/>
        </w:rPr>
      </w:pPr>
      <w:bookmarkStart w:id="11" w:name="_Toc381194411"/>
      <w:r w:rsidRPr="002C6F6E">
        <w:rPr>
          <w:lang w:val="fr-FR"/>
        </w:rPr>
        <w:t>Session III du séminaire sur les variétés essentiellement dérivées “Rôle éventuel des futures orientations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sur les variétés essentiellement dérivées”</w:t>
      </w:r>
      <w:bookmarkEnd w:id="11"/>
    </w:p>
    <w:p w:rsidR="00AA5D79" w:rsidRPr="002C6F6E" w:rsidRDefault="00AA5D79" w:rsidP="00BE75CC">
      <w:pPr>
        <w:keepNext/>
        <w:rPr>
          <w:lang w:val="fr-FR"/>
        </w:rPr>
      </w:pPr>
    </w:p>
    <w:p w:rsidR="00AA5D79" w:rsidRPr="002C6F6E" w:rsidRDefault="00AA5D79" w:rsidP="00BE75CC">
      <w:pPr>
        <w:spacing w:after="240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pris note des remarques de clôture de la présidente du Conseil lors de la session III du séminaire sur les variétés essentiellement dérivées “Rôle éventuel des futures orientations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sur les variétés essentiellement dérivées”, 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agissant des sujets suivants :</w:t>
      </w:r>
    </w:p>
    <w:p w:rsidR="00A94E7B" w:rsidRPr="002C6F6E" w:rsidRDefault="00AA5D79" w:rsidP="00BE75CC">
      <w:pPr>
        <w:rPr>
          <w:lang w:val="fr-FR"/>
        </w:rPr>
      </w:pPr>
      <w:r w:rsidRPr="002C6F6E">
        <w:rPr>
          <w:lang w:val="fr-FR"/>
        </w:rPr>
        <w:tab/>
        <w:t>i)</w:t>
      </w:r>
      <w:r w:rsidRPr="002C6F6E">
        <w:rPr>
          <w:lang w:val="fr-FR"/>
        </w:rPr>
        <w:tab/>
        <w:t>les expériences sur le rôle des règles de droit indicatif et des orientations dans différents territoires et en ce qui concerne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autres sujets;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et</w:t>
      </w:r>
    </w:p>
    <w:p w:rsidR="00AA5D79" w:rsidRPr="002C6F6E" w:rsidRDefault="00AA5D79" w:rsidP="00BE75CC">
      <w:pPr>
        <w:rPr>
          <w:lang w:val="fr-FR"/>
        </w:rPr>
      </w:pPr>
    </w:p>
    <w:p w:rsidR="00A94E7B" w:rsidRPr="002C6F6E" w:rsidRDefault="00AA5D79" w:rsidP="00BE75CC">
      <w:pPr>
        <w:rPr>
          <w:lang w:val="fr-FR"/>
        </w:rPr>
      </w:pPr>
      <w:r w:rsidRPr="002C6F6E">
        <w:rPr>
          <w:lang w:val="fr-FR"/>
        </w:rPr>
        <w:tab/>
        <w:t xml:space="preserve">ii) </w:t>
      </w:r>
      <w:r w:rsidRPr="002C6F6E">
        <w:rPr>
          <w:lang w:val="fr-FR"/>
        </w:rPr>
        <w:tab/>
        <w:t>les possibilités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offrent les mécanismes extrajudiciaires de règlement des litiges en matière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orientations, résultant des sentences/décisions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experts dans les affaires relatives aux variétés essentiellement dérivées.</w:t>
      </w:r>
    </w:p>
    <w:p w:rsidR="00AA5D79" w:rsidRPr="002C6F6E" w:rsidRDefault="00AA5D79" w:rsidP="00BE75CC">
      <w:pPr>
        <w:rPr>
          <w:lang w:val="fr-FR"/>
        </w:rPr>
      </w:pPr>
    </w:p>
    <w:p w:rsidR="00AA5D79" w:rsidRPr="002C6F6E" w:rsidRDefault="00AA5D79" w:rsidP="00BE75C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étudier la 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insérer dans le document UPOV/EXN/EDV/2 des informations sur les mécanismes extrajudiciaires de règlement des litiges pour les questions relatives aux variétés essentiellement dérivées, y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compris une référence au document UPOV/INF/21 “Mécanismes extrajudiciaires de règlement des litiges”.  Dans un premier temps,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que le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devrait établir un document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intention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sur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évolution des mécanismes extrajudiciaires de règlement des litiges à</w:t>
      </w:r>
      <w:r w:rsidR="00A94E7B" w:rsidRPr="002C6F6E">
        <w:rPr>
          <w:lang w:val="fr-FR"/>
        </w:rPr>
        <w:t xml:space="preserve"> la CIO</w:t>
      </w:r>
      <w:r w:rsidRPr="002C6F6E">
        <w:rPr>
          <w:lang w:val="fr-FR"/>
        </w:rPr>
        <w:t>PORA, à l</w:t>
      </w:r>
      <w:r w:rsidR="00A94E7B" w:rsidRPr="002C6F6E">
        <w:rPr>
          <w:lang w:val="fr-FR"/>
        </w:rPr>
        <w:t>’</w:t>
      </w:r>
      <w:r w:rsidRPr="00FF48B0">
        <w:rPr>
          <w:i/>
          <w:lang w:val="fr-FR"/>
        </w:rPr>
        <w:t>International Seed Federation</w:t>
      </w:r>
      <w:r w:rsidRPr="002C6F6E">
        <w:rPr>
          <w:lang w:val="fr-FR"/>
        </w:rPr>
        <w:t xml:space="preserve"> (ISF) et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Organisation </w:t>
      </w:r>
      <w:r w:rsidR="00841A89">
        <w:rPr>
          <w:lang w:val="fr-FR"/>
        </w:rPr>
        <w:t>M</w:t>
      </w:r>
      <w:r w:rsidRPr="002C6F6E">
        <w:rPr>
          <w:lang w:val="fr-FR"/>
        </w:rPr>
        <w:t xml:space="preserve">ondiale de la </w:t>
      </w:r>
      <w:r w:rsidR="00841A89">
        <w:rPr>
          <w:lang w:val="fr-FR"/>
        </w:rPr>
        <w:t>Propriété I</w:t>
      </w:r>
      <w:r w:rsidRPr="002C6F6E">
        <w:rPr>
          <w:lang w:val="fr-FR"/>
        </w:rPr>
        <w:t>ntellectuelle (OMPI).  À cet égard,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signalé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aspect à prendre en considération serait le rôle que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pourrait jouer dans la mise à disposition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experts concernant les questions relatives aux variétés essentiellement dérivées.</w:t>
      </w:r>
    </w:p>
    <w:p w:rsidR="00AA5D79" w:rsidRPr="002C6F6E" w:rsidRDefault="00AA5D79" w:rsidP="008B57DD">
      <w:pPr>
        <w:rPr>
          <w:lang w:val="fr-FR"/>
        </w:rPr>
      </w:pPr>
    </w:p>
    <w:p w:rsidR="00AA5D79" w:rsidRPr="002C6F6E" w:rsidRDefault="00AA5D79" w:rsidP="0007574E">
      <w:pPr>
        <w:pStyle w:val="DecisionParagraphs"/>
        <w:keepNext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07574E">
      <w:pPr>
        <w:pStyle w:val="DecisionParagraphs"/>
        <w:keepNext/>
        <w:rPr>
          <w:lang w:val="fr-FR"/>
        </w:rPr>
      </w:pPr>
    </w:p>
    <w:p w:rsidR="00AA5D79" w:rsidRPr="00FF48B0" w:rsidRDefault="00AA5D79" w:rsidP="002D6A42">
      <w:pPr>
        <w:pStyle w:val="DecisionParagraphs"/>
        <w:tabs>
          <w:tab w:val="left" w:pos="5954"/>
        </w:tabs>
        <w:rPr>
          <w:lang w:val="fr-FR"/>
        </w:rPr>
      </w:pPr>
      <w:r w:rsidRPr="002C6F6E">
        <w:rPr>
          <w:lang w:val="fr-FR"/>
        </w:rPr>
        <w:tab/>
        <w:t>a)</w:t>
      </w:r>
      <w:r w:rsidRPr="002C6F6E">
        <w:rPr>
          <w:lang w:val="fr-FR"/>
        </w:rPr>
        <w:tab/>
        <w:t>des faits nouveaux concernant la publication du séminaire sur les variétés essentiellement dérivées qui 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est tenu à Genève le 2</w:t>
      </w:r>
      <w:r w:rsidR="00A94E7B" w:rsidRPr="002C6F6E">
        <w:rPr>
          <w:lang w:val="fr-FR"/>
        </w:rPr>
        <w:t>2 octobre 20</w:t>
      </w:r>
      <w:r w:rsidRPr="002C6F6E">
        <w:rPr>
          <w:lang w:val="fr-FR"/>
        </w:rPr>
        <w:t>13, tels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ils figurent dans les </w:t>
      </w:r>
      <w:r w:rsidRPr="00FF48B0">
        <w:rPr>
          <w:lang w:val="fr-FR"/>
        </w:rPr>
        <w:t>paragraphes</w:t>
      </w:r>
      <w:r w:rsidR="00CA6FB9" w:rsidRPr="00FF48B0">
        <w:rPr>
          <w:lang w:val="fr-FR"/>
        </w:rPr>
        <w:t> </w:t>
      </w:r>
      <w:r w:rsidRPr="00FF48B0">
        <w:rPr>
          <w:lang w:val="fr-FR"/>
        </w:rPr>
        <w:t>6 à</w:t>
      </w:r>
      <w:r w:rsidR="007B0AD1" w:rsidRPr="00FF48B0">
        <w:rPr>
          <w:lang w:val="fr-FR"/>
        </w:rPr>
        <w:t> </w:t>
      </w:r>
      <w:r w:rsidRPr="00FF48B0">
        <w:rPr>
          <w:lang w:val="fr-FR"/>
        </w:rPr>
        <w:t>8 ci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dessus;</w:t>
      </w:r>
    </w:p>
    <w:p w:rsidR="00AA5D79" w:rsidRPr="00FF48B0" w:rsidRDefault="00AA5D79" w:rsidP="00675426">
      <w:pPr>
        <w:pStyle w:val="DecisionParagraphs"/>
        <w:rPr>
          <w:lang w:val="fr-FR"/>
        </w:rPr>
      </w:pPr>
    </w:p>
    <w:p w:rsidR="00AA5D79" w:rsidRPr="00FF48B0" w:rsidRDefault="00AA5D79" w:rsidP="002D6A42">
      <w:pPr>
        <w:pStyle w:val="DecisionParagraphs"/>
        <w:tabs>
          <w:tab w:val="left" w:pos="5954"/>
        </w:tabs>
        <w:rPr>
          <w:lang w:val="fr-FR"/>
        </w:rPr>
      </w:pPr>
      <w:r w:rsidRPr="00FF48B0">
        <w:rPr>
          <w:lang w:val="fr-FR"/>
        </w:rPr>
        <w:tab/>
        <w:t>b)</w:t>
      </w:r>
      <w:r w:rsidRPr="00FF48B0">
        <w:rPr>
          <w:lang w:val="fr-FR"/>
        </w:rPr>
        <w:tab/>
        <w:t>des travaux</w:t>
      </w:r>
      <w:r w:rsidR="00FF48B0">
        <w:rPr>
          <w:lang w:val="fr-FR"/>
        </w:rPr>
        <w:t xml:space="preserve"> du </w:t>
      </w:r>
      <w:r w:rsidR="00A94E7B" w:rsidRPr="00FF48B0">
        <w:rPr>
          <w:lang w:val="fr-FR"/>
        </w:rPr>
        <w:t>CAJ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AG, à sa huitième</w:t>
      </w:r>
      <w:r w:rsidR="00CA6FB9" w:rsidRPr="00FF48B0">
        <w:rPr>
          <w:lang w:val="fr-FR"/>
        </w:rPr>
        <w:t> </w:t>
      </w:r>
      <w:r w:rsidRPr="00FF48B0">
        <w:rPr>
          <w:lang w:val="fr-FR"/>
        </w:rPr>
        <w:t xml:space="preserve">session, concernant un nouveau projet de </w:t>
      </w:r>
      <w:r w:rsidR="00A94E7B" w:rsidRPr="00FF48B0">
        <w:rPr>
          <w:lang w:val="fr-FR"/>
        </w:rPr>
        <w:t>document UP</w:t>
      </w:r>
      <w:r w:rsidRPr="00FF48B0">
        <w:rPr>
          <w:lang w:val="fr-FR"/>
        </w:rPr>
        <w:t>OV/EXN/EDV/2 “Notes explicatives sur les variétés essentiellement dérivées selon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 xml:space="preserve">Acte de 1991 de la </w:t>
      </w:r>
      <w:r w:rsidR="00A94E7B" w:rsidRPr="00FF48B0">
        <w:rPr>
          <w:lang w:val="fr-FR"/>
        </w:rPr>
        <w:t>Convention UPOV</w:t>
      </w:r>
      <w:r w:rsidRPr="00FF48B0">
        <w:rPr>
          <w:lang w:val="fr-FR"/>
        </w:rPr>
        <w:t>”, comme indiqué dans les paragraphes</w:t>
      </w:r>
      <w:r w:rsidR="00CA6FB9" w:rsidRPr="00FF48B0">
        <w:rPr>
          <w:lang w:val="fr-FR"/>
        </w:rPr>
        <w:t> </w:t>
      </w:r>
      <w:r w:rsidRPr="00FF48B0">
        <w:rPr>
          <w:lang w:val="fr-FR"/>
        </w:rPr>
        <w:t>9 à</w:t>
      </w:r>
      <w:r w:rsidR="007B0AD1" w:rsidRPr="00FF48B0">
        <w:rPr>
          <w:lang w:val="fr-FR"/>
        </w:rPr>
        <w:t> </w:t>
      </w:r>
      <w:r w:rsidRPr="00FF48B0">
        <w:rPr>
          <w:lang w:val="fr-FR"/>
        </w:rPr>
        <w:t>18 ci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dessus;</w:t>
      </w:r>
    </w:p>
    <w:p w:rsidR="00AA5D79" w:rsidRPr="00FF48B0" w:rsidRDefault="00AA5D79" w:rsidP="00675426">
      <w:pPr>
        <w:pStyle w:val="DecisionParagraphs"/>
        <w:rPr>
          <w:lang w:val="fr-FR"/>
        </w:rPr>
      </w:pPr>
    </w:p>
    <w:p w:rsidR="00AA5D79" w:rsidRPr="00FF48B0" w:rsidRDefault="002D6A42" w:rsidP="002D6A42">
      <w:pPr>
        <w:pStyle w:val="DecisionParagraphs"/>
        <w:tabs>
          <w:tab w:val="left" w:pos="5954"/>
        </w:tabs>
        <w:rPr>
          <w:lang w:val="fr-FR"/>
        </w:rPr>
      </w:pPr>
      <w:r w:rsidRPr="00FF48B0">
        <w:rPr>
          <w:lang w:val="fr-FR"/>
        </w:rPr>
        <w:tab/>
        <w:t>c)</w:t>
      </w:r>
      <w:r w:rsidRPr="00FF48B0">
        <w:rPr>
          <w:lang w:val="fr-FR"/>
        </w:rPr>
        <w:tab/>
      </w:r>
      <w:r w:rsidR="00AA5D79" w:rsidRPr="00FF48B0">
        <w:rPr>
          <w:lang w:val="fr-FR"/>
        </w:rPr>
        <w:t>que, à sa huitième</w:t>
      </w:r>
      <w:r w:rsidR="00CA6FB9" w:rsidRPr="00FF48B0">
        <w:rPr>
          <w:lang w:val="fr-FR"/>
        </w:rPr>
        <w:t> </w:t>
      </w:r>
      <w:r w:rsidR="00AA5D79" w:rsidRPr="00FF48B0">
        <w:rPr>
          <w:lang w:val="fr-FR"/>
        </w:rPr>
        <w:t>session,</w:t>
      </w:r>
      <w:r w:rsidR="00A94E7B" w:rsidRPr="00FF48B0">
        <w:rPr>
          <w:lang w:val="fr-FR"/>
        </w:rPr>
        <w:t xml:space="preserve"> le CAJ</w:t>
      </w:r>
      <w:r w:rsidR="0021798E" w:rsidRPr="00FF48B0">
        <w:rPr>
          <w:lang w:val="fr-FR"/>
        </w:rPr>
        <w:noBreakHyphen/>
      </w:r>
      <w:r w:rsidR="00AA5D79" w:rsidRPr="00FF48B0">
        <w:rPr>
          <w:lang w:val="fr-FR"/>
        </w:rPr>
        <w:t>AG est convenu d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envisager l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élaboration d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orientations concernant le statut des variétés essentiellement dérivées qui n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ont pas bénéficié de la protection de plein droit, après l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adoption du document révisé UPOV/EXN/EDV/2, comme indiqué dans les paragraphes</w:t>
      </w:r>
      <w:r w:rsidR="00CA6FB9" w:rsidRPr="00FF48B0">
        <w:rPr>
          <w:lang w:val="fr-FR"/>
        </w:rPr>
        <w:t> </w:t>
      </w:r>
      <w:r w:rsidR="00AA5D79" w:rsidRPr="00FF48B0">
        <w:rPr>
          <w:lang w:val="fr-FR"/>
        </w:rPr>
        <w:t>19 et</w:t>
      </w:r>
      <w:r w:rsidR="007B0AD1" w:rsidRPr="00FF48B0">
        <w:rPr>
          <w:lang w:val="fr-FR"/>
        </w:rPr>
        <w:t> </w:t>
      </w:r>
      <w:r w:rsidR="00AA5D79" w:rsidRPr="00FF48B0">
        <w:rPr>
          <w:lang w:val="fr-FR"/>
        </w:rPr>
        <w:t>20 ci</w:t>
      </w:r>
      <w:r w:rsidR="0021798E" w:rsidRPr="00FF48B0">
        <w:rPr>
          <w:lang w:val="fr-FR"/>
        </w:rPr>
        <w:noBreakHyphen/>
      </w:r>
      <w:r w:rsidR="00AA5D79" w:rsidRPr="00FF48B0">
        <w:rPr>
          <w:lang w:val="fr-FR"/>
        </w:rPr>
        <w:t>dessus;</w:t>
      </w:r>
    </w:p>
    <w:p w:rsidR="00AA5D79" w:rsidRPr="00FF48B0" w:rsidRDefault="00AA5D79" w:rsidP="00601672">
      <w:pPr>
        <w:pStyle w:val="DecisionParagraphs"/>
        <w:ind w:left="0"/>
        <w:rPr>
          <w:lang w:val="fr-FR"/>
        </w:rPr>
      </w:pPr>
    </w:p>
    <w:p w:rsidR="00A94E7B" w:rsidRPr="00FF48B0" w:rsidRDefault="002D6A42" w:rsidP="002D6A42">
      <w:pPr>
        <w:pStyle w:val="DecisionParagraphs"/>
        <w:tabs>
          <w:tab w:val="left" w:pos="5954"/>
        </w:tabs>
        <w:rPr>
          <w:lang w:val="fr-FR"/>
        </w:rPr>
      </w:pPr>
      <w:r w:rsidRPr="00FF48B0">
        <w:rPr>
          <w:lang w:val="fr-FR"/>
        </w:rPr>
        <w:tab/>
        <w:t>d)</w:t>
      </w:r>
      <w:r w:rsidRPr="00FF48B0">
        <w:rPr>
          <w:lang w:val="fr-FR"/>
        </w:rPr>
        <w:tab/>
      </w:r>
      <w:r w:rsidR="00AA5D79" w:rsidRPr="00FF48B0">
        <w:rPr>
          <w:lang w:val="fr-FR"/>
        </w:rPr>
        <w:t>que, à sa huitième session,</w:t>
      </w:r>
      <w:r w:rsidR="00A94E7B" w:rsidRPr="00FF48B0">
        <w:rPr>
          <w:lang w:val="fr-FR"/>
        </w:rPr>
        <w:t xml:space="preserve"> le CAJ</w:t>
      </w:r>
      <w:r w:rsidR="0021798E" w:rsidRPr="00FF48B0">
        <w:rPr>
          <w:lang w:val="fr-FR"/>
        </w:rPr>
        <w:noBreakHyphen/>
      </w:r>
      <w:r w:rsidR="00AA5D79" w:rsidRPr="00FF48B0">
        <w:rPr>
          <w:lang w:val="fr-FR"/>
        </w:rPr>
        <w:t>AG a noté que, lors d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 xml:space="preserve">une future </w:t>
      </w:r>
      <w:r w:rsidR="00FF48B0">
        <w:rPr>
          <w:lang w:val="fr-FR"/>
        </w:rPr>
        <w:t>sess</w:t>
      </w:r>
      <w:r w:rsidR="00AA5D79" w:rsidRPr="00FF48B0">
        <w:rPr>
          <w:lang w:val="fr-FR"/>
        </w:rPr>
        <w:t>ion du CAJ</w:t>
      </w:r>
      <w:r w:rsidR="0021798E" w:rsidRPr="00FF48B0">
        <w:rPr>
          <w:lang w:val="fr-FR"/>
        </w:rPr>
        <w:noBreakHyphen/>
      </w:r>
      <w:r w:rsidR="00AA5D79" w:rsidRPr="00FF48B0">
        <w:rPr>
          <w:lang w:val="fr-FR"/>
        </w:rPr>
        <w:t>AG, les délégations de l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Australie, du Brésil et de l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Union européenne et d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autres membres de l</w:t>
      </w:r>
      <w:r w:rsidR="00A94E7B" w:rsidRPr="00FF48B0">
        <w:rPr>
          <w:lang w:val="fr-FR"/>
        </w:rPr>
        <w:t>’</w:t>
      </w:r>
      <w:r w:rsidR="00AA5D79" w:rsidRPr="00FF48B0">
        <w:rPr>
          <w:lang w:val="fr-FR"/>
        </w:rPr>
        <w:t>Union seraient invitées à présenter des exposés sur leurs systèmes concernant les variétés essentiellement dérivées, comme indiqué dans le paragraphe</w:t>
      </w:r>
      <w:r w:rsidR="00CA6FB9" w:rsidRPr="00FF48B0">
        <w:rPr>
          <w:lang w:val="fr-FR"/>
        </w:rPr>
        <w:t> </w:t>
      </w:r>
      <w:r w:rsidR="00AA5D79" w:rsidRPr="00FF48B0">
        <w:rPr>
          <w:lang w:val="fr-FR"/>
        </w:rPr>
        <w:t>21 ci</w:t>
      </w:r>
      <w:r w:rsidR="0021798E" w:rsidRPr="00FF48B0">
        <w:rPr>
          <w:lang w:val="fr-FR"/>
        </w:rPr>
        <w:noBreakHyphen/>
      </w:r>
      <w:r w:rsidR="00AA5D79" w:rsidRPr="00FF48B0">
        <w:rPr>
          <w:lang w:val="fr-FR"/>
        </w:rPr>
        <w:t>dessus;</w:t>
      </w:r>
      <w:r w:rsidR="00CA6FB9" w:rsidRPr="00FF48B0">
        <w:rPr>
          <w:lang w:val="fr-FR"/>
        </w:rPr>
        <w:t xml:space="preserve"> </w:t>
      </w:r>
      <w:r w:rsidR="00AA5D79" w:rsidRPr="00FF48B0">
        <w:rPr>
          <w:lang w:val="fr-FR"/>
        </w:rPr>
        <w:t xml:space="preserve"> et</w:t>
      </w:r>
    </w:p>
    <w:p w:rsidR="00AA5D79" w:rsidRPr="00FF48B0" w:rsidRDefault="00AA5D79" w:rsidP="00675426">
      <w:pPr>
        <w:pStyle w:val="DecisionParagraphs"/>
        <w:rPr>
          <w:lang w:val="fr-FR"/>
        </w:rPr>
      </w:pPr>
    </w:p>
    <w:p w:rsidR="00AA5D79" w:rsidRPr="002C6F6E" w:rsidRDefault="00AA5D79" w:rsidP="002D6A42">
      <w:pPr>
        <w:pStyle w:val="DecisionParagraphs"/>
        <w:tabs>
          <w:tab w:val="left" w:pos="5954"/>
        </w:tabs>
        <w:rPr>
          <w:lang w:val="fr-FR"/>
        </w:rPr>
      </w:pPr>
      <w:r w:rsidRPr="00FF48B0">
        <w:rPr>
          <w:lang w:val="fr-FR"/>
        </w:rPr>
        <w:lastRenderedPageBreak/>
        <w:tab/>
        <w:t>e)</w:t>
      </w:r>
      <w:r w:rsidRPr="00FF48B0">
        <w:rPr>
          <w:lang w:val="fr-FR"/>
        </w:rPr>
        <w:tab/>
        <w:t>que, à sa huitième session,</w:t>
      </w:r>
      <w:r w:rsidR="00A94E7B" w:rsidRPr="00FF48B0">
        <w:rPr>
          <w:lang w:val="fr-FR"/>
        </w:rPr>
        <w:t xml:space="preserve"> le CAJ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AG est convenu que le Bureau de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Union devrait établir un document d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information à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intention</w:t>
      </w:r>
      <w:r w:rsidR="00A94E7B" w:rsidRPr="00FF48B0">
        <w:rPr>
          <w:lang w:val="fr-FR"/>
        </w:rPr>
        <w:t xml:space="preserve"> du CAJ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AG sur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évolution des mécanismes extrajudiciaires de règlement des litiges à</w:t>
      </w:r>
      <w:r w:rsidR="00A94E7B" w:rsidRPr="00FF48B0">
        <w:rPr>
          <w:lang w:val="fr-FR"/>
        </w:rPr>
        <w:t xml:space="preserve"> la CIO</w:t>
      </w:r>
      <w:r w:rsidRPr="00FF48B0">
        <w:rPr>
          <w:lang w:val="fr-FR"/>
        </w:rPr>
        <w:t>PORA, à l</w:t>
      </w:r>
      <w:r w:rsidR="00A94E7B" w:rsidRPr="00FF48B0">
        <w:rPr>
          <w:lang w:val="fr-FR"/>
        </w:rPr>
        <w:t>’</w:t>
      </w:r>
      <w:r w:rsidRPr="00FF48B0">
        <w:rPr>
          <w:i w:val="0"/>
          <w:lang w:val="fr-FR"/>
        </w:rPr>
        <w:t>International Seed Federation</w:t>
      </w:r>
      <w:r w:rsidRPr="00FF48B0">
        <w:rPr>
          <w:lang w:val="fr-FR"/>
        </w:rPr>
        <w:t xml:space="preserve"> (ISF) et à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 xml:space="preserve">Organisation </w:t>
      </w:r>
      <w:r w:rsidR="00841A89" w:rsidRPr="00FF48B0">
        <w:rPr>
          <w:lang w:val="fr-FR"/>
        </w:rPr>
        <w:t>M</w:t>
      </w:r>
      <w:r w:rsidRPr="00FF48B0">
        <w:rPr>
          <w:lang w:val="fr-FR"/>
        </w:rPr>
        <w:t xml:space="preserve">ondiale de la </w:t>
      </w:r>
      <w:r w:rsidR="00841A89" w:rsidRPr="00FF48B0">
        <w:rPr>
          <w:lang w:val="fr-FR"/>
        </w:rPr>
        <w:t>Propriété I</w:t>
      </w:r>
      <w:r w:rsidRPr="00FF48B0">
        <w:rPr>
          <w:lang w:val="fr-FR"/>
        </w:rPr>
        <w:t>ntellectuelle (OMPI) et que</w:t>
      </w:r>
      <w:r w:rsidR="00A94E7B" w:rsidRPr="00FF48B0">
        <w:rPr>
          <w:lang w:val="fr-FR"/>
        </w:rPr>
        <w:t xml:space="preserve"> le CAJ</w:t>
      </w:r>
      <w:r w:rsidR="0021798E" w:rsidRPr="00FF48B0">
        <w:rPr>
          <w:lang w:val="fr-FR"/>
        </w:rPr>
        <w:noBreakHyphen/>
      </w:r>
      <w:r w:rsidRPr="00FF48B0">
        <w:rPr>
          <w:lang w:val="fr-FR"/>
        </w:rPr>
        <w:t>AG a signalé qu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un aspect à prendre en considération serait le rôle que l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UPOV pourrait jouer dans la mise à disposition d</w:t>
      </w:r>
      <w:r w:rsidR="00A94E7B" w:rsidRPr="00FF48B0">
        <w:rPr>
          <w:lang w:val="fr-FR"/>
        </w:rPr>
        <w:t>’</w:t>
      </w:r>
      <w:r w:rsidRPr="00FF48B0">
        <w:rPr>
          <w:lang w:val="fr-FR"/>
        </w:rPr>
        <w:t>experts concernant les questions relatives aux variétés essentiellement dérivées, comme indiqué dans le paragraphe</w:t>
      </w:r>
      <w:r w:rsidR="00CA6FB9" w:rsidRPr="00FF48B0">
        <w:rPr>
          <w:lang w:val="fr-FR"/>
        </w:rPr>
        <w:t> </w:t>
      </w:r>
      <w:r w:rsidRPr="00FF48B0">
        <w:rPr>
          <w:lang w:val="fr-FR"/>
        </w:rPr>
        <w:t>23 ci</w:t>
      </w:r>
      <w:r w:rsidR="0021798E" w:rsidRPr="00FF48B0">
        <w:rPr>
          <w:lang w:val="fr-FR"/>
        </w:rPr>
        <w:noBreakHyphen/>
      </w:r>
      <w:r w:rsidR="00AA0A8F">
        <w:rPr>
          <w:lang w:val="fr-FR"/>
        </w:rPr>
        <w:t>dessus.</w:t>
      </w:r>
    </w:p>
    <w:p w:rsidR="00AA5D79" w:rsidRPr="002D6A42" w:rsidRDefault="00AA5D79" w:rsidP="002D6A42">
      <w:pPr>
        <w:pStyle w:val="DecisionParagraphs"/>
        <w:ind w:left="0"/>
        <w:jc w:val="left"/>
        <w:rPr>
          <w:i w:val="0"/>
          <w:lang w:val="fr-FR"/>
        </w:rPr>
      </w:pPr>
    </w:p>
    <w:p w:rsidR="00AA5D79" w:rsidRPr="002C6F6E" w:rsidRDefault="00AA5D79" w:rsidP="00EC7E64">
      <w:pPr>
        <w:rPr>
          <w:lang w:val="fr-FR"/>
        </w:rPr>
      </w:pPr>
    </w:p>
    <w:p w:rsidR="00AA5D79" w:rsidRPr="002C6F6E" w:rsidRDefault="00AA5D79" w:rsidP="00EC7E64">
      <w:pPr>
        <w:rPr>
          <w:lang w:val="fr-FR"/>
        </w:rPr>
      </w:pPr>
    </w:p>
    <w:p w:rsidR="00AA5D79" w:rsidRPr="002C6F6E" w:rsidRDefault="00AA5D79" w:rsidP="00292050">
      <w:pPr>
        <w:pStyle w:val="Heading1"/>
        <w:rPr>
          <w:lang w:val="fr-FR"/>
        </w:rPr>
      </w:pPr>
      <w:bookmarkStart w:id="12" w:name="_Toc379530095"/>
      <w:bookmarkStart w:id="13" w:name="_Toc381194412"/>
      <w:r w:rsidRPr="002C6F6E">
        <w:rPr>
          <w:lang w:val="fr-FR"/>
        </w:rPr>
        <w:t>IV.</w:t>
      </w:r>
      <w:r w:rsidRPr="002C6F6E">
        <w:rPr>
          <w:lang w:val="fr-FR"/>
        </w:rPr>
        <w:tab/>
      </w:r>
      <w:r w:rsidR="002D6A42">
        <w:rPr>
          <w:lang w:val="fr-FR"/>
        </w:rPr>
        <w:t>Q</w:t>
      </w:r>
      <w:r w:rsidRPr="002C6F6E">
        <w:rPr>
          <w:lang w:val="fr-FR"/>
        </w:rPr>
        <w:t>uestions concernant les descriptions vari</w:t>
      </w:r>
      <w:r w:rsidR="002D6A42">
        <w:rPr>
          <w:lang w:val="fr-FR"/>
        </w:rPr>
        <w:t>é</w:t>
      </w:r>
      <w:r w:rsidRPr="002C6F6E">
        <w:rPr>
          <w:lang w:val="fr-FR"/>
        </w:rPr>
        <w:t>tales</w:t>
      </w:r>
      <w:bookmarkEnd w:id="12"/>
      <w:bookmarkEnd w:id="13"/>
    </w:p>
    <w:p w:rsidR="00AA5D79" w:rsidRPr="002C6F6E" w:rsidRDefault="00AA5D79" w:rsidP="00CD6BE4">
      <w:pPr>
        <w:keepNext/>
        <w:rPr>
          <w:lang w:val="fr-FR"/>
        </w:rPr>
      </w:pPr>
    </w:p>
    <w:p w:rsidR="00AA5D79" w:rsidRPr="002C6F6E" w:rsidRDefault="00AA5D79" w:rsidP="00CD6BE4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sixième session, tenue à Genève le 18 octobre 2011,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estimé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serait approprié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élaborer des orientations supplémentaires sur les descriptions variétales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10 du document CAJ</w:t>
      </w:r>
      <w:r w:rsidR="002D6A42">
        <w:rPr>
          <w:lang w:val="fr-FR"/>
        </w:rPr>
        <w:noBreakHyphen/>
      </w:r>
      <w:r w:rsidRPr="002C6F6E">
        <w:rPr>
          <w:lang w:val="fr-FR"/>
        </w:rPr>
        <w:t>AG/11/6/7 “Compte rendu”).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CD6BE4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 session, tenue à Genève les 21 et 25 octobre 2011,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que les questions suivantes, figurant dans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4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AG/13/8/7 “</w:t>
      </w:r>
      <w:r w:rsidRPr="00C54F87">
        <w:rPr>
          <w:i/>
          <w:lang w:val="fr-FR"/>
        </w:rPr>
        <w:t>Matters concerning variety descriptions</w:t>
      </w:r>
      <w:r w:rsidRPr="002C6F6E">
        <w:rPr>
          <w:lang w:val="fr-FR"/>
        </w:rPr>
        <w:t>”, devaient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abord être examinées par</w:t>
      </w:r>
      <w:r w:rsidR="00C54F87">
        <w:rPr>
          <w:lang w:val="fr-FR"/>
        </w:rPr>
        <w:t xml:space="preserve"> le 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72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593AC3">
      <w:pPr>
        <w:ind w:lef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“a)</w:t>
      </w:r>
      <w:r w:rsidRPr="002C6F6E">
        <w:rPr>
          <w:sz w:val="18"/>
          <w:szCs w:val="18"/>
          <w:lang w:val="fr-FR"/>
        </w:rPr>
        <w:tab/>
        <w:t>le ou les buts de la description variétale élaborée au moment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octroi du droit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obtenteur (description variétale initiale);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“b)</w:t>
      </w:r>
      <w:r w:rsidRPr="002C6F6E">
        <w:rPr>
          <w:sz w:val="18"/>
          <w:szCs w:val="18"/>
          <w:lang w:val="fr-FR"/>
        </w:rPr>
        <w:tab/>
        <w:t>le statut de la description variétale initiale, au regard de la vérification de la conformité du matériel végétal à une variété protégée aux fins de :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CD6BE4">
      <w:pPr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“[…]</w:t>
      </w:r>
    </w:p>
    <w:p w:rsidR="00AA5D79" w:rsidRPr="002C6F6E" w:rsidRDefault="00AA5D79" w:rsidP="00CD6BE4">
      <w:pPr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“iii)</w:t>
      </w:r>
      <w:r w:rsidRPr="002C6F6E">
        <w:rPr>
          <w:sz w:val="18"/>
          <w:szCs w:val="18"/>
          <w:lang w:val="fr-FR"/>
        </w:rPr>
        <w:tab/>
        <w:t>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application du droit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obtenteur.</w:t>
      </w:r>
      <w:r w:rsidR="00841A89">
        <w:rPr>
          <w:sz w:val="18"/>
          <w:szCs w:val="18"/>
          <w:lang w:val="fr-FR"/>
        </w:rPr>
        <w:t>”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CD6BE4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approuvé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orientations sur les points suivants, sur lesquels il a proposé que le Comité technique (TC), sur invitation du </w:t>
      </w:r>
      <w:r w:rsidR="00C54F87">
        <w:rPr>
          <w:lang w:val="fr-FR"/>
        </w:rPr>
        <w:t>CAJ</w:t>
      </w:r>
      <w:r w:rsidRPr="002C6F6E">
        <w:rPr>
          <w:lang w:val="fr-FR"/>
        </w:rPr>
        <w:t xml:space="preserve">, se penche </w:t>
      </w:r>
      <w:r w:rsidR="00C54F87">
        <w:rPr>
          <w:lang w:val="fr-FR"/>
        </w:rPr>
        <w:t xml:space="preserve">dès le départ </w:t>
      </w:r>
      <w:r w:rsidRPr="002C6F6E">
        <w:rPr>
          <w:lang w:val="fr-FR"/>
        </w:rPr>
        <w:t>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73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FD0164">
      <w:pPr>
        <w:numPr>
          <w:ilvl w:val="0"/>
          <w:numId w:val="7"/>
        </w:numPr>
        <w:tabs>
          <w:tab w:val="clear" w:pos="1140"/>
        </w:tabs>
        <w:ind w:left="0" w:firstLine="570"/>
        <w:rPr>
          <w:lang w:val="fr-FR"/>
        </w:rPr>
      </w:pPr>
      <w:r w:rsidRPr="002C6F6E">
        <w:rPr>
          <w:lang w:val="fr-FR"/>
        </w:rPr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utilisation des informations, des documents ou du matériel fournis par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aux fins du contrôle du maintien de la variété, comme énoncé au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15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AG/13/8/4 “</w:t>
      </w:r>
      <w:r w:rsidRPr="00C54F87">
        <w:rPr>
          <w:i/>
          <w:lang w:val="fr-FR"/>
        </w:rPr>
        <w:t>Matters concerning cancellation of the breeder</w:t>
      </w:r>
      <w:r w:rsidR="00A94E7B" w:rsidRPr="00C54F87">
        <w:rPr>
          <w:i/>
          <w:lang w:val="fr-FR"/>
        </w:rPr>
        <w:t>’</w:t>
      </w:r>
      <w:r w:rsidRPr="00C54F87">
        <w:rPr>
          <w:i/>
          <w:lang w:val="fr-FR"/>
        </w:rPr>
        <w:t>s right</w:t>
      </w:r>
      <w:r w:rsidRPr="002C6F6E">
        <w:rPr>
          <w:lang w:val="fr-FR"/>
        </w:rPr>
        <w:t>”, en précisant que les informations, les documents ou le matériel pourraient être conservés dans un autre pays;  et</w:t>
      </w:r>
    </w:p>
    <w:p w:rsidR="00AA5D79" w:rsidRPr="002C6F6E" w:rsidRDefault="00AA5D79" w:rsidP="00CD6BE4">
      <w:pPr>
        <w:tabs>
          <w:tab w:val="left" w:pos="7500"/>
        </w:tabs>
        <w:rPr>
          <w:lang w:val="fr-FR"/>
        </w:rPr>
      </w:pPr>
    </w:p>
    <w:p w:rsidR="00A94E7B" w:rsidRPr="002C6F6E" w:rsidRDefault="00AA5D79" w:rsidP="00CD6BE4">
      <w:pPr>
        <w:rPr>
          <w:lang w:val="fr-FR"/>
        </w:rPr>
      </w:pPr>
      <w:r w:rsidRPr="002C6F6E">
        <w:rPr>
          <w:lang w:val="fr-FR"/>
        </w:rPr>
        <w:tab/>
        <w:t>b)</w:t>
      </w:r>
      <w:r w:rsidRPr="002C6F6E">
        <w:rPr>
          <w:lang w:val="fr-FR"/>
        </w:rPr>
        <w:tab/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utilisation de principes directeurs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aux fins du contrôle du maintien de la variété qui se distinguaient des principes directeurs utilisés pour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de la distinction,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homogénéité et de la stabilité (examen “DHS”).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CD6BE4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de proposer</w:t>
      </w:r>
      <w:r w:rsidR="00A94E7B" w:rsidRPr="002C6F6E">
        <w:rPr>
          <w:lang w:val="fr-FR"/>
        </w:rPr>
        <w:t xml:space="preserve"> au CAJ</w:t>
      </w:r>
      <w:r w:rsidRPr="002C6F6E">
        <w:rPr>
          <w:lang w:val="fr-FR"/>
        </w:rPr>
        <w:t xml:space="preserve"> que les questions suivantes, qui figurent dans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4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AG/13/8/7, soient examinées dès le départ par le</w:t>
      </w:r>
      <w:r w:rsidR="00A94E7B" w:rsidRPr="002C6F6E">
        <w:rPr>
          <w:lang w:val="fr-FR"/>
        </w:rPr>
        <w:t> TC</w:t>
      </w:r>
      <w:r w:rsidRPr="002C6F6E">
        <w:rPr>
          <w:lang w:val="fr-FR"/>
        </w:rPr>
        <w:t> 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74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“[…]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94E7B" w:rsidRPr="002C6F6E" w:rsidRDefault="00AA5D79" w:rsidP="00CD6BE4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“b)</w:t>
      </w:r>
      <w:r w:rsidRPr="002C6F6E">
        <w:rPr>
          <w:sz w:val="18"/>
          <w:szCs w:val="18"/>
          <w:lang w:val="fr-FR"/>
        </w:rPr>
        <w:tab/>
        <w:t>le statut de la description variétale initiale, au regard de la vérification de la conformité du matériel végétal à une variété protégée aux fins de :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CD6BE4">
      <w:pPr>
        <w:ind w:left="1134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“i)</w:t>
      </w:r>
      <w:r w:rsidRPr="002C6F6E">
        <w:rPr>
          <w:sz w:val="18"/>
          <w:szCs w:val="18"/>
          <w:lang w:val="fr-FR"/>
        </w:rPr>
        <w:tab/>
        <w:t>vérifier le maintien de la variété (article</w:t>
      </w:r>
      <w:r w:rsidR="00CA6FB9" w:rsidRPr="002C6F6E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22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Acte de</w:t>
      </w:r>
      <w:r w:rsidR="00D57A21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1991, article</w:t>
      </w:r>
      <w:r w:rsidR="00D57A21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10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Acte de</w:t>
      </w:r>
      <w:r w:rsidR="00D57A21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1978);</w:t>
      </w:r>
    </w:p>
    <w:p w:rsidR="00AA5D79" w:rsidRPr="002C6F6E" w:rsidRDefault="00AA5D79" w:rsidP="00CD6BE4">
      <w:pPr>
        <w:ind w:left="1134" w:right="567"/>
        <w:rPr>
          <w:sz w:val="18"/>
          <w:szCs w:val="18"/>
          <w:lang w:val="fr-FR"/>
        </w:rPr>
      </w:pPr>
    </w:p>
    <w:p w:rsidR="00AA5D79" w:rsidRPr="002C6F6E" w:rsidRDefault="00AA5D79" w:rsidP="00362260">
      <w:pPr>
        <w:ind w:left="1689" w:hanging="555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“ii)</w:t>
      </w:r>
      <w:r w:rsidRPr="002C6F6E">
        <w:rPr>
          <w:sz w:val="18"/>
          <w:szCs w:val="18"/>
          <w:lang w:val="fr-FR"/>
        </w:rPr>
        <w:tab/>
        <w:t>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examen de la distinction,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homogénéité et de la stabilité (examen “DHS”) des variétés candidates;  et</w:t>
      </w:r>
    </w:p>
    <w:p w:rsidR="00AA5D79" w:rsidRPr="002C6F6E" w:rsidRDefault="00AA5D79" w:rsidP="00CD6BE4">
      <w:pPr>
        <w:ind w:left="1134" w:right="567"/>
        <w:rPr>
          <w:sz w:val="18"/>
          <w:szCs w:val="18"/>
          <w:lang w:val="fr-FR"/>
        </w:rPr>
      </w:pPr>
    </w:p>
    <w:p w:rsidR="00AA5D79" w:rsidRPr="002C6F6E" w:rsidRDefault="00AA5D79" w:rsidP="00CD6BE4">
      <w:pPr>
        <w:spacing w:after="240"/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“[…]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lastRenderedPageBreak/>
        <w:t>“c)</w:t>
      </w:r>
      <w:r w:rsidRPr="002C6F6E">
        <w:rPr>
          <w:sz w:val="18"/>
          <w:szCs w:val="18"/>
          <w:lang w:val="fr-FR"/>
        </w:rPr>
        <w:tab/>
        <w:t>le statut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description variétale modifiée par rapport aux points</w:t>
      </w:r>
      <w:r w:rsidR="00CA6FB9" w:rsidRPr="002C6F6E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a) et b)</w:t>
      </w:r>
      <w:r w:rsidR="00061791" w:rsidRPr="002C6F6E">
        <w:rPr>
          <w:sz w:val="18"/>
          <w:szCs w:val="18"/>
          <w:lang w:val="fr-FR"/>
        </w:rPr>
        <w:t xml:space="preserve"> </w:t>
      </w:r>
      <w:r w:rsidRPr="002C6F6E">
        <w:rPr>
          <w:sz w:val="18"/>
          <w:szCs w:val="18"/>
          <w:lang w:val="fr-FR"/>
        </w:rPr>
        <w:t>précités, fournie, par exemple, à la suite :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CD6BE4">
      <w:pPr>
        <w:spacing w:after="60"/>
        <w:ind w:left="1701" w:right="567" w:hanging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“i)</w:t>
      </w:r>
      <w:r w:rsidRPr="002C6F6E">
        <w:rPr>
          <w:sz w:val="18"/>
          <w:szCs w:val="18"/>
          <w:lang w:val="fr-FR"/>
        </w:rPr>
        <w:tab/>
        <w:t>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 réétalonnage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échelle des principes directeurs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examen (en particulier pour les caractères non signalés par un astérisque</w:t>
      </w:r>
      <w:r w:rsidRPr="002C6F6E">
        <w:rPr>
          <w:rStyle w:val="FootnoteReference"/>
          <w:sz w:val="18"/>
          <w:szCs w:val="18"/>
          <w:lang w:val="fr-FR"/>
        </w:rPr>
        <w:footnoteReference w:id="2"/>
      </w:r>
      <w:r w:rsidRPr="002C6F6E">
        <w:rPr>
          <w:sz w:val="18"/>
          <w:szCs w:val="18"/>
          <w:lang w:val="fr-FR"/>
        </w:rPr>
        <w:t>);</w:t>
      </w:r>
    </w:p>
    <w:p w:rsidR="00AA5D79" w:rsidRPr="002C6F6E" w:rsidRDefault="00AA5D79" w:rsidP="00CD6BE4">
      <w:pPr>
        <w:spacing w:after="60"/>
        <w:ind w:left="1701" w:right="567" w:hanging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“ii)</w:t>
      </w:r>
      <w:r w:rsidRPr="002C6F6E">
        <w:rPr>
          <w:sz w:val="18"/>
          <w:szCs w:val="18"/>
          <w:lang w:val="fr-FR"/>
        </w:rPr>
        <w:tab/>
        <w:t>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variation due aux conditions environnementales des années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essai pour les caractères influencés par le milieu;</w:t>
      </w:r>
    </w:p>
    <w:p w:rsidR="00AA5D79" w:rsidRPr="002C6F6E" w:rsidRDefault="00AA5D79" w:rsidP="00CD6BE4">
      <w:pPr>
        <w:spacing w:after="60"/>
        <w:ind w:left="1701" w:right="567" w:hanging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“iii)</w:t>
      </w:r>
      <w:r w:rsidRPr="002C6F6E">
        <w:rPr>
          <w:sz w:val="18"/>
          <w:szCs w:val="18"/>
          <w:lang w:val="fr-FR"/>
        </w:rPr>
        <w:tab/>
        <w:t>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variation due à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 xml:space="preserve">observation effectuée par différents experts; </w:t>
      </w:r>
      <w:r w:rsidR="00CA6FB9" w:rsidRPr="002C6F6E">
        <w:rPr>
          <w:sz w:val="18"/>
          <w:szCs w:val="18"/>
          <w:lang w:val="fr-FR"/>
        </w:rPr>
        <w:t xml:space="preserve"> </w:t>
      </w:r>
      <w:r w:rsidRPr="002C6F6E">
        <w:rPr>
          <w:sz w:val="18"/>
          <w:szCs w:val="18"/>
          <w:lang w:val="fr-FR"/>
        </w:rPr>
        <w:t>ou</w:t>
      </w:r>
    </w:p>
    <w:p w:rsidR="00AA5D79" w:rsidRPr="002C6F6E" w:rsidRDefault="00AA5D79" w:rsidP="00CD6BE4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“iv)</w:t>
      </w:r>
      <w:r w:rsidRPr="002C6F6E">
        <w:rPr>
          <w:sz w:val="18"/>
          <w:szCs w:val="18"/>
          <w:lang w:val="fr-FR"/>
        </w:rPr>
        <w:tab/>
        <w:t>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utilisation de différentes versions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échelles (par exemple, différentes versions du code de couleurs RHS).</w:t>
      </w:r>
    </w:p>
    <w:p w:rsidR="00AA5D79" w:rsidRPr="002C6F6E" w:rsidRDefault="00AA5D79" w:rsidP="00CD6BE4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362260">
      <w:pPr>
        <w:ind w:right="566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“d)</w:t>
      </w:r>
      <w:r w:rsidRPr="002C6F6E">
        <w:rPr>
          <w:sz w:val="18"/>
          <w:szCs w:val="18"/>
          <w:lang w:val="fr-FR"/>
        </w:rPr>
        <w:tab/>
        <w:t>lorsqu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erreur est décelée par la suite dans la description variétale initiale</w:t>
      </w:r>
      <w:r w:rsidR="00061791" w:rsidRPr="002C6F6E">
        <w:rPr>
          <w:sz w:val="18"/>
          <w:szCs w:val="18"/>
          <w:lang w:val="fr-FR"/>
        </w:rPr>
        <w:t>.</w:t>
      </w:r>
      <w:r w:rsidRPr="002C6F6E">
        <w:rPr>
          <w:sz w:val="18"/>
          <w:szCs w:val="18"/>
          <w:lang w:val="fr-FR"/>
        </w:rPr>
        <w:t>”</w:t>
      </w:r>
    </w:p>
    <w:p w:rsidR="00AA5D79" w:rsidRPr="002C6F6E" w:rsidRDefault="00AA5D79" w:rsidP="00CD6BE4">
      <w:pPr>
        <w:rPr>
          <w:lang w:val="fr-FR"/>
        </w:rPr>
      </w:pPr>
    </w:p>
    <w:p w:rsidR="00AA5D79" w:rsidRPr="002C6F6E" w:rsidRDefault="00AA5D79" w:rsidP="007C20F5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examiner la proposition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AG, </w:t>
      </w:r>
      <w:r w:rsidR="00A94E7B" w:rsidRPr="002C6F6E">
        <w:rPr>
          <w:lang w:val="fr-FR"/>
        </w:rPr>
        <w:t>à savoir</w:t>
      </w:r>
      <w:r w:rsidRPr="002C6F6E">
        <w:rPr>
          <w:lang w:val="fr-FR"/>
        </w:rPr>
        <w:t xml:space="preserve"> que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invite le</w:t>
      </w:r>
      <w:r w:rsidR="00A94E7B" w:rsidRPr="002C6F6E">
        <w:rPr>
          <w:lang w:val="fr-FR"/>
        </w:rPr>
        <w:t> TC</w:t>
      </w:r>
      <w:r w:rsidRPr="002C6F6E">
        <w:rPr>
          <w:lang w:val="fr-FR"/>
        </w:rPr>
        <w:t xml:space="preserve"> à envisager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orientations supplémentaires sur certaines questions concernant les descriptions variétales, </w:t>
      </w:r>
      <w:r w:rsidRPr="00C54F87">
        <w:rPr>
          <w:lang w:val="fr-FR"/>
        </w:rPr>
        <w:t>telles qu</w:t>
      </w:r>
      <w:r w:rsidR="00A94E7B" w:rsidRPr="00C54F87">
        <w:rPr>
          <w:lang w:val="fr-FR"/>
        </w:rPr>
        <w:t>’</w:t>
      </w:r>
      <w:r w:rsidRPr="00C54F87">
        <w:rPr>
          <w:lang w:val="fr-FR"/>
        </w:rPr>
        <w:t>elles figurent dans les paragraphes </w:t>
      </w:r>
      <w:r w:rsidR="00593AC3" w:rsidRPr="00C54F87">
        <w:rPr>
          <w:lang w:val="fr-FR"/>
        </w:rPr>
        <w:t>27 et </w:t>
      </w:r>
      <w:r w:rsidRPr="00C54F87">
        <w:rPr>
          <w:lang w:val="fr-FR"/>
        </w:rPr>
        <w:t>28 du présent document.</w:t>
      </w:r>
    </w:p>
    <w:p w:rsidR="00AA5D79" w:rsidRPr="002C6F6E" w:rsidRDefault="00AA5D79" w:rsidP="00CD6BE4">
      <w:pPr>
        <w:rPr>
          <w:lang w:val="fr-FR"/>
        </w:rPr>
      </w:pPr>
    </w:p>
    <w:p w:rsidR="00AA5D79" w:rsidRPr="00C54F87" w:rsidRDefault="00AA5D79" w:rsidP="00CD6BE4">
      <w:pPr>
        <w:pStyle w:val="DecisionParagraphs"/>
        <w:rPr>
          <w:lang w:val="fr-FR"/>
        </w:rPr>
      </w:pPr>
      <w:r w:rsidRPr="00C54F87">
        <w:rPr>
          <w:lang w:val="fr-FR"/>
        </w:rPr>
        <w:fldChar w:fldCharType="begin"/>
      </w:r>
      <w:r w:rsidRPr="00C54F87">
        <w:rPr>
          <w:lang w:val="fr-FR"/>
        </w:rPr>
        <w:instrText xml:space="preserve"> AUTONUM  </w:instrText>
      </w:r>
      <w:r w:rsidRPr="00C54F87">
        <w:rPr>
          <w:lang w:val="fr-FR"/>
        </w:rPr>
        <w:fldChar w:fldCharType="end"/>
      </w:r>
      <w:r w:rsidRPr="00C54F87">
        <w:rPr>
          <w:lang w:val="fr-FR"/>
        </w:rPr>
        <w:tab/>
        <w:t>Le CAJ est invité à</w:t>
      </w:r>
      <w:r w:rsidR="00CA6FB9" w:rsidRPr="00C54F87">
        <w:rPr>
          <w:lang w:val="fr-FR"/>
        </w:rPr>
        <w:t> </w:t>
      </w:r>
      <w:r w:rsidRPr="00C54F87">
        <w:rPr>
          <w:lang w:val="fr-FR"/>
        </w:rPr>
        <w:t>:</w:t>
      </w:r>
    </w:p>
    <w:p w:rsidR="00AA5D79" w:rsidRPr="00C54F87" w:rsidRDefault="00AA5D79" w:rsidP="00CD6BE4">
      <w:pPr>
        <w:pStyle w:val="DecisionParagraphs"/>
        <w:rPr>
          <w:lang w:val="fr-FR"/>
        </w:rPr>
      </w:pPr>
    </w:p>
    <w:p w:rsidR="00A94E7B" w:rsidRPr="00C54F87" w:rsidRDefault="00AA5D79" w:rsidP="0007574E">
      <w:pPr>
        <w:pStyle w:val="DecisionParagraphs"/>
        <w:tabs>
          <w:tab w:val="left" w:pos="5954"/>
        </w:tabs>
        <w:rPr>
          <w:lang w:val="fr-FR"/>
        </w:rPr>
      </w:pPr>
      <w:r w:rsidRPr="00C54F87">
        <w:rPr>
          <w:lang w:val="fr-FR"/>
        </w:rPr>
        <w:tab/>
        <w:t>a)</w:t>
      </w:r>
      <w:r w:rsidRPr="00C54F87">
        <w:rPr>
          <w:lang w:val="fr-FR"/>
        </w:rPr>
        <w:tab/>
        <w:t>prendre note des questions concernant les descriptions variétales que doit examiner</w:t>
      </w:r>
      <w:r w:rsidR="00A94E7B" w:rsidRPr="00C54F87">
        <w:rPr>
          <w:lang w:val="fr-FR"/>
        </w:rPr>
        <w:t xml:space="preserve"> le CAJ</w:t>
      </w:r>
      <w:r w:rsidR="0021798E" w:rsidRPr="00C54F87">
        <w:rPr>
          <w:lang w:val="fr-FR"/>
        </w:rPr>
        <w:noBreakHyphen/>
      </w:r>
      <w:r w:rsidRPr="00C54F87">
        <w:rPr>
          <w:lang w:val="fr-FR"/>
        </w:rPr>
        <w:t xml:space="preserve">AG en première instance, comme indiqué dans le paragraphe 26 du présent document; </w:t>
      </w:r>
      <w:r w:rsidR="00CA6FB9" w:rsidRPr="00C54F87">
        <w:rPr>
          <w:lang w:val="fr-FR"/>
        </w:rPr>
        <w:t xml:space="preserve"> </w:t>
      </w:r>
      <w:r w:rsidRPr="00C54F87">
        <w:rPr>
          <w:lang w:val="fr-FR"/>
        </w:rPr>
        <w:t>et</w:t>
      </w:r>
    </w:p>
    <w:p w:rsidR="00AA5D79" w:rsidRPr="00C54F87" w:rsidRDefault="00AA5D79" w:rsidP="0007574E">
      <w:pPr>
        <w:pStyle w:val="DecisionParagraphs"/>
        <w:tabs>
          <w:tab w:val="left" w:pos="5954"/>
        </w:tabs>
        <w:rPr>
          <w:lang w:val="fr-FR"/>
        </w:rPr>
      </w:pPr>
    </w:p>
    <w:p w:rsidR="00AA5D79" w:rsidRPr="002C6F6E" w:rsidRDefault="00AA5D79" w:rsidP="0007574E">
      <w:pPr>
        <w:pStyle w:val="DecisionParagraphs"/>
        <w:tabs>
          <w:tab w:val="left" w:pos="5954"/>
        </w:tabs>
        <w:rPr>
          <w:lang w:val="fr-FR"/>
        </w:rPr>
      </w:pPr>
      <w:r w:rsidRPr="00C54F87">
        <w:rPr>
          <w:lang w:val="fr-FR"/>
        </w:rPr>
        <w:tab/>
        <w:t>b)</w:t>
      </w:r>
      <w:r w:rsidRPr="00C54F87">
        <w:rPr>
          <w:lang w:val="fr-FR"/>
        </w:rPr>
        <w:tab/>
        <w:t>examiner la proposition</w:t>
      </w:r>
      <w:r w:rsidR="00A94E7B" w:rsidRPr="00C54F87">
        <w:rPr>
          <w:lang w:val="fr-FR"/>
        </w:rPr>
        <w:t xml:space="preserve"> du CAJ</w:t>
      </w:r>
      <w:r w:rsidR="0021798E" w:rsidRPr="00C54F87">
        <w:rPr>
          <w:lang w:val="fr-FR"/>
        </w:rPr>
        <w:noBreakHyphen/>
      </w:r>
      <w:r w:rsidRPr="00C54F87">
        <w:rPr>
          <w:lang w:val="fr-FR"/>
        </w:rPr>
        <w:t>AG d</w:t>
      </w:r>
      <w:r w:rsidR="00A94E7B" w:rsidRPr="00C54F87">
        <w:rPr>
          <w:lang w:val="fr-FR"/>
        </w:rPr>
        <w:t>’</w:t>
      </w:r>
      <w:r w:rsidRPr="00C54F87">
        <w:rPr>
          <w:lang w:val="fr-FR"/>
        </w:rPr>
        <w:t>inviter le</w:t>
      </w:r>
      <w:r w:rsidR="00A94E7B" w:rsidRPr="00C54F87">
        <w:rPr>
          <w:lang w:val="fr-FR"/>
        </w:rPr>
        <w:t> TC</w:t>
      </w:r>
      <w:r w:rsidRPr="00C54F87">
        <w:rPr>
          <w:lang w:val="fr-FR"/>
        </w:rPr>
        <w:t xml:space="preserve"> à envisager l</w:t>
      </w:r>
      <w:r w:rsidR="00A94E7B" w:rsidRPr="00C54F87">
        <w:rPr>
          <w:lang w:val="fr-FR"/>
        </w:rPr>
        <w:t>’</w:t>
      </w:r>
      <w:r w:rsidRPr="00C54F87">
        <w:rPr>
          <w:lang w:val="fr-FR"/>
        </w:rPr>
        <w:t>élaboration d</w:t>
      </w:r>
      <w:r w:rsidR="00A94E7B" w:rsidRPr="00C54F87">
        <w:rPr>
          <w:lang w:val="fr-FR"/>
        </w:rPr>
        <w:t>’</w:t>
      </w:r>
      <w:r w:rsidRPr="00C54F87">
        <w:rPr>
          <w:lang w:val="fr-FR"/>
        </w:rPr>
        <w:t>orientations supplémentaires sur certaines questions concernant les descriptions variétales, comme indiqué dans les paragraphes</w:t>
      </w:r>
      <w:r w:rsidR="00CA6FB9" w:rsidRPr="00C54F87">
        <w:rPr>
          <w:lang w:val="fr-FR"/>
        </w:rPr>
        <w:t> </w:t>
      </w:r>
      <w:r w:rsidR="00EE5184" w:rsidRPr="00C54F87">
        <w:rPr>
          <w:lang w:val="fr-FR"/>
        </w:rPr>
        <w:t>27 et </w:t>
      </w:r>
      <w:r w:rsidRPr="00C54F87">
        <w:rPr>
          <w:lang w:val="fr-FR"/>
        </w:rPr>
        <w:t>28 du présent document.</w:t>
      </w:r>
    </w:p>
    <w:p w:rsidR="00AA5D79" w:rsidRPr="002C6F6E" w:rsidRDefault="00AA5D79" w:rsidP="00EC7E64">
      <w:pPr>
        <w:rPr>
          <w:lang w:val="fr-FR"/>
        </w:rPr>
      </w:pPr>
    </w:p>
    <w:p w:rsidR="00AA5D79" w:rsidRPr="002C6F6E" w:rsidRDefault="00AA5D79" w:rsidP="0086064D">
      <w:pPr>
        <w:rPr>
          <w:lang w:val="fr-FR"/>
        </w:rPr>
      </w:pPr>
    </w:p>
    <w:p w:rsidR="00AA5D79" w:rsidRPr="002C6F6E" w:rsidRDefault="00AA5D79" w:rsidP="0086064D">
      <w:pPr>
        <w:rPr>
          <w:lang w:val="fr-FR"/>
        </w:rPr>
      </w:pPr>
    </w:p>
    <w:p w:rsidR="00AA5D79" w:rsidRPr="002C6F6E" w:rsidRDefault="00AA5D79" w:rsidP="00292050">
      <w:pPr>
        <w:pStyle w:val="Heading1"/>
        <w:rPr>
          <w:lang w:val="fr-FR"/>
        </w:rPr>
      </w:pPr>
      <w:bookmarkStart w:id="14" w:name="_Toc381194413"/>
      <w:r w:rsidRPr="002C6F6E">
        <w:rPr>
          <w:lang w:val="fr-FR"/>
        </w:rPr>
        <w:t>V.</w:t>
      </w:r>
      <w:r w:rsidRPr="002C6F6E">
        <w:rPr>
          <w:lang w:val="fr-FR"/>
        </w:rPr>
        <w:tab/>
        <w:t>Questions concernant la participation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observateurs</w:t>
      </w:r>
      <w:r w:rsidR="00A94E7B" w:rsidRPr="002C6F6E">
        <w:rPr>
          <w:lang w:val="fr-FR"/>
        </w:rPr>
        <w:t xml:space="preserve">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</w:t>
      </w:r>
      <w:bookmarkEnd w:id="14"/>
    </w:p>
    <w:p w:rsidR="00AA5D79" w:rsidRPr="002C6F6E" w:rsidRDefault="00AA5D79" w:rsidP="002A167B">
      <w:pPr>
        <w:keepNext/>
        <w:rPr>
          <w:lang w:val="fr-FR"/>
        </w:rPr>
      </w:pPr>
    </w:p>
    <w:p w:rsidR="00AA5D79" w:rsidRPr="002C6F6E" w:rsidRDefault="00AA5D79" w:rsidP="002A167B">
      <w:pPr>
        <w:pStyle w:val="Heading2"/>
        <w:rPr>
          <w:snapToGrid w:val="0"/>
          <w:lang w:val="fr-FR"/>
        </w:rPr>
      </w:pPr>
      <w:bookmarkStart w:id="15" w:name="_Toc381194414"/>
      <w:r w:rsidRPr="002C6F6E">
        <w:rPr>
          <w:snapToGrid w:val="0"/>
          <w:lang w:val="fr-FR"/>
        </w:rPr>
        <w:t>Conclusions du Comité consultatif concernant la participation d</w:t>
      </w:r>
      <w:r w:rsidR="00A94E7B" w:rsidRPr="002C6F6E">
        <w:rPr>
          <w:snapToGrid w:val="0"/>
          <w:lang w:val="fr-FR"/>
        </w:rPr>
        <w:t>’</w:t>
      </w:r>
      <w:r w:rsidRPr="002C6F6E">
        <w:rPr>
          <w:snapToGrid w:val="0"/>
          <w:lang w:val="fr-FR"/>
        </w:rPr>
        <w:t>observateurs au CAJ</w:t>
      </w:r>
      <w:r w:rsidR="0021798E" w:rsidRPr="002C6F6E">
        <w:rPr>
          <w:snapToGrid w:val="0"/>
          <w:lang w:val="fr-FR"/>
        </w:rPr>
        <w:noBreakHyphen/>
      </w:r>
      <w:r w:rsidRPr="002C6F6E">
        <w:rPr>
          <w:snapToGrid w:val="0"/>
          <w:lang w:val="fr-FR"/>
        </w:rPr>
        <w:t>AG</w:t>
      </w:r>
      <w:bookmarkEnd w:id="15"/>
    </w:p>
    <w:p w:rsidR="00AA5D79" w:rsidRPr="002C6F6E" w:rsidRDefault="00AA5D79" w:rsidP="002A167B">
      <w:pPr>
        <w:keepNext/>
        <w:rPr>
          <w:lang w:val="fr-FR"/>
        </w:rPr>
      </w:pPr>
    </w:p>
    <w:p w:rsidR="00AA5D79" w:rsidRPr="002C6F6E" w:rsidRDefault="00AA5D79" w:rsidP="005802A8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septième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le CAJ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inviter le Comité consultatif et le Conseil à fournir des indications supplémentaires sur les propositions relatives à la participation des observateurs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telles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elles figurent dans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25 à</w:t>
      </w:r>
      <w:r w:rsidR="00FD4C9F">
        <w:rPr>
          <w:lang w:val="fr-FR"/>
        </w:rPr>
        <w:t> </w:t>
      </w:r>
      <w:r w:rsidRPr="002C6F6E">
        <w:rPr>
          <w:lang w:val="fr-FR"/>
        </w:rPr>
        <w:t>27 du document CAJ/67/2 “Élaboration de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information concernant la </w:t>
      </w:r>
      <w:r w:rsidR="00A94E7B" w:rsidRPr="002C6F6E">
        <w:rPr>
          <w:lang w:val="fr-FR"/>
        </w:rPr>
        <w:t>Convention UPOV</w:t>
      </w:r>
      <w:r w:rsidR="00D57A21">
        <w:rPr>
          <w:lang w:val="fr-FR"/>
        </w:rPr>
        <w:t>”</w:t>
      </w:r>
      <w:r w:rsidRPr="002C6F6E">
        <w:rPr>
          <w:lang w:val="fr-FR"/>
        </w:rPr>
        <w:t xml:space="preserve">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 xml:space="preserve">22 du document CAJ/67/14 “Compte rendu des conclusions”).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On trouvera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dessous à toutes fins utiles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25 à</w:t>
      </w:r>
      <w:r w:rsidR="00FD4C9F">
        <w:rPr>
          <w:lang w:val="fr-FR"/>
        </w:rPr>
        <w:t> </w:t>
      </w:r>
      <w:r w:rsidRPr="002C6F6E">
        <w:rPr>
          <w:lang w:val="fr-FR"/>
        </w:rPr>
        <w:t>27 du document CAJ/67/2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9D235F">
      <w:pPr>
        <w:ind w:right="567"/>
        <w:rPr>
          <w:sz w:val="18"/>
          <w:szCs w:val="18"/>
          <w:lang w:val="fr-FR"/>
        </w:rPr>
      </w:pPr>
    </w:p>
    <w:p w:rsidR="00A94E7B" w:rsidRPr="002C6F6E" w:rsidRDefault="00AA5D79" w:rsidP="005802A8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“25.</w:t>
      </w:r>
      <w:r w:rsidRPr="002C6F6E">
        <w:rPr>
          <w:sz w:val="18"/>
          <w:szCs w:val="18"/>
          <w:lang w:val="fr-FR"/>
        </w:rPr>
        <w:tab/>
        <w:t>À sa soixante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cinquième session, qui s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est tenue à Genève le 29 octobre 2012, le CAJ a pris note de la proposition formulée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Association for Plant Breeding for the Benefit of Society (APBREBES) en vue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inclure un nombre limité de places permanentes pour les observateurs représentant divers groupes de parties prenantes, tels que les agriculteurs, les obtenteurs et certaines autres ONG ayant le statut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observateur (p. ex., deux par groupe de parties prenantes) au sein du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et de permettre aux groupes de parties prenantes de se concerter sur les personnes qui occuperont ces places à chaque session du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AG, en fonction des questions examinées.  Le CAJ a également pris note de la proposition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APBREBES sur la possibilité de compléter ces places permanentes de façon ponctuelle, ainsi que le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le juge approprié.  Le CAJ est convenu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inviter le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à examiner cette éventualité à sa septième session, en octobre 2012 (voir le paragraphe 23 du document CAJ/65/12 “Compte rendu des conclusions”).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94E7B" w:rsidRPr="002C6F6E" w:rsidRDefault="00AA5D79" w:rsidP="005802A8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lastRenderedPageBreak/>
        <w:t>“26.</w:t>
      </w:r>
      <w:r w:rsidRPr="002C6F6E">
        <w:rPr>
          <w:sz w:val="18"/>
          <w:szCs w:val="18"/>
          <w:lang w:val="fr-FR"/>
        </w:rPr>
        <w:tab/>
        <w:t>À sa septième session, le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a examiné le document 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AG/12/7/5 et les points de vue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APBREBES (voir le paragraphe 30 du document 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AG/12/7/6 “Compte rendu des conclusions”).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“27.</w:t>
      </w:r>
      <w:r w:rsidRPr="002C6F6E">
        <w:rPr>
          <w:sz w:val="18"/>
          <w:szCs w:val="18"/>
          <w:lang w:val="fr-FR"/>
        </w:rPr>
        <w:tab/>
        <w:t>S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agissant de la demande faite par</w:t>
      </w:r>
      <w:r w:rsidR="00A94E7B" w:rsidRPr="002C6F6E">
        <w:rPr>
          <w:sz w:val="18"/>
          <w:szCs w:val="18"/>
          <w:lang w:val="fr-FR"/>
        </w:rPr>
        <w:t xml:space="preserve"> le CAJ</w:t>
      </w:r>
      <w:r w:rsidRPr="002C6F6E">
        <w:rPr>
          <w:sz w:val="18"/>
          <w:szCs w:val="18"/>
          <w:lang w:val="fr-FR"/>
        </w:rPr>
        <w:t xml:space="preserve"> au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AG, à sa soixante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cinquième session,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examiner la proposition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inclure un nombre limité de places permanentes pour les observateurs représentant divers groupes de parties prenantes, tels que les agriculteurs, les obtenteurs et certaines autres ONG ayant le statut d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observateur au sein du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et de permettre à ces groupes de parties prenantes de se concerter sur les personnes qui occuperont ces places à chaque session du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AG, en fonction des questions examinées, le 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>AG a noté que le document UPOV/INF/7 “Règlement intérieur du Conseil”, règles 36 et 20, indique ce qui suit :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94E7B" w:rsidP="005802A8">
      <w:pPr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Article 36 : Constitution de Comités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94E7B" w:rsidRPr="002C6F6E" w:rsidRDefault="00A94E7B" w:rsidP="000A124D">
      <w:pPr>
        <w:tabs>
          <w:tab w:val="left" w:pos="1701"/>
        </w:tabs>
        <w:ind w:left="1134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1)</w:t>
      </w:r>
      <w:r w:rsidR="000A124D">
        <w:rPr>
          <w:sz w:val="18"/>
          <w:szCs w:val="18"/>
          <w:lang w:val="fr-FR"/>
        </w:rPr>
        <w:tab/>
      </w:r>
      <w:r w:rsidR="00AA5D79" w:rsidRPr="002C6F6E">
        <w:rPr>
          <w:sz w:val="18"/>
          <w:szCs w:val="18"/>
          <w:lang w:val="fr-FR"/>
        </w:rPr>
        <w:t>Le Conseil peut constituer des comités permanents ou temporaires chargés de préparer ses travaux ou d</w:t>
      </w:r>
      <w:r w:rsidRPr="002C6F6E">
        <w:rPr>
          <w:sz w:val="18"/>
          <w:szCs w:val="18"/>
          <w:lang w:val="fr-FR"/>
        </w:rPr>
        <w:t>’</w:t>
      </w:r>
      <w:r w:rsidR="00AA5D79" w:rsidRPr="002C6F6E">
        <w:rPr>
          <w:sz w:val="18"/>
          <w:szCs w:val="18"/>
          <w:lang w:val="fr-FR"/>
        </w:rPr>
        <w:t>examiner des problèmes techniques, juridiques ou autres concernant l</w:t>
      </w:r>
      <w:r w:rsidRPr="002C6F6E">
        <w:rPr>
          <w:sz w:val="18"/>
          <w:szCs w:val="18"/>
          <w:lang w:val="fr-FR"/>
        </w:rPr>
        <w:t>’</w:t>
      </w:r>
      <w:r w:rsidR="00AA5D79" w:rsidRPr="002C6F6E">
        <w:rPr>
          <w:sz w:val="18"/>
          <w:szCs w:val="18"/>
          <w:lang w:val="fr-FR"/>
        </w:rPr>
        <w:t>UPOV.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94E7B" w:rsidP="000A124D">
      <w:pPr>
        <w:tabs>
          <w:tab w:val="left" w:pos="1701"/>
        </w:tabs>
        <w:ind w:left="1134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2)</w:t>
      </w:r>
      <w:r w:rsidR="000A124D">
        <w:rPr>
          <w:sz w:val="18"/>
          <w:szCs w:val="18"/>
          <w:lang w:val="fr-FR"/>
        </w:rPr>
        <w:tab/>
      </w:r>
      <w:r w:rsidR="00AA5D79" w:rsidRPr="002C6F6E">
        <w:rPr>
          <w:sz w:val="18"/>
          <w:szCs w:val="18"/>
          <w:lang w:val="fr-FR"/>
        </w:rPr>
        <w:t xml:space="preserve">En constituant un comité, le Conseil en fixe le mandat et détermine si et dans quelle mesure des observateurs seront invités à participer aux réunions du comité; </w:t>
      </w:r>
      <w:r w:rsidR="00CA6FB9" w:rsidRPr="002C6F6E">
        <w:rPr>
          <w:sz w:val="18"/>
          <w:szCs w:val="18"/>
          <w:lang w:val="fr-FR"/>
        </w:rPr>
        <w:t xml:space="preserve"> </w:t>
      </w:r>
      <w:r w:rsidR="00AA5D79" w:rsidRPr="002C6F6E">
        <w:rPr>
          <w:sz w:val="18"/>
          <w:szCs w:val="18"/>
          <w:lang w:val="fr-FR"/>
        </w:rPr>
        <w:t>le Conseil peut, à tout moment, décider de modifier le mandat initial et la décision relative aux observateurs.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94E7B" w:rsidP="005802A8">
      <w:pPr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Article 20 : Observateurs et experts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94E7B" w:rsidRPr="002C6F6E" w:rsidRDefault="00A94E7B" w:rsidP="000A124D">
      <w:pPr>
        <w:tabs>
          <w:tab w:val="left" w:pos="1701"/>
        </w:tabs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1)</w:t>
      </w:r>
      <w:r w:rsidR="000A124D" w:rsidRPr="002C6F6E">
        <w:rPr>
          <w:sz w:val="18"/>
          <w:szCs w:val="18"/>
          <w:lang w:val="fr-FR"/>
        </w:rPr>
        <w:t xml:space="preserve"> </w:t>
      </w:r>
      <w:r w:rsidR="000A124D">
        <w:rPr>
          <w:sz w:val="18"/>
          <w:szCs w:val="18"/>
          <w:lang w:val="fr-FR"/>
        </w:rPr>
        <w:tab/>
      </w:r>
      <w:r w:rsidR="00AA5D79" w:rsidRPr="002C6F6E">
        <w:rPr>
          <w:sz w:val="18"/>
          <w:szCs w:val="18"/>
          <w:lang w:val="fr-FR"/>
        </w:rPr>
        <w:t>Les observateurs et experts peuvent prendre part aux débats sur l</w:t>
      </w:r>
      <w:r w:rsidRPr="002C6F6E">
        <w:rPr>
          <w:sz w:val="18"/>
          <w:szCs w:val="18"/>
          <w:lang w:val="fr-FR"/>
        </w:rPr>
        <w:t>’</w:t>
      </w:r>
      <w:r w:rsidR="00AA5D79" w:rsidRPr="002C6F6E">
        <w:rPr>
          <w:sz w:val="18"/>
          <w:szCs w:val="18"/>
          <w:lang w:val="fr-FR"/>
        </w:rPr>
        <w:t>invitation du président.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94E7B" w:rsidRPr="002C6F6E" w:rsidRDefault="00A94E7B" w:rsidP="000A124D">
      <w:pPr>
        <w:tabs>
          <w:tab w:val="left" w:pos="1701"/>
        </w:tabs>
        <w:ind w:left="1134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‘</w:t>
      </w:r>
      <w:r w:rsidR="00AA5D79" w:rsidRPr="002C6F6E">
        <w:rPr>
          <w:sz w:val="18"/>
          <w:szCs w:val="18"/>
          <w:lang w:val="fr-FR"/>
        </w:rPr>
        <w:t>2)</w:t>
      </w:r>
      <w:r w:rsidR="000A124D">
        <w:rPr>
          <w:sz w:val="18"/>
          <w:szCs w:val="18"/>
          <w:lang w:val="fr-FR"/>
        </w:rPr>
        <w:tab/>
      </w:r>
      <w:r w:rsidR="00AA5D79" w:rsidRPr="002C6F6E">
        <w:rPr>
          <w:sz w:val="18"/>
          <w:szCs w:val="18"/>
          <w:lang w:val="fr-FR"/>
        </w:rPr>
        <w:t>Ils ne sont pas admis à présenter des propositions, amendements ou motions et n</w:t>
      </w:r>
      <w:r w:rsidRPr="002C6F6E">
        <w:rPr>
          <w:sz w:val="18"/>
          <w:szCs w:val="18"/>
          <w:lang w:val="fr-FR"/>
        </w:rPr>
        <w:t>’</w:t>
      </w:r>
      <w:r w:rsidR="00AA5D79" w:rsidRPr="002C6F6E">
        <w:rPr>
          <w:sz w:val="18"/>
          <w:szCs w:val="18"/>
          <w:lang w:val="fr-FR"/>
        </w:rPr>
        <w:t>ont pas le droit de vote</w:t>
      </w:r>
      <w:r w:rsidR="00E332C8" w:rsidRPr="002C6F6E">
        <w:rPr>
          <w:sz w:val="18"/>
          <w:szCs w:val="18"/>
          <w:lang w:val="fr-FR"/>
        </w:rPr>
        <w:t>.</w:t>
      </w:r>
      <w:r w:rsidR="00AA5D79" w:rsidRPr="002C6F6E">
        <w:rPr>
          <w:sz w:val="18"/>
          <w:szCs w:val="18"/>
          <w:lang w:val="fr-FR"/>
        </w:rPr>
        <w:t>”</w:t>
      </w:r>
    </w:p>
    <w:p w:rsidR="00AA5D79" w:rsidRPr="002C6F6E" w:rsidRDefault="00AA5D79" w:rsidP="005802A8">
      <w:pPr>
        <w:ind w:left="567" w:right="567"/>
        <w:rPr>
          <w:sz w:val="18"/>
          <w:szCs w:val="18"/>
          <w:lang w:val="fr-FR"/>
        </w:rPr>
      </w:pPr>
    </w:p>
    <w:p w:rsidR="00AA5D79" w:rsidRPr="002C6F6E" w:rsidRDefault="00AA5D79" w:rsidP="005802A8">
      <w:pPr>
        <w:ind w:left="567" w:right="567" w:firstLine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“(voir le paragraphe 31 du document CAJ</w:t>
      </w:r>
      <w:r w:rsidR="0021798E" w:rsidRPr="002C6F6E">
        <w:rPr>
          <w:sz w:val="18"/>
          <w:szCs w:val="18"/>
          <w:lang w:val="fr-FR"/>
        </w:rPr>
        <w:noBreakHyphen/>
      </w:r>
      <w:r w:rsidRPr="002C6F6E">
        <w:rPr>
          <w:sz w:val="18"/>
          <w:szCs w:val="18"/>
          <w:lang w:val="fr-FR"/>
        </w:rPr>
        <w:t xml:space="preserve">AG/12/7/6 </w:t>
      </w:r>
      <w:r w:rsidR="00E332C8" w:rsidRPr="002C6F6E">
        <w:rPr>
          <w:sz w:val="18"/>
          <w:szCs w:val="18"/>
          <w:lang w:val="fr-FR"/>
        </w:rPr>
        <w:t>‘</w:t>
      </w:r>
      <w:r w:rsidRPr="002C6F6E">
        <w:rPr>
          <w:sz w:val="18"/>
          <w:szCs w:val="18"/>
          <w:lang w:val="fr-FR"/>
        </w:rPr>
        <w:t>Compte rendu des conclusions</w:t>
      </w:r>
      <w:r w:rsidR="00E332C8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).</w:t>
      </w:r>
      <w:r w:rsidR="00E332C8" w:rsidRPr="002C6F6E">
        <w:rPr>
          <w:sz w:val="18"/>
          <w:szCs w:val="18"/>
          <w:lang w:val="fr-FR"/>
        </w:rPr>
        <w:t>”</w:t>
      </w:r>
    </w:p>
    <w:p w:rsidR="00AA5D79" w:rsidRPr="002C6F6E" w:rsidRDefault="00AA5D79" w:rsidP="005802A8">
      <w:pPr>
        <w:rPr>
          <w:lang w:val="fr-FR"/>
        </w:rPr>
      </w:pPr>
    </w:p>
    <w:p w:rsidR="00AA5D79" w:rsidRPr="002C6F6E" w:rsidRDefault="00AA5D79" w:rsidP="005802A8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huitième session tenue à Genève le 31 octobre 2013,</w:t>
      </w:r>
      <w:r w:rsidR="00C54F87">
        <w:rPr>
          <w:lang w:val="fr-FR"/>
        </w:rPr>
        <w:t xml:space="preserve"> le </w:t>
      </w:r>
      <w:r w:rsidR="00A94E7B" w:rsidRPr="002C6F6E">
        <w:rPr>
          <w:lang w:val="fr-FR"/>
        </w:rPr>
        <w:t>CAJ</w:t>
      </w:r>
      <w:r w:rsidRPr="002C6F6E">
        <w:rPr>
          <w:lang w:val="fr-FR"/>
        </w:rPr>
        <w:t xml:space="preserve"> a noté que, à sa quatre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vingt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sixième session tenue à Genève le 23 octobre 2013, le Comité consultatif examinerait les questions pertinentes concernant la participation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observateurs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AG.</w:t>
      </w:r>
      <w:r w:rsidR="00A94E7B" w:rsidRPr="002C6F6E">
        <w:rPr>
          <w:lang w:val="fr-FR"/>
        </w:rPr>
        <w:t xml:space="preserve"> </w:t>
      </w:r>
      <w:r w:rsidR="00CA6FB9" w:rsidRPr="002C6F6E">
        <w:rPr>
          <w:lang w:val="fr-FR"/>
        </w:rPr>
        <w:t xml:space="preserve"> </w:t>
      </w:r>
      <w:r w:rsidR="00A94E7B" w:rsidRPr="002C6F6E">
        <w:rPr>
          <w:lang w:val="fr-FR"/>
        </w:rPr>
        <w:t>Le CAJ</w:t>
      </w:r>
      <w:r w:rsidRPr="002C6F6E">
        <w:rPr>
          <w:lang w:val="fr-FR"/>
        </w:rPr>
        <w:t xml:space="preserve"> a noté que les conclusions du Comité consultatif seraient communiquées au CAJ.</w:t>
      </w:r>
    </w:p>
    <w:p w:rsidR="00AA5D79" w:rsidRPr="002C6F6E" w:rsidRDefault="00AA5D79" w:rsidP="005802A8">
      <w:pPr>
        <w:rPr>
          <w:lang w:val="fr-FR"/>
        </w:rPr>
      </w:pPr>
    </w:p>
    <w:p w:rsidR="00AA5D79" w:rsidRPr="002C6F6E" w:rsidRDefault="00AA5D79" w:rsidP="009D235F">
      <w:pPr>
        <w:rPr>
          <w:rFonts w:eastAsia="Batang"/>
          <w:snapToGrid w:val="0"/>
          <w:lang w:val="fr-FR" w:eastAsia="ko-K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quatre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vingt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sixième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le Comité consultatif a approuvé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approche actuelle selon laquelle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invite, dans certains cas, les organisations ayant le statut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 auprès du CAJ à présenter leur point de vue lors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partie pertinente de sa session, s</w:t>
      </w:r>
      <w:r w:rsidR="00A94E7B" w:rsidRPr="002C6F6E">
        <w:rPr>
          <w:lang w:val="fr-FR"/>
        </w:rPr>
        <w:t>’</w:t>
      </w:r>
      <w:r w:rsidR="007B0F2B">
        <w:rPr>
          <w:lang w:val="fr-FR"/>
        </w:rPr>
        <w:t>il le juge approprié.  À </w:t>
      </w:r>
      <w:r w:rsidRPr="002C6F6E">
        <w:rPr>
          <w:lang w:val="fr-FR"/>
        </w:rPr>
        <w:t>sa quarante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septième session ordinaire tenue à Genève le 24 octobre 2013, le Conseil a pris note des conclusions du Comité consultatif concernant la participation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observateurs</w:t>
      </w:r>
      <w:r w:rsidR="00A94E7B" w:rsidRPr="002C6F6E">
        <w:rPr>
          <w:lang w:val="fr-FR"/>
        </w:rPr>
        <w:t xml:space="preserve">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</w:t>
      </w:r>
      <w:r w:rsidRPr="002C6F6E">
        <w:rPr>
          <w:rFonts w:eastAsia="Batang"/>
          <w:snapToGrid w:val="0"/>
          <w:lang w:val="fr-FR" w:eastAsia="ko-KR"/>
        </w:rPr>
        <w:t>(voir le paragraphe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41 du document C/47/15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="00C54F87">
        <w:rPr>
          <w:rFonts w:eastAsia="Batang"/>
          <w:snapToGrid w:val="0"/>
          <w:lang w:val="fr-FR" w:eastAsia="ko-KR"/>
        </w:rPr>
        <w:t xml:space="preserve">Rev. </w:t>
      </w:r>
      <w:r w:rsidR="00C54F87">
        <w:rPr>
          <w:rFonts w:eastAsia="Batang"/>
          <w:snapToGrid w:val="0"/>
          <w:szCs w:val="24"/>
          <w:lang w:eastAsia="ko-KR"/>
        </w:rPr>
        <w:t>“</w:t>
      </w:r>
      <w:r w:rsidR="00C54F87" w:rsidRPr="007743F5">
        <w:t>Report by the President on the work of the eighty-sixth session of the Consultative Committee; adoption of recommendations, if any, prepared by that Committee</w:t>
      </w:r>
      <w:r w:rsidR="00C54F87">
        <w:t>”</w:t>
      </w:r>
      <w:r w:rsidR="00C54F87">
        <w:rPr>
          <w:rFonts w:eastAsia="Batang"/>
          <w:snapToGrid w:val="0"/>
          <w:lang w:val="fr-FR" w:eastAsia="ko-KR"/>
        </w:rPr>
        <w:t xml:space="preserve"> (</w:t>
      </w:r>
      <w:r w:rsidRPr="002C6F6E">
        <w:rPr>
          <w:rFonts w:eastAsia="Batang"/>
          <w:snapToGrid w:val="0"/>
          <w:lang w:val="fr-FR" w:eastAsia="ko-KR"/>
        </w:rPr>
        <w:t>Rapport du président sur les travaux de la quatre</w:t>
      </w:r>
      <w:r w:rsidR="0021798E" w:rsidRPr="002C6F6E">
        <w:rPr>
          <w:rFonts w:eastAsia="Batang"/>
          <w:snapToGrid w:val="0"/>
          <w:lang w:val="fr-FR" w:eastAsia="ko-KR"/>
        </w:rPr>
        <w:noBreakHyphen/>
      </w:r>
      <w:r w:rsidRPr="002C6F6E">
        <w:rPr>
          <w:rFonts w:eastAsia="Batang"/>
          <w:snapToGrid w:val="0"/>
          <w:lang w:val="fr-FR" w:eastAsia="ko-KR"/>
        </w:rPr>
        <w:t>vingt</w:t>
      </w:r>
      <w:r w:rsidR="0021798E" w:rsidRPr="002C6F6E">
        <w:rPr>
          <w:rFonts w:eastAsia="Batang"/>
          <w:snapToGrid w:val="0"/>
          <w:lang w:val="fr-FR" w:eastAsia="ko-KR"/>
        </w:rPr>
        <w:noBreakHyphen/>
      </w:r>
      <w:r w:rsidRPr="002C6F6E">
        <w:rPr>
          <w:rFonts w:eastAsia="Batang"/>
          <w:snapToGrid w:val="0"/>
          <w:lang w:val="fr-FR" w:eastAsia="ko-KR"/>
        </w:rPr>
        <w:t xml:space="preserve">quatrième session du Comité consultatif; </w:t>
      </w:r>
      <w:r w:rsidR="00CA6FB9" w:rsidRPr="002C6F6E">
        <w:rPr>
          <w:rFonts w:eastAsia="Batang"/>
          <w:snapToGrid w:val="0"/>
          <w:lang w:val="fr-FR" w:eastAsia="ko-KR"/>
        </w:rPr>
        <w:t xml:space="preserve"> </w:t>
      </w:r>
      <w:r w:rsidRPr="002C6F6E">
        <w:rPr>
          <w:rFonts w:eastAsia="Batang"/>
          <w:snapToGrid w:val="0"/>
          <w:lang w:val="fr-FR" w:eastAsia="ko-KR"/>
        </w:rPr>
        <w:t>adoption, le cas échéant, des recommandations élaborées par ce comité</w:t>
      </w:r>
      <w:r w:rsidR="00C54F87">
        <w:rPr>
          <w:rFonts w:eastAsia="Batang"/>
          <w:snapToGrid w:val="0"/>
          <w:lang w:val="fr-FR" w:eastAsia="ko-KR"/>
        </w:rPr>
        <w:t>)</w:t>
      </w:r>
      <w:r w:rsidRPr="002C6F6E">
        <w:rPr>
          <w:rFonts w:eastAsia="Batang"/>
          <w:snapToGrid w:val="0"/>
          <w:lang w:val="fr-FR" w:eastAsia="ko-KR"/>
        </w:rPr>
        <w:t xml:space="preserve"> et le p</w:t>
      </w:r>
      <w:r w:rsidRPr="002C6F6E">
        <w:rPr>
          <w:lang w:val="fr-FR"/>
        </w:rPr>
        <w:t>aragraphe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lang w:val="fr-FR"/>
        </w:rPr>
        <w:t>19 du document C/47/19 “Compte rendu des décisions”).</w:t>
      </w:r>
    </w:p>
    <w:p w:rsidR="00AA5D79" w:rsidRPr="002C6F6E" w:rsidRDefault="00AA5D79" w:rsidP="009D235F">
      <w:pPr>
        <w:rPr>
          <w:rFonts w:eastAsia="Batang"/>
          <w:snapToGrid w:val="0"/>
          <w:lang w:val="fr-FR" w:eastAsia="ko-KR"/>
        </w:rPr>
      </w:pPr>
    </w:p>
    <w:p w:rsidR="00AA5D79" w:rsidRPr="002C6F6E" w:rsidRDefault="00AA5D79" w:rsidP="00EC7E64">
      <w:pPr>
        <w:tabs>
          <w:tab w:val="left" w:pos="5387"/>
        </w:tabs>
        <w:ind w:left="4820"/>
        <w:rPr>
          <w:i/>
          <w:iCs/>
          <w:lang w:val="fr-FR"/>
        </w:rPr>
      </w:pPr>
      <w:r w:rsidRPr="002C6F6E">
        <w:rPr>
          <w:i/>
          <w:iCs/>
          <w:lang w:val="fr-FR"/>
        </w:rPr>
        <w:fldChar w:fldCharType="begin"/>
      </w:r>
      <w:r w:rsidRPr="002C6F6E">
        <w:rPr>
          <w:i/>
          <w:iCs/>
          <w:lang w:val="fr-FR"/>
        </w:rPr>
        <w:instrText xml:space="preserve"> AUTONUM  </w:instrText>
      </w:r>
      <w:r w:rsidRPr="002C6F6E">
        <w:rPr>
          <w:i/>
          <w:iCs/>
          <w:lang w:val="fr-FR"/>
        </w:rPr>
        <w:fldChar w:fldCharType="end"/>
      </w:r>
      <w:r w:rsidRPr="002C6F6E">
        <w:rPr>
          <w:i/>
          <w:iCs/>
          <w:lang w:val="fr-FR"/>
        </w:rPr>
        <w:tab/>
        <w:t>Le CAJ est invité à prendre note que, à sa quatre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vingt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sixième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session, le Comité consultatif a approuvé l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approche actuelle selon laquelle le CAJ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AG invite, dans certains cas, les organisations ayant le statut d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observateur auprès du CAJ à présenter leur point de vue lors de l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examen d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une partie pertinente de sa session, s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il le juge approprié.</w:t>
      </w:r>
    </w:p>
    <w:p w:rsidR="00AA5D79" w:rsidRPr="002C6F6E" w:rsidRDefault="00AA5D79" w:rsidP="00D26715">
      <w:pPr>
        <w:rPr>
          <w:rFonts w:eastAsia="Batang"/>
          <w:snapToGrid w:val="0"/>
          <w:lang w:val="fr-FR" w:eastAsia="ko-KR"/>
        </w:rPr>
      </w:pPr>
    </w:p>
    <w:p w:rsidR="00AA5D79" w:rsidRPr="002C6F6E" w:rsidRDefault="00AA5D79" w:rsidP="00D26715">
      <w:pPr>
        <w:rPr>
          <w:rFonts w:eastAsia="Batang"/>
          <w:i/>
          <w:iCs/>
          <w:snapToGrid w:val="0"/>
          <w:lang w:val="fr-FR" w:eastAsia="ko-KR"/>
        </w:rPr>
      </w:pPr>
    </w:p>
    <w:p w:rsidR="00AA5D79" w:rsidRPr="002C6F6E" w:rsidRDefault="00AA5D79" w:rsidP="00240AD4">
      <w:pPr>
        <w:pStyle w:val="Heading2"/>
        <w:rPr>
          <w:i/>
          <w:iCs/>
          <w:lang w:val="fr-FR"/>
        </w:rPr>
      </w:pPr>
      <w:bookmarkStart w:id="16" w:name="_Toc381194415"/>
      <w:r w:rsidRPr="002C6F6E">
        <w:rPr>
          <w:lang w:val="fr-FR"/>
        </w:rPr>
        <w:t>Invitations</w:t>
      </w:r>
      <w:r w:rsidRPr="002C6F6E">
        <w:rPr>
          <w:i/>
          <w:iCs/>
          <w:lang w:val="fr-FR"/>
        </w:rPr>
        <w:t xml:space="preserve"> </w:t>
      </w:r>
      <w:r w:rsidRPr="002C6F6E">
        <w:rPr>
          <w:iCs/>
          <w:lang w:val="fr-FR"/>
        </w:rPr>
        <w:t>ad</w:t>
      </w:r>
      <w:r w:rsidR="00CA6FB9" w:rsidRPr="002C6F6E">
        <w:rPr>
          <w:iCs/>
          <w:lang w:val="fr-FR"/>
        </w:rPr>
        <w:t> </w:t>
      </w:r>
      <w:r w:rsidRPr="002C6F6E">
        <w:rPr>
          <w:iCs/>
          <w:lang w:val="fr-FR"/>
        </w:rPr>
        <w:t>hoc</w:t>
      </w:r>
      <w:r w:rsidRPr="002C6F6E">
        <w:rPr>
          <w:i/>
          <w:iCs/>
          <w:lang w:val="fr-FR"/>
        </w:rPr>
        <w:t xml:space="preserve"> </w:t>
      </w:r>
      <w:r w:rsidRPr="002C6F6E">
        <w:rPr>
          <w:lang w:val="fr-FR"/>
        </w:rPr>
        <w:t>à la partie concernée de la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</w:t>
      </w:r>
      <w:r w:rsidR="00A94E7B" w:rsidRPr="002C6F6E">
        <w:rPr>
          <w:lang w:val="fr-FR"/>
        </w:rPr>
        <w:t xml:space="preserve"> du </w:t>
      </w:r>
      <w:r w:rsidR="00A94E7B" w:rsidRPr="002C6F6E">
        <w:rPr>
          <w:rFonts w:eastAsia="Batang"/>
          <w:snapToGrid w:val="0"/>
          <w:lang w:val="fr-FR" w:eastAsia="ko-KR"/>
        </w:rPr>
        <w:t>CAJ</w:t>
      </w:r>
      <w:r w:rsidR="0021798E" w:rsidRPr="002C6F6E">
        <w:rPr>
          <w:rFonts w:eastAsia="Batang"/>
          <w:snapToGrid w:val="0"/>
          <w:lang w:val="fr-FR" w:eastAsia="ko-KR"/>
        </w:rPr>
        <w:noBreakHyphen/>
      </w:r>
      <w:r w:rsidRPr="002C6F6E">
        <w:rPr>
          <w:rFonts w:eastAsia="Batang"/>
          <w:snapToGrid w:val="0"/>
          <w:lang w:val="fr-FR" w:eastAsia="ko-KR"/>
        </w:rPr>
        <w:t>AG</w:t>
      </w:r>
      <w:bookmarkEnd w:id="16"/>
    </w:p>
    <w:p w:rsidR="00AA5D79" w:rsidRPr="002C6F6E" w:rsidRDefault="00AA5D79" w:rsidP="00EC7E64">
      <w:pPr>
        <w:keepNext/>
        <w:rPr>
          <w:lang w:val="fr-FR"/>
        </w:rPr>
      </w:pPr>
    </w:p>
    <w:p w:rsidR="00AA5D79" w:rsidRPr="002C6F6E" w:rsidRDefault="00AA5D79" w:rsidP="008F7100">
      <w:pPr>
        <w:rPr>
          <w:lang w:val="fr-FR"/>
        </w:rPr>
      </w:pPr>
      <w:r w:rsidRPr="002C6F6E">
        <w:rPr>
          <w:rFonts w:eastAsia="Batang"/>
          <w:snapToGrid w:val="0"/>
          <w:lang w:val="fr-FR" w:eastAsia="ko-KR"/>
        </w:rPr>
        <w:fldChar w:fldCharType="begin"/>
      </w:r>
      <w:r w:rsidRPr="002C6F6E">
        <w:rPr>
          <w:rFonts w:eastAsia="Batang"/>
          <w:snapToGrid w:val="0"/>
          <w:lang w:val="fr-FR" w:eastAsia="ko-KR"/>
        </w:rPr>
        <w:instrText xml:space="preserve"> AUTONUM  </w:instrText>
      </w:r>
      <w:r w:rsidRPr="002C6F6E">
        <w:rPr>
          <w:rFonts w:eastAsia="Batang"/>
          <w:snapToGrid w:val="0"/>
          <w:lang w:val="fr-FR" w:eastAsia="ko-KR"/>
        </w:rPr>
        <w:fldChar w:fldCharType="end"/>
      </w:r>
      <w:r w:rsidRPr="002C6F6E">
        <w:rPr>
          <w:rFonts w:eastAsia="Batang"/>
          <w:snapToGrid w:val="0"/>
          <w:lang w:val="fr-FR" w:eastAsia="ko-KR"/>
        </w:rPr>
        <w:tab/>
        <w:t>À sa huitième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session,</w:t>
      </w:r>
      <w:r w:rsidR="00A94E7B" w:rsidRPr="002C6F6E">
        <w:rPr>
          <w:rFonts w:eastAsia="Batang"/>
          <w:snapToGrid w:val="0"/>
          <w:lang w:val="fr-FR" w:eastAsia="ko-KR"/>
        </w:rPr>
        <w:t xml:space="preserve"> le 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a rappelé que les observateurs auprès du </w:t>
      </w:r>
      <w:r w:rsidR="00EE591E">
        <w:rPr>
          <w:lang w:val="fr-FR"/>
        </w:rPr>
        <w:t xml:space="preserve">CAJ </w:t>
      </w:r>
      <w:r w:rsidRPr="002C6F6E">
        <w:rPr>
          <w:lang w:val="fr-FR"/>
        </w:rPr>
        <w:t>pouvaient faire part de leurs observations sur les questions pertinentes du programme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AG. 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que, dans les cas où des observateurs faisaient parvenir des commentaires écrits, il les inviterait à la partie concernée de sa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 et que le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Union enverrait les invitations </w:t>
      </w:r>
      <w:r w:rsidRPr="002C6F6E">
        <w:rPr>
          <w:iCs/>
          <w:lang w:val="fr-FR"/>
        </w:rPr>
        <w:t>ad</w:t>
      </w:r>
      <w:r w:rsidR="00CA6FB9" w:rsidRPr="002C6F6E">
        <w:rPr>
          <w:iCs/>
          <w:lang w:val="fr-FR"/>
        </w:rPr>
        <w:t> </w:t>
      </w:r>
      <w:r w:rsidRPr="002C6F6E">
        <w:rPr>
          <w:iCs/>
          <w:lang w:val="fr-FR"/>
        </w:rPr>
        <w:t>hoc</w:t>
      </w:r>
      <w:r w:rsidRPr="002C6F6E">
        <w:rPr>
          <w:lang w:val="fr-FR"/>
        </w:rPr>
        <w:t xml:space="preserve"> correspondantes </w:t>
      </w:r>
      <w:r w:rsidRPr="002C6F6E">
        <w:rPr>
          <w:rFonts w:eastAsia="Batang"/>
          <w:snapToGrid w:val="0"/>
          <w:lang w:val="fr-FR" w:eastAsia="ko-KR"/>
        </w:rPr>
        <w:t>(voir le paragraphe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83 du</w:t>
      </w:r>
      <w:r w:rsidRPr="002C6F6E">
        <w:rPr>
          <w:lang w:val="fr-FR"/>
        </w:rPr>
        <w:t xml:space="preserve">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8F7100">
      <w:pPr>
        <w:rPr>
          <w:lang w:val="fr-FR"/>
        </w:rPr>
      </w:pPr>
    </w:p>
    <w:p w:rsidR="00AA5D79" w:rsidRPr="002C6F6E" w:rsidRDefault="00AA5D79" w:rsidP="00873F36">
      <w:pPr>
        <w:keepNext/>
        <w:tabs>
          <w:tab w:val="left" w:pos="5387"/>
        </w:tabs>
        <w:ind w:left="4820"/>
        <w:rPr>
          <w:i/>
          <w:iCs/>
          <w:lang w:val="fr-FR"/>
        </w:rPr>
      </w:pPr>
      <w:r w:rsidRPr="002C6F6E">
        <w:rPr>
          <w:i/>
          <w:iCs/>
          <w:lang w:val="fr-FR"/>
        </w:rPr>
        <w:lastRenderedPageBreak/>
        <w:fldChar w:fldCharType="begin"/>
      </w:r>
      <w:r w:rsidRPr="002C6F6E">
        <w:rPr>
          <w:i/>
          <w:iCs/>
          <w:lang w:val="fr-FR"/>
        </w:rPr>
        <w:instrText xml:space="preserve"> AUTONUM  </w:instrText>
      </w:r>
      <w:r w:rsidRPr="002C6F6E">
        <w:rPr>
          <w:i/>
          <w:iCs/>
          <w:lang w:val="fr-FR"/>
        </w:rPr>
        <w:fldChar w:fldCharType="end"/>
      </w:r>
      <w:r w:rsidRPr="002C6F6E">
        <w:rPr>
          <w:i/>
          <w:iCs/>
          <w:lang w:val="fr-FR"/>
        </w:rPr>
        <w:tab/>
        <w:t>Le CAJ est invité à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:</w:t>
      </w:r>
    </w:p>
    <w:p w:rsidR="00AA5D79" w:rsidRPr="002C6F6E" w:rsidRDefault="00AA5D79" w:rsidP="00873F36">
      <w:pPr>
        <w:keepNext/>
        <w:tabs>
          <w:tab w:val="left" w:pos="5387"/>
        </w:tabs>
        <w:ind w:left="4820"/>
        <w:rPr>
          <w:i/>
          <w:iCs/>
          <w:lang w:val="fr-FR"/>
        </w:rPr>
      </w:pPr>
    </w:p>
    <w:p w:rsidR="00AA5D79" w:rsidRPr="002C6F6E" w:rsidRDefault="00AA5D79" w:rsidP="007B0F2B">
      <w:pPr>
        <w:tabs>
          <w:tab w:val="left" w:pos="5387"/>
          <w:tab w:val="left" w:pos="5954"/>
        </w:tabs>
        <w:ind w:left="4820"/>
        <w:rPr>
          <w:rFonts w:eastAsia="Batang"/>
          <w:i/>
          <w:iCs/>
          <w:snapToGrid w:val="0"/>
          <w:lang w:val="fr-FR" w:eastAsia="ko-KR"/>
        </w:rPr>
      </w:pPr>
      <w:r w:rsidRPr="002C6F6E">
        <w:rPr>
          <w:i/>
          <w:iCs/>
          <w:lang w:val="fr-FR"/>
        </w:rPr>
        <w:tab/>
        <w:t xml:space="preserve">a) </w:t>
      </w:r>
      <w:r w:rsidR="007B0F2B">
        <w:rPr>
          <w:i/>
          <w:iCs/>
          <w:lang w:val="fr-FR"/>
        </w:rPr>
        <w:tab/>
      </w:r>
      <w:r w:rsidRPr="002C6F6E">
        <w:rPr>
          <w:i/>
          <w:iCs/>
          <w:lang w:val="fr-FR"/>
        </w:rPr>
        <w:t xml:space="preserve">prendre note que, à </w:t>
      </w:r>
      <w:r w:rsidRPr="002C6F6E">
        <w:rPr>
          <w:rFonts w:eastAsia="Batang"/>
          <w:i/>
          <w:iCs/>
          <w:snapToGrid w:val="0"/>
          <w:lang w:val="fr-FR" w:eastAsia="ko-KR"/>
        </w:rPr>
        <w:t>sa huitième</w:t>
      </w:r>
      <w:r w:rsidR="00CA6FB9" w:rsidRPr="002C6F6E">
        <w:rPr>
          <w:rFonts w:eastAsia="Batang"/>
          <w:i/>
          <w:iCs/>
          <w:snapToGrid w:val="0"/>
          <w:lang w:val="fr-FR" w:eastAsia="ko-KR"/>
        </w:rPr>
        <w:t> </w:t>
      </w:r>
      <w:r w:rsidRPr="002C6F6E">
        <w:rPr>
          <w:rFonts w:eastAsia="Batang"/>
          <w:i/>
          <w:iCs/>
          <w:snapToGrid w:val="0"/>
          <w:lang w:val="fr-FR" w:eastAsia="ko-KR"/>
        </w:rPr>
        <w:t>session,</w:t>
      </w:r>
      <w:r w:rsidR="00A94E7B" w:rsidRPr="002C6F6E">
        <w:rPr>
          <w:rFonts w:eastAsia="Batang"/>
          <w:i/>
          <w:iCs/>
          <w:snapToGrid w:val="0"/>
          <w:lang w:val="fr-FR" w:eastAsia="ko-KR"/>
        </w:rPr>
        <w:t xml:space="preserve"> le </w:t>
      </w:r>
      <w:r w:rsidR="00A94E7B" w:rsidRPr="002C6F6E">
        <w:rPr>
          <w:i/>
          <w:iCs/>
          <w:lang w:val="fr-FR"/>
        </w:rPr>
        <w:t>CAJ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AG avait rappelé que les observateurs auprès</w:t>
      </w:r>
      <w:r w:rsidR="00A94E7B" w:rsidRPr="002C6F6E">
        <w:rPr>
          <w:i/>
          <w:iCs/>
          <w:lang w:val="fr-FR"/>
        </w:rPr>
        <w:t xml:space="preserve"> du CAJ</w:t>
      </w:r>
      <w:r w:rsidRPr="002C6F6E">
        <w:rPr>
          <w:i/>
          <w:iCs/>
          <w:lang w:val="fr-FR"/>
        </w:rPr>
        <w:t xml:space="preserve"> pouvaient faire part de leurs observations sur les questions pertinentes du programme</w:t>
      </w:r>
      <w:r w:rsidR="00A94E7B" w:rsidRPr="002C6F6E">
        <w:rPr>
          <w:i/>
          <w:iCs/>
          <w:lang w:val="fr-FR"/>
        </w:rPr>
        <w:t xml:space="preserve"> du CAJ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AG et que, dans les cas où des observateurs</w:t>
      </w:r>
      <w:r w:rsidR="00AA0A8F">
        <w:rPr>
          <w:i/>
          <w:iCs/>
          <w:lang w:val="fr-FR"/>
        </w:rPr>
        <w:t xml:space="preserve"> auprès du CAJ</w:t>
      </w:r>
      <w:r w:rsidRPr="002C6F6E">
        <w:rPr>
          <w:i/>
          <w:iCs/>
          <w:lang w:val="fr-FR"/>
        </w:rPr>
        <w:t xml:space="preserve"> faisaient parvenir des commentaires écrits,</w:t>
      </w:r>
      <w:r w:rsidR="00A94E7B" w:rsidRPr="002C6F6E">
        <w:rPr>
          <w:i/>
          <w:iCs/>
          <w:lang w:val="fr-FR"/>
        </w:rPr>
        <w:t xml:space="preserve"> le </w:t>
      </w:r>
      <w:r w:rsidR="00A94E7B" w:rsidRPr="002C6F6E">
        <w:rPr>
          <w:rFonts w:eastAsia="Batang"/>
          <w:i/>
          <w:iCs/>
          <w:snapToGrid w:val="0"/>
          <w:lang w:val="fr-FR" w:eastAsia="ko-KR"/>
        </w:rPr>
        <w:t>CAJ</w:t>
      </w:r>
      <w:r w:rsidR="0021798E" w:rsidRPr="002C6F6E">
        <w:rPr>
          <w:rFonts w:eastAsia="Batang"/>
          <w:i/>
          <w:iCs/>
          <w:snapToGrid w:val="0"/>
          <w:lang w:val="fr-FR" w:eastAsia="ko-KR"/>
        </w:rPr>
        <w:noBreakHyphen/>
      </w:r>
      <w:r w:rsidRPr="002C6F6E">
        <w:rPr>
          <w:rFonts w:eastAsia="Batang"/>
          <w:i/>
          <w:iCs/>
          <w:snapToGrid w:val="0"/>
          <w:lang w:val="fr-FR" w:eastAsia="ko-KR"/>
        </w:rPr>
        <w:t>AG était convenu d</w:t>
      </w:r>
      <w:r w:rsidR="00A94E7B" w:rsidRPr="002C6F6E">
        <w:rPr>
          <w:rFonts w:eastAsia="Batang"/>
          <w:i/>
          <w:iCs/>
          <w:snapToGrid w:val="0"/>
          <w:lang w:val="fr-FR" w:eastAsia="ko-KR"/>
        </w:rPr>
        <w:t>’</w:t>
      </w:r>
      <w:r w:rsidRPr="002C6F6E">
        <w:rPr>
          <w:rFonts w:eastAsia="Batang"/>
          <w:i/>
          <w:iCs/>
          <w:snapToGrid w:val="0"/>
          <w:lang w:val="fr-FR" w:eastAsia="ko-KR"/>
        </w:rPr>
        <w:t xml:space="preserve">inviter ces observateurs </w:t>
      </w:r>
      <w:r w:rsidRPr="002C6F6E">
        <w:rPr>
          <w:i/>
          <w:iCs/>
          <w:lang w:val="fr-FR"/>
        </w:rPr>
        <w:t>à la partie concernée de sa neuvième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session et que le Bureau de l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Union enverrait les invitations ad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hoc correspondantes;</w:t>
      </w:r>
    </w:p>
    <w:p w:rsidR="00AA5D79" w:rsidRPr="002C6F6E" w:rsidRDefault="00AA5D79" w:rsidP="00135DAE">
      <w:pPr>
        <w:tabs>
          <w:tab w:val="left" w:pos="5387"/>
        </w:tabs>
        <w:ind w:left="4820"/>
        <w:rPr>
          <w:i/>
          <w:iCs/>
          <w:lang w:val="fr-FR"/>
        </w:rPr>
      </w:pPr>
    </w:p>
    <w:p w:rsidR="00AA5D79" w:rsidRPr="002C6F6E" w:rsidRDefault="00AA5D79" w:rsidP="007B0F2B">
      <w:pPr>
        <w:tabs>
          <w:tab w:val="left" w:pos="5387"/>
          <w:tab w:val="left" w:pos="5954"/>
        </w:tabs>
        <w:ind w:left="4820"/>
        <w:rPr>
          <w:i/>
          <w:iCs/>
          <w:lang w:val="fr-FR"/>
        </w:rPr>
      </w:pPr>
      <w:r w:rsidRPr="002C6F6E">
        <w:rPr>
          <w:i/>
          <w:iCs/>
          <w:lang w:val="fr-FR"/>
        </w:rPr>
        <w:tab/>
        <w:t xml:space="preserve">b) </w:t>
      </w:r>
      <w:r w:rsidR="007B0F2B">
        <w:rPr>
          <w:i/>
          <w:iCs/>
          <w:lang w:val="fr-FR"/>
        </w:rPr>
        <w:tab/>
      </w:r>
      <w:r w:rsidRPr="002C6F6E">
        <w:rPr>
          <w:i/>
          <w:iCs/>
          <w:lang w:val="fr-FR"/>
        </w:rPr>
        <w:t>approuver l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approche retenue pour les invitations ad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hoc à la neuvième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session</w:t>
      </w:r>
      <w:r w:rsidR="00A94E7B" w:rsidRPr="002C6F6E">
        <w:rPr>
          <w:i/>
          <w:iCs/>
          <w:lang w:val="fr-FR"/>
        </w:rPr>
        <w:t xml:space="preserve"> du CAJ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AG, telle qu</w:t>
      </w:r>
      <w:r w:rsidR="00A94E7B" w:rsidRPr="002C6F6E">
        <w:rPr>
          <w:i/>
          <w:iCs/>
          <w:lang w:val="fr-FR"/>
        </w:rPr>
        <w:t>’</w:t>
      </w:r>
      <w:r w:rsidRPr="002C6F6E">
        <w:rPr>
          <w:i/>
          <w:iCs/>
          <w:lang w:val="fr-FR"/>
        </w:rPr>
        <w:t>elle est décrite dans le paragraphe</w:t>
      </w:r>
      <w:r w:rsidR="00CA6FB9" w:rsidRPr="002C6F6E">
        <w:rPr>
          <w:i/>
          <w:iCs/>
          <w:lang w:val="fr-FR"/>
        </w:rPr>
        <w:t> </w:t>
      </w:r>
      <w:r w:rsidRPr="002C6F6E">
        <w:rPr>
          <w:i/>
          <w:iCs/>
          <w:lang w:val="fr-FR"/>
        </w:rPr>
        <w:t>a) ci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 xml:space="preserve">dessus </w:t>
      </w:r>
      <w:r w:rsidR="00AA0A8F">
        <w:rPr>
          <w:i/>
          <w:iCs/>
          <w:lang w:val="fr-FR"/>
        </w:rPr>
        <w:t xml:space="preserve">pour les </w:t>
      </w:r>
      <w:bookmarkStart w:id="17" w:name="_GoBack"/>
      <w:bookmarkEnd w:id="17"/>
      <w:r w:rsidRPr="002C6F6E">
        <w:rPr>
          <w:i/>
          <w:iCs/>
          <w:lang w:val="fr-FR"/>
        </w:rPr>
        <w:t>futures sessions</w:t>
      </w:r>
      <w:r w:rsidR="00A94E7B" w:rsidRPr="002C6F6E">
        <w:rPr>
          <w:i/>
          <w:iCs/>
          <w:lang w:val="fr-FR"/>
        </w:rPr>
        <w:t xml:space="preserve"> du CAJ</w:t>
      </w:r>
      <w:r w:rsidR="0021798E" w:rsidRPr="002C6F6E">
        <w:rPr>
          <w:i/>
          <w:iCs/>
          <w:lang w:val="fr-FR"/>
        </w:rPr>
        <w:noBreakHyphen/>
      </w:r>
      <w:r w:rsidRPr="002C6F6E">
        <w:rPr>
          <w:i/>
          <w:iCs/>
          <w:lang w:val="fr-FR"/>
        </w:rPr>
        <w:t>AG.</w:t>
      </w:r>
    </w:p>
    <w:p w:rsidR="00AA5D79" w:rsidRPr="002C6F6E" w:rsidRDefault="00AA5D79" w:rsidP="0086064D">
      <w:pPr>
        <w:rPr>
          <w:snapToGrid w:val="0"/>
          <w:lang w:val="fr-FR"/>
        </w:rPr>
      </w:pPr>
    </w:p>
    <w:p w:rsidR="00AA5D79" w:rsidRPr="002C6F6E" w:rsidRDefault="00AA5D79" w:rsidP="0086064D">
      <w:pPr>
        <w:rPr>
          <w:lang w:val="fr-FR"/>
        </w:rPr>
      </w:pPr>
    </w:p>
    <w:p w:rsidR="00AA5D79" w:rsidRPr="002C6F6E" w:rsidRDefault="00AA5D79" w:rsidP="004453BD">
      <w:pPr>
        <w:ind w:right="566"/>
        <w:rPr>
          <w:highlight w:val="yellow"/>
          <w:lang w:val="fr-FR"/>
        </w:rPr>
      </w:pPr>
    </w:p>
    <w:p w:rsidR="00AA5D79" w:rsidRPr="002C6F6E" w:rsidRDefault="00AA5D79" w:rsidP="00292050">
      <w:pPr>
        <w:pStyle w:val="Heading1"/>
        <w:rPr>
          <w:rFonts w:eastAsia="MS Mincho"/>
          <w:lang w:val="fr-FR" w:eastAsia="ja-JP"/>
        </w:rPr>
      </w:pPr>
      <w:bookmarkStart w:id="18" w:name="_Toc381194416"/>
      <w:r w:rsidRPr="002C6F6E">
        <w:rPr>
          <w:lang w:val="fr-FR"/>
        </w:rPr>
        <w:t>VI.</w:t>
      </w:r>
      <w:r w:rsidRPr="002C6F6E">
        <w:rPr>
          <w:lang w:val="fr-FR"/>
        </w:rPr>
        <w:tab/>
        <w:t>Ra</w:t>
      </w:r>
      <w:r w:rsidR="00C675DE">
        <w:rPr>
          <w:lang w:val="fr-FR"/>
        </w:rPr>
        <w:t>pport</w:t>
      </w:r>
      <w:r w:rsidRPr="002C6F6E">
        <w:rPr>
          <w:lang w:val="fr-FR"/>
        </w:rPr>
        <w:t xml:space="preserve"> sur les travaux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</w:t>
      </w:r>
      <w:r w:rsidR="00C675DE">
        <w:rPr>
          <w:lang w:val="fr-FR"/>
        </w:rPr>
        <w:t>à</w:t>
      </w:r>
      <w:r w:rsidRPr="002C6F6E">
        <w:rPr>
          <w:lang w:val="fr-FR"/>
        </w:rPr>
        <w:t xml:space="preserve"> sa huiti</w:t>
      </w:r>
      <w:r w:rsidR="00C675DE">
        <w:rPr>
          <w:lang w:val="fr-FR"/>
        </w:rPr>
        <w:t>è</w:t>
      </w:r>
      <w:r w:rsidRPr="002C6F6E">
        <w:rPr>
          <w:lang w:val="fr-FR"/>
        </w:rPr>
        <w:t>me session</w:t>
      </w:r>
      <w:bookmarkEnd w:id="18"/>
    </w:p>
    <w:p w:rsidR="00AA5D79" w:rsidRPr="002C6F6E" w:rsidRDefault="00AA5D79" w:rsidP="004453BD">
      <w:pPr>
        <w:keepNext/>
        <w:rPr>
          <w:lang w:val="fr-FR"/>
        </w:rPr>
      </w:pPr>
    </w:p>
    <w:p w:rsidR="00AA5D79" w:rsidRPr="002C6F6E" w:rsidRDefault="00AA5D79" w:rsidP="004453BD">
      <w:pPr>
        <w:rPr>
          <w:spacing w:val="-2"/>
          <w:lang w:val="fr-FR"/>
        </w:rPr>
      </w:pPr>
      <w:r w:rsidRPr="002C6F6E">
        <w:rPr>
          <w:spacing w:val="-2"/>
          <w:lang w:val="fr-FR"/>
        </w:rPr>
        <w:fldChar w:fldCharType="begin"/>
      </w:r>
      <w:r w:rsidRPr="002C6F6E">
        <w:rPr>
          <w:spacing w:val="-2"/>
          <w:lang w:val="fr-FR"/>
        </w:rPr>
        <w:instrText xml:space="preserve"> AUTONUM  </w:instrText>
      </w:r>
      <w:r w:rsidRPr="002C6F6E">
        <w:rPr>
          <w:spacing w:val="-2"/>
          <w:lang w:val="fr-FR"/>
        </w:rPr>
        <w:fldChar w:fldCharType="end"/>
      </w:r>
      <w:r w:rsidRPr="002C6F6E">
        <w:rPr>
          <w:spacing w:val="-2"/>
          <w:lang w:val="fr-FR"/>
        </w:rPr>
        <w:tab/>
        <w:t>Le CAJ</w:t>
      </w:r>
      <w:r w:rsidR="0021798E" w:rsidRPr="002C6F6E">
        <w:rPr>
          <w:spacing w:val="-2"/>
          <w:lang w:val="fr-FR"/>
        </w:rPr>
        <w:noBreakHyphen/>
      </w:r>
      <w:r w:rsidRPr="002C6F6E">
        <w:rPr>
          <w:spacing w:val="-2"/>
          <w:lang w:val="fr-FR"/>
        </w:rPr>
        <w:t>AG a tenu sa huitième</w:t>
      </w:r>
      <w:r w:rsidR="00CA6FB9" w:rsidRPr="002C6F6E">
        <w:rPr>
          <w:spacing w:val="-2"/>
          <w:lang w:val="fr-FR"/>
        </w:rPr>
        <w:t> </w:t>
      </w:r>
      <w:r w:rsidRPr="002C6F6E">
        <w:rPr>
          <w:spacing w:val="-2"/>
          <w:lang w:val="fr-FR"/>
        </w:rPr>
        <w:t>session</w:t>
      </w:r>
      <w:r w:rsidRPr="002C6F6E">
        <w:rPr>
          <w:lang w:val="fr-FR"/>
        </w:rPr>
        <w:t xml:space="preserve"> à Genève les 21 et 2</w:t>
      </w:r>
      <w:r w:rsidR="00A94E7B" w:rsidRPr="002C6F6E">
        <w:rPr>
          <w:lang w:val="fr-FR"/>
        </w:rPr>
        <w:t>5 octobre 20</w:t>
      </w:r>
      <w:r w:rsidRPr="002C6F6E">
        <w:rPr>
          <w:lang w:val="fr-FR"/>
        </w:rPr>
        <w:t xml:space="preserve">13. </w:t>
      </w:r>
      <w:r w:rsidR="00CA6FB9" w:rsidRPr="002C6F6E">
        <w:rPr>
          <w:lang w:val="fr-FR"/>
        </w:rPr>
        <w:t xml:space="preserve"> </w:t>
      </w:r>
      <w:r w:rsidR="00EE591E">
        <w:rPr>
          <w:lang w:val="fr-FR"/>
        </w:rPr>
        <w:t xml:space="preserve">Le compte rendu de la huitième session du CAJ-AG </w:t>
      </w:r>
      <w:r w:rsidRPr="002C6F6E">
        <w:rPr>
          <w:lang w:val="fr-FR"/>
        </w:rPr>
        <w:t>(document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AG/13/8/10 “Compte rendu”) a été </w:t>
      </w:r>
      <w:r w:rsidR="00EE591E">
        <w:rPr>
          <w:lang w:val="fr-FR"/>
        </w:rPr>
        <w:t xml:space="preserve">publié </w:t>
      </w:r>
      <w:r w:rsidRPr="002C6F6E">
        <w:rPr>
          <w:lang w:val="fr-FR"/>
        </w:rPr>
        <w:t>sur les sections</w:t>
      </w:r>
      <w:r w:rsidR="00EE591E">
        <w:rPr>
          <w:lang w:val="fr-FR"/>
        </w:rPr>
        <w:t xml:space="preserve"> </w:t>
      </w:r>
      <w:r w:rsidRPr="002C6F6E">
        <w:rPr>
          <w:rFonts w:eastAsia="MS Mincho"/>
          <w:spacing w:val="-2"/>
          <w:lang w:val="fr-FR" w:eastAsia="ja-JP"/>
        </w:rPr>
        <w:t>CAJ</w:t>
      </w:r>
      <w:r w:rsidR="0021798E" w:rsidRPr="002C6F6E">
        <w:rPr>
          <w:rFonts w:eastAsia="MS Mincho"/>
          <w:spacing w:val="-2"/>
          <w:lang w:val="fr-FR" w:eastAsia="ja-JP"/>
        </w:rPr>
        <w:noBreakHyphen/>
      </w:r>
      <w:r w:rsidRPr="002C6F6E">
        <w:rPr>
          <w:rFonts w:eastAsia="MS Mincho"/>
          <w:spacing w:val="-2"/>
          <w:lang w:val="fr-FR" w:eastAsia="ja-JP"/>
        </w:rPr>
        <w:t>AG et CAJ/69 du site</w:t>
      </w:r>
      <w:r w:rsidR="00CA6FB9" w:rsidRPr="002C6F6E">
        <w:rPr>
          <w:rFonts w:eastAsia="MS Mincho"/>
          <w:spacing w:val="-2"/>
          <w:lang w:val="fr-FR" w:eastAsia="ja-JP"/>
        </w:rPr>
        <w:t> </w:t>
      </w:r>
      <w:r w:rsidRPr="002C6F6E">
        <w:rPr>
          <w:rFonts w:eastAsia="MS Mincho"/>
          <w:spacing w:val="-2"/>
          <w:lang w:val="fr-FR" w:eastAsia="ja-JP"/>
        </w:rPr>
        <w:t>Web de l</w:t>
      </w:r>
      <w:r w:rsidR="00A94E7B" w:rsidRPr="002C6F6E">
        <w:rPr>
          <w:rFonts w:eastAsia="MS Mincho"/>
          <w:spacing w:val="-2"/>
          <w:lang w:val="fr-FR" w:eastAsia="ja-JP"/>
        </w:rPr>
        <w:t>’</w:t>
      </w:r>
      <w:r w:rsidRPr="002C6F6E">
        <w:rPr>
          <w:rFonts w:eastAsia="MS Mincho"/>
          <w:spacing w:val="-2"/>
          <w:lang w:val="fr-FR" w:eastAsia="ja-JP"/>
        </w:rPr>
        <w:t>UPOV.</w:t>
      </w:r>
    </w:p>
    <w:p w:rsidR="00AA5D79" w:rsidRPr="002C6F6E" w:rsidRDefault="00AA5D79" w:rsidP="004453BD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Outre les questions traitées dans la troisième</w:t>
      </w:r>
      <w:r w:rsidR="00C675DE">
        <w:rPr>
          <w:lang w:val="fr-FR"/>
        </w:rPr>
        <w:t> </w:t>
      </w:r>
      <w:r w:rsidRPr="002C6F6E">
        <w:rPr>
          <w:lang w:val="fr-FR"/>
        </w:rPr>
        <w:t>partie du présent document “Questions concernant les variétés essentiellement dérivées”, dans sa quatrième</w:t>
      </w:r>
      <w:r w:rsidR="00C675DE">
        <w:rPr>
          <w:lang w:val="fr-FR"/>
        </w:rPr>
        <w:t> </w:t>
      </w:r>
      <w:r w:rsidRPr="002C6F6E">
        <w:rPr>
          <w:lang w:val="fr-FR"/>
        </w:rPr>
        <w:t>partie</w:t>
      </w:r>
      <w:r w:rsidR="00C675DE">
        <w:rPr>
          <w:lang w:val="fr-FR"/>
        </w:rPr>
        <w:t xml:space="preserve"> </w:t>
      </w:r>
      <w:r w:rsidRPr="002C6F6E">
        <w:rPr>
          <w:lang w:val="fr-FR"/>
        </w:rPr>
        <w:t>“Questions concernant les descriptions variétales” et dans sa cinquième</w:t>
      </w:r>
      <w:r w:rsidR="00C675DE">
        <w:rPr>
          <w:lang w:val="fr-FR"/>
        </w:rPr>
        <w:t> </w:t>
      </w:r>
      <w:r w:rsidRPr="002C6F6E">
        <w:rPr>
          <w:lang w:val="fr-FR"/>
        </w:rPr>
        <w:t>partie “Questions concernant la participation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observateurs</w:t>
      </w:r>
      <w:r w:rsidR="00A94E7B" w:rsidRPr="002C6F6E">
        <w:rPr>
          <w:lang w:val="fr-FR"/>
        </w:rPr>
        <w:t xml:space="preserve">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AG”, les questions suivantes ont été examinées par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à sa huitième session.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4453BD">
      <w:pPr>
        <w:rPr>
          <w:lang w:val="fr-FR"/>
        </w:rPr>
      </w:pPr>
    </w:p>
    <w:p w:rsidR="00AA5D79" w:rsidRPr="002C6F6E" w:rsidRDefault="00AA5D79" w:rsidP="0002707E">
      <w:pPr>
        <w:pStyle w:val="Heading2"/>
        <w:rPr>
          <w:lang w:val="fr-FR"/>
        </w:rPr>
      </w:pPr>
      <w:bookmarkStart w:id="19" w:name="_Toc381194417"/>
      <w:r w:rsidRPr="002C6F6E">
        <w:rPr>
          <w:lang w:val="fr-FR"/>
        </w:rPr>
        <w:t xml:space="preserve">Notes explicatives sur la reproduction ou la multiplication et sur le matériel de reproduction </w:t>
      </w:r>
      <w:r w:rsidR="00C675DE">
        <w:rPr>
          <w:lang w:val="fr-FR"/>
        </w:rPr>
        <w:br/>
      </w:r>
      <w:r w:rsidRPr="002C6F6E">
        <w:rPr>
          <w:lang w:val="fr-FR"/>
        </w:rPr>
        <w:t>ou de multiplication</w:t>
      </w:r>
      <w:bookmarkEnd w:id="19"/>
    </w:p>
    <w:p w:rsidR="00AA5D79" w:rsidRPr="002C6F6E" w:rsidRDefault="00AA5D79" w:rsidP="0002707E">
      <w:pPr>
        <w:keepNext/>
        <w:rPr>
          <w:u w:val="single"/>
          <w:lang w:val="fr-FR"/>
        </w:rPr>
      </w:pPr>
    </w:p>
    <w:p w:rsidR="00AA5D79" w:rsidRPr="002C6F6E" w:rsidRDefault="00AA5D79" w:rsidP="00F02B13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</w:r>
      <w:r w:rsidRPr="002C6F6E">
        <w:rPr>
          <w:rFonts w:eastAsia="Batang"/>
          <w:snapToGrid w:val="0"/>
          <w:lang w:val="fr-FR" w:eastAsia="ko-KR"/>
        </w:rPr>
        <w:t>À sa huitième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session,</w:t>
      </w:r>
      <w:r w:rsidR="00A94E7B" w:rsidRPr="002C6F6E">
        <w:rPr>
          <w:rFonts w:eastAsia="Batang"/>
          <w:snapToGrid w:val="0"/>
          <w:lang w:val="fr-FR" w:eastAsia="ko-KR"/>
        </w:rPr>
        <w:t xml:space="preserve"> le 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examiné le document UPOV/EXN/PPM</w:t>
      </w:r>
      <w:r w:rsidR="00B57B5C">
        <w:rPr>
          <w:lang w:val="fr-FR"/>
        </w:rPr>
        <w:t> </w:t>
      </w:r>
      <w:r w:rsidRPr="002C6F6E">
        <w:rPr>
          <w:lang w:val="fr-FR"/>
        </w:rPr>
        <w:t>Draft</w:t>
      </w:r>
      <w:r w:rsidR="00B57B5C">
        <w:rPr>
          <w:lang w:val="fr-FR"/>
        </w:rPr>
        <w:t> </w:t>
      </w:r>
      <w:r w:rsidRPr="002C6F6E">
        <w:rPr>
          <w:lang w:val="fr-FR"/>
        </w:rPr>
        <w:t>1 “Notes explicatives sur la reproduction ou la multiplication et sur le matériel de reproduction ou de multiplication” ainsi que les avis exprimés par l</w:t>
      </w:r>
      <w:r w:rsidR="00A94E7B" w:rsidRPr="002C6F6E">
        <w:rPr>
          <w:lang w:val="fr-FR"/>
        </w:rPr>
        <w:t>’</w:t>
      </w:r>
      <w:r w:rsidRPr="002C6F6E">
        <w:rPr>
          <w:snapToGrid w:val="0"/>
          <w:lang w:val="fr-FR"/>
        </w:rPr>
        <w:t>APBREBES,</w:t>
      </w:r>
      <w:r w:rsidR="00A94E7B" w:rsidRPr="002C6F6E">
        <w:rPr>
          <w:snapToGrid w:val="0"/>
          <w:lang w:val="fr-FR"/>
        </w:rPr>
        <w:t xml:space="preserve"> la </w:t>
      </w:r>
      <w:r w:rsidR="00A94E7B" w:rsidRPr="002C6F6E">
        <w:rPr>
          <w:lang w:val="fr-FR"/>
        </w:rPr>
        <w:t>CIO</w:t>
      </w:r>
      <w:r w:rsidRPr="002C6F6E">
        <w:rPr>
          <w:lang w:val="fr-FR"/>
        </w:rPr>
        <w:t>PORA et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ISF, tels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exposés dans les paragraphes</w:t>
      </w:r>
      <w:r w:rsidR="00C675DE">
        <w:rPr>
          <w:lang w:val="fr-FR"/>
        </w:rPr>
        <w:t> </w:t>
      </w:r>
      <w:r w:rsidRPr="002C6F6E">
        <w:rPr>
          <w:lang w:val="fr-FR"/>
        </w:rPr>
        <w:t>13 à</w:t>
      </w:r>
      <w:r w:rsidR="00C675DE">
        <w:rPr>
          <w:lang w:val="fr-FR"/>
        </w:rPr>
        <w:t> </w:t>
      </w:r>
      <w:r w:rsidRPr="002C6F6E">
        <w:rPr>
          <w:lang w:val="fr-FR"/>
        </w:rPr>
        <w:t>29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 (voir les paragraphes</w:t>
      </w:r>
      <w:r w:rsidR="00EE591E">
        <w:rPr>
          <w:lang w:val="fr-FR"/>
        </w:rPr>
        <w:t xml:space="preserve"> </w:t>
      </w:r>
      <w:r w:rsidRPr="002C6F6E">
        <w:rPr>
          <w:lang w:val="fr-FR"/>
        </w:rPr>
        <w:t>50 à</w:t>
      </w:r>
      <w:r w:rsidR="00EE591E">
        <w:rPr>
          <w:lang w:val="fr-FR"/>
        </w:rPr>
        <w:t xml:space="preserve"> </w:t>
      </w:r>
      <w:r w:rsidRPr="002C6F6E">
        <w:rPr>
          <w:lang w:val="fr-FR"/>
        </w:rPr>
        <w:t>54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F02B13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B57B5C">
        <w:rPr>
          <w:lang w:val="fr-FR"/>
        </w:rPr>
        <w:noBreakHyphen/>
      </w:r>
      <w:r w:rsidRPr="002C6F6E">
        <w:rPr>
          <w:lang w:val="fr-FR"/>
        </w:rPr>
        <w:t>AG est convenu de modifier comme suit le premier paragraphe du document UPOV/EXN/PPM</w:t>
      </w:r>
      <w:r w:rsidR="00E332C8" w:rsidRPr="002C6F6E">
        <w:rPr>
          <w:lang w:val="fr-FR"/>
        </w:rPr>
        <w:t> </w:t>
      </w:r>
      <w:r w:rsidRPr="002C6F6E">
        <w:rPr>
          <w:lang w:val="fr-FR"/>
        </w:rPr>
        <w:t>Draft</w:t>
      </w:r>
      <w:r w:rsidR="00E332C8" w:rsidRPr="002C6F6E">
        <w:rPr>
          <w:lang w:val="fr-FR"/>
        </w:rPr>
        <w:t> </w:t>
      </w:r>
      <w:r w:rsidRPr="002C6F6E">
        <w:rPr>
          <w:lang w:val="fr-FR"/>
        </w:rPr>
        <w:t>1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>“1.</w:t>
      </w:r>
      <w:r w:rsidRPr="002C6F6E">
        <w:rPr>
          <w:sz w:val="18"/>
          <w:szCs w:val="18"/>
          <w:lang w:val="fr-FR"/>
        </w:rPr>
        <w:tab/>
        <w:t>Indiquer si le matériel est du matériel de reproduction ou de multiplication est une question de fait</w:t>
      </w:r>
      <w:r w:rsidRPr="002C6F6E">
        <w:rPr>
          <w:sz w:val="18"/>
          <w:szCs w:val="18"/>
          <w:highlight w:val="lightGray"/>
          <w:lang w:val="fr-FR"/>
        </w:rPr>
        <w:t>,</w:t>
      </w:r>
      <w:r w:rsidRPr="002C6F6E">
        <w:rPr>
          <w:sz w:val="18"/>
          <w:szCs w:val="18"/>
          <w:lang w:val="fr-FR"/>
        </w:rPr>
        <w:t xml:space="preserve"> mais </w:t>
      </w:r>
      <w:r w:rsidRPr="002C6F6E">
        <w:rPr>
          <w:strike/>
          <w:sz w:val="18"/>
          <w:szCs w:val="18"/>
          <w:highlight w:val="lightGray"/>
          <w:lang w:val="fr-FR"/>
        </w:rPr>
        <w:t>aussi d</w:t>
      </w:r>
      <w:r w:rsidR="00A94E7B" w:rsidRPr="002C6F6E">
        <w:rPr>
          <w:strike/>
          <w:sz w:val="18"/>
          <w:szCs w:val="18"/>
          <w:highlight w:val="lightGray"/>
          <w:lang w:val="fr-FR"/>
        </w:rPr>
        <w:t>’</w:t>
      </w:r>
      <w:r w:rsidRPr="002C6F6E">
        <w:rPr>
          <w:sz w:val="18"/>
          <w:szCs w:val="18"/>
          <w:highlight w:val="lightGray"/>
          <w:lang w:val="fr-FR"/>
        </w:rPr>
        <w:t>[peut aussi</w:t>
      </w:r>
      <w:r w:rsidRPr="002C6F6E">
        <w:rPr>
          <w:sz w:val="18"/>
          <w:szCs w:val="18"/>
          <w:highlight w:val="lightGray"/>
          <w:u w:val="single"/>
          <w:lang w:val="fr-FR"/>
        </w:rPr>
        <w:t>]</w:t>
      </w:r>
      <w:r w:rsidRPr="008D309C">
        <w:rPr>
          <w:sz w:val="18"/>
          <w:szCs w:val="18"/>
          <w:lang w:val="fr-FR"/>
        </w:rPr>
        <w:t xml:space="preserve"> </w:t>
      </w:r>
      <w:r w:rsidRPr="002C6F6E">
        <w:rPr>
          <w:sz w:val="18"/>
          <w:szCs w:val="18"/>
          <w:highlight w:val="lightGray"/>
          <w:u w:val="single"/>
          <w:lang w:val="fr-FR"/>
        </w:rPr>
        <w:t>comprendre l</w:t>
      </w:r>
      <w:r w:rsidR="00A94E7B" w:rsidRPr="002C6F6E">
        <w:rPr>
          <w:sz w:val="18"/>
          <w:szCs w:val="18"/>
          <w:highlight w:val="lightGray"/>
          <w:u w:val="single"/>
          <w:lang w:val="fr-FR"/>
        </w:rPr>
        <w:t>’</w:t>
      </w:r>
      <w:r w:rsidRPr="002C6F6E">
        <w:rPr>
          <w:sz w:val="18"/>
          <w:szCs w:val="18"/>
          <w:lang w:val="fr-FR"/>
        </w:rPr>
        <w:t>intention des parties concernées (producteur, vendeur, fournisseur, acheteur, destinataire, utilisateur).  Par exemple,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intention du producteur, du vendeur ou du fournisseur n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est pas le seul élément pertinent;  est également pertinente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intention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acheteur, du destinataire ou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 xml:space="preserve">utilisateur du matériel. </w:t>
      </w:r>
      <w:r w:rsidR="00CA6FB9" w:rsidRPr="002C6F6E">
        <w:rPr>
          <w:sz w:val="18"/>
          <w:szCs w:val="18"/>
          <w:lang w:val="fr-FR"/>
        </w:rPr>
        <w:t xml:space="preserve"> </w:t>
      </w:r>
      <w:r w:rsidRPr="002C6F6E">
        <w:rPr>
          <w:sz w:val="18"/>
          <w:szCs w:val="18"/>
          <w:lang w:val="fr-FR"/>
        </w:rPr>
        <w:t>C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est ainsi que, même s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il se pouvait qu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une partie n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ait pas prévu que le matériel soit utilisé à des fins de reproduction ou de multiplication, une autre partie concernée pourrait avoir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intention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utiliser à ces fins.  En particulier,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explication figurant à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article</w:t>
      </w:r>
      <w:r w:rsidR="00C675DE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14.2 et au point</w:t>
      </w:r>
      <w:r w:rsidR="00CA6FB9" w:rsidRPr="002C6F6E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ii)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article</w:t>
      </w:r>
      <w:r w:rsidR="00B57B5C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>16.2) de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Acte de</w:t>
      </w:r>
      <w:r w:rsidR="00B57B5C">
        <w:rPr>
          <w:sz w:val="18"/>
          <w:szCs w:val="18"/>
          <w:lang w:val="fr-FR"/>
        </w:rPr>
        <w:t> </w:t>
      </w:r>
      <w:r w:rsidRPr="002C6F6E">
        <w:rPr>
          <w:sz w:val="18"/>
          <w:szCs w:val="18"/>
          <w:lang w:val="fr-FR"/>
        </w:rPr>
        <w:t xml:space="preserve">1991 de la </w:t>
      </w:r>
      <w:r w:rsidR="00A94E7B" w:rsidRPr="002C6F6E">
        <w:rPr>
          <w:sz w:val="18"/>
          <w:szCs w:val="18"/>
          <w:lang w:val="fr-FR"/>
        </w:rPr>
        <w:t>Convention UPOV</w:t>
      </w:r>
      <w:r w:rsidRPr="002C6F6E">
        <w:rPr>
          <w:sz w:val="18"/>
          <w:szCs w:val="18"/>
          <w:lang w:val="fr-FR"/>
        </w:rPr>
        <w:t xml:space="preserve"> </w:t>
      </w:r>
      <w:r w:rsidRPr="002C6F6E">
        <w:rPr>
          <w:sz w:val="18"/>
          <w:szCs w:val="18"/>
          <w:highlight w:val="lightGray"/>
          <w:u w:val="single"/>
          <w:lang w:val="fr-FR"/>
        </w:rPr>
        <w:t>signifie</w:t>
      </w:r>
      <w:r w:rsidRPr="002C6F6E">
        <w:rPr>
          <w:sz w:val="18"/>
          <w:szCs w:val="18"/>
          <w:lang w:val="fr-FR"/>
        </w:rPr>
        <w:t xml:space="preserve"> que le produit de la récolte comprend des plantes entières et des parties de plantes</w:t>
      </w:r>
      <w:r w:rsidRPr="002C6F6E">
        <w:rPr>
          <w:strike/>
          <w:sz w:val="18"/>
          <w:szCs w:val="18"/>
          <w:highlight w:val="lightGray"/>
          <w:lang w:val="fr-FR"/>
        </w:rPr>
        <w:t>, c</w:t>
      </w:r>
      <w:r w:rsidR="00A94E7B" w:rsidRPr="002C6F6E">
        <w:rPr>
          <w:strike/>
          <w:sz w:val="18"/>
          <w:szCs w:val="18"/>
          <w:highlight w:val="lightGray"/>
          <w:lang w:val="fr-FR"/>
        </w:rPr>
        <w:t>’</w:t>
      </w:r>
      <w:r w:rsidRPr="002C6F6E">
        <w:rPr>
          <w:strike/>
          <w:sz w:val="18"/>
          <w:szCs w:val="18"/>
          <w:highlight w:val="lightGray"/>
          <w:lang w:val="fr-FR"/>
        </w:rPr>
        <w:t>est</w:t>
      </w:r>
      <w:r w:rsidR="0021798E" w:rsidRPr="002C6F6E">
        <w:rPr>
          <w:strike/>
          <w:sz w:val="18"/>
          <w:szCs w:val="18"/>
          <w:highlight w:val="lightGray"/>
          <w:lang w:val="fr-FR"/>
        </w:rPr>
        <w:noBreakHyphen/>
      </w:r>
      <w:r w:rsidRPr="002C6F6E">
        <w:rPr>
          <w:strike/>
          <w:sz w:val="18"/>
          <w:szCs w:val="18"/>
          <w:highlight w:val="lightGray"/>
          <w:lang w:val="fr-FR"/>
        </w:rPr>
        <w:t>à</w:t>
      </w:r>
      <w:r w:rsidR="0021798E" w:rsidRPr="002C6F6E">
        <w:rPr>
          <w:strike/>
          <w:sz w:val="18"/>
          <w:szCs w:val="18"/>
          <w:highlight w:val="lightGray"/>
          <w:lang w:val="fr-FR"/>
        </w:rPr>
        <w:noBreakHyphen/>
      </w:r>
      <w:r w:rsidRPr="002C6F6E">
        <w:rPr>
          <w:strike/>
          <w:sz w:val="18"/>
          <w:szCs w:val="18"/>
          <w:highlight w:val="lightGray"/>
          <w:lang w:val="fr-FR"/>
        </w:rPr>
        <w:t>dire du matériel pouvant être utilisé à des fins de reproduction ou de multiplication, signifie que certaines formes au moins du produit de la récolte peuvent être utilisées comme matériel de reproduction ou de multiplication</w:t>
      </w:r>
      <w:r w:rsidRPr="002C6F6E">
        <w:rPr>
          <w:sz w:val="18"/>
          <w:szCs w:val="18"/>
          <w:lang w:val="fr-FR"/>
        </w:rPr>
        <w:t>”.</w:t>
      </w:r>
    </w:p>
    <w:p w:rsidR="00AA5D79" w:rsidRPr="002C6F6E" w:rsidRDefault="00AA5D79" w:rsidP="0002707E">
      <w:pPr>
        <w:rPr>
          <w:i/>
          <w:iCs/>
          <w:lang w:val="fr-FR"/>
        </w:rPr>
      </w:pPr>
    </w:p>
    <w:p w:rsidR="00AA5D79" w:rsidRPr="002C6F6E" w:rsidRDefault="00AA5D79" w:rsidP="00135DAE">
      <w:pPr>
        <w:keepNext/>
        <w:rPr>
          <w:i/>
          <w:iCs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B57B5C">
        <w:rPr>
          <w:lang w:val="fr-FR"/>
        </w:rPr>
        <w:noBreakHyphen/>
      </w:r>
      <w:r w:rsidRPr="002C6F6E">
        <w:rPr>
          <w:lang w:val="fr-FR"/>
        </w:rPr>
        <w:t>AG est convenu de modifier comme suit le troisième paragraphe du document UPOV/EXN/PPM</w:t>
      </w:r>
      <w:r w:rsidR="00B57B5C">
        <w:rPr>
          <w:lang w:val="fr-FR"/>
        </w:rPr>
        <w:t> </w:t>
      </w:r>
      <w:r w:rsidRPr="002C6F6E">
        <w:rPr>
          <w:lang w:val="fr-FR"/>
        </w:rPr>
        <w:t>Draft</w:t>
      </w:r>
      <w:r w:rsidR="00B57B5C">
        <w:rPr>
          <w:lang w:val="fr-FR"/>
        </w:rPr>
        <w:t> </w:t>
      </w:r>
      <w:r w:rsidRPr="002C6F6E">
        <w:rPr>
          <w:lang w:val="fr-FR"/>
        </w:rPr>
        <w:t>1 :</w:t>
      </w:r>
    </w:p>
    <w:p w:rsidR="00AA5D79" w:rsidRPr="002C6F6E" w:rsidRDefault="00AA5D79" w:rsidP="00135DAE">
      <w:pPr>
        <w:keepNext/>
        <w:rPr>
          <w:i/>
          <w:iCs/>
          <w:lang w:val="fr-FR"/>
        </w:rPr>
      </w:pPr>
    </w:p>
    <w:p w:rsidR="00AA5D79" w:rsidRPr="002C6F6E" w:rsidRDefault="00AA5D79" w:rsidP="005F58D5">
      <w:pPr>
        <w:autoSpaceDE w:val="0"/>
        <w:ind w:left="567" w:right="567"/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t xml:space="preserve">“3.  </w:t>
      </w:r>
      <w:r w:rsidRPr="002C6F6E">
        <w:rPr>
          <w:sz w:val="18"/>
          <w:szCs w:val="18"/>
          <w:lang w:val="fr-FR"/>
        </w:rPr>
        <w:tab/>
        <w:t xml:space="preserve">La liste des facteurs, </w:t>
      </w:r>
      <w:r w:rsidRPr="002C6F6E">
        <w:rPr>
          <w:sz w:val="18"/>
          <w:szCs w:val="18"/>
          <w:highlight w:val="lightGray"/>
          <w:u w:val="single"/>
          <w:lang w:val="fr-FR"/>
        </w:rPr>
        <w:t>ou combinaison de facteurs</w:t>
      </w:r>
      <w:r w:rsidRPr="002C6F6E">
        <w:rPr>
          <w:sz w:val="18"/>
          <w:szCs w:val="18"/>
          <w:lang w:val="fr-FR"/>
        </w:rPr>
        <w:t>, suivante – non exhaustive – pourrait être prise en considération pour décider si le matériel est un matériel de reproduction ou de multiplication :</w:t>
      </w:r>
    </w:p>
    <w:p w:rsidR="00AA5D79" w:rsidRPr="002C6F6E" w:rsidRDefault="00AA5D79" w:rsidP="005F58D5">
      <w:pPr>
        <w:ind w:left="1134" w:right="567" w:hanging="567"/>
        <w:rPr>
          <w:sz w:val="18"/>
          <w:szCs w:val="18"/>
          <w:lang w:val="fr-FR"/>
        </w:rPr>
      </w:pPr>
    </w:p>
    <w:p w:rsidR="00AA5D79" w:rsidRPr="002C6F6E" w:rsidRDefault="00AA5D79" w:rsidP="005F58D5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color w:val="000000"/>
          <w:sz w:val="18"/>
          <w:szCs w:val="18"/>
          <w:lang w:val="fr-FR"/>
        </w:rPr>
        <w:t>“</w:t>
      </w:r>
      <w:r w:rsidRPr="002C6F6E">
        <w:rPr>
          <w:sz w:val="18"/>
          <w:szCs w:val="18"/>
          <w:lang w:val="fr-FR"/>
        </w:rPr>
        <w:t>i)</w:t>
      </w:r>
      <w:r w:rsidRPr="002C6F6E">
        <w:rPr>
          <w:sz w:val="18"/>
          <w:szCs w:val="18"/>
          <w:lang w:val="fr-FR"/>
        </w:rPr>
        <w:tab/>
        <w:t>indiquer si le matériel a été utilisé pour reproduire ou multiplier la variété;</w:t>
      </w:r>
    </w:p>
    <w:p w:rsidR="00AA5D79" w:rsidRPr="002C6F6E" w:rsidRDefault="00AA5D79" w:rsidP="005F58D5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color w:val="000000"/>
          <w:sz w:val="18"/>
          <w:szCs w:val="18"/>
          <w:lang w:val="fr-FR"/>
        </w:rPr>
        <w:t>“</w:t>
      </w:r>
      <w:r w:rsidRPr="002C6F6E">
        <w:rPr>
          <w:sz w:val="18"/>
          <w:szCs w:val="18"/>
          <w:lang w:val="fr-FR"/>
        </w:rPr>
        <w:t>ii)</w:t>
      </w:r>
      <w:r w:rsidRPr="002C6F6E">
        <w:rPr>
          <w:sz w:val="18"/>
          <w:szCs w:val="18"/>
          <w:lang w:val="fr-FR"/>
        </w:rPr>
        <w:tab/>
        <w:t>indiquer si le matériel peut produire des plantes entières de la variété;</w:t>
      </w:r>
    </w:p>
    <w:p w:rsidR="00AA5D79" w:rsidRPr="002C6F6E" w:rsidRDefault="00AA5D79" w:rsidP="005F58D5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color w:val="000000"/>
          <w:sz w:val="18"/>
          <w:szCs w:val="18"/>
          <w:lang w:val="fr-FR"/>
        </w:rPr>
        <w:lastRenderedPageBreak/>
        <w:t>“</w:t>
      </w:r>
      <w:r w:rsidRPr="002C6F6E">
        <w:rPr>
          <w:sz w:val="18"/>
          <w:szCs w:val="18"/>
          <w:lang w:val="fr-FR"/>
        </w:rPr>
        <w:t>iii)</w:t>
      </w:r>
      <w:r w:rsidRPr="002C6F6E">
        <w:rPr>
          <w:sz w:val="18"/>
          <w:szCs w:val="18"/>
          <w:lang w:val="fr-FR"/>
        </w:rPr>
        <w:tab/>
        <w:t>indiquer s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>il y a eu une coutume ou pratique consistant à utiliser le matériel à cette fin;</w:t>
      </w:r>
    </w:p>
    <w:p w:rsidR="00AA5D79" w:rsidRPr="002C6F6E" w:rsidRDefault="00AA5D79" w:rsidP="005F58D5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color w:val="000000"/>
          <w:sz w:val="18"/>
          <w:szCs w:val="18"/>
          <w:lang w:val="fr-FR"/>
        </w:rPr>
        <w:t>“</w:t>
      </w:r>
      <w:r w:rsidRPr="002C6F6E">
        <w:rPr>
          <w:sz w:val="18"/>
          <w:szCs w:val="18"/>
          <w:lang w:val="fr-FR"/>
        </w:rPr>
        <w:t>iv)</w:t>
      </w:r>
      <w:r w:rsidRPr="002C6F6E">
        <w:rPr>
          <w:sz w:val="18"/>
          <w:szCs w:val="18"/>
          <w:lang w:val="fr-FR"/>
        </w:rPr>
        <w:tab/>
        <w:t>indiquer l</w:t>
      </w:r>
      <w:r w:rsidR="00A94E7B" w:rsidRPr="002C6F6E">
        <w:rPr>
          <w:sz w:val="18"/>
          <w:szCs w:val="18"/>
          <w:lang w:val="fr-FR"/>
        </w:rPr>
        <w:t>’</w:t>
      </w:r>
      <w:r w:rsidRPr="002C6F6E">
        <w:rPr>
          <w:sz w:val="18"/>
          <w:szCs w:val="18"/>
          <w:lang w:val="fr-FR"/>
        </w:rPr>
        <w:t xml:space="preserve">intention de la part des personnes concernées (producteur, vendeur, fournisseur, acheteur, destinataire, utilisateur);  </w:t>
      </w:r>
      <w:r w:rsidRPr="002C6F6E">
        <w:rPr>
          <w:strike/>
          <w:sz w:val="18"/>
          <w:szCs w:val="18"/>
          <w:highlight w:val="lightGray"/>
          <w:lang w:val="fr-FR"/>
        </w:rPr>
        <w:t>et</w:t>
      </w:r>
      <w:r w:rsidR="008D309C" w:rsidRPr="008D309C">
        <w:rPr>
          <w:sz w:val="18"/>
          <w:szCs w:val="18"/>
          <w:highlight w:val="lightGray"/>
          <w:lang w:val="fr-FR"/>
        </w:rPr>
        <w:t xml:space="preserve"> </w:t>
      </w:r>
      <w:r w:rsidRPr="002C6F6E">
        <w:rPr>
          <w:sz w:val="18"/>
          <w:szCs w:val="18"/>
          <w:highlight w:val="lightGray"/>
          <w:u w:val="single"/>
          <w:lang w:val="fr-FR"/>
        </w:rPr>
        <w:t>ou</w:t>
      </w:r>
    </w:p>
    <w:p w:rsidR="00AA5D79" w:rsidRPr="002C6F6E" w:rsidRDefault="00AA5D79" w:rsidP="005F58D5">
      <w:pPr>
        <w:ind w:left="1701" w:right="567" w:hanging="567"/>
        <w:rPr>
          <w:sz w:val="18"/>
          <w:szCs w:val="18"/>
          <w:lang w:val="fr-FR"/>
        </w:rPr>
      </w:pPr>
      <w:r w:rsidRPr="002C6F6E">
        <w:rPr>
          <w:color w:val="000000"/>
          <w:sz w:val="18"/>
          <w:szCs w:val="18"/>
          <w:lang w:val="fr-FR"/>
        </w:rPr>
        <w:t>“</w:t>
      </w:r>
      <w:r w:rsidRPr="002C6F6E">
        <w:rPr>
          <w:sz w:val="18"/>
          <w:szCs w:val="18"/>
          <w:lang w:val="fr-FR"/>
        </w:rPr>
        <w:t>v)</w:t>
      </w:r>
      <w:r w:rsidRPr="002C6F6E">
        <w:rPr>
          <w:sz w:val="18"/>
          <w:szCs w:val="18"/>
          <w:lang w:val="fr-FR"/>
        </w:rPr>
        <w:tab/>
        <w:t>indiquer si le matériel végétal convient pour reproduire la variété conforme</w:t>
      </w:r>
      <w:r w:rsidR="00B57B5C">
        <w:rPr>
          <w:sz w:val="18"/>
          <w:szCs w:val="18"/>
          <w:lang w:val="fr-FR"/>
        </w:rPr>
        <w:t>.</w:t>
      </w:r>
      <w:r w:rsidRPr="002C6F6E">
        <w:rPr>
          <w:sz w:val="18"/>
          <w:szCs w:val="18"/>
          <w:lang w:val="fr-FR"/>
        </w:rPr>
        <w:t>”</w:t>
      </w:r>
    </w:p>
    <w:p w:rsidR="00AA5D79" w:rsidRPr="002C6F6E" w:rsidRDefault="00AA5D79" w:rsidP="0002707E">
      <w:pPr>
        <w:ind w:left="1701" w:right="567" w:hanging="567"/>
        <w:rPr>
          <w:sz w:val="18"/>
          <w:szCs w:val="18"/>
          <w:lang w:val="fr-FR"/>
        </w:rPr>
      </w:pPr>
    </w:p>
    <w:p w:rsidR="00AA5D79" w:rsidRPr="002C6F6E" w:rsidRDefault="00AA5D79" w:rsidP="0053646D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noté que la délégation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Argentine ferait une proposition relative au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3 et, le cas échéant, procéderait à toute adaptation pertinente du premier paragraphe du document UPOV/EXN/PPM Draft 1.</w:t>
      </w:r>
    </w:p>
    <w:p w:rsidR="00AA5D79" w:rsidRPr="002C6F6E" w:rsidRDefault="00AA5D79" w:rsidP="0053646D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demandé au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élaborer une nouvelle </w:t>
      </w:r>
      <w:r w:rsidR="00EE591E">
        <w:rPr>
          <w:lang w:val="fr-FR"/>
        </w:rPr>
        <w:t xml:space="preserve">ébauche </w:t>
      </w:r>
      <w:r w:rsidRPr="002C6F6E">
        <w:rPr>
          <w:lang w:val="fr-FR"/>
        </w:rPr>
        <w:t>du document UPOV/EXN/PPM sur la base de ce qui précède.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53646D">
      <w:pPr>
        <w:pStyle w:val="DecisionParagraphs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 des projets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concernant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des “Notes explicatives sur le matériel de reproduction ou de multiplication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comme indiqué dans les </w:t>
      </w:r>
      <w:r w:rsidRPr="00EE591E">
        <w:rPr>
          <w:lang w:val="fr-FR"/>
        </w:rPr>
        <w:t>paragraphes</w:t>
      </w:r>
      <w:r w:rsidR="00CA6FB9" w:rsidRPr="00EE591E">
        <w:rPr>
          <w:lang w:val="fr-FR"/>
        </w:rPr>
        <w:t> </w:t>
      </w:r>
      <w:r w:rsidR="008D309C" w:rsidRPr="00EE591E">
        <w:rPr>
          <w:lang w:val="fr-FR"/>
        </w:rPr>
        <w:t>39 à </w:t>
      </w:r>
      <w:r w:rsidRPr="00EE591E">
        <w:rPr>
          <w:lang w:val="fr-FR"/>
        </w:rPr>
        <w:t>43 ci</w:t>
      </w:r>
      <w:r w:rsidR="0021798E" w:rsidRPr="00EE591E">
        <w:rPr>
          <w:lang w:val="fr-FR"/>
        </w:rPr>
        <w:noBreakHyphen/>
      </w:r>
      <w:r w:rsidRPr="00EE591E">
        <w:rPr>
          <w:lang w:val="fr-FR"/>
        </w:rPr>
        <w:t>dessus.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ind w:right="567"/>
        <w:jc w:val="left"/>
        <w:rPr>
          <w:lang w:val="fr-FR"/>
        </w:rPr>
      </w:pPr>
    </w:p>
    <w:p w:rsidR="00AA5D79" w:rsidRPr="002C6F6E" w:rsidRDefault="00AA5D79" w:rsidP="0002707E">
      <w:pPr>
        <w:pStyle w:val="Heading2"/>
        <w:rPr>
          <w:lang w:val="fr-FR"/>
        </w:rPr>
      </w:pPr>
      <w:bookmarkStart w:id="20" w:name="_Toc381194418"/>
      <w:r w:rsidRPr="002C6F6E">
        <w:rPr>
          <w:lang w:val="fr-FR"/>
        </w:rPr>
        <w:t>Notes explicatives sur les actes à 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égard du produit de la récolte</w:t>
      </w:r>
      <w:bookmarkEnd w:id="20"/>
    </w:p>
    <w:p w:rsidR="00AA5D79" w:rsidRPr="002C6F6E" w:rsidRDefault="00AA5D79" w:rsidP="0002707E">
      <w:pPr>
        <w:keepNext/>
        <w:rPr>
          <w:u w:val="single"/>
          <w:lang w:val="fr-FR"/>
        </w:rPr>
      </w:pPr>
    </w:p>
    <w:p w:rsidR="00AA5D79" w:rsidRPr="002C6F6E" w:rsidRDefault="00AA5D79" w:rsidP="00A3108C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</w:r>
      <w:r w:rsidRPr="002C6F6E">
        <w:rPr>
          <w:rFonts w:eastAsia="Batang"/>
          <w:snapToGrid w:val="0"/>
          <w:lang w:val="fr-FR" w:eastAsia="ko-KR"/>
        </w:rPr>
        <w:t>À sa huitième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session,</w:t>
      </w:r>
      <w:r w:rsidR="00A94E7B" w:rsidRPr="002C6F6E">
        <w:rPr>
          <w:rFonts w:eastAsia="Batang"/>
          <w:snapToGrid w:val="0"/>
          <w:lang w:val="fr-FR" w:eastAsia="ko-KR"/>
        </w:rPr>
        <w:t xml:space="preserve"> le 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examiné le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AG/13/8/3 “</w:t>
      </w:r>
      <w:r w:rsidRPr="007C1587">
        <w:rPr>
          <w:i/>
          <w:lang w:val="fr-FR"/>
        </w:rPr>
        <w:t>Explanatory Notes on Acts in Respect of Harvested Material</w:t>
      </w:r>
      <w:r w:rsidRPr="002C6F6E">
        <w:rPr>
          <w:lang w:val="fr-FR"/>
        </w:rPr>
        <w:t>”, les observations de la Fédération de Russie en date des</w:t>
      </w:r>
      <w:r w:rsidR="007C1587">
        <w:rPr>
          <w:lang w:val="fr-FR"/>
        </w:rPr>
        <w:t xml:space="preserve"> </w:t>
      </w:r>
      <w:r w:rsidR="007C1587">
        <w:rPr>
          <w:lang w:val="fr-FR"/>
        </w:rPr>
        <w:br/>
      </w:r>
      <w:r w:rsidRPr="002C6F6E">
        <w:rPr>
          <w:lang w:val="fr-FR"/>
        </w:rPr>
        <w:t>21 et 25</w:t>
      </w:r>
      <w:r w:rsidR="005B3AFA">
        <w:rPr>
          <w:lang w:val="fr-FR"/>
        </w:rPr>
        <w:t> </w:t>
      </w:r>
      <w:r w:rsidRPr="002C6F6E">
        <w:rPr>
          <w:lang w:val="fr-FR"/>
        </w:rPr>
        <w:t>octobre</w:t>
      </w:r>
      <w:r w:rsidR="005B3AFA">
        <w:rPr>
          <w:lang w:val="fr-FR"/>
        </w:rPr>
        <w:t> </w:t>
      </w:r>
      <w:r w:rsidRPr="002C6F6E">
        <w:rPr>
          <w:lang w:val="fr-FR"/>
        </w:rPr>
        <w:t>2013, qui avaient été diffusées aux participants et mis en ligne sur le site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Web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AG, les commentaires mentionnés dans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31 à</w:t>
      </w:r>
      <w:r w:rsidR="005B3AFA">
        <w:rPr>
          <w:lang w:val="fr-FR"/>
        </w:rPr>
        <w:t> </w:t>
      </w:r>
      <w:r w:rsidRPr="002C6F6E">
        <w:rPr>
          <w:lang w:val="fr-FR"/>
        </w:rPr>
        <w:t>37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 ainsi que les avis exprimés par l</w:t>
      </w:r>
      <w:r w:rsidR="00A94E7B" w:rsidRPr="002C6F6E">
        <w:rPr>
          <w:lang w:val="fr-FR"/>
        </w:rPr>
        <w:t>’</w:t>
      </w:r>
      <w:r w:rsidRPr="002C6F6E">
        <w:rPr>
          <w:snapToGrid w:val="0"/>
          <w:lang w:val="fr-FR"/>
        </w:rPr>
        <w:t>APBREBES,</w:t>
      </w:r>
      <w:r w:rsidR="00A94E7B" w:rsidRPr="002C6F6E">
        <w:rPr>
          <w:snapToGrid w:val="0"/>
          <w:lang w:val="fr-FR"/>
        </w:rPr>
        <w:t xml:space="preserve"> la </w:t>
      </w:r>
      <w:r w:rsidR="00A94E7B" w:rsidRPr="002C6F6E">
        <w:rPr>
          <w:lang w:val="fr-FR"/>
        </w:rPr>
        <w:t>CIO</w:t>
      </w:r>
      <w:r w:rsidRPr="002C6F6E">
        <w:rPr>
          <w:lang w:val="fr-FR"/>
        </w:rPr>
        <w:t>PORA et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ISF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55 à</w:t>
      </w:r>
      <w:r w:rsidR="005B3AFA">
        <w:rPr>
          <w:lang w:val="fr-FR"/>
        </w:rPr>
        <w:t> </w:t>
      </w:r>
      <w:r w:rsidRPr="002C6F6E">
        <w:rPr>
          <w:lang w:val="fr-FR"/>
        </w:rPr>
        <w:t>58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keepNext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agissant des exemples</w:t>
      </w:r>
      <w:r w:rsidR="00875A65" w:rsidRPr="002C6F6E">
        <w:rPr>
          <w:lang w:val="fr-FR"/>
        </w:rPr>
        <w:t> 1 à </w:t>
      </w:r>
      <w:r w:rsidRPr="002C6F6E">
        <w:rPr>
          <w:lang w:val="fr-FR"/>
        </w:rPr>
        <w:t>11,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</w:t>
      </w:r>
      <w:r w:rsidR="005B3AFA">
        <w:rPr>
          <w:lang w:val="fr-FR"/>
        </w:rPr>
        <w:t>,</w:t>
      </w:r>
      <w:r w:rsidRPr="002C6F6E">
        <w:rPr>
          <w:lang w:val="fr-FR"/>
        </w:rPr>
        <w:t xml:space="preserve"> </w:t>
      </w:r>
      <w:r w:rsidR="005B3AFA" w:rsidRPr="002C6F6E">
        <w:rPr>
          <w:lang w:val="fr-FR"/>
        </w:rPr>
        <w:t>à sa huitième session</w:t>
      </w:r>
      <w:r w:rsidR="005B3AFA">
        <w:rPr>
          <w:lang w:val="fr-FR"/>
        </w:rPr>
        <w:t>,</w:t>
      </w:r>
      <w:r w:rsidR="005B3AFA" w:rsidRPr="002C6F6E">
        <w:rPr>
          <w:lang w:val="fr-FR"/>
        </w:rPr>
        <w:t xml:space="preserve"> </w:t>
      </w:r>
      <w:r w:rsidRPr="002C6F6E">
        <w:rPr>
          <w:lang w:val="fr-FR"/>
        </w:rPr>
        <w:t>est convenu</w:t>
      </w:r>
      <w:r w:rsidR="005B3AFA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02707E">
      <w:pPr>
        <w:keepNext/>
        <w:rPr>
          <w:lang w:val="fr-FR"/>
        </w:rPr>
      </w:pPr>
    </w:p>
    <w:tbl>
      <w:tblPr>
        <w:tblW w:w="9180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AA5D79" w:rsidRPr="002C6F6E" w:rsidTr="00EC2038">
        <w:trPr>
          <w:cantSplit/>
        </w:trPr>
        <w:tc>
          <w:tcPr>
            <w:tcW w:w="1391" w:type="dxa"/>
          </w:tcPr>
          <w:p w:rsidR="00AA5D79" w:rsidRPr="002C6F6E" w:rsidRDefault="00AA5D79" w:rsidP="008E58B6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Général</w:t>
            </w:r>
          </w:p>
        </w:tc>
        <w:tc>
          <w:tcPr>
            <w:tcW w:w="7789" w:type="dxa"/>
          </w:tcPr>
          <w:p w:rsidR="00AA5D79" w:rsidRPr="002C6F6E" w:rsidRDefault="00AA5D79" w:rsidP="008E58B6">
            <w:pPr>
              <w:spacing w:before="40" w:after="40"/>
              <w:rPr>
                <w:snapToGrid w:val="0"/>
                <w:lang w:val="fr-FR"/>
              </w:rPr>
            </w:pPr>
            <w:r w:rsidRPr="002C6F6E">
              <w:rPr>
                <w:snapToGrid w:val="0"/>
                <w:lang w:val="fr-FR"/>
              </w:rPr>
              <w:t>De donner, dans les explications, des indications quant à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utilisation non autorisée et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absence de possibilité raisonnable d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exercer son droit</w:t>
            </w:r>
            <w:r w:rsidR="005B3AFA">
              <w:rPr>
                <w:snapToGrid w:val="0"/>
                <w:lang w:val="fr-FR"/>
              </w:rPr>
              <w:t>.</w:t>
            </w:r>
          </w:p>
        </w:tc>
      </w:tr>
      <w:tr w:rsidR="00AA5D79" w:rsidRPr="002C6F6E" w:rsidTr="00EC2038">
        <w:trPr>
          <w:cantSplit/>
        </w:trPr>
        <w:tc>
          <w:tcPr>
            <w:tcW w:w="1391" w:type="dxa"/>
          </w:tcPr>
          <w:p w:rsidR="00AA5D79" w:rsidRPr="002C6F6E" w:rsidRDefault="00AA5D79" w:rsidP="008E58B6">
            <w:pPr>
              <w:spacing w:before="40" w:after="40"/>
              <w:rPr>
                <w:lang w:val="fr-FR"/>
              </w:rPr>
            </w:pPr>
          </w:p>
        </w:tc>
        <w:tc>
          <w:tcPr>
            <w:tcW w:w="7789" w:type="dxa"/>
          </w:tcPr>
          <w:p w:rsidR="00AA5D79" w:rsidRPr="002C6F6E" w:rsidRDefault="00AA5D79" w:rsidP="005B3AFA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De préciser, dans chacun des exemples, si les explications données dans l</w:t>
            </w:r>
            <w:r w:rsidR="00A94E7B" w:rsidRPr="002C6F6E">
              <w:rPr>
                <w:lang w:val="fr-FR"/>
              </w:rPr>
              <w:t>’</w:t>
            </w:r>
            <w:r w:rsidRPr="002C6F6E">
              <w:rPr>
                <w:lang w:val="fr-FR"/>
              </w:rPr>
              <w:t>option</w:t>
            </w:r>
            <w:r w:rsidR="005B3AFA">
              <w:rPr>
                <w:lang w:val="fr-FR"/>
              </w:rPr>
              <w:t> </w:t>
            </w:r>
            <w:r w:rsidRPr="002C6F6E">
              <w:rPr>
                <w:lang w:val="fr-FR"/>
              </w:rPr>
              <w:t>a) et l</w:t>
            </w:r>
            <w:r w:rsidR="00A94E7B" w:rsidRPr="002C6F6E">
              <w:rPr>
                <w:lang w:val="fr-FR"/>
              </w:rPr>
              <w:t>’</w:t>
            </w:r>
            <w:r w:rsidRPr="002C6F6E">
              <w:rPr>
                <w:lang w:val="fr-FR"/>
              </w:rPr>
              <w:t>option</w:t>
            </w:r>
            <w:r w:rsidR="005B3AFA">
              <w:rPr>
                <w:lang w:val="fr-FR"/>
              </w:rPr>
              <w:t> </w:t>
            </w:r>
            <w:r w:rsidRPr="002C6F6E">
              <w:rPr>
                <w:lang w:val="fr-FR"/>
              </w:rPr>
              <w:t>b) s</w:t>
            </w:r>
            <w:r w:rsidR="00A94E7B" w:rsidRPr="002C6F6E">
              <w:rPr>
                <w:lang w:val="fr-FR"/>
              </w:rPr>
              <w:t>’</w:t>
            </w:r>
            <w:r w:rsidRPr="002C6F6E">
              <w:rPr>
                <w:lang w:val="fr-FR"/>
              </w:rPr>
              <w:t>excluent ou ne s</w:t>
            </w:r>
            <w:r w:rsidR="00A94E7B" w:rsidRPr="002C6F6E">
              <w:rPr>
                <w:lang w:val="fr-FR"/>
              </w:rPr>
              <w:t>’</w:t>
            </w:r>
            <w:r w:rsidRPr="002C6F6E">
              <w:rPr>
                <w:lang w:val="fr-FR"/>
              </w:rPr>
              <w:t>excluent pas mutuellement.</w:t>
            </w:r>
          </w:p>
        </w:tc>
      </w:tr>
      <w:tr w:rsidR="00AA5D79" w:rsidRPr="002C6F6E" w:rsidTr="00EC2038">
        <w:trPr>
          <w:cantSplit/>
        </w:trPr>
        <w:tc>
          <w:tcPr>
            <w:tcW w:w="1391" w:type="dxa"/>
          </w:tcPr>
          <w:p w:rsidR="00AA5D79" w:rsidRPr="002C6F6E" w:rsidRDefault="00AA5D79" w:rsidP="000745A4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Exemple</w:t>
            </w:r>
            <w:r w:rsidR="000745A4">
              <w:rPr>
                <w:lang w:val="fr-FR"/>
              </w:rPr>
              <w:t> </w:t>
            </w:r>
            <w:r w:rsidRPr="002C6F6E">
              <w:rPr>
                <w:lang w:val="fr-FR"/>
              </w:rPr>
              <w:t>2</w:t>
            </w:r>
          </w:p>
        </w:tc>
        <w:tc>
          <w:tcPr>
            <w:tcW w:w="7789" w:type="dxa"/>
          </w:tcPr>
          <w:p w:rsidR="00AA5D79" w:rsidRPr="002C6F6E" w:rsidRDefault="00AA5D79" w:rsidP="008E58B6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De préciser si des graines ou des semences constituent le matériel</w:t>
            </w:r>
          </w:p>
        </w:tc>
      </w:tr>
      <w:tr w:rsidR="00AA5D79" w:rsidRPr="002C6F6E" w:rsidTr="00EC2038">
        <w:trPr>
          <w:cantSplit/>
        </w:trPr>
        <w:tc>
          <w:tcPr>
            <w:tcW w:w="1391" w:type="dxa"/>
          </w:tcPr>
          <w:p w:rsidR="00AA5D79" w:rsidRPr="002C6F6E" w:rsidRDefault="00AA5D79" w:rsidP="000745A4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Exemple</w:t>
            </w:r>
            <w:r w:rsidR="000745A4">
              <w:rPr>
                <w:lang w:val="fr-FR"/>
              </w:rPr>
              <w:t> </w:t>
            </w:r>
            <w:r w:rsidRPr="002C6F6E">
              <w:rPr>
                <w:lang w:val="fr-FR"/>
              </w:rPr>
              <w:t>7</w:t>
            </w:r>
          </w:p>
        </w:tc>
        <w:tc>
          <w:tcPr>
            <w:tcW w:w="7789" w:type="dxa"/>
          </w:tcPr>
          <w:p w:rsidR="00AA5D79" w:rsidRPr="002C6F6E" w:rsidRDefault="00AA5D79" w:rsidP="008E58B6">
            <w:pPr>
              <w:spacing w:before="40" w:after="40"/>
              <w:rPr>
                <w:snapToGrid w:val="0"/>
                <w:lang w:val="fr-FR"/>
              </w:rPr>
            </w:pPr>
            <w:r w:rsidRPr="002C6F6E">
              <w:rPr>
                <w:snapToGrid w:val="0"/>
                <w:lang w:val="fr-FR"/>
              </w:rPr>
              <w:t>De formuler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option</w:t>
            </w:r>
            <w:r w:rsidR="005B3AFA">
              <w:rPr>
                <w:snapToGrid w:val="0"/>
                <w:lang w:val="fr-FR"/>
              </w:rPr>
              <w:t> </w:t>
            </w:r>
            <w:r w:rsidRPr="002C6F6E">
              <w:rPr>
                <w:snapToGrid w:val="0"/>
                <w:lang w:val="fr-FR"/>
              </w:rPr>
              <w:t>b) comme suit :</w:t>
            </w:r>
          </w:p>
          <w:p w:rsidR="00AA5D79" w:rsidRPr="002C6F6E" w:rsidRDefault="00AA5D79" w:rsidP="000745A4">
            <w:pPr>
              <w:spacing w:before="40" w:after="40"/>
              <w:rPr>
                <w:snapToGrid w:val="0"/>
                <w:lang w:val="fr-FR"/>
              </w:rPr>
            </w:pPr>
            <w:r w:rsidRPr="002C6F6E">
              <w:rPr>
                <w:snapToGrid w:val="0"/>
                <w:lang w:val="fr-FR"/>
              </w:rPr>
              <w:t>“L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obtenteur de la variété</w:t>
            </w:r>
            <w:r w:rsidR="007A78E0">
              <w:rPr>
                <w:snapToGrid w:val="0"/>
                <w:lang w:val="fr-FR"/>
              </w:rPr>
              <w:t> </w:t>
            </w:r>
            <w:r w:rsidRPr="002C6F6E">
              <w:rPr>
                <w:snapToGrid w:val="0"/>
                <w:lang w:val="fr-FR"/>
              </w:rPr>
              <w:t>2 peut exercer son droit sur le produit de la récolte importé si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exportation (l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utilisation) du matériel de reproduction ou de multiplication n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a pas été autorisée et si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obtenteur n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 xml:space="preserve">a pas raisonnablement pu exercer dans le pays </w:t>
            </w:r>
            <w:r w:rsidRPr="002C6F6E">
              <w:rPr>
                <w:strike/>
                <w:snapToGrid w:val="0"/>
                <w:highlight w:val="lightGray"/>
                <w:lang w:val="fr-FR"/>
              </w:rPr>
              <w:t>A</w:t>
            </w:r>
            <w:r w:rsidR="007A78E0" w:rsidRPr="007A78E0">
              <w:rPr>
                <w:snapToGrid w:val="0"/>
                <w:highlight w:val="lightGray"/>
                <w:lang w:val="fr-FR"/>
              </w:rPr>
              <w:t xml:space="preserve"> </w:t>
            </w:r>
            <w:r w:rsidRPr="002C6F6E">
              <w:rPr>
                <w:snapToGrid w:val="0"/>
                <w:highlight w:val="lightGray"/>
                <w:u w:val="single"/>
                <w:lang w:val="fr-FR"/>
              </w:rPr>
              <w:t>E</w:t>
            </w:r>
            <w:r w:rsidRPr="002C6F6E">
              <w:rPr>
                <w:snapToGrid w:val="0"/>
                <w:lang w:val="fr-FR"/>
              </w:rPr>
              <w:t xml:space="preserve"> son droit en relation avec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exportation dudit matériel”</w:t>
            </w:r>
            <w:r w:rsidR="000745A4">
              <w:rPr>
                <w:snapToGrid w:val="0"/>
                <w:lang w:val="fr-FR"/>
              </w:rPr>
              <w:t>.</w:t>
            </w:r>
          </w:p>
        </w:tc>
      </w:tr>
      <w:tr w:rsidR="00AA5D79" w:rsidRPr="002C6F6E" w:rsidTr="00EC2038">
        <w:trPr>
          <w:cantSplit/>
        </w:trPr>
        <w:tc>
          <w:tcPr>
            <w:tcW w:w="1391" w:type="dxa"/>
          </w:tcPr>
          <w:p w:rsidR="00AA5D79" w:rsidRPr="002C6F6E" w:rsidRDefault="00AA5D79" w:rsidP="000745A4">
            <w:pPr>
              <w:spacing w:before="40" w:after="40"/>
              <w:rPr>
                <w:lang w:val="fr-FR"/>
              </w:rPr>
            </w:pPr>
            <w:r w:rsidRPr="002C6F6E">
              <w:rPr>
                <w:lang w:val="fr-FR"/>
              </w:rPr>
              <w:t>Exemple</w:t>
            </w:r>
            <w:r w:rsidR="000745A4">
              <w:rPr>
                <w:lang w:val="fr-FR"/>
              </w:rPr>
              <w:t> </w:t>
            </w:r>
            <w:r w:rsidRPr="002C6F6E">
              <w:rPr>
                <w:lang w:val="fr-FR"/>
              </w:rPr>
              <w:t>9</w:t>
            </w:r>
          </w:p>
        </w:tc>
        <w:tc>
          <w:tcPr>
            <w:tcW w:w="7789" w:type="dxa"/>
          </w:tcPr>
          <w:p w:rsidR="00AA5D79" w:rsidRPr="002C6F6E" w:rsidRDefault="00AA5D79" w:rsidP="008E58B6">
            <w:pPr>
              <w:spacing w:before="40" w:after="40"/>
              <w:rPr>
                <w:snapToGrid w:val="0"/>
                <w:lang w:val="fr-FR"/>
              </w:rPr>
            </w:pPr>
            <w:r w:rsidRPr="002C6F6E">
              <w:rPr>
                <w:snapToGrid w:val="0"/>
                <w:lang w:val="fr-FR"/>
              </w:rPr>
              <w:t>De formuler 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option b) comme suit :</w:t>
            </w:r>
          </w:p>
          <w:p w:rsidR="00AA5D79" w:rsidRPr="002C6F6E" w:rsidRDefault="00AA5D79" w:rsidP="008E58B6">
            <w:pPr>
              <w:spacing w:before="40" w:after="40"/>
              <w:rPr>
                <w:snapToGrid w:val="0"/>
                <w:lang w:val="fr-FR"/>
              </w:rPr>
            </w:pPr>
            <w:r w:rsidRPr="002C6F6E">
              <w:rPr>
                <w:snapToGrid w:val="0"/>
                <w:lang w:val="fr-FR"/>
              </w:rPr>
              <w:t>“L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 xml:space="preserve">obtenteur de la variété </w:t>
            </w:r>
            <w:r w:rsidRPr="002C6F6E">
              <w:rPr>
                <w:strike/>
                <w:snapToGrid w:val="0"/>
                <w:highlight w:val="lightGray"/>
                <w:lang w:val="fr-FR"/>
              </w:rPr>
              <w:t>3</w:t>
            </w:r>
            <w:r w:rsidR="007A78E0" w:rsidRPr="007A78E0">
              <w:rPr>
                <w:snapToGrid w:val="0"/>
                <w:highlight w:val="lightGray"/>
                <w:lang w:val="fr-FR"/>
              </w:rPr>
              <w:t xml:space="preserve"> </w:t>
            </w:r>
            <w:r w:rsidRPr="002C6F6E">
              <w:rPr>
                <w:snapToGrid w:val="0"/>
                <w:highlight w:val="lightGray"/>
                <w:u w:val="single"/>
                <w:lang w:val="fr-FR"/>
              </w:rPr>
              <w:t>1</w:t>
            </w:r>
            <w:r w:rsidRPr="002C6F6E">
              <w:rPr>
                <w:snapToGrid w:val="0"/>
                <w:lang w:val="fr-FR"/>
              </w:rPr>
              <w:t xml:space="preserve"> ne peut pas exercer son droit sur le produit de la récolte importé, étant donné qu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il n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y a pas eu d</w:t>
            </w:r>
            <w:r w:rsidR="00A94E7B" w:rsidRPr="002C6F6E">
              <w:rPr>
                <w:snapToGrid w:val="0"/>
                <w:lang w:val="fr-FR"/>
              </w:rPr>
              <w:t>’</w:t>
            </w:r>
            <w:r w:rsidRPr="002C6F6E">
              <w:rPr>
                <w:snapToGrid w:val="0"/>
                <w:lang w:val="fr-FR"/>
              </w:rPr>
              <w:t>utilisation non autorisée du matériel de reproduction ou de multiplication”.</w:t>
            </w:r>
          </w:p>
        </w:tc>
      </w:tr>
    </w:tbl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B57B5C">
        <w:rPr>
          <w:lang w:val="fr-FR"/>
        </w:rPr>
        <w:noBreakHyphen/>
      </w:r>
      <w:r w:rsidRPr="002C6F6E">
        <w:rPr>
          <w:lang w:val="fr-FR"/>
        </w:rPr>
        <w:t xml:space="preserve">AG a indiqué que la délégation de la Fédération de Russie ferait des observations additionnelles au “moment opportun”.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La Fédération de Russie a fait des observations additionnelles le 1</w:t>
      </w:r>
      <w:r w:rsidR="00A94E7B" w:rsidRPr="002C6F6E">
        <w:rPr>
          <w:lang w:val="fr-FR"/>
        </w:rPr>
        <w:t>7 décembre 20</w:t>
      </w:r>
      <w:r w:rsidRPr="002C6F6E">
        <w:rPr>
          <w:lang w:val="fr-FR"/>
        </w:rPr>
        <w:t>13, observations dont il sera tenu compte dans la version suivante du document.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</w:r>
      <w:r w:rsidRPr="002C6F6E">
        <w:rPr>
          <w:rFonts w:eastAsia="Batang"/>
          <w:snapToGrid w:val="0"/>
          <w:lang w:val="fr-FR" w:eastAsia="ko-KR"/>
        </w:rPr>
        <w:t>À sa huitième</w:t>
      </w:r>
      <w:r w:rsidR="00CA6FB9" w:rsidRPr="002C6F6E">
        <w:rPr>
          <w:rFonts w:eastAsia="Batang"/>
          <w:snapToGrid w:val="0"/>
          <w:lang w:val="fr-FR" w:eastAsia="ko-KR"/>
        </w:rPr>
        <w:t> </w:t>
      </w:r>
      <w:r w:rsidRPr="002C6F6E">
        <w:rPr>
          <w:rFonts w:eastAsia="Batang"/>
          <w:snapToGrid w:val="0"/>
          <w:lang w:val="fr-FR" w:eastAsia="ko-KR"/>
        </w:rPr>
        <w:t>session,</w:t>
      </w:r>
      <w:r w:rsidR="00A94E7B" w:rsidRPr="002C6F6E">
        <w:rPr>
          <w:rFonts w:eastAsia="Batang"/>
          <w:snapToGrid w:val="0"/>
          <w:lang w:val="fr-FR" w:eastAsia="ko-KR"/>
        </w:rPr>
        <w:t xml:space="preserve"> le </w:t>
      </w:r>
      <w:r w:rsidR="00A94E7B"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demandé au Bureau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établir une nouvelle version du </w:t>
      </w:r>
      <w:r w:rsidR="00A94E7B" w:rsidRPr="002C6F6E">
        <w:rPr>
          <w:lang w:val="fr-FR"/>
        </w:rPr>
        <w:t>document CA</w:t>
      </w:r>
      <w:r w:rsidRPr="002C6F6E">
        <w:rPr>
          <w:lang w:val="fr-FR"/>
        </w:rPr>
        <w:t>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</w:t>
      </w:r>
      <w:r w:rsidR="000745A4">
        <w:rPr>
          <w:lang w:val="fr-FR"/>
        </w:rPr>
        <w:t>13/8/3 (document UPOV/EXN/HRV/2 </w:t>
      </w:r>
      <w:r w:rsidRPr="002C6F6E">
        <w:rPr>
          <w:lang w:val="fr-FR"/>
        </w:rPr>
        <w:t>Draft</w:t>
      </w:r>
      <w:r w:rsidR="000745A4">
        <w:rPr>
          <w:lang w:val="fr-FR"/>
        </w:rPr>
        <w:t> </w:t>
      </w:r>
      <w:r w:rsidRPr="002C6F6E">
        <w:rPr>
          <w:lang w:val="fr-FR"/>
        </w:rPr>
        <w:t>1) sur la base de ce qui précède.</w:t>
      </w:r>
    </w:p>
    <w:p w:rsidR="00AA5D79" w:rsidRPr="002C6F6E" w:rsidRDefault="00AA5D79" w:rsidP="00773B79">
      <w:pPr>
        <w:rPr>
          <w:lang w:val="fr-FR"/>
        </w:rPr>
      </w:pPr>
    </w:p>
    <w:p w:rsidR="00AA5D79" w:rsidRPr="002C6F6E" w:rsidRDefault="00AA5D79" w:rsidP="00135DAE">
      <w:pPr>
        <w:pStyle w:val="DecisionParagraphs"/>
        <w:spacing w:after="480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 xml:space="preserve">Le CAJ est invité à prendre </w:t>
      </w:r>
      <w:r w:rsidR="00EC2038">
        <w:rPr>
          <w:lang w:val="fr-FR"/>
        </w:rPr>
        <w:t xml:space="preserve">note </w:t>
      </w:r>
      <w:r w:rsidRPr="002C6F6E">
        <w:rPr>
          <w:lang w:val="fr-FR"/>
        </w:rPr>
        <w:t>des projets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concernant la révision des “Notes explicatives sur les actes à 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égard du produit de la récolte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</w:t>
      </w:r>
      <w:r w:rsidRPr="00EC2038">
        <w:rPr>
          <w:lang w:val="fr-FR"/>
        </w:rPr>
        <w:t>com</w:t>
      </w:r>
      <w:r w:rsidR="00EC2038">
        <w:rPr>
          <w:lang w:val="fr-FR"/>
        </w:rPr>
        <w:t xml:space="preserve">me indiqué dans les paragraphes 45 à </w:t>
      </w:r>
      <w:r w:rsidRPr="00EC2038">
        <w:rPr>
          <w:lang w:val="fr-FR"/>
        </w:rPr>
        <w:t>48,</w:t>
      </w:r>
      <w:r w:rsidRPr="002C6F6E">
        <w:rPr>
          <w:lang w:val="fr-FR"/>
        </w:rPr>
        <w:t xml:space="preserve">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dessus.</w:t>
      </w:r>
    </w:p>
    <w:p w:rsidR="00AA5D79" w:rsidRPr="002C6F6E" w:rsidRDefault="00AA5D79" w:rsidP="0002707E">
      <w:pPr>
        <w:pStyle w:val="Heading2"/>
        <w:rPr>
          <w:lang w:val="fr-FR"/>
        </w:rPr>
      </w:pPr>
      <w:bookmarkStart w:id="21" w:name="_Toc381194419"/>
      <w:r w:rsidRPr="002C6F6E">
        <w:rPr>
          <w:lang w:val="fr-FR"/>
        </w:rPr>
        <w:lastRenderedPageBreak/>
        <w:t>Questions concernant la déchéance d</w:t>
      </w:r>
      <w:r w:rsidR="00240AD4">
        <w:rPr>
          <w:lang w:val="fr-FR"/>
        </w:rPr>
        <w:t>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</w:t>
      </w:r>
      <w:bookmarkEnd w:id="21"/>
    </w:p>
    <w:p w:rsidR="00AA5D79" w:rsidRPr="002C6F6E" w:rsidRDefault="00AA5D79" w:rsidP="0002707E">
      <w:pPr>
        <w:keepNext/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B57B5C">
        <w:rPr>
          <w:lang w:val="fr-FR"/>
        </w:rPr>
        <w:noBreakHyphen/>
      </w:r>
      <w:r w:rsidRPr="002C6F6E">
        <w:rPr>
          <w:lang w:val="fr-FR"/>
        </w:rPr>
        <w:t>AG a examiné le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AG/13/8/4 “</w:t>
      </w:r>
      <w:r w:rsidRPr="00240AD4">
        <w:rPr>
          <w:i/>
          <w:lang w:val="fr-FR"/>
        </w:rPr>
        <w:t>Matters concerning cancellation of the breeder</w:t>
      </w:r>
      <w:r w:rsidR="00A94E7B" w:rsidRPr="00240AD4">
        <w:rPr>
          <w:i/>
          <w:lang w:val="fr-FR"/>
        </w:rPr>
        <w:t>’</w:t>
      </w:r>
      <w:r w:rsidRPr="00240AD4">
        <w:rPr>
          <w:i/>
          <w:lang w:val="fr-FR"/>
        </w:rPr>
        <w:t>s right</w:t>
      </w:r>
      <w:r w:rsidRPr="002C6F6E">
        <w:rPr>
          <w:lang w:val="fr-FR"/>
        </w:rPr>
        <w:t>”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59 à</w:t>
      </w:r>
      <w:r w:rsidR="00875A65" w:rsidRPr="002C6F6E">
        <w:rPr>
          <w:lang w:val="fr-FR"/>
        </w:rPr>
        <w:t> </w:t>
      </w:r>
      <w:r w:rsidRPr="002C6F6E">
        <w:rPr>
          <w:lang w:val="fr-FR"/>
        </w:rPr>
        <w:t>63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approuvé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tab/>
        <w:t>a)</w:t>
      </w:r>
      <w:r w:rsidRPr="002C6F6E">
        <w:rPr>
          <w:lang w:val="fr-FR"/>
        </w:rPr>
        <w:tab/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sur les motifs possibles de non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déchéance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obtenteur,</w:t>
      </w:r>
      <w:r w:rsidR="00713521">
        <w:rPr>
          <w:lang w:val="fr-FR"/>
        </w:rPr>
        <w:t xml:space="preserve"> </w:t>
      </w:r>
      <w:r w:rsidRPr="002C6F6E">
        <w:rPr>
          <w:lang w:val="fr-FR"/>
        </w:rPr>
        <w:t>sur la base du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9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AG/13/8/4;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lang w:val="fr-FR"/>
        </w:rPr>
      </w:pPr>
      <w:r w:rsidRPr="002C6F6E">
        <w:rPr>
          <w:lang w:val="fr-FR"/>
        </w:rPr>
        <w:tab/>
        <w:t>b)</w:t>
      </w:r>
      <w:r w:rsidRPr="002C6F6E">
        <w:rPr>
          <w:lang w:val="fr-FR"/>
        </w:rPr>
        <w:tab/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visant à expliquer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appartenait au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concerné de décréter quelle autorité a compétence pour statuer sur la déchéance;</w:t>
      </w:r>
    </w:p>
    <w:p w:rsidR="00AA5D79" w:rsidRPr="002C6F6E" w:rsidRDefault="00AA5D79" w:rsidP="0002707E">
      <w:pPr>
        <w:rPr>
          <w:lang w:val="fr-FR"/>
        </w:rPr>
      </w:pPr>
    </w:p>
    <w:p w:rsidR="00AA5D79" w:rsidRPr="002C6F6E" w:rsidRDefault="00AA5D79" w:rsidP="0002707E">
      <w:pPr>
        <w:rPr>
          <w:spacing w:val="-2"/>
          <w:lang w:val="fr-FR"/>
        </w:rPr>
      </w:pPr>
      <w:r w:rsidRPr="002C6F6E">
        <w:rPr>
          <w:spacing w:val="-2"/>
          <w:lang w:val="fr-FR"/>
        </w:rPr>
        <w:tab/>
        <w:t>c)</w:t>
      </w:r>
      <w:r w:rsidRPr="002C6F6E">
        <w:rPr>
          <w:spacing w:val="-2"/>
          <w:lang w:val="fr-FR"/>
        </w:rPr>
        <w:tab/>
      </w:r>
      <w:r w:rsidRPr="002C6F6E">
        <w:rPr>
          <w:lang w:val="fr-FR"/>
        </w:rPr>
        <w:t>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visant à expliquer que la procédure de déchéance pourrait découler de la demande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tiers ou procéder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autorité compétente, agissant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office, du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Union concerné; </w:t>
      </w:r>
      <w:r w:rsidR="00CA6FB9" w:rsidRPr="002C6F6E">
        <w:rPr>
          <w:lang w:val="fr-FR"/>
        </w:rPr>
        <w:t xml:space="preserve"> </w:t>
      </w:r>
      <w:r w:rsidRPr="002C6F6E">
        <w:rPr>
          <w:spacing w:val="-2"/>
          <w:lang w:val="fr-FR"/>
        </w:rPr>
        <w:t>et</w:t>
      </w:r>
    </w:p>
    <w:p w:rsidR="00AA5D79" w:rsidRPr="002C6F6E" w:rsidRDefault="00AA5D79" w:rsidP="0002707E">
      <w:pPr>
        <w:rPr>
          <w:lang w:val="fr-FR"/>
        </w:rPr>
      </w:pPr>
    </w:p>
    <w:p w:rsidR="00A94E7B" w:rsidRPr="002C6F6E" w:rsidRDefault="00AA5D79" w:rsidP="0002707E">
      <w:pPr>
        <w:rPr>
          <w:lang w:val="fr-FR"/>
        </w:rPr>
      </w:pPr>
      <w:r w:rsidRPr="002C6F6E">
        <w:rPr>
          <w:lang w:val="fr-FR"/>
        </w:rPr>
        <w:tab/>
        <w:t>d)</w:t>
      </w:r>
      <w:r w:rsidRPr="002C6F6E">
        <w:rPr>
          <w:lang w:val="fr-FR"/>
        </w:rPr>
        <w:tab/>
        <w:t>que soit expliqué que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abandon des droits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ou la renonciation à ceux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ci différait de la déchéance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obtenteur.</w:t>
      </w:r>
    </w:p>
    <w:p w:rsidR="00AA5D79" w:rsidRPr="002C6F6E" w:rsidRDefault="00AA5D79" w:rsidP="0002707E">
      <w:pPr>
        <w:rPr>
          <w:rFonts w:eastAsia="SimSun"/>
          <w:lang w:val="fr-FR"/>
        </w:rPr>
      </w:pPr>
    </w:p>
    <w:p w:rsidR="00AA5D79" w:rsidRPr="002C6F6E" w:rsidRDefault="00AA5D79" w:rsidP="00503EFF">
      <w:pPr>
        <w:pStyle w:val="DecisionParagraphs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 des projets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concernant la révision éventuelle des “Notes explicatives sur la déchéance </w:t>
      </w:r>
      <w:r w:rsidR="00240AD4">
        <w:rPr>
          <w:lang w:val="fr-FR"/>
        </w:rPr>
        <w:t>de l’</w:t>
      </w:r>
      <w:r w:rsidRPr="002C6F6E">
        <w:rPr>
          <w:lang w:val="fr-FR"/>
        </w:rPr>
        <w:t>obtenteur selon la 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comme indiqué dans le </w:t>
      </w:r>
      <w:r w:rsidRPr="00EC2038">
        <w:rPr>
          <w:lang w:val="fr-FR"/>
        </w:rPr>
        <w:t>paragraphe 51 ci</w:t>
      </w:r>
      <w:r w:rsidR="0021798E" w:rsidRPr="00EC2038">
        <w:rPr>
          <w:lang w:val="fr-FR"/>
        </w:rPr>
        <w:noBreakHyphen/>
      </w:r>
      <w:r w:rsidRPr="00EC2038">
        <w:rPr>
          <w:lang w:val="fr-FR"/>
        </w:rPr>
        <w:t>dessus.</w:t>
      </w:r>
    </w:p>
    <w:p w:rsidR="00AA5D79" w:rsidRPr="002C6F6E" w:rsidRDefault="00AA5D79" w:rsidP="0002707E">
      <w:pPr>
        <w:rPr>
          <w:rFonts w:eastAsia="SimSun"/>
          <w:lang w:val="fr-FR"/>
        </w:rPr>
      </w:pPr>
    </w:p>
    <w:p w:rsidR="00AA5D79" w:rsidRPr="002C6F6E" w:rsidRDefault="00AA5D79" w:rsidP="0002707E">
      <w:pPr>
        <w:rPr>
          <w:rFonts w:eastAsia="SimSun"/>
          <w:lang w:val="fr-FR"/>
        </w:rPr>
      </w:pPr>
    </w:p>
    <w:p w:rsidR="00AA5D79" w:rsidRPr="002C6F6E" w:rsidRDefault="00AA5D79" w:rsidP="0002707E">
      <w:pPr>
        <w:pStyle w:val="Heading2"/>
        <w:rPr>
          <w:lang w:val="fr-FR"/>
        </w:rPr>
      </w:pPr>
      <w:bookmarkStart w:id="22" w:name="_Toc381194420"/>
      <w:r w:rsidRPr="002C6F6E">
        <w:rPr>
          <w:lang w:val="fr-FR"/>
        </w:rPr>
        <w:t>Questions concernant la nullité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</w:t>
      </w:r>
      <w:bookmarkEnd w:id="22"/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B57B5C">
        <w:rPr>
          <w:lang w:val="fr-FR"/>
        </w:rPr>
        <w:noBreakHyphen/>
      </w:r>
      <w:r w:rsidRPr="002C6F6E">
        <w:rPr>
          <w:lang w:val="fr-FR"/>
        </w:rPr>
        <w:t>AG a examiné le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AG/13/8/5 “</w:t>
      </w:r>
      <w:r w:rsidRPr="00EC2038">
        <w:rPr>
          <w:i/>
          <w:lang w:val="fr-FR"/>
        </w:rPr>
        <w:t>Matters concerning nullity of the breeder</w:t>
      </w:r>
      <w:r w:rsidR="00A94E7B" w:rsidRPr="00EC2038">
        <w:rPr>
          <w:i/>
          <w:lang w:val="fr-FR"/>
        </w:rPr>
        <w:t>’</w:t>
      </w:r>
      <w:r w:rsidRPr="00EC2038">
        <w:rPr>
          <w:i/>
          <w:lang w:val="fr-FR"/>
        </w:rPr>
        <w:t>s right</w:t>
      </w:r>
      <w:r w:rsidRPr="002C6F6E">
        <w:rPr>
          <w:lang w:val="fr-FR"/>
        </w:rPr>
        <w:t>”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65 à</w:t>
      </w:r>
      <w:r w:rsidR="00875A65" w:rsidRPr="002C6F6E">
        <w:rPr>
          <w:lang w:val="fr-FR"/>
        </w:rPr>
        <w:t> </w:t>
      </w:r>
      <w:r w:rsidRPr="002C6F6E">
        <w:rPr>
          <w:lang w:val="fr-FR"/>
        </w:rPr>
        <w:t>68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approuvé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pour expliquer :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tab/>
        <w:t>a)</w:t>
      </w:r>
      <w:r w:rsidRPr="002C6F6E">
        <w:rPr>
          <w:lang w:val="fr-FR"/>
        </w:rPr>
        <w:tab/>
        <w:t>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appartenait au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concerné de décréter quelle autorité a compétence pour statuer sur la nullité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obtenteur;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tab/>
        <w:t>b)</w:t>
      </w:r>
      <w:r w:rsidRPr="002C6F6E">
        <w:rPr>
          <w:lang w:val="fr-FR"/>
        </w:rPr>
        <w:tab/>
        <w:t>que la procédure de nullité pourrait découler de la demande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tiers ou procéder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autorité compétente, agissant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office, du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Union concerné;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et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AD6F47">
      <w:pPr>
        <w:rPr>
          <w:lang w:val="fr-FR"/>
        </w:rPr>
      </w:pPr>
      <w:r w:rsidRPr="002C6F6E">
        <w:rPr>
          <w:lang w:val="fr-FR"/>
        </w:rPr>
        <w:tab/>
        <w:t>c)</w:t>
      </w:r>
      <w:r w:rsidRPr="002C6F6E">
        <w:rPr>
          <w:lang w:val="fr-FR"/>
        </w:rPr>
        <w:tab/>
        <w:t>les mesures qui pourraient résulter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une décision sur une requête en nullité, comme énoncé au paragraphe</w:t>
      </w:r>
      <w:r w:rsidR="00B57B5C">
        <w:rPr>
          <w:lang w:val="fr-FR"/>
        </w:rPr>
        <w:t> </w:t>
      </w:r>
      <w:r w:rsidRPr="002C6F6E">
        <w:rPr>
          <w:lang w:val="fr-FR"/>
        </w:rPr>
        <w:t>15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AG/13/8/5.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503EFF">
      <w:pPr>
        <w:pStyle w:val="DecisionParagraphs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 des projets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concernant la révision éventuelle des “Notes explicatives sur la nullité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selon la 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comme indiqué dans le </w:t>
      </w:r>
      <w:r w:rsidRPr="00EC2038">
        <w:rPr>
          <w:lang w:val="fr-FR"/>
        </w:rPr>
        <w:t>paragraphe 54 ci</w:t>
      </w:r>
      <w:r w:rsidR="0021798E" w:rsidRPr="00EC2038">
        <w:rPr>
          <w:lang w:val="fr-FR"/>
        </w:rPr>
        <w:noBreakHyphen/>
      </w:r>
      <w:r w:rsidRPr="00EC2038">
        <w:rPr>
          <w:lang w:val="fr-FR"/>
        </w:rPr>
        <w:t>dessus.</w:t>
      </w:r>
    </w:p>
    <w:p w:rsidR="00AA5D79" w:rsidRPr="002C6F6E" w:rsidRDefault="00AA5D79" w:rsidP="00D002D0">
      <w:pPr>
        <w:rPr>
          <w:lang w:val="fr-FR"/>
        </w:rPr>
      </w:pPr>
    </w:p>
    <w:p w:rsidR="00AA5D79" w:rsidRPr="002C6F6E" w:rsidRDefault="00AA5D79" w:rsidP="00D002D0">
      <w:pPr>
        <w:rPr>
          <w:lang w:val="fr-FR"/>
        </w:rPr>
      </w:pPr>
    </w:p>
    <w:p w:rsidR="00AA5D79" w:rsidRPr="002C6F6E" w:rsidRDefault="00AA5D79" w:rsidP="0002707E">
      <w:pPr>
        <w:pStyle w:val="Heading2"/>
        <w:rPr>
          <w:lang w:val="fr-FR"/>
        </w:rPr>
      </w:pPr>
      <w:bookmarkStart w:id="23" w:name="_Toc381194421"/>
      <w:r w:rsidRPr="002C6F6E">
        <w:rPr>
          <w:lang w:val="fr-FR"/>
        </w:rPr>
        <w:t>Questions concernant les dénominations variétales</w:t>
      </w:r>
      <w:bookmarkEnd w:id="23"/>
    </w:p>
    <w:p w:rsidR="00AA5D79" w:rsidRPr="002C6F6E" w:rsidRDefault="00AA5D79" w:rsidP="0002707E">
      <w:pPr>
        <w:keepNext/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875A65" w:rsidRPr="002C6F6E">
        <w:rPr>
          <w:lang w:val="fr-FR"/>
        </w:rPr>
        <w:noBreakHyphen/>
      </w:r>
      <w:r w:rsidRPr="002C6F6E">
        <w:rPr>
          <w:lang w:val="fr-FR"/>
        </w:rPr>
        <w:t>AG a examiné le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AG/13/8/6 “</w:t>
      </w:r>
      <w:r w:rsidRPr="00EC2038">
        <w:rPr>
          <w:i/>
          <w:lang w:val="fr-FR"/>
        </w:rPr>
        <w:t>Matters concerning variety denominations</w:t>
      </w:r>
      <w:r w:rsidRPr="002C6F6E">
        <w:rPr>
          <w:lang w:val="fr-FR"/>
        </w:rPr>
        <w:t>”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69 à</w:t>
      </w:r>
      <w:r w:rsidR="00875A65" w:rsidRPr="002C6F6E">
        <w:rPr>
          <w:lang w:val="fr-FR"/>
        </w:rPr>
        <w:t> </w:t>
      </w:r>
      <w:r w:rsidRPr="002C6F6E">
        <w:rPr>
          <w:lang w:val="fr-FR"/>
        </w:rPr>
        <w:t>71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rendu”).</w:t>
      </w:r>
    </w:p>
    <w:p w:rsidR="00AA5D79" w:rsidRPr="002C6F6E" w:rsidRDefault="00AA5D79" w:rsidP="00135DAE">
      <w:pPr>
        <w:rPr>
          <w:lang w:val="fr-FR"/>
        </w:rPr>
      </w:pPr>
    </w:p>
    <w:p w:rsidR="00A94E7B" w:rsidRPr="002C6F6E" w:rsidRDefault="00AA5D79" w:rsidP="00135DA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approuvé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concernant une demande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visant à changer une dénomination variétale enregistrée dans des cas autres que ceux dans lesquels la dénomination variétale a été radiée après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au motif que cette demande devrait être rejetée.  Toutefois,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reconnu que des changements seraient justifiés dans les situations suivantes :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lastRenderedPageBreak/>
        <w:tab/>
        <w:t>a)</w:t>
      </w:r>
      <w:r w:rsidRPr="002C6F6E">
        <w:rPr>
          <w:lang w:val="fr-FR"/>
        </w:rPr>
        <w:tab/>
        <w:t>s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était constaté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existence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droit antérieur concernant la dénomination, qui aurait conduit au refus de cette dénomination (voir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</w:t>
      </w:r>
      <w:r w:rsidR="00B57B5C">
        <w:rPr>
          <w:lang w:val="fr-FR"/>
        </w:rPr>
        <w:t> </w:t>
      </w:r>
      <w:r w:rsidRPr="002C6F6E">
        <w:rPr>
          <w:lang w:val="fr-FR"/>
        </w:rPr>
        <w:t>20.4) et</w:t>
      </w:r>
      <w:r w:rsidR="00B57B5C">
        <w:rPr>
          <w:lang w:val="fr-FR"/>
        </w:rPr>
        <w:t> </w:t>
      </w:r>
      <w:r w:rsidRPr="002C6F6E">
        <w:rPr>
          <w:lang w:val="fr-FR"/>
        </w:rPr>
        <w:t>7)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D92197">
        <w:rPr>
          <w:lang w:val="fr-FR"/>
        </w:rPr>
        <w:t> </w:t>
      </w:r>
      <w:r w:rsidRPr="002C6F6E">
        <w:rPr>
          <w:lang w:val="fr-FR"/>
        </w:rPr>
        <w:t>1991,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</w:t>
      </w:r>
      <w:r w:rsidR="00D92197">
        <w:rPr>
          <w:lang w:val="fr-FR"/>
        </w:rPr>
        <w:t> </w:t>
      </w:r>
      <w:r w:rsidRPr="002C6F6E">
        <w:rPr>
          <w:lang w:val="fr-FR"/>
        </w:rPr>
        <w:t>13.4) et</w:t>
      </w:r>
      <w:r w:rsidR="00AD6F47">
        <w:rPr>
          <w:lang w:val="fr-FR"/>
        </w:rPr>
        <w:t> </w:t>
      </w:r>
      <w:r w:rsidRPr="002C6F6E">
        <w:rPr>
          <w:lang w:val="fr-FR"/>
        </w:rPr>
        <w:t>7)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D92197">
        <w:rPr>
          <w:lang w:val="fr-FR"/>
        </w:rPr>
        <w:t> </w:t>
      </w:r>
      <w:r w:rsidRPr="002C6F6E">
        <w:rPr>
          <w:lang w:val="fr-FR"/>
        </w:rPr>
        <w:t>1978 et la note</w:t>
      </w:r>
      <w:r w:rsidR="00D92197">
        <w:rPr>
          <w:lang w:val="fr-FR"/>
        </w:rPr>
        <w:t> </w:t>
      </w:r>
      <w:r w:rsidRPr="002C6F6E">
        <w:rPr>
          <w:lang w:val="fr-FR"/>
        </w:rPr>
        <w:t>7 du document UPOV/INF/12/4);</w:t>
      </w:r>
    </w:p>
    <w:p w:rsidR="00AA5D79" w:rsidRPr="002C6F6E" w:rsidRDefault="00AA5D79" w:rsidP="0002707E">
      <w:pPr>
        <w:spacing w:line="240" w:lineRule="atLeast"/>
        <w:ind w:firstLine="567"/>
        <w:rPr>
          <w:lang w:val="fr-FR"/>
        </w:rPr>
      </w:pPr>
    </w:p>
    <w:p w:rsidR="00A94E7B" w:rsidRPr="002C6F6E" w:rsidRDefault="00AA5D79" w:rsidP="006332A7">
      <w:pPr>
        <w:spacing w:line="240" w:lineRule="atLeast"/>
        <w:ind w:firstLine="567"/>
        <w:rPr>
          <w:lang w:val="fr-FR"/>
        </w:rPr>
      </w:pPr>
      <w:r w:rsidRPr="002C6F6E">
        <w:rPr>
          <w:lang w:val="fr-FR"/>
        </w:rPr>
        <w:t>b)</w:t>
      </w:r>
      <w:r w:rsidRPr="002C6F6E">
        <w:rPr>
          <w:lang w:val="fr-FR"/>
        </w:rPr>
        <w:tab/>
        <w:t>si la dénomination ne convenait pas parce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elle était contraire aux dispositions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</w:t>
      </w:r>
      <w:r w:rsidR="00D92197">
        <w:rPr>
          <w:lang w:val="fr-FR"/>
        </w:rPr>
        <w:t> </w:t>
      </w:r>
      <w:r w:rsidRPr="002C6F6E">
        <w:rPr>
          <w:lang w:val="fr-FR"/>
        </w:rPr>
        <w:t>20.2)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D92197">
        <w:rPr>
          <w:lang w:val="fr-FR"/>
        </w:rPr>
        <w:t> </w:t>
      </w:r>
      <w:r w:rsidRPr="002C6F6E">
        <w:rPr>
          <w:lang w:val="fr-FR"/>
        </w:rPr>
        <w:t>1991 et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article</w:t>
      </w:r>
      <w:r w:rsidR="00D92197">
        <w:rPr>
          <w:lang w:val="fr-FR"/>
        </w:rPr>
        <w:t> </w:t>
      </w:r>
      <w:r w:rsidRPr="002C6F6E">
        <w:rPr>
          <w:lang w:val="fr-FR"/>
        </w:rPr>
        <w:t>13.2)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</w:t>
      </w:r>
      <w:r w:rsidR="00D92197">
        <w:rPr>
          <w:lang w:val="fr-FR"/>
        </w:rPr>
        <w:t> </w:t>
      </w:r>
      <w:r w:rsidRPr="002C6F6E">
        <w:rPr>
          <w:lang w:val="fr-FR"/>
        </w:rPr>
        <w:t xml:space="preserve">1978;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et</w:t>
      </w:r>
    </w:p>
    <w:p w:rsidR="00AA5D79" w:rsidRPr="002C6F6E" w:rsidRDefault="00AA5D79" w:rsidP="00135DAE">
      <w:pPr>
        <w:rPr>
          <w:lang w:val="fr-FR"/>
        </w:rPr>
      </w:pPr>
    </w:p>
    <w:p w:rsidR="00A94E7B" w:rsidRPr="002C6F6E" w:rsidRDefault="00AA5D79" w:rsidP="00135DAE">
      <w:pPr>
        <w:rPr>
          <w:lang w:val="fr-FR"/>
        </w:rPr>
      </w:pPr>
      <w:r w:rsidRPr="002C6F6E">
        <w:rPr>
          <w:lang w:val="fr-FR"/>
        </w:rPr>
        <w:tab/>
        <w:t>c)</w:t>
      </w:r>
      <w:r w:rsidRPr="002C6F6E">
        <w:rPr>
          <w:lang w:val="fr-FR"/>
        </w:rPr>
        <w:tab/>
        <w:t>si la dénomination était par la suite refusée dans un autre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 et si, à la demande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obtenteur, le service consentait à accepter la dénomination enregistrée dans cet autre membre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Union.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Il a été décidé que les orientations complémentaires devraient être examinées dans le cadre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une révision éventuelle des “Notes explicatives concernant les dénominations variétales en vertu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 (document UPOV/INF/12/4).</w:t>
      </w:r>
    </w:p>
    <w:p w:rsidR="00AA5D79" w:rsidRPr="002C6F6E" w:rsidRDefault="00AA5D79" w:rsidP="00135DAE">
      <w:pPr>
        <w:rPr>
          <w:lang w:val="fr-FR"/>
        </w:rPr>
      </w:pPr>
    </w:p>
    <w:p w:rsidR="00AA5D79" w:rsidRPr="002C6F6E" w:rsidRDefault="00AA5D79" w:rsidP="00135DAE">
      <w:pPr>
        <w:rPr>
          <w:kern w:val="28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autres faits nouveaux relatifs aux dénominations variétales susceptibles de présenter un intérêt dans le contexte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une révision éventuelle des “Notes explicatives concernant les dénominations variétales en vertu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 (document UPOV/INF/12/4) sont examinés dans le document CAJ/69/5 “Dénominations variétales” et le document CAJ/69/9 “Possibilité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outil de recherche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de similarité aux fins de la dénomination variétale</w:t>
      </w:r>
      <w:r w:rsidRPr="002C6F6E">
        <w:rPr>
          <w:kern w:val="28"/>
          <w:lang w:val="fr-FR"/>
        </w:rPr>
        <w:t>”.</w:t>
      </w:r>
    </w:p>
    <w:p w:rsidR="00AA5D79" w:rsidRPr="002C6F6E" w:rsidRDefault="00AA5D79" w:rsidP="00AA3FC9">
      <w:pPr>
        <w:rPr>
          <w:kern w:val="28"/>
          <w:lang w:val="fr-FR"/>
        </w:rPr>
      </w:pPr>
    </w:p>
    <w:p w:rsidR="00AA5D79" w:rsidRPr="002C6F6E" w:rsidRDefault="00AA5D79" w:rsidP="00AA3FC9">
      <w:pPr>
        <w:pStyle w:val="DecisionParagraphs"/>
        <w:keepNext/>
        <w:keepLines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AA3FC9">
      <w:pPr>
        <w:pStyle w:val="DecisionParagraphs"/>
        <w:keepNext/>
        <w:keepLines/>
        <w:rPr>
          <w:lang w:val="fr-FR"/>
        </w:rPr>
      </w:pPr>
    </w:p>
    <w:p w:rsidR="00AA5D79" w:rsidRPr="002C6F6E" w:rsidRDefault="00AA5D79" w:rsidP="00B97F85">
      <w:pPr>
        <w:pStyle w:val="DecisionParagraphs"/>
        <w:keepNext/>
        <w:keepLines/>
        <w:tabs>
          <w:tab w:val="left" w:pos="5954"/>
        </w:tabs>
        <w:rPr>
          <w:lang w:val="fr-FR"/>
        </w:rPr>
      </w:pPr>
      <w:r w:rsidRPr="002C6F6E">
        <w:rPr>
          <w:lang w:val="fr-FR"/>
        </w:rPr>
        <w:tab/>
        <w:t>a)</w:t>
      </w:r>
      <w:r w:rsidRPr="002C6F6E">
        <w:rPr>
          <w:lang w:val="fr-FR"/>
        </w:rPr>
        <w:tab/>
        <w:t>prendre note des projets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concernant la révision éventuelle des “Notes explicatives concernant les dénominations variétales en vertu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comme indiqué </w:t>
      </w:r>
      <w:r w:rsidRPr="00EC2038">
        <w:rPr>
          <w:lang w:val="fr-FR"/>
        </w:rPr>
        <w:t>dans les paragraphes 57 et 58 ci</w:t>
      </w:r>
      <w:r w:rsidR="0021798E" w:rsidRPr="00EC2038">
        <w:rPr>
          <w:lang w:val="fr-FR"/>
        </w:rPr>
        <w:noBreakHyphen/>
      </w:r>
      <w:r w:rsidRPr="00EC2038">
        <w:rPr>
          <w:lang w:val="fr-FR"/>
        </w:rPr>
        <w:t xml:space="preserve">dessus; </w:t>
      </w:r>
      <w:r w:rsidR="00CA6FB9" w:rsidRPr="00EC2038">
        <w:rPr>
          <w:lang w:val="fr-FR"/>
        </w:rPr>
        <w:t xml:space="preserve"> </w:t>
      </w:r>
      <w:r w:rsidRPr="00EC2038">
        <w:rPr>
          <w:lang w:val="fr-FR"/>
        </w:rPr>
        <w:t>et</w:t>
      </w:r>
    </w:p>
    <w:p w:rsidR="00AA5D79" w:rsidRPr="002C6F6E" w:rsidRDefault="00AA5D79" w:rsidP="00B97F85">
      <w:pPr>
        <w:pStyle w:val="DecisionParagraphs"/>
        <w:keepNext/>
        <w:keepLines/>
        <w:tabs>
          <w:tab w:val="left" w:pos="5954"/>
        </w:tabs>
        <w:rPr>
          <w:lang w:val="fr-FR"/>
        </w:rPr>
      </w:pPr>
    </w:p>
    <w:p w:rsidR="00AA5D79" w:rsidRPr="002C6F6E" w:rsidRDefault="00AA5D79" w:rsidP="00645A55">
      <w:pPr>
        <w:pStyle w:val="DecisionParagraphs"/>
        <w:tabs>
          <w:tab w:val="left" w:pos="5954"/>
        </w:tabs>
        <w:rPr>
          <w:lang w:val="fr-FR"/>
        </w:rPr>
      </w:pPr>
      <w:r w:rsidRPr="002C6F6E">
        <w:rPr>
          <w:lang w:val="fr-FR"/>
        </w:rPr>
        <w:tab/>
        <w:t>b)</w:t>
      </w:r>
      <w:r w:rsidRPr="002C6F6E">
        <w:rPr>
          <w:lang w:val="fr-FR"/>
        </w:rPr>
        <w:tab/>
        <w:t>prendre note que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autres faits nouveaux relatifs aux dénominations variétales susceptibles de présenter un intérêt dans le contexte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une révision éventuelle des “Notes explicatives concernant les dénominations variétales en vertu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>” (document UPOV/INF/12/4) sont examinés dans le document CAJ/69/5 “Dénominations variétales” et le document CAJ/69/9 “Possibilité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outil de recherche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de similarité aux fins de la dénomination variétale”.</w:t>
      </w:r>
    </w:p>
    <w:p w:rsidR="00AA5D79" w:rsidRPr="002C6F6E" w:rsidRDefault="00AA5D79" w:rsidP="004453BD">
      <w:pPr>
        <w:rPr>
          <w:highlight w:val="yellow"/>
          <w:lang w:val="fr-FR"/>
        </w:rPr>
      </w:pPr>
    </w:p>
    <w:p w:rsidR="00AA5D79" w:rsidRPr="002C6F6E" w:rsidRDefault="00AA5D79" w:rsidP="004453BD">
      <w:pPr>
        <w:rPr>
          <w:highlight w:val="yellow"/>
          <w:lang w:val="fr-FR"/>
        </w:rPr>
      </w:pPr>
    </w:p>
    <w:p w:rsidR="00AA5D79" w:rsidRPr="002C6F6E" w:rsidRDefault="00AA5D79" w:rsidP="0084278E">
      <w:pPr>
        <w:pStyle w:val="Heading2"/>
        <w:rPr>
          <w:lang w:val="fr-FR"/>
        </w:rPr>
      </w:pPr>
      <w:bookmarkStart w:id="24" w:name="_Toc381194422"/>
      <w:r w:rsidRPr="002C6F6E">
        <w:rPr>
          <w:lang w:val="fr-FR"/>
        </w:rPr>
        <w:t>Questions se posant après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concernant la prot</w:t>
      </w:r>
      <w:r w:rsidR="00CF3D73">
        <w:rPr>
          <w:lang w:val="fr-FR"/>
        </w:rPr>
        <w:t>ection provisoire, le dépôt des </w:t>
      </w:r>
      <w:r w:rsidRPr="002C6F6E">
        <w:rPr>
          <w:lang w:val="fr-FR"/>
        </w:rPr>
        <w:t>demandes et la défense des droits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</w:t>
      </w:r>
      <w:bookmarkEnd w:id="24"/>
    </w:p>
    <w:p w:rsidR="00AA5D79" w:rsidRPr="002C6F6E" w:rsidRDefault="00AA5D79" w:rsidP="00B970F0">
      <w:pPr>
        <w:keepNext/>
        <w:rPr>
          <w:lang w:val="fr-FR"/>
        </w:rPr>
      </w:pPr>
    </w:p>
    <w:p w:rsidR="00AA5D79" w:rsidRPr="002C6F6E" w:rsidRDefault="00AA5D79" w:rsidP="00B970F0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</w:t>
      </w:r>
      <w:r w:rsidR="00A94E7B" w:rsidRPr="002C6F6E">
        <w:rPr>
          <w:lang w:val="fr-FR"/>
        </w:rPr>
        <w:t xml:space="preserve"> le CAJ</w:t>
      </w:r>
      <w:r w:rsidR="00D92197">
        <w:rPr>
          <w:lang w:val="fr-FR"/>
        </w:rPr>
        <w:noBreakHyphen/>
      </w:r>
      <w:r w:rsidRPr="002C6F6E">
        <w:rPr>
          <w:lang w:val="fr-FR"/>
        </w:rPr>
        <w:t>AG a examiné le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AG/13/8/8 “</w:t>
      </w:r>
      <w:r w:rsidR="00EC2038" w:rsidRPr="00EC2038">
        <w:rPr>
          <w:i/>
        </w:rPr>
        <w:t>Matters arising after the grant of a breeder’s right on:  provisional protection, filing of applications and enforcement of breeders’ rights</w:t>
      </w:r>
      <w:r w:rsidR="00CF3D73">
        <w:rPr>
          <w:lang w:val="fr-FR"/>
        </w:rPr>
        <w:t>”</w:t>
      </w:r>
      <w:r w:rsidRPr="002C6F6E">
        <w:rPr>
          <w:lang w:val="fr-FR"/>
        </w:rPr>
        <w:t xml:space="preserve"> (voir les paragraphes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76 à</w:t>
      </w:r>
      <w:r w:rsidR="00875A65" w:rsidRPr="002C6F6E">
        <w:rPr>
          <w:lang w:val="fr-FR"/>
        </w:rPr>
        <w:t> </w:t>
      </w:r>
      <w:r w:rsidRPr="002C6F6E">
        <w:rPr>
          <w:lang w:val="fr-FR"/>
        </w:rPr>
        <w:t>78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</w:t>
      </w:r>
      <w:r w:rsidR="00EC2038">
        <w:rPr>
          <w:lang w:val="fr-FR"/>
        </w:rPr>
        <w:t>Compte rendu</w:t>
      </w:r>
      <w:r w:rsidRPr="002C6F6E">
        <w:rPr>
          <w:lang w:val="fr-FR"/>
        </w:rPr>
        <w:t>”).</w:t>
      </w:r>
    </w:p>
    <w:p w:rsidR="00AA5D79" w:rsidRPr="002C6F6E" w:rsidRDefault="00AA5D79" w:rsidP="0084278E">
      <w:pPr>
        <w:rPr>
          <w:lang w:val="fr-FR"/>
        </w:rPr>
      </w:pPr>
    </w:p>
    <w:p w:rsidR="00AA5D79" w:rsidRPr="002C6F6E" w:rsidRDefault="00AA5D79" w:rsidP="0084278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a consenti à n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envisager ni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sur les questions se posant après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en ce qui concerne le dépôt des demandes, ni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application des droits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obtenteur.</w:t>
      </w:r>
    </w:p>
    <w:p w:rsidR="00AA5D79" w:rsidRPr="002C6F6E" w:rsidRDefault="00AA5D79" w:rsidP="0084278E">
      <w:pPr>
        <w:rPr>
          <w:lang w:val="fr-FR"/>
        </w:rPr>
      </w:pPr>
    </w:p>
    <w:p w:rsidR="00AA5D79" w:rsidRPr="002C6F6E" w:rsidRDefault="00AA5D79" w:rsidP="0084278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envisager la 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élaborer des orientations sur la protection provisoire au titre de la possibilité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engager une action en justice avant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et de conclure des accords de licence avant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octroi.</w:t>
      </w:r>
    </w:p>
    <w:p w:rsidR="00AA5D79" w:rsidRPr="002C6F6E" w:rsidRDefault="00AA5D79" w:rsidP="00A77D74">
      <w:pPr>
        <w:rPr>
          <w:highlight w:val="yellow"/>
          <w:lang w:val="fr-FR"/>
        </w:rPr>
      </w:pPr>
    </w:p>
    <w:p w:rsidR="00EC2038" w:rsidRDefault="00EC2038">
      <w:pPr>
        <w:jc w:val="left"/>
        <w:rPr>
          <w:i/>
          <w:iCs/>
          <w:lang w:val="fr-FR"/>
        </w:rPr>
      </w:pPr>
      <w:r>
        <w:rPr>
          <w:lang w:val="fr-FR"/>
        </w:rPr>
        <w:br w:type="page"/>
      </w:r>
    </w:p>
    <w:p w:rsidR="00AA5D79" w:rsidRPr="002C6F6E" w:rsidRDefault="00AA5D79" w:rsidP="0084278E">
      <w:pPr>
        <w:pStyle w:val="DecisionParagraphs"/>
        <w:keepNext/>
        <w:rPr>
          <w:lang w:val="fr-FR"/>
        </w:rPr>
      </w:pPr>
      <w:r w:rsidRPr="002C6F6E">
        <w:rPr>
          <w:lang w:val="fr-FR"/>
        </w:rPr>
        <w:lastRenderedPageBreak/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84278E">
      <w:pPr>
        <w:pStyle w:val="DecisionParagraphs"/>
        <w:keepNext/>
        <w:rPr>
          <w:lang w:val="fr-FR"/>
        </w:rPr>
      </w:pPr>
    </w:p>
    <w:p w:rsidR="00A94E7B" w:rsidRPr="002C6F6E" w:rsidRDefault="00AA5D79" w:rsidP="00A77D74">
      <w:pPr>
        <w:pStyle w:val="DecisionParagraphs"/>
        <w:keepNext/>
        <w:tabs>
          <w:tab w:val="clear" w:pos="5387"/>
          <w:tab w:val="left" w:pos="5954"/>
        </w:tabs>
        <w:ind w:firstLine="567"/>
        <w:rPr>
          <w:lang w:val="fr-FR"/>
        </w:rPr>
      </w:pPr>
      <w:r w:rsidRPr="002C6F6E">
        <w:rPr>
          <w:lang w:val="fr-FR"/>
        </w:rPr>
        <w:t>a)</w:t>
      </w:r>
      <w:r w:rsidRPr="002C6F6E">
        <w:rPr>
          <w:lang w:val="fr-FR"/>
        </w:rPr>
        <w:tab/>
        <w:t>que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de ne pas envisager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orientations sur les questions se posant après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octroi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concernant le dépôt des demandes et la défense des droits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obtenteur;</w:t>
      </w:r>
    </w:p>
    <w:p w:rsidR="00AA5D79" w:rsidRPr="002C6F6E" w:rsidRDefault="00AA5D79" w:rsidP="00A77D74">
      <w:pPr>
        <w:pStyle w:val="DecisionParagraphs"/>
        <w:keepNext/>
        <w:ind w:firstLine="567"/>
        <w:rPr>
          <w:lang w:val="fr-FR"/>
        </w:rPr>
      </w:pPr>
    </w:p>
    <w:p w:rsidR="00AA5D79" w:rsidRPr="002C6F6E" w:rsidRDefault="00AA5D79" w:rsidP="00135DAE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  <w:r w:rsidRPr="002C6F6E">
        <w:rPr>
          <w:lang w:val="fr-FR"/>
        </w:rPr>
        <w:t>b)</w:t>
      </w:r>
      <w:r w:rsidRPr="002C6F6E">
        <w:rPr>
          <w:lang w:val="fr-FR"/>
        </w:rPr>
        <w:tab/>
        <w:t>que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envisager la révision éventuelle des “Notes explicatives sur la protection provisoire selon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”, </w:t>
      </w:r>
      <w:r w:rsidRPr="00EC2038">
        <w:rPr>
          <w:lang w:val="fr-FR"/>
        </w:rPr>
        <w:t>comme indiqué dans le paragraphe</w:t>
      </w:r>
      <w:r w:rsidR="00CA6FB9" w:rsidRPr="00EC2038">
        <w:rPr>
          <w:lang w:val="fr-FR"/>
        </w:rPr>
        <w:t> </w:t>
      </w:r>
      <w:r w:rsidRPr="00EC2038">
        <w:rPr>
          <w:lang w:val="fr-FR"/>
        </w:rPr>
        <w:t>63 ci</w:t>
      </w:r>
      <w:r w:rsidR="0021798E" w:rsidRPr="00EC2038">
        <w:rPr>
          <w:lang w:val="fr-FR"/>
        </w:rPr>
        <w:noBreakHyphen/>
      </w:r>
      <w:r w:rsidRPr="00EC2038">
        <w:rPr>
          <w:lang w:val="fr-FR"/>
        </w:rPr>
        <w:t>dessus;</w:t>
      </w:r>
      <w:r w:rsidR="00CA6FB9" w:rsidRPr="00EC2038">
        <w:rPr>
          <w:lang w:val="fr-FR"/>
        </w:rPr>
        <w:t xml:space="preserve"> </w:t>
      </w:r>
      <w:r w:rsidRPr="00EC2038">
        <w:rPr>
          <w:lang w:val="fr-FR"/>
        </w:rPr>
        <w:t xml:space="preserve"> et</w:t>
      </w:r>
    </w:p>
    <w:p w:rsidR="00AA5D79" w:rsidRPr="002C6F6E" w:rsidRDefault="00AA5D79" w:rsidP="00135DAE">
      <w:pPr>
        <w:pStyle w:val="DecisionParagraphs"/>
        <w:ind w:firstLine="567"/>
        <w:rPr>
          <w:lang w:val="fr-FR"/>
        </w:rPr>
      </w:pPr>
    </w:p>
    <w:p w:rsidR="00AA5D79" w:rsidRPr="002C6F6E" w:rsidRDefault="00AA5D79" w:rsidP="00135DAE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  <w:r w:rsidRPr="002C6F6E">
        <w:rPr>
          <w:lang w:val="fr-FR"/>
        </w:rPr>
        <w:t>c)</w:t>
      </w:r>
      <w:r w:rsidRPr="002C6F6E">
        <w:rPr>
          <w:lang w:val="fr-FR"/>
        </w:rPr>
        <w:tab/>
        <w:t>du compte rendu des travaux</w:t>
      </w:r>
      <w:r w:rsidR="00A94E7B" w:rsidRPr="002C6F6E">
        <w:rPr>
          <w:lang w:val="fr-FR"/>
        </w:rPr>
        <w:t xml:space="preserve"> du </w:t>
      </w:r>
      <w:r w:rsidR="00A94E7B" w:rsidRPr="002C6F6E">
        <w:rPr>
          <w:rFonts w:eastAsia="MS Mincho"/>
          <w:lang w:val="fr-FR" w:eastAsia="ja-JP"/>
        </w:rPr>
        <w:t>CAJ</w:t>
      </w:r>
      <w:r w:rsidR="0021798E" w:rsidRPr="002C6F6E">
        <w:rPr>
          <w:rFonts w:eastAsia="MS Mincho"/>
          <w:lang w:val="fr-FR" w:eastAsia="ja-JP"/>
        </w:rPr>
        <w:noBreakHyphen/>
      </w:r>
      <w:r w:rsidRPr="002C6F6E">
        <w:rPr>
          <w:rFonts w:eastAsia="MS Mincho"/>
          <w:lang w:val="fr-FR" w:eastAsia="ja-JP"/>
        </w:rPr>
        <w:t>AG à sa huitième</w:t>
      </w:r>
      <w:r w:rsidR="00CA6FB9" w:rsidRPr="002C6F6E">
        <w:rPr>
          <w:rFonts w:eastAsia="MS Mincho"/>
          <w:lang w:val="fr-FR" w:eastAsia="ja-JP"/>
        </w:rPr>
        <w:t> </w:t>
      </w:r>
      <w:r w:rsidRPr="002C6F6E">
        <w:rPr>
          <w:rFonts w:eastAsia="MS Mincho"/>
          <w:lang w:val="fr-FR" w:eastAsia="ja-JP"/>
        </w:rPr>
        <w:t>sess</w:t>
      </w:r>
      <w:r w:rsidRPr="002C6F6E">
        <w:rPr>
          <w:lang w:val="fr-FR"/>
        </w:rPr>
        <w:t>ion tel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figure dans le</w:t>
      </w:r>
      <w:r w:rsidRPr="002C6F6E">
        <w:rPr>
          <w:rFonts w:eastAsia="MS Mincho"/>
          <w:lang w:val="fr-FR" w:eastAsia="ja-JP"/>
        </w:rPr>
        <w:t xml:space="preserve"> </w:t>
      </w:r>
      <w:r w:rsidRPr="002C6F6E">
        <w:rPr>
          <w:lang w:val="fr-FR"/>
        </w:rPr>
        <w:t>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</w:t>
      </w:r>
      <w:r w:rsidR="00EC2038">
        <w:rPr>
          <w:lang w:val="fr-FR"/>
        </w:rPr>
        <w:t>Compte rendu</w:t>
      </w:r>
      <w:r w:rsidRPr="002C6F6E">
        <w:rPr>
          <w:lang w:val="fr-FR"/>
        </w:rPr>
        <w:t>”</w:t>
      </w:r>
      <w:r w:rsidRPr="002C6F6E">
        <w:rPr>
          <w:rFonts w:eastAsia="MS Mincho"/>
          <w:lang w:val="fr-FR" w:eastAsia="ja-JP"/>
        </w:rPr>
        <w:t>.</w:t>
      </w:r>
    </w:p>
    <w:p w:rsidR="00AA5D79" w:rsidRDefault="00AA5D79" w:rsidP="00CF3D73">
      <w:pPr>
        <w:rPr>
          <w:lang w:val="fr-FR"/>
        </w:rPr>
      </w:pPr>
    </w:p>
    <w:p w:rsidR="00CF3D73" w:rsidRDefault="00CF3D73" w:rsidP="00CF3D73">
      <w:pPr>
        <w:rPr>
          <w:lang w:val="fr-FR"/>
        </w:rPr>
      </w:pPr>
    </w:p>
    <w:p w:rsidR="00CF3D73" w:rsidRPr="002C6F6E" w:rsidRDefault="00CF3D73" w:rsidP="00CF3D73">
      <w:pPr>
        <w:rPr>
          <w:lang w:val="fr-FR"/>
        </w:rPr>
      </w:pPr>
    </w:p>
    <w:p w:rsidR="00AA5D79" w:rsidRPr="002C6F6E" w:rsidRDefault="00CF3D73" w:rsidP="00292050">
      <w:pPr>
        <w:pStyle w:val="Heading1"/>
        <w:rPr>
          <w:lang w:val="fr-FR"/>
        </w:rPr>
      </w:pPr>
      <w:bookmarkStart w:id="25" w:name="_Toc381194423"/>
      <w:r w:rsidRPr="002C6F6E">
        <w:rPr>
          <w:lang w:val="fr-FR"/>
        </w:rPr>
        <w:t>V</w:t>
      </w:r>
      <w:r>
        <w:rPr>
          <w:lang w:val="fr-FR"/>
        </w:rPr>
        <w:t>II</w:t>
      </w:r>
      <w:r w:rsidRPr="002C6F6E">
        <w:rPr>
          <w:lang w:val="fr-FR"/>
        </w:rPr>
        <w:t>.</w:t>
      </w:r>
      <w:r w:rsidRPr="002C6F6E">
        <w:rPr>
          <w:lang w:val="fr-FR"/>
        </w:rPr>
        <w:tab/>
        <w:t>Programme d’élaboration de matériels d’information</w:t>
      </w:r>
      <w:bookmarkEnd w:id="25"/>
    </w:p>
    <w:p w:rsidR="00AA5D79" w:rsidRPr="002C6F6E" w:rsidRDefault="00AA5D79" w:rsidP="004453BD">
      <w:pPr>
        <w:keepNext/>
        <w:rPr>
          <w:lang w:val="fr-FR"/>
        </w:rPr>
      </w:pPr>
    </w:p>
    <w:p w:rsidR="00AA5D79" w:rsidRPr="002C6F6E" w:rsidRDefault="00AA5D79" w:rsidP="004453BD">
      <w:pPr>
        <w:pStyle w:val="Heading2"/>
        <w:rPr>
          <w:lang w:val="fr-FR"/>
        </w:rPr>
      </w:pPr>
      <w:bookmarkStart w:id="26" w:name="_Toc381194424"/>
      <w:r w:rsidRPr="002C6F6E">
        <w:rPr>
          <w:lang w:val="fr-FR"/>
        </w:rPr>
        <w:t>Programme de travail relatif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élaboration de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pour la neuvième session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AG, qui se tiendra à Genève en octobre 2014</w:t>
      </w:r>
      <w:bookmarkEnd w:id="26"/>
    </w:p>
    <w:p w:rsidR="00AA5D79" w:rsidRPr="002C6F6E" w:rsidRDefault="00AA5D79" w:rsidP="00E23AE7">
      <w:pPr>
        <w:keepNext/>
        <w:rPr>
          <w:lang w:val="fr-FR"/>
        </w:rPr>
      </w:pPr>
    </w:p>
    <w:p w:rsidR="00AA5D79" w:rsidRPr="002C6F6E" w:rsidRDefault="00AA5D79" w:rsidP="002D1F0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 session,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du programme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après pour sa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qui se tiendra en octobre 2014, sous réserve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approbation du CAJ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80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2D1F0E">
      <w:pPr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1.</w:t>
      </w:r>
      <w:r w:rsidRPr="002C6F6E">
        <w:rPr>
          <w:lang w:val="fr-FR"/>
        </w:rPr>
        <w:tab/>
        <w:t>Ouverture de la session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2.</w:t>
      </w:r>
      <w:r w:rsidRPr="002C6F6E">
        <w:rPr>
          <w:lang w:val="fr-FR"/>
        </w:rPr>
        <w:tab/>
        <w:t>Adoption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ordre du jour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94E7B" w:rsidRPr="002C6F6E" w:rsidRDefault="00AA5D79" w:rsidP="002D1F0E">
      <w:pPr>
        <w:ind w:left="1134" w:hanging="567"/>
        <w:rPr>
          <w:lang w:val="fr-FR"/>
        </w:rPr>
      </w:pPr>
      <w:r w:rsidRPr="002C6F6E">
        <w:rPr>
          <w:lang w:val="fr-FR"/>
        </w:rPr>
        <w:t>3.</w:t>
      </w:r>
      <w:r w:rsidRPr="002C6F6E">
        <w:rPr>
          <w:lang w:val="fr-FR"/>
        </w:rPr>
        <w:tab/>
        <w:t>Notes explicatives sur les variétés essentiellement dérivées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 1991 de la </w:t>
      </w:r>
      <w:r w:rsidR="00A94E7B" w:rsidRPr="002C6F6E">
        <w:rPr>
          <w:lang w:val="fr-FR"/>
        </w:rPr>
        <w:t>Convention UPOV</w:t>
      </w:r>
    </w:p>
    <w:p w:rsidR="00AA5D79" w:rsidRPr="002C6F6E" w:rsidRDefault="00AA5D79" w:rsidP="002D1F0E">
      <w:pPr>
        <w:ind w:left="1134" w:hanging="567"/>
        <w:rPr>
          <w:lang w:val="fr-FR"/>
        </w:rPr>
      </w:pPr>
    </w:p>
    <w:p w:rsidR="00A94E7B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4.</w:t>
      </w:r>
      <w:r w:rsidRPr="002C6F6E">
        <w:rPr>
          <w:lang w:val="fr-FR"/>
        </w:rPr>
        <w:tab/>
        <w:t>Notes explicatives sur le matériel de reproduction ou de multiplication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spacing w:after="240"/>
        <w:ind w:left="1134" w:hanging="567"/>
        <w:rPr>
          <w:lang w:val="fr-FR"/>
        </w:rPr>
      </w:pPr>
      <w:r w:rsidRPr="002C6F6E">
        <w:rPr>
          <w:lang w:val="fr-FR"/>
        </w:rPr>
        <w:t>5.</w:t>
      </w:r>
      <w:r w:rsidRPr="002C6F6E">
        <w:rPr>
          <w:lang w:val="fr-FR"/>
        </w:rPr>
        <w:tab/>
        <w:t>Notes explicatives sur les actes à 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égard du produit de la récolte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 1991 de la </w:t>
      </w:r>
      <w:r w:rsidR="00A94E7B" w:rsidRPr="002C6F6E">
        <w:rPr>
          <w:lang w:val="fr-FR"/>
        </w:rPr>
        <w:t>Convention UPOV</w:t>
      </w: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6.</w:t>
      </w:r>
      <w:r w:rsidRPr="002C6F6E">
        <w:rPr>
          <w:lang w:val="fr-FR"/>
        </w:rPr>
        <w:tab/>
        <w:t>Questions concernant la déchéance d</w:t>
      </w:r>
      <w:r w:rsidR="00EC2038">
        <w:rPr>
          <w:lang w:val="fr-FR"/>
        </w:rPr>
        <w:t>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94E7B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7.</w:t>
      </w:r>
      <w:r w:rsidRPr="002C6F6E">
        <w:rPr>
          <w:lang w:val="fr-FR"/>
        </w:rPr>
        <w:tab/>
        <w:t>Questions concernant la nullité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8.</w:t>
      </w:r>
      <w:r w:rsidRPr="002C6F6E">
        <w:rPr>
          <w:lang w:val="fr-FR"/>
        </w:rPr>
        <w:tab/>
        <w:t>Questions concernant les dénominations variétales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9.</w:t>
      </w:r>
      <w:r w:rsidRPr="002C6F6E">
        <w:rPr>
          <w:lang w:val="fr-FR"/>
        </w:rPr>
        <w:tab/>
        <w:t>Questions concernant les descriptions variétales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10.</w:t>
      </w:r>
      <w:r w:rsidRPr="002C6F6E">
        <w:rPr>
          <w:lang w:val="fr-FR"/>
        </w:rPr>
        <w:tab/>
        <w:t>Questions concernant la protection provisoire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11.</w:t>
      </w:r>
      <w:r w:rsidRPr="002C6F6E">
        <w:rPr>
          <w:lang w:val="fr-FR"/>
        </w:rPr>
        <w:tab/>
        <w:t>Questions concernant la participation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observateurs</w:t>
      </w:r>
      <w:r w:rsidR="00A94E7B" w:rsidRPr="002C6F6E">
        <w:rPr>
          <w:lang w:val="fr-FR"/>
        </w:rPr>
        <w:t xml:space="preserve">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37709D">
      <w:pPr>
        <w:ind w:left="1134" w:hanging="567"/>
        <w:rPr>
          <w:lang w:val="fr-FR"/>
        </w:rPr>
      </w:pPr>
      <w:r w:rsidRPr="002C6F6E">
        <w:rPr>
          <w:lang w:val="fr-FR"/>
        </w:rPr>
        <w:t>12.</w:t>
      </w:r>
      <w:r w:rsidRPr="002C6F6E">
        <w:rPr>
          <w:lang w:val="fr-FR"/>
        </w:rPr>
        <w:tab/>
        <w:t>Possibles mécanismes extrajudiciaires de règlement des litiges pour les variétés essentiellement dérivées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1134" w:hanging="567"/>
        <w:rPr>
          <w:lang w:val="fr-FR"/>
        </w:rPr>
      </w:pPr>
      <w:r w:rsidRPr="002C6F6E">
        <w:rPr>
          <w:lang w:val="fr-FR"/>
        </w:rPr>
        <w:t>13.</w:t>
      </w:r>
      <w:r w:rsidRPr="002C6F6E">
        <w:rPr>
          <w:lang w:val="fr-FR"/>
        </w:rPr>
        <w:tab/>
        <w:t>Qu</w:t>
      </w:r>
      <w:r w:rsidR="00EC2038">
        <w:rPr>
          <w:lang w:val="fr-FR"/>
        </w:rPr>
        <w:t xml:space="preserve">estions soumises pour examen au </w:t>
      </w:r>
      <w:r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="00EC2038">
        <w:rPr>
          <w:lang w:val="fr-FR"/>
        </w:rPr>
        <w:t xml:space="preserve">AG par le CAJ depuis la huitième </w:t>
      </w:r>
      <w:r w:rsidRPr="002C6F6E">
        <w:rPr>
          <w:lang w:val="fr-FR"/>
        </w:rPr>
        <w:t>session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</w:t>
      </w:r>
    </w:p>
    <w:p w:rsidR="00AA5D79" w:rsidRPr="002C6F6E" w:rsidRDefault="00AA5D79" w:rsidP="002D1F0E">
      <w:pPr>
        <w:ind w:left="567"/>
        <w:rPr>
          <w:lang w:val="fr-FR"/>
        </w:rPr>
      </w:pPr>
    </w:p>
    <w:p w:rsidR="00AA5D79" w:rsidRPr="002C6F6E" w:rsidRDefault="00AA5D79" w:rsidP="002D1F0E">
      <w:pPr>
        <w:ind w:left="567"/>
        <w:rPr>
          <w:lang w:val="fr-FR"/>
        </w:rPr>
      </w:pPr>
      <w:r w:rsidRPr="002C6F6E">
        <w:rPr>
          <w:lang w:val="fr-FR"/>
        </w:rPr>
        <w:t>14.</w:t>
      </w:r>
      <w:r w:rsidRPr="002C6F6E">
        <w:rPr>
          <w:lang w:val="fr-FR"/>
        </w:rPr>
        <w:tab/>
        <w:t>Date et programme de la dixième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</w:t>
      </w:r>
    </w:p>
    <w:p w:rsidR="00AA5D79" w:rsidRPr="002C6F6E" w:rsidRDefault="00AA5D79" w:rsidP="002D1F0E">
      <w:pPr>
        <w:rPr>
          <w:lang w:val="fr-FR"/>
        </w:rPr>
      </w:pPr>
    </w:p>
    <w:p w:rsidR="00AA5D79" w:rsidRPr="002C6F6E" w:rsidRDefault="00AA5D79" w:rsidP="002D1F0E">
      <w:pPr>
        <w:rPr>
          <w:snapToGrid w:val="0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huitième session,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est convenu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approche suivante afin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avancer sur les questions pertinentes entre les huitième et 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sessions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</w:t>
      </w:r>
      <w:r w:rsidRPr="002C6F6E">
        <w:rPr>
          <w:snapToGrid w:val="0"/>
          <w:lang w:val="fr-FR"/>
        </w:rPr>
        <w:t xml:space="preserve"> </w:t>
      </w:r>
      <w:r w:rsidRPr="002C6F6E">
        <w:rPr>
          <w:lang w:val="fr-FR"/>
        </w:rPr>
        <w:t>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snapToGrid w:val="0"/>
          <w:lang w:val="fr-FR"/>
        </w:rPr>
        <w:t>:</w:t>
      </w:r>
    </w:p>
    <w:p w:rsidR="00AA5D79" w:rsidRPr="002C6F6E" w:rsidRDefault="00AA5D79" w:rsidP="002D1F0E">
      <w:pPr>
        <w:rPr>
          <w:snapToGrid w:val="0"/>
          <w:lang w:val="fr-FR"/>
        </w:rPr>
      </w:pPr>
    </w:p>
    <w:p w:rsidR="00AA5D79" w:rsidRPr="002C6F6E" w:rsidRDefault="00AA5D79" w:rsidP="0009418B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lang w:val="fr-FR"/>
        </w:rPr>
        <w:t>Diffusion</w:t>
      </w:r>
      <w:r w:rsidR="00390697">
        <w:rPr>
          <w:lang w:val="fr-FR"/>
        </w:rPr>
        <w:t>,</w:t>
      </w:r>
      <w:r w:rsidRPr="002C6F6E">
        <w:rPr>
          <w:lang w:val="fr-FR"/>
        </w:rPr>
        <w:t xml:space="preserve"> avant le 1</w:t>
      </w:r>
      <w:r w:rsidR="00A94E7B" w:rsidRPr="002C6F6E">
        <w:rPr>
          <w:lang w:val="fr-FR"/>
        </w:rPr>
        <w:t>5 novembre 20</w:t>
      </w:r>
      <w:r w:rsidRPr="002C6F6E">
        <w:rPr>
          <w:lang w:val="fr-FR"/>
        </w:rPr>
        <w:t>13, du “Projet de compte rendu” (document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Prov.) assorti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exemples concernant les variétés essentiellement dérivées</w:t>
      </w:r>
    </w:p>
    <w:p w:rsidR="00AA5D79" w:rsidRPr="002C6F6E" w:rsidRDefault="00AA5D79" w:rsidP="0009418B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rStyle w:val="NormalAprs6ptChar"/>
          <w:sz w:val="20"/>
          <w:szCs w:val="20"/>
        </w:rPr>
        <w:t>Réception, avant le 1</w:t>
      </w:r>
      <w:r w:rsidR="00A94E7B" w:rsidRPr="002C6F6E">
        <w:rPr>
          <w:rStyle w:val="NormalAprs6ptChar"/>
          <w:sz w:val="20"/>
          <w:szCs w:val="20"/>
        </w:rPr>
        <w:t>3 décembre 20</w:t>
      </w:r>
      <w:r w:rsidRPr="002C6F6E">
        <w:rPr>
          <w:rStyle w:val="NormalAprs6ptChar"/>
          <w:sz w:val="20"/>
          <w:szCs w:val="20"/>
        </w:rPr>
        <w:t xml:space="preserve">13, des observations sur le “Projet de compte rendu” (document </w:t>
      </w:r>
      <w:r w:rsidRPr="002C6F6E">
        <w:rPr>
          <w:lang w:val="fr-FR"/>
        </w:rPr>
        <w:t>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Prov.)</w:t>
      </w:r>
    </w:p>
    <w:p w:rsidR="00A94E7B" w:rsidRPr="00390697" w:rsidRDefault="00AA5D79" w:rsidP="00390697">
      <w:pPr>
        <w:numPr>
          <w:ilvl w:val="0"/>
          <w:numId w:val="5"/>
        </w:numPr>
        <w:spacing w:after="120"/>
        <w:ind w:left="1134" w:hanging="567"/>
        <w:rPr>
          <w:rStyle w:val="NormalAprs6ptChar"/>
          <w:sz w:val="20"/>
          <w:szCs w:val="20"/>
        </w:rPr>
      </w:pPr>
      <w:r w:rsidRPr="002C6F6E">
        <w:rPr>
          <w:lang w:val="fr-FR"/>
        </w:rPr>
        <w:t>Réception, avant le 2</w:t>
      </w:r>
      <w:r w:rsidR="00A94E7B" w:rsidRPr="002C6F6E">
        <w:rPr>
          <w:lang w:val="fr-FR"/>
        </w:rPr>
        <w:t>1 février 20</w:t>
      </w:r>
      <w:r w:rsidRPr="002C6F6E">
        <w:rPr>
          <w:lang w:val="fr-FR"/>
        </w:rPr>
        <w:t xml:space="preserve">14, des observations sur les exemples concernant les variétés </w:t>
      </w:r>
      <w:r w:rsidRPr="00390697">
        <w:rPr>
          <w:rStyle w:val="NormalAprs6ptChar"/>
          <w:sz w:val="20"/>
          <w:szCs w:val="20"/>
        </w:rPr>
        <w:t>essentiellement dérivées</w:t>
      </w:r>
    </w:p>
    <w:p w:rsidR="00AA5D79" w:rsidRPr="002C6F6E" w:rsidRDefault="00AA5D79" w:rsidP="0009418B">
      <w:pPr>
        <w:numPr>
          <w:ilvl w:val="0"/>
          <w:numId w:val="5"/>
        </w:numPr>
        <w:spacing w:line="360" w:lineRule="auto"/>
        <w:ind w:left="1134" w:hanging="567"/>
        <w:rPr>
          <w:lang w:val="fr-FR"/>
        </w:rPr>
      </w:pPr>
      <w:r w:rsidRPr="002C6F6E">
        <w:rPr>
          <w:lang w:val="fr-FR"/>
        </w:rPr>
        <w:t xml:space="preserve">Diffusion, avant le </w:t>
      </w:r>
      <w:r w:rsidR="00A94E7B" w:rsidRPr="002C6F6E">
        <w:rPr>
          <w:lang w:val="fr-FR"/>
        </w:rPr>
        <w:t>9 mai 20</w:t>
      </w:r>
      <w:r w:rsidRPr="002C6F6E">
        <w:rPr>
          <w:lang w:val="fr-FR"/>
        </w:rPr>
        <w:t>14, des nouveaux projets des notes explicatives pertinentes</w:t>
      </w:r>
    </w:p>
    <w:p w:rsidR="00AA5D79" w:rsidRPr="002C6F6E" w:rsidRDefault="00AA5D79" w:rsidP="00390697">
      <w:pPr>
        <w:numPr>
          <w:ilvl w:val="0"/>
          <w:numId w:val="5"/>
        </w:numPr>
        <w:spacing w:after="120"/>
        <w:ind w:left="1134" w:hanging="567"/>
        <w:rPr>
          <w:lang w:val="fr-FR"/>
        </w:rPr>
      </w:pPr>
      <w:r w:rsidRPr="002C6F6E">
        <w:rPr>
          <w:rStyle w:val="NormalAprs6ptCar"/>
          <w:sz w:val="20"/>
          <w:szCs w:val="20"/>
        </w:rPr>
        <w:t>Réception, avant le 2</w:t>
      </w:r>
      <w:r w:rsidR="00A94E7B" w:rsidRPr="002C6F6E">
        <w:rPr>
          <w:rStyle w:val="NormalAprs6ptCar"/>
          <w:sz w:val="20"/>
          <w:szCs w:val="20"/>
        </w:rPr>
        <w:t>1 juin 20</w:t>
      </w:r>
      <w:r w:rsidRPr="002C6F6E">
        <w:rPr>
          <w:rStyle w:val="NormalAprs6ptCar"/>
          <w:sz w:val="20"/>
          <w:szCs w:val="20"/>
        </w:rPr>
        <w:t>14, des observations sur les nouveaux projets des notes explicatives</w:t>
      </w:r>
      <w:r w:rsidRPr="002C6F6E">
        <w:rPr>
          <w:lang w:val="fr-FR"/>
        </w:rPr>
        <w:t xml:space="preserve"> pertinentes</w:t>
      </w:r>
    </w:p>
    <w:p w:rsidR="00AA5D79" w:rsidRPr="002C6F6E" w:rsidRDefault="00AA5D79" w:rsidP="0009418B">
      <w:pPr>
        <w:numPr>
          <w:ilvl w:val="0"/>
          <w:numId w:val="5"/>
        </w:numPr>
        <w:ind w:left="1134" w:hanging="567"/>
        <w:rPr>
          <w:lang w:val="fr-FR"/>
        </w:rPr>
      </w:pPr>
      <w:r w:rsidRPr="002C6F6E">
        <w:rPr>
          <w:lang w:val="fr-FR"/>
        </w:rPr>
        <w:t>Nouvelles versions révisées des notes explicatives pertinentes mises en ligne sur le site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Web avant le 2</w:t>
      </w:r>
      <w:r w:rsidR="00A94E7B" w:rsidRPr="002C6F6E">
        <w:rPr>
          <w:lang w:val="fr-FR"/>
        </w:rPr>
        <w:t>9 août 20</w:t>
      </w:r>
      <w:r w:rsidRPr="002C6F6E">
        <w:rPr>
          <w:lang w:val="fr-FR"/>
        </w:rPr>
        <w:t>14</w:t>
      </w:r>
    </w:p>
    <w:p w:rsidR="00AA5D79" w:rsidRPr="002C6F6E" w:rsidRDefault="00AA5D79" w:rsidP="002D1F0E">
      <w:pPr>
        <w:rPr>
          <w:snapToGrid w:val="0"/>
          <w:lang w:val="fr-FR"/>
        </w:rPr>
      </w:pPr>
    </w:p>
    <w:p w:rsidR="00AA5D79" w:rsidRPr="002C6F6E" w:rsidRDefault="00AA5D79" w:rsidP="006408AD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Conformément à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approche approuvée par</w:t>
      </w:r>
      <w:r w:rsidR="00A94E7B" w:rsidRPr="002C6F6E">
        <w:rPr>
          <w:lang w:val="fr-FR"/>
        </w:rPr>
        <w:t xml:space="preserve"> 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à sa huitième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les nouvelles versions suivantes de notes explicatives seront diffusées</w:t>
      </w:r>
      <w:r w:rsidR="00A94E7B" w:rsidRPr="002C6F6E">
        <w:rPr>
          <w:lang w:val="fr-FR"/>
        </w:rPr>
        <w:t xml:space="preserve"> au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AG pour le </w:t>
      </w:r>
      <w:r w:rsidR="00A94E7B" w:rsidRPr="002C6F6E">
        <w:rPr>
          <w:lang w:val="fr-FR"/>
        </w:rPr>
        <w:t>9 mai 20</w:t>
      </w:r>
      <w:r w:rsidRPr="002C6F6E">
        <w:rPr>
          <w:lang w:val="fr-FR"/>
        </w:rPr>
        <w:t>14 (voir ci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dessus</w:t>
      </w:r>
      <w:r w:rsidR="00EC2038">
        <w:rPr>
          <w:lang w:val="fr-FR"/>
        </w:rPr>
        <w:t>, ainsi que</w:t>
      </w:r>
      <w:r w:rsidRPr="002C6F6E">
        <w:rPr>
          <w:lang w:val="fr-FR"/>
        </w:rPr>
        <w:t xml:space="preserve">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81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6408AD">
      <w:pPr>
        <w:rPr>
          <w:lang w:val="fr-FR"/>
        </w:rPr>
      </w:pPr>
    </w:p>
    <w:p w:rsidR="00A94E7B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>Notes explicatives sur les variétés essentiellement dérivées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Acte de 1991 de la 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 (document UPOV/EXN/EDV/2</w:t>
      </w:r>
      <w:r w:rsidR="00D92197">
        <w:rPr>
          <w:lang w:val="fr-FR"/>
        </w:rPr>
        <w:t> </w:t>
      </w:r>
      <w:r w:rsidRPr="002C6F6E">
        <w:rPr>
          <w:lang w:val="fr-FR"/>
        </w:rPr>
        <w:t>Draft</w:t>
      </w:r>
      <w:r w:rsidR="00D92197">
        <w:rPr>
          <w:lang w:val="fr-FR"/>
        </w:rPr>
        <w:t> </w:t>
      </w:r>
      <w:r w:rsidRPr="002C6F6E">
        <w:rPr>
          <w:lang w:val="fr-FR"/>
        </w:rPr>
        <w:t>4)</w:t>
      </w:r>
    </w:p>
    <w:p w:rsidR="00AA5D79" w:rsidRPr="002C6F6E" w:rsidRDefault="00AA5D79" w:rsidP="0070798E">
      <w:pPr>
        <w:rPr>
          <w:lang w:val="fr-FR"/>
        </w:rPr>
      </w:pPr>
    </w:p>
    <w:p w:rsidR="00A94E7B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>Notes explicatives sur le matériel de reproduction ou de multiplication (</w:t>
      </w:r>
      <w:r w:rsidR="00A94E7B" w:rsidRPr="002C6F6E">
        <w:rPr>
          <w:lang w:val="fr-FR"/>
        </w:rPr>
        <w:t>document UP</w:t>
      </w:r>
      <w:r w:rsidRPr="002C6F6E">
        <w:rPr>
          <w:lang w:val="fr-FR"/>
        </w:rPr>
        <w:t>OV/EXN/PPM Draft 2)</w:t>
      </w:r>
    </w:p>
    <w:p w:rsidR="00AA5D79" w:rsidRPr="002C6F6E" w:rsidRDefault="00AA5D79" w:rsidP="0070798E">
      <w:pPr>
        <w:ind w:left="567" w:hanging="567"/>
        <w:rPr>
          <w:lang w:val="fr-FR"/>
        </w:rPr>
      </w:pPr>
    </w:p>
    <w:p w:rsidR="00AA5D79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>Notes explicatives sur les actes à 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égard du produit de la récolte selon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Acte de 1991 de la </w:t>
      </w:r>
      <w:r w:rsidR="00A94E7B" w:rsidRPr="002C6F6E">
        <w:rPr>
          <w:lang w:val="fr-FR"/>
        </w:rPr>
        <w:t>Convention UPOV</w:t>
      </w:r>
      <w:r w:rsidRPr="002C6F6E">
        <w:rPr>
          <w:lang w:val="fr-FR"/>
        </w:rPr>
        <w:t xml:space="preserve"> (document UPOV/EXN/HRV/2 Draft 1)</w:t>
      </w:r>
    </w:p>
    <w:p w:rsidR="00AA5D79" w:rsidRPr="002C6F6E" w:rsidRDefault="00AA5D79" w:rsidP="0070798E">
      <w:pPr>
        <w:ind w:left="567" w:hanging="567"/>
        <w:rPr>
          <w:lang w:val="fr-FR"/>
        </w:rPr>
      </w:pPr>
    </w:p>
    <w:p w:rsidR="00AA5D79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>Notes explicatives sur la déchéance d</w:t>
      </w:r>
      <w:r w:rsidR="00EC2038">
        <w:rPr>
          <w:lang w:val="fr-FR"/>
        </w:rPr>
        <w:t>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obtenteur selon la </w:t>
      </w:r>
      <w:r w:rsidR="00EC2038">
        <w:rPr>
          <w:lang w:val="fr-FR"/>
        </w:rPr>
        <w:t xml:space="preserve">Convention </w:t>
      </w:r>
      <w:r w:rsidR="00A94E7B" w:rsidRPr="002C6F6E">
        <w:rPr>
          <w:lang w:val="fr-FR"/>
        </w:rPr>
        <w:t>UPOV</w:t>
      </w:r>
      <w:r w:rsidRPr="002C6F6E">
        <w:rPr>
          <w:lang w:val="fr-FR"/>
        </w:rPr>
        <w:t xml:space="preserve"> (</w:t>
      </w:r>
      <w:r w:rsidR="00A94E7B" w:rsidRPr="002C6F6E">
        <w:rPr>
          <w:lang w:val="fr-FR"/>
        </w:rPr>
        <w:t>document UP</w:t>
      </w:r>
      <w:r w:rsidRPr="002C6F6E">
        <w:rPr>
          <w:lang w:val="fr-FR"/>
        </w:rPr>
        <w:t>OV/EXN/CAN/2 Draft 1)</w:t>
      </w:r>
    </w:p>
    <w:p w:rsidR="00AA5D79" w:rsidRPr="002C6F6E" w:rsidRDefault="00AA5D79" w:rsidP="0070798E">
      <w:pPr>
        <w:ind w:left="567" w:hanging="567"/>
        <w:rPr>
          <w:lang w:val="fr-FR"/>
        </w:rPr>
      </w:pPr>
    </w:p>
    <w:p w:rsidR="00A94E7B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>Notes explicatives sur la nullité du droit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 xml:space="preserve">obtenteur selon la </w:t>
      </w:r>
      <w:r w:rsidR="00EC2038">
        <w:rPr>
          <w:lang w:val="fr-FR"/>
        </w:rPr>
        <w:t xml:space="preserve">Convention </w:t>
      </w:r>
      <w:r w:rsidR="00A94E7B" w:rsidRPr="002C6F6E">
        <w:rPr>
          <w:lang w:val="fr-FR"/>
        </w:rPr>
        <w:t>UPOV</w:t>
      </w:r>
      <w:r w:rsidRPr="002C6F6E">
        <w:rPr>
          <w:lang w:val="fr-FR"/>
        </w:rPr>
        <w:t xml:space="preserve"> (</w:t>
      </w:r>
      <w:r w:rsidR="00A94E7B" w:rsidRPr="002C6F6E">
        <w:rPr>
          <w:lang w:val="fr-FR"/>
        </w:rPr>
        <w:t>document UP</w:t>
      </w:r>
      <w:r w:rsidRPr="002C6F6E">
        <w:rPr>
          <w:lang w:val="fr-FR"/>
        </w:rPr>
        <w:t>OV/EXN/NUL/2 Draft 1)</w:t>
      </w:r>
    </w:p>
    <w:p w:rsidR="00AA5D79" w:rsidRPr="002C6F6E" w:rsidRDefault="00AA5D79" w:rsidP="0070798E">
      <w:pPr>
        <w:ind w:left="567" w:hanging="567"/>
        <w:rPr>
          <w:lang w:val="fr-FR"/>
        </w:rPr>
      </w:pPr>
    </w:p>
    <w:p w:rsidR="00A94E7B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 xml:space="preserve">Notes explicatives sur les dénominations variétales selon la </w:t>
      </w:r>
      <w:r w:rsidR="00EC2038">
        <w:rPr>
          <w:lang w:val="fr-FR"/>
        </w:rPr>
        <w:t xml:space="preserve">Convention </w:t>
      </w:r>
      <w:r w:rsidR="00A94E7B" w:rsidRPr="002C6F6E">
        <w:rPr>
          <w:lang w:val="fr-FR"/>
        </w:rPr>
        <w:t>UPOV</w:t>
      </w:r>
      <w:r w:rsidRPr="002C6F6E">
        <w:rPr>
          <w:lang w:val="fr-FR"/>
        </w:rPr>
        <w:t xml:space="preserve"> (</w:t>
      </w:r>
      <w:r w:rsidR="00A94E7B" w:rsidRPr="002C6F6E">
        <w:rPr>
          <w:lang w:val="fr-FR"/>
        </w:rPr>
        <w:t>document UP</w:t>
      </w:r>
      <w:r w:rsidRPr="002C6F6E">
        <w:rPr>
          <w:lang w:val="fr-FR"/>
        </w:rPr>
        <w:t>OV/INF/12/5 Draft 1)</w:t>
      </w:r>
    </w:p>
    <w:p w:rsidR="00AA5D79" w:rsidRPr="002C6F6E" w:rsidRDefault="00AA5D79" w:rsidP="0070798E">
      <w:pPr>
        <w:ind w:left="567" w:hanging="567"/>
        <w:rPr>
          <w:lang w:val="fr-FR"/>
        </w:rPr>
      </w:pPr>
    </w:p>
    <w:p w:rsidR="00A94E7B" w:rsidRPr="002C6F6E" w:rsidRDefault="00AA5D79" w:rsidP="0070798E">
      <w:pPr>
        <w:ind w:left="567"/>
        <w:rPr>
          <w:lang w:val="fr-FR"/>
        </w:rPr>
      </w:pPr>
      <w:r w:rsidRPr="002C6F6E">
        <w:rPr>
          <w:lang w:val="fr-FR"/>
        </w:rPr>
        <w:t xml:space="preserve">Notes explicatives sur la protection provisoire selon la </w:t>
      </w:r>
      <w:r w:rsidR="00EC2038">
        <w:rPr>
          <w:lang w:val="fr-FR"/>
        </w:rPr>
        <w:t xml:space="preserve">Convention </w:t>
      </w:r>
      <w:r w:rsidR="00A94E7B" w:rsidRPr="002C6F6E">
        <w:rPr>
          <w:lang w:val="fr-FR"/>
        </w:rPr>
        <w:t>UPOV</w:t>
      </w:r>
      <w:r w:rsidRPr="002C6F6E">
        <w:rPr>
          <w:lang w:val="fr-FR"/>
        </w:rPr>
        <w:t xml:space="preserve"> (</w:t>
      </w:r>
      <w:r w:rsidR="00A94E7B" w:rsidRPr="002C6F6E">
        <w:rPr>
          <w:lang w:val="fr-FR"/>
        </w:rPr>
        <w:t>document UP</w:t>
      </w:r>
      <w:r w:rsidRPr="002C6F6E">
        <w:rPr>
          <w:lang w:val="fr-FR"/>
        </w:rPr>
        <w:t>OV/EXN/PRP/2</w:t>
      </w:r>
      <w:r w:rsidR="00D92197">
        <w:rPr>
          <w:lang w:val="fr-FR"/>
        </w:rPr>
        <w:t> </w:t>
      </w:r>
      <w:r w:rsidRPr="002C6F6E">
        <w:rPr>
          <w:lang w:val="fr-FR"/>
        </w:rPr>
        <w:t>Draft</w:t>
      </w:r>
      <w:r w:rsidR="00D92197">
        <w:rPr>
          <w:lang w:val="fr-FR"/>
        </w:rPr>
        <w:t> </w:t>
      </w:r>
      <w:r w:rsidRPr="002C6F6E">
        <w:rPr>
          <w:lang w:val="fr-FR"/>
        </w:rPr>
        <w:t>1)</w:t>
      </w:r>
    </w:p>
    <w:p w:rsidR="00AA5D79" w:rsidRPr="002C6F6E" w:rsidRDefault="00AA5D79" w:rsidP="0070798E">
      <w:pPr>
        <w:rPr>
          <w:lang w:val="fr-FR"/>
        </w:rPr>
      </w:pPr>
    </w:p>
    <w:p w:rsidR="00AA5D79" w:rsidRPr="002C6F6E" w:rsidRDefault="00AA5D79" w:rsidP="0070798E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Sur la base des observations reçues</w:t>
      </w:r>
      <w:r w:rsidR="00A94E7B" w:rsidRPr="002C6F6E">
        <w:rPr>
          <w:lang w:val="fr-FR"/>
        </w:rPr>
        <w:t xml:space="preserve"> du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AG, de nouvelles versions des notes explicatives susmentionnées seront publiées pour le 2</w:t>
      </w:r>
      <w:r w:rsidR="00A94E7B" w:rsidRPr="002C6F6E">
        <w:rPr>
          <w:lang w:val="fr-FR"/>
        </w:rPr>
        <w:t>9 août 20</w:t>
      </w:r>
      <w:r w:rsidRPr="002C6F6E">
        <w:rPr>
          <w:lang w:val="fr-FR"/>
        </w:rPr>
        <w:t>14 et les membres et observateurs</w:t>
      </w:r>
      <w:r w:rsidR="00A94E7B" w:rsidRPr="002C6F6E">
        <w:rPr>
          <w:lang w:val="fr-FR"/>
        </w:rPr>
        <w:t xml:space="preserve"> du CAJ</w:t>
      </w:r>
      <w:r w:rsidRPr="002C6F6E">
        <w:rPr>
          <w:lang w:val="fr-FR"/>
        </w:rPr>
        <w:t xml:space="preserve"> notifiés en conséquence.</w:t>
      </w:r>
      <w:r w:rsidR="00A94E7B" w:rsidRPr="002C6F6E">
        <w:rPr>
          <w:lang w:val="fr-FR"/>
        </w:rPr>
        <w:t xml:space="preserve"> </w:t>
      </w:r>
      <w:r w:rsidR="00CA6FB9" w:rsidRPr="002C6F6E">
        <w:rPr>
          <w:lang w:val="fr-FR"/>
        </w:rPr>
        <w:t xml:space="preserve"> </w:t>
      </w:r>
      <w:r w:rsidR="00A94E7B" w:rsidRPr="002C6F6E">
        <w:rPr>
          <w:lang w:val="fr-FR"/>
        </w:rPr>
        <w:t>Le 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 examinera ces nouvelles versions</w:t>
      </w:r>
      <w:r w:rsidR="009A3968">
        <w:rPr>
          <w:lang w:val="fr-FR"/>
        </w:rPr>
        <w:t xml:space="preserve"> à sa neuvième session</w:t>
      </w:r>
      <w:r w:rsidRPr="002C6F6E">
        <w:rPr>
          <w:snapToGrid w:val="0"/>
          <w:lang w:val="fr-FR"/>
        </w:rPr>
        <w:t>.</w:t>
      </w:r>
    </w:p>
    <w:p w:rsidR="00AA5D79" w:rsidRPr="002C6F6E" w:rsidRDefault="00AA5D79" w:rsidP="002D1F0E">
      <w:pPr>
        <w:rPr>
          <w:lang w:val="fr-FR"/>
        </w:rPr>
      </w:pPr>
    </w:p>
    <w:p w:rsidR="00AA5D79" w:rsidRPr="002C6F6E" w:rsidRDefault="00AA5D79" w:rsidP="002D1F0E">
      <w:pPr>
        <w:rPr>
          <w:snapToGrid w:val="0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</w:t>
      </w:r>
      <w:r w:rsidRPr="002C6F6E">
        <w:rPr>
          <w:snapToGrid w:val="0"/>
          <w:lang w:val="fr-FR"/>
        </w:rPr>
        <w:t>e CAJ</w:t>
      </w:r>
      <w:r w:rsidR="0021798E" w:rsidRPr="002C6F6E">
        <w:rPr>
          <w:snapToGrid w:val="0"/>
          <w:lang w:val="fr-FR"/>
        </w:rPr>
        <w:noBreakHyphen/>
      </w:r>
      <w:r w:rsidRPr="002C6F6E">
        <w:rPr>
          <w:snapToGrid w:val="0"/>
          <w:lang w:val="fr-FR"/>
        </w:rPr>
        <w:t xml:space="preserve">AG a noté que, </w:t>
      </w:r>
      <w:r w:rsidRPr="002C6F6E">
        <w:rPr>
          <w:lang w:val="fr-FR"/>
        </w:rPr>
        <w:t>sous réserve d</w:t>
      </w:r>
      <w:r w:rsidR="00D92197">
        <w:rPr>
          <w:lang w:val="fr-FR"/>
        </w:rPr>
        <w:t>e</w:t>
      </w:r>
      <w:r w:rsidRPr="002C6F6E">
        <w:rPr>
          <w:lang w:val="fr-FR"/>
        </w:rPr>
        <w:t xml:space="preserve"> toute modification que</w:t>
      </w:r>
      <w:r w:rsidR="00A94E7B" w:rsidRPr="002C6F6E">
        <w:rPr>
          <w:lang w:val="fr-FR"/>
        </w:rPr>
        <w:t xml:space="preserve"> le </w:t>
      </w:r>
      <w:r w:rsidR="00A94E7B" w:rsidRPr="002C6F6E">
        <w:rPr>
          <w:snapToGrid w:val="0"/>
          <w:lang w:val="fr-FR"/>
        </w:rPr>
        <w:t>CAJ</w:t>
      </w:r>
      <w:r w:rsidRPr="002C6F6E">
        <w:rPr>
          <w:lang w:val="fr-FR"/>
        </w:rPr>
        <w:t xml:space="preserve"> pourrait approuver 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neuvième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session, qui se tiendra le 1</w:t>
      </w:r>
      <w:r w:rsidR="00A94E7B" w:rsidRPr="002C6F6E">
        <w:rPr>
          <w:lang w:val="fr-FR"/>
        </w:rPr>
        <w:t>0 avril 20</w:t>
      </w:r>
      <w:r w:rsidRPr="002C6F6E">
        <w:rPr>
          <w:lang w:val="fr-FR"/>
        </w:rPr>
        <w:t>14, la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dixième</w:t>
      </w:r>
      <w:r w:rsidR="00CA6FB9" w:rsidRPr="002C6F6E">
        <w:rPr>
          <w:lang w:val="fr-FR"/>
        </w:rPr>
        <w:t> </w:t>
      </w:r>
      <w:r w:rsidRPr="002C6F6E">
        <w:rPr>
          <w:snapToGrid w:val="0"/>
          <w:lang w:val="fr-FR"/>
        </w:rPr>
        <w:t>session</w:t>
      </w:r>
      <w:r w:rsidR="00A94E7B" w:rsidRPr="002C6F6E">
        <w:rPr>
          <w:snapToGrid w:val="0"/>
          <w:lang w:val="fr-FR"/>
        </w:rPr>
        <w:t xml:space="preserve"> du CAJ</w:t>
      </w:r>
      <w:r w:rsidRPr="002C6F6E">
        <w:rPr>
          <w:snapToGrid w:val="0"/>
          <w:lang w:val="fr-FR"/>
        </w:rPr>
        <w:t xml:space="preserve"> aurait lieu le 1</w:t>
      </w:r>
      <w:r w:rsidR="00A94E7B" w:rsidRPr="002C6F6E">
        <w:rPr>
          <w:snapToGrid w:val="0"/>
          <w:lang w:val="fr-FR"/>
        </w:rPr>
        <w:t>3 octobre 20</w:t>
      </w:r>
      <w:r w:rsidRPr="002C6F6E">
        <w:rPr>
          <w:snapToGrid w:val="0"/>
          <w:lang w:val="fr-FR"/>
        </w:rPr>
        <w:t>14 et la neuvième</w:t>
      </w:r>
      <w:r w:rsidR="00CA6FB9" w:rsidRPr="002C6F6E">
        <w:rPr>
          <w:snapToGrid w:val="0"/>
          <w:lang w:val="fr-FR"/>
        </w:rPr>
        <w:t> </w:t>
      </w:r>
      <w:r w:rsidRPr="002C6F6E">
        <w:rPr>
          <w:snapToGrid w:val="0"/>
          <w:lang w:val="fr-FR"/>
        </w:rPr>
        <w:t>session</w:t>
      </w:r>
      <w:r w:rsidR="00A94E7B" w:rsidRPr="002C6F6E">
        <w:rPr>
          <w:snapToGrid w:val="0"/>
          <w:lang w:val="fr-FR"/>
        </w:rPr>
        <w:t xml:space="preserve"> du CAJ</w:t>
      </w:r>
      <w:r w:rsidR="0021798E" w:rsidRPr="002C6F6E">
        <w:rPr>
          <w:snapToGrid w:val="0"/>
          <w:lang w:val="fr-FR"/>
        </w:rPr>
        <w:noBreakHyphen/>
      </w:r>
      <w:r w:rsidRPr="002C6F6E">
        <w:rPr>
          <w:snapToGrid w:val="0"/>
          <w:lang w:val="fr-FR"/>
        </w:rPr>
        <w:t>AG les 14 et 1</w:t>
      </w:r>
      <w:r w:rsidR="00A94E7B" w:rsidRPr="002C6F6E">
        <w:rPr>
          <w:snapToGrid w:val="0"/>
          <w:lang w:val="fr-FR"/>
        </w:rPr>
        <w:t>7 octobre 20</w:t>
      </w:r>
      <w:r w:rsidRPr="002C6F6E">
        <w:rPr>
          <w:snapToGrid w:val="0"/>
          <w:lang w:val="fr-FR"/>
        </w:rPr>
        <w:t xml:space="preserve">14 </w:t>
      </w:r>
      <w:r w:rsidRPr="002C6F6E">
        <w:rPr>
          <w:lang w:val="fr-FR"/>
        </w:rPr>
        <w:t>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83 du document CAJ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AG/13/8/10 “Compte rendu”)</w:t>
      </w:r>
      <w:r w:rsidRPr="002C6F6E">
        <w:rPr>
          <w:snapToGrid w:val="0"/>
          <w:lang w:val="fr-FR"/>
        </w:rPr>
        <w:t>.</w:t>
      </w:r>
    </w:p>
    <w:p w:rsidR="00AA5D79" w:rsidRPr="002C6F6E" w:rsidRDefault="00AA5D79" w:rsidP="002D1F0E">
      <w:pPr>
        <w:rPr>
          <w:lang w:val="fr-FR"/>
        </w:rPr>
      </w:pPr>
    </w:p>
    <w:p w:rsidR="00A94E7B" w:rsidRPr="002C6F6E" w:rsidRDefault="00AA5D79" w:rsidP="00506D31">
      <w:pPr>
        <w:pStyle w:val="DecisionParagraphs"/>
        <w:rPr>
          <w:spacing w:val="-2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:</w:t>
      </w:r>
    </w:p>
    <w:p w:rsidR="00AA5D79" w:rsidRPr="002C6F6E" w:rsidRDefault="00AA5D79" w:rsidP="00506D31">
      <w:pPr>
        <w:pStyle w:val="DecisionParagraphs"/>
        <w:rPr>
          <w:spacing w:val="-2"/>
          <w:lang w:val="fr-FR"/>
        </w:rPr>
      </w:pPr>
    </w:p>
    <w:p w:rsidR="00AA5D79" w:rsidRPr="002C6F6E" w:rsidRDefault="00AA5D79" w:rsidP="00863D97">
      <w:pPr>
        <w:pStyle w:val="DecisionParagraphs"/>
        <w:tabs>
          <w:tab w:val="left" w:pos="5954"/>
        </w:tabs>
        <w:rPr>
          <w:spacing w:val="-2"/>
          <w:lang w:val="fr-FR"/>
        </w:rPr>
      </w:pPr>
      <w:r w:rsidRPr="002C6F6E">
        <w:rPr>
          <w:spacing w:val="-2"/>
          <w:lang w:val="fr-FR"/>
        </w:rPr>
        <w:tab/>
        <w:t>a)</w:t>
      </w:r>
      <w:r w:rsidRPr="002C6F6E">
        <w:rPr>
          <w:spacing w:val="-2"/>
          <w:lang w:val="fr-FR"/>
        </w:rPr>
        <w:tab/>
        <w:t>approuver le programme de travail en vue de l</w:t>
      </w:r>
      <w:r w:rsidR="00A94E7B" w:rsidRPr="002C6F6E">
        <w:rPr>
          <w:spacing w:val="-2"/>
          <w:lang w:val="fr-FR"/>
        </w:rPr>
        <w:t>’</w:t>
      </w:r>
      <w:r w:rsidRPr="002C6F6E">
        <w:rPr>
          <w:spacing w:val="-2"/>
          <w:lang w:val="fr-FR"/>
        </w:rPr>
        <w:t>élaboration de matériel d</w:t>
      </w:r>
      <w:r w:rsidR="00A94E7B" w:rsidRPr="002C6F6E">
        <w:rPr>
          <w:spacing w:val="-2"/>
          <w:lang w:val="fr-FR"/>
        </w:rPr>
        <w:t>’</w:t>
      </w:r>
      <w:r w:rsidRPr="002C6F6E">
        <w:rPr>
          <w:spacing w:val="-2"/>
          <w:lang w:val="fr-FR"/>
        </w:rPr>
        <w:t>information pour la neuvième session du CAJ</w:t>
      </w:r>
      <w:r w:rsidR="0021798E" w:rsidRPr="002C6F6E">
        <w:rPr>
          <w:spacing w:val="-2"/>
          <w:lang w:val="fr-FR"/>
        </w:rPr>
        <w:noBreakHyphen/>
      </w:r>
      <w:r w:rsidRPr="002C6F6E">
        <w:rPr>
          <w:spacing w:val="-2"/>
          <w:lang w:val="fr-FR"/>
        </w:rPr>
        <w:t xml:space="preserve">AG, qui se tiendra en </w:t>
      </w:r>
      <w:r w:rsidRPr="009A3968">
        <w:rPr>
          <w:spacing w:val="-2"/>
          <w:lang w:val="fr-FR"/>
        </w:rPr>
        <w:t>octobre 2014, comme indiqué dans les paragraphes</w:t>
      </w:r>
      <w:r w:rsidR="00CA6FB9" w:rsidRPr="009A3968">
        <w:rPr>
          <w:spacing w:val="-2"/>
          <w:lang w:val="fr-FR"/>
        </w:rPr>
        <w:t> </w:t>
      </w:r>
      <w:r w:rsidRPr="009A3968">
        <w:rPr>
          <w:spacing w:val="-2"/>
          <w:lang w:val="fr-FR"/>
        </w:rPr>
        <w:t>65 à</w:t>
      </w:r>
      <w:r w:rsidR="008B249C" w:rsidRPr="009A3968">
        <w:rPr>
          <w:spacing w:val="-2"/>
          <w:lang w:val="fr-FR"/>
        </w:rPr>
        <w:t> </w:t>
      </w:r>
      <w:r w:rsidRPr="009A3968">
        <w:rPr>
          <w:spacing w:val="-2"/>
          <w:lang w:val="fr-FR"/>
        </w:rPr>
        <w:t>68 ci</w:t>
      </w:r>
      <w:r w:rsidR="0021798E" w:rsidRPr="009A3968">
        <w:rPr>
          <w:spacing w:val="-2"/>
          <w:lang w:val="fr-FR"/>
        </w:rPr>
        <w:noBreakHyphen/>
      </w:r>
      <w:r w:rsidRPr="009A3968">
        <w:rPr>
          <w:spacing w:val="-2"/>
          <w:lang w:val="fr-FR"/>
        </w:rPr>
        <w:t>dessus;</w:t>
      </w:r>
      <w:r w:rsidR="00CA6FB9" w:rsidRPr="009A3968">
        <w:rPr>
          <w:spacing w:val="-2"/>
          <w:lang w:val="fr-FR"/>
        </w:rPr>
        <w:t xml:space="preserve"> </w:t>
      </w:r>
      <w:r w:rsidRPr="009A3968">
        <w:rPr>
          <w:spacing w:val="-2"/>
          <w:lang w:val="fr-FR"/>
        </w:rPr>
        <w:t xml:space="preserve"> et</w:t>
      </w:r>
    </w:p>
    <w:p w:rsidR="00AA5D79" w:rsidRPr="002C6F6E" w:rsidRDefault="00AA5D79" w:rsidP="00863D97">
      <w:pPr>
        <w:pStyle w:val="DecisionParagraphs"/>
        <w:tabs>
          <w:tab w:val="left" w:pos="5954"/>
        </w:tabs>
        <w:rPr>
          <w:spacing w:val="-2"/>
          <w:lang w:val="fr-FR"/>
        </w:rPr>
      </w:pPr>
    </w:p>
    <w:p w:rsidR="00AA5D79" w:rsidRPr="002C6F6E" w:rsidRDefault="00AA5D79" w:rsidP="00863D97">
      <w:pPr>
        <w:pStyle w:val="DecisionParagraphs"/>
        <w:tabs>
          <w:tab w:val="left" w:pos="5954"/>
        </w:tabs>
        <w:rPr>
          <w:snapToGrid w:val="0"/>
          <w:lang w:val="fr-FR"/>
        </w:rPr>
      </w:pPr>
      <w:r w:rsidRPr="002C6F6E">
        <w:rPr>
          <w:spacing w:val="-2"/>
          <w:lang w:val="fr-FR"/>
        </w:rPr>
        <w:tab/>
        <w:t>b)</w:t>
      </w:r>
      <w:r w:rsidRPr="002C6F6E">
        <w:rPr>
          <w:spacing w:val="-2"/>
          <w:lang w:val="fr-FR"/>
        </w:rPr>
        <w:tab/>
      </w:r>
      <w:r w:rsidR="009A3968">
        <w:rPr>
          <w:spacing w:val="-2"/>
          <w:lang w:val="fr-FR"/>
        </w:rPr>
        <w:t xml:space="preserve">convenir </w:t>
      </w:r>
      <w:r w:rsidRPr="002C6F6E">
        <w:rPr>
          <w:spacing w:val="-2"/>
          <w:lang w:val="fr-FR"/>
        </w:rPr>
        <w:t>que la neuvième</w:t>
      </w:r>
      <w:r w:rsidR="00CA6FB9" w:rsidRPr="002C6F6E">
        <w:rPr>
          <w:spacing w:val="-2"/>
          <w:lang w:val="fr-FR"/>
        </w:rPr>
        <w:t> </w:t>
      </w:r>
      <w:r w:rsidRPr="002C6F6E">
        <w:rPr>
          <w:spacing w:val="-2"/>
          <w:lang w:val="fr-FR"/>
        </w:rPr>
        <w:t>session</w:t>
      </w:r>
      <w:r w:rsidR="00A94E7B" w:rsidRPr="002C6F6E">
        <w:rPr>
          <w:snapToGrid w:val="0"/>
          <w:lang w:val="fr-FR"/>
        </w:rPr>
        <w:t xml:space="preserve"> du CAJ</w:t>
      </w:r>
      <w:r w:rsidR="0021798E" w:rsidRPr="002C6F6E">
        <w:rPr>
          <w:snapToGrid w:val="0"/>
          <w:lang w:val="fr-FR"/>
        </w:rPr>
        <w:noBreakHyphen/>
      </w:r>
      <w:r w:rsidRPr="002C6F6E">
        <w:rPr>
          <w:snapToGrid w:val="0"/>
          <w:lang w:val="fr-FR"/>
        </w:rPr>
        <w:t xml:space="preserve">AG se </w:t>
      </w:r>
      <w:r w:rsidR="009A3968">
        <w:rPr>
          <w:snapToGrid w:val="0"/>
          <w:lang w:val="fr-FR"/>
        </w:rPr>
        <w:t xml:space="preserve">tienne </w:t>
      </w:r>
      <w:r w:rsidRPr="002C6F6E">
        <w:rPr>
          <w:snapToGrid w:val="0"/>
          <w:lang w:val="fr-FR"/>
        </w:rPr>
        <w:t>les 14 et 1</w:t>
      </w:r>
      <w:r w:rsidR="00A94E7B" w:rsidRPr="002C6F6E">
        <w:rPr>
          <w:snapToGrid w:val="0"/>
          <w:lang w:val="fr-FR"/>
        </w:rPr>
        <w:t>7 octobre 20</w:t>
      </w:r>
      <w:r w:rsidRPr="002C6F6E">
        <w:rPr>
          <w:snapToGrid w:val="0"/>
          <w:lang w:val="fr-FR"/>
        </w:rPr>
        <w:t>14.</w:t>
      </w:r>
    </w:p>
    <w:p w:rsidR="00AA5D79" w:rsidRPr="002C6F6E" w:rsidRDefault="00AA5D79" w:rsidP="00E23AE7">
      <w:pPr>
        <w:rPr>
          <w:highlight w:val="yellow"/>
          <w:lang w:val="fr-FR"/>
        </w:rPr>
      </w:pPr>
    </w:p>
    <w:p w:rsidR="00AA5D79" w:rsidRPr="002C6F6E" w:rsidRDefault="00AA5D79" w:rsidP="00E23AE7">
      <w:pPr>
        <w:rPr>
          <w:lang w:val="fr-FR"/>
        </w:rPr>
      </w:pPr>
    </w:p>
    <w:p w:rsidR="00AA5D79" w:rsidRPr="002C6F6E" w:rsidRDefault="00AA5D79" w:rsidP="003517DA">
      <w:pPr>
        <w:pStyle w:val="Heading2"/>
        <w:rPr>
          <w:lang w:val="fr-FR"/>
        </w:rPr>
      </w:pPr>
      <w:bookmarkStart w:id="27" w:name="_Toc381194425"/>
      <w:r w:rsidRPr="002C6F6E">
        <w:rPr>
          <w:lang w:val="fr-FR"/>
        </w:rPr>
        <w:lastRenderedPageBreak/>
        <w:t>Mise à jour du document UPOV/INF/5 “Bulletin type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de la protection des obtentions végétales”</w:t>
      </w:r>
      <w:bookmarkEnd w:id="27"/>
    </w:p>
    <w:p w:rsidR="00AA5D79" w:rsidRPr="002C6F6E" w:rsidRDefault="00AA5D79" w:rsidP="00E23AE7">
      <w:pPr>
        <w:keepNext/>
        <w:rPr>
          <w:lang w:val="fr-FR"/>
        </w:rPr>
      </w:pPr>
    </w:p>
    <w:p w:rsidR="00AA5D79" w:rsidRPr="002C6F6E" w:rsidRDefault="00AA5D79" w:rsidP="007B2131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huitième session tenue à Genève le 21 octobre 2013,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ajouter un point concernant la mise à jour du document UPOV/INF/5 “Bulletin type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de la protection des obtentions végétales” au programme de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dixième session qui se tiendra en octobre 2014 (voir le paragraphe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17 du document CAJ/68/10 “Compte rendu des conclusions”).</w:t>
      </w:r>
    </w:p>
    <w:p w:rsidR="00AA5D79" w:rsidRPr="002C6F6E" w:rsidRDefault="00AA5D79" w:rsidP="007B2131">
      <w:pPr>
        <w:rPr>
          <w:lang w:val="fr-FR"/>
        </w:rPr>
      </w:pPr>
    </w:p>
    <w:p w:rsidR="00AA5D79" w:rsidRPr="002C6F6E" w:rsidRDefault="00AA5D79" w:rsidP="00E85CCE">
      <w:pPr>
        <w:pStyle w:val="DecisionParagraphs"/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CAJ est invité à prendre note qu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il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ajouter un point concernant la mise à jour du document UPOV/INF/5 “Bulletin type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de la protection des obtentions végétales” au programme de sa soixante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dixième session qui se tiendra en octobre 2014.</w:t>
      </w:r>
    </w:p>
    <w:p w:rsidR="00AA5D79" w:rsidRPr="002C6F6E" w:rsidRDefault="00AA5D79" w:rsidP="00E23AE7">
      <w:pPr>
        <w:rPr>
          <w:lang w:val="fr-FR"/>
        </w:rPr>
      </w:pPr>
    </w:p>
    <w:p w:rsidR="00AA5D79" w:rsidRPr="002C6F6E" w:rsidRDefault="00AA5D79" w:rsidP="00C852C1">
      <w:pPr>
        <w:ind w:right="566"/>
        <w:rPr>
          <w:lang w:val="fr-FR"/>
        </w:rPr>
      </w:pPr>
    </w:p>
    <w:p w:rsidR="00AA5D79" w:rsidRPr="002C6F6E" w:rsidRDefault="00AA5D79" w:rsidP="002D1F0E">
      <w:pPr>
        <w:pStyle w:val="Heading2"/>
        <w:rPr>
          <w:lang w:val="fr-FR"/>
        </w:rPr>
      </w:pPr>
      <w:bookmarkStart w:id="28" w:name="_Toc381194426"/>
      <w:r w:rsidRPr="002C6F6E">
        <w:rPr>
          <w:lang w:val="fr-FR"/>
        </w:rPr>
        <w:t>Révision du document UPOV/INF/15 “Document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 destiné aux membres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concernant les obligations en cours et les notifications connexes ainsi que la fourniture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</w:t>
      </w:r>
      <w:r w:rsidR="008B249C">
        <w:rPr>
          <w:lang w:val="fr-FR"/>
        </w:rPr>
        <w:t>ormations visant à faciliter la </w:t>
      </w:r>
      <w:r w:rsidRPr="002C6F6E">
        <w:rPr>
          <w:lang w:val="fr-FR"/>
        </w:rPr>
        <w:t>coopération</w:t>
      </w:r>
      <w:r w:rsidRPr="002C6F6E">
        <w:rPr>
          <w:u w:val="none"/>
          <w:lang w:val="fr-FR"/>
        </w:rPr>
        <w:t>”</w:t>
      </w:r>
      <w:bookmarkEnd w:id="28"/>
    </w:p>
    <w:p w:rsidR="00AA5D79" w:rsidRPr="002C6F6E" w:rsidRDefault="00AA5D79" w:rsidP="00E23AE7">
      <w:pPr>
        <w:keepNext/>
        <w:rPr>
          <w:snapToGrid w:val="0"/>
          <w:lang w:val="fr-FR"/>
        </w:rPr>
      </w:pPr>
    </w:p>
    <w:p w:rsidR="00AA5D79" w:rsidRPr="002C6F6E" w:rsidRDefault="00AA5D79" w:rsidP="004C0248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À sa quatre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vingt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sixième session tenue à Genève les 23 et 2</w:t>
      </w:r>
      <w:r w:rsidR="00A94E7B" w:rsidRPr="002C6F6E">
        <w:rPr>
          <w:lang w:val="fr-FR"/>
        </w:rPr>
        <w:t>4 octobre</w:t>
      </w:r>
      <w:r w:rsidRPr="002C6F6E">
        <w:rPr>
          <w:lang w:val="fr-FR"/>
        </w:rPr>
        <w:t> 2013, le Comité consultatif a examiné la lettre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ISF datée du 21 janvier 2013, portant sur “Les demandes de droits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obtenteur du point de vue de la demande,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examen de la demande et de la délivrance du titre”.</w:t>
      </w:r>
    </w:p>
    <w:p w:rsidR="00AA5D79" w:rsidRPr="002C6F6E" w:rsidRDefault="00AA5D79" w:rsidP="004C0248">
      <w:pPr>
        <w:rPr>
          <w:lang w:val="fr-FR"/>
        </w:rPr>
      </w:pPr>
    </w:p>
    <w:p w:rsidR="00AA5D79" w:rsidRPr="002C6F6E" w:rsidRDefault="00AA5D79" w:rsidP="004C0248">
      <w:pPr>
        <w:rPr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Comité consultatif a approuvé la transformation du document UPOV/INF/15 “Document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orientation destiné aux membres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UPOV concernant les obligations en cours et les notifications connexes ainsi que la fourniture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informations visant à faciliter la coopération” en un document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cadre qui déterminerait les questions clés pour le fonctionnement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un système de protection des obtentions végétales et fournirait des liens renvoyant aux documents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détaillés.</w:t>
      </w:r>
    </w:p>
    <w:p w:rsidR="00AA5D79" w:rsidRPr="002C6F6E" w:rsidRDefault="00AA5D79" w:rsidP="004C0248">
      <w:pPr>
        <w:rPr>
          <w:lang w:val="fr-FR"/>
        </w:rPr>
      </w:pPr>
    </w:p>
    <w:p w:rsidR="00AA5D79" w:rsidRPr="002C6F6E" w:rsidRDefault="00AA5D79" w:rsidP="004C0248">
      <w:pPr>
        <w:rPr>
          <w:snapToGrid w:val="0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 Comité consultatif est convenu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inviter le CAJ et le</w:t>
      </w:r>
      <w:r w:rsidR="00A94E7B" w:rsidRPr="002C6F6E">
        <w:rPr>
          <w:lang w:val="fr-FR"/>
        </w:rPr>
        <w:t> TC</w:t>
      </w:r>
      <w:r w:rsidRPr="002C6F6E">
        <w:rPr>
          <w:lang w:val="fr-FR"/>
        </w:rPr>
        <w:t xml:space="preserve"> à examiner les recommandations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ISF concernant le matériel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 existant et futur, parallèlement à la transformation du document UPOV/INF/15 en un document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cadre </w:t>
      </w:r>
      <w:r w:rsidRPr="002C6F6E">
        <w:rPr>
          <w:snapToGrid w:val="0"/>
          <w:lang w:val="fr-FR"/>
        </w:rPr>
        <w:t>(voir les paragraphes</w:t>
      </w:r>
      <w:r w:rsidR="00CA6FB9" w:rsidRPr="002C6F6E">
        <w:rPr>
          <w:snapToGrid w:val="0"/>
          <w:lang w:val="fr-FR"/>
        </w:rPr>
        <w:t> </w:t>
      </w:r>
      <w:r w:rsidRPr="002C6F6E">
        <w:rPr>
          <w:snapToGrid w:val="0"/>
          <w:lang w:val="fr-FR"/>
        </w:rPr>
        <w:t>62 à</w:t>
      </w:r>
      <w:r w:rsidR="00875A65" w:rsidRPr="002C6F6E">
        <w:rPr>
          <w:snapToGrid w:val="0"/>
          <w:lang w:val="fr-FR"/>
        </w:rPr>
        <w:t> </w:t>
      </w:r>
      <w:r w:rsidRPr="002C6F6E">
        <w:rPr>
          <w:snapToGrid w:val="0"/>
          <w:lang w:val="fr-FR"/>
        </w:rPr>
        <w:t xml:space="preserve">66 du </w:t>
      </w:r>
      <w:r w:rsidRPr="002C6F6E">
        <w:rPr>
          <w:lang w:val="fr-FR"/>
        </w:rPr>
        <w:t>document C/47/15</w:t>
      </w:r>
      <w:r w:rsidR="00CA6FB9" w:rsidRPr="002C6F6E">
        <w:rPr>
          <w:lang w:val="fr-FR"/>
        </w:rPr>
        <w:t> </w:t>
      </w:r>
      <w:r w:rsidRPr="002C6F6E">
        <w:rPr>
          <w:lang w:val="fr-FR"/>
        </w:rPr>
        <w:t>Rev.</w:t>
      </w:r>
      <w:r w:rsidR="009A3968">
        <w:rPr>
          <w:lang w:val="fr-FR"/>
        </w:rPr>
        <w:t xml:space="preserve"> </w:t>
      </w:r>
      <w:r w:rsidR="009A3968" w:rsidRPr="004C0248">
        <w:t>“</w:t>
      </w:r>
      <w:r w:rsidR="009A3968" w:rsidRPr="009A3968">
        <w:rPr>
          <w:i/>
        </w:rPr>
        <w:t>Report by the President on the work of the eighty-sixth session of the Consultative Committee; adoption of recommendations, if any, prepared by that Committee</w:t>
      </w:r>
      <w:r w:rsidR="009A3968" w:rsidRPr="004C0248">
        <w:t>”</w:t>
      </w:r>
      <w:r w:rsidRPr="002C6F6E">
        <w:rPr>
          <w:lang w:val="fr-FR"/>
        </w:rPr>
        <w:t xml:space="preserve"> </w:t>
      </w:r>
      <w:r w:rsidR="009A3968">
        <w:rPr>
          <w:lang w:val="fr-FR"/>
        </w:rPr>
        <w:t>(</w:t>
      </w:r>
      <w:r w:rsidRPr="002C6F6E">
        <w:rPr>
          <w:lang w:val="fr-FR"/>
        </w:rPr>
        <w:t>Rapport du président sur les travaux de la quatre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>vingt</w:t>
      </w:r>
      <w:r w:rsidR="0021798E" w:rsidRPr="002C6F6E">
        <w:rPr>
          <w:lang w:val="fr-FR"/>
        </w:rPr>
        <w:noBreakHyphen/>
      </w:r>
      <w:r w:rsidRPr="002C6F6E">
        <w:rPr>
          <w:lang w:val="fr-FR"/>
        </w:rPr>
        <w:t xml:space="preserve">sixième session du Comité consultatif; </w:t>
      </w:r>
      <w:r w:rsidR="00CA6FB9" w:rsidRPr="002C6F6E">
        <w:rPr>
          <w:lang w:val="fr-FR"/>
        </w:rPr>
        <w:t xml:space="preserve"> </w:t>
      </w:r>
      <w:r w:rsidRPr="002C6F6E">
        <w:rPr>
          <w:lang w:val="fr-FR"/>
        </w:rPr>
        <w:t>adoption, le cas échéant, des recommandations élaborées par ce comité</w:t>
      </w:r>
      <w:r w:rsidRPr="002C6F6E">
        <w:rPr>
          <w:snapToGrid w:val="0"/>
          <w:lang w:val="fr-FR"/>
        </w:rPr>
        <w:t>).</w:t>
      </w:r>
    </w:p>
    <w:p w:rsidR="00AA5D79" w:rsidRPr="002C6F6E" w:rsidRDefault="00AA5D79" w:rsidP="004C0248">
      <w:pPr>
        <w:rPr>
          <w:lang w:val="fr-FR"/>
        </w:rPr>
      </w:pPr>
    </w:p>
    <w:p w:rsidR="00AA5D79" w:rsidRPr="002C6F6E" w:rsidRDefault="00AA5D79" w:rsidP="004C0248">
      <w:pPr>
        <w:rPr>
          <w:kern w:val="28"/>
          <w:lang w:val="fr-FR"/>
        </w:rPr>
      </w:pPr>
      <w:r w:rsidRPr="002C6F6E">
        <w:rPr>
          <w:lang w:val="fr-FR"/>
        </w:rPr>
        <w:fldChar w:fldCharType="begin"/>
      </w:r>
      <w:r w:rsidRPr="002C6F6E">
        <w:rPr>
          <w:lang w:val="fr-FR"/>
        </w:rPr>
        <w:instrText xml:space="preserve"> AUTONUM  </w:instrText>
      </w:r>
      <w:r w:rsidRPr="002C6F6E">
        <w:rPr>
          <w:lang w:val="fr-FR"/>
        </w:rPr>
        <w:fldChar w:fldCharType="end"/>
      </w:r>
      <w:r w:rsidRPr="002C6F6E">
        <w:rPr>
          <w:lang w:val="fr-FR"/>
        </w:rPr>
        <w:tab/>
        <w:t>Les questions soulevées par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ISF que le Comité consultatif a décidé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inviter</w:t>
      </w:r>
      <w:r w:rsidR="00A94E7B" w:rsidRPr="002C6F6E">
        <w:rPr>
          <w:lang w:val="fr-FR"/>
        </w:rPr>
        <w:t xml:space="preserve"> le CAJ</w:t>
      </w:r>
      <w:r w:rsidRPr="002C6F6E">
        <w:rPr>
          <w:lang w:val="fr-FR"/>
        </w:rPr>
        <w:t xml:space="preserve"> à examiner sont présentées dans le document CAJ/69/10 “Questions soulevées par l</w:t>
      </w:r>
      <w:r w:rsidR="00A94E7B" w:rsidRPr="002C6F6E">
        <w:rPr>
          <w:lang w:val="fr-FR"/>
        </w:rPr>
        <w:t>’</w:t>
      </w:r>
      <w:r w:rsidRPr="009A3968">
        <w:rPr>
          <w:i/>
          <w:lang w:val="fr-FR"/>
        </w:rPr>
        <w:t>International Seed Federation</w:t>
      </w:r>
      <w:r w:rsidRPr="002C6F6E">
        <w:rPr>
          <w:lang w:val="fr-FR"/>
        </w:rPr>
        <w:t xml:space="preserve"> (ISF)</w:t>
      </w:r>
      <w:r w:rsidRPr="002C6F6E">
        <w:rPr>
          <w:kern w:val="28"/>
          <w:lang w:val="fr-FR"/>
        </w:rPr>
        <w:t>”.</w:t>
      </w:r>
    </w:p>
    <w:p w:rsidR="00AA5D79" w:rsidRPr="002C6F6E" w:rsidRDefault="00AA5D79" w:rsidP="004C0248">
      <w:pPr>
        <w:rPr>
          <w:kern w:val="28"/>
          <w:lang w:val="fr-FR"/>
        </w:rPr>
      </w:pPr>
    </w:p>
    <w:p w:rsidR="00AA5D79" w:rsidRPr="002C6F6E" w:rsidRDefault="00AA5D79" w:rsidP="00913032">
      <w:pPr>
        <w:pStyle w:val="DecisionParagraphs"/>
        <w:keepNext/>
        <w:keepLines/>
        <w:rPr>
          <w:lang w:val="fr-FR"/>
        </w:rPr>
      </w:pPr>
      <w:r w:rsidRPr="00333FF2">
        <w:rPr>
          <w:lang w:val="fr-FR"/>
        </w:rPr>
        <w:fldChar w:fldCharType="begin"/>
      </w:r>
      <w:r w:rsidRPr="00333FF2">
        <w:rPr>
          <w:lang w:val="fr-FR"/>
        </w:rPr>
        <w:instrText xml:space="preserve"> AUTONUM  </w:instrText>
      </w:r>
      <w:r w:rsidRPr="00333FF2">
        <w:rPr>
          <w:lang w:val="fr-FR"/>
        </w:rPr>
        <w:fldChar w:fldCharType="end"/>
      </w:r>
      <w:r w:rsidRPr="00333FF2">
        <w:rPr>
          <w:lang w:val="fr-FR"/>
        </w:rPr>
        <w:tab/>
        <w:t xml:space="preserve">Le CAJ est invité à prendre </w:t>
      </w:r>
      <w:r w:rsidRPr="00333FF2">
        <w:rPr>
          <w:spacing w:val="-2"/>
          <w:lang w:val="fr-FR"/>
        </w:rPr>
        <w:t xml:space="preserve">note </w:t>
      </w:r>
      <w:r w:rsidR="00333FF2">
        <w:rPr>
          <w:spacing w:val="-2"/>
          <w:lang w:val="fr-FR"/>
        </w:rPr>
        <w:t xml:space="preserve">du fait que </w:t>
      </w:r>
      <w:r w:rsidRPr="00333FF2">
        <w:rPr>
          <w:spacing w:val="-2"/>
          <w:lang w:val="fr-FR"/>
        </w:rPr>
        <w:t>la</w:t>
      </w:r>
      <w:r w:rsidRPr="00333FF2">
        <w:rPr>
          <w:lang w:val="fr-FR"/>
        </w:rPr>
        <w:t xml:space="preserve"> révision du document UPOV/INF/15</w:t>
      </w:r>
      <w:r w:rsidR="00333FF2">
        <w:rPr>
          <w:lang w:val="fr-FR"/>
        </w:rPr>
        <w:t xml:space="preserve">, destinée à </w:t>
      </w:r>
      <w:r w:rsidRPr="00333FF2">
        <w:rPr>
          <w:lang w:val="fr-FR"/>
        </w:rPr>
        <w:t>inclure les questions soulevées par l</w:t>
      </w:r>
      <w:r w:rsidR="00A94E7B" w:rsidRPr="00333FF2">
        <w:rPr>
          <w:lang w:val="fr-FR"/>
        </w:rPr>
        <w:t>’</w:t>
      </w:r>
      <w:r w:rsidRPr="00333FF2">
        <w:rPr>
          <w:lang w:val="fr-FR"/>
        </w:rPr>
        <w:t>ISF que le Comité consultatif a décidé d</w:t>
      </w:r>
      <w:r w:rsidR="00A94E7B" w:rsidRPr="00333FF2">
        <w:rPr>
          <w:lang w:val="fr-FR"/>
        </w:rPr>
        <w:t>’</w:t>
      </w:r>
      <w:r w:rsidRPr="00333FF2">
        <w:rPr>
          <w:lang w:val="fr-FR"/>
        </w:rPr>
        <w:t>inviter</w:t>
      </w:r>
      <w:r w:rsidR="00A94E7B" w:rsidRPr="00333FF2">
        <w:rPr>
          <w:lang w:val="fr-FR"/>
        </w:rPr>
        <w:t xml:space="preserve"> le CAJ</w:t>
      </w:r>
      <w:r w:rsidRPr="00333FF2">
        <w:rPr>
          <w:lang w:val="fr-FR"/>
        </w:rPr>
        <w:t xml:space="preserve"> à examiner</w:t>
      </w:r>
      <w:r w:rsidR="00333FF2">
        <w:rPr>
          <w:lang w:val="fr-FR"/>
        </w:rPr>
        <w:t>, est</w:t>
      </w:r>
      <w:r w:rsidRPr="00333FF2">
        <w:rPr>
          <w:lang w:val="fr-FR"/>
        </w:rPr>
        <w:t xml:space="preserve"> présentée dans le document CAJ/69/10 “Questions soulevées par l</w:t>
      </w:r>
      <w:r w:rsidR="00A94E7B" w:rsidRPr="00333FF2">
        <w:rPr>
          <w:lang w:val="fr-FR"/>
        </w:rPr>
        <w:t>’</w:t>
      </w:r>
      <w:r w:rsidRPr="009A3968">
        <w:rPr>
          <w:i w:val="0"/>
          <w:lang w:val="fr-FR"/>
        </w:rPr>
        <w:t>International Seed Federation</w:t>
      </w:r>
      <w:r w:rsidRPr="00333FF2">
        <w:rPr>
          <w:lang w:val="fr-FR"/>
        </w:rPr>
        <w:t xml:space="preserve"> (ISF)</w:t>
      </w:r>
      <w:r w:rsidRPr="00333FF2">
        <w:rPr>
          <w:kern w:val="28"/>
          <w:lang w:val="fr-FR"/>
        </w:rPr>
        <w:t>”.</w:t>
      </w:r>
    </w:p>
    <w:p w:rsidR="00AA5D79" w:rsidRPr="002C6F6E" w:rsidRDefault="00AA5D79" w:rsidP="003517DA">
      <w:pPr>
        <w:rPr>
          <w:lang w:val="fr-FR"/>
        </w:rPr>
      </w:pPr>
    </w:p>
    <w:p w:rsidR="00AA5D79" w:rsidRPr="002C6F6E" w:rsidRDefault="00AA5D79" w:rsidP="004C0248">
      <w:pPr>
        <w:rPr>
          <w:lang w:val="fr-FR"/>
        </w:rPr>
      </w:pPr>
    </w:p>
    <w:p w:rsidR="00AA5D79" w:rsidRPr="002C6F6E" w:rsidRDefault="00AA5D79" w:rsidP="004C0248">
      <w:pPr>
        <w:rPr>
          <w:lang w:val="fr-FR"/>
        </w:rPr>
      </w:pPr>
    </w:p>
    <w:p w:rsidR="00AA5D79" w:rsidRPr="002C6F6E" w:rsidRDefault="00AA5D79" w:rsidP="004C0248">
      <w:pPr>
        <w:jc w:val="right"/>
        <w:rPr>
          <w:snapToGrid w:val="0"/>
          <w:lang w:val="fr-FR"/>
        </w:rPr>
      </w:pPr>
      <w:r w:rsidRPr="002C6F6E">
        <w:rPr>
          <w:snapToGrid w:val="0"/>
          <w:lang w:val="fr-FR"/>
        </w:rPr>
        <w:t>[L</w:t>
      </w:r>
      <w:r w:rsidR="00A94E7B" w:rsidRPr="002C6F6E">
        <w:rPr>
          <w:snapToGrid w:val="0"/>
          <w:lang w:val="fr-FR"/>
        </w:rPr>
        <w:t>’</w:t>
      </w:r>
      <w:r w:rsidRPr="002C6F6E">
        <w:rPr>
          <w:snapToGrid w:val="0"/>
          <w:lang w:val="fr-FR"/>
        </w:rPr>
        <w:t>annexe suit]</w:t>
      </w:r>
    </w:p>
    <w:p w:rsidR="00AA5D79" w:rsidRPr="002C6F6E" w:rsidRDefault="00AA5D79" w:rsidP="004453BD">
      <w:pPr>
        <w:pStyle w:val="DecisionParagraphs"/>
        <w:rPr>
          <w:snapToGrid w:val="0"/>
          <w:lang w:val="fr-FR"/>
        </w:rPr>
      </w:pPr>
    </w:p>
    <w:p w:rsidR="00AA5D79" w:rsidRPr="002C6F6E" w:rsidRDefault="00AA5D79" w:rsidP="004453BD">
      <w:pPr>
        <w:jc w:val="right"/>
        <w:rPr>
          <w:lang w:val="fr-FR"/>
        </w:rPr>
        <w:sectPr w:rsidR="00AA5D79" w:rsidRPr="002C6F6E" w:rsidSect="00F253B8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A5D79" w:rsidRPr="002C6F6E" w:rsidRDefault="00AA5D79" w:rsidP="004453BD">
      <w:pPr>
        <w:jc w:val="center"/>
        <w:rPr>
          <w:lang w:val="fr-FR"/>
        </w:rPr>
      </w:pPr>
      <w:r w:rsidRPr="002C6F6E">
        <w:rPr>
          <w:lang w:val="fr-FR"/>
        </w:rPr>
        <w:lastRenderedPageBreak/>
        <w:t>CAJ/69/2</w:t>
      </w:r>
    </w:p>
    <w:p w:rsidR="00AA5D79" w:rsidRPr="002C6F6E" w:rsidRDefault="00AA5D79" w:rsidP="004453BD">
      <w:pPr>
        <w:jc w:val="center"/>
        <w:rPr>
          <w:lang w:val="fr-FR"/>
        </w:rPr>
      </w:pPr>
    </w:p>
    <w:p w:rsidR="00AA5D79" w:rsidRPr="002C6F6E" w:rsidRDefault="00AA5D79" w:rsidP="004453BD">
      <w:pPr>
        <w:jc w:val="center"/>
        <w:rPr>
          <w:lang w:val="fr-FR"/>
        </w:rPr>
      </w:pPr>
      <w:r w:rsidRPr="002C6F6E">
        <w:rPr>
          <w:lang w:val="fr-FR"/>
        </w:rPr>
        <w:t>ANNEXE</w:t>
      </w:r>
    </w:p>
    <w:p w:rsidR="00AA5D79" w:rsidRPr="002C6F6E" w:rsidRDefault="00AA5D79" w:rsidP="004453BD">
      <w:pPr>
        <w:jc w:val="center"/>
        <w:rPr>
          <w:sz w:val="16"/>
          <w:szCs w:val="16"/>
          <w:lang w:val="fr-FR"/>
        </w:rPr>
      </w:pPr>
    </w:p>
    <w:p w:rsidR="00AA5D79" w:rsidRPr="002C6F6E" w:rsidRDefault="00AA5D79" w:rsidP="004453BD">
      <w:pPr>
        <w:jc w:val="center"/>
        <w:rPr>
          <w:lang w:val="fr-FR"/>
        </w:rPr>
      </w:pPr>
      <w:r w:rsidRPr="002C6F6E">
        <w:rPr>
          <w:lang w:val="fr-FR"/>
        </w:rPr>
        <w:t xml:space="preserve">APERÇU </w:t>
      </w:r>
      <w:r w:rsidR="00D92197">
        <w:rPr>
          <w:lang w:val="fr-FR"/>
        </w:rPr>
        <w:t>GÉNÉRAL</w:t>
      </w:r>
      <w:r w:rsidRPr="002C6F6E">
        <w:rPr>
          <w:lang w:val="fr-FR"/>
        </w:rPr>
        <w:t xml:space="preserve"> DES MATÉRIELS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</w:t>
      </w:r>
    </w:p>
    <w:p w:rsidR="00AA5D79" w:rsidRPr="002C6F6E" w:rsidRDefault="00AA5D79" w:rsidP="004453BD">
      <w:pPr>
        <w:jc w:val="center"/>
        <w:rPr>
          <w:sz w:val="16"/>
          <w:szCs w:val="16"/>
          <w:lang w:val="fr-FR"/>
        </w:rPr>
      </w:pPr>
    </w:p>
    <w:p w:rsidR="00AA5D79" w:rsidRPr="002C6F6E" w:rsidRDefault="00AA5D79" w:rsidP="004453BD">
      <w:pPr>
        <w:jc w:val="center"/>
        <w:rPr>
          <w:sz w:val="16"/>
          <w:szCs w:val="16"/>
          <w:lang w:val="fr-FR"/>
        </w:rPr>
      </w:pPr>
    </w:p>
    <w:p w:rsidR="00AA5D79" w:rsidRPr="002C6F6E" w:rsidRDefault="00AA5D79" w:rsidP="004453BD">
      <w:pPr>
        <w:jc w:val="left"/>
        <w:rPr>
          <w:lang w:val="fr-FR"/>
        </w:rPr>
      </w:pPr>
      <w:r w:rsidRPr="002C6F6E">
        <w:rPr>
          <w:lang w:val="fr-FR"/>
        </w:rPr>
        <w:t>NOTES EXPLICATIVES</w:t>
      </w:r>
    </w:p>
    <w:p w:rsidR="00AA5D79" w:rsidRPr="002C6F6E" w:rsidRDefault="00AA5D79" w:rsidP="004453BD">
      <w:pPr>
        <w:jc w:val="left"/>
        <w:rPr>
          <w:sz w:val="16"/>
          <w:szCs w:val="16"/>
          <w:lang w:val="fr-FR"/>
        </w:rPr>
      </w:pPr>
    </w:p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AA5D79" w:rsidRPr="002C6F6E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Référence</w:t>
            </w:r>
          </w:p>
        </w:tc>
        <w:tc>
          <w:tcPr>
            <w:tcW w:w="4717" w:type="dxa"/>
            <w:shd w:val="clear" w:color="auto" w:fill="D9D9D9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Notes explicatives sur les questions suivantes</w:t>
            </w:r>
            <w:r w:rsidR="00CA6FB9" w:rsidRPr="002C6F6E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:</w:t>
            </w:r>
          </w:p>
        </w:tc>
        <w:tc>
          <w:tcPr>
            <w:tcW w:w="3912" w:type="dxa"/>
            <w:shd w:val="clear" w:color="auto" w:fill="D9D9D9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État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UPOV/EXN/BRD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Définition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obtenteur selon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656A51">
            <w:pPr>
              <w:jc w:val="left"/>
              <w:rPr>
                <w:strike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UPOV/EXN/BRD/1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UPOV/EXN/CAL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Conditions et les limitations concernant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autorisation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obtenteur à 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égard du matériel de reproduction ou de multiplication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UPOV/EXN/CAL/1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10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4717" w:type="dxa"/>
          </w:tcPr>
          <w:p w:rsidR="00AA5D79" w:rsidRPr="002C6F6E" w:rsidRDefault="00AA5D79" w:rsidP="00946B36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Déchéance d</w:t>
            </w:r>
            <w:r w:rsidR="00946B36">
              <w:rPr>
                <w:sz w:val="18"/>
                <w:szCs w:val="18"/>
                <w:lang w:val="fr-FR"/>
              </w:rPr>
              <w:t>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obtenteur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UPOV/EXN/CAN/1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  <w:p w:rsidR="00AA5D79" w:rsidRPr="002C6F6E" w:rsidRDefault="00AA5D79" w:rsidP="003C70E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UPOV/EXN/CAN/2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1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8477F3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UPOV/EXN/CAN/2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2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Variétés essentiellement dérivées selon l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UPOV/EXN/EDV/1 adopté en 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A94E7B" w:rsidRPr="002C6F6E">
              <w:rPr>
                <w:sz w:val="18"/>
                <w:szCs w:val="18"/>
                <w:lang w:val="fr-FR"/>
              </w:rPr>
              <w:t>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  <w:p w:rsidR="00AA5D79" w:rsidRPr="002C6F6E" w:rsidRDefault="00AA5D79" w:rsidP="003C70E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UPOV/EXN/EDV/2</w:t>
            </w:r>
            <w:r w:rsidR="008477F3">
              <w:rPr>
                <w:color w:val="000000"/>
                <w:sz w:val="18"/>
                <w:szCs w:val="18"/>
                <w:lang w:val="fr-FR"/>
              </w:rPr>
              <w:t> 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>Draft</w:t>
            </w:r>
            <w:r w:rsidR="008477F3">
              <w:rPr>
                <w:color w:val="000000"/>
                <w:sz w:val="18"/>
                <w:szCs w:val="18"/>
                <w:lang w:val="fr-FR"/>
              </w:rPr>
              <w:t> 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>4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8477F3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UPOV/EXN/EDV/2</w:t>
            </w:r>
            <w:r w:rsidR="008477F3">
              <w:rPr>
                <w:color w:val="000000"/>
                <w:sz w:val="18"/>
                <w:szCs w:val="18"/>
                <w:lang w:val="fr-FR"/>
              </w:rPr>
              <w:t> 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>Draft</w:t>
            </w:r>
            <w:r w:rsidR="008477F3">
              <w:rPr>
                <w:color w:val="000000"/>
                <w:sz w:val="18"/>
                <w:szCs w:val="18"/>
                <w:lang w:val="fr-FR"/>
              </w:rPr>
              <w:t> 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>5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UPOV/EXN/ENF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Défense des droits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obtenteur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UPOV/EXN/ENF/1 adopté en 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A94E7B" w:rsidRPr="002C6F6E">
              <w:rPr>
                <w:sz w:val="18"/>
                <w:szCs w:val="18"/>
                <w:lang w:val="fr-FR"/>
              </w:rPr>
              <w:t>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UPOV/EXN/EXC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Exceptions au droit d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>obtenteur selon l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’</w:t>
            </w: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UPOV/EXN/EXC/1 adopté en </w:t>
            </w:r>
            <w:r w:rsidR="00A94E7B" w:rsidRPr="002C6F6E">
              <w:rPr>
                <w:color w:val="000000"/>
                <w:sz w:val="18"/>
                <w:szCs w:val="18"/>
                <w:lang w:val="fr-FR"/>
              </w:rPr>
              <w:t>octobre </w:t>
            </w:r>
            <w:r w:rsidR="00A94E7B" w:rsidRPr="002C6F6E">
              <w:rPr>
                <w:sz w:val="18"/>
                <w:szCs w:val="18"/>
                <w:lang w:val="fr-FR"/>
              </w:rPr>
              <w:t>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UPOV/EXN/GEN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Genres et espèces devant être protégés selon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UPOV/EXN/GEN/1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Actes à 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égard du produit de la récolte selon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656A51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UPOV/EXN/HRV/1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  <w:p w:rsidR="00AA5D79" w:rsidRPr="002C6F6E" w:rsidRDefault="00AA5D79" w:rsidP="003C70E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UPOV/EXN/HRV/2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1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8477F3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UPOV/EXN/HRV/2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2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UPOV/EXN/NAT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Traitement national selon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UPOV/EXN/NAT/1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UPOV/EXN/NOV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Nouveauté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UPOV/EXN/NOV/1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color w:val="000000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Nullité du droit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obtenteur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  <w:r w:rsidRPr="002C6F6E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 xml:space="preserve">UPOV/EXN/NUL/1 </w:t>
            </w:r>
            <w:r w:rsidRPr="002C6F6E">
              <w:rPr>
                <w:sz w:val="18"/>
                <w:szCs w:val="18"/>
                <w:lang w:val="fr-FR"/>
              </w:rPr>
              <w:t xml:space="preserve">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  <w:p w:rsidR="00AA5D79" w:rsidRPr="002C6F6E" w:rsidRDefault="00AA5D79" w:rsidP="003C70E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UPOV/EXN/NUL</w:t>
            </w:r>
            <w:r w:rsidRPr="002C6F6E">
              <w:rPr>
                <w:sz w:val="18"/>
                <w:szCs w:val="18"/>
                <w:lang w:val="fr-FR"/>
              </w:rPr>
              <w:t>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1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8477F3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color w:val="000000"/>
                <w:sz w:val="18"/>
                <w:szCs w:val="18"/>
                <w:lang w:val="fr-FR"/>
              </w:rPr>
              <w:t>UPOV/EXN/NUL</w:t>
            </w:r>
            <w:r w:rsidRPr="002C6F6E">
              <w:rPr>
                <w:sz w:val="18"/>
                <w:szCs w:val="18"/>
                <w:lang w:val="fr-FR"/>
              </w:rPr>
              <w:t>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2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Matériel de reproduction ou de multiplication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6476CC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pacing w:val="-2"/>
                <w:sz w:val="18"/>
                <w:szCs w:val="18"/>
                <w:lang w:val="fr-FR"/>
              </w:rPr>
              <w:t xml:space="preserve">UPOV/EXN/PPM Draft 2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6476CC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pacing w:val="-2"/>
                <w:sz w:val="18"/>
                <w:szCs w:val="18"/>
                <w:lang w:val="fr-FR"/>
              </w:rPr>
              <w:t xml:space="preserve">UPOV/EXN/PPM Draft 3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UPOV/EXN/PRI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Droit de priorité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UPOV/EXN/PRI/1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Protection provisoire selon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8477F3" w:rsidRDefault="00AA5D79" w:rsidP="00A67697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UPOV/EXN/PRP/1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  <w:p w:rsidR="00AA5D79" w:rsidRPr="002C6F6E" w:rsidRDefault="00AA5D79" w:rsidP="00A67697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pacing w:val="-2"/>
                <w:sz w:val="18"/>
                <w:szCs w:val="18"/>
                <w:lang w:val="fr-FR"/>
              </w:rPr>
              <w:t>UPOV/EXN</w:t>
            </w:r>
            <w:r w:rsidRPr="002C6F6E">
              <w:rPr>
                <w:sz w:val="18"/>
                <w:szCs w:val="18"/>
                <w:lang w:val="fr-FR"/>
              </w:rPr>
              <w:t>/PRP/2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Draft 1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8477F3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pacing w:val="-2"/>
                <w:sz w:val="18"/>
                <w:szCs w:val="18"/>
                <w:lang w:val="fr-FR"/>
              </w:rPr>
              <w:t>UPOV/EXN/</w:t>
            </w:r>
            <w:r w:rsidRPr="002C6F6E">
              <w:rPr>
                <w:sz w:val="18"/>
                <w:szCs w:val="18"/>
                <w:lang w:val="fr-FR"/>
              </w:rPr>
              <w:t>PRP/2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Draft 2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41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UPOV/EXN/VAR</w:t>
            </w:r>
          </w:p>
        </w:tc>
        <w:tc>
          <w:tcPr>
            <w:tcW w:w="471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Définition de la variété selon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UPOV/EXN/VAR/1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10</w:t>
            </w:r>
          </w:p>
        </w:tc>
      </w:tr>
    </w:tbl>
    <w:p w:rsidR="00A94E7B" w:rsidRPr="002C6F6E" w:rsidRDefault="00AA5D79" w:rsidP="004453BD">
      <w:pPr>
        <w:rPr>
          <w:sz w:val="18"/>
          <w:szCs w:val="18"/>
          <w:lang w:val="fr-FR"/>
        </w:rPr>
      </w:pPr>
      <w:r w:rsidRPr="002C6F6E">
        <w:rPr>
          <w:sz w:val="18"/>
          <w:szCs w:val="18"/>
          <w:lang w:val="fr-FR"/>
        </w:rPr>
        <w:br w:type="page"/>
      </w:r>
      <w:r w:rsidRPr="002C6F6E">
        <w:rPr>
          <w:lang w:val="fr-FR"/>
        </w:rPr>
        <w:lastRenderedPageBreak/>
        <w:t>DOCUMENTS D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INFORMATION</w:t>
      </w:r>
    </w:p>
    <w:p w:rsidR="00AA5D79" w:rsidRPr="002C6F6E" w:rsidRDefault="00AA5D79" w:rsidP="004453BD">
      <w:pPr>
        <w:rPr>
          <w:lang w:val="fr-FR"/>
        </w:rPr>
      </w:pP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AA5D79" w:rsidRPr="002C6F6E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</w:tcBorders>
            <w:shd w:val="clear" w:color="auto" w:fill="D9D9D9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Dernière référence</w:t>
            </w:r>
          </w:p>
        </w:tc>
        <w:tc>
          <w:tcPr>
            <w:tcW w:w="4807" w:type="dxa"/>
            <w:tcBorders>
              <w:top w:val="single" w:sz="4" w:space="0" w:color="auto"/>
            </w:tcBorders>
            <w:shd w:val="clear" w:color="auto" w:fill="D9D9D9"/>
          </w:tcPr>
          <w:p w:rsidR="00AA5D79" w:rsidRPr="002C6F6E" w:rsidRDefault="00AA5D79" w:rsidP="00034C59">
            <w:pPr>
              <w:jc w:val="center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Documents INF</w:t>
            </w:r>
          </w:p>
        </w:tc>
        <w:tc>
          <w:tcPr>
            <w:tcW w:w="3920" w:type="dxa"/>
            <w:tcBorders>
              <w:top w:val="single" w:sz="4" w:space="0" w:color="auto"/>
            </w:tcBorders>
            <w:shd w:val="clear" w:color="auto" w:fill="D9D9D9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État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avancement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</w:t>
            </w:r>
            <w:r w:rsidR="0021798E" w:rsidRPr="002C6F6E">
              <w:rPr>
                <w:sz w:val="18"/>
                <w:szCs w:val="18"/>
                <w:lang w:val="fr-FR"/>
              </w:rPr>
              <w:noBreakHyphen/>
            </w:r>
            <w:r w:rsidRPr="002C6F6E">
              <w:rPr>
                <w:sz w:val="18"/>
                <w:szCs w:val="18"/>
                <w:lang w:val="fr-FR"/>
              </w:rPr>
              <w:t>EXN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Liste des documents UPOV/INF</w:t>
            </w:r>
            <w:r w:rsidR="0021798E" w:rsidRPr="002C6F6E">
              <w:rPr>
                <w:sz w:val="18"/>
                <w:szCs w:val="18"/>
                <w:lang w:val="fr-FR"/>
              </w:rPr>
              <w:noBreakHyphen/>
            </w:r>
            <w:r w:rsidRPr="002C6F6E">
              <w:rPr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</w:t>
            </w:r>
            <w:r w:rsidR="0021798E" w:rsidRPr="002C6F6E">
              <w:rPr>
                <w:sz w:val="18"/>
                <w:szCs w:val="18"/>
                <w:lang w:val="fr-FR"/>
              </w:rPr>
              <w:noBreakHyphen/>
            </w:r>
            <w:r w:rsidRPr="002C6F6E">
              <w:rPr>
                <w:sz w:val="18"/>
                <w:szCs w:val="18"/>
                <w:lang w:val="fr-FR"/>
              </w:rPr>
              <w:t xml:space="preserve">EXN/5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UPOV/INF/4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Règlement financier et règlement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exécution du Règlement financier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A5D79" w:rsidRPr="002C6F6E" w:rsidRDefault="00AA5D79" w:rsidP="00CA53E0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UPOV/INF/4/3 adopté en </w:t>
            </w:r>
            <w:r w:rsidR="00A94E7B" w:rsidRPr="002C6F6E">
              <w:rPr>
                <w:sz w:val="18"/>
                <w:szCs w:val="18"/>
                <w:lang w:val="fr-FR"/>
              </w:rPr>
              <w:t>mars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UPOV/INF/5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Bulletin type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UPOV de la protection des obtentions végétales </w:t>
            </w:r>
          </w:p>
        </w:tc>
        <w:tc>
          <w:tcPr>
            <w:tcW w:w="3920" w:type="dxa"/>
          </w:tcPr>
          <w:p w:rsidR="00AA5D79" w:rsidRPr="002C6F6E" w:rsidRDefault="00AA5D79" w:rsidP="00854427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UPOV/INF/5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19</w:t>
            </w:r>
            <w:r w:rsidRPr="002C6F6E">
              <w:rPr>
                <w:sz w:val="18"/>
                <w:szCs w:val="18"/>
                <w:lang w:val="fr-FR"/>
              </w:rPr>
              <w:t>79</w:t>
            </w:r>
          </w:p>
          <w:p w:rsidR="00AA5D79" w:rsidRPr="002C6F6E" w:rsidRDefault="00AA5D79" w:rsidP="008477F3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(mise à jour du document UPOV/INF/5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z w:val="18"/>
                <w:szCs w:val="18"/>
                <w:lang w:val="fr-FR"/>
              </w:rPr>
              <w:t xml:space="preserve"> le CAJ</w:t>
            </w:r>
            <w:r w:rsidRPr="002C6F6E">
              <w:rPr>
                <w:sz w:val="18"/>
                <w:szCs w:val="18"/>
                <w:lang w:val="fr-FR"/>
              </w:rPr>
              <w:t xml:space="preserve"> en octobre</w:t>
            </w:r>
            <w:r w:rsidR="008477F3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2014)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UPOV/INF/6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Orientations en vue de la rédaction de lois fondées sur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AA5D79" w:rsidRPr="002C6F6E" w:rsidRDefault="00AA5D79" w:rsidP="00854427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UPOV/INF/6/3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UPOV/INF/7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Règlement intérieur du Conseil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UPOV/INF/7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19</w:t>
            </w:r>
            <w:r w:rsidRPr="002C6F6E">
              <w:rPr>
                <w:sz w:val="18"/>
                <w:szCs w:val="18"/>
                <w:lang w:val="fr-FR"/>
              </w:rPr>
              <w:t>82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UPOV/INF/8</w:t>
            </w:r>
          </w:p>
        </w:tc>
        <w:tc>
          <w:tcPr>
            <w:tcW w:w="4807" w:type="dxa"/>
          </w:tcPr>
          <w:p w:rsidR="00AA5D79" w:rsidRPr="002C6F6E" w:rsidRDefault="00AA5D79" w:rsidP="00D92197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Accord entre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Organisation </w:t>
            </w:r>
            <w:r w:rsidR="00D92197">
              <w:rPr>
                <w:sz w:val="18"/>
                <w:szCs w:val="18"/>
                <w:lang w:val="fr-FR"/>
              </w:rPr>
              <w:t>Mondiale de la Propriété I</w:t>
            </w:r>
            <w:r w:rsidRPr="002C6F6E">
              <w:rPr>
                <w:sz w:val="18"/>
                <w:szCs w:val="18"/>
                <w:lang w:val="fr-FR"/>
              </w:rPr>
              <w:t>ntellectuelle et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Union internationale pour la protection des obtentions végétales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UPOV/INF/8 signé en </w:t>
            </w:r>
            <w:r w:rsidR="00A94E7B" w:rsidRPr="002C6F6E">
              <w:rPr>
                <w:sz w:val="18"/>
                <w:szCs w:val="18"/>
                <w:lang w:val="fr-FR"/>
              </w:rPr>
              <w:t>novembre 19</w:t>
            </w:r>
            <w:r w:rsidRPr="002C6F6E">
              <w:rPr>
                <w:sz w:val="18"/>
                <w:szCs w:val="18"/>
                <w:lang w:val="fr-FR"/>
              </w:rPr>
              <w:t>82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UPOV/INF/9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Accord entre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UPOV/INF/9 signé en </w:t>
            </w:r>
            <w:r w:rsidR="00A94E7B" w:rsidRPr="002C6F6E">
              <w:rPr>
                <w:sz w:val="18"/>
                <w:szCs w:val="18"/>
                <w:lang w:val="fr-FR"/>
              </w:rPr>
              <w:t>novembre 19</w:t>
            </w:r>
            <w:r w:rsidRPr="002C6F6E">
              <w:rPr>
                <w:sz w:val="18"/>
                <w:szCs w:val="18"/>
                <w:lang w:val="fr-FR"/>
              </w:rPr>
              <w:t>83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UPOV/INF/10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Audit interne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UPOV/INF/10/1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10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UPOV/INF/12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Notes explicatives concernant les dénominations variétales en vertu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UPOV/INF/12/4 adopté en </w:t>
            </w:r>
            <w:r w:rsidR="00A94E7B" w:rsidRPr="002C6F6E">
              <w:rPr>
                <w:sz w:val="18"/>
                <w:szCs w:val="18"/>
                <w:lang w:val="fr-FR"/>
              </w:rPr>
              <w:t>novembre 20</w:t>
            </w:r>
            <w:r w:rsidRPr="002C6F6E">
              <w:rPr>
                <w:sz w:val="18"/>
                <w:szCs w:val="18"/>
                <w:lang w:val="fr-FR"/>
              </w:rPr>
              <w:t>12</w:t>
            </w:r>
          </w:p>
          <w:p w:rsidR="00AA5D79" w:rsidRPr="002C6F6E" w:rsidRDefault="00AA5D79" w:rsidP="00913032">
            <w:pPr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UPOV/INF/12/5</w:t>
            </w:r>
            <w:r w:rsidR="00713521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713521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1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>AG par correspondance</w:t>
            </w:r>
          </w:p>
          <w:p w:rsidR="00AA5D79" w:rsidRPr="002C6F6E" w:rsidRDefault="00AA5D79" w:rsidP="00713521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UPOV/INF/12/5</w:t>
            </w:r>
            <w:r w:rsidR="00713521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Draft</w:t>
            </w:r>
            <w:r w:rsidR="00713521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 xml:space="preserve">2 </w:t>
            </w:r>
            <w:r w:rsidR="00946B36">
              <w:rPr>
                <w:spacing w:val="-2"/>
                <w:sz w:val="18"/>
                <w:szCs w:val="18"/>
                <w:lang w:val="fr-FR"/>
              </w:rPr>
              <w:t>devant être examiné</w:t>
            </w:r>
            <w:r w:rsidR="00946B36" w:rsidRPr="002C6F6E">
              <w:rPr>
                <w:spacing w:val="-2"/>
                <w:sz w:val="18"/>
                <w:szCs w:val="18"/>
                <w:lang w:val="fr-FR"/>
              </w:rPr>
              <w:t xml:space="preserve"> 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par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 xml:space="preserve"> le CAJ</w:t>
            </w:r>
            <w:r w:rsidR="0021798E" w:rsidRPr="002C6F6E">
              <w:rPr>
                <w:spacing w:val="-2"/>
                <w:sz w:val="18"/>
                <w:szCs w:val="18"/>
                <w:lang w:val="fr-FR"/>
              </w:rPr>
              <w:noBreakHyphen/>
            </w:r>
            <w:r w:rsidRPr="002C6F6E">
              <w:rPr>
                <w:spacing w:val="-2"/>
                <w:sz w:val="18"/>
                <w:szCs w:val="18"/>
                <w:lang w:val="fr-FR"/>
              </w:rPr>
              <w:t xml:space="preserve">AG en </w:t>
            </w:r>
            <w:r w:rsidR="00A94E7B" w:rsidRPr="002C6F6E">
              <w:rPr>
                <w:spacing w:val="-2"/>
                <w:sz w:val="18"/>
                <w:szCs w:val="18"/>
                <w:lang w:val="fr-FR"/>
              </w:rPr>
              <w:t>octobre 20</w:t>
            </w:r>
            <w:r w:rsidRPr="002C6F6E">
              <w:rPr>
                <w:spacing w:val="-2"/>
                <w:sz w:val="18"/>
                <w:szCs w:val="18"/>
                <w:lang w:val="fr-FR"/>
              </w:rPr>
              <w:t>14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UPOV/INF/13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Document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orientation concernant la procédure à suivre pour devenir membre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UPOV/INF/13/1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UPOV/INF/14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Document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orientation destiné aux membres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 concernant la procédure à suivre pour ratifier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 xml:space="preserve">Acte de 1991 de la </w:t>
            </w:r>
            <w:r w:rsidR="00A94E7B" w:rsidRPr="002C6F6E">
              <w:rPr>
                <w:sz w:val="18"/>
                <w:szCs w:val="18"/>
                <w:lang w:val="fr-FR"/>
              </w:rPr>
              <w:t>Convention UPOV</w:t>
            </w:r>
            <w:r w:rsidRPr="002C6F6E">
              <w:rPr>
                <w:sz w:val="18"/>
                <w:szCs w:val="18"/>
                <w:lang w:val="fr-FR"/>
              </w:rPr>
              <w:t xml:space="preserve"> ou y adhérer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UPOV/INF/14/1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09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UPOV/INF/15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Document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orientation destiné aux membres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 concernant les obligations en cours et les notifications connexes</w:t>
            </w:r>
          </w:p>
        </w:tc>
        <w:tc>
          <w:tcPr>
            <w:tcW w:w="3920" w:type="dxa"/>
          </w:tcPr>
          <w:p w:rsidR="00AA5D79" w:rsidRPr="002C6F6E" w:rsidRDefault="00AA5D79" w:rsidP="00854427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UPOV/INF/15/2 adopté en </w:t>
            </w:r>
            <w:r w:rsidR="00A94E7B" w:rsidRPr="002C6F6E">
              <w:rPr>
                <w:sz w:val="18"/>
                <w:szCs w:val="18"/>
                <w:lang w:val="fr-FR"/>
              </w:rPr>
              <w:t>mars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  <w:p w:rsidR="00AA5D79" w:rsidRPr="002C6F6E" w:rsidRDefault="00AA5D79" w:rsidP="00713521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(révision du document UPOV/INF/15</w:t>
            </w:r>
            <w:r w:rsidR="00CA6FB9" w:rsidRPr="002C6F6E">
              <w:rPr>
                <w:sz w:val="18"/>
                <w:szCs w:val="18"/>
                <w:lang w:val="fr-FR"/>
              </w:rPr>
              <w:t> </w:t>
            </w:r>
            <w:r w:rsidRPr="002C6F6E">
              <w:rPr>
                <w:sz w:val="18"/>
                <w:szCs w:val="18"/>
                <w:lang w:val="fr-FR"/>
              </w:rPr>
              <w:t>: voir le document CAJ/69/10)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UPOV/INF/16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</w:tcPr>
          <w:p w:rsidR="00AA5D79" w:rsidRPr="002C6F6E" w:rsidRDefault="00AA5D79" w:rsidP="00854427">
            <w:pPr>
              <w:jc w:val="left"/>
              <w:rPr>
                <w:strike/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UPOV/INF/16/3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13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UPOV/INF/17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Directives concernant les profils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ADN : choix des marqueurs moléculaires et construction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une base de données y relative (“Directives BMT”)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UPOV/INF/17/1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10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UPOV/INF/18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Utilisation possible des marqueurs moléculaires dans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examen de la distinction,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homogénéité et de la stabilité (DHS)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UPOV/INF/18/1 adopté en </w:t>
            </w:r>
            <w:r w:rsidR="00A94E7B" w:rsidRPr="002C6F6E">
              <w:rPr>
                <w:sz w:val="18"/>
                <w:szCs w:val="18"/>
                <w:lang w:val="fr-FR"/>
              </w:rPr>
              <w:t>octobre 20</w:t>
            </w:r>
            <w:r w:rsidRPr="002C6F6E">
              <w:rPr>
                <w:sz w:val="18"/>
                <w:szCs w:val="18"/>
                <w:lang w:val="fr-FR"/>
              </w:rPr>
              <w:t>11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UPOV/INF/19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Règles concernant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octroi à des États et à des organisations intergouvernementales ou des organisations internationales non gouvernementales du statut d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observateur auprès des organes de 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UPOV/INF/19/1 adopté en </w:t>
            </w:r>
            <w:r w:rsidR="00A94E7B" w:rsidRPr="002C6F6E">
              <w:rPr>
                <w:sz w:val="18"/>
                <w:szCs w:val="18"/>
                <w:lang w:val="fr-FR"/>
              </w:rPr>
              <w:t>novembre 20</w:t>
            </w:r>
            <w:r w:rsidRPr="002C6F6E">
              <w:rPr>
                <w:sz w:val="18"/>
                <w:szCs w:val="18"/>
                <w:lang w:val="fr-FR"/>
              </w:rPr>
              <w:t>12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UPOV/INF/20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Règles concernant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accès aux documents de l</w:t>
            </w:r>
            <w:r w:rsidR="00A94E7B" w:rsidRPr="002C6F6E">
              <w:rPr>
                <w:sz w:val="18"/>
                <w:szCs w:val="18"/>
                <w:lang w:val="fr-FR"/>
              </w:rPr>
              <w:t>’</w:t>
            </w:r>
            <w:r w:rsidRPr="002C6F6E">
              <w:rPr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UPOV/INF/20/1 adopté en </w:t>
            </w:r>
            <w:r w:rsidR="00A94E7B" w:rsidRPr="002C6F6E">
              <w:rPr>
                <w:sz w:val="18"/>
                <w:szCs w:val="18"/>
                <w:lang w:val="fr-FR"/>
              </w:rPr>
              <w:t>novembre 20</w:t>
            </w:r>
            <w:r w:rsidRPr="002C6F6E">
              <w:rPr>
                <w:sz w:val="18"/>
                <w:szCs w:val="18"/>
                <w:lang w:val="fr-FR"/>
              </w:rPr>
              <w:t>12</w:t>
            </w:r>
          </w:p>
        </w:tc>
      </w:tr>
      <w:tr w:rsidR="00AA5D79" w:rsidRPr="002C6F6E">
        <w:trPr>
          <w:cantSplit/>
          <w:jc w:val="center"/>
        </w:trPr>
        <w:tc>
          <w:tcPr>
            <w:tcW w:w="1758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>UPOV/INF/21</w:t>
            </w:r>
          </w:p>
        </w:tc>
        <w:tc>
          <w:tcPr>
            <w:tcW w:w="4807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Mécanismes extrajudiciaires de règlement des litiges </w:t>
            </w:r>
          </w:p>
        </w:tc>
        <w:tc>
          <w:tcPr>
            <w:tcW w:w="3920" w:type="dxa"/>
          </w:tcPr>
          <w:p w:rsidR="00AA5D79" w:rsidRPr="002C6F6E" w:rsidRDefault="00AA5D79" w:rsidP="00BE75CC">
            <w:pPr>
              <w:jc w:val="left"/>
              <w:rPr>
                <w:sz w:val="18"/>
                <w:szCs w:val="18"/>
                <w:lang w:val="fr-FR"/>
              </w:rPr>
            </w:pPr>
            <w:r w:rsidRPr="002C6F6E">
              <w:rPr>
                <w:sz w:val="18"/>
                <w:szCs w:val="18"/>
                <w:lang w:val="fr-FR"/>
              </w:rPr>
              <w:t xml:space="preserve">UPOV/INF/21/1 adopté en </w:t>
            </w:r>
            <w:r w:rsidR="00A94E7B" w:rsidRPr="002C6F6E">
              <w:rPr>
                <w:sz w:val="18"/>
                <w:szCs w:val="18"/>
                <w:lang w:val="fr-FR"/>
              </w:rPr>
              <w:t>novembre 20</w:t>
            </w:r>
            <w:r w:rsidRPr="002C6F6E">
              <w:rPr>
                <w:sz w:val="18"/>
                <w:szCs w:val="18"/>
                <w:lang w:val="fr-FR"/>
              </w:rPr>
              <w:t>12</w:t>
            </w:r>
          </w:p>
        </w:tc>
      </w:tr>
    </w:tbl>
    <w:p w:rsidR="00AA5D79" w:rsidRPr="002C6F6E" w:rsidRDefault="00AA5D79" w:rsidP="004453BD">
      <w:pPr>
        <w:rPr>
          <w:lang w:val="fr-FR"/>
        </w:rPr>
      </w:pPr>
    </w:p>
    <w:p w:rsidR="00AA5D79" w:rsidRDefault="00AA5D79" w:rsidP="004453BD">
      <w:pPr>
        <w:rPr>
          <w:lang w:val="fr-FR"/>
        </w:rPr>
      </w:pPr>
    </w:p>
    <w:p w:rsidR="006F70E5" w:rsidRDefault="006F70E5" w:rsidP="004453BD">
      <w:pPr>
        <w:rPr>
          <w:lang w:val="fr-FR"/>
        </w:rPr>
      </w:pPr>
    </w:p>
    <w:p w:rsidR="00AA5D79" w:rsidRPr="002C6F6E" w:rsidRDefault="00AA5D79" w:rsidP="00CA53E0">
      <w:pPr>
        <w:jc w:val="right"/>
        <w:rPr>
          <w:lang w:val="fr-FR"/>
        </w:rPr>
      </w:pPr>
      <w:r w:rsidRPr="002C6F6E">
        <w:rPr>
          <w:lang w:val="fr-FR"/>
        </w:rPr>
        <w:t>[Fin de l</w:t>
      </w:r>
      <w:r w:rsidR="00A94E7B" w:rsidRPr="002C6F6E">
        <w:rPr>
          <w:lang w:val="fr-FR"/>
        </w:rPr>
        <w:t>’</w:t>
      </w:r>
      <w:r w:rsidRPr="002C6F6E">
        <w:rPr>
          <w:lang w:val="fr-FR"/>
        </w:rPr>
        <w:t>annexe et du document]</w:t>
      </w:r>
    </w:p>
    <w:sectPr w:rsidR="00AA5D79" w:rsidRPr="002C6F6E" w:rsidSect="00432DD3">
      <w:headerReference w:type="defaul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050" w:rsidRDefault="00292050">
      <w:r>
        <w:separator/>
      </w:r>
    </w:p>
    <w:p w:rsidR="00292050" w:rsidRDefault="00292050"/>
    <w:p w:rsidR="00292050" w:rsidRDefault="00292050"/>
  </w:endnote>
  <w:endnote w:type="continuationSeparator" w:id="0">
    <w:p w:rsidR="00292050" w:rsidRDefault="00292050">
      <w:r>
        <w:separator/>
      </w:r>
    </w:p>
    <w:p w:rsidR="00292050" w:rsidRPr="00664515" w:rsidRDefault="00292050">
      <w:pPr>
        <w:pStyle w:val="Footer"/>
        <w:spacing w:after="60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de la page précédente]</w:t>
      </w:r>
    </w:p>
    <w:p w:rsidR="00292050" w:rsidRPr="00664515" w:rsidRDefault="00292050">
      <w:pPr>
        <w:rPr>
          <w:lang w:val="fr-CH"/>
        </w:rPr>
      </w:pPr>
    </w:p>
    <w:p w:rsidR="00292050" w:rsidRPr="00664515" w:rsidRDefault="00292050">
      <w:pPr>
        <w:rPr>
          <w:lang w:val="fr-CH"/>
        </w:rPr>
      </w:pPr>
    </w:p>
  </w:endnote>
  <w:endnote w:type="continuationNotice" w:id="1">
    <w:p w:rsidR="00292050" w:rsidRPr="00664515" w:rsidRDefault="00292050">
      <w:pPr>
        <w:spacing w:before="60"/>
        <w:jc w:val="right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page suivante]</w:t>
      </w:r>
    </w:p>
    <w:p w:rsidR="00292050" w:rsidRPr="00664515" w:rsidRDefault="00292050">
      <w:pPr>
        <w:rPr>
          <w:lang w:val="fr-CH"/>
        </w:rPr>
      </w:pPr>
    </w:p>
    <w:p w:rsidR="00292050" w:rsidRPr="00664515" w:rsidRDefault="00292050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50" w:rsidRPr="00AE0EF1" w:rsidRDefault="00292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050" w:rsidRDefault="00292050" w:rsidP="009D690D">
      <w:pPr>
        <w:spacing w:before="120"/>
      </w:pPr>
      <w:r>
        <w:separator/>
      </w:r>
    </w:p>
  </w:footnote>
  <w:footnote w:type="continuationSeparator" w:id="0">
    <w:p w:rsidR="00292050" w:rsidRDefault="00292050" w:rsidP="00520297">
      <w:pPr>
        <w:spacing w:before="120"/>
        <w:jc w:val="left"/>
      </w:pPr>
      <w:r>
        <w:separator/>
      </w:r>
    </w:p>
  </w:footnote>
  <w:footnote w:type="continuationNotice" w:id="1">
    <w:p w:rsidR="00292050" w:rsidRDefault="00292050"/>
  </w:footnote>
  <w:footnote w:id="2">
    <w:p w:rsidR="00292050" w:rsidRPr="00D328E7" w:rsidRDefault="00292050" w:rsidP="00C54F87">
      <w:pPr>
        <w:pStyle w:val="FootnoteText"/>
        <w:ind w:left="284" w:hanging="284"/>
        <w:rPr>
          <w:lang w:val="fr-FR"/>
        </w:rPr>
      </w:pPr>
      <w:r w:rsidRPr="0097065B">
        <w:rPr>
          <w:rStyle w:val="FootnoteReference"/>
        </w:rPr>
        <w:footnoteRef/>
      </w:r>
      <w:r w:rsidRPr="00D328E7">
        <w:rPr>
          <w:lang w:val="fr-FR"/>
        </w:rPr>
        <w:tab/>
        <w:t xml:space="preserve">“[S]i un caractère est important aux fins de l'harmonisation internationale des descriptions variétales (caractère sans astérisque) et est influencé </w:t>
      </w:r>
      <w:r>
        <w:rPr>
          <w:lang w:val="fr-FR"/>
        </w:rPr>
        <w:t>par le milieu</w:t>
      </w:r>
      <w:r w:rsidRPr="00D328E7">
        <w:rPr>
          <w:lang w:val="fr-FR"/>
        </w:rPr>
        <w:t xml:space="preserve"> (</w:t>
      </w:r>
      <w:r>
        <w:rPr>
          <w:lang w:val="fr-FR"/>
        </w:rPr>
        <w:t xml:space="preserve">la plupart des caractères </w:t>
      </w:r>
      <w:r w:rsidRPr="00D328E7">
        <w:rPr>
          <w:lang w:val="fr-FR"/>
        </w:rPr>
        <w:t>quantitati</w:t>
      </w:r>
      <w:r>
        <w:rPr>
          <w:lang w:val="fr-FR"/>
        </w:rPr>
        <w:t>fs et pseudo</w:t>
      </w:r>
      <w:r>
        <w:rPr>
          <w:lang w:val="fr-FR"/>
        </w:rPr>
        <w:noBreakHyphen/>
        <w:t>qualitatifs)</w:t>
      </w:r>
      <w:r w:rsidRPr="00D328E7">
        <w:rPr>
          <w:lang w:val="fr-FR"/>
        </w:rPr>
        <w:t xml:space="preserve"> […..] </w:t>
      </w:r>
      <w:r>
        <w:rPr>
          <w:lang w:val="fr-FR"/>
        </w:rPr>
        <w:t>il est nécessaire de fournir des “variétés à titre d’exemples</w:t>
      </w:r>
      <w:r w:rsidRPr="00D328E7">
        <w:rPr>
          <w:lang w:val="fr-FR"/>
        </w:rPr>
        <w:t xml:space="preserve">” </w:t>
      </w:r>
      <w:r>
        <w:rPr>
          <w:lang w:val="fr-FR"/>
        </w:rPr>
        <w:t>dans les principes directeurs d’examen</w:t>
      </w:r>
      <w:r w:rsidRPr="00D328E7">
        <w:rPr>
          <w:lang w:val="fr-FR"/>
        </w:rPr>
        <w:t xml:space="preserve"> (</w:t>
      </w:r>
      <w:r w:rsidRPr="00B64358">
        <w:rPr>
          <w:lang w:val="fr-FR"/>
        </w:rPr>
        <w:t>voir l’annexe</w:t>
      </w:r>
      <w:r>
        <w:rPr>
          <w:lang w:val="fr-FR"/>
        </w:rPr>
        <w:t> </w:t>
      </w:r>
      <w:r w:rsidRPr="00B64358">
        <w:rPr>
          <w:lang w:val="fr-FR"/>
        </w:rPr>
        <w:t>3 du document TGP/7, N</w:t>
      </w:r>
      <w:r>
        <w:rPr>
          <w:lang w:val="fr-FR"/>
        </w:rPr>
        <w:t xml:space="preserve">ote indicative </w:t>
      </w:r>
      <w:r w:rsidRPr="00B64358">
        <w:rPr>
          <w:lang w:val="fr-FR"/>
        </w:rPr>
        <w:t>GN</w:t>
      </w:r>
      <w:r>
        <w:rPr>
          <w:lang w:val="fr-FR"/>
        </w:rPr>
        <w:t> </w:t>
      </w:r>
      <w:r w:rsidRPr="00B64358">
        <w:rPr>
          <w:lang w:val="fr-FR"/>
        </w:rPr>
        <w:t>28 “</w:t>
      </w:r>
      <w:r>
        <w:rPr>
          <w:lang w:val="fr-FR"/>
        </w:rPr>
        <w:t>Variétés indiquées à titre d’exemples</w:t>
      </w:r>
      <w:r w:rsidRPr="00B64358">
        <w:rPr>
          <w:lang w:val="fr-FR"/>
        </w:rPr>
        <w:t>”,</w:t>
      </w:r>
      <w:r>
        <w:rPr>
          <w:lang w:val="fr-FR"/>
        </w:rPr>
        <w:t xml:space="preserve"> section 3.3.</w:t>
      </w:r>
      <w:r w:rsidRPr="00D328E7">
        <w:rPr>
          <w:lang w:val="fr-FR"/>
        </w:rPr>
        <w:t>iii)).</w:t>
      </w:r>
    </w:p>
    <w:p w:rsidR="00292050" w:rsidRDefault="00292050" w:rsidP="00C54F87">
      <w:pPr>
        <w:pStyle w:val="FootnoteText"/>
        <w:ind w:left="284" w:hanging="284"/>
      </w:pPr>
      <w:r w:rsidRPr="00D328E7">
        <w:rPr>
          <w:lang w:val="fr-FR"/>
        </w:rPr>
        <w:tab/>
      </w:r>
      <w:r w:rsidRPr="00D86F03">
        <w:rPr>
          <w:lang w:val="fr-FR"/>
        </w:rPr>
        <w:t>“1.2.3</w:t>
      </w:r>
      <w:r w:rsidRPr="00D86F03">
        <w:rPr>
          <w:lang w:val="fr-FR"/>
        </w:rPr>
        <w:tab/>
        <w:t xml:space="preserve">Les variétés indiquées à titre d'exemples sont importantes pour corriger dans la mesure du possible les variations de l'expression des caractères dues à l'année et au milieu. </w:t>
      </w:r>
      <w:r w:rsidRPr="00B64358">
        <w:rPr>
          <w:lang w:val="fr-FR"/>
        </w:rPr>
        <w:t>[…] ” (voir l’annexe</w:t>
      </w:r>
      <w:r>
        <w:rPr>
          <w:lang w:val="fr-FR"/>
        </w:rPr>
        <w:t> </w:t>
      </w:r>
      <w:r w:rsidRPr="00B64358">
        <w:rPr>
          <w:lang w:val="fr-FR"/>
        </w:rPr>
        <w:t>3 du document TGP/7, N</w:t>
      </w:r>
      <w:r>
        <w:rPr>
          <w:lang w:val="fr-FR"/>
        </w:rPr>
        <w:t xml:space="preserve">ote indicative </w:t>
      </w:r>
      <w:r w:rsidRPr="00B64358">
        <w:rPr>
          <w:lang w:val="fr-FR"/>
        </w:rPr>
        <w:t>GN</w:t>
      </w:r>
      <w:r>
        <w:rPr>
          <w:lang w:val="fr-FR"/>
        </w:rPr>
        <w:t> </w:t>
      </w:r>
      <w:r w:rsidRPr="00B64358">
        <w:rPr>
          <w:lang w:val="fr-FR"/>
        </w:rPr>
        <w:t>28 “</w:t>
      </w:r>
      <w:r>
        <w:rPr>
          <w:lang w:val="fr-FR"/>
        </w:rPr>
        <w:t>Variétés indiquées à titre d’exemples</w:t>
      </w:r>
      <w:r w:rsidRPr="00B64358">
        <w:rPr>
          <w:lang w:val="fr-FR"/>
        </w:rPr>
        <w:t>”, section 1.2.3)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50" w:rsidRDefault="00292050">
    <w:pPr>
      <w:jc w:val="center"/>
    </w:pPr>
    <w:r>
      <w:t>CAJ/69/2</w:t>
    </w:r>
  </w:p>
  <w:p w:rsidR="00292050" w:rsidRDefault="00292050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F4FEE">
      <w:rPr>
        <w:noProof/>
      </w:rPr>
      <w:t>10</w:t>
    </w:r>
    <w:r>
      <w:rPr>
        <w:noProof/>
      </w:rPr>
      <w:fldChar w:fldCharType="end"/>
    </w:r>
  </w:p>
  <w:p w:rsidR="00292050" w:rsidRDefault="00292050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050" w:rsidRPr="00997029" w:rsidRDefault="00292050" w:rsidP="00E23920">
    <w:pPr>
      <w:jc w:val="center"/>
      <w:rPr>
        <w:rStyle w:val="PageNumber"/>
      </w:rPr>
    </w:pPr>
    <w:r>
      <w:rPr>
        <w:rStyle w:val="PageNumber"/>
      </w:rPr>
      <w:t>CAJ/69/2</w:t>
    </w:r>
  </w:p>
  <w:p w:rsidR="00292050" w:rsidRPr="00997029" w:rsidRDefault="00292050" w:rsidP="00E23920">
    <w:pPr>
      <w:jc w:val="center"/>
    </w:pPr>
    <w:r>
      <w:t xml:space="preserve">Annexe, </w:t>
    </w: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F4FEE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292050" w:rsidRPr="00997029" w:rsidRDefault="00292050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53A"/>
    <w:multiLevelType w:val="hybridMultilevel"/>
    <w:tmpl w:val="8EC25526"/>
    <w:lvl w:ilvl="0" w:tplc="4EFA1B9C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0F0323E3"/>
    <w:multiLevelType w:val="multilevel"/>
    <w:tmpl w:val="0186BAAC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334BE"/>
    <w:multiLevelType w:val="hybridMultilevel"/>
    <w:tmpl w:val="55121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E047E89"/>
    <w:multiLevelType w:val="hybridMultilevel"/>
    <w:tmpl w:val="3DCC2296"/>
    <w:lvl w:ilvl="0" w:tplc="719869D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C51E8F"/>
    <w:multiLevelType w:val="hybridMultilevel"/>
    <w:tmpl w:val="07F8F87E"/>
    <w:lvl w:ilvl="0" w:tplc="493031EC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1748C"/>
    <w:multiLevelType w:val="hybridMultilevel"/>
    <w:tmpl w:val="B406F62C"/>
    <w:lvl w:ilvl="0" w:tplc="D146F4CA">
      <w:start w:val="7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C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C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3CF54499"/>
    <w:multiLevelType w:val="hybridMultilevel"/>
    <w:tmpl w:val="F23EE8A6"/>
    <w:lvl w:ilvl="0" w:tplc="A820616C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E6B79AA"/>
    <w:multiLevelType w:val="hybridMultilevel"/>
    <w:tmpl w:val="0186BAAC"/>
    <w:lvl w:ilvl="0" w:tplc="6C6E4232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12737D"/>
    <w:multiLevelType w:val="hybridMultilevel"/>
    <w:tmpl w:val="D95C239A"/>
    <w:lvl w:ilvl="0" w:tplc="3CE44916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276"/>
    <w:rsid w:val="00001380"/>
    <w:rsid w:val="00001D48"/>
    <w:rsid w:val="000028C6"/>
    <w:rsid w:val="00010CF3"/>
    <w:rsid w:val="00011E27"/>
    <w:rsid w:val="000145A2"/>
    <w:rsid w:val="000148BC"/>
    <w:rsid w:val="00024AB8"/>
    <w:rsid w:val="00026796"/>
    <w:rsid w:val="0002707E"/>
    <w:rsid w:val="00027EB6"/>
    <w:rsid w:val="000341D8"/>
    <w:rsid w:val="00034C59"/>
    <w:rsid w:val="00036028"/>
    <w:rsid w:val="00036A10"/>
    <w:rsid w:val="00042549"/>
    <w:rsid w:val="000446B9"/>
    <w:rsid w:val="00047739"/>
    <w:rsid w:val="00047E21"/>
    <w:rsid w:val="00053834"/>
    <w:rsid w:val="0005711A"/>
    <w:rsid w:val="0006062C"/>
    <w:rsid w:val="00061791"/>
    <w:rsid w:val="000639DE"/>
    <w:rsid w:val="00065164"/>
    <w:rsid w:val="000745A4"/>
    <w:rsid w:val="000745CF"/>
    <w:rsid w:val="0007574E"/>
    <w:rsid w:val="00085505"/>
    <w:rsid w:val="0008729B"/>
    <w:rsid w:val="0009418B"/>
    <w:rsid w:val="000A124D"/>
    <w:rsid w:val="000A7216"/>
    <w:rsid w:val="000B705F"/>
    <w:rsid w:val="000C587B"/>
    <w:rsid w:val="000C7021"/>
    <w:rsid w:val="000D492E"/>
    <w:rsid w:val="000D6BBC"/>
    <w:rsid w:val="000D7780"/>
    <w:rsid w:val="000E569C"/>
    <w:rsid w:val="000F1A63"/>
    <w:rsid w:val="000F6770"/>
    <w:rsid w:val="00105929"/>
    <w:rsid w:val="00106767"/>
    <w:rsid w:val="00110481"/>
    <w:rsid w:val="001131D5"/>
    <w:rsid w:val="0012523D"/>
    <w:rsid w:val="001329AD"/>
    <w:rsid w:val="00135DAE"/>
    <w:rsid w:val="00141DB8"/>
    <w:rsid w:val="00147BFF"/>
    <w:rsid w:val="00151FC3"/>
    <w:rsid w:val="00172693"/>
    <w:rsid w:val="0017474A"/>
    <w:rsid w:val="001758C6"/>
    <w:rsid w:val="00176241"/>
    <w:rsid w:val="00183566"/>
    <w:rsid w:val="0019187E"/>
    <w:rsid w:val="001A4A3D"/>
    <w:rsid w:val="001A6BD1"/>
    <w:rsid w:val="001B32DB"/>
    <w:rsid w:val="001B3E18"/>
    <w:rsid w:val="001B5C99"/>
    <w:rsid w:val="001C3DF3"/>
    <w:rsid w:val="001C522C"/>
    <w:rsid w:val="001C7C80"/>
    <w:rsid w:val="001D3B5E"/>
    <w:rsid w:val="001E1502"/>
    <w:rsid w:val="001F1F2A"/>
    <w:rsid w:val="001F2842"/>
    <w:rsid w:val="001F4113"/>
    <w:rsid w:val="002032B2"/>
    <w:rsid w:val="00204B33"/>
    <w:rsid w:val="002066CD"/>
    <w:rsid w:val="0021332C"/>
    <w:rsid w:val="00213982"/>
    <w:rsid w:val="0021745F"/>
    <w:rsid w:val="0021798E"/>
    <w:rsid w:val="0022446A"/>
    <w:rsid w:val="00230328"/>
    <w:rsid w:val="00234FA1"/>
    <w:rsid w:val="00235DDC"/>
    <w:rsid w:val="00237C7D"/>
    <w:rsid w:val="00240AD4"/>
    <w:rsid w:val="0024416D"/>
    <w:rsid w:val="00247710"/>
    <w:rsid w:val="00261468"/>
    <w:rsid w:val="00271FE9"/>
    <w:rsid w:val="0027309C"/>
    <w:rsid w:val="0028008B"/>
    <w:rsid w:val="002800A0"/>
    <w:rsid w:val="00281060"/>
    <w:rsid w:val="00292050"/>
    <w:rsid w:val="0029439F"/>
    <w:rsid w:val="002A167B"/>
    <w:rsid w:val="002A172C"/>
    <w:rsid w:val="002A6E50"/>
    <w:rsid w:val="002B3F2E"/>
    <w:rsid w:val="002B6506"/>
    <w:rsid w:val="002C0843"/>
    <w:rsid w:val="002C256A"/>
    <w:rsid w:val="002C6F6E"/>
    <w:rsid w:val="002D0433"/>
    <w:rsid w:val="002D1533"/>
    <w:rsid w:val="002D1F0E"/>
    <w:rsid w:val="002D6A42"/>
    <w:rsid w:val="002D7636"/>
    <w:rsid w:val="002E7BA1"/>
    <w:rsid w:val="002F53A6"/>
    <w:rsid w:val="002F78FA"/>
    <w:rsid w:val="00305A7F"/>
    <w:rsid w:val="00312618"/>
    <w:rsid w:val="00313853"/>
    <w:rsid w:val="003152FE"/>
    <w:rsid w:val="00323E0B"/>
    <w:rsid w:val="00327436"/>
    <w:rsid w:val="00333FF2"/>
    <w:rsid w:val="00340861"/>
    <w:rsid w:val="003449CA"/>
    <w:rsid w:val="00344BD6"/>
    <w:rsid w:val="003517DA"/>
    <w:rsid w:val="0035528D"/>
    <w:rsid w:val="00355C31"/>
    <w:rsid w:val="00360468"/>
    <w:rsid w:val="00360D08"/>
    <w:rsid w:val="00361821"/>
    <w:rsid w:val="00362260"/>
    <w:rsid w:val="003638B2"/>
    <w:rsid w:val="0037709D"/>
    <w:rsid w:val="003800D3"/>
    <w:rsid w:val="00384DE1"/>
    <w:rsid w:val="00390697"/>
    <w:rsid w:val="003A17C8"/>
    <w:rsid w:val="003A54E2"/>
    <w:rsid w:val="003B3C35"/>
    <w:rsid w:val="003B6E2A"/>
    <w:rsid w:val="003C563E"/>
    <w:rsid w:val="003C70E2"/>
    <w:rsid w:val="003C7695"/>
    <w:rsid w:val="003D227C"/>
    <w:rsid w:val="003D2B4D"/>
    <w:rsid w:val="003F4FEE"/>
    <w:rsid w:val="003F6136"/>
    <w:rsid w:val="00402379"/>
    <w:rsid w:val="0040347D"/>
    <w:rsid w:val="00414471"/>
    <w:rsid w:val="00427139"/>
    <w:rsid w:val="00432DD3"/>
    <w:rsid w:val="0043566C"/>
    <w:rsid w:val="00444A88"/>
    <w:rsid w:val="004453BD"/>
    <w:rsid w:val="004457E9"/>
    <w:rsid w:val="004533EE"/>
    <w:rsid w:val="00470F90"/>
    <w:rsid w:val="0047483A"/>
    <w:rsid w:val="00474DA4"/>
    <w:rsid w:val="00482F75"/>
    <w:rsid w:val="00491688"/>
    <w:rsid w:val="0049608F"/>
    <w:rsid w:val="004A05DC"/>
    <w:rsid w:val="004B4F4E"/>
    <w:rsid w:val="004C0248"/>
    <w:rsid w:val="004C2307"/>
    <w:rsid w:val="004D047D"/>
    <w:rsid w:val="004E327B"/>
    <w:rsid w:val="004F12A9"/>
    <w:rsid w:val="004F227E"/>
    <w:rsid w:val="004F305A"/>
    <w:rsid w:val="00503EFF"/>
    <w:rsid w:val="0050412A"/>
    <w:rsid w:val="00505A56"/>
    <w:rsid w:val="00505A73"/>
    <w:rsid w:val="00506D31"/>
    <w:rsid w:val="00512164"/>
    <w:rsid w:val="00513B7B"/>
    <w:rsid w:val="00520297"/>
    <w:rsid w:val="00521566"/>
    <w:rsid w:val="005326C0"/>
    <w:rsid w:val="005338F9"/>
    <w:rsid w:val="0053646D"/>
    <w:rsid w:val="0054281C"/>
    <w:rsid w:val="0055268D"/>
    <w:rsid w:val="00572E44"/>
    <w:rsid w:val="00576BE4"/>
    <w:rsid w:val="00577A8F"/>
    <w:rsid w:val="005802A8"/>
    <w:rsid w:val="00585A8D"/>
    <w:rsid w:val="0059033E"/>
    <w:rsid w:val="00593AC3"/>
    <w:rsid w:val="00593DF0"/>
    <w:rsid w:val="005A400A"/>
    <w:rsid w:val="005A7639"/>
    <w:rsid w:val="005B3AFA"/>
    <w:rsid w:val="005C2DEE"/>
    <w:rsid w:val="005E054E"/>
    <w:rsid w:val="005F458E"/>
    <w:rsid w:val="005F58D5"/>
    <w:rsid w:val="00601672"/>
    <w:rsid w:val="00612379"/>
    <w:rsid w:val="0061555F"/>
    <w:rsid w:val="006162B8"/>
    <w:rsid w:val="00616BBF"/>
    <w:rsid w:val="006218DA"/>
    <w:rsid w:val="006237BE"/>
    <w:rsid w:val="00633281"/>
    <w:rsid w:val="006332A7"/>
    <w:rsid w:val="00636899"/>
    <w:rsid w:val="006408AD"/>
    <w:rsid w:val="00641200"/>
    <w:rsid w:val="00643D59"/>
    <w:rsid w:val="00645A55"/>
    <w:rsid w:val="006476CC"/>
    <w:rsid w:val="00656A51"/>
    <w:rsid w:val="00656B26"/>
    <w:rsid w:val="00657764"/>
    <w:rsid w:val="00663ED8"/>
    <w:rsid w:val="00664515"/>
    <w:rsid w:val="006701BC"/>
    <w:rsid w:val="00671CB9"/>
    <w:rsid w:val="00672815"/>
    <w:rsid w:val="00674859"/>
    <w:rsid w:val="00675426"/>
    <w:rsid w:val="00681527"/>
    <w:rsid w:val="00687EB4"/>
    <w:rsid w:val="006A062E"/>
    <w:rsid w:val="006A28D5"/>
    <w:rsid w:val="006A4A4E"/>
    <w:rsid w:val="006B17D2"/>
    <w:rsid w:val="006B45FA"/>
    <w:rsid w:val="006B48B7"/>
    <w:rsid w:val="006C224E"/>
    <w:rsid w:val="006D7A93"/>
    <w:rsid w:val="006E1218"/>
    <w:rsid w:val="006F70E5"/>
    <w:rsid w:val="00707399"/>
    <w:rsid w:val="0070798E"/>
    <w:rsid w:val="00713521"/>
    <w:rsid w:val="00727019"/>
    <w:rsid w:val="00732DEC"/>
    <w:rsid w:val="00735BD5"/>
    <w:rsid w:val="00740D2E"/>
    <w:rsid w:val="00750146"/>
    <w:rsid w:val="0075117E"/>
    <w:rsid w:val="007556F6"/>
    <w:rsid w:val="00760EEF"/>
    <w:rsid w:val="00765918"/>
    <w:rsid w:val="00773B79"/>
    <w:rsid w:val="007743F5"/>
    <w:rsid w:val="00777DD8"/>
    <w:rsid w:val="00777EE5"/>
    <w:rsid w:val="00780166"/>
    <w:rsid w:val="00784836"/>
    <w:rsid w:val="0079023E"/>
    <w:rsid w:val="00792585"/>
    <w:rsid w:val="00793451"/>
    <w:rsid w:val="00793F92"/>
    <w:rsid w:val="007A7007"/>
    <w:rsid w:val="007A78E0"/>
    <w:rsid w:val="007A7C90"/>
    <w:rsid w:val="007B0AD1"/>
    <w:rsid w:val="007B0F2B"/>
    <w:rsid w:val="007B2131"/>
    <w:rsid w:val="007B6894"/>
    <w:rsid w:val="007B6B9D"/>
    <w:rsid w:val="007C1587"/>
    <w:rsid w:val="007C20F5"/>
    <w:rsid w:val="007C499D"/>
    <w:rsid w:val="007C6639"/>
    <w:rsid w:val="007C6F58"/>
    <w:rsid w:val="007D0B9D"/>
    <w:rsid w:val="007D11FB"/>
    <w:rsid w:val="007D19B0"/>
    <w:rsid w:val="007E0AF4"/>
    <w:rsid w:val="007E7BF3"/>
    <w:rsid w:val="007F0CED"/>
    <w:rsid w:val="007F498F"/>
    <w:rsid w:val="007F624A"/>
    <w:rsid w:val="007F7CB1"/>
    <w:rsid w:val="00800501"/>
    <w:rsid w:val="0080679D"/>
    <w:rsid w:val="008108B0"/>
    <w:rsid w:val="00811B20"/>
    <w:rsid w:val="00816BF4"/>
    <w:rsid w:val="0082296E"/>
    <w:rsid w:val="00824099"/>
    <w:rsid w:val="00832986"/>
    <w:rsid w:val="00835DF1"/>
    <w:rsid w:val="00836E88"/>
    <w:rsid w:val="008378B5"/>
    <w:rsid w:val="00841A89"/>
    <w:rsid w:val="0084278E"/>
    <w:rsid w:val="0084771A"/>
    <w:rsid w:val="008477F3"/>
    <w:rsid w:val="00854427"/>
    <w:rsid w:val="00855DBD"/>
    <w:rsid w:val="0086064D"/>
    <w:rsid w:val="0086184C"/>
    <w:rsid w:val="00861B9E"/>
    <w:rsid w:val="00863D97"/>
    <w:rsid w:val="00863F02"/>
    <w:rsid w:val="00867AC1"/>
    <w:rsid w:val="00873F36"/>
    <w:rsid w:val="00875434"/>
    <w:rsid w:val="00875A65"/>
    <w:rsid w:val="008A395B"/>
    <w:rsid w:val="008A5512"/>
    <w:rsid w:val="008A743F"/>
    <w:rsid w:val="008B133E"/>
    <w:rsid w:val="008B2004"/>
    <w:rsid w:val="008B249C"/>
    <w:rsid w:val="008B51D0"/>
    <w:rsid w:val="008B57DD"/>
    <w:rsid w:val="008C0970"/>
    <w:rsid w:val="008C6E67"/>
    <w:rsid w:val="008D2CF7"/>
    <w:rsid w:val="008D309C"/>
    <w:rsid w:val="008D7783"/>
    <w:rsid w:val="008E0656"/>
    <w:rsid w:val="008E51DA"/>
    <w:rsid w:val="008E58B6"/>
    <w:rsid w:val="008E793E"/>
    <w:rsid w:val="008F4DCF"/>
    <w:rsid w:val="008F7100"/>
    <w:rsid w:val="00900C26"/>
    <w:rsid w:val="0090197F"/>
    <w:rsid w:val="009026A0"/>
    <w:rsid w:val="00902C40"/>
    <w:rsid w:val="00906DDC"/>
    <w:rsid w:val="00913032"/>
    <w:rsid w:val="00934E09"/>
    <w:rsid w:val="00936253"/>
    <w:rsid w:val="00942592"/>
    <w:rsid w:val="00943289"/>
    <w:rsid w:val="00946B36"/>
    <w:rsid w:val="0095258E"/>
    <w:rsid w:val="0095279E"/>
    <w:rsid w:val="009536D7"/>
    <w:rsid w:val="00957E15"/>
    <w:rsid w:val="009605D5"/>
    <w:rsid w:val="00962E0D"/>
    <w:rsid w:val="00964024"/>
    <w:rsid w:val="0097065B"/>
    <w:rsid w:val="00970FED"/>
    <w:rsid w:val="009763A6"/>
    <w:rsid w:val="00982F50"/>
    <w:rsid w:val="009849AD"/>
    <w:rsid w:val="009857B6"/>
    <w:rsid w:val="00994267"/>
    <w:rsid w:val="00997029"/>
    <w:rsid w:val="009A3968"/>
    <w:rsid w:val="009B1109"/>
    <w:rsid w:val="009B57CF"/>
    <w:rsid w:val="009C2B64"/>
    <w:rsid w:val="009D02CD"/>
    <w:rsid w:val="009D0DE5"/>
    <w:rsid w:val="009D235F"/>
    <w:rsid w:val="009D4BD2"/>
    <w:rsid w:val="009D690D"/>
    <w:rsid w:val="009E18D3"/>
    <w:rsid w:val="009E65B6"/>
    <w:rsid w:val="00A008C2"/>
    <w:rsid w:val="00A14F67"/>
    <w:rsid w:val="00A159E8"/>
    <w:rsid w:val="00A248A0"/>
    <w:rsid w:val="00A3108C"/>
    <w:rsid w:val="00A41CDD"/>
    <w:rsid w:val="00A42AC3"/>
    <w:rsid w:val="00A430CF"/>
    <w:rsid w:val="00A54309"/>
    <w:rsid w:val="00A67697"/>
    <w:rsid w:val="00A77D74"/>
    <w:rsid w:val="00A8262E"/>
    <w:rsid w:val="00A832FF"/>
    <w:rsid w:val="00A84484"/>
    <w:rsid w:val="00A921AE"/>
    <w:rsid w:val="00A94E7B"/>
    <w:rsid w:val="00AA0A8F"/>
    <w:rsid w:val="00AA3FC9"/>
    <w:rsid w:val="00AA55BB"/>
    <w:rsid w:val="00AA5D79"/>
    <w:rsid w:val="00AA7A0F"/>
    <w:rsid w:val="00AB2B93"/>
    <w:rsid w:val="00AB7405"/>
    <w:rsid w:val="00AD1143"/>
    <w:rsid w:val="00AD3F07"/>
    <w:rsid w:val="00AD6F47"/>
    <w:rsid w:val="00AE0EF1"/>
    <w:rsid w:val="00AE5D7A"/>
    <w:rsid w:val="00AE6127"/>
    <w:rsid w:val="00AF5C39"/>
    <w:rsid w:val="00B05DCB"/>
    <w:rsid w:val="00B07301"/>
    <w:rsid w:val="00B07FCB"/>
    <w:rsid w:val="00B16E85"/>
    <w:rsid w:val="00B224DE"/>
    <w:rsid w:val="00B233D6"/>
    <w:rsid w:val="00B27EAD"/>
    <w:rsid w:val="00B310C6"/>
    <w:rsid w:val="00B37B0C"/>
    <w:rsid w:val="00B4254E"/>
    <w:rsid w:val="00B52B19"/>
    <w:rsid w:val="00B52DD7"/>
    <w:rsid w:val="00B57B5C"/>
    <w:rsid w:val="00B62F85"/>
    <w:rsid w:val="00B64358"/>
    <w:rsid w:val="00B66AA4"/>
    <w:rsid w:val="00B73F49"/>
    <w:rsid w:val="00B81723"/>
    <w:rsid w:val="00B84BBD"/>
    <w:rsid w:val="00B860FD"/>
    <w:rsid w:val="00B943F9"/>
    <w:rsid w:val="00B94604"/>
    <w:rsid w:val="00B970F0"/>
    <w:rsid w:val="00B97F85"/>
    <w:rsid w:val="00BA0187"/>
    <w:rsid w:val="00BA1EAC"/>
    <w:rsid w:val="00BA43FB"/>
    <w:rsid w:val="00BB0971"/>
    <w:rsid w:val="00BC0907"/>
    <w:rsid w:val="00BC127D"/>
    <w:rsid w:val="00BC1FE6"/>
    <w:rsid w:val="00BC490F"/>
    <w:rsid w:val="00BC54C4"/>
    <w:rsid w:val="00BC7208"/>
    <w:rsid w:val="00BD2062"/>
    <w:rsid w:val="00BD2303"/>
    <w:rsid w:val="00BD4C24"/>
    <w:rsid w:val="00BE0AA7"/>
    <w:rsid w:val="00BE75CC"/>
    <w:rsid w:val="00BF0315"/>
    <w:rsid w:val="00BF4A60"/>
    <w:rsid w:val="00C04976"/>
    <w:rsid w:val="00C061B6"/>
    <w:rsid w:val="00C20E07"/>
    <w:rsid w:val="00C21DBF"/>
    <w:rsid w:val="00C2446C"/>
    <w:rsid w:val="00C27C6A"/>
    <w:rsid w:val="00C36437"/>
    <w:rsid w:val="00C36AE5"/>
    <w:rsid w:val="00C373E3"/>
    <w:rsid w:val="00C41F17"/>
    <w:rsid w:val="00C50545"/>
    <w:rsid w:val="00C50BD6"/>
    <w:rsid w:val="00C54BF4"/>
    <w:rsid w:val="00C54F87"/>
    <w:rsid w:val="00C56E65"/>
    <w:rsid w:val="00C57332"/>
    <w:rsid w:val="00C5791C"/>
    <w:rsid w:val="00C66290"/>
    <w:rsid w:val="00C675DE"/>
    <w:rsid w:val="00C678AB"/>
    <w:rsid w:val="00C70115"/>
    <w:rsid w:val="00C72B7A"/>
    <w:rsid w:val="00C75C75"/>
    <w:rsid w:val="00C852C1"/>
    <w:rsid w:val="00C9343F"/>
    <w:rsid w:val="00C973F2"/>
    <w:rsid w:val="00CA5379"/>
    <w:rsid w:val="00CA53E0"/>
    <w:rsid w:val="00CA5702"/>
    <w:rsid w:val="00CA6FB9"/>
    <w:rsid w:val="00CA774A"/>
    <w:rsid w:val="00CB540B"/>
    <w:rsid w:val="00CC07EF"/>
    <w:rsid w:val="00CC11B0"/>
    <w:rsid w:val="00CD1609"/>
    <w:rsid w:val="00CD5037"/>
    <w:rsid w:val="00CD6BE4"/>
    <w:rsid w:val="00CD6C8D"/>
    <w:rsid w:val="00CE3833"/>
    <w:rsid w:val="00CF3D73"/>
    <w:rsid w:val="00CF46B4"/>
    <w:rsid w:val="00CF7E36"/>
    <w:rsid w:val="00D002D0"/>
    <w:rsid w:val="00D03B80"/>
    <w:rsid w:val="00D10233"/>
    <w:rsid w:val="00D233D8"/>
    <w:rsid w:val="00D24210"/>
    <w:rsid w:val="00D26715"/>
    <w:rsid w:val="00D328E7"/>
    <w:rsid w:val="00D333C4"/>
    <w:rsid w:val="00D3708D"/>
    <w:rsid w:val="00D40426"/>
    <w:rsid w:val="00D42867"/>
    <w:rsid w:val="00D52A68"/>
    <w:rsid w:val="00D57A21"/>
    <w:rsid w:val="00D57C96"/>
    <w:rsid w:val="00D64207"/>
    <w:rsid w:val="00D671B7"/>
    <w:rsid w:val="00D810BA"/>
    <w:rsid w:val="00D8207A"/>
    <w:rsid w:val="00D86F03"/>
    <w:rsid w:val="00D91203"/>
    <w:rsid w:val="00D92197"/>
    <w:rsid w:val="00D95174"/>
    <w:rsid w:val="00D95A5C"/>
    <w:rsid w:val="00DA2D34"/>
    <w:rsid w:val="00DA6F36"/>
    <w:rsid w:val="00DC00EA"/>
    <w:rsid w:val="00DD43A1"/>
    <w:rsid w:val="00DD6655"/>
    <w:rsid w:val="00DF4D48"/>
    <w:rsid w:val="00DF6234"/>
    <w:rsid w:val="00E159D7"/>
    <w:rsid w:val="00E23920"/>
    <w:rsid w:val="00E23AE7"/>
    <w:rsid w:val="00E24567"/>
    <w:rsid w:val="00E332C8"/>
    <w:rsid w:val="00E361EB"/>
    <w:rsid w:val="00E4358E"/>
    <w:rsid w:val="00E4718F"/>
    <w:rsid w:val="00E70B4C"/>
    <w:rsid w:val="00E72D49"/>
    <w:rsid w:val="00E7593C"/>
    <w:rsid w:val="00E7678A"/>
    <w:rsid w:val="00E803B5"/>
    <w:rsid w:val="00E85CCE"/>
    <w:rsid w:val="00E8667D"/>
    <w:rsid w:val="00E935F1"/>
    <w:rsid w:val="00E94A81"/>
    <w:rsid w:val="00E978A4"/>
    <w:rsid w:val="00EA1FFB"/>
    <w:rsid w:val="00EA224B"/>
    <w:rsid w:val="00EB00A6"/>
    <w:rsid w:val="00EB048E"/>
    <w:rsid w:val="00EB3EFA"/>
    <w:rsid w:val="00EC1254"/>
    <w:rsid w:val="00EC2038"/>
    <w:rsid w:val="00EC2B30"/>
    <w:rsid w:val="00EC6CA8"/>
    <w:rsid w:val="00EC7E64"/>
    <w:rsid w:val="00ED2661"/>
    <w:rsid w:val="00ED5C03"/>
    <w:rsid w:val="00EE5184"/>
    <w:rsid w:val="00EE591E"/>
    <w:rsid w:val="00EF2F89"/>
    <w:rsid w:val="00EF4ABA"/>
    <w:rsid w:val="00EF5642"/>
    <w:rsid w:val="00F02B13"/>
    <w:rsid w:val="00F03AF7"/>
    <w:rsid w:val="00F04DEB"/>
    <w:rsid w:val="00F1072F"/>
    <w:rsid w:val="00F1182B"/>
    <w:rsid w:val="00F1237A"/>
    <w:rsid w:val="00F15768"/>
    <w:rsid w:val="00F22CBD"/>
    <w:rsid w:val="00F24FCC"/>
    <w:rsid w:val="00F253B8"/>
    <w:rsid w:val="00F35AAF"/>
    <w:rsid w:val="00F37961"/>
    <w:rsid w:val="00F54A16"/>
    <w:rsid w:val="00F6334D"/>
    <w:rsid w:val="00F71074"/>
    <w:rsid w:val="00F74F0A"/>
    <w:rsid w:val="00FA161B"/>
    <w:rsid w:val="00FA49AB"/>
    <w:rsid w:val="00FA53D4"/>
    <w:rsid w:val="00FB0D37"/>
    <w:rsid w:val="00FD0164"/>
    <w:rsid w:val="00FD4C9F"/>
    <w:rsid w:val="00FE0FB4"/>
    <w:rsid w:val="00FE39C7"/>
    <w:rsid w:val="00FE4AF3"/>
    <w:rsid w:val="00FE7B3B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2050"/>
    <w:pPr>
      <w:keepNext/>
      <w:ind w:left="567" w:hanging="567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2707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B3C35"/>
    <w:pPr>
      <w:keepNext/>
      <w:ind w:left="927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2050"/>
    <w:rPr>
      <w:rFonts w:ascii="Arial" w:hAnsi="Arial" w:cs="Arial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2707E"/>
    <w:rPr>
      <w:rFonts w:ascii="Arial" w:hAnsi="Arial" w:cs="Arial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A062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A062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A06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A062E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062E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6A062E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6A062E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BE4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F37961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062E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062E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062E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basedOn w:val="DefaultParagraphFont"/>
    <w:link w:val="BodyText"/>
    <w:uiPriority w:val="99"/>
    <w:semiHidden/>
    <w:rsid w:val="006A062E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62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6A062E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4C2307"/>
    <w:pPr>
      <w:tabs>
        <w:tab w:val="right" w:leader="dot" w:pos="9639"/>
      </w:tabs>
      <w:spacing w:after="60"/>
      <w:ind w:left="567" w:right="851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1218"/>
    <w:pPr>
      <w:tabs>
        <w:tab w:val="right" w:leader="dot" w:pos="9639"/>
      </w:tabs>
      <w:spacing w:after="60"/>
      <w:ind w:left="851" w:right="851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240AD4"/>
    <w:pPr>
      <w:tabs>
        <w:tab w:val="right" w:leader="dot" w:pos="9639"/>
      </w:tabs>
      <w:spacing w:before="120" w:after="120"/>
      <w:ind w:left="567" w:right="284" w:hanging="567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uiPriority w:val="99"/>
    <w:rsid w:val="004453BD"/>
    <w:rPr>
      <w:rFonts w:ascii="Arial" w:hAnsi="Arial" w:cs="Arial"/>
      <w:i/>
      <w:iCs/>
    </w:rPr>
  </w:style>
  <w:style w:type="paragraph" w:customStyle="1" w:styleId="StyleTOC1Left">
    <w:name w:val="Style TOC 1 + Left"/>
    <w:basedOn w:val="TOC1"/>
    <w:uiPriority w:val="99"/>
    <w:rsid w:val="004453BD"/>
    <w:pPr>
      <w:ind w:right="851"/>
    </w:pPr>
    <w:rPr>
      <w:noProof w:val="0"/>
      <w:sz w:val="18"/>
      <w:szCs w:val="18"/>
    </w:rPr>
  </w:style>
  <w:style w:type="table" w:styleId="TableGrid">
    <w:name w:val="Table Grid"/>
    <w:basedOn w:val="TableNormal"/>
    <w:uiPriority w:val="99"/>
    <w:rsid w:val="004453BD"/>
    <w:pPr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ItalicNounderline">
    <w:name w:val="Style Heading 2 + Italic No underline"/>
    <w:basedOn w:val="Heading2"/>
    <w:uiPriority w:val="99"/>
    <w:rsid w:val="004453BD"/>
    <w:rPr>
      <w:i/>
      <w:iCs/>
      <w:spacing w:val="-2"/>
      <w:u w:val="none"/>
    </w:rPr>
  </w:style>
  <w:style w:type="paragraph" w:styleId="NormalWeb">
    <w:name w:val="Normal (Web)"/>
    <w:basedOn w:val="Normal"/>
    <w:uiPriority w:val="99"/>
    <w:rsid w:val="000145A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BE75CC"/>
    <w:pPr>
      <w:tabs>
        <w:tab w:val="decimal" w:pos="907"/>
        <w:tab w:val="left" w:pos="1077"/>
      </w:tabs>
    </w:pPr>
    <w:rPr>
      <w:sz w:val="24"/>
      <w:szCs w:val="24"/>
    </w:rPr>
  </w:style>
  <w:style w:type="paragraph" w:customStyle="1" w:styleId="NormalAprs6pt">
    <w:name w:val="Normal + Après : 6 pt"/>
    <w:basedOn w:val="Normal"/>
    <w:link w:val="NormalAprs6ptChar"/>
    <w:uiPriority w:val="99"/>
    <w:rsid w:val="00AE5D7A"/>
    <w:pPr>
      <w:spacing w:line="360" w:lineRule="auto"/>
      <w:ind w:left="1134" w:hanging="567"/>
      <w:jc w:val="left"/>
    </w:pPr>
    <w:rPr>
      <w:sz w:val="24"/>
      <w:szCs w:val="24"/>
      <w:lang w:val="fr-FR"/>
    </w:rPr>
  </w:style>
  <w:style w:type="character" w:customStyle="1" w:styleId="NormalAprs6ptChar">
    <w:name w:val="Normal + Après : 6 pt Char"/>
    <w:link w:val="NormalAprs6pt"/>
    <w:uiPriority w:val="99"/>
    <w:rsid w:val="00AE5D7A"/>
    <w:rPr>
      <w:rFonts w:ascii="Arial" w:hAnsi="Arial" w:cs="Arial"/>
      <w:sz w:val="24"/>
      <w:szCs w:val="24"/>
      <w:lang w:val="fr-FR" w:eastAsia="en-US"/>
    </w:rPr>
  </w:style>
  <w:style w:type="character" w:customStyle="1" w:styleId="NormalAprs6ptCar">
    <w:name w:val="Normal + Après : 6 pt Car"/>
    <w:uiPriority w:val="99"/>
    <w:rsid w:val="0005711A"/>
    <w:rPr>
      <w:rFonts w:ascii="Arial" w:hAnsi="Arial" w:cs="Arial"/>
      <w:sz w:val="24"/>
      <w:szCs w:val="24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20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/>
    <w:lsdException w:name="toc 2" w:uiPriority="39"/>
    <w:lsdException w:name="toc 3" w:uiPriority="39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292050"/>
    <w:pPr>
      <w:keepNext/>
      <w:ind w:left="567" w:hanging="567"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02707E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3B3C35"/>
    <w:pPr>
      <w:keepNext/>
      <w:ind w:left="927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92050"/>
    <w:rPr>
      <w:rFonts w:ascii="Arial" w:hAnsi="Arial" w:cs="Arial"/>
      <w:cap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02707E"/>
    <w:rPr>
      <w:rFonts w:ascii="Arial" w:hAnsi="Arial" w:cs="Arial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A062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A062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A062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6A062E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A062E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6A062E"/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99"/>
    <w:rsid w:val="006A062E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D6BE4"/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sid w:val="00F37961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A062E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A062E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A062E"/>
    <w:rPr>
      <w:rFonts w:ascii="Arial" w:hAnsi="Arial" w:cs="Arial"/>
      <w:sz w:val="20"/>
      <w:szCs w:val="20"/>
    </w:rPr>
  </w:style>
  <w:style w:type="character" w:customStyle="1" w:styleId="Doclang">
    <w:name w:val="Doc_lang"/>
    <w:basedOn w:val="DefaultParagraphFont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basedOn w:val="DefaultParagraphFont"/>
    <w:link w:val="BodyText"/>
    <w:uiPriority w:val="99"/>
    <w:semiHidden/>
    <w:rsid w:val="006A062E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62E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6A062E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  <w:sz w:val="20"/>
      <w:szCs w:val="20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4C2307"/>
    <w:pPr>
      <w:tabs>
        <w:tab w:val="right" w:leader="dot" w:pos="9639"/>
      </w:tabs>
      <w:spacing w:after="60"/>
      <w:ind w:left="567" w:right="851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1218"/>
    <w:pPr>
      <w:tabs>
        <w:tab w:val="right" w:leader="dot" w:pos="9639"/>
      </w:tabs>
      <w:spacing w:after="60"/>
      <w:ind w:left="851" w:right="851"/>
      <w:jc w:val="left"/>
    </w:pPr>
    <w:rPr>
      <w:i/>
      <w:iCs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39"/>
    <w:rsid w:val="00240AD4"/>
    <w:pPr>
      <w:tabs>
        <w:tab w:val="right" w:leader="dot" w:pos="9639"/>
      </w:tabs>
      <w:spacing w:before="120" w:after="120"/>
      <w:ind w:left="567" w:right="284" w:hanging="567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4515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basedOn w:val="DefaultParagraphFont"/>
    <w:link w:val="DecisionParagraphs"/>
    <w:uiPriority w:val="99"/>
    <w:rsid w:val="004453BD"/>
    <w:rPr>
      <w:rFonts w:ascii="Arial" w:hAnsi="Arial" w:cs="Arial"/>
      <w:i/>
      <w:iCs/>
    </w:rPr>
  </w:style>
  <w:style w:type="paragraph" w:customStyle="1" w:styleId="StyleTOC1Left">
    <w:name w:val="Style TOC 1 + Left"/>
    <w:basedOn w:val="TOC1"/>
    <w:uiPriority w:val="99"/>
    <w:rsid w:val="004453BD"/>
    <w:pPr>
      <w:ind w:right="851"/>
    </w:pPr>
    <w:rPr>
      <w:noProof w:val="0"/>
      <w:sz w:val="18"/>
      <w:szCs w:val="18"/>
    </w:rPr>
  </w:style>
  <w:style w:type="table" w:styleId="TableGrid">
    <w:name w:val="Table Grid"/>
    <w:basedOn w:val="TableNormal"/>
    <w:uiPriority w:val="99"/>
    <w:rsid w:val="004453BD"/>
    <w:pPr>
      <w:jc w:val="both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2ItalicNounderline">
    <w:name w:val="Style Heading 2 + Italic No underline"/>
    <w:basedOn w:val="Heading2"/>
    <w:uiPriority w:val="99"/>
    <w:rsid w:val="004453BD"/>
    <w:rPr>
      <w:i/>
      <w:iCs/>
      <w:spacing w:val="-2"/>
      <w:u w:val="none"/>
    </w:rPr>
  </w:style>
  <w:style w:type="paragraph" w:styleId="NormalWeb">
    <w:name w:val="Normal (Web)"/>
    <w:basedOn w:val="Normal"/>
    <w:uiPriority w:val="99"/>
    <w:rsid w:val="000145A2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Style1">
    <w:name w:val="Style1"/>
    <w:basedOn w:val="Normal"/>
    <w:uiPriority w:val="99"/>
    <w:rsid w:val="00BE75CC"/>
    <w:pPr>
      <w:tabs>
        <w:tab w:val="decimal" w:pos="907"/>
        <w:tab w:val="left" w:pos="1077"/>
      </w:tabs>
    </w:pPr>
    <w:rPr>
      <w:sz w:val="24"/>
      <w:szCs w:val="24"/>
    </w:rPr>
  </w:style>
  <w:style w:type="paragraph" w:customStyle="1" w:styleId="NormalAprs6pt">
    <w:name w:val="Normal + Après : 6 pt"/>
    <w:basedOn w:val="Normal"/>
    <w:link w:val="NormalAprs6ptChar"/>
    <w:uiPriority w:val="99"/>
    <w:rsid w:val="00AE5D7A"/>
    <w:pPr>
      <w:spacing w:line="360" w:lineRule="auto"/>
      <w:ind w:left="1134" w:hanging="567"/>
      <w:jc w:val="left"/>
    </w:pPr>
    <w:rPr>
      <w:sz w:val="24"/>
      <w:szCs w:val="24"/>
      <w:lang w:val="fr-FR"/>
    </w:rPr>
  </w:style>
  <w:style w:type="character" w:customStyle="1" w:styleId="NormalAprs6ptChar">
    <w:name w:val="Normal + Après : 6 pt Char"/>
    <w:link w:val="NormalAprs6pt"/>
    <w:uiPriority w:val="99"/>
    <w:rsid w:val="00AE5D7A"/>
    <w:rPr>
      <w:rFonts w:ascii="Arial" w:hAnsi="Arial" w:cs="Arial"/>
      <w:sz w:val="24"/>
      <w:szCs w:val="24"/>
      <w:lang w:val="fr-FR" w:eastAsia="en-US"/>
    </w:rPr>
  </w:style>
  <w:style w:type="character" w:customStyle="1" w:styleId="NormalAprs6ptCar">
    <w:name w:val="Normal + Après : 6 pt Car"/>
    <w:uiPriority w:val="99"/>
    <w:rsid w:val="0005711A"/>
    <w:rPr>
      <w:rFonts w:ascii="Arial" w:hAnsi="Arial" w:cs="Arial"/>
      <w:sz w:val="24"/>
      <w:szCs w:val="24"/>
      <w:lang w:val="fr-FR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920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3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meetings/fr/details.jsp?meeting_id=2978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meetings/fr/details.jsp?meeting_id=2978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39B2-98AA-4CBC-81BB-1C8665F1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18</Pages>
  <Words>8810</Words>
  <Characters>50218</Characters>
  <Application>Microsoft Office Word</Application>
  <DocSecurity>0</DocSecurity>
  <Lines>418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58911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keywords>BP/ko</cp:keywords>
  <cp:lastModifiedBy>BESSE Ariane</cp:lastModifiedBy>
  <cp:revision>35</cp:revision>
  <cp:lastPrinted>2014-02-28T13:33:00Z</cp:lastPrinted>
  <dcterms:created xsi:type="dcterms:W3CDTF">2014-02-24T07:05:00Z</dcterms:created>
  <dcterms:modified xsi:type="dcterms:W3CDTF">2014-02-28T13:34:00Z</dcterms:modified>
</cp:coreProperties>
</file>