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3B70C5" w14:paraId="4C1C5064" w14:textId="77777777" w:rsidTr="00EB4E9C">
        <w:tc>
          <w:tcPr>
            <w:tcW w:w="6522" w:type="dxa"/>
          </w:tcPr>
          <w:p w14:paraId="1502685E" w14:textId="77777777" w:rsidR="00DC3802" w:rsidRPr="003B70C5" w:rsidRDefault="00C0234B" w:rsidP="00AC2883">
            <w:r w:rsidRPr="003B70C5">
              <w:rPr>
                <w:noProof/>
              </w:rPr>
              <w:drawing>
                <wp:inline distT="0" distB="0" distL="0" distR="0" wp14:anchorId="46A08417" wp14:editId="16F83C87">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186A967F" w14:textId="77777777" w:rsidR="00DC3802" w:rsidRPr="003B70C5" w:rsidRDefault="00A706D3" w:rsidP="00AC2883">
            <w:pPr>
              <w:pStyle w:val="Lettrine"/>
            </w:pPr>
            <w:r w:rsidRPr="003B70C5">
              <w:t>F</w:t>
            </w:r>
          </w:p>
        </w:tc>
      </w:tr>
      <w:tr w:rsidR="00DC3802" w:rsidRPr="003B70C5" w14:paraId="22C34162" w14:textId="77777777" w:rsidTr="00645CA8">
        <w:trPr>
          <w:trHeight w:val="219"/>
        </w:trPr>
        <w:tc>
          <w:tcPr>
            <w:tcW w:w="6522" w:type="dxa"/>
          </w:tcPr>
          <w:p w14:paraId="7544E664" w14:textId="77777777" w:rsidR="00DC3802" w:rsidRPr="003B70C5" w:rsidRDefault="00DC3802" w:rsidP="00A706D3">
            <w:pPr>
              <w:pStyle w:val="upove"/>
            </w:pPr>
            <w:r w:rsidRPr="003B70C5">
              <w:t xml:space="preserve">Union </w:t>
            </w:r>
            <w:r w:rsidR="00A706D3" w:rsidRPr="003B70C5">
              <w:t>internationale pour la protection des obtentions végétales</w:t>
            </w:r>
          </w:p>
        </w:tc>
        <w:tc>
          <w:tcPr>
            <w:tcW w:w="3117" w:type="dxa"/>
          </w:tcPr>
          <w:p w14:paraId="6F4770E7" w14:textId="77777777" w:rsidR="00DC3802" w:rsidRPr="003B70C5" w:rsidRDefault="00DC3802" w:rsidP="00DA4973"/>
        </w:tc>
      </w:tr>
    </w:tbl>
    <w:p w14:paraId="37B022FF" w14:textId="77777777" w:rsidR="00DC3802" w:rsidRPr="003B70C5" w:rsidRDefault="00DC3802" w:rsidP="00DC3802"/>
    <w:p w14:paraId="7B3B54AB" w14:textId="77777777" w:rsidR="00DA4973" w:rsidRPr="003B70C5"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3B70C5" w14:paraId="0ED8E21B" w14:textId="77777777" w:rsidTr="00EB4E9C">
        <w:tc>
          <w:tcPr>
            <w:tcW w:w="6512" w:type="dxa"/>
          </w:tcPr>
          <w:p w14:paraId="2E2C21A1" w14:textId="77777777" w:rsidR="00EB4E9C" w:rsidRPr="00FE7319" w:rsidRDefault="00AB5931" w:rsidP="00AC2883">
            <w:pPr>
              <w:pStyle w:val="Sessiontc"/>
              <w:spacing w:line="240" w:lineRule="auto"/>
            </w:pPr>
            <w:r w:rsidRPr="00FE7319">
              <w:t>Conseil</w:t>
            </w:r>
          </w:p>
          <w:p w14:paraId="6E12DA8D" w14:textId="0C696709" w:rsidR="007924B4" w:rsidRPr="00FE7319" w:rsidRDefault="009E3896" w:rsidP="00EE6E70">
            <w:pPr>
              <w:pStyle w:val="Sessiontcplacedate"/>
            </w:pPr>
            <w:r w:rsidRPr="00FE7319">
              <w:t>Soixant</w:t>
            </w:r>
            <w:r w:rsidR="002B0172" w:rsidRPr="00FE7319">
              <w:t>ième session</w:t>
            </w:r>
            <w:r w:rsidR="00AB5931" w:rsidRPr="00FE7319">
              <w:t xml:space="preserve"> ordinaire</w:t>
            </w:r>
          </w:p>
          <w:p w14:paraId="645754D9" w14:textId="2CAD95E1" w:rsidR="00EB4E9C" w:rsidRPr="00FE7319" w:rsidRDefault="00EB4E9C" w:rsidP="00DE20C8">
            <w:pPr>
              <w:pStyle w:val="Sessiontcplacedate"/>
              <w:rPr>
                <w:sz w:val="22"/>
              </w:rPr>
            </w:pPr>
            <w:r w:rsidRPr="00FE7319">
              <w:t>Gen</w:t>
            </w:r>
            <w:r w:rsidR="00A706D3" w:rsidRPr="00FE7319">
              <w:t>è</w:t>
            </w:r>
            <w:r w:rsidRPr="00FE7319">
              <w:t>v</w:t>
            </w:r>
            <w:r w:rsidR="00A706D3" w:rsidRPr="00FE7319">
              <w:t>e</w:t>
            </w:r>
            <w:r w:rsidRPr="00FE7319">
              <w:t xml:space="preserve">, </w:t>
            </w:r>
            <w:r w:rsidR="00EE6E70" w:rsidRPr="00FE7319">
              <w:t>2</w:t>
            </w:r>
            <w:r w:rsidR="002B0172" w:rsidRPr="00FE7319">
              <w:t>3 octobre 20</w:t>
            </w:r>
            <w:r w:rsidR="009E3896" w:rsidRPr="00FE7319">
              <w:t>26</w:t>
            </w:r>
          </w:p>
        </w:tc>
        <w:tc>
          <w:tcPr>
            <w:tcW w:w="3127" w:type="dxa"/>
          </w:tcPr>
          <w:p w14:paraId="055EEBF7" w14:textId="7C1828FE" w:rsidR="00EB4E9C" w:rsidRPr="00FE7319" w:rsidRDefault="009E3896" w:rsidP="003C7FBE">
            <w:pPr>
              <w:pStyle w:val="Doccode"/>
              <w:rPr>
                <w:lang w:val="fr-FR"/>
              </w:rPr>
            </w:pPr>
            <w:r w:rsidRPr="00FE7319">
              <w:rPr>
                <w:lang w:val="fr-FR"/>
              </w:rPr>
              <w:t>C/60</w:t>
            </w:r>
            <w:r w:rsidR="005D1417" w:rsidRPr="00FE7319">
              <w:rPr>
                <w:lang w:val="fr-FR"/>
              </w:rPr>
              <w:t>/</w:t>
            </w:r>
            <w:r w:rsidR="000C336F" w:rsidRPr="00FE7319">
              <w:rPr>
                <w:lang w:val="fr-FR"/>
              </w:rPr>
              <w:t>9</w:t>
            </w:r>
          </w:p>
          <w:p w14:paraId="258F221F" w14:textId="40EA2FA8" w:rsidR="00EB4E9C" w:rsidRPr="00FE7319" w:rsidRDefault="00EB4E9C" w:rsidP="003C7FBE">
            <w:pPr>
              <w:pStyle w:val="Docoriginal"/>
            </w:pPr>
            <w:r w:rsidRPr="00FE7319">
              <w:t>Original</w:t>
            </w:r>
            <w:r w:rsidR="00E2280F" w:rsidRPr="00FE7319">
              <w:t> </w:t>
            </w:r>
            <w:r w:rsidRPr="00FE7319">
              <w:t>:</w:t>
            </w:r>
            <w:r w:rsidRPr="00FE7319">
              <w:rPr>
                <w:b w:val="0"/>
                <w:spacing w:val="0"/>
              </w:rPr>
              <w:t xml:space="preserve"> </w:t>
            </w:r>
            <w:r w:rsidR="00A706D3" w:rsidRPr="00FE7319">
              <w:rPr>
                <w:b w:val="0"/>
                <w:spacing w:val="0"/>
              </w:rPr>
              <w:t>anglais</w:t>
            </w:r>
          </w:p>
          <w:p w14:paraId="7F1CCC5C" w14:textId="19F6FDF1" w:rsidR="00EB4E9C" w:rsidRPr="003B70C5" w:rsidRDefault="00EB4E9C" w:rsidP="00EE6E70">
            <w:pPr>
              <w:pStyle w:val="Docoriginal"/>
            </w:pPr>
            <w:r w:rsidRPr="00FE7319">
              <w:t>Date</w:t>
            </w:r>
            <w:r w:rsidR="00E2280F" w:rsidRPr="00FE7319">
              <w:t> </w:t>
            </w:r>
            <w:r w:rsidRPr="00FE7319">
              <w:t>:</w:t>
            </w:r>
            <w:r w:rsidRPr="00FE7319">
              <w:rPr>
                <w:b w:val="0"/>
                <w:spacing w:val="0"/>
              </w:rPr>
              <w:t xml:space="preserve"> </w:t>
            </w:r>
            <w:r w:rsidR="00107D1E" w:rsidRPr="00FE7319">
              <w:rPr>
                <w:b w:val="0"/>
                <w:spacing w:val="0"/>
              </w:rPr>
              <w:t>6</w:t>
            </w:r>
            <w:r w:rsidR="002B0172" w:rsidRPr="00FE7319">
              <w:rPr>
                <w:b w:val="0"/>
                <w:spacing w:val="0"/>
              </w:rPr>
              <w:t> </w:t>
            </w:r>
            <w:r w:rsidR="00D907CA" w:rsidRPr="00FE7319">
              <w:rPr>
                <w:b w:val="0"/>
                <w:spacing w:val="0"/>
              </w:rPr>
              <w:t xml:space="preserve">août </w:t>
            </w:r>
            <w:r w:rsidR="002B0172" w:rsidRPr="00FE7319">
              <w:rPr>
                <w:b w:val="0"/>
                <w:spacing w:val="0"/>
              </w:rPr>
              <w:t>20</w:t>
            </w:r>
            <w:r w:rsidR="009E3896" w:rsidRPr="00FE7319">
              <w:rPr>
                <w:b w:val="0"/>
                <w:spacing w:val="0"/>
              </w:rPr>
              <w:t>26</w:t>
            </w:r>
          </w:p>
        </w:tc>
      </w:tr>
    </w:tbl>
    <w:p w14:paraId="6F7E3ED5" w14:textId="6C2D157F" w:rsidR="000C336F" w:rsidRPr="003B70C5" w:rsidRDefault="000C336F" w:rsidP="000C336F">
      <w:pPr>
        <w:pStyle w:val="Titleofdoc0"/>
        <w:rPr>
          <w:rFonts w:cs="Arial"/>
        </w:rPr>
      </w:pPr>
      <w:r w:rsidRPr="003B70C5">
        <w:t xml:space="preserve">États financiers </w:t>
      </w:r>
      <w:r w:rsidR="002B0172" w:rsidRPr="003B70C5">
        <w:t>pour 2025</w:t>
      </w:r>
    </w:p>
    <w:p w14:paraId="593D704E" w14:textId="73E1483A" w:rsidR="000C336F" w:rsidRPr="003B70C5" w:rsidRDefault="000C336F" w:rsidP="000C336F">
      <w:pPr>
        <w:pStyle w:val="preparedby1"/>
        <w:jc w:val="left"/>
        <w:rPr>
          <w:rFonts w:cs="Arial"/>
        </w:rPr>
      </w:pPr>
      <w:bookmarkStart w:id="0" w:name="Prepared"/>
      <w:bookmarkEnd w:id="0"/>
      <w:r w:rsidRPr="003B70C5">
        <w:t>Document établi par le Bureau de l</w:t>
      </w:r>
      <w:r w:rsidR="002B0172" w:rsidRPr="003B70C5">
        <w:t>’</w:t>
      </w:r>
      <w:r w:rsidRPr="003B70C5">
        <w:t>Union</w:t>
      </w:r>
    </w:p>
    <w:p w14:paraId="250A5527" w14:textId="537D3E9C" w:rsidR="000C336F" w:rsidRPr="003B70C5" w:rsidRDefault="000C336F" w:rsidP="000C336F">
      <w:pPr>
        <w:pStyle w:val="Disclaimer"/>
        <w:tabs>
          <w:tab w:val="left" w:pos="7800"/>
        </w:tabs>
        <w:rPr>
          <w:rFonts w:cs="Arial"/>
        </w:rPr>
      </w:pPr>
      <w:r w:rsidRPr="003B70C5">
        <w:t>Avertissement</w:t>
      </w:r>
      <w:r w:rsidR="002B0172" w:rsidRPr="003B70C5">
        <w:t> :</w:t>
      </w:r>
      <w:r w:rsidRPr="003B70C5">
        <w:t xml:space="preserve"> le présent document ne représente pas les principes ou les orientations de l</w:t>
      </w:r>
      <w:r w:rsidR="002B0172" w:rsidRPr="003B70C5">
        <w:t>’</w:t>
      </w:r>
      <w:r w:rsidRPr="003B70C5">
        <w:t>UPOV</w:t>
      </w:r>
    </w:p>
    <w:p w14:paraId="18717377" w14:textId="5442132A" w:rsidR="000C336F" w:rsidRPr="003B70C5" w:rsidRDefault="000C336F" w:rsidP="000C336F">
      <w:pPr>
        <w:rPr>
          <w:rFonts w:cs="Arial"/>
        </w:rPr>
      </w:pPr>
      <w:r w:rsidRPr="003B70C5">
        <w:rPr>
          <w:rFonts w:cs="Arial"/>
        </w:rPr>
        <w:fldChar w:fldCharType="begin"/>
      </w:r>
      <w:r w:rsidRPr="003B70C5">
        <w:rPr>
          <w:rFonts w:cs="Arial"/>
        </w:rPr>
        <w:instrText xml:space="preserve"> AUTONUM  </w:instrText>
      </w:r>
      <w:r w:rsidRPr="003B70C5">
        <w:rPr>
          <w:rFonts w:cs="Arial"/>
        </w:rPr>
        <w:fldChar w:fldCharType="end"/>
      </w:r>
      <w:r w:rsidRPr="003B70C5">
        <w:tab/>
        <w:t>Les états financiers de l</w:t>
      </w:r>
      <w:r w:rsidR="002B0172" w:rsidRPr="003B70C5">
        <w:t>’</w:t>
      </w:r>
      <w:r w:rsidRPr="003B70C5">
        <w:t>UPOV au 31 </w:t>
      </w:r>
      <w:r w:rsidR="002B0172" w:rsidRPr="003B70C5">
        <w:t>décembre 20</w:t>
      </w:r>
      <w:r w:rsidRPr="003B70C5">
        <w:t>25 sont communiqués au Conseil conformément à l</w:t>
      </w:r>
      <w:r w:rsidR="002B0172" w:rsidRPr="003B70C5">
        <w:t>’article 6</w:t>
      </w:r>
      <w:r w:rsidRPr="003B70C5">
        <w:t>.5 du Règlement financier et règlement d</w:t>
      </w:r>
      <w:r w:rsidR="002B0172" w:rsidRPr="003B70C5">
        <w:t>’</w:t>
      </w:r>
      <w:r w:rsidRPr="003B70C5">
        <w:t>exécution du Règlement financier de l</w:t>
      </w:r>
      <w:r w:rsidR="002B0172" w:rsidRPr="003B70C5">
        <w:t>’</w:t>
      </w:r>
      <w:r w:rsidRPr="003B70C5">
        <w:t>UPOV (document</w:t>
      </w:r>
      <w:r w:rsidR="00533677">
        <w:t> </w:t>
      </w:r>
      <w:r w:rsidRPr="003B70C5">
        <w:t>UPOV/INF/4/</w:t>
      </w:r>
      <w:r w:rsidR="00A3425E">
        <w:t>7</w:t>
      </w:r>
      <w:r w:rsidRPr="003B70C5">
        <w:t>), qui prévoit que le Conseil examine et approuve les états financie</w:t>
      </w:r>
      <w:r w:rsidR="00D076B0" w:rsidRPr="003B70C5">
        <w:t>rs.  Le</w:t>
      </w:r>
      <w:r w:rsidRPr="003B70C5">
        <w:t xml:space="preserve">s états financiers </w:t>
      </w:r>
      <w:r w:rsidR="002B0172" w:rsidRPr="003B70C5">
        <w:t>pour 2025</w:t>
      </w:r>
      <w:r w:rsidRPr="003B70C5">
        <w:t xml:space="preserve"> figurent dans l</w:t>
      </w:r>
      <w:r w:rsidR="002B0172" w:rsidRPr="003B70C5">
        <w:t>’</w:t>
      </w:r>
      <w:r w:rsidRPr="003B70C5">
        <w:t>annexe du présent docume</w:t>
      </w:r>
      <w:r w:rsidR="00D076B0" w:rsidRPr="003B70C5">
        <w:t>nt.  L’a</w:t>
      </w:r>
      <w:r w:rsidRPr="003B70C5">
        <w:t>nnexe contient également la déclaration sur le contrôle interne de l</w:t>
      </w:r>
      <w:r w:rsidR="002B0172" w:rsidRPr="003B70C5">
        <w:t>’</w:t>
      </w:r>
      <w:r w:rsidRPr="003B70C5">
        <w:t>UPOV, signée par le Secrétaire génér</w:t>
      </w:r>
      <w:r w:rsidR="00D076B0" w:rsidRPr="003B70C5">
        <w:t>al.  Le</w:t>
      </w:r>
      <w:r w:rsidRPr="003B70C5">
        <w:t xml:space="preserve"> document C/60/10 contient le rapport du vérificateur externe des comptes.</w:t>
      </w:r>
    </w:p>
    <w:p w14:paraId="53675BD8" w14:textId="77777777" w:rsidR="000C336F" w:rsidRPr="003B70C5" w:rsidRDefault="000C336F" w:rsidP="000C336F">
      <w:pPr>
        <w:rPr>
          <w:rFonts w:cs="Arial"/>
        </w:rPr>
      </w:pPr>
    </w:p>
    <w:p w14:paraId="0EAABA84" w14:textId="5AC0E1E4" w:rsidR="002B0172" w:rsidRPr="003B70C5" w:rsidRDefault="000C336F" w:rsidP="000C336F">
      <w:r w:rsidRPr="003B70C5">
        <w:rPr>
          <w:rFonts w:cs="Arial"/>
        </w:rPr>
        <w:fldChar w:fldCharType="begin"/>
      </w:r>
      <w:r w:rsidRPr="003B70C5">
        <w:rPr>
          <w:rFonts w:cs="Arial"/>
        </w:rPr>
        <w:instrText xml:space="preserve"> AUTONUM  </w:instrText>
      </w:r>
      <w:r w:rsidRPr="003B70C5">
        <w:rPr>
          <w:rFonts w:cs="Arial"/>
        </w:rPr>
        <w:fldChar w:fldCharType="end"/>
      </w:r>
      <w:r w:rsidRPr="003B70C5">
        <w:tab/>
        <w:t xml:space="preserve">Les états financiers </w:t>
      </w:r>
      <w:r w:rsidR="002B0172" w:rsidRPr="003B70C5">
        <w:t>pour 2025</w:t>
      </w:r>
      <w:r w:rsidRPr="003B70C5">
        <w:t xml:space="preserve"> ont été établis conformément aux Normes comptables internationales du secteur public (normes</w:t>
      </w:r>
      <w:r w:rsidR="00E2280F" w:rsidRPr="003B70C5">
        <w:t> </w:t>
      </w:r>
      <w:r w:rsidRPr="003B70C5">
        <w:t>IPSAS).  À sa quarante</w:t>
      </w:r>
      <w:r w:rsidR="002B0172" w:rsidRPr="003B70C5">
        <w:t>-</w:t>
      </w:r>
      <w:r w:rsidRPr="003B70C5">
        <w:t>cinqu</w:t>
      </w:r>
      <w:r w:rsidR="002B0172" w:rsidRPr="003B70C5">
        <w:t>ième session</w:t>
      </w:r>
      <w:r w:rsidRPr="003B70C5">
        <w:t xml:space="preserve"> ordinaire, tenue à Genève le</w:t>
      </w:r>
      <w:r w:rsidR="00551A31">
        <w:t> </w:t>
      </w:r>
      <w:r w:rsidRPr="003B70C5">
        <w:t>20 </w:t>
      </w:r>
      <w:r w:rsidR="002B0172" w:rsidRPr="003B70C5">
        <w:t>octobre</w:t>
      </w:r>
      <w:r w:rsidR="007F0724">
        <w:t xml:space="preserve"> </w:t>
      </w:r>
      <w:r w:rsidR="002B0172" w:rsidRPr="003B70C5">
        <w:t>20</w:t>
      </w:r>
      <w:r w:rsidRPr="003B70C5">
        <w:t>11, le Conseil a approuvé l</w:t>
      </w:r>
      <w:r w:rsidR="002B0172" w:rsidRPr="003B70C5">
        <w:t>’</w:t>
      </w:r>
      <w:r w:rsidRPr="003B70C5">
        <w:t>adoption des normes</w:t>
      </w:r>
      <w:r w:rsidR="00E2280F" w:rsidRPr="003B70C5">
        <w:t> </w:t>
      </w:r>
      <w:r w:rsidRPr="003B70C5">
        <w:t>IPSAS par l</w:t>
      </w:r>
      <w:r w:rsidR="002B0172" w:rsidRPr="003B70C5">
        <w:t>’</w:t>
      </w:r>
      <w:r w:rsidRPr="003B70C5">
        <w:t>UPOV, dès l</w:t>
      </w:r>
      <w:r w:rsidR="002B0172" w:rsidRPr="003B70C5">
        <w:t>’</w:t>
      </w:r>
      <w:r w:rsidRPr="003B70C5">
        <w:t xml:space="preserve">exercice financier débutant </w:t>
      </w:r>
      <w:r w:rsidR="002B0172" w:rsidRPr="003B70C5">
        <w:t>en 2012</w:t>
      </w:r>
      <w:r w:rsidRPr="003B70C5">
        <w:t xml:space="preserve"> (voir le paragraphe 9.b) du document C/45/18 “Compte rendu”).</w:t>
      </w:r>
    </w:p>
    <w:p w14:paraId="6164C546" w14:textId="70D3F6AA" w:rsidR="000C336F" w:rsidRPr="003B70C5" w:rsidRDefault="000C336F" w:rsidP="000C336F">
      <w:pPr>
        <w:rPr>
          <w:rFonts w:cs="Arial"/>
        </w:rPr>
      </w:pPr>
    </w:p>
    <w:p w14:paraId="71F0F2FB" w14:textId="5AFD3725" w:rsidR="000C336F" w:rsidRPr="003B70C5" w:rsidRDefault="000C336F" w:rsidP="000C336F">
      <w:pPr>
        <w:pStyle w:val="DecisionParagraphs"/>
        <w:rPr>
          <w:rFonts w:cs="Arial"/>
        </w:rPr>
      </w:pPr>
      <w:r w:rsidRPr="003B70C5">
        <w:rPr>
          <w:rFonts w:cs="Arial"/>
        </w:rPr>
        <w:fldChar w:fldCharType="begin"/>
      </w:r>
      <w:r w:rsidRPr="003B70C5">
        <w:rPr>
          <w:rFonts w:cs="Arial"/>
        </w:rPr>
        <w:instrText xml:space="preserve"> AUTONUM  </w:instrText>
      </w:r>
      <w:r w:rsidRPr="003B70C5">
        <w:rPr>
          <w:rFonts w:cs="Arial"/>
        </w:rPr>
        <w:fldChar w:fldCharType="end"/>
      </w:r>
      <w:r w:rsidRPr="003B70C5">
        <w:tab/>
        <w:t xml:space="preserve">Le Conseil est invité à examiner et approuver les états financiers </w:t>
      </w:r>
      <w:r w:rsidR="002B0172" w:rsidRPr="003B70C5">
        <w:t>pour 2025</w:t>
      </w:r>
      <w:r w:rsidRPr="003B70C5">
        <w:t>.</w:t>
      </w:r>
    </w:p>
    <w:p w14:paraId="43A67E3F" w14:textId="77777777" w:rsidR="000C336F" w:rsidRPr="003B70C5" w:rsidRDefault="000C336F" w:rsidP="000C336F">
      <w:pPr>
        <w:rPr>
          <w:rFonts w:cs="Arial"/>
        </w:rPr>
      </w:pPr>
    </w:p>
    <w:p w14:paraId="6546027D" w14:textId="77777777" w:rsidR="000C336F" w:rsidRPr="003B70C5" w:rsidRDefault="000C336F" w:rsidP="000C336F">
      <w:pPr>
        <w:rPr>
          <w:rFonts w:cs="Arial"/>
        </w:rPr>
      </w:pPr>
    </w:p>
    <w:p w14:paraId="49DA59D0" w14:textId="77777777" w:rsidR="000C336F" w:rsidRPr="003B70C5" w:rsidRDefault="000C336F" w:rsidP="000C336F">
      <w:pPr>
        <w:jc w:val="left"/>
        <w:rPr>
          <w:rFonts w:cs="Arial"/>
        </w:rPr>
      </w:pPr>
    </w:p>
    <w:p w14:paraId="58B469B0" w14:textId="38E98FA2" w:rsidR="000C336F" w:rsidRPr="003B70C5" w:rsidRDefault="000C336F" w:rsidP="000C336F">
      <w:pPr>
        <w:jc w:val="right"/>
        <w:rPr>
          <w:rFonts w:cs="Arial"/>
        </w:rPr>
      </w:pPr>
      <w:r w:rsidRPr="003B70C5">
        <w:t>[L</w:t>
      </w:r>
      <w:r w:rsidR="002B0172" w:rsidRPr="003B70C5">
        <w:t>’</w:t>
      </w:r>
      <w:r w:rsidRPr="003B70C5">
        <w:t>annexe suit]</w:t>
      </w:r>
    </w:p>
    <w:p w14:paraId="1C4758B6" w14:textId="77777777" w:rsidR="000C336F" w:rsidRPr="003B70C5" w:rsidRDefault="000C336F" w:rsidP="000C336F">
      <w:pPr>
        <w:jc w:val="left"/>
        <w:rPr>
          <w:rFonts w:cs="Arial"/>
        </w:rPr>
        <w:sectPr w:rsidR="000C336F" w:rsidRPr="003B70C5" w:rsidSect="000C336F">
          <w:headerReference w:type="even" r:id="rId13"/>
          <w:headerReference w:type="default" r:id="rId14"/>
          <w:pgSz w:w="11907" w:h="16840" w:code="9"/>
          <w:pgMar w:top="510" w:right="1134" w:bottom="1134" w:left="1134" w:header="510" w:footer="680" w:gutter="0"/>
          <w:cols w:space="720"/>
          <w:titlePg/>
          <w:docGrid w:linePitch="272"/>
        </w:sectPr>
      </w:pPr>
    </w:p>
    <w:p w14:paraId="7822F470" w14:textId="77777777" w:rsidR="000C336F" w:rsidRPr="003B70C5" w:rsidRDefault="000C336F" w:rsidP="000C336F">
      <w:pPr>
        <w:jc w:val="center"/>
        <w:rPr>
          <w:rFonts w:cs="Arial"/>
          <w:b/>
          <w:bCs/>
          <w:snapToGrid w:val="0"/>
          <w:spacing w:val="8"/>
        </w:rPr>
      </w:pPr>
      <w:r w:rsidRPr="003B70C5">
        <w:rPr>
          <w:b/>
          <w:snapToGrid w:val="0"/>
        </w:rPr>
        <w:lastRenderedPageBreak/>
        <w:t>UNION INTERNATIONALE POUR LA PROTECTION DES OBTENTIONS VÉGÉTALES</w:t>
      </w:r>
    </w:p>
    <w:p w14:paraId="700860F9" w14:textId="77777777" w:rsidR="000C336F" w:rsidRPr="003B70C5" w:rsidRDefault="000C336F" w:rsidP="000C336F">
      <w:pPr>
        <w:jc w:val="center"/>
        <w:rPr>
          <w:rFonts w:cs="Arial"/>
          <w:b/>
          <w:bCs/>
          <w:snapToGrid w:val="0"/>
          <w:spacing w:val="8"/>
        </w:rPr>
      </w:pPr>
    </w:p>
    <w:p w14:paraId="0C7D2D11" w14:textId="6F896573" w:rsidR="000C336F" w:rsidRPr="003B70C5" w:rsidRDefault="000C336F" w:rsidP="000C336F">
      <w:pPr>
        <w:jc w:val="center"/>
        <w:rPr>
          <w:rFonts w:cs="Arial"/>
        </w:rPr>
      </w:pPr>
      <w:r w:rsidRPr="003B70C5">
        <w:t>États financiers pour l</w:t>
      </w:r>
      <w:r w:rsidR="002B0172" w:rsidRPr="003B70C5">
        <w:t>’</w:t>
      </w:r>
      <w:r w:rsidRPr="003B70C5">
        <w:t>année s</w:t>
      </w:r>
      <w:r w:rsidR="002B0172" w:rsidRPr="003B70C5">
        <w:t>’</w:t>
      </w:r>
      <w:r w:rsidRPr="003B70C5">
        <w:t>achevant le 31 </w:t>
      </w:r>
      <w:r w:rsidR="002B0172" w:rsidRPr="003B70C5">
        <w:t>décembre 20</w:t>
      </w:r>
      <w:r w:rsidRPr="003B70C5">
        <w:t>25</w:t>
      </w:r>
    </w:p>
    <w:p w14:paraId="7EF28BAE" w14:textId="77777777" w:rsidR="000C336F" w:rsidRPr="003B70C5" w:rsidRDefault="000C336F" w:rsidP="00D6364A"/>
    <w:p w14:paraId="34144357" w14:textId="77777777" w:rsidR="00297E9F" w:rsidRPr="003B70C5" w:rsidRDefault="00297E9F" w:rsidP="00D6364A"/>
    <w:sdt>
      <w:sdtPr>
        <w:rPr>
          <w:rFonts w:ascii="Arial" w:eastAsia="Times New Roman" w:hAnsi="Arial" w:cs="Arial"/>
          <w:b w:val="0"/>
          <w:bCs w:val="0"/>
          <w:color w:val="auto"/>
          <w:sz w:val="20"/>
          <w:szCs w:val="20"/>
        </w:rPr>
        <w:id w:val="881980883"/>
        <w:docPartObj>
          <w:docPartGallery w:val="Table of Contents"/>
          <w:docPartUnique/>
        </w:docPartObj>
      </w:sdtPr>
      <w:sdtEndPr>
        <w:rPr>
          <w:noProof/>
        </w:rPr>
      </w:sdtEndPr>
      <w:sdtContent>
        <w:p w14:paraId="39E5970F" w14:textId="77777777" w:rsidR="000C336F" w:rsidRPr="00D30D6F" w:rsidRDefault="000C336F" w:rsidP="00D30D6F">
          <w:pPr>
            <w:pStyle w:val="TOCHeading"/>
            <w:spacing w:after="120"/>
            <w:rPr>
              <w:rFonts w:ascii="Arial" w:hAnsi="Arial" w:cs="Arial"/>
              <w:b w:val="0"/>
              <w:bCs w:val="0"/>
              <w:color w:val="auto"/>
              <w:sz w:val="20"/>
              <w:szCs w:val="20"/>
            </w:rPr>
          </w:pPr>
          <w:r w:rsidRPr="00D30D6F">
            <w:rPr>
              <w:rFonts w:ascii="Arial" w:hAnsi="Arial" w:cs="Arial"/>
              <w:b w:val="0"/>
              <w:bCs w:val="0"/>
              <w:color w:val="auto"/>
              <w:sz w:val="20"/>
              <w:szCs w:val="20"/>
            </w:rPr>
            <w:t>Table des matières</w:t>
          </w:r>
        </w:p>
        <w:p w14:paraId="7A956A26" w14:textId="52EB2776" w:rsidR="00BF5D08" w:rsidRDefault="000C336F">
          <w:pPr>
            <w:pStyle w:val="TOC1"/>
            <w:rPr>
              <w:rFonts w:asciiTheme="minorHAnsi" w:eastAsiaTheme="minorEastAsia" w:hAnsiTheme="minorHAnsi" w:cstheme="minorBidi"/>
              <w:caps w:val="0"/>
              <w:noProof/>
              <w:kern w:val="2"/>
              <w:sz w:val="24"/>
              <w:szCs w:val="24"/>
              <w:lang w:val="en-GB" w:eastAsia="zh-CN"/>
              <w14:ligatures w14:val="standardContextual"/>
            </w:rPr>
          </w:pPr>
          <w:r w:rsidRPr="003B70C5">
            <w:rPr>
              <w:rFonts w:cs="Arial"/>
              <w:noProof/>
              <w:lang w:val="fr-FR"/>
            </w:rPr>
            <w:fldChar w:fldCharType="begin"/>
          </w:r>
          <w:r w:rsidRPr="003B70C5">
            <w:rPr>
              <w:rFonts w:cs="Arial"/>
              <w:lang w:val="fr-FR"/>
            </w:rPr>
            <w:instrText xml:space="preserve"> TOC \o "1-3" \h \z \u </w:instrText>
          </w:r>
          <w:r w:rsidRPr="003B70C5">
            <w:rPr>
              <w:rFonts w:cs="Arial"/>
              <w:noProof/>
              <w:lang w:val="fr-FR"/>
            </w:rPr>
            <w:fldChar w:fldCharType="separate"/>
          </w:r>
          <w:hyperlink w:anchor="_Toc236922615" w:history="1">
            <w:r w:rsidR="00BF5D08" w:rsidRPr="004E7873">
              <w:rPr>
                <w:rStyle w:val="Hyperlink"/>
                <w:noProof/>
              </w:rPr>
              <w:t>Introduction</w:t>
            </w:r>
            <w:r w:rsidR="00BF5D08">
              <w:rPr>
                <w:noProof/>
                <w:webHidden/>
              </w:rPr>
              <w:tab/>
            </w:r>
            <w:r w:rsidR="00BF5D08">
              <w:rPr>
                <w:noProof/>
                <w:webHidden/>
              </w:rPr>
              <w:fldChar w:fldCharType="begin"/>
            </w:r>
            <w:r w:rsidR="00BF5D08">
              <w:rPr>
                <w:noProof/>
                <w:webHidden/>
              </w:rPr>
              <w:instrText xml:space="preserve"> PAGEREF _Toc236922615 \h </w:instrText>
            </w:r>
            <w:r w:rsidR="00BF5D08">
              <w:rPr>
                <w:noProof/>
                <w:webHidden/>
              </w:rPr>
            </w:r>
            <w:r w:rsidR="00BF5D08">
              <w:rPr>
                <w:noProof/>
                <w:webHidden/>
              </w:rPr>
              <w:fldChar w:fldCharType="separate"/>
            </w:r>
            <w:r w:rsidR="00BF5D08">
              <w:rPr>
                <w:noProof/>
                <w:webHidden/>
              </w:rPr>
              <w:t>2</w:t>
            </w:r>
            <w:r w:rsidR="00BF5D08">
              <w:rPr>
                <w:noProof/>
                <w:webHidden/>
              </w:rPr>
              <w:fldChar w:fldCharType="end"/>
            </w:r>
          </w:hyperlink>
        </w:p>
        <w:p w14:paraId="51163189" w14:textId="4CF2F764"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16" w:history="1">
            <w:r w:rsidRPr="004E7873">
              <w:rPr>
                <w:rStyle w:val="Hyperlink"/>
                <w:noProof/>
              </w:rPr>
              <w:t>Résultats financiers de l’année s’achevant le 31 décembre 2025</w:t>
            </w:r>
            <w:r>
              <w:rPr>
                <w:noProof/>
                <w:webHidden/>
              </w:rPr>
              <w:tab/>
            </w:r>
            <w:r>
              <w:rPr>
                <w:noProof/>
                <w:webHidden/>
              </w:rPr>
              <w:fldChar w:fldCharType="begin"/>
            </w:r>
            <w:r>
              <w:rPr>
                <w:noProof/>
                <w:webHidden/>
              </w:rPr>
              <w:instrText xml:space="preserve"> PAGEREF _Toc236922616 \h </w:instrText>
            </w:r>
            <w:r>
              <w:rPr>
                <w:noProof/>
                <w:webHidden/>
              </w:rPr>
            </w:r>
            <w:r>
              <w:rPr>
                <w:noProof/>
                <w:webHidden/>
              </w:rPr>
              <w:fldChar w:fldCharType="separate"/>
            </w:r>
            <w:r>
              <w:rPr>
                <w:noProof/>
                <w:webHidden/>
              </w:rPr>
              <w:t>2</w:t>
            </w:r>
            <w:r>
              <w:rPr>
                <w:noProof/>
                <w:webHidden/>
              </w:rPr>
              <w:fldChar w:fldCharType="end"/>
            </w:r>
          </w:hyperlink>
        </w:p>
        <w:p w14:paraId="5B7726D1" w14:textId="2AD0A7C2"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17" w:history="1">
            <w:r w:rsidRPr="004E7873">
              <w:rPr>
                <w:rStyle w:val="Hyperlink"/>
              </w:rPr>
              <w:t>Rapports financiers pour 2025</w:t>
            </w:r>
            <w:r>
              <w:rPr>
                <w:webHidden/>
              </w:rPr>
              <w:tab/>
            </w:r>
            <w:r>
              <w:rPr>
                <w:webHidden/>
              </w:rPr>
              <w:fldChar w:fldCharType="begin"/>
            </w:r>
            <w:r>
              <w:rPr>
                <w:webHidden/>
              </w:rPr>
              <w:instrText xml:space="preserve"> PAGEREF _Toc236922617 \h </w:instrText>
            </w:r>
            <w:r>
              <w:rPr>
                <w:webHidden/>
              </w:rPr>
            </w:r>
            <w:r>
              <w:rPr>
                <w:webHidden/>
              </w:rPr>
              <w:fldChar w:fldCharType="separate"/>
            </w:r>
            <w:r>
              <w:rPr>
                <w:webHidden/>
              </w:rPr>
              <w:t>2</w:t>
            </w:r>
            <w:r>
              <w:rPr>
                <w:webHidden/>
              </w:rPr>
              <w:fldChar w:fldCharType="end"/>
            </w:r>
          </w:hyperlink>
        </w:p>
        <w:p w14:paraId="0518F5CC" w14:textId="73E456D2"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18" w:history="1">
            <w:r w:rsidRPr="004E7873">
              <w:rPr>
                <w:rStyle w:val="Hyperlink"/>
              </w:rPr>
              <w:t>Performance financière</w:t>
            </w:r>
            <w:r>
              <w:rPr>
                <w:webHidden/>
              </w:rPr>
              <w:tab/>
            </w:r>
            <w:r>
              <w:rPr>
                <w:webHidden/>
              </w:rPr>
              <w:fldChar w:fldCharType="begin"/>
            </w:r>
            <w:r>
              <w:rPr>
                <w:webHidden/>
              </w:rPr>
              <w:instrText xml:space="preserve"> PAGEREF _Toc236922618 \h </w:instrText>
            </w:r>
            <w:r>
              <w:rPr>
                <w:webHidden/>
              </w:rPr>
            </w:r>
            <w:r>
              <w:rPr>
                <w:webHidden/>
              </w:rPr>
              <w:fldChar w:fldCharType="separate"/>
            </w:r>
            <w:r>
              <w:rPr>
                <w:webHidden/>
              </w:rPr>
              <w:t>3</w:t>
            </w:r>
            <w:r>
              <w:rPr>
                <w:webHidden/>
              </w:rPr>
              <w:fldChar w:fldCharType="end"/>
            </w:r>
          </w:hyperlink>
        </w:p>
        <w:p w14:paraId="299A4CBB" w14:textId="4D6A2DB6"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19" w:history="1">
            <w:r w:rsidRPr="004E7873">
              <w:rPr>
                <w:rStyle w:val="Hyperlink"/>
              </w:rPr>
              <w:t>Situation financière</w:t>
            </w:r>
            <w:r>
              <w:rPr>
                <w:webHidden/>
              </w:rPr>
              <w:tab/>
            </w:r>
            <w:r>
              <w:rPr>
                <w:webHidden/>
              </w:rPr>
              <w:fldChar w:fldCharType="begin"/>
            </w:r>
            <w:r>
              <w:rPr>
                <w:webHidden/>
              </w:rPr>
              <w:instrText xml:space="preserve"> PAGEREF _Toc236922619 \h </w:instrText>
            </w:r>
            <w:r>
              <w:rPr>
                <w:webHidden/>
              </w:rPr>
            </w:r>
            <w:r>
              <w:rPr>
                <w:webHidden/>
              </w:rPr>
              <w:fldChar w:fldCharType="separate"/>
            </w:r>
            <w:r>
              <w:rPr>
                <w:webHidden/>
              </w:rPr>
              <w:t>4</w:t>
            </w:r>
            <w:r>
              <w:rPr>
                <w:webHidden/>
              </w:rPr>
              <w:fldChar w:fldCharType="end"/>
            </w:r>
          </w:hyperlink>
        </w:p>
        <w:p w14:paraId="1F7E6F90" w14:textId="2F5659C0"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0" w:history="1">
            <w:r w:rsidRPr="004E7873">
              <w:rPr>
                <w:rStyle w:val="Hyperlink"/>
                <w:noProof/>
              </w:rPr>
              <w:t>Déclaration sur le contrôle interne 2025</w:t>
            </w:r>
            <w:r>
              <w:rPr>
                <w:noProof/>
                <w:webHidden/>
              </w:rPr>
              <w:tab/>
            </w:r>
            <w:r>
              <w:rPr>
                <w:noProof/>
                <w:webHidden/>
              </w:rPr>
              <w:fldChar w:fldCharType="begin"/>
            </w:r>
            <w:r>
              <w:rPr>
                <w:noProof/>
                <w:webHidden/>
              </w:rPr>
              <w:instrText xml:space="preserve"> PAGEREF _Toc236922620 \h </w:instrText>
            </w:r>
            <w:r>
              <w:rPr>
                <w:noProof/>
                <w:webHidden/>
              </w:rPr>
            </w:r>
            <w:r>
              <w:rPr>
                <w:noProof/>
                <w:webHidden/>
              </w:rPr>
              <w:fldChar w:fldCharType="separate"/>
            </w:r>
            <w:r>
              <w:rPr>
                <w:noProof/>
                <w:webHidden/>
              </w:rPr>
              <w:t>7</w:t>
            </w:r>
            <w:r>
              <w:rPr>
                <w:noProof/>
                <w:webHidden/>
              </w:rPr>
              <w:fldChar w:fldCharType="end"/>
            </w:r>
          </w:hyperlink>
        </w:p>
        <w:p w14:paraId="508AA1AE" w14:textId="76632D49"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1" w:history="1">
            <w:r w:rsidRPr="004E7873">
              <w:rPr>
                <w:rStyle w:val="Hyperlink"/>
                <w:noProof/>
              </w:rPr>
              <w:t>État financier I : état de la situation financière</w:t>
            </w:r>
            <w:r>
              <w:rPr>
                <w:noProof/>
                <w:webHidden/>
              </w:rPr>
              <w:tab/>
            </w:r>
            <w:r>
              <w:rPr>
                <w:noProof/>
                <w:webHidden/>
              </w:rPr>
              <w:fldChar w:fldCharType="begin"/>
            </w:r>
            <w:r>
              <w:rPr>
                <w:noProof/>
                <w:webHidden/>
              </w:rPr>
              <w:instrText xml:space="preserve"> PAGEREF _Toc236922621 \h </w:instrText>
            </w:r>
            <w:r>
              <w:rPr>
                <w:noProof/>
                <w:webHidden/>
              </w:rPr>
            </w:r>
            <w:r>
              <w:rPr>
                <w:noProof/>
                <w:webHidden/>
              </w:rPr>
              <w:fldChar w:fldCharType="separate"/>
            </w:r>
            <w:r>
              <w:rPr>
                <w:noProof/>
                <w:webHidden/>
              </w:rPr>
              <w:t>12</w:t>
            </w:r>
            <w:r>
              <w:rPr>
                <w:noProof/>
                <w:webHidden/>
              </w:rPr>
              <w:fldChar w:fldCharType="end"/>
            </w:r>
          </w:hyperlink>
        </w:p>
        <w:p w14:paraId="71697D27" w14:textId="3EF6D6F0"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2" w:history="1">
            <w:r w:rsidRPr="004E7873">
              <w:rPr>
                <w:rStyle w:val="Hyperlink"/>
                <w:noProof/>
              </w:rPr>
              <w:t>État financier II : état de la performance financière</w:t>
            </w:r>
            <w:r>
              <w:rPr>
                <w:noProof/>
                <w:webHidden/>
              </w:rPr>
              <w:tab/>
            </w:r>
            <w:r>
              <w:rPr>
                <w:noProof/>
                <w:webHidden/>
              </w:rPr>
              <w:fldChar w:fldCharType="begin"/>
            </w:r>
            <w:r>
              <w:rPr>
                <w:noProof/>
                <w:webHidden/>
              </w:rPr>
              <w:instrText xml:space="preserve"> PAGEREF _Toc236922622 \h </w:instrText>
            </w:r>
            <w:r>
              <w:rPr>
                <w:noProof/>
                <w:webHidden/>
              </w:rPr>
            </w:r>
            <w:r>
              <w:rPr>
                <w:noProof/>
                <w:webHidden/>
              </w:rPr>
              <w:fldChar w:fldCharType="separate"/>
            </w:r>
            <w:r>
              <w:rPr>
                <w:noProof/>
                <w:webHidden/>
              </w:rPr>
              <w:t>13</w:t>
            </w:r>
            <w:r>
              <w:rPr>
                <w:noProof/>
                <w:webHidden/>
              </w:rPr>
              <w:fldChar w:fldCharType="end"/>
            </w:r>
          </w:hyperlink>
        </w:p>
        <w:p w14:paraId="76F3456A" w14:textId="1070B328"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3" w:history="1">
            <w:r w:rsidRPr="004E7873">
              <w:rPr>
                <w:rStyle w:val="Hyperlink"/>
                <w:noProof/>
              </w:rPr>
              <w:t>État financier III : état des variations des actifs nets</w:t>
            </w:r>
            <w:r>
              <w:rPr>
                <w:noProof/>
                <w:webHidden/>
              </w:rPr>
              <w:tab/>
            </w:r>
            <w:r>
              <w:rPr>
                <w:noProof/>
                <w:webHidden/>
              </w:rPr>
              <w:fldChar w:fldCharType="begin"/>
            </w:r>
            <w:r>
              <w:rPr>
                <w:noProof/>
                <w:webHidden/>
              </w:rPr>
              <w:instrText xml:space="preserve"> PAGEREF _Toc236922623 \h </w:instrText>
            </w:r>
            <w:r>
              <w:rPr>
                <w:noProof/>
                <w:webHidden/>
              </w:rPr>
            </w:r>
            <w:r>
              <w:rPr>
                <w:noProof/>
                <w:webHidden/>
              </w:rPr>
              <w:fldChar w:fldCharType="separate"/>
            </w:r>
            <w:r>
              <w:rPr>
                <w:noProof/>
                <w:webHidden/>
              </w:rPr>
              <w:t>14</w:t>
            </w:r>
            <w:r>
              <w:rPr>
                <w:noProof/>
                <w:webHidden/>
              </w:rPr>
              <w:fldChar w:fldCharType="end"/>
            </w:r>
          </w:hyperlink>
        </w:p>
        <w:p w14:paraId="6DBAE446" w14:textId="6459CBB2"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4" w:history="1">
            <w:r w:rsidRPr="004E7873">
              <w:rPr>
                <w:rStyle w:val="Hyperlink"/>
                <w:noProof/>
              </w:rPr>
              <w:t>État financier IV : état des flux de trésorerie</w:t>
            </w:r>
            <w:r>
              <w:rPr>
                <w:noProof/>
                <w:webHidden/>
              </w:rPr>
              <w:tab/>
            </w:r>
            <w:r>
              <w:rPr>
                <w:noProof/>
                <w:webHidden/>
              </w:rPr>
              <w:fldChar w:fldCharType="begin"/>
            </w:r>
            <w:r>
              <w:rPr>
                <w:noProof/>
                <w:webHidden/>
              </w:rPr>
              <w:instrText xml:space="preserve"> PAGEREF _Toc236922624 \h </w:instrText>
            </w:r>
            <w:r>
              <w:rPr>
                <w:noProof/>
                <w:webHidden/>
              </w:rPr>
            </w:r>
            <w:r>
              <w:rPr>
                <w:noProof/>
                <w:webHidden/>
              </w:rPr>
              <w:fldChar w:fldCharType="separate"/>
            </w:r>
            <w:r>
              <w:rPr>
                <w:noProof/>
                <w:webHidden/>
              </w:rPr>
              <w:t>15</w:t>
            </w:r>
            <w:r>
              <w:rPr>
                <w:noProof/>
                <w:webHidden/>
              </w:rPr>
              <w:fldChar w:fldCharType="end"/>
            </w:r>
          </w:hyperlink>
        </w:p>
        <w:p w14:paraId="35D43982" w14:textId="60CD96E3"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5" w:history="1">
            <w:r w:rsidRPr="004E7873">
              <w:rPr>
                <w:rStyle w:val="Hyperlink"/>
                <w:noProof/>
              </w:rPr>
              <w:t>État financier V : état de comparaison des montants budgétaires et des montants réels 2025</w:t>
            </w:r>
            <w:r>
              <w:rPr>
                <w:noProof/>
                <w:webHidden/>
              </w:rPr>
              <w:tab/>
            </w:r>
            <w:r>
              <w:rPr>
                <w:noProof/>
                <w:webHidden/>
              </w:rPr>
              <w:fldChar w:fldCharType="begin"/>
            </w:r>
            <w:r>
              <w:rPr>
                <w:noProof/>
                <w:webHidden/>
              </w:rPr>
              <w:instrText xml:space="preserve"> PAGEREF _Toc236922625 \h </w:instrText>
            </w:r>
            <w:r>
              <w:rPr>
                <w:noProof/>
                <w:webHidden/>
              </w:rPr>
            </w:r>
            <w:r>
              <w:rPr>
                <w:noProof/>
                <w:webHidden/>
              </w:rPr>
              <w:fldChar w:fldCharType="separate"/>
            </w:r>
            <w:r>
              <w:rPr>
                <w:noProof/>
                <w:webHidden/>
              </w:rPr>
              <w:t>16</w:t>
            </w:r>
            <w:r>
              <w:rPr>
                <w:noProof/>
                <w:webHidden/>
              </w:rPr>
              <w:fldChar w:fldCharType="end"/>
            </w:r>
          </w:hyperlink>
        </w:p>
        <w:p w14:paraId="29AEEF3E" w14:textId="25D3F023"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6" w:history="1">
            <w:r w:rsidRPr="004E7873">
              <w:rPr>
                <w:rStyle w:val="Hyperlink"/>
                <w:noProof/>
              </w:rPr>
              <w:t>État financier V : état de comparaison des montants budgétaires et des montants réels 2024-2025</w:t>
            </w:r>
            <w:r>
              <w:rPr>
                <w:noProof/>
                <w:webHidden/>
              </w:rPr>
              <w:tab/>
            </w:r>
            <w:r>
              <w:rPr>
                <w:noProof/>
                <w:webHidden/>
              </w:rPr>
              <w:fldChar w:fldCharType="begin"/>
            </w:r>
            <w:r>
              <w:rPr>
                <w:noProof/>
                <w:webHidden/>
              </w:rPr>
              <w:instrText xml:space="preserve"> PAGEREF _Toc236922626 \h </w:instrText>
            </w:r>
            <w:r>
              <w:rPr>
                <w:noProof/>
                <w:webHidden/>
              </w:rPr>
            </w:r>
            <w:r>
              <w:rPr>
                <w:noProof/>
                <w:webHidden/>
              </w:rPr>
              <w:fldChar w:fldCharType="separate"/>
            </w:r>
            <w:r>
              <w:rPr>
                <w:noProof/>
                <w:webHidden/>
              </w:rPr>
              <w:t>17</w:t>
            </w:r>
            <w:r>
              <w:rPr>
                <w:noProof/>
                <w:webHidden/>
              </w:rPr>
              <w:fldChar w:fldCharType="end"/>
            </w:r>
          </w:hyperlink>
        </w:p>
        <w:p w14:paraId="371CEE26" w14:textId="571C57F6" w:rsidR="00BF5D08" w:rsidRDefault="00BF5D08">
          <w:pPr>
            <w:pStyle w:val="TOC1"/>
            <w:rPr>
              <w:rFonts w:asciiTheme="minorHAnsi" w:eastAsiaTheme="minorEastAsia" w:hAnsiTheme="minorHAnsi" w:cstheme="minorBidi"/>
              <w:caps w:val="0"/>
              <w:noProof/>
              <w:kern w:val="2"/>
              <w:sz w:val="24"/>
              <w:szCs w:val="24"/>
              <w:lang w:val="en-GB" w:eastAsia="zh-CN"/>
              <w14:ligatures w14:val="standardContextual"/>
            </w:rPr>
          </w:pPr>
          <w:hyperlink w:anchor="_Toc236922627" w:history="1">
            <w:r w:rsidRPr="004E7873">
              <w:rPr>
                <w:rStyle w:val="Hyperlink"/>
                <w:noProof/>
              </w:rPr>
              <w:t>NOTES RELATIVES AUX ÉTATS FINANCIERS</w:t>
            </w:r>
            <w:r>
              <w:rPr>
                <w:noProof/>
                <w:webHidden/>
              </w:rPr>
              <w:tab/>
            </w:r>
            <w:r>
              <w:rPr>
                <w:noProof/>
                <w:webHidden/>
              </w:rPr>
              <w:fldChar w:fldCharType="begin"/>
            </w:r>
            <w:r>
              <w:rPr>
                <w:noProof/>
                <w:webHidden/>
              </w:rPr>
              <w:instrText xml:space="preserve"> PAGEREF _Toc236922627 \h </w:instrText>
            </w:r>
            <w:r>
              <w:rPr>
                <w:noProof/>
                <w:webHidden/>
              </w:rPr>
            </w:r>
            <w:r>
              <w:rPr>
                <w:noProof/>
                <w:webHidden/>
              </w:rPr>
              <w:fldChar w:fldCharType="separate"/>
            </w:r>
            <w:r>
              <w:rPr>
                <w:noProof/>
                <w:webHidden/>
              </w:rPr>
              <w:t>18</w:t>
            </w:r>
            <w:r>
              <w:rPr>
                <w:noProof/>
                <w:webHidden/>
              </w:rPr>
              <w:fldChar w:fldCharType="end"/>
            </w:r>
          </w:hyperlink>
        </w:p>
        <w:p w14:paraId="6BE8EC5D" w14:textId="1A3F109B"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28" w:history="1">
            <w:r w:rsidRPr="004E7873">
              <w:rPr>
                <w:rStyle w:val="Hyperlink"/>
              </w:rPr>
              <w:t xml:space="preserve">Note 1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Objectifs, gouvernance et budget de l’UPOV</w:t>
            </w:r>
            <w:r>
              <w:rPr>
                <w:webHidden/>
              </w:rPr>
              <w:tab/>
            </w:r>
            <w:r>
              <w:rPr>
                <w:webHidden/>
              </w:rPr>
              <w:fldChar w:fldCharType="begin"/>
            </w:r>
            <w:r>
              <w:rPr>
                <w:webHidden/>
              </w:rPr>
              <w:instrText xml:space="preserve"> PAGEREF _Toc236922628 \h </w:instrText>
            </w:r>
            <w:r>
              <w:rPr>
                <w:webHidden/>
              </w:rPr>
            </w:r>
            <w:r>
              <w:rPr>
                <w:webHidden/>
              </w:rPr>
              <w:fldChar w:fldCharType="separate"/>
            </w:r>
            <w:r>
              <w:rPr>
                <w:webHidden/>
              </w:rPr>
              <w:t>18</w:t>
            </w:r>
            <w:r>
              <w:rPr>
                <w:webHidden/>
              </w:rPr>
              <w:fldChar w:fldCharType="end"/>
            </w:r>
          </w:hyperlink>
        </w:p>
        <w:p w14:paraId="61C08D57" w14:textId="6965BAE9"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29" w:history="1">
            <w:r w:rsidRPr="004E7873">
              <w:rPr>
                <w:rStyle w:val="Hyperlink"/>
              </w:rPr>
              <w:t xml:space="preserve">Note 2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Principales méthodes comptables</w:t>
            </w:r>
            <w:r>
              <w:rPr>
                <w:webHidden/>
              </w:rPr>
              <w:tab/>
            </w:r>
            <w:r>
              <w:rPr>
                <w:webHidden/>
              </w:rPr>
              <w:fldChar w:fldCharType="begin"/>
            </w:r>
            <w:r>
              <w:rPr>
                <w:webHidden/>
              </w:rPr>
              <w:instrText xml:space="preserve"> PAGEREF _Toc236922629 \h </w:instrText>
            </w:r>
            <w:r>
              <w:rPr>
                <w:webHidden/>
              </w:rPr>
            </w:r>
            <w:r>
              <w:rPr>
                <w:webHidden/>
              </w:rPr>
              <w:fldChar w:fldCharType="separate"/>
            </w:r>
            <w:r>
              <w:rPr>
                <w:webHidden/>
              </w:rPr>
              <w:t>19</w:t>
            </w:r>
            <w:r>
              <w:rPr>
                <w:webHidden/>
              </w:rPr>
              <w:fldChar w:fldCharType="end"/>
            </w:r>
          </w:hyperlink>
        </w:p>
        <w:p w14:paraId="32FB2FA1" w14:textId="362F9440"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0" w:history="1">
            <w:r w:rsidRPr="004E7873">
              <w:rPr>
                <w:rStyle w:val="Hyperlink"/>
              </w:rPr>
              <w:t xml:space="preserve">Note 3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Trésorerie et équivalents de trésorerie</w:t>
            </w:r>
            <w:r>
              <w:rPr>
                <w:webHidden/>
              </w:rPr>
              <w:tab/>
            </w:r>
            <w:r>
              <w:rPr>
                <w:webHidden/>
              </w:rPr>
              <w:fldChar w:fldCharType="begin"/>
            </w:r>
            <w:r>
              <w:rPr>
                <w:webHidden/>
              </w:rPr>
              <w:instrText xml:space="preserve"> PAGEREF _Toc236922630 \h </w:instrText>
            </w:r>
            <w:r>
              <w:rPr>
                <w:webHidden/>
              </w:rPr>
            </w:r>
            <w:r>
              <w:rPr>
                <w:webHidden/>
              </w:rPr>
              <w:fldChar w:fldCharType="separate"/>
            </w:r>
            <w:r>
              <w:rPr>
                <w:webHidden/>
              </w:rPr>
              <w:t>22</w:t>
            </w:r>
            <w:r>
              <w:rPr>
                <w:webHidden/>
              </w:rPr>
              <w:fldChar w:fldCharType="end"/>
            </w:r>
          </w:hyperlink>
        </w:p>
        <w:p w14:paraId="695EF1FA" w14:textId="5C2FA0F6"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1" w:history="1">
            <w:r w:rsidRPr="004E7873">
              <w:rPr>
                <w:rStyle w:val="Hyperlink"/>
              </w:rPr>
              <w:t xml:space="preserve">Note 4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Comptes débiteurs</w:t>
            </w:r>
            <w:r>
              <w:rPr>
                <w:webHidden/>
              </w:rPr>
              <w:tab/>
            </w:r>
            <w:r>
              <w:rPr>
                <w:webHidden/>
              </w:rPr>
              <w:fldChar w:fldCharType="begin"/>
            </w:r>
            <w:r>
              <w:rPr>
                <w:webHidden/>
              </w:rPr>
              <w:instrText xml:space="preserve"> PAGEREF _Toc236922631 \h </w:instrText>
            </w:r>
            <w:r>
              <w:rPr>
                <w:webHidden/>
              </w:rPr>
            </w:r>
            <w:r>
              <w:rPr>
                <w:webHidden/>
              </w:rPr>
              <w:fldChar w:fldCharType="separate"/>
            </w:r>
            <w:r>
              <w:rPr>
                <w:webHidden/>
              </w:rPr>
              <w:t>22</w:t>
            </w:r>
            <w:r>
              <w:rPr>
                <w:webHidden/>
              </w:rPr>
              <w:fldChar w:fldCharType="end"/>
            </w:r>
          </w:hyperlink>
        </w:p>
        <w:p w14:paraId="7A75F063" w14:textId="48EC9140"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2" w:history="1">
            <w:r w:rsidRPr="004E7873">
              <w:rPr>
                <w:rStyle w:val="Hyperlink"/>
              </w:rPr>
              <w:t xml:space="preserve">Note 5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Dettes fournisseurs et charges à payer</w:t>
            </w:r>
            <w:r>
              <w:rPr>
                <w:webHidden/>
              </w:rPr>
              <w:tab/>
            </w:r>
            <w:r>
              <w:rPr>
                <w:webHidden/>
              </w:rPr>
              <w:fldChar w:fldCharType="begin"/>
            </w:r>
            <w:r>
              <w:rPr>
                <w:webHidden/>
              </w:rPr>
              <w:instrText xml:space="preserve"> PAGEREF _Toc236922632 \h </w:instrText>
            </w:r>
            <w:r>
              <w:rPr>
                <w:webHidden/>
              </w:rPr>
            </w:r>
            <w:r>
              <w:rPr>
                <w:webHidden/>
              </w:rPr>
              <w:fldChar w:fldCharType="separate"/>
            </w:r>
            <w:r>
              <w:rPr>
                <w:webHidden/>
              </w:rPr>
              <w:t>23</w:t>
            </w:r>
            <w:r>
              <w:rPr>
                <w:webHidden/>
              </w:rPr>
              <w:fldChar w:fldCharType="end"/>
            </w:r>
          </w:hyperlink>
        </w:p>
        <w:p w14:paraId="19940DBD" w14:textId="616E8B81"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3" w:history="1">
            <w:r w:rsidRPr="004E7873">
              <w:rPr>
                <w:rStyle w:val="Hyperlink"/>
              </w:rPr>
              <w:t xml:space="preserve">Note 6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Prestations au personnel</w:t>
            </w:r>
            <w:r>
              <w:rPr>
                <w:webHidden/>
              </w:rPr>
              <w:tab/>
            </w:r>
            <w:r>
              <w:rPr>
                <w:webHidden/>
              </w:rPr>
              <w:fldChar w:fldCharType="begin"/>
            </w:r>
            <w:r>
              <w:rPr>
                <w:webHidden/>
              </w:rPr>
              <w:instrText xml:space="preserve"> PAGEREF _Toc236922633 \h </w:instrText>
            </w:r>
            <w:r>
              <w:rPr>
                <w:webHidden/>
              </w:rPr>
            </w:r>
            <w:r>
              <w:rPr>
                <w:webHidden/>
              </w:rPr>
              <w:fldChar w:fldCharType="separate"/>
            </w:r>
            <w:r>
              <w:rPr>
                <w:webHidden/>
              </w:rPr>
              <w:t>23</w:t>
            </w:r>
            <w:r>
              <w:rPr>
                <w:webHidden/>
              </w:rPr>
              <w:fldChar w:fldCharType="end"/>
            </w:r>
          </w:hyperlink>
        </w:p>
        <w:p w14:paraId="5FDFC43B" w14:textId="11BFB9E8"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4" w:history="1">
            <w:r w:rsidRPr="004E7873">
              <w:rPr>
                <w:rStyle w:val="Hyperlink"/>
              </w:rPr>
              <w:t xml:space="preserve">Note 7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Encaissements par anticipation</w:t>
            </w:r>
            <w:r>
              <w:rPr>
                <w:webHidden/>
              </w:rPr>
              <w:tab/>
            </w:r>
            <w:r>
              <w:rPr>
                <w:webHidden/>
              </w:rPr>
              <w:fldChar w:fldCharType="begin"/>
            </w:r>
            <w:r>
              <w:rPr>
                <w:webHidden/>
              </w:rPr>
              <w:instrText xml:space="preserve"> PAGEREF _Toc236922634 \h </w:instrText>
            </w:r>
            <w:r>
              <w:rPr>
                <w:webHidden/>
              </w:rPr>
            </w:r>
            <w:r>
              <w:rPr>
                <w:webHidden/>
              </w:rPr>
              <w:fldChar w:fldCharType="separate"/>
            </w:r>
            <w:r>
              <w:rPr>
                <w:webHidden/>
              </w:rPr>
              <w:t>28</w:t>
            </w:r>
            <w:r>
              <w:rPr>
                <w:webHidden/>
              </w:rPr>
              <w:fldChar w:fldCharType="end"/>
            </w:r>
          </w:hyperlink>
        </w:p>
        <w:p w14:paraId="2677EA98" w14:textId="09016239"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5" w:history="1">
            <w:r w:rsidRPr="004E7873">
              <w:rPr>
                <w:rStyle w:val="Hyperlink"/>
              </w:rPr>
              <w:t xml:space="preserve">Note 8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Autres passifs courants</w:t>
            </w:r>
            <w:r>
              <w:rPr>
                <w:webHidden/>
              </w:rPr>
              <w:tab/>
            </w:r>
            <w:r>
              <w:rPr>
                <w:webHidden/>
              </w:rPr>
              <w:fldChar w:fldCharType="begin"/>
            </w:r>
            <w:r>
              <w:rPr>
                <w:webHidden/>
              </w:rPr>
              <w:instrText xml:space="preserve"> PAGEREF _Toc236922635 \h </w:instrText>
            </w:r>
            <w:r>
              <w:rPr>
                <w:webHidden/>
              </w:rPr>
            </w:r>
            <w:r>
              <w:rPr>
                <w:webHidden/>
              </w:rPr>
              <w:fldChar w:fldCharType="separate"/>
            </w:r>
            <w:r>
              <w:rPr>
                <w:webHidden/>
              </w:rPr>
              <w:t>28</w:t>
            </w:r>
            <w:r>
              <w:rPr>
                <w:webHidden/>
              </w:rPr>
              <w:fldChar w:fldCharType="end"/>
            </w:r>
          </w:hyperlink>
        </w:p>
        <w:p w14:paraId="616F96EB" w14:textId="4CC03F23"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6" w:history="1">
            <w:r w:rsidRPr="004E7873">
              <w:rPr>
                <w:rStyle w:val="Hyperlink"/>
              </w:rPr>
              <w:t xml:space="preserve">Note 9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Passifs éventuels</w:t>
            </w:r>
            <w:r>
              <w:rPr>
                <w:webHidden/>
              </w:rPr>
              <w:tab/>
            </w:r>
            <w:r>
              <w:rPr>
                <w:webHidden/>
              </w:rPr>
              <w:fldChar w:fldCharType="begin"/>
            </w:r>
            <w:r>
              <w:rPr>
                <w:webHidden/>
              </w:rPr>
              <w:instrText xml:space="preserve"> PAGEREF _Toc236922636 \h </w:instrText>
            </w:r>
            <w:r>
              <w:rPr>
                <w:webHidden/>
              </w:rPr>
            </w:r>
            <w:r>
              <w:rPr>
                <w:webHidden/>
              </w:rPr>
              <w:fldChar w:fldCharType="separate"/>
            </w:r>
            <w:r>
              <w:rPr>
                <w:webHidden/>
              </w:rPr>
              <w:t>28</w:t>
            </w:r>
            <w:r>
              <w:rPr>
                <w:webHidden/>
              </w:rPr>
              <w:fldChar w:fldCharType="end"/>
            </w:r>
          </w:hyperlink>
        </w:p>
        <w:p w14:paraId="10FD9D13" w14:textId="5569B952"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7" w:history="1">
            <w:r w:rsidRPr="004E7873">
              <w:rPr>
                <w:rStyle w:val="Hyperlink"/>
              </w:rPr>
              <w:t xml:space="preserve">Note 10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Transactions avec une partie liée</w:t>
            </w:r>
            <w:r>
              <w:rPr>
                <w:webHidden/>
              </w:rPr>
              <w:tab/>
            </w:r>
            <w:r>
              <w:rPr>
                <w:webHidden/>
              </w:rPr>
              <w:fldChar w:fldCharType="begin"/>
            </w:r>
            <w:r>
              <w:rPr>
                <w:webHidden/>
              </w:rPr>
              <w:instrText xml:space="preserve"> PAGEREF _Toc236922637 \h </w:instrText>
            </w:r>
            <w:r>
              <w:rPr>
                <w:webHidden/>
              </w:rPr>
            </w:r>
            <w:r>
              <w:rPr>
                <w:webHidden/>
              </w:rPr>
              <w:fldChar w:fldCharType="separate"/>
            </w:r>
            <w:r>
              <w:rPr>
                <w:webHidden/>
              </w:rPr>
              <w:t>28</w:t>
            </w:r>
            <w:r>
              <w:rPr>
                <w:webHidden/>
              </w:rPr>
              <w:fldChar w:fldCharType="end"/>
            </w:r>
          </w:hyperlink>
        </w:p>
        <w:p w14:paraId="6C7FA45D" w14:textId="551552E1"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8" w:history="1">
            <w:r w:rsidRPr="004E7873">
              <w:rPr>
                <w:rStyle w:val="Hyperlink"/>
              </w:rPr>
              <w:t xml:space="preserve">Note 11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Actifs nets</w:t>
            </w:r>
            <w:r>
              <w:rPr>
                <w:webHidden/>
              </w:rPr>
              <w:tab/>
            </w:r>
            <w:r>
              <w:rPr>
                <w:webHidden/>
              </w:rPr>
              <w:fldChar w:fldCharType="begin"/>
            </w:r>
            <w:r>
              <w:rPr>
                <w:webHidden/>
              </w:rPr>
              <w:instrText xml:space="preserve"> PAGEREF _Toc236922638 \h </w:instrText>
            </w:r>
            <w:r>
              <w:rPr>
                <w:webHidden/>
              </w:rPr>
            </w:r>
            <w:r>
              <w:rPr>
                <w:webHidden/>
              </w:rPr>
              <w:fldChar w:fldCharType="separate"/>
            </w:r>
            <w:r>
              <w:rPr>
                <w:webHidden/>
              </w:rPr>
              <w:t>29</w:t>
            </w:r>
            <w:r>
              <w:rPr>
                <w:webHidden/>
              </w:rPr>
              <w:fldChar w:fldCharType="end"/>
            </w:r>
          </w:hyperlink>
        </w:p>
        <w:p w14:paraId="77D1620B" w14:textId="219B233F"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39" w:history="1">
            <w:r w:rsidRPr="004E7873">
              <w:rPr>
                <w:rStyle w:val="Hyperlink"/>
              </w:rPr>
              <w:t xml:space="preserve">Note 12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Rapprochement entre l’état de comparaison budgétaire (état V) et l’état de la performance financière (état II)</w:t>
            </w:r>
            <w:r>
              <w:rPr>
                <w:webHidden/>
              </w:rPr>
              <w:tab/>
            </w:r>
            <w:r>
              <w:rPr>
                <w:webHidden/>
              </w:rPr>
              <w:fldChar w:fldCharType="begin"/>
            </w:r>
            <w:r>
              <w:rPr>
                <w:webHidden/>
              </w:rPr>
              <w:instrText xml:space="preserve"> PAGEREF _Toc236922639 \h </w:instrText>
            </w:r>
            <w:r>
              <w:rPr>
                <w:webHidden/>
              </w:rPr>
            </w:r>
            <w:r>
              <w:rPr>
                <w:webHidden/>
              </w:rPr>
              <w:fldChar w:fldCharType="separate"/>
            </w:r>
            <w:r>
              <w:rPr>
                <w:webHidden/>
              </w:rPr>
              <w:t>30</w:t>
            </w:r>
            <w:r>
              <w:rPr>
                <w:webHidden/>
              </w:rPr>
              <w:fldChar w:fldCharType="end"/>
            </w:r>
          </w:hyperlink>
        </w:p>
        <w:p w14:paraId="36AB2D51" w14:textId="44C44937"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40" w:history="1">
            <w:r w:rsidRPr="004E7873">
              <w:rPr>
                <w:rStyle w:val="Hyperlink"/>
              </w:rPr>
              <w:t xml:space="preserve">Note 13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Recettes</w:t>
            </w:r>
            <w:r>
              <w:rPr>
                <w:webHidden/>
              </w:rPr>
              <w:tab/>
            </w:r>
            <w:r>
              <w:rPr>
                <w:webHidden/>
              </w:rPr>
              <w:fldChar w:fldCharType="begin"/>
            </w:r>
            <w:r>
              <w:rPr>
                <w:webHidden/>
              </w:rPr>
              <w:instrText xml:space="preserve"> PAGEREF _Toc236922640 \h </w:instrText>
            </w:r>
            <w:r>
              <w:rPr>
                <w:webHidden/>
              </w:rPr>
            </w:r>
            <w:r>
              <w:rPr>
                <w:webHidden/>
              </w:rPr>
              <w:fldChar w:fldCharType="separate"/>
            </w:r>
            <w:r>
              <w:rPr>
                <w:webHidden/>
              </w:rPr>
              <w:t>31</w:t>
            </w:r>
            <w:r>
              <w:rPr>
                <w:webHidden/>
              </w:rPr>
              <w:fldChar w:fldCharType="end"/>
            </w:r>
          </w:hyperlink>
        </w:p>
        <w:p w14:paraId="5FF656DD" w14:textId="7219B7C5"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41" w:history="1">
            <w:r w:rsidRPr="004E7873">
              <w:rPr>
                <w:rStyle w:val="Hyperlink"/>
              </w:rPr>
              <w:t xml:space="preserve">Note 14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Dépenses</w:t>
            </w:r>
            <w:r>
              <w:rPr>
                <w:webHidden/>
              </w:rPr>
              <w:tab/>
            </w:r>
            <w:r>
              <w:rPr>
                <w:webHidden/>
              </w:rPr>
              <w:fldChar w:fldCharType="begin"/>
            </w:r>
            <w:r>
              <w:rPr>
                <w:webHidden/>
              </w:rPr>
              <w:instrText xml:space="preserve"> PAGEREF _Toc236922641 \h </w:instrText>
            </w:r>
            <w:r>
              <w:rPr>
                <w:webHidden/>
              </w:rPr>
            </w:r>
            <w:r>
              <w:rPr>
                <w:webHidden/>
              </w:rPr>
              <w:fldChar w:fldCharType="separate"/>
            </w:r>
            <w:r>
              <w:rPr>
                <w:webHidden/>
              </w:rPr>
              <w:t>31</w:t>
            </w:r>
            <w:r>
              <w:rPr>
                <w:webHidden/>
              </w:rPr>
              <w:fldChar w:fldCharType="end"/>
            </w:r>
          </w:hyperlink>
        </w:p>
        <w:p w14:paraId="086F3F58" w14:textId="61BAF8F0"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42" w:history="1">
            <w:r w:rsidRPr="004E7873">
              <w:rPr>
                <w:rStyle w:val="Hyperlink"/>
              </w:rPr>
              <w:t xml:space="preserve">Note 15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Instruments financiers</w:t>
            </w:r>
            <w:r>
              <w:rPr>
                <w:webHidden/>
              </w:rPr>
              <w:tab/>
            </w:r>
            <w:r>
              <w:rPr>
                <w:webHidden/>
              </w:rPr>
              <w:fldChar w:fldCharType="begin"/>
            </w:r>
            <w:r>
              <w:rPr>
                <w:webHidden/>
              </w:rPr>
              <w:instrText xml:space="preserve"> PAGEREF _Toc236922642 \h </w:instrText>
            </w:r>
            <w:r>
              <w:rPr>
                <w:webHidden/>
              </w:rPr>
            </w:r>
            <w:r>
              <w:rPr>
                <w:webHidden/>
              </w:rPr>
              <w:fldChar w:fldCharType="separate"/>
            </w:r>
            <w:r>
              <w:rPr>
                <w:webHidden/>
              </w:rPr>
              <w:t>32</w:t>
            </w:r>
            <w:r>
              <w:rPr>
                <w:webHidden/>
              </w:rPr>
              <w:fldChar w:fldCharType="end"/>
            </w:r>
          </w:hyperlink>
        </w:p>
        <w:p w14:paraId="2EDDCB64" w14:textId="08471C9F" w:rsidR="00BF5D08" w:rsidRDefault="00BF5D08">
          <w:pPr>
            <w:pStyle w:val="TOC2"/>
            <w:rPr>
              <w:rFonts w:asciiTheme="minorHAnsi" w:eastAsiaTheme="minorEastAsia" w:hAnsiTheme="minorHAnsi" w:cstheme="minorBidi"/>
              <w:kern w:val="2"/>
              <w:sz w:val="24"/>
              <w:szCs w:val="24"/>
              <w:lang w:val="en-GB" w:eastAsia="zh-CN"/>
              <w14:ligatures w14:val="standardContextual"/>
            </w:rPr>
          </w:pPr>
          <w:hyperlink w:anchor="_Toc236922643" w:history="1">
            <w:r w:rsidRPr="004E7873">
              <w:rPr>
                <w:rStyle w:val="Hyperlink"/>
              </w:rPr>
              <w:t xml:space="preserve">Note 16 : </w:t>
            </w:r>
            <w:r>
              <w:rPr>
                <w:rFonts w:asciiTheme="minorHAnsi" w:eastAsiaTheme="minorEastAsia" w:hAnsiTheme="minorHAnsi" w:cstheme="minorBidi"/>
                <w:kern w:val="2"/>
                <w:sz w:val="24"/>
                <w:szCs w:val="24"/>
                <w:lang w:val="en-GB" w:eastAsia="zh-CN"/>
                <w14:ligatures w14:val="standardContextual"/>
              </w:rPr>
              <w:tab/>
            </w:r>
            <w:r w:rsidRPr="004E7873">
              <w:rPr>
                <w:rStyle w:val="Hyperlink"/>
              </w:rPr>
              <w:t>Événements postérieurs à la date d’établissement des états financiers</w:t>
            </w:r>
            <w:r>
              <w:rPr>
                <w:webHidden/>
              </w:rPr>
              <w:tab/>
            </w:r>
            <w:r>
              <w:rPr>
                <w:webHidden/>
              </w:rPr>
              <w:fldChar w:fldCharType="begin"/>
            </w:r>
            <w:r>
              <w:rPr>
                <w:webHidden/>
              </w:rPr>
              <w:instrText xml:space="preserve"> PAGEREF _Toc236922643 \h </w:instrText>
            </w:r>
            <w:r>
              <w:rPr>
                <w:webHidden/>
              </w:rPr>
            </w:r>
            <w:r>
              <w:rPr>
                <w:webHidden/>
              </w:rPr>
              <w:fldChar w:fldCharType="separate"/>
            </w:r>
            <w:r>
              <w:rPr>
                <w:webHidden/>
              </w:rPr>
              <w:t>34</w:t>
            </w:r>
            <w:r>
              <w:rPr>
                <w:webHidden/>
              </w:rPr>
              <w:fldChar w:fldCharType="end"/>
            </w:r>
          </w:hyperlink>
        </w:p>
        <w:p w14:paraId="1FD9DBCC" w14:textId="77777777" w:rsidR="00BF5D08" w:rsidRDefault="000C336F" w:rsidP="007735D7">
          <w:pPr>
            <w:rPr>
              <w:rFonts w:cs="Arial"/>
              <w:noProof/>
            </w:rPr>
          </w:pPr>
          <w:r w:rsidRPr="003B70C5">
            <w:rPr>
              <w:rFonts w:cs="Arial"/>
              <w:b/>
            </w:rPr>
            <w:fldChar w:fldCharType="end"/>
          </w:r>
        </w:p>
      </w:sdtContent>
    </w:sdt>
    <w:bookmarkStart w:id="1" w:name="_Toc477872937" w:displacedByCustomXml="prev"/>
    <w:bookmarkStart w:id="2" w:name="_Toc84329879" w:displacedByCustomXml="prev"/>
    <w:p w14:paraId="18B27D58" w14:textId="6249E695" w:rsidR="000C336F" w:rsidRPr="00BF5D08" w:rsidRDefault="00BF5D08" w:rsidP="00BF5D08">
      <w:pPr>
        <w:rPr>
          <w:rFonts w:cs="Arial"/>
          <w:noProof/>
        </w:rPr>
      </w:pPr>
      <w:r w:rsidRPr="00BF5D08">
        <w:t>APPENDICE – VERSEMENTS À TITRE GRACIEUX (informations vérifiées)</w:t>
      </w:r>
    </w:p>
    <w:p w14:paraId="1DAEA618" w14:textId="77777777" w:rsidR="00297E9F" w:rsidRPr="003B70C5" w:rsidRDefault="00297E9F">
      <w:pPr>
        <w:jc w:val="left"/>
        <w:rPr>
          <w:caps/>
        </w:rPr>
      </w:pPr>
      <w:r w:rsidRPr="003B70C5">
        <w:br w:type="page"/>
      </w:r>
    </w:p>
    <w:p w14:paraId="127F5344" w14:textId="08682060" w:rsidR="000C336F" w:rsidRPr="004573AD" w:rsidRDefault="000C336F" w:rsidP="004573AD">
      <w:pPr>
        <w:pStyle w:val="Heading1"/>
        <w:rPr>
          <w:rFonts w:cs="Arial"/>
        </w:rPr>
      </w:pPr>
      <w:bookmarkStart w:id="3" w:name="_Toc236922615"/>
      <w:r w:rsidRPr="004573AD">
        <w:lastRenderedPageBreak/>
        <w:t>Introduction</w:t>
      </w:r>
      <w:bookmarkEnd w:id="2"/>
      <w:bookmarkEnd w:id="1"/>
      <w:bookmarkEnd w:id="3"/>
    </w:p>
    <w:p w14:paraId="39AA1751" w14:textId="77777777" w:rsidR="000C336F" w:rsidRPr="003B70C5" w:rsidRDefault="000C336F" w:rsidP="000C336F">
      <w:pPr>
        <w:rPr>
          <w:rFonts w:cs="Arial"/>
        </w:rPr>
      </w:pPr>
    </w:p>
    <w:p w14:paraId="4D4D606E" w14:textId="72907461" w:rsidR="000C336F" w:rsidRPr="003B70C5" w:rsidRDefault="000C336F" w:rsidP="000C336F">
      <w:pPr>
        <w:numPr>
          <w:ilvl w:val="0"/>
          <w:numId w:val="5"/>
        </w:numPr>
        <w:tabs>
          <w:tab w:val="clear" w:pos="1080"/>
        </w:tabs>
        <w:ind w:left="550" w:hanging="550"/>
        <w:rPr>
          <w:rFonts w:cs="Arial"/>
        </w:rPr>
      </w:pPr>
      <w:r w:rsidRPr="003B70C5">
        <w:t>Les états financiers de l</w:t>
      </w:r>
      <w:r w:rsidR="002B0172" w:rsidRPr="003B70C5">
        <w:t>’</w:t>
      </w:r>
      <w:r w:rsidRPr="003B70C5">
        <w:t>Union internationale pour la protection des obtentions végétales (UPOV) pour l</w:t>
      </w:r>
      <w:r w:rsidR="002B0172" w:rsidRPr="003B70C5">
        <w:t>’</w:t>
      </w:r>
      <w:r w:rsidRPr="003B70C5">
        <w:t>année s</w:t>
      </w:r>
      <w:r w:rsidR="002B0172" w:rsidRPr="003B70C5">
        <w:t>’</w:t>
      </w:r>
      <w:r w:rsidRPr="003B70C5">
        <w:t>achevant le 31 </w:t>
      </w:r>
      <w:r w:rsidR="002B0172" w:rsidRPr="003B70C5">
        <w:t>décembre 20</w:t>
      </w:r>
      <w:r w:rsidRPr="003B70C5">
        <w:t>25 sont présentés au Conseil de l</w:t>
      </w:r>
      <w:r w:rsidR="002B0172" w:rsidRPr="003B70C5">
        <w:t>’</w:t>
      </w:r>
      <w:r w:rsidRPr="003B70C5">
        <w:t>UPOV conformément à l</w:t>
      </w:r>
      <w:r w:rsidR="002B0172" w:rsidRPr="003B70C5">
        <w:t>’</w:t>
      </w:r>
      <w:r w:rsidRPr="003B70C5">
        <w:t>article 6.5 du Règlement financier et règlement d</w:t>
      </w:r>
      <w:r w:rsidR="002B0172" w:rsidRPr="003B70C5">
        <w:t>’</w:t>
      </w:r>
      <w:r w:rsidRPr="003B70C5">
        <w:t>exécution du Règlement financier de l</w:t>
      </w:r>
      <w:r w:rsidR="002B0172" w:rsidRPr="003B70C5">
        <w:t>’</w:t>
      </w:r>
      <w:r w:rsidRPr="003B70C5">
        <w:t>UPOV (document UPOV/INF/4/7)</w:t>
      </w:r>
      <w:r w:rsidR="002B0172" w:rsidRPr="003B70C5">
        <w:t> :</w:t>
      </w:r>
    </w:p>
    <w:p w14:paraId="2C794C48" w14:textId="77777777" w:rsidR="000C336F" w:rsidRPr="003B70C5" w:rsidRDefault="000C336F" w:rsidP="000C336F">
      <w:pPr>
        <w:rPr>
          <w:rFonts w:cs="Arial"/>
        </w:rPr>
      </w:pPr>
    </w:p>
    <w:p w14:paraId="44702459" w14:textId="77777777" w:rsidR="000C336F" w:rsidRPr="003B70C5" w:rsidRDefault="000C336F" w:rsidP="000C336F">
      <w:pPr>
        <w:spacing w:after="120"/>
        <w:ind w:left="550"/>
        <w:rPr>
          <w:rFonts w:cs="Arial"/>
          <w:b/>
        </w:rPr>
      </w:pPr>
      <w:r w:rsidRPr="003B70C5">
        <w:rPr>
          <w:b/>
        </w:rPr>
        <w:t>Article 6.5</w:t>
      </w:r>
    </w:p>
    <w:p w14:paraId="1D2F3B08" w14:textId="7829026B" w:rsidR="000C336F" w:rsidRPr="003B70C5" w:rsidRDefault="000C336F" w:rsidP="000C336F">
      <w:pPr>
        <w:spacing w:after="120"/>
        <w:ind w:left="550"/>
        <w:rPr>
          <w:rFonts w:cs="Arial"/>
        </w:rPr>
      </w:pPr>
      <w:r w:rsidRPr="003B70C5">
        <w:t>1)</w:t>
      </w:r>
      <w:r w:rsidRPr="003B70C5">
        <w:tab/>
        <w:t>Le Secrétaire général soumet les états financiers annuels pour chaque année civile de l</w:t>
      </w:r>
      <w:r w:rsidR="002B0172" w:rsidRPr="003B70C5">
        <w:t>’</w:t>
      </w:r>
      <w:r w:rsidRPr="003B70C5">
        <w:t>exercice financier au vérificateur externe des comptes au plus tard le 31 mars qui suit la fin de l</w:t>
      </w:r>
      <w:r w:rsidR="002B0172" w:rsidRPr="003B70C5">
        <w:t>’</w:t>
      </w:r>
      <w:r w:rsidRPr="003B70C5">
        <w:t>année civile correspondante.</w:t>
      </w:r>
    </w:p>
    <w:p w14:paraId="37F86D6F" w14:textId="425B8D95" w:rsidR="000C336F" w:rsidRPr="003B70C5" w:rsidRDefault="000C336F" w:rsidP="000C336F">
      <w:pPr>
        <w:spacing w:after="120"/>
        <w:ind w:left="550"/>
        <w:rPr>
          <w:rFonts w:cs="Arial"/>
        </w:rPr>
      </w:pPr>
      <w:r w:rsidRPr="003B70C5">
        <w:t>2)</w:t>
      </w:r>
      <w:r w:rsidRPr="003B70C5">
        <w:tab/>
        <w:t>Dans les huit</w:t>
      </w:r>
      <w:r w:rsidR="00E2280F" w:rsidRPr="003B70C5">
        <w:t> </w:t>
      </w:r>
      <w:r w:rsidRPr="003B70C5">
        <w:t>mois suivant la fin de chaque année civile, le Secrétaire général présente au Conseil les états financiers annuels et le rapport de vérification des comptes du vérificateur externe des comptes.</w:t>
      </w:r>
    </w:p>
    <w:p w14:paraId="508B18C2" w14:textId="6BF0ED19" w:rsidR="000C336F" w:rsidRPr="003B70C5" w:rsidRDefault="000C336F" w:rsidP="000C336F">
      <w:pPr>
        <w:spacing w:after="120"/>
        <w:ind w:left="550"/>
        <w:rPr>
          <w:rFonts w:cs="Arial"/>
        </w:rPr>
      </w:pPr>
      <w:r w:rsidRPr="003B70C5">
        <w:t>3)</w:t>
      </w:r>
      <w:r w:rsidRPr="003B70C5">
        <w:tab/>
        <w:t>Le Conseil examine les états financiers annue</w:t>
      </w:r>
      <w:r w:rsidR="00D076B0" w:rsidRPr="003B70C5">
        <w:t>ls.  Il</w:t>
      </w:r>
      <w:r w:rsidRPr="003B70C5">
        <w:t xml:space="preserve"> peut identifier des modifications quant à la part de l</w:t>
      </w:r>
      <w:r w:rsidR="002B0172" w:rsidRPr="003B70C5">
        <w:t>’</w:t>
      </w:r>
      <w:r w:rsidRPr="003B70C5">
        <w:t>UPOV dans les dépenses communes, s</w:t>
      </w:r>
      <w:r w:rsidR="002B0172" w:rsidRPr="003B70C5">
        <w:t>’</w:t>
      </w:r>
      <w:r w:rsidRPr="003B70C5">
        <w:t>il trouve que cette part n</w:t>
      </w:r>
      <w:r w:rsidR="002B0172" w:rsidRPr="003B70C5">
        <w:t>’</w:t>
      </w:r>
      <w:r w:rsidRPr="003B70C5">
        <w:t>a pas été correctement évaluée ou arrêtée par le Secrétaire génér</w:t>
      </w:r>
      <w:r w:rsidR="00D076B0" w:rsidRPr="003B70C5">
        <w:t>al.  Da</w:t>
      </w:r>
      <w:r w:rsidRPr="003B70C5">
        <w:t>ns ce cas, après avoir consulté le Comité de coordination de l</w:t>
      </w:r>
      <w:r w:rsidR="002B0172" w:rsidRPr="003B70C5">
        <w:t>’</w:t>
      </w:r>
      <w:r w:rsidRPr="003B70C5">
        <w:t>OMPI, le Conseil fixe le montant de la contribution définitive.</w:t>
      </w:r>
    </w:p>
    <w:p w14:paraId="0341B7BA" w14:textId="0F51C3CB" w:rsidR="000C336F" w:rsidRPr="003B70C5" w:rsidRDefault="000C336F" w:rsidP="000C336F">
      <w:pPr>
        <w:ind w:left="550"/>
        <w:rPr>
          <w:rFonts w:cs="Arial"/>
        </w:rPr>
      </w:pPr>
      <w:r w:rsidRPr="003B70C5">
        <w:t>4)</w:t>
      </w:r>
      <w:r w:rsidRPr="003B70C5">
        <w:tab/>
        <w:t>Le Conseil approuve les états financiers annuels, après leur vérification au sens de l</w:t>
      </w:r>
      <w:r w:rsidR="002B0172" w:rsidRPr="003B70C5">
        <w:t>’</w:t>
      </w:r>
      <w:r w:rsidRPr="003B70C5">
        <w:t xml:space="preserve">article 24 de la Convention </w:t>
      </w:r>
      <w:r w:rsidR="002B0172" w:rsidRPr="003B70C5">
        <w:t>de 1961</w:t>
      </w:r>
      <w:r w:rsidRPr="003B70C5">
        <w:t>, de l</w:t>
      </w:r>
      <w:r w:rsidR="002B0172" w:rsidRPr="003B70C5">
        <w:t>’</w:t>
      </w:r>
      <w:r w:rsidRPr="003B70C5">
        <w:t>article 25 de l</w:t>
      </w:r>
      <w:r w:rsidR="002B0172" w:rsidRPr="003B70C5">
        <w:t>’</w:t>
      </w:r>
      <w:r w:rsidRPr="003B70C5">
        <w:t xml:space="preserve">Acte </w:t>
      </w:r>
      <w:r w:rsidR="002B0172" w:rsidRPr="003B70C5">
        <w:t>de 1978</w:t>
      </w:r>
      <w:r w:rsidRPr="003B70C5">
        <w:t xml:space="preserve"> et de l</w:t>
      </w:r>
      <w:r w:rsidR="002B0172" w:rsidRPr="003B70C5">
        <w:t>’</w:t>
      </w:r>
      <w:r w:rsidRPr="003B70C5">
        <w:t>article 29.6) de l</w:t>
      </w:r>
      <w:r w:rsidR="002B0172" w:rsidRPr="003B70C5">
        <w:t>’</w:t>
      </w:r>
      <w:r w:rsidRPr="003B70C5">
        <w:t xml:space="preserve">Acte </w:t>
      </w:r>
      <w:r w:rsidR="002B0172" w:rsidRPr="003B70C5">
        <w:t>de 1991</w:t>
      </w:r>
      <w:r w:rsidRPr="003B70C5">
        <w:t>.</w:t>
      </w:r>
    </w:p>
    <w:p w14:paraId="0B32079B" w14:textId="77777777" w:rsidR="000C336F" w:rsidRPr="003B70C5" w:rsidRDefault="000C336F" w:rsidP="000C336F">
      <w:pPr>
        <w:rPr>
          <w:rFonts w:cs="Arial"/>
        </w:rPr>
      </w:pPr>
    </w:p>
    <w:p w14:paraId="195A7F29" w14:textId="3529C36A" w:rsidR="000C336F" w:rsidRPr="003B70C5" w:rsidRDefault="000C336F" w:rsidP="000C336F">
      <w:pPr>
        <w:ind w:left="550" w:hanging="550"/>
        <w:rPr>
          <w:rFonts w:cs="Arial"/>
        </w:rPr>
      </w:pPr>
      <w:r w:rsidRPr="003B70C5">
        <w:t>2.</w:t>
      </w:r>
      <w:r w:rsidRPr="003B70C5">
        <w:tab/>
        <w:t xml:space="preserve">Le rapport du vérificateur externe des comptes sur la vérification des états financiers </w:t>
      </w:r>
      <w:r w:rsidR="002B0172" w:rsidRPr="003B70C5">
        <w:t>de 2025</w:t>
      </w:r>
      <w:r w:rsidRPr="003B70C5">
        <w:t>, ainsi que son opinion sur les états financiers, est également présenté au Conseil de l</w:t>
      </w:r>
      <w:r w:rsidR="002B0172" w:rsidRPr="003B70C5">
        <w:t>’</w:t>
      </w:r>
      <w:r w:rsidRPr="003B70C5">
        <w:t>UPOV conformément aux dispositions de l</w:t>
      </w:r>
      <w:r w:rsidR="002B0172" w:rsidRPr="003B70C5">
        <w:t>’</w:t>
      </w:r>
      <w:r w:rsidRPr="003B70C5">
        <w:t>article 6.5 du Règlement financier et de l</w:t>
      </w:r>
      <w:r w:rsidR="002B0172" w:rsidRPr="003B70C5">
        <w:t>’</w:t>
      </w:r>
      <w:r w:rsidRPr="003B70C5">
        <w:t>annexe II du Règlement financier et règlement d</w:t>
      </w:r>
      <w:r w:rsidR="002B0172" w:rsidRPr="003B70C5">
        <w:t>’</w:t>
      </w:r>
      <w:r w:rsidRPr="003B70C5">
        <w:t>exécution du Règlement financier de l</w:t>
      </w:r>
      <w:r w:rsidR="002B0172" w:rsidRPr="003B70C5">
        <w:t>’</w:t>
      </w:r>
      <w:r w:rsidRPr="003B70C5">
        <w:t>UPOV.</w:t>
      </w:r>
    </w:p>
    <w:p w14:paraId="3FCCF4B1" w14:textId="77777777" w:rsidR="000C336F" w:rsidRPr="003B70C5" w:rsidRDefault="000C336F" w:rsidP="000C336F">
      <w:pPr>
        <w:ind w:left="720" w:hanging="720"/>
        <w:rPr>
          <w:rFonts w:cs="Arial"/>
        </w:rPr>
      </w:pPr>
    </w:p>
    <w:p w14:paraId="42B98861" w14:textId="4D5364CB" w:rsidR="002B0172" w:rsidRPr="003B70C5" w:rsidRDefault="000C336F" w:rsidP="000C336F">
      <w:pPr>
        <w:ind w:left="550" w:hanging="550"/>
      </w:pPr>
      <w:r w:rsidRPr="003B70C5">
        <w:t>3.</w:t>
      </w:r>
      <w:r w:rsidRPr="003B70C5">
        <w:tab/>
        <w:t xml:space="preserve">Les états financiers </w:t>
      </w:r>
      <w:r w:rsidR="002B0172" w:rsidRPr="003B70C5">
        <w:t>pour 2025</w:t>
      </w:r>
      <w:r w:rsidRPr="003B70C5">
        <w:t xml:space="preserve"> ont été établis conformément aux Normes comptables internationales du secteur public (normes</w:t>
      </w:r>
      <w:r w:rsidR="00E2280F" w:rsidRPr="003B70C5">
        <w:t> </w:t>
      </w:r>
      <w:r w:rsidRPr="003B70C5">
        <w:t>IPSAS).</w:t>
      </w:r>
    </w:p>
    <w:p w14:paraId="45F8CBE8" w14:textId="0F978442" w:rsidR="000C336F" w:rsidRPr="003B70C5" w:rsidRDefault="000C336F" w:rsidP="000C336F">
      <w:pPr>
        <w:rPr>
          <w:rFonts w:cs="Arial"/>
        </w:rPr>
      </w:pPr>
    </w:p>
    <w:p w14:paraId="74B34DAF" w14:textId="77777777" w:rsidR="000C336F" w:rsidRPr="003B70C5" w:rsidRDefault="000C336F" w:rsidP="00D6364A">
      <w:bookmarkStart w:id="4" w:name="_Toc477872938"/>
    </w:p>
    <w:p w14:paraId="1DB81A94" w14:textId="53E76A0F" w:rsidR="000C336F" w:rsidRPr="003B70C5" w:rsidRDefault="004573AD" w:rsidP="004573AD">
      <w:pPr>
        <w:pStyle w:val="Heading1"/>
        <w:rPr>
          <w:rFonts w:cs="Arial"/>
        </w:rPr>
      </w:pPr>
      <w:bookmarkStart w:id="5" w:name="_Toc84329880"/>
      <w:bookmarkStart w:id="6" w:name="_Toc236922616"/>
      <w:r>
        <w:t>R</w:t>
      </w:r>
      <w:r w:rsidRPr="003B70C5">
        <w:t>ésultats financiers de l’année</w:t>
      </w:r>
      <w:bookmarkEnd w:id="4"/>
      <w:r w:rsidRPr="003B70C5">
        <w:t xml:space="preserve"> s’achevant le 31 décembre 202</w:t>
      </w:r>
      <w:bookmarkEnd w:id="5"/>
      <w:r w:rsidRPr="003B70C5">
        <w:t>5</w:t>
      </w:r>
      <w:bookmarkEnd w:id="6"/>
    </w:p>
    <w:p w14:paraId="3AE057BD" w14:textId="77777777" w:rsidR="000C336F" w:rsidRPr="003B70C5" w:rsidRDefault="000C336F" w:rsidP="000C336F">
      <w:pPr>
        <w:rPr>
          <w:rFonts w:cs="Arial"/>
        </w:rPr>
      </w:pPr>
    </w:p>
    <w:p w14:paraId="4B92BB6F" w14:textId="5889C274" w:rsidR="000C336F" w:rsidRPr="004573AD" w:rsidRDefault="000C336F" w:rsidP="004573AD">
      <w:pPr>
        <w:pStyle w:val="Heading2"/>
        <w:rPr>
          <w:rFonts w:cs="Arial"/>
        </w:rPr>
      </w:pPr>
      <w:bookmarkStart w:id="7" w:name="_Toc236922617"/>
      <w:r w:rsidRPr="004573AD">
        <w:t xml:space="preserve">Rapports financiers </w:t>
      </w:r>
      <w:r w:rsidR="002B0172" w:rsidRPr="004573AD">
        <w:t>pour 2025</w:t>
      </w:r>
      <w:bookmarkEnd w:id="7"/>
    </w:p>
    <w:p w14:paraId="572D7FFE" w14:textId="77777777" w:rsidR="000C336F" w:rsidRPr="003B70C5" w:rsidRDefault="000C336F" w:rsidP="000C336F">
      <w:pPr>
        <w:rPr>
          <w:rFonts w:cs="Arial"/>
        </w:rPr>
      </w:pPr>
    </w:p>
    <w:p w14:paraId="079417FB" w14:textId="134EAD85" w:rsidR="000C336F" w:rsidRPr="003B70C5" w:rsidRDefault="000C336F" w:rsidP="000C336F">
      <w:pPr>
        <w:numPr>
          <w:ilvl w:val="0"/>
          <w:numId w:val="7"/>
        </w:numPr>
        <w:tabs>
          <w:tab w:val="num" w:pos="550"/>
        </w:tabs>
        <w:autoSpaceDE w:val="0"/>
        <w:autoSpaceDN w:val="0"/>
        <w:adjustRightInd w:val="0"/>
        <w:ind w:left="550" w:hanging="550"/>
        <w:rPr>
          <w:rFonts w:cs="Arial"/>
        </w:rPr>
      </w:pPr>
      <w:r w:rsidRPr="003B70C5">
        <w:t>Les normes</w:t>
      </w:r>
      <w:r w:rsidR="00E2280F" w:rsidRPr="003B70C5">
        <w:t> </w:t>
      </w:r>
      <w:r w:rsidRPr="003B70C5">
        <w:t>IPSAS requièrent l</w:t>
      </w:r>
      <w:r w:rsidR="002B0172" w:rsidRPr="003B70C5">
        <w:t>’</w:t>
      </w:r>
      <w:r w:rsidRPr="003B70C5">
        <w:t>application de la comptabilité d</w:t>
      </w:r>
      <w:r w:rsidR="002B0172" w:rsidRPr="003B70C5">
        <w:t>’</w:t>
      </w:r>
      <w:r w:rsidRPr="003B70C5">
        <w:t>exercice intégra</w:t>
      </w:r>
      <w:r w:rsidR="00D076B0" w:rsidRPr="003B70C5">
        <w:t>le.  Ce</w:t>
      </w:r>
      <w:r w:rsidRPr="003B70C5">
        <w:t>tte comptabilité fait intervenir la comptabilisation des transactions et des événements lorsqu</w:t>
      </w:r>
      <w:r w:rsidR="002B0172" w:rsidRPr="003B70C5">
        <w:t>’</w:t>
      </w:r>
      <w:r w:rsidRPr="003B70C5">
        <w:t>ils se produise</w:t>
      </w:r>
      <w:r w:rsidR="00D076B0" w:rsidRPr="003B70C5">
        <w:t>nt.  Ce</w:t>
      </w:r>
      <w:r w:rsidRPr="003B70C5">
        <w:t>la signifie qu</w:t>
      </w:r>
      <w:r w:rsidR="002B0172" w:rsidRPr="003B70C5">
        <w:t>’</w:t>
      </w:r>
      <w:r w:rsidRPr="003B70C5">
        <w:t>ils sont enregistrés dans les livres comptables et consignés dans les états financiers des périodes financières auxquelles ils se rapportent et non pas uniquement lors de l</w:t>
      </w:r>
      <w:r w:rsidR="002B0172" w:rsidRPr="003B70C5">
        <w:t>’</w:t>
      </w:r>
      <w:r w:rsidRPr="003B70C5">
        <w:t>entrée ou de la sortie de trésorerie ou d</w:t>
      </w:r>
      <w:r w:rsidR="002B0172" w:rsidRPr="003B70C5">
        <w:t>’</w:t>
      </w:r>
      <w:r w:rsidRPr="003B70C5">
        <w:t>équivalents de trésorerie.</w:t>
      </w:r>
    </w:p>
    <w:p w14:paraId="5768B074" w14:textId="77777777" w:rsidR="000C336F" w:rsidRPr="003B70C5" w:rsidRDefault="000C336F" w:rsidP="000C336F">
      <w:pPr>
        <w:autoSpaceDE w:val="0"/>
        <w:autoSpaceDN w:val="0"/>
        <w:adjustRightInd w:val="0"/>
        <w:rPr>
          <w:rFonts w:cs="Arial"/>
        </w:rPr>
      </w:pPr>
    </w:p>
    <w:p w14:paraId="39A85646" w14:textId="4C637EC3" w:rsidR="002B0172" w:rsidRPr="003B70C5" w:rsidRDefault="000C336F" w:rsidP="000C336F">
      <w:pPr>
        <w:numPr>
          <w:ilvl w:val="0"/>
          <w:numId w:val="7"/>
        </w:numPr>
        <w:tabs>
          <w:tab w:val="num" w:pos="550"/>
        </w:tabs>
        <w:autoSpaceDE w:val="0"/>
        <w:autoSpaceDN w:val="0"/>
        <w:adjustRightInd w:val="0"/>
        <w:ind w:left="550" w:hanging="550"/>
      </w:pPr>
      <w:r w:rsidRPr="003B70C5">
        <w:t>Selon les normes</w:t>
      </w:r>
      <w:r w:rsidR="00E2280F" w:rsidRPr="003B70C5">
        <w:t> </w:t>
      </w:r>
      <w:r w:rsidRPr="003B70C5">
        <w:t>IPSAS, les recettes correspondant aux contributions et aux ressources extrabudgétaires (fonds fiduciaires) sont comptabilisées lorsque l</w:t>
      </w:r>
      <w:r w:rsidR="002B0172" w:rsidRPr="003B70C5">
        <w:t>’</w:t>
      </w:r>
      <w:r w:rsidRPr="003B70C5">
        <w:t>UPOV a le droit de recevoir la contributi</w:t>
      </w:r>
      <w:r w:rsidR="00D076B0" w:rsidRPr="003B70C5">
        <w:t>on.  Un</w:t>
      </w:r>
      <w:r w:rsidRPr="003B70C5">
        <w:t>e provision est intégralement comptabilisée pour couvrir les montants des arriérés de contributions de tout membre qui sont antérieurs à l</w:t>
      </w:r>
      <w:r w:rsidR="002B0172" w:rsidRPr="003B70C5">
        <w:t>’</w:t>
      </w:r>
      <w:r w:rsidRPr="003B70C5">
        <w:t>exercice biennal précéde</w:t>
      </w:r>
      <w:r w:rsidR="00D076B0" w:rsidRPr="003B70C5">
        <w:t>nt.  Le</w:t>
      </w:r>
      <w:r w:rsidRPr="003B70C5">
        <w:t>s arrangements relatifs aux ressources extrabudgétaires sont examinés afin de déterminer si l</w:t>
      </w:r>
      <w:r w:rsidR="002B0172" w:rsidRPr="003B70C5">
        <w:t>’</w:t>
      </w:r>
      <w:r w:rsidRPr="003B70C5">
        <w:t>UPOV doit satisfaire à des conditions de rendement et, le cas échéant, les recettes sont comptabilisées uniquement lorsque ces conditions sont remplies.</w:t>
      </w:r>
    </w:p>
    <w:p w14:paraId="2F709292" w14:textId="7222BC8D" w:rsidR="000C336F" w:rsidRPr="003B70C5" w:rsidRDefault="000C336F" w:rsidP="000C336F">
      <w:pPr>
        <w:rPr>
          <w:rFonts w:cs="Arial"/>
        </w:rPr>
      </w:pPr>
    </w:p>
    <w:p w14:paraId="19712B13" w14:textId="575AEE1E" w:rsidR="002B0172" w:rsidRPr="003B70C5" w:rsidRDefault="000C336F" w:rsidP="000C336F">
      <w:pPr>
        <w:numPr>
          <w:ilvl w:val="0"/>
          <w:numId w:val="7"/>
        </w:numPr>
        <w:tabs>
          <w:tab w:val="num" w:pos="550"/>
        </w:tabs>
        <w:ind w:left="550" w:hanging="550"/>
      </w:pPr>
      <w:r w:rsidRPr="003B70C5">
        <w:t>La valeur des futures prestations (par exemple les congés annuels cumulés, les primes de rapatriement et l</w:t>
      </w:r>
      <w:r w:rsidR="002B0172" w:rsidRPr="003B70C5">
        <w:t>’</w:t>
      </w:r>
      <w:r w:rsidRPr="003B70C5">
        <w:t>assurance maladie après la cessation de service (AMCS)) que les fonctionnaires de l</w:t>
      </w:r>
      <w:r w:rsidR="002B0172" w:rsidRPr="003B70C5">
        <w:t>’</w:t>
      </w:r>
      <w:r w:rsidRPr="003B70C5">
        <w:t>UPOV ont gagnées mais qu</w:t>
      </w:r>
      <w:r w:rsidR="002B0172" w:rsidRPr="003B70C5">
        <w:t>’</w:t>
      </w:r>
      <w:r w:rsidRPr="003B70C5">
        <w:t>ils n</w:t>
      </w:r>
      <w:r w:rsidR="002B0172" w:rsidRPr="003B70C5">
        <w:t>’</w:t>
      </w:r>
      <w:r w:rsidRPr="003B70C5">
        <w:t>ont pas encore perçues est maintenant enregistrée afin de saisir le coût intégral d</w:t>
      </w:r>
      <w:r w:rsidR="002B0172" w:rsidRPr="003B70C5">
        <w:t>’</w:t>
      </w:r>
      <w:r w:rsidRPr="003B70C5">
        <w:t>emploi du personnel.</w:t>
      </w:r>
    </w:p>
    <w:p w14:paraId="63AF4A49" w14:textId="3A3B8BDB" w:rsidR="000C336F" w:rsidRPr="003B70C5" w:rsidRDefault="000C336F" w:rsidP="000C336F">
      <w:pPr>
        <w:rPr>
          <w:rFonts w:cs="Arial"/>
        </w:rPr>
      </w:pPr>
    </w:p>
    <w:p w14:paraId="56C1B679" w14:textId="715CD394" w:rsidR="000C336F" w:rsidRPr="003B70C5" w:rsidRDefault="000C336F" w:rsidP="000C336F">
      <w:pPr>
        <w:numPr>
          <w:ilvl w:val="0"/>
          <w:numId w:val="7"/>
        </w:numPr>
        <w:tabs>
          <w:tab w:val="num" w:pos="550"/>
        </w:tabs>
        <w:ind w:left="550" w:hanging="550"/>
        <w:rPr>
          <w:rFonts w:cs="Arial"/>
        </w:rPr>
      </w:pPr>
      <w:r w:rsidRPr="003B70C5">
        <w:t>L</w:t>
      </w:r>
      <w:r w:rsidR="002B0172" w:rsidRPr="003B70C5">
        <w:t>’</w:t>
      </w:r>
      <w:r w:rsidRPr="003B70C5">
        <w:t>application des normes</w:t>
      </w:r>
      <w:r w:rsidR="00E2280F" w:rsidRPr="003B70C5">
        <w:t> </w:t>
      </w:r>
      <w:r w:rsidRPr="003B70C5">
        <w:t>IPSAS n</w:t>
      </w:r>
      <w:r w:rsidR="002B0172" w:rsidRPr="003B70C5">
        <w:t>’</w:t>
      </w:r>
      <w:r w:rsidRPr="003B70C5">
        <w:t>a à l</w:t>
      </w:r>
      <w:r w:rsidR="002B0172" w:rsidRPr="003B70C5">
        <w:t>’</w:t>
      </w:r>
      <w:r w:rsidRPr="003B70C5">
        <w:t>heure actuelle aucune incidence sur l</w:t>
      </w:r>
      <w:r w:rsidR="002B0172" w:rsidRPr="003B70C5">
        <w:t>’</w:t>
      </w:r>
      <w:r w:rsidRPr="003B70C5">
        <w:t>élaboration du programme et budget, qui est toujours présenté sur la base d</w:t>
      </w:r>
      <w:r w:rsidR="002B0172" w:rsidRPr="003B70C5">
        <w:t>’</w:t>
      </w:r>
      <w:r w:rsidRPr="003B70C5">
        <w:t>une comptabilité d</w:t>
      </w:r>
      <w:r w:rsidR="002B0172" w:rsidRPr="003B70C5">
        <w:t>’</w:t>
      </w:r>
      <w:r w:rsidRPr="003B70C5">
        <w:t>exercice modifi</w:t>
      </w:r>
      <w:r w:rsidR="00D076B0" w:rsidRPr="003B70C5">
        <w:t>ée.  Co</w:t>
      </w:r>
      <w:r w:rsidRPr="003B70C5">
        <w:t>mme cette base est différente de la base d</w:t>
      </w:r>
      <w:r w:rsidR="002B0172" w:rsidRPr="003B70C5">
        <w:t>’</w:t>
      </w:r>
      <w:r w:rsidRPr="003B70C5">
        <w:t>une comptabilité d</w:t>
      </w:r>
      <w:r w:rsidR="002B0172" w:rsidRPr="003B70C5">
        <w:t>’</w:t>
      </w:r>
      <w:r w:rsidRPr="003B70C5">
        <w:t>exercice intégrale appliquée aux états financiers, le</w:t>
      </w:r>
      <w:r w:rsidR="004802FB">
        <w:t> </w:t>
      </w:r>
      <w:r w:rsidRPr="003B70C5">
        <w:t>rapprochement entre le budget et les états financiers est fourni conformément aux exigences des normes</w:t>
      </w:r>
      <w:r w:rsidR="00E2280F" w:rsidRPr="003B70C5">
        <w:t> </w:t>
      </w:r>
      <w:r w:rsidRPr="003B70C5">
        <w:t>IPSAS.</w:t>
      </w:r>
    </w:p>
    <w:p w14:paraId="608225A2" w14:textId="77777777" w:rsidR="000C336F" w:rsidRPr="003B70C5" w:rsidRDefault="000C336F" w:rsidP="000C336F">
      <w:pPr>
        <w:rPr>
          <w:rFonts w:cs="Arial"/>
        </w:rPr>
      </w:pPr>
    </w:p>
    <w:p w14:paraId="392E884B" w14:textId="742AD44F" w:rsidR="002B0172" w:rsidRPr="003B70C5" w:rsidRDefault="000C336F" w:rsidP="000C336F">
      <w:pPr>
        <w:pStyle w:val="ListParagraph"/>
        <w:numPr>
          <w:ilvl w:val="0"/>
          <w:numId w:val="7"/>
        </w:numPr>
        <w:jc w:val="both"/>
        <w:rPr>
          <w:sz w:val="20"/>
        </w:rPr>
      </w:pPr>
      <w:r w:rsidRPr="003B70C5">
        <w:rPr>
          <w:sz w:val="20"/>
        </w:rPr>
        <w:t>Les normes</w:t>
      </w:r>
      <w:r w:rsidR="00E2280F" w:rsidRPr="003B70C5">
        <w:rPr>
          <w:sz w:val="20"/>
        </w:rPr>
        <w:t> </w:t>
      </w:r>
      <w:r w:rsidRPr="003B70C5">
        <w:rPr>
          <w:sz w:val="20"/>
        </w:rPr>
        <w:t>IPSAS imposent d</w:t>
      </w:r>
      <w:r w:rsidR="002B0172" w:rsidRPr="003B70C5">
        <w:rPr>
          <w:sz w:val="20"/>
        </w:rPr>
        <w:t>’</w:t>
      </w:r>
      <w:r w:rsidRPr="003B70C5">
        <w:rPr>
          <w:sz w:val="20"/>
        </w:rPr>
        <w:t>inclure des informations plus détaillées dans les notes relatives aux états financiers pour des besoins de transparen</w:t>
      </w:r>
      <w:r w:rsidR="00D076B0" w:rsidRPr="003B70C5">
        <w:rPr>
          <w:sz w:val="20"/>
        </w:rPr>
        <w:t xml:space="preserve">ce.  À </w:t>
      </w:r>
      <w:r w:rsidRPr="003B70C5">
        <w:rPr>
          <w:sz w:val="20"/>
        </w:rPr>
        <w:t>cette fin, l</w:t>
      </w:r>
      <w:r w:rsidR="002B0172" w:rsidRPr="003B70C5">
        <w:rPr>
          <w:sz w:val="20"/>
        </w:rPr>
        <w:t>’</w:t>
      </w:r>
      <w:r w:rsidRPr="003B70C5">
        <w:rPr>
          <w:sz w:val="20"/>
        </w:rPr>
        <w:t>UPOV fournit des informations relatives à la rémunération de ses principaux dirigeants.</w:t>
      </w:r>
    </w:p>
    <w:p w14:paraId="73AFC4C5" w14:textId="1643916C" w:rsidR="000C336F" w:rsidRPr="003B70C5" w:rsidRDefault="000C336F" w:rsidP="000C336F"/>
    <w:p w14:paraId="391C9CB3" w14:textId="393A4633" w:rsidR="000C336F" w:rsidRPr="003B70C5" w:rsidRDefault="000C336F" w:rsidP="000C336F">
      <w:pPr>
        <w:pStyle w:val="ListParagraph"/>
        <w:numPr>
          <w:ilvl w:val="0"/>
          <w:numId w:val="7"/>
        </w:numPr>
        <w:jc w:val="both"/>
        <w:rPr>
          <w:sz w:val="20"/>
        </w:rPr>
      </w:pPr>
      <w:r w:rsidRPr="003B70C5">
        <w:rPr>
          <w:sz w:val="20"/>
        </w:rPr>
        <w:lastRenderedPageBreak/>
        <w:t>Compte tenu de l</w:t>
      </w:r>
      <w:r w:rsidR="002B0172" w:rsidRPr="003B70C5">
        <w:rPr>
          <w:sz w:val="20"/>
        </w:rPr>
        <w:t>’</w:t>
      </w:r>
      <w:r w:rsidRPr="003B70C5">
        <w:rPr>
          <w:sz w:val="20"/>
        </w:rPr>
        <w:t>approbation du Comité consultatif de l</w:t>
      </w:r>
      <w:r w:rsidR="002B0172" w:rsidRPr="003B70C5">
        <w:rPr>
          <w:sz w:val="20"/>
        </w:rPr>
        <w:t>’</w:t>
      </w:r>
      <w:r w:rsidRPr="003B70C5">
        <w:rPr>
          <w:sz w:val="20"/>
        </w:rPr>
        <w:t>UPOV à sa cent</w:t>
      </w:r>
      <w:r w:rsidR="00F15EEC">
        <w:rPr>
          <w:sz w:val="20"/>
        </w:rPr>
        <w:t xml:space="preserve"> </w:t>
      </w:r>
      <w:r w:rsidRPr="003B70C5">
        <w:rPr>
          <w:sz w:val="20"/>
        </w:rPr>
        <w:t>un</w:t>
      </w:r>
      <w:r w:rsidR="002B0172" w:rsidRPr="003B70C5">
        <w:rPr>
          <w:sz w:val="20"/>
        </w:rPr>
        <w:t>ième</w:t>
      </w:r>
      <w:r w:rsidR="00F15EEC">
        <w:rPr>
          <w:sz w:val="20"/>
        </w:rPr>
        <w:t xml:space="preserve"> </w:t>
      </w:r>
      <w:r w:rsidR="002B0172" w:rsidRPr="003B70C5">
        <w:rPr>
          <w:sz w:val="20"/>
        </w:rPr>
        <w:t>session</w:t>
      </w:r>
      <w:r w:rsidRPr="003B70C5">
        <w:rPr>
          <w:sz w:val="20"/>
        </w:rPr>
        <w:t xml:space="preserve"> en octobre 2023, les assemblées des États membres de l</w:t>
      </w:r>
      <w:r w:rsidR="002B0172" w:rsidRPr="003B70C5">
        <w:rPr>
          <w:sz w:val="20"/>
        </w:rPr>
        <w:t>’</w:t>
      </w:r>
      <w:r w:rsidRPr="003B70C5">
        <w:rPr>
          <w:sz w:val="20"/>
        </w:rPr>
        <w:t xml:space="preserve">OMPI ont approuvé, en </w:t>
      </w:r>
      <w:r w:rsidR="002B0172" w:rsidRPr="003B70C5">
        <w:rPr>
          <w:sz w:val="20"/>
        </w:rPr>
        <w:t>juillet 20</w:t>
      </w:r>
      <w:r w:rsidRPr="003B70C5">
        <w:rPr>
          <w:sz w:val="20"/>
        </w:rPr>
        <w:t>24, la création d</w:t>
      </w:r>
      <w:r w:rsidR="002B0172" w:rsidRPr="003B70C5">
        <w:rPr>
          <w:sz w:val="20"/>
        </w:rPr>
        <w:t>’</w:t>
      </w:r>
      <w:r w:rsidRPr="003B70C5">
        <w:rPr>
          <w:sz w:val="20"/>
        </w:rPr>
        <w:t>une entité distincte, qui sera établie sous la forme d</w:t>
      </w:r>
      <w:r w:rsidR="002B0172" w:rsidRPr="003B70C5">
        <w:rPr>
          <w:sz w:val="20"/>
        </w:rPr>
        <w:t>’</w:t>
      </w:r>
      <w:r w:rsidRPr="003B70C5">
        <w:rPr>
          <w:sz w:val="20"/>
        </w:rPr>
        <w:t>un régime multiemployeur, chargée de gérer les fonds provisionnés pour financer les obligations au titre de l</w:t>
      </w:r>
      <w:r w:rsidR="002B0172" w:rsidRPr="003B70C5">
        <w:rPr>
          <w:sz w:val="20"/>
        </w:rPr>
        <w:t>’</w:t>
      </w:r>
      <w:r w:rsidRPr="003B70C5">
        <w:rPr>
          <w:sz w:val="20"/>
        </w:rPr>
        <w:t>A</w:t>
      </w:r>
      <w:r w:rsidR="00D076B0" w:rsidRPr="003B70C5">
        <w:rPr>
          <w:sz w:val="20"/>
        </w:rPr>
        <w:t>MCS.  Le</w:t>
      </w:r>
      <w:r w:rsidRPr="003B70C5">
        <w:rPr>
          <w:sz w:val="20"/>
        </w:rPr>
        <w:t xml:space="preserve"> régime d</w:t>
      </w:r>
      <w:r w:rsidR="002B0172" w:rsidRPr="003B70C5">
        <w:rPr>
          <w:sz w:val="20"/>
        </w:rPr>
        <w:t>’</w:t>
      </w:r>
      <w:r w:rsidRPr="003B70C5">
        <w:rPr>
          <w:sz w:val="20"/>
        </w:rPr>
        <w:t>assurance maladie après la cessation de service de l</w:t>
      </w:r>
      <w:r w:rsidR="002B0172" w:rsidRPr="003B70C5">
        <w:rPr>
          <w:sz w:val="20"/>
        </w:rPr>
        <w:t>’</w:t>
      </w:r>
      <w:r w:rsidRPr="003B70C5">
        <w:rPr>
          <w:sz w:val="20"/>
        </w:rPr>
        <w:t>OMPI/UPOV a ensuite été mis en place à compter du</w:t>
      </w:r>
      <w:r w:rsidR="002B0172" w:rsidRPr="003B70C5">
        <w:rPr>
          <w:sz w:val="20"/>
        </w:rPr>
        <w:t xml:space="preserve"> 1</w:t>
      </w:r>
      <w:r w:rsidR="002B0172" w:rsidRPr="003B70C5">
        <w:rPr>
          <w:sz w:val="20"/>
          <w:vertAlign w:val="superscript"/>
        </w:rPr>
        <w:t>er</w:t>
      </w:r>
      <w:r w:rsidR="002B0172" w:rsidRPr="003B70C5">
        <w:rPr>
          <w:sz w:val="20"/>
        </w:rPr>
        <w:t> </w:t>
      </w:r>
      <w:r w:rsidRPr="003B70C5">
        <w:rPr>
          <w:sz w:val="20"/>
        </w:rPr>
        <w:t xml:space="preserve">janvier 2025. </w:t>
      </w:r>
      <w:r w:rsidR="00E2280F" w:rsidRPr="003B70C5">
        <w:rPr>
          <w:sz w:val="20"/>
        </w:rPr>
        <w:t xml:space="preserve"> </w:t>
      </w:r>
      <w:r w:rsidRPr="003B70C5">
        <w:rPr>
          <w:color w:val="000000"/>
          <w:sz w:val="20"/>
        </w:rPr>
        <w:t>L</w:t>
      </w:r>
      <w:r w:rsidR="002B0172" w:rsidRPr="003B70C5">
        <w:rPr>
          <w:color w:val="000000"/>
          <w:sz w:val="20"/>
        </w:rPr>
        <w:t>’</w:t>
      </w:r>
      <w:r w:rsidRPr="003B70C5">
        <w:rPr>
          <w:color w:val="000000"/>
          <w:sz w:val="20"/>
        </w:rPr>
        <w:t>OMPI et l</w:t>
      </w:r>
      <w:r w:rsidR="002B0172" w:rsidRPr="003B70C5">
        <w:rPr>
          <w:color w:val="000000"/>
          <w:sz w:val="20"/>
        </w:rPr>
        <w:t>’</w:t>
      </w:r>
      <w:r w:rsidRPr="003B70C5">
        <w:rPr>
          <w:color w:val="000000"/>
          <w:sz w:val="20"/>
        </w:rPr>
        <w:t>UPOV participent toutes deux au régime d</w:t>
      </w:r>
      <w:r w:rsidR="002B0172" w:rsidRPr="003B70C5">
        <w:rPr>
          <w:color w:val="000000"/>
          <w:sz w:val="20"/>
        </w:rPr>
        <w:t>’</w:t>
      </w:r>
      <w:r w:rsidRPr="003B70C5">
        <w:rPr>
          <w:color w:val="000000"/>
          <w:sz w:val="20"/>
        </w:rPr>
        <w:t>AMCS, et les incidences sur la présentation des états financiers de l</w:t>
      </w:r>
      <w:r w:rsidR="002B0172" w:rsidRPr="003B70C5">
        <w:rPr>
          <w:color w:val="000000"/>
          <w:sz w:val="20"/>
        </w:rPr>
        <w:t>’</w:t>
      </w:r>
      <w:r w:rsidRPr="003B70C5">
        <w:rPr>
          <w:color w:val="000000"/>
          <w:sz w:val="20"/>
        </w:rPr>
        <w:t>UPOV sont exposées dans la note 2 du présent document.</w:t>
      </w:r>
    </w:p>
    <w:p w14:paraId="19B43E7F" w14:textId="77777777" w:rsidR="000C336F" w:rsidRPr="003B70C5" w:rsidRDefault="000C336F" w:rsidP="000C336F">
      <w:pPr>
        <w:rPr>
          <w:rFonts w:cs="Arial"/>
        </w:rPr>
      </w:pPr>
    </w:p>
    <w:p w14:paraId="32CE3BD8" w14:textId="77777777" w:rsidR="000C336F" w:rsidRPr="003B70C5" w:rsidRDefault="000C336F" w:rsidP="004573AD">
      <w:pPr>
        <w:pStyle w:val="Heading2"/>
        <w:rPr>
          <w:rFonts w:cs="Arial"/>
        </w:rPr>
      </w:pPr>
      <w:bookmarkStart w:id="8" w:name="_Toc84329883"/>
      <w:bookmarkStart w:id="9" w:name="_Toc236922618"/>
      <w:r w:rsidRPr="003B70C5">
        <w:t>Performance financière</w:t>
      </w:r>
      <w:bookmarkEnd w:id="8"/>
      <w:bookmarkEnd w:id="9"/>
    </w:p>
    <w:p w14:paraId="2CDA9FAB" w14:textId="77777777" w:rsidR="000C336F" w:rsidRPr="003B70C5" w:rsidRDefault="000C336F" w:rsidP="000C336F"/>
    <w:p w14:paraId="5A2C2090" w14:textId="4CDB8B07" w:rsidR="000C336F" w:rsidRPr="003B70C5" w:rsidRDefault="000C336F" w:rsidP="000C336F">
      <w:pPr>
        <w:pStyle w:val="ListParagraph"/>
        <w:numPr>
          <w:ilvl w:val="0"/>
          <w:numId w:val="7"/>
        </w:numPr>
        <w:jc w:val="both"/>
        <w:rPr>
          <w:sz w:val="20"/>
        </w:rPr>
      </w:pPr>
      <w:r w:rsidRPr="003B70C5">
        <w:rPr>
          <w:sz w:val="20"/>
        </w:rPr>
        <w:t>Les résultats de l</w:t>
      </w:r>
      <w:r w:rsidR="002B0172" w:rsidRPr="003B70C5">
        <w:rPr>
          <w:sz w:val="20"/>
        </w:rPr>
        <w:t>’</w:t>
      </w:r>
      <w:r w:rsidRPr="003B70C5">
        <w:rPr>
          <w:sz w:val="20"/>
        </w:rPr>
        <w:t>UPOV pour l</w:t>
      </w:r>
      <w:r w:rsidR="002B0172" w:rsidRPr="003B70C5">
        <w:rPr>
          <w:sz w:val="20"/>
        </w:rPr>
        <w:t>’</w:t>
      </w:r>
      <w:r w:rsidRPr="003B70C5">
        <w:rPr>
          <w:sz w:val="20"/>
        </w:rPr>
        <w:t>année ont affiché un déficit de 131 982 francs suisses pour un total des recettes de 4 004 004 francs suisses et un total des dépenses de 4 135 986 francs suisses, contre l</w:t>
      </w:r>
      <w:r w:rsidR="002B0172" w:rsidRPr="003B70C5">
        <w:rPr>
          <w:sz w:val="20"/>
        </w:rPr>
        <w:t>’</w:t>
      </w:r>
      <w:r w:rsidRPr="003B70C5">
        <w:rPr>
          <w:sz w:val="20"/>
        </w:rPr>
        <w:t xml:space="preserve">excédent de 260 433 francs suisses enregistré </w:t>
      </w:r>
      <w:r w:rsidR="002B0172" w:rsidRPr="003B70C5">
        <w:rPr>
          <w:sz w:val="20"/>
        </w:rPr>
        <w:t>en 2024</w:t>
      </w:r>
      <w:r w:rsidRPr="003B70C5">
        <w:rPr>
          <w:sz w:val="20"/>
        </w:rPr>
        <w:t xml:space="preserve">. </w:t>
      </w:r>
      <w:r w:rsidR="00E2280F" w:rsidRPr="003B70C5">
        <w:rPr>
          <w:sz w:val="20"/>
        </w:rPr>
        <w:t xml:space="preserve"> </w:t>
      </w:r>
      <w:r w:rsidRPr="003B70C5">
        <w:rPr>
          <w:sz w:val="20"/>
        </w:rPr>
        <w:t>Ces différences de résultats tiennent essentiellement à une diminution des contributions volontaires et une augmentation des dépenses de personnel et de services contractuels, partiellement compensée par une diminution des coûts de voya</w:t>
      </w:r>
      <w:r w:rsidR="00D076B0" w:rsidRPr="003B70C5">
        <w:rPr>
          <w:sz w:val="20"/>
        </w:rPr>
        <w:t>ge.  La</w:t>
      </w:r>
      <w:r w:rsidRPr="003B70C5">
        <w:rPr>
          <w:sz w:val="20"/>
        </w:rPr>
        <w:t xml:space="preserve"> performance financière de l</w:t>
      </w:r>
      <w:r w:rsidR="002B0172" w:rsidRPr="003B70C5">
        <w:rPr>
          <w:sz w:val="20"/>
        </w:rPr>
        <w:t>’</w:t>
      </w:r>
      <w:r w:rsidRPr="003B70C5">
        <w:rPr>
          <w:sz w:val="20"/>
        </w:rPr>
        <w:t>UPOV par source de financement est récapitulée comme suit</w:t>
      </w:r>
      <w:r w:rsidR="002B0172" w:rsidRPr="003B70C5">
        <w:rPr>
          <w:sz w:val="20"/>
        </w:rPr>
        <w:t> :</w:t>
      </w:r>
    </w:p>
    <w:p w14:paraId="69EA0C0D" w14:textId="77777777" w:rsidR="000C336F" w:rsidRPr="003B70C5" w:rsidRDefault="000C336F" w:rsidP="000C336F">
      <w:pPr>
        <w:pStyle w:val="ListParagraph"/>
        <w:rPr>
          <w:sz w:val="20"/>
        </w:rPr>
      </w:pPr>
    </w:p>
    <w:p w14:paraId="52DD4376" w14:textId="77777777" w:rsidR="000C336F" w:rsidRPr="003B70C5" w:rsidRDefault="000C336F" w:rsidP="000C336F">
      <w:pPr>
        <w:jc w:val="left"/>
        <w:rPr>
          <w:rFonts w:cs="Arial"/>
          <w:b/>
          <w:i/>
        </w:rPr>
      </w:pPr>
    </w:p>
    <w:p w14:paraId="0D71DF8F" w14:textId="5DFCB9E8" w:rsidR="000C336F" w:rsidRPr="003B70C5" w:rsidRDefault="000C336F" w:rsidP="000C336F">
      <w:pPr>
        <w:autoSpaceDE w:val="0"/>
        <w:autoSpaceDN w:val="0"/>
        <w:adjustRightInd w:val="0"/>
        <w:rPr>
          <w:rFonts w:cs="Arial"/>
          <w:b/>
          <w:i/>
        </w:rPr>
      </w:pPr>
      <w:r w:rsidRPr="003B70C5">
        <w:rPr>
          <w:b/>
          <w:i/>
        </w:rPr>
        <w:t xml:space="preserve">Tableau 1. </w:t>
      </w:r>
      <w:r w:rsidR="00E2280F" w:rsidRPr="003B70C5">
        <w:rPr>
          <w:b/>
          <w:i/>
        </w:rPr>
        <w:t xml:space="preserve"> </w:t>
      </w:r>
      <w:r w:rsidRPr="003B70C5">
        <w:rPr>
          <w:b/>
          <w:i/>
        </w:rPr>
        <w:t>Récapitulatif de la performance financière par source de financement</w:t>
      </w:r>
    </w:p>
    <w:p w14:paraId="649A34AF" w14:textId="77777777" w:rsidR="000C336F" w:rsidRPr="003B70C5" w:rsidRDefault="000C336F" w:rsidP="000C336F">
      <w:pPr>
        <w:autoSpaceDE w:val="0"/>
        <w:autoSpaceDN w:val="0"/>
        <w:adjustRightInd w:val="0"/>
        <w:rPr>
          <w:rFonts w:cs="Arial"/>
        </w:rPr>
      </w:pPr>
    </w:p>
    <w:p w14:paraId="0AE3FF36" w14:textId="3A8970A7" w:rsidR="000C336F" w:rsidRPr="003B70C5" w:rsidRDefault="00710AA6" w:rsidP="000C336F">
      <w:pPr>
        <w:autoSpaceDE w:val="0"/>
        <w:autoSpaceDN w:val="0"/>
        <w:adjustRightInd w:val="0"/>
        <w:rPr>
          <w:rFonts w:cs="Arial"/>
        </w:rPr>
      </w:pPr>
      <w:r w:rsidRPr="00710AA6">
        <w:rPr>
          <w:noProof/>
        </w:rPr>
        <w:drawing>
          <wp:inline distT="0" distB="0" distL="0" distR="0" wp14:anchorId="71B9684E" wp14:editId="35A5F3DF">
            <wp:extent cx="5987415" cy="1924050"/>
            <wp:effectExtent l="0" t="0" r="0" b="0"/>
            <wp:docPr id="1588340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7415" cy="1924050"/>
                    </a:xfrm>
                    <a:prstGeom prst="rect">
                      <a:avLst/>
                    </a:prstGeom>
                    <a:noFill/>
                    <a:ln>
                      <a:noFill/>
                    </a:ln>
                  </pic:spPr>
                </pic:pic>
              </a:graphicData>
            </a:graphic>
          </wp:inline>
        </w:drawing>
      </w:r>
    </w:p>
    <w:p w14:paraId="67C261BA" w14:textId="77777777" w:rsidR="000C336F" w:rsidRPr="003B70C5" w:rsidRDefault="000C336F" w:rsidP="000C336F">
      <w:pPr>
        <w:autoSpaceDE w:val="0"/>
        <w:autoSpaceDN w:val="0"/>
        <w:adjustRightInd w:val="0"/>
        <w:rPr>
          <w:rFonts w:cs="Arial"/>
        </w:rPr>
      </w:pPr>
    </w:p>
    <w:p w14:paraId="5CB692C0" w14:textId="32DF001B" w:rsidR="002B0172" w:rsidRPr="003B70C5" w:rsidRDefault="000C336F" w:rsidP="000C336F">
      <w:pPr>
        <w:pStyle w:val="ListParagraph"/>
        <w:numPr>
          <w:ilvl w:val="0"/>
          <w:numId w:val="7"/>
        </w:numPr>
        <w:autoSpaceDE w:val="0"/>
        <w:autoSpaceDN w:val="0"/>
        <w:adjustRightInd w:val="0"/>
        <w:jc w:val="both"/>
      </w:pPr>
      <w:r w:rsidRPr="003B70C5">
        <w:rPr>
          <w:sz w:val="20"/>
        </w:rPr>
        <w:t>Les activités de l</w:t>
      </w:r>
      <w:r w:rsidR="002B0172" w:rsidRPr="003B70C5">
        <w:rPr>
          <w:sz w:val="20"/>
        </w:rPr>
        <w:t>’</w:t>
      </w:r>
      <w:r w:rsidRPr="003B70C5">
        <w:rPr>
          <w:sz w:val="20"/>
        </w:rPr>
        <w:t>UPOV sont financées principalement par trois</w:t>
      </w:r>
      <w:r w:rsidR="00E2280F" w:rsidRPr="003B70C5">
        <w:rPr>
          <w:sz w:val="20"/>
        </w:rPr>
        <w:t> </w:t>
      </w:r>
      <w:r w:rsidRPr="003B70C5">
        <w:rPr>
          <w:sz w:val="20"/>
        </w:rPr>
        <w:t>sources</w:t>
      </w:r>
      <w:r w:rsidR="002B0172" w:rsidRPr="003B70C5">
        <w:rPr>
          <w:sz w:val="20"/>
        </w:rPr>
        <w:t> :</w:t>
      </w:r>
      <w:r w:rsidRPr="003B70C5">
        <w:rPr>
          <w:sz w:val="20"/>
        </w:rPr>
        <w:t xml:space="preserve"> les contributions, les ressources extrabudgétaires (fonds fiduciaires) et les recettes provenant des taxes </w:t>
      </w:r>
      <w:r w:rsidR="0063233A">
        <w:rPr>
          <w:sz w:val="20"/>
        </w:rPr>
        <w:t>UPOV PRISMA</w:t>
      </w:r>
      <w:r w:rsidR="00D076B0" w:rsidRPr="003B70C5">
        <w:rPr>
          <w:sz w:val="20"/>
        </w:rPr>
        <w:t>.  Le</w:t>
      </w:r>
      <w:r w:rsidRPr="003B70C5">
        <w:rPr>
          <w:sz w:val="20"/>
        </w:rPr>
        <w:t>s contributions, d</w:t>
      </w:r>
      <w:r w:rsidR="002B0172" w:rsidRPr="003B70C5">
        <w:rPr>
          <w:sz w:val="20"/>
        </w:rPr>
        <w:t>’</w:t>
      </w:r>
      <w:r w:rsidRPr="003B70C5">
        <w:rPr>
          <w:sz w:val="20"/>
        </w:rPr>
        <w:t>un montant de 3 623 438 francs suisses, tenant compte de l</w:t>
      </w:r>
      <w:r w:rsidR="002B0172" w:rsidRPr="003B70C5">
        <w:rPr>
          <w:sz w:val="20"/>
        </w:rPr>
        <w:t>’</w:t>
      </w:r>
      <w:r w:rsidRPr="003B70C5">
        <w:rPr>
          <w:sz w:val="20"/>
        </w:rPr>
        <w:t>incidence des variations des indemnités, représentent 90,5% des recettes totales de l</w:t>
      </w:r>
      <w:r w:rsidR="002B0172" w:rsidRPr="003B70C5">
        <w:rPr>
          <w:sz w:val="20"/>
        </w:rPr>
        <w:t>’</w:t>
      </w:r>
      <w:r w:rsidRPr="003B70C5">
        <w:rPr>
          <w:sz w:val="20"/>
        </w:rPr>
        <w:t xml:space="preserve">UPOV </w:t>
      </w:r>
      <w:r w:rsidR="002B0172" w:rsidRPr="003B70C5">
        <w:rPr>
          <w:sz w:val="20"/>
        </w:rPr>
        <w:t>pour 2025</w:t>
      </w:r>
      <w:r w:rsidRPr="003B70C5">
        <w:rPr>
          <w:sz w:val="20"/>
        </w:rPr>
        <w:t xml:space="preserve">. </w:t>
      </w:r>
      <w:r w:rsidR="00E2280F" w:rsidRPr="003B70C5">
        <w:rPr>
          <w:sz w:val="20"/>
        </w:rPr>
        <w:t xml:space="preserve"> </w:t>
      </w:r>
      <w:r w:rsidRPr="003B70C5">
        <w:rPr>
          <w:sz w:val="20"/>
        </w:rPr>
        <w:t xml:space="preserve">Les contributions sont restées stables par rapport à celles </w:t>
      </w:r>
      <w:r w:rsidR="002B0172" w:rsidRPr="003B70C5">
        <w:rPr>
          <w:sz w:val="20"/>
        </w:rPr>
        <w:t>de 2024</w:t>
      </w:r>
      <w:r w:rsidRPr="003B70C5">
        <w:rPr>
          <w:sz w:val="20"/>
        </w:rPr>
        <w:t>.</w:t>
      </w:r>
      <w:r w:rsidR="00E2280F" w:rsidRPr="003B70C5">
        <w:rPr>
          <w:sz w:val="20"/>
        </w:rPr>
        <w:t xml:space="preserve"> </w:t>
      </w:r>
      <w:r w:rsidRPr="003B70C5">
        <w:rPr>
          <w:sz w:val="20"/>
        </w:rPr>
        <w:t xml:space="preserve"> </w:t>
      </w:r>
      <w:r w:rsidR="002B0172" w:rsidRPr="003B70C5">
        <w:rPr>
          <w:sz w:val="20"/>
        </w:rPr>
        <w:t>En 2025</w:t>
      </w:r>
      <w:r w:rsidRPr="003B70C5">
        <w:rPr>
          <w:sz w:val="20"/>
        </w:rPr>
        <w:t>, l</w:t>
      </w:r>
      <w:r w:rsidR="002B0172" w:rsidRPr="003B70C5">
        <w:rPr>
          <w:sz w:val="20"/>
        </w:rPr>
        <w:t>’</w:t>
      </w:r>
      <w:r w:rsidRPr="003B70C5">
        <w:rPr>
          <w:sz w:val="20"/>
        </w:rPr>
        <w:t>UPOV a reçu des ressources extrabudgétaires du Gouvernement japonais pour le développement, l</w:t>
      </w:r>
      <w:r w:rsidR="002B0172" w:rsidRPr="003B70C5">
        <w:rPr>
          <w:sz w:val="20"/>
        </w:rPr>
        <w:t>’</w:t>
      </w:r>
      <w:r w:rsidRPr="003B70C5">
        <w:rPr>
          <w:sz w:val="20"/>
        </w:rPr>
        <w:t>amélioration et l</w:t>
      </w:r>
      <w:r w:rsidR="002B0172" w:rsidRPr="003B70C5">
        <w:rPr>
          <w:sz w:val="20"/>
        </w:rPr>
        <w:t>’</w:t>
      </w:r>
      <w:r w:rsidRPr="003B70C5">
        <w:rPr>
          <w:sz w:val="20"/>
        </w:rPr>
        <w:t xml:space="preserve">extension des services </w:t>
      </w:r>
      <w:r w:rsidR="00CF1B89">
        <w:rPr>
          <w:sz w:val="20"/>
        </w:rPr>
        <w:t>UPOV </w:t>
      </w:r>
      <w:r w:rsidRPr="003B70C5">
        <w:rPr>
          <w:sz w:val="20"/>
        </w:rPr>
        <w:t>e</w:t>
      </w:r>
      <w:r w:rsidR="00CF1B89">
        <w:rPr>
          <w:sz w:val="20"/>
        </w:rPr>
        <w:noBreakHyphen/>
      </w:r>
      <w:r w:rsidRPr="003B70C5">
        <w:rPr>
          <w:sz w:val="20"/>
        </w:rPr>
        <w:t>PVP, ainsi qu</w:t>
      </w:r>
      <w:r w:rsidR="002B0172" w:rsidRPr="003B70C5">
        <w:rPr>
          <w:sz w:val="20"/>
        </w:rPr>
        <w:t>’</w:t>
      </w:r>
      <w:r w:rsidRPr="003B70C5">
        <w:rPr>
          <w:sz w:val="20"/>
        </w:rPr>
        <w:t>à ses activités de formation et d</w:t>
      </w:r>
      <w:r w:rsidR="002B0172" w:rsidRPr="003B70C5">
        <w:rPr>
          <w:sz w:val="20"/>
        </w:rPr>
        <w:t>’</w:t>
      </w:r>
      <w:r w:rsidRPr="003B70C5">
        <w:rPr>
          <w:sz w:val="20"/>
        </w:rPr>
        <w:t>assistan</w:t>
      </w:r>
      <w:r w:rsidR="00D076B0" w:rsidRPr="003B70C5">
        <w:rPr>
          <w:sz w:val="20"/>
        </w:rPr>
        <w:t>ce.  Un</w:t>
      </w:r>
      <w:r w:rsidRPr="003B70C5">
        <w:rPr>
          <w:sz w:val="20"/>
        </w:rPr>
        <w:t xml:space="preserve"> soutien supplémentaire a été apporté par le Ministère japonais de l</w:t>
      </w:r>
      <w:r w:rsidR="002B0172" w:rsidRPr="003B70C5">
        <w:rPr>
          <w:sz w:val="20"/>
        </w:rPr>
        <w:t>’</w:t>
      </w:r>
      <w:r w:rsidRPr="003B70C5">
        <w:rPr>
          <w:sz w:val="20"/>
        </w:rPr>
        <w:t>agriculture, des forêts et de la pêche, par l</w:t>
      </w:r>
      <w:r w:rsidR="002B0172" w:rsidRPr="003B70C5">
        <w:rPr>
          <w:sz w:val="20"/>
        </w:rPr>
        <w:t>’</w:t>
      </w:r>
      <w:r w:rsidRPr="003B70C5">
        <w:rPr>
          <w:sz w:val="20"/>
        </w:rPr>
        <w:t>intermédiaire du “Fonds fiduciaire pour les activités de communication et de sensibilisation de l</w:t>
      </w:r>
      <w:r w:rsidR="002B0172" w:rsidRPr="003B70C5">
        <w:rPr>
          <w:sz w:val="20"/>
        </w:rPr>
        <w:t>’</w:t>
      </w:r>
      <w:r w:rsidRPr="003B70C5">
        <w:rPr>
          <w:sz w:val="20"/>
        </w:rPr>
        <w:t xml:space="preserve">UPOV”. </w:t>
      </w:r>
      <w:r w:rsidR="00E2280F" w:rsidRPr="003B70C5">
        <w:rPr>
          <w:sz w:val="20"/>
        </w:rPr>
        <w:t xml:space="preserve"> </w:t>
      </w:r>
      <w:r w:rsidRPr="003B70C5">
        <w:rPr>
          <w:sz w:val="20"/>
        </w:rPr>
        <w:t>L</w:t>
      </w:r>
      <w:r w:rsidR="002B0172" w:rsidRPr="003B70C5">
        <w:rPr>
          <w:sz w:val="20"/>
        </w:rPr>
        <w:t>’</w:t>
      </w:r>
      <w:r w:rsidRPr="003B70C5">
        <w:rPr>
          <w:sz w:val="20"/>
        </w:rPr>
        <w:t>Administration nationale chinoise de la propriété intellectuelle a également apporté sa contribution en créant un fonds fiduciaire destiné à financer le recrutement de personnel chargé de la collecte de données relatives à la protection des obtentions végétales, à soutenir les travaux dans le domaine technique et à élaborer des programmes de formation en matière de protection des obtentions végétal</w:t>
      </w:r>
      <w:r w:rsidR="00D076B0" w:rsidRPr="003B70C5">
        <w:rPr>
          <w:sz w:val="20"/>
        </w:rPr>
        <w:t>es.  Le</w:t>
      </w:r>
      <w:r w:rsidRPr="003B70C5">
        <w:rPr>
          <w:sz w:val="20"/>
        </w:rPr>
        <w:t>s recettes comptabilisées provenant des contributions extrabudgétaires (fonds fiduciaires) se sont élevées à 297 631 francs suisses pour l</w:t>
      </w:r>
      <w:r w:rsidR="002B0172" w:rsidRPr="003B70C5">
        <w:rPr>
          <w:sz w:val="20"/>
        </w:rPr>
        <w:t>’</w:t>
      </w:r>
      <w:r w:rsidRPr="003B70C5">
        <w:rPr>
          <w:sz w:val="20"/>
        </w:rPr>
        <w:t xml:space="preserve">année, soit 7,4% du total des recettes. </w:t>
      </w:r>
      <w:r w:rsidR="00E2280F" w:rsidRPr="003B70C5">
        <w:rPr>
          <w:sz w:val="20"/>
        </w:rPr>
        <w:t xml:space="preserve"> </w:t>
      </w:r>
      <w:r w:rsidRPr="003B70C5">
        <w:rPr>
          <w:sz w:val="20"/>
        </w:rPr>
        <w:t>L</w:t>
      </w:r>
      <w:r w:rsidR="002B0172" w:rsidRPr="003B70C5">
        <w:rPr>
          <w:sz w:val="20"/>
        </w:rPr>
        <w:t>’</w:t>
      </w:r>
      <w:r w:rsidRPr="003B70C5">
        <w:rPr>
          <w:sz w:val="20"/>
        </w:rPr>
        <w:t>UPOV présente également des soldes à hauteur de 618 784 francs suisses provenant des contributions reçues d</w:t>
      </w:r>
      <w:r w:rsidR="002B0172" w:rsidRPr="003B70C5">
        <w:rPr>
          <w:sz w:val="20"/>
        </w:rPr>
        <w:t>’</w:t>
      </w:r>
      <w:r w:rsidRPr="003B70C5">
        <w:rPr>
          <w:sz w:val="20"/>
        </w:rPr>
        <w:t>avan</w:t>
      </w:r>
      <w:r w:rsidR="00D076B0" w:rsidRPr="003B70C5">
        <w:rPr>
          <w:sz w:val="20"/>
        </w:rPr>
        <w:t>ce.  Ce</w:t>
      </w:r>
      <w:r w:rsidRPr="003B70C5">
        <w:rPr>
          <w:sz w:val="20"/>
        </w:rPr>
        <w:t xml:space="preserve">s soldes sont restés stables par rapport à ceux </w:t>
      </w:r>
      <w:r w:rsidR="002B0172" w:rsidRPr="003B70C5">
        <w:rPr>
          <w:sz w:val="20"/>
        </w:rPr>
        <w:t>de 2024</w:t>
      </w:r>
      <w:r w:rsidRPr="003B70C5">
        <w:rPr>
          <w:sz w:val="20"/>
        </w:rPr>
        <w:t>.</w:t>
      </w:r>
      <w:r w:rsidR="00E2280F" w:rsidRPr="003B70C5">
        <w:rPr>
          <w:sz w:val="20"/>
        </w:rPr>
        <w:t xml:space="preserve"> </w:t>
      </w:r>
      <w:r w:rsidRPr="003B70C5">
        <w:rPr>
          <w:sz w:val="20"/>
        </w:rPr>
        <w:t xml:space="preserve"> Ils apparaissent actuellement en tant que passifs, mais seront comptabilisés comme produits l</w:t>
      </w:r>
      <w:r w:rsidR="002B0172" w:rsidRPr="003B70C5">
        <w:rPr>
          <w:sz w:val="20"/>
        </w:rPr>
        <w:t>’</w:t>
      </w:r>
      <w:r w:rsidRPr="003B70C5">
        <w:rPr>
          <w:sz w:val="20"/>
        </w:rPr>
        <w:t>année où les obligations correspondantes auront été satisfaites.</w:t>
      </w:r>
    </w:p>
    <w:p w14:paraId="614A75C2" w14:textId="08DB3616" w:rsidR="000C336F" w:rsidRPr="003B70C5" w:rsidRDefault="000C336F" w:rsidP="000C336F">
      <w:pPr>
        <w:rPr>
          <w:rFonts w:cs="Arial"/>
        </w:rPr>
      </w:pPr>
    </w:p>
    <w:p w14:paraId="0094709E" w14:textId="1B69110E" w:rsidR="000C336F" w:rsidRPr="003B70C5" w:rsidRDefault="000C336F" w:rsidP="000C336F">
      <w:pPr>
        <w:pStyle w:val="ListParagraph"/>
        <w:numPr>
          <w:ilvl w:val="0"/>
          <w:numId w:val="7"/>
        </w:numPr>
        <w:jc w:val="both"/>
        <w:rPr>
          <w:sz w:val="20"/>
        </w:rPr>
      </w:pPr>
      <w:r w:rsidRPr="003B70C5">
        <w:rPr>
          <w:sz w:val="20"/>
        </w:rPr>
        <w:t xml:space="preserve">Au cours </w:t>
      </w:r>
      <w:r w:rsidR="002B0172" w:rsidRPr="003B70C5">
        <w:rPr>
          <w:sz w:val="20"/>
        </w:rPr>
        <w:t>de 2017</w:t>
      </w:r>
      <w:r w:rsidRPr="003B70C5">
        <w:rPr>
          <w:sz w:val="20"/>
        </w:rPr>
        <w:t>, l</w:t>
      </w:r>
      <w:r w:rsidR="002B0172" w:rsidRPr="003B70C5">
        <w:rPr>
          <w:sz w:val="20"/>
        </w:rPr>
        <w:t>’</w:t>
      </w:r>
      <w:r w:rsidRPr="003B70C5">
        <w:rPr>
          <w:sz w:val="20"/>
        </w:rPr>
        <w:t>UPOV a lancé l</w:t>
      </w:r>
      <w:r w:rsidR="002B0172" w:rsidRPr="003B70C5">
        <w:rPr>
          <w:sz w:val="20"/>
        </w:rPr>
        <w:t>’</w:t>
      </w:r>
      <w:r w:rsidRPr="003B70C5">
        <w:rPr>
          <w:sz w:val="20"/>
        </w:rPr>
        <w:t>outil de demande de droits d</w:t>
      </w:r>
      <w:r w:rsidR="002B0172" w:rsidRPr="003B70C5">
        <w:rPr>
          <w:sz w:val="20"/>
        </w:rPr>
        <w:t>’</w:t>
      </w:r>
      <w:r w:rsidRPr="003B70C5">
        <w:rPr>
          <w:sz w:val="20"/>
        </w:rPr>
        <w:t xml:space="preserve">obtenteur </w:t>
      </w:r>
      <w:r w:rsidR="0063233A">
        <w:rPr>
          <w:sz w:val="20"/>
        </w:rPr>
        <w:t>UPOV PRISMA</w:t>
      </w:r>
      <w:r w:rsidR="00D076B0" w:rsidRPr="003B70C5">
        <w:rPr>
          <w:sz w:val="20"/>
        </w:rPr>
        <w:t>.  Ce</w:t>
      </w:r>
      <w:r w:rsidRPr="003B70C5">
        <w:rPr>
          <w:sz w:val="20"/>
        </w:rPr>
        <w:t>t outil de demande en ligne permet aux demandeurs de fournir leurs renseignements aux services de protection des obtentions végétales des membres de l</w:t>
      </w:r>
      <w:r w:rsidR="002B0172" w:rsidRPr="003B70C5">
        <w:rPr>
          <w:sz w:val="20"/>
        </w:rPr>
        <w:t>’</w:t>
      </w:r>
      <w:r w:rsidRPr="003B70C5">
        <w:rPr>
          <w:sz w:val="20"/>
        </w:rPr>
        <w:t>Union participan</w:t>
      </w:r>
      <w:r w:rsidR="00D076B0" w:rsidRPr="003B70C5">
        <w:rPr>
          <w:sz w:val="20"/>
        </w:rPr>
        <w:t>ts.  L’o</w:t>
      </w:r>
      <w:r w:rsidRPr="003B70C5">
        <w:rPr>
          <w:sz w:val="20"/>
        </w:rPr>
        <w:t xml:space="preserve">util de demande </w:t>
      </w:r>
      <w:r w:rsidR="00556887">
        <w:rPr>
          <w:sz w:val="20"/>
        </w:rPr>
        <w:t xml:space="preserve">avait été </w:t>
      </w:r>
      <w:r w:rsidRPr="003B70C5">
        <w:rPr>
          <w:sz w:val="20"/>
        </w:rPr>
        <w:t>mis à disposition à titre gracieux pendant une période de lancement jusqu</w:t>
      </w:r>
      <w:r w:rsidR="002B0172" w:rsidRPr="003B70C5">
        <w:rPr>
          <w:sz w:val="20"/>
        </w:rPr>
        <w:t>’</w:t>
      </w:r>
      <w:r w:rsidRPr="003B70C5">
        <w:rPr>
          <w:sz w:val="20"/>
        </w:rPr>
        <w:t>au 31 </w:t>
      </w:r>
      <w:r w:rsidR="002B0172" w:rsidRPr="003B70C5">
        <w:rPr>
          <w:sz w:val="20"/>
        </w:rPr>
        <w:t>décembre 20</w:t>
      </w:r>
      <w:r w:rsidRPr="003B70C5">
        <w:rPr>
          <w:sz w:val="20"/>
        </w:rPr>
        <w:t xml:space="preserve">19. </w:t>
      </w:r>
      <w:r w:rsidR="00E2280F" w:rsidRPr="003B70C5">
        <w:rPr>
          <w:sz w:val="20"/>
        </w:rPr>
        <w:t xml:space="preserve"> </w:t>
      </w:r>
      <w:r w:rsidRPr="003B70C5">
        <w:rPr>
          <w:sz w:val="20"/>
        </w:rPr>
        <w:t>À sa cinquante</w:t>
      </w:r>
      <w:r w:rsidR="002B0172" w:rsidRPr="003B70C5">
        <w:rPr>
          <w:sz w:val="20"/>
        </w:rPr>
        <w:t>-</w:t>
      </w:r>
      <w:r w:rsidRPr="003B70C5">
        <w:rPr>
          <w:sz w:val="20"/>
        </w:rPr>
        <w:t>trois</w:t>
      </w:r>
      <w:r w:rsidR="002B0172" w:rsidRPr="003B70C5">
        <w:rPr>
          <w:sz w:val="20"/>
        </w:rPr>
        <w:t>ième session</w:t>
      </w:r>
      <w:r w:rsidRPr="003B70C5">
        <w:rPr>
          <w:sz w:val="20"/>
        </w:rPr>
        <w:t xml:space="preserve"> ordinaire, le Conseil de l</w:t>
      </w:r>
      <w:r w:rsidR="002B0172" w:rsidRPr="003B70C5">
        <w:rPr>
          <w:sz w:val="20"/>
        </w:rPr>
        <w:t>’</w:t>
      </w:r>
      <w:r w:rsidRPr="003B70C5">
        <w:rPr>
          <w:sz w:val="20"/>
        </w:rPr>
        <w:t>UPOV a décidé d</w:t>
      </w:r>
      <w:r w:rsidR="002B0172" w:rsidRPr="003B70C5">
        <w:rPr>
          <w:sz w:val="20"/>
        </w:rPr>
        <w:t>’</w:t>
      </w:r>
      <w:r w:rsidRPr="003B70C5">
        <w:rPr>
          <w:sz w:val="20"/>
        </w:rPr>
        <w:t xml:space="preserve">introduire une taxe </w:t>
      </w:r>
      <w:r w:rsidR="0063233A">
        <w:rPr>
          <w:sz w:val="20"/>
        </w:rPr>
        <w:t>UPOV PRISMA</w:t>
      </w:r>
      <w:r w:rsidRPr="003B70C5">
        <w:rPr>
          <w:sz w:val="20"/>
        </w:rPr>
        <w:t xml:space="preserve"> par demande d</w:t>
      </w:r>
      <w:r w:rsidR="002B0172" w:rsidRPr="003B70C5">
        <w:rPr>
          <w:sz w:val="20"/>
        </w:rPr>
        <w:t>’</w:t>
      </w:r>
      <w:r w:rsidRPr="003B70C5">
        <w:rPr>
          <w:sz w:val="20"/>
        </w:rPr>
        <w:t xml:space="preserve">un montant de 90 francs suisses à compter de </w:t>
      </w:r>
      <w:r w:rsidR="002B0172" w:rsidRPr="003B70C5">
        <w:rPr>
          <w:sz w:val="20"/>
        </w:rPr>
        <w:t>janvier 20</w:t>
      </w:r>
      <w:r w:rsidRPr="003B70C5">
        <w:rPr>
          <w:sz w:val="20"/>
        </w:rPr>
        <w:t xml:space="preserve">20. </w:t>
      </w:r>
      <w:r w:rsidR="00E2280F" w:rsidRPr="003B70C5">
        <w:rPr>
          <w:sz w:val="20"/>
        </w:rPr>
        <w:t xml:space="preserve"> </w:t>
      </w:r>
      <w:r w:rsidRPr="003B70C5">
        <w:rPr>
          <w:sz w:val="20"/>
        </w:rPr>
        <w:t xml:space="preserve">Les recettes comptabilisées au titre des taxes </w:t>
      </w:r>
      <w:r w:rsidR="0063233A">
        <w:rPr>
          <w:sz w:val="20"/>
        </w:rPr>
        <w:t>UPOV PRISMA</w:t>
      </w:r>
      <w:r w:rsidRPr="003B70C5">
        <w:rPr>
          <w:sz w:val="20"/>
        </w:rPr>
        <w:t xml:space="preserve"> représentent 124 650 francs suisses </w:t>
      </w:r>
      <w:r w:rsidR="002B0172" w:rsidRPr="003B70C5">
        <w:rPr>
          <w:sz w:val="20"/>
        </w:rPr>
        <w:t>pour 2025</w:t>
      </w:r>
      <w:r w:rsidRPr="003B70C5">
        <w:rPr>
          <w:sz w:val="20"/>
        </w:rPr>
        <w:t xml:space="preserve"> (134 190 francs suisses </w:t>
      </w:r>
      <w:r w:rsidR="002B0172" w:rsidRPr="003B70C5">
        <w:rPr>
          <w:sz w:val="20"/>
        </w:rPr>
        <w:t>pour 2024</w:t>
      </w:r>
      <w:r w:rsidRPr="003B70C5">
        <w:rPr>
          <w:sz w:val="20"/>
        </w:rPr>
        <w:t>), soit 3,1% du total des recettes de l</w:t>
      </w:r>
      <w:r w:rsidR="002B0172" w:rsidRPr="003B70C5">
        <w:rPr>
          <w:sz w:val="20"/>
        </w:rPr>
        <w:t>’</w:t>
      </w:r>
      <w:r w:rsidRPr="003B70C5">
        <w:rPr>
          <w:sz w:val="20"/>
        </w:rPr>
        <w:t>UPOV pour l</w:t>
      </w:r>
      <w:r w:rsidR="002B0172" w:rsidRPr="003B70C5">
        <w:rPr>
          <w:sz w:val="20"/>
        </w:rPr>
        <w:t>’</w:t>
      </w:r>
      <w:r w:rsidRPr="003B70C5">
        <w:rPr>
          <w:sz w:val="20"/>
        </w:rPr>
        <w:t>ann</w:t>
      </w:r>
      <w:r w:rsidR="00D076B0" w:rsidRPr="003B70C5">
        <w:rPr>
          <w:sz w:val="20"/>
        </w:rPr>
        <w:t xml:space="preserve">ée.  À </w:t>
      </w:r>
      <w:r w:rsidRPr="003B70C5">
        <w:rPr>
          <w:sz w:val="20"/>
        </w:rPr>
        <w:t xml:space="preserve">compter </w:t>
      </w:r>
      <w:r w:rsidR="002B0172" w:rsidRPr="003B70C5">
        <w:rPr>
          <w:sz w:val="20"/>
        </w:rPr>
        <w:t>de 2024</w:t>
      </w:r>
      <w:r w:rsidRPr="003B70C5">
        <w:rPr>
          <w:sz w:val="20"/>
        </w:rPr>
        <w:t>, les membres de l</w:t>
      </w:r>
      <w:r w:rsidR="002B0172" w:rsidRPr="003B70C5">
        <w:rPr>
          <w:sz w:val="20"/>
        </w:rPr>
        <w:t>’</w:t>
      </w:r>
      <w:r w:rsidRPr="003B70C5">
        <w:rPr>
          <w:sz w:val="20"/>
        </w:rPr>
        <w:t>UPOV sont convenus que, lorsqu</w:t>
      </w:r>
      <w:r w:rsidR="002B0172" w:rsidRPr="003B70C5">
        <w:rPr>
          <w:sz w:val="20"/>
        </w:rPr>
        <w:t>’</w:t>
      </w:r>
      <w:r w:rsidRPr="003B70C5">
        <w:rPr>
          <w:sz w:val="20"/>
        </w:rPr>
        <w:t>une variété fait à la fois l</w:t>
      </w:r>
      <w:r w:rsidR="002B0172" w:rsidRPr="003B70C5">
        <w:rPr>
          <w:sz w:val="20"/>
        </w:rPr>
        <w:t>’</w:t>
      </w:r>
      <w:r w:rsidRPr="003B70C5">
        <w:rPr>
          <w:sz w:val="20"/>
        </w:rPr>
        <w:t>objet d</w:t>
      </w:r>
      <w:r w:rsidR="002B0172" w:rsidRPr="003B70C5">
        <w:rPr>
          <w:sz w:val="20"/>
        </w:rPr>
        <w:t>’</w:t>
      </w:r>
      <w:r w:rsidRPr="003B70C5">
        <w:rPr>
          <w:sz w:val="20"/>
        </w:rPr>
        <w:t>une demande d</w:t>
      </w:r>
      <w:r w:rsidR="002B0172" w:rsidRPr="003B70C5">
        <w:rPr>
          <w:sz w:val="20"/>
        </w:rPr>
        <w:t>’</w:t>
      </w:r>
      <w:r w:rsidRPr="003B70C5">
        <w:rPr>
          <w:sz w:val="20"/>
        </w:rPr>
        <w:t>octroi de droits d</w:t>
      </w:r>
      <w:r w:rsidR="002B0172" w:rsidRPr="003B70C5">
        <w:rPr>
          <w:sz w:val="20"/>
        </w:rPr>
        <w:t>’</w:t>
      </w:r>
      <w:r w:rsidRPr="003B70C5">
        <w:rPr>
          <w:sz w:val="20"/>
        </w:rPr>
        <w:t>obtenteur et d</w:t>
      </w:r>
      <w:r w:rsidR="002B0172" w:rsidRPr="003B70C5">
        <w:rPr>
          <w:sz w:val="20"/>
        </w:rPr>
        <w:t>’</w:t>
      </w:r>
      <w:r w:rsidRPr="003B70C5">
        <w:rPr>
          <w:sz w:val="20"/>
        </w:rPr>
        <w:t>une demande d</w:t>
      </w:r>
      <w:r w:rsidR="002B0172" w:rsidRPr="003B70C5">
        <w:rPr>
          <w:sz w:val="20"/>
        </w:rPr>
        <w:t>’</w:t>
      </w:r>
      <w:r w:rsidRPr="003B70C5">
        <w:rPr>
          <w:sz w:val="20"/>
        </w:rPr>
        <w:t>inscription au répertoire national par le même membre participant de l</w:t>
      </w:r>
      <w:r w:rsidR="002B0172" w:rsidRPr="003B70C5">
        <w:rPr>
          <w:sz w:val="20"/>
        </w:rPr>
        <w:t>’</w:t>
      </w:r>
      <w:r w:rsidRPr="003B70C5">
        <w:rPr>
          <w:sz w:val="20"/>
        </w:rPr>
        <w:t xml:space="preserve">Union, une taxe unique soit perçue à la date de la première demande </w:t>
      </w:r>
      <w:r w:rsidRPr="003B70C5">
        <w:rPr>
          <w:sz w:val="20"/>
        </w:rPr>
        <w:lastRenderedPageBreak/>
        <w:t>déposée concernant cette varié</w:t>
      </w:r>
      <w:r w:rsidR="00D076B0" w:rsidRPr="003B70C5">
        <w:rPr>
          <w:sz w:val="20"/>
        </w:rPr>
        <w:t>té.  Le</w:t>
      </w:r>
      <w:r w:rsidRPr="003B70C5">
        <w:rPr>
          <w:sz w:val="20"/>
        </w:rPr>
        <w:t xml:space="preserve"> nombre de demandes payantes déposées par l</w:t>
      </w:r>
      <w:r w:rsidR="002B0172" w:rsidRPr="003B70C5">
        <w:rPr>
          <w:sz w:val="20"/>
        </w:rPr>
        <w:t>’</w:t>
      </w:r>
      <w:r w:rsidRPr="003B70C5">
        <w:rPr>
          <w:sz w:val="20"/>
        </w:rPr>
        <w:t xml:space="preserve">intermédiaire </w:t>
      </w:r>
      <w:r w:rsidRPr="00C80E3D">
        <w:rPr>
          <w:spacing w:val="-2"/>
          <w:sz w:val="20"/>
        </w:rPr>
        <w:t>d</w:t>
      </w:r>
      <w:r w:rsidR="002B0172" w:rsidRPr="00C80E3D">
        <w:rPr>
          <w:spacing w:val="-2"/>
          <w:sz w:val="20"/>
        </w:rPr>
        <w:t>’</w:t>
      </w:r>
      <w:r w:rsidR="0063233A" w:rsidRPr="00C80E3D">
        <w:rPr>
          <w:spacing w:val="-2"/>
          <w:sz w:val="20"/>
        </w:rPr>
        <w:t>UPOV PRISMA</w:t>
      </w:r>
      <w:r w:rsidRPr="00C80E3D">
        <w:rPr>
          <w:spacing w:val="-2"/>
          <w:sz w:val="20"/>
        </w:rPr>
        <w:t xml:space="preserve"> a diminué de 7,1% </w:t>
      </w:r>
      <w:r w:rsidR="002B0172" w:rsidRPr="00C80E3D">
        <w:rPr>
          <w:spacing w:val="-2"/>
          <w:sz w:val="20"/>
        </w:rPr>
        <w:t>en 2025</w:t>
      </w:r>
      <w:r w:rsidRPr="00C80E3D">
        <w:rPr>
          <w:spacing w:val="-2"/>
          <w:sz w:val="20"/>
        </w:rPr>
        <w:t xml:space="preserve"> (1 385 demandes payantes </w:t>
      </w:r>
      <w:r w:rsidR="002B0172" w:rsidRPr="00C80E3D">
        <w:rPr>
          <w:spacing w:val="-2"/>
          <w:sz w:val="20"/>
        </w:rPr>
        <w:t>en 2025</w:t>
      </w:r>
      <w:r w:rsidRPr="00C80E3D">
        <w:rPr>
          <w:spacing w:val="-2"/>
          <w:sz w:val="20"/>
        </w:rPr>
        <w:t xml:space="preserve"> contre 1 491 </w:t>
      </w:r>
      <w:r w:rsidR="002B0172" w:rsidRPr="00C80E3D">
        <w:rPr>
          <w:spacing w:val="-2"/>
          <w:sz w:val="20"/>
        </w:rPr>
        <w:t>en 2024</w:t>
      </w:r>
      <w:r w:rsidRPr="00C80E3D">
        <w:rPr>
          <w:spacing w:val="-2"/>
          <w:sz w:val="20"/>
        </w:rPr>
        <w:t>).</w:t>
      </w:r>
    </w:p>
    <w:p w14:paraId="59B10868" w14:textId="77777777" w:rsidR="000C336F" w:rsidRPr="003B70C5" w:rsidRDefault="000C336F" w:rsidP="000C336F">
      <w:pPr>
        <w:rPr>
          <w:rFonts w:cs="Arial"/>
        </w:rPr>
      </w:pPr>
    </w:p>
    <w:p w14:paraId="779C61A9" w14:textId="43BCB1FC" w:rsidR="000C336F" w:rsidRPr="003B70C5" w:rsidRDefault="000C336F" w:rsidP="000C336F">
      <w:pPr>
        <w:pStyle w:val="ListParagraph"/>
        <w:numPr>
          <w:ilvl w:val="0"/>
          <w:numId w:val="7"/>
        </w:numPr>
        <w:jc w:val="both"/>
        <w:rPr>
          <w:sz w:val="20"/>
        </w:rPr>
      </w:pPr>
      <w:r w:rsidRPr="003B70C5">
        <w:rPr>
          <w:sz w:val="20"/>
        </w:rPr>
        <w:t>Les dépenses de personnel s</w:t>
      </w:r>
      <w:r w:rsidR="002B0172" w:rsidRPr="003B70C5">
        <w:rPr>
          <w:sz w:val="20"/>
        </w:rPr>
        <w:t>’</w:t>
      </w:r>
      <w:r w:rsidRPr="003B70C5">
        <w:rPr>
          <w:sz w:val="20"/>
        </w:rPr>
        <w:t xml:space="preserve">élevant à 2 581 550 francs suisses représentent 62,4% des dépenses totales, soit 4 135 986 francs suisses </w:t>
      </w:r>
      <w:r w:rsidR="002B0172" w:rsidRPr="003B70C5">
        <w:rPr>
          <w:sz w:val="20"/>
        </w:rPr>
        <w:t>pour 2025</w:t>
      </w:r>
      <w:r w:rsidRPr="003B70C5">
        <w:rPr>
          <w:sz w:val="20"/>
        </w:rPr>
        <w:t xml:space="preserve">. </w:t>
      </w:r>
      <w:r w:rsidR="00E2280F" w:rsidRPr="003B70C5">
        <w:rPr>
          <w:sz w:val="20"/>
        </w:rPr>
        <w:t xml:space="preserve"> </w:t>
      </w:r>
      <w:r w:rsidRPr="003B70C5">
        <w:rPr>
          <w:sz w:val="20"/>
        </w:rPr>
        <w:t>Ces dépenses ont augmenté de 282</w:t>
      </w:r>
      <w:r w:rsidR="00E2280F" w:rsidRPr="003B70C5">
        <w:rPr>
          <w:sz w:val="20"/>
        </w:rPr>
        <w:t> </w:t>
      </w:r>
      <w:r w:rsidRPr="003B70C5">
        <w:rPr>
          <w:sz w:val="20"/>
        </w:rPr>
        <w:t>064 francs suisses par rapport au montant de 2</w:t>
      </w:r>
      <w:r w:rsidR="00E2280F" w:rsidRPr="003B70C5">
        <w:rPr>
          <w:sz w:val="20"/>
        </w:rPr>
        <w:t> </w:t>
      </w:r>
      <w:r w:rsidRPr="003B70C5">
        <w:rPr>
          <w:sz w:val="20"/>
        </w:rPr>
        <w:t>299</w:t>
      </w:r>
      <w:r w:rsidR="00E2280F" w:rsidRPr="003B70C5">
        <w:rPr>
          <w:sz w:val="20"/>
        </w:rPr>
        <w:t> </w:t>
      </w:r>
      <w:r w:rsidRPr="003B70C5">
        <w:rPr>
          <w:sz w:val="20"/>
        </w:rPr>
        <w:t xml:space="preserve">485 francs suisses enregistré </w:t>
      </w:r>
      <w:r w:rsidR="002B0172" w:rsidRPr="003B70C5">
        <w:rPr>
          <w:sz w:val="20"/>
        </w:rPr>
        <w:t>en 2024</w:t>
      </w:r>
      <w:r w:rsidRPr="003B70C5">
        <w:rPr>
          <w:sz w:val="20"/>
        </w:rPr>
        <w:t>, en raison de la hausse des coûts des traitements et des ajustements de poste liés au pourvoi de postes vacants et au recrutement d</w:t>
      </w:r>
      <w:r w:rsidR="002B0172" w:rsidRPr="003B70C5">
        <w:rPr>
          <w:sz w:val="20"/>
        </w:rPr>
        <w:t>’</w:t>
      </w:r>
      <w:r w:rsidRPr="003B70C5">
        <w:rPr>
          <w:sz w:val="20"/>
        </w:rPr>
        <w:t>un administrateur auxiliaire par rapport à 2024.</w:t>
      </w:r>
    </w:p>
    <w:p w14:paraId="455B7A91" w14:textId="77777777" w:rsidR="000C336F" w:rsidRPr="003B70C5" w:rsidRDefault="000C336F" w:rsidP="000C336F">
      <w:bookmarkStart w:id="10" w:name="_Toc84329884"/>
    </w:p>
    <w:p w14:paraId="6179F559" w14:textId="666D17CC" w:rsidR="000C336F" w:rsidRPr="003B70C5" w:rsidRDefault="000C336F" w:rsidP="000C336F">
      <w:pPr>
        <w:pStyle w:val="ListParagraph"/>
        <w:numPr>
          <w:ilvl w:val="0"/>
          <w:numId w:val="7"/>
        </w:numPr>
        <w:jc w:val="both"/>
        <w:rPr>
          <w:sz w:val="20"/>
        </w:rPr>
      </w:pPr>
      <w:r w:rsidRPr="003B70C5">
        <w:rPr>
          <w:sz w:val="20"/>
        </w:rPr>
        <w:t xml:space="preserve">Les dépenses au titre des voyages, formations et indemnités ont fortement diminué </w:t>
      </w:r>
      <w:r w:rsidR="002B0172" w:rsidRPr="003B70C5">
        <w:rPr>
          <w:sz w:val="20"/>
        </w:rPr>
        <w:t>en 2025</w:t>
      </w:r>
      <w:r w:rsidRPr="003B70C5">
        <w:rPr>
          <w:sz w:val="20"/>
        </w:rPr>
        <w:t xml:space="preserve">, représentant 84 141 francs suisses </w:t>
      </w:r>
      <w:r w:rsidR="002B0172" w:rsidRPr="003B70C5">
        <w:rPr>
          <w:sz w:val="20"/>
        </w:rPr>
        <w:t>en 2025</w:t>
      </w:r>
      <w:r w:rsidRPr="003B70C5">
        <w:rPr>
          <w:sz w:val="20"/>
        </w:rPr>
        <w:t xml:space="preserve">, contre 234 565 francs suisses </w:t>
      </w:r>
      <w:r w:rsidR="002B0172" w:rsidRPr="003B70C5">
        <w:rPr>
          <w:sz w:val="20"/>
        </w:rPr>
        <w:t>en 2024</w:t>
      </w:r>
      <w:r w:rsidRPr="003B70C5">
        <w:rPr>
          <w:sz w:val="20"/>
        </w:rPr>
        <w:t xml:space="preserve">. </w:t>
      </w:r>
      <w:r w:rsidR="00E2280F" w:rsidRPr="003B70C5">
        <w:rPr>
          <w:sz w:val="20"/>
        </w:rPr>
        <w:t xml:space="preserve"> </w:t>
      </w:r>
      <w:r w:rsidRPr="003B70C5">
        <w:rPr>
          <w:sz w:val="20"/>
        </w:rPr>
        <w:t>Les frais de mission des fonctionnaires sont restés stables (62</w:t>
      </w:r>
      <w:r w:rsidR="00E2280F" w:rsidRPr="003B70C5">
        <w:rPr>
          <w:sz w:val="20"/>
        </w:rPr>
        <w:t> </w:t>
      </w:r>
      <w:r w:rsidRPr="003B70C5">
        <w:rPr>
          <w:sz w:val="20"/>
        </w:rPr>
        <w:t xml:space="preserve">207 francs suisses </w:t>
      </w:r>
      <w:r w:rsidR="002B0172" w:rsidRPr="003B70C5">
        <w:rPr>
          <w:sz w:val="20"/>
        </w:rPr>
        <w:t>en 2025</w:t>
      </w:r>
      <w:r w:rsidRPr="003B70C5">
        <w:rPr>
          <w:sz w:val="20"/>
        </w:rPr>
        <w:t xml:space="preserve"> contre 57</w:t>
      </w:r>
      <w:r w:rsidR="00E2280F" w:rsidRPr="003B70C5">
        <w:rPr>
          <w:sz w:val="20"/>
        </w:rPr>
        <w:t> </w:t>
      </w:r>
      <w:r w:rsidRPr="003B70C5">
        <w:rPr>
          <w:sz w:val="20"/>
        </w:rPr>
        <w:t xml:space="preserve">618 francs suisses </w:t>
      </w:r>
      <w:r w:rsidR="002B0172" w:rsidRPr="003B70C5">
        <w:rPr>
          <w:sz w:val="20"/>
        </w:rPr>
        <w:t>en 2024</w:t>
      </w:r>
      <w:r w:rsidRPr="003B70C5">
        <w:rPr>
          <w:sz w:val="20"/>
        </w:rPr>
        <w:t>), tandis que les coûts liés aux voyages des tiers ont été nettement inférieurs à ceux de l</w:t>
      </w:r>
      <w:r w:rsidR="002B0172" w:rsidRPr="003B70C5">
        <w:rPr>
          <w:sz w:val="20"/>
        </w:rPr>
        <w:t>’</w:t>
      </w:r>
      <w:r w:rsidRPr="003B70C5">
        <w:rPr>
          <w:sz w:val="20"/>
        </w:rPr>
        <w:t>année précédente (21</w:t>
      </w:r>
      <w:r w:rsidR="00E2280F" w:rsidRPr="003B70C5">
        <w:rPr>
          <w:sz w:val="20"/>
        </w:rPr>
        <w:t> </w:t>
      </w:r>
      <w:r w:rsidRPr="003B70C5">
        <w:rPr>
          <w:sz w:val="20"/>
        </w:rPr>
        <w:t xml:space="preserve">934 francs suisses </w:t>
      </w:r>
      <w:r w:rsidR="002B0172" w:rsidRPr="003B70C5">
        <w:rPr>
          <w:sz w:val="20"/>
        </w:rPr>
        <w:t>en 2025</w:t>
      </w:r>
      <w:r w:rsidRPr="003B70C5">
        <w:rPr>
          <w:sz w:val="20"/>
        </w:rPr>
        <w:t xml:space="preserve"> contre 176</w:t>
      </w:r>
      <w:r w:rsidR="00E2280F" w:rsidRPr="003B70C5">
        <w:rPr>
          <w:sz w:val="20"/>
        </w:rPr>
        <w:t> </w:t>
      </w:r>
      <w:r w:rsidRPr="003B70C5">
        <w:rPr>
          <w:sz w:val="20"/>
        </w:rPr>
        <w:t xml:space="preserve">946 francs suisses </w:t>
      </w:r>
      <w:r w:rsidR="002B0172" w:rsidRPr="003B70C5">
        <w:rPr>
          <w:sz w:val="20"/>
        </w:rPr>
        <w:t>en 2024</w:t>
      </w:r>
      <w:r w:rsidRPr="003B70C5">
        <w:rPr>
          <w:sz w:val="20"/>
        </w:rPr>
        <w:t>).  Cette évolution s</w:t>
      </w:r>
      <w:r w:rsidR="002B0172" w:rsidRPr="003B70C5">
        <w:rPr>
          <w:sz w:val="20"/>
        </w:rPr>
        <w:t>’</w:t>
      </w:r>
      <w:r w:rsidRPr="003B70C5">
        <w:rPr>
          <w:sz w:val="20"/>
        </w:rPr>
        <w:t>explique par deux</w:t>
      </w:r>
      <w:r w:rsidR="00E2280F" w:rsidRPr="003B70C5">
        <w:rPr>
          <w:sz w:val="20"/>
        </w:rPr>
        <w:t> </w:t>
      </w:r>
      <w:r w:rsidRPr="003B70C5">
        <w:rPr>
          <w:sz w:val="20"/>
        </w:rPr>
        <w:t xml:space="preserve">événements organisés </w:t>
      </w:r>
      <w:r w:rsidR="002B0172" w:rsidRPr="003B70C5">
        <w:rPr>
          <w:sz w:val="20"/>
        </w:rPr>
        <w:t>en 2024</w:t>
      </w:r>
      <w:r w:rsidRPr="003B70C5">
        <w:rPr>
          <w:sz w:val="20"/>
        </w:rPr>
        <w:t xml:space="preserve"> avec le soutien du Fonds fiduciaire géré conjointement avec l</w:t>
      </w:r>
      <w:r w:rsidR="002B0172" w:rsidRPr="003B70C5">
        <w:rPr>
          <w:sz w:val="20"/>
        </w:rPr>
        <w:t>’</w:t>
      </w:r>
      <w:r w:rsidRPr="003B70C5">
        <w:rPr>
          <w:sz w:val="20"/>
        </w:rPr>
        <w:t>USPTO</w:t>
      </w:r>
      <w:r w:rsidR="002B0172" w:rsidRPr="003B70C5">
        <w:rPr>
          <w:sz w:val="20"/>
        </w:rPr>
        <w:t> :</w:t>
      </w:r>
      <w:r w:rsidRPr="003B70C5">
        <w:rPr>
          <w:sz w:val="20"/>
        </w:rPr>
        <w:t xml:space="preserve"> un programme à l</w:t>
      </w:r>
      <w:r w:rsidR="002B0172" w:rsidRPr="003B70C5">
        <w:rPr>
          <w:sz w:val="20"/>
        </w:rPr>
        <w:t>’</w:t>
      </w:r>
      <w:r w:rsidRPr="003B70C5">
        <w:rPr>
          <w:sz w:val="20"/>
        </w:rPr>
        <w:t>intention des cadres axé sur la protection des obtentions végétales pour le développement de l</w:t>
      </w:r>
      <w:r w:rsidR="002B0172" w:rsidRPr="003B70C5">
        <w:rPr>
          <w:sz w:val="20"/>
        </w:rPr>
        <w:t>’</w:t>
      </w:r>
      <w:r w:rsidRPr="003B70C5">
        <w:rPr>
          <w:sz w:val="20"/>
        </w:rPr>
        <w:t>agriculture et un atelier régional sur la protection des droits d</w:t>
      </w:r>
      <w:r w:rsidR="002B0172" w:rsidRPr="003B70C5">
        <w:rPr>
          <w:sz w:val="20"/>
        </w:rPr>
        <w:t>’</w:t>
      </w:r>
      <w:r w:rsidRPr="003B70C5">
        <w:rPr>
          <w:sz w:val="20"/>
        </w:rPr>
        <w:t>obtenteur à l</w:t>
      </w:r>
      <w:r w:rsidR="002B0172" w:rsidRPr="003B70C5">
        <w:rPr>
          <w:sz w:val="20"/>
        </w:rPr>
        <w:t>’</w:t>
      </w:r>
      <w:r w:rsidRPr="003B70C5">
        <w:rPr>
          <w:sz w:val="20"/>
        </w:rPr>
        <w:t>intention des États membres de l</w:t>
      </w:r>
      <w:r w:rsidR="002B0172" w:rsidRPr="003B70C5">
        <w:rPr>
          <w:sz w:val="20"/>
        </w:rPr>
        <w:t>’</w:t>
      </w:r>
      <w:r w:rsidRPr="003B70C5">
        <w:rPr>
          <w:sz w:val="20"/>
        </w:rPr>
        <w:t>AR</w:t>
      </w:r>
      <w:r w:rsidR="00D076B0" w:rsidRPr="003B70C5">
        <w:rPr>
          <w:sz w:val="20"/>
        </w:rPr>
        <w:t>IPO.  Le</w:t>
      </w:r>
      <w:r w:rsidRPr="003B70C5">
        <w:rPr>
          <w:sz w:val="20"/>
        </w:rPr>
        <w:t>s programmes correspondants n</w:t>
      </w:r>
      <w:r w:rsidR="002B0172" w:rsidRPr="003B70C5">
        <w:rPr>
          <w:sz w:val="20"/>
        </w:rPr>
        <w:t>’</w:t>
      </w:r>
      <w:r w:rsidRPr="003B70C5">
        <w:rPr>
          <w:sz w:val="20"/>
        </w:rPr>
        <w:t xml:space="preserve">ont pas été organisés </w:t>
      </w:r>
      <w:r w:rsidR="002B0172" w:rsidRPr="003B70C5">
        <w:rPr>
          <w:sz w:val="20"/>
        </w:rPr>
        <w:t>en 2025</w:t>
      </w:r>
      <w:r w:rsidRPr="003B70C5">
        <w:rPr>
          <w:sz w:val="20"/>
        </w:rPr>
        <w:t>, car la contribution volontaire de l</w:t>
      </w:r>
      <w:r w:rsidR="002B0172" w:rsidRPr="003B70C5">
        <w:rPr>
          <w:sz w:val="20"/>
        </w:rPr>
        <w:t>’</w:t>
      </w:r>
      <w:r w:rsidRPr="003B70C5">
        <w:rPr>
          <w:sz w:val="20"/>
        </w:rPr>
        <w:t xml:space="preserve">USPTO pour </w:t>
      </w:r>
      <w:r w:rsidR="00104407">
        <w:rPr>
          <w:sz w:val="20"/>
        </w:rPr>
        <w:t>2025</w:t>
      </w:r>
      <w:r w:rsidRPr="003B70C5">
        <w:rPr>
          <w:sz w:val="20"/>
        </w:rPr>
        <w:t xml:space="preserve"> n</w:t>
      </w:r>
      <w:r w:rsidR="002B0172" w:rsidRPr="003B70C5">
        <w:rPr>
          <w:sz w:val="20"/>
        </w:rPr>
        <w:t>’</w:t>
      </w:r>
      <w:r w:rsidRPr="003B70C5">
        <w:rPr>
          <w:sz w:val="20"/>
        </w:rPr>
        <w:t>a pas été versée comme prévu.</w:t>
      </w:r>
    </w:p>
    <w:p w14:paraId="1EC64E05" w14:textId="77777777" w:rsidR="000C336F" w:rsidRPr="003B70C5" w:rsidRDefault="000C336F" w:rsidP="000C336F"/>
    <w:p w14:paraId="38ABE4DE" w14:textId="6F571B07" w:rsidR="000C336F" w:rsidRPr="003B70C5" w:rsidRDefault="000C336F" w:rsidP="000C336F">
      <w:pPr>
        <w:pStyle w:val="ListParagraph"/>
        <w:numPr>
          <w:ilvl w:val="0"/>
          <w:numId w:val="7"/>
        </w:numPr>
        <w:jc w:val="both"/>
        <w:rPr>
          <w:b/>
          <w:sz w:val="20"/>
        </w:rPr>
      </w:pPr>
      <w:r w:rsidRPr="003B70C5">
        <w:rPr>
          <w:sz w:val="20"/>
        </w:rPr>
        <w:t>Les services contractuels s</w:t>
      </w:r>
      <w:r w:rsidR="002B0172" w:rsidRPr="003B70C5">
        <w:rPr>
          <w:sz w:val="20"/>
        </w:rPr>
        <w:t>’</w:t>
      </w:r>
      <w:r w:rsidRPr="003B70C5">
        <w:rPr>
          <w:sz w:val="20"/>
        </w:rPr>
        <w:t>élevant à 830 834 francs suisses représentent 20,1% des dépenses totales de l</w:t>
      </w:r>
      <w:r w:rsidR="002B0172" w:rsidRPr="003B70C5">
        <w:rPr>
          <w:sz w:val="20"/>
        </w:rPr>
        <w:t>’</w:t>
      </w:r>
      <w:r w:rsidRPr="003B70C5">
        <w:rPr>
          <w:sz w:val="20"/>
        </w:rPr>
        <w:t xml:space="preserve">UPOV </w:t>
      </w:r>
      <w:r w:rsidR="002B0172" w:rsidRPr="003B70C5">
        <w:rPr>
          <w:sz w:val="20"/>
        </w:rPr>
        <w:t>pour 2025</w:t>
      </w:r>
      <w:r w:rsidRPr="003B70C5">
        <w:rPr>
          <w:sz w:val="20"/>
        </w:rPr>
        <w:t xml:space="preserve"> (contre 791 349 francs suisses </w:t>
      </w:r>
      <w:r w:rsidR="002B0172" w:rsidRPr="003B70C5">
        <w:rPr>
          <w:sz w:val="20"/>
        </w:rPr>
        <w:t>en 2024</w:t>
      </w:r>
      <w:r w:rsidRPr="003B70C5">
        <w:rPr>
          <w:sz w:val="20"/>
        </w:rPr>
        <w:t xml:space="preserve">). </w:t>
      </w:r>
      <w:r w:rsidR="00E2280F" w:rsidRPr="003B70C5">
        <w:rPr>
          <w:sz w:val="20"/>
        </w:rPr>
        <w:t xml:space="preserve"> </w:t>
      </w:r>
      <w:r w:rsidRPr="003B70C5">
        <w:rPr>
          <w:sz w:val="20"/>
        </w:rPr>
        <w:t>Cette augmentation par rapport à 2024 est principalement due aux travaux de maintenance et de développement des services UPOV</w:t>
      </w:r>
      <w:r w:rsidR="005A0524">
        <w:rPr>
          <w:sz w:val="20"/>
        </w:rPr>
        <w:t> </w:t>
      </w:r>
      <w:r w:rsidRPr="003B70C5">
        <w:rPr>
          <w:sz w:val="20"/>
        </w:rPr>
        <w:t>e</w:t>
      </w:r>
      <w:r w:rsidR="005A0524">
        <w:rPr>
          <w:sz w:val="20"/>
        </w:rPr>
        <w:noBreakHyphen/>
      </w:r>
      <w:r w:rsidRPr="003B70C5">
        <w:rPr>
          <w:sz w:val="20"/>
        </w:rPr>
        <w:t>PVP (</w:t>
      </w:r>
      <w:r w:rsidR="0063233A">
        <w:rPr>
          <w:sz w:val="20"/>
        </w:rPr>
        <w:t>UPOV PRISMA</w:t>
      </w:r>
      <w:r w:rsidRPr="003B70C5">
        <w:rPr>
          <w:sz w:val="20"/>
        </w:rPr>
        <w:t>, module d</w:t>
      </w:r>
      <w:r w:rsidR="002B0172" w:rsidRPr="003B70C5">
        <w:rPr>
          <w:sz w:val="20"/>
        </w:rPr>
        <w:t>’</w:t>
      </w:r>
      <w:r w:rsidRPr="003B70C5">
        <w:rPr>
          <w:sz w:val="20"/>
        </w:rPr>
        <w:t>échange de rapports d</w:t>
      </w:r>
      <w:r w:rsidR="002B0172" w:rsidRPr="003B70C5">
        <w:rPr>
          <w:sz w:val="20"/>
        </w:rPr>
        <w:t>’</w:t>
      </w:r>
      <w:r w:rsidRPr="003B70C5">
        <w:rPr>
          <w:sz w:val="20"/>
        </w:rPr>
        <w:t>examen</w:t>
      </w:r>
      <w:r w:rsidR="00E2280F" w:rsidRPr="003B70C5">
        <w:rPr>
          <w:sz w:val="20"/>
        </w:rPr>
        <w:t> </w:t>
      </w:r>
      <w:r w:rsidRPr="003B70C5">
        <w:rPr>
          <w:sz w:val="20"/>
        </w:rPr>
        <w:t>DHS et module d</w:t>
      </w:r>
      <w:r w:rsidR="002B0172" w:rsidRPr="003B70C5">
        <w:rPr>
          <w:sz w:val="20"/>
        </w:rPr>
        <w:t>’</w:t>
      </w:r>
      <w:r w:rsidRPr="003B70C5">
        <w:rPr>
          <w:sz w:val="20"/>
        </w:rPr>
        <w:t>administration), ainsi que par les travaux menés sur le site</w:t>
      </w:r>
      <w:r w:rsidR="00E2280F" w:rsidRPr="003B70C5">
        <w:rPr>
          <w:sz w:val="20"/>
        </w:rPr>
        <w:t> </w:t>
      </w:r>
      <w:r w:rsidRPr="003B70C5">
        <w:rPr>
          <w:sz w:val="20"/>
        </w:rPr>
        <w:t>Web de l</w:t>
      </w:r>
      <w:r w:rsidR="002B0172" w:rsidRPr="003B70C5">
        <w:rPr>
          <w:sz w:val="20"/>
        </w:rPr>
        <w:t>’</w:t>
      </w:r>
      <w:r w:rsidRPr="003B70C5">
        <w:rPr>
          <w:sz w:val="20"/>
        </w:rPr>
        <w:t>UPOV,</w:t>
      </w:r>
      <w:r w:rsidR="002B0172" w:rsidRPr="003B70C5">
        <w:rPr>
          <w:sz w:val="20"/>
        </w:rPr>
        <w:t xml:space="preserve"> les API</w:t>
      </w:r>
      <w:r w:rsidRPr="003B70C5">
        <w:rPr>
          <w:sz w:val="20"/>
        </w:rPr>
        <w:t xml:space="preserve"> de génération de documents pour les principes directeurs d</w:t>
      </w:r>
      <w:r w:rsidR="002B0172" w:rsidRPr="003B70C5">
        <w:rPr>
          <w:sz w:val="20"/>
        </w:rPr>
        <w:t>’</w:t>
      </w:r>
      <w:r w:rsidRPr="003B70C5">
        <w:rPr>
          <w:sz w:val="20"/>
        </w:rPr>
        <w:t>examen de l</w:t>
      </w:r>
      <w:r w:rsidR="002B0172" w:rsidRPr="003B70C5">
        <w:rPr>
          <w:sz w:val="20"/>
        </w:rPr>
        <w:t>’</w:t>
      </w:r>
      <w:r w:rsidRPr="003B70C5">
        <w:rPr>
          <w:sz w:val="20"/>
        </w:rPr>
        <w:t>UPOV (TG) et les tableaux de bord permettant d</w:t>
      </w:r>
      <w:r w:rsidR="002B0172" w:rsidRPr="003B70C5">
        <w:rPr>
          <w:sz w:val="20"/>
        </w:rPr>
        <w:t>’</w:t>
      </w:r>
      <w:r w:rsidRPr="003B70C5">
        <w:rPr>
          <w:sz w:val="20"/>
        </w:rPr>
        <w:t>extraire des données des bases de données PLUTO et GENIE afin de suivre et d</w:t>
      </w:r>
      <w:r w:rsidR="002B0172" w:rsidRPr="003B70C5">
        <w:rPr>
          <w:sz w:val="20"/>
        </w:rPr>
        <w:t>’</w:t>
      </w:r>
      <w:r w:rsidRPr="003B70C5">
        <w:rPr>
          <w:sz w:val="20"/>
        </w:rPr>
        <w:t>élaborer des indicateurs pour le rapport sur la performance de l</w:t>
      </w:r>
      <w:r w:rsidR="002B0172" w:rsidRPr="003B70C5">
        <w:rPr>
          <w:sz w:val="20"/>
        </w:rPr>
        <w:t>’</w:t>
      </w:r>
      <w:r w:rsidRPr="003B70C5">
        <w:rPr>
          <w:sz w:val="20"/>
        </w:rPr>
        <w:t>UPOV.</w:t>
      </w:r>
    </w:p>
    <w:p w14:paraId="537F2F86" w14:textId="77777777" w:rsidR="000C336F" w:rsidRPr="003B70C5" w:rsidRDefault="000C336F" w:rsidP="000C336F">
      <w:pPr>
        <w:rPr>
          <w:rFonts w:cs="Arial"/>
          <w:b/>
        </w:rPr>
      </w:pPr>
    </w:p>
    <w:p w14:paraId="514F0CAF" w14:textId="77777777" w:rsidR="000C336F" w:rsidRPr="003B70C5" w:rsidRDefault="000C336F" w:rsidP="004573AD">
      <w:pPr>
        <w:pStyle w:val="Heading2"/>
        <w:rPr>
          <w:rFonts w:cs="Arial"/>
        </w:rPr>
      </w:pPr>
      <w:bookmarkStart w:id="11" w:name="_Toc236922619"/>
      <w:r w:rsidRPr="003B70C5">
        <w:t>Situation financière</w:t>
      </w:r>
      <w:bookmarkEnd w:id="10"/>
      <w:bookmarkEnd w:id="11"/>
    </w:p>
    <w:p w14:paraId="60A669B8" w14:textId="77777777" w:rsidR="000C336F" w:rsidRPr="003B70C5" w:rsidRDefault="000C336F" w:rsidP="000C336F">
      <w:pPr>
        <w:ind w:left="567" w:hanging="567"/>
        <w:rPr>
          <w:rFonts w:cs="Arial"/>
        </w:rPr>
      </w:pPr>
    </w:p>
    <w:p w14:paraId="41EDD7E7" w14:textId="7A817E06" w:rsidR="002B0172" w:rsidRPr="003B70C5" w:rsidRDefault="000C336F" w:rsidP="000C336F">
      <w:pPr>
        <w:pStyle w:val="ListParagraph"/>
        <w:numPr>
          <w:ilvl w:val="0"/>
          <w:numId w:val="7"/>
        </w:numPr>
        <w:jc w:val="both"/>
        <w:rPr>
          <w:sz w:val="20"/>
        </w:rPr>
      </w:pPr>
      <w:r w:rsidRPr="003B70C5">
        <w:rPr>
          <w:sz w:val="20"/>
        </w:rPr>
        <w:t>L</w:t>
      </w:r>
      <w:r w:rsidR="002B0172" w:rsidRPr="003B70C5">
        <w:rPr>
          <w:sz w:val="20"/>
        </w:rPr>
        <w:t>’</w:t>
      </w:r>
      <w:r w:rsidRPr="003B70C5">
        <w:rPr>
          <w:sz w:val="20"/>
        </w:rPr>
        <w:t>UPOV présentait une position nette négative de 579 953 francs suisses au 31 </w:t>
      </w:r>
      <w:r w:rsidR="002B0172" w:rsidRPr="003B70C5">
        <w:rPr>
          <w:sz w:val="20"/>
        </w:rPr>
        <w:t>décembre 20</w:t>
      </w:r>
      <w:r w:rsidRPr="003B70C5">
        <w:rPr>
          <w:sz w:val="20"/>
        </w:rPr>
        <w:t xml:space="preserve">25, contre une position nette négative de 1 158 850 francs suisses à la fin </w:t>
      </w:r>
      <w:r w:rsidR="002B0172" w:rsidRPr="003B70C5">
        <w:rPr>
          <w:sz w:val="20"/>
        </w:rPr>
        <w:t>de 2024</w:t>
      </w:r>
      <w:r w:rsidRPr="003B70C5">
        <w:rPr>
          <w:sz w:val="20"/>
        </w:rPr>
        <w:t xml:space="preserve">. </w:t>
      </w:r>
      <w:r w:rsidR="00E2280F" w:rsidRPr="003B70C5">
        <w:rPr>
          <w:sz w:val="20"/>
        </w:rPr>
        <w:t xml:space="preserve"> </w:t>
      </w:r>
      <w:r w:rsidRPr="003B70C5">
        <w:rPr>
          <w:sz w:val="20"/>
        </w:rPr>
        <w:t>La réduction de la position nette négative est principalement due à des gains actuariels de 709 212 francs suisses, résultant de l</w:t>
      </w:r>
      <w:r w:rsidR="002B0172" w:rsidRPr="003B70C5">
        <w:rPr>
          <w:sz w:val="20"/>
        </w:rPr>
        <w:t>’</w:t>
      </w:r>
      <w:r w:rsidRPr="003B70C5">
        <w:rPr>
          <w:sz w:val="20"/>
        </w:rPr>
        <w:t>évaluation des engagements de l</w:t>
      </w:r>
      <w:r w:rsidR="002B0172" w:rsidRPr="003B70C5">
        <w:rPr>
          <w:sz w:val="20"/>
        </w:rPr>
        <w:t>’</w:t>
      </w:r>
      <w:r w:rsidRPr="003B70C5">
        <w:rPr>
          <w:sz w:val="20"/>
        </w:rPr>
        <w:t>UPOV au titre de l</w:t>
      </w:r>
      <w:r w:rsidR="002B0172" w:rsidRPr="003B70C5">
        <w:rPr>
          <w:sz w:val="20"/>
        </w:rPr>
        <w:t>’</w:t>
      </w:r>
      <w:r w:rsidRPr="003B70C5">
        <w:rPr>
          <w:sz w:val="20"/>
        </w:rPr>
        <w:t xml:space="preserve">assurance maladie après la cessation de service (AMCS). </w:t>
      </w:r>
      <w:r w:rsidR="00E2280F" w:rsidRPr="003B70C5">
        <w:rPr>
          <w:sz w:val="20"/>
        </w:rPr>
        <w:t xml:space="preserve"> </w:t>
      </w:r>
      <w:r w:rsidRPr="003B70C5">
        <w:rPr>
          <w:sz w:val="20"/>
        </w:rPr>
        <w:t>Ces gains sont partiellement compensés par le déficit de l</w:t>
      </w:r>
      <w:r w:rsidR="002B0172" w:rsidRPr="003B70C5">
        <w:rPr>
          <w:sz w:val="20"/>
        </w:rPr>
        <w:t>’</w:t>
      </w:r>
      <w:r w:rsidRPr="003B70C5">
        <w:rPr>
          <w:sz w:val="20"/>
        </w:rPr>
        <w:t>exercice, qui s</w:t>
      </w:r>
      <w:r w:rsidR="002B0172" w:rsidRPr="003B70C5">
        <w:rPr>
          <w:sz w:val="20"/>
        </w:rPr>
        <w:t>’</w:t>
      </w:r>
      <w:r w:rsidRPr="003B70C5">
        <w:rPr>
          <w:sz w:val="20"/>
        </w:rPr>
        <w:t>élève à 131 982 francs suiss</w:t>
      </w:r>
      <w:r w:rsidR="00D076B0" w:rsidRPr="003B70C5">
        <w:rPr>
          <w:sz w:val="20"/>
        </w:rPr>
        <w:t>es.  Le</w:t>
      </w:r>
      <w:r w:rsidRPr="003B70C5">
        <w:rPr>
          <w:sz w:val="20"/>
        </w:rPr>
        <w:t xml:space="preserve"> fonds de roulement a augmenté de 1 667 francs suisses, ce qui s</w:t>
      </w:r>
      <w:r w:rsidR="002B0172" w:rsidRPr="003B70C5">
        <w:rPr>
          <w:sz w:val="20"/>
        </w:rPr>
        <w:t>’</w:t>
      </w:r>
      <w:r w:rsidRPr="003B70C5">
        <w:rPr>
          <w:sz w:val="20"/>
        </w:rPr>
        <w:t>explique par un versement ponctuel consécutif à l</w:t>
      </w:r>
      <w:r w:rsidR="002B0172" w:rsidRPr="003B70C5">
        <w:rPr>
          <w:sz w:val="20"/>
        </w:rPr>
        <w:t>’</w:t>
      </w:r>
      <w:r w:rsidRPr="003B70C5">
        <w:rPr>
          <w:sz w:val="20"/>
        </w:rPr>
        <w:t>adhésion d</w:t>
      </w:r>
      <w:r w:rsidR="002B0172" w:rsidRPr="003B70C5">
        <w:rPr>
          <w:sz w:val="20"/>
        </w:rPr>
        <w:t>’</w:t>
      </w:r>
      <w:r w:rsidRPr="003B70C5">
        <w:rPr>
          <w:sz w:val="20"/>
        </w:rPr>
        <w:t>un nouveau pays membre de l</w:t>
      </w:r>
      <w:r w:rsidR="002B0172" w:rsidRPr="003B70C5">
        <w:rPr>
          <w:sz w:val="20"/>
        </w:rPr>
        <w:t>’</w:t>
      </w:r>
      <w:r w:rsidRPr="003B70C5">
        <w:rPr>
          <w:sz w:val="20"/>
        </w:rPr>
        <w:t>U</w:t>
      </w:r>
      <w:r w:rsidR="00D076B0" w:rsidRPr="003B70C5">
        <w:rPr>
          <w:sz w:val="20"/>
        </w:rPr>
        <w:t>POV.  La</w:t>
      </w:r>
      <w:r w:rsidRPr="003B70C5">
        <w:rPr>
          <w:sz w:val="20"/>
        </w:rPr>
        <w:t xml:space="preserve"> situation financière de l</w:t>
      </w:r>
      <w:r w:rsidR="002B0172" w:rsidRPr="003B70C5">
        <w:rPr>
          <w:sz w:val="20"/>
        </w:rPr>
        <w:t>’</w:t>
      </w:r>
      <w:r w:rsidRPr="003B70C5">
        <w:rPr>
          <w:sz w:val="20"/>
        </w:rPr>
        <w:t>UPOV par source de financement peut être récapitulée comme suit.</w:t>
      </w:r>
    </w:p>
    <w:p w14:paraId="0DF1D96A" w14:textId="630B41F2" w:rsidR="000C336F" w:rsidRPr="003B70C5" w:rsidRDefault="000C336F" w:rsidP="000C336F">
      <w:pPr>
        <w:autoSpaceDE w:val="0"/>
        <w:autoSpaceDN w:val="0"/>
        <w:adjustRightInd w:val="0"/>
        <w:rPr>
          <w:rFonts w:cs="Arial"/>
          <w:b/>
          <w:i/>
        </w:rPr>
      </w:pPr>
    </w:p>
    <w:p w14:paraId="122E6957" w14:textId="0CF3AAF3" w:rsidR="000C336F" w:rsidRPr="003B70C5" w:rsidRDefault="000C336F" w:rsidP="000C336F">
      <w:pPr>
        <w:autoSpaceDE w:val="0"/>
        <w:autoSpaceDN w:val="0"/>
        <w:adjustRightInd w:val="0"/>
        <w:rPr>
          <w:rFonts w:cs="Arial"/>
          <w:b/>
          <w:i/>
        </w:rPr>
      </w:pPr>
      <w:r w:rsidRPr="003B70C5">
        <w:rPr>
          <w:b/>
          <w:i/>
        </w:rPr>
        <w:t xml:space="preserve">Tableau 2. </w:t>
      </w:r>
      <w:r w:rsidR="00E2280F" w:rsidRPr="003B70C5">
        <w:rPr>
          <w:b/>
          <w:i/>
        </w:rPr>
        <w:t xml:space="preserve"> </w:t>
      </w:r>
      <w:r w:rsidRPr="003B70C5">
        <w:rPr>
          <w:b/>
          <w:i/>
        </w:rPr>
        <w:t>Récapitulatif de la situation financière par source de financement</w:t>
      </w:r>
    </w:p>
    <w:p w14:paraId="198BDA11" w14:textId="77777777" w:rsidR="000C336F" w:rsidRDefault="000C336F" w:rsidP="000C336F">
      <w:pPr>
        <w:autoSpaceDE w:val="0"/>
        <w:autoSpaceDN w:val="0"/>
        <w:adjustRightInd w:val="0"/>
        <w:rPr>
          <w:rFonts w:cs="Arial"/>
          <w:noProof/>
        </w:rPr>
      </w:pPr>
    </w:p>
    <w:p w14:paraId="11357A3C" w14:textId="1315A3A2" w:rsidR="00AF6622" w:rsidRPr="003B70C5" w:rsidRDefault="00AF6622" w:rsidP="000C336F">
      <w:pPr>
        <w:autoSpaceDE w:val="0"/>
        <w:autoSpaceDN w:val="0"/>
        <w:adjustRightInd w:val="0"/>
        <w:rPr>
          <w:rFonts w:cs="Arial"/>
          <w:noProof/>
        </w:rPr>
      </w:pPr>
      <w:r w:rsidRPr="00AF6622">
        <w:rPr>
          <w:noProof/>
        </w:rPr>
        <w:drawing>
          <wp:inline distT="0" distB="0" distL="0" distR="0" wp14:anchorId="321F5E2F" wp14:editId="090919D0">
            <wp:extent cx="6137910" cy="1948180"/>
            <wp:effectExtent l="0" t="0" r="0" b="0"/>
            <wp:docPr id="2707936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7910" cy="1948180"/>
                    </a:xfrm>
                    <a:prstGeom prst="rect">
                      <a:avLst/>
                    </a:prstGeom>
                    <a:noFill/>
                    <a:ln>
                      <a:noFill/>
                    </a:ln>
                  </pic:spPr>
                </pic:pic>
              </a:graphicData>
            </a:graphic>
          </wp:inline>
        </w:drawing>
      </w:r>
    </w:p>
    <w:p w14:paraId="29CF4E10" w14:textId="77777777" w:rsidR="000C336F" w:rsidRPr="003B70C5" w:rsidRDefault="000C336F" w:rsidP="000C336F">
      <w:pPr>
        <w:autoSpaceDE w:val="0"/>
        <w:autoSpaceDN w:val="0"/>
        <w:adjustRightInd w:val="0"/>
        <w:rPr>
          <w:rFonts w:cs="Arial"/>
          <w:noProof/>
        </w:rPr>
      </w:pPr>
    </w:p>
    <w:p w14:paraId="10F28851" w14:textId="2E916B1A" w:rsidR="000C336F" w:rsidRPr="003B70C5" w:rsidRDefault="000C336F" w:rsidP="00B33EE5">
      <w:pPr>
        <w:pStyle w:val="ListParagraph"/>
        <w:keepLines/>
        <w:numPr>
          <w:ilvl w:val="0"/>
          <w:numId w:val="7"/>
        </w:numPr>
        <w:jc w:val="both"/>
      </w:pPr>
      <w:r w:rsidRPr="003B70C5">
        <w:rPr>
          <w:sz w:val="20"/>
        </w:rPr>
        <w:t>Le fonds de roulement net (actifs courants moins passifs courants) de l</w:t>
      </w:r>
      <w:r w:rsidR="002B0172" w:rsidRPr="003B70C5">
        <w:rPr>
          <w:sz w:val="20"/>
        </w:rPr>
        <w:t>’</w:t>
      </w:r>
      <w:r w:rsidRPr="003B70C5">
        <w:rPr>
          <w:sz w:val="20"/>
        </w:rPr>
        <w:t>UPOV s</w:t>
      </w:r>
      <w:r w:rsidR="002B0172" w:rsidRPr="003B70C5">
        <w:rPr>
          <w:sz w:val="20"/>
        </w:rPr>
        <w:t>’</w:t>
      </w:r>
      <w:r w:rsidRPr="003B70C5">
        <w:rPr>
          <w:sz w:val="20"/>
        </w:rPr>
        <w:t>élevait à 3 048 301 francs suisses au 31 </w:t>
      </w:r>
      <w:r w:rsidR="002B0172" w:rsidRPr="003B70C5">
        <w:rPr>
          <w:sz w:val="20"/>
        </w:rPr>
        <w:t>décembre 20</w:t>
      </w:r>
      <w:r w:rsidRPr="003B70C5">
        <w:rPr>
          <w:sz w:val="20"/>
        </w:rPr>
        <w:t>25 (4 200 686 francs suisses au 31 </w:t>
      </w:r>
      <w:r w:rsidR="002B0172" w:rsidRPr="003B70C5">
        <w:rPr>
          <w:sz w:val="20"/>
        </w:rPr>
        <w:t>décembre 20</w:t>
      </w:r>
      <w:r w:rsidRPr="003B70C5">
        <w:rPr>
          <w:sz w:val="20"/>
        </w:rPr>
        <w:t xml:space="preserve">24). </w:t>
      </w:r>
      <w:r w:rsidR="00E2280F" w:rsidRPr="003B70C5">
        <w:rPr>
          <w:sz w:val="20"/>
        </w:rPr>
        <w:t xml:space="preserve"> </w:t>
      </w:r>
      <w:r w:rsidRPr="003B70C5">
        <w:rPr>
          <w:sz w:val="20"/>
        </w:rPr>
        <w:t>Les soldes de trésorerie et équivalents de trésorerie ont diminué de 5 819 625 francs suisses au</w:t>
      </w:r>
      <w:r w:rsidR="00DC23B9">
        <w:rPr>
          <w:sz w:val="20"/>
        </w:rPr>
        <w:t> </w:t>
      </w:r>
      <w:r w:rsidRPr="003B70C5">
        <w:rPr>
          <w:sz w:val="20"/>
        </w:rPr>
        <w:t>31 </w:t>
      </w:r>
      <w:r w:rsidR="002B0172" w:rsidRPr="003B70C5">
        <w:rPr>
          <w:sz w:val="20"/>
        </w:rPr>
        <w:t>décembre 20</w:t>
      </w:r>
      <w:r w:rsidRPr="003B70C5">
        <w:rPr>
          <w:sz w:val="20"/>
        </w:rPr>
        <w:t>24 à 5 016 551 francs suisses au 31 </w:t>
      </w:r>
      <w:r w:rsidR="002B0172" w:rsidRPr="003B70C5">
        <w:rPr>
          <w:sz w:val="20"/>
        </w:rPr>
        <w:t>décembre 20</w:t>
      </w:r>
      <w:r w:rsidRPr="003B70C5">
        <w:rPr>
          <w:sz w:val="20"/>
        </w:rPr>
        <w:t xml:space="preserve">25. </w:t>
      </w:r>
      <w:r w:rsidR="00E2280F" w:rsidRPr="003B70C5">
        <w:rPr>
          <w:sz w:val="20"/>
        </w:rPr>
        <w:t xml:space="preserve"> </w:t>
      </w:r>
      <w:r w:rsidRPr="003B70C5">
        <w:rPr>
          <w:sz w:val="20"/>
        </w:rPr>
        <w:t>Suite à la création du régime d</w:t>
      </w:r>
      <w:r w:rsidR="002B0172" w:rsidRPr="003B70C5">
        <w:rPr>
          <w:sz w:val="20"/>
        </w:rPr>
        <w:t>’</w:t>
      </w:r>
      <w:r w:rsidRPr="003B70C5">
        <w:rPr>
          <w:sz w:val="20"/>
        </w:rPr>
        <w:t>AMCS, les fonds de l</w:t>
      </w:r>
      <w:r w:rsidR="002B0172" w:rsidRPr="003B70C5">
        <w:rPr>
          <w:sz w:val="20"/>
        </w:rPr>
        <w:t>’</w:t>
      </w:r>
      <w:r w:rsidRPr="003B70C5">
        <w:rPr>
          <w:sz w:val="20"/>
        </w:rPr>
        <w:t>UPOV destinés au financement de l</w:t>
      </w:r>
      <w:r w:rsidR="002B0172" w:rsidRPr="003B70C5">
        <w:rPr>
          <w:sz w:val="20"/>
        </w:rPr>
        <w:t>’</w:t>
      </w:r>
      <w:r w:rsidRPr="003B70C5">
        <w:rPr>
          <w:sz w:val="20"/>
        </w:rPr>
        <w:t>AMCS sont transférés de la trésorerie aux engagements au titre des prestations à long terme dues au personnel dans l</w:t>
      </w:r>
      <w:r w:rsidR="002B0172" w:rsidRPr="003B70C5">
        <w:rPr>
          <w:sz w:val="20"/>
        </w:rPr>
        <w:t>’</w:t>
      </w:r>
      <w:r w:rsidRPr="003B70C5">
        <w:rPr>
          <w:sz w:val="20"/>
        </w:rPr>
        <w:t>état de la situation financière.</w:t>
      </w:r>
    </w:p>
    <w:p w14:paraId="4364505C" w14:textId="77777777" w:rsidR="000C336F" w:rsidRPr="003B70C5" w:rsidRDefault="000C336F" w:rsidP="000C336F">
      <w:pPr>
        <w:ind w:left="567" w:hanging="567"/>
        <w:rPr>
          <w:rFonts w:cs="Arial"/>
        </w:rPr>
      </w:pPr>
    </w:p>
    <w:p w14:paraId="7A6BB774" w14:textId="5ACFCAB0" w:rsidR="000C336F" w:rsidRPr="003B70C5" w:rsidRDefault="000C336F" w:rsidP="000C336F">
      <w:pPr>
        <w:numPr>
          <w:ilvl w:val="0"/>
          <w:numId w:val="7"/>
        </w:numPr>
        <w:rPr>
          <w:rFonts w:cs="Arial"/>
        </w:rPr>
      </w:pPr>
      <w:r w:rsidRPr="003B70C5">
        <w:t>Le montant total des comptes de débiteurs au 31 </w:t>
      </w:r>
      <w:r w:rsidR="002B0172" w:rsidRPr="003B70C5">
        <w:t>décembre 20</w:t>
      </w:r>
      <w:r w:rsidRPr="003B70C5">
        <w:t>25 s</w:t>
      </w:r>
      <w:r w:rsidR="002B0172" w:rsidRPr="003B70C5">
        <w:t>’</w:t>
      </w:r>
      <w:r w:rsidRPr="003B70C5">
        <w:t>élevait à 194 833 francs suisses, contre 100 406 francs suisses au 31 </w:t>
      </w:r>
      <w:r w:rsidR="002B0172" w:rsidRPr="003B70C5">
        <w:t>décembre 20</w:t>
      </w:r>
      <w:r w:rsidRPr="003B70C5">
        <w:t xml:space="preserve">24. </w:t>
      </w:r>
      <w:r w:rsidR="00E2280F" w:rsidRPr="003B70C5">
        <w:t xml:space="preserve"> </w:t>
      </w:r>
      <w:r w:rsidRPr="003B70C5">
        <w:t xml:space="preserve">Le solde du montant total à recevoir à la fin </w:t>
      </w:r>
      <w:r w:rsidR="002B0172" w:rsidRPr="003B70C5">
        <w:t>de 2025</w:t>
      </w:r>
      <w:r w:rsidRPr="003B70C5">
        <w:t xml:space="preserve"> comprend des contributions à hauteur de 179 560 francs suisses, des soldes de taxes non perçues pour des demandes payantes déposées via </w:t>
      </w:r>
      <w:r w:rsidR="0063233A">
        <w:t>UPOV PRISMA</w:t>
      </w:r>
      <w:r w:rsidRPr="003B70C5">
        <w:t xml:space="preserve"> et la base de données du service PLUTO Premium, d</w:t>
      </w:r>
      <w:r w:rsidR="002B0172" w:rsidRPr="003B70C5">
        <w:t>’</w:t>
      </w:r>
      <w:r w:rsidRPr="003B70C5">
        <w:t>un montant de 9 010 francs suisses, ainsi que des créances diverses d</w:t>
      </w:r>
      <w:r w:rsidR="002B0172" w:rsidRPr="003B70C5">
        <w:t>’</w:t>
      </w:r>
      <w:r w:rsidRPr="003B70C5">
        <w:t>un montant de 6 263 francs suisses.</w:t>
      </w:r>
    </w:p>
    <w:p w14:paraId="1169DBC6" w14:textId="77777777" w:rsidR="000C336F" w:rsidRPr="003B70C5" w:rsidRDefault="000C336F" w:rsidP="000C336F">
      <w:pPr>
        <w:rPr>
          <w:rFonts w:cs="Arial"/>
        </w:rPr>
      </w:pPr>
    </w:p>
    <w:p w14:paraId="2520ED82" w14:textId="18EC0B6A" w:rsidR="000C336F" w:rsidRPr="003B70C5" w:rsidRDefault="000C336F" w:rsidP="000C336F">
      <w:pPr>
        <w:pStyle w:val="ListParagraph"/>
        <w:numPr>
          <w:ilvl w:val="0"/>
          <w:numId w:val="7"/>
        </w:numPr>
        <w:jc w:val="both"/>
        <w:rPr>
          <w:sz w:val="20"/>
        </w:rPr>
      </w:pPr>
      <w:r w:rsidRPr="003B70C5">
        <w:rPr>
          <w:sz w:val="20"/>
        </w:rPr>
        <w:t>L</w:t>
      </w:r>
      <w:r w:rsidR="002B0172" w:rsidRPr="003B70C5">
        <w:rPr>
          <w:sz w:val="20"/>
        </w:rPr>
        <w:t>’</w:t>
      </w:r>
      <w:r w:rsidRPr="003B70C5">
        <w:rPr>
          <w:sz w:val="20"/>
        </w:rPr>
        <w:t xml:space="preserve">UPOV comptabilise un total des engagements au titre des prestations dues au personnel </w:t>
      </w:r>
      <w:r w:rsidR="00547D6D">
        <w:rPr>
          <w:sz w:val="20"/>
        </w:rPr>
        <w:br/>
      </w:r>
      <w:r w:rsidRPr="003B70C5">
        <w:rPr>
          <w:sz w:val="20"/>
        </w:rPr>
        <w:t>d</w:t>
      </w:r>
      <w:r w:rsidR="002B0172" w:rsidRPr="003B70C5">
        <w:rPr>
          <w:sz w:val="20"/>
        </w:rPr>
        <w:t>’</w:t>
      </w:r>
      <w:r w:rsidRPr="003B70C5">
        <w:rPr>
          <w:sz w:val="20"/>
        </w:rPr>
        <w:t>un montant de 3 916 048 francs suisses au 31 </w:t>
      </w:r>
      <w:r w:rsidR="002B0172" w:rsidRPr="003B70C5">
        <w:rPr>
          <w:sz w:val="20"/>
        </w:rPr>
        <w:t>décembre 20</w:t>
      </w:r>
      <w:r w:rsidRPr="003B70C5">
        <w:rPr>
          <w:sz w:val="20"/>
        </w:rPr>
        <w:t>25, contre 5 581 482 francs suisses au 31 </w:t>
      </w:r>
      <w:r w:rsidR="002B0172" w:rsidRPr="003B70C5">
        <w:rPr>
          <w:sz w:val="20"/>
        </w:rPr>
        <w:t>décembre</w:t>
      </w:r>
      <w:r w:rsidR="00B607D5">
        <w:rPr>
          <w:sz w:val="20"/>
        </w:rPr>
        <w:t xml:space="preserve"> </w:t>
      </w:r>
      <w:r w:rsidR="002B0172" w:rsidRPr="003B70C5">
        <w:rPr>
          <w:sz w:val="20"/>
        </w:rPr>
        <w:t>20</w:t>
      </w:r>
      <w:r w:rsidRPr="003B70C5">
        <w:rPr>
          <w:sz w:val="20"/>
        </w:rPr>
        <w:t xml:space="preserve">24. </w:t>
      </w:r>
      <w:r w:rsidR="00E2280F" w:rsidRPr="003B70C5">
        <w:rPr>
          <w:sz w:val="20"/>
        </w:rPr>
        <w:t xml:space="preserve"> </w:t>
      </w:r>
      <w:r w:rsidRPr="003B70C5">
        <w:rPr>
          <w:sz w:val="20"/>
        </w:rPr>
        <w:t xml:space="preserve">À compter </w:t>
      </w:r>
      <w:r w:rsidR="002B0172" w:rsidRPr="003B70C5">
        <w:rPr>
          <w:sz w:val="20"/>
        </w:rPr>
        <w:t>de 2025</w:t>
      </w:r>
      <w:r w:rsidRPr="003B70C5">
        <w:rPr>
          <w:sz w:val="20"/>
        </w:rPr>
        <w:t>, après la création du régime d</w:t>
      </w:r>
      <w:r w:rsidR="002B0172" w:rsidRPr="003B70C5">
        <w:rPr>
          <w:sz w:val="20"/>
        </w:rPr>
        <w:t>’</w:t>
      </w:r>
      <w:r w:rsidRPr="003B70C5">
        <w:rPr>
          <w:sz w:val="20"/>
        </w:rPr>
        <w:t>AMCS, les engagements bruts au titre de l</w:t>
      </w:r>
      <w:r w:rsidR="002B0172" w:rsidRPr="003B70C5">
        <w:rPr>
          <w:sz w:val="20"/>
        </w:rPr>
        <w:t>’</w:t>
      </w:r>
      <w:r w:rsidRPr="003B70C5">
        <w:rPr>
          <w:sz w:val="20"/>
        </w:rPr>
        <w:t>AMCS (obligation au titre des prestations définies) de 4 782 722 francs suisses sont présentés déduction faite des actifs du régime, qui s</w:t>
      </w:r>
      <w:r w:rsidR="002B0172" w:rsidRPr="003B70C5">
        <w:rPr>
          <w:sz w:val="20"/>
        </w:rPr>
        <w:t>’</w:t>
      </w:r>
      <w:r w:rsidRPr="003B70C5">
        <w:rPr>
          <w:sz w:val="20"/>
        </w:rPr>
        <w:t>élèvent à 1 159 060 francs suiss</w:t>
      </w:r>
      <w:r w:rsidR="00D076B0" w:rsidRPr="003B70C5">
        <w:rPr>
          <w:sz w:val="20"/>
        </w:rPr>
        <w:t>es.  Au</w:t>
      </w:r>
      <w:r w:rsidRPr="003B70C5">
        <w:rPr>
          <w:sz w:val="20"/>
        </w:rPr>
        <w:t xml:space="preserve"> 31 </w:t>
      </w:r>
      <w:r w:rsidR="002B0172" w:rsidRPr="003B70C5">
        <w:rPr>
          <w:sz w:val="20"/>
        </w:rPr>
        <w:t>décembre 20</w:t>
      </w:r>
      <w:r w:rsidRPr="003B70C5">
        <w:rPr>
          <w:sz w:val="20"/>
        </w:rPr>
        <w:t>25, l</w:t>
      </w:r>
      <w:r w:rsidR="002B0172" w:rsidRPr="003B70C5">
        <w:rPr>
          <w:sz w:val="20"/>
        </w:rPr>
        <w:t>’</w:t>
      </w:r>
      <w:r w:rsidRPr="003B70C5">
        <w:rPr>
          <w:sz w:val="20"/>
        </w:rPr>
        <w:t>obligation au titre des prestations définies de l</w:t>
      </w:r>
      <w:r w:rsidR="002B0172" w:rsidRPr="003B70C5">
        <w:rPr>
          <w:sz w:val="20"/>
        </w:rPr>
        <w:t>’</w:t>
      </w:r>
      <w:r w:rsidRPr="003B70C5">
        <w:rPr>
          <w:sz w:val="20"/>
        </w:rPr>
        <w:t>AMCS a diminué de 570 213 francs suisses par rapport au solde de 2024, qui était de 5 352 935 francs suiss</w:t>
      </w:r>
      <w:r w:rsidR="00D076B0" w:rsidRPr="003B70C5">
        <w:rPr>
          <w:sz w:val="20"/>
        </w:rPr>
        <w:t>es.  Ce</w:t>
      </w:r>
      <w:r w:rsidRPr="003B70C5">
        <w:rPr>
          <w:sz w:val="20"/>
        </w:rPr>
        <w:t>s engagements reposent sur un calcul effectué par un actuaire indépenda</w:t>
      </w:r>
      <w:r w:rsidR="00D076B0" w:rsidRPr="003B70C5">
        <w:rPr>
          <w:sz w:val="20"/>
        </w:rPr>
        <w:t>nt.  Co</w:t>
      </w:r>
      <w:r w:rsidRPr="003B70C5">
        <w:rPr>
          <w:sz w:val="20"/>
        </w:rPr>
        <w:t>nformément aux exigences des normes</w:t>
      </w:r>
      <w:r w:rsidR="00E2280F" w:rsidRPr="003B70C5">
        <w:rPr>
          <w:sz w:val="20"/>
        </w:rPr>
        <w:t> </w:t>
      </w:r>
      <w:r w:rsidRPr="003B70C5">
        <w:rPr>
          <w:sz w:val="20"/>
        </w:rPr>
        <w:t>IPSAS, les engagements au titre de l</w:t>
      </w:r>
      <w:r w:rsidR="002B0172" w:rsidRPr="003B70C5">
        <w:rPr>
          <w:sz w:val="20"/>
        </w:rPr>
        <w:t>’</w:t>
      </w:r>
      <w:r w:rsidRPr="003B70C5">
        <w:rPr>
          <w:sz w:val="20"/>
        </w:rPr>
        <w:t>AMCS comptabilisés dans les états financiers représentent la valeur actuelle de toutes les prestations futures prévues pour les retraités actuels et les personnes à leur charge, et de toutes les prestations post</w:t>
      </w:r>
      <w:r w:rsidR="002B0172" w:rsidRPr="003B70C5">
        <w:rPr>
          <w:sz w:val="20"/>
        </w:rPr>
        <w:t>-</w:t>
      </w:r>
      <w:r w:rsidRPr="003B70C5">
        <w:rPr>
          <w:sz w:val="20"/>
        </w:rPr>
        <w:t>emploi accumulées par les fonctionnaires en pos</w:t>
      </w:r>
      <w:r w:rsidR="00D076B0" w:rsidRPr="003B70C5">
        <w:rPr>
          <w:sz w:val="20"/>
        </w:rPr>
        <w:t>te.  En</w:t>
      </w:r>
      <w:r w:rsidRPr="003B70C5">
        <w:rPr>
          <w:sz w:val="20"/>
        </w:rPr>
        <w:t xml:space="preserve"> moyenne, les dépenses médicales augmentent avec l</w:t>
      </w:r>
      <w:r w:rsidR="002B0172" w:rsidRPr="003B70C5">
        <w:rPr>
          <w:sz w:val="20"/>
        </w:rPr>
        <w:t>’</w:t>
      </w:r>
      <w:r w:rsidRPr="003B70C5">
        <w:rPr>
          <w:sz w:val="20"/>
        </w:rPr>
        <w:t>âge, de sorte que les coûts les plus importants restent à payer dans l</w:t>
      </w:r>
      <w:r w:rsidR="002B0172" w:rsidRPr="003B70C5">
        <w:rPr>
          <w:sz w:val="20"/>
        </w:rPr>
        <w:t>’</w:t>
      </w:r>
      <w:r w:rsidRPr="003B70C5">
        <w:rPr>
          <w:sz w:val="20"/>
        </w:rPr>
        <w:t>aven</w:t>
      </w:r>
      <w:r w:rsidR="00D076B0" w:rsidRPr="003B70C5">
        <w:rPr>
          <w:sz w:val="20"/>
        </w:rPr>
        <w:t>ir.  Le</w:t>
      </w:r>
      <w:r w:rsidRPr="003B70C5">
        <w:rPr>
          <w:sz w:val="20"/>
        </w:rPr>
        <w:t xml:space="preserve"> personnel et les retraités de l</w:t>
      </w:r>
      <w:r w:rsidR="002B0172" w:rsidRPr="003B70C5">
        <w:rPr>
          <w:sz w:val="20"/>
        </w:rPr>
        <w:t>’</w:t>
      </w:r>
      <w:r w:rsidRPr="003B70C5">
        <w:rPr>
          <w:sz w:val="20"/>
        </w:rPr>
        <w:t>UPOV participent au régime d</w:t>
      </w:r>
      <w:r w:rsidR="002B0172" w:rsidRPr="003B70C5">
        <w:rPr>
          <w:sz w:val="20"/>
        </w:rPr>
        <w:t>’</w:t>
      </w:r>
      <w:r w:rsidRPr="003B70C5">
        <w:rPr>
          <w:sz w:val="20"/>
        </w:rPr>
        <w:t>assurance maladie de l</w:t>
      </w:r>
      <w:r w:rsidR="002B0172" w:rsidRPr="003B70C5">
        <w:rPr>
          <w:sz w:val="20"/>
        </w:rPr>
        <w:t>’</w:t>
      </w:r>
      <w:r w:rsidRPr="003B70C5">
        <w:rPr>
          <w:sz w:val="20"/>
        </w:rPr>
        <w:t>O</w:t>
      </w:r>
      <w:r w:rsidR="00D076B0" w:rsidRPr="003B70C5">
        <w:rPr>
          <w:sz w:val="20"/>
        </w:rPr>
        <w:t>MPI.  Af</w:t>
      </w:r>
      <w:r w:rsidRPr="003B70C5">
        <w:rPr>
          <w:sz w:val="20"/>
        </w:rPr>
        <w:t>in de gérer les coûts et les risques liés à son plan d</w:t>
      </w:r>
      <w:r w:rsidR="002B0172" w:rsidRPr="003B70C5">
        <w:rPr>
          <w:sz w:val="20"/>
        </w:rPr>
        <w:t>’</w:t>
      </w:r>
      <w:r w:rsidRPr="003B70C5">
        <w:rPr>
          <w:sz w:val="20"/>
        </w:rPr>
        <w:t>assurance médicale, l</w:t>
      </w:r>
      <w:r w:rsidR="002B0172" w:rsidRPr="003B70C5">
        <w:rPr>
          <w:sz w:val="20"/>
        </w:rPr>
        <w:t>’</w:t>
      </w:r>
      <w:r w:rsidRPr="003B70C5">
        <w:rPr>
          <w:sz w:val="20"/>
        </w:rPr>
        <w:t>OMPI a conclu un contrat d</w:t>
      </w:r>
      <w:r w:rsidR="002B0172" w:rsidRPr="003B70C5">
        <w:rPr>
          <w:sz w:val="20"/>
        </w:rPr>
        <w:t>’</w:t>
      </w:r>
      <w:r w:rsidRPr="003B70C5">
        <w:rPr>
          <w:sz w:val="20"/>
        </w:rPr>
        <w:t>assurance prévoyant le paiement d</w:t>
      </w:r>
      <w:r w:rsidR="002B0172" w:rsidRPr="003B70C5">
        <w:rPr>
          <w:sz w:val="20"/>
        </w:rPr>
        <w:t>’</w:t>
      </w:r>
      <w:r w:rsidRPr="003B70C5">
        <w:rPr>
          <w:sz w:val="20"/>
        </w:rPr>
        <w:t>une prime uniforme par personne pour les retraités actuels et les fonctionnaires en poste, réduisant ainsi les sommes versées au nom des retraités plus âgés par rapport aux frais médicaux encourus.</w:t>
      </w:r>
    </w:p>
    <w:p w14:paraId="55C1883F" w14:textId="77777777" w:rsidR="002B0172" w:rsidRPr="003B70C5" w:rsidRDefault="002B0172" w:rsidP="000C336F">
      <w:pPr>
        <w:pStyle w:val="ListParagraph"/>
        <w:ind w:hanging="567"/>
        <w:jc w:val="both"/>
        <w:rPr>
          <w:sz w:val="20"/>
        </w:rPr>
      </w:pPr>
    </w:p>
    <w:p w14:paraId="7766B145" w14:textId="404B5472" w:rsidR="002B0172" w:rsidRPr="003B70C5" w:rsidRDefault="000C336F" w:rsidP="000C336F">
      <w:pPr>
        <w:pStyle w:val="ListParagraph"/>
        <w:numPr>
          <w:ilvl w:val="0"/>
          <w:numId w:val="7"/>
        </w:numPr>
        <w:jc w:val="both"/>
        <w:rPr>
          <w:sz w:val="20"/>
        </w:rPr>
      </w:pPr>
      <w:r w:rsidRPr="003B70C5">
        <w:rPr>
          <w:sz w:val="20"/>
        </w:rPr>
        <w:t>Le calcul des engagements nets au titre de l</w:t>
      </w:r>
      <w:r w:rsidR="002B0172" w:rsidRPr="003B70C5">
        <w:rPr>
          <w:sz w:val="20"/>
        </w:rPr>
        <w:t>’</w:t>
      </w:r>
      <w:r w:rsidRPr="003B70C5">
        <w:rPr>
          <w:sz w:val="20"/>
        </w:rPr>
        <w:t>AMCS repose sur un certain nombre d</w:t>
      </w:r>
      <w:r w:rsidR="002B0172" w:rsidRPr="003B70C5">
        <w:rPr>
          <w:sz w:val="20"/>
        </w:rPr>
        <w:t>’</w:t>
      </w:r>
      <w:r w:rsidRPr="003B70C5">
        <w:rPr>
          <w:sz w:val="20"/>
        </w:rPr>
        <w:t>hypothèses actuarielle</w:t>
      </w:r>
      <w:r w:rsidR="00D076B0" w:rsidRPr="003B70C5">
        <w:rPr>
          <w:sz w:val="20"/>
        </w:rPr>
        <w:t>s :</w:t>
      </w:r>
      <w:r w:rsidR="00E2280F" w:rsidRPr="003B70C5">
        <w:rPr>
          <w:sz w:val="20"/>
        </w:rPr>
        <w:t xml:space="preserve"> </w:t>
      </w:r>
      <w:r w:rsidRPr="003B70C5">
        <w:rPr>
          <w:sz w:val="20"/>
        </w:rPr>
        <w:t>notamment le taux d</w:t>
      </w:r>
      <w:r w:rsidR="002B0172" w:rsidRPr="003B70C5">
        <w:rPr>
          <w:sz w:val="20"/>
        </w:rPr>
        <w:t>’</w:t>
      </w:r>
      <w:r w:rsidRPr="003B70C5">
        <w:rPr>
          <w:sz w:val="20"/>
        </w:rPr>
        <w:t>actualisation, les taux tendanciels du coût des soins médicaux, le coût des demandes de remboursement de soins médicaux, les taux de départ en retraite et les taux de mortali</w:t>
      </w:r>
      <w:r w:rsidR="00D076B0" w:rsidRPr="003B70C5">
        <w:rPr>
          <w:sz w:val="20"/>
        </w:rPr>
        <w:t>té.  L’é</w:t>
      </w:r>
      <w:r w:rsidRPr="003B70C5">
        <w:rPr>
          <w:sz w:val="20"/>
        </w:rPr>
        <w:t>volution de ces hypothèses d</w:t>
      </w:r>
      <w:r w:rsidR="002B0172" w:rsidRPr="003B70C5">
        <w:rPr>
          <w:sz w:val="20"/>
        </w:rPr>
        <w:t>’</w:t>
      </w:r>
      <w:r w:rsidRPr="003B70C5">
        <w:rPr>
          <w:sz w:val="20"/>
        </w:rPr>
        <w:t>année en année engendre des gains et pertes actuariels qui sont comptabilisés dans le passif de l</w:t>
      </w:r>
      <w:r w:rsidR="002B0172" w:rsidRPr="003B70C5">
        <w:rPr>
          <w:sz w:val="20"/>
        </w:rPr>
        <w:t>’</w:t>
      </w:r>
      <w:r w:rsidRPr="003B70C5">
        <w:rPr>
          <w:sz w:val="20"/>
        </w:rPr>
        <w:t>état de la situation financiè</w:t>
      </w:r>
      <w:r w:rsidR="00D076B0" w:rsidRPr="003B70C5">
        <w:rPr>
          <w:sz w:val="20"/>
        </w:rPr>
        <w:t>re.  Un</w:t>
      </w:r>
      <w:r w:rsidRPr="003B70C5">
        <w:rPr>
          <w:sz w:val="20"/>
        </w:rPr>
        <w:t>e ventilation de l</w:t>
      </w:r>
      <w:r w:rsidR="002B0172" w:rsidRPr="003B70C5">
        <w:rPr>
          <w:sz w:val="20"/>
        </w:rPr>
        <w:t>’</w:t>
      </w:r>
      <w:r w:rsidRPr="003B70C5">
        <w:rPr>
          <w:sz w:val="20"/>
        </w:rPr>
        <w:t>évolution de la dette due aux gains et pertes actuariels figure dans la note 6 des présents états financie</w:t>
      </w:r>
      <w:r w:rsidR="00D076B0" w:rsidRPr="003B70C5">
        <w:rPr>
          <w:sz w:val="20"/>
        </w:rPr>
        <w:t xml:space="preserve">rs.  </w:t>
      </w:r>
      <w:bookmarkStart w:id="12" w:name="_Hlk192858059"/>
      <w:r w:rsidR="00D076B0" w:rsidRPr="003B70C5">
        <w:rPr>
          <w:sz w:val="20"/>
        </w:rPr>
        <w:t>La</w:t>
      </w:r>
      <w:r w:rsidRPr="003B70C5">
        <w:rPr>
          <w:sz w:val="20"/>
        </w:rPr>
        <w:t xml:space="preserve"> diminution en 2025 de l</w:t>
      </w:r>
      <w:r w:rsidR="002B0172" w:rsidRPr="003B70C5">
        <w:rPr>
          <w:sz w:val="20"/>
        </w:rPr>
        <w:t>’</w:t>
      </w:r>
      <w:r w:rsidRPr="003B70C5">
        <w:rPr>
          <w:sz w:val="20"/>
        </w:rPr>
        <w:t>engagement est due en partie à une hausse du taux d</w:t>
      </w:r>
      <w:r w:rsidR="002B0172" w:rsidRPr="003B70C5">
        <w:rPr>
          <w:sz w:val="20"/>
        </w:rPr>
        <w:t>’</w:t>
      </w:r>
      <w:r w:rsidRPr="003B70C5">
        <w:rPr>
          <w:sz w:val="20"/>
        </w:rPr>
        <w:t xml:space="preserve">actualisation, qui est passé de 1,50% à 1,90%. </w:t>
      </w:r>
      <w:r w:rsidR="00E2280F" w:rsidRPr="003B70C5">
        <w:rPr>
          <w:sz w:val="20"/>
        </w:rPr>
        <w:t xml:space="preserve"> </w:t>
      </w:r>
      <w:r w:rsidRPr="003B70C5">
        <w:rPr>
          <w:sz w:val="20"/>
        </w:rPr>
        <w:t>Le taux d</w:t>
      </w:r>
      <w:r w:rsidR="002B0172" w:rsidRPr="003B70C5">
        <w:rPr>
          <w:sz w:val="20"/>
        </w:rPr>
        <w:t>’</w:t>
      </w:r>
      <w:r w:rsidRPr="003B70C5">
        <w:rPr>
          <w:sz w:val="20"/>
        </w:rPr>
        <w:t>actualisation a été déterminé au moyen de courbes de rendement d</w:t>
      </w:r>
      <w:r w:rsidR="002B0172" w:rsidRPr="003B70C5">
        <w:rPr>
          <w:sz w:val="20"/>
        </w:rPr>
        <w:t>’</w:t>
      </w:r>
      <w:r w:rsidRPr="003B70C5">
        <w:rPr>
          <w:sz w:val="20"/>
        </w:rPr>
        <w:t xml:space="preserve">obligations de sociétés AA. </w:t>
      </w:r>
      <w:r w:rsidR="00E2280F" w:rsidRPr="003B70C5">
        <w:rPr>
          <w:sz w:val="20"/>
        </w:rPr>
        <w:t xml:space="preserve"> </w:t>
      </w:r>
      <w:r w:rsidRPr="003B70C5">
        <w:rPr>
          <w:sz w:val="20"/>
        </w:rPr>
        <w:t>En outre, pour l</w:t>
      </w:r>
      <w:r w:rsidR="002B0172" w:rsidRPr="003B70C5">
        <w:rPr>
          <w:sz w:val="20"/>
        </w:rPr>
        <w:t>’</w:t>
      </w:r>
      <w:r w:rsidRPr="003B70C5">
        <w:rPr>
          <w:sz w:val="20"/>
        </w:rPr>
        <w:t xml:space="preserve">évaluation de 2025, les taux tendanciels du coût des soins médicaux ont été ramenés de 2,40% à 2,20%. </w:t>
      </w:r>
      <w:r w:rsidR="00E2280F" w:rsidRPr="003B70C5">
        <w:rPr>
          <w:sz w:val="20"/>
        </w:rPr>
        <w:t xml:space="preserve"> </w:t>
      </w:r>
      <w:r w:rsidRPr="003B70C5">
        <w:rPr>
          <w:sz w:val="20"/>
        </w:rPr>
        <w:t>Le graphique ci</w:t>
      </w:r>
      <w:r w:rsidR="002B0172" w:rsidRPr="003B70C5">
        <w:rPr>
          <w:sz w:val="20"/>
        </w:rPr>
        <w:t>-</w:t>
      </w:r>
      <w:r w:rsidRPr="003B70C5">
        <w:rPr>
          <w:sz w:val="20"/>
        </w:rPr>
        <w:t>après montre l</w:t>
      </w:r>
      <w:r w:rsidR="002B0172" w:rsidRPr="003B70C5">
        <w:rPr>
          <w:sz w:val="20"/>
        </w:rPr>
        <w:t>’</w:t>
      </w:r>
      <w:r w:rsidRPr="003B70C5">
        <w:rPr>
          <w:sz w:val="20"/>
        </w:rPr>
        <w:t>évolution des engagements au titre de l</w:t>
      </w:r>
      <w:r w:rsidR="002B0172" w:rsidRPr="003B70C5">
        <w:rPr>
          <w:sz w:val="20"/>
        </w:rPr>
        <w:t>’</w:t>
      </w:r>
      <w:r w:rsidRPr="003B70C5">
        <w:rPr>
          <w:sz w:val="20"/>
        </w:rPr>
        <w:t>AMCS depuis 2021, et comprend les prévisions actuarielles pour 2026</w:t>
      </w:r>
      <w:r w:rsidR="002B0172" w:rsidRPr="003B70C5">
        <w:rPr>
          <w:sz w:val="20"/>
        </w:rPr>
        <w:t>-</w:t>
      </w:r>
      <w:r w:rsidRPr="003B70C5">
        <w:rPr>
          <w:sz w:val="20"/>
        </w:rPr>
        <w:t xml:space="preserve">2029 (sur la base des mêmes hypothèses que celles appliquées au calcul pour 2025). </w:t>
      </w:r>
      <w:r w:rsidR="00E2280F" w:rsidRPr="003B70C5">
        <w:rPr>
          <w:sz w:val="20"/>
        </w:rPr>
        <w:t xml:space="preserve"> </w:t>
      </w:r>
      <w:r w:rsidRPr="003B70C5">
        <w:rPr>
          <w:sz w:val="20"/>
        </w:rPr>
        <w:t>Le graphique montre également l</w:t>
      </w:r>
      <w:r w:rsidR="002B0172" w:rsidRPr="003B70C5">
        <w:rPr>
          <w:sz w:val="20"/>
        </w:rPr>
        <w:t>’</w:t>
      </w:r>
      <w:r w:rsidRPr="003B70C5">
        <w:rPr>
          <w:sz w:val="20"/>
        </w:rPr>
        <w:t>évolution des taux d</w:t>
      </w:r>
      <w:r w:rsidR="002B0172" w:rsidRPr="003B70C5">
        <w:rPr>
          <w:sz w:val="20"/>
        </w:rPr>
        <w:t>’</w:t>
      </w:r>
      <w:r w:rsidRPr="003B70C5">
        <w:rPr>
          <w:sz w:val="20"/>
        </w:rPr>
        <w:t xml:space="preserve">actualisation et des taux tendanciels du coût des soins médicaux </w:t>
      </w:r>
      <w:r w:rsidR="002B0172" w:rsidRPr="003B70C5">
        <w:rPr>
          <w:sz w:val="20"/>
        </w:rPr>
        <w:t>depuis 2021</w:t>
      </w:r>
      <w:r w:rsidRPr="003B70C5">
        <w:rPr>
          <w:sz w:val="20"/>
        </w:rPr>
        <w:t xml:space="preserve"> et présente, à partir </w:t>
      </w:r>
      <w:r w:rsidR="002B0172" w:rsidRPr="003B70C5">
        <w:rPr>
          <w:sz w:val="20"/>
        </w:rPr>
        <w:t>de 2025</w:t>
      </w:r>
      <w:r w:rsidRPr="003B70C5">
        <w:rPr>
          <w:sz w:val="20"/>
        </w:rPr>
        <w:t>, le solde et les prévisions des actifs du régime</w:t>
      </w:r>
      <w:r w:rsidR="002B0172" w:rsidRPr="003B70C5">
        <w:rPr>
          <w:sz w:val="20"/>
        </w:rPr>
        <w:t> :</w:t>
      </w:r>
    </w:p>
    <w:bookmarkEnd w:id="12"/>
    <w:p w14:paraId="02376147" w14:textId="1C941141" w:rsidR="000C336F" w:rsidRPr="00AF6622" w:rsidRDefault="000C336F" w:rsidP="000C336F">
      <w:pPr>
        <w:jc w:val="left"/>
        <w:rPr>
          <w:rFonts w:cs="Arial"/>
          <w:bCs/>
          <w:iCs/>
        </w:rPr>
      </w:pPr>
    </w:p>
    <w:p w14:paraId="219B910D" w14:textId="46B9B540" w:rsidR="000C336F" w:rsidRPr="003B70C5" w:rsidRDefault="000C336F" w:rsidP="00B33EE5">
      <w:pPr>
        <w:keepNext/>
        <w:autoSpaceDE w:val="0"/>
        <w:autoSpaceDN w:val="0"/>
        <w:adjustRightInd w:val="0"/>
        <w:jc w:val="center"/>
        <w:rPr>
          <w:rFonts w:cs="Arial"/>
          <w:b/>
          <w:i/>
        </w:rPr>
      </w:pPr>
      <w:r w:rsidRPr="003B70C5">
        <w:rPr>
          <w:b/>
          <w:i/>
        </w:rPr>
        <w:lastRenderedPageBreak/>
        <w:t>Évolution des engagements au titre de l</w:t>
      </w:r>
      <w:r w:rsidR="002B0172" w:rsidRPr="003B70C5">
        <w:rPr>
          <w:b/>
          <w:i/>
        </w:rPr>
        <w:t>’</w:t>
      </w:r>
      <w:r w:rsidRPr="003B70C5">
        <w:rPr>
          <w:b/>
          <w:i/>
        </w:rPr>
        <w:t>AMCS et des actifs du régime pour la période 2021</w:t>
      </w:r>
      <w:r w:rsidR="002B0172" w:rsidRPr="003B70C5">
        <w:rPr>
          <w:b/>
          <w:i/>
        </w:rPr>
        <w:t>-</w:t>
      </w:r>
      <w:r w:rsidRPr="003B70C5">
        <w:rPr>
          <w:b/>
          <w:i/>
        </w:rPr>
        <w:t>2029 (au 31 décembre)</w:t>
      </w:r>
    </w:p>
    <w:p w14:paraId="6818524D" w14:textId="77777777" w:rsidR="000C336F" w:rsidRPr="003B70C5" w:rsidRDefault="000C336F" w:rsidP="00B33EE5">
      <w:pPr>
        <w:keepNext/>
        <w:autoSpaceDE w:val="0"/>
        <w:autoSpaceDN w:val="0"/>
        <w:adjustRightInd w:val="0"/>
      </w:pPr>
    </w:p>
    <w:p w14:paraId="081A35C2" w14:textId="68E4D560" w:rsidR="000C336F" w:rsidRPr="003B70C5" w:rsidRDefault="00B33EE5" w:rsidP="000C336F">
      <w:pPr>
        <w:autoSpaceDE w:val="0"/>
        <w:autoSpaceDN w:val="0"/>
        <w:adjustRightInd w:val="0"/>
      </w:pPr>
      <w:r w:rsidRPr="00B33EE5">
        <w:rPr>
          <w:noProof/>
        </w:rPr>
        <w:drawing>
          <wp:inline distT="0" distB="0" distL="0" distR="0" wp14:anchorId="1EA03C36" wp14:editId="59D8B000">
            <wp:extent cx="5923915" cy="3275965"/>
            <wp:effectExtent l="0" t="0" r="635" b="635"/>
            <wp:docPr id="1206065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3915" cy="3275965"/>
                    </a:xfrm>
                    <a:prstGeom prst="rect">
                      <a:avLst/>
                    </a:prstGeom>
                    <a:noFill/>
                    <a:ln>
                      <a:noFill/>
                    </a:ln>
                  </pic:spPr>
                </pic:pic>
              </a:graphicData>
            </a:graphic>
          </wp:inline>
        </w:drawing>
      </w:r>
    </w:p>
    <w:p w14:paraId="3D152484" w14:textId="5195DBDA" w:rsidR="002B0172" w:rsidRPr="003B70C5" w:rsidRDefault="000C336F" w:rsidP="000C336F">
      <w:pPr>
        <w:pStyle w:val="ListParagraph"/>
        <w:numPr>
          <w:ilvl w:val="0"/>
          <w:numId w:val="7"/>
        </w:numPr>
        <w:jc w:val="both"/>
        <w:rPr>
          <w:sz w:val="20"/>
        </w:rPr>
      </w:pPr>
      <w:r w:rsidRPr="003B70C5">
        <w:rPr>
          <w:sz w:val="20"/>
        </w:rPr>
        <w:t xml:space="preserve">Les projections relatives aux engagements au titre </w:t>
      </w:r>
      <w:r w:rsidRPr="003B70C5">
        <w:rPr>
          <w:color w:val="000000"/>
          <w:sz w:val="20"/>
        </w:rPr>
        <w:t>de</w:t>
      </w:r>
      <w:r w:rsidRPr="003B70C5">
        <w:rPr>
          <w:sz w:val="20"/>
        </w:rPr>
        <w:t xml:space="preserve"> l</w:t>
      </w:r>
      <w:r w:rsidR="002B0172" w:rsidRPr="003B70C5">
        <w:rPr>
          <w:sz w:val="20"/>
        </w:rPr>
        <w:t>’</w:t>
      </w:r>
      <w:r w:rsidRPr="003B70C5">
        <w:rPr>
          <w:sz w:val="20"/>
        </w:rPr>
        <w:t xml:space="preserve">AMCS </w:t>
      </w:r>
      <w:r w:rsidR="002B0172" w:rsidRPr="003B70C5">
        <w:rPr>
          <w:sz w:val="20"/>
        </w:rPr>
        <w:t>pour 2026-</w:t>
      </w:r>
      <w:r w:rsidRPr="003B70C5">
        <w:rPr>
          <w:sz w:val="20"/>
        </w:rPr>
        <w:t>2029 sont calculées sur la base des hypothèses actuarielles et des données de recensement appliquées pour l</w:t>
      </w:r>
      <w:r w:rsidR="002B0172" w:rsidRPr="003B70C5">
        <w:rPr>
          <w:sz w:val="20"/>
        </w:rPr>
        <w:t>’</w:t>
      </w:r>
      <w:r w:rsidRPr="003B70C5">
        <w:rPr>
          <w:sz w:val="20"/>
        </w:rPr>
        <w:t xml:space="preserve">évaluation </w:t>
      </w:r>
      <w:r w:rsidR="002B0172" w:rsidRPr="003B70C5">
        <w:rPr>
          <w:sz w:val="20"/>
        </w:rPr>
        <w:t>de 2025</w:t>
      </w:r>
      <w:r w:rsidRPr="003B70C5">
        <w:rPr>
          <w:sz w:val="20"/>
        </w:rPr>
        <w:t xml:space="preserve"> et ne tiennent pas compte des gains ou des pertes résultant d</w:t>
      </w:r>
      <w:r w:rsidR="002B0172" w:rsidRPr="003B70C5">
        <w:rPr>
          <w:sz w:val="20"/>
        </w:rPr>
        <w:t>’</w:t>
      </w:r>
      <w:r w:rsidRPr="003B70C5">
        <w:rPr>
          <w:sz w:val="20"/>
        </w:rPr>
        <w:t>éventuelles modifications futures des hypothèses actuarielles ou des données démographiques du régime, qui pourraient avoir une incidence importante sur les calculs concernant les années suivantes.</w:t>
      </w:r>
    </w:p>
    <w:p w14:paraId="6D8CED98" w14:textId="3711B337" w:rsidR="000C336F" w:rsidRPr="003B70C5" w:rsidRDefault="000C336F" w:rsidP="000C336F">
      <w:pPr>
        <w:pStyle w:val="ListParagraph"/>
        <w:ind w:hanging="567"/>
        <w:jc w:val="both"/>
        <w:rPr>
          <w:rFonts w:eastAsia="SimSun"/>
          <w:sz w:val="20"/>
          <w:lang w:eastAsia="zh-CN"/>
        </w:rPr>
      </w:pPr>
    </w:p>
    <w:p w14:paraId="5283D63B" w14:textId="0EA8C4A1" w:rsidR="000C336F" w:rsidRPr="003B70C5" w:rsidRDefault="000C336F" w:rsidP="000C336F">
      <w:pPr>
        <w:pStyle w:val="ListParagraph"/>
        <w:numPr>
          <w:ilvl w:val="0"/>
          <w:numId w:val="7"/>
        </w:numPr>
        <w:jc w:val="both"/>
      </w:pPr>
      <w:r w:rsidRPr="003B70C5">
        <w:rPr>
          <w:sz w:val="20"/>
        </w:rPr>
        <w:t>À sa trente</w:t>
      </w:r>
      <w:r w:rsidR="002B0172" w:rsidRPr="003B70C5">
        <w:rPr>
          <w:sz w:val="20"/>
        </w:rPr>
        <w:t>-</w:t>
      </w:r>
      <w:r w:rsidRPr="003B70C5">
        <w:rPr>
          <w:sz w:val="20"/>
        </w:rPr>
        <w:t>trois</w:t>
      </w:r>
      <w:r w:rsidR="002B0172" w:rsidRPr="003B70C5">
        <w:rPr>
          <w:sz w:val="20"/>
        </w:rPr>
        <w:t>ième session</w:t>
      </w:r>
      <w:r w:rsidRPr="003B70C5">
        <w:rPr>
          <w:sz w:val="20"/>
        </w:rPr>
        <w:t xml:space="preserve"> extraordinaire le 17 </w:t>
      </w:r>
      <w:r w:rsidR="002B0172" w:rsidRPr="003B70C5">
        <w:rPr>
          <w:sz w:val="20"/>
        </w:rPr>
        <w:t>mars 20</w:t>
      </w:r>
      <w:r w:rsidRPr="003B70C5">
        <w:rPr>
          <w:sz w:val="20"/>
        </w:rPr>
        <w:t>16, le Conseil de l</w:t>
      </w:r>
      <w:r w:rsidR="002B0172" w:rsidRPr="003B70C5">
        <w:rPr>
          <w:sz w:val="20"/>
        </w:rPr>
        <w:t>’</w:t>
      </w:r>
      <w:r w:rsidRPr="003B70C5">
        <w:rPr>
          <w:sz w:val="20"/>
        </w:rPr>
        <w:t>UPOV a décidé de placer sur un compte distinct les fonds alloués au financement futur des obligations de l</w:t>
      </w:r>
      <w:r w:rsidR="002B0172" w:rsidRPr="003B70C5">
        <w:rPr>
          <w:sz w:val="20"/>
        </w:rPr>
        <w:t>’</w:t>
      </w:r>
      <w:r w:rsidRPr="003B70C5">
        <w:rPr>
          <w:sz w:val="20"/>
        </w:rPr>
        <w:t>UPOV au titre de l</w:t>
      </w:r>
      <w:r w:rsidR="002B0172" w:rsidRPr="003B70C5">
        <w:rPr>
          <w:sz w:val="20"/>
        </w:rPr>
        <w:t>’</w:t>
      </w:r>
      <w:r w:rsidRPr="003B70C5">
        <w:rPr>
          <w:sz w:val="20"/>
        </w:rPr>
        <w:t>A</w:t>
      </w:r>
      <w:r w:rsidR="00D076B0" w:rsidRPr="003B70C5">
        <w:rPr>
          <w:sz w:val="20"/>
        </w:rPr>
        <w:t>MCS.  Au</w:t>
      </w:r>
      <w:r w:rsidRPr="003B70C5">
        <w:rPr>
          <w:sz w:val="20"/>
        </w:rPr>
        <w:t xml:space="preserve"> 31 </w:t>
      </w:r>
      <w:r w:rsidR="002B0172" w:rsidRPr="003B70C5">
        <w:rPr>
          <w:sz w:val="20"/>
        </w:rPr>
        <w:t>décembre 20</w:t>
      </w:r>
      <w:r w:rsidRPr="003B70C5">
        <w:rPr>
          <w:sz w:val="20"/>
        </w:rPr>
        <w:t>25, le solde total de ces fonds s</w:t>
      </w:r>
      <w:r w:rsidR="002B0172" w:rsidRPr="003B70C5">
        <w:rPr>
          <w:sz w:val="20"/>
        </w:rPr>
        <w:t>’</w:t>
      </w:r>
      <w:r w:rsidRPr="003B70C5">
        <w:rPr>
          <w:sz w:val="20"/>
        </w:rPr>
        <w:t>élevait à 1 159 060 francs suisses (contre 1 105 527 francs suisses au 31 </w:t>
      </w:r>
      <w:r w:rsidR="002B0172" w:rsidRPr="003B70C5">
        <w:rPr>
          <w:sz w:val="20"/>
        </w:rPr>
        <w:t>décembre 20</w:t>
      </w:r>
      <w:r w:rsidRPr="003B70C5">
        <w:rPr>
          <w:sz w:val="20"/>
        </w:rPr>
        <w:t xml:space="preserve">24). </w:t>
      </w:r>
      <w:r w:rsidR="00E2280F" w:rsidRPr="003B70C5">
        <w:rPr>
          <w:sz w:val="20"/>
        </w:rPr>
        <w:t xml:space="preserve"> </w:t>
      </w:r>
      <w:r w:rsidRPr="003B70C5">
        <w:rPr>
          <w:sz w:val="20"/>
        </w:rPr>
        <w:t>Suite à la création du régime d</w:t>
      </w:r>
      <w:r w:rsidR="002B0172" w:rsidRPr="003B70C5">
        <w:rPr>
          <w:sz w:val="20"/>
        </w:rPr>
        <w:t>’</w:t>
      </w:r>
      <w:r w:rsidRPr="003B70C5">
        <w:rPr>
          <w:sz w:val="20"/>
        </w:rPr>
        <w:t xml:space="preserve">AMCS </w:t>
      </w:r>
      <w:r w:rsidR="002B0172" w:rsidRPr="003B70C5">
        <w:rPr>
          <w:sz w:val="20"/>
        </w:rPr>
        <w:t>en 2025</w:t>
      </w:r>
      <w:r w:rsidRPr="003B70C5">
        <w:rPr>
          <w:sz w:val="20"/>
        </w:rPr>
        <w:t>, ces fonds de l</w:t>
      </w:r>
      <w:r w:rsidR="002B0172" w:rsidRPr="003B70C5">
        <w:rPr>
          <w:sz w:val="20"/>
        </w:rPr>
        <w:t>’</w:t>
      </w:r>
      <w:r w:rsidRPr="003B70C5">
        <w:rPr>
          <w:sz w:val="20"/>
        </w:rPr>
        <w:t>UPOV sont affectés au titre d</w:t>
      </w:r>
      <w:r w:rsidR="002B0172" w:rsidRPr="003B70C5">
        <w:rPr>
          <w:sz w:val="20"/>
        </w:rPr>
        <w:t>’</w:t>
      </w:r>
      <w:r w:rsidRPr="003B70C5">
        <w:rPr>
          <w:sz w:val="20"/>
        </w:rPr>
        <w:t>actifs du régime d</w:t>
      </w:r>
      <w:r w:rsidR="002B0172" w:rsidRPr="003B70C5">
        <w:rPr>
          <w:sz w:val="20"/>
        </w:rPr>
        <w:t>’</w:t>
      </w:r>
      <w:r w:rsidRPr="003B70C5">
        <w:rPr>
          <w:sz w:val="20"/>
        </w:rPr>
        <w:t>AMCS et sont transférés de la trésorerie aux engagements au titre des prestations à long terme dues au personnel dans les états financie</w:t>
      </w:r>
      <w:r w:rsidR="00D076B0" w:rsidRPr="003B70C5">
        <w:rPr>
          <w:sz w:val="20"/>
        </w:rPr>
        <w:t>rs.  Le</w:t>
      </w:r>
      <w:r w:rsidRPr="003B70C5">
        <w:rPr>
          <w:sz w:val="20"/>
        </w:rPr>
        <w:t>s fonds sont détenus sur l</w:t>
      </w:r>
      <w:r w:rsidR="002B0172" w:rsidRPr="003B70C5">
        <w:rPr>
          <w:sz w:val="20"/>
        </w:rPr>
        <w:t>’</w:t>
      </w:r>
      <w:r w:rsidRPr="003B70C5">
        <w:rPr>
          <w:sz w:val="20"/>
        </w:rPr>
        <w:t>un des principaux comptes bancaires de l</w:t>
      </w:r>
      <w:r w:rsidR="002B0172" w:rsidRPr="003B70C5">
        <w:rPr>
          <w:sz w:val="20"/>
        </w:rPr>
        <w:t>’</w:t>
      </w:r>
      <w:r w:rsidRPr="003B70C5">
        <w:rPr>
          <w:sz w:val="20"/>
        </w:rPr>
        <w:t>UPOV, mais gérés séparément des fonds d</w:t>
      </w:r>
      <w:r w:rsidR="002B0172" w:rsidRPr="003B70C5">
        <w:rPr>
          <w:sz w:val="20"/>
        </w:rPr>
        <w:t>’</w:t>
      </w:r>
      <w:r w:rsidRPr="003B70C5">
        <w:rPr>
          <w:sz w:val="20"/>
        </w:rPr>
        <w:t>exploitation au moyen d</w:t>
      </w:r>
      <w:r w:rsidR="002B0172" w:rsidRPr="003B70C5">
        <w:rPr>
          <w:sz w:val="20"/>
        </w:rPr>
        <w:t>’</w:t>
      </w:r>
      <w:r w:rsidRPr="003B70C5">
        <w:rPr>
          <w:sz w:val="20"/>
        </w:rPr>
        <w:t>une instruction de blocage actuellement en place avec la banque.</w:t>
      </w:r>
    </w:p>
    <w:p w14:paraId="30D4CC06" w14:textId="77777777" w:rsidR="000C336F" w:rsidRPr="003B70C5" w:rsidRDefault="000C336F" w:rsidP="000C336F">
      <w:pPr>
        <w:tabs>
          <w:tab w:val="left" w:pos="6889"/>
        </w:tabs>
        <w:rPr>
          <w:rFonts w:cs="Arial"/>
          <w:b/>
          <w:color w:val="000000" w:themeColor="text1"/>
        </w:rPr>
      </w:pPr>
    </w:p>
    <w:p w14:paraId="6EA3E0F6" w14:textId="77777777" w:rsidR="000C336F" w:rsidRPr="003B70C5" w:rsidRDefault="000C336F" w:rsidP="000C336F">
      <w:pPr>
        <w:tabs>
          <w:tab w:val="left" w:pos="6889"/>
        </w:tabs>
        <w:rPr>
          <w:rFonts w:cs="Arial"/>
          <w:b/>
          <w:color w:val="000000" w:themeColor="text1"/>
        </w:rPr>
      </w:pPr>
    </w:p>
    <w:p w14:paraId="1FFA34F4" w14:textId="77777777" w:rsidR="000C336F" w:rsidRPr="003B70C5" w:rsidRDefault="000C336F" w:rsidP="000C336F">
      <w:pPr>
        <w:jc w:val="left"/>
        <w:rPr>
          <w:b/>
          <w:caps/>
        </w:rPr>
      </w:pPr>
      <w:bookmarkStart w:id="13" w:name="_Toc161842415"/>
      <w:r w:rsidRPr="003B70C5">
        <w:br w:type="page"/>
      </w:r>
    </w:p>
    <w:p w14:paraId="5CCE4A95" w14:textId="36C4B7E5" w:rsidR="000C336F" w:rsidRPr="003B70C5" w:rsidRDefault="00B33EE5" w:rsidP="00B33EE5">
      <w:pPr>
        <w:pStyle w:val="Heading1"/>
      </w:pPr>
      <w:bookmarkStart w:id="14" w:name="_Toc236922620"/>
      <w:r>
        <w:lastRenderedPageBreak/>
        <w:t>D</w:t>
      </w:r>
      <w:r w:rsidRPr="003B70C5">
        <w:t xml:space="preserve">éclaration sur le contrôle interne </w:t>
      </w:r>
      <w:bookmarkEnd w:id="13"/>
      <w:r w:rsidRPr="003B70C5">
        <w:t>2025</w:t>
      </w:r>
      <w:bookmarkEnd w:id="14"/>
    </w:p>
    <w:p w14:paraId="71101D14" w14:textId="77777777" w:rsidR="000C336F" w:rsidRPr="003B70C5" w:rsidRDefault="000C336F" w:rsidP="000C336F">
      <w:pPr>
        <w:pStyle w:val="BodyText"/>
        <w:rPr>
          <w:rFonts w:cs="Arial"/>
          <w:color w:val="000000" w:themeColor="text1"/>
        </w:rPr>
      </w:pPr>
    </w:p>
    <w:p w14:paraId="12387823" w14:textId="77777777" w:rsidR="000C336F" w:rsidRPr="003B70C5" w:rsidRDefault="000C336F" w:rsidP="000C336F">
      <w:pPr>
        <w:pStyle w:val="BodyText"/>
        <w:rPr>
          <w:rFonts w:cs="Arial"/>
          <w:color w:val="000000" w:themeColor="text1"/>
        </w:rPr>
      </w:pPr>
    </w:p>
    <w:p w14:paraId="1B659189" w14:textId="77777777" w:rsidR="000C336F" w:rsidRPr="003B70C5" w:rsidRDefault="000C336F" w:rsidP="000C336F">
      <w:pPr>
        <w:pStyle w:val="BodyText"/>
        <w:rPr>
          <w:b/>
          <w:bCs/>
        </w:rPr>
      </w:pPr>
      <w:r w:rsidRPr="003B70C5">
        <w:rPr>
          <w:b/>
        </w:rPr>
        <w:t>Étendue de la responsabilité</w:t>
      </w:r>
    </w:p>
    <w:p w14:paraId="228CFECD" w14:textId="77777777" w:rsidR="000C336F" w:rsidRPr="003B70C5" w:rsidRDefault="000C336F" w:rsidP="000C336F">
      <w:pPr>
        <w:pStyle w:val="BodyText"/>
        <w:rPr>
          <w:rFonts w:cs="Arial"/>
          <w:color w:val="000000" w:themeColor="text1"/>
        </w:rPr>
      </w:pPr>
    </w:p>
    <w:p w14:paraId="1617C3A2" w14:textId="2AB88D6B" w:rsidR="000C336F" w:rsidRPr="003B70C5" w:rsidRDefault="000C336F" w:rsidP="000C336F">
      <w:pPr>
        <w:ind w:right="-167"/>
        <w:rPr>
          <w:rFonts w:cs="Arial"/>
          <w:color w:val="000000" w:themeColor="text1"/>
        </w:rPr>
      </w:pPr>
      <w:r w:rsidRPr="003B70C5">
        <w:rPr>
          <w:color w:val="000000" w:themeColor="text1"/>
        </w:rPr>
        <w:t>En ma qualité de Secrétaire général de l</w:t>
      </w:r>
      <w:r w:rsidR="002B0172" w:rsidRPr="003B70C5">
        <w:rPr>
          <w:color w:val="000000" w:themeColor="text1"/>
        </w:rPr>
        <w:t>’</w:t>
      </w:r>
      <w:r w:rsidRPr="003B70C5">
        <w:rPr>
          <w:color w:val="000000" w:themeColor="text1"/>
        </w:rPr>
        <w:t>Union internationale pour la protection des obtentions végétales (UPOV), je dois répondre, conformément à la responsabilité qui m</w:t>
      </w:r>
      <w:r w:rsidR="002B0172" w:rsidRPr="003B70C5">
        <w:rPr>
          <w:color w:val="000000" w:themeColor="text1"/>
        </w:rPr>
        <w:t>’</w:t>
      </w:r>
      <w:r w:rsidRPr="003B70C5">
        <w:rPr>
          <w:color w:val="000000" w:themeColor="text1"/>
        </w:rPr>
        <w:t>est confiée, en particulier par l</w:t>
      </w:r>
      <w:r w:rsidR="002B0172" w:rsidRPr="003B70C5">
        <w:rPr>
          <w:color w:val="000000" w:themeColor="text1"/>
        </w:rPr>
        <w:t>’</w:t>
      </w:r>
      <w:r w:rsidRPr="003B70C5">
        <w:rPr>
          <w:color w:val="000000" w:themeColor="text1"/>
        </w:rPr>
        <w:t xml:space="preserve">article 5.8.d) du </w:t>
      </w:r>
      <w:r w:rsidR="002B436C" w:rsidRPr="002B436C">
        <w:rPr>
          <w:color w:val="000000" w:themeColor="text1"/>
        </w:rPr>
        <w:t xml:space="preserve">Règlement financier et règlement d’exécution du </w:t>
      </w:r>
      <w:r w:rsidR="007906FD" w:rsidRPr="002B436C">
        <w:rPr>
          <w:color w:val="000000" w:themeColor="text1"/>
        </w:rPr>
        <w:t xml:space="preserve">Règlement </w:t>
      </w:r>
      <w:r w:rsidR="002B436C" w:rsidRPr="002B436C">
        <w:rPr>
          <w:color w:val="000000" w:themeColor="text1"/>
        </w:rPr>
        <w:t xml:space="preserve">financier de </w:t>
      </w:r>
      <w:r w:rsidR="007906FD">
        <w:rPr>
          <w:color w:val="000000" w:themeColor="text1"/>
        </w:rPr>
        <w:t>l</w:t>
      </w:r>
      <w:r w:rsidR="002B436C" w:rsidRPr="002B436C">
        <w:rPr>
          <w:color w:val="000000" w:themeColor="text1"/>
        </w:rPr>
        <w:t>’UPOV</w:t>
      </w:r>
      <w:r w:rsidRPr="003B70C5">
        <w:rPr>
          <w:color w:val="000000" w:themeColor="text1"/>
        </w:rPr>
        <w:t>, de l</w:t>
      </w:r>
      <w:r w:rsidR="002B0172" w:rsidRPr="003B70C5">
        <w:rPr>
          <w:color w:val="000000" w:themeColor="text1"/>
        </w:rPr>
        <w:t>’</w:t>
      </w:r>
      <w:r w:rsidRPr="003B70C5">
        <w:rPr>
          <w:color w:val="000000" w:themeColor="text1"/>
        </w:rPr>
        <w:t>établissement d</w:t>
      </w:r>
      <w:r w:rsidR="002B0172" w:rsidRPr="003B70C5">
        <w:rPr>
          <w:color w:val="000000" w:themeColor="text1"/>
        </w:rPr>
        <w:t>’</w:t>
      </w:r>
      <w:r w:rsidRPr="003B70C5">
        <w:rPr>
          <w:color w:val="000000" w:themeColor="text1"/>
        </w:rPr>
        <w:t>un système de contrôle financier interne assurant</w:t>
      </w:r>
      <w:r w:rsidR="002B0172" w:rsidRPr="003B70C5">
        <w:rPr>
          <w:color w:val="000000" w:themeColor="text1"/>
        </w:rPr>
        <w:t> :</w:t>
      </w:r>
    </w:p>
    <w:p w14:paraId="28B8EA6E" w14:textId="77777777" w:rsidR="000C336F" w:rsidRPr="003B70C5" w:rsidRDefault="000C336F" w:rsidP="000C336F">
      <w:pPr>
        <w:rPr>
          <w:rFonts w:cs="Arial"/>
          <w:color w:val="000000" w:themeColor="text1"/>
        </w:rPr>
      </w:pPr>
    </w:p>
    <w:p w14:paraId="590649DD" w14:textId="2BF01EBB" w:rsidR="000C336F" w:rsidRPr="003B70C5" w:rsidRDefault="000C336F" w:rsidP="00B33EE5">
      <w:pPr>
        <w:numPr>
          <w:ilvl w:val="0"/>
          <w:numId w:val="11"/>
        </w:numPr>
        <w:tabs>
          <w:tab w:val="clear" w:pos="720"/>
        </w:tabs>
        <w:ind w:left="567" w:hanging="567"/>
        <w:jc w:val="left"/>
        <w:rPr>
          <w:rFonts w:cs="Arial"/>
          <w:color w:val="000000" w:themeColor="text1"/>
        </w:rPr>
      </w:pPr>
      <w:r w:rsidRPr="003B70C5">
        <w:rPr>
          <w:color w:val="000000" w:themeColor="text1"/>
        </w:rPr>
        <w:t>la régularité des opérations d</w:t>
      </w:r>
      <w:r w:rsidR="002B0172" w:rsidRPr="003B70C5">
        <w:rPr>
          <w:color w:val="000000" w:themeColor="text1"/>
        </w:rPr>
        <w:t>’</w:t>
      </w:r>
      <w:r w:rsidRPr="003B70C5">
        <w:rPr>
          <w:color w:val="000000" w:themeColor="text1"/>
        </w:rPr>
        <w:t>encaissement, de dépôt et d</w:t>
      </w:r>
      <w:r w:rsidR="002B0172" w:rsidRPr="003B70C5">
        <w:rPr>
          <w:color w:val="000000" w:themeColor="text1"/>
        </w:rPr>
        <w:t>’</w:t>
      </w:r>
      <w:r w:rsidRPr="003B70C5">
        <w:rPr>
          <w:color w:val="000000" w:themeColor="text1"/>
        </w:rPr>
        <w:t>emploi de tous les fonds et autres ressources financières de l</w:t>
      </w:r>
      <w:r w:rsidR="002B0172" w:rsidRPr="003B70C5">
        <w:rPr>
          <w:color w:val="000000" w:themeColor="text1"/>
        </w:rPr>
        <w:t>’</w:t>
      </w:r>
      <w:r w:rsidRPr="003B70C5">
        <w:rPr>
          <w:color w:val="000000" w:themeColor="text1"/>
        </w:rPr>
        <w:t>UPOV;</w:t>
      </w:r>
    </w:p>
    <w:p w14:paraId="614C7D33" w14:textId="2F558AED" w:rsidR="000C336F" w:rsidRPr="003B70C5" w:rsidRDefault="000C336F" w:rsidP="00B33EE5">
      <w:pPr>
        <w:numPr>
          <w:ilvl w:val="0"/>
          <w:numId w:val="11"/>
        </w:numPr>
        <w:tabs>
          <w:tab w:val="clear" w:pos="720"/>
        </w:tabs>
        <w:ind w:left="567" w:hanging="567"/>
        <w:jc w:val="left"/>
        <w:rPr>
          <w:rFonts w:cs="Arial"/>
          <w:color w:val="000000" w:themeColor="text1"/>
        </w:rPr>
      </w:pPr>
      <w:r w:rsidRPr="003B70C5">
        <w:rPr>
          <w:color w:val="000000" w:themeColor="text1"/>
        </w:rPr>
        <w:t>la conformité des engagements et dépenses soit avec les ouvertures de crédits ou autres dispositions financières approuvées par le Conseil, soit avec l</w:t>
      </w:r>
      <w:r w:rsidR="002B0172" w:rsidRPr="003B70C5">
        <w:rPr>
          <w:color w:val="000000" w:themeColor="text1"/>
        </w:rPr>
        <w:t>’</w:t>
      </w:r>
      <w:r w:rsidRPr="003B70C5">
        <w:rPr>
          <w:color w:val="000000" w:themeColor="text1"/>
        </w:rPr>
        <w:t>objet de fonds fiduciaires déterminés et avec les règles y relatives;  et</w:t>
      </w:r>
    </w:p>
    <w:p w14:paraId="4E6BE62B" w14:textId="6E7718BE" w:rsidR="000C336F" w:rsidRPr="003B70C5" w:rsidRDefault="000C336F" w:rsidP="00B33EE5">
      <w:pPr>
        <w:numPr>
          <w:ilvl w:val="0"/>
          <w:numId w:val="11"/>
        </w:numPr>
        <w:tabs>
          <w:tab w:val="clear" w:pos="720"/>
        </w:tabs>
        <w:ind w:left="567" w:hanging="567"/>
        <w:jc w:val="left"/>
        <w:rPr>
          <w:rFonts w:cs="Arial"/>
          <w:color w:val="000000" w:themeColor="text1"/>
        </w:rPr>
      </w:pPr>
      <w:r w:rsidRPr="003B70C5">
        <w:rPr>
          <w:color w:val="000000" w:themeColor="text1"/>
        </w:rPr>
        <w:t>l</w:t>
      </w:r>
      <w:r w:rsidR="002B0172" w:rsidRPr="003B70C5">
        <w:rPr>
          <w:color w:val="000000" w:themeColor="text1"/>
        </w:rPr>
        <w:t>’</w:t>
      </w:r>
      <w:r w:rsidRPr="003B70C5">
        <w:rPr>
          <w:color w:val="000000" w:themeColor="text1"/>
        </w:rPr>
        <w:t>utilisation efficace et économique des ressources de l</w:t>
      </w:r>
      <w:r w:rsidR="002B0172" w:rsidRPr="003B70C5">
        <w:rPr>
          <w:color w:val="000000" w:themeColor="text1"/>
        </w:rPr>
        <w:t>’</w:t>
      </w:r>
      <w:r w:rsidRPr="003B70C5">
        <w:rPr>
          <w:color w:val="000000" w:themeColor="text1"/>
        </w:rPr>
        <w:t>UPOV.</w:t>
      </w:r>
    </w:p>
    <w:p w14:paraId="1C69D4E4" w14:textId="77777777" w:rsidR="000C336F" w:rsidRPr="003B70C5" w:rsidRDefault="000C336F" w:rsidP="000C336F">
      <w:pPr>
        <w:rPr>
          <w:rFonts w:cs="Arial"/>
          <w:color w:val="000000" w:themeColor="text1"/>
        </w:rPr>
      </w:pPr>
    </w:p>
    <w:p w14:paraId="2318FD6E" w14:textId="303C475A" w:rsidR="000C336F" w:rsidRPr="003B70C5" w:rsidRDefault="000C336F" w:rsidP="000C336F">
      <w:pPr>
        <w:rPr>
          <w:rFonts w:cs="Arial"/>
          <w:color w:val="000000" w:themeColor="text1"/>
        </w:rPr>
      </w:pPr>
      <w:r w:rsidRPr="003B70C5">
        <w:t>En signant la présente déclaration, je m</w:t>
      </w:r>
      <w:r w:rsidR="002B0172" w:rsidRPr="003B70C5">
        <w:t>’</w:t>
      </w:r>
      <w:r w:rsidRPr="003B70C5">
        <w:t>appuie en particulier sur les garanties qui m</w:t>
      </w:r>
      <w:r w:rsidR="002B0172" w:rsidRPr="003B70C5">
        <w:t>’</w:t>
      </w:r>
      <w:r w:rsidRPr="003B70C5">
        <w:t>ont été présentées sous la forme de lettre de déclaration de responsabilité par la Secrétaire générale adjointe, le récapitulatif fourni par l</w:t>
      </w:r>
      <w:r w:rsidR="002B0172" w:rsidRPr="003B70C5">
        <w:t>’</w:t>
      </w:r>
      <w:r w:rsidRPr="003B70C5">
        <w:t>UPOV, ainsi que sur les fonctions de l</w:t>
      </w:r>
      <w:r w:rsidR="002B0172" w:rsidRPr="003B70C5">
        <w:t>’</w:t>
      </w:r>
      <w:r w:rsidRPr="003B70C5">
        <w:t>OMPI en matière de garanties qui contribuent conformément à l</w:t>
      </w:r>
      <w:r w:rsidR="002B0172" w:rsidRPr="003B70C5">
        <w:t>’</w:t>
      </w:r>
      <w:r w:rsidRPr="003B70C5">
        <w:t>Accord entre l</w:t>
      </w:r>
      <w:r w:rsidR="002B0172" w:rsidRPr="003B70C5">
        <w:t>’</w:t>
      </w:r>
      <w:r w:rsidRPr="003B70C5">
        <w:t>Organisation Mondiale de la Propriété Intellectuelle (OMPI) et l</w:t>
      </w:r>
      <w:r w:rsidR="002B0172" w:rsidRPr="003B70C5">
        <w:t>’</w:t>
      </w:r>
      <w:r w:rsidRPr="003B70C5">
        <w:t>UPOV (“Accord OMPI/UPOV”)</w:t>
      </w:r>
      <w:r w:rsidRPr="003B70C5">
        <w:rPr>
          <w:rStyle w:val="FootnoteReference"/>
          <w:rFonts w:cs="Arial"/>
          <w:color w:val="000000" w:themeColor="text1"/>
        </w:rPr>
        <w:footnoteReference w:id="2"/>
      </w:r>
      <w:r w:rsidRPr="003B70C5">
        <w:t>.</w:t>
      </w:r>
    </w:p>
    <w:p w14:paraId="10BF2D32" w14:textId="77777777" w:rsidR="000C336F" w:rsidRPr="003B70C5" w:rsidRDefault="000C336F" w:rsidP="000C336F">
      <w:pPr>
        <w:pStyle w:val="BodyText"/>
        <w:rPr>
          <w:rFonts w:cs="Arial"/>
          <w:color w:val="000000" w:themeColor="text1"/>
        </w:rPr>
      </w:pPr>
    </w:p>
    <w:p w14:paraId="11358E8A" w14:textId="77777777" w:rsidR="000C336F" w:rsidRPr="003B70C5" w:rsidRDefault="000C336F" w:rsidP="000C336F">
      <w:pPr>
        <w:rPr>
          <w:b/>
          <w:bCs/>
        </w:rPr>
      </w:pPr>
      <w:r w:rsidRPr="003B70C5">
        <w:rPr>
          <w:b/>
        </w:rPr>
        <w:t>Objet du système de contrôle interne</w:t>
      </w:r>
    </w:p>
    <w:p w14:paraId="4EAA0086" w14:textId="77777777" w:rsidR="000C336F" w:rsidRPr="003B70C5" w:rsidRDefault="000C336F" w:rsidP="000C336F">
      <w:pPr>
        <w:pStyle w:val="BodyText"/>
        <w:rPr>
          <w:rFonts w:cs="Arial"/>
          <w:color w:val="000000" w:themeColor="text1"/>
        </w:rPr>
      </w:pPr>
    </w:p>
    <w:p w14:paraId="6AE2FDF4" w14:textId="371D0AC1" w:rsidR="000C336F" w:rsidRPr="003B70C5" w:rsidRDefault="000C336F" w:rsidP="000C336F">
      <w:pPr>
        <w:pStyle w:val="BodyText"/>
        <w:rPr>
          <w:rFonts w:cs="Arial"/>
          <w:color w:val="000000" w:themeColor="text1"/>
        </w:rPr>
      </w:pPr>
      <w:r w:rsidRPr="003B70C5">
        <w:rPr>
          <w:color w:val="000000" w:themeColor="text1"/>
        </w:rPr>
        <w:t>Notre système de contrôle interne est un processus mis en œuvre par le Conseil, le Comité consultatif, le Secrétaire général, l</w:t>
      </w:r>
      <w:r w:rsidR="00DF0444">
        <w:rPr>
          <w:color w:val="000000" w:themeColor="text1"/>
        </w:rPr>
        <w:t>a</w:t>
      </w:r>
      <w:r w:rsidRPr="003B70C5">
        <w:rPr>
          <w:color w:val="000000" w:themeColor="text1"/>
        </w:rPr>
        <w:t xml:space="preserve"> Secrétaire général</w:t>
      </w:r>
      <w:r w:rsidR="00DF0444">
        <w:rPr>
          <w:color w:val="000000" w:themeColor="text1"/>
        </w:rPr>
        <w:t>e</w:t>
      </w:r>
      <w:r w:rsidRPr="003B70C5">
        <w:rPr>
          <w:color w:val="000000" w:themeColor="text1"/>
        </w:rPr>
        <w:t xml:space="preserve"> adjoint</w:t>
      </w:r>
      <w:r w:rsidR="00DF0444">
        <w:rPr>
          <w:color w:val="000000" w:themeColor="text1"/>
        </w:rPr>
        <w:t>e</w:t>
      </w:r>
      <w:r w:rsidRPr="003B70C5">
        <w:rPr>
          <w:color w:val="000000" w:themeColor="text1"/>
        </w:rPr>
        <w:t xml:space="preserve"> et d</w:t>
      </w:r>
      <w:r w:rsidR="002B0172" w:rsidRPr="003B70C5">
        <w:rPr>
          <w:color w:val="000000" w:themeColor="text1"/>
        </w:rPr>
        <w:t>’</w:t>
      </w:r>
      <w:r w:rsidRPr="003B70C5">
        <w:rPr>
          <w:color w:val="000000" w:themeColor="text1"/>
        </w:rPr>
        <w:t>autres hauts fonctionnaires, afin de fournir des garanties raisonnables quant à la capacité de l</w:t>
      </w:r>
      <w:r w:rsidR="002B0172" w:rsidRPr="003B70C5">
        <w:rPr>
          <w:color w:val="000000" w:themeColor="text1"/>
        </w:rPr>
        <w:t>’</w:t>
      </w:r>
      <w:r w:rsidRPr="003B70C5">
        <w:rPr>
          <w:color w:val="000000" w:themeColor="text1"/>
        </w:rPr>
        <w:t>UPOV de réaliser ses buts et objectifs et de mettre en œuvre des politiques connex</w:t>
      </w:r>
      <w:r w:rsidR="00D076B0" w:rsidRPr="003B70C5">
        <w:rPr>
          <w:color w:val="000000" w:themeColor="text1"/>
        </w:rPr>
        <w:t>es.  Le</w:t>
      </w:r>
      <w:r w:rsidRPr="003B70C5">
        <w:rPr>
          <w:color w:val="000000" w:themeColor="text1"/>
        </w:rPr>
        <w:t xml:space="preserve"> but de ce système de contrôle interne est de gérer le risque dans des limites tolérables plutôt que de l</w:t>
      </w:r>
      <w:r w:rsidR="002B0172" w:rsidRPr="003B70C5">
        <w:rPr>
          <w:color w:val="000000" w:themeColor="text1"/>
        </w:rPr>
        <w:t>’</w:t>
      </w:r>
      <w:r w:rsidRPr="003B70C5">
        <w:rPr>
          <w:color w:val="000000" w:themeColor="text1"/>
        </w:rPr>
        <w:t>éliminer entièreme</w:t>
      </w:r>
      <w:r w:rsidR="00D076B0" w:rsidRPr="003B70C5">
        <w:rPr>
          <w:color w:val="000000" w:themeColor="text1"/>
        </w:rPr>
        <w:t>nt.  En</w:t>
      </w:r>
      <w:r w:rsidRPr="003B70C5">
        <w:rPr>
          <w:color w:val="000000" w:themeColor="text1"/>
        </w:rPr>
        <w:t xml:space="preserve"> tant que tel, il vise à fournir des garanties raisonnables concernant les trois</w:t>
      </w:r>
      <w:r w:rsidR="00E2280F" w:rsidRPr="003B70C5">
        <w:rPr>
          <w:color w:val="000000" w:themeColor="text1"/>
        </w:rPr>
        <w:t> </w:t>
      </w:r>
      <w:r w:rsidRPr="003B70C5">
        <w:rPr>
          <w:color w:val="000000" w:themeColor="text1"/>
        </w:rPr>
        <w:t>domaines suivants</w:t>
      </w:r>
      <w:r w:rsidR="002B0172" w:rsidRPr="003B70C5">
        <w:rPr>
          <w:color w:val="000000" w:themeColor="text1"/>
        </w:rPr>
        <w:t> :</w:t>
      </w:r>
    </w:p>
    <w:p w14:paraId="21355B59" w14:textId="77777777" w:rsidR="000C336F" w:rsidRPr="003B70C5" w:rsidRDefault="000C336F" w:rsidP="000C336F">
      <w:pPr>
        <w:pStyle w:val="BodyText"/>
        <w:rPr>
          <w:rFonts w:cs="Arial"/>
          <w:color w:val="000000" w:themeColor="text1"/>
        </w:rPr>
      </w:pPr>
    </w:p>
    <w:p w14:paraId="16FE39C7" w14:textId="7A4F075A" w:rsidR="000C336F" w:rsidRPr="003B70C5" w:rsidRDefault="000C336F" w:rsidP="00FA3B04">
      <w:pPr>
        <w:pStyle w:val="ListParagraph"/>
        <w:widowControl w:val="0"/>
        <w:numPr>
          <w:ilvl w:val="1"/>
          <w:numId w:val="10"/>
        </w:numPr>
        <w:autoSpaceDE w:val="0"/>
        <w:autoSpaceDN w:val="0"/>
        <w:ind w:left="1134" w:hanging="567"/>
        <w:rPr>
          <w:color w:val="000000" w:themeColor="text1"/>
          <w:sz w:val="20"/>
        </w:rPr>
      </w:pPr>
      <w:r w:rsidRPr="003B70C5">
        <w:rPr>
          <w:color w:val="000000" w:themeColor="text1"/>
          <w:sz w:val="20"/>
        </w:rPr>
        <w:t>la fiabilité de l</w:t>
      </w:r>
      <w:r w:rsidR="002B0172" w:rsidRPr="003B70C5">
        <w:rPr>
          <w:color w:val="000000" w:themeColor="text1"/>
          <w:sz w:val="20"/>
        </w:rPr>
        <w:t>’</w:t>
      </w:r>
      <w:r w:rsidRPr="003B70C5">
        <w:rPr>
          <w:color w:val="000000" w:themeColor="text1"/>
          <w:sz w:val="20"/>
        </w:rPr>
        <w:t>information financière – les transactions sont autorisées et correctement enregistrées et les erreurs ou irrégularités importantes sont soit prévenues, soit détectées en temps utile;</w:t>
      </w:r>
    </w:p>
    <w:p w14:paraId="31FB55F8" w14:textId="5870787A" w:rsidR="000C336F" w:rsidRPr="003B70C5" w:rsidRDefault="000C336F" w:rsidP="00FA3B04">
      <w:pPr>
        <w:pStyle w:val="ListParagraph"/>
        <w:widowControl w:val="0"/>
        <w:numPr>
          <w:ilvl w:val="1"/>
          <w:numId w:val="10"/>
        </w:numPr>
        <w:autoSpaceDE w:val="0"/>
        <w:autoSpaceDN w:val="0"/>
        <w:ind w:left="1134" w:hanging="567"/>
        <w:rPr>
          <w:color w:val="000000" w:themeColor="text1"/>
          <w:sz w:val="20"/>
        </w:rPr>
      </w:pPr>
      <w:r w:rsidRPr="003B70C5">
        <w:rPr>
          <w:color w:val="000000" w:themeColor="text1"/>
          <w:sz w:val="20"/>
        </w:rPr>
        <w:t>l</w:t>
      </w:r>
      <w:r w:rsidR="002B0172" w:rsidRPr="003B70C5">
        <w:rPr>
          <w:color w:val="000000" w:themeColor="text1"/>
          <w:sz w:val="20"/>
        </w:rPr>
        <w:t>’</w:t>
      </w:r>
      <w:r w:rsidRPr="003B70C5">
        <w:rPr>
          <w:color w:val="000000" w:themeColor="text1"/>
          <w:sz w:val="20"/>
        </w:rPr>
        <w:t>efficacité et la rationalité des processus opérationnels, la préservation des actifs et l</w:t>
      </w:r>
      <w:r w:rsidR="002B0172" w:rsidRPr="003B70C5">
        <w:rPr>
          <w:color w:val="000000" w:themeColor="text1"/>
          <w:sz w:val="20"/>
        </w:rPr>
        <w:t>’</w:t>
      </w:r>
      <w:r w:rsidRPr="003B70C5">
        <w:rPr>
          <w:color w:val="000000" w:themeColor="text1"/>
          <w:sz w:val="20"/>
        </w:rPr>
        <w:t>application des principes d</w:t>
      </w:r>
      <w:r w:rsidR="002B0172" w:rsidRPr="003B70C5">
        <w:rPr>
          <w:color w:val="000000" w:themeColor="text1"/>
          <w:sz w:val="20"/>
        </w:rPr>
        <w:t>’</w:t>
      </w:r>
      <w:r w:rsidRPr="003B70C5">
        <w:rPr>
          <w:color w:val="000000" w:themeColor="text1"/>
          <w:sz w:val="20"/>
        </w:rPr>
        <w:t>économie;  et</w:t>
      </w:r>
    </w:p>
    <w:p w14:paraId="121DDA4C" w14:textId="16ECC1AB" w:rsidR="000C336F" w:rsidRPr="003B70C5" w:rsidRDefault="000C336F" w:rsidP="00FA3B04">
      <w:pPr>
        <w:pStyle w:val="ListParagraph"/>
        <w:widowControl w:val="0"/>
        <w:numPr>
          <w:ilvl w:val="1"/>
          <w:numId w:val="10"/>
        </w:numPr>
        <w:autoSpaceDE w:val="0"/>
        <w:autoSpaceDN w:val="0"/>
        <w:ind w:left="1134" w:hanging="567"/>
        <w:rPr>
          <w:color w:val="000000" w:themeColor="text1"/>
          <w:sz w:val="20"/>
        </w:rPr>
      </w:pPr>
      <w:r w:rsidRPr="003B70C5">
        <w:rPr>
          <w:color w:val="000000" w:themeColor="text1"/>
          <w:sz w:val="20"/>
        </w:rPr>
        <w:t>le respect du cadre réglementaire de l</w:t>
      </w:r>
      <w:r w:rsidR="002B0172" w:rsidRPr="003B70C5">
        <w:rPr>
          <w:color w:val="000000" w:themeColor="text1"/>
          <w:sz w:val="20"/>
        </w:rPr>
        <w:t>’</w:t>
      </w:r>
      <w:r w:rsidRPr="003B70C5">
        <w:rPr>
          <w:color w:val="000000" w:themeColor="text1"/>
          <w:sz w:val="20"/>
        </w:rPr>
        <w:t>UPOV.</w:t>
      </w:r>
    </w:p>
    <w:p w14:paraId="1E4C48DD" w14:textId="77777777" w:rsidR="000C336F" w:rsidRPr="003B70C5" w:rsidRDefault="000C336F" w:rsidP="000C336F">
      <w:pPr>
        <w:keepNext/>
        <w:keepLines/>
        <w:rPr>
          <w:rFonts w:cs="Arial"/>
          <w:color w:val="000000" w:themeColor="text1"/>
        </w:rPr>
      </w:pPr>
    </w:p>
    <w:p w14:paraId="68FBC60E" w14:textId="7949896D" w:rsidR="002B0172" w:rsidRPr="003B70C5" w:rsidRDefault="000C336F" w:rsidP="000C336F">
      <w:pPr>
        <w:rPr>
          <w:color w:val="000000" w:themeColor="text1"/>
        </w:rPr>
      </w:pPr>
      <w:r w:rsidRPr="003B70C5">
        <w:rPr>
          <w:color w:val="000000" w:themeColor="text1"/>
        </w:rPr>
        <w:t>Ainsi, sur un plan opérationnel, le système de contrôle interne de l</w:t>
      </w:r>
      <w:r w:rsidR="002B0172" w:rsidRPr="003B70C5">
        <w:rPr>
          <w:color w:val="000000" w:themeColor="text1"/>
        </w:rPr>
        <w:t>’</w:t>
      </w:r>
      <w:r w:rsidRPr="003B70C5">
        <w:rPr>
          <w:color w:val="000000" w:themeColor="text1"/>
        </w:rPr>
        <w:t>UPOV n</w:t>
      </w:r>
      <w:r w:rsidR="002B0172" w:rsidRPr="003B70C5">
        <w:rPr>
          <w:color w:val="000000" w:themeColor="text1"/>
        </w:rPr>
        <w:t>’</w:t>
      </w:r>
      <w:r w:rsidRPr="003B70C5">
        <w:rPr>
          <w:color w:val="000000" w:themeColor="text1"/>
        </w:rPr>
        <w:t>est pas simplement une politique ou une procédure appliquée de manière ponctuelle, mais plutôt un processus continu mis en œuvre à tous les niveaux de l</w:t>
      </w:r>
      <w:r w:rsidR="002B0172" w:rsidRPr="003B70C5">
        <w:rPr>
          <w:color w:val="000000" w:themeColor="text1"/>
        </w:rPr>
        <w:t>’</w:t>
      </w:r>
      <w:r w:rsidRPr="003B70C5">
        <w:rPr>
          <w:color w:val="000000" w:themeColor="text1"/>
        </w:rPr>
        <w:t>UPOV au moyen de mécanismes de contrôle interne visant à atteindre les objectifs susmentionnés.</w:t>
      </w:r>
    </w:p>
    <w:p w14:paraId="1C45EF7A" w14:textId="4168B530" w:rsidR="000C336F" w:rsidRPr="003B70C5" w:rsidRDefault="000C336F" w:rsidP="000C336F">
      <w:pPr>
        <w:pStyle w:val="BodyText"/>
        <w:rPr>
          <w:rFonts w:cs="Arial"/>
          <w:color w:val="000000" w:themeColor="text1"/>
        </w:rPr>
      </w:pPr>
    </w:p>
    <w:p w14:paraId="4200E892" w14:textId="15A6D893" w:rsidR="000C336F" w:rsidRPr="003B70C5" w:rsidRDefault="000C336F" w:rsidP="000C336F">
      <w:pPr>
        <w:pStyle w:val="BodyText"/>
        <w:rPr>
          <w:rFonts w:cs="Arial"/>
          <w:color w:val="000000" w:themeColor="text1"/>
        </w:rPr>
      </w:pPr>
      <w:r w:rsidRPr="003B70C5">
        <w:rPr>
          <w:color w:val="000000" w:themeColor="text1"/>
        </w:rPr>
        <w:t>La présente déclaration est présentée conformément aux sept</w:t>
      </w:r>
      <w:r w:rsidR="00E2280F" w:rsidRPr="003B70C5">
        <w:rPr>
          <w:color w:val="000000" w:themeColor="text1"/>
        </w:rPr>
        <w:t> </w:t>
      </w:r>
      <w:r w:rsidRPr="003B70C5">
        <w:rPr>
          <w:color w:val="000000" w:themeColor="text1"/>
        </w:rPr>
        <w:t>éléments du dispositif d</w:t>
      </w:r>
      <w:r w:rsidR="002B0172" w:rsidRPr="003B70C5">
        <w:rPr>
          <w:color w:val="000000" w:themeColor="text1"/>
        </w:rPr>
        <w:t>’</w:t>
      </w:r>
      <w:r w:rsidRPr="003B70C5">
        <w:rPr>
          <w:color w:val="000000" w:themeColor="text1"/>
        </w:rPr>
        <w:t>application du principe de responsabilité à l</w:t>
      </w:r>
      <w:r w:rsidR="002B0172" w:rsidRPr="003B70C5">
        <w:rPr>
          <w:color w:val="000000" w:themeColor="text1"/>
        </w:rPr>
        <w:t>’</w:t>
      </w:r>
      <w:r w:rsidRPr="003B70C5">
        <w:rPr>
          <w:color w:val="000000" w:themeColor="text1"/>
        </w:rPr>
        <w:t>UPOV (</w:t>
      </w:r>
      <w:r w:rsidR="002B0172" w:rsidRPr="003B70C5">
        <w:rPr>
          <w:color w:val="000000" w:themeColor="text1"/>
        </w:rPr>
        <w:t>document CC</w:t>
      </w:r>
      <w:r w:rsidRPr="003B70C5">
        <w:rPr>
          <w:color w:val="000000" w:themeColor="text1"/>
        </w:rPr>
        <w:t>/98/13), lui</w:t>
      </w:r>
      <w:r w:rsidR="002B0172" w:rsidRPr="003B70C5">
        <w:rPr>
          <w:color w:val="000000" w:themeColor="text1"/>
        </w:rPr>
        <w:t>-</w:t>
      </w:r>
      <w:r w:rsidRPr="003B70C5">
        <w:rPr>
          <w:color w:val="000000" w:themeColor="text1"/>
        </w:rPr>
        <w:t>même aligné sur le référentiel</w:t>
      </w:r>
      <w:r w:rsidR="002B0172" w:rsidRPr="003B70C5">
        <w:rPr>
          <w:color w:val="000000" w:themeColor="text1"/>
        </w:rPr>
        <w:t xml:space="preserve"> du COS</w:t>
      </w:r>
      <w:r w:rsidRPr="003B70C5">
        <w:rPr>
          <w:color w:val="000000" w:themeColor="text1"/>
        </w:rPr>
        <w:t>O</w:t>
      </w:r>
      <w:r w:rsidRPr="003B70C5">
        <w:rPr>
          <w:rStyle w:val="FootnoteReference"/>
          <w:rFonts w:cs="Arial"/>
          <w:color w:val="000000" w:themeColor="text1"/>
        </w:rPr>
        <w:footnoteReference w:id="3"/>
      </w:r>
      <w:r w:rsidRPr="003B70C5">
        <w:rPr>
          <w:color w:val="000000" w:themeColor="text1"/>
        </w:rPr>
        <w:t xml:space="preserve"> et le modèle des trois</w:t>
      </w:r>
      <w:r w:rsidR="00E2280F" w:rsidRPr="003B70C5">
        <w:rPr>
          <w:color w:val="000000" w:themeColor="text1"/>
        </w:rPr>
        <w:t> </w:t>
      </w:r>
      <w:r w:rsidRPr="003B70C5">
        <w:rPr>
          <w:color w:val="000000" w:themeColor="text1"/>
        </w:rPr>
        <w:t>lignes</w:t>
      </w:r>
      <w:r w:rsidRPr="003B70C5">
        <w:rPr>
          <w:rStyle w:val="FootnoteReference"/>
          <w:rFonts w:cs="Arial"/>
          <w:color w:val="000000" w:themeColor="text1"/>
        </w:rPr>
        <w:footnoteReference w:id="4"/>
      </w:r>
      <w:r w:rsidRPr="003B70C5">
        <w:rPr>
          <w:color w:val="000000" w:themeColor="text1"/>
        </w:rPr>
        <w:t>.</w:t>
      </w:r>
    </w:p>
    <w:p w14:paraId="37E70D4B" w14:textId="77777777" w:rsidR="000C336F" w:rsidRPr="003B70C5" w:rsidRDefault="000C336F" w:rsidP="000C336F">
      <w:pPr>
        <w:pStyle w:val="BodyText"/>
        <w:rPr>
          <w:rFonts w:cs="Arial"/>
          <w:color w:val="000000" w:themeColor="text1"/>
        </w:rPr>
      </w:pPr>
    </w:p>
    <w:p w14:paraId="35F5D16F" w14:textId="04FFDDDF" w:rsidR="000C336F" w:rsidRPr="003B70C5" w:rsidRDefault="000C336F" w:rsidP="000C336F">
      <w:pPr>
        <w:pStyle w:val="BodyText"/>
        <w:rPr>
          <w:rFonts w:cs="Arial"/>
          <w:color w:val="000000" w:themeColor="text1"/>
        </w:rPr>
      </w:pPr>
      <w:r w:rsidRPr="003B70C5">
        <w:rPr>
          <w:color w:val="000000" w:themeColor="text1"/>
        </w:rPr>
        <w:t>Ma présente déclaration sur les processus de contrôle interne de l</w:t>
      </w:r>
      <w:r w:rsidR="002B0172" w:rsidRPr="003B70C5">
        <w:rPr>
          <w:color w:val="000000" w:themeColor="text1"/>
        </w:rPr>
        <w:t>’</w:t>
      </w:r>
      <w:r w:rsidRPr="003B70C5">
        <w:rPr>
          <w:color w:val="000000" w:themeColor="text1"/>
        </w:rPr>
        <w:t>UPOV s</w:t>
      </w:r>
      <w:r w:rsidR="002B0172" w:rsidRPr="003B70C5">
        <w:rPr>
          <w:color w:val="000000" w:themeColor="text1"/>
        </w:rPr>
        <w:t>’</w:t>
      </w:r>
      <w:r w:rsidRPr="003B70C5">
        <w:rPr>
          <w:color w:val="000000" w:themeColor="text1"/>
        </w:rPr>
        <w:t>applique à l</w:t>
      </w:r>
      <w:r w:rsidR="002B0172" w:rsidRPr="003B70C5">
        <w:rPr>
          <w:color w:val="000000" w:themeColor="text1"/>
        </w:rPr>
        <w:t>’</w:t>
      </w:r>
      <w:r w:rsidRPr="003B70C5">
        <w:rPr>
          <w:color w:val="000000" w:themeColor="text1"/>
        </w:rPr>
        <w:t>exercice financier qui s</w:t>
      </w:r>
      <w:r w:rsidR="002B0172" w:rsidRPr="003B70C5">
        <w:rPr>
          <w:color w:val="000000" w:themeColor="text1"/>
        </w:rPr>
        <w:t>’</w:t>
      </w:r>
      <w:r w:rsidRPr="003B70C5">
        <w:rPr>
          <w:color w:val="000000" w:themeColor="text1"/>
        </w:rPr>
        <w:t>achève le 31 </w:t>
      </w:r>
      <w:r w:rsidR="002B0172" w:rsidRPr="003B70C5">
        <w:rPr>
          <w:color w:val="000000" w:themeColor="text1"/>
        </w:rPr>
        <w:t>décembre 20</w:t>
      </w:r>
      <w:r w:rsidRPr="003B70C5">
        <w:rPr>
          <w:color w:val="000000" w:themeColor="text1"/>
        </w:rPr>
        <w:t>25, à la date d</w:t>
      </w:r>
      <w:r w:rsidR="002B0172" w:rsidRPr="003B70C5">
        <w:rPr>
          <w:color w:val="000000" w:themeColor="text1"/>
        </w:rPr>
        <w:t>’</w:t>
      </w:r>
      <w:r w:rsidRPr="003B70C5">
        <w:rPr>
          <w:color w:val="000000" w:themeColor="text1"/>
        </w:rPr>
        <w:t>approbation des états financiers de l</w:t>
      </w:r>
      <w:r w:rsidR="002B0172" w:rsidRPr="003B70C5">
        <w:rPr>
          <w:color w:val="000000" w:themeColor="text1"/>
        </w:rPr>
        <w:t>’</w:t>
      </w:r>
      <w:r w:rsidRPr="003B70C5">
        <w:rPr>
          <w:color w:val="000000" w:themeColor="text1"/>
        </w:rPr>
        <w:t xml:space="preserve">UPOV </w:t>
      </w:r>
      <w:r w:rsidR="002B0172" w:rsidRPr="003B70C5">
        <w:rPr>
          <w:color w:val="000000" w:themeColor="text1"/>
        </w:rPr>
        <w:t>pour 2025</w:t>
      </w:r>
      <w:r w:rsidRPr="003B70C5">
        <w:rPr>
          <w:color w:val="000000" w:themeColor="text1"/>
        </w:rPr>
        <w:t>.</w:t>
      </w:r>
    </w:p>
    <w:p w14:paraId="32706B56" w14:textId="77777777" w:rsidR="000C336F" w:rsidRPr="003B70C5" w:rsidRDefault="000C336F" w:rsidP="000C336F">
      <w:pPr>
        <w:pStyle w:val="BodyText"/>
        <w:rPr>
          <w:rFonts w:cs="Arial"/>
          <w:color w:val="000000" w:themeColor="text1"/>
        </w:rPr>
      </w:pPr>
    </w:p>
    <w:p w14:paraId="1DD29E2E" w14:textId="77777777" w:rsidR="000C336F" w:rsidRPr="003B70C5" w:rsidRDefault="000C336F" w:rsidP="000C336F">
      <w:pPr>
        <w:jc w:val="left"/>
        <w:rPr>
          <w:rFonts w:eastAsiaTheme="majorEastAsia" w:cs="Arial"/>
          <w:b/>
          <w:color w:val="000000" w:themeColor="text1"/>
        </w:rPr>
      </w:pPr>
      <w:r w:rsidRPr="003B70C5">
        <w:br w:type="page"/>
      </w:r>
    </w:p>
    <w:p w14:paraId="340B1FAE" w14:textId="77777777" w:rsidR="000C336F" w:rsidRPr="003B70C5" w:rsidRDefault="000C336F" w:rsidP="000C336F">
      <w:pPr>
        <w:rPr>
          <w:rFonts w:eastAsiaTheme="majorEastAsia" w:cs="Arial"/>
          <w:b/>
          <w:color w:val="000000" w:themeColor="text1"/>
        </w:rPr>
      </w:pPr>
    </w:p>
    <w:p w14:paraId="5350D209" w14:textId="77777777" w:rsidR="002B0172" w:rsidRPr="003B70C5" w:rsidRDefault="000C336F" w:rsidP="00FA3B04">
      <w:pPr>
        <w:pStyle w:val="BodyText"/>
        <w:widowControl w:val="0"/>
        <w:numPr>
          <w:ilvl w:val="0"/>
          <w:numId w:val="13"/>
        </w:numPr>
        <w:autoSpaceDE w:val="0"/>
        <w:autoSpaceDN w:val="0"/>
        <w:ind w:left="1134" w:hanging="567"/>
        <w:jc w:val="left"/>
        <w:rPr>
          <w:b/>
        </w:rPr>
      </w:pPr>
      <w:r w:rsidRPr="003B70C5">
        <w:rPr>
          <w:b/>
        </w:rPr>
        <w:t>Planification axée sur les résultats</w:t>
      </w:r>
    </w:p>
    <w:p w14:paraId="72E275AF" w14:textId="3B76B028" w:rsidR="000C336F" w:rsidRPr="003B70C5" w:rsidRDefault="000C336F" w:rsidP="00D6364A"/>
    <w:p w14:paraId="7385D253" w14:textId="6CF6DE9C" w:rsidR="002B0172" w:rsidRPr="003B70C5" w:rsidRDefault="000C336F" w:rsidP="000C336F">
      <w:pPr>
        <w:rPr>
          <w:color w:val="000000" w:themeColor="text1"/>
        </w:rPr>
      </w:pPr>
      <w:r w:rsidRPr="003B70C5">
        <w:rPr>
          <w:color w:val="000000" w:themeColor="text1"/>
        </w:rPr>
        <w:t>L</w:t>
      </w:r>
      <w:r w:rsidR="002B0172" w:rsidRPr="003B70C5">
        <w:rPr>
          <w:color w:val="000000" w:themeColor="text1"/>
        </w:rPr>
        <w:t>’</w:t>
      </w:r>
      <w:r w:rsidRPr="003B70C5">
        <w:rPr>
          <w:color w:val="000000" w:themeColor="text1"/>
        </w:rPr>
        <w:t>UPOV a mis en place des procédures de gestion axée sur les résultats, guidées par le Plan de développement stratégique et inscrites dans un programme et budget biennal approuvé par le Conseil de l</w:t>
      </w:r>
      <w:r w:rsidR="002B0172" w:rsidRPr="003B70C5">
        <w:rPr>
          <w:color w:val="000000" w:themeColor="text1"/>
        </w:rPr>
        <w:t>’</w:t>
      </w:r>
      <w:r w:rsidRPr="003B70C5">
        <w:rPr>
          <w:color w:val="000000" w:themeColor="text1"/>
        </w:rPr>
        <w:t xml:space="preserve">UPOV. </w:t>
      </w:r>
      <w:r w:rsidR="00E2280F" w:rsidRPr="003B70C5">
        <w:rPr>
          <w:color w:val="000000" w:themeColor="text1"/>
        </w:rPr>
        <w:t xml:space="preserve"> </w:t>
      </w:r>
      <w:r w:rsidRPr="003B70C5">
        <w:rPr>
          <w:color w:val="000000" w:themeColor="text1"/>
        </w:rPr>
        <w:t>L</w:t>
      </w:r>
      <w:r w:rsidR="002B0172" w:rsidRPr="003B70C5">
        <w:rPr>
          <w:color w:val="000000" w:themeColor="text1"/>
        </w:rPr>
        <w:t>’</w:t>
      </w:r>
      <w:r w:rsidRPr="003B70C5">
        <w:rPr>
          <w:color w:val="000000" w:themeColor="text1"/>
        </w:rPr>
        <w:t>examen et l</w:t>
      </w:r>
      <w:r w:rsidR="002B0172" w:rsidRPr="003B70C5">
        <w:rPr>
          <w:color w:val="000000" w:themeColor="text1"/>
        </w:rPr>
        <w:t>’</w:t>
      </w:r>
      <w:r w:rsidRPr="003B70C5">
        <w:rPr>
          <w:color w:val="000000" w:themeColor="text1"/>
        </w:rPr>
        <w:t>approbation du programme et budget de l</w:t>
      </w:r>
      <w:r w:rsidR="002B0172" w:rsidRPr="003B70C5">
        <w:rPr>
          <w:color w:val="000000" w:themeColor="text1"/>
        </w:rPr>
        <w:t>’</w:t>
      </w:r>
      <w:r w:rsidRPr="003B70C5">
        <w:rPr>
          <w:color w:val="000000" w:themeColor="text1"/>
        </w:rPr>
        <w:t>UPOV comprennent l</w:t>
      </w:r>
      <w:r w:rsidR="002B0172" w:rsidRPr="003B70C5">
        <w:rPr>
          <w:color w:val="000000" w:themeColor="text1"/>
        </w:rPr>
        <w:t>’</w:t>
      </w:r>
      <w:r w:rsidRPr="003B70C5">
        <w:rPr>
          <w:color w:val="000000" w:themeColor="text1"/>
        </w:rPr>
        <w:t>approbation du programme de travail décrit dans la maison de la stratégie de l</w:t>
      </w:r>
      <w:r w:rsidR="002B0172" w:rsidRPr="003B70C5">
        <w:rPr>
          <w:color w:val="000000" w:themeColor="text1"/>
        </w:rPr>
        <w:t>’</w:t>
      </w:r>
      <w:r w:rsidRPr="003B70C5">
        <w:rPr>
          <w:color w:val="000000" w:themeColor="text1"/>
        </w:rPr>
        <w:t>UPOV et les ressources associées liées aux résultats escomptés.</w:t>
      </w:r>
    </w:p>
    <w:p w14:paraId="7A6B31E6" w14:textId="0FA6227D" w:rsidR="000C336F" w:rsidRPr="003B70C5" w:rsidRDefault="000C336F" w:rsidP="000C336F">
      <w:pPr>
        <w:rPr>
          <w:rFonts w:cs="Arial"/>
          <w:color w:val="000000" w:themeColor="text1"/>
        </w:rPr>
      </w:pPr>
    </w:p>
    <w:p w14:paraId="7D663A90" w14:textId="77777777" w:rsidR="000C336F" w:rsidRPr="003B70C5" w:rsidRDefault="000C336F" w:rsidP="000C336F">
      <w:pPr>
        <w:jc w:val="left"/>
        <w:rPr>
          <w:rFonts w:cs="Arial"/>
          <w:b/>
          <w:bCs/>
        </w:rPr>
      </w:pPr>
    </w:p>
    <w:p w14:paraId="55E1A9D0" w14:textId="77777777" w:rsidR="000C336F" w:rsidRPr="00FA3B04" w:rsidRDefault="000C336F" w:rsidP="00FA3B04">
      <w:pPr>
        <w:pStyle w:val="BodyText"/>
        <w:widowControl w:val="0"/>
        <w:numPr>
          <w:ilvl w:val="0"/>
          <w:numId w:val="13"/>
        </w:numPr>
        <w:autoSpaceDE w:val="0"/>
        <w:autoSpaceDN w:val="0"/>
        <w:ind w:left="1134" w:hanging="567"/>
        <w:jc w:val="left"/>
        <w:rPr>
          <w:b/>
        </w:rPr>
      </w:pPr>
      <w:r w:rsidRPr="003B70C5">
        <w:rPr>
          <w:b/>
        </w:rPr>
        <w:t>Gestion des performances et des risques</w:t>
      </w:r>
    </w:p>
    <w:p w14:paraId="4D3C6202" w14:textId="77777777" w:rsidR="000C336F" w:rsidRPr="003B70C5" w:rsidRDefault="000C336F" w:rsidP="00D6364A"/>
    <w:p w14:paraId="2088D194" w14:textId="48461DDD" w:rsidR="000C336F" w:rsidRPr="003B70C5" w:rsidRDefault="000C336F" w:rsidP="000C336F">
      <w:pPr>
        <w:rPr>
          <w:rFonts w:cs="Arial"/>
          <w:color w:val="000000" w:themeColor="text1"/>
        </w:rPr>
      </w:pPr>
      <w:r w:rsidRPr="003B70C5">
        <w:rPr>
          <w:color w:val="000000" w:themeColor="text1"/>
        </w:rPr>
        <w:t>Des rapports complets et détaillés sont communiqués aux membres dans le Rapport sur la performance de l</w:t>
      </w:r>
      <w:r w:rsidR="002B0172" w:rsidRPr="003B70C5">
        <w:rPr>
          <w:color w:val="000000" w:themeColor="text1"/>
        </w:rPr>
        <w:t>’</w:t>
      </w:r>
      <w:r w:rsidRPr="003B70C5">
        <w:rPr>
          <w:color w:val="000000" w:themeColor="text1"/>
        </w:rPr>
        <w:t>UPOV conformément au Règlement financier et au règlement d</w:t>
      </w:r>
      <w:r w:rsidR="002B0172" w:rsidRPr="003B70C5">
        <w:rPr>
          <w:color w:val="000000" w:themeColor="text1"/>
        </w:rPr>
        <w:t>’</w:t>
      </w:r>
      <w:r w:rsidRPr="003B70C5">
        <w:rPr>
          <w:color w:val="000000" w:themeColor="text1"/>
        </w:rPr>
        <w:t>exécution du Règlement financier de l</w:t>
      </w:r>
      <w:r w:rsidR="002B0172" w:rsidRPr="003B70C5">
        <w:rPr>
          <w:color w:val="000000" w:themeColor="text1"/>
        </w:rPr>
        <w:t>’</w:t>
      </w:r>
      <w:r w:rsidRPr="003B70C5">
        <w:rPr>
          <w:color w:val="000000" w:themeColor="text1"/>
        </w:rPr>
        <w:t>UPOV, afin de garantir la clarté et la transparence des données financières et programmatiques de l</w:t>
      </w:r>
      <w:r w:rsidR="002B0172" w:rsidRPr="003B70C5">
        <w:rPr>
          <w:color w:val="000000" w:themeColor="text1"/>
        </w:rPr>
        <w:t>’</w:t>
      </w:r>
      <w:r w:rsidRPr="003B70C5">
        <w:rPr>
          <w:color w:val="000000" w:themeColor="text1"/>
        </w:rPr>
        <w:t>UPOV.</w:t>
      </w:r>
    </w:p>
    <w:p w14:paraId="3BDCCEFE" w14:textId="77777777" w:rsidR="000C336F" w:rsidRPr="003B70C5" w:rsidRDefault="000C336F" w:rsidP="000C336F">
      <w:pPr>
        <w:rPr>
          <w:rFonts w:cs="Arial"/>
        </w:rPr>
      </w:pPr>
    </w:p>
    <w:p w14:paraId="20FDB0E7" w14:textId="68CAA2CA" w:rsidR="000C336F" w:rsidRPr="003B70C5" w:rsidRDefault="002B0172" w:rsidP="000C336F">
      <w:pPr>
        <w:rPr>
          <w:rFonts w:cs="Arial"/>
          <w:color w:val="000000" w:themeColor="text1"/>
        </w:rPr>
      </w:pPr>
      <w:r w:rsidRPr="003B70C5">
        <w:rPr>
          <w:color w:val="000000" w:themeColor="text1"/>
        </w:rPr>
        <w:t>En 2025</w:t>
      </w:r>
      <w:r w:rsidR="000C336F" w:rsidRPr="003B70C5">
        <w:rPr>
          <w:color w:val="000000" w:themeColor="text1"/>
        </w:rPr>
        <w:t>, l</w:t>
      </w:r>
      <w:r w:rsidRPr="003B70C5">
        <w:rPr>
          <w:color w:val="000000" w:themeColor="text1"/>
        </w:rPr>
        <w:t>’</w:t>
      </w:r>
      <w:r w:rsidR="000C336F" w:rsidRPr="003B70C5">
        <w:rPr>
          <w:color w:val="000000" w:themeColor="text1"/>
        </w:rPr>
        <w:t>UPOV a continué de suivre les principaux risques, qui sont consignés dans le système de gestion des risques au niveau de l</w:t>
      </w:r>
      <w:r w:rsidRPr="003B70C5">
        <w:rPr>
          <w:color w:val="000000" w:themeColor="text1"/>
        </w:rPr>
        <w:t>’</w:t>
      </w:r>
      <w:r w:rsidR="000C336F" w:rsidRPr="003B70C5">
        <w:rPr>
          <w:color w:val="000000" w:themeColor="text1"/>
        </w:rPr>
        <w:t>Organisation et continueront d</w:t>
      </w:r>
      <w:r w:rsidRPr="003B70C5">
        <w:rPr>
          <w:color w:val="000000" w:themeColor="text1"/>
        </w:rPr>
        <w:t>’</w:t>
      </w:r>
      <w:r w:rsidR="000C336F" w:rsidRPr="003B70C5">
        <w:rPr>
          <w:color w:val="000000" w:themeColor="text1"/>
        </w:rPr>
        <w:t>être gérés et réévalués au fil du tem</w:t>
      </w:r>
      <w:r w:rsidR="00D076B0" w:rsidRPr="003B70C5">
        <w:rPr>
          <w:color w:val="000000" w:themeColor="text1"/>
        </w:rPr>
        <w:t>ps.  Le</w:t>
      </w:r>
      <w:r w:rsidR="000C336F" w:rsidRPr="003B70C5">
        <w:rPr>
          <w:color w:val="000000" w:themeColor="text1"/>
        </w:rPr>
        <w:t>s principaux risques et le traitement approprié de ces risques ont été examinés de manière réguliè</w:t>
      </w:r>
      <w:r w:rsidR="00D076B0" w:rsidRPr="003B70C5">
        <w:rPr>
          <w:color w:val="000000" w:themeColor="text1"/>
        </w:rPr>
        <w:t>re.  Il</w:t>
      </w:r>
      <w:r w:rsidR="000C336F" w:rsidRPr="003B70C5">
        <w:rPr>
          <w:color w:val="000000" w:themeColor="text1"/>
        </w:rPr>
        <w:t xml:space="preserve"> s</w:t>
      </w:r>
      <w:r w:rsidRPr="003B70C5">
        <w:rPr>
          <w:color w:val="000000" w:themeColor="text1"/>
        </w:rPr>
        <w:t>’</w:t>
      </w:r>
      <w:r w:rsidR="000C336F" w:rsidRPr="003B70C5">
        <w:rPr>
          <w:color w:val="000000" w:themeColor="text1"/>
        </w:rPr>
        <w:t>agit notamment des risques énoncés ci</w:t>
      </w:r>
      <w:r w:rsidRPr="003B70C5">
        <w:rPr>
          <w:color w:val="000000" w:themeColor="text1"/>
        </w:rPr>
        <w:t>-</w:t>
      </w:r>
      <w:r w:rsidR="000C336F" w:rsidRPr="003B70C5">
        <w:rPr>
          <w:color w:val="000000" w:themeColor="text1"/>
        </w:rPr>
        <w:t xml:space="preserve">après, auxquels nous avons été confrontés </w:t>
      </w:r>
      <w:r w:rsidRPr="003B70C5">
        <w:rPr>
          <w:color w:val="000000" w:themeColor="text1"/>
        </w:rPr>
        <w:t>en 2025</w:t>
      </w:r>
      <w:r w:rsidR="000C336F" w:rsidRPr="003B70C5">
        <w:rPr>
          <w:color w:val="000000" w:themeColor="text1"/>
        </w:rPr>
        <w:t xml:space="preserve"> et auxquels nous serons confrontés au</w:t>
      </w:r>
      <w:r w:rsidRPr="003B70C5">
        <w:rPr>
          <w:color w:val="000000" w:themeColor="text1"/>
        </w:rPr>
        <w:t>-</w:t>
      </w:r>
      <w:r w:rsidR="000C336F" w:rsidRPr="003B70C5">
        <w:rPr>
          <w:color w:val="000000" w:themeColor="text1"/>
        </w:rPr>
        <w:t>delà</w:t>
      </w:r>
      <w:r w:rsidRPr="003B70C5">
        <w:rPr>
          <w:color w:val="000000" w:themeColor="text1"/>
        </w:rPr>
        <w:t> :</w:t>
      </w:r>
    </w:p>
    <w:p w14:paraId="3F786476" w14:textId="77777777" w:rsidR="000C336F" w:rsidRPr="003B70C5" w:rsidRDefault="000C336F" w:rsidP="000C336F">
      <w:pPr>
        <w:pStyle w:val="BodyText"/>
        <w:rPr>
          <w:rFonts w:cs="Arial"/>
          <w:color w:val="000000" w:themeColor="text1"/>
        </w:rPr>
      </w:pPr>
    </w:p>
    <w:tbl>
      <w:tblPr>
        <w:tblW w:w="9752" w:type="dxa"/>
        <w:tblCellMar>
          <w:left w:w="0" w:type="dxa"/>
          <w:right w:w="0" w:type="dxa"/>
        </w:tblCellMar>
        <w:tblLook w:val="04A0" w:firstRow="1" w:lastRow="0" w:firstColumn="1" w:lastColumn="0" w:noHBand="0" w:noVBand="1"/>
      </w:tblPr>
      <w:tblGrid>
        <w:gridCol w:w="2097"/>
        <w:gridCol w:w="3299"/>
        <w:gridCol w:w="4356"/>
      </w:tblGrid>
      <w:tr w:rsidR="000C336F" w:rsidRPr="003B70C5" w14:paraId="48FB0DD8" w14:textId="77777777" w:rsidTr="00313878">
        <w:trPr>
          <w:trHeight w:val="228"/>
        </w:trPr>
        <w:tc>
          <w:tcPr>
            <w:tcW w:w="2097"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08B2D4D8" w14:textId="77777777" w:rsidR="000C336F" w:rsidRPr="003B70C5" w:rsidRDefault="000C336F" w:rsidP="00313878">
            <w:pPr>
              <w:pStyle w:val="BodyText"/>
              <w:spacing w:before="20" w:after="60"/>
              <w:rPr>
                <w:rFonts w:cs="Arial"/>
                <w:color w:val="FFFFFF" w:themeColor="background1"/>
              </w:rPr>
            </w:pPr>
            <w:r w:rsidRPr="003B70C5">
              <w:rPr>
                <w:b/>
                <w:color w:val="FFFFFF" w:themeColor="background1"/>
              </w:rPr>
              <w:t>Pilier stratégique</w:t>
            </w:r>
          </w:p>
        </w:tc>
        <w:tc>
          <w:tcPr>
            <w:tcW w:w="3299"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4F9C0B01" w14:textId="77777777" w:rsidR="000C336F" w:rsidRPr="003B70C5" w:rsidRDefault="000C336F" w:rsidP="00313878">
            <w:pPr>
              <w:pStyle w:val="BodyText"/>
              <w:spacing w:before="20" w:after="60"/>
              <w:rPr>
                <w:rFonts w:cs="Arial"/>
                <w:color w:val="FFFFFF" w:themeColor="background1"/>
              </w:rPr>
            </w:pPr>
            <w:r w:rsidRPr="003B70C5">
              <w:rPr>
                <w:b/>
                <w:color w:val="FFFFFF" w:themeColor="background1"/>
              </w:rPr>
              <w:t>Description du risque</w:t>
            </w:r>
          </w:p>
        </w:tc>
        <w:tc>
          <w:tcPr>
            <w:tcW w:w="4356"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305F0978" w14:textId="77777777" w:rsidR="000C336F" w:rsidRPr="003B70C5" w:rsidRDefault="000C336F" w:rsidP="00313878">
            <w:pPr>
              <w:pStyle w:val="BodyText"/>
              <w:spacing w:before="20" w:after="60"/>
              <w:rPr>
                <w:rFonts w:cs="Arial"/>
                <w:color w:val="FFFFFF" w:themeColor="background1"/>
              </w:rPr>
            </w:pPr>
            <w:r w:rsidRPr="003B70C5">
              <w:rPr>
                <w:b/>
                <w:color w:val="FFFFFF" w:themeColor="background1"/>
              </w:rPr>
              <w:t>Contrôle et atténuation</w:t>
            </w:r>
          </w:p>
        </w:tc>
      </w:tr>
      <w:tr w:rsidR="000C336F" w:rsidRPr="003B70C5" w14:paraId="50CA3654" w14:textId="77777777" w:rsidTr="00313878">
        <w:trPr>
          <w:trHeight w:val="1717"/>
        </w:trPr>
        <w:tc>
          <w:tcPr>
            <w:tcW w:w="2097"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624EFBB9" w14:textId="622A2409" w:rsidR="000C336F" w:rsidRPr="003B70C5" w:rsidRDefault="000C336F" w:rsidP="00313878">
            <w:pPr>
              <w:pStyle w:val="BodyText"/>
              <w:spacing w:before="60" w:after="120"/>
              <w:jc w:val="left"/>
              <w:rPr>
                <w:rFonts w:cs="Arial"/>
                <w:b/>
                <w:color w:val="000000" w:themeColor="text1"/>
                <w:sz w:val="18"/>
                <w:szCs w:val="18"/>
              </w:rPr>
            </w:pPr>
            <w:r w:rsidRPr="003B70C5">
              <w:rPr>
                <w:b/>
                <w:color w:val="000000" w:themeColor="text1"/>
                <w:sz w:val="18"/>
              </w:rPr>
              <w:t>Pilier n° 1 – réunir les parties prenantes pour contribuer à façonner le système de l</w:t>
            </w:r>
            <w:r w:rsidR="002B0172" w:rsidRPr="003B70C5">
              <w:rPr>
                <w:b/>
                <w:color w:val="000000" w:themeColor="text1"/>
                <w:sz w:val="18"/>
              </w:rPr>
              <w:t>’</w:t>
            </w:r>
            <w:r w:rsidRPr="003B70C5">
              <w:rPr>
                <w:b/>
                <w:color w:val="000000" w:themeColor="text1"/>
                <w:sz w:val="18"/>
              </w:rPr>
              <w:t>UPOV</w:t>
            </w:r>
          </w:p>
        </w:tc>
        <w:tc>
          <w:tcPr>
            <w:tcW w:w="3299"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0B1BC366" w14:textId="3CCF48C2" w:rsidR="000C336F" w:rsidRPr="003B70C5" w:rsidRDefault="000C336F" w:rsidP="00313878">
            <w:pPr>
              <w:rPr>
                <w:rFonts w:cs="Arial"/>
                <w:sz w:val="18"/>
                <w:szCs w:val="18"/>
              </w:rPr>
            </w:pPr>
            <w:r w:rsidRPr="003B70C5">
              <w:rPr>
                <w:sz w:val="18"/>
              </w:rPr>
              <w:t>L</w:t>
            </w:r>
            <w:r w:rsidR="002B0172" w:rsidRPr="003B70C5">
              <w:rPr>
                <w:sz w:val="18"/>
              </w:rPr>
              <w:t>’</w:t>
            </w:r>
            <w:r w:rsidRPr="003B70C5">
              <w:rPr>
                <w:sz w:val="18"/>
              </w:rPr>
              <w:t>élaboration des politiques ou l</w:t>
            </w:r>
            <w:r w:rsidR="002B0172" w:rsidRPr="003B70C5">
              <w:rPr>
                <w:sz w:val="18"/>
              </w:rPr>
              <w:t>’</w:t>
            </w:r>
            <w:r w:rsidRPr="003B70C5">
              <w:rPr>
                <w:sz w:val="18"/>
              </w:rPr>
              <w:t>adoption de mesures législatives reportent ou empêchent l</w:t>
            </w:r>
            <w:r w:rsidR="002B0172" w:rsidRPr="003B70C5">
              <w:rPr>
                <w:sz w:val="18"/>
              </w:rPr>
              <w:t>’</w:t>
            </w:r>
            <w:r w:rsidRPr="003B70C5">
              <w:rPr>
                <w:sz w:val="18"/>
              </w:rPr>
              <w:t>adhésion ou la ratification de l</w:t>
            </w:r>
            <w:r w:rsidR="002B0172" w:rsidRPr="003B70C5">
              <w:rPr>
                <w:sz w:val="18"/>
              </w:rPr>
              <w:t>’</w:t>
            </w:r>
            <w:r w:rsidRPr="003B70C5">
              <w:rPr>
                <w:sz w:val="18"/>
              </w:rPr>
              <w:t xml:space="preserve">Acte </w:t>
            </w:r>
            <w:r w:rsidR="002B0172" w:rsidRPr="003B70C5">
              <w:rPr>
                <w:sz w:val="18"/>
              </w:rPr>
              <w:t>de 1991</w:t>
            </w:r>
            <w:r w:rsidRPr="003B70C5">
              <w:rPr>
                <w:sz w:val="18"/>
              </w:rPr>
              <w:t xml:space="preserve"> de la </w:t>
            </w:r>
            <w:r w:rsidR="002B0172" w:rsidRPr="003B70C5">
              <w:rPr>
                <w:sz w:val="18"/>
              </w:rPr>
              <w:t>Convention UPOV</w:t>
            </w:r>
            <w:r w:rsidRPr="003B70C5">
              <w:rPr>
                <w:sz w:val="18"/>
              </w:rPr>
              <w:t>.</w:t>
            </w:r>
            <w:r w:rsidR="00E2280F" w:rsidRPr="003B70C5">
              <w:rPr>
                <w:sz w:val="18"/>
              </w:rPr>
              <w:t xml:space="preserve">  </w:t>
            </w:r>
          </w:p>
        </w:tc>
        <w:tc>
          <w:tcPr>
            <w:tcW w:w="4356"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4323D5B4" w14:textId="77270DA5" w:rsidR="000C336F" w:rsidRPr="003B70C5" w:rsidRDefault="000C336F" w:rsidP="00313878">
            <w:pPr>
              <w:pStyle w:val="BodyText"/>
              <w:spacing w:before="60" w:after="120"/>
              <w:rPr>
                <w:rFonts w:cs="Arial"/>
                <w:color w:val="000000" w:themeColor="text1"/>
                <w:sz w:val="18"/>
                <w:szCs w:val="18"/>
              </w:rPr>
            </w:pPr>
            <w:r w:rsidRPr="003B70C5">
              <w:rPr>
                <w:sz w:val="18"/>
              </w:rPr>
              <w:t>Renforcer les activités d</w:t>
            </w:r>
            <w:r w:rsidR="002B0172" w:rsidRPr="003B70C5">
              <w:rPr>
                <w:sz w:val="18"/>
              </w:rPr>
              <w:t>’</w:t>
            </w:r>
            <w:r w:rsidRPr="003B70C5">
              <w:rPr>
                <w:sz w:val="18"/>
              </w:rPr>
              <w:t>orientation législative et de sensibilisation démontrant les avantages de l</w:t>
            </w:r>
            <w:r w:rsidR="002B0172" w:rsidRPr="003B70C5">
              <w:rPr>
                <w:sz w:val="18"/>
              </w:rPr>
              <w:t>’</w:t>
            </w:r>
            <w:r w:rsidRPr="003B70C5">
              <w:rPr>
                <w:sz w:val="18"/>
              </w:rPr>
              <w:t>UPOV tout en soutenant les objectifs de développement des pays grâce à des programmes et des forums de participation visant à montrer comment l</w:t>
            </w:r>
            <w:r w:rsidR="002B0172" w:rsidRPr="003B70C5">
              <w:rPr>
                <w:sz w:val="18"/>
              </w:rPr>
              <w:t>’</w:t>
            </w:r>
            <w:r w:rsidRPr="003B70C5">
              <w:rPr>
                <w:sz w:val="18"/>
              </w:rPr>
              <w:t>adhésion à l</w:t>
            </w:r>
            <w:r w:rsidR="002B0172" w:rsidRPr="003B70C5">
              <w:rPr>
                <w:sz w:val="18"/>
              </w:rPr>
              <w:t>’</w:t>
            </w:r>
            <w:r w:rsidRPr="003B70C5">
              <w:rPr>
                <w:sz w:val="18"/>
              </w:rPr>
              <w:t>UPOV contribue au développement agricole.</w:t>
            </w:r>
            <w:r w:rsidR="00E2280F" w:rsidRPr="003B70C5">
              <w:rPr>
                <w:sz w:val="18"/>
              </w:rPr>
              <w:t xml:space="preserve"> </w:t>
            </w:r>
            <w:r w:rsidRPr="003B70C5">
              <w:rPr>
                <w:sz w:val="18"/>
              </w:rPr>
              <w:t xml:space="preserve"> </w:t>
            </w:r>
          </w:p>
        </w:tc>
      </w:tr>
      <w:tr w:rsidR="000C336F" w:rsidRPr="003B70C5" w14:paraId="56E71E11" w14:textId="77777777" w:rsidTr="00313878">
        <w:trPr>
          <w:trHeight w:val="1495"/>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7893097B" w14:textId="4FE103C9" w:rsidR="000C336F" w:rsidRPr="003B70C5" w:rsidRDefault="000C336F" w:rsidP="00313878">
            <w:pPr>
              <w:pStyle w:val="BodyText"/>
              <w:spacing w:before="60" w:after="120"/>
              <w:jc w:val="left"/>
              <w:rPr>
                <w:rFonts w:cs="Arial"/>
                <w:b/>
                <w:color w:val="000000" w:themeColor="text1"/>
                <w:sz w:val="18"/>
                <w:szCs w:val="18"/>
              </w:rPr>
            </w:pPr>
            <w:r w:rsidRPr="003B70C5">
              <w:rPr>
                <w:b/>
                <w:color w:val="000000" w:themeColor="text1"/>
                <w:sz w:val="18"/>
              </w:rPr>
              <w:t>Pilier n° 2 – fournir des orientations et une assistance et faciliter la coopération pour la mise en place du système de l</w:t>
            </w:r>
            <w:r w:rsidR="002B0172" w:rsidRPr="003B70C5">
              <w:rPr>
                <w:b/>
                <w:color w:val="000000" w:themeColor="text1"/>
                <w:sz w:val="18"/>
              </w:rPr>
              <w:t>’</w:t>
            </w:r>
            <w:r w:rsidRPr="003B70C5">
              <w:rPr>
                <w:b/>
                <w:color w:val="000000" w:themeColor="text1"/>
                <w:sz w:val="18"/>
              </w:rPr>
              <w:t>UPOV</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3BDFB323" w14:textId="6D628944" w:rsidR="000C336F" w:rsidRPr="003B70C5" w:rsidRDefault="000C336F" w:rsidP="00313878">
            <w:pPr>
              <w:pStyle w:val="BodyText"/>
              <w:spacing w:before="60" w:after="120"/>
              <w:rPr>
                <w:rFonts w:cs="Arial"/>
                <w:color w:val="000000" w:themeColor="text1"/>
                <w:sz w:val="18"/>
                <w:szCs w:val="18"/>
              </w:rPr>
            </w:pPr>
            <w:r w:rsidRPr="003B70C5">
              <w:rPr>
                <w:color w:val="000000" w:themeColor="text1"/>
                <w:sz w:val="18"/>
              </w:rPr>
              <w:t>La visibilité réduite et la mauvaise compréhension du rôle et des avantages de l</w:t>
            </w:r>
            <w:r w:rsidR="002B0172" w:rsidRPr="003B70C5">
              <w:rPr>
                <w:color w:val="000000" w:themeColor="text1"/>
                <w:sz w:val="18"/>
              </w:rPr>
              <w:t>’</w:t>
            </w:r>
            <w:r w:rsidRPr="003B70C5">
              <w:rPr>
                <w:color w:val="000000" w:themeColor="text1"/>
                <w:sz w:val="18"/>
              </w:rPr>
              <w:t xml:space="preserve">UPOV ont un impact sur son expansion.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0FE81E82" w14:textId="24777D48" w:rsidR="000C336F" w:rsidRPr="003B70C5" w:rsidRDefault="000C336F" w:rsidP="00313878">
            <w:pPr>
              <w:pStyle w:val="BodyText"/>
              <w:spacing w:before="60" w:after="120"/>
              <w:rPr>
                <w:rFonts w:cs="Arial"/>
                <w:color w:val="000000" w:themeColor="text1"/>
                <w:sz w:val="18"/>
                <w:szCs w:val="18"/>
              </w:rPr>
            </w:pPr>
            <w:r w:rsidRPr="003B70C5">
              <w:rPr>
                <w:sz w:val="18"/>
              </w:rPr>
              <w:t>Mettre en œuvre une stratégie de communication ciblée à travers plusieurs canaux (site</w:t>
            </w:r>
            <w:r w:rsidR="00E2280F" w:rsidRPr="003B70C5">
              <w:rPr>
                <w:sz w:val="18"/>
              </w:rPr>
              <w:t> </w:t>
            </w:r>
            <w:r w:rsidRPr="003B70C5">
              <w:rPr>
                <w:sz w:val="18"/>
              </w:rPr>
              <w:t>Web, réseaux sociaux, manifestations) et élaborer des contenus attrayants afin de démontrer les avantages du système UPOV à l</w:t>
            </w:r>
            <w:r w:rsidR="002B0172" w:rsidRPr="003B70C5">
              <w:rPr>
                <w:sz w:val="18"/>
              </w:rPr>
              <w:t>’</w:t>
            </w:r>
            <w:r w:rsidRPr="003B70C5">
              <w:rPr>
                <w:sz w:val="18"/>
              </w:rPr>
              <w:t>aide d</w:t>
            </w:r>
            <w:r w:rsidR="002B0172" w:rsidRPr="003B70C5">
              <w:rPr>
                <w:sz w:val="18"/>
              </w:rPr>
              <w:t>’</w:t>
            </w:r>
            <w:r w:rsidRPr="003B70C5">
              <w:rPr>
                <w:sz w:val="18"/>
              </w:rPr>
              <w:t>études de cas et d</w:t>
            </w:r>
            <w:r w:rsidR="002B0172" w:rsidRPr="003B70C5">
              <w:rPr>
                <w:sz w:val="18"/>
              </w:rPr>
              <w:t>’</w:t>
            </w:r>
            <w:r w:rsidRPr="003B70C5">
              <w:rPr>
                <w:sz w:val="18"/>
              </w:rPr>
              <w:t>exemples de réussite.</w:t>
            </w:r>
            <w:r w:rsidR="00E2280F" w:rsidRPr="003B70C5">
              <w:rPr>
                <w:sz w:val="18"/>
              </w:rPr>
              <w:t xml:space="preserve">  </w:t>
            </w:r>
          </w:p>
        </w:tc>
      </w:tr>
      <w:tr w:rsidR="000C336F" w:rsidRPr="003B70C5" w14:paraId="195F8A98" w14:textId="77777777" w:rsidTr="00313878">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7B795EE5" w14:textId="67A97A03" w:rsidR="000C336F" w:rsidRPr="003B70C5" w:rsidRDefault="000C336F" w:rsidP="00313878">
            <w:pPr>
              <w:pStyle w:val="BodyText"/>
              <w:spacing w:before="60" w:after="120"/>
              <w:jc w:val="left"/>
              <w:rPr>
                <w:rFonts w:cs="Arial"/>
                <w:b/>
                <w:color w:val="000000" w:themeColor="text1"/>
                <w:sz w:val="18"/>
                <w:szCs w:val="18"/>
              </w:rPr>
            </w:pPr>
            <w:r w:rsidRPr="003B70C5">
              <w:rPr>
                <w:b/>
                <w:color w:val="000000" w:themeColor="text1"/>
                <w:sz w:val="18"/>
              </w:rPr>
              <w:t>Pilier n° 3 – fournir des services de haute qualité aux membres et aux utilisateurs du système de l</w:t>
            </w:r>
            <w:r w:rsidR="002B0172" w:rsidRPr="003B70C5">
              <w:rPr>
                <w:b/>
                <w:color w:val="000000" w:themeColor="text1"/>
                <w:sz w:val="18"/>
              </w:rPr>
              <w:t>’</w:t>
            </w:r>
            <w:r w:rsidRPr="003B70C5">
              <w:rPr>
                <w:b/>
                <w:color w:val="000000" w:themeColor="text1"/>
                <w:sz w:val="18"/>
              </w:rPr>
              <w:t>UPOV</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7A3A6688" w14:textId="7D43077C" w:rsidR="000C336F" w:rsidRPr="003B70C5" w:rsidRDefault="000C336F" w:rsidP="00313878">
            <w:pPr>
              <w:pStyle w:val="BodyText"/>
              <w:spacing w:before="60" w:after="120"/>
              <w:rPr>
                <w:rFonts w:cs="Arial"/>
                <w:color w:val="000000" w:themeColor="text1"/>
                <w:sz w:val="18"/>
                <w:szCs w:val="18"/>
              </w:rPr>
            </w:pPr>
            <w:r w:rsidRPr="003B70C5">
              <w:rPr>
                <w:sz w:val="18"/>
              </w:rPr>
              <w:t>La complexité technique et les ressources limitées ont une incidence sur l</w:t>
            </w:r>
            <w:r w:rsidR="002B0172" w:rsidRPr="003B70C5">
              <w:rPr>
                <w:sz w:val="18"/>
              </w:rPr>
              <w:t>’</w:t>
            </w:r>
            <w:r w:rsidRPr="003B70C5">
              <w:rPr>
                <w:sz w:val="18"/>
              </w:rPr>
              <w:t xml:space="preserve">élaboration et la mise en œuvre des services </w:t>
            </w:r>
            <w:r w:rsidR="002E0AF8">
              <w:rPr>
                <w:sz w:val="18"/>
              </w:rPr>
              <w:t>UPOV </w:t>
            </w:r>
            <w:r w:rsidRPr="003B70C5">
              <w:rPr>
                <w:sz w:val="18"/>
              </w:rPr>
              <w:t>e</w:t>
            </w:r>
            <w:r w:rsidR="002E0AF8">
              <w:rPr>
                <w:sz w:val="18"/>
              </w:rPr>
              <w:noBreakHyphen/>
            </w:r>
            <w:r w:rsidRPr="003B70C5">
              <w:rPr>
                <w:sz w:val="18"/>
              </w:rPr>
              <w:t xml:space="preserve">PVP.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D7C6C9D" w14:textId="713986E5" w:rsidR="000C336F" w:rsidRPr="003B70C5" w:rsidRDefault="000C336F" w:rsidP="00313878">
            <w:pPr>
              <w:pStyle w:val="BodyText"/>
              <w:spacing w:before="60" w:after="120"/>
              <w:rPr>
                <w:rFonts w:cs="Arial"/>
                <w:color w:val="000000" w:themeColor="text1"/>
                <w:sz w:val="18"/>
                <w:szCs w:val="18"/>
              </w:rPr>
            </w:pPr>
            <w:r w:rsidRPr="003B70C5">
              <w:rPr>
                <w:sz w:val="18"/>
              </w:rPr>
              <w:t>Donner la priorité aux composantes UPOV</w:t>
            </w:r>
            <w:r w:rsidR="008B3A50">
              <w:rPr>
                <w:sz w:val="18"/>
              </w:rPr>
              <w:t> </w:t>
            </w:r>
            <w:r w:rsidRPr="003B70C5">
              <w:rPr>
                <w:sz w:val="18"/>
              </w:rPr>
              <w:t>e</w:t>
            </w:r>
            <w:r w:rsidR="008B3A50">
              <w:rPr>
                <w:sz w:val="18"/>
              </w:rPr>
              <w:noBreakHyphen/>
            </w:r>
            <w:r w:rsidRPr="003B70C5">
              <w:rPr>
                <w:sz w:val="18"/>
              </w:rPr>
              <w:t>PVP (</w:t>
            </w:r>
            <w:r w:rsidR="0063233A">
              <w:rPr>
                <w:sz w:val="18"/>
              </w:rPr>
              <w:t>UPOV PRISMA</w:t>
            </w:r>
            <w:r w:rsidRPr="003B70C5">
              <w:rPr>
                <w:sz w:val="18"/>
              </w:rPr>
              <w:t>, module de gestion, plateforme d</w:t>
            </w:r>
            <w:r w:rsidR="002B0172" w:rsidRPr="003B70C5">
              <w:rPr>
                <w:sz w:val="18"/>
              </w:rPr>
              <w:t>’</w:t>
            </w:r>
            <w:r w:rsidRPr="003B70C5">
              <w:rPr>
                <w:sz w:val="18"/>
              </w:rPr>
              <w:t>échange de rapports d</w:t>
            </w:r>
            <w:r w:rsidR="002B0172" w:rsidRPr="003B70C5">
              <w:rPr>
                <w:sz w:val="18"/>
              </w:rPr>
              <w:t>’</w:t>
            </w:r>
            <w:r w:rsidRPr="003B70C5">
              <w:rPr>
                <w:sz w:val="18"/>
              </w:rPr>
              <w:t>examen</w:t>
            </w:r>
            <w:r w:rsidR="00E2280F" w:rsidRPr="003B70C5">
              <w:rPr>
                <w:sz w:val="18"/>
              </w:rPr>
              <w:t> </w:t>
            </w:r>
            <w:r w:rsidRPr="003B70C5">
              <w:rPr>
                <w:sz w:val="18"/>
              </w:rPr>
              <w:t>DHS, PLUTO) en fonction des besoins des membres et des ressources disponibles, en mettant en œuvre un développement progressif pour gérer la complexi</w:t>
            </w:r>
            <w:r w:rsidR="00D076B0" w:rsidRPr="003B70C5">
              <w:rPr>
                <w:sz w:val="18"/>
              </w:rPr>
              <w:t>té.  So</w:t>
            </w:r>
            <w:r w:rsidRPr="003B70C5">
              <w:rPr>
                <w:sz w:val="18"/>
              </w:rPr>
              <w:t>utenir les membres dans l</w:t>
            </w:r>
            <w:r w:rsidR="002B0172" w:rsidRPr="003B70C5">
              <w:rPr>
                <w:sz w:val="18"/>
              </w:rPr>
              <w:t>’</w:t>
            </w:r>
            <w:r w:rsidRPr="003B70C5">
              <w:rPr>
                <w:sz w:val="18"/>
              </w:rPr>
              <w:t>utilisation du système grâce à une assistance et à des formations, en tenant compte des commentaires des utilisateurs pour définir les priorités en matière de développement du système.</w:t>
            </w:r>
            <w:r w:rsidR="00E2280F" w:rsidRPr="003B70C5">
              <w:rPr>
                <w:sz w:val="18"/>
              </w:rPr>
              <w:t xml:space="preserve">  </w:t>
            </w:r>
          </w:p>
        </w:tc>
      </w:tr>
      <w:tr w:rsidR="000C336F" w:rsidRPr="003B70C5" w14:paraId="0A34470B" w14:textId="77777777" w:rsidTr="00313878">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0154AE9B" w14:textId="1CD647D3" w:rsidR="000C336F" w:rsidRPr="003B70C5" w:rsidRDefault="000C336F" w:rsidP="00313878">
            <w:pPr>
              <w:pStyle w:val="BodyText"/>
              <w:spacing w:before="60" w:after="120"/>
              <w:jc w:val="left"/>
              <w:rPr>
                <w:rFonts w:cs="Arial"/>
                <w:b/>
                <w:color w:val="000000" w:themeColor="text1"/>
                <w:sz w:val="18"/>
                <w:szCs w:val="18"/>
              </w:rPr>
            </w:pPr>
            <w:r w:rsidRPr="003B70C5">
              <w:rPr>
                <w:b/>
                <w:color w:val="000000" w:themeColor="text1"/>
                <w:sz w:val="18"/>
              </w:rPr>
              <w:t>Fondation – donner à notre personnel les moyens de travailler de manière efficace, collaborative et innovante en mettant à sa disposition les ressources, la formation et l</w:t>
            </w:r>
            <w:r w:rsidR="002B0172" w:rsidRPr="003B70C5">
              <w:rPr>
                <w:b/>
                <w:color w:val="000000" w:themeColor="text1"/>
                <w:sz w:val="18"/>
              </w:rPr>
              <w:t>’</w:t>
            </w:r>
            <w:r w:rsidRPr="003B70C5">
              <w:rPr>
                <w:b/>
                <w:color w:val="000000" w:themeColor="text1"/>
                <w:sz w:val="18"/>
              </w:rPr>
              <w:t>environnement appropriés</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8BB2B6E" w14:textId="65A4DDC7" w:rsidR="000C336F" w:rsidRPr="00FA3B04" w:rsidRDefault="000C336F" w:rsidP="00313878">
            <w:pPr>
              <w:pStyle w:val="BodyText"/>
              <w:spacing w:before="60" w:after="120"/>
              <w:rPr>
                <w:rFonts w:cs="Arial"/>
                <w:spacing w:val="-2"/>
                <w:sz w:val="18"/>
                <w:szCs w:val="18"/>
              </w:rPr>
            </w:pPr>
            <w:r w:rsidRPr="00FA3B04">
              <w:rPr>
                <w:spacing w:val="-2"/>
                <w:sz w:val="18"/>
              </w:rPr>
              <w:t>Les conditions économiques incertaines et la baisse des ressources affectent la capacité de l</w:t>
            </w:r>
            <w:r w:rsidR="002B0172" w:rsidRPr="00FA3B04">
              <w:rPr>
                <w:spacing w:val="-2"/>
                <w:sz w:val="18"/>
              </w:rPr>
              <w:t>’</w:t>
            </w:r>
            <w:r w:rsidRPr="00FA3B04">
              <w:rPr>
                <w:spacing w:val="-2"/>
                <w:sz w:val="18"/>
              </w:rPr>
              <w:t>UPOV à maintenir et à renforcer ses capacités opérationnelles, et à répondre à la demande croissante de ses membres.</w:t>
            </w:r>
            <w:r w:rsidR="00E2280F" w:rsidRPr="00FA3B04">
              <w:rPr>
                <w:spacing w:val="-2"/>
                <w:sz w:val="18"/>
              </w:rPr>
              <w:t xml:space="preserve">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F7DDA81" w14:textId="00DCFBCE" w:rsidR="000C336F" w:rsidRPr="003B70C5" w:rsidRDefault="000C336F" w:rsidP="00313878">
            <w:pPr>
              <w:rPr>
                <w:rFonts w:cs="Arial"/>
                <w:sz w:val="18"/>
                <w:szCs w:val="18"/>
              </w:rPr>
            </w:pPr>
            <w:r w:rsidRPr="003B70C5">
              <w:rPr>
                <w:sz w:val="18"/>
              </w:rPr>
              <w:t>Diversifier les sources de revenus en développant les services payants, les fonds fiduciaires et les fonds multidonateu</w:t>
            </w:r>
            <w:r w:rsidR="00D076B0" w:rsidRPr="003B70C5">
              <w:rPr>
                <w:sz w:val="18"/>
              </w:rPr>
              <w:t>rs.  Év</w:t>
            </w:r>
            <w:r w:rsidRPr="003B70C5">
              <w:rPr>
                <w:sz w:val="18"/>
              </w:rPr>
              <w:t>aluer la valeur de l</w:t>
            </w:r>
            <w:r w:rsidR="002B0172" w:rsidRPr="003B70C5">
              <w:rPr>
                <w:sz w:val="18"/>
              </w:rPr>
              <w:t>’</w:t>
            </w:r>
            <w:r w:rsidRPr="003B70C5">
              <w:rPr>
                <w:sz w:val="18"/>
              </w:rPr>
              <w:t>unité de contributi</w:t>
            </w:r>
            <w:r w:rsidR="00D076B0" w:rsidRPr="003B70C5">
              <w:rPr>
                <w:sz w:val="18"/>
              </w:rPr>
              <w:t>on.  Su</w:t>
            </w:r>
            <w:r w:rsidRPr="003B70C5">
              <w:rPr>
                <w:sz w:val="18"/>
              </w:rPr>
              <w:t>rveiller en permanence les recettes par rapport aux prévisions et ajuster les plans opérationnels en conséquence, en mettant l</w:t>
            </w:r>
            <w:r w:rsidR="002B0172" w:rsidRPr="003B70C5">
              <w:rPr>
                <w:sz w:val="18"/>
              </w:rPr>
              <w:t>’</w:t>
            </w:r>
            <w:r w:rsidRPr="003B70C5">
              <w:rPr>
                <w:sz w:val="18"/>
              </w:rPr>
              <w:t>accent sur les services essentiels et les priorités stratégiques.</w:t>
            </w:r>
            <w:r w:rsidR="00E2280F" w:rsidRPr="003B70C5">
              <w:rPr>
                <w:sz w:val="18"/>
              </w:rPr>
              <w:t xml:space="preserve">  </w:t>
            </w:r>
          </w:p>
        </w:tc>
      </w:tr>
    </w:tbl>
    <w:p w14:paraId="1296275C" w14:textId="77777777" w:rsidR="000C336F" w:rsidRDefault="000C336F" w:rsidP="000C336F">
      <w:pPr>
        <w:rPr>
          <w:rFonts w:cs="Arial"/>
          <w:color w:val="000000" w:themeColor="text1"/>
        </w:rPr>
      </w:pPr>
    </w:p>
    <w:p w14:paraId="4660257A" w14:textId="77777777" w:rsidR="0049276A" w:rsidRPr="003B70C5" w:rsidRDefault="0049276A" w:rsidP="000C336F">
      <w:pPr>
        <w:rPr>
          <w:rFonts w:cs="Arial"/>
          <w:color w:val="000000" w:themeColor="text1"/>
        </w:rPr>
      </w:pPr>
    </w:p>
    <w:p w14:paraId="2570B2A7" w14:textId="77777777" w:rsidR="000C336F" w:rsidRPr="003B70C5" w:rsidRDefault="000C336F" w:rsidP="000C336F">
      <w:pPr>
        <w:jc w:val="left"/>
        <w:rPr>
          <w:b/>
          <w:bCs/>
        </w:rPr>
      </w:pPr>
      <w:r w:rsidRPr="003B70C5">
        <w:br w:type="page"/>
      </w:r>
    </w:p>
    <w:p w14:paraId="6F8271AA" w14:textId="08009AD6" w:rsidR="000C336F" w:rsidRPr="00FA3B04" w:rsidRDefault="000C336F" w:rsidP="00FA3B04">
      <w:pPr>
        <w:pStyle w:val="BodyText"/>
        <w:widowControl w:val="0"/>
        <w:numPr>
          <w:ilvl w:val="0"/>
          <w:numId w:val="13"/>
        </w:numPr>
        <w:autoSpaceDE w:val="0"/>
        <w:autoSpaceDN w:val="0"/>
        <w:ind w:left="1134" w:hanging="567"/>
        <w:jc w:val="left"/>
        <w:rPr>
          <w:b/>
        </w:rPr>
      </w:pPr>
      <w:r w:rsidRPr="003B70C5">
        <w:rPr>
          <w:b/>
        </w:rPr>
        <w:lastRenderedPageBreak/>
        <w:t>Mécanismes de suivi, de supervision et de recours;</w:t>
      </w:r>
      <w:r w:rsidR="00E2280F" w:rsidRPr="003B70C5">
        <w:rPr>
          <w:b/>
        </w:rPr>
        <w:t xml:space="preserve"> </w:t>
      </w:r>
      <w:r w:rsidRPr="003B70C5">
        <w:rPr>
          <w:b/>
        </w:rPr>
        <w:t xml:space="preserve"> activités de contrôle</w:t>
      </w:r>
    </w:p>
    <w:p w14:paraId="7A4F89C4" w14:textId="77777777" w:rsidR="000C336F" w:rsidRPr="003B70C5" w:rsidRDefault="000C336F" w:rsidP="000C336F">
      <w:pPr>
        <w:pStyle w:val="BodyText"/>
        <w:rPr>
          <w:b/>
          <w:bCs/>
          <w:color w:val="000000" w:themeColor="text1"/>
        </w:rPr>
      </w:pPr>
    </w:p>
    <w:p w14:paraId="5865284D" w14:textId="66D7595C" w:rsidR="000C336F" w:rsidRDefault="000C336F" w:rsidP="00A451BC">
      <w:pPr>
        <w:pStyle w:val="BodyText"/>
        <w:rPr>
          <w:color w:val="000000" w:themeColor="text1"/>
        </w:rPr>
      </w:pPr>
      <w:r w:rsidRPr="003B70C5">
        <w:rPr>
          <w:color w:val="000000" w:themeColor="text1"/>
        </w:rPr>
        <w:t>En tant que Secrétaire général de l</w:t>
      </w:r>
      <w:r w:rsidR="002B0172" w:rsidRPr="003B70C5">
        <w:rPr>
          <w:color w:val="000000" w:themeColor="text1"/>
        </w:rPr>
        <w:t>’</w:t>
      </w:r>
      <w:r w:rsidRPr="003B70C5">
        <w:rPr>
          <w:color w:val="000000" w:themeColor="text1"/>
        </w:rPr>
        <w:t>UPOV, je suis responsable en dernier ressort de l</w:t>
      </w:r>
      <w:r w:rsidR="002B0172" w:rsidRPr="003B70C5">
        <w:rPr>
          <w:color w:val="000000" w:themeColor="text1"/>
        </w:rPr>
        <w:t>’</w:t>
      </w:r>
      <w:r w:rsidRPr="003B70C5">
        <w:rPr>
          <w:color w:val="000000" w:themeColor="text1"/>
        </w:rPr>
        <w:t>efficacité des mécanismes de contrôle inter</w:t>
      </w:r>
      <w:r w:rsidR="00D076B0" w:rsidRPr="003B70C5">
        <w:rPr>
          <w:color w:val="000000" w:themeColor="text1"/>
        </w:rPr>
        <w:t>ne.  Ce</w:t>
      </w:r>
      <w:r w:rsidRPr="003B70C5">
        <w:rPr>
          <w:color w:val="000000" w:themeColor="text1"/>
        </w:rPr>
        <w:t>tte affirmation, articulée autour des “Trois lignes” ci</w:t>
      </w:r>
      <w:r w:rsidR="002B0172" w:rsidRPr="003B70C5">
        <w:rPr>
          <w:color w:val="000000" w:themeColor="text1"/>
        </w:rPr>
        <w:t>-</w:t>
      </w:r>
      <w:r w:rsidRPr="003B70C5">
        <w:rPr>
          <w:color w:val="000000" w:themeColor="text1"/>
        </w:rPr>
        <w:t>après, se fonde sur</w:t>
      </w:r>
      <w:r w:rsidR="002B0172" w:rsidRPr="003B70C5">
        <w:rPr>
          <w:color w:val="000000" w:themeColor="text1"/>
        </w:rPr>
        <w:t> :</w:t>
      </w:r>
      <w:r w:rsidRPr="003B70C5">
        <w:rPr>
          <w:color w:val="000000" w:themeColor="text1"/>
        </w:rPr>
        <w:t xml:space="preserve"> </w:t>
      </w:r>
    </w:p>
    <w:p w14:paraId="0DA2B2C7" w14:textId="77777777" w:rsidR="00A451BC" w:rsidRPr="003B70C5" w:rsidRDefault="00A451BC" w:rsidP="00A451BC">
      <w:pPr>
        <w:pStyle w:val="BodyText"/>
        <w:rPr>
          <w:rFonts w:cs="Arial"/>
          <w:color w:val="000000" w:themeColor="text1"/>
        </w:rPr>
      </w:pPr>
    </w:p>
    <w:p w14:paraId="3BC7F4CE" w14:textId="77777777" w:rsidR="000C336F" w:rsidRPr="003B70C5" w:rsidRDefault="000C336F" w:rsidP="000C336F">
      <w:pPr>
        <w:rPr>
          <w:rFonts w:cs="Arial"/>
          <w:color w:val="000000" w:themeColor="text1"/>
        </w:rPr>
      </w:pPr>
      <w:r w:rsidRPr="003B70C5">
        <w:rPr>
          <w:noProof/>
        </w:rPr>
        <mc:AlternateContent>
          <mc:Choice Requires="wpg">
            <w:drawing>
              <wp:inline distT="0" distB="0" distL="0" distR="0" wp14:anchorId="579CE92B" wp14:editId="5CF40279">
                <wp:extent cx="6239510" cy="3275938"/>
                <wp:effectExtent l="0" t="0" r="27940" b="20320"/>
                <wp:docPr id="896084686" name="Group 7"/>
                <wp:cNvGraphicFramePr/>
                <a:graphic xmlns:a="http://schemas.openxmlformats.org/drawingml/2006/main">
                  <a:graphicData uri="http://schemas.microsoft.com/office/word/2010/wordprocessingGroup">
                    <wpg:wgp>
                      <wpg:cNvGrpSpPr/>
                      <wpg:grpSpPr>
                        <a:xfrm>
                          <a:off x="0" y="0"/>
                          <a:ext cx="6239510" cy="3275938"/>
                          <a:chOff x="-4630" y="-4560"/>
                          <a:chExt cx="8551022" cy="3320668"/>
                        </a:xfrm>
                      </wpg:grpSpPr>
                      <wps:wsp>
                        <wps:cNvPr id="462451251" name="Rettangolo con angoli arrotondati 43"/>
                        <wps:cNvSpPr/>
                        <wps:spPr>
                          <a:xfrm>
                            <a:off x="-4630" y="-4560"/>
                            <a:ext cx="2609042" cy="430253"/>
                          </a:xfrm>
                          <a:prstGeom prst="roundRect">
                            <a:avLst>
                              <a:gd name="adj" fmla="val 8559"/>
                            </a:avLst>
                          </a:prstGeom>
                          <a:solidFill>
                            <a:schemeClr val="bg1"/>
                          </a:solidFill>
                          <a:ln w="25400" cap="flat" cmpd="sng" algn="ctr">
                            <a:solidFill>
                              <a:schemeClr val="accent1">
                                <a:lumMod val="40000"/>
                                <a:lumOff val="60000"/>
                              </a:schemeClr>
                            </a:solidFill>
                            <a:prstDash val="solid"/>
                          </a:ln>
                          <a:effectLst/>
                        </wps:spPr>
                        <wps:txbx>
                          <w:txbxContent>
                            <w:p w14:paraId="7AAA3E6D" w14:textId="77777777" w:rsidR="000C336F" w:rsidRPr="00251458" w:rsidRDefault="000C336F" w:rsidP="000C336F">
                              <w:pPr>
                                <w:pStyle w:val="NormalWeb"/>
                                <w:spacing w:after="0"/>
                                <w:jc w:val="center"/>
                                <w:textAlignment w:val="baseline"/>
                                <w:rPr>
                                  <w:rFonts w:ascii="Arial" w:hAnsi="Arial" w:cs="Arial"/>
                                  <w:sz w:val="16"/>
                                </w:rPr>
                              </w:pPr>
                              <w:r>
                                <w:rPr>
                                  <w:rFonts w:ascii="Arial" w:hAnsi="Arial"/>
                                  <w:b/>
                                  <w:sz w:val="32"/>
                                </w:rPr>
                                <w:t>Première ligne</w:t>
                              </w:r>
                            </w:p>
                          </w:txbxContent>
                        </wps:txbx>
                        <wps:bodyPr lIns="40500" tIns="40500" rIns="40500" bIns="40500" rtlCol="0" anchor="ctr" anchorCtr="1"/>
                      </wps:wsp>
                      <wps:wsp>
                        <wps:cNvPr id="438584069" name="Rettangolo con angoli arrotondati 43"/>
                        <wps:cNvSpPr/>
                        <wps:spPr>
                          <a:xfrm>
                            <a:off x="-4630" y="507220"/>
                            <a:ext cx="2609042" cy="2806940"/>
                          </a:xfrm>
                          <a:prstGeom prst="roundRect">
                            <a:avLst>
                              <a:gd name="adj" fmla="val 2232"/>
                            </a:avLst>
                          </a:prstGeom>
                          <a:solidFill>
                            <a:schemeClr val="bg1"/>
                          </a:solidFill>
                          <a:ln w="25400" cap="flat" cmpd="sng" algn="ctr">
                            <a:solidFill>
                              <a:schemeClr val="accent1">
                                <a:lumMod val="40000"/>
                                <a:lumOff val="60000"/>
                              </a:schemeClr>
                            </a:solidFill>
                            <a:prstDash val="solid"/>
                          </a:ln>
                          <a:effectLst/>
                        </wps:spPr>
                        <wps:txbx>
                          <w:txbxContent>
                            <w:p w14:paraId="10639EEA" w14:textId="192A1D44" w:rsidR="000C336F" w:rsidRPr="00DA12FC" w:rsidRDefault="000C336F" w:rsidP="000C336F">
                              <w:pPr>
                                <w:pStyle w:val="NormalWeb"/>
                                <w:spacing w:before="144" w:beforeAutospacing="0" w:after="0" w:afterAutospacing="0"/>
                                <w:jc w:val="center"/>
                                <w:textAlignment w:val="baseline"/>
                                <w:rPr>
                                  <w:rFonts w:ascii="Arial" w:hAnsi="Arial" w:cs="Arial"/>
                                  <w:color w:val="000000" w:themeColor="text1"/>
                                  <w:sz w:val="18"/>
                                  <w:szCs w:val="20"/>
                                </w:rPr>
                              </w:pPr>
                              <w:r>
                                <w:rPr>
                                  <w:rFonts w:ascii="Arial" w:hAnsi="Arial"/>
                                  <w:color w:val="000000" w:themeColor="text1"/>
                                  <w:sz w:val="18"/>
                                </w:rPr>
                                <w:t xml:space="preserve">La Secrétaire générale adjointe de l’UPOV répond des résultats escomptés, de la mise en œuvre des activités relevant du mandat de l’UPOV et de la gestion des ressources qui sont confiées. </w:t>
                              </w:r>
                              <w:r w:rsidR="004B3938">
                                <w:rPr>
                                  <w:rFonts w:ascii="Arial" w:hAnsi="Arial"/>
                                  <w:color w:val="000000" w:themeColor="text1"/>
                                  <w:sz w:val="18"/>
                                </w:rPr>
                                <w:t xml:space="preserve"> </w:t>
                              </w:r>
                              <w:r>
                                <w:rPr>
                                  <w:rFonts w:ascii="Arial" w:hAnsi="Arial"/>
                                  <w:color w:val="000000" w:themeColor="text1"/>
                                  <w:sz w:val="18"/>
                                </w:rPr>
                                <w:t>La lettre de déclaration de responsabilité de la Secrétaire</w:t>
                              </w:r>
                              <w:r w:rsidR="00085B27">
                                <w:rPr>
                                  <w:rFonts w:ascii="Arial" w:hAnsi="Arial"/>
                                  <w:color w:val="000000" w:themeColor="text1"/>
                                  <w:sz w:val="18"/>
                                </w:rPr>
                                <w:t> </w:t>
                              </w:r>
                              <w:r>
                                <w:rPr>
                                  <w:rFonts w:ascii="Arial" w:hAnsi="Arial"/>
                                  <w:color w:val="000000" w:themeColor="text1"/>
                                  <w:sz w:val="18"/>
                                </w:rPr>
                                <w:t>générale adjointe confirme sa responsabilité s’agissant d’établir des systèmes et mécanismes de contrôle interne et de veiller à leur bon fonctionnement, en vue de présenter ou de détecter les cas de fraude et les erreurs graves.</w:t>
                              </w:r>
                            </w:p>
                          </w:txbxContent>
                        </wps:txbx>
                        <wps:bodyPr lIns="40500" tIns="40500" rIns="40500" bIns="40500" rtlCol="0" anchor="t"/>
                      </wps:wsp>
                      <wps:wsp>
                        <wps:cNvPr id="12374268" name="Rectangle 12374268"/>
                        <wps:cNvSpPr/>
                        <wps:spPr bwMode="auto">
                          <a:xfrm>
                            <a:off x="2464351" y="1123853"/>
                            <a:ext cx="45719" cy="72008"/>
                          </a:xfrm>
                          <a:prstGeom prst="rect">
                            <a:avLst/>
                          </a:prstGeom>
                          <a:noFill/>
                          <a:ln>
                            <a:noFill/>
                          </a:ln>
                          <a:effectLst/>
                          <a:extLst>
                            <a:ext uri="{909E8E84-426E-40dd-AFC4-6F175D3DCCD1}">
                              <a14:hiddenFill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solidFill>
                                  <a:schemeClr val="accent1"/>
                                </a:solidFill>
                              </a14:hiddenFill>
                            </a:ext>
                            <a:ext uri="{91240B29-F687-4f45-9708-019B960494DF}">
                              <a14:hiddenLine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w="9525" cap="flat" cmpd="sng" algn="ctr">
                                <a:solidFill>
                                  <a:schemeClr val="tx1"/>
                                </a:solidFill>
                                <a:prstDash val="solid"/>
                                <a:round/>
                                <a:headEnd type="none" w="med" len="med"/>
                                <a:tailEnd type="none" w="med" len="med"/>
                              </a14:hiddenLine>
                            </a:ext>
                            <a:ext uri="{AF507438-7753-43e0-B8FC-AC1667EBCBE1}">
                              <a14:hiddenEffects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684864209" name="Rectangle 684864209"/>
                        <wps:cNvSpPr/>
                        <wps:spPr bwMode="auto">
                          <a:xfrm>
                            <a:off x="2892157" y="727866"/>
                            <a:ext cx="914400" cy="914400"/>
                          </a:xfrm>
                          <a:prstGeom prst="rect">
                            <a:avLst/>
                          </a:prstGeom>
                          <a:noFill/>
                          <a:ln>
                            <a:noFill/>
                          </a:ln>
                          <a:effectLst/>
                          <a:extLst>
                            <a:ext uri="{909E8E84-426E-40dd-AFC4-6F175D3DCCD1}">
                              <a14:hiddenFill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solidFill>
                                  <a:schemeClr val="accent1"/>
                                </a:solidFill>
                              </a14:hiddenFill>
                            </a:ext>
                            <a:ext uri="{91240B29-F687-4f45-9708-019B960494DF}">
                              <a14:hiddenLine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w="9525" cap="flat" cmpd="sng" algn="ctr">
                                <a:solidFill>
                                  <a:schemeClr val="tx1"/>
                                </a:solidFill>
                                <a:prstDash val="solid"/>
                                <a:round/>
                                <a:headEnd type="none" w="med" len="med"/>
                                <a:tailEnd type="none" w="med" len="med"/>
                              </a14:hiddenLine>
                            </a:ext>
                            <a:ext uri="{AF507438-7753-43e0-B8FC-AC1667EBCBE1}">
                              <a14:hiddenEffects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1225835632" name="Rettangolo con angoli arrotondati 43"/>
                        <wps:cNvSpPr/>
                        <wps:spPr>
                          <a:xfrm>
                            <a:off x="2710531" y="8608"/>
                            <a:ext cx="2597680" cy="417081"/>
                          </a:xfrm>
                          <a:prstGeom prst="roundRect">
                            <a:avLst>
                              <a:gd name="adj" fmla="val 8559"/>
                            </a:avLst>
                          </a:prstGeom>
                          <a:solidFill>
                            <a:schemeClr val="bg1"/>
                          </a:solidFill>
                          <a:ln w="25400" cap="flat" cmpd="sng" algn="ctr">
                            <a:solidFill>
                              <a:schemeClr val="bg1">
                                <a:lumMod val="75000"/>
                              </a:schemeClr>
                            </a:solidFill>
                            <a:prstDash val="solid"/>
                          </a:ln>
                          <a:effectLst/>
                        </wps:spPr>
                        <wps:txbx>
                          <w:txbxContent>
                            <w:p w14:paraId="5DD92F71" w14:textId="77777777" w:rsidR="000C336F" w:rsidRPr="00251458" w:rsidRDefault="000C336F" w:rsidP="000C336F">
                              <w:pPr>
                                <w:pStyle w:val="NormalWeb"/>
                                <w:spacing w:after="0"/>
                                <w:jc w:val="center"/>
                                <w:textAlignment w:val="baseline"/>
                                <w:rPr>
                                  <w:rFonts w:ascii="Arial" w:hAnsi="Arial" w:cs="Arial"/>
                                  <w:b/>
                                  <w:bCs/>
                                  <w:kern w:val="24"/>
                                  <w:sz w:val="32"/>
                                  <w:szCs w:val="48"/>
                                </w:rPr>
                              </w:pPr>
                              <w:r>
                                <w:rPr>
                                  <w:rFonts w:ascii="Arial" w:hAnsi="Arial"/>
                                  <w:b/>
                                  <w:sz w:val="32"/>
                                </w:rPr>
                                <w:t>Deuxième ligne</w:t>
                              </w:r>
                            </w:p>
                          </w:txbxContent>
                        </wps:txbx>
                        <wps:bodyPr lIns="40500" tIns="40500" rIns="40500" bIns="40500" rtlCol="0" anchor="ctr" anchorCtr="1"/>
                      </wps:wsp>
                      <wps:wsp>
                        <wps:cNvPr id="1200665349" name="Rettangolo con angoli arrotondati 43"/>
                        <wps:cNvSpPr/>
                        <wps:spPr>
                          <a:xfrm>
                            <a:off x="2710533" y="515829"/>
                            <a:ext cx="2597678" cy="2800279"/>
                          </a:xfrm>
                          <a:prstGeom prst="roundRect">
                            <a:avLst>
                              <a:gd name="adj" fmla="val 2232"/>
                            </a:avLst>
                          </a:prstGeom>
                          <a:solidFill>
                            <a:schemeClr val="bg1"/>
                          </a:solidFill>
                          <a:ln w="25400" cap="flat" cmpd="sng" algn="ctr">
                            <a:solidFill>
                              <a:schemeClr val="bg1">
                                <a:lumMod val="75000"/>
                              </a:schemeClr>
                            </a:solidFill>
                            <a:prstDash val="solid"/>
                          </a:ln>
                          <a:effectLst/>
                        </wps:spPr>
                        <wps:txbx>
                          <w:txbxContent>
                            <w:p w14:paraId="7C36A57A" w14:textId="77777777" w:rsidR="000C336F" w:rsidRPr="00A155B1" w:rsidRDefault="000C336F" w:rsidP="000C336F">
                              <w:pPr>
                                <w:pStyle w:val="NormalWeb"/>
                                <w:spacing w:before="144" w:beforeAutospacing="0" w:after="0" w:afterAutospacing="0"/>
                                <w:jc w:val="center"/>
                                <w:textAlignment w:val="baseline"/>
                                <w:rPr>
                                  <w:rFonts w:ascii="Arial" w:hAnsi="Arial" w:cs="Arial"/>
                                  <w:sz w:val="18"/>
                                  <w:szCs w:val="18"/>
                                </w:rPr>
                              </w:pPr>
                              <w:r>
                                <w:rPr>
                                  <w:rFonts w:ascii="Arial" w:hAnsi="Arial"/>
                                  <w:sz w:val="18"/>
                                </w:rPr>
                                <w:t>Le rôle de la direction dans la gestion des risques de l’entreprise, notamment la conformité à notre cadre réglementaire, le comportement éthique, le contrôle interne, la sécurité des informations et des technologies, la durabilité et l’assurance qualité. L’assurance donnée repose sur un processus systématique d’auto-évaluation et de validation interne des contrôles exercés au niveau des entités ainsi qu’au niveau des principaux processus à l’OMPI.</w:t>
                              </w:r>
                            </w:p>
                          </w:txbxContent>
                        </wps:txbx>
                        <wps:bodyPr lIns="40500" tIns="40500" rIns="40500" bIns="40500" rtlCol="0" anchor="t"/>
                      </wps:wsp>
                      <wps:wsp>
                        <wps:cNvPr id="1389524135" name="Rettangolo con angoli arrotondati 43"/>
                        <wps:cNvSpPr/>
                        <wps:spPr>
                          <a:xfrm>
                            <a:off x="5386534" y="8608"/>
                            <a:ext cx="3159858" cy="417078"/>
                          </a:xfrm>
                          <a:prstGeom prst="roundRect">
                            <a:avLst>
                              <a:gd name="adj" fmla="val 8559"/>
                            </a:avLst>
                          </a:prstGeom>
                          <a:solidFill>
                            <a:schemeClr val="bg1"/>
                          </a:solidFill>
                          <a:ln w="25400" cap="flat" cmpd="sng" algn="ctr">
                            <a:solidFill>
                              <a:schemeClr val="accent2">
                                <a:lumMod val="60000"/>
                                <a:lumOff val="40000"/>
                              </a:schemeClr>
                            </a:solidFill>
                            <a:prstDash val="solid"/>
                          </a:ln>
                          <a:effectLst/>
                        </wps:spPr>
                        <wps:txbx>
                          <w:txbxContent>
                            <w:p w14:paraId="107CC2BF" w14:textId="77777777" w:rsidR="000C336F" w:rsidRPr="00251458" w:rsidRDefault="000C336F" w:rsidP="000C336F">
                              <w:pPr>
                                <w:pStyle w:val="NormalWeb"/>
                                <w:spacing w:after="0"/>
                                <w:jc w:val="center"/>
                                <w:textAlignment w:val="baseline"/>
                                <w:rPr>
                                  <w:rFonts w:ascii="Arial" w:hAnsi="Arial" w:cs="Arial"/>
                                  <w:b/>
                                  <w:bCs/>
                                  <w:kern w:val="24"/>
                                  <w:sz w:val="40"/>
                                  <w:szCs w:val="48"/>
                                </w:rPr>
                              </w:pPr>
                              <w:r>
                                <w:rPr>
                                  <w:rFonts w:ascii="Arial" w:hAnsi="Arial"/>
                                  <w:b/>
                                  <w:sz w:val="32"/>
                                </w:rPr>
                                <w:t>Troisième ligne</w:t>
                              </w:r>
                            </w:p>
                          </w:txbxContent>
                        </wps:txbx>
                        <wps:bodyPr lIns="40500" tIns="40500" rIns="40500" bIns="40500" rtlCol="0" anchor="ctr" anchorCtr="1"/>
                      </wps:wsp>
                      <wps:wsp>
                        <wps:cNvPr id="1903921526" name="Rettangolo con angoli arrotondati 43"/>
                        <wps:cNvSpPr/>
                        <wps:spPr>
                          <a:xfrm>
                            <a:off x="5386534" y="515831"/>
                            <a:ext cx="3155228" cy="2800277"/>
                          </a:xfrm>
                          <a:prstGeom prst="roundRect">
                            <a:avLst>
                              <a:gd name="adj" fmla="val 2232"/>
                            </a:avLst>
                          </a:prstGeom>
                          <a:solidFill>
                            <a:schemeClr val="bg1"/>
                          </a:solidFill>
                          <a:ln w="25400" cap="flat" cmpd="sng" algn="ctr">
                            <a:solidFill>
                              <a:schemeClr val="accent2">
                                <a:lumMod val="60000"/>
                                <a:lumOff val="40000"/>
                              </a:schemeClr>
                            </a:solidFill>
                            <a:prstDash val="solid"/>
                          </a:ln>
                          <a:effectLst/>
                        </wps:spPr>
                        <wps:txbx>
                          <w:txbxContent>
                            <w:p w14:paraId="658B3777" w14:textId="180FB772" w:rsidR="000C336F" w:rsidRPr="00A155B1" w:rsidRDefault="000C336F" w:rsidP="000C336F">
                              <w:pPr>
                                <w:pStyle w:val="NormalWeb"/>
                                <w:spacing w:before="144" w:beforeAutospacing="0" w:after="0" w:afterAutospacing="0"/>
                                <w:jc w:val="center"/>
                                <w:textAlignment w:val="baseline"/>
                                <w:rPr>
                                  <w:rFonts w:ascii="Arial" w:hAnsi="Arial" w:cs="Arial"/>
                                  <w:sz w:val="18"/>
                                  <w:szCs w:val="20"/>
                                </w:rPr>
                              </w:pPr>
                              <w:r>
                                <w:rPr>
                                  <w:rFonts w:ascii="Arial" w:hAnsi="Arial"/>
                                  <w:sz w:val="18"/>
                                </w:rPr>
                                <w:t>La Division de la supervision interne (DSI) de l’OMPI, dont les services d’assurance et de conseil me sont fournis par l’intermédiaire du rapport annuel de l’OMPI établi par le directeur de la DSI, des rapports d’audit et d’évaluation internes, des rapports à l’intention de la direction résultant des enquêtes, ainsi que par les rapports de la DSI, le cas échéant, concernant l’UPOV. L’assurance que je donne s’appuie sur l’avis général indépendant du directeur de la DSI concernant la gouvernance, la gestion des risques et le contrôle interne au sein de l’OMPI. Cet avis repose sur les travaux d’assurance accomplis par la DSI en 2025 ainsi que sur la réalisation d’un examen complet des processus de gouvernance, de gestion des risques et de contrôle</w:t>
                              </w:r>
                              <w:r w:rsidR="0049276A">
                                <w:rPr>
                                  <w:rFonts w:ascii="Arial" w:hAnsi="Arial"/>
                                  <w:sz w:val="18"/>
                                </w:rPr>
                                <w:t>.</w:t>
                              </w:r>
                            </w:p>
                          </w:txbxContent>
                        </wps:txbx>
                        <wps:bodyPr lIns="40500" tIns="40500" rIns="40500" bIns="40500" rtlCol="0" anchor="t"/>
                      </wps:wsp>
                    </wpg:wgp>
                  </a:graphicData>
                </a:graphic>
              </wp:inline>
            </w:drawing>
          </mc:Choice>
          <mc:Fallback>
            <w:pict>
              <v:group w14:anchorId="579CE92B" id="Group 7" o:spid="_x0000_s1026" style="width:491.3pt;height:257.95pt;mso-position-horizontal-relative:char;mso-position-vertical-relative:line" coordorigin="-46,-45" coordsize="85510,3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">
                <v:roundrect id="Rettangolo con angoli arrotondati 43" o:spid="_x0000_s1027" style="position:absolute;left:-46;top:-45;width:26090;height:4301;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" fillcolor="white [3212]" strokecolor="#b8cce4 [1300]" strokeweight="2pt">
                  <v:textbox inset="1.125mm,1.125mm,1.125mm,1.125mm">
                    <w:txbxContent>
                      <w:p w14:paraId="7AAA3E6D" w14:textId="77777777" w:rsidR="000C336F" w:rsidRPr="00251458" w:rsidRDefault="000C336F" w:rsidP="000C336F">
                        <w:pPr>
                          <w:pStyle w:val="NormalWeb"/>
                          <w:spacing w:after="0"/>
                          <w:jc w:val="center"/>
                          <w:textAlignment w:val="baseline"/>
                          <w:rPr>
                            <w:rFonts w:ascii="Arial" w:hAnsi="Arial" w:cs="Arial"/>
                            <w:sz w:val="16"/>
                          </w:rPr>
                        </w:pPr>
                        <w:r>
                          <w:rPr>
                            <w:rFonts w:ascii="Arial" w:hAnsi="Arial"/>
                            <w:b/>
                            <w:sz w:val="32"/>
                          </w:rPr>
                          <w:t>Première ligne</w:t>
                        </w:r>
                      </w:p>
                    </w:txbxContent>
                  </v:textbox>
                </v:roundrect>
                <v:roundrect id="Rettangolo con angoli arrotondati 43" o:spid="_x0000_s1028" style="position:absolute;left:-46;top:5072;width:26090;height:28069;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" fillcolor="white [3212]" strokecolor="#b8cce4 [1300]" strokeweight="2pt">
                  <v:textbox inset="1.125mm,1.125mm,1.125mm,1.125mm">
                    <w:txbxContent>
                      <w:p w14:paraId="10639EEA" w14:textId="192A1D44" w:rsidR="000C336F" w:rsidRPr="00DA12FC" w:rsidRDefault="000C336F" w:rsidP="000C336F">
                        <w:pPr>
                          <w:pStyle w:val="NormalWeb"/>
                          <w:spacing w:before="144" w:beforeAutospacing="0" w:after="0" w:afterAutospacing="0"/>
                          <w:jc w:val="center"/>
                          <w:textAlignment w:val="baseline"/>
                          <w:rPr>
                            <w:rFonts w:ascii="Arial" w:hAnsi="Arial" w:cs="Arial"/>
                            <w:color w:val="000000" w:themeColor="text1"/>
                            <w:sz w:val="18"/>
                            <w:szCs w:val="20"/>
                          </w:rPr>
                        </w:pPr>
                        <w:r>
                          <w:rPr>
                            <w:rFonts w:ascii="Arial" w:hAnsi="Arial"/>
                            <w:color w:val="000000" w:themeColor="text1"/>
                            <w:sz w:val="18"/>
                          </w:rPr>
                          <w:t xml:space="preserve">La Secrétaire générale adjointe de l’UPOV répond des résultats escomptés, de la mise en œuvre des activités relevant du mandat de l’UPOV et de la gestion des ressources qui sont confiées. </w:t>
                        </w:r>
                        <w:r w:rsidR="004B3938">
                          <w:rPr>
                            <w:rFonts w:ascii="Arial" w:hAnsi="Arial"/>
                            <w:color w:val="000000" w:themeColor="text1"/>
                            <w:sz w:val="18"/>
                          </w:rPr>
                          <w:t xml:space="preserve"> </w:t>
                        </w:r>
                        <w:r>
                          <w:rPr>
                            <w:rFonts w:ascii="Arial" w:hAnsi="Arial"/>
                            <w:color w:val="000000" w:themeColor="text1"/>
                            <w:sz w:val="18"/>
                          </w:rPr>
                          <w:t>La lettre de déclaration de responsabilité de la Secrétaire</w:t>
                        </w:r>
                        <w:r w:rsidR="00085B27">
                          <w:rPr>
                            <w:rFonts w:ascii="Arial" w:hAnsi="Arial"/>
                            <w:color w:val="000000" w:themeColor="text1"/>
                            <w:sz w:val="18"/>
                          </w:rPr>
                          <w:t> </w:t>
                        </w:r>
                        <w:r>
                          <w:rPr>
                            <w:rFonts w:ascii="Arial" w:hAnsi="Arial"/>
                            <w:color w:val="000000" w:themeColor="text1"/>
                            <w:sz w:val="18"/>
                          </w:rPr>
                          <w:t>générale adjointe confirme sa responsabilité s’agissant d’établir des systèmes et mécanismes de contrôle interne et de veiller à leur bon fonctionnement, en vue de présenter ou de détecter les cas de fraude et les erreurs graves.</w:t>
                        </w:r>
                      </w:p>
                    </w:txbxContent>
                  </v:textbox>
                </v:roundrect>
                <v:rect id="Rectangle 12374268" o:spid="_x0000_s1029" style="position:absolute;left:24643;top:11238;width:45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" filled="f" stroked="f"/>
                <v:rect id="Rectangle 684864209" o:spid="_x0000_s1030" style="position:absolute;left:28921;top:7278;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" filled="f" stroked="f"/>
                <v:roundrect id="Rettangolo con angoli arrotondati 43" o:spid="_x0000_s1031" style="position:absolute;left:27105;top:86;width:25977;height:4170;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" fillcolor="white [3212]" strokecolor="#bfbfbf [2412]" strokeweight="2pt">
                  <v:textbox inset="1.125mm,1.125mm,1.125mm,1.125mm">
                    <w:txbxContent>
                      <w:p w14:paraId="5DD92F71" w14:textId="77777777" w:rsidR="000C336F" w:rsidRPr="00251458" w:rsidRDefault="000C336F" w:rsidP="000C336F">
                        <w:pPr>
                          <w:pStyle w:val="NormalWeb"/>
                          <w:spacing w:after="0"/>
                          <w:jc w:val="center"/>
                          <w:textAlignment w:val="baseline"/>
                          <w:rPr>
                            <w:rFonts w:ascii="Arial" w:hAnsi="Arial" w:cs="Arial"/>
                            <w:b/>
                            <w:bCs/>
                            <w:kern w:val="24"/>
                            <w:sz w:val="32"/>
                            <w:szCs w:val="48"/>
                          </w:rPr>
                        </w:pPr>
                        <w:r>
                          <w:rPr>
                            <w:rFonts w:ascii="Arial" w:hAnsi="Arial"/>
                            <w:b/>
                            <w:sz w:val="32"/>
                          </w:rPr>
                          <w:t>Deuxième ligne</w:t>
                        </w:r>
                      </w:p>
                    </w:txbxContent>
                  </v:textbox>
                </v:roundrect>
                <v:roundrect id="Rettangolo con angoli arrotondati 43" o:spid="_x0000_s1032" style="position:absolute;left:27105;top:5158;width:25977;height:28003;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" fillcolor="white [3212]" strokecolor="#bfbfbf [2412]" strokeweight="2pt">
                  <v:textbox inset="1.125mm,1.125mm,1.125mm,1.125mm">
                    <w:txbxContent>
                      <w:p w14:paraId="7C36A57A" w14:textId="77777777" w:rsidR="000C336F" w:rsidRPr="00A155B1" w:rsidRDefault="000C336F" w:rsidP="000C336F">
                        <w:pPr>
                          <w:pStyle w:val="NormalWeb"/>
                          <w:spacing w:before="144" w:beforeAutospacing="0" w:after="0" w:afterAutospacing="0"/>
                          <w:jc w:val="center"/>
                          <w:textAlignment w:val="baseline"/>
                          <w:rPr>
                            <w:rFonts w:ascii="Arial" w:hAnsi="Arial" w:cs="Arial"/>
                            <w:sz w:val="18"/>
                            <w:szCs w:val="18"/>
                          </w:rPr>
                        </w:pPr>
                        <w:r>
                          <w:rPr>
                            <w:rFonts w:ascii="Arial" w:hAnsi="Arial"/>
                            <w:sz w:val="18"/>
                          </w:rPr>
                          <w:t>Le rôle de la direction dans la gestion des risques de l’entreprise, notamment la conformité à notre cadre réglementaire, le comportement éthique, le contrôle interne, la sécurité des informations et des technologies, la durabilité et l’assurance qualité. L’assurance donnée repose sur un processus systématique d’auto-évaluation et de validation interne des contrôles exercés au niveau des entités ainsi qu’au niveau des principaux processus à l’OMPI.</w:t>
                        </w:r>
                      </w:p>
                    </w:txbxContent>
                  </v:textbox>
                </v:roundrect>
                <v:roundrect id="Rettangolo con angoli arrotondati 43" o:spid="_x0000_s1033" style="position:absolute;left:53865;top:86;width:31598;height:4170;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" fillcolor="white [3212]" strokecolor="#d99594 [1941]" strokeweight="2pt">
                  <v:textbox inset="1.125mm,1.125mm,1.125mm,1.125mm">
                    <w:txbxContent>
                      <w:p w14:paraId="107CC2BF" w14:textId="77777777" w:rsidR="000C336F" w:rsidRPr="00251458" w:rsidRDefault="000C336F" w:rsidP="000C336F">
                        <w:pPr>
                          <w:pStyle w:val="NormalWeb"/>
                          <w:spacing w:after="0"/>
                          <w:jc w:val="center"/>
                          <w:textAlignment w:val="baseline"/>
                          <w:rPr>
                            <w:rFonts w:ascii="Arial" w:hAnsi="Arial" w:cs="Arial"/>
                            <w:b/>
                            <w:bCs/>
                            <w:kern w:val="24"/>
                            <w:sz w:val="40"/>
                            <w:szCs w:val="48"/>
                          </w:rPr>
                        </w:pPr>
                        <w:r>
                          <w:rPr>
                            <w:rFonts w:ascii="Arial" w:hAnsi="Arial"/>
                            <w:b/>
                            <w:sz w:val="32"/>
                          </w:rPr>
                          <w:t>Troisième ligne</w:t>
                        </w:r>
                      </w:p>
                    </w:txbxContent>
                  </v:textbox>
                </v:roundrect>
                <v:roundrect id="Rettangolo con angoli arrotondati 43" o:spid="_x0000_s1034" style="position:absolute;left:53865;top:5158;width:31552;height:28003;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" fillcolor="white [3212]" strokecolor="#d99594 [1941]" strokeweight="2pt">
                  <v:textbox inset="1.125mm,1.125mm,1.125mm,1.125mm">
                    <w:txbxContent>
                      <w:p w14:paraId="658B3777" w14:textId="180FB772" w:rsidR="000C336F" w:rsidRPr="00A155B1" w:rsidRDefault="000C336F" w:rsidP="000C336F">
                        <w:pPr>
                          <w:pStyle w:val="NormalWeb"/>
                          <w:spacing w:before="144" w:beforeAutospacing="0" w:after="0" w:afterAutospacing="0"/>
                          <w:jc w:val="center"/>
                          <w:textAlignment w:val="baseline"/>
                          <w:rPr>
                            <w:rFonts w:ascii="Arial" w:hAnsi="Arial" w:cs="Arial"/>
                            <w:sz w:val="18"/>
                            <w:szCs w:val="20"/>
                          </w:rPr>
                        </w:pPr>
                        <w:r>
                          <w:rPr>
                            <w:rFonts w:ascii="Arial" w:hAnsi="Arial"/>
                            <w:sz w:val="18"/>
                          </w:rPr>
                          <w:t>La Division de la supervision interne (DSI) de l’OMPI, dont les services d’assurance et de conseil me sont fournis par l’intermédiaire du rapport annuel de l’OMPI établi par le directeur de la DSI, des rapports d’audit et d’évaluation internes, des rapports à l’intention de la direction résultant des enquêtes, ainsi que par les rapports de la DSI, le cas échéant, concernant l’UPOV. L’assurance que je donne s’appuie sur l’avis général indépendant du directeur de la DSI concernant la gouvernance, la gestion des risques et le contrôle interne au sein de l’OMPI. Cet avis repose sur les travaux d’assurance accomplis par la DSI en 2025 ainsi que sur la réalisation d’un examen complet des processus de gouvernance, de gestion des risques et de contrôle</w:t>
                        </w:r>
                        <w:r w:rsidR="0049276A">
                          <w:rPr>
                            <w:rFonts w:ascii="Arial" w:hAnsi="Arial"/>
                            <w:sz w:val="18"/>
                          </w:rPr>
                          <w:t>.</w:t>
                        </w:r>
                      </w:p>
                    </w:txbxContent>
                  </v:textbox>
                </v:roundrect>
                <w10:anchorlock/>
              </v:group>
            </w:pict>
          </mc:Fallback>
        </mc:AlternateContent>
      </w:r>
    </w:p>
    <w:p w14:paraId="01074CB8" w14:textId="77777777" w:rsidR="000C336F" w:rsidRPr="003B70C5" w:rsidRDefault="000C336F" w:rsidP="000C336F">
      <w:pPr>
        <w:rPr>
          <w:rFonts w:cs="Arial"/>
          <w:color w:val="000000" w:themeColor="text1"/>
        </w:rPr>
      </w:pPr>
    </w:p>
    <w:p w14:paraId="1016E612" w14:textId="1D8BA21A" w:rsidR="000C336F" w:rsidRPr="003B70C5" w:rsidRDefault="000C336F" w:rsidP="000C336F">
      <w:pPr>
        <w:rPr>
          <w:rFonts w:cs="Arial"/>
          <w:color w:val="000000" w:themeColor="text1"/>
        </w:rPr>
      </w:pPr>
      <w:r w:rsidRPr="003B70C5">
        <w:rPr>
          <w:color w:val="000000" w:themeColor="text1"/>
        </w:rPr>
        <w:t>Ma déclaration est également corroborée et étayée par les éléments suivants</w:t>
      </w:r>
      <w:r w:rsidR="002B0172" w:rsidRPr="003B70C5">
        <w:rPr>
          <w:color w:val="000000" w:themeColor="text1"/>
        </w:rPr>
        <w:t> :</w:t>
      </w:r>
    </w:p>
    <w:p w14:paraId="5984EEFF" w14:textId="77777777" w:rsidR="000C336F" w:rsidRPr="003B70C5" w:rsidRDefault="000C336F" w:rsidP="000C336F">
      <w:pPr>
        <w:rPr>
          <w:rFonts w:cs="Arial"/>
          <w:color w:val="000000" w:themeColor="text1"/>
        </w:rPr>
      </w:pPr>
    </w:p>
    <w:p w14:paraId="5BD1834A" w14:textId="77777777" w:rsidR="000C336F" w:rsidRPr="003B70C5" w:rsidRDefault="000C336F" w:rsidP="000C336F">
      <w:pPr>
        <w:rPr>
          <w:rFonts w:cs="Arial"/>
          <w:color w:val="000000" w:themeColor="text1"/>
        </w:rPr>
      </w:pPr>
      <w:r w:rsidRPr="003B70C5">
        <w:rPr>
          <w:noProof/>
        </w:rPr>
        <mc:AlternateContent>
          <mc:Choice Requires="wpg">
            <w:drawing>
              <wp:inline distT="0" distB="0" distL="0" distR="0" wp14:anchorId="466F5C91" wp14:editId="1B45AB2A">
                <wp:extent cx="6175170" cy="1995777"/>
                <wp:effectExtent l="0" t="0" r="16510" b="24130"/>
                <wp:docPr id="158224788" name="Group 2"/>
                <wp:cNvGraphicFramePr/>
                <a:graphic xmlns:a="http://schemas.openxmlformats.org/drawingml/2006/main">
                  <a:graphicData uri="http://schemas.microsoft.com/office/word/2010/wordprocessingGroup">
                    <wpg:wgp>
                      <wpg:cNvGrpSpPr/>
                      <wpg:grpSpPr>
                        <a:xfrm>
                          <a:off x="0" y="0"/>
                          <a:ext cx="6175170" cy="1995777"/>
                          <a:chOff x="4531" y="-2"/>
                          <a:chExt cx="8282195" cy="3083839"/>
                        </a:xfrm>
                      </wpg:grpSpPr>
                      <wps:wsp>
                        <wps:cNvPr id="2091969282" name="Rettangolo con angoli arrotondati 45"/>
                        <wps:cNvSpPr/>
                        <wps:spPr>
                          <a:xfrm>
                            <a:off x="4531" y="705302"/>
                            <a:ext cx="3961212" cy="2378534"/>
                          </a:xfrm>
                          <a:prstGeom prst="roundRect">
                            <a:avLst>
                              <a:gd name="adj" fmla="val 4650"/>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4001E0" w14:textId="77777777" w:rsidR="000C336F" w:rsidRPr="00251458" w:rsidRDefault="000C336F" w:rsidP="000C336F">
                              <w:pPr>
                                <w:pStyle w:val="NormalWeb"/>
                                <w:spacing w:before="60"/>
                                <w:jc w:val="center"/>
                                <w:textAlignment w:val="baseline"/>
                                <w:rPr>
                                  <w:rFonts w:ascii="Arial" w:hAnsi="Arial" w:cs="Arial"/>
                                  <w:color w:val="000000" w:themeColor="text1"/>
                                  <w:sz w:val="20"/>
                                  <w:szCs w:val="20"/>
                                </w:rPr>
                              </w:pPr>
                              <w:r>
                                <w:rPr>
                                  <w:rFonts w:ascii="Arial" w:hAnsi="Arial"/>
                                  <w:b/>
                                  <w:color w:val="000000" w:themeColor="text1"/>
                                  <w:sz w:val="20"/>
                                </w:rPr>
                                <w:t>Vérificateur externe des comptes</w:t>
                              </w:r>
                            </w:p>
                            <w:p w14:paraId="5F949A48" w14:textId="77777777" w:rsidR="000C336F" w:rsidRPr="00251458" w:rsidRDefault="000C336F" w:rsidP="000C336F">
                              <w:pPr>
                                <w:jc w:val="center"/>
                                <w:rPr>
                                  <w:color w:val="000000" w:themeColor="text1"/>
                                </w:rPr>
                              </w:pPr>
                              <w:r>
                                <w:rPr>
                                  <w:color w:val="000000" w:themeColor="text1"/>
                                </w:rPr>
                                <w:t>Le vérificateur externe des comptes, dont le rapport, contenant ses opinions, observations et commentaires, est soumis au Comité consultatif et au Conseil de l’UPOV;  je prends en considération les recommandations du vérificateur externe et j’ai pleinement confiance dans son travail.</w:t>
                              </w:r>
                            </w:p>
                          </w:txbxContent>
                        </wps:txbx>
                        <wps:bodyPr lIns="40500" tIns="40500" rIns="40500" bIns="40500" rtlCol="0" anchor="t"/>
                      </wps:wsp>
                      <wps:wsp>
                        <wps:cNvPr id="798188336" name="Rettangolo con angoli arrotondati 44"/>
                        <wps:cNvSpPr/>
                        <wps:spPr>
                          <a:xfrm>
                            <a:off x="4059304" y="705510"/>
                            <a:ext cx="4226022" cy="2378327"/>
                          </a:xfrm>
                          <a:prstGeom prst="roundRect">
                            <a:avLst>
                              <a:gd name="adj" fmla="val 3908"/>
                            </a:avLst>
                          </a:prstGeom>
                          <a:solidFill>
                            <a:schemeClr val="bg1"/>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E3CC15" w14:textId="77777777" w:rsidR="000C336F" w:rsidRPr="00251458" w:rsidRDefault="000C336F" w:rsidP="000C336F">
                              <w:pPr>
                                <w:pStyle w:val="NormalWeb"/>
                                <w:spacing w:before="60"/>
                                <w:jc w:val="center"/>
                                <w:textAlignment w:val="baseline"/>
                                <w:rPr>
                                  <w:rFonts w:ascii="Arial" w:hAnsi="Arial" w:cs="Arial"/>
                                  <w:color w:val="000000" w:themeColor="text1"/>
                                  <w:sz w:val="20"/>
                                  <w:szCs w:val="20"/>
                                </w:rPr>
                              </w:pPr>
                              <w:r>
                                <w:rPr>
                                  <w:rFonts w:ascii="Arial" w:hAnsi="Arial"/>
                                  <w:b/>
                                  <w:bCs/>
                                  <w:color w:val="000000" w:themeColor="text1"/>
                                  <w:sz w:val="20"/>
                                </w:rPr>
                                <w:t>Comité consultatif</w:t>
                              </w:r>
                              <w:r>
                                <w:rPr>
                                  <w:rFonts w:ascii="Arial" w:hAnsi="Arial"/>
                                  <w:color w:val="000000" w:themeColor="text1"/>
                                  <w:sz w:val="20"/>
                                </w:rPr>
                                <w:t xml:space="preserve"> et Conseil de l’UPOV</w:t>
                              </w:r>
                            </w:p>
                            <w:p w14:paraId="24191061" w14:textId="77777777" w:rsidR="000C336F" w:rsidRPr="00251458" w:rsidRDefault="000C336F" w:rsidP="000C336F">
                              <w:pPr>
                                <w:jc w:val="center"/>
                                <w:rPr>
                                  <w:sz w:val="22"/>
                                  <w:szCs w:val="22"/>
                                </w:rPr>
                              </w:pPr>
                              <w:r>
                                <w:rPr>
                                  <w:color w:val="000000" w:themeColor="text1"/>
                                </w:rPr>
                                <w:t>Les observations du Comité consultatif et du Conseil de l’UPOV.</w:t>
                              </w:r>
                              <w:r>
                                <w:rPr>
                                  <w:sz w:val="22"/>
                                </w:rPr>
                                <w:br/>
                              </w:r>
                            </w:p>
                            <w:p w14:paraId="70962F67" w14:textId="77777777" w:rsidR="000C336F" w:rsidRPr="00373DED" w:rsidRDefault="000C336F" w:rsidP="000C336F">
                              <w:pPr>
                                <w:rPr>
                                  <w:sz w:val="22"/>
                                  <w:szCs w:val="22"/>
                                </w:rPr>
                              </w:pPr>
                            </w:p>
                          </w:txbxContent>
                        </wps:txbx>
                        <wps:bodyPr lIns="40500" tIns="40500" rIns="40500" bIns="40500" rtlCol="0" anchor="t"/>
                      </wps:wsp>
                      <wps:wsp>
                        <wps:cNvPr id="859157854" name="Rettangolo con angoli arrotondati 45"/>
                        <wps:cNvSpPr/>
                        <wps:spPr>
                          <a:xfrm>
                            <a:off x="32668" y="-2"/>
                            <a:ext cx="8254058" cy="607941"/>
                          </a:xfrm>
                          <a:prstGeom prst="roundRect">
                            <a:avLst>
                              <a:gd name="adj" fmla="val 8559"/>
                            </a:avLst>
                          </a:prstGeom>
                          <a:solidFill>
                            <a:schemeClr val="bg1"/>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A2703" w14:textId="77777777" w:rsidR="000C336F" w:rsidRDefault="000C336F" w:rsidP="000C336F">
                              <w:pPr>
                                <w:pStyle w:val="NormalWeb"/>
                                <w:spacing w:before="0" w:after="0"/>
                                <w:jc w:val="center"/>
                                <w:textAlignment w:val="baseline"/>
                              </w:pPr>
                              <w:r>
                                <w:rPr>
                                  <w:rFonts w:asciiTheme="minorHAnsi" w:hAnsi="Calibri"/>
                                  <w:b/>
                                  <w:color w:val="000000" w:themeColor="text1"/>
                                  <w:sz w:val="36"/>
                                </w:rPr>
                                <w:t>Gouvernance</w:t>
                              </w:r>
                            </w:p>
                          </w:txbxContent>
                        </wps:txbx>
                        <wps:bodyPr lIns="40500" tIns="40500" rIns="40500" bIns="40500" rtlCol="0" anchor="ctr" anchorCtr="1"/>
                      </wps:wsp>
                    </wpg:wgp>
                  </a:graphicData>
                </a:graphic>
              </wp:inline>
            </w:drawing>
          </mc:Choice>
          <mc:Fallback>
            <w:pict>
              <v:group w14:anchorId="466F5C91" id="Group 2" o:spid="_x0000_s1035" style="width:486.25pt;height:157.15pt;mso-position-horizontal-relative:char;mso-position-vertical-relative:line" coordorigin="45" coordsize="82821,3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">
                <v:roundrect id="Rettangolo con angoli arrotondati 45" o:spid="_x0000_s1036" style="position:absolute;left:45;top:7053;width:39612;height:23785;visibility:visible;mso-wrap-style:square;v-text-anchor:top" arcsize="30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" fillcolor="white [3212]" strokecolor="#b8cce4 [1300]" strokeweight="2pt">
                  <v:textbox inset="1.125mm,1.125mm,1.125mm,1.125mm">
                    <w:txbxContent>
                      <w:p w14:paraId="114001E0" w14:textId="77777777" w:rsidR="000C336F" w:rsidRPr="00251458" w:rsidRDefault="000C336F" w:rsidP="000C336F">
                        <w:pPr>
                          <w:pStyle w:val="NormalWeb"/>
                          <w:spacing w:before="60"/>
                          <w:jc w:val="center"/>
                          <w:textAlignment w:val="baseline"/>
                          <w:rPr>
                            <w:rFonts w:ascii="Arial" w:hAnsi="Arial" w:cs="Arial"/>
                            <w:color w:val="000000" w:themeColor="text1"/>
                            <w:sz w:val="20"/>
                            <w:szCs w:val="20"/>
                          </w:rPr>
                        </w:pPr>
                        <w:r>
                          <w:rPr>
                            <w:rFonts w:ascii="Arial" w:hAnsi="Arial"/>
                            <w:b/>
                            <w:color w:val="000000" w:themeColor="text1"/>
                            <w:sz w:val="20"/>
                          </w:rPr>
                          <w:t>Vérificateur externe des comptes</w:t>
                        </w:r>
                      </w:p>
                      <w:p w14:paraId="5F949A48" w14:textId="77777777" w:rsidR="000C336F" w:rsidRPr="00251458" w:rsidRDefault="000C336F" w:rsidP="000C336F">
                        <w:pPr>
                          <w:jc w:val="center"/>
                          <w:rPr>
                            <w:color w:val="000000" w:themeColor="text1"/>
                          </w:rPr>
                        </w:pPr>
                        <w:r>
                          <w:rPr>
                            <w:color w:val="000000" w:themeColor="text1"/>
                          </w:rPr>
                          <w:t>Le vérificateur externe des comptes, dont le rapport, contenant ses opinions, observations et commentaires, est soumis au Comité consultatif et au Conseil de l’UPOV;  je prends en considération les recommandations du vérificateur externe et j’ai pleinement confiance dans son travail.</w:t>
                        </w:r>
                      </w:p>
                    </w:txbxContent>
                  </v:textbox>
                </v:roundrect>
                <v:roundrect id="Rettangolo con angoli arrotondati 44" o:spid="_x0000_s1037" style="position:absolute;left:40593;top:7055;width:42260;height:23783;visibility:visible;mso-wrap-style:square;v-text-anchor:top" arcsize="25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" fillcolor="white [3212]" strokecolor="#d99594 [1941]" strokeweight="2pt">
                  <v:textbox inset="1.125mm,1.125mm,1.125mm,1.125mm">
                    <w:txbxContent>
                      <w:p w14:paraId="1EE3CC15" w14:textId="77777777" w:rsidR="000C336F" w:rsidRPr="00251458" w:rsidRDefault="000C336F" w:rsidP="000C336F">
                        <w:pPr>
                          <w:pStyle w:val="NormalWeb"/>
                          <w:spacing w:before="60"/>
                          <w:jc w:val="center"/>
                          <w:textAlignment w:val="baseline"/>
                          <w:rPr>
                            <w:rFonts w:ascii="Arial" w:hAnsi="Arial" w:cs="Arial"/>
                            <w:color w:val="000000" w:themeColor="text1"/>
                            <w:sz w:val="20"/>
                            <w:szCs w:val="20"/>
                          </w:rPr>
                        </w:pPr>
                        <w:r>
                          <w:rPr>
                            <w:rFonts w:ascii="Arial" w:hAnsi="Arial"/>
                            <w:b/>
                            <w:bCs/>
                            <w:color w:val="000000" w:themeColor="text1"/>
                            <w:sz w:val="20"/>
                          </w:rPr>
                          <w:t>Comité consultatif</w:t>
                        </w:r>
                        <w:r>
                          <w:rPr>
                            <w:rFonts w:ascii="Arial" w:hAnsi="Arial"/>
                            <w:color w:val="000000" w:themeColor="text1"/>
                            <w:sz w:val="20"/>
                          </w:rPr>
                          <w:t xml:space="preserve"> et Conseil de l’UPOV</w:t>
                        </w:r>
                      </w:p>
                      <w:p w14:paraId="24191061" w14:textId="77777777" w:rsidR="000C336F" w:rsidRPr="00251458" w:rsidRDefault="000C336F" w:rsidP="000C336F">
                        <w:pPr>
                          <w:jc w:val="center"/>
                          <w:rPr>
                            <w:sz w:val="22"/>
                            <w:szCs w:val="22"/>
                          </w:rPr>
                        </w:pPr>
                        <w:r>
                          <w:rPr>
                            <w:color w:val="000000" w:themeColor="text1"/>
                          </w:rPr>
                          <w:t>Les observations du Comité consultatif et du Conseil de l’UPOV.</w:t>
                        </w:r>
                        <w:r>
                          <w:rPr>
                            <w:sz w:val="22"/>
                          </w:rPr>
                          <w:br/>
                        </w:r>
                      </w:p>
                      <w:p w14:paraId="70962F67" w14:textId="77777777" w:rsidR="000C336F" w:rsidRPr="00373DED" w:rsidRDefault="000C336F" w:rsidP="000C336F">
                        <w:pPr>
                          <w:rPr>
                            <w:sz w:val="22"/>
                            <w:szCs w:val="22"/>
                          </w:rPr>
                        </w:pPr>
                      </w:p>
                    </w:txbxContent>
                  </v:textbox>
                </v:roundrect>
                <v:roundrect id="Rettangolo con angoli arrotondati 45" o:spid="_x0000_s1038" style="position:absolute;left:326;width:82541;height:6079;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" fillcolor="white [3212]" strokecolor="#548dd4 [1951]" strokeweight="2pt">
                  <v:textbox inset="1.125mm,1.125mm,1.125mm,1.125mm">
                    <w:txbxContent>
                      <w:p w14:paraId="03EA2703" w14:textId="77777777" w:rsidR="000C336F" w:rsidRDefault="000C336F" w:rsidP="000C336F">
                        <w:pPr>
                          <w:pStyle w:val="NormalWeb"/>
                          <w:spacing w:before="0" w:after="0"/>
                          <w:jc w:val="center"/>
                          <w:textAlignment w:val="baseline"/>
                        </w:pPr>
                        <w:r>
                          <w:rPr>
                            <w:rFonts w:asciiTheme="minorHAnsi" w:hAnsi="Calibri"/>
                            <w:b/>
                            <w:color w:val="000000" w:themeColor="text1"/>
                            <w:sz w:val="36"/>
                          </w:rPr>
                          <w:t>Gouvernance</w:t>
                        </w:r>
                      </w:p>
                    </w:txbxContent>
                  </v:textbox>
                </v:roundrect>
                <w10:anchorlock/>
              </v:group>
            </w:pict>
          </mc:Fallback>
        </mc:AlternateContent>
      </w:r>
    </w:p>
    <w:p w14:paraId="0FA69D87" w14:textId="77777777" w:rsidR="000C336F" w:rsidRPr="003B70C5" w:rsidRDefault="000C336F" w:rsidP="000C336F">
      <w:pPr>
        <w:rPr>
          <w:rFonts w:cs="Arial"/>
          <w:color w:val="000000" w:themeColor="text1"/>
        </w:rPr>
      </w:pPr>
    </w:p>
    <w:p w14:paraId="05F61040" w14:textId="6D450F95" w:rsidR="000C336F" w:rsidRPr="003B70C5" w:rsidRDefault="000C336F" w:rsidP="000C336F">
      <w:pPr>
        <w:rPr>
          <w:rFonts w:cs="Arial"/>
          <w:color w:val="000000" w:themeColor="text1"/>
        </w:rPr>
      </w:pPr>
      <w:r w:rsidRPr="003B70C5">
        <w:rPr>
          <w:color w:val="000000" w:themeColor="text1"/>
        </w:rPr>
        <w:t>Je m</w:t>
      </w:r>
      <w:r w:rsidR="002B0172" w:rsidRPr="003B70C5">
        <w:rPr>
          <w:color w:val="000000" w:themeColor="text1"/>
        </w:rPr>
        <w:t>’</w:t>
      </w:r>
      <w:r w:rsidRPr="003B70C5">
        <w:rPr>
          <w:color w:val="000000" w:themeColor="text1"/>
        </w:rPr>
        <w:t>assure en outre que des mécanismes de retour d</w:t>
      </w:r>
      <w:r w:rsidR="002B0172" w:rsidRPr="003B70C5">
        <w:rPr>
          <w:color w:val="000000" w:themeColor="text1"/>
        </w:rPr>
        <w:t>’</w:t>
      </w:r>
      <w:r w:rsidRPr="003B70C5">
        <w:rPr>
          <w:color w:val="000000" w:themeColor="text1"/>
        </w:rPr>
        <w:t>information sont en place pour les membres, que des services de résolution des plaintes des clients sont assurés par le Bureau de l</w:t>
      </w:r>
      <w:r w:rsidR="002B0172" w:rsidRPr="003B70C5">
        <w:rPr>
          <w:color w:val="000000" w:themeColor="text1"/>
        </w:rPr>
        <w:t>’</w:t>
      </w:r>
      <w:r w:rsidRPr="003B70C5">
        <w:rPr>
          <w:color w:val="000000" w:themeColor="text1"/>
        </w:rPr>
        <w:t>UPOV et que, pour le personnel de l</w:t>
      </w:r>
      <w:r w:rsidR="002B0172" w:rsidRPr="003B70C5">
        <w:rPr>
          <w:color w:val="000000" w:themeColor="text1"/>
        </w:rPr>
        <w:t>’</w:t>
      </w:r>
      <w:r w:rsidRPr="003B70C5">
        <w:rPr>
          <w:color w:val="000000" w:themeColor="text1"/>
        </w:rPr>
        <w:t>UPOV, un certain nombre de mécanismes formels et informels de résolution des conflits sont pertinents, grâce aux dispositions de l</w:t>
      </w:r>
      <w:r w:rsidR="002B0172" w:rsidRPr="003B70C5">
        <w:rPr>
          <w:color w:val="000000" w:themeColor="text1"/>
        </w:rPr>
        <w:t>’</w:t>
      </w:r>
      <w:r w:rsidRPr="003B70C5">
        <w:rPr>
          <w:color w:val="000000" w:themeColor="text1"/>
        </w:rPr>
        <w:t>OMPI.</w:t>
      </w:r>
    </w:p>
    <w:p w14:paraId="4BDA104F" w14:textId="77777777" w:rsidR="000C336F" w:rsidRPr="003B70C5" w:rsidRDefault="000C336F" w:rsidP="000C336F">
      <w:pPr>
        <w:rPr>
          <w:rFonts w:eastAsiaTheme="majorEastAsia" w:cs="Arial"/>
          <w:b/>
          <w:color w:val="000000" w:themeColor="text1"/>
        </w:rPr>
      </w:pPr>
    </w:p>
    <w:p w14:paraId="07B09539" w14:textId="77777777" w:rsidR="000C336F" w:rsidRPr="003B70C5" w:rsidRDefault="000C336F" w:rsidP="000C336F">
      <w:pPr>
        <w:rPr>
          <w:rFonts w:eastAsiaTheme="majorEastAsia" w:cs="Arial"/>
          <w:b/>
          <w:color w:val="000000" w:themeColor="text1"/>
        </w:rPr>
      </w:pPr>
    </w:p>
    <w:p w14:paraId="1C595C1D" w14:textId="77777777" w:rsidR="000C336F" w:rsidRPr="00FA3B04" w:rsidRDefault="000C336F" w:rsidP="00FA3B04">
      <w:pPr>
        <w:pStyle w:val="BodyText"/>
        <w:widowControl w:val="0"/>
        <w:numPr>
          <w:ilvl w:val="0"/>
          <w:numId w:val="13"/>
        </w:numPr>
        <w:autoSpaceDE w:val="0"/>
        <w:autoSpaceDN w:val="0"/>
        <w:ind w:left="1134" w:hanging="567"/>
        <w:jc w:val="left"/>
        <w:rPr>
          <w:b/>
        </w:rPr>
      </w:pPr>
      <w:r w:rsidRPr="003B70C5">
        <w:rPr>
          <w:b/>
        </w:rPr>
        <w:t>Activités de contrôle</w:t>
      </w:r>
    </w:p>
    <w:p w14:paraId="2B2F850D" w14:textId="77777777" w:rsidR="000C336F" w:rsidRPr="003B70C5" w:rsidRDefault="000C336F" w:rsidP="000C336F">
      <w:pPr>
        <w:rPr>
          <w:rFonts w:cs="Arial"/>
          <w:color w:val="000000" w:themeColor="text1"/>
        </w:rPr>
      </w:pPr>
    </w:p>
    <w:p w14:paraId="59100642" w14:textId="3F1DD863" w:rsidR="000C336F" w:rsidRPr="003B70C5" w:rsidRDefault="000C336F" w:rsidP="000C336F">
      <w:pPr>
        <w:pStyle w:val="BodyText"/>
        <w:rPr>
          <w:rFonts w:cs="Arial"/>
          <w:color w:val="000000" w:themeColor="text1"/>
        </w:rPr>
      </w:pPr>
      <w:r w:rsidRPr="003B70C5">
        <w:rPr>
          <w:color w:val="000000" w:themeColor="text1"/>
        </w:rPr>
        <w:t>L</w:t>
      </w:r>
      <w:r w:rsidR="002B0172" w:rsidRPr="003B70C5">
        <w:rPr>
          <w:color w:val="000000" w:themeColor="text1"/>
        </w:rPr>
        <w:t>’</w:t>
      </w:r>
      <w:r w:rsidRPr="003B70C5">
        <w:rPr>
          <w:color w:val="000000" w:themeColor="text1"/>
        </w:rPr>
        <w:t>UPOV bénéficie de l</w:t>
      </w:r>
      <w:r w:rsidR="002B0172" w:rsidRPr="003B70C5">
        <w:rPr>
          <w:color w:val="000000" w:themeColor="text1"/>
        </w:rPr>
        <w:t>’</w:t>
      </w:r>
      <w:r w:rsidRPr="003B70C5">
        <w:rPr>
          <w:color w:val="000000" w:themeColor="text1"/>
        </w:rPr>
        <w:t>amélioration continue des procédures de garantie de l</w:t>
      </w:r>
      <w:r w:rsidR="002B0172" w:rsidRPr="003B70C5">
        <w:rPr>
          <w:color w:val="000000" w:themeColor="text1"/>
        </w:rPr>
        <w:t>’</w:t>
      </w:r>
      <w:r w:rsidRPr="003B70C5">
        <w:rPr>
          <w:color w:val="000000" w:themeColor="text1"/>
        </w:rPr>
        <w:t xml:space="preserve">OMPI, et le cadre de contrôle interne a été renforcé suite à une analyse approfondie des contrôles clés en 2025. </w:t>
      </w:r>
      <w:r w:rsidR="00E2280F" w:rsidRPr="003B70C5">
        <w:rPr>
          <w:color w:val="000000" w:themeColor="text1"/>
        </w:rPr>
        <w:t xml:space="preserve"> </w:t>
      </w:r>
      <w:r w:rsidRPr="003B70C5">
        <w:rPr>
          <w:color w:val="000000" w:themeColor="text1"/>
        </w:rPr>
        <w:t>L</w:t>
      </w:r>
      <w:r w:rsidR="002B0172" w:rsidRPr="003B70C5">
        <w:rPr>
          <w:color w:val="000000" w:themeColor="text1"/>
        </w:rPr>
        <w:t>’</w:t>
      </w:r>
      <w:r w:rsidRPr="003B70C5">
        <w:rPr>
          <w:color w:val="000000" w:themeColor="text1"/>
        </w:rPr>
        <w:t>analyse s</w:t>
      </w:r>
      <w:r w:rsidR="002B0172" w:rsidRPr="003B70C5">
        <w:rPr>
          <w:color w:val="000000" w:themeColor="text1"/>
        </w:rPr>
        <w:t>’</w:t>
      </w:r>
      <w:r w:rsidRPr="003B70C5">
        <w:rPr>
          <w:color w:val="000000" w:themeColor="text1"/>
        </w:rPr>
        <w:t>est concentrée sur l</w:t>
      </w:r>
      <w:r w:rsidR="002B0172" w:rsidRPr="003B70C5">
        <w:rPr>
          <w:color w:val="000000" w:themeColor="text1"/>
        </w:rPr>
        <w:t>’</w:t>
      </w:r>
      <w:r w:rsidRPr="003B70C5">
        <w:rPr>
          <w:color w:val="000000" w:themeColor="text1"/>
        </w:rPr>
        <w:t>identification et la rationalisation des contrôles clés qui sont essentiels à la gestion des principaux risques.</w:t>
      </w:r>
    </w:p>
    <w:p w14:paraId="56CCF734" w14:textId="77777777" w:rsidR="000C336F" w:rsidRPr="003B70C5" w:rsidRDefault="000C336F" w:rsidP="000C336F">
      <w:pPr>
        <w:pStyle w:val="BodyText"/>
        <w:widowControl w:val="0"/>
        <w:autoSpaceDE w:val="0"/>
        <w:autoSpaceDN w:val="0"/>
        <w:jc w:val="left"/>
        <w:rPr>
          <w:rFonts w:cs="Arial"/>
          <w:color w:val="000000" w:themeColor="text1"/>
        </w:rPr>
      </w:pPr>
    </w:p>
    <w:p w14:paraId="2052A3DC" w14:textId="0F652981" w:rsidR="002B0172" w:rsidRPr="003B70C5" w:rsidRDefault="000C336F" w:rsidP="000C336F">
      <w:pPr>
        <w:pStyle w:val="BodyText"/>
        <w:widowControl w:val="0"/>
        <w:autoSpaceDE w:val="0"/>
        <w:autoSpaceDN w:val="0"/>
        <w:rPr>
          <w:color w:val="000000" w:themeColor="text1"/>
        </w:rPr>
      </w:pPr>
      <w:r w:rsidRPr="003B70C5">
        <w:rPr>
          <w:color w:val="000000" w:themeColor="text1"/>
        </w:rPr>
        <w:t>Les principaux résultats de cette analyse sont les suivants</w:t>
      </w:r>
      <w:r w:rsidR="002B0172" w:rsidRPr="003B70C5">
        <w:rPr>
          <w:color w:val="000000" w:themeColor="text1"/>
        </w:rPr>
        <w:t> :</w:t>
      </w:r>
    </w:p>
    <w:p w14:paraId="4690E05A" w14:textId="570CC79D" w:rsidR="000C336F" w:rsidRPr="003B70C5" w:rsidRDefault="000C336F" w:rsidP="000C336F">
      <w:pPr>
        <w:pStyle w:val="BodyText"/>
        <w:widowControl w:val="0"/>
        <w:autoSpaceDE w:val="0"/>
        <w:autoSpaceDN w:val="0"/>
        <w:rPr>
          <w:rFonts w:cs="Arial"/>
          <w:color w:val="000000" w:themeColor="text1"/>
        </w:rPr>
      </w:pPr>
    </w:p>
    <w:p w14:paraId="6DBFBC16" w14:textId="24F3670B" w:rsidR="002B0172" w:rsidRPr="003B70C5" w:rsidRDefault="000C336F" w:rsidP="0049276A">
      <w:pPr>
        <w:pStyle w:val="BodyText"/>
        <w:widowControl w:val="0"/>
        <w:numPr>
          <w:ilvl w:val="0"/>
          <w:numId w:val="14"/>
        </w:numPr>
        <w:autoSpaceDE w:val="0"/>
        <w:autoSpaceDN w:val="0"/>
        <w:ind w:left="1134" w:hanging="567"/>
        <w:rPr>
          <w:color w:val="000000" w:themeColor="text1"/>
        </w:rPr>
      </w:pPr>
      <w:r w:rsidRPr="003B70C5">
        <w:rPr>
          <w:color w:val="000000" w:themeColor="text1"/>
        </w:rPr>
        <w:t>Meilleur alignement des contrôles clés sur les principes du référentiel du Comité d</w:t>
      </w:r>
      <w:r w:rsidR="002B0172" w:rsidRPr="003B70C5">
        <w:rPr>
          <w:color w:val="000000" w:themeColor="text1"/>
        </w:rPr>
        <w:t>’</w:t>
      </w:r>
      <w:r w:rsidRPr="003B70C5">
        <w:rPr>
          <w:color w:val="000000" w:themeColor="text1"/>
        </w:rPr>
        <w:t>organismes parrains de la Commission Treadway (COSO), garantissant une couverture complète des cinq composantes et principes;</w:t>
      </w:r>
    </w:p>
    <w:p w14:paraId="5AA1CB6A" w14:textId="56CC1147" w:rsidR="000C336F" w:rsidRPr="003B70C5" w:rsidRDefault="000C336F" w:rsidP="0049276A">
      <w:pPr>
        <w:pStyle w:val="BodyText"/>
        <w:widowControl w:val="0"/>
        <w:autoSpaceDE w:val="0"/>
        <w:autoSpaceDN w:val="0"/>
        <w:ind w:left="1134" w:hanging="567"/>
        <w:rPr>
          <w:rFonts w:cs="Arial"/>
          <w:color w:val="000000" w:themeColor="text1"/>
        </w:rPr>
      </w:pPr>
    </w:p>
    <w:p w14:paraId="236319B2" w14:textId="77777777" w:rsidR="002B0172" w:rsidRPr="003B70C5" w:rsidRDefault="000C336F" w:rsidP="0049276A">
      <w:pPr>
        <w:pStyle w:val="BodyText"/>
        <w:widowControl w:val="0"/>
        <w:numPr>
          <w:ilvl w:val="0"/>
          <w:numId w:val="14"/>
        </w:numPr>
        <w:autoSpaceDE w:val="0"/>
        <w:autoSpaceDN w:val="0"/>
        <w:ind w:left="1134" w:hanging="567"/>
        <w:rPr>
          <w:color w:val="000000" w:themeColor="text1"/>
        </w:rPr>
      </w:pPr>
      <w:r w:rsidRPr="003B70C5">
        <w:rPr>
          <w:color w:val="000000" w:themeColor="text1"/>
        </w:rPr>
        <w:lastRenderedPageBreak/>
        <w:t>Les descriptions de contrôle améliorées ont porté sur les activités de contrôle plutôt que sur les descriptions de processus, ce qui a permis de mieux cibler le cadre de contrôle.</w:t>
      </w:r>
    </w:p>
    <w:p w14:paraId="4956F722" w14:textId="7437FFF4" w:rsidR="000C336F" w:rsidRPr="003B70C5" w:rsidRDefault="000C336F" w:rsidP="0049276A">
      <w:pPr>
        <w:pStyle w:val="BodyText"/>
        <w:widowControl w:val="0"/>
        <w:autoSpaceDE w:val="0"/>
        <w:autoSpaceDN w:val="0"/>
        <w:ind w:left="1134" w:hanging="567"/>
        <w:rPr>
          <w:rFonts w:cs="Arial"/>
          <w:color w:val="000000" w:themeColor="text1"/>
        </w:rPr>
      </w:pPr>
    </w:p>
    <w:p w14:paraId="12808EBF" w14:textId="5BCC7812" w:rsidR="002B0172" w:rsidRPr="003B70C5" w:rsidRDefault="000C336F" w:rsidP="0049276A">
      <w:pPr>
        <w:pStyle w:val="BodyText"/>
        <w:widowControl w:val="0"/>
        <w:numPr>
          <w:ilvl w:val="0"/>
          <w:numId w:val="14"/>
        </w:numPr>
        <w:autoSpaceDE w:val="0"/>
        <w:autoSpaceDN w:val="0"/>
        <w:ind w:left="1134" w:hanging="567"/>
        <w:rPr>
          <w:color w:val="000000" w:themeColor="text1"/>
        </w:rPr>
      </w:pPr>
      <w:r w:rsidRPr="003B70C5">
        <w:rPr>
          <w:color w:val="000000" w:themeColor="text1"/>
        </w:rPr>
        <w:t>Renforcement des liens entre les contrôles clés et les principaux risques, améliorant ainsi l</w:t>
      </w:r>
      <w:r w:rsidR="002B0172" w:rsidRPr="003B70C5">
        <w:rPr>
          <w:color w:val="000000" w:themeColor="text1"/>
        </w:rPr>
        <w:t>’</w:t>
      </w:r>
      <w:r w:rsidRPr="003B70C5">
        <w:rPr>
          <w:color w:val="000000" w:themeColor="text1"/>
        </w:rPr>
        <w:t>efficacité de la gestion des risques.</w:t>
      </w:r>
    </w:p>
    <w:p w14:paraId="2DB4DC23" w14:textId="40297BD6" w:rsidR="000C336F" w:rsidRPr="003B70C5" w:rsidRDefault="000C336F" w:rsidP="000C336F">
      <w:pPr>
        <w:pStyle w:val="BodyText"/>
        <w:rPr>
          <w:rFonts w:cs="Arial"/>
          <w:color w:val="000000" w:themeColor="text1"/>
        </w:rPr>
      </w:pPr>
    </w:p>
    <w:p w14:paraId="0E6DF9FE" w14:textId="77777777" w:rsidR="000C336F" w:rsidRPr="003B70C5" w:rsidRDefault="000C336F" w:rsidP="000C336F">
      <w:pPr>
        <w:rPr>
          <w:rFonts w:eastAsiaTheme="majorEastAsia" w:cs="Arial"/>
          <w:b/>
          <w:color w:val="000000" w:themeColor="text1"/>
        </w:rPr>
      </w:pPr>
    </w:p>
    <w:p w14:paraId="2C1C3F7F" w14:textId="77777777" w:rsidR="000C336F" w:rsidRPr="00FA3B04" w:rsidRDefault="000C336F" w:rsidP="00FA3B04">
      <w:pPr>
        <w:pStyle w:val="BodyText"/>
        <w:widowControl w:val="0"/>
        <w:numPr>
          <w:ilvl w:val="0"/>
          <w:numId w:val="13"/>
        </w:numPr>
        <w:autoSpaceDE w:val="0"/>
        <w:autoSpaceDN w:val="0"/>
        <w:ind w:left="1134" w:hanging="567"/>
        <w:jc w:val="left"/>
        <w:rPr>
          <w:b/>
        </w:rPr>
      </w:pPr>
      <w:r w:rsidRPr="003B70C5">
        <w:rPr>
          <w:b/>
        </w:rPr>
        <w:t>Information et communication</w:t>
      </w:r>
    </w:p>
    <w:p w14:paraId="52BCA3C8" w14:textId="77777777" w:rsidR="000C336F" w:rsidRPr="003B70C5" w:rsidRDefault="000C336F" w:rsidP="000C336F">
      <w:pPr>
        <w:pStyle w:val="BodyText"/>
        <w:rPr>
          <w:rFonts w:cs="Arial"/>
          <w:color w:val="000000" w:themeColor="text1"/>
        </w:rPr>
      </w:pPr>
    </w:p>
    <w:p w14:paraId="775F8930" w14:textId="23D95ACE" w:rsidR="002B0172" w:rsidRPr="003B70C5" w:rsidRDefault="000C336F" w:rsidP="000C336F">
      <w:pPr>
        <w:pStyle w:val="BodyText"/>
        <w:rPr>
          <w:color w:val="000000" w:themeColor="text1"/>
        </w:rPr>
      </w:pPr>
      <w:r w:rsidRPr="003B70C5">
        <w:rPr>
          <w:color w:val="000000" w:themeColor="text1"/>
        </w:rPr>
        <w:t>Le directeur des données et l</w:t>
      </w:r>
      <w:r w:rsidR="002B0172" w:rsidRPr="003B70C5">
        <w:rPr>
          <w:color w:val="000000" w:themeColor="text1"/>
        </w:rPr>
        <w:t>’</w:t>
      </w:r>
      <w:r w:rsidRPr="003B70C5">
        <w:rPr>
          <w:color w:val="000000" w:themeColor="text1"/>
        </w:rPr>
        <w:t>administrateur chargé de la protection des données supervisent les questions de gouvernance des données et de protection de la vie privée, en constante évolution, qui continuent d</w:t>
      </w:r>
      <w:r w:rsidR="002B0172" w:rsidRPr="003B70C5">
        <w:rPr>
          <w:color w:val="000000" w:themeColor="text1"/>
        </w:rPr>
        <w:t>’</w:t>
      </w:r>
      <w:r w:rsidRPr="003B70C5">
        <w:rPr>
          <w:color w:val="000000" w:themeColor="text1"/>
        </w:rPr>
        <w:t>être renforcées par une stratégie en matière de gouvernance des données et une attention accrue portée aux questions de protection des données. </w:t>
      </w:r>
    </w:p>
    <w:p w14:paraId="2E24899A" w14:textId="072A287A" w:rsidR="000C336F" w:rsidRPr="003B70C5" w:rsidRDefault="000C336F" w:rsidP="000C336F">
      <w:pPr>
        <w:pStyle w:val="BodyText"/>
        <w:rPr>
          <w:rFonts w:cs="Arial"/>
          <w:color w:val="000000" w:themeColor="text1"/>
        </w:rPr>
      </w:pPr>
    </w:p>
    <w:p w14:paraId="5D6D8562" w14:textId="4FBEB423" w:rsidR="002B0172" w:rsidRPr="003B70C5" w:rsidRDefault="000C336F" w:rsidP="000C336F">
      <w:pPr>
        <w:pStyle w:val="BodyText"/>
        <w:rPr>
          <w:color w:val="000000" w:themeColor="text1"/>
        </w:rPr>
      </w:pPr>
      <w:r w:rsidRPr="003B70C5">
        <w:rPr>
          <w:color w:val="000000" w:themeColor="text1"/>
        </w:rPr>
        <w:t>Le portefeuille de solutions de planification des ressources de l</w:t>
      </w:r>
      <w:r w:rsidR="002B0172" w:rsidRPr="003B70C5">
        <w:rPr>
          <w:color w:val="000000" w:themeColor="text1"/>
        </w:rPr>
        <w:t>’</w:t>
      </w:r>
      <w:r w:rsidRPr="003B70C5">
        <w:rPr>
          <w:color w:val="000000" w:themeColor="text1"/>
        </w:rPr>
        <w:t xml:space="preserve">Organisation fournit un haut niveau de contrôle, </w:t>
      </w:r>
      <w:r w:rsidR="002B0172" w:rsidRPr="003B70C5">
        <w:rPr>
          <w:color w:val="000000" w:themeColor="text1"/>
        </w:rPr>
        <w:t>y compris</w:t>
      </w:r>
      <w:r w:rsidRPr="003B70C5">
        <w:rPr>
          <w:color w:val="000000" w:themeColor="text1"/>
        </w:rPr>
        <w:t xml:space="preserve"> des contrôles de système au niveau transactionnel et des analyses de données.  Un projet de transformation de la planification des ressources de l</w:t>
      </w:r>
      <w:r w:rsidR="002B0172" w:rsidRPr="003B70C5">
        <w:rPr>
          <w:color w:val="000000" w:themeColor="text1"/>
        </w:rPr>
        <w:t>’</w:t>
      </w:r>
      <w:r w:rsidRPr="003B70C5">
        <w:rPr>
          <w:color w:val="000000" w:themeColor="text1"/>
        </w:rPr>
        <w:t xml:space="preserve">Organisation est en cours pour remplacer le système ERP par une nouvelle solution de logiciel en tant que service en nuage, ce qui permettra de simplifier les procédures administratives. </w:t>
      </w:r>
      <w:r w:rsidR="00E2280F" w:rsidRPr="003B70C5">
        <w:rPr>
          <w:color w:val="000000" w:themeColor="text1"/>
        </w:rPr>
        <w:t xml:space="preserve"> </w:t>
      </w:r>
      <w:r w:rsidRPr="003B70C5">
        <w:rPr>
          <w:color w:val="000000" w:themeColor="text1"/>
        </w:rPr>
        <w:t>L</w:t>
      </w:r>
      <w:r w:rsidR="002B0172" w:rsidRPr="003B70C5">
        <w:rPr>
          <w:color w:val="000000" w:themeColor="text1"/>
        </w:rPr>
        <w:t>’</w:t>
      </w:r>
      <w:r w:rsidRPr="003B70C5">
        <w:rPr>
          <w:color w:val="000000" w:themeColor="text1"/>
        </w:rPr>
        <w:t>UPOV tient un registre des principaux risques, et l</w:t>
      </w:r>
      <w:r w:rsidR="002B0172" w:rsidRPr="003B70C5">
        <w:rPr>
          <w:color w:val="000000" w:themeColor="text1"/>
        </w:rPr>
        <w:t>’</w:t>
      </w:r>
      <w:r w:rsidRPr="003B70C5">
        <w:rPr>
          <w:color w:val="000000" w:themeColor="text1"/>
        </w:rPr>
        <w:t>OMPI consigne les contrôles dans le système de gestion des risques de l</w:t>
      </w:r>
      <w:r w:rsidR="002B0172" w:rsidRPr="003B70C5">
        <w:rPr>
          <w:color w:val="000000" w:themeColor="text1"/>
        </w:rPr>
        <w:t>’</w:t>
      </w:r>
      <w:r w:rsidRPr="003B70C5">
        <w:rPr>
          <w:color w:val="000000" w:themeColor="text1"/>
        </w:rPr>
        <w:t>OMPI.</w:t>
      </w:r>
    </w:p>
    <w:p w14:paraId="68A27CEC" w14:textId="77777777" w:rsidR="002B0172" w:rsidRPr="003B70C5" w:rsidRDefault="002B0172" w:rsidP="000C336F">
      <w:pPr>
        <w:pStyle w:val="BodyText"/>
        <w:rPr>
          <w:color w:val="000000" w:themeColor="text1"/>
        </w:rPr>
      </w:pPr>
    </w:p>
    <w:p w14:paraId="29BC20E6" w14:textId="77777777" w:rsidR="000C336F" w:rsidRPr="003B70C5" w:rsidRDefault="000C336F" w:rsidP="000C336F">
      <w:pPr>
        <w:pStyle w:val="BodyText"/>
        <w:rPr>
          <w:rFonts w:cs="Arial"/>
          <w:color w:val="000000" w:themeColor="text1"/>
        </w:rPr>
      </w:pPr>
    </w:p>
    <w:p w14:paraId="3146E03D" w14:textId="15629D7C" w:rsidR="000C336F" w:rsidRPr="00FA3B04" w:rsidRDefault="000C336F" w:rsidP="00FA3B04">
      <w:pPr>
        <w:pStyle w:val="BodyText"/>
        <w:widowControl w:val="0"/>
        <w:numPr>
          <w:ilvl w:val="0"/>
          <w:numId w:val="13"/>
        </w:numPr>
        <w:autoSpaceDE w:val="0"/>
        <w:autoSpaceDN w:val="0"/>
        <w:ind w:left="1134" w:hanging="567"/>
        <w:jc w:val="left"/>
        <w:rPr>
          <w:b/>
        </w:rPr>
      </w:pPr>
      <w:r w:rsidRPr="003B70C5">
        <w:rPr>
          <w:b/>
        </w:rPr>
        <w:t>Normes d</w:t>
      </w:r>
      <w:r w:rsidR="002B0172" w:rsidRPr="003B70C5">
        <w:rPr>
          <w:b/>
        </w:rPr>
        <w:t>’</w:t>
      </w:r>
      <w:r w:rsidRPr="003B70C5">
        <w:rPr>
          <w:b/>
        </w:rPr>
        <w:t>éthique et intégrité</w:t>
      </w:r>
    </w:p>
    <w:p w14:paraId="07153EFC" w14:textId="77777777" w:rsidR="000C336F" w:rsidRPr="003B70C5" w:rsidRDefault="000C336F" w:rsidP="000C336F">
      <w:pPr>
        <w:rPr>
          <w:rFonts w:cs="Arial"/>
        </w:rPr>
      </w:pPr>
    </w:p>
    <w:p w14:paraId="5DA7196A" w14:textId="2ADFE64E" w:rsidR="002B0172" w:rsidRPr="003B70C5" w:rsidRDefault="000C336F" w:rsidP="000C336F">
      <w:pPr>
        <w:rPr>
          <w:color w:val="000000" w:themeColor="text1"/>
        </w:rPr>
      </w:pPr>
      <w:r w:rsidRPr="003B70C5">
        <w:rPr>
          <w:color w:val="000000" w:themeColor="text1"/>
        </w:rPr>
        <w:t>Le Bureau de la déontologie de l</w:t>
      </w:r>
      <w:r w:rsidR="002B0172" w:rsidRPr="003B70C5">
        <w:rPr>
          <w:color w:val="000000" w:themeColor="text1"/>
        </w:rPr>
        <w:t>’</w:t>
      </w:r>
      <w:r w:rsidRPr="003B70C5">
        <w:rPr>
          <w:color w:val="000000" w:themeColor="text1"/>
        </w:rPr>
        <w:t>OMPI, qui jouit d</w:t>
      </w:r>
      <w:r w:rsidR="002B0172" w:rsidRPr="003B70C5">
        <w:rPr>
          <w:color w:val="000000" w:themeColor="text1"/>
        </w:rPr>
        <w:t>’</w:t>
      </w:r>
      <w:r w:rsidRPr="003B70C5">
        <w:rPr>
          <w:color w:val="000000" w:themeColor="text1"/>
        </w:rPr>
        <w:t>une indépendance dans l</w:t>
      </w:r>
      <w:r w:rsidR="002B0172" w:rsidRPr="003B70C5">
        <w:rPr>
          <w:color w:val="000000" w:themeColor="text1"/>
        </w:rPr>
        <w:t>’</w:t>
      </w:r>
      <w:r w:rsidRPr="003B70C5">
        <w:rPr>
          <w:color w:val="000000" w:themeColor="text1"/>
        </w:rPr>
        <w:t>exercice de ses fonctions vis</w:t>
      </w:r>
      <w:r w:rsidR="002B0172" w:rsidRPr="003B70C5">
        <w:rPr>
          <w:color w:val="000000" w:themeColor="text1"/>
        </w:rPr>
        <w:t>-</w:t>
      </w:r>
      <w:r w:rsidRPr="003B70C5">
        <w:rPr>
          <w:color w:val="000000" w:themeColor="text1"/>
        </w:rPr>
        <w:t>à</w:t>
      </w:r>
      <w:r w:rsidR="002B0172" w:rsidRPr="003B70C5">
        <w:rPr>
          <w:color w:val="000000" w:themeColor="text1"/>
        </w:rPr>
        <w:t>-</w:t>
      </w:r>
      <w:r w:rsidRPr="003B70C5">
        <w:rPr>
          <w:color w:val="000000" w:themeColor="text1"/>
        </w:rPr>
        <w:t>vis de la direction, m</w:t>
      </w:r>
      <w:r w:rsidR="002B0172" w:rsidRPr="003B70C5">
        <w:rPr>
          <w:color w:val="000000" w:themeColor="text1"/>
        </w:rPr>
        <w:t>’</w:t>
      </w:r>
      <w:r w:rsidRPr="003B70C5">
        <w:rPr>
          <w:color w:val="000000" w:themeColor="text1"/>
        </w:rPr>
        <w:t>aide à veiller à ce que tous les fonctionnaires de l</w:t>
      </w:r>
      <w:r w:rsidR="002B0172" w:rsidRPr="003B70C5">
        <w:rPr>
          <w:color w:val="000000" w:themeColor="text1"/>
        </w:rPr>
        <w:t>’</w:t>
      </w:r>
      <w:r w:rsidRPr="003B70C5">
        <w:rPr>
          <w:color w:val="000000" w:themeColor="text1"/>
        </w:rPr>
        <w:t>UPOV respectent les plus hautes normes d</w:t>
      </w:r>
      <w:r w:rsidR="002B0172" w:rsidRPr="003B70C5">
        <w:rPr>
          <w:color w:val="000000" w:themeColor="text1"/>
        </w:rPr>
        <w:t>’</w:t>
      </w:r>
      <w:r w:rsidRPr="003B70C5">
        <w:rPr>
          <w:color w:val="000000" w:themeColor="text1"/>
        </w:rPr>
        <w:t>intégrité dans l</w:t>
      </w:r>
      <w:r w:rsidR="002B0172" w:rsidRPr="003B70C5">
        <w:rPr>
          <w:color w:val="000000" w:themeColor="text1"/>
        </w:rPr>
        <w:t>’</w:t>
      </w:r>
      <w:r w:rsidRPr="003B70C5">
        <w:rPr>
          <w:color w:val="000000" w:themeColor="text1"/>
        </w:rPr>
        <w:t>exercice de leurs fonctions, conformément au cadre réglementaire de l</w:t>
      </w:r>
      <w:r w:rsidR="002B0172" w:rsidRPr="003B70C5">
        <w:rPr>
          <w:color w:val="000000" w:themeColor="text1"/>
        </w:rPr>
        <w:t>’</w:t>
      </w:r>
      <w:r w:rsidRPr="003B70C5">
        <w:rPr>
          <w:color w:val="000000" w:themeColor="text1"/>
        </w:rPr>
        <w:t xml:space="preserve">OMPI, notamment la </w:t>
      </w:r>
      <w:r w:rsidR="002B0172" w:rsidRPr="003B70C5">
        <w:rPr>
          <w:color w:val="000000" w:themeColor="text1"/>
        </w:rPr>
        <w:t>Convention instituant l’OMPI</w:t>
      </w:r>
      <w:r w:rsidRPr="003B70C5">
        <w:rPr>
          <w:color w:val="000000" w:themeColor="text1"/>
        </w:rPr>
        <w:t>, le Statut et Règlement du personnel de l</w:t>
      </w:r>
      <w:r w:rsidR="002B0172" w:rsidRPr="003B70C5">
        <w:rPr>
          <w:color w:val="000000" w:themeColor="text1"/>
        </w:rPr>
        <w:t>’</w:t>
      </w:r>
      <w:r w:rsidRPr="003B70C5">
        <w:rPr>
          <w:color w:val="000000" w:themeColor="text1"/>
        </w:rPr>
        <w:t>OMPI, les normes de conduite requises des fonctionnaires internationaux par la Commission de la fonction publique internationale (CFPI) et le code de déontologie de l</w:t>
      </w:r>
      <w:r w:rsidR="002B0172" w:rsidRPr="003B70C5">
        <w:rPr>
          <w:color w:val="000000" w:themeColor="text1"/>
        </w:rPr>
        <w:t>’</w:t>
      </w:r>
      <w:r w:rsidRPr="003B70C5">
        <w:rPr>
          <w:color w:val="000000" w:themeColor="text1"/>
        </w:rPr>
        <w:t>OMPI.</w:t>
      </w:r>
    </w:p>
    <w:p w14:paraId="4935D18C" w14:textId="77777777" w:rsidR="002B0172" w:rsidRPr="003B70C5" w:rsidRDefault="002B0172" w:rsidP="000C336F">
      <w:pPr>
        <w:rPr>
          <w:color w:val="000000" w:themeColor="text1"/>
        </w:rPr>
      </w:pPr>
    </w:p>
    <w:p w14:paraId="006C7BAD" w14:textId="433AF105" w:rsidR="002B0172" w:rsidRPr="003B70C5" w:rsidRDefault="000C336F" w:rsidP="000C336F">
      <w:pPr>
        <w:rPr>
          <w:color w:val="000000" w:themeColor="text1"/>
        </w:rPr>
      </w:pPr>
      <w:r w:rsidRPr="003B70C5">
        <w:rPr>
          <w:color w:val="000000" w:themeColor="text1"/>
        </w:rPr>
        <w:t>Conformément à son mandat, en matière d</w:t>
      </w:r>
      <w:r w:rsidR="002B0172" w:rsidRPr="003B70C5">
        <w:rPr>
          <w:color w:val="000000" w:themeColor="text1"/>
        </w:rPr>
        <w:t>’</w:t>
      </w:r>
      <w:r w:rsidRPr="003B70C5">
        <w:rPr>
          <w:color w:val="000000" w:themeColor="text1"/>
        </w:rPr>
        <w:t>éthique et d</w:t>
      </w:r>
      <w:r w:rsidR="002B0172" w:rsidRPr="003B70C5">
        <w:rPr>
          <w:color w:val="000000" w:themeColor="text1"/>
        </w:rPr>
        <w:t>’</w:t>
      </w:r>
      <w:r w:rsidRPr="003B70C5">
        <w:rPr>
          <w:color w:val="000000" w:themeColor="text1"/>
        </w:rPr>
        <w:t>intégrité, le Bureau de la déontologie organise des formations obligatoires, élabore des programmes de sensibilisation, dispense des conseils confidentiels à tous les membres du personnel de l</w:t>
      </w:r>
      <w:r w:rsidR="002B0172" w:rsidRPr="003B70C5">
        <w:rPr>
          <w:color w:val="000000" w:themeColor="text1"/>
        </w:rPr>
        <w:t>’</w:t>
      </w:r>
      <w:r w:rsidRPr="003B70C5">
        <w:rPr>
          <w:color w:val="000000" w:themeColor="text1"/>
        </w:rPr>
        <w:t>OMPI et de l</w:t>
      </w:r>
      <w:r w:rsidR="002B0172" w:rsidRPr="003B70C5">
        <w:rPr>
          <w:color w:val="000000" w:themeColor="text1"/>
        </w:rPr>
        <w:t>’</w:t>
      </w:r>
      <w:r w:rsidRPr="003B70C5">
        <w:rPr>
          <w:color w:val="000000" w:themeColor="text1"/>
        </w:rPr>
        <w:t>UPOV, gère le programme de divulgation des intérêts financiers et autres et reçoit, examine et rend des décisions et des recommandations objectives sur les plaintes pour représailles.</w:t>
      </w:r>
    </w:p>
    <w:p w14:paraId="3E4C7C7D" w14:textId="26074846" w:rsidR="002B0172" w:rsidRPr="003B70C5" w:rsidRDefault="002B0172" w:rsidP="000C336F">
      <w:pPr>
        <w:rPr>
          <w:color w:val="000000" w:themeColor="text1"/>
        </w:rPr>
      </w:pPr>
    </w:p>
    <w:p w14:paraId="6BD1877A" w14:textId="77777777" w:rsidR="000C336F" w:rsidRPr="003B70C5" w:rsidRDefault="000C336F" w:rsidP="000C336F">
      <w:pPr>
        <w:rPr>
          <w:rFonts w:eastAsiaTheme="majorEastAsia" w:cs="Arial"/>
          <w:b/>
          <w:color w:val="000000" w:themeColor="text1"/>
        </w:rPr>
      </w:pPr>
    </w:p>
    <w:p w14:paraId="60474A14" w14:textId="77777777" w:rsidR="000C336F" w:rsidRPr="00FA3B04" w:rsidRDefault="000C336F" w:rsidP="00FA3B04">
      <w:pPr>
        <w:pStyle w:val="BodyText"/>
        <w:widowControl w:val="0"/>
        <w:numPr>
          <w:ilvl w:val="0"/>
          <w:numId w:val="13"/>
        </w:numPr>
        <w:autoSpaceDE w:val="0"/>
        <w:autoSpaceDN w:val="0"/>
        <w:ind w:left="1134" w:hanging="567"/>
        <w:jc w:val="left"/>
        <w:rPr>
          <w:b/>
        </w:rPr>
      </w:pPr>
      <w:r w:rsidRPr="003B70C5">
        <w:rPr>
          <w:b/>
        </w:rPr>
        <w:t>Environnement de contrôle</w:t>
      </w:r>
    </w:p>
    <w:p w14:paraId="29F1DDB9" w14:textId="77777777" w:rsidR="000C336F" w:rsidRPr="003B70C5" w:rsidRDefault="000C336F" w:rsidP="000C336F">
      <w:pPr>
        <w:pStyle w:val="BodyText"/>
        <w:rPr>
          <w:rFonts w:cs="Arial"/>
          <w:color w:val="000000" w:themeColor="text1"/>
        </w:rPr>
      </w:pPr>
    </w:p>
    <w:p w14:paraId="3ED3D0BB" w14:textId="0B9BF98F" w:rsidR="000C336F" w:rsidRPr="003B70C5" w:rsidRDefault="000C336F" w:rsidP="000C336F">
      <w:pPr>
        <w:pStyle w:val="BodyText"/>
        <w:rPr>
          <w:rFonts w:cs="Arial"/>
          <w:color w:val="000000" w:themeColor="text1"/>
        </w:rPr>
      </w:pPr>
      <w:r w:rsidRPr="003B70C5">
        <w:rPr>
          <w:color w:val="000000" w:themeColor="text1"/>
        </w:rPr>
        <w:t>Le dispositif d</w:t>
      </w:r>
      <w:r w:rsidR="002B0172" w:rsidRPr="003B70C5">
        <w:rPr>
          <w:color w:val="000000" w:themeColor="text1"/>
        </w:rPr>
        <w:t>’</w:t>
      </w:r>
      <w:r w:rsidRPr="003B70C5">
        <w:rPr>
          <w:color w:val="000000" w:themeColor="text1"/>
        </w:rPr>
        <w:t>application du principe de responsabilité à l</w:t>
      </w:r>
      <w:r w:rsidR="002B0172" w:rsidRPr="003B70C5">
        <w:rPr>
          <w:color w:val="000000" w:themeColor="text1"/>
        </w:rPr>
        <w:t>’</w:t>
      </w:r>
      <w:r w:rsidRPr="003B70C5">
        <w:rPr>
          <w:color w:val="000000" w:themeColor="text1"/>
        </w:rPr>
        <w:t>UPOV définit les éléments qui garantissent une bonne gouvernance grâce à des assurances raisonnables concernant la fiabilité des rapports, l</w:t>
      </w:r>
      <w:r w:rsidR="002B0172" w:rsidRPr="003B70C5">
        <w:rPr>
          <w:color w:val="000000" w:themeColor="text1"/>
        </w:rPr>
        <w:t>’</w:t>
      </w:r>
      <w:r w:rsidRPr="003B70C5">
        <w:rPr>
          <w:color w:val="000000" w:themeColor="text1"/>
        </w:rPr>
        <w:t>efficacité et la rationalité des opérations, le respect des politiques, règles et règlements applicables et la préservation des ressourc</w:t>
      </w:r>
      <w:r w:rsidR="00D076B0" w:rsidRPr="003B70C5">
        <w:rPr>
          <w:color w:val="000000" w:themeColor="text1"/>
        </w:rPr>
        <w:t>es.  L’e</w:t>
      </w:r>
      <w:r w:rsidRPr="003B70C5">
        <w:rPr>
          <w:color w:val="000000" w:themeColor="text1"/>
        </w:rPr>
        <w:t xml:space="preserve">nvironnement de contrôle comprend une série de contrôles clés, </w:t>
      </w:r>
      <w:r w:rsidR="002B0172" w:rsidRPr="003B70C5">
        <w:rPr>
          <w:color w:val="000000" w:themeColor="text1"/>
        </w:rPr>
        <w:t>à savoir</w:t>
      </w:r>
      <w:r w:rsidRPr="003B70C5">
        <w:rPr>
          <w:color w:val="000000" w:themeColor="text1"/>
        </w:rPr>
        <w:t xml:space="preserve"> les contrôles au niveau des entités et les contrôles au niveau des processus, qui assurent un contrôle ultime dans tous les domaines du référentiel du COSO.</w:t>
      </w:r>
    </w:p>
    <w:p w14:paraId="5EFB7D8F" w14:textId="77777777" w:rsidR="000C336F" w:rsidRPr="005E2554" w:rsidRDefault="000C336F" w:rsidP="000C336F">
      <w:pPr>
        <w:pStyle w:val="BodyText"/>
        <w:rPr>
          <w:rFonts w:cs="Arial"/>
          <w:i/>
        </w:rPr>
      </w:pPr>
    </w:p>
    <w:p w14:paraId="66CC6387" w14:textId="28673F42" w:rsidR="002B0172" w:rsidRPr="003B70C5" w:rsidRDefault="000C336F" w:rsidP="000C336F">
      <w:pPr>
        <w:pStyle w:val="BodyText"/>
        <w:rPr>
          <w:color w:val="000000" w:themeColor="text1"/>
        </w:rPr>
      </w:pPr>
      <w:r w:rsidRPr="003B70C5">
        <w:rPr>
          <w:color w:val="000000" w:themeColor="text1"/>
        </w:rPr>
        <w:t>En ce qui concerne l</w:t>
      </w:r>
      <w:r w:rsidR="002B0172" w:rsidRPr="003B70C5">
        <w:rPr>
          <w:color w:val="000000" w:themeColor="text1"/>
        </w:rPr>
        <w:t>’</w:t>
      </w:r>
      <w:r w:rsidRPr="003B70C5">
        <w:rPr>
          <w:color w:val="000000" w:themeColor="text1"/>
        </w:rPr>
        <w:t>administration financière de l</w:t>
      </w:r>
      <w:r w:rsidR="002B0172" w:rsidRPr="003B70C5">
        <w:rPr>
          <w:color w:val="000000" w:themeColor="text1"/>
        </w:rPr>
        <w:t>’</w:t>
      </w:r>
      <w:r w:rsidRPr="003B70C5">
        <w:rPr>
          <w:color w:val="000000" w:themeColor="text1"/>
        </w:rPr>
        <w:t>UPOV, l</w:t>
      </w:r>
      <w:r w:rsidR="002B0172" w:rsidRPr="003B70C5">
        <w:rPr>
          <w:color w:val="000000" w:themeColor="text1"/>
        </w:rPr>
        <w:t>’</w:t>
      </w:r>
      <w:r w:rsidRPr="003B70C5">
        <w:rPr>
          <w:color w:val="000000" w:themeColor="text1"/>
        </w:rPr>
        <w:t>Accord OMPI/UPOV, signé le 26 </w:t>
      </w:r>
      <w:r w:rsidR="002B0172" w:rsidRPr="003B70C5">
        <w:rPr>
          <w:color w:val="000000" w:themeColor="text1"/>
        </w:rPr>
        <w:t>novembre 19</w:t>
      </w:r>
      <w:r w:rsidRPr="003B70C5">
        <w:rPr>
          <w:color w:val="000000" w:themeColor="text1"/>
        </w:rPr>
        <w:t>82, dispose ce qui suit</w:t>
      </w:r>
      <w:r w:rsidR="002B0172" w:rsidRPr="003B70C5">
        <w:rPr>
          <w:color w:val="000000" w:themeColor="text1"/>
        </w:rPr>
        <w:t> :</w:t>
      </w:r>
    </w:p>
    <w:p w14:paraId="101A9938" w14:textId="1F49A1AE" w:rsidR="000C336F" w:rsidRPr="003B70C5" w:rsidRDefault="000C336F" w:rsidP="000C336F">
      <w:pPr>
        <w:pStyle w:val="BodyText"/>
        <w:rPr>
          <w:rFonts w:cs="Arial"/>
          <w:color w:val="000000" w:themeColor="text1"/>
        </w:rPr>
      </w:pPr>
    </w:p>
    <w:p w14:paraId="6774BFD9" w14:textId="66E31DC5" w:rsidR="000C336F" w:rsidRPr="003B70C5" w:rsidRDefault="000C336F" w:rsidP="000C336F">
      <w:pPr>
        <w:pStyle w:val="BodyText"/>
        <w:rPr>
          <w:rFonts w:cs="Arial"/>
          <w:color w:val="000000" w:themeColor="text1"/>
        </w:rPr>
      </w:pPr>
      <w:r w:rsidRPr="003B70C5">
        <w:rPr>
          <w:color w:val="000000" w:themeColor="text1"/>
        </w:rPr>
        <w:tab/>
        <w:t>“Article premier</w:t>
      </w:r>
      <w:r w:rsidR="002B0172" w:rsidRPr="003B70C5">
        <w:rPr>
          <w:color w:val="000000" w:themeColor="text1"/>
        </w:rPr>
        <w:t> :</w:t>
      </w:r>
      <w:r w:rsidRPr="003B70C5">
        <w:rPr>
          <w:color w:val="000000" w:themeColor="text1"/>
        </w:rPr>
        <w:t xml:space="preserve"> </w:t>
      </w:r>
      <w:r w:rsidR="005E2554">
        <w:rPr>
          <w:color w:val="000000" w:themeColor="text1"/>
        </w:rPr>
        <w:t>“</w:t>
      </w:r>
      <w:r w:rsidRPr="003B70C5">
        <w:rPr>
          <w:color w:val="000000" w:themeColor="text1"/>
        </w:rPr>
        <w:t>Besoins de l</w:t>
      </w:r>
      <w:r w:rsidR="002B0172" w:rsidRPr="003B70C5">
        <w:rPr>
          <w:color w:val="000000" w:themeColor="text1"/>
        </w:rPr>
        <w:t>’</w:t>
      </w:r>
      <w:r w:rsidRPr="003B70C5">
        <w:rPr>
          <w:color w:val="000000" w:themeColor="text1"/>
        </w:rPr>
        <w:t>UPOV</w:t>
      </w:r>
    </w:p>
    <w:p w14:paraId="0B58ED36" w14:textId="41F2B036" w:rsidR="002B0172" w:rsidRPr="003B70C5" w:rsidRDefault="000C336F" w:rsidP="000C336F">
      <w:pPr>
        <w:pStyle w:val="BodyText"/>
        <w:rPr>
          <w:color w:val="000000" w:themeColor="text1"/>
        </w:rPr>
      </w:pPr>
      <w:r w:rsidRPr="003B70C5">
        <w:rPr>
          <w:color w:val="000000" w:themeColor="text1"/>
        </w:rPr>
        <w:tab/>
      </w:r>
      <w:r w:rsidRPr="003B70C5">
        <w:rPr>
          <w:color w:val="000000" w:themeColor="text1"/>
        </w:rPr>
        <w:tab/>
        <w:t>“1) L</w:t>
      </w:r>
      <w:r w:rsidR="002B0172" w:rsidRPr="003B70C5">
        <w:rPr>
          <w:color w:val="000000" w:themeColor="text1"/>
        </w:rPr>
        <w:t>’</w:t>
      </w:r>
      <w:r w:rsidRPr="003B70C5">
        <w:rPr>
          <w:color w:val="000000" w:themeColor="text1"/>
        </w:rPr>
        <w:t>OMPI satisfait les besoins de l</w:t>
      </w:r>
      <w:r w:rsidR="002B0172" w:rsidRPr="003B70C5">
        <w:rPr>
          <w:color w:val="000000" w:themeColor="text1"/>
        </w:rPr>
        <w:t>’</w:t>
      </w:r>
      <w:r w:rsidRPr="003B70C5">
        <w:rPr>
          <w:color w:val="000000" w:themeColor="text1"/>
        </w:rPr>
        <w:t>UPOV en ce qui concerne</w:t>
      </w:r>
    </w:p>
    <w:p w14:paraId="289257FD" w14:textId="70CD3436" w:rsidR="000C336F" w:rsidRPr="003B70C5" w:rsidRDefault="000C336F" w:rsidP="000C336F">
      <w:pPr>
        <w:pStyle w:val="BodyText"/>
        <w:rPr>
          <w:rFonts w:cs="Arial"/>
          <w:color w:val="000000" w:themeColor="text1"/>
        </w:rPr>
      </w:pPr>
      <w:r w:rsidRPr="003B70C5">
        <w:rPr>
          <w:color w:val="000000" w:themeColor="text1"/>
        </w:rPr>
        <w:tab/>
      </w:r>
      <w:r w:rsidRPr="003B70C5">
        <w:rPr>
          <w:color w:val="000000" w:themeColor="text1"/>
        </w:rPr>
        <w:tab/>
        <w:t>“[…]</w:t>
      </w:r>
    </w:p>
    <w:p w14:paraId="11463F35" w14:textId="0240B020" w:rsidR="000C336F" w:rsidRPr="003B70C5" w:rsidRDefault="000C336F" w:rsidP="000C336F">
      <w:pPr>
        <w:pStyle w:val="BodyText"/>
        <w:rPr>
          <w:rFonts w:cs="Arial"/>
          <w:color w:val="000000" w:themeColor="text1"/>
        </w:rPr>
      </w:pPr>
      <w:r w:rsidRPr="003B70C5">
        <w:rPr>
          <w:color w:val="000000" w:themeColor="text1"/>
        </w:rPr>
        <w:t>“iv) l</w:t>
      </w:r>
      <w:r w:rsidR="002B0172" w:rsidRPr="003B70C5">
        <w:rPr>
          <w:color w:val="000000" w:themeColor="text1"/>
        </w:rPr>
        <w:t>’</w:t>
      </w:r>
      <w:r w:rsidRPr="003B70C5">
        <w:rPr>
          <w:color w:val="000000" w:themeColor="text1"/>
        </w:rPr>
        <w:t>administration financière de l</w:t>
      </w:r>
      <w:r w:rsidR="002B0172" w:rsidRPr="003B70C5">
        <w:rPr>
          <w:color w:val="000000" w:themeColor="text1"/>
        </w:rPr>
        <w:t>’</w:t>
      </w:r>
      <w:r w:rsidRPr="003B70C5">
        <w:rPr>
          <w:color w:val="000000" w:themeColor="text1"/>
        </w:rPr>
        <w:t>UPOV (encaissements et débours, comptabilité, contrôle financier interne, etc.);</w:t>
      </w:r>
    </w:p>
    <w:p w14:paraId="4EF393DE" w14:textId="77777777" w:rsidR="000C336F" w:rsidRPr="003B70C5" w:rsidRDefault="000C336F" w:rsidP="000C336F">
      <w:pPr>
        <w:pStyle w:val="BodyText"/>
        <w:rPr>
          <w:rFonts w:cs="Arial"/>
          <w:color w:val="000000" w:themeColor="text1"/>
        </w:rPr>
      </w:pPr>
      <w:r w:rsidRPr="003B70C5">
        <w:rPr>
          <w:color w:val="000000" w:themeColor="text1"/>
        </w:rPr>
        <w:tab/>
      </w:r>
      <w:r w:rsidRPr="003B70C5">
        <w:rPr>
          <w:color w:val="000000" w:themeColor="text1"/>
        </w:rPr>
        <w:tab/>
        <w:t>“[…]</w:t>
      </w:r>
    </w:p>
    <w:p w14:paraId="717C8DA7" w14:textId="3E28B970" w:rsidR="000C336F" w:rsidRPr="003B70C5" w:rsidRDefault="000C336F" w:rsidP="000C336F">
      <w:pPr>
        <w:pStyle w:val="BodyText"/>
        <w:rPr>
          <w:rFonts w:cs="Arial"/>
          <w:color w:val="000000" w:themeColor="text1"/>
        </w:rPr>
      </w:pPr>
      <w:r w:rsidRPr="003B70C5">
        <w:rPr>
          <w:color w:val="000000" w:themeColor="text1"/>
        </w:rPr>
        <w:t>“2) Les besoins de l</w:t>
      </w:r>
      <w:r w:rsidR="002B0172" w:rsidRPr="003B70C5">
        <w:rPr>
          <w:color w:val="000000" w:themeColor="text1"/>
        </w:rPr>
        <w:t>’</w:t>
      </w:r>
      <w:r w:rsidRPr="003B70C5">
        <w:rPr>
          <w:color w:val="000000" w:themeColor="text1"/>
        </w:rPr>
        <w:t>UPOV sont satisfaits sur une base de stricte égalité avec les besoins des diverses Unions administrées par l</w:t>
      </w:r>
      <w:r w:rsidR="002B0172" w:rsidRPr="003B70C5">
        <w:rPr>
          <w:color w:val="000000" w:themeColor="text1"/>
        </w:rPr>
        <w:t>’</w:t>
      </w:r>
      <w:r w:rsidRPr="003B70C5">
        <w:rPr>
          <w:color w:val="000000" w:themeColor="text1"/>
        </w:rPr>
        <w:t>OMPI.”</w:t>
      </w:r>
    </w:p>
    <w:p w14:paraId="52532FFC" w14:textId="77777777" w:rsidR="000C336F" w:rsidRPr="003B70C5" w:rsidRDefault="000C336F" w:rsidP="000C336F">
      <w:pPr>
        <w:pStyle w:val="BodyText"/>
        <w:rPr>
          <w:rFonts w:cs="Arial"/>
          <w:color w:val="000000" w:themeColor="text1"/>
        </w:rPr>
      </w:pPr>
    </w:p>
    <w:p w14:paraId="5C64BB2D" w14:textId="4281B091" w:rsidR="000C336F" w:rsidRPr="003B70C5" w:rsidRDefault="000C336F" w:rsidP="000C336F">
      <w:pPr>
        <w:pStyle w:val="BodyText"/>
        <w:rPr>
          <w:rFonts w:cs="Arial"/>
          <w:color w:val="000000" w:themeColor="text1"/>
        </w:rPr>
      </w:pPr>
      <w:r w:rsidRPr="003B70C5">
        <w:rPr>
          <w:color w:val="000000" w:themeColor="text1"/>
        </w:rPr>
        <w:t>“Article 8</w:t>
      </w:r>
      <w:r w:rsidR="002B0172" w:rsidRPr="003B70C5">
        <w:rPr>
          <w:color w:val="000000" w:themeColor="text1"/>
        </w:rPr>
        <w:t> :</w:t>
      </w:r>
      <w:r w:rsidRPr="003B70C5">
        <w:rPr>
          <w:color w:val="000000" w:themeColor="text1"/>
        </w:rPr>
        <w:t xml:space="preserve"> “Règlement administratif et financier de l</w:t>
      </w:r>
      <w:r w:rsidR="002B0172" w:rsidRPr="003B70C5">
        <w:rPr>
          <w:color w:val="000000" w:themeColor="text1"/>
        </w:rPr>
        <w:t>’</w:t>
      </w:r>
      <w:r w:rsidRPr="003B70C5">
        <w:rPr>
          <w:color w:val="000000" w:themeColor="text1"/>
        </w:rPr>
        <w:t>UPOV</w:t>
      </w:r>
    </w:p>
    <w:p w14:paraId="1F6D8504" w14:textId="3739C165" w:rsidR="000C336F" w:rsidRPr="003B70C5" w:rsidRDefault="000C336F" w:rsidP="000C336F">
      <w:pPr>
        <w:pStyle w:val="BodyText"/>
        <w:ind w:left="567"/>
        <w:rPr>
          <w:rFonts w:cs="Arial"/>
          <w:color w:val="000000" w:themeColor="text1"/>
        </w:rPr>
      </w:pPr>
      <w:r w:rsidRPr="003B70C5">
        <w:rPr>
          <w:color w:val="000000" w:themeColor="text1"/>
        </w:rPr>
        <w:t>“1) Sous réserve des autres articles du présent accord et des alinéas 2) et 3) du présent article, le Statut du personnel et le Règlement du personnel de l</w:t>
      </w:r>
      <w:r w:rsidR="002B0172" w:rsidRPr="003B70C5">
        <w:rPr>
          <w:color w:val="000000" w:themeColor="text1"/>
        </w:rPr>
        <w:t>’</w:t>
      </w:r>
      <w:r w:rsidRPr="003B70C5">
        <w:rPr>
          <w:color w:val="000000" w:themeColor="text1"/>
        </w:rPr>
        <w:t>OMPI ainsi que le Règlement financier et le règlement d</w:t>
      </w:r>
      <w:r w:rsidR="002B0172" w:rsidRPr="003B70C5">
        <w:rPr>
          <w:color w:val="000000" w:themeColor="text1"/>
        </w:rPr>
        <w:t>’</w:t>
      </w:r>
      <w:r w:rsidRPr="003B70C5">
        <w:rPr>
          <w:color w:val="000000" w:themeColor="text1"/>
        </w:rPr>
        <w:t>exécution du Règlement financier de l</w:t>
      </w:r>
      <w:r w:rsidR="002B0172" w:rsidRPr="003B70C5">
        <w:rPr>
          <w:color w:val="000000" w:themeColor="text1"/>
        </w:rPr>
        <w:t>’</w:t>
      </w:r>
      <w:r w:rsidRPr="003B70C5">
        <w:rPr>
          <w:color w:val="000000" w:themeColor="text1"/>
        </w:rPr>
        <w:t>OMPI, avec les modifications qui pourront y être apportées, s</w:t>
      </w:r>
      <w:r w:rsidR="002B0172" w:rsidRPr="003B70C5">
        <w:rPr>
          <w:color w:val="000000" w:themeColor="text1"/>
        </w:rPr>
        <w:t>’</w:t>
      </w:r>
      <w:r w:rsidRPr="003B70C5">
        <w:rPr>
          <w:color w:val="000000" w:themeColor="text1"/>
        </w:rPr>
        <w:t>appliquent mutatis mutandis aussi aux fonctionnaires du Bureau de l</w:t>
      </w:r>
      <w:r w:rsidR="002B0172" w:rsidRPr="003B70C5">
        <w:rPr>
          <w:color w:val="000000" w:themeColor="text1"/>
        </w:rPr>
        <w:t>’</w:t>
      </w:r>
      <w:r w:rsidRPr="003B70C5">
        <w:rPr>
          <w:color w:val="000000" w:themeColor="text1"/>
        </w:rPr>
        <w:t>UPOV et aux finances de l</w:t>
      </w:r>
      <w:r w:rsidR="002B0172" w:rsidRPr="003B70C5">
        <w:rPr>
          <w:color w:val="000000" w:themeColor="text1"/>
        </w:rPr>
        <w:t>’</w:t>
      </w:r>
      <w:r w:rsidRPr="003B70C5">
        <w:rPr>
          <w:color w:val="000000" w:themeColor="text1"/>
        </w:rPr>
        <w:t xml:space="preserve">UPOV, </w:t>
      </w:r>
      <w:r w:rsidRPr="003B70C5">
        <w:rPr>
          <w:color w:val="000000" w:themeColor="text1"/>
        </w:rPr>
        <w:lastRenderedPageBreak/>
        <w:t>étant entendu que le Conseil de l</w:t>
      </w:r>
      <w:r w:rsidR="002B0172" w:rsidRPr="003B70C5">
        <w:rPr>
          <w:color w:val="000000" w:themeColor="text1"/>
        </w:rPr>
        <w:t>’</w:t>
      </w:r>
      <w:r w:rsidRPr="003B70C5">
        <w:rPr>
          <w:color w:val="000000" w:themeColor="text1"/>
        </w:rPr>
        <w:t>UPOV peut arrêter, en accord avec le Directeur général de l</w:t>
      </w:r>
      <w:r w:rsidR="002B0172" w:rsidRPr="003B70C5">
        <w:rPr>
          <w:color w:val="000000" w:themeColor="text1"/>
        </w:rPr>
        <w:t>’</w:t>
      </w:r>
      <w:r w:rsidRPr="003B70C5">
        <w:rPr>
          <w:color w:val="000000" w:themeColor="text1"/>
        </w:rPr>
        <w:t>OMPI, des dérogations ou additions à ces textes, auquel cas les dérogations et additions ainsi convenues prévale</w:t>
      </w:r>
      <w:r w:rsidR="00D076B0" w:rsidRPr="003B70C5">
        <w:rPr>
          <w:color w:val="000000" w:themeColor="text1"/>
        </w:rPr>
        <w:t>nt.  Le</w:t>
      </w:r>
      <w:r w:rsidRPr="003B70C5">
        <w:rPr>
          <w:color w:val="000000" w:themeColor="text1"/>
        </w:rPr>
        <w:t>s textes en question sont considérés comme constituant le règlement administratif et financier de l</w:t>
      </w:r>
      <w:r w:rsidR="002B0172" w:rsidRPr="003B70C5">
        <w:rPr>
          <w:color w:val="000000" w:themeColor="text1"/>
        </w:rPr>
        <w:t>’</w:t>
      </w:r>
      <w:r w:rsidRPr="003B70C5">
        <w:rPr>
          <w:color w:val="000000" w:themeColor="text1"/>
        </w:rPr>
        <w:t>UPOV mentionné dans l</w:t>
      </w:r>
      <w:r w:rsidR="002B0172" w:rsidRPr="003B70C5">
        <w:rPr>
          <w:color w:val="000000" w:themeColor="text1"/>
        </w:rPr>
        <w:t>’</w:t>
      </w:r>
      <w:r w:rsidRPr="003B70C5">
        <w:rPr>
          <w:color w:val="000000" w:themeColor="text1"/>
        </w:rPr>
        <w:t xml:space="preserve">article 201 de la </w:t>
      </w:r>
      <w:r w:rsidR="002B0172" w:rsidRPr="003B70C5">
        <w:rPr>
          <w:color w:val="000000" w:themeColor="text1"/>
        </w:rPr>
        <w:t>Convention UPOV</w:t>
      </w:r>
      <w:r w:rsidRPr="003B70C5">
        <w:rPr>
          <w:color w:val="000000" w:themeColor="text1"/>
        </w:rPr>
        <w:t>.</w:t>
      </w:r>
    </w:p>
    <w:p w14:paraId="4794B1DC" w14:textId="77777777" w:rsidR="000C336F" w:rsidRPr="003B70C5" w:rsidRDefault="000C336F" w:rsidP="000C336F">
      <w:pPr>
        <w:pStyle w:val="BodyText"/>
        <w:ind w:firstLine="567"/>
        <w:rPr>
          <w:rFonts w:cs="Arial"/>
          <w:color w:val="000000" w:themeColor="text1"/>
        </w:rPr>
      </w:pPr>
      <w:r w:rsidRPr="003B70C5">
        <w:rPr>
          <w:color w:val="000000" w:themeColor="text1"/>
        </w:rPr>
        <w:t>“[…]</w:t>
      </w:r>
    </w:p>
    <w:p w14:paraId="2E7822BC" w14:textId="16DA8574" w:rsidR="000C336F" w:rsidRPr="003B70C5" w:rsidRDefault="000C336F" w:rsidP="000C336F">
      <w:pPr>
        <w:pStyle w:val="BodyText"/>
        <w:rPr>
          <w:rFonts w:cs="Arial"/>
          <w:color w:val="000000" w:themeColor="text1"/>
        </w:rPr>
      </w:pPr>
      <w:r w:rsidRPr="003B70C5">
        <w:rPr>
          <w:color w:val="000000" w:themeColor="text1"/>
        </w:rPr>
        <w:t>“3) Pour toutes les questions financières concernant l</w:t>
      </w:r>
      <w:r w:rsidR="002B0172" w:rsidRPr="003B70C5">
        <w:rPr>
          <w:color w:val="000000" w:themeColor="text1"/>
        </w:rPr>
        <w:t>’</w:t>
      </w:r>
      <w:r w:rsidRPr="003B70C5">
        <w:rPr>
          <w:color w:val="000000" w:themeColor="text1"/>
        </w:rPr>
        <w:t>UPOV, le contrôleur de l</w:t>
      </w:r>
      <w:r w:rsidR="002B0172" w:rsidRPr="003B70C5">
        <w:rPr>
          <w:color w:val="000000" w:themeColor="text1"/>
        </w:rPr>
        <w:t>’</w:t>
      </w:r>
      <w:r w:rsidRPr="003B70C5">
        <w:rPr>
          <w:color w:val="000000" w:themeColor="text1"/>
        </w:rPr>
        <w:t>OMPI est responsable devant le Conseil de l</w:t>
      </w:r>
      <w:r w:rsidR="002B0172" w:rsidRPr="003B70C5">
        <w:rPr>
          <w:color w:val="000000" w:themeColor="text1"/>
        </w:rPr>
        <w:t>’</w:t>
      </w:r>
      <w:r w:rsidRPr="003B70C5">
        <w:rPr>
          <w:color w:val="000000" w:themeColor="text1"/>
        </w:rPr>
        <w:t>UPOV.”</w:t>
      </w:r>
    </w:p>
    <w:p w14:paraId="51D949A8" w14:textId="77777777" w:rsidR="000C336F" w:rsidRPr="003B70C5" w:rsidRDefault="000C336F" w:rsidP="000C336F">
      <w:pPr>
        <w:pStyle w:val="BodyText"/>
        <w:rPr>
          <w:rFonts w:cs="Arial"/>
          <w:color w:val="000000" w:themeColor="text1"/>
        </w:rPr>
      </w:pPr>
    </w:p>
    <w:p w14:paraId="17EB9730" w14:textId="77777777" w:rsidR="000C336F" w:rsidRPr="003B70C5" w:rsidRDefault="000C336F" w:rsidP="000C336F">
      <w:pPr>
        <w:pStyle w:val="BodyText"/>
        <w:rPr>
          <w:rFonts w:cs="Arial"/>
          <w:color w:val="000000" w:themeColor="text1"/>
        </w:rPr>
      </w:pPr>
    </w:p>
    <w:p w14:paraId="45F27774" w14:textId="77777777" w:rsidR="000C336F" w:rsidRPr="003B70C5" w:rsidRDefault="000C336F" w:rsidP="000C336F">
      <w:pPr>
        <w:pStyle w:val="Caption"/>
        <w:rPr>
          <w:color w:val="000000" w:themeColor="text1"/>
          <w:sz w:val="20"/>
        </w:rPr>
      </w:pPr>
      <w:r w:rsidRPr="003B70C5">
        <w:rPr>
          <w:color w:val="000000" w:themeColor="text1"/>
          <w:sz w:val="20"/>
        </w:rPr>
        <w:t>C</w:t>
      </w:r>
      <w:r w:rsidRPr="003B70C5">
        <w:rPr>
          <w:sz w:val="20"/>
        </w:rPr>
        <w:t>onclusion</w:t>
      </w:r>
    </w:p>
    <w:p w14:paraId="01DD7D94" w14:textId="77777777" w:rsidR="000C336F" w:rsidRPr="003B70C5" w:rsidRDefault="000C336F" w:rsidP="000C336F">
      <w:pPr>
        <w:pStyle w:val="BodyText"/>
        <w:rPr>
          <w:rFonts w:cs="Arial"/>
          <w:color w:val="000000" w:themeColor="text1"/>
        </w:rPr>
      </w:pPr>
    </w:p>
    <w:p w14:paraId="380D1602" w14:textId="4EBAC411" w:rsidR="002B0172" w:rsidRPr="003B70C5" w:rsidRDefault="000C336F" w:rsidP="000C336F">
      <w:pPr>
        <w:pStyle w:val="BodyText"/>
        <w:rPr>
          <w:color w:val="000000" w:themeColor="text1"/>
        </w:rPr>
      </w:pPr>
      <w:r w:rsidRPr="003B70C5">
        <w:rPr>
          <w:color w:val="000000" w:themeColor="text1"/>
        </w:rPr>
        <w:t>Compte tenu de ce qui précède, je conclus que, en l</w:t>
      </w:r>
      <w:r w:rsidR="002B0172" w:rsidRPr="003B70C5">
        <w:rPr>
          <w:color w:val="000000" w:themeColor="text1"/>
        </w:rPr>
        <w:t>’</w:t>
      </w:r>
      <w:r w:rsidRPr="003B70C5">
        <w:rPr>
          <w:color w:val="000000" w:themeColor="text1"/>
        </w:rPr>
        <w:t>état actuel de mes connaissances et convictions et des informations dont je dispose, il n</w:t>
      </w:r>
      <w:r w:rsidR="002B0172" w:rsidRPr="003B70C5">
        <w:rPr>
          <w:color w:val="000000" w:themeColor="text1"/>
        </w:rPr>
        <w:t>’</w:t>
      </w:r>
      <w:r w:rsidRPr="003B70C5">
        <w:rPr>
          <w:color w:val="000000" w:themeColor="text1"/>
        </w:rPr>
        <w:t>existe pas de carence de nature à nuire à la fiabilité des états financiers de l</w:t>
      </w:r>
      <w:r w:rsidR="002B0172" w:rsidRPr="003B70C5">
        <w:rPr>
          <w:color w:val="000000" w:themeColor="text1"/>
        </w:rPr>
        <w:t>’</w:t>
      </w:r>
      <w:r w:rsidRPr="003B70C5">
        <w:rPr>
          <w:color w:val="000000" w:themeColor="text1"/>
        </w:rPr>
        <w:t>Organisation ni de problème majeur qu</w:t>
      </w:r>
      <w:r w:rsidR="002B0172" w:rsidRPr="003B70C5">
        <w:rPr>
          <w:color w:val="000000" w:themeColor="text1"/>
        </w:rPr>
        <w:t>’</w:t>
      </w:r>
      <w:r w:rsidRPr="003B70C5">
        <w:rPr>
          <w:color w:val="000000" w:themeColor="text1"/>
        </w:rPr>
        <w:t>il conviendrait d</w:t>
      </w:r>
      <w:r w:rsidR="002B0172" w:rsidRPr="003B70C5">
        <w:rPr>
          <w:color w:val="000000" w:themeColor="text1"/>
        </w:rPr>
        <w:t>’</w:t>
      </w:r>
      <w:r w:rsidRPr="003B70C5">
        <w:rPr>
          <w:color w:val="000000" w:themeColor="text1"/>
        </w:rPr>
        <w:t>évoquer dans le présent document pour la période considérée.</w:t>
      </w:r>
    </w:p>
    <w:p w14:paraId="6207AD54" w14:textId="769B1F4F" w:rsidR="000C336F" w:rsidRPr="003B70C5" w:rsidRDefault="000C336F" w:rsidP="000C336F">
      <w:pPr>
        <w:rPr>
          <w:rFonts w:cs="Arial"/>
          <w:color w:val="000000" w:themeColor="text1"/>
        </w:rPr>
      </w:pPr>
    </w:p>
    <w:p w14:paraId="5B914F59" w14:textId="77777777" w:rsidR="000C336F" w:rsidRPr="003B70C5" w:rsidRDefault="000C336F" w:rsidP="000C336F">
      <w:pPr>
        <w:rPr>
          <w:rFonts w:cs="Arial"/>
          <w:color w:val="000000" w:themeColor="text1"/>
        </w:rPr>
      </w:pPr>
    </w:p>
    <w:p w14:paraId="709DEF62" w14:textId="3B9766A8" w:rsidR="000C336F" w:rsidRPr="003B70C5" w:rsidRDefault="000C336F" w:rsidP="000C336F">
      <w:pPr>
        <w:tabs>
          <w:tab w:val="left" w:pos="5528"/>
        </w:tabs>
        <w:rPr>
          <w:rFonts w:cs="Arial"/>
          <w:color w:val="000000" w:themeColor="text1"/>
        </w:rPr>
      </w:pPr>
      <w:r w:rsidRPr="003B70C5">
        <w:rPr>
          <w:color w:val="000000" w:themeColor="text1"/>
        </w:rPr>
        <w:tab/>
      </w:r>
      <w:r w:rsidR="002B0172" w:rsidRPr="003B70C5">
        <w:rPr>
          <w:color w:val="000000" w:themeColor="text1"/>
        </w:rPr>
        <w:t>Daren Tang</w:t>
      </w:r>
    </w:p>
    <w:p w14:paraId="75F56B93" w14:textId="77777777" w:rsidR="000C336F" w:rsidRPr="003B70C5" w:rsidRDefault="000C336F" w:rsidP="000C336F">
      <w:pPr>
        <w:tabs>
          <w:tab w:val="left" w:pos="5528"/>
        </w:tabs>
        <w:rPr>
          <w:rFonts w:cs="Arial"/>
          <w:color w:val="000000" w:themeColor="text1"/>
        </w:rPr>
      </w:pPr>
      <w:r w:rsidRPr="003B70C5">
        <w:rPr>
          <w:color w:val="000000" w:themeColor="text1"/>
        </w:rPr>
        <w:tab/>
        <w:t>Secrétaire général</w:t>
      </w:r>
    </w:p>
    <w:p w14:paraId="632CD2AC" w14:textId="77777777" w:rsidR="000C336F" w:rsidRPr="003B70C5" w:rsidRDefault="000C336F" w:rsidP="000C336F">
      <w:pPr>
        <w:tabs>
          <w:tab w:val="left" w:pos="5528"/>
        </w:tabs>
        <w:rPr>
          <w:rFonts w:cs="Arial"/>
          <w:color w:val="000000" w:themeColor="text1"/>
        </w:rPr>
      </w:pPr>
    </w:p>
    <w:p w14:paraId="499AFC75" w14:textId="22D2B042" w:rsidR="000C336F" w:rsidRPr="003B70C5" w:rsidRDefault="000C336F" w:rsidP="000C336F">
      <w:pPr>
        <w:tabs>
          <w:tab w:val="left" w:pos="5528"/>
        </w:tabs>
        <w:rPr>
          <w:rFonts w:cs="Arial"/>
          <w:color w:val="000000" w:themeColor="text1"/>
        </w:rPr>
      </w:pPr>
      <w:r w:rsidRPr="003B70C5">
        <w:rPr>
          <w:color w:val="000000" w:themeColor="text1"/>
        </w:rPr>
        <w:tab/>
        <w:t>Date</w:t>
      </w:r>
      <w:r w:rsidR="002B0172" w:rsidRPr="003B70C5">
        <w:rPr>
          <w:color w:val="000000" w:themeColor="text1"/>
        </w:rPr>
        <w:t> :</w:t>
      </w:r>
      <w:r w:rsidRPr="003B70C5">
        <w:rPr>
          <w:color w:val="000000" w:themeColor="text1"/>
        </w:rPr>
        <w:t xml:space="preserve"> 2 juillet 2026</w:t>
      </w:r>
    </w:p>
    <w:p w14:paraId="7516DF99" w14:textId="77777777" w:rsidR="000C336F" w:rsidRPr="003B70C5" w:rsidRDefault="000C336F" w:rsidP="000C336F">
      <w:pPr>
        <w:jc w:val="left"/>
        <w:rPr>
          <w:rFonts w:cs="Arial"/>
          <w:b/>
          <w:caps/>
        </w:rPr>
      </w:pPr>
      <w:bookmarkStart w:id="15" w:name="_Toc84329886"/>
      <w:r w:rsidRPr="003B70C5">
        <w:br w:type="page"/>
      </w:r>
    </w:p>
    <w:p w14:paraId="098CE480" w14:textId="2096AEBB" w:rsidR="000C336F" w:rsidRPr="003B70C5" w:rsidRDefault="000C336F" w:rsidP="00657DA1">
      <w:pPr>
        <w:pStyle w:val="Heading1"/>
        <w:jc w:val="center"/>
        <w:rPr>
          <w:rFonts w:cs="Arial"/>
        </w:rPr>
      </w:pPr>
      <w:bookmarkStart w:id="16" w:name="_Toc236922621"/>
      <w:r w:rsidRPr="003B70C5">
        <w:lastRenderedPageBreak/>
        <w:t>État financier</w:t>
      </w:r>
      <w:r w:rsidR="00960AA8">
        <w:t> </w:t>
      </w:r>
      <w:r w:rsidRPr="003B70C5">
        <w:t>I</w:t>
      </w:r>
      <w:r w:rsidR="002B0172" w:rsidRPr="003B70C5">
        <w:t> :</w:t>
      </w:r>
      <w:r w:rsidRPr="003B70C5">
        <w:t xml:space="preserve"> état de la situation financière</w:t>
      </w:r>
      <w:bookmarkEnd w:id="15"/>
      <w:bookmarkEnd w:id="16"/>
    </w:p>
    <w:p w14:paraId="7D26B5F9" w14:textId="77777777" w:rsidR="000C336F" w:rsidRPr="003B70C5" w:rsidRDefault="000C336F" w:rsidP="000C336F">
      <w:pPr>
        <w:jc w:val="center"/>
        <w:rPr>
          <w:rFonts w:cs="Arial"/>
          <w:b/>
        </w:rPr>
      </w:pPr>
      <w:r w:rsidRPr="003B70C5">
        <w:rPr>
          <w:b/>
        </w:rPr>
        <w:t>au 31 décembre 2025</w:t>
      </w:r>
    </w:p>
    <w:p w14:paraId="5120097E" w14:textId="77777777" w:rsidR="000C336F" w:rsidRPr="003B70C5" w:rsidRDefault="000C336F" w:rsidP="000C336F">
      <w:pPr>
        <w:jc w:val="center"/>
        <w:rPr>
          <w:rFonts w:cs="Arial"/>
          <w:i/>
        </w:rPr>
      </w:pPr>
      <w:r w:rsidRPr="003B70C5">
        <w:rPr>
          <w:i/>
        </w:rPr>
        <w:t>(en francs suisses)</w:t>
      </w:r>
    </w:p>
    <w:p w14:paraId="55190050" w14:textId="77777777" w:rsidR="000C336F" w:rsidRPr="003B70C5" w:rsidRDefault="000C336F" w:rsidP="000C336F">
      <w:pPr>
        <w:jc w:val="center"/>
        <w:rPr>
          <w:rFonts w:cs="Arial"/>
          <w:i/>
        </w:rPr>
      </w:pPr>
    </w:p>
    <w:p w14:paraId="3B2DD93A" w14:textId="4824CB12" w:rsidR="000C336F" w:rsidRPr="003B70C5" w:rsidRDefault="000C5719" w:rsidP="000C336F">
      <w:pPr>
        <w:pStyle w:val="Caption"/>
        <w:jc w:val="center"/>
        <w:rPr>
          <w:sz w:val="20"/>
        </w:rPr>
      </w:pPr>
      <w:bookmarkStart w:id="17" w:name="_1834646919"/>
      <w:bookmarkStart w:id="18" w:name="_1834651546"/>
      <w:bookmarkEnd w:id="17"/>
      <w:bookmarkEnd w:id="18"/>
      <w:r w:rsidRPr="000C5719">
        <w:rPr>
          <w:noProof/>
        </w:rPr>
        <w:drawing>
          <wp:inline distT="0" distB="0" distL="0" distR="0" wp14:anchorId="03544D3E" wp14:editId="4E706022">
            <wp:extent cx="5422900" cy="4913630"/>
            <wp:effectExtent l="0" t="0" r="6350" b="0"/>
            <wp:docPr id="1571190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2900" cy="4913630"/>
                    </a:xfrm>
                    <a:prstGeom prst="rect">
                      <a:avLst/>
                    </a:prstGeom>
                    <a:noFill/>
                    <a:ln>
                      <a:noFill/>
                    </a:ln>
                  </pic:spPr>
                </pic:pic>
              </a:graphicData>
            </a:graphic>
          </wp:inline>
        </w:drawing>
      </w:r>
    </w:p>
    <w:p w14:paraId="68F34994" w14:textId="77777777" w:rsidR="000C336F" w:rsidRPr="003B70C5" w:rsidRDefault="000C336F" w:rsidP="000C336F">
      <w:pPr>
        <w:pStyle w:val="Caption"/>
        <w:jc w:val="center"/>
        <w:rPr>
          <w:sz w:val="20"/>
        </w:rPr>
      </w:pPr>
    </w:p>
    <w:p w14:paraId="585AA5DB" w14:textId="77777777" w:rsidR="000C336F" w:rsidRPr="003B70C5" w:rsidRDefault="000C336F" w:rsidP="000C336F">
      <w:pPr>
        <w:rPr>
          <w:i/>
          <w:iCs/>
          <w:sz w:val="16"/>
          <w:szCs w:val="16"/>
        </w:rPr>
      </w:pPr>
      <w:r w:rsidRPr="003B70C5">
        <w:tab/>
      </w:r>
      <w:r w:rsidRPr="003B70C5">
        <w:rPr>
          <w:i/>
          <w:sz w:val="16"/>
        </w:rPr>
        <w:t>Les notes annexes font partie intégrante des présents états financiers.</w:t>
      </w:r>
    </w:p>
    <w:p w14:paraId="28999C66" w14:textId="77777777" w:rsidR="000C336F" w:rsidRPr="003B70C5" w:rsidRDefault="000C336F" w:rsidP="000C336F">
      <w:pPr>
        <w:rPr>
          <w:i/>
          <w:iCs/>
          <w:sz w:val="16"/>
          <w:szCs w:val="16"/>
        </w:rPr>
      </w:pPr>
    </w:p>
    <w:p w14:paraId="2811C6BA" w14:textId="77777777" w:rsidR="000C336F" w:rsidRPr="003B70C5" w:rsidRDefault="000C336F" w:rsidP="000C336F">
      <w:pPr>
        <w:rPr>
          <w:i/>
          <w:iCs/>
          <w:sz w:val="16"/>
          <w:szCs w:val="16"/>
        </w:rPr>
      </w:pPr>
      <w:r w:rsidRPr="003B70C5">
        <w:rPr>
          <w:i/>
          <w:sz w:val="16"/>
        </w:rPr>
        <w:tab/>
        <w:t>Secrétaire général</w:t>
      </w:r>
    </w:p>
    <w:p w14:paraId="4D01A6F6" w14:textId="77777777" w:rsidR="000C336F" w:rsidRPr="003B70C5" w:rsidRDefault="000C336F" w:rsidP="000C336F">
      <w:pPr>
        <w:pStyle w:val="Caption"/>
        <w:jc w:val="center"/>
        <w:rPr>
          <w:sz w:val="16"/>
          <w:szCs w:val="16"/>
        </w:rPr>
      </w:pPr>
    </w:p>
    <w:p w14:paraId="536EF997" w14:textId="77777777" w:rsidR="000C336F" w:rsidRPr="003B70C5" w:rsidRDefault="000C336F" w:rsidP="000C336F">
      <w:pPr>
        <w:pStyle w:val="Caption"/>
        <w:jc w:val="center"/>
        <w:rPr>
          <w:sz w:val="16"/>
          <w:szCs w:val="16"/>
        </w:rPr>
      </w:pPr>
    </w:p>
    <w:p w14:paraId="636A07F8" w14:textId="77777777" w:rsidR="000C336F" w:rsidRPr="003B70C5" w:rsidRDefault="000C336F" w:rsidP="000C336F">
      <w:pPr>
        <w:pStyle w:val="Caption"/>
        <w:jc w:val="center"/>
        <w:rPr>
          <w:rStyle w:val="Heading1Char"/>
          <w:b/>
          <w:sz w:val="20"/>
        </w:rPr>
      </w:pPr>
      <w:r w:rsidRPr="003B70C5">
        <w:br w:type="page"/>
      </w:r>
    </w:p>
    <w:p w14:paraId="75C0A76E" w14:textId="1475605D" w:rsidR="000C336F" w:rsidRPr="003B70C5" w:rsidRDefault="006B3826" w:rsidP="006B3826">
      <w:pPr>
        <w:pStyle w:val="Heading1"/>
        <w:jc w:val="center"/>
        <w:rPr>
          <w:rFonts w:cs="Arial"/>
        </w:rPr>
      </w:pPr>
      <w:bookmarkStart w:id="19" w:name="_Toc236922622"/>
      <w:r>
        <w:lastRenderedPageBreak/>
        <w:t>É</w:t>
      </w:r>
      <w:r w:rsidRPr="003B70C5">
        <w:t>tat financier </w:t>
      </w:r>
      <w:r>
        <w:t>II</w:t>
      </w:r>
      <w:r w:rsidRPr="003B70C5">
        <w:t> : état de la performance financière</w:t>
      </w:r>
      <w:bookmarkEnd w:id="19"/>
    </w:p>
    <w:p w14:paraId="7AE42E34" w14:textId="18F35517" w:rsidR="000C336F" w:rsidRPr="003B70C5" w:rsidRDefault="000C336F" w:rsidP="000C336F">
      <w:pPr>
        <w:jc w:val="center"/>
        <w:rPr>
          <w:rFonts w:cs="Arial"/>
          <w:b/>
        </w:rPr>
      </w:pPr>
      <w:r w:rsidRPr="003B70C5">
        <w:rPr>
          <w:b/>
        </w:rPr>
        <w:t>pour l</w:t>
      </w:r>
      <w:r w:rsidR="002B0172" w:rsidRPr="003B70C5">
        <w:rPr>
          <w:b/>
        </w:rPr>
        <w:t>’</w:t>
      </w:r>
      <w:r w:rsidRPr="003B70C5">
        <w:rPr>
          <w:b/>
        </w:rPr>
        <w:t>année s</w:t>
      </w:r>
      <w:r w:rsidR="002B0172" w:rsidRPr="003B70C5">
        <w:rPr>
          <w:b/>
        </w:rPr>
        <w:t>’</w:t>
      </w:r>
      <w:r w:rsidRPr="003B70C5">
        <w:rPr>
          <w:b/>
        </w:rPr>
        <w:t>achevant au 31 décembre 2025</w:t>
      </w:r>
    </w:p>
    <w:p w14:paraId="1ECD7BDA" w14:textId="77777777" w:rsidR="000C336F" w:rsidRPr="003B70C5" w:rsidRDefault="000C336F" w:rsidP="000C336F">
      <w:pPr>
        <w:jc w:val="center"/>
        <w:rPr>
          <w:rFonts w:cs="Arial"/>
          <w:i/>
        </w:rPr>
      </w:pPr>
      <w:r w:rsidRPr="003B70C5">
        <w:rPr>
          <w:i/>
        </w:rPr>
        <w:t>(en francs suisses)</w:t>
      </w:r>
    </w:p>
    <w:p w14:paraId="6E858067" w14:textId="77777777" w:rsidR="002B0172" w:rsidRPr="003B70C5" w:rsidRDefault="002B0172" w:rsidP="000C336F">
      <w:pPr>
        <w:rPr>
          <w:rFonts w:cs="Arial"/>
          <w:i/>
        </w:rPr>
      </w:pPr>
    </w:p>
    <w:p w14:paraId="5F278C3E" w14:textId="61205611" w:rsidR="000C336F" w:rsidRPr="003B70C5" w:rsidRDefault="006B3826" w:rsidP="000C336F">
      <w:pPr>
        <w:pStyle w:val="Caption"/>
        <w:jc w:val="center"/>
      </w:pPr>
      <w:r w:rsidRPr="006B3826">
        <w:rPr>
          <w:noProof/>
        </w:rPr>
        <w:drawing>
          <wp:inline distT="0" distB="0" distL="0" distR="0" wp14:anchorId="310415B8" wp14:editId="3845998C">
            <wp:extent cx="5772785" cy="3498850"/>
            <wp:effectExtent l="0" t="0" r="0" b="0"/>
            <wp:docPr id="3368332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2785" cy="3498850"/>
                    </a:xfrm>
                    <a:prstGeom prst="rect">
                      <a:avLst/>
                    </a:prstGeom>
                    <a:noFill/>
                    <a:ln>
                      <a:noFill/>
                    </a:ln>
                  </pic:spPr>
                </pic:pic>
              </a:graphicData>
            </a:graphic>
          </wp:inline>
        </w:drawing>
      </w:r>
    </w:p>
    <w:p w14:paraId="0B3BFCC5" w14:textId="77777777" w:rsidR="000C336F" w:rsidRPr="006B3826" w:rsidRDefault="000C336F" w:rsidP="006B3826">
      <w:pPr>
        <w:rPr>
          <w:rFonts w:cs="Arial"/>
          <w:iCs/>
        </w:rPr>
      </w:pPr>
    </w:p>
    <w:p w14:paraId="175CC7AB" w14:textId="77777777" w:rsidR="000C336F" w:rsidRPr="006B3826" w:rsidRDefault="000C336F" w:rsidP="006B3826">
      <w:pPr>
        <w:rPr>
          <w:rFonts w:cs="Arial"/>
          <w:iCs/>
        </w:rPr>
      </w:pPr>
    </w:p>
    <w:p w14:paraId="246DA3EA" w14:textId="77777777" w:rsidR="000C336F" w:rsidRPr="003B70C5" w:rsidRDefault="000C336F" w:rsidP="006B3826">
      <w:pPr>
        <w:pStyle w:val="Caption"/>
        <w:rPr>
          <w:rStyle w:val="Heading1Char"/>
          <w:b/>
          <w:sz w:val="20"/>
        </w:rPr>
      </w:pPr>
      <w:r w:rsidRPr="003B70C5">
        <w:br w:type="page"/>
      </w:r>
    </w:p>
    <w:p w14:paraId="1D360BAC" w14:textId="096A748B" w:rsidR="000C336F" w:rsidRPr="003B70C5" w:rsidRDefault="006B3826" w:rsidP="006B3826">
      <w:pPr>
        <w:pStyle w:val="Heading1"/>
        <w:jc w:val="center"/>
        <w:rPr>
          <w:rFonts w:cs="Arial"/>
        </w:rPr>
      </w:pPr>
      <w:bookmarkStart w:id="20" w:name="_Toc236922623"/>
      <w:r>
        <w:lastRenderedPageBreak/>
        <w:t>É</w:t>
      </w:r>
      <w:r w:rsidRPr="003B70C5">
        <w:t>tat financier </w:t>
      </w:r>
      <w:r>
        <w:t>III</w:t>
      </w:r>
      <w:r w:rsidRPr="003B70C5">
        <w:t> : état des variations des actifs nets</w:t>
      </w:r>
      <w:bookmarkEnd w:id="20"/>
    </w:p>
    <w:p w14:paraId="3D6A79C9" w14:textId="2ADB06A6" w:rsidR="000C336F" w:rsidRPr="003B70C5" w:rsidRDefault="000C336F" w:rsidP="000C336F">
      <w:pPr>
        <w:jc w:val="center"/>
        <w:rPr>
          <w:rFonts w:cs="Arial"/>
          <w:b/>
        </w:rPr>
      </w:pPr>
      <w:r w:rsidRPr="003B70C5">
        <w:rPr>
          <w:b/>
        </w:rPr>
        <w:t>pour l</w:t>
      </w:r>
      <w:r w:rsidR="002B0172" w:rsidRPr="003B70C5">
        <w:rPr>
          <w:b/>
        </w:rPr>
        <w:t>’</w:t>
      </w:r>
      <w:r w:rsidRPr="003B70C5">
        <w:rPr>
          <w:b/>
        </w:rPr>
        <w:t>année s</w:t>
      </w:r>
      <w:r w:rsidR="002B0172" w:rsidRPr="003B70C5">
        <w:rPr>
          <w:b/>
        </w:rPr>
        <w:t>’</w:t>
      </w:r>
      <w:r w:rsidRPr="003B70C5">
        <w:rPr>
          <w:b/>
        </w:rPr>
        <w:t>achevant au 31 décembre 2025</w:t>
      </w:r>
    </w:p>
    <w:p w14:paraId="38CEE59E" w14:textId="77777777" w:rsidR="000C336F" w:rsidRPr="003B70C5" w:rsidRDefault="000C336F" w:rsidP="000C336F">
      <w:pPr>
        <w:jc w:val="center"/>
        <w:rPr>
          <w:rFonts w:cs="Arial"/>
          <w:i/>
        </w:rPr>
      </w:pPr>
      <w:r w:rsidRPr="003B70C5">
        <w:rPr>
          <w:i/>
        </w:rPr>
        <w:t>(en francs suisses)</w:t>
      </w:r>
    </w:p>
    <w:p w14:paraId="744BB0D1" w14:textId="77777777" w:rsidR="000C336F" w:rsidRPr="003B70C5" w:rsidRDefault="000C336F" w:rsidP="000C336F">
      <w:pPr>
        <w:pStyle w:val="Caption"/>
      </w:pPr>
    </w:p>
    <w:p w14:paraId="7370ECC6" w14:textId="77777777" w:rsidR="002B0172" w:rsidRPr="003B70C5" w:rsidRDefault="002B0172" w:rsidP="000C336F">
      <w:pPr>
        <w:jc w:val="center"/>
        <w:rPr>
          <w:rFonts w:cs="Arial"/>
          <w:i/>
        </w:rPr>
      </w:pPr>
    </w:p>
    <w:p w14:paraId="0D954AAC" w14:textId="4F74C7AE" w:rsidR="000C336F" w:rsidRPr="003B70C5" w:rsidRDefault="002C3486" w:rsidP="000C336F">
      <w:pPr>
        <w:rPr>
          <w:rFonts w:cs="Arial"/>
          <w:i/>
        </w:rPr>
      </w:pPr>
      <w:r w:rsidRPr="002C3486">
        <w:rPr>
          <w:noProof/>
        </w:rPr>
        <w:drawing>
          <wp:inline distT="0" distB="0" distL="0" distR="0" wp14:anchorId="279484F8" wp14:editId="2B67FD7F">
            <wp:extent cx="5971540" cy="6631305"/>
            <wp:effectExtent l="0" t="0" r="0" b="0"/>
            <wp:docPr id="17547610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1540" cy="6631305"/>
                    </a:xfrm>
                    <a:prstGeom prst="rect">
                      <a:avLst/>
                    </a:prstGeom>
                    <a:noFill/>
                    <a:ln>
                      <a:noFill/>
                    </a:ln>
                  </pic:spPr>
                </pic:pic>
              </a:graphicData>
            </a:graphic>
          </wp:inline>
        </w:drawing>
      </w:r>
    </w:p>
    <w:p w14:paraId="335E5897" w14:textId="77777777" w:rsidR="000C336F" w:rsidRPr="002C3486" w:rsidRDefault="000C336F" w:rsidP="002C3486">
      <w:pPr>
        <w:rPr>
          <w:rFonts w:cs="Arial"/>
          <w:iCs/>
        </w:rPr>
      </w:pPr>
    </w:p>
    <w:p w14:paraId="457963DC" w14:textId="77777777" w:rsidR="000C336F" w:rsidRPr="003B70C5" w:rsidRDefault="000C336F" w:rsidP="000C336F">
      <w:pPr>
        <w:pStyle w:val="Caption"/>
      </w:pPr>
      <w:r w:rsidRPr="003B70C5">
        <w:br w:type="page"/>
      </w:r>
    </w:p>
    <w:p w14:paraId="5CF8C1F1" w14:textId="7C0FEB09" w:rsidR="000C336F" w:rsidRPr="003B70C5" w:rsidRDefault="000C336F" w:rsidP="006B3826">
      <w:pPr>
        <w:pStyle w:val="Heading1"/>
        <w:jc w:val="center"/>
        <w:rPr>
          <w:rFonts w:cs="Arial"/>
        </w:rPr>
      </w:pPr>
      <w:bookmarkStart w:id="21" w:name="_Toc336009926"/>
      <w:bookmarkStart w:id="22" w:name="_Toc457491912"/>
      <w:bookmarkStart w:id="23" w:name="_Toc84329889"/>
      <w:bookmarkStart w:id="24" w:name="_Toc236922624"/>
      <w:r w:rsidRPr="003B70C5">
        <w:lastRenderedPageBreak/>
        <w:t>État financier IV</w:t>
      </w:r>
      <w:r w:rsidR="002B0172" w:rsidRPr="003B70C5">
        <w:t> :</w:t>
      </w:r>
      <w:r w:rsidRPr="003B70C5">
        <w:t xml:space="preserve"> état des flux de trésorerie</w:t>
      </w:r>
      <w:bookmarkEnd w:id="21"/>
      <w:bookmarkEnd w:id="22"/>
      <w:bookmarkEnd w:id="23"/>
      <w:bookmarkEnd w:id="24"/>
    </w:p>
    <w:p w14:paraId="4E351E48" w14:textId="6F648E4B" w:rsidR="000C336F" w:rsidRPr="003B70C5" w:rsidRDefault="000C336F" w:rsidP="000C336F">
      <w:pPr>
        <w:jc w:val="center"/>
        <w:rPr>
          <w:rFonts w:cs="Arial"/>
          <w:b/>
        </w:rPr>
      </w:pPr>
      <w:r w:rsidRPr="003B70C5">
        <w:rPr>
          <w:b/>
        </w:rPr>
        <w:t>pour l</w:t>
      </w:r>
      <w:r w:rsidR="002B0172" w:rsidRPr="003B70C5">
        <w:rPr>
          <w:b/>
        </w:rPr>
        <w:t>’</w:t>
      </w:r>
      <w:r w:rsidRPr="003B70C5">
        <w:rPr>
          <w:b/>
        </w:rPr>
        <w:t>année s</w:t>
      </w:r>
      <w:r w:rsidR="002B0172" w:rsidRPr="003B70C5">
        <w:rPr>
          <w:b/>
        </w:rPr>
        <w:t>’</w:t>
      </w:r>
      <w:r w:rsidRPr="003B70C5">
        <w:rPr>
          <w:b/>
        </w:rPr>
        <w:t>achevant au 31 décembre 2025</w:t>
      </w:r>
    </w:p>
    <w:p w14:paraId="66D780ED" w14:textId="77777777" w:rsidR="000C336F" w:rsidRPr="003B70C5" w:rsidRDefault="000C336F" w:rsidP="000C336F">
      <w:pPr>
        <w:jc w:val="center"/>
        <w:rPr>
          <w:rFonts w:cs="Arial"/>
          <w:i/>
        </w:rPr>
      </w:pPr>
      <w:r w:rsidRPr="003B70C5">
        <w:rPr>
          <w:i/>
        </w:rPr>
        <w:t>(en francs suisses)</w:t>
      </w:r>
    </w:p>
    <w:p w14:paraId="1D6DF39D" w14:textId="77777777" w:rsidR="002B0172" w:rsidRPr="003B70C5" w:rsidRDefault="002B0172" w:rsidP="000C336F">
      <w:pPr>
        <w:jc w:val="center"/>
        <w:rPr>
          <w:rFonts w:cs="Arial"/>
          <w:i/>
        </w:rPr>
      </w:pPr>
    </w:p>
    <w:p w14:paraId="06EA1C52" w14:textId="74035782" w:rsidR="000C336F" w:rsidRPr="0037119D" w:rsidRDefault="0037119D" w:rsidP="000C336F">
      <w:pPr>
        <w:jc w:val="center"/>
        <w:rPr>
          <w:rFonts w:cs="Arial"/>
          <w:iCs/>
        </w:rPr>
      </w:pPr>
      <w:r w:rsidRPr="0037119D">
        <w:rPr>
          <w:noProof/>
        </w:rPr>
        <w:drawing>
          <wp:inline distT="0" distB="0" distL="0" distR="0" wp14:anchorId="7D7029DE" wp14:editId="42B9DBCF">
            <wp:extent cx="6137910" cy="3700145"/>
            <wp:effectExtent l="0" t="0" r="0" b="0"/>
            <wp:docPr id="11781914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7910" cy="3700145"/>
                    </a:xfrm>
                    <a:prstGeom prst="rect">
                      <a:avLst/>
                    </a:prstGeom>
                    <a:noFill/>
                    <a:ln>
                      <a:noFill/>
                    </a:ln>
                  </pic:spPr>
                </pic:pic>
              </a:graphicData>
            </a:graphic>
          </wp:inline>
        </w:drawing>
      </w:r>
    </w:p>
    <w:p w14:paraId="2E3A5A67" w14:textId="77777777" w:rsidR="000C336F" w:rsidRPr="003B70C5" w:rsidRDefault="000C336F" w:rsidP="0037119D">
      <w:pPr>
        <w:jc w:val="left"/>
        <w:rPr>
          <w:rFonts w:cs="Arial"/>
          <w:b/>
        </w:rPr>
      </w:pPr>
    </w:p>
    <w:p w14:paraId="0FAADF76" w14:textId="77777777" w:rsidR="000C336F" w:rsidRPr="003B70C5" w:rsidRDefault="000C336F" w:rsidP="00D6364A"/>
    <w:p w14:paraId="294B74A1" w14:textId="77777777" w:rsidR="000C336F" w:rsidRPr="003B70C5" w:rsidRDefault="000C336F" w:rsidP="0037119D">
      <w:pPr>
        <w:pStyle w:val="Caption"/>
        <w:rPr>
          <w:rStyle w:val="Heading1Char"/>
          <w:b/>
          <w:sz w:val="20"/>
        </w:rPr>
      </w:pPr>
      <w:r w:rsidRPr="003B70C5">
        <w:br w:type="page"/>
      </w:r>
      <w:bookmarkStart w:id="25" w:name="_Toc336009927"/>
    </w:p>
    <w:p w14:paraId="4EC61842" w14:textId="2F3E717C" w:rsidR="000C336F" w:rsidRPr="003B70C5" w:rsidRDefault="006B3826" w:rsidP="006B3826">
      <w:pPr>
        <w:pStyle w:val="Heading1"/>
        <w:jc w:val="center"/>
        <w:rPr>
          <w:rFonts w:cs="Arial"/>
        </w:rPr>
      </w:pPr>
      <w:bookmarkStart w:id="26" w:name="_Toc236922625"/>
      <w:r>
        <w:lastRenderedPageBreak/>
        <w:t>É</w:t>
      </w:r>
      <w:r w:rsidRPr="003B70C5">
        <w:t>tat financier</w:t>
      </w:r>
      <w:r w:rsidR="00960AA8">
        <w:t> </w:t>
      </w:r>
      <w:r>
        <w:t>V</w:t>
      </w:r>
      <w:r w:rsidRPr="003B70C5">
        <w:t> : état de comparaison des montants budgétaires et des montants</w:t>
      </w:r>
      <w:r>
        <w:t> </w:t>
      </w:r>
      <w:r w:rsidRPr="003B70C5">
        <w:t>réels 2025</w:t>
      </w:r>
      <w:bookmarkEnd w:id="26"/>
    </w:p>
    <w:p w14:paraId="209D78AA" w14:textId="7FE52DC3" w:rsidR="000C336F" w:rsidRPr="003B70C5" w:rsidRDefault="000C336F" w:rsidP="000C336F">
      <w:pPr>
        <w:jc w:val="center"/>
        <w:rPr>
          <w:rFonts w:cs="Arial"/>
          <w:b/>
        </w:rPr>
      </w:pPr>
      <w:r w:rsidRPr="003B70C5">
        <w:rPr>
          <w:b/>
        </w:rPr>
        <w:t>pour l</w:t>
      </w:r>
      <w:r w:rsidR="002B0172" w:rsidRPr="003B70C5">
        <w:rPr>
          <w:b/>
        </w:rPr>
        <w:t>’</w:t>
      </w:r>
      <w:r w:rsidRPr="003B70C5">
        <w:rPr>
          <w:b/>
        </w:rPr>
        <w:t>année s</w:t>
      </w:r>
      <w:r w:rsidR="002B0172" w:rsidRPr="003B70C5">
        <w:rPr>
          <w:b/>
        </w:rPr>
        <w:t>’</w:t>
      </w:r>
      <w:r w:rsidRPr="003B70C5">
        <w:rPr>
          <w:b/>
        </w:rPr>
        <w:t>achevant au 31 décembre 2025</w:t>
      </w:r>
    </w:p>
    <w:p w14:paraId="542ADFAF" w14:textId="77777777" w:rsidR="000C336F" w:rsidRPr="003B70C5" w:rsidRDefault="000C336F" w:rsidP="000C336F">
      <w:pPr>
        <w:jc w:val="center"/>
        <w:rPr>
          <w:rFonts w:cs="Arial"/>
          <w:i/>
        </w:rPr>
      </w:pPr>
      <w:r w:rsidRPr="003B70C5">
        <w:rPr>
          <w:i/>
        </w:rPr>
        <w:t>(en milliers de francs suisses)</w:t>
      </w:r>
    </w:p>
    <w:p w14:paraId="6B98D67F" w14:textId="77777777" w:rsidR="002B0172" w:rsidRPr="003B70C5" w:rsidRDefault="002B0172" w:rsidP="000C336F">
      <w:pPr>
        <w:jc w:val="center"/>
        <w:rPr>
          <w:rFonts w:cs="Arial"/>
          <w:i/>
        </w:rPr>
      </w:pPr>
    </w:p>
    <w:p w14:paraId="61E2B863" w14:textId="5F393AF4" w:rsidR="000C336F" w:rsidRPr="003B70C5" w:rsidRDefault="00D55B95" w:rsidP="000C336F">
      <w:pPr>
        <w:jc w:val="center"/>
        <w:rPr>
          <w:rFonts w:cs="Arial"/>
          <w:i/>
        </w:rPr>
      </w:pPr>
      <w:r w:rsidRPr="00D55B95">
        <w:rPr>
          <w:noProof/>
        </w:rPr>
        <w:drawing>
          <wp:inline distT="0" distB="0" distL="0" distR="0" wp14:anchorId="726ABDFC" wp14:editId="570ED735">
            <wp:extent cx="6137910" cy="4099560"/>
            <wp:effectExtent l="0" t="0" r="0" b="0"/>
            <wp:docPr id="4653659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7910" cy="4099560"/>
                    </a:xfrm>
                    <a:prstGeom prst="rect">
                      <a:avLst/>
                    </a:prstGeom>
                    <a:noFill/>
                    <a:ln>
                      <a:noFill/>
                    </a:ln>
                  </pic:spPr>
                </pic:pic>
              </a:graphicData>
            </a:graphic>
          </wp:inline>
        </w:drawing>
      </w:r>
    </w:p>
    <w:p w14:paraId="51C88D59" w14:textId="77777777" w:rsidR="000C336F" w:rsidRPr="003B70C5" w:rsidRDefault="000C336F" w:rsidP="000C336F">
      <w:pPr>
        <w:jc w:val="center"/>
        <w:rPr>
          <w:rFonts w:cs="Arial"/>
          <w:i/>
        </w:rPr>
      </w:pPr>
    </w:p>
    <w:p w14:paraId="15E371F1" w14:textId="77777777" w:rsidR="000C336F" w:rsidRPr="003B70C5" w:rsidRDefault="000C336F" w:rsidP="000C336F">
      <w:pPr>
        <w:jc w:val="center"/>
        <w:rPr>
          <w:rFonts w:cs="Arial"/>
          <w:i/>
        </w:rPr>
      </w:pPr>
    </w:p>
    <w:p w14:paraId="5196DF86" w14:textId="77777777" w:rsidR="000C336F" w:rsidRPr="003B70C5" w:rsidRDefault="000C336F" w:rsidP="000C336F">
      <w:pPr>
        <w:rPr>
          <w:rFonts w:cs="Arial"/>
          <w:sz w:val="16"/>
          <w:szCs w:val="16"/>
        </w:rPr>
      </w:pPr>
    </w:p>
    <w:p w14:paraId="240A01A1" w14:textId="7054A719" w:rsidR="000C336F" w:rsidRPr="003B70C5" w:rsidRDefault="000C336F" w:rsidP="000C336F">
      <w:pPr>
        <w:pStyle w:val="Default"/>
        <w:numPr>
          <w:ilvl w:val="0"/>
          <w:numId w:val="9"/>
        </w:numPr>
        <w:rPr>
          <w:sz w:val="16"/>
          <w:szCs w:val="16"/>
        </w:rPr>
      </w:pPr>
      <w:r w:rsidRPr="003B70C5">
        <w:rPr>
          <w:sz w:val="16"/>
        </w:rPr>
        <w:t>Le budget initial correspond à la deuxième année du programme et budget approuvé pour l</w:t>
      </w:r>
      <w:r w:rsidR="002B0172" w:rsidRPr="003B70C5">
        <w:rPr>
          <w:sz w:val="16"/>
        </w:rPr>
        <w:t>’</w:t>
      </w:r>
      <w:r w:rsidRPr="003B70C5">
        <w:rPr>
          <w:sz w:val="16"/>
        </w:rPr>
        <w:t>exercice biennal 2024</w:t>
      </w:r>
      <w:r w:rsidR="002B0172" w:rsidRPr="003B70C5">
        <w:rPr>
          <w:sz w:val="16"/>
        </w:rPr>
        <w:t>-</w:t>
      </w:r>
      <w:r w:rsidRPr="003B70C5">
        <w:rPr>
          <w:sz w:val="16"/>
        </w:rPr>
        <w:t>2025.</w:t>
      </w:r>
    </w:p>
    <w:p w14:paraId="2B72F661" w14:textId="497AB627" w:rsidR="002B0172" w:rsidRPr="003B70C5" w:rsidRDefault="000C336F" w:rsidP="000C336F">
      <w:pPr>
        <w:pStyle w:val="Default"/>
        <w:numPr>
          <w:ilvl w:val="0"/>
          <w:numId w:val="9"/>
        </w:numPr>
        <w:rPr>
          <w:sz w:val="16"/>
        </w:rPr>
      </w:pPr>
      <w:r w:rsidRPr="003B70C5">
        <w:rPr>
          <w:sz w:val="16"/>
        </w:rPr>
        <w:t>Représente l</w:t>
      </w:r>
      <w:r w:rsidR="002B0172" w:rsidRPr="003B70C5">
        <w:rPr>
          <w:sz w:val="16"/>
        </w:rPr>
        <w:t>’</w:t>
      </w:r>
      <w:r w:rsidRPr="003B70C5">
        <w:rPr>
          <w:sz w:val="16"/>
        </w:rPr>
        <w:t>écart entre le budget final et les recettes et dépenses effectives sur une base comparable (avant ajustements IPSAS) pour l</w:t>
      </w:r>
      <w:r w:rsidR="002B0172" w:rsidRPr="003B70C5">
        <w:rPr>
          <w:sz w:val="16"/>
        </w:rPr>
        <w:t>’</w:t>
      </w:r>
      <w:r w:rsidRPr="003B70C5">
        <w:rPr>
          <w:sz w:val="16"/>
        </w:rPr>
        <w:t>année s</w:t>
      </w:r>
      <w:r w:rsidR="002B0172" w:rsidRPr="003B70C5">
        <w:rPr>
          <w:sz w:val="16"/>
        </w:rPr>
        <w:t>’</w:t>
      </w:r>
      <w:r w:rsidRPr="003B70C5">
        <w:rPr>
          <w:sz w:val="16"/>
        </w:rPr>
        <w:t>achevant au 31 </w:t>
      </w:r>
      <w:r w:rsidR="002B0172" w:rsidRPr="003B70C5">
        <w:rPr>
          <w:sz w:val="16"/>
        </w:rPr>
        <w:t>décembre 20</w:t>
      </w:r>
      <w:r w:rsidRPr="003B70C5">
        <w:rPr>
          <w:sz w:val="16"/>
        </w:rPr>
        <w:t>25.</w:t>
      </w:r>
    </w:p>
    <w:p w14:paraId="1546AD61" w14:textId="12F25637" w:rsidR="002B0172" w:rsidRPr="00D55B95" w:rsidRDefault="000C336F" w:rsidP="000C336F">
      <w:pPr>
        <w:pStyle w:val="Default"/>
        <w:numPr>
          <w:ilvl w:val="0"/>
          <w:numId w:val="9"/>
        </w:numPr>
        <w:rPr>
          <w:color w:val="auto"/>
          <w:sz w:val="16"/>
        </w:rPr>
      </w:pPr>
      <w:r w:rsidRPr="003B70C5">
        <w:rPr>
          <w:color w:val="auto"/>
          <w:sz w:val="16"/>
        </w:rPr>
        <w:t>Les ajustements IPSAS apportés à l</w:t>
      </w:r>
      <w:r w:rsidR="002B0172" w:rsidRPr="003B70C5">
        <w:rPr>
          <w:color w:val="auto"/>
          <w:sz w:val="16"/>
        </w:rPr>
        <w:t>’</w:t>
      </w:r>
      <w:r w:rsidRPr="003B70C5">
        <w:rPr>
          <w:color w:val="auto"/>
          <w:sz w:val="16"/>
        </w:rPr>
        <w:t>excédent sont détaillés dans la note 12 des présents états financiers.</w:t>
      </w:r>
    </w:p>
    <w:p w14:paraId="60C536CA" w14:textId="2FB386CA" w:rsidR="000C336F" w:rsidRPr="003B70C5" w:rsidRDefault="000C336F" w:rsidP="000C336F">
      <w:pPr>
        <w:pStyle w:val="Default"/>
        <w:rPr>
          <w:color w:val="auto"/>
          <w:sz w:val="20"/>
          <w:szCs w:val="20"/>
        </w:rPr>
      </w:pPr>
    </w:p>
    <w:p w14:paraId="08D3DF9E" w14:textId="1E7E9ADE" w:rsidR="000C336F" w:rsidRPr="003B70C5" w:rsidRDefault="000C336F" w:rsidP="006B3826">
      <w:pPr>
        <w:pStyle w:val="Heading1"/>
        <w:jc w:val="center"/>
        <w:rPr>
          <w:rFonts w:cs="Arial"/>
        </w:rPr>
      </w:pPr>
      <w:bookmarkStart w:id="27" w:name="_Toc109138977"/>
      <w:r w:rsidRPr="003B70C5">
        <w:br w:type="page"/>
      </w:r>
      <w:bookmarkStart w:id="28" w:name="_Toc236922626"/>
      <w:r w:rsidR="006B3826">
        <w:lastRenderedPageBreak/>
        <w:t>É</w:t>
      </w:r>
      <w:r w:rsidR="006B3826" w:rsidRPr="003B70C5">
        <w:t>tat financier</w:t>
      </w:r>
      <w:r w:rsidR="00960AA8">
        <w:t> </w:t>
      </w:r>
      <w:r w:rsidR="006B3826">
        <w:t>V</w:t>
      </w:r>
      <w:r w:rsidR="006B3826" w:rsidRPr="003B70C5">
        <w:t> : état de comparaison des montants budgétaires et des montants</w:t>
      </w:r>
      <w:r w:rsidR="006B3826">
        <w:t> </w:t>
      </w:r>
      <w:r w:rsidR="006B3826" w:rsidRPr="003B70C5">
        <w:t>réels 2024-2025</w:t>
      </w:r>
      <w:bookmarkEnd w:id="28"/>
    </w:p>
    <w:p w14:paraId="43366A05" w14:textId="7DB4F08D" w:rsidR="000C336F" w:rsidRPr="003B70C5" w:rsidRDefault="000C336F" w:rsidP="000C336F">
      <w:pPr>
        <w:jc w:val="center"/>
        <w:rPr>
          <w:rFonts w:cs="Arial"/>
          <w:b/>
        </w:rPr>
      </w:pPr>
      <w:r w:rsidRPr="003B70C5">
        <w:rPr>
          <w:b/>
        </w:rPr>
        <w:t>pour l</w:t>
      </w:r>
      <w:r w:rsidR="002B0172" w:rsidRPr="003B70C5">
        <w:rPr>
          <w:b/>
        </w:rPr>
        <w:t>’</w:t>
      </w:r>
      <w:r w:rsidRPr="003B70C5">
        <w:rPr>
          <w:b/>
        </w:rPr>
        <w:t>exercice biennal s</w:t>
      </w:r>
      <w:r w:rsidR="002B0172" w:rsidRPr="003B70C5">
        <w:rPr>
          <w:b/>
        </w:rPr>
        <w:t>’</w:t>
      </w:r>
      <w:r w:rsidRPr="003B70C5">
        <w:rPr>
          <w:b/>
        </w:rPr>
        <w:t>achevant au 31 décembre 2025</w:t>
      </w:r>
    </w:p>
    <w:p w14:paraId="198E0F72" w14:textId="77777777" w:rsidR="000C336F" w:rsidRPr="003B70C5" w:rsidRDefault="000C336F" w:rsidP="000C336F">
      <w:pPr>
        <w:jc w:val="center"/>
        <w:rPr>
          <w:rFonts w:cs="Arial"/>
          <w:i/>
        </w:rPr>
      </w:pPr>
      <w:r w:rsidRPr="003B70C5">
        <w:rPr>
          <w:i/>
        </w:rPr>
        <w:t>(en milliers de francs suisses)</w:t>
      </w:r>
    </w:p>
    <w:p w14:paraId="79F342C8" w14:textId="77777777" w:rsidR="000C336F" w:rsidRPr="003B70C5" w:rsidRDefault="000C336F" w:rsidP="000C336F">
      <w:pPr>
        <w:jc w:val="left"/>
        <w:rPr>
          <w:rFonts w:cs="Arial"/>
          <w:b/>
          <w:caps/>
        </w:rPr>
      </w:pPr>
    </w:p>
    <w:p w14:paraId="0455DF9B" w14:textId="0E7875E5" w:rsidR="000C336F" w:rsidRPr="003B70C5" w:rsidRDefault="002D7552" w:rsidP="000C336F">
      <w:pPr>
        <w:jc w:val="left"/>
        <w:rPr>
          <w:rFonts w:cs="Arial"/>
        </w:rPr>
      </w:pPr>
      <w:bookmarkStart w:id="29" w:name="_1834644757"/>
      <w:bookmarkStart w:id="30" w:name="_1834574917"/>
      <w:bookmarkStart w:id="31" w:name="_1834646942"/>
      <w:bookmarkStart w:id="32" w:name="_1834651570"/>
      <w:bookmarkStart w:id="33" w:name="_Toc336009929"/>
      <w:bookmarkStart w:id="34" w:name="_Toc457491914"/>
      <w:bookmarkStart w:id="35" w:name="_Toc84329891"/>
      <w:bookmarkEnd w:id="25"/>
      <w:bookmarkEnd w:id="27"/>
      <w:bookmarkEnd w:id="29"/>
      <w:bookmarkEnd w:id="30"/>
      <w:bookmarkEnd w:id="31"/>
      <w:bookmarkEnd w:id="32"/>
      <w:r w:rsidRPr="002D7552">
        <w:rPr>
          <w:noProof/>
        </w:rPr>
        <w:drawing>
          <wp:inline distT="0" distB="0" distL="0" distR="0" wp14:anchorId="7EE8290D" wp14:editId="0B8EC04F">
            <wp:extent cx="6137910" cy="4361815"/>
            <wp:effectExtent l="0" t="0" r="0" b="0"/>
            <wp:docPr id="18063090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7910" cy="4361815"/>
                    </a:xfrm>
                    <a:prstGeom prst="rect">
                      <a:avLst/>
                    </a:prstGeom>
                    <a:noFill/>
                    <a:ln>
                      <a:noFill/>
                    </a:ln>
                  </pic:spPr>
                </pic:pic>
              </a:graphicData>
            </a:graphic>
          </wp:inline>
        </w:drawing>
      </w:r>
    </w:p>
    <w:p w14:paraId="6D6FF4FA" w14:textId="77777777" w:rsidR="000C336F" w:rsidRPr="003B70C5" w:rsidRDefault="000C336F" w:rsidP="000C336F">
      <w:pPr>
        <w:jc w:val="left"/>
        <w:rPr>
          <w:rFonts w:cs="Arial"/>
        </w:rPr>
      </w:pPr>
    </w:p>
    <w:p w14:paraId="7B161972" w14:textId="77777777" w:rsidR="000C336F" w:rsidRPr="003B70C5" w:rsidRDefault="000C336F" w:rsidP="000C336F">
      <w:pPr>
        <w:rPr>
          <w:rFonts w:cs="Arial"/>
          <w:sz w:val="16"/>
          <w:szCs w:val="16"/>
        </w:rPr>
      </w:pPr>
    </w:p>
    <w:p w14:paraId="19DB29B8" w14:textId="5E8FE104" w:rsidR="000C336F" w:rsidRPr="003B70C5" w:rsidRDefault="000C336F" w:rsidP="000C336F">
      <w:pPr>
        <w:pStyle w:val="Default"/>
        <w:numPr>
          <w:ilvl w:val="0"/>
          <w:numId w:val="15"/>
        </w:numPr>
        <w:rPr>
          <w:sz w:val="16"/>
          <w:szCs w:val="16"/>
        </w:rPr>
      </w:pPr>
      <w:r w:rsidRPr="003B70C5">
        <w:rPr>
          <w:sz w:val="16"/>
        </w:rPr>
        <w:t>Le budget initial représente le budget du programme et budget approuvé pour l</w:t>
      </w:r>
      <w:r w:rsidR="002B0172" w:rsidRPr="003B70C5">
        <w:rPr>
          <w:sz w:val="16"/>
        </w:rPr>
        <w:t>’</w:t>
      </w:r>
      <w:r w:rsidRPr="003B70C5">
        <w:rPr>
          <w:sz w:val="16"/>
        </w:rPr>
        <w:t>exercice biennal 2024</w:t>
      </w:r>
      <w:r w:rsidR="002B0172" w:rsidRPr="003B70C5">
        <w:rPr>
          <w:sz w:val="16"/>
        </w:rPr>
        <w:t>-</w:t>
      </w:r>
      <w:r w:rsidRPr="003B70C5">
        <w:rPr>
          <w:sz w:val="16"/>
        </w:rPr>
        <w:t>2025.</w:t>
      </w:r>
    </w:p>
    <w:p w14:paraId="164E3D7D" w14:textId="276884BF" w:rsidR="002B0172" w:rsidRPr="003B70C5" w:rsidRDefault="000C336F" w:rsidP="000C336F">
      <w:pPr>
        <w:pStyle w:val="Default"/>
        <w:numPr>
          <w:ilvl w:val="0"/>
          <w:numId w:val="15"/>
        </w:numPr>
        <w:rPr>
          <w:sz w:val="16"/>
        </w:rPr>
      </w:pPr>
      <w:r w:rsidRPr="003B70C5">
        <w:rPr>
          <w:sz w:val="16"/>
        </w:rPr>
        <w:t>Représente l</w:t>
      </w:r>
      <w:r w:rsidR="002B0172" w:rsidRPr="003B70C5">
        <w:rPr>
          <w:sz w:val="16"/>
        </w:rPr>
        <w:t>’</w:t>
      </w:r>
      <w:r w:rsidRPr="003B70C5">
        <w:rPr>
          <w:sz w:val="16"/>
        </w:rPr>
        <w:t>écart entre le budget final et les recettes et dépenses effectives sur une base comparable (avant ajustements IPSAS) pour l</w:t>
      </w:r>
      <w:r w:rsidR="002B0172" w:rsidRPr="003B70C5">
        <w:rPr>
          <w:sz w:val="16"/>
        </w:rPr>
        <w:t>’</w:t>
      </w:r>
      <w:r w:rsidRPr="003B70C5">
        <w:rPr>
          <w:sz w:val="16"/>
        </w:rPr>
        <w:t>exercice biennal s</w:t>
      </w:r>
      <w:r w:rsidR="002B0172" w:rsidRPr="003B70C5">
        <w:rPr>
          <w:sz w:val="16"/>
        </w:rPr>
        <w:t>’</w:t>
      </w:r>
      <w:r w:rsidRPr="003B70C5">
        <w:rPr>
          <w:sz w:val="16"/>
        </w:rPr>
        <w:t>achevant au 31 </w:t>
      </w:r>
      <w:r w:rsidR="002B0172" w:rsidRPr="003B70C5">
        <w:rPr>
          <w:sz w:val="16"/>
        </w:rPr>
        <w:t>décembre 20</w:t>
      </w:r>
      <w:r w:rsidRPr="003B70C5">
        <w:rPr>
          <w:sz w:val="16"/>
        </w:rPr>
        <w:t>25.</w:t>
      </w:r>
    </w:p>
    <w:p w14:paraId="60F24490" w14:textId="289BBE50" w:rsidR="002B0172" w:rsidRPr="002D7552" w:rsidRDefault="000C336F" w:rsidP="000C336F">
      <w:pPr>
        <w:pStyle w:val="Default"/>
        <w:numPr>
          <w:ilvl w:val="0"/>
          <w:numId w:val="15"/>
        </w:numPr>
        <w:rPr>
          <w:color w:val="auto"/>
          <w:sz w:val="16"/>
        </w:rPr>
      </w:pPr>
      <w:r w:rsidRPr="003B70C5">
        <w:rPr>
          <w:color w:val="auto"/>
          <w:sz w:val="16"/>
        </w:rPr>
        <w:t>Les ajustements IPSAS apportés à l</w:t>
      </w:r>
      <w:r w:rsidR="002B0172" w:rsidRPr="003B70C5">
        <w:rPr>
          <w:color w:val="auto"/>
          <w:sz w:val="16"/>
        </w:rPr>
        <w:t>’</w:t>
      </w:r>
      <w:r w:rsidRPr="003B70C5">
        <w:rPr>
          <w:color w:val="auto"/>
          <w:sz w:val="16"/>
        </w:rPr>
        <w:t>excédent sont détaillés dans la note 12 des présents états financiers.</w:t>
      </w:r>
    </w:p>
    <w:p w14:paraId="5FAD2824" w14:textId="15D9D5F8" w:rsidR="000C336F" w:rsidRPr="003B70C5" w:rsidRDefault="000C336F" w:rsidP="000C336F">
      <w:pPr>
        <w:jc w:val="left"/>
        <w:rPr>
          <w:rFonts w:cs="Arial"/>
          <w:b/>
          <w:caps/>
        </w:rPr>
      </w:pPr>
      <w:r w:rsidRPr="003B70C5">
        <w:br w:type="page"/>
      </w:r>
    </w:p>
    <w:p w14:paraId="10E9E378" w14:textId="77777777" w:rsidR="000C336F" w:rsidRPr="003B70C5" w:rsidRDefault="000C336F" w:rsidP="00207291">
      <w:pPr>
        <w:pStyle w:val="Heading1"/>
        <w:jc w:val="center"/>
        <w:rPr>
          <w:rFonts w:cs="Arial"/>
        </w:rPr>
      </w:pPr>
      <w:bookmarkStart w:id="36" w:name="_Toc236922627"/>
      <w:r w:rsidRPr="003B70C5">
        <w:lastRenderedPageBreak/>
        <w:t>NOTES RELATIVES AUX ÉTATS FINANCIERS</w:t>
      </w:r>
      <w:bookmarkEnd w:id="33"/>
      <w:bookmarkEnd w:id="34"/>
      <w:bookmarkEnd w:id="35"/>
      <w:bookmarkEnd w:id="36"/>
    </w:p>
    <w:p w14:paraId="77C825C4" w14:textId="77777777" w:rsidR="000C336F" w:rsidRPr="003B70C5" w:rsidRDefault="000C336F" w:rsidP="000C336F">
      <w:pPr>
        <w:rPr>
          <w:rFonts w:cs="Arial"/>
        </w:rPr>
      </w:pPr>
    </w:p>
    <w:p w14:paraId="545DD2BA" w14:textId="27C20DCD" w:rsidR="000C336F" w:rsidRPr="003B70C5" w:rsidRDefault="000C336F" w:rsidP="004573AD">
      <w:pPr>
        <w:pStyle w:val="Heading2Notes"/>
        <w:rPr>
          <w:rFonts w:cs="Arial"/>
        </w:rPr>
      </w:pPr>
      <w:bookmarkStart w:id="37" w:name="_Toc336009930"/>
      <w:bookmarkStart w:id="38" w:name="_Toc457491915"/>
      <w:bookmarkStart w:id="39" w:name="_Toc84329892"/>
      <w:bookmarkStart w:id="40" w:name="_Toc236922628"/>
      <w:r w:rsidRPr="003B70C5">
        <w:t>Note 1</w:t>
      </w:r>
      <w:r w:rsidR="002B0172" w:rsidRPr="003B70C5">
        <w:t> :</w:t>
      </w:r>
      <w:r w:rsidR="00E2280F" w:rsidRPr="003B70C5">
        <w:t xml:space="preserve"> </w:t>
      </w:r>
      <w:r w:rsidRPr="003B70C5">
        <w:tab/>
        <w:t>Objectifs, gouvernance et budget de l</w:t>
      </w:r>
      <w:r w:rsidR="002B0172" w:rsidRPr="003B70C5">
        <w:t>’</w:t>
      </w:r>
      <w:r w:rsidRPr="003B70C5">
        <w:t>UPOV</w:t>
      </w:r>
      <w:bookmarkEnd w:id="37"/>
      <w:bookmarkEnd w:id="38"/>
      <w:bookmarkEnd w:id="39"/>
      <w:bookmarkEnd w:id="40"/>
    </w:p>
    <w:p w14:paraId="2E6A1398" w14:textId="77777777" w:rsidR="000C336F" w:rsidRPr="003B70C5" w:rsidRDefault="000C336F" w:rsidP="000C336F">
      <w:pPr>
        <w:rPr>
          <w:rFonts w:cs="Arial"/>
        </w:rPr>
      </w:pPr>
    </w:p>
    <w:p w14:paraId="367E88E2" w14:textId="5A984C96" w:rsidR="000C336F" w:rsidRPr="003B70C5" w:rsidRDefault="000C336F" w:rsidP="000C336F">
      <w:pPr>
        <w:rPr>
          <w:rFonts w:cs="Arial"/>
        </w:rPr>
      </w:pPr>
      <w:r w:rsidRPr="003B70C5">
        <w:t>L</w:t>
      </w:r>
      <w:r w:rsidR="002B0172" w:rsidRPr="003B70C5">
        <w:t>’</w:t>
      </w:r>
      <w:r w:rsidRPr="003B70C5">
        <w:t xml:space="preserve">Union internationale pour la protection des obtentions végétales (UPOV) est une organisation intergouvernementale ayant son siège à Genève. </w:t>
      </w:r>
      <w:r w:rsidR="00E2280F" w:rsidRPr="003B70C5">
        <w:t xml:space="preserve"> </w:t>
      </w:r>
      <w:r w:rsidRPr="003B70C5">
        <w:t>L</w:t>
      </w:r>
      <w:r w:rsidR="002B0172" w:rsidRPr="003B70C5">
        <w:t>’</w:t>
      </w:r>
      <w:r w:rsidRPr="003B70C5">
        <w:t>UPOV a pour mission de mettre en place et de promouvoir un système efficace de protection des variétés végétales afin d</w:t>
      </w:r>
      <w:r w:rsidR="002B0172" w:rsidRPr="003B70C5">
        <w:t>’</w:t>
      </w:r>
      <w:r w:rsidRPr="003B70C5">
        <w:t>encourager l</w:t>
      </w:r>
      <w:r w:rsidR="002B0172" w:rsidRPr="003B70C5">
        <w:t>’</w:t>
      </w:r>
      <w:r w:rsidRPr="003B70C5">
        <w:t>obtention de variétés dans l</w:t>
      </w:r>
      <w:r w:rsidR="002B0172" w:rsidRPr="003B70C5">
        <w:t>’</w:t>
      </w:r>
      <w:r w:rsidRPr="003B70C5">
        <w:t>intérêt de tous.</w:t>
      </w:r>
    </w:p>
    <w:p w14:paraId="2F5617B3" w14:textId="77777777" w:rsidR="000C336F" w:rsidRPr="003B70C5" w:rsidRDefault="000C336F" w:rsidP="000C336F">
      <w:pPr>
        <w:rPr>
          <w:rFonts w:cs="Arial"/>
        </w:rPr>
      </w:pPr>
    </w:p>
    <w:p w14:paraId="14D80074" w14:textId="50AFD69A" w:rsidR="000C336F" w:rsidRPr="003B70C5" w:rsidRDefault="000C336F" w:rsidP="000C336F">
      <w:pPr>
        <w:rPr>
          <w:rFonts w:cs="Arial"/>
        </w:rPr>
      </w:pPr>
      <w:r w:rsidRPr="003B70C5">
        <w:t>L</w:t>
      </w:r>
      <w:r w:rsidR="002B0172" w:rsidRPr="003B70C5">
        <w:t>’</w:t>
      </w:r>
      <w:r w:rsidRPr="003B70C5">
        <w:t>UPOV a été instituée par la Convention internationale pour la protection des obtentions végétales (ci</w:t>
      </w:r>
      <w:r w:rsidR="002B0172" w:rsidRPr="003B70C5">
        <w:t>-</w:t>
      </w:r>
      <w:r w:rsidRPr="003B70C5">
        <w:t>après dénommée “</w:t>
      </w:r>
      <w:r w:rsidR="002B0172" w:rsidRPr="003B70C5">
        <w:t>Convention UPOV</w:t>
      </w:r>
      <w:r w:rsidRPr="003B70C5">
        <w:t xml:space="preserve">”), qui a été signée à Paris </w:t>
      </w:r>
      <w:r w:rsidR="002B0172" w:rsidRPr="003B70C5">
        <w:t>en 1961</w:t>
      </w:r>
      <w:r w:rsidRPr="003B70C5">
        <w:t xml:space="preserve">. </w:t>
      </w:r>
      <w:r w:rsidR="00E2280F" w:rsidRPr="003B70C5">
        <w:t xml:space="preserve"> </w:t>
      </w:r>
      <w:r w:rsidRPr="003B70C5">
        <w:t xml:space="preserve">La Convention est entrée en vigueur </w:t>
      </w:r>
      <w:r w:rsidR="002B0172" w:rsidRPr="003B70C5">
        <w:t>en 1968</w:t>
      </w:r>
      <w:r w:rsidRPr="003B70C5">
        <w:t xml:space="preserve">. </w:t>
      </w:r>
      <w:r w:rsidR="00E2280F" w:rsidRPr="003B70C5">
        <w:t xml:space="preserve"> </w:t>
      </w:r>
      <w:r w:rsidRPr="003B70C5">
        <w:t xml:space="preserve">Elle a été révisée à Genève </w:t>
      </w:r>
      <w:r w:rsidR="002B0172" w:rsidRPr="003B70C5">
        <w:t>en 1972</w:t>
      </w:r>
      <w:r w:rsidRPr="003B70C5">
        <w:t xml:space="preserve">, 1978 et 1991. </w:t>
      </w:r>
      <w:r w:rsidR="00E2280F" w:rsidRPr="003B70C5">
        <w:t xml:space="preserve"> </w:t>
      </w:r>
      <w:r w:rsidRPr="003B70C5">
        <w:t>L</w:t>
      </w:r>
      <w:r w:rsidR="002B0172" w:rsidRPr="003B70C5">
        <w:t>’</w:t>
      </w:r>
      <w:r w:rsidRPr="003B70C5">
        <w:t xml:space="preserve">Acte </w:t>
      </w:r>
      <w:r w:rsidR="002B0172" w:rsidRPr="003B70C5">
        <w:t>de 1991</w:t>
      </w:r>
      <w:r w:rsidRPr="003B70C5">
        <w:t xml:space="preserve"> est entré en vigueur le</w:t>
      </w:r>
      <w:r w:rsidR="002D7552">
        <w:t> </w:t>
      </w:r>
      <w:r w:rsidRPr="003B70C5">
        <w:t>24 </w:t>
      </w:r>
      <w:r w:rsidR="002B0172" w:rsidRPr="003B70C5">
        <w:t>avril 19</w:t>
      </w:r>
      <w:r w:rsidRPr="003B70C5">
        <w:t>98.</w:t>
      </w:r>
      <w:r w:rsidR="00E2280F" w:rsidRPr="003B70C5">
        <w:t xml:space="preserve"> </w:t>
      </w:r>
      <w:r w:rsidRPr="003B70C5">
        <w:t xml:space="preserve"> Conformément à la </w:t>
      </w:r>
      <w:r w:rsidR="002B0172" w:rsidRPr="003B70C5">
        <w:t>Convention UPOV</w:t>
      </w:r>
      <w:r w:rsidRPr="003B70C5">
        <w:t>, l</w:t>
      </w:r>
      <w:r w:rsidR="002B0172" w:rsidRPr="003B70C5">
        <w:t>’</w:t>
      </w:r>
      <w:r w:rsidRPr="003B70C5">
        <w:t>Union a pour principaux objectifs</w:t>
      </w:r>
      <w:r w:rsidR="002B0172" w:rsidRPr="003B70C5">
        <w:t> :</w:t>
      </w:r>
    </w:p>
    <w:p w14:paraId="3D960E20" w14:textId="77777777" w:rsidR="000C336F" w:rsidRPr="003B70C5" w:rsidRDefault="000C336F" w:rsidP="000C336F">
      <w:pPr>
        <w:rPr>
          <w:rFonts w:cs="Arial"/>
        </w:rPr>
      </w:pPr>
    </w:p>
    <w:p w14:paraId="40A8AD01" w14:textId="2C92E0DA" w:rsidR="000C336F" w:rsidRPr="003B70C5" w:rsidRDefault="000C336F" w:rsidP="000C336F">
      <w:pPr>
        <w:numPr>
          <w:ilvl w:val="0"/>
          <w:numId w:val="6"/>
        </w:numPr>
        <w:ind w:right="713"/>
        <w:rPr>
          <w:rFonts w:cs="Arial"/>
        </w:rPr>
      </w:pPr>
      <w:r w:rsidRPr="003B70C5">
        <w:t>de mettre en place et de perfectionner la base juridique, administrative et technique d</w:t>
      </w:r>
      <w:r w:rsidR="002B0172" w:rsidRPr="003B70C5">
        <w:t>’</w:t>
      </w:r>
      <w:r w:rsidRPr="003B70C5">
        <w:t>une coopération internationale en matière de protection des obtentions végétales;</w:t>
      </w:r>
    </w:p>
    <w:p w14:paraId="2201CEDD" w14:textId="77777777" w:rsidR="000C336F" w:rsidRPr="003B70C5" w:rsidRDefault="000C336F" w:rsidP="000C336F">
      <w:pPr>
        <w:ind w:right="713"/>
        <w:rPr>
          <w:rFonts w:cs="Arial"/>
        </w:rPr>
      </w:pPr>
    </w:p>
    <w:p w14:paraId="3A69C369" w14:textId="62D5BF58" w:rsidR="000C336F" w:rsidRPr="003B70C5" w:rsidRDefault="000C336F" w:rsidP="000C336F">
      <w:pPr>
        <w:numPr>
          <w:ilvl w:val="0"/>
          <w:numId w:val="6"/>
        </w:numPr>
        <w:ind w:right="713"/>
        <w:rPr>
          <w:rFonts w:cs="Arial"/>
        </w:rPr>
      </w:pPr>
      <w:r w:rsidRPr="003B70C5">
        <w:t>d</w:t>
      </w:r>
      <w:r w:rsidR="002B0172" w:rsidRPr="003B70C5">
        <w:t>’</w:t>
      </w:r>
      <w:r w:rsidRPr="003B70C5">
        <w:t xml:space="preserve">aider les États et les organisations à établir des lois et mettre en œuvre un système efficace de protection des variétés végétales; </w:t>
      </w:r>
      <w:r w:rsidR="00E2280F" w:rsidRPr="003B70C5">
        <w:t xml:space="preserve"> </w:t>
      </w:r>
      <w:r w:rsidRPr="003B70C5">
        <w:t>et</w:t>
      </w:r>
    </w:p>
    <w:p w14:paraId="067A65CB" w14:textId="77777777" w:rsidR="000C336F" w:rsidRPr="003B70C5" w:rsidRDefault="000C336F" w:rsidP="000C336F">
      <w:pPr>
        <w:ind w:right="713"/>
        <w:rPr>
          <w:rFonts w:cs="Arial"/>
        </w:rPr>
      </w:pPr>
    </w:p>
    <w:p w14:paraId="209FDDA3" w14:textId="05B8757B" w:rsidR="000C336F" w:rsidRPr="003B70C5" w:rsidRDefault="000C336F" w:rsidP="000C336F">
      <w:pPr>
        <w:numPr>
          <w:ilvl w:val="0"/>
          <w:numId w:val="6"/>
        </w:numPr>
        <w:ind w:right="713"/>
        <w:rPr>
          <w:rFonts w:cs="Arial"/>
        </w:rPr>
      </w:pPr>
      <w:r w:rsidRPr="003B70C5">
        <w:t xml:space="preserve">de renforcer la sensibilité et la compréhension du public </w:t>
      </w:r>
      <w:r w:rsidR="002B0172" w:rsidRPr="003B70C5">
        <w:t>à l’égard</w:t>
      </w:r>
      <w:r w:rsidRPr="003B70C5">
        <w:t xml:space="preserve"> du système UPOV de protection des variétés végétales.</w:t>
      </w:r>
    </w:p>
    <w:p w14:paraId="3006753B" w14:textId="77777777" w:rsidR="000C336F" w:rsidRPr="003B70C5" w:rsidRDefault="000C336F" w:rsidP="000C336F">
      <w:pPr>
        <w:rPr>
          <w:rFonts w:cs="Arial"/>
        </w:rPr>
      </w:pPr>
    </w:p>
    <w:p w14:paraId="02CC290F" w14:textId="1E734A71" w:rsidR="000C336F" w:rsidRPr="003B70C5" w:rsidRDefault="000C336F" w:rsidP="000C336F">
      <w:pPr>
        <w:rPr>
          <w:rFonts w:cs="Arial"/>
        </w:rPr>
      </w:pPr>
      <w:r w:rsidRPr="003B70C5">
        <w:t>Conformément à l</w:t>
      </w:r>
      <w:r w:rsidR="002B0172" w:rsidRPr="003B70C5">
        <w:t>’</w:t>
      </w:r>
      <w:r w:rsidRPr="003B70C5">
        <w:t>article 25 de l</w:t>
      </w:r>
      <w:r w:rsidR="002B0172" w:rsidRPr="003B70C5">
        <w:t>’</w:t>
      </w:r>
      <w:r w:rsidRPr="003B70C5">
        <w:t xml:space="preserve">Acte </w:t>
      </w:r>
      <w:r w:rsidR="002B0172" w:rsidRPr="003B70C5">
        <w:t>de 1991</w:t>
      </w:r>
      <w:r w:rsidRPr="003B70C5">
        <w:t xml:space="preserve"> et à l</w:t>
      </w:r>
      <w:r w:rsidR="002B0172" w:rsidRPr="003B70C5">
        <w:t>’</w:t>
      </w:r>
      <w:r w:rsidRPr="003B70C5">
        <w:t>article 15 de l</w:t>
      </w:r>
      <w:r w:rsidR="002B0172" w:rsidRPr="003B70C5">
        <w:t>’</w:t>
      </w:r>
      <w:r w:rsidRPr="003B70C5">
        <w:t xml:space="preserve">Acte </w:t>
      </w:r>
      <w:r w:rsidR="002B0172" w:rsidRPr="003B70C5">
        <w:t>de 1978</w:t>
      </w:r>
      <w:r w:rsidRPr="003B70C5">
        <w:t>, le Conseil et le Bureau de l</w:t>
      </w:r>
      <w:r w:rsidR="002B0172" w:rsidRPr="003B70C5">
        <w:t>’</w:t>
      </w:r>
      <w:r w:rsidRPr="003B70C5">
        <w:t>Union sont les organes permanents de l</w:t>
      </w:r>
      <w:r w:rsidR="002B0172" w:rsidRPr="003B70C5">
        <w:t>’</w:t>
      </w:r>
      <w:r w:rsidRPr="003B70C5">
        <w:t>UPOV.</w:t>
      </w:r>
    </w:p>
    <w:p w14:paraId="6D4FE902" w14:textId="77777777" w:rsidR="000C336F" w:rsidRPr="003B70C5" w:rsidRDefault="000C336F" w:rsidP="000C336F">
      <w:pPr>
        <w:rPr>
          <w:rFonts w:cs="Arial"/>
        </w:rPr>
      </w:pPr>
    </w:p>
    <w:p w14:paraId="1CFD1AF6" w14:textId="66F3EC3F" w:rsidR="002B0172" w:rsidRPr="003B70C5" w:rsidRDefault="000C336F" w:rsidP="000C336F">
      <w:r w:rsidRPr="003B70C5">
        <w:t>Le Conseil est l</w:t>
      </w:r>
      <w:r w:rsidR="002B0172" w:rsidRPr="003B70C5">
        <w:t>’</w:t>
      </w:r>
      <w:r w:rsidRPr="003B70C5">
        <w:t>organe directeur de l</w:t>
      </w:r>
      <w:r w:rsidR="002B0172" w:rsidRPr="003B70C5">
        <w:t>’</w:t>
      </w:r>
      <w:r w:rsidRPr="003B70C5">
        <w:t>UPOV et est composé des représentants des membres de l</w:t>
      </w:r>
      <w:r w:rsidR="002B0172" w:rsidRPr="003B70C5">
        <w:t>’</w:t>
      </w:r>
      <w:r w:rsidRPr="003B70C5">
        <w:t>Uni</w:t>
      </w:r>
      <w:r w:rsidR="00D076B0" w:rsidRPr="003B70C5">
        <w:t>on.  Le</w:t>
      </w:r>
      <w:r w:rsidRPr="003B70C5">
        <w:t xml:space="preserve"> Conseil a pour mission de sauvegarder les intérêts et de favoriser le développement de l</w:t>
      </w:r>
      <w:r w:rsidR="002B0172" w:rsidRPr="003B70C5">
        <w:t>’</w:t>
      </w:r>
      <w:r w:rsidRPr="003B70C5">
        <w:t>UPOV, d</w:t>
      </w:r>
      <w:r w:rsidR="002B0172" w:rsidRPr="003B70C5">
        <w:t>’</w:t>
      </w:r>
      <w:r w:rsidRPr="003B70C5">
        <w:t>adopter son programme de travail et son budget et de prendre toutes les décisions nécessaires au bon fonctionnement de l</w:t>
      </w:r>
      <w:r w:rsidR="002B0172" w:rsidRPr="003B70C5">
        <w:t>’</w:t>
      </w:r>
      <w:r w:rsidRPr="003B70C5">
        <w:t>U</w:t>
      </w:r>
      <w:r w:rsidR="00D076B0" w:rsidRPr="003B70C5">
        <w:t>POV.  Il</w:t>
      </w:r>
      <w:r w:rsidRPr="003B70C5">
        <w:t xml:space="preserve"> se réunit en session ordinaire une fois par </w:t>
      </w:r>
      <w:r w:rsidR="00D076B0" w:rsidRPr="003B70C5">
        <w:t>an.  Il</w:t>
      </w:r>
      <w:r w:rsidRPr="003B70C5">
        <w:t xml:space="preserve"> peut, si nécessaire, être convoqué en session extraordinai</w:t>
      </w:r>
      <w:r w:rsidR="00D076B0" w:rsidRPr="003B70C5">
        <w:t>re.  Le</w:t>
      </w:r>
      <w:r w:rsidRPr="003B70C5">
        <w:t xml:space="preserve"> Conseil a créé plusieurs organes qui se réunissent une fois par an.</w:t>
      </w:r>
    </w:p>
    <w:p w14:paraId="0D78751C" w14:textId="6DA98FC3" w:rsidR="000C336F" w:rsidRPr="003B70C5" w:rsidRDefault="000C336F" w:rsidP="000C336F">
      <w:pPr>
        <w:rPr>
          <w:rFonts w:cs="Arial"/>
        </w:rPr>
      </w:pPr>
    </w:p>
    <w:p w14:paraId="613161A0" w14:textId="4779F629" w:rsidR="000C336F" w:rsidRPr="003B70C5" w:rsidRDefault="000C336F" w:rsidP="000C336F">
      <w:pPr>
        <w:rPr>
          <w:rFonts w:cs="Arial"/>
        </w:rPr>
      </w:pPr>
      <w:r w:rsidRPr="003B70C5">
        <w:t>Le Bureau de l</w:t>
      </w:r>
      <w:r w:rsidR="002B0172" w:rsidRPr="003B70C5">
        <w:t>’</w:t>
      </w:r>
      <w:r w:rsidRPr="003B70C5">
        <w:t>Union assure le secrétariat de l</w:t>
      </w:r>
      <w:r w:rsidR="002B0172" w:rsidRPr="003B70C5">
        <w:t>’</w:t>
      </w:r>
      <w:r w:rsidRPr="003B70C5">
        <w:t>UPOV et est dirigé par le Secrétaire génér</w:t>
      </w:r>
      <w:r w:rsidR="00D076B0" w:rsidRPr="003B70C5">
        <w:t>al.  Le</w:t>
      </w:r>
      <w:r w:rsidRPr="003B70C5">
        <w:t>s fonctionnaires du Bureau de l</w:t>
      </w:r>
      <w:r w:rsidR="002B0172" w:rsidRPr="003B70C5">
        <w:t>’</w:t>
      </w:r>
      <w:r w:rsidRPr="003B70C5">
        <w:t>UPOV, en dehors de la Secrétaire générale adjointe, sont placés sous la direction de la Secrétaire générale adjointe de l</w:t>
      </w:r>
      <w:r w:rsidR="002B0172" w:rsidRPr="003B70C5">
        <w:t>’</w:t>
      </w:r>
      <w:r w:rsidRPr="003B70C5">
        <w:t>U</w:t>
      </w:r>
      <w:r w:rsidR="00D076B0" w:rsidRPr="003B70C5">
        <w:t>POV.  En</w:t>
      </w:r>
      <w:r w:rsidR="002B0172" w:rsidRPr="003B70C5">
        <w:t> 1982</w:t>
      </w:r>
      <w:r w:rsidRPr="003B70C5">
        <w:t>, un accord de coopération (l</w:t>
      </w:r>
      <w:r w:rsidR="002B0172" w:rsidRPr="003B70C5">
        <w:t>’</w:t>
      </w:r>
      <w:r w:rsidRPr="003B70C5">
        <w:t>Accord OMPI/UPOV) a été signé entre l</w:t>
      </w:r>
      <w:r w:rsidR="002B0172" w:rsidRPr="003B70C5">
        <w:t>’</w:t>
      </w:r>
      <w:r w:rsidRPr="003B70C5">
        <w:t>UPOV et l</w:t>
      </w:r>
      <w:r w:rsidR="002B0172" w:rsidRPr="003B70C5">
        <w:t>’</w:t>
      </w:r>
      <w:r w:rsidRPr="003B70C5">
        <w:t xml:space="preserve">Organisation Mondiale de la Propriété Intellectuelle (OMPI), une institution spécialisée des </w:t>
      </w:r>
      <w:r w:rsidR="002B0172" w:rsidRPr="003B70C5">
        <w:t>Nations Uni</w:t>
      </w:r>
      <w:r w:rsidR="00D076B0" w:rsidRPr="003B70C5">
        <w:t>es.  Co</w:t>
      </w:r>
      <w:r w:rsidRPr="003B70C5">
        <w:t>nformément à cet accord, le Conseil de l</w:t>
      </w:r>
      <w:r w:rsidR="002B0172" w:rsidRPr="003B70C5">
        <w:t>’</w:t>
      </w:r>
      <w:r w:rsidRPr="003B70C5">
        <w:t>UPOV nomme comme Secrétaire général de l</w:t>
      </w:r>
      <w:r w:rsidR="002B0172" w:rsidRPr="003B70C5">
        <w:t>’</w:t>
      </w:r>
      <w:r w:rsidRPr="003B70C5">
        <w:t>UPOV le Directeur général de l</w:t>
      </w:r>
      <w:r w:rsidR="002B0172" w:rsidRPr="003B70C5">
        <w:t>’</w:t>
      </w:r>
      <w:r w:rsidRPr="003B70C5">
        <w:t>O</w:t>
      </w:r>
      <w:r w:rsidR="00D076B0" w:rsidRPr="003B70C5">
        <w:t>MPI.  La</w:t>
      </w:r>
      <w:r w:rsidRPr="003B70C5">
        <w:t xml:space="preserve"> Secrétaire générale adjointe est chargée de la réalisation des résultats escomptés tels qu</w:t>
      </w:r>
      <w:r w:rsidR="002B0172" w:rsidRPr="003B70C5">
        <w:t>’</w:t>
      </w:r>
      <w:r w:rsidRPr="003B70C5">
        <w:t>ils sont indiqués dans le programme et budget approu</w:t>
      </w:r>
      <w:r w:rsidR="00D076B0" w:rsidRPr="003B70C5">
        <w:t>vé.  Se</w:t>
      </w:r>
      <w:r w:rsidRPr="003B70C5">
        <w:t>lon l</w:t>
      </w:r>
      <w:r w:rsidR="002B0172" w:rsidRPr="003B70C5">
        <w:t>’</w:t>
      </w:r>
      <w:r w:rsidRPr="003B70C5">
        <w:t>accord, l</w:t>
      </w:r>
      <w:r w:rsidR="002B0172" w:rsidRPr="003B70C5">
        <w:t>’</w:t>
      </w:r>
      <w:r w:rsidRPr="003B70C5">
        <w:t>OMPI satisfait les besoins de l</w:t>
      </w:r>
      <w:r w:rsidR="002B0172" w:rsidRPr="003B70C5">
        <w:t>’</w:t>
      </w:r>
      <w:r w:rsidRPr="003B70C5">
        <w:t>UPOV en ce qui concerne l</w:t>
      </w:r>
      <w:r w:rsidR="002B0172" w:rsidRPr="003B70C5">
        <w:t>’</w:t>
      </w:r>
      <w:r w:rsidRPr="003B70C5">
        <w:t>espace, le personnel, les finances, les achats et d</w:t>
      </w:r>
      <w:r w:rsidR="002B0172" w:rsidRPr="003B70C5">
        <w:t>’</w:t>
      </w:r>
      <w:r w:rsidRPr="003B70C5">
        <w:t xml:space="preserve">autres tâches administratives. </w:t>
      </w:r>
      <w:r w:rsidR="00E2280F" w:rsidRPr="003B70C5">
        <w:t xml:space="preserve"> </w:t>
      </w:r>
      <w:r w:rsidRPr="003B70C5">
        <w:t>L</w:t>
      </w:r>
      <w:r w:rsidR="002B0172" w:rsidRPr="003B70C5">
        <w:t>’</w:t>
      </w:r>
      <w:r w:rsidRPr="003B70C5">
        <w:t>UPOV indemnise l</w:t>
      </w:r>
      <w:r w:rsidR="002B0172" w:rsidRPr="003B70C5">
        <w:t>’</w:t>
      </w:r>
      <w:r w:rsidRPr="003B70C5">
        <w:t>OMPI pour tout service fourni à l</w:t>
      </w:r>
      <w:r w:rsidR="002B0172" w:rsidRPr="003B70C5">
        <w:t>’</w:t>
      </w:r>
      <w:r w:rsidRPr="003B70C5">
        <w:t>UPOV et pour toute dépense engagée pour son compte.</w:t>
      </w:r>
    </w:p>
    <w:p w14:paraId="3E7B28A4" w14:textId="77777777" w:rsidR="000C336F" w:rsidRPr="003B70C5" w:rsidRDefault="000C336F" w:rsidP="000C336F">
      <w:pPr>
        <w:rPr>
          <w:rFonts w:cs="Arial"/>
        </w:rPr>
      </w:pPr>
    </w:p>
    <w:p w14:paraId="15D2FC8A" w14:textId="74DA8AC4" w:rsidR="000C336F" w:rsidRPr="003B70C5" w:rsidRDefault="000C336F" w:rsidP="000C336F">
      <w:pPr>
        <w:rPr>
          <w:rFonts w:cs="Arial"/>
        </w:rPr>
      </w:pPr>
      <w:r w:rsidRPr="003B70C5">
        <w:t>L</w:t>
      </w:r>
      <w:r w:rsidR="002B0172" w:rsidRPr="003B70C5">
        <w:t>’</w:t>
      </w:r>
      <w:r w:rsidRPr="003B70C5">
        <w:t>UPOV est essentiellement financée par les contributions et les ressources extrabudgétaires (fonds fiduciaires) des membres de l</w:t>
      </w:r>
      <w:r w:rsidR="002B0172" w:rsidRPr="003B70C5">
        <w:t>’</w:t>
      </w:r>
      <w:r w:rsidRPr="003B70C5">
        <w:t xml:space="preserve">Union. </w:t>
      </w:r>
      <w:r w:rsidR="00E2280F" w:rsidRPr="003B70C5">
        <w:t xml:space="preserve"> </w:t>
      </w:r>
      <w:r w:rsidRPr="003B70C5">
        <w:t>L</w:t>
      </w:r>
      <w:r w:rsidR="002B0172" w:rsidRPr="003B70C5">
        <w:t>’</w:t>
      </w:r>
      <w:r w:rsidRPr="003B70C5">
        <w:t>UPOV exerce ses activités dans le cadre d</w:t>
      </w:r>
      <w:r w:rsidR="002B0172" w:rsidRPr="003B70C5">
        <w:t>’</w:t>
      </w:r>
      <w:r w:rsidRPr="003B70C5">
        <w:t>un programme et budget bienn</w:t>
      </w:r>
      <w:r w:rsidR="00D076B0" w:rsidRPr="003B70C5">
        <w:t>al.  Le</w:t>
      </w:r>
      <w:r w:rsidRPr="003B70C5">
        <w:t xml:space="preserve"> programme et budget proposé contient les estimations des recettes et des dépenses de l</w:t>
      </w:r>
      <w:r w:rsidR="002B0172" w:rsidRPr="003B70C5">
        <w:t>’</w:t>
      </w:r>
      <w:r w:rsidRPr="003B70C5">
        <w:t>exercice financier auquel il se rappor</w:t>
      </w:r>
      <w:r w:rsidR="00D076B0" w:rsidRPr="003B70C5">
        <w:t>te.  Il</w:t>
      </w:r>
      <w:r w:rsidRPr="003B70C5">
        <w:t xml:space="preserve"> est soumis par le Secrétaire général au Comité consultatif pour discussion, </w:t>
      </w:r>
      <w:r w:rsidRPr="0067680F">
        <w:rPr>
          <w:spacing w:val="-2"/>
        </w:rPr>
        <w:t>observations et recommandations, ainsi que pour d</w:t>
      </w:r>
      <w:r w:rsidR="002B0172" w:rsidRPr="0067680F">
        <w:rPr>
          <w:spacing w:val="-2"/>
        </w:rPr>
        <w:t>’</w:t>
      </w:r>
      <w:r w:rsidRPr="0067680F">
        <w:rPr>
          <w:spacing w:val="-2"/>
        </w:rPr>
        <w:t>éventuelles modificatio</w:t>
      </w:r>
      <w:r w:rsidR="00D076B0" w:rsidRPr="0067680F">
        <w:rPr>
          <w:spacing w:val="-2"/>
        </w:rPr>
        <w:t>ns.  Le</w:t>
      </w:r>
      <w:r w:rsidRPr="0067680F">
        <w:rPr>
          <w:spacing w:val="-2"/>
        </w:rPr>
        <w:t xml:space="preserve"> Conseil adopte le programme</w:t>
      </w:r>
      <w:r w:rsidRPr="003B70C5">
        <w:t xml:space="preserve"> et budget après examen du programme et budget proposé et des recommandations du Comité consultatif.</w:t>
      </w:r>
    </w:p>
    <w:p w14:paraId="5A2EEF41" w14:textId="77777777" w:rsidR="000C336F" w:rsidRPr="003B70C5" w:rsidRDefault="000C336F" w:rsidP="000C336F">
      <w:pPr>
        <w:rPr>
          <w:rFonts w:cs="Arial"/>
        </w:rPr>
      </w:pPr>
    </w:p>
    <w:p w14:paraId="559D887F" w14:textId="77777777" w:rsidR="000C336F" w:rsidRPr="003B70C5" w:rsidRDefault="000C336F" w:rsidP="000C336F">
      <w:pPr>
        <w:rPr>
          <w:rFonts w:cs="Arial"/>
          <w:b/>
          <w:bCs/>
          <w:caps/>
        </w:rPr>
      </w:pPr>
      <w:r w:rsidRPr="003B70C5">
        <w:br w:type="page"/>
      </w:r>
    </w:p>
    <w:p w14:paraId="178A61F5" w14:textId="38594B07" w:rsidR="000C336F" w:rsidRPr="003B70C5" w:rsidRDefault="000C336F" w:rsidP="004573AD">
      <w:pPr>
        <w:pStyle w:val="Heading2Notes"/>
        <w:rPr>
          <w:rFonts w:cs="Arial"/>
        </w:rPr>
      </w:pPr>
      <w:bookmarkStart w:id="41" w:name="_Toc84329893"/>
      <w:bookmarkStart w:id="42" w:name="_Toc236922629"/>
      <w:r w:rsidRPr="003B70C5">
        <w:lastRenderedPageBreak/>
        <w:t>Note 2</w:t>
      </w:r>
      <w:r w:rsidR="002B0172" w:rsidRPr="003B70C5">
        <w:t> :</w:t>
      </w:r>
      <w:r w:rsidR="00E2280F" w:rsidRPr="003B70C5">
        <w:t xml:space="preserve"> </w:t>
      </w:r>
      <w:r w:rsidRPr="003B70C5">
        <w:tab/>
        <w:t>Principales méthodes comptables</w:t>
      </w:r>
      <w:bookmarkEnd w:id="41"/>
      <w:bookmarkEnd w:id="42"/>
    </w:p>
    <w:p w14:paraId="32DCA41C" w14:textId="77777777" w:rsidR="000C336F" w:rsidRPr="003B70C5" w:rsidRDefault="000C336F" w:rsidP="000C336F">
      <w:pPr>
        <w:rPr>
          <w:rFonts w:cs="Arial"/>
          <w:b/>
        </w:rPr>
      </w:pPr>
    </w:p>
    <w:p w14:paraId="5590912D" w14:textId="77777777" w:rsidR="000C336F" w:rsidRPr="003B70C5" w:rsidRDefault="000C336F" w:rsidP="000C336F">
      <w:pPr>
        <w:rPr>
          <w:rFonts w:cs="Arial"/>
          <w:b/>
        </w:rPr>
      </w:pPr>
      <w:r w:rsidRPr="003B70C5">
        <w:rPr>
          <w:b/>
        </w:rPr>
        <w:t>Convention utilisée pour la préparation</w:t>
      </w:r>
    </w:p>
    <w:p w14:paraId="261E3E5F" w14:textId="77777777" w:rsidR="000C336F" w:rsidRPr="003B70C5" w:rsidRDefault="000C336F" w:rsidP="000C336F">
      <w:pPr>
        <w:rPr>
          <w:rFonts w:cs="Arial"/>
          <w:b/>
        </w:rPr>
      </w:pPr>
    </w:p>
    <w:p w14:paraId="52AA30C0" w14:textId="38B4BF84" w:rsidR="002B0172" w:rsidRPr="003B70C5" w:rsidRDefault="000C336F" w:rsidP="000C336F">
      <w:pPr>
        <w:pStyle w:val="Style3"/>
        <w:spacing w:after="0"/>
        <w:rPr>
          <w:sz w:val="20"/>
        </w:rPr>
      </w:pPr>
      <w:r w:rsidRPr="003B70C5">
        <w:rPr>
          <w:sz w:val="20"/>
        </w:rPr>
        <w:t>Ces états financiers ont été établis conformément aux Normes comptables internationales du secteur public (normes</w:t>
      </w:r>
      <w:r w:rsidR="00E2280F" w:rsidRPr="003B70C5">
        <w:rPr>
          <w:sz w:val="20"/>
        </w:rPr>
        <w:t> </w:t>
      </w:r>
      <w:r w:rsidRPr="003B70C5">
        <w:rPr>
          <w:sz w:val="20"/>
        </w:rPr>
        <w:t>IPSAS).</w:t>
      </w:r>
      <w:r w:rsidR="00E2280F" w:rsidRPr="003B70C5">
        <w:rPr>
          <w:sz w:val="20"/>
        </w:rPr>
        <w:t xml:space="preserve"> </w:t>
      </w:r>
      <w:r w:rsidRPr="003B70C5">
        <w:rPr>
          <w:sz w:val="20"/>
        </w:rPr>
        <w:t xml:space="preserve"> Les états financiers sont présentés en francs suisses, qui sont la devise fonctionnelle de référence de l</w:t>
      </w:r>
      <w:r w:rsidR="002B0172" w:rsidRPr="003B70C5">
        <w:rPr>
          <w:sz w:val="20"/>
        </w:rPr>
        <w:t>’</w:t>
      </w:r>
      <w:r w:rsidRPr="003B70C5">
        <w:rPr>
          <w:sz w:val="20"/>
        </w:rPr>
        <w:t>U</w:t>
      </w:r>
      <w:r w:rsidR="00D076B0" w:rsidRPr="003B70C5">
        <w:rPr>
          <w:sz w:val="20"/>
        </w:rPr>
        <w:t>POV.  Le</w:t>
      </w:r>
      <w:r w:rsidRPr="003B70C5">
        <w:rPr>
          <w:sz w:val="20"/>
        </w:rPr>
        <w:t>s politiques comptables ont été appliquées de façon permanente à tous les exercices présentés.</w:t>
      </w:r>
    </w:p>
    <w:p w14:paraId="7875AB82" w14:textId="00E7AB7B" w:rsidR="000C336F" w:rsidRPr="003B70C5" w:rsidRDefault="000C336F" w:rsidP="000C336F">
      <w:pPr>
        <w:pStyle w:val="Style3"/>
        <w:spacing w:after="0"/>
        <w:rPr>
          <w:rFonts w:cs="Arial"/>
          <w:sz w:val="20"/>
        </w:rPr>
      </w:pPr>
    </w:p>
    <w:p w14:paraId="5541933C" w14:textId="170D77F5" w:rsidR="000C336F" w:rsidRPr="003B70C5" w:rsidRDefault="000C336F" w:rsidP="000C336F">
      <w:pPr>
        <w:pStyle w:val="Style3"/>
        <w:spacing w:after="0"/>
        <w:rPr>
          <w:sz w:val="20"/>
        </w:rPr>
      </w:pPr>
      <w:r w:rsidRPr="003B70C5">
        <w:rPr>
          <w:sz w:val="20"/>
        </w:rPr>
        <w:t>Les états financiers ont été établis sur la base du coût historique, sauf indication contrai</w:t>
      </w:r>
      <w:r w:rsidR="00D076B0" w:rsidRPr="003B70C5">
        <w:rPr>
          <w:sz w:val="20"/>
        </w:rPr>
        <w:t>re.  L’é</w:t>
      </w:r>
      <w:r w:rsidRPr="003B70C5">
        <w:rPr>
          <w:sz w:val="20"/>
        </w:rPr>
        <w:t>tat des flux de trésorerie est établi à l</w:t>
      </w:r>
      <w:r w:rsidR="002B0172" w:rsidRPr="003B70C5">
        <w:rPr>
          <w:sz w:val="20"/>
        </w:rPr>
        <w:t>’</w:t>
      </w:r>
      <w:r w:rsidRPr="003B70C5">
        <w:rPr>
          <w:sz w:val="20"/>
        </w:rPr>
        <w:t>aide de la méthode indirec</w:t>
      </w:r>
      <w:r w:rsidR="00D076B0" w:rsidRPr="003B70C5">
        <w:rPr>
          <w:sz w:val="20"/>
        </w:rPr>
        <w:t>te.  Le</w:t>
      </w:r>
      <w:r w:rsidRPr="003B70C5">
        <w:rPr>
          <w:sz w:val="20"/>
        </w:rPr>
        <w:t>s états financiers ont été élaborés selon une méthode progressive et selon le principe de la continuité d</w:t>
      </w:r>
      <w:r w:rsidR="002B0172" w:rsidRPr="003B70C5">
        <w:rPr>
          <w:sz w:val="20"/>
        </w:rPr>
        <w:t>’</w:t>
      </w:r>
      <w:r w:rsidRPr="003B70C5">
        <w:rPr>
          <w:sz w:val="20"/>
        </w:rPr>
        <w:t>activi</w:t>
      </w:r>
      <w:r w:rsidR="00D076B0" w:rsidRPr="003B70C5">
        <w:rPr>
          <w:sz w:val="20"/>
        </w:rPr>
        <w:t>té.  Au</w:t>
      </w:r>
      <w:r w:rsidRPr="003B70C5">
        <w:rPr>
          <w:sz w:val="20"/>
        </w:rPr>
        <w:t xml:space="preserve"> 31 </w:t>
      </w:r>
      <w:r w:rsidR="002B0172" w:rsidRPr="003B70C5">
        <w:rPr>
          <w:sz w:val="20"/>
        </w:rPr>
        <w:t>décembre 20</w:t>
      </w:r>
      <w:r w:rsidRPr="003B70C5">
        <w:rPr>
          <w:sz w:val="20"/>
        </w:rPr>
        <w:t>25, l</w:t>
      </w:r>
      <w:r w:rsidR="002B0172" w:rsidRPr="003B70C5">
        <w:rPr>
          <w:sz w:val="20"/>
        </w:rPr>
        <w:t>’</w:t>
      </w:r>
      <w:r w:rsidRPr="003B70C5">
        <w:rPr>
          <w:sz w:val="20"/>
        </w:rPr>
        <w:t>état de la situation financière indique un solde d</w:t>
      </w:r>
      <w:r w:rsidR="002B0172" w:rsidRPr="003B70C5">
        <w:rPr>
          <w:sz w:val="20"/>
        </w:rPr>
        <w:t>’</w:t>
      </w:r>
      <w:r w:rsidRPr="003B70C5">
        <w:rPr>
          <w:sz w:val="20"/>
        </w:rPr>
        <w:t>actifs nets négatif en raison d</w:t>
      </w:r>
      <w:r w:rsidR="002B0172" w:rsidRPr="003B70C5">
        <w:rPr>
          <w:sz w:val="20"/>
        </w:rPr>
        <w:t>’</w:t>
      </w:r>
      <w:r w:rsidRPr="003B70C5">
        <w:rPr>
          <w:sz w:val="20"/>
        </w:rPr>
        <w:t>une augmentation des engagements au titre des prestations à long terme dues au personn</w:t>
      </w:r>
      <w:r w:rsidR="00D076B0" w:rsidRPr="003B70C5">
        <w:rPr>
          <w:sz w:val="20"/>
        </w:rPr>
        <w:t>el.  Ce</w:t>
      </w:r>
      <w:r w:rsidRPr="003B70C5">
        <w:rPr>
          <w:sz w:val="20"/>
        </w:rPr>
        <w:t>la n</w:t>
      </w:r>
      <w:r w:rsidR="002B0172" w:rsidRPr="003B70C5">
        <w:rPr>
          <w:sz w:val="20"/>
        </w:rPr>
        <w:t>’</w:t>
      </w:r>
      <w:r w:rsidRPr="003B70C5">
        <w:rPr>
          <w:sz w:val="20"/>
        </w:rPr>
        <w:t>affecte pas la capacité de l</w:t>
      </w:r>
      <w:r w:rsidR="002B0172" w:rsidRPr="003B70C5">
        <w:rPr>
          <w:sz w:val="20"/>
        </w:rPr>
        <w:t>’</w:t>
      </w:r>
      <w:r w:rsidRPr="003B70C5">
        <w:rPr>
          <w:sz w:val="20"/>
        </w:rPr>
        <w:t>UPOV de poursuivre son activi</w:t>
      </w:r>
      <w:r w:rsidR="00D076B0" w:rsidRPr="003B70C5">
        <w:rPr>
          <w:sz w:val="20"/>
        </w:rPr>
        <w:t>té.  Le</w:t>
      </w:r>
      <w:r w:rsidRPr="003B70C5">
        <w:rPr>
          <w:sz w:val="20"/>
        </w:rPr>
        <w:t xml:space="preserve"> Conseil de l</w:t>
      </w:r>
      <w:r w:rsidR="002B0172" w:rsidRPr="003B70C5">
        <w:rPr>
          <w:sz w:val="20"/>
        </w:rPr>
        <w:t>’</w:t>
      </w:r>
      <w:r w:rsidRPr="003B70C5">
        <w:rPr>
          <w:sz w:val="20"/>
        </w:rPr>
        <w:t>UPOV a approuvé le programme et budget de l</w:t>
      </w:r>
      <w:r w:rsidR="002B0172" w:rsidRPr="003B70C5">
        <w:rPr>
          <w:sz w:val="20"/>
        </w:rPr>
        <w:t>’</w:t>
      </w:r>
      <w:r w:rsidRPr="003B70C5">
        <w:rPr>
          <w:sz w:val="20"/>
        </w:rPr>
        <w:t>Union pour l</w:t>
      </w:r>
      <w:r w:rsidR="002B0172" w:rsidRPr="003B70C5">
        <w:rPr>
          <w:sz w:val="20"/>
        </w:rPr>
        <w:t>’</w:t>
      </w:r>
      <w:r w:rsidRPr="003B70C5">
        <w:rPr>
          <w:sz w:val="20"/>
        </w:rPr>
        <w:t>exercice biennal 2026</w:t>
      </w:r>
      <w:r w:rsidR="002B0172" w:rsidRPr="003B70C5">
        <w:rPr>
          <w:sz w:val="20"/>
        </w:rPr>
        <w:t>-</w:t>
      </w:r>
      <w:r w:rsidRPr="003B70C5">
        <w:rPr>
          <w:sz w:val="20"/>
        </w:rPr>
        <w:t>2027 et il n</w:t>
      </w:r>
      <w:r w:rsidR="002B0172" w:rsidRPr="003B70C5">
        <w:rPr>
          <w:sz w:val="20"/>
        </w:rPr>
        <w:t>’</w:t>
      </w:r>
      <w:r w:rsidRPr="003B70C5">
        <w:rPr>
          <w:sz w:val="20"/>
        </w:rPr>
        <w:t>existe aucune intention de modifier les activités de l</w:t>
      </w:r>
      <w:r w:rsidR="002B0172" w:rsidRPr="003B70C5">
        <w:rPr>
          <w:sz w:val="20"/>
        </w:rPr>
        <w:t>’</w:t>
      </w:r>
      <w:r w:rsidRPr="003B70C5">
        <w:rPr>
          <w:sz w:val="20"/>
        </w:rPr>
        <w:t>UPOV.</w:t>
      </w:r>
    </w:p>
    <w:p w14:paraId="4FBA4C1F" w14:textId="77777777" w:rsidR="000C336F" w:rsidRPr="003B70C5" w:rsidRDefault="000C336F" w:rsidP="000C336F">
      <w:pPr>
        <w:pStyle w:val="Style3"/>
        <w:spacing w:after="0"/>
        <w:rPr>
          <w:sz w:val="20"/>
        </w:rPr>
      </w:pPr>
    </w:p>
    <w:p w14:paraId="39072D9C" w14:textId="704126E7" w:rsidR="000C336F" w:rsidRPr="003B70C5" w:rsidRDefault="000C336F" w:rsidP="000C336F">
      <w:pPr>
        <w:rPr>
          <w:szCs w:val="18"/>
        </w:rPr>
      </w:pPr>
      <w:r w:rsidRPr="003B70C5">
        <w:t>La norme IPSAS 47, Revenus, a été publiée en mai 2023, avec pour date de mise en œuvre le</w:t>
      </w:r>
      <w:r w:rsidR="002B0172" w:rsidRPr="003B70C5">
        <w:t xml:space="preserve"> 1</w:t>
      </w:r>
      <w:r w:rsidR="002B0172" w:rsidRPr="003B70C5">
        <w:rPr>
          <w:vertAlign w:val="superscript"/>
        </w:rPr>
        <w:t>er</w:t>
      </w:r>
      <w:r w:rsidR="002B0172" w:rsidRPr="003B70C5">
        <w:t> </w:t>
      </w:r>
      <w:r w:rsidRPr="003B70C5">
        <w:t xml:space="preserve">janvier 2026. </w:t>
      </w:r>
      <w:r w:rsidR="00E2280F" w:rsidRPr="003B70C5">
        <w:t xml:space="preserve"> </w:t>
      </w:r>
      <w:r w:rsidRPr="003B70C5">
        <w:t>Elle a été appliquée par l</w:t>
      </w:r>
      <w:r w:rsidR="002B0172" w:rsidRPr="003B70C5">
        <w:t>’</w:t>
      </w:r>
      <w:r w:rsidRPr="003B70C5">
        <w:t xml:space="preserve">UPOV </w:t>
      </w:r>
      <w:r w:rsidR="002B0172" w:rsidRPr="003B70C5">
        <w:t>en 2025</w:t>
      </w:r>
      <w:r w:rsidRPr="003B70C5">
        <w:t xml:space="preserve"> et n</w:t>
      </w:r>
      <w:r w:rsidR="002B0172" w:rsidRPr="003B70C5">
        <w:t>’</w:t>
      </w:r>
      <w:r w:rsidRPr="003B70C5">
        <w:t>a pas d</w:t>
      </w:r>
      <w:r w:rsidR="002B0172" w:rsidRPr="003B70C5">
        <w:t>’</w:t>
      </w:r>
      <w:r w:rsidRPr="003B70C5">
        <w:t>incidence significative sur ses états financiers.</w:t>
      </w:r>
    </w:p>
    <w:p w14:paraId="636D862C" w14:textId="77777777" w:rsidR="000C336F" w:rsidRPr="003B70C5" w:rsidRDefault="000C336F" w:rsidP="000C336F">
      <w:pPr>
        <w:rPr>
          <w:szCs w:val="18"/>
        </w:rPr>
      </w:pPr>
    </w:p>
    <w:p w14:paraId="7BC13147" w14:textId="22B50136" w:rsidR="000C336F" w:rsidRPr="003B70C5" w:rsidRDefault="000C336F" w:rsidP="000C336F">
      <w:pPr>
        <w:rPr>
          <w:szCs w:val="18"/>
        </w:rPr>
      </w:pPr>
      <w:r w:rsidRPr="003B70C5">
        <w:t xml:space="preserve">La norme IPSAS 48, </w:t>
      </w:r>
      <w:r w:rsidRPr="003B70C5">
        <w:rPr>
          <w:i/>
          <w:iCs/>
        </w:rPr>
        <w:t>Frais de transfert</w:t>
      </w:r>
      <w:r w:rsidRPr="003B70C5">
        <w:t>, a été publiée en mai 2023, avec pour date de mise en œuvre le</w:t>
      </w:r>
      <w:r w:rsidR="002D7552">
        <w:t> </w:t>
      </w:r>
      <w:r w:rsidR="002B0172" w:rsidRPr="003B70C5">
        <w:t>1</w:t>
      </w:r>
      <w:r w:rsidR="002B0172" w:rsidRPr="003B70C5">
        <w:rPr>
          <w:vertAlign w:val="superscript"/>
        </w:rPr>
        <w:t>er</w:t>
      </w:r>
      <w:r w:rsidR="002B0172" w:rsidRPr="003B70C5">
        <w:t> </w:t>
      </w:r>
      <w:r w:rsidRPr="003B70C5">
        <w:t xml:space="preserve">janvier 2026. </w:t>
      </w:r>
      <w:r w:rsidR="00E2280F" w:rsidRPr="003B70C5">
        <w:t xml:space="preserve"> </w:t>
      </w:r>
      <w:r w:rsidRPr="003B70C5">
        <w:t>Elle a été appliquée par l</w:t>
      </w:r>
      <w:r w:rsidR="002B0172" w:rsidRPr="003B70C5">
        <w:t>’</w:t>
      </w:r>
      <w:r w:rsidRPr="003B70C5">
        <w:t xml:space="preserve">UPOV </w:t>
      </w:r>
      <w:r w:rsidR="002B0172" w:rsidRPr="003B70C5">
        <w:t>en 2025</w:t>
      </w:r>
      <w:r w:rsidRPr="003B70C5">
        <w:t xml:space="preserve"> et n</w:t>
      </w:r>
      <w:r w:rsidR="002B0172" w:rsidRPr="003B70C5">
        <w:t>’</w:t>
      </w:r>
      <w:r w:rsidRPr="003B70C5">
        <w:t>a pas d</w:t>
      </w:r>
      <w:r w:rsidR="002B0172" w:rsidRPr="003B70C5">
        <w:t>’</w:t>
      </w:r>
      <w:r w:rsidRPr="003B70C5">
        <w:t>incidence significative sur ses états financiers.</w:t>
      </w:r>
    </w:p>
    <w:p w14:paraId="3D8C7531" w14:textId="77777777" w:rsidR="000C336F" w:rsidRPr="003B70C5" w:rsidRDefault="000C336F" w:rsidP="000C336F">
      <w:pPr>
        <w:rPr>
          <w:szCs w:val="18"/>
        </w:rPr>
      </w:pPr>
    </w:p>
    <w:p w14:paraId="5078B124" w14:textId="2379ADD6" w:rsidR="000C336F" w:rsidRPr="003B70C5" w:rsidRDefault="000C336F" w:rsidP="000C336F">
      <w:pPr>
        <w:rPr>
          <w:szCs w:val="18"/>
        </w:rPr>
      </w:pPr>
      <w:r w:rsidRPr="003B70C5">
        <w:t xml:space="preserve">La norme IPSAS 49, </w:t>
      </w:r>
      <w:r w:rsidRPr="003B70C5">
        <w:rPr>
          <w:i/>
          <w:iCs/>
        </w:rPr>
        <w:t>Régimes de retraite</w:t>
      </w:r>
      <w:r w:rsidRPr="003B70C5">
        <w:t>, a été publiée en novembre 2023, avec pour date de mise en œuvre le</w:t>
      </w:r>
      <w:r w:rsidR="002B0172" w:rsidRPr="003B70C5">
        <w:t xml:space="preserve"> 1</w:t>
      </w:r>
      <w:r w:rsidR="002B0172" w:rsidRPr="003B70C5">
        <w:rPr>
          <w:vertAlign w:val="superscript"/>
        </w:rPr>
        <w:t>er</w:t>
      </w:r>
      <w:r w:rsidR="002B0172" w:rsidRPr="003B70C5">
        <w:t> </w:t>
      </w:r>
      <w:r w:rsidRPr="003B70C5">
        <w:t xml:space="preserve">janvier 2026. </w:t>
      </w:r>
      <w:r w:rsidR="00E2280F" w:rsidRPr="003B70C5">
        <w:t xml:space="preserve"> </w:t>
      </w:r>
      <w:r w:rsidRPr="003B70C5">
        <w:t>Elle ne devrait pas avoir d</w:t>
      </w:r>
      <w:r w:rsidR="002B0172" w:rsidRPr="003B70C5">
        <w:t>’</w:t>
      </w:r>
      <w:r w:rsidRPr="003B70C5">
        <w:t>incidence sur les états financiers de l</w:t>
      </w:r>
      <w:r w:rsidR="002B0172" w:rsidRPr="003B70C5">
        <w:t>’</w:t>
      </w:r>
      <w:r w:rsidRPr="003B70C5">
        <w:t>Union.</w:t>
      </w:r>
    </w:p>
    <w:p w14:paraId="413091D6" w14:textId="77777777" w:rsidR="000C336F" w:rsidRPr="003B70C5" w:rsidRDefault="000C336F" w:rsidP="000C336F">
      <w:pPr>
        <w:rPr>
          <w:szCs w:val="18"/>
        </w:rPr>
      </w:pPr>
    </w:p>
    <w:p w14:paraId="6BA80BA1" w14:textId="0923EED8" w:rsidR="002B0172" w:rsidRPr="003B70C5" w:rsidRDefault="000C336F" w:rsidP="000C336F">
      <w:r w:rsidRPr="003B70C5">
        <w:t>La norme</w:t>
      </w:r>
      <w:r w:rsidR="00E2280F" w:rsidRPr="003B70C5">
        <w:t> </w:t>
      </w:r>
      <w:r w:rsidRPr="003B70C5">
        <w:t xml:space="preserve">IPSAS 50, </w:t>
      </w:r>
      <w:r w:rsidRPr="003B70C5">
        <w:rPr>
          <w:i/>
          <w:iCs/>
        </w:rPr>
        <w:t>Exploration et évaluation des ressources minérales</w:t>
      </w:r>
      <w:r w:rsidRPr="003B70C5">
        <w:rPr>
          <w:i/>
        </w:rPr>
        <w:t>,</w:t>
      </w:r>
      <w:r w:rsidRPr="003B70C5">
        <w:t xml:space="preserve"> a été publiée en </w:t>
      </w:r>
      <w:r w:rsidR="002B0172" w:rsidRPr="003B70C5">
        <w:t>mai 20</w:t>
      </w:r>
      <w:r w:rsidRPr="003B70C5">
        <w:t>24, avec une date de mise en œuvre au</w:t>
      </w:r>
      <w:r w:rsidR="002B0172" w:rsidRPr="003B70C5">
        <w:t xml:space="preserve"> 1</w:t>
      </w:r>
      <w:r w:rsidR="002B0172" w:rsidRPr="003B70C5">
        <w:rPr>
          <w:vertAlign w:val="superscript"/>
        </w:rPr>
        <w:t>er</w:t>
      </w:r>
      <w:r w:rsidR="002B0172" w:rsidRPr="003B70C5">
        <w:t> janvier 20</w:t>
      </w:r>
      <w:r w:rsidRPr="003B70C5">
        <w:t xml:space="preserve">27. </w:t>
      </w:r>
      <w:r w:rsidR="00E2280F" w:rsidRPr="003B70C5">
        <w:t xml:space="preserve"> </w:t>
      </w:r>
      <w:r w:rsidRPr="003B70C5">
        <w:t>Elle ne devrait pas avoir d</w:t>
      </w:r>
      <w:r w:rsidR="002B0172" w:rsidRPr="003B70C5">
        <w:t>’</w:t>
      </w:r>
      <w:r w:rsidRPr="003B70C5">
        <w:t>incidence sur les états financiers de l</w:t>
      </w:r>
      <w:r w:rsidR="002B0172" w:rsidRPr="003B70C5">
        <w:t>’</w:t>
      </w:r>
      <w:r w:rsidRPr="003B70C5">
        <w:t>Union.</w:t>
      </w:r>
    </w:p>
    <w:p w14:paraId="5F4E94BF" w14:textId="46A2B935" w:rsidR="000C336F" w:rsidRPr="003B70C5" w:rsidRDefault="000C336F" w:rsidP="000C336F"/>
    <w:p w14:paraId="64AD4F35" w14:textId="5AD903F8" w:rsidR="000C336F" w:rsidRPr="003B70C5" w:rsidRDefault="000C336F" w:rsidP="000C336F">
      <w:r w:rsidRPr="003B70C5">
        <w:t xml:space="preserve">La norme IPSAS 51, </w:t>
      </w:r>
      <w:r w:rsidRPr="003B70C5">
        <w:rPr>
          <w:i/>
          <w:iCs/>
        </w:rPr>
        <w:t>Ressources naturelles corporelles détenues à des fins de conservation</w:t>
      </w:r>
      <w:r w:rsidRPr="003B70C5">
        <w:t>, a été publiée en janvier 2026, avec pour date de mise en œuvre le 1</w:t>
      </w:r>
      <w:r w:rsidRPr="003B70C5">
        <w:rPr>
          <w:vertAlign w:val="superscript"/>
        </w:rPr>
        <w:t>er</w:t>
      </w:r>
      <w:r w:rsidRPr="003B70C5">
        <w:t xml:space="preserve"> janvier 2028. </w:t>
      </w:r>
      <w:r w:rsidR="00E2280F" w:rsidRPr="003B70C5">
        <w:t xml:space="preserve"> </w:t>
      </w:r>
      <w:r w:rsidRPr="003B70C5">
        <w:t>Elle ne devrait pas avoir d</w:t>
      </w:r>
      <w:r w:rsidR="002B0172" w:rsidRPr="003B70C5">
        <w:t>’</w:t>
      </w:r>
      <w:r w:rsidRPr="003B70C5">
        <w:t>incidence sur les états financiers de l</w:t>
      </w:r>
      <w:r w:rsidR="002B0172" w:rsidRPr="003B70C5">
        <w:t>’</w:t>
      </w:r>
      <w:r w:rsidRPr="003B70C5">
        <w:t>Union.</w:t>
      </w:r>
    </w:p>
    <w:p w14:paraId="67C48CB4" w14:textId="77777777" w:rsidR="000C336F" w:rsidRPr="003B70C5" w:rsidRDefault="000C336F" w:rsidP="000C336F"/>
    <w:p w14:paraId="7A56B72B" w14:textId="527A1D54" w:rsidR="000C336F" w:rsidRPr="003B70C5" w:rsidRDefault="000C336F" w:rsidP="000C336F">
      <w:r w:rsidRPr="003B70C5">
        <w:t xml:space="preserve">Les modifications des normes IPSAS 43, IPSAS 47 et IPSAS 48, </w:t>
      </w:r>
      <w:r w:rsidRPr="003B70C5">
        <w:rPr>
          <w:i/>
          <w:iCs/>
        </w:rPr>
        <w:t>Baux de concession et autres accords transférant des droits sur des actifs</w:t>
      </w:r>
      <w:r w:rsidRPr="003B70C5">
        <w:t>, ont été publiées en octobre 2024, avec pour date de mise en œuvre le 1</w:t>
      </w:r>
      <w:r w:rsidRPr="003B70C5">
        <w:rPr>
          <w:vertAlign w:val="superscript"/>
        </w:rPr>
        <w:t>er</w:t>
      </w:r>
      <w:r w:rsidRPr="003B70C5">
        <w:t xml:space="preserve"> janvier 2027. </w:t>
      </w:r>
      <w:r w:rsidR="00E2280F" w:rsidRPr="003B70C5">
        <w:t xml:space="preserve"> </w:t>
      </w:r>
      <w:r w:rsidRPr="003B70C5">
        <w:t>L</w:t>
      </w:r>
      <w:r w:rsidR="002B0172" w:rsidRPr="003B70C5">
        <w:t>’</w:t>
      </w:r>
      <w:r w:rsidRPr="003B70C5">
        <w:t>UPOV analyse actuellement les incidences de cette norme.</w:t>
      </w:r>
    </w:p>
    <w:p w14:paraId="6BBDEE65" w14:textId="77777777" w:rsidR="000C336F" w:rsidRPr="003B70C5" w:rsidRDefault="000C336F" w:rsidP="000C336F">
      <w:pPr>
        <w:rPr>
          <w:rFonts w:cs="Arial"/>
          <w:b/>
        </w:rPr>
      </w:pPr>
    </w:p>
    <w:p w14:paraId="706F899B" w14:textId="77777777" w:rsidR="000C336F" w:rsidRPr="003B70C5" w:rsidRDefault="000C336F" w:rsidP="000C336F">
      <w:pPr>
        <w:rPr>
          <w:rFonts w:cs="Arial"/>
          <w:b/>
        </w:rPr>
      </w:pPr>
      <w:r w:rsidRPr="003B70C5">
        <w:rPr>
          <w:b/>
        </w:rPr>
        <w:t>Monnaie étrangère</w:t>
      </w:r>
    </w:p>
    <w:p w14:paraId="01FEF553" w14:textId="77777777" w:rsidR="000C336F" w:rsidRPr="003B70C5" w:rsidRDefault="000C336F" w:rsidP="000C336F">
      <w:pPr>
        <w:rPr>
          <w:rFonts w:cs="Arial"/>
          <w:b/>
        </w:rPr>
      </w:pPr>
    </w:p>
    <w:p w14:paraId="2D1627ED" w14:textId="524CB0F4" w:rsidR="000C336F" w:rsidRPr="003B70C5" w:rsidRDefault="000C336F" w:rsidP="000C336F">
      <w:pPr>
        <w:pStyle w:val="Style3"/>
        <w:spacing w:after="0"/>
        <w:rPr>
          <w:rFonts w:cs="Arial"/>
          <w:sz w:val="20"/>
        </w:rPr>
      </w:pPr>
      <w:r w:rsidRPr="003B70C5">
        <w:rPr>
          <w:sz w:val="20"/>
        </w:rPr>
        <w:t>La monnaie fonctionnelle de l</w:t>
      </w:r>
      <w:r w:rsidR="002B0172" w:rsidRPr="003B70C5">
        <w:rPr>
          <w:sz w:val="20"/>
        </w:rPr>
        <w:t>’</w:t>
      </w:r>
      <w:r w:rsidRPr="003B70C5">
        <w:rPr>
          <w:sz w:val="20"/>
        </w:rPr>
        <w:t>UPOV est le franc suisse et les états financiers sont présentés dans cette monna</w:t>
      </w:r>
      <w:r w:rsidR="00D076B0" w:rsidRPr="003B70C5">
        <w:rPr>
          <w:sz w:val="20"/>
        </w:rPr>
        <w:t>ie.  To</w:t>
      </w:r>
      <w:r w:rsidRPr="003B70C5">
        <w:rPr>
          <w:sz w:val="20"/>
        </w:rPr>
        <w:t>utes les opérations faites dans d</w:t>
      </w:r>
      <w:r w:rsidR="002B0172" w:rsidRPr="003B70C5">
        <w:rPr>
          <w:sz w:val="20"/>
        </w:rPr>
        <w:t>’</w:t>
      </w:r>
      <w:r w:rsidRPr="003B70C5">
        <w:rPr>
          <w:sz w:val="20"/>
        </w:rPr>
        <w:t>autres monnaies sont converties en francs suisses selon le taux de change opérationnel de l</w:t>
      </w:r>
      <w:r w:rsidR="002B0172" w:rsidRPr="003B70C5">
        <w:rPr>
          <w:sz w:val="20"/>
        </w:rPr>
        <w:t>’</w:t>
      </w:r>
      <w:r w:rsidRPr="003B70C5">
        <w:rPr>
          <w:sz w:val="20"/>
        </w:rPr>
        <w:t xml:space="preserve">Organisation des </w:t>
      </w:r>
      <w:r w:rsidR="002B0172" w:rsidRPr="003B70C5">
        <w:rPr>
          <w:sz w:val="20"/>
        </w:rPr>
        <w:t>Nations Unies</w:t>
      </w:r>
      <w:r w:rsidRPr="003B70C5">
        <w:rPr>
          <w:sz w:val="20"/>
        </w:rPr>
        <w:t xml:space="preserve"> en vigueur à la date des opératio</w:t>
      </w:r>
      <w:r w:rsidR="00D076B0" w:rsidRPr="003B70C5">
        <w:rPr>
          <w:sz w:val="20"/>
        </w:rPr>
        <w:t>ns.  Le</w:t>
      </w:r>
      <w:r w:rsidRPr="003B70C5">
        <w:rPr>
          <w:sz w:val="20"/>
        </w:rPr>
        <w:t>s profits comme les pertes, réalisés ou non, qui résultent de la liquidation de ces opérations et de la reconversion, à la date d</w:t>
      </w:r>
      <w:r w:rsidR="002B0172" w:rsidRPr="003B70C5">
        <w:rPr>
          <w:sz w:val="20"/>
        </w:rPr>
        <w:t>’</w:t>
      </w:r>
      <w:r w:rsidRPr="003B70C5">
        <w:rPr>
          <w:sz w:val="20"/>
        </w:rPr>
        <w:t>établissement des états financiers, des actifs et des passifs libellés dans d</w:t>
      </w:r>
      <w:r w:rsidR="002B0172" w:rsidRPr="003B70C5">
        <w:rPr>
          <w:sz w:val="20"/>
        </w:rPr>
        <w:t>’</w:t>
      </w:r>
      <w:r w:rsidRPr="003B70C5">
        <w:rPr>
          <w:sz w:val="20"/>
        </w:rPr>
        <w:t>autres monnaies que la monnaie fonctionnelle de l</w:t>
      </w:r>
      <w:r w:rsidR="002B0172" w:rsidRPr="003B70C5">
        <w:rPr>
          <w:sz w:val="20"/>
        </w:rPr>
        <w:t>’</w:t>
      </w:r>
      <w:r w:rsidRPr="003B70C5">
        <w:rPr>
          <w:sz w:val="20"/>
        </w:rPr>
        <w:t>UPOV, sont comptabilisés dans l</w:t>
      </w:r>
      <w:r w:rsidR="002B0172" w:rsidRPr="003B70C5">
        <w:rPr>
          <w:sz w:val="20"/>
        </w:rPr>
        <w:t>’</w:t>
      </w:r>
      <w:r w:rsidRPr="003B70C5">
        <w:rPr>
          <w:sz w:val="20"/>
        </w:rPr>
        <w:t>état de la performance financière.</w:t>
      </w:r>
    </w:p>
    <w:p w14:paraId="46068079" w14:textId="77777777" w:rsidR="000C336F" w:rsidRPr="003B70C5" w:rsidRDefault="000C336F" w:rsidP="000C336F">
      <w:pPr>
        <w:pStyle w:val="Style3"/>
        <w:spacing w:after="0"/>
        <w:rPr>
          <w:rFonts w:cs="Arial"/>
          <w:sz w:val="20"/>
        </w:rPr>
      </w:pPr>
    </w:p>
    <w:p w14:paraId="027B767B" w14:textId="77777777" w:rsidR="000C336F" w:rsidRPr="003B70C5" w:rsidRDefault="000C336F" w:rsidP="000C336F">
      <w:pPr>
        <w:pStyle w:val="Style3"/>
        <w:rPr>
          <w:rFonts w:cs="Arial"/>
          <w:b/>
          <w:sz w:val="20"/>
        </w:rPr>
      </w:pPr>
      <w:r w:rsidRPr="003B70C5">
        <w:rPr>
          <w:b/>
          <w:sz w:val="20"/>
        </w:rPr>
        <w:t>Information sectorielle</w:t>
      </w:r>
    </w:p>
    <w:p w14:paraId="6847991D" w14:textId="62FFE0E0" w:rsidR="002B0172" w:rsidRPr="003B70C5" w:rsidRDefault="000C336F" w:rsidP="000C336F">
      <w:pPr>
        <w:pStyle w:val="Style3"/>
        <w:spacing w:after="0"/>
        <w:rPr>
          <w:sz w:val="20"/>
        </w:rPr>
      </w:pPr>
      <w:r w:rsidRPr="003B70C5">
        <w:rPr>
          <w:sz w:val="20"/>
        </w:rPr>
        <w:t>Un secteur est une activité distincte ou un groupe d</w:t>
      </w:r>
      <w:r w:rsidR="002B0172" w:rsidRPr="003B70C5">
        <w:rPr>
          <w:sz w:val="20"/>
        </w:rPr>
        <w:t>’</w:t>
      </w:r>
      <w:r w:rsidRPr="003B70C5">
        <w:rPr>
          <w:sz w:val="20"/>
        </w:rPr>
        <w:t>activités pour laquelle/lesquelles il est approprié de publier des informations financières séparé</w:t>
      </w:r>
      <w:r w:rsidR="00D076B0" w:rsidRPr="003B70C5">
        <w:rPr>
          <w:sz w:val="20"/>
        </w:rPr>
        <w:t xml:space="preserve">es.  À </w:t>
      </w:r>
      <w:r w:rsidRPr="003B70C5">
        <w:rPr>
          <w:sz w:val="20"/>
        </w:rPr>
        <w:t>l</w:t>
      </w:r>
      <w:r w:rsidR="002B0172" w:rsidRPr="003B70C5">
        <w:rPr>
          <w:sz w:val="20"/>
        </w:rPr>
        <w:t>’</w:t>
      </w:r>
      <w:r w:rsidRPr="003B70C5">
        <w:rPr>
          <w:sz w:val="20"/>
        </w:rPr>
        <w:t>UPOV, l</w:t>
      </w:r>
      <w:r w:rsidR="002B0172" w:rsidRPr="003B70C5">
        <w:rPr>
          <w:sz w:val="20"/>
        </w:rPr>
        <w:t>’</w:t>
      </w:r>
      <w:r w:rsidRPr="003B70C5">
        <w:rPr>
          <w:sz w:val="20"/>
        </w:rPr>
        <w:t>information sectorielle est fondée sur les principales activités et sources de financement de l</w:t>
      </w:r>
      <w:r w:rsidR="002B0172" w:rsidRPr="003B70C5">
        <w:rPr>
          <w:sz w:val="20"/>
        </w:rPr>
        <w:t>’</w:t>
      </w:r>
      <w:r w:rsidRPr="003B70C5">
        <w:rPr>
          <w:sz w:val="20"/>
        </w:rPr>
        <w:t>U</w:t>
      </w:r>
      <w:r w:rsidR="00D076B0" w:rsidRPr="003B70C5">
        <w:rPr>
          <w:sz w:val="20"/>
        </w:rPr>
        <w:t>POV.  De</w:t>
      </w:r>
      <w:r w:rsidRPr="003B70C5">
        <w:rPr>
          <w:sz w:val="20"/>
        </w:rPr>
        <w:t xml:space="preserve"> ce fait, l</w:t>
      </w:r>
      <w:r w:rsidR="002B0172" w:rsidRPr="003B70C5">
        <w:rPr>
          <w:sz w:val="20"/>
        </w:rPr>
        <w:t>’</w:t>
      </w:r>
      <w:r w:rsidRPr="003B70C5">
        <w:rPr>
          <w:sz w:val="20"/>
        </w:rPr>
        <w:t>UPOV publie des informations financières distinctes pour deux secteurs</w:t>
      </w:r>
      <w:r w:rsidR="002B0172" w:rsidRPr="003B70C5">
        <w:rPr>
          <w:sz w:val="20"/>
        </w:rPr>
        <w:t> :</w:t>
      </w:r>
      <w:r w:rsidRPr="003B70C5">
        <w:rPr>
          <w:sz w:val="20"/>
        </w:rPr>
        <w:t xml:space="preserve"> 1) le programme et budget ordinaire;  et 2) les fonds fiduciair</w:t>
      </w:r>
      <w:r w:rsidR="00D076B0" w:rsidRPr="003B70C5">
        <w:rPr>
          <w:sz w:val="20"/>
        </w:rPr>
        <w:t>es.  Le</w:t>
      </w:r>
      <w:r w:rsidRPr="003B70C5">
        <w:rPr>
          <w:sz w:val="20"/>
        </w:rPr>
        <w:t>s résultats de l</w:t>
      </w:r>
      <w:r w:rsidR="002B0172" w:rsidRPr="003B70C5">
        <w:rPr>
          <w:sz w:val="20"/>
        </w:rPr>
        <w:t>’</w:t>
      </w:r>
      <w:r w:rsidRPr="003B70C5">
        <w:rPr>
          <w:sz w:val="20"/>
        </w:rPr>
        <w:t>UPOV par secteur sont présentés dans les notes 13 et 14.</w:t>
      </w:r>
      <w:r w:rsidR="00E2280F" w:rsidRPr="003B70C5">
        <w:rPr>
          <w:sz w:val="20"/>
        </w:rPr>
        <w:t xml:space="preserve"> </w:t>
      </w:r>
      <w:r w:rsidRPr="003B70C5">
        <w:rPr>
          <w:sz w:val="20"/>
        </w:rPr>
        <w:t xml:space="preserve"> Étant donné que les actifs et les passifs de l</w:t>
      </w:r>
      <w:r w:rsidR="002B0172" w:rsidRPr="003B70C5">
        <w:rPr>
          <w:sz w:val="20"/>
        </w:rPr>
        <w:t>’</w:t>
      </w:r>
      <w:r w:rsidRPr="003B70C5">
        <w:rPr>
          <w:sz w:val="20"/>
        </w:rPr>
        <w:t>UPOV ne sont pas gérés par segment, ces informations ne sont pas présentées dans les notes relatives aux états financiers.</w:t>
      </w:r>
    </w:p>
    <w:p w14:paraId="36DAFDD0" w14:textId="60383B4B" w:rsidR="000C336F" w:rsidRPr="003B70C5" w:rsidRDefault="000C336F" w:rsidP="000C336F">
      <w:pPr>
        <w:pStyle w:val="Style3"/>
        <w:spacing w:after="0"/>
      </w:pPr>
    </w:p>
    <w:p w14:paraId="0A47DF32" w14:textId="77777777" w:rsidR="000C336F" w:rsidRPr="003B70C5" w:rsidRDefault="000C336F" w:rsidP="000C336F">
      <w:pPr>
        <w:rPr>
          <w:rFonts w:cs="Arial"/>
          <w:b/>
        </w:rPr>
      </w:pPr>
      <w:r w:rsidRPr="003B70C5">
        <w:rPr>
          <w:b/>
        </w:rPr>
        <w:t>Trésorerie et équivalents de trésorerie</w:t>
      </w:r>
    </w:p>
    <w:p w14:paraId="024A3159" w14:textId="77777777" w:rsidR="000C336F" w:rsidRPr="003B70C5" w:rsidRDefault="000C336F" w:rsidP="000C336F">
      <w:pPr>
        <w:rPr>
          <w:rFonts w:cs="Arial"/>
        </w:rPr>
      </w:pPr>
    </w:p>
    <w:p w14:paraId="7353CEF0" w14:textId="1E2636DB" w:rsidR="000C336F" w:rsidRPr="003B70C5" w:rsidRDefault="000C336F" w:rsidP="000C336F">
      <w:pPr>
        <w:rPr>
          <w:rFonts w:cs="Arial"/>
        </w:rPr>
      </w:pPr>
      <w:r w:rsidRPr="003B70C5">
        <w:t>La trésorerie et les équivalents de trésorerie incluent les fonds en caisse, les dépôts sur des comptes bancaires courants, les dépôts détenus jusqu</w:t>
      </w:r>
      <w:r w:rsidR="002B0172" w:rsidRPr="003B70C5">
        <w:t>’</w:t>
      </w:r>
      <w:r w:rsidRPr="003B70C5">
        <w:t>à 90 jours et d</w:t>
      </w:r>
      <w:r w:rsidR="002B0172" w:rsidRPr="003B70C5">
        <w:t>’</w:t>
      </w:r>
      <w:r w:rsidRPr="003B70C5">
        <w:t>autres placements à court terme très liquides qui sont facilement convertibles en espèces et soumis à un risque négligeable de changement de valeur.</w:t>
      </w:r>
    </w:p>
    <w:p w14:paraId="7136C273" w14:textId="77777777" w:rsidR="000C336F" w:rsidRPr="003B70C5" w:rsidRDefault="000C336F" w:rsidP="000C336F">
      <w:pPr>
        <w:jc w:val="left"/>
        <w:rPr>
          <w:rFonts w:cs="Arial"/>
          <w:b/>
        </w:rPr>
      </w:pPr>
    </w:p>
    <w:p w14:paraId="0064B8BB" w14:textId="77777777" w:rsidR="000C336F" w:rsidRPr="003B70C5" w:rsidRDefault="000C336F" w:rsidP="000C336F">
      <w:pPr>
        <w:rPr>
          <w:rFonts w:cs="Arial"/>
          <w:b/>
        </w:rPr>
      </w:pPr>
      <w:r w:rsidRPr="003B70C5">
        <w:rPr>
          <w:b/>
        </w:rPr>
        <w:lastRenderedPageBreak/>
        <w:t>Créances</w:t>
      </w:r>
    </w:p>
    <w:p w14:paraId="330F7D41" w14:textId="77777777" w:rsidR="000C336F" w:rsidRPr="003B70C5" w:rsidRDefault="000C336F" w:rsidP="000C336F">
      <w:pPr>
        <w:rPr>
          <w:rFonts w:cs="Arial"/>
          <w:b/>
        </w:rPr>
      </w:pPr>
    </w:p>
    <w:p w14:paraId="7444FD9B" w14:textId="27D2B7C7" w:rsidR="000C336F" w:rsidRPr="003B70C5" w:rsidRDefault="000C336F" w:rsidP="000C336F">
      <w:pPr>
        <w:pStyle w:val="Style3"/>
        <w:spacing w:after="0"/>
        <w:rPr>
          <w:rFonts w:cs="Arial"/>
          <w:sz w:val="20"/>
        </w:rPr>
      </w:pPr>
      <w:r w:rsidRPr="003B70C5">
        <w:rPr>
          <w:sz w:val="20"/>
        </w:rPr>
        <w:t>Les contributions sont comptabilisées dans les produits au début de l</w:t>
      </w:r>
      <w:r w:rsidR="002B0172" w:rsidRPr="003B70C5">
        <w:rPr>
          <w:sz w:val="20"/>
        </w:rPr>
        <w:t>’</w:t>
      </w:r>
      <w:r w:rsidRPr="003B70C5">
        <w:rPr>
          <w:sz w:val="20"/>
        </w:rPr>
        <w:t>année financiè</w:t>
      </w:r>
      <w:r w:rsidR="00D076B0" w:rsidRPr="003B70C5">
        <w:rPr>
          <w:sz w:val="20"/>
        </w:rPr>
        <w:t>re.  Un</w:t>
      </w:r>
      <w:r w:rsidRPr="003B70C5">
        <w:rPr>
          <w:sz w:val="20"/>
        </w:rPr>
        <w:t>e indemnité pour pertes, égale aux arriérés de contributions pour les années antérieures au dernier exercice biennal, est intégralement comptabilisée pour tout membre redevable d</w:t>
      </w:r>
      <w:r w:rsidR="002B0172" w:rsidRPr="003B70C5">
        <w:rPr>
          <w:sz w:val="20"/>
        </w:rPr>
        <w:t>’</w:t>
      </w:r>
      <w:r w:rsidRPr="003B70C5">
        <w:rPr>
          <w:sz w:val="20"/>
        </w:rPr>
        <w:t>une contribution.</w:t>
      </w:r>
    </w:p>
    <w:p w14:paraId="15C2071E" w14:textId="77777777" w:rsidR="000C336F" w:rsidRPr="003B70C5" w:rsidRDefault="000C336F" w:rsidP="000C336F">
      <w:pPr>
        <w:rPr>
          <w:rFonts w:cs="Arial"/>
        </w:rPr>
      </w:pPr>
    </w:p>
    <w:p w14:paraId="4F97BB47" w14:textId="77777777" w:rsidR="000C336F" w:rsidRPr="003B70C5" w:rsidRDefault="000C336F" w:rsidP="000C336F">
      <w:pPr>
        <w:jc w:val="left"/>
        <w:rPr>
          <w:rFonts w:cs="Arial"/>
          <w:b/>
        </w:rPr>
      </w:pPr>
      <w:r w:rsidRPr="003B70C5">
        <w:rPr>
          <w:b/>
        </w:rPr>
        <w:t>Équipement</w:t>
      </w:r>
    </w:p>
    <w:p w14:paraId="0AF8612C" w14:textId="77777777" w:rsidR="000C336F" w:rsidRPr="003B70C5" w:rsidRDefault="000C336F" w:rsidP="000C336F">
      <w:pPr>
        <w:rPr>
          <w:rFonts w:cs="Arial"/>
          <w:b/>
        </w:rPr>
      </w:pPr>
    </w:p>
    <w:p w14:paraId="75B4884F" w14:textId="4B370E0D" w:rsidR="000C336F" w:rsidRPr="003B70C5" w:rsidRDefault="000C336F" w:rsidP="000C336F">
      <w:pPr>
        <w:pStyle w:val="Style3"/>
        <w:spacing w:after="0"/>
        <w:rPr>
          <w:rFonts w:cs="Arial"/>
          <w:sz w:val="20"/>
        </w:rPr>
      </w:pPr>
      <w:r w:rsidRPr="003B70C5">
        <w:rPr>
          <w:sz w:val="20"/>
        </w:rPr>
        <w:t>L</w:t>
      </w:r>
      <w:r w:rsidR="002B0172" w:rsidRPr="003B70C5">
        <w:rPr>
          <w:sz w:val="20"/>
        </w:rPr>
        <w:t>’</w:t>
      </w:r>
      <w:r w:rsidRPr="003B70C5">
        <w:rPr>
          <w:sz w:val="20"/>
        </w:rPr>
        <w:t>équipement est évalué à la valeur d</w:t>
      </w:r>
      <w:r w:rsidR="002B0172" w:rsidRPr="003B70C5">
        <w:rPr>
          <w:sz w:val="20"/>
        </w:rPr>
        <w:t>’</w:t>
      </w:r>
      <w:r w:rsidRPr="003B70C5">
        <w:rPr>
          <w:sz w:val="20"/>
        </w:rPr>
        <w:t>achat diminuée de l</w:t>
      </w:r>
      <w:r w:rsidR="002B0172" w:rsidRPr="003B70C5">
        <w:rPr>
          <w:sz w:val="20"/>
        </w:rPr>
        <w:t>’</w:t>
      </w:r>
      <w:r w:rsidRPr="003B70C5">
        <w:rPr>
          <w:sz w:val="20"/>
        </w:rPr>
        <w:t>amortissement et de la dépréciation cumul</w:t>
      </w:r>
      <w:r w:rsidR="00D076B0" w:rsidRPr="003B70C5">
        <w:rPr>
          <w:sz w:val="20"/>
        </w:rPr>
        <w:t>és.  L’é</w:t>
      </w:r>
      <w:r w:rsidRPr="003B70C5">
        <w:rPr>
          <w:sz w:val="20"/>
        </w:rPr>
        <w:t>quipement est comptabilisé en tant qu</w:t>
      </w:r>
      <w:r w:rsidR="002B0172" w:rsidRPr="003B70C5">
        <w:rPr>
          <w:sz w:val="20"/>
        </w:rPr>
        <w:t>’</w:t>
      </w:r>
      <w:r w:rsidRPr="003B70C5">
        <w:rPr>
          <w:sz w:val="20"/>
        </w:rPr>
        <w:t>immobilisation si son coût unitaire est supérieur ou égal à 10 000 francs suiss</w:t>
      </w:r>
      <w:r w:rsidR="00D076B0" w:rsidRPr="003B70C5">
        <w:rPr>
          <w:sz w:val="20"/>
        </w:rPr>
        <w:t>es.  Au</w:t>
      </w:r>
      <w:r w:rsidRPr="003B70C5">
        <w:rPr>
          <w:sz w:val="20"/>
        </w:rPr>
        <w:t xml:space="preserve"> 31 </w:t>
      </w:r>
      <w:r w:rsidR="002B0172" w:rsidRPr="003B70C5">
        <w:rPr>
          <w:sz w:val="20"/>
        </w:rPr>
        <w:t>décembre 20</w:t>
      </w:r>
      <w:r w:rsidRPr="003B70C5">
        <w:rPr>
          <w:sz w:val="20"/>
        </w:rPr>
        <w:t>25, aucun élément n</w:t>
      </w:r>
      <w:r w:rsidR="002B0172" w:rsidRPr="003B70C5">
        <w:rPr>
          <w:sz w:val="20"/>
        </w:rPr>
        <w:t>’</w:t>
      </w:r>
      <w:r w:rsidRPr="003B70C5">
        <w:rPr>
          <w:sz w:val="20"/>
        </w:rPr>
        <w:t>était comptabilisé au titre de l</w:t>
      </w:r>
      <w:r w:rsidR="002B0172" w:rsidRPr="003B70C5">
        <w:rPr>
          <w:sz w:val="20"/>
        </w:rPr>
        <w:t>’</w:t>
      </w:r>
      <w:r w:rsidRPr="003B70C5">
        <w:rPr>
          <w:sz w:val="20"/>
        </w:rPr>
        <w:t>équipement.</w:t>
      </w:r>
    </w:p>
    <w:p w14:paraId="29DE28CD" w14:textId="77777777" w:rsidR="000C336F" w:rsidRPr="003B70C5" w:rsidRDefault="000C336F" w:rsidP="000C336F">
      <w:pPr>
        <w:jc w:val="left"/>
        <w:rPr>
          <w:rFonts w:cs="Arial"/>
          <w:b/>
        </w:rPr>
      </w:pPr>
    </w:p>
    <w:p w14:paraId="4ACFFBBE" w14:textId="77777777" w:rsidR="000C336F" w:rsidRPr="003B70C5" w:rsidRDefault="000C336F" w:rsidP="000C336F">
      <w:pPr>
        <w:pStyle w:val="Style3"/>
        <w:spacing w:after="0"/>
        <w:rPr>
          <w:rFonts w:cs="Arial"/>
          <w:sz w:val="20"/>
        </w:rPr>
      </w:pPr>
      <w:r w:rsidRPr="003B70C5">
        <w:rPr>
          <w:b/>
          <w:sz w:val="20"/>
        </w:rPr>
        <w:t>Immobilisations incorporelles</w:t>
      </w:r>
    </w:p>
    <w:p w14:paraId="27F97580" w14:textId="77777777" w:rsidR="000C336F" w:rsidRPr="003B70C5" w:rsidRDefault="000C336F" w:rsidP="000C336F">
      <w:pPr>
        <w:pStyle w:val="Style3"/>
        <w:spacing w:after="0"/>
        <w:rPr>
          <w:rFonts w:cs="Arial"/>
          <w:b/>
          <w:sz w:val="20"/>
        </w:rPr>
      </w:pPr>
    </w:p>
    <w:p w14:paraId="281D824C" w14:textId="428E82C6" w:rsidR="000C336F" w:rsidRPr="003B70C5" w:rsidRDefault="000C336F" w:rsidP="000C336F">
      <w:pPr>
        <w:pStyle w:val="Style3"/>
        <w:spacing w:after="0"/>
        <w:rPr>
          <w:rFonts w:cs="Arial"/>
          <w:i/>
          <w:sz w:val="20"/>
        </w:rPr>
      </w:pPr>
      <w:r w:rsidRPr="003B70C5">
        <w:rPr>
          <w:sz w:val="20"/>
        </w:rPr>
        <w:t>Les immobilisations incorporelles sont comptabilisées selon leur coût, minoré de l</w:t>
      </w:r>
      <w:r w:rsidR="002B0172" w:rsidRPr="003B70C5">
        <w:rPr>
          <w:sz w:val="20"/>
        </w:rPr>
        <w:t>’</w:t>
      </w:r>
      <w:r w:rsidRPr="003B70C5">
        <w:rPr>
          <w:sz w:val="20"/>
        </w:rPr>
        <w:t>amortissement cumulé et des pertes de valeur cumulé</w:t>
      </w:r>
      <w:r w:rsidR="00D076B0" w:rsidRPr="003B70C5">
        <w:rPr>
          <w:sz w:val="20"/>
        </w:rPr>
        <w:t>es.  Le</w:t>
      </w:r>
      <w:r w:rsidRPr="003B70C5">
        <w:rPr>
          <w:sz w:val="20"/>
        </w:rPr>
        <w:t>s licences de logiciels informatiques acquises sont comptabilisées sur la base des coûts engagés pour acquérir lesdits logiciels et les utilis</w:t>
      </w:r>
      <w:r w:rsidR="00D076B0" w:rsidRPr="003B70C5">
        <w:rPr>
          <w:sz w:val="20"/>
        </w:rPr>
        <w:t>er.  Le</w:t>
      </w:r>
      <w:r w:rsidRPr="003B70C5">
        <w:rPr>
          <w:sz w:val="20"/>
        </w:rPr>
        <w:t>s coûts directement liés au développement de logiciels destinés à être utilisés par l</w:t>
      </w:r>
      <w:r w:rsidR="002B0172" w:rsidRPr="003B70C5">
        <w:rPr>
          <w:sz w:val="20"/>
        </w:rPr>
        <w:t>’</w:t>
      </w:r>
      <w:r w:rsidRPr="003B70C5">
        <w:rPr>
          <w:sz w:val="20"/>
        </w:rPr>
        <w:t>UPOV sont comptabilisés en tant qu</w:t>
      </w:r>
      <w:r w:rsidR="002B0172" w:rsidRPr="003B70C5">
        <w:rPr>
          <w:sz w:val="20"/>
        </w:rPr>
        <w:t>’</w:t>
      </w:r>
      <w:r w:rsidRPr="003B70C5">
        <w:rPr>
          <w:sz w:val="20"/>
        </w:rPr>
        <w:t>actifs incorporels si les critères de comptabilisation au titre de la norme</w:t>
      </w:r>
      <w:r w:rsidR="00E2280F" w:rsidRPr="003B70C5">
        <w:rPr>
          <w:sz w:val="20"/>
        </w:rPr>
        <w:t> </w:t>
      </w:r>
      <w:r w:rsidRPr="003B70C5">
        <w:rPr>
          <w:sz w:val="20"/>
        </w:rPr>
        <w:t>IPSAS 31 sont rempl</w:t>
      </w:r>
      <w:r w:rsidR="00D076B0" w:rsidRPr="003B70C5">
        <w:rPr>
          <w:sz w:val="20"/>
        </w:rPr>
        <w:t>is.  Le</w:t>
      </w:r>
      <w:r w:rsidRPr="003B70C5">
        <w:rPr>
          <w:sz w:val="20"/>
        </w:rPr>
        <w:t>s coûts directs incluent les coûts du personnel chargé du développement des logicie</w:t>
      </w:r>
      <w:r w:rsidR="00D076B0" w:rsidRPr="003B70C5">
        <w:rPr>
          <w:sz w:val="20"/>
        </w:rPr>
        <w:t>ls.  Au</w:t>
      </w:r>
      <w:r w:rsidRPr="003B70C5">
        <w:rPr>
          <w:sz w:val="20"/>
        </w:rPr>
        <w:t xml:space="preserve"> 31 </w:t>
      </w:r>
      <w:r w:rsidR="002B0172" w:rsidRPr="003B70C5">
        <w:rPr>
          <w:sz w:val="20"/>
        </w:rPr>
        <w:t>décembre 20</w:t>
      </w:r>
      <w:r w:rsidRPr="003B70C5">
        <w:rPr>
          <w:sz w:val="20"/>
        </w:rPr>
        <w:t>25, aucun coût n</w:t>
      </w:r>
      <w:r w:rsidR="002B0172" w:rsidRPr="003B70C5">
        <w:rPr>
          <w:sz w:val="20"/>
        </w:rPr>
        <w:t>’</w:t>
      </w:r>
      <w:r w:rsidRPr="003B70C5">
        <w:rPr>
          <w:sz w:val="20"/>
        </w:rPr>
        <w:t>a été comptabilisé comme immobilisation incorporelle.</w:t>
      </w:r>
    </w:p>
    <w:p w14:paraId="0F1C6C70" w14:textId="77777777" w:rsidR="000C336F" w:rsidRPr="003B70C5" w:rsidRDefault="000C336F" w:rsidP="000C336F">
      <w:pPr>
        <w:pStyle w:val="Style3Bold"/>
        <w:spacing w:after="0"/>
        <w:rPr>
          <w:rFonts w:cs="Arial"/>
          <w:i/>
        </w:rPr>
      </w:pPr>
    </w:p>
    <w:p w14:paraId="5078BB76" w14:textId="77777777" w:rsidR="000C336F" w:rsidRPr="003B70C5" w:rsidRDefault="000C336F" w:rsidP="000C336F">
      <w:pPr>
        <w:pStyle w:val="Style3Bold"/>
        <w:spacing w:after="0"/>
        <w:rPr>
          <w:rFonts w:cs="Arial"/>
          <w:sz w:val="20"/>
        </w:rPr>
      </w:pPr>
      <w:r w:rsidRPr="003B70C5">
        <w:rPr>
          <w:sz w:val="20"/>
        </w:rPr>
        <w:t>Prestations au personnel</w:t>
      </w:r>
    </w:p>
    <w:p w14:paraId="42BC6F3D" w14:textId="77777777" w:rsidR="000C336F" w:rsidRPr="003B70C5" w:rsidRDefault="000C336F" w:rsidP="000C336F">
      <w:pPr>
        <w:pStyle w:val="Style3"/>
        <w:spacing w:after="0"/>
        <w:rPr>
          <w:rFonts w:cs="Arial"/>
          <w:sz w:val="20"/>
        </w:rPr>
      </w:pPr>
    </w:p>
    <w:p w14:paraId="52045B0A" w14:textId="3F055C99" w:rsidR="000C336F" w:rsidRPr="003B70C5" w:rsidRDefault="000C336F" w:rsidP="000C336F">
      <w:pPr>
        <w:rPr>
          <w:rFonts w:cs="Arial"/>
        </w:rPr>
      </w:pPr>
      <w:r w:rsidRPr="003B70C5">
        <w:t>Des provisions sont constituées pour l</w:t>
      </w:r>
      <w:r w:rsidR="002B0172" w:rsidRPr="003B70C5">
        <w:t>’</w:t>
      </w:r>
      <w:r w:rsidRPr="003B70C5">
        <w:t>assurance maladie après la cessation de service (AMCS), les primes de rapatriement et les voyages, ainsi que les jours de congé annuel accumulés à long terme, définies par un actuaire indépendant sur une base annuelle selon la méthode des unités de crédit projeté</w:t>
      </w:r>
      <w:r w:rsidR="00D076B0" w:rsidRPr="003B70C5">
        <w:t>es.  L’o</w:t>
      </w:r>
      <w:r w:rsidRPr="003B70C5">
        <w:t>bligation au titre de l</w:t>
      </w:r>
      <w:r w:rsidR="002B0172" w:rsidRPr="003B70C5">
        <w:t>’</w:t>
      </w:r>
      <w:r w:rsidRPr="003B70C5">
        <w:t>AMCS est présentée déduction faite de la juste valeur des actifs du régime et les gains et pertes actuariels sont comptabilisés dans les actifs ne</w:t>
      </w:r>
      <w:r w:rsidR="00D076B0" w:rsidRPr="003B70C5">
        <w:t>ts.  En</w:t>
      </w:r>
      <w:r w:rsidRPr="003B70C5">
        <w:t xml:space="preserve"> outre, des provisions sont constituées pour les jours de congé annuel accumulés à court terme, les congés dans les foyers différés, les heures supplémentaires réalisées mais non payées, la cessation de service, les récompenses visant à valoriser les performances du personnel et les indemnités pour frais d</w:t>
      </w:r>
      <w:r w:rsidR="002B0172" w:rsidRPr="003B70C5">
        <w:t>’</w:t>
      </w:r>
      <w:r w:rsidRPr="003B70C5">
        <w:t>études payables à la date d</w:t>
      </w:r>
      <w:r w:rsidR="002B0172" w:rsidRPr="003B70C5">
        <w:t>’</w:t>
      </w:r>
      <w:r w:rsidRPr="003B70C5">
        <w:t>établissement des états financiers qui n</w:t>
      </w:r>
      <w:r w:rsidR="002B0172" w:rsidRPr="003B70C5">
        <w:t>’</w:t>
      </w:r>
      <w:r w:rsidRPr="003B70C5">
        <w:t>ont pas été comptabilisés dans les dépenses courant</w:t>
      </w:r>
      <w:r w:rsidR="00D076B0" w:rsidRPr="003B70C5">
        <w:t>es.  Le</w:t>
      </w:r>
      <w:r w:rsidRPr="003B70C5">
        <w:t>s avances d</w:t>
      </w:r>
      <w:r w:rsidR="002B0172" w:rsidRPr="003B70C5">
        <w:t>’</w:t>
      </w:r>
      <w:r w:rsidRPr="003B70C5">
        <w:t>indemnités pour frais d</w:t>
      </w:r>
      <w:r w:rsidR="002B0172" w:rsidRPr="003B70C5">
        <w:t>’</w:t>
      </w:r>
      <w:r w:rsidRPr="003B70C5">
        <w:t>études versées au personnel de l</w:t>
      </w:r>
      <w:r w:rsidR="002B0172" w:rsidRPr="003B70C5">
        <w:t>’</w:t>
      </w:r>
      <w:r w:rsidRPr="003B70C5">
        <w:t>UPOV sont approuvées par l</w:t>
      </w:r>
      <w:r w:rsidR="002B0172" w:rsidRPr="003B70C5">
        <w:t>’</w:t>
      </w:r>
      <w:r w:rsidRPr="003B70C5">
        <w:t>OMPI et imputées à l</w:t>
      </w:r>
      <w:r w:rsidR="002B0172" w:rsidRPr="003B70C5">
        <w:t>’</w:t>
      </w:r>
      <w:r w:rsidRPr="003B70C5">
        <w:t>UPOV au cours de l</w:t>
      </w:r>
      <w:r w:rsidR="002B0172" w:rsidRPr="003B70C5">
        <w:t>’</w:t>
      </w:r>
      <w:r w:rsidRPr="003B70C5">
        <w:t>année scolai</w:t>
      </w:r>
      <w:r w:rsidR="00D076B0" w:rsidRPr="003B70C5">
        <w:t>re.  Au</w:t>
      </w:r>
      <w:r w:rsidRPr="003B70C5">
        <w:t xml:space="preserve"> 31 </w:t>
      </w:r>
      <w:r w:rsidR="002B0172" w:rsidRPr="003B70C5">
        <w:t>décembre 20</w:t>
      </w:r>
      <w:r w:rsidRPr="003B70C5">
        <w:t>25, l</w:t>
      </w:r>
      <w:r w:rsidR="002B0172" w:rsidRPr="003B70C5">
        <w:t>’</w:t>
      </w:r>
      <w:r w:rsidRPr="003B70C5">
        <w:t>OMPI avait avancé 102 353 francs suisses au personnel de l</w:t>
      </w:r>
      <w:r w:rsidR="002B0172" w:rsidRPr="003B70C5">
        <w:t>’</w:t>
      </w:r>
      <w:r w:rsidRPr="003B70C5">
        <w:t>UPOV au titre des bourses d</w:t>
      </w:r>
      <w:r w:rsidR="002B0172" w:rsidRPr="003B70C5">
        <w:t>’</w:t>
      </w:r>
      <w:r w:rsidRPr="003B70C5">
        <w:t>études pour l</w:t>
      </w:r>
      <w:r w:rsidR="002B0172" w:rsidRPr="003B70C5">
        <w:t>’</w:t>
      </w:r>
      <w:r w:rsidRPr="003B70C5">
        <w:t>année scolaire 2025</w:t>
      </w:r>
      <w:r w:rsidR="002B0172" w:rsidRPr="003B70C5">
        <w:t>-</w:t>
      </w:r>
      <w:r w:rsidRPr="003B70C5">
        <w:t>2026.</w:t>
      </w:r>
    </w:p>
    <w:p w14:paraId="0C256D58" w14:textId="77777777" w:rsidR="000C336F" w:rsidRPr="003B70C5" w:rsidRDefault="000C336F" w:rsidP="000C336F">
      <w:pPr>
        <w:rPr>
          <w:rFonts w:cs="Arial"/>
        </w:rPr>
      </w:pPr>
    </w:p>
    <w:p w14:paraId="12E0933A" w14:textId="2DF41D98" w:rsidR="000C336F" w:rsidRPr="003B70C5" w:rsidRDefault="000C336F" w:rsidP="000C336F">
      <w:pPr>
        <w:rPr>
          <w:rFonts w:cs="Arial"/>
        </w:rPr>
      </w:pPr>
      <w:r w:rsidRPr="003B70C5">
        <w:t>En application de l</w:t>
      </w:r>
      <w:r w:rsidR="002B0172" w:rsidRPr="003B70C5">
        <w:t>’</w:t>
      </w:r>
      <w:r w:rsidRPr="003B70C5">
        <w:t>Accord OMPI/UPOV du 26 </w:t>
      </w:r>
      <w:r w:rsidR="002B0172" w:rsidRPr="003B70C5">
        <w:t>novembre 19</w:t>
      </w:r>
      <w:r w:rsidRPr="003B70C5">
        <w:t>82, l</w:t>
      </w:r>
      <w:r w:rsidR="002B0172" w:rsidRPr="003B70C5">
        <w:t>’</w:t>
      </w:r>
      <w:r w:rsidRPr="003B70C5">
        <w:t xml:space="preserve">UPOV est une organisation affiliée à la Caisse commune des pensions du personnel des </w:t>
      </w:r>
      <w:r w:rsidR="002B0172" w:rsidRPr="003B70C5">
        <w:t>Nations Unies</w:t>
      </w:r>
      <w:r w:rsidRPr="003B70C5">
        <w:t xml:space="preserve"> (“la Caisse”), créée par l</w:t>
      </w:r>
      <w:r w:rsidR="002B0172" w:rsidRPr="003B70C5">
        <w:t>’</w:t>
      </w:r>
      <w:r w:rsidRPr="003B70C5">
        <w:t xml:space="preserve">Assemblée générale des </w:t>
      </w:r>
      <w:r w:rsidR="002B0172" w:rsidRPr="003B70C5">
        <w:t>Nations Unies</w:t>
      </w:r>
      <w:r w:rsidRPr="003B70C5">
        <w:t xml:space="preserve"> pour assurer des prestations de retraite, de décès ou d</w:t>
      </w:r>
      <w:r w:rsidR="002B0172" w:rsidRPr="003B70C5">
        <w:t>’</w:t>
      </w:r>
      <w:r w:rsidRPr="003B70C5">
        <w:t>invalidité et des prestations connex</w:t>
      </w:r>
      <w:r w:rsidR="00D076B0" w:rsidRPr="003B70C5">
        <w:t>es.  La</w:t>
      </w:r>
      <w:r w:rsidRPr="003B70C5">
        <w:t xml:space="preserve"> Caisse est une caisse à capitalisation finançant des prestations définies; </w:t>
      </w:r>
      <w:r w:rsidR="00E2280F" w:rsidRPr="003B70C5">
        <w:t xml:space="preserve"> </w:t>
      </w:r>
      <w:r w:rsidRPr="003B70C5">
        <w:t>elle est financée par de nombreux employeu</w:t>
      </w:r>
      <w:r w:rsidR="00D076B0" w:rsidRPr="003B70C5">
        <w:t>rs.  Ai</w:t>
      </w:r>
      <w:r w:rsidRPr="003B70C5">
        <w:t>nsi qu</w:t>
      </w:r>
      <w:r w:rsidR="002B0172" w:rsidRPr="003B70C5">
        <w:t>’</w:t>
      </w:r>
      <w:r w:rsidRPr="003B70C5">
        <w:t>il est indiqué à l</w:t>
      </w:r>
      <w:r w:rsidR="002B0172" w:rsidRPr="003B70C5">
        <w:t>’</w:t>
      </w:r>
      <w:r w:rsidRPr="003B70C5">
        <w:t>article 3.b) du règlement de la Caisse des pensions, peuvent s</w:t>
      </w:r>
      <w:r w:rsidR="002B0172" w:rsidRPr="003B70C5">
        <w:t>’</w:t>
      </w:r>
      <w:r w:rsidRPr="003B70C5">
        <w:t>affilier à la Caisse des pensions les institutions spécialisées ainsi que toute autre organisation intergouvernementale internationale qui applique le régime commun de traitements, indemnités et autres conditions d</w:t>
      </w:r>
      <w:r w:rsidR="002B0172" w:rsidRPr="003B70C5">
        <w:t>’</w:t>
      </w:r>
      <w:r w:rsidRPr="003B70C5">
        <w:t>emploi de l</w:t>
      </w:r>
      <w:r w:rsidR="002B0172" w:rsidRPr="003B70C5">
        <w:t>’</w:t>
      </w:r>
      <w:r w:rsidRPr="003B70C5">
        <w:t xml:space="preserve">Organisation des </w:t>
      </w:r>
      <w:r w:rsidR="002B0172" w:rsidRPr="003B70C5">
        <w:t>Nations Unies</w:t>
      </w:r>
      <w:r w:rsidRPr="003B70C5">
        <w:t xml:space="preserve"> et des institutions spécialisées.</w:t>
      </w:r>
    </w:p>
    <w:p w14:paraId="4C7CCBC5" w14:textId="77777777" w:rsidR="000C336F" w:rsidRPr="003B70C5" w:rsidRDefault="000C336F" w:rsidP="000C336F">
      <w:pPr>
        <w:rPr>
          <w:rFonts w:cs="Arial"/>
        </w:rPr>
      </w:pPr>
    </w:p>
    <w:p w14:paraId="6AA22B24" w14:textId="283685F5" w:rsidR="000C336F" w:rsidRPr="003B70C5" w:rsidRDefault="000C336F" w:rsidP="000C336F">
      <w:pPr>
        <w:rPr>
          <w:rFonts w:cs="Arial"/>
        </w:rPr>
      </w:pPr>
      <w:r w:rsidRPr="003B70C5">
        <w:t>La Caisse expose collectivement les organisations participantes à des risques actuariels liés aux fonctionnaires retraités et en poste d</w:t>
      </w:r>
      <w:r w:rsidR="002B0172" w:rsidRPr="003B70C5">
        <w:t>’</w:t>
      </w:r>
      <w:r w:rsidRPr="003B70C5">
        <w:t>autres organisations qui y participent, d</w:t>
      </w:r>
      <w:r w:rsidR="002B0172" w:rsidRPr="003B70C5">
        <w:t>’</w:t>
      </w:r>
      <w:r w:rsidRPr="003B70C5">
        <w:t>où l</w:t>
      </w:r>
      <w:r w:rsidR="002B0172" w:rsidRPr="003B70C5">
        <w:t>’</w:t>
      </w:r>
      <w:r w:rsidRPr="003B70C5">
        <w:t>absence de base cohérente et fiable pour répartir l</w:t>
      </w:r>
      <w:r w:rsidR="002B0172" w:rsidRPr="003B70C5">
        <w:t>’</w:t>
      </w:r>
      <w:r w:rsidRPr="003B70C5">
        <w:t xml:space="preserve">obligation, les actifs et les coûts de la Caisse entre les différentes organisations participantes. </w:t>
      </w:r>
      <w:r w:rsidR="00E2280F" w:rsidRPr="003B70C5">
        <w:t xml:space="preserve"> </w:t>
      </w:r>
      <w:r w:rsidRPr="003B70C5">
        <w:t>L</w:t>
      </w:r>
      <w:r w:rsidR="002B0172" w:rsidRPr="003B70C5">
        <w:t>’</w:t>
      </w:r>
      <w:r w:rsidRPr="003B70C5">
        <w:t>UPOV et la Caisse, tout comme d</w:t>
      </w:r>
      <w:r w:rsidR="002B0172" w:rsidRPr="003B70C5">
        <w:t>’</w:t>
      </w:r>
      <w:r w:rsidRPr="003B70C5">
        <w:t>autres organisations affiliées, ne sont pas en mesure de déterminer la quote</w:t>
      </w:r>
      <w:r w:rsidR="002B0172" w:rsidRPr="003B70C5">
        <w:t>-</w:t>
      </w:r>
      <w:r w:rsidRPr="003B70C5">
        <w:t>part de l</w:t>
      </w:r>
      <w:r w:rsidR="002B0172" w:rsidRPr="003B70C5">
        <w:t>’</w:t>
      </w:r>
      <w:r w:rsidRPr="003B70C5">
        <w:t xml:space="preserve">UPOV en ce qui concerne les obligations relatives à des prestations définies, les actifs et les coûts relatifs à des prestations définies, de manière suffisamment fiable à des fins comptables. </w:t>
      </w:r>
      <w:r w:rsidR="00E2280F" w:rsidRPr="003B70C5">
        <w:t xml:space="preserve"> </w:t>
      </w:r>
      <w:r w:rsidRPr="003B70C5">
        <w:t>L</w:t>
      </w:r>
      <w:r w:rsidR="002B0172" w:rsidRPr="003B70C5">
        <w:t>’</w:t>
      </w:r>
      <w:r w:rsidRPr="003B70C5">
        <w:t>UPOV a donc comptabilisé les contributions à la Caisse comme s</w:t>
      </w:r>
      <w:r w:rsidR="002B0172" w:rsidRPr="003B70C5">
        <w:t>’</w:t>
      </w:r>
      <w:r w:rsidRPr="003B70C5">
        <w:t>il s</w:t>
      </w:r>
      <w:r w:rsidR="002B0172" w:rsidRPr="003B70C5">
        <w:t>’</w:t>
      </w:r>
      <w:r w:rsidRPr="003B70C5">
        <w:t>agissait d</w:t>
      </w:r>
      <w:r w:rsidR="002B0172" w:rsidRPr="003B70C5">
        <w:t>’</w:t>
      </w:r>
      <w:r w:rsidRPr="003B70C5">
        <w:t>un régime à contributions déterminées sur la base de la norme IPSAS 39 portant sur les prestations au personn</w:t>
      </w:r>
      <w:r w:rsidR="00D076B0" w:rsidRPr="003B70C5">
        <w:t>el.  Le</w:t>
      </w:r>
      <w:r w:rsidRPr="003B70C5">
        <w:t>s contributions de l</w:t>
      </w:r>
      <w:r w:rsidR="002B0172" w:rsidRPr="003B70C5">
        <w:t>’</w:t>
      </w:r>
      <w:r w:rsidRPr="003B70C5">
        <w:t>UPOV à la Caisse durant la période financière sont comptabilisées comme dépenses dans l</w:t>
      </w:r>
      <w:r w:rsidR="002B0172" w:rsidRPr="003B70C5">
        <w:t>’</w:t>
      </w:r>
      <w:r w:rsidRPr="003B70C5">
        <w:t>état de la performance financière.</w:t>
      </w:r>
    </w:p>
    <w:p w14:paraId="6A5DF777" w14:textId="77777777" w:rsidR="000C336F" w:rsidRPr="003B70C5" w:rsidRDefault="000C336F" w:rsidP="000C336F">
      <w:pPr>
        <w:pStyle w:val="Style3"/>
        <w:spacing w:after="0"/>
        <w:rPr>
          <w:rFonts w:cs="Arial"/>
          <w:b/>
          <w:sz w:val="20"/>
        </w:rPr>
      </w:pPr>
    </w:p>
    <w:p w14:paraId="31EB85F2" w14:textId="77777777" w:rsidR="000C336F" w:rsidRPr="003B70C5" w:rsidRDefault="000C336F" w:rsidP="000C336F">
      <w:pPr>
        <w:pStyle w:val="Style3"/>
        <w:spacing w:after="0"/>
        <w:rPr>
          <w:rFonts w:cs="Arial"/>
          <w:b/>
          <w:sz w:val="20"/>
        </w:rPr>
      </w:pPr>
      <w:r w:rsidRPr="003B70C5">
        <w:rPr>
          <w:b/>
          <w:sz w:val="20"/>
        </w:rPr>
        <w:t>Provisions</w:t>
      </w:r>
    </w:p>
    <w:p w14:paraId="337E561A" w14:textId="77777777" w:rsidR="000C336F" w:rsidRPr="003B70C5" w:rsidRDefault="000C336F" w:rsidP="000C336F">
      <w:pPr>
        <w:rPr>
          <w:rFonts w:cs="Arial"/>
        </w:rPr>
      </w:pPr>
    </w:p>
    <w:p w14:paraId="10B9FE56" w14:textId="5F1616F5" w:rsidR="000C336F" w:rsidRPr="003B70C5" w:rsidRDefault="000C336F" w:rsidP="000C336F">
      <w:pPr>
        <w:pStyle w:val="Style3"/>
        <w:spacing w:after="0"/>
        <w:rPr>
          <w:rFonts w:cs="Arial"/>
          <w:sz w:val="20"/>
        </w:rPr>
      </w:pPr>
      <w:r w:rsidRPr="003B70C5">
        <w:rPr>
          <w:sz w:val="20"/>
        </w:rPr>
        <w:t>Des provisions sont comptabilisées lorsqu</w:t>
      </w:r>
      <w:r w:rsidR="002B0172" w:rsidRPr="003B70C5">
        <w:rPr>
          <w:sz w:val="20"/>
        </w:rPr>
        <w:t>’</w:t>
      </w:r>
      <w:r w:rsidRPr="003B70C5">
        <w:rPr>
          <w:sz w:val="20"/>
        </w:rPr>
        <w:t>il existe une obligation juridique ou implicite née d</w:t>
      </w:r>
      <w:r w:rsidR="002B0172" w:rsidRPr="003B70C5">
        <w:rPr>
          <w:sz w:val="20"/>
        </w:rPr>
        <w:t>’</w:t>
      </w:r>
      <w:r w:rsidRPr="003B70C5">
        <w:rPr>
          <w:sz w:val="20"/>
        </w:rPr>
        <w:t>un événement passé, qu</w:t>
      </w:r>
      <w:r w:rsidR="002B0172" w:rsidRPr="003B70C5">
        <w:rPr>
          <w:sz w:val="20"/>
        </w:rPr>
        <w:t>’</w:t>
      </w:r>
      <w:r w:rsidRPr="003B70C5">
        <w:rPr>
          <w:sz w:val="20"/>
        </w:rPr>
        <w:t>il est probable qu</w:t>
      </w:r>
      <w:r w:rsidR="002B0172" w:rsidRPr="003B70C5">
        <w:rPr>
          <w:sz w:val="20"/>
        </w:rPr>
        <w:t>’</w:t>
      </w:r>
      <w:r w:rsidRPr="003B70C5">
        <w:rPr>
          <w:sz w:val="20"/>
        </w:rPr>
        <w:t>une dépense sera nécessaire pour régler l</w:t>
      </w:r>
      <w:r w:rsidR="002B0172" w:rsidRPr="003B70C5">
        <w:rPr>
          <w:sz w:val="20"/>
        </w:rPr>
        <w:t>’</w:t>
      </w:r>
      <w:r w:rsidRPr="003B70C5">
        <w:rPr>
          <w:sz w:val="20"/>
        </w:rPr>
        <w:t>obligation et que le montant de l</w:t>
      </w:r>
      <w:r w:rsidR="002B0172" w:rsidRPr="003B70C5">
        <w:rPr>
          <w:sz w:val="20"/>
        </w:rPr>
        <w:t>’</w:t>
      </w:r>
      <w:r w:rsidRPr="003B70C5">
        <w:rPr>
          <w:sz w:val="20"/>
        </w:rPr>
        <w:t>obligation peut être estimé de manière fiable.</w:t>
      </w:r>
    </w:p>
    <w:p w14:paraId="4A5EE961" w14:textId="77777777" w:rsidR="000C336F" w:rsidRPr="003B70C5" w:rsidRDefault="000C336F" w:rsidP="000C336F">
      <w:pPr>
        <w:rPr>
          <w:rFonts w:cs="Arial"/>
          <w:b/>
        </w:rPr>
      </w:pPr>
    </w:p>
    <w:p w14:paraId="362C1AA9" w14:textId="77777777" w:rsidR="000C336F" w:rsidRPr="003B70C5" w:rsidRDefault="000C336F" w:rsidP="002D7552">
      <w:pPr>
        <w:pStyle w:val="Style3Bold"/>
        <w:keepNext/>
        <w:spacing w:after="0"/>
        <w:rPr>
          <w:rFonts w:cs="Arial"/>
          <w:sz w:val="20"/>
        </w:rPr>
      </w:pPr>
      <w:r w:rsidRPr="003B70C5">
        <w:rPr>
          <w:sz w:val="20"/>
        </w:rPr>
        <w:lastRenderedPageBreak/>
        <w:t>Comptabilisation des produits</w:t>
      </w:r>
    </w:p>
    <w:p w14:paraId="550798DD" w14:textId="77777777" w:rsidR="000C336F" w:rsidRPr="003B70C5" w:rsidRDefault="000C336F" w:rsidP="000C336F">
      <w:pPr>
        <w:rPr>
          <w:rFonts w:cs="Arial"/>
        </w:rPr>
      </w:pPr>
    </w:p>
    <w:p w14:paraId="1F803D77" w14:textId="703BC982" w:rsidR="000C336F" w:rsidRPr="003B70C5" w:rsidRDefault="000C336F" w:rsidP="000C336F">
      <w:pPr>
        <w:pStyle w:val="Style3"/>
        <w:spacing w:after="0"/>
        <w:rPr>
          <w:rFonts w:cs="Arial"/>
          <w:sz w:val="20"/>
        </w:rPr>
      </w:pPr>
      <w:r w:rsidRPr="003B70C5">
        <w:rPr>
          <w:sz w:val="20"/>
        </w:rPr>
        <w:t>Conformément à la norme</w:t>
      </w:r>
      <w:r w:rsidR="00E2280F" w:rsidRPr="003B70C5">
        <w:rPr>
          <w:sz w:val="20"/>
        </w:rPr>
        <w:t> </w:t>
      </w:r>
      <w:r w:rsidRPr="003B70C5">
        <w:rPr>
          <w:sz w:val="20"/>
        </w:rPr>
        <w:t>IPSAS 47, les contributions sont comptabilisées comme des produits provenant d</w:t>
      </w:r>
      <w:r w:rsidR="002B0172" w:rsidRPr="003B70C5">
        <w:rPr>
          <w:sz w:val="20"/>
        </w:rPr>
        <w:t>’</w:t>
      </w:r>
      <w:r w:rsidRPr="003B70C5">
        <w:rPr>
          <w:sz w:val="20"/>
        </w:rPr>
        <w:t>opérations assorties d</w:t>
      </w:r>
      <w:r w:rsidR="002B0172" w:rsidRPr="003B70C5">
        <w:rPr>
          <w:sz w:val="20"/>
        </w:rPr>
        <w:t>’</w:t>
      </w:r>
      <w:r w:rsidRPr="003B70C5">
        <w:rPr>
          <w:sz w:val="20"/>
        </w:rPr>
        <w:t xml:space="preserve">accords contraignants, tandis que toutes les autres catégories de produits, </w:t>
      </w:r>
      <w:r w:rsidR="002B0172" w:rsidRPr="003B70C5">
        <w:rPr>
          <w:sz w:val="20"/>
        </w:rPr>
        <w:t>y compris</w:t>
      </w:r>
      <w:r w:rsidRPr="003B70C5">
        <w:rPr>
          <w:sz w:val="20"/>
        </w:rPr>
        <w:t xml:space="preserve"> les taxes et les ressources extrabudgétaires (fonds fiduciaires), sont comptabilisées comme des produits provenant d</w:t>
      </w:r>
      <w:r w:rsidR="002B0172" w:rsidRPr="003B70C5">
        <w:rPr>
          <w:sz w:val="20"/>
        </w:rPr>
        <w:t>’</w:t>
      </w:r>
      <w:r w:rsidRPr="003B70C5">
        <w:rPr>
          <w:sz w:val="20"/>
        </w:rPr>
        <w:t>opérations sans accords contraignants.</w:t>
      </w:r>
    </w:p>
    <w:p w14:paraId="15C2B648" w14:textId="77777777" w:rsidR="000C336F" w:rsidRPr="003B70C5" w:rsidRDefault="000C336F" w:rsidP="000C336F">
      <w:pPr>
        <w:pStyle w:val="Style3"/>
        <w:spacing w:after="0"/>
        <w:rPr>
          <w:rFonts w:cs="Arial"/>
          <w:sz w:val="20"/>
        </w:rPr>
      </w:pPr>
    </w:p>
    <w:p w14:paraId="69D79689" w14:textId="0AB4C1B2" w:rsidR="000C336F" w:rsidRPr="003B70C5" w:rsidRDefault="000C336F" w:rsidP="000C336F">
      <w:pPr>
        <w:pStyle w:val="Style3"/>
        <w:spacing w:after="0"/>
        <w:rPr>
          <w:rFonts w:cs="Arial"/>
          <w:sz w:val="20"/>
        </w:rPr>
      </w:pPr>
      <w:r w:rsidRPr="003B70C5">
        <w:rPr>
          <w:sz w:val="20"/>
        </w:rPr>
        <w:t>Les produits provenant de ressources extrabudgétaires (fonds fiduciaires) sont comptabilisés comme produits au moment de la réception des fonds à moins que l</w:t>
      </w:r>
      <w:r w:rsidR="002B0172" w:rsidRPr="003B70C5">
        <w:rPr>
          <w:sz w:val="20"/>
        </w:rPr>
        <w:t>’</w:t>
      </w:r>
      <w:r w:rsidRPr="003B70C5">
        <w:rPr>
          <w:sz w:val="20"/>
        </w:rPr>
        <w:t>accord ne prévoie des conditions relatives à des résultats spécifiqu</w:t>
      </w:r>
      <w:r w:rsidR="00D076B0" w:rsidRPr="003B70C5">
        <w:rPr>
          <w:sz w:val="20"/>
        </w:rPr>
        <w:t>es.  Ce</w:t>
      </w:r>
      <w:r w:rsidRPr="003B70C5">
        <w:rPr>
          <w:sz w:val="20"/>
        </w:rPr>
        <w:t>s accords exigent la comptabilisation initiale d</w:t>
      </w:r>
      <w:r w:rsidR="002B0172" w:rsidRPr="003B70C5">
        <w:rPr>
          <w:sz w:val="20"/>
        </w:rPr>
        <w:t>’</w:t>
      </w:r>
      <w:r w:rsidRPr="003B70C5">
        <w:rPr>
          <w:sz w:val="20"/>
        </w:rPr>
        <w:t>un passif en vue de différer la comptabilisation des produits, ceux</w:t>
      </w:r>
      <w:r w:rsidR="002B0172" w:rsidRPr="003B70C5">
        <w:rPr>
          <w:sz w:val="20"/>
        </w:rPr>
        <w:t>-</w:t>
      </w:r>
      <w:r w:rsidRPr="003B70C5">
        <w:rPr>
          <w:sz w:val="20"/>
        </w:rPr>
        <w:t>ci étant ensuite comptabilisés au fur et à mesure que l</w:t>
      </w:r>
      <w:r w:rsidR="002B0172" w:rsidRPr="003B70C5">
        <w:rPr>
          <w:sz w:val="20"/>
        </w:rPr>
        <w:t>’</w:t>
      </w:r>
      <w:r w:rsidRPr="003B70C5">
        <w:rPr>
          <w:sz w:val="20"/>
        </w:rPr>
        <w:t>obligation est remplie, sur la base des dépenses engagées.</w:t>
      </w:r>
    </w:p>
    <w:p w14:paraId="0EB6F052" w14:textId="77777777" w:rsidR="000C336F" w:rsidRPr="003B70C5" w:rsidRDefault="000C336F" w:rsidP="000C336F">
      <w:pPr>
        <w:pStyle w:val="Style3"/>
        <w:spacing w:after="0"/>
        <w:rPr>
          <w:rFonts w:cs="Arial"/>
          <w:sz w:val="20"/>
        </w:rPr>
      </w:pPr>
    </w:p>
    <w:p w14:paraId="1B2E3882" w14:textId="5A191BFB" w:rsidR="000C336F" w:rsidRPr="003B70C5" w:rsidRDefault="000C336F" w:rsidP="000C336F">
      <w:pPr>
        <w:pStyle w:val="Style3Bold"/>
        <w:spacing w:after="0"/>
        <w:rPr>
          <w:rFonts w:cs="Arial"/>
          <w:b w:val="0"/>
          <w:sz w:val="20"/>
        </w:rPr>
      </w:pPr>
      <w:r w:rsidRPr="003B70C5">
        <w:rPr>
          <w:b w:val="0"/>
          <w:sz w:val="20"/>
        </w:rPr>
        <w:t>Les contributions sont comptabilisées comme produits au début de chaque année de l</w:t>
      </w:r>
      <w:r w:rsidR="002B0172" w:rsidRPr="003B70C5">
        <w:rPr>
          <w:b w:val="0"/>
          <w:sz w:val="20"/>
        </w:rPr>
        <w:t>’</w:t>
      </w:r>
      <w:r w:rsidRPr="003B70C5">
        <w:rPr>
          <w:b w:val="0"/>
          <w:sz w:val="20"/>
        </w:rPr>
        <w:t>exercice budgétaire sur laquelle porte la contributi</w:t>
      </w:r>
      <w:r w:rsidR="00D076B0" w:rsidRPr="003B70C5">
        <w:rPr>
          <w:b w:val="0"/>
          <w:sz w:val="20"/>
        </w:rPr>
        <w:t>on.  Le</w:t>
      </w:r>
      <w:r w:rsidRPr="003B70C5">
        <w:rPr>
          <w:b w:val="0"/>
          <w:sz w:val="20"/>
        </w:rPr>
        <w:t xml:space="preserve">s taxes </w:t>
      </w:r>
      <w:r w:rsidR="0063233A">
        <w:rPr>
          <w:b w:val="0"/>
          <w:sz w:val="20"/>
        </w:rPr>
        <w:t>UPOV PRISMA</w:t>
      </w:r>
      <w:r w:rsidRPr="003B70C5">
        <w:rPr>
          <w:b w:val="0"/>
          <w:sz w:val="20"/>
        </w:rPr>
        <w:t xml:space="preserve"> sont comptabilisées en tant que recettes au moment du dépôt d</w:t>
      </w:r>
      <w:r w:rsidR="002B0172" w:rsidRPr="003B70C5">
        <w:rPr>
          <w:b w:val="0"/>
          <w:sz w:val="20"/>
        </w:rPr>
        <w:t>’</w:t>
      </w:r>
      <w:r w:rsidRPr="003B70C5">
        <w:rPr>
          <w:b w:val="0"/>
          <w:sz w:val="20"/>
        </w:rPr>
        <w:t>une demande de protection des obtentions végétal</w:t>
      </w:r>
      <w:r w:rsidR="00D076B0" w:rsidRPr="003B70C5">
        <w:rPr>
          <w:b w:val="0"/>
          <w:sz w:val="20"/>
        </w:rPr>
        <w:t>es.  Le</w:t>
      </w:r>
      <w:r w:rsidRPr="003B70C5">
        <w:rPr>
          <w:b w:val="0"/>
          <w:sz w:val="20"/>
        </w:rPr>
        <w:t>s redevances UPOV PLUTO sont comptabilisées en tant que recettes au moment de la facturation, après la souscripti</w:t>
      </w:r>
      <w:r w:rsidR="00D076B0" w:rsidRPr="003B70C5">
        <w:rPr>
          <w:b w:val="0"/>
          <w:sz w:val="20"/>
        </w:rPr>
        <w:t>on.  Le</w:t>
      </w:r>
      <w:r w:rsidRPr="003B70C5">
        <w:rPr>
          <w:b w:val="0"/>
          <w:sz w:val="20"/>
        </w:rPr>
        <w:t>s contributions de services en nature ne sont pas comptabilisées dans les états financiers.</w:t>
      </w:r>
    </w:p>
    <w:p w14:paraId="573A87FA" w14:textId="77777777" w:rsidR="000C336F" w:rsidRPr="003B70C5" w:rsidRDefault="000C336F" w:rsidP="000C336F">
      <w:pPr>
        <w:pStyle w:val="Style3Bold"/>
        <w:spacing w:after="0"/>
        <w:rPr>
          <w:rFonts w:cs="Arial"/>
          <w:sz w:val="20"/>
        </w:rPr>
      </w:pPr>
    </w:p>
    <w:p w14:paraId="7B7F56DC" w14:textId="77777777" w:rsidR="000C336F" w:rsidRPr="003B70C5" w:rsidRDefault="000C336F" w:rsidP="000C336F">
      <w:pPr>
        <w:jc w:val="left"/>
      </w:pPr>
      <w:r w:rsidRPr="003B70C5">
        <w:rPr>
          <w:b/>
        </w:rPr>
        <w:t>Comptabilisation des dépenses</w:t>
      </w:r>
    </w:p>
    <w:p w14:paraId="5F343C57" w14:textId="77777777" w:rsidR="000C336F" w:rsidRPr="003B70C5" w:rsidRDefault="000C336F" w:rsidP="000C336F">
      <w:pPr>
        <w:pStyle w:val="Style3"/>
        <w:spacing w:after="0"/>
        <w:rPr>
          <w:rFonts w:cs="Arial"/>
          <w:sz w:val="20"/>
        </w:rPr>
      </w:pPr>
    </w:p>
    <w:p w14:paraId="71FBD0B6" w14:textId="77777777" w:rsidR="000C336F" w:rsidRPr="003B70C5" w:rsidRDefault="000C336F" w:rsidP="000C336F">
      <w:pPr>
        <w:pStyle w:val="Style3"/>
        <w:spacing w:after="0"/>
        <w:rPr>
          <w:rFonts w:cs="Arial"/>
          <w:sz w:val="20"/>
        </w:rPr>
      </w:pPr>
      <w:r w:rsidRPr="003B70C5">
        <w:rPr>
          <w:sz w:val="20"/>
        </w:rPr>
        <w:t>Les dépenses sont comptabilisées lorsque les marchandises sont livrées et les services fournis.</w:t>
      </w:r>
    </w:p>
    <w:p w14:paraId="6482C0AA" w14:textId="77777777" w:rsidR="000C336F" w:rsidRPr="003B70C5" w:rsidRDefault="000C336F" w:rsidP="000C336F">
      <w:pPr>
        <w:jc w:val="left"/>
        <w:rPr>
          <w:rFonts w:cs="Arial"/>
          <w:b/>
          <w:bCs/>
        </w:rPr>
      </w:pPr>
    </w:p>
    <w:p w14:paraId="07261EFD" w14:textId="77777777" w:rsidR="000C336F" w:rsidRPr="003B70C5" w:rsidRDefault="000C336F" w:rsidP="000C336F">
      <w:pPr>
        <w:pStyle w:val="Style3Bold"/>
        <w:spacing w:after="0"/>
        <w:rPr>
          <w:rFonts w:cs="Arial"/>
          <w:sz w:val="20"/>
        </w:rPr>
      </w:pPr>
      <w:r w:rsidRPr="003B70C5">
        <w:rPr>
          <w:sz w:val="20"/>
        </w:rPr>
        <w:t>Instruments financiers</w:t>
      </w:r>
    </w:p>
    <w:p w14:paraId="5C7F9298" w14:textId="77777777" w:rsidR="000C336F" w:rsidRPr="003B70C5" w:rsidRDefault="000C336F" w:rsidP="000C336F">
      <w:pPr>
        <w:pStyle w:val="Style3"/>
        <w:spacing w:after="0"/>
        <w:rPr>
          <w:rFonts w:cs="Arial"/>
          <w:sz w:val="20"/>
        </w:rPr>
      </w:pPr>
    </w:p>
    <w:p w14:paraId="2527C463" w14:textId="77777777" w:rsidR="000C336F" w:rsidRPr="003B70C5" w:rsidRDefault="000C336F" w:rsidP="000C336F">
      <w:pPr>
        <w:pStyle w:val="Style3"/>
        <w:spacing w:after="0"/>
        <w:rPr>
          <w:rFonts w:cs="Arial"/>
          <w:b/>
          <w:i/>
          <w:sz w:val="20"/>
        </w:rPr>
      </w:pPr>
      <w:r w:rsidRPr="003B70C5">
        <w:rPr>
          <w:b/>
          <w:i/>
          <w:sz w:val="20"/>
        </w:rPr>
        <w:t>Actifs financiers</w:t>
      </w:r>
    </w:p>
    <w:p w14:paraId="4DCD191A" w14:textId="77777777" w:rsidR="0080243B" w:rsidRDefault="0080243B" w:rsidP="00D20C27"/>
    <w:p w14:paraId="01A5C46A" w14:textId="287FE6FC" w:rsidR="000C336F" w:rsidRPr="002D7552" w:rsidRDefault="000C336F" w:rsidP="00D20C27">
      <w:pPr>
        <w:rPr>
          <w:rFonts w:cs="Arial"/>
          <w:iCs/>
        </w:rPr>
      </w:pPr>
      <w:r w:rsidRPr="003B70C5">
        <w:t>Les actifs financiers sont comptabilisés initialement à leur juste valeur, soit généralement au prix de transacti</w:t>
      </w:r>
      <w:r w:rsidR="00D076B0" w:rsidRPr="003B70C5">
        <w:t>on.  Ap</w:t>
      </w:r>
      <w:r w:rsidRPr="003B70C5">
        <w:t>rès la comptabilisation initiale, l</w:t>
      </w:r>
      <w:r w:rsidR="002B0172" w:rsidRPr="003B70C5">
        <w:t>’</w:t>
      </w:r>
      <w:r w:rsidRPr="003B70C5">
        <w:t>UPOV mesure ses actifs financiers au coût amor</w:t>
      </w:r>
      <w:r w:rsidR="00D076B0" w:rsidRPr="003B70C5">
        <w:t>ti.  La</w:t>
      </w:r>
      <w:r w:rsidRPr="003B70C5">
        <w:t xml:space="preserve"> classification dépend du modèle de gestion de l</w:t>
      </w:r>
      <w:r w:rsidR="002B0172" w:rsidRPr="003B70C5">
        <w:t>’</w:t>
      </w:r>
      <w:r w:rsidRPr="003B70C5">
        <w:t xml:space="preserve">UPOV pour les actifs financiers et des caractéristiques de flux de trésorerie contractuels de ces actifs. </w:t>
      </w:r>
      <w:r w:rsidR="00E2280F" w:rsidRPr="003B70C5">
        <w:t xml:space="preserve"> </w:t>
      </w:r>
      <w:r w:rsidRPr="003B70C5">
        <w:t>L</w:t>
      </w:r>
      <w:r w:rsidR="002B0172" w:rsidRPr="003B70C5">
        <w:t>’</w:t>
      </w:r>
      <w:r w:rsidRPr="003B70C5">
        <w:t>UPOV évalue de manière prospective les pertes sur créances escomptées associées à ses actifs financiers classés comme mesurés au coût amorti.</w:t>
      </w:r>
    </w:p>
    <w:p w14:paraId="4F6CBDB2" w14:textId="77777777" w:rsidR="000C336F" w:rsidRPr="003B70C5" w:rsidRDefault="000C336F" w:rsidP="000C336F">
      <w:pPr>
        <w:autoSpaceDE w:val="0"/>
        <w:autoSpaceDN w:val="0"/>
        <w:adjustRightInd w:val="0"/>
        <w:spacing w:before="200" w:after="120" w:line="276" w:lineRule="auto"/>
        <w:jc w:val="left"/>
        <w:rPr>
          <w:rFonts w:cs="Arial"/>
          <w:b/>
          <w:bCs/>
          <w:i/>
          <w:color w:val="000000"/>
        </w:rPr>
      </w:pPr>
      <w:r w:rsidRPr="003B70C5">
        <w:rPr>
          <w:b/>
          <w:i/>
          <w:color w:val="000000"/>
        </w:rPr>
        <w:t>Passifs financiers</w:t>
      </w:r>
    </w:p>
    <w:p w14:paraId="19B62F6F" w14:textId="3F53D344" w:rsidR="000C336F" w:rsidRPr="003B70C5" w:rsidRDefault="000C336F" w:rsidP="000C336F">
      <w:pPr>
        <w:pStyle w:val="Style3"/>
        <w:spacing w:after="0"/>
        <w:rPr>
          <w:rFonts w:cs="Arial"/>
          <w:bCs/>
          <w:color w:val="000000"/>
          <w:sz w:val="20"/>
        </w:rPr>
      </w:pPr>
      <w:r w:rsidRPr="003B70C5">
        <w:rPr>
          <w:color w:val="000000"/>
          <w:sz w:val="20"/>
        </w:rPr>
        <w:t>L</w:t>
      </w:r>
      <w:r w:rsidR="002B0172" w:rsidRPr="003B70C5">
        <w:rPr>
          <w:color w:val="000000"/>
          <w:sz w:val="20"/>
        </w:rPr>
        <w:t>’</w:t>
      </w:r>
      <w:r w:rsidRPr="003B70C5">
        <w:rPr>
          <w:color w:val="000000"/>
          <w:sz w:val="20"/>
        </w:rPr>
        <w:t>UPOV comptabilise initialement ses passifs financiers à leur juste vale</w:t>
      </w:r>
      <w:r w:rsidR="00D076B0" w:rsidRPr="003B70C5">
        <w:rPr>
          <w:color w:val="000000"/>
          <w:sz w:val="20"/>
        </w:rPr>
        <w:t>ur.  Ap</w:t>
      </w:r>
      <w:r w:rsidRPr="003B70C5">
        <w:rPr>
          <w:color w:val="000000"/>
          <w:sz w:val="20"/>
        </w:rPr>
        <w:t>rès la comptabilisation initiale, les passifs financiers sont mesurés au coût amorti.</w:t>
      </w:r>
    </w:p>
    <w:p w14:paraId="7D466520" w14:textId="77777777" w:rsidR="000C336F" w:rsidRPr="003B70C5" w:rsidRDefault="000C336F" w:rsidP="000C336F">
      <w:pPr>
        <w:pStyle w:val="Style3"/>
        <w:spacing w:after="0"/>
        <w:rPr>
          <w:rFonts w:cs="Arial"/>
          <w:b/>
          <w:sz w:val="20"/>
        </w:rPr>
      </w:pPr>
    </w:p>
    <w:p w14:paraId="10A2787C" w14:textId="099D9B86" w:rsidR="000C336F" w:rsidRPr="003B70C5" w:rsidRDefault="000C336F" w:rsidP="000C336F">
      <w:pPr>
        <w:pStyle w:val="Style3"/>
        <w:spacing w:after="0"/>
        <w:rPr>
          <w:rFonts w:cs="Arial"/>
          <w:b/>
          <w:sz w:val="20"/>
        </w:rPr>
      </w:pPr>
      <w:r w:rsidRPr="003B70C5">
        <w:rPr>
          <w:b/>
          <w:sz w:val="20"/>
        </w:rPr>
        <w:t>Utilisation d</w:t>
      </w:r>
      <w:r w:rsidR="002B0172" w:rsidRPr="003B70C5">
        <w:rPr>
          <w:b/>
          <w:sz w:val="20"/>
        </w:rPr>
        <w:t>’</w:t>
      </w:r>
      <w:r w:rsidRPr="003B70C5">
        <w:rPr>
          <w:b/>
          <w:sz w:val="20"/>
        </w:rPr>
        <w:t>estimations</w:t>
      </w:r>
    </w:p>
    <w:p w14:paraId="43F4EA43" w14:textId="77777777" w:rsidR="000C336F" w:rsidRPr="003B70C5" w:rsidRDefault="000C336F" w:rsidP="000C336F">
      <w:pPr>
        <w:rPr>
          <w:rFonts w:cs="Arial"/>
        </w:rPr>
      </w:pPr>
    </w:p>
    <w:p w14:paraId="25CBF58B" w14:textId="1981255B" w:rsidR="000C336F" w:rsidRPr="003B70C5" w:rsidRDefault="000C336F" w:rsidP="000C336F">
      <w:pPr>
        <w:pStyle w:val="Style3"/>
        <w:spacing w:after="0"/>
        <w:rPr>
          <w:rFonts w:cs="Arial"/>
          <w:sz w:val="20"/>
        </w:rPr>
      </w:pPr>
      <w:r w:rsidRPr="003B70C5">
        <w:rPr>
          <w:sz w:val="20"/>
        </w:rPr>
        <w:t>Les états financiers incluent nécessairement des montants fondés sur des estimations et des hypothèses établies par la directi</w:t>
      </w:r>
      <w:r w:rsidR="00D076B0" w:rsidRPr="003B70C5">
        <w:rPr>
          <w:sz w:val="20"/>
        </w:rPr>
        <w:t>on.  Le</w:t>
      </w:r>
      <w:r w:rsidRPr="003B70C5">
        <w:rPr>
          <w:sz w:val="20"/>
        </w:rPr>
        <w:t>s estimations prennent en considération, mais pas uniquement, l</w:t>
      </w:r>
      <w:r w:rsidR="002B0172" w:rsidRPr="003B70C5">
        <w:rPr>
          <w:sz w:val="20"/>
        </w:rPr>
        <w:t>’</w:t>
      </w:r>
      <w:r w:rsidRPr="003B70C5">
        <w:rPr>
          <w:sz w:val="20"/>
        </w:rPr>
        <w:t>AMCS et la prime de rapatriement et voyages (dont la valeur est calculée par un actuaire indépendant), les autres engagements liés aux prestations dues au personnel, le risque financier portant sur des comptes de débiteurs et les charges à pay</w:t>
      </w:r>
      <w:r w:rsidR="00D076B0" w:rsidRPr="003B70C5">
        <w:rPr>
          <w:sz w:val="20"/>
        </w:rPr>
        <w:t>er.  Le</w:t>
      </w:r>
      <w:r w:rsidRPr="003B70C5">
        <w:rPr>
          <w:sz w:val="20"/>
        </w:rPr>
        <w:t>s résultats réels peuvent s</w:t>
      </w:r>
      <w:r w:rsidR="002B0172" w:rsidRPr="003B70C5">
        <w:rPr>
          <w:sz w:val="20"/>
        </w:rPr>
        <w:t>’</w:t>
      </w:r>
      <w:r w:rsidRPr="003B70C5">
        <w:rPr>
          <w:sz w:val="20"/>
        </w:rPr>
        <w:t>écarter de ces estimatio</w:t>
      </w:r>
      <w:r w:rsidR="00D076B0" w:rsidRPr="003B70C5">
        <w:rPr>
          <w:sz w:val="20"/>
        </w:rPr>
        <w:t>ns.  L’é</w:t>
      </w:r>
      <w:r w:rsidRPr="003B70C5">
        <w:rPr>
          <w:sz w:val="20"/>
        </w:rPr>
        <w:t>volution des estimations est répercutée au cours de l</w:t>
      </w:r>
      <w:r w:rsidR="002B0172" w:rsidRPr="003B70C5">
        <w:rPr>
          <w:sz w:val="20"/>
        </w:rPr>
        <w:t>’</w:t>
      </w:r>
      <w:r w:rsidRPr="003B70C5">
        <w:rPr>
          <w:sz w:val="20"/>
        </w:rPr>
        <w:t>exercice concerné.</w:t>
      </w:r>
    </w:p>
    <w:p w14:paraId="1C9789E0" w14:textId="77777777" w:rsidR="000C336F" w:rsidRPr="003B70C5" w:rsidRDefault="000C336F" w:rsidP="000C336F">
      <w:pPr>
        <w:pStyle w:val="Style3"/>
        <w:spacing w:after="0"/>
        <w:rPr>
          <w:rFonts w:cs="Arial"/>
          <w:sz w:val="20"/>
        </w:rPr>
      </w:pPr>
    </w:p>
    <w:p w14:paraId="7C910893" w14:textId="77777777" w:rsidR="000C336F" w:rsidRPr="003B70C5" w:rsidRDefault="000C336F" w:rsidP="000C336F">
      <w:pPr>
        <w:pStyle w:val="Style3"/>
        <w:spacing w:after="0"/>
        <w:rPr>
          <w:rFonts w:cs="Arial"/>
          <w:b/>
          <w:sz w:val="20"/>
        </w:rPr>
      </w:pPr>
      <w:r w:rsidRPr="003B70C5">
        <w:rPr>
          <w:b/>
          <w:sz w:val="20"/>
        </w:rPr>
        <w:t>Changement de présentation</w:t>
      </w:r>
    </w:p>
    <w:p w14:paraId="6302E410" w14:textId="77777777" w:rsidR="000C336F" w:rsidRPr="003B70C5" w:rsidRDefault="000C336F" w:rsidP="000C336F">
      <w:pPr>
        <w:pStyle w:val="Style3"/>
        <w:spacing w:after="0"/>
        <w:rPr>
          <w:rFonts w:cs="Arial"/>
          <w:sz w:val="20"/>
        </w:rPr>
      </w:pPr>
    </w:p>
    <w:p w14:paraId="00F432FA" w14:textId="441D06A5" w:rsidR="000C336F" w:rsidRPr="003B70C5" w:rsidRDefault="000C336F" w:rsidP="007813C4">
      <w:pPr>
        <w:rPr>
          <w:rFonts w:eastAsia="SimSun"/>
          <w:color w:val="000000"/>
          <w:szCs w:val="18"/>
        </w:rPr>
      </w:pPr>
      <w:r w:rsidRPr="003B70C5">
        <w:t>Compte tenu de l</w:t>
      </w:r>
      <w:r w:rsidR="002B0172" w:rsidRPr="003B70C5">
        <w:t>’</w:t>
      </w:r>
      <w:r w:rsidRPr="003B70C5">
        <w:t>approbation du Comité consultatif de l</w:t>
      </w:r>
      <w:r w:rsidR="002B0172" w:rsidRPr="003B70C5">
        <w:t>’</w:t>
      </w:r>
      <w:r w:rsidRPr="003B70C5">
        <w:t>UPOV à sa cent un</w:t>
      </w:r>
      <w:r w:rsidR="002B0172" w:rsidRPr="003B70C5">
        <w:t>ième session</w:t>
      </w:r>
      <w:r w:rsidRPr="003B70C5">
        <w:t xml:space="preserve"> en octobre 2023, les assemblées des États membres de l</w:t>
      </w:r>
      <w:r w:rsidR="002B0172" w:rsidRPr="003B70C5">
        <w:t>’</w:t>
      </w:r>
      <w:r w:rsidRPr="003B70C5">
        <w:t xml:space="preserve">OMPI ont approuvé, en </w:t>
      </w:r>
      <w:r w:rsidR="002B0172" w:rsidRPr="003B70C5">
        <w:t>juillet 20</w:t>
      </w:r>
      <w:r w:rsidRPr="003B70C5">
        <w:t>24, la création d</w:t>
      </w:r>
      <w:r w:rsidR="002B0172" w:rsidRPr="003B70C5">
        <w:t>’</w:t>
      </w:r>
      <w:r w:rsidRPr="003B70C5">
        <w:t>une entité distincte, qui sera établie sous la forme d</w:t>
      </w:r>
      <w:r w:rsidR="002B0172" w:rsidRPr="003B70C5">
        <w:t>’</w:t>
      </w:r>
      <w:r w:rsidRPr="003B70C5">
        <w:t>un régime multiemployeur, chargée des fonds provisionnés pour financer l</w:t>
      </w:r>
      <w:r w:rsidR="002B0172" w:rsidRPr="003B70C5">
        <w:t>’</w:t>
      </w:r>
      <w:r w:rsidRPr="003B70C5">
        <w:t>A</w:t>
      </w:r>
      <w:r w:rsidR="00D076B0" w:rsidRPr="003B70C5">
        <w:t>MCS.  Le</w:t>
      </w:r>
      <w:r w:rsidRPr="003B70C5">
        <w:t xml:space="preserve"> régime d</w:t>
      </w:r>
      <w:r w:rsidR="002B0172" w:rsidRPr="003B70C5">
        <w:t>’</w:t>
      </w:r>
      <w:r w:rsidRPr="003B70C5">
        <w:t>assurance maladie après la cessation de service de l</w:t>
      </w:r>
      <w:r w:rsidR="002B0172" w:rsidRPr="003B70C5">
        <w:t>’</w:t>
      </w:r>
      <w:r w:rsidRPr="003B70C5">
        <w:t>OMPI/UPOV a donc été mis en place à compter du</w:t>
      </w:r>
      <w:r w:rsidR="002B0172" w:rsidRPr="003B70C5">
        <w:t xml:space="preserve"> 1</w:t>
      </w:r>
      <w:r w:rsidR="002B0172" w:rsidRPr="003B70C5">
        <w:rPr>
          <w:vertAlign w:val="superscript"/>
        </w:rPr>
        <w:t>er</w:t>
      </w:r>
      <w:r w:rsidR="002B0172" w:rsidRPr="003B70C5">
        <w:t> </w:t>
      </w:r>
      <w:r w:rsidRPr="003B70C5">
        <w:t xml:space="preserve">janvier 2025. </w:t>
      </w:r>
      <w:r w:rsidR="00E2280F" w:rsidRPr="003B70C5">
        <w:t xml:space="preserve"> </w:t>
      </w:r>
      <w:r w:rsidRPr="003B70C5">
        <w:rPr>
          <w:color w:val="000000"/>
        </w:rPr>
        <w:t>La détention de ces fonds dans une entité distincte permet de les désigner comme des actifs du régime, comme le prévoit la norme</w:t>
      </w:r>
      <w:r w:rsidR="00E2280F" w:rsidRPr="003B70C5">
        <w:rPr>
          <w:color w:val="000000"/>
        </w:rPr>
        <w:t> </w:t>
      </w:r>
      <w:r w:rsidRPr="003B70C5">
        <w:rPr>
          <w:color w:val="000000"/>
        </w:rPr>
        <w:t>IPSAS 39, et la présentation des états financiers est modifiée de manière à présenter le passif de l</w:t>
      </w:r>
      <w:r w:rsidR="002B0172" w:rsidRPr="003B70C5">
        <w:rPr>
          <w:color w:val="000000"/>
        </w:rPr>
        <w:t>’</w:t>
      </w:r>
      <w:r w:rsidRPr="003B70C5">
        <w:rPr>
          <w:color w:val="000000"/>
        </w:rPr>
        <w:t>assurance maladie déduction faite des provisions constituées à cet effet, en reclassant une partie de la trésorerie de l</w:t>
      </w:r>
      <w:r w:rsidR="002B0172" w:rsidRPr="003B70C5">
        <w:rPr>
          <w:color w:val="000000"/>
        </w:rPr>
        <w:t>’</w:t>
      </w:r>
      <w:r w:rsidRPr="003B70C5">
        <w:rPr>
          <w:color w:val="000000"/>
        </w:rPr>
        <w:t>UPOV en engagements au titre des prestations dues au personn</w:t>
      </w:r>
      <w:r w:rsidR="00D076B0" w:rsidRPr="003B70C5">
        <w:rPr>
          <w:color w:val="000000"/>
        </w:rPr>
        <w:t xml:space="preserve">el.  </w:t>
      </w:r>
      <w:r w:rsidR="00D076B0" w:rsidRPr="003B70C5">
        <w:t>En</w:t>
      </w:r>
      <w:r w:rsidRPr="003B70C5">
        <w:t xml:space="preserve"> outre, les gains sur les placements se rapportant à ces actifs du régime sont reclassés en dépenses de personnel et les gains ou pertes actuariels sont comptabilisés dans les actifs nets sur la base des calculs effectués par un actuaire exter</w:t>
      </w:r>
      <w:r w:rsidR="00D076B0" w:rsidRPr="003B70C5">
        <w:t xml:space="preserve">ne.  </w:t>
      </w:r>
      <w:r w:rsidR="00D076B0" w:rsidRPr="003B70C5">
        <w:rPr>
          <w:color w:val="000000"/>
        </w:rPr>
        <w:t>Le</w:t>
      </w:r>
      <w:r w:rsidRPr="003B70C5">
        <w:rPr>
          <w:color w:val="000000"/>
        </w:rPr>
        <w:t xml:space="preserve"> total de la trésorerie stratégique de l</w:t>
      </w:r>
      <w:r w:rsidR="002B0172" w:rsidRPr="003B70C5">
        <w:rPr>
          <w:color w:val="000000"/>
        </w:rPr>
        <w:t>’</w:t>
      </w:r>
      <w:r w:rsidRPr="003B70C5">
        <w:rPr>
          <w:color w:val="000000"/>
        </w:rPr>
        <w:t xml:space="preserve">UPOV et des engagements nets au </w:t>
      </w:r>
      <w:r w:rsidRPr="007813C4">
        <w:rPr>
          <w:color w:val="000000"/>
          <w:spacing w:val="-2"/>
        </w:rPr>
        <w:t>titre de l</w:t>
      </w:r>
      <w:r w:rsidR="002B0172" w:rsidRPr="007813C4">
        <w:rPr>
          <w:color w:val="000000"/>
          <w:spacing w:val="-2"/>
        </w:rPr>
        <w:t>’</w:t>
      </w:r>
      <w:r w:rsidRPr="007813C4">
        <w:rPr>
          <w:color w:val="000000"/>
          <w:spacing w:val="-2"/>
        </w:rPr>
        <w:t>AMCS comptabilisés dans l</w:t>
      </w:r>
      <w:r w:rsidR="002B0172" w:rsidRPr="007813C4">
        <w:rPr>
          <w:color w:val="000000"/>
          <w:spacing w:val="-2"/>
        </w:rPr>
        <w:t>’</w:t>
      </w:r>
      <w:r w:rsidRPr="007813C4">
        <w:rPr>
          <w:color w:val="000000"/>
          <w:spacing w:val="-2"/>
        </w:rPr>
        <w:t>état de la situation financière au 31 </w:t>
      </w:r>
      <w:r w:rsidR="002B0172" w:rsidRPr="007813C4">
        <w:rPr>
          <w:color w:val="000000"/>
          <w:spacing w:val="-2"/>
        </w:rPr>
        <w:t>décembre 20</w:t>
      </w:r>
      <w:r w:rsidRPr="007813C4">
        <w:rPr>
          <w:color w:val="000000"/>
          <w:spacing w:val="-2"/>
        </w:rPr>
        <w:t>25 est détaillé ci</w:t>
      </w:r>
      <w:r w:rsidR="007813C4" w:rsidRPr="007813C4">
        <w:rPr>
          <w:color w:val="000000"/>
          <w:spacing w:val="-2"/>
        </w:rPr>
        <w:noBreakHyphen/>
      </w:r>
      <w:r w:rsidRPr="007813C4">
        <w:rPr>
          <w:color w:val="000000"/>
          <w:spacing w:val="-2"/>
        </w:rPr>
        <w:t>dessous</w:t>
      </w:r>
      <w:r w:rsidR="002B0172" w:rsidRPr="007813C4">
        <w:rPr>
          <w:color w:val="000000"/>
          <w:spacing w:val="-2"/>
        </w:rPr>
        <w:t> :</w:t>
      </w:r>
    </w:p>
    <w:p w14:paraId="33544948" w14:textId="77777777" w:rsidR="000C336F" w:rsidRPr="003B70C5" w:rsidRDefault="000C336F" w:rsidP="007813C4">
      <w:pPr>
        <w:pStyle w:val="Style3"/>
        <w:spacing w:after="0"/>
        <w:rPr>
          <w:rFonts w:cs="Arial"/>
          <w:sz w:val="20"/>
        </w:rPr>
      </w:pPr>
    </w:p>
    <w:p w14:paraId="438C2C4B" w14:textId="62737EDB" w:rsidR="000C336F" w:rsidRPr="003B70C5" w:rsidRDefault="002D7552" w:rsidP="000C336F">
      <w:pPr>
        <w:pStyle w:val="Style3"/>
        <w:spacing w:after="0"/>
        <w:rPr>
          <w:rFonts w:cs="Arial"/>
          <w:sz w:val="20"/>
        </w:rPr>
      </w:pPr>
      <w:r w:rsidRPr="002D7552">
        <w:rPr>
          <w:noProof/>
        </w:rPr>
        <w:lastRenderedPageBreak/>
        <w:drawing>
          <wp:inline distT="0" distB="0" distL="0" distR="0" wp14:anchorId="132F7450" wp14:editId="2BD6BCC3">
            <wp:extent cx="5940000" cy="1945587"/>
            <wp:effectExtent l="0" t="0" r="3810" b="0"/>
            <wp:docPr id="18057328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000" cy="1945587"/>
                    </a:xfrm>
                    <a:prstGeom prst="rect">
                      <a:avLst/>
                    </a:prstGeom>
                    <a:noFill/>
                    <a:ln>
                      <a:noFill/>
                    </a:ln>
                  </pic:spPr>
                </pic:pic>
              </a:graphicData>
            </a:graphic>
          </wp:inline>
        </w:drawing>
      </w:r>
    </w:p>
    <w:p w14:paraId="738C161E" w14:textId="62F4D4E0" w:rsidR="000C336F" w:rsidRDefault="000C336F" w:rsidP="000C336F">
      <w:pPr>
        <w:jc w:val="left"/>
        <w:rPr>
          <w:rFonts w:cs="Arial"/>
          <w:b/>
          <w:caps/>
        </w:rPr>
      </w:pPr>
      <w:bookmarkStart w:id="43" w:name="_Toc84329894"/>
    </w:p>
    <w:p w14:paraId="028EA93C" w14:textId="77777777" w:rsidR="002D7552" w:rsidRPr="003B70C5" w:rsidRDefault="002D7552" w:rsidP="000C336F">
      <w:pPr>
        <w:jc w:val="left"/>
        <w:rPr>
          <w:rFonts w:cs="Arial"/>
          <w:b/>
          <w:caps/>
        </w:rPr>
      </w:pPr>
    </w:p>
    <w:p w14:paraId="60396F63" w14:textId="1F55BEFD" w:rsidR="000C336F" w:rsidRPr="003B70C5" w:rsidRDefault="000C336F" w:rsidP="004573AD">
      <w:pPr>
        <w:pStyle w:val="Heading2Notes"/>
        <w:rPr>
          <w:rFonts w:cs="Arial"/>
        </w:rPr>
      </w:pPr>
      <w:bookmarkStart w:id="44" w:name="_Toc236922630"/>
      <w:r w:rsidRPr="003B70C5">
        <w:t>Note 3</w:t>
      </w:r>
      <w:r w:rsidR="002B0172" w:rsidRPr="003B70C5">
        <w:t> :</w:t>
      </w:r>
      <w:r w:rsidR="00E2280F" w:rsidRPr="003B70C5">
        <w:t xml:space="preserve"> </w:t>
      </w:r>
      <w:r w:rsidRPr="003B70C5">
        <w:tab/>
        <w:t>Trésorerie et équivalents de trésorerie</w:t>
      </w:r>
      <w:bookmarkEnd w:id="43"/>
      <w:bookmarkEnd w:id="44"/>
    </w:p>
    <w:p w14:paraId="167317C9" w14:textId="77777777" w:rsidR="000C336F" w:rsidRPr="003B70C5" w:rsidRDefault="000C336F" w:rsidP="000C336F">
      <w:pPr>
        <w:pStyle w:val="Style3"/>
        <w:spacing w:after="0"/>
        <w:rPr>
          <w:rFonts w:cs="Arial"/>
          <w:sz w:val="20"/>
        </w:rPr>
      </w:pPr>
    </w:p>
    <w:p w14:paraId="5864464C" w14:textId="694762C4" w:rsidR="000C336F" w:rsidRPr="003B70C5" w:rsidRDefault="00EE1635" w:rsidP="000C336F">
      <w:pPr>
        <w:pStyle w:val="Style3"/>
        <w:spacing w:after="0"/>
        <w:rPr>
          <w:rFonts w:cs="Arial"/>
          <w:sz w:val="20"/>
        </w:rPr>
      </w:pPr>
      <w:r w:rsidRPr="00EE1635">
        <w:rPr>
          <w:noProof/>
        </w:rPr>
        <w:drawing>
          <wp:inline distT="0" distB="0" distL="0" distR="0" wp14:anchorId="0C382BBC" wp14:editId="7AAE5962">
            <wp:extent cx="5446800" cy="3042000"/>
            <wp:effectExtent l="0" t="0" r="1905" b="0"/>
            <wp:docPr id="18901795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6800" cy="3042000"/>
                    </a:xfrm>
                    <a:prstGeom prst="rect">
                      <a:avLst/>
                    </a:prstGeom>
                    <a:noFill/>
                    <a:ln>
                      <a:noFill/>
                    </a:ln>
                  </pic:spPr>
                </pic:pic>
              </a:graphicData>
            </a:graphic>
          </wp:inline>
        </w:drawing>
      </w:r>
    </w:p>
    <w:p w14:paraId="19E9A801" w14:textId="77777777" w:rsidR="000C336F" w:rsidRPr="003B70C5" w:rsidRDefault="000C336F" w:rsidP="000C336F">
      <w:pPr>
        <w:pStyle w:val="Style3"/>
        <w:spacing w:after="0"/>
        <w:rPr>
          <w:rFonts w:cs="Arial"/>
          <w:sz w:val="20"/>
        </w:rPr>
      </w:pPr>
    </w:p>
    <w:p w14:paraId="7B015061" w14:textId="77777777" w:rsidR="002B0172" w:rsidRPr="003B70C5" w:rsidRDefault="000C336F" w:rsidP="000C336F">
      <w:pPr>
        <w:pStyle w:val="Style3"/>
        <w:spacing w:after="0"/>
        <w:rPr>
          <w:sz w:val="20"/>
        </w:rPr>
      </w:pPr>
      <w:r w:rsidRPr="003B70C5">
        <w:rPr>
          <w:sz w:val="20"/>
        </w:rPr>
        <w:t>Les avoirs sont généralement placés sur des comptes bancaires à accès immédiat.</w:t>
      </w:r>
    </w:p>
    <w:p w14:paraId="0B060A33" w14:textId="122D9D89" w:rsidR="000C336F" w:rsidRPr="003B70C5" w:rsidRDefault="000C336F" w:rsidP="000C336F">
      <w:pPr>
        <w:pStyle w:val="Style3"/>
        <w:spacing w:after="0"/>
        <w:rPr>
          <w:rFonts w:cs="Arial"/>
          <w:sz w:val="20"/>
        </w:rPr>
      </w:pPr>
    </w:p>
    <w:p w14:paraId="01C20386" w14:textId="26458BF0" w:rsidR="000C336F" w:rsidRPr="003B70C5" w:rsidRDefault="000C336F" w:rsidP="000C336F">
      <w:pPr>
        <w:pStyle w:val="Style3"/>
        <w:spacing w:after="0"/>
        <w:rPr>
          <w:rFonts w:cs="Arial"/>
          <w:sz w:val="20"/>
        </w:rPr>
      </w:pPr>
      <w:r w:rsidRPr="003B70C5">
        <w:rPr>
          <w:sz w:val="20"/>
        </w:rPr>
        <w:t>Les soldes de fonds de roulement sont considérés comme étant soumis à restrictions, bien que les intérêts perçus sur les soldes de fonds de roulement soient ajoutés aux fonds propres de l</w:t>
      </w:r>
      <w:r w:rsidR="002B0172" w:rsidRPr="003B70C5">
        <w:rPr>
          <w:sz w:val="20"/>
        </w:rPr>
        <w:t>’</w:t>
      </w:r>
      <w:r w:rsidRPr="003B70C5">
        <w:rPr>
          <w:sz w:val="20"/>
        </w:rPr>
        <w:t>U</w:t>
      </w:r>
      <w:r w:rsidR="00D076B0" w:rsidRPr="003B70C5">
        <w:rPr>
          <w:sz w:val="20"/>
        </w:rPr>
        <w:t>POV.  Le</w:t>
      </w:r>
      <w:r w:rsidRPr="003B70C5">
        <w:rPr>
          <w:sz w:val="20"/>
        </w:rPr>
        <w:t>s fonds fiduciaires détenus pour le compte de donateurs de ressources extrabudgétaires sont déposés dans la monnaie dans laquelle les dépenses seront comptabilisées, sur la base d</w:t>
      </w:r>
      <w:r w:rsidR="002B0172" w:rsidRPr="003B70C5">
        <w:rPr>
          <w:sz w:val="20"/>
        </w:rPr>
        <w:t>’</w:t>
      </w:r>
      <w:r w:rsidRPr="003B70C5">
        <w:rPr>
          <w:sz w:val="20"/>
        </w:rPr>
        <w:t>accords conclus avec les donateu</w:t>
      </w:r>
      <w:r w:rsidR="00D076B0" w:rsidRPr="003B70C5">
        <w:rPr>
          <w:sz w:val="20"/>
        </w:rPr>
        <w:t>rs.  Su</w:t>
      </w:r>
      <w:r w:rsidRPr="003B70C5">
        <w:rPr>
          <w:sz w:val="20"/>
        </w:rPr>
        <w:t>ite à la création du régime d</w:t>
      </w:r>
      <w:r w:rsidR="002B0172" w:rsidRPr="003B70C5">
        <w:rPr>
          <w:sz w:val="20"/>
        </w:rPr>
        <w:t>’</w:t>
      </w:r>
      <w:r w:rsidRPr="003B70C5">
        <w:rPr>
          <w:sz w:val="20"/>
        </w:rPr>
        <w:t>AMCS, les fonds de détenus pour financer les engagements au titre de l</w:t>
      </w:r>
      <w:r w:rsidR="002B0172" w:rsidRPr="003B70C5">
        <w:rPr>
          <w:sz w:val="20"/>
        </w:rPr>
        <w:t>’</w:t>
      </w:r>
      <w:r w:rsidRPr="003B70C5">
        <w:rPr>
          <w:sz w:val="20"/>
        </w:rPr>
        <w:t>AMCS sont transférés aux engagements au titre des prestations aux avantages du personnel.</w:t>
      </w:r>
    </w:p>
    <w:p w14:paraId="0B0DD99D" w14:textId="77777777" w:rsidR="000C336F" w:rsidRPr="003B70C5" w:rsidRDefault="000C336F" w:rsidP="000C336F"/>
    <w:p w14:paraId="2D621CC7" w14:textId="77777777" w:rsidR="000C336F" w:rsidRPr="003B70C5" w:rsidRDefault="000C336F" w:rsidP="000C336F">
      <w:bookmarkStart w:id="45" w:name="_Toc84329895"/>
    </w:p>
    <w:p w14:paraId="27F6C65E" w14:textId="6240EC8C" w:rsidR="000C336F" w:rsidRPr="003B70C5" w:rsidRDefault="000C336F" w:rsidP="00207291">
      <w:pPr>
        <w:pStyle w:val="Heading2Notes"/>
        <w:rPr>
          <w:rFonts w:cs="Arial"/>
          <w:noProof/>
        </w:rPr>
      </w:pPr>
      <w:bookmarkStart w:id="46" w:name="_Toc236922631"/>
      <w:r w:rsidRPr="003B70C5">
        <w:t>Note 4</w:t>
      </w:r>
      <w:r w:rsidR="002B0172" w:rsidRPr="003B70C5">
        <w:t> :</w:t>
      </w:r>
      <w:r w:rsidR="00E2280F" w:rsidRPr="003B70C5">
        <w:t xml:space="preserve"> </w:t>
      </w:r>
      <w:r w:rsidRPr="003B70C5">
        <w:tab/>
        <w:t>Comptes débiteurs</w:t>
      </w:r>
      <w:bookmarkEnd w:id="45"/>
      <w:bookmarkEnd w:id="46"/>
    </w:p>
    <w:p w14:paraId="4124C4B3" w14:textId="77777777" w:rsidR="000C336F" w:rsidRPr="003B70C5" w:rsidRDefault="000C336F" w:rsidP="00207291">
      <w:pPr>
        <w:keepNext/>
        <w:rPr>
          <w:rFonts w:cs="Arial"/>
        </w:rPr>
      </w:pPr>
      <w:bookmarkStart w:id="47" w:name="_1834646946"/>
      <w:bookmarkStart w:id="48" w:name="_1834651575"/>
      <w:bookmarkStart w:id="49" w:name="_1834644766"/>
      <w:bookmarkEnd w:id="47"/>
      <w:bookmarkEnd w:id="48"/>
      <w:bookmarkEnd w:id="49"/>
    </w:p>
    <w:p w14:paraId="3A9AE03B" w14:textId="49C05DA6" w:rsidR="000C336F" w:rsidRPr="003B70C5" w:rsidRDefault="00EE1635" w:rsidP="000C336F">
      <w:pPr>
        <w:rPr>
          <w:rFonts w:cs="Arial"/>
        </w:rPr>
      </w:pPr>
      <w:r w:rsidRPr="00EE1635">
        <w:rPr>
          <w:noProof/>
        </w:rPr>
        <w:drawing>
          <wp:inline distT="0" distB="0" distL="0" distR="0" wp14:anchorId="521502D6" wp14:editId="11435D9A">
            <wp:extent cx="5940000" cy="1292412"/>
            <wp:effectExtent l="0" t="0" r="3810" b="3175"/>
            <wp:docPr id="19293362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000" cy="1292412"/>
                    </a:xfrm>
                    <a:prstGeom prst="rect">
                      <a:avLst/>
                    </a:prstGeom>
                    <a:noFill/>
                    <a:ln>
                      <a:noFill/>
                    </a:ln>
                  </pic:spPr>
                </pic:pic>
              </a:graphicData>
            </a:graphic>
          </wp:inline>
        </w:drawing>
      </w:r>
    </w:p>
    <w:p w14:paraId="62990775" w14:textId="77777777" w:rsidR="000C336F" w:rsidRPr="003B70C5" w:rsidRDefault="000C336F" w:rsidP="000C336F">
      <w:pPr>
        <w:rPr>
          <w:rFonts w:cs="Arial"/>
        </w:rPr>
      </w:pPr>
    </w:p>
    <w:p w14:paraId="4FFD88C7" w14:textId="2055EDF6" w:rsidR="002B0172" w:rsidRPr="003B70C5" w:rsidRDefault="000C336F" w:rsidP="000C336F">
      <w:r w:rsidRPr="003B70C5">
        <w:t>Les contributions sont les recettes non perçues dans le cadre du système de contributions de l</w:t>
      </w:r>
      <w:r w:rsidR="002B0172" w:rsidRPr="003B70C5">
        <w:t>’</w:t>
      </w:r>
      <w:r w:rsidRPr="003B70C5">
        <w:t>U</w:t>
      </w:r>
      <w:r w:rsidR="00D076B0" w:rsidRPr="003B70C5">
        <w:t>POV.  Le</w:t>
      </w:r>
      <w:r w:rsidR="00C3659B">
        <w:t> </w:t>
      </w:r>
      <w:r w:rsidRPr="003B70C5">
        <w:t>montant de la contribution annuelle de chaque membre de l</w:t>
      </w:r>
      <w:r w:rsidR="002B0172" w:rsidRPr="003B70C5">
        <w:t>’</w:t>
      </w:r>
      <w:r w:rsidRPr="003B70C5">
        <w:t>Union est calculé selon le nombre d</w:t>
      </w:r>
      <w:r w:rsidR="002B0172" w:rsidRPr="003B70C5">
        <w:t>’</w:t>
      </w:r>
      <w:r w:rsidRPr="003B70C5">
        <w:t>unités de contributions qui lui est appliqué (article 26 de l</w:t>
      </w:r>
      <w:r w:rsidR="002B0172" w:rsidRPr="003B70C5">
        <w:t>’</w:t>
      </w:r>
      <w:r w:rsidRPr="003B70C5">
        <w:t xml:space="preserve">Acte </w:t>
      </w:r>
      <w:r w:rsidR="002B0172" w:rsidRPr="003B70C5">
        <w:t>de 1978</w:t>
      </w:r>
      <w:r w:rsidRPr="003B70C5">
        <w:t xml:space="preserve"> et article 29 de l</w:t>
      </w:r>
      <w:r w:rsidR="002B0172" w:rsidRPr="003B70C5">
        <w:t>’</w:t>
      </w:r>
      <w:r w:rsidRPr="003B70C5">
        <w:t xml:space="preserve">Acte </w:t>
      </w:r>
      <w:r w:rsidR="002B0172" w:rsidRPr="003B70C5">
        <w:t>de 1991</w:t>
      </w:r>
      <w:r w:rsidRPr="003B70C5">
        <w:t xml:space="preserve"> de la Conventi</w:t>
      </w:r>
      <w:r w:rsidR="00D076B0" w:rsidRPr="003B70C5">
        <w:t xml:space="preserve">on).  </w:t>
      </w:r>
      <w:r w:rsidR="00D076B0" w:rsidRPr="003B70C5">
        <w:lastRenderedPageBreak/>
        <w:t>Le</w:t>
      </w:r>
      <w:r w:rsidRPr="003B70C5">
        <w:t xml:space="preserve"> cas échéant, une provision est constituée pour compenser la valeur des comptes provenant des contributio</w:t>
      </w:r>
      <w:r w:rsidR="00D076B0" w:rsidRPr="003B70C5">
        <w:t>ns.  Ce</w:t>
      </w:r>
      <w:r w:rsidRPr="003B70C5">
        <w:t>tte provision couvre les montants dus pour les périodes antérieures au dernier exercice biennal.</w:t>
      </w:r>
    </w:p>
    <w:p w14:paraId="14F59B29" w14:textId="04BC89C2" w:rsidR="000C336F" w:rsidRPr="003B70C5" w:rsidRDefault="000C336F" w:rsidP="00D6364A"/>
    <w:p w14:paraId="2D4E3768" w14:textId="77777777" w:rsidR="000C336F" w:rsidRPr="003B70C5" w:rsidRDefault="000C336F" w:rsidP="000C336F">
      <w:pPr>
        <w:jc w:val="left"/>
        <w:rPr>
          <w:rFonts w:cs="Arial"/>
          <w:b/>
          <w:caps/>
        </w:rPr>
      </w:pPr>
    </w:p>
    <w:p w14:paraId="2CB05D82" w14:textId="69966EC3" w:rsidR="000C336F" w:rsidRPr="003B70C5" w:rsidRDefault="000C336F" w:rsidP="004573AD">
      <w:pPr>
        <w:pStyle w:val="Heading2Notes"/>
        <w:rPr>
          <w:rFonts w:cs="Arial"/>
        </w:rPr>
      </w:pPr>
      <w:bookmarkStart w:id="50" w:name="_Toc236922632"/>
      <w:r w:rsidRPr="003B70C5">
        <w:t>Note 5</w:t>
      </w:r>
      <w:r w:rsidR="002B0172" w:rsidRPr="003B70C5">
        <w:t> :</w:t>
      </w:r>
      <w:r w:rsidR="00E2280F" w:rsidRPr="003B70C5">
        <w:t xml:space="preserve"> </w:t>
      </w:r>
      <w:r w:rsidRPr="003B70C5">
        <w:tab/>
        <w:t>Dettes fournisseurs et charges à payer</w:t>
      </w:r>
      <w:bookmarkEnd w:id="50"/>
    </w:p>
    <w:p w14:paraId="05001E12" w14:textId="77777777" w:rsidR="000C336F" w:rsidRPr="003B70C5" w:rsidRDefault="000C336F" w:rsidP="000C336F">
      <w:pPr>
        <w:jc w:val="left"/>
        <w:rPr>
          <w:rFonts w:cs="Arial"/>
        </w:rPr>
      </w:pPr>
    </w:p>
    <w:p w14:paraId="708E43D8" w14:textId="1B3D777F" w:rsidR="000C336F" w:rsidRPr="003B70C5" w:rsidRDefault="00EE1635" w:rsidP="000C336F">
      <w:pPr>
        <w:jc w:val="left"/>
        <w:rPr>
          <w:rFonts w:cs="Arial"/>
        </w:rPr>
      </w:pPr>
      <w:bookmarkStart w:id="51" w:name="_Toc84329896"/>
      <w:r w:rsidRPr="00EE1635">
        <w:rPr>
          <w:noProof/>
        </w:rPr>
        <w:drawing>
          <wp:inline distT="0" distB="0" distL="0" distR="0" wp14:anchorId="4111559B" wp14:editId="7AC8F6F0">
            <wp:extent cx="5940000" cy="1283262"/>
            <wp:effectExtent l="0" t="0" r="3810" b="0"/>
            <wp:docPr id="191055168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000" cy="1283262"/>
                    </a:xfrm>
                    <a:prstGeom prst="rect">
                      <a:avLst/>
                    </a:prstGeom>
                    <a:noFill/>
                    <a:ln>
                      <a:noFill/>
                    </a:ln>
                  </pic:spPr>
                </pic:pic>
              </a:graphicData>
            </a:graphic>
          </wp:inline>
        </w:drawing>
      </w:r>
    </w:p>
    <w:p w14:paraId="1CCDB539" w14:textId="77777777" w:rsidR="000C336F" w:rsidRPr="003B70C5" w:rsidRDefault="000C336F" w:rsidP="000C336F">
      <w:pPr>
        <w:jc w:val="left"/>
        <w:rPr>
          <w:rFonts w:cs="Arial"/>
        </w:rPr>
      </w:pPr>
    </w:p>
    <w:p w14:paraId="1AAE1A02" w14:textId="5C85B008" w:rsidR="000C336F" w:rsidRPr="003B70C5" w:rsidRDefault="000C336F" w:rsidP="000C336F">
      <w:r w:rsidRPr="003B70C5">
        <w:t>Les dettes fournisseurs et les charges à payer comprennent les factures reçues des fournisseurs qui n</w:t>
      </w:r>
      <w:r w:rsidR="002B0172" w:rsidRPr="003B70C5">
        <w:t>’</w:t>
      </w:r>
      <w:r w:rsidRPr="003B70C5">
        <w:t xml:space="preserve">ont pas encore été réglées, </w:t>
      </w:r>
      <w:r w:rsidR="002B0172" w:rsidRPr="003B70C5">
        <w:t>y compris</w:t>
      </w:r>
      <w:r w:rsidRPr="003B70C5">
        <w:t xml:space="preserve"> la réévaluation des factures à payer libellées dans des devises autres que le franc suisse.</w:t>
      </w:r>
    </w:p>
    <w:p w14:paraId="24289173" w14:textId="5700690A" w:rsidR="000C336F" w:rsidRDefault="000C336F" w:rsidP="000C336F">
      <w:pPr>
        <w:jc w:val="left"/>
        <w:rPr>
          <w:rFonts w:cs="Arial"/>
          <w:b/>
          <w:caps/>
        </w:rPr>
      </w:pPr>
    </w:p>
    <w:p w14:paraId="11162225" w14:textId="77777777" w:rsidR="005A7E33" w:rsidRPr="003B70C5" w:rsidRDefault="005A7E33" w:rsidP="000C336F">
      <w:pPr>
        <w:jc w:val="left"/>
        <w:rPr>
          <w:rFonts w:cs="Arial"/>
          <w:b/>
          <w:caps/>
        </w:rPr>
      </w:pPr>
    </w:p>
    <w:p w14:paraId="4360B0A2" w14:textId="4B2426A6" w:rsidR="000C336F" w:rsidRPr="003B70C5" w:rsidRDefault="000C336F" w:rsidP="004573AD">
      <w:pPr>
        <w:pStyle w:val="Heading2Notes"/>
        <w:rPr>
          <w:rFonts w:cs="Arial"/>
        </w:rPr>
      </w:pPr>
      <w:bookmarkStart w:id="52" w:name="_Toc236922633"/>
      <w:r w:rsidRPr="003B70C5">
        <w:t>Note 6</w:t>
      </w:r>
      <w:r w:rsidR="002B0172" w:rsidRPr="003B70C5">
        <w:t> :</w:t>
      </w:r>
      <w:r w:rsidR="00E2280F" w:rsidRPr="003B70C5">
        <w:t xml:space="preserve"> </w:t>
      </w:r>
      <w:r w:rsidRPr="003B70C5">
        <w:tab/>
        <w:t>Prestations au personnel</w:t>
      </w:r>
      <w:bookmarkEnd w:id="51"/>
      <w:bookmarkEnd w:id="52"/>
    </w:p>
    <w:p w14:paraId="6F65181B" w14:textId="77777777" w:rsidR="000C336F" w:rsidRPr="003B70C5" w:rsidRDefault="000C336F" w:rsidP="00D6364A"/>
    <w:p w14:paraId="145ABB2C" w14:textId="26EDA6B8" w:rsidR="000C336F" w:rsidRPr="003B70C5" w:rsidRDefault="00D2047F" w:rsidP="000C336F">
      <w:pPr>
        <w:pStyle w:val="Caption"/>
        <w:rPr>
          <w:b w:val="0"/>
          <w:bCs w:val="0"/>
          <w:sz w:val="20"/>
        </w:rPr>
      </w:pPr>
      <w:bookmarkStart w:id="53" w:name="_1834646951"/>
      <w:bookmarkStart w:id="54" w:name="_1834651579"/>
      <w:bookmarkStart w:id="55" w:name="_1834644773"/>
      <w:bookmarkEnd w:id="53"/>
      <w:bookmarkEnd w:id="54"/>
      <w:bookmarkEnd w:id="55"/>
      <w:r w:rsidRPr="00D2047F">
        <w:rPr>
          <w:noProof/>
        </w:rPr>
        <w:drawing>
          <wp:inline distT="0" distB="0" distL="0" distR="0" wp14:anchorId="3F521389" wp14:editId="338333F0">
            <wp:extent cx="6137910" cy="3309620"/>
            <wp:effectExtent l="0" t="0" r="0" b="5080"/>
            <wp:docPr id="18000179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7910" cy="3309620"/>
                    </a:xfrm>
                    <a:prstGeom prst="rect">
                      <a:avLst/>
                    </a:prstGeom>
                    <a:noFill/>
                    <a:ln>
                      <a:noFill/>
                    </a:ln>
                  </pic:spPr>
                </pic:pic>
              </a:graphicData>
            </a:graphic>
          </wp:inline>
        </w:drawing>
      </w:r>
    </w:p>
    <w:p w14:paraId="77CB4818" w14:textId="77777777" w:rsidR="000C336F" w:rsidRPr="003B70C5" w:rsidRDefault="000C336F" w:rsidP="00D6364A">
      <w:pPr>
        <w:pStyle w:val="Caption"/>
      </w:pPr>
    </w:p>
    <w:p w14:paraId="4C99BB00" w14:textId="2741E803" w:rsidR="000C336F" w:rsidRPr="003B70C5" w:rsidRDefault="000C336F" w:rsidP="005A7E33">
      <w:pPr>
        <w:pStyle w:val="Style3"/>
        <w:keepNext/>
        <w:rPr>
          <w:rFonts w:cs="Arial"/>
          <w:sz w:val="20"/>
        </w:rPr>
      </w:pPr>
      <w:r w:rsidRPr="003B70C5">
        <w:rPr>
          <w:sz w:val="20"/>
        </w:rPr>
        <w:t>Les prestations à long terme dues au personnel comprennent l</w:t>
      </w:r>
      <w:r w:rsidR="002B0172" w:rsidRPr="003B70C5">
        <w:rPr>
          <w:sz w:val="20"/>
        </w:rPr>
        <w:t>’</w:t>
      </w:r>
      <w:r w:rsidRPr="003B70C5">
        <w:rPr>
          <w:sz w:val="20"/>
        </w:rPr>
        <w:t>assurance maladie après la cessation de service (AMCS), la prime de rapatriement et voyage et les congés annuels (postes)</w:t>
      </w:r>
      <w:r w:rsidR="002B0172" w:rsidRPr="003B70C5">
        <w:rPr>
          <w:sz w:val="20"/>
        </w:rPr>
        <w:t> :</w:t>
      </w:r>
    </w:p>
    <w:p w14:paraId="40A7D9A0" w14:textId="5B0B75B4" w:rsidR="000C336F" w:rsidRPr="003B70C5" w:rsidRDefault="000C336F" w:rsidP="000C336F">
      <w:pPr>
        <w:pStyle w:val="Style3"/>
        <w:rPr>
          <w:rFonts w:cs="Arial"/>
          <w:sz w:val="20"/>
        </w:rPr>
      </w:pPr>
      <w:r w:rsidRPr="003B70C5">
        <w:rPr>
          <w:b/>
          <w:i/>
          <w:sz w:val="20"/>
        </w:rPr>
        <w:t>AMCS</w:t>
      </w:r>
      <w:r w:rsidR="002B0172" w:rsidRPr="003B70C5">
        <w:rPr>
          <w:b/>
          <w:i/>
          <w:sz w:val="20"/>
        </w:rPr>
        <w:t> :</w:t>
      </w:r>
      <w:r w:rsidRPr="003B70C5">
        <w:rPr>
          <w:i/>
          <w:sz w:val="20"/>
        </w:rPr>
        <w:t xml:space="preserve"> </w:t>
      </w:r>
      <w:r w:rsidRPr="003B70C5">
        <w:rPr>
          <w:sz w:val="20"/>
        </w:rPr>
        <w:t>les fonctionnaires (ainsi que leurs conjoints, leurs enfants et leurs survivants) peuvent, au moment de la retraite, souscrire à l</w:t>
      </w:r>
      <w:r w:rsidR="002B0172" w:rsidRPr="003B70C5">
        <w:rPr>
          <w:sz w:val="20"/>
        </w:rPr>
        <w:t>’</w:t>
      </w:r>
      <w:r w:rsidRPr="003B70C5">
        <w:rPr>
          <w:sz w:val="20"/>
        </w:rPr>
        <w:t>AMCS s</w:t>
      </w:r>
      <w:r w:rsidR="002B0172" w:rsidRPr="003B70C5">
        <w:rPr>
          <w:sz w:val="20"/>
        </w:rPr>
        <w:t>’</w:t>
      </w:r>
      <w:r w:rsidRPr="003B70C5">
        <w:rPr>
          <w:sz w:val="20"/>
        </w:rPr>
        <w:t>ils continuent de payer leur prime après la cessation de servi</w:t>
      </w:r>
      <w:r w:rsidR="00D076B0" w:rsidRPr="003B70C5">
        <w:rPr>
          <w:sz w:val="20"/>
        </w:rPr>
        <w:t>ce.  Se</w:t>
      </w:r>
      <w:r w:rsidRPr="003B70C5">
        <w:rPr>
          <w:sz w:val="20"/>
        </w:rPr>
        <w:t>lon le Statut et Règlement du personnel de l</w:t>
      </w:r>
      <w:r w:rsidR="002B0172" w:rsidRPr="003B70C5">
        <w:rPr>
          <w:sz w:val="20"/>
        </w:rPr>
        <w:t>’</w:t>
      </w:r>
      <w:r w:rsidRPr="003B70C5">
        <w:rPr>
          <w:sz w:val="20"/>
        </w:rPr>
        <w:t>OMPI, l</w:t>
      </w:r>
      <w:r w:rsidR="002B0172" w:rsidRPr="003B70C5">
        <w:rPr>
          <w:sz w:val="20"/>
        </w:rPr>
        <w:t>’</w:t>
      </w:r>
      <w:r w:rsidRPr="003B70C5">
        <w:rPr>
          <w:sz w:val="20"/>
        </w:rPr>
        <w:t>UPOV prend en charge 65% de la prime mensuelle d</w:t>
      </w:r>
      <w:r w:rsidR="002B0172" w:rsidRPr="003B70C5">
        <w:rPr>
          <w:sz w:val="20"/>
        </w:rPr>
        <w:t>’</w:t>
      </w:r>
      <w:r w:rsidRPr="003B70C5">
        <w:rPr>
          <w:sz w:val="20"/>
        </w:rPr>
        <w:t>assurance maladie.</w:t>
      </w:r>
    </w:p>
    <w:p w14:paraId="025494D0" w14:textId="54D8497C" w:rsidR="000C336F" w:rsidRPr="003B70C5" w:rsidRDefault="000C336F" w:rsidP="000C336F">
      <w:pPr>
        <w:pStyle w:val="Style3"/>
        <w:rPr>
          <w:rFonts w:cs="Arial"/>
          <w:sz w:val="20"/>
        </w:rPr>
      </w:pPr>
      <w:r w:rsidRPr="003B70C5">
        <w:rPr>
          <w:b/>
          <w:i/>
          <w:sz w:val="20"/>
        </w:rPr>
        <w:t>Prime de rapatriement et voyage</w:t>
      </w:r>
      <w:r w:rsidR="002B0172" w:rsidRPr="003B70C5">
        <w:rPr>
          <w:b/>
          <w:i/>
          <w:sz w:val="20"/>
        </w:rPr>
        <w:t> :</w:t>
      </w:r>
      <w:r w:rsidRPr="003B70C5">
        <w:rPr>
          <w:sz w:val="20"/>
        </w:rPr>
        <w:t xml:space="preserve"> l</w:t>
      </w:r>
      <w:r w:rsidR="002B0172" w:rsidRPr="003B70C5">
        <w:rPr>
          <w:sz w:val="20"/>
        </w:rPr>
        <w:t>’</w:t>
      </w:r>
      <w:r w:rsidRPr="003B70C5">
        <w:rPr>
          <w:sz w:val="20"/>
        </w:rPr>
        <w:t>UPOV a l</w:t>
      </w:r>
      <w:r w:rsidR="002B0172" w:rsidRPr="003B70C5">
        <w:rPr>
          <w:sz w:val="20"/>
        </w:rPr>
        <w:t>’</w:t>
      </w:r>
      <w:r w:rsidRPr="003B70C5">
        <w:rPr>
          <w:sz w:val="20"/>
        </w:rPr>
        <w:t>obligation contractuelle d</w:t>
      </w:r>
      <w:r w:rsidR="002B0172" w:rsidRPr="003B70C5">
        <w:rPr>
          <w:sz w:val="20"/>
        </w:rPr>
        <w:t>’</w:t>
      </w:r>
      <w:r w:rsidRPr="003B70C5">
        <w:rPr>
          <w:sz w:val="20"/>
        </w:rPr>
        <w:t>accorder des prestations telles que les primes de rapatriement, voyage et déménagement à certains fonctionnaires recrutés au niveau international, au moment de leur cessation de service.</w:t>
      </w:r>
    </w:p>
    <w:p w14:paraId="01DDA032" w14:textId="5B68D14A" w:rsidR="000C336F" w:rsidRPr="003B70C5" w:rsidRDefault="000C336F" w:rsidP="000C336F">
      <w:pPr>
        <w:pStyle w:val="Style3"/>
        <w:rPr>
          <w:rFonts w:cs="Arial"/>
          <w:sz w:val="20"/>
        </w:rPr>
      </w:pPr>
      <w:r w:rsidRPr="003B70C5">
        <w:rPr>
          <w:b/>
          <w:i/>
          <w:sz w:val="20"/>
        </w:rPr>
        <w:t>Congés annuels (postes)</w:t>
      </w:r>
      <w:r w:rsidR="002B0172" w:rsidRPr="003B70C5">
        <w:rPr>
          <w:b/>
          <w:i/>
          <w:sz w:val="20"/>
        </w:rPr>
        <w:t> :</w:t>
      </w:r>
      <w:r w:rsidRPr="003B70C5">
        <w:rPr>
          <w:sz w:val="20"/>
        </w:rPr>
        <w:t xml:space="preserve"> les congés annuels font partie de la catégorie des prestations à long terme dues aux fonctionnaires titulaires d</w:t>
      </w:r>
      <w:r w:rsidR="002B0172" w:rsidRPr="003B70C5">
        <w:rPr>
          <w:sz w:val="20"/>
        </w:rPr>
        <w:t>’</w:t>
      </w:r>
      <w:r w:rsidRPr="003B70C5">
        <w:rPr>
          <w:sz w:val="20"/>
        </w:rPr>
        <w:t>un engagement permanent, d</w:t>
      </w:r>
      <w:r w:rsidR="002B0172" w:rsidRPr="003B70C5">
        <w:rPr>
          <w:sz w:val="20"/>
        </w:rPr>
        <w:t>’</w:t>
      </w:r>
      <w:r w:rsidRPr="003B70C5">
        <w:rPr>
          <w:sz w:val="20"/>
        </w:rPr>
        <w:t>un engagement continu ou d</w:t>
      </w:r>
      <w:r w:rsidR="002B0172" w:rsidRPr="003B70C5">
        <w:rPr>
          <w:sz w:val="20"/>
        </w:rPr>
        <w:t>’</w:t>
      </w:r>
      <w:r w:rsidRPr="003B70C5">
        <w:rPr>
          <w:sz w:val="20"/>
        </w:rPr>
        <w:t>un engagement de durée détermin</w:t>
      </w:r>
      <w:r w:rsidR="00D076B0" w:rsidRPr="003B70C5">
        <w:rPr>
          <w:sz w:val="20"/>
        </w:rPr>
        <w:t>ée.  Le</w:t>
      </w:r>
      <w:r w:rsidRPr="003B70C5">
        <w:rPr>
          <w:sz w:val="20"/>
        </w:rPr>
        <w:t>s fonctionnaires en poste peuvent accumuler jusqu</w:t>
      </w:r>
      <w:r w:rsidR="002B0172" w:rsidRPr="003B70C5">
        <w:rPr>
          <w:sz w:val="20"/>
        </w:rPr>
        <w:t>’</w:t>
      </w:r>
      <w:r w:rsidRPr="003B70C5">
        <w:rPr>
          <w:sz w:val="20"/>
        </w:rPr>
        <w:t>à 15 jours de congé annuel pendant une année donnée et un total cumulé de 60 jou</w:t>
      </w:r>
      <w:r w:rsidR="00D076B0" w:rsidRPr="003B70C5">
        <w:rPr>
          <w:sz w:val="20"/>
        </w:rPr>
        <w:t>rs.  Au</w:t>
      </w:r>
      <w:r w:rsidRPr="003B70C5">
        <w:rPr>
          <w:sz w:val="20"/>
        </w:rPr>
        <w:t xml:space="preserve"> moment de la cessation de service, le fonctionnaire en poste qui a accumulé des jours de congé annuel peut recevoir un paiement pour les jours de congé annuel accumulés au lieu d</w:t>
      </w:r>
      <w:r w:rsidR="002B0172" w:rsidRPr="003B70C5">
        <w:rPr>
          <w:sz w:val="20"/>
        </w:rPr>
        <w:t>’</w:t>
      </w:r>
      <w:r w:rsidRPr="003B70C5">
        <w:rPr>
          <w:sz w:val="20"/>
        </w:rPr>
        <w:t>un montant équivalent à son traitement, jusqu</w:t>
      </w:r>
      <w:r w:rsidR="002B0172" w:rsidRPr="003B70C5">
        <w:rPr>
          <w:sz w:val="20"/>
        </w:rPr>
        <w:t>’</w:t>
      </w:r>
      <w:r w:rsidRPr="003B70C5">
        <w:rPr>
          <w:sz w:val="20"/>
        </w:rPr>
        <w:t>à un maximum de 60 jours.</w:t>
      </w:r>
    </w:p>
    <w:p w14:paraId="2E574D39" w14:textId="07E0547F" w:rsidR="000C336F" w:rsidRPr="003B70C5" w:rsidRDefault="000C336F" w:rsidP="000C336F">
      <w:r w:rsidRPr="003B70C5">
        <w:lastRenderedPageBreak/>
        <w:t>Les engagements au titre des prestations au personnel relatifs à l</w:t>
      </w:r>
      <w:r w:rsidR="002B0172" w:rsidRPr="003B70C5">
        <w:t>’</w:t>
      </w:r>
      <w:r w:rsidRPr="003B70C5">
        <w:t>AMCS, à la prime de rapatriement et voyage et aux congés annuels (postes) sont calculés par un actuaire indépenda</w:t>
      </w:r>
      <w:r w:rsidR="00D076B0" w:rsidRPr="003B70C5">
        <w:t>nt.  La</w:t>
      </w:r>
      <w:r w:rsidRPr="003B70C5">
        <w:t xml:space="preserve"> valeur actuelle de ces engagements est calculée selon la méthode des unités de crédit projetées et par soustraction des futures sorties de trésorerie estimé</w:t>
      </w:r>
      <w:r w:rsidR="00D076B0" w:rsidRPr="003B70C5">
        <w:t>es.  Le</w:t>
      </w:r>
      <w:r w:rsidRPr="003B70C5">
        <w:t>s hypothèses actuarielles ont une incidence significative sur les montants calculés pour les engagements au titre des prestations au personn</w:t>
      </w:r>
      <w:r w:rsidR="00D076B0" w:rsidRPr="003B70C5">
        <w:t>el.  Un</w:t>
      </w:r>
      <w:r w:rsidRPr="003B70C5">
        <w:t>e description des facteurs qui influent sur l</w:t>
      </w:r>
      <w:r w:rsidR="002B0172" w:rsidRPr="003B70C5">
        <w:t>’</w:t>
      </w:r>
      <w:r w:rsidRPr="003B70C5">
        <w:t>ampleur de l</w:t>
      </w:r>
      <w:r w:rsidR="002B0172" w:rsidRPr="003B70C5">
        <w:t>’</w:t>
      </w:r>
      <w:r w:rsidRPr="003B70C5">
        <w:t>engagement au titre de l</w:t>
      </w:r>
      <w:r w:rsidR="002B0172" w:rsidRPr="003B70C5">
        <w:t>’</w:t>
      </w:r>
      <w:r w:rsidRPr="003B70C5">
        <w:t>assurance maladie après la cessation de service figure dans l</w:t>
      </w:r>
      <w:r w:rsidR="002B0172" w:rsidRPr="003B70C5">
        <w:t>’</w:t>
      </w:r>
      <w:r w:rsidRPr="003B70C5">
        <w:t>examen et l</w:t>
      </w:r>
      <w:r w:rsidR="002B0172" w:rsidRPr="003B70C5">
        <w:t>’</w:t>
      </w:r>
      <w:r w:rsidRPr="003B70C5">
        <w:t>analyse des états financiers qui précèdent les présents états financie</w:t>
      </w:r>
      <w:r w:rsidR="00D076B0" w:rsidRPr="003B70C5">
        <w:t>rs.  Le</w:t>
      </w:r>
      <w:r w:rsidRPr="003B70C5">
        <w:t>s principales hypothèses actuarielles appliquées au calcul des engagements à long terme au titre des prestations dues au personnel sont détaillées ci</w:t>
      </w:r>
      <w:r w:rsidR="002B0172" w:rsidRPr="003B70C5">
        <w:t>-</w:t>
      </w:r>
      <w:r w:rsidRPr="003B70C5">
        <w:t>desso</w:t>
      </w:r>
      <w:r w:rsidR="00D076B0" w:rsidRPr="003B70C5">
        <w:t>us.  Le</w:t>
      </w:r>
      <w:r w:rsidRPr="003B70C5">
        <w:t>s taux d</w:t>
      </w:r>
      <w:r w:rsidR="002B0172" w:rsidRPr="003B70C5">
        <w:t>’</w:t>
      </w:r>
      <w:r w:rsidRPr="003B70C5">
        <w:t>escompte ont été déterminés au moyen de courbes de rendement d</w:t>
      </w:r>
      <w:r w:rsidR="002B0172" w:rsidRPr="003B70C5">
        <w:t>’</w:t>
      </w:r>
      <w:r w:rsidRPr="003B70C5">
        <w:t>obligations de sociétés AA</w:t>
      </w:r>
      <w:r w:rsidR="002B0172" w:rsidRPr="003B70C5">
        <w:t> :</w:t>
      </w:r>
    </w:p>
    <w:p w14:paraId="7AD84D89" w14:textId="77777777" w:rsidR="002B0172" w:rsidRPr="003B70C5" w:rsidRDefault="002B0172" w:rsidP="000C336F">
      <w:pPr>
        <w:pStyle w:val="Style3"/>
        <w:spacing w:after="0"/>
        <w:rPr>
          <w:rFonts w:cs="Arial"/>
          <w:sz w:val="20"/>
        </w:rPr>
      </w:pPr>
    </w:p>
    <w:p w14:paraId="663D9D61" w14:textId="58CAE1EB" w:rsidR="000C336F" w:rsidRPr="003B70C5" w:rsidRDefault="00AB2623" w:rsidP="000C336F">
      <w:pPr>
        <w:pStyle w:val="Style3"/>
        <w:spacing w:after="0"/>
        <w:jc w:val="center"/>
        <w:rPr>
          <w:rFonts w:cs="Arial"/>
          <w:sz w:val="20"/>
        </w:rPr>
      </w:pPr>
      <w:r w:rsidRPr="00AB2623">
        <w:rPr>
          <w:noProof/>
        </w:rPr>
        <w:drawing>
          <wp:inline distT="0" distB="0" distL="0" distR="0" wp14:anchorId="0C1052B7" wp14:editId="6C44F3CF">
            <wp:extent cx="6137910" cy="4311650"/>
            <wp:effectExtent l="0" t="0" r="0" b="0"/>
            <wp:docPr id="3152032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7910" cy="4311650"/>
                    </a:xfrm>
                    <a:prstGeom prst="rect">
                      <a:avLst/>
                    </a:prstGeom>
                    <a:noFill/>
                    <a:ln>
                      <a:noFill/>
                    </a:ln>
                  </pic:spPr>
                </pic:pic>
              </a:graphicData>
            </a:graphic>
          </wp:inline>
        </w:drawing>
      </w:r>
    </w:p>
    <w:p w14:paraId="64CB83AE" w14:textId="77777777" w:rsidR="000C336F" w:rsidRPr="003B70C5" w:rsidRDefault="000C336F" w:rsidP="000C336F">
      <w:pPr>
        <w:pStyle w:val="Style3"/>
        <w:spacing w:after="0"/>
        <w:rPr>
          <w:rFonts w:cs="Arial"/>
          <w:sz w:val="20"/>
        </w:rPr>
      </w:pPr>
    </w:p>
    <w:p w14:paraId="6E878433" w14:textId="1D54C3BE" w:rsidR="000C336F" w:rsidRPr="003B70C5" w:rsidRDefault="000C336F" w:rsidP="005A7E33">
      <w:pPr>
        <w:keepNext/>
        <w:rPr>
          <w:rFonts w:cs="Arial"/>
        </w:rPr>
      </w:pPr>
      <w:r w:rsidRPr="003B70C5">
        <w:t>Le tableau ci</w:t>
      </w:r>
      <w:r w:rsidR="002B0172" w:rsidRPr="003B70C5">
        <w:t>-</w:t>
      </w:r>
      <w:r w:rsidRPr="003B70C5">
        <w:t>dessous détaille les dépenses au titre de l</w:t>
      </w:r>
      <w:r w:rsidR="002B0172" w:rsidRPr="003B70C5">
        <w:t>’</w:t>
      </w:r>
      <w:r w:rsidRPr="003B70C5">
        <w:t>AMCS comptabilisées dans l</w:t>
      </w:r>
      <w:r w:rsidR="002B0172" w:rsidRPr="003B70C5">
        <w:t>’</w:t>
      </w:r>
      <w:r w:rsidRPr="003B70C5">
        <w:t>état de la performance financière</w:t>
      </w:r>
      <w:r w:rsidR="002B0172" w:rsidRPr="003B70C5">
        <w:t> :</w:t>
      </w:r>
    </w:p>
    <w:p w14:paraId="571DB28C" w14:textId="77777777" w:rsidR="002B0172" w:rsidRPr="003B70C5" w:rsidRDefault="002B0172" w:rsidP="005A7E33">
      <w:pPr>
        <w:keepNext/>
        <w:rPr>
          <w:rFonts w:cs="Arial"/>
        </w:rPr>
      </w:pPr>
    </w:p>
    <w:p w14:paraId="4DF8A7DD" w14:textId="50ACC1A8" w:rsidR="000C336F" w:rsidRPr="003B70C5" w:rsidRDefault="002B633D" w:rsidP="000C336F">
      <w:pPr>
        <w:jc w:val="center"/>
        <w:rPr>
          <w:rFonts w:cs="Arial"/>
        </w:rPr>
      </w:pPr>
      <w:r w:rsidRPr="002B633D">
        <w:rPr>
          <w:noProof/>
        </w:rPr>
        <w:drawing>
          <wp:inline distT="0" distB="0" distL="0" distR="0" wp14:anchorId="4A591580" wp14:editId="155A9FAF">
            <wp:extent cx="5923915" cy="1510665"/>
            <wp:effectExtent l="0" t="0" r="635" b="0"/>
            <wp:docPr id="9963607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3915" cy="1510665"/>
                    </a:xfrm>
                    <a:prstGeom prst="rect">
                      <a:avLst/>
                    </a:prstGeom>
                    <a:noFill/>
                    <a:ln>
                      <a:noFill/>
                    </a:ln>
                  </pic:spPr>
                </pic:pic>
              </a:graphicData>
            </a:graphic>
          </wp:inline>
        </w:drawing>
      </w:r>
    </w:p>
    <w:p w14:paraId="574C9842" w14:textId="77777777" w:rsidR="000C336F" w:rsidRPr="003B70C5" w:rsidRDefault="000C336F" w:rsidP="000C336F">
      <w:pPr>
        <w:rPr>
          <w:rFonts w:cs="Arial"/>
        </w:rPr>
      </w:pPr>
    </w:p>
    <w:p w14:paraId="546D46DA" w14:textId="66A85C9C" w:rsidR="000C336F" w:rsidRPr="003B70C5" w:rsidRDefault="000C336F" w:rsidP="00614FD9">
      <w:pPr>
        <w:keepNext/>
        <w:rPr>
          <w:rFonts w:cs="Arial"/>
        </w:rPr>
      </w:pPr>
      <w:r w:rsidRPr="003B70C5">
        <w:lastRenderedPageBreak/>
        <w:t>Le tableau ci</w:t>
      </w:r>
      <w:r w:rsidR="002B0172" w:rsidRPr="003B70C5">
        <w:t>-</w:t>
      </w:r>
      <w:r w:rsidRPr="003B70C5">
        <w:t>dessous détaille l</w:t>
      </w:r>
      <w:r w:rsidR="002B0172" w:rsidRPr="003B70C5">
        <w:t>’</w:t>
      </w:r>
      <w:r w:rsidRPr="003B70C5">
        <w:t>évolution de l</w:t>
      </w:r>
      <w:r w:rsidR="002B0172" w:rsidRPr="003B70C5">
        <w:t>’</w:t>
      </w:r>
      <w:r w:rsidRPr="003B70C5">
        <w:t>engagement net au titre des prestations définies dans le cadre de l</w:t>
      </w:r>
      <w:r w:rsidR="002B0172" w:rsidRPr="003B70C5">
        <w:t>’</w:t>
      </w:r>
      <w:r w:rsidRPr="003B70C5">
        <w:t xml:space="preserve">AMCS, </w:t>
      </w:r>
      <w:r w:rsidR="002B0172" w:rsidRPr="003B70C5">
        <w:t>y compris</w:t>
      </w:r>
      <w:r w:rsidRPr="003B70C5">
        <w:t xml:space="preserve"> l</w:t>
      </w:r>
      <w:r w:rsidR="002B0172" w:rsidRPr="003B70C5">
        <w:t>’</w:t>
      </w:r>
      <w:r w:rsidRPr="003B70C5">
        <w:t>impact des gains (pertes) actuariels comptabilisés dans l</w:t>
      </w:r>
      <w:r w:rsidR="002B0172" w:rsidRPr="003B70C5">
        <w:t>’</w:t>
      </w:r>
      <w:r w:rsidRPr="003B70C5">
        <w:t>état de la situation financière</w:t>
      </w:r>
      <w:r w:rsidR="002B0172" w:rsidRPr="003B70C5">
        <w:t> :</w:t>
      </w:r>
    </w:p>
    <w:p w14:paraId="7F43FDD2" w14:textId="77777777" w:rsidR="000C336F" w:rsidRPr="003B70C5" w:rsidRDefault="000C336F" w:rsidP="00614FD9">
      <w:pPr>
        <w:keepNext/>
        <w:rPr>
          <w:rFonts w:cs="Arial"/>
        </w:rPr>
      </w:pPr>
    </w:p>
    <w:p w14:paraId="6E6D5F51" w14:textId="320826AD" w:rsidR="000C336F" w:rsidRPr="003B70C5" w:rsidRDefault="00DE333E" w:rsidP="000C336F">
      <w:pPr>
        <w:jc w:val="center"/>
        <w:rPr>
          <w:rFonts w:cs="Arial"/>
        </w:rPr>
      </w:pPr>
      <w:bookmarkStart w:id="56" w:name="_1834646965"/>
      <w:bookmarkStart w:id="57" w:name="_1834651595"/>
      <w:bookmarkStart w:id="58" w:name="_1834644797"/>
      <w:bookmarkEnd w:id="56"/>
      <w:bookmarkEnd w:id="57"/>
      <w:bookmarkEnd w:id="58"/>
      <w:r w:rsidRPr="00DE333E">
        <w:rPr>
          <w:noProof/>
        </w:rPr>
        <w:drawing>
          <wp:inline distT="0" distB="0" distL="0" distR="0" wp14:anchorId="175A0DED" wp14:editId="13B5E2D5">
            <wp:extent cx="6137910" cy="6731000"/>
            <wp:effectExtent l="0" t="0" r="0" b="0"/>
            <wp:docPr id="13926371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37910" cy="6731000"/>
                    </a:xfrm>
                    <a:prstGeom prst="rect">
                      <a:avLst/>
                    </a:prstGeom>
                    <a:noFill/>
                    <a:ln>
                      <a:noFill/>
                    </a:ln>
                  </pic:spPr>
                </pic:pic>
              </a:graphicData>
            </a:graphic>
          </wp:inline>
        </w:drawing>
      </w:r>
    </w:p>
    <w:p w14:paraId="74EE9458" w14:textId="77777777" w:rsidR="000C336F" w:rsidRPr="003B70C5" w:rsidRDefault="000C336F" w:rsidP="000C336F"/>
    <w:p w14:paraId="7FBDDFC9" w14:textId="71E8372B" w:rsidR="000C336F" w:rsidRPr="003B70C5" w:rsidRDefault="000C336F" w:rsidP="000C336F">
      <w:bookmarkStart w:id="59" w:name="_Hlk192858195"/>
      <w:r w:rsidRPr="003B70C5">
        <w:t>Comme le montre le tableau ci</w:t>
      </w:r>
      <w:r w:rsidR="002B0172" w:rsidRPr="003B70C5">
        <w:t>-</w:t>
      </w:r>
      <w:r w:rsidRPr="003B70C5">
        <w:t xml:space="preserve">dessus, les pertes actuarielles les plus importantes </w:t>
      </w:r>
      <w:r w:rsidR="002B0172" w:rsidRPr="003B70C5">
        <w:t>en 2025</w:t>
      </w:r>
      <w:r w:rsidRPr="003B70C5">
        <w:t xml:space="preserve"> qui ont une incidence sur l</w:t>
      </w:r>
      <w:r w:rsidR="002B0172" w:rsidRPr="003B70C5">
        <w:t>’</w:t>
      </w:r>
      <w:r w:rsidRPr="003B70C5">
        <w:t>obligation au titre des prestations définies sont dues à une hausse du taux d</w:t>
      </w:r>
      <w:r w:rsidR="002B0172" w:rsidRPr="003B70C5">
        <w:t>’</w:t>
      </w:r>
      <w:r w:rsidRPr="003B70C5">
        <w:t>actualisation, qui est passé de 1,50% à 1,90%, ainsi qu</w:t>
      </w:r>
      <w:r w:rsidR="002B0172" w:rsidRPr="003B70C5">
        <w:t>’</w:t>
      </w:r>
      <w:r w:rsidRPr="003B70C5">
        <w:t xml:space="preserve">à une baisse des taux tendanciels du coût des soins médicaux qui sont passés de 2,40% à 2,20%. </w:t>
      </w:r>
      <w:r w:rsidR="00E2280F" w:rsidRPr="003B70C5">
        <w:t xml:space="preserve"> </w:t>
      </w:r>
      <w:r w:rsidRPr="003B70C5">
        <w:t>La durée de la moyenne pondérée des obligations relatives à des prestations définies au 31 </w:t>
      </w:r>
      <w:r w:rsidR="002B0172" w:rsidRPr="003B70C5">
        <w:t>décembre 20</w:t>
      </w:r>
      <w:r w:rsidRPr="003B70C5">
        <w:t>25 était de 17 ans.</w:t>
      </w:r>
    </w:p>
    <w:p w14:paraId="323F30E9" w14:textId="77777777" w:rsidR="000C336F" w:rsidRPr="003B70C5" w:rsidRDefault="000C336F" w:rsidP="000C336F">
      <w:pPr>
        <w:rPr>
          <w:rFonts w:cs="Arial"/>
        </w:rPr>
      </w:pPr>
    </w:p>
    <w:bookmarkEnd w:id="59"/>
    <w:p w14:paraId="3D441D1B" w14:textId="7E0F5555" w:rsidR="000C336F" w:rsidRPr="003B70C5" w:rsidRDefault="000C336F" w:rsidP="000C336F">
      <w:pPr>
        <w:rPr>
          <w:rFonts w:cs="Arial"/>
        </w:rPr>
      </w:pPr>
      <w:r w:rsidRPr="003B70C5">
        <w:t>Les contributions, qui représentent la part des primes d</w:t>
      </w:r>
      <w:r w:rsidR="002B0172" w:rsidRPr="003B70C5">
        <w:t>’</w:t>
      </w:r>
      <w:r w:rsidRPr="003B70C5">
        <w:t>assurance maladie payée par l</w:t>
      </w:r>
      <w:r w:rsidR="002B0172" w:rsidRPr="003B70C5">
        <w:t>’</w:t>
      </w:r>
      <w:r w:rsidRPr="003B70C5">
        <w:t>Union au titre de l</w:t>
      </w:r>
      <w:r w:rsidR="002B0172" w:rsidRPr="003B70C5">
        <w:t>’</w:t>
      </w:r>
      <w:r w:rsidRPr="003B70C5">
        <w:t xml:space="preserve">AMCS, se sont élevées à 82 852 francs suisses </w:t>
      </w:r>
      <w:r w:rsidR="002B0172" w:rsidRPr="003B70C5">
        <w:t>pour 2025</w:t>
      </w:r>
      <w:r w:rsidRPr="003B70C5">
        <w:t xml:space="preserve"> (69 947 francs suisses </w:t>
      </w:r>
      <w:r w:rsidR="002B0172" w:rsidRPr="003B70C5">
        <w:t>en 2024</w:t>
      </w:r>
      <w:r w:rsidRPr="003B70C5">
        <w:t xml:space="preserve">). </w:t>
      </w:r>
      <w:r w:rsidR="00E2280F" w:rsidRPr="003B70C5">
        <w:t xml:space="preserve"> </w:t>
      </w:r>
      <w:r w:rsidRPr="003B70C5">
        <w:t>Le tableau ci</w:t>
      </w:r>
      <w:r w:rsidR="002B0172" w:rsidRPr="003B70C5">
        <w:t>-</w:t>
      </w:r>
      <w:r w:rsidRPr="003B70C5">
        <w:t>dessous détaille la valeur actuelle de l</w:t>
      </w:r>
      <w:r w:rsidR="002B0172" w:rsidRPr="003B70C5">
        <w:t>’</w:t>
      </w:r>
      <w:r w:rsidRPr="003B70C5">
        <w:t>obligation au titre des prestations définies et des ajustements liés à l</w:t>
      </w:r>
      <w:r w:rsidR="002B0172" w:rsidRPr="003B70C5">
        <w:t>’</w:t>
      </w:r>
      <w:r w:rsidRPr="003B70C5">
        <w:t>expérience concernant l</w:t>
      </w:r>
      <w:r w:rsidR="002B0172" w:rsidRPr="003B70C5">
        <w:t>’</w:t>
      </w:r>
      <w:r w:rsidRPr="003B70C5">
        <w:t>obligation au titre de l</w:t>
      </w:r>
      <w:r w:rsidR="002B0172" w:rsidRPr="003B70C5">
        <w:t>’</w:t>
      </w:r>
      <w:r w:rsidRPr="003B70C5">
        <w:t xml:space="preserve">assurance maladie après la cessation de service </w:t>
      </w:r>
      <w:r w:rsidR="002B0172" w:rsidRPr="003B70C5">
        <w:t>pour 2025</w:t>
      </w:r>
      <w:r w:rsidRPr="003B70C5">
        <w:t xml:space="preserve"> et les quatre</w:t>
      </w:r>
      <w:r w:rsidR="00E2280F" w:rsidRPr="003B70C5">
        <w:t> </w:t>
      </w:r>
      <w:r w:rsidRPr="003B70C5">
        <w:t>années précédentes</w:t>
      </w:r>
      <w:r w:rsidR="002B0172" w:rsidRPr="003B70C5">
        <w:t> :</w:t>
      </w:r>
    </w:p>
    <w:p w14:paraId="791D7311" w14:textId="77777777" w:rsidR="000C336F" w:rsidRPr="003B70C5" w:rsidRDefault="000C336F" w:rsidP="000C336F">
      <w:pPr>
        <w:rPr>
          <w:rFonts w:cs="Arial"/>
        </w:rPr>
      </w:pPr>
    </w:p>
    <w:p w14:paraId="79D44058" w14:textId="0E04BBFE" w:rsidR="000C336F" w:rsidRPr="003B70C5" w:rsidRDefault="00A2357B" w:rsidP="000C336F">
      <w:pPr>
        <w:rPr>
          <w:rFonts w:cs="Arial"/>
        </w:rPr>
      </w:pPr>
      <w:bookmarkStart w:id="60" w:name="_1834646970"/>
      <w:bookmarkStart w:id="61" w:name="_1834651599"/>
      <w:bookmarkStart w:id="62" w:name="_1834644804"/>
      <w:bookmarkEnd w:id="60"/>
      <w:bookmarkEnd w:id="61"/>
      <w:bookmarkEnd w:id="62"/>
      <w:r w:rsidRPr="00A2357B">
        <w:rPr>
          <w:noProof/>
        </w:rPr>
        <w:lastRenderedPageBreak/>
        <w:drawing>
          <wp:inline distT="0" distB="0" distL="0" distR="0" wp14:anchorId="1651451B" wp14:editId="030685B4">
            <wp:extent cx="5940000" cy="1243522"/>
            <wp:effectExtent l="0" t="0" r="3810" b="0"/>
            <wp:docPr id="15987913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000" cy="1243522"/>
                    </a:xfrm>
                    <a:prstGeom prst="rect">
                      <a:avLst/>
                    </a:prstGeom>
                    <a:noFill/>
                    <a:ln>
                      <a:noFill/>
                    </a:ln>
                  </pic:spPr>
                </pic:pic>
              </a:graphicData>
            </a:graphic>
          </wp:inline>
        </w:drawing>
      </w:r>
    </w:p>
    <w:p w14:paraId="5EB562D5" w14:textId="77777777" w:rsidR="000C336F" w:rsidRPr="003B70C5" w:rsidRDefault="000C336F" w:rsidP="00A2357B">
      <w:pPr>
        <w:rPr>
          <w:rFonts w:cs="Arial"/>
        </w:rPr>
      </w:pPr>
    </w:p>
    <w:p w14:paraId="69828633" w14:textId="0BAE11C7" w:rsidR="002B0172" w:rsidRPr="003B70C5" w:rsidRDefault="000C336F" w:rsidP="000C336F">
      <w:pPr>
        <w:rPr>
          <w:color w:val="000000"/>
        </w:rPr>
      </w:pPr>
      <w:r w:rsidRPr="003B70C5">
        <w:t>Le régime d</w:t>
      </w:r>
      <w:r w:rsidR="002B0172" w:rsidRPr="003B70C5">
        <w:t>’</w:t>
      </w:r>
      <w:r w:rsidRPr="003B70C5">
        <w:t>assurance maladie après la cessation de service de l</w:t>
      </w:r>
      <w:r w:rsidR="002B0172" w:rsidRPr="003B70C5">
        <w:t>’</w:t>
      </w:r>
      <w:r w:rsidRPr="003B70C5">
        <w:t>OMPI/UPOV a été mis en place le</w:t>
      </w:r>
      <w:r w:rsidR="00A2357B">
        <w:t> </w:t>
      </w:r>
      <w:r w:rsidR="002B0172" w:rsidRPr="003B70C5">
        <w:t>1</w:t>
      </w:r>
      <w:r w:rsidR="002B0172" w:rsidRPr="003B70C5">
        <w:rPr>
          <w:vertAlign w:val="superscript"/>
        </w:rPr>
        <w:t>er</w:t>
      </w:r>
      <w:r w:rsidR="002B0172" w:rsidRPr="003B70C5">
        <w:t> </w:t>
      </w:r>
      <w:r w:rsidRPr="003B70C5">
        <w:t>janvier 2025, en tant qu</w:t>
      </w:r>
      <w:r w:rsidR="002B0172" w:rsidRPr="003B70C5">
        <w:t>’</w:t>
      </w:r>
      <w:r w:rsidRPr="003B70C5">
        <w:t>entité distincte, établie sous la forme d</w:t>
      </w:r>
      <w:r w:rsidR="002B0172" w:rsidRPr="003B70C5">
        <w:t>’</w:t>
      </w:r>
      <w:r w:rsidRPr="003B70C5">
        <w:t>un régime multiemployeur auquel l</w:t>
      </w:r>
      <w:r w:rsidR="002B0172" w:rsidRPr="003B70C5">
        <w:t>’</w:t>
      </w:r>
      <w:r w:rsidRPr="003B70C5">
        <w:t>OMPI et l</w:t>
      </w:r>
      <w:r w:rsidR="002B0172" w:rsidRPr="003B70C5">
        <w:t>’</w:t>
      </w:r>
      <w:r w:rsidRPr="003B70C5">
        <w:t>UPOV participe</w:t>
      </w:r>
      <w:r w:rsidR="00D076B0" w:rsidRPr="003B70C5">
        <w:t xml:space="preserve">nt.  </w:t>
      </w:r>
      <w:r w:rsidR="00D076B0" w:rsidRPr="003B70C5">
        <w:rPr>
          <w:color w:val="000000"/>
        </w:rPr>
        <w:t>Le</w:t>
      </w:r>
      <w:r w:rsidRPr="003B70C5">
        <w:rPr>
          <w:color w:val="000000"/>
        </w:rPr>
        <w:t xml:space="preserve"> régime d</w:t>
      </w:r>
      <w:r w:rsidR="002B0172" w:rsidRPr="003B70C5">
        <w:rPr>
          <w:color w:val="000000"/>
        </w:rPr>
        <w:t>’</w:t>
      </w:r>
      <w:r w:rsidRPr="003B70C5">
        <w:rPr>
          <w:color w:val="000000"/>
        </w:rPr>
        <w:t>AMCS est chargé de la gestion des fonds versés par les États membres de l</w:t>
      </w:r>
      <w:r w:rsidR="002B0172" w:rsidRPr="003B70C5">
        <w:rPr>
          <w:color w:val="000000"/>
        </w:rPr>
        <w:t>’</w:t>
      </w:r>
      <w:r w:rsidRPr="003B70C5">
        <w:rPr>
          <w:color w:val="000000"/>
        </w:rPr>
        <w:t>OMPI et les membres de l</w:t>
      </w:r>
      <w:r w:rsidR="002B0172" w:rsidRPr="003B70C5">
        <w:rPr>
          <w:color w:val="000000"/>
        </w:rPr>
        <w:t>’</w:t>
      </w:r>
      <w:r w:rsidRPr="003B70C5">
        <w:rPr>
          <w:color w:val="000000"/>
        </w:rPr>
        <w:t>UPOV pour financer les engagements au titre de l</w:t>
      </w:r>
      <w:r w:rsidR="002B0172" w:rsidRPr="003B70C5">
        <w:rPr>
          <w:color w:val="000000"/>
        </w:rPr>
        <w:t>’</w:t>
      </w:r>
      <w:r w:rsidRPr="003B70C5">
        <w:rPr>
          <w:color w:val="000000"/>
        </w:rPr>
        <w:t>AMCS de chaque organisati</w:t>
      </w:r>
      <w:r w:rsidR="00D076B0" w:rsidRPr="003B70C5">
        <w:rPr>
          <w:color w:val="000000"/>
        </w:rPr>
        <w:t>on.  Le</w:t>
      </w:r>
      <w:r w:rsidRPr="003B70C5">
        <w:rPr>
          <w:color w:val="000000"/>
        </w:rPr>
        <w:t>s engagements au titre de l</w:t>
      </w:r>
      <w:r w:rsidR="002B0172" w:rsidRPr="003B70C5">
        <w:rPr>
          <w:color w:val="000000"/>
        </w:rPr>
        <w:t>’</w:t>
      </w:r>
      <w:r w:rsidRPr="003B70C5">
        <w:rPr>
          <w:color w:val="000000"/>
        </w:rPr>
        <w:t>AMCS restent à la charge de l</w:t>
      </w:r>
      <w:r w:rsidR="002B0172" w:rsidRPr="003B70C5">
        <w:rPr>
          <w:color w:val="000000"/>
        </w:rPr>
        <w:t>’</w:t>
      </w:r>
      <w:r w:rsidRPr="003B70C5">
        <w:rPr>
          <w:color w:val="000000"/>
        </w:rPr>
        <w:t>OMPI et de l</w:t>
      </w:r>
      <w:r w:rsidR="002B0172" w:rsidRPr="003B70C5">
        <w:rPr>
          <w:color w:val="000000"/>
        </w:rPr>
        <w:t>’</w:t>
      </w:r>
      <w:r w:rsidRPr="003B70C5">
        <w:rPr>
          <w:color w:val="000000"/>
        </w:rPr>
        <w:t>UPOV respectivement, et non du régime d</w:t>
      </w:r>
      <w:r w:rsidR="002B0172" w:rsidRPr="003B70C5">
        <w:rPr>
          <w:color w:val="000000"/>
        </w:rPr>
        <w:t>’</w:t>
      </w:r>
      <w:r w:rsidRPr="003B70C5">
        <w:rPr>
          <w:color w:val="000000"/>
        </w:rPr>
        <w:t>AMCS, qui est uniquement chargé de la gestion des fon</w:t>
      </w:r>
      <w:r w:rsidR="00D076B0" w:rsidRPr="003B70C5">
        <w:rPr>
          <w:color w:val="000000"/>
        </w:rPr>
        <w:t>ds.  Co</w:t>
      </w:r>
      <w:r w:rsidRPr="003B70C5">
        <w:rPr>
          <w:color w:val="000000"/>
        </w:rPr>
        <w:t>nformément à la norme</w:t>
      </w:r>
      <w:r w:rsidR="00E2280F" w:rsidRPr="003B70C5">
        <w:rPr>
          <w:color w:val="000000"/>
        </w:rPr>
        <w:t> </w:t>
      </w:r>
      <w:r w:rsidRPr="003B70C5">
        <w:rPr>
          <w:color w:val="000000"/>
        </w:rPr>
        <w:t>IPSAS 39, à compter de la date de création du régime d</w:t>
      </w:r>
      <w:r w:rsidR="002B0172" w:rsidRPr="003B70C5">
        <w:rPr>
          <w:color w:val="000000"/>
        </w:rPr>
        <w:t>’</w:t>
      </w:r>
      <w:r w:rsidRPr="003B70C5">
        <w:rPr>
          <w:color w:val="000000"/>
        </w:rPr>
        <w:t>AMCS, les fonds de l</w:t>
      </w:r>
      <w:r w:rsidR="002B0172" w:rsidRPr="003B70C5">
        <w:rPr>
          <w:color w:val="000000"/>
        </w:rPr>
        <w:t>’</w:t>
      </w:r>
      <w:r w:rsidRPr="003B70C5">
        <w:rPr>
          <w:color w:val="000000"/>
        </w:rPr>
        <w:t>UPOV destinés à financer l</w:t>
      </w:r>
      <w:r w:rsidR="002B0172" w:rsidRPr="003B70C5">
        <w:rPr>
          <w:color w:val="000000"/>
        </w:rPr>
        <w:t>’</w:t>
      </w:r>
      <w:r w:rsidRPr="003B70C5">
        <w:rPr>
          <w:color w:val="000000"/>
        </w:rPr>
        <w:t>AMCS satisfont aux critères de comptabilisation en tant qu</w:t>
      </w:r>
      <w:r w:rsidR="002B0172" w:rsidRPr="003B70C5">
        <w:rPr>
          <w:color w:val="000000"/>
        </w:rPr>
        <w:t>’</w:t>
      </w:r>
      <w:r w:rsidRPr="003B70C5">
        <w:rPr>
          <w:color w:val="000000"/>
        </w:rPr>
        <w:t xml:space="preserve">actifs du régime, et </w:t>
      </w:r>
      <w:r w:rsidR="002B0172" w:rsidRPr="003B70C5">
        <w:rPr>
          <w:color w:val="000000"/>
        </w:rPr>
        <w:t>pour 2025</w:t>
      </w:r>
      <w:r w:rsidRPr="003B70C5">
        <w:rPr>
          <w:color w:val="000000"/>
        </w:rPr>
        <w:t>, l</w:t>
      </w:r>
      <w:r w:rsidR="002B0172" w:rsidRPr="003B70C5">
        <w:rPr>
          <w:color w:val="000000"/>
        </w:rPr>
        <w:t>’</w:t>
      </w:r>
      <w:r w:rsidRPr="003B70C5">
        <w:rPr>
          <w:color w:val="000000"/>
        </w:rPr>
        <w:t>engagement de l</w:t>
      </w:r>
      <w:r w:rsidR="002B0172" w:rsidRPr="003B70C5">
        <w:rPr>
          <w:color w:val="000000"/>
        </w:rPr>
        <w:t>’</w:t>
      </w:r>
      <w:r w:rsidRPr="003B70C5">
        <w:rPr>
          <w:color w:val="000000"/>
        </w:rPr>
        <w:t>UPOV au titre de l</w:t>
      </w:r>
      <w:r w:rsidR="002B0172" w:rsidRPr="003B70C5">
        <w:rPr>
          <w:color w:val="000000"/>
        </w:rPr>
        <w:t>’</w:t>
      </w:r>
      <w:r w:rsidRPr="003B70C5">
        <w:rPr>
          <w:color w:val="000000"/>
        </w:rPr>
        <w:t>AMCS est présenté déduction faite de ces fonds.</w:t>
      </w:r>
    </w:p>
    <w:p w14:paraId="05FB5AC2" w14:textId="12267C7D" w:rsidR="000C336F" w:rsidRPr="003B70C5" w:rsidRDefault="000C336F" w:rsidP="000C336F">
      <w:pPr>
        <w:rPr>
          <w:szCs w:val="18"/>
        </w:rPr>
      </w:pPr>
    </w:p>
    <w:p w14:paraId="16D57243" w14:textId="46727CAA" w:rsidR="000C336F" w:rsidRPr="003B70C5" w:rsidRDefault="000C336F" w:rsidP="000C336F">
      <w:pPr>
        <w:rPr>
          <w:szCs w:val="18"/>
        </w:rPr>
      </w:pPr>
      <w:r w:rsidRPr="003B70C5">
        <w:t>Les contributions de l</w:t>
      </w:r>
      <w:r w:rsidR="002B0172" w:rsidRPr="003B70C5">
        <w:t>’</w:t>
      </w:r>
      <w:r w:rsidRPr="003B70C5">
        <w:t>UPOV aux actifs du régime sont calculées sur la base d</w:t>
      </w:r>
      <w:r w:rsidR="002B0172" w:rsidRPr="003B70C5">
        <w:t>’</w:t>
      </w:r>
      <w:r w:rsidRPr="003B70C5">
        <w:t xml:space="preserve">un pourcentage des dépenses de personnel effectives, qui a été fixé à 6% </w:t>
      </w:r>
      <w:r w:rsidR="002B0172" w:rsidRPr="003B70C5">
        <w:t>en 2025</w:t>
      </w:r>
      <w:r w:rsidRPr="003B70C5">
        <w:t>, déduction faite de la part de la prime versée par l</w:t>
      </w:r>
      <w:r w:rsidR="002B0172" w:rsidRPr="003B70C5">
        <w:t>’</w:t>
      </w:r>
      <w:r w:rsidRPr="003B70C5">
        <w:t>Union au titre de l</w:t>
      </w:r>
      <w:r w:rsidR="002B0172" w:rsidRPr="003B70C5">
        <w:t>’</w:t>
      </w:r>
      <w:r w:rsidRPr="003B70C5">
        <w:t>A</w:t>
      </w:r>
      <w:r w:rsidR="00D076B0" w:rsidRPr="003B70C5">
        <w:t>MCS.  La</w:t>
      </w:r>
      <w:r w:rsidRPr="003B70C5">
        <w:t xml:space="preserve"> catégorie d</w:t>
      </w:r>
      <w:r w:rsidR="002B0172" w:rsidRPr="003B70C5">
        <w:t>’</w:t>
      </w:r>
      <w:r w:rsidRPr="003B70C5">
        <w:t>actifs et la juste valeur des actifs du régime au 31 </w:t>
      </w:r>
      <w:r w:rsidR="002B0172" w:rsidRPr="003B70C5">
        <w:t>décembre 20</w:t>
      </w:r>
      <w:r w:rsidRPr="003B70C5">
        <w:t>25 sont présentées dans le tableau suivant</w:t>
      </w:r>
      <w:r w:rsidR="002B0172" w:rsidRPr="003B70C5">
        <w:t> :</w:t>
      </w:r>
    </w:p>
    <w:p w14:paraId="158D2725" w14:textId="77777777" w:rsidR="000C336F" w:rsidRPr="003B70C5" w:rsidRDefault="000C336F" w:rsidP="000C336F">
      <w:pPr>
        <w:rPr>
          <w:szCs w:val="18"/>
        </w:rPr>
      </w:pPr>
    </w:p>
    <w:p w14:paraId="63236FC2" w14:textId="77777777" w:rsidR="000C336F" w:rsidRPr="003B70C5" w:rsidRDefault="000C336F" w:rsidP="000C336F">
      <w:pPr>
        <w:rPr>
          <w:szCs w:val="18"/>
          <w:highlight w:val="yellow"/>
        </w:rPr>
      </w:pPr>
    </w:p>
    <w:p w14:paraId="618363F4" w14:textId="72633B25" w:rsidR="000C336F" w:rsidRPr="003B70C5" w:rsidRDefault="00F07CC4" w:rsidP="000C336F">
      <w:pPr>
        <w:rPr>
          <w:rFonts w:cs="Arial"/>
        </w:rPr>
      </w:pPr>
      <w:r w:rsidRPr="00F07CC4">
        <w:rPr>
          <w:noProof/>
        </w:rPr>
        <w:drawing>
          <wp:inline distT="0" distB="0" distL="0" distR="0" wp14:anchorId="58B00915" wp14:editId="0622715A">
            <wp:extent cx="6122670" cy="1288415"/>
            <wp:effectExtent l="0" t="0" r="0" b="6985"/>
            <wp:docPr id="11341247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2670" cy="1288415"/>
                    </a:xfrm>
                    <a:prstGeom prst="rect">
                      <a:avLst/>
                    </a:prstGeom>
                    <a:noFill/>
                    <a:ln>
                      <a:noFill/>
                    </a:ln>
                  </pic:spPr>
                </pic:pic>
              </a:graphicData>
            </a:graphic>
          </wp:inline>
        </w:drawing>
      </w:r>
    </w:p>
    <w:p w14:paraId="089E78DC" w14:textId="77777777" w:rsidR="000C336F" w:rsidRPr="003B70C5" w:rsidRDefault="000C336F" w:rsidP="000C336F">
      <w:pPr>
        <w:jc w:val="left"/>
        <w:rPr>
          <w:rFonts w:cs="Arial"/>
        </w:rPr>
      </w:pPr>
    </w:p>
    <w:p w14:paraId="428F5502" w14:textId="3B3004B2" w:rsidR="000C336F" w:rsidRPr="003B70C5" w:rsidRDefault="000C336F" w:rsidP="000C336F">
      <w:pPr>
        <w:rPr>
          <w:rFonts w:cs="Arial"/>
        </w:rPr>
      </w:pPr>
      <w:r w:rsidRPr="003B70C5">
        <w:t>L</w:t>
      </w:r>
      <w:r w:rsidR="002B0172" w:rsidRPr="003B70C5">
        <w:t>’</w:t>
      </w:r>
      <w:r w:rsidRPr="003B70C5">
        <w:t>analyse de sensibilité ci</w:t>
      </w:r>
      <w:r w:rsidR="002B0172" w:rsidRPr="003B70C5">
        <w:t>-</w:t>
      </w:r>
      <w:r w:rsidRPr="003B70C5">
        <w:t>après montre comment le montant de l</w:t>
      </w:r>
      <w:r w:rsidR="002B0172" w:rsidRPr="003B70C5">
        <w:t>’</w:t>
      </w:r>
      <w:r w:rsidRPr="003B70C5">
        <w:t>obligation au titre des prestations définies aurait évolué en fonction de changements au niveau des hypothèses actuarielles significatives, du taux d</w:t>
      </w:r>
      <w:r w:rsidR="002B0172" w:rsidRPr="003B70C5">
        <w:t>’</w:t>
      </w:r>
      <w:r w:rsidRPr="003B70C5">
        <w:t>actualisation et du taux tendanciel du coût des soins médica</w:t>
      </w:r>
      <w:r w:rsidR="00D076B0" w:rsidRPr="003B70C5">
        <w:t>ux.  Le</w:t>
      </w:r>
      <w:r w:rsidRPr="003B70C5">
        <w:t>s variations en pourcentage utilisées dans l</w:t>
      </w:r>
      <w:r w:rsidR="002B0172" w:rsidRPr="003B70C5">
        <w:t>’</w:t>
      </w:r>
      <w:r w:rsidRPr="003B70C5">
        <w:t>analyse sont considérées comme raisonnables compte tenu de l</w:t>
      </w:r>
      <w:r w:rsidR="002B0172" w:rsidRPr="003B70C5">
        <w:t>’</w:t>
      </w:r>
      <w:r w:rsidRPr="003B70C5">
        <w:t>évolution passée</w:t>
      </w:r>
      <w:r w:rsidR="002B0172" w:rsidRPr="003B70C5">
        <w:t> :</w:t>
      </w:r>
    </w:p>
    <w:p w14:paraId="3282B338" w14:textId="77777777" w:rsidR="002B0172" w:rsidRPr="003B70C5" w:rsidRDefault="002B0172" w:rsidP="000C336F">
      <w:pPr>
        <w:rPr>
          <w:rFonts w:cs="Arial"/>
        </w:rPr>
      </w:pPr>
    </w:p>
    <w:p w14:paraId="5ECFFA44" w14:textId="6EC3F1A3" w:rsidR="000C336F" w:rsidRPr="003B70C5" w:rsidRDefault="00F07CC4" w:rsidP="000C336F">
      <w:pPr>
        <w:jc w:val="center"/>
        <w:rPr>
          <w:rFonts w:cs="Arial"/>
        </w:rPr>
      </w:pPr>
      <w:r w:rsidRPr="00F07CC4">
        <w:rPr>
          <w:noProof/>
        </w:rPr>
        <w:drawing>
          <wp:inline distT="0" distB="0" distL="0" distR="0" wp14:anchorId="13DAB2E0" wp14:editId="6601D136">
            <wp:extent cx="5908040" cy="1574165"/>
            <wp:effectExtent l="0" t="0" r="0" b="0"/>
            <wp:docPr id="64894600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8040" cy="1574165"/>
                    </a:xfrm>
                    <a:prstGeom prst="rect">
                      <a:avLst/>
                    </a:prstGeom>
                    <a:noFill/>
                    <a:ln>
                      <a:noFill/>
                    </a:ln>
                  </pic:spPr>
                </pic:pic>
              </a:graphicData>
            </a:graphic>
          </wp:inline>
        </w:drawing>
      </w:r>
    </w:p>
    <w:p w14:paraId="5EF859AA" w14:textId="77777777" w:rsidR="002B0172" w:rsidRPr="003B70C5" w:rsidRDefault="002B0172" w:rsidP="000C336F">
      <w:pPr>
        <w:rPr>
          <w:rFonts w:cs="Arial"/>
        </w:rPr>
      </w:pPr>
    </w:p>
    <w:p w14:paraId="5AA3A13E" w14:textId="7996A34F" w:rsidR="000C336F" w:rsidRPr="003B70C5" w:rsidRDefault="006E3B42" w:rsidP="006E3B42">
      <w:pPr>
        <w:jc w:val="center"/>
        <w:rPr>
          <w:rFonts w:cs="Arial"/>
        </w:rPr>
      </w:pPr>
      <w:r w:rsidRPr="006E3B42">
        <w:rPr>
          <w:noProof/>
        </w:rPr>
        <w:drawing>
          <wp:inline distT="0" distB="0" distL="0" distR="0" wp14:anchorId="63F71BCF" wp14:editId="5D21ED3A">
            <wp:extent cx="5908040" cy="1749425"/>
            <wp:effectExtent l="0" t="0" r="0" b="0"/>
            <wp:docPr id="8551970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8040" cy="1749425"/>
                    </a:xfrm>
                    <a:prstGeom prst="rect">
                      <a:avLst/>
                    </a:prstGeom>
                    <a:noFill/>
                    <a:ln>
                      <a:noFill/>
                    </a:ln>
                  </pic:spPr>
                </pic:pic>
              </a:graphicData>
            </a:graphic>
          </wp:inline>
        </w:drawing>
      </w:r>
    </w:p>
    <w:p w14:paraId="526DBF7C" w14:textId="2303F45A" w:rsidR="000C336F" w:rsidRPr="003B70C5" w:rsidRDefault="000C336F" w:rsidP="000C336F">
      <w:pPr>
        <w:jc w:val="left"/>
        <w:rPr>
          <w:rFonts w:cs="Arial"/>
          <w:b/>
          <w:color w:val="000000" w:themeColor="text1"/>
        </w:rPr>
      </w:pPr>
    </w:p>
    <w:p w14:paraId="5757CA78" w14:textId="5392FDD7" w:rsidR="000C336F" w:rsidRPr="003B70C5" w:rsidRDefault="000C336F" w:rsidP="000C336F">
      <w:pPr>
        <w:pStyle w:val="Style3"/>
        <w:spacing w:after="0"/>
        <w:rPr>
          <w:rFonts w:cs="Arial"/>
          <w:b/>
          <w:color w:val="000000" w:themeColor="text1"/>
          <w:sz w:val="20"/>
        </w:rPr>
      </w:pPr>
      <w:r w:rsidRPr="003B70C5">
        <w:rPr>
          <w:b/>
          <w:color w:val="000000" w:themeColor="text1"/>
          <w:sz w:val="20"/>
        </w:rPr>
        <w:t xml:space="preserve">Caisse commune des pensions du personnel des </w:t>
      </w:r>
      <w:r w:rsidR="002B0172" w:rsidRPr="003B70C5">
        <w:rPr>
          <w:b/>
          <w:color w:val="000000" w:themeColor="text1"/>
          <w:sz w:val="20"/>
        </w:rPr>
        <w:t>Nations Unies</w:t>
      </w:r>
    </w:p>
    <w:p w14:paraId="5DFF2FF0" w14:textId="77777777" w:rsidR="000C336F" w:rsidRPr="003B70C5" w:rsidRDefault="000C336F" w:rsidP="000C336F">
      <w:pPr>
        <w:pStyle w:val="Style3"/>
        <w:spacing w:after="0"/>
        <w:rPr>
          <w:rFonts w:cs="Arial"/>
          <w:b/>
          <w:color w:val="000000" w:themeColor="text1"/>
          <w:sz w:val="20"/>
        </w:rPr>
      </w:pPr>
    </w:p>
    <w:p w14:paraId="21DEFBEE" w14:textId="465AE3F6" w:rsidR="000C336F" w:rsidRPr="003B70C5" w:rsidRDefault="000C336F" w:rsidP="000C336F">
      <w:pPr>
        <w:pStyle w:val="BodyText"/>
      </w:pPr>
      <w:bookmarkStart w:id="63" w:name="_Hlk160643002"/>
      <w:bookmarkStart w:id="64" w:name="_Hlk192765778"/>
      <w:bookmarkStart w:id="65" w:name="_Hlk160646956"/>
      <w:bookmarkStart w:id="66" w:name="_Hlk192765153"/>
      <w:r w:rsidRPr="003B70C5">
        <w:t xml:space="preserve">Conformément au règlement de la Caisse commune des pensions du personnel des </w:t>
      </w:r>
      <w:r w:rsidR="002B0172" w:rsidRPr="003B70C5">
        <w:t>Nations Unies</w:t>
      </w:r>
      <w:r w:rsidRPr="003B70C5">
        <w:t>, le comité mixte de ladite Caisse devra faire établir une évaluation actuarielle de la Caisse par un actuaire indépendant de la Caisse au moins une fois tous les trois</w:t>
      </w:r>
      <w:r w:rsidR="00E2280F" w:rsidRPr="003B70C5">
        <w:t> </w:t>
      </w:r>
      <w:r w:rsidRPr="003B70C5">
        <w:t>a</w:t>
      </w:r>
      <w:r w:rsidR="00D076B0" w:rsidRPr="003B70C5">
        <w:t>ns.  Da</w:t>
      </w:r>
      <w:r w:rsidRPr="003B70C5">
        <w:t>ns la pratique, à ce jour, le comité mixte a généralement effectué cette évaluation actuarielle tous les deux</w:t>
      </w:r>
      <w:r w:rsidR="00E2280F" w:rsidRPr="003B70C5">
        <w:t> </w:t>
      </w:r>
      <w:r w:rsidRPr="003B70C5">
        <w:t>a</w:t>
      </w:r>
      <w:r w:rsidR="00D076B0" w:rsidRPr="003B70C5">
        <w:t>ns.  Ce</w:t>
      </w:r>
      <w:r w:rsidRPr="003B70C5">
        <w:t>tte évaluation actuarielle a pour objectif premier de déterminer si les avoirs actuels et futurs estimés de la Caisse seront suffisants pour honorer son passif à perpétui</w:t>
      </w:r>
      <w:r w:rsidR="00D076B0" w:rsidRPr="003B70C5">
        <w:t>té.  La</w:t>
      </w:r>
      <w:r w:rsidRPr="003B70C5">
        <w:t xml:space="preserve"> politique de financement publiée par la Caisse (disponible sur le site Web de la Caisse) définit les méthodes, les processus et les objectifs utilisés pour surveiller la situation financière et les risques associ</w:t>
      </w:r>
      <w:r w:rsidR="00D076B0" w:rsidRPr="003B70C5">
        <w:t>és.  El</w:t>
      </w:r>
      <w:r w:rsidRPr="003B70C5">
        <w:t>le inclut également la pratique consistant à utiliser la valeur actuarielle des actifs, qui lisse les gains et les pertes à court terme sur les placements afin de rendre compte de la solvabilité à long terme.</w:t>
      </w:r>
    </w:p>
    <w:bookmarkEnd w:id="63"/>
    <w:p w14:paraId="0273A8F7" w14:textId="77777777" w:rsidR="000C336F" w:rsidRPr="003B70C5" w:rsidRDefault="000C336F" w:rsidP="000C336F">
      <w:pPr>
        <w:pStyle w:val="Style3"/>
        <w:spacing w:after="0"/>
        <w:rPr>
          <w:rFonts w:cs="Arial"/>
          <w:color w:val="000000" w:themeColor="text1"/>
          <w:sz w:val="20"/>
        </w:rPr>
      </w:pPr>
    </w:p>
    <w:p w14:paraId="2A25B47E" w14:textId="27E83A7F" w:rsidR="000C336F" w:rsidRPr="003B70C5" w:rsidRDefault="000C336F" w:rsidP="000C336F">
      <w:pPr>
        <w:pStyle w:val="Style3"/>
        <w:spacing w:after="0"/>
        <w:rPr>
          <w:rFonts w:cs="Arial"/>
          <w:color w:val="000000" w:themeColor="text1"/>
        </w:rPr>
      </w:pPr>
      <w:bookmarkStart w:id="67" w:name="_Hlk160643061"/>
      <w:r w:rsidRPr="003B70C5">
        <w:rPr>
          <w:color w:val="000000" w:themeColor="text1"/>
          <w:sz w:val="20"/>
        </w:rPr>
        <w:t>Sur le plan financier, l</w:t>
      </w:r>
      <w:r w:rsidR="002B0172" w:rsidRPr="003B70C5">
        <w:rPr>
          <w:color w:val="000000" w:themeColor="text1"/>
          <w:sz w:val="20"/>
        </w:rPr>
        <w:t>’</w:t>
      </w:r>
      <w:r w:rsidRPr="003B70C5">
        <w:rPr>
          <w:color w:val="000000" w:themeColor="text1"/>
          <w:sz w:val="20"/>
        </w:rPr>
        <w:t>UPOV est tenue de verser à la Caisse des pensions sa cotisation obligatoire au taux fixé par l</w:t>
      </w:r>
      <w:r w:rsidR="002B0172" w:rsidRPr="003B70C5">
        <w:rPr>
          <w:color w:val="000000" w:themeColor="text1"/>
          <w:sz w:val="20"/>
        </w:rPr>
        <w:t>’</w:t>
      </w:r>
      <w:r w:rsidRPr="003B70C5">
        <w:rPr>
          <w:color w:val="000000" w:themeColor="text1"/>
          <w:sz w:val="20"/>
        </w:rPr>
        <w:t xml:space="preserve">Assemblée générale des </w:t>
      </w:r>
      <w:r w:rsidR="002B0172" w:rsidRPr="003B70C5">
        <w:rPr>
          <w:color w:val="000000" w:themeColor="text1"/>
          <w:sz w:val="20"/>
        </w:rPr>
        <w:t>Nations Unies</w:t>
      </w:r>
      <w:r w:rsidRPr="003B70C5">
        <w:rPr>
          <w:color w:val="000000" w:themeColor="text1"/>
          <w:sz w:val="20"/>
        </w:rPr>
        <w:t xml:space="preserve"> (actuellement de 7,9% de la rémunération considérée aux fins de la pension pour les participants et 15,8% pour les organisations membres) plus la part de tous les paiements actuariels dus à titre compensatoire en vertu de l</w:t>
      </w:r>
      <w:r w:rsidR="002B0172" w:rsidRPr="003B70C5">
        <w:rPr>
          <w:color w:val="000000" w:themeColor="text1"/>
          <w:sz w:val="20"/>
        </w:rPr>
        <w:t>’</w:t>
      </w:r>
      <w:r w:rsidRPr="003B70C5">
        <w:rPr>
          <w:color w:val="000000" w:themeColor="text1"/>
          <w:sz w:val="20"/>
        </w:rPr>
        <w:t>article 26 des statuts de la Cais</w:t>
      </w:r>
      <w:r w:rsidR="00D076B0" w:rsidRPr="003B70C5">
        <w:rPr>
          <w:color w:val="000000" w:themeColor="text1"/>
          <w:sz w:val="20"/>
        </w:rPr>
        <w:t>se.  Le</w:t>
      </w:r>
      <w:r w:rsidRPr="003B70C5">
        <w:rPr>
          <w:color w:val="000000" w:themeColor="text1"/>
          <w:sz w:val="20"/>
        </w:rPr>
        <w:t>s sommes nécessaires pour combler le déficit ne sont dues que dès lors que l</w:t>
      </w:r>
      <w:r w:rsidR="002B0172" w:rsidRPr="003B70C5">
        <w:rPr>
          <w:color w:val="000000" w:themeColor="text1"/>
          <w:sz w:val="20"/>
        </w:rPr>
        <w:t>’</w:t>
      </w:r>
      <w:r w:rsidRPr="003B70C5">
        <w:rPr>
          <w:color w:val="000000" w:themeColor="text1"/>
          <w:sz w:val="20"/>
        </w:rPr>
        <w:t xml:space="preserve">Assemblée générale des </w:t>
      </w:r>
      <w:r w:rsidR="002B0172" w:rsidRPr="003B70C5">
        <w:rPr>
          <w:color w:val="000000" w:themeColor="text1"/>
          <w:sz w:val="20"/>
        </w:rPr>
        <w:t>Nations Unies</w:t>
      </w:r>
      <w:r w:rsidRPr="003B70C5">
        <w:rPr>
          <w:color w:val="000000" w:themeColor="text1"/>
          <w:sz w:val="20"/>
        </w:rPr>
        <w:t xml:space="preserve"> a invoqué la disposition de l</w:t>
      </w:r>
      <w:r w:rsidR="002B0172" w:rsidRPr="003B70C5">
        <w:rPr>
          <w:color w:val="000000" w:themeColor="text1"/>
          <w:sz w:val="20"/>
        </w:rPr>
        <w:t>’</w:t>
      </w:r>
      <w:r w:rsidRPr="003B70C5">
        <w:rPr>
          <w:color w:val="000000" w:themeColor="text1"/>
          <w:sz w:val="20"/>
        </w:rPr>
        <w:t>article 26 après avoir constaté qu</w:t>
      </w:r>
      <w:r w:rsidR="002B0172" w:rsidRPr="003B70C5">
        <w:rPr>
          <w:color w:val="000000" w:themeColor="text1"/>
          <w:sz w:val="20"/>
        </w:rPr>
        <w:t>’</w:t>
      </w:r>
      <w:r w:rsidRPr="003B70C5">
        <w:rPr>
          <w:color w:val="000000" w:themeColor="text1"/>
          <w:sz w:val="20"/>
        </w:rPr>
        <w:t>une évaluation actuarielle justifie – au moment de l</w:t>
      </w:r>
      <w:r w:rsidR="002B0172" w:rsidRPr="003B70C5">
        <w:rPr>
          <w:color w:val="000000" w:themeColor="text1"/>
          <w:sz w:val="20"/>
        </w:rPr>
        <w:t>’</w:t>
      </w:r>
      <w:r w:rsidRPr="003B70C5">
        <w:rPr>
          <w:color w:val="000000" w:themeColor="text1"/>
          <w:sz w:val="20"/>
        </w:rPr>
        <w:t>évaluation – que le déficit soit comb</w:t>
      </w:r>
      <w:r w:rsidR="00D076B0" w:rsidRPr="003B70C5">
        <w:rPr>
          <w:color w:val="000000" w:themeColor="text1"/>
          <w:sz w:val="20"/>
        </w:rPr>
        <w:t>lé.  Ch</w:t>
      </w:r>
      <w:r w:rsidRPr="003B70C5">
        <w:rPr>
          <w:color w:val="000000" w:themeColor="text1"/>
          <w:sz w:val="20"/>
        </w:rPr>
        <w:t>aque organisation affiliée contribue au comblement du déficit au prorata des cotisations totales qu</w:t>
      </w:r>
      <w:r w:rsidR="002B0172" w:rsidRPr="003B70C5">
        <w:rPr>
          <w:color w:val="000000" w:themeColor="text1"/>
          <w:sz w:val="20"/>
        </w:rPr>
        <w:t>’</w:t>
      </w:r>
      <w:r w:rsidRPr="003B70C5">
        <w:rPr>
          <w:color w:val="000000" w:themeColor="text1"/>
          <w:sz w:val="20"/>
        </w:rPr>
        <w:t>elle a versées pendant les trois</w:t>
      </w:r>
      <w:r w:rsidR="00E2280F" w:rsidRPr="003B70C5">
        <w:rPr>
          <w:color w:val="000000" w:themeColor="text1"/>
          <w:sz w:val="20"/>
        </w:rPr>
        <w:t> </w:t>
      </w:r>
      <w:r w:rsidRPr="003B70C5">
        <w:rPr>
          <w:color w:val="000000" w:themeColor="text1"/>
          <w:sz w:val="20"/>
        </w:rPr>
        <w:t>années précédant l</w:t>
      </w:r>
      <w:r w:rsidR="002B0172" w:rsidRPr="003B70C5">
        <w:rPr>
          <w:color w:val="000000" w:themeColor="text1"/>
          <w:sz w:val="20"/>
        </w:rPr>
        <w:t>’</w:t>
      </w:r>
      <w:r w:rsidRPr="003B70C5">
        <w:rPr>
          <w:color w:val="000000" w:themeColor="text1"/>
          <w:sz w:val="20"/>
        </w:rPr>
        <w:t>évaluation actuariel</w:t>
      </w:r>
      <w:r w:rsidR="00D076B0" w:rsidRPr="003B70C5">
        <w:rPr>
          <w:color w:val="000000" w:themeColor="text1"/>
          <w:sz w:val="20"/>
        </w:rPr>
        <w:t>le.  Il</w:t>
      </w:r>
      <w:r w:rsidRPr="003B70C5">
        <w:rPr>
          <w:color w:val="000000" w:themeColor="text1"/>
          <w:sz w:val="20"/>
        </w:rPr>
        <w:t xml:space="preserve"> n</w:t>
      </w:r>
      <w:r w:rsidR="002B0172" w:rsidRPr="003B70C5">
        <w:rPr>
          <w:color w:val="000000" w:themeColor="text1"/>
          <w:sz w:val="20"/>
        </w:rPr>
        <w:t>’</w:t>
      </w:r>
      <w:r w:rsidRPr="003B70C5">
        <w:rPr>
          <w:color w:val="000000" w:themeColor="text1"/>
          <w:sz w:val="20"/>
        </w:rPr>
        <w:t>a jamais été nécessaire d</w:t>
      </w:r>
      <w:r w:rsidR="002B0172" w:rsidRPr="003B70C5">
        <w:rPr>
          <w:color w:val="000000" w:themeColor="text1"/>
          <w:sz w:val="20"/>
        </w:rPr>
        <w:t>’</w:t>
      </w:r>
      <w:r w:rsidRPr="003B70C5">
        <w:rPr>
          <w:color w:val="000000" w:themeColor="text1"/>
          <w:sz w:val="20"/>
        </w:rPr>
        <w:t>invoquer l</w:t>
      </w:r>
      <w:r w:rsidR="002B0172" w:rsidRPr="003B70C5">
        <w:rPr>
          <w:color w:val="000000" w:themeColor="text1"/>
          <w:sz w:val="20"/>
        </w:rPr>
        <w:t>’</w:t>
      </w:r>
      <w:r w:rsidRPr="003B70C5">
        <w:rPr>
          <w:color w:val="000000" w:themeColor="text1"/>
          <w:sz w:val="20"/>
        </w:rPr>
        <w:t>article 26 et aucun paiement compensatoire n</w:t>
      </w:r>
      <w:r w:rsidR="002B0172" w:rsidRPr="003B70C5">
        <w:rPr>
          <w:color w:val="000000" w:themeColor="text1"/>
          <w:sz w:val="20"/>
        </w:rPr>
        <w:t>’</w:t>
      </w:r>
      <w:r w:rsidRPr="003B70C5">
        <w:rPr>
          <w:color w:val="000000" w:themeColor="text1"/>
          <w:sz w:val="20"/>
        </w:rPr>
        <w:t>a jamais été demandé.</w:t>
      </w:r>
    </w:p>
    <w:p w14:paraId="038A186D" w14:textId="77777777" w:rsidR="000C336F" w:rsidRPr="003B70C5" w:rsidRDefault="000C336F" w:rsidP="000C336F">
      <w:pPr>
        <w:pStyle w:val="Style3"/>
        <w:spacing w:after="0"/>
        <w:rPr>
          <w:rFonts w:cs="Arial"/>
          <w:color w:val="000000" w:themeColor="text1"/>
          <w:sz w:val="20"/>
        </w:rPr>
      </w:pPr>
    </w:p>
    <w:p w14:paraId="420AFFBE" w14:textId="04A28678" w:rsidR="002B0172" w:rsidRPr="003B70C5" w:rsidRDefault="000C336F" w:rsidP="000C336F">
      <w:pPr>
        <w:pStyle w:val="BodyText"/>
      </w:pPr>
      <w:bookmarkStart w:id="68" w:name="_Hlk160645787"/>
      <w:bookmarkEnd w:id="67"/>
      <w:r w:rsidRPr="003B70C5">
        <w:t>La dernière évaluation actuarielle en date a été effectuée le 31 </w:t>
      </w:r>
      <w:r w:rsidR="002B0172" w:rsidRPr="003B70C5">
        <w:t>décembre 20</w:t>
      </w:r>
      <w:r w:rsidRPr="003B70C5">
        <w:t>23, et l</w:t>
      </w:r>
      <w:r w:rsidR="002B0172" w:rsidRPr="003B70C5">
        <w:t>’</w:t>
      </w:r>
      <w:r w:rsidRPr="003B70C5">
        <w:t>évaluation au</w:t>
      </w:r>
      <w:r w:rsidR="00DE333E">
        <w:t> </w:t>
      </w:r>
      <w:r w:rsidRPr="003B70C5">
        <w:t>31 </w:t>
      </w:r>
      <w:r w:rsidR="002B0172" w:rsidRPr="003B70C5">
        <w:t>décembre 20</w:t>
      </w:r>
      <w:r w:rsidRPr="003B70C5">
        <w:t>25 est en cours de réalisati</w:t>
      </w:r>
      <w:r w:rsidR="00D076B0" w:rsidRPr="003B70C5">
        <w:t>on.  Le</w:t>
      </w:r>
      <w:r w:rsidRPr="003B70C5">
        <w:t>s données sur la participation au 31 </w:t>
      </w:r>
      <w:r w:rsidR="002B0172" w:rsidRPr="003B70C5">
        <w:t>décembre 20</w:t>
      </w:r>
      <w:r w:rsidRPr="003B70C5">
        <w:t>23 seront reportées au 31 </w:t>
      </w:r>
      <w:r w:rsidR="002B0172" w:rsidRPr="003B70C5">
        <w:t>décembre 20</w:t>
      </w:r>
      <w:r w:rsidRPr="003B70C5">
        <w:t>24 par la Caisse pour l</w:t>
      </w:r>
      <w:r w:rsidR="002B0172" w:rsidRPr="003B70C5">
        <w:t>’</w:t>
      </w:r>
      <w:r w:rsidRPr="003B70C5">
        <w:t xml:space="preserve">établissement de ses états financiers </w:t>
      </w:r>
      <w:r w:rsidR="002B0172" w:rsidRPr="003B70C5">
        <w:t>de 2024</w:t>
      </w:r>
      <w:r w:rsidRPr="003B70C5">
        <w:t>.</w:t>
      </w:r>
    </w:p>
    <w:bookmarkEnd w:id="68"/>
    <w:p w14:paraId="66CC0AEF" w14:textId="34D748A7" w:rsidR="000C336F" w:rsidRPr="003B70C5" w:rsidRDefault="000C336F" w:rsidP="000C336F">
      <w:pPr>
        <w:rPr>
          <w:rFonts w:cs="Arial"/>
        </w:rPr>
      </w:pPr>
    </w:p>
    <w:p w14:paraId="3CCC6AA3" w14:textId="4FC78163" w:rsidR="000C336F" w:rsidRPr="003B70C5" w:rsidRDefault="000C336F" w:rsidP="000C336F">
      <w:bookmarkStart w:id="69" w:name="_Hlk160645805"/>
      <w:r w:rsidRPr="003B70C5">
        <w:t>L</w:t>
      </w:r>
      <w:r w:rsidR="002B0172" w:rsidRPr="003B70C5">
        <w:t>’</w:t>
      </w:r>
      <w:r w:rsidRPr="003B70C5">
        <w:t>évaluation actuarielle au 31 </w:t>
      </w:r>
      <w:r w:rsidR="002B0172" w:rsidRPr="003B70C5">
        <w:t>décembre 20</w:t>
      </w:r>
      <w:r w:rsidRPr="003B70C5">
        <w:t>23 faisait état d</w:t>
      </w:r>
      <w:r w:rsidR="002B0172" w:rsidRPr="003B70C5">
        <w:t>’</w:t>
      </w:r>
      <w:r w:rsidRPr="003B70C5">
        <w:t>un ratio de capitalisation des actifs actuariels par rapport aux passifs actuariels de 111% lorsque les ajustements futurs prévus des pensions (indexation des prestations sur le coût de la vie) ont été pris en considérati</w:t>
      </w:r>
      <w:r w:rsidR="00D076B0" w:rsidRPr="003B70C5">
        <w:t>on.  Le</w:t>
      </w:r>
      <w:r w:rsidRPr="003B70C5">
        <w:t xml:space="preserve"> ratio de capitalisation indiqué était de 152% lorsque le système actuel d</w:t>
      </w:r>
      <w:r w:rsidR="002B0172" w:rsidRPr="003B70C5">
        <w:t>’</w:t>
      </w:r>
      <w:r w:rsidRPr="003B70C5">
        <w:t>ajustement des pensions n</w:t>
      </w:r>
      <w:r w:rsidR="002B0172" w:rsidRPr="003B70C5">
        <w:t>’</w:t>
      </w:r>
      <w:r w:rsidRPr="003B70C5">
        <w:t>était pas pris en considération et serait la mesure utilisée pour établir l</w:t>
      </w:r>
      <w:r w:rsidR="002B0172" w:rsidRPr="003B70C5">
        <w:t>’</w:t>
      </w:r>
      <w:r w:rsidRPr="003B70C5">
        <w:t>équilibre actuariel en vertu de l</w:t>
      </w:r>
      <w:r w:rsidR="002B0172" w:rsidRPr="003B70C5">
        <w:t>’</w:t>
      </w:r>
      <w:r w:rsidRPr="003B70C5">
        <w:t>article 26.</w:t>
      </w:r>
    </w:p>
    <w:p w14:paraId="0923B3B4" w14:textId="77777777" w:rsidR="000C336F" w:rsidRPr="003B70C5" w:rsidRDefault="000C336F" w:rsidP="000C336F">
      <w:pPr>
        <w:pStyle w:val="BodyText"/>
      </w:pPr>
    </w:p>
    <w:p w14:paraId="39B1B49E" w14:textId="56802F9E" w:rsidR="000C336F" w:rsidRPr="003B70C5" w:rsidRDefault="000C336F" w:rsidP="000C336F">
      <w:pPr>
        <w:pStyle w:val="Style3"/>
        <w:spacing w:after="0"/>
        <w:rPr>
          <w:rFonts w:cs="Arial"/>
          <w:color w:val="000000" w:themeColor="text1"/>
          <w:sz w:val="20"/>
        </w:rPr>
      </w:pPr>
      <w:bookmarkStart w:id="70" w:name="_Hlk160645924"/>
      <w:bookmarkEnd w:id="69"/>
      <w:r w:rsidRPr="003B70C5">
        <w:rPr>
          <w:color w:val="000000" w:themeColor="text1"/>
          <w:sz w:val="20"/>
        </w:rPr>
        <w:t>À la suite de son évaluation actuarielle de la caisse de pensions, l</w:t>
      </w:r>
      <w:r w:rsidR="002B0172" w:rsidRPr="003B70C5">
        <w:rPr>
          <w:color w:val="000000" w:themeColor="text1"/>
          <w:sz w:val="20"/>
        </w:rPr>
        <w:t>’</w:t>
      </w:r>
      <w:r w:rsidRPr="003B70C5">
        <w:rPr>
          <w:color w:val="000000" w:themeColor="text1"/>
          <w:sz w:val="20"/>
        </w:rPr>
        <w:t>actuaire indépendant a conclu qu</w:t>
      </w:r>
      <w:r w:rsidR="002B0172" w:rsidRPr="003B70C5">
        <w:rPr>
          <w:color w:val="000000" w:themeColor="text1"/>
          <w:sz w:val="20"/>
        </w:rPr>
        <w:t>’</w:t>
      </w:r>
      <w:r w:rsidRPr="003B70C5">
        <w:rPr>
          <w:color w:val="000000" w:themeColor="text1"/>
          <w:sz w:val="20"/>
        </w:rPr>
        <w:t>au</w:t>
      </w:r>
      <w:r w:rsidR="00DE333E">
        <w:rPr>
          <w:color w:val="000000" w:themeColor="text1"/>
          <w:sz w:val="20"/>
        </w:rPr>
        <w:t> </w:t>
      </w:r>
      <w:r w:rsidRPr="003B70C5">
        <w:rPr>
          <w:color w:val="000000" w:themeColor="text1"/>
          <w:sz w:val="20"/>
        </w:rPr>
        <w:t>31 </w:t>
      </w:r>
      <w:r w:rsidR="002B0172" w:rsidRPr="003B70C5">
        <w:rPr>
          <w:color w:val="000000" w:themeColor="text1"/>
          <w:sz w:val="20"/>
        </w:rPr>
        <w:t>décembre 20</w:t>
      </w:r>
      <w:r w:rsidRPr="003B70C5">
        <w:rPr>
          <w:color w:val="000000" w:themeColor="text1"/>
          <w:sz w:val="20"/>
        </w:rPr>
        <w:t>23 il n</w:t>
      </w:r>
      <w:r w:rsidR="002B0172" w:rsidRPr="003B70C5">
        <w:rPr>
          <w:color w:val="000000" w:themeColor="text1"/>
          <w:sz w:val="20"/>
        </w:rPr>
        <w:t>’</w:t>
      </w:r>
      <w:r w:rsidRPr="003B70C5">
        <w:rPr>
          <w:color w:val="000000" w:themeColor="text1"/>
          <w:sz w:val="20"/>
        </w:rPr>
        <w:t>était pas nécessaire de procéder à un paiement à titre compensatoire en vertu de l</w:t>
      </w:r>
      <w:r w:rsidR="002B0172" w:rsidRPr="003B70C5">
        <w:rPr>
          <w:color w:val="000000" w:themeColor="text1"/>
          <w:sz w:val="20"/>
        </w:rPr>
        <w:t>’</w:t>
      </w:r>
      <w:r w:rsidRPr="003B70C5">
        <w:rPr>
          <w:color w:val="000000" w:themeColor="text1"/>
          <w:sz w:val="20"/>
        </w:rPr>
        <w:t>article 26 des statuts de la Caisse de pensio</w:t>
      </w:r>
      <w:r w:rsidR="00D076B0" w:rsidRPr="003B70C5">
        <w:rPr>
          <w:color w:val="000000" w:themeColor="text1"/>
          <w:sz w:val="20"/>
        </w:rPr>
        <w:t>ns.  En</w:t>
      </w:r>
      <w:r w:rsidRPr="003B70C5">
        <w:rPr>
          <w:color w:val="000000" w:themeColor="text1"/>
          <w:sz w:val="20"/>
        </w:rPr>
        <w:t xml:space="preserve"> effet, la valeur actuarielle de l</w:t>
      </w:r>
      <w:r w:rsidR="002B0172" w:rsidRPr="003B70C5">
        <w:rPr>
          <w:color w:val="000000" w:themeColor="text1"/>
          <w:sz w:val="20"/>
        </w:rPr>
        <w:t>’</w:t>
      </w:r>
      <w:r w:rsidRPr="003B70C5">
        <w:rPr>
          <w:color w:val="000000" w:themeColor="text1"/>
          <w:sz w:val="20"/>
        </w:rPr>
        <w:t>actif était supérieure à la valeur actuarielle des charges à payer par ladite cais</w:t>
      </w:r>
      <w:r w:rsidR="00D076B0" w:rsidRPr="003B70C5">
        <w:rPr>
          <w:color w:val="000000" w:themeColor="text1"/>
          <w:sz w:val="20"/>
        </w:rPr>
        <w:t xml:space="preserve">se.  À </w:t>
      </w:r>
      <w:r w:rsidRPr="003B70C5">
        <w:rPr>
          <w:color w:val="000000" w:themeColor="text1"/>
          <w:sz w:val="20"/>
        </w:rPr>
        <w:t>la date d</w:t>
      </w:r>
      <w:r w:rsidR="002B0172" w:rsidRPr="003B70C5">
        <w:rPr>
          <w:color w:val="000000" w:themeColor="text1"/>
          <w:sz w:val="20"/>
        </w:rPr>
        <w:t>’</w:t>
      </w:r>
      <w:r w:rsidRPr="003B70C5">
        <w:rPr>
          <w:color w:val="000000" w:themeColor="text1"/>
          <w:sz w:val="20"/>
        </w:rPr>
        <w:t>établissement du présent rapport, l</w:t>
      </w:r>
      <w:r w:rsidR="002B0172" w:rsidRPr="003B70C5">
        <w:rPr>
          <w:color w:val="000000" w:themeColor="text1"/>
          <w:sz w:val="20"/>
        </w:rPr>
        <w:t>’</w:t>
      </w:r>
      <w:r w:rsidRPr="003B70C5">
        <w:rPr>
          <w:color w:val="000000" w:themeColor="text1"/>
          <w:sz w:val="20"/>
        </w:rPr>
        <w:t>Assemblée générale n</w:t>
      </w:r>
      <w:r w:rsidR="002B0172" w:rsidRPr="003B70C5">
        <w:rPr>
          <w:color w:val="000000" w:themeColor="text1"/>
          <w:sz w:val="20"/>
        </w:rPr>
        <w:t>’</w:t>
      </w:r>
      <w:r w:rsidRPr="003B70C5">
        <w:rPr>
          <w:color w:val="000000" w:themeColor="text1"/>
          <w:sz w:val="20"/>
        </w:rPr>
        <w:t>a pas invoqué la disposition de l</w:t>
      </w:r>
      <w:r w:rsidR="002B0172" w:rsidRPr="003B70C5">
        <w:rPr>
          <w:color w:val="000000" w:themeColor="text1"/>
          <w:sz w:val="20"/>
        </w:rPr>
        <w:t>’</w:t>
      </w:r>
      <w:r w:rsidRPr="003B70C5">
        <w:rPr>
          <w:color w:val="000000" w:themeColor="text1"/>
          <w:sz w:val="20"/>
        </w:rPr>
        <w:t>article 26.</w:t>
      </w:r>
      <w:bookmarkEnd w:id="70"/>
    </w:p>
    <w:p w14:paraId="716ADC06" w14:textId="77777777" w:rsidR="000C336F" w:rsidRPr="003B70C5" w:rsidRDefault="000C336F" w:rsidP="000C336F">
      <w:pPr>
        <w:pStyle w:val="Style3"/>
        <w:spacing w:after="0"/>
        <w:rPr>
          <w:rFonts w:cs="Arial"/>
          <w:color w:val="000000" w:themeColor="text1"/>
          <w:sz w:val="20"/>
        </w:rPr>
      </w:pPr>
    </w:p>
    <w:p w14:paraId="2B87CF16" w14:textId="3061EBE4" w:rsidR="000C336F" w:rsidRPr="003B70C5" w:rsidRDefault="000C336F" w:rsidP="000C336F">
      <w:pPr>
        <w:pStyle w:val="Style3"/>
        <w:spacing w:after="0"/>
        <w:rPr>
          <w:sz w:val="20"/>
        </w:rPr>
      </w:pPr>
      <w:r w:rsidRPr="003B70C5">
        <w:rPr>
          <w:sz w:val="20"/>
        </w:rPr>
        <w:t>Si l</w:t>
      </w:r>
      <w:r w:rsidR="002B0172" w:rsidRPr="003B70C5">
        <w:rPr>
          <w:sz w:val="20"/>
        </w:rPr>
        <w:t>’</w:t>
      </w:r>
      <w:r w:rsidRPr="003B70C5">
        <w:rPr>
          <w:sz w:val="20"/>
        </w:rPr>
        <w:t>article 26 devait être invoqué en raison d</w:t>
      </w:r>
      <w:r w:rsidR="002B0172" w:rsidRPr="003B70C5">
        <w:rPr>
          <w:sz w:val="20"/>
        </w:rPr>
        <w:t>’</w:t>
      </w:r>
      <w:r w:rsidRPr="003B70C5">
        <w:rPr>
          <w:sz w:val="20"/>
        </w:rPr>
        <w:t>un déficit actuariel, que ce soit durant le fonctionnement en cours de la Caisse ou en raison de la cessation de l</w:t>
      </w:r>
      <w:r w:rsidR="002B0172" w:rsidRPr="003B70C5">
        <w:rPr>
          <w:sz w:val="20"/>
        </w:rPr>
        <w:t>’</w:t>
      </w:r>
      <w:r w:rsidRPr="003B70C5">
        <w:rPr>
          <w:sz w:val="20"/>
        </w:rPr>
        <w:t>affiliation, les paiements dus à titre compensatoire de la part de chaque organisation membre seraient calculés au prorata des cotisations que l</w:t>
      </w:r>
      <w:r w:rsidR="002B0172" w:rsidRPr="003B70C5">
        <w:rPr>
          <w:sz w:val="20"/>
        </w:rPr>
        <w:t>’</w:t>
      </w:r>
      <w:r w:rsidRPr="003B70C5">
        <w:rPr>
          <w:sz w:val="20"/>
        </w:rPr>
        <w:t>organisation membre a versées aux cotisations totales de la Caisse des pensions pendant les trois</w:t>
      </w:r>
      <w:r w:rsidR="00E2280F" w:rsidRPr="003B70C5">
        <w:rPr>
          <w:sz w:val="20"/>
        </w:rPr>
        <w:t> </w:t>
      </w:r>
      <w:r w:rsidRPr="003B70C5">
        <w:rPr>
          <w:sz w:val="20"/>
        </w:rPr>
        <w:t>années précédant l</w:t>
      </w:r>
      <w:r w:rsidR="002B0172" w:rsidRPr="003B70C5">
        <w:rPr>
          <w:sz w:val="20"/>
        </w:rPr>
        <w:t>’</w:t>
      </w:r>
      <w:r w:rsidRPr="003B70C5">
        <w:rPr>
          <w:sz w:val="20"/>
        </w:rPr>
        <w:t>évaluation actuariel</w:t>
      </w:r>
      <w:r w:rsidR="00D076B0" w:rsidRPr="003B70C5">
        <w:rPr>
          <w:sz w:val="20"/>
        </w:rPr>
        <w:t>le.  Le</w:t>
      </w:r>
      <w:r w:rsidRPr="003B70C5">
        <w:rPr>
          <w:sz w:val="20"/>
        </w:rPr>
        <w:t>s cotisations totales versées à la Caisse au cours des trois</w:t>
      </w:r>
      <w:r w:rsidR="00E2280F" w:rsidRPr="003B70C5">
        <w:rPr>
          <w:sz w:val="20"/>
        </w:rPr>
        <w:t> </w:t>
      </w:r>
      <w:r w:rsidRPr="003B70C5">
        <w:rPr>
          <w:sz w:val="20"/>
        </w:rPr>
        <w:t>années précédentes (2022, 2023 et 2024) s</w:t>
      </w:r>
      <w:r w:rsidR="002B0172" w:rsidRPr="003B70C5">
        <w:rPr>
          <w:sz w:val="20"/>
        </w:rPr>
        <w:t>’</w:t>
      </w:r>
      <w:r w:rsidRPr="003B70C5">
        <w:rPr>
          <w:sz w:val="20"/>
        </w:rPr>
        <w:t>élevaient à 10 191,93 millions de dollars</w:t>
      </w:r>
      <w:r w:rsidR="00E2280F" w:rsidRPr="003B70C5">
        <w:rPr>
          <w:sz w:val="20"/>
        </w:rPr>
        <w:t> </w:t>
      </w:r>
      <w:r w:rsidRPr="003B70C5">
        <w:rPr>
          <w:sz w:val="20"/>
        </w:rPr>
        <w:t>É.</w:t>
      </w:r>
      <w:r w:rsidR="002B0172" w:rsidRPr="003B70C5">
        <w:rPr>
          <w:sz w:val="20"/>
        </w:rPr>
        <w:t>-</w:t>
      </w:r>
      <w:r w:rsidRPr="003B70C5">
        <w:rPr>
          <w:sz w:val="20"/>
        </w:rPr>
        <w:t>U. et les cotisations de l</w:t>
      </w:r>
      <w:r w:rsidR="002B0172" w:rsidRPr="003B70C5">
        <w:rPr>
          <w:sz w:val="20"/>
        </w:rPr>
        <w:t>’</w:t>
      </w:r>
      <w:r w:rsidRPr="003B70C5">
        <w:rPr>
          <w:sz w:val="20"/>
        </w:rPr>
        <w:t>UPOV ont représenté 0,016% de ces cotisations (cotisations des participants et de l</w:t>
      </w:r>
      <w:r w:rsidR="002B0172" w:rsidRPr="003B70C5">
        <w:rPr>
          <w:sz w:val="20"/>
        </w:rPr>
        <w:t>’</w:t>
      </w:r>
      <w:r w:rsidRPr="003B70C5">
        <w:rPr>
          <w:sz w:val="20"/>
        </w:rPr>
        <w:t>UPOV).</w:t>
      </w:r>
    </w:p>
    <w:p w14:paraId="1420510B" w14:textId="77777777" w:rsidR="000C336F" w:rsidRPr="003B70C5" w:rsidRDefault="000C336F" w:rsidP="000C336F">
      <w:pPr>
        <w:pStyle w:val="Style3"/>
        <w:spacing w:after="0"/>
        <w:rPr>
          <w:rFonts w:cs="Arial"/>
          <w:color w:val="000000" w:themeColor="text1"/>
        </w:rPr>
      </w:pPr>
    </w:p>
    <w:p w14:paraId="36D1C280" w14:textId="1F4ABB1C" w:rsidR="000C336F" w:rsidRPr="003B70C5" w:rsidRDefault="002B0172" w:rsidP="000C336F">
      <w:pPr>
        <w:pStyle w:val="Style3"/>
        <w:spacing w:after="0"/>
        <w:rPr>
          <w:sz w:val="20"/>
        </w:rPr>
      </w:pPr>
      <w:r w:rsidRPr="003B70C5">
        <w:rPr>
          <w:sz w:val="20"/>
        </w:rPr>
        <w:t>En 2025</w:t>
      </w:r>
      <w:r w:rsidR="000C336F" w:rsidRPr="003B70C5">
        <w:rPr>
          <w:sz w:val="20"/>
        </w:rPr>
        <w:t>, le montant des cotisations (</w:t>
      </w:r>
      <w:r w:rsidRPr="003B70C5">
        <w:rPr>
          <w:sz w:val="20"/>
        </w:rPr>
        <w:t>y compris</w:t>
      </w:r>
      <w:r w:rsidR="000C336F" w:rsidRPr="003B70C5">
        <w:rPr>
          <w:sz w:val="20"/>
        </w:rPr>
        <w:t xml:space="preserve"> les cotisations de l</w:t>
      </w:r>
      <w:r w:rsidRPr="003B70C5">
        <w:rPr>
          <w:sz w:val="20"/>
        </w:rPr>
        <w:t>’</w:t>
      </w:r>
      <w:r w:rsidR="000C336F" w:rsidRPr="003B70C5">
        <w:rPr>
          <w:sz w:val="20"/>
        </w:rPr>
        <w:t>UPOV seule) versées à la Caisse était de</w:t>
      </w:r>
      <w:r w:rsidR="00DE333E">
        <w:rPr>
          <w:sz w:val="20"/>
        </w:rPr>
        <w:t> </w:t>
      </w:r>
      <w:r w:rsidR="000C336F" w:rsidRPr="003B70C5">
        <w:rPr>
          <w:sz w:val="20"/>
        </w:rPr>
        <w:t xml:space="preserve">326 950 francs suisses (301 445 francs suisses </w:t>
      </w:r>
      <w:r w:rsidRPr="003B70C5">
        <w:rPr>
          <w:sz w:val="20"/>
        </w:rPr>
        <w:t>en 2024</w:t>
      </w:r>
      <w:r w:rsidR="000C336F" w:rsidRPr="003B70C5">
        <w:rPr>
          <w:sz w:val="20"/>
        </w:rPr>
        <w:t xml:space="preserve">). </w:t>
      </w:r>
      <w:r w:rsidR="00E2280F" w:rsidRPr="003B70C5">
        <w:rPr>
          <w:sz w:val="20"/>
        </w:rPr>
        <w:t xml:space="preserve"> </w:t>
      </w:r>
      <w:bookmarkStart w:id="71" w:name="_Hlk161157816"/>
      <w:r w:rsidRPr="003B70C5">
        <w:rPr>
          <w:sz w:val="20"/>
        </w:rPr>
        <w:t>En 2026</w:t>
      </w:r>
      <w:r w:rsidR="000C336F" w:rsidRPr="003B70C5">
        <w:rPr>
          <w:sz w:val="20"/>
        </w:rPr>
        <w:t>, les cotisations à payer devraient représenter quelque 337 557</w:t>
      </w:r>
      <w:bookmarkEnd w:id="71"/>
      <w:r w:rsidR="000C336F" w:rsidRPr="003B70C5">
        <w:rPr>
          <w:sz w:val="20"/>
        </w:rPr>
        <w:t> francs suisses.</w:t>
      </w:r>
    </w:p>
    <w:p w14:paraId="281F887C" w14:textId="77777777" w:rsidR="000C336F" w:rsidRPr="003B70C5" w:rsidRDefault="000C336F" w:rsidP="000C336F">
      <w:pPr>
        <w:pStyle w:val="Style3"/>
        <w:spacing w:after="0"/>
        <w:rPr>
          <w:rFonts w:cs="Arial"/>
          <w:color w:val="000000" w:themeColor="text1"/>
          <w:sz w:val="20"/>
        </w:rPr>
      </w:pPr>
    </w:p>
    <w:p w14:paraId="5CC3CAAC" w14:textId="4685D21B" w:rsidR="000C336F" w:rsidRPr="003B70C5" w:rsidRDefault="000C336F" w:rsidP="000C336F">
      <w:pPr>
        <w:pStyle w:val="Style3"/>
        <w:spacing w:after="0"/>
        <w:rPr>
          <w:rFonts w:cs="Arial"/>
          <w:color w:val="000000" w:themeColor="text1"/>
          <w:sz w:val="20"/>
        </w:rPr>
      </w:pPr>
      <w:r w:rsidRPr="003B70C5">
        <w:rPr>
          <w:color w:val="000000" w:themeColor="text1"/>
          <w:sz w:val="20"/>
        </w:rPr>
        <w:t>Il peut être mis fin à l</w:t>
      </w:r>
      <w:r w:rsidR="002B0172" w:rsidRPr="003B70C5">
        <w:rPr>
          <w:color w:val="000000" w:themeColor="text1"/>
          <w:sz w:val="20"/>
        </w:rPr>
        <w:t>’</w:t>
      </w:r>
      <w:r w:rsidRPr="003B70C5">
        <w:rPr>
          <w:color w:val="000000" w:themeColor="text1"/>
          <w:sz w:val="20"/>
        </w:rPr>
        <w:t>affiliation d</w:t>
      </w:r>
      <w:r w:rsidR="002B0172" w:rsidRPr="003B70C5">
        <w:rPr>
          <w:color w:val="000000" w:themeColor="text1"/>
          <w:sz w:val="20"/>
        </w:rPr>
        <w:t>’</w:t>
      </w:r>
      <w:r w:rsidRPr="003B70C5">
        <w:rPr>
          <w:color w:val="000000" w:themeColor="text1"/>
          <w:sz w:val="20"/>
        </w:rPr>
        <w:t>une organisation par décision de l</w:t>
      </w:r>
      <w:r w:rsidR="002B0172" w:rsidRPr="003B70C5">
        <w:rPr>
          <w:color w:val="000000" w:themeColor="text1"/>
          <w:sz w:val="20"/>
        </w:rPr>
        <w:t>’</w:t>
      </w:r>
      <w:r w:rsidRPr="003B70C5">
        <w:rPr>
          <w:color w:val="000000" w:themeColor="text1"/>
          <w:sz w:val="20"/>
        </w:rPr>
        <w:t xml:space="preserve">Assemblée générale des </w:t>
      </w:r>
      <w:r w:rsidR="002B0172" w:rsidRPr="003B70C5">
        <w:rPr>
          <w:color w:val="000000" w:themeColor="text1"/>
          <w:sz w:val="20"/>
        </w:rPr>
        <w:t>Nations Unies</w:t>
      </w:r>
      <w:r w:rsidRPr="003B70C5">
        <w:rPr>
          <w:color w:val="000000" w:themeColor="text1"/>
          <w:sz w:val="20"/>
        </w:rPr>
        <w:t>, prise sur recommandation en ce sens du comité mix</w:t>
      </w:r>
      <w:r w:rsidR="00D076B0" w:rsidRPr="003B70C5">
        <w:rPr>
          <w:color w:val="000000" w:themeColor="text1"/>
          <w:sz w:val="20"/>
        </w:rPr>
        <w:t>te.  Un</w:t>
      </w:r>
      <w:r w:rsidRPr="003B70C5">
        <w:rPr>
          <w:color w:val="000000" w:themeColor="text1"/>
          <w:sz w:val="20"/>
        </w:rPr>
        <w:t>e part proportionnelle des avoirs totaux de la Caisse à la date où l</w:t>
      </w:r>
      <w:r w:rsidR="002B0172" w:rsidRPr="003B70C5">
        <w:rPr>
          <w:color w:val="000000" w:themeColor="text1"/>
          <w:sz w:val="20"/>
        </w:rPr>
        <w:t>’</w:t>
      </w:r>
      <w:r w:rsidRPr="003B70C5">
        <w:rPr>
          <w:color w:val="000000" w:themeColor="text1"/>
          <w:sz w:val="20"/>
        </w:rPr>
        <w:t>affiliation prend fin est versée à l</w:t>
      </w:r>
      <w:r w:rsidR="002B0172" w:rsidRPr="003B70C5">
        <w:rPr>
          <w:color w:val="000000" w:themeColor="text1"/>
          <w:sz w:val="20"/>
        </w:rPr>
        <w:t>’</w:t>
      </w:r>
      <w:r w:rsidRPr="003B70C5">
        <w:rPr>
          <w:color w:val="000000" w:themeColor="text1"/>
          <w:sz w:val="20"/>
        </w:rPr>
        <w:t>organisation affiliée pour être utilisée au bénéfice exclusif de ses fonctionnaires qui étaient participants à la Caisse à cette date, selon des modalités arrêtées d</w:t>
      </w:r>
      <w:r w:rsidR="002B0172" w:rsidRPr="003B70C5">
        <w:rPr>
          <w:color w:val="000000" w:themeColor="text1"/>
          <w:sz w:val="20"/>
        </w:rPr>
        <w:t>’</w:t>
      </w:r>
      <w:r w:rsidRPr="003B70C5">
        <w:rPr>
          <w:color w:val="000000" w:themeColor="text1"/>
          <w:sz w:val="20"/>
        </w:rPr>
        <w:t>un commun accord entre l</w:t>
      </w:r>
      <w:r w:rsidR="002B0172" w:rsidRPr="003B70C5">
        <w:rPr>
          <w:color w:val="000000" w:themeColor="text1"/>
          <w:sz w:val="20"/>
        </w:rPr>
        <w:t>’</w:t>
      </w:r>
      <w:r w:rsidRPr="003B70C5">
        <w:rPr>
          <w:color w:val="000000" w:themeColor="text1"/>
          <w:sz w:val="20"/>
        </w:rPr>
        <w:t>organisation et la Cais</w:t>
      </w:r>
      <w:r w:rsidR="00D076B0" w:rsidRPr="003B70C5">
        <w:rPr>
          <w:color w:val="000000" w:themeColor="text1"/>
          <w:sz w:val="20"/>
        </w:rPr>
        <w:t>se.  Le</w:t>
      </w:r>
      <w:r w:rsidRPr="003B70C5">
        <w:rPr>
          <w:color w:val="000000" w:themeColor="text1"/>
          <w:sz w:val="20"/>
        </w:rPr>
        <w:t xml:space="preserve"> montant de cette part proportionnelle est fixé par le comité mixte sur la base d</w:t>
      </w:r>
      <w:r w:rsidR="002B0172" w:rsidRPr="003B70C5">
        <w:rPr>
          <w:color w:val="000000" w:themeColor="text1"/>
          <w:sz w:val="20"/>
        </w:rPr>
        <w:t>’</w:t>
      </w:r>
      <w:r w:rsidRPr="003B70C5">
        <w:rPr>
          <w:color w:val="000000" w:themeColor="text1"/>
          <w:sz w:val="20"/>
        </w:rPr>
        <w:t>une évaluation actuarielle des avoirs et des engagements de la Caisse à la date où l</w:t>
      </w:r>
      <w:r w:rsidR="002B0172" w:rsidRPr="003B70C5">
        <w:rPr>
          <w:color w:val="000000" w:themeColor="text1"/>
          <w:sz w:val="20"/>
        </w:rPr>
        <w:t>’</w:t>
      </w:r>
      <w:r w:rsidRPr="003B70C5">
        <w:rPr>
          <w:color w:val="000000" w:themeColor="text1"/>
          <w:sz w:val="20"/>
        </w:rPr>
        <w:t xml:space="preserve">affiliation prend fin; </w:t>
      </w:r>
      <w:r w:rsidR="00E2280F" w:rsidRPr="003B70C5">
        <w:rPr>
          <w:color w:val="000000" w:themeColor="text1"/>
          <w:sz w:val="20"/>
        </w:rPr>
        <w:t xml:space="preserve"> </w:t>
      </w:r>
      <w:r w:rsidRPr="003B70C5">
        <w:rPr>
          <w:color w:val="000000" w:themeColor="text1"/>
          <w:sz w:val="20"/>
        </w:rPr>
        <w:t>le montant ne comprend aucune fraction de l</w:t>
      </w:r>
      <w:r w:rsidR="002B0172" w:rsidRPr="003B70C5">
        <w:rPr>
          <w:color w:val="000000" w:themeColor="text1"/>
          <w:sz w:val="20"/>
        </w:rPr>
        <w:t>’</w:t>
      </w:r>
      <w:r w:rsidRPr="003B70C5">
        <w:rPr>
          <w:color w:val="000000" w:themeColor="text1"/>
          <w:sz w:val="20"/>
        </w:rPr>
        <w:t>excédent des avoirs sur les engagements.</w:t>
      </w:r>
    </w:p>
    <w:p w14:paraId="5E430937" w14:textId="77777777" w:rsidR="000C336F" w:rsidRPr="003B70C5" w:rsidRDefault="000C336F" w:rsidP="000C336F">
      <w:pPr>
        <w:pStyle w:val="Style3"/>
        <w:spacing w:after="0"/>
        <w:rPr>
          <w:rFonts w:cs="Arial"/>
          <w:color w:val="000000" w:themeColor="text1"/>
          <w:sz w:val="20"/>
        </w:rPr>
      </w:pPr>
    </w:p>
    <w:p w14:paraId="4CC56FED" w14:textId="7B40DBEB" w:rsidR="000C336F" w:rsidRPr="003B70C5" w:rsidRDefault="000C336F" w:rsidP="000C336F">
      <w:pPr>
        <w:pStyle w:val="BodyText"/>
      </w:pPr>
      <w:r w:rsidRPr="003B70C5">
        <w:rPr>
          <w:color w:val="000000" w:themeColor="text1"/>
        </w:rPr>
        <w:t>Le Comité des commissaires aux comptes de l</w:t>
      </w:r>
      <w:r w:rsidR="002B0172" w:rsidRPr="003B70C5">
        <w:rPr>
          <w:color w:val="000000" w:themeColor="text1"/>
        </w:rPr>
        <w:t>’</w:t>
      </w:r>
      <w:r w:rsidRPr="003B70C5">
        <w:rPr>
          <w:color w:val="000000" w:themeColor="text1"/>
        </w:rPr>
        <w:t>ONU procède à une vérification annuelle de la Caisse des pensions et présente chaque année un rapport à la Caisse et à l</w:t>
      </w:r>
      <w:r w:rsidR="002B0172" w:rsidRPr="003B70C5">
        <w:rPr>
          <w:color w:val="000000" w:themeColor="text1"/>
        </w:rPr>
        <w:t>’</w:t>
      </w:r>
      <w:r w:rsidRPr="003B70C5">
        <w:rPr>
          <w:color w:val="000000" w:themeColor="text1"/>
        </w:rPr>
        <w:t xml:space="preserve">Assemblée générale des </w:t>
      </w:r>
      <w:r w:rsidR="002B0172" w:rsidRPr="003B70C5">
        <w:rPr>
          <w:color w:val="000000" w:themeColor="text1"/>
        </w:rPr>
        <w:t>Nations Uni</w:t>
      </w:r>
      <w:r w:rsidR="00D076B0" w:rsidRPr="003B70C5">
        <w:rPr>
          <w:color w:val="000000" w:themeColor="text1"/>
        </w:rPr>
        <w:t xml:space="preserve">es.  </w:t>
      </w:r>
      <w:r w:rsidR="00D076B0" w:rsidRPr="003B70C5">
        <w:t>La</w:t>
      </w:r>
      <w:r w:rsidRPr="003B70C5">
        <w:t xml:space="preserve"> Caisse publie chaque semaine des informations sur ses placements qui peuvent être consultées en ligne à l</w:t>
      </w:r>
      <w:r w:rsidR="002B0172" w:rsidRPr="003B70C5">
        <w:t>’</w:t>
      </w:r>
      <w:r w:rsidRPr="003B70C5">
        <w:t>adresse https://www.unjspf.org/fr/.</w:t>
      </w:r>
    </w:p>
    <w:p w14:paraId="0522F1E1" w14:textId="77777777" w:rsidR="000C336F" w:rsidRPr="003B70C5" w:rsidRDefault="000C336F" w:rsidP="00D6364A">
      <w:bookmarkStart w:id="72" w:name="_Toc84329897"/>
      <w:bookmarkEnd w:id="64"/>
      <w:bookmarkEnd w:id="65"/>
      <w:bookmarkEnd w:id="66"/>
    </w:p>
    <w:p w14:paraId="03441B3E" w14:textId="0495D954" w:rsidR="000C336F" w:rsidRPr="003B70C5" w:rsidRDefault="000C336F" w:rsidP="004573AD">
      <w:pPr>
        <w:pStyle w:val="Heading2Notes"/>
        <w:rPr>
          <w:rFonts w:cs="Arial"/>
        </w:rPr>
      </w:pPr>
      <w:bookmarkStart w:id="73" w:name="_Toc84329898"/>
      <w:bookmarkStart w:id="74" w:name="_Toc236922634"/>
      <w:bookmarkEnd w:id="72"/>
      <w:r w:rsidRPr="003B70C5">
        <w:lastRenderedPageBreak/>
        <w:t>Note 7</w:t>
      </w:r>
      <w:r w:rsidR="002B0172" w:rsidRPr="003B70C5">
        <w:t> :</w:t>
      </w:r>
      <w:r w:rsidR="00E2280F" w:rsidRPr="003B70C5">
        <w:t xml:space="preserve"> </w:t>
      </w:r>
      <w:r w:rsidRPr="003B70C5">
        <w:tab/>
        <w:t>Encaissements par anticipation</w:t>
      </w:r>
      <w:bookmarkEnd w:id="73"/>
      <w:bookmarkEnd w:id="74"/>
    </w:p>
    <w:p w14:paraId="66D5C08F" w14:textId="77777777" w:rsidR="000C336F" w:rsidRPr="003B70C5" w:rsidRDefault="000C336F" w:rsidP="00C73DFA">
      <w:pPr>
        <w:pStyle w:val="Style3"/>
        <w:keepNext/>
        <w:spacing w:after="0"/>
        <w:rPr>
          <w:rFonts w:cs="Arial"/>
          <w:sz w:val="20"/>
        </w:rPr>
      </w:pPr>
    </w:p>
    <w:p w14:paraId="31492025" w14:textId="0761A2CE" w:rsidR="000C336F" w:rsidRPr="003B70C5" w:rsidRDefault="006E3B42" w:rsidP="000C336F">
      <w:pPr>
        <w:pStyle w:val="Style3"/>
        <w:spacing w:after="0"/>
        <w:jc w:val="center"/>
        <w:rPr>
          <w:rFonts w:cs="Arial"/>
          <w:sz w:val="20"/>
        </w:rPr>
      </w:pPr>
      <w:bookmarkStart w:id="75" w:name="_1834646984"/>
      <w:bookmarkStart w:id="76" w:name="_1834651614"/>
      <w:bookmarkStart w:id="77" w:name="_1834644837"/>
      <w:bookmarkEnd w:id="75"/>
      <w:bookmarkEnd w:id="76"/>
      <w:bookmarkEnd w:id="77"/>
      <w:r w:rsidRPr="006E3B42">
        <w:rPr>
          <w:noProof/>
        </w:rPr>
        <w:drawing>
          <wp:inline distT="0" distB="0" distL="0" distR="0" wp14:anchorId="599D3C52" wp14:editId="155C0CBE">
            <wp:extent cx="6066790" cy="1097280"/>
            <wp:effectExtent l="0" t="0" r="0" b="7620"/>
            <wp:docPr id="3480800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6790" cy="1097280"/>
                    </a:xfrm>
                    <a:prstGeom prst="rect">
                      <a:avLst/>
                    </a:prstGeom>
                    <a:noFill/>
                    <a:ln>
                      <a:noFill/>
                    </a:ln>
                  </pic:spPr>
                </pic:pic>
              </a:graphicData>
            </a:graphic>
          </wp:inline>
        </w:drawing>
      </w:r>
    </w:p>
    <w:p w14:paraId="5D62EF06" w14:textId="77777777" w:rsidR="000C336F" w:rsidRPr="003B70C5" w:rsidRDefault="000C336F" w:rsidP="000C336F">
      <w:pPr>
        <w:pStyle w:val="Style3"/>
        <w:spacing w:after="0"/>
        <w:rPr>
          <w:rFonts w:cs="Arial"/>
          <w:sz w:val="20"/>
        </w:rPr>
      </w:pPr>
    </w:p>
    <w:p w14:paraId="3778B33D" w14:textId="4FE73226" w:rsidR="000C336F" w:rsidRPr="003B70C5" w:rsidRDefault="000C336F" w:rsidP="002918F9">
      <w:pPr>
        <w:rPr>
          <w:rFonts w:cs="Arial"/>
        </w:rPr>
      </w:pPr>
      <w:r w:rsidRPr="003B70C5">
        <w:t>Les contributions reçues d</w:t>
      </w:r>
      <w:r w:rsidR="002B0172" w:rsidRPr="003B70C5">
        <w:t>’</w:t>
      </w:r>
      <w:r w:rsidRPr="003B70C5">
        <w:t>avance sont comptabilisées comme passif d</w:t>
      </w:r>
      <w:r w:rsidR="002B0172" w:rsidRPr="003B70C5">
        <w:t>’</w:t>
      </w:r>
      <w:r w:rsidRPr="003B70C5">
        <w:t>encaissement par anticipation et comme produits au cours de l</w:t>
      </w:r>
      <w:r w:rsidR="002B0172" w:rsidRPr="003B70C5">
        <w:t>’</w:t>
      </w:r>
      <w:r w:rsidRPr="003B70C5">
        <w:t>année à laquelle elles se rapporte</w:t>
      </w:r>
      <w:r w:rsidR="00D076B0" w:rsidRPr="003B70C5">
        <w:t>nt.  Le</w:t>
      </w:r>
      <w:r w:rsidRPr="003B70C5">
        <w:t>s ressources extrabudgétaires versées par les donateurs aux fonds fiduciaires assortis de conditions exigeant de l</w:t>
      </w:r>
      <w:r w:rsidR="002B0172" w:rsidRPr="003B70C5">
        <w:t>’</w:t>
      </w:r>
      <w:r w:rsidRPr="003B70C5">
        <w:t>UPOV de fournir des services aux gouvernements bénéficiaires ou à d</w:t>
      </w:r>
      <w:r w:rsidR="002B0172" w:rsidRPr="003B70C5">
        <w:t>’</w:t>
      </w:r>
      <w:r w:rsidRPr="003B70C5">
        <w:t>autres tiers sont comptabilisées en tant que recettes différées jusqu</w:t>
      </w:r>
      <w:r w:rsidR="002B0172" w:rsidRPr="003B70C5">
        <w:t>’</w:t>
      </w:r>
      <w:r w:rsidRPr="003B70C5">
        <w:t xml:space="preserve">à ce que les services visés par les ressources extrabudgétaires (fonds fiduciaires) soient fournis, </w:t>
      </w:r>
      <w:bookmarkStart w:id="78" w:name="_Toc84329899"/>
      <w:r w:rsidRPr="003B70C5">
        <w:t>après quoi les recettes sont comptabilisées.</w:t>
      </w:r>
    </w:p>
    <w:p w14:paraId="2C8100E1" w14:textId="77777777" w:rsidR="000C336F" w:rsidRPr="003B70C5" w:rsidRDefault="000C336F" w:rsidP="000C336F">
      <w:pPr>
        <w:pStyle w:val="Style3"/>
        <w:spacing w:after="0"/>
        <w:rPr>
          <w:rFonts w:cs="Arial"/>
          <w:sz w:val="20"/>
        </w:rPr>
      </w:pPr>
    </w:p>
    <w:p w14:paraId="6C0B89C8" w14:textId="77777777" w:rsidR="000C336F" w:rsidRPr="00DE333E" w:rsidRDefault="000C336F" w:rsidP="000C336F">
      <w:pPr>
        <w:pStyle w:val="Style3"/>
        <w:spacing w:after="0"/>
        <w:rPr>
          <w:sz w:val="20"/>
        </w:rPr>
      </w:pPr>
    </w:p>
    <w:p w14:paraId="11B1B9E4" w14:textId="58C6A8E8" w:rsidR="000C336F" w:rsidRPr="003B70C5" w:rsidRDefault="000C336F" w:rsidP="004573AD">
      <w:pPr>
        <w:pStyle w:val="Heading2Notes"/>
        <w:rPr>
          <w:rFonts w:cs="Arial"/>
        </w:rPr>
      </w:pPr>
      <w:bookmarkStart w:id="79" w:name="_Toc236922635"/>
      <w:r w:rsidRPr="003B70C5">
        <w:t>Note 8</w:t>
      </w:r>
      <w:r w:rsidR="002B0172" w:rsidRPr="003B70C5">
        <w:t> :</w:t>
      </w:r>
      <w:r w:rsidR="00E2280F" w:rsidRPr="003B70C5">
        <w:t xml:space="preserve"> </w:t>
      </w:r>
      <w:r w:rsidRPr="003B70C5">
        <w:tab/>
        <w:t>Autres passifs courants</w:t>
      </w:r>
      <w:bookmarkEnd w:id="78"/>
      <w:bookmarkEnd w:id="79"/>
    </w:p>
    <w:p w14:paraId="6A351998" w14:textId="77777777" w:rsidR="000C336F" w:rsidRPr="00DE333E" w:rsidRDefault="000C336F" w:rsidP="000C336F">
      <w:pPr>
        <w:pStyle w:val="Caption"/>
        <w:rPr>
          <w:b w:val="0"/>
          <w:bCs w:val="0"/>
          <w:sz w:val="20"/>
        </w:rPr>
      </w:pPr>
    </w:p>
    <w:p w14:paraId="1223DE26" w14:textId="2DE9BB88" w:rsidR="000C336F" w:rsidRPr="003B70C5" w:rsidRDefault="006E3B42" w:rsidP="000C336F">
      <w:pPr>
        <w:jc w:val="center"/>
        <w:rPr>
          <w:rFonts w:cs="Arial"/>
        </w:rPr>
      </w:pPr>
      <w:bookmarkStart w:id="80" w:name="_1834646988"/>
      <w:bookmarkStart w:id="81" w:name="_1834651619"/>
      <w:bookmarkStart w:id="82" w:name="_1834644847"/>
      <w:bookmarkEnd w:id="80"/>
      <w:bookmarkEnd w:id="81"/>
      <w:bookmarkEnd w:id="82"/>
      <w:r w:rsidRPr="006E3B42">
        <w:rPr>
          <w:noProof/>
        </w:rPr>
        <w:drawing>
          <wp:inline distT="0" distB="0" distL="0" distR="0" wp14:anchorId="0654F903" wp14:editId="6263E8E0">
            <wp:extent cx="5852160" cy="922655"/>
            <wp:effectExtent l="0" t="0" r="0" b="0"/>
            <wp:docPr id="195766109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2160" cy="922655"/>
                    </a:xfrm>
                    <a:prstGeom prst="rect">
                      <a:avLst/>
                    </a:prstGeom>
                    <a:noFill/>
                    <a:ln>
                      <a:noFill/>
                    </a:ln>
                  </pic:spPr>
                </pic:pic>
              </a:graphicData>
            </a:graphic>
          </wp:inline>
        </w:drawing>
      </w:r>
    </w:p>
    <w:p w14:paraId="050E09F0" w14:textId="77777777" w:rsidR="000C336F" w:rsidRPr="003B70C5" w:rsidRDefault="000C336F" w:rsidP="000C336F">
      <w:pPr>
        <w:rPr>
          <w:rFonts w:cs="Arial"/>
        </w:rPr>
      </w:pPr>
    </w:p>
    <w:p w14:paraId="069FDD29" w14:textId="2DAD58FF" w:rsidR="000C336F" w:rsidRPr="003B70C5" w:rsidRDefault="000C336F" w:rsidP="000C336F">
      <w:pPr>
        <w:rPr>
          <w:rFonts w:cs="Arial"/>
        </w:rPr>
      </w:pPr>
      <w:r w:rsidRPr="003B70C5">
        <w:t>Les autres passifs courants sont les montants dus à l</w:t>
      </w:r>
      <w:r w:rsidR="002B0172" w:rsidRPr="003B70C5">
        <w:t>’</w:t>
      </w:r>
      <w:r w:rsidRPr="003B70C5">
        <w:t>OMPI, correspondant aux services fournis dans le cadre de l</w:t>
      </w:r>
      <w:r w:rsidR="002B0172" w:rsidRPr="003B70C5">
        <w:t>’</w:t>
      </w:r>
      <w:r w:rsidRPr="003B70C5">
        <w:t>Accord OMPI/UPOV.</w:t>
      </w:r>
    </w:p>
    <w:p w14:paraId="3DF41E60" w14:textId="77777777" w:rsidR="000C336F" w:rsidRPr="003B70C5" w:rsidRDefault="000C336F" w:rsidP="000C336F">
      <w:pPr>
        <w:rPr>
          <w:rFonts w:cs="Arial"/>
        </w:rPr>
      </w:pPr>
    </w:p>
    <w:p w14:paraId="593E105B" w14:textId="77777777" w:rsidR="000C336F" w:rsidRPr="003B70C5" w:rsidRDefault="000C336F" w:rsidP="000C336F">
      <w:pPr>
        <w:rPr>
          <w:rFonts w:cs="Arial"/>
        </w:rPr>
      </w:pPr>
    </w:p>
    <w:p w14:paraId="3D0657D6" w14:textId="584AAE10" w:rsidR="000C336F" w:rsidRPr="003B70C5" w:rsidRDefault="000C336F" w:rsidP="004573AD">
      <w:pPr>
        <w:pStyle w:val="Heading2Notes"/>
      </w:pPr>
      <w:bookmarkStart w:id="83" w:name="_Toc236922636"/>
      <w:r w:rsidRPr="003B70C5">
        <w:t>Note 9</w:t>
      </w:r>
      <w:r w:rsidR="002B0172" w:rsidRPr="003B70C5">
        <w:t> :</w:t>
      </w:r>
      <w:r w:rsidR="00E2280F" w:rsidRPr="003B70C5">
        <w:t xml:space="preserve"> </w:t>
      </w:r>
      <w:r w:rsidRPr="003B70C5">
        <w:tab/>
        <w:t>Passifs éventuels</w:t>
      </w:r>
      <w:bookmarkEnd w:id="83"/>
    </w:p>
    <w:p w14:paraId="37649259" w14:textId="77777777" w:rsidR="000C336F" w:rsidRPr="003B70C5" w:rsidRDefault="000C336F" w:rsidP="000C336F">
      <w:pPr>
        <w:rPr>
          <w:rFonts w:cs="Arial"/>
        </w:rPr>
      </w:pPr>
    </w:p>
    <w:p w14:paraId="284F1F80" w14:textId="27D86FA4" w:rsidR="000C336F" w:rsidRPr="003B70C5" w:rsidRDefault="000C336F" w:rsidP="000C336F">
      <w:pPr>
        <w:rPr>
          <w:rFonts w:cs="Arial"/>
        </w:rPr>
      </w:pPr>
      <w:r w:rsidRPr="003B70C5">
        <w:t>L</w:t>
      </w:r>
      <w:r w:rsidR="002B0172" w:rsidRPr="003B70C5">
        <w:t>’</w:t>
      </w:r>
      <w:r w:rsidRPr="003B70C5">
        <w:t>UPOV n</w:t>
      </w:r>
      <w:r w:rsidR="002B0172" w:rsidRPr="003B70C5">
        <w:t>’</w:t>
      </w:r>
      <w:r w:rsidRPr="003B70C5">
        <w:t>a pas de passifs éventuels au 31 </w:t>
      </w:r>
      <w:r w:rsidR="002B0172" w:rsidRPr="003B70C5">
        <w:t>décembre 20</w:t>
      </w:r>
      <w:r w:rsidRPr="003B70C5">
        <w:t>25.</w:t>
      </w:r>
    </w:p>
    <w:p w14:paraId="7E7829B1" w14:textId="77777777" w:rsidR="000C336F" w:rsidRPr="003B70C5" w:rsidRDefault="000C336F" w:rsidP="000C336F">
      <w:pPr>
        <w:rPr>
          <w:rFonts w:cs="Arial"/>
        </w:rPr>
      </w:pPr>
    </w:p>
    <w:p w14:paraId="62E47458" w14:textId="77777777" w:rsidR="000C336F" w:rsidRPr="003B70C5" w:rsidRDefault="000C336F" w:rsidP="000C336F">
      <w:pPr>
        <w:jc w:val="left"/>
        <w:rPr>
          <w:rFonts w:cs="Arial"/>
          <w:b/>
          <w:caps/>
        </w:rPr>
      </w:pPr>
      <w:bookmarkStart w:id="84" w:name="_Toc84329900"/>
    </w:p>
    <w:p w14:paraId="71503659" w14:textId="4404773A" w:rsidR="000C336F" w:rsidRPr="003B70C5" w:rsidRDefault="000C336F" w:rsidP="004573AD">
      <w:pPr>
        <w:pStyle w:val="Heading2Notes"/>
        <w:rPr>
          <w:rFonts w:cs="Arial"/>
        </w:rPr>
      </w:pPr>
      <w:bookmarkStart w:id="85" w:name="_Toc236922637"/>
      <w:r w:rsidRPr="003B70C5">
        <w:t>Note 10</w:t>
      </w:r>
      <w:r w:rsidR="002B0172" w:rsidRPr="003B70C5">
        <w:t> :</w:t>
      </w:r>
      <w:r w:rsidR="00E2280F" w:rsidRPr="003B70C5">
        <w:t xml:space="preserve"> </w:t>
      </w:r>
      <w:r w:rsidRPr="003B70C5">
        <w:tab/>
        <w:t>Transactions avec une partie liée</w:t>
      </w:r>
      <w:bookmarkEnd w:id="84"/>
      <w:bookmarkEnd w:id="85"/>
    </w:p>
    <w:p w14:paraId="2D41E121" w14:textId="77777777" w:rsidR="000C336F" w:rsidRPr="003B70C5" w:rsidRDefault="000C336F" w:rsidP="000C336F">
      <w:pPr>
        <w:rPr>
          <w:rFonts w:cs="Arial"/>
        </w:rPr>
      </w:pPr>
    </w:p>
    <w:p w14:paraId="6F572A4A" w14:textId="2089CE40" w:rsidR="002B0172" w:rsidRPr="003B70C5" w:rsidRDefault="000C336F" w:rsidP="000C336F">
      <w:pPr>
        <w:pStyle w:val="Style3"/>
        <w:spacing w:after="0"/>
        <w:rPr>
          <w:sz w:val="20"/>
        </w:rPr>
      </w:pPr>
      <w:r w:rsidRPr="003B70C5">
        <w:rPr>
          <w:sz w:val="20"/>
        </w:rPr>
        <w:t>Le Conseil de l</w:t>
      </w:r>
      <w:r w:rsidR="002B0172" w:rsidRPr="003B70C5">
        <w:rPr>
          <w:sz w:val="20"/>
        </w:rPr>
        <w:t>’</w:t>
      </w:r>
      <w:r w:rsidRPr="003B70C5">
        <w:rPr>
          <w:sz w:val="20"/>
        </w:rPr>
        <w:t>UPOV est composé des représentants des membres de l</w:t>
      </w:r>
      <w:r w:rsidR="002B0172" w:rsidRPr="003B70C5">
        <w:rPr>
          <w:sz w:val="20"/>
        </w:rPr>
        <w:t>’</w:t>
      </w:r>
      <w:r w:rsidRPr="003B70C5">
        <w:rPr>
          <w:sz w:val="20"/>
        </w:rPr>
        <w:t>Uni</w:t>
      </w:r>
      <w:r w:rsidR="00D076B0" w:rsidRPr="003B70C5">
        <w:rPr>
          <w:sz w:val="20"/>
        </w:rPr>
        <w:t>on.  Il</w:t>
      </w:r>
      <w:r w:rsidRPr="003B70C5">
        <w:rPr>
          <w:sz w:val="20"/>
        </w:rPr>
        <w:t>s ne reçoivent aucune rémunération de l</w:t>
      </w:r>
      <w:r w:rsidR="002B0172" w:rsidRPr="003B70C5">
        <w:rPr>
          <w:sz w:val="20"/>
        </w:rPr>
        <w:t>’</w:t>
      </w:r>
      <w:r w:rsidRPr="003B70C5">
        <w:rPr>
          <w:sz w:val="20"/>
        </w:rPr>
        <w:t>UPOV.</w:t>
      </w:r>
    </w:p>
    <w:p w14:paraId="1E208FC3" w14:textId="35B4ACD5" w:rsidR="000C336F" w:rsidRPr="003B70C5" w:rsidRDefault="000C336F" w:rsidP="000C336F">
      <w:pPr>
        <w:pStyle w:val="Style3"/>
        <w:spacing w:after="0"/>
        <w:rPr>
          <w:rFonts w:cs="Arial"/>
          <w:sz w:val="20"/>
        </w:rPr>
      </w:pPr>
    </w:p>
    <w:p w14:paraId="6237E5C2" w14:textId="5DE3C13D" w:rsidR="000C336F" w:rsidRPr="003B70C5" w:rsidRDefault="000C336F" w:rsidP="000C336F">
      <w:r w:rsidRPr="003B70C5">
        <w:t>L</w:t>
      </w:r>
      <w:r w:rsidR="002B0172" w:rsidRPr="003B70C5">
        <w:t>’</w:t>
      </w:r>
      <w:r w:rsidRPr="003B70C5">
        <w:t>UPOV ne détient aucune participation dans des associations ou des coentreprises et n</w:t>
      </w:r>
      <w:r w:rsidR="002B0172" w:rsidRPr="003B70C5">
        <w:t>’</w:t>
      </w:r>
      <w:r w:rsidRPr="003B70C5">
        <w:t>a aucune entité contrôl</w:t>
      </w:r>
      <w:r w:rsidR="00D076B0" w:rsidRPr="003B70C5">
        <w:t>ée.  En</w:t>
      </w:r>
      <w:r w:rsidR="002B0172" w:rsidRPr="003B70C5">
        <w:t> 1982</w:t>
      </w:r>
      <w:r w:rsidRPr="003B70C5">
        <w:t>, un accord de coopération (l</w:t>
      </w:r>
      <w:r w:rsidR="002B0172" w:rsidRPr="003B70C5">
        <w:t>’</w:t>
      </w:r>
      <w:bookmarkStart w:id="86" w:name="_Hlk161156819"/>
      <w:r w:rsidRPr="003B70C5">
        <w:t>Accord OMPI/UPOV</w:t>
      </w:r>
      <w:bookmarkEnd w:id="86"/>
      <w:r w:rsidRPr="003B70C5">
        <w:t>) a été signé entre l</w:t>
      </w:r>
      <w:r w:rsidR="002B0172" w:rsidRPr="003B70C5">
        <w:t>’</w:t>
      </w:r>
      <w:r w:rsidRPr="003B70C5">
        <w:t>UPOV et l</w:t>
      </w:r>
      <w:r w:rsidR="002B0172" w:rsidRPr="003B70C5">
        <w:t>’</w:t>
      </w:r>
      <w:r w:rsidRPr="003B70C5">
        <w:t>O</w:t>
      </w:r>
      <w:r w:rsidR="00D076B0" w:rsidRPr="003B70C5">
        <w:t>MPI.  Co</w:t>
      </w:r>
      <w:r w:rsidRPr="003B70C5">
        <w:t>nformément à cet accord, le Conseil de l</w:t>
      </w:r>
      <w:r w:rsidR="002B0172" w:rsidRPr="003B70C5">
        <w:t>’</w:t>
      </w:r>
      <w:r w:rsidRPr="003B70C5">
        <w:t>UPOV nomme comme Secrétaire général de l</w:t>
      </w:r>
      <w:r w:rsidR="002B0172" w:rsidRPr="003B70C5">
        <w:t>’</w:t>
      </w:r>
      <w:r w:rsidRPr="003B70C5">
        <w:t>UPOV le Directeur général de l</w:t>
      </w:r>
      <w:r w:rsidR="002B0172" w:rsidRPr="003B70C5">
        <w:t>’</w:t>
      </w:r>
      <w:r w:rsidRPr="003B70C5">
        <w:t>O</w:t>
      </w:r>
      <w:r w:rsidR="00D076B0" w:rsidRPr="003B70C5">
        <w:t>MPI.  Se</w:t>
      </w:r>
      <w:r w:rsidRPr="003B70C5">
        <w:t>lon l</w:t>
      </w:r>
      <w:r w:rsidR="002B0172" w:rsidRPr="003B70C5">
        <w:t>’</w:t>
      </w:r>
      <w:r w:rsidRPr="003B70C5">
        <w:t>accord, l</w:t>
      </w:r>
      <w:r w:rsidR="002B0172" w:rsidRPr="003B70C5">
        <w:t>’</w:t>
      </w:r>
      <w:r w:rsidRPr="003B70C5">
        <w:t>OMPI satisfait les besoins de l</w:t>
      </w:r>
      <w:r w:rsidR="002B0172" w:rsidRPr="003B70C5">
        <w:t>’</w:t>
      </w:r>
      <w:r w:rsidRPr="003B70C5">
        <w:t>UPOV en ce qui concerne l</w:t>
      </w:r>
      <w:r w:rsidR="002B0172" w:rsidRPr="003B70C5">
        <w:t>’</w:t>
      </w:r>
      <w:r w:rsidRPr="003B70C5">
        <w:t>espace,</w:t>
      </w:r>
      <w:bookmarkStart w:id="87" w:name="_Hlk161156840"/>
      <w:r w:rsidRPr="003B70C5">
        <w:t xml:space="preserve"> le personnel, les finances, les achats et d</w:t>
      </w:r>
      <w:r w:rsidR="002B0172" w:rsidRPr="003B70C5">
        <w:t>’</w:t>
      </w:r>
      <w:r w:rsidRPr="003B70C5">
        <w:t>autres tâches administratives.</w:t>
      </w:r>
      <w:bookmarkEnd w:id="87"/>
      <w:r w:rsidRPr="003B70C5">
        <w:t xml:space="preserve"> </w:t>
      </w:r>
      <w:r w:rsidR="00E2280F" w:rsidRPr="003B70C5">
        <w:t xml:space="preserve"> </w:t>
      </w:r>
      <w:r w:rsidRPr="003B70C5">
        <w:t>L</w:t>
      </w:r>
      <w:r w:rsidR="002B0172" w:rsidRPr="003B70C5">
        <w:t>’</w:t>
      </w:r>
      <w:r w:rsidRPr="003B70C5">
        <w:t>UPOV indemnise l</w:t>
      </w:r>
      <w:r w:rsidR="002B0172" w:rsidRPr="003B70C5">
        <w:t>’</w:t>
      </w:r>
      <w:r w:rsidRPr="003B70C5">
        <w:t>OMPI pour le coût de ces services conformément aux conditions prévues dans l</w:t>
      </w:r>
      <w:r w:rsidR="002B0172" w:rsidRPr="003B70C5">
        <w:t>’</w:t>
      </w:r>
      <w:r w:rsidRPr="003B70C5">
        <w:t>accord susmention</w:t>
      </w:r>
      <w:r w:rsidR="00D076B0" w:rsidRPr="003B70C5">
        <w:t>né.  En</w:t>
      </w:r>
      <w:r w:rsidR="002B0172" w:rsidRPr="003B70C5">
        <w:t> 2025</w:t>
      </w:r>
      <w:r w:rsidRPr="003B70C5">
        <w:t>, l</w:t>
      </w:r>
      <w:r w:rsidR="002B0172" w:rsidRPr="003B70C5">
        <w:t>’</w:t>
      </w:r>
      <w:r w:rsidRPr="003B70C5">
        <w:t>UPOV a versé 618</w:t>
      </w:r>
      <w:r w:rsidR="00E2280F" w:rsidRPr="003B70C5">
        <w:t> </w:t>
      </w:r>
      <w:r w:rsidRPr="003B70C5">
        <w:t>000 francs suisses à l</w:t>
      </w:r>
      <w:r w:rsidR="002B0172" w:rsidRPr="003B70C5">
        <w:t>’</w:t>
      </w:r>
      <w:r w:rsidRPr="003B70C5">
        <w:t>OMPI pour couvrir le coût de ces services, somme que l</w:t>
      </w:r>
      <w:r w:rsidR="002B0172" w:rsidRPr="003B70C5">
        <w:t>’</w:t>
      </w:r>
      <w:r w:rsidRPr="003B70C5">
        <w:t>UPOV a comptabilisée dans ses frais de fonctionnement pour l</w:t>
      </w:r>
      <w:r w:rsidR="002B0172" w:rsidRPr="003B70C5">
        <w:t>’</w:t>
      </w:r>
      <w:r w:rsidRPr="003B70C5">
        <w:t>ann</w:t>
      </w:r>
      <w:r w:rsidR="00D076B0" w:rsidRPr="003B70C5">
        <w:t>ée.  En</w:t>
      </w:r>
      <w:r w:rsidRPr="003B70C5">
        <w:t xml:space="preserve"> outre, l</w:t>
      </w:r>
      <w:r w:rsidR="002B0172" w:rsidRPr="003B70C5">
        <w:t>’</w:t>
      </w:r>
      <w:r w:rsidRPr="003B70C5">
        <w:t>UPOV a remboursé l</w:t>
      </w:r>
      <w:r w:rsidR="002B0172" w:rsidRPr="003B70C5">
        <w:t>’</w:t>
      </w:r>
      <w:r w:rsidRPr="003B70C5">
        <w:t>OMPI des fonds décaissés pour son comp</w:t>
      </w:r>
      <w:r w:rsidR="00D076B0" w:rsidRPr="003B70C5">
        <w:t>te.  Co</w:t>
      </w:r>
      <w:r w:rsidRPr="003B70C5">
        <w:t>nformément à cet accord, le Bureau de l</w:t>
      </w:r>
      <w:r w:rsidR="002B0172" w:rsidRPr="003B70C5">
        <w:t>’</w:t>
      </w:r>
      <w:r w:rsidRPr="003B70C5">
        <w:t>Union exerce ses fonctions de façon entièrement indépendante de l</w:t>
      </w:r>
      <w:r w:rsidR="002B0172" w:rsidRPr="003B70C5">
        <w:t>’</w:t>
      </w:r>
      <w:r w:rsidRPr="003B70C5">
        <w:t xml:space="preserve">OMPI. </w:t>
      </w:r>
      <w:r w:rsidR="00E2280F" w:rsidRPr="003B70C5">
        <w:t xml:space="preserve"> </w:t>
      </w:r>
      <w:r w:rsidRPr="003B70C5">
        <w:t>L</w:t>
      </w:r>
      <w:r w:rsidR="002B0172" w:rsidRPr="003B70C5">
        <w:t>’</w:t>
      </w:r>
      <w:r w:rsidRPr="003B70C5">
        <w:t>UPOV et l</w:t>
      </w:r>
      <w:r w:rsidR="002B0172" w:rsidRPr="003B70C5">
        <w:t>’</w:t>
      </w:r>
      <w:r w:rsidRPr="003B70C5">
        <w:t xml:space="preserve">OMPI participent à un régime de prestations sociales </w:t>
      </w:r>
      <w:proofErr w:type="spellStart"/>
      <w:r w:rsidRPr="003B70C5">
        <w:t>multiemployeurs</w:t>
      </w:r>
      <w:proofErr w:type="spellEnd"/>
      <w:r w:rsidRPr="003B70C5">
        <w:t>, le régime OMPI/UPOV d</w:t>
      </w:r>
      <w:r w:rsidR="002B0172" w:rsidRPr="003B70C5">
        <w:t>’</w:t>
      </w:r>
      <w:r w:rsidRPr="003B70C5">
        <w:t>assurance maladie après la cessation de service, créé pour gérer les fonds provisionnés pour financer l</w:t>
      </w:r>
      <w:r w:rsidR="002B0172" w:rsidRPr="003B70C5">
        <w:t>’</w:t>
      </w:r>
      <w:r w:rsidRPr="003B70C5">
        <w:t>A</w:t>
      </w:r>
      <w:r w:rsidR="00D076B0" w:rsidRPr="003B70C5">
        <w:t>MCS.  Le</w:t>
      </w:r>
      <w:r w:rsidRPr="003B70C5">
        <w:t xml:space="preserve"> Comité consultatif du régime d</w:t>
      </w:r>
      <w:r w:rsidR="002B0172" w:rsidRPr="003B70C5">
        <w:t>’</w:t>
      </w:r>
      <w:r w:rsidRPr="003B70C5">
        <w:t>AMCS est chargé de conseiller le Directeur général de l</w:t>
      </w:r>
      <w:r w:rsidR="002B0172" w:rsidRPr="003B70C5">
        <w:t>’</w:t>
      </w:r>
      <w:r w:rsidRPr="003B70C5">
        <w:t>OMPI et l</w:t>
      </w:r>
      <w:r w:rsidR="002918F9">
        <w:t>a</w:t>
      </w:r>
      <w:r w:rsidRPr="003B70C5">
        <w:t xml:space="preserve"> Secrétaire général</w:t>
      </w:r>
      <w:r w:rsidR="002918F9">
        <w:t>e</w:t>
      </w:r>
      <w:r w:rsidRPr="003B70C5">
        <w:t xml:space="preserve"> adjoint</w:t>
      </w:r>
      <w:r w:rsidR="002918F9">
        <w:t>e</w:t>
      </w:r>
      <w:r w:rsidRPr="003B70C5">
        <w:t xml:space="preserve"> de l</w:t>
      </w:r>
      <w:r w:rsidR="002B0172" w:rsidRPr="003B70C5">
        <w:t>’</w:t>
      </w:r>
      <w:r w:rsidRPr="003B70C5">
        <w:t>UPOV sur la gestion et le fonctionnement du régime d</w:t>
      </w:r>
      <w:r w:rsidR="002B0172" w:rsidRPr="003B70C5">
        <w:t>’</w:t>
      </w:r>
      <w:r w:rsidRPr="003B70C5">
        <w:t>assurance maladie après la cessation de servi</w:t>
      </w:r>
      <w:r w:rsidR="00D076B0" w:rsidRPr="003B70C5">
        <w:t>ce.  Le</w:t>
      </w:r>
      <w:r w:rsidRPr="003B70C5">
        <w:t xml:space="preserve"> Comité consultatif de l</w:t>
      </w:r>
      <w:r w:rsidR="002B0172" w:rsidRPr="003B70C5">
        <w:t>’</w:t>
      </w:r>
      <w:r w:rsidRPr="003B70C5">
        <w:t>AMCS est composé de deux membres du Comité du programme et budget de l</w:t>
      </w:r>
      <w:r w:rsidR="002B0172" w:rsidRPr="003B70C5">
        <w:t>’</w:t>
      </w:r>
      <w:r w:rsidRPr="003B70C5">
        <w:t>OMPI, de trois</w:t>
      </w:r>
      <w:r w:rsidR="00E2280F" w:rsidRPr="003B70C5">
        <w:t> </w:t>
      </w:r>
      <w:r w:rsidRPr="003B70C5">
        <w:t>membres du personnel de l</w:t>
      </w:r>
      <w:r w:rsidR="002B0172" w:rsidRPr="003B70C5">
        <w:t>’</w:t>
      </w:r>
      <w:r w:rsidRPr="003B70C5">
        <w:t>OMPI ou de l</w:t>
      </w:r>
      <w:r w:rsidR="002B0172" w:rsidRPr="003B70C5">
        <w:t>’</w:t>
      </w:r>
      <w:r w:rsidRPr="003B70C5">
        <w:t>UPOV, d</w:t>
      </w:r>
      <w:r w:rsidR="002B0172" w:rsidRPr="003B70C5">
        <w:t>’</w:t>
      </w:r>
      <w:r w:rsidRPr="003B70C5">
        <w:t>un ancien membre du personnel de l</w:t>
      </w:r>
      <w:r w:rsidR="002B0172" w:rsidRPr="003B70C5">
        <w:t>’</w:t>
      </w:r>
      <w:r w:rsidRPr="003B70C5">
        <w:t>OMPI ou de l</w:t>
      </w:r>
      <w:r w:rsidR="002B0172" w:rsidRPr="003B70C5">
        <w:t>’</w:t>
      </w:r>
      <w:r w:rsidRPr="003B70C5">
        <w:t>UPOV, du sous</w:t>
      </w:r>
      <w:r w:rsidR="002B0172" w:rsidRPr="003B70C5">
        <w:t>-</w:t>
      </w:r>
      <w:r w:rsidRPr="003B70C5">
        <w:t>directeur général chargé du Secteur administration, finances et gestion de l</w:t>
      </w:r>
      <w:r w:rsidR="002B0172" w:rsidRPr="003B70C5">
        <w:t>’</w:t>
      </w:r>
      <w:r w:rsidRPr="003B70C5">
        <w:t>OMPI, ainsi que du contrôleur de l</w:t>
      </w:r>
      <w:r w:rsidR="002B0172" w:rsidRPr="003B70C5">
        <w:t>’</w:t>
      </w:r>
      <w:r w:rsidRPr="003B70C5">
        <w:t>OMPI.</w:t>
      </w:r>
    </w:p>
    <w:p w14:paraId="15762CFB" w14:textId="77777777" w:rsidR="000C336F" w:rsidRPr="003B70C5" w:rsidRDefault="000C336F" w:rsidP="000C336F">
      <w:pPr>
        <w:pStyle w:val="Style3"/>
        <w:rPr>
          <w:rFonts w:cs="Arial"/>
        </w:rPr>
      </w:pPr>
    </w:p>
    <w:p w14:paraId="388F8660" w14:textId="19E3C5C2" w:rsidR="002B0172" w:rsidRPr="003B70C5" w:rsidRDefault="000C336F" w:rsidP="000C336F">
      <w:pPr>
        <w:pStyle w:val="Style3"/>
        <w:spacing w:after="0"/>
        <w:rPr>
          <w:sz w:val="20"/>
        </w:rPr>
      </w:pPr>
      <w:r w:rsidRPr="003B70C5">
        <w:rPr>
          <w:sz w:val="20"/>
        </w:rPr>
        <w:t>Le personnel de direction essentiel de l</w:t>
      </w:r>
      <w:r w:rsidR="002B0172" w:rsidRPr="003B70C5">
        <w:rPr>
          <w:sz w:val="20"/>
        </w:rPr>
        <w:t>’</w:t>
      </w:r>
      <w:r w:rsidRPr="003B70C5">
        <w:rPr>
          <w:sz w:val="20"/>
        </w:rPr>
        <w:t>UPOV comprend le Secrétaire général, la Secrétaire générale adjointe et les administrateurs en pos</w:t>
      </w:r>
      <w:r w:rsidR="00D076B0" w:rsidRPr="003B70C5">
        <w:rPr>
          <w:sz w:val="20"/>
        </w:rPr>
        <w:t>te.  Le</w:t>
      </w:r>
      <w:r w:rsidRPr="003B70C5">
        <w:rPr>
          <w:sz w:val="20"/>
        </w:rPr>
        <w:t xml:space="preserve"> Directeur général actuel de l</w:t>
      </w:r>
      <w:r w:rsidR="002B0172" w:rsidRPr="003B70C5">
        <w:rPr>
          <w:sz w:val="20"/>
        </w:rPr>
        <w:t>’</w:t>
      </w:r>
      <w:r w:rsidRPr="003B70C5">
        <w:rPr>
          <w:sz w:val="20"/>
        </w:rPr>
        <w:t>OMPI a refusé de percevoir tout traitement ou indemnité pour ses fonctions de secrétaire général de l</w:t>
      </w:r>
      <w:r w:rsidR="002B0172" w:rsidRPr="003B70C5">
        <w:rPr>
          <w:sz w:val="20"/>
        </w:rPr>
        <w:t>’</w:t>
      </w:r>
      <w:r w:rsidRPr="003B70C5">
        <w:rPr>
          <w:sz w:val="20"/>
        </w:rPr>
        <w:t>U</w:t>
      </w:r>
      <w:r w:rsidR="00D076B0" w:rsidRPr="003B70C5">
        <w:rPr>
          <w:sz w:val="20"/>
        </w:rPr>
        <w:t>POV.  Le</w:t>
      </w:r>
      <w:r w:rsidRPr="003B70C5">
        <w:rPr>
          <w:sz w:val="20"/>
        </w:rPr>
        <w:t xml:space="preserve">s autres principaux dirigeants sont </w:t>
      </w:r>
      <w:r w:rsidRPr="003B70C5">
        <w:rPr>
          <w:sz w:val="20"/>
        </w:rPr>
        <w:lastRenderedPageBreak/>
        <w:t>rémunérés par l</w:t>
      </w:r>
      <w:r w:rsidR="002B0172" w:rsidRPr="003B70C5">
        <w:rPr>
          <w:sz w:val="20"/>
        </w:rPr>
        <w:t>’</w:t>
      </w:r>
      <w:r w:rsidRPr="003B70C5">
        <w:rPr>
          <w:sz w:val="20"/>
        </w:rPr>
        <w:t>U</w:t>
      </w:r>
      <w:r w:rsidR="00D076B0" w:rsidRPr="003B70C5">
        <w:rPr>
          <w:sz w:val="20"/>
        </w:rPr>
        <w:t>POV.  La</w:t>
      </w:r>
      <w:r w:rsidRPr="003B70C5">
        <w:rPr>
          <w:sz w:val="20"/>
        </w:rPr>
        <w:t xml:space="preserve"> rémunération globale versée aux principaux dirigeants comprend les salaires, les indemnités, les voyages officiels et d</w:t>
      </w:r>
      <w:r w:rsidR="002B0172" w:rsidRPr="003B70C5">
        <w:rPr>
          <w:sz w:val="20"/>
        </w:rPr>
        <w:t>’</w:t>
      </w:r>
      <w:r w:rsidRPr="003B70C5">
        <w:rPr>
          <w:sz w:val="20"/>
        </w:rPr>
        <w:t>autres prestations versées en conformité avec le Statut et Règlement du personn</w:t>
      </w:r>
      <w:r w:rsidR="00D076B0" w:rsidRPr="003B70C5">
        <w:rPr>
          <w:sz w:val="20"/>
        </w:rPr>
        <w:t>el.  Le</w:t>
      </w:r>
      <w:r w:rsidRPr="003B70C5">
        <w:rPr>
          <w:sz w:val="20"/>
        </w:rPr>
        <w:t xml:space="preserve">s principaux dirigeants participent à la Caisse commune des pensions du personnel des </w:t>
      </w:r>
      <w:r w:rsidR="002B0172" w:rsidRPr="003B70C5">
        <w:rPr>
          <w:sz w:val="20"/>
        </w:rPr>
        <w:t>Nations Unies</w:t>
      </w:r>
      <w:r w:rsidRPr="003B70C5">
        <w:rPr>
          <w:sz w:val="20"/>
        </w:rPr>
        <w:t xml:space="preserve"> à laquelle le personnel et l</w:t>
      </w:r>
      <w:r w:rsidR="002B0172" w:rsidRPr="003B70C5">
        <w:rPr>
          <w:sz w:val="20"/>
        </w:rPr>
        <w:t>’</w:t>
      </w:r>
      <w:r w:rsidRPr="003B70C5">
        <w:rPr>
          <w:sz w:val="20"/>
        </w:rPr>
        <w:t>UPOV contribuent et peuvent également participer au régime d</w:t>
      </w:r>
      <w:r w:rsidR="002B0172" w:rsidRPr="003B70C5">
        <w:rPr>
          <w:sz w:val="20"/>
        </w:rPr>
        <w:t>’</w:t>
      </w:r>
      <w:r w:rsidRPr="003B70C5">
        <w:rPr>
          <w:sz w:val="20"/>
        </w:rPr>
        <w:t>assurance maladie collective.</w:t>
      </w:r>
    </w:p>
    <w:p w14:paraId="5F21D19E" w14:textId="1DC563BA" w:rsidR="000C336F" w:rsidRPr="003B70C5" w:rsidRDefault="000C336F" w:rsidP="000C336F">
      <w:pPr>
        <w:pStyle w:val="Style3"/>
        <w:spacing w:after="0"/>
        <w:rPr>
          <w:rFonts w:cs="Arial"/>
          <w:sz w:val="20"/>
        </w:rPr>
      </w:pPr>
    </w:p>
    <w:p w14:paraId="2F7390B6" w14:textId="3EA7AB76" w:rsidR="000C336F" w:rsidRPr="003B70C5" w:rsidRDefault="000C336F" w:rsidP="000C336F">
      <w:pPr>
        <w:jc w:val="left"/>
        <w:rPr>
          <w:rFonts w:cs="Arial"/>
        </w:rPr>
      </w:pPr>
      <w:r w:rsidRPr="003B70C5">
        <w:t>L</w:t>
      </w:r>
      <w:r w:rsidR="002B0172" w:rsidRPr="003B70C5">
        <w:t>’</w:t>
      </w:r>
      <w:r w:rsidRPr="003B70C5">
        <w:t>enveloppe de rémunération des principaux dirigeants est indiquée ci</w:t>
      </w:r>
      <w:r w:rsidR="002B0172" w:rsidRPr="003B70C5">
        <w:t>-</w:t>
      </w:r>
      <w:r w:rsidRPr="003B70C5">
        <w:t>après (il convient de noter que le tableau ne comprend pas le Secrétaire général étant donné qu</w:t>
      </w:r>
      <w:r w:rsidR="002B0172" w:rsidRPr="003B70C5">
        <w:t>’</w:t>
      </w:r>
      <w:r w:rsidRPr="003B70C5">
        <w:t>il ne reçoit aucune rémunération de l</w:t>
      </w:r>
      <w:r w:rsidR="002B0172" w:rsidRPr="003B70C5">
        <w:t>’</w:t>
      </w:r>
      <w:r w:rsidRPr="003B70C5">
        <w:t>UPOV)</w:t>
      </w:r>
      <w:r w:rsidR="002B0172" w:rsidRPr="003B70C5">
        <w:t> :</w:t>
      </w:r>
    </w:p>
    <w:p w14:paraId="7F8368AF" w14:textId="77777777" w:rsidR="000C336F" w:rsidRPr="003B70C5" w:rsidRDefault="000C336F" w:rsidP="000C336F">
      <w:pPr>
        <w:pStyle w:val="Style3"/>
        <w:spacing w:after="0"/>
        <w:rPr>
          <w:rFonts w:cs="Arial"/>
          <w:sz w:val="20"/>
        </w:rPr>
      </w:pPr>
    </w:p>
    <w:p w14:paraId="6F540838" w14:textId="654BC14F" w:rsidR="000C336F" w:rsidRPr="003B70C5" w:rsidRDefault="006E3B42" w:rsidP="000C336F">
      <w:pPr>
        <w:rPr>
          <w:rFonts w:cs="Arial"/>
        </w:rPr>
      </w:pPr>
      <w:bookmarkStart w:id="88" w:name="_1834646993"/>
      <w:bookmarkStart w:id="89" w:name="_1834651624"/>
      <w:bookmarkStart w:id="90" w:name="_1834644854"/>
      <w:bookmarkEnd w:id="88"/>
      <w:bookmarkEnd w:id="89"/>
      <w:bookmarkEnd w:id="90"/>
      <w:r w:rsidRPr="006E3B42">
        <w:rPr>
          <w:noProof/>
        </w:rPr>
        <w:drawing>
          <wp:inline distT="0" distB="0" distL="0" distR="0" wp14:anchorId="042ACFCC" wp14:editId="577958AD">
            <wp:extent cx="5979160" cy="1454785"/>
            <wp:effectExtent l="0" t="0" r="2540" b="0"/>
            <wp:docPr id="69031296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79160" cy="1454785"/>
                    </a:xfrm>
                    <a:prstGeom prst="rect">
                      <a:avLst/>
                    </a:prstGeom>
                    <a:noFill/>
                    <a:ln>
                      <a:noFill/>
                    </a:ln>
                  </pic:spPr>
                </pic:pic>
              </a:graphicData>
            </a:graphic>
          </wp:inline>
        </w:drawing>
      </w:r>
    </w:p>
    <w:p w14:paraId="05CC35EC" w14:textId="77777777" w:rsidR="000C336F" w:rsidRPr="003B70C5" w:rsidRDefault="000C336F" w:rsidP="000C336F">
      <w:pPr>
        <w:rPr>
          <w:rFonts w:cs="Arial"/>
        </w:rPr>
      </w:pPr>
    </w:p>
    <w:p w14:paraId="063D4FAB" w14:textId="0DACB86C" w:rsidR="000C336F" w:rsidRPr="003B70C5" w:rsidRDefault="000C336F" w:rsidP="000C336F">
      <w:pPr>
        <w:rPr>
          <w:rFonts w:cs="Arial"/>
        </w:rPr>
      </w:pPr>
      <w:r w:rsidRPr="003B70C5">
        <w:t>Aucune autre rémunération ou indemnité n</w:t>
      </w:r>
      <w:r w:rsidR="002B0172" w:rsidRPr="003B70C5">
        <w:t>’</w:t>
      </w:r>
      <w:r w:rsidRPr="003B70C5">
        <w:t xml:space="preserve">a été versée à des hauts dirigeants ou </w:t>
      </w:r>
      <w:bookmarkStart w:id="91" w:name="_Toc84329901"/>
      <w:r w:rsidRPr="003B70C5">
        <w:t>à des membres proches de leur famille.</w:t>
      </w:r>
    </w:p>
    <w:p w14:paraId="7925F7AF" w14:textId="77777777" w:rsidR="000C336F" w:rsidRPr="003B70C5" w:rsidRDefault="000C336F" w:rsidP="000C336F">
      <w:pPr>
        <w:rPr>
          <w:rFonts w:cs="Arial"/>
        </w:rPr>
      </w:pPr>
    </w:p>
    <w:p w14:paraId="409BE6FD" w14:textId="77777777" w:rsidR="000C336F" w:rsidRPr="003B70C5" w:rsidRDefault="000C336F" w:rsidP="000C336F">
      <w:pPr>
        <w:jc w:val="left"/>
        <w:rPr>
          <w:rFonts w:cs="Arial"/>
          <w:b/>
          <w:caps/>
        </w:rPr>
      </w:pPr>
    </w:p>
    <w:p w14:paraId="37F95FD6" w14:textId="10EF209E" w:rsidR="000C336F" w:rsidRPr="003B70C5" w:rsidRDefault="000C336F" w:rsidP="004573AD">
      <w:pPr>
        <w:pStyle w:val="Heading2Notes"/>
        <w:rPr>
          <w:rFonts w:cs="Arial"/>
        </w:rPr>
      </w:pPr>
      <w:bookmarkStart w:id="92" w:name="_Toc236922638"/>
      <w:r w:rsidRPr="003B70C5">
        <w:t>Note 11</w:t>
      </w:r>
      <w:r w:rsidR="002B0172" w:rsidRPr="003B70C5">
        <w:t> :</w:t>
      </w:r>
      <w:r w:rsidR="00E2280F" w:rsidRPr="003B70C5">
        <w:t xml:space="preserve"> </w:t>
      </w:r>
      <w:r w:rsidRPr="003B70C5">
        <w:tab/>
        <w:t>Actifs nets</w:t>
      </w:r>
      <w:bookmarkEnd w:id="91"/>
      <w:bookmarkEnd w:id="92"/>
    </w:p>
    <w:p w14:paraId="4B1CF3E6" w14:textId="77777777" w:rsidR="002B0172" w:rsidRPr="003B70C5" w:rsidRDefault="002B0172" w:rsidP="000C336F"/>
    <w:p w14:paraId="13E64012" w14:textId="450356CD" w:rsidR="000C336F" w:rsidRPr="003B70C5" w:rsidRDefault="00234D45" w:rsidP="000C336F">
      <w:pPr>
        <w:rPr>
          <w:rFonts w:cs="Arial"/>
        </w:rPr>
      </w:pPr>
      <w:bookmarkStart w:id="93" w:name="_1834646998"/>
      <w:bookmarkStart w:id="94" w:name="_1834651629"/>
      <w:bookmarkEnd w:id="93"/>
      <w:bookmarkEnd w:id="94"/>
      <w:r w:rsidRPr="00234D45">
        <w:rPr>
          <w:noProof/>
        </w:rPr>
        <w:drawing>
          <wp:inline distT="0" distB="0" distL="0" distR="0" wp14:anchorId="2ED90D17" wp14:editId="1C7A4809">
            <wp:extent cx="6137910" cy="2361565"/>
            <wp:effectExtent l="0" t="0" r="0" b="0"/>
            <wp:docPr id="18557348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37910" cy="2361565"/>
                    </a:xfrm>
                    <a:prstGeom prst="rect">
                      <a:avLst/>
                    </a:prstGeom>
                    <a:noFill/>
                    <a:ln>
                      <a:noFill/>
                    </a:ln>
                  </pic:spPr>
                </pic:pic>
              </a:graphicData>
            </a:graphic>
          </wp:inline>
        </w:drawing>
      </w:r>
    </w:p>
    <w:p w14:paraId="0334BA8D" w14:textId="77777777" w:rsidR="000C336F" w:rsidRPr="003B70C5" w:rsidRDefault="000C336F" w:rsidP="000C336F">
      <w:pPr>
        <w:rPr>
          <w:rFonts w:cs="Arial"/>
        </w:rPr>
      </w:pPr>
    </w:p>
    <w:p w14:paraId="18E555B1" w14:textId="2BCD4726" w:rsidR="000C336F" w:rsidRPr="003B70C5" w:rsidRDefault="000C336F" w:rsidP="000C336F">
      <w:pPr>
        <w:rPr>
          <w:rFonts w:cs="Arial"/>
        </w:rPr>
      </w:pPr>
      <w:r w:rsidRPr="003B70C5">
        <w:t>En vertu de l</w:t>
      </w:r>
      <w:r w:rsidR="002B0172" w:rsidRPr="003B70C5">
        <w:t>’</w:t>
      </w:r>
      <w:r w:rsidRPr="003B70C5">
        <w:t>article 4.2 de son Règlement financier, l</w:t>
      </w:r>
      <w:r w:rsidR="002B0172" w:rsidRPr="003B70C5">
        <w:t>’</w:t>
      </w:r>
      <w:r w:rsidRPr="003B70C5">
        <w:t>UPOV dispose d</w:t>
      </w:r>
      <w:r w:rsidR="002B0172" w:rsidRPr="003B70C5">
        <w:t>’</w:t>
      </w:r>
      <w:r w:rsidRPr="003B70C5">
        <w:t>un fonds de rouleme</w:t>
      </w:r>
      <w:r w:rsidR="00D076B0" w:rsidRPr="003B70C5">
        <w:t>nt.  Au</w:t>
      </w:r>
      <w:r w:rsidRPr="003B70C5">
        <w:t xml:space="preserve"> 31 </w:t>
      </w:r>
      <w:r w:rsidR="002B0172" w:rsidRPr="003B70C5">
        <w:t>décembre 20</w:t>
      </w:r>
      <w:r w:rsidRPr="003B70C5">
        <w:t>25, le montant du fonds de roulement s</w:t>
      </w:r>
      <w:r w:rsidR="002B0172" w:rsidRPr="003B70C5">
        <w:t>’</w:t>
      </w:r>
      <w:r w:rsidRPr="003B70C5">
        <w:t>établit à 580 012 francs suiss</w:t>
      </w:r>
      <w:r w:rsidR="00D076B0" w:rsidRPr="003B70C5">
        <w:t>es.  Se</w:t>
      </w:r>
      <w:r w:rsidRPr="003B70C5">
        <w:t>lon les dispositions de cet article, le fonds de roulement est destiné à</w:t>
      </w:r>
      <w:r w:rsidR="002B0172" w:rsidRPr="003B70C5">
        <w:t> :</w:t>
      </w:r>
    </w:p>
    <w:p w14:paraId="3115300F" w14:textId="77777777" w:rsidR="000C336F" w:rsidRPr="003B70C5" w:rsidRDefault="000C336F" w:rsidP="000C336F">
      <w:pPr>
        <w:rPr>
          <w:rFonts w:cs="Arial"/>
        </w:rPr>
      </w:pPr>
    </w:p>
    <w:p w14:paraId="14E1883E" w14:textId="32129B22" w:rsidR="000C336F" w:rsidRPr="003B70C5" w:rsidRDefault="000C336F" w:rsidP="00CD1DE8">
      <w:pPr>
        <w:numPr>
          <w:ilvl w:val="0"/>
          <w:numId w:val="8"/>
        </w:numPr>
        <w:tabs>
          <w:tab w:val="clear" w:pos="418"/>
          <w:tab w:val="num" w:pos="1170"/>
        </w:tabs>
        <w:ind w:left="1170" w:hanging="603"/>
        <w:jc w:val="left"/>
        <w:rPr>
          <w:rFonts w:cs="Arial"/>
        </w:rPr>
      </w:pPr>
      <w:r w:rsidRPr="003B70C5">
        <w:t>couvrir les dépenses inscrites au budget, dans l</w:t>
      </w:r>
      <w:r w:rsidR="002B0172" w:rsidRPr="003B70C5">
        <w:t>’</w:t>
      </w:r>
      <w:r w:rsidRPr="003B70C5">
        <w:t>attente du paiement des contributions des membres de l</w:t>
      </w:r>
      <w:r w:rsidR="002B0172" w:rsidRPr="003B70C5">
        <w:t>’</w:t>
      </w:r>
      <w:r w:rsidRPr="003B70C5">
        <w:t>UPOV;</w:t>
      </w:r>
    </w:p>
    <w:p w14:paraId="2B346F5E" w14:textId="4D6D1C84" w:rsidR="000C336F" w:rsidRPr="003B70C5" w:rsidRDefault="000C336F" w:rsidP="00CD1DE8">
      <w:pPr>
        <w:numPr>
          <w:ilvl w:val="0"/>
          <w:numId w:val="8"/>
        </w:numPr>
        <w:tabs>
          <w:tab w:val="clear" w:pos="418"/>
          <w:tab w:val="num" w:pos="1170"/>
        </w:tabs>
        <w:ind w:left="1170" w:hanging="603"/>
        <w:jc w:val="left"/>
        <w:rPr>
          <w:rFonts w:cs="Arial"/>
        </w:rPr>
      </w:pPr>
      <w:r w:rsidRPr="003B70C5">
        <w:t>couvrir les dépenses de caractère imprévu et obligatoire, découlant de l</w:t>
      </w:r>
      <w:r w:rsidR="002B0172" w:rsidRPr="003B70C5">
        <w:t>’</w:t>
      </w:r>
      <w:r w:rsidRPr="003B70C5">
        <w:t>exécution du programme adopté;</w:t>
      </w:r>
    </w:p>
    <w:p w14:paraId="15A12F82" w14:textId="77777777" w:rsidR="000C336F" w:rsidRPr="003B70C5" w:rsidRDefault="000C336F" w:rsidP="00CD1DE8">
      <w:pPr>
        <w:numPr>
          <w:ilvl w:val="0"/>
          <w:numId w:val="8"/>
        </w:numPr>
        <w:tabs>
          <w:tab w:val="clear" w:pos="418"/>
        </w:tabs>
        <w:ind w:left="1134" w:hanging="567"/>
        <w:jc w:val="left"/>
        <w:rPr>
          <w:rFonts w:cs="Arial"/>
        </w:rPr>
      </w:pPr>
      <w:r w:rsidRPr="003B70C5">
        <w:t>couvrir toute autre dépense qui serait décidée par le Conseil.</w:t>
      </w:r>
    </w:p>
    <w:p w14:paraId="63A85734" w14:textId="77777777" w:rsidR="000C336F" w:rsidRPr="003B70C5" w:rsidRDefault="000C336F" w:rsidP="000C336F">
      <w:pPr>
        <w:rPr>
          <w:rFonts w:cs="Arial"/>
        </w:rPr>
      </w:pPr>
    </w:p>
    <w:p w14:paraId="4C2662F2" w14:textId="08A1E92D" w:rsidR="000C336F" w:rsidRPr="003B70C5" w:rsidRDefault="000C336F" w:rsidP="000C336F">
      <w:pPr>
        <w:rPr>
          <w:rFonts w:cs="Arial"/>
        </w:rPr>
      </w:pPr>
      <w:r w:rsidRPr="003B70C5">
        <w:t>Les avances provenant du fonds de roulement pour couvrir les dépenses susmentionnées doivent être remboursées conformément aux dispositions de l</w:t>
      </w:r>
      <w:r w:rsidR="002B0172" w:rsidRPr="003B70C5">
        <w:t>’</w:t>
      </w:r>
      <w:r w:rsidRPr="003B70C5">
        <w:t>article 4.2.</w:t>
      </w:r>
    </w:p>
    <w:p w14:paraId="77AEBDD2" w14:textId="77777777" w:rsidR="000C336F" w:rsidRPr="003B70C5" w:rsidRDefault="000C336F" w:rsidP="000C336F">
      <w:pPr>
        <w:rPr>
          <w:rFonts w:cs="Arial"/>
        </w:rPr>
      </w:pPr>
    </w:p>
    <w:p w14:paraId="05B50E50" w14:textId="0B4BB5E3" w:rsidR="000C336F" w:rsidRPr="003B70C5" w:rsidRDefault="000C336F" w:rsidP="000C336F">
      <w:pPr>
        <w:rPr>
          <w:rFonts w:cs="Arial"/>
        </w:rPr>
      </w:pPr>
      <w:r w:rsidRPr="003B70C5">
        <w:t>Le fonds de réserve représente les soldes cumulés de l</w:t>
      </w:r>
      <w:r w:rsidR="002B0172" w:rsidRPr="003B70C5">
        <w:t>’</w:t>
      </w:r>
      <w:r w:rsidRPr="003B70C5">
        <w:t>U</w:t>
      </w:r>
      <w:r w:rsidR="00D076B0" w:rsidRPr="003B70C5">
        <w:t>POV.  Co</w:t>
      </w:r>
      <w:r w:rsidRPr="003B70C5">
        <w:t>nformément à l</w:t>
      </w:r>
      <w:r w:rsidR="002B0172" w:rsidRPr="003B70C5">
        <w:t>’</w:t>
      </w:r>
      <w:r w:rsidRPr="003B70C5">
        <w:t>article 4.6 du Règlement financier de l</w:t>
      </w:r>
      <w:r w:rsidR="002B0172" w:rsidRPr="003B70C5">
        <w:t>’</w:t>
      </w:r>
      <w:r w:rsidRPr="003B70C5">
        <w:t>UPOV, révisé par le Conseil de l</w:t>
      </w:r>
      <w:r w:rsidR="002B0172" w:rsidRPr="003B70C5">
        <w:t>’</w:t>
      </w:r>
      <w:r w:rsidRPr="003B70C5">
        <w:t xml:space="preserve">UPOV en </w:t>
      </w:r>
      <w:r w:rsidR="002B0172" w:rsidRPr="003B70C5">
        <w:t>octobre 20</w:t>
      </w:r>
      <w:r w:rsidRPr="003B70C5">
        <w:t>20, l</w:t>
      </w:r>
      <w:r w:rsidR="002B0172" w:rsidRPr="003B70C5">
        <w:t>’</w:t>
      </w:r>
      <w:r w:rsidRPr="003B70C5">
        <w:t>utilisation du fonds de réserve à des fins autres que pour couvrir un déficit relève de la décision du Conse</w:t>
      </w:r>
      <w:r w:rsidR="00D076B0" w:rsidRPr="003B70C5">
        <w:t>il.  Si</w:t>
      </w:r>
      <w:r w:rsidRPr="003B70C5">
        <w:t>, après la clôture de l</w:t>
      </w:r>
      <w:r w:rsidR="002B0172" w:rsidRPr="003B70C5">
        <w:t>’</w:t>
      </w:r>
      <w:r w:rsidRPr="003B70C5">
        <w:t>exercice financier, le montant du fonds de réserve dépasse 15% des recettes totales pour l</w:t>
      </w:r>
      <w:r w:rsidR="002B0172" w:rsidRPr="003B70C5">
        <w:t>’</w:t>
      </w:r>
      <w:r w:rsidRPr="003B70C5">
        <w:t>exercice financier, le Conseil décide de l</w:t>
      </w:r>
      <w:r w:rsidR="002B0172" w:rsidRPr="003B70C5">
        <w:t>’</w:t>
      </w:r>
      <w:r w:rsidRPr="003B70C5">
        <w:t>utilisation de l</w:t>
      </w:r>
      <w:r w:rsidR="002B0172" w:rsidRPr="003B70C5">
        <w:t>’</w:t>
      </w:r>
      <w:r w:rsidRPr="003B70C5">
        <w:t>excédent de recettes par rapport aux dépenses pour l</w:t>
      </w:r>
      <w:r w:rsidR="002B0172" w:rsidRPr="003B70C5">
        <w:t>’</w:t>
      </w:r>
      <w:r w:rsidRPr="003B70C5">
        <w:t>exercice financier.</w:t>
      </w:r>
    </w:p>
    <w:p w14:paraId="0DF2D1A2" w14:textId="77777777" w:rsidR="000C336F" w:rsidRPr="003B70C5" w:rsidRDefault="000C336F" w:rsidP="000C336F">
      <w:pPr>
        <w:rPr>
          <w:rFonts w:cs="Arial"/>
        </w:rPr>
      </w:pPr>
    </w:p>
    <w:p w14:paraId="5D501B28" w14:textId="4DDEB4C0" w:rsidR="002B0172" w:rsidRPr="003B70C5" w:rsidRDefault="000C336F" w:rsidP="003E4693">
      <w:pPr>
        <w:keepLines/>
      </w:pPr>
      <w:r w:rsidRPr="003B70C5">
        <w:lastRenderedPageBreak/>
        <w:t>Depuis la mise en œuvre de la norme</w:t>
      </w:r>
      <w:r w:rsidR="00E2280F" w:rsidRPr="003B70C5">
        <w:t> </w:t>
      </w:r>
      <w:r w:rsidRPr="003B70C5">
        <w:t xml:space="preserve">IPSAS 39 </w:t>
      </w:r>
      <w:r w:rsidR="002B0172" w:rsidRPr="003B70C5">
        <w:t>en 2017</w:t>
      </w:r>
      <w:r w:rsidRPr="003B70C5">
        <w:t>, les gains et pertes actuariels au titre de l</w:t>
      </w:r>
      <w:r w:rsidR="002B0172" w:rsidRPr="003B70C5">
        <w:t>’</w:t>
      </w:r>
      <w:r w:rsidRPr="003B70C5">
        <w:t>AMCS doivent être comptabilisés directement dans les actifs ne</w:t>
      </w:r>
      <w:r w:rsidR="00D076B0" w:rsidRPr="003B70C5">
        <w:t>ts.  Au</w:t>
      </w:r>
      <w:r w:rsidRPr="003B70C5">
        <w:t xml:space="preserve"> 31 </w:t>
      </w:r>
      <w:r w:rsidR="002B0172" w:rsidRPr="003B70C5">
        <w:t>décembre 20</w:t>
      </w:r>
      <w:r w:rsidRPr="003B70C5">
        <w:t>25, le montant des pertes actuarielles au sein des actifs nets est de 2 155 860 francs suisses en raison des gains actuariels d</w:t>
      </w:r>
      <w:r w:rsidR="002B0172" w:rsidRPr="003B70C5">
        <w:t>’</w:t>
      </w:r>
      <w:r w:rsidRPr="003B70C5">
        <w:t xml:space="preserve">un montant de 709 212 francs suisses comptabilisés </w:t>
      </w:r>
      <w:r w:rsidR="002B0172" w:rsidRPr="003B70C5">
        <w:t>en 2025</w:t>
      </w:r>
      <w:r w:rsidRPr="003B70C5">
        <w:t>.</w:t>
      </w:r>
    </w:p>
    <w:p w14:paraId="19B1890C" w14:textId="0B447BDA" w:rsidR="000C336F" w:rsidRPr="003B70C5" w:rsidRDefault="000C336F" w:rsidP="000C336F">
      <w:pPr>
        <w:rPr>
          <w:rFonts w:cs="Arial"/>
        </w:rPr>
      </w:pPr>
    </w:p>
    <w:p w14:paraId="4AE34A4E" w14:textId="77777777" w:rsidR="000C336F" w:rsidRPr="003B70C5" w:rsidRDefault="000C336F" w:rsidP="000C336F">
      <w:pPr>
        <w:jc w:val="left"/>
        <w:rPr>
          <w:rFonts w:cs="Arial"/>
          <w:b/>
          <w:caps/>
        </w:rPr>
      </w:pPr>
      <w:bookmarkStart w:id="95" w:name="_Toc84329902"/>
    </w:p>
    <w:p w14:paraId="0CA66DFA" w14:textId="7323EDB8" w:rsidR="000C336F" w:rsidRPr="003B70C5" w:rsidRDefault="000C336F" w:rsidP="004573AD">
      <w:pPr>
        <w:pStyle w:val="Heading2Notes"/>
        <w:rPr>
          <w:rFonts w:cs="Arial"/>
        </w:rPr>
      </w:pPr>
      <w:bookmarkStart w:id="96" w:name="_Toc236922639"/>
      <w:r w:rsidRPr="003B70C5">
        <w:t>Note 12</w:t>
      </w:r>
      <w:r w:rsidR="002B0172" w:rsidRPr="003B70C5">
        <w:t> :</w:t>
      </w:r>
      <w:r w:rsidR="00E2280F" w:rsidRPr="003B70C5">
        <w:t xml:space="preserve"> </w:t>
      </w:r>
      <w:r w:rsidRPr="003B70C5">
        <w:tab/>
        <w:t>Rapprochement entre l</w:t>
      </w:r>
      <w:r w:rsidR="002B0172" w:rsidRPr="003B70C5">
        <w:t>’</w:t>
      </w:r>
      <w:r w:rsidRPr="003B70C5">
        <w:t>état de comparaison budgétaire (état V) et l</w:t>
      </w:r>
      <w:r w:rsidR="002B0172" w:rsidRPr="003B70C5">
        <w:t>’</w:t>
      </w:r>
      <w:r w:rsidRPr="003B70C5">
        <w:t>état de la performance financière (état II)</w:t>
      </w:r>
      <w:bookmarkEnd w:id="95"/>
      <w:bookmarkEnd w:id="96"/>
    </w:p>
    <w:p w14:paraId="67D5C8EA" w14:textId="77777777" w:rsidR="000C336F" w:rsidRPr="003B70C5" w:rsidRDefault="000C336F" w:rsidP="000C336F">
      <w:pPr>
        <w:rPr>
          <w:rFonts w:cs="Arial"/>
        </w:rPr>
      </w:pPr>
    </w:p>
    <w:p w14:paraId="0F89A296" w14:textId="33AB9CE3" w:rsidR="000C336F" w:rsidRPr="003B70C5" w:rsidRDefault="000C336F" w:rsidP="000C336F">
      <w:pPr>
        <w:rPr>
          <w:rFonts w:cs="Arial"/>
          <w:color w:val="000000" w:themeColor="text1"/>
        </w:rPr>
      </w:pPr>
      <w:r w:rsidRPr="003B70C5">
        <w:t>Le programme et budget de l</w:t>
      </w:r>
      <w:r w:rsidR="002B0172" w:rsidRPr="003B70C5">
        <w:t>’</w:t>
      </w:r>
      <w:r w:rsidRPr="003B70C5">
        <w:t>UPOV est établi sur la base d</w:t>
      </w:r>
      <w:r w:rsidR="002B0172" w:rsidRPr="003B70C5">
        <w:t>’</w:t>
      </w:r>
      <w:r w:rsidRPr="003B70C5">
        <w:t>une comptabilité d</w:t>
      </w:r>
      <w:r w:rsidR="002B0172" w:rsidRPr="003B70C5">
        <w:t>’</w:t>
      </w:r>
      <w:r w:rsidRPr="003B70C5">
        <w:t>exercice modifiée, conformément au Règlement financier et au règlement d</w:t>
      </w:r>
      <w:r w:rsidR="002B0172" w:rsidRPr="003B70C5">
        <w:t>’</w:t>
      </w:r>
      <w:r w:rsidRPr="003B70C5">
        <w:t>exécution du Règlement financier de l</w:t>
      </w:r>
      <w:r w:rsidR="002B0172" w:rsidRPr="003B70C5">
        <w:t>’</w:t>
      </w:r>
      <w:r w:rsidRPr="003B70C5">
        <w:t>UPOV, et est approuvé par le Conse</w:t>
      </w:r>
      <w:r w:rsidR="00D076B0" w:rsidRPr="003B70C5">
        <w:t>il.  Le</w:t>
      </w:r>
      <w:r w:rsidRPr="003B70C5">
        <w:t xml:space="preserve"> programme et budget ordinaire pour l</w:t>
      </w:r>
      <w:r w:rsidR="002B0172" w:rsidRPr="003B70C5">
        <w:t>’</w:t>
      </w:r>
      <w:r w:rsidRPr="003B70C5">
        <w:t>exercice 2024</w:t>
      </w:r>
      <w:r w:rsidR="002B0172" w:rsidRPr="003B70C5">
        <w:t>-</w:t>
      </w:r>
      <w:r w:rsidRPr="003B70C5">
        <w:t>2025 prévoyait un budget estimé pour les recettes et les dépenses de 7 901 307 francs suisses.</w:t>
      </w:r>
    </w:p>
    <w:p w14:paraId="2E2F0559" w14:textId="77777777" w:rsidR="000C336F" w:rsidRPr="003B70C5" w:rsidRDefault="000C336F" w:rsidP="000C336F">
      <w:pPr>
        <w:rPr>
          <w:rFonts w:cs="Arial"/>
          <w:color w:val="000000" w:themeColor="text1"/>
        </w:rPr>
      </w:pPr>
    </w:p>
    <w:p w14:paraId="58C71A8A" w14:textId="73C91A24" w:rsidR="002B0172" w:rsidRPr="003B70C5" w:rsidRDefault="000C336F" w:rsidP="000C336F">
      <w:r w:rsidRPr="003B70C5">
        <w:t>Le budget et les comptes financiers de l</w:t>
      </w:r>
      <w:r w:rsidR="002B0172" w:rsidRPr="003B70C5">
        <w:t>’</w:t>
      </w:r>
      <w:r w:rsidRPr="003B70C5">
        <w:t>UPOV sont établis selon deux</w:t>
      </w:r>
      <w:r w:rsidR="00E2280F" w:rsidRPr="003B70C5">
        <w:t> </w:t>
      </w:r>
      <w:r w:rsidRPr="003B70C5">
        <w:t>méthodes différent</w:t>
      </w:r>
      <w:r w:rsidR="00D076B0" w:rsidRPr="003B70C5">
        <w:t>es.  L’é</w:t>
      </w:r>
      <w:r w:rsidRPr="003B70C5">
        <w:t>tat de la situation financière, l</w:t>
      </w:r>
      <w:r w:rsidR="002B0172" w:rsidRPr="003B70C5">
        <w:t>’</w:t>
      </w:r>
      <w:r w:rsidRPr="003B70C5">
        <w:t>état de la performance financière, l</w:t>
      </w:r>
      <w:r w:rsidR="002B0172" w:rsidRPr="003B70C5">
        <w:t>’</w:t>
      </w:r>
      <w:r w:rsidRPr="003B70C5">
        <w:t>état des variations des actifs nets et l</w:t>
      </w:r>
      <w:r w:rsidR="002B0172" w:rsidRPr="003B70C5">
        <w:t>’</w:t>
      </w:r>
      <w:r w:rsidRPr="003B70C5">
        <w:t>état des flux de trésorerie sont établis sur la base d</w:t>
      </w:r>
      <w:r w:rsidR="002B0172" w:rsidRPr="003B70C5">
        <w:t>’</w:t>
      </w:r>
      <w:r w:rsidRPr="003B70C5">
        <w:t>une comptabilité d</w:t>
      </w:r>
      <w:r w:rsidR="002B0172" w:rsidRPr="003B70C5">
        <w:t>’</w:t>
      </w:r>
      <w:r w:rsidRPr="003B70C5">
        <w:t>exercice intégrale, tandis que l</w:t>
      </w:r>
      <w:r w:rsidR="002B0172" w:rsidRPr="003B70C5">
        <w:t>’</w:t>
      </w:r>
      <w:r w:rsidRPr="003B70C5">
        <w:t>état de comparaison des montants budgétaires et des montants réels (état V) est préparé sur la base d</w:t>
      </w:r>
      <w:r w:rsidR="002B0172" w:rsidRPr="003B70C5">
        <w:t>’</w:t>
      </w:r>
      <w:r w:rsidRPr="003B70C5">
        <w:t>une comptabilité d</w:t>
      </w:r>
      <w:r w:rsidR="002B0172" w:rsidRPr="003B70C5">
        <w:t>’</w:t>
      </w:r>
      <w:r w:rsidRPr="003B70C5">
        <w:t>exercice modifiée.</w:t>
      </w:r>
    </w:p>
    <w:p w14:paraId="080B6C6C" w14:textId="59D84475" w:rsidR="000C336F" w:rsidRPr="003B70C5" w:rsidRDefault="000C336F" w:rsidP="000C336F">
      <w:pPr>
        <w:pStyle w:val="STYLEDUTEXTE"/>
        <w:rPr>
          <w:rFonts w:cs="Arial"/>
          <w:sz w:val="20"/>
        </w:rPr>
      </w:pPr>
    </w:p>
    <w:p w14:paraId="5F0A1134" w14:textId="04FCC29B" w:rsidR="002B0172" w:rsidRPr="003B70C5" w:rsidRDefault="000C336F" w:rsidP="000C336F">
      <w:pPr>
        <w:pStyle w:val="STYLEDUTEXTE"/>
        <w:rPr>
          <w:sz w:val="20"/>
        </w:rPr>
      </w:pPr>
      <w:r w:rsidRPr="003B70C5">
        <w:rPr>
          <w:sz w:val="20"/>
        </w:rPr>
        <w:t>Comme l</w:t>
      </w:r>
      <w:r w:rsidR="002B0172" w:rsidRPr="003B70C5">
        <w:rPr>
          <w:sz w:val="20"/>
        </w:rPr>
        <w:t>’</w:t>
      </w:r>
      <w:r w:rsidRPr="003B70C5">
        <w:rPr>
          <w:sz w:val="20"/>
        </w:rPr>
        <w:t>exige la norme</w:t>
      </w:r>
      <w:r w:rsidR="00E2280F" w:rsidRPr="003B70C5">
        <w:rPr>
          <w:sz w:val="20"/>
        </w:rPr>
        <w:t> </w:t>
      </w:r>
      <w:r w:rsidRPr="003B70C5">
        <w:rPr>
          <w:sz w:val="20"/>
        </w:rPr>
        <w:t>IPSAS 24, les montants réels présentés sur une base comparable avec le budget dans l</w:t>
      </w:r>
      <w:r w:rsidR="002B0172" w:rsidRPr="003B70C5">
        <w:rPr>
          <w:sz w:val="20"/>
        </w:rPr>
        <w:t>’</w:t>
      </w:r>
      <w:r w:rsidRPr="003B70C5">
        <w:rPr>
          <w:sz w:val="20"/>
        </w:rPr>
        <w:t>état V sont rapprochés des montants réels présentés dans les états financiers en identifiant séparément toutes les différences relatives à la base, au choix du moment et à l</w:t>
      </w:r>
      <w:r w:rsidR="002B0172" w:rsidRPr="003B70C5">
        <w:rPr>
          <w:sz w:val="20"/>
        </w:rPr>
        <w:t>’</w:t>
      </w:r>
      <w:r w:rsidRPr="003B70C5">
        <w:rPr>
          <w:sz w:val="20"/>
        </w:rPr>
        <w:t>entité.</w:t>
      </w:r>
    </w:p>
    <w:p w14:paraId="13F12641" w14:textId="5EBEF6AC" w:rsidR="000C336F" w:rsidRPr="003B70C5" w:rsidRDefault="000C336F" w:rsidP="000C336F">
      <w:pPr>
        <w:pStyle w:val="STYLEDUTEXTE"/>
        <w:rPr>
          <w:rFonts w:cs="Arial"/>
          <w:sz w:val="20"/>
        </w:rPr>
      </w:pPr>
    </w:p>
    <w:p w14:paraId="25554FE0" w14:textId="746AFB3D" w:rsidR="000C336F" w:rsidRPr="003B70C5" w:rsidRDefault="000C336F" w:rsidP="000C336F">
      <w:pPr>
        <w:pStyle w:val="STYLEDUTEXTE"/>
        <w:rPr>
          <w:rFonts w:cs="Arial"/>
          <w:b/>
          <w:bCs/>
          <w:sz w:val="20"/>
        </w:rPr>
      </w:pPr>
      <w:r w:rsidRPr="003B70C5">
        <w:rPr>
          <w:b/>
          <w:sz w:val="20"/>
        </w:rPr>
        <w:t>Rapprochement pour l</w:t>
      </w:r>
      <w:r w:rsidR="002B0172" w:rsidRPr="003B70C5">
        <w:rPr>
          <w:b/>
          <w:sz w:val="20"/>
        </w:rPr>
        <w:t>’</w:t>
      </w:r>
      <w:r w:rsidRPr="003B70C5">
        <w:rPr>
          <w:b/>
          <w:sz w:val="20"/>
        </w:rPr>
        <w:t>année 2025</w:t>
      </w:r>
    </w:p>
    <w:p w14:paraId="54E60A0F" w14:textId="77777777" w:rsidR="000C336F" w:rsidRPr="003B70C5" w:rsidRDefault="000C336F" w:rsidP="000C336F">
      <w:pPr>
        <w:pStyle w:val="STYLEDUTEXTE"/>
        <w:rPr>
          <w:rFonts w:cs="Arial"/>
          <w:b/>
          <w:bCs/>
          <w:sz w:val="20"/>
        </w:rPr>
      </w:pPr>
    </w:p>
    <w:p w14:paraId="181CB872" w14:textId="4C219841" w:rsidR="000C336F" w:rsidRPr="003B70C5" w:rsidRDefault="00E71CC3" w:rsidP="000C336F">
      <w:pPr>
        <w:pStyle w:val="STYLEDUTEXTE"/>
        <w:rPr>
          <w:rFonts w:cs="Arial"/>
          <w:b/>
          <w:bCs/>
          <w:sz w:val="20"/>
        </w:rPr>
      </w:pPr>
      <w:bookmarkStart w:id="97" w:name="_1834647002"/>
      <w:bookmarkStart w:id="98" w:name="_1834651633"/>
      <w:bookmarkEnd w:id="97"/>
      <w:bookmarkEnd w:id="98"/>
      <w:r w:rsidRPr="00E71CC3">
        <w:rPr>
          <w:noProof/>
        </w:rPr>
        <w:drawing>
          <wp:inline distT="0" distB="0" distL="0" distR="0" wp14:anchorId="3D063333" wp14:editId="10FEBCCE">
            <wp:extent cx="6137910" cy="2739390"/>
            <wp:effectExtent l="0" t="0" r="0" b="3810"/>
            <wp:docPr id="11314711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37910" cy="2739390"/>
                    </a:xfrm>
                    <a:prstGeom prst="rect">
                      <a:avLst/>
                    </a:prstGeom>
                    <a:noFill/>
                    <a:ln>
                      <a:noFill/>
                    </a:ln>
                  </pic:spPr>
                </pic:pic>
              </a:graphicData>
            </a:graphic>
          </wp:inline>
        </w:drawing>
      </w:r>
    </w:p>
    <w:p w14:paraId="4197FE52" w14:textId="77777777" w:rsidR="002B0172" w:rsidRPr="003B70C5" w:rsidRDefault="002B0172" w:rsidP="000C336F">
      <w:pPr>
        <w:pStyle w:val="STYLEDUTEXTE"/>
        <w:jc w:val="center"/>
      </w:pPr>
    </w:p>
    <w:p w14:paraId="4A6B8421" w14:textId="77777777" w:rsidR="000C336F" w:rsidRPr="003B70C5" w:rsidRDefault="000C336F" w:rsidP="000C336F">
      <w:pPr>
        <w:jc w:val="left"/>
        <w:rPr>
          <w:rFonts w:cs="Arial"/>
          <w:b/>
          <w:bCs/>
        </w:rPr>
      </w:pPr>
    </w:p>
    <w:p w14:paraId="19B8CC58" w14:textId="77777777" w:rsidR="000C336F" w:rsidRPr="00DE7CAB" w:rsidRDefault="000C336F" w:rsidP="000C336F">
      <w:pPr>
        <w:pStyle w:val="STYLEDUTEXTE"/>
        <w:rPr>
          <w:sz w:val="20"/>
        </w:rPr>
      </w:pPr>
    </w:p>
    <w:p w14:paraId="61840417" w14:textId="621F9BE0" w:rsidR="000C336F" w:rsidRPr="003B70C5" w:rsidRDefault="000C336F" w:rsidP="00E71CC3">
      <w:pPr>
        <w:keepNext/>
        <w:jc w:val="left"/>
        <w:rPr>
          <w:rFonts w:cs="Arial"/>
          <w:b/>
          <w:bCs/>
        </w:rPr>
      </w:pPr>
      <w:bookmarkStart w:id="99" w:name="_Toc84329903"/>
      <w:r w:rsidRPr="003B70C5">
        <w:rPr>
          <w:b/>
        </w:rPr>
        <w:lastRenderedPageBreak/>
        <w:t>Rapprochement pour l</w:t>
      </w:r>
      <w:r w:rsidR="002B0172" w:rsidRPr="003B70C5">
        <w:rPr>
          <w:b/>
        </w:rPr>
        <w:t>’</w:t>
      </w:r>
      <w:r w:rsidRPr="003B70C5">
        <w:rPr>
          <w:b/>
        </w:rPr>
        <w:t>exercice biennal 2024</w:t>
      </w:r>
      <w:r w:rsidR="002B0172" w:rsidRPr="003B70C5">
        <w:rPr>
          <w:b/>
        </w:rPr>
        <w:t>-</w:t>
      </w:r>
      <w:r w:rsidRPr="003B70C5">
        <w:rPr>
          <w:b/>
        </w:rPr>
        <w:t>2025</w:t>
      </w:r>
    </w:p>
    <w:p w14:paraId="209DC212" w14:textId="77777777" w:rsidR="000C336F" w:rsidRPr="003B70C5" w:rsidRDefault="000C336F" w:rsidP="00E71CC3">
      <w:pPr>
        <w:keepNext/>
        <w:jc w:val="left"/>
        <w:rPr>
          <w:rFonts w:cs="Arial"/>
          <w:b/>
          <w:bCs/>
        </w:rPr>
      </w:pPr>
    </w:p>
    <w:p w14:paraId="5F2AEC9A" w14:textId="1F9CA813" w:rsidR="000C336F" w:rsidRDefault="00AE4CF0" w:rsidP="000C336F">
      <w:pPr>
        <w:jc w:val="left"/>
        <w:rPr>
          <w:rFonts w:cs="Arial"/>
          <w:b/>
          <w:caps/>
        </w:rPr>
      </w:pPr>
      <w:bookmarkStart w:id="100" w:name="_1834647007"/>
      <w:bookmarkStart w:id="101" w:name="_1834651639"/>
      <w:bookmarkEnd w:id="100"/>
      <w:bookmarkEnd w:id="101"/>
      <w:r w:rsidRPr="00AE4CF0">
        <w:rPr>
          <w:noProof/>
        </w:rPr>
        <w:drawing>
          <wp:inline distT="0" distB="0" distL="0" distR="0" wp14:anchorId="2F9F59B2" wp14:editId="26116D7B">
            <wp:extent cx="6137910" cy="2568575"/>
            <wp:effectExtent l="0" t="0" r="0" b="3175"/>
            <wp:docPr id="60180260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37910" cy="2568575"/>
                    </a:xfrm>
                    <a:prstGeom prst="rect">
                      <a:avLst/>
                    </a:prstGeom>
                    <a:noFill/>
                    <a:ln>
                      <a:noFill/>
                    </a:ln>
                  </pic:spPr>
                </pic:pic>
              </a:graphicData>
            </a:graphic>
          </wp:inline>
        </w:drawing>
      </w:r>
    </w:p>
    <w:p w14:paraId="0A916C9B" w14:textId="77777777" w:rsidR="00AE4CF0" w:rsidRDefault="00AE4CF0" w:rsidP="000C336F">
      <w:pPr>
        <w:jc w:val="left"/>
        <w:rPr>
          <w:rFonts w:cs="Arial"/>
          <w:b/>
          <w:caps/>
        </w:rPr>
      </w:pPr>
    </w:p>
    <w:p w14:paraId="79952EC3" w14:textId="77777777" w:rsidR="00DE7CAB" w:rsidRPr="003B70C5" w:rsidRDefault="00DE7CAB" w:rsidP="000C336F">
      <w:pPr>
        <w:jc w:val="left"/>
        <w:rPr>
          <w:rFonts w:cs="Arial"/>
          <w:b/>
          <w:caps/>
        </w:rPr>
      </w:pPr>
    </w:p>
    <w:p w14:paraId="0CC3B567" w14:textId="272338F9" w:rsidR="000C336F" w:rsidRPr="003B70C5" w:rsidRDefault="000C336F" w:rsidP="004573AD">
      <w:pPr>
        <w:pStyle w:val="Heading2Notes"/>
        <w:rPr>
          <w:rFonts w:cs="Arial"/>
        </w:rPr>
      </w:pPr>
      <w:bookmarkStart w:id="102" w:name="_Toc236922640"/>
      <w:r w:rsidRPr="003B70C5">
        <w:t>Note 13</w:t>
      </w:r>
      <w:r w:rsidR="002B0172" w:rsidRPr="003B70C5">
        <w:t> :</w:t>
      </w:r>
      <w:r w:rsidR="00E2280F" w:rsidRPr="003B70C5">
        <w:t xml:space="preserve"> </w:t>
      </w:r>
      <w:r w:rsidRPr="003B70C5">
        <w:tab/>
        <w:t>Recettes</w:t>
      </w:r>
      <w:bookmarkEnd w:id="99"/>
      <w:bookmarkEnd w:id="102"/>
    </w:p>
    <w:p w14:paraId="4B12E1A5" w14:textId="77777777" w:rsidR="000C336F" w:rsidRPr="00DE7CAB" w:rsidRDefault="000C336F" w:rsidP="000C336F">
      <w:pPr>
        <w:pStyle w:val="Styletexte"/>
        <w:spacing w:after="0"/>
        <w:rPr>
          <w:rFonts w:cs="Arial"/>
          <w:sz w:val="20"/>
        </w:rPr>
      </w:pPr>
    </w:p>
    <w:p w14:paraId="2E675DBF" w14:textId="30EEB1D8" w:rsidR="000C336F" w:rsidRPr="003B70C5" w:rsidRDefault="00AB1A37" w:rsidP="000C336F">
      <w:pPr>
        <w:pStyle w:val="Styletexte"/>
        <w:spacing w:after="0"/>
        <w:jc w:val="center"/>
        <w:rPr>
          <w:rFonts w:cs="Arial"/>
          <w:sz w:val="20"/>
        </w:rPr>
      </w:pPr>
      <w:r w:rsidRPr="00AB1A37">
        <w:rPr>
          <w:noProof/>
        </w:rPr>
        <w:drawing>
          <wp:inline distT="0" distB="0" distL="0" distR="0" wp14:anchorId="2427EF48" wp14:editId="4B384193">
            <wp:extent cx="6137910" cy="1906905"/>
            <wp:effectExtent l="0" t="0" r="0" b="0"/>
            <wp:docPr id="12129372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37910" cy="1906905"/>
                    </a:xfrm>
                    <a:prstGeom prst="rect">
                      <a:avLst/>
                    </a:prstGeom>
                    <a:noFill/>
                    <a:ln>
                      <a:noFill/>
                    </a:ln>
                  </pic:spPr>
                </pic:pic>
              </a:graphicData>
            </a:graphic>
          </wp:inline>
        </w:drawing>
      </w:r>
    </w:p>
    <w:p w14:paraId="4E8423F4" w14:textId="77777777" w:rsidR="000C336F" w:rsidRPr="003B70C5" w:rsidRDefault="000C336F" w:rsidP="000C336F">
      <w:pPr>
        <w:pStyle w:val="Styletexte"/>
        <w:spacing w:after="0"/>
        <w:rPr>
          <w:rFonts w:cs="Arial"/>
          <w:sz w:val="20"/>
        </w:rPr>
      </w:pPr>
    </w:p>
    <w:p w14:paraId="13319F95" w14:textId="37894820" w:rsidR="002B0172" w:rsidRPr="003B70C5" w:rsidRDefault="000C336F" w:rsidP="000C336F">
      <w:pPr>
        <w:pStyle w:val="Styletexte"/>
        <w:spacing w:after="0"/>
        <w:rPr>
          <w:sz w:val="20"/>
        </w:rPr>
      </w:pPr>
      <w:r w:rsidRPr="003B70C5">
        <w:rPr>
          <w:sz w:val="20"/>
        </w:rPr>
        <w:t xml:space="preserve">Les contributions versées au titre du programme et budget ordinaire correspondent aux montants payables en </w:t>
      </w:r>
      <w:r w:rsidR="002B0172" w:rsidRPr="003B70C5">
        <w:rPr>
          <w:sz w:val="20"/>
        </w:rPr>
        <w:t>janvier 20</w:t>
      </w:r>
      <w:r w:rsidRPr="003B70C5">
        <w:rPr>
          <w:sz w:val="20"/>
        </w:rPr>
        <w:t xml:space="preserve">25. </w:t>
      </w:r>
      <w:r w:rsidR="00E2280F" w:rsidRPr="003B70C5">
        <w:rPr>
          <w:sz w:val="20"/>
        </w:rPr>
        <w:t xml:space="preserve"> </w:t>
      </w:r>
      <w:r w:rsidRPr="003B70C5">
        <w:rPr>
          <w:sz w:val="20"/>
        </w:rPr>
        <w:t>Les ressources extrabudgétaires et les fonds fiduciaires représentent les recettes perçues relatives aux contributions versées par les donateurs pour des projets individuels qui ne figurent pas dans le programme et budget ordinai</w:t>
      </w:r>
      <w:r w:rsidR="00D076B0" w:rsidRPr="003B70C5">
        <w:rPr>
          <w:sz w:val="20"/>
        </w:rPr>
        <w:t>re.  Le</w:t>
      </w:r>
      <w:r w:rsidRPr="003B70C5">
        <w:rPr>
          <w:sz w:val="20"/>
        </w:rPr>
        <w:t>s recettes provenant des ressources extrabudgétaires (fonds fiduciaires) sont reportées jusqu</w:t>
      </w:r>
      <w:r w:rsidR="002B0172" w:rsidRPr="003B70C5">
        <w:rPr>
          <w:sz w:val="20"/>
        </w:rPr>
        <w:t>’</w:t>
      </w:r>
      <w:r w:rsidRPr="003B70C5">
        <w:rPr>
          <w:sz w:val="20"/>
        </w:rPr>
        <w:t>à ce qu</w:t>
      </w:r>
      <w:r w:rsidR="002B0172" w:rsidRPr="003B70C5">
        <w:rPr>
          <w:sz w:val="20"/>
        </w:rPr>
        <w:t>’</w:t>
      </w:r>
      <w:r w:rsidRPr="003B70C5">
        <w:rPr>
          <w:sz w:val="20"/>
        </w:rPr>
        <w:t>elles soient réalisées grâce à la prestation des services spécifiques prévus dans le programme de travail convenu avec le donateur.</w:t>
      </w:r>
    </w:p>
    <w:p w14:paraId="24B84296" w14:textId="7FFC756C" w:rsidR="000C336F" w:rsidRPr="003B70C5" w:rsidRDefault="000C336F" w:rsidP="000C336F">
      <w:pPr>
        <w:jc w:val="left"/>
        <w:rPr>
          <w:rFonts w:cs="Arial"/>
        </w:rPr>
      </w:pPr>
      <w:bookmarkStart w:id="103" w:name="_Toc84329904"/>
    </w:p>
    <w:p w14:paraId="4BDF44D1" w14:textId="77777777" w:rsidR="000C336F" w:rsidRPr="003B70C5" w:rsidRDefault="000C336F" w:rsidP="000C336F">
      <w:pPr>
        <w:jc w:val="left"/>
        <w:rPr>
          <w:rFonts w:ascii="Arial Bold" w:hAnsi="Arial Bold" w:cs="Arial"/>
        </w:rPr>
      </w:pPr>
    </w:p>
    <w:p w14:paraId="4F5FD4F9" w14:textId="2BBC2C14" w:rsidR="000C336F" w:rsidRPr="003B70C5" w:rsidRDefault="000C336F" w:rsidP="004573AD">
      <w:pPr>
        <w:pStyle w:val="Heading2Notes"/>
        <w:rPr>
          <w:rFonts w:cs="Arial"/>
        </w:rPr>
      </w:pPr>
      <w:bookmarkStart w:id="104" w:name="_Toc236922641"/>
      <w:r w:rsidRPr="003B70C5">
        <w:t>Note 14</w:t>
      </w:r>
      <w:r w:rsidR="002B0172" w:rsidRPr="003B70C5">
        <w:t> :</w:t>
      </w:r>
      <w:r w:rsidR="00E2280F" w:rsidRPr="003B70C5">
        <w:t xml:space="preserve"> </w:t>
      </w:r>
      <w:r w:rsidRPr="003B70C5">
        <w:tab/>
        <w:t>Dépenses</w:t>
      </w:r>
      <w:bookmarkEnd w:id="103"/>
      <w:bookmarkEnd w:id="104"/>
    </w:p>
    <w:p w14:paraId="2A7A4680" w14:textId="77777777" w:rsidR="000C336F" w:rsidRPr="003B70C5" w:rsidRDefault="000C336F" w:rsidP="000C336F">
      <w:pPr>
        <w:pStyle w:val="Styletexte"/>
        <w:spacing w:after="0"/>
        <w:rPr>
          <w:rFonts w:cs="Arial"/>
          <w:sz w:val="20"/>
        </w:rPr>
      </w:pPr>
    </w:p>
    <w:p w14:paraId="2FEF6183" w14:textId="0E081C24" w:rsidR="000C336F" w:rsidRPr="003B70C5" w:rsidRDefault="00AB1A37" w:rsidP="000C336F">
      <w:pPr>
        <w:pStyle w:val="Styletexte"/>
        <w:spacing w:after="0"/>
        <w:jc w:val="center"/>
        <w:rPr>
          <w:rFonts w:cs="Arial"/>
          <w:sz w:val="20"/>
        </w:rPr>
      </w:pPr>
      <w:bookmarkStart w:id="105" w:name="_1834651644"/>
      <w:bookmarkEnd w:id="105"/>
      <w:r w:rsidRPr="00AB1A37">
        <w:rPr>
          <w:noProof/>
        </w:rPr>
        <w:drawing>
          <wp:inline distT="0" distB="0" distL="0" distR="0" wp14:anchorId="0B3D5611" wp14:editId="73C26980">
            <wp:extent cx="6137910" cy="2395855"/>
            <wp:effectExtent l="0" t="0" r="0" b="4445"/>
            <wp:docPr id="73693943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37910" cy="2395855"/>
                    </a:xfrm>
                    <a:prstGeom prst="rect">
                      <a:avLst/>
                    </a:prstGeom>
                    <a:noFill/>
                    <a:ln>
                      <a:noFill/>
                    </a:ln>
                  </pic:spPr>
                </pic:pic>
              </a:graphicData>
            </a:graphic>
          </wp:inline>
        </w:drawing>
      </w:r>
    </w:p>
    <w:p w14:paraId="0D7C9D3C" w14:textId="77777777" w:rsidR="000C336F" w:rsidRPr="003B70C5" w:rsidRDefault="000C336F" w:rsidP="000C336F">
      <w:pPr>
        <w:pStyle w:val="Styletexte"/>
        <w:spacing w:after="0"/>
        <w:rPr>
          <w:rFonts w:cs="Arial"/>
          <w:sz w:val="20"/>
        </w:rPr>
      </w:pPr>
    </w:p>
    <w:p w14:paraId="00A8B495" w14:textId="6FC25A98" w:rsidR="000C336F" w:rsidRPr="003B70C5" w:rsidRDefault="000C336F" w:rsidP="000C336F">
      <w:pPr>
        <w:pStyle w:val="Styletexte"/>
        <w:spacing w:after="0"/>
        <w:rPr>
          <w:rFonts w:cs="Arial"/>
          <w:sz w:val="20"/>
        </w:rPr>
      </w:pPr>
      <w:r w:rsidRPr="003B70C5">
        <w:rPr>
          <w:sz w:val="20"/>
        </w:rPr>
        <w:t>Les dépenses de personnel incluent les prestations à court terme telles que le salaire de base, l</w:t>
      </w:r>
      <w:r w:rsidR="002B0172" w:rsidRPr="003B70C5">
        <w:rPr>
          <w:sz w:val="20"/>
        </w:rPr>
        <w:t>’</w:t>
      </w:r>
      <w:r w:rsidRPr="003B70C5">
        <w:rPr>
          <w:sz w:val="20"/>
        </w:rPr>
        <w:t>indemnité de poste, l</w:t>
      </w:r>
      <w:r w:rsidR="002B0172" w:rsidRPr="003B70C5">
        <w:rPr>
          <w:sz w:val="20"/>
        </w:rPr>
        <w:t>’</w:t>
      </w:r>
      <w:r w:rsidRPr="003B70C5">
        <w:rPr>
          <w:sz w:val="20"/>
        </w:rPr>
        <w:t>allocation familiale, la cotisation à la retraite, les cotisations sociales, les congés dans les foyers et d</w:t>
      </w:r>
      <w:r w:rsidR="002B0172" w:rsidRPr="003B70C5">
        <w:rPr>
          <w:sz w:val="20"/>
        </w:rPr>
        <w:t>’</w:t>
      </w:r>
      <w:r w:rsidRPr="003B70C5">
        <w:rPr>
          <w:sz w:val="20"/>
        </w:rPr>
        <w:t>autres prestations pour les fonctionnaires et les fonctionnaires temporair</w:t>
      </w:r>
      <w:r w:rsidR="00D076B0" w:rsidRPr="003B70C5">
        <w:rPr>
          <w:sz w:val="20"/>
        </w:rPr>
        <w:t>es.  De</w:t>
      </w:r>
      <w:r w:rsidRPr="003B70C5">
        <w:rPr>
          <w:sz w:val="20"/>
        </w:rPr>
        <w:t>puis la mise en œuvre des normes</w:t>
      </w:r>
      <w:r w:rsidR="00E2280F" w:rsidRPr="003B70C5">
        <w:rPr>
          <w:sz w:val="20"/>
        </w:rPr>
        <w:t> </w:t>
      </w:r>
      <w:r w:rsidRPr="003B70C5">
        <w:rPr>
          <w:sz w:val="20"/>
        </w:rPr>
        <w:t>IPSAS, les dépenses de personnel incluent les changements dans les obligations relatives aux prestations au personn</w:t>
      </w:r>
      <w:r w:rsidR="00D076B0" w:rsidRPr="003B70C5">
        <w:rPr>
          <w:sz w:val="20"/>
        </w:rPr>
        <w:t xml:space="preserve">el.  </w:t>
      </w:r>
      <w:r w:rsidR="00D076B0" w:rsidRPr="003B70C5">
        <w:rPr>
          <w:color w:val="000000" w:themeColor="text1"/>
          <w:sz w:val="20"/>
        </w:rPr>
        <w:t>Le</w:t>
      </w:r>
      <w:r w:rsidRPr="003B70C5">
        <w:rPr>
          <w:color w:val="000000" w:themeColor="text1"/>
          <w:sz w:val="20"/>
        </w:rPr>
        <w:t>s stages et les bourses comprennent les rémunérations versées aux stagiaires et aux boursiers, ainsi que les frais liés aux déplacements.</w:t>
      </w:r>
    </w:p>
    <w:p w14:paraId="63246AEE" w14:textId="77777777" w:rsidR="000C336F" w:rsidRPr="003B70C5" w:rsidRDefault="000C336F" w:rsidP="000C336F">
      <w:pPr>
        <w:pStyle w:val="Styletexte"/>
        <w:spacing w:after="0"/>
        <w:rPr>
          <w:rFonts w:cs="Arial"/>
          <w:sz w:val="20"/>
        </w:rPr>
      </w:pPr>
    </w:p>
    <w:p w14:paraId="28A1EDA0" w14:textId="532DE5AE" w:rsidR="002B0172" w:rsidRPr="003B70C5" w:rsidRDefault="000C336F" w:rsidP="000C336F">
      <w:r w:rsidRPr="003B70C5">
        <w:t>Les voyages, les formations et les subventions comprennent les frais de voyage en avion, les indemnités journalières de subsistance, les faux frais au départ et à l</w:t>
      </w:r>
      <w:r w:rsidR="002B0172" w:rsidRPr="003B70C5">
        <w:t>’</w:t>
      </w:r>
      <w:r w:rsidRPr="003B70C5">
        <w:t>arrivée et d</w:t>
      </w:r>
      <w:r w:rsidR="002B0172" w:rsidRPr="003B70C5">
        <w:t>’</w:t>
      </w:r>
      <w:r w:rsidRPr="003B70C5">
        <w:t>autres coûts de voyage pour les fonctionnaires en mission, et les déplacements pour les participants et les conférenciers dans le cadre d</w:t>
      </w:r>
      <w:r w:rsidR="002B0172" w:rsidRPr="003B70C5">
        <w:t>’</w:t>
      </w:r>
      <w:r w:rsidRPr="003B70C5">
        <w:t>activités de formation.</w:t>
      </w:r>
    </w:p>
    <w:p w14:paraId="0009CB06" w14:textId="3F25CFCE" w:rsidR="000C336F" w:rsidRPr="003B70C5" w:rsidRDefault="000C336F" w:rsidP="000C336F">
      <w:pPr>
        <w:rPr>
          <w:rFonts w:cs="Arial"/>
        </w:rPr>
      </w:pPr>
    </w:p>
    <w:p w14:paraId="22CE3188" w14:textId="5CF5D3C0" w:rsidR="002B0172" w:rsidRPr="003B70C5" w:rsidRDefault="000C336F" w:rsidP="000C336F">
      <w:r w:rsidRPr="003B70C5">
        <w:t>Les services contractuels comprennent les contrats de louage de services de traducteurs, d</w:t>
      </w:r>
      <w:r w:rsidR="002B0172" w:rsidRPr="003B70C5">
        <w:t>’</w:t>
      </w:r>
      <w:r w:rsidRPr="003B70C5">
        <w:t>interprètes et d</w:t>
      </w:r>
      <w:r w:rsidR="002B0172" w:rsidRPr="003B70C5">
        <w:t>’</w:t>
      </w:r>
      <w:r w:rsidRPr="003B70C5">
        <w:t>autres personnes qui ne sont pas membres du personnel.</w:t>
      </w:r>
    </w:p>
    <w:p w14:paraId="2DA93C32" w14:textId="52CD2340" w:rsidR="000C336F" w:rsidRPr="003B70C5" w:rsidRDefault="000C336F" w:rsidP="000C336F">
      <w:pPr>
        <w:rPr>
          <w:rFonts w:cs="Arial"/>
        </w:rPr>
      </w:pPr>
      <w:bookmarkStart w:id="106" w:name="_Hlk161157249"/>
    </w:p>
    <w:p w14:paraId="50770A05" w14:textId="2BCA5EC0" w:rsidR="000C336F" w:rsidRPr="003B70C5" w:rsidRDefault="000C336F" w:rsidP="000C336F">
      <w:r w:rsidRPr="003B70C5">
        <w:t>Les dépenses de fonctionnement comprennent les paiements effectués dans le cadre de l</w:t>
      </w:r>
      <w:r w:rsidR="002B0172" w:rsidRPr="003B70C5">
        <w:t>’</w:t>
      </w:r>
      <w:r w:rsidRPr="003B70C5">
        <w:t>Accord OMPI/UPOV, tels que l</w:t>
      </w:r>
      <w:r w:rsidR="002B0172" w:rsidRPr="003B70C5">
        <w:t>’</w:t>
      </w:r>
      <w:r w:rsidRPr="003B70C5">
        <w:t>entretien des locaux, l</w:t>
      </w:r>
      <w:r w:rsidR="002B0172" w:rsidRPr="003B70C5">
        <w:t>’</w:t>
      </w:r>
      <w:r w:rsidRPr="003B70C5">
        <w:t>administration du personnel, l</w:t>
      </w:r>
      <w:r w:rsidR="002B0172" w:rsidRPr="003B70C5">
        <w:t>’</w:t>
      </w:r>
      <w:r w:rsidRPr="003B70C5">
        <w:t>administration financière, les services d</w:t>
      </w:r>
      <w:r w:rsidR="002B0172" w:rsidRPr="003B70C5">
        <w:t>’</w:t>
      </w:r>
      <w:r w:rsidRPr="003B70C5">
        <w:t>achat et d</w:t>
      </w:r>
      <w:r w:rsidR="002B0172" w:rsidRPr="003B70C5">
        <w:t>’</w:t>
      </w:r>
      <w:r w:rsidRPr="003B70C5">
        <w:t>autres formes d</w:t>
      </w:r>
      <w:r w:rsidR="002B0172" w:rsidRPr="003B70C5">
        <w:t>’</w:t>
      </w:r>
      <w:r w:rsidRPr="003B70C5">
        <w:t>appui administratif</w:t>
      </w:r>
      <w:bookmarkEnd w:id="106"/>
      <w:r w:rsidRPr="003B70C5">
        <w:t>.</w:t>
      </w:r>
    </w:p>
    <w:p w14:paraId="7A67CF73" w14:textId="77777777" w:rsidR="002B0172" w:rsidRPr="003B70C5" w:rsidRDefault="002B0172" w:rsidP="000C336F">
      <w:pPr>
        <w:pStyle w:val="Styletexte"/>
        <w:spacing w:after="0"/>
        <w:rPr>
          <w:sz w:val="20"/>
        </w:rPr>
      </w:pPr>
    </w:p>
    <w:p w14:paraId="7CD2E91A" w14:textId="77777777" w:rsidR="000C336F" w:rsidRPr="003B70C5" w:rsidRDefault="000C336F" w:rsidP="000C336F">
      <w:pPr>
        <w:jc w:val="left"/>
        <w:rPr>
          <w:rFonts w:cs="Arial"/>
          <w:b/>
          <w:caps/>
        </w:rPr>
      </w:pPr>
      <w:bookmarkStart w:id="107" w:name="_Toc84329905"/>
    </w:p>
    <w:p w14:paraId="7E866657" w14:textId="7BEE0F72" w:rsidR="000C336F" w:rsidRPr="003B70C5" w:rsidRDefault="000C336F" w:rsidP="004573AD">
      <w:pPr>
        <w:pStyle w:val="Heading2Notes"/>
        <w:rPr>
          <w:rFonts w:cs="Arial"/>
        </w:rPr>
      </w:pPr>
      <w:bookmarkStart w:id="108" w:name="_Toc236922642"/>
      <w:r w:rsidRPr="003B70C5">
        <w:t>Note 15</w:t>
      </w:r>
      <w:r w:rsidR="002B0172" w:rsidRPr="003B70C5">
        <w:t> :</w:t>
      </w:r>
      <w:r w:rsidR="00E2280F" w:rsidRPr="003B70C5">
        <w:t xml:space="preserve"> </w:t>
      </w:r>
      <w:r w:rsidRPr="003B70C5">
        <w:tab/>
        <w:t>Instruments financiers</w:t>
      </w:r>
      <w:bookmarkEnd w:id="107"/>
      <w:bookmarkEnd w:id="108"/>
    </w:p>
    <w:p w14:paraId="05110874" w14:textId="77777777" w:rsidR="000C336F" w:rsidRPr="003B70C5" w:rsidRDefault="000C336F" w:rsidP="000C336F">
      <w:pPr>
        <w:rPr>
          <w:rFonts w:cs="Arial"/>
        </w:rPr>
      </w:pPr>
      <w:bookmarkStart w:id="109" w:name="_Hlk164101904"/>
    </w:p>
    <w:p w14:paraId="24289CA2" w14:textId="2897BCD2" w:rsidR="002B0172" w:rsidRPr="003B70C5" w:rsidRDefault="000C336F" w:rsidP="000C336F">
      <w:pPr>
        <w:autoSpaceDE w:val="0"/>
        <w:autoSpaceDN w:val="0"/>
        <w:adjustRightInd w:val="0"/>
      </w:pPr>
      <w:r w:rsidRPr="003B70C5">
        <w:t>L</w:t>
      </w:r>
      <w:r w:rsidR="002B0172" w:rsidRPr="003B70C5">
        <w:t>’</w:t>
      </w:r>
      <w:r w:rsidRPr="003B70C5">
        <w:t>UPOV est exposée à des risques de liquidité, de taux d</w:t>
      </w:r>
      <w:r w:rsidR="002B0172" w:rsidRPr="003B70C5">
        <w:t>’</w:t>
      </w:r>
      <w:r w:rsidRPr="003B70C5">
        <w:t>intérêt, de change et de crédit pendant le cours normal de ses opérations.</w:t>
      </w:r>
    </w:p>
    <w:p w14:paraId="6EE8058E" w14:textId="658115A7" w:rsidR="000C336F" w:rsidRPr="003B70C5" w:rsidRDefault="000C336F" w:rsidP="000C336F">
      <w:pPr>
        <w:autoSpaceDE w:val="0"/>
        <w:autoSpaceDN w:val="0"/>
        <w:adjustRightInd w:val="0"/>
        <w:rPr>
          <w:rFonts w:cs="Arial"/>
        </w:rPr>
      </w:pPr>
    </w:p>
    <w:p w14:paraId="6F954BB1" w14:textId="5CAD04D5" w:rsidR="002B0172" w:rsidRPr="003B70C5" w:rsidRDefault="000C336F" w:rsidP="000C336F">
      <w:pPr>
        <w:autoSpaceDE w:val="0"/>
        <w:autoSpaceDN w:val="0"/>
        <w:adjustRightInd w:val="0"/>
      </w:pPr>
      <w:r w:rsidRPr="003B70C5">
        <w:t>L</w:t>
      </w:r>
      <w:r w:rsidR="002B0172" w:rsidRPr="003B70C5">
        <w:t>’</w:t>
      </w:r>
      <w:r w:rsidRPr="003B70C5">
        <w:t>Union gère ses placements conformément à sa politique en matière de placemen</w:t>
      </w:r>
      <w:r w:rsidR="00D076B0" w:rsidRPr="003B70C5">
        <w:t>ts.  Le</w:t>
      </w:r>
      <w:r w:rsidRPr="003B70C5">
        <w:t xml:space="preserve"> Secrétaire général peut placer à court terme les fonds qui ne sont pas nécessaires pour faire face à des besoins immédiats conformément à la politique de l</w:t>
      </w:r>
      <w:r w:rsidR="002B0172" w:rsidRPr="003B70C5">
        <w:t>’</w:t>
      </w:r>
      <w:r w:rsidRPr="003B70C5">
        <w:t>UPOV en matière de placemen</w:t>
      </w:r>
      <w:r w:rsidR="00D076B0" w:rsidRPr="003B70C5">
        <w:t>ts.  Sa</w:t>
      </w:r>
      <w:r w:rsidRPr="003B70C5">
        <w:t>uf si le Conseil en décide autrement, la politique de placements de l</w:t>
      </w:r>
      <w:r w:rsidR="002B0172" w:rsidRPr="003B70C5">
        <w:t>’</w:t>
      </w:r>
      <w:r w:rsidRPr="003B70C5">
        <w:t>UPOV est la même que celle de l</w:t>
      </w:r>
      <w:r w:rsidR="002B0172" w:rsidRPr="003B70C5">
        <w:t>’</w:t>
      </w:r>
      <w:r w:rsidRPr="003B70C5">
        <w:t>OMPI en ce qui concerne la “trésorerie d</w:t>
      </w:r>
      <w:r w:rsidR="002B0172" w:rsidRPr="003B70C5">
        <w:t>’</w:t>
      </w:r>
      <w:r w:rsidRPr="003B70C5">
        <w:t xml:space="preserve">exploitation”. </w:t>
      </w:r>
      <w:r w:rsidR="00E2280F" w:rsidRPr="003B70C5">
        <w:t xml:space="preserve"> </w:t>
      </w:r>
      <w:r w:rsidRPr="003B70C5">
        <w:t>Le Secrétaire général peut demander l</w:t>
      </w:r>
      <w:r w:rsidR="002B0172" w:rsidRPr="003B70C5">
        <w:t>’</w:t>
      </w:r>
      <w:r w:rsidRPr="003B70C5">
        <w:t>avis du Comité consultatif sur les placements de l</w:t>
      </w:r>
      <w:r w:rsidR="002B0172" w:rsidRPr="003B70C5">
        <w:t>’</w:t>
      </w:r>
      <w:r w:rsidRPr="003B70C5">
        <w:t>OMPI pour des questions concernant exclusivement l</w:t>
      </w:r>
      <w:r w:rsidR="002B0172" w:rsidRPr="003B70C5">
        <w:t>’</w:t>
      </w:r>
      <w:r w:rsidRPr="003B70C5">
        <w:t>U</w:t>
      </w:r>
      <w:r w:rsidR="00D076B0" w:rsidRPr="003B70C5">
        <w:t>POV.  Le</w:t>
      </w:r>
      <w:r w:rsidRPr="003B70C5">
        <w:t xml:space="preserve"> Secrétaire général informe régulièrement le Comité consultatif des placements ainsi effectués.</w:t>
      </w:r>
      <w:bookmarkEnd w:id="109"/>
    </w:p>
    <w:p w14:paraId="250EF146" w14:textId="432B4F7D" w:rsidR="000C336F" w:rsidRPr="003B70C5" w:rsidRDefault="000C336F" w:rsidP="000C336F">
      <w:pPr>
        <w:autoSpaceDE w:val="0"/>
        <w:autoSpaceDN w:val="0"/>
        <w:adjustRightInd w:val="0"/>
        <w:rPr>
          <w:rFonts w:cs="Arial"/>
        </w:rPr>
      </w:pPr>
    </w:p>
    <w:p w14:paraId="494AD236" w14:textId="77777777" w:rsidR="000C336F" w:rsidRPr="003B70C5" w:rsidRDefault="000C336F" w:rsidP="000C336F">
      <w:pPr>
        <w:autoSpaceDE w:val="0"/>
        <w:autoSpaceDN w:val="0"/>
        <w:adjustRightInd w:val="0"/>
        <w:rPr>
          <w:rFonts w:cs="Arial"/>
          <w:b/>
        </w:rPr>
      </w:pPr>
      <w:r w:rsidRPr="003B70C5">
        <w:rPr>
          <w:b/>
        </w:rPr>
        <w:t>Présentation des instruments financiers</w:t>
      </w:r>
    </w:p>
    <w:p w14:paraId="566F3BE8" w14:textId="77777777" w:rsidR="000C336F" w:rsidRPr="003B70C5" w:rsidRDefault="000C336F" w:rsidP="000C336F">
      <w:pPr>
        <w:autoSpaceDE w:val="0"/>
        <w:autoSpaceDN w:val="0"/>
        <w:adjustRightInd w:val="0"/>
        <w:rPr>
          <w:rFonts w:cs="Arial"/>
          <w:b/>
          <w:lang w:eastAsia="en-GB"/>
        </w:rPr>
      </w:pPr>
    </w:p>
    <w:p w14:paraId="045A0867" w14:textId="5E286588" w:rsidR="000C336F" w:rsidRPr="003B70C5" w:rsidRDefault="000C336F" w:rsidP="000C336F">
      <w:pPr>
        <w:autoSpaceDE w:val="0"/>
        <w:autoSpaceDN w:val="0"/>
        <w:adjustRightInd w:val="0"/>
        <w:rPr>
          <w:rFonts w:cs="Arial"/>
        </w:rPr>
      </w:pPr>
      <w:r w:rsidRPr="003B70C5">
        <w:t>Les instruments financiers sont classés comme suit</w:t>
      </w:r>
      <w:r w:rsidR="002B0172" w:rsidRPr="003B70C5">
        <w:t> :</w:t>
      </w:r>
    </w:p>
    <w:p w14:paraId="0D011816" w14:textId="77777777" w:rsidR="000C336F" w:rsidRPr="003B70C5" w:rsidRDefault="000C336F" w:rsidP="000C336F">
      <w:pPr>
        <w:autoSpaceDE w:val="0"/>
        <w:autoSpaceDN w:val="0"/>
        <w:adjustRightInd w:val="0"/>
        <w:rPr>
          <w:rFonts w:cs="Arial"/>
          <w:lang w:eastAsia="en-GB"/>
        </w:rPr>
      </w:pPr>
    </w:p>
    <w:p w14:paraId="7E05AE19" w14:textId="66ED0CA4" w:rsidR="000C336F" w:rsidRPr="003B70C5" w:rsidRDefault="00AB1A37" w:rsidP="000C336F">
      <w:pPr>
        <w:autoSpaceDE w:val="0"/>
        <w:autoSpaceDN w:val="0"/>
        <w:adjustRightInd w:val="0"/>
        <w:jc w:val="center"/>
        <w:rPr>
          <w:rFonts w:cs="Arial"/>
        </w:rPr>
      </w:pPr>
      <w:r w:rsidRPr="00AB1A37">
        <w:rPr>
          <w:noProof/>
        </w:rPr>
        <w:drawing>
          <wp:inline distT="0" distB="0" distL="0" distR="0" wp14:anchorId="6335C871" wp14:editId="52621121">
            <wp:extent cx="6120000" cy="675191"/>
            <wp:effectExtent l="0" t="0" r="0" b="0"/>
            <wp:docPr id="68734704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000" cy="675191"/>
                    </a:xfrm>
                    <a:prstGeom prst="rect">
                      <a:avLst/>
                    </a:prstGeom>
                    <a:noFill/>
                    <a:ln>
                      <a:noFill/>
                    </a:ln>
                  </pic:spPr>
                </pic:pic>
              </a:graphicData>
            </a:graphic>
          </wp:inline>
        </w:drawing>
      </w:r>
    </w:p>
    <w:p w14:paraId="3AF4F86F" w14:textId="77777777" w:rsidR="000C336F" w:rsidRPr="003B70C5" w:rsidRDefault="000C336F" w:rsidP="000C336F">
      <w:pPr>
        <w:jc w:val="left"/>
        <w:rPr>
          <w:rFonts w:cs="Arial"/>
          <w:lang w:eastAsia="en-GB"/>
        </w:rPr>
      </w:pPr>
    </w:p>
    <w:p w14:paraId="62EB7DD5" w14:textId="0F74A391" w:rsidR="000C336F" w:rsidRPr="003B70C5" w:rsidRDefault="000C336F" w:rsidP="000C336F">
      <w:pPr>
        <w:autoSpaceDE w:val="0"/>
        <w:autoSpaceDN w:val="0"/>
        <w:adjustRightInd w:val="0"/>
        <w:rPr>
          <w:rFonts w:cs="Arial"/>
        </w:rPr>
      </w:pPr>
      <w:r w:rsidRPr="003B70C5">
        <w:t>Les valeurs comptables des catégories d</w:t>
      </w:r>
      <w:r w:rsidR="002B0172" w:rsidRPr="003B70C5">
        <w:t>’</w:t>
      </w:r>
      <w:r w:rsidRPr="003B70C5">
        <w:t>actifs et de passifs financiers sont les suivantes</w:t>
      </w:r>
      <w:r w:rsidR="002B0172" w:rsidRPr="003B70C5">
        <w:t> :</w:t>
      </w:r>
    </w:p>
    <w:p w14:paraId="7F474777" w14:textId="77777777" w:rsidR="000C336F" w:rsidRPr="003B70C5" w:rsidRDefault="000C336F" w:rsidP="000C336F">
      <w:pPr>
        <w:autoSpaceDE w:val="0"/>
        <w:autoSpaceDN w:val="0"/>
        <w:adjustRightInd w:val="0"/>
        <w:rPr>
          <w:rFonts w:cs="Arial"/>
          <w:lang w:eastAsia="en-GB"/>
        </w:rPr>
      </w:pPr>
    </w:p>
    <w:p w14:paraId="6C8DA06E" w14:textId="3206A5E9" w:rsidR="000C336F" w:rsidRPr="003B70C5" w:rsidRDefault="007B6134" w:rsidP="000C336F">
      <w:pPr>
        <w:autoSpaceDE w:val="0"/>
        <w:autoSpaceDN w:val="0"/>
        <w:adjustRightInd w:val="0"/>
        <w:rPr>
          <w:rFonts w:cs="Arial"/>
        </w:rPr>
      </w:pPr>
      <w:bookmarkStart w:id="110" w:name="_1834651648"/>
      <w:bookmarkEnd w:id="110"/>
      <w:r w:rsidRPr="007B6134">
        <w:rPr>
          <w:noProof/>
        </w:rPr>
        <w:drawing>
          <wp:inline distT="0" distB="0" distL="0" distR="0" wp14:anchorId="5BD89FEA" wp14:editId="0E212859">
            <wp:extent cx="6120000" cy="1667335"/>
            <wp:effectExtent l="0" t="0" r="0" b="9525"/>
            <wp:docPr id="27644764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000" cy="1667335"/>
                    </a:xfrm>
                    <a:prstGeom prst="rect">
                      <a:avLst/>
                    </a:prstGeom>
                    <a:noFill/>
                    <a:ln>
                      <a:noFill/>
                    </a:ln>
                  </pic:spPr>
                </pic:pic>
              </a:graphicData>
            </a:graphic>
          </wp:inline>
        </w:drawing>
      </w:r>
    </w:p>
    <w:p w14:paraId="7E4D56F8" w14:textId="77777777" w:rsidR="000C336F" w:rsidRPr="003B70C5" w:rsidRDefault="000C336F" w:rsidP="000C336F">
      <w:pPr>
        <w:autoSpaceDE w:val="0"/>
        <w:autoSpaceDN w:val="0"/>
        <w:adjustRightInd w:val="0"/>
        <w:rPr>
          <w:rFonts w:cs="Arial"/>
          <w:b/>
          <w:lang w:eastAsia="en-GB"/>
        </w:rPr>
      </w:pPr>
    </w:p>
    <w:p w14:paraId="780E5F87" w14:textId="77777777" w:rsidR="000C336F" w:rsidRPr="003B70C5" w:rsidRDefault="000C336F" w:rsidP="000C336F">
      <w:pPr>
        <w:autoSpaceDE w:val="0"/>
        <w:autoSpaceDN w:val="0"/>
        <w:adjustRightInd w:val="0"/>
        <w:rPr>
          <w:rFonts w:cs="Arial"/>
          <w:b/>
        </w:rPr>
      </w:pPr>
      <w:r w:rsidRPr="003B70C5">
        <w:rPr>
          <w:b/>
        </w:rPr>
        <w:t>Justes valeurs</w:t>
      </w:r>
    </w:p>
    <w:p w14:paraId="5A73AC90" w14:textId="77777777" w:rsidR="000C336F" w:rsidRPr="003B70C5" w:rsidRDefault="000C336F" w:rsidP="000C336F">
      <w:pPr>
        <w:autoSpaceDE w:val="0"/>
        <w:autoSpaceDN w:val="0"/>
        <w:adjustRightInd w:val="0"/>
        <w:rPr>
          <w:rFonts w:cs="Arial"/>
          <w:b/>
          <w:lang w:eastAsia="en-GB"/>
        </w:rPr>
      </w:pPr>
    </w:p>
    <w:p w14:paraId="22AFE728" w14:textId="307FE652" w:rsidR="000C336F" w:rsidRPr="003B70C5" w:rsidRDefault="000C336F" w:rsidP="000C336F">
      <w:pPr>
        <w:autoSpaceDE w:val="0"/>
        <w:autoSpaceDN w:val="0"/>
        <w:adjustRightInd w:val="0"/>
        <w:rPr>
          <w:rFonts w:cs="Arial"/>
        </w:rPr>
      </w:pPr>
      <w:r w:rsidRPr="003B70C5">
        <w:t>La juste valeur des actifs et passifs financiers est incorporée au montant auquel l</w:t>
      </w:r>
      <w:r w:rsidR="002B0172" w:rsidRPr="003B70C5">
        <w:t>’</w:t>
      </w:r>
      <w:r w:rsidRPr="003B70C5">
        <w:t>instrument pourrait être échangé dans une transaction entre parties consentantes autre qu</w:t>
      </w:r>
      <w:r w:rsidR="002B0172" w:rsidRPr="003B70C5">
        <w:t>’</w:t>
      </w:r>
      <w:r w:rsidRPr="003B70C5">
        <w:t>une vente forcée ou une liquidati</w:t>
      </w:r>
      <w:r w:rsidR="00D076B0" w:rsidRPr="003B70C5">
        <w:t>on.  Le</w:t>
      </w:r>
      <w:r w:rsidRPr="003B70C5">
        <w:t>s dépôts en liquide et à court terme, les créances, les comptes de créanciers et autres passifs courants sont proches de leurs valeurs comptables en raison des échéances à court terme de ces instruments</w:t>
      </w:r>
      <w:r w:rsidR="003B70C5" w:rsidRPr="003B70C5">
        <w:t>.</w:t>
      </w:r>
      <w:r w:rsidRPr="003B70C5">
        <w:t xml:space="preserve"> </w:t>
      </w:r>
      <w:r w:rsidR="00E2280F" w:rsidRPr="003B70C5">
        <w:t xml:space="preserve"> </w:t>
      </w:r>
      <w:r w:rsidRPr="003B70C5">
        <w:t xml:space="preserve">Le cas </w:t>
      </w:r>
      <w:r w:rsidRPr="003B70C5">
        <w:lastRenderedPageBreak/>
        <w:t>échéant, une provision est constituée pour compenser la valeur des comptes provenant des contributio</w:t>
      </w:r>
      <w:r w:rsidR="00D076B0" w:rsidRPr="003B70C5">
        <w:t>ns.  Ce</w:t>
      </w:r>
      <w:r w:rsidRPr="003B70C5">
        <w:t>tte provision couvre les montants des arriérés de contributions antérieurs à l</w:t>
      </w:r>
      <w:r w:rsidR="002B0172" w:rsidRPr="003B70C5">
        <w:t>’</w:t>
      </w:r>
      <w:r w:rsidRPr="003B70C5">
        <w:t>exercice biennal précéde</w:t>
      </w:r>
      <w:r w:rsidR="00D076B0" w:rsidRPr="003B70C5">
        <w:t>nt.  Au</w:t>
      </w:r>
      <w:r w:rsidRPr="003B70C5">
        <w:t>x fins des actifs et passifs financiers de l</w:t>
      </w:r>
      <w:r w:rsidR="002B0172" w:rsidRPr="003B70C5">
        <w:t>’</w:t>
      </w:r>
      <w:r w:rsidRPr="003B70C5">
        <w:t>UPOV à la date d</w:t>
      </w:r>
      <w:r w:rsidR="002B0172" w:rsidRPr="003B70C5">
        <w:t>’</w:t>
      </w:r>
      <w:r w:rsidRPr="003B70C5">
        <w:t>établissement des états financiers, la valeur comptable est équivalente à la juste valeur.</w:t>
      </w:r>
    </w:p>
    <w:p w14:paraId="5143B103" w14:textId="77777777" w:rsidR="000C336F" w:rsidRPr="003B70C5" w:rsidRDefault="000C336F" w:rsidP="000C336F">
      <w:pPr>
        <w:autoSpaceDE w:val="0"/>
        <w:autoSpaceDN w:val="0"/>
        <w:adjustRightInd w:val="0"/>
        <w:rPr>
          <w:rFonts w:cs="Arial"/>
          <w:b/>
          <w:lang w:eastAsia="en-GB"/>
        </w:rPr>
      </w:pPr>
    </w:p>
    <w:p w14:paraId="2CEAA4DF" w14:textId="77777777" w:rsidR="000C336F" w:rsidRPr="003B70C5" w:rsidRDefault="000C336F" w:rsidP="000C336F">
      <w:pPr>
        <w:rPr>
          <w:rFonts w:cs="Arial"/>
          <w:b/>
        </w:rPr>
      </w:pPr>
      <w:r w:rsidRPr="003B70C5">
        <w:rPr>
          <w:b/>
        </w:rPr>
        <w:t>Risque de crédit</w:t>
      </w:r>
    </w:p>
    <w:p w14:paraId="40C3BE40" w14:textId="77777777" w:rsidR="000C336F" w:rsidRPr="003B70C5" w:rsidRDefault="000C336F" w:rsidP="000C336F">
      <w:pPr>
        <w:rPr>
          <w:rFonts w:cs="Arial"/>
          <w:b/>
        </w:rPr>
      </w:pPr>
    </w:p>
    <w:p w14:paraId="306682C7" w14:textId="4DFAADCC" w:rsidR="000C336F" w:rsidRPr="003B70C5" w:rsidRDefault="000C336F" w:rsidP="000C336F">
      <w:pPr>
        <w:autoSpaceDE w:val="0"/>
        <w:autoSpaceDN w:val="0"/>
        <w:adjustRightInd w:val="0"/>
        <w:rPr>
          <w:rFonts w:cs="Arial"/>
        </w:rPr>
      </w:pPr>
      <w:r w:rsidRPr="003B70C5">
        <w:t>Le risque de crédit est le risque de pertes financières pour l</w:t>
      </w:r>
      <w:r w:rsidR="002B0172" w:rsidRPr="003B70C5">
        <w:t>’</w:t>
      </w:r>
      <w:r w:rsidRPr="003B70C5">
        <w:t xml:space="preserve">UPOV si les contreparties des instruments financiers ne remplissent pas leurs obligations contractuelles; </w:t>
      </w:r>
      <w:r w:rsidR="00E2280F" w:rsidRPr="003B70C5">
        <w:t xml:space="preserve"> </w:t>
      </w:r>
      <w:r w:rsidRPr="003B70C5">
        <w:t>il émane principalement des montants à recevoir ainsi que de la trésorerie et des équivalents de trésorer</w:t>
      </w:r>
      <w:r w:rsidR="00D076B0" w:rsidRPr="003B70C5">
        <w:t>ie.  La</w:t>
      </w:r>
      <w:r w:rsidRPr="003B70C5">
        <w:t xml:space="preserve"> valeur comptable des actifs financiers représente l</w:t>
      </w:r>
      <w:r w:rsidR="002B0172" w:rsidRPr="003B70C5">
        <w:t>’</w:t>
      </w:r>
      <w:r w:rsidRPr="003B70C5">
        <w:t>exposition maximum au risque de créd</w:t>
      </w:r>
      <w:r w:rsidR="00D076B0" w:rsidRPr="003B70C5">
        <w:t>it.  Au</w:t>
      </w:r>
      <w:r w:rsidRPr="003B70C5">
        <w:t>x fins de l</w:t>
      </w:r>
      <w:r w:rsidR="002B0172" w:rsidRPr="003B70C5">
        <w:t>’</w:t>
      </w:r>
      <w:r w:rsidRPr="003B70C5">
        <w:t>établissement des rapports financiers, l</w:t>
      </w:r>
      <w:r w:rsidR="002B0172" w:rsidRPr="003B70C5">
        <w:t>’</w:t>
      </w:r>
      <w:r w:rsidRPr="003B70C5">
        <w:t>UPOV calcule les provisions pour pertes sur créances escomptées associées à ses actifs financiers.</w:t>
      </w:r>
    </w:p>
    <w:p w14:paraId="67B3EADA" w14:textId="77777777" w:rsidR="000C336F" w:rsidRPr="003B70C5" w:rsidRDefault="000C336F" w:rsidP="000C336F">
      <w:pPr>
        <w:rPr>
          <w:rFonts w:cs="Arial"/>
        </w:rPr>
      </w:pPr>
    </w:p>
    <w:p w14:paraId="222CBDEC" w14:textId="161ABB21" w:rsidR="002B0172" w:rsidRPr="003B70C5" w:rsidRDefault="000C336F" w:rsidP="000C336F">
      <w:r w:rsidRPr="003B70C5">
        <w:t>Les comptes débiteurs de l</w:t>
      </w:r>
      <w:r w:rsidR="002B0172" w:rsidRPr="003B70C5">
        <w:t>’</w:t>
      </w:r>
      <w:r w:rsidRPr="003B70C5">
        <w:t>UPOV proviennent presque exclusivement des membres de l</w:t>
      </w:r>
      <w:r w:rsidR="002B0172" w:rsidRPr="003B70C5">
        <w:t>’</w:t>
      </w:r>
      <w:r w:rsidRPr="003B70C5">
        <w:t>Union représentant des États souverains et des organisations intergouvernementales compétentes, ce pour quoi les risques de crédit sont considérés comme mineurs.</w:t>
      </w:r>
    </w:p>
    <w:p w14:paraId="13AD66AF" w14:textId="49000E2D" w:rsidR="000C336F" w:rsidRPr="003B70C5" w:rsidRDefault="000C336F" w:rsidP="000C336F">
      <w:pPr>
        <w:rPr>
          <w:rFonts w:cs="Arial"/>
        </w:rPr>
      </w:pPr>
    </w:p>
    <w:p w14:paraId="7E490709" w14:textId="06932EB5" w:rsidR="000C336F" w:rsidRPr="003B70C5" w:rsidRDefault="000C336F" w:rsidP="000C336F">
      <w:pPr>
        <w:rPr>
          <w:rFonts w:cs="Arial"/>
        </w:rPr>
      </w:pPr>
      <w:r w:rsidRPr="003B70C5">
        <w:t>La trésorerie et les équivalents de trésorerie ne peuvent être confiés qu</w:t>
      </w:r>
      <w:r w:rsidR="002B0172" w:rsidRPr="003B70C5">
        <w:t>’</w:t>
      </w:r>
      <w:r w:rsidRPr="003B70C5">
        <w:t>à des institutions ayant une notation à court terme de A</w:t>
      </w:r>
      <w:r w:rsidR="002B0172" w:rsidRPr="003B70C5">
        <w:t>-</w:t>
      </w:r>
      <w:r w:rsidRPr="003B70C5">
        <w:t>2/P</w:t>
      </w:r>
      <w:r w:rsidR="002B0172" w:rsidRPr="003B70C5">
        <w:t>-</w:t>
      </w:r>
      <w:r w:rsidRPr="003B70C5">
        <w:t xml:space="preserve">2 ou une notation à long terme de A/A2. </w:t>
      </w:r>
      <w:r w:rsidR="00E2280F" w:rsidRPr="003B70C5">
        <w:t xml:space="preserve"> </w:t>
      </w:r>
      <w:r w:rsidRPr="003B70C5">
        <w:t>Par conséquent, les notes de crédit associées à la trésorerie et aux équivalents de trésorerie au 31 </w:t>
      </w:r>
      <w:r w:rsidR="002B0172" w:rsidRPr="003B70C5">
        <w:t>décembre 20</w:t>
      </w:r>
      <w:r w:rsidRPr="003B70C5">
        <w:t>25 sont détaillées à la page suivante</w:t>
      </w:r>
      <w:r w:rsidR="002B0172" w:rsidRPr="003B70C5">
        <w:t> :</w:t>
      </w:r>
    </w:p>
    <w:p w14:paraId="529FDEB4" w14:textId="77777777" w:rsidR="000C336F" w:rsidRPr="003B70C5" w:rsidRDefault="000C336F" w:rsidP="000C336F">
      <w:pPr>
        <w:rPr>
          <w:rFonts w:cs="Arial"/>
          <w:b/>
        </w:rPr>
      </w:pPr>
    </w:p>
    <w:p w14:paraId="5A2F71BC" w14:textId="71C62A50" w:rsidR="000C336F" w:rsidRPr="003B70C5" w:rsidRDefault="007B6134" w:rsidP="000C336F">
      <w:pPr>
        <w:jc w:val="center"/>
        <w:rPr>
          <w:rFonts w:cs="Arial"/>
          <w:b/>
        </w:rPr>
      </w:pPr>
      <w:bookmarkStart w:id="111" w:name="_1834651653"/>
      <w:bookmarkEnd w:id="111"/>
      <w:r w:rsidRPr="007B6134">
        <w:rPr>
          <w:noProof/>
        </w:rPr>
        <w:drawing>
          <wp:inline distT="0" distB="0" distL="0" distR="0" wp14:anchorId="751E7795" wp14:editId="4450FB51">
            <wp:extent cx="4055110" cy="1121410"/>
            <wp:effectExtent l="0" t="0" r="2540" b="2540"/>
            <wp:docPr id="109147256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55110" cy="1121410"/>
                    </a:xfrm>
                    <a:prstGeom prst="rect">
                      <a:avLst/>
                    </a:prstGeom>
                    <a:noFill/>
                    <a:ln>
                      <a:noFill/>
                    </a:ln>
                  </pic:spPr>
                </pic:pic>
              </a:graphicData>
            </a:graphic>
          </wp:inline>
        </w:drawing>
      </w:r>
    </w:p>
    <w:p w14:paraId="692B2B09" w14:textId="77777777" w:rsidR="000C336F" w:rsidRPr="003B70C5" w:rsidRDefault="000C336F" w:rsidP="007B6134">
      <w:pPr>
        <w:autoSpaceDE w:val="0"/>
        <w:autoSpaceDN w:val="0"/>
        <w:adjustRightInd w:val="0"/>
        <w:rPr>
          <w:rFonts w:cs="Arial"/>
          <w:lang w:eastAsia="en-GB"/>
        </w:rPr>
      </w:pPr>
    </w:p>
    <w:p w14:paraId="381EEE22" w14:textId="77777777" w:rsidR="000C336F" w:rsidRPr="003B70C5" w:rsidRDefault="000C336F" w:rsidP="000C336F">
      <w:pPr>
        <w:autoSpaceDE w:val="0"/>
        <w:autoSpaceDN w:val="0"/>
        <w:adjustRightInd w:val="0"/>
        <w:jc w:val="left"/>
        <w:rPr>
          <w:rFonts w:cs="Arial"/>
          <w:b/>
        </w:rPr>
      </w:pPr>
      <w:r w:rsidRPr="003B70C5">
        <w:rPr>
          <w:b/>
        </w:rPr>
        <w:t>Risque de liquidité</w:t>
      </w:r>
    </w:p>
    <w:p w14:paraId="15A25D7B" w14:textId="77777777" w:rsidR="000C336F" w:rsidRPr="003B70C5" w:rsidRDefault="000C336F" w:rsidP="000C336F">
      <w:pPr>
        <w:autoSpaceDE w:val="0"/>
        <w:autoSpaceDN w:val="0"/>
        <w:adjustRightInd w:val="0"/>
        <w:rPr>
          <w:rFonts w:cs="Arial"/>
          <w:lang w:eastAsia="en-GB"/>
        </w:rPr>
      </w:pPr>
    </w:p>
    <w:p w14:paraId="10E8E3F8" w14:textId="2161DE9D" w:rsidR="000C336F" w:rsidRPr="003B70C5" w:rsidRDefault="000C336F" w:rsidP="000C336F">
      <w:pPr>
        <w:autoSpaceDE w:val="0"/>
        <w:autoSpaceDN w:val="0"/>
        <w:adjustRightInd w:val="0"/>
        <w:rPr>
          <w:rFonts w:cs="Arial"/>
          <w:b/>
        </w:rPr>
      </w:pPr>
      <w:r w:rsidRPr="003B70C5">
        <w:t>Le risque de liquidité est le risque que court l</w:t>
      </w:r>
      <w:r w:rsidR="002B0172" w:rsidRPr="003B70C5">
        <w:t>’</w:t>
      </w:r>
      <w:r w:rsidRPr="003B70C5">
        <w:t>UPOV de ne pas pouvoir s</w:t>
      </w:r>
      <w:r w:rsidR="002B0172" w:rsidRPr="003B70C5">
        <w:t>’</w:t>
      </w:r>
      <w:r w:rsidRPr="003B70C5">
        <w:t xml:space="preserve">acquitter de ses obligations dans les délais voulus. </w:t>
      </w:r>
      <w:r w:rsidR="00E2280F" w:rsidRPr="003B70C5">
        <w:t xml:space="preserve"> </w:t>
      </w:r>
      <w:r w:rsidRPr="003B70C5">
        <w:t>L</w:t>
      </w:r>
      <w:r w:rsidR="002B0172" w:rsidRPr="003B70C5">
        <w:t>’</w:t>
      </w:r>
      <w:r w:rsidRPr="003B70C5">
        <w:t>UPOV n</w:t>
      </w:r>
      <w:r w:rsidR="002B0172" w:rsidRPr="003B70C5">
        <w:t>’</w:t>
      </w:r>
      <w:r w:rsidRPr="003B70C5">
        <w:t>est pas fortement exposée au risque de liquidité car elle dispose de fonds de trésorerie considérabl</w:t>
      </w:r>
      <w:r w:rsidR="00D076B0" w:rsidRPr="003B70C5">
        <w:t>es.  La</w:t>
      </w:r>
      <w:r w:rsidRPr="003B70C5">
        <w:t xml:space="preserve"> politique en matière de placements exige que la trésorerie d</w:t>
      </w:r>
      <w:r w:rsidR="002B0172" w:rsidRPr="003B70C5">
        <w:t>’</w:t>
      </w:r>
      <w:r w:rsidRPr="003B70C5">
        <w:t>exploitation et les fonds propres soient placés de sorte à garantir la disponibilité des liquidités nécessaires pour répondre aux besoins en flux de trésorerie de l</w:t>
      </w:r>
      <w:r w:rsidR="002B0172" w:rsidRPr="003B70C5">
        <w:t>’</w:t>
      </w:r>
      <w:r w:rsidRPr="003B70C5">
        <w:t>U</w:t>
      </w:r>
      <w:r w:rsidR="00D076B0" w:rsidRPr="003B70C5">
        <w:t>POV.  Le</w:t>
      </w:r>
      <w:r w:rsidRPr="003B70C5">
        <w:t>s soldes de trésorerie d</w:t>
      </w:r>
      <w:r w:rsidR="002B0172" w:rsidRPr="003B70C5">
        <w:t>’</w:t>
      </w:r>
      <w:r w:rsidRPr="003B70C5">
        <w:t>exploitation font l</w:t>
      </w:r>
      <w:r w:rsidR="002B0172" w:rsidRPr="003B70C5">
        <w:t>’</w:t>
      </w:r>
      <w:r w:rsidRPr="003B70C5">
        <w:t>objet de placements à court terme (périodes ayant une échéance de moins de 12 mois) dans des classes d</w:t>
      </w:r>
      <w:r w:rsidR="002B0172" w:rsidRPr="003B70C5">
        <w:t>’</w:t>
      </w:r>
      <w:r w:rsidRPr="003B70C5">
        <w:t>actifs à faible risque, facilement convertibles en liquidités à coût faible, voire n</w:t>
      </w:r>
      <w:r w:rsidR="00D076B0" w:rsidRPr="003B70C5">
        <w:t>ul.  Le</w:t>
      </w:r>
      <w:r w:rsidRPr="003B70C5">
        <w:t>s fonds propres font l</w:t>
      </w:r>
      <w:r w:rsidR="002B0172" w:rsidRPr="003B70C5">
        <w:t>’</w:t>
      </w:r>
      <w:r w:rsidRPr="003B70C5">
        <w:t>objet de placements à moyen terme (périodes de 12 mois minimum), de manière à ce qu</w:t>
      </w:r>
      <w:r w:rsidR="002B0172" w:rsidRPr="003B70C5">
        <w:t>’</w:t>
      </w:r>
      <w:r w:rsidRPr="003B70C5">
        <w:t>une partie d</w:t>
      </w:r>
      <w:r w:rsidR="002B0172" w:rsidRPr="003B70C5">
        <w:t>’</w:t>
      </w:r>
      <w:r w:rsidRPr="003B70C5">
        <w:t>entre eux soit accessible occasionnellement, ce qui permettrait à l</w:t>
      </w:r>
      <w:r w:rsidR="002B0172" w:rsidRPr="003B70C5">
        <w:t>’</w:t>
      </w:r>
      <w:r w:rsidRPr="003B70C5">
        <w:t>avenir, par exemple, d</w:t>
      </w:r>
      <w:r w:rsidR="002B0172" w:rsidRPr="003B70C5">
        <w:t>’</w:t>
      </w:r>
      <w:r w:rsidRPr="003B70C5">
        <w:t>échelonner les paiements importan</w:t>
      </w:r>
      <w:r w:rsidR="00D076B0" w:rsidRPr="003B70C5">
        <w:t>ts.  La</w:t>
      </w:r>
      <w:r w:rsidRPr="003B70C5">
        <w:t xml:space="preserve"> trésorerie stratégique doit être placée sur le long terme et n</w:t>
      </w:r>
      <w:r w:rsidR="002B0172" w:rsidRPr="003B70C5">
        <w:t>’</w:t>
      </w:r>
      <w:r w:rsidRPr="003B70C5">
        <w:t>a actuellement pas besoin de liquidités à court ou moyen terme.</w:t>
      </w:r>
    </w:p>
    <w:p w14:paraId="517E61FB" w14:textId="77777777" w:rsidR="000C336F" w:rsidRPr="003B70C5" w:rsidRDefault="000C336F" w:rsidP="000C336F">
      <w:pPr>
        <w:rPr>
          <w:rFonts w:cs="Arial"/>
          <w:b/>
        </w:rPr>
      </w:pPr>
    </w:p>
    <w:p w14:paraId="7881BF8F" w14:textId="77777777" w:rsidR="000C336F" w:rsidRPr="003B70C5" w:rsidRDefault="000C336F" w:rsidP="000C336F">
      <w:pPr>
        <w:jc w:val="left"/>
        <w:rPr>
          <w:rFonts w:cs="Arial"/>
          <w:b/>
        </w:rPr>
      </w:pPr>
      <w:r w:rsidRPr="003B70C5">
        <w:rPr>
          <w:b/>
        </w:rPr>
        <w:t>Risque de change</w:t>
      </w:r>
    </w:p>
    <w:p w14:paraId="249EC7F0" w14:textId="77777777" w:rsidR="000C336F" w:rsidRPr="003B70C5" w:rsidRDefault="000C336F" w:rsidP="000C336F">
      <w:pPr>
        <w:autoSpaceDE w:val="0"/>
        <w:autoSpaceDN w:val="0"/>
        <w:adjustRightInd w:val="0"/>
        <w:rPr>
          <w:rFonts w:cs="Arial"/>
          <w:lang w:eastAsia="en-GB"/>
        </w:rPr>
      </w:pPr>
    </w:p>
    <w:p w14:paraId="7A6906BE" w14:textId="7987915E" w:rsidR="000C336F" w:rsidRPr="003B70C5" w:rsidRDefault="000C336F" w:rsidP="000C336F">
      <w:pPr>
        <w:pStyle w:val="Style3"/>
        <w:spacing w:after="0"/>
        <w:rPr>
          <w:rFonts w:cs="Arial"/>
          <w:sz w:val="20"/>
        </w:rPr>
      </w:pPr>
      <w:r w:rsidRPr="003B70C5">
        <w:rPr>
          <w:sz w:val="20"/>
        </w:rPr>
        <w:t>L</w:t>
      </w:r>
      <w:r w:rsidR="002B0172" w:rsidRPr="003B70C5">
        <w:rPr>
          <w:sz w:val="20"/>
        </w:rPr>
        <w:t>’</w:t>
      </w:r>
      <w:r w:rsidRPr="003B70C5">
        <w:rPr>
          <w:sz w:val="20"/>
        </w:rPr>
        <w:t>UPOV perçoit des recettes provenant des ressources extrabudgétaires (fonds fiduciaires) et engage des dépenses dans d</w:t>
      </w:r>
      <w:r w:rsidR="002B0172" w:rsidRPr="003B70C5">
        <w:rPr>
          <w:sz w:val="20"/>
        </w:rPr>
        <w:t>’</w:t>
      </w:r>
      <w:r w:rsidRPr="003B70C5">
        <w:rPr>
          <w:sz w:val="20"/>
        </w:rPr>
        <w:t>autres monnaies que sa monnaie fonctionnelle (le franc suisse) et elle est donc exposée à un risque de change lié à l</w:t>
      </w:r>
      <w:r w:rsidR="002B0172" w:rsidRPr="003B70C5">
        <w:rPr>
          <w:sz w:val="20"/>
        </w:rPr>
        <w:t>’</w:t>
      </w:r>
      <w:r w:rsidRPr="003B70C5">
        <w:rPr>
          <w:sz w:val="20"/>
        </w:rPr>
        <w:t xml:space="preserve">évolution des cours de change. </w:t>
      </w:r>
      <w:r w:rsidR="00E2280F" w:rsidRPr="003B70C5">
        <w:rPr>
          <w:sz w:val="20"/>
        </w:rPr>
        <w:t xml:space="preserve"> </w:t>
      </w:r>
      <w:r w:rsidRPr="003B70C5">
        <w:rPr>
          <w:sz w:val="20"/>
        </w:rPr>
        <w:t>L</w:t>
      </w:r>
      <w:r w:rsidR="002B0172" w:rsidRPr="003B70C5">
        <w:rPr>
          <w:sz w:val="20"/>
        </w:rPr>
        <w:t>’</w:t>
      </w:r>
      <w:r w:rsidRPr="003B70C5">
        <w:rPr>
          <w:sz w:val="20"/>
        </w:rPr>
        <w:t>UPOV n</w:t>
      </w:r>
      <w:r w:rsidR="002B0172" w:rsidRPr="003B70C5">
        <w:rPr>
          <w:sz w:val="20"/>
        </w:rPr>
        <w:t>’</w:t>
      </w:r>
      <w:r w:rsidRPr="003B70C5">
        <w:rPr>
          <w:sz w:val="20"/>
        </w:rPr>
        <w:t>a pas recours à des instruments financiers dérivés pour se protéger contre le risque de change.</w:t>
      </w:r>
    </w:p>
    <w:p w14:paraId="2A34AEF2" w14:textId="77777777" w:rsidR="000C336F" w:rsidRPr="003B70C5" w:rsidRDefault="000C336F" w:rsidP="000C336F">
      <w:pPr>
        <w:rPr>
          <w:rFonts w:cs="Arial"/>
          <w:b/>
        </w:rPr>
      </w:pPr>
    </w:p>
    <w:p w14:paraId="42284092" w14:textId="77777777" w:rsidR="000C336F" w:rsidRPr="003B70C5" w:rsidRDefault="000C336F" w:rsidP="000C336F">
      <w:pPr>
        <w:rPr>
          <w:rFonts w:cs="Arial"/>
          <w:b/>
          <w:bCs/>
        </w:rPr>
      </w:pPr>
      <w:r w:rsidRPr="003B70C5">
        <w:rPr>
          <w:b/>
        </w:rPr>
        <w:t>Risque de marché</w:t>
      </w:r>
    </w:p>
    <w:p w14:paraId="1D4205E5" w14:textId="77777777" w:rsidR="000C336F" w:rsidRPr="003B70C5" w:rsidRDefault="000C336F" w:rsidP="000C336F">
      <w:pPr>
        <w:rPr>
          <w:rFonts w:cs="Arial"/>
        </w:rPr>
      </w:pPr>
    </w:p>
    <w:p w14:paraId="4ED47F60" w14:textId="60E0B33D" w:rsidR="002B0172" w:rsidRPr="003B70C5" w:rsidRDefault="000C336F" w:rsidP="000C336F">
      <w:r w:rsidRPr="003B70C5">
        <w:t>Le risque de marché est le risque des variations des prix du marché, comme les taux d</w:t>
      </w:r>
      <w:r w:rsidR="002B0172" w:rsidRPr="003B70C5">
        <w:t>’</w:t>
      </w:r>
      <w:r w:rsidRPr="003B70C5">
        <w:t>intérêt, qui affectent le revenu de l</w:t>
      </w:r>
      <w:r w:rsidR="002B0172" w:rsidRPr="003B70C5">
        <w:t>’</w:t>
      </w:r>
      <w:r w:rsidRPr="003B70C5">
        <w:t xml:space="preserve">Union ou la valeur de ses instruments financiers. </w:t>
      </w:r>
      <w:r w:rsidR="00E2280F" w:rsidRPr="003B70C5">
        <w:t xml:space="preserve"> </w:t>
      </w:r>
      <w:r w:rsidRPr="003B70C5">
        <w:t>L</w:t>
      </w:r>
      <w:r w:rsidR="002B0172" w:rsidRPr="003B70C5">
        <w:t>’</w:t>
      </w:r>
      <w:r w:rsidRPr="003B70C5">
        <w:t>UPOV n</w:t>
      </w:r>
      <w:r w:rsidR="002B0172" w:rsidRPr="003B70C5">
        <w:t>’</w:t>
      </w:r>
      <w:r w:rsidRPr="003B70C5">
        <w:t>est pas exposée au risque de marché.</w:t>
      </w:r>
    </w:p>
    <w:p w14:paraId="6A287276" w14:textId="6F4BED1E" w:rsidR="000C336F" w:rsidRPr="003B70C5" w:rsidRDefault="000C336F" w:rsidP="000C336F">
      <w:pPr>
        <w:rPr>
          <w:rFonts w:cs="Arial"/>
          <w:b/>
        </w:rPr>
      </w:pPr>
    </w:p>
    <w:p w14:paraId="2CBBF7CE" w14:textId="77777777" w:rsidR="000C336F" w:rsidRPr="003B70C5" w:rsidRDefault="000C336F" w:rsidP="000C336F">
      <w:pPr>
        <w:rPr>
          <w:rFonts w:cs="Arial"/>
          <w:bCs/>
          <w:caps/>
        </w:rPr>
      </w:pPr>
    </w:p>
    <w:p w14:paraId="421E52A2" w14:textId="2749212D" w:rsidR="000C336F" w:rsidRPr="003B70C5" w:rsidRDefault="000C336F" w:rsidP="00DE7CAB">
      <w:pPr>
        <w:pStyle w:val="Heading2Notes"/>
        <w:rPr>
          <w:rFonts w:cs="Arial"/>
        </w:rPr>
      </w:pPr>
      <w:bookmarkStart w:id="112" w:name="_Toc84329906"/>
      <w:bookmarkStart w:id="113" w:name="_Toc236922643"/>
      <w:r w:rsidRPr="003B70C5">
        <w:lastRenderedPageBreak/>
        <w:t>Note 16</w:t>
      </w:r>
      <w:r w:rsidR="002B0172" w:rsidRPr="003B70C5">
        <w:t> :</w:t>
      </w:r>
      <w:r w:rsidR="00E2280F" w:rsidRPr="003B70C5">
        <w:t xml:space="preserve"> </w:t>
      </w:r>
      <w:r w:rsidRPr="003B70C5">
        <w:tab/>
        <w:t>Événements postérieurs à la date d</w:t>
      </w:r>
      <w:r w:rsidR="002B0172" w:rsidRPr="003B70C5">
        <w:t>’</w:t>
      </w:r>
      <w:r w:rsidRPr="003B70C5">
        <w:t>établissement des états financiers</w:t>
      </w:r>
      <w:bookmarkEnd w:id="112"/>
      <w:bookmarkEnd w:id="113"/>
    </w:p>
    <w:p w14:paraId="2054DE8E" w14:textId="77777777" w:rsidR="000C336F" w:rsidRPr="003B70C5" w:rsidRDefault="000C336F" w:rsidP="00DE7CAB">
      <w:pPr>
        <w:pStyle w:val="Styletexte"/>
        <w:keepNext/>
        <w:spacing w:after="0"/>
        <w:rPr>
          <w:rFonts w:cs="Arial"/>
          <w:sz w:val="20"/>
        </w:rPr>
      </w:pPr>
    </w:p>
    <w:p w14:paraId="72EAAEEC" w14:textId="31E5006A" w:rsidR="000C336F" w:rsidRPr="003B70C5" w:rsidRDefault="000C336F" w:rsidP="00DE7CAB">
      <w:pPr>
        <w:keepNext/>
        <w:rPr>
          <w:rFonts w:cs="Arial"/>
        </w:rPr>
      </w:pPr>
      <w:r w:rsidRPr="003B70C5">
        <w:t>La date d</w:t>
      </w:r>
      <w:r w:rsidR="002B0172" w:rsidRPr="003B70C5">
        <w:t>’</w:t>
      </w:r>
      <w:r w:rsidRPr="003B70C5">
        <w:t>établissement des états financiers de l</w:t>
      </w:r>
      <w:r w:rsidR="002B0172" w:rsidRPr="003B70C5">
        <w:t>’</w:t>
      </w:r>
      <w:r w:rsidRPr="003B70C5">
        <w:t>UPOV a été fixée au 31 </w:t>
      </w:r>
      <w:r w:rsidR="002B0172" w:rsidRPr="003B70C5">
        <w:t>décembre 20</w:t>
      </w:r>
      <w:r w:rsidRPr="003B70C5">
        <w:t>25 et leur publication à la même date que celle de l</w:t>
      </w:r>
      <w:r w:rsidR="002B0172" w:rsidRPr="003B70C5">
        <w:t>’</w:t>
      </w:r>
      <w:r w:rsidRPr="003B70C5">
        <w:t>avis des vérificateurs de comptes externes.</w:t>
      </w:r>
    </w:p>
    <w:p w14:paraId="30457C8F" w14:textId="77777777" w:rsidR="000C336F" w:rsidRPr="003B70C5" w:rsidRDefault="000C336F" w:rsidP="00DE7CAB">
      <w:pPr>
        <w:keepNext/>
      </w:pPr>
    </w:p>
    <w:p w14:paraId="74C85848" w14:textId="499B0A38" w:rsidR="000C336F" w:rsidRPr="003B70C5" w:rsidRDefault="000C336F" w:rsidP="000C336F">
      <w:pPr>
        <w:rPr>
          <w:rFonts w:cs="Arial"/>
        </w:rPr>
      </w:pPr>
      <w:r w:rsidRPr="003B70C5">
        <w:t>Aucun événement significatif – favorable ou défavorable – susceptible d</w:t>
      </w:r>
      <w:r w:rsidR="002B0172" w:rsidRPr="003B70C5">
        <w:t>’</w:t>
      </w:r>
      <w:r w:rsidRPr="003B70C5">
        <w:t>avoir une incidence importante sur les présents états financiers n</w:t>
      </w:r>
      <w:r w:rsidR="002B0172" w:rsidRPr="003B70C5">
        <w:t>’</w:t>
      </w:r>
      <w:r w:rsidRPr="003B70C5">
        <w:t>a eu lieu entre la date d</w:t>
      </w:r>
      <w:r w:rsidR="002B0172" w:rsidRPr="003B70C5">
        <w:t>’</w:t>
      </w:r>
      <w:r w:rsidRPr="003B70C5">
        <w:t>établissement de ceux</w:t>
      </w:r>
      <w:r w:rsidR="002B0172" w:rsidRPr="003B70C5">
        <w:t>-</w:t>
      </w:r>
      <w:r w:rsidRPr="003B70C5">
        <w:t>ci et la date à laquelle leur publication a été autorisée.</w:t>
      </w:r>
    </w:p>
    <w:p w14:paraId="44EFB64C" w14:textId="77777777" w:rsidR="000C336F" w:rsidRPr="003B70C5" w:rsidRDefault="000C336F" w:rsidP="000C336F">
      <w:pPr>
        <w:rPr>
          <w:rFonts w:cs="Arial"/>
        </w:rPr>
      </w:pPr>
    </w:p>
    <w:p w14:paraId="3B314A11" w14:textId="77777777" w:rsidR="000C336F" w:rsidRPr="003B70C5" w:rsidRDefault="000C336F" w:rsidP="000C336F">
      <w:pPr>
        <w:rPr>
          <w:rFonts w:cs="Arial"/>
        </w:rPr>
      </w:pPr>
    </w:p>
    <w:p w14:paraId="6CF33A73" w14:textId="77777777" w:rsidR="000C336F" w:rsidRPr="003B70C5" w:rsidRDefault="000C336F" w:rsidP="000C336F"/>
    <w:p w14:paraId="4A164A88" w14:textId="4FB4C167" w:rsidR="000C336F" w:rsidRPr="003B70C5" w:rsidRDefault="000C336F" w:rsidP="000C336F">
      <w:pPr>
        <w:jc w:val="right"/>
        <w:rPr>
          <w:rFonts w:cs="Arial"/>
        </w:rPr>
      </w:pPr>
      <w:r w:rsidRPr="003B70C5">
        <w:t>[L</w:t>
      </w:r>
      <w:r w:rsidR="002B0172" w:rsidRPr="003B70C5">
        <w:t>’</w:t>
      </w:r>
      <w:r w:rsidRPr="003B70C5">
        <w:t>appendice suit]</w:t>
      </w:r>
    </w:p>
    <w:p w14:paraId="54362DE1" w14:textId="77777777" w:rsidR="000C336F" w:rsidRPr="003B70C5" w:rsidRDefault="000C336F" w:rsidP="000C336F">
      <w:pPr>
        <w:jc w:val="left"/>
        <w:rPr>
          <w:rFonts w:cs="Arial"/>
        </w:rPr>
      </w:pPr>
    </w:p>
    <w:p w14:paraId="3D8AEED9" w14:textId="77777777" w:rsidR="000C336F" w:rsidRPr="003B70C5" w:rsidRDefault="000C336F" w:rsidP="000C336F">
      <w:pPr>
        <w:jc w:val="left"/>
        <w:rPr>
          <w:rFonts w:cs="Arial"/>
        </w:rPr>
      </w:pPr>
    </w:p>
    <w:p w14:paraId="15F9DA12" w14:textId="77777777" w:rsidR="000C336F" w:rsidRPr="003B70C5" w:rsidRDefault="000C336F" w:rsidP="000C336F">
      <w:pPr>
        <w:jc w:val="left"/>
        <w:rPr>
          <w:rFonts w:cs="Arial"/>
        </w:rPr>
        <w:sectPr w:rsidR="000C336F" w:rsidRPr="003B70C5" w:rsidSect="000C336F">
          <w:headerReference w:type="even" r:id="rId47"/>
          <w:headerReference w:type="default" r:id="rId48"/>
          <w:footerReference w:type="even" r:id="rId49"/>
          <w:footerReference w:type="default" r:id="rId50"/>
          <w:headerReference w:type="first" r:id="rId51"/>
          <w:footerReference w:type="first" r:id="rId52"/>
          <w:footnotePr>
            <w:numRestart w:val="eachPage"/>
          </w:footnotePr>
          <w:pgSz w:w="11907" w:h="16840" w:code="9"/>
          <w:pgMar w:top="510" w:right="1107" w:bottom="810" w:left="1134" w:header="510" w:footer="680" w:gutter="0"/>
          <w:pgNumType w:start="1"/>
          <w:cols w:space="720"/>
          <w:titlePg/>
          <w:docGrid w:linePitch="272"/>
        </w:sectPr>
      </w:pPr>
    </w:p>
    <w:p w14:paraId="4D234085" w14:textId="77777777" w:rsidR="004777D2" w:rsidRDefault="002B4EBE" w:rsidP="004777D2">
      <w:pPr>
        <w:jc w:val="center"/>
      </w:pPr>
      <w:bookmarkStart w:id="114" w:name="_Toc61533341"/>
      <w:bookmarkStart w:id="115" w:name="_Toc61533951"/>
      <w:bookmarkStart w:id="116" w:name="_Toc225437486"/>
      <w:r w:rsidRPr="00D907CA">
        <w:lastRenderedPageBreak/>
        <w:t>APPENDICE</w:t>
      </w:r>
    </w:p>
    <w:p w14:paraId="0714FB04" w14:textId="77777777" w:rsidR="00BF5D08" w:rsidRDefault="00BF5D08" w:rsidP="004777D2">
      <w:pPr>
        <w:jc w:val="center"/>
      </w:pPr>
    </w:p>
    <w:p w14:paraId="15214C0D" w14:textId="32DBB467" w:rsidR="000C336F" w:rsidRPr="003B70C5" w:rsidRDefault="000C336F" w:rsidP="004777D2">
      <w:pPr>
        <w:jc w:val="center"/>
        <w:rPr>
          <w:rFonts w:cs="Arial"/>
        </w:rPr>
      </w:pPr>
      <w:r w:rsidRPr="00D907CA">
        <w:t>VERSEMENTS À TITRE GRACIEUX</w:t>
      </w:r>
      <w:bookmarkEnd w:id="114"/>
      <w:bookmarkEnd w:id="115"/>
      <w:r w:rsidR="00BF5D08">
        <w:br/>
      </w:r>
      <w:r w:rsidRPr="00D907CA">
        <w:t>(informations vérifiées)</w:t>
      </w:r>
      <w:bookmarkEnd w:id="116"/>
    </w:p>
    <w:p w14:paraId="396F518F" w14:textId="77777777" w:rsidR="000C336F" w:rsidRPr="003B70C5" w:rsidRDefault="000C336F" w:rsidP="000C336F">
      <w:pPr>
        <w:rPr>
          <w:szCs w:val="18"/>
        </w:rPr>
      </w:pPr>
    </w:p>
    <w:p w14:paraId="7E98B5AF" w14:textId="77777777" w:rsidR="000C336F" w:rsidRPr="003B70C5" w:rsidRDefault="000C336F" w:rsidP="000C336F">
      <w:pPr>
        <w:rPr>
          <w:szCs w:val="18"/>
        </w:rPr>
      </w:pPr>
    </w:p>
    <w:p w14:paraId="437EF981" w14:textId="13277E5E" w:rsidR="000C336F" w:rsidRPr="003B70C5" w:rsidRDefault="000C336F" w:rsidP="000C336F">
      <w:pPr>
        <w:rPr>
          <w:szCs w:val="18"/>
        </w:rPr>
      </w:pPr>
      <w:r w:rsidRPr="003B70C5">
        <w:t>L</w:t>
      </w:r>
      <w:r w:rsidR="002B0172" w:rsidRPr="003B70C5">
        <w:t>’</w:t>
      </w:r>
      <w:r w:rsidRPr="003B70C5">
        <w:t>article 5.10 du Règlement financier indique qu</w:t>
      </w:r>
      <w:r w:rsidR="002B0172" w:rsidRPr="003B70C5">
        <w:t>’</w:t>
      </w:r>
      <w:r w:rsidRPr="003B70C5">
        <w:t>un état récapitulatif de tous les versements à titre gracieux est inclus dans les états financiers de l</w:t>
      </w:r>
      <w:r w:rsidR="002B0172" w:rsidRPr="003B70C5">
        <w:t>’</w:t>
      </w:r>
      <w:r w:rsidRPr="003B70C5">
        <w:t>U</w:t>
      </w:r>
      <w:r w:rsidR="00D076B0" w:rsidRPr="003B70C5">
        <w:t>POV.  Il</w:t>
      </w:r>
      <w:r w:rsidRPr="003B70C5">
        <w:t xml:space="preserve"> n</w:t>
      </w:r>
      <w:r w:rsidR="002B0172" w:rsidRPr="003B70C5">
        <w:t>’</w:t>
      </w:r>
      <w:r w:rsidRPr="003B70C5">
        <w:t>y a eu aucun versement de cette nature en 2025 aussi n</w:t>
      </w:r>
      <w:r w:rsidR="002B0172" w:rsidRPr="003B70C5">
        <w:t>’</w:t>
      </w:r>
      <w:r w:rsidRPr="003B70C5">
        <w:t>est</w:t>
      </w:r>
      <w:r w:rsidR="002B0172" w:rsidRPr="003B70C5">
        <w:t>-</w:t>
      </w:r>
      <w:r w:rsidRPr="003B70C5">
        <w:t>il pas nécessaire de fournir un état récapitulatif des versements effectués.</w:t>
      </w:r>
    </w:p>
    <w:p w14:paraId="7936984F" w14:textId="77777777" w:rsidR="000C336F" w:rsidRPr="003B70C5" w:rsidRDefault="000C336F" w:rsidP="000C336F">
      <w:pPr>
        <w:jc w:val="right"/>
        <w:rPr>
          <w:rFonts w:cs="Arial"/>
          <w:color w:val="000000" w:themeColor="text1"/>
        </w:rPr>
      </w:pPr>
    </w:p>
    <w:p w14:paraId="3E7E15B8" w14:textId="77777777" w:rsidR="000C336F" w:rsidRPr="003B70C5" w:rsidRDefault="000C336F" w:rsidP="000C336F">
      <w:pPr>
        <w:jc w:val="right"/>
        <w:rPr>
          <w:rFonts w:cs="Arial"/>
          <w:color w:val="000000" w:themeColor="text1"/>
        </w:rPr>
      </w:pPr>
    </w:p>
    <w:p w14:paraId="061419FA" w14:textId="77777777" w:rsidR="000C336F" w:rsidRPr="003B70C5" w:rsidRDefault="000C336F" w:rsidP="000C336F">
      <w:pPr>
        <w:jc w:val="right"/>
        <w:rPr>
          <w:rFonts w:cs="Arial"/>
          <w:color w:val="000000" w:themeColor="text1"/>
        </w:rPr>
      </w:pPr>
    </w:p>
    <w:p w14:paraId="4C352F09" w14:textId="2D111054" w:rsidR="000C336F" w:rsidRPr="003B70C5" w:rsidRDefault="000C336F" w:rsidP="000C336F">
      <w:pPr>
        <w:jc w:val="right"/>
        <w:rPr>
          <w:rFonts w:cs="Arial"/>
        </w:rPr>
      </w:pPr>
      <w:r w:rsidRPr="003B70C5">
        <w:t xml:space="preserve">[Fin de </w:t>
      </w:r>
      <w:r w:rsidR="00BF5D08">
        <w:t>l’appendice</w:t>
      </w:r>
      <w:r w:rsidRPr="003B70C5">
        <w:t xml:space="preserve"> et du document]</w:t>
      </w:r>
    </w:p>
    <w:sectPr w:rsidR="000C336F" w:rsidRPr="003B70C5" w:rsidSect="004777D2">
      <w:headerReference w:type="default" r:id="rId53"/>
      <w:headerReference w:type="first" r:id="rId54"/>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2A2E2" w14:textId="77777777" w:rsidR="00735171" w:rsidRDefault="00735171" w:rsidP="006655D3">
      <w:r>
        <w:separator/>
      </w:r>
    </w:p>
    <w:p w14:paraId="7BAF7337" w14:textId="77777777" w:rsidR="00735171" w:rsidRDefault="00735171" w:rsidP="006655D3"/>
    <w:p w14:paraId="14E41140" w14:textId="77777777" w:rsidR="00735171" w:rsidRDefault="00735171" w:rsidP="006655D3"/>
  </w:endnote>
  <w:endnote w:type="continuationSeparator" w:id="0">
    <w:p w14:paraId="3809EA2C" w14:textId="77777777" w:rsidR="00735171" w:rsidRDefault="00735171" w:rsidP="006655D3">
      <w:r>
        <w:separator/>
      </w:r>
    </w:p>
    <w:p w14:paraId="6F697E29" w14:textId="77777777" w:rsidR="00735171" w:rsidRPr="00294751" w:rsidRDefault="00735171">
      <w:pPr>
        <w:pStyle w:val="Footer"/>
        <w:spacing w:after="60"/>
        <w:rPr>
          <w:sz w:val="18"/>
          <w:lang w:val="fr-FR"/>
        </w:rPr>
      </w:pPr>
      <w:r w:rsidRPr="00294751">
        <w:rPr>
          <w:sz w:val="18"/>
          <w:lang w:val="fr-FR"/>
        </w:rPr>
        <w:t>[Suite de la note de la page précédente]</w:t>
      </w:r>
    </w:p>
    <w:p w14:paraId="3D19E57A" w14:textId="77777777" w:rsidR="00735171" w:rsidRPr="00294751" w:rsidRDefault="00735171" w:rsidP="006655D3"/>
    <w:p w14:paraId="25855975" w14:textId="77777777" w:rsidR="00735171" w:rsidRPr="00294751" w:rsidRDefault="00735171" w:rsidP="006655D3"/>
  </w:endnote>
  <w:endnote w:type="continuationNotice" w:id="1">
    <w:p w14:paraId="4199DBE2" w14:textId="77777777" w:rsidR="00735171" w:rsidRPr="00294751" w:rsidRDefault="00735171" w:rsidP="006655D3">
      <w:r w:rsidRPr="00294751">
        <w:t>[Suite de la note page suivante]</w:t>
      </w:r>
    </w:p>
    <w:p w14:paraId="4695346F" w14:textId="77777777" w:rsidR="00735171" w:rsidRPr="00294751" w:rsidRDefault="00735171" w:rsidP="006655D3"/>
    <w:p w14:paraId="65095D2A" w14:textId="77777777" w:rsidR="00735171" w:rsidRPr="00294751" w:rsidRDefault="00735171" w:rsidP="00665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4EB6" w14:textId="054B1CF2" w:rsidR="000C336F" w:rsidRDefault="000C336F" w:rsidP="001C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E05E" w14:textId="400A2515" w:rsidR="000C336F" w:rsidRDefault="000C33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E33B" w14:textId="0A3F7BAF" w:rsidR="000C336F" w:rsidRDefault="000C3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3D54E" w14:textId="77777777" w:rsidR="00735171" w:rsidRDefault="00735171" w:rsidP="006655D3">
      <w:r>
        <w:separator/>
      </w:r>
    </w:p>
  </w:footnote>
  <w:footnote w:type="continuationSeparator" w:id="0">
    <w:p w14:paraId="411C06D1" w14:textId="77777777" w:rsidR="00735171" w:rsidRDefault="00735171" w:rsidP="006655D3">
      <w:r>
        <w:separator/>
      </w:r>
    </w:p>
  </w:footnote>
  <w:footnote w:type="continuationNotice" w:id="1">
    <w:p w14:paraId="509C562B" w14:textId="77777777" w:rsidR="00735171" w:rsidRPr="00AB530F" w:rsidRDefault="00735171" w:rsidP="00AB530F">
      <w:pPr>
        <w:pStyle w:val="Footer"/>
      </w:pPr>
    </w:p>
  </w:footnote>
  <w:footnote w:id="2">
    <w:p w14:paraId="66B9260B" w14:textId="63CE8797" w:rsidR="000C336F" w:rsidRDefault="000C336F" w:rsidP="000C336F">
      <w:pPr>
        <w:pStyle w:val="FootnoteText"/>
      </w:pPr>
      <w:r>
        <w:rPr>
          <w:rStyle w:val="FootnoteReference"/>
        </w:rPr>
        <w:footnoteRef/>
      </w:r>
      <w:r>
        <w:t xml:space="preserve"> De plus amples informations figurent dans la section 7 du présent document.</w:t>
      </w:r>
    </w:p>
  </w:footnote>
  <w:footnote w:id="3">
    <w:p w14:paraId="67F56270" w14:textId="4D5E13CA" w:rsidR="000C336F" w:rsidRDefault="000C336F" w:rsidP="000C336F">
      <w:pPr>
        <w:pStyle w:val="FootnoteText"/>
      </w:pPr>
      <w:r>
        <w:rPr>
          <w:rStyle w:val="FootnoteReference"/>
        </w:rPr>
        <w:footnoteRef/>
      </w:r>
      <w:r w:rsidR="00F804DB">
        <w:t xml:space="preserve"> </w:t>
      </w:r>
      <w:r>
        <w:t>Comité d</w:t>
      </w:r>
      <w:r w:rsidR="00593DAF">
        <w:t>’</w:t>
      </w:r>
      <w:r>
        <w:t>organismes parrains de la Commission Treadway</w:t>
      </w:r>
      <w:r w:rsidR="00FA3B04">
        <w:t>.</w:t>
      </w:r>
    </w:p>
  </w:footnote>
  <w:footnote w:id="4">
    <w:p w14:paraId="4BCE58D9" w14:textId="4B1688C3" w:rsidR="000C336F" w:rsidRDefault="000C336F" w:rsidP="000C336F">
      <w:pPr>
        <w:pStyle w:val="FootnoteText"/>
      </w:pPr>
      <w:r>
        <w:rPr>
          <w:rStyle w:val="FootnoteReference"/>
        </w:rPr>
        <w:footnoteRef/>
      </w:r>
      <w:r w:rsidR="00F804DB">
        <w:t xml:space="preserve"> </w:t>
      </w:r>
      <w:hyperlink r:id="rId1" w:history="1">
        <w:r w:rsidR="0052260B" w:rsidRPr="0027271A">
          <w:rPr>
            <w:rStyle w:val="Hyperlink"/>
          </w:rPr>
          <w:t>https://www.theiia.org/globalassets/site/about-us/advocacy/three-lines-model-updated.pdf</w:t>
        </w:r>
      </w:hyperlink>
      <w:r w:rsidR="0052260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67D4" w14:textId="77777777" w:rsidR="000C336F" w:rsidRPr="00C5280D" w:rsidRDefault="000C336F" w:rsidP="001C7937">
    <w:pPr>
      <w:pStyle w:val="Header"/>
      <w:rPr>
        <w:rStyle w:val="PageNumber"/>
      </w:rPr>
    </w:pPr>
    <w:r>
      <w:rPr>
        <w:rStyle w:val="PageNumber"/>
      </w:rPr>
      <w:t>C/51/</w:t>
    </w:r>
  </w:p>
  <w:p w14:paraId="3D23188B" w14:textId="77777777" w:rsidR="000C336F" w:rsidRPr="00C5280D" w:rsidRDefault="000C336F" w:rsidP="001C7937">
    <w:pPr>
      <w:pStyle w:val="Header"/>
    </w:pPr>
    <w:r>
      <w:t>page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1</w:t>
    </w:r>
    <w:r w:rsidRPr="00C5280D">
      <w:rPr>
        <w:rStyle w:val="PageNumber"/>
      </w:rPr>
      <w:fldChar w:fldCharType="end"/>
    </w:r>
  </w:p>
  <w:p w14:paraId="06714EE3" w14:textId="77777777" w:rsidR="000C336F" w:rsidRPr="00C5280D" w:rsidRDefault="000C336F" w:rsidP="001C79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EC9E" w14:textId="77777777" w:rsidR="000C336F" w:rsidRPr="00C5280D" w:rsidRDefault="000C336F" w:rsidP="00EB048E">
    <w:pPr>
      <w:pStyle w:val="Header"/>
      <w:rPr>
        <w:rStyle w:val="PageNumber"/>
      </w:rPr>
    </w:pPr>
    <w:r>
      <w:rPr>
        <w:rStyle w:val="PageNumber"/>
      </w:rPr>
      <w:t>C/51/</w:t>
    </w:r>
  </w:p>
  <w:p w14:paraId="66EB5BD0" w14:textId="77777777" w:rsidR="000C336F" w:rsidRPr="00C5280D" w:rsidRDefault="000C336F" w:rsidP="00EB048E">
    <w:pPr>
      <w:pStyle w:val="Header"/>
    </w:pPr>
    <w:r>
      <w:t>page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1</w:t>
    </w:r>
    <w:r w:rsidRPr="00C5280D">
      <w:rPr>
        <w:rStyle w:val="PageNumber"/>
      </w:rPr>
      <w:fldChar w:fldCharType="end"/>
    </w:r>
  </w:p>
  <w:p w14:paraId="6E2E2269" w14:textId="77777777" w:rsidR="000C336F" w:rsidRPr="00C5280D" w:rsidRDefault="000C336F"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F660" w14:textId="77777777" w:rsidR="000C336F" w:rsidRPr="00C5280D" w:rsidRDefault="000C336F" w:rsidP="001C7937">
    <w:pPr>
      <w:pStyle w:val="Header"/>
      <w:rPr>
        <w:rStyle w:val="PageNumber"/>
      </w:rPr>
    </w:pPr>
    <w:r>
      <w:rPr>
        <w:rStyle w:val="PageNumber"/>
      </w:rPr>
      <w:t>C/60/9</w:t>
    </w:r>
  </w:p>
  <w:p w14:paraId="0AAA8F7A" w14:textId="77777777" w:rsidR="000C336F" w:rsidRPr="00C5280D" w:rsidRDefault="000C336F" w:rsidP="001C7937">
    <w:pPr>
      <w:pStyle w:val="Header"/>
    </w:pPr>
    <w:r>
      <w:t>Annexe, page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30</w:t>
    </w:r>
    <w:r w:rsidRPr="00C5280D">
      <w:rPr>
        <w:rStyle w:val="PageNumber"/>
      </w:rPr>
      <w:fldChar w:fldCharType="end"/>
    </w:r>
  </w:p>
  <w:p w14:paraId="4C4F038D" w14:textId="77777777" w:rsidR="000C336F" w:rsidRPr="00C5280D" w:rsidRDefault="000C336F" w:rsidP="001C793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3AC2" w14:textId="77777777" w:rsidR="000C336F" w:rsidRPr="00C5280D" w:rsidRDefault="000C336F" w:rsidP="00EB048E">
    <w:pPr>
      <w:pStyle w:val="Header"/>
      <w:rPr>
        <w:rStyle w:val="PageNumber"/>
      </w:rPr>
    </w:pPr>
    <w:r>
      <w:rPr>
        <w:rStyle w:val="PageNumber"/>
      </w:rPr>
      <w:t>C/60/9</w:t>
    </w:r>
  </w:p>
  <w:p w14:paraId="71FE0DC0" w14:textId="77777777" w:rsidR="000C336F" w:rsidRPr="00C5280D" w:rsidRDefault="000C336F" w:rsidP="00EB048E">
    <w:pPr>
      <w:pStyle w:val="Header"/>
    </w:pPr>
    <w:r>
      <w:t>Annexe, page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1</w:t>
    </w:r>
    <w:r w:rsidRPr="00C5280D">
      <w:rPr>
        <w:rStyle w:val="PageNumber"/>
      </w:rPr>
      <w:fldChar w:fldCharType="end"/>
    </w:r>
  </w:p>
  <w:p w14:paraId="3A626088" w14:textId="77777777" w:rsidR="000C336F" w:rsidRPr="00C5280D" w:rsidRDefault="000C336F" w:rsidP="003154E2">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9C29" w14:textId="77777777" w:rsidR="000C336F" w:rsidRDefault="000C336F">
    <w:pPr>
      <w:pStyle w:val="Header"/>
    </w:pPr>
    <w:r>
      <w:t>C/60/9</w:t>
    </w:r>
  </w:p>
  <w:p w14:paraId="0AB6B501" w14:textId="77777777" w:rsidR="000C336F" w:rsidRDefault="000C336F">
    <w:pPr>
      <w:pStyle w:val="Header"/>
    </w:pPr>
  </w:p>
  <w:p w14:paraId="1E4A8E41" w14:textId="77777777" w:rsidR="000C336F" w:rsidRDefault="000C336F">
    <w:pPr>
      <w:pStyle w:val="Header"/>
    </w:pPr>
    <w:r>
      <w:t>ANNEXE</w:t>
    </w:r>
  </w:p>
  <w:p w14:paraId="2D401181" w14:textId="77777777" w:rsidR="000C336F" w:rsidRDefault="000C336F">
    <w:pPr>
      <w:pStyle w:val="Header"/>
    </w:pPr>
  </w:p>
  <w:p w14:paraId="0DEC5D0E" w14:textId="77777777" w:rsidR="000C336F" w:rsidRDefault="000C33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A4FF" w14:textId="77777777" w:rsidR="00182B99" w:rsidRPr="00C5280D" w:rsidRDefault="009E3896" w:rsidP="00A71548">
    <w:pPr>
      <w:pStyle w:val="Header"/>
      <w:rPr>
        <w:rStyle w:val="PageNumber"/>
        <w:lang w:val="en-US"/>
      </w:rPr>
    </w:pPr>
    <w:r>
      <w:rPr>
        <w:rStyle w:val="PageNumber"/>
        <w:lang w:val="en-US"/>
      </w:rPr>
      <w:t>C/60</w:t>
    </w:r>
    <w:r w:rsidR="005D1417">
      <w:rPr>
        <w:rStyle w:val="PageNumber"/>
        <w:lang w:val="en-US"/>
      </w:rPr>
      <w:t>/</w:t>
    </w:r>
  </w:p>
  <w:p w14:paraId="23EBAF44"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A71548">
      <w:rPr>
        <w:rStyle w:val="PageNumber"/>
        <w:noProof/>
        <w:lang w:val="en-US"/>
      </w:rPr>
      <w:t>2</w:t>
    </w:r>
    <w:r w:rsidRPr="00C5280D">
      <w:rPr>
        <w:rStyle w:val="PageNumber"/>
        <w:lang w:val="en-US"/>
      </w:rPr>
      <w:fldChar w:fldCharType="end"/>
    </w:r>
  </w:p>
  <w:p w14:paraId="23AF9B5F" w14:textId="77777777" w:rsidR="00182B99" w:rsidRPr="00C5280D" w:rsidRDefault="00182B99" w:rsidP="006655D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2F01" w14:textId="77777777" w:rsidR="003154E2" w:rsidRDefault="003154E2">
    <w:pPr>
      <w:pStyle w:val="Header"/>
    </w:pPr>
    <w:r>
      <w:t>C/60/9</w:t>
    </w:r>
  </w:p>
  <w:p w14:paraId="0FBCC044" w14:textId="77777777" w:rsidR="003154E2" w:rsidRPr="00C5280D" w:rsidRDefault="003154E2" w:rsidP="003154E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97991"/>
    <w:multiLevelType w:val="hybridMultilevel"/>
    <w:tmpl w:val="77EC272E"/>
    <w:lvl w:ilvl="0" w:tplc="A2B230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D50D2D"/>
    <w:multiLevelType w:val="hybridMultilevel"/>
    <w:tmpl w:val="EF0C51D8"/>
    <w:lvl w:ilvl="0" w:tplc="F1420C0E">
      <w:start w:val="1"/>
      <w:numFmt w:val="lowerRoman"/>
      <w:lvlText w:val="%1)"/>
      <w:lvlJc w:val="left"/>
      <w:pPr>
        <w:ind w:left="720" w:hanging="360"/>
      </w:pPr>
      <w:rPr>
        <w:rFonts w:ascii="Arial" w:eastAsia="Arial" w:hAnsi="Arial" w:cs="Arial" w:hint="default"/>
        <w:spacing w:val="-1"/>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004BC"/>
    <w:multiLevelType w:val="hybridMultilevel"/>
    <w:tmpl w:val="E572D92E"/>
    <w:lvl w:ilvl="0" w:tplc="0F8A8F5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D80BD2"/>
    <w:multiLevelType w:val="hybridMultilevel"/>
    <w:tmpl w:val="F82E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B544B"/>
    <w:multiLevelType w:val="hybridMultilevel"/>
    <w:tmpl w:val="757808DC"/>
    <w:lvl w:ilvl="0" w:tplc="7C02EEFA">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3BD2490"/>
    <w:multiLevelType w:val="multilevel"/>
    <w:tmpl w:val="BE821298"/>
    <w:styleLink w:val="CurrentList2"/>
    <w:lvl w:ilvl="0">
      <w:start w:val="4"/>
      <w:numFmt w:val="decimal"/>
      <w:lvlText w:val="%1."/>
      <w:lvlJc w:val="left"/>
      <w:pPr>
        <w:tabs>
          <w:tab w:val="num" w:pos="1080"/>
        </w:tabs>
        <w:ind w:left="567" w:hanging="567"/>
      </w:pPr>
      <w:rPr>
        <w:rFonts w:ascii="Arial" w:hAnsi="Arial" w:cs="Arial"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60A6F1A"/>
    <w:multiLevelType w:val="hybridMultilevel"/>
    <w:tmpl w:val="F84E59F2"/>
    <w:lvl w:ilvl="0" w:tplc="3072FBD0">
      <w:start w:val="1"/>
      <w:numFmt w:val="lowerRoman"/>
      <w:lvlText w:val="(%1)"/>
      <w:lvlJc w:val="left"/>
      <w:pPr>
        <w:ind w:left="976" w:hanging="720"/>
      </w:pPr>
      <w:rPr>
        <w:rFonts w:ascii="Arial" w:eastAsia="Arial" w:hAnsi="Arial" w:cs="Arial" w:hint="default"/>
        <w:spacing w:val="-1"/>
        <w:w w:val="99"/>
        <w:sz w:val="20"/>
        <w:szCs w:val="20"/>
        <w:lang w:val="en-US" w:eastAsia="en-US" w:bidi="en-US"/>
      </w:rPr>
    </w:lvl>
    <w:lvl w:ilvl="1" w:tplc="19204E78">
      <w:numFmt w:val="bullet"/>
      <w:lvlText w:val=""/>
      <w:lvlJc w:val="left"/>
      <w:pPr>
        <w:ind w:left="976" w:hanging="360"/>
      </w:pPr>
      <w:rPr>
        <w:rFonts w:ascii="Symbol" w:eastAsia="Symbol" w:hAnsi="Symbol" w:cs="Symbol" w:hint="default"/>
        <w:w w:val="99"/>
        <w:sz w:val="20"/>
        <w:szCs w:val="20"/>
        <w:lang w:val="en-US" w:eastAsia="en-US" w:bidi="en-US"/>
      </w:rPr>
    </w:lvl>
    <w:lvl w:ilvl="2" w:tplc="B97A1492">
      <w:numFmt w:val="bullet"/>
      <w:lvlText w:val="•"/>
      <w:lvlJc w:val="left"/>
      <w:pPr>
        <w:ind w:left="2717" w:hanging="360"/>
      </w:pPr>
      <w:rPr>
        <w:lang w:val="en-US" w:eastAsia="en-US" w:bidi="en-US"/>
      </w:rPr>
    </w:lvl>
    <w:lvl w:ilvl="3" w:tplc="95765674">
      <w:numFmt w:val="bullet"/>
      <w:lvlText w:val="•"/>
      <w:lvlJc w:val="left"/>
      <w:pPr>
        <w:ind w:left="3585" w:hanging="360"/>
      </w:pPr>
      <w:rPr>
        <w:lang w:val="en-US" w:eastAsia="en-US" w:bidi="en-US"/>
      </w:rPr>
    </w:lvl>
    <w:lvl w:ilvl="4" w:tplc="F2CC0036">
      <w:numFmt w:val="bullet"/>
      <w:lvlText w:val="•"/>
      <w:lvlJc w:val="left"/>
      <w:pPr>
        <w:ind w:left="4454" w:hanging="360"/>
      </w:pPr>
      <w:rPr>
        <w:lang w:val="en-US" w:eastAsia="en-US" w:bidi="en-US"/>
      </w:rPr>
    </w:lvl>
    <w:lvl w:ilvl="5" w:tplc="5E9E4E36">
      <w:numFmt w:val="bullet"/>
      <w:lvlText w:val="•"/>
      <w:lvlJc w:val="left"/>
      <w:pPr>
        <w:ind w:left="5323" w:hanging="360"/>
      </w:pPr>
      <w:rPr>
        <w:lang w:val="en-US" w:eastAsia="en-US" w:bidi="en-US"/>
      </w:rPr>
    </w:lvl>
    <w:lvl w:ilvl="6" w:tplc="02CA5DE0">
      <w:numFmt w:val="bullet"/>
      <w:lvlText w:val="•"/>
      <w:lvlJc w:val="left"/>
      <w:pPr>
        <w:ind w:left="6191" w:hanging="360"/>
      </w:pPr>
      <w:rPr>
        <w:lang w:val="en-US" w:eastAsia="en-US" w:bidi="en-US"/>
      </w:rPr>
    </w:lvl>
    <w:lvl w:ilvl="7" w:tplc="F5848A9A">
      <w:numFmt w:val="bullet"/>
      <w:lvlText w:val="•"/>
      <w:lvlJc w:val="left"/>
      <w:pPr>
        <w:ind w:left="7060" w:hanging="360"/>
      </w:pPr>
      <w:rPr>
        <w:lang w:val="en-US" w:eastAsia="en-US" w:bidi="en-US"/>
      </w:rPr>
    </w:lvl>
    <w:lvl w:ilvl="8" w:tplc="C9B85180">
      <w:numFmt w:val="bullet"/>
      <w:lvlText w:val="•"/>
      <w:lvlJc w:val="left"/>
      <w:pPr>
        <w:ind w:left="7929" w:hanging="360"/>
      </w:pPr>
      <w:rPr>
        <w:lang w:val="en-US" w:eastAsia="en-US" w:bidi="en-US"/>
      </w:rPr>
    </w:lvl>
  </w:abstractNum>
  <w:abstractNum w:abstractNumId="7" w15:restartNumberingAfterBreak="0">
    <w:nsid w:val="434912CD"/>
    <w:multiLevelType w:val="hybridMultilevel"/>
    <w:tmpl w:val="5D18ED2E"/>
    <w:lvl w:ilvl="0" w:tplc="936E746C">
      <w:start w:val="1"/>
      <w:numFmt w:val="low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505A466F"/>
    <w:multiLevelType w:val="hybridMultilevel"/>
    <w:tmpl w:val="5C0C8ABC"/>
    <w:lvl w:ilvl="0" w:tplc="A16AD888">
      <w:start w:val="1"/>
      <w:numFmt w:val="lowerLetter"/>
      <w:lvlText w:val="%1)"/>
      <w:lvlJc w:val="left"/>
      <w:pPr>
        <w:tabs>
          <w:tab w:val="num" w:pos="418"/>
        </w:tabs>
        <w:ind w:left="414" w:hanging="54"/>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9" w15:restartNumberingAfterBreak="0">
    <w:nsid w:val="50B45F12"/>
    <w:multiLevelType w:val="hybridMultilevel"/>
    <w:tmpl w:val="FB78D33A"/>
    <w:lvl w:ilvl="0" w:tplc="F3687F78">
      <w:start w:val="1"/>
      <w:numFmt w:val="decimal"/>
      <w:pStyle w:val="StylenumerotationpagedegardeLeft063cmHanging001cm"/>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C45B33"/>
    <w:multiLevelType w:val="hybridMultilevel"/>
    <w:tmpl w:val="BE821298"/>
    <w:lvl w:ilvl="0" w:tplc="B852BC40">
      <w:start w:val="4"/>
      <w:numFmt w:val="decimal"/>
      <w:lvlText w:val="%1."/>
      <w:lvlJc w:val="left"/>
      <w:pPr>
        <w:tabs>
          <w:tab w:val="num" w:pos="1080"/>
        </w:tabs>
        <w:ind w:left="567" w:hanging="567"/>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1132373"/>
    <w:multiLevelType w:val="hybridMultilevel"/>
    <w:tmpl w:val="4E22E4C2"/>
    <w:lvl w:ilvl="0" w:tplc="392E2B44">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192235238">
    <w:abstractNumId w:val="9"/>
  </w:num>
  <w:num w:numId="2" w16cid:durableId="468130306">
    <w:abstractNumId w:val="14"/>
  </w:num>
  <w:num w:numId="3" w16cid:durableId="2053537396">
    <w:abstractNumId w:val="12"/>
  </w:num>
  <w:num w:numId="4" w16cid:durableId="756747757">
    <w:abstractNumId w:val="11"/>
  </w:num>
  <w:num w:numId="5" w16cid:durableId="694648617">
    <w:abstractNumId w:val="0"/>
  </w:num>
  <w:num w:numId="6" w16cid:durableId="216169699">
    <w:abstractNumId w:val="13"/>
  </w:num>
  <w:num w:numId="7" w16cid:durableId="1493401372">
    <w:abstractNumId w:val="10"/>
  </w:num>
  <w:num w:numId="8" w16cid:durableId="873883399">
    <w:abstractNumId w:val="8"/>
  </w:num>
  <w:num w:numId="9" w16cid:durableId="1605260210">
    <w:abstractNumId w:val="2"/>
  </w:num>
  <w:num w:numId="10" w16cid:durableId="440761845">
    <w:abstractNumId w:val="6"/>
  </w:num>
  <w:num w:numId="11" w16cid:durableId="1752773385">
    <w:abstractNumId w:val="7"/>
  </w:num>
  <w:num w:numId="12" w16cid:durableId="1948535181">
    <w:abstractNumId w:val="5"/>
  </w:num>
  <w:num w:numId="13" w16cid:durableId="208037016">
    <w:abstractNumId w:val="3"/>
  </w:num>
  <w:num w:numId="14" w16cid:durableId="1327592652">
    <w:abstractNumId w:val="1"/>
  </w:num>
  <w:num w:numId="15" w16cid:durableId="19415037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6F"/>
    <w:rsid w:val="00010CF3"/>
    <w:rsid w:val="00011E27"/>
    <w:rsid w:val="000148BC"/>
    <w:rsid w:val="000170AD"/>
    <w:rsid w:val="00024AB8"/>
    <w:rsid w:val="00030854"/>
    <w:rsid w:val="00036028"/>
    <w:rsid w:val="00044642"/>
    <w:rsid w:val="000446B9"/>
    <w:rsid w:val="00047E21"/>
    <w:rsid w:val="00050E16"/>
    <w:rsid w:val="00085505"/>
    <w:rsid w:val="00085B27"/>
    <w:rsid w:val="00090832"/>
    <w:rsid w:val="000C336F"/>
    <w:rsid w:val="000C4E25"/>
    <w:rsid w:val="000C5719"/>
    <w:rsid w:val="000C7021"/>
    <w:rsid w:val="000D6BBC"/>
    <w:rsid w:val="000D7780"/>
    <w:rsid w:val="000E636A"/>
    <w:rsid w:val="000F16BD"/>
    <w:rsid w:val="000F2F11"/>
    <w:rsid w:val="000F77B3"/>
    <w:rsid w:val="00104407"/>
    <w:rsid w:val="00105929"/>
    <w:rsid w:val="00107D1E"/>
    <w:rsid w:val="00110C36"/>
    <w:rsid w:val="001131D5"/>
    <w:rsid w:val="00141DB8"/>
    <w:rsid w:val="00172084"/>
    <w:rsid w:val="0017474A"/>
    <w:rsid w:val="001758C6"/>
    <w:rsid w:val="00182B99"/>
    <w:rsid w:val="0019597F"/>
    <w:rsid w:val="001A34AC"/>
    <w:rsid w:val="00207291"/>
    <w:rsid w:val="0021332C"/>
    <w:rsid w:val="00213982"/>
    <w:rsid w:val="00234D45"/>
    <w:rsid w:val="00235CD2"/>
    <w:rsid w:val="0024416D"/>
    <w:rsid w:val="00271911"/>
    <w:rsid w:val="002800A0"/>
    <w:rsid w:val="002801B3"/>
    <w:rsid w:val="00281060"/>
    <w:rsid w:val="002918F9"/>
    <w:rsid w:val="002940E8"/>
    <w:rsid w:val="00294751"/>
    <w:rsid w:val="00297E9F"/>
    <w:rsid w:val="002A163E"/>
    <w:rsid w:val="002A6E50"/>
    <w:rsid w:val="002B0172"/>
    <w:rsid w:val="002B4298"/>
    <w:rsid w:val="002B436C"/>
    <w:rsid w:val="002B4EBE"/>
    <w:rsid w:val="002B633D"/>
    <w:rsid w:val="002C256A"/>
    <w:rsid w:val="002C3486"/>
    <w:rsid w:val="002D7552"/>
    <w:rsid w:val="002E0AF8"/>
    <w:rsid w:val="002E3654"/>
    <w:rsid w:val="00305A7F"/>
    <w:rsid w:val="003152FE"/>
    <w:rsid w:val="003154E2"/>
    <w:rsid w:val="00327436"/>
    <w:rsid w:val="00327BBA"/>
    <w:rsid w:val="00337C0A"/>
    <w:rsid w:val="00344BD6"/>
    <w:rsid w:val="0035084F"/>
    <w:rsid w:val="0035528D"/>
    <w:rsid w:val="00361821"/>
    <w:rsid w:val="00361E9E"/>
    <w:rsid w:val="00367606"/>
    <w:rsid w:val="0037119D"/>
    <w:rsid w:val="003900D5"/>
    <w:rsid w:val="003A028E"/>
    <w:rsid w:val="003A151C"/>
    <w:rsid w:val="003B70C5"/>
    <w:rsid w:val="003C7FBE"/>
    <w:rsid w:val="003D227C"/>
    <w:rsid w:val="003D2B4D"/>
    <w:rsid w:val="003E39A6"/>
    <w:rsid w:val="003E4693"/>
    <w:rsid w:val="0040557F"/>
    <w:rsid w:val="00444A88"/>
    <w:rsid w:val="004573AD"/>
    <w:rsid w:val="00471A31"/>
    <w:rsid w:val="00474DA4"/>
    <w:rsid w:val="00476B4D"/>
    <w:rsid w:val="004777D2"/>
    <w:rsid w:val="004802FB"/>
    <w:rsid w:val="004805FA"/>
    <w:rsid w:val="0049276A"/>
    <w:rsid w:val="004935D2"/>
    <w:rsid w:val="004B1215"/>
    <w:rsid w:val="004B3938"/>
    <w:rsid w:val="004C38BE"/>
    <w:rsid w:val="004C5AE3"/>
    <w:rsid w:val="004D047D"/>
    <w:rsid w:val="004E08CE"/>
    <w:rsid w:val="004F1E9E"/>
    <w:rsid w:val="004F305A"/>
    <w:rsid w:val="00512164"/>
    <w:rsid w:val="00520297"/>
    <w:rsid w:val="0052260B"/>
    <w:rsid w:val="00533677"/>
    <w:rsid w:val="005338F9"/>
    <w:rsid w:val="0054281C"/>
    <w:rsid w:val="00544581"/>
    <w:rsid w:val="00545E42"/>
    <w:rsid w:val="00547D6D"/>
    <w:rsid w:val="00551A31"/>
    <w:rsid w:val="0055268D"/>
    <w:rsid w:val="00556887"/>
    <w:rsid w:val="00576BE4"/>
    <w:rsid w:val="00593DAF"/>
    <w:rsid w:val="005A0524"/>
    <w:rsid w:val="005A400A"/>
    <w:rsid w:val="005A62BD"/>
    <w:rsid w:val="005A7E33"/>
    <w:rsid w:val="005D1417"/>
    <w:rsid w:val="005E2554"/>
    <w:rsid w:val="005E7EA6"/>
    <w:rsid w:val="005F7B92"/>
    <w:rsid w:val="00612379"/>
    <w:rsid w:val="00614FD9"/>
    <w:rsid w:val="006153B6"/>
    <w:rsid w:val="0061555F"/>
    <w:rsid w:val="0063233A"/>
    <w:rsid w:val="00636CA6"/>
    <w:rsid w:val="00641200"/>
    <w:rsid w:val="00645CA8"/>
    <w:rsid w:val="00657DA1"/>
    <w:rsid w:val="006655D3"/>
    <w:rsid w:val="00667404"/>
    <w:rsid w:val="0067680F"/>
    <w:rsid w:val="00687EB4"/>
    <w:rsid w:val="00695C56"/>
    <w:rsid w:val="006A5CDE"/>
    <w:rsid w:val="006A644A"/>
    <w:rsid w:val="006B17D2"/>
    <w:rsid w:val="006B3826"/>
    <w:rsid w:val="006C224E"/>
    <w:rsid w:val="006D780A"/>
    <w:rsid w:val="006E3B42"/>
    <w:rsid w:val="00710AA6"/>
    <w:rsid w:val="0071271E"/>
    <w:rsid w:val="00721306"/>
    <w:rsid w:val="00732DEC"/>
    <w:rsid w:val="00735171"/>
    <w:rsid w:val="00735BD5"/>
    <w:rsid w:val="00751613"/>
    <w:rsid w:val="007556F6"/>
    <w:rsid w:val="00760EEF"/>
    <w:rsid w:val="007735D7"/>
    <w:rsid w:val="00777314"/>
    <w:rsid w:val="00777EE5"/>
    <w:rsid w:val="007813C4"/>
    <w:rsid w:val="00784836"/>
    <w:rsid w:val="0079023E"/>
    <w:rsid w:val="007906FD"/>
    <w:rsid w:val="007924B4"/>
    <w:rsid w:val="007A2854"/>
    <w:rsid w:val="007B6134"/>
    <w:rsid w:val="007C1D92"/>
    <w:rsid w:val="007C4CB9"/>
    <w:rsid w:val="007D0B9D"/>
    <w:rsid w:val="007D19B0"/>
    <w:rsid w:val="007F0724"/>
    <w:rsid w:val="007F498F"/>
    <w:rsid w:val="0080243B"/>
    <w:rsid w:val="0080679D"/>
    <w:rsid w:val="008108B0"/>
    <w:rsid w:val="00811B20"/>
    <w:rsid w:val="008211B5"/>
    <w:rsid w:val="0082296E"/>
    <w:rsid w:val="00824099"/>
    <w:rsid w:val="00846D7C"/>
    <w:rsid w:val="00864C55"/>
    <w:rsid w:val="00867AC1"/>
    <w:rsid w:val="00890DF8"/>
    <w:rsid w:val="008A743F"/>
    <w:rsid w:val="008B21B9"/>
    <w:rsid w:val="008B3A50"/>
    <w:rsid w:val="008C0970"/>
    <w:rsid w:val="008D0BC5"/>
    <w:rsid w:val="008D189B"/>
    <w:rsid w:val="008D2CF7"/>
    <w:rsid w:val="00900C26"/>
    <w:rsid w:val="0090197F"/>
    <w:rsid w:val="00903242"/>
    <w:rsid w:val="00906DDC"/>
    <w:rsid w:val="00915296"/>
    <w:rsid w:val="00934E09"/>
    <w:rsid w:val="00936253"/>
    <w:rsid w:val="00940D46"/>
    <w:rsid w:val="00952DD4"/>
    <w:rsid w:val="00960AA8"/>
    <w:rsid w:val="00965AE7"/>
    <w:rsid w:val="00970FED"/>
    <w:rsid w:val="009830C3"/>
    <w:rsid w:val="00992D82"/>
    <w:rsid w:val="00997029"/>
    <w:rsid w:val="009A7339"/>
    <w:rsid w:val="009B440E"/>
    <w:rsid w:val="009D690D"/>
    <w:rsid w:val="009E3896"/>
    <w:rsid w:val="009E65B6"/>
    <w:rsid w:val="009F1515"/>
    <w:rsid w:val="00A079B6"/>
    <w:rsid w:val="00A2357B"/>
    <w:rsid w:val="00A24C10"/>
    <w:rsid w:val="00A3425E"/>
    <w:rsid w:val="00A42AC3"/>
    <w:rsid w:val="00A430CF"/>
    <w:rsid w:val="00A451BC"/>
    <w:rsid w:val="00A54309"/>
    <w:rsid w:val="00A706D3"/>
    <w:rsid w:val="00A71548"/>
    <w:rsid w:val="00A71DA4"/>
    <w:rsid w:val="00AA5B5F"/>
    <w:rsid w:val="00AB1A37"/>
    <w:rsid w:val="00AB2623"/>
    <w:rsid w:val="00AB2B93"/>
    <w:rsid w:val="00AB530F"/>
    <w:rsid w:val="00AB5931"/>
    <w:rsid w:val="00AB7E5B"/>
    <w:rsid w:val="00AC2883"/>
    <w:rsid w:val="00AE0EF1"/>
    <w:rsid w:val="00AE2937"/>
    <w:rsid w:val="00AE4CF0"/>
    <w:rsid w:val="00AF6622"/>
    <w:rsid w:val="00AF7C43"/>
    <w:rsid w:val="00B07301"/>
    <w:rsid w:val="00B11F3E"/>
    <w:rsid w:val="00B15EE0"/>
    <w:rsid w:val="00B224DE"/>
    <w:rsid w:val="00B324D4"/>
    <w:rsid w:val="00B33EE5"/>
    <w:rsid w:val="00B453A4"/>
    <w:rsid w:val="00B46575"/>
    <w:rsid w:val="00B607D5"/>
    <w:rsid w:val="00B61777"/>
    <w:rsid w:val="00B76433"/>
    <w:rsid w:val="00B7765C"/>
    <w:rsid w:val="00B84BBD"/>
    <w:rsid w:val="00B967FA"/>
    <w:rsid w:val="00BA43FB"/>
    <w:rsid w:val="00BC127D"/>
    <w:rsid w:val="00BC1FE6"/>
    <w:rsid w:val="00BF5D08"/>
    <w:rsid w:val="00C0234B"/>
    <w:rsid w:val="00C061B6"/>
    <w:rsid w:val="00C2232D"/>
    <w:rsid w:val="00C2446C"/>
    <w:rsid w:val="00C3659B"/>
    <w:rsid w:val="00C36AE5"/>
    <w:rsid w:val="00C41F17"/>
    <w:rsid w:val="00C527FA"/>
    <w:rsid w:val="00C5280D"/>
    <w:rsid w:val="00C53EB3"/>
    <w:rsid w:val="00C5773D"/>
    <w:rsid w:val="00C5791C"/>
    <w:rsid w:val="00C66290"/>
    <w:rsid w:val="00C72B7A"/>
    <w:rsid w:val="00C73DFA"/>
    <w:rsid w:val="00C75A58"/>
    <w:rsid w:val="00C80E3D"/>
    <w:rsid w:val="00C973F2"/>
    <w:rsid w:val="00CA0EC9"/>
    <w:rsid w:val="00CA304C"/>
    <w:rsid w:val="00CA774A"/>
    <w:rsid w:val="00CC11B0"/>
    <w:rsid w:val="00CC2841"/>
    <w:rsid w:val="00CD1DE8"/>
    <w:rsid w:val="00CF1330"/>
    <w:rsid w:val="00CF1B89"/>
    <w:rsid w:val="00CF697F"/>
    <w:rsid w:val="00CF7E36"/>
    <w:rsid w:val="00D076B0"/>
    <w:rsid w:val="00D2047F"/>
    <w:rsid w:val="00D20C27"/>
    <w:rsid w:val="00D30D6F"/>
    <w:rsid w:val="00D3708D"/>
    <w:rsid w:val="00D40426"/>
    <w:rsid w:val="00D41B08"/>
    <w:rsid w:val="00D477AA"/>
    <w:rsid w:val="00D55B95"/>
    <w:rsid w:val="00D57C96"/>
    <w:rsid w:val="00D57D18"/>
    <w:rsid w:val="00D6364A"/>
    <w:rsid w:val="00D6713B"/>
    <w:rsid w:val="00D76A6E"/>
    <w:rsid w:val="00D7712E"/>
    <w:rsid w:val="00D907CA"/>
    <w:rsid w:val="00D91203"/>
    <w:rsid w:val="00D95174"/>
    <w:rsid w:val="00D96195"/>
    <w:rsid w:val="00DA4973"/>
    <w:rsid w:val="00DA6F36"/>
    <w:rsid w:val="00DB596E"/>
    <w:rsid w:val="00DB7773"/>
    <w:rsid w:val="00DC00EA"/>
    <w:rsid w:val="00DC23B9"/>
    <w:rsid w:val="00DC3802"/>
    <w:rsid w:val="00DE20C8"/>
    <w:rsid w:val="00DE333E"/>
    <w:rsid w:val="00DE7CAB"/>
    <w:rsid w:val="00DF0444"/>
    <w:rsid w:val="00E07D87"/>
    <w:rsid w:val="00E10343"/>
    <w:rsid w:val="00E20C36"/>
    <w:rsid w:val="00E2280F"/>
    <w:rsid w:val="00E32F7E"/>
    <w:rsid w:val="00E3507D"/>
    <w:rsid w:val="00E463BE"/>
    <w:rsid w:val="00E5267B"/>
    <w:rsid w:val="00E63C0E"/>
    <w:rsid w:val="00E71CC3"/>
    <w:rsid w:val="00E72D49"/>
    <w:rsid w:val="00E7593C"/>
    <w:rsid w:val="00E7678A"/>
    <w:rsid w:val="00E935F1"/>
    <w:rsid w:val="00E94A81"/>
    <w:rsid w:val="00EA1FFB"/>
    <w:rsid w:val="00EB048E"/>
    <w:rsid w:val="00EB4E9C"/>
    <w:rsid w:val="00EB53E4"/>
    <w:rsid w:val="00EE1635"/>
    <w:rsid w:val="00EE34DF"/>
    <w:rsid w:val="00EE6E70"/>
    <w:rsid w:val="00EF1134"/>
    <w:rsid w:val="00EF2F89"/>
    <w:rsid w:val="00F03E98"/>
    <w:rsid w:val="00F07CC4"/>
    <w:rsid w:val="00F1237A"/>
    <w:rsid w:val="00F15EEC"/>
    <w:rsid w:val="00F22CBD"/>
    <w:rsid w:val="00F272F1"/>
    <w:rsid w:val="00F45372"/>
    <w:rsid w:val="00F560F7"/>
    <w:rsid w:val="00F6334D"/>
    <w:rsid w:val="00F804DB"/>
    <w:rsid w:val="00FA3B04"/>
    <w:rsid w:val="00FA49AB"/>
    <w:rsid w:val="00FA5CAD"/>
    <w:rsid w:val="00FC5979"/>
    <w:rsid w:val="00FE39C7"/>
    <w:rsid w:val="00FE7319"/>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79658"/>
  <w15:docId w15:val="{1E7AD9E7-76C2-45C9-AEC7-AD29C9C3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6D3"/>
    <w:pPr>
      <w:jc w:val="both"/>
    </w:pPr>
    <w:rPr>
      <w:rFonts w:ascii="Arial" w:hAnsi="Arial"/>
      <w:lang w:val="fr-FR"/>
    </w:rPr>
  </w:style>
  <w:style w:type="paragraph" w:styleId="Heading1">
    <w:name w:val="heading 1"/>
    <w:next w:val="Normal"/>
    <w:link w:val="Heading1Char"/>
    <w:autoRedefine/>
    <w:qFormat/>
    <w:rsid w:val="004573AD"/>
    <w:pPr>
      <w:keepNext/>
      <w:jc w:val="both"/>
      <w:outlineLvl w:val="0"/>
    </w:pPr>
    <w:rPr>
      <w:rFonts w:ascii="Arial" w:hAnsi="Arial"/>
      <w:b/>
      <w:bCs/>
      <w:caps/>
      <w:lang w:val="fr-FR"/>
    </w:rPr>
  </w:style>
  <w:style w:type="paragraph" w:styleId="Heading2">
    <w:name w:val="heading 2"/>
    <w:next w:val="Normal"/>
    <w:link w:val="Heading2Char"/>
    <w:autoRedefine/>
    <w:qFormat/>
    <w:rsid w:val="004573AD"/>
    <w:pPr>
      <w:keepNext/>
      <w:jc w:val="both"/>
      <w:outlineLvl w:val="1"/>
    </w:pPr>
    <w:rPr>
      <w:rFonts w:ascii="Arial" w:hAnsi="Arial"/>
      <w:b/>
      <w:bCs/>
      <w:lang w:val="fr-FR"/>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AE2937"/>
    <w:pPr>
      <w:jc w:val="center"/>
    </w:pPr>
    <w:rPr>
      <w:rFonts w:ascii="Arial" w:hAnsi="Arial"/>
      <w:lang w:val="fr-FR"/>
    </w:rPr>
  </w:style>
  <w:style w:type="paragraph" w:styleId="Footer">
    <w:name w:val="footer"/>
    <w:aliases w:val="doc_path_name"/>
    <w:link w:val="FooterChar"/>
    <w:autoRedefine/>
    <w:uiPriority w:val="99"/>
    <w:rsid w:val="009D690D"/>
    <w:pPr>
      <w:jc w:val="both"/>
    </w:pPr>
    <w:rPr>
      <w:rFonts w:ascii="Arial" w:hAnsi="Arial"/>
      <w:sz w:val="14"/>
    </w:rPr>
  </w:style>
  <w:style w:type="character" w:styleId="PageNumber">
    <w:name w:val="page number"/>
    <w:basedOn w:val="DefaultParagraphFont"/>
    <w:rsid w:val="00A71548"/>
    <w:rPr>
      <w:rFonts w:ascii="Arial" w:hAnsi="Arial"/>
      <w:sz w:val="20"/>
      <w:lang w:val="fr-FR"/>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D41B08"/>
    <w:pPr>
      <w:tabs>
        <w:tab w:val="left" w:pos="5387"/>
        <w:tab w:val="left" w:pos="5954"/>
      </w:tabs>
      <w:ind w:left="4820"/>
    </w:pPr>
    <w:rPr>
      <w:i/>
    </w:rPr>
  </w:style>
  <w:style w:type="paragraph" w:styleId="FootnoteText">
    <w:name w:val="footnote text"/>
    <w:link w:val="FootnoteTextChar"/>
    <w:autoRedefine/>
    <w:uiPriority w:val="99"/>
    <w:rsid w:val="00A706D3"/>
    <w:pPr>
      <w:spacing w:before="60"/>
      <w:ind w:left="567" w:hanging="567"/>
      <w:jc w:val="both"/>
    </w:pPr>
    <w:rPr>
      <w:rFonts w:ascii="Arial" w:hAnsi="Arial"/>
      <w:sz w:val="16"/>
      <w:lang w:val="fr-FR"/>
    </w:rPr>
  </w:style>
  <w:style w:type="character" w:styleId="FootnoteReference">
    <w:name w:val="footnote reference"/>
    <w:basedOn w:val="DefaultParagraphFont"/>
    <w:uiPriority w:val="99"/>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903242"/>
    <w:pPr>
      <w:spacing w:after="600"/>
    </w:pPr>
    <w:rPr>
      <w:rFonts w:ascii="Arial" w:hAnsi="Arial"/>
      <w:i/>
      <w:iCs/>
      <w:color w:val="A6A6A6" w:themeColor="background1" w:themeShade="A6"/>
      <w:lang w:val="fr-FR"/>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903242"/>
    <w:pPr>
      <w:spacing w:before="600" w:after="240"/>
      <w:jc w:val="left"/>
    </w:pPr>
    <w:rPr>
      <w:b/>
    </w:rPr>
  </w:style>
  <w:style w:type="paragraph" w:customStyle="1" w:styleId="preparedby1">
    <w:name w:val="prepared_by"/>
    <w:basedOn w:val="preparedby0"/>
    <w:rsid w:val="00A706D3"/>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uiPriority w:val="39"/>
    <w:rsid w:val="00D30D6F"/>
    <w:pPr>
      <w:tabs>
        <w:tab w:val="left" w:pos="1418"/>
        <w:tab w:val="right" w:leader="dot" w:pos="9639"/>
      </w:tabs>
      <w:spacing w:after="120"/>
      <w:ind w:left="1418" w:right="851" w:hanging="1134"/>
      <w:contextualSpacing/>
    </w:pPr>
    <w:rPr>
      <w:rFonts w:ascii="Arial" w:hAnsi="Arial"/>
      <w:noProof/>
      <w:lang w:val="fr-FR"/>
    </w:rPr>
  </w:style>
  <w:style w:type="paragraph" w:styleId="TOC3">
    <w:name w:val="toc 3"/>
    <w:next w:val="Normal"/>
    <w:autoRedefine/>
    <w:uiPriority w:val="39"/>
    <w:rsid w:val="00D41B08"/>
    <w:pPr>
      <w:tabs>
        <w:tab w:val="right" w:leader="dot" w:pos="9639"/>
      </w:tabs>
      <w:spacing w:after="120"/>
      <w:ind w:left="568" w:right="851" w:hanging="284"/>
    </w:pPr>
    <w:rPr>
      <w:rFonts w:ascii="Arial" w:hAnsi="Arial"/>
      <w:sz w:val="18"/>
      <w:lang w:val="fr-FR"/>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D41B08"/>
    <w:pPr>
      <w:tabs>
        <w:tab w:val="right" w:leader="dot" w:pos="9639"/>
      </w:tabs>
      <w:spacing w:after="120"/>
      <w:ind w:left="738" w:right="851" w:hanging="284"/>
    </w:pPr>
    <w:rPr>
      <w:rFonts w:ascii="Arial" w:hAnsi="Arial"/>
      <w:i/>
      <w:sz w:val="18"/>
      <w:lang w:val="fr-FR"/>
    </w:rPr>
  </w:style>
  <w:style w:type="paragraph" w:styleId="TOC1">
    <w:name w:val="toc 1"/>
    <w:next w:val="Normal"/>
    <w:autoRedefine/>
    <w:uiPriority w:val="39"/>
    <w:rsid w:val="00297E9F"/>
    <w:pPr>
      <w:tabs>
        <w:tab w:val="right" w:leader="dot" w:pos="9639"/>
      </w:tabs>
      <w:spacing w:after="120"/>
    </w:pPr>
    <w:rPr>
      <w:rFonts w:ascii="Arial" w:hAnsi="Arial"/>
      <w:caps/>
    </w:rPr>
  </w:style>
  <w:style w:type="paragraph" w:styleId="TOC5">
    <w:name w:val="toc 5"/>
    <w:next w:val="Normal"/>
    <w:autoRedefine/>
    <w:rsid w:val="00D41B08"/>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character" w:customStyle="1" w:styleId="Heading1Char">
    <w:name w:val="Heading 1 Char"/>
    <w:basedOn w:val="DefaultParagraphFont"/>
    <w:link w:val="Heading1"/>
    <w:rsid w:val="004573AD"/>
    <w:rPr>
      <w:rFonts w:ascii="Arial" w:hAnsi="Arial"/>
      <w:b/>
      <w:bCs/>
      <w:caps/>
      <w:lang w:val="fr-FR"/>
    </w:rPr>
  </w:style>
  <w:style w:type="character" w:customStyle="1" w:styleId="Heading2Char">
    <w:name w:val="Heading 2 Char"/>
    <w:basedOn w:val="DefaultParagraphFont"/>
    <w:link w:val="Heading2"/>
    <w:rsid w:val="004573AD"/>
    <w:rPr>
      <w:rFonts w:ascii="Arial" w:hAnsi="Arial"/>
      <w:b/>
      <w:bCs/>
      <w:lang w:val="fr-FR"/>
    </w:rPr>
  </w:style>
  <w:style w:type="character" w:customStyle="1" w:styleId="HeaderChar">
    <w:name w:val="Header Char"/>
    <w:basedOn w:val="DefaultParagraphFont"/>
    <w:link w:val="Header"/>
    <w:uiPriority w:val="99"/>
    <w:rsid w:val="000C336F"/>
    <w:rPr>
      <w:rFonts w:ascii="Arial" w:hAnsi="Arial"/>
      <w:lang w:val="fr-FR"/>
    </w:rPr>
  </w:style>
  <w:style w:type="character" w:customStyle="1" w:styleId="FooterChar">
    <w:name w:val="Footer Char"/>
    <w:aliases w:val="doc_path_name Char"/>
    <w:basedOn w:val="DefaultParagraphFont"/>
    <w:link w:val="Footer"/>
    <w:uiPriority w:val="99"/>
    <w:rsid w:val="000C336F"/>
    <w:rPr>
      <w:rFonts w:ascii="Arial" w:hAnsi="Arial"/>
      <w:sz w:val="14"/>
    </w:rPr>
  </w:style>
  <w:style w:type="paragraph" w:styleId="ListParagraph">
    <w:name w:val="List Paragraph"/>
    <w:basedOn w:val="Normal"/>
    <w:uiPriority w:val="1"/>
    <w:qFormat/>
    <w:rsid w:val="000C336F"/>
    <w:pPr>
      <w:ind w:left="567"/>
      <w:jc w:val="left"/>
    </w:pPr>
    <w:rPr>
      <w:rFonts w:cs="Arial"/>
      <w:sz w:val="22"/>
    </w:rPr>
  </w:style>
  <w:style w:type="paragraph" w:customStyle="1" w:styleId="StylenumerotationpagedegardeLeft063cmHanging001cm">
    <w:name w:val="Style numerotation page de garde + Left:  0.63 cm Hanging:  0.01 cm"/>
    <w:basedOn w:val="Normal"/>
    <w:rsid w:val="000C336F"/>
    <w:pPr>
      <w:numPr>
        <w:numId w:val="1"/>
      </w:numPr>
      <w:tabs>
        <w:tab w:val="left" w:pos="851"/>
      </w:tabs>
      <w:ind w:left="0" w:firstLine="0"/>
      <w:contextualSpacing/>
    </w:pPr>
    <w:rPr>
      <w:snapToGrid w:val="0"/>
    </w:rPr>
  </w:style>
  <w:style w:type="paragraph" w:styleId="Salutation">
    <w:name w:val="Salutation"/>
    <w:basedOn w:val="Normal"/>
    <w:next w:val="Normal"/>
    <w:link w:val="SalutationChar"/>
    <w:rsid w:val="000C336F"/>
    <w:pPr>
      <w:jc w:val="left"/>
    </w:pPr>
    <w:rPr>
      <w:rFonts w:cs="Arial"/>
      <w:sz w:val="22"/>
    </w:rPr>
  </w:style>
  <w:style w:type="character" w:customStyle="1" w:styleId="SalutationChar">
    <w:name w:val="Salutation Char"/>
    <w:basedOn w:val="DefaultParagraphFont"/>
    <w:link w:val="Salutation"/>
    <w:rsid w:val="000C336F"/>
    <w:rPr>
      <w:rFonts w:ascii="Arial" w:hAnsi="Arial" w:cs="Arial"/>
      <w:sz w:val="22"/>
      <w:lang w:val="fr-FR"/>
    </w:rPr>
  </w:style>
  <w:style w:type="paragraph" w:styleId="Caption">
    <w:name w:val="caption"/>
    <w:basedOn w:val="Normal"/>
    <w:next w:val="Normal"/>
    <w:qFormat/>
    <w:rsid w:val="000C336F"/>
    <w:pPr>
      <w:jc w:val="left"/>
    </w:pPr>
    <w:rPr>
      <w:rFonts w:cs="Arial"/>
      <w:b/>
      <w:bCs/>
      <w:sz w:val="18"/>
    </w:rPr>
  </w:style>
  <w:style w:type="paragraph" w:styleId="CommentText">
    <w:name w:val="annotation text"/>
    <w:basedOn w:val="Normal"/>
    <w:link w:val="CommentTextChar"/>
    <w:rsid w:val="000C336F"/>
    <w:pPr>
      <w:jc w:val="left"/>
    </w:pPr>
    <w:rPr>
      <w:rFonts w:cs="Arial"/>
      <w:sz w:val="18"/>
    </w:rPr>
  </w:style>
  <w:style w:type="character" w:customStyle="1" w:styleId="CommentTextChar">
    <w:name w:val="Comment Text Char"/>
    <w:basedOn w:val="DefaultParagraphFont"/>
    <w:link w:val="CommentText"/>
    <w:rsid w:val="000C336F"/>
    <w:rPr>
      <w:rFonts w:ascii="Arial" w:hAnsi="Arial" w:cs="Arial"/>
      <w:sz w:val="18"/>
      <w:lang w:val="fr-FR"/>
    </w:rPr>
  </w:style>
  <w:style w:type="paragraph" w:customStyle="1" w:styleId="ONUMFS">
    <w:name w:val="ONUM FS"/>
    <w:basedOn w:val="BodyText"/>
    <w:rsid w:val="000C336F"/>
    <w:pPr>
      <w:numPr>
        <w:numId w:val="3"/>
      </w:numPr>
      <w:tabs>
        <w:tab w:val="clear" w:pos="567"/>
      </w:tabs>
      <w:spacing w:after="220"/>
      <w:jc w:val="left"/>
    </w:pPr>
    <w:rPr>
      <w:rFonts w:cs="Arial"/>
      <w:sz w:val="22"/>
    </w:rPr>
  </w:style>
  <w:style w:type="paragraph" w:customStyle="1" w:styleId="ONUME">
    <w:name w:val="ONUM E"/>
    <w:basedOn w:val="BodyText"/>
    <w:rsid w:val="000C336F"/>
    <w:pPr>
      <w:numPr>
        <w:numId w:val="2"/>
      </w:numPr>
      <w:tabs>
        <w:tab w:val="clear" w:pos="567"/>
      </w:tabs>
      <w:spacing w:after="220"/>
      <w:jc w:val="left"/>
    </w:pPr>
    <w:rPr>
      <w:rFonts w:cs="Arial"/>
      <w:sz w:val="22"/>
    </w:rPr>
  </w:style>
  <w:style w:type="paragraph" w:styleId="ListNumber">
    <w:name w:val="List Number"/>
    <w:basedOn w:val="Normal"/>
    <w:rsid w:val="000C336F"/>
    <w:pPr>
      <w:numPr>
        <w:numId w:val="4"/>
      </w:numPr>
      <w:tabs>
        <w:tab w:val="clear" w:pos="567"/>
      </w:tabs>
      <w:jc w:val="left"/>
    </w:pPr>
    <w:rPr>
      <w:rFonts w:cs="Arial"/>
      <w:sz w:val="22"/>
    </w:rPr>
  </w:style>
  <w:style w:type="paragraph" w:customStyle="1" w:styleId="Style3">
    <w:name w:val="Style3"/>
    <w:basedOn w:val="Normal"/>
    <w:link w:val="Style3Char"/>
    <w:rsid w:val="000C336F"/>
    <w:pPr>
      <w:spacing w:after="120"/>
    </w:pPr>
    <w:rPr>
      <w:sz w:val="22"/>
    </w:rPr>
  </w:style>
  <w:style w:type="character" w:customStyle="1" w:styleId="Style3Char">
    <w:name w:val="Style3 Char"/>
    <w:link w:val="Style3"/>
    <w:rsid w:val="000C336F"/>
    <w:rPr>
      <w:rFonts w:ascii="Arial" w:hAnsi="Arial"/>
      <w:sz w:val="22"/>
      <w:lang w:val="fr-FR"/>
    </w:rPr>
  </w:style>
  <w:style w:type="paragraph" w:customStyle="1" w:styleId="Style3Bold">
    <w:name w:val="Style3 + Bold"/>
    <w:basedOn w:val="Style3"/>
    <w:rsid w:val="000C336F"/>
    <w:rPr>
      <w:b/>
      <w:bCs/>
    </w:rPr>
  </w:style>
  <w:style w:type="character" w:styleId="SubtleEmphasis">
    <w:name w:val="Subtle Emphasis"/>
    <w:qFormat/>
    <w:rsid w:val="000C336F"/>
    <w:rPr>
      <w:i/>
    </w:rPr>
  </w:style>
  <w:style w:type="paragraph" w:customStyle="1" w:styleId="Marge">
    <w:name w:val="Marge"/>
    <w:basedOn w:val="Normal"/>
    <w:rsid w:val="000C336F"/>
    <w:pPr>
      <w:tabs>
        <w:tab w:val="left" w:pos="567"/>
      </w:tabs>
      <w:snapToGrid w:val="0"/>
      <w:spacing w:after="240"/>
    </w:pPr>
    <w:rPr>
      <w:snapToGrid w:val="0"/>
      <w:sz w:val="22"/>
      <w:szCs w:val="24"/>
    </w:rPr>
  </w:style>
  <w:style w:type="paragraph" w:customStyle="1" w:styleId="Styletexte">
    <w:name w:val="Style texte"/>
    <w:basedOn w:val="Normal"/>
    <w:link w:val="StyletexteChar"/>
    <w:rsid w:val="000C336F"/>
    <w:pPr>
      <w:spacing w:after="120"/>
    </w:pPr>
    <w:rPr>
      <w:sz w:val="22"/>
    </w:rPr>
  </w:style>
  <w:style w:type="character" w:customStyle="1" w:styleId="StyletexteChar">
    <w:name w:val="Style texte Char"/>
    <w:link w:val="Styletexte"/>
    <w:rsid w:val="000C336F"/>
    <w:rPr>
      <w:rFonts w:ascii="Arial" w:hAnsi="Arial"/>
      <w:sz w:val="22"/>
      <w:lang w:val="fr-FR"/>
    </w:rPr>
  </w:style>
  <w:style w:type="paragraph" w:customStyle="1" w:styleId="STYLEDUTEXTE">
    <w:name w:val="STYLE DU TEXTE"/>
    <w:basedOn w:val="Styletexte"/>
    <w:link w:val="STYLEDUTEXTEChar"/>
    <w:rsid w:val="000C336F"/>
    <w:pPr>
      <w:spacing w:after="0"/>
    </w:pPr>
  </w:style>
  <w:style w:type="character" w:customStyle="1" w:styleId="STYLEDUTEXTEChar">
    <w:name w:val="STYLE DU TEXTE Char"/>
    <w:basedOn w:val="StyletexteChar"/>
    <w:link w:val="STYLEDUTEXTE"/>
    <w:rsid w:val="000C336F"/>
    <w:rPr>
      <w:rFonts w:ascii="Arial" w:hAnsi="Arial"/>
      <w:sz w:val="22"/>
      <w:lang w:val="fr-FR"/>
    </w:rPr>
  </w:style>
  <w:style w:type="paragraph" w:customStyle="1" w:styleId="Style1">
    <w:name w:val="Style1"/>
    <w:basedOn w:val="Normal"/>
    <w:link w:val="Style1Char"/>
    <w:rsid w:val="000C336F"/>
    <w:pPr>
      <w:tabs>
        <w:tab w:val="left" w:pos="8640"/>
      </w:tabs>
      <w:jc w:val="left"/>
    </w:pPr>
    <w:rPr>
      <w:rFonts w:cs="Arial"/>
      <w:b/>
      <w:color w:val="333399"/>
      <w:sz w:val="52"/>
      <w:szCs w:val="52"/>
    </w:rPr>
  </w:style>
  <w:style w:type="character" w:customStyle="1" w:styleId="Style1Char">
    <w:name w:val="Style1 Char"/>
    <w:link w:val="Style1"/>
    <w:rsid w:val="000C336F"/>
    <w:rPr>
      <w:rFonts w:ascii="Arial" w:hAnsi="Arial" w:cs="Arial"/>
      <w:b/>
      <w:color w:val="333399"/>
      <w:sz w:val="52"/>
      <w:szCs w:val="52"/>
      <w:lang w:val="fr-FR"/>
    </w:rPr>
  </w:style>
  <w:style w:type="paragraph" w:customStyle="1" w:styleId="numerotationpagedegarde">
    <w:name w:val="numerotation page de garde"/>
    <w:basedOn w:val="ListParagraph"/>
    <w:qFormat/>
    <w:rsid w:val="000C336F"/>
    <w:pPr>
      <w:tabs>
        <w:tab w:val="left" w:pos="851"/>
      </w:tabs>
      <w:ind w:left="0"/>
      <w:contextualSpacing/>
      <w:jc w:val="both"/>
    </w:pPr>
    <w:rPr>
      <w:rFonts w:cs="Times New Roman"/>
      <w:snapToGrid w:val="0"/>
      <w:sz w:val="20"/>
    </w:rPr>
  </w:style>
  <w:style w:type="character" w:styleId="BookTitle">
    <w:name w:val="Book Title"/>
    <w:basedOn w:val="DefaultParagraphFont"/>
    <w:uiPriority w:val="33"/>
    <w:qFormat/>
    <w:rsid w:val="000C336F"/>
    <w:rPr>
      <w:b/>
      <w:bCs/>
      <w:smallCaps/>
      <w:spacing w:val="5"/>
    </w:rPr>
  </w:style>
  <w:style w:type="paragraph" w:customStyle="1" w:styleId="Default">
    <w:name w:val="Default"/>
    <w:rsid w:val="000C336F"/>
    <w:pPr>
      <w:autoSpaceDE w:val="0"/>
      <w:autoSpaceDN w:val="0"/>
      <w:adjustRightInd w:val="0"/>
    </w:pPr>
    <w:rPr>
      <w:rFonts w:ascii="Arial" w:hAnsi="Arial" w:cs="Arial"/>
      <w:color w:val="000000"/>
      <w:sz w:val="24"/>
      <w:szCs w:val="24"/>
      <w:lang w:val="fr-FR"/>
    </w:rPr>
  </w:style>
  <w:style w:type="paragraph" w:customStyle="1" w:styleId="Heading2Notes">
    <w:name w:val="Heading 2_Notes"/>
    <w:basedOn w:val="Heading2"/>
    <w:qFormat/>
    <w:rsid w:val="000C336F"/>
    <w:rPr>
      <w:rFonts w:ascii="Arial Bold" w:hAnsi="Arial Bold"/>
      <w:b w:val="0"/>
      <w:caps/>
    </w:rPr>
  </w:style>
  <w:style w:type="paragraph" w:styleId="TOCHeading">
    <w:name w:val="TOC Heading"/>
    <w:basedOn w:val="Heading1"/>
    <w:next w:val="Normal"/>
    <w:uiPriority w:val="39"/>
    <w:unhideWhenUsed/>
    <w:qFormat/>
    <w:rsid w:val="000C336F"/>
    <w:pPr>
      <w:keepLines/>
      <w:spacing w:before="240" w:line="259" w:lineRule="auto"/>
      <w:jc w:val="left"/>
      <w:outlineLvl w:val="9"/>
    </w:pPr>
    <w:rPr>
      <w:rFonts w:asciiTheme="majorHAnsi" w:eastAsiaTheme="majorEastAsia" w:hAnsiTheme="majorHAnsi" w:cstheme="majorBidi"/>
      <w:caps w:val="0"/>
      <w:color w:val="365F91" w:themeColor="accent1" w:themeShade="BF"/>
      <w:sz w:val="32"/>
      <w:szCs w:val="32"/>
    </w:rPr>
  </w:style>
  <w:style w:type="paragraph" w:styleId="NormalWeb">
    <w:name w:val="Normal (Web)"/>
    <w:basedOn w:val="Normal"/>
    <w:uiPriority w:val="99"/>
    <w:unhideWhenUsed/>
    <w:rsid w:val="000C336F"/>
    <w:pPr>
      <w:spacing w:before="100" w:beforeAutospacing="1" w:after="100" w:afterAutospacing="1"/>
      <w:jc w:val="left"/>
    </w:pPr>
    <w:rPr>
      <w:rFonts w:ascii="Times New Roman" w:hAnsi="Times New Roman"/>
      <w:sz w:val="24"/>
      <w:szCs w:val="24"/>
    </w:rPr>
  </w:style>
  <w:style w:type="character" w:styleId="CommentReference">
    <w:name w:val="annotation reference"/>
    <w:basedOn w:val="DefaultParagraphFont"/>
    <w:semiHidden/>
    <w:unhideWhenUsed/>
    <w:rsid w:val="000C336F"/>
    <w:rPr>
      <w:sz w:val="16"/>
      <w:szCs w:val="16"/>
    </w:rPr>
  </w:style>
  <w:style w:type="paragraph" w:styleId="CommentSubject">
    <w:name w:val="annotation subject"/>
    <w:basedOn w:val="CommentText"/>
    <w:next w:val="CommentText"/>
    <w:link w:val="CommentSubjectChar"/>
    <w:semiHidden/>
    <w:unhideWhenUsed/>
    <w:rsid w:val="000C336F"/>
    <w:pPr>
      <w:jc w:val="both"/>
    </w:pPr>
    <w:rPr>
      <w:rFonts w:cs="Times New Roman"/>
      <w:b/>
      <w:bCs/>
      <w:sz w:val="20"/>
    </w:rPr>
  </w:style>
  <w:style w:type="character" w:customStyle="1" w:styleId="CommentSubjectChar">
    <w:name w:val="Comment Subject Char"/>
    <w:basedOn w:val="CommentTextChar"/>
    <w:link w:val="CommentSubject"/>
    <w:semiHidden/>
    <w:rsid w:val="000C336F"/>
    <w:rPr>
      <w:rFonts w:ascii="Arial" w:hAnsi="Arial" w:cs="Arial"/>
      <w:b/>
      <w:bCs/>
      <w:sz w:val="18"/>
      <w:lang w:val="fr-FR"/>
    </w:rPr>
  </w:style>
  <w:style w:type="character" w:styleId="Emphasis">
    <w:name w:val="Emphasis"/>
    <w:basedOn w:val="DefaultParagraphFont"/>
    <w:uiPriority w:val="20"/>
    <w:qFormat/>
    <w:rsid w:val="000C336F"/>
    <w:rPr>
      <w:i/>
      <w:iCs/>
    </w:rPr>
  </w:style>
  <w:style w:type="paragraph" w:styleId="Revision">
    <w:name w:val="Revision"/>
    <w:hidden/>
    <w:uiPriority w:val="99"/>
    <w:semiHidden/>
    <w:rsid w:val="000C336F"/>
    <w:rPr>
      <w:rFonts w:ascii="Arial" w:hAnsi="Arial"/>
      <w:lang w:val="fr-FR"/>
    </w:rPr>
  </w:style>
  <w:style w:type="character" w:customStyle="1" w:styleId="FootnoteTextChar">
    <w:name w:val="Footnote Text Char"/>
    <w:basedOn w:val="DefaultParagraphFont"/>
    <w:link w:val="FootnoteText"/>
    <w:uiPriority w:val="99"/>
    <w:rsid w:val="000C336F"/>
    <w:rPr>
      <w:rFonts w:ascii="Arial" w:hAnsi="Arial"/>
      <w:sz w:val="16"/>
      <w:lang w:val="fr-FR"/>
    </w:rPr>
  </w:style>
  <w:style w:type="numbering" w:customStyle="1" w:styleId="CurrentList1">
    <w:name w:val="Current List1"/>
    <w:uiPriority w:val="99"/>
    <w:rsid w:val="000C336F"/>
  </w:style>
  <w:style w:type="numbering" w:customStyle="1" w:styleId="CurrentList2">
    <w:name w:val="Current List2"/>
    <w:uiPriority w:val="99"/>
    <w:rsid w:val="000C336F"/>
    <w:pPr>
      <w:numPr>
        <w:numId w:val="12"/>
      </w:numPr>
    </w:pPr>
  </w:style>
  <w:style w:type="character" w:styleId="Strong">
    <w:name w:val="Strong"/>
    <w:basedOn w:val="DefaultParagraphFont"/>
    <w:uiPriority w:val="22"/>
    <w:qFormat/>
    <w:rsid w:val="000C336F"/>
    <w:rPr>
      <w:b/>
      <w:bCs/>
    </w:rPr>
  </w:style>
  <w:style w:type="character" w:customStyle="1" w:styleId="ui-provider">
    <w:name w:val="ui-provider"/>
    <w:basedOn w:val="DefaultParagraphFont"/>
    <w:rsid w:val="000C336F"/>
  </w:style>
  <w:style w:type="character" w:styleId="UnresolvedMention">
    <w:name w:val="Unresolved Mention"/>
    <w:basedOn w:val="DefaultParagraphFont"/>
    <w:uiPriority w:val="99"/>
    <w:semiHidden/>
    <w:unhideWhenUsed/>
    <w:rsid w:val="00522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header" Target="header3.xml"/><Relationship Id="rId50" Type="http://schemas.openxmlformats.org/officeDocument/2006/relationships/footer" Target="footer2.xm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6.emf"/><Relationship Id="rId11" Type="http://schemas.openxmlformats.org/officeDocument/2006/relationships/endnotes" Target="endnotes.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header" Target="header6.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header" Target="header4.xm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20" Type="http://schemas.openxmlformats.org/officeDocument/2006/relationships/image" Target="media/image7.emf"/><Relationship Id="rId41" Type="http://schemas.openxmlformats.org/officeDocument/2006/relationships/image" Target="media/image28.emf"/><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heiia.org/globalassets/site/about-us/advocacy/three-lines-model-upd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9C5E7A8-316C-45C6-A6AA-7F614D4D6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6564C-A779-4D3C-9869-4C3C354F0B95}">
  <ds:schemaRefs>
    <ds:schemaRef ds:uri="http://schemas.microsoft.com/sharepoint/v3/contenttype/forms"/>
  </ds:schemaRefs>
</ds:datastoreItem>
</file>

<file path=customXml/itemProps3.xml><?xml version="1.0" encoding="utf-8"?>
<ds:datastoreItem xmlns:ds="http://schemas.openxmlformats.org/officeDocument/2006/customXml" ds:itemID="{E4F30A20-A401-4601-A73E-AC5A94429C88}">
  <ds:schemaRefs>
    <ds:schemaRef ds:uri="Microsoft.SharePoint.Taxonomy.ContentTypeSync"/>
  </ds:schemaRefs>
</ds:datastoreItem>
</file>

<file path=customXml/itemProps4.xml><?xml version="1.0" encoding="utf-8"?>
<ds:datastoreItem xmlns:ds="http://schemas.openxmlformats.org/officeDocument/2006/customXml" ds:itemID="{132DF7EC-4A40-449C-8F24-D1E0321759C4}">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5.xml><?xml version="1.0" encoding="utf-8"?>
<ds:datastoreItem xmlns:ds="http://schemas.openxmlformats.org/officeDocument/2006/customXml" ds:itemID="{18DAA446-D00B-42CE-96E9-A5F52858A71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36</Pages>
  <Words>12359</Words>
  <Characters>68227</Characters>
  <Application>Microsoft Office Word</Application>
  <DocSecurity>0</DocSecurity>
  <Lines>1483</Lines>
  <Paragraphs>455</Paragraphs>
  <ScaleCrop>false</ScaleCrop>
  <HeadingPairs>
    <vt:vector size="2" baseType="variant">
      <vt:variant>
        <vt:lpstr>Title</vt:lpstr>
      </vt:variant>
      <vt:variant>
        <vt:i4>1</vt:i4>
      </vt:variant>
    </vt:vector>
  </HeadingPairs>
  <TitlesOfParts>
    <vt:vector size="1" baseType="lpstr">
      <vt:lpstr>C/60/9</vt:lpstr>
    </vt:vector>
  </TitlesOfParts>
  <Company>UPOV</Company>
  <LinksUpToDate>false</LinksUpToDate>
  <CharactersWithSpaces>80131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C/60/9</dc:title>
  <dc:subject>UPOV Financial Statements 2025</dc:subject>
  <dc:creator>UPOV</dc:creator>
  <cp:lastModifiedBy>SANCHEZ VIZCAINO GOMEZ Rosa Maria</cp:lastModifiedBy>
  <cp:revision>53</cp:revision>
  <cp:lastPrinted>2016-11-22T15:41:00Z</cp:lastPrinted>
  <dcterms:created xsi:type="dcterms:W3CDTF">2026-07-20T14:12:00Z</dcterms:created>
  <dcterms:modified xsi:type="dcterms:W3CDTF">2026-08-12T09:59:00Z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a605f1da-400d-4930-aa34-13a587915890</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MSIP_Label_20773ee6-353b-4fb9-a59d-0b94c8c67bea_Enabled">
    <vt:lpwstr>true</vt:lpwstr>
  </property>
  <property fmtid="{D5CDD505-2E9C-101B-9397-08002B2CF9AE}" pid="17" name="MSIP_Label_20773ee6-353b-4fb9-a59d-0b94c8c67bea_SetDate">
    <vt:lpwstr>2026-07-15T08:41:58Z</vt:lpwstr>
  </property>
  <property fmtid="{D5CDD505-2E9C-101B-9397-08002B2CF9AE}" pid="18" name="MSIP_Label_20773ee6-353b-4fb9-a59d-0b94c8c67bea_Method">
    <vt:lpwstr>Privileged</vt:lpwstr>
  </property>
  <property fmtid="{D5CDD505-2E9C-101B-9397-08002B2CF9AE}" pid="19" name="MSIP_Label_20773ee6-353b-4fb9-a59d-0b94c8c67bea_Name">
    <vt:lpwstr>No markings</vt:lpwstr>
  </property>
  <property fmtid="{D5CDD505-2E9C-101B-9397-08002B2CF9AE}" pid="20" name="MSIP_Label_20773ee6-353b-4fb9-a59d-0b94c8c67bea_SiteId">
    <vt:lpwstr>faa31b06-8ccc-48c9-867f-f7510dd11c02</vt:lpwstr>
  </property>
  <property fmtid="{D5CDD505-2E9C-101B-9397-08002B2CF9AE}" pid="21" name="MSIP_Label_20773ee6-353b-4fb9-a59d-0b94c8c67bea_ActionId">
    <vt:lpwstr>e1c0dafd-0f8d-4ab4-8c0a-a2fbe884e7bf</vt:lpwstr>
  </property>
  <property fmtid="{D5CDD505-2E9C-101B-9397-08002B2CF9AE}" pid="22" name="MSIP_Label_20773ee6-353b-4fb9-a59d-0b94c8c67bea_ContentBits">
    <vt:lpwstr>0</vt:lpwstr>
  </property>
  <property fmtid="{D5CDD505-2E9C-101B-9397-08002B2CF9AE}" pid="23" name="MSIP_Label_20773ee6-353b-4fb9-a59d-0b94c8c67bea_Tag">
    <vt:lpwstr>10, 0, 1, 1</vt:lpwstr>
  </property>
  <property fmtid="{D5CDD505-2E9C-101B-9397-08002B2CF9AE}" pid="24" name="OutSourcing">
    <vt:bool>false</vt:bool>
  </property>
  <property fmtid="{D5CDD505-2E9C-101B-9397-08002B2CF9AE}" pid="25" name="Order">
    <vt:r8>1108900</vt:r8>
  </property>
  <property fmtid="{D5CDD505-2E9C-101B-9397-08002B2CF9AE}" pid="26" name="xd_Signature">
    <vt:bool>false</vt:bool>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TriggerFlowInfo">
    <vt:lpwstr/>
  </property>
  <property fmtid="{D5CDD505-2E9C-101B-9397-08002B2CF9AE}" pid="31" name="DocClassification">
    <vt:lpwstr>Processed</vt:lpwstr>
  </property>
  <property fmtid="{D5CDD505-2E9C-101B-9397-08002B2CF9AE}" pid="32" name="RMClassification">
    <vt:lpwstr>4</vt:lpwstr>
  </property>
  <property fmtid="{D5CDD505-2E9C-101B-9397-08002B2CF9AE}" pid="33" name="ECCM_Year">
    <vt:lpwstr>721</vt:lpwstr>
  </property>
  <property fmtid="{D5CDD505-2E9C-101B-9397-08002B2CF9AE}" pid="34" name="docLang">
    <vt:lpwstr>fr</vt:lpwstr>
  </property>
</Properties>
</file>