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618"/>
        <w:gridCol w:w="3163"/>
      </w:tblGrid>
      <w:tr w:rsidR="00DC3802" w:rsidRPr="000D50F3" w14:paraId="5684A2F8" w14:textId="77777777" w:rsidTr="00EB4E9C">
        <w:tc>
          <w:tcPr>
            <w:tcW w:w="6522" w:type="dxa"/>
          </w:tcPr>
          <w:p w14:paraId="6AB2C564" w14:textId="0B074F33" w:rsidR="00DC3802" w:rsidRPr="000D50F3" w:rsidRDefault="00CA7BA1" w:rsidP="00AC2883">
            <w:r w:rsidRPr="000D50F3">
              <w:rPr>
                <w:noProof/>
              </w:rPr>
              <w:drawing>
                <wp:inline distT="0" distB="0" distL="0" distR="0" wp14:anchorId="35E1AB1C" wp14:editId="2D6E156F">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674B8044" w14:textId="061AA62D" w:rsidR="00DC3802" w:rsidRPr="000D50F3" w:rsidRDefault="000D50F3" w:rsidP="00AC2883">
            <w:pPr>
              <w:pStyle w:val="Lettrine"/>
            </w:pPr>
            <w:r w:rsidRPr="000D50F3">
              <w:t>F</w:t>
            </w:r>
          </w:p>
        </w:tc>
      </w:tr>
      <w:tr w:rsidR="00DC3802" w:rsidRPr="000D50F3" w14:paraId="7ABFAA6A" w14:textId="77777777" w:rsidTr="00645CA8">
        <w:trPr>
          <w:trHeight w:val="219"/>
        </w:trPr>
        <w:tc>
          <w:tcPr>
            <w:tcW w:w="6522" w:type="dxa"/>
          </w:tcPr>
          <w:p w14:paraId="396CDE02" w14:textId="77777777" w:rsidR="00DC3802" w:rsidRPr="000D50F3" w:rsidRDefault="00DC3802" w:rsidP="00AC2883">
            <w:pPr>
              <w:pStyle w:val="upove"/>
            </w:pPr>
            <w:r w:rsidRPr="000D50F3">
              <w:t>Union internationale pour la protection des obtentions végétales</w:t>
            </w:r>
          </w:p>
        </w:tc>
        <w:tc>
          <w:tcPr>
            <w:tcW w:w="3117" w:type="dxa"/>
          </w:tcPr>
          <w:p w14:paraId="208DCB5E" w14:textId="77777777" w:rsidR="00DC3802" w:rsidRPr="000D50F3" w:rsidRDefault="00DC3802" w:rsidP="00DA4973"/>
        </w:tc>
      </w:tr>
    </w:tbl>
    <w:p w14:paraId="25F99979" w14:textId="77777777" w:rsidR="00DC3802" w:rsidRPr="000D50F3" w:rsidRDefault="00DC3802" w:rsidP="00DC3802"/>
    <w:p w14:paraId="73817F43" w14:textId="77777777" w:rsidR="00DA4973" w:rsidRPr="000D50F3"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608"/>
        <w:gridCol w:w="3173"/>
      </w:tblGrid>
      <w:tr w:rsidR="00EB4E9C" w:rsidRPr="000D50F3" w14:paraId="44EBF235" w14:textId="77777777" w:rsidTr="00EB4E9C">
        <w:tc>
          <w:tcPr>
            <w:tcW w:w="6512" w:type="dxa"/>
          </w:tcPr>
          <w:p w14:paraId="49FC120B" w14:textId="77777777" w:rsidR="00EB4E9C" w:rsidRPr="000D50F3" w:rsidRDefault="00A3365A" w:rsidP="00AC2883">
            <w:pPr>
              <w:pStyle w:val="Sessiontc"/>
              <w:spacing w:line="240" w:lineRule="auto"/>
            </w:pPr>
            <w:r w:rsidRPr="000D50F3">
              <w:t>Conseil</w:t>
            </w:r>
          </w:p>
          <w:p w14:paraId="664D0EA1" w14:textId="77777777" w:rsidR="0083359E" w:rsidRPr="000D50F3" w:rsidRDefault="00B451A8" w:rsidP="0051361E">
            <w:pPr>
              <w:pStyle w:val="Sessiontcplacedate"/>
            </w:pPr>
            <w:r w:rsidRPr="000D50F3">
              <w:t xml:space="preserve">Soixantième </w:t>
            </w:r>
            <w:r w:rsidR="00EB4E9C" w:rsidRPr="000D50F3">
              <w:t>session</w:t>
            </w:r>
            <w:r w:rsidR="00A3365A" w:rsidRPr="000D50F3">
              <w:t xml:space="preserve"> ordinaire</w:t>
            </w:r>
          </w:p>
          <w:p w14:paraId="35372023" w14:textId="77777777" w:rsidR="00EB4E9C" w:rsidRPr="000D50F3" w:rsidRDefault="00EB4E9C" w:rsidP="00E364BF">
            <w:pPr>
              <w:pStyle w:val="Sessiontcplacedate"/>
              <w:rPr>
                <w:sz w:val="22"/>
              </w:rPr>
            </w:pPr>
            <w:r w:rsidRPr="000D50F3">
              <w:t xml:space="preserve">Genève, </w:t>
            </w:r>
            <w:r w:rsidR="0020304B" w:rsidRPr="000D50F3">
              <w:t>le</w:t>
            </w:r>
            <w:r w:rsidR="00B451A8" w:rsidRPr="000D50F3">
              <w:t xml:space="preserve"> 23</w:t>
            </w:r>
            <w:r w:rsidR="0020304B" w:rsidRPr="000D50F3">
              <w:t xml:space="preserve"> octobre</w:t>
            </w:r>
            <w:r w:rsidR="00B451A8" w:rsidRPr="000D50F3">
              <w:t xml:space="preserve"> 2026</w:t>
            </w:r>
          </w:p>
        </w:tc>
        <w:tc>
          <w:tcPr>
            <w:tcW w:w="3127" w:type="dxa"/>
          </w:tcPr>
          <w:p w14:paraId="1ED8BCE7" w14:textId="2C367439" w:rsidR="00EB4E9C" w:rsidRPr="000D50F3" w:rsidRDefault="005C2BC9" w:rsidP="003C7FBE">
            <w:pPr>
              <w:pStyle w:val="Doccode"/>
              <w:rPr>
                <w:lang w:val="fr-FR"/>
              </w:rPr>
            </w:pPr>
            <w:r w:rsidRPr="000D50F3">
              <w:rPr>
                <w:lang w:val="fr-FR"/>
              </w:rPr>
              <w:t>C/60/1</w:t>
            </w:r>
          </w:p>
          <w:p w14:paraId="7BD3A9C1" w14:textId="77777777" w:rsidR="00EB4E9C" w:rsidRPr="000D50F3" w:rsidRDefault="00EB4E9C" w:rsidP="003C7FBE">
            <w:pPr>
              <w:pStyle w:val="Docoriginal"/>
            </w:pPr>
            <w:r w:rsidRPr="000D50F3">
              <w:t xml:space="preserve">Original : </w:t>
            </w:r>
            <w:r w:rsidRPr="000D50F3">
              <w:rPr>
                <w:b w:val="0"/>
                <w:spacing w:val="0"/>
              </w:rPr>
              <w:t>anglais</w:t>
            </w:r>
          </w:p>
          <w:p w14:paraId="02244807" w14:textId="0B467F1C" w:rsidR="00EB4E9C" w:rsidRPr="000D50F3" w:rsidRDefault="00EB4E9C" w:rsidP="00E364BF">
            <w:pPr>
              <w:pStyle w:val="Docoriginal"/>
            </w:pPr>
            <w:proofErr w:type="gramStart"/>
            <w:r w:rsidRPr="000D50F3">
              <w:t>Date:</w:t>
            </w:r>
            <w:proofErr w:type="gramEnd"/>
            <w:r w:rsidRPr="000D50F3">
              <w:rPr>
                <w:b w:val="0"/>
                <w:spacing w:val="0"/>
              </w:rPr>
              <w:t xml:space="preserve">  </w:t>
            </w:r>
            <w:r w:rsidR="001168B7" w:rsidRPr="00B5251D">
              <w:rPr>
                <w:b w:val="0"/>
                <w:spacing w:val="0"/>
              </w:rPr>
              <w:t>1</w:t>
            </w:r>
            <w:r w:rsidR="006934AE" w:rsidRPr="00B5251D">
              <w:rPr>
                <w:b w:val="0"/>
                <w:spacing w:val="0"/>
              </w:rPr>
              <w:t>6</w:t>
            </w:r>
            <w:r w:rsidR="001168B7" w:rsidRPr="00B5251D">
              <w:rPr>
                <w:b w:val="0"/>
                <w:spacing w:val="0"/>
              </w:rPr>
              <w:t xml:space="preserve"> juin</w:t>
            </w:r>
            <w:r w:rsidR="00B451A8" w:rsidRPr="00B5251D">
              <w:rPr>
                <w:b w:val="0"/>
                <w:spacing w:val="0"/>
              </w:rPr>
              <w:t xml:space="preserve"> 2026</w:t>
            </w:r>
          </w:p>
        </w:tc>
      </w:tr>
    </w:tbl>
    <w:p w14:paraId="37877E50" w14:textId="77777777" w:rsidR="005C2BC9" w:rsidRPr="000D50F3" w:rsidRDefault="005C2BC9" w:rsidP="005C2BC9">
      <w:pPr>
        <w:pStyle w:val="Titleofdoc0"/>
      </w:pPr>
      <w:r w:rsidRPr="000D50F3">
        <w:t>Projet d’ordre du jour annoté</w:t>
      </w:r>
    </w:p>
    <w:p w14:paraId="677CC1EE" w14:textId="5C114763" w:rsidR="006A644A" w:rsidRPr="000D50F3" w:rsidRDefault="0061555F" w:rsidP="006A644A">
      <w:pPr>
        <w:pStyle w:val="preparedby1"/>
        <w:jc w:val="left"/>
      </w:pPr>
      <w:r w:rsidRPr="000D50F3">
        <w:t>préparé par le Bureau de l’Union</w:t>
      </w:r>
    </w:p>
    <w:p w14:paraId="72F8C7F8" w14:textId="77777777" w:rsidR="000D50F3" w:rsidRPr="000D50F3" w:rsidRDefault="000D50F3" w:rsidP="000D50F3">
      <w:pPr>
        <w:pStyle w:val="Disclaimer"/>
        <w:rPr>
          <w:lang w:val="fr-FR"/>
        </w:rPr>
      </w:pPr>
      <w:r w:rsidRPr="000D50F3">
        <w:rPr>
          <w:lang w:val="fr-FR"/>
        </w:rPr>
        <w:t>Avertissement : le présent document ne représente pas les principes ou les orientations de l’UPOV.</w:t>
      </w:r>
      <w:r w:rsidRPr="000D50F3">
        <w:rPr>
          <w:lang w:val="fr-FR"/>
        </w:rPr>
        <w:br/>
      </w:r>
      <w:r w:rsidRPr="000D50F3">
        <w:rPr>
          <w:lang w:val="fr-FR"/>
        </w:rPr>
        <w:br/>
        <w:t>Ce document a été généré à l'aide d'une traduction automatique dont l'exactitude ne peut être garantie. Par conséquent, le texte dans la langue originale est la seule version authentique.</w:t>
      </w:r>
    </w:p>
    <w:p w14:paraId="52425531" w14:textId="77777777" w:rsidR="001168B7" w:rsidRPr="000D50F3" w:rsidRDefault="001168B7" w:rsidP="001168B7">
      <w:pPr>
        <w:pStyle w:val="agendaitemtitle"/>
        <w:jc w:val="left"/>
      </w:pPr>
      <w:r w:rsidRPr="000D50F3">
        <w:fldChar w:fldCharType="begin"/>
      </w:r>
      <w:r w:rsidRPr="000D50F3">
        <w:instrText xml:space="preserve"> AUTONUM  </w:instrText>
      </w:r>
      <w:r w:rsidRPr="000D50F3">
        <w:fldChar w:fldCharType="end"/>
      </w:r>
      <w:r w:rsidRPr="000D50F3">
        <w:tab/>
        <w:t>Ouverture de la session</w:t>
      </w:r>
    </w:p>
    <w:p w14:paraId="55CB126A" w14:textId="77777777" w:rsidR="001168B7" w:rsidRPr="000D50F3" w:rsidRDefault="001168B7" w:rsidP="001168B7">
      <w:pPr>
        <w:jc w:val="left"/>
      </w:pPr>
    </w:p>
    <w:p w14:paraId="6A8E4FA3" w14:textId="4335C488" w:rsidR="001168B7" w:rsidRPr="000D50F3" w:rsidRDefault="001168B7" w:rsidP="001168B7">
      <w:pPr>
        <w:ind w:firstLine="567"/>
        <w:jc w:val="left"/>
        <w:rPr>
          <w:spacing w:val="-2"/>
        </w:rPr>
      </w:pPr>
      <w:r w:rsidRPr="000D50F3">
        <w:t xml:space="preserve">Le </w:t>
      </w:r>
      <w:r w:rsidR="000D50F3" w:rsidRPr="000D50F3">
        <w:rPr>
          <w:spacing w:val="-2"/>
        </w:rPr>
        <w:t xml:space="preserve">Secrétaire </w:t>
      </w:r>
      <w:r w:rsidRPr="000D50F3">
        <w:rPr>
          <w:spacing w:val="-2"/>
        </w:rPr>
        <w:t>général prononcera une allocution d'ouverture devant le Conseil.</w:t>
      </w:r>
    </w:p>
    <w:p w14:paraId="709205F7" w14:textId="77777777" w:rsidR="001168B7" w:rsidRPr="00130657" w:rsidRDefault="001168B7" w:rsidP="001168B7">
      <w:pPr>
        <w:jc w:val="left"/>
        <w:rPr>
          <w:sz w:val="18"/>
          <w:szCs w:val="18"/>
        </w:rPr>
      </w:pPr>
    </w:p>
    <w:p w14:paraId="2CFBC832" w14:textId="77777777" w:rsidR="001168B7" w:rsidRPr="00130657" w:rsidRDefault="001168B7" w:rsidP="001168B7">
      <w:pPr>
        <w:jc w:val="left"/>
        <w:rPr>
          <w:sz w:val="18"/>
          <w:szCs w:val="18"/>
        </w:rPr>
      </w:pPr>
    </w:p>
    <w:p w14:paraId="523BFC8E" w14:textId="77777777" w:rsidR="001168B7" w:rsidRPr="000D50F3" w:rsidRDefault="001168B7" w:rsidP="001168B7">
      <w:pPr>
        <w:pStyle w:val="agendaitemtitle"/>
        <w:jc w:val="left"/>
      </w:pPr>
      <w:r w:rsidRPr="000D50F3">
        <w:fldChar w:fldCharType="begin"/>
      </w:r>
      <w:r w:rsidRPr="000D50F3">
        <w:instrText xml:space="preserve"> AUTONUM  </w:instrText>
      </w:r>
      <w:r w:rsidRPr="000D50F3">
        <w:fldChar w:fldCharType="end"/>
      </w:r>
      <w:r w:rsidRPr="000D50F3">
        <w:tab/>
        <w:t>Adoption de l'ordre du jour</w:t>
      </w:r>
    </w:p>
    <w:p w14:paraId="6254BDFB" w14:textId="77777777" w:rsidR="001168B7" w:rsidRPr="00130657" w:rsidRDefault="001168B7" w:rsidP="001168B7">
      <w:pPr>
        <w:jc w:val="left"/>
        <w:rPr>
          <w:sz w:val="18"/>
          <w:szCs w:val="18"/>
        </w:rPr>
      </w:pPr>
    </w:p>
    <w:p w14:paraId="680943B0" w14:textId="77777777" w:rsidR="001168B7" w:rsidRPr="00130657" w:rsidRDefault="001168B7" w:rsidP="001168B7">
      <w:pPr>
        <w:jc w:val="left"/>
        <w:rPr>
          <w:sz w:val="18"/>
          <w:szCs w:val="18"/>
        </w:rPr>
      </w:pPr>
    </w:p>
    <w:p w14:paraId="4F0A038A" w14:textId="1856EFBE" w:rsidR="001168B7" w:rsidRPr="000D50F3" w:rsidRDefault="001168B7" w:rsidP="00887102">
      <w:pPr>
        <w:pStyle w:val="agendaitemtitle"/>
        <w:jc w:val="left"/>
      </w:pPr>
      <w:r w:rsidRPr="000D50F3">
        <w:fldChar w:fldCharType="begin"/>
      </w:r>
      <w:r w:rsidRPr="000D50F3">
        <w:instrText xml:space="preserve"> AUTONUM  </w:instrText>
      </w:r>
      <w:r w:rsidRPr="000D50F3">
        <w:fldChar w:fldCharType="end"/>
      </w:r>
      <w:r w:rsidRPr="000D50F3">
        <w:tab/>
        <w:t xml:space="preserve">Nomination du </w:t>
      </w:r>
      <w:r w:rsidR="000D50F3" w:rsidRPr="000D50F3">
        <w:t xml:space="preserve">Secrétaire </w:t>
      </w:r>
      <w:r w:rsidRPr="000D50F3">
        <w:t xml:space="preserve">général </w:t>
      </w:r>
      <w:r w:rsidRPr="000D50F3">
        <w:rPr>
          <w:b w:val="0"/>
          <w:bCs w:val="0"/>
          <w:color w:val="auto"/>
        </w:rPr>
        <w:t xml:space="preserve">(document C/60/4) </w:t>
      </w:r>
    </w:p>
    <w:p w14:paraId="4E36AC3C" w14:textId="77777777" w:rsidR="001168B7" w:rsidRPr="000D50F3" w:rsidRDefault="001168B7" w:rsidP="001168B7">
      <w:pPr>
        <w:ind w:left="567"/>
        <w:jc w:val="left"/>
      </w:pPr>
    </w:p>
    <w:p w14:paraId="227A513E" w14:textId="2B06205E" w:rsidR="001168B7" w:rsidRPr="000D50F3" w:rsidRDefault="001168B7" w:rsidP="00B652F1">
      <w:pPr>
        <w:ind w:left="567"/>
      </w:pPr>
      <w:r w:rsidRPr="000D50F3">
        <w:t xml:space="preserve">L'Assemblée générale de l'OMPI a nommé, le 21 avril 2026, M. Daren Tang au poste de </w:t>
      </w:r>
      <w:r w:rsidR="000D50F3" w:rsidRPr="000D50F3">
        <w:t>Directeur</w:t>
      </w:r>
      <w:r w:rsidR="000D50F3">
        <w:t> </w:t>
      </w:r>
      <w:r w:rsidRPr="000D50F3">
        <w:t>général de l'OMPI pour un mandat allant du 1</w:t>
      </w:r>
      <w:r w:rsidRPr="000D50F3">
        <w:rPr>
          <w:vertAlign w:val="superscript"/>
        </w:rPr>
        <w:t>er</w:t>
      </w:r>
      <w:r w:rsidR="000D50F3">
        <w:t xml:space="preserve"> </w:t>
      </w:r>
      <w:r w:rsidRPr="000D50F3">
        <w:t>octobre 2026 au 30 septembre 2032. Conformément à la Convention UPOV et à l’Accord OMPI/UPOV, le Conseil sera invité à nommer M.</w:t>
      </w:r>
      <w:r w:rsidR="000D50F3">
        <w:t> </w:t>
      </w:r>
      <w:r w:rsidRPr="000D50F3">
        <w:t xml:space="preserve">Daren Tang au poste de </w:t>
      </w:r>
      <w:r w:rsidR="000D50F3" w:rsidRPr="000D50F3">
        <w:t xml:space="preserve">Secrétaire </w:t>
      </w:r>
      <w:r w:rsidRPr="000D50F3">
        <w:t>général de l’UPOV pour la période allant du 23 octobre 2026 au 30 septembre 2032.</w:t>
      </w:r>
    </w:p>
    <w:p w14:paraId="498B6A06" w14:textId="77777777" w:rsidR="001168B7" w:rsidRPr="00130657" w:rsidRDefault="001168B7" w:rsidP="001168B7">
      <w:pPr>
        <w:jc w:val="left"/>
        <w:rPr>
          <w:sz w:val="18"/>
          <w:szCs w:val="18"/>
        </w:rPr>
      </w:pPr>
    </w:p>
    <w:p w14:paraId="046F525B" w14:textId="77777777" w:rsidR="001168B7" w:rsidRPr="00130657" w:rsidRDefault="001168B7" w:rsidP="001168B7">
      <w:pPr>
        <w:jc w:val="left"/>
        <w:rPr>
          <w:sz w:val="18"/>
          <w:szCs w:val="18"/>
        </w:rPr>
      </w:pPr>
    </w:p>
    <w:p w14:paraId="3DB72F4C" w14:textId="1216F04B" w:rsidR="001168B7" w:rsidRPr="000D50F3" w:rsidRDefault="001168B7" w:rsidP="001168B7">
      <w:pPr>
        <w:pStyle w:val="agendaitemtitle"/>
        <w:jc w:val="left"/>
        <w:rPr>
          <w:snapToGrid w:val="0"/>
        </w:rPr>
      </w:pPr>
      <w:r w:rsidRPr="000D50F3">
        <w:fldChar w:fldCharType="begin"/>
      </w:r>
      <w:r w:rsidRPr="000D50F3">
        <w:instrText xml:space="preserve"> AUTONUM  </w:instrText>
      </w:r>
      <w:r w:rsidRPr="000D50F3">
        <w:fldChar w:fldCharType="end"/>
      </w:r>
      <w:r w:rsidRPr="000D50F3">
        <w:tab/>
      </w:r>
      <w:r w:rsidR="000D50F3" w:rsidRPr="000D50F3">
        <w:rPr>
          <w:snapToGrid w:val="0"/>
        </w:rPr>
        <w:t>Faits nouveaux intervenus à</w:t>
      </w:r>
      <w:r w:rsidRPr="000D50F3">
        <w:rPr>
          <w:snapToGrid w:val="0"/>
        </w:rPr>
        <w:t xml:space="preserve"> l’UPOV et aperçu des questions pertinentes pour le Conseil</w:t>
      </w:r>
    </w:p>
    <w:p w14:paraId="379E3FF7" w14:textId="77777777" w:rsidR="001168B7" w:rsidRPr="000D50F3" w:rsidRDefault="001168B7" w:rsidP="001168B7">
      <w:pPr>
        <w:ind w:firstLine="567"/>
        <w:jc w:val="left"/>
        <w:rPr>
          <w:snapToGrid w:val="0"/>
        </w:rPr>
      </w:pPr>
      <w:r w:rsidRPr="000D50F3">
        <w:rPr>
          <w:snapToGrid w:val="0"/>
        </w:rPr>
        <w:t xml:space="preserve">(document </w:t>
      </w:r>
      <w:r w:rsidRPr="000D50F3">
        <w:t>SESSIONS/2026/1</w:t>
      </w:r>
      <w:r w:rsidRPr="000D50F3">
        <w:rPr>
          <w:snapToGrid w:val="0"/>
        </w:rPr>
        <w:t>)</w:t>
      </w:r>
    </w:p>
    <w:p w14:paraId="4D08B9E7" w14:textId="77777777" w:rsidR="001168B7" w:rsidRPr="000D50F3" w:rsidRDefault="001168B7" w:rsidP="001168B7">
      <w:pPr>
        <w:ind w:left="567" w:hanging="567"/>
        <w:jc w:val="left"/>
        <w:rPr>
          <w:rFonts w:cs="Arial"/>
          <w:snapToGrid w:val="0"/>
        </w:rPr>
      </w:pPr>
    </w:p>
    <w:p w14:paraId="62D09E38" w14:textId="187D8216" w:rsidR="001168B7" w:rsidRPr="000D50F3" w:rsidRDefault="001168B7" w:rsidP="000D50F3">
      <w:pPr>
        <w:ind w:left="567"/>
      </w:pPr>
      <w:r w:rsidRPr="000D50F3">
        <w:rPr>
          <w:rFonts w:cs="Arial"/>
          <w:snapToGrid w:val="0"/>
        </w:rPr>
        <w:t xml:space="preserve">Une présentation sera faite sur les questions stratégiques, accompagnée d’une vidéo sur </w:t>
      </w:r>
      <w:r w:rsidR="000D50F3">
        <w:rPr>
          <w:rFonts w:cs="Arial"/>
          <w:snapToGrid w:val="0"/>
        </w:rPr>
        <w:t xml:space="preserve">les faits nouveaux intervenus à </w:t>
      </w:r>
      <w:r w:rsidRPr="000D50F3">
        <w:rPr>
          <w:rFonts w:cs="Arial"/>
          <w:snapToGrid w:val="0"/>
        </w:rPr>
        <w:t>l’UPOV.</w:t>
      </w:r>
    </w:p>
    <w:p w14:paraId="7852B93C" w14:textId="77777777" w:rsidR="001168B7" w:rsidRPr="00130657" w:rsidRDefault="001168B7" w:rsidP="001168B7">
      <w:pPr>
        <w:jc w:val="left"/>
        <w:rPr>
          <w:sz w:val="18"/>
          <w:szCs w:val="18"/>
        </w:rPr>
      </w:pPr>
    </w:p>
    <w:p w14:paraId="18992C69" w14:textId="77777777" w:rsidR="001168B7" w:rsidRPr="00130657" w:rsidRDefault="001168B7" w:rsidP="001168B7">
      <w:pPr>
        <w:jc w:val="left"/>
        <w:rPr>
          <w:sz w:val="18"/>
          <w:szCs w:val="18"/>
        </w:rPr>
      </w:pPr>
    </w:p>
    <w:p w14:paraId="47496421" w14:textId="30F77ACD" w:rsidR="001168B7" w:rsidRPr="000D50F3" w:rsidRDefault="001168B7" w:rsidP="001168B7">
      <w:pPr>
        <w:pStyle w:val="agendaitemtitle"/>
        <w:jc w:val="left"/>
      </w:pPr>
      <w:r w:rsidRPr="000D50F3">
        <w:fldChar w:fldCharType="begin"/>
      </w:r>
      <w:r w:rsidRPr="000D50F3">
        <w:instrText xml:space="preserve"> AUTONUM  </w:instrText>
      </w:r>
      <w:r w:rsidRPr="000D50F3">
        <w:fldChar w:fldCharType="end"/>
      </w:r>
      <w:r w:rsidRPr="000D50F3">
        <w:tab/>
        <w:t>Examen de la conformité de la législation ou d</w:t>
      </w:r>
      <w:r w:rsidR="000D50F3">
        <w:t>u</w:t>
      </w:r>
      <w:r w:rsidRPr="000D50F3">
        <w:t xml:space="preserve"> projet de législation de tout État ou organisation ayant présenté une demande </w:t>
      </w:r>
      <w:r w:rsidR="000D50F3">
        <w:t xml:space="preserve">selon </w:t>
      </w:r>
      <w:r w:rsidRPr="000D50F3">
        <w:t>l’article 34.3 de l’Acte de 1991 de la Convention UPOV</w:t>
      </w:r>
    </w:p>
    <w:p w14:paraId="6593115D" w14:textId="77777777" w:rsidR="001168B7" w:rsidRPr="000D50F3" w:rsidRDefault="001168B7" w:rsidP="001168B7">
      <w:pPr>
        <w:ind w:left="567" w:hanging="567"/>
        <w:jc w:val="left"/>
      </w:pPr>
    </w:p>
    <w:p w14:paraId="560E12A5" w14:textId="67144606" w:rsidR="001168B7" w:rsidRPr="000D50F3" w:rsidRDefault="001168B7" w:rsidP="001168B7">
      <w:pPr>
        <w:ind w:left="567"/>
        <w:jc w:val="left"/>
      </w:pPr>
      <w:r w:rsidRPr="000D50F3">
        <w:t xml:space="preserve">Si aucune demande n’a été reçue </w:t>
      </w:r>
      <w:r w:rsidR="000D50F3">
        <w:t xml:space="preserve">d’ici </w:t>
      </w:r>
      <w:r w:rsidRPr="000D50F3">
        <w:t>au 21 septembre 2026, ce point de l’ordre du jour sera supprimé.</w:t>
      </w:r>
    </w:p>
    <w:p w14:paraId="74EE396D" w14:textId="77777777" w:rsidR="001168B7" w:rsidRPr="00130657" w:rsidRDefault="001168B7" w:rsidP="001168B7">
      <w:pPr>
        <w:jc w:val="left"/>
        <w:rPr>
          <w:sz w:val="18"/>
          <w:szCs w:val="18"/>
        </w:rPr>
      </w:pPr>
    </w:p>
    <w:p w14:paraId="721E039B" w14:textId="77777777" w:rsidR="001168B7" w:rsidRPr="00130657" w:rsidRDefault="001168B7" w:rsidP="001168B7">
      <w:pPr>
        <w:ind w:left="567" w:hanging="567"/>
        <w:jc w:val="left"/>
        <w:rPr>
          <w:sz w:val="18"/>
          <w:szCs w:val="18"/>
        </w:rPr>
      </w:pPr>
    </w:p>
    <w:p w14:paraId="047D38A4" w14:textId="67DD7114" w:rsidR="001168B7" w:rsidRPr="000D50F3" w:rsidRDefault="001168B7" w:rsidP="001168B7">
      <w:pPr>
        <w:pStyle w:val="agendaitemtitle"/>
        <w:jc w:val="left"/>
        <w:rPr>
          <w:color w:val="336600"/>
        </w:rPr>
      </w:pPr>
      <w:r w:rsidRPr="000D50F3">
        <w:rPr>
          <w:snapToGrid w:val="0"/>
        </w:rPr>
        <w:fldChar w:fldCharType="begin"/>
      </w:r>
      <w:r w:rsidRPr="000D50F3">
        <w:rPr>
          <w:snapToGrid w:val="0"/>
        </w:rPr>
        <w:instrText xml:space="preserve"> AUTONUM  </w:instrText>
      </w:r>
      <w:r w:rsidRPr="000D50F3">
        <w:rPr>
          <w:snapToGrid w:val="0"/>
        </w:rPr>
        <w:fldChar w:fldCharType="end"/>
      </w:r>
      <w:r w:rsidRPr="000D50F3">
        <w:rPr>
          <w:snapToGrid w:val="0"/>
        </w:rPr>
        <w:tab/>
      </w:r>
      <w:r w:rsidR="000D50F3">
        <w:t xml:space="preserve">Rapport </w:t>
      </w:r>
      <w:r w:rsidRPr="000D50F3">
        <w:t xml:space="preserve">du président sur les travaux de la cent quatrième session du Comité consultatif; </w:t>
      </w:r>
      <w:r w:rsidRPr="000D50F3">
        <w:rPr>
          <w:color w:val="336600"/>
        </w:rPr>
        <w:t>adoption</w:t>
      </w:r>
      <w:r w:rsidR="000D50F3">
        <w:rPr>
          <w:color w:val="336600"/>
        </w:rPr>
        <w:t>, le cas échéant,</w:t>
      </w:r>
      <w:r w:rsidRPr="000D50F3">
        <w:rPr>
          <w:color w:val="336600"/>
        </w:rPr>
        <w:t xml:space="preserve"> des recommandations préparées par ce comité</w:t>
      </w:r>
    </w:p>
    <w:p w14:paraId="52F28B46" w14:textId="17D41A86" w:rsidR="001168B7" w:rsidRPr="000D50F3" w:rsidRDefault="001168B7" w:rsidP="001168B7">
      <w:pPr>
        <w:pStyle w:val="agendaitemtitle"/>
        <w:ind w:left="1134"/>
        <w:jc w:val="left"/>
        <w:rPr>
          <w:b w:val="0"/>
          <w:bCs w:val="0"/>
          <w:color w:val="000000" w:themeColor="text1"/>
        </w:rPr>
      </w:pPr>
      <w:r w:rsidRPr="000D50F3">
        <w:rPr>
          <w:b w:val="0"/>
          <w:bCs w:val="0"/>
          <w:color w:val="auto"/>
        </w:rPr>
        <w:t>(</w:t>
      </w:r>
      <w:r w:rsidRPr="000D50F3">
        <w:rPr>
          <w:b w:val="0"/>
          <w:bCs w:val="0"/>
          <w:color w:val="000000" w:themeColor="text1"/>
        </w:rPr>
        <w:t xml:space="preserve">document CC/104/xx </w:t>
      </w:r>
      <w:r w:rsidR="000D50F3">
        <w:rPr>
          <w:b w:val="0"/>
          <w:bCs w:val="0"/>
          <w:color w:val="000000" w:themeColor="text1"/>
        </w:rPr>
        <w:t>“</w:t>
      </w:r>
      <w:r w:rsidRPr="000D50F3">
        <w:rPr>
          <w:b w:val="0"/>
          <w:bCs w:val="0"/>
          <w:color w:val="000000" w:themeColor="text1"/>
        </w:rPr>
        <w:t>Compte rendu</w:t>
      </w:r>
      <w:r w:rsidR="000D50F3">
        <w:rPr>
          <w:b w:val="0"/>
          <w:bCs w:val="0"/>
          <w:color w:val="000000" w:themeColor="text1"/>
        </w:rPr>
        <w:t>”</w:t>
      </w:r>
      <w:r w:rsidRPr="000D50F3">
        <w:rPr>
          <w:b w:val="0"/>
          <w:bCs w:val="0"/>
          <w:color w:val="000000" w:themeColor="text1"/>
        </w:rPr>
        <w:t>)</w:t>
      </w:r>
    </w:p>
    <w:p w14:paraId="3DD5CFE6" w14:textId="77777777" w:rsidR="001168B7" w:rsidRPr="00130657" w:rsidRDefault="001168B7" w:rsidP="001168B7">
      <w:pPr>
        <w:pStyle w:val="agendaitemtitle"/>
        <w:jc w:val="left"/>
        <w:rPr>
          <w:b w:val="0"/>
          <w:bCs w:val="0"/>
          <w:color w:val="auto"/>
          <w:sz w:val="18"/>
          <w:szCs w:val="18"/>
        </w:rPr>
      </w:pPr>
    </w:p>
    <w:p w14:paraId="4E9591BB" w14:textId="77777777" w:rsidR="001168B7" w:rsidRPr="00130657" w:rsidRDefault="001168B7" w:rsidP="001168B7">
      <w:pPr>
        <w:ind w:left="567" w:hanging="567"/>
        <w:jc w:val="left"/>
        <w:rPr>
          <w:sz w:val="18"/>
          <w:szCs w:val="18"/>
        </w:rPr>
      </w:pPr>
    </w:p>
    <w:bookmarkStart w:id="0" w:name="_Hlk193966668"/>
    <w:p w14:paraId="5B049158" w14:textId="64845952" w:rsidR="001168B7" w:rsidRPr="000D50F3" w:rsidRDefault="001168B7" w:rsidP="00130657">
      <w:pPr>
        <w:pStyle w:val="agendaitemtitle"/>
        <w:keepNext/>
        <w:jc w:val="left"/>
      </w:pPr>
      <w:r w:rsidRPr="000D50F3">
        <w:fldChar w:fldCharType="begin"/>
      </w:r>
      <w:r w:rsidRPr="000D50F3">
        <w:instrText xml:space="preserve"> AUTONUM  </w:instrText>
      </w:r>
      <w:r w:rsidRPr="000D50F3">
        <w:fldChar w:fldCharType="end"/>
      </w:r>
      <w:r w:rsidRPr="000D50F3">
        <w:tab/>
        <w:t xml:space="preserve">États financiers de l’UPOV pour 2025 </w:t>
      </w:r>
      <w:r w:rsidRPr="000D50F3">
        <w:rPr>
          <w:color w:val="005E00"/>
        </w:rPr>
        <w:t xml:space="preserve">et </w:t>
      </w:r>
      <w:r w:rsidR="00130657" w:rsidRPr="00130657">
        <w:rPr>
          <w:color w:val="005E00"/>
        </w:rPr>
        <w:t xml:space="preserve">Rapport annuel du régime d’assurance maladie après la cessation de service de l’OMPI/UPOV pour l’exercice clos </w:t>
      </w:r>
      <w:r w:rsidR="00130657">
        <w:rPr>
          <w:color w:val="005E00"/>
        </w:rPr>
        <w:t xml:space="preserve">au </w:t>
      </w:r>
      <w:r w:rsidRPr="000D50F3">
        <w:rPr>
          <w:color w:val="005E00"/>
        </w:rPr>
        <w:t xml:space="preserve">31 décembre 2025 </w:t>
      </w:r>
      <w:r w:rsidR="00130657">
        <w:rPr>
          <w:color w:val="005E00"/>
        </w:rPr>
        <w:br/>
      </w:r>
      <w:r w:rsidRPr="000D50F3">
        <w:rPr>
          <w:b w:val="0"/>
          <w:bCs w:val="0"/>
          <w:color w:val="auto"/>
        </w:rPr>
        <w:t>(documents C/60/9 et C/60/13)</w:t>
      </w:r>
    </w:p>
    <w:p w14:paraId="5948B1B6" w14:textId="77777777" w:rsidR="001168B7" w:rsidRPr="000D50F3" w:rsidRDefault="001168B7" w:rsidP="001168B7">
      <w:pPr>
        <w:pStyle w:val="agendaitemtitle"/>
        <w:keepNext/>
        <w:jc w:val="left"/>
      </w:pPr>
    </w:p>
    <w:p w14:paraId="54D67DAA" w14:textId="77777777" w:rsidR="001168B7" w:rsidRPr="000D50F3" w:rsidRDefault="001168B7" w:rsidP="001168B7">
      <w:pPr>
        <w:ind w:left="567"/>
        <w:jc w:val="left"/>
      </w:pPr>
      <w:r w:rsidRPr="000D50F3">
        <w:t>Le Conseil sera invité à examiner et à approuver les documents suivants :</w:t>
      </w:r>
    </w:p>
    <w:p w14:paraId="439FC7D6" w14:textId="77777777" w:rsidR="001168B7" w:rsidRPr="000D50F3" w:rsidRDefault="001168B7" w:rsidP="001168B7">
      <w:pPr>
        <w:ind w:left="567"/>
        <w:jc w:val="left"/>
      </w:pPr>
    </w:p>
    <w:p w14:paraId="63C237DA" w14:textId="11A0C3C5" w:rsidR="001168B7" w:rsidRPr="000D50F3" w:rsidRDefault="001168B7" w:rsidP="001168B7">
      <w:pPr>
        <w:ind w:left="1134" w:hanging="567"/>
        <w:jc w:val="left"/>
      </w:pPr>
      <w:r w:rsidRPr="000D50F3">
        <w:t>a)</w:t>
      </w:r>
      <w:r w:rsidRPr="000D50F3">
        <w:tab/>
        <w:t>États financiers de l’UPOV pour 2025; et</w:t>
      </w:r>
    </w:p>
    <w:p w14:paraId="2CE5A19B" w14:textId="14E452E3" w:rsidR="001168B7" w:rsidRPr="000D50F3" w:rsidRDefault="001168B7" w:rsidP="001168B7">
      <w:pPr>
        <w:ind w:left="1134" w:hanging="567"/>
        <w:jc w:val="left"/>
      </w:pPr>
      <w:r w:rsidRPr="000D50F3">
        <w:t>b)</w:t>
      </w:r>
      <w:r w:rsidRPr="000D50F3">
        <w:tab/>
      </w:r>
      <w:r w:rsidR="00130657" w:rsidRPr="00130657">
        <w:t xml:space="preserve">Rapport annuel du régime d’assurance maladie après la cessation de service de l’OMPI/UPOV </w:t>
      </w:r>
      <w:r w:rsidR="00130657" w:rsidRPr="00C17920">
        <w:t>pour l’exercice clos au</w:t>
      </w:r>
      <w:r w:rsidR="008F75A6" w:rsidRPr="00C17920">
        <w:t xml:space="preserve"> </w:t>
      </w:r>
      <w:r w:rsidRPr="00C17920">
        <w:t>31 décembre 2025.</w:t>
      </w:r>
      <w:r w:rsidRPr="000D50F3">
        <w:t xml:space="preserve"> </w:t>
      </w:r>
    </w:p>
    <w:p w14:paraId="00757102" w14:textId="77777777" w:rsidR="001168B7" w:rsidRPr="000D50F3" w:rsidRDefault="001168B7" w:rsidP="001168B7">
      <w:pPr>
        <w:ind w:left="567" w:hanging="567"/>
        <w:jc w:val="left"/>
      </w:pPr>
    </w:p>
    <w:p w14:paraId="347D07F5" w14:textId="77777777" w:rsidR="001168B7" w:rsidRPr="000D50F3" w:rsidRDefault="001168B7" w:rsidP="001168B7">
      <w:pPr>
        <w:ind w:left="567" w:hanging="567"/>
        <w:jc w:val="left"/>
      </w:pPr>
    </w:p>
    <w:p w14:paraId="3BA71E9E" w14:textId="22353AF1" w:rsidR="001168B7" w:rsidRPr="000D50F3" w:rsidRDefault="001168B7" w:rsidP="001168B7">
      <w:pPr>
        <w:pStyle w:val="agendaitemtitle"/>
        <w:keepNext/>
        <w:jc w:val="left"/>
      </w:pPr>
      <w:r w:rsidRPr="000D50F3">
        <w:fldChar w:fldCharType="begin"/>
      </w:r>
      <w:r w:rsidRPr="000D50F3">
        <w:instrText xml:space="preserve"> AUTONUM  </w:instrText>
      </w:r>
      <w:r w:rsidRPr="000D50F3">
        <w:fldChar w:fldCharType="end"/>
      </w:r>
      <w:r w:rsidRPr="000D50F3">
        <w:tab/>
        <w:t xml:space="preserve">Rapport sur la performance de l’UPOV </w:t>
      </w:r>
      <w:r w:rsidR="00130657">
        <w:t>en</w:t>
      </w:r>
      <w:r w:rsidRPr="000D50F3">
        <w:t xml:space="preserve"> 2024-2025 </w:t>
      </w:r>
      <w:r w:rsidRPr="000D50F3">
        <w:rPr>
          <w:b w:val="0"/>
          <w:bCs w:val="0"/>
          <w:color w:val="auto"/>
        </w:rPr>
        <w:t xml:space="preserve">(document C/60/2) </w:t>
      </w:r>
      <w:r w:rsidRPr="000D50F3">
        <w:br/>
      </w:r>
    </w:p>
    <w:p w14:paraId="154E65DC" w14:textId="73C2FEC2" w:rsidR="001168B7" w:rsidRPr="000D50F3" w:rsidRDefault="001168B7" w:rsidP="00B652F1">
      <w:pPr>
        <w:shd w:val="clear" w:color="auto" w:fill="FFFFFF" w:themeFill="background1"/>
        <w:ind w:left="567"/>
      </w:pPr>
      <w:bookmarkStart w:id="1" w:name="_Hlk198644678"/>
      <w:r w:rsidRPr="000D50F3">
        <w:t xml:space="preserve">Le Conseil sera invité à </w:t>
      </w:r>
      <w:r w:rsidRPr="000D50F3">
        <w:rPr>
          <w:snapToGrid w:val="0"/>
        </w:rPr>
        <w:t xml:space="preserve">prendre note du rapport sur la performance de l’UPOV pour l’exercice biennal 2024-2025 (UPR).  </w:t>
      </w:r>
      <w:r w:rsidRPr="000D50F3">
        <w:t xml:space="preserve">L’UPR comprendra un aperçu des statistiques relatives aux demandes et aux titres </w:t>
      </w:r>
      <w:r w:rsidR="000D50F3">
        <w:t>octroyés</w:t>
      </w:r>
      <w:r w:rsidRPr="000D50F3">
        <w:t xml:space="preserve"> dans les membres de l’UPOV. </w:t>
      </w:r>
    </w:p>
    <w:bookmarkEnd w:id="1"/>
    <w:p w14:paraId="7BA66B9B" w14:textId="77777777" w:rsidR="001168B7" w:rsidRPr="000D50F3" w:rsidRDefault="001168B7" w:rsidP="001168B7">
      <w:pPr>
        <w:ind w:left="567" w:hanging="567"/>
        <w:jc w:val="left"/>
      </w:pPr>
    </w:p>
    <w:p w14:paraId="3A7B0C79" w14:textId="77777777" w:rsidR="001168B7" w:rsidRPr="000D50F3" w:rsidRDefault="001168B7" w:rsidP="001168B7">
      <w:pPr>
        <w:ind w:left="567" w:hanging="567"/>
        <w:jc w:val="left"/>
      </w:pPr>
    </w:p>
    <w:p w14:paraId="1D9A5ED7" w14:textId="420587ED" w:rsidR="001168B7" w:rsidRPr="000D50F3" w:rsidRDefault="001168B7" w:rsidP="001168B7">
      <w:pPr>
        <w:pStyle w:val="agendaitemtitle"/>
      </w:pPr>
      <w:r w:rsidRPr="000D50F3">
        <w:fldChar w:fldCharType="begin"/>
      </w:r>
      <w:r w:rsidRPr="000D50F3">
        <w:instrText xml:space="preserve"> AUTONUM  </w:instrText>
      </w:r>
      <w:r w:rsidRPr="000D50F3">
        <w:fldChar w:fldCharType="end"/>
      </w:r>
      <w:r w:rsidRPr="000D50F3">
        <w:tab/>
        <w:t xml:space="preserve">Rapport du vérificateur externe des comptes </w:t>
      </w:r>
      <w:r w:rsidRPr="000D50F3">
        <w:rPr>
          <w:b w:val="0"/>
          <w:bCs w:val="0"/>
          <w:color w:val="auto"/>
        </w:rPr>
        <w:t>(documents C/60/10 et C/60/14)</w:t>
      </w:r>
    </w:p>
    <w:p w14:paraId="463532A0" w14:textId="77777777" w:rsidR="001168B7" w:rsidRPr="000D50F3" w:rsidRDefault="001168B7" w:rsidP="001168B7">
      <w:pPr>
        <w:jc w:val="left"/>
      </w:pPr>
    </w:p>
    <w:p w14:paraId="01E3F9C6" w14:textId="301DD70E" w:rsidR="001168B7" w:rsidRPr="000D50F3" w:rsidRDefault="001168B7" w:rsidP="00130657">
      <w:pPr>
        <w:ind w:left="567" w:right="-142"/>
        <w:jc w:val="left"/>
      </w:pPr>
      <w:r w:rsidRPr="000D50F3">
        <w:t xml:space="preserve">La Commission d'audit de la République d'Indonésie (BPK) présentera les </w:t>
      </w:r>
      <w:r w:rsidR="00130657">
        <w:t>rapports</w:t>
      </w:r>
      <w:r w:rsidRPr="000D50F3">
        <w:t xml:space="preserve"> suivants au Conseil</w:t>
      </w:r>
      <w:r w:rsidR="00130657">
        <w:t> </w:t>
      </w:r>
      <w:r w:rsidRPr="000D50F3">
        <w:t>:</w:t>
      </w:r>
    </w:p>
    <w:p w14:paraId="21F1C5A6" w14:textId="77777777" w:rsidR="001168B7" w:rsidRPr="000D50F3" w:rsidRDefault="001168B7" w:rsidP="001168B7">
      <w:pPr>
        <w:ind w:left="567"/>
        <w:jc w:val="left"/>
      </w:pPr>
    </w:p>
    <w:p w14:paraId="533824EF" w14:textId="22B02933" w:rsidR="001168B7" w:rsidRPr="000D50F3" w:rsidRDefault="001168B7" w:rsidP="001168B7">
      <w:pPr>
        <w:ind w:left="1134" w:hanging="567"/>
        <w:contextualSpacing/>
        <w:jc w:val="left"/>
      </w:pPr>
      <w:r w:rsidRPr="000D50F3">
        <w:t>a)</w:t>
      </w:r>
      <w:r w:rsidRPr="000D50F3">
        <w:tab/>
      </w:r>
      <w:r w:rsidR="00130657">
        <w:t>Rapport</w:t>
      </w:r>
      <w:r w:rsidR="00130657" w:rsidRPr="000D50F3">
        <w:t xml:space="preserve"> </w:t>
      </w:r>
      <w:r w:rsidRPr="000D50F3">
        <w:t>du vérificateur externe des comptes sur les états financiers de l’UPOV pour 2025</w:t>
      </w:r>
    </w:p>
    <w:p w14:paraId="2BEDB513" w14:textId="53E4FB09" w:rsidR="001168B7" w:rsidRPr="000D50F3" w:rsidRDefault="001168B7" w:rsidP="001168B7">
      <w:pPr>
        <w:ind w:left="1134" w:right="-142" w:hanging="567"/>
        <w:contextualSpacing/>
        <w:jc w:val="left"/>
      </w:pPr>
      <w:r w:rsidRPr="000D50F3">
        <w:t>(b)</w:t>
      </w:r>
      <w:r w:rsidRPr="000D50F3">
        <w:tab/>
      </w:r>
      <w:r w:rsidR="00130657">
        <w:t>Rapport</w:t>
      </w:r>
      <w:r w:rsidRPr="000D50F3">
        <w:t xml:space="preserve"> du vérificateur externe des comptes sur le régime d’assurance maladie après la cessation de service (ASHIP) de l’OMPI/UPOV</w:t>
      </w:r>
    </w:p>
    <w:p w14:paraId="594861FB" w14:textId="77777777" w:rsidR="001168B7" w:rsidRPr="000D50F3" w:rsidRDefault="001168B7" w:rsidP="001168B7">
      <w:pPr>
        <w:ind w:left="1134" w:hanging="567"/>
        <w:contextualSpacing/>
        <w:jc w:val="left"/>
      </w:pPr>
    </w:p>
    <w:p w14:paraId="48E3D058" w14:textId="70FEACA8" w:rsidR="001168B7" w:rsidRPr="000D50F3" w:rsidRDefault="001168B7" w:rsidP="001168B7">
      <w:pPr>
        <w:shd w:val="clear" w:color="auto" w:fill="FFFFFF" w:themeFill="background1"/>
        <w:ind w:firstLine="567"/>
        <w:jc w:val="left"/>
      </w:pPr>
      <w:r w:rsidRPr="000D50F3">
        <w:t xml:space="preserve">Le Conseil sera invité à prendre note des informations contenues dans ces </w:t>
      </w:r>
      <w:r w:rsidR="00130657">
        <w:t>rapports</w:t>
      </w:r>
      <w:r w:rsidRPr="000D50F3">
        <w:t>.</w:t>
      </w:r>
    </w:p>
    <w:p w14:paraId="66BCAAF7" w14:textId="77777777" w:rsidR="001168B7" w:rsidRPr="000D50F3" w:rsidRDefault="001168B7" w:rsidP="001168B7">
      <w:pPr>
        <w:ind w:left="567" w:hanging="567"/>
        <w:jc w:val="left"/>
      </w:pPr>
    </w:p>
    <w:p w14:paraId="6EF7AE41" w14:textId="77777777" w:rsidR="001168B7" w:rsidRPr="000D50F3" w:rsidRDefault="001168B7" w:rsidP="001168B7">
      <w:pPr>
        <w:ind w:left="567" w:hanging="567"/>
        <w:jc w:val="left"/>
      </w:pPr>
    </w:p>
    <w:p w14:paraId="2EE4DC5D" w14:textId="77777777" w:rsidR="001168B7" w:rsidRPr="000D50F3" w:rsidRDefault="001168B7" w:rsidP="001168B7">
      <w:pPr>
        <w:pStyle w:val="agendaitemtitle"/>
        <w:keepNext/>
        <w:jc w:val="left"/>
      </w:pPr>
      <w:r w:rsidRPr="000D50F3">
        <w:fldChar w:fldCharType="begin"/>
      </w:r>
      <w:r w:rsidRPr="000D50F3">
        <w:instrText xml:space="preserve"> AUTONUM  </w:instrText>
      </w:r>
      <w:r w:rsidRPr="000D50F3">
        <w:fldChar w:fldCharType="end"/>
      </w:r>
      <w:r w:rsidRPr="000D50F3">
        <w:tab/>
        <w:t xml:space="preserve">Arriérés de contributions au 30 septembre 2026 </w:t>
      </w:r>
      <w:r w:rsidRPr="000D50F3">
        <w:rPr>
          <w:b w:val="0"/>
          <w:bCs w:val="0"/>
          <w:color w:val="auto"/>
        </w:rPr>
        <w:t>(document C/60/11)</w:t>
      </w:r>
    </w:p>
    <w:p w14:paraId="1CE6B33B" w14:textId="77777777" w:rsidR="001168B7" w:rsidRPr="000D50F3" w:rsidRDefault="001168B7" w:rsidP="001168B7">
      <w:pPr>
        <w:keepNext/>
        <w:ind w:left="1134" w:hanging="567"/>
        <w:jc w:val="left"/>
      </w:pPr>
    </w:p>
    <w:p w14:paraId="597690EF" w14:textId="0E043F34" w:rsidR="001168B7" w:rsidRPr="000D50F3" w:rsidRDefault="001168B7" w:rsidP="00130657">
      <w:pPr>
        <w:shd w:val="clear" w:color="auto" w:fill="FFFFFF" w:themeFill="background1"/>
        <w:ind w:left="567"/>
      </w:pPr>
      <w:bookmarkStart w:id="2" w:name="_Hlk198644958"/>
      <w:r w:rsidRPr="000D50F3">
        <w:t>Le Conseil sera invité à prendre note de l’état des paiements des contributions indiqué dans le document</w:t>
      </w:r>
      <w:r w:rsidR="00130657">
        <w:t> </w:t>
      </w:r>
      <w:r w:rsidRPr="000D50F3">
        <w:t>C/60/11 au 30 septembre 2026, ainsi que de tout paiement supplémentaire effectué après le</w:t>
      </w:r>
      <w:r w:rsidR="00130657">
        <w:t> </w:t>
      </w:r>
      <w:r w:rsidRPr="000D50F3">
        <w:t>30</w:t>
      </w:r>
      <w:r w:rsidR="00130657">
        <w:t> </w:t>
      </w:r>
      <w:r w:rsidRPr="000D50F3">
        <w:t>septembre 2026 et avant le 23 octobre 2026.</w:t>
      </w:r>
    </w:p>
    <w:p w14:paraId="34A30B00" w14:textId="77777777" w:rsidR="001168B7" w:rsidRPr="000D50F3" w:rsidRDefault="001168B7" w:rsidP="001168B7">
      <w:pPr>
        <w:shd w:val="clear" w:color="auto" w:fill="FFFFFF" w:themeFill="background1"/>
        <w:ind w:left="567"/>
        <w:jc w:val="left"/>
      </w:pPr>
    </w:p>
    <w:p w14:paraId="6DE9C13C" w14:textId="77777777" w:rsidR="001168B7" w:rsidRPr="000D50F3" w:rsidRDefault="001168B7" w:rsidP="001168B7"/>
    <w:p w14:paraId="3BA70A84" w14:textId="576725F0" w:rsidR="001168B7" w:rsidRPr="000D50F3" w:rsidRDefault="001168B7" w:rsidP="001168B7">
      <w:pPr>
        <w:pStyle w:val="agendaitemtitle"/>
        <w:keepNext/>
      </w:pPr>
      <w:r w:rsidRPr="000D50F3">
        <w:fldChar w:fldCharType="begin"/>
      </w:r>
      <w:r w:rsidRPr="000D50F3">
        <w:instrText xml:space="preserve"> AUTONUM  </w:instrText>
      </w:r>
      <w:r w:rsidRPr="000D50F3">
        <w:fldChar w:fldCharType="end"/>
      </w:r>
      <w:r w:rsidRPr="000D50F3">
        <w:tab/>
        <w:t xml:space="preserve">Accord OMPI/UPOV (révision) </w:t>
      </w:r>
      <w:r w:rsidRPr="000D50F3">
        <w:rPr>
          <w:b w:val="0"/>
          <w:bCs w:val="0"/>
          <w:color w:val="auto"/>
        </w:rPr>
        <w:t>(document C/60/15)</w:t>
      </w:r>
    </w:p>
    <w:p w14:paraId="124B3D34" w14:textId="77777777" w:rsidR="001168B7" w:rsidRPr="000D50F3" w:rsidRDefault="001168B7" w:rsidP="001168B7"/>
    <w:p w14:paraId="6B779FCC" w14:textId="5F8BD11B" w:rsidR="001168B7" w:rsidRPr="000D50F3" w:rsidRDefault="001168B7" w:rsidP="001168B7">
      <w:pPr>
        <w:ind w:left="567"/>
      </w:pPr>
      <w:r w:rsidRPr="000D50F3">
        <w:t>L'Accord OMPI/UPOV a été signé en 1982. L'OMPI et l'UPOV sont déterminées à maintenir les arrangements existants en matière de coopération administrative et technique. L'OMPI fournit des services à l'UPOV, tandis que l'UPOV indemnise l'OMPI pour tous les services rendus et les dépenses engagées en son nom. Compte tenu des progrès administratifs et techniques, ainsi que de l'adoption de l'Acte de 1991 de la Convention UPOV, il est devenu nécessaire de mettre à jour certaines dispositions de l’Accord OMPI/UPOV. Le Conseil sera invité à approuver le texte mis à jour qui, sous réserve de l’approbation du Comité de coordination de l’OMPI en juillet 2027, sera signé par le Président du Conseil et le Directeur général de l’OMPI.</w:t>
      </w:r>
    </w:p>
    <w:bookmarkEnd w:id="2"/>
    <w:p w14:paraId="673A3FE1" w14:textId="77777777" w:rsidR="001168B7" w:rsidRPr="000D50F3" w:rsidRDefault="001168B7" w:rsidP="001168B7">
      <w:pPr>
        <w:jc w:val="left"/>
      </w:pPr>
    </w:p>
    <w:p w14:paraId="40B194CC" w14:textId="77777777" w:rsidR="001168B7" w:rsidRPr="000D50F3" w:rsidRDefault="001168B7" w:rsidP="001168B7">
      <w:pPr>
        <w:jc w:val="left"/>
      </w:pPr>
    </w:p>
    <w:p w14:paraId="77A62BD3" w14:textId="320B11CE" w:rsidR="001168B7" w:rsidRPr="000D50F3" w:rsidRDefault="001168B7" w:rsidP="001168B7">
      <w:pPr>
        <w:pStyle w:val="agendaitemtitle"/>
        <w:keepNext/>
        <w:jc w:val="left"/>
      </w:pPr>
      <w:r w:rsidRPr="000D50F3">
        <w:fldChar w:fldCharType="begin"/>
      </w:r>
      <w:r w:rsidRPr="000D50F3">
        <w:instrText xml:space="preserve"> AUTONUM  </w:instrText>
      </w:r>
      <w:r w:rsidRPr="000D50F3">
        <w:fldChar w:fldCharType="end"/>
      </w:r>
      <w:r w:rsidRPr="000D50F3">
        <w:tab/>
        <w:t>Élaboration d</w:t>
      </w:r>
      <w:r w:rsidR="00130657">
        <w:t>’orientations</w:t>
      </w:r>
      <w:r w:rsidRPr="000D50F3">
        <w:t xml:space="preserve"> et documents proposés pour adoption par le Conseil</w:t>
      </w:r>
    </w:p>
    <w:p w14:paraId="3CEC3610" w14:textId="77777777" w:rsidR="001168B7" w:rsidRPr="000D50F3" w:rsidRDefault="001168B7" w:rsidP="001168B7">
      <w:pPr>
        <w:keepNext/>
        <w:ind w:left="567"/>
        <w:jc w:val="left"/>
        <w:rPr>
          <w:rFonts w:cs="Arial"/>
          <w:snapToGrid w:val="0"/>
        </w:rPr>
      </w:pPr>
      <w:r w:rsidRPr="000D50F3">
        <w:rPr>
          <w:bCs/>
          <w:snapToGrid w:val="0"/>
          <w:szCs w:val="24"/>
        </w:rPr>
        <w:t>(</w:t>
      </w:r>
      <w:r w:rsidRPr="000D50F3">
        <w:rPr>
          <w:rFonts w:cs="Arial"/>
          <w:snapToGrid w:val="0"/>
        </w:rPr>
        <w:t xml:space="preserve">document </w:t>
      </w:r>
      <w:r w:rsidRPr="000D50F3">
        <w:t>SESSIONS/2026/2</w:t>
      </w:r>
      <w:r w:rsidRPr="000D50F3">
        <w:rPr>
          <w:bCs/>
          <w:snapToGrid w:val="0"/>
          <w:szCs w:val="24"/>
        </w:rPr>
        <w:t xml:space="preserve">) </w:t>
      </w:r>
    </w:p>
    <w:p w14:paraId="4CE2D9C1" w14:textId="77777777" w:rsidR="001168B7" w:rsidRPr="000D50F3" w:rsidRDefault="001168B7" w:rsidP="001168B7">
      <w:pPr>
        <w:keepNext/>
        <w:jc w:val="left"/>
        <w:rPr>
          <w:rFonts w:cs="Arial"/>
          <w:snapToGrid w:val="0"/>
        </w:rPr>
      </w:pPr>
    </w:p>
    <w:p w14:paraId="35C8A811" w14:textId="77777777" w:rsidR="001168B7" w:rsidRPr="000D50F3" w:rsidRDefault="001168B7" w:rsidP="001168B7">
      <w:pPr>
        <w:ind w:left="1134" w:hanging="567"/>
        <w:jc w:val="left"/>
        <w:rPr>
          <w:rFonts w:eastAsia="Calibri" w:cs="Arial"/>
          <w:color w:val="006600"/>
          <w:bdr w:val="nil"/>
          <w:lang w:eastAsia="nl-NL"/>
        </w:rPr>
      </w:pPr>
      <w:r w:rsidRPr="000D50F3">
        <w:rPr>
          <w:rFonts w:eastAsia="Calibri" w:cs="Arial"/>
          <w:color w:val="006600"/>
          <w:bdr w:val="nil"/>
          <w:lang w:eastAsia="nl-NL"/>
        </w:rPr>
        <w:t>(a)</w:t>
      </w:r>
      <w:r w:rsidRPr="000D50F3">
        <w:rPr>
          <w:rFonts w:eastAsia="Calibri" w:cs="Arial"/>
          <w:color w:val="006600"/>
          <w:bdr w:val="nil"/>
          <w:lang w:eastAsia="nl-NL"/>
        </w:rPr>
        <w:tab/>
        <w:t>Documents d'information :</w:t>
      </w:r>
    </w:p>
    <w:p w14:paraId="6DE45DAE" w14:textId="77777777" w:rsidR="001168B7" w:rsidRPr="000D50F3" w:rsidRDefault="001168B7" w:rsidP="001168B7">
      <w:pPr>
        <w:ind w:left="1134" w:hanging="567"/>
        <w:jc w:val="left"/>
        <w:rPr>
          <w:rFonts w:eastAsia="Calibri" w:cs="Arial"/>
          <w:color w:val="006600"/>
          <w:bdr w:val="nil"/>
          <w:lang w:eastAsia="nl-NL"/>
        </w:rPr>
      </w:pPr>
    </w:p>
    <w:p w14:paraId="6CEABD51" w14:textId="678C12C3" w:rsidR="001168B7" w:rsidRPr="000D50F3" w:rsidRDefault="001168B7" w:rsidP="001168B7">
      <w:pPr>
        <w:ind w:left="2127" w:hanging="1560"/>
        <w:jc w:val="left"/>
        <w:rPr>
          <w:rFonts w:eastAsia="Calibri" w:cs="Arial"/>
          <w:color w:val="006600"/>
          <w:bdr w:val="nil"/>
          <w:lang w:eastAsia="nl-NL"/>
        </w:rPr>
      </w:pPr>
      <w:bookmarkStart w:id="3" w:name="_Hlk225777099"/>
      <w:r w:rsidRPr="000D50F3">
        <w:rPr>
          <w:rFonts w:eastAsia="Calibri" w:cs="Arial"/>
          <w:color w:val="006600"/>
          <w:bdr w:val="nil"/>
          <w:lang w:eastAsia="nl-NL"/>
        </w:rPr>
        <w:t>UPOV/INF/13</w:t>
      </w:r>
      <w:r w:rsidRPr="000D50F3">
        <w:rPr>
          <w:rFonts w:eastAsia="Calibri" w:cs="Arial"/>
          <w:color w:val="006600"/>
          <w:bdr w:val="nil"/>
          <w:lang w:eastAsia="nl-NL"/>
        </w:rPr>
        <w:tab/>
      </w:r>
      <w:r w:rsidR="00130657" w:rsidRPr="00130657">
        <w:rPr>
          <w:rFonts w:eastAsia="Calibri" w:cs="Arial"/>
          <w:color w:val="006600"/>
          <w:bdr w:val="nil"/>
          <w:lang w:eastAsia="nl-NL"/>
        </w:rPr>
        <w:t>Document d'orientation concernant la procédure à suivre pour devenir membre de l'UPOV</w:t>
      </w:r>
      <w:r w:rsidRPr="000D50F3">
        <w:rPr>
          <w:rFonts w:eastAsia="Calibri" w:cs="Arial"/>
          <w:color w:val="006600"/>
          <w:bdr w:val="nil"/>
          <w:lang w:eastAsia="nl-NL"/>
        </w:rPr>
        <w:t xml:space="preserve"> (révision) </w:t>
      </w:r>
      <w:r w:rsidRPr="000D50F3">
        <w:rPr>
          <w:bCs/>
          <w:snapToGrid w:val="0"/>
          <w:szCs w:val="24"/>
        </w:rPr>
        <w:t>(</w:t>
      </w:r>
      <w:r w:rsidRPr="000D50F3">
        <w:rPr>
          <w:rFonts w:cs="Arial"/>
          <w:snapToGrid w:val="0"/>
        </w:rPr>
        <w:t xml:space="preserve">document </w:t>
      </w:r>
      <w:r w:rsidRPr="000D50F3">
        <w:t>SESSIONS/2026/2</w:t>
      </w:r>
      <w:r w:rsidRPr="000D50F3">
        <w:rPr>
          <w:bCs/>
          <w:snapToGrid w:val="0"/>
          <w:szCs w:val="24"/>
        </w:rPr>
        <w:t>)</w:t>
      </w:r>
    </w:p>
    <w:p w14:paraId="046DB5DB" w14:textId="77777777" w:rsidR="001168B7" w:rsidRPr="000D50F3" w:rsidRDefault="001168B7" w:rsidP="001168B7">
      <w:pPr>
        <w:ind w:left="2127"/>
        <w:jc w:val="left"/>
        <w:rPr>
          <w:rFonts w:eastAsia="Calibri" w:cs="Arial"/>
          <w:bdr w:val="nil"/>
          <w:lang w:eastAsia="nl-NL"/>
        </w:rPr>
      </w:pPr>
    </w:p>
    <w:p w14:paraId="7FE6358C" w14:textId="77777777" w:rsidR="001168B7" w:rsidRPr="000D50F3" w:rsidRDefault="001168B7" w:rsidP="001168B7">
      <w:pPr>
        <w:ind w:left="2127"/>
        <w:jc w:val="left"/>
        <w:rPr>
          <w:rFonts w:eastAsia="Calibri" w:cs="Arial"/>
          <w:bdr w:val="nil"/>
          <w:lang w:eastAsia="nl-NL"/>
        </w:rPr>
      </w:pPr>
      <w:r w:rsidRPr="000D50F3">
        <w:rPr>
          <w:rFonts w:eastAsia="Calibri" w:cs="Arial"/>
          <w:bdr w:val="nil"/>
          <w:lang w:eastAsia="nl-NL"/>
        </w:rPr>
        <w:t xml:space="preserve">Proposition de révision visant à mettre à jour les renvois et à mettre en œuvre des mesures d'efficacité </w:t>
      </w:r>
    </w:p>
    <w:p w14:paraId="3DA13565" w14:textId="77777777" w:rsidR="001168B7" w:rsidRPr="000D50F3" w:rsidRDefault="001168B7" w:rsidP="001168B7">
      <w:pPr>
        <w:ind w:left="2127"/>
        <w:jc w:val="left"/>
        <w:rPr>
          <w:rFonts w:eastAsia="Calibri" w:cs="Arial"/>
          <w:bdr w:val="nil"/>
          <w:lang w:eastAsia="nl-NL"/>
        </w:rPr>
      </w:pPr>
    </w:p>
    <w:p w14:paraId="6C8A2F24" w14:textId="30F1E9C3" w:rsidR="001168B7" w:rsidRPr="000D50F3" w:rsidRDefault="001168B7" w:rsidP="001168B7">
      <w:pPr>
        <w:ind w:left="2127" w:hanging="1560"/>
        <w:jc w:val="left"/>
        <w:rPr>
          <w:rFonts w:eastAsia="Calibri" w:cs="Arial"/>
          <w:bdr w:val="nil"/>
          <w:lang w:eastAsia="nl-NL"/>
        </w:rPr>
      </w:pPr>
      <w:r w:rsidRPr="000D50F3">
        <w:rPr>
          <w:rFonts w:eastAsia="Calibri" w:cs="Arial"/>
          <w:color w:val="006600"/>
          <w:bdr w:val="nil"/>
          <w:lang w:eastAsia="nl-NL"/>
        </w:rPr>
        <w:t>UPOV/INF/16</w:t>
      </w:r>
      <w:r w:rsidRPr="000D50F3">
        <w:rPr>
          <w:rFonts w:eastAsia="Calibri" w:cs="Arial"/>
          <w:color w:val="006600"/>
          <w:bdr w:val="nil"/>
          <w:lang w:eastAsia="nl-NL"/>
        </w:rPr>
        <w:tab/>
        <w:t xml:space="preserve">Logiciels échangeables (révision) </w:t>
      </w:r>
      <w:r w:rsidRPr="000D50F3">
        <w:rPr>
          <w:rFonts w:eastAsia="Calibri" w:cs="Arial"/>
          <w:bdr w:val="nil"/>
          <w:lang w:eastAsia="nl-NL"/>
        </w:rPr>
        <w:t xml:space="preserve">(document UPOV/INF/16/14 </w:t>
      </w:r>
      <w:r w:rsidR="00130657">
        <w:rPr>
          <w:rFonts w:eastAsia="Calibri" w:cs="Arial"/>
          <w:bdr w:val="nil"/>
          <w:lang w:eastAsia="nl-NL"/>
        </w:rPr>
        <w:t xml:space="preserve">Draft </w:t>
      </w:r>
      <w:r w:rsidRPr="000D50F3">
        <w:rPr>
          <w:rFonts w:eastAsia="Calibri" w:cs="Arial"/>
          <w:bdr w:val="nil"/>
          <w:lang w:eastAsia="nl-NL"/>
        </w:rPr>
        <w:t>1)</w:t>
      </w:r>
    </w:p>
    <w:p w14:paraId="0C3F74EA" w14:textId="77777777" w:rsidR="001168B7" w:rsidRPr="000D50F3" w:rsidRDefault="001168B7" w:rsidP="001168B7">
      <w:pPr>
        <w:ind w:left="2127"/>
        <w:jc w:val="left"/>
        <w:rPr>
          <w:rFonts w:eastAsia="Calibri" w:cs="Arial"/>
          <w:bdr w:val="nil"/>
          <w:lang w:eastAsia="nl-NL"/>
        </w:rPr>
      </w:pPr>
    </w:p>
    <w:p w14:paraId="7974D9CB" w14:textId="77777777" w:rsidR="001168B7" w:rsidRPr="000D50F3" w:rsidRDefault="001168B7" w:rsidP="00B652F1">
      <w:pPr>
        <w:ind w:left="2127"/>
        <w:rPr>
          <w:rFonts w:eastAsia="Calibri" w:cs="Arial"/>
          <w:bdr w:val="nil"/>
          <w:lang w:eastAsia="nl-NL"/>
        </w:rPr>
      </w:pPr>
      <w:r w:rsidRPr="000D50F3">
        <w:rPr>
          <w:rFonts w:eastAsia="Calibri" w:cs="Arial"/>
          <w:bdr w:val="nil"/>
          <w:lang w:eastAsia="nl-NL"/>
        </w:rPr>
        <w:t>Les logiciels échangeables désignent les logiciels développés par les membres de l’UPOV et mis à la disposition d’autres membres de l’UPOV, sous réserve de conditions spécifiées. Les propositions d’inclusion de nouveaux logiciels sont soumises pour examen au Groupe de travail technique sur les méthodes et techniques d’essai (TWM). Le TWM formule une recommandation à l’intention du Comité technique (TC) quant à l’opportunité d’inclure ce logiciel dans le document UPOV/INF/16.</w:t>
      </w:r>
    </w:p>
    <w:p w14:paraId="12D44812" w14:textId="77777777" w:rsidR="001168B7" w:rsidRPr="000D50F3" w:rsidRDefault="001168B7" w:rsidP="00B652F1">
      <w:pPr>
        <w:rPr>
          <w:rFonts w:eastAsia="Calibri" w:cs="Arial"/>
          <w:bdr w:val="nil"/>
          <w:lang w:eastAsia="nl-NL"/>
        </w:rPr>
      </w:pPr>
    </w:p>
    <w:p w14:paraId="74DD8FCF" w14:textId="046D91D0" w:rsidR="001168B7" w:rsidRPr="000D50F3" w:rsidRDefault="001168B7" w:rsidP="00B652F1">
      <w:pPr>
        <w:ind w:left="2127"/>
        <w:rPr>
          <w:rFonts w:eastAsia="Calibri" w:cs="Arial"/>
          <w:bdr w:val="nil"/>
          <w:lang w:eastAsia="nl-NL"/>
        </w:rPr>
      </w:pPr>
      <w:r w:rsidRPr="000D50F3">
        <w:rPr>
          <w:rFonts w:eastAsia="Calibri" w:cs="Arial"/>
          <w:bdr w:val="nil"/>
          <w:lang w:eastAsia="nl-NL"/>
        </w:rPr>
        <w:t xml:space="preserve">Sur la base des recommandations du Comité consultatif en 2025, le Conseil sera invité à modifier la </w:t>
      </w:r>
      <w:r w:rsidR="00130657">
        <w:rPr>
          <w:rFonts w:eastAsia="Calibri" w:cs="Arial"/>
          <w:bdr w:val="nil"/>
          <w:lang w:eastAsia="nl-NL"/>
        </w:rPr>
        <w:t>“</w:t>
      </w:r>
      <w:r w:rsidRPr="000D50F3">
        <w:rPr>
          <w:rFonts w:eastAsia="Calibri" w:cs="Arial"/>
          <w:bdr w:val="nil"/>
          <w:lang w:eastAsia="nl-NL"/>
        </w:rPr>
        <w:t>Procédure d’inclusion des logiciels</w:t>
      </w:r>
      <w:r w:rsidR="00130657">
        <w:rPr>
          <w:rFonts w:eastAsia="Calibri" w:cs="Arial"/>
          <w:bdr w:val="nil"/>
          <w:lang w:eastAsia="nl-NL"/>
        </w:rPr>
        <w:t>”</w:t>
      </w:r>
      <w:r w:rsidRPr="000D50F3">
        <w:rPr>
          <w:rFonts w:eastAsia="Calibri" w:cs="Arial"/>
          <w:bdr w:val="nil"/>
          <w:lang w:eastAsia="nl-NL"/>
        </w:rPr>
        <w:t xml:space="preserve"> figurant dans le document UPOV/INF/16, de sorte que les révisions futures de ce document soient déléguées au Comité technique et ne nécessitent pas d’adoption formelle par le Conseil.</w:t>
      </w:r>
    </w:p>
    <w:p w14:paraId="72E2FE05" w14:textId="77777777" w:rsidR="001168B7" w:rsidRPr="000D50F3" w:rsidRDefault="001168B7" w:rsidP="001168B7">
      <w:pPr>
        <w:ind w:left="2127"/>
        <w:jc w:val="left"/>
        <w:rPr>
          <w:rFonts w:eastAsia="Calibri" w:cs="Arial"/>
          <w:bdr w:val="nil"/>
          <w:lang w:eastAsia="nl-NL"/>
        </w:rPr>
      </w:pPr>
    </w:p>
    <w:p w14:paraId="0937EF8B" w14:textId="25A39508" w:rsidR="001168B7" w:rsidRPr="000D50F3" w:rsidRDefault="001168B7" w:rsidP="001168B7">
      <w:pPr>
        <w:keepNext/>
        <w:ind w:left="2127" w:hanging="1560"/>
        <w:jc w:val="left"/>
        <w:rPr>
          <w:rFonts w:eastAsia="Calibri" w:cs="Arial"/>
          <w:bdr w:val="nil"/>
          <w:lang w:eastAsia="nl-NL"/>
        </w:rPr>
      </w:pPr>
      <w:r w:rsidRPr="000D50F3">
        <w:rPr>
          <w:rFonts w:eastAsia="Calibri" w:cs="Arial"/>
          <w:color w:val="006600"/>
          <w:bdr w:val="nil"/>
          <w:lang w:eastAsia="nl-NL"/>
        </w:rPr>
        <w:t>UPOV/INF/22</w:t>
      </w:r>
      <w:r w:rsidRPr="000D50F3">
        <w:rPr>
          <w:rFonts w:eastAsia="Calibri" w:cs="Arial"/>
          <w:color w:val="006600"/>
          <w:bdr w:val="nil"/>
          <w:lang w:eastAsia="nl-NL"/>
        </w:rPr>
        <w:tab/>
        <w:t>Logiciels et équipements utilisés par les membres de l’Union (révision)</w:t>
      </w:r>
      <w:r w:rsidRPr="000D50F3">
        <w:rPr>
          <w:rFonts w:eastAsia="Calibri" w:cs="Arial"/>
          <w:bdr w:val="nil"/>
          <w:lang w:eastAsia="nl-NL"/>
        </w:rPr>
        <w:br/>
        <w:t xml:space="preserve">(document UPOV/INF/22/13 </w:t>
      </w:r>
      <w:r w:rsidR="00130657">
        <w:rPr>
          <w:rFonts w:eastAsia="Calibri" w:cs="Arial"/>
          <w:bdr w:val="nil"/>
          <w:lang w:eastAsia="nl-NL"/>
        </w:rPr>
        <w:t xml:space="preserve">Draft </w:t>
      </w:r>
      <w:r w:rsidRPr="000D50F3">
        <w:rPr>
          <w:rFonts w:eastAsia="Calibri" w:cs="Arial"/>
          <w:bdr w:val="nil"/>
          <w:lang w:eastAsia="nl-NL"/>
        </w:rPr>
        <w:t xml:space="preserve">1) </w:t>
      </w:r>
    </w:p>
    <w:p w14:paraId="41ED665C" w14:textId="77777777" w:rsidR="001168B7" w:rsidRPr="000D50F3" w:rsidRDefault="001168B7" w:rsidP="001168B7">
      <w:pPr>
        <w:keepNext/>
        <w:ind w:left="2127"/>
        <w:jc w:val="left"/>
        <w:rPr>
          <w:rFonts w:eastAsia="Calibri" w:cs="Arial"/>
          <w:bdr w:val="nil"/>
          <w:lang w:eastAsia="nl-NL"/>
        </w:rPr>
      </w:pPr>
    </w:p>
    <w:p w14:paraId="4B7CC079" w14:textId="77777777" w:rsidR="001168B7" w:rsidRPr="000D50F3" w:rsidRDefault="001168B7" w:rsidP="00B652F1">
      <w:pPr>
        <w:ind w:left="2127"/>
        <w:rPr>
          <w:rFonts w:eastAsia="Calibri" w:cs="Arial"/>
          <w:bdr w:val="nil"/>
          <w:lang w:eastAsia="nl-NL"/>
        </w:rPr>
      </w:pPr>
      <w:r w:rsidRPr="000D50F3">
        <w:rPr>
          <w:rFonts w:eastAsia="Calibri" w:cs="Arial"/>
          <w:bdr w:val="nil"/>
          <w:lang w:eastAsia="nl-NL"/>
        </w:rPr>
        <w:t>Le document UPOV/INF/22 est un catalogue des logiciels et équipements disponibles dans le commerce utilisés par les membres de l’UPOV à des fins de protection des obtentions végétales. Il couvre les outils de gestion des demandes de protection des obtentions végétales, les systèmes de dépôt en ligne, la vérification des dénominations variétales, ainsi que la conception des essais DHS et l’analyse des données. Les membres de l’UPOV rendent compte chaque année de leur utilisation des logiciels et équipements répertoriés, et le document est mis à jour de manière continue.</w:t>
      </w:r>
    </w:p>
    <w:p w14:paraId="0BF0AEC3" w14:textId="77777777" w:rsidR="001168B7" w:rsidRPr="000D50F3" w:rsidRDefault="001168B7" w:rsidP="00B652F1">
      <w:pPr>
        <w:ind w:left="2127"/>
        <w:rPr>
          <w:rFonts w:eastAsia="Calibri" w:cs="Arial"/>
          <w:bdr w:val="nil"/>
          <w:lang w:eastAsia="nl-NL"/>
        </w:rPr>
      </w:pPr>
    </w:p>
    <w:p w14:paraId="2B6D2949" w14:textId="60D60B7B" w:rsidR="001168B7" w:rsidRPr="000D50F3" w:rsidRDefault="001168B7" w:rsidP="00B652F1">
      <w:pPr>
        <w:ind w:left="2127"/>
        <w:rPr>
          <w:rFonts w:eastAsia="Calibri" w:cs="Arial"/>
          <w:bdr w:val="nil"/>
          <w:lang w:eastAsia="nl-NL"/>
        </w:rPr>
      </w:pPr>
      <w:r w:rsidRPr="000D50F3">
        <w:rPr>
          <w:rFonts w:eastAsia="Calibri" w:cs="Arial"/>
          <w:bdr w:val="nil"/>
          <w:lang w:eastAsia="nl-NL"/>
        </w:rPr>
        <w:t xml:space="preserve">Sur la base des recommandations du Comité consultatif en 2025, le Conseil sera invité à modifier la </w:t>
      </w:r>
      <w:r w:rsidR="00130657">
        <w:rPr>
          <w:rFonts w:eastAsia="Calibri" w:cs="Arial"/>
          <w:bdr w:val="nil"/>
          <w:lang w:eastAsia="nl-NL"/>
        </w:rPr>
        <w:t>“</w:t>
      </w:r>
      <w:r w:rsidRPr="000D50F3">
        <w:rPr>
          <w:rFonts w:eastAsia="Calibri" w:cs="Arial"/>
          <w:bdr w:val="nil"/>
          <w:lang w:eastAsia="nl-NL"/>
        </w:rPr>
        <w:t>Procédure d’inclusion des logiciels/équipements</w:t>
      </w:r>
      <w:r w:rsidR="00130657">
        <w:rPr>
          <w:rFonts w:eastAsia="Calibri" w:cs="Arial"/>
          <w:bdr w:val="nil"/>
          <w:lang w:eastAsia="nl-NL"/>
        </w:rPr>
        <w:t>”</w:t>
      </w:r>
      <w:r w:rsidRPr="000D50F3">
        <w:rPr>
          <w:rFonts w:eastAsia="Calibri" w:cs="Arial"/>
          <w:bdr w:val="nil"/>
          <w:lang w:eastAsia="nl-NL"/>
        </w:rPr>
        <w:t xml:space="preserve"> figurant dans le document UPOV/INF/22, de sorte que les révisions futures de ce document ne nécessitent pas d’adoption formelle par le Conseil. </w:t>
      </w:r>
    </w:p>
    <w:p w14:paraId="15D5A313" w14:textId="77777777" w:rsidR="001168B7" w:rsidRPr="000D50F3" w:rsidRDefault="001168B7" w:rsidP="001168B7">
      <w:pPr>
        <w:ind w:left="2127"/>
        <w:jc w:val="left"/>
        <w:rPr>
          <w:rFonts w:eastAsia="Calibri" w:cs="Arial"/>
          <w:bdr w:val="nil"/>
          <w:lang w:eastAsia="nl-NL"/>
        </w:rPr>
      </w:pPr>
    </w:p>
    <w:bookmarkEnd w:id="3"/>
    <w:p w14:paraId="3FDDC34E" w14:textId="77777777" w:rsidR="001168B7" w:rsidRPr="000D50F3" w:rsidRDefault="001168B7" w:rsidP="001168B7">
      <w:pPr>
        <w:keepNext/>
        <w:ind w:left="1134" w:hanging="567"/>
        <w:jc w:val="left"/>
        <w:rPr>
          <w:rFonts w:eastAsia="Calibri" w:cs="Arial"/>
          <w:color w:val="006600"/>
          <w:bdr w:val="nil"/>
          <w:lang w:eastAsia="nl-NL"/>
        </w:rPr>
      </w:pPr>
      <w:r w:rsidRPr="000D50F3">
        <w:rPr>
          <w:rFonts w:eastAsia="Calibri" w:cs="Arial"/>
          <w:color w:val="006600"/>
          <w:bdr w:val="nil"/>
          <w:lang w:eastAsia="nl-NL"/>
        </w:rPr>
        <w:t>b)</w:t>
      </w:r>
      <w:r w:rsidRPr="000D50F3">
        <w:rPr>
          <w:rFonts w:eastAsia="Calibri" w:cs="Arial"/>
          <w:color w:val="006600"/>
          <w:bdr w:val="nil"/>
          <w:lang w:eastAsia="nl-NL"/>
        </w:rPr>
        <w:tab/>
        <w:t>Documents TGP :</w:t>
      </w:r>
    </w:p>
    <w:p w14:paraId="399A520A" w14:textId="77777777" w:rsidR="001168B7" w:rsidRPr="000D50F3" w:rsidRDefault="001168B7" w:rsidP="001168B7">
      <w:pPr>
        <w:keepNext/>
        <w:ind w:left="1560" w:hanging="993"/>
        <w:jc w:val="left"/>
        <w:rPr>
          <w:rFonts w:eastAsia="Calibri" w:cs="Arial"/>
          <w:color w:val="006600"/>
          <w:bdr w:val="nil"/>
          <w:lang w:eastAsia="nl-NL"/>
        </w:rPr>
      </w:pPr>
    </w:p>
    <w:p w14:paraId="67CC844A" w14:textId="6B54CBD5" w:rsidR="001168B7" w:rsidRPr="000D50F3" w:rsidRDefault="001168B7" w:rsidP="000C3BE6">
      <w:pPr>
        <w:ind w:left="2127" w:hanging="1560"/>
        <w:jc w:val="left"/>
        <w:rPr>
          <w:bCs/>
          <w:snapToGrid w:val="0"/>
          <w:szCs w:val="24"/>
        </w:rPr>
      </w:pPr>
      <w:r w:rsidRPr="000D50F3">
        <w:rPr>
          <w:rFonts w:eastAsia="Calibri" w:cs="Arial"/>
          <w:color w:val="006600"/>
          <w:bdr w:val="nil"/>
          <w:lang w:eastAsia="nl-NL"/>
        </w:rPr>
        <w:t>TGP/5</w:t>
      </w:r>
      <w:r w:rsidRPr="000D50F3">
        <w:rPr>
          <w:rFonts w:eastAsia="Calibri" w:cs="Arial"/>
          <w:color w:val="006600"/>
          <w:bdr w:val="nil"/>
          <w:lang w:eastAsia="nl-NL"/>
        </w:rPr>
        <w:tab/>
        <w:t>Expérience et coopération en matière d’examen DHS : section 11 « Exemples de politiques et de contrats relatifs au matériel soumis par l’obtenteur » (révision)</w:t>
      </w:r>
      <w:r w:rsidR="000C3BE6">
        <w:rPr>
          <w:rFonts w:eastAsia="Calibri" w:cs="Arial"/>
          <w:color w:val="006600"/>
          <w:bdr w:val="nil"/>
          <w:lang w:eastAsia="nl-NL"/>
        </w:rPr>
        <w:br/>
      </w:r>
      <w:r w:rsidRPr="000D50F3">
        <w:rPr>
          <w:rFonts w:cs="Arial"/>
          <w:snapToGrid w:val="0"/>
        </w:rPr>
        <w:t xml:space="preserve">(document </w:t>
      </w:r>
      <w:r w:rsidRPr="000D50F3">
        <w:t>TGP/5, section 11/2</w:t>
      </w:r>
      <w:r w:rsidR="00775D6E">
        <w:t xml:space="preserve"> Draft</w:t>
      </w:r>
      <w:r w:rsidRPr="000D50F3">
        <w:t xml:space="preserve"> 1</w:t>
      </w:r>
      <w:r w:rsidRPr="000D50F3">
        <w:rPr>
          <w:bCs/>
          <w:snapToGrid w:val="0"/>
          <w:szCs w:val="24"/>
        </w:rPr>
        <w:t>)</w:t>
      </w:r>
    </w:p>
    <w:p w14:paraId="2BFC0099" w14:textId="77777777" w:rsidR="001168B7" w:rsidRPr="000D50F3" w:rsidRDefault="001168B7" w:rsidP="001168B7"/>
    <w:p w14:paraId="7DAFAEC4" w14:textId="77777777" w:rsidR="001168B7" w:rsidRPr="000D50F3" w:rsidRDefault="001168B7" w:rsidP="000C3BE6">
      <w:pPr>
        <w:ind w:left="2127"/>
      </w:pPr>
      <w:r w:rsidRPr="000D50F3">
        <w:t xml:space="preserve">Le Conseil sera invité à adopter une révision de la section 11 du document TGP/5 afin de remplacer les informations fournies précédemment par l’Union européenne par la politique actuelle concernant le statut du matériel végétal soumis à l’examen DHS.  </w:t>
      </w:r>
    </w:p>
    <w:p w14:paraId="57D09674" w14:textId="77777777" w:rsidR="001168B7" w:rsidRPr="000D50F3" w:rsidRDefault="001168B7" w:rsidP="001168B7">
      <w:pPr>
        <w:keepNext/>
        <w:jc w:val="left"/>
        <w:rPr>
          <w:rFonts w:eastAsia="Calibri" w:cs="Arial"/>
          <w:color w:val="006600"/>
          <w:bdr w:val="nil"/>
          <w:lang w:eastAsia="nl-NL"/>
        </w:rPr>
      </w:pPr>
    </w:p>
    <w:p w14:paraId="4F5C4DDF" w14:textId="5227F20B" w:rsidR="001168B7" w:rsidRPr="000D50F3" w:rsidRDefault="001168B7" w:rsidP="001168B7">
      <w:pPr>
        <w:ind w:left="2127" w:hanging="1560"/>
        <w:jc w:val="left"/>
        <w:rPr>
          <w:bCs/>
          <w:snapToGrid w:val="0"/>
          <w:szCs w:val="24"/>
        </w:rPr>
      </w:pPr>
      <w:r w:rsidRPr="000D50F3">
        <w:rPr>
          <w:rFonts w:eastAsia="Calibri" w:cs="Arial"/>
          <w:color w:val="006600"/>
          <w:bdr w:val="nil"/>
          <w:lang w:eastAsia="nl-NL"/>
        </w:rPr>
        <w:t>TGP/15</w:t>
      </w:r>
      <w:r w:rsidRPr="000D50F3">
        <w:rPr>
          <w:rFonts w:eastAsia="Calibri" w:cs="Arial"/>
          <w:color w:val="006600"/>
          <w:bdr w:val="nil"/>
          <w:lang w:eastAsia="nl-NL"/>
        </w:rPr>
        <w:tab/>
        <w:t xml:space="preserve">Conseils </w:t>
      </w:r>
      <w:r w:rsidR="00775D6E" w:rsidRPr="00775D6E">
        <w:rPr>
          <w:rFonts w:eastAsia="Calibri" w:cs="Arial"/>
          <w:color w:val="006600"/>
          <w:bdr w:val="nil"/>
          <w:lang w:eastAsia="nl-NL"/>
        </w:rPr>
        <w:t xml:space="preserve">en ce qui concerne </w:t>
      </w:r>
      <w:r w:rsidRPr="000D50F3">
        <w:rPr>
          <w:rFonts w:eastAsia="Calibri" w:cs="Arial"/>
          <w:color w:val="006600"/>
          <w:bdr w:val="nil"/>
          <w:lang w:eastAsia="nl-NL"/>
        </w:rPr>
        <w:t>l’utilisation de marqueurs biochimiques et moléculaires dans l’examen de la distinction, de l’homogénéité et de la stabilité (DHS) (révision)</w:t>
      </w:r>
      <w:r w:rsidRPr="000D50F3">
        <w:rPr>
          <w:rFonts w:eastAsia="Calibri" w:cs="Arial"/>
          <w:color w:val="006600"/>
          <w:bdr w:val="nil"/>
          <w:lang w:eastAsia="nl-NL"/>
        </w:rPr>
        <w:br/>
      </w:r>
      <w:r w:rsidRPr="000D50F3">
        <w:rPr>
          <w:rFonts w:cs="Arial"/>
          <w:snapToGrid w:val="0"/>
        </w:rPr>
        <w:t xml:space="preserve">(document </w:t>
      </w:r>
      <w:r w:rsidRPr="000D50F3">
        <w:t xml:space="preserve">TGP/15/4 </w:t>
      </w:r>
      <w:r w:rsidR="00775D6E">
        <w:t xml:space="preserve">Draft </w:t>
      </w:r>
      <w:r w:rsidRPr="000D50F3">
        <w:t>1</w:t>
      </w:r>
      <w:r w:rsidRPr="000D50F3">
        <w:rPr>
          <w:bCs/>
          <w:snapToGrid w:val="0"/>
          <w:szCs w:val="24"/>
        </w:rPr>
        <w:t>)</w:t>
      </w:r>
    </w:p>
    <w:p w14:paraId="2324335D" w14:textId="77777777" w:rsidR="001168B7" w:rsidRPr="000D50F3" w:rsidRDefault="001168B7" w:rsidP="001168B7">
      <w:pPr>
        <w:ind w:left="2127"/>
        <w:jc w:val="left"/>
        <w:rPr>
          <w:rFonts w:eastAsia="Calibri" w:cs="Arial"/>
          <w:bdr w:val="nil"/>
          <w:lang w:eastAsia="nl-NL"/>
        </w:rPr>
      </w:pPr>
    </w:p>
    <w:p w14:paraId="3ED337F9" w14:textId="77777777" w:rsidR="001168B7" w:rsidRPr="000D50F3" w:rsidRDefault="001168B7" w:rsidP="00B652F1">
      <w:pPr>
        <w:ind w:left="2127"/>
        <w:rPr>
          <w:rFonts w:eastAsia="Calibri" w:cs="Arial"/>
          <w:bdr w:val="nil"/>
          <w:lang w:eastAsia="nl-NL"/>
        </w:rPr>
      </w:pPr>
      <w:r w:rsidRPr="000D50F3">
        <w:rPr>
          <w:rFonts w:eastAsia="Calibri" w:cs="Arial"/>
          <w:bdr w:val="nil"/>
          <w:lang w:eastAsia="nl-NL"/>
        </w:rPr>
        <w:t>Le Conseil sera invité à adopter une révision du document TGP/15 afin d'y inclure des procédures de validation des marqueurs moléculaires spécifiques à un caractère, ainsi qu'un modèle standard permettant de fournir, dans les principes directeurs d'examen, des informations sur la manière d'évaluer les caractères à l'aide de ces marqueurs.</w:t>
      </w:r>
    </w:p>
    <w:p w14:paraId="48172658" w14:textId="77777777" w:rsidR="001168B7" w:rsidRPr="000D50F3" w:rsidRDefault="001168B7" w:rsidP="001168B7">
      <w:pPr>
        <w:rPr>
          <w:rFonts w:eastAsia="Calibri"/>
        </w:rPr>
      </w:pPr>
    </w:p>
    <w:p w14:paraId="3B26E479" w14:textId="77777777" w:rsidR="001168B7" w:rsidRPr="000D50F3" w:rsidRDefault="001168B7" w:rsidP="001168B7"/>
    <w:p w14:paraId="4F94B8EC" w14:textId="54B193C1" w:rsidR="001168B7" w:rsidRPr="000D50F3" w:rsidRDefault="001168B7" w:rsidP="007E48A6">
      <w:pPr>
        <w:pStyle w:val="agendaitemtitle"/>
        <w:jc w:val="left"/>
      </w:pPr>
      <w:r w:rsidRPr="000D50F3">
        <w:fldChar w:fldCharType="begin"/>
      </w:r>
      <w:r w:rsidRPr="000D50F3">
        <w:instrText xml:space="preserve"> AUTONUM  </w:instrText>
      </w:r>
      <w:r w:rsidRPr="000D50F3">
        <w:fldChar w:fldCharType="end"/>
      </w:r>
      <w:r w:rsidRPr="000D50F3">
        <w:tab/>
      </w:r>
      <w:r w:rsidR="00775D6E">
        <w:t>Faits n</w:t>
      </w:r>
      <w:r w:rsidRPr="000D50F3">
        <w:t xml:space="preserve">ouveaux </w:t>
      </w:r>
      <w:r w:rsidR="00775D6E">
        <w:t xml:space="preserve">survenus </w:t>
      </w:r>
      <w:r w:rsidRPr="000D50F3">
        <w:t xml:space="preserve">dans les membres de l'Union </w:t>
      </w:r>
      <w:r w:rsidRPr="000D50F3">
        <w:rPr>
          <w:b w:val="0"/>
          <w:bCs w:val="0"/>
          <w:color w:val="auto"/>
        </w:rPr>
        <w:t>(document C/60/12)</w:t>
      </w:r>
    </w:p>
    <w:p w14:paraId="17871CEA" w14:textId="77777777" w:rsidR="001168B7" w:rsidRPr="000D50F3" w:rsidRDefault="001168B7" w:rsidP="001168B7">
      <w:pPr>
        <w:ind w:firstLine="567"/>
        <w:jc w:val="left"/>
      </w:pPr>
    </w:p>
    <w:p w14:paraId="356CF50E" w14:textId="7F59AD75" w:rsidR="001168B7" w:rsidRPr="000D50F3" w:rsidRDefault="001168B7" w:rsidP="00B652F1">
      <w:pPr>
        <w:ind w:left="567"/>
      </w:pPr>
      <w:r w:rsidRPr="000D50F3">
        <w:t xml:space="preserve">Le Conseil sera invité à examiner les </w:t>
      </w:r>
      <w:r w:rsidR="00775D6E">
        <w:t xml:space="preserve">faits </w:t>
      </w:r>
      <w:r w:rsidRPr="000D50F3">
        <w:t xml:space="preserve">nouveaux </w:t>
      </w:r>
      <w:r w:rsidR="00775D6E">
        <w:t xml:space="preserve">survenus </w:t>
      </w:r>
      <w:r w:rsidRPr="000D50F3">
        <w:t xml:space="preserve">présentés par les membres de l’UPOV. En octobre 2025, le Comité consultatif a convenu de transférer ce point standard à l’ordre du jour du Conseil à compter de 2026, afin de faciliter la collaboration avec les futurs membres de l’UPOV et d’autres observateurs. </w:t>
      </w:r>
    </w:p>
    <w:p w14:paraId="3001EED5" w14:textId="77777777" w:rsidR="001168B7" w:rsidRPr="000D50F3" w:rsidRDefault="001168B7" w:rsidP="001168B7">
      <w:pPr>
        <w:jc w:val="left"/>
      </w:pPr>
    </w:p>
    <w:bookmarkEnd w:id="0"/>
    <w:p w14:paraId="55342590" w14:textId="77777777" w:rsidR="001168B7" w:rsidRPr="000D50F3" w:rsidRDefault="001168B7" w:rsidP="001168B7">
      <w:pPr>
        <w:jc w:val="left"/>
      </w:pPr>
    </w:p>
    <w:p w14:paraId="4C91EA64" w14:textId="77777777" w:rsidR="001168B7" w:rsidRPr="000D50F3" w:rsidRDefault="001168B7" w:rsidP="001168B7">
      <w:pPr>
        <w:pStyle w:val="agendaitemtitle"/>
        <w:jc w:val="left"/>
      </w:pPr>
      <w:r w:rsidRPr="000D50F3">
        <w:fldChar w:fldCharType="begin"/>
      </w:r>
      <w:r w:rsidRPr="000D50F3">
        <w:instrText xml:space="preserve"> AUTONUM  </w:instrText>
      </w:r>
      <w:r w:rsidRPr="000D50F3">
        <w:fldChar w:fldCharType="end"/>
      </w:r>
      <w:r w:rsidRPr="000D50F3">
        <w:tab/>
      </w:r>
      <w:r w:rsidRPr="000D50F3">
        <w:rPr>
          <w:snapToGrid w:val="0"/>
        </w:rPr>
        <w:t>Programme des réunions :</w:t>
      </w:r>
    </w:p>
    <w:p w14:paraId="14D9D972" w14:textId="77777777" w:rsidR="001168B7" w:rsidRPr="000D50F3" w:rsidRDefault="001168B7" w:rsidP="001168B7">
      <w:pPr>
        <w:keepNext/>
        <w:ind w:left="1134" w:hanging="567"/>
        <w:jc w:val="left"/>
      </w:pPr>
    </w:p>
    <w:p w14:paraId="04779919" w14:textId="77777777" w:rsidR="001168B7" w:rsidRPr="000D50F3" w:rsidRDefault="001168B7" w:rsidP="001168B7">
      <w:pPr>
        <w:pStyle w:val="agendasubitemtitle"/>
        <w:ind w:right="-142"/>
        <w:jc w:val="left"/>
        <w:rPr>
          <w:snapToGrid w:val="0"/>
        </w:rPr>
      </w:pPr>
      <w:r w:rsidRPr="000D50F3">
        <w:rPr>
          <w:snapToGrid w:val="0"/>
        </w:rPr>
        <w:t>a)</w:t>
      </w:r>
      <w:r w:rsidRPr="000D50F3">
        <w:rPr>
          <w:snapToGrid w:val="0"/>
        </w:rPr>
        <w:tab/>
        <w:t xml:space="preserve">Approbation des programmes de travail du Comité administratif et juridique, du Comité technique et des groupes de travail techniques </w:t>
      </w:r>
      <w:r w:rsidRPr="000D50F3">
        <w:rPr>
          <w:snapToGrid w:val="0"/>
          <w:color w:val="auto"/>
        </w:rPr>
        <w:t>(document C/60/5)</w:t>
      </w:r>
    </w:p>
    <w:p w14:paraId="7B390DC6" w14:textId="77777777" w:rsidR="001168B7" w:rsidRPr="000D50F3" w:rsidRDefault="001168B7" w:rsidP="001168B7">
      <w:pPr>
        <w:keepNext/>
        <w:ind w:left="1134" w:hanging="567"/>
        <w:jc w:val="left"/>
        <w:rPr>
          <w:bCs/>
          <w:snapToGrid w:val="0"/>
          <w:szCs w:val="24"/>
        </w:rPr>
      </w:pPr>
    </w:p>
    <w:p w14:paraId="56D25FE3" w14:textId="77777777" w:rsidR="001168B7" w:rsidRPr="000D50F3" w:rsidRDefault="001168B7" w:rsidP="001168B7">
      <w:pPr>
        <w:pStyle w:val="agendasubitemtitle"/>
        <w:jc w:val="left"/>
        <w:rPr>
          <w:snapToGrid w:val="0"/>
        </w:rPr>
      </w:pPr>
      <w:r w:rsidRPr="000D50F3">
        <w:rPr>
          <w:snapToGrid w:val="0"/>
        </w:rPr>
        <w:t>(b)</w:t>
      </w:r>
      <w:r w:rsidRPr="000D50F3">
        <w:rPr>
          <w:snapToGrid w:val="0"/>
        </w:rPr>
        <w:tab/>
        <w:t xml:space="preserve">Calendrier des réunions </w:t>
      </w:r>
      <w:r w:rsidRPr="000D50F3">
        <w:rPr>
          <w:snapToGrid w:val="0"/>
          <w:color w:val="auto"/>
        </w:rPr>
        <w:t>(document C/60/8)</w:t>
      </w:r>
    </w:p>
    <w:p w14:paraId="5FB56426" w14:textId="77777777" w:rsidR="001168B7" w:rsidRPr="000D50F3" w:rsidRDefault="001168B7" w:rsidP="001168B7">
      <w:pPr>
        <w:jc w:val="left"/>
        <w:rPr>
          <w:bCs/>
          <w:snapToGrid w:val="0"/>
          <w:szCs w:val="24"/>
        </w:rPr>
      </w:pPr>
    </w:p>
    <w:p w14:paraId="4CCFFA18" w14:textId="77777777" w:rsidR="001168B7" w:rsidRPr="000D50F3" w:rsidRDefault="001168B7" w:rsidP="001168B7">
      <w:pPr>
        <w:jc w:val="left"/>
        <w:rPr>
          <w:bCs/>
          <w:snapToGrid w:val="0"/>
          <w:szCs w:val="24"/>
        </w:rPr>
      </w:pPr>
    </w:p>
    <w:p w14:paraId="61BA40F6" w14:textId="77777777" w:rsidR="001168B7" w:rsidRPr="000D50F3" w:rsidRDefault="001168B7" w:rsidP="001168B7">
      <w:pPr>
        <w:pStyle w:val="agendaitemtitle"/>
        <w:keepNext/>
        <w:jc w:val="left"/>
        <w:rPr>
          <w:snapToGrid w:val="0"/>
        </w:rPr>
      </w:pPr>
      <w:r w:rsidRPr="000D50F3">
        <w:fldChar w:fldCharType="begin"/>
      </w:r>
      <w:r w:rsidRPr="000D50F3">
        <w:instrText xml:space="preserve"> AUTONUM  </w:instrText>
      </w:r>
      <w:r w:rsidRPr="000D50F3">
        <w:fldChar w:fldCharType="end"/>
      </w:r>
      <w:r w:rsidRPr="000D50F3">
        <w:rPr>
          <w:snapToGrid w:val="0"/>
        </w:rPr>
        <w:tab/>
        <w:t xml:space="preserve">Élection des </w:t>
      </w:r>
      <w:r w:rsidRPr="000D50F3">
        <w:t xml:space="preserve">nouveaux présidents </w:t>
      </w:r>
      <w:r w:rsidRPr="000D50F3">
        <w:rPr>
          <w:snapToGrid w:val="0"/>
        </w:rPr>
        <w:t>:</w:t>
      </w:r>
    </w:p>
    <w:p w14:paraId="415AF9D4" w14:textId="77777777" w:rsidR="001168B7" w:rsidRPr="000D50F3" w:rsidRDefault="001168B7" w:rsidP="001168B7">
      <w:pPr>
        <w:keepNext/>
        <w:jc w:val="left"/>
        <w:rPr>
          <w:bCs/>
          <w:snapToGrid w:val="0"/>
          <w:szCs w:val="24"/>
        </w:rPr>
      </w:pPr>
    </w:p>
    <w:p w14:paraId="5A2F1966" w14:textId="77777777" w:rsidR="001168B7" w:rsidRPr="000D50F3" w:rsidRDefault="001168B7" w:rsidP="001168B7">
      <w:pPr>
        <w:spacing w:after="120"/>
        <w:jc w:val="left"/>
      </w:pPr>
      <w:r w:rsidRPr="000D50F3">
        <w:tab/>
        <w:t>(a)</w:t>
      </w:r>
      <w:r w:rsidRPr="000D50F3">
        <w:tab/>
        <w:t>Groupe de travail technique sur les plantes agricoles (TWA)</w:t>
      </w:r>
    </w:p>
    <w:p w14:paraId="5BEE40A9" w14:textId="77777777" w:rsidR="001168B7" w:rsidRPr="000D50F3" w:rsidRDefault="001168B7" w:rsidP="001168B7">
      <w:pPr>
        <w:spacing w:after="120"/>
        <w:jc w:val="left"/>
      </w:pPr>
      <w:r w:rsidRPr="000D50F3">
        <w:tab/>
        <w:t>(b)</w:t>
      </w:r>
      <w:r w:rsidRPr="000D50F3">
        <w:tab/>
        <w:t>Groupe de travail technique sur les plantes fruitières (TWF)</w:t>
      </w:r>
    </w:p>
    <w:p w14:paraId="5E336EBB" w14:textId="77777777" w:rsidR="001168B7" w:rsidRPr="000D50F3" w:rsidRDefault="001168B7" w:rsidP="001168B7">
      <w:pPr>
        <w:spacing w:after="120"/>
        <w:jc w:val="left"/>
      </w:pPr>
      <w:r w:rsidRPr="000D50F3">
        <w:tab/>
        <w:t>(c)</w:t>
      </w:r>
      <w:r w:rsidRPr="000D50F3">
        <w:tab/>
        <w:t>Groupe de travail technique sur les méthodes et techniques d'essai (TWM)</w:t>
      </w:r>
    </w:p>
    <w:p w14:paraId="762BE5E1" w14:textId="77777777" w:rsidR="001168B7" w:rsidRPr="000D50F3" w:rsidRDefault="001168B7" w:rsidP="001168B7">
      <w:pPr>
        <w:spacing w:after="120"/>
        <w:jc w:val="left"/>
      </w:pPr>
      <w:r w:rsidRPr="000D50F3">
        <w:tab/>
        <w:t>(d)</w:t>
      </w:r>
      <w:r w:rsidRPr="000D50F3">
        <w:tab/>
        <w:t>Groupe de travail technique sur les plantes ornementales et les arbres forestiers (TWO)</w:t>
      </w:r>
    </w:p>
    <w:p w14:paraId="0D1EE2CD" w14:textId="77777777" w:rsidR="001168B7" w:rsidRPr="000D50F3" w:rsidRDefault="001168B7" w:rsidP="001168B7">
      <w:pPr>
        <w:jc w:val="left"/>
      </w:pPr>
      <w:r w:rsidRPr="000D50F3">
        <w:tab/>
        <w:t>(e)</w:t>
      </w:r>
      <w:r w:rsidRPr="000D50F3">
        <w:tab/>
        <w:t>Groupe de travail technique sur les plantes potagères (TWV)</w:t>
      </w:r>
    </w:p>
    <w:p w14:paraId="74EF81E6" w14:textId="77777777" w:rsidR="001168B7" w:rsidRPr="000D50F3" w:rsidRDefault="001168B7" w:rsidP="001168B7">
      <w:pPr>
        <w:jc w:val="left"/>
      </w:pPr>
    </w:p>
    <w:p w14:paraId="235753EF" w14:textId="77777777" w:rsidR="001168B7" w:rsidRPr="000D50F3" w:rsidRDefault="001168B7" w:rsidP="001168B7">
      <w:pPr>
        <w:jc w:val="left"/>
      </w:pPr>
    </w:p>
    <w:p w14:paraId="683BC992" w14:textId="15832E20" w:rsidR="001168B7" w:rsidRPr="000D50F3" w:rsidRDefault="001168B7" w:rsidP="007E48A6">
      <w:pPr>
        <w:pStyle w:val="agendaitemtitle"/>
        <w:keepNext/>
        <w:jc w:val="left"/>
      </w:pPr>
      <w:r w:rsidRPr="000D50F3">
        <w:fldChar w:fldCharType="begin"/>
      </w:r>
      <w:r w:rsidRPr="000D50F3">
        <w:instrText xml:space="preserve"> AUTONUM  </w:instrText>
      </w:r>
      <w:r w:rsidRPr="000D50F3">
        <w:fldChar w:fldCharType="end"/>
      </w:r>
      <w:r w:rsidRPr="000D50F3">
        <w:tab/>
      </w:r>
      <w:r w:rsidR="00775D6E">
        <w:t>Questions</w:t>
      </w:r>
      <w:r w:rsidRPr="000D50F3">
        <w:t xml:space="preserve"> pour information :</w:t>
      </w:r>
    </w:p>
    <w:p w14:paraId="58B0C665" w14:textId="77777777" w:rsidR="001168B7" w:rsidRPr="000D50F3" w:rsidRDefault="001168B7" w:rsidP="007E48A6">
      <w:pPr>
        <w:keepNext/>
        <w:jc w:val="left"/>
        <w:rPr>
          <w:color w:val="006600"/>
        </w:rPr>
      </w:pPr>
    </w:p>
    <w:p w14:paraId="10B80129" w14:textId="73F4A5E8" w:rsidR="001168B7" w:rsidRPr="000D50F3" w:rsidRDefault="00775D6E" w:rsidP="001168B7">
      <w:pPr>
        <w:pStyle w:val="ListParagraph"/>
        <w:numPr>
          <w:ilvl w:val="0"/>
          <w:numId w:val="1"/>
        </w:numPr>
        <w:spacing w:after="120"/>
        <w:ind w:left="1134" w:hanging="567"/>
        <w:contextualSpacing w:val="0"/>
        <w:jc w:val="left"/>
      </w:pPr>
      <w:r>
        <w:rPr>
          <w:color w:val="006600"/>
        </w:rPr>
        <w:t>Rapport sur l</w:t>
      </w:r>
      <w:r w:rsidR="001168B7" w:rsidRPr="000D50F3">
        <w:rPr>
          <w:color w:val="006600"/>
        </w:rPr>
        <w:t xml:space="preserve">es activités menées au cours des neuf premiers mois de 2026 </w:t>
      </w:r>
      <w:r w:rsidR="001168B7" w:rsidRPr="000D50F3">
        <w:t>(document C/60/3)</w:t>
      </w:r>
    </w:p>
    <w:p w14:paraId="7E114E05" w14:textId="77777777" w:rsidR="001168B7" w:rsidRPr="000D50F3" w:rsidRDefault="001168B7" w:rsidP="001168B7">
      <w:pPr>
        <w:pStyle w:val="ListParagraph"/>
        <w:numPr>
          <w:ilvl w:val="0"/>
          <w:numId w:val="1"/>
        </w:numPr>
        <w:spacing w:after="120"/>
        <w:ind w:left="1134" w:hanging="567"/>
        <w:contextualSpacing w:val="0"/>
        <w:jc w:val="left"/>
      </w:pPr>
      <w:r w:rsidRPr="000D50F3">
        <w:rPr>
          <w:color w:val="006600"/>
        </w:rPr>
        <w:t xml:space="preserve">Liste des taxons protégés par les membres de l'Union </w:t>
      </w:r>
      <w:r w:rsidRPr="000D50F3">
        <w:t>(document C/60/6)</w:t>
      </w:r>
    </w:p>
    <w:p w14:paraId="78EB04A2" w14:textId="521CD9F9" w:rsidR="001168B7" w:rsidRPr="000D50F3" w:rsidRDefault="001168B7" w:rsidP="001168B7">
      <w:pPr>
        <w:pStyle w:val="ListParagraph"/>
        <w:numPr>
          <w:ilvl w:val="0"/>
          <w:numId w:val="1"/>
        </w:numPr>
        <w:ind w:left="1134" w:hanging="567"/>
        <w:jc w:val="left"/>
      </w:pPr>
      <w:r w:rsidRPr="000D50F3">
        <w:rPr>
          <w:color w:val="006600"/>
        </w:rPr>
        <w:t xml:space="preserve">Statistiques sur la protection des obtentions végétales pour la période 2021-2025 </w:t>
      </w:r>
      <w:r w:rsidRPr="000D50F3">
        <w:t>(document</w:t>
      </w:r>
      <w:r w:rsidR="00775D6E">
        <w:t> </w:t>
      </w:r>
      <w:r w:rsidRPr="000D50F3">
        <w:t>C/60/7)</w:t>
      </w:r>
    </w:p>
    <w:p w14:paraId="6B1DAD91" w14:textId="77777777" w:rsidR="001168B7" w:rsidRPr="000D50F3" w:rsidRDefault="001168B7" w:rsidP="001168B7">
      <w:pPr>
        <w:jc w:val="left"/>
        <w:rPr>
          <w:snapToGrid w:val="0"/>
        </w:rPr>
      </w:pPr>
    </w:p>
    <w:p w14:paraId="6C98711C" w14:textId="77777777" w:rsidR="001168B7" w:rsidRPr="000D50F3" w:rsidRDefault="001168B7" w:rsidP="001168B7">
      <w:pPr>
        <w:ind w:left="567" w:hanging="567"/>
        <w:jc w:val="left"/>
        <w:rPr>
          <w:snapToGrid w:val="0"/>
        </w:rPr>
      </w:pPr>
    </w:p>
    <w:p w14:paraId="2F382C7E" w14:textId="53B19C2D" w:rsidR="001168B7" w:rsidRPr="000D50F3" w:rsidRDefault="001168B7" w:rsidP="001168B7">
      <w:pPr>
        <w:pStyle w:val="agendaitemtitle"/>
        <w:keepNext/>
        <w:jc w:val="left"/>
        <w:rPr>
          <w:snapToGrid w:val="0"/>
        </w:rPr>
      </w:pPr>
      <w:r w:rsidRPr="000D50F3">
        <w:fldChar w:fldCharType="begin"/>
      </w:r>
      <w:r w:rsidRPr="000D50F3">
        <w:instrText xml:space="preserve"> AUTONUM  </w:instrText>
      </w:r>
      <w:r w:rsidRPr="000D50F3">
        <w:fldChar w:fldCharType="end"/>
      </w:r>
      <w:r w:rsidRPr="000D50F3">
        <w:tab/>
      </w:r>
      <w:r w:rsidRPr="000D50F3">
        <w:rPr>
          <w:snapToGrid w:val="0"/>
        </w:rPr>
        <w:t xml:space="preserve">Adoption d'un document </w:t>
      </w:r>
      <w:r w:rsidR="00775D6E">
        <w:rPr>
          <w:snapToGrid w:val="0"/>
        </w:rPr>
        <w:t>reflétant</w:t>
      </w:r>
      <w:r w:rsidRPr="000D50F3">
        <w:rPr>
          <w:snapToGrid w:val="0"/>
        </w:rPr>
        <w:t xml:space="preserve"> les décisions adoptées lors de la session </w:t>
      </w:r>
    </w:p>
    <w:p w14:paraId="190FB837" w14:textId="77777777" w:rsidR="001168B7" w:rsidRPr="000D50F3" w:rsidRDefault="001168B7" w:rsidP="001168B7">
      <w:pPr>
        <w:keepNext/>
        <w:ind w:left="567" w:hanging="567"/>
        <w:jc w:val="left"/>
        <w:rPr>
          <w:bCs/>
          <w:snapToGrid w:val="0"/>
          <w:szCs w:val="24"/>
        </w:rPr>
      </w:pPr>
    </w:p>
    <w:p w14:paraId="0B1AD2AD" w14:textId="77777777" w:rsidR="001168B7" w:rsidRPr="000D50F3" w:rsidRDefault="001168B7" w:rsidP="001168B7">
      <w:pPr>
        <w:keepNext/>
        <w:ind w:left="567" w:hanging="567"/>
        <w:jc w:val="left"/>
        <w:rPr>
          <w:bCs/>
          <w:snapToGrid w:val="0"/>
          <w:szCs w:val="24"/>
        </w:rPr>
      </w:pPr>
    </w:p>
    <w:p w14:paraId="1F10EF45" w14:textId="77777777" w:rsidR="001168B7" w:rsidRPr="000D50F3" w:rsidRDefault="001168B7" w:rsidP="001168B7">
      <w:pPr>
        <w:pStyle w:val="agendaitemtitle"/>
        <w:keepNext/>
        <w:jc w:val="left"/>
        <w:rPr>
          <w:snapToGrid w:val="0"/>
        </w:rPr>
      </w:pPr>
      <w:r w:rsidRPr="000D50F3">
        <w:fldChar w:fldCharType="begin"/>
      </w:r>
      <w:r w:rsidRPr="000D50F3">
        <w:instrText xml:space="preserve"> AUTONUM  </w:instrText>
      </w:r>
      <w:r w:rsidRPr="000D50F3">
        <w:fldChar w:fldCharType="end"/>
      </w:r>
      <w:r w:rsidRPr="000D50F3">
        <w:tab/>
      </w:r>
      <w:r w:rsidRPr="000D50F3">
        <w:rPr>
          <w:snapToGrid w:val="0"/>
        </w:rPr>
        <w:t>Clôture de la session</w:t>
      </w:r>
    </w:p>
    <w:p w14:paraId="67B7FB49" w14:textId="77777777" w:rsidR="001168B7" w:rsidRPr="000D50F3" w:rsidRDefault="001168B7" w:rsidP="001168B7">
      <w:pPr>
        <w:keepNext/>
        <w:jc w:val="left"/>
      </w:pPr>
    </w:p>
    <w:p w14:paraId="18301BD4" w14:textId="77777777" w:rsidR="001168B7" w:rsidRPr="000D50F3" w:rsidRDefault="001168B7" w:rsidP="001168B7">
      <w:pPr>
        <w:keepNext/>
        <w:jc w:val="left"/>
      </w:pPr>
    </w:p>
    <w:p w14:paraId="08A8549C" w14:textId="77777777" w:rsidR="001168B7" w:rsidRPr="000D50F3" w:rsidRDefault="001168B7" w:rsidP="001168B7">
      <w:pPr>
        <w:keepNext/>
        <w:jc w:val="left"/>
      </w:pPr>
    </w:p>
    <w:p w14:paraId="3CC287D0" w14:textId="77777777" w:rsidR="001168B7" w:rsidRPr="000D50F3" w:rsidRDefault="001168B7" w:rsidP="001168B7">
      <w:pPr>
        <w:jc w:val="right"/>
      </w:pPr>
      <w:r w:rsidRPr="000D50F3">
        <w:t>[Fin du document]</w:t>
      </w:r>
    </w:p>
    <w:p w14:paraId="645D2460" w14:textId="77777777" w:rsidR="00050E16" w:rsidRPr="000D50F3" w:rsidRDefault="00050E16" w:rsidP="009B440E">
      <w:pPr>
        <w:jc w:val="left"/>
      </w:pPr>
    </w:p>
    <w:sectPr w:rsidR="00050E16" w:rsidRPr="000D50F3" w:rsidSect="000D50F3">
      <w:headerReference w:type="default" r:id="rId8"/>
      <w:footerReference w:type="first" r:id="rId9"/>
      <w:pgSz w:w="11907" w:h="16840" w:code="9"/>
      <w:pgMar w:top="510" w:right="992"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76E9" w14:textId="77777777" w:rsidR="00732B05" w:rsidRDefault="00732B05" w:rsidP="006655D3">
      <w:r>
        <w:separator/>
      </w:r>
    </w:p>
    <w:p w14:paraId="00F1B97E" w14:textId="77777777" w:rsidR="00732B05" w:rsidRDefault="00732B05" w:rsidP="006655D3"/>
    <w:p w14:paraId="5465B904" w14:textId="77777777" w:rsidR="00732B05" w:rsidRDefault="00732B05" w:rsidP="006655D3"/>
  </w:endnote>
  <w:endnote w:type="continuationSeparator" w:id="0">
    <w:p w14:paraId="528E81BC" w14:textId="77777777" w:rsidR="00732B05" w:rsidRDefault="00732B05" w:rsidP="006655D3">
      <w:r>
        <w:separator/>
      </w:r>
    </w:p>
    <w:p w14:paraId="4013EC6D" w14:textId="77777777" w:rsidR="00732B05" w:rsidRPr="00294751" w:rsidRDefault="00732B05">
      <w:pPr>
        <w:pStyle w:val="Footer"/>
        <w:spacing w:after="60"/>
        <w:rPr>
          <w:sz w:val="18"/>
          <w:lang w:val="fr-FR"/>
        </w:rPr>
      </w:pPr>
      <w:r w:rsidRPr="00294751">
        <w:rPr>
          <w:sz w:val="18"/>
          <w:lang w:val="fr-FR"/>
        </w:rPr>
        <w:t>[Suite de la note de la page précédente]</w:t>
      </w:r>
    </w:p>
    <w:p w14:paraId="5761F759" w14:textId="77777777" w:rsidR="00732B05" w:rsidRPr="00294751" w:rsidRDefault="00732B05" w:rsidP="006655D3"/>
    <w:p w14:paraId="645B04CB" w14:textId="77777777" w:rsidR="00732B05" w:rsidRPr="00294751" w:rsidRDefault="00732B05" w:rsidP="006655D3"/>
  </w:endnote>
  <w:endnote w:type="continuationNotice" w:id="1">
    <w:p w14:paraId="64BC2507" w14:textId="77777777" w:rsidR="00732B05" w:rsidRPr="00294751" w:rsidRDefault="00732B05" w:rsidP="006655D3">
      <w:r w:rsidRPr="00294751">
        <w:t>[Suite de la note de la page suivante]</w:t>
      </w:r>
    </w:p>
    <w:p w14:paraId="20E558CF" w14:textId="77777777" w:rsidR="00732B05" w:rsidRPr="00294751" w:rsidRDefault="00732B05" w:rsidP="006655D3"/>
    <w:p w14:paraId="198CB9D2" w14:textId="77777777" w:rsidR="00732B05" w:rsidRPr="00294751" w:rsidRDefault="00732B05"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85BB" w14:textId="77777777" w:rsidR="001168B7" w:rsidRPr="007E034C" w:rsidRDefault="001168B7" w:rsidP="001168B7">
    <w:pPr>
      <w:tabs>
        <w:tab w:val="left" w:pos="2835"/>
      </w:tabs>
      <w:rPr>
        <w:sz w:val="16"/>
        <w:u w:val="single"/>
      </w:rPr>
    </w:pPr>
    <w:r w:rsidRPr="007E034C">
      <w:rPr>
        <w:sz w:val="16"/>
        <w:u w:val="single"/>
      </w:rPr>
      <w:tab/>
    </w:r>
  </w:p>
  <w:p w14:paraId="70B35555" w14:textId="513C6198" w:rsidR="001168B7" w:rsidRPr="00130657" w:rsidRDefault="001168B7" w:rsidP="00130657">
    <w:pPr>
      <w:pStyle w:val="Footer"/>
      <w:tabs>
        <w:tab w:val="left" w:leader="underscore" w:pos="2835"/>
      </w:tabs>
      <w:spacing w:before="60"/>
      <w:rPr>
        <w:lang w:val="fr-FR"/>
      </w:rPr>
    </w:pPr>
    <w:r w:rsidRPr="000D50F3">
      <w:rPr>
        <w:rFonts w:cs="Arial"/>
        <w:szCs w:val="15"/>
        <w:lang w:val="fr-FR"/>
      </w:rPr>
      <w:t xml:space="preserve">La session se tiendra au siège de l'UPOV (34, chemin des Colombettes, Genève, Suisse) </w:t>
    </w:r>
    <w:r w:rsidRPr="000D50F3">
      <w:rPr>
        <w:szCs w:val="15"/>
        <w:lang w:val="fr-FR"/>
      </w:rPr>
      <w:t>le vendredi 23 octobre 2026 et débutera à 9 h 30.</w:t>
    </w:r>
    <w:r w:rsidRPr="000D50F3">
      <w:rPr>
        <w:szCs w:val="15"/>
        <w:u w:val="single"/>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043CE" w14:textId="77777777" w:rsidR="00732B05" w:rsidRDefault="00732B05" w:rsidP="006655D3">
      <w:r>
        <w:separator/>
      </w:r>
    </w:p>
  </w:footnote>
  <w:footnote w:type="continuationSeparator" w:id="0">
    <w:p w14:paraId="3558D779" w14:textId="77777777" w:rsidR="00732B05" w:rsidRDefault="00732B05" w:rsidP="006655D3">
      <w:r>
        <w:separator/>
      </w:r>
    </w:p>
  </w:footnote>
  <w:footnote w:type="continuationNotice" w:id="1">
    <w:p w14:paraId="6E2244B2" w14:textId="77777777" w:rsidR="00732B05" w:rsidRPr="00AB530F" w:rsidRDefault="00732B05"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745F" w14:textId="10AC2802" w:rsidR="00182B99" w:rsidRPr="00C5280D" w:rsidRDefault="005C2BC9" w:rsidP="00EB048E">
    <w:pPr>
      <w:pStyle w:val="Header"/>
      <w:rPr>
        <w:rStyle w:val="PageNumber"/>
        <w:lang w:val="en-US"/>
      </w:rPr>
    </w:pPr>
    <w:r>
      <w:rPr>
        <w:rStyle w:val="PageNumber"/>
        <w:lang w:val="en-US"/>
      </w:rPr>
      <w:t>C/60/1</w:t>
    </w:r>
  </w:p>
  <w:p w14:paraId="0CE90FB8" w14:textId="77777777" w:rsidR="00182B99" w:rsidRPr="00C5280D" w:rsidRDefault="00182B99"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903264">
      <w:rPr>
        <w:rStyle w:val="PageNumber"/>
        <w:noProof/>
        <w:lang w:val="en-US"/>
      </w:rPr>
      <w:t>2</w:t>
    </w:r>
    <w:r w:rsidRPr="00C5280D">
      <w:rPr>
        <w:rStyle w:val="PageNumber"/>
        <w:lang w:val="en-US"/>
      </w:rPr>
      <w:fldChar w:fldCharType="end"/>
    </w:r>
  </w:p>
  <w:p w14:paraId="640CC9F4" w14:textId="77777777" w:rsidR="00182B99" w:rsidRPr="00C5280D" w:rsidRDefault="00182B99"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1B76"/>
    <w:multiLevelType w:val="hybridMultilevel"/>
    <w:tmpl w:val="5D3C218E"/>
    <w:lvl w:ilvl="0" w:tplc="CB4CA0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15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05"/>
    <w:rsid w:val="00010CF3"/>
    <w:rsid w:val="00011E27"/>
    <w:rsid w:val="000148BC"/>
    <w:rsid w:val="00024AB8"/>
    <w:rsid w:val="00030854"/>
    <w:rsid w:val="00036028"/>
    <w:rsid w:val="00044642"/>
    <w:rsid w:val="000446B9"/>
    <w:rsid w:val="00047E21"/>
    <w:rsid w:val="00050E16"/>
    <w:rsid w:val="00085505"/>
    <w:rsid w:val="000C3BE6"/>
    <w:rsid w:val="000C4E25"/>
    <w:rsid w:val="000C7021"/>
    <w:rsid w:val="000D50F3"/>
    <w:rsid w:val="000D6BBC"/>
    <w:rsid w:val="000D7780"/>
    <w:rsid w:val="000E636A"/>
    <w:rsid w:val="000F2F11"/>
    <w:rsid w:val="000F4F59"/>
    <w:rsid w:val="000F77B3"/>
    <w:rsid w:val="00105929"/>
    <w:rsid w:val="00110C36"/>
    <w:rsid w:val="001131D5"/>
    <w:rsid w:val="001168B7"/>
    <w:rsid w:val="00130657"/>
    <w:rsid w:val="00141DB8"/>
    <w:rsid w:val="00172084"/>
    <w:rsid w:val="0017474A"/>
    <w:rsid w:val="001758C6"/>
    <w:rsid w:val="00182B99"/>
    <w:rsid w:val="001C1525"/>
    <w:rsid w:val="001D1460"/>
    <w:rsid w:val="0020304B"/>
    <w:rsid w:val="0021332C"/>
    <w:rsid w:val="00213982"/>
    <w:rsid w:val="00214C72"/>
    <w:rsid w:val="0024416D"/>
    <w:rsid w:val="00256BFA"/>
    <w:rsid w:val="00271911"/>
    <w:rsid w:val="002800A0"/>
    <w:rsid w:val="002801B3"/>
    <w:rsid w:val="00281060"/>
    <w:rsid w:val="002940E8"/>
    <w:rsid w:val="00294751"/>
    <w:rsid w:val="002A6E50"/>
    <w:rsid w:val="002B4298"/>
    <w:rsid w:val="002C256A"/>
    <w:rsid w:val="00305A7F"/>
    <w:rsid w:val="003152FE"/>
    <w:rsid w:val="00327436"/>
    <w:rsid w:val="00344BD6"/>
    <w:rsid w:val="0035528D"/>
    <w:rsid w:val="00361821"/>
    <w:rsid w:val="00361E9E"/>
    <w:rsid w:val="003900D5"/>
    <w:rsid w:val="0039633A"/>
    <w:rsid w:val="003A264C"/>
    <w:rsid w:val="003C7FBE"/>
    <w:rsid w:val="003D227C"/>
    <w:rsid w:val="003D2B4D"/>
    <w:rsid w:val="003F5F2B"/>
    <w:rsid w:val="00444A88"/>
    <w:rsid w:val="00454445"/>
    <w:rsid w:val="004736CB"/>
    <w:rsid w:val="0047392F"/>
    <w:rsid w:val="00474DA4"/>
    <w:rsid w:val="00476B4D"/>
    <w:rsid w:val="004805FA"/>
    <w:rsid w:val="004935D2"/>
    <w:rsid w:val="004B1215"/>
    <w:rsid w:val="004D047D"/>
    <w:rsid w:val="004F1E9E"/>
    <w:rsid w:val="004F305A"/>
    <w:rsid w:val="00512164"/>
    <w:rsid w:val="0051361E"/>
    <w:rsid w:val="00520297"/>
    <w:rsid w:val="005338F9"/>
    <w:rsid w:val="0054281C"/>
    <w:rsid w:val="00544581"/>
    <w:rsid w:val="00547FCF"/>
    <w:rsid w:val="0055268D"/>
    <w:rsid w:val="00576BE4"/>
    <w:rsid w:val="005A400A"/>
    <w:rsid w:val="005B7A61"/>
    <w:rsid w:val="005C2BC9"/>
    <w:rsid w:val="005F7B92"/>
    <w:rsid w:val="00612379"/>
    <w:rsid w:val="006153B6"/>
    <w:rsid w:val="0061555F"/>
    <w:rsid w:val="00636CA6"/>
    <w:rsid w:val="00641200"/>
    <w:rsid w:val="00645CA8"/>
    <w:rsid w:val="006637AB"/>
    <w:rsid w:val="006655D3"/>
    <w:rsid w:val="00667404"/>
    <w:rsid w:val="00687EB4"/>
    <w:rsid w:val="006934AE"/>
    <w:rsid w:val="00695C56"/>
    <w:rsid w:val="006A5CDE"/>
    <w:rsid w:val="006A644A"/>
    <w:rsid w:val="006B17D2"/>
    <w:rsid w:val="006C224E"/>
    <w:rsid w:val="006C23EA"/>
    <w:rsid w:val="006D780A"/>
    <w:rsid w:val="0071271E"/>
    <w:rsid w:val="00732B05"/>
    <w:rsid w:val="00732DEC"/>
    <w:rsid w:val="00735BD5"/>
    <w:rsid w:val="007451EC"/>
    <w:rsid w:val="00751613"/>
    <w:rsid w:val="007556F6"/>
    <w:rsid w:val="00760EEF"/>
    <w:rsid w:val="00775D6E"/>
    <w:rsid w:val="00777EE5"/>
    <w:rsid w:val="00782255"/>
    <w:rsid w:val="0078307C"/>
    <w:rsid w:val="00784836"/>
    <w:rsid w:val="0079023E"/>
    <w:rsid w:val="007A2854"/>
    <w:rsid w:val="007C1D92"/>
    <w:rsid w:val="007C3C19"/>
    <w:rsid w:val="007C4CB9"/>
    <w:rsid w:val="007D0B9D"/>
    <w:rsid w:val="007D19B0"/>
    <w:rsid w:val="007D4635"/>
    <w:rsid w:val="007E48A6"/>
    <w:rsid w:val="007F498F"/>
    <w:rsid w:val="0080679D"/>
    <w:rsid w:val="008108B0"/>
    <w:rsid w:val="00811B20"/>
    <w:rsid w:val="008211B5"/>
    <w:rsid w:val="0082296E"/>
    <w:rsid w:val="00824099"/>
    <w:rsid w:val="0083359E"/>
    <w:rsid w:val="00846D7C"/>
    <w:rsid w:val="00867AC1"/>
    <w:rsid w:val="00887102"/>
    <w:rsid w:val="00890DF8"/>
    <w:rsid w:val="008A743F"/>
    <w:rsid w:val="008C0970"/>
    <w:rsid w:val="008D0BC5"/>
    <w:rsid w:val="008D2CF7"/>
    <w:rsid w:val="008F75A6"/>
    <w:rsid w:val="00900C26"/>
    <w:rsid w:val="0090197F"/>
    <w:rsid w:val="00903264"/>
    <w:rsid w:val="00906DDC"/>
    <w:rsid w:val="00915B09"/>
    <w:rsid w:val="00934E09"/>
    <w:rsid w:val="00936253"/>
    <w:rsid w:val="00940D46"/>
    <w:rsid w:val="00952DD4"/>
    <w:rsid w:val="00965AE7"/>
    <w:rsid w:val="00970FED"/>
    <w:rsid w:val="009830C3"/>
    <w:rsid w:val="00987CB1"/>
    <w:rsid w:val="00992D82"/>
    <w:rsid w:val="00997029"/>
    <w:rsid w:val="009A7339"/>
    <w:rsid w:val="009B440E"/>
    <w:rsid w:val="009D690D"/>
    <w:rsid w:val="009E65B6"/>
    <w:rsid w:val="009F262E"/>
    <w:rsid w:val="009F7447"/>
    <w:rsid w:val="009F77CF"/>
    <w:rsid w:val="00A12DBD"/>
    <w:rsid w:val="00A24C10"/>
    <w:rsid w:val="00A3365A"/>
    <w:rsid w:val="00A42AC3"/>
    <w:rsid w:val="00A430CF"/>
    <w:rsid w:val="00A54309"/>
    <w:rsid w:val="00AB2B93"/>
    <w:rsid w:val="00AB530F"/>
    <w:rsid w:val="00AB7E5B"/>
    <w:rsid w:val="00AC2883"/>
    <w:rsid w:val="00AE0EF1"/>
    <w:rsid w:val="00AE2937"/>
    <w:rsid w:val="00B07301"/>
    <w:rsid w:val="00B11F3E"/>
    <w:rsid w:val="00B224DE"/>
    <w:rsid w:val="00B324D4"/>
    <w:rsid w:val="00B451A8"/>
    <w:rsid w:val="00B46575"/>
    <w:rsid w:val="00B5251D"/>
    <w:rsid w:val="00B61777"/>
    <w:rsid w:val="00B652F1"/>
    <w:rsid w:val="00B84BBD"/>
    <w:rsid w:val="00BA43FB"/>
    <w:rsid w:val="00BC127D"/>
    <w:rsid w:val="00BC1FE6"/>
    <w:rsid w:val="00C0361E"/>
    <w:rsid w:val="00C061B6"/>
    <w:rsid w:val="00C17920"/>
    <w:rsid w:val="00C2446C"/>
    <w:rsid w:val="00C36AE5"/>
    <w:rsid w:val="00C41F17"/>
    <w:rsid w:val="00C527FA"/>
    <w:rsid w:val="00C5280D"/>
    <w:rsid w:val="00C53EB3"/>
    <w:rsid w:val="00C5791C"/>
    <w:rsid w:val="00C66290"/>
    <w:rsid w:val="00C72B7A"/>
    <w:rsid w:val="00C75A58"/>
    <w:rsid w:val="00C92046"/>
    <w:rsid w:val="00C973F2"/>
    <w:rsid w:val="00CA2147"/>
    <w:rsid w:val="00CA304C"/>
    <w:rsid w:val="00CA774A"/>
    <w:rsid w:val="00CA7BA1"/>
    <w:rsid w:val="00CC11B0"/>
    <w:rsid w:val="00CC2841"/>
    <w:rsid w:val="00CF1330"/>
    <w:rsid w:val="00CF7E36"/>
    <w:rsid w:val="00D3708D"/>
    <w:rsid w:val="00D40426"/>
    <w:rsid w:val="00D57C96"/>
    <w:rsid w:val="00D57D18"/>
    <w:rsid w:val="00D76A6E"/>
    <w:rsid w:val="00D91203"/>
    <w:rsid w:val="00D95174"/>
    <w:rsid w:val="00DA4973"/>
    <w:rsid w:val="00DA6F36"/>
    <w:rsid w:val="00DB323D"/>
    <w:rsid w:val="00DB596E"/>
    <w:rsid w:val="00DB7773"/>
    <w:rsid w:val="00DC00EA"/>
    <w:rsid w:val="00DC3802"/>
    <w:rsid w:val="00E07D87"/>
    <w:rsid w:val="00E32F7E"/>
    <w:rsid w:val="00E364BF"/>
    <w:rsid w:val="00E5267B"/>
    <w:rsid w:val="00E63C0E"/>
    <w:rsid w:val="00E672CE"/>
    <w:rsid w:val="00E72D49"/>
    <w:rsid w:val="00E7593C"/>
    <w:rsid w:val="00E7678A"/>
    <w:rsid w:val="00E935F1"/>
    <w:rsid w:val="00E948F9"/>
    <w:rsid w:val="00E94A81"/>
    <w:rsid w:val="00EA1FFB"/>
    <w:rsid w:val="00EB048E"/>
    <w:rsid w:val="00EB4E9C"/>
    <w:rsid w:val="00EE34DF"/>
    <w:rsid w:val="00EF2F89"/>
    <w:rsid w:val="00F03E98"/>
    <w:rsid w:val="00F1237A"/>
    <w:rsid w:val="00F22CBD"/>
    <w:rsid w:val="00F272F1"/>
    <w:rsid w:val="00F45372"/>
    <w:rsid w:val="00F560F7"/>
    <w:rsid w:val="00F6334D"/>
    <w:rsid w:val="00F63599"/>
    <w:rsid w:val="00F85EF6"/>
    <w:rsid w:val="00FA49A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C638C"/>
  <w15:docId w15:val="{02A5F76B-24D5-42BD-BD3D-BD7D9A07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0F3"/>
    <w:pPr>
      <w:jc w:val="both"/>
    </w:pPr>
    <w:rPr>
      <w:rFonts w:ascii="Arial" w:hAnsi="Arial"/>
      <w:lang w:val="fr-FR"/>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3F5F2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3F5F2B"/>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3F5F2B"/>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3F5F2B"/>
    <w:pPr>
      <w:tabs>
        <w:tab w:val="right" w:leader="dot" w:pos="9639"/>
      </w:tabs>
      <w:spacing w:after="120"/>
      <w:jc w:val="center"/>
    </w:pPr>
    <w:rPr>
      <w:rFonts w:ascii="Arial" w:hAnsi="Arial"/>
      <w:caps/>
    </w:rPr>
  </w:style>
  <w:style w:type="paragraph" w:styleId="TOC5">
    <w:name w:val="toc 5"/>
    <w:next w:val="Normal"/>
    <w:autoRedefine/>
    <w:rsid w:val="003F5F2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ListParagraph">
    <w:name w:val="List Paragraph"/>
    <w:aliases w:val="auto_list_(i),List Paragraph1"/>
    <w:basedOn w:val="Normal"/>
    <w:link w:val="ListParagraphChar"/>
    <w:uiPriority w:val="34"/>
    <w:qFormat/>
    <w:rsid w:val="001168B7"/>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1168B7"/>
    <w:rPr>
      <w:rFonts w:ascii="Arial" w:hAnsi="Arial"/>
    </w:rPr>
  </w:style>
  <w:style w:type="paragraph" w:customStyle="1" w:styleId="agendaitemtitle">
    <w:name w:val="agenda_item_title"/>
    <w:basedOn w:val="Normal"/>
    <w:link w:val="agendaitemtitleChar"/>
    <w:qFormat/>
    <w:rsid w:val="001168B7"/>
    <w:pPr>
      <w:ind w:left="567" w:hanging="567"/>
    </w:pPr>
    <w:rPr>
      <w:rFonts w:eastAsia="Calibri" w:cs="Arial"/>
      <w:b/>
      <w:bCs/>
      <w:color w:val="006600"/>
      <w:bdr w:val="nil"/>
      <w:lang w:eastAsia="nl-NL"/>
    </w:rPr>
  </w:style>
  <w:style w:type="character" w:customStyle="1" w:styleId="agendaitemtitleChar">
    <w:name w:val="agenda_item_title Char"/>
    <w:basedOn w:val="DefaultParagraphFont"/>
    <w:link w:val="agendaitemtitle"/>
    <w:rsid w:val="001168B7"/>
    <w:rPr>
      <w:rFonts w:ascii="Arial" w:eastAsia="Calibri" w:hAnsi="Arial" w:cs="Arial"/>
      <w:b/>
      <w:bCs/>
      <w:color w:val="006600"/>
      <w:bdr w:val="nil"/>
      <w:lang w:eastAsia="nl-NL"/>
    </w:rPr>
  </w:style>
  <w:style w:type="paragraph" w:customStyle="1" w:styleId="agendasubitemtitle">
    <w:name w:val="agenda_sub_item_title"/>
    <w:basedOn w:val="agendaitemtitle"/>
    <w:link w:val="agendasubitemtitleChar"/>
    <w:qFormat/>
    <w:rsid w:val="001168B7"/>
    <w:pPr>
      <w:ind w:left="1134"/>
    </w:pPr>
    <w:rPr>
      <w:b w:val="0"/>
      <w:bCs w:val="0"/>
    </w:rPr>
  </w:style>
  <w:style w:type="character" w:customStyle="1" w:styleId="agendasubitemtitleChar">
    <w:name w:val="agenda_sub_item_title Char"/>
    <w:basedOn w:val="agendaitemtitleChar"/>
    <w:link w:val="agendasubitemtitle"/>
    <w:rsid w:val="001168B7"/>
    <w:rPr>
      <w:rFonts w:ascii="Arial" w:eastAsia="Calibri" w:hAnsi="Arial" w:cs="Arial"/>
      <w:b w:val="0"/>
      <w:bCs w:val="0"/>
      <w:color w:val="006600"/>
      <w:bdr w:val="nil"/>
      <w:lang w:eastAsia="nl-NL"/>
    </w:rPr>
  </w:style>
  <w:style w:type="character" w:customStyle="1" w:styleId="FooterChar">
    <w:name w:val="Footer Char"/>
    <w:aliases w:val="doc_path_name Char"/>
    <w:basedOn w:val="DefaultParagraphFont"/>
    <w:link w:val="Footer"/>
    <w:rsid w:val="001168B7"/>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1409</Words>
  <Characters>7769</Characters>
  <Application>Microsoft Office Word</Application>
  <DocSecurity>0</DocSecurity>
  <Lines>209</Lines>
  <Paragraphs>87</Paragraphs>
  <ScaleCrop>false</ScaleCrop>
  <HeadingPairs>
    <vt:vector size="2" baseType="variant">
      <vt:variant>
        <vt:lpstr>Title</vt:lpstr>
      </vt:variant>
      <vt:variant>
        <vt:i4>1</vt:i4>
      </vt:variant>
    </vt:vector>
  </HeadingPairs>
  <TitlesOfParts>
    <vt:vector size="1" baseType="lpstr">
      <vt:lpstr>C/60/1</vt:lpstr>
    </vt:vector>
  </TitlesOfParts>
  <Company>UPOV</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C/60/1</dc:title>
  <dc:subject>Annotated Draft Agenda</dc:subject>
  <dc:creator>UPOV</dc:creator>
  <cp:keywords>, docId:B4205C38E832DFD6DE18A3B9318230AF</cp:keywords>
  <cp:lastModifiedBy>NICOLO Laurianne</cp:lastModifiedBy>
  <cp:revision>10</cp:revision>
  <cp:lastPrinted>2016-11-22T15:41:00Z</cp:lastPrinted>
  <dcterms:created xsi:type="dcterms:W3CDTF">2026-06-11T13:53:00Z</dcterms:created>
  <dcterms:modified xsi:type="dcterms:W3CDTF">2026-06-16T09:56:00Z</dcterms:modified>
</cp:coreProperties>
</file>