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04C54B58" w14:textId="77777777" w:rsidTr="00EB4E9C">
        <w:tc>
          <w:tcPr>
            <w:tcW w:w="6522" w:type="dxa"/>
          </w:tcPr>
          <w:p w14:paraId="7A777B44" w14:textId="324540CD" w:rsidR="00DC3802" w:rsidRPr="00AC2883" w:rsidRDefault="00B4716E" w:rsidP="00AC2883">
            <w:r>
              <w:rPr>
                <w:noProof/>
                <w:sz w:val="16"/>
              </w:rPr>
              <w:drawing>
                <wp:inline distT="0" distB="0" distL="0" distR="0" wp14:anchorId="25D3B817" wp14:editId="464A0600">
                  <wp:extent cx="936000" cy="269520"/>
                  <wp:effectExtent l="0" t="0" r="0" b="0"/>
                  <wp:docPr id="988524899" name="Picture 1" descr="A green and yellow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524899" name="Picture 1" descr="A green and yellow logo&#10;&#10;AI-generated content may b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26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4C0D557" w14:textId="77777777"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14:paraId="7CE3747A" w14:textId="77777777" w:rsidTr="00645CA8">
        <w:trPr>
          <w:trHeight w:val="219"/>
        </w:trPr>
        <w:tc>
          <w:tcPr>
            <w:tcW w:w="6522" w:type="dxa"/>
          </w:tcPr>
          <w:p w14:paraId="1FE80F31" w14:textId="77777777"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14:paraId="249B8253" w14:textId="77777777" w:rsidR="00DC3802" w:rsidRPr="00DA4973" w:rsidRDefault="00DC3802" w:rsidP="00DA4973"/>
        </w:tc>
      </w:tr>
    </w:tbl>
    <w:p w14:paraId="3CF873B7" w14:textId="77777777" w:rsidR="00DC3802" w:rsidRDefault="00DC3802" w:rsidP="00DC3802"/>
    <w:p w14:paraId="227C1603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2C69377C" w14:textId="77777777" w:rsidTr="00EB4E9C">
        <w:tc>
          <w:tcPr>
            <w:tcW w:w="6512" w:type="dxa"/>
          </w:tcPr>
          <w:p w14:paraId="0D654576" w14:textId="77777777" w:rsidR="00EB4E9C" w:rsidRPr="00204951" w:rsidRDefault="00AB5931" w:rsidP="00AC2883">
            <w:pPr>
              <w:pStyle w:val="Sessiontc"/>
              <w:spacing w:line="240" w:lineRule="auto"/>
            </w:pPr>
            <w:r w:rsidRPr="00204951">
              <w:t>Conseil</w:t>
            </w:r>
          </w:p>
          <w:p w14:paraId="01268794" w14:textId="21EB24E7" w:rsidR="007924B4" w:rsidRPr="00204951" w:rsidRDefault="00AB5931" w:rsidP="00EE6E70">
            <w:pPr>
              <w:pStyle w:val="Sessiontcplacedate"/>
            </w:pPr>
            <w:r w:rsidRPr="00204951">
              <w:t>Cinquante</w:t>
            </w:r>
            <w:r w:rsidR="00E44D1E" w:rsidRPr="00204951">
              <w:noBreakHyphen/>
            </w:r>
            <w:r w:rsidR="005D1417" w:rsidRPr="00204951">
              <w:t>neuv</w:t>
            </w:r>
            <w:r w:rsidR="00AE0675" w:rsidRPr="00204951">
              <w:t>ième session</w:t>
            </w:r>
            <w:r w:rsidRPr="00204951">
              <w:t xml:space="preserve"> ordinaire</w:t>
            </w:r>
          </w:p>
          <w:p w14:paraId="3E2BE5B9" w14:textId="18A95B1D" w:rsidR="00EB4E9C" w:rsidRPr="00204951" w:rsidRDefault="00EB4E9C" w:rsidP="00DE20C8">
            <w:pPr>
              <w:pStyle w:val="Sessiontcplacedate"/>
              <w:rPr>
                <w:sz w:val="22"/>
              </w:rPr>
            </w:pPr>
            <w:r w:rsidRPr="00204951">
              <w:t>Gen</w:t>
            </w:r>
            <w:r w:rsidR="00A706D3" w:rsidRPr="00204951">
              <w:t>è</w:t>
            </w:r>
            <w:r w:rsidRPr="00204951">
              <w:t>v</w:t>
            </w:r>
            <w:r w:rsidR="00A706D3" w:rsidRPr="00204951">
              <w:t>e</w:t>
            </w:r>
            <w:r w:rsidRPr="00204951">
              <w:t xml:space="preserve">, </w:t>
            </w:r>
            <w:r w:rsidR="00EE6E70" w:rsidRPr="00204951">
              <w:t>2</w:t>
            </w:r>
            <w:r w:rsidR="005D1417" w:rsidRPr="00204951">
              <w:t>4</w:t>
            </w:r>
            <w:r w:rsidR="00401383" w:rsidRPr="00204951">
              <w:t> </w:t>
            </w:r>
            <w:r w:rsidR="0066261A" w:rsidRPr="00204951">
              <w:t>octobre 20</w:t>
            </w:r>
            <w:r w:rsidR="00EE6E70" w:rsidRPr="00204951">
              <w:t>2</w:t>
            </w:r>
            <w:r w:rsidR="005D1417" w:rsidRPr="00204951">
              <w:t>5</w:t>
            </w:r>
          </w:p>
        </w:tc>
        <w:tc>
          <w:tcPr>
            <w:tcW w:w="3127" w:type="dxa"/>
          </w:tcPr>
          <w:p w14:paraId="3518C373" w14:textId="031D25BF" w:rsidR="00EB4E9C" w:rsidRPr="00204951" w:rsidRDefault="005D1417" w:rsidP="003C7FBE">
            <w:pPr>
              <w:pStyle w:val="Doccode"/>
              <w:rPr>
                <w:lang w:val="fr-FR"/>
              </w:rPr>
            </w:pPr>
            <w:r w:rsidRPr="00204951">
              <w:rPr>
                <w:lang w:val="fr-FR"/>
              </w:rPr>
              <w:t>C/59/</w:t>
            </w:r>
            <w:r w:rsidR="00452FC5" w:rsidRPr="00204951">
              <w:rPr>
                <w:lang w:val="fr-FR"/>
              </w:rPr>
              <w:t>1</w:t>
            </w:r>
            <w:r w:rsidR="00661707" w:rsidRPr="00204951">
              <w:rPr>
                <w:lang w:val="fr-FR"/>
              </w:rPr>
              <w:t>8</w:t>
            </w:r>
          </w:p>
          <w:p w14:paraId="120EDE88" w14:textId="4AFD6312" w:rsidR="00EB4E9C" w:rsidRPr="00204951" w:rsidRDefault="00EB4E9C" w:rsidP="003C7FBE">
            <w:pPr>
              <w:pStyle w:val="Docoriginal"/>
            </w:pPr>
            <w:r w:rsidRPr="00204951">
              <w:t>Original</w:t>
            </w:r>
            <w:r w:rsidR="00AE0675" w:rsidRPr="00204951">
              <w:t> :</w:t>
            </w:r>
            <w:r w:rsidRPr="00204951">
              <w:rPr>
                <w:b w:val="0"/>
                <w:spacing w:val="0"/>
              </w:rPr>
              <w:t xml:space="preserve"> </w:t>
            </w:r>
            <w:r w:rsidR="00A706D3" w:rsidRPr="00204951">
              <w:rPr>
                <w:b w:val="0"/>
                <w:spacing w:val="0"/>
              </w:rPr>
              <w:t>anglais</w:t>
            </w:r>
          </w:p>
          <w:p w14:paraId="5F7BD362" w14:textId="3B0472B9" w:rsidR="00EB4E9C" w:rsidRPr="007C1D92" w:rsidRDefault="00EB4E9C" w:rsidP="00EE6E70">
            <w:pPr>
              <w:pStyle w:val="Docoriginal"/>
            </w:pPr>
            <w:r w:rsidRPr="00204951">
              <w:t>Date</w:t>
            </w:r>
            <w:r w:rsidR="00AE0675" w:rsidRPr="00204951">
              <w:t> :</w:t>
            </w:r>
            <w:r w:rsidRPr="00204951">
              <w:rPr>
                <w:b w:val="0"/>
                <w:spacing w:val="0"/>
              </w:rPr>
              <w:t xml:space="preserve"> </w:t>
            </w:r>
            <w:r w:rsidR="00452FC5" w:rsidRPr="00204951">
              <w:rPr>
                <w:b w:val="0"/>
                <w:spacing w:val="0"/>
              </w:rPr>
              <w:t>2</w:t>
            </w:r>
            <w:r w:rsidR="00204951" w:rsidRPr="00204951">
              <w:rPr>
                <w:b w:val="0"/>
                <w:spacing w:val="0"/>
              </w:rPr>
              <w:t>9</w:t>
            </w:r>
            <w:r w:rsidR="00401383" w:rsidRPr="00204951">
              <w:rPr>
                <w:b w:val="0"/>
                <w:spacing w:val="0"/>
              </w:rPr>
              <w:t> </w:t>
            </w:r>
            <w:r w:rsidR="00661707" w:rsidRPr="00204951">
              <w:rPr>
                <w:b w:val="0"/>
                <w:spacing w:val="0"/>
              </w:rPr>
              <w:t>août</w:t>
            </w:r>
            <w:r w:rsidR="0066261A" w:rsidRPr="00204951">
              <w:rPr>
                <w:b w:val="0"/>
                <w:spacing w:val="0"/>
              </w:rPr>
              <w:t> 20</w:t>
            </w:r>
            <w:r w:rsidR="00235CD2" w:rsidRPr="00204951">
              <w:rPr>
                <w:b w:val="0"/>
                <w:spacing w:val="0"/>
              </w:rPr>
              <w:t>2</w:t>
            </w:r>
            <w:r w:rsidR="005D1417" w:rsidRPr="00204951">
              <w:rPr>
                <w:b w:val="0"/>
                <w:spacing w:val="0"/>
              </w:rPr>
              <w:t>5</w:t>
            </w:r>
          </w:p>
        </w:tc>
      </w:tr>
    </w:tbl>
    <w:p w14:paraId="3CAA2E44" w14:textId="77777777" w:rsidR="00661707" w:rsidRPr="006A644A" w:rsidRDefault="00661707" w:rsidP="00661707">
      <w:pPr>
        <w:pStyle w:val="Titleofdoc0"/>
      </w:pPr>
      <w:r>
        <w:t>Procédure pour la nomination du vérificateur externe des comptes</w:t>
      </w:r>
    </w:p>
    <w:p w14:paraId="3458E452" w14:textId="2A14F51E" w:rsidR="006A644A" w:rsidRPr="006A644A" w:rsidRDefault="00AE0EF1" w:rsidP="006A644A">
      <w:pPr>
        <w:pStyle w:val="preparedby1"/>
        <w:jc w:val="left"/>
      </w:pPr>
      <w:r w:rsidRPr="000C4E25">
        <w:t xml:space="preserve">Document </w:t>
      </w:r>
      <w:r w:rsidR="00A706D3">
        <w:t>établi par le Bureau de l</w:t>
      </w:r>
      <w:r w:rsidR="00204951">
        <w:t>’</w:t>
      </w:r>
      <w:r w:rsidR="00A706D3">
        <w:t>Union</w:t>
      </w:r>
    </w:p>
    <w:p w14:paraId="513BE8DE" w14:textId="4FF88F0F" w:rsidR="00050E16" w:rsidRPr="006A644A" w:rsidRDefault="00A706D3" w:rsidP="006A644A">
      <w:pPr>
        <w:pStyle w:val="Disclaimer"/>
      </w:pPr>
      <w:r w:rsidRPr="00A706D3">
        <w:t>Avertissement</w:t>
      </w:r>
      <w:r w:rsidR="00AE0675">
        <w:t> :</w:t>
      </w:r>
      <w:r w:rsidRPr="00A706D3">
        <w:t xml:space="preserve"> le présent document ne représente pas les principes ou les orientations de l</w:t>
      </w:r>
      <w:r w:rsidR="00204951">
        <w:t>’</w:t>
      </w:r>
      <w:r w:rsidRPr="00A706D3">
        <w:t>UPOV</w:t>
      </w:r>
    </w:p>
    <w:p w14:paraId="3E16637D" w14:textId="672E7118" w:rsidR="00661707" w:rsidRPr="0082615F" w:rsidRDefault="00661707" w:rsidP="0082615F">
      <w:pPr>
        <w:pStyle w:val="Heading1"/>
      </w:pPr>
      <w:r w:rsidRPr="0082615F">
        <w:t>R</w:t>
      </w:r>
      <w:r w:rsidR="0082615F" w:rsidRPr="0082615F">
        <w:t>ésumé</w:t>
      </w:r>
    </w:p>
    <w:p w14:paraId="62740C1F" w14:textId="045D7910" w:rsidR="00AE0675" w:rsidRDefault="00661707" w:rsidP="0082615F">
      <w:pPr>
        <w:spacing w:after="200"/>
      </w:pP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AUTONUM  </w:instrText>
      </w:r>
      <w:r>
        <w:rPr>
          <w:color w:val="000000" w:themeColor="text1"/>
        </w:rPr>
        <w:fldChar w:fldCharType="end"/>
      </w:r>
      <w:r>
        <w:tab/>
        <w:t>L</w:t>
      </w:r>
      <w:r w:rsidR="00204951">
        <w:t>’</w:t>
      </w:r>
      <w:r>
        <w:t>UPOV entretient une coopération étroite et de longue date avec l</w:t>
      </w:r>
      <w:r w:rsidR="00204951">
        <w:t>’</w:t>
      </w:r>
      <w:r>
        <w:t>Organisation Mondiale de la Propriété Intellectuelle (OMPI), au titre de laquelle l</w:t>
      </w:r>
      <w:r w:rsidR="00204951">
        <w:t>’</w:t>
      </w:r>
      <w:r>
        <w:t>OMPI fournit un appui administratif à l</w:t>
      </w:r>
      <w:r w:rsidR="00204951">
        <w:t>’</w:t>
      </w:r>
      <w:r>
        <w:t>U</w:t>
      </w:r>
      <w:r w:rsidR="00E44D1E">
        <w:t>POV.  Le</w:t>
      </w:r>
      <w:r>
        <w:t>s deux organisations sont tenues de nommer un vérificateur externe des comptes chargé d</w:t>
      </w:r>
      <w:r w:rsidR="00204951">
        <w:t>’</w:t>
      </w:r>
      <w:r>
        <w:t>examiner leurs comptes et de s</w:t>
      </w:r>
      <w:r w:rsidR="00204951">
        <w:t>’</w:t>
      </w:r>
      <w:r>
        <w:t>assurer qu</w:t>
      </w:r>
      <w:r w:rsidR="00204951">
        <w:t>’</w:t>
      </w:r>
      <w:r>
        <w:t>elles respectent la réglementation financiè</w:t>
      </w:r>
      <w:r w:rsidR="00E44D1E">
        <w:t>re.  Le</w:t>
      </w:r>
      <w:r>
        <w:t xml:space="preserve"> fait de nommer le même vérificateur externe des comptes pour les deux organisations permet de réduire les coûts et de limiter les implications en termes de ressources.</w:t>
      </w:r>
    </w:p>
    <w:p w14:paraId="1BF21B87" w14:textId="4B85F10B" w:rsidR="00661707" w:rsidRDefault="00661707" w:rsidP="0082615F">
      <w:pPr>
        <w:spacing w:after="2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En vertu du Règlement financier et du règlement d</w:t>
      </w:r>
      <w:r w:rsidR="00204951">
        <w:t>’</w:t>
      </w:r>
      <w:r>
        <w:t>exécution du Règlement financier de l</w:t>
      </w:r>
      <w:r w:rsidR="00204951">
        <w:t>’</w:t>
      </w:r>
      <w:r>
        <w:t>UPOV, le Conseil de l</w:t>
      </w:r>
      <w:r w:rsidR="00204951">
        <w:t>’</w:t>
      </w:r>
      <w:r>
        <w:t>UPOV désigne le vérificateur externe des comptes nommé par l</w:t>
      </w:r>
      <w:r w:rsidR="00204951">
        <w:t>’</w:t>
      </w:r>
      <w:r>
        <w:t>Assemblée générale de l</w:t>
      </w:r>
      <w:r w:rsidR="00204951">
        <w:t>’</w:t>
      </w:r>
      <w:r>
        <w:t>OMPI, à moins que le vérificateur externe de l</w:t>
      </w:r>
      <w:r w:rsidR="00204951">
        <w:t>’</w:t>
      </w:r>
      <w:r>
        <w:t>OMPI ne soit pas d</w:t>
      </w:r>
      <w:r w:rsidR="00204951">
        <w:t>’</w:t>
      </w:r>
      <w:r>
        <w:t>un État membre de l</w:t>
      </w:r>
      <w:r w:rsidR="00204951">
        <w:t>’</w:t>
      </w:r>
      <w:r>
        <w:t>UPOV.</w:t>
      </w:r>
    </w:p>
    <w:p w14:paraId="78F43275" w14:textId="1165E136" w:rsidR="00AE0675" w:rsidRDefault="00661707" w:rsidP="0082615F">
      <w:pPr>
        <w:spacing w:after="2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Le Conseil de l</w:t>
      </w:r>
      <w:r w:rsidR="00204951">
        <w:t>’</w:t>
      </w:r>
      <w:r>
        <w:t>UPOV, le 25 octobre 2024, en raison de circonstances extraordinaires et exceptionnelles dans lesquelles aucun vérificateur externe des comptes des États membres de l</w:t>
      </w:r>
      <w:r w:rsidR="00204951">
        <w:t>’</w:t>
      </w:r>
      <w:r>
        <w:t>UPOV qui avaient été consultés n</w:t>
      </w:r>
      <w:r w:rsidR="00204951">
        <w:t>’</w:t>
      </w:r>
      <w:r>
        <w:t>avait manifesté d</w:t>
      </w:r>
      <w:r w:rsidR="00204951">
        <w:t>’</w:t>
      </w:r>
      <w:r>
        <w:t>intérêt pour la vérification des comptes de l</w:t>
      </w:r>
      <w:r w:rsidR="00204951">
        <w:t>’</w:t>
      </w:r>
      <w:r>
        <w:t>UPOV, a désigné la Commission d</w:t>
      </w:r>
      <w:r w:rsidR="00204951">
        <w:t>’</w:t>
      </w:r>
      <w:r>
        <w:t>audit de l</w:t>
      </w:r>
      <w:r w:rsidR="00204951">
        <w:t>’</w:t>
      </w:r>
      <w:r>
        <w:t>Indonésie en qualité de vérificateur externe des comptes de l</w:t>
      </w:r>
      <w:r w:rsidR="00204951">
        <w:t>’</w:t>
      </w:r>
      <w:r>
        <w:t>UPOV pour procéder à la vérification des comptes de l</w:t>
      </w:r>
      <w:r w:rsidR="00204951">
        <w:t>’</w:t>
      </w:r>
      <w:r>
        <w:t>UPOV pour les années civiles</w:t>
      </w:r>
      <w:r w:rsidR="0082615F">
        <w:t> </w:t>
      </w:r>
      <w:r>
        <w:t>2025</w:t>
      </w:r>
      <w:r w:rsidR="00E44D1E">
        <w:noBreakHyphen/>
      </w:r>
      <w:r>
        <w:t>2029.  La Commission d</w:t>
      </w:r>
      <w:r w:rsidR="00204951">
        <w:t>’</w:t>
      </w:r>
      <w:r>
        <w:t>audit de l</w:t>
      </w:r>
      <w:r w:rsidR="00204951">
        <w:t>’</w:t>
      </w:r>
      <w:r>
        <w:t>Indonésie avait été nommée vérificateur externe des comptes de l</w:t>
      </w:r>
      <w:r w:rsidR="00204951">
        <w:t>’</w:t>
      </w:r>
      <w:r>
        <w:t>OMPI pour la période</w:t>
      </w:r>
      <w:r w:rsidR="0082615F">
        <w:t> </w:t>
      </w:r>
      <w:r>
        <w:t>2024</w:t>
      </w:r>
      <w:r w:rsidR="00E44D1E">
        <w:noBreakHyphen/>
      </w:r>
      <w:r>
        <w:t>2029.  Le Conseil a également demandé qu</w:t>
      </w:r>
      <w:r w:rsidR="00204951">
        <w:t>’</w:t>
      </w:r>
      <w:r>
        <w:t>une proposition soit élaborée afin d</w:t>
      </w:r>
      <w:r w:rsidR="00204951">
        <w:t>’</w:t>
      </w:r>
      <w:r>
        <w:t>anticiper et de traiter ces situations de manière efficace à l</w:t>
      </w:r>
      <w:r w:rsidR="00204951">
        <w:t>’</w:t>
      </w:r>
      <w:r>
        <w:t>avenir.</w:t>
      </w:r>
    </w:p>
    <w:p w14:paraId="7A9D7604" w14:textId="29C271A6" w:rsidR="00661707" w:rsidRPr="00597938" w:rsidRDefault="00661707" w:rsidP="0082615F">
      <w:pPr>
        <w:spacing w:after="2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Le présent document contient une proposition visant à modifier le Règlement financier et le règlement d</w:t>
      </w:r>
      <w:r w:rsidR="00204951">
        <w:t>’</w:t>
      </w:r>
      <w:r>
        <w:t>exécution du Règlement financier de l</w:t>
      </w:r>
      <w:r w:rsidR="00204951">
        <w:t>’</w:t>
      </w:r>
      <w:r>
        <w:t>UPOV, afin que le Conseil puisse désigner en qualité de vérificateur externe des comptes le vérificateur externe des comptes de l</w:t>
      </w:r>
      <w:r w:rsidR="00204951">
        <w:t>’</w:t>
      </w:r>
      <w:r>
        <w:t>OMPI, même si celui</w:t>
      </w:r>
      <w:r w:rsidR="00E44D1E">
        <w:noBreakHyphen/>
      </w:r>
      <w:r>
        <w:t>ci n</w:t>
      </w:r>
      <w:r w:rsidR="00204951">
        <w:t>’</w:t>
      </w:r>
      <w:r>
        <w:t>est pas d</w:t>
      </w:r>
      <w:r w:rsidR="00204951">
        <w:t>’</w:t>
      </w:r>
      <w:r>
        <w:t>un État membre de l</w:t>
      </w:r>
      <w:r w:rsidR="00204951">
        <w:t>’</w:t>
      </w:r>
      <w:r>
        <w:t>UPOV.</w:t>
      </w:r>
    </w:p>
    <w:p w14:paraId="10759196" w14:textId="793C518D" w:rsidR="00661707" w:rsidRPr="00661707" w:rsidRDefault="00661707" w:rsidP="0082615F">
      <w:pPr>
        <w:pStyle w:val="Heading1"/>
      </w:pPr>
      <w:r w:rsidRPr="00661707">
        <w:t>C</w:t>
      </w:r>
      <w:r w:rsidR="00E44D1E" w:rsidRPr="00E44D1E">
        <w:t>ontexte</w:t>
      </w:r>
    </w:p>
    <w:p w14:paraId="16F2058C" w14:textId="67F94F1D" w:rsidR="00661707" w:rsidRDefault="00661707" w:rsidP="00E44D1E">
      <w:pPr>
        <w:tabs>
          <w:tab w:val="left" w:pos="567"/>
        </w:tabs>
        <w:spacing w:after="2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Le Conseil, à sa cinquante</w:t>
      </w:r>
      <w:r w:rsidR="00E44D1E">
        <w:noBreakHyphen/>
      </w:r>
      <w:r>
        <w:t>huit</w:t>
      </w:r>
      <w:r w:rsidR="00AE0675">
        <w:t>ième session</w:t>
      </w:r>
      <w:r>
        <w:t xml:space="preserve"> ordinaire</w:t>
      </w:r>
      <w:r>
        <w:rPr>
          <w:rStyle w:val="FootnoteReference"/>
        </w:rPr>
        <w:footnoteReference w:id="2"/>
      </w:r>
      <w:r>
        <w:t>, est convenu de ce qui suit (voir le paragraphe 52 du document C/58/19 “</w:t>
      </w:r>
      <w:r w:rsidR="00204951">
        <w:t>Compte rendu</w:t>
      </w:r>
      <w:r>
        <w:t>”)</w:t>
      </w:r>
      <w:r w:rsidR="00AE0675">
        <w:t> :</w:t>
      </w:r>
    </w:p>
    <w:p w14:paraId="65285DA9" w14:textId="2357EF65" w:rsidR="00661707" w:rsidRPr="007224C5" w:rsidRDefault="00661707" w:rsidP="00E44D1E">
      <w:pPr>
        <w:tabs>
          <w:tab w:val="left" w:pos="1134"/>
        </w:tabs>
        <w:spacing w:after="200"/>
        <w:ind w:left="567" w:right="567"/>
        <w:rPr>
          <w:sz w:val="18"/>
          <w:szCs w:val="18"/>
        </w:rPr>
      </w:pPr>
      <w:r>
        <w:rPr>
          <w:sz w:val="18"/>
        </w:rPr>
        <w:t>“52.</w:t>
      </w:r>
      <w:r>
        <w:rPr>
          <w:sz w:val="18"/>
        </w:rPr>
        <w:tab/>
        <w:t>En raison des circonstances extraordinaires et exceptionnelles dans lesquelles aucun vérificateur général des comptes (ou fonctionnaire ayant un titre équivalent) des États membres de l</w:t>
      </w:r>
      <w:r w:rsidR="00204951">
        <w:rPr>
          <w:sz w:val="18"/>
        </w:rPr>
        <w:t>’</w:t>
      </w:r>
      <w:r>
        <w:rPr>
          <w:sz w:val="18"/>
        </w:rPr>
        <w:t>UPOV qui ont été consultés n</w:t>
      </w:r>
      <w:r w:rsidR="00204951">
        <w:rPr>
          <w:sz w:val="18"/>
        </w:rPr>
        <w:t>’</w:t>
      </w:r>
      <w:r>
        <w:rPr>
          <w:sz w:val="18"/>
        </w:rPr>
        <w:t>a manifesté d</w:t>
      </w:r>
      <w:r w:rsidR="00204951">
        <w:rPr>
          <w:sz w:val="18"/>
        </w:rPr>
        <w:t>’</w:t>
      </w:r>
      <w:r>
        <w:rPr>
          <w:sz w:val="18"/>
        </w:rPr>
        <w:t>intérêt pour la vérification des comptes de l</w:t>
      </w:r>
      <w:r w:rsidR="00204951">
        <w:rPr>
          <w:sz w:val="18"/>
        </w:rPr>
        <w:t>’</w:t>
      </w:r>
      <w:r>
        <w:rPr>
          <w:sz w:val="18"/>
        </w:rPr>
        <w:t>UPOV à partir de l</w:t>
      </w:r>
      <w:r w:rsidR="00204951">
        <w:rPr>
          <w:sz w:val="18"/>
        </w:rPr>
        <w:t>’</w:t>
      </w:r>
      <w:r>
        <w:rPr>
          <w:sz w:val="18"/>
        </w:rPr>
        <w:t>année civile</w:t>
      </w:r>
      <w:r w:rsidR="0082615F">
        <w:rPr>
          <w:sz w:val="18"/>
        </w:rPr>
        <w:t> </w:t>
      </w:r>
      <w:r>
        <w:rPr>
          <w:sz w:val="18"/>
        </w:rPr>
        <w:t>2025 jusqu</w:t>
      </w:r>
      <w:r w:rsidR="00204951">
        <w:rPr>
          <w:sz w:val="18"/>
        </w:rPr>
        <w:t>’</w:t>
      </w:r>
      <w:r w:rsidR="00AE0675">
        <w:rPr>
          <w:sz w:val="18"/>
        </w:rPr>
        <w:t>en 2029</w:t>
      </w:r>
      <w:r>
        <w:rPr>
          <w:sz w:val="18"/>
        </w:rPr>
        <w:t>, le Conseil est convenu de la marche à suivre suivante</w:t>
      </w:r>
      <w:r w:rsidR="00AE0675">
        <w:rPr>
          <w:sz w:val="18"/>
        </w:rPr>
        <w:t> :</w:t>
      </w:r>
    </w:p>
    <w:p w14:paraId="0A207202" w14:textId="18B8F8D7" w:rsidR="00AE0675" w:rsidRDefault="00E44D1E" w:rsidP="0082615F">
      <w:pPr>
        <w:spacing w:after="200"/>
        <w:ind w:left="1701" w:right="567" w:hanging="564"/>
        <w:rPr>
          <w:sz w:val="18"/>
        </w:rPr>
      </w:pPr>
      <w:r>
        <w:rPr>
          <w:sz w:val="18"/>
        </w:rPr>
        <w:t>“</w:t>
      </w:r>
      <w:r w:rsidR="00661707">
        <w:rPr>
          <w:sz w:val="18"/>
        </w:rPr>
        <w:t>1.</w:t>
      </w:r>
      <w:r w:rsidR="00661707">
        <w:rPr>
          <w:sz w:val="18"/>
        </w:rPr>
        <w:tab/>
        <w:t>Sous réserve de l</w:t>
      </w:r>
      <w:r w:rsidR="00204951">
        <w:rPr>
          <w:sz w:val="18"/>
        </w:rPr>
        <w:t>’</w:t>
      </w:r>
      <w:r w:rsidR="00661707">
        <w:rPr>
          <w:sz w:val="18"/>
        </w:rPr>
        <w:t>accord de la Commission d</w:t>
      </w:r>
      <w:r w:rsidR="00204951">
        <w:rPr>
          <w:sz w:val="18"/>
        </w:rPr>
        <w:t>’</w:t>
      </w:r>
      <w:r w:rsidR="00661707">
        <w:rPr>
          <w:sz w:val="18"/>
        </w:rPr>
        <w:t>audit de l</w:t>
      </w:r>
      <w:r w:rsidR="00204951">
        <w:rPr>
          <w:sz w:val="18"/>
        </w:rPr>
        <w:t>’</w:t>
      </w:r>
      <w:r w:rsidR="00661707">
        <w:rPr>
          <w:sz w:val="18"/>
        </w:rPr>
        <w:t>Indonésie, proposer au Conseil de désigner la Commission d</w:t>
      </w:r>
      <w:r w:rsidR="00204951">
        <w:rPr>
          <w:sz w:val="18"/>
        </w:rPr>
        <w:t>’</w:t>
      </w:r>
      <w:r w:rsidR="00661707">
        <w:rPr>
          <w:sz w:val="18"/>
        </w:rPr>
        <w:t>audit de l</w:t>
      </w:r>
      <w:r w:rsidR="00204951">
        <w:rPr>
          <w:sz w:val="18"/>
        </w:rPr>
        <w:t>’</w:t>
      </w:r>
      <w:r w:rsidR="00661707">
        <w:rPr>
          <w:sz w:val="18"/>
        </w:rPr>
        <w:t>Indonésie comme vérificateur externe des comptes de l</w:t>
      </w:r>
      <w:r w:rsidR="00204951">
        <w:rPr>
          <w:sz w:val="18"/>
        </w:rPr>
        <w:t>’</w:t>
      </w:r>
      <w:r w:rsidR="00661707">
        <w:rPr>
          <w:sz w:val="18"/>
        </w:rPr>
        <w:t>UPOV pour vérifier les comptes de l</w:t>
      </w:r>
      <w:r w:rsidR="00204951">
        <w:rPr>
          <w:sz w:val="18"/>
        </w:rPr>
        <w:t>’</w:t>
      </w:r>
      <w:r w:rsidR="00661707">
        <w:rPr>
          <w:sz w:val="18"/>
        </w:rPr>
        <w:t>UPOV pour les années civiles</w:t>
      </w:r>
      <w:r w:rsidR="0082615F">
        <w:rPr>
          <w:sz w:val="18"/>
        </w:rPr>
        <w:t> </w:t>
      </w:r>
      <w:r w:rsidR="00661707">
        <w:rPr>
          <w:sz w:val="18"/>
        </w:rPr>
        <w:t>2025</w:t>
      </w:r>
      <w:r>
        <w:rPr>
          <w:sz w:val="18"/>
        </w:rPr>
        <w:noBreakHyphen/>
      </w:r>
      <w:r w:rsidR="00661707">
        <w:rPr>
          <w:sz w:val="18"/>
        </w:rPr>
        <w:t>2029.</w:t>
      </w:r>
    </w:p>
    <w:p w14:paraId="51A507BE" w14:textId="1291A847" w:rsidR="00AE0675" w:rsidRDefault="00E44D1E" w:rsidP="0082615F">
      <w:pPr>
        <w:spacing w:after="200"/>
        <w:ind w:left="1701" w:right="567" w:hanging="564"/>
        <w:rPr>
          <w:sz w:val="18"/>
        </w:rPr>
      </w:pPr>
      <w:r>
        <w:rPr>
          <w:sz w:val="18"/>
        </w:rPr>
        <w:t>“</w:t>
      </w:r>
      <w:r w:rsidR="00661707">
        <w:rPr>
          <w:sz w:val="18"/>
        </w:rPr>
        <w:t>2.</w:t>
      </w:r>
      <w:r w:rsidR="00661707">
        <w:rPr>
          <w:sz w:val="18"/>
        </w:rPr>
        <w:tab/>
        <w:t>Si le Conseil en décide ainsi, demander au Bureau de l</w:t>
      </w:r>
      <w:r w:rsidR="00204951">
        <w:rPr>
          <w:sz w:val="18"/>
        </w:rPr>
        <w:t>’</w:t>
      </w:r>
      <w:r w:rsidR="00661707">
        <w:rPr>
          <w:sz w:val="18"/>
        </w:rPr>
        <w:t>Union d</w:t>
      </w:r>
      <w:r w:rsidR="00204951">
        <w:rPr>
          <w:sz w:val="18"/>
        </w:rPr>
        <w:t>’</w:t>
      </w:r>
      <w:r w:rsidR="00661707">
        <w:rPr>
          <w:sz w:val="18"/>
        </w:rPr>
        <w:t>informer la Commission d</w:t>
      </w:r>
      <w:r w:rsidR="00204951">
        <w:rPr>
          <w:sz w:val="18"/>
        </w:rPr>
        <w:t>’</w:t>
      </w:r>
      <w:r w:rsidR="00661707">
        <w:rPr>
          <w:sz w:val="18"/>
        </w:rPr>
        <w:t>audit de l</w:t>
      </w:r>
      <w:r w:rsidR="00204951">
        <w:rPr>
          <w:sz w:val="18"/>
        </w:rPr>
        <w:t>’</w:t>
      </w:r>
      <w:r w:rsidR="00661707">
        <w:rPr>
          <w:sz w:val="18"/>
        </w:rPr>
        <w:t>Indonésie de la décision du Conseil et d</w:t>
      </w:r>
      <w:r w:rsidR="00204951">
        <w:rPr>
          <w:sz w:val="18"/>
        </w:rPr>
        <w:t>’</w:t>
      </w:r>
      <w:r w:rsidR="00661707">
        <w:rPr>
          <w:sz w:val="18"/>
        </w:rPr>
        <w:t>inviter la Commission d</w:t>
      </w:r>
      <w:r w:rsidR="00204951">
        <w:rPr>
          <w:sz w:val="18"/>
        </w:rPr>
        <w:t>’</w:t>
      </w:r>
      <w:r w:rsidR="00661707">
        <w:rPr>
          <w:sz w:val="18"/>
        </w:rPr>
        <w:t>audit de l</w:t>
      </w:r>
      <w:r w:rsidR="00204951">
        <w:rPr>
          <w:sz w:val="18"/>
        </w:rPr>
        <w:t>’</w:t>
      </w:r>
      <w:r w:rsidR="00661707">
        <w:rPr>
          <w:sz w:val="18"/>
        </w:rPr>
        <w:t>Indonésie à considérer la désignation susmentionnée.</w:t>
      </w:r>
    </w:p>
    <w:p w14:paraId="48A3B038" w14:textId="60FDC912" w:rsidR="00AE0675" w:rsidRDefault="00E44D1E" w:rsidP="0082615F">
      <w:pPr>
        <w:spacing w:after="200"/>
        <w:ind w:left="1701" w:right="567" w:hanging="564"/>
        <w:rPr>
          <w:sz w:val="18"/>
        </w:rPr>
      </w:pPr>
      <w:r>
        <w:rPr>
          <w:sz w:val="18"/>
        </w:rPr>
        <w:lastRenderedPageBreak/>
        <w:t>“</w:t>
      </w:r>
      <w:r w:rsidR="00661707">
        <w:rPr>
          <w:sz w:val="18"/>
        </w:rPr>
        <w:t>3.</w:t>
      </w:r>
      <w:r w:rsidR="00661707">
        <w:rPr>
          <w:sz w:val="18"/>
        </w:rPr>
        <w:tab/>
        <w:t>Si la Commission d</w:t>
      </w:r>
      <w:r w:rsidR="00204951">
        <w:rPr>
          <w:sz w:val="18"/>
        </w:rPr>
        <w:t>’</w:t>
      </w:r>
      <w:r w:rsidR="00661707">
        <w:rPr>
          <w:sz w:val="18"/>
        </w:rPr>
        <w:t>audit de l</w:t>
      </w:r>
      <w:r w:rsidR="00204951">
        <w:rPr>
          <w:sz w:val="18"/>
        </w:rPr>
        <w:t>’</w:t>
      </w:r>
      <w:r w:rsidR="00661707">
        <w:rPr>
          <w:sz w:val="18"/>
        </w:rPr>
        <w:t>Indonésie accepte la désignation, le Bureau de l</w:t>
      </w:r>
      <w:r w:rsidR="00204951">
        <w:rPr>
          <w:sz w:val="18"/>
        </w:rPr>
        <w:t>’</w:t>
      </w:r>
      <w:r w:rsidR="00661707">
        <w:rPr>
          <w:sz w:val="18"/>
        </w:rPr>
        <w:t>Union en informera le Conseil.</w:t>
      </w:r>
    </w:p>
    <w:p w14:paraId="4E295024" w14:textId="56D92877" w:rsidR="00661707" w:rsidRPr="003874CC" w:rsidRDefault="00E44D1E" w:rsidP="0082615F">
      <w:pPr>
        <w:spacing w:after="200"/>
        <w:ind w:left="1701" w:right="567" w:hanging="564"/>
        <w:rPr>
          <w:sz w:val="18"/>
          <w:szCs w:val="18"/>
        </w:rPr>
      </w:pPr>
      <w:r>
        <w:rPr>
          <w:sz w:val="18"/>
        </w:rPr>
        <w:t>“</w:t>
      </w:r>
      <w:r w:rsidR="00661707">
        <w:rPr>
          <w:sz w:val="18"/>
        </w:rPr>
        <w:t>4.</w:t>
      </w:r>
      <w:r w:rsidR="00661707">
        <w:rPr>
          <w:sz w:val="18"/>
        </w:rPr>
        <w:tab/>
        <w:t>La procédure de désignation du vérificateur externe des comptes de l</w:t>
      </w:r>
      <w:r w:rsidR="00204951">
        <w:rPr>
          <w:sz w:val="18"/>
        </w:rPr>
        <w:t>’</w:t>
      </w:r>
      <w:r w:rsidR="00661707">
        <w:rPr>
          <w:sz w:val="18"/>
        </w:rPr>
        <w:t>UPOV est de nature administrative et n</w:t>
      </w:r>
      <w:r w:rsidR="00204951">
        <w:rPr>
          <w:sz w:val="18"/>
        </w:rPr>
        <w:t>’</w:t>
      </w:r>
      <w:r w:rsidR="00661707">
        <w:rPr>
          <w:sz w:val="18"/>
        </w:rPr>
        <w:t>a pas trait aux dispositions de fond relatives aux droits d</w:t>
      </w:r>
      <w:r w:rsidR="00204951">
        <w:rPr>
          <w:sz w:val="18"/>
        </w:rPr>
        <w:t>’</w:t>
      </w:r>
      <w:r w:rsidR="00661707">
        <w:rPr>
          <w:sz w:val="18"/>
        </w:rPr>
        <w:t>obtenteur énoncées dans l</w:t>
      </w:r>
      <w:r w:rsidR="00204951">
        <w:rPr>
          <w:sz w:val="18"/>
        </w:rPr>
        <w:t>’</w:t>
      </w:r>
      <w:r w:rsidR="00661707">
        <w:rPr>
          <w:sz w:val="18"/>
        </w:rPr>
        <w:t>Acte de 1991 et l</w:t>
      </w:r>
      <w:r w:rsidR="00204951">
        <w:rPr>
          <w:sz w:val="18"/>
        </w:rPr>
        <w:t>’</w:t>
      </w:r>
      <w:r w:rsidR="00661707">
        <w:rPr>
          <w:sz w:val="18"/>
        </w:rPr>
        <w:t xml:space="preserve">Acte de 1978 de la </w:t>
      </w:r>
      <w:r w:rsidR="00AE0675">
        <w:rPr>
          <w:sz w:val="18"/>
        </w:rPr>
        <w:t>Convention U</w:t>
      </w:r>
      <w:r>
        <w:rPr>
          <w:sz w:val="18"/>
        </w:rPr>
        <w:t>POV.  Pa</w:t>
      </w:r>
      <w:r w:rsidR="00661707">
        <w:rPr>
          <w:sz w:val="18"/>
        </w:rPr>
        <w:t>r conséquent, le Conseil doit considérer que la désignation du vérificateur externe des comptes de l</w:t>
      </w:r>
      <w:r w:rsidR="00204951">
        <w:rPr>
          <w:sz w:val="18"/>
        </w:rPr>
        <w:t>’</w:t>
      </w:r>
      <w:r w:rsidR="00661707">
        <w:rPr>
          <w:sz w:val="18"/>
        </w:rPr>
        <w:t>UPOV d</w:t>
      </w:r>
      <w:r w:rsidR="00204951">
        <w:rPr>
          <w:sz w:val="18"/>
        </w:rPr>
        <w:t>’</w:t>
      </w:r>
      <w:r w:rsidR="00661707">
        <w:rPr>
          <w:sz w:val="18"/>
        </w:rPr>
        <w:t xml:space="preserve">un État </w:t>
      </w:r>
      <w:proofErr w:type="gramStart"/>
      <w:r w:rsidR="00661707">
        <w:rPr>
          <w:sz w:val="18"/>
        </w:rPr>
        <w:t>non membre</w:t>
      </w:r>
      <w:proofErr w:type="gramEnd"/>
      <w:r w:rsidR="00661707">
        <w:rPr>
          <w:sz w:val="18"/>
        </w:rPr>
        <w:t xml:space="preserve"> de l</w:t>
      </w:r>
      <w:r w:rsidR="00204951">
        <w:rPr>
          <w:sz w:val="18"/>
        </w:rPr>
        <w:t>’</w:t>
      </w:r>
      <w:r w:rsidR="00661707">
        <w:rPr>
          <w:sz w:val="18"/>
        </w:rPr>
        <w:t>UPOV, mais membre de l</w:t>
      </w:r>
      <w:r w:rsidR="00204951">
        <w:rPr>
          <w:sz w:val="18"/>
        </w:rPr>
        <w:t>’</w:t>
      </w:r>
      <w:r w:rsidR="00661707">
        <w:rPr>
          <w:sz w:val="18"/>
        </w:rPr>
        <w:t>OMPI, est une décision ad hoc exceptionnelle qui ne constituerait en aucune manière un précédent pour les décisions futures du Conseil</w:t>
      </w:r>
      <w:r w:rsidR="0082615F">
        <w:rPr>
          <w:sz w:val="18"/>
        </w:rPr>
        <w:t>.</w:t>
      </w:r>
    </w:p>
    <w:p w14:paraId="4B51E8CA" w14:textId="15D93BCA" w:rsidR="00AE0675" w:rsidRDefault="00E44D1E" w:rsidP="0082615F">
      <w:pPr>
        <w:spacing w:after="200"/>
        <w:ind w:left="1701" w:right="567" w:hanging="564"/>
        <w:rPr>
          <w:sz w:val="18"/>
        </w:rPr>
      </w:pPr>
      <w:bookmarkStart w:id="0" w:name="_Hlk204676883"/>
      <w:r>
        <w:rPr>
          <w:sz w:val="18"/>
        </w:rPr>
        <w:t>“</w:t>
      </w:r>
      <w:r w:rsidR="00661707">
        <w:rPr>
          <w:sz w:val="18"/>
        </w:rPr>
        <w:t>5.</w:t>
      </w:r>
      <w:r w:rsidR="00661707">
        <w:rPr>
          <w:sz w:val="18"/>
        </w:rPr>
        <w:tab/>
        <w:t>Sur la base de ce qui précède, le Conseil demande au Bureau de l</w:t>
      </w:r>
      <w:r w:rsidR="00204951">
        <w:rPr>
          <w:sz w:val="18"/>
        </w:rPr>
        <w:t>’</w:t>
      </w:r>
      <w:r w:rsidR="00661707">
        <w:rPr>
          <w:sz w:val="18"/>
        </w:rPr>
        <w:t>Union de proposer d</w:t>
      </w:r>
      <w:r w:rsidR="00204951">
        <w:rPr>
          <w:sz w:val="18"/>
        </w:rPr>
        <w:t>’</w:t>
      </w:r>
      <w:r w:rsidR="00661707">
        <w:rPr>
          <w:sz w:val="18"/>
        </w:rPr>
        <w:t>éventuelles modifications des dispositions du Règlement financier et du règlement d</w:t>
      </w:r>
      <w:r w:rsidR="00204951">
        <w:rPr>
          <w:sz w:val="18"/>
        </w:rPr>
        <w:t>’</w:t>
      </w:r>
      <w:r w:rsidR="00661707">
        <w:rPr>
          <w:sz w:val="18"/>
        </w:rPr>
        <w:t>exécution du Règlement financier de l</w:t>
      </w:r>
      <w:r w:rsidR="00204951">
        <w:rPr>
          <w:sz w:val="18"/>
        </w:rPr>
        <w:t>’</w:t>
      </w:r>
      <w:r w:rsidR="00661707">
        <w:rPr>
          <w:sz w:val="18"/>
        </w:rPr>
        <w:t>UPOV (</w:t>
      </w:r>
      <w:r w:rsidR="00AE0675">
        <w:rPr>
          <w:sz w:val="18"/>
        </w:rPr>
        <w:t>document UP</w:t>
      </w:r>
      <w:r w:rsidR="00661707">
        <w:rPr>
          <w:sz w:val="18"/>
        </w:rPr>
        <w:t>OV/INF/4) relatives à la nomination du vérificateur externe des comptes, pour examen par le Conseil lors de sa session d</w:t>
      </w:r>
      <w:r w:rsidR="00204951">
        <w:rPr>
          <w:sz w:val="18"/>
        </w:rPr>
        <w:t>’</w:t>
      </w:r>
      <w:r w:rsidR="00661707">
        <w:rPr>
          <w:sz w:val="18"/>
        </w:rPr>
        <w:t>octobre 2025.</w:t>
      </w:r>
    </w:p>
    <w:bookmarkEnd w:id="0"/>
    <w:p w14:paraId="10F29884" w14:textId="435220F5" w:rsidR="00661707" w:rsidRPr="003874CC" w:rsidRDefault="00E44D1E" w:rsidP="0082615F">
      <w:pPr>
        <w:spacing w:after="200"/>
        <w:ind w:left="1701" w:right="567" w:hanging="564"/>
        <w:rPr>
          <w:sz w:val="18"/>
          <w:szCs w:val="18"/>
        </w:rPr>
      </w:pPr>
      <w:r>
        <w:rPr>
          <w:sz w:val="18"/>
        </w:rPr>
        <w:t>“</w:t>
      </w:r>
      <w:r w:rsidR="00661707">
        <w:rPr>
          <w:sz w:val="18"/>
        </w:rPr>
        <w:t>6.</w:t>
      </w:r>
      <w:r w:rsidR="00661707">
        <w:rPr>
          <w:sz w:val="18"/>
        </w:rPr>
        <w:tab/>
        <w:t xml:space="preserve">Cette décision exceptionnelle est prise pour assurer le bon fonctionnement de la </w:t>
      </w:r>
      <w:r w:rsidR="00AE0675">
        <w:rPr>
          <w:sz w:val="18"/>
        </w:rPr>
        <w:t>Convention UPOV</w:t>
      </w:r>
      <w:r w:rsidR="00661707">
        <w:rPr>
          <w:sz w:val="18"/>
        </w:rPr>
        <w:t xml:space="preserve"> (article 26.5)x) de l</w:t>
      </w:r>
      <w:r w:rsidR="00204951">
        <w:rPr>
          <w:sz w:val="18"/>
        </w:rPr>
        <w:t>’</w:t>
      </w:r>
      <w:r w:rsidR="00661707">
        <w:rPr>
          <w:sz w:val="18"/>
        </w:rPr>
        <w:t>Acte de 1991 et article 21.h) de l</w:t>
      </w:r>
      <w:r w:rsidR="00204951">
        <w:rPr>
          <w:sz w:val="18"/>
        </w:rPr>
        <w:t>’</w:t>
      </w:r>
      <w:r w:rsidR="00661707">
        <w:rPr>
          <w:sz w:val="18"/>
        </w:rPr>
        <w:t>Acte de 1978 de la</w:t>
      </w:r>
      <w:r w:rsidR="00204951">
        <w:rPr>
          <w:sz w:val="18"/>
        </w:rPr>
        <w:t> </w:t>
      </w:r>
      <w:r w:rsidR="00661707">
        <w:rPr>
          <w:sz w:val="18"/>
        </w:rPr>
        <w:t>Convention).”</w:t>
      </w:r>
    </w:p>
    <w:p w14:paraId="101493D0" w14:textId="6ED693BD" w:rsidR="00AE0675" w:rsidRDefault="00661707" w:rsidP="0082615F">
      <w:pPr>
        <w:spacing w:after="200"/>
        <w:ind w:right="567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À la suite de la cinquante</w:t>
      </w:r>
      <w:r w:rsidR="00E44D1E">
        <w:noBreakHyphen/>
      </w:r>
      <w:r>
        <w:t>huit</w:t>
      </w:r>
      <w:r w:rsidR="00AE0675">
        <w:t>ième session</w:t>
      </w:r>
      <w:r>
        <w:t xml:space="preserve"> ordinaire du Conseil, le Bureau de l</w:t>
      </w:r>
      <w:r w:rsidR="00204951">
        <w:t>’</w:t>
      </w:r>
      <w:r>
        <w:t>Union a informé la Commission d</w:t>
      </w:r>
      <w:r w:rsidR="00204951">
        <w:t>’</w:t>
      </w:r>
      <w:r>
        <w:t>audit de l</w:t>
      </w:r>
      <w:r w:rsidR="00204951">
        <w:t>’</w:t>
      </w:r>
      <w:r>
        <w:t>Indonésie de la décision du Conseil et l</w:t>
      </w:r>
      <w:r w:rsidR="00204951">
        <w:t>’</w:t>
      </w:r>
      <w:r>
        <w:t>a invitée à considérer cette désignati</w:t>
      </w:r>
      <w:r w:rsidR="00E44D1E">
        <w:t>on.  La</w:t>
      </w:r>
      <w:r>
        <w:t xml:space="preserve"> Commission d</w:t>
      </w:r>
      <w:r w:rsidR="00204951">
        <w:t>’</w:t>
      </w:r>
      <w:r>
        <w:t>audit de l</w:t>
      </w:r>
      <w:r w:rsidR="00204951">
        <w:t>’</w:t>
      </w:r>
      <w:r>
        <w:t>Indonésie a accepté la désignation et le Conseil a été informé de cette décision par la circulaire E</w:t>
      </w:r>
      <w:r w:rsidR="00E44D1E">
        <w:noBreakHyphen/>
      </w:r>
      <w:r>
        <w:t>24/144 du 10 </w:t>
      </w:r>
      <w:r w:rsidR="00AE0675">
        <w:t>décembre 20</w:t>
      </w:r>
      <w:r>
        <w:t>24.</w:t>
      </w:r>
    </w:p>
    <w:p w14:paraId="7C422E3B" w14:textId="5369DCC9" w:rsidR="00AE0675" w:rsidRDefault="00661707" w:rsidP="0082615F">
      <w:pPr>
        <w:spacing w:after="200"/>
        <w:ind w:right="567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À sa cinquante</w:t>
      </w:r>
      <w:r w:rsidR="00E44D1E">
        <w:noBreakHyphen/>
      </w:r>
      <w:r>
        <w:t>huit</w:t>
      </w:r>
      <w:r w:rsidR="00AE0675">
        <w:t>ième session</w:t>
      </w:r>
      <w:r>
        <w:t xml:space="preserve"> ordinaire, le Conseil a également demandé au Bureau de l</w:t>
      </w:r>
      <w:r w:rsidR="00204951">
        <w:t>’</w:t>
      </w:r>
      <w:r>
        <w:t>Union de proposer d</w:t>
      </w:r>
      <w:r w:rsidR="00204951">
        <w:t>’</w:t>
      </w:r>
      <w:r>
        <w:t>éventuelles modifications des dispositions du Règlement financier et du règlement d</w:t>
      </w:r>
      <w:r w:rsidR="00204951">
        <w:t>’</w:t>
      </w:r>
      <w:r>
        <w:t>exécution du Règlement financier de l</w:t>
      </w:r>
      <w:r w:rsidR="00204951">
        <w:t>’</w:t>
      </w:r>
      <w:r>
        <w:t>UPOV (document </w:t>
      </w:r>
      <w:hyperlink r:id="rId8" w:history="1">
        <w:r>
          <w:rPr>
            <w:rStyle w:val="Hyperlink"/>
          </w:rPr>
          <w:t>UPOV/INF/4/6</w:t>
        </w:r>
      </w:hyperlink>
      <w:r>
        <w:t>) relatives à la nomination du vérificateur externe des comptes, pour examen par le Conseil lors de sa session d</w:t>
      </w:r>
      <w:r w:rsidR="00204951">
        <w:t>’</w:t>
      </w:r>
      <w:r>
        <w:t>octobre 2025.</w:t>
      </w:r>
    </w:p>
    <w:p w14:paraId="4C93081C" w14:textId="7EE8DC60" w:rsidR="00661707" w:rsidRDefault="00661707" w:rsidP="0082615F">
      <w:pPr>
        <w:spacing w:after="200"/>
        <w:ind w:right="567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À sa cinquante</w:t>
      </w:r>
      <w:r w:rsidR="00E44D1E">
        <w:noBreakHyphen/>
      </w:r>
      <w:r>
        <w:t>huit</w:t>
      </w:r>
      <w:r w:rsidR="00AE0675">
        <w:t>ième session</w:t>
      </w:r>
      <w:r>
        <w:t xml:space="preserve"> ordinaire, le Conseil a examiné le document C/58/14 “Nomination du vérificateur externe des comptes”.  Le Conseil a pris en considération les arguments présentés dans le document relatif à la nomination du vérificateur externe des comptes lorsque le vérificateur externe de l</w:t>
      </w:r>
      <w:r w:rsidR="00204951">
        <w:t>’</w:t>
      </w:r>
      <w:r>
        <w:t>OMPI n</w:t>
      </w:r>
      <w:r w:rsidR="00204951">
        <w:t>’</w:t>
      </w:r>
      <w:r>
        <w:t>est pas un membre de l</w:t>
      </w:r>
      <w:r w:rsidR="00204951">
        <w:t>’</w:t>
      </w:r>
      <w:r>
        <w:t>UPOV.  L</w:t>
      </w:r>
      <w:r w:rsidR="00204951">
        <w:t>’</w:t>
      </w:r>
      <w:r>
        <w:t>extrait ci</w:t>
      </w:r>
      <w:r w:rsidR="00E44D1E">
        <w:noBreakHyphen/>
      </w:r>
      <w:r>
        <w:t>dessous reproduit les paragraphes 15 à 20 du document C/58/14 contenant ces considérations.</w:t>
      </w:r>
    </w:p>
    <w:p w14:paraId="1DE1176F" w14:textId="166A99BB" w:rsidR="00661707" w:rsidRPr="0082615F" w:rsidRDefault="00661707" w:rsidP="0082615F">
      <w:pPr>
        <w:spacing w:after="200"/>
        <w:ind w:left="567" w:right="1134"/>
        <w:rPr>
          <w:sz w:val="18"/>
          <w:szCs w:val="18"/>
        </w:rPr>
      </w:pPr>
      <w:r>
        <w:rPr>
          <w:sz w:val="18"/>
        </w:rPr>
        <w:t>“15.</w:t>
      </w:r>
      <w:r>
        <w:rPr>
          <w:sz w:val="18"/>
        </w:rPr>
        <w:tab/>
      </w:r>
      <w:r w:rsidRPr="0082615F">
        <w:rPr>
          <w:sz w:val="18"/>
          <w:szCs w:val="18"/>
        </w:rPr>
        <w:t>L</w:t>
      </w:r>
      <w:r w:rsidR="00204951">
        <w:rPr>
          <w:sz w:val="18"/>
          <w:szCs w:val="18"/>
        </w:rPr>
        <w:t>’</w:t>
      </w:r>
      <w:r w:rsidRPr="0082615F">
        <w:rPr>
          <w:sz w:val="18"/>
          <w:szCs w:val="18"/>
        </w:rPr>
        <w:t>une des principales raisons pour lesquelles il est souhaitable de désigner le même vérificateur externe des comptes pour les deux</w:t>
      </w:r>
      <w:r w:rsidR="00CC60A7">
        <w:rPr>
          <w:sz w:val="18"/>
          <w:szCs w:val="18"/>
        </w:rPr>
        <w:t> </w:t>
      </w:r>
      <w:r w:rsidRPr="0082615F">
        <w:rPr>
          <w:sz w:val="18"/>
          <w:szCs w:val="18"/>
        </w:rPr>
        <w:t>organisations est que cette solution est considérée comme la plus rationnelle et qu</w:t>
      </w:r>
      <w:r w:rsidR="00204951">
        <w:rPr>
          <w:sz w:val="18"/>
          <w:szCs w:val="18"/>
        </w:rPr>
        <w:t>’</w:t>
      </w:r>
      <w:r w:rsidRPr="0082615F">
        <w:rPr>
          <w:sz w:val="18"/>
          <w:szCs w:val="18"/>
        </w:rPr>
        <w:t>elle répond au risque important de ne pas avoir de vérificateur externe des comptes disposé à accepter le mandat, comme il ressort des consultations qui ont eu lieu conformément à la demande du Conseil.</w:t>
      </w:r>
    </w:p>
    <w:p w14:paraId="1F9152D5" w14:textId="44F2F9EE" w:rsidR="00661707" w:rsidRPr="0082615F" w:rsidRDefault="00E44D1E" w:rsidP="0082615F">
      <w:pPr>
        <w:spacing w:after="200"/>
        <w:ind w:left="567" w:right="1134"/>
        <w:rPr>
          <w:sz w:val="18"/>
          <w:szCs w:val="18"/>
        </w:rPr>
      </w:pPr>
      <w:r>
        <w:rPr>
          <w:sz w:val="18"/>
        </w:rPr>
        <w:t>“</w:t>
      </w:r>
      <w:r w:rsidR="00661707" w:rsidRPr="0082615F">
        <w:rPr>
          <w:sz w:val="18"/>
          <w:szCs w:val="18"/>
        </w:rPr>
        <w:t>16.</w:t>
      </w:r>
      <w:r w:rsidR="00661707" w:rsidRPr="0082615F">
        <w:rPr>
          <w:b/>
          <w:sz w:val="18"/>
          <w:szCs w:val="18"/>
        </w:rPr>
        <w:tab/>
      </w:r>
      <w:r w:rsidR="00661707" w:rsidRPr="0082615F">
        <w:rPr>
          <w:sz w:val="18"/>
          <w:szCs w:val="18"/>
        </w:rPr>
        <w:t>Les fonds publics doivent être utilisés avec efficience et efficacité, d</w:t>
      </w:r>
      <w:r w:rsidR="00204951">
        <w:rPr>
          <w:sz w:val="18"/>
          <w:szCs w:val="18"/>
        </w:rPr>
        <w:t>’</w:t>
      </w:r>
      <w:r w:rsidR="00661707" w:rsidRPr="0082615F">
        <w:rPr>
          <w:sz w:val="18"/>
          <w:szCs w:val="18"/>
        </w:rPr>
        <w:t>une manière qui tienne compte au maximum de l</w:t>
      </w:r>
      <w:r w:rsidR="00204951">
        <w:rPr>
          <w:sz w:val="18"/>
          <w:szCs w:val="18"/>
        </w:rPr>
        <w:t>’</w:t>
      </w:r>
      <w:r w:rsidR="00661707" w:rsidRPr="0082615F">
        <w:rPr>
          <w:sz w:val="18"/>
          <w:szCs w:val="18"/>
        </w:rPr>
        <w:t>intérêt publ</w:t>
      </w:r>
      <w:r w:rsidRPr="0082615F">
        <w:rPr>
          <w:sz w:val="18"/>
          <w:szCs w:val="18"/>
        </w:rPr>
        <w:t>ic</w:t>
      </w:r>
      <w:r>
        <w:rPr>
          <w:sz w:val="18"/>
          <w:szCs w:val="18"/>
        </w:rPr>
        <w:t xml:space="preserve">.  </w:t>
      </w:r>
      <w:r w:rsidRPr="0082615F">
        <w:rPr>
          <w:sz w:val="18"/>
          <w:szCs w:val="18"/>
        </w:rPr>
        <w:t>Le</w:t>
      </w:r>
      <w:r w:rsidR="00661707" w:rsidRPr="0082615F">
        <w:rPr>
          <w:sz w:val="18"/>
          <w:szCs w:val="18"/>
        </w:rPr>
        <w:t xml:space="preserve"> fait de désigner le même vérificateur externe des comptes pour les deux</w:t>
      </w:r>
      <w:r w:rsidR="00CC60A7">
        <w:rPr>
          <w:sz w:val="18"/>
          <w:szCs w:val="18"/>
        </w:rPr>
        <w:t> </w:t>
      </w:r>
      <w:r w:rsidR="00661707" w:rsidRPr="0082615F">
        <w:rPr>
          <w:sz w:val="18"/>
          <w:szCs w:val="18"/>
        </w:rPr>
        <w:t>organisations limite l</w:t>
      </w:r>
      <w:r w:rsidR="00204951">
        <w:rPr>
          <w:sz w:val="18"/>
          <w:szCs w:val="18"/>
        </w:rPr>
        <w:t>’</w:t>
      </w:r>
      <w:r w:rsidR="00661707" w:rsidRPr="0082615F">
        <w:rPr>
          <w:sz w:val="18"/>
          <w:szCs w:val="18"/>
        </w:rPr>
        <w:t>utilisation non seulement des ressources financières de l</w:t>
      </w:r>
      <w:r w:rsidR="00204951">
        <w:rPr>
          <w:sz w:val="18"/>
          <w:szCs w:val="18"/>
        </w:rPr>
        <w:t>’</w:t>
      </w:r>
      <w:r w:rsidR="00661707" w:rsidRPr="0082615F">
        <w:rPr>
          <w:sz w:val="18"/>
          <w:szCs w:val="18"/>
        </w:rPr>
        <w:t>UPOV, mais aussi des ressources humaines de l</w:t>
      </w:r>
      <w:r w:rsidR="00204951">
        <w:rPr>
          <w:sz w:val="18"/>
          <w:szCs w:val="18"/>
        </w:rPr>
        <w:t>’</w:t>
      </w:r>
      <w:r w:rsidR="00661707" w:rsidRPr="0082615F">
        <w:rPr>
          <w:sz w:val="18"/>
          <w:szCs w:val="18"/>
        </w:rPr>
        <w:t>UPOV et de l</w:t>
      </w:r>
      <w:r w:rsidR="00204951">
        <w:rPr>
          <w:sz w:val="18"/>
          <w:szCs w:val="18"/>
        </w:rPr>
        <w:t>’</w:t>
      </w:r>
      <w:r w:rsidR="00661707" w:rsidRPr="0082615F">
        <w:rPr>
          <w:sz w:val="18"/>
          <w:szCs w:val="18"/>
        </w:rPr>
        <w:t>OMPI nécessaires pour travailler avec le vérificateur externe des comptes de l</w:t>
      </w:r>
      <w:r w:rsidR="00204951">
        <w:rPr>
          <w:sz w:val="18"/>
          <w:szCs w:val="18"/>
        </w:rPr>
        <w:t>’</w:t>
      </w:r>
      <w:r w:rsidR="00661707" w:rsidRPr="0082615F">
        <w:rPr>
          <w:sz w:val="18"/>
          <w:szCs w:val="18"/>
        </w:rPr>
        <w:t>UPOV.</w:t>
      </w:r>
    </w:p>
    <w:p w14:paraId="6CD0D02C" w14:textId="5E120DC8" w:rsidR="00AE0675" w:rsidRDefault="00E44D1E" w:rsidP="0082615F">
      <w:pPr>
        <w:spacing w:after="200"/>
        <w:ind w:left="567" w:right="1134"/>
        <w:rPr>
          <w:sz w:val="18"/>
        </w:rPr>
      </w:pPr>
      <w:r>
        <w:rPr>
          <w:sz w:val="18"/>
        </w:rPr>
        <w:t>“</w:t>
      </w:r>
      <w:r w:rsidR="00661707" w:rsidRPr="0082615F">
        <w:rPr>
          <w:sz w:val="18"/>
          <w:szCs w:val="18"/>
        </w:rPr>
        <w:t>17.</w:t>
      </w:r>
      <w:r w:rsidR="00661707" w:rsidRPr="0082615F">
        <w:rPr>
          <w:sz w:val="18"/>
          <w:szCs w:val="18"/>
        </w:rPr>
        <w:tab/>
        <w:t>Conformément à l</w:t>
      </w:r>
      <w:r w:rsidR="00204951">
        <w:rPr>
          <w:sz w:val="18"/>
          <w:szCs w:val="18"/>
        </w:rPr>
        <w:t>’</w:t>
      </w:r>
      <w:r w:rsidR="002D4C6F">
        <w:rPr>
          <w:sz w:val="18"/>
          <w:szCs w:val="18"/>
        </w:rPr>
        <w:t>‘</w:t>
      </w:r>
      <w:r w:rsidR="00661707" w:rsidRPr="0082615F">
        <w:rPr>
          <w:sz w:val="18"/>
          <w:szCs w:val="18"/>
        </w:rPr>
        <w:t>Accord entre l</w:t>
      </w:r>
      <w:r w:rsidR="00204951">
        <w:rPr>
          <w:sz w:val="18"/>
          <w:szCs w:val="18"/>
        </w:rPr>
        <w:t>’</w:t>
      </w:r>
      <w:r w:rsidR="00661707" w:rsidRPr="0082615F">
        <w:rPr>
          <w:sz w:val="18"/>
          <w:szCs w:val="18"/>
        </w:rPr>
        <w:t>Organisation Mondiale de la Propriété Intellectuelle et l</w:t>
      </w:r>
      <w:r w:rsidR="00204951">
        <w:rPr>
          <w:sz w:val="18"/>
          <w:szCs w:val="18"/>
        </w:rPr>
        <w:t>’</w:t>
      </w:r>
      <w:r w:rsidR="00661707" w:rsidRPr="0082615F">
        <w:rPr>
          <w:sz w:val="18"/>
          <w:szCs w:val="18"/>
        </w:rPr>
        <w:t>Union internationale pour la protection des obtentions végétales (Accord OMPI/UPOV)</w:t>
      </w:r>
      <w:r w:rsidR="00204951">
        <w:rPr>
          <w:sz w:val="18"/>
          <w:szCs w:val="18"/>
        </w:rPr>
        <w:t>’</w:t>
      </w:r>
      <w:r w:rsidR="00661707" w:rsidRPr="0082615F">
        <w:rPr>
          <w:sz w:val="18"/>
          <w:szCs w:val="18"/>
        </w:rPr>
        <w:t xml:space="preserve"> (voir le </w:t>
      </w:r>
      <w:r w:rsidR="00AE0675" w:rsidRPr="0082615F">
        <w:rPr>
          <w:sz w:val="18"/>
          <w:szCs w:val="18"/>
        </w:rPr>
        <w:t>document</w:t>
      </w:r>
      <w:r w:rsidR="00AE0675">
        <w:rPr>
          <w:sz w:val="18"/>
          <w:szCs w:val="18"/>
        </w:rPr>
        <w:t xml:space="preserve"> </w:t>
      </w:r>
      <w:r w:rsidR="00AE0675" w:rsidRPr="0082615F">
        <w:rPr>
          <w:sz w:val="18"/>
          <w:szCs w:val="18"/>
        </w:rPr>
        <w:t>UP</w:t>
      </w:r>
      <w:r w:rsidR="00661707" w:rsidRPr="0082615F">
        <w:rPr>
          <w:sz w:val="18"/>
          <w:szCs w:val="18"/>
        </w:rPr>
        <w:t>OV/INF/8</w:t>
      </w:r>
      <w:r w:rsidR="002D4C6F">
        <w:rPr>
          <w:sz w:val="18"/>
          <w:szCs w:val="18"/>
        </w:rPr>
        <w:t xml:space="preserve">: </w:t>
      </w:r>
      <w:hyperlink r:id="rId9" w:history="1">
        <w:r w:rsidR="002D4C6F" w:rsidRPr="00B17897">
          <w:rPr>
            <w:rStyle w:val="Hyperlink"/>
            <w:sz w:val="18"/>
            <w:szCs w:val="18"/>
          </w:rPr>
          <w:t>http://www.upov.int/information_documents/fr/</w:t>
        </w:r>
      </w:hyperlink>
      <w:r w:rsidR="00661707" w:rsidRPr="0082615F">
        <w:rPr>
          <w:sz w:val="18"/>
          <w:szCs w:val="18"/>
        </w:rPr>
        <w:t>), signé le 26 novembre 1982, l</w:t>
      </w:r>
      <w:r w:rsidR="00204951">
        <w:rPr>
          <w:sz w:val="18"/>
          <w:szCs w:val="18"/>
        </w:rPr>
        <w:t>’</w:t>
      </w:r>
      <w:r w:rsidR="00661707" w:rsidRPr="0082615F">
        <w:rPr>
          <w:sz w:val="18"/>
          <w:szCs w:val="18"/>
        </w:rPr>
        <w:t>OMPI fournit un appui administratif à l</w:t>
      </w:r>
      <w:r w:rsidR="00204951">
        <w:rPr>
          <w:sz w:val="18"/>
          <w:szCs w:val="18"/>
        </w:rPr>
        <w:t>’</w:t>
      </w:r>
      <w:r w:rsidR="00661707" w:rsidRPr="0082615F">
        <w:rPr>
          <w:sz w:val="18"/>
          <w:szCs w:val="18"/>
        </w:rPr>
        <w:t>U</w:t>
      </w:r>
      <w:r w:rsidRPr="0082615F">
        <w:rPr>
          <w:sz w:val="18"/>
          <w:szCs w:val="18"/>
        </w:rPr>
        <w:t>POV</w:t>
      </w:r>
      <w:r>
        <w:rPr>
          <w:sz w:val="18"/>
          <w:szCs w:val="18"/>
        </w:rPr>
        <w:t xml:space="preserve">.  </w:t>
      </w:r>
      <w:r w:rsidRPr="0082615F">
        <w:rPr>
          <w:sz w:val="18"/>
          <w:szCs w:val="18"/>
        </w:rPr>
        <w:t>Ce</w:t>
      </w:r>
      <w:r w:rsidR="00661707" w:rsidRPr="0082615F">
        <w:rPr>
          <w:sz w:val="18"/>
          <w:szCs w:val="18"/>
        </w:rPr>
        <w:t>t appui porte, entre autres, sur la fourniture de systèmes informatisés de comptabilité, l</w:t>
      </w:r>
      <w:r w:rsidR="00204951">
        <w:rPr>
          <w:sz w:val="18"/>
          <w:szCs w:val="18"/>
        </w:rPr>
        <w:t>’</w:t>
      </w:r>
      <w:r w:rsidR="00661707" w:rsidRPr="0082615F">
        <w:rPr>
          <w:sz w:val="18"/>
          <w:szCs w:val="18"/>
        </w:rPr>
        <w:t>administration financière, les opérations administratives (salaires, prestations, pensions, etc.), l</w:t>
      </w:r>
      <w:r w:rsidR="00204951">
        <w:rPr>
          <w:sz w:val="18"/>
          <w:szCs w:val="18"/>
        </w:rPr>
        <w:t>’</w:t>
      </w:r>
      <w:r w:rsidR="00661707" w:rsidRPr="0082615F">
        <w:rPr>
          <w:sz w:val="18"/>
          <w:szCs w:val="18"/>
        </w:rPr>
        <w:t>assistance en matière d</w:t>
      </w:r>
      <w:r w:rsidR="00204951">
        <w:rPr>
          <w:sz w:val="18"/>
          <w:szCs w:val="18"/>
        </w:rPr>
        <w:t>’</w:t>
      </w:r>
      <w:r w:rsidR="00661707" w:rsidRPr="0082615F">
        <w:rPr>
          <w:sz w:val="18"/>
          <w:szCs w:val="18"/>
        </w:rPr>
        <w:t>achats et l</w:t>
      </w:r>
      <w:r w:rsidR="00204951">
        <w:rPr>
          <w:sz w:val="18"/>
          <w:szCs w:val="18"/>
        </w:rPr>
        <w:t>’</w:t>
      </w:r>
      <w:r w:rsidR="00661707" w:rsidRPr="0082615F">
        <w:rPr>
          <w:sz w:val="18"/>
          <w:szCs w:val="18"/>
        </w:rPr>
        <w:t>organisation des voyag</w:t>
      </w:r>
      <w:r w:rsidRPr="0082615F">
        <w:rPr>
          <w:sz w:val="18"/>
          <w:szCs w:val="18"/>
        </w:rPr>
        <w:t>es</w:t>
      </w:r>
      <w:r>
        <w:rPr>
          <w:sz w:val="18"/>
          <w:szCs w:val="18"/>
        </w:rPr>
        <w:t xml:space="preserve">.  </w:t>
      </w:r>
      <w:r w:rsidRPr="0082615F">
        <w:rPr>
          <w:sz w:val="18"/>
          <w:szCs w:val="18"/>
        </w:rPr>
        <w:t>Le</w:t>
      </w:r>
      <w:r w:rsidR="00661707" w:rsidRPr="0082615F">
        <w:rPr>
          <w:sz w:val="18"/>
          <w:szCs w:val="18"/>
        </w:rPr>
        <w:t xml:space="preserve"> vérificateur externe des comptes vérifie ces procédures ainsi que les autres services prévus par l</w:t>
      </w:r>
      <w:r w:rsidR="00204951">
        <w:rPr>
          <w:sz w:val="18"/>
          <w:szCs w:val="18"/>
        </w:rPr>
        <w:t>’</w:t>
      </w:r>
      <w:r w:rsidR="00661707" w:rsidRPr="0082615F">
        <w:rPr>
          <w:sz w:val="18"/>
          <w:szCs w:val="18"/>
        </w:rPr>
        <w:t>accord OMPI/U</w:t>
      </w:r>
      <w:r w:rsidRPr="0082615F">
        <w:rPr>
          <w:sz w:val="18"/>
          <w:szCs w:val="18"/>
        </w:rPr>
        <w:t>POV</w:t>
      </w:r>
      <w:r>
        <w:rPr>
          <w:sz w:val="18"/>
          <w:szCs w:val="18"/>
        </w:rPr>
        <w:t xml:space="preserve">.  </w:t>
      </w:r>
      <w:r w:rsidRPr="0082615F">
        <w:rPr>
          <w:sz w:val="18"/>
          <w:szCs w:val="18"/>
        </w:rPr>
        <w:t>Lo</w:t>
      </w:r>
      <w:r w:rsidR="00661707" w:rsidRPr="0082615F">
        <w:rPr>
          <w:sz w:val="18"/>
          <w:szCs w:val="18"/>
        </w:rPr>
        <w:t>rsque le vérificateur externe des comptes est le même pour les deux</w:t>
      </w:r>
      <w:r w:rsidR="00CC60A7">
        <w:rPr>
          <w:sz w:val="18"/>
          <w:szCs w:val="18"/>
        </w:rPr>
        <w:t> </w:t>
      </w:r>
      <w:r w:rsidR="00661707" w:rsidRPr="0082615F">
        <w:rPr>
          <w:sz w:val="18"/>
          <w:szCs w:val="18"/>
        </w:rPr>
        <w:t>organisations, les synergies sont évident</w:t>
      </w:r>
      <w:r w:rsidRPr="0082615F">
        <w:rPr>
          <w:sz w:val="18"/>
          <w:szCs w:val="18"/>
        </w:rPr>
        <w:t>es</w:t>
      </w:r>
      <w:r>
        <w:rPr>
          <w:sz w:val="18"/>
          <w:szCs w:val="18"/>
        </w:rPr>
        <w:t xml:space="preserve">.  </w:t>
      </w:r>
      <w:r w:rsidRPr="0082615F">
        <w:rPr>
          <w:sz w:val="18"/>
          <w:szCs w:val="18"/>
        </w:rPr>
        <w:t>Av</w:t>
      </w:r>
      <w:r w:rsidR="00661707" w:rsidRPr="0082615F">
        <w:rPr>
          <w:sz w:val="18"/>
          <w:szCs w:val="18"/>
        </w:rPr>
        <w:t>ec des vérificateurs externes différents, les vérifications et l</w:t>
      </w:r>
      <w:r w:rsidR="00204951">
        <w:rPr>
          <w:sz w:val="18"/>
          <w:szCs w:val="18"/>
        </w:rPr>
        <w:t>’</w:t>
      </w:r>
      <w:r w:rsidR="00661707" w:rsidRPr="0082615F">
        <w:rPr>
          <w:sz w:val="18"/>
          <w:szCs w:val="18"/>
        </w:rPr>
        <w:t>audit des opérations de l</w:t>
      </w:r>
      <w:r w:rsidR="00204951">
        <w:rPr>
          <w:sz w:val="18"/>
          <w:szCs w:val="18"/>
        </w:rPr>
        <w:t>’</w:t>
      </w:r>
      <w:r w:rsidR="00661707" w:rsidRPr="0082615F">
        <w:rPr>
          <w:sz w:val="18"/>
          <w:szCs w:val="18"/>
        </w:rPr>
        <w:t>UPOV devraient être effectués séparément du travail du vérificateur externe des comptes de l</w:t>
      </w:r>
      <w:r w:rsidR="00204951">
        <w:rPr>
          <w:sz w:val="18"/>
          <w:szCs w:val="18"/>
        </w:rPr>
        <w:t>’</w:t>
      </w:r>
      <w:r w:rsidR="00661707" w:rsidRPr="0082615F">
        <w:rPr>
          <w:sz w:val="18"/>
          <w:szCs w:val="18"/>
        </w:rPr>
        <w:t>O</w:t>
      </w:r>
      <w:r w:rsidRPr="0082615F">
        <w:rPr>
          <w:sz w:val="18"/>
          <w:szCs w:val="18"/>
        </w:rPr>
        <w:t>MPI</w:t>
      </w:r>
      <w:r>
        <w:rPr>
          <w:sz w:val="18"/>
          <w:szCs w:val="18"/>
        </w:rPr>
        <w:t xml:space="preserve">.  </w:t>
      </w:r>
      <w:r w:rsidRPr="0082615F">
        <w:rPr>
          <w:sz w:val="18"/>
          <w:szCs w:val="18"/>
        </w:rPr>
        <w:t>Ce</w:t>
      </w:r>
      <w:r w:rsidR="00661707" w:rsidRPr="0082615F">
        <w:rPr>
          <w:sz w:val="18"/>
          <w:szCs w:val="18"/>
        </w:rPr>
        <w:t>la signifierait également que le personnel de l</w:t>
      </w:r>
      <w:r w:rsidR="00204951">
        <w:rPr>
          <w:sz w:val="18"/>
          <w:szCs w:val="18"/>
        </w:rPr>
        <w:t>’</w:t>
      </w:r>
      <w:r w:rsidR="00661707" w:rsidRPr="0082615F">
        <w:rPr>
          <w:sz w:val="18"/>
          <w:szCs w:val="18"/>
        </w:rPr>
        <w:t>OMPI</w:t>
      </w:r>
      <w:r w:rsidR="00661707">
        <w:rPr>
          <w:sz w:val="18"/>
        </w:rPr>
        <w:t xml:space="preserve"> devrait apporter un appui aussi bien au vérificateur externe des comptes de l</w:t>
      </w:r>
      <w:r w:rsidR="00204951">
        <w:rPr>
          <w:sz w:val="18"/>
        </w:rPr>
        <w:t>’</w:t>
      </w:r>
      <w:r w:rsidR="00661707">
        <w:rPr>
          <w:sz w:val="18"/>
        </w:rPr>
        <w:t>OMPI qu</w:t>
      </w:r>
      <w:r w:rsidR="00204951">
        <w:rPr>
          <w:sz w:val="18"/>
        </w:rPr>
        <w:t>’</w:t>
      </w:r>
      <w:r w:rsidR="00661707">
        <w:rPr>
          <w:sz w:val="18"/>
        </w:rPr>
        <w:t>au vérificateur externe des comptes de l</w:t>
      </w:r>
      <w:r w:rsidR="00204951">
        <w:rPr>
          <w:sz w:val="18"/>
        </w:rPr>
        <w:t>’</w:t>
      </w:r>
      <w:r w:rsidR="00661707">
        <w:rPr>
          <w:sz w:val="18"/>
        </w:rPr>
        <w:t>UPOV en fournissant des données, des informations et des explications sur les procédures applicables.  L</w:t>
      </w:r>
      <w:r w:rsidR="00204951">
        <w:rPr>
          <w:sz w:val="18"/>
        </w:rPr>
        <w:t>’</w:t>
      </w:r>
      <w:r w:rsidR="00661707">
        <w:rPr>
          <w:sz w:val="18"/>
        </w:rPr>
        <w:t>UPOV devrait rembourser l</w:t>
      </w:r>
      <w:r w:rsidR="00204951">
        <w:rPr>
          <w:sz w:val="18"/>
        </w:rPr>
        <w:t>’</w:t>
      </w:r>
      <w:r w:rsidR="00661707">
        <w:rPr>
          <w:sz w:val="18"/>
        </w:rPr>
        <w:t>OMPI pour ce travail supplémentaire.</w:t>
      </w:r>
    </w:p>
    <w:p w14:paraId="215FC11E" w14:textId="4076FE61" w:rsidR="00AE0675" w:rsidRDefault="00E44D1E" w:rsidP="0082615F">
      <w:pPr>
        <w:spacing w:after="200"/>
        <w:ind w:left="567" w:right="1134"/>
        <w:rPr>
          <w:sz w:val="18"/>
        </w:rPr>
      </w:pPr>
      <w:r>
        <w:rPr>
          <w:sz w:val="18"/>
        </w:rPr>
        <w:t>“</w:t>
      </w:r>
      <w:r w:rsidR="00661707">
        <w:rPr>
          <w:sz w:val="18"/>
        </w:rPr>
        <w:t>18.</w:t>
      </w:r>
      <w:r w:rsidR="00661707">
        <w:rPr>
          <w:sz w:val="18"/>
        </w:rPr>
        <w:tab/>
        <w:t>Depuis l</w:t>
      </w:r>
      <w:r w:rsidR="00204951">
        <w:rPr>
          <w:sz w:val="18"/>
        </w:rPr>
        <w:t>’</w:t>
      </w:r>
      <w:r w:rsidR="00661707">
        <w:rPr>
          <w:sz w:val="18"/>
        </w:rPr>
        <w:t>adoption de la disposition relative à la nomination d</w:t>
      </w:r>
      <w:r w:rsidR="00204951">
        <w:rPr>
          <w:sz w:val="18"/>
        </w:rPr>
        <w:t>’</w:t>
      </w:r>
      <w:r w:rsidR="00661707">
        <w:rPr>
          <w:sz w:val="18"/>
        </w:rPr>
        <w:t>un vérificateur externe des comptes dans l</w:t>
      </w:r>
      <w:r w:rsidR="00204951">
        <w:rPr>
          <w:sz w:val="18"/>
        </w:rPr>
        <w:t>’</w:t>
      </w:r>
      <w:r w:rsidR="00661707">
        <w:rPr>
          <w:sz w:val="18"/>
        </w:rPr>
        <w:t>Acte de 1978 (confirmée dans l</w:t>
      </w:r>
      <w:r w:rsidR="00204951">
        <w:rPr>
          <w:sz w:val="18"/>
        </w:rPr>
        <w:t>’</w:t>
      </w:r>
      <w:r w:rsidR="00661707">
        <w:rPr>
          <w:sz w:val="18"/>
        </w:rPr>
        <w:t>Acte de 1991), les progrès réalisés dans le traitement des opérations administratives au moyen de systèmes informatiques et des mécanismes de régulation intégrés dans ces systèmes informatiques ont remplacé l</w:t>
      </w:r>
      <w:r w:rsidR="00204951">
        <w:rPr>
          <w:sz w:val="18"/>
        </w:rPr>
        <w:t>’</w:t>
      </w:r>
      <w:r w:rsidR="00661707">
        <w:rPr>
          <w:sz w:val="18"/>
        </w:rPr>
        <w:t xml:space="preserve">examen des documents sur </w:t>
      </w:r>
      <w:r w:rsidR="00661707">
        <w:rPr>
          <w:sz w:val="18"/>
        </w:rPr>
        <w:lastRenderedPageBreak/>
        <w:t>papi</w:t>
      </w:r>
      <w:r>
        <w:rPr>
          <w:sz w:val="18"/>
        </w:rPr>
        <w:t>er.  La</w:t>
      </w:r>
      <w:r w:rsidR="00661707">
        <w:rPr>
          <w:sz w:val="18"/>
        </w:rPr>
        <w:t xml:space="preserve"> nature du travail des auditeurs a considérablement évolué et des compétences supplémentaires sont nécessaires.</w:t>
      </w:r>
    </w:p>
    <w:p w14:paraId="33E749D9" w14:textId="2363E954" w:rsidR="00661707" w:rsidRPr="00AA6100" w:rsidRDefault="00E44D1E" w:rsidP="0082615F">
      <w:pPr>
        <w:spacing w:after="200"/>
        <w:ind w:left="567" w:right="1134"/>
        <w:rPr>
          <w:sz w:val="18"/>
          <w:szCs w:val="18"/>
        </w:rPr>
      </w:pPr>
      <w:r>
        <w:rPr>
          <w:sz w:val="18"/>
        </w:rPr>
        <w:t>“</w:t>
      </w:r>
      <w:r w:rsidR="00661707">
        <w:rPr>
          <w:sz w:val="18"/>
        </w:rPr>
        <w:t>19.</w:t>
      </w:r>
      <w:r w:rsidR="00661707">
        <w:rPr>
          <w:sz w:val="18"/>
        </w:rPr>
        <w:tab/>
        <w:t>Les systèmes informatiques en place à l</w:t>
      </w:r>
      <w:r w:rsidR="00204951">
        <w:rPr>
          <w:sz w:val="18"/>
        </w:rPr>
        <w:t>’</w:t>
      </w:r>
      <w:r w:rsidR="00661707">
        <w:rPr>
          <w:sz w:val="18"/>
        </w:rPr>
        <w:t>OMPI traitent le même type d</w:t>
      </w:r>
      <w:r w:rsidR="00204951">
        <w:rPr>
          <w:sz w:val="18"/>
        </w:rPr>
        <w:t>’</w:t>
      </w:r>
      <w:r w:rsidR="00661707">
        <w:rPr>
          <w:sz w:val="18"/>
        </w:rPr>
        <w:t>opérations pour l</w:t>
      </w:r>
      <w:r w:rsidR="00204951">
        <w:rPr>
          <w:sz w:val="18"/>
        </w:rPr>
        <w:t>’</w:t>
      </w:r>
      <w:r w:rsidR="00661707">
        <w:rPr>
          <w:sz w:val="18"/>
        </w:rPr>
        <w:t>U</w:t>
      </w:r>
      <w:r>
        <w:rPr>
          <w:sz w:val="18"/>
        </w:rPr>
        <w:t>POV.  Le</w:t>
      </w:r>
      <w:r w:rsidR="00661707">
        <w:rPr>
          <w:sz w:val="18"/>
        </w:rPr>
        <w:t xml:space="preserve"> fait d</w:t>
      </w:r>
      <w:r w:rsidR="00204951">
        <w:rPr>
          <w:sz w:val="18"/>
        </w:rPr>
        <w:t>’</w:t>
      </w:r>
      <w:r w:rsidR="00661707">
        <w:rPr>
          <w:sz w:val="18"/>
        </w:rPr>
        <w:t>avoir deux</w:t>
      </w:r>
      <w:r w:rsidR="00CC60A7">
        <w:rPr>
          <w:sz w:val="18"/>
        </w:rPr>
        <w:t> </w:t>
      </w:r>
      <w:r w:rsidR="00661707">
        <w:rPr>
          <w:sz w:val="18"/>
        </w:rPr>
        <w:t>vérificateurs externes des comptes différents, chargés de vérifier les mêmes processus, entraînerait une répétition des tâches, ce qui ne serait pas rationn</w:t>
      </w:r>
      <w:r>
        <w:rPr>
          <w:sz w:val="18"/>
        </w:rPr>
        <w:t>el.  En</w:t>
      </w:r>
      <w:r w:rsidR="00661707">
        <w:rPr>
          <w:sz w:val="18"/>
        </w:rPr>
        <w:t xml:space="preserve"> effet, le vérificateur externe des comptes de l</w:t>
      </w:r>
      <w:r w:rsidR="00204951">
        <w:rPr>
          <w:sz w:val="18"/>
        </w:rPr>
        <w:t>’</w:t>
      </w:r>
      <w:r w:rsidR="00661707">
        <w:rPr>
          <w:sz w:val="18"/>
        </w:rPr>
        <w:t>UPOV devrait également vérifier les procédures, les services et les systèmes comptables de l</w:t>
      </w:r>
      <w:r w:rsidR="00204951">
        <w:rPr>
          <w:sz w:val="18"/>
        </w:rPr>
        <w:t>’</w:t>
      </w:r>
      <w:r w:rsidR="00661707">
        <w:rPr>
          <w:sz w:val="18"/>
        </w:rPr>
        <w:t>OMPI, compte tenu de l</w:t>
      </w:r>
      <w:r w:rsidR="00204951">
        <w:rPr>
          <w:sz w:val="18"/>
        </w:rPr>
        <w:t>’</w:t>
      </w:r>
      <w:r w:rsidR="00661707">
        <w:rPr>
          <w:sz w:val="18"/>
        </w:rPr>
        <w:t>appui et des services administratifs que l</w:t>
      </w:r>
      <w:r w:rsidR="00204951">
        <w:rPr>
          <w:sz w:val="18"/>
        </w:rPr>
        <w:t>’</w:t>
      </w:r>
      <w:r w:rsidR="00661707">
        <w:rPr>
          <w:sz w:val="18"/>
        </w:rPr>
        <w:t>OMPI fournit à l</w:t>
      </w:r>
      <w:r w:rsidR="00204951">
        <w:rPr>
          <w:sz w:val="18"/>
        </w:rPr>
        <w:t>’</w:t>
      </w:r>
      <w:r w:rsidR="00661707">
        <w:rPr>
          <w:sz w:val="18"/>
        </w:rPr>
        <w:t>UPOV en vertu de l</w:t>
      </w:r>
      <w:r w:rsidR="00204951">
        <w:rPr>
          <w:sz w:val="18"/>
        </w:rPr>
        <w:t>’</w:t>
      </w:r>
      <w:r w:rsidR="00661707">
        <w:rPr>
          <w:sz w:val="18"/>
        </w:rPr>
        <w:t>accord OMPI/U</w:t>
      </w:r>
      <w:r>
        <w:rPr>
          <w:sz w:val="18"/>
        </w:rPr>
        <w:t>POV.  Au</w:t>
      </w:r>
      <w:r w:rsidR="00661707">
        <w:rPr>
          <w:sz w:val="18"/>
        </w:rPr>
        <w:t xml:space="preserve"> cours des consultations, le risque de ne pas avoir de vérificateur externe des comptes d</w:t>
      </w:r>
      <w:r w:rsidR="00204951">
        <w:rPr>
          <w:sz w:val="18"/>
        </w:rPr>
        <w:t>’</w:t>
      </w:r>
      <w:r w:rsidR="00661707">
        <w:rPr>
          <w:sz w:val="18"/>
        </w:rPr>
        <w:t>un État membre de l</w:t>
      </w:r>
      <w:r w:rsidR="00204951">
        <w:rPr>
          <w:sz w:val="18"/>
        </w:rPr>
        <w:t>’</w:t>
      </w:r>
      <w:r w:rsidR="00661707">
        <w:rPr>
          <w:sz w:val="18"/>
        </w:rPr>
        <w:t>UPOV disposé à accepter le mandat uniquement pour l</w:t>
      </w:r>
      <w:r w:rsidR="00204951">
        <w:rPr>
          <w:sz w:val="18"/>
        </w:rPr>
        <w:t>’</w:t>
      </w:r>
      <w:r w:rsidR="00661707">
        <w:rPr>
          <w:sz w:val="18"/>
        </w:rPr>
        <w:t>UPOV a été mis en évidence.</w:t>
      </w:r>
    </w:p>
    <w:p w14:paraId="2C1C314D" w14:textId="4B41F0C1" w:rsidR="00661707" w:rsidRPr="00AA6100" w:rsidRDefault="00E44D1E" w:rsidP="0082615F">
      <w:pPr>
        <w:spacing w:after="200"/>
        <w:ind w:left="567" w:right="1134"/>
        <w:rPr>
          <w:sz w:val="18"/>
          <w:szCs w:val="18"/>
        </w:rPr>
      </w:pPr>
      <w:r>
        <w:rPr>
          <w:sz w:val="18"/>
        </w:rPr>
        <w:t>“</w:t>
      </w:r>
      <w:r w:rsidR="00661707">
        <w:rPr>
          <w:sz w:val="18"/>
        </w:rPr>
        <w:t>20.</w:t>
      </w:r>
      <w:r w:rsidR="00661707">
        <w:rPr>
          <w:sz w:val="18"/>
        </w:rPr>
        <w:tab/>
        <w:t>La procédure de l</w:t>
      </w:r>
      <w:r w:rsidR="00204951">
        <w:rPr>
          <w:sz w:val="18"/>
        </w:rPr>
        <w:t>’</w:t>
      </w:r>
      <w:r w:rsidR="00661707">
        <w:rPr>
          <w:sz w:val="18"/>
        </w:rPr>
        <w:t>OMPI pour la sélection du vérificateur externe des comptes est une procédure complète et efficace qui fait intervenir tous les États membres de l</w:t>
      </w:r>
      <w:r w:rsidR="00204951">
        <w:rPr>
          <w:sz w:val="18"/>
        </w:rPr>
        <w:t>’</w:t>
      </w:r>
      <w:r w:rsidR="00661707">
        <w:rPr>
          <w:sz w:val="18"/>
        </w:rPr>
        <w:t>OMPI, un jury de sélection, le Secrétariat de l</w:t>
      </w:r>
      <w:r w:rsidR="00204951">
        <w:rPr>
          <w:sz w:val="18"/>
        </w:rPr>
        <w:t>’</w:t>
      </w:r>
      <w:r w:rsidR="00661707">
        <w:rPr>
          <w:sz w:val="18"/>
        </w:rPr>
        <w:t>OMPI, la Division de la supervision interne (DSI), l</w:t>
      </w:r>
      <w:r w:rsidR="00204951">
        <w:rPr>
          <w:sz w:val="18"/>
        </w:rPr>
        <w:t>’</w:t>
      </w:r>
      <w:r w:rsidR="00661707">
        <w:rPr>
          <w:sz w:val="18"/>
        </w:rPr>
        <w:t>Organe consultatif indépendant de surveillance (OCIS) et l</w:t>
      </w:r>
      <w:r w:rsidR="00204951">
        <w:rPr>
          <w:sz w:val="18"/>
        </w:rPr>
        <w:t>’</w:t>
      </w:r>
      <w:r w:rsidR="00661707">
        <w:rPr>
          <w:sz w:val="18"/>
        </w:rPr>
        <w:t>Assemblée générale de l</w:t>
      </w:r>
      <w:r w:rsidR="00204951">
        <w:rPr>
          <w:sz w:val="18"/>
        </w:rPr>
        <w:t>’</w:t>
      </w:r>
      <w:r w:rsidR="00661707">
        <w:rPr>
          <w:sz w:val="18"/>
        </w:rPr>
        <w:t>O</w:t>
      </w:r>
      <w:r>
        <w:rPr>
          <w:sz w:val="18"/>
        </w:rPr>
        <w:t>MPI.  Il</w:t>
      </w:r>
      <w:r w:rsidR="00661707">
        <w:rPr>
          <w:sz w:val="18"/>
        </w:rPr>
        <w:t xml:space="preserve"> convient de noter que tous les États membres de l</w:t>
      </w:r>
      <w:r w:rsidR="00204951">
        <w:rPr>
          <w:sz w:val="18"/>
        </w:rPr>
        <w:t>’</w:t>
      </w:r>
      <w:r w:rsidR="00661707">
        <w:rPr>
          <w:sz w:val="18"/>
        </w:rPr>
        <w:t>UPOV sont également membres de l</w:t>
      </w:r>
      <w:r w:rsidR="00204951">
        <w:rPr>
          <w:sz w:val="18"/>
        </w:rPr>
        <w:t>’</w:t>
      </w:r>
      <w:r w:rsidR="00661707">
        <w:rPr>
          <w:sz w:val="18"/>
        </w:rPr>
        <w:t>O</w:t>
      </w:r>
      <w:r>
        <w:rPr>
          <w:sz w:val="18"/>
        </w:rPr>
        <w:t>MPI.  La</w:t>
      </w:r>
      <w:r w:rsidR="00661707">
        <w:rPr>
          <w:sz w:val="18"/>
        </w:rPr>
        <w:t xml:space="preserve"> procédure de sélection est mise en place pour garantir que la sélection du vérificateur externe des comptes est équitable et transparente et que le vérificateur sélectionné est indépendant, possède l</w:t>
      </w:r>
      <w:r w:rsidR="00204951">
        <w:rPr>
          <w:sz w:val="18"/>
        </w:rPr>
        <w:t>’</w:t>
      </w:r>
      <w:r w:rsidR="00661707">
        <w:rPr>
          <w:sz w:val="18"/>
        </w:rPr>
        <w:t>expérience professionnelle adéquate et suit les principes et normes comptables internationaux applicables (c</w:t>
      </w:r>
      <w:r w:rsidR="00204951">
        <w:rPr>
          <w:sz w:val="18"/>
        </w:rPr>
        <w:t>’</w:t>
      </w:r>
      <w:r w:rsidR="00661707">
        <w:rPr>
          <w:sz w:val="18"/>
        </w:rPr>
        <w:t>est</w:t>
      </w:r>
      <w:r>
        <w:rPr>
          <w:sz w:val="18"/>
        </w:rPr>
        <w:noBreakHyphen/>
      </w:r>
      <w:r w:rsidR="00661707">
        <w:rPr>
          <w:sz w:val="18"/>
        </w:rPr>
        <w:t>à</w:t>
      </w:r>
      <w:r>
        <w:rPr>
          <w:sz w:val="18"/>
        </w:rPr>
        <w:noBreakHyphen/>
      </w:r>
      <w:r w:rsidR="00661707">
        <w:rPr>
          <w:sz w:val="18"/>
        </w:rPr>
        <w:t>dire les normes</w:t>
      </w:r>
      <w:r w:rsidR="00CC60A7">
        <w:rPr>
          <w:sz w:val="18"/>
        </w:rPr>
        <w:t> </w:t>
      </w:r>
      <w:r w:rsidR="00661707">
        <w:rPr>
          <w:sz w:val="18"/>
        </w:rPr>
        <w:t>IPSAS).  La procédure de sélection du vérificateur externe des comptes de l</w:t>
      </w:r>
      <w:r w:rsidR="00204951">
        <w:rPr>
          <w:sz w:val="18"/>
        </w:rPr>
        <w:t>’</w:t>
      </w:r>
      <w:r w:rsidR="00661707">
        <w:rPr>
          <w:sz w:val="18"/>
        </w:rPr>
        <w:t>OMPI a été établie en tenant compte des pratiques d</w:t>
      </w:r>
      <w:r w:rsidR="00204951">
        <w:rPr>
          <w:sz w:val="18"/>
        </w:rPr>
        <w:t>’</w:t>
      </w:r>
      <w:r w:rsidR="00661707">
        <w:rPr>
          <w:sz w:val="18"/>
        </w:rPr>
        <w:t>autres organisations internationales.”</w:t>
      </w:r>
    </w:p>
    <w:p w14:paraId="0BD248B5" w14:textId="71A196F2" w:rsidR="00661707" w:rsidRDefault="00661707" w:rsidP="0082615F">
      <w:pPr>
        <w:pStyle w:val="Heading1"/>
      </w:pPr>
      <w:r>
        <w:t>P</w:t>
      </w:r>
      <w:r w:rsidR="0082615F">
        <w:t>roposition</w:t>
      </w:r>
    </w:p>
    <w:p w14:paraId="655A660D" w14:textId="71A4D2D8" w:rsidR="00AE0675" w:rsidRDefault="00661707" w:rsidP="0082615F">
      <w:pPr>
        <w:spacing w:after="2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Pour faire suite à la demande formulée par le Conseil lors de sa cinquante</w:t>
      </w:r>
      <w:r w:rsidR="00E44D1E">
        <w:noBreakHyphen/>
      </w:r>
      <w:r>
        <w:t>huit</w:t>
      </w:r>
      <w:r w:rsidR="00AE0675">
        <w:t>ième session</w:t>
      </w:r>
      <w:r>
        <w:t xml:space="preserve"> ordinaire invitant le Bureau de l</w:t>
      </w:r>
      <w:r w:rsidR="00204951">
        <w:t>’</w:t>
      </w:r>
      <w:r>
        <w:t>Union à proposer des modifications des dispositions du Règlement financier et du règlement d</w:t>
      </w:r>
      <w:r w:rsidR="00204951">
        <w:t>’</w:t>
      </w:r>
      <w:r>
        <w:t>exécution du Règlement financier de l</w:t>
      </w:r>
      <w:r w:rsidR="00204951">
        <w:t>’</w:t>
      </w:r>
      <w:r>
        <w:t>UPOV relatives à la nomination du vérificateur externe des comptes, le Conseil est invité à examiner la décision suivante</w:t>
      </w:r>
      <w:r w:rsidR="00AE0675">
        <w:t> :</w:t>
      </w:r>
    </w:p>
    <w:p w14:paraId="0E09CCDE" w14:textId="77777777" w:rsidR="00AE0675" w:rsidRDefault="00661707" w:rsidP="0082615F">
      <w:pPr>
        <w:spacing w:after="200"/>
        <w:jc w:val="left"/>
        <w:rPr>
          <w:b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>
        <w:rPr>
          <w:b/>
        </w:rPr>
        <w:t>Décision du Conseil</w:t>
      </w:r>
    </w:p>
    <w:p w14:paraId="489126E9" w14:textId="64D85F92" w:rsidR="00661707" w:rsidRDefault="00661707" w:rsidP="0082615F">
      <w:pPr>
        <w:pStyle w:val="ListParagraph"/>
        <w:numPr>
          <w:ilvl w:val="0"/>
          <w:numId w:val="6"/>
        </w:numPr>
        <w:spacing w:after="200"/>
        <w:ind w:left="1134" w:hanging="567"/>
        <w:contextualSpacing w:val="0"/>
      </w:pPr>
      <w:r>
        <w:t>Considérant que l</w:t>
      </w:r>
      <w:r w:rsidR="00204951">
        <w:t>’</w:t>
      </w:r>
      <w:r>
        <w:t>article</w:t>
      </w:r>
      <w:r w:rsidR="0082615F">
        <w:t> </w:t>
      </w:r>
      <w:r>
        <w:t>29.6) de l</w:t>
      </w:r>
      <w:r w:rsidR="00204951">
        <w:t>’</w:t>
      </w:r>
      <w:r>
        <w:t>Acte de 1991 et l</w:t>
      </w:r>
      <w:r w:rsidR="00204951">
        <w:t>’</w:t>
      </w:r>
      <w:r>
        <w:t>article 25 de l</w:t>
      </w:r>
      <w:r w:rsidR="00204951">
        <w:t>’</w:t>
      </w:r>
      <w:r>
        <w:t xml:space="preserve">Acte de 1978 de la </w:t>
      </w:r>
      <w:r w:rsidR="00AE0675">
        <w:t>Convention UPOV</w:t>
      </w:r>
      <w:r>
        <w:t xml:space="preserve"> prévoient que la vérification des comptes de l</w:t>
      </w:r>
      <w:r w:rsidR="00204951">
        <w:t>’</w:t>
      </w:r>
      <w:r>
        <w:t>Union est assurée selon les modalités prévues dans le règlement administratif et financier, par un État membre de l</w:t>
      </w:r>
      <w:r w:rsidR="00204951">
        <w:t>’</w:t>
      </w:r>
      <w:r>
        <w:t>UPOV, et que cet État membre est, avec son consentement, désigné par le Conseil</w:t>
      </w:r>
      <w:r w:rsidR="002D4C6F">
        <w:t> ;</w:t>
      </w:r>
    </w:p>
    <w:p w14:paraId="121A53C1" w14:textId="07C3683E" w:rsidR="00661707" w:rsidRPr="00C545DC" w:rsidRDefault="00661707" w:rsidP="0082615F">
      <w:pPr>
        <w:pStyle w:val="ListParagraph"/>
        <w:numPr>
          <w:ilvl w:val="0"/>
          <w:numId w:val="6"/>
        </w:numPr>
        <w:spacing w:after="200"/>
        <w:ind w:left="1134" w:hanging="567"/>
        <w:contextualSpacing w:val="0"/>
      </w:pPr>
      <w:r>
        <w:t>Considérant que le Conseil estime qu</w:t>
      </w:r>
      <w:r w:rsidR="00204951">
        <w:t>’</w:t>
      </w:r>
      <w:r>
        <w:t>il existe un risque important de ne pas trouver de vérificateur externe disposé à accepter le rôle de vérificateur externe des comptes de l</w:t>
      </w:r>
      <w:r w:rsidR="00204951">
        <w:t>’</w:t>
      </w:r>
      <w:r>
        <w:t>UPOV, dans les cas où ce vérificateur externe des comptes n</w:t>
      </w:r>
      <w:r w:rsidR="00204951">
        <w:t>’</w:t>
      </w:r>
      <w:r>
        <w:t>est pas également désigné vérificateur externe de l</w:t>
      </w:r>
      <w:r w:rsidR="00204951">
        <w:t>’</w:t>
      </w:r>
      <w:r>
        <w:t>Organisation Mondiale de la Propriété Intellectuelle (OMPI)</w:t>
      </w:r>
      <w:r w:rsidR="002D4C6F">
        <w:t> ;</w:t>
      </w:r>
    </w:p>
    <w:p w14:paraId="39612571" w14:textId="0B80854A" w:rsidR="00661707" w:rsidRDefault="00661707" w:rsidP="0082615F">
      <w:pPr>
        <w:pStyle w:val="ListParagraph"/>
        <w:numPr>
          <w:ilvl w:val="0"/>
          <w:numId w:val="6"/>
        </w:numPr>
        <w:spacing w:after="200"/>
        <w:ind w:left="1134" w:hanging="567"/>
        <w:contextualSpacing w:val="0"/>
      </w:pPr>
      <w:r>
        <w:t>Considérant que le Conseil estime qu</w:t>
      </w:r>
      <w:r w:rsidR="00204951">
        <w:t>’</w:t>
      </w:r>
      <w:r>
        <w:t>il est essentiel que cette procédure de désignation du vérificateur externe des comptes de l</w:t>
      </w:r>
      <w:r w:rsidR="00204951">
        <w:t>’</w:t>
      </w:r>
      <w:r>
        <w:t>UPOV soit transparente, inclusive, économique et durable</w:t>
      </w:r>
      <w:r w:rsidR="002D4C6F">
        <w:t> ;</w:t>
      </w:r>
    </w:p>
    <w:p w14:paraId="41AF2CD8" w14:textId="3D14F9F6" w:rsidR="00661707" w:rsidRDefault="00661707" w:rsidP="0082615F">
      <w:pPr>
        <w:pStyle w:val="ListParagraph"/>
        <w:numPr>
          <w:ilvl w:val="0"/>
          <w:numId w:val="6"/>
        </w:numPr>
        <w:spacing w:after="200"/>
        <w:ind w:left="1134" w:hanging="567"/>
        <w:contextualSpacing w:val="0"/>
      </w:pPr>
      <w:r>
        <w:t>Considérant que le Conseil reconnaît que la procédure établie par l</w:t>
      </w:r>
      <w:r w:rsidR="00204951">
        <w:t>’</w:t>
      </w:r>
      <w:r>
        <w:t>OMPI pour la sélection de son vérificateur externe remplit les critères visés au point c) ci</w:t>
      </w:r>
      <w:r w:rsidR="00E44D1E">
        <w:noBreakHyphen/>
      </w:r>
      <w:r>
        <w:t>dessus et reflète les pratiques recommandées internationales</w:t>
      </w:r>
      <w:r w:rsidR="002D4C6F">
        <w:t> ;</w:t>
      </w:r>
    </w:p>
    <w:p w14:paraId="6B8DC45A" w14:textId="7436F3BD" w:rsidR="00661707" w:rsidRDefault="00661707" w:rsidP="0082615F">
      <w:pPr>
        <w:pStyle w:val="ListParagraph"/>
        <w:numPr>
          <w:ilvl w:val="0"/>
          <w:numId w:val="6"/>
        </w:numPr>
        <w:spacing w:after="200"/>
        <w:ind w:left="1134" w:hanging="567"/>
        <w:contextualSpacing w:val="0"/>
      </w:pPr>
      <w:r>
        <w:t>Considérant que le Conseil estime que la désignation du vérificateur externe des comptes de l</w:t>
      </w:r>
      <w:r w:rsidR="00204951">
        <w:t>’</w:t>
      </w:r>
      <w:r>
        <w:t>UPOV est une fonction administrative et n</w:t>
      </w:r>
      <w:r w:rsidR="00204951">
        <w:t>’</w:t>
      </w:r>
      <w:r>
        <w:t>a pas trait aux dispositions de fond relatives aux droits d</w:t>
      </w:r>
      <w:r w:rsidR="00204951">
        <w:t>’</w:t>
      </w:r>
      <w:r>
        <w:t>obtenteur énoncées dans l</w:t>
      </w:r>
      <w:r w:rsidR="00204951">
        <w:t>’</w:t>
      </w:r>
      <w:r>
        <w:t>Acte de 1991 et l</w:t>
      </w:r>
      <w:r w:rsidR="00204951">
        <w:t>’</w:t>
      </w:r>
      <w:r>
        <w:t xml:space="preserve">Acte de 1978 de la </w:t>
      </w:r>
      <w:r w:rsidR="00AE0675">
        <w:t>Convention UPOV</w:t>
      </w:r>
      <w:r w:rsidR="002D4C6F">
        <w:t> ;</w:t>
      </w:r>
    </w:p>
    <w:p w14:paraId="365C65CA" w14:textId="1FD570AD" w:rsidR="00661707" w:rsidRPr="0042774E" w:rsidRDefault="00661707" w:rsidP="0082615F">
      <w:pPr>
        <w:pStyle w:val="ListParagraph"/>
        <w:numPr>
          <w:ilvl w:val="0"/>
          <w:numId w:val="6"/>
        </w:numPr>
        <w:spacing w:after="200"/>
        <w:ind w:left="1134" w:hanging="567"/>
        <w:contextualSpacing w:val="0"/>
      </w:pPr>
      <w:r>
        <w:t>Considérant que le Conseil estime opportun d</w:t>
      </w:r>
      <w:r w:rsidR="00204951">
        <w:t>’</w:t>
      </w:r>
      <w:r>
        <w:t>aligner les dispositions du Règlement financier et du règlement d</w:t>
      </w:r>
      <w:r w:rsidR="00204951">
        <w:t>’</w:t>
      </w:r>
      <w:r>
        <w:t>exécution du Règlement financier de l</w:t>
      </w:r>
      <w:r w:rsidR="00204951">
        <w:t>’</w:t>
      </w:r>
      <w:r>
        <w:t>UPOV relatives à la nomination du vérificateur externe des comptes sur la procédure équivalente de l</w:t>
      </w:r>
      <w:r w:rsidR="00204951">
        <w:t>’</w:t>
      </w:r>
      <w:r>
        <w:t>OMPI afin de garantir la transparence, la prévisibilité et la cohérence administrative</w:t>
      </w:r>
      <w:r w:rsidR="002D4C6F">
        <w:t> ;</w:t>
      </w:r>
    </w:p>
    <w:p w14:paraId="4171F1DA" w14:textId="1D5EAAD8" w:rsidR="00AE0675" w:rsidRDefault="00661707" w:rsidP="0082615F">
      <w:pPr>
        <w:spacing w:after="200"/>
        <w:ind w:left="567"/>
      </w:pPr>
      <w:r>
        <w:t>le Conseil décide, le 25 octobre 2025, de modifier l</w:t>
      </w:r>
      <w:r w:rsidR="00204951">
        <w:t>’</w:t>
      </w:r>
      <w:r>
        <w:t>article 8.1 du “Règlement financier et règlement d</w:t>
      </w:r>
      <w:r w:rsidR="00204951">
        <w:t>’</w:t>
      </w:r>
      <w:r>
        <w:t>exécution du Règlement financier de l</w:t>
      </w:r>
      <w:r w:rsidR="00204951">
        <w:t>’</w:t>
      </w:r>
      <w:r>
        <w:t>UPOV” (document </w:t>
      </w:r>
      <w:hyperlink r:id="rId10" w:history="1">
        <w:r>
          <w:rPr>
            <w:rStyle w:val="Hyperlink"/>
          </w:rPr>
          <w:t>UPOV/INF/4/6</w:t>
        </w:r>
      </w:hyperlink>
      <w:r>
        <w:t>), comme suit</w:t>
      </w:r>
      <w:r w:rsidR="00AE0675">
        <w:t> :</w:t>
      </w:r>
    </w:p>
    <w:p w14:paraId="743D917C" w14:textId="29041FBE" w:rsidR="00661707" w:rsidRDefault="00661707" w:rsidP="002D4C6F">
      <w:pPr>
        <w:pStyle w:val="ListParagraph"/>
        <w:keepNext/>
        <w:spacing w:after="200"/>
        <w:ind w:left="567"/>
      </w:pPr>
      <w:r>
        <w:lastRenderedPageBreak/>
        <w:t>En mode “changements apparents”</w:t>
      </w:r>
      <w:r w:rsidR="00AE0675">
        <w:t> :</w:t>
      </w:r>
    </w:p>
    <w:p w14:paraId="0C340D09" w14:textId="77777777" w:rsidR="00661707" w:rsidRDefault="00661707" w:rsidP="0082615F">
      <w:pPr>
        <w:pStyle w:val="Inf4Heading3"/>
        <w:spacing w:before="0" w:after="200"/>
        <w:ind w:left="567" w:right="567"/>
        <w:rPr>
          <w:sz w:val="18"/>
        </w:rPr>
      </w:pPr>
      <w:r>
        <w:rPr>
          <w:sz w:val="18"/>
        </w:rPr>
        <w:t>Nomination du vérificateur externe des comptes</w:t>
      </w:r>
    </w:p>
    <w:p w14:paraId="43E4B75C" w14:textId="77777777" w:rsidR="00661707" w:rsidRDefault="00661707" w:rsidP="0082615F">
      <w:pPr>
        <w:pStyle w:val="Inf4Heading4"/>
        <w:spacing w:after="200"/>
        <w:ind w:left="567" w:right="567"/>
        <w:rPr>
          <w:sz w:val="18"/>
        </w:rPr>
      </w:pPr>
      <w:r>
        <w:rPr>
          <w:sz w:val="18"/>
        </w:rPr>
        <w:t>Article 8.1</w:t>
      </w:r>
    </w:p>
    <w:p w14:paraId="586DD792" w14:textId="08F3DCDA" w:rsidR="002D4C6F" w:rsidRPr="002D4C6F" w:rsidRDefault="00661707" w:rsidP="002D4C6F">
      <w:pPr>
        <w:pStyle w:val="Inf4Normal"/>
        <w:spacing w:after="200"/>
        <w:ind w:left="567" w:right="567"/>
        <w:rPr>
          <w:sz w:val="18"/>
        </w:rPr>
      </w:pPr>
      <w:r>
        <w:rPr>
          <w:sz w:val="18"/>
        </w:rPr>
        <w:t>“L</w:t>
      </w:r>
      <w:r w:rsidR="00204951">
        <w:rPr>
          <w:sz w:val="18"/>
        </w:rPr>
        <w:t>’</w:t>
      </w:r>
      <w:r>
        <w:rPr>
          <w:sz w:val="18"/>
        </w:rPr>
        <w:t xml:space="preserve">Assemblée générale </w:t>
      </w:r>
      <w:r>
        <w:rPr>
          <w:sz w:val="18"/>
          <w:highlight w:val="lightGray"/>
        </w:rPr>
        <w:t>de l</w:t>
      </w:r>
      <w:r w:rsidR="00204951">
        <w:rPr>
          <w:sz w:val="18"/>
          <w:highlight w:val="lightGray"/>
        </w:rPr>
        <w:t>’</w:t>
      </w:r>
      <w:r>
        <w:rPr>
          <w:sz w:val="18"/>
          <w:highlight w:val="lightGray"/>
        </w:rPr>
        <w:t xml:space="preserve">OMPI </w:t>
      </w:r>
      <w:r>
        <w:rPr>
          <w:sz w:val="18"/>
        </w:rPr>
        <w:t>nomme, selon la procédure qu</w:t>
      </w:r>
      <w:r w:rsidR="00204951">
        <w:rPr>
          <w:sz w:val="18"/>
        </w:rPr>
        <w:t>’</w:t>
      </w:r>
      <w:r>
        <w:rPr>
          <w:sz w:val="18"/>
        </w:rPr>
        <w:t xml:space="preserve">elle établit, le vérificateur externe des comptes </w:t>
      </w:r>
      <w:r>
        <w:rPr>
          <w:sz w:val="18"/>
          <w:highlight w:val="lightGray"/>
        </w:rPr>
        <w:t>de l</w:t>
      </w:r>
      <w:r w:rsidR="00204951">
        <w:rPr>
          <w:sz w:val="18"/>
          <w:highlight w:val="lightGray"/>
        </w:rPr>
        <w:t>’</w:t>
      </w:r>
      <w:r>
        <w:rPr>
          <w:sz w:val="18"/>
          <w:highlight w:val="lightGray"/>
        </w:rPr>
        <w:t>OMPI</w:t>
      </w:r>
      <w:r>
        <w:rPr>
          <w:sz w:val="18"/>
        </w:rPr>
        <w:t>, qui sera le vérificateur général des comptes (ou un agent public de titre équivalent) d</w:t>
      </w:r>
      <w:r w:rsidR="00204951">
        <w:rPr>
          <w:sz w:val="18"/>
        </w:rPr>
        <w:t>’</w:t>
      </w:r>
      <w:r>
        <w:rPr>
          <w:sz w:val="18"/>
        </w:rPr>
        <w:t xml:space="preserve">un État membre </w:t>
      </w:r>
      <w:r>
        <w:rPr>
          <w:sz w:val="18"/>
          <w:highlight w:val="lightGray"/>
        </w:rPr>
        <w:t>de l</w:t>
      </w:r>
      <w:r w:rsidR="00204951">
        <w:rPr>
          <w:sz w:val="18"/>
          <w:highlight w:val="lightGray"/>
        </w:rPr>
        <w:t>’</w:t>
      </w:r>
      <w:r>
        <w:rPr>
          <w:sz w:val="18"/>
          <w:highlight w:val="lightGray"/>
        </w:rPr>
        <w:t>O</w:t>
      </w:r>
      <w:r w:rsidR="00E44D1E">
        <w:rPr>
          <w:sz w:val="18"/>
          <w:highlight w:val="lightGray"/>
        </w:rPr>
        <w:t xml:space="preserve">MPI.  </w:t>
      </w:r>
      <w:r w:rsidR="00E44D1E">
        <w:rPr>
          <w:strike/>
          <w:sz w:val="18"/>
          <w:highlight w:val="lightGray"/>
        </w:rPr>
        <w:t>Lo</w:t>
      </w:r>
      <w:r>
        <w:rPr>
          <w:strike/>
          <w:sz w:val="18"/>
          <w:highlight w:val="lightGray"/>
        </w:rPr>
        <w:t>rsque le vérificateur externe des comptes de l</w:t>
      </w:r>
      <w:r w:rsidR="00204951">
        <w:rPr>
          <w:strike/>
          <w:sz w:val="18"/>
          <w:highlight w:val="lightGray"/>
        </w:rPr>
        <w:t>’</w:t>
      </w:r>
      <w:r>
        <w:rPr>
          <w:strike/>
          <w:sz w:val="18"/>
          <w:highlight w:val="lightGray"/>
        </w:rPr>
        <w:t>OMPI est également le vérificateur général des comptes (ou un agent public de titre équivalent) d</w:t>
      </w:r>
      <w:r w:rsidR="00204951">
        <w:rPr>
          <w:strike/>
          <w:sz w:val="18"/>
          <w:highlight w:val="lightGray"/>
        </w:rPr>
        <w:t>’</w:t>
      </w:r>
      <w:r>
        <w:rPr>
          <w:strike/>
          <w:sz w:val="18"/>
          <w:highlight w:val="lightGray"/>
        </w:rPr>
        <w:t>un État membre de l</w:t>
      </w:r>
      <w:r w:rsidR="00204951">
        <w:rPr>
          <w:strike/>
          <w:sz w:val="18"/>
          <w:highlight w:val="lightGray"/>
        </w:rPr>
        <w:t>’</w:t>
      </w:r>
      <w:r>
        <w:rPr>
          <w:strike/>
          <w:sz w:val="18"/>
          <w:highlight w:val="lightGray"/>
        </w:rPr>
        <w:t>UPOV,</w:t>
      </w:r>
      <w:r>
        <w:rPr>
          <w:sz w:val="18"/>
          <w:highlight w:val="lightGray"/>
        </w:rPr>
        <w:t xml:space="preserve"> Le Conseil désigne, avec son consentement, le vérificateur externe des comptes de l</w:t>
      </w:r>
      <w:r w:rsidR="00204951">
        <w:rPr>
          <w:sz w:val="18"/>
          <w:highlight w:val="lightGray"/>
        </w:rPr>
        <w:t>’</w:t>
      </w:r>
      <w:r>
        <w:rPr>
          <w:sz w:val="18"/>
          <w:highlight w:val="lightGray"/>
        </w:rPr>
        <w:t>OMPI en qualité de vérificateur externe des compt</w:t>
      </w:r>
      <w:r w:rsidR="00E44D1E">
        <w:rPr>
          <w:sz w:val="18"/>
          <w:highlight w:val="lightGray"/>
        </w:rPr>
        <w:t xml:space="preserve">es.  </w:t>
      </w:r>
      <w:r w:rsidR="00E44D1E">
        <w:rPr>
          <w:strike/>
          <w:sz w:val="18"/>
          <w:highlight w:val="lightGray"/>
        </w:rPr>
        <w:t>Lo</w:t>
      </w:r>
      <w:r>
        <w:rPr>
          <w:strike/>
          <w:sz w:val="18"/>
          <w:highlight w:val="lightGray"/>
        </w:rPr>
        <w:t>rsque le vérificateur externe des comptes de l</w:t>
      </w:r>
      <w:r w:rsidR="00204951">
        <w:rPr>
          <w:strike/>
          <w:sz w:val="18"/>
          <w:highlight w:val="lightGray"/>
        </w:rPr>
        <w:t>’</w:t>
      </w:r>
      <w:r>
        <w:rPr>
          <w:strike/>
          <w:sz w:val="18"/>
          <w:highlight w:val="lightGray"/>
        </w:rPr>
        <w:t>OMPI est également le vérificateur général des comptes (ou un agent public de titre équivalent) d</w:t>
      </w:r>
      <w:r w:rsidR="00204951">
        <w:rPr>
          <w:strike/>
          <w:sz w:val="18"/>
          <w:highlight w:val="lightGray"/>
        </w:rPr>
        <w:t>’</w:t>
      </w:r>
      <w:r>
        <w:rPr>
          <w:strike/>
          <w:sz w:val="18"/>
          <w:highlight w:val="lightGray"/>
        </w:rPr>
        <w:t>un État membre de l</w:t>
      </w:r>
      <w:r w:rsidR="00204951">
        <w:rPr>
          <w:strike/>
          <w:sz w:val="18"/>
          <w:highlight w:val="lightGray"/>
        </w:rPr>
        <w:t>’</w:t>
      </w:r>
      <w:r>
        <w:rPr>
          <w:strike/>
          <w:sz w:val="18"/>
          <w:highlight w:val="lightGray"/>
        </w:rPr>
        <w:t>OMPI qui n</w:t>
      </w:r>
      <w:r w:rsidR="00204951">
        <w:rPr>
          <w:strike/>
          <w:sz w:val="18"/>
          <w:highlight w:val="lightGray"/>
        </w:rPr>
        <w:t>’</w:t>
      </w:r>
      <w:r>
        <w:rPr>
          <w:strike/>
          <w:sz w:val="18"/>
          <w:highlight w:val="lightGray"/>
        </w:rPr>
        <w:t>est pas membre de l</w:t>
      </w:r>
      <w:r w:rsidR="00204951">
        <w:rPr>
          <w:strike/>
          <w:sz w:val="18"/>
          <w:highlight w:val="lightGray"/>
        </w:rPr>
        <w:t>’</w:t>
      </w:r>
      <w:r>
        <w:rPr>
          <w:strike/>
          <w:sz w:val="18"/>
          <w:highlight w:val="lightGray"/>
        </w:rPr>
        <w:t>UPOV, le Conseil désigne, avec son consentement, le vérificateur externe des comptes en qualité de vérificateur général des comptes (ou un agent public de titre équivalent) d</w:t>
      </w:r>
      <w:r w:rsidR="00204951">
        <w:rPr>
          <w:strike/>
          <w:sz w:val="18"/>
          <w:highlight w:val="lightGray"/>
        </w:rPr>
        <w:t>’</w:t>
      </w:r>
      <w:r>
        <w:rPr>
          <w:strike/>
          <w:sz w:val="18"/>
          <w:highlight w:val="lightGray"/>
        </w:rPr>
        <w:t>un État membre de l</w:t>
      </w:r>
      <w:r w:rsidR="00204951">
        <w:rPr>
          <w:strike/>
          <w:sz w:val="18"/>
          <w:highlight w:val="lightGray"/>
        </w:rPr>
        <w:t>’</w:t>
      </w:r>
      <w:r>
        <w:rPr>
          <w:strike/>
          <w:sz w:val="18"/>
          <w:highlight w:val="lightGray"/>
        </w:rPr>
        <w:t>UPOV.</w:t>
      </w:r>
      <w:r>
        <w:rPr>
          <w:sz w:val="18"/>
        </w:rPr>
        <w:t>”</w:t>
      </w:r>
    </w:p>
    <w:p w14:paraId="5B532966" w14:textId="7AC9D8F9" w:rsidR="00661707" w:rsidRPr="00C466C2" w:rsidRDefault="00661707" w:rsidP="0082615F">
      <w:pPr>
        <w:pStyle w:val="Inf4Normal"/>
        <w:keepNext/>
        <w:spacing w:after="200"/>
        <w:ind w:left="567" w:right="567"/>
        <w:rPr>
          <w:szCs w:val="22"/>
        </w:rPr>
      </w:pPr>
      <w:r>
        <w:t>Sans “changements apparents”</w:t>
      </w:r>
      <w:r w:rsidR="00AE0675">
        <w:t> :</w:t>
      </w:r>
    </w:p>
    <w:p w14:paraId="537F1CCB" w14:textId="77777777" w:rsidR="00661707" w:rsidRDefault="00661707" w:rsidP="0082615F">
      <w:pPr>
        <w:pStyle w:val="Inf4Heading3"/>
        <w:spacing w:before="0" w:after="200"/>
        <w:ind w:left="567" w:right="567"/>
        <w:rPr>
          <w:sz w:val="18"/>
        </w:rPr>
      </w:pPr>
      <w:r>
        <w:rPr>
          <w:sz w:val="18"/>
        </w:rPr>
        <w:t>Nomination du vérificateur externe des comptes</w:t>
      </w:r>
    </w:p>
    <w:p w14:paraId="4E806A3E" w14:textId="77777777" w:rsidR="00661707" w:rsidRDefault="00661707" w:rsidP="0082615F">
      <w:pPr>
        <w:pStyle w:val="Inf4Heading4"/>
        <w:spacing w:after="200"/>
        <w:ind w:left="567" w:right="567"/>
        <w:rPr>
          <w:sz w:val="18"/>
        </w:rPr>
      </w:pPr>
      <w:r>
        <w:rPr>
          <w:sz w:val="18"/>
        </w:rPr>
        <w:t>Article 8.1</w:t>
      </w:r>
    </w:p>
    <w:p w14:paraId="2F78A5D7" w14:textId="5C30AE01" w:rsidR="00661707" w:rsidRDefault="00661707" w:rsidP="0082615F">
      <w:pPr>
        <w:pStyle w:val="Inf4Normal"/>
        <w:spacing w:after="200"/>
        <w:ind w:left="567" w:right="567"/>
        <w:rPr>
          <w:sz w:val="18"/>
        </w:rPr>
      </w:pPr>
      <w:r>
        <w:rPr>
          <w:sz w:val="18"/>
        </w:rPr>
        <w:t>“L</w:t>
      </w:r>
      <w:r w:rsidR="00204951">
        <w:rPr>
          <w:sz w:val="18"/>
        </w:rPr>
        <w:t>’</w:t>
      </w:r>
      <w:r>
        <w:rPr>
          <w:sz w:val="18"/>
        </w:rPr>
        <w:t xml:space="preserve">Assemblée générale </w:t>
      </w:r>
      <w:r>
        <w:rPr>
          <w:sz w:val="18"/>
          <w:highlight w:val="lightGray"/>
        </w:rPr>
        <w:t>de l</w:t>
      </w:r>
      <w:r w:rsidR="00204951">
        <w:rPr>
          <w:sz w:val="18"/>
          <w:highlight w:val="lightGray"/>
        </w:rPr>
        <w:t>’</w:t>
      </w:r>
      <w:r>
        <w:rPr>
          <w:sz w:val="18"/>
          <w:highlight w:val="lightGray"/>
        </w:rPr>
        <w:t xml:space="preserve">OMPI </w:t>
      </w:r>
      <w:r>
        <w:rPr>
          <w:sz w:val="18"/>
        </w:rPr>
        <w:t>nomme, selon la procédure qu</w:t>
      </w:r>
      <w:r w:rsidR="00204951">
        <w:rPr>
          <w:sz w:val="18"/>
        </w:rPr>
        <w:t>’</w:t>
      </w:r>
      <w:r>
        <w:rPr>
          <w:sz w:val="18"/>
        </w:rPr>
        <w:t xml:space="preserve">elle établit, le vérificateur externe des comptes </w:t>
      </w:r>
      <w:r>
        <w:rPr>
          <w:sz w:val="18"/>
          <w:highlight w:val="lightGray"/>
        </w:rPr>
        <w:t>de l</w:t>
      </w:r>
      <w:r w:rsidR="00204951">
        <w:rPr>
          <w:sz w:val="18"/>
          <w:highlight w:val="lightGray"/>
        </w:rPr>
        <w:t>’</w:t>
      </w:r>
      <w:r>
        <w:rPr>
          <w:sz w:val="18"/>
          <w:highlight w:val="lightGray"/>
        </w:rPr>
        <w:t>OMPI</w:t>
      </w:r>
      <w:r>
        <w:rPr>
          <w:sz w:val="18"/>
        </w:rPr>
        <w:t>, qui sera le vérificateur général des comptes (ou un agent public de titre équivalent) d</w:t>
      </w:r>
      <w:r w:rsidR="00204951">
        <w:rPr>
          <w:sz w:val="18"/>
        </w:rPr>
        <w:t>’</w:t>
      </w:r>
      <w:r>
        <w:rPr>
          <w:sz w:val="18"/>
        </w:rPr>
        <w:t xml:space="preserve">un État membre </w:t>
      </w:r>
      <w:r>
        <w:rPr>
          <w:sz w:val="18"/>
          <w:highlight w:val="lightGray"/>
        </w:rPr>
        <w:t>de l</w:t>
      </w:r>
      <w:r w:rsidR="00204951">
        <w:rPr>
          <w:sz w:val="18"/>
          <w:highlight w:val="lightGray"/>
        </w:rPr>
        <w:t>’</w:t>
      </w:r>
      <w:r>
        <w:rPr>
          <w:sz w:val="18"/>
          <w:highlight w:val="lightGray"/>
        </w:rPr>
        <w:t>O</w:t>
      </w:r>
      <w:r w:rsidR="00E44D1E">
        <w:rPr>
          <w:sz w:val="18"/>
          <w:highlight w:val="lightGray"/>
        </w:rPr>
        <w:t>MPI.  Le</w:t>
      </w:r>
      <w:r>
        <w:rPr>
          <w:sz w:val="18"/>
          <w:highlight w:val="lightGray"/>
        </w:rPr>
        <w:t xml:space="preserve"> Conseil désignera comme vérificateur externe des comptes, avec son consentement, le vérificateur externe des comptes de l</w:t>
      </w:r>
      <w:r w:rsidR="00204951">
        <w:rPr>
          <w:sz w:val="18"/>
          <w:highlight w:val="lightGray"/>
        </w:rPr>
        <w:t>’</w:t>
      </w:r>
      <w:r>
        <w:rPr>
          <w:sz w:val="18"/>
          <w:highlight w:val="lightGray"/>
        </w:rPr>
        <w:t>OMPI.</w:t>
      </w:r>
      <w:r w:rsidR="0082615F">
        <w:rPr>
          <w:sz w:val="18"/>
        </w:rPr>
        <w:t>”</w:t>
      </w:r>
    </w:p>
    <w:p w14:paraId="1AD7EFA9" w14:textId="0D012361" w:rsidR="00661707" w:rsidRPr="00661793" w:rsidRDefault="00661707" w:rsidP="0082615F">
      <w:pPr>
        <w:pStyle w:val="DecisionParagraphs"/>
        <w:spacing w:after="200"/>
      </w:pPr>
      <w:r w:rsidRPr="007F71D4">
        <w:fldChar w:fldCharType="begin"/>
      </w:r>
      <w:r w:rsidRPr="007F71D4">
        <w:instrText xml:space="preserve"> AUTONUM  </w:instrText>
      </w:r>
      <w:r w:rsidRPr="007F71D4">
        <w:fldChar w:fldCharType="end"/>
      </w:r>
      <w:r>
        <w:tab/>
        <w:t>Le Conseil est invité à modifier l</w:t>
      </w:r>
      <w:r w:rsidR="00204951">
        <w:t>’</w:t>
      </w:r>
      <w:r>
        <w:t>article 8.1 du “Règlement financier et règlement d</w:t>
      </w:r>
      <w:r w:rsidR="00204951">
        <w:t>’</w:t>
      </w:r>
      <w:r>
        <w:t>exécution du Règlement financier de l</w:t>
      </w:r>
      <w:r w:rsidR="00204951">
        <w:t>’</w:t>
      </w:r>
      <w:r>
        <w:t>UPOV (</w:t>
      </w:r>
      <w:r w:rsidR="00AE0675">
        <w:t>document UP</w:t>
      </w:r>
      <w:r>
        <w:t>OV/INF/4/6)”, comme indiqué au paragraphe 10 ci</w:t>
      </w:r>
      <w:r w:rsidR="00E44D1E">
        <w:noBreakHyphen/>
      </w:r>
      <w:r>
        <w:t>dessus.</w:t>
      </w:r>
    </w:p>
    <w:p w14:paraId="4DFF24F9" w14:textId="1E0FD3F4" w:rsidR="009B440E" w:rsidRDefault="00050E16" w:rsidP="00CC2F4C">
      <w:pPr>
        <w:spacing w:before="720"/>
        <w:jc w:val="right"/>
      </w:pPr>
      <w:r w:rsidRPr="00C5280D">
        <w:t>[</w:t>
      </w:r>
      <w:r w:rsidR="00A706D3">
        <w:t>Fin</w:t>
      </w:r>
      <w:r w:rsidR="00CC2F4C">
        <w:t xml:space="preserve"> </w:t>
      </w:r>
      <w:r w:rsidR="00A706D3">
        <w:t xml:space="preserve">du </w:t>
      </w:r>
      <w:r w:rsidRPr="00C5280D">
        <w:t>document]</w:t>
      </w:r>
    </w:p>
    <w:sectPr w:rsidR="009B440E" w:rsidSect="00204951">
      <w:headerReference w:type="default" r:id="rId11"/>
      <w:pgSz w:w="11907" w:h="16840" w:code="9"/>
      <w:pgMar w:top="510" w:right="1134" w:bottom="993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DE122" w14:textId="77777777" w:rsidR="00452FC5" w:rsidRDefault="00452FC5" w:rsidP="006655D3">
      <w:r>
        <w:separator/>
      </w:r>
    </w:p>
    <w:p w14:paraId="12A2E24B" w14:textId="77777777" w:rsidR="00452FC5" w:rsidRDefault="00452FC5" w:rsidP="006655D3"/>
    <w:p w14:paraId="0DD0245A" w14:textId="77777777" w:rsidR="00452FC5" w:rsidRDefault="00452FC5" w:rsidP="006655D3"/>
  </w:endnote>
  <w:endnote w:type="continuationSeparator" w:id="0">
    <w:p w14:paraId="353003BC" w14:textId="77777777" w:rsidR="00452FC5" w:rsidRDefault="00452FC5" w:rsidP="006655D3">
      <w:r>
        <w:separator/>
      </w:r>
    </w:p>
    <w:p w14:paraId="0E0C1E90" w14:textId="77777777" w:rsidR="00452FC5" w:rsidRPr="00294751" w:rsidRDefault="00452FC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01FD36EF" w14:textId="77777777" w:rsidR="00452FC5" w:rsidRPr="00294751" w:rsidRDefault="00452FC5" w:rsidP="006655D3"/>
    <w:p w14:paraId="6A312046" w14:textId="77777777" w:rsidR="00452FC5" w:rsidRPr="00294751" w:rsidRDefault="00452FC5" w:rsidP="006655D3"/>
  </w:endnote>
  <w:endnote w:type="continuationNotice" w:id="1">
    <w:p w14:paraId="73C14048" w14:textId="77777777" w:rsidR="00452FC5" w:rsidRPr="00294751" w:rsidRDefault="00452FC5" w:rsidP="006655D3">
      <w:r w:rsidRPr="00294751">
        <w:t>[Suite de la note page suivante]</w:t>
      </w:r>
    </w:p>
    <w:p w14:paraId="57CC1200" w14:textId="77777777" w:rsidR="00452FC5" w:rsidRPr="00294751" w:rsidRDefault="00452FC5" w:rsidP="006655D3"/>
    <w:p w14:paraId="4ADB6FFA" w14:textId="77777777" w:rsidR="00452FC5" w:rsidRPr="00294751" w:rsidRDefault="00452FC5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ED0FB" w14:textId="77777777" w:rsidR="00452FC5" w:rsidRDefault="00452FC5" w:rsidP="006655D3">
      <w:r>
        <w:separator/>
      </w:r>
    </w:p>
  </w:footnote>
  <w:footnote w:type="continuationSeparator" w:id="0">
    <w:p w14:paraId="27B255A5" w14:textId="77777777" w:rsidR="00452FC5" w:rsidRDefault="00452FC5" w:rsidP="006655D3">
      <w:r>
        <w:separator/>
      </w:r>
    </w:p>
  </w:footnote>
  <w:footnote w:type="continuationNotice" w:id="1">
    <w:p w14:paraId="49972EC6" w14:textId="77777777" w:rsidR="00452FC5" w:rsidRPr="00AB530F" w:rsidRDefault="00452FC5" w:rsidP="00AB530F">
      <w:pPr>
        <w:pStyle w:val="Footer"/>
      </w:pPr>
    </w:p>
  </w:footnote>
  <w:footnote w:id="2">
    <w:p w14:paraId="707DA80A" w14:textId="77777777" w:rsidR="00661707" w:rsidRDefault="00661707" w:rsidP="002049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Tenue à Genève le 25 octobre 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C8F32" w14:textId="6D70F7FD" w:rsidR="00CC2F4C" w:rsidRPr="00C5280D" w:rsidRDefault="00CC2F4C" w:rsidP="00CC2F4C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C/59/1</w:t>
    </w:r>
    <w:r w:rsidR="00661707">
      <w:rPr>
        <w:rStyle w:val="PageNumber"/>
        <w:lang w:val="en-US"/>
      </w:rPr>
      <w:t>8</w:t>
    </w:r>
  </w:p>
  <w:p w14:paraId="42C49C01" w14:textId="465A17F9" w:rsidR="00182B99" w:rsidRPr="00CC2F4C" w:rsidRDefault="00CC2F4C" w:rsidP="00CC2F4C">
    <w:pPr>
      <w:pStyle w:val="Header"/>
      <w:spacing w:after="400"/>
    </w:pPr>
    <w:r w:rsidRPr="00C5280D">
      <w:rPr>
        <w:lang w:val="en-US"/>
      </w:rPr>
      <w:t>page</w:t>
    </w:r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lang w:val="en-US"/>
      </w:rPr>
      <w:t>3</w:t>
    </w:r>
    <w:r w:rsidRPr="00C5280D">
      <w:rPr>
        <w:rStyle w:val="PageNumber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26E81"/>
    <w:multiLevelType w:val="multilevel"/>
    <w:tmpl w:val="D7B27EF2"/>
    <w:lvl w:ilvl="0">
      <w:start w:val="1"/>
      <w:numFmt w:val="bullet"/>
      <w:lvlText w:val="o"/>
      <w:lvlJc w:val="left"/>
      <w:pPr>
        <w:tabs>
          <w:tab w:val="num" w:pos="1134"/>
        </w:tabs>
        <w:ind w:left="567" w:firstLine="0"/>
      </w:pPr>
      <w:rPr>
        <w:rFonts w:ascii="Courier New" w:hAnsi="Courier New" w:cs="Courier New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611"/>
        </w:tabs>
        <w:ind w:left="1044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78"/>
        </w:tabs>
        <w:ind w:left="1611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745"/>
        </w:tabs>
        <w:ind w:left="217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312"/>
        </w:tabs>
        <w:ind w:left="274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879"/>
        </w:tabs>
        <w:ind w:left="331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446"/>
        </w:tabs>
        <w:ind w:left="387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012"/>
        </w:tabs>
        <w:ind w:left="444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579"/>
        </w:tabs>
        <w:ind w:left="5012" w:firstLine="0"/>
      </w:pPr>
      <w:rPr>
        <w:rFonts w:hint="default"/>
      </w:rPr>
    </w:lvl>
  </w:abstractNum>
  <w:abstractNum w:abstractNumId="1" w15:restartNumberingAfterBreak="0">
    <w:nsid w:val="06CD29E3"/>
    <w:multiLevelType w:val="multilevel"/>
    <w:tmpl w:val="C7DE0C72"/>
    <w:lvl w:ilvl="0">
      <w:start w:val="1"/>
      <w:numFmt w:val="decimal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iCs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044"/>
        </w:tabs>
        <w:ind w:left="477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611"/>
        </w:tabs>
        <w:ind w:left="1044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178"/>
        </w:tabs>
        <w:ind w:left="161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745"/>
        </w:tabs>
        <w:ind w:left="217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312"/>
        </w:tabs>
        <w:ind w:left="274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879"/>
        </w:tabs>
        <w:ind w:left="331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445"/>
        </w:tabs>
        <w:ind w:left="387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012"/>
        </w:tabs>
        <w:ind w:left="4445" w:firstLine="0"/>
      </w:pPr>
      <w:rPr>
        <w:rFonts w:hint="default"/>
      </w:rPr>
    </w:lvl>
  </w:abstractNum>
  <w:abstractNum w:abstractNumId="2" w15:restartNumberingAfterBreak="0">
    <w:nsid w:val="0B461E41"/>
    <w:multiLevelType w:val="hybridMultilevel"/>
    <w:tmpl w:val="CD7C8BC8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5D514A"/>
    <w:multiLevelType w:val="hybridMultilevel"/>
    <w:tmpl w:val="356E07DA"/>
    <w:lvl w:ilvl="0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5777AC9"/>
    <w:multiLevelType w:val="hybridMultilevel"/>
    <w:tmpl w:val="A1B2D0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3751D"/>
    <w:multiLevelType w:val="hybridMultilevel"/>
    <w:tmpl w:val="D54098D6"/>
    <w:lvl w:ilvl="0" w:tplc="C9E02F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062078">
    <w:abstractNumId w:val="1"/>
  </w:num>
  <w:num w:numId="2" w16cid:durableId="699664359">
    <w:abstractNumId w:val="0"/>
  </w:num>
  <w:num w:numId="3" w16cid:durableId="1737972082">
    <w:abstractNumId w:val="3"/>
  </w:num>
  <w:num w:numId="4" w16cid:durableId="578715619">
    <w:abstractNumId w:val="2"/>
  </w:num>
  <w:num w:numId="5" w16cid:durableId="263071598">
    <w:abstractNumId w:val="5"/>
  </w:num>
  <w:num w:numId="6" w16cid:durableId="1360623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C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45F"/>
    <w:rsid w:val="00105929"/>
    <w:rsid w:val="00110C36"/>
    <w:rsid w:val="001131D5"/>
    <w:rsid w:val="00141DB8"/>
    <w:rsid w:val="00172084"/>
    <w:rsid w:val="0017474A"/>
    <w:rsid w:val="001758C6"/>
    <w:rsid w:val="00182B99"/>
    <w:rsid w:val="00192D83"/>
    <w:rsid w:val="00204951"/>
    <w:rsid w:val="0021332C"/>
    <w:rsid w:val="00213982"/>
    <w:rsid w:val="00235CD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D4C6F"/>
    <w:rsid w:val="002F075E"/>
    <w:rsid w:val="00305A7F"/>
    <w:rsid w:val="003152FE"/>
    <w:rsid w:val="00327436"/>
    <w:rsid w:val="00327BBA"/>
    <w:rsid w:val="00337C0A"/>
    <w:rsid w:val="00344BD6"/>
    <w:rsid w:val="0035084F"/>
    <w:rsid w:val="0035528D"/>
    <w:rsid w:val="00361821"/>
    <w:rsid w:val="00361E9E"/>
    <w:rsid w:val="00381E29"/>
    <w:rsid w:val="003A028E"/>
    <w:rsid w:val="003C7FBE"/>
    <w:rsid w:val="003D227C"/>
    <w:rsid w:val="003D2B4D"/>
    <w:rsid w:val="003E39A6"/>
    <w:rsid w:val="00401383"/>
    <w:rsid w:val="0040557F"/>
    <w:rsid w:val="00444A88"/>
    <w:rsid w:val="00452FC5"/>
    <w:rsid w:val="00474DA4"/>
    <w:rsid w:val="00476B4D"/>
    <w:rsid w:val="004805FA"/>
    <w:rsid w:val="004935D2"/>
    <w:rsid w:val="004B1215"/>
    <w:rsid w:val="004C38BE"/>
    <w:rsid w:val="004C5AE3"/>
    <w:rsid w:val="004C79D9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C38DC"/>
    <w:rsid w:val="005D1417"/>
    <w:rsid w:val="005E7EA6"/>
    <w:rsid w:val="005F7B92"/>
    <w:rsid w:val="00612379"/>
    <w:rsid w:val="006153B6"/>
    <w:rsid w:val="0061555F"/>
    <w:rsid w:val="00636CA6"/>
    <w:rsid w:val="00641200"/>
    <w:rsid w:val="006416A8"/>
    <w:rsid w:val="00645CA8"/>
    <w:rsid w:val="00661707"/>
    <w:rsid w:val="0066261A"/>
    <w:rsid w:val="006655D3"/>
    <w:rsid w:val="00667404"/>
    <w:rsid w:val="006818B1"/>
    <w:rsid w:val="00687EB4"/>
    <w:rsid w:val="00695C56"/>
    <w:rsid w:val="006A5CDE"/>
    <w:rsid w:val="006A644A"/>
    <w:rsid w:val="006A7948"/>
    <w:rsid w:val="006B17D2"/>
    <w:rsid w:val="006C224E"/>
    <w:rsid w:val="006C3F41"/>
    <w:rsid w:val="006D780A"/>
    <w:rsid w:val="0071271E"/>
    <w:rsid w:val="00732DEC"/>
    <w:rsid w:val="00735BD5"/>
    <w:rsid w:val="00746B3E"/>
    <w:rsid w:val="00751613"/>
    <w:rsid w:val="007556F6"/>
    <w:rsid w:val="00760EEF"/>
    <w:rsid w:val="00777314"/>
    <w:rsid w:val="00777EE5"/>
    <w:rsid w:val="00784836"/>
    <w:rsid w:val="0079023E"/>
    <w:rsid w:val="007924B4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2615F"/>
    <w:rsid w:val="00846D7C"/>
    <w:rsid w:val="00864C55"/>
    <w:rsid w:val="00867AC1"/>
    <w:rsid w:val="00890DF8"/>
    <w:rsid w:val="008A743F"/>
    <w:rsid w:val="008C0970"/>
    <w:rsid w:val="008D0BC5"/>
    <w:rsid w:val="008D2CF7"/>
    <w:rsid w:val="00900C26"/>
    <w:rsid w:val="0090197F"/>
    <w:rsid w:val="00903242"/>
    <w:rsid w:val="00906DDC"/>
    <w:rsid w:val="00917F09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25A2"/>
    <w:rsid w:val="00A24C10"/>
    <w:rsid w:val="00A42AC3"/>
    <w:rsid w:val="00A430CF"/>
    <w:rsid w:val="00A54309"/>
    <w:rsid w:val="00A706D3"/>
    <w:rsid w:val="00A71548"/>
    <w:rsid w:val="00AB2B93"/>
    <w:rsid w:val="00AB530F"/>
    <w:rsid w:val="00AB5931"/>
    <w:rsid w:val="00AB7E5B"/>
    <w:rsid w:val="00AC2883"/>
    <w:rsid w:val="00AE0675"/>
    <w:rsid w:val="00AE0EF1"/>
    <w:rsid w:val="00AE2937"/>
    <w:rsid w:val="00B07301"/>
    <w:rsid w:val="00B11F3E"/>
    <w:rsid w:val="00B224DE"/>
    <w:rsid w:val="00B324D4"/>
    <w:rsid w:val="00B46575"/>
    <w:rsid w:val="00B4716E"/>
    <w:rsid w:val="00B61777"/>
    <w:rsid w:val="00B76433"/>
    <w:rsid w:val="00B84BBD"/>
    <w:rsid w:val="00B967FA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5A58"/>
    <w:rsid w:val="00C973F2"/>
    <w:rsid w:val="00CA0AC9"/>
    <w:rsid w:val="00CA304C"/>
    <w:rsid w:val="00CA774A"/>
    <w:rsid w:val="00CC11B0"/>
    <w:rsid w:val="00CC2841"/>
    <w:rsid w:val="00CC2F4C"/>
    <w:rsid w:val="00CC60A7"/>
    <w:rsid w:val="00CF1330"/>
    <w:rsid w:val="00CF7E36"/>
    <w:rsid w:val="00D3708D"/>
    <w:rsid w:val="00D40426"/>
    <w:rsid w:val="00D41B08"/>
    <w:rsid w:val="00D57C96"/>
    <w:rsid w:val="00D57D18"/>
    <w:rsid w:val="00D91203"/>
    <w:rsid w:val="00D95174"/>
    <w:rsid w:val="00DA2493"/>
    <w:rsid w:val="00DA4973"/>
    <w:rsid w:val="00DA6F36"/>
    <w:rsid w:val="00DB596E"/>
    <w:rsid w:val="00DB7773"/>
    <w:rsid w:val="00DC00EA"/>
    <w:rsid w:val="00DC3802"/>
    <w:rsid w:val="00DE20C8"/>
    <w:rsid w:val="00E07D87"/>
    <w:rsid w:val="00E22101"/>
    <w:rsid w:val="00E32F7E"/>
    <w:rsid w:val="00E44D1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B53E4"/>
    <w:rsid w:val="00ED14C5"/>
    <w:rsid w:val="00EE34DF"/>
    <w:rsid w:val="00EE6E70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8AA605"/>
  <w15:docId w15:val="{A40CE949-469E-45BE-9580-B119593C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basedOn w:val="Normal"/>
    <w:next w:val="Normal"/>
    <w:autoRedefine/>
    <w:qFormat/>
    <w:rsid w:val="0082615F"/>
    <w:pPr>
      <w:spacing w:before="400" w:after="200"/>
      <w:outlineLvl w:val="0"/>
    </w:pPr>
    <w:rPr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D41B08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204951"/>
    <w:pPr>
      <w:spacing w:before="60"/>
      <w:ind w:left="284" w:hanging="284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D41B08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D41B08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D41B08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D41B08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D41B08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ONUME">
    <w:name w:val="ONUM E"/>
    <w:basedOn w:val="BodyText"/>
    <w:rsid w:val="00452FC5"/>
    <w:pPr>
      <w:numPr>
        <w:numId w:val="1"/>
      </w:numPr>
      <w:spacing w:after="240"/>
    </w:pPr>
    <w:rPr>
      <w:rFonts w:eastAsia="SimSun" w:cs="Arial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204951"/>
    <w:rPr>
      <w:rFonts w:ascii="Arial" w:hAnsi="Arial"/>
      <w:sz w:val="16"/>
      <w:lang w:val="fr-FR"/>
    </w:rPr>
  </w:style>
  <w:style w:type="paragraph" w:styleId="Caption">
    <w:name w:val="caption"/>
    <w:basedOn w:val="Normal"/>
    <w:next w:val="Normal"/>
    <w:qFormat/>
    <w:rsid w:val="00452FC5"/>
    <w:pPr>
      <w:jc w:val="left"/>
    </w:pPr>
    <w:rPr>
      <w:rFonts w:eastAsia="SimSun" w:cs="Arial"/>
      <w:b/>
      <w:bCs/>
      <w:sz w:val="18"/>
      <w:lang w:eastAsia="zh-CN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661707"/>
    <w:pPr>
      <w:ind w:left="720"/>
      <w:contextualSpacing/>
    </w:pPr>
  </w:style>
  <w:style w:type="paragraph" w:customStyle="1" w:styleId="Inf4Normal">
    <w:name w:val="Inf_4_Normal"/>
    <w:basedOn w:val="Normal"/>
    <w:rsid w:val="00661707"/>
    <w:pPr>
      <w:spacing w:before="108"/>
    </w:pPr>
  </w:style>
  <w:style w:type="paragraph" w:customStyle="1" w:styleId="Inf4Heading4">
    <w:name w:val="Inf_4_Heading_4"/>
    <w:basedOn w:val="Heading4"/>
    <w:next w:val="Normal"/>
    <w:rsid w:val="00661707"/>
    <w:pPr>
      <w:spacing w:before="120"/>
      <w:ind w:left="0"/>
    </w:pPr>
    <w:rPr>
      <w:b/>
      <w:bCs/>
      <w:u w:val="none"/>
    </w:rPr>
  </w:style>
  <w:style w:type="paragraph" w:customStyle="1" w:styleId="Inf4Heading3">
    <w:name w:val="Inf_4_Heading_3"/>
    <w:basedOn w:val="Heading3"/>
    <w:rsid w:val="00661707"/>
    <w:pPr>
      <w:spacing w:before="240"/>
    </w:pPr>
    <w:rPr>
      <w:b/>
      <w:bCs/>
      <w:i w:val="0"/>
      <w:lang w:val="fr-FR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661707"/>
    <w:rPr>
      <w:rFonts w:ascii="Arial" w:hAnsi="Arial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2D4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v.int/edocs/infdocs/fr/upov_inf_4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pov.int/edocs/infdocs/fr/upov_inf_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pov.int/information_documents/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2130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C/59/18</vt:lpstr>
    </vt:vector>
  </TitlesOfParts>
  <Company>UPOV</Company>
  <LinksUpToDate>false</LinksUpToDate>
  <CharactersWithSpaces>14546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C/59/18</dc:title>
  <dc:creator>LE GUEN Haude</dc:creator>
  <cp:lastModifiedBy>SANCHEZ VIZCAINO GOMEZ Rosa Maria</cp:lastModifiedBy>
  <cp:revision>4</cp:revision>
  <cp:lastPrinted>2016-11-22T15:41:00Z</cp:lastPrinted>
  <dcterms:created xsi:type="dcterms:W3CDTF">2025-09-02T16:37:00Z</dcterms:created>
  <dcterms:modified xsi:type="dcterms:W3CDTF">2025-09-05T15:22:00Z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2025-08-27T11:56:26Z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d3d6ab4d-5ad0-48ee-80a9-7e130348edee</vt:lpwstr>
  </property>
  <property fmtid="{D5CDD505-2E9C-101B-9397-08002B2CF9AE}" pid="8" name="MSIP_Label_20773ee6-353b-4fb9-a59d-0b94c8c67bea_ContentBits">
    <vt:lpwstr>0</vt:lpwstr>
  </property>
  <property fmtid="{D5CDD505-2E9C-101B-9397-08002B2CF9AE}" pid="9" name="MSIP_Label_20773ee6-353b-4fb9-a59d-0b94c8c67bea_Tag">
    <vt:lpwstr>10, 0, 1, 1</vt:lpwstr>
  </property>
</Properties>
</file>