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04C54B58" w14:textId="77777777" w:rsidTr="00EB4E9C">
        <w:tc>
          <w:tcPr>
            <w:tcW w:w="6522" w:type="dxa"/>
          </w:tcPr>
          <w:p w14:paraId="7A777B44" w14:textId="40460707" w:rsidR="00DC3802" w:rsidRPr="00AC2883" w:rsidRDefault="00714E23" w:rsidP="00AC2883">
            <w:r>
              <w:rPr>
                <w:noProof/>
              </w:rPr>
              <w:drawing>
                <wp:inline distT="0" distB="0" distL="0" distR="0" wp14:anchorId="59885FFF" wp14:editId="5FD7AC46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4C0D557" w14:textId="77777777" w:rsidR="00DC3802" w:rsidRPr="007C1D92" w:rsidRDefault="00A706D3" w:rsidP="00AC2883">
            <w:pPr>
              <w:pStyle w:val="Lettrine"/>
            </w:pPr>
            <w:r>
              <w:t>F</w:t>
            </w:r>
          </w:p>
        </w:tc>
      </w:tr>
      <w:tr w:rsidR="00DC3802" w:rsidRPr="00DA4973" w14:paraId="7CE3747A" w14:textId="77777777" w:rsidTr="00645CA8">
        <w:trPr>
          <w:trHeight w:val="219"/>
        </w:trPr>
        <w:tc>
          <w:tcPr>
            <w:tcW w:w="6522" w:type="dxa"/>
          </w:tcPr>
          <w:p w14:paraId="1FE80F31" w14:textId="77777777" w:rsidR="00DC3802" w:rsidRPr="00AC2883" w:rsidRDefault="00DC3802" w:rsidP="00A706D3">
            <w:pPr>
              <w:pStyle w:val="upove"/>
            </w:pPr>
            <w:r w:rsidRPr="00AC2883">
              <w:t xml:space="preserve">Union </w:t>
            </w:r>
            <w:r w:rsidR="00A706D3">
              <w:t>i</w:t>
            </w:r>
            <w:r w:rsidR="00A706D3" w:rsidRPr="00AC2883">
              <w:t>nternational</w:t>
            </w:r>
            <w:r w:rsidR="00A706D3">
              <w:t>e</w:t>
            </w:r>
            <w:r w:rsidR="00A706D3" w:rsidRPr="00AC2883">
              <w:t xml:space="preserve"> </w:t>
            </w:r>
            <w:r w:rsidR="00A706D3">
              <w:t>pour la protection des obtentions végétales</w:t>
            </w:r>
          </w:p>
        </w:tc>
        <w:tc>
          <w:tcPr>
            <w:tcW w:w="3117" w:type="dxa"/>
          </w:tcPr>
          <w:p w14:paraId="249B8253" w14:textId="77777777" w:rsidR="00DC3802" w:rsidRPr="00DA4973" w:rsidRDefault="00DC3802" w:rsidP="00DA4973"/>
        </w:tc>
      </w:tr>
    </w:tbl>
    <w:p w14:paraId="3CF873B7" w14:textId="77777777" w:rsidR="00DC3802" w:rsidRDefault="00DC3802" w:rsidP="00DC3802"/>
    <w:p w14:paraId="227C1603" w14:textId="77777777" w:rsidR="00DA4973" w:rsidRPr="00365DC1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C5280D" w14:paraId="2C69377C" w14:textId="77777777" w:rsidTr="00EB4E9C">
        <w:tc>
          <w:tcPr>
            <w:tcW w:w="6512" w:type="dxa"/>
          </w:tcPr>
          <w:p w14:paraId="0D654576" w14:textId="77777777" w:rsidR="00EB4E9C" w:rsidRPr="002A065A" w:rsidRDefault="00AB5931" w:rsidP="00AC2883">
            <w:pPr>
              <w:pStyle w:val="Sessiontc"/>
              <w:spacing w:line="240" w:lineRule="auto"/>
            </w:pPr>
            <w:r w:rsidRPr="002A065A">
              <w:t>Conseil</w:t>
            </w:r>
          </w:p>
          <w:p w14:paraId="01268794" w14:textId="32F83F4D" w:rsidR="007924B4" w:rsidRPr="002A065A" w:rsidRDefault="00AB5931" w:rsidP="00EE6E70">
            <w:pPr>
              <w:pStyle w:val="Sessiontcplacedate"/>
            </w:pPr>
            <w:r w:rsidRPr="002A065A">
              <w:t>Cinquante</w:t>
            </w:r>
            <w:r w:rsidR="00192D83" w:rsidRPr="002A065A">
              <w:noBreakHyphen/>
            </w:r>
            <w:r w:rsidR="005D1417" w:rsidRPr="002A065A">
              <w:t>neuv</w:t>
            </w:r>
            <w:r w:rsidR="0066261A" w:rsidRPr="002A065A">
              <w:t>ième session</w:t>
            </w:r>
            <w:r w:rsidRPr="002A065A">
              <w:t xml:space="preserve"> ordinaire</w:t>
            </w:r>
          </w:p>
          <w:p w14:paraId="3E2BE5B9" w14:textId="18A95B1D" w:rsidR="00EB4E9C" w:rsidRPr="002A065A" w:rsidRDefault="00EB4E9C" w:rsidP="00DE20C8">
            <w:pPr>
              <w:pStyle w:val="Sessiontcplacedate"/>
              <w:rPr>
                <w:sz w:val="22"/>
              </w:rPr>
            </w:pPr>
            <w:r w:rsidRPr="002A065A">
              <w:t>Gen</w:t>
            </w:r>
            <w:r w:rsidR="00A706D3" w:rsidRPr="002A065A">
              <w:t>è</w:t>
            </w:r>
            <w:r w:rsidRPr="002A065A">
              <w:t>v</w:t>
            </w:r>
            <w:r w:rsidR="00A706D3" w:rsidRPr="002A065A">
              <w:t>e</w:t>
            </w:r>
            <w:r w:rsidRPr="002A065A">
              <w:t xml:space="preserve">, </w:t>
            </w:r>
            <w:r w:rsidR="00EE6E70" w:rsidRPr="002A065A">
              <w:t>2</w:t>
            </w:r>
            <w:r w:rsidR="005D1417" w:rsidRPr="002A065A">
              <w:t>4</w:t>
            </w:r>
            <w:r w:rsidR="00401383" w:rsidRPr="002A065A">
              <w:t> </w:t>
            </w:r>
            <w:r w:rsidR="0066261A" w:rsidRPr="002A065A">
              <w:t>octobre 20</w:t>
            </w:r>
            <w:r w:rsidR="00EE6E70" w:rsidRPr="002A065A">
              <w:t>2</w:t>
            </w:r>
            <w:r w:rsidR="005D1417" w:rsidRPr="002A065A">
              <w:t>5</w:t>
            </w:r>
          </w:p>
        </w:tc>
        <w:tc>
          <w:tcPr>
            <w:tcW w:w="3127" w:type="dxa"/>
          </w:tcPr>
          <w:p w14:paraId="3518C373" w14:textId="3DB5E745" w:rsidR="00EB4E9C" w:rsidRPr="002A065A" w:rsidRDefault="005D1417" w:rsidP="003C7FBE">
            <w:pPr>
              <w:pStyle w:val="Doccode"/>
              <w:rPr>
                <w:lang w:val="fr-FR"/>
              </w:rPr>
            </w:pPr>
            <w:r w:rsidRPr="002A065A">
              <w:rPr>
                <w:lang w:val="fr-FR"/>
              </w:rPr>
              <w:t>C/59/</w:t>
            </w:r>
            <w:r w:rsidR="00452FC5" w:rsidRPr="002A065A">
              <w:rPr>
                <w:lang w:val="fr-FR"/>
              </w:rPr>
              <w:t>15</w:t>
            </w:r>
          </w:p>
          <w:p w14:paraId="120EDE88" w14:textId="096D0D75" w:rsidR="00EB4E9C" w:rsidRPr="002A065A" w:rsidRDefault="00EB4E9C" w:rsidP="003C7FBE">
            <w:pPr>
              <w:pStyle w:val="Docoriginal"/>
            </w:pPr>
            <w:r w:rsidRPr="002A065A">
              <w:t>Original</w:t>
            </w:r>
            <w:r w:rsidR="0066261A" w:rsidRPr="002A065A">
              <w:t> :</w:t>
            </w:r>
            <w:r w:rsidRPr="002A065A">
              <w:rPr>
                <w:b w:val="0"/>
                <w:spacing w:val="0"/>
              </w:rPr>
              <w:t xml:space="preserve"> </w:t>
            </w:r>
            <w:r w:rsidR="00A706D3" w:rsidRPr="002A065A">
              <w:rPr>
                <w:b w:val="0"/>
                <w:spacing w:val="0"/>
              </w:rPr>
              <w:t>anglais</w:t>
            </w:r>
          </w:p>
          <w:p w14:paraId="5F7BD362" w14:textId="55AE6874" w:rsidR="00EB4E9C" w:rsidRPr="007C1D92" w:rsidRDefault="00EB4E9C" w:rsidP="00EE6E70">
            <w:pPr>
              <w:pStyle w:val="Docoriginal"/>
            </w:pPr>
            <w:r w:rsidRPr="002A065A">
              <w:t>Date</w:t>
            </w:r>
            <w:r w:rsidR="0066261A" w:rsidRPr="002A065A">
              <w:t> :</w:t>
            </w:r>
            <w:r w:rsidRPr="002A065A">
              <w:rPr>
                <w:b w:val="0"/>
                <w:spacing w:val="0"/>
              </w:rPr>
              <w:t xml:space="preserve"> </w:t>
            </w:r>
            <w:r w:rsidR="002A065A" w:rsidRPr="002A065A">
              <w:rPr>
                <w:b w:val="0"/>
                <w:spacing w:val="0"/>
              </w:rPr>
              <w:t>19 septembre</w:t>
            </w:r>
            <w:r w:rsidR="0066261A" w:rsidRPr="002A065A">
              <w:rPr>
                <w:b w:val="0"/>
                <w:spacing w:val="0"/>
              </w:rPr>
              <w:t> 20</w:t>
            </w:r>
            <w:r w:rsidR="00235CD2" w:rsidRPr="002A065A">
              <w:rPr>
                <w:b w:val="0"/>
                <w:spacing w:val="0"/>
              </w:rPr>
              <w:t>2</w:t>
            </w:r>
            <w:r w:rsidR="005D1417" w:rsidRPr="002A065A">
              <w:rPr>
                <w:b w:val="0"/>
                <w:spacing w:val="0"/>
              </w:rPr>
              <w:t>5</w:t>
            </w:r>
          </w:p>
        </w:tc>
      </w:tr>
    </w:tbl>
    <w:p w14:paraId="10576B2F" w14:textId="335F0A03" w:rsidR="00452FC5" w:rsidRPr="006A644A" w:rsidRDefault="00452FC5" w:rsidP="00452FC5">
      <w:pPr>
        <w:pStyle w:val="Titleofdoc0"/>
      </w:pPr>
      <w:r>
        <w:t>DÉCLARATION DE L</w:t>
      </w:r>
      <w:r w:rsidR="0066261A">
        <w:t>’</w:t>
      </w:r>
      <w:r>
        <w:t>UPOV RELATIVE AU RISQUE ACCEPTÉ</w:t>
      </w:r>
    </w:p>
    <w:p w14:paraId="3458E452" w14:textId="59DBA558" w:rsidR="006A644A" w:rsidRPr="006A644A" w:rsidRDefault="00AE0EF1" w:rsidP="006A644A">
      <w:pPr>
        <w:pStyle w:val="preparedby1"/>
        <w:jc w:val="left"/>
      </w:pPr>
      <w:r w:rsidRPr="000C4E25">
        <w:t xml:space="preserve">Document </w:t>
      </w:r>
      <w:r w:rsidR="00A706D3">
        <w:t>établi par le Bureau de l</w:t>
      </w:r>
      <w:r w:rsidR="0066261A">
        <w:t>’</w:t>
      </w:r>
      <w:r w:rsidR="00A706D3">
        <w:t>Union</w:t>
      </w:r>
    </w:p>
    <w:p w14:paraId="513BE8DE" w14:textId="2544C5F4" w:rsidR="00050E16" w:rsidRPr="006A644A" w:rsidRDefault="00A706D3" w:rsidP="006A644A">
      <w:pPr>
        <w:pStyle w:val="Disclaimer"/>
      </w:pPr>
      <w:r w:rsidRPr="00A706D3">
        <w:t>Avertissement</w:t>
      </w:r>
      <w:r w:rsidR="0066261A">
        <w:t> :</w:t>
      </w:r>
      <w:r w:rsidRPr="00A706D3">
        <w:t xml:space="preserve"> le présent document ne représente pas les principes ou les orientations de l</w:t>
      </w:r>
      <w:r w:rsidR="0066261A">
        <w:t>’</w:t>
      </w:r>
      <w:r w:rsidRPr="00A706D3">
        <w:t>UPOV</w:t>
      </w:r>
    </w:p>
    <w:p w14:paraId="4D0AD93D" w14:textId="5B4C4C15" w:rsidR="00452FC5" w:rsidRDefault="00452FC5" w:rsidP="00CC2F4C">
      <w:pPr>
        <w:spacing w:after="200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AUTONUM  </w:instrText>
      </w:r>
      <w:r>
        <w:rPr>
          <w:color w:val="000000" w:themeColor="text1"/>
        </w:rPr>
        <w:fldChar w:fldCharType="end"/>
      </w:r>
      <w:r>
        <w:tab/>
        <w:t>L</w:t>
      </w:r>
      <w:r w:rsidR="0066261A">
        <w:t>’</w:t>
      </w:r>
      <w:r>
        <w:t>Union internationale pour la protection des obtentions végétales (UPOV) adopte une approche structurée de la gestion des risques, fondée sur le cadre et les pratiques de gestion des risques de l</w:t>
      </w:r>
      <w:r w:rsidR="0066261A">
        <w:t>’</w:t>
      </w:r>
      <w:r>
        <w:t>O</w:t>
      </w:r>
      <w:r w:rsidR="00192D83">
        <w:t>MPI.  La</w:t>
      </w:r>
      <w:r>
        <w:t xml:space="preserve"> déclaration relative au risque accepté décrit la manière dont l</w:t>
      </w:r>
      <w:r w:rsidR="0066261A">
        <w:t>’</w:t>
      </w:r>
      <w:r>
        <w:t>UPOV g</w:t>
      </w:r>
      <w:r w:rsidR="002F075E">
        <w:t>é</w:t>
      </w:r>
      <w:r>
        <w:t xml:space="preserve">rera les risques lors de la mise </w:t>
      </w:r>
      <w:r w:rsidR="002F075E">
        <w:t xml:space="preserve">en </w:t>
      </w:r>
      <w:r>
        <w:t xml:space="preserve">œuvre du </w:t>
      </w:r>
      <w:bookmarkStart w:id="0" w:name="_Hlk204010293"/>
      <w:r>
        <w:t>Plan de développement stratégique 2026</w:t>
      </w:r>
      <w:r w:rsidR="00192D83">
        <w:noBreakHyphen/>
      </w:r>
      <w:r>
        <w:t>2029.</w:t>
      </w:r>
    </w:p>
    <w:bookmarkEnd w:id="0"/>
    <w:p w14:paraId="0A2DFEBC" w14:textId="7510D9A5" w:rsidR="0066261A" w:rsidRDefault="00452FC5" w:rsidP="00CC2F4C">
      <w:pPr>
        <w:spacing w:after="2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La mise en adéquation des déclarations d</w:t>
      </w:r>
      <w:r w:rsidR="0066261A">
        <w:t>’</w:t>
      </w:r>
      <w:r>
        <w:t>une organisation avec sa stratégie est une pratique exemplaire évoquée dans les directives sur les déclarations relatives au risque accepté du Comité de haut niveau sur la gestion (HLCM)</w:t>
      </w:r>
      <w:r>
        <w:rPr>
          <w:rStyle w:val="FootnoteReference"/>
        </w:rPr>
        <w:footnoteReference w:id="2"/>
      </w:r>
      <w:r>
        <w:t xml:space="preserve"> et par le Comité des organismes parrains de la Commission Treadway (COSO)</w:t>
      </w:r>
      <w:r>
        <w:rPr>
          <w:rStyle w:val="FootnoteReference"/>
        </w:rPr>
        <w:footnoteReference w:id="3"/>
      </w:r>
      <w:r>
        <w:t>.</w:t>
      </w:r>
    </w:p>
    <w:p w14:paraId="61799F3B" w14:textId="42E353DD" w:rsidR="0066261A" w:rsidRDefault="00452FC5" w:rsidP="00CC2F4C">
      <w:pPr>
        <w:spacing w:after="2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La déclaration relative au risque accepté s</w:t>
      </w:r>
      <w:r w:rsidR="0066261A">
        <w:t>’</w:t>
      </w:r>
      <w:r>
        <w:t>articule par conséquent autour des trois piliers et de la fondation de la maison de la stratégie de l</w:t>
      </w:r>
      <w:r w:rsidR="0066261A">
        <w:t>’</w:t>
      </w:r>
      <w:r>
        <w:t>U</w:t>
      </w:r>
      <w:r w:rsidR="00192D83">
        <w:t>POV.  El</w:t>
      </w:r>
      <w:r>
        <w:t>le définit le risque accepté dans la réalisation de chaque résultat escompté dans le cadre de la maison de la stratégie.</w:t>
      </w:r>
    </w:p>
    <w:p w14:paraId="00AB787E" w14:textId="77777777" w:rsidR="0066261A" w:rsidRDefault="00452FC5" w:rsidP="001F3A67">
      <w:pPr>
        <w:pStyle w:val="DecisionParagraph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Le Conseil est invité à prendre note du contenu du présent document.</w:t>
      </w:r>
    </w:p>
    <w:p w14:paraId="6520F3F0" w14:textId="77777777" w:rsidR="001F3A67" w:rsidRPr="001F3A67" w:rsidRDefault="001F3A67" w:rsidP="001F3A67"/>
    <w:p w14:paraId="46E6BEBC" w14:textId="77777777" w:rsidR="001F3A67" w:rsidRDefault="001F3A67" w:rsidP="001F3A67"/>
    <w:p w14:paraId="56C192B9" w14:textId="77777777" w:rsidR="001F3A67" w:rsidRPr="001F3A67" w:rsidRDefault="001F3A67" w:rsidP="001F3A67"/>
    <w:p w14:paraId="4A737D4F" w14:textId="3C3B382C" w:rsidR="00452FC5" w:rsidRDefault="00452FC5" w:rsidP="00452FC5">
      <w:pPr>
        <w:jc w:val="right"/>
      </w:pPr>
      <w:r>
        <w:t>[L</w:t>
      </w:r>
      <w:r w:rsidR="0066261A">
        <w:t>’</w:t>
      </w:r>
      <w:r>
        <w:t>annexe suit]</w:t>
      </w:r>
    </w:p>
    <w:p w14:paraId="4B9B1EDC" w14:textId="77777777" w:rsidR="00452FC5" w:rsidRDefault="00452FC5" w:rsidP="00452FC5">
      <w:pPr>
        <w:jc w:val="left"/>
      </w:pPr>
    </w:p>
    <w:p w14:paraId="18FBABA0" w14:textId="77777777" w:rsidR="00452FC5" w:rsidRDefault="00452FC5" w:rsidP="00452FC5">
      <w:pPr>
        <w:jc w:val="left"/>
        <w:sectPr w:rsidR="00452FC5" w:rsidSect="00452FC5">
          <w:headerReference w:type="default" r:id="rId8"/>
          <w:pgSz w:w="11907" w:h="16840" w:code="9"/>
          <w:pgMar w:top="510" w:right="1134" w:bottom="1134" w:left="1134" w:header="510" w:footer="680" w:gutter="0"/>
          <w:cols w:space="720"/>
          <w:titlePg/>
        </w:sectPr>
      </w:pPr>
    </w:p>
    <w:p w14:paraId="09F3DA77" w14:textId="77777777" w:rsidR="00452FC5" w:rsidRPr="00F101BE" w:rsidRDefault="00452FC5" w:rsidP="00452FC5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UNION INTERNATIONALE POUR LA PROTECTION DES OBTENTIONS VÉGÉTALES</w:t>
      </w:r>
    </w:p>
    <w:p w14:paraId="7E16698F" w14:textId="77777777" w:rsidR="00452FC5" w:rsidRPr="004B65F2" w:rsidRDefault="00452FC5" w:rsidP="004C79D9">
      <w:pPr>
        <w:spacing w:before="200" w:after="40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Déclaration relative au risque accepté</w:t>
      </w:r>
    </w:p>
    <w:p w14:paraId="49B63B24" w14:textId="14199EE8" w:rsidR="0066261A" w:rsidRPr="00192D83" w:rsidRDefault="00452FC5" w:rsidP="00192D83">
      <w:pPr>
        <w:pStyle w:val="Heading1"/>
      </w:pPr>
      <w:r w:rsidRPr="00192D83">
        <w:t>I</w:t>
      </w:r>
      <w:r w:rsidR="00192D83" w:rsidRPr="00192D83">
        <w:t>ntroduction</w:t>
      </w:r>
    </w:p>
    <w:p w14:paraId="25BF0A4F" w14:textId="1E99CF5D" w:rsidR="00452FC5" w:rsidRPr="004B65F2" w:rsidRDefault="00452FC5" w:rsidP="004C79D9">
      <w:pPr>
        <w:pStyle w:val="ONUME"/>
        <w:spacing w:after="200"/>
      </w:pPr>
      <w:r>
        <w:t>Le cadre de gestion des risques de l</w:t>
      </w:r>
      <w:r w:rsidR="0066261A">
        <w:t>’</w:t>
      </w:r>
      <w:r>
        <w:t>OMPI, qui comprend la politique en matière de gestion des risques et le Manuel de gestion des risques, contribue à guider la gestion des risques au sein de l</w:t>
      </w:r>
      <w:r w:rsidR="0066261A">
        <w:t>’</w:t>
      </w:r>
      <w:r>
        <w:t>UPOV pour atteindre les résultats escomptés présentés dans le Plan de développement stratégique 2026</w:t>
      </w:r>
      <w:r w:rsidR="00192D83">
        <w:noBreakHyphen/>
      </w:r>
      <w:r>
        <w:t>2029.</w:t>
      </w:r>
    </w:p>
    <w:p w14:paraId="2CFB3192" w14:textId="0FF118E9" w:rsidR="00452FC5" w:rsidRDefault="00452FC5" w:rsidP="004C79D9">
      <w:pPr>
        <w:pStyle w:val="ONUME"/>
        <w:spacing w:after="200"/>
      </w:pPr>
      <w:r>
        <w:t>La déclaration relative au risque accepté définit le risque acceptable pour l</w:t>
      </w:r>
      <w:r w:rsidR="0066261A">
        <w:t>’</w:t>
      </w:r>
      <w:r>
        <w:t>UPOV dans l</w:t>
      </w:r>
      <w:r w:rsidR="0066261A">
        <w:t>’</w:t>
      </w:r>
      <w:r>
        <w:t>accomplissement de sa mission qui consiste à mettre en place et promouvoir un système efficace de protection des obtentions végétales afin d</w:t>
      </w:r>
      <w:r w:rsidR="0066261A">
        <w:t>’</w:t>
      </w:r>
      <w:r>
        <w:t>encourager l</w:t>
      </w:r>
      <w:r w:rsidR="0066261A">
        <w:t>’</w:t>
      </w:r>
      <w:r>
        <w:t>obtention de variétés dans l</w:t>
      </w:r>
      <w:r w:rsidR="0066261A">
        <w:t>’</w:t>
      </w:r>
      <w:r>
        <w:t>intérêt de tous.</w:t>
      </w:r>
    </w:p>
    <w:p w14:paraId="3BA982B5" w14:textId="1A95EFFF" w:rsidR="00452FC5" w:rsidRPr="00192D83" w:rsidRDefault="00452FC5" w:rsidP="00192D83">
      <w:pPr>
        <w:pStyle w:val="Heading1"/>
      </w:pPr>
      <w:r w:rsidRPr="00192D83">
        <w:t>P</w:t>
      </w:r>
      <w:r w:rsidR="00192D83" w:rsidRPr="00192D83">
        <w:t>rincipes directeurs</w:t>
      </w:r>
    </w:p>
    <w:p w14:paraId="1600D287" w14:textId="5F629144" w:rsidR="0066261A" w:rsidRDefault="00452FC5" w:rsidP="004C79D9">
      <w:pPr>
        <w:pStyle w:val="ONUME"/>
        <w:spacing w:after="200"/>
      </w:pPr>
      <w:r>
        <w:t>L</w:t>
      </w:r>
      <w:r w:rsidR="0066261A">
        <w:t>’</w:t>
      </w:r>
      <w:r>
        <w:t>approche de l</w:t>
      </w:r>
      <w:r w:rsidR="0066261A">
        <w:t>’</w:t>
      </w:r>
      <w:r>
        <w:t>UPOV de la gestion du risque repose sur les principes suivants</w:t>
      </w:r>
      <w:r w:rsidR="0066261A">
        <w:t> :</w:t>
      </w:r>
    </w:p>
    <w:p w14:paraId="6425CF14" w14:textId="6F07B6E8" w:rsidR="00452FC5" w:rsidRPr="00F101BE" w:rsidRDefault="00452FC5" w:rsidP="00192D83">
      <w:pPr>
        <w:pStyle w:val="ONUME"/>
        <w:numPr>
          <w:ilvl w:val="0"/>
          <w:numId w:val="2"/>
        </w:numPr>
        <w:tabs>
          <w:tab w:val="clear" w:pos="1134"/>
        </w:tabs>
        <w:spacing w:after="100"/>
        <w:ind w:left="1134" w:hanging="567"/>
      </w:pPr>
      <w:r>
        <w:t>une culture structurée de la conscientisation du risque;</w:t>
      </w:r>
    </w:p>
    <w:p w14:paraId="19860D02" w14:textId="480EE209" w:rsidR="00452FC5" w:rsidRPr="00F101BE" w:rsidRDefault="00452FC5" w:rsidP="00192D83">
      <w:pPr>
        <w:pStyle w:val="ONUME"/>
        <w:numPr>
          <w:ilvl w:val="0"/>
          <w:numId w:val="2"/>
        </w:numPr>
        <w:tabs>
          <w:tab w:val="clear" w:pos="1134"/>
        </w:tabs>
        <w:spacing w:after="100"/>
        <w:ind w:left="1134" w:hanging="567"/>
      </w:pPr>
      <w:r>
        <w:t>une responsabilité partagée des risques entre le Conseil, les membres de l</w:t>
      </w:r>
      <w:r w:rsidR="0066261A">
        <w:t>’</w:t>
      </w:r>
      <w:r>
        <w:t>UPOV et le Bureau de l</w:t>
      </w:r>
      <w:r w:rsidR="0066261A">
        <w:t>’</w:t>
      </w:r>
      <w:r>
        <w:t>Union;</w:t>
      </w:r>
    </w:p>
    <w:p w14:paraId="46ADB7EE" w14:textId="77777777" w:rsidR="00452FC5" w:rsidRPr="00F101BE" w:rsidRDefault="00452FC5" w:rsidP="00192D83">
      <w:pPr>
        <w:pStyle w:val="ONUME"/>
        <w:numPr>
          <w:ilvl w:val="0"/>
          <w:numId w:val="2"/>
        </w:numPr>
        <w:tabs>
          <w:tab w:val="clear" w:pos="1134"/>
        </w:tabs>
        <w:spacing w:after="100"/>
        <w:ind w:left="1134" w:hanging="567"/>
      </w:pPr>
      <w:r>
        <w:t>un alignement stratégique avec les résultats escomptés;</w:t>
      </w:r>
    </w:p>
    <w:p w14:paraId="1175F3C4" w14:textId="378631AB" w:rsidR="00452FC5" w:rsidRPr="00F101BE" w:rsidRDefault="00452FC5" w:rsidP="00192D83">
      <w:pPr>
        <w:pStyle w:val="ONUME"/>
        <w:numPr>
          <w:ilvl w:val="0"/>
          <w:numId w:val="2"/>
        </w:numPr>
        <w:tabs>
          <w:tab w:val="clear" w:pos="1134"/>
        </w:tabs>
        <w:spacing w:after="100"/>
        <w:ind w:left="1134" w:hanging="567"/>
      </w:pPr>
      <w:r>
        <w:t>une prise de décision transparente et tenant compte des risques ainsi qu</w:t>
      </w:r>
      <w:r w:rsidR="0066261A">
        <w:t>’</w:t>
      </w:r>
      <w:r>
        <w:t>une formation continue.</w:t>
      </w:r>
    </w:p>
    <w:p w14:paraId="69AF9143" w14:textId="6F7D3BED" w:rsidR="0066261A" w:rsidRDefault="00452FC5" w:rsidP="00192D83">
      <w:pPr>
        <w:pStyle w:val="Heading1"/>
      </w:pPr>
      <w:r>
        <w:t>D</w:t>
      </w:r>
      <w:r w:rsidR="00192D83">
        <w:t>éfinitions</w:t>
      </w:r>
    </w:p>
    <w:p w14:paraId="4E0D262B" w14:textId="36222431" w:rsidR="00452FC5" w:rsidRPr="00F101BE" w:rsidRDefault="00452FC5" w:rsidP="004C79D9">
      <w:pPr>
        <w:pStyle w:val="ONUME"/>
        <w:spacing w:after="200"/>
      </w:pPr>
      <w:r>
        <w:rPr>
          <w:b/>
          <w:bCs/>
        </w:rPr>
        <w:t>Risque</w:t>
      </w:r>
      <w:r w:rsidR="0066261A">
        <w:rPr>
          <w:b/>
          <w:bCs/>
        </w:rPr>
        <w:t> :</w:t>
      </w:r>
      <w:r>
        <w:t xml:space="preserve"> incertitude qui, si elle se concrétisait, aurait une incidence sur l</w:t>
      </w:r>
      <w:r w:rsidR="0066261A">
        <w:t>’</w:t>
      </w:r>
      <w:r>
        <w:t>accomplissement des objectifs stratégiques, financiers et des projets de l</w:t>
      </w:r>
      <w:r w:rsidR="0066261A">
        <w:t>’</w:t>
      </w:r>
      <w:r>
        <w:t>UPOV.</w:t>
      </w:r>
    </w:p>
    <w:p w14:paraId="697E20F3" w14:textId="0376BDFF" w:rsidR="00452FC5" w:rsidRPr="00F101BE" w:rsidRDefault="00452FC5" w:rsidP="004C79D9">
      <w:pPr>
        <w:pStyle w:val="ONUME"/>
        <w:spacing w:after="200"/>
      </w:pPr>
      <w:r>
        <w:rPr>
          <w:b/>
          <w:bCs/>
        </w:rPr>
        <w:t>Gestion des risques</w:t>
      </w:r>
      <w:r w:rsidR="0066261A">
        <w:rPr>
          <w:b/>
          <w:bCs/>
        </w:rPr>
        <w:t> :</w:t>
      </w:r>
      <w:r>
        <w:t xml:space="preserve"> approche coordonnée de l</w:t>
      </w:r>
      <w:r w:rsidR="0066261A">
        <w:t>’</w:t>
      </w:r>
      <w:r>
        <w:t>évaluation des risques et de la réponse à leur apporter.</w:t>
      </w:r>
    </w:p>
    <w:p w14:paraId="1E75AF39" w14:textId="3197DB05" w:rsidR="0066261A" w:rsidRDefault="00452FC5" w:rsidP="004C79D9">
      <w:pPr>
        <w:pStyle w:val="ONUME"/>
        <w:spacing w:after="200"/>
      </w:pPr>
      <w:r>
        <w:rPr>
          <w:b/>
          <w:bCs/>
        </w:rPr>
        <w:t>Risque accepté</w:t>
      </w:r>
      <w:r w:rsidR="0066261A">
        <w:rPr>
          <w:b/>
          <w:bCs/>
        </w:rPr>
        <w:t> :</w:t>
      </w:r>
      <w:r>
        <w:t xml:space="preserve"> degré global de risque résiduel que l</w:t>
      </w:r>
      <w:r w:rsidR="0066261A">
        <w:t>’</w:t>
      </w:r>
      <w:r>
        <w:t>UPOV est prête à prendre aux fins de l</w:t>
      </w:r>
      <w:r w:rsidR="0066261A">
        <w:t>’</w:t>
      </w:r>
      <w:r>
        <w:t>obtention des résultats escomptés et, partant, de la concrétisation de ses piliers stratégiques.</w:t>
      </w:r>
    </w:p>
    <w:p w14:paraId="7AFF970C" w14:textId="52B7F443" w:rsidR="0066261A" w:rsidRDefault="00452FC5" w:rsidP="004C79D9">
      <w:pPr>
        <w:pStyle w:val="ONUME"/>
        <w:spacing w:after="200"/>
      </w:pPr>
      <w:r>
        <w:rPr>
          <w:b/>
          <w:bCs/>
        </w:rPr>
        <w:t>Capacité de risque</w:t>
      </w:r>
      <w:r w:rsidR="0066261A">
        <w:rPr>
          <w:b/>
          <w:bCs/>
        </w:rPr>
        <w:t> :</w:t>
      </w:r>
      <w:r>
        <w:t xml:space="preserve"> degré de </w:t>
      </w:r>
      <w:r>
        <w:rPr>
          <w:i/>
          <w:iCs/>
        </w:rPr>
        <w:t>risque résiduel</w:t>
      </w:r>
      <w:r w:rsidRPr="00F101BE">
        <w:rPr>
          <w:rStyle w:val="FootnoteReference"/>
        </w:rPr>
        <w:footnoteReference w:id="4"/>
      </w:r>
      <w:r>
        <w:rPr>
          <w:i/>
        </w:rPr>
        <w:t xml:space="preserve"> </w:t>
      </w:r>
      <w:r>
        <w:t>qu</w:t>
      </w:r>
      <w:r w:rsidR="0066261A">
        <w:t>’</w:t>
      </w:r>
      <w:r>
        <w:t>une organisation est en mesure d</w:t>
      </w:r>
      <w:r w:rsidR="0066261A">
        <w:t>’</w:t>
      </w:r>
      <w:r>
        <w:t>assumer sans manquer à répondre aux attentes en matière de résultats au fil du temps.</w:t>
      </w:r>
    </w:p>
    <w:p w14:paraId="37993F2F" w14:textId="46C62C6A" w:rsidR="00452FC5" w:rsidRDefault="00452FC5" w:rsidP="004C79D9">
      <w:pPr>
        <w:pStyle w:val="ONUME"/>
        <w:spacing w:after="200"/>
      </w:pPr>
      <w:r>
        <w:rPr>
          <w:b/>
          <w:bCs/>
        </w:rPr>
        <w:t>Univers de risques</w:t>
      </w:r>
      <w:r w:rsidR="0066261A">
        <w:rPr>
          <w:b/>
          <w:bCs/>
        </w:rPr>
        <w:t> :</w:t>
      </w:r>
      <w:r>
        <w:t xml:space="preserve"> limites extérieures raisonnables des résultats possibles si des risques se présente</w:t>
      </w:r>
      <w:r w:rsidR="00192D83">
        <w:t>nt.  L’u</w:t>
      </w:r>
      <w:r>
        <w:t>nivers de risques est délimité par les limites extérieures raisonnables des résultats possibles si des risques se présentent, tel qu</w:t>
      </w:r>
      <w:r w:rsidR="0066261A">
        <w:t>’</w:t>
      </w:r>
      <w:r>
        <w:t>illustré dans la figure 1.</w:t>
      </w:r>
    </w:p>
    <w:p w14:paraId="4912E864" w14:textId="3FEEECA5" w:rsidR="00192D83" w:rsidRPr="00192D83" w:rsidRDefault="00192D83" w:rsidP="00192D83">
      <w:pPr>
        <w:pStyle w:val="ONUME"/>
        <w:numPr>
          <w:ilvl w:val="0"/>
          <w:numId w:val="0"/>
        </w:numPr>
        <w:spacing w:after="0"/>
        <w:jc w:val="center"/>
        <w:rPr>
          <w:b/>
          <w:bCs/>
        </w:rPr>
      </w:pPr>
      <w:r w:rsidRPr="00192D83">
        <w:rPr>
          <w:b/>
          <w:bCs/>
        </w:rPr>
        <w:t>Figure </w:t>
      </w:r>
      <w:r w:rsidRPr="00192D83">
        <w:rPr>
          <w:b/>
          <w:bCs/>
        </w:rPr>
        <w:fldChar w:fldCharType="begin"/>
      </w:r>
      <w:r w:rsidRPr="00192D83">
        <w:rPr>
          <w:b/>
          <w:bCs/>
        </w:rPr>
        <w:instrText xml:space="preserve"> SEQ Figure \* ARABIC </w:instrText>
      </w:r>
      <w:r w:rsidRPr="00192D83">
        <w:rPr>
          <w:b/>
          <w:bCs/>
        </w:rPr>
        <w:fldChar w:fldCharType="separate"/>
      </w:r>
      <w:r w:rsidRPr="00192D83">
        <w:rPr>
          <w:b/>
          <w:bCs/>
          <w:noProof/>
        </w:rPr>
        <w:t>1</w:t>
      </w:r>
      <w:r w:rsidRPr="00192D83">
        <w:rPr>
          <w:b/>
          <w:bCs/>
        </w:rPr>
        <w:fldChar w:fldCharType="end"/>
      </w:r>
      <w:r w:rsidRPr="00192D83">
        <w:rPr>
          <w:b/>
          <w:bCs/>
        </w:rPr>
        <w:t xml:space="preserve"> – Univers de risques, capacité de risque et niveau de risque accepté</w:t>
      </w:r>
    </w:p>
    <w:p w14:paraId="23F382BE" w14:textId="0F20BAC7" w:rsidR="00452FC5" w:rsidRPr="00F101BE" w:rsidRDefault="00452FC5" w:rsidP="00192D83">
      <w:pPr>
        <w:jc w:val="center"/>
      </w:pPr>
      <w:r w:rsidRPr="00452FC5">
        <w:rPr>
          <w:noProof/>
        </w:rPr>
        <w:drawing>
          <wp:inline distT="0" distB="0" distL="0" distR="0" wp14:anchorId="0500FEC3" wp14:editId="077B0DCC">
            <wp:extent cx="4476695" cy="2160000"/>
            <wp:effectExtent l="0" t="0" r="0" b="0"/>
            <wp:docPr id="466447153" name="Picture 2" descr="Schéma de l’univers de risques, de la capacité de risque et du niveau de risque accepté&#10;&#10;La figure illustre le lien entre l’univers de risques, la capacité de risque et le niveau de risque accept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47153" name="Picture 2" descr="Schéma de l’univers de risques, de la capacité de risque et du niveau de risque accepté&#10;&#10;La figure illustre le lien entre l’univers de risques, la capacité de risque et le niveau de risque accepté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216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C7437" w14:textId="227A8C4C" w:rsidR="00452FC5" w:rsidRPr="00F101BE" w:rsidRDefault="00452FC5" w:rsidP="004C79D9">
      <w:pPr>
        <w:pStyle w:val="ONUME"/>
        <w:keepNext/>
        <w:spacing w:after="200"/>
      </w:pPr>
      <w:r>
        <w:lastRenderedPageBreak/>
        <w:t>Voici les trois</w:t>
      </w:r>
      <w:r w:rsidR="00ED14C5">
        <w:t> </w:t>
      </w:r>
      <w:r>
        <w:t>niveaux de risque accepté utilisés</w:t>
      </w:r>
      <w:r w:rsidR="0066261A">
        <w:t> :</w:t>
      </w:r>
    </w:p>
    <w:p w14:paraId="227288BE" w14:textId="27E45579" w:rsidR="0066261A" w:rsidRDefault="00452FC5" w:rsidP="004C79D9">
      <w:pPr>
        <w:pStyle w:val="ONUME"/>
        <w:numPr>
          <w:ilvl w:val="0"/>
          <w:numId w:val="3"/>
        </w:numPr>
        <w:spacing w:after="200"/>
        <w:ind w:left="924" w:hanging="357"/>
        <w:rPr>
          <w:color w:val="000000" w:themeColor="text1"/>
        </w:rPr>
      </w:pPr>
      <w:r>
        <w:rPr>
          <w:b/>
          <w:color w:val="76923C" w:themeColor="accent3" w:themeShade="BF"/>
        </w:rPr>
        <w:t>Faible</w:t>
      </w:r>
      <w:r w:rsidR="0066261A">
        <w:t> :</w:t>
      </w:r>
      <w:r>
        <w:t xml:space="preserve"> domaines de résultats escomptés dans lesquels l</w:t>
      </w:r>
      <w:r w:rsidR="0066261A">
        <w:t>’</w:t>
      </w:r>
      <w:r>
        <w:t>UPOV évite les risque</w:t>
      </w:r>
      <w:r>
        <w:rPr>
          <w:color w:val="000000" w:themeColor="text1"/>
        </w:rPr>
        <w:t>s ou prend des mesures afin de réduire au minimum ou d</w:t>
      </w:r>
      <w:r w:rsidR="0066261A">
        <w:rPr>
          <w:color w:val="000000" w:themeColor="text1"/>
        </w:rPr>
        <w:t>’</w:t>
      </w:r>
      <w:r>
        <w:rPr>
          <w:color w:val="000000" w:themeColor="text1"/>
        </w:rPr>
        <w:t>éliminer la probabilité que le risque se concrétise en raison d</w:t>
      </w:r>
      <w:r w:rsidR="0066261A">
        <w:rPr>
          <w:color w:val="000000" w:themeColor="text1"/>
        </w:rPr>
        <w:t>’</w:t>
      </w:r>
      <w:r>
        <w:rPr>
          <w:color w:val="000000" w:themeColor="text1"/>
        </w:rPr>
        <w:t>inconvénients ou d</w:t>
      </w:r>
      <w:r w:rsidR="0066261A">
        <w:rPr>
          <w:color w:val="000000" w:themeColor="text1"/>
        </w:rPr>
        <w:t>’</w:t>
      </w:r>
      <w:r>
        <w:rPr>
          <w:color w:val="000000" w:themeColor="text1"/>
        </w:rPr>
        <w:t>incidences négatives potentiels.</w:t>
      </w:r>
    </w:p>
    <w:p w14:paraId="54241B6B" w14:textId="58B7CB43" w:rsidR="00452FC5" w:rsidRPr="00F101BE" w:rsidRDefault="00401383" w:rsidP="004C79D9">
      <w:pPr>
        <w:pStyle w:val="ONUME"/>
        <w:numPr>
          <w:ilvl w:val="0"/>
          <w:numId w:val="3"/>
        </w:numPr>
        <w:spacing w:after="200"/>
        <w:ind w:left="924" w:hanging="357"/>
        <w:rPr>
          <w:color w:val="000000" w:themeColor="text1"/>
        </w:rPr>
      </w:pPr>
      <w:r>
        <w:rPr>
          <w:b/>
          <w:color w:val="4BACC6" w:themeColor="accent5"/>
        </w:rPr>
        <w:t>M</w:t>
      </w:r>
      <w:r w:rsidR="00452FC5">
        <w:rPr>
          <w:b/>
          <w:color w:val="4BACC6" w:themeColor="accent5"/>
        </w:rPr>
        <w:t>oyen</w:t>
      </w:r>
      <w:r w:rsidR="0066261A">
        <w:t> :</w:t>
      </w:r>
      <w:r w:rsidR="00452FC5">
        <w:t xml:space="preserve"> domaines de résultats escomptés dans lesquels </w:t>
      </w:r>
      <w:r w:rsidR="00D85C86">
        <w:t>l’UPOV</w:t>
      </w:r>
      <w:r w:rsidR="00452FC5">
        <w:t xml:space="preserve"> doit en permanence trouver un juste équilibre entre les bénéfices potentiels d</w:t>
      </w:r>
      <w:r w:rsidR="0066261A">
        <w:t>’</w:t>
      </w:r>
      <w:r w:rsidR="00452FC5">
        <w:t>une part et les inconvénients ou incidences négatives potentiels d</w:t>
      </w:r>
      <w:r w:rsidR="0066261A">
        <w:t>’</w:t>
      </w:r>
      <w:r w:rsidR="00452FC5">
        <w:t>autre part.</w:t>
      </w:r>
    </w:p>
    <w:p w14:paraId="2CE28B45" w14:textId="4A381E30" w:rsidR="0066261A" w:rsidRDefault="00401383" w:rsidP="004C79D9">
      <w:pPr>
        <w:pStyle w:val="ONUME"/>
        <w:numPr>
          <w:ilvl w:val="0"/>
          <w:numId w:val="3"/>
        </w:numPr>
        <w:spacing w:after="200"/>
      </w:pPr>
      <w:r>
        <w:rPr>
          <w:b/>
          <w:color w:val="5F497A" w:themeColor="accent4" w:themeShade="BF"/>
        </w:rPr>
        <w:t>É</w:t>
      </w:r>
      <w:r w:rsidR="00452FC5">
        <w:rPr>
          <w:b/>
          <w:color w:val="5F497A" w:themeColor="accent4" w:themeShade="BF"/>
        </w:rPr>
        <w:t>levé</w:t>
      </w:r>
      <w:r w:rsidR="0066261A">
        <w:rPr>
          <w:color w:val="5F497A" w:themeColor="accent4" w:themeShade="BF"/>
        </w:rPr>
        <w:t> :</w:t>
      </w:r>
      <w:r w:rsidR="00452FC5">
        <w:t xml:space="preserve"> </w:t>
      </w:r>
      <w:r w:rsidR="00452FC5" w:rsidRPr="00D85C86">
        <w:rPr>
          <w:spacing w:val="-2"/>
        </w:rPr>
        <w:t xml:space="preserve">domaines de résultats escomptés dans lesquels </w:t>
      </w:r>
      <w:r w:rsidR="00D85C86" w:rsidRPr="00D85C86">
        <w:rPr>
          <w:spacing w:val="-2"/>
        </w:rPr>
        <w:t>l’UPOV</w:t>
      </w:r>
      <w:r w:rsidR="00452FC5" w:rsidRPr="00D85C86">
        <w:rPr>
          <w:spacing w:val="-2"/>
        </w:rPr>
        <w:t xml:space="preserve"> préfère prendre des risques calculés, </w:t>
      </w:r>
      <w:r w:rsidR="00452FC5">
        <w:t>car les bénéfices potentiels l</w:t>
      </w:r>
      <w:r w:rsidR="0066261A">
        <w:t>’</w:t>
      </w:r>
      <w:r w:rsidR="00452FC5">
        <w:t>emportent sur les inconvénients ou incidences négatives potentiels.</w:t>
      </w:r>
    </w:p>
    <w:p w14:paraId="1BA582DA" w14:textId="3032F9BE" w:rsidR="00452FC5" w:rsidRPr="00192D83" w:rsidRDefault="00452FC5" w:rsidP="00192D83">
      <w:pPr>
        <w:pStyle w:val="Heading1"/>
      </w:pPr>
      <w:r w:rsidRPr="00192D83">
        <w:t>M</w:t>
      </w:r>
      <w:r w:rsidR="00192D83" w:rsidRPr="00192D83">
        <w:t>ise en œuvre stratégique du risque accepté dans le contexte du plan de développement stratégique</w:t>
      </w:r>
    </w:p>
    <w:p w14:paraId="15A1FB52" w14:textId="35D2D859" w:rsidR="0066261A" w:rsidRDefault="00452FC5" w:rsidP="004C79D9">
      <w:pPr>
        <w:pStyle w:val="ONUME"/>
        <w:spacing w:after="200"/>
      </w:pPr>
      <w:r>
        <w:t>La maison de la stratégie définit la mission de l</w:t>
      </w:r>
      <w:r w:rsidR="0066261A">
        <w:t>’</w:t>
      </w:r>
      <w:r>
        <w:t>UPOV, les piliers stratégiques et les résultats escomptés assortis de risques acceptés propres à chaque résultat escompté (figure 2).</w:t>
      </w:r>
    </w:p>
    <w:p w14:paraId="0F40D915" w14:textId="53B26E66" w:rsidR="0066261A" w:rsidRDefault="00452FC5" w:rsidP="004C79D9">
      <w:pPr>
        <w:pStyle w:val="ONUME"/>
        <w:spacing w:after="200"/>
      </w:pPr>
      <w:r>
        <w:t>Le niveau de risque accepté global de l</w:t>
      </w:r>
      <w:r w:rsidR="0066261A">
        <w:t>’</w:t>
      </w:r>
      <w:r>
        <w:t>UPOV est moy</w:t>
      </w:r>
      <w:r w:rsidR="00192D83">
        <w:t>en.  Lo</w:t>
      </w:r>
      <w:r>
        <w:t>rsque l</w:t>
      </w:r>
      <w:r w:rsidR="0066261A">
        <w:t>’</w:t>
      </w:r>
      <w:r>
        <w:t>UPOV entreprend des travaux aux fins de l</w:t>
      </w:r>
      <w:r w:rsidR="0066261A">
        <w:t>’</w:t>
      </w:r>
      <w:r>
        <w:t>obtention de certains résultats escomptés, elle peut viser un niveau de risque plus faible ou plus éle</w:t>
      </w:r>
      <w:r w:rsidR="00192D83">
        <w:t>vé.  Da</w:t>
      </w:r>
      <w:r>
        <w:t>ns certains cas, les travaux peuvent contribuer à plusieurs résultats escomptés;</w:t>
      </w:r>
      <w:r w:rsidR="00ED14C5">
        <w:t xml:space="preserve"> </w:t>
      </w:r>
      <w:r>
        <w:t xml:space="preserve"> si les niveaux de risque accepté sont différents, c</w:t>
      </w:r>
      <w:r w:rsidR="0066261A">
        <w:t>’</w:t>
      </w:r>
      <w:r>
        <w:t>est le risque accepté le plus faible qui l</w:t>
      </w:r>
      <w:r w:rsidR="0066261A">
        <w:t>’</w:t>
      </w:r>
      <w:r>
        <w:t>emporte.</w:t>
      </w:r>
    </w:p>
    <w:p w14:paraId="67FAEF22" w14:textId="168AF27C" w:rsidR="00192D83" w:rsidRPr="00192D83" w:rsidRDefault="00192D83" w:rsidP="00192D83">
      <w:pPr>
        <w:pStyle w:val="ONUME"/>
        <w:numPr>
          <w:ilvl w:val="0"/>
          <w:numId w:val="0"/>
        </w:numPr>
        <w:jc w:val="center"/>
        <w:rPr>
          <w:b/>
          <w:bCs/>
        </w:rPr>
      </w:pPr>
      <w:r w:rsidRPr="00192D83">
        <w:rPr>
          <w:b/>
          <w:bCs/>
        </w:rPr>
        <w:t>Figure 2 – Maison de la stratégie de l’UPOV et risques acceptés</w:t>
      </w:r>
    </w:p>
    <w:p w14:paraId="135F8C6E" w14:textId="1E9D2E1D" w:rsidR="0078218B" w:rsidRDefault="0078218B" w:rsidP="004C79D9">
      <w:pPr>
        <w:pStyle w:val="ONUME"/>
        <w:numPr>
          <w:ilvl w:val="0"/>
          <w:numId w:val="0"/>
        </w:numPr>
        <w:spacing w:after="200"/>
      </w:pPr>
      <w:r>
        <w:rPr>
          <w:noProof/>
        </w:rPr>
        <w:drawing>
          <wp:inline distT="0" distB="0" distL="0" distR="0" wp14:anchorId="22A55635" wp14:editId="69136ED6">
            <wp:extent cx="6202017" cy="4052780"/>
            <wp:effectExtent l="0" t="0" r="8890" b="5080"/>
            <wp:docPr id="1866524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184" cy="4072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A6E58" w14:textId="67F20BC4" w:rsidR="0066261A" w:rsidRDefault="00452FC5" w:rsidP="004C79D9">
      <w:pPr>
        <w:pStyle w:val="ONUME"/>
        <w:spacing w:after="200"/>
      </w:pPr>
      <w:r>
        <w:t>Les exemples suivants illustrent la manière de mettre en œuvre le risque accepté dans la pratique</w:t>
      </w:r>
      <w:r w:rsidR="0066261A">
        <w:t> :</w:t>
      </w:r>
    </w:p>
    <w:p w14:paraId="28AD0D2F" w14:textId="0AE769F4" w:rsidR="00452FC5" w:rsidRPr="00F101BE" w:rsidRDefault="00452FC5" w:rsidP="00192D83">
      <w:pPr>
        <w:pStyle w:val="ONUME"/>
        <w:numPr>
          <w:ilvl w:val="0"/>
          <w:numId w:val="4"/>
        </w:numPr>
        <w:spacing w:after="200"/>
        <w:ind w:left="1134" w:hanging="567"/>
      </w:pPr>
      <w:r>
        <w:t xml:space="preserve">Des activités à </w:t>
      </w:r>
      <w:r>
        <w:rPr>
          <w:b/>
          <w:color w:val="76923C" w:themeColor="accent3" w:themeShade="BF"/>
        </w:rPr>
        <w:t xml:space="preserve">faible </w:t>
      </w:r>
      <w:r>
        <w:t>risque accepté (</w:t>
      </w:r>
      <w:r w:rsidR="00ED14C5">
        <w:t>p. </w:t>
      </w:r>
      <w:r>
        <w:t>ex.</w:t>
      </w:r>
      <w:r w:rsidR="00ED14C5">
        <w:t> </w:t>
      </w:r>
      <w:r>
        <w:t xml:space="preserve">le résultat escompté 1.1 </w:t>
      </w:r>
      <w:r w:rsidR="00401383">
        <w:t>–</w:t>
      </w:r>
      <w:r>
        <w:t xml:space="preserve"> Gouvernance par le Conseil de l</w:t>
      </w:r>
      <w:r w:rsidR="0066261A">
        <w:t>’</w:t>
      </w:r>
      <w:r>
        <w:t>UPOV et travaux des comités de l</w:t>
      </w:r>
      <w:r w:rsidR="0066261A">
        <w:t>’</w:t>
      </w:r>
      <w:r>
        <w:t>UPOV et autres organes) garantissent un examen systématique de l</w:t>
      </w:r>
      <w:r w:rsidR="0066261A">
        <w:t>’</w:t>
      </w:r>
      <w:r>
        <w:t>appui apporté par le Bureau de l</w:t>
      </w:r>
      <w:r w:rsidR="0066261A">
        <w:t>’</w:t>
      </w:r>
      <w:r>
        <w:t>Union à la gouvernance de l</w:t>
      </w:r>
      <w:r w:rsidR="0066261A">
        <w:t>’</w:t>
      </w:r>
      <w:r>
        <w:t>UPOV et aux comités de l</w:t>
      </w:r>
      <w:r w:rsidR="0066261A">
        <w:t>’</w:t>
      </w:r>
      <w:r>
        <w:t>UPOV, notamment par une évaluation de la fréquence des réunions et des changements de format, afin de maintenir l</w:t>
      </w:r>
      <w:r w:rsidR="0066261A">
        <w:t>’</w:t>
      </w:r>
      <w:r>
        <w:t>efficacité du rôle essentiel de ces comités dans l</w:t>
      </w:r>
      <w:r w:rsidR="0066261A">
        <w:t>’</w:t>
      </w:r>
      <w:r>
        <w:t>orientation stratégique de l</w:t>
      </w:r>
      <w:r w:rsidR="0066261A">
        <w:t>’</w:t>
      </w:r>
      <w:r>
        <w:t>UPOV.</w:t>
      </w:r>
    </w:p>
    <w:p w14:paraId="11DF8EDB" w14:textId="0A8707B7" w:rsidR="00452FC5" w:rsidRPr="004B65F2" w:rsidRDefault="00452FC5" w:rsidP="00192D83">
      <w:pPr>
        <w:pStyle w:val="ONUME"/>
        <w:numPr>
          <w:ilvl w:val="0"/>
          <w:numId w:val="4"/>
        </w:numPr>
        <w:spacing w:after="200"/>
        <w:ind w:left="1134" w:hanging="567"/>
      </w:pPr>
      <w:r>
        <w:lastRenderedPageBreak/>
        <w:t xml:space="preserve">Les activités à risque accepté </w:t>
      </w:r>
      <w:r>
        <w:rPr>
          <w:b/>
          <w:color w:val="4BACC6" w:themeColor="accent5"/>
        </w:rPr>
        <w:t xml:space="preserve">moyen </w:t>
      </w:r>
      <w:r>
        <w:t>(</w:t>
      </w:r>
      <w:r w:rsidR="00ED14C5">
        <w:t>p. </w:t>
      </w:r>
      <w:r>
        <w:t xml:space="preserve">ex., le résultat escompté 3.1 – Élaboration des services </w:t>
      </w:r>
      <w:r w:rsidR="00623D9E">
        <w:t>UPOV </w:t>
      </w:r>
      <w:r>
        <w:t>e</w:t>
      </w:r>
      <w:r w:rsidR="00192D83">
        <w:noBreakHyphen/>
      </w:r>
      <w:r>
        <w:t>PVP) concilient approches innovantes et stabilité dans le développement numériq</w:t>
      </w:r>
      <w:r w:rsidR="00192D83">
        <w:t>ue.  Ce</w:t>
      </w:r>
      <w:r>
        <w:t>la signifie que de nouveaux modules UPOV e</w:t>
      </w:r>
      <w:r w:rsidR="00192D83">
        <w:noBreakHyphen/>
      </w:r>
      <w:r>
        <w:t>PVP et des plateformes de coopération peuvent être mis en place tout en garantissant une intégration sans heurt dans les systèmes existan</w:t>
      </w:r>
      <w:r w:rsidR="00192D83">
        <w:t>ts.  Pa</w:t>
      </w:r>
      <w:r>
        <w:t>r exemple, lors de la mise en œuvre des plateformes de coopération dans l</w:t>
      </w:r>
      <w:r w:rsidR="0066261A">
        <w:t>’</w:t>
      </w:r>
      <w:r>
        <w:t>examen de la distinction, de l</w:t>
      </w:r>
      <w:r w:rsidR="0066261A">
        <w:t>’</w:t>
      </w:r>
      <w:r>
        <w:t>homogénéité et de la stabilité (DHS) et de l</w:t>
      </w:r>
      <w:r w:rsidR="0066261A">
        <w:t>’</w:t>
      </w:r>
      <w:r>
        <w:t>élargissement de la couverture d</w:t>
      </w:r>
      <w:r w:rsidR="0066261A">
        <w:t>’</w:t>
      </w:r>
      <w:r>
        <w:t>UPOV PRISMA, les changements apportés sont coordonnés afin de garantir la fiabilité du système.</w:t>
      </w:r>
    </w:p>
    <w:p w14:paraId="20C52912" w14:textId="418A8F55" w:rsidR="0066261A" w:rsidRDefault="00452FC5" w:rsidP="00192D83">
      <w:pPr>
        <w:pStyle w:val="ONUME"/>
        <w:numPr>
          <w:ilvl w:val="0"/>
          <w:numId w:val="4"/>
        </w:numPr>
        <w:spacing w:after="200"/>
        <w:ind w:left="1134" w:hanging="567"/>
      </w:pPr>
      <w:r>
        <w:t xml:space="preserve">Les activités à risque accepté </w:t>
      </w:r>
      <w:r>
        <w:rPr>
          <w:b/>
          <w:color w:val="5F497A" w:themeColor="accent4" w:themeShade="BF"/>
        </w:rPr>
        <w:t>élevé</w:t>
      </w:r>
      <w:r>
        <w:t xml:space="preserve"> (</w:t>
      </w:r>
      <w:r w:rsidR="00ED14C5">
        <w:t>p. </w:t>
      </w:r>
      <w:r>
        <w:t>ex.</w:t>
      </w:r>
      <w:r w:rsidR="00ED14C5">
        <w:t> </w:t>
      </w:r>
      <w:r>
        <w:t>le résultat escompté 2.1 – Sensibilisation accrue au rôle du système de l</w:t>
      </w:r>
      <w:r w:rsidR="0066261A">
        <w:t>’</w:t>
      </w:r>
      <w:r>
        <w:t>UPOV) testent des approches de communication innovantes, telles que la création de vidéos et de contenus attrayants pour les médias sociaux, l</w:t>
      </w:r>
      <w:r w:rsidR="0066261A">
        <w:t>’</w:t>
      </w:r>
      <w:r>
        <w:t>exploration d</w:t>
      </w:r>
      <w:r w:rsidR="0066261A">
        <w:t>’</w:t>
      </w:r>
      <w:r>
        <w:t>activités virtuelles pour un rayonnement plus large et l</w:t>
      </w:r>
      <w:r w:rsidR="0066261A">
        <w:t>’</w:t>
      </w:r>
      <w:r>
        <w:t>utilisation de la traduction automatique pour améliorer l</w:t>
      </w:r>
      <w:r w:rsidR="0066261A">
        <w:t>’</w:t>
      </w:r>
      <w:r>
        <w:t>accessibilité linguistique, tout en garantissant l</w:t>
      </w:r>
      <w:r w:rsidR="0066261A">
        <w:t>’</w:t>
      </w:r>
      <w:r>
        <w:t>exactitude des informations.</w:t>
      </w:r>
    </w:p>
    <w:p w14:paraId="1CD1180D" w14:textId="1EFB9857" w:rsidR="0066261A" w:rsidRDefault="00452FC5" w:rsidP="004C79D9">
      <w:pPr>
        <w:pStyle w:val="ONUME"/>
        <w:spacing w:after="200"/>
      </w:pPr>
      <w:r>
        <w:t>Dans la mise en œuvre de ses activités et de ses projets, l</w:t>
      </w:r>
      <w:r w:rsidR="0066261A">
        <w:t>’</w:t>
      </w:r>
      <w:r>
        <w:t>UPOV sera guidée par le niveau de risque accepté qui correspond au résultat escompté et veillera à prendre des décisions et des mesures correspondant aux limites de risque accepté.</w:t>
      </w:r>
    </w:p>
    <w:p w14:paraId="03F9F02D" w14:textId="5823C9E7" w:rsidR="0066261A" w:rsidRPr="00192D83" w:rsidRDefault="00452FC5" w:rsidP="00192D83">
      <w:pPr>
        <w:pStyle w:val="Heading1"/>
      </w:pPr>
      <w:r w:rsidRPr="00192D83">
        <w:t>R</w:t>
      </w:r>
      <w:r w:rsidR="00192D83" w:rsidRPr="00192D83">
        <w:t>évision</w:t>
      </w:r>
    </w:p>
    <w:p w14:paraId="1E644792" w14:textId="41B5673B" w:rsidR="00452FC5" w:rsidRPr="00F101BE" w:rsidRDefault="00452FC5" w:rsidP="004C79D9">
      <w:pPr>
        <w:pStyle w:val="ONUME"/>
        <w:spacing w:after="200"/>
      </w:pPr>
      <w:r>
        <w:t>La présente déclaration sera révisée et actualisée en fonction du cycle du plan de développement stratégique, avec la possibilité d</w:t>
      </w:r>
      <w:r w:rsidR="0066261A">
        <w:t>’</w:t>
      </w:r>
      <w:r>
        <w:t>une révision anticipée en cas de changements importants de la situation.</w:t>
      </w:r>
    </w:p>
    <w:p w14:paraId="4DFF24F9" w14:textId="069DC7C7" w:rsidR="009B440E" w:rsidRDefault="00050E16" w:rsidP="00CC2F4C">
      <w:pPr>
        <w:spacing w:before="720"/>
        <w:jc w:val="right"/>
      </w:pPr>
      <w:r w:rsidRPr="00C5280D">
        <w:t>[</w:t>
      </w:r>
      <w:r w:rsidR="00A706D3">
        <w:t xml:space="preserve">Fin </w:t>
      </w:r>
      <w:r w:rsidR="00CC2F4C">
        <w:t>de l</w:t>
      </w:r>
      <w:r w:rsidR="0066261A">
        <w:t>’</w:t>
      </w:r>
      <w:r w:rsidR="00CC2F4C">
        <w:t xml:space="preserve">annexe et </w:t>
      </w:r>
      <w:r w:rsidR="00A706D3">
        <w:t xml:space="preserve">du </w:t>
      </w:r>
      <w:r w:rsidRPr="00C5280D">
        <w:t>document]</w:t>
      </w:r>
    </w:p>
    <w:sectPr w:rsidR="009B440E" w:rsidSect="00D85C8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10" w:right="1134" w:bottom="851" w:left="1134" w:header="510" w:footer="52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E122" w14:textId="77777777" w:rsidR="00452FC5" w:rsidRDefault="00452FC5" w:rsidP="006655D3">
      <w:r>
        <w:separator/>
      </w:r>
    </w:p>
    <w:p w14:paraId="12A2E24B" w14:textId="77777777" w:rsidR="00452FC5" w:rsidRDefault="00452FC5" w:rsidP="006655D3"/>
    <w:p w14:paraId="0DD0245A" w14:textId="77777777" w:rsidR="00452FC5" w:rsidRDefault="00452FC5" w:rsidP="006655D3"/>
  </w:endnote>
  <w:endnote w:type="continuationSeparator" w:id="0">
    <w:p w14:paraId="353003BC" w14:textId="77777777" w:rsidR="00452FC5" w:rsidRDefault="00452FC5" w:rsidP="006655D3">
      <w:r>
        <w:separator/>
      </w:r>
    </w:p>
    <w:p w14:paraId="0E0C1E90" w14:textId="77777777" w:rsidR="00452FC5" w:rsidRPr="00294751" w:rsidRDefault="00452FC5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01FD36EF" w14:textId="77777777" w:rsidR="00452FC5" w:rsidRPr="00294751" w:rsidRDefault="00452FC5" w:rsidP="006655D3"/>
    <w:p w14:paraId="6A312046" w14:textId="77777777" w:rsidR="00452FC5" w:rsidRPr="00294751" w:rsidRDefault="00452FC5" w:rsidP="006655D3"/>
  </w:endnote>
  <w:endnote w:type="continuationNotice" w:id="1">
    <w:p w14:paraId="73C14048" w14:textId="77777777" w:rsidR="00452FC5" w:rsidRPr="00294751" w:rsidRDefault="00452FC5" w:rsidP="006655D3">
      <w:r w:rsidRPr="00294751">
        <w:t>[Suite de la note page suivante]</w:t>
      </w:r>
    </w:p>
    <w:p w14:paraId="57CC1200" w14:textId="77777777" w:rsidR="00452FC5" w:rsidRPr="00294751" w:rsidRDefault="00452FC5" w:rsidP="006655D3"/>
    <w:p w14:paraId="4ADB6FFA" w14:textId="77777777" w:rsidR="00452FC5" w:rsidRPr="00294751" w:rsidRDefault="00452FC5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6C78" w14:textId="4DC0720D" w:rsidR="00452FC5" w:rsidRDefault="00452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44D9" w14:textId="25ABE016" w:rsidR="00452FC5" w:rsidRDefault="00452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3A5" w14:textId="128F7C9A" w:rsidR="00452FC5" w:rsidRDefault="00452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D0FB" w14:textId="77777777" w:rsidR="00452FC5" w:rsidRDefault="00452FC5" w:rsidP="006655D3">
      <w:r>
        <w:separator/>
      </w:r>
    </w:p>
  </w:footnote>
  <w:footnote w:type="continuationSeparator" w:id="0">
    <w:p w14:paraId="27B255A5" w14:textId="77777777" w:rsidR="00452FC5" w:rsidRDefault="00452FC5" w:rsidP="006655D3">
      <w:r>
        <w:separator/>
      </w:r>
    </w:p>
  </w:footnote>
  <w:footnote w:type="continuationNotice" w:id="1">
    <w:p w14:paraId="49972EC6" w14:textId="77777777" w:rsidR="00452FC5" w:rsidRPr="00AB530F" w:rsidRDefault="00452FC5" w:rsidP="00AB530F">
      <w:pPr>
        <w:pStyle w:val="Footer"/>
      </w:pPr>
    </w:p>
  </w:footnote>
  <w:footnote w:id="2">
    <w:p w14:paraId="1046F315" w14:textId="04631D75" w:rsidR="00452FC5" w:rsidRDefault="00452FC5" w:rsidP="00D85C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Disponible à l</w:t>
      </w:r>
      <w:r w:rsidR="00E22101">
        <w:t>’</w:t>
      </w:r>
      <w:r>
        <w:t>adresse https://unsceb.org/rmtf.</w:t>
      </w:r>
    </w:p>
  </w:footnote>
  <w:footnote w:id="3">
    <w:p w14:paraId="0CE81AB7" w14:textId="6221B938" w:rsidR="00452FC5" w:rsidRDefault="00452FC5" w:rsidP="00D85C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COSO</w:t>
      </w:r>
      <w:r w:rsidR="00E22101">
        <w:t> :</w:t>
      </w:r>
      <w:r>
        <w:t xml:space="preserve"> Le management des risques de l</w:t>
      </w:r>
      <w:r w:rsidR="00E22101">
        <w:t>’</w:t>
      </w:r>
      <w:r>
        <w:t xml:space="preserve">entreprise </w:t>
      </w:r>
      <w:r w:rsidR="00401383">
        <w:t>–</w:t>
      </w:r>
      <w:r>
        <w:t xml:space="preserve"> Une démarche intégrée à la stratégie et à la performance</w:t>
      </w:r>
    </w:p>
  </w:footnote>
  <w:footnote w:id="4">
    <w:p w14:paraId="3F5586CB" w14:textId="137BB353" w:rsidR="00452FC5" w:rsidRDefault="00452FC5" w:rsidP="00D85C86">
      <w:pPr>
        <w:pStyle w:val="FootnoteText"/>
      </w:pPr>
      <w:r>
        <w:rPr>
          <w:rStyle w:val="FootnoteReference"/>
        </w:rPr>
        <w:footnoteRef/>
      </w:r>
      <w:r>
        <w:tab/>
        <w:t>Le risque résiduel est le risque enregistré qui subsiste après avoir tenu compte des mesures d</w:t>
      </w:r>
      <w:r w:rsidR="00E22101">
        <w:t>’</w:t>
      </w:r>
      <w:r>
        <w:t>atténuation et des mécanismes de contrôle mis en œuvre.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E8F2" w14:textId="77777777" w:rsidR="00452FC5" w:rsidRPr="00C5280D" w:rsidRDefault="00452FC5" w:rsidP="00EB048E">
    <w:pPr>
      <w:pStyle w:val="Header"/>
      <w:rPr>
        <w:rStyle w:val="PageNumber"/>
      </w:rPr>
    </w:pPr>
    <w:r>
      <w:rPr>
        <w:rStyle w:val="PageNumber"/>
      </w:rPr>
      <w:t>C/59/15</w:t>
    </w:r>
  </w:p>
  <w:p w14:paraId="3C956587" w14:textId="77777777" w:rsidR="00452FC5" w:rsidRPr="00C5280D" w:rsidRDefault="00452FC5" w:rsidP="00EB048E">
    <w:pPr>
      <w:pStyle w:val="Header"/>
    </w:pPr>
    <w:r>
      <w:t>page </w:t>
    </w:r>
    <w:r w:rsidRPr="00C5280D">
      <w:rPr>
        <w:rStyle w:val="PageNumber"/>
      </w:rPr>
      <w:fldChar w:fldCharType="begin"/>
    </w:r>
    <w:r w:rsidRPr="00C5280D">
      <w:rPr>
        <w:rStyle w:val="PageNumber"/>
      </w:rPr>
      <w:instrText xml:space="preserve"> PAGE </w:instrText>
    </w:r>
    <w:r w:rsidRPr="00C5280D">
      <w:rPr>
        <w:rStyle w:val="PageNumber"/>
      </w:rPr>
      <w:fldChar w:fldCharType="separate"/>
    </w:r>
    <w:r>
      <w:rPr>
        <w:rStyle w:val="PageNumber"/>
      </w:rPr>
      <w:t>2</w:t>
    </w:r>
    <w:r w:rsidRPr="00C5280D">
      <w:rPr>
        <w:rStyle w:val="PageNumber"/>
      </w:rPr>
      <w:fldChar w:fldCharType="end"/>
    </w:r>
  </w:p>
  <w:p w14:paraId="4A64CF2C" w14:textId="77777777" w:rsidR="00452FC5" w:rsidRPr="00C5280D" w:rsidRDefault="00452FC5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8F32" w14:textId="77777777" w:rsidR="00CC2F4C" w:rsidRPr="00D85C86" w:rsidRDefault="00CC2F4C" w:rsidP="00CC2F4C">
    <w:pPr>
      <w:pStyle w:val="Header"/>
      <w:rPr>
        <w:rStyle w:val="PageNumber"/>
      </w:rPr>
    </w:pPr>
    <w:r w:rsidRPr="00D85C86">
      <w:rPr>
        <w:rStyle w:val="PageNumber"/>
      </w:rPr>
      <w:t>C/59/15</w:t>
    </w:r>
  </w:p>
  <w:p w14:paraId="42C49C01" w14:textId="50BF71EE" w:rsidR="00182B99" w:rsidRPr="00D85C86" w:rsidRDefault="00CC2F4C" w:rsidP="00CC2F4C">
    <w:pPr>
      <w:pStyle w:val="Header"/>
      <w:spacing w:after="400"/>
    </w:pPr>
    <w:r w:rsidRPr="00D85C86">
      <w:t>Annexe, page </w:t>
    </w:r>
    <w:r w:rsidRPr="00D85C86">
      <w:rPr>
        <w:rStyle w:val="PageNumber"/>
      </w:rPr>
      <w:fldChar w:fldCharType="begin"/>
    </w:r>
    <w:r w:rsidRPr="00D85C86">
      <w:rPr>
        <w:rStyle w:val="PageNumber"/>
      </w:rPr>
      <w:instrText xml:space="preserve"> PAGE </w:instrText>
    </w:r>
    <w:r w:rsidRPr="00D85C86">
      <w:rPr>
        <w:rStyle w:val="PageNumber"/>
      </w:rPr>
      <w:fldChar w:fldCharType="separate"/>
    </w:r>
    <w:r w:rsidRPr="00D85C86">
      <w:rPr>
        <w:rStyle w:val="PageNumber"/>
      </w:rPr>
      <w:t>3</w:t>
    </w:r>
    <w:r w:rsidRPr="00D85C86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1B1B" w14:textId="77777777" w:rsidR="00CC2F4C" w:rsidRPr="00D85C86" w:rsidRDefault="00CC2F4C" w:rsidP="00D85C86">
    <w:pPr>
      <w:jc w:val="center"/>
    </w:pPr>
    <w:r w:rsidRPr="00D85C86">
      <w:t>C/59/15</w:t>
    </w:r>
  </w:p>
  <w:p w14:paraId="5ABC651D" w14:textId="77777777" w:rsidR="00D85C86" w:rsidRPr="00D85C86" w:rsidRDefault="00D85C86" w:rsidP="00D85C86">
    <w:pPr>
      <w:jc w:val="center"/>
    </w:pPr>
  </w:p>
  <w:p w14:paraId="22BDED7A" w14:textId="5D2EB571" w:rsidR="00CC2F4C" w:rsidRPr="00D85C86" w:rsidRDefault="00CC2F4C" w:rsidP="00D85C86">
    <w:pPr>
      <w:jc w:val="center"/>
    </w:pPr>
    <w:r w:rsidRPr="00D85C86">
      <w:t>ANNEXE</w:t>
    </w:r>
  </w:p>
  <w:p w14:paraId="31AC58B9" w14:textId="77777777" w:rsidR="00D85C86" w:rsidRPr="00D85C86" w:rsidRDefault="00D85C86" w:rsidP="00D85C86">
    <w:pPr>
      <w:jc w:val="center"/>
    </w:pPr>
  </w:p>
  <w:p w14:paraId="6296CC29" w14:textId="77777777" w:rsidR="00D85C86" w:rsidRPr="00D85C86" w:rsidRDefault="00D85C86" w:rsidP="00D85C8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E81"/>
    <w:multiLevelType w:val="multilevel"/>
    <w:tmpl w:val="D7B27EF2"/>
    <w:lvl w:ilvl="0">
      <w:start w:val="1"/>
      <w:numFmt w:val="bullet"/>
      <w:lvlText w:val="o"/>
      <w:lvlJc w:val="left"/>
      <w:pPr>
        <w:tabs>
          <w:tab w:val="num" w:pos="1134"/>
        </w:tabs>
        <w:ind w:left="567" w:firstLine="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611"/>
        </w:tabs>
        <w:ind w:left="1044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78"/>
        </w:tabs>
        <w:ind w:left="1611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45"/>
        </w:tabs>
        <w:ind w:left="217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12"/>
        </w:tabs>
        <w:ind w:left="274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879"/>
        </w:tabs>
        <w:ind w:left="331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387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12"/>
        </w:tabs>
        <w:ind w:left="444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579"/>
        </w:tabs>
        <w:ind w:left="501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C7DE0C7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i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044"/>
        </w:tabs>
        <w:ind w:left="477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611"/>
        </w:tabs>
        <w:ind w:left="1044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78"/>
        </w:tabs>
        <w:ind w:left="161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745"/>
        </w:tabs>
        <w:ind w:left="217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312"/>
        </w:tabs>
        <w:ind w:left="274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879"/>
        </w:tabs>
        <w:ind w:left="331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445"/>
        </w:tabs>
        <w:ind w:left="387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012"/>
        </w:tabs>
        <w:ind w:left="4445" w:firstLine="0"/>
      </w:pPr>
      <w:rPr>
        <w:rFonts w:hint="default"/>
      </w:rPr>
    </w:lvl>
  </w:abstractNum>
  <w:abstractNum w:abstractNumId="2" w15:restartNumberingAfterBreak="0">
    <w:nsid w:val="0B461E41"/>
    <w:multiLevelType w:val="hybridMultilevel"/>
    <w:tmpl w:val="CD7C8BC8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5D514A"/>
    <w:multiLevelType w:val="hybridMultilevel"/>
    <w:tmpl w:val="356E07DA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50062078">
    <w:abstractNumId w:val="1"/>
  </w:num>
  <w:num w:numId="2" w16cid:durableId="699664359">
    <w:abstractNumId w:val="0"/>
  </w:num>
  <w:num w:numId="3" w16cid:durableId="1737972082">
    <w:abstractNumId w:val="3"/>
  </w:num>
  <w:num w:numId="4" w16cid:durableId="578715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C5"/>
    <w:rsid w:val="00010CF3"/>
    <w:rsid w:val="00011E27"/>
    <w:rsid w:val="000148BC"/>
    <w:rsid w:val="00024AB8"/>
    <w:rsid w:val="00030854"/>
    <w:rsid w:val="00036028"/>
    <w:rsid w:val="00044642"/>
    <w:rsid w:val="000446B9"/>
    <w:rsid w:val="00047E21"/>
    <w:rsid w:val="00050E16"/>
    <w:rsid w:val="00085505"/>
    <w:rsid w:val="000C4E25"/>
    <w:rsid w:val="000C7021"/>
    <w:rsid w:val="000D6BBC"/>
    <w:rsid w:val="000D7780"/>
    <w:rsid w:val="000E636A"/>
    <w:rsid w:val="000F2F11"/>
    <w:rsid w:val="00105929"/>
    <w:rsid w:val="00110C36"/>
    <w:rsid w:val="001131D5"/>
    <w:rsid w:val="00141DB8"/>
    <w:rsid w:val="00172084"/>
    <w:rsid w:val="0017474A"/>
    <w:rsid w:val="001758C6"/>
    <w:rsid w:val="00182B99"/>
    <w:rsid w:val="00192D83"/>
    <w:rsid w:val="001E537D"/>
    <w:rsid w:val="001F3A67"/>
    <w:rsid w:val="0021332C"/>
    <w:rsid w:val="00213982"/>
    <w:rsid w:val="00235CD2"/>
    <w:rsid w:val="0024416D"/>
    <w:rsid w:val="00271911"/>
    <w:rsid w:val="002800A0"/>
    <w:rsid w:val="002801B3"/>
    <w:rsid w:val="00281060"/>
    <w:rsid w:val="002940E8"/>
    <w:rsid w:val="00294751"/>
    <w:rsid w:val="002A065A"/>
    <w:rsid w:val="002A6E50"/>
    <w:rsid w:val="002B4298"/>
    <w:rsid w:val="002C256A"/>
    <w:rsid w:val="002F075E"/>
    <w:rsid w:val="00305A7F"/>
    <w:rsid w:val="003152FE"/>
    <w:rsid w:val="00327436"/>
    <w:rsid w:val="00327BBA"/>
    <w:rsid w:val="00337C0A"/>
    <w:rsid w:val="00344BD6"/>
    <w:rsid w:val="0035084F"/>
    <w:rsid w:val="0035528D"/>
    <w:rsid w:val="00361821"/>
    <w:rsid w:val="00361E9E"/>
    <w:rsid w:val="003A028E"/>
    <w:rsid w:val="003C7FBE"/>
    <w:rsid w:val="003D227C"/>
    <w:rsid w:val="003D2B4D"/>
    <w:rsid w:val="003E39A6"/>
    <w:rsid w:val="00401383"/>
    <w:rsid w:val="0040557F"/>
    <w:rsid w:val="00444A88"/>
    <w:rsid w:val="00452FC5"/>
    <w:rsid w:val="00474DA4"/>
    <w:rsid w:val="00476B4D"/>
    <w:rsid w:val="004805FA"/>
    <w:rsid w:val="004935D2"/>
    <w:rsid w:val="004B1215"/>
    <w:rsid w:val="004C38BE"/>
    <w:rsid w:val="004C5AE3"/>
    <w:rsid w:val="004C79D9"/>
    <w:rsid w:val="004D047D"/>
    <w:rsid w:val="004F1E9E"/>
    <w:rsid w:val="004F305A"/>
    <w:rsid w:val="00512164"/>
    <w:rsid w:val="00520297"/>
    <w:rsid w:val="005338F9"/>
    <w:rsid w:val="0054281C"/>
    <w:rsid w:val="00544581"/>
    <w:rsid w:val="00545E42"/>
    <w:rsid w:val="0055268D"/>
    <w:rsid w:val="00576BE4"/>
    <w:rsid w:val="005A400A"/>
    <w:rsid w:val="005C38DC"/>
    <w:rsid w:val="005D1417"/>
    <w:rsid w:val="005E7EA6"/>
    <w:rsid w:val="005F7B92"/>
    <w:rsid w:val="00612379"/>
    <w:rsid w:val="006153B6"/>
    <w:rsid w:val="0061555F"/>
    <w:rsid w:val="00623D9E"/>
    <w:rsid w:val="00636CA6"/>
    <w:rsid w:val="00641200"/>
    <w:rsid w:val="00645CA8"/>
    <w:rsid w:val="0066261A"/>
    <w:rsid w:val="006655D3"/>
    <w:rsid w:val="00667404"/>
    <w:rsid w:val="006818B1"/>
    <w:rsid w:val="00687EB4"/>
    <w:rsid w:val="00695C56"/>
    <w:rsid w:val="006A5CDE"/>
    <w:rsid w:val="006A644A"/>
    <w:rsid w:val="006B17D2"/>
    <w:rsid w:val="006C224E"/>
    <w:rsid w:val="006D780A"/>
    <w:rsid w:val="0071271E"/>
    <w:rsid w:val="00714E23"/>
    <w:rsid w:val="00732DEC"/>
    <w:rsid w:val="00735BD5"/>
    <w:rsid w:val="00751613"/>
    <w:rsid w:val="007556F6"/>
    <w:rsid w:val="00760EEF"/>
    <w:rsid w:val="00777314"/>
    <w:rsid w:val="00777EE5"/>
    <w:rsid w:val="0078218B"/>
    <w:rsid w:val="00784836"/>
    <w:rsid w:val="0079023E"/>
    <w:rsid w:val="007924B4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211B5"/>
    <w:rsid w:val="0082296E"/>
    <w:rsid w:val="00824099"/>
    <w:rsid w:val="00846D7C"/>
    <w:rsid w:val="00864C55"/>
    <w:rsid w:val="00867AC1"/>
    <w:rsid w:val="00890DF8"/>
    <w:rsid w:val="008A743F"/>
    <w:rsid w:val="008C0970"/>
    <w:rsid w:val="008D0BC5"/>
    <w:rsid w:val="008D2CF7"/>
    <w:rsid w:val="00900C26"/>
    <w:rsid w:val="0090197F"/>
    <w:rsid w:val="00903242"/>
    <w:rsid w:val="00906DDC"/>
    <w:rsid w:val="00934E09"/>
    <w:rsid w:val="00936253"/>
    <w:rsid w:val="00940D46"/>
    <w:rsid w:val="00952DD4"/>
    <w:rsid w:val="00965AE7"/>
    <w:rsid w:val="00970FED"/>
    <w:rsid w:val="00992D82"/>
    <w:rsid w:val="00997029"/>
    <w:rsid w:val="009A7339"/>
    <w:rsid w:val="009B440E"/>
    <w:rsid w:val="009D690D"/>
    <w:rsid w:val="009E65B6"/>
    <w:rsid w:val="00A24C10"/>
    <w:rsid w:val="00A42AC3"/>
    <w:rsid w:val="00A430CF"/>
    <w:rsid w:val="00A54309"/>
    <w:rsid w:val="00A62154"/>
    <w:rsid w:val="00A706D3"/>
    <w:rsid w:val="00A71548"/>
    <w:rsid w:val="00A90DB8"/>
    <w:rsid w:val="00AB2B93"/>
    <w:rsid w:val="00AB530F"/>
    <w:rsid w:val="00AB5931"/>
    <w:rsid w:val="00AB7E5B"/>
    <w:rsid w:val="00AC2883"/>
    <w:rsid w:val="00AE0EF1"/>
    <w:rsid w:val="00AE2937"/>
    <w:rsid w:val="00B07301"/>
    <w:rsid w:val="00B11F3E"/>
    <w:rsid w:val="00B224DE"/>
    <w:rsid w:val="00B324D4"/>
    <w:rsid w:val="00B46575"/>
    <w:rsid w:val="00B61777"/>
    <w:rsid w:val="00B76433"/>
    <w:rsid w:val="00B84BBD"/>
    <w:rsid w:val="00B967FA"/>
    <w:rsid w:val="00BA43FB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C11B0"/>
    <w:rsid w:val="00CC2841"/>
    <w:rsid w:val="00CC2F4C"/>
    <w:rsid w:val="00CF1330"/>
    <w:rsid w:val="00CF7E36"/>
    <w:rsid w:val="00D3708D"/>
    <w:rsid w:val="00D40426"/>
    <w:rsid w:val="00D41B08"/>
    <w:rsid w:val="00D57C96"/>
    <w:rsid w:val="00D57D18"/>
    <w:rsid w:val="00D85C86"/>
    <w:rsid w:val="00D91203"/>
    <w:rsid w:val="00D95174"/>
    <w:rsid w:val="00DA2493"/>
    <w:rsid w:val="00DA4973"/>
    <w:rsid w:val="00DA6F36"/>
    <w:rsid w:val="00DB596E"/>
    <w:rsid w:val="00DB7773"/>
    <w:rsid w:val="00DC00EA"/>
    <w:rsid w:val="00DC3802"/>
    <w:rsid w:val="00DE20C8"/>
    <w:rsid w:val="00E07D87"/>
    <w:rsid w:val="00E22101"/>
    <w:rsid w:val="00E32F7E"/>
    <w:rsid w:val="00E5267B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B53E4"/>
    <w:rsid w:val="00ED14C5"/>
    <w:rsid w:val="00EE34DF"/>
    <w:rsid w:val="00EE6E70"/>
    <w:rsid w:val="00EF2F89"/>
    <w:rsid w:val="00F03E98"/>
    <w:rsid w:val="00F1237A"/>
    <w:rsid w:val="00F22CBD"/>
    <w:rsid w:val="00F272F1"/>
    <w:rsid w:val="00F45372"/>
    <w:rsid w:val="00F560F7"/>
    <w:rsid w:val="00F6334D"/>
    <w:rsid w:val="00FA49AB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78AA605"/>
  <w15:docId w15:val="{A40CE949-469E-45BE-9580-B119593C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6D3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192D83"/>
    <w:pPr>
      <w:keepNext/>
      <w:spacing w:before="200" w:after="200"/>
      <w:jc w:val="both"/>
      <w:outlineLvl w:val="0"/>
    </w:pPr>
    <w:rPr>
      <w:rFonts w:ascii="Arial" w:hAnsi="Arial"/>
      <w:b/>
      <w:bCs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A71548"/>
    <w:rPr>
      <w:rFonts w:ascii="Arial" w:hAnsi="Arial"/>
      <w:sz w:val="20"/>
      <w:lang w:val="fr-FR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D41B08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link w:val="FootnoteTextChar"/>
    <w:autoRedefine/>
    <w:uiPriority w:val="99"/>
    <w:rsid w:val="00D85C86"/>
    <w:pPr>
      <w:spacing w:before="60"/>
      <w:ind w:left="284" w:hanging="284"/>
      <w:jc w:val="both"/>
    </w:pPr>
    <w:rPr>
      <w:rFonts w:ascii="Arial" w:hAnsi="Arial"/>
      <w:sz w:val="16"/>
      <w:lang w:val="fr-FR"/>
    </w:rPr>
  </w:style>
  <w:style w:type="character" w:styleId="FootnoteReference">
    <w:name w:val="footnote reference"/>
    <w:basedOn w:val="DefaultParagraphFont"/>
    <w:uiPriority w:val="99"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903242"/>
    <w:pPr>
      <w:spacing w:after="600"/>
    </w:pPr>
    <w:rPr>
      <w:rFonts w:ascii="Arial" w:hAnsi="Arial"/>
      <w:i/>
      <w:iCs/>
      <w:color w:val="A6A6A6" w:themeColor="background1" w:themeShade="A6"/>
      <w:lang w:val="fr-FR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903242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A706D3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D41B08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D41B08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D41B08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D41B08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D41B08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customStyle="1" w:styleId="ONUME">
    <w:name w:val="ONUM E"/>
    <w:basedOn w:val="BodyText"/>
    <w:rsid w:val="00452FC5"/>
    <w:pPr>
      <w:numPr>
        <w:numId w:val="1"/>
      </w:numPr>
      <w:spacing w:after="240"/>
    </w:pPr>
    <w:rPr>
      <w:rFonts w:eastAsia="SimSun" w:cs="Arial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5C86"/>
    <w:rPr>
      <w:rFonts w:ascii="Arial" w:hAnsi="Arial"/>
      <w:sz w:val="16"/>
      <w:lang w:val="fr-FR"/>
    </w:rPr>
  </w:style>
  <w:style w:type="paragraph" w:styleId="Caption">
    <w:name w:val="caption"/>
    <w:basedOn w:val="Normal"/>
    <w:next w:val="Normal"/>
    <w:qFormat/>
    <w:rsid w:val="00452FC5"/>
    <w:pPr>
      <w:jc w:val="left"/>
    </w:pPr>
    <w:rPr>
      <w:rFonts w:eastAsia="SimSun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1121</Words>
  <Characters>6168</Characters>
  <Application>Microsoft Office Word</Application>
  <DocSecurity>0</DocSecurity>
  <Lines>137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C/59/15</vt:lpstr>
    </vt:vector>
  </TitlesOfParts>
  <Company>UPOV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C/59/15</dc:title>
  <dc:creator>LE GUEN Haude</dc:creator>
  <cp:lastModifiedBy>SANCHEZ VIZCAINO GOMEZ Rosa Maria</cp:lastModifiedBy>
  <cp:revision>8</cp:revision>
  <cp:lastPrinted>2016-11-22T15:41:00Z</cp:lastPrinted>
  <dcterms:created xsi:type="dcterms:W3CDTF">2025-08-29T16:10:00Z</dcterms:created>
  <dcterms:modified xsi:type="dcterms:W3CDTF">2025-09-19T12:18:00Z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2025-08-27T11:56:26Z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d3d6ab4d-5ad0-48ee-80a9-7e130348edee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</Properties>
</file>