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94516" w14:paraId="034FE6F8" w14:textId="77777777" w:rsidTr="00EB4E9C">
        <w:tc>
          <w:tcPr>
            <w:tcW w:w="6522" w:type="dxa"/>
          </w:tcPr>
          <w:p w14:paraId="4593AB40" w14:textId="77777777" w:rsidR="00DC3802" w:rsidRPr="00994516" w:rsidRDefault="00DC3802" w:rsidP="00AC2883">
            <w:r w:rsidRPr="00994516">
              <w:rPr>
                <w:noProof/>
              </w:rPr>
              <w:drawing>
                <wp:inline distT="0" distB="0" distL="0" distR="0" wp14:anchorId="0FBEA08A" wp14:editId="1F21876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D1D97A8" w14:textId="77777777" w:rsidR="00DC3802" w:rsidRPr="00994516" w:rsidRDefault="00A706D3" w:rsidP="00AC2883">
            <w:pPr>
              <w:pStyle w:val="Lettrine"/>
            </w:pPr>
            <w:r w:rsidRPr="00994516">
              <w:t>F</w:t>
            </w:r>
          </w:p>
        </w:tc>
      </w:tr>
      <w:tr w:rsidR="00DC3802" w:rsidRPr="00994516" w14:paraId="4E4541BF" w14:textId="77777777" w:rsidTr="00645CA8">
        <w:trPr>
          <w:trHeight w:val="219"/>
        </w:trPr>
        <w:tc>
          <w:tcPr>
            <w:tcW w:w="6522" w:type="dxa"/>
          </w:tcPr>
          <w:p w14:paraId="2B5C70E4" w14:textId="77777777" w:rsidR="00DC3802" w:rsidRPr="00994516" w:rsidRDefault="00DC3802" w:rsidP="00A706D3">
            <w:pPr>
              <w:pStyle w:val="upove"/>
            </w:pPr>
            <w:r w:rsidRPr="00994516">
              <w:t xml:space="preserve">Union </w:t>
            </w:r>
            <w:r w:rsidR="00A706D3" w:rsidRPr="00994516">
              <w:t>internationale pour la protection des obtentions végétales</w:t>
            </w:r>
          </w:p>
        </w:tc>
        <w:tc>
          <w:tcPr>
            <w:tcW w:w="3117" w:type="dxa"/>
          </w:tcPr>
          <w:p w14:paraId="1463A889" w14:textId="77777777" w:rsidR="00DC3802" w:rsidRPr="00994516" w:rsidRDefault="00DC3802" w:rsidP="00DA4973"/>
        </w:tc>
      </w:tr>
    </w:tbl>
    <w:p w14:paraId="51F81C25" w14:textId="77777777" w:rsidR="00DC3802" w:rsidRPr="00994516" w:rsidRDefault="00DC3802" w:rsidP="00DC3802"/>
    <w:p w14:paraId="365C9687" w14:textId="77777777" w:rsidR="00DA4973" w:rsidRPr="0099451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94516" w14:paraId="1EDDD292" w14:textId="77777777" w:rsidTr="00EB4E9C">
        <w:tc>
          <w:tcPr>
            <w:tcW w:w="6512" w:type="dxa"/>
          </w:tcPr>
          <w:p w14:paraId="19077FC7" w14:textId="77777777" w:rsidR="00EB4E9C" w:rsidRPr="00994516" w:rsidRDefault="00A706D3" w:rsidP="00AC2883">
            <w:pPr>
              <w:pStyle w:val="Sessiontc"/>
              <w:spacing w:line="240" w:lineRule="auto"/>
            </w:pPr>
            <w:r w:rsidRPr="00994516">
              <w:t>Comité technique</w:t>
            </w:r>
          </w:p>
          <w:p w14:paraId="4FBDBAC0" w14:textId="77777777" w:rsidR="00045980" w:rsidRPr="00994516" w:rsidRDefault="0079322E" w:rsidP="00910189">
            <w:pPr>
              <w:pStyle w:val="Sessiontcplacedate"/>
              <w:spacing w:before="0"/>
              <w:contextualSpacing w:val="0"/>
              <w:rPr>
                <w:b w:val="0"/>
              </w:rPr>
            </w:pPr>
            <w:r w:rsidRPr="00994516">
              <w:rPr>
                <w:b w:val="0"/>
              </w:rPr>
              <w:t>Soixant</w:t>
            </w:r>
            <w:r w:rsidR="00A706D3" w:rsidRPr="00994516">
              <w:rPr>
                <w:b w:val="0"/>
              </w:rPr>
              <w:t>ième s</w:t>
            </w:r>
            <w:r w:rsidR="00EB4E9C" w:rsidRPr="00994516">
              <w:rPr>
                <w:b w:val="0"/>
              </w:rPr>
              <w:t>ession</w:t>
            </w:r>
          </w:p>
          <w:p w14:paraId="3CB24033" w14:textId="665CD0B9" w:rsidR="00EB4E9C" w:rsidRPr="00994516" w:rsidRDefault="00EB4E9C" w:rsidP="00353974">
            <w:pPr>
              <w:pStyle w:val="Sessiontcplacedate"/>
              <w:rPr>
                <w:b w:val="0"/>
              </w:rPr>
            </w:pPr>
            <w:r w:rsidRPr="00994516">
              <w:rPr>
                <w:b w:val="0"/>
              </w:rPr>
              <w:t>Gen</w:t>
            </w:r>
            <w:r w:rsidR="00A706D3" w:rsidRPr="00994516">
              <w:rPr>
                <w:b w:val="0"/>
              </w:rPr>
              <w:t>è</w:t>
            </w:r>
            <w:r w:rsidRPr="00994516">
              <w:rPr>
                <w:b w:val="0"/>
              </w:rPr>
              <w:t>v</w:t>
            </w:r>
            <w:r w:rsidR="00A706D3" w:rsidRPr="00994516">
              <w:rPr>
                <w:b w:val="0"/>
              </w:rPr>
              <w:t>e</w:t>
            </w:r>
            <w:r w:rsidRPr="00994516">
              <w:rPr>
                <w:b w:val="0"/>
              </w:rPr>
              <w:t xml:space="preserve">, </w:t>
            </w:r>
            <w:r w:rsidR="00045980" w:rsidRPr="00994516">
              <w:rPr>
                <w:b w:val="0"/>
              </w:rPr>
              <w:t>2</w:t>
            </w:r>
            <w:r w:rsidR="0079322E" w:rsidRPr="00994516">
              <w:rPr>
                <w:b w:val="0"/>
              </w:rPr>
              <w:t>1</w:t>
            </w:r>
            <w:r w:rsidR="00897A4D" w:rsidRPr="00994516">
              <w:rPr>
                <w:b w:val="0"/>
              </w:rPr>
              <w:t xml:space="preserve"> et </w:t>
            </w:r>
            <w:r w:rsidR="00045980" w:rsidRPr="00994516">
              <w:rPr>
                <w:b w:val="0"/>
              </w:rPr>
              <w:t>2</w:t>
            </w:r>
            <w:r w:rsidR="0079322E" w:rsidRPr="00994516">
              <w:rPr>
                <w:b w:val="0"/>
              </w:rPr>
              <w:t>2</w:t>
            </w:r>
            <w:r w:rsidR="008569CE" w:rsidRPr="00994516">
              <w:rPr>
                <w:b w:val="0"/>
              </w:rPr>
              <w:t> </w:t>
            </w:r>
            <w:r w:rsidR="00897A4D" w:rsidRPr="00994516">
              <w:rPr>
                <w:b w:val="0"/>
              </w:rPr>
              <w:t>octobre</w:t>
            </w:r>
            <w:r w:rsidR="00A706D3" w:rsidRPr="00994516">
              <w:rPr>
                <w:b w:val="0"/>
              </w:rPr>
              <w:t xml:space="preserve"> </w:t>
            </w:r>
            <w:r w:rsidR="0079322E" w:rsidRPr="00994516">
              <w:rPr>
                <w:b w:val="0"/>
              </w:rPr>
              <w:t>2024</w:t>
            </w:r>
          </w:p>
          <w:p w14:paraId="1D55C650" w14:textId="77777777" w:rsidR="00910189" w:rsidRPr="00994516" w:rsidRDefault="00910189" w:rsidP="00353974">
            <w:pPr>
              <w:pStyle w:val="Sessiontcplacedate"/>
              <w:rPr>
                <w:b w:val="0"/>
              </w:rPr>
            </w:pPr>
          </w:p>
          <w:p w14:paraId="7EA5A01C" w14:textId="77777777" w:rsidR="00910189" w:rsidRPr="00994516" w:rsidRDefault="00910189" w:rsidP="00353974">
            <w:pPr>
              <w:pStyle w:val="Sessiontcplacedate"/>
            </w:pPr>
            <w:r w:rsidRPr="00994516">
              <w:t>Comité administratif et juridique</w:t>
            </w:r>
          </w:p>
          <w:p w14:paraId="32FC4317" w14:textId="77777777" w:rsidR="00910189" w:rsidRPr="00994516" w:rsidRDefault="00910189" w:rsidP="00353974">
            <w:pPr>
              <w:pStyle w:val="Sessiontcplacedate"/>
              <w:rPr>
                <w:b w:val="0"/>
              </w:rPr>
            </w:pPr>
            <w:r w:rsidRPr="00994516">
              <w:rPr>
                <w:b w:val="0"/>
              </w:rPr>
              <w:t>Quatre-vingt</w:t>
            </w:r>
            <w:r w:rsidR="0079322E" w:rsidRPr="00994516">
              <w:rPr>
                <w:b w:val="0"/>
              </w:rPr>
              <w:t>-un</w:t>
            </w:r>
            <w:r w:rsidRPr="00994516">
              <w:rPr>
                <w:b w:val="0"/>
              </w:rPr>
              <w:t>ième session</w:t>
            </w:r>
          </w:p>
          <w:p w14:paraId="12A69902" w14:textId="16DBC931" w:rsidR="00910189" w:rsidRPr="00994516" w:rsidRDefault="00910189" w:rsidP="00353974">
            <w:pPr>
              <w:pStyle w:val="Sessiontcplacedate"/>
              <w:rPr>
                <w:b w:val="0"/>
              </w:rPr>
            </w:pPr>
            <w:r w:rsidRPr="00994516">
              <w:rPr>
                <w:b w:val="0"/>
              </w:rPr>
              <w:t>Genève, 2</w:t>
            </w:r>
            <w:r w:rsidR="0079322E" w:rsidRPr="00994516">
              <w:rPr>
                <w:b w:val="0"/>
              </w:rPr>
              <w:t>3</w:t>
            </w:r>
            <w:r w:rsidR="008569CE" w:rsidRPr="00994516">
              <w:rPr>
                <w:b w:val="0"/>
              </w:rPr>
              <w:t> </w:t>
            </w:r>
            <w:r w:rsidRPr="00994516">
              <w:rPr>
                <w:b w:val="0"/>
              </w:rPr>
              <w:t xml:space="preserve">octobre </w:t>
            </w:r>
            <w:r w:rsidR="0079322E" w:rsidRPr="00994516">
              <w:rPr>
                <w:b w:val="0"/>
              </w:rPr>
              <w:t>2024</w:t>
            </w:r>
          </w:p>
          <w:p w14:paraId="1C48986D" w14:textId="77777777" w:rsidR="00910189" w:rsidRPr="00994516" w:rsidRDefault="00910189" w:rsidP="00353974">
            <w:pPr>
              <w:pStyle w:val="Sessiontcplacedate"/>
              <w:rPr>
                <w:b w:val="0"/>
              </w:rPr>
            </w:pPr>
          </w:p>
          <w:p w14:paraId="280C5801" w14:textId="77777777" w:rsidR="00910189" w:rsidRPr="00994516" w:rsidRDefault="00910189" w:rsidP="00910189">
            <w:pPr>
              <w:pStyle w:val="Sessiontcplacedate"/>
            </w:pPr>
            <w:r w:rsidRPr="00994516">
              <w:t>Conseil</w:t>
            </w:r>
          </w:p>
          <w:p w14:paraId="7C98DFFF" w14:textId="77777777" w:rsidR="00910189" w:rsidRPr="00994516" w:rsidRDefault="00910189" w:rsidP="00910189">
            <w:pPr>
              <w:pStyle w:val="Sessiontcplacedate"/>
              <w:rPr>
                <w:b w:val="0"/>
              </w:rPr>
            </w:pPr>
            <w:r w:rsidRPr="00994516">
              <w:rPr>
                <w:b w:val="0"/>
              </w:rPr>
              <w:t>Cinquante-</w:t>
            </w:r>
            <w:r w:rsidR="0079322E" w:rsidRPr="00994516">
              <w:rPr>
                <w:b w:val="0"/>
              </w:rPr>
              <w:t>hui</w:t>
            </w:r>
            <w:r w:rsidRPr="00994516">
              <w:rPr>
                <w:b w:val="0"/>
              </w:rPr>
              <w:t>tième session ordinaire</w:t>
            </w:r>
          </w:p>
          <w:p w14:paraId="0FD63E57" w14:textId="1B417F93" w:rsidR="00910189" w:rsidRPr="00994516" w:rsidRDefault="00910189" w:rsidP="00910189">
            <w:pPr>
              <w:pStyle w:val="Sessiontcplacedate"/>
              <w:rPr>
                <w:sz w:val="22"/>
              </w:rPr>
            </w:pPr>
            <w:r w:rsidRPr="00994516">
              <w:rPr>
                <w:b w:val="0"/>
              </w:rPr>
              <w:t>Genève, 2</w:t>
            </w:r>
            <w:r w:rsidR="0079322E" w:rsidRPr="00994516">
              <w:rPr>
                <w:b w:val="0"/>
              </w:rPr>
              <w:t>5</w:t>
            </w:r>
            <w:r w:rsidR="008569CE" w:rsidRPr="00994516">
              <w:rPr>
                <w:b w:val="0"/>
              </w:rPr>
              <w:t> </w:t>
            </w:r>
            <w:r w:rsidRPr="00994516">
              <w:rPr>
                <w:b w:val="0"/>
              </w:rPr>
              <w:t xml:space="preserve">octobre </w:t>
            </w:r>
            <w:r w:rsidR="0079322E" w:rsidRPr="00994516">
              <w:rPr>
                <w:b w:val="0"/>
              </w:rPr>
              <w:t>2024</w:t>
            </w:r>
          </w:p>
        </w:tc>
        <w:tc>
          <w:tcPr>
            <w:tcW w:w="3127" w:type="dxa"/>
          </w:tcPr>
          <w:p w14:paraId="29223718" w14:textId="47B56781" w:rsidR="00EB4E9C" w:rsidRPr="00994516" w:rsidRDefault="00910189" w:rsidP="003C7FBE">
            <w:pPr>
              <w:pStyle w:val="Doccode"/>
              <w:rPr>
                <w:lang w:val="fr-FR"/>
              </w:rPr>
            </w:pPr>
            <w:r w:rsidRPr="00994516">
              <w:rPr>
                <w:lang w:val="fr-FR"/>
              </w:rPr>
              <w:t>SESSIONS</w:t>
            </w:r>
            <w:r w:rsidR="0079322E" w:rsidRPr="00994516">
              <w:rPr>
                <w:lang w:val="fr-FR"/>
              </w:rPr>
              <w:t>/2024</w:t>
            </w:r>
            <w:r w:rsidR="00EB4E9C" w:rsidRPr="00994516">
              <w:rPr>
                <w:lang w:val="fr-FR"/>
              </w:rPr>
              <w:t>/</w:t>
            </w:r>
            <w:r w:rsidR="00435487" w:rsidRPr="00994516">
              <w:rPr>
                <w:lang w:val="fr-FR"/>
              </w:rPr>
              <w:t>2</w:t>
            </w:r>
          </w:p>
          <w:p w14:paraId="20A862FF" w14:textId="77777777" w:rsidR="00EB4E9C" w:rsidRPr="00994516" w:rsidRDefault="00EB4E9C" w:rsidP="003C7FBE">
            <w:pPr>
              <w:pStyle w:val="Docoriginal"/>
            </w:pPr>
            <w:r w:rsidRPr="00994516">
              <w:t>Original:</w:t>
            </w:r>
            <w:r w:rsidRPr="00994516">
              <w:rPr>
                <w:b w:val="0"/>
                <w:spacing w:val="0"/>
              </w:rPr>
              <w:t xml:space="preserve">  </w:t>
            </w:r>
            <w:r w:rsidR="00A706D3" w:rsidRPr="00994516">
              <w:rPr>
                <w:b w:val="0"/>
                <w:spacing w:val="0"/>
              </w:rPr>
              <w:t>anglais</w:t>
            </w:r>
          </w:p>
          <w:p w14:paraId="76EA8ADA" w14:textId="6258C237" w:rsidR="00EB4E9C" w:rsidRPr="00994516" w:rsidRDefault="00EB4E9C" w:rsidP="00A2300A">
            <w:pPr>
              <w:pStyle w:val="Docoriginal"/>
            </w:pPr>
            <w:r w:rsidRPr="00994516">
              <w:t>Date:</w:t>
            </w:r>
            <w:r w:rsidR="00897A4D" w:rsidRPr="00994516">
              <w:rPr>
                <w:b w:val="0"/>
                <w:spacing w:val="0"/>
              </w:rPr>
              <w:t xml:space="preserve">  </w:t>
            </w:r>
            <w:r w:rsidR="00397336" w:rsidRPr="00994516">
              <w:rPr>
                <w:b w:val="0"/>
                <w:spacing w:val="0"/>
              </w:rPr>
              <w:t>5</w:t>
            </w:r>
            <w:r w:rsidR="00435487" w:rsidRPr="00994516">
              <w:rPr>
                <w:b w:val="0"/>
                <w:spacing w:val="0"/>
              </w:rPr>
              <w:t> septembre</w:t>
            </w:r>
            <w:r w:rsidR="00897A4D" w:rsidRPr="00994516">
              <w:rPr>
                <w:b w:val="0"/>
                <w:spacing w:val="0"/>
              </w:rPr>
              <w:t xml:space="preserve"> </w:t>
            </w:r>
            <w:r w:rsidR="0079322E" w:rsidRPr="00994516">
              <w:rPr>
                <w:b w:val="0"/>
                <w:spacing w:val="0"/>
              </w:rPr>
              <w:t>2024</w:t>
            </w:r>
          </w:p>
        </w:tc>
      </w:tr>
    </w:tbl>
    <w:p w14:paraId="3EE3EACE" w14:textId="3F597A05" w:rsidR="000D7780" w:rsidRPr="00994516" w:rsidRDefault="00435487" w:rsidP="006A644A">
      <w:pPr>
        <w:pStyle w:val="Titleofdoc0"/>
      </w:pPr>
      <w:r w:rsidRPr="00994516">
        <w:t>ÉLABORATION D’ORIENTATIONS ET DOCUMENTS PROPOSÉS POUR ADOPTION PAR LE CONSEIL</w:t>
      </w:r>
    </w:p>
    <w:p w14:paraId="48B3AA6A" w14:textId="77777777" w:rsidR="006A644A" w:rsidRPr="00994516" w:rsidRDefault="00AE0EF1" w:rsidP="006A644A">
      <w:pPr>
        <w:pStyle w:val="preparedby1"/>
        <w:jc w:val="left"/>
      </w:pPr>
      <w:r w:rsidRPr="00994516">
        <w:t xml:space="preserve">Document </w:t>
      </w:r>
      <w:r w:rsidR="00A706D3" w:rsidRPr="00994516">
        <w:t>établi par le Bureau de l’Union</w:t>
      </w:r>
    </w:p>
    <w:p w14:paraId="2F9D8C96" w14:textId="0EFD8E44" w:rsidR="00050E16" w:rsidRPr="00994516" w:rsidRDefault="00A706D3" w:rsidP="006A644A">
      <w:pPr>
        <w:pStyle w:val="Disclaimer"/>
      </w:pPr>
      <w:r w:rsidRPr="00994516">
        <w:t>Avertissement</w:t>
      </w:r>
      <w:r w:rsidR="008569CE" w:rsidRPr="00994516">
        <w:t> </w:t>
      </w:r>
      <w:r w:rsidRPr="00994516">
        <w:t>: le présent document ne représente pas les principes ou les orientations de l’UPOV</w:t>
      </w:r>
    </w:p>
    <w:p w14:paraId="45DA6051" w14:textId="77777777" w:rsidR="00435487" w:rsidRPr="00994516" w:rsidRDefault="00435487" w:rsidP="00921574">
      <w:pPr>
        <w:pStyle w:val="Heading1"/>
        <w:rPr>
          <w:lang w:val="fr-FR"/>
        </w:rPr>
      </w:pPr>
      <w:bookmarkStart w:id="0" w:name="_Toc177401370"/>
      <w:r w:rsidRPr="00994516">
        <w:rPr>
          <w:lang w:val="fr-FR"/>
        </w:rPr>
        <w:t>RÉSUMÉ</w:t>
      </w:r>
      <w:bookmarkEnd w:id="0"/>
    </w:p>
    <w:p w14:paraId="65ADEDBF" w14:textId="77777777" w:rsidR="00435487" w:rsidRPr="00994516" w:rsidRDefault="00435487" w:rsidP="00435487"/>
    <w:p w14:paraId="35F17B36" w14:textId="0AE3C40E" w:rsidR="00435487" w:rsidRPr="00994516" w:rsidRDefault="006466EC" w:rsidP="00964D6A">
      <w:pPr>
        <w:tabs>
          <w:tab w:val="left" w:pos="567"/>
        </w:tabs>
      </w:pPr>
      <w:r w:rsidRPr="00994516">
        <w:fldChar w:fldCharType="begin"/>
      </w:r>
      <w:r w:rsidRPr="00994516">
        <w:instrText xml:space="preserve"> AUTONUM  </w:instrText>
      </w:r>
      <w:r w:rsidRPr="00994516">
        <w:fldChar w:fldCharType="end"/>
      </w:r>
      <w:r w:rsidRPr="00994516">
        <w:tab/>
      </w:r>
      <w:r w:rsidR="00435487" w:rsidRPr="00994516">
        <w:t>L’objet du présent document est de rendre compte des éléments nouveaux et d’inviter le Conseil, le</w:t>
      </w:r>
      <w:r w:rsidR="00964D6A" w:rsidRPr="00994516">
        <w:t xml:space="preserve"> </w:t>
      </w:r>
      <w:r w:rsidR="00435487" w:rsidRPr="00994516">
        <w:t>Comité technique (TC) et le Comité administratif et juridique (CAJ) à examiner les questions pertinentes et/ou les documents soumis pour adoption en 2024.</w:t>
      </w:r>
    </w:p>
    <w:p w14:paraId="0C109A8A" w14:textId="77777777" w:rsidR="00435487" w:rsidRPr="00994516" w:rsidRDefault="00435487" w:rsidP="00435487"/>
    <w:p w14:paraId="74056464" w14:textId="54F3B657" w:rsidR="00435487" w:rsidRPr="00994516" w:rsidRDefault="006466EC" w:rsidP="0054738C">
      <w:pPr>
        <w:tabs>
          <w:tab w:val="left" w:pos="567"/>
        </w:tabs>
      </w:pPr>
      <w:r w:rsidRPr="00994516">
        <w:fldChar w:fldCharType="begin"/>
      </w:r>
      <w:r w:rsidRPr="00994516">
        <w:instrText xml:space="preserve"> AUTONUM  </w:instrText>
      </w:r>
      <w:r w:rsidRPr="00994516">
        <w:fldChar w:fldCharType="end"/>
      </w:r>
      <w:r w:rsidR="00435487" w:rsidRPr="00994516">
        <w:tab/>
        <w:t>Le présent document comprend deux parties</w:t>
      </w:r>
      <w:r w:rsidR="008569CE" w:rsidRPr="00994516">
        <w:t> </w:t>
      </w:r>
      <w:r w:rsidR="00435487" w:rsidRPr="00994516">
        <w:t xml:space="preserve">: </w:t>
      </w:r>
    </w:p>
    <w:p w14:paraId="0DE93C61" w14:textId="77777777" w:rsidR="00435487" w:rsidRPr="00994516" w:rsidRDefault="00435487" w:rsidP="00435487"/>
    <w:p w14:paraId="47BE0604" w14:textId="509671EE" w:rsidR="00435487" w:rsidRPr="00994516" w:rsidRDefault="00964D6A" w:rsidP="0054738C">
      <w:pPr>
        <w:tabs>
          <w:tab w:val="left" w:pos="1134"/>
        </w:tabs>
        <w:ind w:left="567"/>
      </w:pPr>
      <w:r w:rsidRPr="00994516">
        <w:t>“</w:t>
      </w:r>
      <w:r w:rsidR="00435487" w:rsidRPr="00994516">
        <w:t xml:space="preserve">I. </w:t>
      </w:r>
      <w:r w:rsidR="00435487" w:rsidRPr="00994516">
        <w:tab/>
        <w:t>Documents proposés pour adoption par le Conseil en 2024” donne des informations et invite le Conseil à adopter les documents pertinents, sous réserve de l’accord du TC et/ou du CAJ;</w:t>
      </w:r>
    </w:p>
    <w:p w14:paraId="5FF9AACE" w14:textId="77777777" w:rsidR="00435487" w:rsidRPr="00994516" w:rsidRDefault="00435487" w:rsidP="0054738C">
      <w:pPr>
        <w:tabs>
          <w:tab w:val="left" w:pos="1134"/>
        </w:tabs>
        <w:ind w:left="567"/>
      </w:pPr>
    </w:p>
    <w:p w14:paraId="081A9B7F" w14:textId="5865AB6A" w:rsidR="00435487" w:rsidRPr="00994516" w:rsidRDefault="00964D6A" w:rsidP="0054738C">
      <w:pPr>
        <w:tabs>
          <w:tab w:val="left" w:pos="1134"/>
        </w:tabs>
        <w:ind w:left="567"/>
      </w:pPr>
      <w:r w:rsidRPr="00994516">
        <w:t>“</w:t>
      </w:r>
      <w:r w:rsidR="00435487" w:rsidRPr="00994516">
        <w:t xml:space="preserve">II. </w:t>
      </w:r>
      <w:r w:rsidR="00435487" w:rsidRPr="00994516">
        <w:tab/>
        <w:t>Questions à soumettre au Comité technique” rend compte des éléments nouveaux concernant d’éventuelles révisions futures des documents d’orientation et d’information en cours d’examen au sein du TC.</w:t>
      </w:r>
    </w:p>
    <w:p w14:paraId="7FCC17DF" w14:textId="77777777" w:rsidR="00435487" w:rsidRPr="00994516" w:rsidRDefault="00435487" w:rsidP="00435487"/>
    <w:p w14:paraId="53BCC3D1" w14:textId="34CFD105" w:rsidR="00435487" w:rsidRPr="00994516" w:rsidRDefault="006466EC" w:rsidP="0054738C">
      <w:pPr>
        <w:tabs>
          <w:tab w:val="left" w:pos="567"/>
        </w:tabs>
      </w:pPr>
      <w:r w:rsidRPr="00994516">
        <w:fldChar w:fldCharType="begin"/>
      </w:r>
      <w:r w:rsidRPr="00994516">
        <w:instrText xml:space="preserve"> AUTONUM  </w:instrText>
      </w:r>
      <w:r w:rsidRPr="00994516">
        <w:fldChar w:fldCharType="end"/>
      </w:r>
      <w:r w:rsidR="00435487" w:rsidRPr="00994516">
        <w:tab/>
        <w:t>Le Conseil est invité à adopter les documents suivants en 2024</w:t>
      </w:r>
      <w:r w:rsidR="008569CE" w:rsidRPr="00994516">
        <w:t> </w:t>
      </w:r>
      <w:r w:rsidR="00435487" w:rsidRPr="00994516">
        <w:t xml:space="preserve">: </w:t>
      </w:r>
    </w:p>
    <w:p w14:paraId="0BB101DF" w14:textId="77777777" w:rsidR="00435487" w:rsidRPr="00994516" w:rsidRDefault="00435487" w:rsidP="00435487"/>
    <w:p w14:paraId="20A16C6E" w14:textId="77777777" w:rsidR="00435487" w:rsidRPr="00994516" w:rsidRDefault="00435487" w:rsidP="0054738C">
      <w:pPr>
        <w:tabs>
          <w:tab w:val="left" w:pos="1134"/>
        </w:tabs>
        <w:ind w:left="567"/>
      </w:pPr>
      <w:r w:rsidRPr="00994516">
        <w:t>I.</w:t>
      </w:r>
      <w:r w:rsidRPr="00994516">
        <w:tab/>
        <w:t>DOCUMENTS PROPOSÉS POUR ADOPTION PAR LE CONSEIL EN 2024</w:t>
      </w:r>
    </w:p>
    <w:p w14:paraId="6BC97613" w14:textId="77777777" w:rsidR="00435487" w:rsidRPr="00994516" w:rsidRDefault="00435487" w:rsidP="0054738C">
      <w:pPr>
        <w:tabs>
          <w:tab w:val="left" w:pos="1134"/>
        </w:tabs>
      </w:pPr>
    </w:p>
    <w:p w14:paraId="2AC3A6FF" w14:textId="77777777" w:rsidR="00435487" w:rsidRPr="00994516" w:rsidRDefault="00435487" w:rsidP="0054738C">
      <w:pPr>
        <w:ind w:left="567"/>
        <w:rPr>
          <w:u w:val="single"/>
        </w:rPr>
      </w:pPr>
      <w:r w:rsidRPr="00994516">
        <w:rPr>
          <w:u w:val="single"/>
        </w:rPr>
        <w:t>Documents pour adoption par le Conseil, sous réserve de l’accord du TC et du CAJ</w:t>
      </w:r>
    </w:p>
    <w:p w14:paraId="2EEA5449" w14:textId="77777777" w:rsidR="00435487" w:rsidRPr="00994516" w:rsidRDefault="00435487" w:rsidP="00435487"/>
    <w:p w14:paraId="6EB05194" w14:textId="4228A162" w:rsidR="00435487" w:rsidRPr="00994516" w:rsidRDefault="00435487" w:rsidP="00964D6A">
      <w:pPr>
        <w:tabs>
          <w:tab w:val="left" w:pos="1134"/>
        </w:tabs>
        <w:spacing w:after="120"/>
        <w:ind w:left="567"/>
      </w:pPr>
      <w:r w:rsidRPr="00994516">
        <w:t>a)</w:t>
      </w:r>
      <w:r w:rsidRPr="00994516">
        <w:tab/>
        <w:t>Documents d’information</w:t>
      </w:r>
      <w:r w:rsidR="008569CE" w:rsidRPr="00994516">
        <w:t> </w:t>
      </w:r>
      <w:r w:rsidRPr="00994516">
        <w:t>:</w:t>
      </w:r>
    </w:p>
    <w:p w14:paraId="7D368B88" w14:textId="77777777" w:rsidR="00435487" w:rsidRPr="00994516" w:rsidRDefault="00435487" w:rsidP="00964D6A">
      <w:pPr>
        <w:spacing w:after="120"/>
        <w:ind w:left="2835" w:hanging="1701"/>
      </w:pPr>
      <w:r w:rsidRPr="00994516">
        <w:t>UPOV/INF/16</w:t>
      </w:r>
      <w:r w:rsidRPr="00994516">
        <w:tab/>
        <w:t>Logiciels échangeables (révision)</w:t>
      </w:r>
    </w:p>
    <w:p w14:paraId="3093C87C" w14:textId="77777777" w:rsidR="00435487" w:rsidRPr="00994516" w:rsidRDefault="00435487" w:rsidP="00964D6A">
      <w:pPr>
        <w:spacing w:after="120"/>
        <w:ind w:left="2835" w:hanging="1701"/>
      </w:pPr>
      <w:r w:rsidRPr="00994516">
        <w:t>UPOV/INF/22</w:t>
      </w:r>
      <w:r w:rsidRPr="00994516">
        <w:tab/>
        <w:t>Logiciels et équipements utilisés par les membres de l’Union (révision)</w:t>
      </w:r>
    </w:p>
    <w:p w14:paraId="307EFC10" w14:textId="2BC3F3EF" w:rsidR="00435487" w:rsidRPr="00994516" w:rsidRDefault="00435487" w:rsidP="00964D6A">
      <w:pPr>
        <w:tabs>
          <w:tab w:val="left" w:pos="1134"/>
        </w:tabs>
        <w:spacing w:after="120"/>
        <w:ind w:left="567"/>
      </w:pPr>
      <w:r w:rsidRPr="00994516">
        <w:t>b)</w:t>
      </w:r>
      <w:r w:rsidRPr="00994516">
        <w:tab/>
        <w:t>Notes explicatives</w:t>
      </w:r>
      <w:r w:rsidR="008569CE" w:rsidRPr="00994516">
        <w:t> </w:t>
      </w:r>
      <w:r w:rsidRPr="00994516">
        <w:t>:</w:t>
      </w:r>
    </w:p>
    <w:p w14:paraId="1298C270" w14:textId="77777777" w:rsidR="00435487" w:rsidRPr="00994516" w:rsidRDefault="00435487" w:rsidP="00964D6A">
      <w:pPr>
        <w:spacing w:after="120"/>
        <w:ind w:left="2835" w:hanging="1701"/>
      </w:pPr>
      <w:r w:rsidRPr="00994516">
        <w:t xml:space="preserve">UPOV/EXN/DEN </w:t>
      </w:r>
      <w:r w:rsidRPr="00994516">
        <w:tab/>
        <w:t>Notes explicatives sur les dénominations variétales en vertu de la Convention UPOV (révision)</w:t>
      </w:r>
    </w:p>
    <w:p w14:paraId="09680740" w14:textId="77777777" w:rsidR="00435487" w:rsidRPr="00994516" w:rsidRDefault="00435487" w:rsidP="00964D6A">
      <w:pPr>
        <w:spacing w:after="120"/>
        <w:ind w:left="3119" w:hanging="284"/>
        <w:rPr>
          <w:i/>
          <w:iCs/>
        </w:rPr>
      </w:pPr>
      <w:r w:rsidRPr="00994516">
        <w:rPr>
          <w:i/>
          <w:iCs/>
        </w:rPr>
        <w:t>–</w:t>
      </w:r>
      <w:r w:rsidRPr="00994516">
        <w:rPr>
          <w:i/>
          <w:iCs/>
        </w:rPr>
        <w:tab/>
        <w:t>Nouvelles classes de dénominations variétales pour Prunus et situations nécessitant la comparaison d’une dénomination avec d’autres classes au sein d’un genre</w:t>
      </w:r>
    </w:p>
    <w:p w14:paraId="76EADD71" w14:textId="1771EEAB" w:rsidR="00435487" w:rsidRPr="00994516" w:rsidRDefault="00435487" w:rsidP="00964D6A">
      <w:pPr>
        <w:tabs>
          <w:tab w:val="left" w:pos="1134"/>
        </w:tabs>
        <w:spacing w:after="120"/>
        <w:ind w:left="567"/>
      </w:pPr>
      <w:r w:rsidRPr="00994516">
        <w:t>c)</w:t>
      </w:r>
      <w:r w:rsidRPr="00994516">
        <w:tab/>
        <w:t>Documents TGP</w:t>
      </w:r>
      <w:r w:rsidR="008569CE" w:rsidRPr="00994516">
        <w:t> </w:t>
      </w:r>
      <w:r w:rsidRPr="00994516">
        <w:t>:</w:t>
      </w:r>
    </w:p>
    <w:p w14:paraId="2B3E24EC" w14:textId="77777777" w:rsidR="00435487" w:rsidRPr="00994516" w:rsidRDefault="00435487" w:rsidP="00964D6A">
      <w:pPr>
        <w:spacing w:after="120"/>
        <w:ind w:left="2835" w:hanging="1701"/>
      </w:pPr>
      <w:r w:rsidRPr="00994516">
        <w:t>TGP/7</w:t>
      </w:r>
      <w:r w:rsidRPr="00994516">
        <w:tab/>
        <w:t>Élaboration des principes directeurs d’examen (révision)</w:t>
      </w:r>
    </w:p>
    <w:p w14:paraId="0A1B48BB" w14:textId="77777777" w:rsidR="00435487" w:rsidRPr="00994516" w:rsidRDefault="00435487" w:rsidP="00964D6A">
      <w:pPr>
        <w:spacing w:after="120"/>
        <w:ind w:left="3119" w:hanging="284"/>
        <w:rPr>
          <w:i/>
          <w:iCs/>
        </w:rPr>
      </w:pPr>
      <w:r w:rsidRPr="00994516">
        <w:rPr>
          <w:i/>
          <w:iCs/>
        </w:rPr>
        <w:t>–</w:t>
      </w:r>
      <w:r w:rsidRPr="00994516">
        <w:rPr>
          <w:i/>
          <w:iCs/>
        </w:rPr>
        <w:tab/>
        <w:t>Texte standard supplémentaire (ASW) 3 “Précisions concernant le cycle de végétation”</w:t>
      </w:r>
    </w:p>
    <w:p w14:paraId="53C1DCFD" w14:textId="77777777" w:rsidR="00435487" w:rsidRPr="00994516" w:rsidRDefault="00435487" w:rsidP="00964D6A">
      <w:pPr>
        <w:keepNext/>
        <w:spacing w:after="120"/>
        <w:ind w:left="2835" w:hanging="1701"/>
      </w:pPr>
      <w:r w:rsidRPr="00994516">
        <w:lastRenderedPageBreak/>
        <w:t>TGP/12</w:t>
      </w:r>
      <w:r w:rsidRPr="00994516">
        <w:tab/>
        <w:t>Conseils en ce qui concerne certains caractères physiologiques (révision)</w:t>
      </w:r>
    </w:p>
    <w:p w14:paraId="4F47B272" w14:textId="77777777" w:rsidR="00435487" w:rsidRPr="00994516" w:rsidRDefault="00435487" w:rsidP="00964D6A">
      <w:pPr>
        <w:ind w:left="3119" w:hanging="284"/>
        <w:rPr>
          <w:i/>
          <w:iCs/>
        </w:rPr>
      </w:pPr>
      <w:r w:rsidRPr="00994516">
        <w:rPr>
          <w:i/>
          <w:iCs/>
        </w:rPr>
        <w:t>–</w:t>
      </w:r>
      <w:r w:rsidRPr="00994516">
        <w:rPr>
          <w:i/>
          <w:iCs/>
        </w:rPr>
        <w:tab/>
        <w:t xml:space="preserve">Tableau d’équivalence entre les niveaux d’expression des caractères quantitatifs de résistance aux maladies qui figurent dans les principes directeurs d’examen </w:t>
      </w:r>
    </w:p>
    <w:p w14:paraId="56B0C85B" w14:textId="77777777" w:rsidR="00964D6A" w:rsidRPr="00994516" w:rsidRDefault="00964D6A" w:rsidP="00964D6A">
      <w:pPr>
        <w:spacing w:after="100"/>
      </w:pPr>
    </w:p>
    <w:p w14:paraId="0C95A5C5" w14:textId="77777777" w:rsidR="00435487" w:rsidRPr="00994516" w:rsidRDefault="00435487" w:rsidP="00964D6A">
      <w:pPr>
        <w:ind w:left="567"/>
      </w:pPr>
      <w:r w:rsidRPr="00994516">
        <w:rPr>
          <w:u w:val="single"/>
        </w:rPr>
        <w:t>Documents pour adoption par le Conseil, sous réserve de l’accord du CAJ</w:t>
      </w:r>
    </w:p>
    <w:p w14:paraId="64052EB0" w14:textId="77777777" w:rsidR="00435487" w:rsidRPr="00994516" w:rsidRDefault="00435487" w:rsidP="00964D6A"/>
    <w:p w14:paraId="35DCF1A7" w14:textId="77777777" w:rsidR="00435487" w:rsidRPr="00994516" w:rsidRDefault="00435487" w:rsidP="00964D6A">
      <w:pPr>
        <w:ind w:left="2835" w:hanging="1701"/>
      </w:pPr>
      <w:r w:rsidRPr="00994516">
        <w:t>UPOV/EXN/PPM</w:t>
      </w:r>
      <w:r w:rsidRPr="00994516">
        <w:tab/>
        <w:t>Notes explicatives sur le matériel de reproduction ou de multiplication en vertu de la Convention UPOV (révision)</w:t>
      </w:r>
    </w:p>
    <w:p w14:paraId="782F53BB" w14:textId="77777777" w:rsidR="00435487" w:rsidRPr="00994516" w:rsidRDefault="00435487" w:rsidP="00964D6A"/>
    <w:p w14:paraId="4AAC1263" w14:textId="77777777" w:rsidR="00435487" w:rsidRPr="00994516" w:rsidRDefault="00435487" w:rsidP="00964D6A">
      <w:pPr>
        <w:ind w:left="567"/>
        <w:rPr>
          <w:u w:val="single"/>
        </w:rPr>
      </w:pPr>
      <w:r w:rsidRPr="00994516">
        <w:rPr>
          <w:u w:val="single"/>
        </w:rPr>
        <w:t>Autres documents pour adoption par le Conseil</w:t>
      </w:r>
    </w:p>
    <w:p w14:paraId="464A37B5" w14:textId="77777777" w:rsidR="00435487" w:rsidRPr="00994516" w:rsidRDefault="00435487" w:rsidP="00964D6A"/>
    <w:p w14:paraId="2847E921" w14:textId="4452BE98" w:rsidR="00435487" w:rsidRPr="00994516" w:rsidRDefault="00435487" w:rsidP="0054738C">
      <w:pPr>
        <w:spacing w:after="100"/>
        <w:ind w:left="2835" w:hanging="1701"/>
      </w:pPr>
      <w:r w:rsidRPr="00994516">
        <w:t>UPOV/INF/6</w:t>
      </w:r>
      <w:r w:rsidRPr="00994516">
        <w:tab/>
        <w:t>Orientations en vue de la rédaction de lois fondées sur l’Acte de 1991 de la Convention UPOV (révision)</w:t>
      </w:r>
    </w:p>
    <w:p w14:paraId="69C770AD" w14:textId="77777777" w:rsidR="00435487" w:rsidRPr="00994516" w:rsidRDefault="00435487" w:rsidP="0054738C">
      <w:pPr>
        <w:spacing w:after="100"/>
        <w:ind w:left="2835" w:hanging="1701"/>
      </w:pPr>
      <w:r w:rsidRPr="00994516">
        <w:t>UPOV/INF-EXN</w:t>
      </w:r>
      <w:r w:rsidRPr="00994516">
        <w:tab/>
        <w:t>Liste des documents UPOV/INF-EXN et date de la version la plus récente de ces documents (révision)</w:t>
      </w:r>
    </w:p>
    <w:p w14:paraId="233A86F3" w14:textId="77777777" w:rsidR="00435487" w:rsidRPr="00994516" w:rsidRDefault="00435487" w:rsidP="00964D6A">
      <w:pPr>
        <w:ind w:left="2835" w:hanging="1701"/>
      </w:pPr>
      <w:r w:rsidRPr="00994516">
        <w:t>TGP/0</w:t>
      </w:r>
      <w:r w:rsidRPr="00994516">
        <w:tab/>
        <w:t>Liste des documents TGP et date de la version la plus récente de ces documents (révision)</w:t>
      </w:r>
    </w:p>
    <w:p w14:paraId="1757D38C" w14:textId="77777777" w:rsidR="00435487" w:rsidRPr="00994516" w:rsidRDefault="00435487" w:rsidP="00964D6A"/>
    <w:p w14:paraId="1F5B6F56" w14:textId="45B7FE8D"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Le Conseil est invité à prendre note des éléments nouveaux concernant d’éventuelles révisions futures des documents d’orientation et d’information en cours d’examen au sein du TC, comme indiqué dans les paragraphes</w:t>
      </w:r>
      <w:r w:rsidR="008569CE" w:rsidRPr="00994516">
        <w:t> </w:t>
      </w:r>
      <w:r w:rsidR="00435487" w:rsidRPr="00994516">
        <w:t xml:space="preserve">43 à 62. </w:t>
      </w:r>
    </w:p>
    <w:p w14:paraId="11CB090B" w14:textId="77777777" w:rsidR="00435487" w:rsidRPr="00994516" w:rsidRDefault="00435487" w:rsidP="00435487"/>
    <w:p w14:paraId="35269375" w14:textId="77777777" w:rsidR="00435487" w:rsidRPr="00994516" w:rsidRDefault="00435487" w:rsidP="0054738C">
      <w:pPr>
        <w:tabs>
          <w:tab w:val="left" w:pos="1134"/>
        </w:tabs>
        <w:ind w:left="567"/>
      </w:pPr>
      <w:r w:rsidRPr="00994516">
        <w:t>II.</w:t>
      </w:r>
      <w:r w:rsidRPr="00994516">
        <w:tab/>
        <w:t>QUESTIONS POUR EXAMEN PAR LE COMITÉ TECHNIQUE</w:t>
      </w:r>
    </w:p>
    <w:p w14:paraId="23F3CCA4" w14:textId="77777777" w:rsidR="00435487" w:rsidRPr="00994516" w:rsidRDefault="00435487" w:rsidP="00435487"/>
    <w:p w14:paraId="5AFE80F3" w14:textId="1691E0E7" w:rsidR="00435487" w:rsidRPr="00994516" w:rsidRDefault="006466EC" w:rsidP="0054738C">
      <w:pPr>
        <w:tabs>
          <w:tab w:val="left" w:pos="567"/>
        </w:tabs>
      </w:pPr>
      <w:r w:rsidRPr="00994516">
        <w:fldChar w:fldCharType="begin"/>
      </w:r>
      <w:r w:rsidRPr="00994516">
        <w:instrText xml:space="preserve"> AUTONUM  </w:instrText>
      </w:r>
      <w:r w:rsidRPr="00994516">
        <w:fldChar w:fldCharType="end"/>
      </w:r>
      <w:r w:rsidR="00435487" w:rsidRPr="00994516">
        <w:tab/>
        <w:t>Le Comité technique est invité à examiner les éléments nouveaux concernant d’éventuelles révisions futures des documents d’orientation et d’information en cours d’examen au sein du TC, comme indiqué dans les paragraphes</w:t>
      </w:r>
      <w:r w:rsidR="008569CE" w:rsidRPr="00994516">
        <w:t> </w:t>
      </w:r>
      <w:r w:rsidR="00435487" w:rsidRPr="00994516">
        <w:t>43 à 62, en particulier</w:t>
      </w:r>
      <w:r w:rsidR="008569CE" w:rsidRPr="00994516">
        <w:t> </w:t>
      </w:r>
      <w:r w:rsidR="00435487" w:rsidRPr="00994516">
        <w:t xml:space="preserve">: </w:t>
      </w:r>
    </w:p>
    <w:p w14:paraId="70A5CE27" w14:textId="77777777" w:rsidR="00435487" w:rsidRPr="00994516" w:rsidRDefault="00435487" w:rsidP="0054738C">
      <w:pPr>
        <w:tabs>
          <w:tab w:val="left" w:pos="567"/>
        </w:tabs>
      </w:pPr>
    </w:p>
    <w:p w14:paraId="23E2B33E" w14:textId="3B048B42" w:rsidR="00435487" w:rsidRPr="00994516" w:rsidRDefault="00435487" w:rsidP="00964D6A">
      <w:pPr>
        <w:tabs>
          <w:tab w:val="left" w:pos="567"/>
        </w:tabs>
        <w:spacing w:after="120"/>
        <w:ind w:left="1134" w:hanging="567"/>
      </w:pPr>
      <w:r w:rsidRPr="00994516">
        <w:t>a)</w:t>
      </w:r>
      <w:r w:rsidRPr="00994516">
        <w:tab/>
        <w:t>Document</w:t>
      </w:r>
      <w:r w:rsidR="002D309C" w:rsidRPr="00994516">
        <w:t> </w:t>
      </w:r>
      <w:r w:rsidRPr="00994516">
        <w:t>TGP/5 “Expérience et coopération en matière d’examen DHS”, Section</w:t>
      </w:r>
      <w:r w:rsidR="008569CE" w:rsidRPr="00994516">
        <w:t> </w:t>
      </w:r>
      <w:r w:rsidRPr="00994516">
        <w:t>6 “Rapport UPOV d’examen technique et Formulaire UPOV de description variétale” (révision)</w:t>
      </w:r>
    </w:p>
    <w:p w14:paraId="514D7B5B" w14:textId="385F4176" w:rsidR="00435487" w:rsidRPr="00994516" w:rsidRDefault="00435487" w:rsidP="00964D6A">
      <w:pPr>
        <w:tabs>
          <w:tab w:val="left" w:pos="567"/>
        </w:tabs>
        <w:spacing w:after="120"/>
        <w:ind w:left="1134" w:hanging="567"/>
      </w:pPr>
      <w:r w:rsidRPr="00994516">
        <w:t>b)</w:t>
      </w:r>
      <w:r w:rsidRPr="00994516">
        <w:tab/>
        <w:t>Document</w:t>
      </w:r>
      <w:r w:rsidR="002D309C" w:rsidRPr="00994516">
        <w:t> </w:t>
      </w:r>
      <w:r w:rsidRPr="00994516">
        <w:t>TGP/7</w:t>
      </w:r>
      <w:r w:rsidR="008569CE" w:rsidRPr="00994516">
        <w:t> </w:t>
      </w:r>
      <w:r w:rsidRPr="00994516">
        <w:t>: Élaboration des principes directeurs d’examen (révision)</w:t>
      </w:r>
    </w:p>
    <w:p w14:paraId="32C3923E" w14:textId="395F2795" w:rsidR="00435487" w:rsidRPr="00994516" w:rsidRDefault="00435487" w:rsidP="0054738C">
      <w:pPr>
        <w:tabs>
          <w:tab w:val="left" w:pos="567"/>
        </w:tabs>
        <w:ind w:left="1134" w:hanging="567"/>
      </w:pPr>
      <w:r w:rsidRPr="00994516">
        <w:t>c)</w:t>
      </w:r>
      <w:r w:rsidRPr="00994516">
        <w:tab/>
        <w:t xml:space="preserve">Accès au matériel végétal aux fins de la gestion des collections de variétés et de l’examen DHS </w:t>
      </w:r>
    </w:p>
    <w:p w14:paraId="13CE23E0" w14:textId="77777777" w:rsidR="00435487" w:rsidRPr="00994516" w:rsidRDefault="00435487" w:rsidP="0054738C">
      <w:pPr>
        <w:tabs>
          <w:tab w:val="left" w:pos="567"/>
        </w:tabs>
      </w:pPr>
    </w:p>
    <w:p w14:paraId="66430990" w14:textId="0DF5ED73" w:rsidR="00435487" w:rsidRPr="00994516" w:rsidRDefault="006466EC" w:rsidP="0054738C">
      <w:pPr>
        <w:tabs>
          <w:tab w:val="left" w:pos="567"/>
        </w:tabs>
      </w:pPr>
      <w:r w:rsidRPr="00994516">
        <w:fldChar w:fldCharType="begin"/>
      </w:r>
      <w:r w:rsidRPr="00994516">
        <w:instrText xml:space="preserve"> AUTONUM  </w:instrText>
      </w:r>
      <w:r w:rsidRPr="00994516">
        <w:fldChar w:fldCharType="end"/>
      </w:r>
      <w:r w:rsidR="00435487" w:rsidRPr="00994516">
        <w:tab/>
        <w:t>Les abréviations ci-après sont utilisées dans le présent document</w:t>
      </w:r>
      <w:r w:rsidR="008569CE" w:rsidRPr="00994516">
        <w:t> </w:t>
      </w:r>
      <w:r w:rsidR="00435487" w:rsidRPr="00994516">
        <w:t>:</w:t>
      </w:r>
    </w:p>
    <w:p w14:paraId="34D2B434" w14:textId="77777777" w:rsidR="00435487" w:rsidRPr="00994516" w:rsidRDefault="00435487" w:rsidP="0054738C">
      <w:pPr>
        <w:tabs>
          <w:tab w:val="left" w:pos="567"/>
        </w:tabs>
      </w:pPr>
    </w:p>
    <w:p w14:paraId="1257EF08" w14:textId="207EDF01" w:rsidR="00435487" w:rsidRPr="00994516" w:rsidRDefault="00435487" w:rsidP="00921574">
      <w:pPr>
        <w:tabs>
          <w:tab w:val="left" w:pos="567"/>
        </w:tabs>
        <w:jc w:val="left"/>
      </w:pPr>
      <w:r w:rsidRPr="00994516">
        <w:t>CAJ</w:t>
      </w:r>
      <w:r w:rsidR="0054738C" w:rsidRPr="00994516">
        <w:t> </w:t>
      </w:r>
      <w:r w:rsidRPr="00994516">
        <w:t>:</w:t>
      </w:r>
      <w:r w:rsidRPr="00994516">
        <w:tab/>
      </w:r>
      <w:r w:rsidR="0054738C" w:rsidRPr="00994516">
        <w:tab/>
      </w:r>
      <w:r w:rsidRPr="00994516">
        <w:t>Comité administratif et juridique</w:t>
      </w:r>
    </w:p>
    <w:p w14:paraId="5279CBF7" w14:textId="65AAF0BA" w:rsidR="00435487" w:rsidRPr="00994516" w:rsidRDefault="00435487" w:rsidP="00921574">
      <w:pPr>
        <w:tabs>
          <w:tab w:val="left" w:pos="567"/>
        </w:tabs>
        <w:jc w:val="left"/>
      </w:pPr>
      <w:r w:rsidRPr="00994516">
        <w:t>TC</w:t>
      </w:r>
      <w:r w:rsidR="008569CE" w:rsidRPr="00994516">
        <w:t> </w:t>
      </w:r>
      <w:r w:rsidRPr="00994516">
        <w:t xml:space="preserve">:  </w:t>
      </w:r>
      <w:r w:rsidRPr="00994516">
        <w:tab/>
      </w:r>
      <w:r w:rsidR="0054738C" w:rsidRPr="00994516">
        <w:tab/>
      </w:r>
      <w:r w:rsidRPr="00994516">
        <w:t>Comité technique</w:t>
      </w:r>
    </w:p>
    <w:p w14:paraId="25929634" w14:textId="3E3DE502" w:rsidR="00435487" w:rsidRPr="00994516" w:rsidRDefault="00435487" w:rsidP="00921574">
      <w:pPr>
        <w:tabs>
          <w:tab w:val="left" w:pos="567"/>
        </w:tabs>
        <w:jc w:val="left"/>
      </w:pPr>
      <w:r w:rsidRPr="00994516">
        <w:t>TWA</w:t>
      </w:r>
      <w:r w:rsidR="0054738C" w:rsidRPr="00994516">
        <w:t> </w:t>
      </w:r>
      <w:r w:rsidRPr="00994516">
        <w:t xml:space="preserve">:  </w:t>
      </w:r>
      <w:r w:rsidRPr="00994516">
        <w:tab/>
        <w:t>Groupe de travail technique sur les plantes agricoles</w:t>
      </w:r>
    </w:p>
    <w:p w14:paraId="039909B5" w14:textId="4BD5C2C4" w:rsidR="00435487" w:rsidRPr="00994516" w:rsidRDefault="00435487" w:rsidP="00921574">
      <w:pPr>
        <w:tabs>
          <w:tab w:val="left" w:pos="567"/>
        </w:tabs>
        <w:jc w:val="left"/>
      </w:pPr>
      <w:r w:rsidRPr="00994516">
        <w:t>TWF</w:t>
      </w:r>
      <w:r w:rsidR="0054738C" w:rsidRPr="00994516">
        <w:t> </w:t>
      </w:r>
      <w:r w:rsidRPr="00994516">
        <w:t xml:space="preserve">:  </w:t>
      </w:r>
      <w:r w:rsidRPr="00994516">
        <w:tab/>
        <w:t xml:space="preserve">Groupe de travail technique sur les plantes fruitières </w:t>
      </w:r>
    </w:p>
    <w:p w14:paraId="21161CCD" w14:textId="558BCE72" w:rsidR="00435487" w:rsidRPr="00994516" w:rsidRDefault="00435487" w:rsidP="00921574">
      <w:pPr>
        <w:tabs>
          <w:tab w:val="left" w:pos="567"/>
        </w:tabs>
        <w:jc w:val="left"/>
      </w:pPr>
      <w:r w:rsidRPr="00994516">
        <w:t>TWM</w:t>
      </w:r>
      <w:r w:rsidR="0054738C" w:rsidRPr="00994516">
        <w:t> </w:t>
      </w:r>
      <w:r w:rsidRPr="00994516">
        <w:t>:</w:t>
      </w:r>
      <w:r w:rsidRPr="00994516">
        <w:tab/>
        <w:t>Groupe de travail technique sur les méthodes et techniques d’essai</w:t>
      </w:r>
    </w:p>
    <w:p w14:paraId="685BB937" w14:textId="6F7BC8D9" w:rsidR="00435487" w:rsidRPr="00994516" w:rsidRDefault="00435487" w:rsidP="00921574">
      <w:pPr>
        <w:tabs>
          <w:tab w:val="left" w:pos="567"/>
        </w:tabs>
        <w:jc w:val="left"/>
      </w:pPr>
      <w:r w:rsidRPr="00994516">
        <w:t>TWO</w:t>
      </w:r>
      <w:r w:rsidR="0054738C" w:rsidRPr="00994516">
        <w:t> </w:t>
      </w:r>
      <w:r w:rsidRPr="00994516">
        <w:t xml:space="preserve">:  </w:t>
      </w:r>
      <w:r w:rsidRPr="00994516">
        <w:tab/>
        <w:t xml:space="preserve">Groupe de travail technique sur les plantes ornementales et les arbres forestiers </w:t>
      </w:r>
    </w:p>
    <w:p w14:paraId="21DD5D88" w14:textId="5C5644CF" w:rsidR="00435487" w:rsidRPr="00994516" w:rsidRDefault="00435487" w:rsidP="00921574">
      <w:pPr>
        <w:tabs>
          <w:tab w:val="left" w:pos="567"/>
        </w:tabs>
        <w:jc w:val="left"/>
      </w:pPr>
      <w:r w:rsidRPr="00994516">
        <w:t>TWV</w:t>
      </w:r>
      <w:r w:rsidR="0054738C" w:rsidRPr="00994516">
        <w:t> </w:t>
      </w:r>
      <w:r w:rsidRPr="00994516">
        <w:t xml:space="preserve">:  </w:t>
      </w:r>
      <w:r w:rsidRPr="00994516">
        <w:tab/>
        <w:t>Groupe de travail technique sur les plantes potagères</w:t>
      </w:r>
    </w:p>
    <w:p w14:paraId="4459E91F" w14:textId="1306E424" w:rsidR="00435487" w:rsidRPr="00994516" w:rsidRDefault="00435487" w:rsidP="00921574">
      <w:pPr>
        <w:tabs>
          <w:tab w:val="left" w:pos="567"/>
        </w:tabs>
        <w:jc w:val="left"/>
      </w:pPr>
      <w:r w:rsidRPr="00994516">
        <w:t>TW</w:t>
      </w:r>
      <w:r w:rsidR="0054738C" w:rsidRPr="00994516">
        <w:t> </w:t>
      </w:r>
      <w:r w:rsidRPr="00994516">
        <w:t>:</w:t>
      </w:r>
      <w:r w:rsidRPr="00994516">
        <w:tab/>
      </w:r>
      <w:r w:rsidR="0054738C" w:rsidRPr="00994516">
        <w:tab/>
      </w:r>
      <w:r w:rsidRPr="00994516">
        <w:t xml:space="preserve">Groupes de travail techniques </w:t>
      </w:r>
    </w:p>
    <w:p w14:paraId="48512560" w14:textId="48FCADC0" w:rsidR="00435487" w:rsidRPr="00994516" w:rsidRDefault="00435487" w:rsidP="00921574">
      <w:pPr>
        <w:ind w:left="1134" w:hanging="1134"/>
        <w:jc w:val="left"/>
      </w:pPr>
      <w:r w:rsidRPr="00994516">
        <w:t>WG-HRV</w:t>
      </w:r>
      <w:r w:rsidR="000F6290" w:rsidRPr="00994516">
        <w:t> </w:t>
      </w:r>
      <w:r w:rsidRPr="00994516">
        <w:t>:</w:t>
      </w:r>
      <w:r w:rsidRPr="00994516">
        <w:tab/>
        <w:t>Groupe de travail sur le produit de la récolte et l’utilisation non autorisée de matériel de reproduction ou de multiplication</w:t>
      </w:r>
    </w:p>
    <w:p w14:paraId="6C13A8EB" w14:textId="77777777" w:rsidR="00435487" w:rsidRPr="00994516" w:rsidRDefault="00435487" w:rsidP="00435487"/>
    <w:p w14:paraId="49441F6E" w14:textId="420FD9CD" w:rsidR="00435487" w:rsidRPr="00994516" w:rsidRDefault="006466EC" w:rsidP="00DD7633">
      <w:pPr>
        <w:keepNext/>
        <w:spacing w:after="200"/>
      </w:pPr>
      <w:r w:rsidRPr="00994516">
        <w:fldChar w:fldCharType="begin"/>
      </w:r>
      <w:r w:rsidRPr="00994516">
        <w:instrText xml:space="preserve"> AUTONUM  </w:instrText>
      </w:r>
      <w:r w:rsidRPr="00994516">
        <w:fldChar w:fldCharType="end"/>
      </w:r>
      <w:r w:rsidR="00435487" w:rsidRPr="00994516">
        <w:tab/>
        <w:t>Le présent document est structuré comme suit</w:t>
      </w:r>
      <w:r w:rsidR="000F6290" w:rsidRPr="00994516">
        <w:t> </w:t>
      </w:r>
      <w:r w:rsidR="00435487" w:rsidRPr="00994516">
        <w:t>:</w:t>
      </w:r>
    </w:p>
    <w:p w14:paraId="4673C15B" w14:textId="498E948E" w:rsidR="00DE51D7" w:rsidRDefault="002F0610">
      <w:pPr>
        <w:pStyle w:val="TOC1"/>
        <w:rPr>
          <w:rFonts w:asciiTheme="minorHAnsi" w:eastAsiaTheme="minorEastAsia" w:hAnsiTheme="minorHAnsi" w:cstheme="minorBidi"/>
          <w:caps w:val="0"/>
          <w:noProof/>
          <w:kern w:val="2"/>
          <w:sz w:val="24"/>
          <w:szCs w:val="24"/>
          <w:lang w:val="en-GB" w:eastAsia="en-GB"/>
          <w14:ligatures w14:val="standardContextual"/>
        </w:rPr>
      </w:pPr>
      <w:r w:rsidRPr="00994516">
        <w:rPr>
          <w:lang w:val="fr-FR"/>
        </w:rPr>
        <w:fldChar w:fldCharType="begin"/>
      </w:r>
      <w:r w:rsidRPr="00994516">
        <w:rPr>
          <w:lang w:val="fr-FR"/>
        </w:rPr>
        <w:instrText xml:space="preserve"> TOC \o "1-4" \u </w:instrText>
      </w:r>
      <w:r w:rsidRPr="00994516">
        <w:rPr>
          <w:lang w:val="fr-FR"/>
        </w:rPr>
        <w:fldChar w:fldCharType="separate"/>
      </w:r>
      <w:r w:rsidR="00DE51D7" w:rsidRPr="000951BF">
        <w:rPr>
          <w:noProof/>
          <w:lang w:val="fr-FR"/>
        </w:rPr>
        <w:t>RÉSUMÉ</w:t>
      </w:r>
      <w:r w:rsidR="00DE51D7">
        <w:rPr>
          <w:noProof/>
        </w:rPr>
        <w:tab/>
      </w:r>
      <w:r w:rsidR="00DE51D7">
        <w:rPr>
          <w:noProof/>
        </w:rPr>
        <w:fldChar w:fldCharType="begin"/>
      </w:r>
      <w:r w:rsidR="00DE51D7">
        <w:rPr>
          <w:noProof/>
        </w:rPr>
        <w:instrText xml:space="preserve"> PAGEREF _Toc177401370 \h </w:instrText>
      </w:r>
      <w:r w:rsidR="00DE51D7">
        <w:rPr>
          <w:noProof/>
        </w:rPr>
      </w:r>
      <w:r w:rsidR="00DE51D7">
        <w:rPr>
          <w:noProof/>
        </w:rPr>
        <w:fldChar w:fldCharType="separate"/>
      </w:r>
      <w:r w:rsidR="00DE51D7">
        <w:rPr>
          <w:noProof/>
        </w:rPr>
        <w:t>1</w:t>
      </w:r>
      <w:r w:rsidR="00DE51D7">
        <w:rPr>
          <w:noProof/>
        </w:rPr>
        <w:fldChar w:fldCharType="end"/>
      </w:r>
    </w:p>
    <w:p w14:paraId="61CDA330" w14:textId="28C1034E" w:rsidR="00DE51D7" w:rsidRDefault="00DE51D7">
      <w:pPr>
        <w:pStyle w:val="TOC1"/>
        <w:rPr>
          <w:rFonts w:asciiTheme="minorHAnsi" w:eastAsiaTheme="minorEastAsia" w:hAnsiTheme="minorHAnsi" w:cstheme="minorBidi"/>
          <w:caps w:val="0"/>
          <w:noProof/>
          <w:kern w:val="2"/>
          <w:sz w:val="24"/>
          <w:szCs w:val="24"/>
          <w:lang w:val="en-GB" w:eastAsia="en-GB"/>
          <w14:ligatures w14:val="standardContextual"/>
        </w:rPr>
      </w:pPr>
      <w:r w:rsidRPr="000951BF">
        <w:rPr>
          <w:noProof/>
          <w:lang w:val="fr-FR"/>
        </w:rPr>
        <w:t>RAPPEL</w:t>
      </w:r>
      <w:r>
        <w:rPr>
          <w:noProof/>
        </w:rPr>
        <w:tab/>
      </w:r>
      <w:r>
        <w:rPr>
          <w:noProof/>
        </w:rPr>
        <w:fldChar w:fldCharType="begin"/>
      </w:r>
      <w:r>
        <w:rPr>
          <w:noProof/>
        </w:rPr>
        <w:instrText xml:space="preserve"> PAGEREF _Toc177401371 \h </w:instrText>
      </w:r>
      <w:r>
        <w:rPr>
          <w:noProof/>
        </w:rPr>
      </w:r>
      <w:r>
        <w:rPr>
          <w:noProof/>
        </w:rPr>
        <w:fldChar w:fldCharType="separate"/>
      </w:r>
      <w:r>
        <w:rPr>
          <w:noProof/>
        </w:rPr>
        <w:t>4</w:t>
      </w:r>
      <w:r>
        <w:rPr>
          <w:noProof/>
        </w:rPr>
        <w:fldChar w:fldCharType="end"/>
      </w:r>
    </w:p>
    <w:p w14:paraId="28FA4E31" w14:textId="1CB07C24" w:rsidR="00DE51D7" w:rsidRDefault="00DE51D7">
      <w:pPr>
        <w:pStyle w:val="TOC1"/>
        <w:rPr>
          <w:rFonts w:asciiTheme="minorHAnsi" w:eastAsiaTheme="minorEastAsia" w:hAnsiTheme="minorHAnsi" w:cstheme="minorBidi"/>
          <w:caps w:val="0"/>
          <w:noProof/>
          <w:kern w:val="2"/>
          <w:sz w:val="24"/>
          <w:szCs w:val="24"/>
          <w:lang w:val="en-GB" w:eastAsia="en-GB"/>
          <w14:ligatures w14:val="standardContextual"/>
        </w:rPr>
      </w:pPr>
      <w:r w:rsidRPr="000951BF">
        <w:rPr>
          <w:noProof/>
          <w:lang w:val="fr-FR"/>
        </w:rPr>
        <w:t>I.</w:t>
      </w:r>
      <w:r>
        <w:rPr>
          <w:rFonts w:asciiTheme="minorHAnsi" w:eastAsiaTheme="minorEastAsia" w:hAnsiTheme="minorHAnsi" w:cstheme="minorBidi"/>
          <w:caps w:val="0"/>
          <w:noProof/>
          <w:kern w:val="2"/>
          <w:sz w:val="24"/>
          <w:szCs w:val="24"/>
          <w:lang w:val="en-GB" w:eastAsia="en-GB"/>
          <w14:ligatures w14:val="standardContextual"/>
        </w:rPr>
        <w:tab/>
      </w:r>
      <w:r w:rsidRPr="000951BF">
        <w:rPr>
          <w:noProof/>
          <w:lang w:val="fr-FR"/>
        </w:rPr>
        <w:t>DOCUMENTS PROPOSÉS POUR ADOPTION PAR LE CONSEIL EN 2024</w:t>
      </w:r>
      <w:r>
        <w:rPr>
          <w:noProof/>
        </w:rPr>
        <w:tab/>
      </w:r>
      <w:r>
        <w:rPr>
          <w:noProof/>
        </w:rPr>
        <w:fldChar w:fldCharType="begin"/>
      </w:r>
      <w:r>
        <w:rPr>
          <w:noProof/>
        </w:rPr>
        <w:instrText xml:space="preserve"> PAGEREF _Toc177401372 \h </w:instrText>
      </w:r>
      <w:r>
        <w:rPr>
          <w:noProof/>
        </w:rPr>
      </w:r>
      <w:r>
        <w:rPr>
          <w:noProof/>
        </w:rPr>
        <w:fldChar w:fldCharType="separate"/>
      </w:r>
      <w:r>
        <w:rPr>
          <w:noProof/>
        </w:rPr>
        <w:t>4</w:t>
      </w:r>
      <w:r>
        <w:rPr>
          <w:noProof/>
        </w:rPr>
        <w:fldChar w:fldCharType="end"/>
      </w:r>
    </w:p>
    <w:p w14:paraId="25967AE7" w14:textId="4AE95B02"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Documents pour adoption par le Conseil, sous réserve de l’accord du TC et du CAJ</w:t>
      </w:r>
      <w:r>
        <w:tab/>
      </w:r>
      <w:r>
        <w:fldChar w:fldCharType="begin"/>
      </w:r>
      <w:r>
        <w:instrText xml:space="preserve"> PAGEREF _Toc177401373 \h </w:instrText>
      </w:r>
      <w:r>
        <w:fldChar w:fldCharType="separate"/>
      </w:r>
      <w:r>
        <w:t>4</w:t>
      </w:r>
      <w:r>
        <w:fldChar w:fldCharType="end"/>
      </w:r>
    </w:p>
    <w:p w14:paraId="18F5C63D" w14:textId="4BC4B6D0"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UPOV/INF/16 : Logiciels échangeables (révision) (document UPOV/INF/16/13 Draft 1)</w:t>
      </w:r>
      <w:r>
        <w:tab/>
      </w:r>
      <w:r>
        <w:fldChar w:fldCharType="begin"/>
      </w:r>
      <w:r>
        <w:instrText xml:space="preserve"> PAGEREF _Toc177401374 \h </w:instrText>
      </w:r>
      <w:r>
        <w:fldChar w:fldCharType="separate"/>
      </w:r>
      <w:r>
        <w:t>4</w:t>
      </w:r>
      <w:r>
        <w:fldChar w:fldCharType="end"/>
      </w:r>
    </w:p>
    <w:p w14:paraId="27C2CF3B" w14:textId="557BB40A"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t>Logiciel proposé pour inclusion dans le document UPOV/INF/16</w:t>
      </w:r>
      <w:r>
        <w:tab/>
      </w:r>
      <w:r>
        <w:fldChar w:fldCharType="begin"/>
      </w:r>
      <w:r>
        <w:instrText xml:space="preserve"> PAGEREF _Toc177401375 \h </w:instrText>
      </w:r>
      <w:r>
        <w:fldChar w:fldCharType="separate"/>
      </w:r>
      <w:r>
        <w:t>4</w:t>
      </w:r>
      <w:r>
        <w:fldChar w:fldCharType="end"/>
      </w:r>
    </w:p>
    <w:p w14:paraId="7794BF54" w14:textId="03C8E254"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UPOV/INF/22 : Logiciels et équipements utilisés par les membres de l’Union (révision) (document UPOV/INF/22/11 Draft 1)</w:t>
      </w:r>
      <w:r>
        <w:tab/>
      </w:r>
      <w:r>
        <w:fldChar w:fldCharType="begin"/>
      </w:r>
      <w:r>
        <w:instrText xml:space="preserve"> PAGEREF _Toc177401376 \h </w:instrText>
      </w:r>
      <w:r>
        <w:fldChar w:fldCharType="separate"/>
      </w:r>
      <w:r>
        <w:t>5</w:t>
      </w:r>
      <w:r>
        <w:fldChar w:fldCharType="end"/>
      </w:r>
    </w:p>
    <w:p w14:paraId="207D02DD" w14:textId="20961673"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UPOV/EXN/DEN : Notes explicatives sur les dénominations variétales en vertu de la Convention UPOV (révision)</w:t>
      </w:r>
      <w:r>
        <w:tab/>
      </w:r>
      <w:r>
        <w:fldChar w:fldCharType="begin"/>
      </w:r>
      <w:r>
        <w:instrText xml:space="preserve"> PAGEREF _Toc177401377 \h </w:instrText>
      </w:r>
      <w:r>
        <w:fldChar w:fldCharType="separate"/>
      </w:r>
      <w:r>
        <w:t>5</w:t>
      </w:r>
      <w:r>
        <w:fldChar w:fldCharType="end"/>
      </w:r>
    </w:p>
    <w:p w14:paraId="76E389CF" w14:textId="37593A93"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lastRenderedPageBreak/>
        <w:t xml:space="preserve">Nouvelles classes de dénominations variétales pour </w:t>
      </w:r>
      <w:r w:rsidRPr="000951BF">
        <w:rPr>
          <w:i/>
          <w:iCs/>
        </w:rPr>
        <w:t>Prunus</w:t>
      </w:r>
      <w:r>
        <w:t xml:space="preserve"> et situations nécessitant la comparaison d’une dénomination avec d’autres classes au sein d’un genre</w:t>
      </w:r>
      <w:r>
        <w:tab/>
      </w:r>
      <w:r>
        <w:fldChar w:fldCharType="begin"/>
      </w:r>
      <w:r>
        <w:instrText xml:space="preserve"> PAGEREF _Toc177401378 \h </w:instrText>
      </w:r>
      <w:r>
        <w:fldChar w:fldCharType="separate"/>
      </w:r>
      <w:r>
        <w:t>5</w:t>
      </w:r>
      <w:r>
        <w:fldChar w:fldCharType="end"/>
      </w:r>
    </w:p>
    <w:p w14:paraId="122ACCE1" w14:textId="5559ACDD"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TGP/7 : Élaboration des principes directeurs d’examen (révision)</w:t>
      </w:r>
      <w:r>
        <w:tab/>
      </w:r>
      <w:r>
        <w:fldChar w:fldCharType="begin"/>
      </w:r>
      <w:r>
        <w:instrText xml:space="preserve"> PAGEREF _Toc177401379 \h </w:instrText>
      </w:r>
      <w:r>
        <w:fldChar w:fldCharType="separate"/>
      </w:r>
      <w:r>
        <w:t>6</w:t>
      </w:r>
      <w:r>
        <w:fldChar w:fldCharType="end"/>
      </w:r>
    </w:p>
    <w:p w14:paraId="0F027ED3" w14:textId="10B38C0B"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t>Texte standard supplémentaire (ASW) 3 “Précisions concernant le cycle de végétation”</w:t>
      </w:r>
      <w:r>
        <w:tab/>
      </w:r>
      <w:r>
        <w:fldChar w:fldCharType="begin"/>
      </w:r>
      <w:r>
        <w:instrText xml:space="preserve"> PAGEREF _Toc177401380 \h </w:instrText>
      </w:r>
      <w:r>
        <w:fldChar w:fldCharType="separate"/>
      </w:r>
      <w:r>
        <w:t>6</w:t>
      </w:r>
      <w:r>
        <w:fldChar w:fldCharType="end"/>
      </w:r>
    </w:p>
    <w:p w14:paraId="6DC82922" w14:textId="7CBADA6B"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TGP/12 : Conseils en ce qui concerne certains caractères physiologiques (révision)</w:t>
      </w:r>
      <w:r>
        <w:tab/>
      </w:r>
      <w:r>
        <w:fldChar w:fldCharType="begin"/>
      </w:r>
      <w:r>
        <w:instrText xml:space="preserve"> PAGEREF _Toc177401381 \h </w:instrText>
      </w:r>
      <w:r>
        <w:fldChar w:fldCharType="separate"/>
      </w:r>
      <w:r>
        <w:t>6</w:t>
      </w:r>
      <w:r>
        <w:fldChar w:fldCharType="end"/>
      </w:r>
    </w:p>
    <w:p w14:paraId="32DEFE4E" w14:textId="1EC26F57"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t>Tableau d’équivalence entre les niveaux d’expression des caractères quantitatifs de résistance aux maladies qui figurent dans les principes directeurs d’examen</w:t>
      </w:r>
      <w:r>
        <w:tab/>
      </w:r>
      <w:r>
        <w:fldChar w:fldCharType="begin"/>
      </w:r>
      <w:r>
        <w:instrText xml:space="preserve"> PAGEREF _Toc177401382 \h </w:instrText>
      </w:r>
      <w:r>
        <w:fldChar w:fldCharType="separate"/>
      </w:r>
      <w:r>
        <w:t>6</w:t>
      </w:r>
      <w:r>
        <w:fldChar w:fldCharType="end"/>
      </w:r>
    </w:p>
    <w:p w14:paraId="2FCEC10A" w14:textId="74C8F1C7"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Document pour adoption par le Conseil, sous réserve de l’accord du CAJ</w:t>
      </w:r>
      <w:r>
        <w:tab/>
      </w:r>
      <w:r>
        <w:fldChar w:fldCharType="begin"/>
      </w:r>
      <w:r>
        <w:instrText xml:space="preserve"> PAGEREF _Toc177401383 \h </w:instrText>
      </w:r>
      <w:r>
        <w:fldChar w:fldCharType="separate"/>
      </w:r>
      <w:r>
        <w:t>6</w:t>
      </w:r>
      <w:r>
        <w:fldChar w:fldCharType="end"/>
      </w:r>
    </w:p>
    <w:p w14:paraId="29D07A25" w14:textId="218DE64F"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 xml:space="preserve">UPOV/EXN/PPM : Notes explicatives </w:t>
      </w:r>
      <w:r w:rsidRPr="000951BF">
        <w:rPr>
          <w:shd w:val="clear" w:color="auto" w:fill="FFFFFF"/>
        </w:rPr>
        <w:t>sur le matériel de reproduction ou de multiplication en vertu de la Convention UPOV</w:t>
      </w:r>
      <w:r w:rsidRPr="000951BF">
        <w:t xml:space="preserve"> (révision) (document UPOV/EXN/PPM/2 Draft 1)</w:t>
      </w:r>
      <w:r>
        <w:tab/>
      </w:r>
      <w:r>
        <w:fldChar w:fldCharType="begin"/>
      </w:r>
      <w:r>
        <w:instrText xml:space="preserve"> PAGEREF _Toc177401384 \h </w:instrText>
      </w:r>
      <w:r>
        <w:fldChar w:fldCharType="separate"/>
      </w:r>
      <w:r>
        <w:t>6</w:t>
      </w:r>
      <w:r>
        <w:fldChar w:fldCharType="end"/>
      </w:r>
    </w:p>
    <w:p w14:paraId="3DEAAB4B" w14:textId="5D4EC81F"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Autres documents pour adoption par le Conseil</w:t>
      </w:r>
      <w:r>
        <w:tab/>
      </w:r>
      <w:r>
        <w:fldChar w:fldCharType="begin"/>
      </w:r>
      <w:r>
        <w:instrText xml:space="preserve"> PAGEREF _Toc177401385 \h </w:instrText>
      </w:r>
      <w:r>
        <w:fldChar w:fldCharType="separate"/>
      </w:r>
      <w:r>
        <w:t>7</w:t>
      </w:r>
      <w:r>
        <w:fldChar w:fldCharType="end"/>
      </w:r>
    </w:p>
    <w:p w14:paraId="6EBA2B85" w14:textId="1A1FE7C8"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UPOV/INF/6 : Orientations en vue de la rédaction de lois fondées sur l’Acte de 1991 de la Convention UPOV (document SESSIONS/2024/2, annexe VI)</w:t>
      </w:r>
      <w:r>
        <w:tab/>
      </w:r>
      <w:r>
        <w:fldChar w:fldCharType="begin"/>
      </w:r>
      <w:r>
        <w:instrText xml:space="preserve"> PAGEREF _Toc177401386 \h </w:instrText>
      </w:r>
      <w:r>
        <w:fldChar w:fldCharType="separate"/>
      </w:r>
      <w:r>
        <w:t>7</w:t>
      </w:r>
      <w:r>
        <w:fldChar w:fldCharType="end"/>
      </w:r>
    </w:p>
    <w:p w14:paraId="77246DE5" w14:textId="7F14B6F2"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UPOV/INF-EXN : Liste des documents UPOV/INF-EXN et date de la version la plus récente de ces documents (révision) (document UPOV/INF-EXN/18 Draft 1)</w:t>
      </w:r>
      <w:r>
        <w:tab/>
      </w:r>
      <w:r>
        <w:fldChar w:fldCharType="begin"/>
      </w:r>
      <w:r>
        <w:instrText xml:space="preserve"> PAGEREF _Toc177401387 \h </w:instrText>
      </w:r>
      <w:r>
        <w:fldChar w:fldCharType="separate"/>
      </w:r>
      <w:r>
        <w:t>8</w:t>
      </w:r>
      <w:r>
        <w:fldChar w:fldCharType="end"/>
      </w:r>
    </w:p>
    <w:p w14:paraId="4B98EFA3" w14:textId="5A56D73F"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TGP</w:t>
      </w:r>
      <w:r w:rsidRPr="000951BF">
        <w:rPr>
          <w:snapToGrid w:val="0"/>
        </w:rPr>
        <w:t>/0 : Liste des documents TGP et date de la version la plus récente de ces documents (révision) (document TGP/0/16 Draft 1)</w:t>
      </w:r>
      <w:r>
        <w:tab/>
      </w:r>
      <w:r>
        <w:fldChar w:fldCharType="begin"/>
      </w:r>
      <w:r>
        <w:instrText xml:space="preserve"> PAGEREF _Toc177401388 \h </w:instrText>
      </w:r>
      <w:r>
        <w:fldChar w:fldCharType="separate"/>
      </w:r>
      <w:r>
        <w:t>8</w:t>
      </w:r>
      <w:r>
        <w:fldChar w:fldCharType="end"/>
      </w:r>
    </w:p>
    <w:p w14:paraId="452E2D63" w14:textId="3A9A7F04" w:rsidR="00DE51D7" w:rsidRDefault="00DE51D7">
      <w:pPr>
        <w:pStyle w:val="TOC1"/>
        <w:rPr>
          <w:rFonts w:asciiTheme="minorHAnsi" w:eastAsiaTheme="minorEastAsia" w:hAnsiTheme="minorHAnsi" w:cstheme="minorBidi"/>
          <w:caps w:val="0"/>
          <w:noProof/>
          <w:kern w:val="2"/>
          <w:sz w:val="24"/>
          <w:szCs w:val="24"/>
          <w:lang w:val="en-GB" w:eastAsia="en-GB"/>
          <w14:ligatures w14:val="standardContextual"/>
        </w:rPr>
      </w:pPr>
      <w:r w:rsidRPr="000951BF">
        <w:rPr>
          <w:noProof/>
          <w:lang w:val="fr-FR"/>
        </w:rPr>
        <w:t>II.</w:t>
      </w:r>
      <w:r>
        <w:rPr>
          <w:rFonts w:asciiTheme="minorHAnsi" w:eastAsiaTheme="minorEastAsia" w:hAnsiTheme="minorHAnsi" w:cstheme="minorBidi"/>
          <w:caps w:val="0"/>
          <w:noProof/>
          <w:kern w:val="2"/>
          <w:sz w:val="24"/>
          <w:szCs w:val="24"/>
          <w:lang w:val="en-GB" w:eastAsia="en-GB"/>
          <w14:ligatures w14:val="standardContextual"/>
        </w:rPr>
        <w:tab/>
      </w:r>
      <w:r w:rsidRPr="000951BF">
        <w:rPr>
          <w:noProof/>
          <w:lang w:val="fr-FR"/>
        </w:rPr>
        <w:t>Questions pour examen par le ComitÉ technique</w:t>
      </w:r>
      <w:r>
        <w:rPr>
          <w:noProof/>
        </w:rPr>
        <w:tab/>
      </w:r>
      <w:r>
        <w:rPr>
          <w:noProof/>
        </w:rPr>
        <w:fldChar w:fldCharType="begin"/>
      </w:r>
      <w:r>
        <w:rPr>
          <w:noProof/>
        </w:rPr>
        <w:instrText xml:space="preserve"> PAGEREF _Toc177401389 \h </w:instrText>
      </w:r>
      <w:r>
        <w:rPr>
          <w:noProof/>
        </w:rPr>
      </w:r>
      <w:r>
        <w:rPr>
          <w:noProof/>
        </w:rPr>
        <w:fldChar w:fldCharType="separate"/>
      </w:r>
      <w:r>
        <w:rPr>
          <w:noProof/>
        </w:rPr>
        <w:t>9</w:t>
      </w:r>
      <w:r>
        <w:rPr>
          <w:noProof/>
        </w:rPr>
        <w:fldChar w:fldCharType="end"/>
      </w:r>
    </w:p>
    <w:p w14:paraId="178FFB65" w14:textId="7ABB052E"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TGP/5 “Expérience et coopération en matière d’examen DHS”, Section 6 “Rapport UPOV d’examen technique et Formulaire UPOV de description variétale” (révision)</w:t>
      </w:r>
      <w:r>
        <w:tab/>
      </w:r>
      <w:r>
        <w:fldChar w:fldCharType="begin"/>
      </w:r>
      <w:r>
        <w:instrText xml:space="preserve"> PAGEREF _Toc177401390 \h </w:instrText>
      </w:r>
      <w:r>
        <w:fldChar w:fldCharType="separate"/>
      </w:r>
      <w:r>
        <w:t>9</w:t>
      </w:r>
      <w:r>
        <w:fldChar w:fldCharType="end"/>
      </w:r>
    </w:p>
    <w:p w14:paraId="09AC0FA9" w14:textId="591D609C"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Sous-section “Formulaire UPOV de de</w:t>
      </w:r>
      <w:r w:rsidRPr="000951BF">
        <w:rPr>
          <w:rFonts w:eastAsia="MS Mincho"/>
          <w:spacing w:val="-2"/>
        </w:rPr>
        <w:t>scription variétale</w:t>
      </w:r>
      <w:r w:rsidRPr="000951BF">
        <w:t>”, point 16 “Variétés voisines et différences par rapport à ces variétés”</w:t>
      </w:r>
      <w:r>
        <w:tab/>
      </w:r>
      <w:r>
        <w:fldChar w:fldCharType="begin"/>
      </w:r>
      <w:r>
        <w:instrText xml:space="preserve"> PAGEREF _Toc177401391 \h </w:instrText>
      </w:r>
      <w:r>
        <w:fldChar w:fldCharType="separate"/>
      </w:r>
      <w:r>
        <w:t>9</w:t>
      </w:r>
      <w:r>
        <w:fldChar w:fldCharType="end"/>
      </w:r>
    </w:p>
    <w:p w14:paraId="28E18230" w14:textId="672180DA"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t>Proposition</w:t>
      </w:r>
      <w:r>
        <w:tab/>
      </w:r>
      <w:r>
        <w:fldChar w:fldCharType="begin"/>
      </w:r>
      <w:r>
        <w:instrText xml:space="preserve"> PAGEREF _Toc177401392 \h </w:instrText>
      </w:r>
      <w:r>
        <w:fldChar w:fldCharType="separate"/>
      </w:r>
      <w:r>
        <w:t>9</w:t>
      </w:r>
      <w:r>
        <w:fldChar w:fldCharType="end"/>
      </w:r>
    </w:p>
    <w:p w14:paraId="6E4C4353" w14:textId="63C4CD72"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Sous-section “Formulaire UPOV de de</w:t>
      </w:r>
      <w:r w:rsidRPr="000951BF">
        <w:rPr>
          <w:rFonts w:eastAsia="MS Mincho"/>
          <w:spacing w:val="-2"/>
        </w:rPr>
        <w:t>scription variétale</w:t>
      </w:r>
      <w:r w:rsidRPr="000951BF">
        <w:t>”, point 17 “Renseignements complémentaires”</w:t>
      </w:r>
      <w:r>
        <w:tab/>
      </w:r>
      <w:r>
        <w:fldChar w:fldCharType="begin"/>
      </w:r>
      <w:r>
        <w:instrText xml:space="preserve"> PAGEREF _Toc177401393 \h </w:instrText>
      </w:r>
      <w:r>
        <w:fldChar w:fldCharType="separate"/>
      </w:r>
      <w:r>
        <w:t>10</w:t>
      </w:r>
      <w:r>
        <w:fldChar w:fldCharType="end"/>
      </w:r>
    </w:p>
    <w:p w14:paraId="7EBFC9D3" w14:textId="3B572F45" w:rsidR="00DE51D7" w:rsidRDefault="00DE51D7">
      <w:pPr>
        <w:pStyle w:val="TOC4"/>
        <w:rPr>
          <w:rFonts w:asciiTheme="minorHAnsi" w:eastAsiaTheme="minorEastAsia" w:hAnsiTheme="minorHAnsi" w:cstheme="minorBidi"/>
          <w:kern w:val="2"/>
          <w:sz w:val="24"/>
          <w:szCs w:val="24"/>
          <w:lang w:val="en-GB" w:eastAsia="en-GB"/>
          <w14:ligatures w14:val="standardContextual"/>
        </w:rPr>
      </w:pPr>
      <w:r w:rsidRPr="000951BF">
        <w:rPr>
          <w:rFonts w:eastAsia="MS Mincho"/>
        </w:rPr>
        <w:t>Proposition</w:t>
      </w:r>
      <w:r>
        <w:tab/>
      </w:r>
      <w:r>
        <w:fldChar w:fldCharType="begin"/>
      </w:r>
      <w:r>
        <w:instrText xml:space="preserve"> PAGEREF _Toc177401394 \h </w:instrText>
      </w:r>
      <w:r>
        <w:fldChar w:fldCharType="separate"/>
      </w:r>
      <w:r>
        <w:t>10</w:t>
      </w:r>
      <w:r>
        <w:fldChar w:fldCharType="end"/>
      </w:r>
    </w:p>
    <w:p w14:paraId="1EAE9B77" w14:textId="0C5D4699"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Structure du document TGP/5, Section 6 “</w:t>
      </w:r>
      <w:r w:rsidRPr="000951BF">
        <w:rPr>
          <w:rFonts w:eastAsia="MS Mincho"/>
        </w:rPr>
        <w:t>Rapport UPOV d’examen technique et Formulaire UPOV de description variétale</w:t>
      </w:r>
      <w:r w:rsidRPr="000951BF">
        <w:t>”</w:t>
      </w:r>
      <w:r>
        <w:tab/>
      </w:r>
      <w:r>
        <w:fldChar w:fldCharType="begin"/>
      </w:r>
      <w:r>
        <w:instrText xml:space="preserve"> PAGEREF _Toc177401395 \h </w:instrText>
      </w:r>
      <w:r>
        <w:fldChar w:fldCharType="separate"/>
      </w:r>
      <w:r>
        <w:t>10</w:t>
      </w:r>
      <w:r>
        <w:fldChar w:fldCharType="end"/>
      </w:r>
    </w:p>
    <w:p w14:paraId="2B8EE8CB" w14:textId="674BF87F"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TGP/7 : Élaboration des principes directeurs d’examen (révision)</w:t>
      </w:r>
      <w:r>
        <w:tab/>
      </w:r>
      <w:r>
        <w:fldChar w:fldCharType="begin"/>
      </w:r>
      <w:r>
        <w:instrText xml:space="preserve"> PAGEREF _Toc177401396 \h </w:instrText>
      </w:r>
      <w:r>
        <w:fldChar w:fldCharType="separate"/>
      </w:r>
      <w:r>
        <w:t>10</w:t>
      </w:r>
      <w:r>
        <w:fldChar w:fldCharType="end"/>
      </w:r>
    </w:p>
    <w:p w14:paraId="24856EF1" w14:textId="1FFF93CA"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rPr>
          <w:iCs/>
        </w:rPr>
        <w:t xml:space="preserve">Texte standard supplémentaire </w:t>
      </w:r>
      <w:r w:rsidRPr="000951BF">
        <w:t>(ASW) 7.b) – Nombre de plantes/parties de plantes à examiner</w:t>
      </w:r>
      <w:r>
        <w:tab/>
      </w:r>
      <w:r>
        <w:fldChar w:fldCharType="begin"/>
      </w:r>
      <w:r>
        <w:instrText xml:space="preserve"> PAGEREF _Toc177401397 \h </w:instrText>
      </w:r>
      <w:r>
        <w:fldChar w:fldCharType="separate"/>
      </w:r>
      <w:r>
        <w:t>10</w:t>
      </w:r>
      <w:r>
        <w:fldChar w:fldCharType="end"/>
      </w:r>
    </w:p>
    <w:p w14:paraId="2DFDDA0F" w14:textId="61E0B59C" w:rsidR="00DE51D7" w:rsidRDefault="00DE51D7">
      <w:pPr>
        <w:pStyle w:val="TOC3"/>
        <w:rPr>
          <w:rFonts w:asciiTheme="minorHAnsi" w:eastAsiaTheme="minorEastAsia" w:hAnsiTheme="minorHAnsi" w:cstheme="minorBidi"/>
          <w:i w:val="0"/>
          <w:kern w:val="2"/>
          <w:sz w:val="24"/>
          <w:szCs w:val="24"/>
          <w:lang w:val="en-GB" w:eastAsia="en-GB"/>
          <w14:ligatures w14:val="standardContextual"/>
        </w:rPr>
      </w:pPr>
      <w:r w:rsidRPr="000951BF">
        <w:t>Note indicative GN 28 “Variétés indiquées à titre d’exemples” – Variétés indiquées à titre d’exemples pour les caractères quantitatifs marqués d’un astérisque lorsque des illustrations sont fournies</w:t>
      </w:r>
      <w:r>
        <w:tab/>
      </w:r>
      <w:r>
        <w:fldChar w:fldCharType="begin"/>
      </w:r>
      <w:r>
        <w:instrText xml:space="preserve"> PAGEREF _Toc177401398 \h </w:instrText>
      </w:r>
      <w:r>
        <w:fldChar w:fldCharType="separate"/>
      </w:r>
      <w:r>
        <w:t>11</w:t>
      </w:r>
      <w:r>
        <w:fldChar w:fldCharType="end"/>
      </w:r>
    </w:p>
    <w:p w14:paraId="7EA3485D" w14:textId="5463FDB0" w:rsidR="00DE51D7" w:rsidRDefault="00DE51D7">
      <w:pPr>
        <w:pStyle w:val="TOC2"/>
        <w:rPr>
          <w:rFonts w:asciiTheme="minorHAnsi" w:eastAsiaTheme="minorEastAsia" w:hAnsiTheme="minorHAnsi" w:cstheme="minorBidi"/>
          <w:kern w:val="2"/>
          <w:sz w:val="24"/>
          <w:szCs w:val="24"/>
          <w:lang w:val="en-GB" w:eastAsia="en-GB"/>
          <w14:ligatures w14:val="standardContextual"/>
        </w:rPr>
      </w:pPr>
      <w:r w:rsidRPr="000951BF">
        <w:rPr>
          <w:lang w:val="fr-FR"/>
        </w:rPr>
        <w:t>Accès au matériel végétal aux fins de la gestion des collections de variétés et de l’examen DHS</w:t>
      </w:r>
      <w:r>
        <w:tab/>
      </w:r>
      <w:r>
        <w:fldChar w:fldCharType="begin"/>
      </w:r>
      <w:r>
        <w:instrText xml:space="preserve"> PAGEREF _Toc177401399 \h </w:instrText>
      </w:r>
      <w:r>
        <w:fldChar w:fldCharType="separate"/>
      </w:r>
      <w:r>
        <w:t>11</w:t>
      </w:r>
      <w:r>
        <w:fldChar w:fldCharType="end"/>
      </w:r>
    </w:p>
    <w:p w14:paraId="7B3B3C19" w14:textId="46D77205" w:rsidR="00435487" w:rsidRPr="00994516" w:rsidRDefault="002F0610" w:rsidP="002F0610">
      <w:pPr>
        <w:tabs>
          <w:tab w:val="left" w:pos="2790"/>
        </w:tabs>
        <w:spacing w:before="120" w:after="120"/>
        <w:ind w:left="1140" w:right="284" w:hanging="1140"/>
        <w:jc w:val="left"/>
        <w:rPr>
          <w:sz w:val="18"/>
        </w:rPr>
      </w:pPr>
      <w:r w:rsidRPr="00994516">
        <w:fldChar w:fldCharType="end"/>
      </w:r>
      <w:r w:rsidR="00435487" w:rsidRPr="00994516">
        <w:rPr>
          <w:sz w:val="18"/>
        </w:rPr>
        <w:t>ANNEXE</w:t>
      </w:r>
      <w:r w:rsidR="00435B85" w:rsidRPr="00994516">
        <w:rPr>
          <w:sz w:val="18"/>
        </w:rPr>
        <w:t> </w:t>
      </w:r>
      <w:r w:rsidR="00435487" w:rsidRPr="00994516">
        <w:rPr>
          <w:sz w:val="18"/>
        </w:rPr>
        <w:t>I</w:t>
      </w:r>
      <w:r w:rsidR="008569CE" w:rsidRPr="00994516">
        <w:rPr>
          <w:sz w:val="18"/>
        </w:rPr>
        <w:t> </w:t>
      </w:r>
      <w:r w:rsidR="00435487" w:rsidRPr="00994516">
        <w:rPr>
          <w:sz w:val="18"/>
        </w:rPr>
        <w:t>:</w:t>
      </w:r>
      <w:r w:rsidR="00435487" w:rsidRPr="00994516">
        <w:rPr>
          <w:sz w:val="18"/>
        </w:rPr>
        <w:tab/>
      </w:r>
      <w:r w:rsidR="00ED0578">
        <w:rPr>
          <w:sz w:val="18"/>
        </w:rPr>
        <w:t>Révision du d</w:t>
      </w:r>
      <w:r w:rsidR="00435487" w:rsidRPr="00994516">
        <w:rPr>
          <w:sz w:val="18"/>
        </w:rPr>
        <w:t>ocument UPOV/EXN/DEN</w:t>
      </w:r>
      <w:r w:rsidR="00ED0578">
        <w:rPr>
          <w:sz w:val="18"/>
        </w:rPr>
        <w:t>/3</w:t>
      </w:r>
      <w:r w:rsidR="00435487" w:rsidRPr="00994516">
        <w:rPr>
          <w:sz w:val="18"/>
        </w:rPr>
        <w:t xml:space="preserve"> </w:t>
      </w:r>
      <w:r w:rsidR="000F2A13">
        <w:rPr>
          <w:sz w:val="18"/>
        </w:rPr>
        <w:t>“</w:t>
      </w:r>
      <w:r w:rsidR="00435487" w:rsidRPr="00994516">
        <w:rPr>
          <w:sz w:val="18"/>
        </w:rPr>
        <w:t>Notes explicatives sur les dénominations variétales en vertu de la Convention UPOV</w:t>
      </w:r>
      <w:r w:rsidR="000F2A13">
        <w:rPr>
          <w:sz w:val="18"/>
        </w:rPr>
        <w:t>”</w:t>
      </w:r>
      <w:r w:rsidR="00435487" w:rsidRPr="00994516">
        <w:rPr>
          <w:sz w:val="18"/>
        </w:rPr>
        <w:t xml:space="preserve"> (</w:t>
      </w:r>
      <w:r w:rsidR="00ED0578">
        <w:rPr>
          <w:sz w:val="18"/>
        </w:rPr>
        <w:t>document UPOV/EXN/DEN/4</w:t>
      </w:r>
      <w:r w:rsidR="00435487" w:rsidRPr="00994516">
        <w:rPr>
          <w:sz w:val="18"/>
        </w:rPr>
        <w:t>) – Nouvelles classes de dénominations variétales pour Prunus et situations nécessitant la comparaison d’une dénomination avec d’autres classes au sein d’un genre</w:t>
      </w:r>
    </w:p>
    <w:p w14:paraId="2A0B073C" w14:textId="21DD7DA5" w:rsidR="00435487" w:rsidRPr="00994516" w:rsidRDefault="00435487" w:rsidP="002F0610">
      <w:pPr>
        <w:tabs>
          <w:tab w:val="left" w:pos="2790"/>
        </w:tabs>
        <w:spacing w:before="120" w:after="120"/>
        <w:ind w:left="1140" w:right="284" w:hanging="1140"/>
        <w:jc w:val="left"/>
        <w:rPr>
          <w:sz w:val="18"/>
        </w:rPr>
      </w:pPr>
      <w:r w:rsidRPr="00994516">
        <w:rPr>
          <w:sz w:val="18"/>
        </w:rPr>
        <w:t>ANNEXE</w:t>
      </w:r>
      <w:r w:rsidR="008569CE" w:rsidRPr="00994516">
        <w:rPr>
          <w:sz w:val="18"/>
        </w:rPr>
        <w:t> </w:t>
      </w:r>
      <w:r w:rsidRPr="00994516">
        <w:rPr>
          <w:sz w:val="18"/>
        </w:rPr>
        <w:t>II</w:t>
      </w:r>
      <w:r w:rsidR="008569CE" w:rsidRPr="00994516">
        <w:rPr>
          <w:sz w:val="18"/>
        </w:rPr>
        <w:t> </w:t>
      </w:r>
      <w:r w:rsidRPr="00994516">
        <w:rPr>
          <w:sz w:val="18"/>
        </w:rPr>
        <w:t>:</w:t>
      </w:r>
      <w:r w:rsidRPr="00994516">
        <w:rPr>
          <w:sz w:val="18"/>
        </w:rPr>
        <w:tab/>
        <w:t>Document</w:t>
      </w:r>
      <w:r w:rsidR="002D309C" w:rsidRPr="00994516">
        <w:rPr>
          <w:sz w:val="18"/>
        </w:rPr>
        <w:t> </w:t>
      </w:r>
      <w:r w:rsidRPr="00994516">
        <w:rPr>
          <w:sz w:val="18"/>
        </w:rPr>
        <w:t>TGP/12</w:t>
      </w:r>
      <w:r w:rsidR="008569CE" w:rsidRPr="00994516">
        <w:rPr>
          <w:sz w:val="18"/>
        </w:rPr>
        <w:t> </w:t>
      </w:r>
      <w:r w:rsidRPr="00994516">
        <w:rPr>
          <w:sz w:val="18"/>
        </w:rPr>
        <w:t>: Conseils en ce qui concerne certains caractères physiologiques (révision) – Tableau d’équivalence entre les niveaux d’expression des caractères quantitatifs de résistance aux maladies qui figurent dans les principes directeurs d’examen</w:t>
      </w:r>
    </w:p>
    <w:p w14:paraId="0ED20466" w14:textId="66B745A9" w:rsidR="00435487" w:rsidRPr="00994516" w:rsidRDefault="00435487" w:rsidP="00435B85">
      <w:pPr>
        <w:tabs>
          <w:tab w:val="left" w:pos="2790"/>
        </w:tabs>
        <w:spacing w:before="40" w:after="40"/>
        <w:ind w:left="1138" w:right="283" w:hanging="1138"/>
        <w:jc w:val="left"/>
        <w:rPr>
          <w:sz w:val="18"/>
        </w:rPr>
      </w:pPr>
      <w:r w:rsidRPr="00994516">
        <w:rPr>
          <w:sz w:val="18"/>
        </w:rPr>
        <w:t>ANNEXE</w:t>
      </w:r>
      <w:r w:rsidR="008569CE" w:rsidRPr="00994516">
        <w:rPr>
          <w:sz w:val="18"/>
        </w:rPr>
        <w:t> </w:t>
      </w:r>
      <w:r w:rsidRPr="00994516">
        <w:rPr>
          <w:sz w:val="18"/>
        </w:rPr>
        <w:t>III</w:t>
      </w:r>
      <w:r w:rsidR="008569CE" w:rsidRPr="00994516">
        <w:rPr>
          <w:sz w:val="18"/>
        </w:rPr>
        <w:t> </w:t>
      </w:r>
      <w:r w:rsidRPr="00994516">
        <w:rPr>
          <w:sz w:val="18"/>
        </w:rPr>
        <w:t>:</w:t>
      </w:r>
      <w:r w:rsidRPr="00994516">
        <w:rPr>
          <w:sz w:val="18"/>
        </w:rPr>
        <w:tab/>
        <w:t>Document</w:t>
      </w:r>
      <w:r w:rsidR="002D309C" w:rsidRPr="00994516">
        <w:rPr>
          <w:sz w:val="18"/>
        </w:rPr>
        <w:t> </w:t>
      </w:r>
      <w:r w:rsidRPr="00994516">
        <w:rPr>
          <w:sz w:val="18"/>
        </w:rPr>
        <w:t>TPG/5</w:t>
      </w:r>
      <w:r w:rsidR="008569CE" w:rsidRPr="00994516">
        <w:rPr>
          <w:sz w:val="18"/>
        </w:rPr>
        <w:t> </w:t>
      </w:r>
      <w:r w:rsidRPr="00994516">
        <w:rPr>
          <w:sz w:val="18"/>
        </w:rPr>
        <w:t>: Section</w:t>
      </w:r>
      <w:r w:rsidR="008569CE" w:rsidRPr="00994516">
        <w:rPr>
          <w:sz w:val="18"/>
        </w:rPr>
        <w:t> </w:t>
      </w:r>
      <w:r w:rsidRPr="00994516">
        <w:rPr>
          <w:sz w:val="18"/>
        </w:rPr>
        <w:t>6</w:t>
      </w:r>
      <w:r w:rsidR="008569CE" w:rsidRPr="00994516">
        <w:rPr>
          <w:sz w:val="18"/>
        </w:rPr>
        <w:t> </w:t>
      </w:r>
      <w:r w:rsidRPr="00994516">
        <w:rPr>
          <w:sz w:val="18"/>
        </w:rPr>
        <w:t>: Rapport UPOV d’examen technique et Formulaire UPOV de description variétale</w:t>
      </w:r>
    </w:p>
    <w:p w14:paraId="29FF8596" w14:textId="5EECAAA0" w:rsidR="00435487" w:rsidRPr="00994516" w:rsidRDefault="00435487" w:rsidP="002F0610">
      <w:pPr>
        <w:tabs>
          <w:tab w:val="left" w:pos="2790"/>
        </w:tabs>
        <w:spacing w:after="40"/>
        <w:ind w:left="1276" w:right="284" w:hanging="142"/>
        <w:jc w:val="left"/>
        <w:rPr>
          <w:sz w:val="18"/>
        </w:rPr>
      </w:pPr>
      <w:r w:rsidRPr="00994516">
        <w:rPr>
          <w:sz w:val="18"/>
        </w:rPr>
        <w:t>– Section “Formulaire UPOV de description variétale</w:t>
      </w:r>
      <w:r w:rsidR="008569CE" w:rsidRPr="00994516">
        <w:rPr>
          <w:sz w:val="18"/>
        </w:rPr>
        <w:t>” </w:t>
      </w:r>
      <w:r w:rsidRPr="00994516">
        <w:rPr>
          <w:sz w:val="18"/>
        </w:rPr>
        <w:t>: point</w:t>
      </w:r>
      <w:r w:rsidR="008569CE" w:rsidRPr="00994516">
        <w:rPr>
          <w:sz w:val="18"/>
        </w:rPr>
        <w:t> </w:t>
      </w:r>
      <w:r w:rsidRPr="00994516">
        <w:rPr>
          <w:sz w:val="18"/>
        </w:rPr>
        <w:t>16 “Variétés voisines et différences par rapport à ces variétés”</w:t>
      </w:r>
    </w:p>
    <w:p w14:paraId="4AB49EBD" w14:textId="07406A82" w:rsidR="00435487" w:rsidRPr="00994516" w:rsidRDefault="00435487" w:rsidP="002F0610">
      <w:pPr>
        <w:tabs>
          <w:tab w:val="left" w:pos="2790"/>
        </w:tabs>
        <w:spacing w:after="120"/>
        <w:ind w:left="1276" w:right="284" w:hanging="142"/>
        <w:jc w:val="left"/>
        <w:rPr>
          <w:sz w:val="18"/>
        </w:rPr>
      </w:pPr>
      <w:r w:rsidRPr="00994516">
        <w:rPr>
          <w:sz w:val="18"/>
        </w:rPr>
        <w:t>– Section “Formulaire UPOV de description variétale</w:t>
      </w:r>
      <w:r w:rsidR="008569CE" w:rsidRPr="00994516">
        <w:rPr>
          <w:sz w:val="18"/>
        </w:rPr>
        <w:t>” </w:t>
      </w:r>
      <w:r w:rsidRPr="00994516">
        <w:rPr>
          <w:sz w:val="18"/>
        </w:rPr>
        <w:t>: point</w:t>
      </w:r>
      <w:r w:rsidR="008569CE" w:rsidRPr="00994516">
        <w:rPr>
          <w:sz w:val="18"/>
        </w:rPr>
        <w:t> </w:t>
      </w:r>
      <w:r w:rsidRPr="00994516">
        <w:rPr>
          <w:sz w:val="18"/>
        </w:rPr>
        <w:t>17 “Renseignements complémentaires”</w:t>
      </w:r>
    </w:p>
    <w:p w14:paraId="76F0B73B" w14:textId="1338C14C" w:rsidR="00435487" w:rsidRPr="00994516" w:rsidRDefault="00435487" w:rsidP="00435B85">
      <w:pPr>
        <w:tabs>
          <w:tab w:val="left" w:pos="2790"/>
        </w:tabs>
        <w:spacing w:before="40" w:after="40"/>
        <w:ind w:left="1138" w:right="283" w:hanging="1138"/>
        <w:jc w:val="left"/>
        <w:rPr>
          <w:sz w:val="18"/>
        </w:rPr>
      </w:pPr>
      <w:r w:rsidRPr="00994516">
        <w:rPr>
          <w:sz w:val="18"/>
        </w:rPr>
        <w:t>ANNEXE</w:t>
      </w:r>
      <w:r w:rsidR="008569CE" w:rsidRPr="00994516">
        <w:rPr>
          <w:sz w:val="18"/>
        </w:rPr>
        <w:t> </w:t>
      </w:r>
      <w:r w:rsidRPr="00994516">
        <w:rPr>
          <w:sz w:val="18"/>
        </w:rPr>
        <w:t>IV</w:t>
      </w:r>
      <w:r w:rsidR="008569CE" w:rsidRPr="00994516">
        <w:rPr>
          <w:sz w:val="18"/>
        </w:rPr>
        <w:t> </w:t>
      </w:r>
      <w:r w:rsidRPr="00994516">
        <w:rPr>
          <w:sz w:val="18"/>
        </w:rPr>
        <w:t>:</w:t>
      </w:r>
      <w:r w:rsidRPr="00994516">
        <w:rPr>
          <w:sz w:val="18"/>
        </w:rPr>
        <w:tab/>
        <w:t>Document</w:t>
      </w:r>
      <w:r w:rsidR="002D309C" w:rsidRPr="00994516">
        <w:rPr>
          <w:sz w:val="18"/>
        </w:rPr>
        <w:t> </w:t>
      </w:r>
      <w:r w:rsidRPr="00994516">
        <w:rPr>
          <w:sz w:val="18"/>
        </w:rPr>
        <w:t>TGP/7</w:t>
      </w:r>
      <w:r w:rsidR="008569CE" w:rsidRPr="00994516">
        <w:rPr>
          <w:sz w:val="18"/>
        </w:rPr>
        <w:t> </w:t>
      </w:r>
      <w:r w:rsidRPr="00994516">
        <w:rPr>
          <w:sz w:val="18"/>
        </w:rPr>
        <w:t>: Élaboration des principes directeurs d’examen (révision)</w:t>
      </w:r>
    </w:p>
    <w:p w14:paraId="0BB24C6C" w14:textId="77777777" w:rsidR="00435487" w:rsidRPr="00994516" w:rsidRDefault="00435487" w:rsidP="002F0610">
      <w:pPr>
        <w:tabs>
          <w:tab w:val="left" w:pos="2790"/>
        </w:tabs>
        <w:spacing w:after="40"/>
        <w:ind w:left="1276" w:right="284" w:hanging="142"/>
        <w:jc w:val="left"/>
        <w:rPr>
          <w:sz w:val="18"/>
        </w:rPr>
      </w:pPr>
      <w:r w:rsidRPr="00994516">
        <w:rPr>
          <w:sz w:val="18"/>
        </w:rPr>
        <w:t>– Texte standard supplémentaire (ASW) 7.b) “Nombre de plantes/parties de plantes à examiner”</w:t>
      </w:r>
    </w:p>
    <w:p w14:paraId="522A739F" w14:textId="38FC3A11" w:rsidR="00435487" w:rsidRPr="00994516" w:rsidRDefault="00435487" w:rsidP="002F0610">
      <w:pPr>
        <w:tabs>
          <w:tab w:val="left" w:pos="2790"/>
        </w:tabs>
        <w:spacing w:after="120"/>
        <w:ind w:left="1276" w:right="284" w:hanging="142"/>
        <w:jc w:val="left"/>
        <w:rPr>
          <w:sz w:val="18"/>
        </w:rPr>
      </w:pPr>
      <w:r w:rsidRPr="00994516">
        <w:rPr>
          <w:sz w:val="18"/>
        </w:rPr>
        <w:t>– Note indicative GN</w:t>
      </w:r>
      <w:r w:rsidR="008569CE" w:rsidRPr="00994516">
        <w:rPr>
          <w:sz w:val="18"/>
        </w:rPr>
        <w:t> </w:t>
      </w:r>
      <w:r w:rsidRPr="00994516">
        <w:rPr>
          <w:sz w:val="18"/>
        </w:rPr>
        <w:t>28 “Exemples de variétés” – Variétés indiquées à titre d’exemples pour les caractères quantitatifs marqués d’un astérisque lorsque des illustrations sont fournies</w:t>
      </w:r>
    </w:p>
    <w:p w14:paraId="0FD32FF5" w14:textId="421BF3C6" w:rsidR="00435487" w:rsidRPr="00994516" w:rsidRDefault="00435487" w:rsidP="002F0610">
      <w:pPr>
        <w:tabs>
          <w:tab w:val="left" w:pos="2790"/>
        </w:tabs>
        <w:spacing w:before="120" w:after="120"/>
        <w:ind w:left="1140" w:right="284" w:hanging="1140"/>
        <w:jc w:val="left"/>
        <w:rPr>
          <w:sz w:val="18"/>
        </w:rPr>
      </w:pPr>
      <w:r w:rsidRPr="00994516">
        <w:rPr>
          <w:sz w:val="18"/>
        </w:rPr>
        <w:t>ANNEXE</w:t>
      </w:r>
      <w:r w:rsidR="00435B85" w:rsidRPr="00994516">
        <w:rPr>
          <w:sz w:val="18"/>
        </w:rPr>
        <w:t> </w:t>
      </w:r>
      <w:r w:rsidRPr="00994516">
        <w:rPr>
          <w:sz w:val="18"/>
        </w:rPr>
        <w:t>V</w:t>
      </w:r>
      <w:r w:rsidR="008569CE" w:rsidRPr="00994516">
        <w:rPr>
          <w:sz w:val="18"/>
        </w:rPr>
        <w:t> </w:t>
      </w:r>
      <w:r w:rsidRPr="00994516">
        <w:rPr>
          <w:sz w:val="18"/>
        </w:rPr>
        <w:t>:</w:t>
      </w:r>
      <w:r w:rsidRPr="00994516">
        <w:rPr>
          <w:sz w:val="18"/>
        </w:rPr>
        <w:tab/>
        <w:t>Accès au matériel végétal aux fins de la gestion des collections de variétés et de l’examen DHS</w:t>
      </w:r>
    </w:p>
    <w:p w14:paraId="3AC478AC" w14:textId="3DF16377" w:rsidR="00435487" w:rsidRPr="00994516" w:rsidRDefault="00435487" w:rsidP="002F0610">
      <w:pPr>
        <w:tabs>
          <w:tab w:val="left" w:pos="2790"/>
        </w:tabs>
        <w:spacing w:before="120" w:after="120"/>
        <w:ind w:left="1140" w:right="284" w:hanging="1140"/>
        <w:jc w:val="left"/>
        <w:rPr>
          <w:sz w:val="18"/>
        </w:rPr>
      </w:pPr>
      <w:proofErr w:type="gramStart"/>
      <w:r w:rsidRPr="00994516">
        <w:rPr>
          <w:sz w:val="18"/>
        </w:rPr>
        <w:t>ANNEXE</w:t>
      </w:r>
      <w:r w:rsidR="008569CE" w:rsidRPr="00994516">
        <w:rPr>
          <w:sz w:val="18"/>
        </w:rPr>
        <w:t> </w:t>
      </w:r>
      <w:r w:rsidRPr="00994516">
        <w:rPr>
          <w:sz w:val="18"/>
        </w:rPr>
        <w:t>VI</w:t>
      </w:r>
      <w:proofErr w:type="gramEnd"/>
      <w:r w:rsidR="008569CE" w:rsidRPr="00994516">
        <w:rPr>
          <w:sz w:val="18"/>
        </w:rPr>
        <w:t> </w:t>
      </w:r>
      <w:r w:rsidRPr="00994516">
        <w:rPr>
          <w:sz w:val="18"/>
        </w:rPr>
        <w:t>:</w:t>
      </w:r>
      <w:r w:rsidRPr="00994516">
        <w:rPr>
          <w:sz w:val="18"/>
        </w:rPr>
        <w:tab/>
        <w:t>Propositions de modifications du document</w:t>
      </w:r>
      <w:r w:rsidR="002D309C" w:rsidRPr="00994516">
        <w:rPr>
          <w:sz w:val="18"/>
        </w:rPr>
        <w:t> </w:t>
      </w:r>
      <w:r w:rsidRPr="00994516">
        <w:rPr>
          <w:sz w:val="18"/>
        </w:rPr>
        <w:t>UPOV/INF/6/6 “Orientations en vue de la rédaction de lois fondées sur l’Acte de 1991 de la Convention UPOV” (document</w:t>
      </w:r>
      <w:r w:rsidR="002D309C" w:rsidRPr="00994516">
        <w:rPr>
          <w:sz w:val="18"/>
        </w:rPr>
        <w:t> </w:t>
      </w:r>
      <w:r w:rsidRPr="00994516">
        <w:rPr>
          <w:sz w:val="18"/>
        </w:rPr>
        <w:t>UPOV/INF/6/7)</w:t>
      </w:r>
    </w:p>
    <w:p w14:paraId="12D0D1F6" w14:textId="77777777" w:rsidR="00234882" w:rsidRPr="00994516" w:rsidRDefault="00234882">
      <w:pPr>
        <w:jc w:val="left"/>
      </w:pPr>
      <w:bookmarkStart w:id="1" w:name="Rappel"/>
      <w:r w:rsidRPr="00994516">
        <w:br w:type="page"/>
      </w:r>
    </w:p>
    <w:p w14:paraId="5076C3B7" w14:textId="74C3B3AC" w:rsidR="00435487" w:rsidRPr="00994516" w:rsidRDefault="00435487" w:rsidP="00234882">
      <w:pPr>
        <w:pStyle w:val="Heading1"/>
        <w:rPr>
          <w:lang w:val="fr-FR"/>
        </w:rPr>
      </w:pPr>
      <w:bookmarkStart w:id="2" w:name="_Toc177113751"/>
      <w:bookmarkStart w:id="3" w:name="_Toc177401371"/>
      <w:r w:rsidRPr="00994516">
        <w:rPr>
          <w:lang w:val="fr-FR"/>
        </w:rPr>
        <w:lastRenderedPageBreak/>
        <w:t>RAPPEL</w:t>
      </w:r>
      <w:bookmarkEnd w:id="2"/>
      <w:bookmarkEnd w:id="3"/>
    </w:p>
    <w:bookmarkEnd w:id="1"/>
    <w:p w14:paraId="773F2ACE" w14:textId="77777777" w:rsidR="00435487" w:rsidRPr="00994516" w:rsidRDefault="00435487" w:rsidP="00435487"/>
    <w:p w14:paraId="4D5A0D2F" w14:textId="5C9BEBD9"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Les documents d’orientation et d’information approuvés sont publiés sur le site Web de l’UPOV à l’adresse suivante</w:t>
      </w:r>
      <w:r w:rsidR="008569CE" w:rsidRPr="00994516">
        <w:t> </w:t>
      </w:r>
      <w:r w:rsidR="00435487" w:rsidRPr="00994516">
        <w:t xml:space="preserve">: </w:t>
      </w:r>
      <w:hyperlink r:id="rId9" w:history="1">
        <w:r w:rsidRPr="00994516">
          <w:rPr>
            <w:rStyle w:val="Hyperlink"/>
          </w:rPr>
          <w:t>http://www.upov.int/upov_collection/fr/</w:t>
        </w:r>
      </w:hyperlink>
      <w:r w:rsidR="00435487" w:rsidRPr="00994516">
        <w:t>.</w:t>
      </w:r>
      <w:r w:rsidRPr="00994516">
        <w:t xml:space="preserve"> </w:t>
      </w:r>
    </w:p>
    <w:p w14:paraId="12B890BB" w14:textId="77777777" w:rsidR="00435487" w:rsidRPr="00994516" w:rsidRDefault="00435487" w:rsidP="00435487"/>
    <w:p w14:paraId="4D950271" w14:textId="77777777" w:rsidR="00435487" w:rsidRPr="00994516" w:rsidRDefault="00435487" w:rsidP="00435487"/>
    <w:p w14:paraId="688B7ED7" w14:textId="77777777" w:rsidR="00435487" w:rsidRPr="00994516" w:rsidRDefault="00435487" w:rsidP="00234882">
      <w:pPr>
        <w:pStyle w:val="Heading1"/>
        <w:rPr>
          <w:lang w:val="fr-FR"/>
        </w:rPr>
      </w:pPr>
      <w:bookmarkStart w:id="4" w:name="_Toc177113752"/>
      <w:bookmarkStart w:id="5" w:name="_Toc177401372"/>
      <w:r w:rsidRPr="00994516">
        <w:rPr>
          <w:lang w:val="fr-FR"/>
        </w:rPr>
        <w:t>I.</w:t>
      </w:r>
      <w:r w:rsidRPr="00994516">
        <w:rPr>
          <w:lang w:val="fr-FR"/>
        </w:rPr>
        <w:tab/>
        <w:t>DOCUMENTS PROPOSÉS POUR ADOPTION PAR LE CONSEIL EN 2024</w:t>
      </w:r>
      <w:bookmarkEnd w:id="4"/>
      <w:bookmarkEnd w:id="5"/>
    </w:p>
    <w:p w14:paraId="4A8DFD7C" w14:textId="77777777" w:rsidR="00435487" w:rsidRPr="00994516" w:rsidRDefault="00435487" w:rsidP="00435487"/>
    <w:p w14:paraId="44424FCB" w14:textId="77777777" w:rsidR="00435487" w:rsidRPr="00994516" w:rsidRDefault="00435487" w:rsidP="00234882">
      <w:pPr>
        <w:pStyle w:val="Heading2"/>
        <w:rPr>
          <w:lang w:val="fr-FR"/>
        </w:rPr>
      </w:pPr>
      <w:bookmarkStart w:id="6" w:name="DocumentsI"/>
      <w:bookmarkStart w:id="7" w:name="_Toc177113753"/>
      <w:bookmarkStart w:id="8" w:name="_Toc177401373"/>
      <w:r w:rsidRPr="00994516">
        <w:rPr>
          <w:lang w:val="fr-FR"/>
        </w:rPr>
        <w:t>Documents</w:t>
      </w:r>
      <w:bookmarkEnd w:id="6"/>
      <w:r w:rsidRPr="00994516">
        <w:rPr>
          <w:lang w:val="fr-FR"/>
        </w:rPr>
        <w:t xml:space="preserve"> pour adoption par le Conseil, sous réserve de l’accord du TC et du CAJ</w:t>
      </w:r>
      <w:bookmarkEnd w:id="7"/>
      <w:bookmarkEnd w:id="8"/>
    </w:p>
    <w:p w14:paraId="3EFBFF1B" w14:textId="77777777" w:rsidR="00435487" w:rsidRPr="00994516" w:rsidRDefault="00435487" w:rsidP="00435487"/>
    <w:p w14:paraId="647678E9" w14:textId="6057ABF2"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Les documents suivants sont proposés pour adoption par le Conseil en 2024, sous réserve de l’accord du TC et du CAJ, lors de leurs sessions respectives en 2024.</w:t>
      </w:r>
    </w:p>
    <w:p w14:paraId="30097523" w14:textId="77777777" w:rsidR="00435487" w:rsidRPr="00994516" w:rsidRDefault="00435487" w:rsidP="00435487"/>
    <w:p w14:paraId="75DF882B" w14:textId="397F2132" w:rsidR="00435487" w:rsidRPr="00994516" w:rsidRDefault="00435487" w:rsidP="00234882">
      <w:pPr>
        <w:pStyle w:val="Heading3"/>
        <w:rPr>
          <w:lang w:val="fr-FR"/>
        </w:rPr>
      </w:pPr>
      <w:bookmarkStart w:id="9" w:name="UPOVINF16"/>
      <w:bookmarkStart w:id="10" w:name="_Toc177113754"/>
      <w:bookmarkStart w:id="11" w:name="_Toc177401374"/>
      <w:r w:rsidRPr="00994516">
        <w:rPr>
          <w:lang w:val="fr-FR"/>
        </w:rPr>
        <w:t xml:space="preserve">UPOV/INF/16 </w:t>
      </w:r>
      <w:bookmarkEnd w:id="9"/>
      <w:r w:rsidRPr="00994516">
        <w:rPr>
          <w:lang w:val="fr-FR"/>
        </w:rPr>
        <w:t>: Logiciels échangeables (révision) (document</w:t>
      </w:r>
      <w:r w:rsidR="002D309C" w:rsidRPr="00994516">
        <w:rPr>
          <w:lang w:val="fr-FR"/>
        </w:rPr>
        <w:t> </w:t>
      </w:r>
      <w:r w:rsidRPr="00994516">
        <w:rPr>
          <w:lang w:val="fr-FR"/>
        </w:rPr>
        <w:t>UPOV/INF/16/13 Draft</w:t>
      </w:r>
      <w:r w:rsidR="002D309C" w:rsidRPr="00994516">
        <w:rPr>
          <w:lang w:val="fr-FR"/>
        </w:rPr>
        <w:t> </w:t>
      </w:r>
      <w:r w:rsidRPr="00994516">
        <w:rPr>
          <w:lang w:val="fr-FR"/>
        </w:rPr>
        <w:t>1)</w:t>
      </w:r>
      <w:bookmarkEnd w:id="10"/>
      <w:bookmarkEnd w:id="11"/>
    </w:p>
    <w:p w14:paraId="1B77CC44" w14:textId="77777777" w:rsidR="00435487" w:rsidRPr="00994516" w:rsidRDefault="00435487" w:rsidP="00435487"/>
    <w:p w14:paraId="5DE3FCE1" w14:textId="7211485A"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La procédure relative à l’inclusion d’informations dans le document</w:t>
      </w:r>
      <w:r w:rsidR="002D309C" w:rsidRPr="00994516">
        <w:t> </w:t>
      </w:r>
      <w:r w:rsidR="00435487" w:rsidRPr="00994516">
        <w:t>UPOV/INF/16 est décrite dans la section</w:t>
      </w:r>
      <w:r w:rsidR="008569CE" w:rsidRPr="00994516">
        <w:t> </w:t>
      </w:r>
      <w:r w:rsidR="00435487" w:rsidRPr="00994516">
        <w:t>4 dudit document.  Le Bureau de l’Union a distribué, le 25</w:t>
      </w:r>
      <w:r w:rsidR="008569CE" w:rsidRPr="00994516">
        <w:t> </w:t>
      </w:r>
      <w:r w:rsidR="00435487" w:rsidRPr="00994516">
        <w:t>mars 2024, la circulaire</w:t>
      </w:r>
      <w:r w:rsidR="002D309C" w:rsidRPr="00994516">
        <w:t> </w:t>
      </w:r>
      <w:r w:rsidR="00435487" w:rsidRPr="00994516">
        <w:t>E-2</w:t>
      </w:r>
      <w:r w:rsidR="001A7CB5" w:rsidRPr="00994516">
        <w:t>4</w:t>
      </w:r>
      <w:r w:rsidR="00435487" w:rsidRPr="00994516">
        <w:t>/0</w:t>
      </w:r>
      <w:r w:rsidR="001A7CB5" w:rsidRPr="00994516">
        <w:t>06</w:t>
      </w:r>
      <w:r w:rsidR="00435487" w:rsidRPr="00994516">
        <w:t xml:space="preserve"> aux personnes désignées des membres de l’Union au sein du TC et du Conseil, les invitant à fournir ou à mettre à jour les renseignements relatifs aux points suivants</w:t>
      </w:r>
      <w:r w:rsidR="008569CE" w:rsidRPr="00994516">
        <w:t> </w:t>
      </w:r>
      <w:r w:rsidR="00435487" w:rsidRPr="00994516">
        <w:t>: 1) développement ou personnalisation de logiciels par des membres de l’Union à des fins de protection des obtentions végétales qu’ils souhaiteraient mettre à disposition des autres membres de l’Union; et 2) utilisation des logiciels inclus dans le document</w:t>
      </w:r>
      <w:r w:rsidR="002D309C" w:rsidRPr="00994516">
        <w:t> </w:t>
      </w:r>
      <w:r w:rsidR="00435487" w:rsidRPr="00994516">
        <w:t xml:space="preserve">UPOV/INF/16/12 “Logiciels échangeables”. </w:t>
      </w:r>
      <w:r w:rsidR="008569CE" w:rsidRPr="00994516">
        <w:t xml:space="preserve"> </w:t>
      </w:r>
      <w:r w:rsidR="00435487" w:rsidRPr="00994516">
        <w:t>Des réponses ont été reçues de l’Australie, du Bélarus, de la Bolivie (État plurinational de), de la Chine, de la Croatie et de la Suède.  Les informations fournies ou actualisées par les membres sont, le cas échéant, incluses au document</w:t>
      </w:r>
      <w:r w:rsidR="002D309C" w:rsidRPr="00994516">
        <w:t> </w:t>
      </w:r>
      <w:r w:rsidR="00435487" w:rsidRPr="00994516">
        <w:t>UPOV/INF/16/13 Draft</w:t>
      </w:r>
      <w:r w:rsidR="008569CE" w:rsidRPr="00994516">
        <w:t> </w:t>
      </w:r>
      <w:r w:rsidR="00435487" w:rsidRPr="00994516">
        <w:t xml:space="preserve">1. </w:t>
      </w:r>
    </w:p>
    <w:p w14:paraId="0E693C14" w14:textId="77777777" w:rsidR="00435487" w:rsidRPr="00994516" w:rsidRDefault="00435487" w:rsidP="00435487"/>
    <w:p w14:paraId="763273CD" w14:textId="54EC581F" w:rsidR="00435487" w:rsidRPr="00994516" w:rsidRDefault="00435487" w:rsidP="00234882">
      <w:pPr>
        <w:pStyle w:val="Heading4"/>
      </w:pPr>
      <w:bookmarkStart w:id="12" w:name="Logiciel"/>
      <w:bookmarkStart w:id="13" w:name="_Toc177401375"/>
      <w:r w:rsidRPr="00994516">
        <w:t>Logiciel</w:t>
      </w:r>
      <w:bookmarkEnd w:id="12"/>
      <w:r w:rsidRPr="00994516">
        <w:t xml:space="preserve"> proposé pour inclusion dans le document</w:t>
      </w:r>
      <w:r w:rsidR="002D309C" w:rsidRPr="00994516">
        <w:t> </w:t>
      </w:r>
      <w:r w:rsidRPr="00994516">
        <w:t>UPOV/INF/16</w:t>
      </w:r>
      <w:bookmarkEnd w:id="13"/>
    </w:p>
    <w:p w14:paraId="08916395" w14:textId="77777777" w:rsidR="00435487" w:rsidRPr="00994516" w:rsidRDefault="00435487" w:rsidP="00435487"/>
    <w:p w14:paraId="4CA5F204" w14:textId="4B5E5FFE"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Le TWM</w:t>
      </w:r>
      <w:r w:rsidR="00726956" w:rsidRPr="00994516">
        <w:rPr>
          <w:rStyle w:val="FootnoteReference"/>
          <w:rFonts w:eastAsiaTheme="minorHAnsi" w:cs="Calibri"/>
          <w:szCs w:val="22"/>
          <w14:ligatures w14:val="standardContextual"/>
        </w:rPr>
        <w:footnoteReference w:id="2"/>
      </w:r>
      <w:r w:rsidR="00435487" w:rsidRPr="00994516">
        <w:t>, à sa deuxième session, est convenu de recommander au TC, à sa soixantième session, l’inclusion du logiciel DUSCEL dans le document</w:t>
      </w:r>
      <w:r w:rsidR="002D309C" w:rsidRPr="00994516">
        <w:t> </w:t>
      </w:r>
      <w:r w:rsidR="00435487" w:rsidRPr="00994516">
        <w:t xml:space="preserve">UPOV/INF/16.  </w:t>
      </w:r>
    </w:p>
    <w:p w14:paraId="0EC4DBAA" w14:textId="77777777" w:rsidR="00E105FA" w:rsidRPr="00994516" w:rsidRDefault="00E105FA" w:rsidP="00435487"/>
    <w:tbl>
      <w:tblPr>
        <w:tblStyle w:val="TableGrid1"/>
        <w:tblW w:w="9781" w:type="dxa"/>
        <w:jc w:val="center"/>
        <w:tblLayout w:type="fixed"/>
        <w:tblCellMar>
          <w:top w:w="28" w:type="dxa"/>
          <w:left w:w="28" w:type="dxa"/>
          <w:bottom w:w="57" w:type="dxa"/>
          <w:right w:w="28" w:type="dxa"/>
        </w:tblCellMar>
        <w:tblLook w:val="04A0" w:firstRow="1" w:lastRow="0" w:firstColumn="1" w:lastColumn="0" w:noHBand="0" w:noVBand="1"/>
      </w:tblPr>
      <w:tblGrid>
        <w:gridCol w:w="850"/>
        <w:gridCol w:w="1274"/>
        <w:gridCol w:w="2558"/>
        <w:gridCol w:w="1560"/>
        <w:gridCol w:w="1271"/>
        <w:gridCol w:w="992"/>
        <w:gridCol w:w="1276"/>
      </w:tblGrid>
      <w:tr w:rsidR="00E105FA" w:rsidRPr="00994516" w14:paraId="69E2F3BB" w14:textId="77777777" w:rsidTr="00273F8E">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vAlign w:val="center"/>
          </w:tcPr>
          <w:p w14:paraId="2EBFCB93" w14:textId="53CD5771" w:rsidR="00E105FA" w:rsidRPr="00994516" w:rsidRDefault="00E105FA" w:rsidP="00E105FA">
            <w:pPr>
              <w:jc w:val="left"/>
              <w:rPr>
                <w:rFonts w:cs="Arial"/>
                <w:sz w:val="18"/>
                <w:szCs w:val="18"/>
                <w:highlight w:val="lightGray"/>
                <w:u w:val="single"/>
                <w:lang w:eastAsia="zh-CN"/>
              </w:rPr>
            </w:pPr>
            <w:r w:rsidRPr="00994516">
              <w:rPr>
                <w:rFonts w:cs="Arial"/>
                <w:snapToGrid w:val="0"/>
                <w:sz w:val="18"/>
                <w:szCs w:val="18"/>
              </w:rPr>
              <w:t>Nom du programme</w:t>
            </w:r>
          </w:p>
        </w:tc>
        <w:tc>
          <w:tcPr>
            <w:tcW w:w="1274" w:type="dxa"/>
            <w:tcBorders>
              <w:top w:val="single" w:sz="4" w:space="0" w:color="auto"/>
              <w:left w:val="single" w:sz="2" w:space="0" w:color="auto"/>
              <w:bottom w:val="single" w:sz="4" w:space="0" w:color="auto"/>
              <w:right w:val="single" w:sz="2" w:space="0" w:color="auto"/>
            </w:tcBorders>
            <w:shd w:val="clear" w:color="auto" w:fill="auto"/>
            <w:vAlign w:val="center"/>
          </w:tcPr>
          <w:p w14:paraId="0EF1935B" w14:textId="5A43BA49" w:rsidR="00E105FA" w:rsidRPr="00994516" w:rsidRDefault="00E105FA" w:rsidP="00E105FA">
            <w:pPr>
              <w:jc w:val="left"/>
              <w:rPr>
                <w:rFonts w:cs="Arial"/>
                <w:snapToGrid w:val="0"/>
                <w:sz w:val="18"/>
                <w:szCs w:val="18"/>
                <w:highlight w:val="lightGray"/>
                <w:u w:val="single"/>
              </w:rPr>
            </w:pPr>
            <w:r w:rsidRPr="00994516">
              <w:rPr>
                <w:rFonts w:cs="Arial"/>
                <w:snapToGrid w:val="0"/>
                <w:sz w:val="18"/>
                <w:szCs w:val="18"/>
              </w:rPr>
              <w:t>Langue du programme</w:t>
            </w:r>
          </w:p>
        </w:tc>
        <w:tc>
          <w:tcPr>
            <w:tcW w:w="2558" w:type="dxa"/>
            <w:tcBorders>
              <w:top w:val="single" w:sz="4" w:space="0" w:color="auto"/>
              <w:left w:val="single" w:sz="2" w:space="0" w:color="auto"/>
              <w:bottom w:val="single" w:sz="4" w:space="0" w:color="auto"/>
              <w:right w:val="single" w:sz="2" w:space="0" w:color="auto"/>
            </w:tcBorders>
            <w:shd w:val="clear" w:color="auto" w:fill="auto"/>
            <w:vAlign w:val="center"/>
          </w:tcPr>
          <w:p w14:paraId="64AED270" w14:textId="5ABFE71D" w:rsidR="00E105FA" w:rsidRPr="00994516" w:rsidRDefault="00E105FA" w:rsidP="005B2CFD">
            <w:pPr>
              <w:jc w:val="left"/>
              <w:rPr>
                <w:rFonts w:cs="Arial"/>
                <w:sz w:val="18"/>
                <w:szCs w:val="18"/>
                <w:highlight w:val="lightGray"/>
                <w:u w:val="single"/>
                <w:lang w:eastAsia="zh-CN"/>
              </w:rPr>
            </w:pPr>
            <w:r w:rsidRPr="00994516">
              <w:rPr>
                <w:rFonts w:cs="Arial"/>
                <w:snapToGrid w:val="0"/>
                <w:sz w:val="18"/>
                <w:szCs w:val="18"/>
              </w:rPr>
              <w:t>Fonction (bref résumé)</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14:paraId="21CBFE5D" w14:textId="080BDB67" w:rsidR="00E105FA" w:rsidRPr="00994516" w:rsidRDefault="00E105FA" w:rsidP="005B2CFD">
            <w:pPr>
              <w:jc w:val="left"/>
              <w:rPr>
                <w:rFonts w:cs="Arial"/>
                <w:snapToGrid w:val="0"/>
                <w:sz w:val="18"/>
                <w:szCs w:val="18"/>
                <w:highlight w:val="lightGray"/>
                <w:u w:val="single"/>
              </w:rPr>
            </w:pPr>
            <w:r w:rsidRPr="00994516">
              <w:rPr>
                <w:rFonts w:cs="Arial"/>
                <w:snapToGrid w:val="0"/>
                <w:sz w:val="18"/>
                <w:szCs w:val="18"/>
              </w:rPr>
              <w:t>Source et personne à contacter</w:t>
            </w:r>
          </w:p>
        </w:tc>
        <w:tc>
          <w:tcPr>
            <w:tcW w:w="1271" w:type="dxa"/>
            <w:tcBorders>
              <w:top w:val="single" w:sz="4" w:space="0" w:color="auto"/>
              <w:left w:val="single" w:sz="2" w:space="0" w:color="auto"/>
              <w:bottom w:val="single" w:sz="4" w:space="0" w:color="auto"/>
              <w:right w:val="single" w:sz="2" w:space="0" w:color="auto"/>
            </w:tcBorders>
            <w:shd w:val="clear" w:color="auto" w:fill="auto"/>
            <w:vAlign w:val="center"/>
          </w:tcPr>
          <w:p w14:paraId="29E9E9F0" w14:textId="2E3F019B" w:rsidR="00E105FA" w:rsidRPr="00994516" w:rsidRDefault="00E105FA" w:rsidP="005B2CFD">
            <w:pPr>
              <w:jc w:val="left"/>
              <w:rPr>
                <w:rFonts w:cs="Arial"/>
                <w:snapToGrid w:val="0"/>
                <w:sz w:val="18"/>
                <w:szCs w:val="18"/>
                <w:highlight w:val="lightGray"/>
                <w:u w:val="single"/>
                <w:lang w:eastAsia="ja-JP"/>
              </w:rPr>
            </w:pPr>
            <w:r w:rsidRPr="00994516">
              <w:rPr>
                <w:rFonts w:cs="Arial"/>
                <w:snapToGrid w:val="0"/>
                <w:sz w:val="18"/>
                <w:szCs w:val="18"/>
              </w:rPr>
              <w:t>Condition de la fourniture</w:t>
            </w: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0DC05FDA" w14:textId="3AB89897" w:rsidR="00E105FA" w:rsidRPr="00994516" w:rsidRDefault="00E105FA" w:rsidP="005B2CFD">
            <w:pPr>
              <w:keepNext/>
              <w:jc w:val="left"/>
              <w:rPr>
                <w:rFonts w:cs="Arial"/>
                <w:snapToGrid w:val="0"/>
                <w:sz w:val="18"/>
                <w:szCs w:val="18"/>
                <w:highlight w:val="lightGray"/>
                <w:u w:val="single"/>
                <w:lang w:eastAsia="zh-CN"/>
              </w:rPr>
            </w:pPr>
            <w:r w:rsidRPr="00994516">
              <w:rPr>
                <w:sz w:val="18"/>
                <w:szCs w:val="18"/>
              </w:rPr>
              <w:t>Membre(s) de l’Union utilisant le logiciel</w:t>
            </w: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2829E27F" w14:textId="07341DFE" w:rsidR="00E105FA" w:rsidRPr="00994516" w:rsidRDefault="00E105FA" w:rsidP="005B2CFD">
            <w:pPr>
              <w:keepNext/>
              <w:jc w:val="left"/>
              <w:rPr>
                <w:rFonts w:cs="Arial"/>
                <w:snapToGrid w:val="0"/>
                <w:sz w:val="18"/>
                <w:szCs w:val="18"/>
                <w:highlight w:val="lightGray"/>
                <w:u w:val="single"/>
              </w:rPr>
            </w:pPr>
            <w:r w:rsidRPr="00994516">
              <w:rPr>
                <w:sz w:val="18"/>
                <w:szCs w:val="18"/>
              </w:rPr>
              <w:t>Application par l’(les) utilisateur(s)</w:t>
            </w:r>
          </w:p>
        </w:tc>
      </w:tr>
      <w:tr w:rsidR="00E105FA" w:rsidRPr="00994516" w14:paraId="5EDCBB95" w14:textId="77777777" w:rsidTr="00124437">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tcPr>
          <w:p w14:paraId="42AD45B8" w14:textId="77777777" w:rsidR="00E105FA" w:rsidRPr="00994516" w:rsidRDefault="00E105FA" w:rsidP="00124437">
            <w:pPr>
              <w:jc w:val="left"/>
              <w:rPr>
                <w:rFonts w:cs="Arial"/>
                <w:snapToGrid w:val="0"/>
                <w:sz w:val="18"/>
                <w:szCs w:val="18"/>
              </w:rPr>
            </w:pPr>
            <w:bookmarkStart w:id="14" w:name="_Hlk171928544"/>
            <w:r w:rsidRPr="00994516">
              <w:rPr>
                <w:rFonts w:cs="Arial"/>
                <w:sz w:val="18"/>
                <w:szCs w:val="18"/>
                <w:lang w:eastAsia="zh-CN"/>
              </w:rPr>
              <w:t>DUSCEL</w:t>
            </w:r>
          </w:p>
        </w:tc>
        <w:tc>
          <w:tcPr>
            <w:tcW w:w="1274" w:type="dxa"/>
            <w:tcBorders>
              <w:top w:val="single" w:sz="4" w:space="0" w:color="auto"/>
              <w:left w:val="single" w:sz="2" w:space="0" w:color="auto"/>
              <w:bottom w:val="single" w:sz="4" w:space="0" w:color="auto"/>
              <w:right w:val="single" w:sz="2" w:space="0" w:color="auto"/>
            </w:tcBorders>
            <w:shd w:val="clear" w:color="auto" w:fill="auto"/>
          </w:tcPr>
          <w:p w14:paraId="0C587632" w14:textId="77777777" w:rsidR="00E105FA" w:rsidRPr="00994516" w:rsidRDefault="00E105FA" w:rsidP="00124437">
            <w:pPr>
              <w:jc w:val="left"/>
              <w:rPr>
                <w:rFonts w:cs="Arial"/>
                <w:snapToGrid w:val="0"/>
                <w:sz w:val="18"/>
                <w:szCs w:val="18"/>
              </w:rPr>
            </w:pPr>
            <w:r w:rsidRPr="00994516">
              <w:rPr>
                <w:rFonts w:cs="Arial"/>
                <w:snapToGrid w:val="0"/>
                <w:sz w:val="18"/>
                <w:szCs w:val="18"/>
              </w:rPr>
              <w:t>EXCEL+VBA+UI</w:t>
            </w:r>
          </w:p>
        </w:tc>
        <w:tc>
          <w:tcPr>
            <w:tcW w:w="2558" w:type="dxa"/>
            <w:tcBorders>
              <w:top w:val="single" w:sz="4" w:space="0" w:color="auto"/>
              <w:left w:val="single" w:sz="2" w:space="0" w:color="auto"/>
              <w:bottom w:val="single" w:sz="4" w:space="0" w:color="auto"/>
              <w:right w:val="single" w:sz="2" w:space="0" w:color="auto"/>
            </w:tcBorders>
            <w:shd w:val="clear" w:color="auto" w:fill="auto"/>
          </w:tcPr>
          <w:p w14:paraId="2BDC4E45" w14:textId="1203EE04" w:rsidR="00E105FA" w:rsidRPr="00994516" w:rsidRDefault="00E105FA" w:rsidP="005B2CFD">
            <w:pPr>
              <w:jc w:val="left"/>
              <w:rPr>
                <w:sz w:val="18"/>
                <w:szCs w:val="18"/>
              </w:rPr>
            </w:pPr>
            <w:r w:rsidRPr="00994516">
              <w:rPr>
                <w:rFonts w:cs="Arial"/>
                <w:sz w:val="18"/>
                <w:szCs w:val="18"/>
                <w:lang w:eastAsia="zh-CN"/>
              </w:rPr>
              <w:t xml:space="preserve">1. </w:t>
            </w:r>
            <w:r w:rsidRPr="00994516">
              <w:rPr>
                <w:sz w:val="18"/>
                <w:szCs w:val="18"/>
              </w:rPr>
              <w:t>Protocole d’essai</w:t>
            </w:r>
          </w:p>
          <w:p w14:paraId="3DB370F4" w14:textId="77777777" w:rsidR="00E105FA" w:rsidRPr="00994516" w:rsidRDefault="00E105FA" w:rsidP="005B2CFD">
            <w:pPr>
              <w:jc w:val="left"/>
              <w:rPr>
                <w:sz w:val="18"/>
                <w:szCs w:val="18"/>
              </w:rPr>
            </w:pPr>
            <w:r w:rsidRPr="00994516">
              <w:rPr>
                <w:sz w:val="18"/>
                <w:szCs w:val="18"/>
              </w:rPr>
              <w:t>2. Vérification des données anormales par les méthodes de validation, de diagramme à boîtes et d’écart type</w:t>
            </w:r>
          </w:p>
          <w:p w14:paraId="280109D9" w14:textId="77777777" w:rsidR="00E105FA" w:rsidRPr="00994516" w:rsidRDefault="00E105FA" w:rsidP="005B2CFD">
            <w:pPr>
              <w:jc w:val="left"/>
              <w:rPr>
                <w:sz w:val="18"/>
                <w:szCs w:val="18"/>
              </w:rPr>
            </w:pPr>
            <w:r w:rsidRPr="00994516">
              <w:rPr>
                <w:sz w:val="18"/>
                <w:szCs w:val="18"/>
              </w:rPr>
              <w:t>3. Analyse de l’homogénéité par plante hors type, avec la méthode de variance relative, COYU</w:t>
            </w:r>
          </w:p>
          <w:p w14:paraId="4AE38F11" w14:textId="77777777" w:rsidR="00E105FA" w:rsidRPr="00994516" w:rsidRDefault="00E105FA" w:rsidP="005B2CFD">
            <w:pPr>
              <w:jc w:val="left"/>
              <w:rPr>
                <w:sz w:val="18"/>
                <w:szCs w:val="18"/>
              </w:rPr>
            </w:pPr>
            <w:r w:rsidRPr="00994516">
              <w:rPr>
                <w:sz w:val="18"/>
                <w:szCs w:val="18"/>
              </w:rPr>
              <w:t>4. Conversion des données originales en note par variété standard</w:t>
            </w:r>
          </w:p>
          <w:p w14:paraId="16F452B9" w14:textId="77777777" w:rsidR="00E105FA" w:rsidRPr="00994516" w:rsidRDefault="00E105FA" w:rsidP="005B2CFD">
            <w:pPr>
              <w:jc w:val="left"/>
              <w:rPr>
                <w:sz w:val="18"/>
                <w:szCs w:val="18"/>
              </w:rPr>
            </w:pPr>
            <w:r w:rsidRPr="00994516">
              <w:rPr>
                <w:sz w:val="18"/>
                <w:szCs w:val="18"/>
              </w:rPr>
              <w:t>5. Analyse de la stabilité par la méthode COYS</w:t>
            </w:r>
          </w:p>
          <w:p w14:paraId="36164AFD" w14:textId="77777777" w:rsidR="00E105FA" w:rsidRPr="00994516" w:rsidRDefault="00E105FA" w:rsidP="005B2CFD">
            <w:pPr>
              <w:jc w:val="left"/>
              <w:rPr>
                <w:sz w:val="18"/>
                <w:szCs w:val="18"/>
              </w:rPr>
            </w:pPr>
            <w:r w:rsidRPr="00994516">
              <w:rPr>
                <w:sz w:val="18"/>
                <w:szCs w:val="18"/>
              </w:rPr>
              <w:t>6. Analyse de la distinction par niveau de note, de donnée et d’image</w:t>
            </w:r>
          </w:p>
          <w:p w14:paraId="1047A634" w14:textId="77777777" w:rsidR="00E105FA" w:rsidRPr="00994516" w:rsidRDefault="00E105FA" w:rsidP="005B2CFD">
            <w:pPr>
              <w:jc w:val="left"/>
              <w:rPr>
                <w:sz w:val="18"/>
                <w:szCs w:val="18"/>
              </w:rPr>
            </w:pPr>
            <w:r w:rsidRPr="00994516">
              <w:rPr>
                <w:sz w:val="18"/>
                <w:szCs w:val="18"/>
              </w:rPr>
              <w:t>7. Méthodes de vérification des caractères et de l’essai par coefficient de corrélation, répartition de la fréquence par niveau de note ou donnée mesurée</w:t>
            </w:r>
          </w:p>
          <w:p w14:paraId="27BFC7A6" w14:textId="77777777" w:rsidR="00E105FA" w:rsidRPr="00994516" w:rsidRDefault="00E105FA" w:rsidP="005B2CFD">
            <w:pPr>
              <w:jc w:val="left"/>
              <w:rPr>
                <w:sz w:val="18"/>
                <w:szCs w:val="18"/>
              </w:rPr>
            </w:pPr>
            <w:r w:rsidRPr="00994516">
              <w:rPr>
                <w:sz w:val="18"/>
                <w:szCs w:val="18"/>
              </w:rPr>
              <w:t>8. Estimation de la taille optimale de l’échantillon</w:t>
            </w:r>
          </w:p>
          <w:p w14:paraId="38BB012E" w14:textId="035AEBF9" w:rsidR="00E105FA" w:rsidRPr="00994516" w:rsidRDefault="00E105FA" w:rsidP="005B2CFD">
            <w:pPr>
              <w:jc w:val="left"/>
              <w:rPr>
                <w:rFonts w:cs="Arial"/>
                <w:snapToGrid w:val="0"/>
                <w:sz w:val="18"/>
                <w:szCs w:val="18"/>
              </w:rPr>
            </w:pPr>
            <w:r w:rsidRPr="00994516">
              <w:rPr>
                <w:sz w:val="18"/>
                <w:szCs w:val="18"/>
              </w:rPr>
              <w:t>9. Vérification, traitement et analyse de l’image</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79291135" w14:textId="254B84F3" w:rsidR="00E105FA" w:rsidRPr="00994516" w:rsidRDefault="00E105FA" w:rsidP="005B2CFD">
            <w:pPr>
              <w:jc w:val="left"/>
              <w:rPr>
                <w:sz w:val="18"/>
                <w:szCs w:val="18"/>
              </w:rPr>
            </w:pPr>
            <w:r w:rsidRPr="00994516">
              <w:rPr>
                <w:rFonts w:cs="Arial"/>
                <w:snapToGrid w:val="0"/>
                <w:sz w:val="18"/>
                <w:szCs w:val="18"/>
              </w:rPr>
              <w:t>M. Kun Yang</w:t>
            </w:r>
            <w:r w:rsidRPr="00994516">
              <w:rPr>
                <w:rFonts w:cs="Arial"/>
                <w:snapToGrid w:val="0"/>
                <w:sz w:val="18"/>
                <w:szCs w:val="18"/>
              </w:rPr>
              <w:br/>
            </w:r>
            <w:r w:rsidR="00E131F0" w:rsidRPr="00994516">
              <w:rPr>
                <w:rFonts w:cs="Arial"/>
                <w:snapToGrid w:val="0"/>
                <w:sz w:val="18"/>
                <w:szCs w:val="18"/>
              </w:rPr>
              <w:t>Mél. </w:t>
            </w:r>
            <w:r w:rsidRPr="00994516">
              <w:rPr>
                <w:rFonts w:cs="Arial"/>
                <w:snapToGrid w:val="0"/>
                <w:sz w:val="18"/>
                <w:szCs w:val="18"/>
              </w:rPr>
              <w:t xml:space="preserve">: </w:t>
            </w:r>
            <w:hyperlink r:id="rId10" w:history="1">
              <w:r w:rsidRPr="00994516">
                <w:rPr>
                  <w:rFonts w:cs="Arial"/>
                  <w:snapToGrid w:val="0"/>
                  <w:color w:val="0000FF"/>
                  <w:sz w:val="18"/>
                  <w:szCs w:val="18"/>
                </w:rPr>
                <w:t>yangkun@caas.cn</w:t>
              </w:r>
            </w:hyperlink>
          </w:p>
        </w:tc>
        <w:tc>
          <w:tcPr>
            <w:tcW w:w="1271" w:type="dxa"/>
            <w:tcBorders>
              <w:top w:val="single" w:sz="4" w:space="0" w:color="auto"/>
              <w:left w:val="single" w:sz="2" w:space="0" w:color="auto"/>
              <w:bottom w:val="single" w:sz="4" w:space="0" w:color="auto"/>
              <w:right w:val="single" w:sz="2" w:space="0" w:color="auto"/>
            </w:tcBorders>
            <w:shd w:val="clear" w:color="auto" w:fill="auto"/>
          </w:tcPr>
          <w:p w14:paraId="008E67E1" w14:textId="2294A30E" w:rsidR="00E131F0" w:rsidRPr="00994516" w:rsidRDefault="00E131F0" w:rsidP="005B2CFD">
            <w:pPr>
              <w:jc w:val="left"/>
              <w:rPr>
                <w:sz w:val="18"/>
                <w:szCs w:val="18"/>
              </w:rPr>
            </w:pPr>
            <w:r w:rsidRPr="00994516">
              <w:rPr>
                <w:sz w:val="18"/>
                <w:szCs w:val="18"/>
              </w:rPr>
              <w:t xml:space="preserve">DUSCEL3.0 </w:t>
            </w:r>
            <w:r w:rsidR="005B2CFD" w:rsidRPr="00994516">
              <w:rPr>
                <w:sz w:val="18"/>
                <w:szCs w:val="18"/>
              </w:rPr>
              <w:br/>
            </w:r>
            <w:r w:rsidRPr="00994516">
              <w:rPr>
                <w:sz w:val="18"/>
                <w:szCs w:val="18"/>
              </w:rPr>
              <w:t xml:space="preserve">et 3.5 sont gratuits.  DUSCEL4.0 est proposé moyennant le paiement d’une redevance. </w:t>
            </w:r>
          </w:p>
          <w:p w14:paraId="5B94B15F" w14:textId="4B403B8C" w:rsidR="00E105FA" w:rsidRPr="00994516" w:rsidRDefault="00E131F0" w:rsidP="005B2CFD">
            <w:pPr>
              <w:jc w:val="left"/>
              <w:rPr>
                <w:sz w:val="18"/>
                <w:szCs w:val="18"/>
              </w:rPr>
            </w:pPr>
            <w:r w:rsidRPr="00994516">
              <w:rPr>
                <w:sz w:val="18"/>
                <w:szCs w:val="18"/>
              </w:rPr>
              <w:t>Guide utilisateur et interface disponibles en anglais</w:t>
            </w:r>
          </w:p>
          <w:p w14:paraId="72656EE3" w14:textId="77777777" w:rsidR="00E105FA" w:rsidRPr="00994516" w:rsidRDefault="00E105FA" w:rsidP="005B2CFD">
            <w:pPr>
              <w:jc w:val="left"/>
              <w:rPr>
                <w:rFonts w:eastAsiaTheme="minorHAnsi" w:cs="Calibri"/>
                <w:sz w:val="18"/>
                <w:szCs w:val="18"/>
                <w14:ligatures w14:val="standardContextual"/>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385BF174" w14:textId="77777777" w:rsidR="00E105FA" w:rsidRPr="00994516" w:rsidRDefault="00E105FA" w:rsidP="005B2CFD">
            <w:pPr>
              <w:keepNext/>
              <w:jc w:val="left"/>
              <w:rPr>
                <w:rFonts w:cs="Arial"/>
                <w:snapToGrid w:val="0"/>
                <w:sz w:val="18"/>
                <w:szCs w:val="18"/>
              </w:rPr>
            </w:pPr>
            <w:r w:rsidRPr="00994516">
              <w:rPr>
                <w:rFonts w:cs="Arial"/>
                <w:snapToGrid w:val="0"/>
                <w:sz w:val="18"/>
                <w:szCs w:val="18"/>
                <w:lang w:eastAsia="zh-CN"/>
              </w:rPr>
              <w:t>CN</w:t>
            </w: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3A4AB3B3" w14:textId="5DB1B136" w:rsidR="00E105FA" w:rsidRPr="00994516" w:rsidRDefault="00E131F0" w:rsidP="005B2CFD">
            <w:pPr>
              <w:keepNext/>
              <w:jc w:val="left"/>
              <w:rPr>
                <w:rFonts w:cs="Arial"/>
                <w:snapToGrid w:val="0"/>
                <w:sz w:val="18"/>
                <w:szCs w:val="18"/>
              </w:rPr>
            </w:pPr>
            <w:r w:rsidRPr="00994516">
              <w:rPr>
                <w:rFonts w:cs="Arial"/>
                <w:snapToGrid w:val="0"/>
                <w:sz w:val="18"/>
                <w:szCs w:val="18"/>
              </w:rPr>
              <w:t>Toutes les espèces</w:t>
            </w:r>
          </w:p>
        </w:tc>
      </w:tr>
      <w:bookmarkEnd w:id="14"/>
    </w:tbl>
    <w:p w14:paraId="26F01807" w14:textId="77777777" w:rsidR="00435487" w:rsidRPr="00994516" w:rsidRDefault="00435487" w:rsidP="00435487"/>
    <w:p w14:paraId="63D6917E" w14:textId="0C4197E8" w:rsidR="00435487" w:rsidRPr="00994516" w:rsidRDefault="006466EC" w:rsidP="00215915">
      <w:pPr>
        <w:keepLines/>
      </w:pPr>
      <w:r w:rsidRPr="00994516">
        <w:lastRenderedPageBreak/>
        <w:fldChar w:fldCharType="begin"/>
      </w:r>
      <w:r w:rsidRPr="00994516">
        <w:instrText xml:space="preserve"> AUTONUM  </w:instrText>
      </w:r>
      <w:r w:rsidRPr="00994516">
        <w:fldChar w:fldCharType="end"/>
      </w:r>
      <w:r w:rsidR="00435487" w:rsidRPr="00994516">
        <w:tab/>
        <w:t>Sous réserve de l’accord du TC à sa soixantième session, et du CAJ à sa quatre-vingt-unième session, une version révisée et approuvée du document</w:t>
      </w:r>
      <w:r w:rsidR="002D309C" w:rsidRPr="00994516">
        <w:t> </w:t>
      </w:r>
      <w:r w:rsidR="00435487" w:rsidRPr="00994516">
        <w:t>UPOV/INF/16/12 “Logiciels échangeables” sera soumise au Conseil pour adoption, à sa cinquante-huitième session ordinaire, sur la base des propositions de révision qui figurent dans le document</w:t>
      </w:r>
      <w:r w:rsidR="002D309C" w:rsidRPr="00994516">
        <w:t> </w:t>
      </w:r>
      <w:r w:rsidR="00435487" w:rsidRPr="00994516">
        <w:t>UPOV/INF/16/13 Draft</w:t>
      </w:r>
      <w:r w:rsidR="008569CE" w:rsidRPr="00994516">
        <w:t> </w:t>
      </w:r>
      <w:r w:rsidR="00435487" w:rsidRPr="00994516">
        <w:t>1.</w:t>
      </w:r>
    </w:p>
    <w:p w14:paraId="002D4788" w14:textId="77777777" w:rsidR="00F03BCC" w:rsidRPr="00994516" w:rsidRDefault="00F03BCC" w:rsidP="00435487"/>
    <w:p w14:paraId="39987D85" w14:textId="0E1F2176" w:rsidR="00435487" w:rsidRPr="00994516" w:rsidRDefault="006466EC" w:rsidP="00F03BCC">
      <w:pPr>
        <w:pStyle w:val="DecisionParagraphs"/>
      </w:pPr>
      <w:r w:rsidRPr="00994516">
        <w:fldChar w:fldCharType="begin"/>
      </w:r>
      <w:r w:rsidRPr="00994516">
        <w:instrText xml:space="preserve"> AUTONUM  </w:instrText>
      </w:r>
      <w:r w:rsidRPr="00994516">
        <w:fldChar w:fldCharType="end"/>
      </w:r>
      <w:r w:rsidR="00435487" w:rsidRPr="00994516">
        <w:tab/>
        <w:t>Le Conseil est invité à adopter une version révisée du document</w:t>
      </w:r>
      <w:r w:rsidR="00994516" w:rsidRPr="00994516">
        <w:t xml:space="preserve"> </w:t>
      </w:r>
      <w:r w:rsidR="00435487" w:rsidRPr="00994516">
        <w:t>UPOV/INF/16/12 “Logiciels échangeables”, sur la base du document</w:t>
      </w:r>
      <w:r w:rsidR="00994516" w:rsidRPr="00994516">
        <w:t xml:space="preserve"> </w:t>
      </w:r>
      <w:r w:rsidR="00435487" w:rsidRPr="00994516">
        <w:t>UPOV/INF/16/13</w:t>
      </w:r>
      <w:r w:rsidR="00994516" w:rsidRPr="00994516">
        <w:t> </w:t>
      </w:r>
      <w:r w:rsidR="00435487" w:rsidRPr="00994516">
        <w:t>Draft</w:t>
      </w:r>
      <w:r w:rsidR="008569CE" w:rsidRPr="00994516">
        <w:t> </w:t>
      </w:r>
      <w:r w:rsidR="00435487" w:rsidRPr="00994516">
        <w:t xml:space="preserve">1, sous réserve de l’accord </w:t>
      </w:r>
      <w:r w:rsidR="00994516" w:rsidRPr="00994516">
        <w:br/>
      </w:r>
      <w:r w:rsidR="00435487" w:rsidRPr="00994516">
        <w:t xml:space="preserve">du TC et du CAJ lors de leurs sessions respectives </w:t>
      </w:r>
      <w:r w:rsidR="00994516" w:rsidRPr="00994516">
        <w:br/>
      </w:r>
      <w:r w:rsidR="00435487" w:rsidRPr="00994516">
        <w:t>en 2024.</w:t>
      </w:r>
    </w:p>
    <w:p w14:paraId="2A141CA0" w14:textId="77777777" w:rsidR="00435487" w:rsidRPr="00994516" w:rsidRDefault="00435487" w:rsidP="00435487"/>
    <w:p w14:paraId="609B00A3" w14:textId="06944AD7" w:rsidR="00435487" w:rsidRPr="00994516" w:rsidRDefault="00435487" w:rsidP="00234882">
      <w:pPr>
        <w:pStyle w:val="Heading3"/>
        <w:rPr>
          <w:lang w:val="fr-FR"/>
        </w:rPr>
      </w:pPr>
      <w:bookmarkStart w:id="15" w:name="UPOVINF22"/>
      <w:bookmarkStart w:id="16" w:name="_Toc177113755"/>
      <w:bookmarkStart w:id="17" w:name="_Toc177401376"/>
      <w:r w:rsidRPr="00994516">
        <w:rPr>
          <w:lang w:val="fr-FR"/>
        </w:rPr>
        <w:t>UPOV/INF/22</w:t>
      </w:r>
      <w:bookmarkEnd w:id="15"/>
      <w:r w:rsidR="00994516" w:rsidRPr="00994516">
        <w:rPr>
          <w:lang w:val="fr-FR"/>
        </w:rPr>
        <w:t> </w:t>
      </w:r>
      <w:r w:rsidRPr="00994516">
        <w:rPr>
          <w:lang w:val="fr-FR"/>
        </w:rPr>
        <w:t>: Logiciels et équipements utilisés par les membres de l’Union (révision) (document</w:t>
      </w:r>
      <w:r w:rsidR="002D309C" w:rsidRPr="00994516">
        <w:rPr>
          <w:lang w:val="fr-FR"/>
        </w:rPr>
        <w:t> </w:t>
      </w:r>
      <w:r w:rsidRPr="00994516">
        <w:rPr>
          <w:lang w:val="fr-FR"/>
        </w:rPr>
        <w:t>UPOV/INF/22/11 Draft</w:t>
      </w:r>
      <w:r w:rsidR="002D309C" w:rsidRPr="00994516">
        <w:rPr>
          <w:lang w:val="fr-FR"/>
        </w:rPr>
        <w:t> </w:t>
      </w:r>
      <w:r w:rsidRPr="00994516">
        <w:rPr>
          <w:lang w:val="fr-FR"/>
        </w:rPr>
        <w:t>1)</w:t>
      </w:r>
      <w:bookmarkEnd w:id="16"/>
      <w:bookmarkEnd w:id="17"/>
    </w:p>
    <w:p w14:paraId="3574573D" w14:textId="77777777" w:rsidR="00435487" w:rsidRPr="00994516" w:rsidRDefault="00435487" w:rsidP="00435487"/>
    <w:p w14:paraId="4B4399D3" w14:textId="1037593F"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Le Bureau de l’Union a diffusé, le 25</w:t>
      </w:r>
      <w:r w:rsidR="008569CE" w:rsidRPr="00994516">
        <w:t> </w:t>
      </w:r>
      <w:r w:rsidR="00435487" w:rsidRPr="00994516">
        <w:t>mars 2024, la circulaire</w:t>
      </w:r>
      <w:r w:rsidR="002D309C" w:rsidRPr="00994516">
        <w:t> </w:t>
      </w:r>
      <w:r w:rsidR="00435487" w:rsidRPr="00994516">
        <w:t>E-24/006 aux personnes désignées des membres de l’Union au sein du TC et du Conseil, les invitant à fournir ou à mettre à jour les renseignements relatifs à leur utilisation des logiciels et des équipements existants dans le document</w:t>
      </w:r>
      <w:r w:rsidR="002D309C" w:rsidRPr="00994516">
        <w:t> </w:t>
      </w:r>
      <w:r w:rsidR="00435487" w:rsidRPr="00994516">
        <w:t>UPOV/INF/22/10 “Logiciels utilisés par les membres de l’Union”.  Des réponses ont été reçues du Bélarus, de la Croatie, de l’Espagne, du Paraguay, de la Suède et de l’Ukraine.  Les informations fournies ou actualisées par les membres sont, le cas échéant, incluses au document</w:t>
      </w:r>
      <w:r w:rsidR="002D309C" w:rsidRPr="00994516">
        <w:t> </w:t>
      </w:r>
      <w:r w:rsidR="00435487" w:rsidRPr="00994516">
        <w:t>UPOV/INF/22/11 Draft</w:t>
      </w:r>
      <w:r w:rsidR="008569CE" w:rsidRPr="00994516">
        <w:t> </w:t>
      </w:r>
      <w:r w:rsidR="00435487" w:rsidRPr="00994516">
        <w:t>1.</w:t>
      </w:r>
    </w:p>
    <w:p w14:paraId="7B71053F" w14:textId="77777777" w:rsidR="00435487" w:rsidRPr="00994516" w:rsidRDefault="00435487" w:rsidP="00435487"/>
    <w:p w14:paraId="39E33AAC" w14:textId="3A79B887"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Sous réserve de l’accord du TC à sa soixantième session, et du CAJ à sa quatre-vingt-unième session, une version révisée et approuvée du document</w:t>
      </w:r>
      <w:r w:rsidR="002D309C" w:rsidRPr="00994516">
        <w:t> </w:t>
      </w:r>
      <w:r w:rsidR="00435487" w:rsidRPr="00994516">
        <w:t>UPOV/INF/22/10 “Logiciels et équipements utilisés par les membres de l’Union” sera soumise au Conseil pour adoption, à sa cinquante-huitième session ordinaire, sur la base des propositions de révision qui figurent dans le document</w:t>
      </w:r>
      <w:r w:rsidR="002D309C" w:rsidRPr="00994516">
        <w:t> </w:t>
      </w:r>
      <w:r w:rsidR="00435487" w:rsidRPr="00994516">
        <w:t>UPOV/INF/22/11 Draft</w:t>
      </w:r>
      <w:r w:rsidR="008569CE" w:rsidRPr="00994516">
        <w:t> </w:t>
      </w:r>
      <w:r w:rsidR="00435487" w:rsidRPr="00994516">
        <w:t>1.</w:t>
      </w:r>
    </w:p>
    <w:p w14:paraId="5D4EAAD4" w14:textId="77777777" w:rsidR="00435487" w:rsidRPr="00994516" w:rsidRDefault="00435487" w:rsidP="00435487"/>
    <w:p w14:paraId="2DFC78C2" w14:textId="6A55F895" w:rsidR="00435487" w:rsidRPr="00994516" w:rsidRDefault="006466EC" w:rsidP="006466EC">
      <w:pPr>
        <w:pStyle w:val="DecisionParagraphs"/>
      </w:pPr>
      <w:r w:rsidRPr="00994516">
        <w:fldChar w:fldCharType="begin"/>
      </w:r>
      <w:r w:rsidRPr="00994516">
        <w:instrText xml:space="preserve"> AUTONUM  </w:instrText>
      </w:r>
      <w:r w:rsidRPr="00994516">
        <w:fldChar w:fldCharType="end"/>
      </w:r>
      <w:r w:rsidR="00435487" w:rsidRPr="00994516">
        <w:tab/>
        <w:t>Le Conseil est invité à adopter une version révisée du document</w:t>
      </w:r>
      <w:r w:rsidR="002D309C" w:rsidRPr="00994516">
        <w:t> </w:t>
      </w:r>
      <w:r w:rsidR="00435487" w:rsidRPr="00994516">
        <w:t>UPOV/INF/22/10 “Logiciels et équipements utilisés par les membres de l’Union”, sur la base du document</w:t>
      </w:r>
      <w:r w:rsidR="002D309C" w:rsidRPr="00994516">
        <w:t> </w:t>
      </w:r>
      <w:r w:rsidR="00435487" w:rsidRPr="00994516">
        <w:t>UPOV/INF/22/11</w:t>
      </w:r>
      <w:r w:rsidR="00040EF3">
        <w:t> </w:t>
      </w:r>
      <w:r w:rsidR="00435487" w:rsidRPr="00994516">
        <w:t>Draft</w:t>
      </w:r>
      <w:r w:rsidR="008569CE" w:rsidRPr="00994516">
        <w:t> </w:t>
      </w:r>
      <w:r w:rsidR="00435487" w:rsidRPr="00994516">
        <w:t>1, sous réserve de l’accord du TC et du CAJ lors de leurs sessions respectives en 2024.</w:t>
      </w:r>
    </w:p>
    <w:p w14:paraId="49B179FA" w14:textId="77777777" w:rsidR="00435487" w:rsidRPr="00994516" w:rsidRDefault="00435487" w:rsidP="00435487"/>
    <w:p w14:paraId="38A13AF2" w14:textId="1271C14F" w:rsidR="00435487" w:rsidRPr="00994516" w:rsidRDefault="00435487" w:rsidP="00234882">
      <w:pPr>
        <w:pStyle w:val="Heading3"/>
        <w:rPr>
          <w:lang w:val="fr-FR"/>
        </w:rPr>
      </w:pPr>
      <w:bookmarkStart w:id="18" w:name="UPOVEXNDEN"/>
      <w:bookmarkStart w:id="19" w:name="_Toc177113756"/>
      <w:bookmarkStart w:id="20" w:name="_Toc177401377"/>
      <w:r w:rsidRPr="00994516">
        <w:rPr>
          <w:lang w:val="fr-FR"/>
        </w:rPr>
        <w:t>UPOV/EXN/DEN</w:t>
      </w:r>
      <w:r w:rsidR="008569CE" w:rsidRPr="00994516">
        <w:rPr>
          <w:lang w:val="fr-FR"/>
        </w:rPr>
        <w:t> </w:t>
      </w:r>
      <w:bookmarkEnd w:id="18"/>
      <w:r w:rsidRPr="00994516">
        <w:rPr>
          <w:lang w:val="fr-FR"/>
        </w:rPr>
        <w:t>: Notes explicatives sur les dénominations variétales en vertu de la Convention UPOV (révision)</w:t>
      </w:r>
      <w:bookmarkEnd w:id="19"/>
      <w:bookmarkEnd w:id="20"/>
    </w:p>
    <w:p w14:paraId="1C5F2890" w14:textId="77777777" w:rsidR="00435487" w:rsidRPr="00994516" w:rsidRDefault="00435487" w:rsidP="00435487"/>
    <w:p w14:paraId="09A3DD34" w14:textId="77777777" w:rsidR="00435487" w:rsidRPr="00994516" w:rsidRDefault="00435487" w:rsidP="00234882">
      <w:pPr>
        <w:pStyle w:val="Heading4"/>
      </w:pPr>
      <w:bookmarkStart w:id="21" w:name="Nouvellesclasses"/>
      <w:bookmarkStart w:id="22" w:name="_Toc177401378"/>
      <w:r w:rsidRPr="00994516">
        <w:t xml:space="preserve">Nouvelles classes </w:t>
      </w:r>
      <w:bookmarkEnd w:id="21"/>
      <w:r w:rsidRPr="00994516">
        <w:t xml:space="preserve">de dénominations variétales pour </w:t>
      </w:r>
      <w:r w:rsidRPr="00040EF3">
        <w:rPr>
          <w:i/>
          <w:iCs/>
        </w:rPr>
        <w:t>Prunus</w:t>
      </w:r>
      <w:r w:rsidRPr="00994516">
        <w:t xml:space="preserve"> et situations nécessitant la comparaison d’une dénomination avec d’autres classes au sein d’un genre</w:t>
      </w:r>
      <w:bookmarkEnd w:id="22"/>
    </w:p>
    <w:p w14:paraId="6E69D2E7" w14:textId="77777777" w:rsidR="00435487" w:rsidRPr="00994516" w:rsidRDefault="00435487" w:rsidP="00435487"/>
    <w:p w14:paraId="6CCCDEE7" w14:textId="486A6EC2"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 xml:space="preserve">Les TWP, lors de leurs sessions de 2024, ont approuvé la proposition de création de classes de dénominations variétales pour </w:t>
      </w:r>
      <w:r w:rsidR="00435487" w:rsidRPr="00040EF3">
        <w:rPr>
          <w:i/>
          <w:iCs/>
        </w:rPr>
        <w:t>Prunus</w:t>
      </w:r>
      <w:r w:rsidR="00435487" w:rsidRPr="00994516">
        <w:t xml:space="preserve">, comme indiqué à l’annexe I du présent document.  La proposition comprend un projet d’orientations relatif aux situations nécessitant la comparaison d’une dénomination avec d’autres classes au sein d’un genre. </w:t>
      </w:r>
    </w:p>
    <w:p w14:paraId="0A902ED8" w14:textId="77777777" w:rsidR="00435487" w:rsidRPr="00994516" w:rsidRDefault="00435487" w:rsidP="00435487"/>
    <w:p w14:paraId="5861CFBC" w14:textId="0CDE188E" w:rsidR="00435487" w:rsidRPr="00994516" w:rsidRDefault="006466EC" w:rsidP="00435487">
      <w:r w:rsidRPr="00994516">
        <w:fldChar w:fldCharType="begin"/>
      </w:r>
      <w:r w:rsidRPr="00994516">
        <w:instrText xml:space="preserve"> AUTONUM  </w:instrText>
      </w:r>
      <w:r w:rsidRPr="00994516">
        <w:fldChar w:fldCharType="end"/>
      </w:r>
      <w:r w:rsidR="00435487" w:rsidRPr="00994516">
        <w:tab/>
        <w:t>Sous réserve de l’accord du TC à sa soixantième session, et du CAJ à sa quatre-vingt-unième session, une version approuvée du document UPOV/EXN/DEN</w:t>
      </w:r>
      <w:r w:rsidR="002D26B3">
        <w:t>/3</w:t>
      </w:r>
      <w:r w:rsidR="00435487" w:rsidRPr="00994516">
        <w:t xml:space="preserve"> “Notes explicatives sur les dénominations variétales en vertu de la Convention UPOV” </w:t>
      </w:r>
      <w:r w:rsidR="002D26B3">
        <w:t xml:space="preserve">(document UPOV/EXN/DEN/4) </w:t>
      </w:r>
      <w:r w:rsidR="00435487" w:rsidRPr="00994516">
        <w:t>sera soumise au Conseil pour adoption, à sa cinquante-huitième session ordinaire, sur la base des propositions de révision qui figurent dans l’annexe I, section “Proposition</w:t>
      </w:r>
      <w:r w:rsidR="008569CE" w:rsidRPr="00994516">
        <w:t> </w:t>
      </w:r>
      <w:r w:rsidR="00435487" w:rsidRPr="00994516">
        <w:t xml:space="preserve">: Nouvelles classes de dénominations variétales pour </w:t>
      </w:r>
      <w:r w:rsidR="00435487" w:rsidRPr="00040EF3">
        <w:rPr>
          <w:i/>
          <w:iCs/>
        </w:rPr>
        <w:t>Prunus</w:t>
      </w:r>
      <w:r w:rsidR="00435487" w:rsidRPr="00994516">
        <w:t>”.</w:t>
      </w:r>
    </w:p>
    <w:p w14:paraId="3B6B5323" w14:textId="77777777" w:rsidR="00435487" w:rsidRPr="00994516" w:rsidRDefault="00435487" w:rsidP="00435487"/>
    <w:p w14:paraId="1F613883" w14:textId="4BB60C5F" w:rsidR="00435487" w:rsidRPr="00994516" w:rsidRDefault="006466EC" w:rsidP="006466EC">
      <w:pPr>
        <w:pStyle w:val="DecisionParagraphs"/>
      </w:pPr>
      <w:r w:rsidRPr="00994516">
        <w:fldChar w:fldCharType="begin"/>
      </w:r>
      <w:r w:rsidRPr="00994516">
        <w:instrText xml:space="preserve"> AUTONUM  </w:instrText>
      </w:r>
      <w:r w:rsidRPr="00994516">
        <w:fldChar w:fldCharType="end"/>
      </w:r>
      <w:r w:rsidR="00435487" w:rsidRPr="00994516">
        <w:tab/>
        <w:t>Le Conseil est invité à adopter une version révisée du document</w:t>
      </w:r>
      <w:r w:rsidR="00040EF3">
        <w:t xml:space="preserve"> </w:t>
      </w:r>
      <w:r w:rsidR="00435487" w:rsidRPr="00994516">
        <w:t>UPOV/EXN/DEN/</w:t>
      </w:r>
      <w:r w:rsidR="002D26B3">
        <w:t xml:space="preserve">3 </w:t>
      </w:r>
      <w:r w:rsidR="00435487" w:rsidRPr="00994516">
        <w:t xml:space="preserve">“Notes explicatives sur les dénominations variétales </w:t>
      </w:r>
      <w:r w:rsidR="002D26B3">
        <w:br/>
      </w:r>
      <w:r w:rsidR="00435487" w:rsidRPr="00994516">
        <w:t>en vertu de la Convention UPOV”</w:t>
      </w:r>
      <w:r w:rsidR="002D26B3">
        <w:t xml:space="preserve"> (document UPOV/EXN/DEN/4)</w:t>
      </w:r>
      <w:r w:rsidR="00435487" w:rsidRPr="00994516">
        <w:t>, sur la base des propositions de révision qui figurent dans l’annexe I, section “Proposition</w:t>
      </w:r>
      <w:r w:rsidR="008569CE" w:rsidRPr="00994516">
        <w:t> </w:t>
      </w:r>
      <w:r w:rsidR="00435487" w:rsidRPr="00994516">
        <w:t xml:space="preserve">: Nouvelles classes de dénominations variétales pour </w:t>
      </w:r>
      <w:r w:rsidR="00435487" w:rsidRPr="00040EF3">
        <w:rPr>
          <w:i w:val="0"/>
          <w:iCs/>
        </w:rPr>
        <w:t>Prunus</w:t>
      </w:r>
      <w:r w:rsidR="00435487" w:rsidRPr="00994516">
        <w:t>”, sous réserve de l’accord du TC et du CAJ lors de leurs sessions respectives en 2024.</w:t>
      </w:r>
    </w:p>
    <w:p w14:paraId="6FC1C869" w14:textId="77777777" w:rsidR="00435487" w:rsidRPr="00994516" w:rsidRDefault="00435487" w:rsidP="00435487"/>
    <w:p w14:paraId="783267A4" w14:textId="5572F42B" w:rsidR="00435487" w:rsidRPr="00994516" w:rsidRDefault="00435487" w:rsidP="00234882">
      <w:pPr>
        <w:pStyle w:val="Heading3"/>
        <w:rPr>
          <w:lang w:val="fr-FR"/>
        </w:rPr>
      </w:pPr>
      <w:bookmarkStart w:id="23" w:name="TGP7"/>
      <w:bookmarkStart w:id="24" w:name="_Toc177113757"/>
      <w:bookmarkStart w:id="25" w:name="_Toc177401379"/>
      <w:r w:rsidRPr="00994516">
        <w:rPr>
          <w:lang w:val="fr-FR"/>
        </w:rPr>
        <w:lastRenderedPageBreak/>
        <w:t>TGP/7</w:t>
      </w:r>
      <w:r w:rsidR="008569CE" w:rsidRPr="00994516">
        <w:rPr>
          <w:lang w:val="fr-FR"/>
        </w:rPr>
        <w:t> </w:t>
      </w:r>
      <w:bookmarkEnd w:id="23"/>
      <w:r w:rsidRPr="00994516">
        <w:rPr>
          <w:lang w:val="fr-FR"/>
        </w:rPr>
        <w:t>: Élaboration des principes directeurs d’examen (révision)</w:t>
      </w:r>
      <w:bookmarkEnd w:id="24"/>
      <w:bookmarkEnd w:id="25"/>
    </w:p>
    <w:p w14:paraId="40BEF664" w14:textId="77777777" w:rsidR="00435487" w:rsidRPr="00994516" w:rsidRDefault="00435487" w:rsidP="00040EF3">
      <w:pPr>
        <w:keepNext/>
      </w:pPr>
    </w:p>
    <w:p w14:paraId="78FF1EE2" w14:textId="77777777" w:rsidR="00435487" w:rsidRPr="00994516" w:rsidRDefault="00435487" w:rsidP="00234882">
      <w:pPr>
        <w:pStyle w:val="Heading4"/>
      </w:pPr>
      <w:bookmarkStart w:id="26" w:name="Textestandard"/>
      <w:bookmarkStart w:id="27" w:name="_Toc177401380"/>
      <w:r w:rsidRPr="00994516">
        <w:t xml:space="preserve">Texte standard </w:t>
      </w:r>
      <w:bookmarkEnd w:id="26"/>
      <w:r w:rsidRPr="00994516">
        <w:t>supplémentaire (ASW) 3 “Précisions concernant le cycle de végétation”</w:t>
      </w:r>
      <w:bookmarkEnd w:id="27"/>
    </w:p>
    <w:p w14:paraId="6E50CC05" w14:textId="77777777" w:rsidR="00435487" w:rsidRPr="00994516" w:rsidRDefault="00435487" w:rsidP="00435487"/>
    <w:p w14:paraId="27F71FD1" w14:textId="6601629D" w:rsidR="0026375A" w:rsidRPr="00994516" w:rsidRDefault="006466EC" w:rsidP="0026375A">
      <w:r w:rsidRPr="00994516">
        <w:fldChar w:fldCharType="begin"/>
      </w:r>
      <w:r w:rsidRPr="00994516">
        <w:instrText xml:space="preserve"> AUTONUM  </w:instrText>
      </w:r>
      <w:r w:rsidRPr="00994516">
        <w:fldChar w:fldCharType="end"/>
      </w:r>
      <w:r w:rsidR="00435487" w:rsidRPr="00994516">
        <w:tab/>
      </w:r>
      <w:r w:rsidR="0026375A" w:rsidRPr="00994516">
        <w:t>Lors de leurs sessions respectives en 2024</w:t>
      </w:r>
      <w:r w:rsidR="0026375A" w:rsidRPr="00994516">
        <w:rPr>
          <w:rFonts w:eastAsiaTheme="minorEastAsia"/>
        </w:rPr>
        <w:t xml:space="preserve">, le TWV, le </w:t>
      </w:r>
      <w:r w:rsidR="0026375A" w:rsidRPr="00994516">
        <w:t xml:space="preserve">TWO, le </w:t>
      </w:r>
      <w:r w:rsidR="0026375A" w:rsidRPr="00994516">
        <w:rPr>
          <w:rFonts w:eastAsiaTheme="minorEastAsia"/>
        </w:rPr>
        <w:t xml:space="preserve">TWA et le </w:t>
      </w:r>
      <w:r w:rsidR="0026375A" w:rsidRPr="00994516">
        <w:t>TWF ont approuvé la proposition de modification du texte standard relatif au cycle de végétation pour les “espèces fruitières présentant une période de dormance clairement définie” figurant dans le document TGP/7, ASW 3.a), de sorte qu’il soit ainsi libellé (</w:t>
      </w:r>
      <w:r w:rsidR="0026375A" w:rsidRPr="00994516">
        <w:rPr>
          <w:spacing w:val="-2"/>
        </w:rPr>
        <w:t xml:space="preserve">ajouts indiqués en surligné et </w:t>
      </w:r>
      <w:r w:rsidR="0026375A" w:rsidRPr="00994516">
        <w:rPr>
          <w:spacing w:val="-2"/>
          <w:highlight w:val="lightGray"/>
          <w:u w:val="single"/>
        </w:rPr>
        <w:t>souligné;</w:t>
      </w:r>
      <w:r w:rsidR="0026375A" w:rsidRPr="00994516">
        <w:rPr>
          <w:spacing w:val="-2"/>
        </w:rPr>
        <w:t xml:space="preserve">  suppressions indiquées en surligné et </w:t>
      </w:r>
      <w:r w:rsidR="0026375A" w:rsidRPr="00994516">
        <w:rPr>
          <w:strike/>
          <w:spacing w:val="-2"/>
          <w:highlight w:val="lightGray"/>
        </w:rPr>
        <w:t>biffé</w:t>
      </w:r>
      <w:r w:rsidR="0026375A" w:rsidRPr="00994516">
        <w:t>) :</w:t>
      </w:r>
    </w:p>
    <w:p w14:paraId="4E8C5AE9" w14:textId="77777777" w:rsidR="0026375A" w:rsidRPr="00994516" w:rsidRDefault="0026375A" w:rsidP="0026375A"/>
    <w:p w14:paraId="79886925" w14:textId="77777777" w:rsidR="0026375A" w:rsidRPr="00994516" w:rsidRDefault="0026375A" w:rsidP="0026375A">
      <w:pPr>
        <w:keepNext/>
        <w:tabs>
          <w:tab w:val="left" w:pos="1134"/>
        </w:tabs>
        <w:ind w:left="567" w:right="567"/>
        <w:contextualSpacing/>
        <w:rPr>
          <w:sz w:val="18"/>
          <w:szCs w:val="18"/>
        </w:rPr>
      </w:pPr>
      <w:r w:rsidRPr="00994516">
        <w:rPr>
          <w:sz w:val="18"/>
          <w:szCs w:val="18"/>
        </w:rPr>
        <w:t>“a)</w:t>
      </w:r>
      <w:r w:rsidRPr="00994516">
        <w:rPr>
          <w:sz w:val="18"/>
          <w:szCs w:val="18"/>
        </w:rPr>
        <w:tab/>
        <w:t>Espèces fruitières présentant une période de dormance clairement définie</w:t>
      </w:r>
    </w:p>
    <w:p w14:paraId="01369BBE" w14:textId="77777777" w:rsidR="0026375A" w:rsidRPr="00994516" w:rsidRDefault="0026375A" w:rsidP="0026375A">
      <w:pPr>
        <w:keepNext/>
        <w:tabs>
          <w:tab w:val="left" w:pos="1134"/>
        </w:tabs>
        <w:ind w:left="567" w:right="567"/>
        <w:contextualSpacing/>
        <w:rPr>
          <w:sz w:val="18"/>
          <w:szCs w:val="18"/>
        </w:rPr>
      </w:pPr>
    </w:p>
    <w:p w14:paraId="27017FB2" w14:textId="21B75688" w:rsidR="0026375A" w:rsidRPr="00994516" w:rsidRDefault="0026375A" w:rsidP="0026375A">
      <w:pPr>
        <w:tabs>
          <w:tab w:val="left" w:pos="851"/>
          <w:tab w:val="left" w:pos="1134"/>
        </w:tabs>
        <w:ind w:left="567" w:right="567"/>
        <w:rPr>
          <w:sz w:val="18"/>
          <w:szCs w:val="18"/>
        </w:rPr>
      </w:pPr>
      <w:r w:rsidRPr="00994516">
        <w:rPr>
          <w:sz w:val="18"/>
          <w:szCs w:val="18"/>
        </w:rPr>
        <w:t>“3.1.2</w:t>
      </w:r>
      <w:r w:rsidRPr="00994516">
        <w:rPr>
          <w:sz w:val="18"/>
          <w:szCs w:val="18"/>
        </w:rPr>
        <w:tab/>
        <w:t xml:space="preserve">Le cycle de végétation est constitué par la durée d’une seule saison de végétation, qui commence avec </w:t>
      </w:r>
      <w:r w:rsidRPr="00994516">
        <w:rPr>
          <w:sz w:val="18"/>
          <w:szCs w:val="18"/>
          <w:highlight w:val="lightGray"/>
          <w:u w:val="single"/>
        </w:rPr>
        <w:t>la période de dormance, se poursuit par</w:t>
      </w:r>
      <w:r w:rsidRPr="00994516">
        <w:rPr>
          <w:sz w:val="18"/>
          <w:szCs w:val="18"/>
        </w:rPr>
        <w:t xml:space="preserve"> le débourrement (floraison ou croissance végétative), </w:t>
      </w:r>
      <w:r w:rsidR="00996ACC" w:rsidRPr="00994516">
        <w:rPr>
          <w:strike/>
          <w:sz w:val="18"/>
          <w:szCs w:val="18"/>
          <w:highlight w:val="lightGray"/>
        </w:rPr>
        <w:t>se poursuit par</w:t>
      </w:r>
      <w:r w:rsidR="00996ACC" w:rsidRPr="00994516">
        <w:rPr>
          <w:sz w:val="18"/>
          <w:szCs w:val="18"/>
        </w:rPr>
        <w:t xml:space="preserve"> </w:t>
      </w:r>
      <w:r w:rsidRPr="00994516">
        <w:rPr>
          <w:sz w:val="18"/>
          <w:szCs w:val="18"/>
        </w:rPr>
        <w:t xml:space="preserve">la floraison et la récolte des fruits et s’achève </w:t>
      </w:r>
      <w:r w:rsidR="00996ACC" w:rsidRPr="00994516">
        <w:rPr>
          <w:strike/>
          <w:sz w:val="18"/>
          <w:szCs w:val="18"/>
          <w:highlight w:val="lightGray"/>
        </w:rPr>
        <w:t xml:space="preserve">à la fin de </w:t>
      </w:r>
      <w:r w:rsidR="00996ACC" w:rsidRPr="00994516">
        <w:rPr>
          <w:sz w:val="18"/>
          <w:szCs w:val="18"/>
          <w:highlight w:val="lightGray"/>
          <w:u w:val="single"/>
        </w:rPr>
        <w:t>lorsque</w:t>
      </w:r>
      <w:r w:rsidR="00996ACC" w:rsidRPr="00994516">
        <w:rPr>
          <w:sz w:val="18"/>
          <w:szCs w:val="18"/>
        </w:rPr>
        <w:t xml:space="preserve"> </w:t>
      </w:r>
      <w:r w:rsidRPr="00994516">
        <w:rPr>
          <w:sz w:val="18"/>
          <w:szCs w:val="18"/>
        </w:rPr>
        <w:t xml:space="preserve">la période de dormance suivante </w:t>
      </w:r>
      <w:r w:rsidRPr="00996ACC">
        <w:rPr>
          <w:sz w:val="18"/>
          <w:szCs w:val="18"/>
          <w:highlight w:val="lightGray"/>
          <w:u w:val="single"/>
        </w:rPr>
        <w:t>commence</w:t>
      </w:r>
      <w:r w:rsidRPr="00994516">
        <w:rPr>
          <w:sz w:val="18"/>
          <w:szCs w:val="18"/>
        </w:rPr>
        <w:t xml:space="preserve"> </w:t>
      </w:r>
      <w:r w:rsidR="00996ACC">
        <w:rPr>
          <w:strike/>
          <w:sz w:val="18"/>
          <w:szCs w:val="18"/>
          <w:highlight w:val="lightGray"/>
        </w:rPr>
        <w:t xml:space="preserve">par </w:t>
      </w:r>
      <w:r w:rsidRPr="00994516">
        <w:rPr>
          <w:strike/>
          <w:sz w:val="18"/>
          <w:szCs w:val="18"/>
          <w:highlight w:val="lightGray"/>
        </w:rPr>
        <w:t>la formation des boutons de la nouvelle saison</w:t>
      </w:r>
      <w:r w:rsidRPr="00994516">
        <w:rPr>
          <w:sz w:val="18"/>
          <w:szCs w:val="18"/>
        </w:rPr>
        <w:t>.”</w:t>
      </w:r>
    </w:p>
    <w:p w14:paraId="7F8CA7ED" w14:textId="77777777" w:rsidR="0026375A" w:rsidRPr="00994516" w:rsidRDefault="0026375A" w:rsidP="0026375A">
      <w:pPr>
        <w:rPr>
          <w:sz w:val="18"/>
          <w:szCs w:val="18"/>
        </w:rPr>
      </w:pPr>
    </w:p>
    <w:p w14:paraId="521339C0" w14:textId="324CE68E"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Sous réserve de l’accord du TC à sa soixantième session, et du CAJ à sa quatre-vingt-unième session, une version approuvée du document</w:t>
      </w:r>
      <w:r w:rsidR="00040EF3">
        <w:t xml:space="preserve"> TGP/7</w:t>
      </w:r>
      <w:r w:rsidR="0026375A" w:rsidRPr="00994516">
        <w:t xml:space="preserve"> “Élaboration des principes directeurs d’examen” sera soumise au Conseil pour adoption, à sa cinquante-huitième session ordinaire, sur la base des propositions de modifications qui figurent</w:t>
      </w:r>
      <w:r w:rsidR="0026375A" w:rsidRPr="00994516">
        <w:rPr>
          <w:spacing w:val="-2"/>
        </w:rPr>
        <w:t xml:space="preserve"> au paragraphe 20</w:t>
      </w:r>
      <w:r w:rsidR="0026375A" w:rsidRPr="00994516">
        <w:t>.</w:t>
      </w:r>
    </w:p>
    <w:p w14:paraId="53A68CE2" w14:textId="77777777" w:rsidR="0026375A" w:rsidRPr="00994516" w:rsidRDefault="0026375A" w:rsidP="0026375A"/>
    <w:p w14:paraId="3777A33A" w14:textId="640B0C1D"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t>Le Conseil est invité à adopter une version révisée du document</w:t>
      </w:r>
      <w:r w:rsidR="00040EF3">
        <w:t xml:space="preserve"> </w:t>
      </w:r>
      <w:r w:rsidR="0026375A" w:rsidRPr="00994516">
        <w:t>TGP/7/9 “Élaboration des principes directeurs d’examen”, sur la base des propositions de modifications qui figurent</w:t>
      </w:r>
      <w:r w:rsidR="0026375A" w:rsidRPr="00994516">
        <w:rPr>
          <w:spacing w:val="-2"/>
        </w:rPr>
        <w:t xml:space="preserve"> au paragraphe 20</w:t>
      </w:r>
      <w:r w:rsidR="0026375A" w:rsidRPr="00994516">
        <w:t>, sous réserve de l’accord du TC et du CAJ lors de leurs sessions respectives en 2024.</w:t>
      </w:r>
    </w:p>
    <w:p w14:paraId="03BDBBD8" w14:textId="77777777" w:rsidR="0026375A" w:rsidRPr="00994516" w:rsidRDefault="0026375A" w:rsidP="0026375A"/>
    <w:p w14:paraId="20DC03CB" w14:textId="77777777" w:rsidR="0026375A" w:rsidRPr="00994516" w:rsidRDefault="0026375A" w:rsidP="00234882">
      <w:pPr>
        <w:pStyle w:val="Heading3"/>
        <w:rPr>
          <w:lang w:val="fr-FR"/>
        </w:rPr>
      </w:pPr>
      <w:bookmarkStart w:id="28" w:name="TGP12"/>
      <w:bookmarkStart w:id="29" w:name="_Toc176335729"/>
      <w:bookmarkStart w:id="30" w:name="_Toc177113758"/>
      <w:bookmarkStart w:id="31" w:name="_Toc177401381"/>
      <w:r w:rsidRPr="00994516">
        <w:rPr>
          <w:lang w:val="fr-FR"/>
        </w:rPr>
        <w:t>TGP/12</w:t>
      </w:r>
      <w:bookmarkEnd w:id="28"/>
      <w:r w:rsidRPr="00994516">
        <w:rPr>
          <w:lang w:val="fr-FR"/>
        </w:rPr>
        <w:t> : Conseils en ce qui concerne certains caractères physiologiques (révision)</w:t>
      </w:r>
      <w:bookmarkEnd w:id="29"/>
      <w:bookmarkEnd w:id="30"/>
      <w:bookmarkEnd w:id="31"/>
    </w:p>
    <w:p w14:paraId="338A50AC" w14:textId="77777777" w:rsidR="0026375A" w:rsidRPr="00994516" w:rsidRDefault="0026375A" w:rsidP="0026375A">
      <w:pPr>
        <w:keepNext/>
      </w:pPr>
    </w:p>
    <w:p w14:paraId="5C45ACBA" w14:textId="77777777" w:rsidR="0026375A" w:rsidRPr="00994516" w:rsidRDefault="0026375A" w:rsidP="00234882">
      <w:pPr>
        <w:pStyle w:val="Heading4"/>
      </w:pPr>
      <w:bookmarkStart w:id="32" w:name="Tableau"/>
      <w:bookmarkStart w:id="33" w:name="_Toc177401382"/>
      <w:bookmarkStart w:id="34" w:name="_Toc176335730"/>
      <w:bookmarkStart w:id="35" w:name="_Hlk176529332"/>
      <w:r w:rsidRPr="00994516">
        <w:t>Tableau</w:t>
      </w:r>
      <w:bookmarkEnd w:id="32"/>
      <w:r w:rsidRPr="00994516">
        <w:t xml:space="preserve"> d’équivalence entre les niveaux d’expression des caractères quantitatifs de résistance aux maladies qui figurent dans les principes directeurs d’examen</w:t>
      </w:r>
      <w:bookmarkEnd w:id="33"/>
      <w:r w:rsidRPr="00994516">
        <w:t xml:space="preserve"> </w:t>
      </w:r>
      <w:bookmarkEnd w:id="34"/>
    </w:p>
    <w:bookmarkEnd w:id="35"/>
    <w:p w14:paraId="78003807" w14:textId="77777777" w:rsidR="0026375A" w:rsidRPr="00994516" w:rsidRDefault="0026375A" w:rsidP="0026375A">
      <w:pPr>
        <w:keepNext/>
      </w:pPr>
    </w:p>
    <w:p w14:paraId="3B726A4A" w14:textId="591BEA58"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Les informations générales sur cette question sont indiquées à l’annexe II du présent document.</w:t>
      </w:r>
    </w:p>
    <w:p w14:paraId="2F647B91" w14:textId="1D5724D2" w:rsidR="0026375A" w:rsidRPr="00994516" w:rsidRDefault="0026375A" w:rsidP="0026375A"/>
    <w:p w14:paraId="3CE5259E" w14:textId="7C8F343E" w:rsidR="0026375A" w:rsidRPr="00994516" w:rsidRDefault="006466EC" w:rsidP="0026375A">
      <w:pPr>
        <w:rPr>
          <w:rFonts w:eastAsiaTheme="minorEastAsia"/>
        </w:rPr>
      </w:pPr>
      <w:r w:rsidRPr="00994516">
        <w:fldChar w:fldCharType="begin"/>
      </w:r>
      <w:r w:rsidRPr="00994516">
        <w:instrText xml:space="preserve"> AUTONUM  </w:instrText>
      </w:r>
      <w:r w:rsidRPr="00994516">
        <w:fldChar w:fldCharType="end"/>
      </w:r>
      <w:r w:rsidR="0026375A" w:rsidRPr="00994516">
        <w:tab/>
      </w:r>
      <w:bookmarkStart w:id="36" w:name="_Hlk176708496"/>
      <w:r w:rsidR="0026375A" w:rsidRPr="00994516">
        <w:t xml:space="preserve">Lors de sa session de 2023, le TC est convenu d’inviter les TWP, lors de leurs sessions respectives en 2024, à examiner la possibilité de modifier le document TGP/12 pour y inclure un tableau d’équivalence entre les niveaux d’expression qui figurent dans les principes directeurs d’examen et la terminologie utilisée dans le secteur des semences potagères.  Sur la base des commentaires formulés par les TWP, lors de leurs sessions en 2024, une proposition est présentée à l’annexe II du présent document, </w:t>
      </w:r>
      <w:r w:rsidR="0026375A" w:rsidRPr="00994516">
        <w:rPr>
          <w:spacing w:val="-2"/>
        </w:rPr>
        <w:t>section “Proposition”</w:t>
      </w:r>
      <w:r w:rsidR="0026375A" w:rsidRPr="00994516">
        <w:t xml:space="preserve">. </w:t>
      </w:r>
    </w:p>
    <w:p w14:paraId="3DE1043A" w14:textId="77777777" w:rsidR="0026375A" w:rsidRPr="00994516" w:rsidRDefault="0026375A" w:rsidP="0026375A">
      <w:pPr>
        <w:rPr>
          <w:sz w:val="18"/>
          <w:szCs w:val="18"/>
        </w:rPr>
      </w:pPr>
    </w:p>
    <w:p w14:paraId="7C6BF923" w14:textId="1367A371"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 xml:space="preserve">Sous réserve de l’accord du TC à sa soixantième session, et du CAJ à sa quatre-vingt-unième session, une version approuvée du document </w:t>
      </w:r>
      <w:r w:rsidR="0026375A" w:rsidRPr="00994516">
        <w:rPr>
          <w:rFonts w:eastAsiaTheme="minorEastAsia"/>
        </w:rPr>
        <w:t>TGP/12 “</w:t>
      </w:r>
      <w:r w:rsidR="0026375A" w:rsidRPr="00994516">
        <w:t>Conseils en ce qui concerne certains caractères physiologiques</w:t>
      </w:r>
      <w:r w:rsidR="0026375A" w:rsidRPr="00994516">
        <w:rPr>
          <w:rFonts w:eastAsiaTheme="minorEastAsia"/>
        </w:rPr>
        <w:t xml:space="preserve">” </w:t>
      </w:r>
      <w:r w:rsidR="0026375A" w:rsidRPr="00994516">
        <w:t xml:space="preserve">sera soumise au Conseil pour adoption, à sa cinquante-huitième session ordinaire, sur la base des propositions de modifications qui figurent dans l’annexe II du présent document, </w:t>
      </w:r>
      <w:r w:rsidR="0026375A" w:rsidRPr="00994516">
        <w:rPr>
          <w:spacing w:val="-2"/>
        </w:rPr>
        <w:t>section “Proposition”</w:t>
      </w:r>
      <w:r w:rsidR="0026375A" w:rsidRPr="00994516">
        <w:t>.</w:t>
      </w:r>
    </w:p>
    <w:p w14:paraId="5541AC46" w14:textId="77777777" w:rsidR="0026375A" w:rsidRPr="00994516" w:rsidRDefault="0026375A" w:rsidP="0026375A">
      <w:pPr>
        <w:rPr>
          <w:rFonts w:eastAsiaTheme="minorEastAsia"/>
        </w:rPr>
      </w:pPr>
    </w:p>
    <w:p w14:paraId="537ADD4F" w14:textId="37594535"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t xml:space="preserve">Le Conseil est invité à adopter une version révisée du document TGP/12/4 “Conseils en ce qui concerne certains caractères physiologiques”, sur la base des propositions de modifications qui figurent dans l’annexe II, </w:t>
      </w:r>
      <w:r w:rsidR="0026375A" w:rsidRPr="00994516">
        <w:rPr>
          <w:spacing w:val="-2"/>
        </w:rPr>
        <w:t>section “Proposition”</w:t>
      </w:r>
      <w:r w:rsidR="0026375A" w:rsidRPr="00994516">
        <w:t>, sous réserve de l’accord du TC et du CAJ lors de leurs sessions respectives en 2024.</w:t>
      </w:r>
    </w:p>
    <w:p w14:paraId="2B88FE69" w14:textId="77777777" w:rsidR="0026375A" w:rsidRPr="00994516" w:rsidRDefault="0026375A" w:rsidP="0026375A"/>
    <w:p w14:paraId="4194CC66" w14:textId="77777777" w:rsidR="0026375A" w:rsidRPr="00994516" w:rsidRDefault="0026375A" w:rsidP="00234882">
      <w:pPr>
        <w:pStyle w:val="Heading2"/>
        <w:rPr>
          <w:lang w:val="fr-FR"/>
        </w:rPr>
      </w:pPr>
      <w:bookmarkStart w:id="37" w:name="DocumentII"/>
      <w:bookmarkStart w:id="38" w:name="_Toc176335731"/>
      <w:bookmarkStart w:id="39" w:name="_Toc177113759"/>
      <w:bookmarkStart w:id="40" w:name="_Toc177401383"/>
      <w:bookmarkEnd w:id="36"/>
      <w:r w:rsidRPr="00994516">
        <w:rPr>
          <w:lang w:val="fr-FR"/>
        </w:rPr>
        <w:t>Documen</w:t>
      </w:r>
      <w:bookmarkEnd w:id="37"/>
      <w:r w:rsidRPr="00994516">
        <w:rPr>
          <w:lang w:val="fr-FR"/>
        </w:rPr>
        <w:t>t pour adoption par le Conseil, sous réserve de l’accord du CAJ</w:t>
      </w:r>
      <w:bookmarkEnd w:id="38"/>
      <w:bookmarkEnd w:id="39"/>
      <w:bookmarkEnd w:id="40"/>
    </w:p>
    <w:p w14:paraId="04723F1F" w14:textId="77777777" w:rsidR="0026375A" w:rsidRPr="00994516" w:rsidRDefault="0026375A" w:rsidP="0026375A"/>
    <w:p w14:paraId="2DEC487A" w14:textId="5F247DC3"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Le document ci-après est proposé au Conseil pour adoption en 2024, sous réserve de l’accord du CAJ à sa session de 2024.</w:t>
      </w:r>
    </w:p>
    <w:p w14:paraId="5CA53D58" w14:textId="77777777" w:rsidR="0026375A" w:rsidRPr="00994516" w:rsidRDefault="0026375A" w:rsidP="0026375A"/>
    <w:p w14:paraId="4A2F4EAE" w14:textId="77777777" w:rsidR="0026375A" w:rsidRPr="00994516" w:rsidRDefault="0026375A" w:rsidP="00234882">
      <w:pPr>
        <w:pStyle w:val="Heading3"/>
        <w:rPr>
          <w:lang w:val="fr-FR"/>
        </w:rPr>
      </w:pPr>
      <w:bookmarkStart w:id="41" w:name="UPOVEXNPPM"/>
      <w:bookmarkStart w:id="42" w:name="_Toc176335732"/>
      <w:bookmarkStart w:id="43" w:name="_Toc177113760"/>
      <w:bookmarkStart w:id="44" w:name="_Toc177401384"/>
      <w:r w:rsidRPr="00994516">
        <w:rPr>
          <w:lang w:val="fr-FR"/>
        </w:rPr>
        <w:t>UPOV/EXN/PPM </w:t>
      </w:r>
      <w:bookmarkEnd w:id="41"/>
      <w:r w:rsidRPr="00994516">
        <w:rPr>
          <w:lang w:val="fr-FR"/>
        </w:rPr>
        <w:t xml:space="preserve">: Notes explicatives </w:t>
      </w:r>
      <w:r w:rsidRPr="00994516">
        <w:rPr>
          <w:szCs w:val="18"/>
          <w:shd w:val="clear" w:color="auto" w:fill="FFFFFF"/>
          <w:lang w:val="fr-FR"/>
        </w:rPr>
        <w:t xml:space="preserve">sur </w:t>
      </w:r>
      <w:r w:rsidRPr="00994516">
        <w:rPr>
          <w:shd w:val="clear" w:color="auto" w:fill="FFFFFF"/>
          <w:lang w:val="fr-FR"/>
        </w:rPr>
        <w:t>le matériel de reproduction ou de multiplication en vertu de la Convention UPOV</w:t>
      </w:r>
      <w:r w:rsidRPr="00994516">
        <w:rPr>
          <w:lang w:val="fr-FR"/>
        </w:rPr>
        <w:t xml:space="preserve"> (révision) (document UPOV/EXN/PPM/2 Draft 1)</w:t>
      </w:r>
      <w:bookmarkEnd w:id="42"/>
      <w:bookmarkEnd w:id="43"/>
      <w:bookmarkEnd w:id="44"/>
    </w:p>
    <w:p w14:paraId="13EA50C4" w14:textId="77777777" w:rsidR="0026375A" w:rsidRPr="00994516" w:rsidRDefault="0026375A" w:rsidP="0026375A">
      <w:pPr>
        <w:rPr>
          <w:highlight w:val="yellow"/>
        </w:rPr>
      </w:pPr>
    </w:p>
    <w:p w14:paraId="1F2923BB" w14:textId="1FB14C62"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Le g</w:t>
      </w:r>
      <w:r w:rsidR="0026375A" w:rsidRPr="00994516">
        <w:rPr>
          <w:rFonts w:cs="Arial"/>
        </w:rPr>
        <w:t xml:space="preserve">roupe de travail sur </w:t>
      </w:r>
      <w:r w:rsidR="0026375A" w:rsidRPr="00994516">
        <w:t xml:space="preserve">le produit de la récolte et l’utilisation non autorisée de matériel de reproduction ou de multiplication (WG-HRV), à sa troisième réunion qui s’est tenue à Genève le 21 mars 2023, est convenu de modifier la section “Facteurs qui ont été pris en compte s’agissant du matériel de reproduction ou de </w:t>
      </w:r>
      <w:r w:rsidR="0026375A" w:rsidRPr="00994516">
        <w:lastRenderedPageBreak/>
        <w:t xml:space="preserve">multiplication” du document UPOV/EXN/PPM/1 “Notes explicatives </w:t>
      </w:r>
      <w:r w:rsidR="0026375A" w:rsidRPr="00994516">
        <w:rPr>
          <w:rFonts w:cs="Arial"/>
          <w:color w:val="333333"/>
          <w:szCs w:val="18"/>
          <w:shd w:val="clear" w:color="auto" w:fill="FFFFFF"/>
        </w:rPr>
        <w:t xml:space="preserve">sur </w:t>
      </w:r>
      <w:r w:rsidR="0026375A" w:rsidRPr="00994516">
        <w:rPr>
          <w:rFonts w:cs="Arial"/>
          <w:color w:val="333333"/>
          <w:shd w:val="clear" w:color="auto" w:fill="FFFFFF"/>
        </w:rPr>
        <w:t>le matériel de reproduction ou de multiplication en vertu de la Convention UPOV</w:t>
      </w:r>
      <w:r w:rsidR="0026375A" w:rsidRPr="00994516">
        <w:t>”, de sorte qu’elle soit ainsi libellée :</w:t>
      </w:r>
    </w:p>
    <w:p w14:paraId="084C7D13" w14:textId="77777777" w:rsidR="0026375A" w:rsidRPr="00994516" w:rsidRDefault="0026375A" w:rsidP="0026375A"/>
    <w:p w14:paraId="796707F5" w14:textId="77777777" w:rsidR="0026375A" w:rsidRPr="00994516" w:rsidRDefault="0026375A" w:rsidP="0026375A">
      <w:pPr>
        <w:ind w:left="567"/>
        <w:rPr>
          <w:sz w:val="18"/>
          <w:szCs w:val="18"/>
        </w:rPr>
      </w:pPr>
      <w:r w:rsidRPr="00994516">
        <w:rPr>
          <w:sz w:val="18"/>
          <w:szCs w:val="18"/>
        </w:rPr>
        <w:t xml:space="preserve">FACTEURS QUI ONT ÉTÉ PRIS EN COMPTE S’AGISSANT DU MATÉRIEL DE REPRODUCTION OU </w:t>
      </w:r>
    </w:p>
    <w:p w14:paraId="00A93BD7" w14:textId="77777777" w:rsidR="0026375A" w:rsidRPr="00994516" w:rsidRDefault="0026375A" w:rsidP="0026375A">
      <w:pPr>
        <w:ind w:left="567"/>
        <w:rPr>
          <w:sz w:val="18"/>
          <w:szCs w:val="18"/>
        </w:rPr>
      </w:pPr>
      <w:r w:rsidRPr="00994516">
        <w:rPr>
          <w:sz w:val="18"/>
          <w:szCs w:val="18"/>
        </w:rPr>
        <w:t xml:space="preserve">DE MULTIPLICATION </w:t>
      </w:r>
    </w:p>
    <w:p w14:paraId="77696811" w14:textId="77777777" w:rsidR="0026375A" w:rsidRPr="00994516" w:rsidRDefault="0026375A" w:rsidP="0026375A">
      <w:pPr>
        <w:ind w:left="567" w:right="567"/>
        <w:rPr>
          <w:sz w:val="18"/>
          <w:szCs w:val="18"/>
        </w:rPr>
      </w:pPr>
    </w:p>
    <w:p w14:paraId="21CA4087" w14:textId="1C83B3B2" w:rsidR="0026375A" w:rsidRPr="00994516" w:rsidRDefault="0026375A" w:rsidP="0026375A">
      <w:pPr>
        <w:ind w:left="567" w:right="567"/>
        <w:rPr>
          <w:sz w:val="18"/>
          <w:szCs w:val="18"/>
        </w:rPr>
      </w:pPr>
      <w:r w:rsidRPr="00994516">
        <w:rPr>
          <w:sz w:val="18"/>
          <w:szCs w:val="18"/>
        </w:rPr>
        <w:t xml:space="preserve">La Convention UPOV ne donne pas de définition du “matériel de reproduction ou de multiplication”.  </w:t>
      </w:r>
      <w:r w:rsidR="00D8490A">
        <w:rPr>
          <w:sz w:val="18"/>
          <w:szCs w:val="18"/>
        </w:rPr>
        <w:br/>
      </w:r>
      <w:r w:rsidRPr="00994516">
        <w:rPr>
          <w:sz w:val="18"/>
          <w:szCs w:val="18"/>
        </w:rPr>
        <w:t xml:space="preserve">Le matériel de reproduction ou de multiplication couvre le matériel de reproduction ou de multiplication végétative.  On trouvera ci-après des exemples non exhaustifs de facteurs </w:t>
      </w:r>
      <w:r w:rsidR="00D8490A" w:rsidRPr="00D8490A">
        <w:rPr>
          <w:sz w:val="18"/>
          <w:szCs w:val="18"/>
        </w:rPr>
        <w:t>dont un ou plusieurs pourraient être utilisés pour décider</w:t>
      </w:r>
      <w:r w:rsidRPr="00994516">
        <w:rPr>
          <w:sz w:val="18"/>
          <w:szCs w:val="18"/>
        </w:rPr>
        <w:t xml:space="preserve"> si le matériel est du matériel de reproduction ou de multiplication.  Ces facteurs doivent être examinés dans le contexte de chaque membre de l’Union et des circonstances particulières.</w:t>
      </w:r>
    </w:p>
    <w:p w14:paraId="671A2CB8" w14:textId="77777777" w:rsidR="0026375A" w:rsidRPr="00994516" w:rsidRDefault="0026375A" w:rsidP="0026375A">
      <w:pPr>
        <w:ind w:left="567" w:right="567"/>
        <w:rPr>
          <w:sz w:val="18"/>
          <w:szCs w:val="18"/>
        </w:rPr>
      </w:pPr>
    </w:p>
    <w:p w14:paraId="72327917" w14:textId="77777777"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plantes ou parties de plantes utilisées pour la reproduction de la variété;</w:t>
      </w:r>
    </w:p>
    <w:p w14:paraId="155C56ED" w14:textId="039184AA"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si le matériel a été utilisé pour reproduire ou multiplier la variété;</w:t>
      </w:r>
    </w:p>
    <w:p w14:paraId="127F8769" w14:textId="1ABB933B"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 xml:space="preserve">si le matériel </w:t>
      </w:r>
      <w:r w:rsidR="00D8490A" w:rsidRPr="00D8490A">
        <w:rPr>
          <w:sz w:val="18"/>
          <w:szCs w:val="18"/>
        </w:rPr>
        <w:t>a la capacité innée de</w:t>
      </w:r>
      <w:r w:rsidRPr="00994516">
        <w:rPr>
          <w:sz w:val="18"/>
          <w:szCs w:val="18"/>
        </w:rPr>
        <w:t xml:space="preserve"> produire des plantes entières de la variété (</w:t>
      </w:r>
      <w:r w:rsidR="00D8490A" w:rsidRPr="00D8490A">
        <w:rPr>
          <w:sz w:val="18"/>
          <w:szCs w:val="18"/>
        </w:rPr>
        <w:t>par exemple, des semences, des tubercules</w:t>
      </w:r>
      <w:r w:rsidRPr="00994516">
        <w:rPr>
          <w:sz w:val="18"/>
          <w:szCs w:val="18"/>
        </w:rPr>
        <w:t>);</w:t>
      </w:r>
    </w:p>
    <w:p w14:paraId="417A7B4B" w14:textId="77777777"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 xml:space="preserve">si le matériel peut être utilisé comme matériel de reproduction ou de multiplication par le recours à des techniques de reproduction ou de multiplication (comme des boutures, ou des cultures tissulaires); </w:t>
      </w:r>
    </w:p>
    <w:p w14:paraId="12D8D646" w14:textId="77777777"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 xml:space="preserve">s’il y a eu une coutume ou pratique consistant à utiliser le matériel à cette fin ou si, </w:t>
      </w:r>
      <w:proofErr w:type="gramStart"/>
      <w:r w:rsidRPr="00994516">
        <w:rPr>
          <w:sz w:val="18"/>
          <w:szCs w:val="18"/>
        </w:rPr>
        <w:t>suite à des</w:t>
      </w:r>
      <w:proofErr w:type="gramEnd"/>
      <w:r w:rsidRPr="00994516">
        <w:rPr>
          <w:sz w:val="18"/>
          <w:szCs w:val="18"/>
        </w:rPr>
        <w:t xml:space="preserve"> faits nouveaux, il y a une nouvelle coutume ou pratique consistant à utiliser le matériel à cette fin;</w:t>
      </w:r>
    </w:p>
    <w:p w14:paraId="23A0EFBB" w14:textId="77777777"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 xml:space="preserve">si, sur la base de la nature et de la condition du matériel et/ou de la forme de son utilisation, il peut être établi que le matériel est du “matériel de reproduction ou de multiplication”;  </w:t>
      </w:r>
    </w:p>
    <w:p w14:paraId="7019AA87" w14:textId="6D07A34A" w:rsidR="0026375A" w:rsidRPr="00994516" w:rsidRDefault="0026375A" w:rsidP="00C70FA5">
      <w:pPr>
        <w:numPr>
          <w:ilvl w:val="0"/>
          <w:numId w:val="35"/>
        </w:numPr>
        <w:spacing w:after="120"/>
        <w:ind w:left="1701" w:right="567" w:hanging="567"/>
        <w:contextualSpacing/>
        <w:rPr>
          <w:sz w:val="18"/>
          <w:szCs w:val="18"/>
        </w:rPr>
      </w:pPr>
      <w:r w:rsidRPr="00994516">
        <w:rPr>
          <w:sz w:val="18"/>
          <w:szCs w:val="18"/>
        </w:rPr>
        <w:t xml:space="preserve">le matériel de la variété dont les conditions et le mode de production répondent à l’objectif de reproduction des nouvelles plantes de la variété mais ne sont pas destinés </w:t>
      </w:r>
      <w:r w:rsidRPr="009613ED">
        <w:rPr>
          <w:i/>
          <w:iCs/>
          <w:sz w:val="18"/>
          <w:szCs w:val="18"/>
        </w:rPr>
        <w:t>in fine</w:t>
      </w:r>
      <w:r w:rsidRPr="00994516">
        <w:rPr>
          <w:sz w:val="18"/>
          <w:szCs w:val="18"/>
        </w:rPr>
        <w:t xml:space="preserve"> à la consommation.</w:t>
      </w:r>
    </w:p>
    <w:p w14:paraId="23AFF5D4" w14:textId="77777777" w:rsidR="0026375A" w:rsidRPr="00994516" w:rsidRDefault="0026375A" w:rsidP="0026375A">
      <w:pPr>
        <w:keepNext/>
        <w:tabs>
          <w:tab w:val="left" w:pos="1710"/>
        </w:tabs>
        <w:spacing w:after="120"/>
        <w:ind w:left="1134" w:right="567"/>
        <w:contextualSpacing/>
        <w:rPr>
          <w:sz w:val="18"/>
          <w:szCs w:val="18"/>
          <w:u w:val="single"/>
        </w:rPr>
      </w:pPr>
    </w:p>
    <w:p w14:paraId="3076985D" w14:textId="77777777" w:rsidR="0026375A" w:rsidRPr="00994516" w:rsidRDefault="0026375A" w:rsidP="0026375A">
      <w:pPr>
        <w:ind w:left="567" w:right="567"/>
        <w:rPr>
          <w:sz w:val="18"/>
          <w:szCs w:val="18"/>
        </w:rPr>
      </w:pPr>
      <w:r w:rsidRPr="00994516">
        <w:rPr>
          <w:sz w:val="18"/>
          <w:szCs w:val="18"/>
        </w:rPr>
        <w:t>Le texte ci-dessus n’est pas censé constituer une définition du “matériel de reproduction ou de multiplication”.</w:t>
      </w:r>
    </w:p>
    <w:p w14:paraId="50BFF32A" w14:textId="77777777" w:rsidR="0026375A" w:rsidRPr="00994516" w:rsidRDefault="0026375A" w:rsidP="0026375A">
      <w:pPr>
        <w:rPr>
          <w:sz w:val="18"/>
          <w:szCs w:val="18"/>
        </w:rPr>
      </w:pPr>
    </w:p>
    <w:p w14:paraId="6EE061C1" w14:textId="0460C1C3" w:rsidR="0026375A" w:rsidRPr="00994516" w:rsidRDefault="006466EC" w:rsidP="0026375A">
      <w:pPr>
        <w:rPr>
          <w:rFonts w:cs="Arial"/>
        </w:rPr>
      </w:pPr>
      <w:r w:rsidRPr="00994516">
        <w:fldChar w:fldCharType="begin"/>
      </w:r>
      <w:r w:rsidRPr="00994516">
        <w:instrText xml:space="preserve"> AUTONUM  </w:instrText>
      </w:r>
      <w:r w:rsidRPr="00994516">
        <w:fldChar w:fldCharType="end"/>
      </w:r>
      <w:r w:rsidR="0026375A" w:rsidRPr="00994516">
        <w:rPr>
          <w:rFonts w:cs="Arial"/>
        </w:rPr>
        <w:tab/>
        <w:t>Le WG-HRV est convenu de proposer au CAJ, à sa cinquante-huitième session d’octobre 2024, d’approuver la révision des “</w:t>
      </w:r>
      <w:r w:rsidR="0026375A" w:rsidRPr="00994516">
        <w:t xml:space="preserve">Notes explicatives </w:t>
      </w:r>
      <w:r w:rsidR="0026375A" w:rsidRPr="00994516">
        <w:rPr>
          <w:rFonts w:cs="Arial"/>
          <w:color w:val="333333"/>
          <w:szCs w:val="18"/>
          <w:shd w:val="clear" w:color="auto" w:fill="FFFFFF"/>
        </w:rPr>
        <w:t xml:space="preserve">sur </w:t>
      </w:r>
      <w:r w:rsidR="0026375A" w:rsidRPr="00994516">
        <w:rPr>
          <w:rFonts w:cs="Arial"/>
          <w:color w:val="333333"/>
          <w:shd w:val="clear" w:color="auto" w:fill="FFFFFF"/>
        </w:rPr>
        <w:t>le matériel de reproduction ou de multiplication en vertu de la Convention UPOV</w:t>
      </w:r>
      <w:r w:rsidR="0026375A" w:rsidRPr="00994516">
        <w:rPr>
          <w:rFonts w:cs="Arial"/>
        </w:rPr>
        <w:t>” (document UPOV/EXN/PPM/1), comme indiqué au paragraphe 28 ci-dessus, et dans le document UPOV/EXN/PPM/2 Draft 1 (voir le document WG-HRV/4/3 “Compte rendu”, paragraphes 6 et 7).</w:t>
      </w:r>
    </w:p>
    <w:p w14:paraId="31131E9A" w14:textId="77777777" w:rsidR="0026375A" w:rsidRPr="00994516" w:rsidRDefault="0026375A" w:rsidP="0026375A">
      <w:pPr>
        <w:rPr>
          <w:rFonts w:cs="Arial"/>
          <w:spacing w:val="-4"/>
        </w:rPr>
      </w:pPr>
    </w:p>
    <w:p w14:paraId="4589CC97" w14:textId="119C2569" w:rsidR="0026375A" w:rsidRPr="00994516" w:rsidRDefault="006466EC" w:rsidP="0026375A">
      <w:pPr>
        <w:rPr>
          <w:sz w:val="18"/>
          <w:szCs w:val="18"/>
        </w:rPr>
      </w:pPr>
      <w:r w:rsidRPr="00994516">
        <w:fldChar w:fldCharType="begin"/>
      </w:r>
      <w:r w:rsidRPr="00994516">
        <w:instrText xml:space="preserve"> AUTONUM  </w:instrText>
      </w:r>
      <w:r w:rsidRPr="00994516">
        <w:fldChar w:fldCharType="end"/>
      </w:r>
      <w:r w:rsidR="0026375A" w:rsidRPr="00994516">
        <w:tab/>
        <w:t xml:space="preserve">Sous réserve de l’accord du CAJ à sa quatre-vingt-unième session, une version approuvée du document UPOV/EXN/PPM “Notes explicatives </w:t>
      </w:r>
      <w:r w:rsidR="0026375A" w:rsidRPr="00994516">
        <w:rPr>
          <w:rFonts w:cs="Arial"/>
          <w:color w:val="333333"/>
          <w:szCs w:val="18"/>
          <w:shd w:val="clear" w:color="auto" w:fill="FFFFFF"/>
        </w:rPr>
        <w:t xml:space="preserve">sur </w:t>
      </w:r>
      <w:r w:rsidR="0026375A" w:rsidRPr="00994516">
        <w:rPr>
          <w:rFonts w:cs="Arial"/>
          <w:color w:val="333333"/>
          <w:shd w:val="clear" w:color="auto" w:fill="FFFFFF"/>
        </w:rPr>
        <w:t>le matériel de reproduction ou de multiplication en vertu de la Convention UPOV</w:t>
      </w:r>
      <w:r w:rsidR="0026375A" w:rsidRPr="00994516">
        <w:t>” sera soumise au Conseil pour adoption, à sa cinquante-huitième session ordinaire, sur la base des propositions de révision présentées dans le</w:t>
      </w:r>
      <w:r w:rsidR="0026375A" w:rsidRPr="00994516">
        <w:rPr>
          <w:spacing w:val="-2"/>
        </w:rPr>
        <w:t xml:space="preserve"> document </w:t>
      </w:r>
      <w:r w:rsidR="0026375A" w:rsidRPr="00994516">
        <w:rPr>
          <w:rFonts w:cs="Arial"/>
        </w:rPr>
        <w:t>UPOV/EXN/PPM/2 Draft 1.</w:t>
      </w:r>
    </w:p>
    <w:p w14:paraId="527AA41B" w14:textId="77777777" w:rsidR="0026375A" w:rsidRPr="00994516" w:rsidRDefault="0026375A" w:rsidP="0026375A"/>
    <w:p w14:paraId="45F68530" w14:textId="1095BEBA"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r>
      <w:bookmarkStart w:id="45" w:name="_Hlk176258973"/>
      <w:r w:rsidR="0026375A" w:rsidRPr="00994516">
        <w:t xml:space="preserve">Le Conseil est invité à adopter une révision du document UPOV/EXN/PPM/1 “Notes explicatives </w:t>
      </w:r>
      <w:r w:rsidR="0026375A" w:rsidRPr="00994516">
        <w:rPr>
          <w:rFonts w:cs="Arial"/>
          <w:color w:val="333333"/>
          <w:szCs w:val="18"/>
          <w:shd w:val="clear" w:color="auto" w:fill="FFFFFF"/>
        </w:rPr>
        <w:t xml:space="preserve">sur </w:t>
      </w:r>
      <w:r w:rsidR="0026375A" w:rsidRPr="00994516">
        <w:rPr>
          <w:rFonts w:cs="Arial"/>
          <w:color w:val="333333"/>
          <w:shd w:val="clear" w:color="auto" w:fill="FFFFFF"/>
        </w:rPr>
        <w:t>le matériel de reproduction ou de multiplication en vertu de la Convention UPOV</w:t>
      </w:r>
      <w:r w:rsidR="0026375A" w:rsidRPr="00994516">
        <w:t>”, sur la base des propositions de révision présentées dans le document</w:t>
      </w:r>
      <w:r w:rsidR="00264C5B">
        <w:t xml:space="preserve"> </w:t>
      </w:r>
      <w:r w:rsidR="0026375A" w:rsidRPr="00994516">
        <w:rPr>
          <w:rFonts w:cs="Arial"/>
        </w:rPr>
        <w:t>UPOV/EXN/PPM/2 Draft 1</w:t>
      </w:r>
      <w:r w:rsidR="0026375A" w:rsidRPr="00994516">
        <w:t>, sous réserve de l’accord du CAJ à sa session de 2024.</w:t>
      </w:r>
      <w:bookmarkEnd w:id="45"/>
    </w:p>
    <w:p w14:paraId="1D605310" w14:textId="77777777" w:rsidR="0026375A" w:rsidRPr="00994516" w:rsidRDefault="0026375A" w:rsidP="0026375A"/>
    <w:p w14:paraId="135F5160" w14:textId="77777777" w:rsidR="0026375A" w:rsidRPr="00994516" w:rsidRDefault="0026375A" w:rsidP="00234882">
      <w:pPr>
        <w:pStyle w:val="Heading2"/>
        <w:rPr>
          <w:lang w:val="fr-FR"/>
        </w:rPr>
      </w:pPr>
      <w:bookmarkStart w:id="46" w:name="Autresdocuments"/>
      <w:bookmarkStart w:id="47" w:name="_Toc176335733"/>
      <w:bookmarkStart w:id="48" w:name="_Toc177113761"/>
      <w:bookmarkStart w:id="49" w:name="_Toc177401385"/>
      <w:r w:rsidRPr="00994516">
        <w:rPr>
          <w:lang w:val="fr-FR"/>
        </w:rPr>
        <w:t xml:space="preserve">Autres documents </w:t>
      </w:r>
      <w:bookmarkEnd w:id="46"/>
      <w:r w:rsidRPr="00994516">
        <w:rPr>
          <w:lang w:val="fr-FR"/>
        </w:rPr>
        <w:t>pour adoption par le Conseil</w:t>
      </w:r>
      <w:bookmarkEnd w:id="47"/>
      <w:bookmarkEnd w:id="48"/>
      <w:bookmarkEnd w:id="49"/>
    </w:p>
    <w:p w14:paraId="4AC18B11" w14:textId="77777777" w:rsidR="0026375A" w:rsidRPr="00994516" w:rsidRDefault="0026375A" w:rsidP="0026375A">
      <w:pPr>
        <w:keepNext/>
      </w:pPr>
    </w:p>
    <w:p w14:paraId="7E00F80B" w14:textId="77777777" w:rsidR="0026375A" w:rsidRPr="00994516" w:rsidRDefault="0026375A" w:rsidP="00234882">
      <w:pPr>
        <w:pStyle w:val="Heading3"/>
        <w:rPr>
          <w:lang w:val="fr-FR"/>
        </w:rPr>
      </w:pPr>
      <w:bookmarkStart w:id="50" w:name="UPOVINF6"/>
      <w:bookmarkStart w:id="51" w:name="_Toc176335734"/>
      <w:bookmarkStart w:id="52" w:name="_Toc177113762"/>
      <w:bookmarkStart w:id="53" w:name="_Toc177401386"/>
      <w:r w:rsidRPr="00994516">
        <w:rPr>
          <w:lang w:val="fr-FR"/>
        </w:rPr>
        <w:t xml:space="preserve">UPOV/INF/6 </w:t>
      </w:r>
      <w:bookmarkEnd w:id="50"/>
      <w:r w:rsidRPr="00994516">
        <w:rPr>
          <w:lang w:val="fr-FR"/>
        </w:rPr>
        <w:t>: Orientations en vue de la rédaction de lois fondées sur l’Acte de 1991 de la Convention UPOV (document SESSIONS/2024/2, annexe VI)</w:t>
      </w:r>
      <w:bookmarkEnd w:id="51"/>
      <w:bookmarkEnd w:id="52"/>
      <w:bookmarkEnd w:id="53"/>
    </w:p>
    <w:p w14:paraId="0638BB48" w14:textId="77777777" w:rsidR="0026375A" w:rsidRPr="00994516" w:rsidRDefault="0026375A" w:rsidP="0026375A"/>
    <w:p w14:paraId="4975613E" w14:textId="0BF1E207" w:rsidR="0026375A" w:rsidRPr="00994516" w:rsidRDefault="006466EC" w:rsidP="0026375A">
      <w:r w:rsidRPr="00994516">
        <w:fldChar w:fldCharType="begin"/>
      </w:r>
      <w:r w:rsidRPr="00994516">
        <w:instrText xml:space="preserve"> AUTONUM  </w:instrText>
      </w:r>
      <w:r w:rsidRPr="00994516">
        <w:fldChar w:fldCharType="end"/>
      </w:r>
      <w:r w:rsidR="0026375A" w:rsidRPr="00994516">
        <w:rPr>
          <w:rFonts w:eastAsia="Arial" w:cs="Arial"/>
        </w:rPr>
        <w:tab/>
        <w:t>Le document UPOV/INF/6, Deuxième partie : “Notes établies sur la base de documents d’information relatifs à certains articles de l’Acte de 1991 de la Convention UPOV” comprend des extraits des notes explicatives.</w:t>
      </w:r>
    </w:p>
    <w:p w14:paraId="3720682F" w14:textId="77777777" w:rsidR="0026375A" w:rsidRPr="00994516" w:rsidRDefault="0026375A" w:rsidP="0026375A"/>
    <w:p w14:paraId="714992B0" w14:textId="55FA1610" w:rsidR="0026375A" w:rsidRPr="00994516" w:rsidRDefault="006466EC" w:rsidP="0026375A">
      <w:r w:rsidRPr="00994516">
        <w:fldChar w:fldCharType="begin"/>
      </w:r>
      <w:r w:rsidRPr="00994516">
        <w:instrText xml:space="preserve"> AUTONUM  </w:instrText>
      </w:r>
      <w:r w:rsidRPr="00994516">
        <w:fldChar w:fldCharType="end"/>
      </w:r>
      <w:r w:rsidR="0026375A" w:rsidRPr="00994516">
        <w:rPr>
          <w:rFonts w:eastAsia="Arial" w:cs="Arial"/>
        </w:rPr>
        <w:tab/>
        <w:t>Le Conseil, à sa cinquante-septième session ordinaire, a adopté une révision du document</w:t>
      </w:r>
      <w:r w:rsidR="00264C5B">
        <w:rPr>
          <w:rFonts w:eastAsia="Arial" w:cs="Arial"/>
        </w:rPr>
        <w:t xml:space="preserve"> </w:t>
      </w:r>
      <w:r w:rsidR="0026375A" w:rsidRPr="00994516">
        <w:rPr>
          <w:rFonts w:eastAsia="Arial" w:cs="Arial"/>
        </w:rPr>
        <w:t>UPOV/EXN/EDV/2 “</w:t>
      </w:r>
      <w:r w:rsidR="0026375A" w:rsidRPr="00994516">
        <w:t>Notes explicatives sur les variétés essentiellement dérivées selon l’Acte de 1991 de la Convention UPOV</w:t>
      </w:r>
      <w:r w:rsidR="0026375A" w:rsidRPr="00994516">
        <w:rPr>
          <w:rFonts w:eastAsia="Arial" w:cs="Arial"/>
        </w:rPr>
        <w:t>” (document UPOV/EXN/EDV/3), sur la base du document UPOV/EXN/EDV/3 Draft 4.</w:t>
      </w:r>
    </w:p>
    <w:p w14:paraId="2E8D4BF2" w14:textId="77777777" w:rsidR="0026375A" w:rsidRPr="00994516" w:rsidRDefault="0026375A" w:rsidP="0026375A">
      <w:pPr>
        <w:rPr>
          <w:rFonts w:eastAsia="Arial" w:cs="Arial"/>
        </w:rPr>
      </w:pPr>
    </w:p>
    <w:p w14:paraId="7DA74CDD" w14:textId="12B62B43" w:rsidR="0026375A" w:rsidRPr="00994516" w:rsidRDefault="006466EC" w:rsidP="0026375A">
      <w:pPr>
        <w:rPr>
          <w:rFonts w:eastAsia="Arial" w:cs="Arial"/>
        </w:rPr>
      </w:pPr>
      <w:r w:rsidRPr="00994516">
        <w:fldChar w:fldCharType="begin"/>
      </w:r>
      <w:r w:rsidRPr="00994516">
        <w:instrText xml:space="preserve"> AUTONUM  </w:instrText>
      </w:r>
      <w:r w:rsidRPr="00994516">
        <w:fldChar w:fldCharType="end"/>
      </w:r>
      <w:r w:rsidR="0026375A" w:rsidRPr="00994516">
        <w:rPr>
          <w:rFonts w:eastAsia="Arial" w:cs="Arial"/>
        </w:rPr>
        <w:tab/>
        <w:t>Le Conseil, à sa cinquante-huitième session ordinaire, sera invité à adopter une révision du document</w:t>
      </w:r>
      <w:r w:rsidR="00264C5B">
        <w:rPr>
          <w:rFonts w:eastAsia="Arial" w:cs="Arial"/>
        </w:rPr>
        <w:t xml:space="preserve"> </w:t>
      </w:r>
      <w:r w:rsidR="0026375A" w:rsidRPr="00994516">
        <w:rPr>
          <w:rFonts w:eastAsia="Arial" w:cs="Arial"/>
        </w:rPr>
        <w:t>UPOV/EXN/DEN/</w:t>
      </w:r>
      <w:r w:rsidR="00B21100">
        <w:rPr>
          <w:rFonts w:eastAsia="Arial" w:cs="Arial"/>
        </w:rPr>
        <w:t>3</w:t>
      </w:r>
      <w:r w:rsidR="0026375A" w:rsidRPr="00994516">
        <w:rPr>
          <w:rFonts w:eastAsia="Arial" w:cs="Arial"/>
        </w:rPr>
        <w:t xml:space="preserve"> “</w:t>
      </w:r>
      <w:r w:rsidR="0026375A" w:rsidRPr="00994516">
        <w:t>Notes explicatives sur les dénominations variétales en vertu de la Convention UPOV</w:t>
      </w:r>
      <w:r w:rsidR="0026375A" w:rsidRPr="00994516">
        <w:rPr>
          <w:rFonts w:eastAsia="Arial" w:cs="Arial"/>
        </w:rPr>
        <w:t>”</w:t>
      </w:r>
      <w:r w:rsidR="00B21100">
        <w:rPr>
          <w:rFonts w:eastAsia="Arial" w:cs="Arial"/>
        </w:rPr>
        <w:t xml:space="preserve"> (</w:t>
      </w:r>
      <w:r w:rsidR="00B21100" w:rsidRPr="00994516">
        <w:rPr>
          <w:rFonts w:eastAsia="Arial" w:cs="Arial"/>
        </w:rPr>
        <w:t>document</w:t>
      </w:r>
      <w:r w:rsidR="00B21100">
        <w:rPr>
          <w:rFonts w:eastAsia="Arial" w:cs="Arial"/>
        </w:rPr>
        <w:t xml:space="preserve"> </w:t>
      </w:r>
      <w:r w:rsidR="00B21100" w:rsidRPr="00994516">
        <w:rPr>
          <w:rFonts w:eastAsia="Arial" w:cs="Arial"/>
        </w:rPr>
        <w:t>UPOV/EXN/DEN/</w:t>
      </w:r>
      <w:r w:rsidR="00B21100">
        <w:rPr>
          <w:rFonts w:eastAsia="Arial" w:cs="Arial"/>
        </w:rPr>
        <w:t>4)</w:t>
      </w:r>
      <w:r w:rsidR="0026375A" w:rsidRPr="00994516">
        <w:rPr>
          <w:rFonts w:eastAsia="Arial" w:cs="Arial"/>
        </w:rPr>
        <w:t xml:space="preserve">, sur la base des propositions de révision présentées à l’annexe I, section “Proposition : Nouvelles classes de dénominations variétales pour </w:t>
      </w:r>
      <w:r w:rsidR="0026375A" w:rsidRPr="00264C5B">
        <w:rPr>
          <w:rFonts w:eastAsia="Arial" w:cs="Arial"/>
          <w:i/>
          <w:iCs/>
        </w:rPr>
        <w:t>Prunus</w:t>
      </w:r>
      <w:r w:rsidR="0026375A" w:rsidRPr="00994516">
        <w:rPr>
          <w:rFonts w:eastAsia="Arial" w:cs="Arial"/>
        </w:rPr>
        <w:t xml:space="preserve">”, sous réserve de l’accord du TC et du CAJ, lors de leurs sessions respectives en 2024 (voir </w:t>
      </w:r>
      <w:r w:rsidR="00264C5B">
        <w:rPr>
          <w:rFonts w:eastAsia="Arial" w:cs="Arial"/>
        </w:rPr>
        <w:t xml:space="preserve">le </w:t>
      </w:r>
      <w:r w:rsidR="0026375A" w:rsidRPr="00994516">
        <w:rPr>
          <w:rFonts w:eastAsia="Arial" w:cs="Arial"/>
        </w:rPr>
        <w:t>paragraphe 19 ci-dessus).</w:t>
      </w:r>
    </w:p>
    <w:p w14:paraId="163CC535" w14:textId="77777777" w:rsidR="0026375A" w:rsidRPr="00994516" w:rsidRDefault="0026375A" w:rsidP="0026375A">
      <w:pPr>
        <w:rPr>
          <w:rFonts w:eastAsia="Arial" w:cs="Arial"/>
        </w:rPr>
      </w:pPr>
    </w:p>
    <w:p w14:paraId="34662CBD" w14:textId="669459DE" w:rsidR="0026375A" w:rsidRPr="00994516" w:rsidRDefault="006466EC" w:rsidP="0026375A">
      <w:pPr>
        <w:rPr>
          <w:rFonts w:eastAsia="Arial" w:cs="Arial"/>
        </w:rPr>
      </w:pPr>
      <w:r w:rsidRPr="00994516">
        <w:fldChar w:fldCharType="begin"/>
      </w:r>
      <w:r w:rsidRPr="00994516">
        <w:instrText xml:space="preserve"> AUTONUM  </w:instrText>
      </w:r>
      <w:r w:rsidRPr="00994516">
        <w:fldChar w:fldCharType="end"/>
      </w:r>
      <w:r w:rsidR="0026375A" w:rsidRPr="00994516">
        <w:tab/>
        <w:t xml:space="preserve"> L</w:t>
      </w:r>
      <w:r w:rsidR="0026375A" w:rsidRPr="00994516">
        <w:rPr>
          <w:rFonts w:eastAsia="Arial" w:cs="Arial"/>
        </w:rPr>
        <w:t>e Conseil, à sa cinquante-huitième session ordinaire, sera invité à adopter une version révisée du document UPOV/EXN/PPM/1 “</w:t>
      </w:r>
      <w:r w:rsidR="0026375A" w:rsidRPr="00994516">
        <w:t xml:space="preserve">Notes explicatives </w:t>
      </w:r>
      <w:r w:rsidR="0026375A" w:rsidRPr="00994516">
        <w:rPr>
          <w:rFonts w:cs="Arial"/>
          <w:color w:val="333333"/>
          <w:szCs w:val="18"/>
          <w:shd w:val="clear" w:color="auto" w:fill="FFFFFF"/>
        </w:rPr>
        <w:t xml:space="preserve">sur </w:t>
      </w:r>
      <w:r w:rsidR="0026375A" w:rsidRPr="00994516">
        <w:rPr>
          <w:rFonts w:cs="Arial"/>
          <w:color w:val="333333"/>
          <w:shd w:val="clear" w:color="auto" w:fill="FFFFFF"/>
        </w:rPr>
        <w:t>le matériel de reproduction ou de multiplication en vertu de la Convention UPOV</w:t>
      </w:r>
      <w:r w:rsidR="0026375A" w:rsidRPr="00994516">
        <w:rPr>
          <w:rFonts w:eastAsia="Arial" w:cs="Arial"/>
        </w:rPr>
        <w:t xml:space="preserve">”, </w:t>
      </w:r>
      <w:r w:rsidR="0026375A" w:rsidRPr="00994516">
        <w:t>sur la base des propositions de révision présentées dans le</w:t>
      </w:r>
      <w:r w:rsidR="0026375A" w:rsidRPr="00994516">
        <w:rPr>
          <w:spacing w:val="-2"/>
        </w:rPr>
        <w:t xml:space="preserve"> document</w:t>
      </w:r>
      <w:r w:rsidR="00264C5B">
        <w:rPr>
          <w:spacing w:val="-2"/>
        </w:rPr>
        <w:t xml:space="preserve"> </w:t>
      </w:r>
      <w:r w:rsidR="0026375A" w:rsidRPr="00994516">
        <w:rPr>
          <w:rFonts w:eastAsia="Arial" w:cs="Arial"/>
        </w:rPr>
        <w:t>UPOV/EXN/PPM/2</w:t>
      </w:r>
      <w:r w:rsidR="00264C5B">
        <w:rPr>
          <w:rFonts w:eastAsia="Arial" w:cs="Arial"/>
        </w:rPr>
        <w:t> </w:t>
      </w:r>
      <w:r w:rsidR="0026375A" w:rsidRPr="00994516">
        <w:rPr>
          <w:rFonts w:eastAsia="Arial" w:cs="Arial"/>
        </w:rPr>
        <w:t xml:space="preserve">Draft 1, sous réserve de l’accord du CAJ à sa session de 2024 (voir </w:t>
      </w:r>
      <w:r w:rsidR="00264C5B">
        <w:rPr>
          <w:rFonts w:eastAsia="Arial" w:cs="Arial"/>
        </w:rPr>
        <w:t xml:space="preserve">le </w:t>
      </w:r>
      <w:r w:rsidR="0026375A" w:rsidRPr="00994516">
        <w:rPr>
          <w:rFonts w:eastAsia="Arial" w:cs="Arial"/>
        </w:rPr>
        <w:t>paragraphe 31 ci</w:t>
      </w:r>
      <w:r w:rsidR="00264C5B">
        <w:rPr>
          <w:rFonts w:eastAsia="Arial" w:cs="Arial"/>
        </w:rPr>
        <w:noBreakHyphen/>
      </w:r>
      <w:r w:rsidR="0026375A" w:rsidRPr="00994516">
        <w:rPr>
          <w:rFonts w:eastAsia="Arial" w:cs="Arial"/>
        </w:rPr>
        <w:t>dessus).</w:t>
      </w:r>
    </w:p>
    <w:p w14:paraId="4ECF2820" w14:textId="77777777" w:rsidR="0026375A" w:rsidRPr="00994516" w:rsidRDefault="0026375A" w:rsidP="0026375A">
      <w:pPr>
        <w:rPr>
          <w:rFonts w:eastAsia="Arial" w:cs="Arial"/>
        </w:rPr>
      </w:pPr>
    </w:p>
    <w:p w14:paraId="7C4328D1" w14:textId="151E5CCB" w:rsidR="0026375A" w:rsidRPr="00994516" w:rsidRDefault="006466EC" w:rsidP="0026375A">
      <w:pPr>
        <w:rPr>
          <w:rFonts w:eastAsia="Arial" w:cs="Arial"/>
        </w:rPr>
      </w:pPr>
      <w:r w:rsidRPr="00994516">
        <w:fldChar w:fldCharType="begin"/>
      </w:r>
      <w:r w:rsidRPr="00994516">
        <w:instrText xml:space="preserve"> AUTONUM  </w:instrText>
      </w:r>
      <w:r w:rsidRPr="00994516">
        <w:fldChar w:fldCharType="end"/>
      </w:r>
      <w:r w:rsidR="0026375A" w:rsidRPr="00994516">
        <w:tab/>
        <w:t>Les ré</w:t>
      </w:r>
      <w:r w:rsidR="0026375A" w:rsidRPr="00994516">
        <w:rPr>
          <w:rFonts w:eastAsia="Arial" w:cs="Arial"/>
        </w:rPr>
        <w:t xml:space="preserve">visions du document UPOV/EXN/EDV/3 adoptées par le Conseil à sa session de 2023, et les propositions de révision des </w:t>
      </w:r>
      <w:r w:rsidR="0026375A" w:rsidRPr="00994516">
        <w:t>documents UPOV/EXN/DEN/</w:t>
      </w:r>
      <w:r w:rsidR="00B21100">
        <w:t>3</w:t>
      </w:r>
      <w:r w:rsidR="0026375A" w:rsidRPr="00994516">
        <w:t xml:space="preserve"> et UPOV/EXN/PPM/1 que le Conseil </w:t>
      </w:r>
      <w:r w:rsidR="00264C5B">
        <w:t xml:space="preserve">sera invité à </w:t>
      </w:r>
      <w:r w:rsidR="0026375A" w:rsidRPr="00994516">
        <w:t xml:space="preserve">adopter à sa session de 2024, devront être reprises dans une version révisée du document UPOV/INF/6/6 (document UPOV/INF/6/7), comme indiqué dans l’annexe VI du présent document. </w:t>
      </w:r>
    </w:p>
    <w:p w14:paraId="3781C7EC" w14:textId="77777777" w:rsidR="0026375A" w:rsidRPr="00994516" w:rsidRDefault="0026375A" w:rsidP="0026375A">
      <w:pPr>
        <w:rPr>
          <w:rFonts w:eastAsia="Arial" w:cs="Arial"/>
        </w:rPr>
      </w:pPr>
    </w:p>
    <w:p w14:paraId="08DF7517" w14:textId="02CB5F01"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rPr>
          <w:rFonts w:eastAsia="Arial"/>
        </w:rPr>
        <w:tab/>
      </w:r>
      <w:r w:rsidR="0026375A" w:rsidRPr="00994516">
        <w:t>Le Conseil est invité à adopter une révision du document</w:t>
      </w:r>
      <w:r w:rsidR="0026375A" w:rsidRPr="00994516">
        <w:rPr>
          <w:rFonts w:eastAsia="Arial"/>
        </w:rPr>
        <w:t xml:space="preserve"> UPOV/INF/6 “</w:t>
      </w:r>
      <w:r w:rsidR="0026375A" w:rsidRPr="00994516">
        <w:t xml:space="preserve">Orientations en vue de la rédaction de lois fondées sur l’Acte de 1991 de la Convention UPOV” </w:t>
      </w:r>
      <w:r w:rsidR="0026375A" w:rsidRPr="00994516">
        <w:rPr>
          <w:rFonts w:eastAsia="Arial"/>
        </w:rPr>
        <w:t>(document UPOV/INF/6/7), sur la base des révisions du document UPOV/EXN/EDV/3 adoptées par le Conseil à sa session de 2023, ainsi que des propositions de révision contenues dans les documents UPOV/EXN/DEN/</w:t>
      </w:r>
      <w:r w:rsidR="00B21100">
        <w:rPr>
          <w:rFonts w:eastAsia="Arial"/>
        </w:rPr>
        <w:t>3</w:t>
      </w:r>
      <w:r w:rsidR="0026375A" w:rsidRPr="00994516">
        <w:rPr>
          <w:rFonts w:eastAsia="Arial"/>
        </w:rPr>
        <w:t xml:space="preserve"> et UPOV/EXN/PPM/1 que le Conseil </w:t>
      </w:r>
      <w:r w:rsidR="00264C5B">
        <w:rPr>
          <w:rFonts w:eastAsia="Arial"/>
        </w:rPr>
        <w:t xml:space="preserve">sera invité à </w:t>
      </w:r>
      <w:r w:rsidR="0026375A" w:rsidRPr="00994516">
        <w:rPr>
          <w:rFonts w:eastAsia="Arial"/>
        </w:rPr>
        <w:t>adopter à sa session de</w:t>
      </w:r>
      <w:r w:rsidR="00264C5B">
        <w:rPr>
          <w:rFonts w:eastAsia="Arial"/>
        </w:rPr>
        <w:t> </w:t>
      </w:r>
      <w:r w:rsidR="0026375A" w:rsidRPr="00994516">
        <w:rPr>
          <w:rFonts w:eastAsia="Arial"/>
        </w:rPr>
        <w:t xml:space="preserve">2024, sous réserve de l’accord du </w:t>
      </w:r>
      <w:r w:rsidR="0026375A" w:rsidRPr="00994516">
        <w:t>CAJ à sa session de</w:t>
      </w:r>
      <w:r w:rsidR="00264C5B">
        <w:t> </w:t>
      </w:r>
      <w:r w:rsidR="0026375A" w:rsidRPr="00994516">
        <w:t>2024</w:t>
      </w:r>
      <w:r w:rsidR="0026375A" w:rsidRPr="00994516">
        <w:rPr>
          <w:rFonts w:eastAsia="Arial"/>
        </w:rPr>
        <w:t>, comme le précise l’annexe VI du présent document.</w:t>
      </w:r>
    </w:p>
    <w:p w14:paraId="7F9BAA59" w14:textId="77777777" w:rsidR="0026375A" w:rsidRPr="00994516" w:rsidRDefault="0026375A" w:rsidP="0026375A">
      <w:pPr>
        <w:rPr>
          <w:rFonts w:eastAsia="Arial" w:cs="Arial"/>
        </w:rPr>
      </w:pPr>
    </w:p>
    <w:p w14:paraId="520E3C0C" w14:textId="77777777" w:rsidR="0026375A" w:rsidRPr="00994516" w:rsidRDefault="0026375A" w:rsidP="00234882">
      <w:pPr>
        <w:pStyle w:val="Heading3"/>
        <w:rPr>
          <w:lang w:val="fr-FR"/>
        </w:rPr>
      </w:pPr>
      <w:bookmarkStart w:id="54" w:name="UPOVINFEXN"/>
      <w:bookmarkStart w:id="55" w:name="_Toc176335735"/>
      <w:bookmarkStart w:id="56" w:name="_Toc177113763"/>
      <w:bookmarkStart w:id="57" w:name="_Toc177401387"/>
      <w:r w:rsidRPr="00994516">
        <w:rPr>
          <w:lang w:val="fr-FR"/>
        </w:rPr>
        <w:t xml:space="preserve">UPOV/INF-EXN </w:t>
      </w:r>
      <w:bookmarkEnd w:id="54"/>
      <w:r w:rsidRPr="00994516">
        <w:rPr>
          <w:lang w:val="fr-FR"/>
        </w:rPr>
        <w:t>: Liste des documents UPOV/INF-EXN et date de la version la plus récente de ces documents (révision) (document UPOV/INF-EXN/18 Draft 1)</w:t>
      </w:r>
      <w:bookmarkEnd w:id="55"/>
      <w:bookmarkEnd w:id="56"/>
      <w:bookmarkEnd w:id="57"/>
    </w:p>
    <w:p w14:paraId="07227F2A" w14:textId="77777777" w:rsidR="0026375A" w:rsidRPr="00994516" w:rsidRDefault="0026375A" w:rsidP="0026375A">
      <w:pPr>
        <w:keepNext/>
      </w:pPr>
    </w:p>
    <w:p w14:paraId="517529D3" w14:textId="343F4271"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Parallèlement aux documents d’information que le Conseil sera invité à adopter en 2024, il est proposé d’adopter une version révisée du document UPOV/INF-EXN/17 “Liste des documents UPOV/INF-EXN et date de la version la plus récente de ces documents” sur la base du document UPOV/INF-EXN/18 Draft 1.</w:t>
      </w:r>
    </w:p>
    <w:p w14:paraId="16D26D01" w14:textId="77777777" w:rsidR="0026375A" w:rsidRPr="00994516" w:rsidRDefault="0026375A" w:rsidP="0026375A">
      <w:pPr>
        <w:rPr>
          <w:sz w:val="16"/>
        </w:rPr>
      </w:pPr>
    </w:p>
    <w:p w14:paraId="21AC81AD" w14:textId="54442278"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t xml:space="preserve">Le Conseil est invité à adopter une révision du document UPOV/INF-EXN/17, sur la base du document UPOV/INF-EXN/18 Draft 1, sous réserve de l’adoption des documents concernés. </w:t>
      </w:r>
    </w:p>
    <w:p w14:paraId="71F79A2B" w14:textId="77777777" w:rsidR="0026375A" w:rsidRPr="00994516" w:rsidRDefault="0026375A" w:rsidP="0026375A"/>
    <w:p w14:paraId="42E25909" w14:textId="77777777" w:rsidR="0026375A" w:rsidRPr="00994516" w:rsidRDefault="0026375A" w:rsidP="00234882">
      <w:pPr>
        <w:pStyle w:val="Heading3"/>
        <w:rPr>
          <w:snapToGrid w:val="0"/>
          <w:lang w:val="fr-FR"/>
        </w:rPr>
      </w:pPr>
      <w:bookmarkStart w:id="58" w:name="TGP0"/>
      <w:bookmarkStart w:id="59" w:name="_Toc176335736"/>
      <w:bookmarkStart w:id="60" w:name="_Toc177113764"/>
      <w:bookmarkStart w:id="61" w:name="_Toc177401388"/>
      <w:r w:rsidRPr="00994516">
        <w:rPr>
          <w:lang w:val="fr-FR"/>
        </w:rPr>
        <w:t>TGP</w:t>
      </w:r>
      <w:r w:rsidRPr="00994516">
        <w:rPr>
          <w:snapToGrid w:val="0"/>
          <w:lang w:val="fr-FR"/>
        </w:rPr>
        <w:t>/0 </w:t>
      </w:r>
      <w:bookmarkEnd w:id="58"/>
      <w:r w:rsidRPr="00994516">
        <w:rPr>
          <w:snapToGrid w:val="0"/>
          <w:lang w:val="fr-FR"/>
        </w:rPr>
        <w:t>: Liste des documents TGP et date de la version la plus récente de ces documents (révision) (document TGP/0/16 Draft 1)</w:t>
      </w:r>
      <w:bookmarkEnd w:id="59"/>
      <w:bookmarkEnd w:id="60"/>
      <w:bookmarkEnd w:id="61"/>
    </w:p>
    <w:p w14:paraId="007E7A07" w14:textId="77777777" w:rsidR="0026375A" w:rsidRPr="00994516" w:rsidRDefault="0026375A" w:rsidP="0026375A"/>
    <w:p w14:paraId="0F1C0429" w14:textId="607E64DA"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Parallèlement à l’adoption des documents TGP révisés par le Conseil en 2024, il est proposé d’adopter une version révisée du document TGP/0 “Liste des documents TGP et date de la version la plus récente de ces documents” (document TGP/0/15) sur la base du document TGP/0/16 Draft 1.</w:t>
      </w:r>
    </w:p>
    <w:p w14:paraId="40D8536A" w14:textId="77777777" w:rsidR="0026375A" w:rsidRPr="00994516" w:rsidRDefault="0026375A" w:rsidP="0026375A">
      <w:pPr>
        <w:rPr>
          <w:sz w:val="16"/>
        </w:rPr>
      </w:pPr>
    </w:p>
    <w:p w14:paraId="4604E987" w14:textId="55971A39"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t>Le Conseil est invité à adopter une révision du document TGP/0/15, sur la base du document</w:t>
      </w:r>
      <w:r w:rsidR="00264C5B">
        <w:t xml:space="preserve"> </w:t>
      </w:r>
      <w:r w:rsidR="0026375A" w:rsidRPr="00994516">
        <w:t>TGP/0/16 Draft 1 “Liste des documents TGP et date de la version la plus récente de ces documents”, sous réserve de l’adoption des documents concernés.</w:t>
      </w:r>
    </w:p>
    <w:p w14:paraId="457FC44C" w14:textId="77777777" w:rsidR="0026375A" w:rsidRPr="00994516" w:rsidRDefault="0026375A" w:rsidP="0026375A">
      <w:pPr>
        <w:tabs>
          <w:tab w:val="left" w:pos="5387"/>
          <w:tab w:val="left" w:pos="5954"/>
        </w:tabs>
        <w:ind w:left="4820"/>
        <w:rPr>
          <w:i/>
        </w:rPr>
      </w:pPr>
    </w:p>
    <w:p w14:paraId="37F9EE7F" w14:textId="4A43601D"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t>Le Conseil est invité à prendre note des éléments nouveaux concernant d’éventuelles révisions futures des documents d’orientation et d’information en discussion au TC, comme indiqué aux paragraphes 43 à 62.</w:t>
      </w:r>
    </w:p>
    <w:p w14:paraId="0A3F573B" w14:textId="77777777" w:rsidR="0026375A" w:rsidRPr="00994516" w:rsidRDefault="0026375A" w:rsidP="0026375A"/>
    <w:p w14:paraId="3B0224C9" w14:textId="77777777" w:rsidR="0026375A" w:rsidRPr="00994516" w:rsidRDefault="0026375A" w:rsidP="00234882">
      <w:pPr>
        <w:pStyle w:val="Heading1"/>
        <w:rPr>
          <w:lang w:val="fr-FR"/>
        </w:rPr>
      </w:pPr>
      <w:bookmarkStart w:id="62" w:name="_Toc176335737"/>
      <w:bookmarkStart w:id="63" w:name="_Toc177113765"/>
      <w:bookmarkStart w:id="64" w:name="_Toc177401389"/>
      <w:bookmarkStart w:id="65" w:name="QUESTIONS"/>
      <w:r w:rsidRPr="00994516">
        <w:rPr>
          <w:lang w:val="fr-FR"/>
        </w:rPr>
        <w:lastRenderedPageBreak/>
        <w:t>II.</w:t>
      </w:r>
      <w:r w:rsidRPr="00994516">
        <w:rPr>
          <w:lang w:val="fr-FR"/>
        </w:rPr>
        <w:tab/>
      </w:r>
      <w:bookmarkEnd w:id="62"/>
      <w:r w:rsidRPr="00994516">
        <w:rPr>
          <w:lang w:val="fr-FR"/>
        </w:rPr>
        <w:t>Questions pour examen par le ComitÉ technique</w:t>
      </w:r>
      <w:bookmarkEnd w:id="63"/>
      <w:bookmarkEnd w:id="64"/>
    </w:p>
    <w:bookmarkEnd w:id="65"/>
    <w:p w14:paraId="20382175" w14:textId="77777777" w:rsidR="0026375A" w:rsidRPr="00994516" w:rsidRDefault="0026375A" w:rsidP="00C70FA5">
      <w:pPr>
        <w:keepNext/>
        <w:keepLines/>
      </w:pPr>
    </w:p>
    <w:p w14:paraId="24684E1D" w14:textId="39D1EFF9" w:rsidR="0026375A" w:rsidRPr="00994516" w:rsidRDefault="006466EC" w:rsidP="0026375A">
      <w:pPr>
        <w:keepNext/>
      </w:pPr>
      <w:r w:rsidRPr="00994516">
        <w:fldChar w:fldCharType="begin"/>
      </w:r>
      <w:r w:rsidRPr="00994516">
        <w:instrText xml:space="preserve"> AUTONUM  </w:instrText>
      </w:r>
      <w:r w:rsidRPr="00994516">
        <w:fldChar w:fldCharType="end"/>
      </w:r>
      <w:r w:rsidR="0026375A" w:rsidRPr="00994516">
        <w:tab/>
        <w:t>La partie ci-après contient des questions pour examen par le Comité technique seulement.</w:t>
      </w:r>
    </w:p>
    <w:p w14:paraId="50896263" w14:textId="77777777" w:rsidR="0026375A" w:rsidRPr="00994516" w:rsidRDefault="0026375A" w:rsidP="0026375A">
      <w:pPr>
        <w:keepNext/>
      </w:pPr>
    </w:p>
    <w:p w14:paraId="41903E1E" w14:textId="77777777" w:rsidR="0026375A" w:rsidRPr="00994516" w:rsidRDefault="0026375A" w:rsidP="00234882">
      <w:pPr>
        <w:pStyle w:val="Heading2"/>
        <w:rPr>
          <w:lang w:val="fr-FR"/>
        </w:rPr>
      </w:pPr>
      <w:bookmarkStart w:id="66" w:name="TGP5"/>
      <w:bookmarkStart w:id="67" w:name="_Hlk173427749"/>
      <w:bookmarkStart w:id="68" w:name="_Toc144995604"/>
      <w:bookmarkStart w:id="69" w:name="_Toc176335738"/>
      <w:bookmarkStart w:id="70" w:name="_Toc177113766"/>
      <w:bookmarkStart w:id="71" w:name="_Toc177401390"/>
      <w:bookmarkStart w:id="72" w:name="_Hlk176772698"/>
      <w:r w:rsidRPr="00994516">
        <w:rPr>
          <w:lang w:val="fr-FR"/>
        </w:rPr>
        <w:t xml:space="preserve">TGP/5 </w:t>
      </w:r>
      <w:bookmarkEnd w:id="66"/>
      <w:r w:rsidRPr="00994516">
        <w:rPr>
          <w:lang w:val="fr-FR"/>
        </w:rPr>
        <w:t xml:space="preserve">“Expérience et coopération en matière d’examen DHS”, Section 6 “Rapport UPOV d’examen technique et Formulaire UPOV de description variétale” </w:t>
      </w:r>
      <w:bookmarkEnd w:id="67"/>
      <w:r w:rsidRPr="00994516">
        <w:rPr>
          <w:lang w:val="fr-FR"/>
        </w:rPr>
        <w:t>(révision)</w:t>
      </w:r>
      <w:bookmarkEnd w:id="68"/>
      <w:bookmarkEnd w:id="69"/>
      <w:bookmarkEnd w:id="70"/>
      <w:bookmarkEnd w:id="71"/>
    </w:p>
    <w:p w14:paraId="55ABC9AE" w14:textId="77777777" w:rsidR="0026375A" w:rsidRPr="00994516" w:rsidRDefault="0026375A" w:rsidP="0026375A">
      <w:pPr>
        <w:keepNext/>
        <w:outlineLvl w:val="1"/>
        <w:rPr>
          <w:u w:val="single"/>
        </w:rPr>
      </w:pPr>
    </w:p>
    <w:p w14:paraId="3A650EAC" w14:textId="77777777" w:rsidR="0026375A" w:rsidRPr="00994516" w:rsidRDefault="0026375A" w:rsidP="00234882">
      <w:pPr>
        <w:pStyle w:val="Heading3"/>
        <w:rPr>
          <w:lang w:val="fr-FR"/>
        </w:rPr>
      </w:pPr>
      <w:bookmarkStart w:id="73" w:name="_Toc144995606"/>
      <w:bookmarkStart w:id="74" w:name="_Toc176335739"/>
      <w:bookmarkStart w:id="75" w:name="_Toc177113767"/>
      <w:bookmarkStart w:id="76" w:name="_Toc177401391"/>
      <w:bookmarkStart w:id="77" w:name="Soussectionpoint16"/>
      <w:r w:rsidRPr="00994516">
        <w:rPr>
          <w:lang w:val="fr-FR"/>
        </w:rPr>
        <w:t>Sous-section “Formulaire UPOV de de</w:t>
      </w:r>
      <w:r w:rsidRPr="00994516">
        <w:rPr>
          <w:rFonts w:eastAsia="MS Mincho"/>
          <w:spacing w:val="-2"/>
          <w:lang w:val="fr-FR"/>
        </w:rPr>
        <w:t>scription variétale</w:t>
      </w:r>
      <w:r w:rsidRPr="00994516">
        <w:rPr>
          <w:lang w:val="fr-FR"/>
        </w:rPr>
        <w:t>”, point 16 “Variétés voisines et différences par rapport à ces variétés”</w:t>
      </w:r>
      <w:bookmarkEnd w:id="73"/>
      <w:bookmarkEnd w:id="74"/>
      <w:bookmarkEnd w:id="75"/>
      <w:bookmarkEnd w:id="76"/>
    </w:p>
    <w:bookmarkEnd w:id="77"/>
    <w:p w14:paraId="51F0BCFE" w14:textId="77777777" w:rsidR="0026375A" w:rsidRPr="00994516" w:rsidRDefault="0026375A" w:rsidP="0026375A">
      <w:pPr>
        <w:keepNext/>
      </w:pPr>
    </w:p>
    <w:p w14:paraId="1B8F3451" w14:textId="43422008" w:rsidR="0026375A" w:rsidRPr="00994516" w:rsidRDefault="006466EC" w:rsidP="0026375A">
      <w:r w:rsidRPr="00994516">
        <w:fldChar w:fldCharType="begin"/>
      </w:r>
      <w:r w:rsidRPr="00994516">
        <w:instrText xml:space="preserve"> AUTONUM  </w:instrText>
      </w:r>
      <w:r w:rsidRPr="00994516">
        <w:fldChar w:fldCharType="end"/>
      </w:r>
      <w:r w:rsidR="0026375A" w:rsidRPr="00994516">
        <w:rPr>
          <w:rFonts w:eastAsia="MS Mincho"/>
        </w:rPr>
        <w:tab/>
      </w:r>
      <w:r w:rsidR="0026375A" w:rsidRPr="00994516">
        <w:t>À sa session de 2023, le TC</w:t>
      </w:r>
      <w:r w:rsidR="0026375A" w:rsidRPr="00994516">
        <w:rPr>
          <w:vertAlign w:val="superscript"/>
        </w:rPr>
        <w:footnoteReference w:id="3"/>
      </w:r>
      <w:r w:rsidR="0026375A" w:rsidRPr="00994516">
        <w:t xml:space="preserve"> est convenu d’inviter les TWP, lors de leurs sessions de 2024, à examiner la proposition du TWF tendant à inclure des explications supplémentaires au titre du point 16</w:t>
      </w:r>
      <w:r w:rsidR="000F5858">
        <w:t xml:space="preserve"> </w:t>
      </w:r>
      <w:r w:rsidR="0026375A" w:rsidRPr="00994516">
        <w:t>“Variétés voisines et différences par rapport à ces variétés” et à déterminer s’il convient de fournir des indications additionnelles sur les informations relatives aux variétés similaires examinées dans le cadre de l’examen.</w:t>
      </w:r>
    </w:p>
    <w:p w14:paraId="5FD6CB4F" w14:textId="77777777" w:rsidR="0026375A" w:rsidRPr="00994516" w:rsidRDefault="0026375A" w:rsidP="0026375A"/>
    <w:p w14:paraId="4E428544" w14:textId="442DDA37" w:rsidR="0026375A" w:rsidRPr="00994516" w:rsidRDefault="006466EC" w:rsidP="0026375A">
      <w:r w:rsidRPr="00994516">
        <w:fldChar w:fldCharType="begin"/>
      </w:r>
      <w:r w:rsidRPr="00994516">
        <w:instrText xml:space="preserve"> AUTONUM  </w:instrText>
      </w:r>
      <w:r w:rsidRPr="00994516">
        <w:fldChar w:fldCharType="end"/>
      </w:r>
      <w:r w:rsidR="0026375A" w:rsidRPr="00994516">
        <w:rPr>
          <w:rFonts w:eastAsia="MS Mincho"/>
        </w:rPr>
        <w:tab/>
        <w:t>L’annexe III du présent document présente des éléments complémentaires sur cette question, ainsi que les commentaires formulés par les TWP, lors de leurs sessions de 2024.</w:t>
      </w:r>
    </w:p>
    <w:p w14:paraId="68FF6D4C" w14:textId="77777777" w:rsidR="0026375A" w:rsidRPr="00994516" w:rsidRDefault="0026375A" w:rsidP="0026375A"/>
    <w:p w14:paraId="2A10F685" w14:textId="77777777" w:rsidR="0026375A" w:rsidRPr="00994516" w:rsidRDefault="0026375A" w:rsidP="00234882">
      <w:pPr>
        <w:pStyle w:val="Heading4"/>
      </w:pPr>
      <w:bookmarkStart w:id="78" w:name="_Toc176335740"/>
      <w:bookmarkStart w:id="79" w:name="Proposition"/>
      <w:bookmarkStart w:id="80" w:name="_Toc177401392"/>
      <w:r w:rsidRPr="00994516">
        <w:t>Proposition</w:t>
      </w:r>
      <w:bookmarkEnd w:id="78"/>
      <w:bookmarkEnd w:id="79"/>
      <w:bookmarkEnd w:id="80"/>
    </w:p>
    <w:p w14:paraId="67CE1418" w14:textId="77777777" w:rsidR="0026375A" w:rsidRPr="00994516" w:rsidRDefault="0026375A" w:rsidP="0026375A">
      <w:pPr>
        <w:keepNext/>
      </w:pPr>
    </w:p>
    <w:p w14:paraId="67E5DD5E" w14:textId="0335887B"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 xml:space="preserve">Sur la base des commentaires des TWP, formulés lors de leurs sessions de 2024, le TC est invité à </w:t>
      </w:r>
      <w:bookmarkStart w:id="81" w:name="_Hlk176772717"/>
      <w:bookmarkEnd w:id="72"/>
      <w:r w:rsidR="0026375A" w:rsidRPr="00994516">
        <w:t>étudier l’opportunité d’inclure dans le document TGP/5, Section 6, les explications additionnelles suivantes au titre du point 16</w:t>
      </w:r>
      <w:r w:rsidR="000F5858">
        <w:t xml:space="preserve"> </w:t>
      </w:r>
      <w:r w:rsidR="0026375A" w:rsidRPr="00994516">
        <w:t xml:space="preserve">“Variétés voisines et différences par rapport à ces variétés” </w:t>
      </w:r>
      <w:bookmarkStart w:id="82" w:name="_Hlk176772644"/>
      <w:r w:rsidR="0026375A" w:rsidRPr="00994516">
        <w:t xml:space="preserve">(ajouts indiqués en surligné et </w:t>
      </w:r>
      <w:r w:rsidR="0026375A" w:rsidRPr="00994516">
        <w:rPr>
          <w:highlight w:val="lightGray"/>
          <w:u w:val="single"/>
        </w:rPr>
        <w:t>souligné;</w:t>
      </w:r>
      <w:r w:rsidR="0026375A" w:rsidRPr="00994516">
        <w:t xml:space="preserve">  suppressions indiquées en surligné et </w:t>
      </w:r>
      <w:r w:rsidR="0026375A" w:rsidRPr="00994516">
        <w:rPr>
          <w:strike/>
          <w:highlight w:val="lightGray"/>
        </w:rPr>
        <w:t>biffé</w:t>
      </w:r>
      <w:r w:rsidR="0026375A" w:rsidRPr="00994516">
        <w:t>) :</w:t>
      </w:r>
    </w:p>
    <w:bookmarkEnd w:id="81"/>
    <w:p w14:paraId="786A5AA1" w14:textId="77777777" w:rsidR="0026375A" w:rsidRPr="00994516" w:rsidRDefault="0026375A" w:rsidP="0026375A"/>
    <w:bookmarkEnd w:id="82"/>
    <w:p w14:paraId="2323B984" w14:textId="77777777" w:rsidR="0026375A" w:rsidRPr="00994516" w:rsidRDefault="0026375A" w:rsidP="0026375A">
      <w:pPr>
        <w:ind w:right="425"/>
        <w:rPr>
          <w:rFonts w:cs="Arial"/>
          <w:sz w:val="18"/>
          <w:szCs w:val="18"/>
        </w:rPr>
      </w:pPr>
      <w:r w:rsidRPr="00994516">
        <w:rPr>
          <w:rFonts w:cs="Arial"/>
          <w:sz w:val="18"/>
          <w:szCs w:val="18"/>
        </w:rPr>
        <w:tab/>
        <w:t>“16.</w:t>
      </w:r>
      <w:r w:rsidRPr="00994516">
        <w:rPr>
          <w:rFonts w:cs="Arial"/>
          <w:sz w:val="18"/>
          <w:szCs w:val="18"/>
        </w:rPr>
        <w:tab/>
        <w:t>Variétés voisines et différences par rapport à ces variétés</w:t>
      </w:r>
    </w:p>
    <w:p w14:paraId="2C90CD81" w14:textId="77777777" w:rsidR="0026375A" w:rsidRPr="00994516" w:rsidRDefault="0026375A" w:rsidP="0026375A">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26375A" w:rsidRPr="00994516" w14:paraId="697FD5F9" w14:textId="77777777" w:rsidTr="00124437">
        <w:tc>
          <w:tcPr>
            <w:tcW w:w="1985" w:type="dxa"/>
            <w:vAlign w:val="center"/>
          </w:tcPr>
          <w:p w14:paraId="4A288B74"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Dénomination(s) de la</w:t>
            </w:r>
          </w:p>
          <w:p w14:paraId="107AC6D2"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variété(s)</w:t>
            </w:r>
          </w:p>
          <w:p w14:paraId="512A2C6C"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voisine(s) de votre</w:t>
            </w:r>
          </w:p>
          <w:p w14:paraId="59F705AC" w14:textId="77777777" w:rsidR="0026375A" w:rsidRPr="00994516" w:rsidRDefault="0026375A" w:rsidP="0026375A">
            <w:pPr>
              <w:ind w:right="73"/>
              <w:jc w:val="center"/>
              <w:rPr>
                <w:rFonts w:cs="Arial"/>
                <w:sz w:val="18"/>
                <w:szCs w:val="18"/>
              </w:rPr>
            </w:pPr>
            <w:r w:rsidRPr="00994516">
              <w:rPr>
                <w:rFonts w:cs="Arial"/>
                <w:sz w:val="18"/>
                <w:szCs w:val="18"/>
              </w:rPr>
              <w:t>variété candidate</w:t>
            </w:r>
          </w:p>
        </w:tc>
        <w:tc>
          <w:tcPr>
            <w:tcW w:w="2126" w:type="dxa"/>
            <w:vAlign w:val="center"/>
          </w:tcPr>
          <w:p w14:paraId="74A17A89"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Caractère(s) par lequel</w:t>
            </w:r>
          </w:p>
          <w:p w14:paraId="71E6DEEA"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lesquels votre</w:t>
            </w:r>
          </w:p>
          <w:p w14:paraId="4102AEAB"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variété candidate</w:t>
            </w:r>
          </w:p>
          <w:p w14:paraId="1EF3B31C"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diffère de la ou des</w:t>
            </w:r>
          </w:p>
          <w:p w14:paraId="062AFC9C" w14:textId="77777777" w:rsidR="0026375A" w:rsidRPr="00994516" w:rsidRDefault="0026375A" w:rsidP="0026375A">
            <w:pPr>
              <w:jc w:val="center"/>
              <w:rPr>
                <w:rFonts w:cs="Arial"/>
                <w:sz w:val="18"/>
                <w:szCs w:val="18"/>
              </w:rPr>
            </w:pPr>
            <w:r w:rsidRPr="00994516">
              <w:rPr>
                <w:rFonts w:cs="Arial"/>
                <w:sz w:val="18"/>
                <w:szCs w:val="18"/>
              </w:rPr>
              <w:t>variété(s) voisine(s) </w:t>
            </w:r>
            <w:r w:rsidRPr="00994516">
              <w:rPr>
                <w:rFonts w:cs="Arial"/>
                <w:sz w:val="18"/>
                <w:szCs w:val="18"/>
                <w:vertAlign w:val="superscript"/>
              </w:rPr>
              <w:t>1)</w:t>
            </w:r>
          </w:p>
        </w:tc>
        <w:tc>
          <w:tcPr>
            <w:tcW w:w="2410" w:type="dxa"/>
            <w:vAlign w:val="center"/>
          </w:tcPr>
          <w:p w14:paraId="3A29B26E"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6CAF03EB"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11364609"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la ou les</w:t>
            </w:r>
          </w:p>
          <w:p w14:paraId="6A297DE4" w14:textId="77777777" w:rsidR="0026375A" w:rsidRPr="00994516" w:rsidRDefault="0026375A" w:rsidP="0026375A">
            <w:pPr>
              <w:ind w:right="171"/>
              <w:jc w:val="center"/>
              <w:rPr>
                <w:rFonts w:cs="Arial"/>
                <w:sz w:val="18"/>
                <w:szCs w:val="18"/>
              </w:rPr>
            </w:pPr>
            <w:r w:rsidRPr="00994516">
              <w:rPr>
                <w:rFonts w:cs="Arial"/>
                <w:sz w:val="18"/>
                <w:szCs w:val="18"/>
              </w:rPr>
              <w:t>variété(s) voisine(s) </w:t>
            </w:r>
            <w:r w:rsidRPr="00994516">
              <w:rPr>
                <w:rFonts w:cs="Arial"/>
                <w:sz w:val="18"/>
                <w:szCs w:val="18"/>
                <w:vertAlign w:val="superscript"/>
              </w:rPr>
              <w:t>2)</w:t>
            </w:r>
          </w:p>
        </w:tc>
        <w:tc>
          <w:tcPr>
            <w:tcW w:w="2126" w:type="dxa"/>
            <w:vAlign w:val="center"/>
          </w:tcPr>
          <w:p w14:paraId="54CF7DA0"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37134F3F"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7AD401D8"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votre</w:t>
            </w:r>
          </w:p>
          <w:p w14:paraId="3257B321" w14:textId="77777777" w:rsidR="0026375A" w:rsidRPr="00994516" w:rsidRDefault="0026375A" w:rsidP="0026375A">
            <w:pPr>
              <w:jc w:val="center"/>
              <w:rPr>
                <w:rFonts w:cs="Arial"/>
                <w:sz w:val="18"/>
                <w:szCs w:val="18"/>
              </w:rPr>
            </w:pPr>
            <w:r w:rsidRPr="00994516">
              <w:rPr>
                <w:rFonts w:cs="Arial"/>
                <w:sz w:val="18"/>
                <w:szCs w:val="18"/>
              </w:rPr>
              <w:t>variété candidate</w:t>
            </w:r>
            <w:r w:rsidRPr="00994516">
              <w:rPr>
                <w:rFonts w:cs="Arial"/>
                <w:sz w:val="18"/>
                <w:szCs w:val="18"/>
                <w:vertAlign w:val="superscript"/>
              </w:rPr>
              <w:t>2)</w:t>
            </w:r>
          </w:p>
        </w:tc>
      </w:tr>
    </w:tbl>
    <w:p w14:paraId="68409B41" w14:textId="77777777" w:rsidR="0026375A" w:rsidRPr="00994516" w:rsidRDefault="0026375A" w:rsidP="0026375A">
      <w:pPr>
        <w:ind w:right="425"/>
        <w:rPr>
          <w:rFonts w:cs="Arial"/>
          <w:sz w:val="18"/>
          <w:szCs w:val="18"/>
        </w:rPr>
      </w:pPr>
    </w:p>
    <w:p w14:paraId="1190F8BD" w14:textId="77777777" w:rsidR="0026375A" w:rsidRPr="00994516" w:rsidRDefault="0026375A" w:rsidP="000F5858">
      <w:pPr>
        <w:ind w:left="567" w:right="567"/>
        <w:rPr>
          <w:rFonts w:cs="Arial"/>
          <w:strike/>
          <w:sz w:val="18"/>
          <w:szCs w:val="18"/>
          <w:highlight w:val="lightGray"/>
        </w:rPr>
      </w:pPr>
      <w:r w:rsidRPr="00994516">
        <w:rPr>
          <w:rFonts w:cs="Arial"/>
          <w:strike/>
          <w:sz w:val="18"/>
          <w:szCs w:val="18"/>
          <w:highlight w:val="lightGray"/>
        </w:rPr>
        <w:t>‘1)</w:t>
      </w:r>
      <w:r w:rsidRPr="00994516">
        <w:tab/>
      </w:r>
      <w:r w:rsidRPr="00994516">
        <w:rPr>
          <w:rFonts w:cs="Arial"/>
          <w:strike/>
          <w:sz w:val="18"/>
          <w:szCs w:val="18"/>
          <w:highlight w:val="lightGray"/>
          <w:u w:val="single"/>
        </w:rPr>
        <w:t>Une variété voisine doit être indiquée.  En l’absence de telle(s) variété(s), il faut indiquer “aucune variété voisine n’a été identifiée”</w:t>
      </w:r>
      <w:r w:rsidRPr="00994516">
        <w:rPr>
          <w:rFonts w:cs="Arial"/>
          <w:sz w:val="18"/>
          <w:szCs w:val="18"/>
          <w:highlight w:val="lightGray"/>
        </w:rPr>
        <w:t>.</w:t>
      </w:r>
    </w:p>
    <w:p w14:paraId="01A32243" w14:textId="77777777" w:rsidR="0026375A" w:rsidRPr="00994516" w:rsidRDefault="0026375A" w:rsidP="000F5858">
      <w:pPr>
        <w:ind w:left="567" w:right="567"/>
        <w:rPr>
          <w:rFonts w:cs="Arial"/>
          <w:strike/>
          <w:sz w:val="18"/>
          <w:szCs w:val="18"/>
          <w:highlight w:val="lightGray"/>
        </w:rPr>
      </w:pPr>
    </w:p>
    <w:p w14:paraId="6A660F46" w14:textId="77777777" w:rsidR="0026375A" w:rsidRPr="00994516" w:rsidRDefault="0026375A" w:rsidP="000F5858">
      <w:pPr>
        <w:autoSpaceDE w:val="0"/>
        <w:autoSpaceDN w:val="0"/>
        <w:adjustRightInd w:val="0"/>
        <w:ind w:left="567" w:right="567"/>
        <w:rPr>
          <w:strike/>
          <w:sz w:val="18"/>
          <w:szCs w:val="18"/>
          <w:highlight w:val="lightGray"/>
        </w:rPr>
      </w:pPr>
      <w:r w:rsidRPr="00994516">
        <w:rPr>
          <w:strike/>
          <w:sz w:val="18"/>
          <w:szCs w:val="18"/>
          <w:highlight w:val="lightGray"/>
        </w:rPr>
        <w:t>‘2)</w:t>
      </w:r>
      <w:r w:rsidRPr="00994516">
        <w:tab/>
      </w:r>
      <w:r w:rsidRPr="00994516">
        <w:rPr>
          <w:rFonts w:cs="Arial"/>
          <w:strike/>
          <w:sz w:val="18"/>
          <w:szCs w:val="18"/>
          <w:highlight w:val="lightGray"/>
        </w:rPr>
        <w:t>Le niveau d’expression de la variété candidate et de la ou des variété(s) voisine(s) correspond à l’examen DHS conduit au lieu d’examen et à la période d’examen indiqués sous les numéros 11 et 12</w:t>
      </w:r>
      <w:r w:rsidRPr="00994516">
        <w:rPr>
          <w:rFonts w:cs="Arial"/>
          <w:sz w:val="18"/>
          <w:szCs w:val="18"/>
          <w:highlight w:val="lightGray"/>
        </w:rPr>
        <w:t>.</w:t>
      </w:r>
    </w:p>
    <w:p w14:paraId="6864CD57" w14:textId="77777777" w:rsidR="0026375A" w:rsidRPr="00994516" w:rsidRDefault="0026375A" w:rsidP="000F5858">
      <w:pPr>
        <w:ind w:left="567" w:right="567"/>
        <w:rPr>
          <w:rFonts w:cs="Arial"/>
          <w:sz w:val="18"/>
          <w:szCs w:val="18"/>
        </w:rPr>
      </w:pPr>
    </w:p>
    <w:p w14:paraId="7E2670E5" w14:textId="77777777" w:rsidR="0026375A" w:rsidRPr="00994516" w:rsidRDefault="0026375A" w:rsidP="000F5858">
      <w:pPr>
        <w:ind w:left="567" w:right="567"/>
        <w:rPr>
          <w:sz w:val="18"/>
          <w:szCs w:val="18"/>
        </w:rPr>
      </w:pPr>
      <w:r w:rsidRPr="00994516">
        <w:rPr>
          <w:sz w:val="18"/>
          <w:szCs w:val="18"/>
        </w:rPr>
        <w:t>[…]</w:t>
      </w:r>
    </w:p>
    <w:p w14:paraId="23C60FC8" w14:textId="77777777" w:rsidR="0026375A" w:rsidRPr="00994516" w:rsidRDefault="0026375A" w:rsidP="000F5858">
      <w:pPr>
        <w:ind w:left="567" w:right="567"/>
        <w:rPr>
          <w:sz w:val="18"/>
          <w:szCs w:val="18"/>
        </w:rPr>
      </w:pPr>
    </w:p>
    <w:p w14:paraId="0058389D" w14:textId="77777777" w:rsidR="0026375A" w:rsidRPr="00994516" w:rsidRDefault="0026375A" w:rsidP="000F5858">
      <w:pPr>
        <w:ind w:left="567" w:right="567"/>
        <w:rPr>
          <w:rFonts w:cs="Arial"/>
          <w:sz w:val="18"/>
          <w:szCs w:val="18"/>
        </w:rPr>
      </w:pPr>
      <w:bookmarkStart w:id="83" w:name="_Hlk176771929"/>
      <w:r w:rsidRPr="00994516">
        <w:rPr>
          <w:rFonts w:cs="Arial"/>
          <w:sz w:val="18"/>
          <w:szCs w:val="18"/>
        </w:rPr>
        <w:t>“d)</w:t>
      </w:r>
      <w:r w:rsidRPr="00994516">
        <w:tab/>
      </w:r>
      <w:r w:rsidRPr="00994516">
        <w:rPr>
          <w:rFonts w:cs="Arial"/>
          <w:sz w:val="18"/>
          <w:szCs w:val="18"/>
        </w:rPr>
        <w:t>Ad numéro 16 (</w:t>
      </w:r>
      <w:r w:rsidRPr="00994516">
        <w:rPr>
          <w:sz w:val="18"/>
          <w:szCs w:val="18"/>
        </w:rPr>
        <w:t>Annexe : Formulaire UPOV de description variétale</w:t>
      </w:r>
      <w:r w:rsidRPr="00994516">
        <w:rPr>
          <w:rFonts w:cs="Arial"/>
          <w:sz w:val="18"/>
          <w:szCs w:val="18"/>
        </w:rPr>
        <w:t>)</w:t>
      </w:r>
    </w:p>
    <w:p w14:paraId="5380810D" w14:textId="77777777" w:rsidR="0026375A" w:rsidRPr="00994516" w:rsidRDefault="0026375A" w:rsidP="000F5858">
      <w:pPr>
        <w:ind w:left="567"/>
        <w:rPr>
          <w:rFonts w:cs="Arial"/>
          <w:sz w:val="18"/>
          <w:szCs w:val="18"/>
        </w:rPr>
      </w:pPr>
    </w:p>
    <w:p w14:paraId="03E3BB66" w14:textId="77777777" w:rsidR="0026375A" w:rsidRPr="00994516" w:rsidRDefault="0026375A" w:rsidP="000F5858">
      <w:pPr>
        <w:ind w:left="567" w:right="567"/>
        <w:rPr>
          <w:rFonts w:cs="Arial"/>
          <w:sz w:val="18"/>
          <w:szCs w:val="18"/>
        </w:rPr>
      </w:pPr>
      <w:r w:rsidRPr="00994516">
        <w:rPr>
          <w:rFonts w:cs="Arial"/>
          <w:sz w:val="18"/>
          <w:szCs w:val="18"/>
          <w:highlight w:val="lightGray"/>
          <w:u w:val="single"/>
        </w:rPr>
        <w:t>“1)</w:t>
      </w:r>
      <w:r w:rsidRPr="00994516">
        <w:tab/>
      </w:r>
      <w:r w:rsidRPr="00994516">
        <w:rPr>
          <w:rFonts w:cs="Arial"/>
          <w:sz w:val="18"/>
          <w:szCs w:val="18"/>
          <w:highlight w:val="lightGray"/>
          <w:u w:val="single"/>
        </w:rPr>
        <w:t>Une variété voisine doit être indiquée.  En l’absence de telle(s) variété(s), il faut indiquer ‘aucune variété voisine n’a été identifiée’</w:t>
      </w:r>
      <w:r w:rsidRPr="00994516">
        <w:rPr>
          <w:rFonts w:cs="Arial"/>
          <w:sz w:val="18"/>
          <w:szCs w:val="18"/>
          <w:highlight w:val="lightGray"/>
        </w:rPr>
        <w:t>.</w:t>
      </w:r>
    </w:p>
    <w:p w14:paraId="5298FA97" w14:textId="77777777" w:rsidR="0026375A" w:rsidRPr="00994516" w:rsidRDefault="0026375A" w:rsidP="000F5858">
      <w:pPr>
        <w:ind w:left="567" w:right="567"/>
        <w:rPr>
          <w:rFonts w:cs="Arial"/>
          <w:sz w:val="18"/>
          <w:szCs w:val="18"/>
        </w:rPr>
      </w:pPr>
    </w:p>
    <w:p w14:paraId="51D25815" w14:textId="77777777" w:rsidR="0026375A" w:rsidRPr="00994516" w:rsidRDefault="0026375A" w:rsidP="000F5858">
      <w:pPr>
        <w:autoSpaceDE w:val="0"/>
        <w:autoSpaceDN w:val="0"/>
        <w:adjustRightInd w:val="0"/>
        <w:ind w:left="567" w:right="567"/>
        <w:rPr>
          <w:sz w:val="18"/>
          <w:szCs w:val="18"/>
        </w:rPr>
      </w:pPr>
      <w:r w:rsidRPr="00994516">
        <w:rPr>
          <w:sz w:val="18"/>
          <w:szCs w:val="18"/>
          <w:highlight w:val="lightGray"/>
          <w:u w:val="single"/>
        </w:rPr>
        <w:t>“2)</w:t>
      </w:r>
      <w:r w:rsidRPr="00994516">
        <w:tab/>
      </w:r>
      <w:r w:rsidRPr="00994516">
        <w:rPr>
          <w:rFonts w:cs="Arial"/>
          <w:sz w:val="18"/>
          <w:szCs w:val="18"/>
          <w:highlight w:val="lightGray"/>
          <w:u w:val="single"/>
        </w:rPr>
        <w:t xml:space="preserve">Le niveau d’expression de la variété candidate et de la ou des variété(s) voisine(s) correspond à l’examen </w:t>
      </w:r>
      <w:r w:rsidRPr="000F5858">
        <w:rPr>
          <w:rFonts w:cs="Arial"/>
          <w:spacing w:val="-2"/>
          <w:sz w:val="18"/>
          <w:szCs w:val="18"/>
          <w:highlight w:val="lightGray"/>
          <w:u w:val="single"/>
        </w:rPr>
        <w:t xml:space="preserve">DHS conduit </w:t>
      </w:r>
      <w:r w:rsidRPr="000F5858">
        <w:rPr>
          <w:rFonts w:cs="Arial"/>
          <w:strike/>
          <w:spacing w:val="-2"/>
          <w:sz w:val="18"/>
          <w:szCs w:val="18"/>
          <w:highlight w:val="lightGray"/>
          <w:u w:val="single"/>
        </w:rPr>
        <w:t>à la station d’examen,</w:t>
      </w:r>
      <w:r w:rsidRPr="000F5858">
        <w:rPr>
          <w:rFonts w:cs="Arial"/>
          <w:spacing w:val="-2"/>
          <w:sz w:val="18"/>
          <w:szCs w:val="18"/>
          <w:highlight w:val="lightGray"/>
          <w:u w:val="single"/>
        </w:rPr>
        <w:t xml:space="preserve"> au lieu d’examen et à la période d’examen indiqués sous les numéros 11 et 12</w:t>
      </w:r>
      <w:r w:rsidRPr="000F5858">
        <w:rPr>
          <w:rFonts w:cs="Arial"/>
          <w:spacing w:val="-2"/>
          <w:sz w:val="18"/>
          <w:szCs w:val="18"/>
          <w:highlight w:val="lightGray"/>
        </w:rPr>
        <w:t>.</w:t>
      </w:r>
    </w:p>
    <w:p w14:paraId="0D8A06AF" w14:textId="77777777" w:rsidR="0026375A" w:rsidRPr="00994516" w:rsidRDefault="0026375A" w:rsidP="000F5858">
      <w:pPr>
        <w:ind w:left="567" w:right="567"/>
        <w:rPr>
          <w:rFonts w:cs="Arial"/>
          <w:sz w:val="18"/>
          <w:szCs w:val="18"/>
        </w:rPr>
      </w:pPr>
    </w:p>
    <w:p w14:paraId="032F0E04" w14:textId="77777777" w:rsidR="0026375A" w:rsidRPr="00994516" w:rsidRDefault="0026375A" w:rsidP="000F5858">
      <w:pPr>
        <w:ind w:left="567" w:right="567"/>
        <w:rPr>
          <w:sz w:val="18"/>
          <w:szCs w:val="18"/>
        </w:rPr>
      </w:pPr>
      <w:r w:rsidRPr="00994516">
        <w:rPr>
          <w:sz w:val="18"/>
          <w:szCs w:val="18"/>
          <w:highlight w:val="lightGray"/>
          <w:u w:val="single"/>
        </w:rPr>
        <w:t>“3)</w:t>
      </w:r>
      <w:r w:rsidRPr="00994516">
        <w:rPr>
          <w:sz w:val="18"/>
          <w:szCs w:val="18"/>
        </w:rPr>
        <w:t xml:space="preserve"> </w:t>
      </w:r>
      <w:r w:rsidRPr="00994516">
        <w:rPr>
          <w:sz w:val="18"/>
          <w:szCs w:val="18"/>
        </w:rPr>
        <w:tab/>
        <w:t>Seuls les caractères dont les différences sont suffisantes pour établir une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14:paraId="3F3969E6" w14:textId="77777777" w:rsidR="0026375A" w:rsidRPr="00994516" w:rsidRDefault="0026375A" w:rsidP="000F5858">
      <w:pPr>
        <w:ind w:left="567" w:right="567"/>
        <w:rPr>
          <w:sz w:val="18"/>
          <w:szCs w:val="18"/>
        </w:rPr>
      </w:pPr>
    </w:p>
    <w:p w14:paraId="18A06A1C" w14:textId="77777777" w:rsidR="0026375A" w:rsidRPr="00994516" w:rsidRDefault="0026375A" w:rsidP="000F5858">
      <w:pPr>
        <w:ind w:left="567" w:right="567"/>
        <w:rPr>
          <w:rFonts w:cs="Arial"/>
          <w:sz w:val="18"/>
          <w:szCs w:val="18"/>
          <w:highlight w:val="lightGray"/>
        </w:rPr>
      </w:pPr>
      <w:r w:rsidRPr="00994516">
        <w:rPr>
          <w:rFonts w:cs="Arial"/>
          <w:sz w:val="18"/>
          <w:szCs w:val="18"/>
          <w:highlight w:val="lightGray"/>
          <w:u w:val="single"/>
        </w:rPr>
        <w:t>“4)</w:t>
      </w:r>
      <w:r w:rsidRPr="00994516">
        <w:rPr>
          <w:sz w:val="18"/>
          <w:szCs w:val="18"/>
        </w:rPr>
        <w:tab/>
      </w:r>
      <w:r w:rsidRPr="00994516">
        <w:rPr>
          <w:sz w:val="18"/>
          <w:szCs w:val="18"/>
          <w:highlight w:val="lightGray"/>
          <w:u w:val="single"/>
        </w:rPr>
        <w:t>Au cas où les niveaux d’expression des deux variétés seraient identiques, prière d’indiquer l’amplitude de la différence</w:t>
      </w:r>
      <w:r w:rsidRPr="00994516">
        <w:rPr>
          <w:rFonts w:cs="Arial"/>
          <w:sz w:val="18"/>
          <w:szCs w:val="18"/>
          <w:highlight w:val="lightGray"/>
          <w:u w:val="single"/>
        </w:rPr>
        <w:t>.”</w:t>
      </w:r>
    </w:p>
    <w:p w14:paraId="5D137E93" w14:textId="77777777" w:rsidR="0026375A" w:rsidRPr="00994516" w:rsidRDefault="0026375A" w:rsidP="0026375A">
      <w:pPr>
        <w:ind w:left="567" w:right="567"/>
        <w:rPr>
          <w:sz w:val="18"/>
          <w:szCs w:val="18"/>
        </w:rPr>
      </w:pPr>
    </w:p>
    <w:p w14:paraId="4FEBB567" w14:textId="785888D5"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rPr>
          <w:rFonts w:eastAsia="MS Mincho"/>
        </w:rPr>
        <w:tab/>
        <w:t>L</w:t>
      </w:r>
      <w:r w:rsidR="0026375A" w:rsidRPr="00994516">
        <w:t xml:space="preserve">e TC est invité à examiner l’opportunité d’inclure des explications additionnelles au titre du </w:t>
      </w:r>
      <w:r w:rsidR="0026375A" w:rsidRPr="001E2D88">
        <w:rPr>
          <w:spacing w:val="-2"/>
        </w:rPr>
        <w:t>document TGP/5, Section 6, point 16</w:t>
      </w:r>
      <w:r w:rsidR="001E2D88" w:rsidRPr="001E2D88">
        <w:rPr>
          <w:spacing w:val="-2"/>
        </w:rPr>
        <w:t xml:space="preserve"> </w:t>
      </w:r>
      <w:r w:rsidR="0026375A" w:rsidRPr="001E2D88">
        <w:rPr>
          <w:spacing w:val="-2"/>
        </w:rPr>
        <w:t>“Variétés voisines</w:t>
      </w:r>
      <w:r w:rsidR="0026375A" w:rsidRPr="00994516">
        <w:t xml:space="preserve"> et différences par rapport à ces variétés”, comme indiqué au paragraphe 46 du présent document.</w:t>
      </w:r>
    </w:p>
    <w:p w14:paraId="209B0EC1" w14:textId="77777777" w:rsidR="0026375A" w:rsidRPr="00994516" w:rsidRDefault="0026375A" w:rsidP="0026375A"/>
    <w:p w14:paraId="7791CFE3" w14:textId="77777777" w:rsidR="0026375A" w:rsidRPr="00994516" w:rsidRDefault="0026375A" w:rsidP="00234882">
      <w:pPr>
        <w:pStyle w:val="Heading3"/>
        <w:rPr>
          <w:lang w:val="fr-FR"/>
        </w:rPr>
      </w:pPr>
      <w:bookmarkStart w:id="84" w:name="Soussection"/>
      <w:bookmarkStart w:id="85" w:name="_Toc176335741"/>
      <w:bookmarkStart w:id="86" w:name="_Toc177113768"/>
      <w:bookmarkStart w:id="87" w:name="_Toc177401393"/>
      <w:bookmarkStart w:id="88" w:name="Soussectionpoint17"/>
      <w:r w:rsidRPr="00994516">
        <w:rPr>
          <w:lang w:val="fr-FR"/>
        </w:rPr>
        <w:lastRenderedPageBreak/>
        <w:t xml:space="preserve">Sous-section </w:t>
      </w:r>
      <w:bookmarkEnd w:id="84"/>
      <w:r w:rsidRPr="00994516">
        <w:rPr>
          <w:lang w:val="fr-FR"/>
        </w:rPr>
        <w:t>“Formulaire UPOV de de</w:t>
      </w:r>
      <w:r w:rsidRPr="00994516">
        <w:rPr>
          <w:rFonts w:eastAsia="MS Mincho"/>
          <w:spacing w:val="-2"/>
          <w:lang w:val="fr-FR"/>
        </w:rPr>
        <w:t>scription variétale</w:t>
      </w:r>
      <w:r w:rsidRPr="00994516">
        <w:rPr>
          <w:lang w:val="fr-FR"/>
        </w:rPr>
        <w:t xml:space="preserve">”, </w:t>
      </w:r>
      <w:bookmarkEnd w:id="85"/>
      <w:r w:rsidRPr="00994516">
        <w:rPr>
          <w:lang w:val="fr-FR"/>
        </w:rPr>
        <w:t>point 17 “Renseignements complémentaires”</w:t>
      </w:r>
      <w:bookmarkEnd w:id="86"/>
      <w:bookmarkEnd w:id="87"/>
    </w:p>
    <w:bookmarkEnd w:id="88"/>
    <w:p w14:paraId="2FE12623" w14:textId="77777777" w:rsidR="0026375A" w:rsidRPr="00994516" w:rsidRDefault="0026375A" w:rsidP="0026375A">
      <w:pPr>
        <w:keepNext/>
      </w:pPr>
    </w:p>
    <w:p w14:paraId="6B80CB21" w14:textId="5FD1DC31" w:rsidR="0026375A" w:rsidRPr="00994516" w:rsidRDefault="006466EC" w:rsidP="0026375A">
      <w:pPr>
        <w:spacing w:after="240"/>
        <w:rPr>
          <w:rFonts w:eastAsia="MS Mincho"/>
          <w:spacing w:val="-2"/>
        </w:rPr>
      </w:pPr>
      <w:r w:rsidRPr="00994516">
        <w:fldChar w:fldCharType="begin"/>
      </w:r>
      <w:r w:rsidRPr="00994516">
        <w:instrText xml:space="preserve"> AUTONUM  </w:instrText>
      </w:r>
      <w:r w:rsidRPr="00994516">
        <w:fldChar w:fldCharType="end"/>
      </w:r>
      <w:r w:rsidR="0026375A" w:rsidRPr="00994516">
        <w:rPr>
          <w:rFonts w:eastAsia="MS Mincho"/>
        </w:rPr>
        <w:tab/>
        <w:t>À sa</w:t>
      </w:r>
      <w:r w:rsidR="0026375A" w:rsidRPr="00994516">
        <w:t xml:space="preserve"> session de 2023, le TC est convenu d’inviter les TWP, lors de leurs sessions respectives en 2024, à examiner une proposition de révision du document TGP/5, Section 6, point 17 “Renseignements complémentaires”, et à déterminer s’il convient de fournir des indications additionnelles sur les informations relatives aux variétés similaires examinées dans le cadre de l’examen</w:t>
      </w:r>
      <w:r w:rsidR="0026375A" w:rsidRPr="00994516">
        <w:rPr>
          <w:rFonts w:eastAsia="MS Mincho"/>
          <w:spacing w:val="-2"/>
        </w:rPr>
        <w:t>.</w:t>
      </w:r>
    </w:p>
    <w:p w14:paraId="46FD9697" w14:textId="77777777" w:rsidR="0026375A" w:rsidRPr="00994516" w:rsidRDefault="0026375A" w:rsidP="00234882">
      <w:pPr>
        <w:pStyle w:val="Heading4"/>
        <w:rPr>
          <w:rFonts w:eastAsia="MS Mincho"/>
        </w:rPr>
      </w:pPr>
      <w:bookmarkStart w:id="89" w:name="_Toc176335742"/>
      <w:bookmarkStart w:id="90" w:name="_Toc177401394"/>
      <w:bookmarkStart w:id="91" w:name="PropositionII"/>
      <w:r w:rsidRPr="00994516">
        <w:rPr>
          <w:rFonts w:eastAsia="MS Mincho"/>
        </w:rPr>
        <w:t>Proposition</w:t>
      </w:r>
      <w:bookmarkEnd w:id="89"/>
      <w:bookmarkEnd w:id="90"/>
    </w:p>
    <w:bookmarkEnd w:id="91"/>
    <w:p w14:paraId="09870463" w14:textId="77777777" w:rsidR="0026375A" w:rsidRPr="00994516" w:rsidRDefault="0026375A" w:rsidP="0026375A">
      <w:pPr>
        <w:keepNext/>
        <w:rPr>
          <w:rFonts w:eastAsia="MS Mincho"/>
        </w:rPr>
      </w:pPr>
    </w:p>
    <w:p w14:paraId="1BC0022A" w14:textId="4528B23E"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 xml:space="preserve">Sur la base des commentaires des TWP formulés lors de leurs sessions de 2024, le TC est invité à étudier l’opportunité de modifier le document TGP/5, Section 6, afin d’introduire l’explication supplémentaire suivante au titre du point 17 “Renseignements complémentaires” (ajout indiqué en surligné </w:t>
      </w:r>
      <w:r w:rsidR="0026375A" w:rsidRPr="00994516">
        <w:rPr>
          <w:spacing w:val="-2"/>
        </w:rPr>
        <w:t xml:space="preserve">et </w:t>
      </w:r>
      <w:r w:rsidR="0026375A" w:rsidRPr="00994516">
        <w:rPr>
          <w:spacing w:val="-2"/>
          <w:highlight w:val="lightGray"/>
          <w:u w:val="single"/>
        </w:rPr>
        <w:t>souligné</w:t>
      </w:r>
      <w:r w:rsidR="0026375A" w:rsidRPr="00994516">
        <w:t xml:space="preserve">) :  </w:t>
      </w:r>
    </w:p>
    <w:p w14:paraId="301FC194" w14:textId="77777777" w:rsidR="0026375A" w:rsidRPr="00994516" w:rsidRDefault="0026375A" w:rsidP="0026375A"/>
    <w:p w14:paraId="4D5206B5" w14:textId="77777777" w:rsidR="0026375A" w:rsidRPr="00994516" w:rsidRDefault="0026375A" w:rsidP="0026375A">
      <w:pPr>
        <w:ind w:left="567" w:right="567"/>
        <w:rPr>
          <w:rFonts w:cs="Arial"/>
          <w:color w:val="000000"/>
          <w:sz w:val="18"/>
          <w:szCs w:val="18"/>
          <w:highlight w:val="lightGray"/>
          <w:u w:val="single"/>
        </w:rPr>
      </w:pPr>
      <w:r w:rsidRPr="00994516">
        <w:rPr>
          <w:rFonts w:cs="Arial"/>
          <w:color w:val="000000"/>
          <w:sz w:val="18"/>
          <w:szCs w:val="18"/>
          <w:highlight w:val="lightGray"/>
          <w:u w:val="single"/>
        </w:rPr>
        <w:t>“Ad numéro 17 (</w:t>
      </w:r>
      <w:r w:rsidRPr="00994516">
        <w:rPr>
          <w:sz w:val="18"/>
          <w:szCs w:val="18"/>
          <w:highlight w:val="lightGray"/>
          <w:u w:val="single"/>
        </w:rPr>
        <w:t>Annexe : Formulaire UPOV de description variétale</w:t>
      </w:r>
      <w:r w:rsidRPr="00994516">
        <w:rPr>
          <w:rFonts w:cs="Arial"/>
          <w:color w:val="000000"/>
          <w:sz w:val="18"/>
          <w:szCs w:val="18"/>
          <w:highlight w:val="lightGray"/>
          <w:u w:val="single"/>
        </w:rPr>
        <w:t>)</w:t>
      </w:r>
    </w:p>
    <w:p w14:paraId="5ED83394" w14:textId="77777777" w:rsidR="0026375A" w:rsidRPr="00994516" w:rsidRDefault="0026375A" w:rsidP="0026375A">
      <w:pPr>
        <w:ind w:left="567" w:right="567"/>
        <w:rPr>
          <w:rFonts w:cs="Arial"/>
          <w:color w:val="000000"/>
          <w:sz w:val="18"/>
          <w:szCs w:val="18"/>
          <w:highlight w:val="lightGray"/>
          <w:u w:val="single"/>
        </w:rPr>
      </w:pPr>
    </w:p>
    <w:p w14:paraId="273FAF33" w14:textId="77777777" w:rsidR="0026375A" w:rsidRPr="00994516" w:rsidRDefault="0026375A" w:rsidP="0026375A">
      <w:pPr>
        <w:ind w:left="567" w:right="567"/>
        <w:rPr>
          <w:rFonts w:cs="Arial"/>
          <w:color w:val="000000"/>
          <w:sz w:val="18"/>
          <w:szCs w:val="18"/>
          <w:u w:val="single"/>
        </w:rPr>
      </w:pPr>
      <w:r w:rsidRPr="00994516">
        <w:rPr>
          <w:rFonts w:cs="Arial"/>
          <w:color w:val="000000"/>
          <w:sz w:val="18"/>
          <w:szCs w:val="18"/>
          <w:highlight w:val="lightGray"/>
          <w:u w:val="single"/>
        </w:rPr>
        <w:t>“Des situations autres et le type d’information complémentaire à fournir peuvent être convenus de façon bilatérale, en fonction du type de culture et de la variété examinée”</w:t>
      </w:r>
      <w:r w:rsidRPr="00994516">
        <w:rPr>
          <w:rFonts w:cs="Arial"/>
          <w:color w:val="000000"/>
          <w:sz w:val="18"/>
          <w:szCs w:val="18"/>
          <w:u w:val="single"/>
        </w:rPr>
        <w:t>.</w:t>
      </w:r>
    </w:p>
    <w:p w14:paraId="513109B9" w14:textId="77777777" w:rsidR="0026375A" w:rsidRPr="00994516" w:rsidRDefault="0026375A" w:rsidP="0026375A">
      <w:pPr>
        <w:rPr>
          <w:highlight w:val="yellow"/>
        </w:rPr>
      </w:pPr>
    </w:p>
    <w:p w14:paraId="614EE203" w14:textId="6EA2F6AD"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rPr>
          <w:rFonts w:eastAsia="MS Mincho"/>
        </w:rPr>
        <w:tab/>
        <w:t>L</w:t>
      </w:r>
      <w:r w:rsidR="0026375A" w:rsidRPr="00994516">
        <w:t>e TC est invité à examiner une proposition de modification du document TGP/5, Section 6, point 17</w:t>
      </w:r>
      <w:r w:rsidR="004F55BE">
        <w:t xml:space="preserve"> </w:t>
      </w:r>
      <w:r w:rsidR="0026375A" w:rsidRPr="00994516">
        <w:t>“Renseignements complémentaires”, comme indiqué au paragraphe 49 du présent document.</w:t>
      </w:r>
    </w:p>
    <w:p w14:paraId="2A4164D5" w14:textId="77777777" w:rsidR="0026375A" w:rsidRPr="00994516" w:rsidRDefault="0026375A" w:rsidP="0026375A"/>
    <w:p w14:paraId="29C60DC1" w14:textId="77777777" w:rsidR="0026375A" w:rsidRPr="00994516" w:rsidRDefault="0026375A" w:rsidP="00234882">
      <w:pPr>
        <w:pStyle w:val="Heading3"/>
        <w:rPr>
          <w:lang w:val="fr-FR"/>
        </w:rPr>
      </w:pPr>
      <w:bookmarkStart w:id="92" w:name="Structure"/>
      <w:bookmarkStart w:id="93" w:name="_Toc176335743"/>
      <w:bookmarkStart w:id="94" w:name="_Toc177113769"/>
      <w:bookmarkStart w:id="95" w:name="_Toc177401395"/>
      <w:r w:rsidRPr="00994516">
        <w:rPr>
          <w:lang w:val="fr-FR"/>
        </w:rPr>
        <w:t>Structure</w:t>
      </w:r>
      <w:bookmarkEnd w:id="92"/>
      <w:r w:rsidRPr="00994516">
        <w:rPr>
          <w:lang w:val="fr-FR"/>
        </w:rPr>
        <w:t xml:space="preserve"> du document TGP/5, Section 6 “</w:t>
      </w:r>
      <w:r w:rsidRPr="00994516">
        <w:rPr>
          <w:rFonts w:eastAsia="MS Mincho"/>
          <w:lang w:val="fr-FR"/>
        </w:rPr>
        <w:t>Rapport UPOV d’examen technique et Formulaire UPOV de description variétale</w:t>
      </w:r>
      <w:r w:rsidRPr="00994516">
        <w:rPr>
          <w:lang w:val="fr-FR"/>
        </w:rPr>
        <w:t>”</w:t>
      </w:r>
      <w:bookmarkEnd w:id="93"/>
      <w:bookmarkEnd w:id="94"/>
      <w:bookmarkEnd w:id="95"/>
    </w:p>
    <w:p w14:paraId="2E0A7ECE" w14:textId="77777777" w:rsidR="0026375A" w:rsidRPr="00994516" w:rsidRDefault="0026375A" w:rsidP="0026375A">
      <w:pPr>
        <w:keepNext/>
      </w:pPr>
    </w:p>
    <w:p w14:paraId="63AF6892" w14:textId="2EB5966E" w:rsidR="0026375A" w:rsidRPr="00994516" w:rsidRDefault="006466EC" w:rsidP="0026375A">
      <w:r w:rsidRPr="00994516">
        <w:fldChar w:fldCharType="begin"/>
      </w:r>
      <w:r w:rsidRPr="00994516">
        <w:instrText xml:space="preserve"> AUTONUM  </w:instrText>
      </w:r>
      <w:r w:rsidRPr="00994516">
        <w:fldChar w:fldCharType="end"/>
      </w:r>
      <w:r w:rsidR="0026375A" w:rsidRPr="00994516">
        <w:tab/>
        <w:t>Le TWA</w:t>
      </w:r>
      <w:r w:rsidR="0026375A" w:rsidRPr="00994516">
        <w:rPr>
          <w:vertAlign w:val="superscript"/>
        </w:rPr>
        <w:footnoteReference w:id="4"/>
      </w:r>
      <w:r w:rsidR="0026375A" w:rsidRPr="00994516">
        <w:t>, à sa cinquante-troisième session, a noté que l’annexe du “Rapport UPOV d’examen technique” a pour titre “Formulaire UPOV de description variétale”.  Le TWA est convenu de proposer de réviser la structure du document TGP/5, Section 6, pour préciser que</w:t>
      </w:r>
      <w:r w:rsidR="004F55BE">
        <w:t xml:space="preserve"> le</w:t>
      </w:r>
      <w:r w:rsidR="0026375A" w:rsidRPr="00994516">
        <w:t xml:space="preserve"> “Formulaire UPOV de description variétale” est une annexe du “Rapport UPOV d’examen technique” et que le point 18 “Notes explicatives à l’annexe : Formulaire UPOV de description variétale” est une autre section, distincte du document d’orientation.</w:t>
      </w:r>
    </w:p>
    <w:p w14:paraId="5B4B8AAB" w14:textId="77777777" w:rsidR="0026375A" w:rsidRPr="00994516" w:rsidRDefault="0026375A" w:rsidP="0026375A"/>
    <w:p w14:paraId="7C13B5F5" w14:textId="6D47A982" w:rsidR="0026375A" w:rsidRPr="00994516" w:rsidRDefault="006466EC" w:rsidP="0026375A">
      <w:pPr>
        <w:rPr>
          <w:rFonts w:eastAsiaTheme="minorEastAsia"/>
        </w:rPr>
      </w:pPr>
      <w:r w:rsidRPr="00994516">
        <w:fldChar w:fldCharType="begin"/>
      </w:r>
      <w:r w:rsidRPr="00994516">
        <w:instrText xml:space="preserve"> AUTONUM  </w:instrText>
      </w:r>
      <w:r w:rsidRPr="00994516">
        <w:fldChar w:fldCharType="end"/>
      </w:r>
      <w:r w:rsidR="0026375A" w:rsidRPr="00994516">
        <w:tab/>
      </w:r>
      <w:proofErr w:type="gramStart"/>
      <w:r w:rsidR="0026375A" w:rsidRPr="00994516">
        <w:t>Suite à</w:t>
      </w:r>
      <w:proofErr w:type="gramEnd"/>
      <w:r w:rsidR="0026375A" w:rsidRPr="00994516">
        <w:t xml:space="preserve"> la proposition du TWA, le TC est invité à examiner la possibilité d’inviter le Bureau de l’Union à réviser la structure du document TGP/5, Section 6, </w:t>
      </w:r>
      <w:bookmarkStart w:id="96" w:name="_Hlk176773076"/>
      <w:r w:rsidR="0026375A" w:rsidRPr="00994516">
        <w:t>afin de préciser que</w:t>
      </w:r>
      <w:r w:rsidR="004F55BE">
        <w:t xml:space="preserve"> le</w:t>
      </w:r>
      <w:r w:rsidR="0026375A" w:rsidRPr="00994516">
        <w:t xml:space="preserve"> </w:t>
      </w:r>
      <w:r w:rsidR="004F55BE">
        <w:t>“</w:t>
      </w:r>
      <w:r w:rsidR="0026375A" w:rsidRPr="00994516">
        <w:t xml:space="preserve">Formulaire UPOV de description variétale” est une annexe du </w:t>
      </w:r>
      <w:r w:rsidR="004F55BE">
        <w:t>“</w:t>
      </w:r>
      <w:r w:rsidR="0026375A" w:rsidRPr="00994516">
        <w:t>Rapport UPOV d’examen technique” et que le point 18 “Notes explicatives à l’annexe : Formulaire UPOV de description variétale” est une section distincte du document d’orientation</w:t>
      </w:r>
      <w:bookmarkEnd w:id="96"/>
      <w:r w:rsidR="0026375A" w:rsidRPr="00994516">
        <w:t>.</w:t>
      </w:r>
    </w:p>
    <w:p w14:paraId="1B38712A" w14:textId="77777777" w:rsidR="0026375A" w:rsidRPr="00994516" w:rsidRDefault="0026375A" w:rsidP="0026375A"/>
    <w:p w14:paraId="5F5A2728" w14:textId="64C9CA58"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rPr>
          <w:rFonts w:eastAsia="MS Mincho"/>
        </w:rPr>
        <w:tab/>
        <w:t>L</w:t>
      </w:r>
      <w:r w:rsidR="0026375A" w:rsidRPr="00994516">
        <w:t>e TC est invité à examiner la proposition de révision de la structure du document TGP/5, Section 6, comme indiqué aux paragraphes 51 et 52 du présent document.</w:t>
      </w:r>
      <w:bookmarkEnd w:id="83"/>
    </w:p>
    <w:p w14:paraId="209D0DA3" w14:textId="77777777" w:rsidR="0026375A" w:rsidRPr="00994516" w:rsidRDefault="0026375A" w:rsidP="0026375A"/>
    <w:p w14:paraId="4420F377" w14:textId="77777777" w:rsidR="0026375A" w:rsidRPr="00994516" w:rsidRDefault="0026375A" w:rsidP="00234882">
      <w:pPr>
        <w:pStyle w:val="Heading2"/>
        <w:rPr>
          <w:lang w:val="fr-FR"/>
        </w:rPr>
      </w:pPr>
      <w:bookmarkStart w:id="97" w:name="TGP7II"/>
      <w:bookmarkStart w:id="98" w:name="_Toc176335744"/>
      <w:bookmarkStart w:id="99" w:name="_Toc177113770"/>
      <w:bookmarkStart w:id="100" w:name="_Toc177401396"/>
      <w:r w:rsidRPr="00994516">
        <w:rPr>
          <w:lang w:val="fr-FR"/>
        </w:rPr>
        <w:t>TGP/7 </w:t>
      </w:r>
      <w:bookmarkEnd w:id="97"/>
      <w:r w:rsidRPr="00994516">
        <w:rPr>
          <w:lang w:val="fr-FR"/>
        </w:rPr>
        <w:t>: Élaboration des principes directeurs d’examen (révision)</w:t>
      </w:r>
      <w:bookmarkEnd w:id="98"/>
      <w:bookmarkEnd w:id="99"/>
      <w:bookmarkEnd w:id="100"/>
    </w:p>
    <w:p w14:paraId="3F29007C" w14:textId="77777777" w:rsidR="0026375A" w:rsidRPr="00994516" w:rsidRDefault="0026375A" w:rsidP="0026375A"/>
    <w:p w14:paraId="2304703D" w14:textId="24746B45" w:rsidR="0026375A" w:rsidRPr="00994516" w:rsidRDefault="006466EC" w:rsidP="0026375A">
      <w:pPr>
        <w:keepNext/>
      </w:pPr>
      <w:r w:rsidRPr="00994516">
        <w:fldChar w:fldCharType="begin"/>
      </w:r>
      <w:r w:rsidRPr="00994516">
        <w:instrText xml:space="preserve"> AUTONUM  </w:instrText>
      </w:r>
      <w:r w:rsidRPr="00994516">
        <w:fldChar w:fldCharType="end"/>
      </w:r>
      <w:r w:rsidR="0026375A" w:rsidRPr="00994516">
        <w:rPr>
          <w:rFonts w:eastAsia="MS Mincho"/>
        </w:rPr>
        <w:tab/>
      </w:r>
      <w:r w:rsidR="0026375A" w:rsidRPr="00994516">
        <w:t>Les informations générales sur cette question sont</w:t>
      </w:r>
      <w:r w:rsidR="0026375A" w:rsidRPr="00994516">
        <w:rPr>
          <w:rFonts w:eastAsia="MS Mincho"/>
        </w:rPr>
        <w:t xml:space="preserve"> indiquées à l’annexe IV du présent document.</w:t>
      </w:r>
    </w:p>
    <w:p w14:paraId="7C5289CE" w14:textId="77777777" w:rsidR="0026375A" w:rsidRPr="00994516" w:rsidRDefault="0026375A" w:rsidP="0026375A">
      <w:pPr>
        <w:keepNext/>
      </w:pPr>
    </w:p>
    <w:p w14:paraId="057DA624" w14:textId="77777777" w:rsidR="0026375A" w:rsidRPr="00994516" w:rsidRDefault="0026375A" w:rsidP="00234882">
      <w:pPr>
        <w:pStyle w:val="Heading3"/>
        <w:rPr>
          <w:lang w:val="fr-FR"/>
        </w:rPr>
      </w:pPr>
      <w:bookmarkStart w:id="101" w:name="TextestandardII"/>
      <w:bookmarkStart w:id="102" w:name="_Toc144995610"/>
      <w:bookmarkStart w:id="103" w:name="_Toc176335745"/>
      <w:bookmarkStart w:id="104" w:name="_Toc177113771"/>
      <w:bookmarkStart w:id="105" w:name="_Toc177401397"/>
      <w:r w:rsidRPr="00994516">
        <w:rPr>
          <w:iCs/>
          <w:lang w:val="fr-FR"/>
        </w:rPr>
        <w:t xml:space="preserve">Texte standard </w:t>
      </w:r>
      <w:bookmarkEnd w:id="101"/>
      <w:r w:rsidRPr="00994516">
        <w:rPr>
          <w:iCs/>
          <w:lang w:val="fr-FR"/>
        </w:rPr>
        <w:t xml:space="preserve">supplémentaire </w:t>
      </w:r>
      <w:r w:rsidRPr="00994516">
        <w:rPr>
          <w:lang w:val="fr-FR"/>
        </w:rPr>
        <w:t xml:space="preserve">(ASW) </w:t>
      </w:r>
      <w:bookmarkEnd w:id="102"/>
      <w:bookmarkEnd w:id="103"/>
      <w:r w:rsidRPr="00994516">
        <w:rPr>
          <w:lang w:val="fr-FR"/>
        </w:rPr>
        <w:t>7.b) – Nombre de plantes/parties de plantes à examiner</w:t>
      </w:r>
      <w:bookmarkEnd w:id="104"/>
      <w:bookmarkEnd w:id="105"/>
    </w:p>
    <w:p w14:paraId="405B61C2" w14:textId="77777777" w:rsidR="0026375A" w:rsidRPr="00994516" w:rsidRDefault="0026375A" w:rsidP="0026375A">
      <w:pPr>
        <w:keepNext/>
        <w:rPr>
          <w:rFonts w:cs="Arial"/>
        </w:rPr>
      </w:pPr>
    </w:p>
    <w:p w14:paraId="0CC22F8A" w14:textId="658A3CA2" w:rsidR="0026375A" w:rsidRPr="00994516" w:rsidRDefault="006466EC" w:rsidP="0026375A">
      <w:r w:rsidRPr="00994516">
        <w:fldChar w:fldCharType="begin"/>
      </w:r>
      <w:r w:rsidRPr="00994516">
        <w:instrText xml:space="preserve"> AUTONUM  </w:instrText>
      </w:r>
      <w:r w:rsidRPr="00994516">
        <w:fldChar w:fldCharType="end"/>
      </w:r>
      <w:r w:rsidR="0026375A" w:rsidRPr="00994516">
        <w:tab/>
      </w:r>
      <w:r w:rsidR="0026375A" w:rsidRPr="00994516">
        <w:rPr>
          <w:rFonts w:eastAsia="MS Mincho"/>
        </w:rPr>
        <w:t>Lors de leurs</w:t>
      </w:r>
      <w:r w:rsidR="0026375A" w:rsidRPr="00994516">
        <w:rPr>
          <w:rFonts w:eastAsiaTheme="minorEastAsia"/>
        </w:rPr>
        <w:t xml:space="preserve"> sessions respectives en 2024, le TWV, le TWO, le TWA et le TWF ont examiné la proposition de modification du document TGP/7, ASW 7.b), sur le nombre de parties de plantes isolées à examiner</w:t>
      </w:r>
      <w:r w:rsidR="0026375A" w:rsidRPr="00994516">
        <w:t xml:space="preserve">, comme indiqué à l’annexe IV du présent document, paragraphes 6 à 15. </w:t>
      </w:r>
    </w:p>
    <w:p w14:paraId="10A66F5E" w14:textId="77777777" w:rsidR="0026375A" w:rsidRPr="00994516" w:rsidRDefault="0026375A" w:rsidP="0026375A">
      <w:pPr>
        <w:rPr>
          <w:rFonts w:eastAsiaTheme="minorEastAsia"/>
        </w:rPr>
      </w:pPr>
    </w:p>
    <w:p w14:paraId="5C0B1F65" w14:textId="3BF335F8" w:rsidR="0026375A" w:rsidRPr="00994516" w:rsidRDefault="006466EC" w:rsidP="0026375A">
      <w:pPr>
        <w:rPr>
          <w:rFonts w:eastAsiaTheme="minorEastAsia"/>
        </w:rPr>
      </w:pPr>
      <w:r w:rsidRPr="00994516">
        <w:fldChar w:fldCharType="begin"/>
      </w:r>
      <w:r w:rsidRPr="00994516">
        <w:instrText xml:space="preserve"> AUTONUM  </w:instrText>
      </w:r>
      <w:r w:rsidRPr="00994516">
        <w:fldChar w:fldCharType="end"/>
      </w:r>
      <w:r w:rsidR="0026375A" w:rsidRPr="00994516">
        <w:tab/>
        <w:t>L</w:t>
      </w:r>
      <w:r w:rsidR="0026375A" w:rsidRPr="00994516">
        <w:rPr>
          <w:rFonts w:eastAsiaTheme="minorEastAsia"/>
        </w:rPr>
        <w:t>e TWF</w:t>
      </w:r>
      <w:r w:rsidR="0026375A" w:rsidRPr="00994516">
        <w:rPr>
          <w:rFonts w:eastAsiaTheme="minorEastAsia"/>
          <w:vertAlign w:val="superscript"/>
        </w:rPr>
        <w:footnoteReference w:id="5"/>
      </w:r>
      <w:r w:rsidR="0026375A" w:rsidRPr="00994516">
        <w:rPr>
          <w:rFonts w:eastAsiaTheme="minorEastAsia"/>
        </w:rPr>
        <w:t xml:space="preserve">, à sa cinquante-cinquième session, est convenu d’inviter l’expert de la France à compiler des exemples de cas où le nombre de parties à prélever sur chaque plante pourrait être supérieur à celui défini dans les principes directeurs d’examen.  Le TWF est convenu d’inviter l’expert de la France à étudier les possibilités d’indiquer que l’évaluation des caractères pourrait être effectuée sur des échantillons de différentes tailles en fonction du degré de précision requis. </w:t>
      </w:r>
    </w:p>
    <w:p w14:paraId="31C05303" w14:textId="77777777" w:rsidR="0026375A" w:rsidRPr="00994516" w:rsidRDefault="0026375A" w:rsidP="0026375A">
      <w:pPr>
        <w:rPr>
          <w:spacing w:val="-2"/>
        </w:rPr>
      </w:pPr>
    </w:p>
    <w:p w14:paraId="3A3D7474" w14:textId="11B27CF4" w:rsidR="0026375A" w:rsidRPr="00994516" w:rsidRDefault="006466EC" w:rsidP="006466EC">
      <w:pPr>
        <w:pStyle w:val="DecisionParagraphs"/>
      </w:pPr>
      <w:r w:rsidRPr="00994516">
        <w:lastRenderedPageBreak/>
        <w:fldChar w:fldCharType="begin"/>
      </w:r>
      <w:r w:rsidRPr="00994516">
        <w:instrText xml:space="preserve"> AUTONUM  </w:instrText>
      </w:r>
      <w:r w:rsidRPr="00994516">
        <w:fldChar w:fldCharType="end"/>
      </w:r>
      <w:r w:rsidR="0026375A" w:rsidRPr="00994516">
        <w:tab/>
      </w:r>
      <w:r w:rsidR="0026375A" w:rsidRPr="00994516">
        <w:rPr>
          <w:rFonts w:eastAsia="MS Mincho"/>
        </w:rPr>
        <w:t>L</w:t>
      </w:r>
      <w:r w:rsidR="0026375A" w:rsidRPr="00994516">
        <w:t>e TC est invité à prendre note des discussions relatives à d’éventuelles modifications du document</w:t>
      </w:r>
      <w:r w:rsidR="00462647">
        <w:t xml:space="preserve"> </w:t>
      </w:r>
      <w:r w:rsidR="0026375A" w:rsidRPr="00994516">
        <w:t xml:space="preserve">TGP/7, </w:t>
      </w:r>
      <w:r w:rsidR="0026375A" w:rsidRPr="00994516">
        <w:rPr>
          <w:iCs/>
        </w:rPr>
        <w:t xml:space="preserve">Texte standard supplémentaire </w:t>
      </w:r>
      <w:r w:rsidR="0026375A" w:rsidRPr="00994516">
        <w:t>(ASW) 7.b) “Nombre de plantes/parties de plantes à examiner”, comme indiqué à l’annexe IV, paragraphes 6 à 15.</w:t>
      </w:r>
    </w:p>
    <w:p w14:paraId="62A9623A" w14:textId="77777777" w:rsidR="0026375A" w:rsidRPr="00994516" w:rsidRDefault="0026375A" w:rsidP="0026375A">
      <w:pPr>
        <w:rPr>
          <w:spacing w:val="-2"/>
        </w:rPr>
      </w:pPr>
    </w:p>
    <w:p w14:paraId="172A2DFA" w14:textId="48030190" w:rsidR="0026375A" w:rsidRPr="00994516" w:rsidRDefault="0026375A" w:rsidP="00234882">
      <w:pPr>
        <w:pStyle w:val="Heading3"/>
        <w:rPr>
          <w:highlight w:val="yellow"/>
          <w:lang w:val="fr-FR"/>
        </w:rPr>
      </w:pPr>
      <w:bookmarkStart w:id="106" w:name="Noteindicative"/>
      <w:bookmarkStart w:id="107" w:name="_Toc176335746"/>
      <w:bookmarkStart w:id="108" w:name="_Toc177113772"/>
      <w:bookmarkStart w:id="109" w:name="_Toc177401398"/>
      <w:r w:rsidRPr="00994516">
        <w:rPr>
          <w:lang w:val="fr-FR"/>
        </w:rPr>
        <w:t xml:space="preserve">Note indicative </w:t>
      </w:r>
      <w:bookmarkEnd w:id="106"/>
      <w:r w:rsidRPr="00994516">
        <w:rPr>
          <w:lang w:val="fr-FR"/>
        </w:rPr>
        <w:t xml:space="preserve">GN 28 “Variétés indiquées à titre d’exemples” – </w:t>
      </w:r>
      <w:bookmarkEnd w:id="107"/>
      <w:r w:rsidRPr="00994516">
        <w:rPr>
          <w:lang w:val="fr-FR"/>
        </w:rPr>
        <w:t>Variétés indiquées à titre d’exemples pour les caractères quantitatifs marqués d’un astérisque lorsque des illustrations sont fournies</w:t>
      </w:r>
      <w:bookmarkEnd w:id="108"/>
      <w:bookmarkEnd w:id="109"/>
      <w:r w:rsidRPr="00994516">
        <w:rPr>
          <w:lang w:val="fr-FR"/>
        </w:rPr>
        <w:t xml:space="preserve"> </w:t>
      </w:r>
    </w:p>
    <w:p w14:paraId="4832A0AB" w14:textId="77777777" w:rsidR="0026375A" w:rsidRPr="00994516" w:rsidRDefault="0026375A" w:rsidP="0026375A">
      <w:pPr>
        <w:rPr>
          <w:rFonts w:cs="Arial"/>
        </w:rPr>
      </w:pPr>
    </w:p>
    <w:p w14:paraId="594A9996" w14:textId="0BBC1F7B" w:rsidR="0026375A" w:rsidRPr="00994516" w:rsidRDefault="006466EC" w:rsidP="0026375A">
      <w:r w:rsidRPr="00994516">
        <w:fldChar w:fldCharType="begin"/>
      </w:r>
      <w:r w:rsidRPr="00994516">
        <w:instrText xml:space="preserve"> AUTONUM  </w:instrText>
      </w:r>
      <w:r w:rsidRPr="00994516">
        <w:fldChar w:fldCharType="end"/>
      </w:r>
      <w:r w:rsidR="0026375A" w:rsidRPr="00994516">
        <w:tab/>
      </w:r>
      <w:r w:rsidR="0026375A" w:rsidRPr="00994516">
        <w:rPr>
          <w:rFonts w:eastAsia="MS Mincho"/>
        </w:rPr>
        <w:t>Lors de leurs</w:t>
      </w:r>
      <w:r w:rsidR="0026375A" w:rsidRPr="00994516">
        <w:rPr>
          <w:rFonts w:eastAsiaTheme="minorEastAsia"/>
        </w:rPr>
        <w:t xml:space="preserve"> sessions respectives en 2024, l</w:t>
      </w:r>
      <w:r w:rsidR="0026375A" w:rsidRPr="00994516">
        <w:t>es TWP ont étudié une proposition de modification du document TGP/7, note indicative GN 28 “Variétés indiquées à titre d’exemples”, concernant les situations dans lesquelles des illustrations pourraient remplacer les exemples de variétés, et leur rôle complémentaire pour préciser les niveaux d’expression d’un caractère</w:t>
      </w:r>
      <w:r w:rsidR="0026375A" w:rsidRPr="00994516">
        <w:rPr>
          <w:iCs/>
        </w:rPr>
        <w:t>.  Le rapport sur les commentaires des TWP, lors de leurs sessions respectives en 2024, est fourni à l’a</w:t>
      </w:r>
      <w:r w:rsidR="0026375A" w:rsidRPr="00994516">
        <w:t xml:space="preserve">nnexe IV du présent document, paragraphes 15 à 25. </w:t>
      </w:r>
    </w:p>
    <w:p w14:paraId="1DF2E4B0" w14:textId="77777777" w:rsidR="0026375A" w:rsidRPr="00994516" w:rsidRDefault="0026375A" w:rsidP="0026375A">
      <w:pPr>
        <w:rPr>
          <w:spacing w:val="-2"/>
        </w:rPr>
      </w:pPr>
    </w:p>
    <w:p w14:paraId="0A3BFB93" w14:textId="4CC6C16E"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r>
      <w:r w:rsidR="0026375A" w:rsidRPr="00994516">
        <w:rPr>
          <w:rFonts w:eastAsia="MS Mincho"/>
        </w:rPr>
        <w:t>L</w:t>
      </w:r>
      <w:r w:rsidR="0026375A" w:rsidRPr="00994516">
        <w:t>e TC est invité à prendre note :</w:t>
      </w:r>
    </w:p>
    <w:p w14:paraId="3A2EDC64" w14:textId="77777777" w:rsidR="0026375A" w:rsidRPr="00994516" w:rsidRDefault="0026375A" w:rsidP="006466EC">
      <w:pPr>
        <w:pStyle w:val="DecisionParagraphs"/>
      </w:pPr>
    </w:p>
    <w:p w14:paraId="32C9C5B1" w14:textId="778406D4" w:rsidR="0026375A" w:rsidRPr="00994516" w:rsidRDefault="006466EC" w:rsidP="006466EC">
      <w:pPr>
        <w:pStyle w:val="DecisionParagraphs"/>
        <w:tabs>
          <w:tab w:val="left" w:pos="5954"/>
        </w:tabs>
      </w:pPr>
      <w:r w:rsidRPr="00994516">
        <w:tab/>
        <w:t>a)</w:t>
      </w:r>
      <w:r w:rsidRPr="00994516">
        <w:tab/>
      </w:r>
      <w:r w:rsidR="0026375A" w:rsidRPr="00994516">
        <w:t>des discussions relatives à une proposition de modification du document TGP/7, note indicative GN 28 “Variétés indiquées à titre d’exemples”, concernant les situations dans lesquelles des illustrations pourraient remplacer les exemples de variétés, comme indiqué à l’annexe IV du présent document, paragraphes 15 à 25; et</w:t>
      </w:r>
    </w:p>
    <w:p w14:paraId="01B1D738" w14:textId="77777777" w:rsidR="0026375A" w:rsidRPr="00994516" w:rsidRDefault="0026375A" w:rsidP="006466EC">
      <w:pPr>
        <w:pStyle w:val="DecisionParagraphs"/>
      </w:pPr>
    </w:p>
    <w:p w14:paraId="1E9A3080" w14:textId="3EDBAB2E" w:rsidR="0026375A" w:rsidRPr="00994516" w:rsidRDefault="006466EC" w:rsidP="006466EC">
      <w:pPr>
        <w:pStyle w:val="DecisionParagraphs"/>
        <w:tabs>
          <w:tab w:val="left" w:pos="5954"/>
        </w:tabs>
      </w:pPr>
      <w:r w:rsidRPr="00994516">
        <w:tab/>
        <w:t>b)</w:t>
      </w:r>
      <w:r w:rsidRPr="00994516">
        <w:tab/>
      </w:r>
      <w:r w:rsidR="0026375A" w:rsidRPr="00994516">
        <w:t>des explications supplémentaires demandées à l’expert de l’Allemagne sur les critères de décision pour les situations dans lesquelles des illustrations pourraient remplacer les exemples de variétés.</w:t>
      </w:r>
    </w:p>
    <w:p w14:paraId="1C4357FA" w14:textId="77777777" w:rsidR="0026375A" w:rsidRPr="00994516" w:rsidRDefault="0026375A" w:rsidP="0026375A"/>
    <w:p w14:paraId="5E92C226" w14:textId="77777777" w:rsidR="0026375A" w:rsidRPr="00994516" w:rsidRDefault="0026375A" w:rsidP="00234882">
      <w:pPr>
        <w:pStyle w:val="Heading2"/>
        <w:rPr>
          <w:lang w:val="fr-FR"/>
        </w:rPr>
      </w:pPr>
      <w:bookmarkStart w:id="110" w:name="Accès"/>
      <w:bookmarkStart w:id="111" w:name="_Toc176335747"/>
      <w:bookmarkStart w:id="112" w:name="_Toc177113773"/>
      <w:bookmarkStart w:id="113" w:name="_Toc177401399"/>
      <w:r w:rsidRPr="00994516">
        <w:rPr>
          <w:lang w:val="fr-FR"/>
        </w:rPr>
        <w:t>Accès</w:t>
      </w:r>
      <w:bookmarkEnd w:id="110"/>
      <w:r w:rsidRPr="00994516">
        <w:rPr>
          <w:lang w:val="fr-FR"/>
        </w:rPr>
        <w:t xml:space="preserve"> au matériel végétal aux fins de la gestion des collections de variétés et de l’examen DHS</w:t>
      </w:r>
      <w:bookmarkEnd w:id="111"/>
      <w:bookmarkEnd w:id="112"/>
      <w:bookmarkEnd w:id="113"/>
    </w:p>
    <w:p w14:paraId="3F2F0BB7" w14:textId="77777777" w:rsidR="0026375A" w:rsidRPr="00994516" w:rsidRDefault="0026375A" w:rsidP="0026375A">
      <w:pPr>
        <w:keepNext/>
      </w:pPr>
    </w:p>
    <w:p w14:paraId="0AE13224" w14:textId="55B394D9" w:rsidR="0026375A" w:rsidRPr="00994516" w:rsidRDefault="006466EC" w:rsidP="0026375A">
      <w:r w:rsidRPr="00994516">
        <w:fldChar w:fldCharType="begin"/>
      </w:r>
      <w:r w:rsidRPr="00994516">
        <w:instrText xml:space="preserve"> AUTONUM  </w:instrText>
      </w:r>
      <w:r w:rsidRPr="00994516">
        <w:fldChar w:fldCharType="end"/>
      </w:r>
      <w:r w:rsidR="0026375A" w:rsidRPr="00994516">
        <w:rPr>
          <w:rFonts w:eastAsia="MS Mincho"/>
        </w:rPr>
        <w:tab/>
      </w:r>
      <w:r w:rsidR="0026375A" w:rsidRPr="00994516">
        <w:t>Les informations générales sur cette question sont indiquées à l’a</w:t>
      </w:r>
      <w:r w:rsidR="0026375A" w:rsidRPr="00994516">
        <w:rPr>
          <w:rFonts w:eastAsia="MS Mincho"/>
        </w:rPr>
        <w:t>nnexe V du présent document.</w:t>
      </w:r>
    </w:p>
    <w:p w14:paraId="7C4D4D91" w14:textId="77777777" w:rsidR="0026375A" w:rsidRPr="00994516" w:rsidRDefault="0026375A" w:rsidP="0026375A"/>
    <w:p w14:paraId="3CA5A03F" w14:textId="00CD72AD" w:rsidR="0026375A" w:rsidRPr="00994516" w:rsidRDefault="006466EC" w:rsidP="0026375A">
      <w:r w:rsidRPr="00994516">
        <w:fldChar w:fldCharType="begin"/>
      </w:r>
      <w:r w:rsidRPr="00994516">
        <w:instrText xml:space="preserve"> AUTONUM  </w:instrText>
      </w:r>
      <w:r w:rsidRPr="00994516">
        <w:fldChar w:fldCharType="end"/>
      </w:r>
      <w:r w:rsidR="0026375A" w:rsidRPr="00994516">
        <w:tab/>
      </w:r>
      <w:r w:rsidR="0026375A" w:rsidRPr="00994516">
        <w:rPr>
          <w:rFonts w:eastAsia="MS Mincho"/>
        </w:rPr>
        <w:t>Lors de leurs</w:t>
      </w:r>
      <w:r w:rsidR="0026375A" w:rsidRPr="00994516">
        <w:rPr>
          <w:rFonts w:eastAsiaTheme="minorEastAsia"/>
        </w:rPr>
        <w:t xml:space="preserve"> sessions respectives en 2024, l</w:t>
      </w:r>
      <w:r w:rsidR="0026375A" w:rsidRPr="00994516">
        <w:t>es TWP ont examiné les é</w:t>
      </w:r>
      <w:r w:rsidR="0026375A" w:rsidRPr="00994516">
        <w:rPr>
          <w:rFonts w:eastAsia="Cambria"/>
        </w:rPr>
        <w:t xml:space="preserve">léments à incorporer </w:t>
      </w:r>
      <w:r w:rsidR="0026375A" w:rsidRPr="00994516">
        <w:rPr>
          <w:rFonts w:eastAsia="Cambria"/>
          <w:spacing w:val="-6"/>
        </w:rPr>
        <w:t xml:space="preserve">dans les demandes de soumission de </w:t>
      </w:r>
      <w:r w:rsidR="0026375A" w:rsidRPr="00994516">
        <w:rPr>
          <w:rFonts w:eastAsia="Cambria"/>
          <w:spacing w:val="-4"/>
        </w:rPr>
        <w:t>matériel végétal de variétés candidates et de variétés notoirement connues aux fins de l’examen DHS</w:t>
      </w:r>
      <w:r w:rsidR="0026375A" w:rsidRPr="00994516">
        <w:t xml:space="preserve">, comme indiqué à l’annexe V du présent document, paragraphes 4 à 11. </w:t>
      </w:r>
    </w:p>
    <w:p w14:paraId="3901725F" w14:textId="77777777" w:rsidR="0026375A" w:rsidRPr="00994516" w:rsidRDefault="0026375A" w:rsidP="0026375A">
      <w:pPr>
        <w:rPr>
          <w:spacing w:val="-2"/>
        </w:rPr>
      </w:pPr>
    </w:p>
    <w:p w14:paraId="04C31631" w14:textId="12C10827" w:rsidR="0026375A" w:rsidRPr="00994516" w:rsidRDefault="006466EC" w:rsidP="006466EC">
      <w:pPr>
        <w:pStyle w:val="DecisionParagraphs"/>
      </w:pPr>
      <w:r w:rsidRPr="00994516">
        <w:fldChar w:fldCharType="begin"/>
      </w:r>
      <w:r w:rsidRPr="00994516">
        <w:instrText xml:space="preserve"> AUTONUM  </w:instrText>
      </w:r>
      <w:r w:rsidRPr="00994516">
        <w:fldChar w:fldCharType="end"/>
      </w:r>
      <w:r w:rsidR="0026375A" w:rsidRPr="00994516">
        <w:tab/>
      </w:r>
      <w:r w:rsidR="0026375A" w:rsidRPr="00994516">
        <w:rPr>
          <w:rFonts w:eastAsia="MS Mincho"/>
        </w:rPr>
        <w:t>L</w:t>
      </w:r>
      <w:r w:rsidR="0026375A" w:rsidRPr="00994516">
        <w:t>e TC est invité à prendre note des discussions sur les é</w:t>
      </w:r>
      <w:r w:rsidR="0026375A" w:rsidRPr="00994516">
        <w:rPr>
          <w:rFonts w:eastAsia="Cambria"/>
        </w:rPr>
        <w:t xml:space="preserve">léments à incorporer </w:t>
      </w:r>
      <w:r w:rsidR="0026375A" w:rsidRPr="00994516">
        <w:rPr>
          <w:rFonts w:eastAsia="Cambria"/>
          <w:spacing w:val="-6"/>
        </w:rPr>
        <w:t xml:space="preserve">dans les demandes de soumission de </w:t>
      </w:r>
      <w:r w:rsidR="0026375A" w:rsidRPr="00994516">
        <w:rPr>
          <w:rFonts w:eastAsia="Cambria"/>
          <w:spacing w:val="-4"/>
        </w:rPr>
        <w:t>matériel végétal de variétés candidates et de variétés notoirement connues aux fins de l’examen DHS</w:t>
      </w:r>
      <w:r w:rsidR="0026375A" w:rsidRPr="00994516">
        <w:t>, comme indiqué à l’annexe V, paragraphes 4 à 11.</w:t>
      </w:r>
    </w:p>
    <w:p w14:paraId="4B3703A8" w14:textId="77777777" w:rsidR="0026375A" w:rsidRPr="00994516" w:rsidRDefault="0026375A" w:rsidP="00F9036A">
      <w:pPr>
        <w:spacing w:before="720"/>
        <w:ind w:left="5533"/>
        <w:jc w:val="right"/>
      </w:pPr>
      <w:r w:rsidRPr="00994516">
        <w:t>[Les annexes suivent]</w:t>
      </w:r>
    </w:p>
    <w:p w14:paraId="1894242B" w14:textId="77777777" w:rsidR="0026375A" w:rsidRPr="00994516" w:rsidRDefault="0026375A" w:rsidP="0026375A">
      <w:pPr>
        <w:jc w:val="left"/>
        <w:sectPr w:rsidR="0026375A" w:rsidRPr="00994516" w:rsidSect="00A35B56">
          <w:headerReference w:type="default" r:id="rId11"/>
          <w:pgSz w:w="11907" w:h="16840" w:code="9"/>
          <w:pgMar w:top="510" w:right="1134" w:bottom="709" w:left="1134" w:header="510" w:footer="680" w:gutter="0"/>
          <w:pgNumType w:start="1"/>
          <w:cols w:space="720"/>
          <w:titlePg/>
        </w:sectPr>
      </w:pPr>
    </w:p>
    <w:p w14:paraId="063C3AD3" w14:textId="569E7F35" w:rsidR="0026375A" w:rsidRPr="00994516" w:rsidRDefault="0026375A" w:rsidP="0026375A">
      <w:pPr>
        <w:jc w:val="center"/>
      </w:pPr>
      <w:bookmarkStart w:id="114" w:name="ANNEXEI"/>
      <w:r w:rsidRPr="00994516">
        <w:lastRenderedPageBreak/>
        <w:t>ANNEX</w:t>
      </w:r>
      <w:r w:rsidR="004A0198" w:rsidRPr="00994516">
        <w:t>E </w:t>
      </w:r>
      <w:r w:rsidRPr="00994516">
        <w:t>I</w:t>
      </w:r>
    </w:p>
    <w:bookmarkEnd w:id="114"/>
    <w:p w14:paraId="4FA962C7" w14:textId="77777777" w:rsidR="0026375A" w:rsidRPr="00994516" w:rsidRDefault="0026375A" w:rsidP="0026375A"/>
    <w:p w14:paraId="128B5499" w14:textId="21762FF1" w:rsidR="0026375A" w:rsidRPr="00994516" w:rsidRDefault="00152BA0" w:rsidP="0026375A">
      <w:pPr>
        <w:jc w:val="center"/>
        <w:rPr>
          <w:caps/>
        </w:rPr>
      </w:pPr>
      <w:r>
        <w:t xml:space="preserve">RÉVISION DU </w:t>
      </w:r>
      <w:r w:rsidR="0026375A" w:rsidRPr="00994516">
        <w:t>DOCUMENT UPOV/EXN/DEN</w:t>
      </w:r>
      <w:r>
        <w:t>/3 “</w:t>
      </w:r>
      <w:r w:rsidR="0026375A" w:rsidRPr="00994516">
        <w:rPr>
          <w:rFonts w:eastAsiaTheme="minorEastAsia" w:cs="Arial"/>
          <w:caps/>
        </w:rPr>
        <w:t>Notes explicatives sur les dénominations variétales en vertu de la Convention UPOV</w:t>
      </w:r>
      <w:r w:rsidR="00A656EE">
        <w:rPr>
          <w:rFonts w:eastAsiaTheme="minorEastAsia" w:cs="Arial"/>
          <w:caps/>
        </w:rPr>
        <w:t>”</w:t>
      </w:r>
      <w:r w:rsidR="0026375A" w:rsidRPr="00994516">
        <w:rPr>
          <w:rFonts w:eastAsiaTheme="minorEastAsia" w:cs="Arial"/>
          <w:caps/>
        </w:rPr>
        <w:t xml:space="preserve"> (</w:t>
      </w:r>
      <w:r>
        <w:rPr>
          <w:rFonts w:eastAsiaTheme="minorEastAsia" w:cs="Arial"/>
          <w:caps/>
        </w:rPr>
        <w:t>document UPOV/EXN/DEN/4)</w:t>
      </w:r>
    </w:p>
    <w:p w14:paraId="06393000" w14:textId="77777777" w:rsidR="0026375A" w:rsidRPr="00994516" w:rsidRDefault="0026375A" w:rsidP="0026375A">
      <w:pPr>
        <w:jc w:val="left"/>
      </w:pPr>
    </w:p>
    <w:p w14:paraId="5AF32F3D" w14:textId="77777777" w:rsidR="0026375A" w:rsidRPr="00994516" w:rsidRDefault="0026375A" w:rsidP="0026375A">
      <w:pPr>
        <w:jc w:val="center"/>
        <w:rPr>
          <w:u w:val="single"/>
        </w:rPr>
      </w:pPr>
      <w:r w:rsidRPr="00994516">
        <w:rPr>
          <w:u w:val="single"/>
        </w:rPr>
        <w:t xml:space="preserve">Nouvelles classes de dénominations variétales pour </w:t>
      </w:r>
      <w:r w:rsidRPr="00994516">
        <w:rPr>
          <w:i/>
          <w:iCs/>
          <w:u w:val="single"/>
        </w:rPr>
        <w:t>Prunus</w:t>
      </w:r>
      <w:r w:rsidRPr="00994516">
        <w:rPr>
          <w:u w:val="single"/>
        </w:rPr>
        <w:t xml:space="preserve"> et situations nécessitant </w:t>
      </w:r>
    </w:p>
    <w:p w14:paraId="3E681CB0" w14:textId="77777777" w:rsidR="0026375A" w:rsidRPr="00994516" w:rsidRDefault="0026375A" w:rsidP="0026375A">
      <w:pPr>
        <w:jc w:val="center"/>
        <w:rPr>
          <w:u w:val="single"/>
        </w:rPr>
      </w:pPr>
      <w:r w:rsidRPr="00994516">
        <w:rPr>
          <w:u w:val="single"/>
        </w:rPr>
        <w:t>la comparaison d’une dénomination avec d’autres classes au sein d’un genre</w:t>
      </w:r>
    </w:p>
    <w:p w14:paraId="3B216A7F" w14:textId="77777777" w:rsidR="0026375A" w:rsidRPr="00994516" w:rsidRDefault="0026375A" w:rsidP="0026375A">
      <w:pPr>
        <w:rPr>
          <w:iCs/>
        </w:rPr>
      </w:pPr>
    </w:p>
    <w:p w14:paraId="0BFF6CD2" w14:textId="77777777" w:rsidR="0026375A" w:rsidRPr="00994516" w:rsidRDefault="0026375A" w:rsidP="0026375A">
      <w:pPr>
        <w:rPr>
          <w:i/>
        </w:rPr>
      </w:pPr>
      <w:r w:rsidRPr="00994516">
        <w:rPr>
          <w:i/>
        </w:rPr>
        <w:t>Rappel</w:t>
      </w:r>
    </w:p>
    <w:p w14:paraId="60FE703B" w14:textId="77777777" w:rsidR="0026375A" w:rsidRPr="00994516" w:rsidRDefault="0026375A" w:rsidP="0026375A">
      <w:pPr>
        <w:rPr>
          <w:i/>
        </w:rPr>
      </w:pPr>
    </w:p>
    <w:p w14:paraId="1C246D43" w14:textId="77777777" w:rsidR="0026375A" w:rsidRPr="00994516" w:rsidRDefault="0026375A" w:rsidP="0026375A">
      <w:r w:rsidRPr="00994516">
        <w:fldChar w:fldCharType="begin"/>
      </w:r>
      <w:r w:rsidRPr="00994516">
        <w:instrText xml:space="preserve"> LISTNUM  LegalDefault \l 1 \s 1 </w:instrText>
      </w:r>
      <w:r w:rsidRPr="00994516">
        <w:fldChar w:fldCharType="end"/>
      </w:r>
      <w:r w:rsidRPr="00994516">
        <w:tab/>
        <w:t xml:space="preserve">Le genre </w:t>
      </w:r>
      <w:r w:rsidRPr="00994516">
        <w:rPr>
          <w:i/>
        </w:rPr>
        <w:t>Prunus</w:t>
      </w:r>
      <w:r w:rsidRPr="00994516">
        <w:t xml:space="preserve"> suit actuellement la règle générale (un genre/une classe)</w:t>
      </w:r>
      <w:r w:rsidRPr="00994516">
        <w:rPr>
          <w:sz w:val="18"/>
          <w:vertAlign w:val="superscript"/>
        </w:rPr>
        <w:footnoteReference w:id="6"/>
      </w:r>
      <w:r w:rsidRPr="00994516">
        <w:t>.</w:t>
      </w:r>
    </w:p>
    <w:p w14:paraId="3C807769" w14:textId="77777777" w:rsidR="0026375A" w:rsidRPr="00994516" w:rsidRDefault="0026375A" w:rsidP="0026375A"/>
    <w:p w14:paraId="2771C958" w14:textId="0ED6161D"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r>
      <w:r w:rsidRPr="00994516">
        <w:rPr>
          <w:rFonts w:eastAsia="MS Mincho"/>
        </w:rPr>
        <w:t>À</w:t>
      </w:r>
      <w:r w:rsidRPr="00994516">
        <w:rPr>
          <w:rFonts w:eastAsiaTheme="minorEastAsia"/>
        </w:rPr>
        <w:t xml:space="preserve"> sa session de 202</w:t>
      </w:r>
      <w:r w:rsidR="00250540">
        <w:rPr>
          <w:rFonts w:eastAsiaTheme="minorEastAsia"/>
        </w:rPr>
        <w:t>3</w:t>
      </w:r>
      <w:r w:rsidRPr="00994516">
        <w:t xml:space="preserve">, le TC a examiné la création de nouvelles classes de dénominations variétales au sein du genre </w:t>
      </w:r>
      <w:r w:rsidRPr="00994516">
        <w:rPr>
          <w:i/>
          <w:iCs/>
        </w:rPr>
        <w:t>Prunus</w:t>
      </w:r>
      <w:r w:rsidRPr="00994516">
        <w:t xml:space="preserve">.  Le TC a étudié l’explication proposée selon laquelle “les dénominations d’hybrides interspécifiques doivent être différentes des dénominations figurant dans les classes de toutes les espèces parentales” et </w:t>
      </w:r>
      <w:r w:rsidR="001C2590">
        <w:t>est convenu</w:t>
      </w:r>
      <w:r w:rsidRPr="00994516">
        <w:t xml:space="preserve"> que la situation était applicable à tous les genres figurant dans la liste des classes au sein d’un genre, et pas seulement à </w:t>
      </w:r>
      <w:r w:rsidRPr="00994516">
        <w:rPr>
          <w:i/>
          <w:iCs/>
        </w:rPr>
        <w:t>Prunus</w:t>
      </w:r>
      <w:r w:rsidRPr="00994516">
        <w:t>.  Le TC est convenu d’inviter les TWP, lors de leurs sessions de 2024, à examiner d’autres situations dans lesquelles une dénomination devrait être comparée à des dénominations d’autres classes au sein d’un genre ou du genre tout entier (voir le document TC/59/28 “Compte rendu”, paragraphes 23 à 25).</w:t>
      </w:r>
    </w:p>
    <w:p w14:paraId="5345F269" w14:textId="77777777" w:rsidR="0026375A" w:rsidRPr="00994516" w:rsidRDefault="0026375A" w:rsidP="0026375A"/>
    <w:p w14:paraId="3D717DE3" w14:textId="77777777" w:rsidR="0026375A" w:rsidRPr="00994516" w:rsidRDefault="0026375A" w:rsidP="0026375A">
      <w:pPr>
        <w:rPr>
          <w:i/>
        </w:rPr>
      </w:pPr>
      <w:r w:rsidRPr="00994516">
        <w:rPr>
          <w:i/>
        </w:rPr>
        <w:t>Discussions par les TWP en 2024</w:t>
      </w:r>
    </w:p>
    <w:p w14:paraId="45F73BD7" w14:textId="77777777" w:rsidR="0026375A" w:rsidRPr="00994516" w:rsidRDefault="0026375A" w:rsidP="0026375A"/>
    <w:p w14:paraId="38BF80CC" w14:textId="7AC2B492"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MS Mincho"/>
        </w:rPr>
        <w:t>Lors de leurs</w:t>
      </w:r>
      <w:r w:rsidRPr="00994516">
        <w:rPr>
          <w:rFonts w:eastAsiaTheme="minorEastAsia"/>
        </w:rPr>
        <w:t xml:space="preserve"> sessions respectives en 2024, le TWV, le TWO, le TWA et le TWF sont convenus que la situation décrite pour </w:t>
      </w:r>
      <w:r w:rsidRPr="00994516">
        <w:rPr>
          <w:rFonts w:eastAsiaTheme="minorEastAsia"/>
          <w:i/>
          <w:iCs/>
        </w:rPr>
        <w:t>Prunus</w:t>
      </w:r>
      <w:r w:rsidRPr="00994516">
        <w:rPr>
          <w:rFonts w:eastAsiaTheme="minorEastAsia"/>
        </w:rPr>
        <w:t xml:space="preserve"> était applicable aux dénominations figurant dans les autres classes au sein d’un genre, à savoir, que les dénominations </w:t>
      </w:r>
      <w:r w:rsidRPr="00994516">
        <w:t>d’hybrides interspécifiques doivent être différentes des dénominations figurant dans les classes de toutes les espèces parentales</w:t>
      </w:r>
      <w:r w:rsidRPr="00994516">
        <w:rPr>
          <w:rFonts w:eastAsiaTheme="minorEastAsia"/>
        </w:rPr>
        <w:t xml:space="preserve">; et que les dénominations de variétés de l’une des “classes au sein d’un genre” doivent être différentes des dénominations d’hybrides interspécifiques comptant une espèce parentale dans cette classe (voir les documents TWV/58/11 </w:t>
      </w:r>
      <w:r w:rsidR="00250540">
        <w:rPr>
          <w:rFonts w:eastAsiaTheme="minorEastAsia"/>
        </w:rPr>
        <w:t>“Report</w:t>
      </w:r>
      <w:r w:rsidRPr="00994516">
        <w:rPr>
          <w:rFonts w:eastAsiaTheme="minorEastAsia"/>
        </w:rPr>
        <w:t xml:space="preserve">”, paragraphes 6 et 7; TWO/56/9 </w:t>
      </w:r>
      <w:r w:rsidR="00250540">
        <w:rPr>
          <w:rFonts w:eastAsiaTheme="minorEastAsia"/>
        </w:rPr>
        <w:t>“Report</w:t>
      </w:r>
      <w:r w:rsidRPr="00994516">
        <w:rPr>
          <w:rFonts w:eastAsiaTheme="minorEastAsia"/>
        </w:rPr>
        <w:t xml:space="preserve">”, paragraphes 6 à 9; TWA/53/9 </w:t>
      </w:r>
      <w:r w:rsidR="00250540">
        <w:rPr>
          <w:rFonts w:eastAsiaTheme="minorEastAsia"/>
        </w:rPr>
        <w:t>“Report</w:t>
      </w:r>
      <w:r w:rsidRPr="00994516">
        <w:rPr>
          <w:rFonts w:eastAsiaTheme="minorEastAsia"/>
        </w:rPr>
        <w:t xml:space="preserve">”, paragraphes 6 à 8 et TWF/55/9 </w:t>
      </w:r>
      <w:r w:rsidR="00250540">
        <w:rPr>
          <w:rFonts w:eastAsiaTheme="minorEastAsia"/>
        </w:rPr>
        <w:t>“Report</w:t>
      </w:r>
      <w:r w:rsidRPr="00994516">
        <w:rPr>
          <w:rFonts w:eastAsiaTheme="minorEastAsia"/>
        </w:rPr>
        <w:t xml:space="preserve">”, paragraphes 6 à 10). </w:t>
      </w:r>
    </w:p>
    <w:p w14:paraId="25BCD5D9" w14:textId="77777777" w:rsidR="0026375A" w:rsidRPr="00994516" w:rsidRDefault="0026375A" w:rsidP="0026375A"/>
    <w:p w14:paraId="5864A119" w14:textId="15CF0D1A"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 xml:space="preserve">Le TWO a pris note du fait que les demandes pour des variétés ornementales </w:t>
      </w:r>
      <w:proofErr w:type="gramStart"/>
      <w:r w:rsidRPr="00994516">
        <w:t>donnaient</w:t>
      </w:r>
      <w:proofErr w:type="gramEnd"/>
      <w:r w:rsidRPr="00994516">
        <w:t xml:space="preserve"> souvent des informations sur le genre seulement, et </w:t>
      </w:r>
      <w:r w:rsidR="001C2590">
        <w:t>est convenu</w:t>
      </w:r>
      <w:r w:rsidRPr="00994516">
        <w:t xml:space="preserve"> que, dans ce cas, les dénominations variétales peuvent être différentes d’autres dénominations au sein dudit genre.  Le </w:t>
      </w:r>
      <w:r w:rsidRPr="00994516">
        <w:rPr>
          <w:rFonts w:eastAsiaTheme="minorEastAsia"/>
        </w:rPr>
        <w:t xml:space="preserve">TWA et le TWF sont convenus que les demandes dans lesquelles figurent des informations sur le genre seulement et sur celui </w:t>
      </w:r>
      <w:r w:rsidRPr="00994516">
        <w:t>inclus dans la liste des “classes au sein d’un genre” doivent être</w:t>
      </w:r>
      <w:r w:rsidRPr="00994516">
        <w:rPr>
          <w:rFonts w:eastAsiaTheme="minorEastAsia"/>
        </w:rPr>
        <w:t xml:space="preserve"> différentes des autres dénominations au sein dudit genre.</w:t>
      </w:r>
    </w:p>
    <w:p w14:paraId="27852FEC" w14:textId="77777777" w:rsidR="0026375A" w:rsidRPr="00994516" w:rsidRDefault="0026375A" w:rsidP="0026375A"/>
    <w:p w14:paraId="3B8C4388"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TWO a rappelé que les principes directeurs UPOV sur les dénominations variétales suivent la règle générale “un genre/une classe”.  Le TWO est convenu d’inviter les Pays-Bas (Royaume des) à informer la commission de l’IUBS en charge du Code international de nomenclature des plantes cultivées (CINCP) des exceptions introduites dans la règle générale aux fins de la protection des variétés végétales.</w:t>
      </w:r>
    </w:p>
    <w:p w14:paraId="0F07873C" w14:textId="77777777" w:rsidR="0026375A" w:rsidRPr="00994516" w:rsidRDefault="0026375A" w:rsidP="0026375A"/>
    <w:p w14:paraId="2EDBBF92" w14:textId="17646BBA" w:rsidR="0026375A" w:rsidRPr="00994516" w:rsidRDefault="0026375A" w:rsidP="0026375A">
      <w:pPr>
        <w:rPr>
          <w:rFonts w:cs="Arial"/>
          <w:color w:val="000000"/>
        </w:rPr>
      </w:pPr>
      <w:r w:rsidRPr="00994516">
        <w:fldChar w:fldCharType="begin"/>
      </w:r>
      <w:r w:rsidRPr="00994516">
        <w:instrText xml:space="preserve"> LISTNUM  LegalDefault \l 1 </w:instrText>
      </w:r>
      <w:r w:rsidRPr="00994516">
        <w:fldChar w:fldCharType="end"/>
      </w:r>
      <w:r w:rsidRPr="00994516">
        <w:tab/>
        <w:t xml:space="preserve">Le TWF a pris note de l’existence d’autres espèces considérées comme des pruniers et </w:t>
      </w:r>
      <w:r w:rsidR="001C2590">
        <w:t>est convenu</w:t>
      </w:r>
      <w:r w:rsidRPr="00994516">
        <w:t xml:space="preserve"> de l’incorporation de </w:t>
      </w:r>
      <w:r w:rsidRPr="00994516">
        <w:rPr>
          <w:rFonts w:cs="Arial"/>
          <w:i/>
          <w:iCs/>
          <w:color w:val="000000"/>
        </w:rPr>
        <w:t xml:space="preserve">Prunus </w:t>
      </w:r>
      <w:proofErr w:type="spellStart"/>
      <w:r w:rsidRPr="00994516">
        <w:rPr>
          <w:rFonts w:cs="Arial"/>
          <w:i/>
          <w:iCs/>
          <w:color w:val="000000"/>
        </w:rPr>
        <w:t>cerasifera</w:t>
      </w:r>
      <w:proofErr w:type="spellEnd"/>
      <w:r w:rsidRPr="00994516">
        <w:rPr>
          <w:rFonts w:cs="Arial"/>
          <w:i/>
          <w:iCs/>
          <w:color w:val="000000"/>
        </w:rPr>
        <w:t xml:space="preserve">, P. </w:t>
      </w:r>
      <w:proofErr w:type="spellStart"/>
      <w:r w:rsidRPr="00994516">
        <w:rPr>
          <w:rFonts w:cs="Arial"/>
          <w:i/>
          <w:iCs/>
          <w:color w:val="000000"/>
        </w:rPr>
        <w:t>insititia</w:t>
      </w:r>
      <w:proofErr w:type="spellEnd"/>
      <w:r w:rsidRPr="00994516">
        <w:rPr>
          <w:rFonts w:cs="Arial"/>
          <w:i/>
          <w:iCs/>
          <w:color w:val="000000"/>
        </w:rPr>
        <w:t xml:space="preserve">, P. </w:t>
      </w:r>
      <w:proofErr w:type="spellStart"/>
      <w:r w:rsidRPr="00994516">
        <w:rPr>
          <w:rFonts w:cs="Arial"/>
          <w:i/>
          <w:iCs/>
          <w:color w:val="000000"/>
        </w:rPr>
        <w:t>maritima</w:t>
      </w:r>
      <w:proofErr w:type="spellEnd"/>
      <w:r w:rsidRPr="00994516">
        <w:rPr>
          <w:rFonts w:cs="Arial"/>
          <w:i/>
          <w:iCs/>
          <w:color w:val="000000"/>
        </w:rPr>
        <w:t xml:space="preserve"> </w:t>
      </w:r>
      <w:r w:rsidRPr="00994516">
        <w:rPr>
          <w:rFonts w:cs="Arial"/>
          <w:color w:val="000000"/>
        </w:rPr>
        <w:t>et</w:t>
      </w:r>
      <w:r w:rsidRPr="00994516">
        <w:rPr>
          <w:rFonts w:cs="Arial"/>
          <w:i/>
          <w:iCs/>
          <w:color w:val="000000"/>
        </w:rPr>
        <w:t xml:space="preserve"> P. </w:t>
      </w:r>
      <w:proofErr w:type="spellStart"/>
      <w:r w:rsidRPr="00994516">
        <w:rPr>
          <w:rFonts w:cs="Arial"/>
          <w:i/>
          <w:iCs/>
          <w:color w:val="000000"/>
        </w:rPr>
        <w:t>subcordata</w:t>
      </w:r>
      <w:proofErr w:type="spellEnd"/>
      <w:r w:rsidRPr="00994516">
        <w:rPr>
          <w:rFonts w:cs="Arial"/>
          <w:i/>
          <w:iCs/>
          <w:color w:val="000000"/>
        </w:rPr>
        <w:t xml:space="preserve"> </w:t>
      </w:r>
      <w:r w:rsidRPr="00994516">
        <w:t>dans la nouvelle classe de dénomination 6.2</w:t>
      </w:r>
      <w:r w:rsidRPr="00994516">
        <w:rPr>
          <w:rFonts w:cs="Arial"/>
          <w:color w:val="000000"/>
        </w:rPr>
        <w:t>.</w:t>
      </w:r>
    </w:p>
    <w:p w14:paraId="3F511569" w14:textId="77777777" w:rsidR="0026375A" w:rsidRPr="00994516" w:rsidRDefault="0026375A" w:rsidP="0026375A">
      <w:pPr>
        <w:rPr>
          <w:rFonts w:cs="Arial"/>
          <w:color w:val="000000"/>
        </w:rPr>
      </w:pPr>
    </w:p>
    <w:p w14:paraId="24AF4107" w14:textId="55359F5E"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w:t>
      </w:r>
      <w:r w:rsidR="001C2590">
        <w:t>est convenu</w:t>
      </w:r>
      <w:r w:rsidRPr="00994516">
        <w:t xml:space="preserve"> que les codes </w:t>
      </w:r>
      <w:r w:rsidRPr="00994516">
        <w:rPr>
          <w:rFonts w:cs="Arial"/>
          <w:color w:val="000000"/>
        </w:rPr>
        <w:t xml:space="preserve">UPOV pour des hybrides interspécifiques de </w:t>
      </w:r>
      <w:r w:rsidRPr="00994516">
        <w:rPr>
          <w:rFonts w:cs="Arial"/>
          <w:i/>
          <w:iCs/>
          <w:color w:val="000000"/>
        </w:rPr>
        <w:t>Prunus</w:t>
      </w:r>
      <w:r w:rsidRPr="00994516">
        <w:rPr>
          <w:rFonts w:cs="Arial"/>
          <w:color w:val="000000"/>
        </w:rPr>
        <w:t xml:space="preserve"> doivent être indiqués dans la base de données GENIE avec les </w:t>
      </w:r>
      <w:r w:rsidRPr="00994516">
        <w:t>classes de dénominations de toutes les espèces parentales</w:t>
      </w:r>
      <w:r w:rsidRPr="00994516">
        <w:rPr>
          <w:rFonts w:cs="Arial"/>
          <w:color w:val="000000"/>
        </w:rPr>
        <w:t>.</w:t>
      </w:r>
    </w:p>
    <w:p w14:paraId="725E61E3" w14:textId="77777777" w:rsidR="0026375A" w:rsidRPr="00994516" w:rsidRDefault="0026375A" w:rsidP="0026375A"/>
    <w:p w14:paraId="6E68BA27" w14:textId="77777777" w:rsidR="009D16D1" w:rsidRDefault="009D16D1">
      <w:pPr>
        <w:jc w:val="left"/>
        <w:rPr>
          <w:i/>
          <w:iCs/>
        </w:rPr>
      </w:pPr>
      <w:r>
        <w:rPr>
          <w:i/>
          <w:iCs/>
        </w:rPr>
        <w:br w:type="page"/>
      </w:r>
    </w:p>
    <w:p w14:paraId="29DE3215" w14:textId="73F08D46" w:rsidR="0026375A" w:rsidRPr="00994516" w:rsidRDefault="0026375A" w:rsidP="0026375A">
      <w:pPr>
        <w:keepNext/>
        <w:rPr>
          <w:i/>
          <w:iCs/>
        </w:rPr>
      </w:pPr>
      <w:r w:rsidRPr="00994516">
        <w:rPr>
          <w:i/>
          <w:iCs/>
        </w:rPr>
        <w:lastRenderedPageBreak/>
        <w:t xml:space="preserve">Proposition : Nouvelles classes de dénominations variétales pour </w:t>
      </w:r>
      <w:r w:rsidRPr="00994516">
        <w:t>Prunus</w:t>
      </w:r>
    </w:p>
    <w:p w14:paraId="4C3429C4" w14:textId="77777777" w:rsidR="0026375A" w:rsidRPr="00994516" w:rsidRDefault="0026375A" w:rsidP="0026375A">
      <w:pPr>
        <w:keepNext/>
        <w:rPr>
          <w:i/>
          <w:iCs/>
        </w:rPr>
      </w:pPr>
    </w:p>
    <w:p w14:paraId="083331C1" w14:textId="77777777" w:rsidR="0026375A" w:rsidRPr="00994516" w:rsidRDefault="0026375A" w:rsidP="00770F33">
      <w:pPr>
        <w:rPr>
          <w:rFonts w:cs="Maiandra GD"/>
          <w:color w:val="000000"/>
          <w:lang w:eastAsia="nl-NL"/>
        </w:rPr>
      </w:pPr>
      <w:r w:rsidRPr="00994516">
        <w:fldChar w:fldCharType="begin"/>
      </w:r>
      <w:r w:rsidRPr="00994516">
        <w:instrText xml:space="preserve"> LISTNUM  LegalDefault \l 1 </w:instrText>
      </w:r>
      <w:r w:rsidRPr="00994516">
        <w:fldChar w:fldCharType="end"/>
      </w:r>
      <w:r w:rsidRPr="00994516">
        <w:tab/>
        <w:t xml:space="preserve">Sur la base des commentaires des TWP, lors de leurs sessions respectives en 2024, il est proposé de créer les classes de dénominations variétales pour </w:t>
      </w:r>
      <w:r w:rsidRPr="00994516">
        <w:rPr>
          <w:i/>
        </w:rPr>
        <w:t>Prunus</w:t>
      </w:r>
      <w:r w:rsidRPr="00994516">
        <w:rPr>
          <w:iCs/>
        </w:rPr>
        <w:t xml:space="preserve"> ci-après.  La proposition comprend un projet de principe directeur pour les cas où une dénomination doit être comparée à d’autres classes au sein d’un genre, comme suit :</w:t>
      </w:r>
    </w:p>
    <w:p w14:paraId="2F085BA8" w14:textId="77777777" w:rsidR="0026375A" w:rsidRPr="00994516" w:rsidRDefault="0026375A" w:rsidP="0026375A">
      <w:pPr>
        <w:rPr>
          <w:rFonts w:eastAsia="MS Mincho"/>
        </w:rPr>
      </w:pPr>
    </w:p>
    <w:p w14:paraId="6EB10BC1" w14:textId="77777777" w:rsidR="0026375A" w:rsidRPr="00994516" w:rsidRDefault="0026375A" w:rsidP="0026375A">
      <w:pPr>
        <w:keepNext/>
        <w:jc w:val="center"/>
        <w:rPr>
          <w:rFonts w:eastAsia="MS Mincho"/>
        </w:rPr>
      </w:pPr>
      <w:r w:rsidRPr="00994516">
        <w:rPr>
          <w:rFonts w:eastAsia="MS Mincho"/>
        </w:rPr>
        <w:t>LISTE DES CLASSES</w:t>
      </w:r>
    </w:p>
    <w:p w14:paraId="191CCF25" w14:textId="77777777" w:rsidR="0026375A" w:rsidRPr="00994516" w:rsidRDefault="0026375A" w:rsidP="0026375A">
      <w:pPr>
        <w:keepNext/>
        <w:rPr>
          <w:rFonts w:eastAsia="MS Mincho"/>
        </w:rPr>
      </w:pPr>
    </w:p>
    <w:p w14:paraId="014384CE" w14:textId="77777777" w:rsidR="0026375A" w:rsidRPr="00994516" w:rsidRDefault="0026375A" w:rsidP="0026375A">
      <w:pPr>
        <w:keepNext/>
        <w:jc w:val="center"/>
        <w:outlineLvl w:val="7"/>
        <w:rPr>
          <w:rFonts w:eastAsia="MS Mincho"/>
          <w:u w:val="single"/>
        </w:rPr>
      </w:pPr>
      <w:r w:rsidRPr="00994516">
        <w:rPr>
          <w:rFonts w:eastAsia="MS Mincho"/>
          <w:u w:val="single"/>
        </w:rPr>
        <w:t>Partie I</w:t>
      </w:r>
    </w:p>
    <w:p w14:paraId="164A7575" w14:textId="77777777" w:rsidR="0026375A" w:rsidRPr="00994516" w:rsidRDefault="0026375A" w:rsidP="0026375A">
      <w:pPr>
        <w:keepNext/>
        <w:spacing w:before="60"/>
        <w:ind w:left="284" w:hanging="284"/>
        <w:rPr>
          <w:rFonts w:eastAsia="MS Mincho"/>
          <w:sz w:val="16"/>
        </w:rPr>
      </w:pPr>
    </w:p>
    <w:p w14:paraId="4188B9D6" w14:textId="77777777" w:rsidR="0026375A" w:rsidRPr="00994516" w:rsidRDefault="0026375A" w:rsidP="0026375A">
      <w:pPr>
        <w:keepNext/>
        <w:jc w:val="center"/>
        <w:rPr>
          <w:rFonts w:eastAsia="MS Mincho"/>
          <w:i/>
          <w:iCs/>
        </w:rPr>
      </w:pPr>
      <w:r w:rsidRPr="00994516">
        <w:rPr>
          <w:rFonts w:eastAsia="MS Mincho"/>
          <w:i/>
          <w:iCs/>
        </w:rPr>
        <w:t>Classes au sein d’un genre</w:t>
      </w:r>
    </w:p>
    <w:p w14:paraId="354E0BCA" w14:textId="77777777" w:rsidR="0026375A" w:rsidRPr="00994516" w:rsidRDefault="0026375A" w:rsidP="0026375A">
      <w:pPr>
        <w:keepNext/>
        <w:spacing w:line="240" w:lineRule="atLeast"/>
        <w:rPr>
          <w:rFonts w:cs="Maiandra GD"/>
          <w:color w:val="000000" w:themeColor="text1"/>
          <w:szCs w:val="18"/>
          <w:highlight w:val="lightGray"/>
          <w:u w:val="single"/>
          <w:lang w:eastAsia="nl-NL"/>
        </w:rPr>
      </w:pPr>
    </w:p>
    <w:p w14:paraId="0E2719A8" w14:textId="77777777" w:rsidR="0026375A" w:rsidRPr="00994516" w:rsidRDefault="0026375A" w:rsidP="004A0198">
      <w:pPr>
        <w:keepNext/>
        <w:tabs>
          <w:tab w:val="left" w:pos="1134"/>
        </w:tabs>
        <w:spacing w:line="240" w:lineRule="atLeast"/>
        <w:ind w:left="567" w:right="567"/>
        <w:rPr>
          <w:rFonts w:cs="Maiandra GD"/>
          <w:color w:val="000000" w:themeColor="text1"/>
          <w:szCs w:val="18"/>
          <w:lang w:eastAsia="nl-NL"/>
        </w:rPr>
      </w:pPr>
      <w:r w:rsidRPr="00994516">
        <w:rPr>
          <w:rFonts w:cs="Maiandra GD"/>
          <w:color w:val="000000" w:themeColor="text1"/>
          <w:szCs w:val="18"/>
          <w:lang w:eastAsia="nl-NL"/>
        </w:rPr>
        <w:t>“Les éléments suivants s’appliquent aux dénominations de la liste des classes au sein d’un genre :</w:t>
      </w:r>
    </w:p>
    <w:p w14:paraId="0D0FEA45" w14:textId="77777777" w:rsidR="0026375A" w:rsidRPr="00994516" w:rsidRDefault="0026375A" w:rsidP="004A0198">
      <w:pPr>
        <w:keepNext/>
        <w:tabs>
          <w:tab w:val="left" w:pos="1134"/>
        </w:tabs>
        <w:spacing w:line="240" w:lineRule="atLeast"/>
        <w:ind w:left="567" w:right="567"/>
        <w:jc w:val="left"/>
        <w:rPr>
          <w:rFonts w:cs="Maiandra GD"/>
          <w:color w:val="000000" w:themeColor="text1"/>
          <w:szCs w:val="18"/>
          <w:lang w:eastAsia="nl-NL"/>
        </w:rPr>
      </w:pPr>
    </w:p>
    <w:p w14:paraId="369B214C" w14:textId="77777777" w:rsidR="0026375A" w:rsidRPr="00994516" w:rsidRDefault="0026375A" w:rsidP="004A0198">
      <w:pPr>
        <w:keepNext/>
        <w:tabs>
          <w:tab w:val="left" w:pos="1134"/>
        </w:tabs>
        <w:spacing w:line="240" w:lineRule="atLeast"/>
        <w:ind w:left="567" w:right="567"/>
        <w:rPr>
          <w:rFonts w:cs="Maiandra GD"/>
          <w:color w:val="000000" w:themeColor="text1"/>
          <w:szCs w:val="18"/>
          <w:lang w:eastAsia="nl-NL"/>
        </w:rPr>
      </w:pPr>
      <w:r w:rsidRPr="00994516">
        <w:rPr>
          <w:rFonts w:cs="Maiandra GD"/>
          <w:color w:val="000000" w:themeColor="text1"/>
          <w:szCs w:val="18"/>
          <w:lang w:eastAsia="nl-NL"/>
        </w:rPr>
        <w:t>“a)</w:t>
      </w:r>
      <w:r w:rsidRPr="00994516">
        <w:rPr>
          <w:rFonts w:cs="Maiandra GD"/>
          <w:color w:val="000000" w:themeColor="text1"/>
          <w:szCs w:val="18"/>
          <w:lang w:eastAsia="nl-NL"/>
        </w:rPr>
        <w:tab/>
        <w:t>La règle générale “un genre/une classe” doit s’appliquer aux variétés identifiées au niveau du genre seulement : la dénomination proposée doit être différente de toutes les dénominations de toutes les classes au sein dudit genre.</w:t>
      </w:r>
    </w:p>
    <w:p w14:paraId="78593E57" w14:textId="77777777" w:rsidR="0026375A" w:rsidRPr="00994516" w:rsidRDefault="0026375A" w:rsidP="004A0198">
      <w:pPr>
        <w:keepNext/>
        <w:tabs>
          <w:tab w:val="left" w:pos="1134"/>
        </w:tabs>
        <w:spacing w:line="240" w:lineRule="atLeast"/>
        <w:ind w:left="567" w:right="567"/>
        <w:rPr>
          <w:rFonts w:cs="Maiandra GD"/>
          <w:color w:val="000000" w:themeColor="text1"/>
          <w:szCs w:val="18"/>
          <w:lang w:eastAsia="nl-NL"/>
        </w:rPr>
      </w:pPr>
    </w:p>
    <w:p w14:paraId="12B998BA" w14:textId="77777777" w:rsidR="0026375A" w:rsidRPr="00994516" w:rsidRDefault="0026375A" w:rsidP="004A0198">
      <w:pPr>
        <w:keepNext/>
        <w:tabs>
          <w:tab w:val="left" w:pos="1134"/>
        </w:tabs>
        <w:spacing w:line="240" w:lineRule="atLeast"/>
        <w:ind w:left="567" w:right="567"/>
        <w:rPr>
          <w:rFonts w:cs="Maiandra GD"/>
          <w:color w:val="000000" w:themeColor="text1"/>
          <w:szCs w:val="18"/>
          <w:lang w:eastAsia="nl-NL"/>
        </w:rPr>
      </w:pPr>
      <w:r w:rsidRPr="00994516">
        <w:rPr>
          <w:rFonts w:cs="Maiandra GD"/>
          <w:color w:val="000000" w:themeColor="text1"/>
          <w:szCs w:val="18"/>
          <w:lang w:eastAsia="nl-NL"/>
        </w:rPr>
        <w:t>“b)</w:t>
      </w:r>
      <w:proofErr w:type="gramStart"/>
      <w:r w:rsidRPr="00994516">
        <w:rPr>
          <w:rFonts w:cs="Maiandra GD"/>
          <w:color w:val="000000" w:themeColor="text1"/>
          <w:szCs w:val="18"/>
          <w:lang w:eastAsia="nl-NL"/>
        </w:rPr>
        <w:tab/>
        <w:t xml:space="preserve"> </w:t>
      </w:r>
      <w:r w:rsidRPr="00994516">
        <w:rPr>
          <w:rFonts w:eastAsiaTheme="minorEastAsia" w:cs="Maiandra GD"/>
          <w:color w:val="000000" w:themeColor="text1"/>
          <w:szCs w:val="18"/>
          <w:lang w:eastAsia="nl-NL"/>
        </w:rPr>
        <w:t xml:space="preserve"> </w:t>
      </w:r>
      <w:r w:rsidRPr="00994516">
        <w:rPr>
          <w:rFonts w:cs="Maiandra GD"/>
          <w:color w:val="000000" w:themeColor="text1"/>
          <w:szCs w:val="18"/>
          <w:lang w:eastAsia="nl-NL"/>
        </w:rPr>
        <w:t>La</w:t>
      </w:r>
      <w:proofErr w:type="gramEnd"/>
      <w:r w:rsidRPr="00994516">
        <w:rPr>
          <w:rFonts w:cs="Maiandra GD"/>
          <w:color w:val="000000" w:themeColor="text1"/>
          <w:szCs w:val="18"/>
          <w:lang w:eastAsia="nl-NL"/>
        </w:rPr>
        <w:t xml:space="preserve"> dénomination proposée pour des hybrides interspécifiques d’espèces parentales provenant de classes différentes au sein d’un genre doit être différente des dénominations figurant dans les classes de toutes les espèces parentales dudit hybride interspécifique.</w:t>
      </w:r>
    </w:p>
    <w:p w14:paraId="7524DAA1" w14:textId="77777777" w:rsidR="0026375A" w:rsidRPr="00994516" w:rsidRDefault="0026375A" w:rsidP="004A0198">
      <w:pPr>
        <w:keepNext/>
        <w:tabs>
          <w:tab w:val="left" w:pos="1134"/>
        </w:tabs>
        <w:spacing w:line="240" w:lineRule="atLeast"/>
        <w:ind w:left="567" w:right="567"/>
        <w:rPr>
          <w:rFonts w:cs="Maiandra GD"/>
          <w:color w:val="000000" w:themeColor="text1"/>
          <w:szCs w:val="18"/>
          <w:lang w:eastAsia="nl-NL"/>
        </w:rPr>
      </w:pPr>
    </w:p>
    <w:p w14:paraId="21E44222" w14:textId="77777777" w:rsidR="0026375A" w:rsidRPr="00994516" w:rsidRDefault="0026375A" w:rsidP="004A0198">
      <w:pPr>
        <w:keepNext/>
        <w:tabs>
          <w:tab w:val="left" w:pos="1134"/>
        </w:tabs>
        <w:spacing w:line="240" w:lineRule="atLeast"/>
        <w:ind w:left="567" w:right="567"/>
        <w:rPr>
          <w:rFonts w:eastAsiaTheme="minorEastAsia" w:cs="Maiandra GD"/>
          <w:color w:val="000000" w:themeColor="text1"/>
          <w:szCs w:val="18"/>
          <w:lang w:eastAsia="nl-NL"/>
        </w:rPr>
      </w:pPr>
      <w:r w:rsidRPr="00994516">
        <w:rPr>
          <w:rFonts w:cs="Maiandra GD"/>
          <w:color w:val="000000" w:themeColor="text1"/>
          <w:szCs w:val="18"/>
          <w:lang w:eastAsia="nl-NL"/>
        </w:rPr>
        <w:t>“c)</w:t>
      </w:r>
      <w:r w:rsidRPr="00994516">
        <w:rPr>
          <w:rFonts w:cs="Maiandra GD"/>
          <w:color w:val="000000" w:themeColor="text1"/>
          <w:szCs w:val="18"/>
          <w:lang w:eastAsia="nl-NL"/>
        </w:rPr>
        <w:tab/>
        <w:t xml:space="preserve">La </w:t>
      </w:r>
      <w:r w:rsidRPr="00994516">
        <w:rPr>
          <w:rFonts w:eastAsiaTheme="minorEastAsia" w:cs="Maiandra GD"/>
          <w:color w:val="000000" w:themeColor="text1"/>
          <w:szCs w:val="18"/>
          <w:lang w:eastAsia="nl-NL"/>
        </w:rPr>
        <w:t>dénomination enregistrée d’une variété d’</w:t>
      </w:r>
      <w:r w:rsidRPr="00994516">
        <w:rPr>
          <w:rFonts w:cs="Maiandra GD"/>
          <w:color w:val="000000" w:themeColor="text1"/>
          <w:szCs w:val="18"/>
          <w:lang w:eastAsia="nl-NL"/>
        </w:rPr>
        <w:t>hybride interspécifique d’espèces parentales provenant de classes différentes au sein d’un genre doit être</w:t>
      </w:r>
      <w:r w:rsidRPr="00994516">
        <w:rPr>
          <w:rFonts w:eastAsiaTheme="minorEastAsia" w:cs="Maiandra GD"/>
          <w:color w:val="000000" w:themeColor="text1"/>
          <w:szCs w:val="18"/>
          <w:lang w:eastAsia="nl-NL"/>
        </w:rPr>
        <w:t xml:space="preserve"> introduite dans toutes les classes au sein d’un genre de l’espèce parentale.  Le code UPOV pour une variété d’</w:t>
      </w:r>
      <w:r w:rsidRPr="00994516">
        <w:rPr>
          <w:rFonts w:cs="Maiandra GD"/>
          <w:color w:val="000000" w:themeColor="text1"/>
          <w:szCs w:val="18"/>
          <w:lang w:eastAsia="nl-NL"/>
        </w:rPr>
        <w:t>hybride interspécifique</w:t>
      </w:r>
      <w:r w:rsidRPr="00994516">
        <w:rPr>
          <w:rFonts w:eastAsiaTheme="minorEastAsia" w:cs="Maiandra GD"/>
          <w:color w:val="000000" w:themeColor="text1"/>
          <w:szCs w:val="18"/>
          <w:lang w:eastAsia="nl-NL"/>
        </w:rPr>
        <w:t xml:space="preserve"> </w:t>
      </w:r>
      <w:r w:rsidRPr="00994516">
        <w:rPr>
          <w:rFonts w:cs="Maiandra GD"/>
          <w:color w:val="000000" w:themeColor="text1"/>
          <w:szCs w:val="18"/>
          <w:lang w:eastAsia="nl-NL"/>
        </w:rPr>
        <w:t>d’espèces parentales provenant de classes différentes au sein d’un genre</w:t>
      </w:r>
      <w:r w:rsidRPr="00994516">
        <w:rPr>
          <w:rFonts w:eastAsiaTheme="minorEastAsia" w:cs="Maiandra GD"/>
          <w:color w:val="000000" w:themeColor="text1"/>
          <w:szCs w:val="18"/>
          <w:lang w:eastAsia="nl-NL"/>
        </w:rPr>
        <w:t xml:space="preserve"> doit être associé aux classes de dénominations variétales </w:t>
      </w:r>
      <w:r w:rsidRPr="00994516">
        <w:rPr>
          <w:rFonts w:cs="Maiandra GD"/>
          <w:color w:val="000000" w:themeColor="text1"/>
          <w:szCs w:val="18"/>
          <w:lang w:eastAsia="nl-NL"/>
        </w:rPr>
        <w:t>de toutes les espèces parentales</w:t>
      </w:r>
      <w:r w:rsidRPr="00994516">
        <w:rPr>
          <w:rFonts w:eastAsiaTheme="minorEastAsia" w:cs="Maiandra GD"/>
          <w:color w:val="000000" w:themeColor="text1"/>
          <w:szCs w:val="18"/>
          <w:lang w:eastAsia="nl-NL"/>
        </w:rPr>
        <w:t xml:space="preserve">.  </w:t>
      </w:r>
    </w:p>
    <w:p w14:paraId="4CC9DEB4" w14:textId="77777777" w:rsidR="0026375A" w:rsidRPr="00994516" w:rsidRDefault="0026375A" w:rsidP="0026375A">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82"/>
        <w:gridCol w:w="5103"/>
        <w:gridCol w:w="2754"/>
      </w:tblGrid>
      <w:tr w:rsidR="0026375A" w:rsidRPr="00994516" w14:paraId="1CC14B28" w14:textId="77777777" w:rsidTr="009D16D1">
        <w:trPr>
          <w:cantSplit/>
          <w:tblHeader/>
        </w:trPr>
        <w:tc>
          <w:tcPr>
            <w:tcW w:w="1782" w:type="dxa"/>
            <w:shd w:val="clear" w:color="auto" w:fill="D9D9D9" w:themeFill="background1" w:themeFillShade="D9"/>
            <w:vAlign w:val="center"/>
          </w:tcPr>
          <w:p w14:paraId="77717CC0" w14:textId="77777777" w:rsidR="0026375A" w:rsidRPr="00994516" w:rsidRDefault="0026375A" w:rsidP="0026375A">
            <w:pPr>
              <w:spacing w:before="40" w:after="60"/>
              <w:jc w:val="left"/>
              <w:rPr>
                <w:rFonts w:eastAsia="MS Mincho"/>
                <w:sz w:val="18"/>
                <w:u w:val="single"/>
              </w:rPr>
            </w:pPr>
          </w:p>
        </w:tc>
        <w:tc>
          <w:tcPr>
            <w:tcW w:w="5103" w:type="dxa"/>
            <w:shd w:val="clear" w:color="auto" w:fill="D9D9D9" w:themeFill="background1" w:themeFillShade="D9"/>
            <w:vAlign w:val="center"/>
          </w:tcPr>
          <w:p w14:paraId="57CBB807" w14:textId="77777777" w:rsidR="0026375A" w:rsidRPr="00994516" w:rsidRDefault="0026375A" w:rsidP="0026375A">
            <w:pPr>
              <w:spacing w:before="40" w:after="60"/>
              <w:jc w:val="center"/>
              <w:rPr>
                <w:rFonts w:eastAsia="MS Mincho"/>
                <w:sz w:val="18"/>
                <w:u w:val="single"/>
              </w:rPr>
            </w:pPr>
            <w:r w:rsidRPr="00994516">
              <w:rPr>
                <w:rFonts w:eastAsia="MS Mincho"/>
                <w:sz w:val="18"/>
                <w:u w:val="single"/>
              </w:rPr>
              <w:t>Noms botaniques</w:t>
            </w:r>
          </w:p>
        </w:tc>
        <w:tc>
          <w:tcPr>
            <w:tcW w:w="2754" w:type="dxa"/>
            <w:shd w:val="clear" w:color="auto" w:fill="D9D9D9" w:themeFill="background1" w:themeFillShade="D9"/>
            <w:vAlign w:val="center"/>
          </w:tcPr>
          <w:p w14:paraId="3D5FBC22" w14:textId="77777777" w:rsidR="0026375A" w:rsidRPr="00994516" w:rsidRDefault="0026375A" w:rsidP="0026375A">
            <w:pPr>
              <w:spacing w:before="40" w:after="60"/>
              <w:jc w:val="center"/>
              <w:rPr>
                <w:rFonts w:eastAsia="MS Mincho"/>
                <w:sz w:val="18"/>
                <w:u w:val="single"/>
              </w:rPr>
            </w:pPr>
            <w:r w:rsidRPr="00994516">
              <w:rPr>
                <w:rFonts w:eastAsia="MS Mincho"/>
                <w:sz w:val="18"/>
                <w:u w:val="single"/>
              </w:rPr>
              <w:t>Codes UPOV</w:t>
            </w:r>
          </w:p>
        </w:tc>
      </w:tr>
    </w:tbl>
    <w:p w14:paraId="3E6CF91A" w14:textId="77777777" w:rsidR="0026375A" w:rsidRPr="00994516" w:rsidRDefault="0026375A" w:rsidP="0026375A">
      <w:pPr>
        <w:jc w:val="center"/>
      </w:pPr>
      <w:r w:rsidRPr="00994516">
        <w:t>[…]</w:t>
      </w:r>
    </w:p>
    <w:p w14:paraId="759D1D6E" w14:textId="77777777" w:rsidR="0026375A" w:rsidRPr="00994516" w:rsidRDefault="0026375A" w:rsidP="0026375A">
      <w:pPr>
        <w:jc w:val="center"/>
      </w:pPr>
    </w:p>
    <w:tbl>
      <w:tblPr>
        <w:tblW w:w="9634" w:type="dxa"/>
        <w:tblCellMar>
          <w:left w:w="0" w:type="dxa"/>
          <w:right w:w="0" w:type="dxa"/>
        </w:tblCellMar>
        <w:tblLook w:val="04A0" w:firstRow="1" w:lastRow="0" w:firstColumn="1" w:lastColumn="0" w:noHBand="0" w:noVBand="1"/>
      </w:tblPr>
      <w:tblGrid>
        <w:gridCol w:w="1838"/>
        <w:gridCol w:w="5103"/>
        <w:gridCol w:w="2693"/>
      </w:tblGrid>
      <w:tr w:rsidR="0026375A" w:rsidRPr="00994516" w14:paraId="4298E4A6" w14:textId="77777777" w:rsidTr="00124437">
        <w:trPr>
          <w:cantSplit/>
        </w:trPr>
        <w:tc>
          <w:tcPr>
            <w:tcW w:w="183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77EEDA3" w14:textId="77777777" w:rsidR="0026375A" w:rsidRPr="00994516" w:rsidRDefault="0026375A" w:rsidP="0026375A">
            <w:pPr>
              <w:keepNext/>
              <w:spacing w:before="40" w:after="40"/>
              <w:ind w:left="-1529" w:firstLine="1529"/>
              <w:jc w:val="left"/>
              <w:rPr>
                <w:rFonts w:cs="Arial"/>
                <w:sz w:val="18"/>
                <w:szCs w:val="18"/>
              </w:rPr>
            </w:pPr>
            <w:r w:rsidRPr="00994516">
              <w:rPr>
                <w:rFonts w:cs="Arial"/>
                <w:sz w:val="18"/>
                <w:szCs w:val="18"/>
              </w:rPr>
              <w:t>Nouvelle classe 6.1</w:t>
            </w:r>
          </w:p>
        </w:tc>
        <w:tc>
          <w:tcPr>
            <w:tcW w:w="510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B6F569D"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avium</w:t>
            </w:r>
            <w:proofErr w:type="spellEnd"/>
            <w:r w:rsidRPr="00994516">
              <w:rPr>
                <w:rFonts w:cs="Arial"/>
                <w:sz w:val="18"/>
                <w:szCs w:val="18"/>
              </w:rPr>
              <w:t xml:space="preserve"> (L.) L.</w:t>
            </w:r>
          </w:p>
          <w:p w14:paraId="095A9B0E"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cerasus</w:t>
            </w:r>
            <w:proofErr w:type="spellEnd"/>
            <w:r w:rsidRPr="00994516">
              <w:rPr>
                <w:rFonts w:cs="Arial"/>
                <w:sz w:val="18"/>
                <w:szCs w:val="18"/>
              </w:rPr>
              <w:t xml:space="preserve"> L.</w:t>
            </w:r>
          </w:p>
          <w:p w14:paraId="73FB2FA4" w14:textId="77777777" w:rsidR="0026375A" w:rsidRPr="00994516" w:rsidRDefault="0026375A" w:rsidP="0026375A">
            <w:pPr>
              <w:keepNext/>
              <w:spacing w:before="40" w:after="40"/>
              <w:jc w:val="left"/>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65F9254" w14:textId="77777777" w:rsidR="0026375A" w:rsidRPr="00994516" w:rsidRDefault="0026375A" w:rsidP="0026375A">
            <w:pPr>
              <w:keepNext/>
              <w:spacing w:before="40" w:after="40"/>
              <w:jc w:val="left"/>
              <w:rPr>
                <w:rFonts w:cs="Arial"/>
                <w:sz w:val="18"/>
                <w:szCs w:val="18"/>
              </w:rPr>
            </w:pPr>
            <w:r w:rsidRPr="00994516">
              <w:rPr>
                <w:rFonts w:cs="Arial"/>
                <w:sz w:val="18"/>
                <w:szCs w:val="18"/>
              </w:rPr>
              <w:t>PRUNU_AVI</w:t>
            </w:r>
          </w:p>
          <w:p w14:paraId="1B7D5BC9" w14:textId="77777777" w:rsidR="0026375A" w:rsidRPr="00994516" w:rsidRDefault="0026375A" w:rsidP="0026375A">
            <w:pPr>
              <w:keepNext/>
              <w:spacing w:before="40" w:after="40"/>
              <w:jc w:val="left"/>
              <w:rPr>
                <w:rFonts w:cs="Arial"/>
                <w:sz w:val="18"/>
                <w:szCs w:val="18"/>
              </w:rPr>
            </w:pPr>
            <w:r w:rsidRPr="00994516">
              <w:rPr>
                <w:rFonts w:cs="Arial"/>
                <w:sz w:val="18"/>
                <w:szCs w:val="18"/>
              </w:rPr>
              <w:t>PRUNU_CSS</w:t>
            </w:r>
          </w:p>
          <w:p w14:paraId="3336FB7F" w14:textId="77777777" w:rsidR="0026375A" w:rsidRPr="00994516" w:rsidRDefault="0026375A" w:rsidP="0026375A">
            <w:pPr>
              <w:keepNext/>
              <w:spacing w:before="40" w:after="40"/>
              <w:jc w:val="left"/>
              <w:rPr>
                <w:sz w:val="18"/>
                <w:szCs w:val="18"/>
              </w:rPr>
            </w:pPr>
            <w:r w:rsidRPr="00994516">
              <w:rPr>
                <w:sz w:val="18"/>
                <w:szCs w:val="18"/>
              </w:rPr>
              <w:t>En cas de croisement interspécifique, les classes de toutes les espèces parentales concernées sont appliquées.</w:t>
            </w:r>
          </w:p>
          <w:p w14:paraId="5F5B09EE" w14:textId="77777777" w:rsidR="0026375A" w:rsidRPr="00994516" w:rsidRDefault="0026375A" w:rsidP="0026375A">
            <w:pPr>
              <w:keepNext/>
              <w:spacing w:before="40" w:after="40"/>
              <w:jc w:val="left"/>
              <w:rPr>
                <w:rFonts w:cs="Arial"/>
                <w:sz w:val="18"/>
                <w:szCs w:val="18"/>
              </w:rPr>
            </w:pPr>
          </w:p>
        </w:tc>
      </w:tr>
      <w:tr w:rsidR="0026375A" w:rsidRPr="00994516" w14:paraId="7B917730" w14:textId="77777777" w:rsidTr="00124437">
        <w:trPr>
          <w:cantSplit/>
        </w:trPr>
        <w:tc>
          <w:tcPr>
            <w:tcW w:w="183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E889170" w14:textId="77777777" w:rsidR="0026375A" w:rsidRPr="00994516" w:rsidRDefault="0026375A" w:rsidP="0026375A">
            <w:pPr>
              <w:keepNext/>
              <w:spacing w:before="40" w:after="40"/>
              <w:ind w:left="-1529" w:firstLine="1529"/>
              <w:jc w:val="left"/>
              <w:rPr>
                <w:rFonts w:cs="Arial"/>
                <w:sz w:val="18"/>
                <w:szCs w:val="18"/>
              </w:rPr>
            </w:pPr>
            <w:r w:rsidRPr="00994516">
              <w:rPr>
                <w:rFonts w:cs="Arial"/>
                <w:sz w:val="18"/>
                <w:szCs w:val="18"/>
              </w:rPr>
              <w:t>Nouvelle classe 6.2</w:t>
            </w:r>
          </w:p>
        </w:tc>
        <w:tc>
          <w:tcPr>
            <w:tcW w:w="510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8406D6C"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armeniaca</w:t>
            </w:r>
            <w:proofErr w:type="spellEnd"/>
            <w:r w:rsidRPr="00994516">
              <w:rPr>
                <w:rFonts w:cs="Arial"/>
                <w:sz w:val="18"/>
                <w:szCs w:val="18"/>
              </w:rPr>
              <w:t xml:space="preserve"> L.</w:t>
            </w:r>
          </w:p>
          <w:p w14:paraId="3AB2AC44" w14:textId="77777777" w:rsidR="0026375A" w:rsidRPr="00994516" w:rsidRDefault="0026375A" w:rsidP="0026375A">
            <w:pPr>
              <w:keepNext/>
              <w:spacing w:before="40" w:after="40"/>
              <w:jc w:val="left"/>
              <w:rPr>
                <w:rFonts w:cs="Arial"/>
                <w:color w:val="000000"/>
                <w:sz w:val="18"/>
                <w:szCs w:val="18"/>
              </w:rPr>
            </w:pPr>
            <w:r w:rsidRPr="00994516">
              <w:rPr>
                <w:rFonts w:cs="Arial"/>
                <w:i/>
                <w:color w:val="000000"/>
                <w:sz w:val="18"/>
                <w:szCs w:val="18"/>
              </w:rPr>
              <w:t xml:space="preserve">Prunus </w:t>
            </w:r>
            <w:proofErr w:type="spellStart"/>
            <w:r w:rsidRPr="00994516">
              <w:rPr>
                <w:rFonts w:cs="Arial"/>
                <w:i/>
                <w:color w:val="000000"/>
                <w:sz w:val="18"/>
                <w:szCs w:val="18"/>
              </w:rPr>
              <w:t>cerasifera</w:t>
            </w:r>
            <w:proofErr w:type="spellEnd"/>
            <w:r w:rsidRPr="00994516">
              <w:rPr>
                <w:rFonts w:cs="Arial"/>
                <w:i/>
                <w:color w:val="000000"/>
                <w:sz w:val="18"/>
                <w:szCs w:val="18"/>
              </w:rPr>
              <w:t xml:space="preserve"> </w:t>
            </w:r>
            <w:proofErr w:type="spellStart"/>
            <w:r w:rsidRPr="00994516">
              <w:rPr>
                <w:rFonts w:cs="Arial"/>
                <w:color w:val="000000"/>
                <w:sz w:val="18"/>
                <w:szCs w:val="18"/>
              </w:rPr>
              <w:t>Ehrh</w:t>
            </w:r>
            <w:proofErr w:type="spellEnd"/>
          </w:p>
          <w:p w14:paraId="738772FC"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domestica</w:t>
            </w:r>
            <w:proofErr w:type="spellEnd"/>
            <w:r w:rsidRPr="00994516">
              <w:rPr>
                <w:rFonts w:cs="Arial"/>
                <w:sz w:val="18"/>
                <w:szCs w:val="18"/>
              </w:rPr>
              <w:t xml:space="preserve"> L.</w:t>
            </w:r>
          </w:p>
          <w:p w14:paraId="2E5315EC" w14:textId="77777777" w:rsidR="0026375A" w:rsidRPr="00994516" w:rsidRDefault="0026375A" w:rsidP="0026375A">
            <w:pPr>
              <w:keepNext/>
              <w:spacing w:before="40" w:after="40"/>
              <w:jc w:val="left"/>
              <w:rPr>
                <w:rFonts w:cs="Arial"/>
                <w:color w:val="000000"/>
                <w:sz w:val="18"/>
                <w:szCs w:val="18"/>
              </w:rPr>
            </w:pPr>
            <w:r w:rsidRPr="00994516">
              <w:rPr>
                <w:rFonts w:cs="Arial"/>
                <w:i/>
                <w:color w:val="000000"/>
                <w:sz w:val="18"/>
                <w:szCs w:val="18"/>
              </w:rPr>
              <w:t xml:space="preserve">Prunus </w:t>
            </w:r>
            <w:proofErr w:type="spellStart"/>
            <w:r w:rsidRPr="00994516">
              <w:rPr>
                <w:rFonts w:cs="Arial"/>
                <w:i/>
                <w:color w:val="000000"/>
                <w:sz w:val="18"/>
                <w:szCs w:val="18"/>
              </w:rPr>
              <w:t>maritima</w:t>
            </w:r>
            <w:proofErr w:type="spellEnd"/>
            <w:r w:rsidRPr="00994516">
              <w:rPr>
                <w:rFonts w:cs="Arial"/>
                <w:i/>
                <w:color w:val="000000"/>
                <w:sz w:val="18"/>
                <w:szCs w:val="18"/>
              </w:rPr>
              <w:t xml:space="preserve"> </w:t>
            </w:r>
            <w:r w:rsidRPr="00994516">
              <w:rPr>
                <w:rFonts w:cs="Arial"/>
                <w:color w:val="000000"/>
                <w:sz w:val="18"/>
                <w:szCs w:val="18"/>
              </w:rPr>
              <w:t>Marshall</w:t>
            </w:r>
          </w:p>
          <w:p w14:paraId="447CD99F"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mume</w:t>
            </w:r>
            <w:proofErr w:type="spellEnd"/>
            <w:r w:rsidRPr="00994516">
              <w:rPr>
                <w:rFonts w:cs="Arial"/>
                <w:sz w:val="18"/>
                <w:szCs w:val="18"/>
              </w:rPr>
              <w:t xml:space="preserve"> Siebold &amp; </w:t>
            </w:r>
            <w:proofErr w:type="spellStart"/>
            <w:r w:rsidRPr="00994516">
              <w:rPr>
                <w:rFonts w:cs="Arial"/>
                <w:sz w:val="18"/>
                <w:szCs w:val="18"/>
              </w:rPr>
              <w:t>Zucc</w:t>
            </w:r>
            <w:proofErr w:type="spellEnd"/>
            <w:r w:rsidRPr="00994516">
              <w:rPr>
                <w:rFonts w:cs="Arial"/>
                <w:sz w:val="18"/>
                <w:szCs w:val="18"/>
              </w:rPr>
              <w:t>.</w:t>
            </w:r>
          </w:p>
          <w:p w14:paraId="04B58F44" w14:textId="77777777" w:rsidR="0026375A" w:rsidRPr="00994516" w:rsidRDefault="0026375A" w:rsidP="0026375A">
            <w:pPr>
              <w:keepNext/>
              <w:spacing w:before="40" w:after="40"/>
              <w:jc w:val="left"/>
              <w:rPr>
                <w:rFonts w:cs="Arial"/>
                <w:sz w:val="18"/>
                <w:szCs w:val="18"/>
              </w:rPr>
            </w:pPr>
            <w:r w:rsidRPr="00994516">
              <w:rPr>
                <w:rFonts w:cs="Arial"/>
                <w:i/>
                <w:sz w:val="18"/>
                <w:szCs w:val="18"/>
              </w:rPr>
              <w:t xml:space="preserve">Prunus </w:t>
            </w:r>
            <w:proofErr w:type="spellStart"/>
            <w:r w:rsidRPr="00994516">
              <w:rPr>
                <w:rFonts w:cs="Arial"/>
                <w:i/>
                <w:sz w:val="18"/>
                <w:szCs w:val="18"/>
              </w:rPr>
              <w:t>salicina</w:t>
            </w:r>
            <w:proofErr w:type="spellEnd"/>
            <w:r w:rsidRPr="00994516">
              <w:rPr>
                <w:rFonts w:cs="Arial"/>
                <w:sz w:val="18"/>
                <w:szCs w:val="18"/>
              </w:rPr>
              <w:t xml:space="preserve"> </w:t>
            </w:r>
            <w:proofErr w:type="spellStart"/>
            <w:r w:rsidRPr="00994516">
              <w:rPr>
                <w:rFonts w:cs="Arial"/>
                <w:sz w:val="18"/>
                <w:szCs w:val="18"/>
              </w:rPr>
              <w:t>Lindley</w:t>
            </w:r>
            <w:proofErr w:type="spellEnd"/>
          </w:p>
          <w:p w14:paraId="4445E9C3" w14:textId="77777777" w:rsidR="0026375A" w:rsidRPr="00994516" w:rsidRDefault="0026375A" w:rsidP="0026375A">
            <w:pPr>
              <w:keepNext/>
              <w:spacing w:before="40" w:after="40"/>
              <w:jc w:val="left"/>
              <w:rPr>
                <w:rFonts w:cs="Arial"/>
                <w:color w:val="000000"/>
                <w:sz w:val="18"/>
                <w:szCs w:val="18"/>
              </w:rPr>
            </w:pPr>
            <w:r w:rsidRPr="00994516">
              <w:rPr>
                <w:rFonts w:cs="Arial"/>
                <w:i/>
                <w:iCs/>
                <w:color w:val="000000"/>
                <w:sz w:val="18"/>
                <w:szCs w:val="18"/>
              </w:rPr>
              <w:t xml:space="preserve">Prunus </w:t>
            </w:r>
            <w:proofErr w:type="spellStart"/>
            <w:r w:rsidRPr="00994516">
              <w:rPr>
                <w:rFonts w:cs="Arial"/>
                <w:i/>
                <w:iCs/>
                <w:color w:val="000000"/>
                <w:sz w:val="18"/>
                <w:szCs w:val="18"/>
              </w:rPr>
              <w:t>subcordata</w:t>
            </w:r>
            <w:proofErr w:type="spellEnd"/>
            <w:r w:rsidRPr="00994516">
              <w:rPr>
                <w:rFonts w:cs="Arial"/>
                <w:color w:val="000000"/>
                <w:sz w:val="18"/>
                <w:szCs w:val="18"/>
              </w:rPr>
              <w:t xml:space="preserve"> </w:t>
            </w:r>
            <w:proofErr w:type="spellStart"/>
            <w:r w:rsidRPr="00994516">
              <w:rPr>
                <w:rFonts w:cs="Arial"/>
                <w:color w:val="000000"/>
                <w:sz w:val="18"/>
                <w:szCs w:val="18"/>
              </w:rPr>
              <w:t>Benth</w:t>
            </w:r>
            <w:proofErr w:type="spellEnd"/>
            <w:r w:rsidRPr="00994516">
              <w:rPr>
                <w:rFonts w:cs="Arial"/>
                <w:color w:val="000000"/>
                <w:sz w:val="18"/>
                <w:szCs w:val="18"/>
              </w:rPr>
              <w:t>.</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925B14F" w14:textId="77777777" w:rsidR="0026375A" w:rsidRPr="00994516" w:rsidRDefault="0026375A" w:rsidP="0026375A">
            <w:pPr>
              <w:keepNext/>
              <w:spacing w:before="40" w:after="40"/>
              <w:jc w:val="left"/>
              <w:rPr>
                <w:rFonts w:cs="Arial"/>
                <w:sz w:val="18"/>
                <w:szCs w:val="18"/>
              </w:rPr>
            </w:pPr>
            <w:r w:rsidRPr="00994516">
              <w:rPr>
                <w:rFonts w:cs="Arial"/>
                <w:sz w:val="18"/>
                <w:szCs w:val="18"/>
              </w:rPr>
              <w:t>PRUNU_ARM</w:t>
            </w:r>
          </w:p>
          <w:p w14:paraId="46100AE0" w14:textId="77777777" w:rsidR="0026375A" w:rsidRPr="00994516" w:rsidRDefault="0026375A" w:rsidP="0026375A">
            <w:pPr>
              <w:keepNext/>
              <w:spacing w:before="40" w:after="40"/>
              <w:jc w:val="left"/>
              <w:rPr>
                <w:rFonts w:cs="Arial"/>
                <w:sz w:val="18"/>
                <w:szCs w:val="18"/>
              </w:rPr>
            </w:pPr>
            <w:r w:rsidRPr="00994516">
              <w:rPr>
                <w:rFonts w:cs="Arial"/>
                <w:sz w:val="18"/>
                <w:szCs w:val="18"/>
              </w:rPr>
              <w:t>PRUNU_CSF</w:t>
            </w:r>
          </w:p>
          <w:p w14:paraId="707E11C8" w14:textId="77777777" w:rsidR="0026375A" w:rsidRPr="00994516" w:rsidRDefault="0026375A" w:rsidP="0026375A">
            <w:pPr>
              <w:keepNext/>
              <w:spacing w:before="40" w:after="40"/>
              <w:jc w:val="left"/>
              <w:rPr>
                <w:rFonts w:cs="Arial"/>
                <w:sz w:val="18"/>
                <w:szCs w:val="18"/>
              </w:rPr>
            </w:pPr>
            <w:r w:rsidRPr="00994516">
              <w:rPr>
                <w:rFonts w:cs="Arial"/>
                <w:sz w:val="18"/>
                <w:szCs w:val="18"/>
              </w:rPr>
              <w:t>PRUNU_DOM</w:t>
            </w:r>
          </w:p>
          <w:p w14:paraId="2F7D20C4" w14:textId="77777777" w:rsidR="0026375A" w:rsidRPr="00994516" w:rsidRDefault="0026375A" w:rsidP="0026375A">
            <w:pPr>
              <w:keepNext/>
              <w:spacing w:before="40" w:after="40"/>
              <w:jc w:val="left"/>
              <w:rPr>
                <w:rFonts w:cs="Arial"/>
                <w:sz w:val="18"/>
                <w:szCs w:val="18"/>
              </w:rPr>
            </w:pPr>
            <w:r w:rsidRPr="00994516">
              <w:rPr>
                <w:rFonts w:cs="Arial"/>
                <w:sz w:val="18"/>
                <w:szCs w:val="18"/>
              </w:rPr>
              <w:t>PRUNU_MAR</w:t>
            </w:r>
          </w:p>
          <w:p w14:paraId="6E5EC376" w14:textId="77777777" w:rsidR="0026375A" w:rsidRPr="00994516" w:rsidRDefault="0026375A" w:rsidP="0026375A">
            <w:pPr>
              <w:keepNext/>
              <w:spacing w:before="40" w:after="40"/>
              <w:jc w:val="left"/>
              <w:rPr>
                <w:rFonts w:cs="Arial"/>
                <w:sz w:val="18"/>
                <w:szCs w:val="18"/>
              </w:rPr>
            </w:pPr>
            <w:r w:rsidRPr="00994516">
              <w:rPr>
                <w:rFonts w:cs="Arial"/>
                <w:sz w:val="18"/>
                <w:szCs w:val="18"/>
              </w:rPr>
              <w:t>PRUNU_MUM</w:t>
            </w:r>
          </w:p>
          <w:p w14:paraId="447D71EA" w14:textId="77777777" w:rsidR="0026375A" w:rsidRPr="00994516" w:rsidRDefault="0026375A" w:rsidP="0026375A">
            <w:pPr>
              <w:keepNext/>
              <w:spacing w:before="40" w:after="40"/>
              <w:jc w:val="left"/>
              <w:rPr>
                <w:rFonts w:cs="Arial"/>
                <w:sz w:val="18"/>
                <w:szCs w:val="18"/>
              </w:rPr>
            </w:pPr>
            <w:r w:rsidRPr="00994516">
              <w:rPr>
                <w:rFonts w:cs="Arial"/>
                <w:sz w:val="18"/>
                <w:szCs w:val="18"/>
              </w:rPr>
              <w:t>PRUNU_SAL</w:t>
            </w:r>
          </w:p>
          <w:p w14:paraId="1B87F527" w14:textId="77777777" w:rsidR="0026375A" w:rsidRPr="00994516" w:rsidRDefault="0026375A" w:rsidP="0026375A">
            <w:pPr>
              <w:keepNext/>
              <w:spacing w:before="40" w:after="40"/>
              <w:jc w:val="left"/>
              <w:rPr>
                <w:sz w:val="18"/>
                <w:szCs w:val="18"/>
              </w:rPr>
            </w:pPr>
            <w:r w:rsidRPr="00994516">
              <w:rPr>
                <w:sz w:val="18"/>
                <w:szCs w:val="18"/>
              </w:rPr>
              <w:t>En cas de croisement interspécifique, les classes de toutes les espèces parentales concernées sont appliquées.</w:t>
            </w:r>
          </w:p>
          <w:p w14:paraId="49D49629" w14:textId="77777777" w:rsidR="0026375A" w:rsidRPr="00994516" w:rsidRDefault="0026375A" w:rsidP="0026375A">
            <w:pPr>
              <w:keepNext/>
              <w:spacing w:before="40" w:after="40"/>
              <w:jc w:val="left"/>
              <w:rPr>
                <w:rFonts w:cs="Arial"/>
                <w:sz w:val="18"/>
                <w:szCs w:val="18"/>
              </w:rPr>
            </w:pPr>
          </w:p>
        </w:tc>
      </w:tr>
      <w:tr w:rsidR="0026375A" w:rsidRPr="00994516" w14:paraId="7C4A69C4" w14:textId="77777777" w:rsidTr="00124437">
        <w:trPr>
          <w:cantSplit/>
        </w:trPr>
        <w:tc>
          <w:tcPr>
            <w:tcW w:w="183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696538B" w14:textId="77777777" w:rsidR="0026375A" w:rsidRPr="00994516" w:rsidRDefault="0026375A" w:rsidP="0026375A">
            <w:pPr>
              <w:keepNext/>
              <w:spacing w:before="40" w:after="40"/>
              <w:ind w:left="-1529" w:firstLine="1529"/>
              <w:jc w:val="left"/>
              <w:rPr>
                <w:rFonts w:cs="Arial"/>
                <w:sz w:val="18"/>
                <w:szCs w:val="18"/>
              </w:rPr>
            </w:pPr>
            <w:r w:rsidRPr="00994516">
              <w:rPr>
                <w:rFonts w:cs="Arial"/>
                <w:sz w:val="18"/>
                <w:szCs w:val="18"/>
              </w:rPr>
              <w:t>Nouvelle classe 6.3</w:t>
            </w:r>
          </w:p>
        </w:tc>
        <w:tc>
          <w:tcPr>
            <w:tcW w:w="510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00FAC94" w14:textId="77777777" w:rsidR="0026375A" w:rsidRPr="00994516" w:rsidRDefault="0026375A" w:rsidP="0026375A">
            <w:pPr>
              <w:keepNext/>
              <w:spacing w:before="40" w:after="40"/>
              <w:jc w:val="left"/>
              <w:rPr>
                <w:rFonts w:cs="Arial"/>
                <w:i/>
                <w:sz w:val="18"/>
                <w:szCs w:val="18"/>
              </w:rPr>
            </w:pPr>
            <w:r w:rsidRPr="00994516">
              <w:rPr>
                <w:rFonts w:eastAsia="Yu Gothic" w:cs="Arial"/>
                <w:i/>
                <w:sz w:val="18"/>
                <w:szCs w:val="18"/>
                <w:lang w:eastAsia="ja-JP"/>
              </w:rPr>
              <w:t xml:space="preserve">Prunus </w:t>
            </w:r>
            <w:proofErr w:type="spellStart"/>
            <w:r w:rsidRPr="00994516">
              <w:rPr>
                <w:rFonts w:eastAsia="Yu Gothic" w:cs="Arial"/>
                <w:i/>
                <w:sz w:val="18"/>
                <w:szCs w:val="18"/>
                <w:lang w:eastAsia="ja-JP"/>
              </w:rPr>
              <w:t>dulcis</w:t>
            </w:r>
            <w:proofErr w:type="spellEnd"/>
            <w:r w:rsidRPr="00994516">
              <w:rPr>
                <w:rFonts w:eastAsia="Yu Gothic" w:cs="Arial"/>
                <w:sz w:val="18"/>
                <w:szCs w:val="18"/>
                <w:lang w:eastAsia="ja-JP"/>
              </w:rPr>
              <w:t xml:space="preserve"> (Mill.) D. A. Webb</w:t>
            </w:r>
            <w:r w:rsidRPr="00994516">
              <w:rPr>
                <w:rFonts w:cs="Arial"/>
                <w:i/>
                <w:sz w:val="18"/>
                <w:szCs w:val="18"/>
              </w:rPr>
              <w:t xml:space="preserve"> </w:t>
            </w:r>
          </w:p>
          <w:p w14:paraId="145C5C45" w14:textId="77777777" w:rsidR="0026375A" w:rsidRPr="00994516" w:rsidRDefault="0026375A" w:rsidP="0026375A">
            <w:pPr>
              <w:keepNext/>
              <w:spacing w:before="40" w:after="40"/>
              <w:jc w:val="left"/>
              <w:rPr>
                <w:rFonts w:cs="Arial"/>
                <w:sz w:val="18"/>
                <w:szCs w:val="18"/>
              </w:rPr>
            </w:pPr>
            <w:r w:rsidRPr="00994516">
              <w:rPr>
                <w:rFonts w:cs="Arial"/>
                <w:i/>
                <w:sz w:val="18"/>
                <w:szCs w:val="18"/>
              </w:rPr>
              <w:t>Prunus persica</w:t>
            </w:r>
            <w:r w:rsidRPr="00994516">
              <w:rPr>
                <w:rFonts w:cs="Arial"/>
                <w:sz w:val="18"/>
                <w:szCs w:val="18"/>
              </w:rPr>
              <w:t xml:space="preserve"> (L.) </w:t>
            </w:r>
            <w:proofErr w:type="spellStart"/>
            <w:r w:rsidRPr="00994516">
              <w:rPr>
                <w:rFonts w:cs="Arial"/>
                <w:sz w:val="18"/>
                <w:szCs w:val="18"/>
              </w:rPr>
              <w:t>Batsch</w:t>
            </w:r>
            <w:proofErr w:type="spellEnd"/>
            <w:r w:rsidRPr="00994516">
              <w:rPr>
                <w:rFonts w:cs="Arial"/>
                <w:sz w:val="18"/>
                <w:szCs w:val="18"/>
              </w:rPr>
              <w:t>.</w:t>
            </w:r>
          </w:p>
          <w:p w14:paraId="364C86E1" w14:textId="77777777" w:rsidR="0026375A" w:rsidRPr="00994516" w:rsidRDefault="0026375A" w:rsidP="0026375A">
            <w:pPr>
              <w:keepNext/>
              <w:spacing w:before="40" w:after="40"/>
              <w:jc w:val="left"/>
              <w:rPr>
                <w:rFonts w:cs="Arial"/>
                <w:sz w:val="18"/>
                <w:szCs w:val="18"/>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0DF27FA" w14:textId="77777777" w:rsidR="0026375A" w:rsidRPr="00994516" w:rsidRDefault="0026375A" w:rsidP="0026375A">
            <w:pPr>
              <w:keepNext/>
              <w:spacing w:before="40" w:after="40"/>
              <w:jc w:val="left"/>
              <w:rPr>
                <w:rFonts w:cs="Arial"/>
                <w:sz w:val="18"/>
                <w:szCs w:val="18"/>
              </w:rPr>
            </w:pPr>
            <w:r w:rsidRPr="00994516">
              <w:rPr>
                <w:rFonts w:cs="Arial"/>
                <w:sz w:val="18"/>
                <w:szCs w:val="18"/>
              </w:rPr>
              <w:t>PRUNU_DUL</w:t>
            </w:r>
          </w:p>
          <w:p w14:paraId="7C0D6B2C" w14:textId="77777777" w:rsidR="0026375A" w:rsidRPr="00994516" w:rsidRDefault="0026375A" w:rsidP="0026375A">
            <w:pPr>
              <w:keepNext/>
              <w:spacing w:before="40" w:after="40"/>
              <w:jc w:val="left"/>
              <w:rPr>
                <w:rFonts w:cs="Arial"/>
                <w:sz w:val="18"/>
                <w:szCs w:val="18"/>
              </w:rPr>
            </w:pPr>
            <w:r w:rsidRPr="00994516">
              <w:rPr>
                <w:rFonts w:cs="Arial"/>
                <w:sz w:val="18"/>
                <w:szCs w:val="18"/>
              </w:rPr>
              <w:t>PRUNU_PER</w:t>
            </w:r>
          </w:p>
          <w:p w14:paraId="29D57085" w14:textId="77777777" w:rsidR="0026375A" w:rsidRPr="00994516" w:rsidRDefault="0026375A" w:rsidP="0026375A">
            <w:pPr>
              <w:keepNext/>
              <w:spacing w:before="40" w:after="40"/>
              <w:jc w:val="left"/>
              <w:rPr>
                <w:sz w:val="18"/>
                <w:szCs w:val="18"/>
              </w:rPr>
            </w:pPr>
            <w:r w:rsidRPr="00994516">
              <w:rPr>
                <w:sz w:val="18"/>
                <w:szCs w:val="18"/>
              </w:rPr>
              <w:t>En cas de croisement interspécifique, les classes de toutes les espèces parentales concernées sont appliquées.</w:t>
            </w:r>
          </w:p>
        </w:tc>
      </w:tr>
      <w:tr w:rsidR="0026375A" w:rsidRPr="00994516" w14:paraId="4C63CC4A" w14:textId="77777777" w:rsidTr="00124437">
        <w:trPr>
          <w:cantSplit/>
          <w:trHeight w:val="737"/>
        </w:trPr>
        <w:tc>
          <w:tcPr>
            <w:tcW w:w="183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DC88108" w14:textId="77777777" w:rsidR="0026375A" w:rsidRPr="00994516" w:rsidRDefault="0026375A" w:rsidP="009D16D1">
            <w:pPr>
              <w:spacing w:before="40" w:after="40"/>
              <w:ind w:left="-1529" w:firstLine="1529"/>
              <w:jc w:val="left"/>
              <w:rPr>
                <w:rFonts w:cs="Arial"/>
                <w:sz w:val="18"/>
                <w:szCs w:val="18"/>
              </w:rPr>
            </w:pPr>
            <w:r w:rsidRPr="00994516">
              <w:rPr>
                <w:rFonts w:cs="Arial"/>
                <w:sz w:val="18"/>
                <w:szCs w:val="18"/>
              </w:rPr>
              <w:t>Nouvelle classe 6.4</w:t>
            </w:r>
          </w:p>
        </w:tc>
        <w:tc>
          <w:tcPr>
            <w:tcW w:w="510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00B016D" w14:textId="77777777" w:rsidR="0026375A" w:rsidRPr="00994516" w:rsidRDefault="0026375A" w:rsidP="009D16D1">
            <w:pPr>
              <w:spacing w:before="40" w:after="40"/>
              <w:jc w:val="left"/>
              <w:rPr>
                <w:rFonts w:cs="Arial"/>
                <w:sz w:val="18"/>
                <w:szCs w:val="18"/>
              </w:rPr>
            </w:pPr>
            <w:r w:rsidRPr="00994516">
              <w:rPr>
                <w:rFonts w:cs="Arial"/>
                <w:i/>
                <w:sz w:val="18"/>
                <w:szCs w:val="18"/>
              </w:rPr>
              <w:t>Pruniers</w:t>
            </w:r>
            <w:r w:rsidRPr="00994516">
              <w:rPr>
                <w:rFonts w:cs="Arial"/>
                <w:sz w:val="18"/>
                <w:szCs w:val="18"/>
              </w:rPr>
              <w:t xml:space="preserve"> autres que ceux relevant des classes 6.1, 6.2 et 6.3, y compris PRUNU dans plus d’une classe.</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1426D31" w14:textId="77777777" w:rsidR="0026375A" w:rsidRPr="00994516" w:rsidRDefault="0026375A" w:rsidP="009D16D1">
            <w:pPr>
              <w:jc w:val="left"/>
              <w:rPr>
                <w:rFonts w:cs="Arial"/>
                <w:sz w:val="18"/>
                <w:szCs w:val="18"/>
              </w:rPr>
            </w:pPr>
            <w:r w:rsidRPr="00994516">
              <w:rPr>
                <w:rFonts w:cs="Arial"/>
                <w:sz w:val="18"/>
                <w:szCs w:val="18"/>
              </w:rPr>
              <w:t>autres que les classes 6.1, 6.2 et 6.3, y compris PRUNU dans plus d’une classe.</w:t>
            </w:r>
          </w:p>
        </w:tc>
      </w:tr>
    </w:tbl>
    <w:p w14:paraId="2BA10468" w14:textId="77777777" w:rsidR="0026375A" w:rsidRPr="00994516" w:rsidRDefault="0026375A" w:rsidP="0026375A">
      <w:pPr>
        <w:rPr>
          <w:i/>
        </w:rPr>
      </w:pPr>
    </w:p>
    <w:p w14:paraId="5B32D53C" w14:textId="5AC9B713" w:rsidR="0026375A" w:rsidRPr="00994516" w:rsidRDefault="0026375A" w:rsidP="0026375A">
      <w:pPr>
        <w:keepLines/>
        <w:rPr>
          <w:rFonts w:cs="Arial"/>
          <w:color w:val="000000"/>
        </w:rPr>
      </w:pPr>
      <w:r w:rsidRPr="00994516">
        <w:fldChar w:fldCharType="begin"/>
      </w:r>
      <w:r w:rsidRPr="00994516">
        <w:instrText xml:space="preserve"> LISTNUM  LegalDefault \l 1 </w:instrText>
      </w:r>
      <w:r w:rsidRPr="00994516">
        <w:fldChar w:fldCharType="end"/>
      </w:r>
      <w:r w:rsidRPr="00994516">
        <w:tab/>
        <w:t xml:space="preserve">La proposition ne mentionne pas </w:t>
      </w:r>
      <w:r w:rsidRPr="00994516">
        <w:rPr>
          <w:rFonts w:cs="Arial"/>
          <w:i/>
          <w:iCs/>
          <w:color w:val="000000"/>
        </w:rPr>
        <w:t xml:space="preserve">Prunus </w:t>
      </w:r>
      <w:proofErr w:type="spellStart"/>
      <w:r w:rsidRPr="00994516">
        <w:rPr>
          <w:rFonts w:cs="Arial"/>
          <w:i/>
          <w:iCs/>
          <w:color w:val="000000"/>
        </w:rPr>
        <w:t>insititia</w:t>
      </w:r>
      <w:proofErr w:type="spellEnd"/>
      <w:r w:rsidRPr="00994516">
        <w:rPr>
          <w:rFonts w:cs="Arial"/>
          <w:color w:val="000000"/>
        </w:rPr>
        <w:t xml:space="preserve"> dans la mesure où il a été reclassé comme synonyme de </w:t>
      </w:r>
      <w:r w:rsidRPr="00994516">
        <w:rPr>
          <w:rFonts w:cs="Arial"/>
          <w:i/>
          <w:iCs/>
          <w:color w:val="000000"/>
        </w:rPr>
        <w:t>P. </w:t>
      </w:r>
      <w:proofErr w:type="spellStart"/>
      <w:r w:rsidRPr="00994516">
        <w:rPr>
          <w:rFonts w:cs="Arial"/>
          <w:i/>
          <w:iCs/>
          <w:color w:val="000000"/>
        </w:rPr>
        <w:t>domestica</w:t>
      </w:r>
      <w:proofErr w:type="spellEnd"/>
      <w:r w:rsidRPr="00994516">
        <w:rPr>
          <w:rFonts w:cs="Arial"/>
          <w:i/>
          <w:iCs/>
          <w:color w:val="000000"/>
        </w:rPr>
        <w:t> </w:t>
      </w:r>
      <w:r w:rsidRPr="00994516">
        <w:rPr>
          <w:rFonts w:cs="Arial"/>
          <w:color w:val="000000"/>
        </w:rPr>
        <w:t xml:space="preserve">L. sous-esp., </w:t>
      </w:r>
      <w:proofErr w:type="spellStart"/>
      <w:r w:rsidRPr="00994516">
        <w:rPr>
          <w:rFonts w:cs="Arial"/>
          <w:i/>
          <w:iCs/>
          <w:color w:val="000000"/>
        </w:rPr>
        <w:t>insititia</w:t>
      </w:r>
      <w:proofErr w:type="spellEnd"/>
      <w:r w:rsidRPr="00994516">
        <w:rPr>
          <w:rFonts w:cs="Arial"/>
          <w:color w:val="000000"/>
        </w:rPr>
        <w:t xml:space="preserve"> (L.) C. K. </w:t>
      </w:r>
      <w:proofErr w:type="spellStart"/>
      <w:r w:rsidRPr="00994516">
        <w:rPr>
          <w:rFonts w:cs="Arial"/>
          <w:color w:val="000000"/>
        </w:rPr>
        <w:t>Schneid</w:t>
      </w:r>
      <w:proofErr w:type="spellEnd"/>
      <w:r w:rsidRPr="00994516">
        <w:rPr>
          <w:rFonts w:cs="Arial"/>
          <w:color w:val="000000"/>
        </w:rPr>
        <w:t xml:space="preserve"> et est par conséquent incorporé au sein de </w:t>
      </w:r>
      <w:r w:rsidRPr="00994516">
        <w:rPr>
          <w:rFonts w:cs="Arial"/>
          <w:i/>
          <w:iCs/>
          <w:color w:val="000000"/>
        </w:rPr>
        <w:t>P.</w:t>
      </w:r>
      <w:r w:rsidR="009D16D1">
        <w:rPr>
          <w:rFonts w:cs="Arial"/>
          <w:i/>
          <w:iCs/>
          <w:color w:val="000000"/>
        </w:rPr>
        <w:t> </w:t>
      </w:r>
      <w:proofErr w:type="spellStart"/>
      <w:r w:rsidRPr="00994516">
        <w:rPr>
          <w:rFonts w:cs="Arial"/>
          <w:i/>
          <w:iCs/>
          <w:color w:val="000000"/>
        </w:rPr>
        <w:t>domestica</w:t>
      </w:r>
      <w:proofErr w:type="spellEnd"/>
      <w:r w:rsidRPr="00994516">
        <w:rPr>
          <w:rFonts w:cs="Arial"/>
          <w:i/>
          <w:iCs/>
          <w:color w:val="000000"/>
        </w:rPr>
        <w:t xml:space="preserve"> </w:t>
      </w:r>
      <w:r w:rsidRPr="00994516">
        <w:rPr>
          <w:rFonts w:cs="Arial"/>
          <w:color w:val="000000"/>
        </w:rPr>
        <w:t xml:space="preserve">L. (PRUNU_DOM).  Il n’existe actuellement aucun code UPOV pour </w:t>
      </w:r>
      <w:r w:rsidRPr="00994516">
        <w:rPr>
          <w:rFonts w:cs="Arial"/>
          <w:i/>
          <w:iCs/>
          <w:color w:val="000000"/>
        </w:rPr>
        <w:t xml:space="preserve">Prunus </w:t>
      </w:r>
      <w:proofErr w:type="spellStart"/>
      <w:r w:rsidRPr="00994516">
        <w:rPr>
          <w:rFonts w:cs="Arial"/>
          <w:i/>
          <w:iCs/>
          <w:color w:val="000000"/>
        </w:rPr>
        <w:t>subcordata</w:t>
      </w:r>
      <w:proofErr w:type="spellEnd"/>
      <w:r w:rsidRPr="00994516">
        <w:rPr>
          <w:rFonts w:cs="Arial"/>
          <w:color w:val="000000"/>
        </w:rPr>
        <w:t xml:space="preserve"> dans la mesure où aucune variété n’a été rapportée par les contributeurs de la base de données PLUTO.  </w:t>
      </w:r>
    </w:p>
    <w:p w14:paraId="482B3544" w14:textId="77777777" w:rsidR="0026375A" w:rsidRPr="00994516" w:rsidRDefault="0026375A" w:rsidP="0026375A">
      <w:pPr>
        <w:rPr>
          <w:rFonts w:eastAsiaTheme="minorEastAsia"/>
        </w:rPr>
      </w:pPr>
    </w:p>
    <w:p w14:paraId="7301453D" w14:textId="21EA91E5"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La création de classes de dénominations variétales pour </w:t>
      </w:r>
      <w:r w:rsidRPr="009D16D1">
        <w:rPr>
          <w:i/>
          <w:iCs/>
        </w:rPr>
        <w:t>Prunus</w:t>
      </w:r>
      <w:r w:rsidRPr="00994516">
        <w:t xml:space="preserve"> doit être suivie d’une actualisation des classes de dénominations variétales des codes UPOV pour les hybrides interspécifiques de </w:t>
      </w:r>
      <w:r w:rsidRPr="00994516">
        <w:rPr>
          <w:i/>
          <w:iCs/>
        </w:rPr>
        <w:t>Prunus,</w:t>
      </w:r>
      <w:r w:rsidRPr="00994516">
        <w:t xml:space="preserve"> qui doivent être indiquées dans la base de données GENIE avec les classes de dénominations de toutes les espèces parentales utilisées dans les croisements respectifs.</w:t>
      </w:r>
    </w:p>
    <w:p w14:paraId="12CA34FE" w14:textId="77777777" w:rsidR="0026375A" w:rsidRPr="00994516" w:rsidRDefault="0026375A" w:rsidP="004A0198">
      <w:pPr>
        <w:spacing w:before="720"/>
        <w:ind w:left="5363"/>
        <w:jc w:val="right"/>
      </w:pPr>
      <w:r w:rsidRPr="00994516">
        <w:t>[L’annexe II suit]</w:t>
      </w:r>
    </w:p>
    <w:p w14:paraId="725FA340" w14:textId="77777777" w:rsidR="0026375A" w:rsidRPr="00994516" w:rsidRDefault="0026375A" w:rsidP="0026375A">
      <w:pPr>
        <w:sectPr w:rsidR="0026375A" w:rsidRPr="00994516" w:rsidSect="0026375A">
          <w:headerReference w:type="default" r:id="rId12"/>
          <w:footerReference w:type="even" r:id="rId13"/>
          <w:footerReference w:type="default" r:id="rId14"/>
          <w:headerReference w:type="first" r:id="rId15"/>
          <w:footerReference w:type="first" r:id="rId16"/>
          <w:footnotePr>
            <w:numRestart w:val="eachSect"/>
          </w:footnotePr>
          <w:pgSz w:w="11907" w:h="16840" w:code="9"/>
          <w:pgMar w:top="510" w:right="1134" w:bottom="1134" w:left="1134" w:header="510" w:footer="680" w:gutter="0"/>
          <w:pgNumType w:start="1"/>
          <w:cols w:space="720"/>
          <w:titlePg/>
        </w:sectPr>
      </w:pPr>
    </w:p>
    <w:p w14:paraId="5A06CA2E" w14:textId="77777777" w:rsidR="0026375A" w:rsidRPr="00994516" w:rsidRDefault="0026375A" w:rsidP="0026375A">
      <w:pPr>
        <w:jc w:val="center"/>
      </w:pPr>
      <w:bookmarkStart w:id="115" w:name="ANNEXEII"/>
      <w:r w:rsidRPr="00994516">
        <w:lastRenderedPageBreak/>
        <w:t>ANNEXE II</w:t>
      </w:r>
    </w:p>
    <w:bookmarkEnd w:id="115"/>
    <w:p w14:paraId="51873155" w14:textId="77777777" w:rsidR="0026375A" w:rsidRPr="00994516" w:rsidRDefault="0026375A" w:rsidP="0026375A"/>
    <w:p w14:paraId="4A7C75ED" w14:textId="77777777" w:rsidR="0026375A" w:rsidRPr="00994516" w:rsidRDefault="0026375A" w:rsidP="0026375A">
      <w:pPr>
        <w:jc w:val="center"/>
        <w:rPr>
          <w:caps/>
        </w:rPr>
      </w:pPr>
      <w:r w:rsidRPr="00994516">
        <w:t>DOCUMENT TGP/12</w:t>
      </w:r>
      <w:r w:rsidRPr="00994516">
        <w:rPr>
          <w:rFonts w:eastAsiaTheme="minorEastAsia" w:cs="Arial"/>
        </w:rPr>
        <w:t xml:space="preserve"> : </w:t>
      </w:r>
      <w:r w:rsidRPr="00994516">
        <w:rPr>
          <w:caps/>
        </w:rPr>
        <w:t xml:space="preserve">Conseils en ce qui concerne certains </w:t>
      </w:r>
    </w:p>
    <w:p w14:paraId="23C4DC17" w14:textId="77777777" w:rsidR="0026375A" w:rsidRPr="00994516" w:rsidRDefault="0026375A" w:rsidP="0026375A">
      <w:pPr>
        <w:jc w:val="center"/>
        <w:rPr>
          <w:caps/>
        </w:rPr>
      </w:pPr>
      <w:r w:rsidRPr="00994516">
        <w:rPr>
          <w:caps/>
        </w:rPr>
        <w:t>caractères physiologiques (révision)</w:t>
      </w:r>
    </w:p>
    <w:p w14:paraId="523C33C6" w14:textId="77777777" w:rsidR="0026375A" w:rsidRPr="00994516" w:rsidRDefault="0026375A" w:rsidP="0026375A"/>
    <w:p w14:paraId="6A9B0F77" w14:textId="77777777" w:rsidR="0026375A" w:rsidRPr="00994516" w:rsidRDefault="0026375A" w:rsidP="0026375A">
      <w:pPr>
        <w:jc w:val="center"/>
        <w:rPr>
          <w:u w:val="single"/>
        </w:rPr>
      </w:pPr>
      <w:r w:rsidRPr="00994516">
        <w:rPr>
          <w:u w:val="single"/>
        </w:rPr>
        <w:t>Tableau d’é</w:t>
      </w:r>
      <w:r w:rsidRPr="00994516">
        <w:rPr>
          <w:rFonts w:eastAsiaTheme="minorEastAsia" w:cs="Arial"/>
          <w:u w:val="single"/>
        </w:rPr>
        <w:t>quivalence entre les niveaux d’expression d</w:t>
      </w:r>
      <w:r w:rsidRPr="00994516">
        <w:rPr>
          <w:u w:val="single"/>
        </w:rPr>
        <w:t xml:space="preserve">es caractères quantitatifs </w:t>
      </w:r>
    </w:p>
    <w:p w14:paraId="59AD2E95" w14:textId="77777777" w:rsidR="0026375A" w:rsidRPr="00994516" w:rsidRDefault="0026375A" w:rsidP="0026375A">
      <w:pPr>
        <w:jc w:val="center"/>
      </w:pPr>
      <w:r w:rsidRPr="00994516">
        <w:rPr>
          <w:u w:val="single"/>
        </w:rPr>
        <w:t>de résistance aux maladies qui figurent dans les principes directeurs d’examen</w:t>
      </w:r>
    </w:p>
    <w:p w14:paraId="63E0E89D" w14:textId="77777777" w:rsidR="0026375A" w:rsidRPr="00994516" w:rsidRDefault="0026375A" w:rsidP="0026375A"/>
    <w:p w14:paraId="4648AABF" w14:textId="77777777" w:rsidR="0026375A" w:rsidRPr="00994516" w:rsidRDefault="0026375A" w:rsidP="0026375A">
      <w:pPr>
        <w:rPr>
          <w:i/>
        </w:rPr>
      </w:pPr>
      <w:r w:rsidRPr="00994516">
        <w:rPr>
          <w:i/>
        </w:rPr>
        <w:t>Rappel</w:t>
      </w:r>
    </w:p>
    <w:p w14:paraId="6CCB47D0" w14:textId="77777777" w:rsidR="0026375A" w:rsidRPr="00994516" w:rsidRDefault="0026375A" w:rsidP="0026375A">
      <w:pPr>
        <w:rPr>
          <w:i/>
        </w:rPr>
      </w:pPr>
    </w:p>
    <w:p w14:paraId="4D8EDC04" w14:textId="776B6FD3" w:rsidR="0026375A" w:rsidRPr="00994516" w:rsidRDefault="0026375A" w:rsidP="0026375A">
      <w:r w:rsidRPr="00994516">
        <w:fldChar w:fldCharType="begin"/>
      </w:r>
      <w:r w:rsidRPr="00994516">
        <w:instrText xml:space="preserve"> LISTNUM  LegalDefault \l 1 \s 1 </w:instrText>
      </w:r>
      <w:r w:rsidRPr="00994516">
        <w:fldChar w:fldCharType="end"/>
      </w:r>
      <w:r w:rsidRPr="00994516">
        <w:tab/>
        <w:t>Lors de sa session de 2023, le TWV</w:t>
      </w:r>
      <w:bookmarkStart w:id="116" w:name="_Ref164159912"/>
      <w:r w:rsidRPr="00994516">
        <w:rPr>
          <w:vertAlign w:val="superscript"/>
        </w:rPr>
        <w:footnoteReference w:id="7"/>
      </w:r>
      <w:bookmarkEnd w:id="116"/>
      <w:r w:rsidRPr="00994516">
        <w:t xml:space="preserve"> a assisté à un exposé intitulé “Caractères de résistance aux maladies” présenté par un expert d’</w:t>
      </w:r>
      <w:proofErr w:type="spellStart"/>
      <w:r w:rsidRPr="00994516">
        <w:t>Euroseeds</w:t>
      </w:r>
      <w:proofErr w:type="spellEnd"/>
      <w:r w:rsidRPr="00994516">
        <w:t xml:space="preserve">, au nom de </w:t>
      </w:r>
      <w:proofErr w:type="spellStart"/>
      <w:r w:rsidRPr="00994516">
        <w:t>CropLife</w:t>
      </w:r>
      <w:proofErr w:type="spellEnd"/>
      <w:r w:rsidRPr="00994516">
        <w:t xml:space="preserve"> International, d’</w:t>
      </w:r>
      <w:proofErr w:type="spellStart"/>
      <w:r w:rsidRPr="00994516">
        <w:t>Euroseeds</w:t>
      </w:r>
      <w:proofErr w:type="spellEnd"/>
      <w:r w:rsidRPr="00994516">
        <w:t xml:space="preserve"> et de l’International </w:t>
      </w:r>
      <w:proofErr w:type="spellStart"/>
      <w:r w:rsidRPr="00994516">
        <w:t>Seed</w:t>
      </w:r>
      <w:proofErr w:type="spellEnd"/>
      <w:r w:rsidRPr="00994516">
        <w:t xml:space="preserve"> </w:t>
      </w:r>
      <w:proofErr w:type="spellStart"/>
      <w:r w:rsidRPr="00994516">
        <w:t>Federation</w:t>
      </w:r>
      <w:proofErr w:type="spellEnd"/>
      <w:r w:rsidRPr="00994516">
        <w:t xml:space="preserve"> (ISF).  Le texte de l’exposé est reproduit dans le document TWV/57/10 </w:t>
      </w:r>
      <w:proofErr w:type="spellStart"/>
      <w:r w:rsidRPr="00994516">
        <w:t>Add</w:t>
      </w:r>
      <w:proofErr w:type="spellEnd"/>
      <w:r w:rsidRPr="00994516">
        <w:t xml:space="preserve"> </w:t>
      </w:r>
      <w:r w:rsidRPr="00994516">
        <w:rPr>
          <w:rFonts w:eastAsia="MS Mincho"/>
        </w:rPr>
        <w:t>(voir le document TWV/57/26 “</w:t>
      </w:r>
      <w:r w:rsidR="00337040">
        <w:rPr>
          <w:rFonts w:eastAsia="MS Mincho"/>
        </w:rPr>
        <w:t>Report</w:t>
      </w:r>
      <w:r w:rsidRPr="00994516">
        <w:rPr>
          <w:rFonts w:eastAsia="MS Mincho"/>
          <w:i/>
        </w:rPr>
        <w:t>”</w:t>
      </w:r>
      <w:r w:rsidRPr="00994516">
        <w:rPr>
          <w:rFonts w:eastAsia="MS Mincho"/>
        </w:rPr>
        <w:t>, paragraphes 25 à 28)</w:t>
      </w:r>
      <w:r w:rsidRPr="00994516">
        <w:t>.</w:t>
      </w:r>
    </w:p>
    <w:p w14:paraId="7C9B5D31" w14:textId="77777777" w:rsidR="0026375A" w:rsidRPr="00994516" w:rsidRDefault="0026375A" w:rsidP="0026375A"/>
    <w:p w14:paraId="6F531589" w14:textId="10BEEA6D"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TWV a noté que la terminologie utilisée dans l’échelle de notes condensée (notes 1; 2; 3) pour les caractères quantitatifs de résistance aux maladies dans les principes directeurs d’examen de l’UPOV diffère de la terminologie utilisée dans le secteur des semences potagères.  Le TWV </w:t>
      </w:r>
      <w:r w:rsidR="001C2590">
        <w:t>est convenu</w:t>
      </w:r>
      <w:r w:rsidRPr="00994516">
        <w:t xml:space="preserve"> qu</w:t>
      </w:r>
      <w:bookmarkStart w:id="117" w:name="_Ref164159577"/>
      <w:r w:rsidRPr="00994516">
        <w:t>e le tableau suivant fournit l’équivalence entre les niveaux d’expression utilisés dans les principes directeurs d’examen de l’UPOV et la terminologie utilisée dans le secteur des semences potagères</w:t>
      </w:r>
      <w:r w:rsidRPr="00994516">
        <w:rPr>
          <w:vertAlign w:val="superscript"/>
        </w:rPr>
        <w:footnoteReference w:id="8"/>
      </w:r>
      <w:bookmarkEnd w:id="117"/>
      <w:r w:rsidRPr="00994516">
        <w:t> :</w:t>
      </w:r>
    </w:p>
    <w:p w14:paraId="616E28F8" w14:textId="77777777" w:rsidR="0026375A" w:rsidRPr="00994516" w:rsidRDefault="0026375A" w:rsidP="0026375A"/>
    <w:tbl>
      <w:tblPr>
        <w:tblpPr w:leftFromText="180" w:rightFromText="180" w:vertAnchor="text" w:horzAnchor="margin" w:tblpXSpec="center" w:tblpY="22"/>
        <w:tblW w:w="9737" w:type="dxa"/>
        <w:tblLook w:val="04A0" w:firstRow="1" w:lastRow="0" w:firstColumn="1" w:lastColumn="0" w:noHBand="0" w:noVBand="1"/>
      </w:tblPr>
      <w:tblGrid>
        <w:gridCol w:w="988"/>
        <w:gridCol w:w="3685"/>
        <w:gridCol w:w="5064"/>
      </w:tblGrid>
      <w:tr w:rsidR="0026375A" w:rsidRPr="00994516" w14:paraId="74AC412F" w14:textId="77777777" w:rsidTr="00124437">
        <w:trPr>
          <w:cantSplit/>
          <w:trHeight w:val="416"/>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AA34" w14:textId="77777777" w:rsidR="0026375A" w:rsidRPr="00994516" w:rsidRDefault="0026375A" w:rsidP="0026375A">
            <w:pPr>
              <w:jc w:val="left"/>
              <w:rPr>
                <w:rFonts w:cs="Arial"/>
                <w:color w:val="000000"/>
                <w:sz w:val="18"/>
              </w:rPr>
            </w:pPr>
            <w:r w:rsidRPr="00994516">
              <w:rPr>
                <w:rFonts w:cs="Arial"/>
                <w:color w:val="000000"/>
                <w:sz w:val="18"/>
              </w:rPr>
              <w:t> </w:t>
            </w:r>
          </w:p>
        </w:tc>
        <w:tc>
          <w:tcPr>
            <w:tcW w:w="8749" w:type="dxa"/>
            <w:gridSpan w:val="2"/>
            <w:tcBorders>
              <w:top w:val="single" w:sz="4" w:space="0" w:color="auto"/>
              <w:left w:val="nil"/>
              <w:bottom w:val="single" w:sz="4" w:space="0" w:color="auto"/>
              <w:right w:val="single" w:sz="4" w:space="0" w:color="auto"/>
            </w:tcBorders>
            <w:shd w:val="clear" w:color="auto" w:fill="auto"/>
            <w:vAlign w:val="center"/>
            <w:hideMark/>
          </w:tcPr>
          <w:p w14:paraId="185C6D40" w14:textId="77777777" w:rsidR="0026375A" w:rsidRPr="00994516" w:rsidRDefault="0026375A" w:rsidP="0026375A">
            <w:pPr>
              <w:jc w:val="center"/>
              <w:rPr>
                <w:rFonts w:cs="Arial"/>
                <w:color w:val="000000"/>
                <w:sz w:val="18"/>
              </w:rPr>
            </w:pPr>
            <w:r w:rsidRPr="00994516">
              <w:rPr>
                <w:rFonts w:cs="Arial"/>
                <w:color w:val="000000"/>
                <w:sz w:val="18"/>
              </w:rPr>
              <w:t xml:space="preserve">Équivalence entre les niveaux d’expression utilisés dans les principes directeurs d’examen de l’UPOV </w:t>
            </w:r>
          </w:p>
          <w:p w14:paraId="2CD7FA5B" w14:textId="77777777" w:rsidR="0026375A" w:rsidRPr="00994516" w:rsidRDefault="0026375A" w:rsidP="0026375A">
            <w:pPr>
              <w:jc w:val="center"/>
              <w:rPr>
                <w:rFonts w:cs="Arial"/>
                <w:color w:val="000000"/>
                <w:sz w:val="18"/>
              </w:rPr>
            </w:pPr>
            <w:r w:rsidRPr="00994516">
              <w:rPr>
                <w:rFonts w:cs="Arial"/>
                <w:color w:val="000000"/>
                <w:sz w:val="18"/>
              </w:rPr>
              <w:t>et la terminologie utilisée dans le secteur des semences potagères</w:t>
            </w:r>
          </w:p>
        </w:tc>
      </w:tr>
      <w:tr w:rsidR="0026375A" w:rsidRPr="00994516" w14:paraId="33586442" w14:textId="77777777" w:rsidTr="00337040">
        <w:trPr>
          <w:cantSplit/>
          <w:trHeight w:val="269"/>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0F4D96E5" w14:textId="77777777" w:rsidR="0026375A" w:rsidRPr="00994516" w:rsidRDefault="0026375A" w:rsidP="0026375A">
            <w:pPr>
              <w:jc w:val="left"/>
              <w:rPr>
                <w:rFonts w:cs="Arial"/>
                <w:sz w:val="18"/>
              </w:rPr>
            </w:pPr>
            <w:r w:rsidRPr="00994516">
              <w:rPr>
                <w:rFonts w:cs="Arial"/>
                <w:sz w:val="18"/>
              </w:rPr>
              <w:t> </w:t>
            </w:r>
          </w:p>
        </w:tc>
        <w:tc>
          <w:tcPr>
            <w:tcW w:w="3685" w:type="dxa"/>
            <w:tcBorders>
              <w:top w:val="nil"/>
              <w:left w:val="nil"/>
              <w:bottom w:val="single" w:sz="4" w:space="0" w:color="auto"/>
              <w:right w:val="single" w:sz="4" w:space="0" w:color="auto"/>
            </w:tcBorders>
            <w:shd w:val="clear" w:color="auto" w:fill="auto"/>
            <w:noWrap/>
            <w:vAlign w:val="center"/>
            <w:hideMark/>
          </w:tcPr>
          <w:p w14:paraId="2EA29B8B" w14:textId="77777777" w:rsidR="0026375A" w:rsidRPr="00994516" w:rsidRDefault="0026375A" w:rsidP="0026375A">
            <w:pPr>
              <w:jc w:val="center"/>
              <w:rPr>
                <w:rFonts w:cs="Arial"/>
                <w:bCs/>
                <w:sz w:val="18"/>
              </w:rPr>
            </w:pPr>
            <w:r w:rsidRPr="00994516">
              <w:rPr>
                <w:rFonts w:cs="Arial"/>
                <w:bCs/>
                <w:sz w:val="18"/>
              </w:rPr>
              <w:t>Niveau d’expression utilisé dans les principes directeurs d’examen de l’UPOV</w:t>
            </w:r>
          </w:p>
        </w:tc>
        <w:tc>
          <w:tcPr>
            <w:tcW w:w="5064" w:type="dxa"/>
            <w:tcBorders>
              <w:top w:val="nil"/>
              <w:left w:val="nil"/>
              <w:bottom w:val="single" w:sz="4" w:space="0" w:color="auto"/>
              <w:right w:val="single" w:sz="4" w:space="0" w:color="auto"/>
            </w:tcBorders>
            <w:shd w:val="clear" w:color="auto" w:fill="auto"/>
            <w:vAlign w:val="center"/>
            <w:hideMark/>
          </w:tcPr>
          <w:p w14:paraId="2F3600DC" w14:textId="77777777" w:rsidR="0026375A" w:rsidRPr="00994516" w:rsidRDefault="0026375A" w:rsidP="0026375A">
            <w:pPr>
              <w:jc w:val="center"/>
              <w:rPr>
                <w:rFonts w:cs="Arial"/>
                <w:bCs/>
                <w:sz w:val="18"/>
              </w:rPr>
            </w:pPr>
            <w:r w:rsidRPr="00994516">
              <w:rPr>
                <w:rFonts w:cs="Arial"/>
                <w:bCs/>
                <w:sz w:val="18"/>
              </w:rPr>
              <w:t xml:space="preserve">Terminologie utilisée dans le secteur </w:t>
            </w:r>
          </w:p>
          <w:p w14:paraId="45CBB7D6" w14:textId="77777777" w:rsidR="0026375A" w:rsidRPr="00994516" w:rsidRDefault="0026375A" w:rsidP="0026375A">
            <w:pPr>
              <w:jc w:val="center"/>
              <w:rPr>
                <w:rFonts w:cs="Arial"/>
                <w:bCs/>
                <w:sz w:val="18"/>
              </w:rPr>
            </w:pPr>
            <w:r w:rsidRPr="00994516">
              <w:rPr>
                <w:rFonts w:cs="Arial"/>
                <w:bCs/>
                <w:sz w:val="18"/>
              </w:rPr>
              <w:t>des semences potagères</w:t>
            </w:r>
            <w:r w:rsidRPr="00994516">
              <w:rPr>
                <w:rFonts w:cs="Arial"/>
                <w:bCs/>
                <w:sz w:val="18"/>
                <w:vertAlign w:val="superscript"/>
              </w:rPr>
              <w:footnoteReference w:id="9"/>
            </w:r>
          </w:p>
        </w:tc>
      </w:tr>
      <w:tr w:rsidR="0026375A" w:rsidRPr="00994516" w14:paraId="646BECE7" w14:textId="77777777" w:rsidTr="00337040">
        <w:trPr>
          <w:cantSplit/>
          <w:trHeight w:val="25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610B17CF" w14:textId="77777777" w:rsidR="0026375A" w:rsidRPr="00994516" w:rsidRDefault="0026375A" w:rsidP="0026375A">
            <w:pPr>
              <w:jc w:val="left"/>
              <w:rPr>
                <w:rFonts w:cs="Arial"/>
                <w:sz w:val="18"/>
              </w:rPr>
            </w:pPr>
            <w:r w:rsidRPr="00994516">
              <w:rPr>
                <w:rFonts w:cs="Arial"/>
                <w:sz w:val="18"/>
              </w:rPr>
              <w:t>Notes de l’UPOV</w:t>
            </w:r>
          </w:p>
        </w:tc>
        <w:tc>
          <w:tcPr>
            <w:tcW w:w="3685" w:type="dxa"/>
            <w:tcBorders>
              <w:top w:val="nil"/>
              <w:left w:val="nil"/>
              <w:bottom w:val="single" w:sz="4" w:space="0" w:color="auto"/>
              <w:right w:val="single" w:sz="4" w:space="0" w:color="auto"/>
            </w:tcBorders>
            <w:shd w:val="clear" w:color="auto" w:fill="auto"/>
            <w:vAlign w:val="center"/>
            <w:hideMark/>
          </w:tcPr>
          <w:p w14:paraId="019D4641" w14:textId="77777777" w:rsidR="0026375A" w:rsidRPr="00994516" w:rsidRDefault="0026375A" w:rsidP="0026375A">
            <w:pPr>
              <w:jc w:val="left"/>
              <w:rPr>
                <w:rFonts w:cs="Arial"/>
                <w:sz w:val="18"/>
              </w:rPr>
            </w:pPr>
            <w:r w:rsidRPr="00994516">
              <w:rPr>
                <w:rFonts w:cs="Arial"/>
                <w:sz w:val="18"/>
              </w:rPr>
              <w:t>Résistance à [nom de la maladie] :</w:t>
            </w:r>
          </w:p>
        </w:tc>
        <w:tc>
          <w:tcPr>
            <w:tcW w:w="5064" w:type="dxa"/>
            <w:tcBorders>
              <w:top w:val="nil"/>
              <w:left w:val="nil"/>
              <w:bottom w:val="single" w:sz="4" w:space="0" w:color="auto"/>
              <w:right w:val="single" w:sz="4" w:space="0" w:color="auto"/>
            </w:tcBorders>
            <w:shd w:val="clear" w:color="auto" w:fill="auto"/>
            <w:vAlign w:val="center"/>
            <w:hideMark/>
          </w:tcPr>
          <w:p w14:paraId="099CEE3A" w14:textId="77777777" w:rsidR="0026375A" w:rsidRPr="00994516" w:rsidRDefault="0026375A" w:rsidP="0026375A">
            <w:pPr>
              <w:jc w:val="left"/>
              <w:rPr>
                <w:rFonts w:cs="Arial"/>
                <w:sz w:val="18"/>
              </w:rPr>
            </w:pPr>
            <w:r w:rsidRPr="00994516">
              <w:rPr>
                <w:rFonts w:cs="Arial"/>
                <w:sz w:val="18"/>
              </w:rPr>
              <w:t>Résistance d’une variété végétale à un ravageur spécifique :</w:t>
            </w:r>
          </w:p>
        </w:tc>
      </w:tr>
      <w:tr w:rsidR="0026375A" w:rsidRPr="00994516" w14:paraId="02237879" w14:textId="77777777" w:rsidTr="00337040">
        <w:trPr>
          <w:cantSplit/>
          <w:trHeight w:val="25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1B6C4A5A" w14:textId="77777777" w:rsidR="0026375A" w:rsidRPr="00994516" w:rsidRDefault="0026375A" w:rsidP="0026375A">
            <w:pPr>
              <w:jc w:val="right"/>
              <w:rPr>
                <w:rFonts w:cs="Arial"/>
                <w:sz w:val="18"/>
              </w:rPr>
            </w:pPr>
            <w:r w:rsidRPr="00994516">
              <w:rPr>
                <w:rFonts w:cs="Arial"/>
                <w:sz w:val="18"/>
              </w:rPr>
              <w:t>1</w:t>
            </w:r>
          </w:p>
        </w:tc>
        <w:tc>
          <w:tcPr>
            <w:tcW w:w="3685" w:type="dxa"/>
            <w:tcBorders>
              <w:top w:val="nil"/>
              <w:left w:val="nil"/>
              <w:bottom w:val="single" w:sz="4" w:space="0" w:color="auto"/>
              <w:right w:val="single" w:sz="4" w:space="0" w:color="auto"/>
            </w:tcBorders>
            <w:shd w:val="clear" w:color="auto" w:fill="auto"/>
            <w:noWrap/>
            <w:vAlign w:val="center"/>
            <w:hideMark/>
          </w:tcPr>
          <w:p w14:paraId="246D1432" w14:textId="77777777" w:rsidR="0026375A" w:rsidRPr="00994516" w:rsidRDefault="0026375A" w:rsidP="0026375A">
            <w:pPr>
              <w:jc w:val="left"/>
              <w:rPr>
                <w:rFonts w:cs="Arial"/>
                <w:sz w:val="18"/>
              </w:rPr>
            </w:pPr>
            <w:r w:rsidRPr="00994516">
              <w:rPr>
                <w:rFonts w:cs="Arial"/>
                <w:sz w:val="18"/>
              </w:rPr>
              <w:t>absente ou faible</w:t>
            </w:r>
          </w:p>
        </w:tc>
        <w:tc>
          <w:tcPr>
            <w:tcW w:w="5064" w:type="dxa"/>
            <w:tcBorders>
              <w:top w:val="nil"/>
              <w:left w:val="nil"/>
              <w:bottom w:val="single" w:sz="4" w:space="0" w:color="auto"/>
              <w:right w:val="single" w:sz="4" w:space="0" w:color="auto"/>
            </w:tcBorders>
            <w:shd w:val="clear" w:color="auto" w:fill="auto"/>
            <w:noWrap/>
            <w:vAlign w:val="center"/>
            <w:hideMark/>
          </w:tcPr>
          <w:p w14:paraId="07AC902B" w14:textId="77777777" w:rsidR="0026375A" w:rsidRPr="00994516" w:rsidRDefault="0026375A" w:rsidP="0026375A">
            <w:pPr>
              <w:jc w:val="left"/>
              <w:rPr>
                <w:rFonts w:cs="Arial"/>
                <w:sz w:val="18"/>
              </w:rPr>
            </w:pPr>
            <w:r w:rsidRPr="00994516">
              <w:rPr>
                <w:rFonts w:cs="Arial"/>
                <w:sz w:val="18"/>
              </w:rPr>
              <w:t>sensibilité (S)</w:t>
            </w:r>
          </w:p>
        </w:tc>
      </w:tr>
      <w:tr w:rsidR="0026375A" w:rsidRPr="00994516" w14:paraId="58BC4B02" w14:textId="77777777" w:rsidTr="00337040">
        <w:trPr>
          <w:cantSplit/>
          <w:trHeight w:val="25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25D16BF0" w14:textId="77777777" w:rsidR="0026375A" w:rsidRPr="00994516" w:rsidRDefault="0026375A" w:rsidP="0026375A">
            <w:pPr>
              <w:jc w:val="right"/>
              <w:rPr>
                <w:rFonts w:cs="Arial"/>
                <w:sz w:val="18"/>
              </w:rPr>
            </w:pPr>
            <w:r w:rsidRPr="00994516">
              <w:rPr>
                <w:rFonts w:cs="Arial"/>
                <w:sz w:val="18"/>
              </w:rPr>
              <w:t>2</w:t>
            </w:r>
          </w:p>
        </w:tc>
        <w:tc>
          <w:tcPr>
            <w:tcW w:w="3685" w:type="dxa"/>
            <w:tcBorders>
              <w:top w:val="nil"/>
              <w:left w:val="nil"/>
              <w:bottom w:val="single" w:sz="4" w:space="0" w:color="auto"/>
              <w:right w:val="single" w:sz="4" w:space="0" w:color="auto"/>
            </w:tcBorders>
            <w:shd w:val="clear" w:color="auto" w:fill="auto"/>
            <w:noWrap/>
            <w:vAlign w:val="center"/>
            <w:hideMark/>
          </w:tcPr>
          <w:p w14:paraId="6E268F95" w14:textId="77777777" w:rsidR="0026375A" w:rsidRPr="00994516" w:rsidRDefault="0026375A" w:rsidP="0026375A">
            <w:pPr>
              <w:jc w:val="left"/>
              <w:rPr>
                <w:rFonts w:cs="Arial"/>
                <w:sz w:val="18"/>
              </w:rPr>
            </w:pPr>
            <w:r w:rsidRPr="00994516">
              <w:rPr>
                <w:rFonts w:cs="Arial"/>
                <w:sz w:val="18"/>
              </w:rPr>
              <w:t>moyenne</w:t>
            </w:r>
          </w:p>
        </w:tc>
        <w:tc>
          <w:tcPr>
            <w:tcW w:w="5064" w:type="dxa"/>
            <w:tcBorders>
              <w:top w:val="nil"/>
              <w:left w:val="nil"/>
              <w:bottom w:val="single" w:sz="4" w:space="0" w:color="auto"/>
              <w:right w:val="single" w:sz="4" w:space="0" w:color="auto"/>
            </w:tcBorders>
            <w:shd w:val="clear" w:color="auto" w:fill="auto"/>
            <w:noWrap/>
            <w:vAlign w:val="center"/>
            <w:hideMark/>
          </w:tcPr>
          <w:p w14:paraId="585F3D37" w14:textId="77777777" w:rsidR="0026375A" w:rsidRPr="00994516" w:rsidRDefault="0026375A" w:rsidP="0026375A">
            <w:pPr>
              <w:jc w:val="left"/>
              <w:rPr>
                <w:rFonts w:cs="Arial"/>
                <w:sz w:val="18"/>
              </w:rPr>
            </w:pPr>
            <w:r w:rsidRPr="00994516">
              <w:rPr>
                <w:rFonts w:cs="Arial"/>
                <w:sz w:val="18"/>
              </w:rPr>
              <w:t>résistance intermédiaire (IR)</w:t>
            </w:r>
          </w:p>
        </w:tc>
      </w:tr>
      <w:tr w:rsidR="0026375A" w:rsidRPr="00994516" w14:paraId="08CC2255" w14:textId="77777777" w:rsidTr="00337040">
        <w:trPr>
          <w:cantSplit/>
          <w:trHeight w:val="25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4A96785F" w14:textId="77777777" w:rsidR="0026375A" w:rsidRPr="00994516" w:rsidRDefault="0026375A" w:rsidP="0026375A">
            <w:pPr>
              <w:jc w:val="right"/>
              <w:rPr>
                <w:rFonts w:cs="Arial"/>
                <w:sz w:val="18"/>
              </w:rPr>
            </w:pPr>
            <w:r w:rsidRPr="00994516">
              <w:rPr>
                <w:rFonts w:cs="Arial"/>
                <w:sz w:val="18"/>
              </w:rPr>
              <w:t>3</w:t>
            </w:r>
          </w:p>
        </w:tc>
        <w:tc>
          <w:tcPr>
            <w:tcW w:w="3685" w:type="dxa"/>
            <w:tcBorders>
              <w:top w:val="nil"/>
              <w:left w:val="nil"/>
              <w:bottom w:val="single" w:sz="4" w:space="0" w:color="auto"/>
              <w:right w:val="single" w:sz="4" w:space="0" w:color="auto"/>
            </w:tcBorders>
            <w:shd w:val="clear" w:color="auto" w:fill="auto"/>
            <w:noWrap/>
            <w:vAlign w:val="center"/>
            <w:hideMark/>
          </w:tcPr>
          <w:p w14:paraId="0994BCE4" w14:textId="77777777" w:rsidR="0026375A" w:rsidRPr="00994516" w:rsidRDefault="0026375A" w:rsidP="0026375A">
            <w:pPr>
              <w:jc w:val="left"/>
              <w:rPr>
                <w:rFonts w:cs="Arial"/>
                <w:sz w:val="18"/>
              </w:rPr>
            </w:pPr>
            <w:r w:rsidRPr="00994516">
              <w:rPr>
                <w:rFonts w:cs="Arial"/>
                <w:sz w:val="18"/>
              </w:rPr>
              <w:t>élevée</w:t>
            </w:r>
          </w:p>
        </w:tc>
        <w:tc>
          <w:tcPr>
            <w:tcW w:w="5064" w:type="dxa"/>
            <w:tcBorders>
              <w:top w:val="nil"/>
              <w:left w:val="nil"/>
              <w:bottom w:val="single" w:sz="4" w:space="0" w:color="auto"/>
              <w:right w:val="single" w:sz="4" w:space="0" w:color="auto"/>
            </w:tcBorders>
            <w:shd w:val="clear" w:color="auto" w:fill="auto"/>
            <w:noWrap/>
            <w:vAlign w:val="center"/>
            <w:hideMark/>
          </w:tcPr>
          <w:p w14:paraId="2A1F2B48" w14:textId="77777777" w:rsidR="0026375A" w:rsidRPr="00994516" w:rsidRDefault="0026375A" w:rsidP="0026375A">
            <w:pPr>
              <w:jc w:val="left"/>
              <w:rPr>
                <w:rFonts w:cs="Arial"/>
                <w:sz w:val="18"/>
              </w:rPr>
            </w:pPr>
            <w:r w:rsidRPr="00994516">
              <w:rPr>
                <w:rFonts w:cs="Arial"/>
                <w:sz w:val="18"/>
              </w:rPr>
              <w:t>résistance élevée (HR)</w:t>
            </w:r>
          </w:p>
        </w:tc>
      </w:tr>
    </w:tbl>
    <w:p w14:paraId="1A4DBAB2" w14:textId="77777777" w:rsidR="0026375A" w:rsidRPr="00994516" w:rsidRDefault="0026375A" w:rsidP="0026375A"/>
    <w:p w14:paraId="330011C3" w14:textId="7403D94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TWV est convenu de proposer que le tableau des équivalences soit ajouté au document TGP/12 “Conseils en ce qui concerne certains caractères physiologiques”, dans le cadre des explications du protocole type de résistance aux maladies qu’il contient.  Le TWV </w:t>
      </w:r>
      <w:r w:rsidR="001C2590">
        <w:t>est convenu</w:t>
      </w:r>
      <w:r w:rsidRPr="00994516">
        <w:t xml:space="preserve"> que le même tableau doit être intégré aux explications concernant les caractères quantitatifs de résistance aux maladies lorsque l’échelle de notes condensée est utilisée.</w:t>
      </w:r>
    </w:p>
    <w:p w14:paraId="24B62A2D" w14:textId="77777777" w:rsidR="0026375A" w:rsidRPr="00994516" w:rsidRDefault="0026375A" w:rsidP="0026375A"/>
    <w:p w14:paraId="7B7CCCFF"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Lors de sa session de 2023, le TC</w:t>
      </w:r>
      <w:r w:rsidRPr="00994516">
        <w:rPr>
          <w:vertAlign w:val="superscript"/>
        </w:rPr>
        <w:footnoteReference w:id="10"/>
      </w:r>
      <w:r w:rsidRPr="00994516">
        <w:t xml:space="preserve"> </w:t>
      </w:r>
      <w:bookmarkStart w:id="118" w:name="_Hlk162621603"/>
      <w:r w:rsidRPr="00994516">
        <w:t>a étudié la proposition du TWV.  Le TC est convenu d’inviter les TWP, lors de leurs sessions respectives en 2024, à examiner la possibilité de modifier le document TGP/12 pour y inclure un tableau d’équivalence entre les niveaux d’expression qui figurent dans les principes directeurs d’examen et la terminologie utilisée dans le secteur des semences potagères.</w:t>
      </w:r>
    </w:p>
    <w:p w14:paraId="7DD14BDE" w14:textId="77777777" w:rsidR="0026375A" w:rsidRPr="00994516" w:rsidRDefault="0026375A" w:rsidP="0026375A"/>
    <w:p w14:paraId="61587FF4"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TC est convenu d’inviter les TWP à examiner la possibilité d’ajouter une explication selon laquelle le tableau pourrait être utilisé en cas d’équivalence entre les niveaux d’expression selon la méthode décrite dans l’explication des caractères (section 8.2 des principes directeurs d’examen).</w:t>
      </w:r>
      <w:bookmarkEnd w:id="118"/>
    </w:p>
    <w:p w14:paraId="1B319AAB" w14:textId="77777777" w:rsidR="0026375A" w:rsidRPr="00994516" w:rsidRDefault="0026375A" w:rsidP="0026375A"/>
    <w:p w14:paraId="59076298" w14:textId="77777777" w:rsidR="0026375A" w:rsidRPr="00994516" w:rsidRDefault="0026375A" w:rsidP="0026375A">
      <w:pPr>
        <w:rPr>
          <w:i/>
        </w:rPr>
      </w:pPr>
      <w:r w:rsidRPr="00994516">
        <w:rPr>
          <w:i/>
        </w:rPr>
        <w:t>Examen par les</w:t>
      </w:r>
      <w:r w:rsidRPr="00994516">
        <w:rPr>
          <w:i/>
          <w:iCs/>
        </w:rPr>
        <w:t xml:space="preserve"> g</w:t>
      </w:r>
      <w:r w:rsidRPr="00994516">
        <w:rPr>
          <w:rFonts w:cs="Arial"/>
          <w:i/>
          <w:iCs/>
          <w:color w:val="000000"/>
        </w:rPr>
        <w:t xml:space="preserve">roupes de travail techniques </w:t>
      </w:r>
      <w:r w:rsidRPr="00994516">
        <w:rPr>
          <w:i/>
        </w:rPr>
        <w:t>(TWP) en 2024</w:t>
      </w:r>
    </w:p>
    <w:p w14:paraId="0B5E3E35" w14:textId="77777777" w:rsidR="0026375A" w:rsidRPr="00994516" w:rsidRDefault="0026375A" w:rsidP="0026375A"/>
    <w:p w14:paraId="39853AB1" w14:textId="199C40A2"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Lors de</w:t>
      </w:r>
      <w:r w:rsidRPr="00994516">
        <w:rPr>
          <w:rFonts w:eastAsiaTheme="minorEastAsia"/>
        </w:rPr>
        <w:t xml:space="preserve"> leurs sessions respectives en 2024, le TWV, le TWA et le TWF ont approuvé la proposition de modification du document TGP/12 “Conseils en ce qui concerne certains caractères physiologiques” </w:t>
      </w:r>
      <w:r w:rsidRPr="00994516">
        <w:t>pour y inclure un tableau d’équivalence entre les niveaux d’expression qui figurent dans les principes directeurs d’examen et la terminologie utilisée dans le secteur des semences potagères</w:t>
      </w:r>
      <w:r w:rsidRPr="00994516">
        <w:rPr>
          <w:rFonts w:eastAsiaTheme="minorEastAsia"/>
        </w:rPr>
        <w:t>, présentée au paragraphe 2 ci</w:t>
      </w:r>
      <w:r w:rsidR="00337040">
        <w:rPr>
          <w:rFonts w:eastAsiaTheme="minorEastAsia"/>
        </w:rPr>
        <w:noBreakHyphen/>
      </w:r>
      <w:r w:rsidRPr="00994516">
        <w:rPr>
          <w:rFonts w:eastAsiaTheme="minorEastAsia"/>
        </w:rPr>
        <w:t>dessus.</w:t>
      </w:r>
    </w:p>
    <w:p w14:paraId="47295E0F" w14:textId="77777777" w:rsidR="0026375A" w:rsidRPr="00994516" w:rsidRDefault="0026375A" w:rsidP="0026375A">
      <w:pPr>
        <w:rPr>
          <w:rFonts w:eastAsiaTheme="minorEastAsia"/>
        </w:rPr>
      </w:pPr>
    </w:p>
    <w:p w14:paraId="190A4369"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L</w:t>
      </w:r>
      <w:r w:rsidRPr="00994516">
        <w:rPr>
          <w:rFonts w:eastAsiaTheme="minorEastAsia"/>
        </w:rPr>
        <w:t xml:space="preserve">e TWV a approuvé la proposition d’ajouter dans le document TGP/12 </w:t>
      </w:r>
      <w:r w:rsidRPr="00994516">
        <w:t>une explication selon laquelle le tableau pourrait être utilisé comme référ</w:t>
      </w:r>
      <w:r w:rsidRPr="00994516">
        <w:rPr>
          <w:rFonts w:eastAsiaTheme="minorEastAsia"/>
        </w:rPr>
        <w:t xml:space="preserve">ence </w:t>
      </w:r>
      <w:r w:rsidRPr="00994516">
        <w:t>en cas d’équivalence entre les niveaux d’expression selon la méthode décrite dans l’explication des caractères</w:t>
      </w:r>
      <w:r w:rsidRPr="00994516">
        <w:rPr>
          <w:rFonts w:eastAsiaTheme="minorEastAsia"/>
        </w:rPr>
        <w:t xml:space="preserve"> à la section 8.2 des principes directeurs d’examen.</w:t>
      </w:r>
    </w:p>
    <w:p w14:paraId="39C8E471" w14:textId="77777777" w:rsidR="0026375A" w:rsidRPr="00994516" w:rsidRDefault="0026375A" w:rsidP="0026375A">
      <w:pPr>
        <w:rPr>
          <w:rFonts w:cs="Arial"/>
          <w:color w:val="000000"/>
          <w:sz w:val="18"/>
        </w:rPr>
      </w:pPr>
    </w:p>
    <w:p w14:paraId="6AF09FF6" w14:textId="77777777" w:rsidR="0026375A" w:rsidRPr="00994516" w:rsidRDefault="0026375A" w:rsidP="0026375A">
      <w:r w:rsidRPr="00994516">
        <w:lastRenderedPageBreak/>
        <w:fldChar w:fldCharType="begin"/>
      </w:r>
      <w:r w:rsidRPr="00994516">
        <w:instrText xml:space="preserve"> LISTNUM  LegalDefault \l 1 </w:instrText>
      </w:r>
      <w:r w:rsidRPr="00994516">
        <w:fldChar w:fldCharType="end"/>
      </w:r>
      <w:r w:rsidRPr="00994516">
        <w:tab/>
        <w:t xml:space="preserve">Le TWA </w:t>
      </w:r>
      <w:r w:rsidRPr="00994516">
        <w:rPr>
          <w:rFonts w:eastAsiaTheme="minorEastAsia"/>
        </w:rPr>
        <w:t xml:space="preserve">a approuvé la proposition d’ajouter </w:t>
      </w:r>
      <w:r w:rsidRPr="00994516">
        <w:t>une explication selon laquelle le tableau pourrait être utilisé seulement en cas d’équivalence reconnue entre les niveaux d’expression selon la méthode décrite dans l’explication des caractères</w:t>
      </w:r>
      <w:r w:rsidRPr="00994516">
        <w:rPr>
          <w:rFonts w:eastAsiaTheme="minorEastAsia"/>
        </w:rPr>
        <w:t xml:space="preserve"> à la section 8.2 des principes directeurs d’examen</w:t>
      </w:r>
      <w:r w:rsidRPr="00994516">
        <w:t>.</w:t>
      </w:r>
    </w:p>
    <w:p w14:paraId="2C358333" w14:textId="77777777" w:rsidR="0026375A" w:rsidRPr="00994516" w:rsidRDefault="0026375A" w:rsidP="0026375A"/>
    <w:p w14:paraId="1BF7057C" w14:textId="4710C498"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a noté que, de manière générale, les caractères de résistance aux maladies n’étaient pas utilisés pour les plantes ornementales, et </w:t>
      </w:r>
      <w:r w:rsidR="001C2590">
        <w:t>est convenu</w:t>
      </w:r>
      <w:r w:rsidRPr="00994516">
        <w:t xml:space="preserve"> que les experts présents à la réunion n’avaient pas suffisamment d’expérience pour </w:t>
      </w:r>
      <w:proofErr w:type="gramStart"/>
      <w:r w:rsidRPr="00994516">
        <w:t>donner</w:t>
      </w:r>
      <w:proofErr w:type="gramEnd"/>
      <w:r w:rsidRPr="00994516">
        <w:t xml:space="preserve"> un point de vue précis sur ladite proposition.</w:t>
      </w:r>
    </w:p>
    <w:p w14:paraId="6E9A243C" w14:textId="77777777" w:rsidR="0026375A" w:rsidRPr="00994516" w:rsidRDefault="0026375A" w:rsidP="0026375A"/>
    <w:p w14:paraId="2A6D08DC" w14:textId="2B3181B3" w:rsidR="0026375A" w:rsidRPr="00994516" w:rsidRDefault="0026375A" w:rsidP="0026375A">
      <w:r w:rsidRPr="00994516">
        <w:fldChar w:fldCharType="begin"/>
      </w:r>
      <w:r w:rsidRPr="00994516">
        <w:instrText xml:space="preserve"> LISTNUM  LegalDefault \l 1 </w:instrText>
      </w:r>
      <w:r w:rsidRPr="00994516">
        <w:fldChar w:fldCharType="end"/>
      </w:r>
      <w:r w:rsidR="00985B33">
        <w:tab/>
      </w:r>
      <w:r w:rsidRPr="00994516">
        <w:rPr>
          <w:rFonts w:cs="Arial"/>
          <w:color w:val="000000"/>
        </w:rPr>
        <w:t xml:space="preserve">Le TWF </w:t>
      </w:r>
      <w:r w:rsidR="001C2590">
        <w:rPr>
          <w:rFonts w:cs="Arial"/>
          <w:color w:val="000000"/>
        </w:rPr>
        <w:t>est convenu</w:t>
      </w:r>
      <w:r w:rsidRPr="00994516">
        <w:rPr>
          <w:rFonts w:cs="Arial"/>
          <w:color w:val="000000"/>
        </w:rPr>
        <w:t xml:space="preserve">, comme le TWA, que les conseils donnés dans le document TGP/12 doivent préciser que l’utilisation du tableau devrait être décidée au cas par cas et que la terminologie employée dans le secteur </w:t>
      </w:r>
      <w:r w:rsidRPr="00994516">
        <w:t>des semences potagères</w:t>
      </w:r>
      <w:r w:rsidRPr="00994516">
        <w:rPr>
          <w:rFonts w:cs="Arial"/>
          <w:color w:val="000000"/>
        </w:rPr>
        <w:t xml:space="preserve"> ne saurait représenter une équivalence générale des niveaux d’expression dans les principes directeurs d’examen.</w:t>
      </w:r>
    </w:p>
    <w:p w14:paraId="33F9AB87" w14:textId="77777777" w:rsidR="0026375A" w:rsidRPr="00994516" w:rsidRDefault="0026375A" w:rsidP="0026375A"/>
    <w:p w14:paraId="0C361816" w14:textId="77777777" w:rsidR="0026375A" w:rsidRPr="00994516" w:rsidRDefault="0026375A" w:rsidP="0026375A"/>
    <w:p w14:paraId="1246C6C2" w14:textId="77777777" w:rsidR="0026375A" w:rsidRPr="00994516" w:rsidRDefault="0026375A" w:rsidP="0026375A">
      <w:r w:rsidRPr="00994516">
        <w:rPr>
          <w:i/>
          <w:iCs/>
        </w:rPr>
        <w:t>Proposition</w:t>
      </w:r>
    </w:p>
    <w:p w14:paraId="4043ADE2" w14:textId="77777777" w:rsidR="0026375A" w:rsidRPr="00994516" w:rsidRDefault="0026375A" w:rsidP="0026375A"/>
    <w:p w14:paraId="7F7293C9"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Sur la base des commentaires formulés par les TWP, lors de leurs sessions respectives de 2024, il est proposé d’inclure le tableau suivant d’équivalence entre les niveaux d’expression qui figurent dans les principes directeurs d’examen et la terminologie utilisée dans le secteur des semences potagères, et les explications y relatives, dans le document TGP/12, section 2.3.2 “Caractères quantitatifs” : </w:t>
      </w:r>
    </w:p>
    <w:p w14:paraId="699C7A4E" w14:textId="77777777" w:rsidR="0026375A" w:rsidRPr="00994516" w:rsidRDefault="0026375A" w:rsidP="0026375A"/>
    <w:p w14:paraId="330CFEF1" w14:textId="77777777" w:rsidR="0026375A" w:rsidRPr="00994516" w:rsidRDefault="0026375A" w:rsidP="0026375A">
      <w:pPr>
        <w:tabs>
          <w:tab w:val="left" w:pos="1276"/>
        </w:tabs>
        <w:ind w:left="567" w:right="567"/>
      </w:pPr>
      <w:bookmarkStart w:id="119" w:name="_Toc131520064"/>
      <w:r w:rsidRPr="00994516">
        <w:t>‘</w:t>
      </w:r>
      <w:r w:rsidRPr="00994516">
        <w:rPr>
          <w:u w:val="single"/>
        </w:rPr>
        <w:t>2.3.2</w:t>
      </w:r>
      <w:r w:rsidRPr="00994516">
        <w:rPr>
          <w:u w:val="single"/>
        </w:rPr>
        <w:tab/>
        <w:t>Caractères quantitatifs</w:t>
      </w:r>
      <w:bookmarkEnd w:id="119"/>
    </w:p>
    <w:p w14:paraId="149D4004" w14:textId="77777777" w:rsidR="0026375A" w:rsidRPr="00994516" w:rsidRDefault="0026375A" w:rsidP="0026375A">
      <w:pPr>
        <w:ind w:left="567" w:right="567"/>
        <w:rPr>
          <w:rFonts w:cs="Arial"/>
        </w:rPr>
      </w:pPr>
      <w:r w:rsidRPr="00994516">
        <w:rPr>
          <w:rFonts w:cs="Arial"/>
        </w:rPr>
        <w:t xml:space="preserve">[…] </w:t>
      </w:r>
    </w:p>
    <w:p w14:paraId="6FAD9279" w14:textId="77777777" w:rsidR="0026375A" w:rsidRPr="00994516" w:rsidRDefault="0026375A" w:rsidP="0026375A">
      <w:pPr>
        <w:ind w:left="567" w:right="567"/>
        <w:rPr>
          <w:rFonts w:cs="Arial"/>
        </w:rPr>
      </w:pPr>
    </w:p>
    <w:p w14:paraId="70D90E8F" w14:textId="77777777" w:rsidR="0026375A" w:rsidRPr="00994516" w:rsidRDefault="0026375A" w:rsidP="0026375A">
      <w:pPr>
        <w:ind w:left="567" w:right="567"/>
        <w:rPr>
          <w:rFonts w:cs="Arial"/>
        </w:rPr>
      </w:pPr>
      <w:r w:rsidRPr="00994516">
        <w:rPr>
          <w:rFonts w:cs="Arial"/>
        </w:rPr>
        <w:t>“La</w:t>
      </w:r>
      <w:r w:rsidRPr="00994516">
        <w:t xml:space="preserve"> terminologie utilisée concernant les caractères quantitatifs de résistance aux maladies qui figurent dans les principes directeurs d’examen peut être différente de celle pour le secteur des semences potagères.  Cette différence peut être liée à la répartition de la série ou au libellé des niveaux d’</w:t>
      </w:r>
      <w:r w:rsidRPr="00994516">
        <w:rPr>
          <w:rFonts w:cs="Arial"/>
        </w:rPr>
        <w:t xml:space="preserve">expression”. </w:t>
      </w:r>
    </w:p>
    <w:p w14:paraId="521085A6" w14:textId="77777777" w:rsidR="0026375A" w:rsidRPr="00994516" w:rsidRDefault="0026375A" w:rsidP="0026375A">
      <w:pPr>
        <w:ind w:left="567" w:right="567"/>
      </w:pPr>
    </w:p>
    <w:p w14:paraId="5EE41B54" w14:textId="77777777" w:rsidR="0026375A" w:rsidRPr="00994516" w:rsidRDefault="0026375A" w:rsidP="0026375A">
      <w:pPr>
        <w:ind w:left="567" w:right="567"/>
      </w:pPr>
      <w:r w:rsidRPr="00994516">
        <w:t xml:space="preserve">“Il n’y a pas </w:t>
      </w:r>
      <w:r w:rsidRPr="00994516">
        <w:rPr>
          <w:rFonts w:cs="Arial"/>
          <w:color w:val="000000"/>
        </w:rPr>
        <w:t>équivalence générale entre les niveaux d’expression dans les principes directeurs d’examen et la terminologie employée dans le secteur des semences potagères.  L’é</w:t>
      </w:r>
      <w:r w:rsidRPr="00994516">
        <w:t xml:space="preserve">quivalence peut être établie au cas par cas selon la méthode d’évaluation des caractères donnée à la section 8.2 des principes directeurs d’examen (‘Explication des caractères individuels’)".  </w:t>
      </w:r>
    </w:p>
    <w:p w14:paraId="6FF9402D" w14:textId="77777777" w:rsidR="0026375A" w:rsidRPr="00994516" w:rsidRDefault="0026375A" w:rsidP="0026375A">
      <w:pPr>
        <w:ind w:left="567" w:right="567"/>
      </w:pPr>
    </w:p>
    <w:p w14:paraId="481FF64F" w14:textId="77777777" w:rsidR="0026375A" w:rsidRPr="00994516" w:rsidRDefault="0026375A" w:rsidP="0026375A">
      <w:pPr>
        <w:ind w:left="567" w:right="567"/>
      </w:pPr>
      <w:r w:rsidRPr="00994516">
        <w:t xml:space="preserve">“Le tableau suivant propose une référence en cas d’équivalence entre les niveaux d’expression concernant les caractères quantitatifs de résistance aux maladies qui figurent dans les principes directeurs d’examen et la terminologie utilisée dans le secteur des semences potagères :  </w:t>
      </w:r>
    </w:p>
    <w:p w14:paraId="0D390733" w14:textId="77777777" w:rsidR="0026375A" w:rsidRPr="00994516" w:rsidRDefault="0026375A" w:rsidP="0026375A">
      <w:pPr>
        <w:ind w:left="567" w:right="567"/>
      </w:pPr>
    </w:p>
    <w:p w14:paraId="5FD5E27A" w14:textId="77777777" w:rsidR="0026375A" w:rsidRPr="00994516" w:rsidRDefault="0026375A" w:rsidP="0044345F">
      <w:pPr>
        <w:keepNext/>
        <w:ind w:left="567" w:right="567"/>
        <w:jc w:val="center"/>
        <w:rPr>
          <w:rFonts w:cs="Arial"/>
          <w:color w:val="000000"/>
          <w:sz w:val="18"/>
        </w:rPr>
      </w:pPr>
      <w:r w:rsidRPr="00994516">
        <w:rPr>
          <w:rFonts w:cs="Arial"/>
          <w:color w:val="000000"/>
          <w:sz w:val="18"/>
        </w:rPr>
        <w:t>Tableau 2 : Niveaux d’expression utilisés dans les principes directeurs d’examen et la terminologie utilisée dans le secteur des semences potagères :</w:t>
      </w:r>
    </w:p>
    <w:tbl>
      <w:tblPr>
        <w:tblpPr w:leftFromText="180" w:rightFromText="180" w:vertAnchor="text" w:horzAnchor="margin" w:tblpXSpec="center" w:tblpY="22"/>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3844"/>
        <w:gridCol w:w="4236"/>
      </w:tblGrid>
      <w:tr w:rsidR="0026375A" w:rsidRPr="00994516" w14:paraId="2E1AC243" w14:textId="77777777" w:rsidTr="0044345F">
        <w:trPr>
          <w:cantSplit/>
          <w:trHeight w:val="555"/>
        </w:trPr>
        <w:tc>
          <w:tcPr>
            <w:tcW w:w="687" w:type="dxa"/>
            <w:shd w:val="clear" w:color="auto" w:fill="auto"/>
            <w:noWrap/>
            <w:vAlign w:val="bottom"/>
            <w:hideMark/>
          </w:tcPr>
          <w:p w14:paraId="5C2DA06C" w14:textId="77777777" w:rsidR="0026375A" w:rsidRPr="00994516" w:rsidRDefault="0026375A" w:rsidP="0026375A">
            <w:pPr>
              <w:jc w:val="left"/>
              <w:rPr>
                <w:rFonts w:cs="Arial"/>
                <w:sz w:val="18"/>
              </w:rPr>
            </w:pPr>
            <w:r w:rsidRPr="00994516">
              <w:rPr>
                <w:rFonts w:cs="Arial"/>
                <w:sz w:val="18"/>
              </w:rPr>
              <w:t> </w:t>
            </w:r>
          </w:p>
        </w:tc>
        <w:tc>
          <w:tcPr>
            <w:tcW w:w="3844" w:type="dxa"/>
            <w:shd w:val="clear" w:color="auto" w:fill="auto"/>
            <w:noWrap/>
            <w:vAlign w:val="center"/>
            <w:hideMark/>
          </w:tcPr>
          <w:p w14:paraId="5D704133" w14:textId="585B9DB7" w:rsidR="0026375A" w:rsidRPr="00994516" w:rsidRDefault="0026375A" w:rsidP="0026375A">
            <w:pPr>
              <w:jc w:val="center"/>
              <w:rPr>
                <w:rFonts w:cs="Arial"/>
                <w:bCs/>
                <w:sz w:val="18"/>
              </w:rPr>
            </w:pPr>
            <w:r w:rsidRPr="00994516">
              <w:rPr>
                <w:rFonts w:cs="Arial"/>
                <w:bCs/>
                <w:sz w:val="18"/>
              </w:rPr>
              <w:t>Niveau</w:t>
            </w:r>
            <w:r w:rsidR="0044345F">
              <w:rPr>
                <w:rFonts w:cs="Arial"/>
                <w:bCs/>
                <w:sz w:val="18"/>
              </w:rPr>
              <w:t>x</w:t>
            </w:r>
            <w:r w:rsidRPr="00994516">
              <w:rPr>
                <w:rFonts w:cs="Arial"/>
                <w:bCs/>
                <w:sz w:val="18"/>
              </w:rPr>
              <w:t xml:space="preserve"> d’expression utilisé</w:t>
            </w:r>
            <w:r w:rsidR="0044345F">
              <w:rPr>
                <w:rFonts w:cs="Arial"/>
                <w:bCs/>
                <w:sz w:val="18"/>
              </w:rPr>
              <w:t>s</w:t>
            </w:r>
            <w:r w:rsidRPr="00994516">
              <w:rPr>
                <w:rFonts w:cs="Arial"/>
                <w:bCs/>
                <w:sz w:val="18"/>
              </w:rPr>
              <w:t xml:space="preserve"> dans </w:t>
            </w:r>
            <w:r w:rsidR="0044345F">
              <w:rPr>
                <w:rFonts w:cs="Arial"/>
                <w:bCs/>
                <w:sz w:val="18"/>
              </w:rPr>
              <w:br/>
            </w:r>
            <w:r w:rsidRPr="00994516">
              <w:rPr>
                <w:rFonts w:cs="Arial"/>
                <w:bCs/>
                <w:sz w:val="18"/>
              </w:rPr>
              <w:t>les principes directeurs d’examen de l’UPOV</w:t>
            </w:r>
          </w:p>
        </w:tc>
        <w:tc>
          <w:tcPr>
            <w:tcW w:w="4236" w:type="dxa"/>
            <w:shd w:val="clear" w:color="auto" w:fill="auto"/>
            <w:vAlign w:val="center"/>
            <w:hideMark/>
          </w:tcPr>
          <w:p w14:paraId="39F60496" w14:textId="1B8DD097" w:rsidR="0026375A" w:rsidRPr="00994516" w:rsidRDefault="0026375A" w:rsidP="0044345F">
            <w:pPr>
              <w:jc w:val="center"/>
              <w:rPr>
                <w:rFonts w:cs="Arial"/>
                <w:bCs/>
                <w:sz w:val="18"/>
              </w:rPr>
            </w:pPr>
            <w:r w:rsidRPr="00994516">
              <w:rPr>
                <w:rFonts w:cs="Arial"/>
                <w:bCs/>
                <w:sz w:val="18"/>
              </w:rPr>
              <w:t xml:space="preserve">Terminologie utilisée dans </w:t>
            </w:r>
            <w:r w:rsidR="0044345F">
              <w:rPr>
                <w:rFonts w:cs="Arial"/>
                <w:bCs/>
                <w:sz w:val="18"/>
              </w:rPr>
              <w:br/>
            </w:r>
            <w:r w:rsidRPr="00994516">
              <w:rPr>
                <w:rFonts w:cs="Arial"/>
                <w:bCs/>
                <w:sz w:val="18"/>
              </w:rPr>
              <w:t>le secteur des semences potagères</w:t>
            </w:r>
            <w:r w:rsidRPr="00994516">
              <w:rPr>
                <w:rFonts w:cs="Arial"/>
                <w:bCs/>
                <w:sz w:val="18"/>
                <w:vertAlign w:val="superscript"/>
              </w:rPr>
              <w:footnoteReference w:id="11"/>
            </w:r>
          </w:p>
        </w:tc>
      </w:tr>
      <w:tr w:rsidR="0026375A" w:rsidRPr="00994516" w14:paraId="6D7F209B" w14:textId="77777777" w:rsidTr="0044345F">
        <w:trPr>
          <w:cantSplit/>
          <w:trHeight w:val="20"/>
        </w:trPr>
        <w:tc>
          <w:tcPr>
            <w:tcW w:w="687" w:type="dxa"/>
            <w:shd w:val="clear" w:color="auto" w:fill="auto"/>
            <w:noWrap/>
            <w:vAlign w:val="center"/>
            <w:hideMark/>
          </w:tcPr>
          <w:p w14:paraId="1F07EA35" w14:textId="021A7597" w:rsidR="0026375A" w:rsidRPr="00994516" w:rsidRDefault="0026375A" w:rsidP="00985B33">
            <w:pPr>
              <w:jc w:val="center"/>
              <w:rPr>
                <w:rFonts w:cs="Arial"/>
                <w:sz w:val="18"/>
              </w:rPr>
            </w:pPr>
            <w:r w:rsidRPr="00994516">
              <w:rPr>
                <w:rFonts w:cs="Arial"/>
                <w:sz w:val="18"/>
              </w:rPr>
              <w:t>Notes</w:t>
            </w:r>
          </w:p>
        </w:tc>
        <w:tc>
          <w:tcPr>
            <w:tcW w:w="3844" w:type="dxa"/>
            <w:shd w:val="clear" w:color="auto" w:fill="auto"/>
            <w:vAlign w:val="center"/>
            <w:hideMark/>
          </w:tcPr>
          <w:p w14:paraId="0DB0AC47" w14:textId="77777777" w:rsidR="0026375A" w:rsidRPr="00994516" w:rsidRDefault="0026375A" w:rsidP="0026375A">
            <w:pPr>
              <w:jc w:val="left"/>
              <w:rPr>
                <w:rFonts w:cs="Arial"/>
                <w:sz w:val="18"/>
              </w:rPr>
            </w:pPr>
            <w:r w:rsidRPr="00994516">
              <w:rPr>
                <w:rFonts w:cs="Arial"/>
                <w:sz w:val="18"/>
              </w:rPr>
              <w:t>Résistance à [nom de la maladie] :</w:t>
            </w:r>
          </w:p>
        </w:tc>
        <w:tc>
          <w:tcPr>
            <w:tcW w:w="4236" w:type="dxa"/>
            <w:shd w:val="clear" w:color="auto" w:fill="auto"/>
            <w:vAlign w:val="center"/>
            <w:hideMark/>
          </w:tcPr>
          <w:p w14:paraId="4DCDDC09" w14:textId="77777777" w:rsidR="0026375A" w:rsidRPr="00994516" w:rsidRDefault="0026375A" w:rsidP="0026375A">
            <w:pPr>
              <w:jc w:val="left"/>
              <w:rPr>
                <w:rFonts w:cs="Arial"/>
                <w:sz w:val="18"/>
              </w:rPr>
            </w:pPr>
            <w:r w:rsidRPr="00994516">
              <w:rPr>
                <w:rFonts w:cs="Arial"/>
                <w:sz w:val="18"/>
              </w:rPr>
              <w:t>Résistance d’une variété végétale à un ravageur spécifique :</w:t>
            </w:r>
          </w:p>
        </w:tc>
      </w:tr>
      <w:tr w:rsidR="0026375A" w:rsidRPr="00994516" w14:paraId="1D3E9FB9" w14:textId="77777777" w:rsidTr="0044345F">
        <w:trPr>
          <w:cantSplit/>
          <w:trHeight w:val="250"/>
        </w:trPr>
        <w:tc>
          <w:tcPr>
            <w:tcW w:w="687" w:type="dxa"/>
            <w:shd w:val="clear" w:color="auto" w:fill="auto"/>
            <w:noWrap/>
            <w:vAlign w:val="bottom"/>
            <w:hideMark/>
          </w:tcPr>
          <w:p w14:paraId="4112C442" w14:textId="77777777" w:rsidR="0026375A" w:rsidRPr="00994516" w:rsidRDefault="0026375A" w:rsidP="0044345F">
            <w:pPr>
              <w:jc w:val="center"/>
              <w:rPr>
                <w:rFonts w:cs="Arial"/>
                <w:sz w:val="18"/>
              </w:rPr>
            </w:pPr>
            <w:r w:rsidRPr="00994516">
              <w:rPr>
                <w:rFonts w:cs="Arial"/>
                <w:sz w:val="18"/>
              </w:rPr>
              <w:t>1</w:t>
            </w:r>
          </w:p>
        </w:tc>
        <w:tc>
          <w:tcPr>
            <w:tcW w:w="3844" w:type="dxa"/>
            <w:shd w:val="clear" w:color="auto" w:fill="auto"/>
            <w:noWrap/>
            <w:vAlign w:val="center"/>
            <w:hideMark/>
          </w:tcPr>
          <w:p w14:paraId="07FFEBD3" w14:textId="77777777" w:rsidR="0026375A" w:rsidRPr="00994516" w:rsidRDefault="0026375A" w:rsidP="0026375A">
            <w:pPr>
              <w:jc w:val="left"/>
              <w:rPr>
                <w:rFonts w:cs="Arial"/>
                <w:sz w:val="18"/>
              </w:rPr>
            </w:pPr>
            <w:r w:rsidRPr="00994516">
              <w:rPr>
                <w:rFonts w:cs="Arial"/>
                <w:sz w:val="18"/>
              </w:rPr>
              <w:t>absente ou faible</w:t>
            </w:r>
          </w:p>
        </w:tc>
        <w:tc>
          <w:tcPr>
            <w:tcW w:w="4236" w:type="dxa"/>
            <w:shd w:val="clear" w:color="auto" w:fill="auto"/>
            <w:noWrap/>
            <w:vAlign w:val="center"/>
            <w:hideMark/>
          </w:tcPr>
          <w:p w14:paraId="0006BAF3" w14:textId="77777777" w:rsidR="0026375A" w:rsidRPr="00994516" w:rsidRDefault="0026375A" w:rsidP="0026375A">
            <w:pPr>
              <w:jc w:val="left"/>
              <w:rPr>
                <w:rFonts w:cs="Arial"/>
                <w:sz w:val="18"/>
              </w:rPr>
            </w:pPr>
            <w:r w:rsidRPr="00994516">
              <w:rPr>
                <w:rFonts w:cs="Arial"/>
                <w:sz w:val="18"/>
              </w:rPr>
              <w:t>sensibilité (S)</w:t>
            </w:r>
          </w:p>
        </w:tc>
      </w:tr>
      <w:tr w:rsidR="0026375A" w:rsidRPr="00994516" w14:paraId="0573B167" w14:textId="77777777" w:rsidTr="0044345F">
        <w:trPr>
          <w:cantSplit/>
          <w:trHeight w:val="250"/>
        </w:trPr>
        <w:tc>
          <w:tcPr>
            <w:tcW w:w="687" w:type="dxa"/>
            <w:shd w:val="clear" w:color="auto" w:fill="auto"/>
            <w:noWrap/>
            <w:vAlign w:val="bottom"/>
            <w:hideMark/>
          </w:tcPr>
          <w:p w14:paraId="06822C77" w14:textId="77777777" w:rsidR="0026375A" w:rsidRPr="00994516" w:rsidRDefault="0026375A" w:rsidP="0044345F">
            <w:pPr>
              <w:jc w:val="center"/>
              <w:rPr>
                <w:rFonts w:cs="Arial"/>
                <w:sz w:val="18"/>
              </w:rPr>
            </w:pPr>
            <w:r w:rsidRPr="00994516">
              <w:rPr>
                <w:rFonts w:cs="Arial"/>
                <w:sz w:val="18"/>
              </w:rPr>
              <w:t>2</w:t>
            </w:r>
          </w:p>
        </w:tc>
        <w:tc>
          <w:tcPr>
            <w:tcW w:w="3844" w:type="dxa"/>
            <w:shd w:val="clear" w:color="auto" w:fill="auto"/>
            <w:noWrap/>
            <w:vAlign w:val="center"/>
            <w:hideMark/>
          </w:tcPr>
          <w:p w14:paraId="4AF09172" w14:textId="77777777" w:rsidR="0026375A" w:rsidRPr="00994516" w:rsidRDefault="0026375A" w:rsidP="0026375A">
            <w:pPr>
              <w:jc w:val="left"/>
              <w:rPr>
                <w:rFonts w:cs="Arial"/>
                <w:sz w:val="18"/>
              </w:rPr>
            </w:pPr>
            <w:r w:rsidRPr="00994516">
              <w:rPr>
                <w:rFonts w:cs="Arial"/>
                <w:sz w:val="18"/>
              </w:rPr>
              <w:t>moyenne</w:t>
            </w:r>
          </w:p>
        </w:tc>
        <w:tc>
          <w:tcPr>
            <w:tcW w:w="4236" w:type="dxa"/>
            <w:shd w:val="clear" w:color="auto" w:fill="auto"/>
            <w:noWrap/>
            <w:vAlign w:val="center"/>
            <w:hideMark/>
          </w:tcPr>
          <w:p w14:paraId="0A088F72" w14:textId="77777777" w:rsidR="0026375A" w:rsidRPr="00994516" w:rsidRDefault="0026375A" w:rsidP="0026375A">
            <w:pPr>
              <w:jc w:val="left"/>
              <w:rPr>
                <w:rFonts w:cs="Arial"/>
                <w:sz w:val="18"/>
              </w:rPr>
            </w:pPr>
            <w:r w:rsidRPr="00994516">
              <w:rPr>
                <w:rFonts w:cs="Arial"/>
                <w:sz w:val="18"/>
              </w:rPr>
              <w:t>résistance intermédiaire (IR)</w:t>
            </w:r>
          </w:p>
        </w:tc>
      </w:tr>
      <w:tr w:rsidR="0026375A" w:rsidRPr="00994516" w14:paraId="52F3A82E" w14:textId="77777777" w:rsidTr="0044345F">
        <w:trPr>
          <w:cantSplit/>
          <w:trHeight w:val="250"/>
        </w:trPr>
        <w:tc>
          <w:tcPr>
            <w:tcW w:w="687" w:type="dxa"/>
            <w:shd w:val="clear" w:color="auto" w:fill="auto"/>
            <w:noWrap/>
            <w:vAlign w:val="bottom"/>
            <w:hideMark/>
          </w:tcPr>
          <w:p w14:paraId="42697D9B" w14:textId="77777777" w:rsidR="0026375A" w:rsidRPr="00994516" w:rsidRDefault="0026375A" w:rsidP="0044345F">
            <w:pPr>
              <w:jc w:val="center"/>
              <w:rPr>
                <w:rFonts w:cs="Arial"/>
                <w:sz w:val="18"/>
              </w:rPr>
            </w:pPr>
            <w:r w:rsidRPr="00994516">
              <w:rPr>
                <w:rFonts w:cs="Arial"/>
                <w:sz w:val="18"/>
              </w:rPr>
              <w:t>3</w:t>
            </w:r>
          </w:p>
        </w:tc>
        <w:tc>
          <w:tcPr>
            <w:tcW w:w="3844" w:type="dxa"/>
            <w:shd w:val="clear" w:color="auto" w:fill="auto"/>
            <w:noWrap/>
            <w:vAlign w:val="center"/>
            <w:hideMark/>
          </w:tcPr>
          <w:p w14:paraId="64047E32" w14:textId="77777777" w:rsidR="0026375A" w:rsidRPr="00994516" w:rsidRDefault="0026375A" w:rsidP="0026375A">
            <w:pPr>
              <w:jc w:val="left"/>
              <w:rPr>
                <w:rFonts w:cs="Arial"/>
                <w:sz w:val="18"/>
              </w:rPr>
            </w:pPr>
            <w:r w:rsidRPr="00994516">
              <w:rPr>
                <w:rFonts w:cs="Arial"/>
                <w:sz w:val="18"/>
              </w:rPr>
              <w:t>élevée</w:t>
            </w:r>
          </w:p>
        </w:tc>
        <w:tc>
          <w:tcPr>
            <w:tcW w:w="4236" w:type="dxa"/>
            <w:shd w:val="clear" w:color="auto" w:fill="auto"/>
            <w:noWrap/>
            <w:vAlign w:val="center"/>
            <w:hideMark/>
          </w:tcPr>
          <w:p w14:paraId="1B6A2AAB" w14:textId="77777777" w:rsidR="0026375A" w:rsidRPr="00994516" w:rsidRDefault="0026375A" w:rsidP="0026375A">
            <w:pPr>
              <w:jc w:val="left"/>
              <w:rPr>
                <w:rFonts w:cs="Arial"/>
                <w:sz w:val="18"/>
              </w:rPr>
            </w:pPr>
            <w:r w:rsidRPr="00994516">
              <w:rPr>
                <w:rFonts w:cs="Arial"/>
                <w:sz w:val="18"/>
              </w:rPr>
              <w:t>résistance élevée (HR)</w:t>
            </w:r>
          </w:p>
        </w:tc>
      </w:tr>
    </w:tbl>
    <w:p w14:paraId="1DD2A31F" w14:textId="77777777" w:rsidR="0026375A" w:rsidRPr="00994516" w:rsidRDefault="0026375A" w:rsidP="0026375A"/>
    <w:p w14:paraId="34C8A086" w14:textId="77777777" w:rsidR="0026375A" w:rsidRPr="00994516" w:rsidRDefault="0026375A" w:rsidP="004A0198">
      <w:pPr>
        <w:spacing w:before="720"/>
        <w:jc w:val="right"/>
      </w:pPr>
      <w:r w:rsidRPr="00994516">
        <w:t>[L’annexe III suit]</w:t>
      </w:r>
    </w:p>
    <w:p w14:paraId="0FC2FA5E" w14:textId="77777777" w:rsidR="0026375A" w:rsidRPr="00994516" w:rsidRDefault="0026375A" w:rsidP="0026375A">
      <w:pPr>
        <w:sectPr w:rsidR="0026375A" w:rsidRPr="00994516" w:rsidSect="0026375A">
          <w:headerReference w:type="default" r:id="rId17"/>
          <w:footerReference w:type="even" r:id="rId18"/>
          <w:footerReference w:type="default" r:id="rId19"/>
          <w:footerReference w:type="first" r:id="rId20"/>
          <w:footnotePr>
            <w:numRestart w:val="eachSect"/>
          </w:footnotePr>
          <w:pgSz w:w="11907" w:h="16840" w:code="9"/>
          <w:pgMar w:top="510" w:right="1134" w:bottom="851" w:left="1134" w:header="510" w:footer="680" w:gutter="0"/>
          <w:pgNumType w:start="1"/>
          <w:cols w:space="720"/>
          <w:titlePg/>
        </w:sectPr>
      </w:pPr>
    </w:p>
    <w:p w14:paraId="460B98C7" w14:textId="77777777" w:rsidR="0026375A" w:rsidRPr="00994516" w:rsidRDefault="0026375A" w:rsidP="0026375A">
      <w:pPr>
        <w:jc w:val="center"/>
      </w:pPr>
      <w:bookmarkStart w:id="120" w:name="ANNEXEIII"/>
      <w:r w:rsidRPr="00994516">
        <w:lastRenderedPageBreak/>
        <w:t>ANNEXE III</w:t>
      </w:r>
    </w:p>
    <w:bookmarkEnd w:id="120"/>
    <w:p w14:paraId="45F0DFB6" w14:textId="77777777" w:rsidR="0026375A" w:rsidRPr="00994516" w:rsidRDefault="0026375A" w:rsidP="0026375A"/>
    <w:p w14:paraId="44C325A7" w14:textId="77777777" w:rsidR="0026375A" w:rsidRPr="00994516" w:rsidRDefault="0026375A" w:rsidP="0026375A">
      <w:pPr>
        <w:jc w:val="center"/>
      </w:pPr>
      <w:r w:rsidRPr="00994516">
        <w:t>DOCUMENT TGP/5 “</w:t>
      </w:r>
      <w:r w:rsidRPr="00994516">
        <w:rPr>
          <w:caps/>
        </w:rPr>
        <w:t>Expérience et coopération en matière d’examen DHS</w:t>
      </w:r>
      <w:r w:rsidRPr="00994516">
        <w:t xml:space="preserve">”, </w:t>
      </w:r>
    </w:p>
    <w:p w14:paraId="0D885E06" w14:textId="77777777" w:rsidR="0026375A" w:rsidRPr="00994516" w:rsidRDefault="0026375A" w:rsidP="0026375A">
      <w:pPr>
        <w:jc w:val="center"/>
        <w:rPr>
          <w:caps/>
        </w:rPr>
      </w:pPr>
      <w:r w:rsidRPr="00994516">
        <w:t>SECTION 6 “</w:t>
      </w:r>
      <w:r w:rsidRPr="00994516">
        <w:rPr>
          <w:caps/>
        </w:rPr>
        <w:t xml:space="preserve">Rapport UPOV d’examen technique et Formulaire UPOV </w:t>
      </w:r>
    </w:p>
    <w:p w14:paraId="438BC44D" w14:textId="77777777" w:rsidR="0026375A" w:rsidRPr="00994516" w:rsidRDefault="0026375A" w:rsidP="0026375A">
      <w:pPr>
        <w:jc w:val="center"/>
      </w:pPr>
      <w:r w:rsidRPr="00994516">
        <w:rPr>
          <w:caps/>
        </w:rPr>
        <w:t>de description variétale</w:t>
      </w:r>
      <w:r w:rsidRPr="00994516">
        <w:t>” (REVISION)</w:t>
      </w:r>
    </w:p>
    <w:p w14:paraId="63F699AF" w14:textId="77777777" w:rsidR="0026375A" w:rsidRPr="00994516" w:rsidRDefault="0026375A" w:rsidP="0026375A"/>
    <w:p w14:paraId="0672B501" w14:textId="77777777" w:rsidR="0026375A" w:rsidRPr="00994516" w:rsidRDefault="0026375A" w:rsidP="0026375A">
      <w:pPr>
        <w:jc w:val="center"/>
        <w:rPr>
          <w:snapToGrid w:val="0"/>
          <w:u w:val="single"/>
        </w:rPr>
      </w:pPr>
      <w:bookmarkStart w:id="121" w:name="_Toc162975792"/>
      <w:r w:rsidRPr="00994516">
        <w:rPr>
          <w:snapToGrid w:val="0"/>
          <w:u w:val="single"/>
        </w:rPr>
        <w:t>SOUS-SECTION “</w:t>
      </w:r>
      <w:r w:rsidRPr="00994516">
        <w:rPr>
          <w:caps/>
          <w:u w:val="single"/>
        </w:rPr>
        <w:t>Formulaire UPOV de description variétale</w:t>
      </w:r>
      <w:r w:rsidRPr="00994516">
        <w:rPr>
          <w:snapToGrid w:val="0"/>
          <w:u w:val="single"/>
        </w:rPr>
        <w:t xml:space="preserve">”, </w:t>
      </w:r>
      <w:r w:rsidRPr="00994516">
        <w:rPr>
          <w:snapToGrid w:val="0"/>
          <w:u w:val="single"/>
        </w:rPr>
        <w:br/>
        <w:t>POINT 16 “VARIÉTÉS VOISINES ET DIFFÉRENCES PAR RAPPORT À CES VARIÉTÉS”</w:t>
      </w:r>
      <w:bookmarkEnd w:id="121"/>
    </w:p>
    <w:p w14:paraId="7996A673" w14:textId="77777777" w:rsidR="0026375A" w:rsidRPr="00994516" w:rsidRDefault="0026375A" w:rsidP="0026375A"/>
    <w:p w14:paraId="237C87BC" w14:textId="77777777" w:rsidR="0026375A" w:rsidRPr="00994516" w:rsidRDefault="0026375A" w:rsidP="0026375A">
      <w:pPr>
        <w:rPr>
          <w:i/>
        </w:rPr>
      </w:pPr>
      <w:r w:rsidRPr="00994516">
        <w:rPr>
          <w:i/>
        </w:rPr>
        <w:t>Rappel</w:t>
      </w:r>
    </w:p>
    <w:p w14:paraId="7B6FF7CF" w14:textId="77777777" w:rsidR="0026375A" w:rsidRPr="00994516" w:rsidRDefault="0026375A" w:rsidP="0026375A">
      <w:pPr>
        <w:rPr>
          <w:iCs/>
        </w:rPr>
      </w:pPr>
    </w:p>
    <w:p w14:paraId="1182A91A" w14:textId="77777777" w:rsidR="0026375A" w:rsidRPr="00994516" w:rsidRDefault="0026375A" w:rsidP="0026375A">
      <w:r w:rsidRPr="00994516">
        <w:fldChar w:fldCharType="begin"/>
      </w:r>
      <w:r w:rsidRPr="00994516">
        <w:instrText xml:space="preserve"> LISTNUM  LegalDefault \l 1 \s 1 </w:instrText>
      </w:r>
      <w:r w:rsidRPr="00994516">
        <w:fldChar w:fldCharType="end"/>
      </w:r>
      <w:r w:rsidRPr="00994516">
        <w:tab/>
        <w:t>Afin de faciliter la coopération en matière d’examens DHS considérée appropriée par les membres de l’Union, l’UPOV a élaboré le document TGP/5 “Expérience et coopération en matière d’examen DHS”, qui comprend la Section 6 “Rapport UPOV d’examen technique et Formulaire UPOV de description variétale”.  Le document TGP/5, Section 6, propose un modèle de renseignements permettant aux autorités de tenir compte des résultats d’essais en culture, ou d’autres essais, déjà réalisés par un autre membre de l’Union.</w:t>
      </w:r>
    </w:p>
    <w:p w14:paraId="5C9E094F" w14:textId="77777777" w:rsidR="0026375A" w:rsidRPr="00994516" w:rsidRDefault="0026375A" w:rsidP="0026375A">
      <w:pPr>
        <w:rPr>
          <w:rFonts w:cs="Arial"/>
        </w:rPr>
      </w:pPr>
    </w:p>
    <w:p w14:paraId="35D804C0" w14:textId="77777777" w:rsidR="0026375A" w:rsidRPr="00994516" w:rsidRDefault="0026375A" w:rsidP="0026375A">
      <w:pPr>
        <w:rPr>
          <w:rFonts w:cs="Arial"/>
        </w:rPr>
      </w:pPr>
      <w:r w:rsidRPr="00994516">
        <w:fldChar w:fldCharType="begin"/>
      </w:r>
      <w:r w:rsidRPr="00994516">
        <w:instrText xml:space="preserve"> LISTNUM  LegalDefault \l 1 </w:instrText>
      </w:r>
      <w:r w:rsidRPr="00994516">
        <w:fldChar w:fldCharType="end"/>
      </w:r>
      <w:r w:rsidRPr="00994516">
        <w:tab/>
        <w:t>Le</w:t>
      </w:r>
      <w:r w:rsidRPr="00994516">
        <w:rPr>
          <w:rFonts w:cs="Arial"/>
        </w:rPr>
        <w:t xml:space="preserve"> “Formulaire UPOV de description variétale” du document TGP/5, Section 6, invite l’autorité chargée de remplir le formulaire à fournir les informations suivantes au titre du point 16 : </w:t>
      </w:r>
    </w:p>
    <w:p w14:paraId="3B3B068D" w14:textId="77777777" w:rsidR="0026375A" w:rsidRPr="00994516" w:rsidRDefault="0026375A" w:rsidP="0026375A">
      <w:pPr>
        <w:rPr>
          <w:rFonts w:cs="Arial"/>
        </w:rPr>
      </w:pPr>
    </w:p>
    <w:p w14:paraId="62773007" w14:textId="77777777" w:rsidR="0026375A" w:rsidRPr="00994516" w:rsidRDefault="0026375A" w:rsidP="0026375A">
      <w:pPr>
        <w:ind w:right="425"/>
        <w:rPr>
          <w:rFonts w:cs="Arial"/>
          <w:sz w:val="18"/>
          <w:szCs w:val="18"/>
        </w:rPr>
      </w:pPr>
      <w:r w:rsidRPr="00994516">
        <w:rPr>
          <w:rFonts w:cs="Arial"/>
          <w:sz w:val="18"/>
          <w:szCs w:val="18"/>
        </w:rPr>
        <w:tab/>
        <w:t>“16.</w:t>
      </w:r>
      <w:r w:rsidRPr="00994516">
        <w:rPr>
          <w:rFonts w:cs="Arial"/>
          <w:sz w:val="18"/>
          <w:szCs w:val="18"/>
        </w:rPr>
        <w:tab/>
      </w:r>
      <w:r w:rsidRPr="00994516">
        <w:rPr>
          <w:rFonts w:cs="Arial"/>
          <w:sz w:val="18"/>
          <w:szCs w:val="18"/>
          <w:u w:val="single"/>
        </w:rPr>
        <w:t>Variétés voisines et différences par rapport à ces variétés</w:t>
      </w:r>
    </w:p>
    <w:p w14:paraId="117A7076" w14:textId="77777777" w:rsidR="0026375A" w:rsidRPr="00994516" w:rsidRDefault="0026375A" w:rsidP="0026375A">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26375A" w:rsidRPr="00994516" w14:paraId="3CC869D1" w14:textId="77777777" w:rsidTr="00124437">
        <w:tc>
          <w:tcPr>
            <w:tcW w:w="1985" w:type="dxa"/>
            <w:vAlign w:val="center"/>
          </w:tcPr>
          <w:p w14:paraId="21391245"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Dénomination(s) de la ou des variété(s)</w:t>
            </w:r>
          </w:p>
          <w:p w14:paraId="257EABC6"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voisine(s) de votre</w:t>
            </w:r>
          </w:p>
          <w:p w14:paraId="07908215" w14:textId="77777777" w:rsidR="0026375A" w:rsidRPr="00994516" w:rsidRDefault="0026375A" w:rsidP="0026375A">
            <w:pPr>
              <w:ind w:right="73"/>
              <w:jc w:val="center"/>
              <w:rPr>
                <w:rFonts w:cs="Arial"/>
                <w:sz w:val="18"/>
                <w:szCs w:val="18"/>
              </w:rPr>
            </w:pPr>
            <w:r w:rsidRPr="00994516">
              <w:rPr>
                <w:rFonts w:cs="Arial"/>
                <w:sz w:val="18"/>
                <w:szCs w:val="18"/>
              </w:rPr>
              <w:t>variété candidate</w:t>
            </w:r>
          </w:p>
        </w:tc>
        <w:tc>
          <w:tcPr>
            <w:tcW w:w="2126" w:type="dxa"/>
            <w:vAlign w:val="center"/>
          </w:tcPr>
          <w:p w14:paraId="4DDB071E"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Caractère(s) par lequel ou lesquels votre variété candidate diffère de la ou des variété(s) voisine(s) </w:t>
            </w:r>
            <w:r w:rsidRPr="00994516">
              <w:rPr>
                <w:rFonts w:cs="Arial"/>
                <w:sz w:val="18"/>
                <w:szCs w:val="18"/>
                <w:vertAlign w:val="superscript"/>
              </w:rPr>
              <w:t>1)</w:t>
            </w:r>
          </w:p>
        </w:tc>
        <w:tc>
          <w:tcPr>
            <w:tcW w:w="2410" w:type="dxa"/>
            <w:vAlign w:val="center"/>
          </w:tcPr>
          <w:p w14:paraId="66ACD92C"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10144D92"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75F092AF"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la ou les variété(s) voisine(s) </w:t>
            </w:r>
            <w:r w:rsidRPr="00994516">
              <w:rPr>
                <w:rFonts w:cs="Arial"/>
                <w:sz w:val="18"/>
                <w:szCs w:val="18"/>
                <w:vertAlign w:val="superscript"/>
              </w:rPr>
              <w:t>2)</w:t>
            </w:r>
          </w:p>
        </w:tc>
        <w:tc>
          <w:tcPr>
            <w:tcW w:w="2126" w:type="dxa"/>
            <w:vAlign w:val="center"/>
          </w:tcPr>
          <w:p w14:paraId="293829B4"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6AA4A80B"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49CF9D0A"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votre variété candidate</w:t>
            </w:r>
            <w:r w:rsidRPr="00994516">
              <w:rPr>
                <w:rFonts w:cs="Arial"/>
                <w:sz w:val="18"/>
                <w:szCs w:val="18"/>
                <w:vertAlign w:val="superscript"/>
              </w:rPr>
              <w:t>2)</w:t>
            </w:r>
          </w:p>
        </w:tc>
      </w:tr>
    </w:tbl>
    <w:p w14:paraId="6F9040F4" w14:textId="77777777" w:rsidR="0026375A" w:rsidRPr="00994516" w:rsidRDefault="0026375A" w:rsidP="0026375A">
      <w:pPr>
        <w:ind w:right="425"/>
        <w:rPr>
          <w:rFonts w:cs="Arial"/>
          <w:sz w:val="18"/>
          <w:szCs w:val="18"/>
        </w:rPr>
      </w:pPr>
    </w:p>
    <w:p w14:paraId="0C18BC2B" w14:textId="77777777" w:rsidR="0026375A" w:rsidRPr="00994516" w:rsidRDefault="0026375A" w:rsidP="0026375A">
      <w:pPr>
        <w:autoSpaceDE w:val="0"/>
        <w:autoSpaceDN w:val="0"/>
        <w:adjustRightInd w:val="0"/>
        <w:ind w:right="425" w:firstLine="567"/>
        <w:rPr>
          <w:rFonts w:ascii="ArialMT" w:hAnsi="ArialMT" w:cs="ArialMT"/>
          <w:sz w:val="18"/>
          <w:szCs w:val="18"/>
        </w:rPr>
      </w:pPr>
      <w:r w:rsidRPr="00994516">
        <w:rPr>
          <w:rFonts w:cs="Arial"/>
          <w:sz w:val="18"/>
          <w:szCs w:val="18"/>
        </w:rPr>
        <w:t>“1)</w:t>
      </w:r>
      <w:r w:rsidRPr="00994516">
        <w:rPr>
          <w:rFonts w:cs="Arial"/>
          <w:sz w:val="18"/>
          <w:szCs w:val="18"/>
        </w:rPr>
        <w:tab/>
      </w:r>
      <w:r w:rsidRPr="00994516">
        <w:rPr>
          <w:rFonts w:ascii="ArialMT" w:hAnsi="ArialMT" w:cs="ArialMT"/>
          <w:sz w:val="18"/>
          <w:szCs w:val="18"/>
        </w:rPr>
        <w:t>Au cas où les niveaux d’expression des deux variétés seraient identiques, prière d’indiquer l’amplitude</w:t>
      </w:r>
    </w:p>
    <w:p w14:paraId="2BF763E9" w14:textId="77777777" w:rsidR="0026375A" w:rsidRPr="00994516" w:rsidRDefault="0026375A" w:rsidP="0026375A">
      <w:pPr>
        <w:ind w:right="425" w:firstLine="567"/>
        <w:rPr>
          <w:rFonts w:cs="Arial"/>
          <w:sz w:val="18"/>
          <w:szCs w:val="18"/>
        </w:rPr>
      </w:pPr>
      <w:r w:rsidRPr="00994516">
        <w:rPr>
          <w:rFonts w:ascii="ArialMT" w:hAnsi="ArialMT" w:cs="ArialMT"/>
          <w:sz w:val="18"/>
          <w:szCs w:val="18"/>
        </w:rPr>
        <w:t>de la différence</w:t>
      </w:r>
      <w:r w:rsidRPr="00994516">
        <w:rPr>
          <w:rFonts w:cs="Arial"/>
          <w:sz w:val="18"/>
          <w:szCs w:val="18"/>
        </w:rPr>
        <w:t>."</w:t>
      </w:r>
    </w:p>
    <w:p w14:paraId="4CC0B484" w14:textId="77777777" w:rsidR="0026375A" w:rsidRPr="00994516" w:rsidRDefault="0026375A" w:rsidP="0026375A">
      <w:pPr>
        <w:ind w:right="425"/>
        <w:rPr>
          <w:rFonts w:cs="Arial"/>
          <w:sz w:val="18"/>
          <w:szCs w:val="18"/>
        </w:rPr>
      </w:pPr>
    </w:p>
    <w:p w14:paraId="17DA01C0" w14:textId="77777777" w:rsidR="0026375A" w:rsidRPr="00994516" w:rsidRDefault="0026375A" w:rsidP="0026375A">
      <w:pPr>
        <w:autoSpaceDE w:val="0"/>
        <w:autoSpaceDN w:val="0"/>
        <w:adjustRightInd w:val="0"/>
        <w:ind w:right="425" w:firstLine="567"/>
        <w:rPr>
          <w:rFonts w:ascii="ArialMT" w:hAnsi="ArialMT" w:cs="ArialMT"/>
          <w:sz w:val="18"/>
          <w:szCs w:val="18"/>
        </w:rPr>
      </w:pPr>
      <w:r w:rsidRPr="00994516">
        <w:rPr>
          <w:sz w:val="18"/>
          <w:szCs w:val="18"/>
        </w:rPr>
        <w:t>“2)</w:t>
      </w:r>
      <w:r w:rsidRPr="00994516">
        <w:rPr>
          <w:sz w:val="18"/>
          <w:szCs w:val="18"/>
        </w:rPr>
        <w:tab/>
      </w:r>
      <w:r w:rsidRPr="00994516">
        <w:rPr>
          <w:rFonts w:ascii="ArialMT" w:hAnsi="ArialMT" w:cs="ArialMT"/>
          <w:sz w:val="18"/>
          <w:szCs w:val="18"/>
        </w:rPr>
        <w:t>Le niveau d’expression de la variété candidate et de la ou des variété(s) voisine(s) correspond à</w:t>
      </w:r>
    </w:p>
    <w:p w14:paraId="2181D567" w14:textId="77777777" w:rsidR="0026375A" w:rsidRPr="00994516" w:rsidRDefault="0026375A" w:rsidP="0026375A">
      <w:pPr>
        <w:autoSpaceDE w:val="0"/>
        <w:autoSpaceDN w:val="0"/>
        <w:adjustRightInd w:val="0"/>
        <w:ind w:right="425" w:firstLine="567"/>
        <w:rPr>
          <w:rFonts w:ascii="ArialMT" w:hAnsi="ArialMT" w:cs="ArialMT"/>
          <w:sz w:val="18"/>
          <w:szCs w:val="18"/>
        </w:rPr>
      </w:pPr>
      <w:r w:rsidRPr="00994516">
        <w:rPr>
          <w:rFonts w:ascii="ArialMT" w:hAnsi="ArialMT" w:cs="ArialMT"/>
          <w:sz w:val="18"/>
          <w:szCs w:val="18"/>
        </w:rPr>
        <w:t>l’examen DHS conduit à la station d’examen, au lieu d’examen et à la période d’examen indiqués sous</w:t>
      </w:r>
    </w:p>
    <w:p w14:paraId="0CE4A22B" w14:textId="77777777" w:rsidR="0026375A" w:rsidRPr="00994516" w:rsidRDefault="0026375A" w:rsidP="0026375A">
      <w:pPr>
        <w:ind w:right="425" w:firstLine="567"/>
        <w:rPr>
          <w:sz w:val="18"/>
          <w:szCs w:val="18"/>
        </w:rPr>
      </w:pPr>
      <w:r w:rsidRPr="00994516">
        <w:rPr>
          <w:rFonts w:ascii="ArialMT" w:hAnsi="ArialMT" w:cs="ArialMT"/>
          <w:sz w:val="18"/>
          <w:szCs w:val="18"/>
        </w:rPr>
        <w:t>les numéros 11 et 12</w:t>
      </w:r>
      <w:r w:rsidRPr="00994516">
        <w:rPr>
          <w:sz w:val="18"/>
          <w:szCs w:val="18"/>
        </w:rPr>
        <w:t>.”</w:t>
      </w:r>
    </w:p>
    <w:p w14:paraId="3A2E059E" w14:textId="77777777" w:rsidR="0026375A" w:rsidRPr="00994516" w:rsidRDefault="0026375A" w:rsidP="0026375A">
      <w:pPr>
        <w:ind w:left="567" w:right="425"/>
        <w:rPr>
          <w:sz w:val="18"/>
          <w:szCs w:val="18"/>
        </w:rPr>
      </w:pPr>
    </w:p>
    <w:p w14:paraId="129A4881" w14:textId="77777777" w:rsidR="0026375A" w:rsidRPr="00994516" w:rsidRDefault="0026375A" w:rsidP="0026375A">
      <w:pPr>
        <w:ind w:left="567" w:right="425"/>
        <w:rPr>
          <w:sz w:val="18"/>
          <w:szCs w:val="18"/>
        </w:rPr>
      </w:pPr>
    </w:p>
    <w:p w14:paraId="43DC48FE" w14:textId="77777777" w:rsidR="0026375A" w:rsidRPr="00994516" w:rsidRDefault="0026375A" w:rsidP="0026375A">
      <w:pPr>
        <w:ind w:right="425"/>
        <w:rPr>
          <w:rFonts w:cs="Arial"/>
        </w:rPr>
      </w:pPr>
      <w:r w:rsidRPr="00994516">
        <w:fldChar w:fldCharType="begin"/>
      </w:r>
      <w:r w:rsidRPr="00994516">
        <w:instrText xml:space="preserve"> LISTNUM  LegalDefault \l 1 </w:instrText>
      </w:r>
      <w:r w:rsidRPr="00994516">
        <w:fldChar w:fldCharType="end"/>
      </w:r>
      <w:r w:rsidRPr="00994516">
        <w:tab/>
        <w:t>L’explication suivante est donnée concernant le point </w:t>
      </w:r>
      <w:r w:rsidRPr="00994516">
        <w:rPr>
          <w:rFonts w:cs="Arial"/>
        </w:rPr>
        <w:t>16 “Variétés voisines et différences par rapport à ces variétés” :</w:t>
      </w:r>
    </w:p>
    <w:p w14:paraId="74E900BA" w14:textId="77777777" w:rsidR="0026375A" w:rsidRPr="00994516" w:rsidRDefault="0026375A" w:rsidP="0026375A">
      <w:pPr>
        <w:ind w:right="425"/>
        <w:rPr>
          <w:rFonts w:cs="Arial"/>
        </w:rPr>
      </w:pPr>
    </w:p>
    <w:p w14:paraId="29CDD236" w14:textId="77777777" w:rsidR="0026375A" w:rsidRPr="00994516" w:rsidRDefault="0026375A" w:rsidP="0026375A">
      <w:pPr>
        <w:ind w:left="567" w:right="567"/>
        <w:rPr>
          <w:rFonts w:cs="Arial"/>
          <w:sz w:val="18"/>
          <w:szCs w:val="18"/>
        </w:rPr>
      </w:pPr>
      <w:r w:rsidRPr="00994516">
        <w:rPr>
          <w:rFonts w:cs="Arial"/>
          <w:sz w:val="18"/>
          <w:szCs w:val="18"/>
        </w:rPr>
        <w:t>“d)</w:t>
      </w:r>
      <w:r w:rsidRPr="00994516">
        <w:rPr>
          <w:rFonts w:cs="Arial"/>
          <w:sz w:val="18"/>
          <w:szCs w:val="18"/>
        </w:rPr>
        <w:tab/>
      </w:r>
      <w:r w:rsidRPr="00994516">
        <w:rPr>
          <w:rFonts w:cs="Arial"/>
          <w:sz w:val="18"/>
          <w:szCs w:val="18"/>
          <w:u w:val="single"/>
        </w:rPr>
        <w:t xml:space="preserve">Ad numéro 16 (Annexe : </w:t>
      </w:r>
      <w:r w:rsidRPr="00994516">
        <w:rPr>
          <w:sz w:val="18"/>
          <w:szCs w:val="18"/>
          <w:u w:val="single"/>
        </w:rPr>
        <w:t>Formulaire UPOV de description variétale</w:t>
      </w:r>
      <w:r w:rsidRPr="00994516">
        <w:rPr>
          <w:rFonts w:cs="Arial"/>
          <w:sz w:val="18"/>
          <w:szCs w:val="18"/>
          <w:u w:val="single"/>
        </w:rPr>
        <w:t>)</w:t>
      </w:r>
    </w:p>
    <w:p w14:paraId="58063829" w14:textId="77777777" w:rsidR="0026375A" w:rsidRPr="00994516" w:rsidRDefault="0026375A" w:rsidP="0026375A">
      <w:pPr>
        <w:ind w:left="567" w:right="567"/>
        <w:rPr>
          <w:rFonts w:cs="Arial"/>
          <w:sz w:val="18"/>
          <w:szCs w:val="18"/>
        </w:rPr>
      </w:pPr>
    </w:p>
    <w:p w14:paraId="01A54EDF" w14:textId="77777777" w:rsidR="0026375A" w:rsidRPr="00994516" w:rsidRDefault="0026375A" w:rsidP="0026375A">
      <w:pPr>
        <w:ind w:left="567"/>
        <w:rPr>
          <w:sz w:val="18"/>
          <w:szCs w:val="18"/>
        </w:rPr>
      </w:pPr>
      <w:r w:rsidRPr="00994516">
        <w:rPr>
          <w:sz w:val="18"/>
          <w:szCs w:val="18"/>
        </w:rPr>
        <w:t>“Seuls les caractères dont les différences sont suffisantes pour établir une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14:paraId="3DCF698C" w14:textId="77777777" w:rsidR="0026375A" w:rsidRPr="00994516" w:rsidRDefault="0026375A" w:rsidP="0026375A">
      <w:pPr>
        <w:ind w:left="567"/>
        <w:rPr>
          <w:sz w:val="18"/>
          <w:szCs w:val="18"/>
        </w:rPr>
      </w:pPr>
    </w:p>
    <w:p w14:paraId="591103F7" w14:textId="213BBFE8"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r>
      <w:bookmarkStart w:id="122" w:name="_Hlk176786532"/>
      <w:r w:rsidRPr="00994516">
        <w:t>Lors de sa session de 2023, le TWF</w:t>
      </w:r>
      <w:r w:rsidRPr="00994516">
        <w:rPr>
          <w:vertAlign w:val="superscript"/>
        </w:rPr>
        <w:footnoteReference w:id="12"/>
      </w:r>
      <w:r w:rsidRPr="00994516">
        <w:t xml:space="preserve"> a examiné le document TWF/54/7 </w:t>
      </w:r>
      <w:bookmarkStart w:id="123" w:name="_Hlk145584363"/>
      <w:r w:rsidRPr="00994516">
        <w:t>“</w:t>
      </w:r>
      <w:proofErr w:type="spellStart"/>
      <w:r w:rsidRPr="00994516">
        <w:rPr>
          <w:i/>
          <w:iCs/>
        </w:rPr>
        <w:t>Cooperation</w:t>
      </w:r>
      <w:proofErr w:type="spellEnd"/>
      <w:r w:rsidRPr="00994516">
        <w:rPr>
          <w:i/>
          <w:iCs/>
        </w:rPr>
        <w:t xml:space="preserve"> in </w:t>
      </w:r>
      <w:proofErr w:type="spellStart"/>
      <w:r w:rsidRPr="00994516">
        <w:rPr>
          <w:i/>
          <w:iCs/>
        </w:rPr>
        <w:t>examination</w:t>
      </w:r>
      <w:proofErr w:type="spellEnd"/>
      <w:r w:rsidRPr="00994516">
        <w:t>”</w:t>
      </w:r>
      <w:bookmarkEnd w:id="123"/>
      <w:r w:rsidRPr="00994516">
        <w:t>, présenté par un expert de la Nouvelle-Zélande (voir le document TWF/54/13 “</w:t>
      </w:r>
      <w:r w:rsidR="0044345F">
        <w:t>Report</w:t>
      </w:r>
      <w:r w:rsidRPr="00994516">
        <w:rPr>
          <w:i/>
        </w:rPr>
        <w:t>”</w:t>
      </w:r>
      <w:r w:rsidRPr="00994516">
        <w:t>, paragraphes 17 et 18).</w:t>
      </w:r>
      <w:bookmarkEnd w:id="122"/>
    </w:p>
    <w:p w14:paraId="7CD1F371" w14:textId="77777777" w:rsidR="0026375A" w:rsidRPr="00994516" w:rsidRDefault="0026375A" w:rsidP="0026375A"/>
    <w:p w14:paraId="1D7538A7"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TWF est convenu de modifier le document TGP/5, Section 6 “</w:t>
      </w:r>
      <w:r w:rsidRPr="00994516">
        <w:rPr>
          <w:rFonts w:eastAsia="MS Mincho"/>
        </w:rPr>
        <w:t>Rapport UPOV d’examen technique et Formulaire UPOV de description variétale</w:t>
      </w:r>
      <w:r w:rsidRPr="00994516">
        <w:t>” afin de fournir des indications additionnelles sur les informations relatives aux variétés similaires examinées dans le cadre de l’examen</w:t>
      </w:r>
    </w:p>
    <w:p w14:paraId="350B2939" w14:textId="77777777" w:rsidR="0026375A" w:rsidRPr="00994516" w:rsidRDefault="0026375A" w:rsidP="0026375A"/>
    <w:p w14:paraId="08393F49"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TWF est convenu d’inclure les explications supplémentaires suivantes au titre du point 16 “Variétés voisines et différences par rapport à ces variétés” pour préciser les variétés qui doivent être rapportées dans le formulaire UPOV de description variétale (</w:t>
      </w:r>
      <w:r w:rsidRPr="0044345F">
        <w:t xml:space="preserve">ajouts indiqués en surligné </w:t>
      </w:r>
      <w:r w:rsidRPr="0044345F">
        <w:rPr>
          <w:spacing w:val="-2"/>
        </w:rPr>
        <w:t xml:space="preserve">et </w:t>
      </w:r>
      <w:r w:rsidRPr="00994516">
        <w:rPr>
          <w:spacing w:val="-2"/>
          <w:highlight w:val="lightGray"/>
          <w:u w:val="single"/>
        </w:rPr>
        <w:t>souligné</w:t>
      </w:r>
      <w:r w:rsidRPr="0044345F">
        <w:t xml:space="preserve">; suppressions indiquées en surligné et </w:t>
      </w:r>
      <w:r w:rsidRPr="00994516">
        <w:rPr>
          <w:strike/>
          <w:highlight w:val="lightGray"/>
        </w:rPr>
        <w:t>biffé</w:t>
      </w:r>
      <w:r w:rsidRPr="00994516">
        <w:t>) :</w:t>
      </w:r>
    </w:p>
    <w:p w14:paraId="173D8340" w14:textId="77777777" w:rsidR="0026375A" w:rsidRPr="00994516" w:rsidRDefault="0026375A" w:rsidP="0026375A"/>
    <w:p w14:paraId="2DE0FCC7" w14:textId="77777777" w:rsidR="0026375A" w:rsidRPr="00994516" w:rsidRDefault="0026375A" w:rsidP="00E033BC">
      <w:pPr>
        <w:keepLines/>
        <w:numPr>
          <w:ilvl w:val="0"/>
          <w:numId w:val="6"/>
        </w:numPr>
        <w:spacing w:after="120"/>
        <w:ind w:left="1134" w:right="567" w:hanging="567"/>
        <w:rPr>
          <w:rFonts w:eastAsia="Calibri" w:cs="Arial"/>
          <w:snapToGrid w:val="0"/>
          <w:highlight w:val="lightGray"/>
          <w:u w:val="single"/>
        </w:rPr>
      </w:pPr>
      <w:r w:rsidRPr="00994516">
        <w:rPr>
          <w:rFonts w:eastAsia="Calibri" w:cs="Arial"/>
          <w:snapToGrid w:val="0"/>
          <w:highlight w:val="lightGray"/>
          <w:u w:val="single"/>
        </w:rPr>
        <w:t>Toutes les variétés voisines retenues par l’examinateur.  En l’absence de telle(s) variété(s), il faut indiquer “Aucune variété voisine n’a été identifiée au cours de l’essai en culture”.</w:t>
      </w:r>
    </w:p>
    <w:p w14:paraId="2B4E1F8F" w14:textId="11D0E210" w:rsidR="0026375A" w:rsidRPr="00994516" w:rsidRDefault="0026375A" w:rsidP="00E033BC">
      <w:pPr>
        <w:keepLines/>
        <w:numPr>
          <w:ilvl w:val="0"/>
          <w:numId w:val="6"/>
        </w:numPr>
        <w:spacing w:after="120"/>
        <w:ind w:left="1134" w:right="567" w:hanging="567"/>
        <w:rPr>
          <w:rFonts w:eastAsia="Calibri" w:cs="Arial"/>
          <w:snapToGrid w:val="0"/>
          <w:highlight w:val="lightGray"/>
          <w:u w:val="single"/>
        </w:rPr>
      </w:pPr>
      <w:bookmarkStart w:id="124" w:name="_Hlk176780185"/>
      <w:r w:rsidRPr="00994516">
        <w:rPr>
          <w:rFonts w:eastAsia="Calibri" w:cs="Arial"/>
          <w:snapToGrid w:val="0"/>
          <w:highlight w:val="lightGray"/>
          <w:u w:val="single"/>
        </w:rPr>
        <w:t xml:space="preserve">Seules les variétés qui ont été </w:t>
      </w:r>
      <w:bookmarkStart w:id="125" w:name="_Hlk176780141"/>
      <w:bookmarkEnd w:id="124"/>
      <w:r w:rsidRPr="00994516">
        <w:rPr>
          <w:rFonts w:eastAsia="Calibri" w:cs="Arial"/>
          <w:snapToGrid w:val="0"/>
          <w:highlight w:val="lightGray"/>
          <w:u w:val="single"/>
        </w:rPr>
        <w:t xml:space="preserve">examinées dans les mêmes conditions de culture que la variété candidate. </w:t>
      </w:r>
    </w:p>
    <w:bookmarkEnd w:id="125"/>
    <w:p w14:paraId="6F1D6C71" w14:textId="77777777" w:rsidR="0026375A" w:rsidRPr="00994516" w:rsidRDefault="0026375A" w:rsidP="00E033BC">
      <w:pPr>
        <w:keepLines/>
        <w:numPr>
          <w:ilvl w:val="0"/>
          <w:numId w:val="6"/>
        </w:numPr>
        <w:spacing w:after="120"/>
        <w:ind w:left="1134" w:right="567" w:hanging="567"/>
        <w:rPr>
          <w:rFonts w:eastAsia="Calibri" w:cs="Arial"/>
          <w:snapToGrid w:val="0"/>
          <w:spacing w:val="-2"/>
          <w:highlight w:val="lightGray"/>
          <w:u w:val="single"/>
        </w:rPr>
      </w:pPr>
      <w:r w:rsidRPr="00994516">
        <w:rPr>
          <w:rFonts w:eastAsia="Calibri" w:cs="Arial"/>
          <w:snapToGrid w:val="0"/>
          <w:spacing w:val="-2"/>
          <w:highlight w:val="lightGray"/>
          <w:u w:val="single"/>
        </w:rPr>
        <w:lastRenderedPageBreak/>
        <w:t xml:space="preserve">Variétés qui reflètent le moins de nombres de différences de caractères par rapport à la variété </w:t>
      </w:r>
      <w:r w:rsidRPr="00994516">
        <w:rPr>
          <w:rFonts w:eastAsia="Calibri" w:cs="Arial"/>
          <w:snapToGrid w:val="0"/>
          <w:highlight w:val="lightGray"/>
          <w:u w:val="single"/>
        </w:rPr>
        <w:t>candidate</w:t>
      </w:r>
      <w:r w:rsidRPr="00994516">
        <w:rPr>
          <w:rFonts w:eastAsia="Calibri" w:cs="Arial"/>
          <w:snapToGrid w:val="0"/>
          <w:spacing w:val="-2"/>
          <w:highlight w:val="lightGray"/>
          <w:u w:val="single"/>
        </w:rPr>
        <w:t xml:space="preserve">. </w:t>
      </w:r>
    </w:p>
    <w:p w14:paraId="56D60D6E" w14:textId="77777777" w:rsidR="0026375A" w:rsidRPr="00994516" w:rsidRDefault="0026375A" w:rsidP="00E033BC">
      <w:pPr>
        <w:numPr>
          <w:ilvl w:val="0"/>
          <w:numId w:val="6"/>
        </w:numPr>
        <w:spacing w:after="240"/>
        <w:ind w:left="1134" w:right="567" w:hanging="567"/>
        <w:rPr>
          <w:highlight w:val="lightGray"/>
          <w:u w:val="single"/>
        </w:rPr>
      </w:pPr>
      <w:bookmarkStart w:id="126" w:name="_Hlk176783748"/>
      <w:r w:rsidRPr="00994516">
        <w:rPr>
          <w:rFonts w:eastAsia="Calibri" w:cs="Arial"/>
          <w:snapToGrid w:val="0"/>
          <w:highlight w:val="lightGray"/>
          <w:u w:val="single"/>
        </w:rPr>
        <w:t xml:space="preserve">Tous les caractères sont traités de la même manière et tous ceux qui présentent une distinction doivent être inclus pour chaque variété voisine. </w:t>
      </w:r>
    </w:p>
    <w:bookmarkEnd w:id="126"/>
    <w:p w14:paraId="6CCE21D4"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À sa session de 2023, le TC</w:t>
      </w:r>
      <w:r w:rsidRPr="00994516">
        <w:rPr>
          <w:vertAlign w:val="superscript"/>
        </w:rPr>
        <w:footnoteReference w:id="13"/>
      </w:r>
      <w:r w:rsidRPr="00994516">
        <w:t xml:space="preserve"> est convenu d’inviter les TWP, lors de leurs sessions de 2024, à examiner la proposition du TWF tendant à inclure des explications supplémentaires </w:t>
      </w:r>
      <w:bookmarkStart w:id="127" w:name="_Hlk176772958"/>
      <w:r w:rsidRPr="00994516">
        <w:t>au titre du point 16 “Variétés voisines et différences par rapport à ces variétés”</w:t>
      </w:r>
      <w:bookmarkEnd w:id="127"/>
      <w:r w:rsidRPr="00994516">
        <w:t xml:space="preserve"> et à déterminer s’il convient </w:t>
      </w:r>
      <w:bookmarkStart w:id="128" w:name="_Hlk176772791"/>
      <w:r w:rsidRPr="00994516">
        <w:t>de fournir des indications additionnelles sur les informations relatives aux variétés similaires examinées dans le cadre de l’examen</w:t>
      </w:r>
      <w:bookmarkEnd w:id="128"/>
      <w:r w:rsidRPr="00994516">
        <w:t>.</w:t>
      </w:r>
    </w:p>
    <w:p w14:paraId="3AF4BF4C" w14:textId="77777777" w:rsidR="0026375A" w:rsidRPr="00994516" w:rsidRDefault="0026375A" w:rsidP="0026375A"/>
    <w:p w14:paraId="5A5B950F" w14:textId="77777777" w:rsidR="0026375A" w:rsidRPr="00994516" w:rsidRDefault="0026375A" w:rsidP="0026375A">
      <w:pPr>
        <w:rPr>
          <w:i/>
        </w:rPr>
      </w:pPr>
      <w:r w:rsidRPr="00994516">
        <w:rPr>
          <w:i/>
        </w:rPr>
        <w:t>Commentaires des groupes de travail techniques formulés en 2024</w:t>
      </w:r>
    </w:p>
    <w:p w14:paraId="0672411C" w14:textId="77777777" w:rsidR="0026375A" w:rsidRPr="00994516" w:rsidRDefault="0026375A" w:rsidP="0026375A"/>
    <w:p w14:paraId="68388EC9" w14:textId="1D564240" w:rsidR="0026375A" w:rsidRPr="00994516" w:rsidRDefault="0026375A" w:rsidP="0026375A">
      <w:pPr>
        <w:keepNext/>
        <w:rPr>
          <w:rFonts w:eastAsiaTheme="minorEastAsia"/>
        </w:rPr>
      </w:pPr>
      <w:r w:rsidRPr="00994516">
        <w:fldChar w:fldCharType="begin"/>
      </w:r>
      <w:r w:rsidRPr="00994516">
        <w:instrText xml:space="preserve"> LISTNUM  LegalDefault \l 1 </w:instrText>
      </w:r>
      <w:r w:rsidRPr="00994516">
        <w:fldChar w:fldCharType="end"/>
      </w:r>
      <w:r w:rsidRPr="00994516">
        <w:tab/>
        <w:t>Lors de</w:t>
      </w:r>
      <w:r w:rsidRPr="00994516">
        <w:rPr>
          <w:rFonts w:eastAsiaTheme="minorEastAsia"/>
        </w:rPr>
        <w:t xml:space="preserve"> leurs sessions respectives de 2024, le TWV, le TWO, le TWA et le TWF ont examiné les explications additionnelles proposées pour inclusion </w:t>
      </w:r>
      <w:r w:rsidRPr="00994516">
        <w:t>au titre du point 16 “Variétés voisines et différences par rapport à ces variétés”</w:t>
      </w:r>
      <w:r w:rsidRPr="00994516">
        <w:rPr>
          <w:rFonts w:eastAsiaTheme="minorEastAsia"/>
        </w:rPr>
        <w:t xml:space="preserve"> sous “</w:t>
      </w:r>
      <w:r w:rsidRPr="00994516">
        <w:rPr>
          <w:rFonts w:eastAsia="MS Mincho"/>
        </w:rPr>
        <w:t>Formulaire UPOV de description variétale”</w:t>
      </w:r>
      <w:r w:rsidRPr="00994516">
        <w:rPr>
          <w:rFonts w:eastAsiaTheme="minorEastAsia"/>
        </w:rPr>
        <w:t xml:space="preserve"> (voir le document</w:t>
      </w:r>
      <w:r w:rsidR="001C2590">
        <w:rPr>
          <w:rFonts w:eastAsiaTheme="minorEastAsia"/>
        </w:rPr>
        <w:t xml:space="preserve"> </w:t>
      </w:r>
      <w:r w:rsidRPr="00994516">
        <w:rPr>
          <w:rFonts w:eastAsiaTheme="minorEastAsia"/>
        </w:rPr>
        <w:t>TWP/8/1</w:t>
      </w:r>
      <w:r w:rsidR="001C2590">
        <w:rPr>
          <w:rFonts w:eastAsiaTheme="minorEastAsia"/>
        </w:rPr>
        <w:t>,</w:t>
      </w:r>
      <w:r w:rsidRPr="00994516">
        <w:rPr>
          <w:rFonts w:eastAsiaTheme="minorEastAsia"/>
        </w:rPr>
        <w:t xml:space="preserve"> paragraphes 15 à 18).</w:t>
      </w:r>
    </w:p>
    <w:p w14:paraId="5CCA9706" w14:textId="77777777" w:rsidR="0026375A" w:rsidRPr="00994516" w:rsidRDefault="0026375A" w:rsidP="0026375A">
      <w:pPr>
        <w:rPr>
          <w:rFonts w:eastAsiaTheme="minorEastAsia"/>
        </w:rPr>
      </w:pPr>
    </w:p>
    <w:p w14:paraId="6310B17F" w14:textId="0D77E6A6"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L</w:t>
      </w:r>
      <w:r w:rsidRPr="00994516">
        <w:rPr>
          <w:rFonts w:eastAsiaTheme="minorEastAsia"/>
        </w:rPr>
        <w:t xml:space="preserve">e TWV </w:t>
      </w:r>
      <w:r w:rsidR="001C2590">
        <w:rPr>
          <w:rFonts w:eastAsiaTheme="minorEastAsia"/>
        </w:rPr>
        <w:t>est convenu</w:t>
      </w:r>
      <w:r w:rsidRPr="00994516">
        <w:rPr>
          <w:rFonts w:eastAsiaTheme="minorEastAsia"/>
        </w:rPr>
        <w:t xml:space="preserve"> que les informations relatives aux variétés voisines et aux différences par rapport à la variété candidate étaient importantes pour faciliter la coopération et l’échange de rapports d’examens DHS.</w:t>
      </w:r>
    </w:p>
    <w:p w14:paraId="127639B2" w14:textId="77777777" w:rsidR="0026375A" w:rsidRPr="00994516" w:rsidRDefault="0026375A" w:rsidP="0026375A">
      <w:pPr>
        <w:rPr>
          <w:rFonts w:eastAsiaTheme="minorEastAsia"/>
        </w:rPr>
      </w:pPr>
    </w:p>
    <w:p w14:paraId="5C900BFF" w14:textId="2DCDA6B4"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002B2A77">
        <w:tab/>
      </w:r>
      <w:r w:rsidRPr="00994516">
        <w:t>L</w:t>
      </w:r>
      <w:r w:rsidRPr="00994516">
        <w:rPr>
          <w:rFonts w:eastAsiaTheme="minorEastAsia"/>
        </w:rPr>
        <w:t xml:space="preserve">e TWV </w:t>
      </w:r>
      <w:r w:rsidR="001C2590">
        <w:rPr>
          <w:rFonts w:eastAsiaTheme="minorEastAsia"/>
        </w:rPr>
        <w:t>est convenu</w:t>
      </w:r>
      <w:r w:rsidRPr="00994516">
        <w:rPr>
          <w:rFonts w:eastAsiaTheme="minorEastAsia"/>
        </w:rPr>
        <w:t xml:space="preserve"> que les descriptions variétales doivent toujours </w:t>
      </w:r>
      <w:proofErr w:type="gramStart"/>
      <w:r w:rsidRPr="00994516">
        <w:rPr>
          <w:rFonts w:eastAsiaTheme="minorEastAsia"/>
        </w:rPr>
        <w:t>donner</w:t>
      </w:r>
      <w:proofErr w:type="gramEnd"/>
      <w:r w:rsidRPr="00994516">
        <w:rPr>
          <w:rFonts w:eastAsiaTheme="minorEastAsia"/>
        </w:rPr>
        <w:t xml:space="preserve"> des informations sur la plupart des variétés voisines, même dans les cas de variété parentale ou de lignée sœur par rapport à la variété candidate.  Le TWV </w:t>
      </w:r>
      <w:r w:rsidR="001C2590">
        <w:rPr>
          <w:rFonts w:eastAsiaTheme="minorEastAsia"/>
        </w:rPr>
        <w:t>est convenu</w:t>
      </w:r>
      <w:r w:rsidRPr="00994516">
        <w:rPr>
          <w:rFonts w:eastAsiaTheme="minorEastAsia"/>
        </w:rPr>
        <w:t xml:space="preserve"> que le manque d’informations concernant le point 16 ne permet pas de savoir avec certitude si la description variétale a été bien remplie.  Le TWV </w:t>
      </w:r>
      <w:r w:rsidR="001C2590">
        <w:rPr>
          <w:rFonts w:eastAsiaTheme="minorEastAsia"/>
        </w:rPr>
        <w:t>est convenu</w:t>
      </w:r>
      <w:r w:rsidRPr="00994516">
        <w:rPr>
          <w:rFonts w:eastAsiaTheme="minorEastAsia"/>
        </w:rPr>
        <w:t xml:space="preserve"> qu’il faut rédiger un libellé type pour ce type de situation.</w:t>
      </w:r>
    </w:p>
    <w:p w14:paraId="1D292788" w14:textId="77777777" w:rsidR="0026375A" w:rsidRPr="00994516" w:rsidRDefault="0026375A" w:rsidP="0026375A">
      <w:pPr>
        <w:rPr>
          <w:rFonts w:eastAsiaTheme="minorEastAsia"/>
        </w:rPr>
      </w:pPr>
    </w:p>
    <w:p w14:paraId="4EDE437A" w14:textId="64983303"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TWO </w:t>
      </w:r>
      <w:r w:rsidR="001C2590">
        <w:rPr>
          <w:rFonts w:eastAsiaTheme="minorEastAsia"/>
        </w:rPr>
        <w:t>est convenu</w:t>
      </w:r>
      <w:r w:rsidRPr="00994516">
        <w:rPr>
          <w:rFonts w:eastAsiaTheme="minorEastAsia"/>
        </w:rPr>
        <w:t>, comme le TWV, qu’il ne serait pas pratique de rapporter dans une description variétale toutes les variétés d’une collection ou une liste des variétés examinées en même temps qu’une variété candidate.</w:t>
      </w:r>
    </w:p>
    <w:p w14:paraId="3FCF8C91" w14:textId="77777777" w:rsidR="0026375A" w:rsidRPr="00994516" w:rsidRDefault="0026375A" w:rsidP="0026375A"/>
    <w:p w14:paraId="18506A13" w14:textId="095F5D84"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w:t>
      </w:r>
      <w:r w:rsidR="001C2590">
        <w:t>est convenu</w:t>
      </w:r>
      <w:r w:rsidRPr="00994516">
        <w:t xml:space="preserve"> que le point 16 des descriptions variétales ne doit pas rester sans réponse et propose de libeller </w:t>
      </w:r>
      <w:r w:rsidR="002B2A77">
        <w:t>le premier point</w:t>
      </w:r>
      <w:r w:rsidRPr="00994516">
        <w:t xml:space="preserve"> comme suit :</w:t>
      </w:r>
    </w:p>
    <w:p w14:paraId="600214BF" w14:textId="77777777" w:rsidR="0026375A" w:rsidRPr="00994516" w:rsidRDefault="0026375A" w:rsidP="0026375A"/>
    <w:p w14:paraId="4AE2C5EB" w14:textId="77777777" w:rsidR="0026375A" w:rsidRPr="00994516" w:rsidRDefault="0026375A" w:rsidP="002B2A77">
      <w:pPr>
        <w:keepLines/>
        <w:numPr>
          <w:ilvl w:val="0"/>
          <w:numId w:val="6"/>
        </w:numPr>
        <w:ind w:left="1134" w:right="567" w:hanging="567"/>
        <w:rPr>
          <w:rFonts w:eastAsia="Calibri" w:cs="Arial"/>
          <w:snapToGrid w:val="0"/>
        </w:rPr>
      </w:pPr>
      <w:r w:rsidRPr="00994516">
        <w:rPr>
          <w:rFonts w:eastAsia="Calibri" w:cs="Arial"/>
          <w:snapToGrid w:val="0"/>
        </w:rPr>
        <w:t xml:space="preserve">Toutes les variétés voisines doivent être prises en compte </w:t>
      </w:r>
      <w:r w:rsidRPr="00994516">
        <w:rPr>
          <w:rFonts w:eastAsia="Calibri" w:cs="Arial"/>
          <w:strike/>
          <w:snapToGrid w:val="0"/>
          <w:highlight w:val="lightGray"/>
        </w:rPr>
        <w:t>retenues par l’examinateur</w:t>
      </w:r>
      <w:r w:rsidRPr="00994516">
        <w:rPr>
          <w:rFonts w:eastAsia="Calibri" w:cs="Arial"/>
          <w:snapToGrid w:val="0"/>
        </w:rPr>
        <w:t>.  En l’absence de telle(s) variété(s), il faut indiquer “Aucune variété voisine n’a été identifiée au cours de l’essai en culture”.</w:t>
      </w:r>
    </w:p>
    <w:p w14:paraId="78CF9CBD" w14:textId="77777777" w:rsidR="0026375A" w:rsidRPr="00994516" w:rsidRDefault="0026375A" w:rsidP="0026375A"/>
    <w:p w14:paraId="4FBCECBB" w14:textId="3EFC590E" w:rsidR="0026375A" w:rsidRPr="00994516" w:rsidRDefault="0026375A" w:rsidP="0026375A">
      <w:pPr>
        <w:rPr>
          <w:rFonts w:eastAsia="Calibri" w:cs="Arial"/>
          <w:snapToGrid w:val="0"/>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TWA </w:t>
      </w:r>
      <w:r w:rsidR="001C2590">
        <w:rPr>
          <w:rFonts w:eastAsiaTheme="minorEastAsia"/>
        </w:rPr>
        <w:t>est convenu</w:t>
      </w:r>
      <w:r w:rsidRPr="00994516">
        <w:rPr>
          <w:rFonts w:eastAsiaTheme="minorEastAsia"/>
        </w:rPr>
        <w:t xml:space="preserve">, comme le TWO, que le </w:t>
      </w:r>
      <w:r w:rsidRPr="00994516">
        <w:t>point 16 “Variétés voisines et différences par rapport à ces variétés”</w:t>
      </w:r>
      <w:r w:rsidRPr="00994516">
        <w:rPr>
          <w:rFonts w:eastAsia="Calibri" w:cs="Arial"/>
          <w:snapToGrid w:val="0"/>
        </w:rPr>
        <w:t xml:space="preserve"> </w:t>
      </w:r>
      <w:r w:rsidRPr="00994516">
        <w:t>ne doit pas rester sans réponse dans les</w:t>
      </w:r>
      <w:r w:rsidRPr="00994516">
        <w:rPr>
          <w:rFonts w:eastAsia="Calibri" w:cs="Arial"/>
          <w:snapToGrid w:val="0"/>
        </w:rPr>
        <w:t xml:space="preserve"> descriptions variétales.</w:t>
      </w:r>
    </w:p>
    <w:p w14:paraId="1DD29555" w14:textId="77777777" w:rsidR="0026375A" w:rsidRPr="00994516" w:rsidRDefault="0026375A" w:rsidP="0026375A"/>
    <w:p w14:paraId="32B797BA" w14:textId="51A31249"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w:t>
      </w:r>
      <w:r w:rsidR="001C2590">
        <w:t>est convenu</w:t>
      </w:r>
      <w:r w:rsidRPr="00994516">
        <w:t xml:space="preserve">, comme le TWA, que la première explication additionnelle relative au point 16 doit être libellée comme suit : </w:t>
      </w:r>
    </w:p>
    <w:p w14:paraId="484476BD" w14:textId="77777777" w:rsidR="0026375A" w:rsidRPr="00994516" w:rsidRDefault="0026375A" w:rsidP="0026375A"/>
    <w:p w14:paraId="058C0509" w14:textId="77777777" w:rsidR="0026375A" w:rsidRPr="00994516" w:rsidRDefault="0026375A" w:rsidP="0026375A">
      <w:pPr>
        <w:ind w:left="567" w:right="567"/>
      </w:pPr>
      <w:r w:rsidRPr="00994516">
        <w:t>“</w:t>
      </w:r>
      <w:r w:rsidRPr="00994516">
        <w:rPr>
          <w:rFonts w:cs="Arial"/>
        </w:rPr>
        <w:t>Une variété voisine doit être indiquée.  En l’absence de telle(s) variété(s), il faut indiquer ‘aucune variété voisine n’a été identifiée’</w:t>
      </w:r>
      <w:r w:rsidRPr="00994516">
        <w:t>.”</w:t>
      </w:r>
    </w:p>
    <w:p w14:paraId="67A9CB9C" w14:textId="77777777" w:rsidR="0026375A" w:rsidRPr="00994516" w:rsidRDefault="0026375A" w:rsidP="0026375A"/>
    <w:p w14:paraId="77F5195A"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a rappelé que l’explication qui figure aujourd’hui à la Section 16, paragraphe 2, indique ce qui suit : </w:t>
      </w:r>
    </w:p>
    <w:p w14:paraId="10DA914D" w14:textId="77777777" w:rsidR="0026375A" w:rsidRPr="00994516" w:rsidRDefault="0026375A" w:rsidP="0026375A"/>
    <w:p w14:paraId="2C04F756" w14:textId="77777777" w:rsidR="0026375A" w:rsidRPr="00994516" w:rsidRDefault="0026375A" w:rsidP="00E033BC">
      <w:pPr>
        <w:tabs>
          <w:tab w:val="left" w:pos="1134"/>
        </w:tabs>
        <w:ind w:left="567" w:right="567"/>
      </w:pPr>
      <w:r w:rsidRPr="00994516">
        <w:t>“2)</w:t>
      </w:r>
      <w:r w:rsidRPr="00994516">
        <w:tab/>
        <w:t>Le niveau d’expression de la variété candidate et des variété(s) voisine(s) concerne l’examen DHS conduit à la station d’examen, au lieu d’examen et à la période d’examen indiqués sous les numéros 11 [Installation(s) et lieu(x) d’examen</w:t>
      </w:r>
      <w:r w:rsidRPr="00994516">
        <w:rPr>
          <w:rFonts w:cs="Arial"/>
        </w:rPr>
        <w:t>] et</w:t>
      </w:r>
      <w:r w:rsidRPr="00994516">
        <w:t xml:space="preserve"> 12 [</w:t>
      </w:r>
      <w:r w:rsidRPr="00994516">
        <w:rPr>
          <w:rFonts w:cs="Arial"/>
        </w:rPr>
        <w:t>Période d’examen].”</w:t>
      </w:r>
    </w:p>
    <w:p w14:paraId="55917934" w14:textId="77777777" w:rsidR="0026375A" w:rsidRPr="00994516" w:rsidRDefault="0026375A" w:rsidP="0026375A"/>
    <w:p w14:paraId="48E3AD5C" w14:textId="13F4F75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w:t>
      </w:r>
      <w:r w:rsidR="001C2590">
        <w:t>est convenu</w:t>
      </w:r>
      <w:r w:rsidRPr="00994516">
        <w:t xml:space="preserve"> que la proposition d’explication ci-après, figurant </w:t>
      </w:r>
      <w:r w:rsidR="00821B9B">
        <w:t>au deuxième point</w:t>
      </w:r>
      <w:r w:rsidRPr="00994516">
        <w:t>, ne doit pas être incluse dans les orientations, dans la mesure où elle est susceptible de créer une certaine confusion par rapport aux variétés non cultivées au cours du même examen :</w:t>
      </w:r>
    </w:p>
    <w:p w14:paraId="617E8AB8" w14:textId="77777777" w:rsidR="0026375A" w:rsidRPr="00994516" w:rsidRDefault="0026375A" w:rsidP="0026375A"/>
    <w:p w14:paraId="4E9CAF0D" w14:textId="77777777" w:rsidR="0026375A" w:rsidRPr="00994516" w:rsidRDefault="0026375A" w:rsidP="0026375A">
      <w:pPr>
        <w:tabs>
          <w:tab w:val="left" w:pos="851"/>
        </w:tabs>
        <w:ind w:left="567"/>
      </w:pPr>
      <w:r w:rsidRPr="00994516">
        <w:t>•</w:t>
      </w:r>
      <w:r w:rsidRPr="00994516">
        <w:tab/>
        <w:t>“Seules les variétés qui ont été examinées dans les mêmes conditions de culture que la variété candidate”.</w:t>
      </w:r>
    </w:p>
    <w:p w14:paraId="6BF46960" w14:textId="77777777" w:rsidR="0026375A" w:rsidRPr="00994516" w:rsidRDefault="0026375A" w:rsidP="0026375A">
      <w:pPr>
        <w:rPr>
          <w:rFonts w:eastAsiaTheme="minorEastAsia"/>
        </w:rPr>
      </w:pPr>
    </w:p>
    <w:p w14:paraId="1A7B780C" w14:textId="4DFF3D15" w:rsidR="0026375A" w:rsidRPr="00994516" w:rsidRDefault="0026375A" w:rsidP="0026375A">
      <w:r w:rsidRPr="00994516">
        <w:lastRenderedPageBreak/>
        <w:fldChar w:fldCharType="begin"/>
      </w:r>
      <w:r w:rsidRPr="00994516">
        <w:instrText xml:space="preserve"> LISTNUM  LegalDefault \l 1 </w:instrText>
      </w:r>
      <w:r w:rsidRPr="00994516">
        <w:fldChar w:fldCharType="end"/>
      </w:r>
      <w:r w:rsidRPr="00994516">
        <w:tab/>
        <w:t xml:space="preserve">Le TWF </w:t>
      </w:r>
      <w:r w:rsidR="001C2590">
        <w:t>est convenu</w:t>
      </w:r>
      <w:r w:rsidRPr="00994516">
        <w:t xml:space="preserve"> que la situation décrite à la deuxième explication additionnelle proposée est déjà traitée dans la section 16, paragraphe 2, et ne doit pas être incluse dans les orientations.</w:t>
      </w:r>
    </w:p>
    <w:p w14:paraId="0DB914B1" w14:textId="77777777" w:rsidR="0026375A" w:rsidRPr="00994516" w:rsidRDefault="0026375A" w:rsidP="0026375A"/>
    <w:p w14:paraId="105B83D9" w14:textId="221A7129"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w:t>
      </w:r>
      <w:r w:rsidR="001C2590">
        <w:t>est convenu</w:t>
      </w:r>
      <w:r w:rsidRPr="00994516">
        <w:t xml:space="preserve"> que le libellé </w:t>
      </w:r>
      <w:r w:rsidR="00821B9B">
        <w:t xml:space="preserve">du </w:t>
      </w:r>
      <w:r w:rsidRPr="00994516">
        <w:t xml:space="preserve">troisième </w:t>
      </w:r>
      <w:r w:rsidR="00821B9B">
        <w:t xml:space="preserve">point </w:t>
      </w:r>
      <w:r w:rsidRPr="00994516">
        <w:t xml:space="preserve">doit être amélioré afin d’expliquer que “des informations sur la (les) variété(s) voisine(s) la (les) plus proche(s) de la variété candidate doivent être fournies”, au lieu de “variétés </w:t>
      </w:r>
      <w:r w:rsidRPr="00994516">
        <w:rPr>
          <w:rFonts w:eastAsia="Calibri" w:cs="Arial"/>
          <w:snapToGrid w:val="0"/>
          <w:spacing w:val="-2"/>
        </w:rPr>
        <w:t xml:space="preserve">qui reflètent le moins de nombres de différences de caractères par rapport à la variété </w:t>
      </w:r>
      <w:r w:rsidRPr="00994516">
        <w:rPr>
          <w:rFonts w:eastAsia="Calibri" w:cs="Arial"/>
          <w:snapToGrid w:val="0"/>
        </w:rPr>
        <w:t>candidate</w:t>
      </w:r>
      <w:r w:rsidRPr="00994516">
        <w:t xml:space="preserve">.” </w:t>
      </w:r>
    </w:p>
    <w:p w14:paraId="21DDE27E" w14:textId="77777777" w:rsidR="0026375A" w:rsidRPr="00994516" w:rsidRDefault="0026375A" w:rsidP="0026375A"/>
    <w:p w14:paraId="5846BA43" w14:textId="38F56E5A"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w:t>
      </w:r>
      <w:r w:rsidR="001C2590">
        <w:t>est convenu</w:t>
      </w:r>
      <w:r w:rsidRPr="00994516">
        <w:t xml:space="preserve"> que les informations fournies au titre du point 16 doivent énumérer les caractères les plus pertinents sur lesquels la variété candidate diffère des variétés les plus proches.  Le TWO </w:t>
      </w:r>
      <w:r w:rsidR="001C2590">
        <w:t>est convenu</w:t>
      </w:r>
      <w:r w:rsidRPr="00994516">
        <w:t xml:space="preserve"> que la proposition dans </w:t>
      </w:r>
      <w:r w:rsidR="00821B9B">
        <w:t xml:space="preserve">le </w:t>
      </w:r>
      <w:r w:rsidRPr="00994516">
        <w:t>derni</w:t>
      </w:r>
      <w:r w:rsidR="00821B9B">
        <w:t>er</w:t>
      </w:r>
      <w:r w:rsidRPr="00994516">
        <w:t xml:space="preserve"> </w:t>
      </w:r>
      <w:r w:rsidR="00821B9B">
        <w:t xml:space="preserve">point </w:t>
      </w:r>
      <w:r w:rsidRPr="00994516">
        <w:t>(reproduite ci-dessous) ne doit pas être incluse dans les orientations, dans la mesure où elle pourrait donner lieu à de longues listes de caractères ne présentant que de légères différences entre la variété candidate et les variétés les plus proches.</w:t>
      </w:r>
    </w:p>
    <w:p w14:paraId="2C6488EA" w14:textId="77777777" w:rsidR="0026375A" w:rsidRPr="00994516" w:rsidRDefault="0026375A" w:rsidP="0026375A"/>
    <w:p w14:paraId="27E5340E" w14:textId="77777777" w:rsidR="0026375A" w:rsidRPr="00994516" w:rsidRDefault="0026375A" w:rsidP="0026375A">
      <w:pPr>
        <w:tabs>
          <w:tab w:val="left" w:pos="851"/>
        </w:tabs>
        <w:ind w:left="567"/>
      </w:pPr>
      <w:r w:rsidRPr="00994516">
        <w:t>•</w:t>
      </w:r>
      <w:r w:rsidRPr="00994516">
        <w:tab/>
        <w:t>“</w:t>
      </w:r>
      <w:r w:rsidRPr="00994516">
        <w:rPr>
          <w:rFonts w:eastAsia="Calibri" w:cs="Arial"/>
          <w:snapToGrid w:val="0"/>
        </w:rPr>
        <w:t>Tous les caractères sont traités de la même manière et tous ceux qui présentent une distinction doivent être inclus pour chaque variété voisine</w:t>
      </w:r>
      <w:r w:rsidRPr="00994516">
        <w:t>”</w:t>
      </w:r>
      <w:r w:rsidRPr="00994516">
        <w:rPr>
          <w:rFonts w:eastAsia="Calibri" w:cs="Arial"/>
          <w:snapToGrid w:val="0"/>
        </w:rPr>
        <w:t>.</w:t>
      </w:r>
    </w:p>
    <w:p w14:paraId="1F0AB5A9" w14:textId="77777777" w:rsidR="0026375A" w:rsidRPr="00994516" w:rsidRDefault="0026375A" w:rsidP="0026375A">
      <w:pPr>
        <w:rPr>
          <w:rFonts w:eastAsiaTheme="minorEastAsia"/>
        </w:rPr>
      </w:pPr>
    </w:p>
    <w:p w14:paraId="78E7CD30" w14:textId="3A8039A2"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The TWA </w:t>
      </w:r>
      <w:r w:rsidR="001C2590">
        <w:t>est convenu</w:t>
      </w:r>
      <w:r w:rsidRPr="00994516">
        <w:t xml:space="preserve"> que les deuxième et troisième explications additionnelles proposées ne doivent pas figurer dans les orientations.  Le TWA </w:t>
      </w:r>
      <w:r w:rsidR="001C2590">
        <w:t>est convenu</w:t>
      </w:r>
      <w:r w:rsidRPr="00994516">
        <w:t xml:space="preserve"> que la dernière explication additionnelle proposée et </w:t>
      </w:r>
      <w:r w:rsidR="00821B9B">
        <w:t xml:space="preserve">le dernier point </w:t>
      </w:r>
      <w:r w:rsidRPr="00994516">
        <w:t xml:space="preserve">soient modifiés comme suit : </w:t>
      </w:r>
    </w:p>
    <w:p w14:paraId="6FB79E80" w14:textId="77777777" w:rsidR="0026375A" w:rsidRPr="00994516" w:rsidRDefault="0026375A" w:rsidP="0026375A"/>
    <w:p w14:paraId="72487C46" w14:textId="77777777" w:rsidR="0026375A" w:rsidRPr="00994516" w:rsidRDefault="0026375A" w:rsidP="0026375A">
      <w:pPr>
        <w:ind w:left="567"/>
      </w:pPr>
      <w:r w:rsidRPr="00994516">
        <w:rPr>
          <w:rFonts w:eastAsia="Calibri" w:cs="Arial"/>
          <w:snapToGrid w:val="0"/>
        </w:rPr>
        <w:t>“Tous les caractères pour lesquels des différences ont été observées doivent être indiqués.”</w:t>
      </w:r>
    </w:p>
    <w:p w14:paraId="61D4794C" w14:textId="77777777" w:rsidR="0026375A" w:rsidRPr="00994516" w:rsidRDefault="0026375A" w:rsidP="0026375A"/>
    <w:p w14:paraId="2F3E39CB" w14:textId="5B4381A8"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w:t>
      </w:r>
      <w:r w:rsidR="001C2590">
        <w:t>est convenu</w:t>
      </w:r>
      <w:r w:rsidRPr="00994516">
        <w:t xml:space="preserve"> que les deux explications additionnelles restantes proposées doivent être remplacées par le libellé suivant : “Tous les caractères qui présentent une distinction entre la (les) variété(s) par rapport à la variété candidate doivent être indiqués.”</w:t>
      </w:r>
    </w:p>
    <w:p w14:paraId="013BEAC8" w14:textId="77777777" w:rsidR="0026375A" w:rsidRPr="00994516" w:rsidRDefault="0026375A" w:rsidP="0026375A"/>
    <w:p w14:paraId="72AA9973" w14:textId="77777777" w:rsidR="0026375A" w:rsidRPr="00994516" w:rsidRDefault="0026375A" w:rsidP="0026375A">
      <w:r w:rsidRPr="00994516">
        <w:rPr>
          <w:i/>
          <w:iCs/>
        </w:rPr>
        <w:t>Proposition</w:t>
      </w:r>
    </w:p>
    <w:p w14:paraId="15CDC3B9" w14:textId="77777777" w:rsidR="0026375A" w:rsidRPr="00994516" w:rsidRDefault="0026375A" w:rsidP="0026375A"/>
    <w:p w14:paraId="11DA414A"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Sur la base des commentaires formulés par les TWP lors de leurs sessions respectives en 2024, le TC pourrait envisager de modifier dans le document TGP/5, Section 6, le libellé de l’explication relative au point 16 “Variétés voisines et différences par rapport à ces variétés” comme suit (ajouts indiqués en surligné et </w:t>
      </w:r>
      <w:r w:rsidRPr="00994516">
        <w:rPr>
          <w:highlight w:val="lightGray"/>
          <w:u w:val="single"/>
        </w:rPr>
        <w:t>souligné;</w:t>
      </w:r>
      <w:r w:rsidRPr="00994516">
        <w:t xml:space="preserve">  suppressions indiquées en surligné et </w:t>
      </w:r>
      <w:r w:rsidRPr="00994516">
        <w:rPr>
          <w:strike/>
          <w:highlight w:val="lightGray"/>
        </w:rPr>
        <w:t>biffé</w:t>
      </w:r>
      <w:r w:rsidRPr="00994516">
        <w:t>) :</w:t>
      </w:r>
    </w:p>
    <w:p w14:paraId="7D076662" w14:textId="77777777" w:rsidR="0026375A" w:rsidRPr="00994516" w:rsidRDefault="0026375A" w:rsidP="0026375A">
      <w:pPr>
        <w:rPr>
          <w:rFonts w:cs="Arial"/>
        </w:rPr>
      </w:pPr>
    </w:p>
    <w:p w14:paraId="1FEFA7C7" w14:textId="77777777" w:rsidR="0026375A" w:rsidRPr="00994516" w:rsidRDefault="0026375A" w:rsidP="0026375A">
      <w:pPr>
        <w:ind w:right="425"/>
        <w:rPr>
          <w:rFonts w:cs="Arial"/>
          <w:sz w:val="18"/>
          <w:szCs w:val="18"/>
        </w:rPr>
      </w:pPr>
      <w:r w:rsidRPr="00994516">
        <w:rPr>
          <w:rFonts w:cs="Arial"/>
          <w:sz w:val="18"/>
          <w:szCs w:val="18"/>
        </w:rPr>
        <w:tab/>
        <w:t>‘16.</w:t>
      </w:r>
      <w:r w:rsidRPr="00994516">
        <w:rPr>
          <w:rFonts w:cs="Arial"/>
          <w:sz w:val="18"/>
          <w:szCs w:val="18"/>
        </w:rPr>
        <w:tab/>
      </w:r>
      <w:r w:rsidRPr="00994516">
        <w:rPr>
          <w:rFonts w:cs="Arial"/>
          <w:sz w:val="18"/>
          <w:szCs w:val="18"/>
          <w:u w:val="single"/>
        </w:rPr>
        <w:t>Variétés voisines et différences par rapport à ces variétés</w:t>
      </w:r>
    </w:p>
    <w:p w14:paraId="48043F9B" w14:textId="77777777" w:rsidR="0026375A" w:rsidRPr="00994516" w:rsidRDefault="0026375A" w:rsidP="0026375A">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26375A" w:rsidRPr="00994516" w14:paraId="31CA479C" w14:textId="77777777" w:rsidTr="00124437">
        <w:tc>
          <w:tcPr>
            <w:tcW w:w="1985" w:type="dxa"/>
            <w:vAlign w:val="center"/>
          </w:tcPr>
          <w:p w14:paraId="6608EDA1"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Dénomination(s) de la ou des variété(s)</w:t>
            </w:r>
          </w:p>
          <w:p w14:paraId="7F912EE6"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voisine(s) de votre</w:t>
            </w:r>
          </w:p>
          <w:p w14:paraId="7FC11F98" w14:textId="77777777" w:rsidR="0026375A" w:rsidRPr="00994516" w:rsidRDefault="0026375A" w:rsidP="0026375A">
            <w:pPr>
              <w:ind w:right="73"/>
              <w:jc w:val="center"/>
              <w:rPr>
                <w:rFonts w:cs="Arial"/>
                <w:sz w:val="18"/>
                <w:szCs w:val="18"/>
              </w:rPr>
            </w:pPr>
            <w:r w:rsidRPr="00994516">
              <w:rPr>
                <w:rFonts w:cs="Arial"/>
                <w:sz w:val="18"/>
                <w:szCs w:val="18"/>
              </w:rPr>
              <w:t>variété candidate</w:t>
            </w:r>
          </w:p>
        </w:tc>
        <w:tc>
          <w:tcPr>
            <w:tcW w:w="2126" w:type="dxa"/>
            <w:vAlign w:val="center"/>
          </w:tcPr>
          <w:p w14:paraId="2EE5F5BE"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Caractère(s) par lequel ou lesquels votre variété candidate diffère de la ou des variété(s) voisine(s) </w:t>
            </w:r>
            <w:r w:rsidRPr="00994516">
              <w:rPr>
                <w:rFonts w:cs="Arial"/>
                <w:sz w:val="18"/>
                <w:szCs w:val="18"/>
                <w:vertAlign w:val="superscript"/>
              </w:rPr>
              <w:t>1)</w:t>
            </w:r>
          </w:p>
        </w:tc>
        <w:tc>
          <w:tcPr>
            <w:tcW w:w="2410" w:type="dxa"/>
            <w:vAlign w:val="center"/>
          </w:tcPr>
          <w:p w14:paraId="471146AD"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7CD12DB7"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7FD3C1A2"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la ou les variété(s) voisine(s) </w:t>
            </w:r>
            <w:r w:rsidRPr="00994516">
              <w:rPr>
                <w:rFonts w:cs="Arial"/>
                <w:sz w:val="18"/>
                <w:szCs w:val="18"/>
                <w:vertAlign w:val="superscript"/>
              </w:rPr>
              <w:t>2)</w:t>
            </w:r>
          </w:p>
        </w:tc>
        <w:tc>
          <w:tcPr>
            <w:tcW w:w="2126" w:type="dxa"/>
            <w:vAlign w:val="center"/>
          </w:tcPr>
          <w:p w14:paraId="79B8634D"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Niveau d’expression du</w:t>
            </w:r>
          </w:p>
          <w:p w14:paraId="31C68021"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ou des caractère(s)</w:t>
            </w:r>
          </w:p>
          <w:p w14:paraId="272E2EE8" w14:textId="77777777" w:rsidR="0026375A" w:rsidRPr="00994516" w:rsidRDefault="0026375A" w:rsidP="0026375A">
            <w:pPr>
              <w:autoSpaceDE w:val="0"/>
              <w:autoSpaceDN w:val="0"/>
              <w:adjustRightInd w:val="0"/>
              <w:jc w:val="center"/>
              <w:rPr>
                <w:rFonts w:cs="Arial"/>
                <w:sz w:val="18"/>
                <w:szCs w:val="18"/>
              </w:rPr>
            </w:pPr>
            <w:r w:rsidRPr="00994516">
              <w:rPr>
                <w:rFonts w:cs="Arial"/>
                <w:sz w:val="18"/>
                <w:szCs w:val="18"/>
              </w:rPr>
              <w:t>chez votre variété candidate</w:t>
            </w:r>
            <w:r w:rsidRPr="00994516">
              <w:rPr>
                <w:rFonts w:cs="Arial"/>
                <w:sz w:val="18"/>
                <w:szCs w:val="18"/>
                <w:vertAlign w:val="superscript"/>
              </w:rPr>
              <w:t>2)</w:t>
            </w:r>
          </w:p>
        </w:tc>
      </w:tr>
    </w:tbl>
    <w:p w14:paraId="3829F088" w14:textId="77777777" w:rsidR="0026375A" w:rsidRPr="00994516" w:rsidRDefault="0026375A" w:rsidP="0026375A">
      <w:pPr>
        <w:ind w:right="425"/>
        <w:rPr>
          <w:rFonts w:cs="Arial"/>
          <w:sz w:val="18"/>
          <w:szCs w:val="18"/>
        </w:rPr>
      </w:pPr>
    </w:p>
    <w:p w14:paraId="3BFD6879" w14:textId="77777777" w:rsidR="0026375A" w:rsidRPr="00994516" w:rsidRDefault="0026375A" w:rsidP="0026375A">
      <w:pPr>
        <w:ind w:right="425"/>
        <w:rPr>
          <w:rFonts w:cs="Arial"/>
          <w:sz w:val="18"/>
          <w:szCs w:val="18"/>
        </w:rPr>
      </w:pPr>
    </w:p>
    <w:p w14:paraId="039DC659" w14:textId="77777777" w:rsidR="0026375A" w:rsidRPr="00994516" w:rsidRDefault="0026375A" w:rsidP="0026375A">
      <w:pPr>
        <w:ind w:left="567" w:right="567"/>
        <w:rPr>
          <w:rFonts w:cs="Arial"/>
          <w:sz w:val="18"/>
          <w:szCs w:val="18"/>
        </w:rPr>
      </w:pPr>
      <w:r w:rsidRPr="00994516">
        <w:rPr>
          <w:rFonts w:cs="Arial"/>
          <w:sz w:val="18"/>
          <w:szCs w:val="18"/>
          <w:highlight w:val="lightGray"/>
        </w:rPr>
        <w:t>“1)</w:t>
      </w:r>
      <w:bookmarkStart w:id="129" w:name="_Hlk176779335"/>
      <w:r w:rsidRPr="00994516">
        <w:rPr>
          <w:sz w:val="18"/>
          <w:szCs w:val="18"/>
          <w:highlight w:val="lightGray"/>
          <w:u w:val="single"/>
        </w:rPr>
        <w:tab/>
      </w:r>
      <w:r w:rsidRPr="00994516">
        <w:rPr>
          <w:rFonts w:cs="Arial"/>
          <w:sz w:val="18"/>
          <w:szCs w:val="18"/>
          <w:highlight w:val="lightGray"/>
          <w:u w:val="single"/>
        </w:rPr>
        <w:t>Une variété voisine doit être indiquée.  En l’absence de telle(s) variété(s), il faut indiquer ‘aucune variété voisine n’a été identifiée’</w:t>
      </w:r>
      <w:bookmarkEnd w:id="129"/>
      <w:r w:rsidRPr="00994516">
        <w:rPr>
          <w:rFonts w:cs="Arial"/>
          <w:sz w:val="18"/>
          <w:szCs w:val="18"/>
        </w:rPr>
        <w:t>.</w:t>
      </w:r>
    </w:p>
    <w:p w14:paraId="56CEF662" w14:textId="77777777" w:rsidR="0026375A" w:rsidRPr="00994516" w:rsidRDefault="0026375A" w:rsidP="0026375A">
      <w:pPr>
        <w:autoSpaceDE w:val="0"/>
        <w:autoSpaceDN w:val="0"/>
        <w:adjustRightInd w:val="0"/>
        <w:ind w:right="425" w:firstLine="567"/>
        <w:rPr>
          <w:sz w:val="18"/>
          <w:szCs w:val="18"/>
        </w:rPr>
      </w:pPr>
    </w:p>
    <w:p w14:paraId="6EC4D6CA" w14:textId="429AFDE8" w:rsidR="0026375A" w:rsidRPr="00994516" w:rsidRDefault="0026375A" w:rsidP="00821B9B">
      <w:pPr>
        <w:autoSpaceDE w:val="0"/>
        <w:autoSpaceDN w:val="0"/>
        <w:adjustRightInd w:val="0"/>
        <w:ind w:left="567" w:right="567"/>
        <w:rPr>
          <w:rFonts w:cs="Arial"/>
          <w:sz w:val="18"/>
          <w:szCs w:val="18"/>
        </w:rPr>
      </w:pPr>
      <w:r w:rsidRPr="00994516">
        <w:rPr>
          <w:sz w:val="18"/>
          <w:szCs w:val="18"/>
        </w:rPr>
        <w:t>“2)</w:t>
      </w:r>
      <w:r w:rsidRPr="00994516">
        <w:rPr>
          <w:sz w:val="18"/>
          <w:szCs w:val="18"/>
        </w:rPr>
        <w:tab/>
      </w:r>
      <w:r w:rsidRPr="00994516">
        <w:rPr>
          <w:rFonts w:ascii="ArialMT" w:hAnsi="ArialMT" w:cs="ArialMT"/>
          <w:sz w:val="18"/>
          <w:szCs w:val="18"/>
        </w:rPr>
        <w:t>Le niveau d’expression de la variété candidate et de la ou des variété(s) voisine(s) correspond à</w:t>
      </w:r>
      <w:r w:rsidR="00821B9B">
        <w:rPr>
          <w:rFonts w:ascii="ArialMT" w:hAnsi="ArialMT" w:cs="ArialMT"/>
          <w:sz w:val="18"/>
          <w:szCs w:val="18"/>
        </w:rPr>
        <w:t xml:space="preserve"> </w:t>
      </w:r>
      <w:r w:rsidRPr="00994516">
        <w:rPr>
          <w:rFonts w:ascii="ArialMT" w:hAnsi="ArialMT" w:cs="ArialMT"/>
          <w:sz w:val="18"/>
          <w:szCs w:val="18"/>
        </w:rPr>
        <w:t xml:space="preserve">l’examen DHS conduit </w:t>
      </w:r>
      <w:r w:rsidRPr="00994516">
        <w:rPr>
          <w:rFonts w:ascii="ArialMT" w:hAnsi="ArialMT" w:cs="ArialMT"/>
          <w:strike/>
          <w:sz w:val="18"/>
          <w:szCs w:val="18"/>
          <w:highlight w:val="lightGray"/>
        </w:rPr>
        <w:t>à la station d’examen,</w:t>
      </w:r>
      <w:r w:rsidRPr="00994516">
        <w:rPr>
          <w:rFonts w:ascii="ArialMT" w:hAnsi="ArialMT" w:cs="ArialMT"/>
          <w:sz w:val="18"/>
          <w:szCs w:val="18"/>
        </w:rPr>
        <w:t xml:space="preserve"> au lieu d’examen et à la période d’examen indiqués sous</w:t>
      </w:r>
      <w:r w:rsidR="00821B9B">
        <w:rPr>
          <w:rFonts w:ascii="ArialMT" w:hAnsi="ArialMT" w:cs="ArialMT"/>
          <w:sz w:val="18"/>
          <w:szCs w:val="18"/>
        </w:rPr>
        <w:t xml:space="preserve"> </w:t>
      </w:r>
      <w:r w:rsidRPr="00994516">
        <w:rPr>
          <w:rFonts w:ascii="ArialMT" w:hAnsi="ArialMT" w:cs="ArialMT"/>
          <w:sz w:val="18"/>
          <w:szCs w:val="18"/>
        </w:rPr>
        <w:t>les numéros 11 et 12</w:t>
      </w:r>
      <w:r w:rsidRPr="00994516">
        <w:rPr>
          <w:sz w:val="18"/>
          <w:szCs w:val="18"/>
        </w:rPr>
        <w:t>.”</w:t>
      </w:r>
    </w:p>
    <w:p w14:paraId="1070EBB0" w14:textId="77777777" w:rsidR="0026375A" w:rsidRPr="00994516" w:rsidRDefault="0026375A" w:rsidP="0026375A">
      <w:pPr>
        <w:ind w:left="567" w:right="567"/>
        <w:rPr>
          <w:rFonts w:cs="Arial"/>
          <w:sz w:val="18"/>
          <w:szCs w:val="18"/>
        </w:rPr>
      </w:pPr>
    </w:p>
    <w:p w14:paraId="570E6C6B" w14:textId="77777777" w:rsidR="0026375A" w:rsidRPr="00994516" w:rsidRDefault="0026375A" w:rsidP="0026375A">
      <w:pPr>
        <w:ind w:left="567" w:right="567"/>
        <w:rPr>
          <w:sz w:val="18"/>
          <w:szCs w:val="18"/>
          <w:u w:val="single"/>
        </w:rPr>
      </w:pPr>
      <w:r w:rsidRPr="00994516">
        <w:rPr>
          <w:sz w:val="18"/>
          <w:szCs w:val="18"/>
          <w:highlight w:val="lightGray"/>
          <w:u w:val="single"/>
        </w:rPr>
        <w:t>“3)</w:t>
      </w:r>
      <w:r w:rsidRPr="00994516">
        <w:rPr>
          <w:sz w:val="18"/>
          <w:szCs w:val="18"/>
          <w:highlight w:val="lightGray"/>
          <w:u w:val="single"/>
        </w:rPr>
        <w:tab/>
      </w:r>
      <w:bookmarkStart w:id="130" w:name="_Hlk176772044"/>
      <w:r w:rsidRPr="00994516">
        <w:rPr>
          <w:sz w:val="18"/>
          <w:szCs w:val="18"/>
          <w:highlight w:val="lightGray"/>
          <w:u w:val="single"/>
        </w:rPr>
        <w:t>Seuls les caractères dont les différences sont suffisantes pour établir une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bookmarkEnd w:id="130"/>
      <w:r w:rsidRPr="00994516">
        <w:rPr>
          <w:sz w:val="18"/>
          <w:szCs w:val="18"/>
        </w:rPr>
        <w:t>.</w:t>
      </w:r>
    </w:p>
    <w:p w14:paraId="5F622886" w14:textId="77777777" w:rsidR="0026375A" w:rsidRPr="00994516" w:rsidRDefault="0026375A" w:rsidP="0026375A">
      <w:pPr>
        <w:ind w:left="567" w:right="567"/>
        <w:rPr>
          <w:rFonts w:cs="Arial"/>
          <w:sz w:val="18"/>
          <w:szCs w:val="18"/>
        </w:rPr>
      </w:pPr>
    </w:p>
    <w:p w14:paraId="53B98CD9" w14:textId="77777777" w:rsidR="0026375A" w:rsidRPr="00994516" w:rsidRDefault="0026375A" w:rsidP="0026375A">
      <w:pPr>
        <w:ind w:left="567" w:right="567"/>
        <w:rPr>
          <w:sz w:val="18"/>
          <w:szCs w:val="18"/>
        </w:rPr>
      </w:pPr>
      <w:r w:rsidRPr="00994516">
        <w:rPr>
          <w:sz w:val="18"/>
          <w:szCs w:val="18"/>
        </w:rPr>
        <w:t>[…]</w:t>
      </w:r>
    </w:p>
    <w:p w14:paraId="105D3774" w14:textId="77777777" w:rsidR="0026375A" w:rsidRPr="00994516" w:rsidRDefault="0026375A" w:rsidP="0026375A">
      <w:pPr>
        <w:ind w:left="567" w:right="567"/>
        <w:rPr>
          <w:sz w:val="18"/>
          <w:szCs w:val="18"/>
        </w:rPr>
      </w:pPr>
    </w:p>
    <w:p w14:paraId="63250FB7" w14:textId="77777777" w:rsidR="0026375A" w:rsidRPr="00994516" w:rsidRDefault="0026375A" w:rsidP="0026375A">
      <w:pPr>
        <w:ind w:left="567" w:right="567"/>
        <w:rPr>
          <w:rFonts w:cs="Arial"/>
          <w:strike/>
          <w:sz w:val="18"/>
          <w:szCs w:val="18"/>
          <w:highlight w:val="lightGray"/>
        </w:rPr>
      </w:pPr>
      <w:r w:rsidRPr="00994516">
        <w:rPr>
          <w:rFonts w:cs="Arial"/>
          <w:strike/>
          <w:sz w:val="18"/>
          <w:szCs w:val="18"/>
          <w:highlight w:val="lightGray"/>
        </w:rPr>
        <w:t>“d)</w:t>
      </w:r>
      <w:r w:rsidRPr="00994516">
        <w:rPr>
          <w:rFonts w:cs="Arial"/>
          <w:strike/>
          <w:sz w:val="18"/>
          <w:szCs w:val="18"/>
          <w:highlight w:val="lightGray"/>
        </w:rPr>
        <w:tab/>
      </w:r>
      <w:r w:rsidRPr="00994516">
        <w:rPr>
          <w:rFonts w:cs="Arial"/>
          <w:strike/>
          <w:sz w:val="18"/>
          <w:szCs w:val="18"/>
          <w:highlight w:val="lightGray"/>
          <w:u w:val="single"/>
        </w:rPr>
        <w:t>Ad numéro 16 (Annexe : Formule UPOV de description variétale)</w:t>
      </w:r>
    </w:p>
    <w:p w14:paraId="1FD8D0A0" w14:textId="77777777" w:rsidR="0026375A" w:rsidRPr="00994516" w:rsidRDefault="0026375A" w:rsidP="0026375A">
      <w:pPr>
        <w:ind w:left="567" w:right="567"/>
        <w:rPr>
          <w:rFonts w:cs="Arial"/>
          <w:strike/>
          <w:sz w:val="18"/>
          <w:szCs w:val="18"/>
          <w:highlight w:val="lightGray"/>
        </w:rPr>
      </w:pPr>
    </w:p>
    <w:p w14:paraId="5BC8483D" w14:textId="77777777" w:rsidR="0026375A" w:rsidRPr="00994516" w:rsidRDefault="0026375A" w:rsidP="0026375A">
      <w:pPr>
        <w:ind w:left="567" w:right="567"/>
        <w:rPr>
          <w:strike/>
          <w:sz w:val="18"/>
          <w:szCs w:val="18"/>
          <w:highlight w:val="lightGray"/>
        </w:rPr>
      </w:pPr>
      <w:bookmarkStart w:id="131" w:name="_Hlk176784569"/>
      <w:r w:rsidRPr="00994516">
        <w:rPr>
          <w:strike/>
          <w:sz w:val="18"/>
          <w:szCs w:val="18"/>
          <w:highlight w:val="lightGray"/>
        </w:rPr>
        <w:t>Seuls les caractères dont les différences sont suffisantes pour établir une distinction doivent être indiqués.  Les renseignements concernant les différences entre deux variétés doivent toujours contenir les niveaux d’expression et les notes correspondantes pour les deux variétés, présentés, si possible, en colonnes si un plus grand nombre de variétés sont mentionnées.</w:t>
      </w:r>
      <w:bookmarkEnd w:id="131"/>
      <w:r w:rsidRPr="00994516">
        <w:rPr>
          <w:strike/>
          <w:sz w:val="18"/>
          <w:szCs w:val="18"/>
          <w:highlight w:val="lightGray"/>
        </w:rPr>
        <w:t>”</w:t>
      </w:r>
    </w:p>
    <w:p w14:paraId="2D883C41" w14:textId="77777777" w:rsidR="0026375A" w:rsidRPr="00994516" w:rsidRDefault="0026375A" w:rsidP="0026375A">
      <w:pPr>
        <w:ind w:left="567" w:right="567"/>
        <w:rPr>
          <w:sz w:val="18"/>
          <w:szCs w:val="18"/>
        </w:rPr>
      </w:pPr>
    </w:p>
    <w:p w14:paraId="5E7C5943" w14:textId="47744342" w:rsidR="0026375A" w:rsidRPr="00994516" w:rsidRDefault="0026375A" w:rsidP="00821B9B">
      <w:pPr>
        <w:keepLines/>
        <w:rPr>
          <w:rFonts w:eastAsiaTheme="minorEastAsia"/>
        </w:rPr>
      </w:pPr>
      <w:r w:rsidRPr="00994516">
        <w:lastRenderedPageBreak/>
        <w:fldChar w:fldCharType="begin"/>
      </w:r>
      <w:r w:rsidRPr="00994516">
        <w:instrText xml:space="preserve"> LISTNUM  LegalDefault \l 1 </w:instrText>
      </w:r>
      <w:r w:rsidRPr="00994516">
        <w:fldChar w:fldCharType="end"/>
      </w:r>
      <w:r w:rsidRPr="00994516">
        <w:tab/>
      </w:r>
      <w:proofErr w:type="gramStart"/>
      <w:r w:rsidRPr="00994516">
        <w:t>Suite à</w:t>
      </w:r>
      <w:proofErr w:type="gramEnd"/>
      <w:r w:rsidRPr="00994516">
        <w:t xml:space="preserve"> la proposition du TWA, le TC pourrait envisager d’inviter le Bureau de l’Union à réviser la structure du document TGP/5, Section 6, afin de préciser que</w:t>
      </w:r>
      <w:r w:rsidR="00821B9B">
        <w:t xml:space="preserve"> le</w:t>
      </w:r>
      <w:r w:rsidRPr="00994516">
        <w:t xml:space="preserve"> "Formulaire UPOV de description variétale” est une annexe du “Rapport UPOV d’examen technique” et que le point 18 “Notes explicatives à l’annexe : Formulaire UPOV de description variétale” est une section distincte du document d’orientation.</w:t>
      </w:r>
    </w:p>
    <w:p w14:paraId="63793C66" w14:textId="77777777" w:rsidR="0026375A" w:rsidRPr="00994516" w:rsidRDefault="0026375A" w:rsidP="0026375A">
      <w:pPr>
        <w:rPr>
          <w:rFonts w:eastAsiaTheme="minorEastAsia"/>
        </w:rPr>
      </w:pPr>
    </w:p>
    <w:p w14:paraId="3D0F05D3" w14:textId="77777777" w:rsidR="0026375A" w:rsidRPr="00994516" w:rsidRDefault="0026375A" w:rsidP="0026375A"/>
    <w:p w14:paraId="045F314B" w14:textId="77777777" w:rsidR="0026375A" w:rsidRPr="00994516" w:rsidRDefault="0026375A" w:rsidP="0026375A">
      <w:pPr>
        <w:jc w:val="center"/>
        <w:rPr>
          <w:snapToGrid w:val="0"/>
          <w:u w:val="single"/>
        </w:rPr>
      </w:pPr>
      <w:r w:rsidRPr="00994516">
        <w:rPr>
          <w:snapToGrid w:val="0"/>
          <w:u w:val="single"/>
        </w:rPr>
        <w:t xml:space="preserve">SOUS-SECTION “FORMULAIRE UPOV DE DESCRIPTION VARIÉTALE”, </w:t>
      </w:r>
      <w:r w:rsidRPr="00994516">
        <w:rPr>
          <w:snapToGrid w:val="0"/>
          <w:u w:val="single"/>
        </w:rPr>
        <w:br/>
        <w:t>POINT 17 “RENSEIGNEMENTS COMPLÉMENTAIRES”</w:t>
      </w:r>
    </w:p>
    <w:p w14:paraId="52F2C237" w14:textId="77777777" w:rsidR="0026375A" w:rsidRPr="00994516" w:rsidRDefault="0026375A" w:rsidP="0026375A"/>
    <w:p w14:paraId="4611AC1F" w14:textId="77777777" w:rsidR="0026375A" w:rsidRPr="00994516" w:rsidRDefault="0026375A" w:rsidP="0026375A">
      <w:pPr>
        <w:rPr>
          <w:i/>
        </w:rPr>
      </w:pPr>
      <w:r w:rsidRPr="00994516">
        <w:rPr>
          <w:i/>
        </w:rPr>
        <w:t>Rappel</w:t>
      </w:r>
    </w:p>
    <w:p w14:paraId="2F04E992" w14:textId="77777777" w:rsidR="0026375A" w:rsidRPr="00994516" w:rsidRDefault="0026375A" w:rsidP="0026375A">
      <w:pPr>
        <w:rPr>
          <w:iCs/>
        </w:rPr>
      </w:pPr>
    </w:p>
    <w:p w14:paraId="6A814461" w14:textId="77777777" w:rsidR="0026375A" w:rsidRPr="00994516" w:rsidRDefault="0026375A" w:rsidP="0026375A">
      <w:pPr>
        <w:rPr>
          <w:rFonts w:cs="Arial"/>
        </w:rPr>
      </w:pPr>
      <w:r w:rsidRPr="00994516">
        <w:fldChar w:fldCharType="begin"/>
      </w:r>
      <w:r w:rsidRPr="00994516">
        <w:instrText xml:space="preserve"> LISTNUM  LegalDefault \l 1 </w:instrText>
      </w:r>
      <w:r w:rsidRPr="00994516">
        <w:fldChar w:fldCharType="end"/>
      </w:r>
      <w:r w:rsidRPr="00994516">
        <w:tab/>
        <w:t>Le</w:t>
      </w:r>
      <w:r w:rsidRPr="00994516">
        <w:rPr>
          <w:rFonts w:cs="Arial"/>
        </w:rPr>
        <w:t xml:space="preserve"> “Formulaire UPOV de description variétale” au document TGP/5, Section 6, invite l’autorité chargée de remplir le formulaire à fournir les informations suivantes au titre du point 17 “Renseignements complémentaires” : </w:t>
      </w:r>
    </w:p>
    <w:p w14:paraId="7C291BDF" w14:textId="77777777" w:rsidR="0026375A" w:rsidRPr="00994516" w:rsidRDefault="0026375A" w:rsidP="0026375A">
      <w:pPr>
        <w:rPr>
          <w:rFonts w:cs="Arial"/>
        </w:rPr>
      </w:pPr>
    </w:p>
    <w:p w14:paraId="501F23A9" w14:textId="77777777" w:rsidR="0026375A" w:rsidRPr="00994516" w:rsidRDefault="0026375A" w:rsidP="0026375A">
      <w:pPr>
        <w:ind w:left="567"/>
        <w:rPr>
          <w:rFonts w:cs="Arial"/>
          <w:sz w:val="18"/>
          <w:szCs w:val="18"/>
        </w:rPr>
      </w:pPr>
      <w:r w:rsidRPr="00994516">
        <w:rPr>
          <w:rFonts w:cs="Arial"/>
          <w:sz w:val="18"/>
          <w:szCs w:val="18"/>
        </w:rPr>
        <w:t>“17.</w:t>
      </w:r>
      <w:r w:rsidRPr="00994516">
        <w:rPr>
          <w:rFonts w:cs="Arial"/>
          <w:sz w:val="18"/>
          <w:szCs w:val="18"/>
        </w:rPr>
        <w:tab/>
        <w:t>Renseignements complémentaires</w:t>
      </w:r>
    </w:p>
    <w:p w14:paraId="55A7E8BA" w14:textId="77777777" w:rsidR="0026375A" w:rsidRPr="00994516" w:rsidRDefault="0026375A" w:rsidP="0026375A">
      <w:pPr>
        <w:ind w:left="567"/>
        <w:rPr>
          <w:rFonts w:cs="Arial"/>
          <w:sz w:val="18"/>
          <w:szCs w:val="18"/>
        </w:rPr>
      </w:pPr>
    </w:p>
    <w:p w14:paraId="25981BB6" w14:textId="77777777" w:rsidR="0026375A" w:rsidRPr="00994516" w:rsidRDefault="0026375A" w:rsidP="0026375A">
      <w:pPr>
        <w:ind w:left="567"/>
        <w:rPr>
          <w:rFonts w:cs="Arial"/>
          <w:sz w:val="18"/>
          <w:szCs w:val="18"/>
        </w:rPr>
      </w:pPr>
      <w:r w:rsidRPr="00994516">
        <w:rPr>
          <w:rFonts w:cs="Arial"/>
          <w:sz w:val="18"/>
          <w:szCs w:val="18"/>
        </w:rPr>
        <w:tab/>
        <w:t>“a)</w:t>
      </w:r>
      <w:r w:rsidRPr="00994516">
        <w:rPr>
          <w:rFonts w:cs="Arial"/>
          <w:sz w:val="18"/>
          <w:szCs w:val="18"/>
        </w:rPr>
        <w:tab/>
        <w:t>Données additionnelles</w:t>
      </w:r>
    </w:p>
    <w:p w14:paraId="576BDD6C" w14:textId="77777777" w:rsidR="0026375A" w:rsidRPr="00994516" w:rsidRDefault="0026375A" w:rsidP="0026375A">
      <w:pPr>
        <w:ind w:left="567"/>
        <w:rPr>
          <w:rFonts w:cs="Arial"/>
          <w:sz w:val="18"/>
          <w:szCs w:val="18"/>
        </w:rPr>
      </w:pPr>
    </w:p>
    <w:p w14:paraId="601A5CF0" w14:textId="77777777" w:rsidR="0026375A" w:rsidRPr="00994516" w:rsidRDefault="0026375A" w:rsidP="0026375A">
      <w:pPr>
        <w:ind w:left="567"/>
        <w:rPr>
          <w:rFonts w:cs="Arial"/>
          <w:color w:val="000000"/>
          <w:sz w:val="18"/>
          <w:szCs w:val="18"/>
        </w:rPr>
      </w:pPr>
      <w:r w:rsidRPr="00994516">
        <w:rPr>
          <w:rFonts w:cs="Arial"/>
          <w:sz w:val="18"/>
          <w:szCs w:val="18"/>
        </w:rPr>
        <w:tab/>
        <w:t>“</w:t>
      </w:r>
      <w:r w:rsidRPr="00994516">
        <w:rPr>
          <w:rFonts w:cs="Arial"/>
          <w:color w:val="000000"/>
          <w:sz w:val="18"/>
          <w:szCs w:val="18"/>
        </w:rPr>
        <w:t>b)</w:t>
      </w:r>
      <w:r w:rsidRPr="00994516">
        <w:rPr>
          <w:rFonts w:cs="Arial"/>
          <w:color w:val="000000"/>
          <w:sz w:val="18"/>
          <w:szCs w:val="18"/>
        </w:rPr>
        <w:tab/>
        <w:t>Photographie (le cas échéant)</w:t>
      </w:r>
    </w:p>
    <w:p w14:paraId="6E6C41D2" w14:textId="77777777" w:rsidR="0026375A" w:rsidRPr="00994516" w:rsidRDefault="0026375A" w:rsidP="0026375A">
      <w:pPr>
        <w:ind w:left="567"/>
        <w:rPr>
          <w:rFonts w:cs="Arial"/>
          <w:sz w:val="18"/>
          <w:szCs w:val="18"/>
        </w:rPr>
      </w:pPr>
    </w:p>
    <w:p w14:paraId="4A25FEF0" w14:textId="77777777" w:rsidR="0026375A" w:rsidRPr="00994516" w:rsidRDefault="0026375A" w:rsidP="0026375A">
      <w:pPr>
        <w:ind w:left="567"/>
        <w:rPr>
          <w:rFonts w:cs="Arial"/>
          <w:color w:val="000000"/>
          <w:sz w:val="18"/>
          <w:szCs w:val="18"/>
        </w:rPr>
      </w:pPr>
      <w:r w:rsidRPr="00994516">
        <w:rPr>
          <w:rFonts w:cs="Arial"/>
          <w:sz w:val="18"/>
          <w:szCs w:val="18"/>
        </w:rPr>
        <w:tab/>
        <w:t>“</w:t>
      </w:r>
      <w:r w:rsidRPr="00994516">
        <w:rPr>
          <w:rFonts w:cs="Arial"/>
          <w:color w:val="000000"/>
          <w:sz w:val="18"/>
          <w:szCs w:val="18"/>
        </w:rPr>
        <w:t>c)</w:t>
      </w:r>
      <w:r w:rsidRPr="00994516">
        <w:rPr>
          <w:rFonts w:cs="Arial"/>
          <w:color w:val="000000"/>
          <w:sz w:val="18"/>
          <w:szCs w:val="18"/>
        </w:rPr>
        <w:tab/>
        <w:t>Version du code RHS des couleurs utilisée (</w:t>
      </w:r>
      <w:bookmarkStart w:id="132" w:name="_Hlk176843712"/>
      <w:r w:rsidRPr="00994516">
        <w:rPr>
          <w:rFonts w:cs="Arial"/>
          <w:color w:val="000000"/>
          <w:sz w:val="18"/>
          <w:szCs w:val="18"/>
        </w:rPr>
        <w:t>selon qu’il convient</w:t>
      </w:r>
      <w:bookmarkEnd w:id="132"/>
      <w:r w:rsidRPr="00994516">
        <w:rPr>
          <w:rFonts w:cs="Arial"/>
          <w:color w:val="000000"/>
          <w:sz w:val="18"/>
          <w:szCs w:val="18"/>
        </w:rPr>
        <w:t>)</w:t>
      </w:r>
    </w:p>
    <w:p w14:paraId="2EB21B86" w14:textId="77777777" w:rsidR="0026375A" w:rsidRPr="00994516" w:rsidRDefault="0026375A" w:rsidP="0026375A">
      <w:pPr>
        <w:ind w:left="567"/>
        <w:rPr>
          <w:rFonts w:cs="Arial"/>
          <w:sz w:val="18"/>
          <w:szCs w:val="18"/>
        </w:rPr>
      </w:pPr>
    </w:p>
    <w:p w14:paraId="01D6B176" w14:textId="77777777" w:rsidR="0026375A" w:rsidRPr="00994516" w:rsidRDefault="0026375A" w:rsidP="0026375A">
      <w:pPr>
        <w:tabs>
          <w:tab w:val="left" w:pos="284"/>
        </w:tabs>
        <w:spacing w:after="240"/>
        <w:ind w:left="567"/>
        <w:rPr>
          <w:rFonts w:cs="Arial"/>
          <w:sz w:val="18"/>
          <w:szCs w:val="18"/>
        </w:rPr>
      </w:pPr>
      <w:r w:rsidRPr="00994516">
        <w:rPr>
          <w:rFonts w:cs="Arial"/>
          <w:sz w:val="18"/>
          <w:szCs w:val="18"/>
        </w:rPr>
        <w:tab/>
        <w:t>“d)</w:t>
      </w:r>
      <w:r w:rsidRPr="00994516">
        <w:rPr>
          <w:rFonts w:cs="Arial"/>
          <w:sz w:val="18"/>
          <w:szCs w:val="18"/>
        </w:rPr>
        <w:tab/>
        <w:t>Commentaires”</w:t>
      </w:r>
    </w:p>
    <w:p w14:paraId="24629DD0" w14:textId="640F8A48" w:rsidR="0026375A" w:rsidRPr="00994516" w:rsidRDefault="0026375A" w:rsidP="0026375A">
      <w:pPr>
        <w:rPr>
          <w:rFonts w:eastAsia="MS Mincho"/>
        </w:rPr>
      </w:pPr>
      <w:r w:rsidRPr="00994516">
        <w:fldChar w:fldCharType="begin"/>
      </w:r>
      <w:r w:rsidRPr="00994516">
        <w:instrText xml:space="preserve"> LISTNUM  LegalDefault \l 1 </w:instrText>
      </w:r>
      <w:r w:rsidRPr="00994516">
        <w:fldChar w:fldCharType="end"/>
      </w:r>
      <w:r w:rsidRPr="00994516">
        <w:tab/>
        <w:t>Lors de sa session de 2023, le TWO</w:t>
      </w:r>
      <w:bookmarkStart w:id="133" w:name="_Ref158811121"/>
      <w:r w:rsidRPr="00994516">
        <w:rPr>
          <w:rFonts w:eastAsia="MS Mincho"/>
          <w:vertAlign w:val="superscript"/>
        </w:rPr>
        <w:footnoteReference w:id="14"/>
      </w:r>
      <w:bookmarkEnd w:id="133"/>
      <w:r w:rsidRPr="00994516">
        <w:rPr>
          <w:rFonts w:eastAsia="MS Mincho"/>
        </w:rPr>
        <w:t xml:space="preserve"> a examiné le document TWO/55/6 présenté par un expert de la Nouvelle-Zélande (voir le document TWO/55/11 </w:t>
      </w:r>
      <w:r w:rsidRPr="00994516">
        <w:rPr>
          <w:rFonts w:eastAsia="MS Mincho"/>
          <w:i/>
        </w:rPr>
        <w:t>“</w:t>
      </w:r>
      <w:r w:rsidR="00821B9B">
        <w:rPr>
          <w:rFonts w:eastAsia="MS Mincho"/>
        </w:rPr>
        <w:t>Report</w:t>
      </w:r>
      <w:r w:rsidRPr="00994516">
        <w:rPr>
          <w:rFonts w:eastAsia="MS Mincho"/>
          <w:i/>
        </w:rPr>
        <w:t>”</w:t>
      </w:r>
      <w:r w:rsidRPr="00994516">
        <w:rPr>
          <w:rFonts w:eastAsia="MS Mincho"/>
        </w:rPr>
        <w:t>, paragraphes 21 à 25).  Le TWO a examiné la proposition présentée au document TWO/55/6</w:t>
      </w:r>
      <w:bookmarkStart w:id="134" w:name="_Hlk145586199"/>
      <w:r w:rsidRPr="00994516">
        <w:rPr>
          <w:rFonts w:eastAsia="MS Mincho"/>
        </w:rPr>
        <w:t xml:space="preserve"> </w:t>
      </w:r>
      <w:bookmarkStart w:id="135" w:name="_Hlk145584469"/>
      <w:r w:rsidRPr="00994516">
        <w:rPr>
          <w:rFonts w:eastAsia="MS Mincho"/>
        </w:rPr>
        <w:t>“Renseignements requis pour améliorer l’utilisation des rapports d’examen DHS existants”</w:t>
      </w:r>
      <w:bookmarkEnd w:id="134"/>
      <w:bookmarkEnd w:id="135"/>
      <w:r w:rsidRPr="00994516">
        <w:rPr>
          <w:rFonts w:eastAsia="MS Mincho"/>
        </w:rPr>
        <w:t xml:space="preserve"> tendant à modifier le document TGP/5, Section 6 “Formulaire UPOV de description variétale”, point 17 “Renseignements complémentaires”, pour y inclure des exemples de “a)</w:t>
      </w:r>
      <w:r w:rsidR="00821B9B">
        <w:rPr>
          <w:rFonts w:eastAsia="MS Mincho"/>
        </w:rPr>
        <w:t> </w:t>
      </w:r>
      <w:r w:rsidRPr="00994516">
        <w:rPr>
          <w:rFonts w:eastAsia="MS Mincho"/>
        </w:rPr>
        <w:t xml:space="preserve">données additionnelles” à fournir avec les descriptions variétales.  </w:t>
      </w:r>
    </w:p>
    <w:p w14:paraId="764CF2E7" w14:textId="77777777" w:rsidR="0026375A" w:rsidRPr="00994516" w:rsidRDefault="0026375A" w:rsidP="0026375A"/>
    <w:p w14:paraId="010F7D8F" w14:textId="77777777" w:rsidR="0026375A" w:rsidRPr="00994516" w:rsidRDefault="0026375A" w:rsidP="0026375A">
      <w:pPr>
        <w:rPr>
          <w:rFonts w:eastAsia="MS Mincho"/>
        </w:rPr>
      </w:pPr>
      <w:r w:rsidRPr="00994516">
        <w:fldChar w:fldCharType="begin"/>
      </w:r>
      <w:r w:rsidRPr="00994516">
        <w:instrText xml:space="preserve"> LISTNUM  LegalDefault \l 1 </w:instrText>
      </w:r>
      <w:r w:rsidRPr="00994516">
        <w:fldChar w:fldCharType="end"/>
      </w:r>
      <w:r w:rsidRPr="00994516">
        <w:tab/>
      </w:r>
      <w:r w:rsidRPr="00994516">
        <w:rPr>
          <w:rFonts w:eastAsia="MS Mincho"/>
        </w:rPr>
        <w:t xml:space="preserve">Le TWO est convenu de proposer l’inclusion dans le document TGP/5, Section 6, de la liste non exhaustive d’exemples de données additionnelles suivante </w:t>
      </w:r>
      <w:r w:rsidRPr="00994516">
        <w:t>(</w:t>
      </w:r>
      <w:bookmarkStart w:id="136" w:name="_Hlk176784442"/>
      <w:r w:rsidRPr="00994516">
        <w:t xml:space="preserve">ajouts indiqués en surligné et </w:t>
      </w:r>
      <w:r w:rsidRPr="00994516">
        <w:rPr>
          <w:highlight w:val="lightGray"/>
          <w:u w:val="single"/>
        </w:rPr>
        <w:t>souligné;</w:t>
      </w:r>
      <w:r w:rsidRPr="00994516">
        <w:t xml:space="preserve">  suppressions indiquées en surligné et </w:t>
      </w:r>
      <w:r w:rsidRPr="00994516">
        <w:rPr>
          <w:strike/>
          <w:highlight w:val="lightGray"/>
        </w:rPr>
        <w:t>biffé</w:t>
      </w:r>
      <w:bookmarkEnd w:id="136"/>
      <w:r w:rsidRPr="00994516">
        <w:t>) :</w:t>
      </w:r>
    </w:p>
    <w:p w14:paraId="4A509151" w14:textId="77777777" w:rsidR="0026375A" w:rsidRPr="00994516" w:rsidRDefault="0026375A" w:rsidP="0026375A">
      <w:pPr>
        <w:ind w:left="567" w:right="567"/>
        <w:rPr>
          <w:rFonts w:eastAsia="MS Mincho"/>
        </w:rPr>
      </w:pPr>
    </w:p>
    <w:p w14:paraId="0FE3BD60" w14:textId="77777777" w:rsidR="0026375A" w:rsidRPr="00994516" w:rsidRDefault="0026375A" w:rsidP="0026375A">
      <w:pPr>
        <w:ind w:left="1134" w:right="567" w:hanging="567"/>
        <w:rPr>
          <w:rFonts w:eastAsia="MS Mincho"/>
          <w:sz w:val="18"/>
          <w:szCs w:val="18"/>
        </w:rPr>
      </w:pPr>
      <w:r w:rsidRPr="00994516">
        <w:rPr>
          <w:rFonts w:eastAsia="MS Mincho"/>
          <w:sz w:val="18"/>
          <w:szCs w:val="18"/>
        </w:rPr>
        <w:t>“a)</w:t>
      </w:r>
      <w:r w:rsidRPr="00994516">
        <w:rPr>
          <w:rFonts w:eastAsia="MS Mincho"/>
          <w:sz w:val="18"/>
          <w:szCs w:val="18"/>
        </w:rPr>
        <w:tab/>
        <w:t xml:space="preserve">Données additionnelles </w:t>
      </w:r>
      <w:r w:rsidRPr="00994516">
        <w:rPr>
          <w:rFonts w:eastAsia="MS Mincho"/>
          <w:sz w:val="18"/>
          <w:szCs w:val="18"/>
          <w:highlight w:val="lightGray"/>
          <w:u w:val="single"/>
        </w:rPr>
        <w:t>(par exemple, les résultats COYU ou COYD, les données mesurées à l’appui de certains caractères, les échelles pour les caractères mesurés en rapport avec les variétés utilisées à titre d’exemple)</w:t>
      </w:r>
      <w:r w:rsidRPr="00994516">
        <w:rPr>
          <w:rFonts w:eastAsia="MS Mincho"/>
          <w:sz w:val="18"/>
          <w:szCs w:val="18"/>
        </w:rPr>
        <w:t>”</w:t>
      </w:r>
    </w:p>
    <w:p w14:paraId="2EE4CEDD" w14:textId="77777777" w:rsidR="0026375A" w:rsidRPr="00994516" w:rsidRDefault="0026375A" w:rsidP="0026375A"/>
    <w:p w14:paraId="1AE0B699"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TWO est convenu de proposer l’inclusion de l’élément additionnel suivant dans la liste des “Renseignements complémentaires” à la section 17 du document TGP/5, Section 6 :</w:t>
      </w:r>
    </w:p>
    <w:p w14:paraId="39C9DBE8" w14:textId="77777777" w:rsidR="0026375A" w:rsidRPr="00994516" w:rsidRDefault="0026375A" w:rsidP="0026375A">
      <w:pPr>
        <w:ind w:left="567"/>
      </w:pPr>
    </w:p>
    <w:p w14:paraId="10062255" w14:textId="77777777" w:rsidR="0026375A" w:rsidRPr="00994516" w:rsidRDefault="0026375A" w:rsidP="0026375A">
      <w:pPr>
        <w:ind w:left="567"/>
        <w:rPr>
          <w:rFonts w:eastAsia="MS Mincho"/>
          <w:sz w:val="18"/>
          <w:szCs w:val="18"/>
        </w:rPr>
      </w:pPr>
      <w:r w:rsidRPr="00994516">
        <w:rPr>
          <w:sz w:val="18"/>
          <w:szCs w:val="18"/>
        </w:rPr>
        <w:t>“d)</w:t>
      </w:r>
      <w:r w:rsidRPr="00994516">
        <w:rPr>
          <w:sz w:val="18"/>
          <w:szCs w:val="18"/>
        </w:rPr>
        <w:tab/>
      </w:r>
      <w:r w:rsidRPr="00994516">
        <w:rPr>
          <w:rFonts w:eastAsia="MS Mincho"/>
          <w:sz w:val="18"/>
          <w:szCs w:val="18"/>
          <w:highlight w:val="lightGray"/>
          <w:u w:val="single"/>
        </w:rPr>
        <w:t>Variétés utilisées à titre d’exemple pour les essais en culture</w:t>
      </w:r>
      <w:r w:rsidRPr="00994516">
        <w:rPr>
          <w:rFonts w:eastAsia="MS Mincho"/>
          <w:sz w:val="18"/>
          <w:szCs w:val="18"/>
        </w:rPr>
        <w:t>”</w:t>
      </w:r>
    </w:p>
    <w:p w14:paraId="565FE28E" w14:textId="77777777" w:rsidR="0026375A" w:rsidRPr="00994516" w:rsidRDefault="0026375A" w:rsidP="0026375A">
      <w:pPr>
        <w:rPr>
          <w:rFonts w:eastAsia="MS Mincho"/>
        </w:rPr>
      </w:pPr>
    </w:p>
    <w:p w14:paraId="37834CF6"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Lors de sa session de 2023, le TC est convenu d’inviter les TWP, lors de leurs sessions respectives en 2024, à examiner la proposition suivante de révision du document TGP/5, Section 6, point 17 “Renseignements complémentaires”, et à déterminer s’il convient de fournir des orientations additionnelles pour les descriptions </w:t>
      </w:r>
      <w:r w:rsidRPr="00994516">
        <w:rPr>
          <w:rFonts w:eastAsia="MS Mincho"/>
          <w:spacing w:val="-2"/>
        </w:rPr>
        <w:t xml:space="preserve">variétales </w:t>
      </w:r>
      <w:r w:rsidRPr="00994516">
        <w:t xml:space="preserve">(ajouts indiqués en surligné et </w:t>
      </w:r>
      <w:r w:rsidRPr="00994516">
        <w:rPr>
          <w:highlight w:val="lightGray"/>
          <w:u w:val="single"/>
        </w:rPr>
        <w:t>souligné;</w:t>
      </w:r>
      <w:r w:rsidRPr="00994516">
        <w:t xml:space="preserve">  suppressions indiquées en surligné et </w:t>
      </w:r>
      <w:r w:rsidRPr="00994516">
        <w:rPr>
          <w:strike/>
          <w:highlight w:val="lightGray"/>
        </w:rPr>
        <w:t>biffé</w:t>
      </w:r>
      <w:r w:rsidRPr="00994516">
        <w:t>) :</w:t>
      </w:r>
    </w:p>
    <w:p w14:paraId="432C3802" w14:textId="77777777" w:rsidR="0026375A" w:rsidRPr="00994516" w:rsidRDefault="0026375A" w:rsidP="0026375A">
      <w:pPr>
        <w:rPr>
          <w:rFonts w:eastAsia="Calibri"/>
          <w:snapToGrid w:val="0"/>
        </w:rPr>
      </w:pPr>
    </w:p>
    <w:p w14:paraId="126D78E0" w14:textId="77777777" w:rsidR="0026375A" w:rsidRPr="00994516" w:rsidRDefault="0026375A" w:rsidP="0026375A">
      <w:pPr>
        <w:ind w:firstLine="567"/>
        <w:rPr>
          <w:rFonts w:eastAsia="Calibri"/>
          <w:snapToGrid w:val="0"/>
          <w:sz w:val="18"/>
          <w:szCs w:val="18"/>
        </w:rPr>
      </w:pPr>
      <w:r w:rsidRPr="00994516">
        <w:rPr>
          <w:rFonts w:eastAsia="Calibri"/>
          <w:snapToGrid w:val="0"/>
          <w:sz w:val="18"/>
          <w:szCs w:val="18"/>
        </w:rPr>
        <w:t>17.</w:t>
      </w:r>
      <w:r w:rsidRPr="00994516">
        <w:rPr>
          <w:rFonts w:eastAsia="Calibri"/>
          <w:snapToGrid w:val="0"/>
          <w:sz w:val="18"/>
          <w:szCs w:val="18"/>
        </w:rPr>
        <w:tab/>
        <w:t>Renseignements complémentaires</w:t>
      </w:r>
    </w:p>
    <w:p w14:paraId="0CC2DC2E" w14:textId="77777777" w:rsidR="0026375A" w:rsidRPr="00994516" w:rsidRDefault="0026375A" w:rsidP="0026375A">
      <w:pPr>
        <w:rPr>
          <w:rFonts w:eastAsia="Calibri"/>
          <w:snapToGrid w:val="0"/>
          <w:sz w:val="18"/>
          <w:szCs w:val="18"/>
        </w:rPr>
      </w:pPr>
    </w:p>
    <w:p w14:paraId="2A858A08" w14:textId="77777777" w:rsidR="0026375A" w:rsidRPr="00994516" w:rsidRDefault="0026375A" w:rsidP="0026375A">
      <w:pPr>
        <w:ind w:left="1701" w:right="567" w:hanging="567"/>
        <w:rPr>
          <w:rFonts w:eastAsia="Calibri"/>
          <w:snapToGrid w:val="0"/>
          <w:sz w:val="18"/>
        </w:rPr>
      </w:pPr>
      <w:r w:rsidRPr="00994516">
        <w:rPr>
          <w:rFonts w:eastAsia="Calibri"/>
          <w:snapToGrid w:val="0"/>
          <w:sz w:val="18"/>
        </w:rPr>
        <w:t>a)</w:t>
      </w:r>
      <w:r w:rsidRPr="00994516">
        <w:rPr>
          <w:rFonts w:eastAsia="Calibri"/>
          <w:snapToGrid w:val="0"/>
          <w:sz w:val="18"/>
        </w:rPr>
        <w:tab/>
      </w:r>
      <w:r w:rsidRPr="00994516">
        <w:rPr>
          <w:rFonts w:eastAsia="MS Mincho"/>
          <w:sz w:val="18"/>
          <w:szCs w:val="18"/>
        </w:rPr>
        <w:t xml:space="preserve">Données additionnelles </w:t>
      </w:r>
      <w:r w:rsidRPr="00994516">
        <w:rPr>
          <w:rFonts w:eastAsia="MS Mincho"/>
          <w:sz w:val="18"/>
          <w:szCs w:val="18"/>
          <w:highlight w:val="lightGray"/>
          <w:u w:val="single"/>
        </w:rPr>
        <w:t>(par exemple, les résultats COYU ou COYD, les données mesurées à l’appui de certains caractères, les échelles pour les caractères mesurés en rapport avec les variétés utilisées à titre d’exemple)</w:t>
      </w:r>
      <w:r w:rsidRPr="00994516">
        <w:rPr>
          <w:rFonts w:eastAsia="Calibri"/>
          <w:snapToGrid w:val="0"/>
          <w:sz w:val="18"/>
        </w:rPr>
        <w:t xml:space="preserve"> </w:t>
      </w:r>
    </w:p>
    <w:p w14:paraId="600D2D05" w14:textId="77777777" w:rsidR="0026375A" w:rsidRPr="00994516" w:rsidRDefault="0026375A" w:rsidP="0026375A">
      <w:pPr>
        <w:ind w:left="567" w:right="567"/>
        <w:rPr>
          <w:rFonts w:eastAsia="Calibri"/>
          <w:snapToGrid w:val="0"/>
          <w:sz w:val="18"/>
        </w:rPr>
      </w:pPr>
    </w:p>
    <w:p w14:paraId="74850A08" w14:textId="77777777" w:rsidR="0026375A" w:rsidRPr="00994516" w:rsidRDefault="0026375A" w:rsidP="0026375A">
      <w:pPr>
        <w:ind w:left="1701" w:right="567" w:hanging="567"/>
        <w:rPr>
          <w:rFonts w:eastAsia="Calibri"/>
          <w:snapToGrid w:val="0"/>
          <w:sz w:val="18"/>
        </w:rPr>
      </w:pPr>
      <w:r w:rsidRPr="00994516">
        <w:rPr>
          <w:rFonts w:eastAsia="Calibri"/>
          <w:snapToGrid w:val="0"/>
          <w:sz w:val="18"/>
        </w:rPr>
        <w:t>b)</w:t>
      </w:r>
      <w:r w:rsidRPr="00994516">
        <w:rPr>
          <w:rFonts w:eastAsia="Calibri"/>
          <w:snapToGrid w:val="0"/>
          <w:sz w:val="18"/>
        </w:rPr>
        <w:tab/>
      </w:r>
      <w:r w:rsidRPr="00994516">
        <w:rPr>
          <w:rFonts w:cs="Arial"/>
          <w:color w:val="000000"/>
          <w:sz w:val="18"/>
          <w:szCs w:val="18"/>
        </w:rPr>
        <w:t>Photographie (le cas échéant)</w:t>
      </w:r>
    </w:p>
    <w:p w14:paraId="2EDEC05B" w14:textId="77777777" w:rsidR="0026375A" w:rsidRPr="00994516" w:rsidRDefault="0026375A" w:rsidP="0026375A">
      <w:pPr>
        <w:ind w:left="1701" w:right="567" w:hanging="567"/>
        <w:rPr>
          <w:rFonts w:eastAsia="Calibri"/>
          <w:snapToGrid w:val="0"/>
          <w:sz w:val="18"/>
        </w:rPr>
      </w:pPr>
    </w:p>
    <w:p w14:paraId="328628D1" w14:textId="77777777" w:rsidR="0026375A" w:rsidRPr="00994516" w:rsidRDefault="0026375A" w:rsidP="0026375A">
      <w:pPr>
        <w:ind w:left="1701" w:right="567" w:hanging="567"/>
        <w:rPr>
          <w:rFonts w:eastAsia="Calibri"/>
          <w:snapToGrid w:val="0"/>
          <w:sz w:val="18"/>
        </w:rPr>
      </w:pPr>
      <w:r w:rsidRPr="00994516">
        <w:rPr>
          <w:rFonts w:eastAsia="Calibri"/>
          <w:snapToGrid w:val="0"/>
          <w:sz w:val="18"/>
        </w:rPr>
        <w:t>c)</w:t>
      </w:r>
      <w:r w:rsidRPr="00994516">
        <w:rPr>
          <w:rFonts w:eastAsia="Calibri"/>
          <w:snapToGrid w:val="0"/>
          <w:sz w:val="18"/>
        </w:rPr>
        <w:tab/>
      </w:r>
      <w:r w:rsidRPr="00994516">
        <w:rPr>
          <w:rFonts w:cs="Arial"/>
          <w:color w:val="000000"/>
          <w:sz w:val="18"/>
          <w:szCs w:val="18"/>
        </w:rPr>
        <w:t>Version du code RHS des couleurs utilisée (selon qu’il convient)</w:t>
      </w:r>
    </w:p>
    <w:p w14:paraId="5FD8B7E2" w14:textId="77777777" w:rsidR="0026375A" w:rsidRPr="00994516" w:rsidRDefault="0026375A" w:rsidP="0026375A">
      <w:pPr>
        <w:ind w:left="1701" w:right="567" w:hanging="567"/>
        <w:rPr>
          <w:rFonts w:eastAsia="Calibri"/>
          <w:snapToGrid w:val="0"/>
          <w:sz w:val="18"/>
        </w:rPr>
      </w:pPr>
    </w:p>
    <w:p w14:paraId="181350C4" w14:textId="77777777" w:rsidR="0026375A" w:rsidRPr="00994516" w:rsidRDefault="0026375A" w:rsidP="0026375A">
      <w:pPr>
        <w:ind w:left="1701" w:right="567" w:hanging="567"/>
        <w:rPr>
          <w:rFonts w:eastAsia="Calibri"/>
          <w:snapToGrid w:val="0"/>
          <w:sz w:val="18"/>
        </w:rPr>
      </w:pPr>
      <w:r w:rsidRPr="00994516">
        <w:rPr>
          <w:rFonts w:eastAsia="Calibri"/>
          <w:snapToGrid w:val="0"/>
          <w:sz w:val="18"/>
        </w:rPr>
        <w:t>d)</w:t>
      </w:r>
      <w:r w:rsidRPr="00994516">
        <w:rPr>
          <w:rFonts w:eastAsia="Calibri"/>
          <w:snapToGrid w:val="0"/>
          <w:sz w:val="18"/>
        </w:rPr>
        <w:tab/>
      </w:r>
      <w:r w:rsidRPr="00994516">
        <w:rPr>
          <w:rFonts w:eastAsia="MS Mincho"/>
          <w:sz w:val="18"/>
          <w:szCs w:val="18"/>
          <w:highlight w:val="lightGray"/>
          <w:u w:val="single"/>
        </w:rPr>
        <w:t>Variétés utilisées à titre d’exemple pour les essais en culture</w:t>
      </w:r>
      <w:r w:rsidRPr="00994516">
        <w:rPr>
          <w:rFonts w:eastAsia="Calibri"/>
          <w:snapToGrid w:val="0"/>
          <w:sz w:val="18"/>
        </w:rPr>
        <w:t xml:space="preserve"> </w:t>
      </w:r>
    </w:p>
    <w:p w14:paraId="380E25C0" w14:textId="77777777" w:rsidR="0026375A" w:rsidRPr="00994516" w:rsidRDefault="0026375A" w:rsidP="0026375A">
      <w:pPr>
        <w:ind w:left="1134" w:right="567"/>
        <w:rPr>
          <w:rFonts w:eastAsia="Calibri"/>
          <w:snapToGrid w:val="0"/>
          <w:sz w:val="18"/>
        </w:rPr>
      </w:pPr>
    </w:p>
    <w:p w14:paraId="11CB1995" w14:textId="77777777" w:rsidR="0026375A" w:rsidRPr="00994516" w:rsidRDefault="0026375A" w:rsidP="0026375A">
      <w:pPr>
        <w:ind w:left="1134" w:right="567"/>
        <w:rPr>
          <w:rFonts w:eastAsia="Calibri"/>
          <w:snapToGrid w:val="0"/>
          <w:sz w:val="18"/>
        </w:rPr>
      </w:pPr>
      <w:r w:rsidRPr="00994516">
        <w:rPr>
          <w:rFonts w:eastAsia="Calibri"/>
          <w:snapToGrid w:val="0"/>
          <w:sz w:val="18"/>
          <w:highlight w:val="lightGray"/>
          <w:u w:val="single"/>
        </w:rPr>
        <w:t>e)</w:t>
      </w:r>
      <w:r w:rsidRPr="00994516">
        <w:rPr>
          <w:rFonts w:eastAsia="Calibri"/>
          <w:snapToGrid w:val="0"/>
          <w:sz w:val="18"/>
        </w:rPr>
        <w:tab/>
      </w:r>
      <w:r w:rsidRPr="00994516">
        <w:rPr>
          <w:rFonts w:cs="Arial"/>
          <w:sz w:val="18"/>
          <w:szCs w:val="18"/>
        </w:rPr>
        <w:t>Commentaires</w:t>
      </w:r>
    </w:p>
    <w:p w14:paraId="37A13302" w14:textId="77777777" w:rsidR="0026375A" w:rsidRPr="00994516" w:rsidRDefault="0026375A" w:rsidP="0026375A">
      <w:pPr>
        <w:rPr>
          <w:rFonts w:eastAsia="Calibri"/>
        </w:rPr>
      </w:pPr>
    </w:p>
    <w:p w14:paraId="3E2EB150" w14:textId="77777777" w:rsidR="0026375A" w:rsidRPr="00994516" w:rsidRDefault="0026375A" w:rsidP="00E033BC">
      <w:pPr>
        <w:keepNext/>
        <w:rPr>
          <w:i/>
        </w:rPr>
      </w:pPr>
      <w:r w:rsidRPr="00994516">
        <w:rPr>
          <w:i/>
        </w:rPr>
        <w:t>Commentaires formulés par les groupes de travail techniques en 2024</w:t>
      </w:r>
    </w:p>
    <w:p w14:paraId="20551EE2" w14:textId="77777777" w:rsidR="0026375A" w:rsidRPr="00994516" w:rsidRDefault="0026375A" w:rsidP="0026375A"/>
    <w:p w14:paraId="7C8E8F40"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Lors de leurs sessions respectives en 2024, l</w:t>
      </w:r>
      <w:r w:rsidRPr="00994516">
        <w:t>e TWV, le TWO, le TWA et le TWF ont étudié l’inclusion d’explications additionnelles proposée au point 17 “Renseignements complémentaires” dans le “Formulaire UPOV de description variétale”, comme indiqué au paragraphe 28 ci-dessus.</w:t>
      </w:r>
    </w:p>
    <w:p w14:paraId="041A9193" w14:textId="77777777" w:rsidR="0026375A" w:rsidRPr="00994516" w:rsidRDefault="0026375A" w:rsidP="0026375A"/>
    <w:p w14:paraId="0A4F69AE" w14:textId="6BD8420B" w:rsidR="0026375A" w:rsidRPr="00994516" w:rsidRDefault="0026375A" w:rsidP="0026375A">
      <w:pPr>
        <w:rPr>
          <w:rFonts w:eastAsia="Calibri"/>
          <w:snapToGrid w:val="0"/>
          <w:sz w:val="18"/>
        </w:rPr>
      </w:pPr>
      <w:r w:rsidRPr="00994516">
        <w:fldChar w:fldCharType="begin"/>
      </w:r>
      <w:r w:rsidRPr="00994516">
        <w:instrText xml:space="preserve"> LISTNUM  LegalDefault \l 1 </w:instrText>
      </w:r>
      <w:r w:rsidRPr="00994516">
        <w:fldChar w:fldCharType="end"/>
      </w:r>
      <w:r w:rsidRPr="00994516">
        <w:tab/>
        <w:t>Le</w:t>
      </w:r>
      <w:r w:rsidRPr="00994516">
        <w:rPr>
          <w:rFonts w:eastAsiaTheme="minorEastAsia"/>
        </w:rPr>
        <w:t xml:space="preserve"> TWV </w:t>
      </w:r>
      <w:r w:rsidR="00340F7D">
        <w:rPr>
          <w:rFonts w:eastAsiaTheme="minorEastAsia"/>
        </w:rPr>
        <w:t>a</w:t>
      </w:r>
      <w:r w:rsidRPr="00994516">
        <w:rPr>
          <w:rFonts w:eastAsiaTheme="minorEastAsia"/>
        </w:rPr>
        <w:t xml:space="preserve"> approuvé la proposition</w:t>
      </w:r>
      <w:r w:rsidRPr="00994516">
        <w:t>.</w:t>
      </w:r>
    </w:p>
    <w:p w14:paraId="2395F14F" w14:textId="77777777" w:rsidR="0026375A" w:rsidRPr="00994516" w:rsidRDefault="0026375A" w:rsidP="0026375A">
      <w:pPr>
        <w:rPr>
          <w:rFonts w:eastAsiaTheme="minorEastAsia"/>
        </w:rPr>
      </w:pPr>
    </w:p>
    <w:p w14:paraId="4A5726E9" w14:textId="157D30D2" w:rsidR="0026375A" w:rsidRPr="00994516" w:rsidRDefault="0026375A" w:rsidP="0026375A">
      <w:pPr>
        <w:keepLines/>
      </w:pPr>
      <w:r w:rsidRPr="00994516">
        <w:fldChar w:fldCharType="begin"/>
      </w:r>
      <w:r w:rsidRPr="00994516">
        <w:instrText xml:space="preserve"> LISTNUM  LegalDefault \l 1 </w:instrText>
      </w:r>
      <w:r w:rsidRPr="00994516">
        <w:fldChar w:fldCharType="end"/>
      </w:r>
      <w:r w:rsidRPr="00994516">
        <w:tab/>
        <w:t>Le TWO a noté que certains exemples indiqués sous “a) Données additionnelles” n’étaient pas courants concernant les plantes ornementales, comme les résultats COYU ou COYD.  Le TWF a exprimé son accord avec le TWV et le TWO dans le sens que les élé</w:t>
      </w:r>
      <w:r w:rsidRPr="00994516">
        <w:rPr>
          <w:rFonts w:eastAsiaTheme="minorEastAsia"/>
        </w:rPr>
        <w:t>ments fournis sous le point 17 “Renseignements complémentaires” sont des exemples à examiner au cas par cas, le cas échéant, en fonction du type de culture et de la variété décrits.</w:t>
      </w:r>
      <w:r w:rsidRPr="00994516">
        <w:t xml:space="preserve"> </w:t>
      </w:r>
    </w:p>
    <w:p w14:paraId="0C7C8FDD" w14:textId="77777777" w:rsidR="0026375A" w:rsidRPr="00994516" w:rsidRDefault="0026375A" w:rsidP="0026375A"/>
    <w:p w14:paraId="21A7D53F" w14:textId="5DC600A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TWA </w:t>
      </w:r>
      <w:r w:rsidR="001C2590">
        <w:t>est convenu</w:t>
      </w:r>
      <w:r w:rsidRPr="00994516">
        <w:t xml:space="preserve"> que les exemples indiqués sous “a) Données additionnelles” ne sont pas pertinents et ne doivent pas figurer dans les orientations.  </w:t>
      </w:r>
    </w:p>
    <w:p w14:paraId="3EACA20F" w14:textId="77777777" w:rsidR="0026375A" w:rsidRPr="00994516" w:rsidRDefault="0026375A" w:rsidP="0026375A"/>
    <w:p w14:paraId="7FD200EC" w14:textId="6A6CB549"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TWA a étudié le nouveau point “d)” proposé et </w:t>
      </w:r>
      <w:r w:rsidR="001C2590">
        <w:t>est convenu</w:t>
      </w:r>
      <w:r w:rsidRPr="00994516">
        <w:t xml:space="preserve"> qu’il n’est pas possible d’en soutenir l’inclusion tant que des précisions supplémentaires ne sont pas apportées concernant les situations dans lesquelles ce type de renseignement doit être fourni.</w:t>
      </w:r>
    </w:p>
    <w:p w14:paraId="367A5805" w14:textId="77777777" w:rsidR="0026375A" w:rsidRPr="00994516" w:rsidRDefault="0026375A" w:rsidP="0026375A"/>
    <w:p w14:paraId="0E8F7C14" w14:textId="5B4AE554"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TWA </w:t>
      </w:r>
      <w:r w:rsidR="001C2590">
        <w:rPr>
          <w:rFonts w:eastAsiaTheme="minorEastAsia"/>
        </w:rPr>
        <w:t>est convenu</w:t>
      </w:r>
      <w:r w:rsidRPr="00994516">
        <w:rPr>
          <w:rFonts w:eastAsiaTheme="minorEastAsia"/>
        </w:rPr>
        <w:t xml:space="preserve"> que les informations supplémentaires à échanger entre autorités dans les rapports sur les examens de variétés doivent être convenues de façon bilatérale.</w:t>
      </w:r>
    </w:p>
    <w:p w14:paraId="3197D0F3" w14:textId="77777777" w:rsidR="0026375A" w:rsidRPr="00994516" w:rsidRDefault="0026375A" w:rsidP="0026375A"/>
    <w:p w14:paraId="2837D145" w14:textId="77777777" w:rsidR="0026375A" w:rsidRPr="00994516" w:rsidRDefault="0026375A" w:rsidP="0026375A">
      <w:pPr>
        <w:keepNext/>
        <w:rPr>
          <w:i/>
          <w:iCs/>
        </w:rPr>
      </w:pPr>
      <w:r w:rsidRPr="00994516">
        <w:rPr>
          <w:i/>
          <w:iCs/>
        </w:rPr>
        <w:t>Proposition :</w:t>
      </w:r>
    </w:p>
    <w:p w14:paraId="0064197D" w14:textId="77777777" w:rsidR="0026375A" w:rsidRPr="00994516" w:rsidRDefault="0026375A" w:rsidP="0026375A">
      <w:pPr>
        <w:keepNext/>
        <w:rPr>
          <w:rFonts w:eastAsia="MS Mincho"/>
        </w:rPr>
      </w:pPr>
    </w:p>
    <w:p w14:paraId="1B328696" w14:textId="77777777" w:rsidR="0026375A" w:rsidRPr="00994516" w:rsidRDefault="0026375A" w:rsidP="0026375A">
      <w:pPr>
        <w:keepNext/>
      </w:pPr>
      <w:r w:rsidRPr="00994516">
        <w:fldChar w:fldCharType="begin"/>
      </w:r>
      <w:r w:rsidRPr="00994516">
        <w:instrText xml:space="preserve"> LISTNUM  LegalDefault \l 1 </w:instrText>
      </w:r>
      <w:r w:rsidRPr="00994516">
        <w:fldChar w:fldCharType="end"/>
      </w:r>
      <w:r w:rsidRPr="00994516">
        <w:tab/>
        <w:t xml:space="preserve">Sur la base des commentaires formulés par les TWP, lors de leurs sessions respectives en 2024, le TC est invité à examiner la possibilité de modifier le document TGP/5, Section 6, point 17 “Renseignements complémentaires” comme suit (ajouts indiqués en surligné et </w:t>
      </w:r>
      <w:r w:rsidRPr="00994516">
        <w:rPr>
          <w:highlight w:val="lightGray"/>
          <w:u w:val="single"/>
        </w:rPr>
        <w:t>souligné</w:t>
      </w:r>
      <w:r w:rsidRPr="00994516">
        <w:t xml:space="preserve">) : </w:t>
      </w:r>
    </w:p>
    <w:p w14:paraId="7C61E87B" w14:textId="77777777" w:rsidR="0026375A" w:rsidRPr="00994516" w:rsidRDefault="0026375A" w:rsidP="0026375A">
      <w:pPr>
        <w:rPr>
          <w:rFonts w:cs="Arial"/>
        </w:rPr>
      </w:pPr>
    </w:p>
    <w:p w14:paraId="5320A38E" w14:textId="77777777" w:rsidR="0026375A" w:rsidRPr="00994516" w:rsidRDefault="0026375A" w:rsidP="0026375A">
      <w:pPr>
        <w:ind w:left="567"/>
        <w:rPr>
          <w:rFonts w:cs="Arial"/>
          <w:sz w:val="18"/>
          <w:szCs w:val="18"/>
        </w:rPr>
      </w:pPr>
      <w:r w:rsidRPr="00994516">
        <w:rPr>
          <w:rFonts w:cs="Arial"/>
          <w:sz w:val="18"/>
          <w:szCs w:val="18"/>
        </w:rPr>
        <w:t>“17.</w:t>
      </w:r>
      <w:r w:rsidRPr="00994516">
        <w:rPr>
          <w:rFonts w:cs="Arial"/>
          <w:sz w:val="18"/>
          <w:szCs w:val="18"/>
        </w:rPr>
        <w:tab/>
      </w:r>
      <w:r w:rsidRPr="00994516">
        <w:rPr>
          <w:rFonts w:cs="Arial"/>
          <w:sz w:val="18"/>
          <w:szCs w:val="18"/>
          <w:u w:val="single"/>
        </w:rPr>
        <w:t>Renseignements complémentaires</w:t>
      </w:r>
    </w:p>
    <w:p w14:paraId="262F5594" w14:textId="77777777" w:rsidR="0026375A" w:rsidRPr="00994516" w:rsidRDefault="0026375A" w:rsidP="0026375A">
      <w:pPr>
        <w:ind w:left="567"/>
        <w:rPr>
          <w:rFonts w:cs="Arial"/>
          <w:sz w:val="18"/>
          <w:szCs w:val="18"/>
        </w:rPr>
      </w:pPr>
    </w:p>
    <w:p w14:paraId="00F2E430" w14:textId="77777777" w:rsidR="0026375A" w:rsidRPr="00994516" w:rsidRDefault="0026375A" w:rsidP="0026375A">
      <w:pPr>
        <w:ind w:left="567"/>
        <w:rPr>
          <w:rFonts w:cs="Arial"/>
          <w:sz w:val="18"/>
          <w:szCs w:val="18"/>
        </w:rPr>
      </w:pPr>
      <w:r w:rsidRPr="00994516">
        <w:rPr>
          <w:rFonts w:cs="Arial"/>
          <w:sz w:val="18"/>
          <w:szCs w:val="18"/>
        </w:rPr>
        <w:tab/>
        <w:t>“a)</w:t>
      </w:r>
      <w:r w:rsidRPr="00994516">
        <w:rPr>
          <w:rFonts w:cs="Arial"/>
          <w:sz w:val="18"/>
          <w:szCs w:val="18"/>
        </w:rPr>
        <w:tab/>
        <w:t>Données additionnelles</w:t>
      </w:r>
    </w:p>
    <w:p w14:paraId="0128BB9D" w14:textId="77777777" w:rsidR="0026375A" w:rsidRPr="00994516" w:rsidRDefault="0026375A" w:rsidP="0026375A">
      <w:pPr>
        <w:ind w:left="567"/>
        <w:rPr>
          <w:rFonts w:cs="Arial"/>
          <w:sz w:val="18"/>
          <w:szCs w:val="18"/>
        </w:rPr>
      </w:pPr>
    </w:p>
    <w:p w14:paraId="12B23607" w14:textId="77777777" w:rsidR="0026375A" w:rsidRPr="00994516" w:rsidRDefault="0026375A" w:rsidP="0026375A">
      <w:pPr>
        <w:ind w:left="567"/>
        <w:rPr>
          <w:rFonts w:cs="Arial"/>
          <w:color w:val="000000"/>
          <w:sz w:val="18"/>
          <w:szCs w:val="18"/>
        </w:rPr>
      </w:pPr>
      <w:r w:rsidRPr="00994516">
        <w:rPr>
          <w:rFonts w:cs="Arial"/>
          <w:sz w:val="18"/>
          <w:szCs w:val="18"/>
        </w:rPr>
        <w:tab/>
        <w:t>“</w:t>
      </w:r>
      <w:r w:rsidRPr="00994516">
        <w:rPr>
          <w:rFonts w:cs="Arial"/>
          <w:color w:val="000000"/>
          <w:sz w:val="18"/>
          <w:szCs w:val="18"/>
        </w:rPr>
        <w:t>b)</w:t>
      </w:r>
      <w:r w:rsidRPr="00994516">
        <w:rPr>
          <w:rFonts w:cs="Arial"/>
          <w:color w:val="000000"/>
          <w:sz w:val="18"/>
          <w:szCs w:val="18"/>
        </w:rPr>
        <w:tab/>
        <w:t>Photographie (le cas échéant)</w:t>
      </w:r>
    </w:p>
    <w:p w14:paraId="59CF6E2A" w14:textId="77777777" w:rsidR="0026375A" w:rsidRPr="00994516" w:rsidRDefault="0026375A" w:rsidP="0026375A">
      <w:pPr>
        <w:ind w:left="567"/>
        <w:rPr>
          <w:rFonts w:cs="Arial"/>
          <w:sz w:val="18"/>
          <w:szCs w:val="18"/>
        </w:rPr>
      </w:pPr>
    </w:p>
    <w:p w14:paraId="05C2149F" w14:textId="77777777" w:rsidR="0026375A" w:rsidRPr="00994516" w:rsidRDefault="0026375A" w:rsidP="0026375A">
      <w:pPr>
        <w:ind w:left="567"/>
        <w:rPr>
          <w:rFonts w:cs="Arial"/>
          <w:color w:val="000000"/>
          <w:sz w:val="18"/>
          <w:szCs w:val="18"/>
        </w:rPr>
      </w:pPr>
      <w:r w:rsidRPr="00994516">
        <w:rPr>
          <w:rFonts w:cs="Arial"/>
          <w:sz w:val="18"/>
          <w:szCs w:val="18"/>
        </w:rPr>
        <w:tab/>
        <w:t>“</w:t>
      </w:r>
      <w:r w:rsidRPr="00994516">
        <w:rPr>
          <w:rFonts w:cs="Arial"/>
          <w:color w:val="000000"/>
          <w:sz w:val="18"/>
          <w:szCs w:val="18"/>
        </w:rPr>
        <w:t>c)</w:t>
      </w:r>
      <w:r w:rsidRPr="00994516">
        <w:rPr>
          <w:rFonts w:cs="Arial"/>
          <w:color w:val="000000"/>
          <w:sz w:val="18"/>
          <w:szCs w:val="18"/>
        </w:rPr>
        <w:tab/>
        <w:t>Version du code RHS des couleurs utilisée (selon qu’il convient)</w:t>
      </w:r>
    </w:p>
    <w:p w14:paraId="019DBAFB" w14:textId="77777777" w:rsidR="0026375A" w:rsidRPr="00994516" w:rsidRDefault="0026375A" w:rsidP="0026375A">
      <w:pPr>
        <w:ind w:left="567"/>
        <w:rPr>
          <w:rFonts w:cs="Arial"/>
          <w:sz w:val="18"/>
          <w:szCs w:val="18"/>
        </w:rPr>
      </w:pPr>
    </w:p>
    <w:p w14:paraId="1B1AF0E6" w14:textId="77777777" w:rsidR="0026375A" w:rsidRPr="00994516" w:rsidRDefault="0026375A" w:rsidP="0026375A">
      <w:pPr>
        <w:tabs>
          <w:tab w:val="left" w:pos="284"/>
        </w:tabs>
        <w:ind w:left="567"/>
        <w:rPr>
          <w:rFonts w:cs="Arial"/>
          <w:sz w:val="18"/>
          <w:szCs w:val="18"/>
        </w:rPr>
      </w:pPr>
      <w:r w:rsidRPr="00994516">
        <w:rPr>
          <w:rFonts w:cs="Arial"/>
          <w:sz w:val="18"/>
          <w:szCs w:val="18"/>
        </w:rPr>
        <w:tab/>
        <w:t>“d)</w:t>
      </w:r>
      <w:r w:rsidRPr="00994516">
        <w:rPr>
          <w:rFonts w:cs="Arial"/>
          <w:sz w:val="18"/>
          <w:szCs w:val="18"/>
        </w:rPr>
        <w:tab/>
        <w:t>Commentaires”</w:t>
      </w:r>
    </w:p>
    <w:p w14:paraId="7398667E" w14:textId="77777777" w:rsidR="0026375A" w:rsidRPr="00994516" w:rsidRDefault="0026375A" w:rsidP="0026375A"/>
    <w:p w14:paraId="38A0EB4B" w14:textId="77777777" w:rsidR="0026375A" w:rsidRPr="00994516" w:rsidRDefault="0026375A" w:rsidP="0026375A">
      <w:pPr>
        <w:ind w:left="567"/>
        <w:rPr>
          <w:rFonts w:cs="Arial"/>
          <w:color w:val="000000"/>
          <w:sz w:val="18"/>
          <w:szCs w:val="18"/>
          <w:u w:val="single"/>
        </w:rPr>
      </w:pPr>
      <w:r w:rsidRPr="00994516">
        <w:rPr>
          <w:rFonts w:cs="Arial"/>
          <w:color w:val="000000"/>
          <w:sz w:val="18"/>
          <w:szCs w:val="18"/>
          <w:highlight w:val="lightGray"/>
          <w:u w:val="single"/>
        </w:rPr>
        <w:t>“De nouveaux cas et types de renseignements complémentaires à fournir peuvent être convenus de façon bilatérale, en fonction du type de culture et de la variété examinés.”</w:t>
      </w:r>
    </w:p>
    <w:p w14:paraId="106F73B1" w14:textId="77777777" w:rsidR="0026375A" w:rsidRPr="00994516" w:rsidRDefault="0026375A" w:rsidP="0026375A"/>
    <w:p w14:paraId="1EB5FFCE" w14:textId="77777777" w:rsidR="0026375A" w:rsidRPr="00994516" w:rsidRDefault="0026375A" w:rsidP="0026375A"/>
    <w:p w14:paraId="472345A5" w14:textId="77777777" w:rsidR="0026375A" w:rsidRPr="00994516" w:rsidRDefault="0026375A" w:rsidP="0026375A">
      <w:pPr>
        <w:jc w:val="center"/>
        <w:rPr>
          <w:snapToGrid w:val="0"/>
          <w:u w:val="single"/>
        </w:rPr>
      </w:pPr>
      <w:r w:rsidRPr="00994516">
        <w:rPr>
          <w:snapToGrid w:val="0"/>
          <w:u w:val="single"/>
        </w:rPr>
        <w:t xml:space="preserve">STRUCTURE DU DOCUMENT TGP/5, </w:t>
      </w:r>
    </w:p>
    <w:p w14:paraId="2F33B38B" w14:textId="77777777" w:rsidR="0026375A" w:rsidRPr="00994516" w:rsidRDefault="0026375A" w:rsidP="0026375A">
      <w:pPr>
        <w:jc w:val="center"/>
        <w:rPr>
          <w:snapToGrid w:val="0"/>
          <w:u w:val="single"/>
        </w:rPr>
      </w:pPr>
      <w:r w:rsidRPr="00994516">
        <w:rPr>
          <w:snapToGrid w:val="0"/>
          <w:u w:val="single"/>
        </w:rPr>
        <w:t xml:space="preserve">SECTION 6 “RAPPORT D’EXAMEN TECHNIQUE UPOV ET </w:t>
      </w:r>
    </w:p>
    <w:p w14:paraId="6D7BA4D9" w14:textId="77777777" w:rsidR="0026375A" w:rsidRPr="00994516" w:rsidRDefault="0026375A" w:rsidP="0026375A">
      <w:pPr>
        <w:jc w:val="center"/>
        <w:rPr>
          <w:snapToGrid w:val="0"/>
          <w:u w:val="single"/>
        </w:rPr>
      </w:pPr>
      <w:r w:rsidRPr="00994516">
        <w:rPr>
          <w:snapToGrid w:val="0"/>
          <w:u w:val="single"/>
        </w:rPr>
        <w:t>FORMULAIRE UPOV DE DESCRIPTION VARIÉTALE”</w:t>
      </w:r>
    </w:p>
    <w:p w14:paraId="3B70125E" w14:textId="77777777" w:rsidR="0026375A" w:rsidRPr="00994516" w:rsidRDefault="0026375A" w:rsidP="0026375A"/>
    <w:p w14:paraId="557D6B9A" w14:textId="724F109A"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Le TWA</w:t>
      </w:r>
      <w:r w:rsidRPr="00994516">
        <w:rPr>
          <w:vertAlign w:val="superscript"/>
        </w:rPr>
        <w:footnoteReference w:id="15"/>
      </w:r>
      <w:r w:rsidRPr="00994516">
        <w:t>, à sa cinquante-troisième session, a noté que le “Rapport UPOV d’examen technique” mentionne comme annexe</w:t>
      </w:r>
      <w:r w:rsidR="00CC60AF">
        <w:t xml:space="preserve"> le</w:t>
      </w:r>
      <w:r w:rsidRPr="00994516">
        <w:t xml:space="preserve"> “Formulaire UPOV de description variétale”.  Le TWA est convenu de proposer de réviser la structure du document TGP/5, Section 6, pour préciser que</w:t>
      </w:r>
      <w:r w:rsidR="00CC60AF">
        <w:t xml:space="preserve"> le</w:t>
      </w:r>
      <w:r w:rsidRPr="00994516">
        <w:t xml:space="preserve"> “Formulaire UPOV de description variétale” est une annexe du “Rapport UPOV d’examen technique” et que le point 18 “Notes explicatives à l’annexe : Formulaire UPOV de description variétale” est une autre section, distincte du document d’orientation.</w:t>
      </w:r>
    </w:p>
    <w:p w14:paraId="4795C96A" w14:textId="77777777" w:rsidR="0026375A" w:rsidRPr="00CC60AF" w:rsidRDefault="0026375A" w:rsidP="00CC60AF"/>
    <w:p w14:paraId="77391E9B" w14:textId="3AFBBAAD"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r>
      <w:proofErr w:type="gramStart"/>
      <w:r w:rsidRPr="00994516">
        <w:t>Suite à</w:t>
      </w:r>
      <w:proofErr w:type="gramEnd"/>
      <w:r w:rsidRPr="00994516">
        <w:t xml:space="preserve"> la proposition du TWA, le TC est invité à examiner la possibilité d’inviter le Bureau de l’Union à réviser la structure du document TGP/5, Section 6, afin de préciser que</w:t>
      </w:r>
      <w:r w:rsidR="00CC60AF">
        <w:t xml:space="preserve"> le</w:t>
      </w:r>
      <w:r w:rsidRPr="00994516">
        <w:t xml:space="preserve"> </w:t>
      </w:r>
      <w:r w:rsidR="00CC60AF">
        <w:t>“</w:t>
      </w:r>
      <w:r w:rsidRPr="00994516">
        <w:t xml:space="preserve">Formulaire UPOV de description variétale” est une annexe du </w:t>
      </w:r>
      <w:r w:rsidR="00CC60AF">
        <w:t>“</w:t>
      </w:r>
      <w:r w:rsidRPr="00994516">
        <w:t>Rapport UPOV d’examen technique” et que le point 18 “Notes explicatives à l’annexe : Formulaire UPOV de description variétale” est une section distincte du document d’orientation.</w:t>
      </w:r>
    </w:p>
    <w:p w14:paraId="66C5552D" w14:textId="77777777" w:rsidR="00E033BC" w:rsidRPr="00994516" w:rsidRDefault="0026375A" w:rsidP="00CC60AF">
      <w:pPr>
        <w:spacing w:before="240"/>
        <w:jc w:val="right"/>
        <w:sectPr w:rsidR="00E033BC" w:rsidRPr="00994516" w:rsidSect="0026375A">
          <w:headerReference w:type="default" r:id="rId21"/>
          <w:footerReference w:type="even" r:id="rId22"/>
          <w:footerReference w:type="default" r:id="rId23"/>
          <w:footerReference w:type="first" r:id="rId24"/>
          <w:footnotePr>
            <w:numRestart w:val="eachSect"/>
          </w:footnotePr>
          <w:pgSz w:w="11907" w:h="16840" w:code="9"/>
          <w:pgMar w:top="510" w:right="1134" w:bottom="709" w:left="1134" w:header="510" w:footer="680" w:gutter="0"/>
          <w:pgNumType w:start="1"/>
          <w:cols w:space="720"/>
          <w:titlePg/>
        </w:sectPr>
      </w:pPr>
      <w:r w:rsidRPr="00994516">
        <w:t>[L’annexe IV suit]</w:t>
      </w:r>
    </w:p>
    <w:p w14:paraId="3BE4FAD1" w14:textId="77777777" w:rsidR="0026375A" w:rsidRPr="00994516" w:rsidRDefault="0026375A" w:rsidP="0026375A">
      <w:pPr>
        <w:jc w:val="center"/>
      </w:pPr>
      <w:bookmarkStart w:id="137" w:name="ANNEXEIV"/>
      <w:r w:rsidRPr="00994516">
        <w:lastRenderedPageBreak/>
        <w:t>ANNEXE IV</w:t>
      </w:r>
    </w:p>
    <w:bookmarkEnd w:id="137"/>
    <w:p w14:paraId="5A77028F" w14:textId="77777777" w:rsidR="0026375A" w:rsidRPr="00994516" w:rsidRDefault="0026375A" w:rsidP="0026375A"/>
    <w:p w14:paraId="22AA119A" w14:textId="77777777" w:rsidR="0026375A" w:rsidRPr="00994516" w:rsidRDefault="0026375A" w:rsidP="0026375A">
      <w:pPr>
        <w:jc w:val="center"/>
      </w:pPr>
      <w:r w:rsidRPr="00994516">
        <w:t>DOCUMENT TGP/7 “ÉLABORATION DES PRINCIPES DIRECTEURS D’EXAMEN” (REVISION)</w:t>
      </w:r>
    </w:p>
    <w:p w14:paraId="7171F8C4" w14:textId="77777777" w:rsidR="0026375A" w:rsidRPr="00994516" w:rsidRDefault="0026375A" w:rsidP="0026375A"/>
    <w:p w14:paraId="3C615D68" w14:textId="77777777" w:rsidR="0026375A" w:rsidRPr="00994516" w:rsidRDefault="0026375A" w:rsidP="0026375A"/>
    <w:p w14:paraId="7E492F53" w14:textId="77777777" w:rsidR="0026375A" w:rsidRPr="00994516" w:rsidRDefault="0026375A" w:rsidP="0026375A">
      <w:pPr>
        <w:keepNext/>
        <w:jc w:val="center"/>
        <w:rPr>
          <w:caps/>
          <w:u w:val="single"/>
        </w:rPr>
      </w:pPr>
      <w:r w:rsidRPr="00994516">
        <w:rPr>
          <w:caps/>
          <w:snapToGrid w:val="0"/>
          <w:u w:val="single"/>
        </w:rPr>
        <w:t xml:space="preserve">Texte standard supplémentaire </w:t>
      </w:r>
      <w:r w:rsidRPr="00994516">
        <w:rPr>
          <w:caps/>
          <w:u w:val="single"/>
        </w:rPr>
        <w:t>(ASW) 3 “Explication DU cycle DE VÉGÉTATION”</w:t>
      </w:r>
    </w:p>
    <w:p w14:paraId="58A98D78" w14:textId="77777777" w:rsidR="0026375A" w:rsidRPr="00994516" w:rsidRDefault="0026375A" w:rsidP="0026375A"/>
    <w:p w14:paraId="7BA51A6B" w14:textId="77777777" w:rsidR="0026375A" w:rsidRPr="00994516" w:rsidRDefault="0026375A" w:rsidP="0026375A">
      <w:r w:rsidRPr="00994516">
        <w:fldChar w:fldCharType="begin"/>
      </w:r>
      <w:r w:rsidRPr="00994516">
        <w:instrText xml:space="preserve"> LISTNUM  LegalDefault \l 1 \s 1 </w:instrText>
      </w:r>
      <w:r w:rsidRPr="00994516">
        <w:fldChar w:fldCharType="end"/>
      </w:r>
      <w:r w:rsidRPr="00994516">
        <w:tab/>
        <w:t>Lors de sa session de 2023, le TC</w:t>
      </w:r>
      <w:r w:rsidRPr="00994516">
        <w:rPr>
          <w:vertAlign w:val="superscript"/>
        </w:rPr>
        <w:footnoteReference w:id="16"/>
      </w:r>
      <w:r w:rsidRPr="00994516">
        <w:t xml:space="preserve"> est convenu d’inviter les TWP, lors de leurs sessions respectives en 2024, d’étudier l’opportunité de modifier le texte standard actuel pour le cycle de végétation relatif aux “espèces fruitières présentant une période de dormance clairement définie”, comme suit (ajouts indiqués en surligné et </w:t>
      </w:r>
      <w:r w:rsidRPr="00994516">
        <w:rPr>
          <w:highlight w:val="lightGray"/>
          <w:u w:val="single"/>
        </w:rPr>
        <w:t>souligné;</w:t>
      </w:r>
      <w:r w:rsidRPr="00994516">
        <w:t xml:space="preserve">  suppressions indiquées en surligné et </w:t>
      </w:r>
      <w:r w:rsidRPr="00994516">
        <w:rPr>
          <w:strike/>
          <w:highlight w:val="lightGray"/>
        </w:rPr>
        <w:t>biffé</w:t>
      </w:r>
      <w:r w:rsidRPr="00994516">
        <w:t>) :</w:t>
      </w:r>
    </w:p>
    <w:p w14:paraId="07F3754F" w14:textId="77777777" w:rsidR="0026375A" w:rsidRPr="00994516" w:rsidRDefault="0026375A" w:rsidP="0026375A"/>
    <w:p w14:paraId="21E803AF" w14:textId="77777777" w:rsidR="0026375A" w:rsidRPr="00994516" w:rsidRDefault="0026375A" w:rsidP="0026375A">
      <w:pPr>
        <w:keepNext/>
        <w:tabs>
          <w:tab w:val="left" w:pos="1134"/>
        </w:tabs>
        <w:ind w:left="567" w:right="567"/>
        <w:contextualSpacing/>
        <w:rPr>
          <w:sz w:val="18"/>
          <w:szCs w:val="18"/>
        </w:rPr>
      </w:pPr>
      <w:r w:rsidRPr="00994516">
        <w:rPr>
          <w:sz w:val="18"/>
          <w:szCs w:val="18"/>
        </w:rPr>
        <w:t>“(a)</w:t>
      </w:r>
      <w:r w:rsidRPr="00994516">
        <w:rPr>
          <w:sz w:val="18"/>
          <w:szCs w:val="18"/>
        </w:rPr>
        <w:tab/>
        <w:t>Espèces fruitières présentant une période de dormance clairement définie</w:t>
      </w:r>
    </w:p>
    <w:p w14:paraId="5CE21BF3" w14:textId="77777777" w:rsidR="0026375A" w:rsidRPr="00994516" w:rsidRDefault="0026375A" w:rsidP="0026375A">
      <w:pPr>
        <w:keepNext/>
        <w:tabs>
          <w:tab w:val="left" w:pos="1134"/>
        </w:tabs>
        <w:ind w:left="567" w:right="567"/>
        <w:contextualSpacing/>
        <w:rPr>
          <w:sz w:val="18"/>
          <w:szCs w:val="18"/>
        </w:rPr>
      </w:pPr>
    </w:p>
    <w:p w14:paraId="69572F23" w14:textId="558C7D06" w:rsidR="0026375A" w:rsidRPr="00994516" w:rsidRDefault="0026375A" w:rsidP="0026375A">
      <w:pPr>
        <w:keepNext/>
        <w:tabs>
          <w:tab w:val="left" w:pos="851"/>
          <w:tab w:val="left" w:pos="1134"/>
        </w:tabs>
        <w:ind w:left="567" w:right="567"/>
        <w:rPr>
          <w:sz w:val="18"/>
          <w:szCs w:val="18"/>
        </w:rPr>
      </w:pPr>
      <w:r w:rsidRPr="00994516">
        <w:rPr>
          <w:sz w:val="18"/>
          <w:szCs w:val="18"/>
        </w:rPr>
        <w:t>“3.1.2</w:t>
      </w:r>
      <w:r w:rsidRPr="00994516">
        <w:rPr>
          <w:sz w:val="18"/>
          <w:szCs w:val="18"/>
        </w:rPr>
        <w:tab/>
        <w:t xml:space="preserve">Le cycle de végétation est constitué par la durée d’une seule saison de végétation, qui commence avec </w:t>
      </w:r>
      <w:r w:rsidRPr="00994516">
        <w:rPr>
          <w:sz w:val="18"/>
          <w:szCs w:val="18"/>
          <w:highlight w:val="lightGray"/>
          <w:u w:val="single"/>
        </w:rPr>
        <w:t>la période de dormance, se poursuit par</w:t>
      </w:r>
      <w:r w:rsidRPr="00994516">
        <w:rPr>
          <w:sz w:val="18"/>
          <w:szCs w:val="18"/>
        </w:rPr>
        <w:t xml:space="preserve"> le débourrement (floraison ou croissance végétative), </w:t>
      </w:r>
      <w:r w:rsidRPr="00994516">
        <w:rPr>
          <w:strike/>
          <w:sz w:val="18"/>
          <w:szCs w:val="18"/>
          <w:highlight w:val="lightGray"/>
        </w:rPr>
        <w:t>se poursuit par</w:t>
      </w:r>
      <w:r w:rsidRPr="00994516">
        <w:rPr>
          <w:sz w:val="18"/>
          <w:szCs w:val="18"/>
        </w:rPr>
        <w:t xml:space="preserve"> la floraison et la récolte des fruits et s’achève </w:t>
      </w:r>
      <w:r w:rsidRPr="00994516">
        <w:rPr>
          <w:strike/>
          <w:sz w:val="18"/>
          <w:szCs w:val="18"/>
          <w:highlight w:val="lightGray"/>
        </w:rPr>
        <w:t xml:space="preserve">à la fin de </w:t>
      </w:r>
      <w:r w:rsidR="00996ACC" w:rsidRPr="00994516">
        <w:rPr>
          <w:sz w:val="18"/>
          <w:szCs w:val="18"/>
          <w:highlight w:val="lightGray"/>
          <w:u w:val="single"/>
        </w:rPr>
        <w:t>lorsque</w:t>
      </w:r>
      <w:r w:rsidR="00996ACC" w:rsidRPr="00994516">
        <w:rPr>
          <w:sz w:val="18"/>
          <w:szCs w:val="18"/>
        </w:rPr>
        <w:t xml:space="preserve"> </w:t>
      </w:r>
      <w:r w:rsidRPr="00994516">
        <w:rPr>
          <w:sz w:val="18"/>
          <w:szCs w:val="18"/>
        </w:rPr>
        <w:t xml:space="preserve">la période de dormance suivante </w:t>
      </w:r>
      <w:r w:rsidRPr="00996ACC">
        <w:rPr>
          <w:sz w:val="18"/>
          <w:szCs w:val="18"/>
          <w:highlight w:val="lightGray"/>
          <w:u w:val="single"/>
        </w:rPr>
        <w:t>commence</w:t>
      </w:r>
      <w:r w:rsidRPr="00994516">
        <w:rPr>
          <w:sz w:val="18"/>
          <w:szCs w:val="18"/>
        </w:rPr>
        <w:t xml:space="preserve"> </w:t>
      </w:r>
      <w:r w:rsidRPr="00994516">
        <w:rPr>
          <w:strike/>
          <w:sz w:val="18"/>
          <w:szCs w:val="18"/>
          <w:highlight w:val="lightGray"/>
        </w:rPr>
        <w:t>par la formation des boutons de la nouvelle saison</w:t>
      </w:r>
      <w:r w:rsidRPr="00994516">
        <w:rPr>
          <w:sz w:val="18"/>
          <w:szCs w:val="18"/>
        </w:rPr>
        <w:t>.”</w:t>
      </w:r>
    </w:p>
    <w:p w14:paraId="50B84734" w14:textId="77777777" w:rsidR="0026375A" w:rsidRPr="00994516" w:rsidRDefault="0026375A" w:rsidP="0026375A"/>
    <w:p w14:paraId="48906889"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Lors de leurs sessions respectives de 2024, le TWV, le </w:t>
      </w:r>
      <w:r w:rsidRPr="00994516">
        <w:t xml:space="preserve">TWO, le </w:t>
      </w:r>
      <w:r w:rsidRPr="00994516">
        <w:rPr>
          <w:rFonts w:eastAsiaTheme="minorEastAsia"/>
        </w:rPr>
        <w:t xml:space="preserve">TWA et le </w:t>
      </w:r>
      <w:r w:rsidRPr="00994516">
        <w:t>TWF ont approuvé la</w:t>
      </w:r>
      <w:r w:rsidRPr="00994516">
        <w:rPr>
          <w:rFonts w:eastAsiaTheme="minorEastAsia"/>
        </w:rPr>
        <w:t xml:space="preserve"> proposition de modification du texte </w:t>
      </w:r>
      <w:r w:rsidRPr="00994516">
        <w:t xml:space="preserve">standard pour le cycle de végétation relatif aux “espèces fruitières présentant une période de dormance clairement définie” dans le document TGP/7, ASW 3.a), comme indiqué au paragraphe 1.  Le TWV et le TWA ont </w:t>
      </w:r>
      <w:r w:rsidRPr="00994516">
        <w:rPr>
          <w:rFonts w:eastAsiaTheme="minorEastAsia"/>
        </w:rPr>
        <w:t>noté que la situation n’est pas courante concernant les plantes potagères et les plantes agricoles.</w:t>
      </w:r>
    </w:p>
    <w:p w14:paraId="67073705" w14:textId="77777777" w:rsidR="0026375A" w:rsidRPr="00994516" w:rsidRDefault="0026375A" w:rsidP="0026375A"/>
    <w:p w14:paraId="1AD6A032" w14:textId="77777777" w:rsidR="0026375A" w:rsidRPr="00994516" w:rsidRDefault="0026375A" w:rsidP="0026375A"/>
    <w:p w14:paraId="36CC6ECA" w14:textId="58FF09BC" w:rsidR="0026375A" w:rsidRPr="00994516" w:rsidRDefault="0026375A" w:rsidP="0026375A">
      <w:pPr>
        <w:jc w:val="center"/>
        <w:rPr>
          <w:u w:val="single"/>
        </w:rPr>
      </w:pPr>
      <w:r w:rsidRPr="00994516">
        <w:rPr>
          <w:caps/>
          <w:u w:val="single"/>
        </w:rPr>
        <w:t xml:space="preserve">Texte standard supplémentaire </w:t>
      </w:r>
      <w:r w:rsidRPr="00994516">
        <w:rPr>
          <w:u w:val="single"/>
        </w:rPr>
        <w:t xml:space="preserve">(ASW) 7.b) </w:t>
      </w:r>
      <w:r w:rsidRPr="00994516">
        <w:rPr>
          <w:u w:val="single"/>
        </w:rPr>
        <w:br/>
        <w:t>“</w:t>
      </w:r>
      <w:r w:rsidRPr="00994516">
        <w:rPr>
          <w:caps/>
          <w:u w:val="single"/>
        </w:rPr>
        <w:t>Nombre de plantes</w:t>
      </w:r>
      <w:r w:rsidR="00D9015D">
        <w:rPr>
          <w:caps/>
          <w:u w:val="single"/>
        </w:rPr>
        <w:t xml:space="preserve"> </w:t>
      </w:r>
      <w:r w:rsidRPr="00994516">
        <w:rPr>
          <w:caps/>
          <w:u w:val="single"/>
        </w:rPr>
        <w:t>/</w:t>
      </w:r>
      <w:r w:rsidR="00D9015D">
        <w:rPr>
          <w:caps/>
          <w:u w:val="single"/>
        </w:rPr>
        <w:t xml:space="preserve"> </w:t>
      </w:r>
      <w:r w:rsidRPr="00994516">
        <w:rPr>
          <w:caps/>
          <w:u w:val="single"/>
        </w:rPr>
        <w:t>parties de plantes à examiner</w:t>
      </w:r>
      <w:r w:rsidRPr="00994516">
        <w:rPr>
          <w:u w:val="single"/>
        </w:rPr>
        <w:t>”</w:t>
      </w:r>
    </w:p>
    <w:p w14:paraId="5BC2FFF1" w14:textId="77777777" w:rsidR="0026375A" w:rsidRPr="00994516" w:rsidRDefault="0026375A" w:rsidP="0026375A">
      <w:pPr>
        <w:rPr>
          <w:u w:val="single"/>
        </w:rPr>
      </w:pPr>
    </w:p>
    <w:p w14:paraId="62E1A21B" w14:textId="77777777" w:rsidR="0026375A" w:rsidRPr="00994516" w:rsidRDefault="0026375A" w:rsidP="0026375A">
      <w:pPr>
        <w:rPr>
          <w:i/>
        </w:rPr>
      </w:pPr>
      <w:r w:rsidRPr="00994516">
        <w:rPr>
          <w:i/>
        </w:rPr>
        <w:t>Rappel</w:t>
      </w:r>
    </w:p>
    <w:p w14:paraId="0514D2AF" w14:textId="77777777" w:rsidR="0026375A" w:rsidRPr="00994516" w:rsidRDefault="0026375A" w:rsidP="0026375A">
      <w:pPr>
        <w:rPr>
          <w:iCs/>
        </w:rPr>
      </w:pPr>
    </w:p>
    <w:p w14:paraId="0AE33422"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chapitre 4 des principes directeurs d’examen concerne l’évaluation de la distinction.  La section 4.1.4 </w:t>
      </w:r>
      <w:proofErr w:type="gramStart"/>
      <w:r w:rsidRPr="00994516">
        <w:t>donne</w:t>
      </w:r>
      <w:proofErr w:type="gramEnd"/>
      <w:r w:rsidRPr="00994516">
        <w:t xml:space="preserve"> des informations sur le nombre de plantes ou de parties de plantes à examiner.  Le texte standard suivant est indiqué dans les principes directeurs d’examen, où “{ x }” représente le nombre de plantes ou de parties de plantes à examiner :</w:t>
      </w:r>
    </w:p>
    <w:p w14:paraId="4953A470" w14:textId="77777777" w:rsidR="0026375A" w:rsidRPr="00994516" w:rsidRDefault="0026375A" w:rsidP="0026375A"/>
    <w:p w14:paraId="28D83D59" w14:textId="77777777" w:rsidR="0026375A" w:rsidRPr="00D9015D" w:rsidRDefault="0026375A" w:rsidP="0026375A">
      <w:pPr>
        <w:ind w:left="567" w:right="567"/>
        <w:rPr>
          <w:sz w:val="18"/>
          <w:szCs w:val="18"/>
        </w:rPr>
      </w:pPr>
      <w:r w:rsidRPr="00D9015D">
        <w:rPr>
          <w:sz w:val="18"/>
          <w:szCs w:val="18"/>
        </w:rPr>
        <w:t xml:space="preserve">“Sauf indication contraire, </w:t>
      </w:r>
      <w:r w:rsidRPr="00D9015D">
        <w:rPr>
          <w:rFonts w:eastAsia="Arial" w:cs="Arial"/>
          <w:sz w:val="18"/>
          <w:szCs w:val="18"/>
        </w:rPr>
        <w:t xml:space="preserve">aux fins de la distinction, toutes les observations portant sur des plantes isolées doivent être effectuées sur </w:t>
      </w:r>
      <w:r w:rsidRPr="00D9015D">
        <w:rPr>
          <w:sz w:val="18"/>
          <w:szCs w:val="18"/>
        </w:rPr>
        <w:t>{ x }</w:t>
      </w:r>
      <w:r w:rsidRPr="00D9015D">
        <w:rPr>
          <w:rFonts w:eastAsia="Arial" w:cs="Arial"/>
          <w:sz w:val="18"/>
          <w:szCs w:val="18"/>
        </w:rPr>
        <w:t xml:space="preserve"> plantes ou des parties prélevées sur chacune de ces </w:t>
      </w:r>
      <w:r w:rsidRPr="00D9015D">
        <w:rPr>
          <w:sz w:val="18"/>
          <w:szCs w:val="18"/>
        </w:rPr>
        <w:t>{ x }</w:t>
      </w:r>
      <w:r w:rsidRPr="00D9015D">
        <w:rPr>
          <w:rFonts w:eastAsia="Arial" w:cs="Arial"/>
          <w:sz w:val="18"/>
          <w:szCs w:val="18"/>
        </w:rPr>
        <w:t xml:space="preserve"> plantes et toutes les autres observations doivent être effectuées sur la totalité des plantes de l’essai, sans tenir compte d’éventuelles plantes hors type</w:t>
      </w:r>
      <w:r w:rsidRPr="00D9015D">
        <w:rPr>
          <w:sz w:val="18"/>
          <w:szCs w:val="18"/>
        </w:rPr>
        <w:t>.”</w:t>
      </w:r>
    </w:p>
    <w:p w14:paraId="0AB63EF3" w14:textId="77777777" w:rsidR="0026375A" w:rsidRPr="00994516" w:rsidRDefault="0026375A" w:rsidP="0026375A">
      <w:pPr>
        <w:tabs>
          <w:tab w:val="left" w:pos="1659"/>
        </w:tabs>
      </w:pPr>
    </w:p>
    <w:p w14:paraId="0C99ABEC" w14:textId="7EC693D2" w:rsidR="0026375A" w:rsidRPr="00D9015D" w:rsidRDefault="0026375A" w:rsidP="0026375A">
      <w:pPr>
        <w:rPr>
          <w:rFonts w:cs="Arial"/>
        </w:rPr>
      </w:pPr>
      <w:r w:rsidRPr="00994516">
        <w:fldChar w:fldCharType="begin"/>
      </w:r>
      <w:r w:rsidRPr="00994516">
        <w:instrText xml:space="preserve"> LISTNUM  LegalDefault \l 1 </w:instrText>
      </w:r>
      <w:r w:rsidRPr="00994516">
        <w:fldChar w:fldCharType="end"/>
      </w:r>
      <w:r w:rsidRPr="00994516">
        <w:tab/>
      </w:r>
      <w:r w:rsidRPr="00D9015D">
        <w:rPr>
          <w:spacing w:val="-2"/>
        </w:rPr>
        <w:t xml:space="preserve">La phrase additionnelle suivante pourrait être ajoutée, </w:t>
      </w:r>
      <w:r w:rsidRPr="00D9015D">
        <w:rPr>
          <w:rFonts w:cs="Arial"/>
          <w:color w:val="000000"/>
          <w:spacing w:val="-2"/>
        </w:rPr>
        <w:t>selon qu’il convient</w:t>
      </w:r>
      <w:r w:rsidRPr="00D9015D">
        <w:rPr>
          <w:spacing w:val="-2"/>
        </w:rPr>
        <w:t xml:space="preserve"> (texte standard supplémentaire</w:t>
      </w:r>
      <w:r w:rsidRPr="00D9015D">
        <w:rPr>
          <w:i/>
          <w:iCs/>
        </w:rPr>
        <w:t xml:space="preserve"> </w:t>
      </w:r>
      <w:r w:rsidRPr="00D9015D">
        <w:rPr>
          <w:rFonts w:cs="Arial"/>
        </w:rPr>
        <w:t>(ASW) 7.b) :</w:t>
      </w:r>
    </w:p>
    <w:p w14:paraId="7E6546AF" w14:textId="77777777" w:rsidR="0026375A" w:rsidRPr="00994516" w:rsidRDefault="0026375A" w:rsidP="0026375A"/>
    <w:p w14:paraId="0E55B27F" w14:textId="4672EE37" w:rsidR="0026375A" w:rsidRPr="00994516" w:rsidRDefault="0026375A" w:rsidP="0026375A">
      <w:pPr>
        <w:ind w:left="567" w:right="567"/>
        <w:rPr>
          <w:sz w:val="18"/>
          <w:szCs w:val="18"/>
        </w:rPr>
      </w:pPr>
      <w:r w:rsidRPr="00994516">
        <w:rPr>
          <w:sz w:val="18"/>
          <w:szCs w:val="18"/>
        </w:rPr>
        <w:t>“Dans le cas d’observations de parties prélevées sur des plantes isolées, le nombre de parties à prélever sur chacune de ces plantes doit être {</w:t>
      </w:r>
      <w:r w:rsidR="0010188C" w:rsidRPr="00994516">
        <w:rPr>
          <w:sz w:val="18"/>
          <w:szCs w:val="18"/>
        </w:rPr>
        <w:t> </w:t>
      </w:r>
      <w:r w:rsidRPr="00994516">
        <w:rPr>
          <w:sz w:val="18"/>
          <w:szCs w:val="18"/>
        </w:rPr>
        <w:t>y</w:t>
      </w:r>
      <w:r w:rsidR="0010188C" w:rsidRPr="00994516">
        <w:rPr>
          <w:sz w:val="18"/>
          <w:szCs w:val="18"/>
        </w:rPr>
        <w:t> </w:t>
      </w:r>
      <w:r w:rsidRPr="00994516">
        <w:rPr>
          <w:sz w:val="18"/>
          <w:szCs w:val="18"/>
        </w:rPr>
        <w:t>}.”</w:t>
      </w:r>
    </w:p>
    <w:p w14:paraId="08AD5CA0" w14:textId="77777777" w:rsidR="0026375A" w:rsidRPr="00994516" w:rsidRDefault="0026375A" w:rsidP="0026375A">
      <w:pPr>
        <w:tabs>
          <w:tab w:val="left" w:pos="1659"/>
        </w:tabs>
      </w:pPr>
    </w:p>
    <w:p w14:paraId="7DC71939" w14:textId="77777777"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À la demande du TWF, lors de sa session de 2023, le TC</w:t>
      </w:r>
      <w:r w:rsidRPr="00994516">
        <w:rPr>
          <w:vertAlign w:val="superscript"/>
        </w:rPr>
        <w:footnoteReference w:id="17"/>
      </w:r>
      <w:r w:rsidRPr="00994516">
        <w:t xml:space="preserve"> est convenu d’inviter les TWP, lors de leurs sessions respectives de 2024, à étudier une</w:t>
      </w:r>
      <w:r w:rsidRPr="00994516">
        <w:rPr>
          <w:rFonts w:cs="Arial"/>
        </w:rPr>
        <w:t xml:space="preserve"> proposition de modification relative au </w:t>
      </w:r>
      <w:r w:rsidRPr="00994516">
        <w:t>texte standard supplémentaire</w:t>
      </w:r>
      <w:r w:rsidRPr="00994516">
        <w:rPr>
          <w:rFonts w:cs="Arial"/>
        </w:rPr>
        <w:t xml:space="preserve"> </w:t>
      </w:r>
      <w:r w:rsidRPr="00994516">
        <w:t>ASW 7.b)</w:t>
      </w:r>
      <w:r w:rsidRPr="00994516">
        <w:rPr>
          <w:rFonts w:cs="Arial"/>
        </w:rPr>
        <w:t xml:space="preserve"> afin de préciser que le nombre indiqué est une indication de quantité minimale, comme suit :</w:t>
      </w:r>
    </w:p>
    <w:p w14:paraId="5A1F9B43" w14:textId="77777777" w:rsidR="0026375A" w:rsidRPr="00994516" w:rsidRDefault="0026375A" w:rsidP="0026375A">
      <w:pPr>
        <w:rPr>
          <w:rFonts w:cs="Arial"/>
        </w:rPr>
      </w:pPr>
    </w:p>
    <w:p w14:paraId="0994476A" w14:textId="77777777" w:rsidR="0026375A" w:rsidRPr="00994516" w:rsidRDefault="0026375A" w:rsidP="0026375A">
      <w:pPr>
        <w:ind w:left="567" w:right="567"/>
        <w:rPr>
          <w:sz w:val="18"/>
        </w:rPr>
      </w:pPr>
      <w:r w:rsidRPr="00994516">
        <w:rPr>
          <w:sz w:val="18"/>
        </w:rPr>
        <w:t>“</w:t>
      </w:r>
      <w:r w:rsidRPr="00994516">
        <w:rPr>
          <w:sz w:val="18"/>
          <w:szCs w:val="18"/>
        </w:rPr>
        <w:t>Dans le cas d’observations de parties prélevées sur des plantes isolées, le nombre de parties à prélever sur chacune de ces plantes doit être</w:t>
      </w:r>
      <w:r w:rsidRPr="00994516">
        <w:rPr>
          <w:sz w:val="18"/>
        </w:rPr>
        <w:t xml:space="preserve"> </w:t>
      </w:r>
      <w:r w:rsidRPr="00994516">
        <w:rPr>
          <w:sz w:val="18"/>
          <w:highlight w:val="lightGray"/>
          <w:u w:val="single"/>
        </w:rPr>
        <w:t>au moins</w:t>
      </w:r>
      <w:r w:rsidRPr="00994516">
        <w:rPr>
          <w:sz w:val="18"/>
        </w:rPr>
        <w:t xml:space="preserve"> { y }.”</w:t>
      </w:r>
    </w:p>
    <w:p w14:paraId="18845A78" w14:textId="77777777" w:rsidR="0026375A" w:rsidRPr="00994516" w:rsidRDefault="0026375A" w:rsidP="0026375A"/>
    <w:p w14:paraId="288F6079" w14:textId="77777777" w:rsidR="0026375A" w:rsidRPr="00994516" w:rsidRDefault="0026375A" w:rsidP="0026375A">
      <w:pPr>
        <w:rPr>
          <w:i/>
        </w:rPr>
      </w:pPr>
      <w:r w:rsidRPr="00994516">
        <w:rPr>
          <w:i/>
        </w:rPr>
        <w:t>Commentaires formulés par les groupes de travail techniques en 2024</w:t>
      </w:r>
    </w:p>
    <w:p w14:paraId="1F74C23F" w14:textId="77777777" w:rsidR="0026375A" w:rsidRPr="00994516" w:rsidRDefault="0026375A" w:rsidP="0026375A"/>
    <w:p w14:paraId="5D4CBEE1"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Lors de leurs sessions respectives de 2024, le TWV, le TWO, le TWA et le TWF ont étudié la proposition de modification du document TGP/7, ASW 7.b), relative au nombre de parties à examiner prélevées sur des plantes isolées.</w:t>
      </w:r>
    </w:p>
    <w:p w14:paraId="6443AF54" w14:textId="77777777" w:rsidR="0026375A" w:rsidRPr="00994516" w:rsidRDefault="0026375A" w:rsidP="0026375A">
      <w:pPr>
        <w:rPr>
          <w:rFonts w:eastAsiaTheme="minorEastAsia"/>
        </w:rPr>
      </w:pPr>
    </w:p>
    <w:p w14:paraId="13AA1172" w14:textId="752E2B00"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TWV </w:t>
      </w:r>
      <w:r w:rsidR="001C2590">
        <w:rPr>
          <w:rFonts w:eastAsiaTheme="minorEastAsia"/>
        </w:rPr>
        <w:t>est convenu</w:t>
      </w:r>
      <w:r w:rsidRPr="00994516">
        <w:rPr>
          <w:rFonts w:eastAsiaTheme="minorEastAsia"/>
        </w:rPr>
        <w:t xml:space="preserve"> que le nombre de parties à prélever sur chaque plante revêt une importance particulière pour l’évaluation sur des échantillons de petite taille.  Le TWV </w:t>
      </w:r>
      <w:r w:rsidR="001C2590">
        <w:rPr>
          <w:rFonts w:eastAsiaTheme="minorEastAsia"/>
        </w:rPr>
        <w:t>est convenu</w:t>
      </w:r>
      <w:r w:rsidRPr="00994516">
        <w:rPr>
          <w:rFonts w:eastAsiaTheme="minorEastAsia"/>
        </w:rPr>
        <w:t xml:space="preserve"> qu’il convient de donner </w:t>
      </w:r>
      <w:r w:rsidRPr="00994516">
        <w:rPr>
          <w:rFonts w:eastAsiaTheme="minorEastAsia"/>
        </w:rPr>
        <w:lastRenderedPageBreak/>
        <w:t>davantage d’informations sur d’éventuelles conséquences pour une harmonisation internationale en l’absence d’indication précise du nombre fourni dans les principes directeurs d’examen.</w:t>
      </w:r>
    </w:p>
    <w:p w14:paraId="7E6BF36A" w14:textId="77777777" w:rsidR="0026375A" w:rsidRPr="00994516" w:rsidRDefault="0026375A" w:rsidP="0026375A">
      <w:pPr>
        <w:rPr>
          <w:rFonts w:eastAsiaTheme="minorEastAsia"/>
        </w:rPr>
      </w:pPr>
    </w:p>
    <w:p w14:paraId="0E6621C5" w14:textId="096798A8"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a noté que le texte standard supplémentaire ASW 7.b) n’est pas fréquemment utilisé concernant les plantes ornementales et </w:t>
      </w:r>
      <w:r w:rsidR="001C2590">
        <w:t>est convenu</w:t>
      </w:r>
      <w:r w:rsidRPr="00994516">
        <w:t>, avec l</w:t>
      </w:r>
      <w:r w:rsidRPr="00994516">
        <w:rPr>
          <w:rFonts w:eastAsiaTheme="minorEastAsia"/>
        </w:rPr>
        <w:t>e TWV, que le nombre de parties à prélever sur chaque plante revêt une importance particulière pour l’évaluation sur des échantillons de petite taille et que, en l’absence d’indication précise du nombre fourni dans les principes directeurs d’examen, il convient de donner davantage d’informations sur d’éventuelles conséquences pour une harmonisation internationale.</w:t>
      </w:r>
    </w:p>
    <w:p w14:paraId="7F2A4A92" w14:textId="77777777" w:rsidR="0026375A" w:rsidRPr="00994516" w:rsidRDefault="0026375A" w:rsidP="0026375A">
      <w:pPr>
        <w:rPr>
          <w:rFonts w:eastAsiaTheme="minorEastAsia"/>
        </w:rPr>
      </w:pPr>
    </w:p>
    <w:p w14:paraId="147BB23C" w14:textId="6CC8628B"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TWA </w:t>
      </w:r>
      <w:r w:rsidR="001C2590">
        <w:t>est convenu</w:t>
      </w:r>
      <w:r w:rsidRPr="00994516">
        <w:t xml:space="preserve"> qu’il n’est pas opportun de modifier le texte standard supplémentaire ASW 7.b).  Le TWA </w:t>
      </w:r>
      <w:r w:rsidR="001C2590">
        <w:t>est convenu</w:t>
      </w:r>
      <w:r w:rsidRPr="00994516">
        <w:t xml:space="preserve"> que le texte standard supplémentaire ASW 7.b) doit indiquer un nombre précis de parties de plantes à observer par rapport à tous les caractères inscrits dans les principes directeurs d’examen.  Le TWA </w:t>
      </w:r>
      <w:r w:rsidR="001C2590">
        <w:t>est convenu</w:t>
      </w:r>
      <w:r w:rsidRPr="00994516">
        <w:t xml:space="preserve"> qu’au cas où des nombres différents de parties de plantes étaient observés pour des caractères isolés, ils doivent être indiqués à la section 8 “Explications du tableau des caractères”.</w:t>
      </w:r>
    </w:p>
    <w:p w14:paraId="6871708D" w14:textId="77777777" w:rsidR="0026375A" w:rsidRPr="00994516" w:rsidRDefault="0026375A" w:rsidP="0026375A"/>
    <w:p w14:paraId="62F7B95F"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 xml:space="preserve">Le TWF a pris note des orientations contenues dans le document TGP/9 “Examen de la distinction” sur le nombre de plantes et la précision des notices, ainsi que des commentaires formulés par le TWV, le TWO et le TWA </w:t>
      </w:r>
      <w:r w:rsidRPr="00994516">
        <w:rPr>
          <w:rFonts w:eastAsiaTheme="minorEastAsia"/>
        </w:rPr>
        <w:t xml:space="preserve">sur d’éventuelles conséquences, en l’absence d’indication précise du nombre fourni dans les principes directeurs d’examen, pour une harmonisation internationale. </w:t>
      </w:r>
    </w:p>
    <w:p w14:paraId="548F5DC8" w14:textId="77777777" w:rsidR="0026375A" w:rsidRPr="00994516" w:rsidRDefault="0026375A" w:rsidP="0026375A"/>
    <w:p w14:paraId="1B0DAD8E" w14:textId="6F9948D0"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a rappelé que l’évaluation des caractères des cultures fruitières est souvent fondée sur trois ou cinq plantes.  Le TWF </w:t>
      </w:r>
      <w:r w:rsidR="001C2590">
        <w:t>est convenu</w:t>
      </w:r>
      <w:r w:rsidRPr="00994516">
        <w:t xml:space="preserve"> d’augmenter les tailles des échantillons avec des parties supplémentaires prélevées sur chaque plante (répétitions internes), telles que les feuilles et les fruits.  </w:t>
      </w:r>
    </w:p>
    <w:p w14:paraId="76C7E9A3" w14:textId="77777777" w:rsidR="0026375A" w:rsidRPr="00994516" w:rsidRDefault="0026375A" w:rsidP="0026375A"/>
    <w:p w14:paraId="6E5B163C" w14:textId="06B81EF5"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a noté que le libellé de l’ASW 7.b) prévoit un nombre défini de parties de plantes à observer pour tous les caractères figurant dans les principes directeurs d’examen, sauf indication contraire.  Le TWF </w:t>
      </w:r>
      <w:r w:rsidR="001C2590">
        <w:t>est convenu</w:t>
      </w:r>
      <w:r w:rsidRPr="00994516">
        <w:t xml:space="preserve"> que certains caractères tels que la forme du fruit pourraient nécessiter un nombre plus élevé de parties à prélever sur chaque plante que celui défini dans l’ASW 7.b).</w:t>
      </w:r>
    </w:p>
    <w:p w14:paraId="3770FE19" w14:textId="77777777" w:rsidR="0026375A" w:rsidRPr="00994516" w:rsidRDefault="0026375A" w:rsidP="0026375A"/>
    <w:p w14:paraId="04D0DA21"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TWF </w:t>
      </w:r>
      <w:r w:rsidRPr="00994516">
        <w:t>a examiné différentes approches pour indiquer un nombre différent de parties à prélever sur chaque plante, par exemple : en fonction du type de variété (comme celles résultant d’un croisement ou d’une mutation), ainsi qu’il est indiqué dans les p</w:t>
      </w:r>
      <w:r w:rsidRPr="00994516">
        <w:rPr>
          <w:rFonts w:eastAsiaTheme="minorEastAsia"/>
        </w:rPr>
        <w:t xml:space="preserve">rincipes directeurs d’examen pour l’abricot et le maïs; </w:t>
      </w:r>
      <w:r w:rsidRPr="00994516">
        <w:t>des explications pour les différents caractères; et l’indication d’autres méthodes d’évaluation (par exemple, “MS/VG”)</w:t>
      </w:r>
      <w:r w:rsidRPr="00994516">
        <w:rPr>
          <w:rFonts w:eastAsiaTheme="minorEastAsia"/>
        </w:rPr>
        <w:t>.</w:t>
      </w:r>
    </w:p>
    <w:p w14:paraId="5B4CDDAF" w14:textId="77777777" w:rsidR="0026375A" w:rsidRPr="00994516" w:rsidRDefault="0026375A" w:rsidP="0026375A"/>
    <w:p w14:paraId="2EE1572B" w14:textId="66B5852D"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 xml:space="preserve">Le TWF a pris note du rapport de la France selon lequel un nombre de parties à prélever sur chaque </w:t>
      </w:r>
      <w:proofErr w:type="gramStart"/>
      <w:r w:rsidRPr="00994516">
        <w:t>plante supérieur</w:t>
      </w:r>
      <w:proofErr w:type="gramEnd"/>
      <w:r w:rsidRPr="00994516">
        <w:t xml:space="preserve"> à celui défini dans les principes directeurs d’examen pourrait être utilisé dans certains cas pour davantage de précision dans l’évaluation de la distinction.  Le TWF </w:t>
      </w:r>
      <w:r w:rsidR="001C2590">
        <w:t>est convenu</w:t>
      </w:r>
      <w:r w:rsidRPr="00994516">
        <w:t xml:space="preserve"> que ce type de procédure pourrait être utilisé dans des cas particuliers sans augmenter la taille des échantillons définie dans les principes directeurs d’examen relatifs aux</w:t>
      </w:r>
      <w:r w:rsidRPr="00994516">
        <w:rPr>
          <w:rFonts w:eastAsiaTheme="minorEastAsia"/>
        </w:rPr>
        <w:t xml:space="preserve"> examens de routine.</w:t>
      </w:r>
    </w:p>
    <w:p w14:paraId="15D9E93C" w14:textId="77777777" w:rsidR="0026375A" w:rsidRPr="00994516" w:rsidRDefault="0026375A" w:rsidP="0026375A">
      <w:pPr>
        <w:rPr>
          <w:rFonts w:eastAsiaTheme="minorEastAsia"/>
        </w:rPr>
      </w:pPr>
    </w:p>
    <w:p w14:paraId="63D569C1"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TWF </w:t>
      </w:r>
      <w:r w:rsidRPr="00994516">
        <w:t>est convenu d’inviter l’expert de la France à compiler des exemples de cas où le nombre de parties à prélever sur chaque plante pourrait être supérieur à celui défini dans les principes directeurs d’examen</w:t>
      </w:r>
      <w:r w:rsidRPr="00994516">
        <w:rPr>
          <w:rFonts w:eastAsiaTheme="minorEastAsia"/>
        </w:rPr>
        <w:t xml:space="preserve">.  Le TWF </w:t>
      </w:r>
      <w:r w:rsidRPr="00994516">
        <w:t>est convenu d’inviter l’expert de la France</w:t>
      </w:r>
      <w:r w:rsidRPr="00994516">
        <w:rPr>
          <w:rFonts w:eastAsiaTheme="minorEastAsia"/>
        </w:rPr>
        <w:t xml:space="preserve"> </w:t>
      </w:r>
      <w:r w:rsidRPr="00994516">
        <w:t>à étudier les possibilités d’indiquer que l’évaluation des caractères pourrait être effectuée sur des échantillons de différentes tailles en fonction du degré de précision requis</w:t>
      </w:r>
      <w:r w:rsidRPr="00994516">
        <w:rPr>
          <w:rFonts w:eastAsiaTheme="minorEastAsia"/>
        </w:rPr>
        <w:t xml:space="preserve">. </w:t>
      </w:r>
    </w:p>
    <w:p w14:paraId="0D46EB7B" w14:textId="77777777" w:rsidR="0026375A" w:rsidRPr="00994516" w:rsidRDefault="0026375A" w:rsidP="0026375A"/>
    <w:p w14:paraId="74C48367" w14:textId="77777777" w:rsidR="0026375A" w:rsidRPr="00994516" w:rsidRDefault="0026375A" w:rsidP="0026375A"/>
    <w:p w14:paraId="31F20FB0" w14:textId="77777777" w:rsidR="0026375A" w:rsidRPr="00994516" w:rsidRDefault="0026375A" w:rsidP="0026375A">
      <w:pPr>
        <w:jc w:val="center"/>
        <w:rPr>
          <w:caps/>
          <w:u w:val="single"/>
        </w:rPr>
      </w:pPr>
      <w:bookmarkStart w:id="138" w:name="_Toc162975799"/>
      <w:r w:rsidRPr="00994516">
        <w:rPr>
          <w:caps/>
          <w:u w:val="single"/>
        </w:rPr>
        <w:t>Note indicative GN 28 “</w:t>
      </w:r>
      <w:bookmarkStart w:id="139" w:name="_Hlk176855909"/>
      <w:r w:rsidRPr="00994516">
        <w:rPr>
          <w:caps/>
          <w:u w:val="single"/>
        </w:rPr>
        <w:t>Variétés indiquées à titre d’exemple</w:t>
      </w:r>
      <w:bookmarkEnd w:id="139"/>
      <w:r w:rsidRPr="00994516">
        <w:rPr>
          <w:caps/>
          <w:u w:val="single"/>
        </w:rPr>
        <w:t xml:space="preserve">” – </w:t>
      </w:r>
    </w:p>
    <w:p w14:paraId="2E50A3C9" w14:textId="77777777" w:rsidR="0026375A" w:rsidRPr="00994516" w:rsidRDefault="0026375A" w:rsidP="0026375A">
      <w:pPr>
        <w:jc w:val="center"/>
        <w:rPr>
          <w:caps/>
          <w:u w:val="single"/>
        </w:rPr>
      </w:pPr>
      <w:r w:rsidRPr="00994516">
        <w:rPr>
          <w:caps/>
          <w:u w:val="single"/>
        </w:rPr>
        <w:t xml:space="preserve">Variétés indiquées à titre d’exemple </w:t>
      </w:r>
      <w:bookmarkEnd w:id="138"/>
      <w:r w:rsidRPr="00994516">
        <w:rPr>
          <w:caps/>
          <w:u w:val="single"/>
        </w:rPr>
        <w:t xml:space="preserve">pour les caractères quantitatifs </w:t>
      </w:r>
    </w:p>
    <w:p w14:paraId="66A82F7B" w14:textId="77777777" w:rsidR="0026375A" w:rsidRPr="00994516" w:rsidRDefault="0026375A" w:rsidP="0026375A">
      <w:pPr>
        <w:jc w:val="center"/>
        <w:rPr>
          <w:caps/>
          <w:u w:val="single"/>
        </w:rPr>
      </w:pPr>
      <w:r w:rsidRPr="00994516">
        <w:rPr>
          <w:caps/>
          <w:u w:val="single"/>
        </w:rPr>
        <w:t>marqués d’un astérisque lorsque des illustrations sont fournies</w:t>
      </w:r>
    </w:p>
    <w:p w14:paraId="5D327D3D" w14:textId="77777777" w:rsidR="0026375A" w:rsidRPr="00994516" w:rsidRDefault="0026375A" w:rsidP="0026375A"/>
    <w:p w14:paraId="74FB7B27" w14:textId="77777777" w:rsidR="0026375A" w:rsidRPr="00994516" w:rsidRDefault="0026375A" w:rsidP="0026375A">
      <w:pPr>
        <w:rPr>
          <w:i/>
        </w:rPr>
      </w:pPr>
      <w:r w:rsidRPr="00994516">
        <w:rPr>
          <w:i/>
        </w:rPr>
        <w:t>Rappel</w:t>
      </w:r>
    </w:p>
    <w:p w14:paraId="6EB079E1" w14:textId="77777777" w:rsidR="0026375A" w:rsidRPr="00994516" w:rsidRDefault="0026375A" w:rsidP="0026375A">
      <w:pPr>
        <w:rPr>
          <w:iCs/>
        </w:rPr>
      </w:pPr>
    </w:p>
    <w:p w14:paraId="0340B08B" w14:textId="68B1C191"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Lors de sa session de 2023, l</w:t>
      </w:r>
      <w:r w:rsidRPr="00994516">
        <w:rPr>
          <w:iCs/>
          <w:spacing w:val="-2"/>
        </w:rPr>
        <w:t xml:space="preserve">e TC a pris </w:t>
      </w:r>
      <w:r w:rsidRPr="00994516">
        <w:rPr>
          <w:iCs/>
        </w:rPr>
        <w:t>note des discussions sur d’éventuelles modifications du document</w:t>
      </w:r>
      <w:r w:rsidR="00D9015D">
        <w:rPr>
          <w:iCs/>
        </w:rPr>
        <w:t xml:space="preserve"> </w:t>
      </w:r>
      <w:r w:rsidRPr="00994516">
        <w:rPr>
          <w:iCs/>
        </w:rPr>
        <w:t>TGP/7, GN 28 “</w:t>
      </w:r>
      <w:r w:rsidRPr="00994516">
        <w:t>Variétés indiquées à titre d’exemples</w:t>
      </w:r>
      <w:r w:rsidRPr="00994516">
        <w:rPr>
          <w:iCs/>
        </w:rPr>
        <w:t xml:space="preserve">”, qui figurent dans le </w:t>
      </w:r>
      <w:r w:rsidRPr="00994516">
        <w:t>document</w:t>
      </w:r>
      <w:r w:rsidR="00D9015D">
        <w:t xml:space="preserve"> </w:t>
      </w:r>
      <w:r w:rsidRPr="00994516">
        <w:t>SESSIONS/2023/2, Annexe III</w:t>
      </w:r>
      <w:r w:rsidRPr="00994516">
        <w:rPr>
          <w:iCs/>
        </w:rPr>
        <w:t xml:space="preserve">.  Le TC a noté que le TWA avait invité l’expert de l’Allemagne à rédiger une proposition de modification des orientations données dans le </w:t>
      </w:r>
      <w:bookmarkStart w:id="140" w:name="_Hlk162465372"/>
      <w:r w:rsidRPr="00994516">
        <w:rPr>
          <w:iCs/>
        </w:rPr>
        <w:t xml:space="preserve">document TGP/7, GN 28, concernant les situations dans lesquelles des illustrations pourraient remplacer des variétés indiquées à titre d’exemple et le rôle complémentaire qu’elles peuvent jouer en termes de clarification des niveaux d’expression d’un caractère, à soumettre aux </w:t>
      </w:r>
      <w:bookmarkEnd w:id="140"/>
      <w:r w:rsidRPr="00994516">
        <w:rPr>
          <w:iCs/>
        </w:rPr>
        <w:t>TWP pour examen lors de leurs sessions respectives de 2024.</w:t>
      </w:r>
    </w:p>
    <w:p w14:paraId="63C16517" w14:textId="77777777" w:rsidR="0026375A" w:rsidRPr="00994516" w:rsidRDefault="0026375A" w:rsidP="0026375A"/>
    <w:p w14:paraId="0D4FFDBA" w14:textId="77777777" w:rsidR="0026375A" w:rsidRPr="00994516" w:rsidRDefault="0026375A" w:rsidP="00D9015D">
      <w:pPr>
        <w:keepNext/>
        <w:rPr>
          <w:i/>
        </w:rPr>
      </w:pPr>
      <w:r w:rsidRPr="00994516">
        <w:rPr>
          <w:i/>
        </w:rPr>
        <w:lastRenderedPageBreak/>
        <w:t>Commentaires formulés par les groupes de travail techniques en 2024</w:t>
      </w:r>
    </w:p>
    <w:p w14:paraId="50C56EEF" w14:textId="77777777" w:rsidR="0026375A" w:rsidRPr="00994516" w:rsidRDefault="0026375A" w:rsidP="00D9015D">
      <w:pPr>
        <w:keepNext/>
      </w:pPr>
    </w:p>
    <w:p w14:paraId="413DA0AA" w14:textId="7777777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Lors de leurs sessions respectives de 2024, le TWV, le TWO, le TWA et le TWF ont étudié les documents TWV/58/10, TWO/56/7, TWA/53/8 et TWF/55/8, présentés par un expert de l’Allemagne.</w:t>
      </w:r>
    </w:p>
    <w:p w14:paraId="74496B6D" w14:textId="77777777" w:rsidR="0026375A" w:rsidRPr="00994516" w:rsidRDefault="0026375A" w:rsidP="0026375A">
      <w:pPr>
        <w:rPr>
          <w:rFonts w:eastAsiaTheme="minorEastAsia"/>
        </w:rPr>
      </w:pPr>
    </w:p>
    <w:p w14:paraId="3FAB345A" w14:textId="4D8842B2"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t xml:space="preserve">Le TWV, le TWA et le TWF </w:t>
      </w:r>
      <w:r w:rsidR="001C2590">
        <w:t>sont convenus</w:t>
      </w:r>
      <w:r w:rsidRPr="00994516">
        <w:rPr>
          <w:rFonts w:eastAsiaTheme="minorEastAsia"/>
        </w:rPr>
        <w:t xml:space="preserve"> que les principes directeurs d’examen devraient contenir autant d’informations que possible, y compris sur les variétés </w:t>
      </w:r>
      <w:r w:rsidR="00D9015D">
        <w:rPr>
          <w:rFonts w:eastAsiaTheme="minorEastAsia"/>
        </w:rPr>
        <w:t xml:space="preserve">à titre </w:t>
      </w:r>
      <w:r w:rsidRPr="00994516">
        <w:rPr>
          <w:rFonts w:eastAsiaTheme="minorEastAsia"/>
        </w:rPr>
        <w:t>d’exemple</w:t>
      </w:r>
      <w:r w:rsidR="00D9015D">
        <w:rPr>
          <w:rFonts w:eastAsiaTheme="minorEastAsia"/>
        </w:rPr>
        <w:t>s</w:t>
      </w:r>
      <w:r w:rsidRPr="00994516">
        <w:rPr>
          <w:rFonts w:eastAsiaTheme="minorEastAsia"/>
        </w:rPr>
        <w:t xml:space="preserve"> et les illustrations. </w:t>
      </w:r>
    </w:p>
    <w:p w14:paraId="26042EFF" w14:textId="77777777" w:rsidR="0026375A" w:rsidRPr="00994516" w:rsidRDefault="0026375A" w:rsidP="0026375A">
      <w:pPr>
        <w:tabs>
          <w:tab w:val="left" w:pos="567"/>
          <w:tab w:val="left" w:pos="1134"/>
          <w:tab w:val="left" w:pos="1701"/>
        </w:tabs>
        <w:rPr>
          <w:rFonts w:eastAsiaTheme="minorEastAsia"/>
        </w:rPr>
      </w:pPr>
    </w:p>
    <w:p w14:paraId="098BBF5C" w14:textId="7109A262" w:rsidR="0026375A" w:rsidRPr="00994516" w:rsidRDefault="0026375A" w:rsidP="0026375A">
      <w:pPr>
        <w:tabs>
          <w:tab w:val="left" w:pos="567"/>
          <w:tab w:val="left" w:pos="1134"/>
          <w:tab w:val="left" w:pos="1701"/>
        </w:tabs>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TWV </w:t>
      </w:r>
      <w:r w:rsidR="001C2590">
        <w:rPr>
          <w:rFonts w:eastAsiaTheme="minorEastAsia"/>
        </w:rPr>
        <w:t>est convenu</w:t>
      </w:r>
      <w:r w:rsidRPr="00994516">
        <w:rPr>
          <w:rFonts w:eastAsiaTheme="minorEastAsia"/>
        </w:rPr>
        <w:t xml:space="preserve"> que les illustrations apportent des renseignements complémentaires et peuvent, dans certains cas, donner plus d’informations que les variétés </w:t>
      </w:r>
      <w:r w:rsidR="00D9015D">
        <w:rPr>
          <w:rFonts w:eastAsiaTheme="minorEastAsia"/>
        </w:rPr>
        <w:t xml:space="preserve">à titre </w:t>
      </w:r>
      <w:r w:rsidRPr="00994516">
        <w:rPr>
          <w:rFonts w:eastAsiaTheme="minorEastAsia"/>
        </w:rPr>
        <w:t>d’exemple</w:t>
      </w:r>
      <w:r w:rsidR="00D9015D">
        <w:rPr>
          <w:rFonts w:eastAsiaTheme="minorEastAsia"/>
        </w:rPr>
        <w:t>s</w:t>
      </w:r>
      <w:r w:rsidRPr="00994516">
        <w:rPr>
          <w:rFonts w:eastAsiaTheme="minorEastAsia"/>
        </w:rPr>
        <w:t>.</w:t>
      </w:r>
    </w:p>
    <w:p w14:paraId="5138F447" w14:textId="77777777" w:rsidR="0026375A" w:rsidRPr="00994516" w:rsidRDefault="0026375A" w:rsidP="0026375A">
      <w:pPr>
        <w:tabs>
          <w:tab w:val="left" w:pos="567"/>
          <w:tab w:val="left" w:pos="1134"/>
          <w:tab w:val="left" w:pos="1701"/>
        </w:tabs>
        <w:rPr>
          <w:rFonts w:eastAsiaTheme="minorEastAsia"/>
        </w:rPr>
      </w:pPr>
    </w:p>
    <w:p w14:paraId="1100290E" w14:textId="3CC0AA8F"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TWO est convenu avec le TWV que les illustrations </w:t>
      </w:r>
      <w:r w:rsidRPr="00994516">
        <w:t>sont particulièrement utiles lorsque les variétés indiquées à titre d’exemple</w:t>
      </w:r>
      <w:r w:rsidR="00D9015D">
        <w:t>s</w:t>
      </w:r>
      <w:r w:rsidRPr="00994516">
        <w:t xml:space="preserve"> dans les principes directeurs d’examen ne sont pas disponibles ou ne conviennent pas à la culture dans certaines conditions</w:t>
      </w:r>
      <w:r w:rsidRPr="00994516">
        <w:rPr>
          <w:rFonts w:eastAsiaTheme="minorEastAsia"/>
        </w:rPr>
        <w:t xml:space="preserve">.  </w:t>
      </w:r>
    </w:p>
    <w:p w14:paraId="4E33A8B8" w14:textId="77777777" w:rsidR="0026375A" w:rsidRPr="00994516" w:rsidRDefault="0026375A" w:rsidP="0026375A">
      <w:pPr>
        <w:rPr>
          <w:rFonts w:eastAsiaTheme="minorEastAsia"/>
        </w:rPr>
      </w:pPr>
    </w:p>
    <w:p w14:paraId="2EDC823F" w14:textId="00ACB290"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TWV a accepté la proposition tendant à donner des orientations additionnelles sur les situations dans lesquelles des illustrations pourraient compléter ou remplacer des variétés </w:t>
      </w:r>
      <w:r w:rsidR="00D9015D">
        <w:rPr>
          <w:rFonts w:eastAsiaTheme="minorEastAsia"/>
        </w:rPr>
        <w:t xml:space="preserve">à titre </w:t>
      </w:r>
      <w:r w:rsidRPr="00994516">
        <w:rPr>
          <w:rFonts w:eastAsiaTheme="minorEastAsia"/>
        </w:rPr>
        <w:t>d’exemple</w:t>
      </w:r>
      <w:r w:rsidR="00D9015D">
        <w:rPr>
          <w:rFonts w:eastAsiaTheme="minorEastAsia"/>
        </w:rPr>
        <w:t>s</w:t>
      </w:r>
      <w:r w:rsidRPr="00994516">
        <w:rPr>
          <w:rFonts w:eastAsiaTheme="minorEastAsia"/>
        </w:rPr>
        <w:t>.</w:t>
      </w:r>
    </w:p>
    <w:p w14:paraId="5C7D77D6" w14:textId="77777777" w:rsidR="0026375A" w:rsidRPr="00994516" w:rsidRDefault="0026375A" w:rsidP="0026375A">
      <w:pPr>
        <w:rPr>
          <w:rFonts w:eastAsiaTheme="minorEastAsia"/>
        </w:rPr>
      </w:pPr>
    </w:p>
    <w:p w14:paraId="546B3B7C" w14:textId="1C2F511B"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TWV et le TWA ont étudié les paragraphes 2.1 à 2.3 de la proposition et sont convenus d’inviter l’expert de l’Allemagne qui les a rédigés à fournir davantage d’explications sur les critères de décision pour faire remplacer des variétés </w:t>
      </w:r>
      <w:r w:rsidR="00D9015D">
        <w:rPr>
          <w:rFonts w:eastAsiaTheme="minorEastAsia"/>
        </w:rPr>
        <w:t xml:space="preserve">à titre </w:t>
      </w:r>
      <w:r w:rsidRPr="00994516">
        <w:rPr>
          <w:rFonts w:eastAsiaTheme="minorEastAsia"/>
        </w:rPr>
        <w:t>d’exemple</w:t>
      </w:r>
      <w:r w:rsidR="00D9015D">
        <w:rPr>
          <w:rFonts w:eastAsiaTheme="minorEastAsia"/>
        </w:rPr>
        <w:t>s</w:t>
      </w:r>
      <w:r w:rsidRPr="00994516">
        <w:rPr>
          <w:rFonts w:eastAsiaTheme="minorEastAsia"/>
        </w:rPr>
        <w:t xml:space="preserve"> par des illustrations, ou à en donner des exemples.  </w:t>
      </w:r>
    </w:p>
    <w:p w14:paraId="30D5EFB8" w14:textId="77777777" w:rsidR="0026375A" w:rsidRPr="00994516" w:rsidRDefault="0026375A" w:rsidP="0026375A">
      <w:pPr>
        <w:tabs>
          <w:tab w:val="left" w:pos="567"/>
          <w:tab w:val="left" w:pos="935"/>
        </w:tabs>
      </w:pPr>
    </w:p>
    <w:p w14:paraId="1A5A405C" w14:textId="68C39580" w:rsidR="0026375A" w:rsidRPr="00994516" w:rsidRDefault="0026375A" w:rsidP="0026375A">
      <w:pPr>
        <w:tabs>
          <w:tab w:val="left" w:pos="567"/>
          <w:tab w:val="left" w:pos="935"/>
        </w:tabs>
      </w:pPr>
      <w:r w:rsidRPr="00994516">
        <w:fldChar w:fldCharType="begin"/>
      </w:r>
      <w:r w:rsidRPr="00994516">
        <w:instrText xml:space="preserve"> LISTNUM  LegalDefault \l 1 </w:instrText>
      </w:r>
      <w:r w:rsidRPr="00994516">
        <w:fldChar w:fldCharType="end"/>
      </w:r>
      <w:r w:rsidRPr="00994516">
        <w:tab/>
        <w:t xml:space="preserve">Le TWO a rappelé les exemples donnés précédemment de situations dans lesquelles les illustrations pourraient remplacer des variétés </w:t>
      </w:r>
      <w:r w:rsidR="00D72B0F">
        <w:t xml:space="preserve">à titre </w:t>
      </w:r>
      <w:r w:rsidRPr="00994516">
        <w:t>d’exemple</w:t>
      </w:r>
      <w:r w:rsidR="00D72B0F">
        <w:t>s</w:t>
      </w:r>
      <w:r w:rsidRPr="00994516">
        <w:t xml:space="preserve">, comme indiqué à l’annexe du document TWO/56/7, et est convenu d’inviter l’expert de l’Allemagne qui les a présentés à étudier la possibilité de les inclure dans le prochain projet de document d’orientation. </w:t>
      </w:r>
    </w:p>
    <w:p w14:paraId="1363CD16" w14:textId="77777777" w:rsidR="0026375A" w:rsidRPr="00994516" w:rsidRDefault="0026375A" w:rsidP="0026375A">
      <w:pPr>
        <w:rPr>
          <w:rFonts w:eastAsiaTheme="minorEastAsia"/>
        </w:rPr>
      </w:pPr>
    </w:p>
    <w:p w14:paraId="76BF794A" w14:textId="107A3A5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TWF </w:t>
      </w:r>
      <w:r w:rsidRPr="00994516">
        <w:t xml:space="preserve">a noté que les restrictions au mouvement international du matériel végétal pourraient limiter l’accès au matériel végétal des variétés </w:t>
      </w:r>
      <w:r w:rsidR="00D72B0F">
        <w:t xml:space="preserve">à titre </w:t>
      </w:r>
      <w:r w:rsidRPr="00994516">
        <w:t>d’exemple</w:t>
      </w:r>
      <w:r w:rsidR="00D72B0F">
        <w:t>s</w:t>
      </w:r>
      <w:r w:rsidRPr="00994516">
        <w:t xml:space="preserve"> en matière de cultures fruitières.  Le TWF est convenu avec le TWV, le TWA et le TWO que les illustrations sont particulièrement utiles lorsque les variétés indiquées à titre d’exemple dans les principes directeurs d’examen ne sont pas disponibles ou ne conviennent pas à la culture dans certaines conditions </w:t>
      </w:r>
      <w:r w:rsidRPr="00994516">
        <w:rPr>
          <w:rFonts w:eastAsiaTheme="minorEastAsia"/>
        </w:rPr>
        <w:t xml:space="preserve">de croissance.  </w:t>
      </w:r>
    </w:p>
    <w:p w14:paraId="2A9D03D8" w14:textId="77777777" w:rsidR="0026375A" w:rsidRPr="00994516" w:rsidRDefault="0026375A" w:rsidP="0026375A"/>
    <w:p w14:paraId="64A947F6" w14:textId="70B7FC1E"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TWF a examiné les situations dans lesquelles les illustrations pourraient remplacer des variétés </w:t>
      </w:r>
      <w:r w:rsidR="00D72B0F">
        <w:t xml:space="preserve">à titre </w:t>
      </w:r>
      <w:r w:rsidRPr="00994516">
        <w:t>d’exemple</w:t>
      </w:r>
      <w:r w:rsidR="00D72B0F">
        <w:t>s</w:t>
      </w:r>
      <w:r w:rsidRPr="00994516">
        <w:t xml:space="preserve"> et a rappelé les orientations relatives à l’élaboration de séries régionales lorsqu’une série universelle de variétés </w:t>
      </w:r>
      <w:r w:rsidR="00D72B0F">
        <w:t xml:space="preserve">à titre </w:t>
      </w:r>
      <w:r w:rsidRPr="00994516">
        <w:t>d’exemple</w:t>
      </w:r>
      <w:r w:rsidR="00D72B0F">
        <w:t>s</w:t>
      </w:r>
      <w:r w:rsidRPr="00994516">
        <w:t xml:space="preserve"> applicables à tous les membres de l’UPOV ne convient pas.</w:t>
      </w:r>
    </w:p>
    <w:p w14:paraId="4D3AA80B" w14:textId="77777777" w:rsidR="0026375A" w:rsidRPr="00994516" w:rsidRDefault="0026375A" w:rsidP="0026375A"/>
    <w:p w14:paraId="5E4D9B9D" w14:textId="77777777" w:rsidR="0026375A" w:rsidRPr="00994516" w:rsidRDefault="0026375A" w:rsidP="0026375A"/>
    <w:p w14:paraId="6257CC45" w14:textId="77777777" w:rsidR="0026375A" w:rsidRPr="00994516" w:rsidRDefault="0026375A" w:rsidP="0026375A"/>
    <w:p w14:paraId="5D446508" w14:textId="6E9E7A4D" w:rsidR="0026375A" w:rsidRPr="00994516" w:rsidRDefault="0026375A" w:rsidP="0026375A">
      <w:pPr>
        <w:jc w:val="right"/>
      </w:pPr>
      <w:r w:rsidRPr="00994516">
        <w:t>[L’annexe</w:t>
      </w:r>
      <w:r w:rsidR="00E033BC" w:rsidRPr="00994516">
        <w:t> </w:t>
      </w:r>
      <w:r w:rsidRPr="00994516">
        <w:t>V suit]</w:t>
      </w:r>
    </w:p>
    <w:p w14:paraId="23E4C850" w14:textId="77777777" w:rsidR="0026375A" w:rsidRPr="00994516" w:rsidRDefault="0026375A" w:rsidP="0026375A"/>
    <w:p w14:paraId="1AE567D4" w14:textId="77777777" w:rsidR="0026375A" w:rsidRPr="00994516" w:rsidRDefault="0026375A" w:rsidP="0026375A"/>
    <w:p w14:paraId="6DCCDD6B" w14:textId="77777777" w:rsidR="0026375A" w:rsidRPr="00994516" w:rsidRDefault="0026375A" w:rsidP="0026375A">
      <w:pPr>
        <w:sectPr w:rsidR="0026375A" w:rsidRPr="00994516" w:rsidSect="0026375A">
          <w:headerReference w:type="default" r:id="rId25"/>
          <w:footnotePr>
            <w:numRestart w:val="eachSect"/>
          </w:footnotePr>
          <w:pgSz w:w="11907" w:h="16840" w:code="9"/>
          <w:pgMar w:top="510" w:right="1134" w:bottom="709" w:left="1134" w:header="510" w:footer="680" w:gutter="0"/>
          <w:pgNumType w:start="1"/>
          <w:cols w:space="720"/>
          <w:titlePg/>
        </w:sectPr>
      </w:pPr>
    </w:p>
    <w:p w14:paraId="675754EB" w14:textId="76C02A43" w:rsidR="0026375A" w:rsidRPr="00994516" w:rsidRDefault="0026375A" w:rsidP="0026375A">
      <w:pPr>
        <w:jc w:val="center"/>
      </w:pPr>
      <w:bookmarkStart w:id="141" w:name="ANNEXEV"/>
      <w:r w:rsidRPr="00994516">
        <w:lastRenderedPageBreak/>
        <w:t>ANNEXE</w:t>
      </w:r>
      <w:r w:rsidR="00E033BC" w:rsidRPr="00994516">
        <w:t> </w:t>
      </w:r>
      <w:r w:rsidRPr="00994516">
        <w:t>V</w:t>
      </w:r>
    </w:p>
    <w:bookmarkEnd w:id="141"/>
    <w:p w14:paraId="1C61AFBD" w14:textId="77777777" w:rsidR="0026375A" w:rsidRPr="00994516" w:rsidRDefault="0026375A" w:rsidP="0026375A">
      <w:pPr>
        <w:jc w:val="center"/>
      </w:pPr>
    </w:p>
    <w:p w14:paraId="0843FF92" w14:textId="5CB5F55D" w:rsidR="0026375A" w:rsidRPr="00994516" w:rsidRDefault="0026375A" w:rsidP="0026375A">
      <w:pPr>
        <w:jc w:val="center"/>
        <w:rPr>
          <w:caps/>
        </w:rPr>
      </w:pPr>
      <w:r w:rsidRPr="00994516">
        <w:rPr>
          <w:caps/>
        </w:rPr>
        <w:t xml:space="preserve">Accès au matériel végétal aux fins de la gestion des collections de variétés </w:t>
      </w:r>
      <w:r w:rsidR="007176D5">
        <w:rPr>
          <w:caps/>
        </w:rPr>
        <w:br/>
      </w:r>
      <w:r w:rsidRPr="00994516">
        <w:rPr>
          <w:caps/>
        </w:rPr>
        <w:t>et de l’examen DHS</w:t>
      </w:r>
    </w:p>
    <w:p w14:paraId="33B03D6F" w14:textId="77777777" w:rsidR="0026375A" w:rsidRPr="00994516" w:rsidRDefault="0026375A" w:rsidP="0026375A">
      <w:pPr>
        <w:jc w:val="center"/>
      </w:pPr>
    </w:p>
    <w:p w14:paraId="0B31AA69" w14:textId="77777777" w:rsidR="0026375A" w:rsidRPr="00994516" w:rsidRDefault="0026375A" w:rsidP="0026375A">
      <w:pPr>
        <w:jc w:val="center"/>
      </w:pPr>
    </w:p>
    <w:p w14:paraId="0B6344E1" w14:textId="77777777" w:rsidR="0026375A" w:rsidRPr="00994516" w:rsidRDefault="0026375A" w:rsidP="0026375A">
      <w:pPr>
        <w:rPr>
          <w:i/>
        </w:rPr>
      </w:pPr>
      <w:r w:rsidRPr="00994516">
        <w:rPr>
          <w:i/>
        </w:rPr>
        <w:t>Rappel</w:t>
      </w:r>
    </w:p>
    <w:p w14:paraId="7A563132" w14:textId="77777777" w:rsidR="0026375A" w:rsidRPr="00994516" w:rsidRDefault="0026375A" w:rsidP="0026375A">
      <w:pPr>
        <w:rPr>
          <w:iCs/>
        </w:rPr>
      </w:pPr>
    </w:p>
    <w:p w14:paraId="57AA339D" w14:textId="77777777" w:rsidR="0026375A" w:rsidRPr="00994516" w:rsidRDefault="0026375A" w:rsidP="0026375A">
      <w:r w:rsidRPr="00994516">
        <w:fldChar w:fldCharType="begin"/>
      </w:r>
      <w:r w:rsidRPr="00994516">
        <w:instrText xml:space="preserve"> LISTNUM  LegalDefault \l 1 \s 1 </w:instrText>
      </w:r>
      <w:r w:rsidRPr="00994516">
        <w:fldChar w:fldCharType="end"/>
      </w:r>
      <w:r w:rsidRPr="00994516">
        <w:tab/>
        <w:t>Lors de sa session de 2023, le TC</w:t>
      </w:r>
      <w:r w:rsidRPr="00994516">
        <w:rPr>
          <w:vertAlign w:val="superscript"/>
        </w:rPr>
        <w:footnoteReference w:id="18"/>
      </w:r>
      <w:r w:rsidRPr="00994516">
        <w:t xml:space="preserve"> a étudié la proposition du TWF en vue d’élaborer des orientations sur les élé</w:t>
      </w:r>
      <w:r w:rsidRPr="00994516">
        <w:rPr>
          <w:rFonts w:eastAsia="Cambria"/>
        </w:rPr>
        <w:t>ments à incorporer dans les demandes de matériel végétal auprès des obtenteurs de variétés candidates et de variétés notoirement connues, aux fins de l’examen DHS</w:t>
      </w:r>
      <w:r w:rsidRPr="00994516">
        <w:t>.</w:t>
      </w:r>
    </w:p>
    <w:p w14:paraId="378AEFF8" w14:textId="77777777" w:rsidR="0026375A" w:rsidRPr="00994516" w:rsidRDefault="0026375A" w:rsidP="0026375A"/>
    <w:p w14:paraId="6824C014" w14:textId="119BDBC0" w:rsidR="0026375A" w:rsidRPr="00994516" w:rsidRDefault="0026375A" w:rsidP="0026375A">
      <w:pPr>
        <w:rPr>
          <w:rFonts w:eastAsia="Cambria"/>
        </w:rPr>
      </w:pPr>
      <w:r w:rsidRPr="00994516">
        <w:fldChar w:fldCharType="begin"/>
      </w:r>
      <w:r w:rsidRPr="00994516">
        <w:instrText xml:space="preserve"> LISTNUM  LegalDefault \l 1 </w:instrText>
      </w:r>
      <w:r w:rsidRPr="00994516">
        <w:fldChar w:fldCharType="end"/>
      </w:r>
      <w:r w:rsidRPr="00994516">
        <w:tab/>
        <w:t xml:space="preserve">Le TC </w:t>
      </w:r>
      <w:r w:rsidR="001C2590">
        <w:t>est convenu</w:t>
      </w:r>
      <w:r w:rsidRPr="00994516">
        <w:t xml:space="preserve"> qu’il n’est pas opportun d’intégrer l’orientation proposée dans le document TGP/5, section 11 “</w:t>
      </w:r>
      <w:r w:rsidRPr="00994516">
        <w:rPr>
          <w:rFonts w:eastAsia="Cambria"/>
          <w:spacing w:val="-4"/>
        </w:rPr>
        <w:t>Exemples de politiques et de contrats en ce qui concerne le matériel fourni par l’obtenteur</w:t>
      </w:r>
      <w:r w:rsidRPr="00994516">
        <w:t xml:space="preserve">”. </w:t>
      </w:r>
      <w:r w:rsidRPr="00994516">
        <w:rPr>
          <w:rFonts w:eastAsia="Cambria"/>
        </w:rPr>
        <w:t xml:space="preserve"> Le TC </w:t>
      </w:r>
      <w:r w:rsidR="001C2590">
        <w:rPr>
          <w:rFonts w:eastAsia="Cambria"/>
        </w:rPr>
        <w:t>est convenu</w:t>
      </w:r>
      <w:r w:rsidRPr="00994516">
        <w:rPr>
          <w:rFonts w:eastAsia="Cambria"/>
        </w:rPr>
        <w:t xml:space="preserve"> qu’il convient de déterminer un emplacement approprié dans lequel faire figurer cette information, mais pas nécessairement un document TGP.</w:t>
      </w:r>
    </w:p>
    <w:p w14:paraId="64E9A7F0" w14:textId="77777777" w:rsidR="0026375A" w:rsidRPr="00994516" w:rsidRDefault="0026375A" w:rsidP="0026375A"/>
    <w:p w14:paraId="72DC98DF" w14:textId="77777777" w:rsidR="0026375A" w:rsidRPr="00994516" w:rsidRDefault="0026375A" w:rsidP="0026375A">
      <w:pPr>
        <w:rPr>
          <w:rFonts w:eastAsia="Cambria"/>
        </w:rPr>
      </w:pPr>
      <w:r w:rsidRPr="00994516">
        <w:fldChar w:fldCharType="begin"/>
      </w:r>
      <w:r w:rsidRPr="00994516">
        <w:instrText xml:space="preserve"> LISTNUM  LegalDefault \l 1 </w:instrText>
      </w:r>
      <w:r w:rsidRPr="00994516">
        <w:fldChar w:fldCharType="end"/>
      </w:r>
      <w:r w:rsidRPr="00994516">
        <w:tab/>
        <w:t>Le TC est convenu d’inviter les TWP, lors de leurs sessions respectives de 2024, à examiner les éléments proposés par l</w:t>
      </w:r>
      <w:r w:rsidRPr="00994516">
        <w:rPr>
          <w:rFonts w:eastAsia="Cambria"/>
        </w:rPr>
        <w:t>e TWF ainsi que d’autres expériences et politiques relatives à des demandes de matériel végétal auprès des obtenteurs, comme suit :</w:t>
      </w:r>
    </w:p>
    <w:p w14:paraId="13E1986D" w14:textId="77777777" w:rsidR="0026375A" w:rsidRPr="00994516" w:rsidRDefault="0026375A" w:rsidP="0026375A">
      <w:pPr>
        <w:rPr>
          <w:rFonts w:eastAsia="Cambria"/>
        </w:rPr>
      </w:pPr>
    </w:p>
    <w:p w14:paraId="50A15959" w14:textId="77777777" w:rsidR="0026375A" w:rsidRPr="00994516" w:rsidRDefault="0026375A" w:rsidP="0026375A">
      <w:pPr>
        <w:numPr>
          <w:ilvl w:val="0"/>
          <w:numId w:val="8"/>
        </w:numPr>
        <w:ind w:left="1134" w:hanging="567"/>
        <w:contextualSpacing/>
      </w:pPr>
      <w:r w:rsidRPr="00994516">
        <w:t>Lettre à adresser au détenteur de la variété du point de vue de la protection des obtentions végétales, ou à son représentant officiel sur le territoire concerné</w:t>
      </w:r>
    </w:p>
    <w:p w14:paraId="58ED9DAC" w14:textId="77777777" w:rsidR="0026375A" w:rsidRPr="00994516" w:rsidRDefault="0026375A" w:rsidP="0026375A">
      <w:pPr>
        <w:ind w:left="1134" w:hanging="567"/>
        <w:rPr>
          <w:sz w:val="18"/>
        </w:rPr>
      </w:pPr>
    </w:p>
    <w:p w14:paraId="2EC6B05E" w14:textId="77777777" w:rsidR="0026375A" w:rsidRPr="00994516" w:rsidRDefault="0026375A" w:rsidP="0026375A">
      <w:pPr>
        <w:numPr>
          <w:ilvl w:val="0"/>
          <w:numId w:val="8"/>
        </w:numPr>
        <w:ind w:left="1134" w:hanging="567"/>
        <w:contextualSpacing/>
      </w:pPr>
      <w:r w:rsidRPr="00994516">
        <w:t>Détails techniques, en particulier la qualité, la quantité, la date et le lieu de soumission.  Dans le secteur fruitier, l’obtention d’un matériel de la qualité souhaitée peut devoir être organisée plus d’un an en avance.  L’autorité concernée devrait accepter de se rendre disponible avec un certain degré de souplesse.</w:t>
      </w:r>
    </w:p>
    <w:p w14:paraId="1768DAAC" w14:textId="77777777" w:rsidR="0026375A" w:rsidRPr="00994516" w:rsidRDefault="0026375A" w:rsidP="0026375A">
      <w:pPr>
        <w:ind w:left="1134" w:hanging="567"/>
        <w:rPr>
          <w:sz w:val="18"/>
        </w:rPr>
      </w:pPr>
    </w:p>
    <w:p w14:paraId="2C99A7C4" w14:textId="77777777" w:rsidR="0026375A" w:rsidRPr="00994516" w:rsidRDefault="0026375A" w:rsidP="0026375A">
      <w:pPr>
        <w:numPr>
          <w:ilvl w:val="0"/>
          <w:numId w:val="8"/>
        </w:numPr>
        <w:ind w:left="1134" w:hanging="567"/>
        <w:contextualSpacing/>
      </w:pPr>
      <w:r w:rsidRPr="00994516">
        <w:t>Explication détaillée de l’objectif</w:t>
      </w:r>
    </w:p>
    <w:p w14:paraId="1DC5D549" w14:textId="77777777" w:rsidR="0026375A" w:rsidRPr="00994516" w:rsidRDefault="0026375A" w:rsidP="0026375A">
      <w:pPr>
        <w:rPr>
          <w:sz w:val="16"/>
        </w:rPr>
      </w:pPr>
    </w:p>
    <w:p w14:paraId="49940525" w14:textId="77777777" w:rsidR="0026375A" w:rsidRPr="00994516" w:rsidRDefault="0026375A" w:rsidP="0026375A">
      <w:pPr>
        <w:numPr>
          <w:ilvl w:val="0"/>
          <w:numId w:val="10"/>
        </w:numPr>
        <w:ind w:left="1701" w:hanging="567"/>
        <w:contextualSpacing/>
      </w:pPr>
      <w:r w:rsidRPr="00994516">
        <w:t>Collection de variétés</w:t>
      </w:r>
    </w:p>
    <w:p w14:paraId="4E963C0D" w14:textId="77777777" w:rsidR="0026375A" w:rsidRPr="00994516" w:rsidRDefault="0026375A" w:rsidP="0026375A">
      <w:pPr>
        <w:numPr>
          <w:ilvl w:val="0"/>
          <w:numId w:val="10"/>
        </w:numPr>
        <w:ind w:left="1701" w:hanging="567"/>
        <w:contextualSpacing/>
      </w:pPr>
      <w:r w:rsidRPr="00994516">
        <w:t>Comparaison deux à deux avec une variété voisine candidate potentielle</w:t>
      </w:r>
    </w:p>
    <w:p w14:paraId="748A8FDE" w14:textId="77777777" w:rsidR="0026375A" w:rsidRPr="00994516" w:rsidRDefault="0026375A" w:rsidP="0026375A">
      <w:pPr>
        <w:rPr>
          <w:sz w:val="18"/>
        </w:rPr>
      </w:pPr>
    </w:p>
    <w:p w14:paraId="02BE2CFD" w14:textId="77777777" w:rsidR="0026375A" w:rsidRPr="00994516" w:rsidRDefault="0026375A" w:rsidP="0026375A">
      <w:pPr>
        <w:numPr>
          <w:ilvl w:val="0"/>
          <w:numId w:val="11"/>
        </w:numPr>
        <w:ind w:left="1134" w:hanging="567"/>
        <w:contextualSpacing/>
      </w:pPr>
      <w:r w:rsidRPr="00994516">
        <w:t>Ce qui sera et ne sera pas fait avec le matériel pendant et après l’essai, y compris le prélèvement d’ADN et des profils ADN</w:t>
      </w:r>
    </w:p>
    <w:p w14:paraId="54D0AAC5" w14:textId="77777777" w:rsidR="0026375A" w:rsidRPr="00994516" w:rsidRDefault="0026375A" w:rsidP="0026375A">
      <w:pPr>
        <w:rPr>
          <w:sz w:val="16"/>
        </w:rPr>
      </w:pPr>
    </w:p>
    <w:p w14:paraId="64341EA2" w14:textId="77777777" w:rsidR="0026375A" w:rsidRPr="00994516" w:rsidRDefault="0026375A" w:rsidP="0026375A">
      <w:pPr>
        <w:numPr>
          <w:ilvl w:val="0"/>
          <w:numId w:val="12"/>
        </w:numPr>
        <w:ind w:left="1701" w:hanging="567"/>
        <w:contextualSpacing/>
      </w:pPr>
      <w:r w:rsidRPr="00994516">
        <w:t>L’organe responsable de l’application de la politique est l’autorité en charge de la protection des obtentions végétales</w:t>
      </w:r>
    </w:p>
    <w:p w14:paraId="3E88203E" w14:textId="77777777" w:rsidR="0026375A" w:rsidRPr="00994516" w:rsidRDefault="0026375A" w:rsidP="0026375A">
      <w:pPr>
        <w:numPr>
          <w:ilvl w:val="0"/>
          <w:numId w:val="12"/>
        </w:numPr>
        <w:ind w:left="1701" w:hanging="567"/>
        <w:contextualSpacing/>
      </w:pPr>
      <w:r w:rsidRPr="00994516">
        <w:t>Objectif déclencheur de l’examen DHS</w:t>
      </w:r>
    </w:p>
    <w:p w14:paraId="0749B9E0" w14:textId="77777777" w:rsidR="0026375A" w:rsidRPr="00994516" w:rsidRDefault="0026375A" w:rsidP="0026375A">
      <w:pPr>
        <w:numPr>
          <w:ilvl w:val="0"/>
          <w:numId w:val="12"/>
        </w:numPr>
        <w:ind w:left="1701" w:hanging="567"/>
        <w:contextualSpacing/>
      </w:pPr>
      <w:r w:rsidRPr="00994516">
        <w:t>Emplacement physique du matériel, possibilité pour le titulaire d’y avoir accès, description des précautions prises et circonstances de cultures</w:t>
      </w:r>
    </w:p>
    <w:p w14:paraId="326C8790" w14:textId="77777777" w:rsidR="0026375A" w:rsidRPr="00994516" w:rsidRDefault="0026375A" w:rsidP="0026375A">
      <w:pPr>
        <w:numPr>
          <w:ilvl w:val="0"/>
          <w:numId w:val="12"/>
        </w:numPr>
        <w:ind w:left="1701" w:hanging="567"/>
        <w:contextualSpacing/>
      </w:pPr>
      <w:r w:rsidRPr="00994516">
        <w:t>Propriété du matériel</w:t>
      </w:r>
    </w:p>
    <w:p w14:paraId="08997A34" w14:textId="77777777" w:rsidR="0026375A" w:rsidRPr="00994516" w:rsidRDefault="0026375A" w:rsidP="0026375A">
      <w:pPr>
        <w:numPr>
          <w:ilvl w:val="0"/>
          <w:numId w:val="12"/>
        </w:numPr>
        <w:ind w:left="1701" w:hanging="567"/>
        <w:contextualSpacing/>
      </w:pPr>
      <w:r w:rsidRPr="00994516">
        <w:t>Clarification d’autres utilisations possibles, par exemple d’autres objectifs officiels, et lesquels</w:t>
      </w:r>
    </w:p>
    <w:p w14:paraId="02F1DD09" w14:textId="77777777" w:rsidR="0026375A" w:rsidRPr="00994516" w:rsidRDefault="0026375A" w:rsidP="0026375A">
      <w:pPr>
        <w:keepNext/>
        <w:numPr>
          <w:ilvl w:val="0"/>
          <w:numId w:val="12"/>
        </w:numPr>
        <w:ind w:left="1701" w:hanging="567"/>
        <w:contextualSpacing/>
      </w:pPr>
      <w:r w:rsidRPr="00994516">
        <w:t>Circonstances dans lesquelles le matériel peut être mis à la disposition d’une autre partie/autorité</w:t>
      </w:r>
    </w:p>
    <w:p w14:paraId="13B941F8" w14:textId="2B7C926E" w:rsidR="0026375A" w:rsidRPr="00994516" w:rsidRDefault="0026375A" w:rsidP="0026375A">
      <w:pPr>
        <w:numPr>
          <w:ilvl w:val="0"/>
          <w:numId w:val="12"/>
        </w:numPr>
        <w:ind w:left="1701" w:hanging="567"/>
        <w:contextualSpacing/>
      </w:pPr>
      <w:r w:rsidRPr="00994516">
        <w:t xml:space="preserve">Clarification concernant </w:t>
      </w:r>
      <w:proofErr w:type="gramStart"/>
      <w:r w:rsidRPr="00994516">
        <w:t>les situations nécessitant</w:t>
      </w:r>
      <w:proofErr w:type="gramEnd"/>
      <w:r w:rsidRPr="00994516">
        <w:t>, ou non, le consentement de l’obtenteur</w:t>
      </w:r>
    </w:p>
    <w:p w14:paraId="45247434" w14:textId="77777777" w:rsidR="0026375A" w:rsidRPr="00994516" w:rsidRDefault="0026375A" w:rsidP="0026375A">
      <w:pPr>
        <w:numPr>
          <w:ilvl w:val="0"/>
          <w:numId w:val="12"/>
        </w:numPr>
        <w:ind w:left="1701" w:hanging="567"/>
        <w:contextualSpacing/>
      </w:pPr>
      <w:r w:rsidRPr="00994516">
        <w:t>Personnes ayant accès au matériel</w:t>
      </w:r>
    </w:p>
    <w:p w14:paraId="228AC6B5" w14:textId="77777777" w:rsidR="0026375A" w:rsidRPr="00994516" w:rsidRDefault="0026375A" w:rsidP="0026375A">
      <w:pPr>
        <w:numPr>
          <w:ilvl w:val="0"/>
          <w:numId w:val="12"/>
        </w:numPr>
        <w:ind w:left="1701" w:hanging="567"/>
        <w:contextualSpacing/>
      </w:pPr>
      <w:r w:rsidRPr="00994516">
        <w:t>Informations qui devront être mises à la disposition du public obligatoirement (photographies, descriptions)</w:t>
      </w:r>
    </w:p>
    <w:p w14:paraId="40F5E319" w14:textId="77777777" w:rsidR="0026375A" w:rsidRPr="00994516" w:rsidRDefault="0026375A" w:rsidP="0026375A"/>
    <w:p w14:paraId="34160BA7" w14:textId="77777777" w:rsidR="0026375A" w:rsidRPr="00994516" w:rsidRDefault="0026375A" w:rsidP="0026375A"/>
    <w:p w14:paraId="4CC9C9C7" w14:textId="77777777" w:rsidR="0026375A" w:rsidRPr="00994516" w:rsidRDefault="0026375A" w:rsidP="0026375A">
      <w:pPr>
        <w:rPr>
          <w:i/>
        </w:rPr>
      </w:pPr>
      <w:r w:rsidRPr="00994516">
        <w:rPr>
          <w:i/>
        </w:rPr>
        <w:t>Commentaires formulés par les groupes de travail techniques en 2024</w:t>
      </w:r>
    </w:p>
    <w:p w14:paraId="744EB566" w14:textId="77777777" w:rsidR="0026375A" w:rsidRPr="00994516" w:rsidRDefault="0026375A" w:rsidP="0026375A">
      <w:pPr>
        <w:keepNext/>
      </w:pPr>
    </w:p>
    <w:p w14:paraId="0A920FA8" w14:textId="77777777" w:rsidR="0026375A" w:rsidRPr="00994516" w:rsidRDefault="0026375A" w:rsidP="000F0EAB">
      <w:pPr>
        <w:tabs>
          <w:tab w:val="left" w:pos="567"/>
        </w:tabs>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 xml:space="preserve">Le TWV, le TWO, le TWA et le TWF ont examiné les propositions d’éléments à incorporer dans les demandes </w:t>
      </w:r>
      <w:r w:rsidRPr="00994516">
        <w:rPr>
          <w:rFonts w:eastAsia="Cambria"/>
        </w:rPr>
        <w:t xml:space="preserve">de matériel végétal auprès des obtenteurs de variétés candidates et de variétés notoirement connues, aux fins de l’examen DHS, comme indiqué au </w:t>
      </w:r>
      <w:r w:rsidRPr="00994516">
        <w:rPr>
          <w:rFonts w:eastAsiaTheme="minorEastAsia"/>
        </w:rPr>
        <w:t>paragraphe 3 ci-dessus</w:t>
      </w:r>
      <w:r w:rsidRPr="00994516">
        <w:rPr>
          <w:rFonts w:eastAsia="Cambria"/>
        </w:rPr>
        <w:t>.</w:t>
      </w:r>
    </w:p>
    <w:p w14:paraId="206F4E6A" w14:textId="77777777" w:rsidR="0026375A" w:rsidRPr="00994516" w:rsidRDefault="0026375A" w:rsidP="0026375A">
      <w:pPr>
        <w:rPr>
          <w:rFonts w:eastAsiaTheme="minorEastAsia"/>
        </w:rPr>
      </w:pPr>
    </w:p>
    <w:p w14:paraId="691FFCB1" w14:textId="77777777" w:rsidR="0026375A" w:rsidRPr="00994516" w:rsidRDefault="0026375A" w:rsidP="0026375A">
      <w:pPr>
        <w:rPr>
          <w:rFonts w:eastAsia="Cambria"/>
        </w:rPr>
      </w:pPr>
      <w:r w:rsidRPr="00994516">
        <w:fldChar w:fldCharType="begin"/>
      </w:r>
      <w:r w:rsidRPr="00994516">
        <w:instrText xml:space="preserve"> LISTNUM  LegalDefault \l 1 </w:instrText>
      </w:r>
      <w:r w:rsidRPr="00994516">
        <w:fldChar w:fldCharType="end"/>
      </w:r>
      <w:r w:rsidRPr="00994516">
        <w:tab/>
      </w:r>
      <w:r w:rsidRPr="00994516">
        <w:rPr>
          <w:rFonts w:eastAsiaTheme="minorEastAsia"/>
        </w:rPr>
        <w:t>Le TWV a pris note</w:t>
      </w:r>
      <w:r w:rsidRPr="00994516">
        <w:rPr>
          <w:rFonts w:eastAsia="Cambria"/>
        </w:rPr>
        <w:t xml:space="preserve"> des expériences rapportées relatives à un formulaire type pour la demande de soumission de matériel végétal par l’obtenteur sur la base des réglementations existantes dans l’Union européenne et en France. </w:t>
      </w:r>
    </w:p>
    <w:p w14:paraId="0B2DF762" w14:textId="77777777" w:rsidR="0026375A" w:rsidRPr="00994516" w:rsidRDefault="0026375A" w:rsidP="0026375A">
      <w:pPr>
        <w:rPr>
          <w:rFonts w:eastAsia="Cambria"/>
        </w:rPr>
      </w:pPr>
    </w:p>
    <w:p w14:paraId="7D781F59" w14:textId="6B106065" w:rsidR="0026375A" w:rsidRPr="00994516" w:rsidRDefault="0026375A" w:rsidP="0026375A">
      <w:pPr>
        <w:rPr>
          <w:rFonts w:eastAsia="Cambria"/>
        </w:rPr>
      </w:pPr>
      <w:r w:rsidRPr="00994516">
        <w:lastRenderedPageBreak/>
        <w:fldChar w:fldCharType="begin"/>
      </w:r>
      <w:r w:rsidRPr="00994516">
        <w:instrText xml:space="preserve"> LISTNUM  LegalDefault \l 1 </w:instrText>
      </w:r>
      <w:r w:rsidRPr="00994516">
        <w:fldChar w:fldCharType="end"/>
      </w:r>
      <w:r w:rsidRPr="00994516">
        <w:tab/>
      </w:r>
      <w:r w:rsidRPr="00994516">
        <w:rPr>
          <w:rFonts w:eastAsia="Cambria"/>
        </w:rPr>
        <w:t xml:space="preserve">Le TWV </w:t>
      </w:r>
      <w:r w:rsidR="001C2590">
        <w:rPr>
          <w:rFonts w:eastAsia="Cambria"/>
        </w:rPr>
        <w:t>est convenu</w:t>
      </w:r>
      <w:r w:rsidRPr="00994516">
        <w:rPr>
          <w:rFonts w:eastAsia="Cambria"/>
        </w:rPr>
        <w:t xml:space="preserve"> que les informations relatives aux raisons de la demande et à la finalité de l’utilisation du matériel végétal pourraient en faciliter l’indication par l’obtenteur.  Le TWV est convenu de demander, lors de réunions futures, des informations complémentaires sur les expériences relatives aux demandes de matériel végétal auprès des obtenteurs.  </w:t>
      </w:r>
    </w:p>
    <w:p w14:paraId="045794BE" w14:textId="77777777" w:rsidR="0026375A" w:rsidRPr="00994516" w:rsidRDefault="0026375A" w:rsidP="0026375A">
      <w:pPr>
        <w:rPr>
          <w:rFonts w:eastAsia="Cambria"/>
        </w:rPr>
      </w:pPr>
    </w:p>
    <w:p w14:paraId="2EF1F6CB" w14:textId="64B3C507"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Pr="00994516">
        <w:tab/>
      </w:r>
      <w:r w:rsidRPr="00994516">
        <w:rPr>
          <w:rFonts w:eastAsia="Cambria"/>
        </w:rPr>
        <w:t xml:space="preserve">Le TWV a pris note des rapports de l’Allemagne et du Japon portant sur l’existence d’exigences particulières dans les réglementations internes et </w:t>
      </w:r>
      <w:r w:rsidR="001C2590">
        <w:rPr>
          <w:rFonts w:eastAsia="Cambria"/>
        </w:rPr>
        <w:t>est convenu</w:t>
      </w:r>
      <w:r w:rsidRPr="00994516">
        <w:rPr>
          <w:rFonts w:eastAsia="Cambria"/>
        </w:rPr>
        <w:t xml:space="preserve"> qu’il ne serait pas opportun, pour l’heure, d’élaborer des orientations sur cette question.</w:t>
      </w:r>
    </w:p>
    <w:p w14:paraId="1395A550" w14:textId="77777777" w:rsidR="0026375A" w:rsidRPr="00994516" w:rsidRDefault="0026375A" w:rsidP="0026375A"/>
    <w:p w14:paraId="6EF3A030" w14:textId="469A5CFA" w:rsidR="0026375A" w:rsidRPr="00994516" w:rsidRDefault="0026375A" w:rsidP="0026375A">
      <w:r w:rsidRPr="00994516">
        <w:fldChar w:fldCharType="begin"/>
      </w:r>
      <w:r w:rsidRPr="00994516">
        <w:instrText xml:space="preserve"> LISTNUM  LegalDefault \l 1 </w:instrText>
      </w:r>
      <w:r w:rsidRPr="00994516">
        <w:fldChar w:fldCharType="end"/>
      </w:r>
      <w:r w:rsidRPr="00994516">
        <w:tab/>
        <w:t xml:space="preserve">Le TWO </w:t>
      </w:r>
      <w:r w:rsidR="001C2590">
        <w:t>est convenu</w:t>
      </w:r>
      <w:r w:rsidRPr="00994516">
        <w:t xml:space="preserve"> que les éléments fournis dans le document constituent des exemples utiles en cas de difficulté à obtenir du matériel végétal pour l’examen des plantes ornementales. </w:t>
      </w:r>
    </w:p>
    <w:p w14:paraId="13553F23" w14:textId="77777777" w:rsidR="0026375A" w:rsidRPr="00994516" w:rsidRDefault="0026375A" w:rsidP="0026375A">
      <w:pPr>
        <w:rPr>
          <w:rFonts w:cs="Arial"/>
          <w:color w:val="333333"/>
          <w:shd w:val="clear" w:color="auto" w:fill="FFFFFF"/>
        </w:rPr>
      </w:pPr>
    </w:p>
    <w:p w14:paraId="4863D231" w14:textId="7D5FF195" w:rsidR="0026375A" w:rsidRPr="00994516" w:rsidRDefault="0026375A" w:rsidP="0026375A">
      <w:pPr>
        <w:rPr>
          <w:rFonts w:cs="Arial"/>
          <w:color w:val="333333"/>
          <w:shd w:val="clear" w:color="auto" w:fill="FFFFFF"/>
        </w:rPr>
      </w:pPr>
      <w:r w:rsidRPr="00994516">
        <w:fldChar w:fldCharType="begin"/>
      </w:r>
      <w:r w:rsidRPr="00994516">
        <w:instrText xml:space="preserve"> LISTNUM  LegalDefault \l 1 </w:instrText>
      </w:r>
      <w:r w:rsidRPr="00994516">
        <w:fldChar w:fldCharType="end"/>
      </w:r>
      <w:r w:rsidRPr="00994516">
        <w:tab/>
      </w:r>
      <w:r w:rsidRPr="00994516">
        <w:rPr>
          <w:rFonts w:cs="Arial"/>
          <w:color w:val="333333"/>
          <w:shd w:val="clear" w:color="auto" w:fill="FFFFFF"/>
        </w:rPr>
        <w:t xml:space="preserve">Le TWO a pris note des expériences rapportées par l’Union européenne et l’Allemagne en matière de demandes de soumission de matériel végétal de variétés candidates et de variétés notoirement connues, et </w:t>
      </w:r>
      <w:r w:rsidR="001C2590">
        <w:rPr>
          <w:rFonts w:cs="Arial"/>
          <w:color w:val="333333"/>
          <w:shd w:val="clear" w:color="auto" w:fill="FFFFFF"/>
        </w:rPr>
        <w:t>est convenu</w:t>
      </w:r>
      <w:r w:rsidRPr="00994516">
        <w:rPr>
          <w:rFonts w:cs="Arial"/>
          <w:color w:val="333333"/>
          <w:shd w:val="clear" w:color="auto" w:fill="FFFFFF"/>
        </w:rPr>
        <w:t xml:space="preserve"> qu’il n’était pas nécessaire d’élaborer d’orientations supplémentaires pour ce point.</w:t>
      </w:r>
    </w:p>
    <w:p w14:paraId="38838FA5" w14:textId="77777777" w:rsidR="0026375A" w:rsidRPr="00994516" w:rsidRDefault="0026375A" w:rsidP="0026375A"/>
    <w:p w14:paraId="2A2A91B9" w14:textId="464FB22A"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000F0EAB" w:rsidRPr="00994516">
        <w:tab/>
      </w:r>
      <w:r w:rsidRPr="00994516">
        <w:rPr>
          <w:rFonts w:eastAsiaTheme="minorEastAsia"/>
        </w:rPr>
        <w:t xml:space="preserve">Le TWA </w:t>
      </w:r>
      <w:r w:rsidR="001C2590">
        <w:rPr>
          <w:rFonts w:eastAsiaTheme="minorEastAsia"/>
        </w:rPr>
        <w:t>est convenu</w:t>
      </w:r>
      <w:r w:rsidRPr="00994516">
        <w:rPr>
          <w:rFonts w:eastAsiaTheme="minorEastAsia"/>
        </w:rPr>
        <w:t xml:space="preserve">, comme le TWO, </w:t>
      </w:r>
      <w:r w:rsidRPr="00994516">
        <w:rPr>
          <w:rFonts w:cs="Arial"/>
          <w:color w:val="333333"/>
          <w:shd w:val="clear" w:color="auto" w:fill="FFFFFF"/>
        </w:rPr>
        <w:t>qu’il n’était pas nécessaire d’élaborer d’orientations supplémentaires pour ce point</w:t>
      </w:r>
      <w:r w:rsidRPr="00994516">
        <w:rPr>
          <w:rFonts w:eastAsiaTheme="minorEastAsia"/>
        </w:rPr>
        <w:t>.</w:t>
      </w:r>
    </w:p>
    <w:p w14:paraId="3E252572" w14:textId="77777777" w:rsidR="0026375A" w:rsidRPr="00994516" w:rsidRDefault="0026375A" w:rsidP="0026375A"/>
    <w:p w14:paraId="321A6BF1" w14:textId="33649548" w:rsidR="0026375A" w:rsidRPr="00994516" w:rsidRDefault="0026375A" w:rsidP="0026375A">
      <w:pPr>
        <w:rPr>
          <w:rFonts w:eastAsiaTheme="minorEastAsia"/>
        </w:rPr>
      </w:pPr>
      <w:r w:rsidRPr="00994516">
        <w:fldChar w:fldCharType="begin"/>
      </w:r>
      <w:r w:rsidRPr="00994516">
        <w:instrText xml:space="preserve"> LISTNUM  LegalDefault \l 1 </w:instrText>
      </w:r>
      <w:r w:rsidRPr="00994516">
        <w:fldChar w:fldCharType="end"/>
      </w:r>
      <w:r w:rsidR="000F0EAB" w:rsidRPr="00994516">
        <w:tab/>
      </w:r>
      <w:r w:rsidRPr="00994516">
        <w:rPr>
          <w:rFonts w:eastAsiaTheme="minorEastAsia"/>
        </w:rPr>
        <w:t>Le TWF est convenu de demander</w:t>
      </w:r>
      <w:r w:rsidRPr="00994516">
        <w:rPr>
          <w:rFonts w:eastAsia="Cambria"/>
        </w:rPr>
        <w:t>, lors de réunions futures, des informations complémentaires sur les expériences relatives aux demandes de matériel végétal auprès des obtenteurs</w:t>
      </w:r>
      <w:r w:rsidRPr="00994516">
        <w:rPr>
          <w:rFonts w:eastAsiaTheme="minorEastAsia"/>
        </w:rPr>
        <w:t>.</w:t>
      </w:r>
    </w:p>
    <w:p w14:paraId="3AABDB1C" w14:textId="77777777" w:rsidR="0026375A" w:rsidRPr="00994516" w:rsidRDefault="0026375A" w:rsidP="0026375A"/>
    <w:p w14:paraId="6E01A3DA" w14:textId="77777777" w:rsidR="0026375A" w:rsidRPr="00994516" w:rsidRDefault="0026375A" w:rsidP="0026375A"/>
    <w:p w14:paraId="4FF7C480" w14:textId="77777777" w:rsidR="0026375A" w:rsidRPr="00994516" w:rsidRDefault="0026375A" w:rsidP="0026375A"/>
    <w:p w14:paraId="6F3A4853" w14:textId="77777777" w:rsidR="0026375A" w:rsidRPr="00994516" w:rsidRDefault="0026375A" w:rsidP="0026375A">
      <w:pPr>
        <w:jc w:val="right"/>
      </w:pPr>
      <w:r w:rsidRPr="00994516">
        <w:t>[L’annexe VI suit]</w:t>
      </w:r>
    </w:p>
    <w:p w14:paraId="29F59296" w14:textId="77777777" w:rsidR="0026375A" w:rsidRPr="00994516" w:rsidRDefault="0026375A" w:rsidP="0026375A"/>
    <w:p w14:paraId="4D0556D7" w14:textId="77777777" w:rsidR="0026375A" w:rsidRPr="00994516" w:rsidRDefault="0026375A" w:rsidP="0026375A"/>
    <w:p w14:paraId="60E1417B" w14:textId="77777777" w:rsidR="0026375A" w:rsidRPr="00994516" w:rsidRDefault="0026375A" w:rsidP="0026375A">
      <w:pPr>
        <w:sectPr w:rsidR="0026375A" w:rsidRPr="00994516" w:rsidSect="0026375A">
          <w:headerReference w:type="default" r:id="rId26"/>
          <w:footerReference w:type="even" r:id="rId27"/>
          <w:footerReference w:type="default" r:id="rId28"/>
          <w:footerReference w:type="first" r:id="rId29"/>
          <w:footnotePr>
            <w:numRestart w:val="eachSect"/>
          </w:footnotePr>
          <w:pgSz w:w="11907" w:h="16840" w:code="9"/>
          <w:pgMar w:top="510" w:right="1134" w:bottom="709" w:left="1134" w:header="510" w:footer="680" w:gutter="0"/>
          <w:pgNumType w:start="1"/>
          <w:cols w:space="720"/>
          <w:titlePg/>
        </w:sectPr>
      </w:pPr>
    </w:p>
    <w:p w14:paraId="3C9A018C" w14:textId="77777777" w:rsidR="0026375A" w:rsidRPr="00994516" w:rsidRDefault="0026375A" w:rsidP="0026375A">
      <w:pPr>
        <w:jc w:val="center"/>
      </w:pPr>
      <w:bookmarkStart w:id="142" w:name="ANNEXEVI"/>
      <w:proofErr w:type="gramStart"/>
      <w:r w:rsidRPr="00994516">
        <w:lastRenderedPageBreak/>
        <w:t>ANNEXE VI</w:t>
      </w:r>
      <w:proofErr w:type="gramEnd"/>
    </w:p>
    <w:bookmarkEnd w:id="142"/>
    <w:p w14:paraId="7B3A26FB" w14:textId="77777777" w:rsidR="0026375A" w:rsidRPr="00994516" w:rsidRDefault="0026375A" w:rsidP="0026375A">
      <w:pPr>
        <w:jc w:val="center"/>
      </w:pPr>
    </w:p>
    <w:p w14:paraId="00F66432" w14:textId="77777777" w:rsidR="0026375A" w:rsidRPr="00994516" w:rsidRDefault="0026375A" w:rsidP="0026375A">
      <w:pPr>
        <w:jc w:val="center"/>
      </w:pPr>
      <w:r w:rsidRPr="00994516">
        <w:t xml:space="preserve">PROPOSITIONS DE MODIFICATIONS DU DOCUMENT UPOV/INF/6/6 </w:t>
      </w:r>
    </w:p>
    <w:p w14:paraId="076E9321" w14:textId="650A3E88" w:rsidR="0026375A" w:rsidRPr="00994516" w:rsidRDefault="0026375A" w:rsidP="0026375A">
      <w:pPr>
        <w:jc w:val="center"/>
      </w:pPr>
      <w:r w:rsidRPr="00994516">
        <w:t>“</w:t>
      </w:r>
      <w:r w:rsidRPr="00994516">
        <w:rPr>
          <w:caps/>
        </w:rPr>
        <w:t xml:space="preserve">Orientations en vue de la rédaction de lois fondées sur l’Acte de 1991 </w:t>
      </w:r>
      <w:r w:rsidR="007176D5">
        <w:rPr>
          <w:caps/>
        </w:rPr>
        <w:br/>
      </w:r>
      <w:r w:rsidRPr="00994516">
        <w:rPr>
          <w:caps/>
        </w:rPr>
        <w:t>de la Convention UPOV”</w:t>
      </w:r>
      <w:r w:rsidRPr="00994516">
        <w:t xml:space="preserve"> (DOCUMENT UPOV/INF/6/7)</w:t>
      </w:r>
    </w:p>
    <w:p w14:paraId="380F1EF9" w14:textId="77777777" w:rsidR="0026375A" w:rsidRPr="00994516" w:rsidRDefault="0026375A" w:rsidP="0026375A">
      <w:pPr>
        <w:jc w:val="center"/>
      </w:pPr>
    </w:p>
    <w:p w14:paraId="37240E76" w14:textId="77777777" w:rsidR="0026375A" w:rsidRPr="00994516" w:rsidRDefault="0026375A" w:rsidP="0026375A">
      <w:pPr>
        <w:jc w:val="center"/>
      </w:pPr>
    </w:p>
    <w:p w14:paraId="7D4B987C" w14:textId="77777777" w:rsidR="0026375A" w:rsidRPr="00994516" w:rsidRDefault="0026375A" w:rsidP="0026375A">
      <w:pPr>
        <w:jc w:val="center"/>
      </w:pPr>
    </w:p>
    <w:p w14:paraId="5825C229" w14:textId="22093A4C" w:rsidR="0026375A" w:rsidRPr="00994516" w:rsidRDefault="0026375A" w:rsidP="0026375A">
      <w:pPr>
        <w:rPr>
          <w:u w:val="single"/>
        </w:rPr>
      </w:pPr>
      <w:r w:rsidRPr="00994516">
        <w:rPr>
          <w:rFonts w:cs="Arial"/>
          <w:u w:val="single"/>
        </w:rPr>
        <w:t>NOTES SUR L’ARTICLE 14.1)</w:t>
      </w:r>
      <w:r w:rsidR="007176D5">
        <w:rPr>
          <w:rFonts w:cs="Arial"/>
          <w:u w:val="single"/>
        </w:rPr>
        <w:t xml:space="preserve"> </w:t>
      </w:r>
      <w:r w:rsidRPr="00994516">
        <w:rPr>
          <w:rFonts w:cs="Arial"/>
          <w:u w:val="single"/>
        </w:rPr>
        <w:t xml:space="preserve">ACTES RELATIFS AU MATÉRIEL DE </w:t>
      </w:r>
      <w:r w:rsidRPr="00994516">
        <w:rPr>
          <w:caps/>
          <w:u w:val="single"/>
        </w:rPr>
        <w:t>reproduction ou de multiplication</w:t>
      </w:r>
      <w:r w:rsidRPr="00994516">
        <w:rPr>
          <w:u w:val="single"/>
        </w:rPr>
        <w:t xml:space="preserve"> </w:t>
      </w:r>
    </w:p>
    <w:p w14:paraId="3B967523" w14:textId="77777777" w:rsidR="0026375A" w:rsidRPr="00994516" w:rsidRDefault="0026375A" w:rsidP="0026375A"/>
    <w:p w14:paraId="16189C2E" w14:textId="550DC690" w:rsidR="0026375A" w:rsidRPr="00994516" w:rsidRDefault="0026375A" w:rsidP="0026375A">
      <w:r w:rsidRPr="00994516">
        <w:t>Sous réserve de l’approbation par le Conseil, à sa cinquante-huitième session ordinaire, de la révision du document </w:t>
      </w:r>
      <w:r w:rsidRPr="00994516">
        <w:rPr>
          <w:rFonts w:eastAsia="Arial" w:cs="Arial"/>
        </w:rPr>
        <w:t>UPOV/EXN/PPM/1 “</w:t>
      </w:r>
      <w:r w:rsidRPr="00994516">
        <w:t>Notes explicatives sur le matériel de reproduction ou de multiplication en vertu de la Convention UPOV</w:t>
      </w:r>
      <w:r w:rsidRPr="00994516">
        <w:rPr>
          <w:rFonts w:eastAsia="Arial" w:cs="Arial"/>
        </w:rPr>
        <w:t>”</w:t>
      </w:r>
      <w:r w:rsidRPr="00994516">
        <w:t xml:space="preserve"> (présentée dans le document </w:t>
      </w:r>
      <w:r w:rsidRPr="00994516">
        <w:rPr>
          <w:rFonts w:eastAsia="Arial" w:cs="Arial"/>
        </w:rPr>
        <w:t>UPOV/EXN/PPM/2 Draft 1</w:t>
      </w:r>
      <w:r w:rsidRPr="00994516">
        <w:t>), remplacer le texte de “NOTES SUR L’ARTICLE 14.1)” par le nouveau texte du document UPOV/EXN/PPM/2.</w:t>
      </w:r>
    </w:p>
    <w:p w14:paraId="492C49BB" w14:textId="77777777" w:rsidR="0026375A" w:rsidRPr="00994516" w:rsidRDefault="0026375A" w:rsidP="0026375A"/>
    <w:p w14:paraId="43156D8A" w14:textId="77777777" w:rsidR="0026375A" w:rsidRPr="00994516" w:rsidRDefault="0026375A" w:rsidP="0026375A"/>
    <w:p w14:paraId="28182279" w14:textId="62D8B55A" w:rsidR="0026375A" w:rsidRPr="00994516" w:rsidRDefault="0026375A" w:rsidP="0026375A">
      <w:pPr>
        <w:rPr>
          <w:u w:val="single"/>
        </w:rPr>
      </w:pPr>
      <w:r w:rsidRPr="00994516">
        <w:rPr>
          <w:rFonts w:cs="Arial"/>
          <w:u w:val="single"/>
        </w:rPr>
        <w:t xml:space="preserve">NOTES SUR L’ARTICLE 14.5) VARIÉTÉS ESSENTIELLEMENT DÉRIVÉES ET CERTAINES AUTRES VARIÉTÉS  </w:t>
      </w:r>
    </w:p>
    <w:p w14:paraId="17ED5AF1" w14:textId="77777777" w:rsidR="007176D5" w:rsidRDefault="007176D5" w:rsidP="0026375A"/>
    <w:p w14:paraId="1399AC86" w14:textId="3DF26A86" w:rsidR="0026375A" w:rsidRPr="00994516" w:rsidRDefault="0026375A" w:rsidP="0026375A">
      <w:r w:rsidRPr="00994516">
        <w:t>Remplacer le texte de “NOTES SUR L’</w:t>
      </w:r>
      <w:r w:rsidRPr="00994516">
        <w:rPr>
          <w:rFonts w:cs="Arial"/>
        </w:rPr>
        <w:t>ARTICLE 14.5)</w:t>
      </w:r>
      <w:r w:rsidRPr="00994516">
        <w:t>” par le nouveau texte du document UPOV/EXN/EDV/3 approuvé par le Conseil, à sa cinquante-septième session ordinaire.</w:t>
      </w:r>
    </w:p>
    <w:p w14:paraId="097C3C5E" w14:textId="77777777" w:rsidR="0026375A" w:rsidRPr="00994516" w:rsidRDefault="0026375A" w:rsidP="0026375A"/>
    <w:p w14:paraId="7E2491A6" w14:textId="77777777" w:rsidR="0026375A" w:rsidRPr="00994516" w:rsidRDefault="0026375A" w:rsidP="0026375A"/>
    <w:p w14:paraId="5BF493A6" w14:textId="2EB230F0" w:rsidR="0026375A" w:rsidRPr="00994516" w:rsidRDefault="0026375A" w:rsidP="0026375A">
      <w:pPr>
        <w:rPr>
          <w:u w:val="single"/>
        </w:rPr>
      </w:pPr>
      <w:r w:rsidRPr="00994516">
        <w:rPr>
          <w:u w:val="single"/>
        </w:rPr>
        <w:t>NOTES SUR L’ARTICLE 20 DÉNOMINATION VARIÉTALE</w:t>
      </w:r>
    </w:p>
    <w:p w14:paraId="50D13B5E" w14:textId="77777777" w:rsidR="0026375A" w:rsidRPr="00994516" w:rsidRDefault="0026375A" w:rsidP="0026375A"/>
    <w:p w14:paraId="05DF6CDA" w14:textId="7F61160A" w:rsidR="0026375A" w:rsidRPr="00994516" w:rsidRDefault="0026375A" w:rsidP="0026375A">
      <w:r w:rsidRPr="00994516">
        <w:t>Sous réserve de l’approbation par le Conseil, à sa cinquante-huitième session ordinaire, de la révision du document </w:t>
      </w:r>
      <w:r w:rsidRPr="00994516">
        <w:rPr>
          <w:rFonts w:eastAsia="Arial" w:cs="Arial"/>
        </w:rPr>
        <w:t>UPOV/EXN/DEN/</w:t>
      </w:r>
      <w:r w:rsidR="00956F58">
        <w:rPr>
          <w:rFonts w:eastAsia="Arial" w:cs="Arial"/>
        </w:rPr>
        <w:t>3</w:t>
      </w:r>
      <w:r w:rsidRPr="00994516">
        <w:rPr>
          <w:rFonts w:eastAsia="Arial" w:cs="Arial"/>
        </w:rPr>
        <w:t xml:space="preserve"> “Notes explicatives sur les dénominations variétales en vertu de la Convention UPOV”</w:t>
      </w:r>
      <w:r w:rsidRPr="00994516">
        <w:t xml:space="preserve"> (présentée à l’annexe I du présent document), remplacer le texte de “NOTES SUR L’ARTICLE 20” par le nouveau texte du document UPOV/EXN/DEN/</w:t>
      </w:r>
      <w:r w:rsidR="00956F58">
        <w:t>4</w:t>
      </w:r>
      <w:r w:rsidRPr="00994516">
        <w:t>.</w:t>
      </w:r>
    </w:p>
    <w:p w14:paraId="675FA9A8" w14:textId="77777777" w:rsidR="0026375A" w:rsidRPr="00994516" w:rsidRDefault="0026375A" w:rsidP="0026375A"/>
    <w:p w14:paraId="5BFC704A" w14:textId="77777777" w:rsidR="0026375A" w:rsidRPr="00994516" w:rsidRDefault="0026375A" w:rsidP="0026375A"/>
    <w:p w14:paraId="7E6CB40D" w14:textId="77777777" w:rsidR="0026375A" w:rsidRPr="00994516" w:rsidRDefault="0026375A" w:rsidP="0026375A"/>
    <w:p w14:paraId="2B444984" w14:textId="77777777" w:rsidR="0026375A" w:rsidRPr="00994516" w:rsidRDefault="0026375A" w:rsidP="0026375A">
      <w:pPr>
        <w:jc w:val="right"/>
      </w:pPr>
      <w:r w:rsidRPr="00994516">
        <w:t>[Fin de l’annexe VI et du document]</w:t>
      </w:r>
    </w:p>
    <w:p w14:paraId="26716DF6" w14:textId="75C50AEA" w:rsidR="00E131F0" w:rsidRPr="00994516" w:rsidRDefault="00E131F0" w:rsidP="0026375A"/>
    <w:p w14:paraId="1C6E5795" w14:textId="77777777" w:rsidR="00E131F0" w:rsidRPr="00994516" w:rsidRDefault="00E131F0" w:rsidP="00E131F0">
      <w:pPr>
        <w:pStyle w:val="Header"/>
        <w:jc w:val="both"/>
      </w:pPr>
    </w:p>
    <w:sectPr w:rsidR="00E131F0" w:rsidRPr="00994516" w:rsidSect="00906DDC">
      <w:headerReference w:type="default" r:id="rId30"/>
      <w:footerReference w:type="even" r:id="rId31"/>
      <w:footerReference w:type="default" r:id="rId32"/>
      <w:footerReference w:type="first" r:id="rId3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DD57" w14:textId="77777777" w:rsidR="00435487" w:rsidRDefault="00435487" w:rsidP="006655D3">
      <w:r>
        <w:separator/>
      </w:r>
    </w:p>
    <w:p w14:paraId="5AA6015C" w14:textId="77777777" w:rsidR="00435487" w:rsidRDefault="00435487" w:rsidP="006655D3"/>
    <w:p w14:paraId="2D8F0D73" w14:textId="77777777" w:rsidR="00435487" w:rsidRDefault="00435487" w:rsidP="006655D3"/>
  </w:endnote>
  <w:endnote w:type="continuationSeparator" w:id="0">
    <w:p w14:paraId="7FB3053C" w14:textId="77777777" w:rsidR="00435487" w:rsidRDefault="00435487" w:rsidP="006655D3">
      <w:r>
        <w:separator/>
      </w:r>
    </w:p>
    <w:p w14:paraId="11DCB899" w14:textId="77777777" w:rsidR="00435487" w:rsidRPr="00294751" w:rsidRDefault="00435487">
      <w:pPr>
        <w:pStyle w:val="Footer"/>
        <w:spacing w:after="60"/>
        <w:rPr>
          <w:sz w:val="18"/>
          <w:lang w:val="fr-FR"/>
        </w:rPr>
      </w:pPr>
      <w:r w:rsidRPr="00294751">
        <w:rPr>
          <w:sz w:val="18"/>
          <w:lang w:val="fr-FR"/>
        </w:rPr>
        <w:t>[Suite de la note de la page précédente]</w:t>
      </w:r>
    </w:p>
    <w:p w14:paraId="5BA28B57" w14:textId="77777777" w:rsidR="00435487" w:rsidRPr="00294751" w:rsidRDefault="00435487" w:rsidP="006655D3"/>
    <w:p w14:paraId="05C86692" w14:textId="77777777" w:rsidR="00435487" w:rsidRPr="00294751" w:rsidRDefault="00435487" w:rsidP="006655D3"/>
  </w:endnote>
  <w:endnote w:type="continuationNotice" w:id="1">
    <w:p w14:paraId="2F06C25F" w14:textId="77777777" w:rsidR="00435487" w:rsidRPr="00294751" w:rsidRDefault="00435487" w:rsidP="006655D3">
      <w:r w:rsidRPr="00294751">
        <w:t>[Suite de la note page suivante]</w:t>
      </w:r>
    </w:p>
    <w:p w14:paraId="315B72FB" w14:textId="77777777" w:rsidR="00435487" w:rsidRPr="00294751" w:rsidRDefault="00435487" w:rsidP="006655D3"/>
    <w:p w14:paraId="1C56D111" w14:textId="77777777" w:rsidR="00435487" w:rsidRPr="00294751" w:rsidRDefault="0043548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E6FB" w14:textId="195D6225" w:rsidR="0026375A" w:rsidRDefault="002637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8303F" w14:textId="61F24141" w:rsidR="0026375A" w:rsidRDefault="002637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283B" w14:textId="7FA7C30A" w:rsidR="0026375A" w:rsidRDefault="002637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973E" w14:textId="3FF39BAB" w:rsidR="0026375A" w:rsidRPr="00C70FA5" w:rsidRDefault="0026375A" w:rsidP="00C70FA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90A2" w14:textId="3C69BFE5" w:rsidR="00C70FA5" w:rsidRDefault="00C70FA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46070" w14:textId="557D210C" w:rsidR="00C70FA5" w:rsidRDefault="00C70FA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997D" w14:textId="341CF203" w:rsidR="00C70FA5" w:rsidRDefault="00C70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4763A" w14:textId="6BF461EB" w:rsidR="0026375A" w:rsidRDefault="00263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362C" w14:textId="66126D34" w:rsidR="0026375A" w:rsidRDefault="002637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6AB50" w14:textId="194779A5" w:rsidR="0026375A" w:rsidRDefault="002637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FD77" w14:textId="7185136F" w:rsidR="0026375A" w:rsidRDefault="0026375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AAA0" w14:textId="7C375356" w:rsidR="0026375A" w:rsidRDefault="002637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1B8D" w14:textId="668E4D46" w:rsidR="0026375A" w:rsidRDefault="002637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F5621" w14:textId="0FAC7843" w:rsidR="0026375A" w:rsidRDefault="0026375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AF25" w14:textId="25BE46BD" w:rsidR="0026375A" w:rsidRDefault="0026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555F0" w14:textId="77777777" w:rsidR="00435487" w:rsidRDefault="00435487" w:rsidP="006655D3">
      <w:r>
        <w:separator/>
      </w:r>
    </w:p>
  </w:footnote>
  <w:footnote w:type="continuationSeparator" w:id="0">
    <w:p w14:paraId="25B5AA8C" w14:textId="77777777" w:rsidR="00435487" w:rsidRDefault="00435487" w:rsidP="006655D3">
      <w:r>
        <w:separator/>
      </w:r>
    </w:p>
  </w:footnote>
  <w:footnote w:type="continuationNotice" w:id="1">
    <w:p w14:paraId="08F7A644" w14:textId="77777777" w:rsidR="00435487" w:rsidRPr="00AB530F" w:rsidRDefault="00435487" w:rsidP="00AB530F">
      <w:pPr>
        <w:pStyle w:val="Footer"/>
      </w:pPr>
    </w:p>
  </w:footnote>
  <w:footnote w:id="2">
    <w:p w14:paraId="7E955F79" w14:textId="5F79FBB9" w:rsidR="00726956" w:rsidRDefault="00726956" w:rsidP="00726956">
      <w:pPr>
        <w:pStyle w:val="FootnoteText"/>
      </w:pPr>
      <w:r>
        <w:rPr>
          <w:rStyle w:val="FootnoteReference"/>
        </w:rPr>
        <w:footnoteRef/>
      </w:r>
      <w:r>
        <w:t xml:space="preserve"> </w:t>
      </w:r>
      <w:r>
        <w:tab/>
        <w:t xml:space="preserve">TWM, deuxième session, </w:t>
      </w:r>
      <w:r w:rsidRPr="000D332C">
        <w:t xml:space="preserve">tenue par </w:t>
      </w:r>
      <w:r>
        <w:t>voie électronique, du 8 au 11 2024. Voir le document TWM/2/21 “Report”, paragraphes 21 à 24.</w:t>
      </w:r>
    </w:p>
  </w:footnote>
  <w:footnote w:id="3">
    <w:p w14:paraId="2340BB87" w14:textId="77777777" w:rsidR="0026375A" w:rsidRPr="000D332C" w:rsidRDefault="0026375A" w:rsidP="00726956">
      <w:pPr>
        <w:pStyle w:val="FootnoteText"/>
      </w:pPr>
      <w:r w:rsidRPr="000D332C">
        <w:rPr>
          <w:rStyle w:val="FootnoteReference"/>
        </w:rPr>
        <w:footnoteRef/>
      </w:r>
      <w:r w:rsidRPr="000D332C">
        <w:tab/>
        <w:t>Voir le document</w:t>
      </w:r>
      <w:r>
        <w:t> </w:t>
      </w:r>
      <w:r w:rsidRPr="000D332C">
        <w:t>TC/59/28 “Compte rendu”, paragraphes</w:t>
      </w:r>
      <w:r>
        <w:t> </w:t>
      </w:r>
      <w:r w:rsidRPr="000D332C">
        <w:t>33 et 34.</w:t>
      </w:r>
    </w:p>
  </w:footnote>
  <w:footnote w:id="4">
    <w:p w14:paraId="05670216" w14:textId="1F8B850C" w:rsidR="0026375A" w:rsidRPr="000D332C" w:rsidRDefault="0026375A" w:rsidP="00726956">
      <w:pPr>
        <w:pStyle w:val="FootnoteText"/>
      </w:pPr>
      <w:r w:rsidRPr="000D332C">
        <w:rPr>
          <w:rStyle w:val="FootnoteReference"/>
        </w:rPr>
        <w:footnoteRef/>
      </w:r>
      <w:r w:rsidRPr="000D332C">
        <w:tab/>
        <w:t xml:space="preserve">TWA, cinquante-troisième session, tenue par </w:t>
      </w:r>
      <w:r w:rsidR="00726956">
        <w:t>voie électronique</w:t>
      </w:r>
      <w:r w:rsidRPr="000D332C">
        <w:t xml:space="preserve"> du 27 au 30</w:t>
      </w:r>
      <w:r>
        <w:t> </w:t>
      </w:r>
      <w:r w:rsidRPr="000D332C">
        <w:t xml:space="preserve">mai 2024. </w:t>
      </w:r>
      <w:r>
        <w:t xml:space="preserve"> </w:t>
      </w:r>
      <w:r w:rsidRPr="000D332C">
        <w:t>Voir le document</w:t>
      </w:r>
      <w:r>
        <w:t> </w:t>
      </w:r>
      <w:r w:rsidRPr="000D332C">
        <w:t>TWA/53/9 “</w:t>
      </w:r>
      <w:r w:rsidR="00462647">
        <w:t>Report</w:t>
      </w:r>
      <w:r w:rsidRPr="000D332C">
        <w:t>”, paragraphe 13.</w:t>
      </w:r>
    </w:p>
  </w:footnote>
  <w:footnote w:id="5">
    <w:p w14:paraId="5BC7C9E0" w14:textId="656B9F86" w:rsidR="0026375A" w:rsidRPr="000D332C" w:rsidRDefault="0026375A" w:rsidP="00726956">
      <w:pPr>
        <w:pStyle w:val="FootnoteText"/>
      </w:pPr>
      <w:r w:rsidRPr="000D332C">
        <w:rPr>
          <w:rStyle w:val="FootnoteReference"/>
        </w:rPr>
        <w:footnoteRef/>
      </w:r>
      <w:r w:rsidRPr="000D332C">
        <w:tab/>
        <w:t xml:space="preserve">TWF, cinquante-cinquième session, tenue par </w:t>
      </w:r>
      <w:r w:rsidR="00726956">
        <w:t>voie électronique</w:t>
      </w:r>
      <w:r w:rsidR="00726956" w:rsidRPr="000D332C">
        <w:t xml:space="preserve"> </w:t>
      </w:r>
      <w:r w:rsidRPr="000D332C">
        <w:t>du 3 au 6</w:t>
      </w:r>
      <w:r>
        <w:t> </w:t>
      </w:r>
      <w:r w:rsidRPr="000D332C">
        <w:t xml:space="preserve">juin 2024. </w:t>
      </w:r>
      <w:r>
        <w:t xml:space="preserve"> </w:t>
      </w:r>
      <w:r w:rsidRPr="000D332C">
        <w:t>Voir le document</w:t>
      </w:r>
      <w:r>
        <w:t> </w:t>
      </w:r>
      <w:r w:rsidRPr="000D332C">
        <w:t>TWF/55/9 “</w:t>
      </w:r>
      <w:r w:rsidR="00462647">
        <w:t>Report</w:t>
      </w:r>
      <w:r w:rsidRPr="000D332C">
        <w:t>”, paragraphe</w:t>
      </w:r>
      <w:r>
        <w:t> </w:t>
      </w:r>
      <w:r w:rsidRPr="000D332C">
        <w:t>24.</w:t>
      </w:r>
    </w:p>
  </w:footnote>
  <w:footnote w:id="6">
    <w:p w14:paraId="1A9885F2" w14:textId="1CE958CE" w:rsidR="0026375A" w:rsidRPr="000D332C" w:rsidRDefault="0026375A" w:rsidP="0026375A">
      <w:pPr>
        <w:pStyle w:val="Default"/>
        <w:ind w:left="284" w:hanging="284"/>
        <w:rPr>
          <w:spacing w:val="-4"/>
          <w:sz w:val="16"/>
          <w:szCs w:val="16"/>
          <w:lang w:val="fr-FR"/>
        </w:rPr>
      </w:pPr>
      <w:r w:rsidRPr="000D332C">
        <w:rPr>
          <w:rStyle w:val="FootnoteReference"/>
          <w:spacing w:val="-4"/>
          <w:sz w:val="16"/>
          <w:szCs w:val="16"/>
          <w:lang w:val="fr-FR"/>
        </w:rPr>
        <w:footnoteRef/>
      </w:r>
      <w:r w:rsidRPr="000D332C">
        <w:rPr>
          <w:spacing w:val="-4"/>
          <w:sz w:val="16"/>
          <w:szCs w:val="16"/>
          <w:lang w:val="fr-FR"/>
        </w:rPr>
        <w:tab/>
        <w:t>Les “</w:t>
      </w:r>
      <w:r w:rsidRPr="000D332C">
        <w:rPr>
          <w:rFonts w:eastAsiaTheme="minorEastAsia"/>
          <w:sz w:val="16"/>
          <w:szCs w:val="16"/>
          <w:lang w:val="fr-FR"/>
        </w:rPr>
        <w:t>Notes explicatives sur les dénominations variétales en vertu de la Convention UPOV</w:t>
      </w:r>
      <w:r w:rsidRPr="000D332C">
        <w:rPr>
          <w:spacing w:val="-4"/>
          <w:sz w:val="16"/>
          <w:szCs w:val="16"/>
          <w:lang w:val="fr-FR"/>
        </w:rPr>
        <w:t>” (document</w:t>
      </w:r>
      <w:r>
        <w:rPr>
          <w:spacing w:val="-4"/>
          <w:sz w:val="16"/>
          <w:szCs w:val="16"/>
          <w:lang w:val="fr-FR"/>
        </w:rPr>
        <w:t> </w:t>
      </w:r>
      <w:r w:rsidRPr="000D332C">
        <w:rPr>
          <w:spacing w:val="-4"/>
          <w:sz w:val="16"/>
          <w:szCs w:val="16"/>
          <w:lang w:val="fr-FR"/>
        </w:rPr>
        <w:t>UPOV/EXN/DEN/</w:t>
      </w:r>
      <w:r w:rsidR="00380EF5">
        <w:rPr>
          <w:spacing w:val="-4"/>
          <w:sz w:val="16"/>
          <w:szCs w:val="16"/>
          <w:lang w:val="fr-FR"/>
        </w:rPr>
        <w:t>3</w:t>
      </w:r>
      <w:r w:rsidRPr="000D332C">
        <w:rPr>
          <w:spacing w:val="-4"/>
          <w:sz w:val="16"/>
          <w:szCs w:val="16"/>
          <w:lang w:val="fr-FR"/>
        </w:rPr>
        <w:t xml:space="preserve">) indiquent : “2.5.2 </w:t>
      </w:r>
      <w:r w:rsidRPr="000D332C">
        <w:rPr>
          <w:sz w:val="16"/>
          <w:szCs w:val="16"/>
          <w:lang w:val="fr-FR"/>
        </w:rPr>
        <w:t>Les classes de dénominations variétales sont les suivantes</w:t>
      </w:r>
      <w:r>
        <w:rPr>
          <w:sz w:val="16"/>
          <w:szCs w:val="16"/>
          <w:lang w:val="fr-FR"/>
        </w:rPr>
        <w:t> </w:t>
      </w:r>
      <w:r w:rsidRPr="000D332C">
        <w:rPr>
          <w:spacing w:val="-4"/>
          <w:sz w:val="16"/>
          <w:szCs w:val="16"/>
          <w:lang w:val="fr-FR"/>
        </w:rPr>
        <w:t xml:space="preserve">: </w:t>
      </w:r>
    </w:p>
    <w:p w14:paraId="68575A25" w14:textId="77777777" w:rsidR="0026375A" w:rsidRPr="000D332C" w:rsidRDefault="0026375A" w:rsidP="00727740">
      <w:pPr>
        <w:pStyle w:val="Default"/>
        <w:ind w:left="756" w:hanging="189"/>
        <w:rPr>
          <w:spacing w:val="-4"/>
          <w:sz w:val="16"/>
          <w:szCs w:val="16"/>
          <w:lang w:val="fr-FR"/>
        </w:rPr>
      </w:pPr>
      <w:r w:rsidRPr="000D332C">
        <w:rPr>
          <w:spacing w:val="-4"/>
          <w:sz w:val="16"/>
          <w:szCs w:val="16"/>
          <w:lang w:val="fr-FR"/>
        </w:rPr>
        <w:t xml:space="preserve">a) </w:t>
      </w:r>
      <w:r w:rsidRPr="000D332C">
        <w:rPr>
          <w:sz w:val="16"/>
          <w:szCs w:val="16"/>
          <w:lang w:val="fr-FR"/>
        </w:rPr>
        <w:t>règle générale (un genre /une classe)</w:t>
      </w:r>
      <w:r>
        <w:rPr>
          <w:sz w:val="16"/>
          <w:szCs w:val="16"/>
          <w:lang w:val="fr-FR"/>
        </w:rPr>
        <w:t> </w:t>
      </w:r>
      <w:r w:rsidRPr="000D332C">
        <w:rPr>
          <w:sz w:val="16"/>
          <w:szCs w:val="16"/>
          <w:lang w:val="fr-FR"/>
        </w:rPr>
        <w:t>: en ce qui concerne les genres et espèces qui ne figurent pas sur la liste des classes reproduite dans l’annexe I, un genre est considéré comme une classe</w:t>
      </w:r>
      <w:r w:rsidRPr="000D332C">
        <w:rPr>
          <w:spacing w:val="-4"/>
          <w:sz w:val="16"/>
          <w:szCs w:val="16"/>
          <w:lang w:val="fr-FR"/>
        </w:rPr>
        <w:t xml:space="preserve">; </w:t>
      </w:r>
    </w:p>
    <w:p w14:paraId="7A2A3759" w14:textId="77777777" w:rsidR="0026375A" w:rsidRPr="000D332C" w:rsidRDefault="0026375A" w:rsidP="00727740">
      <w:pPr>
        <w:pStyle w:val="Default"/>
        <w:ind w:left="756" w:hanging="189"/>
        <w:rPr>
          <w:spacing w:val="-4"/>
          <w:sz w:val="16"/>
          <w:szCs w:val="16"/>
          <w:lang w:val="fr-FR"/>
        </w:rPr>
      </w:pPr>
      <w:r w:rsidRPr="000D332C">
        <w:rPr>
          <w:spacing w:val="-4"/>
          <w:sz w:val="16"/>
          <w:szCs w:val="16"/>
          <w:lang w:val="fr-FR"/>
        </w:rPr>
        <w:t xml:space="preserve">b) </w:t>
      </w:r>
      <w:r w:rsidRPr="000D332C">
        <w:rPr>
          <w:sz w:val="16"/>
          <w:szCs w:val="16"/>
          <w:lang w:val="fr-FR"/>
        </w:rPr>
        <w:t>exceptions à la règle générale (liste des classes)</w:t>
      </w:r>
      <w:r>
        <w:rPr>
          <w:sz w:val="16"/>
          <w:szCs w:val="16"/>
          <w:lang w:val="fr-FR"/>
        </w:rPr>
        <w:t> </w:t>
      </w:r>
      <w:r w:rsidRPr="000D332C">
        <w:rPr>
          <w:sz w:val="16"/>
          <w:szCs w:val="16"/>
          <w:lang w:val="fr-FR"/>
        </w:rPr>
        <w:t xml:space="preserve">: </w:t>
      </w:r>
      <w:r w:rsidRPr="000D332C">
        <w:rPr>
          <w:spacing w:val="-4"/>
          <w:sz w:val="16"/>
          <w:szCs w:val="16"/>
          <w:lang w:val="fr-FR"/>
        </w:rPr>
        <w:t xml:space="preserve"> </w:t>
      </w:r>
    </w:p>
    <w:p w14:paraId="409A3F7A" w14:textId="2110F097" w:rsidR="0026375A" w:rsidRPr="000D332C" w:rsidRDefault="0026375A" w:rsidP="00727740">
      <w:pPr>
        <w:pStyle w:val="Default"/>
        <w:ind w:left="945" w:hanging="189"/>
        <w:rPr>
          <w:spacing w:val="-4"/>
          <w:sz w:val="16"/>
          <w:szCs w:val="16"/>
          <w:lang w:val="fr-FR"/>
        </w:rPr>
      </w:pPr>
      <w:r w:rsidRPr="000D332C">
        <w:rPr>
          <w:spacing w:val="-4"/>
          <w:sz w:val="16"/>
          <w:szCs w:val="16"/>
          <w:lang w:val="fr-FR"/>
        </w:rPr>
        <w:t xml:space="preserve">i) </w:t>
      </w:r>
      <w:r w:rsidRPr="00727740">
        <w:rPr>
          <w:spacing w:val="-4"/>
          <w:sz w:val="16"/>
          <w:szCs w:val="16"/>
          <w:lang w:val="fr-FR"/>
        </w:rPr>
        <w:t>classes au sein d’un genre : liste des classes dans l’annexe I : première partie</w:t>
      </w:r>
      <w:r w:rsidRPr="000D332C">
        <w:rPr>
          <w:spacing w:val="-4"/>
          <w:sz w:val="16"/>
          <w:szCs w:val="16"/>
          <w:lang w:val="fr-FR"/>
        </w:rPr>
        <w:t xml:space="preserve">; </w:t>
      </w:r>
    </w:p>
    <w:p w14:paraId="788205C1" w14:textId="77777777" w:rsidR="0026375A" w:rsidRPr="000D332C" w:rsidRDefault="0026375A" w:rsidP="00727740">
      <w:pPr>
        <w:pStyle w:val="Default"/>
        <w:ind w:left="945" w:hanging="189"/>
        <w:rPr>
          <w:sz w:val="20"/>
          <w:szCs w:val="20"/>
          <w:lang w:val="fr-FR"/>
        </w:rPr>
      </w:pPr>
      <w:r w:rsidRPr="00727740">
        <w:rPr>
          <w:spacing w:val="-4"/>
          <w:sz w:val="16"/>
          <w:szCs w:val="16"/>
          <w:lang w:val="fr-FR"/>
        </w:rPr>
        <w:t>ii) clas</w:t>
      </w:r>
      <w:r w:rsidRPr="000D332C">
        <w:rPr>
          <w:sz w:val="16"/>
          <w:szCs w:val="16"/>
          <w:lang w:val="fr-FR"/>
        </w:rPr>
        <w:t>ses englobant plusieurs genres</w:t>
      </w:r>
      <w:r>
        <w:rPr>
          <w:sz w:val="16"/>
          <w:szCs w:val="16"/>
          <w:lang w:val="fr-FR"/>
        </w:rPr>
        <w:t> </w:t>
      </w:r>
      <w:r w:rsidRPr="000D332C">
        <w:rPr>
          <w:sz w:val="16"/>
          <w:szCs w:val="16"/>
          <w:lang w:val="fr-FR"/>
        </w:rPr>
        <w:t>: liste des classes dans l’annexe I</w:t>
      </w:r>
      <w:r>
        <w:rPr>
          <w:sz w:val="16"/>
          <w:szCs w:val="16"/>
          <w:lang w:val="fr-FR"/>
        </w:rPr>
        <w:t> </w:t>
      </w:r>
      <w:r w:rsidRPr="000D332C">
        <w:rPr>
          <w:sz w:val="16"/>
          <w:szCs w:val="16"/>
          <w:lang w:val="fr-FR"/>
        </w:rPr>
        <w:t>: deuxième partie.”</w:t>
      </w:r>
    </w:p>
  </w:footnote>
  <w:footnote w:id="7">
    <w:p w14:paraId="2F23C688" w14:textId="496D1E19" w:rsidR="0026375A" w:rsidRPr="000D332C" w:rsidRDefault="0026375A" w:rsidP="00726956">
      <w:pPr>
        <w:pStyle w:val="FootnoteText"/>
      </w:pPr>
      <w:r w:rsidRPr="000D332C">
        <w:rPr>
          <w:rStyle w:val="FootnoteReference"/>
        </w:rPr>
        <w:footnoteRef/>
      </w:r>
      <w:r w:rsidRPr="000D332C">
        <w:tab/>
        <w:t xml:space="preserve">TWV, cinquante-septième session, tenue à Antalya, </w:t>
      </w:r>
      <w:r w:rsidR="00337040">
        <w:t>Türkiye</w:t>
      </w:r>
      <w:r w:rsidRPr="000D332C">
        <w:t>, du 1</w:t>
      </w:r>
      <w:r w:rsidRPr="000D332C">
        <w:rPr>
          <w:vertAlign w:val="superscript"/>
        </w:rPr>
        <w:t>er</w:t>
      </w:r>
      <w:r w:rsidRPr="000D332C">
        <w:t xml:space="preserve"> au 5</w:t>
      </w:r>
      <w:r>
        <w:t> </w:t>
      </w:r>
      <w:r w:rsidRPr="000D332C">
        <w:t>mai 2023.</w:t>
      </w:r>
    </w:p>
  </w:footnote>
  <w:footnote w:id="8">
    <w:p w14:paraId="0A842E58" w14:textId="791397B4" w:rsidR="0026375A" w:rsidRPr="000D332C" w:rsidRDefault="0026375A" w:rsidP="00726956">
      <w:pPr>
        <w:pStyle w:val="FootnoteText"/>
      </w:pPr>
      <w:r w:rsidRPr="000D332C">
        <w:rPr>
          <w:rStyle w:val="FootnoteReference"/>
        </w:rPr>
        <w:footnoteRef/>
      </w:r>
      <w:r w:rsidRPr="000D332C">
        <w:rPr>
          <w:rFonts w:eastAsia="MS Mincho"/>
        </w:rPr>
        <w:tab/>
        <w:t>Voir le document</w:t>
      </w:r>
      <w:r>
        <w:rPr>
          <w:rFonts w:eastAsia="MS Mincho"/>
        </w:rPr>
        <w:t> </w:t>
      </w:r>
      <w:r w:rsidRPr="000D332C">
        <w:rPr>
          <w:rFonts w:eastAsia="MS Mincho"/>
        </w:rPr>
        <w:t>TWV/57/26 “</w:t>
      </w:r>
      <w:r w:rsidR="00337040">
        <w:rPr>
          <w:rFonts w:eastAsia="MS Mincho"/>
        </w:rPr>
        <w:t>Report</w:t>
      </w:r>
      <w:r w:rsidRPr="000D332C">
        <w:rPr>
          <w:rFonts w:eastAsia="MS Mincho"/>
        </w:rPr>
        <w:t>”, paragraphes</w:t>
      </w:r>
      <w:r>
        <w:rPr>
          <w:rFonts w:eastAsia="MS Mincho"/>
        </w:rPr>
        <w:t> </w:t>
      </w:r>
      <w:r w:rsidRPr="000D332C">
        <w:rPr>
          <w:rFonts w:eastAsia="MS Mincho"/>
        </w:rPr>
        <w:t>25 à 28.</w:t>
      </w:r>
    </w:p>
  </w:footnote>
  <w:footnote w:id="9">
    <w:p w14:paraId="0BF29EC5" w14:textId="77777777" w:rsidR="0026375A" w:rsidRPr="000D332C" w:rsidRDefault="0026375A" w:rsidP="00726956">
      <w:pPr>
        <w:pStyle w:val="FootnoteText"/>
      </w:pPr>
      <w:r w:rsidRPr="000D332C">
        <w:rPr>
          <w:rStyle w:val="FootnoteReference"/>
        </w:rPr>
        <w:footnoteRef/>
      </w:r>
      <w:r w:rsidRPr="000D332C">
        <w:tab/>
        <w:t>Source</w:t>
      </w:r>
      <w:r>
        <w:t> </w:t>
      </w:r>
      <w:r w:rsidRPr="000D332C">
        <w:t xml:space="preserve">: </w:t>
      </w:r>
      <w:hyperlink r:id="rId1" w:history="1">
        <w:r w:rsidRPr="000D332C">
          <w:rPr>
            <w:rStyle w:val="Hyperlink"/>
          </w:rPr>
          <w:t>https://worldseed.org/</w:t>
        </w:r>
      </w:hyperlink>
    </w:p>
  </w:footnote>
  <w:footnote w:id="10">
    <w:p w14:paraId="75C192E7" w14:textId="77777777" w:rsidR="0026375A" w:rsidRPr="000D332C" w:rsidRDefault="0026375A" w:rsidP="00726956">
      <w:pPr>
        <w:pStyle w:val="FootnoteText"/>
      </w:pPr>
      <w:r w:rsidRPr="000D332C">
        <w:rPr>
          <w:rStyle w:val="FootnoteReference"/>
        </w:rPr>
        <w:footnoteRef/>
      </w:r>
      <w:r w:rsidRPr="000D332C">
        <w:tab/>
        <w:t>Voir le document</w:t>
      </w:r>
      <w:r>
        <w:t> </w:t>
      </w:r>
      <w:r w:rsidRPr="000D332C">
        <w:t>TC/59/28 “</w:t>
      </w:r>
      <w:r w:rsidRPr="004E7824">
        <w:t>Compte rendu</w:t>
      </w:r>
      <w:r w:rsidRPr="000D332C">
        <w:t>”, paragraphes</w:t>
      </w:r>
      <w:r>
        <w:t> </w:t>
      </w:r>
      <w:r w:rsidRPr="000D332C">
        <w:t>41 et 42.</w:t>
      </w:r>
    </w:p>
  </w:footnote>
  <w:footnote w:id="11">
    <w:p w14:paraId="1E2D8F9F" w14:textId="77777777" w:rsidR="0026375A" w:rsidRPr="000D332C" w:rsidRDefault="0026375A" w:rsidP="00726956">
      <w:pPr>
        <w:pStyle w:val="FootnoteText"/>
      </w:pPr>
      <w:r w:rsidRPr="000D332C">
        <w:rPr>
          <w:rStyle w:val="FootnoteReference"/>
        </w:rPr>
        <w:footnoteRef/>
      </w:r>
      <w:r w:rsidRPr="000D332C">
        <w:tab/>
        <w:t>Source</w:t>
      </w:r>
      <w:r>
        <w:t> </w:t>
      </w:r>
      <w:r w:rsidRPr="000D332C">
        <w:t xml:space="preserve">: </w:t>
      </w:r>
      <w:hyperlink r:id="rId2" w:history="1">
        <w:r w:rsidRPr="000D332C">
          <w:rPr>
            <w:rStyle w:val="Hyperlink"/>
          </w:rPr>
          <w:t>https://worldseed.org/</w:t>
        </w:r>
      </w:hyperlink>
    </w:p>
  </w:footnote>
  <w:footnote w:id="12">
    <w:p w14:paraId="54EB8939" w14:textId="77777777" w:rsidR="0026375A" w:rsidRPr="000D332C" w:rsidRDefault="0026375A" w:rsidP="00726956">
      <w:pPr>
        <w:pStyle w:val="FootnoteText"/>
      </w:pPr>
      <w:r w:rsidRPr="000D332C">
        <w:rPr>
          <w:rStyle w:val="FootnoteReference"/>
        </w:rPr>
        <w:footnoteRef/>
      </w:r>
      <w:r w:rsidRPr="000D332C">
        <w:tab/>
        <w:t>TWF, cinquante-quatrième session, tenue à Nîmes, France, du 3 au 7</w:t>
      </w:r>
      <w:r>
        <w:t> </w:t>
      </w:r>
      <w:r w:rsidRPr="000D332C">
        <w:t>juillet 2023.</w:t>
      </w:r>
    </w:p>
  </w:footnote>
  <w:footnote w:id="13">
    <w:p w14:paraId="6AFC2DF7" w14:textId="77777777" w:rsidR="0026375A" w:rsidRPr="000D332C" w:rsidRDefault="0026375A" w:rsidP="00726956">
      <w:pPr>
        <w:pStyle w:val="FootnoteText"/>
      </w:pPr>
      <w:r w:rsidRPr="000D332C">
        <w:rPr>
          <w:rStyle w:val="FootnoteReference"/>
        </w:rPr>
        <w:footnoteRef/>
      </w:r>
      <w:r w:rsidRPr="000D332C">
        <w:tab/>
        <w:t>Voir le document</w:t>
      </w:r>
      <w:r>
        <w:t> </w:t>
      </w:r>
      <w:r w:rsidRPr="000D332C">
        <w:t>TC/59/28 “</w:t>
      </w:r>
      <w:r w:rsidRPr="004E7824">
        <w:t>Compte rendu</w:t>
      </w:r>
      <w:r w:rsidRPr="000D332C">
        <w:t>”, paragraphes</w:t>
      </w:r>
      <w:r>
        <w:t> </w:t>
      </w:r>
      <w:r w:rsidRPr="000D332C">
        <w:t>33 et 34.</w:t>
      </w:r>
    </w:p>
  </w:footnote>
  <w:footnote w:id="14">
    <w:p w14:paraId="677C49E6" w14:textId="2B5B5490" w:rsidR="0026375A" w:rsidRPr="000D332C" w:rsidRDefault="0026375A" w:rsidP="00726956">
      <w:pPr>
        <w:pStyle w:val="FootnoteText"/>
      </w:pPr>
      <w:r w:rsidRPr="000D332C">
        <w:rPr>
          <w:rStyle w:val="FootnoteReference"/>
        </w:rPr>
        <w:footnoteRef/>
      </w:r>
      <w:r w:rsidRPr="000D332C">
        <w:tab/>
      </w:r>
      <w:r w:rsidRPr="000D332C">
        <w:rPr>
          <w:rFonts w:eastAsia="MS Mincho"/>
        </w:rPr>
        <w:t xml:space="preserve">TWO, </w:t>
      </w:r>
      <w:r w:rsidRPr="000D332C">
        <w:t xml:space="preserve">cinquante-cinquième session, tenue par </w:t>
      </w:r>
      <w:r w:rsidR="00821B9B">
        <w:t>voie électronique</w:t>
      </w:r>
      <w:r w:rsidRPr="000D332C">
        <w:t xml:space="preserve"> du 12 au 16</w:t>
      </w:r>
      <w:r>
        <w:t> </w:t>
      </w:r>
      <w:r w:rsidRPr="000D332C">
        <w:t>juin 2023.</w:t>
      </w:r>
    </w:p>
  </w:footnote>
  <w:footnote w:id="15">
    <w:p w14:paraId="262BEF6C" w14:textId="15CE5365" w:rsidR="0026375A" w:rsidRPr="000D332C" w:rsidRDefault="0026375A" w:rsidP="00726956">
      <w:pPr>
        <w:pStyle w:val="FootnoteText"/>
      </w:pPr>
      <w:r w:rsidRPr="000D332C">
        <w:rPr>
          <w:rStyle w:val="FootnoteReference"/>
        </w:rPr>
        <w:footnoteRef/>
      </w:r>
      <w:r w:rsidRPr="000D332C">
        <w:tab/>
      </w:r>
      <w:r w:rsidRPr="000D332C">
        <w:rPr>
          <w:rFonts w:eastAsia="MS Mincho"/>
        </w:rPr>
        <w:t xml:space="preserve">TWA, </w:t>
      </w:r>
      <w:r w:rsidRPr="000D332C">
        <w:t xml:space="preserve">cinquante-troisième session, tenue par </w:t>
      </w:r>
      <w:r w:rsidR="00340F7D">
        <w:t>voie électronique</w:t>
      </w:r>
      <w:r w:rsidRPr="000D332C">
        <w:t xml:space="preserve"> du 27 au 30</w:t>
      </w:r>
      <w:r>
        <w:t> </w:t>
      </w:r>
      <w:r w:rsidRPr="000D332C">
        <w:t xml:space="preserve">mai 2024. </w:t>
      </w:r>
      <w:r>
        <w:t xml:space="preserve"> </w:t>
      </w:r>
      <w:r w:rsidRPr="000D332C">
        <w:t>Voir le document</w:t>
      </w:r>
      <w:r>
        <w:t> </w:t>
      </w:r>
      <w:r w:rsidRPr="000D332C">
        <w:t>TWA/53/9 “</w:t>
      </w:r>
      <w:r w:rsidR="00340F7D">
        <w:rPr>
          <w:iCs/>
        </w:rPr>
        <w:t>Report</w:t>
      </w:r>
      <w:r w:rsidRPr="000D332C">
        <w:t>”, paragraphe 13.</w:t>
      </w:r>
    </w:p>
  </w:footnote>
  <w:footnote w:id="16">
    <w:p w14:paraId="7E8CC72A" w14:textId="77777777" w:rsidR="0026375A" w:rsidRPr="000D332C" w:rsidRDefault="0026375A" w:rsidP="00726956">
      <w:pPr>
        <w:pStyle w:val="FootnoteText"/>
      </w:pPr>
      <w:r w:rsidRPr="000D332C">
        <w:rPr>
          <w:rStyle w:val="FootnoteReference"/>
        </w:rPr>
        <w:footnoteRef/>
      </w:r>
      <w:r w:rsidRPr="000D332C">
        <w:tab/>
        <w:t>Voir le document</w:t>
      </w:r>
      <w:r>
        <w:t> </w:t>
      </w:r>
      <w:r w:rsidRPr="000D332C">
        <w:t>TC/59/28 “Compte rendu”, paragraphe</w:t>
      </w:r>
      <w:r>
        <w:t> </w:t>
      </w:r>
      <w:r w:rsidRPr="000D332C">
        <w:t>39.</w:t>
      </w:r>
    </w:p>
  </w:footnote>
  <w:footnote w:id="17">
    <w:p w14:paraId="79C19AA7" w14:textId="77777777" w:rsidR="0026375A" w:rsidRPr="000D332C" w:rsidRDefault="0026375A" w:rsidP="00726956">
      <w:pPr>
        <w:pStyle w:val="FootnoteText"/>
      </w:pPr>
      <w:r w:rsidRPr="000D332C">
        <w:rPr>
          <w:rStyle w:val="FootnoteReference"/>
        </w:rPr>
        <w:footnoteRef/>
      </w:r>
      <w:r w:rsidRPr="000D332C">
        <w:t xml:space="preserve"> </w:t>
      </w:r>
      <w:r w:rsidRPr="000D332C">
        <w:tab/>
        <w:t>Voir le document</w:t>
      </w:r>
      <w:r>
        <w:t> </w:t>
      </w:r>
      <w:r w:rsidRPr="000D332C">
        <w:t>TC/59/28 “Compte rendu”, paragraphe</w:t>
      </w:r>
      <w:r>
        <w:t> </w:t>
      </w:r>
      <w:r w:rsidRPr="000D332C">
        <w:t>40.</w:t>
      </w:r>
    </w:p>
  </w:footnote>
  <w:footnote w:id="18">
    <w:p w14:paraId="1356F760" w14:textId="77777777" w:rsidR="0026375A" w:rsidRPr="005C0829" w:rsidRDefault="0026375A" w:rsidP="00726956">
      <w:pPr>
        <w:pStyle w:val="FootnoteText"/>
      </w:pPr>
      <w:r w:rsidRPr="000D332C">
        <w:rPr>
          <w:rStyle w:val="FootnoteReference"/>
        </w:rPr>
        <w:footnoteRef/>
      </w:r>
      <w:r w:rsidRPr="000D332C">
        <w:tab/>
        <w:t>Voir le document</w:t>
      </w:r>
      <w:r>
        <w:t> </w:t>
      </w:r>
      <w:r w:rsidRPr="000D332C">
        <w:t>TC/59/28 “Compte rendu”, paragraphes</w:t>
      </w:r>
      <w:r>
        <w:t> </w:t>
      </w:r>
      <w:r w:rsidRPr="000D332C">
        <w:t>35 à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4EB1" w14:textId="77777777" w:rsidR="0026375A" w:rsidRPr="000D332C" w:rsidRDefault="0026375A" w:rsidP="00EB048E">
    <w:pPr>
      <w:pStyle w:val="Header"/>
      <w:rPr>
        <w:rStyle w:val="PageNumber"/>
      </w:rPr>
    </w:pPr>
    <w:r w:rsidRPr="000D332C">
      <w:rPr>
        <w:rStyle w:val="PageNumber"/>
      </w:rPr>
      <w:t>SESSIONS/2024/2</w:t>
    </w:r>
  </w:p>
  <w:p w14:paraId="370E7A0E" w14:textId="684F2907" w:rsidR="0026375A" w:rsidRPr="000D332C" w:rsidRDefault="0026375A" w:rsidP="0010188C">
    <w:pPr>
      <w:pStyle w:val="Header"/>
      <w:spacing w:after="240"/>
    </w:pPr>
    <w:r w:rsidRPr="000D332C">
      <w:t>page</w:t>
    </w:r>
    <w:r>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8F74" w14:textId="77777777" w:rsidR="0026375A" w:rsidRPr="000D332C" w:rsidRDefault="0026375A" w:rsidP="00EB048E">
    <w:pPr>
      <w:pStyle w:val="Header"/>
      <w:rPr>
        <w:rStyle w:val="PageNumber"/>
      </w:rPr>
    </w:pPr>
    <w:r w:rsidRPr="000D332C">
      <w:rPr>
        <w:rStyle w:val="PageNumber"/>
      </w:rPr>
      <w:t>SESSIONS/2024/2</w:t>
    </w:r>
  </w:p>
  <w:p w14:paraId="1E4D264A" w14:textId="73C83EF0" w:rsidR="0026375A" w:rsidRPr="000D332C" w:rsidRDefault="0026375A" w:rsidP="00EB048E">
    <w:pPr>
      <w:pStyle w:val="Header"/>
    </w:pPr>
    <w:r w:rsidRPr="000D332C">
      <w:t>Annex</w:t>
    </w:r>
    <w:r>
      <w:t>e</w:t>
    </w:r>
    <w:r w:rsidR="00E033BC">
      <w:t> </w:t>
    </w:r>
    <w:r w:rsidRPr="000D332C">
      <w:t>I, page</w:t>
    </w:r>
    <w:r w:rsidR="00E033BC">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p w14:paraId="10C2B3DC" w14:textId="77777777" w:rsidR="0026375A" w:rsidRPr="000D332C" w:rsidRDefault="0026375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D7AD" w14:textId="642377D8" w:rsidR="0026375A" w:rsidRPr="000D332C" w:rsidRDefault="0026375A" w:rsidP="00E033BC">
    <w:pPr>
      <w:pStyle w:val="Header"/>
      <w:spacing w:after="240"/>
    </w:pPr>
    <w:r w:rsidRPr="000D332C">
      <w:rPr>
        <w:rStyle w:val="PageNumber"/>
      </w:rPr>
      <w:t>SESSIONS/2024/2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5A5C" w14:textId="77777777" w:rsidR="0026375A" w:rsidRPr="000D332C" w:rsidRDefault="0026375A" w:rsidP="00EB048E">
    <w:pPr>
      <w:pStyle w:val="Header"/>
      <w:rPr>
        <w:rStyle w:val="PageNumber"/>
      </w:rPr>
    </w:pPr>
    <w:r w:rsidRPr="000D332C">
      <w:rPr>
        <w:rStyle w:val="PageNumber"/>
      </w:rPr>
      <w:t>SESSIONS/2024/2</w:t>
    </w:r>
  </w:p>
  <w:p w14:paraId="61058A42" w14:textId="75B9392C" w:rsidR="0026375A" w:rsidRPr="000D332C" w:rsidRDefault="0026375A" w:rsidP="00E033BC">
    <w:pPr>
      <w:pStyle w:val="Header"/>
      <w:spacing w:after="240"/>
    </w:pPr>
    <w:r w:rsidRPr="000D332C">
      <w:t>Annex</w:t>
    </w:r>
    <w:r>
      <w:t>e</w:t>
    </w:r>
    <w:r w:rsidR="00E033BC">
      <w:t> </w:t>
    </w:r>
    <w:r w:rsidRPr="000D332C">
      <w:t>II, page</w:t>
    </w:r>
    <w:r w:rsidR="00E033BC">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DF88" w14:textId="77777777" w:rsidR="0026375A" w:rsidRPr="000D332C" w:rsidRDefault="0026375A" w:rsidP="00EB048E">
    <w:pPr>
      <w:pStyle w:val="Header"/>
      <w:rPr>
        <w:rStyle w:val="PageNumber"/>
      </w:rPr>
    </w:pPr>
    <w:r w:rsidRPr="000D332C">
      <w:rPr>
        <w:rStyle w:val="PageNumber"/>
      </w:rPr>
      <w:t>SESSIONS/2024/2</w:t>
    </w:r>
  </w:p>
  <w:p w14:paraId="4A7B8F51" w14:textId="5408FF21" w:rsidR="0026375A" w:rsidRPr="000D332C" w:rsidRDefault="0026375A" w:rsidP="00E033BC">
    <w:pPr>
      <w:pStyle w:val="Header"/>
      <w:spacing w:after="240"/>
    </w:pPr>
    <w:r w:rsidRPr="000D332C">
      <w:t>Annexe</w:t>
    </w:r>
    <w:r w:rsidR="00E033BC">
      <w:t> III</w:t>
    </w:r>
    <w:r w:rsidRPr="000D332C">
      <w:t>, page</w:t>
    </w:r>
    <w:r w:rsidR="00E033BC">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272D" w14:textId="77777777" w:rsidR="00E033BC" w:rsidRPr="000D332C" w:rsidRDefault="00E033BC" w:rsidP="00EB048E">
    <w:pPr>
      <w:pStyle w:val="Header"/>
      <w:rPr>
        <w:rStyle w:val="PageNumber"/>
      </w:rPr>
    </w:pPr>
    <w:r w:rsidRPr="000D332C">
      <w:rPr>
        <w:rStyle w:val="PageNumber"/>
      </w:rPr>
      <w:t>SESSIONS/2024/2</w:t>
    </w:r>
  </w:p>
  <w:p w14:paraId="4F14A284" w14:textId="5F620C3C" w:rsidR="00E033BC" w:rsidRPr="000D332C" w:rsidRDefault="00E033BC" w:rsidP="00E033BC">
    <w:pPr>
      <w:pStyle w:val="Header"/>
      <w:spacing w:after="240"/>
    </w:pPr>
    <w:r w:rsidRPr="000D332C">
      <w:t>Annexe</w:t>
    </w:r>
    <w:r>
      <w:t> IV</w:t>
    </w:r>
    <w:r w:rsidRPr="000D332C">
      <w:t>, page</w:t>
    </w:r>
    <w:r>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5048" w14:textId="77777777" w:rsidR="0026375A" w:rsidRPr="000D332C" w:rsidRDefault="0026375A" w:rsidP="00EB048E">
    <w:pPr>
      <w:pStyle w:val="Header"/>
      <w:rPr>
        <w:rStyle w:val="PageNumber"/>
      </w:rPr>
    </w:pPr>
    <w:r w:rsidRPr="000D332C">
      <w:rPr>
        <w:rStyle w:val="PageNumber"/>
      </w:rPr>
      <w:t>SESSIONS/2024/2</w:t>
    </w:r>
  </w:p>
  <w:p w14:paraId="6520A575" w14:textId="57CEBB80" w:rsidR="0026375A" w:rsidRPr="000D332C" w:rsidRDefault="0026375A" w:rsidP="00EB048E">
    <w:pPr>
      <w:pStyle w:val="Header"/>
    </w:pPr>
    <w:r w:rsidRPr="000D332C">
      <w:t>Annex</w:t>
    </w:r>
    <w:r>
      <w:t>e</w:t>
    </w:r>
    <w:r w:rsidR="00E033BC">
      <w:t> </w:t>
    </w:r>
    <w:r w:rsidRPr="000D332C">
      <w:t>V, page</w:t>
    </w:r>
    <w:r w:rsidR="00E033BC">
      <w:t> </w:t>
    </w:r>
    <w:r w:rsidRPr="000D332C">
      <w:rPr>
        <w:rStyle w:val="PageNumber"/>
      </w:rPr>
      <w:fldChar w:fldCharType="begin"/>
    </w:r>
    <w:r w:rsidRPr="000D332C">
      <w:rPr>
        <w:rStyle w:val="PageNumber"/>
      </w:rPr>
      <w:instrText xml:space="preserve"> PAGE </w:instrText>
    </w:r>
    <w:r w:rsidRPr="000D332C">
      <w:rPr>
        <w:rStyle w:val="PageNumber"/>
      </w:rPr>
      <w:fldChar w:fldCharType="separate"/>
    </w:r>
    <w:r w:rsidRPr="000D332C">
      <w:rPr>
        <w:rStyle w:val="PageNumber"/>
      </w:rPr>
      <w:t>2</w:t>
    </w:r>
    <w:r w:rsidRPr="000D332C">
      <w:rPr>
        <w:rStyle w:val="PageNumber"/>
      </w:rPr>
      <w:fldChar w:fldCharType="end"/>
    </w:r>
  </w:p>
  <w:p w14:paraId="30786866" w14:textId="77777777" w:rsidR="0026375A" w:rsidRPr="000D332C" w:rsidRDefault="0026375A"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8DDF" w14:textId="78EEEB12" w:rsidR="00182B99" w:rsidRPr="00C5280D" w:rsidRDefault="00910189" w:rsidP="00EB048E">
    <w:pPr>
      <w:pStyle w:val="Header"/>
      <w:rPr>
        <w:rStyle w:val="PageNumber"/>
        <w:lang w:val="en-US"/>
      </w:rPr>
    </w:pPr>
    <w:r>
      <w:rPr>
        <w:rStyle w:val="PageNumber"/>
        <w:lang w:val="en-US"/>
      </w:rPr>
      <w:t>SESSIONS</w:t>
    </w:r>
    <w:r w:rsidR="0079322E">
      <w:rPr>
        <w:rStyle w:val="PageNumber"/>
        <w:lang w:val="en-US"/>
      </w:rPr>
      <w:t>/2024</w:t>
    </w:r>
    <w:r w:rsidR="00667404">
      <w:rPr>
        <w:rStyle w:val="PageNumber"/>
        <w:lang w:val="en-US"/>
      </w:rPr>
      <w:t>/</w:t>
    </w:r>
    <w:r w:rsidR="00EA773A">
      <w:rPr>
        <w:rStyle w:val="PageNumber"/>
        <w:lang w:val="en-US"/>
      </w:rPr>
      <w:t>2</w:t>
    </w:r>
  </w:p>
  <w:p w14:paraId="451F9587" w14:textId="70D73256" w:rsidR="00182B99" w:rsidRPr="00C5280D" w:rsidRDefault="00182B99" w:rsidP="00EA773A">
    <w:pPr>
      <w:pStyle w:val="Header"/>
      <w:spacing w:after="240"/>
      <w:rPr>
        <w:lang w:val="en-US"/>
      </w:rPr>
    </w:pPr>
    <w:r w:rsidRPr="00C5280D">
      <w:rPr>
        <w:lang w:val="en-US"/>
      </w:rPr>
      <w:t>page</w:t>
    </w:r>
    <w:r w:rsidR="00EA773A">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0189">
      <w:rPr>
        <w:rStyle w:val="PageNumber"/>
        <w:noProof/>
        <w:lang w:val="en-US"/>
      </w:rPr>
      <w:t>2</w:t>
    </w:r>
    <w:r w:rsidRPr="00C5280D">
      <w:rPr>
        <w:rStyle w:val="PageNumber"/>
        <w:lang w:val="en-US"/>
      </w:rPr>
      <w:fldChar w:fldCharType="end"/>
    </w:r>
  </w:p>
  <w:p w14:paraId="591E4211" w14:textId="77777777" w:rsidR="002E5563" w:rsidRDefault="002E5563" w:rsidP="00EA77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5A30"/>
    <w:multiLevelType w:val="hybridMultilevel"/>
    <w:tmpl w:val="D804A2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E95687"/>
    <w:multiLevelType w:val="hybridMultilevel"/>
    <w:tmpl w:val="2DF680E0"/>
    <w:lvl w:ilvl="0" w:tplc="27A2F45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265CD7"/>
    <w:multiLevelType w:val="hybridMultilevel"/>
    <w:tmpl w:val="CD02466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6958B4"/>
    <w:multiLevelType w:val="hybridMultilevel"/>
    <w:tmpl w:val="83108DF8"/>
    <w:lvl w:ilvl="0" w:tplc="0D9EE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56424A"/>
    <w:multiLevelType w:val="hybridMultilevel"/>
    <w:tmpl w:val="4CFEFF0A"/>
    <w:lvl w:ilvl="0" w:tplc="E0A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676E8F"/>
    <w:multiLevelType w:val="hybridMultilevel"/>
    <w:tmpl w:val="483A2DF2"/>
    <w:lvl w:ilvl="0" w:tplc="0409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0" w15:restartNumberingAfterBreak="0">
    <w:nsid w:val="178F032D"/>
    <w:multiLevelType w:val="hybridMultilevel"/>
    <w:tmpl w:val="9A262AD2"/>
    <w:lvl w:ilvl="0" w:tplc="3D428B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B56A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9A57027"/>
    <w:multiLevelType w:val="hybridMultilevel"/>
    <w:tmpl w:val="8A3CB792"/>
    <w:lvl w:ilvl="0" w:tplc="BD7831B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E264F1"/>
    <w:multiLevelType w:val="hybridMultilevel"/>
    <w:tmpl w:val="04047746"/>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6"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1464">
    <w:abstractNumId w:val="18"/>
  </w:num>
  <w:num w:numId="2" w16cid:durableId="1267957298">
    <w:abstractNumId w:val="23"/>
  </w:num>
  <w:num w:numId="3" w16cid:durableId="286397035">
    <w:abstractNumId w:val="35"/>
  </w:num>
  <w:num w:numId="4" w16cid:durableId="1357851270">
    <w:abstractNumId w:val="17"/>
  </w:num>
  <w:num w:numId="5" w16cid:durableId="270942129">
    <w:abstractNumId w:val="29"/>
  </w:num>
  <w:num w:numId="6" w16cid:durableId="616762732">
    <w:abstractNumId w:val="36"/>
  </w:num>
  <w:num w:numId="7" w16cid:durableId="194200342">
    <w:abstractNumId w:val="11"/>
  </w:num>
  <w:num w:numId="8" w16cid:durableId="1789009627">
    <w:abstractNumId w:val="37"/>
  </w:num>
  <w:num w:numId="9" w16cid:durableId="2093118176">
    <w:abstractNumId w:val="25"/>
  </w:num>
  <w:num w:numId="10" w16cid:durableId="1449743456">
    <w:abstractNumId w:val="34"/>
  </w:num>
  <w:num w:numId="11" w16cid:durableId="493953420">
    <w:abstractNumId w:val="16"/>
  </w:num>
  <w:num w:numId="12" w16cid:durableId="913709342">
    <w:abstractNumId w:val="32"/>
  </w:num>
  <w:num w:numId="13" w16cid:durableId="1264459060">
    <w:abstractNumId w:val="22"/>
  </w:num>
  <w:num w:numId="14" w16cid:durableId="271519213">
    <w:abstractNumId w:val="22"/>
    <w:lvlOverride w:ilvl="0">
      <w:startOverride w:val="1"/>
    </w:lvlOverride>
  </w:num>
  <w:num w:numId="15" w16cid:durableId="471558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387578">
    <w:abstractNumId w:val="26"/>
  </w:num>
  <w:num w:numId="17" w16cid:durableId="2011251231">
    <w:abstractNumId w:val="9"/>
  </w:num>
  <w:num w:numId="18" w16cid:durableId="1343317559">
    <w:abstractNumId w:val="7"/>
  </w:num>
  <w:num w:numId="19" w16cid:durableId="662778246">
    <w:abstractNumId w:val="6"/>
  </w:num>
  <w:num w:numId="20" w16cid:durableId="616327631">
    <w:abstractNumId w:val="5"/>
  </w:num>
  <w:num w:numId="21" w16cid:durableId="168982897">
    <w:abstractNumId w:val="4"/>
  </w:num>
  <w:num w:numId="22" w16cid:durableId="682590056">
    <w:abstractNumId w:val="8"/>
  </w:num>
  <w:num w:numId="23" w16cid:durableId="2100248240">
    <w:abstractNumId w:val="3"/>
  </w:num>
  <w:num w:numId="24" w16cid:durableId="957103579">
    <w:abstractNumId w:val="2"/>
  </w:num>
  <w:num w:numId="25" w16cid:durableId="1230844875">
    <w:abstractNumId w:val="1"/>
  </w:num>
  <w:num w:numId="26" w16cid:durableId="896352686">
    <w:abstractNumId w:val="0"/>
  </w:num>
  <w:num w:numId="27" w16cid:durableId="1652977457">
    <w:abstractNumId w:val="13"/>
  </w:num>
  <w:num w:numId="28" w16cid:durableId="198398917">
    <w:abstractNumId w:val="20"/>
  </w:num>
  <w:num w:numId="29" w16cid:durableId="657802909">
    <w:abstractNumId w:val="30"/>
  </w:num>
  <w:num w:numId="30" w16cid:durableId="1393044368">
    <w:abstractNumId w:val="10"/>
  </w:num>
  <w:num w:numId="31" w16cid:durableId="1688407979">
    <w:abstractNumId w:val="33"/>
  </w:num>
  <w:num w:numId="32" w16cid:durableId="1727413731">
    <w:abstractNumId w:val="19"/>
  </w:num>
  <w:num w:numId="33" w16cid:durableId="491533162">
    <w:abstractNumId w:val="21"/>
  </w:num>
  <w:num w:numId="34" w16cid:durableId="156313882">
    <w:abstractNumId w:val="14"/>
  </w:num>
  <w:num w:numId="35" w16cid:durableId="816648212">
    <w:abstractNumId w:val="12"/>
  </w:num>
  <w:num w:numId="36" w16cid:durableId="1227910163">
    <w:abstractNumId w:val="28"/>
  </w:num>
  <w:num w:numId="37" w16cid:durableId="11896800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87"/>
    <w:rsid w:val="00010CF3"/>
    <w:rsid w:val="00011E27"/>
    <w:rsid w:val="000148BC"/>
    <w:rsid w:val="00024AB8"/>
    <w:rsid w:val="00027994"/>
    <w:rsid w:val="00030854"/>
    <w:rsid w:val="000319DB"/>
    <w:rsid w:val="00036028"/>
    <w:rsid w:val="00040EF3"/>
    <w:rsid w:val="00044642"/>
    <w:rsid w:val="000446B9"/>
    <w:rsid w:val="00044D52"/>
    <w:rsid w:val="00045980"/>
    <w:rsid w:val="00047E21"/>
    <w:rsid w:val="00050E16"/>
    <w:rsid w:val="00085505"/>
    <w:rsid w:val="000C4E25"/>
    <w:rsid w:val="000C7021"/>
    <w:rsid w:val="000D6BBC"/>
    <w:rsid w:val="000D7780"/>
    <w:rsid w:val="000E636A"/>
    <w:rsid w:val="000F0EAB"/>
    <w:rsid w:val="000F2A13"/>
    <w:rsid w:val="000F2F11"/>
    <w:rsid w:val="000F5858"/>
    <w:rsid w:val="000F6290"/>
    <w:rsid w:val="0010188C"/>
    <w:rsid w:val="00105929"/>
    <w:rsid w:val="00110C36"/>
    <w:rsid w:val="001131D5"/>
    <w:rsid w:val="00141DB8"/>
    <w:rsid w:val="00152BA0"/>
    <w:rsid w:val="00172084"/>
    <w:rsid w:val="0017474A"/>
    <w:rsid w:val="001758C6"/>
    <w:rsid w:val="00182B99"/>
    <w:rsid w:val="00195DA0"/>
    <w:rsid w:val="001A7CB5"/>
    <w:rsid w:val="001C1F2F"/>
    <w:rsid w:val="001C2590"/>
    <w:rsid w:val="001C2657"/>
    <w:rsid w:val="001E2D88"/>
    <w:rsid w:val="001F3D68"/>
    <w:rsid w:val="0021332C"/>
    <w:rsid w:val="00213982"/>
    <w:rsid w:val="00215915"/>
    <w:rsid w:val="00223BD3"/>
    <w:rsid w:val="00226009"/>
    <w:rsid w:val="00234882"/>
    <w:rsid w:val="0024416D"/>
    <w:rsid w:val="00250540"/>
    <w:rsid w:val="0026375A"/>
    <w:rsid w:val="00264C5B"/>
    <w:rsid w:val="00271911"/>
    <w:rsid w:val="002800A0"/>
    <w:rsid w:val="002801B3"/>
    <w:rsid w:val="00281060"/>
    <w:rsid w:val="002940E8"/>
    <w:rsid w:val="00294751"/>
    <w:rsid w:val="002A6E50"/>
    <w:rsid w:val="002B2A77"/>
    <w:rsid w:val="002B4298"/>
    <w:rsid w:val="002C256A"/>
    <w:rsid w:val="002D26B3"/>
    <w:rsid w:val="002D309C"/>
    <w:rsid w:val="002E5563"/>
    <w:rsid w:val="002F0610"/>
    <w:rsid w:val="00305A7F"/>
    <w:rsid w:val="003152FE"/>
    <w:rsid w:val="00327436"/>
    <w:rsid w:val="00337040"/>
    <w:rsid w:val="00337C0A"/>
    <w:rsid w:val="00340F7D"/>
    <w:rsid w:val="00344BD6"/>
    <w:rsid w:val="0035084F"/>
    <w:rsid w:val="00353974"/>
    <w:rsid w:val="0035528D"/>
    <w:rsid w:val="00361821"/>
    <w:rsid w:val="00361E9E"/>
    <w:rsid w:val="00380EF5"/>
    <w:rsid w:val="00397336"/>
    <w:rsid w:val="003C7FBE"/>
    <w:rsid w:val="003D227C"/>
    <w:rsid w:val="003D2B4D"/>
    <w:rsid w:val="00404156"/>
    <w:rsid w:val="0040557F"/>
    <w:rsid w:val="0041650F"/>
    <w:rsid w:val="00435487"/>
    <w:rsid w:val="00435B85"/>
    <w:rsid w:val="0044345F"/>
    <w:rsid w:val="00444A88"/>
    <w:rsid w:val="00462647"/>
    <w:rsid w:val="00474DA4"/>
    <w:rsid w:val="00476B4D"/>
    <w:rsid w:val="004805FA"/>
    <w:rsid w:val="004935D2"/>
    <w:rsid w:val="004A0198"/>
    <w:rsid w:val="004B1215"/>
    <w:rsid w:val="004D047D"/>
    <w:rsid w:val="004E12B0"/>
    <w:rsid w:val="004F1E9E"/>
    <w:rsid w:val="004F305A"/>
    <w:rsid w:val="004F55BE"/>
    <w:rsid w:val="004F70D4"/>
    <w:rsid w:val="00512164"/>
    <w:rsid w:val="00520297"/>
    <w:rsid w:val="005338F9"/>
    <w:rsid w:val="0054281C"/>
    <w:rsid w:val="00544581"/>
    <w:rsid w:val="00545E42"/>
    <w:rsid w:val="0054738C"/>
    <w:rsid w:val="0055268D"/>
    <w:rsid w:val="00576BE4"/>
    <w:rsid w:val="005929CF"/>
    <w:rsid w:val="005A400A"/>
    <w:rsid w:val="005B2CFD"/>
    <w:rsid w:val="005F7B92"/>
    <w:rsid w:val="00612379"/>
    <w:rsid w:val="006153B6"/>
    <w:rsid w:val="0061555F"/>
    <w:rsid w:val="00634B95"/>
    <w:rsid w:val="00636CA6"/>
    <w:rsid w:val="00641200"/>
    <w:rsid w:val="00645CA8"/>
    <w:rsid w:val="006466EC"/>
    <w:rsid w:val="006655D3"/>
    <w:rsid w:val="00667404"/>
    <w:rsid w:val="006722E7"/>
    <w:rsid w:val="00682A9A"/>
    <w:rsid w:val="00687EB4"/>
    <w:rsid w:val="00695C56"/>
    <w:rsid w:val="00696069"/>
    <w:rsid w:val="006A5CDE"/>
    <w:rsid w:val="006A644A"/>
    <w:rsid w:val="006A7EF6"/>
    <w:rsid w:val="006B17D2"/>
    <w:rsid w:val="006B5204"/>
    <w:rsid w:val="006C224E"/>
    <w:rsid w:val="006D780A"/>
    <w:rsid w:val="0071271E"/>
    <w:rsid w:val="00715261"/>
    <w:rsid w:val="007176D5"/>
    <w:rsid w:val="00726956"/>
    <w:rsid w:val="00727740"/>
    <w:rsid w:val="00732DEC"/>
    <w:rsid w:val="00735BD5"/>
    <w:rsid w:val="00751613"/>
    <w:rsid w:val="007556F6"/>
    <w:rsid w:val="00760EEF"/>
    <w:rsid w:val="00770F33"/>
    <w:rsid w:val="00777EE5"/>
    <w:rsid w:val="00784836"/>
    <w:rsid w:val="0079023E"/>
    <w:rsid w:val="0079322E"/>
    <w:rsid w:val="007A2854"/>
    <w:rsid w:val="007A3823"/>
    <w:rsid w:val="007C1D92"/>
    <w:rsid w:val="007C4CB9"/>
    <w:rsid w:val="007D0B9D"/>
    <w:rsid w:val="007D19B0"/>
    <w:rsid w:val="007F498F"/>
    <w:rsid w:val="0080679D"/>
    <w:rsid w:val="008108B0"/>
    <w:rsid w:val="00811B20"/>
    <w:rsid w:val="008211B5"/>
    <w:rsid w:val="00821B9B"/>
    <w:rsid w:val="0082296E"/>
    <w:rsid w:val="00824099"/>
    <w:rsid w:val="00846D7C"/>
    <w:rsid w:val="008569CE"/>
    <w:rsid w:val="00864C55"/>
    <w:rsid w:val="00867AC1"/>
    <w:rsid w:val="00890AAC"/>
    <w:rsid w:val="00890DF8"/>
    <w:rsid w:val="00892780"/>
    <w:rsid w:val="00897A4D"/>
    <w:rsid w:val="008A743F"/>
    <w:rsid w:val="008C0970"/>
    <w:rsid w:val="008D0BC5"/>
    <w:rsid w:val="008D2CF7"/>
    <w:rsid w:val="008D3485"/>
    <w:rsid w:val="00900C26"/>
    <w:rsid w:val="0090197F"/>
    <w:rsid w:val="00906DDC"/>
    <w:rsid w:val="00910189"/>
    <w:rsid w:val="00921574"/>
    <w:rsid w:val="00933010"/>
    <w:rsid w:val="00934E09"/>
    <w:rsid w:val="00936253"/>
    <w:rsid w:val="00940D46"/>
    <w:rsid w:val="00952DD4"/>
    <w:rsid w:val="00956F58"/>
    <w:rsid w:val="009613ED"/>
    <w:rsid w:val="00964D6A"/>
    <w:rsid w:val="00965AE7"/>
    <w:rsid w:val="00970FED"/>
    <w:rsid w:val="00985B33"/>
    <w:rsid w:val="009919F7"/>
    <w:rsid w:val="00992D82"/>
    <w:rsid w:val="00994516"/>
    <w:rsid w:val="00996ACC"/>
    <w:rsid w:val="00997029"/>
    <w:rsid w:val="009A7339"/>
    <w:rsid w:val="009B440E"/>
    <w:rsid w:val="009D16D1"/>
    <w:rsid w:val="009D40C2"/>
    <w:rsid w:val="009D4E78"/>
    <w:rsid w:val="009D690D"/>
    <w:rsid w:val="009E65B6"/>
    <w:rsid w:val="00A2300A"/>
    <w:rsid w:val="00A244BB"/>
    <w:rsid w:val="00A24C10"/>
    <w:rsid w:val="00A35B56"/>
    <w:rsid w:val="00A42AC3"/>
    <w:rsid w:val="00A430CF"/>
    <w:rsid w:val="00A54309"/>
    <w:rsid w:val="00A57078"/>
    <w:rsid w:val="00A656EE"/>
    <w:rsid w:val="00A706D3"/>
    <w:rsid w:val="00AB2B93"/>
    <w:rsid w:val="00AB530F"/>
    <w:rsid w:val="00AB7E5B"/>
    <w:rsid w:val="00AC2883"/>
    <w:rsid w:val="00AE0EF1"/>
    <w:rsid w:val="00AE2937"/>
    <w:rsid w:val="00AF36F7"/>
    <w:rsid w:val="00B07301"/>
    <w:rsid w:val="00B11F3E"/>
    <w:rsid w:val="00B15CA3"/>
    <w:rsid w:val="00B21100"/>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0022"/>
    <w:rsid w:val="00C70FA5"/>
    <w:rsid w:val="00C72B7A"/>
    <w:rsid w:val="00C76912"/>
    <w:rsid w:val="00C973F2"/>
    <w:rsid w:val="00CA304C"/>
    <w:rsid w:val="00CA774A"/>
    <w:rsid w:val="00CC11B0"/>
    <w:rsid w:val="00CC2841"/>
    <w:rsid w:val="00CC40C2"/>
    <w:rsid w:val="00CC60AF"/>
    <w:rsid w:val="00CF1330"/>
    <w:rsid w:val="00CF7E36"/>
    <w:rsid w:val="00D3708D"/>
    <w:rsid w:val="00D40426"/>
    <w:rsid w:val="00D57C96"/>
    <w:rsid w:val="00D57D18"/>
    <w:rsid w:val="00D61608"/>
    <w:rsid w:val="00D72B0F"/>
    <w:rsid w:val="00D8490A"/>
    <w:rsid w:val="00D9015D"/>
    <w:rsid w:val="00D91203"/>
    <w:rsid w:val="00D95174"/>
    <w:rsid w:val="00DA4973"/>
    <w:rsid w:val="00DA6F36"/>
    <w:rsid w:val="00DB49FE"/>
    <w:rsid w:val="00DB596E"/>
    <w:rsid w:val="00DB7773"/>
    <w:rsid w:val="00DC00EA"/>
    <w:rsid w:val="00DC3802"/>
    <w:rsid w:val="00DD552E"/>
    <w:rsid w:val="00DD7633"/>
    <w:rsid w:val="00DE51D7"/>
    <w:rsid w:val="00DE62C2"/>
    <w:rsid w:val="00E033BC"/>
    <w:rsid w:val="00E07D87"/>
    <w:rsid w:val="00E105FA"/>
    <w:rsid w:val="00E131F0"/>
    <w:rsid w:val="00E32F7E"/>
    <w:rsid w:val="00E5267B"/>
    <w:rsid w:val="00E63C0E"/>
    <w:rsid w:val="00E72D49"/>
    <w:rsid w:val="00E7593C"/>
    <w:rsid w:val="00E7678A"/>
    <w:rsid w:val="00E935F1"/>
    <w:rsid w:val="00E94A81"/>
    <w:rsid w:val="00EA1FFB"/>
    <w:rsid w:val="00EA773A"/>
    <w:rsid w:val="00EB048E"/>
    <w:rsid w:val="00EB4E9C"/>
    <w:rsid w:val="00EC07E0"/>
    <w:rsid w:val="00ED0578"/>
    <w:rsid w:val="00ED7C06"/>
    <w:rsid w:val="00EE34DF"/>
    <w:rsid w:val="00EF2F89"/>
    <w:rsid w:val="00F03BCC"/>
    <w:rsid w:val="00F03E98"/>
    <w:rsid w:val="00F1237A"/>
    <w:rsid w:val="00F12933"/>
    <w:rsid w:val="00F22CBD"/>
    <w:rsid w:val="00F272F1"/>
    <w:rsid w:val="00F45372"/>
    <w:rsid w:val="00F560F7"/>
    <w:rsid w:val="00F6334D"/>
    <w:rsid w:val="00F9036A"/>
    <w:rsid w:val="00FA49AB"/>
    <w:rsid w:val="00FB53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FA25"/>
  <w15:docId w15:val="{1992CB03-0791-46EC-BAFB-EAA17F0C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6375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6375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637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26956"/>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435487"/>
    <w:pPr>
      <w:spacing w:before="720"/>
      <w:ind w:left="6100"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95DA0"/>
    <w:pPr>
      <w:tabs>
        <w:tab w:val="right" w:leader="dot" w:pos="9639"/>
      </w:tabs>
      <w:spacing w:before="120" w:after="120"/>
      <w:ind w:left="284" w:right="284"/>
    </w:pPr>
    <w:rPr>
      <w:rFonts w:ascii="Arial" w:hAnsi="Arial"/>
      <w:noProof/>
      <w:sz w:val="18"/>
    </w:rPr>
  </w:style>
  <w:style w:type="paragraph" w:styleId="TOC3">
    <w:name w:val="toc 3"/>
    <w:next w:val="Normal"/>
    <w:uiPriority w:val="39"/>
    <w:rsid w:val="00A35B56"/>
    <w:pPr>
      <w:tabs>
        <w:tab w:val="right" w:leader="dot" w:pos="9639"/>
      </w:tabs>
      <w:spacing w:after="60"/>
      <w:ind w:left="851" w:right="284"/>
    </w:pPr>
    <w:rPr>
      <w:rFonts w:ascii="Arial" w:hAnsi="Arial"/>
      <w:i/>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34882"/>
    <w:pPr>
      <w:tabs>
        <w:tab w:val="right" w:leader="dot" w:pos="9639"/>
      </w:tabs>
      <w:spacing w:after="120"/>
      <w:ind w:left="1134" w:right="284"/>
    </w:pPr>
    <w:rPr>
      <w:rFonts w:ascii="Arial" w:hAnsi="Arial"/>
      <w:noProof/>
      <w:sz w:val="18"/>
      <w:lang w:val="fr-FR"/>
    </w:rPr>
  </w:style>
  <w:style w:type="paragraph" w:styleId="TOC1">
    <w:name w:val="toc 1"/>
    <w:next w:val="Normal"/>
    <w:autoRedefine/>
    <w:uiPriority w:val="39"/>
    <w:rsid w:val="00234882"/>
    <w:pPr>
      <w:keepNext/>
      <w:tabs>
        <w:tab w:val="left" w:pos="284"/>
        <w:tab w:val="right" w:leader="dot" w:pos="9639"/>
      </w:tabs>
      <w:spacing w:before="120" w:after="120"/>
      <w:jc w:val="both"/>
    </w:pPr>
    <w:rPr>
      <w:rFonts w:ascii="Arial" w:hAnsi="Arial"/>
      <w:caps/>
      <w:sz w:val="18"/>
    </w:rPr>
  </w:style>
  <w:style w:type="paragraph" w:styleId="TOC5">
    <w:name w:val="toc 5"/>
    <w:next w:val="Normal"/>
    <w:autoRedefine/>
    <w:uiPriority w:val="39"/>
    <w:rsid w:val="00234882"/>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customStyle="1" w:styleId="TableGrid1">
    <w:name w:val="Table Grid1"/>
    <w:basedOn w:val="TableNormal"/>
    <w:next w:val="TableGrid"/>
    <w:rsid w:val="00E105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10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26375A"/>
    <w:rPr>
      <w:rFonts w:asciiTheme="majorHAnsi" w:eastAsiaTheme="majorEastAsia" w:hAnsiTheme="majorHAnsi" w:cstheme="majorBidi"/>
      <w:color w:val="243F60" w:themeColor="accent1" w:themeShade="7F"/>
      <w:lang w:val="fr-FR"/>
    </w:rPr>
  </w:style>
  <w:style w:type="character" w:customStyle="1" w:styleId="Heading7Char">
    <w:name w:val="Heading 7 Char"/>
    <w:basedOn w:val="DefaultParagraphFont"/>
    <w:link w:val="Heading7"/>
    <w:semiHidden/>
    <w:rsid w:val="0026375A"/>
    <w:rPr>
      <w:rFonts w:asciiTheme="majorHAnsi" w:eastAsiaTheme="majorEastAsia" w:hAnsiTheme="majorHAnsi" w:cstheme="majorBidi"/>
      <w:i/>
      <w:iCs/>
      <w:color w:val="243F60" w:themeColor="accent1" w:themeShade="7F"/>
      <w:lang w:val="fr-FR"/>
    </w:rPr>
  </w:style>
  <w:style w:type="character" w:customStyle="1" w:styleId="Heading8Char">
    <w:name w:val="Heading 8 Char"/>
    <w:basedOn w:val="DefaultParagraphFont"/>
    <w:link w:val="Heading8"/>
    <w:semiHidden/>
    <w:rsid w:val="0026375A"/>
    <w:rPr>
      <w:rFonts w:asciiTheme="majorHAnsi" w:eastAsiaTheme="majorEastAsia" w:hAnsiTheme="majorHAnsi" w:cstheme="majorBidi"/>
      <w:color w:val="272727" w:themeColor="text1" w:themeTint="D8"/>
      <w:sz w:val="21"/>
      <w:szCs w:val="21"/>
      <w:lang w:val="fr-FR"/>
    </w:rPr>
  </w:style>
  <w:style w:type="character" w:customStyle="1" w:styleId="TitleofdocChar">
    <w:name w:val="Title_of_doc Char"/>
    <w:link w:val="Titleofdoc0"/>
    <w:rsid w:val="0026375A"/>
    <w:rPr>
      <w:rFonts w:ascii="Arial" w:hAnsi="Arial"/>
      <w:b/>
      <w:caps/>
      <w:lang w:val="fr-FR"/>
    </w:rPr>
  </w:style>
  <w:style w:type="paragraph" w:customStyle="1" w:styleId="Sessiontwp">
    <w:name w:val="Session_twp"/>
    <w:basedOn w:val="Normal"/>
    <w:next w:val="Normal"/>
    <w:qFormat/>
    <w:rsid w:val="0026375A"/>
    <w:rPr>
      <w:b/>
    </w:rPr>
  </w:style>
  <w:style w:type="paragraph" w:customStyle="1" w:styleId="Sessiontwpplacedate">
    <w:name w:val="Session_twp_place_date"/>
    <w:basedOn w:val="Normal"/>
    <w:next w:val="Normal"/>
    <w:qFormat/>
    <w:rsid w:val="0026375A"/>
  </w:style>
  <w:style w:type="paragraph" w:styleId="ListParagraph">
    <w:name w:val="List Paragraph"/>
    <w:aliases w:val="auto_list_(i),List Paragraph1"/>
    <w:basedOn w:val="Normal"/>
    <w:link w:val="ListParagraphChar"/>
    <w:uiPriority w:val="34"/>
    <w:qFormat/>
    <w:rsid w:val="0026375A"/>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26375A"/>
    <w:rPr>
      <w:rFonts w:ascii="Arial" w:hAnsi="Arial"/>
      <w:lang w:val="fr-FR"/>
    </w:rPr>
  </w:style>
  <w:style w:type="character" w:customStyle="1" w:styleId="FootnoteTextChar">
    <w:name w:val="Footnote Text Char"/>
    <w:basedOn w:val="DefaultParagraphFont"/>
    <w:link w:val="FootnoteText"/>
    <w:rsid w:val="00726956"/>
    <w:rPr>
      <w:rFonts w:ascii="Arial" w:hAnsi="Arial"/>
      <w:sz w:val="16"/>
      <w:lang w:val="fr-FR"/>
    </w:rPr>
  </w:style>
  <w:style w:type="character" w:styleId="FollowedHyperlink">
    <w:name w:val="FollowedHyperlink"/>
    <w:basedOn w:val="DefaultParagraphFont"/>
    <w:semiHidden/>
    <w:unhideWhenUsed/>
    <w:rsid w:val="0026375A"/>
    <w:rPr>
      <w:color w:val="800080" w:themeColor="followedHyperlink"/>
      <w:u w:val="single"/>
    </w:rPr>
  </w:style>
  <w:style w:type="character" w:customStyle="1" w:styleId="HeaderChar">
    <w:name w:val="Header Char"/>
    <w:basedOn w:val="DefaultParagraphFont"/>
    <w:link w:val="Header"/>
    <w:uiPriority w:val="99"/>
    <w:rsid w:val="0026375A"/>
    <w:rPr>
      <w:rFonts w:ascii="Arial" w:hAnsi="Arial"/>
      <w:lang w:val="fr-FR"/>
    </w:rPr>
  </w:style>
  <w:style w:type="character" w:customStyle="1" w:styleId="NormaltChar">
    <w:name w:val="Normalt Char"/>
    <w:link w:val="Normalt"/>
    <w:locked/>
    <w:rsid w:val="0026375A"/>
    <w:rPr>
      <w:noProof/>
      <w:lang w:eastAsia="es-ES"/>
    </w:rPr>
  </w:style>
  <w:style w:type="paragraph" w:customStyle="1" w:styleId="Normalt">
    <w:name w:val="Normalt"/>
    <w:basedOn w:val="Normal"/>
    <w:link w:val="NormaltChar"/>
    <w:rsid w:val="0026375A"/>
    <w:pPr>
      <w:spacing w:before="120" w:after="120"/>
      <w:jc w:val="left"/>
    </w:pPr>
    <w:rPr>
      <w:rFonts w:ascii="Times New Roman" w:hAnsi="Times New Roman"/>
      <w:noProof/>
      <w:lang w:val="en-US" w:eastAsia="es-ES"/>
    </w:rPr>
  </w:style>
  <w:style w:type="paragraph" w:customStyle="1" w:styleId="Normaltb">
    <w:name w:val="Normaltb"/>
    <w:basedOn w:val="Normalt"/>
    <w:rsid w:val="0026375A"/>
    <w:pPr>
      <w:keepNext/>
    </w:pPr>
    <w:rPr>
      <w:b/>
    </w:rPr>
  </w:style>
  <w:style w:type="paragraph" w:customStyle="1" w:styleId="BasistekstNaktuinbouw">
    <w:name w:val="Basistekst Naktuinbouw"/>
    <w:basedOn w:val="Normal"/>
    <w:qFormat/>
    <w:rsid w:val="0026375A"/>
    <w:pPr>
      <w:spacing w:line="240" w:lineRule="atLeast"/>
      <w:jc w:val="left"/>
    </w:pPr>
    <w:rPr>
      <w:rFonts w:cs="Maiandra GD"/>
      <w:color w:val="000000" w:themeColor="text1"/>
      <w:szCs w:val="18"/>
      <w:lang w:val="nl-NL" w:eastAsia="nl-NL"/>
    </w:rPr>
  </w:style>
  <w:style w:type="paragraph" w:customStyle="1" w:styleId="Default">
    <w:name w:val="Default"/>
    <w:rsid w:val="0026375A"/>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rsid w:val="0026375A"/>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6375A"/>
  </w:style>
  <w:style w:type="character" w:styleId="Strong">
    <w:name w:val="Strong"/>
    <w:basedOn w:val="DefaultParagraphFont"/>
    <w:uiPriority w:val="22"/>
    <w:qFormat/>
    <w:rsid w:val="0026375A"/>
    <w:rPr>
      <w:b/>
      <w:bCs/>
    </w:rPr>
  </w:style>
  <w:style w:type="character" w:customStyle="1" w:styleId="EndnoteTextChar">
    <w:name w:val="Endnote Text Char"/>
    <w:basedOn w:val="DefaultParagraphFont"/>
    <w:link w:val="EndnoteText"/>
    <w:rsid w:val="0026375A"/>
    <w:rPr>
      <w:rFonts w:ascii="Arial" w:hAnsi="Arial"/>
      <w:lang w:val="fr-FR"/>
    </w:rPr>
  </w:style>
  <w:style w:type="paragraph" w:customStyle="1" w:styleId="Style1">
    <w:name w:val="Style1"/>
    <w:basedOn w:val="Normal"/>
    <w:rsid w:val="0026375A"/>
    <w:pPr>
      <w:tabs>
        <w:tab w:val="decimal" w:pos="907"/>
        <w:tab w:val="left" w:pos="1077"/>
      </w:tabs>
    </w:pPr>
    <w:rPr>
      <w:rFonts w:eastAsia="MS Mincho"/>
      <w:szCs w:val="24"/>
      <w:lang w:eastAsia="ja-JP"/>
    </w:rPr>
  </w:style>
  <w:style w:type="character" w:customStyle="1" w:styleId="Heading4Char">
    <w:name w:val="Heading 4 Char"/>
    <w:link w:val="Heading4"/>
    <w:rsid w:val="0026375A"/>
    <w:rPr>
      <w:rFonts w:ascii="Arial" w:hAnsi="Arial"/>
      <w:u w:val="single"/>
      <w:lang w:val="fr-FR"/>
    </w:rPr>
  </w:style>
  <w:style w:type="paragraph" w:styleId="Revision">
    <w:name w:val="Revision"/>
    <w:hidden/>
    <w:uiPriority w:val="99"/>
    <w:semiHidden/>
    <w:rsid w:val="0026375A"/>
    <w:rPr>
      <w:rFonts w:ascii="Arial" w:hAnsi="Arial"/>
    </w:rPr>
  </w:style>
  <w:style w:type="paragraph" w:styleId="BodyTextIndent">
    <w:name w:val="Body Text Indent"/>
    <w:basedOn w:val="Normal"/>
    <w:link w:val="BodyTextIndentChar"/>
    <w:semiHidden/>
    <w:unhideWhenUsed/>
    <w:rsid w:val="0026375A"/>
    <w:pPr>
      <w:spacing w:after="120"/>
      <w:ind w:left="283"/>
    </w:pPr>
  </w:style>
  <w:style w:type="character" w:customStyle="1" w:styleId="BodyTextIndentChar">
    <w:name w:val="Body Text Indent Char"/>
    <w:basedOn w:val="DefaultParagraphFont"/>
    <w:link w:val="BodyTextIndent"/>
    <w:semiHidden/>
    <w:rsid w:val="0026375A"/>
    <w:rPr>
      <w:rFonts w:ascii="Arial" w:hAnsi="Arial"/>
      <w:lang w:val="fr-FR"/>
    </w:rPr>
  </w:style>
  <w:style w:type="paragraph" w:styleId="Bibliography">
    <w:name w:val="Bibliography"/>
    <w:basedOn w:val="Normal"/>
    <w:next w:val="Normal"/>
    <w:uiPriority w:val="37"/>
    <w:semiHidden/>
    <w:unhideWhenUsed/>
    <w:rsid w:val="0026375A"/>
  </w:style>
  <w:style w:type="paragraph" w:styleId="BlockText">
    <w:name w:val="Block Text"/>
    <w:basedOn w:val="Normal"/>
    <w:unhideWhenUsed/>
    <w:rsid w:val="0026375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26375A"/>
    <w:pPr>
      <w:spacing w:after="120" w:line="480" w:lineRule="auto"/>
    </w:pPr>
  </w:style>
  <w:style w:type="character" w:customStyle="1" w:styleId="BodyText2Char">
    <w:name w:val="Body Text 2 Char"/>
    <w:basedOn w:val="DefaultParagraphFont"/>
    <w:link w:val="BodyText2"/>
    <w:rsid w:val="0026375A"/>
    <w:rPr>
      <w:rFonts w:ascii="Arial" w:hAnsi="Arial"/>
      <w:lang w:val="fr-FR"/>
    </w:rPr>
  </w:style>
  <w:style w:type="paragraph" w:styleId="BodyText3">
    <w:name w:val="Body Text 3"/>
    <w:basedOn w:val="Normal"/>
    <w:link w:val="BodyText3Char"/>
    <w:semiHidden/>
    <w:unhideWhenUsed/>
    <w:rsid w:val="0026375A"/>
    <w:pPr>
      <w:spacing w:after="120"/>
    </w:pPr>
    <w:rPr>
      <w:sz w:val="16"/>
      <w:szCs w:val="16"/>
    </w:rPr>
  </w:style>
  <w:style w:type="character" w:customStyle="1" w:styleId="BodyText3Char">
    <w:name w:val="Body Text 3 Char"/>
    <w:basedOn w:val="DefaultParagraphFont"/>
    <w:link w:val="BodyText3"/>
    <w:semiHidden/>
    <w:rsid w:val="0026375A"/>
    <w:rPr>
      <w:rFonts w:ascii="Arial" w:hAnsi="Arial"/>
      <w:sz w:val="16"/>
      <w:szCs w:val="16"/>
      <w:lang w:val="fr-FR"/>
    </w:rPr>
  </w:style>
  <w:style w:type="paragraph" w:styleId="BodyTextFirstIndent">
    <w:name w:val="Body Text First Indent"/>
    <w:basedOn w:val="BodyText"/>
    <w:link w:val="BodyTextFirstIndentChar"/>
    <w:rsid w:val="0026375A"/>
    <w:pPr>
      <w:ind w:firstLine="360"/>
    </w:pPr>
  </w:style>
  <w:style w:type="character" w:customStyle="1" w:styleId="BodyTextChar">
    <w:name w:val="Body Text Char"/>
    <w:basedOn w:val="DefaultParagraphFont"/>
    <w:link w:val="BodyText"/>
    <w:rsid w:val="0026375A"/>
    <w:rPr>
      <w:rFonts w:ascii="Arial" w:hAnsi="Arial"/>
      <w:lang w:val="fr-FR"/>
    </w:rPr>
  </w:style>
  <w:style w:type="character" w:customStyle="1" w:styleId="BodyTextFirstIndentChar">
    <w:name w:val="Body Text First Indent Char"/>
    <w:basedOn w:val="BodyTextChar"/>
    <w:link w:val="BodyTextFirstIndent"/>
    <w:rsid w:val="0026375A"/>
    <w:rPr>
      <w:rFonts w:ascii="Arial" w:hAnsi="Arial"/>
      <w:lang w:val="fr-FR"/>
    </w:rPr>
  </w:style>
  <w:style w:type="paragraph" w:styleId="BodyTextFirstIndent2">
    <w:name w:val="Body Text First Indent 2"/>
    <w:basedOn w:val="BodyTextIndent"/>
    <w:link w:val="BodyTextFirstIndent2Char"/>
    <w:semiHidden/>
    <w:unhideWhenUsed/>
    <w:rsid w:val="0026375A"/>
    <w:pPr>
      <w:spacing w:after="0"/>
      <w:ind w:left="360" w:firstLine="360"/>
    </w:pPr>
  </w:style>
  <w:style w:type="character" w:customStyle="1" w:styleId="BodyTextFirstIndent2Char">
    <w:name w:val="Body Text First Indent 2 Char"/>
    <w:basedOn w:val="BodyTextIndentChar"/>
    <w:link w:val="BodyTextFirstIndent2"/>
    <w:semiHidden/>
    <w:rsid w:val="0026375A"/>
    <w:rPr>
      <w:rFonts w:ascii="Arial" w:hAnsi="Arial"/>
      <w:lang w:val="fr-FR"/>
    </w:rPr>
  </w:style>
  <w:style w:type="paragraph" w:styleId="BodyTextIndent2">
    <w:name w:val="Body Text Indent 2"/>
    <w:basedOn w:val="Normal"/>
    <w:link w:val="BodyTextIndent2Char"/>
    <w:semiHidden/>
    <w:unhideWhenUsed/>
    <w:rsid w:val="0026375A"/>
    <w:pPr>
      <w:spacing w:after="120" w:line="480" w:lineRule="auto"/>
      <w:ind w:left="283"/>
    </w:pPr>
  </w:style>
  <w:style w:type="character" w:customStyle="1" w:styleId="BodyTextIndent2Char">
    <w:name w:val="Body Text Indent 2 Char"/>
    <w:basedOn w:val="DefaultParagraphFont"/>
    <w:link w:val="BodyTextIndent2"/>
    <w:semiHidden/>
    <w:rsid w:val="0026375A"/>
    <w:rPr>
      <w:rFonts w:ascii="Arial" w:hAnsi="Arial"/>
      <w:lang w:val="fr-FR"/>
    </w:rPr>
  </w:style>
  <w:style w:type="paragraph" w:styleId="BodyTextIndent3">
    <w:name w:val="Body Text Indent 3"/>
    <w:basedOn w:val="Normal"/>
    <w:link w:val="BodyTextIndent3Char"/>
    <w:semiHidden/>
    <w:unhideWhenUsed/>
    <w:rsid w:val="0026375A"/>
    <w:pPr>
      <w:spacing w:after="120"/>
      <w:ind w:left="283"/>
    </w:pPr>
    <w:rPr>
      <w:sz w:val="16"/>
      <w:szCs w:val="16"/>
    </w:rPr>
  </w:style>
  <w:style w:type="character" w:customStyle="1" w:styleId="BodyTextIndent3Char">
    <w:name w:val="Body Text Indent 3 Char"/>
    <w:basedOn w:val="DefaultParagraphFont"/>
    <w:link w:val="BodyTextIndent3"/>
    <w:semiHidden/>
    <w:rsid w:val="0026375A"/>
    <w:rPr>
      <w:rFonts w:ascii="Arial" w:hAnsi="Arial"/>
      <w:sz w:val="16"/>
      <w:szCs w:val="16"/>
      <w:lang w:val="fr-FR"/>
    </w:rPr>
  </w:style>
  <w:style w:type="paragraph" w:styleId="Caption">
    <w:name w:val="caption"/>
    <w:basedOn w:val="Normal"/>
    <w:next w:val="Normal"/>
    <w:semiHidden/>
    <w:unhideWhenUsed/>
    <w:qFormat/>
    <w:rsid w:val="0026375A"/>
    <w:pPr>
      <w:spacing w:after="200"/>
    </w:pPr>
    <w:rPr>
      <w:i/>
      <w:iCs/>
      <w:color w:val="1F497D" w:themeColor="text2"/>
      <w:sz w:val="18"/>
      <w:szCs w:val="18"/>
    </w:rPr>
  </w:style>
  <w:style w:type="paragraph" w:styleId="CommentText">
    <w:name w:val="annotation text"/>
    <w:basedOn w:val="Normal"/>
    <w:link w:val="CommentTextChar"/>
    <w:unhideWhenUsed/>
    <w:rsid w:val="0026375A"/>
  </w:style>
  <w:style w:type="character" w:customStyle="1" w:styleId="CommentTextChar">
    <w:name w:val="Comment Text Char"/>
    <w:basedOn w:val="DefaultParagraphFont"/>
    <w:link w:val="CommentText"/>
    <w:rsid w:val="0026375A"/>
    <w:rPr>
      <w:rFonts w:ascii="Arial" w:hAnsi="Arial"/>
      <w:lang w:val="fr-FR"/>
    </w:rPr>
  </w:style>
  <w:style w:type="paragraph" w:styleId="CommentSubject">
    <w:name w:val="annotation subject"/>
    <w:basedOn w:val="CommentText"/>
    <w:next w:val="CommentText"/>
    <w:link w:val="CommentSubjectChar"/>
    <w:semiHidden/>
    <w:unhideWhenUsed/>
    <w:rsid w:val="0026375A"/>
    <w:rPr>
      <w:b/>
      <w:bCs/>
    </w:rPr>
  </w:style>
  <w:style w:type="character" w:customStyle="1" w:styleId="CommentSubjectChar">
    <w:name w:val="Comment Subject Char"/>
    <w:basedOn w:val="CommentTextChar"/>
    <w:link w:val="CommentSubject"/>
    <w:semiHidden/>
    <w:rsid w:val="0026375A"/>
    <w:rPr>
      <w:rFonts w:ascii="Arial" w:hAnsi="Arial"/>
      <w:b/>
      <w:bCs/>
      <w:lang w:val="fr-FR"/>
    </w:rPr>
  </w:style>
  <w:style w:type="paragraph" w:styleId="DocumentMap">
    <w:name w:val="Document Map"/>
    <w:basedOn w:val="Normal"/>
    <w:link w:val="DocumentMapChar"/>
    <w:semiHidden/>
    <w:unhideWhenUsed/>
    <w:rsid w:val="0026375A"/>
    <w:rPr>
      <w:rFonts w:ascii="Segoe UI" w:hAnsi="Segoe UI" w:cs="Segoe UI"/>
      <w:sz w:val="16"/>
      <w:szCs w:val="16"/>
    </w:rPr>
  </w:style>
  <w:style w:type="character" w:customStyle="1" w:styleId="DocumentMapChar">
    <w:name w:val="Document Map Char"/>
    <w:basedOn w:val="DefaultParagraphFont"/>
    <w:link w:val="DocumentMap"/>
    <w:semiHidden/>
    <w:rsid w:val="0026375A"/>
    <w:rPr>
      <w:rFonts w:ascii="Segoe UI" w:hAnsi="Segoe UI" w:cs="Segoe UI"/>
      <w:sz w:val="16"/>
      <w:szCs w:val="16"/>
      <w:lang w:val="fr-FR"/>
    </w:rPr>
  </w:style>
  <w:style w:type="paragraph" w:styleId="E-mailSignature">
    <w:name w:val="E-mail Signature"/>
    <w:basedOn w:val="Normal"/>
    <w:link w:val="E-mailSignatureChar"/>
    <w:semiHidden/>
    <w:unhideWhenUsed/>
    <w:rsid w:val="0026375A"/>
  </w:style>
  <w:style w:type="character" w:customStyle="1" w:styleId="E-mailSignatureChar">
    <w:name w:val="E-mail Signature Char"/>
    <w:basedOn w:val="DefaultParagraphFont"/>
    <w:link w:val="E-mailSignature"/>
    <w:semiHidden/>
    <w:rsid w:val="0026375A"/>
    <w:rPr>
      <w:rFonts w:ascii="Arial" w:hAnsi="Arial"/>
      <w:lang w:val="fr-FR"/>
    </w:rPr>
  </w:style>
  <w:style w:type="paragraph" w:styleId="EnvelopeAddress">
    <w:name w:val="envelope address"/>
    <w:basedOn w:val="Normal"/>
    <w:semiHidden/>
    <w:unhideWhenUsed/>
    <w:rsid w:val="0026375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6375A"/>
    <w:rPr>
      <w:rFonts w:asciiTheme="majorHAnsi" w:eastAsiaTheme="majorEastAsia" w:hAnsiTheme="majorHAnsi" w:cstheme="majorBidi"/>
    </w:rPr>
  </w:style>
  <w:style w:type="paragraph" w:styleId="HTMLAddress">
    <w:name w:val="HTML Address"/>
    <w:basedOn w:val="Normal"/>
    <w:link w:val="HTMLAddressChar"/>
    <w:semiHidden/>
    <w:unhideWhenUsed/>
    <w:rsid w:val="0026375A"/>
    <w:rPr>
      <w:i/>
      <w:iCs/>
    </w:rPr>
  </w:style>
  <w:style w:type="character" w:customStyle="1" w:styleId="HTMLAddressChar">
    <w:name w:val="HTML Address Char"/>
    <w:basedOn w:val="DefaultParagraphFont"/>
    <w:link w:val="HTMLAddress"/>
    <w:semiHidden/>
    <w:rsid w:val="0026375A"/>
    <w:rPr>
      <w:rFonts w:ascii="Arial" w:hAnsi="Arial"/>
      <w:i/>
      <w:iCs/>
      <w:lang w:val="fr-FR"/>
    </w:rPr>
  </w:style>
  <w:style w:type="paragraph" w:styleId="HTMLPreformatted">
    <w:name w:val="HTML Preformatted"/>
    <w:basedOn w:val="Normal"/>
    <w:link w:val="HTMLPreformattedChar"/>
    <w:semiHidden/>
    <w:unhideWhenUsed/>
    <w:rsid w:val="0026375A"/>
    <w:rPr>
      <w:rFonts w:ascii="Consolas" w:hAnsi="Consolas"/>
    </w:rPr>
  </w:style>
  <w:style w:type="character" w:customStyle="1" w:styleId="HTMLPreformattedChar">
    <w:name w:val="HTML Preformatted Char"/>
    <w:basedOn w:val="DefaultParagraphFont"/>
    <w:link w:val="HTMLPreformatted"/>
    <w:semiHidden/>
    <w:rsid w:val="0026375A"/>
    <w:rPr>
      <w:rFonts w:ascii="Consolas" w:hAnsi="Consolas"/>
      <w:lang w:val="fr-FR"/>
    </w:rPr>
  </w:style>
  <w:style w:type="paragraph" w:styleId="Index4">
    <w:name w:val="index 4"/>
    <w:basedOn w:val="Normal"/>
    <w:next w:val="Normal"/>
    <w:autoRedefine/>
    <w:semiHidden/>
    <w:unhideWhenUsed/>
    <w:rsid w:val="0026375A"/>
    <w:pPr>
      <w:ind w:left="800" w:hanging="200"/>
    </w:pPr>
  </w:style>
  <w:style w:type="paragraph" w:styleId="Index5">
    <w:name w:val="index 5"/>
    <w:basedOn w:val="Normal"/>
    <w:next w:val="Normal"/>
    <w:autoRedefine/>
    <w:semiHidden/>
    <w:unhideWhenUsed/>
    <w:rsid w:val="0026375A"/>
    <w:pPr>
      <w:ind w:left="1000" w:hanging="200"/>
    </w:pPr>
  </w:style>
  <w:style w:type="paragraph" w:styleId="Index6">
    <w:name w:val="index 6"/>
    <w:basedOn w:val="Normal"/>
    <w:next w:val="Normal"/>
    <w:autoRedefine/>
    <w:semiHidden/>
    <w:unhideWhenUsed/>
    <w:rsid w:val="0026375A"/>
    <w:pPr>
      <w:ind w:left="1200" w:hanging="200"/>
    </w:pPr>
  </w:style>
  <w:style w:type="paragraph" w:styleId="Index7">
    <w:name w:val="index 7"/>
    <w:basedOn w:val="Normal"/>
    <w:next w:val="Normal"/>
    <w:autoRedefine/>
    <w:semiHidden/>
    <w:unhideWhenUsed/>
    <w:rsid w:val="0026375A"/>
    <w:pPr>
      <w:ind w:left="1400" w:hanging="200"/>
    </w:pPr>
  </w:style>
  <w:style w:type="paragraph" w:styleId="Index8">
    <w:name w:val="index 8"/>
    <w:basedOn w:val="Normal"/>
    <w:next w:val="Normal"/>
    <w:autoRedefine/>
    <w:semiHidden/>
    <w:unhideWhenUsed/>
    <w:rsid w:val="0026375A"/>
    <w:pPr>
      <w:ind w:left="1600" w:hanging="200"/>
    </w:pPr>
  </w:style>
  <w:style w:type="paragraph" w:styleId="Index9">
    <w:name w:val="index 9"/>
    <w:basedOn w:val="Normal"/>
    <w:next w:val="Normal"/>
    <w:autoRedefine/>
    <w:semiHidden/>
    <w:unhideWhenUsed/>
    <w:rsid w:val="0026375A"/>
    <w:pPr>
      <w:ind w:left="1800" w:hanging="200"/>
    </w:pPr>
  </w:style>
  <w:style w:type="paragraph" w:styleId="IndexHeading">
    <w:name w:val="index heading"/>
    <w:basedOn w:val="Normal"/>
    <w:next w:val="Index1"/>
    <w:semiHidden/>
    <w:unhideWhenUsed/>
    <w:rsid w:val="002637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6375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6375A"/>
    <w:rPr>
      <w:rFonts w:ascii="Arial" w:hAnsi="Arial"/>
      <w:i/>
      <w:iCs/>
      <w:color w:val="4F81BD" w:themeColor="accent1"/>
      <w:lang w:val="fr-FR"/>
    </w:rPr>
  </w:style>
  <w:style w:type="paragraph" w:styleId="List">
    <w:name w:val="List"/>
    <w:basedOn w:val="Normal"/>
    <w:semiHidden/>
    <w:unhideWhenUsed/>
    <w:rsid w:val="0026375A"/>
    <w:pPr>
      <w:ind w:left="283" w:hanging="283"/>
      <w:contextualSpacing/>
    </w:pPr>
  </w:style>
  <w:style w:type="paragraph" w:styleId="List2">
    <w:name w:val="List 2"/>
    <w:basedOn w:val="Normal"/>
    <w:semiHidden/>
    <w:unhideWhenUsed/>
    <w:rsid w:val="0026375A"/>
    <w:pPr>
      <w:ind w:left="566" w:hanging="283"/>
      <w:contextualSpacing/>
    </w:pPr>
  </w:style>
  <w:style w:type="paragraph" w:styleId="List3">
    <w:name w:val="List 3"/>
    <w:basedOn w:val="Normal"/>
    <w:semiHidden/>
    <w:unhideWhenUsed/>
    <w:rsid w:val="0026375A"/>
    <w:pPr>
      <w:ind w:left="849" w:hanging="283"/>
      <w:contextualSpacing/>
    </w:pPr>
  </w:style>
  <w:style w:type="paragraph" w:styleId="List4">
    <w:name w:val="List 4"/>
    <w:basedOn w:val="Normal"/>
    <w:rsid w:val="0026375A"/>
    <w:pPr>
      <w:ind w:left="1132" w:hanging="283"/>
      <w:contextualSpacing/>
    </w:pPr>
  </w:style>
  <w:style w:type="paragraph" w:styleId="List5">
    <w:name w:val="List 5"/>
    <w:basedOn w:val="Normal"/>
    <w:rsid w:val="0026375A"/>
    <w:pPr>
      <w:ind w:left="1415" w:hanging="283"/>
      <w:contextualSpacing/>
    </w:pPr>
  </w:style>
  <w:style w:type="paragraph" w:styleId="ListBullet">
    <w:name w:val="List Bullet"/>
    <w:basedOn w:val="Normal"/>
    <w:semiHidden/>
    <w:unhideWhenUsed/>
    <w:rsid w:val="0026375A"/>
    <w:pPr>
      <w:numPr>
        <w:numId w:val="17"/>
      </w:numPr>
      <w:contextualSpacing/>
    </w:pPr>
  </w:style>
  <w:style w:type="paragraph" w:styleId="ListBullet2">
    <w:name w:val="List Bullet 2"/>
    <w:basedOn w:val="Normal"/>
    <w:semiHidden/>
    <w:unhideWhenUsed/>
    <w:rsid w:val="0026375A"/>
    <w:pPr>
      <w:numPr>
        <w:numId w:val="18"/>
      </w:numPr>
      <w:contextualSpacing/>
    </w:pPr>
  </w:style>
  <w:style w:type="paragraph" w:styleId="ListBullet3">
    <w:name w:val="List Bullet 3"/>
    <w:basedOn w:val="Normal"/>
    <w:semiHidden/>
    <w:unhideWhenUsed/>
    <w:rsid w:val="0026375A"/>
    <w:pPr>
      <w:numPr>
        <w:numId w:val="19"/>
      </w:numPr>
      <w:contextualSpacing/>
    </w:pPr>
  </w:style>
  <w:style w:type="paragraph" w:styleId="ListBullet4">
    <w:name w:val="List Bullet 4"/>
    <w:basedOn w:val="Normal"/>
    <w:semiHidden/>
    <w:unhideWhenUsed/>
    <w:rsid w:val="0026375A"/>
    <w:pPr>
      <w:numPr>
        <w:numId w:val="20"/>
      </w:numPr>
      <w:contextualSpacing/>
    </w:pPr>
  </w:style>
  <w:style w:type="paragraph" w:styleId="ListBullet5">
    <w:name w:val="List Bullet 5"/>
    <w:basedOn w:val="Normal"/>
    <w:semiHidden/>
    <w:unhideWhenUsed/>
    <w:rsid w:val="0026375A"/>
    <w:pPr>
      <w:numPr>
        <w:numId w:val="21"/>
      </w:numPr>
      <w:contextualSpacing/>
    </w:pPr>
  </w:style>
  <w:style w:type="paragraph" w:styleId="ListContinue">
    <w:name w:val="List Continue"/>
    <w:basedOn w:val="Normal"/>
    <w:semiHidden/>
    <w:unhideWhenUsed/>
    <w:rsid w:val="0026375A"/>
    <w:pPr>
      <w:spacing w:after="120"/>
      <w:ind w:left="283"/>
      <w:contextualSpacing/>
    </w:pPr>
  </w:style>
  <w:style w:type="paragraph" w:styleId="ListContinue2">
    <w:name w:val="List Continue 2"/>
    <w:basedOn w:val="Normal"/>
    <w:semiHidden/>
    <w:unhideWhenUsed/>
    <w:rsid w:val="0026375A"/>
    <w:pPr>
      <w:spacing w:after="120"/>
      <w:ind w:left="566"/>
      <w:contextualSpacing/>
    </w:pPr>
  </w:style>
  <w:style w:type="paragraph" w:styleId="ListContinue3">
    <w:name w:val="List Continue 3"/>
    <w:basedOn w:val="Normal"/>
    <w:semiHidden/>
    <w:unhideWhenUsed/>
    <w:rsid w:val="0026375A"/>
    <w:pPr>
      <w:spacing w:after="120"/>
      <w:ind w:left="849"/>
      <w:contextualSpacing/>
    </w:pPr>
  </w:style>
  <w:style w:type="paragraph" w:styleId="ListContinue4">
    <w:name w:val="List Continue 4"/>
    <w:basedOn w:val="Normal"/>
    <w:semiHidden/>
    <w:unhideWhenUsed/>
    <w:rsid w:val="0026375A"/>
    <w:pPr>
      <w:spacing w:after="120"/>
      <w:ind w:left="1132"/>
      <w:contextualSpacing/>
    </w:pPr>
  </w:style>
  <w:style w:type="paragraph" w:styleId="ListContinue5">
    <w:name w:val="List Continue 5"/>
    <w:basedOn w:val="Normal"/>
    <w:semiHidden/>
    <w:unhideWhenUsed/>
    <w:rsid w:val="0026375A"/>
    <w:pPr>
      <w:spacing w:after="120"/>
      <w:ind w:left="1415"/>
      <w:contextualSpacing/>
    </w:pPr>
  </w:style>
  <w:style w:type="paragraph" w:styleId="ListNumber">
    <w:name w:val="List Number"/>
    <w:basedOn w:val="Normal"/>
    <w:rsid w:val="0026375A"/>
    <w:pPr>
      <w:numPr>
        <w:numId w:val="22"/>
      </w:numPr>
      <w:contextualSpacing/>
    </w:pPr>
  </w:style>
  <w:style w:type="paragraph" w:styleId="ListNumber2">
    <w:name w:val="List Number 2"/>
    <w:basedOn w:val="Normal"/>
    <w:semiHidden/>
    <w:unhideWhenUsed/>
    <w:rsid w:val="0026375A"/>
    <w:pPr>
      <w:numPr>
        <w:numId w:val="23"/>
      </w:numPr>
      <w:contextualSpacing/>
    </w:pPr>
  </w:style>
  <w:style w:type="paragraph" w:styleId="ListNumber3">
    <w:name w:val="List Number 3"/>
    <w:basedOn w:val="Normal"/>
    <w:semiHidden/>
    <w:unhideWhenUsed/>
    <w:rsid w:val="0026375A"/>
    <w:pPr>
      <w:numPr>
        <w:numId w:val="24"/>
      </w:numPr>
      <w:contextualSpacing/>
    </w:pPr>
  </w:style>
  <w:style w:type="paragraph" w:styleId="ListNumber4">
    <w:name w:val="List Number 4"/>
    <w:basedOn w:val="Normal"/>
    <w:semiHidden/>
    <w:unhideWhenUsed/>
    <w:rsid w:val="0026375A"/>
    <w:pPr>
      <w:numPr>
        <w:numId w:val="25"/>
      </w:numPr>
      <w:contextualSpacing/>
    </w:pPr>
  </w:style>
  <w:style w:type="paragraph" w:styleId="ListNumber5">
    <w:name w:val="List Number 5"/>
    <w:basedOn w:val="Normal"/>
    <w:semiHidden/>
    <w:unhideWhenUsed/>
    <w:rsid w:val="0026375A"/>
    <w:pPr>
      <w:numPr>
        <w:numId w:val="26"/>
      </w:numPr>
      <w:contextualSpacing/>
    </w:pPr>
  </w:style>
  <w:style w:type="paragraph" w:styleId="MessageHeader">
    <w:name w:val="Message Header"/>
    <w:basedOn w:val="Normal"/>
    <w:link w:val="MessageHeaderChar"/>
    <w:semiHidden/>
    <w:unhideWhenUsed/>
    <w:rsid w:val="0026375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26375A"/>
    <w:rPr>
      <w:rFonts w:asciiTheme="majorHAnsi" w:eastAsiaTheme="majorEastAsia" w:hAnsiTheme="majorHAnsi" w:cstheme="majorBidi"/>
      <w:sz w:val="24"/>
      <w:szCs w:val="24"/>
      <w:shd w:val="pct20" w:color="auto" w:fill="auto"/>
      <w:lang w:val="fr-FR"/>
    </w:rPr>
  </w:style>
  <w:style w:type="paragraph" w:styleId="NoSpacing">
    <w:name w:val="No Spacing"/>
    <w:uiPriority w:val="1"/>
    <w:qFormat/>
    <w:rsid w:val="0026375A"/>
    <w:pPr>
      <w:jc w:val="both"/>
    </w:pPr>
    <w:rPr>
      <w:rFonts w:ascii="Arial" w:hAnsi="Arial"/>
    </w:rPr>
  </w:style>
  <w:style w:type="paragraph" w:styleId="NormalWeb">
    <w:name w:val="Normal (Web)"/>
    <w:basedOn w:val="Normal"/>
    <w:semiHidden/>
    <w:unhideWhenUsed/>
    <w:rsid w:val="0026375A"/>
    <w:rPr>
      <w:rFonts w:ascii="Times New Roman" w:hAnsi="Times New Roman"/>
      <w:sz w:val="24"/>
      <w:szCs w:val="24"/>
    </w:rPr>
  </w:style>
  <w:style w:type="paragraph" w:styleId="NormalIndent">
    <w:name w:val="Normal Indent"/>
    <w:basedOn w:val="Normal"/>
    <w:semiHidden/>
    <w:unhideWhenUsed/>
    <w:rsid w:val="0026375A"/>
    <w:pPr>
      <w:ind w:left="567"/>
    </w:pPr>
  </w:style>
  <w:style w:type="paragraph" w:styleId="NoteHeading">
    <w:name w:val="Note Heading"/>
    <w:basedOn w:val="Normal"/>
    <w:next w:val="Normal"/>
    <w:link w:val="NoteHeadingChar"/>
    <w:semiHidden/>
    <w:unhideWhenUsed/>
    <w:rsid w:val="0026375A"/>
  </w:style>
  <w:style w:type="character" w:customStyle="1" w:styleId="NoteHeadingChar">
    <w:name w:val="Note Heading Char"/>
    <w:basedOn w:val="DefaultParagraphFont"/>
    <w:link w:val="NoteHeading"/>
    <w:semiHidden/>
    <w:rsid w:val="0026375A"/>
    <w:rPr>
      <w:rFonts w:ascii="Arial" w:hAnsi="Arial"/>
      <w:lang w:val="fr-FR"/>
    </w:rPr>
  </w:style>
  <w:style w:type="paragraph" w:styleId="PlainText">
    <w:name w:val="Plain Text"/>
    <w:basedOn w:val="Normal"/>
    <w:link w:val="PlainTextChar"/>
    <w:semiHidden/>
    <w:unhideWhenUsed/>
    <w:rsid w:val="0026375A"/>
    <w:rPr>
      <w:rFonts w:ascii="Consolas" w:hAnsi="Consolas"/>
      <w:sz w:val="21"/>
      <w:szCs w:val="21"/>
    </w:rPr>
  </w:style>
  <w:style w:type="character" w:customStyle="1" w:styleId="PlainTextChar">
    <w:name w:val="Plain Text Char"/>
    <w:basedOn w:val="DefaultParagraphFont"/>
    <w:link w:val="PlainText"/>
    <w:semiHidden/>
    <w:rsid w:val="0026375A"/>
    <w:rPr>
      <w:rFonts w:ascii="Consolas" w:hAnsi="Consolas"/>
      <w:sz w:val="21"/>
      <w:szCs w:val="21"/>
      <w:lang w:val="fr-FR"/>
    </w:rPr>
  </w:style>
  <w:style w:type="paragraph" w:styleId="Quote">
    <w:name w:val="Quote"/>
    <w:basedOn w:val="Normal"/>
    <w:next w:val="Normal"/>
    <w:link w:val="QuoteChar"/>
    <w:uiPriority w:val="29"/>
    <w:qFormat/>
    <w:rsid w:val="0026375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375A"/>
    <w:rPr>
      <w:rFonts w:ascii="Arial" w:hAnsi="Arial"/>
      <w:i/>
      <w:iCs/>
      <w:color w:val="404040" w:themeColor="text1" w:themeTint="BF"/>
      <w:lang w:val="fr-FR"/>
    </w:rPr>
  </w:style>
  <w:style w:type="paragraph" w:styleId="Salutation">
    <w:name w:val="Salutation"/>
    <w:basedOn w:val="Normal"/>
    <w:next w:val="Normal"/>
    <w:link w:val="SalutationChar"/>
    <w:rsid w:val="0026375A"/>
  </w:style>
  <w:style w:type="character" w:customStyle="1" w:styleId="SalutationChar">
    <w:name w:val="Salutation Char"/>
    <w:basedOn w:val="DefaultParagraphFont"/>
    <w:link w:val="Salutation"/>
    <w:rsid w:val="0026375A"/>
    <w:rPr>
      <w:rFonts w:ascii="Arial" w:hAnsi="Arial"/>
      <w:lang w:val="fr-FR"/>
    </w:rPr>
  </w:style>
  <w:style w:type="paragraph" w:styleId="Subtitle">
    <w:name w:val="Subtitle"/>
    <w:basedOn w:val="Normal"/>
    <w:next w:val="Normal"/>
    <w:link w:val="SubtitleChar"/>
    <w:qFormat/>
    <w:rsid w:val="0026375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6375A"/>
    <w:rPr>
      <w:rFonts w:asciiTheme="minorHAnsi" w:eastAsiaTheme="minorEastAsia" w:hAnsiTheme="minorHAnsi" w:cstheme="minorBidi"/>
      <w:color w:val="5A5A5A" w:themeColor="text1" w:themeTint="A5"/>
      <w:spacing w:val="15"/>
      <w:sz w:val="22"/>
      <w:szCs w:val="22"/>
      <w:lang w:val="fr-FR"/>
    </w:rPr>
  </w:style>
  <w:style w:type="paragraph" w:styleId="TableofAuthorities">
    <w:name w:val="table of authorities"/>
    <w:basedOn w:val="Normal"/>
    <w:next w:val="Normal"/>
    <w:semiHidden/>
    <w:unhideWhenUsed/>
    <w:rsid w:val="0026375A"/>
    <w:pPr>
      <w:ind w:left="200" w:hanging="200"/>
    </w:pPr>
  </w:style>
  <w:style w:type="paragraph" w:styleId="TableofFigures">
    <w:name w:val="table of figures"/>
    <w:basedOn w:val="Normal"/>
    <w:next w:val="Normal"/>
    <w:semiHidden/>
    <w:unhideWhenUsed/>
    <w:rsid w:val="0026375A"/>
  </w:style>
  <w:style w:type="paragraph" w:styleId="TOAHeading">
    <w:name w:val="toa heading"/>
    <w:basedOn w:val="Normal"/>
    <w:next w:val="Normal"/>
    <w:semiHidden/>
    <w:unhideWhenUsed/>
    <w:rsid w:val="0026375A"/>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26375A"/>
    <w:pPr>
      <w:spacing w:after="100"/>
      <w:ind w:left="1000"/>
    </w:pPr>
  </w:style>
  <w:style w:type="paragraph" w:styleId="TOC7">
    <w:name w:val="toc 7"/>
    <w:basedOn w:val="Normal"/>
    <w:next w:val="Normal"/>
    <w:autoRedefine/>
    <w:semiHidden/>
    <w:unhideWhenUsed/>
    <w:rsid w:val="0026375A"/>
    <w:pPr>
      <w:spacing w:after="100"/>
      <w:ind w:left="1200"/>
    </w:pPr>
  </w:style>
  <w:style w:type="paragraph" w:styleId="TOC8">
    <w:name w:val="toc 8"/>
    <w:basedOn w:val="Normal"/>
    <w:next w:val="Normal"/>
    <w:autoRedefine/>
    <w:semiHidden/>
    <w:unhideWhenUsed/>
    <w:rsid w:val="0026375A"/>
    <w:pPr>
      <w:spacing w:after="100"/>
      <w:ind w:left="1400"/>
    </w:pPr>
  </w:style>
  <w:style w:type="paragraph" w:styleId="TOC9">
    <w:name w:val="toc 9"/>
    <w:basedOn w:val="Normal"/>
    <w:next w:val="Normal"/>
    <w:autoRedefine/>
    <w:semiHidden/>
    <w:unhideWhenUsed/>
    <w:rsid w:val="0026375A"/>
    <w:pPr>
      <w:spacing w:after="100"/>
      <w:ind w:left="1600"/>
    </w:pPr>
  </w:style>
  <w:style w:type="paragraph" w:styleId="TOCHeading">
    <w:name w:val="TOC Heading"/>
    <w:basedOn w:val="Heading1"/>
    <w:next w:val="Normal"/>
    <w:uiPriority w:val="39"/>
    <w:semiHidden/>
    <w:unhideWhenUsed/>
    <w:qFormat/>
    <w:rsid w:val="0026375A"/>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customStyle="1" w:styleId="Annexparagraphnumbering">
    <w:name w:val="Annex paragraph numbering"/>
    <w:basedOn w:val="Normal"/>
    <w:rsid w:val="0026375A"/>
    <w:pPr>
      <w:numPr>
        <w:numId w:val="29"/>
      </w:numPr>
      <w:spacing w:after="240"/>
    </w:pPr>
  </w:style>
  <w:style w:type="paragraph" w:customStyle="1" w:styleId="Normaltg">
    <w:name w:val="Normaltg"/>
    <w:basedOn w:val="Normal"/>
    <w:rsid w:val="0026375A"/>
    <w:pPr>
      <w:tabs>
        <w:tab w:val="left" w:pos="709"/>
        <w:tab w:val="left" w:pos="1418"/>
      </w:tabs>
    </w:pPr>
  </w:style>
  <w:style w:type="character" w:styleId="CommentReference">
    <w:name w:val="annotation reference"/>
    <w:basedOn w:val="DefaultParagraphFont"/>
    <w:semiHidden/>
    <w:unhideWhenUsed/>
    <w:rsid w:val="0026375A"/>
    <w:rPr>
      <w:sz w:val="16"/>
      <w:szCs w:val="16"/>
    </w:rPr>
  </w:style>
  <w:style w:type="character" w:styleId="UnresolvedMention">
    <w:name w:val="Unresolved Mention"/>
    <w:basedOn w:val="DefaultParagraphFont"/>
    <w:uiPriority w:val="99"/>
    <w:semiHidden/>
    <w:unhideWhenUsed/>
    <w:rsid w:val="00AF3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mailto:yangkun@caas.cn" TargetMode="External"/><Relationship Id="rId19" Type="http://schemas.openxmlformats.org/officeDocument/2006/relationships/footer" Target="footer5.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8.xm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orldseed.org/" TargetMode="External"/><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1A4E-2740-4684-94F1-8801294D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27</Pages>
  <Words>12571</Words>
  <Characters>74591</Characters>
  <Application>Microsoft Office Word</Application>
  <DocSecurity>0</DocSecurity>
  <Lines>1864</Lines>
  <Paragraphs>838</Paragraphs>
  <ScaleCrop>false</ScaleCrop>
  <HeadingPairs>
    <vt:vector size="2" baseType="variant">
      <vt:variant>
        <vt:lpstr>Title</vt:lpstr>
      </vt:variant>
      <vt:variant>
        <vt:i4>1</vt:i4>
      </vt:variant>
    </vt:vector>
  </HeadingPairs>
  <TitlesOfParts>
    <vt:vector size="1" baseType="lpstr">
      <vt:lpstr>SESSIONS/2024/2</vt:lpstr>
    </vt:vector>
  </TitlesOfParts>
  <Company>UPOV</Company>
  <LinksUpToDate>false</LinksUpToDate>
  <CharactersWithSpaces>86324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SESSIONS/2024/2</dc:title>
  <dc:creator>LE GUEN Haude</dc:creator>
  <cp:lastModifiedBy>SANCHEZ VIZCAINO GOMEZ Rosa Maria</cp:lastModifiedBy>
  <cp:revision>55</cp:revision>
  <cp:lastPrinted>2016-11-22T15:41:00Z</cp:lastPrinted>
  <dcterms:created xsi:type="dcterms:W3CDTF">2024-09-13T07:38:00Z</dcterms:created>
  <dcterms:modified xsi:type="dcterms:W3CDTF">2024-09-23T16:31:00Z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2024-09-12T16:08:02Z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f0eb6793-4e67-4a87-b9c5-b2da4ba1dbd8</vt:lpwstr>
  </property>
  <property fmtid="{D5CDD505-2E9C-101B-9397-08002B2CF9AE}" pid="8" name="MSIP_Label_20773ee6-353b-4fb9-a59d-0b94c8c67bea_ContentBits">
    <vt:lpwstr>0</vt:lpwstr>
  </property>
</Properties>
</file>