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34BAF" w14:paraId="324868D7" w14:textId="77777777" w:rsidTr="00EB4E9C">
        <w:tc>
          <w:tcPr>
            <w:tcW w:w="6522" w:type="dxa"/>
          </w:tcPr>
          <w:p w14:paraId="4D84325D" w14:textId="77777777" w:rsidR="00DC3802" w:rsidRPr="00E34BAF" w:rsidRDefault="00DC3802" w:rsidP="00FB4867">
            <w:pPr>
              <w:shd w:val="clear" w:color="auto" w:fill="FFFFFF" w:themeFill="background1"/>
            </w:pPr>
            <w:r w:rsidRPr="00E34BAF">
              <w:rPr>
                <w:noProof/>
              </w:rPr>
              <w:drawing>
                <wp:inline distT="0" distB="0" distL="0" distR="0" wp14:anchorId="7250756A" wp14:editId="13B568F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8CF964" w14:textId="211EC7BA" w:rsidR="00E14937" w:rsidRPr="00E34BAF" w:rsidRDefault="00E34BAF">
            <w:pPr>
              <w:pStyle w:val="Lettrine"/>
              <w:shd w:val="clear" w:color="auto" w:fill="FFFFFF" w:themeFill="background1"/>
            </w:pPr>
            <w:r>
              <w:t>F</w:t>
            </w:r>
          </w:p>
        </w:tc>
      </w:tr>
      <w:tr w:rsidR="00DC3802" w:rsidRPr="00E34BAF" w14:paraId="5ECD5BBC" w14:textId="77777777" w:rsidTr="00645CA8">
        <w:trPr>
          <w:trHeight w:val="219"/>
        </w:trPr>
        <w:tc>
          <w:tcPr>
            <w:tcW w:w="6522" w:type="dxa"/>
          </w:tcPr>
          <w:p w14:paraId="1EEACF15" w14:textId="77777777" w:rsidR="00E14937" w:rsidRPr="00E34BAF" w:rsidRDefault="001A3265">
            <w:pPr>
              <w:pStyle w:val="upove"/>
              <w:shd w:val="clear" w:color="auto" w:fill="FFFFFF" w:themeFill="background1"/>
            </w:pPr>
            <w:r w:rsidRPr="00E34BAF">
              <w:t>Union internationale pour la protection des obtentions végétales</w:t>
            </w:r>
          </w:p>
        </w:tc>
        <w:tc>
          <w:tcPr>
            <w:tcW w:w="3117" w:type="dxa"/>
          </w:tcPr>
          <w:p w14:paraId="31171D57" w14:textId="77777777" w:rsidR="00DC3802" w:rsidRPr="00E34BAF" w:rsidRDefault="00DC3802" w:rsidP="00FB4867">
            <w:pPr>
              <w:shd w:val="clear" w:color="auto" w:fill="FFFFFF" w:themeFill="background1"/>
            </w:pPr>
          </w:p>
        </w:tc>
      </w:tr>
    </w:tbl>
    <w:p w14:paraId="07451FEE" w14:textId="77777777" w:rsidR="00DC3802" w:rsidRPr="00E34BAF" w:rsidRDefault="00DC3802" w:rsidP="00FB4867">
      <w:pPr>
        <w:shd w:val="clear" w:color="auto" w:fill="FFFFFF" w:themeFill="background1"/>
      </w:pPr>
    </w:p>
    <w:p w14:paraId="01E69EC5" w14:textId="77777777" w:rsidR="00DA4973" w:rsidRPr="00E34BAF" w:rsidRDefault="00DA4973" w:rsidP="00FB4867">
      <w:pPr>
        <w:shd w:val="clear" w:color="auto" w:fill="FFFFFF" w:themeFill="background1"/>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34BAF" w14:paraId="3590679C" w14:textId="77777777" w:rsidTr="00EB4E9C">
        <w:tc>
          <w:tcPr>
            <w:tcW w:w="6512" w:type="dxa"/>
          </w:tcPr>
          <w:p w14:paraId="07658C9D" w14:textId="77777777" w:rsidR="00E14937" w:rsidRPr="00D07045" w:rsidRDefault="001A3265">
            <w:pPr>
              <w:pStyle w:val="Sessiontc"/>
              <w:shd w:val="clear" w:color="auto" w:fill="FFFFFF" w:themeFill="background1"/>
              <w:spacing w:line="240" w:lineRule="auto"/>
              <w:rPr>
                <w:sz w:val="20"/>
                <w:szCs w:val="22"/>
              </w:rPr>
            </w:pPr>
            <w:r w:rsidRPr="00D07045">
              <w:rPr>
                <w:sz w:val="20"/>
                <w:szCs w:val="22"/>
              </w:rPr>
              <w:t>Conseil</w:t>
            </w:r>
          </w:p>
          <w:p w14:paraId="5DD01A7C" w14:textId="77777777" w:rsidR="00E14937" w:rsidRPr="00D07045" w:rsidRDefault="0020304B">
            <w:pPr>
              <w:pStyle w:val="Sessiontcplacedate"/>
              <w:shd w:val="clear" w:color="auto" w:fill="FFFFFF" w:themeFill="background1"/>
              <w:rPr>
                <w:sz w:val="20"/>
                <w:szCs w:val="22"/>
              </w:rPr>
            </w:pPr>
            <w:r w:rsidRPr="00D07045">
              <w:rPr>
                <w:sz w:val="20"/>
                <w:szCs w:val="22"/>
              </w:rPr>
              <w:t xml:space="preserve">Cinquante-huitième </w:t>
            </w:r>
            <w:r w:rsidR="00EB4E9C" w:rsidRPr="00D07045">
              <w:rPr>
                <w:sz w:val="20"/>
                <w:szCs w:val="22"/>
              </w:rPr>
              <w:t xml:space="preserve">session </w:t>
            </w:r>
            <w:r w:rsidR="001A3265" w:rsidRPr="00D07045">
              <w:rPr>
                <w:sz w:val="20"/>
                <w:szCs w:val="22"/>
              </w:rPr>
              <w:t>ordinaire</w:t>
            </w:r>
          </w:p>
          <w:p w14:paraId="1394E167" w14:textId="77777777" w:rsidR="00E14937" w:rsidRPr="00E34BAF" w:rsidRDefault="001A3265">
            <w:pPr>
              <w:pStyle w:val="Sessiontcplacedate"/>
              <w:shd w:val="clear" w:color="auto" w:fill="FFFFFF" w:themeFill="background1"/>
              <w:rPr>
                <w:sz w:val="20"/>
              </w:rPr>
            </w:pPr>
            <w:r w:rsidRPr="00D07045">
              <w:rPr>
                <w:sz w:val="20"/>
                <w:szCs w:val="22"/>
              </w:rPr>
              <w:t xml:space="preserve">Genève, </w:t>
            </w:r>
            <w:r w:rsidR="00DB323D" w:rsidRPr="00D07045">
              <w:rPr>
                <w:sz w:val="20"/>
                <w:szCs w:val="22"/>
              </w:rPr>
              <w:t xml:space="preserve">25 </w:t>
            </w:r>
            <w:r w:rsidR="0020304B" w:rsidRPr="00D07045">
              <w:rPr>
                <w:sz w:val="20"/>
                <w:szCs w:val="22"/>
              </w:rPr>
              <w:t xml:space="preserve">octobre </w:t>
            </w:r>
            <w:r w:rsidR="00DB323D" w:rsidRPr="00D07045">
              <w:rPr>
                <w:sz w:val="20"/>
                <w:szCs w:val="22"/>
              </w:rPr>
              <w:t>2024</w:t>
            </w:r>
          </w:p>
        </w:tc>
        <w:tc>
          <w:tcPr>
            <w:tcW w:w="3127" w:type="dxa"/>
          </w:tcPr>
          <w:p w14:paraId="5197F938" w14:textId="77777777" w:rsidR="00E14937" w:rsidRPr="00E34BAF" w:rsidRDefault="00D45BE7">
            <w:pPr>
              <w:pStyle w:val="Doccode"/>
              <w:shd w:val="clear" w:color="auto" w:fill="FFFFFF" w:themeFill="background1"/>
              <w:rPr>
                <w:lang w:val="fr-FR"/>
              </w:rPr>
            </w:pPr>
            <w:r w:rsidRPr="00E34BAF">
              <w:rPr>
                <w:lang w:val="fr-FR"/>
              </w:rPr>
              <w:t>C/58/19</w:t>
            </w:r>
          </w:p>
          <w:p w14:paraId="4E40BA27" w14:textId="25DDC7B0" w:rsidR="00E14937" w:rsidRPr="00E34BAF" w:rsidRDefault="001A3265">
            <w:pPr>
              <w:pStyle w:val="Docoriginal"/>
              <w:shd w:val="clear" w:color="auto" w:fill="FFFFFF" w:themeFill="background1"/>
            </w:pPr>
            <w:r w:rsidRPr="00E34BAF">
              <w:t>Original</w:t>
            </w:r>
            <w:r w:rsidR="00EA33D5">
              <w:t>:</w:t>
            </w:r>
            <w:r w:rsidRPr="00E34BAF">
              <w:rPr>
                <w:b w:val="0"/>
                <w:spacing w:val="0"/>
              </w:rPr>
              <w:t xml:space="preserve">  Anglais</w:t>
            </w:r>
          </w:p>
          <w:p w14:paraId="243237B9" w14:textId="365D8C79" w:rsidR="00E14937" w:rsidRPr="00E34BAF" w:rsidRDefault="001A3265">
            <w:pPr>
              <w:pStyle w:val="Docoriginal"/>
              <w:shd w:val="clear" w:color="auto" w:fill="FFFFFF" w:themeFill="background1"/>
            </w:pPr>
            <w:r w:rsidRPr="00E34BAF">
              <w:t>Date</w:t>
            </w:r>
            <w:r w:rsidR="00EA33D5">
              <w:t>:</w:t>
            </w:r>
            <w:r w:rsidRPr="00E34BAF">
              <w:t xml:space="preserve">  </w:t>
            </w:r>
            <w:r w:rsidR="00B7198B" w:rsidRPr="00E34BAF">
              <w:rPr>
                <w:b w:val="0"/>
                <w:spacing w:val="0"/>
              </w:rPr>
              <w:t xml:space="preserve">25 </w:t>
            </w:r>
            <w:r w:rsidR="006E6755" w:rsidRPr="00E34BAF">
              <w:rPr>
                <w:b w:val="0"/>
                <w:spacing w:val="0"/>
              </w:rPr>
              <w:t xml:space="preserve">octobre </w:t>
            </w:r>
            <w:r w:rsidR="00DB323D" w:rsidRPr="00E34BAF">
              <w:rPr>
                <w:b w:val="0"/>
                <w:spacing w:val="0"/>
              </w:rPr>
              <w:t>2024</w:t>
            </w:r>
          </w:p>
        </w:tc>
      </w:tr>
    </w:tbl>
    <w:p w14:paraId="7FE3965F" w14:textId="77777777" w:rsidR="00E14937" w:rsidRPr="00E34BAF" w:rsidRDefault="001A3265">
      <w:pPr>
        <w:pStyle w:val="Titleofdoc0"/>
        <w:shd w:val="clear" w:color="auto" w:fill="FFFFFF" w:themeFill="background1"/>
      </w:pPr>
      <w:r w:rsidRPr="00E34BAF">
        <w:t>Compte rendu</w:t>
      </w:r>
    </w:p>
    <w:p w14:paraId="590CBE62" w14:textId="3FA8C317" w:rsidR="00E14937" w:rsidRPr="00E34BAF" w:rsidRDefault="00595A07">
      <w:pPr>
        <w:pStyle w:val="preparedby1"/>
        <w:shd w:val="clear" w:color="auto" w:fill="FFFFFF" w:themeFill="background1"/>
        <w:jc w:val="left"/>
      </w:pPr>
      <w:r>
        <w:t>a</w:t>
      </w:r>
      <w:r w:rsidR="001A3265" w:rsidRPr="00E34BAF">
        <w:t>dopté par le Conseil</w:t>
      </w:r>
    </w:p>
    <w:p w14:paraId="1D0CFCE7" w14:textId="4033192A" w:rsidR="00E34BAF" w:rsidRPr="006365CE" w:rsidRDefault="00E34BAF" w:rsidP="00E34BAF">
      <w:pPr>
        <w:pStyle w:val="Disclaimer"/>
        <w:rPr>
          <w:lang w:val="fr-FR"/>
        </w:rPr>
      </w:pPr>
      <w:r w:rsidRPr="006365CE">
        <w:rPr>
          <w:lang w:val="fr-FR"/>
        </w:rPr>
        <w:t>Avertissement</w:t>
      </w:r>
      <w:r w:rsidR="00EA33D5">
        <w:rPr>
          <w:lang w:val="fr-FR"/>
        </w:rPr>
        <w:t>:</w:t>
      </w:r>
      <w:r w:rsidRPr="006365CE">
        <w:rPr>
          <w:lang w:val="fr-FR"/>
        </w:rPr>
        <w:t xml:space="preserve">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23AF8634" w14:textId="77777777" w:rsidR="00E14937" w:rsidRPr="00E34BAF" w:rsidRDefault="001A3265">
      <w:pPr>
        <w:shd w:val="clear" w:color="auto" w:fill="FFFFFF" w:themeFill="background1"/>
        <w:rPr>
          <w:u w:val="single"/>
        </w:rPr>
      </w:pPr>
      <w:r w:rsidRPr="00E34BAF">
        <w:rPr>
          <w:u w:val="single"/>
        </w:rPr>
        <w:t xml:space="preserve">Ouverture de la session </w:t>
      </w:r>
    </w:p>
    <w:p w14:paraId="1FBC331D" w14:textId="77777777" w:rsidR="00D45BE7" w:rsidRPr="00E34BAF" w:rsidRDefault="00D45BE7" w:rsidP="00FB4867">
      <w:pPr>
        <w:shd w:val="clear" w:color="auto" w:fill="FFFFFF" w:themeFill="background1"/>
        <w:rPr>
          <w:spacing w:val="-2"/>
        </w:rPr>
      </w:pPr>
    </w:p>
    <w:p w14:paraId="1201982F" w14:textId="794E83E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de l'Union internationale pour la protection des obtentions végétales (UPOV) a tenu sa cinquante-huitième session ordinaire à Genève le 25 octobre 2024, sous la présidence de M. </w:t>
      </w:r>
      <w:proofErr w:type="spellStart"/>
      <w:r w:rsidRPr="00E34BAF">
        <w:t>Yehan</w:t>
      </w:r>
      <w:proofErr w:type="spellEnd"/>
      <w:r w:rsidRPr="00E34BAF">
        <w:t xml:space="preserve"> Cui (Chine), président du Conseil.</w:t>
      </w:r>
    </w:p>
    <w:p w14:paraId="623802D6" w14:textId="77777777" w:rsidR="00D45BE7" w:rsidRPr="00E34BAF" w:rsidRDefault="00D45BE7" w:rsidP="00FB4867">
      <w:pPr>
        <w:shd w:val="clear" w:color="auto" w:fill="FFFFFF" w:themeFill="background1"/>
      </w:pPr>
    </w:p>
    <w:p w14:paraId="19D1BBB0" w14:textId="002D8C6E"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La session a été ouverte par le </w:t>
      </w:r>
      <w:r w:rsidR="00D07045">
        <w:t>p</w:t>
      </w:r>
      <w:r w:rsidRPr="00E34BAF">
        <w:t xml:space="preserve">résident qui a souhaité la bienvenue aux participants. </w:t>
      </w:r>
    </w:p>
    <w:p w14:paraId="1E1A10A7" w14:textId="77777777" w:rsidR="00265DD4" w:rsidRPr="00E34BAF" w:rsidRDefault="00265DD4" w:rsidP="00FB4867">
      <w:pPr>
        <w:shd w:val="clear" w:color="auto" w:fill="FFFFFF" w:themeFill="background1"/>
      </w:pPr>
    </w:p>
    <w:p w14:paraId="68FD959B" w14:textId="04011450" w:rsidR="00E14937" w:rsidRPr="00E34BAF" w:rsidRDefault="001A3265">
      <w:pPr>
        <w:shd w:val="clear" w:color="auto" w:fill="FFFFFF" w:themeFill="background1"/>
        <w:rPr>
          <w:spacing w:val="-2"/>
        </w:rPr>
      </w:pPr>
      <w:r w:rsidRPr="00E34BAF">
        <w:rPr>
          <w:spacing w:val="-2"/>
        </w:rPr>
        <w:fldChar w:fldCharType="begin"/>
      </w:r>
      <w:r w:rsidRPr="00E34BAF">
        <w:rPr>
          <w:spacing w:val="-2"/>
        </w:rPr>
        <w:instrText xml:space="preserve"> AUTONUM  </w:instrText>
      </w:r>
      <w:r w:rsidRPr="00E34BAF">
        <w:rPr>
          <w:spacing w:val="-2"/>
        </w:rPr>
        <w:fldChar w:fldCharType="end"/>
      </w:r>
      <w:r w:rsidRPr="00E34BAF">
        <w:rPr>
          <w:spacing w:val="-2"/>
        </w:rPr>
        <w:tab/>
        <w:t xml:space="preserve">M. Daren Tang, </w:t>
      </w:r>
      <w:r w:rsidR="00D07045" w:rsidRPr="00E34BAF">
        <w:rPr>
          <w:spacing w:val="-2"/>
        </w:rPr>
        <w:t xml:space="preserve">Secrétaire </w:t>
      </w:r>
      <w:r w:rsidRPr="00E34BAF">
        <w:rPr>
          <w:spacing w:val="-2"/>
        </w:rPr>
        <w:t xml:space="preserve">général, a souhaité la bienvenue aux participants.  Une copie des </w:t>
      </w:r>
      <w:r w:rsidRPr="00E34BAF">
        <w:rPr>
          <w:spacing w:val="-2"/>
          <w:szCs w:val="22"/>
        </w:rPr>
        <w:t xml:space="preserve">remarques du Secrétaire général </w:t>
      </w:r>
      <w:r w:rsidRPr="00E34BAF">
        <w:rPr>
          <w:spacing w:val="-2"/>
        </w:rPr>
        <w:t>est reproduite à l'</w:t>
      </w:r>
      <w:r w:rsidRPr="00E34BAF">
        <w:t xml:space="preserve">annexe I </w:t>
      </w:r>
      <w:r w:rsidRPr="00E34BAF">
        <w:rPr>
          <w:spacing w:val="-2"/>
        </w:rPr>
        <w:t>du présent compte rendu.</w:t>
      </w:r>
    </w:p>
    <w:p w14:paraId="63614B53" w14:textId="77777777" w:rsidR="00EA68AE" w:rsidRPr="00E34BAF" w:rsidRDefault="00EA68AE" w:rsidP="00FB4867">
      <w:pPr>
        <w:shd w:val="clear" w:color="auto" w:fill="FFFFFF" w:themeFill="background1"/>
      </w:pPr>
    </w:p>
    <w:p w14:paraId="26939E33" w14:textId="793AEAC9"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président rend compte que l'Arménie a déposé son instrument d'adhésion à l'Acte de 1991 de la Convention UPOV le 2 février 2024 et qu'elle est devenue liée par l'Acte de 1991 le 2 mars 2024.  L'Arménie est devenue le 79</w:t>
      </w:r>
      <w:r w:rsidRPr="00D07045">
        <w:rPr>
          <w:vertAlign w:val="superscript"/>
        </w:rPr>
        <w:t>e</w:t>
      </w:r>
      <w:r w:rsidR="00D07045">
        <w:t xml:space="preserve"> </w:t>
      </w:r>
      <w:r w:rsidRPr="00E34BAF">
        <w:t>membre de l'Union le 2 mars 2024.</w:t>
      </w:r>
    </w:p>
    <w:p w14:paraId="0828C55A" w14:textId="77777777" w:rsidR="00265DD4" w:rsidRPr="00E34BAF" w:rsidRDefault="00265DD4" w:rsidP="00FB4867">
      <w:pPr>
        <w:shd w:val="clear" w:color="auto" w:fill="FFFFFF" w:themeFill="background1"/>
      </w:pPr>
    </w:p>
    <w:p w14:paraId="1F27B15D" w14:textId="7777777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a pris acte de l'intervention de </w:t>
      </w:r>
      <w:r w:rsidR="005B5C45" w:rsidRPr="00E34BAF">
        <w:t xml:space="preserve">Mme </w:t>
      </w:r>
      <w:proofErr w:type="spellStart"/>
      <w:r w:rsidR="005B5C45" w:rsidRPr="00E34BAF">
        <w:t>Varsik</w:t>
      </w:r>
      <w:proofErr w:type="spellEnd"/>
      <w:r w:rsidR="005B5C45" w:rsidRPr="00E34BAF">
        <w:t xml:space="preserve"> </w:t>
      </w:r>
      <w:proofErr w:type="spellStart"/>
      <w:r w:rsidR="005B5C45" w:rsidRPr="00E34BAF">
        <w:t>Martirosyan</w:t>
      </w:r>
      <w:proofErr w:type="spellEnd"/>
      <w:r w:rsidR="005B5C45" w:rsidRPr="00E34BAF">
        <w:t xml:space="preserve">, chef du département de la production végétale du ministère de l'agriculture, au nom de </w:t>
      </w:r>
      <w:r w:rsidR="00130E3F" w:rsidRPr="00E34BAF">
        <w:t xml:space="preserve">Mme </w:t>
      </w:r>
      <w:proofErr w:type="spellStart"/>
      <w:r w:rsidR="00130E3F" w:rsidRPr="00E34BAF">
        <w:t>Tatevik</w:t>
      </w:r>
      <w:proofErr w:type="spellEnd"/>
      <w:r w:rsidR="00130E3F" w:rsidRPr="00E34BAF">
        <w:t xml:space="preserve"> </w:t>
      </w:r>
      <w:proofErr w:type="spellStart"/>
      <w:r w:rsidR="00130E3F" w:rsidRPr="00E34BAF">
        <w:t>Sargsyan</w:t>
      </w:r>
      <w:proofErr w:type="spellEnd"/>
      <w:r w:rsidR="00130E3F" w:rsidRPr="00E34BAF">
        <w:t>, vice-ministre de l'économie de l'</w:t>
      </w:r>
      <w:r w:rsidRPr="00E34BAF">
        <w:t>Arménie, dont une copie est reproduite à l'annexe II du présent rapport.</w:t>
      </w:r>
    </w:p>
    <w:p w14:paraId="50CC01F1" w14:textId="77777777" w:rsidR="00D45BE7" w:rsidRPr="00E34BAF" w:rsidRDefault="00D45BE7" w:rsidP="00FB4867">
      <w:pPr>
        <w:shd w:val="clear" w:color="auto" w:fill="FFFFFF" w:themeFill="background1"/>
      </w:pPr>
    </w:p>
    <w:p w14:paraId="3D736D7E" w14:textId="7777777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La liste des participants est reproduite à l'annexe III du présent compte rendu.</w:t>
      </w:r>
    </w:p>
    <w:p w14:paraId="103C46AE" w14:textId="77777777" w:rsidR="00D45BE7" w:rsidRDefault="00D45BE7" w:rsidP="00FB4867">
      <w:pPr>
        <w:shd w:val="clear" w:color="auto" w:fill="FFFFFF" w:themeFill="background1"/>
        <w:rPr>
          <w:spacing w:val="-2"/>
        </w:rPr>
      </w:pPr>
    </w:p>
    <w:p w14:paraId="2326E76C" w14:textId="77777777" w:rsidR="00D07045" w:rsidRPr="00E34BAF" w:rsidRDefault="00D07045" w:rsidP="00FB4867">
      <w:pPr>
        <w:shd w:val="clear" w:color="auto" w:fill="FFFFFF" w:themeFill="background1"/>
        <w:rPr>
          <w:spacing w:val="-2"/>
        </w:rPr>
      </w:pPr>
    </w:p>
    <w:p w14:paraId="737034C2" w14:textId="77777777" w:rsidR="00E14937" w:rsidRPr="00E34BAF" w:rsidRDefault="001A3265">
      <w:pPr>
        <w:keepNext/>
        <w:shd w:val="clear" w:color="auto" w:fill="FFFFFF" w:themeFill="background1"/>
        <w:rPr>
          <w:u w:val="single"/>
        </w:rPr>
      </w:pPr>
      <w:r w:rsidRPr="00E34BAF">
        <w:rPr>
          <w:u w:val="single"/>
        </w:rPr>
        <w:t>Adoption de l'ordre du jour</w:t>
      </w:r>
    </w:p>
    <w:p w14:paraId="32A4F57B" w14:textId="77777777" w:rsidR="00D45BE7" w:rsidRPr="00E34BAF" w:rsidRDefault="00D45BE7" w:rsidP="00FB4867">
      <w:pPr>
        <w:keepNext/>
        <w:shd w:val="clear" w:color="auto" w:fill="FFFFFF" w:themeFill="background1"/>
      </w:pPr>
    </w:p>
    <w:p w14:paraId="7D6A4506" w14:textId="77777777" w:rsidR="00E14937" w:rsidRPr="00E34BAF" w:rsidRDefault="001A3265">
      <w:pPr>
        <w:shd w:val="clear" w:color="auto" w:fill="FFFFFF" w:themeFill="background1"/>
      </w:pPr>
      <w:r w:rsidRPr="00E34BAF">
        <w:rPr>
          <w:szCs w:val="22"/>
        </w:rPr>
        <w:fldChar w:fldCharType="begin"/>
      </w:r>
      <w:r w:rsidRPr="00E34BAF">
        <w:rPr>
          <w:szCs w:val="22"/>
        </w:rPr>
        <w:instrText xml:space="preserve"> AUTONUM  </w:instrText>
      </w:r>
      <w:r w:rsidRPr="00E34BAF">
        <w:rPr>
          <w:szCs w:val="22"/>
        </w:rPr>
        <w:fldChar w:fldCharType="end"/>
      </w:r>
      <w:r w:rsidRPr="00E34BAF">
        <w:rPr>
          <w:szCs w:val="22"/>
        </w:rPr>
        <w:tab/>
      </w:r>
      <w:r w:rsidRPr="00E34BAF">
        <w:rPr>
          <w:spacing w:val="-2"/>
        </w:rPr>
        <w:t xml:space="preserve">Le Conseil a adopté le projet d'ordre du jour révisé, tel que présenté dans le document C/58/1 </w:t>
      </w:r>
      <w:proofErr w:type="spellStart"/>
      <w:r w:rsidRPr="00E34BAF">
        <w:rPr>
          <w:spacing w:val="-2"/>
        </w:rPr>
        <w:t>Rev</w:t>
      </w:r>
      <w:proofErr w:type="spellEnd"/>
      <w:r w:rsidRPr="00E34BAF">
        <w:rPr>
          <w:spacing w:val="-2"/>
        </w:rPr>
        <w:t>.</w:t>
      </w:r>
    </w:p>
    <w:p w14:paraId="70E6F31C" w14:textId="77777777" w:rsidR="00D45BE7" w:rsidRPr="00E34BAF" w:rsidRDefault="00D45BE7" w:rsidP="00FB4867">
      <w:pPr>
        <w:shd w:val="clear" w:color="auto" w:fill="FFFFFF" w:themeFill="background1"/>
      </w:pPr>
    </w:p>
    <w:p w14:paraId="670963CB" w14:textId="77777777" w:rsidR="00D45BE7" w:rsidRPr="00E34BAF" w:rsidRDefault="00D45BE7" w:rsidP="00FB4867">
      <w:pPr>
        <w:shd w:val="clear" w:color="auto" w:fill="FFFFFF" w:themeFill="background1"/>
      </w:pPr>
    </w:p>
    <w:p w14:paraId="6E464EDD" w14:textId="35D1A689" w:rsidR="00E14937" w:rsidRPr="00E34BAF" w:rsidRDefault="001A3265">
      <w:pPr>
        <w:shd w:val="clear" w:color="auto" w:fill="FFFFFF" w:themeFill="background1"/>
        <w:rPr>
          <w:u w:val="single"/>
        </w:rPr>
      </w:pPr>
      <w:r w:rsidRPr="00E34BAF">
        <w:rPr>
          <w:rFonts w:cs="Arial"/>
          <w:u w:val="single"/>
        </w:rPr>
        <w:t xml:space="preserve">Prolongation du mandat </w:t>
      </w:r>
      <w:r w:rsidR="00D07045">
        <w:rPr>
          <w:rFonts w:cs="Arial"/>
          <w:u w:val="single"/>
        </w:rPr>
        <w:t>de la</w:t>
      </w:r>
      <w:r w:rsidRPr="00E34BAF">
        <w:rPr>
          <w:rFonts w:cs="Arial"/>
          <w:u w:val="single"/>
        </w:rPr>
        <w:t xml:space="preserve"> </w:t>
      </w:r>
      <w:r w:rsidR="00D07045" w:rsidRPr="00E34BAF">
        <w:rPr>
          <w:rFonts w:cs="Arial"/>
          <w:u w:val="single"/>
        </w:rPr>
        <w:t xml:space="preserve">Secrétaire </w:t>
      </w:r>
      <w:r w:rsidRPr="00E34BAF">
        <w:rPr>
          <w:rFonts w:cs="Arial"/>
          <w:u w:val="single"/>
        </w:rPr>
        <w:t>général</w:t>
      </w:r>
      <w:r w:rsidR="00D07045">
        <w:rPr>
          <w:rFonts w:cs="Arial"/>
          <w:u w:val="single"/>
        </w:rPr>
        <w:t>e</w:t>
      </w:r>
      <w:r w:rsidRPr="00E34BAF">
        <w:rPr>
          <w:rFonts w:cs="Arial"/>
          <w:u w:val="single"/>
        </w:rPr>
        <w:t xml:space="preserve"> adjoint</w:t>
      </w:r>
      <w:r w:rsidR="00D07045">
        <w:rPr>
          <w:rFonts w:cs="Arial"/>
          <w:u w:val="single"/>
        </w:rPr>
        <w:t>e</w:t>
      </w:r>
    </w:p>
    <w:p w14:paraId="1A4C789C" w14:textId="77777777" w:rsidR="00D45BE7" w:rsidRPr="00E34BAF" w:rsidRDefault="00D45BE7" w:rsidP="00FB4867">
      <w:pPr>
        <w:shd w:val="clear" w:color="auto" w:fill="FFFFFF" w:themeFill="background1"/>
      </w:pPr>
    </w:p>
    <w:p w14:paraId="02BBCA1F" w14:textId="77777777" w:rsidR="00E14937" w:rsidRPr="00E34BAF" w:rsidRDefault="001A3265">
      <w:pPr>
        <w:shd w:val="clear" w:color="auto" w:fill="FFFFFF" w:themeFill="background1"/>
        <w:rPr>
          <w:rFonts w:cs="Arial"/>
        </w:rPr>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Le Conseil a examiné le document C/58/4.</w:t>
      </w:r>
    </w:p>
    <w:p w14:paraId="7945CBBE" w14:textId="77777777" w:rsidR="00D45BE7" w:rsidRPr="00E34BAF" w:rsidRDefault="00D45BE7" w:rsidP="00FB4867">
      <w:pPr>
        <w:shd w:val="clear" w:color="auto" w:fill="FFFFFF" w:themeFill="background1"/>
        <w:rPr>
          <w:rFonts w:cs="Arial"/>
        </w:rPr>
      </w:pPr>
    </w:p>
    <w:p w14:paraId="05A638FB" w14:textId="090D93D8"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a décidé </w:t>
      </w:r>
      <w:r w:rsidR="009631D8" w:rsidRPr="00E34BAF">
        <w:t xml:space="preserve">de </w:t>
      </w:r>
      <w:r w:rsidR="004B072E" w:rsidRPr="00E34BAF">
        <w:t xml:space="preserve">proroger les nominations </w:t>
      </w:r>
      <w:r w:rsidR="00D07045">
        <w:t xml:space="preserve">de la </w:t>
      </w:r>
      <w:r w:rsidR="00D07045" w:rsidRPr="00283618">
        <w:t>Secrétaire général</w:t>
      </w:r>
      <w:r w:rsidR="00D07045">
        <w:t>e</w:t>
      </w:r>
      <w:r w:rsidR="00D07045" w:rsidRPr="00283618">
        <w:t xml:space="preserve"> adjoint</w:t>
      </w:r>
      <w:r w:rsidR="00D07045">
        <w:t>e</w:t>
      </w:r>
      <w:r w:rsidR="00D07045" w:rsidRPr="00283618">
        <w:t xml:space="preserve"> et du Directeur des affaires juridiques et la promotion du Directeur du développement mondial et des affaires techniques du 15 octobre 2025 au 14 octobre 2028</w:t>
      </w:r>
      <w:r w:rsidR="00C03B0E" w:rsidRPr="00E34BAF">
        <w:t>.</w:t>
      </w:r>
    </w:p>
    <w:p w14:paraId="54E4B073" w14:textId="77777777" w:rsidR="004B072E" w:rsidRPr="00E34BAF" w:rsidRDefault="004B072E" w:rsidP="00FB4867">
      <w:pPr>
        <w:shd w:val="clear" w:color="auto" w:fill="FFFFFF" w:themeFill="background1"/>
      </w:pPr>
    </w:p>
    <w:p w14:paraId="64521F9D" w14:textId="161713D8"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a décidé </w:t>
      </w:r>
      <w:r w:rsidR="004B072E" w:rsidRPr="00E34BAF">
        <w:t xml:space="preserve">qu'après le 14 octobre 2028, </w:t>
      </w:r>
      <w:r w:rsidR="00D07045" w:rsidRPr="00283618">
        <w:t xml:space="preserve">la durée de la nomination du Directeur des affaires juridiques et de la promotion du Directeur du développement mondial et des affaires techniques </w:t>
      </w:r>
      <w:r w:rsidR="00D07045">
        <w:t xml:space="preserve">ne soit </w:t>
      </w:r>
      <w:r w:rsidR="00D07045" w:rsidRPr="00283618">
        <w:t xml:space="preserve">plus liée à la durée de la nomination </w:t>
      </w:r>
      <w:r w:rsidR="00D07045">
        <w:t xml:space="preserve">de la </w:t>
      </w:r>
      <w:r w:rsidR="00D07045" w:rsidRPr="00283618">
        <w:t>Secrétaire général</w:t>
      </w:r>
      <w:r w:rsidR="00D07045">
        <w:t>e</w:t>
      </w:r>
      <w:r w:rsidR="00D07045" w:rsidRPr="00283618">
        <w:t xml:space="preserve"> adjoint</w:t>
      </w:r>
      <w:r w:rsidR="00D07045">
        <w:t>e</w:t>
      </w:r>
    </w:p>
    <w:p w14:paraId="3D93C332" w14:textId="77777777" w:rsidR="00D45BE7" w:rsidRPr="00E34BAF" w:rsidRDefault="00D45BE7" w:rsidP="00FB4867">
      <w:pPr>
        <w:shd w:val="clear" w:color="auto" w:fill="FFFFFF" w:themeFill="background1"/>
      </w:pPr>
    </w:p>
    <w:p w14:paraId="68B423FD" w14:textId="77777777" w:rsidR="00D45BE7" w:rsidRPr="00E34BAF" w:rsidRDefault="00D45BE7" w:rsidP="00FB4867">
      <w:pPr>
        <w:shd w:val="clear" w:color="auto" w:fill="FFFFFF" w:themeFill="background1"/>
      </w:pPr>
    </w:p>
    <w:p w14:paraId="61D57E0B" w14:textId="54AD1FD8" w:rsidR="00E14937" w:rsidRPr="00E34BAF" w:rsidRDefault="00D07045" w:rsidP="00D07045">
      <w:pPr>
        <w:keepNext/>
        <w:shd w:val="clear" w:color="auto" w:fill="FFFFFF" w:themeFill="background1"/>
        <w:rPr>
          <w:u w:val="single"/>
        </w:rPr>
      </w:pPr>
      <w:r w:rsidRPr="00D07045">
        <w:rPr>
          <w:u w:val="single"/>
        </w:rPr>
        <w:lastRenderedPageBreak/>
        <w:t>Rapport présenté par la Secrétaire générale adjointe sur les faits nouveaux intervenus à l’UPOV</w:t>
      </w:r>
    </w:p>
    <w:p w14:paraId="565163BB" w14:textId="77777777" w:rsidR="00D45BE7" w:rsidRPr="00E34BAF" w:rsidRDefault="00D45BE7" w:rsidP="00D07045">
      <w:pPr>
        <w:keepNext/>
        <w:shd w:val="clear" w:color="auto" w:fill="FFFFFF" w:themeFill="background1"/>
        <w:rPr>
          <w:szCs w:val="22"/>
        </w:rPr>
      </w:pPr>
    </w:p>
    <w:p w14:paraId="0B6BE0D1" w14:textId="579FFC6E" w:rsidR="00E14937" w:rsidRPr="00E34BAF" w:rsidRDefault="001A3265">
      <w:pPr>
        <w:shd w:val="clear" w:color="auto" w:fill="FFFFFF" w:themeFill="background1"/>
      </w:pPr>
      <w:r w:rsidRPr="00E34BAF">
        <w:rPr>
          <w:szCs w:val="22"/>
        </w:rPr>
        <w:fldChar w:fldCharType="begin"/>
      </w:r>
      <w:r w:rsidRPr="00E34BAF">
        <w:rPr>
          <w:szCs w:val="22"/>
        </w:rPr>
        <w:instrText xml:space="preserve"> AUTONUM  </w:instrText>
      </w:r>
      <w:r w:rsidRPr="00E34BAF">
        <w:rPr>
          <w:szCs w:val="22"/>
        </w:rPr>
        <w:fldChar w:fldCharType="end"/>
      </w:r>
      <w:r w:rsidRPr="00E34BAF">
        <w:rPr>
          <w:szCs w:val="22"/>
        </w:rPr>
        <w:tab/>
      </w:r>
      <w:r w:rsidRPr="00E34BAF">
        <w:rPr>
          <w:spacing w:val="-2"/>
        </w:rPr>
        <w:t xml:space="preserve">Le Conseil </w:t>
      </w:r>
      <w:r w:rsidRPr="00E34BAF">
        <w:t xml:space="preserve">a entendu un exposé </w:t>
      </w:r>
      <w:r w:rsidR="00D07045">
        <w:t>de</w:t>
      </w:r>
      <w:r w:rsidRPr="00E34BAF">
        <w:t xml:space="preserve"> </w:t>
      </w:r>
      <w:r w:rsidR="00D07045" w:rsidRPr="00D07045">
        <w:t>la Secrétaire générale adjointe</w:t>
      </w:r>
      <w:r w:rsidRPr="00E34BAF">
        <w:t xml:space="preserve"> et a noté qu'une copie de cet exposé serait disponible après les sessions de l'UPOV sur le site web de l'UPOV.  </w:t>
      </w:r>
    </w:p>
    <w:p w14:paraId="449C6A46" w14:textId="77777777" w:rsidR="00F931A6" w:rsidRPr="00E34BAF" w:rsidRDefault="00F931A6" w:rsidP="00FB4867">
      <w:pPr>
        <w:shd w:val="clear" w:color="auto" w:fill="FFFFFF" w:themeFill="background1"/>
      </w:pPr>
    </w:p>
    <w:p w14:paraId="3FA5C9AF" w14:textId="63B083EB"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w:t>
      </w:r>
      <w:r w:rsidR="0081482F" w:rsidRPr="00E34BAF">
        <w:t xml:space="preserve">Conseil se félicite de la signature par la </w:t>
      </w:r>
      <w:r w:rsidRPr="00E34BAF">
        <w:t xml:space="preserve">délégation de la </w:t>
      </w:r>
      <w:r w:rsidR="004A41F8" w:rsidRPr="00E34BAF">
        <w:t xml:space="preserve">Türkiye </w:t>
      </w:r>
      <w:r w:rsidR="0081482F" w:rsidRPr="00E34BAF">
        <w:t xml:space="preserve">du mandat relatif au </w:t>
      </w:r>
      <w:r w:rsidR="00D07045">
        <w:t>m</w:t>
      </w:r>
      <w:r w:rsidR="00D07045" w:rsidRPr="00D07045">
        <w:t>odule d’échange de rapports d’examen DHS de l’</w:t>
      </w:r>
      <w:r w:rsidR="00EF399F">
        <w:t>UPOV e</w:t>
      </w:r>
      <w:r w:rsidR="00EF399F">
        <w:noBreakHyphen/>
        <w:t>PVP</w:t>
      </w:r>
      <w:r w:rsidRPr="00E34BAF">
        <w:t>.</w:t>
      </w:r>
    </w:p>
    <w:p w14:paraId="563718A3" w14:textId="77777777" w:rsidR="00D45BE7" w:rsidRPr="00E34BAF" w:rsidRDefault="00D45BE7" w:rsidP="00FB4867">
      <w:pPr>
        <w:shd w:val="clear" w:color="auto" w:fill="FFFFFF" w:themeFill="background1"/>
      </w:pPr>
    </w:p>
    <w:p w14:paraId="1AB90BCB" w14:textId="77777777" w:rsidR="00D45BE7" w:rsidRPr="00E34BAF" w:rsidRDefault="00D45BE7" w:rsidP="00FB4867">
      <w:pPr>
        <w:shd w:val="clear" w:color="auto" w:fill="FFFFFF" w:themeFill="background1"/>
      </w:pPr>
    </w:p>
    <w:p w14:paraId="480637C6" w14:textId="72D83094" w:rsidR="00E14937" w:rsidRPr="00E34BAF" w:rsidRDefault="00D07045">
      <w:pPr>
        <w:shd w:val="clear" w:color="auto" w:fill="FFFFFF" w:themeFill="background1"/>
        <w:rPr>
          <w:u w:val="single"/>
        </w:rPr>
      </w:pPr>
      <w:r w:rsidRPr="00D07045">
        <w:rPr>
          <w:u w:val="single"/>
        </w:rPr>
        <w:t>Faits nouveaux concernant le projet de loi sur la protection des obtentions végétales des Émirats arabes unis</w:t>
      </w:r>
    </w:p>
    <w:p w14:paraId="31967648" w14:textId="77777777" w:rsidR="00D45BE7" w:rsidRPr="00E34BAF" w:rsidRDefault="00D45BE7" w:rsidP="00FB4867">
      <w:pPr>
        <w:shd w:val="clear" w:color="auto" w:fill="FFFFFF" w:themeFill="background1"/>
      </w:pPr>
    </w:p>
    <w:p w14:paraId="74446957" w14:textId="77777777" w:rsidR="00E14937" w:rsidRPr="00E34BAF" w:rsidRDefault="001A3265">
      <w:pPr>
        <w:shd w:val="clear" w:color="auto" w:fill="FFFFFF" w:themeFill="background1"/>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 xml:space="preserve">Le Conseil a examiné le </w:t>
      </w:r>
      <w:r w:rsidRPr="00E34BAF">
        <w:t>document C/58/17.</w:t>
      </w:r>
    </w:p>
    <w:p w14:paraId="7F8A2FDA" w14:textId="77777777" w:rsidR="00D45BE7" w:rsidRPr="00E34BAF" w:rsidRDefault="00D45BE7" w:rsidP="00FB4867">
      <w:pPr>
        <w:shd w:val="clear" w:color="auto" w:fill="FFFFFF" w:themeFill="background1"/>
      </w:pPr>
    </w:p>
    <w:p w14:paraId="735ACB22" w14:textId="1086E939" w:rsidR="00E14937" w:rsidRPr="00E34BAF" w:rsidRDefault="001A3265">
      <w:pPr>
        <w:keepNext/>
        <w:shd w:val="clear" w:color="auto" w:fill="FFFFFF" w:themeFill="background1"/>
      </w:pPr>
      <w:r w:rsidRPr="00E34BAF">
        <w:rPr>
          <w:i/>
          <w:iCs/>
        </w:rPr>
        <w:fldChar w:fldCharType="begin"/>
      </w:r>
      <w:r w:rsidRPr="00E34BAF">
        <w:rPr>
          <w:iCs/>
        </w:rPr>
        <w:instrText xml:space="preserve"> AUTONUM  </w:instrText>
      </w:r>
      <w:r w:rsidRPr="00E34BAF">
        <w:rPr>
          <w:i/>
          <w:iCs/>
        </w:rPr>
        <w:fldChar w:fldCharType="end"/>
      </w:r>
      <w:r w:rsidRPr="00E34BAF">
        <w:tab/>
        <w:t>Le Conseil</w:t>
      </w:r>
      <w:r w:rsidR="00EA33D5">
        <w:t>:</w:t>
      </w:r>
      <w:r w:rsidRPr="00E34BAF">
        <w:t xml:space="preserve"> </w:t>
      </w:r>
    </w:p>
    <w:p w14:paraId="7D2FCAD0" w14:textId="77777777" w:rsidR="00D45BE7" w:rsidRPr="00E34BAF" w:rsidRDefault="00D45BE7" w:rsidP="00FB4867">
      <w:pPr>
        <w:keepNext/>
        <w:shd w:val="clear" w:color="auto" w:fill="FFFFFF" w:themeFill="background1"/>
      </w:pPr>
    </w:p>
    <w:p w14:paraId="65ED7E28" w14:textId="77777777" w:rsidR="00D07045" w:rsidRPr="00283618" w:rsidRDefault="00D07045" w:rsidP="00D07045">
      <w:r w:rsidRPr="00283618">
        <w:tab/>
        <w:t>(a)</w:t>
      </w:r>
      <w:r>
        <w:tab/>
      </w:r>
      <w:r w:rsidRPr="00283618">
        <w:t>a noté que certaines dispositions du projet de loi sur la protection des variétés végétales des Émirats arabes unis, modifié en dernier lieu en 2024, contenaient des modifications par rapport au texte des dispositions correspondantes du projet de loi soumis au Conseil en 2020 (décision du Conseil par correspondance, initiée par la circulaire E-20/101 de l'UPOV du 28 juillet 2020) ;</w:t>
      </w:r>
    </w:p>
    <w:p w14:paraId="630DC209" w14:textId="77777777" w:rsidR="00D07045" w:rsidRPr="00283618" w:rsidRDefault="00D07045" w:rsidP="00D07045"/>
    <w:p w14:paraId="21D9B6A0" w14:textId="77777777" w:rsidR="00D07045" w:rsidRPr="00283618" w:rsidRDefault="00D07045" w:rsidP="00D07045">
      <w:r w:rsidRPr="00283618">
        <w:tab/>
        <w:t>(b)</w:t>
      </w:r>
      <w:r>
        <w:tab/>
      </w:r>
      <w:r w:rsidRPr="00283618">
        <w:t>est convenu que les modifications introduites dans le projet de loi sur la protection des obtentions végétales des Émirats arabes unis, modifié en dernier lieu en 2024 (projet de loi de 2024), présenté à l'annexe</w:t>
      </w:r>
      <w:r>
        <w:t> </w:t>
      </w:r>
      <w:r w:rsidRPr="00283618">
        <w:t>II du document C/58/17, n'ont pas d'incidence sur les dispositions de fond de l'Acte de 1991 de la Convention UPOV et, sous réserve de cet accord,</w:t>
      </w:r>
    </w:p>
    <w:p w14:paraId="383FEC6C" w14:textId="77777777" w:rsidR="00D07045" w:rsidRPr="00283618" w:rsidRDefault="00D07045" w:rsidP="00D07045"/>
    <w:p w14:paraId="075DABFA" w14:textId="1AF72312" w:rsidR="00D07045" w:rsidRPr="00283618" w:rsidRDefault="00D07045" w:rsidP="00D07045">
      <w:r w:rsidRPr="00283618">
        <w:tab/>
        <w:t>(c)</w:t>
      </w:r>
      <w:r w:rsidRPr="00283618">
        <w:tab/>
        <w:t>a réaffirm</w:t>
      </w:r>
      <w:r>
        <w:t>é</w:t>
      </w:r>
      <w:r w:rsidRPr="00283618">
        <w:t xml:space="preserve"> la décision de conformité du 28 juillet 2020 et demand</w:t>
      </w:r>
      <w:r>
        <w:t>é</w:t>
      </w:r>
      <w:r w:rsidRPr="00283618">
        <w:t xml:space="preserve"> au Bureau de l'Union d'informer le gouvernement des Émirats arabes unis qu'une fois le projet de loi de 2024 adopté sans modification, l'instrument d'adhésion des Émirats arabes unis pourrait être déposé.</w:t>
      </w:r>
    </w:p>
    <w:p w14:paraId="7CA7F521" w14:textId="77777777" w:rsidR="00D45BE7" w:rsidRPr="00E34BAF" w:rsidRDefault="00D45BE7" w:rsidP="00FB4867">
      <w:pPr>
        <w:shd w:val="clear" w:color="auto" w:fill="FFFFFF" w:themeFill="background1"/>
      </w:pPr>
    </w:p>
    <w:p w14:paraId="5273DC43" w14:textId="77777777" w:rsidR="00E14937" w:rsidRPr="00E34BAF" w:rsidRDefault="001A3265">
      <w:pPr>
        <w:shd w:val="clear" w:color="auto" w:fill="FFFFFF" w:themeFill="background1"/>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r>
      <w:r w:rsidRPr="00E34BAF">
        <w:t>La délégation des Émirats arabes unis se félicite de la décision positive du Conseil en ce qui concerne l'examen des parties pertinentes du projet de loi sur la protection des obtentions végétales des Émirats arabes unis, modifié en dernier lieu en 2024, avec l'Acte de 1991 de la Convention UPOV. Il se réjouit à la perspective de travailler en étroite collaboration avec l'UPOV en vue de l'adhésion à la Convention UPOV et de coopérer avec les membres de l'Union.</w:t>
      </w:r>
    </w:p>
    <w:p w14:paraId="41D5D81F" w14:textId="77777777" w:rsidR="00D45BE7" w:rsidRPr="00E34BAF" w:rsidRDefault="00D45BE7" w:rsidP="00FB4867">
      <w:pPr>
        <w:shd w:val="clear" w:color="auto" w:fill="FFFFFF" w:themeFill="background1"/>
        <w:jc w:val="left"/>
      </w:pPr>
    </w:p>
    <w:p w14:paraId="43D0F8AD" w14:textId="77777777" w:rsidR="006E0CA4" w:rsidRPr="00E34BAF" w:rsidRDefault="006E0CA4" w:rsidP="00FB4867">
      <w:pPr>
        <w:shd w:val="clear" w:color="auto" w:fill="FFFFFF" w:themeFill="background1"/>
        <w:jc w:val="left"/>
      </w:pPr>
    </w:p>
    <w:p w14:paraId="42E0CF67" w14:textId="160934C5" w:rsidR="00E14937" w:rsidRPr="00E34BAF" w:rsidRDefault="001A3265">
      <w:pPr>
        <w:shd w:val="clear" w:color="auto" w:fill="FFFFFF" w:themeFill="background1"/>
        <w:rPr>
          <w:u w:val="single"/>
        </w:rPr>
      </w:pPr>
      <w:r w:rsidRPr="00E34BAF">
        <w:rPr>
          <w:u w:val="single"/>
        </w:rPr>
        <w:t>Examen de la conformité de</w:t>
      </w:r>
      <w:bookmarkStart w:id="0" w:name="_Hlk180173499"/>
      <w:r w:rsidRPr="00E34BAF">
        <w:rPr>
          <w:u w:val="single"/>
        </w:rPr>
        <w:t xml:space="preserve"> la loi sur la propriété intellectuelle, partie IV Nouvelle variété végétale</w:t>
      </w:r>
      <w:bookmarkEnd w:id="0"/>
      <w:r w:rsidRPr="00E34BAF">
        <w:rPr>
          <w:u w:val="single"/>
        </w:rPr>
        <w:t>, de la République démocratique populaire lao avec l'Acte de 1991 de la Convention UPOV</w:t>
      </w:r>
    </w:p>
    <w:p w14:paraId="458171FE" w14:textId="77777777" w:rsidR="00D45BE7" w:rsidRPr="00E34BAF" w:rsidRDefault="00D45BE7" w:rsidP="00FB4867">
      <w:pPr>
        <w:shd w:val="clear" w:color="auto" w:fill="FFFFFF" w:themeFill="background1"/>
      </w:pPr>
    </w:p>
    <w:p w14:paraId="11FEF35F" w14:textId="77777777" w:rsidR="00E14937" w:rsidRPr="00E34BAF" w:rsidRDefault="001A3265">
      <w:pPr>
        <w:shd w:val="clear" w:color="auto" w:fill="FFFFFF" w:themeFill="background1"/>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 xml:space="preserve">Le Conseil a examiné le </w:t>
      </w:r>
      <w:r w:rsidRPr="00E34BAF">
        <w:t>document C/58/18.</w:t>
      </w:r>
    </w:p>
    <w:p w14:paraId="7CCB2BAB" w14:textId="77777777" w:rsidR="00065A9A" w:rsidRPr="00E34BAF" w:rsidRDefault="00065A9A" w:rsidP="00FB4867">
      <w:pPr>
        <w:shd w:val="clear" w:color="auto" w:fill="FFFFFF" w:themeFill="background1"/>
      </w:pPr>
    </w:p>
    <w:p w14:paraId="19574D1D" w14:textId="06023BF4" w:rsidR="00E14937" w:rsidRPr="00E34BAF" w:rsidRDefault="001A3265">
      <w:pPr>
        <w:shd w:val="clear" w:color="auto" w:fill="FFFFFF" w:themeFill="background1"/>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 xml:space="preserve">Le Conseil </w:t>
      </w:r>
      <w:r w:rsidR="000A05D9" w:rsidRPr="00E34BAF">
        <w:rPr>
          <w:rFonts w:cs="Arial"/>
        </w:rPr>
        <w:t>a décidé de</w:t>
      </w:r>
      <w:r w:rsidR="00EA33D5">
        <w:rPr>
          <w:rFonts w:cs="Arial"/>
        </w:rPr>
        <w:t>:</w:t>
      </w:r>
    </w:p>
    <w:p w14:paraId="45360D1A" w14:textId="77777777" w:rsidR="00065A9A" w:rsidRPr="00E34BAF" w:rsidRDefault="00065A9A" w:rsidP="00FB4867">
      <w:pPr>
        <w:shd w:val="clear" w:color="auto" w:fill="FFFFFF" w:themeFill="background1"/>
      </w:pPr>
    </w:p>
    <w:p w14:paraId="45A187CB" w14:textId="77777777" w:rsidR="00E14937" w:rsidRPr="00E34BAF" w:rsidRDefault="001A3265">
      <w:pPr>
        <w:shd w:val="clear" w:color="auto" w:fill="FFFFFF" w:themeFill="background1"/>
      </w:pPr>
      <w:r w:rsidRPr="00E34BAF">
        <w:tab/>
        <w:t xml:space="preserve">(a) </w:t>
      </w:r>
      <w:r w:rsidRPr="00E34BAF">
        <w:tab/>
        <w:t xml:space="preserve">prendre note de l'analyse figurant dans le document C/58/18 ; </w:t>
      </w:r>
    </w:p>
    <w:p w14:paraId="60E35F6B" w14:textId="77777777" w:rsidR="003E14E4" w:rsidRPr="00E34BAF" w:rsidRDefault="003E14E4" w:rsidP="00FB4867">
      <w:pPr>
        <w:shd w:val="clear" w:color="auto" w:fill="FFFFFF" w:themeFill="background1"/>
      </w:pPr>
    </w:p>
    <w:p w14:paraId="0DD08290" w14:textId="00220AAE" w:rsidR="00E14937" w:rsidRPr="00E34BAF" w:rsidRDefault="001A3265">
      <w:pPr>
        <w:shd w:val="clear" w:color="auto" w:fill="FFFFFF" w:themeFill="background1"/>
      </w:pPr>
      <w:r w:rsidRPr="00E34BAF">
        <w:tab/>
        <w:t xml:space="preserve">(b) </w:t>
      </w:r>
      <w:r w:rsidRPr="00E34BAF">
        <w:tab/>
        <w:t>prendre une décision positive sur la conformité de la loi avec les dispositions de l'Acte de 1991, ce qui permet à la République démocratique populaire lao de déposer son instrument d'adhésion à l'Acte</w:t>
      </w:r>
      <w:r w:rsidR="00D07045">
        <w:t> </w:t>
      </w:r>
      <w:r w:rsidRPr="00E34BAF">
        <w:t>de</w:t>
      </w:r>
      <w:r w:rsidR="00D07045">
        <w:t> </w:t>
      </w:r>
      <w:r w:rsidRPr="00E34BAF">
        <w:t xml:space="preserve">1991 ; et </w:t>
      </w:r>
    </w:p>
    <w:p w14:paraId="132D7700" w14:textId="77777777" w:rsidR="003E14E4" w:rsidRPr="00E34BAF" w:rsidRDefault="003E14E4" w:rsidP="00FB4867">
      <w:pPr>
        <w:shd w:val="clear" w:color="auto" w:fill="FFFFFF" w:themeFill="background1"/>
      </w:pPr>
    </w:p>
    <w:p w14:paraId="523B06AD" w14:textId="77777777" w:rsidR="00E14937" w:rsidRPr="00E34BAF" w:rsidRDefault="001A3265">
      <w:pPr>
        <w:shd w:val="clear" w:color="auto" w:fill="FFFFFF" w:themeFill="background1"/>
      </w:pPr>
      <w:r w:rsidRPr="00E34BAF">
        <w:tab/>
        <w:t xml:space="preserve">(c) </w:t>
      </w:r>
      <w:r w:rsidRPr="00E34BAF">
        <w:tab/>
        <w:t>d'autoriser le Secrétaire général à informer le gouvernement de la République démocratique populaire lao de la décision susmentionnée.</w:t>
      </w:r>
    </w:p>
    <w:p w14:paraId="3D7C0638" w14:textId="77777777" w:rsidR="00D45BE7" w:rsidRPr="00E34BAF" w:rsidRDefault="00D45BE7" w:rsidP="00FB4867">
      <w:pPr>
        <w:shd w:val="clear" w:color="auto" w:fill="FFFFFF" w:themeFill="background1"/>
      </w:pPr>
    </w:p>
    <w:p w14:paraId="5A077759" w14:textId="1E4EA87C"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La délégation de la République démocratique populaire lao se félicite de la décision positive du Conseil en ce qui concerne l'examen de la loi sur la propriété intellectuelle, </w:t>
      </w:r>
      <w:r w:rsidR="00D07045" w:rsidRPr="00D07045">
        <w:t>partie IV</w:t>
      </w:r>
      <w:r w:rsidRPr="00E34BAF">
        <w:t xml:space="preserve"> Nouvelle variété végétale, du point de vue de sa conformité avec l'Acte de 1991 de la Convention UPOV. </w:t>
      </w:r>
      <w:r w:rsidR="006E0CA4" w:rsidRPr="00E34BAF">
        <w:t>Elle se réjouit à la perspective de travailler en étroite collaboration avec l'UPOV en vue de l'adhésion à la Convention UPOV et de coopérer avec les membres de l'Union.</w:t>
      </w:r>
    </w:p>
    <w:p w14:paraId="6B7A6579" w14:textId="77777777" w:rsidR="003E14E4" w:rsidRPr="00E34BAF" w:rsidRDefault="003E14E4" w:rsidP="00FB4867">
      <w:pPr>
        <w:shd w:val="clear" w:color="auto" w:fill="FFFFFF" w:themeFill="background1"/>
      </w:pPr>
    </w:p>
    <w:p w14:paraId="5193D27C" w14:textId="77777777" w:rsidR="00C30885" w:rsidRPr="00E34BAF" w:rsidRDefault="00C30885" w:rsidP="00FB4867">
      <w:pPr>
        <w:shd w:val="clear" w:color="auto" w:fill="FFFFFF" w:themeFill="background1"/>
      </w:pPr>
    </w:p>
    <w:p w14:paraId="2EFEBEE2" w14:textId="2AF7D68C" w:rsidR="00E14937" w:rsidRPr="00E34BAF" w:rsidRDefault="00EF399F" w:rsidP="00EF399F">
      <w:pPr>
        <w:keepNext/>
        <w:keepLines/>
        <w:shd w:val="clear" w:color="auto" w:fill="FFFFFF" w:themeFill="background1"/>
        <w:rPr>
          <w:u w:val="single"/>
        </w:rPr>
      </w:pPr>
      <w:r w:rsidRPr="00EF399F">
        <w:rPr>
          <w:u w:val="single"/>
        </w:rPr>
        <w:lastRenderedPageBreak/>
        <w:t>Rapport du président sur les travaux de la cent-deuxième session du Comité consultatif; adoption,</w:t>
      </w:r>
      <w:r>
        <w:rPr>
          <w:u w:val="single"/>
        </w:rPr>
        <w:t xml:space="preserve"> </w:t>
      </w:r>
      <w:r w:rsidRPr="00EF399F">
        <w:rPr>
          <w:u w:val="single"/>
        </w:rPr>
        <w:t>le cas échéant, des recommandations élaborées par ce comité</w:t>
      </w:r>
    </w:p>
    <w:p w14:paraId="7DEDA3CA" w14:textId="77777777" w:rsidR="00D45BE7" w:rsidRPr="00E34BAF" w:rsidRDefault="00D45BE7" w:rsidP="00FB4867">
      <w:pPr>
        <w:keepNext/>
        <w:keepLines/>
        <w:shd w:val="clear" w:color="auto" w:fill="FFFFFF" w:themeFill="background1"/>
      </w:pPr>
    </w:p>
    <w:p w14:paraId="20B1655C" w14:textId="77777777" w:rsidR="00E14937" w:rsidRPr="00E34BAF" w:rsidRDefault="001A3265">
      <w:pPr>
        <w:keepNext/>
        <w:keepLines/>
        <w:shd w:val="clear" w:color="auto" w:fill="FFFFFF" w:themeFill="background1"/>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 xml:space="preserve">Le Conseil a examiné le document </w:t>
      </w:r>
      <w:r w:rsidRPr="00E34BAF">
        <w:t>C/58/15.</w:t>
      </w:r>
    </w:p>
    <w:p w14:paraId="508A4054" w14:textId="77777777" w:rsidR="00D45BE7" w:rsidRPr="00E34BAF" w:rsidRDefault="00D45BE7" w:rsidP="00FB4867">
      <w:pPr>
        <w:keepNext/>
        <w:keepLines/>
        <w:shd w:val="clear" w:color="auto" w:fill="FFFFFF" w:themeFill="background1"/>
      </w:pPr>
    </w:p>
    <w:p w14:paraId="62D2C269" w14:textId="2FA608D4"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Sur la base des recommandations du Comité consultatif, le Conseil </w:t>
      </w:r>
      <w:r w:rsidR="00F733F1" w:rsidRPr="00E34BAF">
        <w:t>a autorisé l'</w:t>
      </w:r>
      <w:r w:rsidRPr="00E34BAF">
        <w:t>utilisation d</w:t>
      </w:r>
      <w:r w:rsidR="00EF399F">
        <w:t>’UPOV e</w:t>
      </w:r>
      <w:r w:rsidR="00EF399F">
        <w:noBreakHyphen/>
        <w:t>PVP</w:t>
      </w:r>
      <w:r w:rsidR="00DB11ED" w:rsidRPr="00E34BAF">
        <w:t xml:space="preserve"> </w:t>
      </w:r>
      <w:r w:rsidRPr="00E34BAF">
        <w:t>par les États et les organisations qui sont en train de devenir membres de l'UPOV, comme suit</w:t>
      </w:r>
      <w:r w:rsidR="00EA33D5">
        <w:t>:</w:t>
      </w:r>
    </w:p>
    <w:p w14:paraId="4A792590" w14:textId="77777777" w:rsidR="00ED4BE5" w:rsidRPr="00E34BAF" w:rsidRDefault="00ED4BE5" w:rsidP="00FB4867">
      <w:pPr>
        <w:shd w:val="clear" w:color="auto" w:fill="FFFFFF" w:themeFill="background1"/>
      </w:pPr>
    </w:p>
    <w:p w14:paraId="55DEB741" w14:textId="77777777" w:rsidR="00837DE1" w:rsidRPr="00283618" w:rsidRDefault="00837DE1" w:rsidP="00837DE1">
      <w:pPr>
        <w:pStyle w:val="ListParagraph"/>
        <w:numPr>
          <w:ilvl w:val="0"/>
          <w:numId w:val="3"/>
        </w:numPr>
        <w:rPr>
          <w:spacing w:val="-2"/>
        </w:rPr>
      </w:pPr>
      <w:bookmarkStart w:id="1" w:name="_Hlk180706533"/>
      <w:r>
        <w:rPr>
          <w:spacing w:val="-2"/>
        </w:rPr>
        <w:t xml:space="preserve">Avoir </w:t>
      </w:r>
      <w:r w:rsidRPr="00283618">
        <w:rPr>
          <w:spacing w:val="-2"/>
        </w:rPr>
        <w:t>obten</w:t>
      </w:r>
      <w:r>
        <w:rPr>
          <w:spacing w:val="-2"/>
        </w:rPr>
        <w:t>u</w:t>
      </w:r>
      <w:r w:rsidRPr="00283618">
        <w:rPr>
          <w:spacing w:val="-2"/>
        </w:rPr>
        <w:t xml:space="preserve"> un avis positif du Conseil sur la conformité de la législation avec la Convention UPOV</w:t>
      </w:r>
    </w:p>
    <w:p w14:paraId="5C291D04" w14:textId="77777777" w:rsidR="00837DE1" w:rsidRPr="00283618" w:rsidRDefault="00837DE1" w:rsidP="00837DE1">
      <w:pPr>
        <w:pStyle w:val="ListParagraph"/>
        <w:numPr>
          <w:ilvl w:val="0"/>
          <w:numId w:val="3"/>
        </w:numPr>
        <w:rPr>
          <w:spacing w:val="-2"/>
        </w:rPr>
      </w:pPr>
      <w:r w:rsidRPr="00283618">
        <w:rPr>
          <w:spacing w:val="-2"/>
        </w:rPr>
        <w:t xml:space="preserve">L'utilisation d'e-PVP serait autorisée pendant une période d'essai de trois ans. </w:t>
      </w:r>
    </w:p>
    <w:p w14:paraId="304B0B94" w14:textId="77777777" w:rsidR="00837DE1" w:rsidRPr="00283618" w:rsidRDefault="00837DE1" w:rsidP="00837DE1">
      <w:pPr>
        <w:pStyle w:val="ListParagraph"/>
        <w:numPr>
          <w:ilvl w:val="0"/>
          <w:numId w:val="3"/>
        </w:numPr>
        <w:rPr>
          <w:spacing w:val="-2"/>
        </w:rPr>
      </w:pPr>
      <w:r w:rsidRPr="00283618">
        <w:rPr>
          <w:spacing w:val="-2"/>
        </w:rPr>
        <w:t>D'autres critères pourraient être établis pour garantir une utilisation efficace des ressources.  L'utilisation d</w:t>
      </w:r>
      <w:r>
        <w:rPr>
          <w:spacing w:val="-2"/>
        </w:rPr>
        <w:t>’</w:t>
      </w:r>
      <w:r w:rsidRPr="00283618">
        <w:rPr>
          <w:spacing w:val="-2"/>
        </w:rPr>
        <w:t>UPOV e-PVP par tout État et toute organisation en passe de devenir membre de l'UPOV serait périodiquement rendue au Comité consultatif dans le document d'information intitulé "Situation concernant les États et les organisations intergouvernementales qui ont entamé la procédure d'adhésion à la Convention UPOV ou qui ont pris contact avec le Bureau de l'Union en vue d'obtenir une assistance pour l'élaboration de lois fondées sur la Convention UPOV".</w:t>
      </w:r>
    </w:p>
    <w:bookmarkEnd w:id="1"/>
    <w:p w14:paraId="350B09B4" w14:textId="77777777" w:rsidR="00534D28" w:rsidRPr="00E34BAF" w:rsidRDefault="00534D28" w:rsidP="00FB4867">
      <w:pPr>
        <w:keepNext/>
        <w:keepLines/>
        <w:shd w:val="clear" w:color="auto" w:fill="FFFFFF" w:themeFill="background1"/>
      </w:pPr>
    </w:p>
    <w:p w14:paraId="0380165C" w14:textId="2BE28A7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r>
      <w:r w:rsidR="003F4596" w:rsidRPr="00E34BAF">
        <w:t>Le représentant de l</w:t>
      </w:r>
      <w:r w:rsidR="00EA4464" w:rsidRPr="00E34BAF">
        <w:t>'</w:t>
      </w:r>
      <w:r w:rsidR="003F4596" w:rsidRPr="00E34BAF">
        <w:t xml:space="preserve">Association for Plant </w:t>
      </w:r>
      <w:proofErr w:type="spellStart"/>
      <w:r w:rsidR="003F4596" w:rsidRPr="00E34BAF">
        <w:t>Breeding</w:t>
      </w:r>
      <w:proofErr w:type="spellEnd"/>
      <w:r w:rsidR="003F4596" w:rsidRPr="00E34BAF">
        <w:t xml:space="preserve"> for the </w:t>
      </w:r>
      <w:proofErr w:type="spellStart"/>
      <w:r w:rsidR="003F4596" w:rsidRPr="00E34BAF">
        <w:t>Benefit</w:t>
      </w:r>
      <w:proofErr w:type="spellEnd"/>
      <w:r w:rsidR="003F4596" w:rsidRPr="00E34BAF">
        <w:t xml:space="preserve"> of Society (APBREBES) </w:t>
      </w:r>
      <w:r w:rsidRPr="00E34BAF">
        <w:t xml:space="preserve">a demandé, en ce qui concerne le </w:t>
      </w:r>
      <w:r w:rsidR="00EA4464" w:rsidRPr="00E34BAF">
        <w:t>point de l'ordre du jour du Comité consultatif intitulé "</w:t>
      </w:r>
      <w:r w:rsidR="00B316F0" w:rsidRPr="00B316F0">
        <w:t>Compte rendu du Groupe de travail sur les orientations concernant les petits exploitants agricoles en lien avec l'utilisation à des fins privées et non commerciales</w:t>
      </w:r>
      <w:r w:rsidRPr="00E34BAF">
        <w:t xml:space="preserve"> (WG-SHF</w:t>
      </w:r>
      <w:r w:rsidR="00EA4464" w:rsidRPr="00E34BAF">
        <w:t>)"</w:t>
      </w:r>
      <w:r w:rsidRPr="00E34BAF">
        <w:t xml:space="preserve">, que le champ d'application du séminaire </w:t>
      </w:r>
      <w:r w:rsidR="003F4596" w:rsidRPr="00E34BAF">
        <w:t xml:space="preserve">qui se tiendra en 2026 </w:t>
      </w:r>
      <w:r w:rsidRPr="00E34BAF">
        <w:t>soit axé sur les termes de référence du WG-SHF.</w:t>
      </w:r>
    </w:p>
    <w:p w14:paraId="63E68456" w14:textId="77777777" w:rsidR="00534D28" w:rsidRPr="00E34BAF" w:rsidRDefault="00534D28" w:rsidP="00FB4867">
      <w:pPr>
        <w:keepNext/>
        <w:keepLines/>
        <w:shd w:val="clear" w:color="auto" w:fill="FFFFFF" w:themeFill="background1"/>
      </w:pPr>
    </w:p>
    <w:p w14:paraId="1D6FCAEF" w14:textId="2CE6BD24" w:rsidR="00E14937" w:rsidRPr="00E34BAF" w:rsidRDefault="001A3265">
      <w:pPr>
        <w:keepNext/>
        <w:keepLines/>
        <w:shd w:val="clear" w:color="auto" w:fill="FFFFFF" w:themeFill="background1"/>
      </w:pPr>
      <w:r w:rsidRPr="00E34BAF">
        <w:fldChar w:fldCharType="begin"/>
      </w:r>
      <w:r w:rsidRPr="00E34BAF">
        <w:instrText xml:space="preserve"> AUTONUM  </w:instrText>
      </w:r>
      <w:r w:rsidRPr="00E34BAF">
        <w:fldChar w:fldCharType="end"/>
      </w:r>
      <w:r w:rsidRPr="00E34BAF">
        <w:tab/>
        <w:t>La délégation du Japon est d'avis que le séminaire devrait se concentrer sur l'accès aux nouvelles variétés.</w:t>
      </w:r>
    </w:p>
    <w:p w14:paraId="64C8F7AE" w14:textId="77777777" w:rsidR="00534D28" w:rsidRPr="00E34BAF" w:rsidRDefault="00534D28" w:rsidP="00FB4867">
      <w:pPr>
        <w:keepNext/>
        <w:keepLines/>
        <w:shd w:val="clear" w:color="auto" w:fill="FFFFFF" w:themeFill="background1"/>
      </w:pPr>
    </w:p>
    <w:p w14:paraId="0CD2CBA5" w14:textId="2227445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La </w:t>
      </w:r>
      <w:r w:rsidR="00B316F0" w:rsidRPr="00E34BAF">
        <w:t xml:space="preserve">Secrétaire </w:t>
      </w:r>
      <w:r w:rsidRPr="00E34BAF">
        <w:t xml:space="preserve">générale adjointe de l'UPOV </w:t>
      </w:r>
      <w:r w:rsidR="00FF186D" w:rsidRPr="00E34BAF">
        <w:t>a</w:t>
      </w:r>
      <w:r w:rsidRPr="00E34BAF">
        <w:t xml:space="preserve"> rappelé que le Comité consultatif est convenu que le Bureau de l'Union s'adressera aux membres de l'UPOV qui ont pris la parole au cours de sa cent</w:t>
      </w:r>
      <w:r w:rsidR="00B316F0">
        <w:t xml:space="preserve"> </w:t>
      </w:r>
      <w:r w:rsidRPr="00E34BAF">
        <w:t xml:space="preserve">deuxième session afin de recenser des propositions pour le projet de programme ainsi que des exemples et des données à présenter au cours du séminaire. </w:t>
      </w:r>
      <w:r w:rsidR="00FF186D" w:rsidRPr="00E34BAF">
        <w:t xml:space="preserve">Elle a en outre noté que le Comité consultatif est convenu que les travaux du WG-SHF seraient canalisés en tant que contribution pour aider à l'organisation du séminaire </w:t>
      </w:r>
      <w:r w:rsidR="00AA1122" w:rsidRPr="00E34BAF">
        <w:t>en 2026</w:t>
      </w:r>
      <w:r w:rsidR="00FF186D" w:rsidRPr="00E34BAF">
        <w:t xml:space="preserve">.  </w:t>
      </w:r>
      <w:r w:rsidRPr="00E34BAF">
        <w:t xml:space="preserve">Sur </w:t>
      </w:r>
      <w:r w:rsidR="00AA1122" w:rsidRPr="00E34BAF">
        <w:t xml:space="preserve">cette </w:t>
      </w:r>
      <w:r w:rsidRPr="00E34BAF">
        <w:t xml:space="preserve">base, </w:t>
      </w:r>
      <w:r w:rsidR="00FD78A0" w:rsidRPr="00E34BAF">
        <w:t xml:space="preserve">elle a rappelé que le </w:t>
      </w:r>
      <w:r w:rsidRPr="00E34BAF">
        <w:t xml:space="preserve">Comité consultatif </w:t>
      </w:r>
      <w:r w:rsidR="00FD78A0" w:rsidRPr="00E34BAF">
        <w:t>était convenu qu'</w:t>
      </w:r>
      <w:r w:rsidRPr="00E34BAF">
        <w:t xml:space="preserve">un projet de programme d'un séminaire serait présenté pour examen par le Comité consultatif lors de sa cent troisième session le </w:t>
      </w:r>
      <w:r w:rsidR="00AA1122" w:rsidRPr="00E34BAF">
        <w:t xml:space="preserve">23 </w:t>
      </w:r>
      <w:r w:rsidRPr="00E34BAF">
        <w:t>octobre 2025.</w:t>
      </w:r>
    </w:p>
    <w:p w14:paraId="0DDB2EF8" w14:textId="77777777" w:rsidR="00534D28" w:rsidRPr="00E34BAF" w:rsidRDefault="00534D28" w:rsidP="00FB4867">
      <w:pPr>
        <w:keepNext/>
        <w:keepLines/>
        <w:shd w:val="clear" w:color="auto" w:fill="FFFFFF" w:themeFill="background1"/>
      </w:pPr>
    </w:p>
    <w:p w14:paraId="2CA59226" w14:textId="6EE517D4" w:rsidR="00E14937" w:rsidRPr="00E34BAF" w:rsidRDefault="001A3265">
      <w:pPr>
        <w:shd w:val="clear" w:color="auto" w:fill="FFFFFF" w:themeFill="background1"/>
        <w:rPr>
          <w:rFonts w:cs="Arial"/>
        </w:rPr>
      </w:pPr>
      <w:r w:rsidRPr="00E34BAF">
        <w:rPr>
          <w:rFonts w:cs="Arial"/>
        </w:rPr>
        <w:fldChar w:fldCharType="begin"/>
      </w:r>
      <w:r w:rsidRPr="00E34BAF">
        <w:rPr>
          <w:rFonts w:cs="Arial"/>
        </w:rPr>
        <w:instrText xml:space="preserve"> AUTONUM  </w:instrText>
      </w:r>
      <w:r w:rsidRPr="00E34BAF">
        <w:rPr>
          <w:rFonts w:cs="Arial"/>
        </w:rPr>
        <w:fldChar w:fldCharType="end"/>
      </w:r>
      <w:r w:rsidRPr="00E34BAF">
        <w:rPr>
          <w:rFonts w:cs="Arial"/>
        </w:rPr>
        <w:tab/>
        <w:t>Le Conseil a pris note des travaux du Comité consultatif à s</w:t>
      </w:r>
      <w:r w:rsidR="00B316F0">
        <w:rPr>
          <w:rFonts w:cs="Arial"/>
        </w:rPr>
        <w:t>a</w:t>
      </w:r>
      <w:r w:rsidRPr="00E34BAF">
        <w:rPr>
          <w:rFonts w:cs="Arial"/>
        </w:rPr>
        <w:t xml:space="preserve"> cent </w:t>
      </w:r>
      <w:r w:rsidR="00757B2A" w:rsidRPr="00E34BAF">
        <w:rPr>
          <w:rFonts w:cs="Arial"/>
        </w:rPr>
        <w:t xml:space="preserve">deuxième </w:t>
      </w:r>
      <w:r w:rsidRPr="00E34BAF">
        <w:rPr>
          <w:rFonts w:cs="Arial"/>
        </w:rPr>
        <w:t xml:space="preserve">session, tels que rapportés dans le document </w:t>
      </w:r>
      <w:r w:rsidR="00757B2A" w:rsidRPr="00E34BAF">
        <w:rPr>
          <w:rFonts w:cs="Arial"/>
        </w:rPr>
        <w:t>C/58/15</w:t>
      </w:r>
      <w:r w:rsidRPr="00E34BAF">
        <w:rPr>
          <w:rFonts w:cs="Arial"/>
        </w:rPr>
        <w:t>.</w:t>
      </w:r>
    </w:p>
    <w:p w14:paraId="66E47C2B" w14:textId="77777777" w:rsidR="00D45BE7" w:rsidRPr="00E34BAF" w:rsidRDefault="00D45BE7" w:rsidP="00FB4867">
      <w:pPr>
        <w:shd w:val="clear" w:color="auto" w:fill="FFFFFF" w:themeFill="background1"/>
        <w:rPr>
          <w:rFonts w:cs="Arial"/>
        </w:rPr>
      </w:pPr>
    </w:p>
    <w:p w14:paraId="667C5895" w14:textId="77777777" w:rsidR="008A3E55" w:rsidRPr="00E34BAF" w:rsidRDefault="008A3E55" w:rsidP="00FB4867">
      <w:pPr>
        <w:shd w:val="clear" w:color="auto" w:fill="FFFFFF" w:themeFill="background1"/>
        <w:rPr>
          <w:rFonts w:cs="Arial"/>
        </w:rPr>
      </w:pPr>
    </w:p>
    <w:p w14:paraId="4EB9BF1E" w14:textId="77777777" w:rsidR="00FE5043" w:rsidRPr="00283618" w:rsidRDefault="00FE5043" w:rsidP="00FE5043">
      <w:pPr>
        <w:keepNext/>
        <w:rPr>
          <w:rFonts w:cs="Arial"/>
          <w:u w:val="single"/>
        </w:rPr>
      </w:pPr>
      <w:r w:rsidRPr="00283618">
        <w:rPr>
          <w:rFonts w:cs="Arial"/>
          <w:u w:val="single"/>
        </w:rPr>
        <w:t xml:space="preserve">Élaboration d'orientations et de documents proposés pour adoption par le Conseil </w:t>
      </w:r>
    </w:p>
    <w:p w14:paraId="1F318AE2" w14:textId="77777777" w:rsidR="00D45BE7" w:rsidRPr="00E34BAF" w:rsidRDefault="00D45BE7" w:rsidP="00FB4867">
      <w:pPr>
        <w:keepNext/>
        <w:shd w:val="clear" w:color="auto" w:fill="FFFFFF" w:themeFill="background1"/>
        <w:rPr>
          <w:rFonts w:cs="Arial"/>
        </w:rPr>
      </w:pPr>
    </w:p>
    <w:p w14:paraId="4AA9D3F2" w14:textId="77777777" w:rsidR="00E14937" w:rsidRPr="00E34BAF" w:rsidRDefault="001A3265">
      <w:pPr>
        <w:keepNext/>
        <w:shd w:val="clear" w:color="auto" w:fill="FFFFFF" w:themeFill="background1"/>
      </w:pPr>
      <w:r w:rsidRPr="00E34BAF">
        <w:rPr>
          <w:szCs w:val="22"/>
        </w:rPr>
        <w:fldChar w:fldCharType="begin"/>
      </w:r>
      <w:r w:rsidRPr="00E34BAF">
        <w:rPr>
          <w:szCs w:val="22"/>
        </w:rPr>
        <w:instrText xml:space="preserve"> AUTONUM  </w:instrText>
      </w:r>
      <w:r w:rsidRPr="00E34BAF">
        <w:rPr>
          <w:szCs w:val="22"/>
        </w:rPr>
        <w:fldChar w:fldCharType="end"/>
      </w:r>
      <w:r w:rsidRPr="00E34BAF">
        <w:rPr>
          <w:szCs w:val="22"/>
        </w:rPr>
        <w:tab/>
      </w:r>
      <w:r w:rsidRPr="00E34BAF">
        <w:t xml:space="preserve">Le Conseil a examiné le document SESSIONS/2024/2 conjointement avec les conclusions du Comité technique (TC) à sa </w:t>
      </w:r>
      <w:r w:rsidR="00096D01" w:rsidRPr="00E34BAF">
        <w:t xml:space="preserve">soixantième </w:t>
      </w:r>
      <w:r w:rsidRPr="00E34BAF">
        <w:t xml:space="preserve">session, tenue à Genève les </w:t>
      </w:r>
      <w:r w:rsidR="00096D01" w:rsidRPr="00E34BAF">
        <w:t xml:space="preserve">21 </w:t>
      </w:r>
      <w:r w:rsidRPr="00E34BAF">
        <w:t xml:space="preserve">et </w:t>
      </w:r>
      <w:r w:rsidR="00096D01" w:rsidRPr="00E34BAF">
        <w:t xml:space="preserve">22 </w:t>
      </w:r>
      <w:r w:rsidRPr="00E34BAF">
        <w:t xml:space="preserve">octobre </w:t>
      </w:r>
      <w:r w:rsidR="00096D01" w:rsidRPr="00E34BAF">
        <w:t xml:space="preserve">2024 </w:t>
      </w:r>
      <w:r w:rsidRPr="00E34BAF">
        <w:t xml:space="preserve">(voir le document </w:t>
      </w:r>
      <w:r w:rsidR="0081482F" w:rsidRPr="00E34BAF">
        <w:t xml:space="preserve">TC/60/8 </w:t>
      </w:r>
      <w:r w:rsidRPr="00E34BAF">
        <w:t xml:space="preserve">"Compte rendu") et les conclusions du Comité administratif et juridique (CAJ) à sa </w:t>
      </w:r>
      <w:r w:rsidR="00096D01" w:rsidRPr="00E34BAF">
        <w:t xml:space="preserve">quatre-vingt-unième </w:t>
      </w:r>
      <w:r w:rsidRPr="00E34BAF">
        <w:t xml:space="preserve">session, tenue à Genève le </w:t>
      </w:r>
      <w:r w:rsidR="00096D01" w:rsidRPr="00E34BAF">
        <w:t>23</w:t>
      </w:r>
      <w:r w:rsidRPr="00E34BAF">
        <w:t xml:space="preserve"> octobre </w:t>
      </w:r>
      <w:r w:rsidR="00096D01" w:rsidRPr="00E34BAF">
        <w:t xml:space="preserve">2024 </w:t>
      </w:r>
      <w:r w:rsidRPr="00E34BAF">
        <w:t xml:space="preserve">(voir le document </w:t>
      </w:r>
      <w:r w:rsidR="0081482F" w:rsidRPr="00E34BAF">
        <w:t xml:space="preserve">CAJ/81/7 </w:t>
      </w:r>
      <w:r w:rsidRPr="00E34BAF">
        <w:t>"Compte rendu").</w:t>
      </w:r>
    </w:p>
    <w:p w14:paraId="7034CE91" w14:textId="77777777" w:rsidR="00D45BE7" w:rsidRPr="00E34BAF" w:rsidRDefault="00D45BE7" w:rsidP="00FB4867">
      <w:pPr>
        <w:shd w:val="clear" w:color="auto" w:fill="FFFFFF" w:themeFill="background1"/>
        <w:jc w:val="left"/>
      </w:pPr>
    </w:p>
    <w:p w14:paraId="34E580D8" w14:textId="77777777" w:rsidR="008A3E55" w:rsidRPr="00E34BAF" w:rsidRDefault="008A3E55" w:rsidP="00FB4867">
      <w:pPr>
        <w:shd w:val="clear" w:color="auto" w:fill="FFFFFF" w:themeFill="background1"/>
        <w:jc w:val="left"/>
      </w:pPr>
    </w:p>
    <w:p w14:paraId="638CB529" w14:textId="77777777" w:rsidR="00E14937" w:rsidRPr="00E34BAF" w:rsidRDefault="001A3265">
      <w:pPr>
        <w:keepNext/>
        <w:shd w:val="clear" w:color="auto" w:fill="FFFFFF" w:themeFill="background1"/>
        <w:rPr>
          <w:i/>
          <w:iCs/>
        </w:rPr>
      </w:pPr>
      <w:r w:rsidRPr="00E34BAF">
        <w:rPr>
          <w:i/>
          <w:iCs/>
        </w:rPr>
        <w:t>I.</w:t>
      </w:r>
      <w:r w:rsidRPr="00E34BAF">
        <w:rPr>
          <w:i/>
          <w:iCs/>
        </w:rPr>
        <w:tab/>
        <w:t xml:space="preserve">DOCUMENTS PROPOSÉS POUR ADOPTION PAR LE CONSEIL EN 2024 </w:t>
      </w:r>
    </w:p>
    <w:p w14:paraId="280EC5CE" w14:textId="77777777" w:rsidR="00EC1F14" w:rsidRPr="00E34BAF" w:rsidRDefault="00EC1F14" w:rsidP="00FB4867">
      <w:pPr>
        <w:keepNext/>
        <w:shd w:val="clear" w:color="auto" w:fill="FFFFFF" w:themeFill="background1"/>
        <w:rPr>
          <w:i/>
          <w:iCs/>
        </w:rPr>
      </w:pPr>
    </w:p>
    <w:p w14:paraId="59C7367E" w14:textId="77777777" w:rsidR="00E14937" w:rsidRPr="00E34BAF" w:rsidRDefault="001A3265">
      <w:pPr>
        <w:keepNext/>
        <w:shd w:val="clear" w:color="auto" w:fill="FFFFFF" w:themeFill="background1"/>
        <w:rPr>
          <w:i/>
          <w:iCs/>
        </w:rPr>
      </w:pPr>
      <w:r w:rsidRPr="00E34BAF">
        <w:rPr>
          <w:i/>
          <w:iCs/>
        </w:rPr>
        <w:t>Documents pour adoption par le Conseil, sous réserve de l'accord du TC et du CAJ</w:t>
      </w:r>
    </w:p>
    <w:p w14:paraId="4A8264A0" w14:textId="77777777" w:rsidR="000116A4" w:rsidRPr="00E34BAF" w:rsidRDefault="000116A4" w:rsidP="00FB4867">
      <w:pPr>
        <w:keepNext/>
        <w:shd w:val="clear" w:color="auto" w:fill="FFFFFF" w:themeFill="background1"/>
        <w:jc w:val="left"/>
      </w:pPr>
    </w:p>
    <w:p w14:paraId="075B3AB3" w14:textId="0D9FE24E" w:rsidR="00E14937" w:rsidRPr="00E34BAF" w:rsidRDefault="001A3265" w:rsidP="00680E83">
      <w:pPr>
        <w:keepNext/>
        <w:shd w:val="clear" w:color="auto" w:fill="FFFFFF" w:themeFill="background1"/>
        <w:ind w:left="567"/>
        <w:rPr>
          <w:u w:val="single"/>
        </w:rPr>
      </w:pPr>
      <w:r w:rsidRPr="00E34BAF">
        <w:rPr>
          <w:u w:val="single"/>
        </w:rPr>
        <w:t>UPOV/INF/16</w:t>
      </w:r>
      <w:r w:rsidR="00EA33D5">
        <w:rPr>
          <w:u w:val="single"/>
        </w:rPr>
        <w:t>:</w:t>
      </w:r>
      <w:r w:rsidRPr="00E34BAF">
        <w:rPr>
          <w:u w:val="single"/>
        </w:rPr>
        <w:t xml:space="preserve"> Logiciels échangeables (révision) (document UPOV/INF/16/13 Draft 1)</w:t>
      </w:r>
    </w:p>
    <w:p w14:paraId="51E7A012" w14:textId="77777777" w:rsidR="000116A4" w:rsidRPr="00E34BAF" w:rsidRDefault="000116A4" w:rsidP="00FB4867">
      <w:pPr>
        <w:keepNext/>
        <w:shd w:val="clear" w:color="auto" w:fill="FFFFFF" w:themeFill="background1"/>
        <w:rPr>
          <w:rFonts w:eastAsiaTheme="minorEastAsia" w:cs="Arial"/>
          <w:spacing w:val="-4"/>
          <w:sz w:val="17"/>
          <w:szCs w:val="17"/>
          <w:u w:val="single"/>
          <w:lang w:eastAsia="ja-JP"/>
        </w:rPr>
      </w:pPr>
    </w:p>
    <w:p w14:paraId="3DF4B179" w14:textId="60148863"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rPr>
          <w:sz w:val="15"/>
          <w:szCs w:val="15"/>
        </w:rPr>
        <w:tab/>
      </w:r>
      <w:r w:rsidRPr="00E34BAF">
        <w:rPr>
          <w:rFonts w:eastAsiaTheme="minorEastAsia" w:cs="Arial"/>
          <w:lang w:eastAsia="ja-JP"/>
        </w:rPr>
        <w:t xml:space="preserve">Le </w:t>
      </w:r>
      <w:r w:rsidRPr="00E34BAF">
        <w:t xml:space="preserve">Conseil </w:t>
      </w:r>
      <w:r w:rsidR="005771A6" w:rsidRPr="00E34BAF">
        <w:rPr>
          <w:rFonts w:eastAsiaTheme="minorEastAsia" w:cs="Arial"/>
          <w:lang w:eastAsia="ja-JP"/>
        </w:rPr>
        <w:t xml:space="preserve">a noté que le TC et le CAJ, lors de leurs sessions en 2024, </w:t>
      </w:r>
      <w:r w:rsidR="001F1491">
        <w:rPr>
          <w:rFonts w:eastAsiaTheme="minorEastAsia" w:cs="Arial"/>
          <w:lang w:eastAsia="ja-JP"/>
        </w:rPr>
        <w:t>avaient</w:t>
      </w:r>
      <w:r w:rsidRPr="00E34BAF">
        <w:t xml:space="preserve"> approuvé la révision du document UPOV/INF/16/12 "Logiciels échangeables", sur la base du document UPOV/INF/16/13 Draft 1.</w:t>
      </w:r>
    </w:p>
    <w:p w14:paraId="6F494E1D" w14:textId="77777777" w:rsidR="000116A4" w:rsidRPr="00E34BAF" w:rsidRDefault="000116A4" w:rsidP="00FB4867">
      <w:pPr>
        <w:shd w:val="clear" w:color="auto" w:fill="FFFFFF" w:themeFill="background1"/>
      </w:pPr>
    </w:p>
    <w:p w14:paraId="6A46A299" w14:textId="056ED644" w:rsidR="00E14937" w:rsidRPr="00E34BAF" w:rsidRDefault="001A3265">
      <w:pPr>
        <w:shd w:val="clear" w:color="auto" w:fill="FFFFFF" w:themeFill="background1"/>
        <w:rPr>
          <w:lang w:eastAsia="ja-JP"/>
        </w:rPr>
      </w:pPr>
      <w:r w:rsidRPr="00E34BAF">
        <w:rPr>
          <w:lang w:eastAsia="ja-JP"/>
        </w:rPr>
        <w:fldChar w:fldCharType="begin"/>
      </w:r>
      <w:r w:rsidRPr="00E34BAF">
        <w:rPr>
          <w:lang w:eastAsia="ja-JP"/>
        </w:rPr>
        <w:instrText xml:space="preserve"> AUTONUM  </w:instrText>
      </w:r>
      <w:r w:rsidRPr="00E34BAF">
        <w:rPr>
          <w:lang w:eastAsia="ja-JP"/>
        </w:rPr>
        <w:fldChar w:fldCharType="end"/>
      </w:r>
      <w:r w:rsidRPr="00E34BAF">
        <w:rPr>
          <w:lang w:eastAsia="ja-JP"/>
        </w:rPr>
        <w:tab/>
      </w:r>
      <w:r w:rsidRPr="00E34BAF">
        <w:t xml:space="preserve">Le Conseil </w:t>
      </w:r>
      <w:r w:rsidR="001F1491">
        <w:t xml:space="preserve">a </w:t>
      </w:r>
      <w:r w:rsidRPr="00E34BAF">
        <w:rPr>
          <w:lang w:eastAsia="zh-CN"/>
        </w:rPr>
        <w:t>adopt</w:t>
      </w:r>
      <w:r w:rsidR="001F1491">
        <w:rPr>
          <w:lang w:eastAsia="zh-CN"/>
        </w:rPr>
        <w:t>é</w:t>
      </w:r>
      <w:r w:rsidRPr="00E34BAF">
        <w:rPr>
          <w:lang w:eastAsia="zh-CN"/>
        </w:rPr>
        <w:t xml:space="preserve"> les </w:t>
      </w:r>
      <w:r w:rsidRPr="00E34BAF">
        <w:rPr>
          <w:lang w:eastAsia="ja-JP"/>
        </w:rPr>
        <w:t xml:space="preserve">révisions </w:t>
      </w:r>
      <w:r w:rsidRPr="00E34BAF">
        <w:rPr>
          <w:lang w:eastAsia="zh-CN"/>
        </w:rPr>
        <w:t xml:space="preserve">proposées </w:t>
      </w:r>
      <w:r w:rsidRPr="00E34BAF">
        <w:rPr>
          <w:lang w:eastAsia="ja-JP"/>
        </w:rPr>
        <w:t xml:space="preserve">au document UPOV/INF/16/12 "Logiciels échangeables", </w:t>
      </w:r>
      <w:r w:rsidRPr="00E34BAF">
        <w:t>sur la base du document UPOV/INF/16/13 Draft 1</w:t>
      </w:r>
      <w:r w:rsidRPr="00E34BAF">
        <w:rPr>
          <w:lang w:eastAsia="ja-JP"/>
        </w:rPr>
        <w:t>.</w:t>
      </w:r>
    </w:p>
    <w:p w14:paraId="32D8AF5C" w14:textId="77777777" w:rsidR="000116A4" w:rsidRPr="00E34BAF" w:rsidRDefault="000116A4" w:rsidP="00FB4867">
      <w:pPr>
        <w:shd w:val="clear" w:color="auto" w:fill="FFFFFF" w:themeFill="background1"/>
      </w:pPr>
    </w:p>
    <w:p w14:paraId="3DCC25DA" w14:textId="77777777" w:rsidR="008A3E55" w:rsidRPr="00E34BAF" w:rsidRDefault="008A3E55" w:rsidP="00FB4867">
      <w:pPr>
        <w:shd w:val="clear" w:color="auto" w:fill="FFFFFF" w:themeFill="background1"/>
      </w:pPr>
    </w:p>
    <w:p w14:paraId="5BD4F655" w14:textId="6D139B1C" w:rsidR="00E14937" w:rsidRPr="00E34BAF" w:rsidRDefault="001A3265" w:rsidP="00680E83">
      <w:pPr>
        <w:keepNext/>
        <w:shd w:val="clear" w:color="auto" w:fill="FFFFFF" w:themeFill="background1"/>
        <w:ind w:left="567"/>
        <w:rPr>
          <w:u w:val="single"/>
        </w:rPr>
      </w:pPr>
      <w:r w:rsidRPr="00E34BAF">
        <w:rPr>
          <w:u w:val="single"/>
        </w:rPr>
        <w:lastRenderedPageBreak/>
        <w:t>UPOV/INF/22</w:t>
      </w:r>
      <w:r w:rsidR="00EA33D5">
        <w:rPr>
          <w:u w:val="single"/>
        </w:rPr>
        <w:t>:</w:t>
      </w:r>
      <w:r w:rsidRPr="00E34BAF">
        <w:rPr>
          <w:u w:val="single"/>
        </w:rPr>
        <w:t xml:space="preserve"> Logiciels et matériels d'équipement utilisés par les membres de l'Union (révision) (document UPOV/INF/22/11 Draft 1)</w:t>
      </w:r>
    </w:p>
    <w:p w14:paraId="13FB086D" w14:textId="77777777" w:rsidR="000116A4" w:rsidRPr="00E34BAF" w:rsidRDefault="000116A4" w:rsidP="00FB4867">
      <w:pPr>
        <w:keepNext/>
        <w:shd w:val="clear" w:color="auto" w:fill="FFFFFF" w:themeFill="background1"/>
        <w:rPr>
          <w:lang w:eastAsia="ja-JP"/>
        </w:rPr>
      </w:pPr>
    </w:p>
    <w:p w14:paraId="207F0681" w14:textId="1A4C86EE" w:rsidR="00E14937" w:rsidRPr="00E34BAF" w:rsidRDefault="001A3265">
      <w:pPr>
        <w:shd w:val="clear" w:color="auto" w:fill="FFFFFF" w:themeFill="background1"/>
        <w:rPr>
          <w:sz w:val="15"/>
          <w:szCs w:val="15"/>
          <w:lang w:eastAsia="ja-JP"/>
        </w:rPr>
      </w:pPr>
      <w:r w:rsidRPr="00E34BAF">
        <w:fldChar w:fldCharType="begin"/>
      </w:r>
      <w:r w:rsidRPr="00E34BAF">
        <w:instrText xml:space="preserve"> AUTONUM  </w:instrText>
      </w:r>
      <w:r w:rsidRPr="00E34BAF">
        <w:fldChar w:fldCharType="end"/>
      </w:r>
      <w:r w:rsidRPr="00E34BAF">
        <w:rPr>
          <w:sz w:val="15"/>
          <w:szCs w:val="15"/>
          <w:lang w:eastAsia="ja-JP"/>
        </w:rPr>
        <w:tab/>
      </w:r>
      <w:r w:rsidRPr="00E34BAF">
        <w:rPr>
          <w:rFonts w:eastAsiaTheme="minorEastAsia" w:cs="Arial"/>
          <w:lang w:eastAsia="ja-JP"/>
        </w:rPr>
        <w:t xml:space="preserve">Le </w:t>
      </w:r>
      <w:r w:rsidRPr="00E34BAF">
        <w:t xml:space="preserve">Conseil </w:t>
      </w:r>
      <w:r w:rsidR="001F1491">
        <w:t xml:space="preserve">a </w:t>
      </w:r>
      <w:r w:rsidR="005771A6" w:rsidRPr="00E34BAF">
        <w:rPr>
          <w:rFonts w:eastAsiaTheme="minorEastAsia" w:cs="Arial"/>
          <w:lang w:eastAsia="ja-JP"/>
        </w:rPr>
        <w:t>not</w:t>
      </w:r>
      <w:r w:rsidR="001F1491">
        <w:rPr>
          <w:rFonts w:eastAsiaTheme="minorEastAsia" w:cs="Arial"/>
          <w:lang w:eastAsia="ja-JP"/>
        </w:rPr>
        <w:t>é</w:t>
      </w:r>
      <w:r w:rsidR="005771A6" w:rsidRPr="00E34BAF">
        <w:rPr>
          <w:rFonts w:eastAsiaTheme="minorEastAsia" w:cs="Arial"/>
          <w:lang w:eastAsia="ja-JP"/>
        </w:rPr>
        <w:t xml:space="preserve"> que le TC et le CAJ, lors de leurs sessions en 2024, </w:t>
      </w:r>
      <w:r w:rsidR="001F1491">
        <w:t>avaient</w:t>
      </w:r>
      <w:r w:rsidRPr="00E34BAF">
        <w:t xml:space="preserve"> approuvé la révision du document UPOV/INF/22/10 "Logiciels et matériels d'équipement utilisés par les membres de l'Union", sur la base du document UPOV/INF/22/11 Draft 1.</w:t>
      </w:r>
    </w:p>
    <w:p w14:paraId="44295296" w14:textId="77777777" w:rsidR="000116A4" w:rsidRPr="00E34BAF" w:rsidRDefault="000116A4" w:rsidP="00FB4867">
      <w:pPr>
        <w:shd w:val="clear" w:color="auto" w:fill="FFFFFF" w:themeFill="background1"/>
      </w:pPr>
    </w:p>
    <w:p w14:paraId="00522887" w14:textId="4FF21E38" w:rsidR="00E14937" w:rsidRPr="00E34BAF" w:rsidRDefault="001A3265">
      <w:pPr>
        <w:shd w:val="clear" w:color="auto" w:fill="FFFFFF" w:themeFill="background1"/>
        <w:rPr>
          <w:lang w:eastAsia="ja-JP"/>
        </w:rPr>
      </w:pPr>
      <w:r w:rsidRPr="00E34BAF">
        <w:rPr>
          <w:lang w:eastAsia="ja-JP"/>
        </w:rPr>
        <w:fldChar w:fldCharType="begin"/>
      </w:r>
      <w:r w:rsidRPr="00E34BAF">
        <w:rPr>
          <w:lang w:eastAsia="ja-JP"/>
        </w:rPr>
        <w:instrText xml:space="preserve"> AUTONUM  </w:instrText>
      </w:r>
      <w:r w:rsidRPr="00E34BAF">
        <w:rPr>
          <w:lang w:eastAsia="ja-JP"/>
        </w:rPr>
        <w:fldChar w:fldCharType="end"/>
      </w:r>
      <w:r w:rsidRPr="00E34BAF">
        <w:rPr>
          <w:lang w:eastAsia="ja-JP"/>
        </w:rPr>
        <w:tab/>
      </w:r>
      <w:r w:rsidRPr="00E34BAF">
        <w:t xml:space="preserve">Le Conseil </w:t>
      </w:r>
      <w:r w:rsidR="001F1491">
        <w:t xml:space="preserve">a </w:t>
      </w:r>
      <w:r w:rsidRPr="00E34BAF">
        <w:rPr>
          <w:lang w:eastAsia="zh-CN"/>
        </w:rPr>
        <w:t>adopt</w:t>
      </w:r>
      <w:r w:rsidR="001F1491">
        <w:rPr>
          <w:lang w:eastAsia="zh-CN"/>
        </w:rPr>
        <w:t>é</w:t>
      </w:r>
      <w:r w:rsidRPr="00E34BAF">
        <w:rPr>
          <w:lang w:eastAsia="zh-CN"/>
        </w:rPr>
        <w:t xml:space="preserve"> </w:t>
      </w:r>
      <w:r w:rsidRPr="00E34BAF">
        <w:rPr>
          <w:lang w:eastAsia="ja-JP"/>
        </w:rPr>
        <w:t xml:space="preserve">les révisions proposées au document UPOV/INF/22/10 "Logiciels et matériels d'équipement utilisés par les membres de l'Union", sur la base du document UPOV/INF/22/11 Draft 1. </w:t>
      </w:r>
    </w:p>
    <w:p w14:paraId="6AE962F6" w14:textId="77777777" w:rsidR="000116A4" w:rsidRPr="00E34BAF" w:rsidRDefault="000116A4" w:rsidP="00FB4867">
      <w:pPr>
        <w:shd w:val="clear" w:color="auto" w:fill="FFFFFF" w:themeFill="background1"/>
      </w:pPr>
    </w:p>
    <w:p w14:paraId="16865FBF" w14:textId="77777777" w:rsidR="008A3E55" w:rsidRPr="00E34BAF" w:rsidRDefault="008A3E55" w:rsidP="00FB4867">
      <w:pPr>
        <w:shd w:val="clear" w:color="auto" w:fill="FFFFFF" w:themeFill="background1"/>
      </w:pPr>
    </w:p>
    <w:p w14:paraId="3C13E54C" w14:textId="3F2A222D" w:rsidR="00E14937" w:rsidRPr="00E34BAF" w:rsidRDefault="001A3265" w:rsidP="00680E83">
      <w:pPr>
        <w:keepNext/>
        <w:shd w:val="clear" w:color="auto" w:fill="FFFFFF" w:themeFill="background1"/>
        <w:ind w:left="567"/>
        <w:rPr>
          <w:u w:val="single"/>
        </w:rPr>
      </w:pPr>
      <w:r w:rsidRPr="00E34BAF">
        <w:rPr>
          <w:u w:val="single"/>
        </w:rPr>
        <w:t>UPOV/EXN/DEN</w:t>
      </w:r>
      <w:r w:rsidR="00EA33D5">
        <w:rPr>
          <w:u w:val="single"/>
        </w:rPr>
        <w:t>:</w:t>
      </w:r>
      <w:r w:rsidRPr="00E34BAF">
        <w:rPr>
          <w:u w:val="single"/>
        </w:rPr>
        <w:t xml:space="preserve"> Notes explicatives sur les dénominations variétales en vertu de la Convention UPOV (révision) (document SESSIONS/2024/2) </w:t>
      </w:r>
    </w:p>
    <w:p w14:paraId="62507650" w14:textId="77777777" w:rsidR="000116A4" w:rsidRPr="00E34BAF" w:rsidRDefault="000116A4" w:rsidP="00FB4867">
      <w:pPr>
        <w:shd w:val="clear" w:color="auto" w:fill="FFFFFF" w:themeFill="background1"/>
        <w:jc w:val="left"/>
      </w:pPr>
    </w:p>
    <w:p w14:paraId="43D7D5DF" w14:textId="6A7B1269" w:rsidR="00E14937" w:rsidRPr="00E34BAF" w:rsidRDefault="001A3265">
      <w:pPr>
        <w:shd w:val="clear" w:color="auto" w:fill="FFFFFF" w:themeFill="background1"/>
        <w:rPr>
          <w:spacing w:val="-2"/>
        </w:rPr>
      </w:pPr>
      <w:r w:rsidRPr="00E34BAF">
        <w:fldChar w:fldCharType="begin"/>
      </w:r>
      <w:r w:rsidRPr="00E34BAF">
        <w:instrText xml:space="preserve"> AUTONUM  </w:instrText>
      </w:r>
      <w:r w:rsidRPr="00E34BAF">
        <w:fldChar w:fldCharType="end"/>
      </w:r>
      <w:r w:rsidRPr="00E34BAF">
        <w:tab/>
      </w:r>
      <w:r w:rsidR="00437A0A" w:rsidRPr="00E34BAF">
        <w:t xml:space="preserve">Le Conseil </w:t>
      </w:r>
      <w:r w:rsidR="001F1491">
        <w:t xml:space="preserve">a </w:t>
      </w:r>
      <w:r w:rsidR="005771A6" w:rsidRPr="00E34BAF">
        <w:t>not</w:t>
      </w:r>
      <w:r w:rsidR="001F1491">
        <w:t>é</w:t>
      </w:r>
      <w:r w:rsidR="005771A6" w:rsidRPr="00E34BAF">
        <w:t xml:space="preserve"> que le TC et le CAJ, à leurs sessions de 2024</w:t>
      </w:r>
      <w:r w:rsidR="00437A0A" w:rsidRPr="00E34BAF">
        <w:t xml:space="preserve">, </w:t>
      </w:r>
      <w:r w:rsidR="001F1491">
        <w:t>avaient</w:t>
      </w:r>
      <w:r w:rsidR="00437A0A" w:rsidRPr="00E34BAF">
        <w:t xml:space="preserve"> approuvé la révision du document UPOV/EXN/DEN/3 "Notes explicatives sur les dénominations variétales en vertu de la Convention UPOV" </w:t>
      </w:r>
      <w:r w:rsidR="00484FB5" w:rsidRPr="00E34BAF">
        <w:rPr>
          <w:spacing w:val="-2"/>
        </w:rPr>
        <w:t xml:space="preserve">avec la modification suivante </w:t>
      </w:r>
      <w:r w:rsidR="00484FB5" w:rsidRPr="00E34BAF">
        <w:t xml:space="preserve">(les ajouts sont indiqués en surbrillance et </w:t>
      </w:r>
      <w:r w:rsidR="00484FB5" w:rsidRPr="00E34BAF">
        <w:rPr>
          <w:highlight w:val="lightGray"/>
          <w:u w:val="single"/>
        </w:rPr>
        <w:t xml:space="preserve">soulignés </w:t>
      </w:r>
      <w:r w:rsidR="00484FB5" w:rsidRPr="00E34BAF">
        <w:t xml:space="preserve">; et les suppressions sont indiquées en surbrillance et </w:t>
      </w:r>
      <w:r w:rsidR="00484FB5" w:rsidRPr="00E34BAF">
        <w:rPr>
          <w:strike/>
          <w:highlight w:val="lightGray"/>
        </w:rPr>
        <w:t>biffées</w:t>
      </w:r>
      <w:r w:rsidR="00484FB5" w:rsidRPr="00E34BAF">
        <w:t>)</w:t>
      </w:r>
      <w:r w:rsidR="00EA33D5">
        <w:t>:</w:t>
      </w:r>
    </w:p>
    <w:p w14:paraId="4A349AB0" w14:textId="77777777" w:rsidR="00484FB5" w:rsidRPr="00E34BAF" w:rsidRDefault="00484FB5" w:rsidP="00FB4867">
      <w:pPr>
        <w:pStyle w:val="BasistekstNaktuinbouw"/>
        <w:shd w:val="clear" w:color="auto" w:fill="FFFFFF" w:themeFill="background1"/>
        <w:ind w:left="567" w:right="567"/>
        <w:jc w:val="both"/>
        <w:rPr>
          <w:lang w:val="fr-FR"/>
        </w:rPr>
      </w:pPr>
    </w:p>
    <w:p w14:paraId="2746E208" w14:textId="77777777" w:rsidR="00AA0F9B" w:rsidRPr="00A057D8" w:rsidRDefault="00AA0F9B" w:rsidP="00AA0F9B">
      <w:pPr>
        <w:pStyle w:val="BasistekstNaktuinbouw"/>
        <w:ind w:left="567" w:right="567"/>
        <w:jc w:val="both"/>
        <w:rPr>
          <w:rFonts w:eastAsia="MS Mincho"/>
          <w:sz w:val="17"/>
          <w:szCs w:val="15"/>
          <w:highlight w:val="yellow"/>
          <w:lang w:val="fr-FR" w:eastAsia="ja-JP"/>
        </w:rPr>
      </w:pPr>
      <w:r w:rsidRPr="00A057D8">
        <w:rPr>
          <w:sz w:val="17"/>
          <w:szCs w:val="15"/>
          <w:lang w:val="fr-FR"/>
        </w:rPr>
        <w:t>"c)</w:t>
      </w:r>
      <w:r w:rsidRPr="00A057D8">
        <w:rPr>
          <w:sz w:val="17"/>
          <w:szCs w:val="15"/>
          <w:lang w:val="fr-FR"/>
        </w:rPr>
        <w:tab/>
      </w:r>
      <w:proofErr w:type="spellStart"/>
      <w:r w:rsidRPr="00A24675">
        <w:rPr>
          <w:rFonts w:eastAsia="MS Mincho"/>
          <w:strike/>
          <w:sz w:val="17"/>
          <w:szCs w:val="15"/>
          <w:highlight w:val="lightGray"/>
          <w:lang w:val="fr-FR" w:eastAsia="ja-JP"/>
        </w:rPr>
        <w:t>La</w:t>
      </w:r>
      <w:proofErr w:type="spellEnd"/>
      <w:r w:rsidRPr="00A24675">
        <w:rPr>
          <w:rFonts w:eastAsia="MS Mincho"/>
          <w:sz w:val="17"/>
          <w:szCs w:val="15"/>
          <w:lang w:val="fr-FR" w:eastAsia="ja-JP"/>
        </w:rPr>
        <w:t xml:space="preserve"> </w:t>
      </w:r>
      <w:r w:rsidRPr="00A24675">
        <w:rPr>
          <w:rFonts w:eastAsia="MS Mincho"/>
          <w:sz w:val="17"/>
          <w:szCs w:val="15"/>
          <w:highlight w:val="lightGray"/>
          <w:u w:val="single"/>
          <w:lang w:val="fr-FR" w:eastAsia="ja-JP"/>
        </w:rPr>
        <w:t>Les</w:t>
      </w:r>
      <w:r>
        <w:rPr>
          <w:rFonts w:eastAsia="MS Mincho"/>
          <w:sz w:val="17"/>
          <w:szCs w:val="15"/>
          <w:lang w:val="fr-FR" w:eastAsia="ja-JP"/>
        </w:rPr>
        <w:t xml:space="preserve"> </w:t>
      </w:r>
      <w:r w:rsidRPr="00A24675">
        <w:rPr>
          <w:rFonts w:eastAsia="MS Mincho"/>
          <w:sz w:val="17"/>
          <w:szCs w:val="15"/>
          <w:lang w:val="fr-FR" w:eastAsia="ja-JP"/>
        </w:rPr>
        <w:t>dénomination</w:t>
      </w:r>
      <w:r w:rsidRPr="00A24675">
        <w:rPr>
          <w:rFonts w:eastAsia="MS Mincho"/>
          <w:sz w:val="17"/>
          <w:szCs w:val="15"/>
          <w:highlight w:val="lightGray"/>
          <w:u w:val="single"/>
          <w:lang w:val="fr-FR" w:eastAsia="ja-JP"/>
        </w:rPr>
        <w:t>s</w:t>
      </w:r>
      <w:r w:rsidRPr="00A24675">
        <w:rPr>
          <w:rFonts w:eastAsia="MS Mincho"/>
          <w:sz w:val="17"/>
          <w:szCs w:val="15"/>
          <w:lang w:val="fr-FR" w:eastAsia="ja-JP"/>
        </w:rPr>
        <w:t xml:space="preserve"> </w:t>
      </w:r>
      <w:r w:rsidRPr="00A24675">
        <w:rPr>
          <w:rFonts w:eastAsia="MS Mincho"/>
          <w:strike/>
          <w:sz w:val="17"/>
          <w:szCs w:val="15"/>
          <w:highlight w:val="lightGray"/>
          <w:lang w:val="fr-FR" w:eastAsia="ja-JP"/>
        </w:rPr>
        <w:t>enregistrée d’une variété d’</w:t>
      </w:r>
      <w:r w:rsidRPr="00A24675">
        <w:rPr>
          <w:rFonts w:eastAsia="MS Mincho"/>
          <w:sz w:val="17"/>
          <w:szCs w:val="15"/>
          <w:highlight w:val="lightGray"/>
          <w:u w:val="single"/>
          <w:lang w:val="fr-FR" w:eastAsia="ja-JP"/>
        </w:rPr>
        <w:t>p</w:t>
      </w:r>
      <w:r>
        <w:rPr>
          <w:rFonts w:eastAsia="MS Mincho"/>
          <w:sz w:val="17"/>
          <w:szCs w:val="15"/>
          <w:highlight w:val="lightGray"/>
          <w:u w:val="single"/>
          <w:lang w:val="fr-FR" w:eastAsia="ja-JP"/>
        </w:rPr>
        <w:t>roposées p</w:t>
      </w:r>
      <w:r w:rsidRPr="00A24675">
        <w:rPr>
          <w:rFonts w:eastAsia="MS Mincho"/>
          <w:sz w:val="17"/>
          <w:szCs w:val="15"/>
          <w:highlight w:val="lightGray"/>
          <w:u w:val="single"/>
          <w:lang w:val="fr-FR" w:eastAsia="ja-JP"/>
        </w:rPr>
        <w:t>our des</w:t>
      </w:r>
      <w:r w:rsidRPr="00A24675">
        <w:rPr>
          <w:rFonts w:eastAsia="MS Mincho"/>
          <w:sz w:val="17"/>
          <w:szCs w:val="15"/>
          <w:u w:val="single"/>
          <w:lang w:val="fr-FR" w:eastAsia="ja-JP"/>
        </w:rPr>
        <w:t xml:space="preserve"> </w:t>
      </w:r>
      <w:r w:rsidRPr="00A24675">
        <w:rPr>
          <w:rFonts w:eastAsia="MS Mincho"/>
          <w:sz w:val="17"/>
          <w:szCs w:val="15"/>
          <w:lang w:val="fr-FR" w:eastAsia="ja-JP"/>
        </w:rPr>
        <w:t>hybride</w:t>
      </w:r>
      <w:r w:rsidRPr="00A24675">
        <w:rPr>
          <w:rFonts w:eastAsia="MS Mincho"/>
          <w:sz w:val="17"/>
          <w:szCs w:val="15"/>
          <w:highlight w:val="lightGray"/>
          <w:u w:val="single"/>
          <w:lang w:val="fr-FR" w:eastAsia="ja-JP"/>
        </w:rPr>
        <w:t>s</w:t>
      </w:r>
      <w:r w:rsidRPr="00A24675">
        <w:rPr>
          <w:rFonts w:eastAsia="MS Mincho"/>
          <w:sz w:val="17"/>
          <w:szCs w:val="15"/>
          <w:lang w:val="fr-FR" w:eastAsia="ja-JP"/>
        </w:rPr>
        <w:t xml:space="preserve"> interspécifique</w:t>
      </w:r>
      <w:r w:rsidRPr="00A24675">
        <w:rPr>
          <w:rFonts w:eastAsia="MS Mincho"/>
          <w:sz w:val="17"/>
          <w:szCs w:val="15"/>
          <w:highlight w:val="lightGray"/>
          <w:u w:val="single"/>
          <w:lang w:val="fr-FR" w:eastAsia="ja-JP"/>
        </w:rPr>
        <w:t>s</w:t>
      </w:r>
      <w:r w:rsidRPr="00A24675">
        <w:rPr>
          <w:rFonts w:eastAsia="MS Mincho"/>
          <w:sz w:val="17"/>
          <w:szCs w:val="15"/>
          <w:lang w:val="fr-FR" w:eastAsia="ja-JP"/>
        </w:rPr>
        <w:t xml:space="preserve"> d’espèces parentales</w:t>
      </w:r>
      <w:r>
        <w:rPr>
          <w:rFonts w:eastAsia="MS Mincho"/>
          <w:sz w:val="17"/>
          <w:szCs w:val="15"/>
          <w:lang w:val="fr-FR" w:eastAsia="ja-JP"/>
        </w:rPr>
        <w:t xml:space="preserve"> </w:t>
      </w:r>
      <w:r w:rsidRPr="00A24675">
        <w:rPr>
          <w:rFonts w:eastAsia="MS Mincho"/>
          <w:sz w:val="17"/>
          <w:szCs w:val="15"/>
          <w:lang w:val="fr-FR" w:eastAsia="ja-JP"/>
        </w:rPr>
        <w:t>provenant de classes différentes au sein d’un genre doi</w:t>
      </w:r>
      <w:r w:rsidRPr="00A24675">
        <w:rPr>
          <w:rFonts w:eastAsia="MS Mincho"/>
          <w:sz w:val="17"/>
          <w:szCs w:val="15"/>
          <w:highlight w:val="lightGray"/>
          <w:u w:val="single"/>
          <w:lang w:val="fr-FR" w:eastAsia="ja-JP"/>
        </w:rPr>
        <w:t>ven</w:t>
      </w:r>
      <w:r w:rsidRPr="00A24675">
        <w:rPr>
          <w:rFonts w:eastAsia="MS Mincho"/>
          <w:sz w:val="17"/>
          <w:szCs w:val="15"/>
          <w:lang w:val="fr-FR" w:eastAsia="ja-JP"/>
        </w:rPr>
        <w:t xml:space="preserve">t être </w:t>
      </w:r>
      <w:r w:rsidRPr="003F1722">
        <w:rPr>
          <w:rFonts w:eastAsia="MS Mincho"/>
          <w:strike/>
          <w:sz w:val="17"/>
          <w:szCs w:val="15"/>
          <w:highlight w:val="lightGray"/>
          <w:lang w:val="fr-FR" w:eastAsia="ja-JP"/>
        </w:rPr>
        <w:t>introduite</w:t>
      </w:r>
      <w:r w:rsidRPr="00A24675">
        <w:rPr>
          <w:rFonts w:eastAsia="MS Mincho"/>
          <w:sz w:val="17"/>
          <w:szCs w:val="15"/>
          <w:lang w:val="fr-FR" w:eastAsia="ja-JP"/>
        </w:rPr>
        <w:t xml:space="preserve"> </w:t>
      </w:r>
      <w:r w:rsidRPr="003F1722">
        <w:rPr>
          <w:rFonts w:eastAsia="MS Mincho"/>
          <w:sz w:val="17"/>
          <w:szCs w:val="15"/>
          <w:highlight w:val="lightGray"/>
          <w:u w:val="single"/>
          <w:lang w:val="fr-FR" w:eastAsia="ja-JP"/>
        </w:rPr>
        <w:t>différentes des dénominations</w:t>
      </w:r>
      <w:r w:rsidRPr="003F1722">
        <w:rPr>
          <w:rFonts w:eastAsia="MS Mincho"/>
          <w:sz w:val="17"/>
          <w:szCs w:val="15"/>
          <w:lang w:val="fr-FR" w:eastAsia="ja-JP"/>
        </w:rPr>
        <w:t xml:space="preserve"> </w:t>
      </w:r>
      <w:r w:rsidRPr="00A24675">
        <w:rPr>
          <w:rFonts w:eastAsia="MS Mincho"/>
          <w:sz w:val="17"/>
          <w:szCs w:val="15"/>
          <w:lang w:val="fr-FR" w:eastAsia="ja-JP"/>
        </w:rPr>
        <w:t xml:space="preserve">dans </w:t>
      </w:r>
      <w:r w:rsidRPr="003F1722">
        <w:rPr>
          <w:rFonts w:eastAsia="MS Mincho"/>
          <w:strike/>
          <w:sz w:val="17"/>
          <w:szCs w:val="15"/>
          <w:highlight w:val="lightGray"/>
          <w:lang w:val="fr-FR" w:eastAsia="ja-JP"/>
        </w:rPr>
        <w:t>toutes</w:t>
      </w:r>
      <w:r w:rsidRPr="00A24675">
        <w:rPr>
          <w:rFonts w:eastAsia="MS Mincho"/>
          <w:sz w:val="17"/>
          <w:szCs w:val="15"/>
          <w:lang w:val="fr-FR" w:eastAsia="ja-JP"/>
        </w:rPr>
        <w:t xml:space="preserve"> les classes</w:t>
      </w:r>
      <w:r>
        <w:rPr>
          <w:rFonts w:eastAsia="MS Mincho"/>
          <w:sz w:val="17"/>
          <w:szCs w:val="15"/>
          <w:lang w:val="fr-FR" w:eastAsia="ja-JP"/>
        </w:rPr>
        <w:t xml:space="preserve"> </w:t>
      </w:r>
      <w:r w:rsidRPr="003F1722">
        <w:rPr>
          <w:rFonts w:eastAsia="MS Mincho"/>
          <w:strike/>
          <w:sz w:val="17"/>
          <w:szCs w:val="15"/>
          <w:highlight w:val="lightGray"/>
          <w:lang w:val="fr-FR" w:eastAsia="ja-JP"/>
        </w:rPr>
        <w:t>au sein d’un genre</w:t>
      </w:r>
      <w:r w:rsidRPr="00A24675">
        <w:rPr>
          <w:rFonts w:eastAsia="MS Mincho"/>
          <w:sz w:val="17"/>
          <w:szCs w:val="15"/>
          <w:lang w:val="fr-FR" w:eastAsia="ja-JP"/>
        </w:rPr>
        <w:t xml:space="preserve"> de </w:t>
      </w:r>
      <w:r w:rsidRPr="003F1722">
        <w:rPr>
          <w:rFonts w:eastAsia="MS Mincho"/>
          <w:strike/>
          <w:sz w:val="17"/>
          <w:szCs w:val="15"/>
          <w:highlight w:val="lightGray"/>
          <w:lang w:val="fr-FR" w:eastAsia="ja-JP"/>
        </w:rPr>
        <w:t>l’</w:t>
      </w:r>
      <w:r w:rsidRPr="003F1722">
        <w:rPr>
          <w:rFonts w:eastAsia="MS Mincho"/>
          <w:sz w:val="17"/>
          <w:szCs w:val="15"/>
          <w:highlight w:val="lightGray"/>
          <w:u w:val="single"/>
          <w:lang w:val="fr-FR" w:eastAsia="ja-JP"/>
        </w:rPr>
        <w:t>toutes les</w:t>
      </w:r>
      <w:r w:rsidRPr="003F1722">
        <w:rPr>
          <w:rFonts w:eastAsia="MS Mincho"/>
          <w:sz w:val="17"/>
          <w:szCs w:val="15"/>
          <w:u w:val="single"/>
          <w:lang w:val="fr-FR" w:eastAsia="ja-JP"/>
        </w:rPr>
        <w:t xml:space="preserve"> </w:t>
      </w:r>
      <w:r w:rsidRPr="00A24675">
        <w:rPr>
          <w:rFonts w:eastAsia="MS Mincho"/>
          <w:sz w:val="17"/>
          <w:szCs w:val="15"/>
          <w:lang w:val="fr-FR" w:eastAsia="ja-JP"/>
        </w:rPr>
        <w:t>espèce</w:t>
      </w:r>
      <w:r w:rsidRPr="00A24675">
        <w:rPr>
          <w:rFonts w:eastAsia="MS Mincho"/>
          <w:sz w:val="17"/>
          <w:szCs w:val="15"/>
          <w:highlight w:val="lightGray"/>
          <w:u w:val="single"/>
          <w:lang w:val="fr-FR" w:eastAsia="ja-JP"/>
        </w:rPr>
        <w:t>s</w:t>
      </w:r>
      <w:r w:rsidRPr="00A24675">
        <w:rPr>
          <w:rFonts w:eastAsia="MS Mincho"/>
          <w:sz w:val="17"/>
          <w:szCs w:val="15"/>
          <w:lang w:val="fr-FR" w:eastAsia="ja-JP"/>
        </w:rPr>
        <w:t xml:space="preserve"> parentale</w:t>
      </w:r>
      <w:r w:rsidRPr="00A24675">
        <w:rPr>
          <w:rFonts w:eastAsia="MS Mincho"/>
          <w:sz w:val="17"/>
          <w:szCs w:val="15"/>
          <w:highlight w:val="lightGray"/>
          <w:u w:val="single"/>
          <w:lang w:val="fr-FR" w:eastAsia="ja-JP"/>
        </w:rPr>
        <w:t>s</w:t>
      </w:r>
      <w:r w:rsidRPr="00A24675">
        <w:rPr>
          <w:rFonts w:eastAsia="MS Mincho"/>
          <w:sz w:val="17"/>
          <w:szCs w:val="15"/>
          <w:lang w:val="fr-FR" w:eastAsia="ja-JP"/>
        </w:rPr>
        <w:t>. Le code UPOV pour une variété d’hybride</w:t>
      </w:r>
      <w:r>
        <w:rPr>
          <w:rFonts w:eastAsia="MS Mincho"/>
          <w:sz w:val="17"/>
          <w:szCs w:val="15"/>
          <w:lang w:val="fr-FR" w:eastAsia="ja-JP"/>
        </w:rPr>
        <w:t xml:space="preserve"> </w:t>
      </w:r>
      <w:r w:rsidRPr="00A24675">
        <w:rPr>
          <w:rFonts w:eastAsia="MS Mincho"/>
          <w:sz w:val="17"/>
          <w:szCs w:val="15"/>
          <w:lang w:val="fr-FR" w:eastAsia="ja-JP"/>
        </w:rPr>
        <w:t>interspécifique d’espèces parentales provenant de classes différentes au sein d’un genre doit</w:t>
      </w:r>
      <w:r>
        <w:rPr>
          <w:rFonts w:eastAsia="MS Mincho"/>
          <w:sz w:val="17"/>
          <w:szCs w:val="15"/>
          <w:lang w:val="fr-FR" w:eastAsia="ja-JP"/>
        </w:rPr>
        <w:t xml:space="preserve"> </w:t>
      </w:r>
      <w:r w:rsidRPr="00A24675">
        <w:rPr>
          <w:rFonts w:eastAsia="MS Mincho"/>
          <w:sz w:val="17"/>
          <w:szCs w:val="15"/>
          <w:lang w:val="fr-FR" w:eastAsia="ja-JP"/>
        </w:rPr>
        <w:t>être associé aux classes de dénominations variétales de toutes les espèces parentales.</w:t>
      </w:r>
    </w:p>
    <w:p w14:paraId="48471554" w14:textId="77777777" w:rsidR="00484FB5" w:rsidRPr="00E34BAF" w:rsidRDefault="00484FB5" w:rsidP="00FB4867">
      <w:pPr>
        <w:shd w:val="clear" w:color="auto" w:fill="FFFFFF" w:themeFill="background1"/>
      </w:pPr>
    </w:p>
    <w:p w14:paraId="6A0A1AA5" w14:textId="19DF9E3A"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w:t>
      </w:r>
      <w:r w:rsidR="001F1491">
        <w:t xml:space="preserve">a </w:t>
      </w:r>
      <w:r w:rsidR="00AA0F9B">
        <w:t>adopt</w:t>
      </w:r>
      <w:r w:rsidR="001F1491">
        <w:t>é</w:t>
      </w:r>
      <w:r w:rsidRPr="00E34BAF">
        <w:t xml:space="preserve"> une révision du document UPOV/EXN/DEN/3 "Notes explicatives sur les dénominations variétales en vertu de la Convention UPOV" (document UPOV/EXN/DEN/4), sur la base des propositions de révision présentées dans le document SESSIONS/2024/2, annexe I, section "Proposition</w:t>
      </w:r>
      <w:r w:rsidR="00EA33D5">
        <w:t>:</w:t>
      </w:r>
      <w:r w:rsidRPr="00E34BAF">
        <w:t xml:space="preserve"> Nouvelles classes de dénominations variétales pour Prunus" </w:t>
      </w:r>
      <w:r w:rsidR="00837CEA" w:rsidRPr="00E34BAF">
        <w:rPr>
          <w:spacing w:val="-2"/>
        </w:rPr>
        <w:t>avec les modifications approuvées par le TC et le CAJ</w:t>
      </w:r>
      <w:r w:rsidR="00AA0F9B">
        <w:rPr>
          <w:spacing w:val="-2"/>
        </w:rPr>
        <w:t>.</w:t>
      </w:r>
    </w:p>
    <w:p w14:paraId="20AD11B2" w14:textId="77777777" w:rsidR="00437A0A" w:rsidRPr="00E34BAF" w:rsidRDefault="00437A0A" w:rsidP="00FB4867">
      <w:pPr>
        <w:shd w:val="clear" w:color="auto" w:fill="FFFFFF" w:themeFill="background1"/>
      </w:pPr>
    </w:p>
    <w:p w14:paraId="2A8CA6C4" w14:textId="77777777" w:rsidR="000116A4" w:rsidRPr="00E34BAF" w:rsidRDefault="000116A4" w:rsidP="00FB4867">
      <w:pPr>
        <w:shd w:val="clear" w:color="auto" w:fill="FFFFFF" w:themeFill="background1"/>
        <w:jc w:val="left"/>
      </w:pPr>
    </w:p>
    <w:p w14:paraId="70E68385" w14:textId="6B3FB447" w:rsidR="00E14937" w:rsidRPr="00E34BAF" w:rsidRDefault="001A3265" w:rsidP="00680E83">
      <w:pPr>
        <w:pStyle w:val="Heading4"/>
      </w:pPr>
      <w:r w:rsidRPr="00E34BAF">
        <w:t>TGP/7</w:t>
      </w:r>
      <w:r w:rsidR="00EA33D5">
        <w:t>:</w:t>
      </w:r>
      <w:r w:rsidRPr="00E34BAF">
        <w:t xml:space="preserve"> Élaboration des principes directeurs d'examen (révision) (document SESSIONS/2024/2</w:t>
      </w:r>
      <w:r w:rsidR="00F12494" w:rsidRPr="00E34BAF">
        <w:t xml:space="preserve">) </w:t>
      </w:r>
    </w:p>
    <w:p w14:paraId="565068BF" w14:textId="77777777" w:rsidR="000116A4" w:rsidRPr="00E34BAF" w:rsidRDefault="000116A4" w:rsidP="00FB4867">
      <w:pPr>
        <w:keepNext/>
        <w:shd w:val="clear" w:color="auto" w:fill="FFFFFF" w:themeFill="background1"/>
      </w:pPr>
    </w:p>
    <w:p w14:paraId="47D2B317" w14:textId="77777777" w:rsidR="001F1491" w:rsidRPr="001F1491" w:rsidRDefault="001F1491" w:rsidP="001F1491">
      <w:pPr>
        <w:pStyle w:val="Heading5"/>
        <w:rPr>
          <w:lang w:val="fr-FR"/>
        </w:rPr>
      </w:pPr>
      <w:r w:rsidRPr="001F1491">
        <w:rPr>
          <w:lang w:val="fr-FR"/>
        </w:rPr>
        <w:t>Libellé du texte standard supplémentaire (ASW) 3 " Précisions concernant le cycle de végétation"</w:t>
      </w:r>
    </w:p>
    <w:p w14:paraId="5B3F9D28" w14:textId="77777777" w:rsidR="000116A4" w:rsidRPr="00E34BAF" w:rsidRDefault="000116A4" w:rsidP="00FB4867">
      <w:pPr>
        <w:keepNext/>
        <w:shd w:val="clear" w:color="auto" w:fill="FFFFFF" w:themeFill="background1"/>
      </w:pPr>
    </w:p>
    <w:p w14:paraId="327CDB3A" w14:textId="7777777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w:t>
      </w:r>
      <w:r w:rsidR="005771A6" w:rsidRPr="00E34BAF">
        <w:t>a noté que le TC et le CAJ, lors de leurs sessions de 2024</w:t>
      </w:r>
      <w:r w:rsidRPr="00E34BAF">
        <w:t>, avaient approuvé la révision du document TGP/7 "Élaboration des principes directeurs d'examen".</w:t>
      </w:r>
    </w:p>
    <w:p w14:paraId="7AF315C9" w14:textId="77777777" w:rsidR="00AC3C31" w:rsidRPr="00E34BAF" w:rsidRDefault="00AC3C31" w:rsidP="00FB4867">
      <w:pPr>
        <w:shd w:val="clear" w:color="auto" w:fill="FFFFFF" w:themeFill="background1"/>
      </w:pPr>
    </w:p>
    <w:p w14:paraId="5A97B86E" w14:textId="792F297E" w:rsidR="00E14937" w:rsidRPr="00E34BAF" w:rsidRDefault="001A3265">
      <w:pPr>
        <w:shd w:val="clear" w:color="auto" w:fill="FFFFFF" w:themeFill="background1"/>
        <w:rPr>
          <w:spacing w:val="-2"/>
        </w:rPr>
      </w:pPr>
      <w:r w:rsidRPr="00E34BAF">
        <w:fldChar w:fldCharType="begin"/>
      </w:r>
      <w:r w:rsidRPr="00E34BAF">
        <w:instrText xml:space="preserve"> AUTONUM  </w:instrText>
      </w:r>
      <w:r w:rsidRPr="00E34BAF">
        <w:fldChar w:fldCharType="end"/>
      </w:r>
      <w:r w:rsidRPr="00E34BAF">
        <w:tab/>
        <w:t xml:space="preserve">Le Conseil a adopté une révision du document TGP/7/9 "Élaboration des principes directeurs d'examen", sur la base des propositions de modification présentées au </w:t>
      </w:r>
      <w:r w:rsidRPr="00E34BAF">
        <w:rPr>
          <w:spacing w:val="-2"/>
        </w:rPr>
        <w:t xml:space="preserve">paragraphe 20 du document SESSIONS/2024/2, reproduites ci-après </w:t>
      </w:r>
      <w:r w:rsidR="003A2700" w:rsidRPr="00E34BAF">
        <w:t xml:space="preserve">(les ajouts sont signalés par un surlignage et un </w:t>
      </w:r>
      <w:r w:rsidR="003A2700" w:rsidRPr="00E34BAF">
        <w:rPr>
          <w:highlight w:val="lightGray"/>
          <w:u w:val="single"/>
        </w:rPr>
        <w:t xml:space="preserve">soulignement </w:t>
      </w:r>
      <w:r w:rsidR="003A2700" w:rsidRPr="00E34BAF">
        <w:t xml:space="preserve">; les suppressions sont signalées par un surlignage et un </w:t>
      </w:r>
      <w:r w:rsidR="003A2700" w:rsidRPr="00E34BAF">
        <w:rPr>
          <w:strike/>
          <w:highlight w:val="lightGray"/>
        </w:rPr>
        <w:t>biffage</w:t>
      </w:r>
      <w:r w:rsidR="003A2700" w:rsidRPr="00E34BAF">
        <w:t>)</w:t>
      </w:r>
      <w:r w:rsidR="00EA33D5">
        <w:t>:</w:t>
      </w:r>
    </w:p>
    <w:p w14:paraId="098B29E8" w14:textId="77777777" w:rsidR="00AC3C31" w:rsidRPr="00E34BAF" w:rsidRDefault="00AC3C31" w:rsidP="00FB4867">
      <w:pPr>
        <w:shd w:val="clear" w:color="auto" w:fill="FFFFFF" w:themeFill="background1"/>
        <w:rPr>
          <w:spacing w:val="-2"/>
        </w:rPr>
      </w:pPr>
    </w:p>
    <w:p w14:paraId="7FD27F62" w14:textId="77777777" w:rsidR="001F1491" w:rsidRPr="00994516" w:rsidRDefault="001F1491" w:rsidP="001F1491">
      <w:pPr>
        <w:keepNext/>
        <w:tabs>
          <w:tab w:val="left" w:pos="1134"/>
        </w:tabs>
        <w:ind w:left="567" w:right="567"/>
        <w:contextualSpacing/>
        <w:rPr>
          <w:sz w:val="18"/>
          <w:szCs w:val="18"/>
        </w:rPr>
      </w:pPr>
      <w:r w:rsidRPr="00994516">
        <w:rPr>
          <w:sz w:val="18"/>
          <w:szCs w:val="18"/>
        </w:rPr>
        <w:t>“a)</w:t>
      </w:r>
      <w:r w:rsidRPr="00994516">
        <w:rPr>
          <w:sz w:val="18"/>
          <w:szCs w:val="18"/>
        </w:rPr>
        <w:tab/>
        <w:t>Espèces fruitières présentant une période de dormance clairement définie</w:t>
      </w:r>
    </w:p>
    <w:p w14:paraId="496DD294" w14:textId="77777777" w:rsidR="001F1491" w:rsidRPr="00994516" w:rsidRDefault="001F1491" w:rsidP="001F1491">
      <w:pPr>
        <w:keepNext/>
        <w:tabs>
          <w:tab w:val="left" w:pos="1134"/>
        </w:tabs>
        <w:ind w:left="567" w:right="567"/>
        <w:contextualSpacing/>
        <w:rPr>
          <w:sz w:val="18"/>
          <w:szCs w:val="18"/>
        </w:rPr>
      </w:pPr>
    </w:p>
    <w:p w14:paraId="15345AE6" w14:textId="77777777" w:rsidR="001F1491" w:rsidRPr="00994516" w:rsidRDefault="001F1491" w:rsidP="001F1491">
      <w:pPr>
        <w:tabs>
          <w:tab w:val="left" w:pos="851"/>
          <w:tab w:val="left" w:pos="1134"/>
        </w:tabs>
        <w:ind w:left="567" w:right="567"/>
        <w:rPr>
          <w:sz w:val="18"/>
          <w:szCs w:val="18"/>
        </w:rPr>
      </w:pPr>
      <w:r w:rsidRPr="00994516">
        <w:rPr>
          <w:sz w:val="18"/>
          <w:szCs w:val="18"/>
        </w:rPr>
        <w:t>“3.1.2</w:t>
      </w:r>
      <w:r w:rsidRPr="00994516">
        <w:rPr>
          <w:sz w:val="18"/>
          <w:szCs w:val="18"/>
        </w:rPr>
        <w:tab/>
        <w:t xml:space="preserve">Le cycle de végétation est constitué par la durée d’une seule saison de végétation, qui commence avec </w:t>
      </w:r>
      <w:r w:rsidRPr="00994516">
        <w:rPr>
          <w:sz w:val="18"/>
          <w:szCs w:val="18"/>
          <w:highlight w:val="lightGray"/>
          <w:u w:val="single"/>
        </w:rPr>
        <w:t>la période de dormance, se poursuit par</w:t>
      </w:r>
      <w:r w:rsidRPr="00994516">
        <w:rPr>
          <w:sz w:val="18"/>
          <w:szCs w:val="18"/>
        </w:rPr>
        <w:t xml:space="preserve"> le débourrement (floraison ou croissance végétative), </w:t>
      </w:r>
      <w:r w:rsidRPr="00994516">
        <w:rPr>
          <w:strike/>
          <w:sz w:val="18"/>
          <w:szCs w:val="18"/>
          <w:highlight w:val="lightGray"/>
        </w:rPr>
        <w:t>se poursuit par</w:t>
      </w:r>
      <w:r w:rsidRPr="00994516">
        <w:rPr>
          <w:sz w:val="18"/>
          <w:szCs w:val="18"/>
        </w:rPr>
        <w:t xml:space="preserve"> la floraison et la récolte des fruits et s’achève </w:t>
      </w:r>
      <w:r w:rsidRPr="00994516">
        <w:rPr>
          <w:strike/>
          <w:sz w:val="18"/>
          <w:szCs w:val="18"/>
          <w:highlight w:val="lightGray"/>
        </w:rPr>
        <w:t xml:space="preserve">à la fin de </w:t>
      </w:r>
      <w:r w:rsidRPr="00994516">
        <w:rPr>
          <w:sz w:val="18"/>
          <w:szCs w:val="18"/>
          <w:highlight w:val="lightGray"/>
          <w:u w:val="single"/>
        </w:rPr>
        <w:t>lorsque</w:t>
      </w:r>
      <w:r w:rsidRPr="00994516">
        <w:rPr>
          <w:sz w:val="18"/>
          <w:szCs w:val="18"/>
        </w:rPr>
        <w:t xml:space="preserve"> la période de dormance suivante </w:t>
      </w:r>
      <w:r w:rsidRPr="00996ACC">
        <w:rPr>
          <w:sz w:val="18"/>
          <w:szCs w:val="18"/>
          <w:highlight w:val="lightGray"/>
          <w:u w:val="single"/>
        </w:rPr>
        <w:t>commence</w:t>
      </w:r>
      <w:r w:rsidRPr="00994516">
        <w:rPr>
          <w:sz w:val="18"/>
          <w:szCs w:val="18"/>
        </w:rPr>
        <w:t xml:space="preserve"> </w:t>
      </w:r>
      <w:r>
        <w:rPr>
          <w:strike/>
          <w:sz w:val="18"/>
          <w:szCs w:val="18"/>
          <w:highlight w:val="lightGray"/>
        </w:rPr>
        <w:t xml:space="preserve">par </w:t>
      </w:r>
      <w:r w:rsidRPr="00994516">
        <w:rPr>
          <w:strike/>
          <w:sz w:val="18"/>
          <w:szCs w:val="18"/>
          <w:highlight w:val="lightGray"/>
        </w:rPr>
        <w:t>la formation des boutons de la nouvelle saison</w:t>
      </w:r>
      <w:r w:rsidRPr="00994516">
        <w:rPr>
          <w:sz w:val="18"/>
          <w:szCs w:val="18"/>
        </w:rPr>
        <w:t>.”</w:t>
      </w:r>
    </w:p>
    <w:p w14:paraId="69D66EDF" w14:textId="77777777" w:rsidR="000116A4" w:rsidRPr="00E34BAF" w:rsidRDefault="000116A4" w:rsidP="00FB4867">
      <w:pPr>
        <w:shd w:val="clear" w:color="auto" w:fill="FFFFFF" w:themeFill="background1"/>
        <w:jc w:val="left"/>
      </w:pPr>
    </w:p>
    <w:p w14:paraId="626850BA" w14:textId="77777777" w:rsidR="008A3E55" w:rsidRPr="00E34BAF" w:rsidRDefault="008A3E55" w:rsidP="00FB4867">
      <w:pPr>
        <w:shd w:val="clear" w:color="auto" w:fill="FFFFFF" w:themeFill="background1"/>
        <w:jc w:val="left"/>
      </w:pPr>
    </w:p>
    <w:p w14:paraId="6ABCC0BD" w14:textId="3F7656C6" w:rsidR="00680E83" w:rsidRPr="00283618" w:rsidRDefault="00680E83" w:rsidP="00680E83">
      <w:pPr>
        <w:pStyle w:val="Heading4"/>
      </w:pPr>
      <w:r w:rsidRPr="00283618">
        <w:t>TGP/12</w:t>
      </w:r>
      <w:r w:rsidR="00EA33D5">
        <w:t>:</w:t>
      </w:r>
      <w:r w:rsidRPr="00283618">
        <w:t xml:space="preserve"> Conseils </w:t>
      </w:r>
      <w:r>
        <w:t>en ce qui concerne</w:t>
      </w:r>
      <w:r w:rsidRPr="00283618">
        <w:t xml:space="preserve"> certains caractères physiologiques (révision) (document</w:t>
      </w:r>
      <w:r>
        <w:t> </w:t>
      </w:r>
      <w:r w:rsidRPr="00283618">
        <w:t>SESSIONS/2024/2)</w:t>
      </w:r>
    </w:p>
    <w:p w14:paraId="663AFDBB" w14:textId="77777777" w:rsidR="00680E83" w:rsidRPr="00283618" w:rsidRDefault="00680E83" w:rsidP="00680E83">
      <w:pPr>
        <w:keepNext/>
      </w:pPr>
    </w:p>
    <w:p w14:paraId="0024DE6E" w14:textId="77777777" w:rsidR="00680E83" w:rsidRPr="00DD4E66" w:rsidRDefault="00680E83" w:rsidP="00680E83">
      <w:pPr>
        <w:pStyle w:val="Heading5"/>
        <w:rPr>
          <w:lang w:val="fr-FR"/>
        </w:rPr>
      </w:pPr>
      <w:r w:rsidRPr="00DD4E66">
        <w:rPr>
          <w:lang w:val="fr-FR"/>
        </w:rPr>
        <w:t>Tableau d’équivalence entre les niveaux d’expression des caractères quantitatifs de résistance aux maladies qui figurent dans les principes directeurs d’examen</w:t>
      </w:r>
    </w:p>
    <w:p w14:paraId="2ECFB86D" w14:textId="77777777" w:rsidR="000116A4" w:rsidRPr="00E34BAF" w:rsidRDefault="000116A4" w:rsidP="00FB4867">
      <w:pPr>
        <w:keepNext/>
        <w:shd w:val="clear" w:color="auto" w:fill="FFFFFF" w:themeFill="background1"/>
      </w:pPr>
    </w:p>
    <w:p w14:paraId="71E2E724" w14:textId="21A5F210" w:rsidR="00E14937" w:rsidRPr="00E34BAF" w:rsidRDefault="001A3265">
      <w:pPr>
        <w:shd w:val="clear" w:color="auto" w:fill="FFFFFF" w:themeFill="background1"/>
        <w:rPr>
          <w:spacing w:val="-2"/>
        </w:rPr>
      </w:pPr>
      <w:r w:rsidRPr="00E34BAF">
        <w:fldChar w:fldCharType="begin"/>
      </w:r>
      <w:r w:rsidRPr="00E34BAF">
        <w:instrText xml:space="preserve"> AUTONUM  </w:instrText>
      </w:r>
      <w:r w:rsidRPr="00E34BAF">
        <w:fldChar w:fldCharType="end"/>
      </w:r>
      <w:r w:rsidRPr="00E34BAF">
        <w:tab/>
        <w:t xml:space="preserve">Le Conseil </w:t>
      </w:r>
      <w:r w:rsidR="005771A6" w:rsidRPr="00E34BAF">
        <w:t xml:space="preserve">a noté que le TC et le CAJ, à leurs sessions de 2024, </w:t>
      </w:r>
      <w:r w:rsidRPr="00E34BAF">
        <w:t xml:space="preserve">avaient approuvé la révision du document </w:t>
      </w:r>
      <w:r w:rsidRPr="00E34BAF">
        <w:rPr>
          <w:rFonts w:eastAsiaTheme="minorEastAsia"/>
        </w:rPr>
        <w:t xml:space="preserve">TGP/12 "Conseils </w:t>
      </w:r>
      <w:r w:rsidR="00680E83">
        <w:rPr>
          <w:rFonts w:eastAsiaTheme="minorEastAsia"/>
        </w:rPr>
        <w:t>en ce qui concerne</w:t>
      </w:r>
      <w:r w:rsidRPr="00E34BAF">
        <w:rPr>
          <w:rFonts w:eastAsiaTheme="minorEastAsia"/>
        </w:rPr>
        <w:t xml:space="preserve"> certains caractères physiologiques" </w:t>
      </w:r>
      <w:r w:rsidR="00837CEA" w:rsidRPr="00E34BAF">
        <w:rPr>
          <w:spacing w:val="-2"/>
        </w:rPr>
        <w:t>avec la modification suivante concernant la disposition des informations dans le tableau à présenter comme suit</w:t>
      </w:r>
      <w:r w:rsidR="00EA33D5">
        <w:rPr>
          <w:spacing w:val="-2"/>
        </w:rPr>
        <w:t>:</w:t>
      </w:r>
    </w:p>
    <w:p w14:paraId="28CA3D1A" w14:textId="77777777" w:rsidR="00837CEA" w:rsidRPr="00E34BAF" w:rsidRDefault="00837CEA" w:rsidP="00FB4867">
      <w:pPr>
        <w:shd w:val="clear" w:color="auto" w:fill="FFFFFF" w:themeFill="background1"/>
        <w:rPr>
          <w:spacing w:val="-2"/>
        </w:rPr>
      </w:pPr>
    </w:p>
    <w:p w14:paraId="103FF215" w14:textId="5EA7592B" w:rsidR="00680E83" w:rsidRPr="00A057D8" w:rsidRDefault="00680E83" w:rsidP="00680E83">
      <w:pPr>
        <w:keepNext/>
        <w:ind w:left="567" w:right="567"/>
      </w:pPr>
      <w:r w:rsidRPr="00A057D8">
        <w:rPr>
          <w:rFonts w:cs="Arial"/>
          <w:color w:val="000000"/>
          <w:sz w:val="17"/>
        </w:rPr>
        <w:lastRenderedPageBreak/>
        <w:t>"Tableau 2</w:t>
      </w:r>
      <w:r w:rsidR="00EA33D5">
        <w:rPr>
          <w:rFonts w:cs="Arial"/>
          <w:color w:val="000000"/>
          <w:sz w:val="17"/>
        </w:rPr>
        <w:t>:</w:t>
      </w:r>
      <w:r w:rsidRPr="00A057D8">
        <w:rPr>
          <w:rFonts w:cs="Arial"/>
          <w:color w:val="000000"/>
          <w:sz w:val="17"/>
        </w:rPr>
        <w:t xml:space="preserve"> niveaux d'expression dans les principes directeurs d'examen et terminologie utilisée dans le secteur des semences de légumes</w:t>
      </w:r>
      <w:r w:rsidR="00EA33D5">
        <w:rPr>
          <w:rFonts w:cs="Arial"/>
          <w:color w:val="000000"/>
          <w:sz w:val="17"/>
        </w:rPr>
        <w:t>:</w:t>
      </w:r>
    </w:p>
    <w:p w14:paraId="0036B83F" w14:textId="77777777" w:rsidR="00680E83" w:rsidRPr="00A057D8" w:rsidRDefault="00680E83" w:rsidP="00680E83">
      <w:pPr>
        <w:keepNext/>
        <w:ind w:left="567" w:right="567"/>
      </w:pPr>
    </w:p>
    <w:tbl>
      <w:tblPr>
        <w:tblW w:w="7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709"/>
        <w:gridCol w:w="2126"/>
        <w:gridCol w:w="7"/>
      </w:tblGrid>
      <w:tr w:rsidR="00680E83" w:rsidRPr="00A057D8" w14:paraId="1121B1EE" w14:textId="77777777" w:rsidTr="00056A6F">
        <w:trPr>
          <w:cantSplit/>
          <w:trHeight w:val="412"/>
          <w:jc w:val="center"/>
        </w:trPr>
        <w:tc>
          <w:tcPr>
            <w:tcW w:w="7547" w:type="dxa"/>
            <w:gridSpan w:val="4"/>
            <w:tcBorders>
              <w:top w:val="single" w:sz="4" w:space="0" w:color="auto"/>
              <w:left w:val="single" w:sz="4" w:space="0" w:color="auto"/>
              <w:bottom w:val="single" w:sz="4" w:space="0" w:color="auto"/>
              <w:right w:val="single" w:sz="4" w:space="0" w:color="auto"/>
            </w:tcBorders>
            <w:noWrap/>
            <w:vAlign w:val="center"/>
            <w:hideMark/>
          </w:tcPr>
          <w:p w14:paraId="4E46E73B" w14:textId="168CFBD0" w:rsidR="00680E83" w:rsidRPr="00A057D8" w:rsidRDefault="00680E83" w:rsidP="00056A6F">
            <w:pPr>
              <w:keepNext/>
              <w:jc w:val="left"/>
              <w:rPr>
                <w:bCs/>
                <w:i/>
                <w:sz w:val="17"/>
                <w:szCs w:val="17"/>
              </w:rPr>
            </w:pPr>
            <w:r>
              <w:rPr>
                <w:bCs/>
                <w:i/>
                <w:sz w:val="17"/>
                <w:szCs w:val="17"/>
              </w:rPr>
              <w:t>Niveaux</w:t>
            </w:r>
            <w:r w:rsidRPr="00A057D8">
              <w:rPr>
                <w:bCs/>
                <w:i/>
                <w:sz w:val="17"/>
                <w:szCs w:val="17"/>
              </w:rPr>
              <w:t xml:space="preserve"> d'expression dans les principes directeurs d'examen</w:t>
            </w:r>
            <w:r w:rsidR="00EA33D5">
              <w:rPr>
                <w:bCs/>
                <w:i/>
                <w:sz w:val="17"/>
                <w:szCs w:val="17"/>
              </w:rPr>
              <w:t>:</w:t>
            </w:r>
          </w:p>
        </w:tc>
      </w:tr>
      <w:tr w:rsidR="00680E83" w:rsidRPr="00A057D8" w14:paraId="5334566B" w14:textId="77777777" w:rsidTr="00056A6F">
        <w:trPr>
          <w:gridAfter w:val="1"/>
          <w:wAfter w:w="7" w:type="dxa"/>
          <w:cantSplit/>
          <w:trHeight w:val="412"/>
          <w:jc w:val="center"/>
        </w:trPr>
        <w:tc>
          <w:tcPr>
            <w:tcW w:w="4705" w:type="dxa"/>
            <w:tcBorders>
              <w:top w:val="single" w:sz="4" w:space="0" w:color="auto"/>
              <w:left w:val="single" w:sz="4" w:space="0" w:color="auto"/>
              <w:bottom w:val="nil"/>
              <w:right w:val="single" w:sz="4" w:space="0" w:color="auto"/>
            </w:tcBorders>
            <w:noWrap/>
            <w:vAlign w:val="center"/>
            <w:hideMark/>
          </w:tcPr>
          <w:p w14:paraId="54B3C41D" w14:textId="77777777" w:rsidR="00680E83" w:rsidRPr="00A057D8" w:rsidRDefault="00680E83" w:rsidP="00056A6F">
            <w:pPr>
              <w:keepNext/>
              <w:jc w:val="left"/>
              <w:rPr>
                <w:sz w:val="17"/>
                <w:szCs w:val="17"/>
              </w:rPr>
            </w:pPr>
            <w:r w:rsidRPr="00A057D8">
              <w:rPr>
                <w:sz w:val="17"/>
                <w:szCs w:val="17"/>
              </w:rPr>
              <w:t>Résistance à [nom de la maladie]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F775F69" w14:textId="77777777" w:rsidR="00680E83" w:rsidRPr="00A057D8" w:rsidRDefault="00680E83" w:rsidP="00056A6F">
            <w:pPr>
              <w:keepNext/>
              <w:jc w:val="left"/>
              <w:rPr>
                <w:sz w:val="17"/>
                <w:szCs w:val="17"/>
              </w:rPr>
            </w:pPr>
            <w:r w:rsidRPr="00A057D8">
              <w:rPr>
                <w:sz w:val="17"/>
                <w:szCs w:val="17"/>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93EE92" w14:textId="77777777" w:rsidR="00680E83" w:rsidRPr="00A057D8" w:rsidRDefault="00680E83" w:rsidP="00056A6F">
            <w:pPr>
              <w:keepNext/>
              <w:jc w:val="left"/>
              <w:rPr>
                <w:bCs/>
                <w:sz w:val="17"/>
                <w:szCs w:val="17"/>
              </w:rPr>
            </w:pPr>
            <w:r>
              <w:rPr>
                <w:bCs/>
                <w:sz w:val="17"/>
                <w:szCs w:val="17"/>
              </w:rPr>
              <w:t>Niveau</w:t>
            </w:r>
          </w:p>
        </w:tc>
      </w:tr>
      <w:tr w:rsidR="00680E83" w:rsidRPr="00A057D8" w14:paraId="2B003942" w14:textId="77777777" w:rsidTr="00056A6F">
        <w:trPr>
          <w:gridAfter w:val="1"/>
          <w:wAfter w:w="7" w:type="dxa"/>
          <w:cantSplit/>
          <w:trHeight w:val="418"/>
          <w:jc w:val="center"/>
        </w:trPr>
        <w:tc>
          <w:tcPr>
            <w:tcW w:w="4705" w:type="dxa"/>
            <w:tcBorders>
              <w:top w:val="nil"/>
              <w:left w:val="single" w:sz="4" w:space="0" w:color="auto"/>
              <w:bottom w:val="nil"/>
              <w:right w:val="single" w:sz="4" w:space="0" w:color="auto"/>
            </w:tcBorders>
            <w:noWrap/>
            <w:vAlign w:val="center"/>
          </w:tcPr>
          <w:p w14:paraId="19E4189F" w14:textId="77777777" w:rsidR="00680E83" w:rsidRPr="00A057D8" w:rsidRDefault="00680E83" w:rsidP="00056A6F">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9145C1" w14:textId="77777777" w:rsidR="00680E83" w:rsidRPr="00A057D8" w:rsidRDefault="00680E83" w:rsidP="00056A6F">
            <w:pPr>
              <w:keepNext/>
              <w:jc w:val="left"/>
              <w:rPr>
                <w:sz w:val="17"/>
                <w:szCs w:val="17"/>
              </w:rPr>
            </w:pPr>
            <w:r w:rsidRPr="00A057D8">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62DED96" w14:textId="77777777" w:rsidR="00680E83" w:rsidRPr="00A057D8" w:rsidRDefault="00680E83" w:rsidP="00056A6F">
            <w:pPr>
              <w:keepNext/>
              <w:jc w:val="left"/>
              <w:rPr>
                <w:sz w:val="17"/>
                <w:szCs w:val="17"/>
              </w:rPr>
            </w:pPr>
            <w:r w:rsidRPr="00A057D8">
              <w:rPr>
                <w:sz w:val="17"/>
                <w:szCs w:val="17"/>
              </w:rPr>
              <w:t>absente ou faible</w:t>
            </w:r>
          </w:p>
        </w:tc>
      </w:tr>
      <w:tr w:rsidR="00680E83" w:rsidRPr="00A057D8" w14:paraId="362212A4" w14:textId="77777777" w:rsidTr="00056A6F">
        <w:trPr>
          <w:gridAfter w:val="1"/>
          <w:wAfter w:w="7" w:type="dxa"/>
          <w:cantSplit/>
          <w:trHeight w:val="418"/>
          <w:jc w:val="center"/>
        </w:trPr>
        <w:tc>
          <w:tcPr>
            <w:tcW w:w="4705" w:type="dxa"/>
            <w:tcBorders>
              <w:top w:val="nil"/>
              <w:left w:val="single" w:sz="4" w:space="0" w:color="auto"/>
              <w:bottom w:val="nil"/>
              <w:right w:val="single" w:sz="4" w:space="0" w:color="auto"/>
            </w:tcBorders>
            <w:noWrap/>
            <w:vAlign w:val="center"/>
          </w:tcPr>
          <w:p w14:paraId="42A1616F" w14:textId="77777777" w:rsidR="00680E83" w:rsidRPr="00A057D8" w:rsidRDefault="00680E83" w:rsidP="00056A6F">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423AB9A" w14:textId="77777777" w:rsidR="00680E83" w:rsidRPr="00A057D8" w:rsidRDefault="00680E83" w:rsidP="00056A6F">
            <w:pPr>
              <w:keepNext/>
              <w:jc w:val="left"/>
              <w:rPr>
                <w:sz w:val="17"/>
                <w:szCs w:val="17"/>
              </w:rPr>
            </w:pPr>
            <w:r w:rsidRPr="00A057D8">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77B0957" w14:textId="77777777" w:rsidR="00680E83" w:rsidRPr="00A057D8" w:rsidRDefault="00680E83" w:rsidP="00056A6F">
            <w:pPr>
              <w:keepNext/>
              <w:jc w:val="left"/>
              <w:rPr>
                <w:sz w:val="17"/>
                <w:szCs w:val="17"/>
              </w:rPr>
            </w:pPr>
            <w:r>
              <w:rPr>
                <w:sz w:val="17"/>
                <w:szCs w:val="17"/>
              </w:rPr>
              <w:t>m</w:t>
            </w:r>
            <w:r w:rsidRPr="00A057D8">
              <w:rPr>
                <w:sz w:val="17"/>
                <w:szCs w:val="17"/>
              </w:rPr>
              <w:t>oyen</w:t>
            </w:r>
            <w:r>
              <w:rPr>
                <w:sz w:val="17"/>
                <w:szCs w:val="17"/>
              </w:rPr>
              <w:t>ne</w:t>
            </w:r>
          </w:p>
        </w:tc>
      </w:tr>
      <w:tr w:rsidR="00680E83" w:rsidRPr="00A057D8" w14:paraId="7EE86163" w14:textId="77777777" w:rsidTr="00056A6F">
        <w:trPr>
          <w:gridAfter w:val="1"/>
          <w:wAfter w:w="7" w:type="dxa"/>
          <w:cantSplit/>
          <w:trHeight w:val="410"/>
          <w:jc w:val="center"/>
        </w:trPr>
        <w:tc>
          <w:tcPr>
            <w:tcW w:w="4705" w:type="dxa"/>
            <w:tcBorders>
              <w:top w:val="nil"/>
              <w:left w:val="single" w:sz="4" w:space="0" w:color="auto"/>
              <w:bottom w:val="single" w:sz="4" w:space="0" w:color="auto"/>
              <w:right w:val="single" w:sz="4" w:space="0" w:color="auto"/>
            </w:tcBorders>
            <w:noWrap/>
            <w:vAlign w:val="center"/>
          </w:tcPr>
          <w:p w14:paraId="5431F4B8" w14:textId="77777777" w:rsidR="00680E83" w:rsidRPr="00A057D8" w:rsidRDefault="00680E83" w:rsidP="00056A6F">
            <w:pPr>
              <w:keepNext/>
              <w:jc w:val="lef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861A34" w14:textId="77777777" w:rsidR="00680E83" w:rsidRPr="00A057D8" w:rsidRDefault="00680E83" w:rsidP="00056A6F">
            <w:pPr>
              <w:keepNext/>
              <w:jc w:val="left"/>
              <w:rPr>
                <w:sz w:val="17"/>
                <w:szCs w:val="17"/>
              </w:rPr>
            </w:pPr>
            <w:r w:rsidRPr="00A057D8">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2A7EAD3" w14:textId="77777777" w:rsidR="00680E83" w:rsidRPr="00A057D8" w:rsidRDefault="00680E83" w:rsidP="00056A6F">
            <w:pPr>
              <w:keepNext/>
              <w:jc w:val="left"/>
              <w:rPr>
                <w:sz w:val="17"/>
                <w:szCs w:val="17"/>
              </w:rPr>
            </w:pPr>
            <w:r>
              <w:rPr>
                <w:sz w:val="17"/>
                <w:szCs w:val="17"/>
              </w:rPr>
              <w:t>é</w:t>
            </w:r>
            <w:r w:rsidRPr="00A057D8">
              <w:rPr>
                <w:sz w:val="17"/>
                <w:szCs w:val="17"/>
              </w:rPr>
              <w:t>levé</w:t>
            </w:r>
            <w:r>
              <w:rPr>
                <w:sz w:val="17"/>
                <w:szCs w:val="17"/>
              </w:rPr>
              <w:t>e</w:t>
            </w:r>
          </w:p>
        </w:tc>
      </w:tr>
      <w:tr w:rsidR="00680E83" w:rsidRPr="00A057D8" w14:paraId="28A94570" w14:textId="77777777" w:rsidTr="00056A6F">
        <w:trPr>
          <w:cantSplit/>
          <w:trHeight w:val="410"/>
          <w:jc w:val="center"/>
        </w:trPr>
        <w:tc>
          <w:tcPr>
            <w:tcW w:w="7547" w:type="dxa"/>
            <w:gridSpan w:val="4"/>
            <w:tcBorders>
              <w:top w:val="single" w:sz="4" w:space="0" w:color="auto"/>
              <w:left w:val="single" w:sz="4" w:space="0" w:color="auto"/>
              <w:bottom w:val="single" w:sz="4" w:space="0" w:color="auto"/>
              <w:right w:val="single" w:sz="4" w:space="0" w:color="auto"/>
            </w:tcBorders>
            <w:noWrap/>
            <w:vAlign w:val="center"/>
            <w:hideMark/>
          </w:tcPr>
          <w:p w14:paraId="33ED10C6" w14:textId="0EDB877E" w:rsidR="00680E83" w:rsidRPr="00A057D8" w:rsidRDefault="00680E83" w:rsidP="00056A6F">
            <w:pPr>
              <w:keepNext/>
              <w:jc w:val="left"/>
              <w:rPr>
                <w:i/>
                <w:sz w:val="17"/>
                <w:szCs w:val="17"/>
              </w:rPr>
            </w:pPr>
            <w:r w:rsidRPr="00A057D8">
              <w:rPr>
                <w:bCs/>
                <w:i/>
                <w:sz w:val="17"/>
                <w:szCs w:val="17"/>
              </w:rPr>
              <w:t>Terminologie utilisée dans le secteur des semences potagères</w:t>
            </w:r>
            <w:r w:rsidR="00EA33D5">
              <w:rPr>
                <w:bCs/>
                <w:i/>
                <w:sz w:val="17"/>
                <w:szCs w:val="17"/>
              </w:rPr>
              <w:t>:</w:t>
            </w:r>
          </w:p>
        </w:tc>
      </w:tr>
      <w:tr w:rsidR="00680E83" w:rsidRPr="00A057D8" w14:paraId="0AE08440" w14:textId="77777777" w:rsidTr="00056A6F">
        <w:trPr>
          <w:gridAfter w:val="1"/>
          <w:wAfter w:w="7" w:type="dxa"/>
          <w:cantSplit/>
          <w:trHeight w:val="410"/>
          <w:jc w:val="center"/>
        </w:trPr>
        <w:tc>
          <w:tcPr>
            <w:tcW w:w="4705" w:type="dxa"/>
            <w:tcBorders>
              <w:top w:val="single" w:sz="4" w:space="0" w:color="auto"/>
              <w:left w:val="single" w:sz="4" w:space="0" w:color="auto"/>
              <w:bottom w:val="nil"/>
              <w:right w:val="single" w:sz="4" w:space="0" w:color="auto"/>
            </w:tcBorders>
            <w:noWrap/>
            <w:vAlign w:val="center"/>
            <w:hideMark/>
          </w:tcPr>
          <w:p w14:paraId="00D9946F" w14:textId="77777777" w:rsidR="00680E83" w:rsidRPr="00A057D8" w:rsidRDefault="00680E83" w:rsidP="00056A6F">
            <w:pPr>
              <w:keepNext/>
              <w:jc w:val="left"/>
              <w:rPr>
                <w:sz w:val="17"/>
                <w:szCs w:val="17"/>
              </w:rPr>
            </w:pPr>
            <w:r w:rsidRPr="00A057D8">
              <w:rPr>
                <w:sz w:val="17"/>
                <w:szCs w:val="17"/>
              </w:rPr>
              <w:t xml:space="preserve">Réaction d'une variété végétale à un ravageur spécifique </w:t>
            </w:r>
            <w:r w:rsidRPr="00A057D8">
              <w:rPr>
                <w:bCs/>
                <w:sz w:val="17"/>
                <w:szCs w:val="17"/>
                <w:vertAlign w:val="superscript"/>
              </w:rPr>
              <w:footnoteReference w:id="2"/>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36202963" w14:textId="77777777" w:rsidR="00680E83" w:rsidRPr="00A057D8" w:rsidRDefault="00680E83" w:rsidP="00056A6F">
            <w:pPr>
              <w:keepNext/>
              <w:jc w:val="left"/>
              <w:rPr>
                <w:sz w:val="17"/>
                <w:szCs w:val="17"/>
              </w:rPr>
            </w:pPr>
            <w:r>
              <w:rPr>
                <w:sz w:val="17"/>
                <w:szCs w:val="17"/>
              </w:rPr>
              <w:t>s</w:t>
            </w:r>
            <w:r w:rsidRPr="00A057D8">
              <w:rPr>
                <w:sz w:val="17"/>
                <w:szCs w:val="17"/>
              </w:rPr>
              <w:t>ensibilité (S)</w:t>
            </w:r>
          </w:p>
        </w:tc>
      </w:tr>
      <w:tr w:rsidR="00680E83" w:rsidRPr="00A057D8" w14:paraId="5DCF2015" w14:textId="77777777" w:rsidTr="00056A6F">
        <w:trPr>
          <w:gridAfter w:val="1"/>
          <w:wAfter w:w="7" w:type="dxa"/>
          <w:cantSplit/>
          <w:trHeight w:val="410"/>
          <w:jc w:val="center"/>
        </w:trPr>
        <w:tc>
          <w:tcPr>
            <w:tcW w:w="4705" w:type="dxa"/>
            <w:tcBorders>
              <w:top w:val="nil"/>
              <w:left w:val="single" w:sz="4" w:space="0" w:color="auto"/>
              <w:bottom w:val="nil"/>
              <w:right w:val="single" w:sz="4" w:space="0" w:color="auto"/>
            </w:tcBorders>
            <w:noWrap/>
            <w:vAlign w:val="center"/>
          </w:tcPr>
          <w:p w14:paraId="623E3C8D" w14:textId="77777777" w:rsidR="00680E83" w:rsidRPr="00A057D8" w:rsidRDefault="00680E83" w:rsidP="00056A6F">
            <w:pPr>
              <w:keepNext/>
              <w:jc w:val="lef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8A5DAFF" w14:textId="77777777" w:rsidR="00680E83" w:rsidRPr="00A057D8" w:rsidRDefault="00680E83" w:rsidP="00056A6F">
            <w:pPr>
              <w:keepNext/>
              <w:jc w:val="left"/>
              <w:rPr>
                <w:sz w:val="17"/>
                <w:szCs w:val="17"/>
              </w:rPr>
            </w:pPr>
            <w:r>
              <w:rPr>
                <w:sz w:val="17"/>
                <w:szCs w:val="17"/>
              </w:rPr>
              <w:t>r</w:t>
            </w:r>
            <w:r w:rsidRPr="00A057D8">
              <w:rPr>
                <w:sz w:val="17"/>
                <w:szCs w:val="17"/>
              </w:rPr>
              <w:t>ésistance intermédiaire (RI)</w:t>
            </w:r>
          </w:p>
        </w:tc>
      </w:tr>
      <w:tr w:rsidR="00680E83" w:rsidRPr="00A057D8" w14:paraId="2FE30B10" w14:textId="77777777" w:rsidTr="00056A6F">
        <w:trPr>
          <w:gridAfter w:val="1"/>
          <w:wAfter w:w="7" w:type="dxa"/>
          <w:cantSplit/>
          <w:trHeight w:val="410"/>
          <w:jc w:val="center"/>
        </w:trPr>
        <w:tc>
          <w:tcPr>
            <w:tcW w:w="4705" w:type="dxa"/>
            <w:tcBorders>
              <w:top w:val="nil"/>
              <w:left w:val="single" w:sz="4" w:space="0" w:color="auto"/>
              <w:bottom w:val="single" w:sz="4" w:space="0" w:color="auto"/>
              <w:right w:val="single" w:sz="4" w:space="0" w:color="auto"/>
            </w:tcBorders>
            <w:noWrap/>
            <w:vAlign w:val="center"/>
          </w:tcPr>
          <w:p w14:paraId="6E0EAF5A" w14:textId="77777777" w:rsidR="00680E83" w:rsidRPr="00A057D8" w:rsidRDefault="00680E83" w:rsidP="00056A6F">
            <w:pPr>
              <w:jc w:val="lef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4469F4D9" w14:textId="77777777" w:rsidR="00680E83" w:rsidRPr="00A057D8" w:rsidRDefault="00680E83" w:rsidP="00056A6F">
            <w:pPr>
              <w:jc w:val="left"/>
              <w:rPr>
                <w:sz w:val="17"/>
                <w:szCs w:val="17"/>
              </w:rPr>
            </w:pPr>
            <w:r w:rsidRPr="00A057D8">
              <w:rPr>
                <w:sz w:val="17"/>
                <w:szCs w:val="17"/>
              </w:rPr>
              <w:t xml:space="preserve">résistance </w:t>
            </w:r>
            <w:r>
              <w:rPr>
                <w:sz w:val="17"/>
                <w:szCs w:val="17"/>
              </w:rPr>
              <w:t xml:space="preserve">élevée </w:t>
            </w:r>
            <w:r w:rsidRPr="00A057D8">
              <w:rPr>
                <w:sz w:val="17"/>
                <w:szCs w:val="17"/>
              </w:rPr>
              <w:t>(HR)</w:t>
            </w:r>
          </w:p>
        </w:tc>
      </w:tr>
    </w:tbl>
    <w:p w14:paraId="342C43AC" w14:textId="77777777" w:rsidR="00680E83" w:rsidRPr="00A057D8" w:rsidRDefault="00680E83" w:rsidP="00680E83"/>
    <w:p w14:paraId="42A19CD0" w14:textId="41055601"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Conseil a adopté une révision du document</w:t>
      </w:r>
      <w:bookmarkStart w:id="2" w:name="_Hlk178322302"/>
      <w:r w:rsidRPr="00E34BAF">
        <w:t xml:space="preserve"> TGP/12/4 "Conseils </w:t>
      </w:r>
      <w:r w:rsidR="00680E83">
        <w:t>en ce qui concerne</w:t>
      </w:r>
      <w:r w:rsidRPr="00E34BAF">
        <w:t xml:space="preserve"> certains caractères physiologiques", sur la base des propositions de modification présentées dans le document SESSIONS/2024/2, </w:t>
      </w:r>
      <w:r w:rsidRPr="00E34BAF">
        <w:rPr>
          <w:spacing w:val="-2"/>
        </w:rPr>
        <w:t>annexe II, section "Proposition</w:t>
      </w:r>
      <w:r w:rsidR="00837CEA" w:rsidRPr="00E34BAF">
        <w:rPr>
          <w:spacing w:val="-2"/>
        </w:rPr>
        <w:t>"</w:t>
      </w:r>
      <w:bookmarkEnd w:id="2"/>
      <w:r w:rsidR="00680E83">
        <w:rPr>
          <w:spacing w:val="-2"/>
        </w:rPr>
        <w:t>,</w:t>
      </w:r>
      <w:r w:rsidR="00837CEA" w:rsidRPr="00E34BAF">
        <w:rPr>
          <w:spacing w:val="-2"/>
        </w:rPr>
        <w:t xml:space="preserve"> avec les modifications approuvées par le TC et le CAJ.</w:t>
      </w:r>
    </w:p>
    <w:p w14:paraId="4D09C243" w14:textId="77777777" w:rsidR="00B113EE" w:rsidRPr="00E34BAF" w:rsidRDefault="00B113EE" w:rsidP="00FB4867">
      <w:pPr>
        <w:shd w:val="clear" w:color="auto" w:fill="FFFFFF" w:themeFill="background1"/>
      </w:pPr>
    </w:p>
    <w:p w14:paraId="0A6E50FF" w14:textId="77777777" w:rsidR="000116A4" w:rsidRPr="00E34BAF" w:rsidRDefault="000116A4" w:rsidP="00FB4867">
      <w:pPr>
        <w:shd w:val="clear" w:color="auto" w:fill="FFFFFF" w:themeFill="background1"/>
      </w:pPr>
    </w:p>
    <w:p w14:paraId="4525F325" w14:textId="77777777" w:rsidR="00E14937" w:rsidRPr="00E34BAF" w:rsidRDefault="001A3265">
      <w:pPr>
        <w:keepNext/>
        <w:shd w:val="clear" w:color="auto" w:fill="FFFFFF" w:themeFill="background1"/>
        <w:rPr>
          <w:i/>
          <w:iCs/>
        </w:rPr>
      </w:pPr>
      <w:r w:rsidRPr="00E34BAF">
        <w:rPr>
          <w:i/>
          <w:iCs/>
        </w:rPr>
        <w:t>Documents pour adoption par le Conseil, sous réserve de l'accord du CAJ</w:t>
      </w:r>
    </w:p>
    <w:p w14:paraId="5BEDA83C" w14:textId="77777777" w:rsidR="000116A4" w:rsidRPr="00E34BAF" w:rsidRDefault="000116A4" w:rsidP="00FB4867">
      <w:pPr>
        <w:keepNext/>
        <w:shd w:val="clear" w:color="auto" w:fill="FFFFFF" w:themeFill="background1"/>
        <w:rPr>
          <w:i/>
          <w:iCs/>
        </w:rPr>
      </w:pPr>
    </w:p>
    <w:p w14:paraId="475BDED0" w14:textId="1EF163AE" w:rsidR="00E14937" w:rsidRPr="00E34BAF" w:rsidRDefault="001A3265" w:rsidP="00680E83">
      <w:pPr>
        <w:keepNext/>
        <w:shd w:val="clear" w:color="auto" w:fill="FFFFFF" w:themeFill="background1"/>
        <w:ind w:left="567"/>
        <w:rPr>
          <w:u w:val="single"/>
        </w:rPr>
      </w:pPr>
      <w:r w:rsidRPr="00E34BAF">
        <w:rPr>
          <w:u w:val="single"/>
        </w:rPr>
        <w:t>UPOV/EXN/PPM</w:t>
      </w:r>
      <w:r w:rsidR="00EA33D5">
        <w:rPr>
          <w:u w:val="single"/>
        </w:rPr>
        <w:t>:</w:t>
      </w:r>
      <w:r w:rsidRPr="00E34BAF">
        <w:rPr>
          <w:u w:val="single"/>
        </w:rPr>
        <w:t xml:space="preserve">  Notes explicatives sur le matériel de reproduction ou de multiplication selon la Convention UPOV (révision) (document UPOV/EXN/PPM/2 Draft 1)</w:t>
      </w:r>
    </w:p>
    <w:p w14:paraId="2A7FA350" w14:textId="77777777" w:rsidR="000116A4" w:rsidRPr="00E34BAF" w:rsidRDefault="000116A4" w:rsidP="00FB4867">
      <w:pPr>
        <w:keepNext/>
        <w:shd w:val="clear" w:color="auto" w:fill="FFFFFF" w:themeFill="background1"/>
      </w:pPr>
    </w:p>
    <w:p w14:paraId="7DA8EE0E" w14:textId="58157B95"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Conseil a noté que le CAJ, lors de sa session de 2024, avait approuvé la révision du document UPOV/EXN/PPM "</w:t>
      </w:r>
      <w:r w:rsidRPr="00E34BAF">
        <w:rPr>
          <w:rFonts w:cs="Arial"/>
          <w:spacing w:val="-4"/>
        </w:rPr>
        <w:t xml:space="preserve">Notes explicatives sur le matériel de </w:t>
      </w:r>
      <w:r w:rsidR="007E625B" w:rsidRPr="007E625B">
        <w:rPr>
          <w:rFonts w:cs="Arial"/>
          <w:spacing w:val="-4"/>
        </w:rPr>
        <w:t xml:space="preserve">reproduction ou de </w:t>
      </w:r>
      <w:r w:rsidRPr="00E34BAF">
        <w:rPr>
          <w:rFonts w:cs="Arial"/>
          <w:spacing w:val="-4"/>
        </w:rPr>
        <w:t>multiplication selon la Convention UPOV</w:t>
      </w:r>
      <w:r w:rsidRPr="00E34BAF">
        <w:t>".</w:t>
      </w:r>
    </w:p>
    <w:p w14:paraId="54C17F8D" w14:textId="77777777" w:rsidR="005771A6" w:rsidRPr="00E34BAF" w:rsidRDefault="005771A6" w:rsidP="00FB4867">
      <w:pPr>
        <w:shd w:val="clear" w:color="auto" w:fill="FFFFFF" w:themeFill="background1"/>
      </w:pPr>
    </w:p>
    <w:p w14:paraId="1E4736CA" w14:textId="21C3FB18"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r>
      <w:bookmarkStart w:id="3" w:name="_Hlk176258973"/>
      <w:r w:rsidRPr="00E34BAF">
        <w:t xml:space="preserve">Le Conseil a adopté une révision du document UPOV/EXN/PPM/1 "Notes explicatives sur le matériel de </w:t>
      </w:r>
      <w:r w:rsidR="00E35BAE" w:rsidRPr="00E35BAE">
        <w:t xml:space="preserve">reproduction ou de </w:t>
      </w:r>
      <w:r w:rsidRPr="00E34BAF">
        <w:t xml:space="preserve">multiplication selon la Convention UPOV", sur la base des propositions de reproduction présentées dans le document </w:t>
      </w:r>
      <w:r w:rsidRPr="00E34BAF">
        <w:rPr>
          <w:rFonts w:cs="Arial"/>
        </w:rPr>
        <w:t>UPOV/EXN/PPM/2 Draft 1.</w:t>
      </w:r>
      <w:bookmarkEnd w:id="3"/>
    </w:p>
    <w:p w14:paraId="2D0DB2CF" w14:textId="77777777" w:rsidR="000116A4" w:rsidRPr="00E34BAF" w:rsidRDefault="000116A4" w:rsidP="00FB4867">
      <w:pPr>
        <w:shd w:val="clear" w:color="auto" w:fill="FFFFFF" w:themeFill="background1"/>
        <w:rPr>
          <w:lang w:eastAsia="ja-JP"/>
        </w:rPr>
      </w:pPr>
    </w:p>
    <w:p w14:paraId="0191775C" w14:textId="77777777" w:rsidR="008A3E55" w:rsidRPr="00E34BAF" w:rsidRDefault="008A3E55" w:rsidP="00FB4867">
      <w:pPr>
        <w:shd w:val="clear" w:color="auto" w:fill="FFFFFF" w:themeFill="background1"/>
        <w:rPr>
          <w:lang w:eastAsia="ja-JP"/>
        </w:rPr>
      </w:pPr>
    </w:p>
    <w:p w14:paraId="449CB4D3" w14:textId="77777777" w:rsidR="00E14937" w:rsidRPr="00E34BAF" w:rsidRDefault="001A3265">
      <w:pPr>
        <w:keepNext/>
        <w:shd w:val="clear" w:color="auto" w:fill="FFFFFF" w:themeFill="background1"/>
        <w:rPr>
          <w:i/>
          <w:iCs/>
          <w:lang w:eastAsia="ja-JP"/>
        </w:rPr>
      </w:pPr>
      <w:r w:rsidRPr="00E34BAF">
        <w:rPr>
          <w:i/>
          <w:iCs/>
          <w:lang w:eastAsia="ja-JP"/>
        </w:rPr>
        <w:t>Autres documents pour adoption par le Conseil</w:t>
      </w:r>
    </w:p>
    <w:p w14:paraId="4AD1E988" w14:textId="77777777" w:rsidR="000116A4" w:rsidRPr="00E34BAF" w:rsidRDefault="000116A4" w:rsidP="00FB4867">
      <w:pPr>
        <w:keepNext/>
        <w:shd w:val="clear" w:color="auto" w:fill="FFFFFF" w:themeFill="background1"/>
        <w:rPr>
          <w:lang w:eastAsia="ja-JP"/>
        </w:rPr>
      </w:pPr>
    </w:p>
    <w:p w14:paraId="71F8D467" w14:textId="18899740" w:rsidR="00E14937" w:rsidRPr="00E34BAF" w:rsidRDefault="001A3265" w:rsidP="00680E83">
      <w:pPr>
        <w:keepNext/>
        <w:shd w:val="clear" w:color="auto" w:fill="FFFFFF" w:themeFill="background1"/>
        <w:ind w:left="567"/>
        <w:rPr>
          <w:u w:val="single"/>
        </w:rPr>
      </w:pPr>
      <w:r w:rsidRPr="00E34BAF">
        <w:rPr>
          <w:u w:val="single"/>
        </w:rPr>
        <w:t>UPOV/INF/6</w:t>
      </w:r>
      <w:r w:rsidR="00EA33D5">
        <w:rPr>
          <w:u w:val="single"/>
        </w:rPr>
        <w:t>:</w:t>
      </w:r>
      <w:r w:rsidRPr="00E34BAF">
        <w:rPr>
          <w:u w:val="single"/>
        </w:rPr>
        <w:t xml:space="preserve"> Orientations en vue de la préparation de lois fondées sur l'Acte de 1991 de la Convention</w:t>
      </w:r>
      <w:r w:rsidR="005D7385">
        <w:rPr>
          <w:u w:val="single"/>
        </w:rPr>
        <w:t> </w:t>
      </w:r>
      <w:r w:rsidRPr="00E34BAF">
        <w:rPr>
          <w:u w:val="single"/>
        </w:rPr>
        <w:t>UPOV (révision) (document SESSIONS/2024/2</w:t>
      </w:r>
      <w:r w:rsidR="009328F6" w:rsidRPr="00E34BAF">
        <w:rPr>
          <w:u w:val="single"/>
        </w:rPr>
        <w:t>, annexe VI</w:t>
      </w:r>
      <w:r w:rsidRPr="00E34BAF">
        <w:rPr>
          <w:u w:val="single"/>
        </w:rPr>
        <w:t>)</w:t>
      </w:r>
    </w:p>
    <w:p w14:paraId="71F976FD" w14:textId="77777777" w:rsidR="009328F6" w:rsidRPr="00E34BAF" w:rsidRDefault="009328F6" w:rsidP="00FB4867">
      <w:pPr>
        <w:keepNext/>
        <w:shd w:val="clear" w:color="auto" w:fill="FFFFFF" w:themeFill="background1"/>
        <w:rPr>
          <w:rFonts w:eastAsiaTheme="minorEastAsia" w:cs="Arial"/>
          <w:spacing w:val="-4"/>
          <w:sz w:val="17"/>
          <w:szCs w:val="17"/>
          <w:u w:val="single"/>
          <w:lang w:eastAsia="ja-JP"/>
        </w:rPr>
      </w:pPr>
    </w:p>
    <w:p w14:paraId="0A56C69E" w14:textId="77777777" w:rsidR="00E14937" w:rsidRPr="00E34BAF" w:rsidRDefault="001A3265">
      <w:pPr>
        <w:shd w:val="clear" w:color="auto" w:fill="FFFFFF" w:themeFill="background1"/>
        <w:rPr>
          <w:highlight w:val="yellow"/>
        </w:rPr>
      </w:pPr>
      <w:r w:rsidRPr="00E34BAF">
        <w:fldChar w:fldCharType="begin"/>
      </w:r>
      <w:r w:rsidRPr="00E34BAF">
        <w:instrText xml:space="preserve"> AUTONUM  </w:instrText>
      </w:r>
      <w:r w:rsidRPr="00E34BAF">
        <w:fldChar w:fldCharType="end"/>
      </w:r>
      <w:r w:rsidRPr="00E34BAF">
        <w:rPr>
          <w:sz w:val="15"/>
          <w:szCs w:val="15"/>
        </w:rPr>
        <w:tab/>
      </w:r>
      <w:r w:rsidRPr="00E34BAF">
        <w:t>Le Conseil a noté que le CAJ</w:t>
      </w:r>
      <w:r w:rsidR="005771A6" w:rsidRPr="00E34BAF">
        <w:t>, lors de sa session de 2024</w:t>
      </w:r>
      <w:r w:rsidRPr="00E34BAF">
        <w:t>, avait approuvé les révisions proposées des documents UPOV/EXN/DEN/3 et UPOV/EXN/PPM/1.</w:t>
      </w:r>
    </w:p>
    <w:p w14:paraId="3E0E54DE" w14:textId="77777777" w:rsidR="009328F6" w:rsidRPr="00E34BAF" w:rsidRDefault="009328F6" w:rsidP="00FB4867">
      <w:pPr>
        <w:shd w:val="clear" w:color="auto" w:fill="FFFFFF" w:themeFill="background1"/>
        <w:rPr>
          <w:highlight w:val="yellow"/>
        </w:rPr>
      </w:pPr>
    </w:p>
    <w:p w14:paraId="46DAAEB3" w14:textId="1398059C"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r>
      <w:r w:rsidRPr="00E34BAF">
        <w:rPr>
          <w:rFonts w:eastAsiaTheme="minorEastAsia" w:cs="Arial"/>
          <w:lang w:eastAsia="ja-JP"/>
        </w:rPr>
        <w:t xml:space="preserve">Le </w:t>
      </w:r>
      <w:r w:rsidRPr="00E34BAF">
        <w:t xml:space="preserve">Conseil </w:t>
      </w:r>
      <w:r w:rsidR="005D7385">
        <w:t xml:space="preserve">a </w:t>
      </w:r>
      <w:r w:rsidR="009328F6" w:rsidRPr="00E34BAF">
        <w:t>adopt</w:t>
      </w:r>
      <w:r w:rsidR="005D7385">
        <w:t>é</w:t>
      </w:r>
      <w:r w:rsidR="009328F6" w:rsidRPr="00E34BAF">
        <w:t xml:space="preserve"> une révision du document UPOV/INF/6 "Orientations en vue de l'élaboration de lois fondées sur l'Acte de 1991 de la Convention UPOV" (document UPOV/INF/6/7), sur la base des révisions du document UPOV/EXN/EDV/3 adoptées par le Conseil à sa session de 2023, et des révisions préparées des documents UPOV/EXN/DEN/3 et UPOV/EXN/PPM/1, telles qu'elles figurent à l'annexe VI du document SESSIONS/2024/2.</w:t>
      </w:r>
    </w:p>
    <w:p w14:paraId="448CD632" w14:textId="77777777" w:rsidR="008A3E55" w:rsidRPr="00E34BAF" w:rsidRDefault="008A3E55" w:rsidP="00FB4867">
      <w:pPr>
        <w:shd w:val="clear" w:color="auto" w:fill="FFFFFF" w:themeFill="background1"/>
      </w:pPr>
    </w:p>
    <w:p w14:paraId="6A022117" w14:textId="43DF954F" w:rsidR="00E14937" w:rsidRPr="00E34BAF" w:rsidRDefault="001A3265" w:rsidP="00680E83">
      <w:pPr>
        <w:keepNext/>
        <w:shd w:val="clear" w:color="auto" w:fill="FFFFFF" w:themeFill="background1"/>
        <w:ind w:left="567"/>
        <w:rPr>
          <w:u w:val="single"/>
        </w:rPr>
      </w:pPr>
      <w:r w:rsidRPr="00E34BAF">
        <w:rPr>
          <w:u w:val="single"/>
        </w:rPr>
        <w:t>UPOV/INF/15</w:t>
      </w:r>
      <w:r w:rsidR="00EA33D5">
        <w:rPr>
          <w:u w:val="single"/>
        </w:rPr>
        <w:t>:</w:t>
      </w:r>
      <w:r w:rsidRPr="00E34BAF">
        <w:rPr>
          <w:u w:val="single"/>
        </w:rPr>
        <w:t xml:space="preserve"> </w:t>
      </w:r>
      <w:r w:rsidR="003040DF" w:rsidRPr="00DD4E66">
        <w:rPr>
          <w:u w:val="single"/>
        </w:rPr>
        <w:t>Document d'orientation destiné aux membres de l'UPOV</w:t>
      </w:r>
      <w:r w:rsidRPr="00E34BAF">
        <w:rPr>
          <w:u w:val="single"/>
        </w:rPr>
        <w:t xml:space="preserve"> (révision) (document C/58/15)</w:t>
      </w:r>
    </w:p>
    <w:p w14:paraId="6EBC62E4" w14:textId="25365C41" w:rsidR="00E14937" w:rsidRPr="00E34BAF" w:rsidRDefault="001A3265" w:rsidP="00680E83">
      <w:pPr>
        <w:keepNext/>
        <w:shd w:val="clear" w:color="auto" w:fill="FFFFFF" w:themeFill="background1"/>
        <w:ind w:left="567"/>
        <w:rPr>
          <w:u w:val="single"/>
        </w:rPr>
      </w:pPr>
      <w:r w:rsidRPr="00E34BAF">
        <w:rPr>
          <w:u w:val="single"/>
        </w:rPr>
        <w:t>UPOV/INF/20</w:t>
      </w:r>
      <w:r w:rsidR="00EA33D5">
        <w:rPr>
          <w:u w:val="single"/>
        </w:rPr>
        <w:t>:</w:t>
      </w:r>
      <w:r w:rsidRPr="00E34BAF">
        <w:rPr>
          <w:u w:val="single"/>
        </w:rPr>
        <w:t xml:space="preserve"> Règles concernant l'accès aux documents de l'UPOV (révocation) (document C/58/15)</w:t>
      </w:r>
    </w:p>
    <w:p w14:paraId="4C2AC87A" w14:textId="620C2571" w:rsidR="00DE7737" w:rsidRPr="007F1294" w:rsidRDefault="00DE7737" w:rsidP="00FB4867">
      <w:pPr>
        <w:keepNext/>
        <w:shd w:val="clear" w:color="auto" w:fill="FFFFFF" w:themeFill="background1"/>
        <w:ind w:left="567"/>
        <w:jc w:val="left"/>
      </w:pPr>
    </w:p>
    <w:p w14:paraId="2059CFB5" w14:textId="45FBFCFE" w:rsidR="00E14937" w:rsidRPr="00E34BAF" w:rsidRDefault="001A3265">
      <w:pPr>
        <w:shd w:val="clear" w:color="auto" w:fill="FFFFFF" w:themeFill="background1"/>
        <w:rPr>
          <w:rFonts w:eastAsiaTheme="minorEastAsia" w:cs="Arial"/>
          <w:lang w:eastAsia="ja-JP"/>
        </w:rPr>
      </w:pPr>
      <w:r w:rsidRPr="00E34BAF">
        <w:fldChar w:fldCharType="begin"/>
      </w:r>
      <w:r w:rsidRPr="00E34BAF">
        <w:instrText xml:space="preserve"> AUTONUM  </w:instrText>
      </w:r>
      <w:r w:rsidRPr="00E34BAF">
        <w:fldChar w:fldCharType="end"/>
      </w:r>
      <w:r w:rsidRPr="00E34BAF">
        <w:tab/>
      </w:r>
      <w:r w:rsidR="00DE7737" w:rsidRPr="00E34BAF">
        <w:t xml:space="preserve">Suite à la recommandation du </w:t>
      </w:r>
      <w:r w:rsidR="00DE7737" w:rsidRPr="00E34BAF">
        <w:rPr>
          <w:rFonts w:eastAsiaTheme="minorEastAsia" w:cs="Arial"/>
          <w:lang w:eastAsia="ja-JP"/>
        </w:rPr>
        <w:t xml:space="preserve">Comité consultatif </w:t>
      </w:r>
      <w:r w:rsidR="00EA20E7" w:rsidRPr="00E34BAF">
        <w:rPr>
          <w:rFonts w:eastAsiaTheme="minorEastAsia" w:cs="Arial"/>
          <w:lang w:eastAsia="ja-JP"/>
        </w:rPr>
        <w:t xml:space="preserve">concernant la stratégie de communication </w:t>
      </w:r>
      <w:r w:rsidR="00DE7737" w:rsidRPr="00E34BAF">
        <w:rPr>
          <w:rFonts w:eastAsiaTheme="minorEastAsia" w:cs="Arial"/>
          <w:lang w:eastAsia="ja-JP"/>
        </w:rPr>
        <w:t>(voir le document C/58/15 "</w:t>
      </w:r>
      <w:r w:rsidR="007F2657" w:rsidRPr="007F2657">
        <w:rPr>
          <w:rFonts w:eastAsiaTheme="minorEastAsia" w:cs="Arial"/>
          <w:lang w:eastAsia="ja-JP"/>
        </w:rPr>
        <w:t>Rapport du président sur les travaux de la cent-deuxième session du Comité consultatif; adoption, le cas échéant, des recommandations élaborées par ce comité</w:t>
      </w:r>
      <w:r w:rsidR="00DE7737" w:rsidRPr="00E34BAF">
        <w:rPr>
          <w:rFonts w:eastAsiaTheme="minorEastAsia" w:cs="Arial"/>
          <w:lang w:eastAsia="ja-JP"/>
        </w:rPr>
        <w:t>"), le Conseil a décidé de</w:t>
      </w:r>
      <w:r w:rsidR="00EA33D5">
        <w:rPr>
          <w:rFonts w:eastAsiaTheme="minorEastAsia" w:cs="Arial"/>
          <w:lang w:eastAsia="ja-JP"/>
        </w:rPr>
        <w:t>:</w:t>
      </w:r>
    </w:p>
    <w:p w14:paraId="30820EFF" w14:textId="77777777" w:rsidR="00DE7737" w:rsidRPr="00E34BAF" w:rsidRDefault="00DE7737" w:rsidP="00FB4867">
      <w:pPr>
        <w:shd w:val="clear" w:color="auto" w:fill="FFFFFF" w:themeFill="background1"/>
        <w:rPr>
          <w:rFonts w:eastAsiaTheme="minorEastAsia" w:cs="Arial"/>
          <w:lang w:eastAsia="ja-JP"/>
        </w:rPr>
      </w:pPr>
    </w:p>
    <w:p w14:paraId="088627FA" w14:textId="77777777" w:rsidR="00E14937" w:rsidRPr="00E34BAF" w:rsidRDefault="001A3265">
      <w:pPr>
        <w:pStyle w:val="ListParagraph"/>
        <w:numPr>
          <w:ilvl w:val="0"/>
          <w:numId w:val="6"/>
        </w:numPr>
        <w:shd w:val="clear" w:color="auto" w:fill="FFFFFF" w:themeFill="background1"/>
        <w:rPr>
          <w:rFonts w:eastAsiaTheme="minorEastAsia" w:cs="Arial"/>
          <w:lang w:eastAsia="ja-JP"/>
        </w:rPr>
      </w:pPr>
      <w:r w:rsidRPr="00E34BAF">
        <w:rPr>
          <w:rFonts w:eastAsiaTheme="minorEastAsia" w:cs="Arial"/>
          <w:lang w:eastAsia="ja-JP"/>
        </w:rPr>
        <w:t>supprimer la zone à accès restreint du site web de l'UPOV ;</w:t>
      </w:r>
    </w:p>
    <w:p w14:paraId="1DB86568" w14:textId="77777777" w:rsidR="00F472B9" w:rsidRPr="00E34BAF" w:rsidRDefault="00F472B9" w:rsidP="00FB4867">
      <w:pPr>
        <w:pStyle w:val="ListParagraph"/>
        <w:shd w:val="clear" w:color="auto" w:fill="FFFFFF" w:themeFill="background1"/>
        <w:ind w:left="1140"/>
        <w:rPr>
          <w:rFonts w:eastAsiaTheme="minorEastAsia" w:cs="Arial"/>
          <w:lang w:eastAsia="ja-JP"/>
        </w:rPr>
      </w:pPr>
    </w:p>
    <w:p w14:paraId="46171A7A" w14:textId="1139CDF0" w:rsidR="00E14937" w:rsidRPr="00E34BAF" w:rsidRDefault="007F2657">
      <w:pPr>
        <w:pStyle w:val="ListParagraph"/>
        <w:numPr>
          <w:ilvl w:val="0"/>
          <w:numId w:val="6"/>
        </w:numPr>
        <w:shd w:val="clear" w:color="auto" w:fill="FFFFFF" w:themeFill="background1"/>
      </w:pPr>
      <w:r>
        <w:rPr>
          <w:rFonts w:eastAsiaTheme="minorEastAsia" w:cs="Arial"/>
          <w:lang w:eastAsia="ja-JP"/>
        </w:rPr>
        <w:t>retirer</w:t>
      </w:r>
      <w:r w:rsidR="001A3265" w:rsidRPr="00E34BAF">
        <w:rPr>
          <w:rFonts w:eastAsiaTheme="minorEastAsia" w:cs="Arial"/>
          <w:lang w:eastAsia="ja-JP"/>
        </w:rPr>
        <w:t xml:space="preserve"> le document UPOV/INF/20 "Règles </w:t>
      </w:r>
      <w:r>
        <w:rPr>
          <w:rFonts w:eastAsiaTheme="minorEastAsia" w:cs="Arial"/>
          <w:lang w:eastAsia="ja-JP"/>
        </w:rPr>
        <w:t>concernant</w:t>
      </w:r>
      <w:r w:rsidR="001A3265" w:rsidRPr="00E34BAF">
        <w:rPr>
          <w:rFonts w:eastAsiaTheme="minorEastAsia" w:cs="Arial"/>
          <w:lang w:eastAsia="ja-JP"/>
        </w:rPr>
        <w:t xml:space="preserve"> l'accès aux documents de l'UPOV" ;</w:t>
      </w:r>
    </w:p>
    <w:p w14:paraId="7F5F9009" w14:textId="77777777" w:rsidR="00DE7737" w:rsidRPr="00E34BAF" w:rsidRDefault="00DE7737" w:rsidP="00FB4867">
      <w:pPr>
        <w:shd w:val="clear" w:color="auto" w:fill="FFFFFF" w:themeFill="background1"/>
        <w:rPr>
          <w:rFonts w:eastAsiaTheme="minorEastAsia" w:cs="Arial"/>
          <w:lang w:eastAsia="ja-JP"/>
        </w:rPr>
      </w:pPr>
    </w:p>
    <w:p w14:paraId="1025A1AF" w14:textId="09485E32" w:rsidR="00E14937" w:rsidRPr="00E34BAF" w:rsidRDefault="001A3265">
      <w:pPr>
        <w:shd w:val="clear" w:color="auto" w:fill="FFFFFF" w:themeFill="background1"/>
        <w:rPr>
          <w:rFonts w:eastAsiaTheme="minorEastAsia" w:cs="Arial"/>
          <w:lang w:eastAsia="ja-JP"/>
        </w:rPr>
      </w:pPr>
      <w:r w:rsidRPr="00E34BAF">
        <w:rPr>
          <w:rFonts w:eastAsiaTheme="minorEastAsia" w:cs="Arial"/>
          <w:lang w:eastAsia="ja-JP"/>
        </w:rPr>
        <w:tab/>
        <w:t>(b)</w:t>
      </w:r>
      <w:r w:rsidRPr="00E34BAF">
        <w:rPr>
          <w:rFonts w:eastAsiaTheme="minorEastAsia" w:cs="Arial"/>
          <w:lang w:eastAsia="ja-JP"/>
        </w:rPr>
        <w:tab/>
      </w:r>
      <w:r w:rsidR="007F2657">
        <w:rPr>
          <w:rFonts w:eastAsiaTheme="minorEastAsia" w:cs="Arial"/>
          <w:lang w:eastAsia="ja-JP"/>
        </w:rPr>
        <w:t xml:space="preserve">réviser </w:t>
      </w:r>
      <w:r w:rsidR="00F472B9" w:rsidRPr="00E34BAF">
        <w:t>le document UPOV/INF/15 "</w:t>
      </w:r>
      <w:r w:rsidR="007F2657" w:rsidRPr="007F2657">
        <w:rPr>
          <w:rFonts w:eastAsiaTheme="minorEastAsia" w:cs="Arial"/>
          <w:lang w:eastAsia="ja-JP"/>
        </w:rPr>
        <w:t xml:space="preserve"> </w:t>
      </w:r>
      <w:r w:rsidR="007F2657" w:rsidRPr="00DD4E66">
        <w:rPr>
          <w:rFonts w:eastAsiaTheme="minorEastAsia" w:cs="Arial"/>
          <w:lang w:eastAsia="ja-JP"/>
        </w:rPr>
        <w:t>Document d'orientation destiné aux membres de l'UPOV</w:t>
      </w:r>
      <w:r w:rsidR="00F472B9" w:rsidRPr="00E34BAF">
        <w:t xml:space="preserve">", </w:t>
      </w:r>
      <w:r w:rsidR="007F2657">
        <w:t xml:space="preserve">comme indiqué </w:t>
      </w:r>
      <w:r w:rsidR="00F472B9" w:rsidRPr="00E34BAF">
        <w:t>ci-après</w:t>
      </w:r>
      <w:r w:rsidR="00EA33D5">
        <w:t>:</w:t>
      </w:r>
    </w:p>
    <w:p w14:paraId="0EB86628" w14:textId="77777777" w:rsidR="00F472B9" w:rsidRPr="00E34BAF" w:rsidRDefault="00F472B9" w:rsidP="00FB4867">
      <w:pPr>
        <w:shd w:val="clear" w:color="auto" w:fill="FFFFFF" w:themeFill="background1"/>
      </w:pPr>
    </w:p>
    <w:p w14:paraId="63793F3F" w14:textId="77777777" w:rsidR="007F2657" w:rsidRPr="00283618" w:rsidRDefault="007F2657" w:rsidP="007F2657">
      <w:pPr>
        <w:jc w:val="center"/>
        <w:rPr>
          <w:sz w:val="17"/>
          <w:szCs w:val="17"/>
        </w:rPr>
      </w:pPr>
      <w:bookmarkStart w:id="4" w:name="_Hlk180706934"/>
      <w:r w:rsidRPr="00283618">
        <w:rPr>
          <w:sz w:val="17"/>
          <w:szCs w:val="17"/>
        </w:rPr>
        <w:t>PROPOSITIONS DE REVISION DU DOCUMENT UPOV/INF/15/3 "GUIDANCE FOR MEMBERS OF UPOV" (DOCUMENT</w:t>
      </w:r>
      <w:r>
        <w:rPr>
          <w:sz w:val="17"/>
          <w:szCs w:val="17"/>
        </w:rPr>
        <w:t> </w:t>
      </w:r>
      <w:r w:rsidRPr="00283618">
        <w:rPr>
          <w:sz w:val="17"/>
          <w:szCs w:val="17"/>
        </w:rPr>
        <w:t>UPOV/INF/15/4)</w:t>
      </w:r>
    </w:p>
    <w:p w14:paraId="3D7C4C4C" w14:textId="77777777" w:rsidR="007F2657" w:rsidRDefault="007F2657" w:rsidP="007F2657">
      <w:pPr>
        <w:jc w:val="center"/>
        <w:rPr>
          <w:sz w:val="17"/>
          <w:szCs w:val="17"/>
        </w:rPr>
      </w:pPr>
    </w:p>
    <w:p w14:paraId="6487D57A" w14:textId="77777777" w:rsidR="007F2657" w:rsidRPr="00283618" w:rsidRDefault="007F2657" w:rsidP="007F2657">
      <w:pPr>
        <w:jc w:val="center"/>
        <w:rPr>
          <w:sz w:val="17"/>
          <w:szCs w:val="17"/>
        </w:rPr>
      </w:pPr>
    </w:p>
    <w:p w14:paraId="4A15894E" w14:textId="4B68EFB2" w:rsidR="007F2657" w:rsidRPr="00C114EA" w:rsidRDefault="007F2657" w:rsidP="007F2657">
      <w:pPr>
        <w:ind w:left="567"/>
        <w:rPr>
          <w:sz w:val="18"/>
          <w:szCs w:val="18"/>
        </w:rPr>
      </w:pPr>
      <w:bookmarkStart w:id="5" w:name="_Toc416789980"/>
      <w:bookmarkStart w:id="6" w:name="_Toc267302726"/>
      <w:bookmarkEnd w:id="4"/>
      <w:r w:rsidRPr="00C114EA">
        <w:rPr>
          <w:sz w:val="18"/>
          <w:szCs w:val="18"/>
        </w:rPr>
        <w:t>PREMIÈRE PARTIE</w:t>
      </w:r>
      <w:r w:rsidR="00EA33D5">
        <w:rPr>
          <w:sz w:val="18"/>
          <w:szCs w:val="18"/>
        </w:rPr>
        <w:t>:</w:t>
      </w:r>
      <w:r w:rsidRPr="00C114EA">
        <w:rPr>
          <w:sz w:val="18"/>
          <w:szCs w:val="18"/>
        </w:rPr>
        <w:t xml:space="preserve"> RÔLE DES MEMBRES DE L’UPOV</w:t>
      </w:r>
      <w:bookmarkEnd w:id="5"/>
    </w:p>
    <w:p w14:paraId="374142F6" w14:textId="77777777" w:rsidR="007F2657" w:rsidRPr="00AD70A1" w:rsidRDefault="007F2657" w:rsidP="007F2657">
      <w:pPr>
        <w:ind w:left="567"/>
      </w:pPr>
    </w:p>
    <w:p w14:paraId="5DB2B819" w14:textId="56952BC2" w:rsidR="007F2657" w:rsidRPr="00C114EA" w:rsidRDefault="007F2657" w:rsidP="007F2657">
      <w:pPr>
        <w:ind w:left="567"/>
        <w:rPr>
          <w:sz w:val="18"/>
          <w:szCs w:val="18"/>
          <w:u w:val="single"/>
        </w:rPr>
      </w:pPr>
      <w:bookmarkStart w:id="7" w:name="_Toc416789981"/>
      <w:r w:rsidRPr="00C114EA">
        <w:rPr>
          <w:sz w:val="18"/>
          <w:szCs w:val="18"/>
          <w:u w:val="single"/>
        </w:rPr>
        <w:t>Section 1</w:t>
      </w:r>
      <w:r w:rsidR="00EA33D5">
        <w:rPr>
          <w:sz w:val="18"/>
          <w:szCs w:val="18"/>
          <w:u w:val="single"/>
        </w:rPr>
        <w:t>:</w:t>
      </w:r>
      <w:r w:rsidRPr="00C114EA">
        <w:rPr>
          <w:sz w:val="18"/>
          <w:szCs w:val="18"/>
          <w:u w:val="single"/>
        </w:rPr>
        <w:t xml:space="preserve"> Notifications relatives aux représentants au Conseil et à leurs suppléants</w:t>
      </w:r>
      <w:bookmarkEnd w:id="6"/>
      <w:bookmarkEnd w:id="7"/>
    </w:p>
    <w:p w14:paraId="2C4D8407" w14:textId="77777777" w:rsidR="007F2657" w:rsidRPr="00C114EA" w:rsidRDefault="007F2657" w:rsidP="007F2657">
      <w:pPr>
        <w:ind w:left="567"/>
        <w:rPr>
          <w:sz w:val="18"/>
          <w:szCs w:val="18"/>
        </w:rPr>
      </w:pPr>
    </w:p>
    <w:p w14:paraId="34CEDE6E" w14:textId="77777777" w:rsidR="007F2657" w:rsidRPr="00C114EA" w:rsidRDefault="007F2657" w:rsidP="007F2657">
      <w:pPr>
        <w:ind w:left="567"/>
        <w:rPr>
          <w:sz w:val="18"/>
          <w:szCs w:val="18"/>
        </w:rPr>
      </w:pPr>
      <w:r w:rsidRPr="00C114EA">
        <w:rPr>
          <w:sz w:val="18"/>
          <w:szCs w:val="18"/>
        </w:rPr>
        <w:t>[…]</w:t>
      </w:r>
    </w:p>
    <w:p w14:paraId="7F37EC49" w14:textId="77777777" w:rsidR="007F2657" w:rsidRPr="00C114EA" w:rsidRDefault="007F2657" w:rsidP="007F2657">
      <w:pPr>
        <w:ind w:left="567"/>
        <w:rPr>
          <w:sz w:val="18"/>
          <w:szCs w:val="18"/>
        </w:rPr>
      </w:pPr>
    </w:p>
    <w:p w14:paraId="1F70B3EB" w14:textId="77777777" w:rsidR="007F2657" w:rsidRPr="00C114EA" w:rsidRDefault="007F2657" w:rsidP="007F2657">
      <w:pPr>
        <w:ind w:left="567"/>
        <w:rPr>
          <w:i/>
          <w:iCs/>
          <w:sz w:val="18"/>
          <w:szCs w:val="18"/>
        </w:rPr>
      </w:pPr>
      <w:bookmarkStart w:id="8" w:name="_Toc267302729"/>
      <w:bookmarkStart w:id="9" w:name="_Toc416789984"/>
      <w:r w:rsidRPr="00C114EA">
        <w:rPr>
          <w:i/>
          <w:iCs/>
          <w:sz w:val="18"/>
          <w:szCs w:val="18"/>
        </w:rPr>
        <w:t>Rôle du représentant</w:t>
      </w:r>
      <w:bookmarkEnd w:id="8"/>
      <w:bookmarkEnd w:id="9"/>
    </w:p>
    <w:p w14:paraId="41B2FA8A" w14:textId="77777777" w:rsidR="007F2657" w:rsidRPr="00C114EA" w:rsidRDefault="007F2657" w:rsidP="007F2657">
      <w:pPr>
        <w:keepNext/>
        <w:ind w:left="567"/>
        <w:rPr>
          <w:sz w:val="18"/>
          <w:szCs w:val="18"/>
          <w:u w:val="single"/>
        </w:rPr>
      </w:pPr>
    </w:p>
    <w:p w14:paraId="0A425481" w14:textId="628CFBDB" w:rsidR="007F2657" w:rsidRPr="00C114EA" w:rsidRDefault="007F2657" w:rsidP="007F2657">
      <w:pPr>
        <w:ind w:left="567"/>
        <w:rPr>
          <w:sz w:val="18"/>
          <w:szCs w:val="22"/>
        </w:rPr>
      </w:pPr>
      <w:r w:rsidRPr="00C114EA">
        <w:rPr>
          <w:sz w:val="18"/>
          <w:szCs w:val="18"/>
        </w:rPr>
        <w:t>10.</w:t>
      </w:r>
      <w:r w:rsidRPr="00C114EA">
        <w:rPr>
          <w:sz w:val="18"/>
          <w:szCs w:val="18"/>
        </w:rPr>
        <w:tab/>
        <w:t>Les représentants au Conseil sont notamment chargés de désigner les personnes auprès des organes pertinents de l’UPOV</w:t>
      </w:r>
      <w:r w:rsidRPr="00C114EA">
        <w:rPr>
          <w:strike/>
          <w:sz w:val="18"/>
          <w:szCs w:val="18"/>
          <w:highlight w:val="lightGray"/>
        </w:rPr>
        <w:t>, ainsi que celles auxquelles il est donné accès aux documents de l’UPOV dans la zone d’accès restreint sur le site Web de l’UPOV (voir les règles concernant l’accès aux documents de l’UPOV</w:t>
      </w:r>
      <w:r w:rsidR="00EA33D5">
        <w:rPr>
          <w:strike/>
          <w:sz w:val="18"/>
          <w:szCs w:val="18"/>
          <w:highlight w:val="lightGray"/>
        </w:rPr>
        <w:t>:</w:t>
      </w:r>
      <w:r w:rsidRPr="00C114EA">
        <w:rPr>
          <w:sz w:val="18"/>
          <w:szCs w:val="18"/>
        </w:rPr>
        <w:t xml:space="preserve"> </w:t>
      </w:r>
      <w:hyperlink r:id="rId9" w:history="1">
        <w:r w:rsidRPr="00C114EA">
          <w:rPr>
            <w:rStyle w:val="Hyperlink"/>
            <w:strike/>
            <w:sz w:val="18"/>
            <w:szCs w:val="18"/>
            <w:highlight w:val="lightGray"/>
          </w:rPr>
          <w:t>document UPOV/INF/20</w:t>
        </w:r>
      </w:hyperlink>
      <w:r w:rsidRPr="00C114EA">
        <w:rPr>
          <w:sz w:val="18"/>
          <w:szCs w:val="18"/>
          <w:highlight w:val="lightGray"/>
        </w:rPr>
        <w:t>)</w:t>
      </w:r>
      <w:r w:rsidRPr="00C114EA">
        <w:rPr>
          <w:sz w:val="18"/>
          <w:szCs w:val="18"/>
        </w:rPr>
        <w:t>.</w:t>
      </w:r>
    </w:p>
    <w:p w14:paraId="2DB0A092" w14:textId="77777777" w:rsidR="007F2657" w:rsidRPr="00C114EA" w:rsidRDefault="007F2657" w:rsidP="007F2657">
      <w:pPr>
        <w:ind w:left="567"/>
        <w:rPr>
          <w:sz w:val="18"/>
          <w:szCs w:val="22"/>
        </w:rPr>
      </w:pPr>
    </w:p>
    <w:p w14:paraId="6C0CD45B" w14:textId="77777777" w:rsidR="007F2657" w:rsidRPr="00C114EA" w:rsidRDefault="007F2657" w:rsidP="007F2657">
      <w:pPr>
        <w:ind w:left="567"/>
        <w:rPr>
          <w:sz w:val="18"/>
          <w:szCs w:val="18"/>
        </w:rPr>
      </w:pPr>
      <w:r w:rsidRPr="00C114EA">
        <w:rPr>
          <w:sz w:val="18"/>
          <w:szCs w:val="18"/>
        </w:rPr>
        <w:t>11.</w:t>
      </w:r>
      <w:r w:rsidRPr="00C114EA">
        <w:rPr>
          <w:sz w:val="18"/>
          <w:szCs w:val="18"/>
        </w:rPr>
        <w:tab/>
        <w:t>Lorsqu’il reçoit la notification, le Bureau de l’Union</w:t>
      </w:r>
    </w:p>
    <w:p w14:paraId="433BA6A9" w14:textId="77777777" w:rsidR="007F2657" w:rsidRPr="00C114EA" w:rsidRDefault="007F2657" w:rsidP="007F2657">
      <w:pPr>
        <w:ind w:left="567"/>
        <w:rPr>
          <w:sz w:val="18"/>
          <w:szCs w:val="18"/>
        </w:rPr>
      </w:pPr>
    </w:p>
    <w:p w14:paraId="6275881F" w14:textId="77777777" w:rsidR="007F2657" w:rsidRPr="00C114EA" w:rsidRDefault="007F2657" w:rsidP="007F2657">
      <w:pPr>
        <w:ind w:left="567"/>
        <w:rPr>
          <w:strike/>
          <w:sz w:val="18"/>
          <w:szCs w:val="18"/>
        </w:rPr>
      </w:pPr>
      <w:r w:rsidRPr="00C114EA">
        <w:rPr>
          <w:strike/>
          <w:sz w:val="18"/>
          <w:szCs w:val="18"/>
        </w:rPr>
        <w:tab/>
      </w:r>
      <w:r w:rsidRPr="00C114EA">
        <w:rPr>
          <w:strike/>
          <w:sz w:val="18"/>
          <w:szCs w:val="18"/>
          <w:highlight w:val="lightGray"/>
        </w:rPr>
        <w:t>a)</w:t>
      </w:r>
      <w:r w:rsidRPr="00C114EA">
        <w:rPr>
          <w:strike/>
          <w:sz w:val="18"/>
          <w:szCs w:val="18"/>
          <w:highlight w:val="lightGray"/>
        </w:rPr>
        <w:tab/>
        <w:t>communique au représentant officiellement nommé l’identifiant et le mot de passe attribués à ce membre de l’Union.  L’identifiant et le mot de passe permettent d’accéder à la zone d’accès restreint du site Web de l’UPOV afin de télécharger les documents (</w:t>
      </w:r>
      <w:hyperlink r:id="rId10" w:history="1">
        <w:r w:rsidRPr="00C114EA">
          <w:rPr>
            <w:rStyle w:val="Hyperlink"/>
            <w:strike/>
            <w:sz w:val="18"/>
            <w:szCs w:val="18"/>
            <w:highlight w:val="lightGray"/>
          </w:rPr>
          <w:t>http://www.upov.int/restrict/meetings/fr/</w:t>
        </w:r>
      </w:hyperlink>
      <w:r w:rsidRPr="00C114EA">
        <w:rPr>
          <w:strike/>
          <w:sz w:val="18"/>
          <w:szCs w:val="18"/>
          <w:highlight w:val="lightGray"/>
        </w:rPr>
        <w:t>);</w:t>
      </w:r>
    </w:p>
    <w:p w14:paraId="51F3E839" w14:textId="77777777" w:rsidR="007F2657" w:rsidRPr="00C114EA" w:rsidRDefault="007F2657" w:rsidP="007F2657">
      <w:pPr>
        <w:ind w:left="567"/>
        <w:rPr>
          <w:sz w:val="18"/>
          <w:szCs w:val="18"/>
        </w:rPr>
      </w:pPr>
    </w:p>
    <w:p w14:paraId="1520C02E" w14:textId="77777777" w:rsidR="007F2657" w:rsidRPr="00C114EA" w:rsidRDefault="007F2657" w:rsidP="007F2657">
      <w:pPr>
        <w:spacing w:after="240"/>
        <w:ind w:left="567"/>
        <w:rPr>
          <w:sz w:val="18"/>
          <w:szCs w:val="18"/>
        </w:rPr>
      </w:pPr>
      <w:r w:rsidRPr="00C114EA">
        <w:rPr>
          <w:sz w:val="18"/>
          <w:szCs w:val="18"/>
        </w:rPr>
        <w:tab/>
      </w:r>
      <w:proofErr w:type="spellStart"/>
      <w:r w:rsidRPr="00C114EA">
        <w:rPr>
          <w:strike/>
          <w:sz w:val="18"/>
          <w:szCs w:val="18"/>
          <w:highlight w:val="lightGray"/>
        </w:rPr>
        <w:t>b</w:t>
      </w:r>
      <w:r w:rsidRPr="00C114EA">
        <w:rPr>
          <w:sz w:val="18"/>
          <w:szCs w:val="18"/>
          <w:highlight w:val="lightGray"/>
          <w:u w:val="single"/>
        </w:rPr>
        <w:t>a</w:t>
      </w:r>
      <w:proofErr w:type="spellEnd"/>
      <w:r w:rsidRPr="00C114EA">
        <w:rPr>
          <w:sz w:val="18"/>
          <w:szCs w:val="18"/>
        </w:rPr>
        <w:t>)</w:t>
      </w:r>
      <w:r w:rsidRPr="00C114EA">
        <w:rPr>
          <w:sz w:val="18"/>
          <w:szCs w:val="18"/>
        </w:rPr>
        <w:tab/>
        <w:t>attire l’attention du représentant sur le diagramme des organes de l’UPOV (</w:t>
      </w:r>
      <w:hyperlink r:id="rId11" w:history="1">
        <w:r w:rsidRPr="00C114EA">
          <w:rPr>
            <w:rStyle w:val="Hyperlink"/>
            <w:sz w:val="18"/>
            <w:szCs w:val="18"/>
          </w:rPr>
          <w:t>http://www.upov.int/about/fr/organigram.html</w:t>
        </w:r>
      </w:hyperlink>
      <w:r w:rsidRPr="00C114EA">
        <w:rPr>
          <w:sz w:val="18"/>
          <w:szCs w:val="18"/>
        </w:rPr>
        <w:t>) et demande au représentant de lui communiquer les noms et coordonnées des “personnes désignées” auprès du Conseil, du Comité consultatif, du Comité administratif et juridique (CAJ), du Comité technique (TC) et des groupes de travail techniques (TWP).  Le Bureau de l’Union, si besoin est, joint la liste existante à l’intention du membre intéressé de l’Union, pour confirmation ou mise à jour.  Les personnes désignées par le représentant reçoivent une copie des invitations à assister aux sessions des organes pertinents de l’UPOV et des notifications correspondantes relatives à la diffusion des documents pour ces sessions;</w:t>
      </w:r>
    </w:p>
    <w:p w14:paraId="247966A6" w14:textId="77777777" w:rsidR="007F2657" w:rsidRPr="00C114EA" w:rsidRDefault="007F2657" w:rsidP="007F2657">
      <w:pPr>
        <w:ind w:left="567"/>
        <w:rPr>
          <w:rFonts w:cs="Arial"/>
          <w:sz w:val="18"/>
          <w:szCs w:val="18"/>
        </w:rPr>
      </w:pPr>
      <w:r w:rsidRPr="00C114EA">
        <w:rPr>
          <w:strike/>
          <w:sz w:val="18"/>
          <w:szCs w:val="18"/>
        </w:rPr>
        <w:tab/>
      </w:r>
      <w:r w:rsidRPr="00C114EA">
        <w:rPr>
          <w:strike/>
          <w:sz w:val="18"/>
          <w:szCs w:val="18"/>
          <w:highlight w:val="lightGray"/>
        </w:rPr>
        <w:t>c)</w:t>
      </w:r>
      <w:r w:rsidRPr="00C114EA">
        <w:rPr>
          <w:strike/>
          <w:sz w:val="18"/>
          <w:szCs w:val="18"/>
          <w:highlight w:val="lightGray"/>
        </w:rPr>
        <w:tab/>
        <w:t>envoie une copie des règles concernant l’accès aux documents de l’UPOV (</w:t>
      </w:r>
      <w:hyperlink r:id="rId12" w:history="1">
        <w:r w:rsidRPr="00C114EA">
          <w:rPr>
            <w:rStyle w:val="Hyperlink"/>
            <w:strike/>
            <w:sz w:val="18"/>
            <w:szCs w:val="18"/>
            <w:highlight w:val="lightGray"/>
          </w:rPr>
          <w:t>document UPOV/INF/20</w:t>
        </w:r>
      </w:hyperlink>
      <w:r w:rsidRPr="00C114EA">
        <w:rPr>
          <w:strike/>
          <w:sz w:val="18"/>
          <w:szCs w:val="18"/>
          <w:highlight w:val="lightGray"/>
        </w:rPr>
        <w:t>) afin de guider le représentant en ce qui concerne la communication de l’identifiant et du mot de passe.  Toute personne provenant du membre de l’Union qui dépose auprès du Bureau de l’Union une demande d’accès aux documents figurant dans la zone d’accès restreint du site Web de l’UPOV, est invitée à prendre contact avec le représentant;</w:t>
      </w:r>
      <w:r w:rsidRPr="00C114EA">
        <w:rPr>
          <w:sz w:val="18"/>
          <w:szCs w:val="18"/>
        </w:rPr>
        <w:t xml:space="preserve">  et</w:t>
      </w:r>
    </w:p>
    <w:p w14:paraId="6063C226" w14:textId="77777777" w:rsidR="007F2657" w:rsidRPr="00C114EA" w:rsidRDefault="007F2657" w:rsidP="007F2657">
      <w:pPr>
        <w:ind w:left="567"/>
        <w:rPr>
          <w:sz w:val="18"/>
          <w:szCs w:val="18"/>
        </w:rPr>
      </w:pPr>
    </w:p>
    <w:p w14:paraId="6E1C0F75" w14:textId="77777777" w:rsidR="007F2657" w:rsidRPr="00C114EA" w:rsidRDefault="007F2657" w:rsidP="007F2657">
      <w:pPr>
        <w:ind w:left="567"/>
        <w:rPr>
          <w:sz w:val="18"/>
          <w:szCs w:val="18"/>
        </w:rPr>
      </w:pPr>
      <w:r w:rsidRPr="00C114EA">
        <w:rPr>
          <w:sz w:val="18"/>
          <w:szCs w:val="18"/>
        </w:rPr>
        <w:tab/>
      </w:r>
      <w:proofErr w:type="spellStart"/>
      <w:r w:rsidRPr="00C114EA">
        <w:rPr>
          <w:strike/>
          <w:sz w:val="18"/>
          <w:szCs w:val="18"/>
          <w:highlight w:val="lightGray"/>
        </w:rPr>
        <w:t>d</w:t>
      </w:r>
      <w:r w:rsidRPr="00C114EA">
        <w:rPr>
          <w:sz w:val="18"/>
          <w:szCs w:val="18"/>
          <w:u w:val="single"/>
        </w:rPr>
        <w:t>b</w:t>
      </w:r>
      <w:proofErr w:type="spellEnd"/>
      <w:r w:rsidRPr="00C114EA">
        <w:rPr>
          <w:sz w:val="18"/>
          <w:szCs w:val="18"/>
        </w:rPr>
        <w:t>)</w:t>
      </w:r>
      <w:r w:rsidRPr="00C114EA">
        <w:rPr>
          <w:sz w:val="18"/>
          <w:szCs w:val="18"/>
        </w:rPr>
        <w:tab/>
        <w:t>demande au représentant de lui fournir les coordonnées du service chargé d’octroyer les droits d’obtenteur conformément à l’article 30.1)ii) de l’Acte de 1991 de la Convention UPOV, à des fins de publication sous la rubrique “Répertoire des services de protection des obtentions végétales” du site Web de l’UPOV (</w:t>
      </w:r>
      <w:hyperlink r:id="rId13" w:history="1">
        <w:r w:rsidRPr="00C114EA">
          <w:rPr>
            <w:rStyle w:val="Hyperlink"/>
            <w:sz w:val="18"/>
            <w:szCs w:val="18"/>
          </w:rPr>
          <w:t>http://www.upov.int/members/en/pvp_offices.html</w:t>
        </w:r>
      </w:hyperlink>
      <w:r w:rsidRPr="00C114EA">
        <w:rPr>
          <w:sz w:val="18"/>
          <w:szCs w:val="18"/>
        </w:rPr>
        <w:t>).</w:t>
      </w:r>
    </w:p>
    <w:p w14:paraId="4589EBAC" w14:textId="77777777" w:rsidR="007F2657" w:rsidRDefault="007F2657" w:rsidP="007F2657">
      <w:pPr>
        <w:rPr>
          <w:szCs w:val="24"/>
        </w:rPr>
      </w:pPr>
    </w:p>
    <w:p w14:paraId="7AE47C45" w14:textId="4C26FFE6" w:rsidR="00E14937" w:rsidRPr="00E34BAF" w:rsidRDefault="001A3265">
      <w:pPr>
        <w:keepNext/>
        <w:shd w:val="clear" w:color="auto" w:fill="FFFFFF" w:themeFill="background1"/>
      </w:pPr>
      <w:r w:rsidRPr="00E34BAF">
        <w:rPr>
          <w:rFonts w:eastAsiaTheme="minorEastAsia" w:cs="Arial"/>
          <w:spacing w:val="-4"/>
          <w:sz w:val="17"/>
          <w:szCs w:val="17"/>
          <w:lang w:eastAsia="ja-JP"/>
        </w:rPr>
        <w:fldChar w:fldCharType="begin"/>
      </w:r>
      <w:r w:rsidRPr="00E34BAF">
        <w:rPr>
          <w:rFonts w:eastAsiaTheme="minorEastAsia" w:cs="Arial"/>
          <w:spacing w:val="-4"/>
          <w:sz w:val="17"/>
          <w:szCs w:val="17"/>
          <w:lang w:eastAsia="ja-JP"/>
        </w:rPr>
        <w:instrText xml:space="preserve"> AUTONUM  </w:instrText>
      </w:r>
      <w:r w:rsidRPr="00E34BAF">
        <w:rPr>
          <w:rFonts w:eastAsiaTheme="minorEastAsia" w:cs="Arial"/>
          <w:spacing w:val="-4"/>
          <w:sz w:val="17"/>
          <w:szCs w:val="17"/>
          <w:lang w:eastAsia="ja-JP"/>
        </w:rPr>
        <w:fldChar w:fldCharType="end"/>
      </w:r>
      <w:r w:rsidRPr="00E34BAF">
        <w:rPr>
          <w:rFonts w:eastAsiaTheme="minorEastAsia" w:cs="Arial"/>
          <w:spacing w:val="-4"/>
          <w:sz w:val="17"/>
          <w:szCs w:val="17"/>
          <w:lang w:eastAsia="ja-JP"/>
        </w:rPr>
        <w:tab/>
      </w:r>
      <w:r w:rsidRPr="00E34BAF">
        <w:t xml:space="preserve">Le représentant de l'Association for Plant </w:t>
      </w:r>
      <w:proofErr w:type="spellStart"/>
      <w:r w:rsidRPr="00E34BAF">
        <w:t>Breeding</w:t>
      </w:r>
      <w:proofErr w:type="spellEnd"/>
      <w:r w:rsidRPr="00E34BAF">
        <w:t xml:space="preserve"> for the </w:t>
      </w:r>
      <w:proofErr w:type="spellStart"/>
      <w:r w:rsidRPr="00E34BAF">
        <w:t>Benefit</w:t>
      </w:r>
      <w:proofErr w:type="spellEnd"/>
      <w:r w:rsidRPr="00E34BAF">
        <w:t xml:space="preserve"> of Society (APBREBES) </w:t>
      </w:r>
      <w:r w:rsidR="001D7E83">
        <w:t>félicite</w:t>
      </w:r>
      <w:r w:rsidRPr="00E34BAF">
        <w:t xml:space="preserve"> l'UPOV pour sa décision de </w:t>
      </w:r>
      <w:r w:rsidRPr="00E34BAF">
        <w:rPr>
          <w:rFonts w:eastAsiaTheme="minorEastAsia" w:cs="Arial"/>
          <w:lang w:eastAsia="ja-JP"/>
        </w:rPr>
        <w:t xml:space="preserve">supprimer la zone d'accès restreint de son site web </w:t>
      </w:r>
      <w:r w:rsidRPr="00E34BAF">
        <w:t xml:space="preserve">et </w:t>
      </w:r>
      <w:r w:rsidR="0050523F" w:rsidRPr="00E34BAF">
        <w:t xml:space="preserve">encourage la </w:t>
      </w:r>
      <w:r w:rsidR="00064F21" w:rsidRPr="00E34BAF">
        <w:t xml:space="preserve">participation </w:t>
      </w:r>
      <w:r w:rsidR="001D7E83">
        <w:t xml:space="preserve">ouverte à </w:t>
      </w:r>
      <w:r w:rsidR="00064F21" w:rsidRPr="00E34BAF">
        <w:t>tous aux réunions, y compris celles du Comité consultatif.</w:t>
      </w:r>
    </w:p>
    <w:p w14:paraId="1BA0B20E" w14:textId="77777777" w:rsidR="00316BEB" w:rsidRPr="00E34BAF" w:rsidRDefault="00316BEB" w:rsidP="00FB4867">
      <w:pPr>
        <w:shd w:val="clear" w:color="auto" w:fill="FFFFFF" w:themeFill="background1"/>
      </w:pPr>
    </w:p>
    <w:p w14:paraId="7EDB7117" w14:textId="3982F049" w:rsidR="00E14937" w:rsidRPr="00E34BAF" w:rsidRDefault="001A3265" w:rsidP="00680E83">
      <w:pPr>
        <w:keepNext/>
        <w:shd w:val="clear" w:color="auto" w:fill="FFFFFF" w:themeFill="background1"/>
        <w:ind w:left="567"/>
        <w:rPr>
          <w:u w:val="single"/>
        </w:rPr>
      </w:pPr>
      <w:r w:rsidRPr="00E34BAF">
        <w:rPr>
          <w:u w:val="single"/>
        </w:rPr>
        <w:t>UPOV/INF-EXN</w:t>
      </w:r>
      <w:r w:rsidR="00EA33D5">
        <w:rPr>
          <w:u w:val="single"/>
        </w:rPr>
        <w:t>:</w:t>
      </w:r>
      <w:r w:rsidRPr="00E34BAF">
        <w:rPr>
          <w:u w:val="single"/>
        </w:rPr>
        <w:t xml:space="preserve"> Liste des documents UPOV/INF-EXN et </w:t>
      </w:r>
      <w:r w:rsidR="00EA33D5" w:rsidRPr="00EA33D5">
        <w:rPr>
          <w:u w:val="single"/>
        </w:rPr>
        <w:t>date de la version la plus récente de ces documents</w:t>
      </w:r>
      <w:r w:rsidRPr="00E34BAF">
        <w:rPr>
          <w:u w:val="single"/>
        </w:rPr>
        <w:t xml:space="preserve"> (révision) (document </w:t>
      </w:r>
      <w:r w:rsidR="00272A37" w:rsidRPr="00E34BAF">
        <w:rPr>
          <w:u w:val="single"/>
        </w:rPr>
        <w:t xml:space="preserve">UPOV/INF-EXN/18 </w:t>
      </w:r>
      <w:r w:rsidRPr="00E34BAF">
        <w:rPr>
          <w:u w:val="single"/>
        </w:rPr>
        <w:t>Draft 1)</w:t>
      </w:r>
    </w:p>
    <w:p w14:paraId="438E6D6D" w14:textId="77777777" w:rsidR="00D45BE7" w:rsidRPr="00E34BAF" w:rsidRDefault="00D45BE7" w:rsidP="00FB4867">
      <w:pPr>
        <w:keepNext/>
        <w:shd w:val="clear" w:color="auto" w:fill="FFFFFF" w:themeFill="background1"/>
        <w:rPr>
          <w:rFonts w:eastAsiaTheme="minorEastAsia" w:cs="Arial"/>
          <w:spacing w:val="-4"/>
          <w:sz w:val="17"/>
          <w:szCs w:val="17"/>
          <w:u w:val="single"/>
          <w:lang w:eastAsia="ja-JP"/>
        </w:rPr>
      </w:pPr>
    </w:p>
    <w:p w14:paraId="4A08C1FE" w14:textId="5A7015CC" w:rsidR="00E14937" w:rsidRPr="00A21AA0" w:rsidRDefault="001A3265">
      <w:pPr>
        <w:shd w:val="clear" w:color="auto" w:fill="FFFFFF" w:themeFill="background1"/>
        <w:spacing w:after="240"/>
        <w:rPr>
          <w:lang w:eastAsia="ja-JP"/>
        </w:rPr>
      </w:pPr>
      <w:r w:rsidRPr="00E34BAF">
        <w:rPr>
          <w:lang w:eastAsia="ja-JP"/>
        </w:rPr>
        <w:fldChar w:fldCharType="begin"/>
      </w:r>
      <w:r w:rsidRPr="00E34BAF">
        <w:rPr>
          <w:lang w:eastAsia="ja-JP"/>
        </w:rPr>
        <w:instrText xml:space="preserve"> AUTONUM  </w:instrText>
      </w:r>
      <w:r w:rsidRPr="00E34BAF">
        <w:rPr>
          <w:lang w:eastAsia="ja-JP"/>
        </w:rPr>
        <w:fldChar w:fldCharType="end"/>
      </w:r>
      <w:r w:rsidRPr="00E34BAF">
        <w:rPr>
          <w:lang w:eastAsia="ja-JP"/>
        </w:rPr>
        <w:tab/>
      </w:r>
      <w:r w:rsidRPr="00E34BAF">
        <w:t xml:space="preserve">Le Conseil </w:t>
      </w:r>
      <w:r w:rsidRPr="00E34BAF">
        <w:rPr>
          <w:lang w:eastAsia="zh-CN"/>
        </w:rPr>
        <w:t xml:space="preserve">adopte les </w:t>
      </w:r>
      <w:r w:rsidRPr="00E34BAF">
        <w:rPr>
          <w:lang w:eastAsia="ja-JP"/>
        </w:rPr>
        <w:t xml:space="preserve">révisions </w:t>
      </w:r>
      <w:r w:rsidRPr="00E34BAF">
        <w:rPr>
          <w:lang w:eastAsia="zh-CN"/>
        </w:rPr>
        <w:t xml:space="preserve">proposées </w:t>
      </w:r>
      <w:r w:rsidRPr="00E34BAF">
        <w:rPr>
          <w:lang w:eastAsia="ja-JP"/>
        </w:rPr>
        <w:t xml:space="preserve">au document UPOV/INF-EXN "Liste des documents </w:t>
      </w:r>
      <w:r w:rsidRPr="00A21AA0">
        <w:rPr>
          <w:lang w:eastAsia="ja-JP"/>
        </w:rPr>
        <w:t xml:space="preserve">UPOV/INF-EXN et </w:t>
      </w:r>
      <w:r w:rsidR="00A21AA0" w:rsidRPr="00A21AA0">
        <w:rPr>
          <w:lang w:eastAsia="ja-JP"/>
        </w:rPr>
        <w:t>date de la version la plus récente de ces documents</w:t>
      </w:r>
      <w:r w:rsidRPr="00A21AA0">
        <w:rPr>
          <w:lang w:eastAsia="ja-JP"/>
        </w:rPr>
        <w:t xml:space="preserve">", </w:t>
      </w:r>
      <w:r w:rsidRPr="00A21AA0">
        <w:t xml:space="preserve">sur la base du </w:t>
      </w:r>
      <w:r w:rsidR="00A21AA0">
        <w:br/>
      </w:r>
      <w:r w:rsidRPr="00A21AA0">
        <w:t xml:space="preserve">document </w:t>
      </w:r>
      <w:r w:rsidR="00272A37" w:rsidRPr="00A21AA0">
        <w:t xml:space="preserve">UPOV/INF-EXN/18 </w:t>
      </w:r>
      <w:r w:rsidRPr="00A21AA0">
        <w:t>Draft</w:t>
      </w:r>
      <w:r w:rsidR="00EA33D5" w:rsidRPr="00A21AA0">
        <w:t> </w:t>
      </w:r>
      <w:r w:rsidRPr="00A21AA0">
        <w:t>1</w:t>
      </w:r>
      <w:r w:rsidRPr="00A21AA0">
        <w:rPr>
          <w:lang w:eastAsia="ja-JP"/>
        </w:rPr>
        <w:t xml:space="preserve">. </w:t>
      </w:r>
    </w:p>
    <w:p w14:paraId="4D070D7B" w14:textId="06AEB72D" w:rsidR="00E14937" w:rsidRPr="00E34BAF" w:rsidRDefault="00484F94" w:rsidP="00680E83">
      <w:pPr>
        <w:pStyle w:val="Heading4"/>
      </w:pPr>
      <w:r w:rsidRPr="00E34BAF">
        <w:t>TGP/0</w:t>
      </w:r>
      <w:r w:rsidR="00EA33D5">
        <w:t>:</w:t>
      </w:r>
      <w:r w:rsidR="001A3265" w:rsidRPr="00E34BAF">
        <w:t xml:space="preserve"> </w:t>
      </w:r>
      <w:r w:rsidRPr="00E34BAF">
        <w:t xml:space="preserve">Liste des documents TGP et </w:t>
      </w:r>
      <w:r w:rsidR="00EA33D5" w:rsidRPr="00EA33D5">
        <w:t>date de la version la plus récente de ces documents</w:t>
      </w:r>
      <w:r w:rsidRPr="00E34BAF">
        <w:t xml:space="preserve"> (révision) (document</w:t>
      </w:r>
      <w:r w:rsidR="00EA33D5">
        <w:t> </w:t>
      </w:r>
      <w:r w:rsidRPr="00E34BAF">
        <w:t>TGP/0/16 Draft 1)</w:t>
      </w:r>
    </w:p>
    <w:p w14:paraId="229D0A37" w14:textId="77777777" w:rsidR="00D45BE7" w:rsidRPr="00E34BAF" w:rsidRDefault="00D45BE7" w:rsidP="00FB4867">
      <w:pPr>
        <w:shd w:val="clear" w:color="auto" w:fill="FFFFFF" w:themeFill="background1"/>
      </w:pPr>
    </w:p>
    <w:p w14:paraId="7D9DB459" w14:textId="20FEB41A" w:rsidR="00E14937" w:rsidRPr="00E34BAF" w:rsidRDefault="001A3265">
      <w:pPr>
        <w:shd w:val="clear" w:color="auto" w:fill="FFFFFF" w:themeFill="background1"/>
        <w:rPr>
          <w:lang w:eastAsia="ja-JP"/>
        </w:rPr>
      </w:pPr>
      <w:r w:rsidRPr="00E34BAF">
        <w:rPr>
          <w:lang w:eastAsia="ja-JP"/>
        </w:rPr>
        <w:fldChar w:fldCharType="begin"/>
      </w:r>
      <w:r w:rsidRPr="00E34BAF">
        <w:rPr>
          <w:lang w:eastAsia="ja-JP"/>
        </w:rPr>
        <w:instrText xml:space="preserve"> AUTONUM  </w:instrText>
      </w:r>
      <w:r w:rsidRPr="00E34BAF">
        <w:rPr>
          <w:lang w:eastAsia="ja-JP"/>
        </w:rPr>
        <w:fldChar w:fldCharType="end"/>
      </w:r>
      <w:r w:rsidRPr="00E34BAF">
        <w:rPr>
          <w:lang w:eastAsia="ja-JP"/>
        </w:rPr>
        <w:tab/>
      </w:r>
      <w:r w:rsidRPr="00E34BAF">
        <w:t xml:space="preserve">Le Conseil </w:t>
      </w:r>
      <w:r w:rsidRPr="00E34BAF">
        <w:rPr>
          <w:lang w:eastAsia="zh-CN"/>
        </w:rPr>
        <w:t xml:space="preserve">a adopté les </w:t>
      </w:r>
      <w:r w:rsidRPr="00E34BAF">
        <w:rPr>
          <w:lang w:eastAsia="ja-JP"/>
        </w:rPr>
        <w:t xml:space="preserve">révisions </w:t>
      </w:r>
      <w:r w:rsidRPr="00E34BAF">
        <w:rPr>
          <w:lang w:eastAsia="zh-CN"/>
        </w:rPr>
        <w:t xml:space="preserve">proposées </w:t>
      </w:r>
      <w:r w:rsidRPr="00E34BAF">
        <w:rPr>
          <w:lang w:eastAsia="ja-JP"/>
        </w:rPr>
        <w:t xml:space="preserve">au document TGP/0 "Liste des documents TGP et </w:t>
      </w:r>
      <w:r w:rsidR="00A21AA0" w:rsidRPr="00A21AA0">
        <w:rPr>
          <w:lang w:eastAsia="ja-JP"/>
        </w:rPr>
        <w:t>date de la version la plus récente de ces documents</w:t>
      </w:r>
      <w:r w:rsidRPr="00E34BAF">
        <w:rPr>
          <w:lang w:eastAsia="ja-JP"/>
        </w:rPr>
        <w:t xml:space="preserve">", </w:t>
      </w:r>
      <w:r w:rsidRPr="00E34BAF">
        <w:t>sur la base du document TGP/0/16 Draft 1</w:t>
      </w:r>
      <w:r w:rsidRPr="00E34BAF">
        <w:rPr>
          <w:lang w:eastAsia="ja-JP"/>
        </w:rPr>
        <w:t xml:space="preserve">. </w:t>
      </w:r>
    </w:p>
    <w:p w14:paraId="261CA867" w14:textId="77777777" w:rsidR="00D45BE7" w:rsidRDefault="00D45BE7" w:rsidP="00FB4867">
      <w:pPr>
        <w:shd w:val="clear" w:color="auto" w:fill="FFFFFF" w:themeFill="background1"/>
      </w:pPr>
    </w:p>
    <w:p w14:paraId="348FE82A" w14:textId="77777777" w:rsidR="00CE6955" w:rsidRPr="00E34BAF" w:rsidRDefault="00CE6955" w:rsidP="00FB4867">
      <w:pPr>
        <w:shd w:val="clear" w:color="auto" w:fill="FFFFFF" w:themeFill="background1"/>
      </w:pPr>
    </w:p>
    <w:p w14:paraId="34754AD0" w14:textId="6DE9B72A" w:rsidR="00E14937" w:rsidRPr="00E34BAF" w:rsidRDefault="001A3265">
      <w:pPr>
        <w:keepNext/>
        <w:shd w:val="clear" w:color="auto" w:fill="FFFFFF" w:themeFill="background1"/>
        <w:rPr>
          <w:i/>
          <w:iCs/>
        </w:rPr>
      </w:pPr>
      <w:r w:rsidRPr="00E34BAF">
        <w:rPr>
          <w:i/>
          <w:iCs/>
        </w:rPr>
        <w:lastRenderedPageBreak/>
        <w:t xml:space="preserve">II. </w:t>
      </w:r>
      <w:r w:rsidRPr="00E34BAF">
        <w:rPr>
          <w:i/>
          <w:iCs/>
        </w:rPr>
        <w:tab/>
        <w:t xml:space="preserve">QUESTIONS SOUMISES </w:t>
      </w:r>
      <w:r w:rsidR="00CE6955" w:rsidRPr="00E34BAF">
        <w:rPr>
          <w:i/>
          <w:iCs/>
        </w:rPr>
        <w:t>À</w:t>
      </w:r>
      <w:r w:rsidRPr="00E34BAF">
        <w:rPr>
          <w:i/>
          <w:iCs/>
        </w:rPr>
        <w:t xml:space="preserve"> L'EXAMEN DU COMIT</w:t>
      </w:r>
      <w:r w:rsidR="00CE6955">
        <w:rPr>
          <w:i/>
          <w:iCs/>
        </w:rPr>
        <w:t>É</w:t>
      </w:r>
      <w:r w:rsidRPr="00E34BAF">
        <w:rPr>
          <w:i/>
          <w:iCs/>
        </w:rPr>
        <w:t xml:space="preserve"> TECHNIQUE</w:t>
      </w:r>
    </w:p>
    <w:p w14:paraId="12C3EDC6" w14:textId="77777777" w:rsidR="00D45BE7" w:rsidRPr="00E34BAF" w:rsidRDefault="00D45BE7" w:rsidP="00FB4867">
      <w:pPr>
        <w:keepNext/>
        <w:shd w:val="clear" w:color="auto" w:fill="FFFFFF" w:themeFill="background1"/>
        <w:rPr>
          <w:spacing w:val="-2"/>
        </w:rPr>
      </w:pPr>
    </w:p>
    <w:p w14:paraId="0185811A" w14:textId="12AF8D4E" w:rsidR="00E14937" w:rsidRPr="00E34BAF" w:rsidRDefault="001A3265">
      <w:pPr>
        <w:shd w:val="clear" w:color="auto" w:fill="FFFFFF" w:themeFill="background1"/>
        <w:rPr>
          <w:spacing w:val="-2"/>
        </w:rPr>
      </w:pPr>
      <w:r w:rsidRPr="00E34BAF">
        <w:rPr>
          <w:lang w:eastAsia="ja-JP"/>
        </w:rPr>
        <w:fldChar w:fldCharType="begin"/>
      </w:r>
      <w:r w:rsidRPr="00E34BAF">
        <w:rPr>
          <w:lang w:eastAsia="ja-JP"/>
        </w:rPr>
        <w:instrText xml:space="preserve"> AUTONUM  </w:instrText>
      </w:r>
      <w:r w:rsidRPr="00E34BAF">
        <w:rPr>
          <w:lang w:eastAsia="ja-JP"/>
        </w:rPr>
        <w:fldChar w:fldCharType="end"/>
      </w:r>
      <w:r w:rsidRPr="00E34BAF">
        <w:rPr>
          <w:lang w:eastAsia="ja-JP"/>
        </w:rPr>
        <w:tab/>
      </w:r>
      <w:r w:rsidRPr="00E34BAF">
        <w:rPr>
          <w:spacing w:val="-2"/>
        </w:rPr>
        <w:t xml:space="preserve">Le Conseil a pris note </w:t>
      </w:r>
      <w:r w:rsidR="00B72C9D">
        <w:rPr>
          <w:spacing w:val="-2"/>
        </w:rPr>
        <w:t>des faits nouveaux</w:t>
      </w:r>
      <w:r w:rsidRPr="00E34BAF">
        <w:rPr>
          <w:spacing w:val="-2"/>
        </w:rPr>
        <w:t xml:space="preserve"> concernant d'éventuelles révisions futures des documents d'orientation et d'information examinés par le TC, comme indiqué aux paragraphes 43 à 62 du document SESSIONS/2024/2.</w:t>
      </w:r>
    </w:p>
    <w:p w14:paraId="79B67073" w14:textId="77777777" w:rsidR="00934A3E" w:rsidRPr="00E34BAF" w:rsidRDefault="00934A3E" w:rsidP="00FB4867">
      <w:pPr>
        <w:shd w:val="clear" w:color="auto" w:fill="FFFFFF" w:themeFill="background1"/>
        <w:rPr>
          <w:spacing w:val="-2"/>
        </w:rPr>
      </w:pPr>
    </w:p>
    <w:p w14:paraId="6704D9D9" w14:textId="77777777" w:rsidR="00F63BA5" w:rsidRPr="00E34BAF" w:rsidRDefault="00F63BA5" w:rsidP="00FB4867">
      <w:pPr>
        <w:shd w:val="clear" w:color="auto" w:fill="FFFFFF" w:themeFill="background1"/>
        <w:rPr>
          <w:spacing w:val="-2"/>
        </w:rPr>
      </w:pPr>
    </w:p>
    <w:p w14:paraId="402638C4" w14:textId="77777777" w:rsidR="00E14937" w:rsidRPr="00E34BAF" w:rsidRDefault="001A3265">
      <w:pPr>
        <w:keepNext/>
        <w:shd w:val="clear" w:color="auto" w:fill="FFFFFF" w:themeFill="background1"/>
        <w:ind w:left="567" w:hanging="567"/>
        <w:rPr>
          <w:rFonts w:cs="Arial"/>
          <w:snapToGrid w:val="0"/>
        </w:rPr>
      </w:pPr>
      <w:r w:rsidRPr="00E34BAF">
        <w:rPr>
          <w:rFonts w:cs="Arial"/>
          <w:snapToGrid w:val="0"/>
          <w:u w:val="single"/>
        </w:rPr>
        <w:t xml:space="preserve">États financiers pour </w:t>
      </w:r>
      <w:r w:rsidR="00951E5D" w:rsidRPr="00E34BAF">
        <w:rPr>
          <w:rFonts w:cs="Arial"/>
          <w:snapToGrid w:val="0"/>
          <w:u w:val="single"/>
        </w:rPr>
        <w:t>2023</w:t>
      </w:r>
    </w:p>
    <w:p w14:paraId="155C965D" w14:textId="77777777" w:rsidR="00D45BE7" w:rsidRPr="00E34BAF" w:rsidRDefault="00D45BE7" w:rsidP="00FB4867">
      <w:pPr>
        <w:keepNext/>
        <w:shd w:val="clear" w:color="auto" w:fill="FFFFFF" w:themeFill="background1"/>
        <w:ind w:left="567" w:hanging="567"/>
        <w:rPr>
          <w:rFonts w:cs="Arial"/>
          <w:snapToGrid w:val="0"/>
        </w:rPr>
      </w:pPr>
    </w:p>
    <w:p w14:paraId="1C013B7D" w14:textId="77777777" w:rsidR="00E14937" w:rsidRPr="00E34BAF" w:rsidRDefault="001A3265">
      <w:pPr>
        <w:shd w:val="clear" w:color="auto" w:fill="FFFFFF" w:themeFill="background1"/>
        <w:ind w:left="567" w:hanging="567"/>
        <w:rPr>
          <w:rFonts w:cs="Arial"/>
          <w:snapToGrid w:val="0"/>
        </w:rPr>
      </w:pPr>
      <w:r w:rsidRPr="00E34BAF">
        <w:rPr>
          <w:snapToGrid w:val="0"/>
        </w:rPr>
        <w:fldChar w:fldCharType="begin"/>
      </w:r>
      <w:r w:rsidRPr="00E34BAF">
        <w:rPr>
          <w:snapToGrid w:val="0"/>
        </w:rPr>
        <w:instrText xml:space="preserve"> AUTONUM  </w:instrText>
      </w:r>
      <w:r w:rsidRPr="00E34BAF">
        <w:rPr>
          <w:snapToGrid w:val="0"/>
        </w:rPr>
        <w:fldChar w:fldCharType="end"/>
      </w:r>
      <w:r w:rsidRPr="00E34BAF">
        <w:rPr>
          <w:snapToGrid w:val="0"/>
        </w:rPr>
        <w:tab/>
        <w:t xml:space="preserve">Le Conseil a approuvé les États financiers pour </w:t>
      </w:r>
      <w:r w:rsidR="00951E5D" w:rsidRPr="00E34BAF">
        <w:rPr>
          <w:snapToGrid w:val="0"/>
        </w:rPr>
        <w:t>2023</w:t>
      </w:r>
      <w:r w:rsidRPr="00E34BAF">
        <w:rPr>
          <w:snapToGrid w:val="0"/>
        </w:rPr>
        <w:t xml:space="preserve">, tels que présentés dans le </w:t>
      </w:r>
      <w:r w:rsidRPr="00E34BAF">
        <w:rPr>
          <w:rFonts w:cs="Arial"/>
          <w:snapToGrid w:val="0"/>
        </w:rPr>
        <w:t>document C/58/9.</w:t>
      </w:r>
    </w:p>
    <w:p w14:paraId="7653EBBF" w14:textId="77777777" w:rsidR="00D45BE7" w:rsidRPr="00E34BAF" w:rsidRDefault="00D45BE7" w:rsidP="00FB4867">
      <w:pPr>
        <w:shd w:val="clear" w:color="auto" w:fill="FFFFFF" w:themeFill="background1"/>
      </w:pPr>
    </w:p>
    <w:p w14:paraId="0C87E737" w14:textId="77777777" w:rsidR="00D45BE7" w:rsidRPr="00E34BAF" w:rsidRDefault="00D45BE7" w:rsidP="00FB4867">
      <w:pPr>
        <w:shd w:val="clear" w:color="auto" w:fill="FFFFFF" w:themeFill="background1"/>
        <w:jc w:val="left"/>
        <w:rPr>
          <w:u w:val="single"/>
        </w:rPr>
      </w:pPr>
    </w:p>
    <w:p w14:paraId="54BDE0F3" w14:textId="3AD59A0E" w:rsidR="00E14937" w:rsidRPr="00E34BAF" w:rsidRDefault="00B72C9D">
      <w:pPr>
        <w:keepNext/>
        <w:shd w:val="clear" w:color="auto" w:fill="FFFFFF" w:themeFill="background1"/>
        <w:rPr>
          <w:u w:val="single"/>
        </w:rPr>
      </w:pPr>
      <w:r w:rsidRPr="00B72C9D">
        <w:rPr>
          <w:u w:val="single"/>
        </w:rPr>
        <w:t>Rapport sur la performance de l'UPOV en 2022-2023</w:t>
      </w:r>
    </w:p>
    <w:p w14:paraId="136BBE6B" w14:textId="77777777" w:rsidR="00D45BE7" w:rsidRPr="00E34BAF" w:rsidRDefault="00D45BE7" w:rsidP="00FB4867">
      <w:pPr>
        <w:keepNext/>
        <w:shd w:val="clear" w:color="auto" w:fill="FFFFFF" w:themeFill="background1"/>
      </w:pPr>
    </w:p>
    <w:p w14:paraId="2774D72E" w14:textId="700FF836" w:rsidR="00E14937" w:rsidRPr="00E34BAF" w:rsidRDefault="001A3265">
      <w:pPr>
        <w:shd w:val="clear" w:color="auto" w:fill="FFFFFF" w:themeFill="background1"/>
      </w:pPr>
      <w:r w:rsidRPr="00E34BAF">
        <w:rPr>
          <w:snapToGrid w:val="0"/>
        </w:rPr>
        <w:fldChar w:fldCharType="begin"/>
      </w:r>
      <w:r w:rsidRPr="00E34BAF">
        <w:rPr>
          <w:snapToGrid w:val="0"/>
        </w:rPr>
        <w:instrText xml:space="preserve"> AUTONUM  </w:instrText>
      </w:r>
      <w:r w:rsidRPr="00E34BAF">
        <w:rPr>
          <w:snapToGrid w:val="0"/>
        </w:rPr>
        <w:fldChar w:fldCharType="end"/>
      </w:r>
      <w:r w:rsidRPr="00E34BAF">
        <w:rPr>
          <w:snapToGrid w:val="0"/>
        </w:rPr>
        <w:tab/>
      </w:r>
      <w:r w:rsidRPr="00E34BAF">
        <w:t xml:space="preserve">Le Conseil </w:t>
      </w:r>
      <w:r w:rsidR="00B72C9D">
        <w:rPr>
          <w:snapToGrid w:val="0"/>
        </w:rPr>
        <w:t xml:space="preserve">a pris </w:t>
      </w:r>
      <w:r w:rsidRPr="00E34BAF">
        <w:rPr>
          <w:snapToGrid w:val="0"/>
        </w:rPr>
        <w:t xml:space="preserve">note du </w:t>
      </w:r>
      <w:r w:rsidR="00B72C9D" w:rsidRPr="00B72C9D">
        <w:rPr>
          <w:snapToGrid w:val="0"/>
        </w:rPr>
        <w:t>Rapport sur la performance de l'UPOV en 2022-2023</w:t>
      </w:r>
      <w:r w:rsidR="00951E5D" w:rsidRPr="00E34BAF">
        <w:rPr>
          <w:snapToGrid w:val="0"/>
        </w:rPr>
        <w:t xml:space="preserve"> </w:t>
      </w:r>
      <w:r w:rsidRPr="00E34BAF">
        <w:rPr>
          <w:snapToGrid w:val="0"/>
        </w:rPr>
        <w:t>figurant dans le document C/58/2.</w:t>
      </w:r>
    </w:p>
    <w:p w14:paraId="486FBE0D" w14:textId="77777777" w:rsidR="00D45BE7" w:rsidRPr="00E34BAF" w:rsidRDefault="00D45BE7" w:rsidP="00FB4867">
      <w:pPr>
        <w:shd w:val="clear" w:color="auto" w:fill="FFFFFF" w:themeFill="background1"/>
      </w:pPr>
    </w:p>
    <w:p w14:paraId="01DAD75C" w14:textId="77777777" w:rsidR="00D45BE7" w:rsidRPr="00E34BAF" w:rsidRDefault="00D45BE7" w:rsidP="00FB4867">
      <w:pPr>
        <w:shd w:val="clear" w:color="auto" w:fill="FFFFFF" w:themeFill="background1"/>
      </w:pPr>
    </w:p>
    <w:p w14:paraId="4384A7B5" w14:textId="77777777" w:rsidR="00E14937" w:rsidRPr="00E34BAF" w:rsidRDefault="001A3265">
      <w:pPr>
        <w:keepNext/>
        <w:shd w:val="clear" w:color="auto" w:fill="FFFFFF" w:themeFill="background1"/>
        <w:rPr>
          <w:u w:val="single"/>
        </w:rPr>
      </w:pPr>
      <w:r w:rsidRPr="00E34BAF">
        <w:rPr>
          <w:u w:val="single"/>
        </w:rPr>
        <w:t>Rapport du vérificateur externe des comptes</w:t>
      </w:r>
    </w:p>
    <w:p w14:paraId="5322A8F1" w14:textId="77777777" w:rsidR="00D45BE7" w:rsidRPr="00E34BAF" w:rsidRDefault="00D45BE7" w:rsidP="00FB4867">
      <w:pPr>
        <w:keepNext/>
        <w:shd w:val="clear" w:color="auto" w:fill="FFFFFF" w:themeFill="background1"/>
      </w:pPr>
    </w:p>
    <w:p w14:paraId="73B7FC64" w14:textId="77777777" w:rsidR="00E14937" w:rsidRPr="00E34BAF" w:rsidRDefault="001A3265">
      <w:pPr>
        <w:shd w:val="clear" w:color="auto" w:fill="FFFFFF" w:themeFill="background1"/>
        <w:jc w:val="left"/>
      </w:pPr>
      <w:r w:rsidRPr="00E34BAF">
        <w:fldChar w:fldCharType="begin"/>
      </w:r>
      <w:r w:rsidRPr="00E34BAF">
        <w:instrText xml:space="preserve"> AUTONUM  </w:instrText>
      </w:r>
      <w:r w:rsidRPr="00E34BAF">
        <w:fldChar w:fldCharType="end"/>
      </w:r>
      <w:r w:rsidRPr="00E34BAF">
        <w:tab/>
        <w:t xml:space="preserve">Le Conseil a examiné le document </w:t>
      </w:r>
      <w:r w:rsidRPr="00E34BAF">
        <w:rPr>
          <w:rFonts w:cs="Arial"/>
          <w:snapToGrid w:val="0"/>
        </w:rPr>
        <w:t>C/58/10</w:t>
      </w:r>
      <w:r w:rsidRPr="00E34BAF">
        <w:t>.</w:t>
      </w:r>
    </w:p>
    <w:p w14:paraId="745A762C" w14:textId="77777777" w:rsidR="00D45BE7" w:rsidRPr="00E34BAF" w:rsidRDefault="00D45BE7" w:rsidP="00FB4867">
      <w:pPr>
        <w:shd w:val="clear" w:color="auto" w:fill="FFFFFF" w:themeFill="background1"/>
      </w:pPr>
    </w:p>
    <w:p w14:paraId="4D745AEA" w14:textId="61E9FCB9" w:rsidR="00E14937"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a pris note des informations contenues dans le </w:t>
      </w:r>
      <w:r w:rsidR="00B72C9D">
        <w:t>r</w:t>
      </w:r>
      <w:r w:rsidRPr="00E34BAF">
        <w:t xml:space="preserve">apport du vérificateur externe des comptes, tel que présenté dans le </w:t>
      </w:r>
      <w:r w:rsidRPr="00E34BAF">
        <w:rPr>
          <w:rFonts w:cs="Arial"/>
          <w:snapToGrid w:val="0"/>
        </w:rPr>
        <w:t>document C/58/10</w:t>
      </w:r>
      <w:r w:rsidRPr="00E34BAF">
        <w:t xml:space="preserve">, en liaison avec un rapport oral de M. </w:t>
      </w:r>
      <w:r w:rsidR="005C74FC" w:rsidRPr="00E34BAF">
        <w:t xml:space="preserve">Peter </w:t>
      </w:r>
      <w:r w:rsidRPr="00E34BAF">
        <w:t>Cassidy, National Audit Office, Royaume-Uni.</w:t>
      </w:r>
    </w:p>
    <w:p w14:paraId="228BFF18" w14:textId="77777777" w:rsidR="00B72C9D" w:rsidRPr="00E34BAF" w:rsidRDefault="00B72C9D">
      <w:pPr>
        <w:shd w:val="clear" w:color="auto" w:fill="FFFFFF" w:themeFill="background1"/>
      </w:pPr>
    </w:p>
    <w:p w14:paraId="03D09043" w14:textId="22AB4E95"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Conseil </w:t>
      </w:r>
      <w:r w:rsidR="00B72C9D">
        <w:t xml:space="preserve">a </w:t>
      </w:r>
      <w:r w:rsidRPr="00E34BAF">
        <w:t>exprim</w:t>
      </w:r>
      <w:r w:rsidR="00B72C9D">
        <w:t>é</w:t>
      </w:r>
      <w:r w:rsidRPr="00E34BAF">
        <w:t xml:space="preserve"> sa gratitude au National Audit Office du Royaume-Uni pour avoir agi en tant que vérificateur externe des comptes de l'UPOV.</w:t>
      </w:r>
    </w:p>
    <w:p w14:paraId="733B183A" w14:textId="77777777" w:rsidR="00D45BE7" w:rsidRPr="00E34BAF" w:rsidRDefault="00D45BE7" w:rsidP="00FB4867">
      <w:pPr>
        <w:shd w:val="clear" w:color="auto" w:fill="FFFFFF" w:themeFill="background1"/>
        <w:jc w:val="left"/>
      </w:pPr>
    </w:p>
    <w:p w14:paraId="3D1D6A9F" w14:textId="77777777" w:rsidR="00D45BE7" w:rsidRPr="00E34BAF" w:rsidRDefault="00D45BE7" w:rsidP="00FB4867">
      <w:pPr>
        <w:shd w:val="clear" w:color="auto" w:fill="FFFFFF" w:themeFill="background1"/>
        <w:jc w:val="left"/>
      </w:pPr>
    </w:p>
    <w:p w14:paraId="2C9031DA" w14:textId="69731BD5" w:rsidR="00E14937" w:rsidRPr="00E34BAF" w:rsidRDefault="001A3265">
      <w:pPr>
        <w:keepNext/>
        <w:shd w:val="clear" w:color="auto" w:fill="FFFFFF" w:themeFill="background1"/>
        <w:jc w:val="left"/>
        <w:rPr>
          <w:u w:val="single"/>
        </w:rPr>
      </w:pPr>
      <w:r w:rsidRPr="00E34BAF">
        <w:rPr>
          <w:u w:val="single"/>
        </w:rPr>
        <w:t xml:space="preserve">Procédure de </w:t>
      </w:r>
      <w:r w:rsidR="00D45BE7" w:rsidRPr="00E34BAF">
        <w:rPr>
          <w:u w:val="single"/>
        </w:rPr>
        <w:t xml:space="preserve">nomination du </w:t>
      </w:r>
      <w:r w:rsidR="00344AD7" w:rsidRPr="00344AD7">
        <w:rPr>
          <w:u w:val="single"/>
        </w:rPr>
        <w:t>vérificateur externe des comptes</w:t>
      </w:r>
      <w:r w:rsidR="00D45BE7" w:rsidRPr="00E34BAF">
        <w:rPr>
          <w:u w:val="single"/>
        </w:rPr>
        <w:t xml:space="preserve"> </w:t>
      </w:r>
    </w:p>
    <w:p w14:paraId="32D534BD" w14:textId="77777777" w:rsidR="00D45BE7" w:rsidRPr="00E34BAF" w:rsidRDefault="00D45BE7" w:rsidP="00FB4867">
      <w:pPr>
        <w:keepNext/>
        <w:shd w:val="clear" w:color="auto" w:fill="FFFFFF" w:themeFill="background1"/>
        <w:jc w:val="left"/>
      </w:pPr>
    </w:p>
    <w:p w14:paraId="38550782" w14:textId="77777777" w:rsidR="00E14937" w:rsidRPr="00E34BAF" w:rsidRDefault="001A3265">
      <w:pPr>
        <w:shd w:val="clear" w:color="auto" w:fill="FFFFFF" w:themeFill="background1"/>
        <w:jc w:val="left"/>
      </w:pPr>
      <w:r w:rsidRPr="00E34BAF">
        <w:fldChar w:fldCharType="begin"/>
      </w:r>
      <w:r w:rsidRPr="00E34BAF">
        <w:instrText xml:space="preserve"> AUTONUM  </w:instrText>
      </w:r>
      <w:r w:rsidRPr="00E34BAF">
        <w:fldChar w:fldCharType="end"/>
      </w:r>
      <w:r w:rsidRPr="00E34BAF">
        <w:tab/>
        <w:t xml:space="preserve">Le Conseil a examiné le document </w:t>
      </w:r>
      <w:r w:rsidR="00A341CE" w:rsidRPr="00E34BAF">
        <w:t>C/58/14</w:t>
      </w:r>
      <w:r w:rsidRPr="00E34BAF">
        <w:t>.</w:t>
      </w:r>
    </w:p>
    <w:p w14:paraId="310DDFB1" w14:textId="77777777" w:rsidR="00536BCA" w:rsidRPr="00E34BAF" w:rsidRDefault="00536BCA" w:rsidP="00FB4867">
      <w:pPr>
        <w:shd w:val="clear" w:color="auto" w:fill="FFFFFF" w:themeFill="background1"/>
        <w:jc w:val="left"/>
      </w:pPr>
    </w:p>
    <w:p w14:paraId="7C4B5E7E" w14:textId="70643A5D"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Conseil a rappelé que</w:t>
      </w:r>
      <w:r w:rsidR="0057268E">
        <w:t>:</w:t>
      </w:r>
    </w:p>
    <w:p w14:paraId="7274F5C4" w14:textId="77777777" w:rsidR="00536BCA" w:rsidRPr="00E34BAF" w:rsidRDefault="00536BCA" w:rsidP="00FB4867">
      <w:pPr>
        <w:shd w:val="clear" w:color="auto" w:fill="FFFFFF" w:themeFill="background1"/>
      </w:pPr>
    </w:p>
    <w:p w14:paraId="2A96598B" w14:textId="77777777" w:rsidR="0057268E" w:rsidRPr="00283618" w:rsidRDefault="0057268E" w:rsidP="0057268E">
      <w:pPr>
        <w:pStyle w:val="ListParagraph"/>
        <w:numPr>
          <w:ilvl w:val="0"/>
          <w:numId w:val="9"/>
        </w:numPr>
      </w:pPr>
      <w:r w:rsidRPr="00283618">
        <w:t>l'Assemblée générale de l'OMPI a tenu sa soixante-quatrième session (64</w:t>
      </w:r>
      <w:r w:rsidRPr="004C2354">
        <w:rPr>
          <w:vertAlign w:val="superscript"/>
        </w:rPr>
        <w:t>e</w:t>
      </w:r>
      <w:r>
        <w:t xml:space="preserve"> </w:t>
      </w:r>
      <w:r w:rsidRPr="00283618">
        <w:t xml:space="preserve">session ordinaire) à Genève du 6 au 14 juillet 2023 et "a </w:t>
      </w:r>
      <w:r>
        <w:t xml:space="preserve">nommé </w:t>
      </w:r>
      <w:r w:rsidRPr="00904E88">
        <w:t>la Commission d’audit de l’Indonésie en qualité de vérificateur externe des comptes de l’OMPI pour une période de six ans commençant le 1</w:t>
      </w:r>
      <w:r w:rsidRPr="00904E88">
        <w:rPr>
          <w:vertAlign w:val="superscript"/>
        </w:rPr>
        <w:t>er</w:t>
      </w:r>
      <w:r w:rsidRPr="00904E88">
        <w:t> janvier 2024</w:t>
      </w:r>
      <w:r w:rsidRPr="00283618">
        <w:t>" ;</w:t>
      </w:r>
    </w:p>
    <w:p w14:paraId="64F5FE2A" w14:textId="77777777" w:rsidR="0057268E" w:rsidRPr="00283618" w:rsidRDefault="0057268E" w:rsidP="0057268E">
      <w:pPr>
        <w:pStyle w:val="ListParagraph"/>
      </w:pPr>
    </w:p>
    <w:p w14:paraId="4C2474D6" w14:textId="77777777" w:rsidR="0057268E" w:rsidRPr="00283618" w:rsidRDefault="0057268E" w:rsidP="0057268E">
      <w:pPr>
        <w:pStyle w:val="ListParagraph"/>
        <w:numPr>
          <w:ilvl w:val="0"/>
          <w:numId w:val="9"/>
        </w:numPr>
      </w:pPr>
      <w:r w:rsidRPr="00283618">
        <w:t xml:space="preserve">le Conseil, lors de sa cinquante-septième session ordinaire, tenue à Genève le 27 octobre 2023, a désigné la Suisse, avec son </w:t>
      </w:r>
      <w:r>
        <w:t>consentement</w:t>
      </w:r>
      <w:r w:rsidRPr="00283618">
        <w:t>, vérificateur externe des comptes de l'UPOV</w:t>
      </w:r>
      <w:r>
        <w:t>,</w:t>
      </w:r>
      <w:r w:rsidRPr="00283618">
        <w:t xml:space="preserve"> pour une année, de janvier 2024 à décembre 2024 ;</w:t>
      </w:r>
    </w:p>
    <w:p w14:paraId="37EF6306" w14:textId="77777777" w:rsidR="00536BCA" w:rsidRPr="00E34BAF" w:rsidRDefault="00536BCA" w:rsidP="00FB4867">
      <w:pPr>
        <w:pStyle w:val="ListParagraph"/>
        <w:shd w:val="clear" w:color="auto" w:fill="FFFFFF" w:themeFill="background1"/>
      </w:pPr>
    </w:p>
    <w:p w14:paraId="75B6BD62" w14:textId="77777777" w:rsidR="00E14937" w:rsidRPr="00E34BAF" w:rsidRDefault="001A3265">
      <w:pPr>
        <w:pStyle w:val="ListParagraph"/>
        <w:numPr>
          <w:ilvl w:val="0"/>
          <w:numId w:val="9"/>
        </w:numPr>
        <w:shd w:val="clear" w:color="auto" w:fill="FFFFFF" w:themeFill="background1"/>
      </w:pPr>
      <w:r w:rsidRPr="00E34BAF">
        <w:t>Le Conseil a en outre noté que tous les membres de l'Union participeraient aux futures consultations relatives à une proposition de nomination du vérificateur externe des comptes de l'UPOV.</w:t>
      </w:r>
    </w:p>
    <w:p w14:paraId="7E8C617E" w14:textId="77777777" w:rsidR="00536BCA" w:rsidRPr="00E34BAF" w:rsidRDefault="00536BCA" w:rsidP="00FB4867">
      <w:pPr>
        <w:shd w:val="clear" w:color="auto" w:fill="FFFFFF" w:themeFill="background1"/>
      </w:pPr>
    </w:p>
    <w:p w14:paraId="6A851994" w14:textId="6D83D9EF"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En raison des circonstances extraordinaires et exceptionnelles dans lesquelles aucun vérificateur général des comptes (ou fonctionnaire ayant un titre équivalent) des États membres de l'UPOV qui ont été consultés n'a manifesté d'intérêt pour la vérification des comptes de l'UPOV à partir de l'année civile 2025 jusqu'en 2029, le Conseil est convenu de la marche à suivre suivante</w:t>
      </w:r>
      <w:r w:rsidR="00EA33D5">
        <w:t>:</w:t>
      </w:r>
    </w:p>
    <w:p w14:paraId="0F3337E2" w14:textId="77777777" w:rsidR="00536BCA" w:rsidRPr="00E34BAF" w:rsidRDefault="00536BCA" w:rsidP="00FB4867">
      <w:pPr>
        <w:shd w:val="clear" w:color="auto" w:fill="FFFFFF" w:themeFill="background1"/>
      </w:pPr>
    </w:p>
    <w:p w14:paraId="0735CCE3" w14:textId="77777777" w:rsidR="00A246F9" w:rsidRPr="00283618" w:rsidRDefault="00A246F9" w:rsidP="00A246F9">
      <w:pPr>
        <w:pStyle w:val="ListParagraph"/>
        <w:numPr>
          <w:ilvl w:val="0"/>
          <w:numId w:val="8"/>
        </w:numPr>
      </w:pPr>
      <w:r w:rsidRPr="00283618">
        <w:t xml:space="preserve">Sous réserve de l'accord de la </w:t>
      </w:r>
      <w:r w:rsidRPr="00904E88">
        <w:t>Commission d’audit de l’Indonésie</w:t>
      </w:r>
      <w:r w:rsidRPr="00283618">
        <w:t xml:space="preserve">, proposer au Conseil de désigner la </w:t>
      </w:r>
      <w:r w:rsidRPr="00904E88">
        <w:t>Commission d’audit de l’Indonésie</w:t>
      </w:r>
      <w:r w:rsidRPr="00283618">
        <w:t xml:space="preserve"> comme vérificateur externe des comptes de l'UPOV pour vérifier les comptes de l'UPOV pour les années civiles 2025-2029. </w:t>
      </w:r>
    </w:p>
    <w:p w14:paraId="3601D571" w14:textId="77777777" w:rsidR="00A246F9" w:rsidRPr="00283618" w:rsidRDefault="00A246F9" w:rsidP="00A246F9"/>
    <w:p w14:paraId="7F6613A2" w14:textId="77777777" w:rsidR="00A246F9" w:rsidRPr="00283618" w:rsidRDefault="00A246F9" w:rsidP="00A246F9">
      <w:pPr>
        <w:pStyle w:val="ListParagraph"/>
        <w:numPr>
          <w:ilvl w:val="0"/>
          <w:numId w:val="8"/>
        </w:numPr>
      </w:pPr>
      <w:r w:rsidRPr="00283618">
        <w:t xml:space="preserve">Si le Conseil en décide ainsi, demander au Bureau de l'Union d'informer la </w:t>
      </w:r>
      <w:r w:rsidRPr="00904E88">
        <w:t>Commission d’audit de l’Indonésie</w:t>
      </w:r>
      <w:r w:rsidRPr="00283618">
        <w:t xml:space="preserve"> de la décision du Conseil et d'inviter la </w:t>
      </w:r>
      <w:r w:rsidRPr="00904E88">
        <w:t>Commission d’audit de l’Indonésie</w:t>
      </w:r>
      <w:r w:rsidRPr="00283618">
        <w:t xml:space="preserve"> à </w:t>
      </w:r>
      <w:r>
        <w:t>considérer</w:t>
      </w:r>
      <w:r w:rsidRPr="00283618">
        <w:t xml:space="preserve"> la désignation susmentionnée. </w:t>
      </w:r>
    </w:p>
    <w:p w14:paraId="0A0C27EA" w14:textId="77777777" w:rsidR="00A246F9" w:rsidRPr="00283618" w:rsidRDefault="00A246F9" w:rsidP="00A246F9"/>
    <w:p w14:paraId="0F63EB71" w14:textId="77777777" w:rsidR="00A246F9" w:rsidRPr="00283618" w:rsidRDefault="00A246F9" w:rsidP="00A246F9">
      <w:pPr>
        <w:pStyle w:val="ListParagraph"/>
        <w:numPr>
          <w:ilvl w:val="0"/>
          <w:numId w:val="8"/>
        </w:numPr>
        <w:rPr>
          <w:rFonts w:cs="Arial"/>
        </w:rPr>
      </w:pPr>
      <w:r w:rsidRPr="00283618">
        <w:t xml:space="preserve">Si la </w:t>
      </w:r>
      <w:r w:rsidRPr="00904E88">
        <w:t>Commission d’audit de l’Indonésie</w:t>
      </w:r>
      <w:r w:rsidRPr="00283618">
        <w:t xml:space="preserve"> accepte la désignation, le Bureau de l'Union en informe</w:t>
      </w:r>
      <w:r>
        <w:t>ra</w:t>
      </w:r>
      <w:r w:rsidRPr="00283618">
        <w:t xml:space="preserve"> le Conseil. </w:t>
      </w:r>
    </w:p>
    <w:p w14:paraId="074C00B5" w14:textId="77777777" w:rsidR="00A246F9" w:rsidRPr="00283618" w:rsidRDefault="00A246F9" w:rsidP="00A246F9">
      <w:pPr>
        <w:pStyle w:val="ListParagraph"/>
        <w:rPr>
          <w:rFonts w:cs="Arial"/>
        </w:rPr>
      </w:pPr>
    </w:p>
    <w:p w14:paraId="09C3CB24" w14:textId="77777777" w:rsidR="00A246F9" w:rsidRPr="00283618" w:rsidRDefault="00A246F9" w:rsidP="00A246F9">
      <w:pPr>
        <w:pStyle w:val="ListParagraph"/>
        <w:numPr>
          <w:ilvl w:val="0"/>
          <w:numId w:val="8"/>
        </w:numPr>
        <w:rPr>
          <w:rFonts w:cs="Arial"/>
        </w:rPr>
      </w:pPr>
      <w:r w:rsidRPr="00283618">
        <w:rPr>
          <w:rFonts w:cs="Arial"/>
        </w:rPr>
        <w:t>La procédure de désignation du vérificateur externe des comptes de l'UPOV est de nature administrative et n'a pas trait aux dispositions de fond relatives aux droits d'obtenteur énoncées dans l'Acte de 1991 et l'Acte de 1978 de la Convention UPOV. Par conséquent, le Conseil doit considérer que la désignation du vérificateur externe des comptes de l'UPOV par un État non</w:t>
      </w:r>
      <w:r>
        <w:rPr>
          <w:rFonts w:cs="Arial"/>
        </w:rPr>
        <w:t> </w:t>
      </w:r>
      <w:r w:rsidRPr="00283618">
        <w:rPr>
          <w:rFonts w:cs="Arial"/>
        </w:rPr>
        <w:t>membre de l'UPOV, mais membre de l'OMPI, est une décision ad hoc exceptionnelle qui ne constituerait en aucune manière un précédent pour les décisions futures du Conseil.</w:t>
      </w:r>
    </w:p>
    <w:p w14:paraId="3754DE13" w14:textId="77777777" w:rsidR="00A246F9" w:rsidRPr="00283618" w:rsidRDefault="00A246F9" w:rsidP="00A246F9">
      <w:pPr>
        <w:pStyle w:val="ListParagraph"/>
      </w:pPr>
    </w:p>
    <w:p w14:paraId="4DD84902" w14:textId="77777777" w:rsidR="00A246F9" w:rsidRPr="00283618" w:rsidRDefault="00A246F9" w:rsidP="00A246F9">
      <w:pPr>
        <w:pStyle w:val="ListParagraph"/>
        <w:numPr>
          <w:ilvl w:val="0"/>
          <w:numId w:val="8"/>
        </w:numPr>
        <w:rPr>
          <w:rFonts w:cs="Arial"/>
        </w:rPr>
      </w:pPr>
      <w:r w:rsidRPr="00283618">
        <w:t xml:space="preserve">Sur la base de ce qui précède, le Conseil demande au Bureau de l'Union de proposer d'éventuelles modifications des dispositions du Règlement financier et du règlement d'exécution du Règlement financier de l'UPOV (document UPOV/INF/4/6) relatives à la nomination du vérificateur externe des comptes, pour examen par le Conseil lors de sa session d'octobre 2025. </w:t>
      </w:r>
    </w:p>
    <w:p w14:paraId="7D759DDA" w14:textId="77777777" w:rsidR="00A246F9" w:rsidRPr="00283618" w:rsidRDefault="00A246F9" w:rsidP="00A246F9">
      <w:pPr>
        <w:pStyle w:val="ListParagraph"/>
        <w:rPr>
          <w:rFonts w:cs="Arial"/>
        </w:rPr>
      </w:pPr>
    </w:p>
    <w:p w14:paraId="2435A304" w14:textId="77777777" w:rsidR="00A246F9" w:rsidRPr="00283618" w:rsidRDefault="00A246F9" w:rsidP="00A246F9">
      <w:pPr>
        <w:pStyle w:val="ListParagraph"/>
        <w:numPr>
          <w:ilvl w:val="0"/>
          <w:numId w:val="8"/>
        </w:numPr>
        <w:rPr>
          <w:rFonts w:cs="Arial"/>
        </w:rPr>
      </w:pPr>
      <w:r w:rsidRPr="00283618">
        <w:rPr>
          <w:rFonts w:cs="Arial"/>
        </w:rPr>
        <w:t xml:space="preserve">Cette décision exceptionnelle est prise pour assurer le bon fonctionnement de la </w:t>
      </w:r>
      <w:r w:rsidRPr="00283618">
        <w:t xml:space="preserve">Convention </w:t>
      </w:r>
      <w:r w:rsidRPr="00283618">
        <w:rPr>
          <w:rFonts w:cs="Arial"/>
        </w:rPr>
        <w:t>UPOV (</w:t>
      </w:r>
      <w:r w:rsidRPr="00283618">
        <w:t xml:space="preserve">article 26.5)x) de l'Acte de 1991 et article 21.h) de l'Acte de 1978 de la Convention). </w:t>
      </w:r>
    </w:p>
    <w:p w14:paraId="45FC9081" w14:textId="77777777" w:rsidR="00D45BE7" w:rsidRPr="00E34BAF" w:rsidRDefault="00D45BE7" w:rsidP="00FB4867">
      <w:pPr>
        <w:shd w:val="clear" w:color="auto" w:fill="FFFFFF" w:themeFill="background1"/>
        <w:jc w:val="left"/>
      </w:pPr>
    </w:p>
    <w:p w14:paraId="05408048" w14:textId="77777777" w:rsidR="003B2C7F" w:rsidRPr="00E34BAF" w:rsidRDefault="003B2C7F" w:rsidP="00FB4867">
      <w:pPr>
        <w:shd w:val="clear" w:color="auto" w:fill="FFFFFF" w:themeFill="background1"/>
        <w:jc w:val="left"/>
      </w:pPr>
    </w:p>
    <w:p w14:paraId="1685EE59" w14:textId="77777777" w:rsidR="00E14937" w:rsidRPr="00E34BAF" w:rsidRDefault="001A3265">
      <w:pPr>
        <w:keepNext/>
        <w:shd w:val="clear" w:color="auto" w:fill="FFFFFF" w:themeFill="background1"/>
        <w:rPr>
          <w:u w:val="single"/>
        </w:rPr>
      </w:pPr>
      <w:r w:rsidRPr="00E34BAF">
        <w:rPr>
          <w:u w:val="single"/>
        </w:rPr>
        <w:t xml:space="preserve">Arriérés de contributions au 30 septembre </w:t>
      </w:r>
      <w:r w:rsidR="00A341CE" w:rsidRPr="00E34BAF">
        <w:rPr>
          <w:u w:val="single"/>
        </w:rPr>
        <w:t>2024</w:t>
      </w:r>
    </w:p>
    <w:p w14:paraId="2B159BE8" w14:textId="77777777" w:rsidR="00D45BE7" w:rsidRPr="00E34BAF" w:rsidRDefault="00D45BE7" w:rsidP="00FB4867">
      <w:pPr>
        <w:keepNext/>
        <w:shd w:val="clear" w:color="auto" w:fill="FFFFFF" w:themeFill="background1"/>
        <w:jc w:val="left"/>
      </w:pPr>
    </w:p>
    <w:p w14:paraId="770AE95F" w14:textId="77777777" w:rsidR="00E14937" w:rsidRPr="00E34BAF" w:rsidRDefault="001A3265">
      <w:pPr>
        <w:shd w:val="clear" w:color="auto" w:fill="FFFFFF" w:themeFill="background1"/>
        <w:jc w:val="left"/>
      </w:pPr>
      <w:r w:rsidRPr="00E34BAF">
        <w:fldChar w:fldCharType="begin"/>
      </w:r>
      <w:r w:rsidRPr="00E34BAF">
        <w:instrText xml:space="preserve"> AUTONUM  </w:instrText>
      </w:r>
      <w:r w:rsidRPr="00E34BAF">
        <w:fldChar w:fldCharType="end"/>
      </w:r>
      <w:r w:rsidRPr="00E34BAF">
        <w:tab/>
        <w:t xml:space="preserve">Le Conseil a examiné le document </w:t>
      </w:r>
      <w:r w:rsidR="00A341CE" w:rsidRPr="00E34BAF">
        <w:t>C/58/11</w:t>
      </w:r>
      <w:r w:rsidRPr="00E34BAF">
        <w:t>.</w:t>
      </w:r>
    </w:p>
    <w:p w14:paraId="78A7D666" w14:textId="77777777" w:rsidR="00D45BE7" w:rsidRPr="00E34BAF" w:rsidRDefault="00D45BE7" w:rsidP="00FB4867">
      <w:pPr>
        <w:shd w:val="clear" w:color="auto" w:fill="FFFFFF" w:themeFill="background1"/>
        <w:jc w:val="left"/>
      </w:pPr>
    </w:p>
    <w:bookmarkStart w:id="10" w:name="_Hlk180180579"/>
    <w:p w14:paraId="59D8EEAE" w14:textId="29E68A94"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Conseil a pris note de l</w:t>
      </w:r>
      <w:r w:rsidR="003B2C7F" w:rsidRPr="00E34BAF">
        <w:t>'état des paiements des contributions au 30 septembre 2024 et a constaté qu'en raison de paiements récents, le Chili, la Macédoine du Nord, l'Uruguay, l'Ouzbékistan et la République</w:t>
      </w:r>
      <w:r w:rsidR="001D09E3">
        <w:t> </w:t>
      </w:r>
      <w:r w:rsidR="003B2C7F" w:rsidRPr="00E34BAF">
        <w:t>de Corée n'avaient pas d'arriérés.</w:t>
      </w:r>
    </w:p>
    <w:bookmarkEnd w:id="10"/>
    <w:p w14:paraId="72496B24" w14:textId="77777777" w:rsidR="00D45BE7" w:rsidRPr="00E34BAF" w:rsidRDefault="00D45BE7" w:rsidP="00FB4867">
      <w:pPr>
        <w:shd w:val="clear" w:color="auto" w:fill="FFFFFF" w:themeFill="background1"/>
        <w:jc w:val="left"/>
      </w:pPr>
    </w:p>
    <w:p w14:paraId="05A02D6E" w14:textId="77777777" w:rsidR="00617D00" w:rsidRPr="00E34BAF" w:rsidRDefault="00617D00" w:rsidP="00FB4867">
      <w:pPr>
        <w:shd w:val="clear" w:color="auto" w:fill="FFFFFF" w:themeFill="background1"/>
        <w:jc w:val="left"/>
      </w:pPr>
    </w:p>
    <w:p w14:paraId="6CFB976B" w14:textId="77777777" w:rsidR="00E14937" w:rsidRPr="00E34BAF" w:rsidRDefault="001A3265">
      <w:pPr>
        <w:keepNext/>
        <w:shd w:val="clear" w:color="auto" w:fill="FFFFFF" w:themeFill="background1"/>
        <w:rPr>
          <w:u w:val="single"/>
        </w:rPr>
      </w:pPr>
      <w:r w:rsidRPr="00E34BAF">
        <w:rPr>
          <w:u w:val="single"/>
        </w:rPr>
        <w:t>Programme des réunions</w:t>
      </w:r>
    </w:p>
    <w:p w14:paraId="0AECE87F" w14:textId="77777777" w:rsidR="00D45BE7" w:rsidRPr="00E34BAF" w:rsidRDefault="00D45BE7" w:rsidP="00FB4867">
      <w:pPr>
        <w:keepNext/>
        <w:shd w:val="clear" w:color="auto" w:fill="FFFFFF" w:themeFill="background1"/>
        <w:tabs>
          <w:tab w:val="left" w:pos="567"/>
        </w:tabs>
        <w:ind w:left="1134" w:hanging="1134"/>
        <w:jc w:val="left"/>
      </w:pPr>
    </w:p>
    <w:p w14:paraId="3DA01718" w14:textId="5BA44045" w:rsidR="00E14937" w:rsidRPr="00E34BAF" w:rsidRDefault="001A3265">
      <w:pPr>
        <w:pStyle w:val="Heading2"/>
        <w:shd w:val="clear" w:color="auto" w:fill="FFFFFF" w:themeFill="background1"/>
        <w:rPr>
          <w:lang w:val="fr-FR"/>
        </w:rPr>
      </w:pPr>
      <w:r w:rsidRPr="00E34BAF">
        <w:rPr>
          <w:lang w:val="fr-FR"/>
        </w:rPr>
        <w:t xml:space="preserve">Approbation des programmes de travail du </w:t>
      </w:r>
      <w:r w:rsidR="00B63D18" w:rsidRPr="00E34BAF">
        <w:rPr>
          <w:lang w:val="fr-FR"/>
        </w:rPr>
        <w:t xml:space="preserve">Comité </w:t>
      </w:r>
      <w:r w:rsidRPr="00E34BAF">
        <w:rPr>
          <w:lang w:val="fr-FR"/>
        </w:rPr>
        <w:t xml:space="preserve">administratif et juridique, du </w:t>
      </w:r>
      <w:r w:rsidR="00B63D18" w:rsidRPr="00E34BAF">
        <w:rPr>
          <w:lang w:val="fr-FR"/>
        </w:rPr>
        <w:t xml:space="preserve">Comité </w:t>
      </w:r>
      <w:r w:rsidRPr="00E34BAF">
        <w:rPr>
          <w:lang w:val="fr-FR"/>
        </w:rPr>
        <w:t xml:space="preserve">technique et des </w:t>
      </w:r>
      <w:r w:rsidR="00B63D18">
        <w:rPr>
          <w:lang w:val="fr-FR"/>
        </w:rPr>
        <w:t>g</w:t>
      </w:r>
      <w:r w:rsidR="00B63D18" w:rsidRPr="00E34BAF">
        <w:rPr>
          <w:lang w:val="fr-FR"/>
        </w:rPr>
        <w:t xml:space="preserve">roupes </w:t>
      </w:r>
      <w:r w:rsidRPr="00E34BAF">
        <w:rPr>
          <w:lang w:val="fr-FR"/>
        </w:rPr>
        <w:t xml:space="preserve">de travail techniques </w:t>
      </w:r>
    </w:p>
    <w:p w14:paraId="41A2CE15" w14:textId="77777777" w:rsidR="00E14937" w:rsidRPr="00E34BAF" w:rsidRDefault="001A3265">
      <w:pPr>
        <w:shd w:val="clear" w:color="auto" w:fill="FFFFFF" w:themeFill="background1"/>
      </w:pPr>
      <w:r w:rsidRPr="00E34BAF">
        <w:rPr>
          <w:rFonts w:cs="Arial"/>
          <w:snapToGrid w:val="0"/>
        </w:rPr>
        <w:fldChar w:fldCharType="begin"/>
      </w:r>
      <w:r w:rsidRPr="00E34BAF">
        <w:rPr>
          <w:rFonts w:cs="Arial"/>
          <w:snapToGrid w:val="0"/>
        </w:rPr>
        <w:instrText xml:space="preserve"> AUTONUM  </w:instrText>
      </w:r>
      <w:r w:rsidRPr="00E34BAF">
        <w:rPr>
          <w:rFonts w:cs="Arial"/>
          <w:snapToGrid w:val="0"/>
        </w:rPr>
        <w:fldChar w:fldCharType="end"/>
      </w:r>
      <w:r w:rsidRPr="00E34BAF">
        <w:rPr>
          <w:rFonts w:cs="Arial"/>
          <w:snapToGrid w:val="0"/>
        </w:rPr>
        <w:tab/>
        <w:t xml:space="preserve">Le Conseil a examiné le document C/58/12 et a entendu un </w:t>
      </w:r>
      <w:r w:rsidRPr="00E34BAF">
        <w:t xml:space="preserve">exposé oral du président du CAJ sur les travaux de la </w:t>
      </w:r>
      <w:r w:rsidR="00386737" w:rsidRPr="00E34BAF">
        <w:t xml:space="preserve">quatre-vingt-unième </w:t>
      </w:r>
      <w:r w:rsidRPr="00E34BAF">
        <w:t xml:space="preserve">session du CAJ, sur la base du document </w:t>
      </w:r>
      <w:r w:rsidR="005679C2" w:rsidRPr="00E34BAF">
        <w:t xml:space="preserve">CAJ/81/7 </w:t>
      </w:r>
      <w:r w:rsidRPr="00E34BAF">
        <w:t>"Compte rendu".</w:t>
      </w:r>
    </w:p>
    <w:p w14:paraId="1DC8D7B8" w14:textId="77777777" w:rsidR="00587833" w:rsidRPr="00E34BAF" w:rsidRDefault="00587833" w:rsidP="00FB4867">
      <w:pPr>
        <w:shd w:val="clear" w:color="auto" w:fill="FFFFFF" w:themeFill="background1"/>
      </w:pPr>
    </w:p>
    <w:p w14:paraId="3D086A63" w14:textId="77777777" w:rsidR="00E14937" w:rsidRPr="00E34BAF" w:rsidRDefault="001A3265">
      <w:pPr>
        <w:shd w:val="clear" w:color="auto" w:fill="FFFFFF" w:themeFill="background1"/>
      </w:pPr>
      <w:r w:rsidRPr="00E34BAF">
        <w:rPr>
          <w:rFonts w:cs="Arial"/>
          <w:snapToGrid w:val="0"/>
        </w:rPr>
        <w:fldChar w:fldCharType="begin"/>
      </w:r>
      <w:r w:rsidRPr="00E34BAF">
        <w:rPr>
          <w:rFonts w:cs="Arial"/>
          <w:snapToGrid w:val="0"/>
        </w:rPr>
        <w:instrText xml:space="preserve"> AUTONUM  </w:instrText>
      </w:r>
      <w:r w:rsidRPr="00E34BAF">
        <w:rPr>
          <w:rFonts w:cs="Arial"/>
          <w:snapToGrid w:val="0"/>
        </w:rPr>
        <w:fldChar w:fldCharType="end"/>
      </w:r>
      <w:r w:rsidRPr="00E34BAF">
        <w:rPr>
          <w:rFonts w:cs="Arial"/>
          <w:snapToGrid w:val="0"/>
        </w:rPr>
        <w:tab/>
        <w:t xml:space="preserve">Le Conseil </w:t>
      </w:r>
      <w:r w:rsidRPr="00E34BAF">
        <w:t xml:space="preserve">a approuvé le programme de travail de la </w:t>
      </w:r>
      <w:r w:rsidR="00386737" w:rsidRPr="00E34BAF">
        <w:t xml:space="preserve">quatre-vingt-deuxième </w:t>
      </w:r>
      <w:r w:rsidRPr="00E34BAF">
        <w:t xml:space="preserve">session du CAJ, tel que présenté dans le rapport de la </w:t>
      </w:r>
      <w:r w:rsidR="00386737" w:rsidRPr="00E34BAF">
        <w:t xml:space="preserve">quatre-vingt-unième </w:t>
      </w:r>
      <w:r w:rsidRPr="00E34BAF">
        <w:t xml:space="preserve">session du CAJ (voir document </w:t>
      </w:r>
      <w:r w:rsidR="00827B2A" w:rsidRPr="00E34BAF">
        <w:t xml:space="preserve">CAJ/81/7 </w:t>
      </w:r>
      <w:r w:rsidRPr="00E34BAF">
        <w:t xml:space="preserve">"Compte rendu", paragraphe </w:t>
      </w:r>
      <w:r w:rsidR="00827B2A" w:rsidRPr="00E34BAF">
        <w:t>61</w:t>
      </w:r>
      <w:r w:rsidRPr="00E34BAF">
        <w:t>).</w:t>
      </w:r>
    </w:p>
    <w:p w14:paraId="06E628D1" w14:textId="77777777" w:rsidR="00D45BE7" w:rsidRPr="00E34BAF" w:rsidRDefault="00D45BE7" w:rsidP="00FB4867">
      <w:pPr>
        <w:shd w:val="clear" w:color="auto" w:fill="FFFFFF" w:themeFill="background1"/>
      </w:pPr>
    </w:p>
    <w:p w14:paraId="46B88D07" w14:textId="5E9B5A9E" w:rsidR="00E14937" w:rsidRPr="00E34BAF" w:rsidRDefault="001A3265">
      <w:pPr>
        <w:shd w:val="clear" w:color="auto" w:fill="FFFFFF" w:themeFill="background1"/>
        <w:rPr>
          <w:rFonts w:cs="Arial"/>
          <w:snapToGrid w:val="0"/>
          <w:spacing w:val="-2"/>
        </w:rPr>
      </w:pPr>
      <w:r w:rsidRPr="00E34BAF">
        <w:rPr>
          <w:rFonts w:cs="Arial"/>
          <w:snapToGrid w:val="0"/>
          <w:spacing w:val="-2"/>
        </w:rPr>
        <w:fldChar w:fldCharType="begin"/>
      </w:r>
      <w:r w:rsidRPr="00E34BAF">
        <w:rPr>
          <w:rFonts w:cs="Arial"/>
          <w:snapToGrid w:val="0"/>
          <w:spacing w:val="-2"/>
        </w:rPr>
        <w:instrText xml:space="preserve"> AUTONUM  </w:instrText>
      </w:r>
      <w:r w:rsidRPr="00E34BAF">
        <w:rPr>
          <w:rFonts w:cs="Arial"/>
          <w:snapToGrid w:val="0"/>
          <w:spacing w:val="-2"/>
        </w:rPr>
        <w:fldChar w:fldCharType="end"/>
      </w:r>
      <w:r w:rsidRPr="00E34BAF">
        <w:rPr>
          <w:rFonts w:cs="Arial"/>
          <w:snapToGrid w:val="0"/>
          <w:spacing w:val="-2"/>
        </w:rPr>
        <w:tab/>
        <w:t xml:space="preserve">Le Conseil </w:t>
      </w:r>
      <w:r w:rsidR="00B63D18">
        <w:rPr>
          <w:rFonts w:cs="Arial"/>
          <w:snapToGrid w:val="0"/>
          <w:spacing w:val="-2"/>
        </w:rPr>
        <w:t>a pris</w:t>
      </w:r>
      <w:r w:rsidRPr="00E34BAF">
        <w:rPr>
          <w:rFonts w:cs="Arial"/>
          <w:snapToGrid w:val="0"/>
          <w:spacing w:val="-2"/>
        </w:rPr>
        <w:t xml:space="preserve"> note des travaux du Comité technique (TC) et des groupes de travail techniques (TWP), ainsi que de la présentation orale faite par le président du TC sur les travaux de la </w:t>
      </w:r>
      <w:r w:rsidR="00386737" w:rsidRPr="00E34BAF">
        <w:rPr>
          <w:rFonts w:cs="Arial"/>
          <w:snapToGrid w:val="0"/>
          <w:spacing w:val="-2"/>
        </w:rPr>
        <w:t xml:space="preserve">soixantième </w:t>
      </w:r>
      <w:r w:rsidRPr="00E34BAF">
        <w:rPr>
          <w:rFonts w:cs="Arial"/>
          <w:snapToGrid w:val="0"/>
          <w:spacing w:val="-2"/>
        </w:rPr>
        <w:t xml:space="preserve">session du TC, sur la base du document </w:t>
      </w:r>
      <w:r w:rsidR="00D13C52" w:rsidRPr="00E34BAF">
        <w:rPr>
          <w:rFonts w:cs="Arial"/>
          <w:snapToGrid w:val="0"/>
          <w:spacing w:val="-2"/>
        </w:rPr>
        <w:t xml:space="preserve">TC/60/8 </w:t>
      </w:r>
      <w:r w:rsidRPr="00E34BAF">
        <w:rPr>
          <w:rFonts w:cs="Arial"/>
          <w:snapToGrid w:val="0"/>
          <w:spacing w:val="-2"/>
        </w:rPr>
        <w:t>"Compte rendu".</w:t>
      </w:r>
    </w:p>
    <w:p w14:paraId="31071ABD" w14:textId="77777777" w:rsidR="00D45BE7" w:rsidRPr="00E34BAF" w:rsidRDefault="00D45BE7" w:rsidP="00FB4867">
      <w:pPr>
        <w:shd w:val="clear" w:color="auto" w:fill="FFFFFF" w:themeFill="background1"/>
        <w:rPr>
          <w:rFonts w:cs="Arial"/>
          <w:snapToGrid w:val="0"/>
          <w:spacing w:val="-2"/>
        </w:rPr>
      </w:pPr>
    </w:p>
    <w:p w14:paraId="78998C4A" w14:textId="77777777" w:rsidR="00E14937" w:rsidRPr="00E34BAF" w:rsidRDefault="001A3265">
      <w:pPr>
        <w:shd w:val="clear" w:color="auto" w:fill="FFFFFF" w:themeFill="background1"/>
        <w:rPr>
          <w:spacing w:val="-2"/>
        </w:rPr>
      </w:pPr>
      <w:r w:rsidRPr="00E34BAF">
        <w:rPr>
          <w:rFonts w:cs="Arial"/>
          <w:snapToGrid w:val="0"/>
          <w:spacing w:val="-2"/>
        </w:rPr>
        <w:fldChar w:fldCharType="begin"/>
      </w:r>
      <w:r w:rsidRPr="00E34BAF">
        <w:rPr>
          <w:rFonts w:cs="Arial"/>
          <w:snapToGrid w:val="0"/>
          <w:spacing w:val="-2"/>
        </w:rPr>
        <w:instrText xml:space="preserve"> AUTONUM  </w:instrText>
      </w:r>
      <w:r w:rsidRPr="00E34BAF">
        <w:rPr>
          <w:rFonts w:cs="Arial"/>
          <w:snapToGrid w:val="0"/>
          <w:spacing w:val="-2"/>
        </w:rPr>
        <w:fldChar w:fldCharType="end"/>
      </w:r>
      <w:r w:rsidRPr="00E34BAF">
        <w:rPr>
          <w:rFonts w:cs="Arial"/>
          <w:snapToGrid w:val="0"/>
          <w:spacing w:val="-2"/>
        </w:rPr>
        <w:tab/>
      </w:r>
      <w:r w:rsidRPr="00E34BAF">
        <w:rPr>
          <w:spacing w:val="-2"/>
        </w:rPr>
        <w:t xml:space="preserve">Le Conseil a approuvé les travaux du TC et les programmes de travail des TWP tels qu'ils figurent dans le document </w:t>
      </w:r>
      <w:r w:rsidR="00D13C52" w:rsidRPr="00E34BAF">
        <w:rPr>
          <w:spacing w:val="-2"/>
        </w:rPr>
        <w:t xml:space="preserve">TC/60/8 </w:t>
      </w:r>
      <w:r w:rsidRPr="00E34BAF">
        <w:rPr>
          <w:spacing w:val="-2"/>
        </w:rPr>
        <w:t>"Compte rendu".</w:t>
      </w:r>
    </w:p>
    <w:p w14:paraId="35A7E599" w14:textId="77777777" w:rsidR="00D45BE7" w:rsidRPr="00E34BAF" w:rsidRDefault="00D45BE7" w:rsidP="00FB4867">
      <w:pPr>
        <w:shd w:val="clear" w:color="auto" w:fill="FFFFFF" w:themeFill="background1"/>
        <w:rPr>
          <w:spacing w:val="-2"/>
        </w:rPr>
      </w:pPr>
    </w:p>
    <w:p w14:paraId="051FFC06" w14:textId="77777777" w:rsidR="005673A4" w:rsidRPr="00E34BAF" w:rsidRDefault="005673A4" w:rsidP="00FB4867">
      <w:pPr>
        <w:shd w:val="clear" w:color="auto" w:fill="FFFFFF" w:themeFill="background1"/>
        <w:rPr>
          <w:spacing w:val="-2"/>
        </w:rPr>
      </w:pPr>
    </w:p>
    <w:p w14:paraId="371412B3" w14:textId="77777777" w:rsidR="00E14937" w:rsidRPr="00E34BAF" w:rsidRDefault="001A3265">
      <w:pPr>
        <w:pStyle w:val="Heading2"/>
        <w:shd w:val="clear" w:color="auto" w:fill="FFFFFF" w:themeFill="background1"/>
        <w:rPr>
          <w:lang w:val="fr-FR"/>
        </w:rPr>
      </w:pPr>
      <w:r w:rsidRPr="00E34BAF">
        <w:rPr>
          <w:lang w:val="fr-FR"/>
        </w:rPr>
        <w:t xml:space="preserve">Calendrier des réunions en </w:t>
      </w:r>
      <w:r w:rsidR="00A15716" w:rsidRPr="00E34BAF">
        <w:rPr>
          <w:lang w:val="fr-FR"/>
        </w:rPr>
        <w:t>2024</w:t>
      </w:r>
    </w:p>
    <w:p w14:paraId="181E306D" w14:textId="404DB532" w:rsidR="00E14937" w:rsidRPr="00E34BAF" w:rsidRDefault="001A3265">
      <w:pPr>
        <w:shd w:val="clear" w:color="auto" w:fill="FFFFFF" w:themeFill="background1"/>
        <w:rPr>
          <w:rFonts w:cs="Arial"/>
          <w:snapToGrid w:val="0"/>
        </w:rPr>
      </w:pPr>
      <w:r w:rsidRPr="00E34BAF">
        <w:rPr>
          <w:rFonts w:cs="Arial"/>
          <w:snapToGrid w:val="0"/>
        </w:rPr>
        <w:fldChar w:fldCharType="begin"/>
      </w:r>
      <w:r w:rsidRPr="00E34BAF">
        <w:rPr>
          <w:rFonts w:cs="Arial"/>
          <w:snapToGrid w:val="0"/>
        </w:rPr>
        <w:instrText xml:space="preserve"> AUTONUM  </w:instrText>
      </w:r>
      <w:r w:rsidRPr="00E34BAF">
        <w:rPr>
          <w:rFonts w:cs="Arial"/>
          <w:snapToGrid w:val="0"/>
        </w:rPr>
        <w:fldChar w:fldCharType="end"/>
      </w:r>
      <w:r w:rsidRPr="00E34BAF">
        <w:rPr>
          <w:rFonts w:cs="Arial"/>
          <w:snapToGrid w:val="0"/>
        </w:rPr>
        <w:tab/>
        <w:t>Le Conseil a examiné le document C/58/8 et la recommandation formulée par le Comité consultatif à s</w:t>
      </w:r>
      <w:r w:rsidR="00D14152">
        <w:rPr>
          <w:rFonts w:cs="Arial"/>
          <w:snapToGrid w:val="0"/>
        </w:rPr>
        <w:t>a</w:t>
      </w:r>
      <w:r w:rsidRPr="00E34BAF">
        <w:rPr>
          <w:rFonts w:cs="Arial"/>
          <w:snapToGrid w:val="0"/>
        </w:rPr>
        <w:t xml:space="preserve"> cent </w:t>
      </w:r>
      <w:r w:rsidR="00A15716" w:rsidRPr="00E34BAF">
        <w:rPr>
          <w:rFonts w:cs="Arial"/>
          <w:snapToGrid w:val="0"/>
        </w:rPr>
        <w:t xml:space="preserve">deuxième </w:t>
      </w:r>
      <w:r w:rsidRPr="00E34BAF">
        <w:rPr>
          <w:rFonts w:cs="Arial"/>
          <w:snapToGrid w:val="0"/>
        </w:rPr>
        <w:t xml:space="preserve">session, telle qu'elle est rendue dans le document </w:t>
      </w:r>
      <w:r w:rsidR="00A15716" w:rsidRPr="00E34BAF">
        <w:rPr>
          <w:rFonts w:cs="Arial"/>
          <w:snapToGrid w:val="0"/>
        </w:rPr>
        <w:t>C/58/15</w:t>
      </w:r>
      <w:r w:rsidRPr="00E34BAF">
        <w:rPr>
          <w:rFonts w:cs="Arial"/>
          <w:snapToGrid w:val="0"/>
        </w:rPr>
        <w:t>.</w:t>
      </w:r>
    </w:p>
    <w:p w14:paraId="59347F71" w14:textId="77777777" w:rsidR="00D45BE7" w:rsidRPr="00E34BAF" w:rsidRDefault="00D45BE7" w:rsidP="00FB4867">
      <w:pPr>
        <w:shd w:val="clear" w:color="auto" w:fill="FFFFFF" w:themeFill="background1"/>
        <w:rPr>
          <w:rFonts w:cs="Arial"/>
          <w:snapToGrid w:val="0"/>
        </w:rPr>
      </w:pPr>
    </w:p>
    <w:p w14:paraId="4E09F495" w14:textId="002D1184" w:rsidR="00E14937" w:rsidRPr="00E34BAF" w:rsidRDefault="001A3265">
      <w:pPr>
        <w:shd w:val="clear" w:color="auto" w:fill="FFFFFF" w:themeFill="background1"/>
        <w:rPr>
          <w:rFonts w:cs="Arial"/>
          <w:snapToGrid w:val="0"/>
        </w:rPr>
      </w:pPr>
      <w:r w:rsidRPr="00E34BAF">
        <w:rPr>
          <w:rFonts w:cs="Arial"/>
          <w:snapToGrid w:val="0"/>
        </w:rPr>
        <w:fldChar w:fldCharType="begin"/>
      </w:r>
      <w:r w:rsidRPr="00E34BAF">
        <w:rPr>
          <w:rFonts w:cs="Arial"/>
          <w:snapToGrid w:val="0"/>
        </w:rPr>
        <w:instrText xml:space="preserve"> AUTONUM  </w:instrText>
      </w:r>
      <w:r w:rsidRPr="00E34BAF">
        <w:rPr>
          <w:rFonts w:cs="Arial"/>
          <w:snapToGrid w:val="0"/>
        </w:rPr>
        <w:fldChar w:fldCharType="end"/>
      </w:r>
      <w:r w:rsidR="00D14152">
        <w:rPr>
          <w:rFonts w:cs="Arial"/>
          <w:snapToGrid w:val="0"/>
        </w:rPr>
        <w:tab/>
      </w:r>
      <w:r w:rsidRPr="00E34BAF">
        <w:rPr>
          <w:rFonts w:cs="Arial"/>
          <w:snapToGrid w:val="0"/>
        </w:rPr>
        <w:t xml:space="preserve">Le Conseil a approuvé le calendrier des réunions en </w:t>
      </w:r>
      <w:r w:rsidR="00A15716" w:rsidRPr="00E34BAF">
        <w:rPr>
          <w:rFonts w:cs="Arial"/>
          <w:snapToGrid w:val="0"/>
        </w:rPr>
        <w:t>2025</w:t>
      </w:r>
      <w:r w:rsidRPr="00E34BAF">
        <w:rPr>
          <w:rFonts w:cs="Arial"/>
          <w:snapToGrid w:val="0"/>
        </w:rPr>
        <w:t xml:space="preserve">, ainsi que les dates provisoires des réunions en </w:t>
      </w:r>
      <w:r w:rsidR="00A15716" w:rsidRPr="00E34BAF">
        <w:rPr>
          <w:rFonts w:cs="Arial"/>
          <w:snapToGrid w:val="0"/>
        </w:rPr>
        <w:t xml:space="preserve">2026 </w:t>
      </w:r>
      <w:r w:rsidRPr="00E34BAF">
        <w:rPr>
          <w:rFonts w:cs="Arial"/>
          <w:snapToGrid w:val="0"/>
        </w:rPr>
        <w:t xml:space="preserve">et </w:t>
      </w:r>
      <w:r w:rsidR="00A15716" w:rsidRPr="00E34BAF">
        <w:rPr>
          <w:rFonts w:cs="Arial"/>
          <w:snapToGrid w:val="0"/>
        </w:rPr>
        <w:t>2027</w:t>
      </w:r>
      <w:r w:rsidRPr="00E34BAF">
        <w:rPr>
          <w:rFonts w:cs="Arial"/>
          <w:snapToGrid w:val="0"/>
        </w:rPr>
        <w:t>, tels qu'ils figurent dans le document C/58/8, avec les modifications suivantes</w:t>
      </w:r>
      <w:r w:rsidR="00EA33D5">
        <w:rPr>
          <w:rFonts w:cs="Arial"/>
          <w:snapToGrid w:val="0"/>
        </w:rPr>
        <w:t>:</w:t>
      </w:r>
    </w:p>
    <w:p w14:paraId="6EF8CC7F" w14:textId="77777777" w:rsidR="00D45BE7" w:rsidRPr="00E34BAF" w:rsidRDefault="00D45BE7" w:rsidP="00FB4867">
      <w:pPr>
        <w:shd w:val="clear" w:color="auto" w:fill="FFFFFF" w:themeFill="background1"/>
      </w:pPr>
    </w:p>
    <w:p w14:paraId="59CA1235" w14:textId="77777777" w:rsidR="00E14937" w:rsidRPr="00E34BAF" w:rsidRDefault="001A3265">
      <w:pPr>
        <w:shd w:val="clear" w:color="auto" w:fill="FFFFFF" w:themeFill="background1"/>
        <w:rPr>
          <w:rFonts w:cs="Arial"/>
          <w:u w:val="single"/>
        </w:rPr>
      </w:pPr>
      <w:r w:rsidRPr="00E34BAF">
        <w:rPr>
          <w:rFonts w:cs="Arial"/>
          <w:u w:val="single"/>
        </w:rPr>
        <w:t>DATES DES RÉUNIONS EN 2025</w:t>
      </w:r>
    </w:p>
    <w:p w14:paraId="38294EA6" w14:textId="77777777" w:rsidR="00A613DB" w:rsidRPr="00E34BAF" w:rsidRDefault="00A613DB" w:rsidP="00FB4867">
      <w:pPr>
        <w:shd w:val="clear" w:color="auto" w:fill="FFFFFF" w:themeFill="background1"/>
      </w:pPr>
    </w:p>
    <w:p w14:paraId="23BB1684" w14:textId="77777777" w:rsidR="00E14937" w:rsidRPr="00E34BAF" w:rsidRDefault="001A3265">
      <w:pPr>
        <w:pStyle w:val="Heading2"/>
        <w:shd w:val="clear" w:color="auto" w:fill="FFFFFF" w:themeFill="background1"/>
        <w:rPr>
          <w:i/>
          <w:u w:val="none"/>
          <w:lang w:val="fr-FR"/>
        </w:rPr>
      </w:pPr>
      <w:r w:rsidRPr="00E34BAF">
        <w:rPr>
          <w:lang w:val="fr-FR"/>
        </w:rPr>
        <w:t>MARS 2025</w:t>
      </w:r>
    </w:p>
    <w:p w14:paraId="5B5B821F" w14:textId="5DF08E98" w:rsidR="00E14937" w:rsidRPr="00E34BAF" w:rsidRDefault="001A3265">
      <w:pPr>
        <w:shd w:val="clear" w:color="auto" w:fill="FFFFFF" w:themeFill="background1"/>
        <w:tabs>
          <w:tab w:val="left" w:pos="284"/>
        </w:tabs>
        <w:ind w:left="3828" w:hanging="3828"/>
        <w:jc w:val="left"/>
        <w:rPr>
          <w:szCs w:val="22"/>
        </w:rPr>
      </w:pPr>
      <w:r w:rsidRPr="00E34BAF">
        <w:rPr>
          <w:szCs w:val="22"/>
        </w:rPr>
        <w:tab/>
        <w:t>Lundi, 17</w:t>
      </w:r>
      <w:r w:rsidR="00D14152">
        <w:rPr>
          <w:szCs w:val="22"/>
        </w:rPr>
        <w:tab/>
      </w:r>
      <w:r w:rsidRPr="00E34BAF">
        <w:rPr>
          <w:szCs w:val="22"/>
        </w:rPr>
        <w:t>EAM/5 (réunion virtuelle)</w:t>
      </w:r>
    </w:p>
    <w:p w14:paraId="609BB3A1" w14:textId="0E28E5CA" w:rsidR="00E14937" w:rsidRPr="00E34BAF" w:rsidRDefault="001A3265">
      <w:pPr>
        <w:shd w:val="clear" w:color="auto" w:fill="FFFFFF" w:themeFill="background1"/>
        <w:tabs>
          <w:tab w:val="left" w:pos="284"/>
        </w:tabs>
        <w:ind w:left="3828" w:hanging="3828"/>
        <w:jc w:val="left"/>
      </w:pPr>
      <w:r w:rsidRPr="00E34BAF">
        <w:rPr>
          <w:szCs w:val="22"/>
        </w:rPr>
        <w:tab/>
        <w:t>Mardi 18 et mercredi 19</w:t>
      </w:r>
      <w:r w:rsidR="00D14152">
        <w:rPr>
          <w:szCs w:val="22"/>
        </w:rPr>
        <w:tab/>
      </w:r>
      <w:r w:rsidRPr="00E34BAF">
        <w:rPr>
          <w:szCs w:val="22"/>
        </w:rPr>
        <w:t xml:space="preserve">TC-EDC </w:t>
      </w:r>
      <w:r w:rsidRPr="00E34BAF">
        <w:t xml:space="preserve">(réunion virtuelle) </w:t>
      </w:r>
    </w:p>
    <w:p w14:paraId="5047158F" w14:textId="033440B4" w:rsidR="00E14937" w:rsidRPr="00E34BAF" w:rsidRDefault="001A3265">
      <w:pPr>
        <w:shd w:val="clear" w:color="auto" w:fill="FFFFFF" w:themeFill="background1"/>
        <w:tabs>
          <w:tab w:val="left" w:pos="284"/>
        </w:tabs>
        <w:ind w:left="3828" w:hanging="3828"/>
        <w:jc w:val="left"/>
      </w:pPr>
      <w:r w:rsidRPr="00E34BAF">
        <w:tab/>
        <w:t>Jeudi, 20</w:t>
      </w:r>
      <w:r w:rsidR="00D14152">
        <w:tab/>
      </w:r>
      <w:r w:rsidRPr="00E34BAF">
        <w:t xml:space="preserve">WG-HRV/7 (réunion virtuelle) </w:t>
      </w:r>
    </w:p>
    <w:p w14:paraId="5212E245" w14:textId="77777777" w:rsidR="00E14937" w:rsidRPr="00E34BAF" w:rsidRDefault="001A3265">
      <w:pPr>
        <w:shd w:val="clear" w:color="auto" w:fill="FFFFFF" w:themeFill="background1"/>
        <w:tabs>
          <w:tab w:val="left" w:pos="284"/>
        </w:tabs>
        <w:ind w:left="3828" w:hanging="3828"/>
        <w:jc w:val="left"/>
        <w:rPr>
          <w:strike/>
          <w:szCs w:val="22"/>
        </w:rPr>
      </w:pPr>
      <w:r w:rsidRPr="00E34BAF">
        <w:tab/>
      </w:r>
      <w:r w:rsidRPr="00E34BAF">
        <w:rPr>
          <w:strike/>
          <w:szCs w:val="22"/>
          <w:highlight w:val="lightGray"/>
        </w:rPr>
        <w:t>Vendredi, 21</w:t>
      </w:r>
      <w:r w:rsidRPr="00E34BAF">
        <w:tab/>
      </w:r>
      <w:r w:rsidRPr="00E34BAF">
        <w:rPr>
          <w:strike/>
          <w:szCs w:val="22"/>
          <w:highlight w:val="lightGray"/>
        </w:rPr>
        <w:t xml:space="preserve">WG-SHF/7 (réunion virtuelle) </w:t>
      </w:r>
    </w:p>
    <w:p w14:paraId="397F4A4F" w14:textId="77777777" w:rsidR="00E14937" w:rsidRPr="00E34BAF" w:rsidRDefault="001A3265">
      <w:pPr>
        <w:shd w:val="clear" w:color="auto" w:fill="FFFFFF" w:themeFill="background1"/>
        <w:tabs>
          <w:tab w:val="left" w:pos="284"/>
        </w:tabs>
        <w:ind w:left="3828" w:hanging="3828"/>
        <w:jc w:val="left"/>
        <w:rPr>
          <w:rFonts w:cs="Arial"/>
        </w:rPr>
      </w:pPr>
      <w:r w:rsidRPr="00E34BAF">
        <w:rPr>
          <w:szCs w:val="22"/>
        </w:rPr>
        <w:tab/>
        <w:t xml:space="preserve">Lundi 31 </w:t>
      </w:r>
      <w:r w:rsidRPr="00E34BAF">
        <w:t>[</w:t>
      </w:r>
      <w:r w:rsidRPr="00E34BAF">
        <w:rPr>
          <w:szCs w:val="22"/>
        </w:rPr>
        <w:t>au jeudi 3 avril]</w:t>
      </w:r>
      <w:r w:rsidRPr="00E34BAF">
        <w:rPr>
          <w:rFonts w:cs="Arial"/>
        </w:rPr>
        <w:tab/>
      </w:r>
      <w:r w:rsidRPr="00E34BAF">
        <w:t xml:space="preserve">TWO/57 </w:t>
      </w:r>
      <w:r w:rsidRPr="00E34BAF">
        <w:rPr>
          <w:rFonts w:cs="Arial"/>
        </w:rPr>
        <w:t>(Roelofarendsveen, Royaume des Pays-Bas)</w:t>
      </w:r>
    </w:p>
    <w:p w14:paraId="635278FC" w14:textId="77777777" w:rsidR="007F41B2" w:rsidRPr="00E34BAF" w:rsidRDefault="007F41B2" w:rsidP="00FB4867">
      <w:pPr>
        <w:shd w:val="clear" w:color="auto" w:fill="FFFFFF" w:themeFill="background1"/>
      </w:pPr>
    </w:p>
    <w:p w14:paraId="6DF855E7" w14:textId="77777777" w:rsidR="00E14937" w:rsidRPr="00E34BAF" w:rsidRDefault="001A3265">
      <w:pPr>
        <w:pStyle w:val="Heading2"/>
        <w:shd w:val="clear" w:color="auto" w:fill="FFFFFF" w:themeFill="background1"/>
        <w:rPr>
          <w:i/>
          <w:u w:val="none"/>
          <w:lang w:val="fr-FR"/>
        </w:rPr>
      </w:pPr>
      <w:r w:rsidRPr="00E34BAF">
        <w:rPr>
          <w:lang w:val="fr-FR"/>
        </w:rPr>
        <w:lastRenderedPageBreak/>
        <w:t>AVRIL 2025</w:t>
      </w:r>
    </w:p>
    <w:p w14:paraId="6B047082" w14:textId="77777777" w:rsidR="00E14937" w:rsidRPr="00E34BAF" w:rsidRDefault="001A3265">
      <w:pPr>
        <w:shd w:val="clear" w:color="auto" w:fill="FFFFFF" w:themeFill="background1"/>
        <w:tabs>
          <w:tab w:val="left" w:pos="284"/>
        </w:tabs>
        <w:ind w:left="3828" w:hanging="3828"/>
        <w:jc w:val="left"/>
        <w:rPr>
          <w:strike/>
          <w:szCs w:val="22"/>
        </w:rPr>
      </w:pPr>
      <w:r w:rsidRPr="00E34BAF">
        <w:rPr>
          <w:szCs w:val="22"/>
        </w:rPr>
        <w:tab/>
      </w:r>
      <w:r w:rsidRPr="00E34BAF">
        <w:rPr>
          <w:strike/>
          <w:szCs w:val="22"/>
          <w:highlight w:val="lightGray"/>
        </w:rPr>
        <w:t>Du lundi 7 au jeudi 10</w:t>
      </w:r>
    </w:p>
    <w:p w14:paraId="245D1327" w14:textId="7D990D21" w:rsidR="00E14937" w:rsidRPr="00E34BAF" w:rsidRDefault="001A3265">
      <w:pPr>
        <w:shd w:val="clear" w:color="auto" w:fill="FFFFFF" w:themeFill="background1"/>
        <w:tabs>
          <w:tab w:val="left" w:pos="284"/>
        </w:tabs>
        <w:ind w:left="3828" w:hanging="3828"/>
        <w:jc w:val="left"/>
        <w:rPr>
          <w:szCs w:val="22"/>
        </w:rPr>
      </w:pPr>
      <w:r w:rsidRPr="00E34BAF">
        <w:rPr>
          <w:szCs w:val="22"/>
        </w:rPr>
        <w:tab/>
      </w:r>
      <w:r w:rsidRPr="00E34BAF">
        <w:rPr>
          <w:szCs w:val="22"/>
          <w:highlight w:val="lightGray"/>
          <w:u w:val="single"/>
        </w:rPr>
        <w:t>Du lundi 28 au jeudi 1</w:t>
      </w:r>
      <w:r w:rsidRPr="00D14152">
        <w:rPr>
          <w:szCs w:val="22"/>
          <w:highlight w:val="lightGray"/>
          <w:u w:val="single"/>
          <w:vertAlign w:val="superscript"/>
        </w:rPr>
        <w:t>er</w:t>
      </w:r>
      <w:r w:rsidR="00D14152">
        <w:rPr>
          <w:szCs w:val="22"/>
          <w:highlight w:val="lightGray"/>
          <w:u w:val="single"/>
        </w:rPr>
        <w:t xml:space="preserve"> </w:t>
      </w:r>
      <w:r w:rsidRPr="00E34BAF">
        <w:rPr>
          <w:szCs w:val="22"/>
          <w:highlight w:val="lightGray"/>
          <w:u w:val="single"/>
        </w:rPr>
        <w:t>mai</w:t>
      </w:r>
      <w:r w:rsidRPr="00E34BAF">
        <w:rPr>
          <w:szCs w:val="22"/>
        </w:rPr>
        <w:tab/>
      </w:r>
      <w:r w:rsidRPr="00E34BAF">
        <w:rPr>
          <w:rFonts w:cs="Arial"/>
        </w:rPr>
        <w:t xml:space="preserve">TWM/3 </w:t>
      </w:r>
      <w:r w:rsidRPr="00E34BAF">
        <w:rPr>
          <w:rFonts w:cs="Arial"/>
          <w:strike/>
          <w:highlight w:val="lightGray"/>
        </w:rPr>
        <w:t>(réunion virtuelle)</w:t>
      </w:r>
      <w:r w:rsidRPr="00E34BAF">
        <w:rPr>
          <w:rFonts w:cs="Arial"/>
          <w:highlight w:val="lightGray"/>
        </w:rPr>
        <w:t xml:space="preserve">, </w:t>
      </w:r>
      <w:r w:rsidR="00D14152">
        <w:rPr>
          <w:rFonts w:cs="Arial"/>
          <w:highlight w:val="lightGray"/>
          <w:u w:val="single"/>
        </w:rPr>
        <w:t>Beijing</w:t>
      </w:r>
      <w:r w:rsidRPr="00E34BAF">
        <w:rPr>
          <w:rFonts w:cs="Arial"/>
          <w:highlight w:val="lightGray"/>
          <w:u w:val="single"/>
        </w:rPr>
        <w:t>, Chine (réunion hybride)</w:t>
      </w:r>
    </w:p>
    <w:p w14:paraId="21B4969D" w14:textId="77777777" w:rsidR="007F41B2" w:rsidRPr="00E34BAF" w:rsidRDefault="007F41B2" w:rsidP="00FB4867">
      <w:pPr>
        <w:shd w:val="clear" w:color="auto" w:fill="FFFFFF" w:themeFill="background1"/>
        <w:tabs>
          <w:tab w:val="left" w:pos="284"/>
        </w:tabs>
        <w:ind w:left="3686" w:hanging="3686"/>
        <w:jc w:val="left"/>
        <w:rPr>
          <w:szCs w:val="22"/>
          <w:u w:val="single"/>
        </w:rPr>
      </w:pPr>
    </w:p>
    <w:p w14:paraId="2802B78A" w14:textId="77777777" w:rsidR="00E14937" w:rsidRPr="00E34BAF" w:rsidRDefault="001A3265">
      <w:pPr>
        <w:pStyle w:val="Heading2"/>
        <w:shd w:val="clear" w:color="auto" w:fill="FFFFFF" w:themeFill="background1"/>
        <w:rPr>
          <w:lang w:val="fr-FR"/>
        </w:rPr>
      </w:pPr>
      <w:r w:rsidRPr="00E34BAF">
        <w:rPr>
          <w:lang w:val="fr-FR"/>
        </w:rPr>
        <w:t>OCTOBRE 2025</w:t>
      </w:r>
    </w:p>
    <w:p w14:paraId="0B47ECF2" w14:textId="77777777" w:rsidR="00E14937" w:rsidRPr="00E34BAF" w:rsidRDefault="001A3265">
      <w:pPr>
        <w:shd w:val="clear" w:color="auto" w:fill="FFFFFF" w:themeFill="background1"/>
        <w:tabs>
          <w:tab w:val="left" w:pos="284"/>
        </w:tabs>
        <w:ind w:left="3828" w:hanging="3828"/>
        <w:jc w:val="left"/>
        <w:rPr>
          <w:rFonts w:cs="Arial"/>
        </w:rPr>
      </w:pPr>
      <w:r w:rsidRPr="00E34BAF">
        <w:rPr>
          <w:rFonts w:cs="Arial"/>
        </w:rPr>
        <w:tab/>
      </w:r>
      <w:r w:rsidRPr="00E34BAF">
        <w:rPr>
          <w:rFonts w:cs="Arial"/>
          <w:highlight w:val="lightGray"/>
          <w:u w:val="single"/>
        </w:rPr>
        <w:t>Mardi 14 et jeudi 16</w:t>
      </w:r>
      <w:r w:rsidRPr="00E34BAF">
        <w:rPr>
          <w:rFonts w:cs="Arial"/>
        </w:rPr>
        <w:tab/>
      </w:r>
      <w:r w:rsidRPr="00E34BAF">
        <w:rPr>
          <w:rFonts w:cs="Arial"/>
          <w:highlight w:val="lightGray"/>
          <w:u w:val="single"/>
        </w:rPr>
        <w:t>TC-EDC (réunions virtuelles)</w:t>
      </w:r>
    </w:p>
    <w:p w14:paraId="6159C226" w14:textId="77777777" w:rsidR="00E14937" w:rsidRPr="00E34BAF" w:rsidRDefault="001A3265">
      <w:pPr>
        <w:shd w:val="clear" w:color="auto" w:fill="FFFFFF" w:themeFill="background1"/>
        <w:tabs>
          <w:tab w:val="left" w:pos="284"/>
        </w:tabs>
        <w:ind w:left="3828" w:hanging="3828"/>
        <w:jc w:val="left"/>
        <w:rPr>
          <w:rFonts w:cs="Arial"/>
        </w:rPr>
      </w:pPr>
      <w:r w:rsidRPr="00E34BAF">
        <w:rPr>
          <w:rFonts w:cs="Arial"/>
        </w:rPr>
        <w:tab/>
      </w:r>
      <w:r w:rsidRPr="00E34BAF">
        <w:rPr>
          <w:rFonts w:cs="Arial"/>
          <w:highlight w:val="lightGray"/>
          <w:u w:val="single"/>
        </w:rPr>
        <w:t xml:space="preserve">Dimanche 19 </w:t>
      </w:r>
      <w:r w:rsidRPr="00E34BAF">
        <w:rPr>
          <w:rFonts w:cs="Arial"/>
        </w:rPr>
        <w:t>et lundi 20 (soirée)</w:t>
      </w:r>
      <w:r w:rsidRPr="00E34BAF">
        <w:rPr>
          <w:rFonts w:cs="Arial"/>
        </w:rPr>
        <w:tab/>
        <w:t xml:space="preserve">TC-EDC </w:t>
      </w:r>
      <w:r w:rsidRPr="00E34BAF">
        <w:rPr>
          <w:rFonts w:cs="Arial"/>
          <w:highlight w:val="lightGray"/>
          <w:u w:val="single"/>
        </w:rPr>
        <w:t>(réunions hybrides)</w:t>
      </w:r>
    </w:p>
    <w:p w14:paraId="4B7A1B86" w14:textId="77777777" w:rsidR="00E14937" w:rsidRPr="00E34BAF" w:rsidRDefault="001A3265">
      <w:pPr>
        <w:shd w:val="clear" w:color="auto" w:fill="FFFFFF" w:themeFill="background1"/>
        <w:tabs>
          <w:tab w:val="left" w:pos="284"/>
        </w:tabs>
        <w:ind w:left="3828" w:hanging="3828"/>
        <w:jc w:val="left"/>
        <w:rPr>
          <w:szCs w:val="22"/>
        </w:rPr>
      </w:pPr>
      <w:r w:rsidRPr="00E34BAF">
        <w:rPr>
          <w:szCs w:val="22"/>
        </w:rPr>
        <w:tab/>
        <w:t xml:space="preserve">Lundi 20 </w:t>
      </w:r>
      <w:r w:rsidRPr="00E34BAF">
        <w:rPr>
          <w:szCs w:val="22"/>
        </w:rPr>
        <w:tab/>
        <w:t>TC/61</w:t>
      </w:r>
    </w:p>
    <w:p w14:paraId="267EB6DA" w14:textId="77777777" w:rsidR="00E14937" w:rsidRPr="00E34BAF" w:rsidRDefault="001A3265">
      <w:pPr>
        <w:shd w:val="clear" w:color="auto" w:fill="FFFFFF" w:themeFill="background1"/>
        <w:tabs>
          <w:tab w:val="left" w:pos="284"/>
        </w:tabs>
        <w:ind w:left="3828" w:hanging="3828"/>
        <w:jc w:val="left"/>
        <w:rPr>
          <w:szCs w:val="22"/>
        </w:rPr>
      </w:pPr>
      <w:r w:rsidRPr="00E34BAF">
        <w:rPr>
          <w:szCs w:val="22"/>
        </w:rPr>
        <w:tab/>
        <w:t>Lundi 20 (soir)</w:t>
      </w:r>
      <w:r w:rsidRPr="00E34BAF">
        <w:rPr>
          <w:szCs w:val="22"/>
        </w:rPr>
        <w:tab/>
        <w:t>TC-EDC</w:t>
      </w:r>
    </w:p>
    <w:p w14:paraId="6639947F" w14:textId="680D16C5" w:rsidR="00E14937" w:rsidRPr="00E34BAF" w:rsidRDefault="001A3265">
      <w:pPr>
        <w:shd w:val="clear" w:color="auto" w:fill="FFFFFF" w:themeFill="background1"/>
        <w:tabs>
          <w:tab w:val="left" w:pos="284"/>
        </w:tabs>
        <w:ind w:left="3828" w:hanging="3828"/>
        <w:jc w:val="left"/>
        <w:rPr>
          <w:szCs w:val="22"/>
        </w:rPr>
      </w:pPr>
      <w:r w:rsidRPr="00E34BAF">
        <w:rPr>
          <w:szCs w:val="22"/>
        </w:rPr>
        <w:tab/>
        <w:t>Mardi, 21</w:t>
      </w:r>
      <w:r w:rsidR="00D14152">
        <w:rPr>
          <w:szCs w:val="22"/>
        </w:rPr>
        <w:tab/>
      </w:r>
      <w:r w:rsidRPr="00E34BAF">
        <w:rPr>
          <w:szCs w:val="22"/>
        </w:rPr>
        <w:t>TC/61</w:t>
      </w:r>
    </w:p>
    <w:p w14:paraId="4A02BB08" w14:textId="77777777" w:rsidR="00E14937" w:rsidRPr="00E34BAF" w:rsidRDefault="001A3265">
      <w:pPr>
        <w:shd w:val="clear" w:color="auto" w:fill="FFFFFF" w:themeFill="background1"/>
        <w:tabs>
          <w:tab w:val="left" w:pos="284"/>
        </w:tabs>
        <w:ind w:left="3828" w:hanging="3828"/>
        <w:jc w:val="left"/>
        <w:rPr>
          <w:szCs w:val="22"/>
        </w:rPr>
      </w:pPr>
      <w:r w:rsidRPr="00E34BAF">
        <w:rPr>
          <w:szCs w:val="22"/>
        </w:rPr>
        <w:tab/>
        <w:t>Mardi 21 (soir)</w:t>
      </w:r>
      <w:r w:rsidRPr="00E34BAF">
        <w:rPr>
          <w:szCs w:val="22"/>
        </w:rPr>
        <w:tab/>
        <w:t>EAM/6 (réunion hybride)</w:t>
      </w:r>
    </w:p>
    <w:p w14:paraId="65CDF526" w14:textId="77777777" w:rsidR="00E14937" w:rsidRPr="00E34BAF" w:rsidRDefault="001A3265">
      <w:pPr>
        <w:shd w:val="clear" w:color="auto" w:fill="FFFFFF" w:themeFill="background1"/>
        <w:tabs>
          <w:tab w:val="left" w:pos="284"/>
        </w:tabs>
        <w:ind w:left="3828" w:hanging="3828"/>
        <w:jc w:val="left"/>
        <w:rPr>
          <w:szCs w:val="22"/>
          <w:u w:val="single"/>
        </w:rPr>
      </w:pPr>
      <w:r w:rsidRPr="00E34BAF">
        <w:rPr>
          <w:szCs w:val="22"/>
        </w:rPr>
        <w:tab/>
        <w:t xml:space="preserve">Mercredi 22 </w:t>
      </w:r>
      <w:r w:rsidR="004B5855" w:rsidRPr="00E34BAF">
        <w:rPr>
          <w:szCs w:val="22"/>
        </w:rPr>
        <w:t>(</w:t>
      </w:r>
      <w:r w:rsidR="004B5855" w:rsidRPr="00E34BAF">
        <w:rPr>
          <w:rFonts w:cs="Arial"/>
          <w:highlight w:val="lightGray"/>
          <w:u w:val="single"/>
        </w:rPr>
        <w:t>matin</w:t>
      </w:r>
      <w:r w:rsidR="004B5855" w:rsidRPr="00E34BAF">
        <w:rPr>
          <w:szCs w:val="22"/>
        </w:rPr>
        <w:t>)</w:t>
      </w:r>
      <w:r w:rsidRPr="00E34BAF">
        <w:rPr>
          <w:szCs w:val="22"/>
        </w:rPr>
        <w:tab/>
        <w:t>CAJ/82</w:t>
      </w:r>
    </w:p>
    <w:p w14:paraId="2942AB71" w14:textId="77777777" w:rsidR="00E14937" w:rsidRPr="00E34BAF" w:rsidRDefault="001A3265">
      <w:pPr>
        <w:shd w:val="clear" w:color="auto" w:fill="FFFFFF" w:themeFill="background1"/>
        <w:tabs>
          <w:tab w:val="left" w:pos="284"/>
        </w:tabs>
        <w:ind w:left="3828" w:hanging="3828"/>
        <w:jc w:val="left"/>
        <w:rPr>
          <w:rFonts w:cs="Arial"/>
          <w:highlight w:val="lightGray"/>
          <w:u w:val="single"/>
        </w:rPr>
      </w:pPr>
      <w:r w:rsidRPr="00E34BAF">
        <w:rPr>
          <w:szCs w:val="22"/>
        </w:rPr>
        <w:tab/>
      </w:r>
      <w:r w:rsidRPr="00E34BAF">
        <w:rPr>
          <w:rFonts w:cs="Arial"/>
          <w:highlight w:val="lightGray"/>
          <w:u w:val="single"/>
        </w:rPr>
        <w:t xml:space="preserve">Mercredi 22 </w:t>
      </w:r>
      <w:r w:rsidR="004B5855" w:rsidRPr="00E34BAF">
        <w:rPr>
          <w:rFonts w:cs="Arial"/>
          <w:highlight w:val="lightGray"/>
          <w:u w:val="single"/>
        </w:rPr>
        <w:t>(après-midi)</w:t>
      </w:r>
      <w:r w:rsidRPr="00E34BAF">
        <w:rPr>
          <w:szCs w:val="22"/>
        </w:rPr>
        <w:tab/>
      </w:r>
      <w:r w:rsidRPr="00E34BAF">
        <w:rPr>
          <w:rFonts w:cs="Arial"/>
          <w:highlight w:val="lightGray"/>
          <w:u w:val="single"/>
        </w:rPr>
        <w:t>Séminaire sur la coopération avec les obtenteurs dans le cadre de l'</w:t>
      </w:r>
      <w:r w:rsidR="004B5855" w:rsidRPr="00E34BAF">
        <w:rPr>
          <w:rFonts w:cs="Arial"/>
          <w:highlight w:val="lightGray"/>
          <w:u w:val="single"/>
        </w:rPr>
        <w:t>examen</w:t>
      </w:r>
      <w:r w:rsidRPr="00E34BAF">
        <w:rPr>
          <w:rFonts w:cs="Arial"/>
          <w:highlight w:val="lightGray"/>
          <w:u w:val="single"/>
        </w:rPr>
        <w:t xml:space="preserve"> DHS </w:t>
      </w:r>
    </w:p>
    <w:p w14:paraId="7DB7D275" w14:textId="0ECDAF04" w:rsidR="00E14937" w:rsidRPr="00E34BAF" w:rsidRDefault="001A3265">
      <w:pPr>
        <w:shd w:val="clear" w:color="auto" w:fill="FFFFFF" w:themeFill="background1"/>
        <w:tabs>
          <w:tab w:val="left" w:pos="284"/>
        </w:tabs>
        <w:ind w:left="3828" w:hanging="3828"/>
        <w:jc w:val="left"/>
        <w:rPr>
          <w:szCs w:val="22"/>
        </w:rPr>
      </w:pPr>
      <w:r w:rsidRPr="00E34BAF">
        <w:rPr>
          <w:szCs w:val="22"/>
        </w:rPr>
        <w:tab/>
        <w:t>Jeudi, 23</w:t>
      </w:r>
      <w:r w:rsidR="00D14152">
        <w:rPr>
          <w:szCs w:val="22"/>
        </w:rPr>
        <w:tab/>
      </w:r>
      <w:r w:rsidRPr="00E34BAF">
        <w:rPr>
          <w:szCs w:val="22"/>
        </w:rPr>
        <w:t>CC/103</w:t>
      </w:r>
    </w:p>
    <w:p w14:paraId="1011CC7E" w14:textId="76A1D53A" w:rsidR="00E14937" w:rsidRPr="00E34BAF" w:rsidRDefault="001A3265">
      <w:pPr>
        <w:shd w:val="clear" w:color="auto" w:fill="FFFFFF" w:themeFill="background1"/>
        <w:tabs>
          <w:tab w:val="left" w:pos="284"/>
        </w:tabs>
        <w:ind w:left="3828" w:hanging="3828"/>
        <w:jc w:val="left"/>
        <w:rPr>
          <w:szCs w:val="22"/>
        </w:rPr>
      </w:pPr>
      <w:r w:rsidRPr="00E34BAF">
        <w:rPr>
          <w:szCs w:val="22"/>
        </w:rPr>
        <w:tab/>
        <w:t>Vendredi, 24</w:t>
      </w:r>
      <w:r w:rsidR="00D14152">
        <w:rPr>
          <w:szCs w:val="22"/>
        </w:rPr>
        <w:tab/>
      </w:r>
      <w:r w:rsidRPr="00E34BAF">
        <w:rPr>
          <w:szCs w:val="22"/>
        </w:rPr>
        <w:t>C/59</w:t>
      </w:r>
    </w:p>
    <w:p w14:paraId="15DEA62A" w14:textId="77777777" w:rsidR="00265DD4" w:rsidRPr="00E34BAF" w:rsidRDefault="00265DD4" w:rsidP="00FB4867">
      <w:pPr>
        <w:shd w:val="clear" w:color="auto" w:fill="FFFFFF" w:themeFill="background1"/>
      </w:pPr>
    </w:p>
    <w:p w14:paraId="19994911" w14:textId="77777777" w:rsidR="00E14937" w:rsidRPr="00E34BAF" w:rsidRDefault="001A3265">
      <w:pPr>
        <w:shd w:val="clear" w:color="auto" w:fill="FFFFFF" w:themeFill="background1"/>
        <w:rPr>
          <w:rFonts w:cs="Arial"/>
          <w:u w:val="single"/>
        </w:rPr>
      </w:pPr>
      <w:r w:rsidRPr="00E34BAF">
        <w:rPr>
          <w:rFonts w:cs="Arial"/>
          <w:u w:val="single"/>
        </w:rPr>
        <w:t>DATES PROVISOIRES DES RÉUNIONS EN 2026</w:t>
      </w:r>
    </w:p>
    <w:p w14:paraId="2894C04F" w14:textId="77777777" w:rsidR="00A613DB" w:rsidRPr="00E34BAF" w:rsidRDefault="00A613DB" w:rsidP="00FB4867">
      <w:pPr>
        <w:shd w:val="clear" w:color="auto" w:fill="FFFFFF" w:themeFill="background1"/>
        <w:rPr>
          <w:rFonts w:cs="Arial"/>
        </w:rPr>
      </w:pPr>
    </w:p>
    <w:p w14:paraId="6DA253D7" w14:textId="77777777" w:rsidR="00E14937" w:rsidRPr="00E34BAF" w:rsidRDefault="001A3265">
      <w:pPr>
        <w:pStyle w:val="Heading2"/>
        <w:shd w:val="clear" w:color="auto" w:fill="FFFFFF" w:themeFill="background1"/>
        <w:rPr>
          <w:rFonts w:cs="Arial"/>
          <w:i/>
          <w:iCs/>
          <w:u w:val="none"/>
          <w:lang w:val="fr-FR"/>
        </w:rPr>
      </w:pPr>
      <w:r w:rsidRPr="00E34BAF">
        <w:rPr>
          <w:lang w:val="fr-FR"/>
        </w:rPr>
        <w:t xml:space="preserve">JANVIER 2026 </w:t>
      </w:r>
      <w:r w:rsidRPr="00E34BAF">
        <w:rPr>
          <w:u w:val="none"/>
          <w:lang w:val="fr-FR"/>
        </w:rPr>
        <w:t>(semaine 3)</w:t>
      </w:r>
    </w:p>
    <w:p w14:paraId="07774157" w14:textId="77777777" w:rsidR="00E14937" w:rsidRPr="00E34BAF" w:rsidRDefault="001A3265">
      <w:pPr>
        <w:shd w:val="clear" w:color="auto" w:fill="FFFFFF" w:themeFill="background1"/>
        <w:ind w:left="3970" w:hanging="3686"/>
        <w:rPr>
          <w:rFonts w:cs="Arial"/>
          <w:strike/>
        </w:rPr>
      </w:pPr>
      <w:r w:rsidRPr="00E34BAF">
        <w:rPr>
          <w:rFonts w:cs="Arial"/>
          <w:strike/>
          <w:highlight w:val="lightGray"/>
        </w:rPr>
        <w:t>Lundi 12 et mercredi 14</w:t>
      </w:r>
    </w:p>
    <w:p w14:paraId="05125F2E" w14:textId="77777777" w:rsidR="00E14937" w:rsidRPr="00E34BAF" w:rsidRDefault="001A3265">
      <w:pPr>
        <w:shd w:val="clear" w:color="auto" w:fill="FFFFFF" w:themeFill="background1"/>
        <w:ind w:left="3970" w:hanging="3686"/>
        <w:rPr>
          <w:rFonts w:cs="Arial"/>
        </w:rPr>
      </w:pPr>
      <w:r w:rsidRPr="00E34BAF">
        <w:rPr>
          <w:rFonts w:cs="Arial"/>
          <w:highlight w:val="lightGray"/>
          <w:u w:val="single"/>
        </w:rPr>
        <w:t>Mardi 13 et jeudi 15</w:t>
      </w:r>
      <w:r w:rsidRPr="00E34BAF">
        <w:rPr>
          <w:rFonts w:cs="Arial"/>
        </w:rPr>
        <w:tab/>
        <w:t>TC-EDC (réunion virtuelle)</w:t>
      </w:r>
    </w:p>
    <w:p w14:paraId="2CDA2082" w14:textId="77777777" w:rsidR="00A613DB" w:rsidRPr="00E34BAF" w:rsidRDefault="00A613DB" w:rsidP="00FB4867">
      <w:pPr>
        <w:shd w:val="clear" w:color="auto" w:fill="FFFFFF" w:themeFill="background1"/>
        <w:ind w:left="284"/>
        <w:rPr>
          <w:rFonts w:cs="Arial"/>
        </w:rPr>
      </w:pPr>
    </w:p>
    <w:p w14:paraId="471DE8ED" w14:textId="77777777" w:rsidR="00E14937" w:rsidRPr="00E34BAF" w:rsidRDefault="001A3265">
      <w:pPr>
        <w:pStyle w:val="Heading2"/>
        <w:shd w:val="clear" w:color="auto" w:fill="FFFFFF" w:themeFill="background1"/>
        <w:rPr>
          <w:rFonts w:cs="Arial"/>
          <w:i/>
          <w:iCs/>
          <w:lang w:val="fr-FR"/>
        </w:rPr>
      </w:pPr>
      <w:r w:rsidRPr="00E34BAF">
        <w:rPr>
          <w:lang w:val="fr-FR"/>
        </w:rPr>
        <w:t>MARS 2026 (semaine 12)</w:t>
      </w:r>
    </w:p>
    <w:p w14:paraId="617DB3CC" w14:textId="77777777" w:rsidR="00E14937" w:rsidRPr="00E34BAF" w:rsidRDefault="001A3265">
      <w:pPr>
        <w:shd w:val="clear" w:color="auto" w:fill="FFFFFF" w:themeFill="background1"/>
        <w:ind w:left="3970" w:hanging="3686"/>
        <w:rPr>
          <w:rFonts w:cs="Arial"/>
        </w:rPr>
      </w:pPr>
      <w:r w:rsidRPr="00E34BAF">
        <w:rPr>
          <w:rFonts w:cs="Arial"/>
        </w:rPr>
        <w:t xml:space="preserve">Mardi 17 et </w:t>
      </w:r>
      <w:r w:rsidRPr="00E34BAF">
        <w:rPr>
          <w:rFonts w:cs="Arial"/>
          <w:strike/>
          <w:highlight w:val="lightGray"/>
        </w:rPr>
        <w:t>mercredi 18</w:t>
      </w:r>
    </w:p>
    <w:p w14:paraId="2E6781EF" w14:textId="359E0D05" w:rsidR="00E14937" w:rsidRPr="00E34BAF" w:rsidRDefault="001A3265">
      <w:pPr>
        <w:shd w:val="clear" w:color="auto" w:fill="FFFFFF" w:themeFill="background1"/>
        <w:ind w:left="3970" w:hanging="3686"/>
        <w:rPr>
          <w:rFonts w:cs="Arial"/>
        </w:rPr>
      </w:pPr>
      <w:r w:rsidRPr="00E34BAF">
        <w:rPr>
          <w:rFonts w:cs="Arial"/>
          <w:highlight w:val="lightGray"/>
          <w:u w:val="single"/>
        </w:rPr>
        <w:t>Jeudi, 19</w:t>
      </w:r>
      <w:r w:rsidR="00D14152" w:rsidRPr="00D14152">
        <w:rPr>
          <w:rFonts w:cs="Arial"/>
        </w:rPr>
        <w:tab/>
      </w:r>
      <w:r w:rsidRPr="00D14152">
        <w:rPr>
          <w:rFonts w:cs="Arial"/>
        </w:rPr>
        <w:t>TC-EDC (réunion</w:t>
      </w:r>
      <w:r w:rsidRPr="00E34BAF">
        <w:rPr>
          <w:rFonts w:cs="Arial"/>
        </w:rPr>
        <w:t xml:space="preserve"> virtuelle)</w:t>
      </w:r>
    </w:p>
    <w:p w14:paraId="53F08C15" w14:textId="77777777" w:rsidR="002E6A83" w:rsidRPr="00E34BAF" w:rsidRDefault="002E6A83" w:rsidP="00FB4867">
      <w:pPr>
        <w:shd w:val="clear" w:color="auto" w:fill="FFFFFF" w:themeFill="background1"/>
        <w:ind w:left="3970" w:hanging="3686"/>
        <w:rPr>
          <w:rFonts w:cs="Arial"/>
        </w:rPr>
      </w:pPr>
    </w:p>
    <w:p w14:paraId="4E3AEECD" w14:textId="77777777" w:rsidR="00E14937" w:rsidRPr="00E34BAF" w:rsidRDefault="001A3265">
      <w:pPr>
        <w:pStyle w:val="Heading2"/>
        <w:shd w:val="clear" w:color="auto" w:fill="FFFFFF" w:themeFill="background1"/>
        <w:rPr>
          <w:lang w:val="fr-FR"/>
        </w:rPr>
      </w:pPr>
      <w:r w:rsidRPr="00E34BAF">
        <w:rPr>
          <w:lang w:val="fr-FR"/>
        </w:rPr>
        <w:t>OCTOBRE 2026</w:t>
      </w:r>
    </w:p>
    <w:p w14:paraId="6F912DE2" w14:textId="2EA58F04" w:rsidR="00E14937" w:rsidRDefault="001A3265">
      <w:pPr>
        <w:shd w:val="clear" w:color="auto" w:fill="FFFFFF" w:themeFill="background1"/>
        <w:ind w:left="3970" w:hanging="3686"/>
        <w:rPr>
          <w:rFonts w:cs="Arial"/>
        </w:rPr>
      </w:pPr>
      <w:r w:rsidRPr="00E34BAF">
        <w:rPr>
          <w:rFonts w:cs="Arial"/>
          <w:u w:val="single"/>
        </w:rPr>
        <w:t>[</w:t>
      </w:r>
      <w:r w:rsidRPr="00E34BAF">
        <w:rPr>
          <w:rFonts w:cs="Arial"/>
          <w:highlight w:val="lightGray"/>
          <w:u w:val="single"/>
        </w:rPr>
        <w:t xml:space="preserve">Date à </w:t>
      </w:r>
      <w:r w:rsidR="00FB6B14">
        <w:rPr>
          <w:rFonts w:cs="Arial"/>
          <w:highlight w:val="lightGray"/>
          <w:u w:val="single"/>
        </w:rPr>
        <w:t>convenir</w:t>
      </w:r>
      <w:r w:rsidRPr="00E34BAF">
        <w:rPr>
          <w:rFonts w:cs="Arial"/>
          <w:highlight w:val="lightGray"/>
          <w:u w:val="single"/>
        </w:rPr>
        <w:t>]</w:t>
      </w:r>
      <w:r w:rsidRPr="00E34BAF">
        <w:rPr>
          <w:rFonts w:cs="Arial"/>
        </w:rPr>
        <w:tab/>
      </w:r>
      <w:r w:rsidRPr="00E34BAF">
        <w:rPr>
          <w:rFonts w:cs="Arial"/>
          <w:highlight w:val="lightGray"/>
          <w:u w:val="single"/>
        </w:rPr>
        <w:t xml:space="preserve">Séminaire sur [titre à </w:t>
      </w:r>
      <w:r w:rsidR="00FB6B14">
        <w:rPr>
          <w:rFonts w:cs="Arial"/>
          <w:highlight w:val="lightGray"/>
          <w:u w:val="single"/>
        </w:rPr>
        <w:t>convenir</w:t>
      </w:r>
      <w:r w:rsidRPr="00E34BAF">
        <w:rPr>
          <w:rFonts w:cs="Arial"/>
          <w:highlight w:val="lightGray"/>
          <w:u w:val="single"/>
        </w:rPr>
        <w:t>]</w:t>
      </w:r>
    </w:p>
    <w:p w14:paraId="6FE823EA" w14:textId="77777777" w:rsidR="00D14152" w:rsidRDefault="00D14152">
      <w:pPr>
        <w:shd w:val="clear" w:color="auto" w:fill="FFFFFF" w:themeFill="background1"/>
        <w:ind w:left="3970" w:hanging="3686"/>
        <w:rPr>
          <w:rFonts w:cs="Arial"/>
        </w:rPr>
      </w:pPr>
    </w:p>
    <w:p w14:paraId="7A3FB088" w14:textId="77777777" w:rsidR="00D14152" w:rsidRPr="00E34BAF" w:rsidRDefault="00D14152">
      <w:pPr>
        <w:shd w:val="clear" w:color="auto" w:fill="FFFFFF" w:themeFill="background1"/>
        <w:ind w:left="3970" w:hanging="3686"/>
        <w:rPr>
          <w:rFonts w:cs="Arial"/>
        </w:rPr>
      </w:pPr>
    </w:p>
    <w:p w14:paraId="2F9A1942" w14:textId="42BC99ED" w:rsidR="00E14937" w:rsidRPr="00E34BAF" w:rsidRDefault="001A3265">
      <w:pPr>
        <w:keepNext/>
        <w:shd w:val="clear" w:color="auto" w:fill="FFFFFF" w:themeFill="background1"/>
        <w:rPr>
          <w:u w:val="single"/>
        </w:rPr>
      </w:pPr>
      <w:r w:rsidRPr="00E34BAF">
        <w:rPr>
          <w:u w:val="single"/>
        </w:rPr>
        <w:t>Questions pour information</w:t>
      </w:r>
      <w:r w:rsidR="00EA33D5">
        <w:rPr>
          <w:u w:val="single"/>
        </w:rPr>
        <w:t>:</w:t>
      </w:r>
    </w:p>
    <w:p w14:paraId="45C7D104" w14:textId="77777777" w:rsidR="00D45BE7" w:rsidRPr="00E34BAF" w:rsidRDefault="00D45BE7" w:rsidP="00FB4867">
      <w:pPr>
        <w:keepNext/>
        <w:shd w:val="clear" w:color="auto" w:fill="FFFFFF" w:themeFill="background1"/>
        <w:ind w:left="567" w:hanging="567"/>
        <w:rPr>
          <w:u w:val="single"/>
        </w:rPr>
      </w:pPr>
    </w:p>
    <w:p w14:paraId="1DAA70B4" w14:textId="0A48D6B1" w:rsidR="00E14937" w:rsidRPr="00E34BAF" w:rsidRDefault="001A3265">
      <w:pPr>
        <w:keepNext/>
        <w:shd w:val="clear" w:color="auto" w:fill="FFFFFF" w:themeFill="background1"/>
        <w:rPr>
          <w:rFonts w:cs="Arial"/>
        </w:rPr>
      </w:pPr>
      <w:r w:rsidRPr="00E34BAF">
        <w:fldChar w:fldCharType="begin"/>
      </w:r>
      <w:r w:rsidRPr="00E34BAF">
        <w:instrText xml:space="preserve"> AUTONUM  </w:instrText>
      </w:r>
      <w:r w:rsidRPr="00E34BAF">
        <w:fldChar w:fldCharType="end"/>
      </w:r>
      <w:r w:rsidRPr="00E34BAF">
        <w:tab/>
        <w:t xml:space="preserve">Le Conseil a pris note </w:t>
      </w:r>
      <w:r w:rsidRPr="00E34BAF">
        <w:rPr>
          <w:rFonts w:cs="Arial"/>
        </w:rPr>
        <w:t xml:space="preserve">des documents suivants sous le point </w:t>
      </w:r>
      <w:r w:rsidR="00195823" w:rsidRPr="00E34BAF">
        <w:rPr>
          <w:rFonts w:cs="Arial"/>
        </w:rPr>
        <w:t xml:space="preserve">15 </w:t>
      </w:r>
      <w:r w:rsidRPr="00E34BAF">
        <w:rPr>
          <w:rFonts w:cs="Arial"/>
        </w:rPr>
        <w:t xml:space="preserve">"Questions pour information", qui ont été </w:t>
      </w:r>
      <w:r w:rsidR="00712BFC">
        <w:rPr>
          <w:rFonts w:cs="Arial"/>
        </w:rPr>
        <w:t>publiés</w:t>
      </w:r>
      <w:r w:rsidRPr="00E34BAF">
        <w:rPr>
          <w:rFonts w:cs="Arial"/>
        </w:rPr>
        <w:t xml:space="preserve"> pour information sur la page web du </w:t>
      </w:r>
      <w:r w:rsidR="00195823" w:rsidRPr="00E34BAF">
        <w:rPr>
          <w:rFonts w:cs="Arial"/>
        </w:rPr>
        <w:t>C/58</w:t>
      </w:r>
      <w:r w:rsidR="00EA33D5">
        <w:rPr>
          <w:rFonts w:cs="Arial"/>
        </w:rPr>
        <w:t>:</w:t>
      </w:r>
    </w:p>
    <w:p w14:paraId="2EB27299" w14:textId="77777777" w:rsidR="00D45BE7" w:rsidRPr="00E34BAF" w:rsidRDefault="00D45BE7" w:rsidP="00FB4867">
      <w:pPr>
        <w:shd w:val="clear" w:color="auto" w:fill="FFFFFF" w:themeFill="background1"/>
        <w:ind w:left="567" w:hanging="567"/>
        <w:jc w:val="left"/>
        <w:rPr>
          <w:u w:val="single"/>
        </w:rPr>
      </w:pPr>
    </w:p>
    <w:p w14:paraId="0EE31CD2" w14:textId="6EDC1A02" w:rsidR="00E14937" w:rsidRPr="00E34BAF" w:rsidRDefault="00712BFC">
      <w:pPr>
        <w:pStyle w:val="ListParagraph"/>
        <w:numPr>
          <w:ilvl w:val="0"/>
          <w:numId w:val="1"/>
        </w:numPr>
        <w:shd w:val="clear" w:color="auto" w:fill="FFFFFF" w:themeFill="background1"/>
        <w:ind w:left="1701" w:right="567" w:hanging="567"/>
      </w:pPr>
      <w:r w:rsidRPr="00712BFC">
        <w:t>Rapport sur les activités menées pendant les neuf premiers mois de 2024</w:t>
      </w:r>
      <w:r w:rsidRPr="00712BFC">
        <w:t xml:space="preserve"> </w:t>
      </w:r>
      <w:r w:rsidR="001A3265" w:rsidRPr="00E34BAF">
        <w:t>(document</w:t>
      </w:r>
      <w:r>
        <w:t> </w:t>
      </w:r>
      <w:r w:rsidR="00195823" w:rsidRPr="00E34BAF">
        <w:t>C/58/3</w:t>
      </w:r>
      <w:r w:rsidR="001A3265" w:rsidRPr="00E34BAF">
        <w:t>).</w:t>
      </w:r>
    </w:p>
    <w:p w14:paraId="39D55179" w14:textId="77777777" w:rsidR="00D45BE7" w:rsidRPr="00E34BAF" w:rsidRDefault="00D45BE7" w:rsidP="00FB4867">
      <w:pPr>
        <w:shd w:val="clear" w:color="auto" w:fill="FFFFFF" w:themeFill="background1"/>
        <w:ind w:left="1701" w:right="567" w:hanging="567"/>
      </w:pPr>
    </w:p>
    <w:p w14:paraId="47A356BD" w14:textId="68F0ABB4" w:rsidR="00E14937" w:rsidRPr="00E34BAF" w:rsidRDefault="001A3265">
      <w:pPr>
        <w:pStyle w:val="ListParagraph"/>
        <w:keepNext/>
        <w:numPr>
          <w:ilvl w:val="0"/>
          <w:numId w:val="1"/>
        </w:numPr>
        <w:shd w:val="clear" w:color="auto" w:fill="FFFFFF" w:themeFill="background1"/>
        <w:ind w:left="1701" w:right="567" w:hanging="567"/>
      </w:pPr>
      <w:r w:rsidRPr="00E34BAF">
        <w:t>Situation dans les domaines législatif, administratif et technique</w:t>
      </w:r>
      <w:r w:rsidR="00EA33D5">
        <w:t>:</w:t>
      </w:r>
    </w:p>
    <w:p w14:paraId="60436AF2" w14:textId="77777777" w:rsidR="00D45BE7" w:rsidRPr="00E34BAF" w:rsidRDefault="00D45BE7" w:rsidP="00FB4867">
      <w:pPr>
        <w:keepNext/>
        <w:shd w:val="clear" w:color="auto" w:fill="FFFFFF" w:themeFill="background1"/>
        <w:ind w:left="567" w:right="567"/>
      </w:pPr>
    </w:p>
    <w:p w14:paraId="156AC166" w14:textId="17314D8A" w:rsidR="00E14937" w:rsidRPr="00E34BAF" w:rsidRDefault="001A3265">
      <w:pPr>
        <w:shd w:val="clear" w:color="auto" w:fill="FFFFFF" w:themeFill="background1"/>
        <w:spacing w:after="120"/>
        <w:ind w:left="2127" w:hanging="425"/>
        <w:jc w:val="left"/>
      </w:pPr>
      <w:r w:rsidRPr="00E34BAF">
        <w:t>(i)</w:t>
      </w:r>
      <w:r w:rsidRPr="00E34BAF">
        <w:tab/>
      </w:r>
      <w:r w:rsidR="00712BFC">
        <w:t xml:space="preserve">Rapports </w:t>
      </w:r>
      <w:r w:rsidRPr="00E34BAF">
        <w:t xml:space="preserve">des représentants des membres et des observateurs (document </w:t>
      </w:r>
      <w:r w:rsidR="00195823" w:rsidRPr="00E34BAF">
        <w:t>C/58/13</w:t>
      </w:r>
      <w:r w:rsidRPr="00E34BAF">
        <w:t>)</w:t>
      </w:r>
    </w:p>
    <w:p w14:paraId="3B8A26B8" w14:textId="5978767B" w:rsidR="00E14937" w:rsidRPr="00E34BAF" w:rsidRDefault="001A3265">
      <w:pPr>
        <w:shd w:val="clear" w:color="auto" w:fill="FFFFFF" w:themeFill="background1"/>
        <w:ind w:left="2127" w:hanging="426"/>
        <w:jc w:val="left"/>
      </w:pPr>
      <w:r w:rsidRPr="00E34BAF">
        <w:t xml:space="preserve">(ii) </w:t>
      </w:r>
      <w:r w:rsidRPr="00E34BAF">
        <w:tab/>
        <w:t xml:space="preserve">Coopération en matière d'examen (document </w:t>
      </w:r>
      <w:r w:rsidR="00195823" w:rsidRPr="00E34BAF">
        <w:t>C/58/5</w:t>
      </w:r>
      <w:r w:rsidRPr="00E34BAF">
        <w:t xml:space="preserve">) ; Liste des taxons protégés par les membres de l'Union (document </w:t>
      </w:r>
      <w:r w:rsidR="00195823" w:rsidRPr="00E34BAF">
        <w:t>C/58/6</w:t>
      </w:r>
      <w:r w:rsidRPr="00E34BAF">
        <w:t xml:space="preserve">) ; Statistiques sur la protection des obtentions végétales pour la période </w:t>
      </w:r>
      <w:r w:rsidR="00195823" w:rsidRPr="00E34BAF">
        <w:t>2019</w:t>
      </w:r>
      <w:r w:rsidR="00712BFC">
        <w:t>-</w:t>
      </w:r>
      <w:r w:rsidR="00195823" w:rsidRPr="00E34BAF">
        <w:t xml:space="preserve">2023 </w:t>
      </w:r>
      <w:r w:rsidRPr="00E34BAF">
        <w:t xml:space="preserve">(document </w:t>
      </w:r>
      <w:r w:rsidR="00195823" w:rsidRPr="00E34BAF">
        <w:t>C/58/7</w:t>
      </w:r>
      <w:r w:rsidRPr="00E34BAF">
        <w:t>).</w:t>
      </w:r>
    </w:p>
    <w:p w14:paraId="3DFC3151" w14:textId="77777777" w:rsidR="00EA68AE" w:rsidRPr="00E34BAF" w:rsidRDefault="00EA68AE" w:rsidP="00FB4867">
      <w:pPr>
        <w:shd w:val="clear" w:color="auto" w:fill="FFFFFF" w:themeFill="background1"/>
        <w:ind w:left="2127" w:hanging="426"/>
        <w:jc w:val="left"/>
      </w:pPr>
    </w:p>
    <w:p w14:paraId="0EFCCD6A" w14:textId="77777777" w:rsidR="00E14937" w:rsidRPr="00E34BAF" w:rsidRDefault="001A3265">
      <w:pPr>
        <w:shd w:val="clear" w:color="auto" w:fill="FFFFFF" w:themeFill="background1"/>
        <w:jc w:val="left"/>
      </w:pPr>
      <w:r w:rsidRPr="00E34BAF">
        <w:fldChar w:fldCharType="begin"/>
      </w:r>
      <w:r w:rsidRPr="00E34BAF">
        <w:instrText xml:space="preserve"> AUTONUM  </w:instrText>
      </w:r>
      <w:r w:rsidRPr="00E34BAF">
        <w:fldChar w:fldCharType="end"/>
      </w:r>
      <w:r w:rsidRPr="00E34BAF">
        <w:tab/>
        <w:t xml:space="preserve">Le Conseil </w:t>
      </w:r>
      <w:r w:rsidR="00C3478A" w:rsidRPr="00E34BAF">
        <w:t xml:space="preserve">a approuvé la proposition </w:t>
      </w:r>
      <w:r w:rsidRPr="00E34BAF">
        <w:t>selon laquelle</w:t>
      </w:r>
      <w:r w:rsidR="00C3478A" w:rsidRPr="00E34BAF">
        <w:t>, à partir de 2025, le Bureau de l'Union mettrait en œuvre un moyen plus efficace de recueillir et de présenter les informations prioritaires des membres et des observateurs de l'UPOV.</w:t>
      </w:r>
    </w:p>
    <w:p w14:paraId="13611EF2" w14:textId="77777777" w:rsidR="00EA68AE" w:rsidRPr="00E34BAF" w:rsidRDefault="00EA68AE" w:rsidP="00FB4867">
      <w:pPr>
        <w:shd w:val="clear" w:color="auto" w:fill="FFFFFF" w:themeFill="background1"/>
        <w:jc w:val="left"/>
      </w:pPr>
    </w:p>
    <w:p w14:paraId="0FECEFAD" w14:textId="1D81BE26" w:rsidR="00E14937" w:rsidRPr="00E34BAF" w:rsidRDefault="001A3265">
      <w:pPr>
        <w:keepNext/>
        <w:shd w:val="clear" w:color="auto" w:fill="FFFFFF" w:themeFill="background1"/>
        <w:rPr>
          <w:rFonts w:cs="Arial"/>
        </w:rPr>
      </w:pPr>
      <w:r w:rsidRPr="00E34BAF">
        <w:fldChar w:fldCharType="begin"/>
      </w:r>
      <w:r w:rsidRPr="00E34BAF">
        <w:instrText xml:space="preserve"> AUTONUM  </w:instrText>
      </w:r>
      <w:r w:rsidRPr="00E34BAF">
        <w:fldChar w:fldCharType="end"/>
      </w:r>
      <w:r w:rsidRPr="00E34BAF">
        <w:tab/>
        <w:t xml:space="preserve">Le Conseil </w:t>
      </w:r>
      <w:r w:rsidR="00456939">
        <w:t>a pris</w:t>
      </w:r>
      <w:r w:rsidRPr="00E34BAF">
        <w:t xml:space="preserve"> note de </w:t>
      </w:r>
      <w:r w:rsidRPr="00E34BAF">
        <w:rPr>
          <w:rFonts w:cs="Arial"/>
        </w:rPr>
        <w:t xml:space="preserve">la présentation orale faite par le Bureau de l'Union concernant les informations contenues dans les documents </w:t>
      </w:r>
      <w:r w:rsidR="00BA0EB9" w:rsidRPr="00E34BAF">
        <w:rPr>
          <w:rFonts w:cs="Arial"/>
        </w:rPr>
        <w:t xml:space="preserve">C/58/5 </w:t>
      </w:r>
      <w:r w:rsidRPr="00E34BAF">
        <w:rPr>
          <w:rFonts w:cs="Arial"/>
        </w:rPr>
        <w:t xml:space="preserve">"Coopération en matière d'examen" et </w:t>
      </w:r>
      <w:r w:rsidR="00BA0EB9" w:rsidRPr="00E34BAF">
        <w:rPr>
          <w:rFonts w:cs="Arial"/>
        </w:rPr>
        <w:t xml:space="preserve">C/58/6 </w:t>
      </w:r>
      <w:r w:rsidRPr="00E34BAF">
        <w:rPr>
          <w:rFonts w:cs="Arial"/>
        </w:rPr>
        <w:t>"Liste des taxons protégés et statistiques en matière de protection des obtentions végétales"</w:t>
      </w:r>
      <w:r w:rsidR="00456939">
        <w:rPr>
          <w:rFonts w:cs="Arial"/>
        </w:rPr>
        <w:t>,</w:t>
      </w:r>
      <w:r w:rsidRPr="00E34BAF">
        <w:rPr>
          <w:rFonts w:cs="Arial"/>
        </w:rPr>
        <w:t xml:space="preserve"> </w:t>
      </w:r>
      <w:r w:rsidR="00595C98" w:rsidRPr="00E34BAF">
        <w:rPr>
          <w:rFonts w:cs="Arial"/>
        </w:rPr>
        <w:t xml:space="preserve">publiées sur le </w:t>
      </w:r>
      <w:r w:rsidR="003F7E4E" w:rsidRPr="00E34BAF">
        <w:rPr>
          <w:rFonts w:cs="Arial"/>
        </w:rPr>
        <w:t xml:space="preserve">site Web de l'UPOV </w:t>
      </w:r>
      <w:r w:rsidR="0088193C" w:rsidRPr="00E34BAF">
        <w:rPr>
          <w:rFonts w:cs="Arial"/>
        </w:rPr>
        <w:t>(</w:t>
      </w:r>
      <w:r w:rsidR="00595C98" w:rsidRPr="00E34BAF">
        <w:rPr>
          <w:rFonts w:cs="Arial"/>
        </w:rPr>
        <w:t xml:space="preserve">voir le </w:t>
      </w:r>
      <w:r w:rsidR="0088193C" w:rsidRPr="00E34BAF">
        <w:rPr>
          <w:rFonts w:cs="Arial"/>
        </w:rPr>
        <w:t>lien</w:t>
      </w:r>
      <w:r w:rsidR="00EA33D5">
        <w:rPr>
          <w:rFonts w:cs="Arial"/>
        </w:rPr>
        <w:t>:</w:t>
      </w:r>
      <w:r w:rsidR="0088193C" w:rsidRPr="00E34BAF">
        <w:rPr>
          <w:rFonts w:cs="Arial"/>
        </w:rPr>
        <w:t xml:space="preserve"> </w:t>
      </w:r>
      <w:hyperlink r:id="rId14" w:history="1">
        <w:r w:rsidR="003F7E4E" w:rsidRPr="00E34BAF">
          <w:rPr>
            <w:rStyle w:val="Hyperlink"/>
            <w:rFonts w:cs="Arial"/>
          </w:rPr>
          <w:t xml:space="preserve">PVP Data &amp; </w:t>
        </w:r>
        <w:proofErr w:type="spellStart"/>
        <w:r w:rsidR="003F7E4E" w:rsidRPr="00E34BAF">
          <w:rPr>
            <w:rStyle w:val="Hyperlink"/>
            <w:rFonts w:cs="Arial"/>
          </w:rPr>
          <w:t>Statics</w:t>
        </w:r>
        <w:proofErr w:type="spellEnd"/>
      </w:hyperlink>
      <w:r w:rsidR="0088193C" w:rsidRPr="00E34BAF">
        <w:rPr>
          <w:rFonts w:cs="Arial"/>
        </w:rPr>
        <w:t>)</w:t>
      </w:r>
      <w:r w:rsidR="00B95CDD" w:rsidRPr="00E34BAF">
        <w:rPr>
          <w:rFonts w:cs="Arial"/>
        </w:rPr>
        <w:t>.</w:t>
      </w:r>
    </w:p>
    <w:p w14:paraId="0FB37773" w14:textId="77777777" w:rsidR="00D45BE7" w:rsidRPr="00E34BAF" w:rsidRDefault="00D45BE7" w:rsidP="00FB4867">
      <w:pPr>
        <w:shd w:val="clear" w:color="auto" w:fill="FFFFFF" w:themeFill="background1"/>
        <w:jc w:val="left"/>
      </w:pPr>
    </w:p>
    <w:p w14:paraId="72FA21B5" w14:textId="77777777" w:rsidR="005673A4" w:rsidRPr="00E34BAF" w:rsidRDefault="005673A4" w:rsidP="00FB4867">
      <w:pPr>
        <w:shd w:val="clear" w:color="auto" w:fill="FFFFFF" w:themeFill="background1"/>
        <w:jc w:val="left"/>
      </w:pPr>
    </w:p>
    <w:p w14:paraId="00EC2008" w14:textId="77777777" w:rsidR="00E14937" w:rsidRPr="00E34BAF" w:rsidRDefault="00AF3DE0">
      <w:pPr>
        <w:keepNext/>
        <w:shd w:val="clear" w:color="auto" w:fill="FFFFFF" w:themeFill="background1"/>
        <w:rPr>
          <w:u w:val="single"/>
        </w:rPr>
      </w:pPr>
      <w:r w:rsidRPr="00E34BAF">
        <w:rPr>
          <w:u w:val="single"/>
        </w:rPr>
        <w:t>Communiqué de</w:t>
      </w:r>
      <w:r w:rsidR="001A3265" w:rsidRPr="00E34BAF">
        <w:rPr>
          <w:u w:val="single"/>
        </w:rPr>
        <w:t xml:space="preserve"> presse </w:t>
      </w:r>
    </w:p>
    <w:p w14:paraId="7D958F5F" w14:textId="77777777" w:rsidR="00AF3DE0" w:rsidRPr="00E34BAF" w:rsidRDefault="00AF3DE0" w:rsidP="00FB4867">
      <w:pPr>
        <w:keepNext/>
        <w:shd w:val="clear" w:color="auto" w:fill="FFFFFF" w:themeFill="background1"/>
        <w:rPr>
          <w:u w:val="single"/>
        </w:rPr>
      </w:pPr>
    </w:p>
    <w:p w14:paraId="6DAA1FC1" w14:textId="77777777" w:rsidR="00E14937" w:rsidRPr="00E34BAF" w:rsidRDefault="001A3265">
      <w:pPr>
        <w:shd w:val="clear" w:color="auto" w:fill="FFFFFF" w:themeFill="background1"/>
        <w:rPr>
          <w:rFonts w:cs="Arial"/>
        </w:rPr>
      </w:pPr>
      <w:r w:rsidRPr="00E34BAF">
        <w:fldChar w:fldCharType="begin"/>
      </w:r>
      <w:r w:rsidRPr="00E34BAF">
        <w:instrText xml:space="preserve"> AUTONUM  </w:instrText>
      </w:r>
      <w:r w:rsidRPr="00E34BAF">
        <w:fldChar w:fldCharType="end"/>
      </w:r>
      <w:r w:rsidRPr="00E34BAF">
        <w:tab/>
        <w:t xml:space="preserve">Le Conseil </w:t>
      </w:r>
      <w:r w:rsidR="00617D00" w:rsidRPr="00E34BAF">
        <w:t xml:space="preserve">a pris note du </w:t>
      </w:r>
      <w:r w:rsidRPr="00E34BAF">
        <w:t>projet de communiqué de presse, tel qu'il figure dans le document C/58/16</w:t>
      </w:r>
      <w:r w:rsidR="00B95CDD" w:rsidRPr="00E34BAF">
        <w:t>.</w:t>
      </w:r>
    </w:p>
    <w:p w14:paraId="3291183D" w14:textId="77777777" w:rsidR="000742FF" w:rsidRPr="00E34BAF" w:rsidRDefault="000742FF" w:rsidP="00FB4867">
      <w:pPr>
        <w:shd w:val="clear" w:color="auto" w:fill="FFFFFF" w:themeFill="background1"/>
      </w:pPr>
    </w:p>
    <w:p w14:paraId="035BB002" w14:textId="58CC437C" w:rsidR="00E14937" w:rsidRPr="00E34BAF" w:rsidRDefault="001A3265">
      <w:pPr>
        <w:shd w:val="clear" w:color="auto" w:fill="FFFFFF" w:themeFill="background1"/>
      </w:pPr>
      <w:r w:rsidRPr="00E34BAF">
        <w:rPr>
          <w:i/>
        </w:rPr>
        <w:lastRenderedPageBreak/>
        <w:fldChar w:fldCharType="begin"/>
      </w:r>
      <w:r w:rsidRPr="00E34BAF">
        <w:instrText xml:space="preserve"> AUTONUM  </w:instrText>
      </w:r>
      <w:r w:rsidRPr="00E34BAF">
        <w:rPr>
          <w:i/>
        </w:rPr>
        <w:fldChar w:fldCharType="end"/>
      </w:r>
      <w:r w:rsidRPr="00E34BAF">
        <w:tab/>
        <w:t xml:space="preserve">Le Conseil est convenu de mettre fin à la procédure d'adoption de communiqués de presse et d'inviter le Bureau de l'Union à préparer des bulletins d'information rendant compte des faits nouveaux intéressant la </w:t>
      </w:r>
      <w:r w:rsidR="00921947">
        <w:t>protection des variétés végétales</w:t>
      </w:r>
      <w:r w:rsidRPr="00E34BAF">
        <w:t xml:space="preserve"> et l'UPOV.</w:t>
      </w:r>
    </w:p>
    <w:p w14:paraId="6F7BFA04" w14:textId="77777777" w:rsidR="00ED1E19" w:rsidRPr="00E34BAF" w:rsidRDefault="00ED1E19" w:rsidP="00FB4867">
      <w:pPr>
        <w:shd w:val="clear" w:color="auto" w:fill="FFFFFF" w:themeFill="background1"/>
      </w:pPr>
    </w:p>
    <w:p w14:paraId="02335BA0" w14:textId="77777777" w:rsidR="00617D00" w:rsidRPr="00E34BAF" w:rsidRDefault="00617D00" w:rsidP="00FB4867">
      <w:pPr>
        <w:shd w:val="clear" w:color="auto" w:fill="FFFFFF" w:themeFill="background1"/>
      </w:pPr>
    </w:p>
    <w:p w14:paraId="074EB975" w14:textId="6553065D" w:rsidR="00E14937" w:rsidRPr="00E34BAF" w:rsidRDefault="00921947">
      <w:pPr>
        <w:shd w:val="clear" w:color="auto" w:fill="FFFFFF" w:themeFill="background1"/>
        <w:rPr>
          <w:u w:val="single"/>
        </w:rPr>
      </w:pPr>
      <w:r>
        <w:rPr>
          <w:u w:val="single"/>
        </w:rPr>
        <w:t>Départs à la r</w:t>
      </w:r>
      <w:r w:rsidR="001A3265" w:rsidRPr="00E34BAF">
        <w:rPr>
          <w:u w:val="single"/>
        </w:rPr>
        <w:t>etraite</w:t>
      </w:r>
    </w:p>
    <w:p w14:paraId="722D770C" w14:textId="77777777" w:rsidR="00617D00" w:rsidRPr="00E34BAF" w:rsidRDefault="00617D00" w:rsidP="00FB4867">
      <w:pPr>
        <w:shd w:val="clear" w:color="auto" w:fill="FFFFFF" w:themeFill="background1"/>
      </w:pPr>
    </w:p>
    <w:p w14:paraId="553D0B5F" w14:textId="77777777" w:rsidR="00E14937" w:rsidRPr="00E34BAF" w:rsidRDefault="001A3265">
      <w:pPr>
        <w:shd w:val="clear" w:color="auto" w:fill="FFFFFF" w:themeFill="background1"/>
        <w:rPr>
          <w:highlight w:val="yellow"/>
        </w:rPr>
      </w:pPr>
      <w:r w:rsidRPr="00E34BAF">
        <w:fldChar w:fldCharType="begin"/>
      </w:r>
      <w:r w:rsidRPr="00E34BAF">
        <w:instrText xml:space="preserve"> AUTONUM  </w:instrText>
      </w:r>
      <w:r w:rsidRPr="00E34BAF">
        <w:fldChar w:fldCharType="end"/>
      </w:r>
      <w:r w:rsidRPr="00E34BAF">
        <w:tab/>
        <w:t xml:space="preserve">Le président rend compte du fait que </w:t>
      </w:r>
      <w:r w:rsidRPr="00E34BAF">
        <w:rPr>
          <w:bCs/>
        </w:rPr>
        <w:t xml:space="preserve">Mme Janice Cook Robbins, </w:t>
      </w:r>
      <w:r w:rsidRPr="00E34BAF">
        <w:t xml:space="preserve">directrice de la Division des finances, prendra sa retraite avant la prochaine session du Conseil ; il lui adresse ses remerciements, au nom du Conseil de l'UPOV, et lui souhaite une longue et heureuse retraite. </w:t>
      </w:r>
    </w:p>
    <w:p w14:paraId="21EA2E87" w14:textId="77777777" w:rsidR="00E15503" w:rsidRPr="00E34BAF" w:rsidRDefault="00E15503" w:rsidP="00FB4867">
      <w:pPr>
        <w:shd w:val="clear" w:color="auto" w:fill="FFFFFF" w:themeFill="background1"/>
      </w:pPr>
    </w:p>
    <w:p w14:paraId="3007C3EA" w14:textId="77777777" w:rsidR="00E14937" w:rsidRPr="00E34BAF" w:rsidRDefault="001A3265">
      <w:pPr>
        <w:shd w:val="clear" w:color="auto" w:fill="FFFFFF" w:themeFill="background1"/>
        <w:rPr>
          <w:highlight w:val="yellow"/>
        </w:rPr>
      </w:pPr>
      <w:r w:rsidRPr="00E34BAF">
        <w:fldChar w:fldCharType="begin"/>
      </w:r>
      <w:r w:rsidRPr="00E34BAF">
        <w:instrText xml:space="preserve"> AUTONUM  </w:instrText>
      </w:r>
      <w:r w:rsidRPr="00E34BAF">
        <w:fldChar w:fldCharType="end"/>
      </w:r>
      <w:r w:rsidRPr="00E34BAF">
        <w:tab/>
        <w:t xml:space="preserve">Le président rend également compte du fait que Mme </w:t>
      </w:r>
      <w:proofErr w:type="spellStart"/>
      <w:r w:rsidRPr="00E34BAF">
        <w:t>Päivi</w:t>
      </w:r>
      <w:proofErr w:type="spellEnd"/>
      <w:r w:rsidRPr="00E34BAF">
        <w:t xml:space="preserve"> </w:t>
      </w:r>
      <w:proofErr w:type="spellStart"/>
      <w:r w:rsidRPr="00E34BAF">
        <w:t>Mannerkorpi</w:t>
      </w:r>
      <w:proofErr w:type="spellEnd"/>
      <w:r w:rsidRPr="00E34BAF">
        <w:t xml:space="preserve"> et M. Dirk </w:t>
      </w:r>
      <w:proofErr w:type="spellStart"/>
      <w:r w:rsidRPr="00E34BAF">
        <w:t>Theobald</w:t>
      </w:r>
      <w:proofErr w:type="spellEnd"/>
      <w:r w:rsidRPr="00E34BAF">
        <w:t xml:space="preserve">, délégués de l'Union européenne, prendront leur retraite avant la prochaine session du Conseil.  Le président remercie Mme </w:t>
      </w:r>
      <w:proofErr w:type="spellStart"/>
      <w:r w:rsidRPr="00E34BAF">
        <w:t>Mannerkorpi</w:t>
      </w:r>
      <w:proofErr w:type="spellEnd"/>
      <w:r w:rsidRPr="00E34BAF">
        <w:t xml:space="preserve"> et M. </w:t>
      </w:r>
      <w:proofErr w:type="spellStart"/>
      <w:r w:rsidRPr="00E34BAF">
        <w:t>Theobald</w:t>
      </w:r>
      <w:proofErr w:type="spellEnd"/>
      <w:r w:rsidRPr="00E34BAF">
        <w:t>, au nom du Conseil, pour leur contribution aux travaux de l'UPOV et leur souhaite une longue et heureuse retraite.</w:t>
      </w:r>
    </w:p>
    <w:p w14:paraId="34F3BDCD" w14:textId="77777777" w:rsidR="00050E16" w:rsidRPr="00E34BAF" w:rsidRDefault="00050E16" w:rsidP="00FB4867">
      <w:pPr>
        <w:shd w:val="clear" w:color="auto" w:fill="FFFFFF" w:themeFill="background1"/>
      </w:pPr>
    </w:p>
    <w:p w14:paraId="05C53A7E" w14:textId="77777777"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Le président rend compte du fait que Mme Ariane Besse prendra sa retraite en mai 2025, après 30 ans de bons et loyaux services à l'UPOV ; il lui adresse ses remerciements, au nom du Conseil de l'UPOV, et lui souhaite une longue et heureuse retraite.</w:t>
      </w:r>
    </w:p>
    <w:p w14:paraId="7A619F27" w14:textId="77777777" w:rsidR="00EA3576" w:rsidRPr="00E34BAF" w:rsidRDefault="00EA3576" w:rsidP="00FB4867">
      <w:pPr>
        <w:shd w:val="clear" w:color="auto" w:fill="FFFFFF" w:themeFill="background1"/>
      </w:pPr>
    </w:p>
    <w:p w14:paraId="0E23A1E4" w14:textId="02BB72FC" w:rsidR="00E14937" w:rsidRPr="00E34BAF" w:rsidRDefault="001A3265">
      <w:pPr>
        <w:shd w:val="clear" w:color="auto" w:fill="FFFFFF" w:themeFill="background1"/>
      </w:pPr>
      <w:r w:rsidRPr="00E34BAF">
        <w:fldChar w:fldCharType="begin"/>
      </w:r>
      <w:r w:rsidRPr="00E34BAF">
        <w:instrText xml:space="preserve"> AUTONUM  </w:instrText>
      </w:r>
      <w:r w:rsidRPr="00E34BAF">
        <w:fldChar w:fldCharType="end"/>
      </w:r>
      <w:r w:rsidRPr="00E34BAF">
        <w:tab/>
        <w:t xml:space="preserve">Le </w:t>
      </w:r>
      <w:r w:rsidR="00921947" w:rsidRPr="00E34BAF">
        <w:t xml:space="preserve">Secrétaire </w:t>
      </w:r>
      <w:r w:rsidRPr="00E34BAF">
        <w:t xml:space="preserve">général remet une médaille d'or de l'UPOV à Mme Ariane Besse et </w:t>
      </w:r>
      <w:r w:rsidR="00921947">
        <w:t xml:space="preserve">la </w:t>
      </w:r>
      <w:r w:rsidR="00921947" w:rsidRPr="00E34BAF">
        <w:t xml:space="preserve">Secrétaire </w:t>
      </w:r>
      <w:r w:rsidRPr="00E34BAF">
        <w:t>général</w:t>
      </w:r>
      <w:r w:rsidR="00921947">
        <w:t>e</w:t>
      </w:r>
      <w:r w:rsidRPr="00E34BAF">
        <w:t xml:space="preserve"> adjoint</w:t>
      </w:r>
      <w:r w:rsidR="00921947">
        <w:t>e</w:t>
      </w:r>
      <w:r w:rsidRPr="00E34BAF">
        <w:t xml:space="preserve"> exprime sa gratitude pour la contribution et l'engagement d'Ariane dans les travaux de l'UPOV.</w:t>
      </w:r>
    </w:p>
    <w:p w14:paraId="08067216" w14:textId="77777777" w:rsidR="00EA3576" w:rsidRPr="00E34BAF" w:rsidRDefault="00EA3576" w:rsidP="00FB4867">
      <w:pPr>
        <w:shd w:val="clear" w:color="auto" w:fill="FFFFFF" w:themeFill="background1"/>
      </w:pPr>
    </w:p>
    <w:p w14:paraId="7A5369B1" w14:textId="77777777" w:rsidR="005673A4" w:rsidRPr="00E34BAF" w:rsidRDefault="005673A4" w:rsidP="00FB4867">
      <w:pPr>
        <w:shd w:val="clear" w:color="auto" w:fill="FFFFFF" w:themeFill="background1"/>
      </w:pPr>
    </w:p>
    <w:p w14:paraId="6D0A91E0" w14:textId="77777777" w:rsidR="005673A4" w:rsidRPr="00E34BAF" w:rsidRDefault="005673A4" w:rsidP="00FB4867">
      <w:pPr>
        <w:shd w:val="clear" w:color="auto" w:fill="FFFFFF" w:themeFill="background1"/>
      </w:pPr>
    </w:p>
    <w:p w14:paraId="498B31D7" w14:textId="77777777" w:rsidR="00E14937" w:rsidRPr="00E34BAF" w:rsidRDefault="001A3265">
      <w:pPr>
        <w:shd w:val="clear" w:color="auto" w:fill="FFFFFF" w:themeFill="background1"/>
        <w:jc w:val="right"/>
      </w:pPr>
      <w:r w:rsidRPr="00E34BAF">
        <w:t>[</w:t>
      </w:r>
      <w:r w:rsidR="0090403B" w:rsidRPr="00E34BAF">
        <w:t>Les annexes suivent</w:t>
      </w:r>
      <w:r w:rsidRPr="00E34BAF">
        <w:t>]</w:t>
      </w:r>
    </w:p>
    <w:p w14:paraId="7C03DB7F" w14:textId="77777777" w:rsidR="0004552A" w:rsidRPr="00E34BAF" w:rsidRDefault="0004552A" w:rsidP="005673A4">
      <w:pPr>
        <w:shd w:val="clear" w:color="auto" w:fill="FFFFFF" w:themeFill="background1"/>
        <w:ind w:right="100"/>
        <w:jc w:val="right"/>
        <w:sectPr w:rsidR="0004552A" w:rsidRPr="00E34BAF" w:rsidSect="00906DDC">
          <w:headerReference w:type="default" r:id="rId15"/>
          <w:pgSz w:w="11907" w:h="16840" w:code="9"/>
          <w:pgMar w:top="510" w:right="1134" w:bottom="1134" w:left="1134" w:header="510" w:footer="680" w:gutter="0"/>
          <w:cols w:space="720"/>
          <w:titlePg/>
        </w:sectPr>
      </w:pPr>
    </w:p>
    <w:p w14:paraId="3B088189" w14:textId="77777777" w:rsidR="0023431C" w:rsidRPr="00E34BAF" w:rsidRDefault="0023431C" w:rsidP="00FB4867">
      <w:pPr>
        <w:shd w:val="clear" w:color="auto" w:fill="FFFFFF" w:themeFill="background1"/>
        <w:jc w:val="left"/>
      </w:pPr>
    </w:p>
    <w:p w14:paraId="4A2D3D00" w14:textId="2E4BE9DC" w:rsidR="0004552A" w:rsidRPr="00E34BAF" w:rsidRDefault="001A3265" w:rsidP="00B74E2C">
      <w:pPr>
        <w:shd w:val="clear" w:color="auto" w:fill="FFFFFF" w:themeFill="background1"/>
        <w:jc w:val="center"/>
      </w:pPr>
      <w:r w:rsidRPr="00E34BAF">
        <w:t xml:space="preserve">REMARQUES LIMINAIRES DE M. DAREN TANG, SECRÉTAIRE GÉNÉRAL, </w:t>
      </w:r>
      <w:r w:rsidR="00B74E2C">
        <w:br/>
      </w:r>
      <w:r w:rsidRPr="00E34BAF">
        <w:t xml:space="preserve">LORS DE LA CINQUANTE-HUITIÈME SESSION ORDINAIRE DU CONSEIL </w:t>
      </w:r>
    </w:p>
    <w:p w14:paraId="4489FD4B" w14:textId="77777777" w:rsidR="0004552A" w:rsidRDefault="0004552A" w:rsidP="00FB4867">
      <w:pPr>
        <w:shd w:val="clear" w:color="auto" w:fill="FFFFFF" w:themeFill="background1"/>
        <w:jc w:val="left"/>
      </w:pPr>
    </w:p>
    <w:p w14:paraId="01AADD14" w14:textId="77777777" w:rsidR="00B74E2C" w:rsidRPr="00E34BAF" w:rsidRDefault="00B74E2C" w:rsidP="00FB4867">
      <w:pPr>
        <w:shd w:val="clear" w:color="auto" w:fill="FFFFFF" w:themeFill="background1"/>
        <w:jc w:val="left"/>
      </w:pPr>
    </w:p>
    <w:p w14:paraId="7CC70D58" w14:textId="1BFE152C" w:rsidR="00E14937" w:rsidRPr="00E34BAF" w:rsidRDefault="00B74E2C">
      <w:pPr>
        <w:shd w:val="clear" w:color="auto" w:fill="FFFFFF" w:themeFill="background1"/>
        <w:jc w:val="left"/>
      </w:pPr>
      <w:r>
        <w:t>P</w:t>
      </w:r>
      <w:r w:rsidR="001A3265" w:rsidRPr="00E34BAF">
        <w:t xml:space="preserve">résident </w:t>
      </w:r>
      <w:proofErr w:type="spellStart"/>
      <w:r w:rsidR="001A3265" w:rsidRPr="00E34BAF">
        <w:t>Yehan</w:t>
      </w:r>
      <w:proofErr w:type="spellEnd"/>
      <w:r w:rsidR="001A3265" w:rsidRPr="00E34BAF">
        <w:t xml:space="preserve"> Cui,</w:t>
      </w:r>
    </w:p>
    <w:p w14:paraId="7B57E6C5" w14:textId="77777777" w:rsidR="00E14937" w:rsidRPr="00E34BAF" w:rsidRDefault="001A3265">
      <w:pPr>
        <w:shd w:val="clear" w:color="auto" w:fill="FFFFFF" w:themeFill="background1"/>
        <w:jc w:val="left"/>
      </w:pPr>
      <w:r w:rsidRPr="00E34BAF">
        <w:t>Excellences,</w:t>
      </w:r>
    </w:p>
    <w:p w14:paraId="763D12DE" w14:textId="77777777" w:rsidR="00E14937" w:rsidRPr="00E34BAF" w:rsidRDefault="001A3265">
      <w:pPr>
        <w:shd w:val="clear" w:color="auto" w:fill="FFFFFF" w:themeFill="background1"/>
        <w:jc w:val="left"/>
      </w:pPr>
      <w:r w:rsidRPr="00E34BAF">
        <w:t>Mesdames et Messieurs les délégués,</w:t>
      </w:r>
    </w:p>
    <w:p w14:paraId="2009BFDE" w14:textId="77777777" w:rsidR="00A74B12" w:rsidRPr="00E34BAF" w:rsidRDefault="00A74B12" w:rsidP="00FB4867">
      <w:pPr>
        <w:shd w:val="clear" w:color="auto" w:fill="FFFFFF" w:themeFill="background1"/>
        <w:jc w:val="left"/>
      </w:pPr>
    </w:p>
    <w:p w14:paraId="31126CCF" w14:textId="77777777" w:rsidR="00E14937" w:rsidRPr="00E34BAF" w:rsidRDefault="001A3265">
      <w:pPr>
        <w:shd w:val="clear" w:color="auto" w:fill="FFFFFF" w:themeFill="background1"/>
        <w:jc w:val="left"/>
      </w:pPr>
      <w:r w:rsidRPr="00E34BAF">
        <w:t>2023 a été l'année la plus chaude jamais enregistrée. Les niveaux de gaz à effet de serre ont atteint de nouveaux sommets. La chaleur des océans a battu de nouveaux records, le niveau des mers a continué à augmenter et les glaciers ont continué à reculer.</w:t>
      </w:r>
    </w:p>
    <w:p w14:paraId="2AE50DC7" w14:textId="77777777" w:rsidR="00E14937" w:rsidRPr="00E34BAF" w:rsidRDefault="001A3265">
      <w:pPr>
        <w:shd w:val="clear" w:color="auto" w:fill="FFFFFF" w:themeFill="background1"/>
        <w:jc w:val="left"/>
      </w:pPr>
      <w:r w:rsidRPr="00E34BAF">
        <w:t>Dans le même temps, plus de 860 millions de personnes souffrent d'une grave insécurité alimentaire. En Afrique, près de 60 % de la population est en situation d'insécurité alimentaire modérée ou grave.</w:t>
      </w:r>
    </w:p>
    <w:p w14:paraId="304E5732" w14:textId="77777777" w:rsidR="00E14937" w:rsidRPr="00E34BAF" w:rsidRDefault="001A3265">
      <w:pPr>
        <w:shd w:val="clear" w:color="auto" w:fill="FFFFFF" w:themeFill="background1"/>
        <w:jc w:val="left"/>
      </w:pPr>
      <w:r w:rsidRPr="00E34BAF">
        <w:t xml:space="preserve">Nous vivons une période troublée, mais l'heure n'est pas au désespoir. Nous devons au contraire nous retrousser les manches pour soutenir l'innovation agricole afin que l'ingéniosité, l'invention et le dynamisme de l'homme puissent nous aider à relever nos nombreux défis. </w:t>
      </w:r>
    </w:p>
    <w:p w14:paraId="4873F314" w14:textId="77777777" w:rsidR="00E14937" w:rsidRPr="00E34BAF" w:rsidRDefault="001A3265">
      <w:pPr>
        <w:shd w:val="clear" w:color="auto" w:fill="FFFFFF" w:themeFill="background1"/>
        <w:jc w:val="left"/>
      </w:pPr>
      <w:r w:rsidRPr="00E34BAF">
        <w:t xml:space="preserve">Il y a déjà des raisons d'être optimiste. </w:t>
      </w:r>
    </w:p>
    <w:p w14:paraId="23411EE8" w14:textId="77777777" w:rsidR="00E14937" w:rsidRPr="00E34BAF" w:rsidRDefault="001A3265">
      <w:pPr>
        <w:shd w:val="clear" w:color="auto" w:fill="FFFFFF" w:themeFill="background1"/>
        <w:jc w:val="left"/>
      </w:pPr>
      <w:r w:rsidRPr="00E34BAF">
        <w:t xml:space="preserve">Une enquête récente menée auprès d'experts du secteur des semences a révélé que 9 personnes sur 10 pensent que nous continuerons à développer des cultures plus résistantes et plus productives. </w:t>
      </w:r>
    </w:p>
    <w:p w14:paraId="144B7F8D" w14:textId="77777777" w:rsidR="00A74B12" w:rsidRPr="00E34BAF" w:rsidRDefault="00A74B12" w:rsidP="00FB4867">
      <w:pPr>
        <w:shd w:val="clear" w:color="auto" w:fill="FFFFFF" w:themeFill="background1"/>
        <w:jc w:val="left"/>
      </w:pPr>
    </w:p>
    <w:p w14:paraId="2F6912D3" w14:textId="77777777" w:rsidR="00E14937" w:rsidRPr="00E34BAF" w:rsidRDefault="001A3265">
      <w:pPr>
        <w:shd w:val="clear" w:color="auto" w:fill="FFFFFF" w:themeFill="background1"/>
        <w:jc w:val="left"/>
      </w:pPr>
      <w:r w:rsidRPr="00E34BAF">
        <w:t>À plus grande échelle, selon le dernier Compte rendu mondial de la propriété intellectuelle de l'OMPI, les demandes de propriété intellectuelle liées à l'innovation agricole ont bondi de 36 000 en 2008 à 136 000 en 2021.</w:t>
      </w:r>
    </w:p>
    <w:p w14:paraId="6D03F0E1" w14:textId="77777777" w:rsidR="00A74B12" w:rsidRPr="00E34BAF" w:rsidRDefault="00A74B12" w:rsidP="00FB4867">
      <w:pPr>
        <w:shd w:val="clear" w:color="auto" w:fill="FFFFFF" w:themeFill="background1"/>
        <w:jc w:val="left"/>
      </w:pPr>
    </w:p>
    <w:p w14:paraId="4B3CEBD6" w14:textId="3AA72DCF" w:rsidR="00E14937" w:rsidRPr="00E34BAF" w:rsidRDefault="001A3265">
      <w:pPr>
        <w:shd w:val="clear" w:color="auto" w:fill="FFFFFF" w:themeFill="background1"/>
        <w:jc w:val="left"/>
      </w:pPr>
      <w:r w:rsidRPr="00E34BAF">
        <w:t xml:space="preserve">Plus près de nous, nous constatons une augmentation similaire des </w:t>
      </w:r>
      <w:r w:rsidR="00B74E2C">
        <w:t>demandes</w:t>
      </w:r>
      <w:r w:rsidRPr="00E34BAF">
        <w:t xml:space="preserve"> de </w:t>
      </w:r>
      <w:r w:rsidR="00B74E2C">
        <w:t>protection d’obtentions végétales (POV)</w:t>
      </w:r>
      <w:r w:rsidRPr="00E34BAF">
        <w:t xml:space="preserve">. </w:t>
      </w:r>
    </w:p>
    <w:p w14:paraId="7B305392" w14:textId="77777777" w:rsidR="00A74B12" w:rsidRPr="00E34BAF" w:rsidRDefault="00A74B12" w:rsidP="00FB4867">
      <w:pPr>
        <w:shd w:val="clear" w:color="auto" w:fill="FFFFFF" w:themeFill="background1"/>
        <w:jc w:val="left"/>
      </w:pPr>
    </w:p>
    <w:p w14:paraId="0802F849" w14:textId="5EDCE127" w:rsidR="00E14937" w:rsidRPr="00E34BAF" w:rsidRDefault="001A3265">
      <w:pPr>
        <w:shd w:val="clear" w:color="auto" w:fill="FFFFFF" w:themeFill="background1"/>
        <w:jc w:val="left"/>
      </w:pPr>
      <w:r w:rsidRPr="00E34BAF">
        <w:t xml:space="preserve">Les </w:t>
      </w:r>
      <w:r w:rsidR="00B74E2C">
        <w:t xml:space="preserve">demandes </w:t>
      </w:r>
      <w:r w:rsidRPr="00E34BAF">
        <w:t xml:space="preserve">ont augmenté de 80 % au cours des huit dernières années, avec près de 200 000 titres en vigueur. Les </w:t>
      </w:r>
      <w:r w:rsidR="00B74E2C">
        <w:t xml:space="preserve">demandes </w:t>
      </w:r>
      <w:r w:rsidRPr="00E34BAF">
        <w:t xml:space="preserve">ont augmenté de 7 % l'année dernière, avec près de 29 000 </w:t>
      </w:r>
      <w:r w:rsidR="00B74E2C">
        <w:t xml:space="preserve">demandes </w:t>
      </w:r>
      <w:r w:rsidRPr="00E34BAF">
        <w:t>enregistré</w:t>
      </w:r>
      <w:r w:rsidR="00B74E2C">
        <w:t>e</w:t>
      </w:r>
      <w:r w:rsidRPr="00E34BAF">
        <w:t>s. Il s'agit du taux de croissance le plus élevé de tou</w:t>
      </w:r>
      <w:r w:rsidR="00B74E2C">
        <w:t>te</w:t>
      </w:r>
      <w:r w:rsidRPr="00E34BAF">
        <w:t xml:space="preserve">s les </w:t>
      </w:r>
      <w:r w:rsidR="00B74E2C">
        <w:t xml:space="preserve">demandes </w:t>
      </w:r>
      <w:r w:rsidRPr="00E34BAF">
        <w:t xml:space="preserve">de titres de propriété intellectuelle. </w:t>
      </w:r>
    </w:p>
    <w:p w14:paraId="74FBBFE3" w14:textId="77777777" w:rsidR="00A74B12" w:rsidRPr="00E34BAF" w:rsidRDefault="00A74B12" w:rsidP="00FB4867">
      <w:pPr>
        <w:shd w:val="clear" w:color="auto" w:fill="FFFFFF" w:themeFill="background1"/>
        <w:jc w:val="left"/>
      </w:pPr>
    </w:p>
    <w:p w14:paraId="78FD7095" w14:textId="1D00E907" w:rsidR="00E14937" w:rsidRPr="00E34BAF" w:rsidRDefault="001A3265">
      <w:pPr>
        <w:shd w:val="clear" w:color="auto" w:fill="FFFFFF" w:themeFill="background1"/>
        <w:jc w:val="left"/>
      </w:pPr>
      <w:r w:rsidRPr="00E34BAF">
        <w:t xml:space="preserve">La Chine reste le moteur le plus important, avec une nouvelle hausse de 25 % des </w:t>
      </w:r>
      <w:r w:rsidR="00B74E2C">
        <w:t xml:space="preserve">demandes </w:t>
      </w:r>
      <w:r w:rsidRPr="00E34BAF">
        <w:t>l'année dernière. Mais ce n'est pas le seul moteur de croissance. Des économies aussi diverses que le Kenya, la République de Corée, le Nicaragua, les Pays-Bas, la Pologne, l'Afrique du Sud et le Viet Nam ont également connu une croissance à deux chiffres l'année dernière.</w:t>
      </w:r>
    </w:p>
    <w:p w14:paraId="2DD4ED8E" w14:textId="77777777" w:rsidR="00A74B12" w:rsidRPr="00E34BAF" w:rsidRDefault="00A74B12" w:rsidP="00FB4867">
      <w:pPr>
        <w:shd w:val="clear" w:color="auto" w:fill="FFFFFF" w:themeFill="background1"/>
        <w:jc w:val="left"/>
      </w:pPr>
    </w:p>
    <w:p w14:paraId="5CAA29F0" w14:textId="06B0EA8C" w:rsidR="00E14937" w:rsidRPr="00E34BAF" w:rsidRDefault="001A3265">
      <w:pPr>
        <w:shd w:val="clear" w:color="auto" w:fill="FFFFFF" w:themeFill="background1"/>
        <w:jc w:val="left"/>
      </w:pPr>
      <w:r w:rsidRPr="00E34BAF">
        <w:t xml:space="preserve">Ces développements montrent que de plus en plus </w:t>
      </w:r>
      <w:r w:rsidR="00B74E2C">
        <w:t xml:space="preserve">d’obtenteurs </w:t>
      </w:r>
      <w:r w:rsidRPr="00E34BAF">
        <w:t>- de toutes tailles et de tous lieux - se tournent vers la P</w:t>
      </w:r>
      <w:r w:rsidR="00B74E2C">
        <w:t>O</w:t>
      </w:r>
      <w:r w:rsidRPr="00E34BAF">
        <w:t>V pour débloquer l'innovation, stimuler la productivité et soutenir le progrès économique et social.</w:t>
      </w:r>
    </w:p>
    <w:p w14:paraId="0717D5BA" w14:textId="77777777" w:rsidR="00A74B12" w:rsidRPr="00E34BAF" w:rsidRDefault="00A74B12" w:rsidP="00FB4867">
      <w:pPr>
        <w:shd w:val="clear" w:color="auto" w:fill="FFFFFF" w:themeFill="background1"/>
        <w:jc w:val="left"/>
      </w:pPr>
    </w:p>
    <w:p w14:paraId="386EE583" w14:textId="77777777" w:rsidR="00E14937" w:rsidRPr="00E34BAF" w:rsidRDefault="001A3265">
      <w:pPr>
        <w:shd w:val="clear" w:color="auto" w:fill="FFFFFF" w:themeFill="background1"/>
        <w:jc w:val="left"/>
      </w:pPr>
      <w:r w:rsidRPr="00E34BAF">
        <w:t xml:space="preserve">Aujourd'hui, je tiens à souligner comment l'UPOV, sous sa nouvelle direction, défend un système de protection des obtentions végétales qui favorise l'innovation, stimule l'investissement et soutient un avenir plus durable. </w:t>
      </w:r>
    </w:p>
    <w:p w14:paraId="11679B20" w14:textId="77777777" w:rsidR="00A74B12" w:rsidRPr="00E34BAF" w:rsidRDefault="00A74B12" w:rsidP="00FB4867">
      <w:pPr>
        <w:shd w:val="clear" w:color="auto" w:fill="FFFFFF" w:themeFill="background1"/>
        <w:jc w:val="left"/>
      </w:pPr>
    </w:p>
    <w:p w14:paraId="4EB6C782" w14:textId="77777777" w:rsidR="00E14937" w:rsidRPr="00E34BAF" w:rsidRDefault="001A3265">
      <w:pPr>
        <w:shd w:val="clear" w:color="auto" w:fill="FFFFFF" w:themeFill="background1"/>
        <w:jc w:val="left"/>
      </w:pPr>
      <w:r w:rsidRPr="00E34BAF">
        <w:t xml:space="preserve">Je me concentrerai sur les trois piliers du plan d'activité stratégique de l'UPOV - l'union des parties prenantes, la sensibilisation et l'assistance, et la prestation de services.  </w:t>
      </w:r>
    </w:p>
    <w:p w14:paraId="5510987F" w14:textId="77777777" w:rsidR="00A74B12" w:rsidRPr="00E34BAF" w:rsidRDefault="00A74B12" w:rsidP="00FB4867">
      <w:pPr>
        <w:shd w:val="clear" w:color="auto" w:fill="FFFFFF" w:themeFill="background1"/>
        <w:jc w:val="left"/>
      </w:pPr>
    </w:p>
    <w:p w14:paraId="78B72AE8" w14:textId="77777777" w:rsidR="00E14937" w:rsidRPr="00E34BAF" w:rsidRDefault="001A3265">
      <w:pPr>
        <w:shd w:val="clear" w:color="auto" w:fill="FFFFFF" w:themeFill="background1"/>
        <w:jc w:val="left"/>
      </w:pPr>
      <w:r w:rsidRPr="00E34BAF">
        <w:t>***</w:t>
      </w:r>
    </w:p>
    <w:p w14:paraId="25F60044" w14:textId="77777777" w:rsidR="00A74B12" w:rsidRPr="00E34BAF" w:rsidRDefault="00A74B12" w:rsidP="00FB4867">
      <w:pPr>
        <w:shd w:val="clear" w:color="auto" w:fill="FFFFFF" w:themeFill="background1"/>
        <w:jc w:val="left"/>
      </w:pPr>
    </w:p>
    <w:p w14:paraId="6974FF73" w14:textId="77777777" w:rsidR="00E14937" w:rsidRPr="00E34BAF" w:rsidRDefault="001A3265">
      <w:pPr>
        <w:shd w:val="clear" w:color="auto" w:fill="FFFFFF" w:themeFill="background1"/>
        <w:jc w:val="left"/>
      </w:pPr>
      <w:r w:rsidRPr="00E34BAF">
        <w:t>Le premier pilier met en évidence le rôle de l'UPOV en tant que rassembleur des membres et des parties prenantes - des efforts qui gagnent en importance à mesure que l'utilisation du système UPOV se répand dans le monde. Nous avons récemment accueilli l'Arménie en tant que 79ème membre de l'UPOV et nous avons aujourd'hui des points importants à l'ordre du jour concernant les procédures d'adhésion de la République démocratique populaire lao et des Émirats arabes unis.</w:t>
      </w:r>
    </w:p>
    <w:p w14:paraId="4878DB4F" w14:textId="19722A1B" w:rsidR="00E14937" w:rsidRPr="00E34BAF" w:rsidRDefault="001A3265">
      <w:pPr>
        <w:shd w:val="clear" w:color="auto" w:fill="FFFFFF" w:themeFill="background1"/>
        <w:jc w:val="left"/>
      </w:pPr>
      <w:r w:rsidRPr="00E34BAF">
        <w:t xml:space="preserve">Avec l'augmentation du nombre de membres et de </w:t>
      </w:r>
      <w:r w:rsidR="00B74E2C">
        <w:t>demandes</w:t>
      </w:r>
      <w:r w:rsidRPr="00E34BAF">
        <w:t xml:space="preserve">, l'importance du travail de ce Conseil, de nos comités et de nos groupes de travail ne fera que croître. </w:t>
      </w:r>
    </w:p>
    <w:p w14:paraId="5F823B31" w14:textId="77777777" w:rsidR="00A74B12" w:rsidRPr="00E34BAF" w:rsidRDefault="00A74B12" w:rsidP="00FB4867">
      <w:pPr>
        <w:shd w:val="clear" w:color="auto" w:fill="FFFFFF" w:themeFill="background1"/>
        <w:jc w:val="left"/>
      </w:pPr>
    </w:p>
    <w:p w14:paraId="2225AA4F" w14:textId="77777777" w:rsidR="00E14937" w:rsidRPr="00E34BAF" w:rsidRDefault="001A3265">
      <w:pPr>
        <w:shd w:val="clear" w:color="auto" w:fill="FFFFFF" w:themeFill="background1"/>
        <w:jc w:val="left"/>
      </w:pPr>
      <w:r w:rsidRPr="00E34BAF">
        <w:t xml:space="preserve">Les travaux de l'UPOV doivent également être replacés dans leur contexte international plus large, et notamment dans leur lien étroit avec les objectifs de développement mondiaux. </w:t>
      </w:r>
    </w:p>
    <w:p w14:paraId="1A035492" w14:textId="77777777" w:rsidR="00E14937" w:rsidRPr="00E34BAF" w:rsidRDefault="001A3265">
      <w:pPr>
        <w:shd w:val="clear" w:color="auto" w:fill="FFFFFF" w:themeFill="background1"/>
        <w:jc w:val="left"/>
      </w:pPr>
      <w:r w:rsidRPr="00E34BAF">
        <w:lastRenderedPageBreak/>
        <w:t xml:space="preserve">L'agriculture étant concernée par les 17 objectifs de développement durable, à l'exception de deux d'entre eux, le travail de l'UPOV est un catalyseur horizontal des objectifs de développement durable et permet de relever les défis mondiaux communs tels que la faim, le changement climatique et le développement durable.  </w:t>
      </w:r>
    </w:p>
    <w:p w14:paraId="0CD01D8A" w14:textId="77777777" w:rsidR="00A74B12" w:rsidRPr="00E34BAF" w:rsidRDefault="00A74B12" w:rsidP="00FB4867">
      <w:pPr>
        <w:shd w:val="clear" w:color="auto" w:fill="FFFFFF" w:themeFill="background1"/>
        <w:jc w:val="left"/>
      </w:pPr>
    </w:p>
    <w:p w14:paraId="2709E8F6" w14:textId="77777777" w:rsidR="00E14937" w:rsidRPr="00E34BAF" w:rsidRDefault="001A3265">
      <w:pPr>
        <w:shd w:val="clear" w:color="auto" w:fill="FFFFFF" w:themeFill="background1"/>
        <w:jc w:val="left"/>
      </w:pPr>
      <w:r w:rsidRPr="00E34BAF">
        <w:t xml:space="preserve">Pour concrétiser cela, nous devons intensifier nos travaux avec d'autres agences et parties prenantes, en travaillant de manière multipartite et inclusive. </w:t>
      </w:r>
    </w:p>
    <w:p w14:paraId="423AF730" w14:textId="77777777" w:rsidR="00E14937" w:rsidRPr="00E34BAF" w:rsidRDefault="001A3265">
      <w:pPr>
        <w:shd w:val="clear" w:color="auto" w:fill="FFFFFF" w:themeFill="background1"/>
        <w:jc w:val="left"/>
      </w:pPr>
      <w:r w:rsidRPr="00E34BAF">
        <w:t xml:space="preserve">Cette semaine, nous avons entendu parler de l'importance de fournir aux agriculteurs des variétés résistantes aux maladies, ainsi que de la nécessité pour l'UPOV - et ses membres - de renforcer la coopération internationale en matière d'innovation dans ce domaine. </w:t>
      </w:r>
    </w:p>
    <w:p w14:paraId="6B29D3C3" w14:textId="77777777" w:rsidR="00A74B12" w:rsidRPr="00E34BAF" w:rsidRDefault="00A74B12" w:rsidP="00FB4867">
      <w:pPr>
        <w:shd w:val="clear" w:color="auto" w:fill="FFFFFF" w:themeFill="background1"/>
        <w:jc w:val="left"/>
      </w:pPr>
    </w:p>
    <w:p w14:paraId="3EADCC30" w14:textId="77777777" w:rsidR="00E14937" w:rsidRPr="00E34BAF" w:rsidRDefault="001A3265">
      <w:pPr>
        <w:shd w:val="clear" w:color="auto" w:fill="FFFFFF" w:themeFill="background1"/>
        <w:jc w:val="left"/>
      </w:pPr>
      <w:r w:rsidRPr="00E34BAF">
        <w:t xml:space="preserve">Avec l'émergence de nouvelles technologies, il est également important que nous les exploitions pour le bien du monde. Nous avons également entendu parler de l'importance de l'analyse d'images, de la saisie automatisée de données et des technologies de pointe, y compris l'intelligence artificielle, dans l'évaluation des variétés végétales.  </w:t>
      </w:r>
    </w:p>
    <w:p w14:paraId="2C7F1A17" w14:textId="77777777" w:rsidR="00A74B12" w:rsidRPr="00E34BAF" w:rsidRDefault="00A74B12" w:rsidP="00FB4867">
      <w:pPr>
        <w:shd w:val="clear" w:color="auto" w:fill="FFFFFF" w:themeFill="background1"/>
        <w:jc w:val="left"/>
      </w:pPr>
    </w:p>
    <w:p w14:paraId="2318B73A" w14:textId="77777777" w:rsidR="00E14937" w:rsidRPr="00E34BAF" w:rsidRDefault="001A3265">
      <w:pPr>
        <w:shd w:val="clear" w:color="auto" w:fill="FFFFFF" w:themeFill="background1"/>
        <w:jc w:val="left"/>
      </w:pPr>
      <w:r w:rsidRPr="00E34BAF">
        <w:t>Il est essentiel que l'UPOV continue à devancer ces tendances. L'initiative d'analyse de l'horizon convenue par le Comité consultatif aidera à orienter ces efforts et à déterminer comment l'UPOV devrait évoluer pour soutenir les progrès continus dans le domaine de la sélection végétale.</w:t>
      </w:r>
    </w:p>
    <w:p w14:paraId="063A01DE" w14:textId="77777777" w:rsidR="00A74B12" w:rsidRPr="00E34BAF" w:rsidRDefault="00A74B12" w:rsidP="00FB4867">
      <w:pPr>
        <w:shd w:val="clear" w:color="auto" w:fill="FFFFFF" w:themeFill="background1"/>
        <w:jc w:val="left"/>
      </w:pPr>
    </w:p>
    <w:p w14:paraId="7A66544C" w14:textId="77777777" w:rsidR="00E14937" w:rsidRPr="00E34BAF" w:rsidRDefault="001A3265">
      <w:pPr>
        <w:shd w:val="clear" w:color="auto" w:fill="FFFFFF" w:themeFill="background1"/>
        <w:jc w:val="left"/>
      </w:pPr>
      <w:r w:rsidRPr="00E34BAF">
        <w:t>***</w:t>
      </w:r>
    </w:p>
    <w:p w14:paraId="42BCDFB8" w14:textId="77777777" w:rsidR="00A74B12" w:rsidRPr="00E34BAF" w:rsidRDefault="00A74B12" w:rsidP="00FB4867">
      <w:pPr>
        <w:shd w:val="clear" w:color="auto" w:fill="FFFFFF" w:themeFill="background1"/>
        <w:jc w:val="left"/>
      </w:pPr>
    </w:p>
    <w:p w14:paraId="62DF7646" w14:textId="77777777" w:rsidR="00E14937" w:rsidRPr="00E34BAF" w:rsidRDefault="001A3265">
      <w:pPr>
        <w:shd w:val="clear" w:color="auto" w:fill="FFFFFF" w:themeFill="background1"/>
        <w:jc w:val="left"/>
      </w:pPr>
      <w:r w:rsidRPr="00E34BAF">
        <w:t xml:space="preserve">Le deuxième pilier se concentre sur la sensibilisation, la formation et l'assistance. </w:t>
      </w:r>
    </w:p>
    <w:p w14:paraId="31C952DE" w14:textId="77777777" w:rsidR="00A74B12" w:rsidRPr="00E34BAF" w:rsidRDefault="00A74B12" w:rsidP="00FB4867">
      <w:pPr>
        <w:shd w:val="clear" w:color="auto" w:fill="FFFFFF" w:themeFill="background1"/>
        <w:jc w:val="left"/>
      </w:pPr>
    </w:p>
    <w:p w14:paraId="137CD6A8" w14:textId="77777777" w:rsidR="00E14937" w:rsidRPr="00E34BAF" w:rsidRDefault="001A3265">
      <w:pPr>
        <w:shd w:val="clear" w:color="auto" w:fill="FFFFFF" w:themeFill="background1"/>
        <w:jc w:val="left"/>
      </w:pPr>
      <w:r w:rsidRPr="00E34BAF">
        <w:t xml:space="preserve">Notre désir et notre capacité à nous engager au-delà de notre communauté d'experts et à communiquer sur la valeur de notre travail à un public plus large sont essentiels à la poursuite de notre pertinence et de notre succès. Pour ce faire, nous devons communiquer sur la valeur de notre travail, en partageant des histoires sur la façon dont notre travail a touché la vie des gens, à travers des canaux qui sont utilisés par eux. </w:t>
      </w:r>
    </w:p>
    <w:p w14:paraId="3743B3DD" w14:textId="77777777" w:rsidR="00A74B12" w:rsidRPr="00E34BAF" w:rsidRDefault="00A74B12" w:rsidP="00FB4867">
      <w:pPr>
        <w:shd w:val="clear" w:color="auto" w:fill="FFFFFF" w:themeFill="background1"/>
        <w:jc w:val="left"/>
      </w:pPr>
    </w:p>
    <w:p w14:paraId="3B57EE0B" w14:textId="77777777" w:rsidR="00E14937" w:rsidRPr="00E34BAF" w:rsidRDefault="001A3265">
      <w:pPr>
        <w:shd w:val="clear" w:color="auto" w:fill="FFFFFF" w:themeFill="background1"/>
        <w:jc w:val="left"/>
      </w:pPr>
      <w:r w:rsidRPr="00E34BAF">
        <w:t xml:space="preserve">L'une de ces histoires est celle du Dr Mary </w:t>
      </w:r>
      <w:proofErr w:type="spellStart"/>
      <w:r w:rsidRPr="00E34BAF">
        <w:t>Mgonja</w:t>
      </w:r>
      <w:proofErr w:type="spellEnd"/>
      <w:r w:rsidRPr="00E34BAF">
        <w:t xml:space="preserve">, de la République-Unie de Tanzanie. Son parcours dans le domaine de la sélection végétale a commencé par une détermination sans faille à faire carrière dans l'un des domaines les plus difficiles de l'agriculture. Aujourd'hui, son entreprise de sélection végétale, </w:t>
      </w:r>
      <w:proofErr w:type="spellStart"/>
      <w:r w:rsidRPr="00E34BAF">
        <w:t>Namburi</w:t>
      </w:r>
      <w:proofErr w:type="spellEnd"/>
      <w:r w:rsidRPr="00E34BAF">
        <w:t xml:space="preserve">, produit chaque année des centaines de tonnes de semences de maïs et de sorgho, ce qui profite à quelque 40 000 agriculteurs et a conduit à la création de plus de 40 champs de démonstration dans tout le pays. Des histoires comme celle de Mme Mary donnent vie à notre travail et sensibilisent les 99 % de personnes qui ne connaissent pas l'UPOV et l'importance de la sélection végétale. </w:t>
      </w:r>
    </w:p>
    <w:p w14:paraId="3753DDC9" w14:textId="77777777" w:rsidR="00A74B12" w:rsidRPr="00E34BAF" w:rsidRDefault="00A74B12" w:rsidP="00FB4867">
      <w:pPr>
        <w:shd w:val="clear" w:color="auto" w:fill="FFFFFF" w:themeFill="background1"/>
        <w:jc w:val="left"/>
      </w:pPr>
    </w:p>
    <w:p w14:paraId="27702DEE" w14:textId="77777777" w:rsidR="00E14937" w:rsidRPr="00E34BAF" w:rsidRDefault="001A3265">
      <w:pPr>
        <w:shd w:val="clear" w:color="auto" w:fill="FFFFFF" w:themeFill="background1"/>
        <w:jc w:val="left"/>
      </w:pPr>
      <w:r w:rsidRPr="00E34BAF">
        <w:t xml:space="preserve">En ce qui concerne la formation et l'appui, 16 États ont demandé une assistance législative cette année, ce qui porte le total à 34 au cours des deux dernières années. Ce chiffre comprend 28 pays qui ne sont pas encore membres de l'UPOV, ce qui témoigne d'un intérêt croissant pour notre travail. </w:t>
      </w:r>
    </w:p>
    <w:p w14:paraId="159EC8FF" w14:textId="77777777" w:rsidR="00A74B12" w:rsidRPr="00E34BAF" w:rsidRDefault="00A74B12" w:rsidP="00FB4867">
      <w:pPr>
        <w:shd w:val="clear" w:color="auto" w:fill="FFFFFF" w:themeFill="background1"/>
        <w:jc w:val="left"/>
      </w:pPr>
    </w:p>
    <w:p w14:paraId="0791A7B2" w14:textId="77777777" w:rsidR="00E14937" w:rsidRPr="00E34BAF" w:rsidRDefault="001A3265">
      <w:pPr>
        <w:shd w:val="clear" w:color="auto" w:fill="FFFFFF" w:themeFill="background1"/>
        <w:jc w:val="left"/>
      </w:pPr>
      <w:r w:rsidRPr="00E34BAF">
        <w:t xml:space="preserve">Au-delà du soutien bilatéral, nous nous engageons également auprès de plateformes régionales. Par exemple, cette année, nous avons organisé avec succès un atelier régional sur la protection des obtentions végétales pour l'Organisation régionale africaine de la propriété intellectuelle (ARIPO), auquel ont participé des représentants des 22 États membres de l'ARIPO. </w:t>
      </w:r>
    </w:p>
    <w:p w14:paraId="79DB0EF5" w14:textId="77777777" w:rsidR="00A74B12" w:rsidRPr="00E34BAF" w:rsidRDefault="00A74B12" w:rsidP="00FB4867">
      <w:pPr>
        <w:shd w:val="clear" w:color="auto" w:fill="FFFFFF" w:themeFill="background1"/>
        <w:jc w:val="left"/>
      </w:pPr>
    </w:p>
    <w:p w14:paraId="63D9CF27" w14:textId="77777777" w:rsidR="00E14937" w:rsidRPr="00E34BAF" w:rsidRDefault="001A3265">
      <w:pPr>
        <w:shd w:val="clear" w:color="auto" w:fill="FFFFFF" w:themeFill="background1"/>
        <w:jc w:val="left"/>
      </w:pPr>
      <w:r w:rsidRPr="00E34BAF">
        <w:t xml:space="preserve">Au sein des pays, nous devons également faire appel à des experts nationaux. Outre notre série régulière de cours d'apprentissage, le programme de certificat UPOV PVP a été lancé en avril et a été bien accueilli. Conçu pour les fonctionnaires chargés de la protection des obtentions végétales, le personnel de bureau, les examinateurs et d'autres praticiens, 42 certificats ont été délivrés au cours des cinq premiers mois d'activité. Nous apprécions grandement l'engagement enthousiaste des membres et des parties prenantes. </w:t>
      </w:r>
    </w:p>
    <w:p w14:paraId="35ECF8A4" w14:textId="77777777" w:rsidR="00E14937" w:rsidRPr="00E34BAF" w:rsidRDefault="001A3265">
      <w:pPr>
        <w:shd w:val="clear" w:color="auto" w:fill="FFFFFF" w:themeFill="background1"/>
        <w:jc w:val="left"/>
      </w:pPr>
      <w:r w:rsidRPr="00E34BAF">
        <w:t xml:space="preserve">À l'avenir, nous continuerons à trouver de nouveaux moyens d'élargir l'engagement avec l'UPOV et de fournir à vos experts et obtenteurs les compétences dont ils ont besoin pour maximiser le potentiel de la protection des obtentions végétales. </w:t>
      </w:r>
    </w:p>
    <w:p w14:paraId="5F0B6D83" w14:textId="77777777" w:rsidR="00A74B12" w:rsidRPr="00E34BAF" w:rsidRDefault="00A74B12" w:rsidP="00FB4867">
      <w:pPr>
        <w:shd w:val="clear" w:color="auto" w:fill="FFFFFF" w:themeFill="background1"/>
        <w:jc w:val="left"/>
      </w:pPr>
    </w:p>
    <w:p w14:paraId="547534CC" w14:textId="77777777" w:rsidR="00E14937" w:rsidRPr="00E34BAF" w:rsidRDefault="001A3265">
      <w:pPr>
        <w:shd w:val="clear" w:color="auto" w:fill="FFFFFF" w:themeFill="background1"/>
        <w:jc w:val="left"/>
      </w:pPr>
      <w:r w:rsidRPr="00E34BAF">
        <w:t>***</w:t>
      </w:r>
    </w:p>
    <w:p w14:paraId="2F7759C4" w14:textId="77777777" w:rsidR="00E14937" w:rsidRPr="00E34BAF" w:rsidRDefault="001A3265">
      <w:pPr>
        <w:shd w:val="clear" w:color="auto" w:fill="FFFFFF" w:themeFill="background1"/>
        <w:jc w:val="left"/>
      </w:pPr>
      <w:r w:rsidRPr="00E34BAF">
        <w:t xml:space="preserve">Le troisième pilier concerne la fourniture de services de haute qualité aux membres de l'UPOV. </w:t>
      </w:r>
    </w:p>
    <w:p w14:paraId="10BB7E03" w14:textId="33FCF5FD" w:rsidR="00E14937" w:rsidRPr="00E34BAF" w:rsidRDefault="001A3265">
      <w:pPr>
        <w:shd w:val="clear" w:color="auto" w:fill="FFFFFF" w:themeFill="background1"/>
        <w:jc w:val="left"/>
      </w:pPr>
      <w:r w:rsidRPr="00E34BAF">
        <w:t xml:space="preserve">Depuis son lancement en septembre dernier, </w:t>
      </w:r>
      <w:r w:rsidR="00EF399F">
        <w:t>UPOV e</w:t>
      </w:r>
      <w:r w:rsidR="00EF399F">
        <w:noBreakHyphen/>
        <w:t>PVP</w:t>
      </w:r>
      <w:r w:rsidRPr="00E34BAF">
        <w:t xml:space="preserve">, notre service numérique de demande et d'administration, a fait des progrès considérables. Douze services, dont le Brésil, le Canada, l'UE, le Japon, la Nouvelle-Zélande et les États-Unis d'Amérique, se sont engagés à utiliser le module d'échange DHS, et </w:t>
      </w:r>
      <w:r w:rsidRPr="00B74E2C">
        <w:rPr>
          <w:spacing w:val="-2"/>
        </w:rPr>
        <w:t>trois - le Ghana, le Royaume-Uni et le Viet Nam - se sont engagés à utiliser le service d'administration e-PVP.</w:t>
      </w:r>
      <w:r w:rsidRPr="00E34BAF">
        <w:t xml:space="preserve"> </w:t>
      </w:r>
    </w:p>
    <w:p w14:paraId="03DDE959" w14:textId="77777777" w:rsidR="00A74B12" w:rsidRPr="00E34BAF" w:rsidRDefault="00A74B12" w:rsidP="00FB4867">
      <w:pPr>
        <w:shd w:val="clear" w:color="auto" w:fill="FFFFFF" w:themeFill="background1"/>
        <w:jc w:val="left"/>
      </w:pPr>
    </w:p>
    <w:p w14:paraId="734DADE8" w14:textId="55F32944" w:rsidR="00E14937" w:rsidRPr="00E34BAF" w:rsidRDefault="001A3265">
      <w:pPr>
        <w:shd w:val="clear" w:color="auto" w:fill="FFFFFF" w:themeFill="background1"/>
        <w:jc w:val="left"/>
      </w:pPr>
      <w:r w:rsidRPr="00E34BAF">
        <w:lastRenderedPageBreak/>
        <w:t xml:space="preserve">Comme ce système facilite une collaboration plus efficace - comme l'échange récent de sept </w:t>
      </w:r>
      <w:r w:rsidR="00B74E2C">
        <w:t xml:space="preserve">rapports </w:t>
      </w:r>
      <w:r w:rsidRPr="00E34BAF">
        <w:t xml:space="preserve">DHS entre les Pays-Bas et le Viet Nam - nous sommes convaincus que l'engagement continuera à croître, et nous sommes prêts à soutenir les membres et les utilisateurs à cet égard. </w:t>
      </w:r>
    </w:p>
    <w:p w14:paraId="06158E6D" w14:textId="77777777" w:rsidR="00A74B12" w:rsidRPr="00E34BAF" w:rsidRDefault="00A74B12" w:rsidP="00FB4867">
      <w:pPr>
        <w:shd w:val="clear" w:color="auto" w:fill="FFFFFF" w:themeFill="background1"/>
        <w:jc w:val="left"/>
      </w:pPr>
    </w:p>
    <w:p w14:paraId="0405A9DE" w14:textId="77777777" w:rsidR="00E14937" w:rsidRPr="00E34BAF" w:rsidRDefault="001A3265">
      <w:pPr>
        <w:shd w:val="clear" w:color="auto" w:fill="FFFFFF" w:themeFill="background1"/>
        <w:jc w:val="left"/>
      </w:pPr>
      <w:r w:rsidRPr="00E34BAF">
        <w:t xml:space="preserve">En outre, nous avons constaté une augmentation de 4% des demandes soumises via UPOV PRISMA et une hausse de près de 40% du nombre d'utilisateurs de services généraux de notre base de données PLUTO. La valeur de l'engagement des membres et des parties prenantes pour faire avancer ces projets ne peut être surestimée, ces outils numériques contribuant à élargir l'accès à la protection des obtentions végétales et à faire en sorte que ses avantages atteignent le niveau local. Bien que ces chiffres soient un bon début, nous pensons que nous pouvons faire plus pour stimuler l'utilisation de ces services, et nous travaillerons en étroite collaboration avec les membres pour intensifier nos efforts dans ce domaine. </w:t>
      </w:r>
    </w:p>
    <w:p w14:paraId="68525AF3" w14:textId="77777777" w:rsidR="00A74B12" w:rsidRPr="00E34BAF" w:rsidRDefault="00A74B12" w:rsidP="00FB4867">
      <w:pPr>
        <w:shd w:val="clear" w:color="auto" w:fill="FFFFFF" w:themeFill="background1"/>
        <w:jc w:val="left"/>
      </w:pPr>
    </w:p>
    <w:p w14:paraId="3A780A0C" w14:textId="77777777" w:rsidR="00E14937" w:rsidRPr="00E34BAF" w:rsidRDefault="001A3265">
      <w:pPr>
        <w:shd w:val="clear" w:color="auto" w:fill="FFFFFF" w:themeFill="background1"/>
        <w:jc w:val="left"/>
      </w:pPr>
      <w:r w:rsidRPr="00E34BAF">
        <w:t>***</w:t>
      </w:r>
    </w:p>
    <w:p w14:paraId="2A264C2C" w14:textId="77777777" w:rsidR="00E14937" w:rsidRPr="00E34BAF" w:rsidRDefault="001A3265">
      <w:pPr>
        <w:shd w:val="clear" w:color="auto" w:fill="FFFFFF" w:themeFill="background1"/>
        <w:jc w:val="left"/>
      </w:pPr>
      <w:r w:rsidRPr="00E34BAF">
        <w:t xml:space="preserve">En fin de compte, notre objectif dans tous ces domaines de travail est d'avoir un impact. La protection des obtentions végétales n'est pas seulement une question technique pour ceux qui sont plongés dans les mystères du système de l'UPOV. Au contraire, l'UPOV est un lien vital dans nos efforts pour faire face à la sécurité alimentaire, au changement climatique, à la santé mondiale, à la réduction de la pauvreté et à d'autres défis.  </w:t>
      </w:r>
    </w:p>
    <w:p w14:paraId="1A44F759" w14:textId="77777777" w:rsidR="00A74B12" w:rsidRPr="00E34BAF" w:rsidRDefault="00A74B12" w:rsidP="00FB4867">
      <w:pPr>
        <w:shd w:val="clear" w:color="auto" w:fill="FFFFFF" w:themeFill="background1"/>
        <w:jc w:val="left"/>
      </w:pPr>
    </w:p>
    <w:p w14:paraId="62D1D01F" w14:textId="77777777" w:rsidR="00E14937" w:rsidRPr="00E34BAF" w:rsidRDefault="001A3265">
      <w:pPr>
        <w:shd w:val="clear" w:color="auto" w:fill="FFFFFF" w:themeFill="background1"/>
        <w:jc w:val="left"/>
      </w:pPr>
      <w:r w:rsidRPr="00E34BAF">
        <w:t>Travaillons donc ensemble, en partenariat et en tant que famille UPOV soudée qui nous caractérise, pour renforcer la protection des obtentions végétales, approfondir l'engagement de l'UPOV dans le monde et stimuler l'innovation agricole dans l'intérêt de tous.</w:t>
      </w:r>
    </w:p>
    <w:p w14:paraId="262A1758" w14:textId="77777777" w:rsidR="00A74B12" w:rsidRPr="00E34BAF" w:rsidRDefault="00A74B12" w:rsidP="00FB4867">
      <w:pPr>
        <w:shd w:val="clear" w:color="auto" w:fill="FFFFFF" w:themeFill="background1"/>
        <w:jc w:val="left"/>
      </w:pPr>
    </w:p>
    <w:p w14:paraId="37CE5BE4" w14:textId="4A220E6D" w:rsidR="00E14937" w:rsidRPr="00E34BAF" w:rsidRDefault="00D765E3">
      <w:pPr>
        <w:shd w:val="clear" w:color="auto" w:fill="FFFFFF" w:themeFill="background1"/>
        <w:jc w:val="left"/>
      </w:pPr>
      <w:r>
        <w:t>Merci</w:t>
      </w:r>
      <w:r w:rsidR="001A3265" w:rsidRPr="00E34BAF">
        <w:t>.</w:t>
      </w:r>
    </w:p>
    <w:p w14:paraId="02A81A44" w14:textId="77777777" w:rsidR="0004552A" w:rsidRPr="00E34BAF" w:rsidRDefault="0004552A" w:rsidP="00FB4867">
      <w:pPr>
        <w:shd w:val="clear" w:color="auto" w:fill="FFFFFF" w:themeFill="background1"/>
        <w:jc w:val="left"/>
      </w:pPr>
    </w:p>
    <w:p w14:paraId="06044D6B" w14:textId="77777777" w:rsidR="0004552A" w:rsidRPr="00E34BAF" w:rsidRDefault="0004552A" w:rsidP="00FB4867">
      <w:pPr>
        <w:shd w:val="clear" w:color="auto" w:fill="FFFFFF" w:themeFill="background1"/>
        <w:jc w:val="right"/>
      </w:pPr>
    </w:p>
    <w:p w14:paraId="6E1AA384" w14:textId="77777777" w:rsidR="0004552A" w:rsidRPr="00E34BAF" w:rsidRDefault="0004552A" w:rsidP="00FB4867">
      <w:pPr>
        <w:shd w:val="clear" w:color="auto" w:fill="FFFFFF" w:themeFill="background1"/>
        <w:jc w:val="right"/>
      </w:pPr>
    </w:p>
    <w:p w14:paraId="0EFFDEC8" w14:textId="77777777" w:rsidR="0004552A" w:rsidRPr="00E34BAF" w:rsidRDefault="0004552A" w:rsidP="00FB4867">
      <w:pPr>
        <w:shd w:val="clear" w:color="auto" w:fill="FFFFFF" w:themeFill="background1"/>
        <w:jc w:val="right"/>
      </w:pPr>
    </w:p>
    <w:p w14:paraId="09124F23" w14:textId="77777777" w:rsidR="00E14937" w:rsidRPr="00E34BAF" w:rsidRDefault="001A3265">
      <w:pPr>
        <w:shd w:val="clear" w:color="auto" w:fill="FFFFFF" w:themeFill="background1"/>
        <w:jc w:val="right"/>
      </w:pPr>
      <w:r w:rsidRPr="00E34BAF">
        <w:t>[L'annexe II suit]</w:t>
      </w:r>
    </w:p>
    <w:p w14:paraId="1E72B933" w14:textId="77777777" w:rsidR="0004552A" w:rsidRPr="00E34BAF" w:rsidRDefault="0004552A" w:rsidP="00FB4867">
      <w:pPr>
        <w:shd w:val="clear" w:color="auto" w:fill="FFFFFF" w:themeFill="background1"/>
        <w:jc w:val="right"/>
      </w:pPr>
    </w:p>
    <w:p w14:paraId="323797F2" w14:textId="77777777" w:rsidR="0004552A" w:rsidRPr="00E34BAF" w:rsidRDefault="0004552A" w:rsidP="00FB4867">
      <w:pPr>
        <w:shd w:val="clear" w:color="auto" w:fill="FFFFFF" w:themeFill="background1"/>
      </w:pPr>
    </w:p>
    <w:p w14:paraId="19CCDE28" w14:textId="77777777" w:rsidR="00E24E11" w:rsidRPr="00E34BAF" w:rsidRDefault="00E24E11" w:rsidP="00FB4867">
      <w:pPr>
        <w:shd w:val="clear" w:color="auto" w:fill="FFFFFF" w:themeFill="background1"/>
        <w:sectPr w:rsidR="00E24E11" w:rsidRPr="00E34BAF" w:rsidSect="00D5126C">
          <w:headerReference w:type="default" r:id="rId16"/>
          <w:headerReference w:type="first" r:id="rId17"/>
          <w:pgSz w:w="11907" w:h="16840" w:code="9"/>
          <w:pgMar w:top="510" w:right="1134" w:bottom="1134" w:left="1134" w:header="510" w:footer="680" w:gutter="0"/>
          <w:pgNumType w:start="1"/>
          <w:cols w:space="720"/>
          <w:titlePg/>
        </w:sectPr>
      </w:pPr>
    </w:p>
    <w:p w14:paraId="637363B2" w14:textId="77777777" w:rsidR="0004552A" w:rsidRPr="00E34BAF" w:rsidRDefault="0004552A" w:rsidP="00FB4867">
      <w:pPr>
        <w:shd w:val="clear" w:color="auto" w:fill="FFFFFF" w:themeFill="background1"/>
        <w:jc w:val="right"/>
      </w:pPr>
    </w:p>
    <w:p w14:paraId="5CC48239" w14:textId="030BBC9C" w:rsidR="00E14937" w:rsidRPr="00E34BAF" w:rsidRDefault="001A3265">
      <w:pPr>
        <w:shd w:val="clear" w:color="auto" w:fill="FFFFFF" w:themeFill="background1"/>
        <w:jc w:val="center"/>
      </w:pPr>
      <w:r w:rsidRPr="00E34BAF">
        <w:t xml:space="preserve">INTERVENTION </w:t>
      </w:r>
      <w:r w:rsidR="00E03FCB" w:rsidRPr="00E34BAF">
        <w:t>DE M</w:t>
      </w:r>
      <w:r w:rsidR="0023736E">
        <w:t>ME</w:t>
      </w:r>
      <w:r w:rsidR="00E03FCB" w:rsidRPr="00E34BAF">
        <w:t xml:space="preserve"> VARSIK MARTIROSYAN, </w:t>
      </w:r>
      <w:r w:rsidR="0023736E">
        <w:t>CHEF</w:t>
      </w:r>
      <w:r w:rsidR="00E03FCB" w:rsidRPr="00E34BAF">
        <w:t xml:space="preserve">, </w:t>
      </w:r>
      <w:r w:rsidR="00E03FCB" w:rsidRPr="00E34BAF">
        <w:br/>
        <w:t>DÉPARTEMENT DE LA PRODUCTION VÉGÉTALE, MINISTÈRE DE L'AGRICULTURE</w:t>
      </w:r>
    </w:p>
    <w:p w14:paraId="79C4A762" w14:textId="77777777" w:rsidR="00E03FCB" w:rsidRPr="00E34BAF" w:rsidRDefault="00E03FCB" w:rsidP="00FB4867">
      <w:pPr>
        <w:shd w:val="clear" w:color="auto" w:fill="FFFFFF" w:themeFill="background1"/>
        <w:jc w:val="center"/>
      </w:pPr>
    </w:p>
    <w:p w14:paraId="08566346" w14:textId="00CF011A" w:rsidR="00E14937" w:rsidRPr="00E34BAF" w:rsidRDefault="001A3265">
      <w:pPr>
        <w:shd w:val="clear" w:color="auto" w:fill="FFFFFF" w:themeFill="background1"/>
        <w:jc w:val="center"/>
      </w:pPr>
      <w:r w:rsidRPr="00E34BAF">
        <w:t>POUR LE COMPTE DE</w:t>
      </w:r>
      <w:r w:rsidR="00EA33D5">
        <w:t>:</w:t>
      </w:r>
    </w:p>
    <w:p w14:paraId="752B33E4" w14:textId="78CD7A4D" w:rsidR="00E14937" w:rsidRPr="00E34BAF" w:rsidRDefault="0023736E">
      <w:pPr>
        <w:shd w:val="clear" w:color="auto" w:fill="FFFFFF" w:themeFill="background1"/>
        <w:jc w:val="center"/>
      </w:pPr>
      <w:r>
        <w:t>MME</w:t>
      </w:r>
      <w:r w:rsidR="001A3265" w:rsidRPr="00E34BAF">
        <w:t xml:space="preserve"> TATEVIK SARGSYAN, </w:t>
      </w:r>
    </w:p>
    <w:p w14:paraId="1572AC44" w14:textId="7DD9CCF6" w:rsidR="00E14937" w:rsidRPr="00E34BAF" w:rsidRDefault="001A3265">
      <w:pPr>
        <w:shd w:val="clear" w:color="auto" w:fill="FFFFFF" w:themeFill="background1"/>
        <w:jc w:val="center"/>
      </w:pPr>
      <w:r w:rsidRPr="00E34BAF">
        <w:t>MINISTRE ADJOINT</w:t>
      </w:r>
      <w:r w:rsidR="0023736E">
        <w:t>E</w:t>
      </w:r>
      <w:r w:rsidRPr="00E34BAF">
        <w:t>, MINISTÈRE DE L'AGRICULTURE</w:t>
      </w:r>
      <w:r w:rsidR="00E24E11" w:rsidRPr="00E34BAF">
        <w:t xml:space="preserve">, ARMÉNIE, </w:t>
      </w:r>
    </w:p>
    <w:p w14:paraId="6B4758AF" w14:textId="77777777" w:rsidR="00E14937" w:rsidRPr="00E34BAF" w:rsidRDefault="001A3265">
      <w:pPr>
        <w:shd w:val="clear" w:color="auto" w:fill="FFFFFF" w:themeFill="background1"/>
        <w:jc w:val="center"/>
      </w:pPr>
      <w:r w:rsidRPr="00E34BAF">
        <w:t>LORS DE LA CINQUANTE-HUITIÈME SESSION ORDINAIRE DU CONSEIL</w:t>
      </w:r>
    </w:p>
    <w:p w14:paraId="2B222351" w14:textId="77777777" w:rsidR="0004552A" w:rsidRPr="00E34BAF" w:rsidRDefault="0004552A" w:rsidP="00FB4867">
      <w:pPr>
        <w:shd w:val="clear" w:color="auto" w:fill="FFFFFF" w:themeFill="background1"/>
        <w:jc w:val="left"/>
      </w:pPr>
    </w:p>
    <w:p w14:paraId="57B1AA13" w14:textId="77777777" w:rsidR="0004552A" w:rsidRPr="00E34BAF" w:rsidRDefault="0004552A" w:rsidP="00FB4867">
      <w:pPr>
        <w:shd w:val="clear" w:color="auto" w:fill="FFFFFF" w:themeFill="background1"/>
        <w:jc w:val="left"/>
      </w:pPr>
    </w:p>
    <w:p w14:paraId="55D677F6" w14:textId="77777777" w:rsidR="001F0AD5" w:rsidRPr="00E34BAF" w:rsidRDefault="001F0AD5" w:rsidP="00FB4867">
      <w:pPr>
        <w:shd w:val="clear" w:color="auto" w:fill="FFFFFF" w:themeFill="background1"/>
        <w:jc w:val="left"/>
      </w:pPr>
    </w:p>
    <w:p w14:paraId="1FC50923" w14:textId="77777777" w:rsidR="00E14937" w:rsidRPr="00E34BAF" w:rsidRDefault="001A3265">
      <w:pPr>
        <w:shd w:val="clear" w:color="auto" w:fill="FFFFFF" w:themeFill="background1"/>
        <w:jc w:val="left"/>
      </w:pPr>
      <w:r w:rsidRPr="00E34BAF">
        <w:t>Président distingué,</w:t>
      </w:r>
    </w:p>
    <w:p w14:paraId="64FC455A" w14:textId="77777777" w:rsidR="00E14937" w:rsidRPr="00E34BAF" w:rsidRDefault="001A3265">
      <w:pPr>
        <w:shd w:val="clear" w:color="auto" w:fill="FFFFFF" w:themeFill="background1"/>
        <w:jc w:val="left"/>
      </w:pPr>
      <w:r w:rsidRPr="00E34BAF">
        <w:t>Mesdames et Messieurs,</w:t>
      </w:r>
    </w:p>
    <w:p w14:paraId="3CFD6C08" w14:textId="77777777" w:rsidR="001F0AD5" w:rsidRPr="00E34BAF" w:rsidRDefault="001F0AD5" w:rsidP="00FB4867">
      <w:pPr>
        <w:shd w:val="clear" w:color="auto" w:fill="FFFFFF" w:themeFill="background1"/>
        <w:jc w:val="left"/>
      </w:pPr>
    </w:p>
    <w:p w14:paraId="61263CAE" w14:textId="77777777" w:rsidR="00E14937" w:rsidRPr="00E34BAF" w:rsidRDefault="001A3265">
      <w:pPr>
        <w:shd w:val="clear" w:color="auto" w:fill="FFFFFF" w:themeFill="background1"/>
      </w:pPr>
      <w:r w:rsidRPr="00E34BAF">
        <w:t>J'ai le plaisir de m'adresser à vous aujourd'hui alors que l'Arménie est devenue le 79e membre de l'Union internationale pour la protection des obtentions végétales (UPOV). Cette étape témoigne de la volonté de l'Arménie de faire progresser son secteur agricole et de soutenir une croissance économique durable.</w:t>
      </w:r>
    </w:p>
    <w:p w14:paraId="12F2CDE2" w14:textId="77777777" w:rsidR="001F0AD5" w:rsidRPr="00E34BAF" w:rsidRDefault="001F0AD5" w:rsidP="00FB4867">
      <w:pPr>
        <w:shd w:val="clear" w:color="auto" w:fill="FFFFFF" w:themeFill="background1"/>
      </w:pPr>
    </w:p>
    <w:p w14:paraId="07D11572" w14:textId="77777777" w:rsidR="00E14937" w:rsidRPr="00E34BAF" w:rsidRDefault="001A3265">
      <w:pPr>
        <w:shd w:val="clear" w:color="auto" w:fill="FFFFFF" w:themeFill="background1"/>
      </w:pPr>
      <w:r w:rsidRPr="00E34BAF">
        <w:t>En adhérant à l'UPOV, l'Arménie s'aligne non seulement sur les normes internationales, mais s'engage également à prendre des mesures visant à donner à ses sélectionneurs, agriculteurs et entrepreneurs les moyens de réussir sur un marché mondial compétitif. La protection des obtentions végétales est essentielle pour stimuler la productivité et garantir que les variétés végétales issues de la recherche scientifique en agriculture sont effectivement sauvegardées. Pour l'Arménie, cela signifie débloquer des opportunités pour cultiver des variétés végétales nouvelles et améliorées qui sont résilientes, à haut rendement et adaptées au climat, ce qui est impératif pour renforcer la sécurité alimentaire et le développement rural.</w:t>
      </w:r>
    </w:p>
    <w:p w14:paraId="7B306EAF" w14:textId="77777777" w:rsidR="001F0AD5" w:rsidRPr="00E34BAF" w:rsidRDefault="001F0AD5" w:rsidP="00FB4867">
      <w:pPr>
        <w:shd w:val="clear" w:color="auto" w:fill="FFFFFF" w:themeFill="background1"/>
      </w:pPr>
    </w:p>
    <w:p w14:paraId="0C13193A" w14:textId="77777777" w:rsidR="00E14937" w:rsidRPr="00E34BAF" w:rsidRDefault="001A3265">
      <w:pPr>
        <w:shd w:val="clear" w:color="auto" w:fill="FFFFFF" w:themeFill="background1"/>
      </w:pPr>
      <w:r w:rsidRPr="00E34BAF">
        <w:t>Notre adhésion à l'UPOV encouragera davantage les investissements étrangers dans l'agriculture arménienne en fournissant un cadre juridique solide pour la protection des droits de propriété intellectuelle dans le domaine de la sélection végétale. Cette protection n'est pas seulement un outil de développement économique, mais aussi une voie vers des pratiques agricoles plus durables. Elle permettra aux agriculteurs arméniens d'accéder à des semences de meilleure qualité, d'accroître leur productivité et de contribuer au rôle de l'Arménie dans le renforcement de la sécurité alimentaire régionale.</w:t>
      </w:r>
    </w:p>
    <w:p w14:paraId="53BB7E0A" w14:textId="77777777" w:rsidR="001F0AD5" w:rsidRPr="00E34BAF" w:rsidRDefault="001F0AD5" w:rsidP="00FB4867">
      <w:pPr>
        <w:shd w:val="clear" w:color="auto" w:fill="FFFFFF" w:themeFill="background1"/>
      </w:pPr>
    </w:p>
    <w:p w14:paraId="5ADF39C5" w14:textId="77777777" w:rsidR="00E14937" w:rsidRPr="00E34BAF" w:rsidRDefault="001A3265">
      <w:pPr>
        <w:shd w:val="clear" w:color="auto" w:fill="FFFFFF" w:themeFill="background1"/>
      </w:pPr>
      <w:r w:rsidRPr="00E34BAF">
        <w:t>Nous sommes conscients que l'adhésion à l'UPOV ne nous offre pas seulement de grandes possibilités, mais qu'elle nous confère également d'importantes responsabilités. Alors que nous intégrons les principes de l'UPOV dans notre législation nationale, nous nous engageons à équilibrer les intérêts de toutes les parties prenantes afin de garantir que chacun bénéficie des progrès que nous réalisons.</w:t>
      </w:r>
    </w:p>
    <w:p w14:paraId="40B8293C" w14:textId="77777777" w:rsidR="001F0AD5" w:rsidRPr="00E34BAF" w:rsidRDefault="001F0AD5" w:rsidP="00FB4867">
      <w:pPr>
        <w:shd w:val="clear" w:color="auto" w:fill="FFFFFF" w:themeFill="background1"/>
      </w:pPr>
    </w:p>
    <w:p w14:paraId="7412C77F" w14:textId="77777777" w:rsidR="00E14937" w:rsidRPr="00E34BAF" w:rsidRDefault="001A3265">
      <w:pPr>
        <w:shd w:val="clear" w:color="auto" w:fill="FFFFFF" w:themeFill="background1"/>
      </w:pPr>
      <w:r w:rsidRPr="00E34BAF">
        <w:t>En conclusion, j'aimerais exprimer la sincère gratitude de l'Arménie à la communauté de l'UPOV pour nous avoir accueillis au sein de cette organisation estimée. Nous nous réjouissons de travailler avec tous nos partenaires pour créer un avenir où l'innovation agricole prospère, le développement durable est atteint et nos agriculteurs et sélectionneurs sont habilités à contribuer à un secteur agricole plus résilient. Le Gouvernement arménien est pleinement déterminé à collaborer avec tous les États membres, le Secrétariat de l'UPOV et les autres parties prenantes dans un esprit d'unité et de partenariat, afin de faire progresser collectivement la vision commune d'un monde durable et progressiste, dont les générations futures bénéficieront.</w:t>
      </w:r>
    </w:p>
    <w:p w14:paraId="0F7C5823" w14:textId="77777777" w:rsidR="001F0AD5" w:rsidRPr="00E34BAF" w:rsidRDefault="001F0AD5" w:rsidP="00FB4867">
      <w:pPr>
        <w:shd w:val="clear" w:color="auto" w:fill="FFFFFF" w:themeFill="background1"/>
        <w:jc w:val="left"/>
      </w:pPr>
    </w:p>
    <w:p w14:paraId="304DFA14" w14:textId="132A85D7" w:rsidR="00E14937" w:rsidRPr="00E34BAF" w:rsidRDefault="00A20B89">
      <w:pPr>
        <w:shd w:val="clear" w:color="auto" w:fill="FFFFFF" w:themeFill="background1"/>
        <w:jc w:val="left"/>
      </w:pPr>
      <w:r>
        <w:t>Merci</w:t>
      </w:r>
      <w:r w:rsidR="001A3265" w:rsidRPr="00E34BAF">
        <w:t>.</w:t>
      </w:r>
    </w:p>
    <w:p w14:paraId="3A7F900E" w14:textId="77777777" w:rsidR="00E24E11" w:rsidRPr="00E34BAF" w:rsidRDefault="00E24E11" w:rsidP="00FB4867">
      <w:pPr>
        <w:shd w:val="clear" w:color="auto" w:fill="FFFFFF" w:themeFill="background1"/>
        <w:jc w:val="left"/>
      </w:pPr>
    </w:p>
    <w:p w14:paraId="4AC64B2B" w14:textId="77777777" w:rsidR="00E24E11" w:rsidRPr="00E34BAF" w:rsidRDefault="00E24E11" w:rsidP="00FB4867">
      <w:pPr>
        <w:shd w:val="clear" w:color="auto" w:fill="FFFFFF" w:themeFill="background1"/>
        <w:jc w:val="left"/>
      </w:pPr>
    </w:p>
    <w:p w14:paraId="343E818B" w14:textId="77777777" w:rsidR="00E24E11" w:rsidRPr="00E34BAF" w:rsidRDefault="00E24E11" w:rsidP="00FB4867">
      <w:pPr>
        <w:shd w:val="clear" w:color="auto" w:fill="FFFFFF" w:themeFill="background1"/>
        <w:jc w:val="left"/>
      </w:pPr>
    </w:p>
    <w:p w14:paraId="5CFC91ED" w14:textId="77777777" w:rsidR="00E14937" w:rsidRPr="00E34BAF" w:rsidRDefault="001A3265">
      <w:pPr>
        <w:shd w:val="clear" w:color="auto" w:fill="FFFFFF" w:themeFill="background1"/>
        <w:jc w:val="right"/>
      </w:pPr>
      <w:r w:rsidRPr="00E34BAF">
        <w:t>[L'annexe III suit]</w:t>
      </w:r>
    </w:p>
    <w:p w14:paraId="60772888" w14:textId="77777777" w:rsidR="00BA2A97" w:rsidRPr="00E34BAF" w:rsidRDefault="00BA2A97" w:rsidP="00FB4867">
      <w:pPr>
        <w:shd w:val="clear" w:color="auto" w:fill="FFFFFF" w:themeFill="background1"/>
        <w:jc w:val="right"/>
      </w:pPr>
    </w:p>
    <w:p w14:paraId="565AD7C6" w14:textId="77777777" w:rsidR="00BA2A97" w:rsidRPr="00E34BAF" w:rsidRDefault="00BA2A97" w:rsidP="00FB4867">
      <w:pPr>
        <w:shd w:val="clear" w:color="auto" w:fill="FFFFFF" w:themeFill="background1"/>
        <w:jc w:val="right"/>
      </w:pPr>
    </w:p>
    <w:p w14:paraId="7614B61F" w14:textId="77777777" w:rsidR="00BA2A97" w:rsidRPr="00E34BAF" w:rsidRDefault="00BA2A97" w:rsidP="00FB4867">
      <w:pPr>
        <w:shd w:val="clear" w:color="auto" w:fill="FFFFFF" w:themeFill="background1"/>
        <w:jc w:val="right"/>
        <w:sectPr w:rsidR="00BA2A97" w:rsidRPr="00E34BAF" w:rsidSect="00906DDC">
          <w:headerReference w:type="first" r:id="rId18"/>
          <w:pgSz w:w="11907" w:h="16840" w:code="9"/>
          <w:pgMar w:top="510" w:right="1134" w:bottom="1134" w:left="1134" w:header="510" w:footer="680" w:gutter="0"/>
          <w:cols w:space="720"/>
          <w:titlePg/>
        </w:sectPr>
      </w:pPr>
    </w:p>
    <w:p w14:paraId="6DFE380D" w14:textId="77777777" w:rsidR="00CA1F09" w:rsidRPr="00BA410E" w:rsidRDefault="00CA1F09" w:rsidP="00CA1F09">
      <w:pPr>
        <w:jc w:val="center"/>
        <w:rPr>
          <w:lang w:val="fr-CH"/>
        </w:rPr>
      </w:pPr>
      <w:r w:rsidRPr="00BA410E">
        <w:rPr>
          <w:lang w:val="fr-CH"/>
        </w:rPr>
        <w:lastRenderedPageBreak/>
        <w:t xml:space="preserve">LISTE DES PARTICIPANTS / LIST OF PARTICIPANTS / </w:t>
      </w:r>
      <w:r w:rsidRPr="00BA410E">
        <w:rPr>
          <w:lang w:val="fr-CH"/>
        </w:rPr>
        <w:br/>
        <w:t>TEILNEHMERLISTE / LISTA DE PARTICIPANTES</w:t>
      </w:r>
    </w:p>
    <w:p w14:paraId="4CB939C4" w14:textId="77777777" w:rsidR="00CA1F09" w:rsidRPr="00BA410E" w:rsidRDefault="00CA1F09" w:rsidP="00CA1F09">
      <w:pPr>
        <w:jc w:val="center"/>
        <w:rPr>
          <w:lang w:val="fr-CH"/>
        </w:rPr>
      </w:pPr>
    </w:p>
    <w:p w14:paraId="78E9F588" w14:textId="77777777" w:rsidR="00CA1F09" w:rsidRPr="00BA410E" w:rsidRDefault="00CA1F09" w:rsidP="00CA1F09">
      <w:pPr>
        <w:jc w:val="center"/>
        <w:rPr>
          <w:lang w:val="fr-CH"/>
        </w:rPr>
      </w:pPr>
      <w:r w:rsidRPr="00BA410E">
        <w:rPr>
          <w:lang w:val="fr-CH"/>
        </w:rPr>
        <w:t>(dans l’ordre alphabétique des noms français des membres /</w:t>
      </w:r>
      <w:r w:rsidRPr="00BA410E">
        <w:rPr>
          <w:lang w:val="fr-CH"/>
        </w:rPr>
        <w:br/>
        <w:t xml:space="preserve">in the </w:t>
      </w:r>
      <w:proofErr w:type="spellStart"/>
      <w:r w:rsidRPr="00BA410E">
        <w:rPr>
          <w:lang w:val="fr-CH"/>
        </w:rPr>
        <w:t>alphabetical</w:t>
      </w:r>
      <w:proofErr w:type="spellEnd"/>
      <w:r w:rsidRPr="00BA410E">
        <w:rPr>
          <w:lang w:val="fr-CH"/>
        </w:rPr>
        <w:t xml:space="preserve"> </w:t>
      </w:r>
      <w:proofErr w:type="spellStart"/>
      <w:r w:rsidRPr="00BA410E">
        <w:rPr>
          <w:lang w:val="fr-CH"/>
        </w:rPr>
        <w:t>order</w:t>
      </w:r>
      <w:proofErr w:type="spellEnd"/>
      <w:r w:rsidRPr="00BA410E">
        <w:rPr>
          <w:lang w:val="fr-CH"/>
        </w:rPr>
        <w:t xml:space="preserve"> of the French </w:t>
      </w:r>
      <w:proofErr w:type="spellStart"/>
      <w:r w:rsidRPr="00BA410E">
        <w:rPr>
          <w:lang w:val="fr-CH"/>
        </w:rPr>
        <w:t>names</w:t>
      </w:r>
      <w:proofErr w:type="spellEnd"/>
      <w:r w:rsidRPr="00BA410E">
        <w:rPr>
          <w:lang w:val="fr-CH"/>
        </w:rPr>
        <w:t xml:space="preserve"> of the </w:t>
      </w:r>
      <w:proofErr w:type="spellStart"/>
      <w:r w:rsidRPr="00BA410E">
        <w:rPr>
          <w:lang w:val="fr-CH"/>
        </w:rPr>
        <w:t>Members</w:t>
      </w:r>
      <w:proofErr w:type="spellEnd"/>
      <w:r w:rsidRPr="00BA410E">
        <w:rPr>
          <w:lang w:val="fr-CH"/>
        </w:rPr>
        <w:t xml:space="preserve"> /</w:t>
      </w:r>
      <w:r w:rsidRPr="00BA410E">
        <w:rPr>
          <w:lang w:val="fr-CH"/>
        </w:rPr>
        <w:br/>
        <w:t xml:space="preserve">in </w:t>
      </w:r>
      <w:proofErr w:type="spellStart"/>
      <w:r w:rsidRPr="00BA410E">
        <w:rPr>
          <w:lang w:val="fr-CH"/>
        </w:rPr>
        <w:t>alphabetischer</w:t>
      </w:r>
      <w:proofErr w:type="spellEnd"/>
      <w:r w:rsidRPr="00BA410E">
        <w:rPr>
          <w:lang w:val="fr-CH"/>
        </w:rPr>
        <w:t xml:space="preserve"> </w:t>
      </w:r>
      <w:proofErr w:type="spellStart"/>
      <w:r w:rsidRPr="00BA410E">
        <w:rPr>
          <w:lang w:val="fr-CH"/>
        </w:rPr>
        <w:t>Reihenfolge</w:t>
      </w:r>
      <w:proofErr w:type="spellEnd"/>
      <w:r w:rsidRPr="00BA410E">
        <w:rPr>
          <w:lang w:val="fr-CH"/>
        </w:rPr>
        <w:t xml:space="preserve"> der </w:t>
      </w:r>
      <w:proofErr w:type="spellStart"/>
      <w:r w:rsidRPr="00BA410E">
        <w:rPr>
          <w:lang w:val="fr-CH"/>
        </w:rPr>
        <w:t>französischen</w:t>
      </w:r>
      <w:proofErr w:type="spellEnd"/>
      <w:r w:rsidRPr="00BA410E">
        <w:rPr>
          <w:lang w:val="fr-CH"/>
        </w:rPr>
        <w:t xml:space="preserve"> </w:t>
      </w:r>
      <w:proofErr w:type="spellStart"/>
      <w:r w:rsidRPr="00BA410E">
        <w:rPr>
          <w:lang w:val="fr-CH"/>
        </w:rPr>
        <w:t>Namen</w:t>
      </w:r>
      <w:proofErr w:type="spellEnd"/>
      <w:r w:rsidRPr="00BA410E">
        <w:rPr>
          <w:lang w:val="fr-CH"/>
        </w:rPr>
        <w:t xml:space="preserve"> der </w:t>
      </w:r>
      <w:proofErr w:type="spellStart"/>
      <w:r w:rsidRPr="00BA410E">
        <w:rPr>
          <w:lang w:val="fr-CH"/>
        </w:rPr>
        <w:t>Mitglieder</w:t>
      </w:r>
      <w:proofErr w:type="spellEnd"/>
      <w:r w:rsidRPr="00BA410E">
        <w:rPr>
          <w:lang w:val="fr-CH"/>
        </w:rPr>
        <w:t xml:space="preserve"> /</w:t>
      </w:r>
      <w:r w:rsidRPr="00BA410E">
        <w:rPr>
          <w:lang w:val="fr-CH"/>
        </w:rPr>
        <w:br/>
      </w:r>
      <w:proofErr w:type="spellStart"/>
      <w:r w:rsidRPr="00BA410E">
        <w:rPr>
          <w:lang w:val="fr-CH"/>
        </w:rPr>
        <w:t>por</w:t>
      </w:r>
      <w:proofErr w:type="spellEnd"/>
      <w:r w:rsidRPr="00BA410E">
        <w:rPr>
          <w:lang w:val="fr-CH"/>
        </w:rPr>
        <w:t xml:space="preserve"> </w:t>
      </w:r>
      <w:proofErr w:type="spellStart"/>
      <w:r w:rsidRPr="00BA410E">
        <w:rPr>
          <w:lang w:val="fr-CH"/>
        </w:rPr>
        <w:t>orden</w:t>
      </w:r>
      <w:proofErr w:type="spellEnd"/>
      <w:r w:rsidRPr="00BA410E">
        <w:rPr>
          <w:lang w:val="fr-CH"/>
        </w:rPr>
        <w:t xml:space="preserve"> </w:t>
      </w:r>
      <w:proofErr w:type="spellStart"/>
      <w:r w:rsidRPr="00BA410E">
        <w:rPr>
          <w:lang w:val="fr-CH"/>
        </w:rPr>
        <w:t>alfabético</w:t>
      </w:r>
      <w:proofErr w:type="spellEnd"/>
      <w:r w:rsidRPr="00BA410E">
        <w:rPr>
          <w:lang w:val="fr-CH"/>
        </w:rPr>
        <w:t xml:space="preserve"> de los nombres en </w:t>
      </w:r>
      <w:proofErr w:type="spellStart"/>
      <w:r w:rsidRPr="00BA410E">
        <w:rPr>
          <w:lang w:val="fr-CH"/>
        </w:rPr>
        <w:t>francés</w:t>
      </w:r>
      <w:proofErr w:type="spellEnd"/>
      <w:r w:rsidRPr="00BA410E">
        <w:rPr>
          <w:lang w:val="fr-CH"/>
        </w:rPr>
        <w:t xml:space="preserve"> de los </w:t>
      </w:r>
      <w:proofErr w:type="spellStart"/>
      <w:r w:rsidRPr="00BA410E">
        <w:rPr>
          <w:lang w:val="fr-CH"/>
        </w:rPr>
        <w:t>miembros</w:t>
      </w:r>
      <w:proofErr w:type="spellEnd"/>
      <w:r w:rsidRPr="00BA410E">
        <w:rPr>
          <w:lang w:val="fr-CH"/>
        </w:rPr>
        <w:t>)</w:t>
      </w:r>
    </w:p>
    <w:p w14:paraId="427D60BC" w14:textId="77777777" w:rsidR="00CA1F09" w:rsidRPr="00BA410E" w:rsidRDefault="00CA1F09" w:rsidP="00CA1F09">
      <w:pPr>
        <w:pStyle w:val="plheading"/>
        <w:rPr>
          <w:lang w:val="fr-CH"/>
        </w:rPr>
      </w:pPr>
      <w:r w:rsidRPr="00BA410E">
        <w:rPr>
          <w:lang w:val="fr-CH"/>
        </w:rPr>
        <w:t>I. MEMBRES / MEMBERS / VERBANDSMITGLIEDER / MIEMBROS</w:t>
      </w:r>
    </w:p>
    <w:p w14:paraId="5EF4EFBA" w14:textId="77777777" w:rsidR="00CA1F09" w:rsidRPr="00BA410E" w:rsidRDefault="00CA1F09" w:rsidP="00CA1F09">
      <w:pPr>
        <w:pStyle w:val="plcountry"/>
        <w:rPr>
          <w:lang w:val="fr-CH"/>
        </w:rPr>
      </w:pPr>
      <w:r w:rsidRPr="00BA410E">
        <w:rPr>
          <w:lang w:val="fr-CH"/>
        </w:rPr>
        <w:t>ALBANIE / ALBANIA / ALBANIEN / ALBANIA</w:t>
      </w:r>
    </w:p>
    <w:p w14:paraId="759D8DD4" w14:textId="77777777" w:rsidR="00CA1F09" w:rsidRPr="00BA410E" w:rsidRDefault="00CA1F09" w:rsidP="00CA1F09">
      <w:pPr>
        <w:pStyle w:val="pldetails"/>
        <w:rPr>
          <w:lang w:val="fr-CH"/>
        </w:rPr>
      </w:pPr>
      <w:r w:rsidRPr="00BA410E">
        <w:rPr>
          <w:lang w:val="fr-CH"/>
        </w:rPr>
        <w:t xml:space="preserve">Luiza SALLAKU (Ms.), Director, Ministry of Agriculture and Rural Development, Tirana </w:t>
      </w:r>
      <w:r w:rsidRPr="00BA410E">
        <w:rPr>
          <w:lang w:val="fr-CH"/>
        </w:rPr>
        <w:br/>
        <w:t>(e-mail: Luiza.Sallaku@eshff.gov.al)</w:t>
      </w:r>
    </w:p>
    <w:p w14:paraId="3857075C" w14:textId="77777777" w:rsidR="00CA1F09" w:rsidRPr="00BA410E" w:rsidRDefault="00CA1F09" w:rsidP="00CA1F09">
      <w:pPr>
        <w:pStyle w:val="pldetails"/>
      </w:pPr>
      <w:r w:rsidRPr="00BA410E">
        <w:t xml:space="preserve">Alban ISUFI (Mr.), Head, Seed and Seedlings and Fertilizers Sector, Ministry of Agriculture and Rural Development, Tirana </w:t>
      </w:r>
      <w:r w:rsidRPr="00BA410E">
        <w:br/>
        <w:t>(e-mail: alban.isufi@bujqesia.gov.al)</w:t>
      </w:r>
    </w:p>
    <w:p w14:paraId="7DC22C4F" w14:textId="77777777" w:rsidR="00CA1F09" w:rsidRPr="00BA410E" w:rsidRDefault="00CA1F09" w:rsidP="00CA1F09">
      <w:pPr>
        <w:pStyle w:val="plcountry"/>
        <w:rPr>
          <w:lang w:val="de-DE"/>
        </w:rPr>
      </w:pPr>
      <w:r w:rsidRPr="00BA410E">
        <w:rPr>
          <w:lang w:val="de-DE"/>
        </w:rPr>
        <w:t>ALLEMAGNE / GERMANY / DEUTSCHLAND / ALEMANIA</w:t>
      </w:r>
    </w:p>
    <w:p w14:paraId="1D2AD560" w14:textId="77777777" w:rsidR="00CA1F09" w:rsidRPr="00BA410E" w:rsidRDefault="00CA1F09" w:rsidP="00CA1F09">
      <w:pPr>
        <w:pStyle w:val="pldetails"/>
        <w:rPr>
          <w:lang w:val="de-DE"/>
        </w:rPr>
      </w:pPr>
      <w:r w:rsidRPr="00BA410E">
        <w:rPr>
          <w:lang w:val="de-DE"/>
        </w:rPr>
        <w:t xml:space="preserve">Elmar PFÜLB (Mr.), President, Bundessortenamt, Hannover </w:t>
      </w:r>
      <w:r w:rsidRPr="00BA410E">
        <w:rPr>
          <w:lang w:val="de-DE"/>
        </w:rPr>
        <w:br/>
        <w:t>(e-mail: postfach.praesident@bundessortenamt.de)</w:t>
      </w:r>
    </w:p>
    <w:p w14:paraId="0F489553" w14:textId="77777777" w:rsidR="00CA1F09" w:rsidRPr="00BA410E" w:rsidRDefault="00CA1F09" w:rsidP="00CA1F09">
      <w:pPr>
        <w:pStyle w:val="pldetails"/>
      </w:pPr>
      <w:r w:rsidRPr="00BA410E">
        <w:t xml:space="preserve">Beate RÜCKER (Ms.), Head of Division, Federal Plant Variety Office, Bundessortenamt, Hanover </w:t>
      </w:r>
      <w:r w:rsidRPr="00BA410E">
        <w:br/>
        <w:t xml:space="preserve">(e-mail: </w:t>
      </w:r>
      <w:r w:rsidRPr="00BA410E">
        <w:rPr>
          <w:lang w:val="en-GB"/>
        </w:rPr>
        <w:t>bsa@bundessortenamt.de</w:t>
      </w:r>
      <w:r w:rsidRPr="00BA410E">
        <w:t>)</w:t>
      </w:r>
    </w:p>
    <w:p w14:paraId="6E9555A2" w14:textId="77777777" w:rsidR="00CA1F09" w:rsidRPr="00BA410E" w:rsidRDefault="00CA1F09" w:rsidP="00CA1F09">
      <w:pPr>
        <w:pStyle w:val="plcountry"/>
        <w:rPr>
          <w:lang w:val="es-ES"/>
        </w:rPr>
      </w:pPr>
      <w:r w:rsidRPr="00BA410E">
        <w:rPr>
          <w:lang w:val="es-ES"/>
        </w:rPr>
        <w:t>ARGENTINE / ARGENTINA / ARGENTINIEN / ARGENTINA</w:t>
      </w:r>
    </w:p>
    <w:p w14:paraId="720328CD" w14:textId="77777777" w:rsidR="00CA1F09" w:rsidRPr="00BA410E" w:rsidRDefault="00CA1F09" w:rsidP="00CA1F09">
      <w:pPr>
        <w:pStyle w:val="pldetails"/>
        <w:rPr>
          <w:lang w:val="es-ES"/>
        </w:rPr>
      </w:pPr>
      <w:r w:rsidRPr="00BA410E">
        <w:rPr>
          <w:lang w:val="es-ES"/>
        </w:rPr>
        <w:t xml:space="preserve">María Laura VILLAMAYOR (Sra.), Directora de Asuntos Juridicos y Coordinadora de Relaciones Institucionales e Interjurisdiccionales, Instituto Nacional de Semillas (INASE), Secretaría de Agricultura, Ganadería, Pesca y Alimentación, Buenos Aires </w:t>
      </w:r>
      <w:r w:rsidRPr="00BA410E">
        <w:rPr>
          <w:lang w:val="es-ES"/>
        </w:rPr>
        <w:br/>
        <w:t>(e-mail: mlvillamayor@inase.gob.ar)</w:t>
      </w:r>
    </w:p>
    <w:p w14:paraId="7E413189" w14:textId="77777777" w:rsidR="00CA1F09" w:rsidRPr="00BA410E" w:rsidRDefault="00CA1F09" w:rsidP="00CA1F09">
      <w:pPr>
        <w:pStyle w:val="plcountry"/>
      </w:pPr>
      <w:r w:rsidRPr="00BA410E">
        <w:t>ARMÉNIE / ARMENIA / ARMENIEN / ARMENIA</w:t>
      </w:r>
    </w:p>
    <w:p w14:paraId="261658B8" w14:textId="77777777" w:rsidR="00CA1F09" w:rsidRPr="00BA410E" w:rsidRDefault="00CA1F09" w:rsidP="00CA1F09">
      <w:pPr>
        <w:pStyle w:val="pldetails"/>
      </w:pPr>
      <w:r w:rsidRPr="00BA410E">
        <w:t xml:space="preserve">Varsik MARTIROSYAN (Ms.), Head, Department of plant production, Ministry of Agriculture, Yerevan </w:t>
      </w:r>
      <w:r w:rsidRPr="00BA410E">
        <w:br/>
        <w:t xml:space="preserve">(e-mail: vmartirosyan@mineconomy.am) </w:t>
      </w:r>
    </w:p>
    <w:p w14:paraId="42565FBD" w14:textId="77777777" w:rsidR="00CA1F09" w:rsidRPr="00BA410E" w:rsidRDefault="00CA1F09" w:rsidP="00CA1F09">
      <w:pPr>
        <w:pStyle w:val="plcountry"/>
      </w:pPr>
      <w:r w:rsidRPr="00BA410E">
        <w:t>AUSTRALIE / AUSTRALIA / AUSTRALIEN / AUSTRALIA</w:t>
      </w:r>
    </w:p>
    <w:p w14:paraId="06A3A7C9" w14:textId="77777777" w:rsidR="00CA1F09" w:rsidRPr="00BA410E" w:rsidRDefault="00CA1F09" w:rsidP="00CA1F09">
      <w:pPr>
        <w:pStyle w:val="pldetails"/>
      </w:pPr>
      <w:r w:rsidRPr="00BA410E">
        <w:t>Isabel Louise WARD (Ms.), Assistant Director, Policy &amp; International Affairs, IP Australia, Phillip</w:t>
      </w:r>
      <w:r w:rsidRPr="00BA410E">
        <w:br/>
        <w:t>(e-mail: Isabel.Ward@ipaustralia.gov.au)</w:t>
      </w:r>
    </w:p>
    <w:p w14:paraId="4F68807E" w14:textId="77777777" w:rsidR="00CA1F09" w:rsidRPr="00BA410E" w:rsidRDefault="00CA1F09" w:rsidP="00CA1F09">
      <w:pPr>
        <w:pStyle w:val="pldetails"/>
      </w:pPr>
      <w:r w:rsidRPr="00BA410E">
        <w:t xml:space="preserve">Van Hai LE (Mr.), Assistant Director, Plant Breeders’ Rights Section, IP Australia, Phillip </w:t>
      </w:r>
      <w:r w:rsidRPr="00BA410E">
        <w:br/>
        <w:t>(e-mail: hai.le@ipaustralia.gov.au)</w:t>
      </w:r>
    </w:p>
    <w:p w14:paraId="77163DA2" w14:textId="77777777" w:rsidR="00CA1F09" w:rsidRPr="00BA410E" w:rsidRDefault="00CA1F09" w:rsidP="00CA1F09">
      <w:pPr>
        <w:pStyle w:val="plcountry"/>
        <w:rPr>
          <w:lang w:val="de-DE"/>
        </w:rPr>
      </w:pPr>
      <w:r w:rsidRPr="00BA410E">
        <w:rPr>
          <w:lang w:val="de-DE"/>
        </w:rPr>
        <w:t>AUTRICHE / AUSTRIA / ÖSTERREICH / AUSTRIA</w:t>
      </w:r>
    </w:p>
    <w:p w14:paraId="2B476437" w14:textId="77777777" w:rsidR="00CA1F09" w:rsidRPr="00BA410E" w:rsidRDefault="00CA1F09" w:rsidP="00CA1F09">
      <w:pPr>
        <w:pStyle w:val="pldetails"/>
        <w:rPr>
          <w:lang w:val="de-DE"/>
        </w:rPr>
      </w:pPr>
      <w:r w:rsidRPr="00BA410E">
        <w:rPr>
          <w:lang w:val="de-DE"/>
        </w:rPr>
        <w:t xml:space="preserve">Birgit GULZ-KUSCHER (Ms.), Legal Advisor for Seed Law and Plant Variety Protection Law, Bundesministerium für Land- und Forstwirtschaft, Regionen und Wasserwirtschaft, Wien </w:t>
      </w:r>
      <w:r w:rsidRPr="00BA410E">
        <w:rPr>
          <w:lang w:val="de-DE"/>
        </w:rPr>
        <w:br/>
        <w:t>(e-mail: birgit.gulz-kuscher@bml.gv.at)</w:t>
      </w:r>
    </w:p>
    <w:p w14:paraId="6CDC6F44" w14:textId="77777777" w:rsidR="00CA1F09" w:rsidRPr="00BA410E" w:rsidRDefault="00CA1F09" w:rsidP="00CA1F09">
      <w:pPr>
        <w:pStyle w:val="plcountry"/>
      </w:pPr>
      <w:r w:rsidRPr="00BA410E">
        <w:t>BÉLARUS / BELARUS / BELARUS / BELARÚS</w:t>
      </w:r>
    </w:p>
    <w:p w14:paraId="5FA56303" w14:textId="77777777" w:rsidR="00CA1F09" w:rsidRPr="00BA410E" w:rsidRDefault="00CA1F09" w:rsidP="00CA1F09">
      <w:pPr>
        <w:pStyle w:val="pldetails"/>
      </w:pPr>
      <w:r w:rsidRPr="00BA410E">
        <w:t xml:space="preserve">Uladzimir BEINIA (Mr.), Director, State Inspection for Testing and Protection of Plant Varieties, Minsk </w:t>
      </w:r>
      <w:r w:rsidRPr="00BA410E">
        <w:br/>
        <w:t>(e-mail: belsort@mail.ru)</w:t>
      </w:r>
    </w:p>
    <w:p w14:paraId="66D445BA" w14:textId="77777777" w:rsidR="00CA1F09" w:rsidRPr="00BA410E" w:rsidRDefault="00CA1F09" w:rsidP="00CA1F09">
      <w:pPr>
        <w:pStyle w:val="pldetails"/>
      </w:pPr>
      <w:r w:rsidRPr="00BA410E">
        <w:t xml:space="preserve">Tatsiana SIAMASHKA (Ms.), Deputy Director, State Inspection for Testing and Protection of Plant Varieties, Minsk </w:t>
      </w:r>
      <w:r w:rsidRPr="00BA410E">
        <w:br/>
        <w:t>(e-mail: belsort@mail.ru)</w:t>
      </w:r>
    </w:p>
    <w:p w14:paraId="7883D007" w14:textId="77777777" w:rsidR="00CA1F09" w:rsidRPr="00BA410E" w:rsidRDefault="00CA1F09" w:rsidP="00CA1F09">
      <w:pPr>
        <w:pStyle w:val="pldetails"/>
      </w:pPr>
      <w:r w:rsidRPr="00BA410E">
        <w:t xml:space="preserve">Maryna SALADUKHA (Ms.), Deputy Head, International Cooperation Department, State Inspection for Testing and Protection of Plant Varieties, Minsk </w:t>
      </w:r>
      <w:r w:rsidRPr="00BA410E">
        <w:br/>
        <w:t>(e-mail: belsort@mail.ru)</w:t>
      </w:r>
    </w:p>
    <w:p w14:paraId="73D0861D" w14:textId="77777777" w:rsidR="00CA1F09" w:rsidRPr="00BA410E" w:rsidRDefault="00CA1F09" w:rsidP="00CA1F09">
      <w:pPr>
        <w:pStyle w:val="plcountry"/>
      </w:pPr>
      <w:r w:rsidRPr="00BA410E">
        <w:t>BELGIQUE / BELGIUM / BELGIEN / BÉLGICA</w:t>
      </w:r>
    </w:p>
    <w:p w14:paraId="21B60431" w14:textId="77777777" w:rsidR="00CA1F09" w:rsidRPr="00BA410E" w:rsidRDefault="00CA1F09" w:rsidP="00CA1F09">
      <w:pPr>
        <w:pStyle w:val="pldetails"/>
        <w:rPr>
          <w:lang w:val="pt-BR"/>
        </w:rPr>
      </w:pPr>
      <w:r w:rsidRPr="00BA410E">
        <w:t xml:space="preserve">Shannah BOENS (Ms.), Attaché, FPS Economy, Bruxelles </w:t>
      </w:r>
      <w:r w:rsidRPr="00BA410E">
        <w:br/>
        <w:t>(e-mail: shannah.boens@economie.fgov.be)</w:t>
      </w:r>
    </w:p>
    <w:p w14:paraId="5ECB96CD" w14:textId="77777777" w:rsidR="00CA1F09" w:rsidRPr="00BA410E" w:rsidRDefault="00CA1F09" w:rsidP="00CA1F09">
      <w:pPr>
        <w:pStyle w:val="plcountry"/>
        <w:rPr>
          <w:lang w:val="pt-BR"/>
        </w:rPr>
      </w:pPr>
      <w:r w:rsidRPr="00BA410E">
        <w:lastRenderedPageBreak/>
        <w:t xml:space="preserve">BOLIVIE (ÉTAT PLURINATIONAL DE) / BOLIVIA (PLURINATIONAL STATE OF) / </w:t>
      </w:r>
      <w:r w:rsidRPr="00BA410E">
        <w:br/>
        <w:t>BOLIVIEN (PLURINATIONALER STAAT) / BOLIVIA (ESTADO PLURINACIONAL DE)</w:t>
      </w:r>
    </w:p>
    <w:p w14:paraId="43652FDB" w14:textId="77777777" w:rsidR="00CA1F09" w:rsidRPr="00BA410E" w:rsidRDefault="00CA1F09" w:rsidP="00CA1F09">
      <w:pPr>
        <w:pStyle w:val="pldetails"/>
        <w:rPr>
          <w:lang w:val="es-ES"/>
        </w:rPr>
      </w:pPr>
      <w:r w:rsidRPr="00BA410E">
        <w:rPr>
          <w:lang w:val="es-ES"/>
        </w:rPr>
        <w:t xml:space="preserve">Ramiro Fernando FIGUEREDO QUISBER (Sr.), Director Nacional de Semillas, Instituto Nacional de Innovación Agropecuaria y Forestal (INIAF), La Paz </w:t>
      </w:r>
      <w:r w:rsidRPr="00BA410E">
        <w:rPr>
          <w:lang w:val="es-ES"/>
        </w:rPr>
        <w:br/>
        <w:t xml:space="preserve">(e-mail: rffigueredoq@gmail.com) </w:t>
      </w:r>
    </w:p>
    <w:p w14:paraId="1BE9C84A" w14:textId="77777777" w:rsidR="00CA1F09" w:rsidRPr="00BA410E" w:rsidRDefault="00CA1F09" w:rsidP="00CA1F09">
      <w:pPr>
        <w:pStyle w:val="pldetails"/>
        <w:rPr>
          <w:lang w:val="pt-BR"/>
        </w:rPr>
      </w:pPr>
      <w:r w:rsidRPr="00BA410E">
        <w:rPr>
          <w:lang w:val="es-ES"/>
        </w:rPr>
        <w:t xml:space="preserve">José Luis VACAFLOR DOMÍNGUEZ (Sr.), Responsable Nacional de Fiscalización y Registros de Semillas, Instituto Nacional de Innovación Agropecuaria y Forestal (INIAF), La Paz </w:t>
      </w:r>
      <w:r w:rsidRPr="00BA410E">
        <w:rPr>
          <w:lang w:val="es-ES"/>
        </w:rPr>
        <w:br/>
        <w:t>(e-mail: joseluisvacaflor@hotmail.com)</w:t>
      </w:r>
    </w:p>
    <w:p w14:paraId="72B58FA7" w14:textId="77777777" w:rsidR="00CA1F09" w:rsidRPr="00BA410E" w:rsidRDefault="00CA1F09" w:rsidP="00CA1F09">
      <w:pPr>
        <w:pStyle w:val="plcountry"/>
        <w:rPr>
          <w:lang w:val="pt-BR"/>
        </w:rPr>
      </w:pPr>
      <w:r w:rsidRPr="00BA410E">
        <w:rPr>
          <w:lang w:val="pt-BR"/>
        </w:rPr>
        <w:t>BRÉSIL / BRAZIL / BRASILIEN / BRASIL</w:t>
      </w:r>
    </w:p>
    <w:p w14:paraId="3A54F287" w14:textId="77777777" w:rsidR="00CA1F09" w:rsidRPr="00BA410E" w:rsidRDefault="00CA1F09" w:rsidP="00CA1F09">
      <w:pPr>
        <w:pStyle w:val="pldetails"/>
        <w:rPr>
          <w:lang w:val="pt-BR"/>
        </w:rPr>
      </w:pPr>
      <w:r w:rsidRPr="00BA410E">
        <w:rPr>
          <w:lang w:val="pt-BR"/>
        </w:rPr>
        <w:t>Stefânia PALMA ARAUJO (Ms.), Coordinator, Plant Variety Protection Office, National Plant Variety Protection Service, Serviço Nacional de Proteção de Cultivares (SNPC), Brasilia</w:t>
      </w:r>
      <w:r w:rsidRPr="00BA410E">
        <w:rPr>
          <w:lang w:val="pt-BR"/>
        </w:rPr>
        <w:br/>
        <w:t>(e-mail: stefania.araujo@agro.gov.br)</w:t>
      </w:r>
    </w:p>
    <w:p w14:paraId="67E8FE6E" w14:textId="77777777" w:rsidR="00CA1F09" w:rsidRPr="00BA410E" w:rsidRDefault="00CA1F09" w:rsidP="00CA1F09">
      <w:pPr>
        <w:pStyle w:val="pldetails"/>
        <w:rPr>
          <w:lang w:val="pt-BR"/>
        </w:rPr>
      </w:pPr>
      <w:r w:rsidRPr="00BA410E">
        <w:t xml:space="preserve">Maria José PARON (Ms.), Federal Agricultural Inspector, Ministry of Agriculture and Livestock, Brasilia </w:t>
      </w:r>
      <w:r w:rsidRPr="00BA410E">
        <w:br/>
        <w:t>(e-mail: maria.paron@agro.gov.br)</w:t>
      </w:r>
    </w:p>
    <w:p w14:paraId="7075B68C" w14:textId="77777777" w:rsidR="00CA1F09" w:rsidRPr="00BA410E" w:rsidRDefault="00CA1F09" w:rsidP="00CA1F09">
      <w:pPr>
        <w:pStyle w:val="plcountry"/>
        <w:rPr>
          <w:lang w:val="pt-BR"/>
        </w:rPr>
      </w:pPr>
      <w:r w:rsidRPr="00BA410E">
        <w:rPr>
          <w:lang w:val="pt-BR"/>
        </w:rPr>
        <w:t>CANADA / CANADA / KANADA / CANADÁ</w:t>
      </w:r>
    </w:p>
    <w:p w14:paraId="6EE90AF9" w14:textId="77777777" w:rsidR="00CA1F09" w:rsidRPr="00BA410E" w:rsidRDefault="00CA1F09" w:rsidP="00CA1F09">
      <w:pPr>
        <w:pStyle w:val="pldetails"/>
      </w:pPr>
      <w:r w:rsidRPr="00BA410E">
        <w:t xml:space="preserve">Anthony PARKER (Mr.), Commissioner, Plant Breeders' Rights Office, Canadian Food Inspection Agency (CFIA), Ottawa </w:t>
      </w:r>
      <w:r w:rsidRPr="00BA410E">
        <w:br/>
        <w:t>(e-mail: anthony.parker@inspection.gc.ca)</w:t>
      </w:r>
    </w:p>
    <w:p w14:paraId="7D56E4DE" w14:textId="77777777" w:rsidR="00CA1F09" w:rsidRPr="00BA410E" w:rsidRDefault="00CA1F09" w:rsidP="00CA1F09">
      <w:pPr>
        <w:pStyle w:val="pldetails"/>
      </w:pPr>
      <w:r w:rsidRPr="00BA410E">
        <w:t xml:space="preserve">Marc DE WIT (Mr.), Policy and Program Team Leader, Plant Breeders' Rights Office, Canadian Food Inspection Agency (CFIA), Ottawa </w:t>
      </w:r>
      <w:r w:rsidRPr="00BA410E">
        <w:br/>
        <w:t>(e-mail: Marc.deWit@Inspection.gc.ca)</w:t>
      </w:r>
    </w:p>
    <w:p w14:paraId="099726F1" w14:textId="77777777" w:rsidR="00CA1F09" w:rsidRPr="00BA410E" w:rsidRDefault="00CA1F09" w:rsidP="00CA1F09">
      <w:pPr>
        <w:pStyle w:val="pldetails"/>
      </w:pPr>
      <w:r w:rsidRPr="00BA410E">
        <w:t xml:space="preserve">Renée CLOUTIER (Ms.), Examiner, Plant Breeders' Rights Office, Canadian Food Inspection Agency (CFIA), Ottawa </w:t>
      </w:r>
      <w:r w:rsidRPr="00BA410E">
        <w:br/>
        <w:t>(e-mail: Renee.Cloutier@inspection.gc.ca)</w:t>
      </w:r>
    </w:p>
    <w:p w14:paraId="06BD9CA2" w14:textId="77777777" w:rsidR="00CA1F09" w:rsidRPr="00BA410E" w:rsidRDefault="00CA1F09" w:rsidP="00CA1F09">
      <w:pPr>
        <w:pStyle w:val="plcountry"/>
        <w:rPr>
          <w:lang w:val="es-ES"/>
        </w:rPr>
      </w:pPr>
      <w:r w:rsidRPr="00BA410E">
        <w:rPr>
          <w:lang w:val="es-ES"/>
        </w:rPr>
        <w:t>CHILI / CHILE / CHILE / CHILE</w:t>
      </w:r>
    </w:p>
    <w:p w14:paraId="332EA55B" w14:textId="77777777" w:rsidR="00CA1F09" w:rsidRPr="00BA410E" w:rsidRDefault="00CA1F09" w:rsidP="00CA1F09">
      <w:pPr>
        <w:pStyle w:val="pldetails"/>
        <w:rPr>
          <w:lang w:val="es-ES"/>
        </w:rPr>
      </w:pPr>
      <w:r w:rsidRPr="00BA410E">
        <w:rPr>
          <w:lang w:val="es-ES"/>
        </w:rPr>
        <w:t xml:space="preserve">Manuel Antonio TORO UGALDE (Sr.), Jefe Sección, Registro de Variedades Protegidas, Departamento de Semillas y Plantas, Servicio Agrícola y Ganadero (SAG), Santiago de Chile </w:t>
      </w:r>
      <w:r w:rsidRPr="00BA410E">
        <w:rPr>
          <w:lang w:val="es-ES"/>
        </w:rPr>
        <w:br/>
        <w:t>(e-mail: manuel.toro@sag.gob.cl)</w:t>
      </w:r>
    </w:p>
    <w:p w14:paraId="1F8A57DF" w14:textId="77777777" w:rsidR="00CA1F09" w:rsidRPr="00BA410E" w:rsidRDefault="00CA1F09" w:rsidP="00CA1F09">
      <w:pPr>
        <w:pStyle w:val="plcountry"/>
        <w:rPr>
          <w:lang w:val="pt-BR"/>
        </w:rPr>
      </w:pPr>
      <w:r w:rsidRPr="00BA410E">
        <w:rPr>
          <w:lang w:val="pt-BR"/>
        </w:rPr>
        <w:t>CHINE / CHINA / CHINA / CHINA</w:t>
      </w:r>
    </w:p>
    <w:p w14:paraId="1959C840" w14:textId="77777777" w:rsidR="00CA1F09" w:rsidRPr="00BA410E" w:rsidRDefault="00CA1F09" w:rsidP="00CA1F09">
      <w:pPr>
        <w:pStyle w:val="pldetails"/>
      </w:pPr>
      <w:r w:rsidRPr="00BA410E">
        <w:t xml:space="preserve">Yehan CUI (Mr.), Chief Agronomist, Development Center of Science and Technology (DCST), Ministry of Agriculture and Rural Affairs (MARA), Beijing </w:t>
      </w:r>
      <w:r w:rsidRPr="00BA410E">
        <w:br/>
        <w:t>(e-mail: cuiyehan@agri.gov.cn)</w:t>
      </w:r>
    </w:p>
    <w:p w14:paraId="2464089B" w14:textId="77777777" w:rsidR="00CA1F09" w:rsidRPr="00BA410E" w:rsidRDefault="00CA1F09" w:rsidP="00CA1F09">
      <w:pPr>
        <w:pStyle w:val="pldetails"/>
      </w:pPr>
      <w:r w:rsidRPr="00BA410E">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A410E">
        <w:br/>
        <w:t>(e-mail: zyq8565@126.com)</w:t>
      </w:r>
    </w:p>
    <w:p w14:paraId="2CAAF57B" w14:textId="77777777" w:rsidR="00CA1F09" w:rsidRPr="00BA410E" w:rsidRDefault="00CA1F09" w:rsidP="00CA1F09">
      <w:pPr>
        <w:pStyle w:val="pldetails"/>
      </w:pPr>
      <w:r w:rsidRPr="00BA410E">
        <w:t xml:space="preserve">Hao TANG (Mr.), Division Director, Division of Plant Variety Protection, Development Center of Science and Technology, Ministry of Agriculture and Rural Affairs (MARA), Beijing </w:t>
      </w:r>
      <w:r w:rsidRPr="00BA410E">
        <w:br/>
        <w:t xml:space="preserve">(e-mail: tanghao1973@126.com) </w:t>
      </w:r>
    </w:p>
    <w:p w14:paraId="35983AFD" w14:textId="77777777" w:rsidR="00CA1F09" w:rsidRPr="00BA410E" w:rsidRDefault="00CA1F09" w:rsidP="00CA1F09">
      <w:pPr>
        <w:pStyle w:val="pldetails"/>
      </w:pPr>
      <w:r w:rsidRPr="00BA410E">
        <w:t xml:space="preserve">Boxuan WU (Mr.), Senior Program Officer, International Cooperation Department, China National Intellectual Property Administration (CNIPA), Beijing </w:t>
      </w:r>
      <w:r w:rsidRPr="00BA410E">
        <w:br/>
        <w:t xml:space="preserve">(e-mail: wuboxuan@cnipa.gov.cn) </w:t>
      </w:r>
    </w:p>
    <w:p w14:paraId="2C1BC471" w14:textId="77777777" w:rsidR="00CA1F09" w:rsidRPr="00BA410E" w:rsidRDefault="00CA1F09" w:rsidP="00CA1F09">
      <w:pPr>
        <w:pStyle w:val="pldetails"/>
      </w:pPr>
      <w:r w:rsidRPr="00BA410E">
        <w:t xml:space="preserve">Yuxia LIU (Ms.), Consultant, Science and Technology Development Center, Office for Protection of New Varieties of Plants, National Forestry and Grassland Administration of China (NFGA), Beijing </w:t>
      </w:r>
      <w:r w:rsidRPr="00BA410E">
        <w:br/>
        <w:t xml:space="preserve">(e-mail: kjzxlyx@163.com) </w:t>
      </w:r>
    </w:p>
    <w:p w14:paraId="404BF64C" w14:textId="77777777" w:rsidR="00CA1F09" w:rsidRPr="00BA410E" w:rsidRDefault="00CA1F09" w:rsidP="00CA1F09">
      <w:pPr>
        <w:pStyle w:val="pldetails"/>
      </w:pPr>
      <w:r w:rsidRPr="00BA410E">
        <w:t xml:space="preserve">Hua DENG (Ms.), Assistant professor, Chinese Academy of Forestry, Ministry of Agriculture and Rural Affairs (MARA), Beijing </w:t>
      </w:r>
      <w:r w:rsidRPr="00BA410E">
        <w:br/>
        <w:t>(e-mail: denghua@caf.ac.cn)</w:t>
      </w:r>
    </w:p>
    <w:p w14:paraId="3D3493E2" w14:textId="77777777" w:rsidR="00CA1F09" w:rsidRPr="00BA410E" w:rsidRDefault="00CA1F09" w:rsidP="00CA1F09">
      <w:pPr>
        <w:pStyle w:val="plcountry"/>
        <w:rPr>
          <w:lang w:val="es-ES"/>
        </w:rPr>
      </w:pPr>
      <w:r w:rsidRPr="00BA410E">
        <w:rPr>
          <w:lang w:val="es-ES"/>
        </w:rPr>
        <w:t>COLOMBIE / COLOMBIA / KOLUMBIEN / COLOMBIA</w:t>
      </w:r>
    </w:p>
    <w:p w14:paraId="251A0983" w14:textId="77777777" w:rsidR="00CA1F09" w:rsidRPr="00BA410E" w:rsidRDefault="00CA1F09" w:rsidP="00CA1F09">
      <w:pPr>
        <w:pStyle w:val="pldetails"/>
        <w:rPr>
          <w:lang w:val="pt-BR"/>
        </w:rPr>
      </w:pPr>
      <w:r w:rsidRPr="00BA410E">
        <w:rPr>
          <w:lang w:val="es-ES"/>
        </w:rPr>
        <w:t xml:space="preserve">Alfonso Alberto ROSERO (Sr.), Director Técnico de Semillas, Subgerencia de Protección Vegetal, Instituto Colombiano Agropecuario (ICA), Bogotá </w:t>
      </w:r>
      <w:r w:rsidRPr="00BA410E">
        <w:rPr>
          <w:lang w:val="es-ES"/>
        </w:rPr>
        <w:br/>
        <w:t>(e-mail: alberto.rosero@ica.gov.co)</w:t>
      </w:r>
    </w:p>
    <w:p w14:paraId="72EBBA35" w14:textId="77777777" w:rsidR="00CA1F09" w:rsidRPr="00BA410E" w:rsidRDefault="00CA1F09" w:rsidP="00CA1F09">
      <w:pPr>
        <w:pStyle w:val="plcountry"/>
        <w:rPr>
          <w:lang w:val="pt-BR"/>
        </w:rPr>
      </w:pPr>
      <w:r w:rsidRPr="00BA410E">
        <w:rPr>
          <w:lang w:val="pt-BR"/>
        </w:rPr>
        <w:lastRenderedPageBreak/>
        <w:t>DANEMARK / DENMARK / DÄNEMARK / DINAMARCA</w:t>
      </w:r>
    </w:p>
    <w:p w14:paraId="5853785E" w14:textId="77777777" w:rsidR="00CA1F09" w:rsidRPr="00BA410E" w:rsidRDefault="00CA1F09" w:rsidP="00CA1F09">
      <w:pPr>
        <w:pStyle w:val="pldetails"/>
      </w:pPr>
      <w:r w:rsidRPr="00BA410E">
        <w:t xml:space="preserve">Kristine Bech KLINDT (Ms.), Team Leader, Plants &amp; Biosecurity, The Danish Agricultural Agency, Copenhagen </w:t>
      </w:r>
      <w:r w:rsidRPr="00BA410E">
        <w:br/>
        <w:t xml:space="preserve">(e-mail: planter&amp;biosikkerhed@lbst.dk) </w:t>
      </w:r>
    </w:p>
    <w:p w14:paraId="153D8465" w14:textId="77777777" w:rsidR="00CA1F09" w:rsidRPr="00BA410E" w:rsidRDefault="00CA1F09" w:rsidP="00CA1F09">
      <w:pPr>
        <w:pStyle w:val="pldetails"/>
        <w:rPr>
          <w:lang w:val="pt-BR"/>
        </w:rPr>
      </w:pPr>
      <w:r w:rsidRPr="00BA410E">
        <w:t xml:space="preserve">Line Klingenberg KRUSE (Ms.), Academic Officer, The Danish Agricultural Agency, Copenhagen </w:t>
      </w:r>
      <w:r w:rsidRPr="00BA410E">
        <w:br/>
        <w:t>(e-mail: likrus@lbst.dk)</w:t>
      </w:r>
    </w:p>
    <w:p w14:paraId="740CCCC9" w14:textId="77777777" w:rsidR="00CA1F09" w:rsidRPr="00BA410E" w:rsidRDefault="00CA1F09" w:rsidP="00CA1F09">
      <w:pPr>
        <w:pStyle w:val="plcountry"/>
        <w:rPr>
          <w:lang w:val="pt-BR"/>
        </w:rPr>
      </w:pPr>
      <w:r w:rsidRPr="00BA410E">
        <w:rPr>
          <w:lang w:val="pt-BR"/>
        </w:rPr>
        <w:t>ÉGYPTE / EGYPT / ÄGYPTEN / EGIPTO</w:t>
      </w:r>
    </w:p>
    <w:p w14:paraId="2A1940C5" w14:textId="77777777" w:rsidR="00CA1F09" w:rsidRPr="00BA410E" w:rsidRDefault="00CA1F09" w:rsidP="00CA1F09">
      <w:pPr>
        <w:pStyle w:val="pldetails"/>
        <w:rPr>
          <w:lang w:val="pt-BR"/>
        </w:rPr>
      </w:pPr>
      <w:r w:rsidRPr="00BA410E">
        <w:t xml:space="preserve">Shymaa ABOSHOSHA (Ms.), Agricultural Engineer, Plant Variety Protection Office (PVPO), Central Administration for Seed Testing and Certification (CASC), Giza </w:t>
      </w:r>
      <w:r w:rsidRPr="00BA410E">
        <w:br/>
        <w:t>(e-mail: sh_z9@hotmail.com)</w:t>
      </w:r>
    </w:p>
    <w:p w14:paraId="25D681E3" w14:textId="77777777" w:rsidR="00CA1F09" w:rsidRPr="00BA410E" w:rsidRDefault="00CA1F09" w:rsidP="00CA1F09">
      <w:pPr>
        <w:pStyle w:val="plcountry"/>
        <w:rPr>
          <w:lang w:val="es-ES"/>
        </w:rPr>
      </w:pPr>
      <w:r w:rsidRPr="00BA410E">
        <w:rPr>
          <w:lang w:val="es-ES"/>
        </w:rPr>
        <w:t>ESPAGNE / SPAIN / SPANIEN / ESPAÑA</w:t>
      </w:r>
    </w:p>
    <w:p w14:paraId="31419D69" w14:textId="77777777" w:rsidR="00CA1F09" w:rsidRPr="00BA410E" w:rsidRDefault="00CA1F09" w:rsidP="00CA1F09">
      <w:pPr>
        <w:pStyle w:val="pldetails"/>
        <w:rPr>
          <w:lang w:val="es-ES"/>
        </w:rPr>
      </w:pPr>
      <w:r w:rsidRPr="00BA410E">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BA410E">
        <w:rPr>
          <w:lang w:val="es-ES"/>
        </w:rPr>
        <w:br/>
        <w:t>(e-mail: jasobrino@mapa.es)</w:t>
      </w:r>
    </w:p>
    <w:p w14:paraId="3D40849C" w14:textId="77777777" w:rsidR="00CA1F09" w:rsidRPr="00BA410E" w:rsidRDefault="00CA1F09" w:rsidP="00CA1F09">
      <w:pPr>
        <w:pStyle w:val="pldetails"/>
        <w:rPr>
          <w:lang w:val="es-ES"/>
        </w:rPr>
      </w:pPr>
      <w:bookmarkStart w:id="11" w:name="_Hlk179983531"/>
      <w:r w:rsidRPr="00BA410E">
        <w:rPr>
          <w:lang w:val="es-ES"/>
        </w:rPr>
        <w:t xml:space="preserve">Carlos SANZ ZUDAIRE (Mr.), Head of Registry, Oficina Española de Variedades Vegetales (MPA y OEVV), Madrid </w:t>
      </w:r>
      <w:r w:rsidRPr="00BA410E">
        <w:rPr>
          <w:lang w:val="es-ES"/>
        </w:rPr>
        <w:br/>
        <w:t>(e-mail: csanz@mapa.es)</w:t>
      </w:r>
    </w:p>
    <w:bookmarkEnd w:id="11"/>
    <w:p w14:paraId="6F2C28BD" w14:textId="77777777" w:rsidR="00CA1F09" w:rsidRPr="00BA410E" w:rsidRDefault="00CA1F09" w:rsidP="00CA1F09">
      <w:pPr>
        <w:pStyle w:val="plcountry"/>
      </w:pPr>
      <w:r w:rsidRPr="00BA410E">
        <w:t>ESTONIE / ESTONIA / ESTLAND / ESTONIA</w:t>
      </w:r>
    </w:p>
    <w:p w14:paraId="0C23D339" w14:textId="77777777" w:rsidR="00CA1F09" w:rsidRPr="00BA410E" w:rsidRDefault="00CA1F09" w:rsidP="00CA1F09">
      <w:pPr>
        <w:pStyle w:val="pldetails"/>
      </w:pPr>
      <w:r w:rsidRPr="00BA410E">
        <w:t xml:space="preserve">Laima PUUR (Ms.), Adviser, Organic Farming and Seed Department, Estonian Agricultural and Food Board, Viljandi </w:t>
      </w:r>
      <w:r w:rsidRPr="00BA410E">
        <w:br/>
        <w:t>(e-mail: laima.puur@pta.agri.ee)</w:t>
      </w:r>
    </w:p>
    <w:p w14:paraId="556AEF39" w14:textId="77777777" w:rsidR="00CA1F09" w:rsidRPr="00BA410E" w:rsidRDefault="00CA1F09" w:rsidP="00CA1F09">
      <w:pPr>
        <w:pStyle w:val="plcountry"/>
        <w:rPr>
          <w:lang w:val="pt-BR"/>
        </w:rPr>
      </w:pPr>
      <w:r w:rsidRPr="00BA410E">
        <w:rPr>
          <w:lang w:val="pt-BR"/>
        </w:rPr>
        <w:t xml:space="preserve">ÉTATS-UNIS D'AMÉRIQUE / UNITED STATES OF AMERICA / VEREINIGTE STAATEN VON AMERIKA / </w:t>
      </w:r>
      <w:r w:rsidRPr="00BA410E">
        <w:rPr>
          <w:lang w:val="pt-BR"/>
        </w:rPr>
        <w:br/>
        <w:t>ESTADOS UNIDOS DE AMÉRICA</w:t>
      </w:r>
    </w:p>
    <w:p w14:paraId="02683C6C" w14:textId="77777777" w:rsidR="00CA1F09" w:rsidRPr="00BA410E" w:rsidRDefault="00CA1F09" w:rsidP="00CA1F09">
      <w:pPr>
        <w:pStyle w:val="pldetails"/>
      </w:pPr>
      <w:r w:rsidRPr="00BA410E">
        <w:t>Christian HANNON (Mr.), Senior Patent Attorney, Office of Policy and International Affairs (OPIA), United States Patent and Trademark Office (USPTO), Alexandria</w:t>
      </w:r>
      <w:r w:rsidRPr="00BA410E">
        <w:br/>
        <w:t>(e-mail: christian.hannon@uspto.gov)</w:t>
      </w:r>
    </w:p>
    <w:p w14:paraId="73E29F1F" w14:textId="77777777" w:rsidR="00CA1F09" w:rsidRPr="00BA410E" w:rsidRDefault="00CA1F09" w:rsidP="00CA1F09">
      <w:pPr>
        <w:pStyle w:val="pldetails"/>
      </w:pPr>
      <w:r w:rsidRPr="00BA410E">
        <w:t>Ruihong GUO (Ms.), Deputy Administrator, AMS, Science &amp; Technology Program, United States Department of Agriculture (USDA), Washington D.C.</w:t>
      </w:r>
      <w:r w:rsidRPr="00BA410E">
        <w:br/>
        <w:t>(e-mail: ruihong.guo@usda.gov)</w:t>
      </w:r>
    </w:p>
    <w:p w14:paraId="57FF68B1" w14:textId="77777777" w:rsidR="00CA1F09" w:rsidRPr="00BA410E" w:rsidRDefault="00CA1F09" w:rsidP="00CA1F09">
      <w:pPr>
        <w:pStyle w:val="pldetails"/>
      </w:pPr>
      <w:r w:rsidRPr="00BA410E">
        <w:t xml:space="preserve">Jeffery HAYNES (Mr.), Commissioner, Plant Variety Protection Office, AMS, Science &amp; Technology Program, United States Department of Agriculture (USDA), Washington D.C. </w:t>
      </w:r>
      <w:r w:rsidRPr="00BA410E">
        <w:br/>
        <w:t>(e-mail: Jeffery.Haynes@usda.gov)</w:t>
      </w:r>
    </w:p>
    <w:p w14:paraId="7C602597" w14:textId="77777777" w:rsidR="00CA1F09" w:rsidRPr="00BA410E" w:rsidRDefault="00CA1F09" w:rsidP="00CA1F09">
      <w:pPr>
        <w:pStyle w:val="plcountry"/>
      </w:pPr>
      <w:r w:rsidRPr="00BA410E">
        <w:t xml:space="preserve">FÉDÉRATION DE RUSSIE / RUSSIAN FEDERATION / RUSSISCHE FÖDERATION / </w:t>
      </w:r>
      <w:r w:rsidRPr="00BA410E">
        <w:br/>
        <w:t>FEDERACIÓN DE RUSIA</w:t>
      </w:r>
    </w:p>
    <w:p w14:paraId="0F8F0326" w14:textId="77777777" w:rsidR="00CA1F09" w:rsidRPr="00BA410E" w:rsidRDefault="00CA1F09" w:rsidP="00CA1F09">
      <w:pPr>
        <w:pStyle w:val="pldetails"/>
      </w:pPr>
      <w:r w:rsidRPr="00BA410E">
        <w:t xml:space="preserve">Anastasiia TOROPOVA (Ms.), Second Secretary, Permanent Mission, Geneva </w:t>
      </w:r>
      <w:r w:rsidRPr="00BA410E">
        <w:br/>
        <w:t>(e-mail: toropovaaa1@yandex.ru)</w:t>
      </w:r>
    </w:p>
    <w:p w14:paraId="7C7894DB" w14:textId="77777777" w:rsidR="00CA1F09" w:rsidRPr="00BA410E" w:rsidRDefault="00CA1F09" w:rsidP="00CA1F09">
      <w:pPr>
        <w:pStyle w:val="pldetails"/>
      </w:pPr>
      <w:r w:rsidRPr="00BA410E">
        <w:t xml:space="preserve">Ivan TARUTIN (Mr.), Third Secretary, Permanent Mission, Geneva </w:t>
      </w:r>
      <w:r w:rsidRPr="00BA410E">
        <w:br/>
        <w:t>(e-mail: Tarutin.ivan@gmail.com)</w:t>
      </w:r>
    </w:p>
    <w:p w14:paraId="38F37D69" w14:textId="77777777" w:rsidR="00CA1F09" w:rsidRPr="00BA410E" w:rsidRDefault="00CA1F09" w:rsidP="00CA1F09">
      <w:pPr>
        <w:pStyle w:val="plcountry"/>
      </w:pPr>
      <w:r w:rsidRPr="00BA410E">
        <w:t>FINLANDE / FINLAND / FINNLAND / FINLANDIA</w:t>
      </w:r>
    </w:p>
    <w:p w14:paraId="701EF5B1" w14:textId="77777777" w:rsidR="00CA1F09" w:rsidRPr="00BA410E" w:rsidRDefault="00CA1F09" w:rsidP="00CA1F09">
      <w:pPr>
        <w:pStyle w:val="pldetails"/>
      </w:pPr>
      <w:r w:rsidRPr="00BA410E">
        <w:t xml:space="preserve">Tarja Päivikki HIETARANTA (Ms.), Senior Specialist, Plant Variety Registration, Finnish Food Authority, Loimaa </w:t>
      </w:r>
      <w:r w:rsidRPr="00BA410E">
        <w:br/>
        <w:t>(e-mail: tarja.hietaranta@ruokavirasto.fi)</w:t>
      </w:r>
    </w:p>
    <w:p w14:paraId="6EC46B41" w14:textId="77777777" w:rsidR="00CA1F09" w:rsidRPr="00BA410E" w:rsidRDefault="00CA1F09" w:rsidP="00CA1F09">
      <w:pPr>
        <w:pStyle w:val="plcountry"/>
      </w:pPr>
      <w:r w:rsidRPr="00BA410E">
        <w:t>FRANCE / France / FRANKREICH / FRANCIA</w:t>
      </w:r>
    </w:p>
    <w:p w14:paraId="00538272" w14:textId="77777777" w:rsidR="00CA1F09" w:rsidRPr="00BA410E" w:rsidRDefault="00CA1F09" w:rsidP="00CA1F09">
      <w:pPr>
        <w:pStyle w:val="pldetails"/>
      </w:pPr>
      <w:r w:rsidRPr="00BA410E">
        <w:t xml:space="preserve">Antoine KATALAYI MULELI (M.), Chargé de mission sélection vétgétale, qualité des semences et protection intellectuelle, Ministère de l’agriculture et de la souveraineté alimentaire, Paris </w:t>
      </w:r>
      <w:r w:rsidRPr="00BA410E">
        <w:br/>
        <w:t>(e-mail: antoine.katalayi-muleli@agriculture.gouv.fr)</w:t>
      </w:r>
    </w:p>
    <w:p w14:paraId="1EBFFD33" w14:textId="77777777" w:rsidR="00CA1F09" w:rsidRPr="00BA410E" w:rsidRDefault="00CA1F09" w:rsidP="00CA1F09">
      <w:pPr>
        <w:pStyle w:val="pldetails"/>
        <w:rPr>
          <w:lang w:val="fr-CH"/>
        </w:rPr>
      </w:pPr>
      <w:r w:rsidRPr="00BA410E">
        <w:rPr>
          <w:lang w:val="fr-CH"/>
        </w:rPr>
        <w:t xml:space="preserve">Yvane MERESSE (Mme), Responsable de l'Instance Nationale des Obtentions Végétales (INOV), Groupe d'Étude et de Contrôle des Variétés et des Semences (GEVES), Beaucouzé </w:t>
      </w:r>
      <w:r w:rsidRPr="00BA410E">
        <w:rPr>
          <w:lang w:val="fr-CH"/>
        </w:rPr>
        <w:br/>
        <w:t>(e-mail: yvane.meresse@geves.fr)</w:t>
      </w:r>
    </w:p>
    <w:p w14:paraId="46614055" w14:textId="77777777" w:rsidR="00CA1F09" w:rsidRPr="00BA410E" w:rsidRDefault="00CA1F09" w:rsidP="00CA1F09">
      <w:pPr>
        <w:pStyle w:val="plcountry"/>
      </w:pPr>
      <w:r w:rsidRPr="00BA410E">
        <w:lastRenderedPageBreak/>
        <w:t>GHANA / GHANA / GHANA / GHANA</w:t>
      </w:r>
    </w:p>
    <w:p w14:paraId="1BEDC496" w14:textId="77777777" w:rsidR="00CA1F09" w:rsidRPr="00BA410E" w:rsidRDefault="00CA1F09" w:rsidP="00CA1F09">
      <w:pPr>
        <w:pStyle w:val="pldetails"/>
      </w:pPr>
      <w:r w:rsidRPr="00BA410E">
        <w:t xml:space="preserve">Diana Asonoba DAPAAH (Ms.), Deputy Attorney General and Deputy Minister of Justice, Office of the Attorney General and Ministry of Justice, Accra </w:t>
      </w:r>
      <w:r w:rsidRPr="00BA410E">
        <w:br/>
        <w:t>(e-mail: diana.dapaah@mojagd.gov.gh)</w:t>
      </w:r>
    </w:p>
    <w:p w14:paraId="0B9B81D1" w14:textId="77777777" w:rsidR="00CA1F09" w:rsidRPr="00BA410E" w:rsidRDefault="00CA1F09" w:rsidP="00CA1F09">
      <w:pPr>
        <w:pStyle w:val="pldetails"/>
      </w:pPr>
      <w:r w:rsidRPr="00BA410E">
        <w:t xml:space="preserve">Maud Ofaah YEBOAH (Ms.), State Attorney, Attorney General’s &amp; Ministry of Justice, Accra </w:t>
      </w:r>
      <w:r w:rsidRPr="00BA410E">
        <w:br/>
        <w:t>(e-mail: graceissahaque@hotmail.com)</w:t>
      </w:r>
    </w:p>
    <w:p w14:paraId="67CFE1CD" w14:textId="77777777" w:rsidR="00CA1F09" w:rsidRPr="00BA410E" w:rsidRDefault="00CA1F09" w:rsidP="00CA1F09">
      <w:pPr>
        <w:pStyle w:val="pldetails"/>
      </w:pPr>
      <w:r w:rsidRPr="00BA410E">
        <w:t xml:space="preserve">Courage BESAH-ADANU (Mr.), Head of PVP Unit, Senior Programs Officer, Ghana Industrial Property Office, Registrar General's Department, Accra </w:t>
      </w:r>
      <w:r w:rsidRPr="00BA410E">
        <w:br/>
        <w:t>(e-mail: kadanu2@gmail.com)</w:t>
      </w:r>
    </w:p>
    <w:p w14:paraId="2D165C20" w14:textId="77777777" w:rsidR="00CA1F09" w:rsidRPr="00BA410E" w:rsidRDefault="00CA1F09" w:rsidP="00CA1F09">
      <w:pPr>
        <w:pStyle w:val="pldetails"/>
      </w:pPr>
      <w:r w:rsidRPr="00BA410E">
        <w:t>Audrey NEEQUAYE (Ms.), First Secretary, Permanent Mission, Geneva</w:t>
      </w:r>
      <w:r w:rsidRPr="00BA410E">
        <w:br/>
        <w:t xml:space="preserve">(e-mail: </w:t>
      </w:r>
      <w:hyperlink r:id="rId19" w:history="1">
        <w:r w:rsidRPr="00BA410E">
          <w:t>neequayea@ghanamission.ch</w:t>
        </w:r>
      </w:hyperlink>
      <w:r w:rsidRPr="00BA410E">
        <w:t>)</w:t>
      </w:r>
    </w:p>
    <w:p w14:paraId="4DD90B9E" w14:textId="77777777" w:rsidR="00CA1F09" w:rsidRPr="00BA410E" w:rsidRDefault="00CA1F09" w:rsidP="00CA1F09">
      <w:pPr>
        <w:pStyle w:val="plcountry"/>
        <w:spacing w:before="60" w:after="60"/>
        <w:rPr>
          <w:rFonts w:eastAsiaTheme="minorEastAsia"/>
          <w:caps w:val="0"/>
          <w:u w:val="none"/>
          <w:lang w:eastAsia="ja-JP"/>
        </w:rPr>
      </w:pPr>
      <w:r w:rsidRPr="00BA410E">
        <w:rPr>
          <w:caps w:val="0"/>
          <w:u w:val="none"/>
        </w:rPr>
        <w:t>Akosua OKYERE-BADOO (Ms.), Deputy Permanent Representative, Permanent Mission, Geneva</w:t>
      </w:r>
      <w:r w:rsidRPr="00BA410E">
        <w:rPr>
          <w:caps w:val="0"/>
          <w:u w:val="none"/>
        </w:rPr>
        <w:br/>
        <w:t>(e-mail: info@ghanamission.ch)</w:t>
      </w:r>
    </w:p>
    <w:p w14:paraId="1A9F9DFE" w14:textId="77777777" w:rsidR="00CA1F09" w:rsidRPr="00BA410E" w:rsidRDefault="00CA1F09" w:rsidP="00CA1F09">
      <w:pPr>
        <w:pStyle w:val="plcountry"/>
      </w:pPr>
      <w:r w:rsidRPr="00BA410E">
        <w:t>HONGRIE / HUNGARY / UNGARN / HUNGRÍA</w:t>
      </w:r>
    </w:p>
    <w:p w14:paraId="787CDAD5" w14:textId="77777777" w:rsidR="00CA1F09" w:rsidRPr="00BA410E" w:rsidRDefault="00CA1F09" w:rsidP="00CA1F09">
      <w:pPr>
        <w:pStyle w:val="pldetails"/>
      </w:pPr>
      <w:r w:rsidRPr="00BA410E">
        <w:t xml:space="preserve">Dóra GYETVAINÉ VIRÁG (Ms.), Vice-President for Industrial Property Administration, Hungarian Intellectual Property Office (HIPO), Budapest </w:t>
      </w:r>
      <w:r w:rsidRPr="00BA410E">
        <w:br/>
        <w:t xml:space="preserve">(e-mail: dora.virag@hipo.gov.hu) </w:t>
      </w:r>
    </w:p>
    <w:p w14:paraId="68E41B1B" w14:textId="77777777" w:rsidR="00CA1F09" w:rsidRPr="00BA410E" w:rsidRDefault="00CA1F09" w:rsidP="00CA1F09">
      <w:pPr>
        <w:pStyle w:val="plcountry"/>
      </w:pPr>
      <w:r w:rsidRPr="00BA410E">
        <w:t>IRLANDE / IRELAND / IRLAND / IRLANDA</w:t>
      </w:r>
    </w:p>
    <w:p w14:paraId="11F0D339" w14:textId="77777777" w:rsidR="00CA1F09" w:rsidRPr="00BA410E" w:rsidRDefault="00CA1F09" w:rsidP="00CA1F09">
      <w:pPr>
        <w:pStyle w:val="pldetails"/>
      </w:pPr>
      <w:r w:rsidRPr="00BA410E">
        <w:t xml:space="preserve">Elizabeth HYLAND (Ms.), Deputy Controller of Plant Breeders Rights, Department of Agriculture, Food and the Marine, Leixlip </w:t>
      </w:r>
      <w:r w:rsidRPr="00BA410E">
        <w:br/>
        <w:t>(e-mail: Elizabeth.Hyland@agriculture.gov.ie)</w:t>
      </w:r>
    </w:p>
    <w:p w14:paraId="5EE3E136" w14:textId="77777777" w:rsidR="00CA1F09" w:rsidRPr="00BA410E" w:rsidRDefault="00CA1F09" w:rsidP="00CA1F09">
      <w:pPr>
        <w:pStyle w:val="plcountry"/>
      </w:pPr>
      <w:r w:rsidRPr="00BA410E">
        <w:t>JAPON / JAPAN / JAPAN / JAPÓN</w:t>
      </w:r>
    </w:p>
    <w:p w14:paraId="6743B499" w14:textId="77777777" w:rsidR="00CA1F09" w:rsidRPr="00BA410E" w:rsidRDefault="00CA1F09" w:rsidP="00CA1F09">
      <w:pPr>
        <w:pStyle w:val="pldetails"/>
      </w:pPr>
      <w:r w:rsidRPr="00BA410E">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A410E">
        <w:br/>
        <w:t>(e-mail: minori_hagiwara110@maff.go.jp))</w:t>
      </w:r>
    </w:p>
    <w:p w14:paraId="2B744593" w14:textId="77777777" w:rsidR="00CA1F09" w:rsidRPr="00BA410E" w:rsidRDefault="00CA1F09" w:rsidP="00CA1F09">
      <w:pPr>
        <w:pStyle w:val="pldetails"/>
      </w:pPr>
      <w:r w:rsidRPr="00BA410E">
        <w:t xml:space="preserve">Hiroaki KINOSHITA (Mr.), International Relation Officer, Plant Variety Protection Office, Intellectual Property Division, Export and International Affairs Bureau, Ministry of Agriculture, Forestry and Fisheries (MAFF), Tokyo </w:t>
      </w:r>
      <w:r w:rsidRPr="00BA410E">
        <w:br/>
        <w:t>(e-mail: hiroaki_kinoshita640@maff.go.jp)</w:t>
      </w:r>
    </w:p>
    <w:p w14:paraId="269DD2C6" w14:textId="77777777" w:rsidR="00CA1F09" w:rsidRPr="00BA410E" w:rsidRDefault="00CA1F09" w:rsidP="00CA1F09">
      <w:pPr>
        <w:pStyle w:val="plcountry"/>
      </w:pPr>
      <w:r w:rsidRPr="00BA410E">
        <w:t>KENYA / Kenya / KENIA / KENYA</w:t>
      </w:r>
    </w:p>
    <w:p w14:paraId="0FABBC84" w14:textId="77777777" w:rsidR="00CA1F09" w:rsidRPr="00BA410E" w:rsidRDefault="00CA1F09" w:rsidP="00CA1F09">
      <w:pPr>
        <w:pStyle w:val="pldetails"/>
      </w:pPr>
      <w:r w:rsidRPr="00BA410E">
        <w:t xml:space="preserve">Theophilus M. MUTUI (Mr.), Managing Director, Kenya Plant Health Inspectorate Service (KEPHIS), Nairobi </w:t>
      </w:r>
      <w:r w:rsidRPr="00BA410E">
        <w:br/>
        <w:t>(e-mail: director@kephis.org)</w:t>
      </w:r>
    </w:p>
    <w:p w14:paraId="4A6BCB7A" w14:textId="77777777" w:rsidR="00CA1F09" w:rsidRPr="00BA410E" w:rsidRDefault="00CA1F09" w:rsidP="00CA1F09">
      <w:pPr>
        <w:pStyle w:val="plcountry"/>
      </w:pPr>
      <w:r w:rsidRPr="00BA410E">
        <w:t>LITUANIE / LITHUANIA / LITAUEN / LITUANIA</w:t>
      </w:r>
    </w:p>
    <w:p w14:paraId="2469D1A7" w14:textId="77777777" w:rsidR="00CA1F09" w:rsidRPr="00BA410E" w:rsidRDefault="00CA1F09" w:rsidP="00CA1F09">
      <w:pPr>
        <w:pStyle w:val="pldetails"/>
      </w:pPr>
      <w:r w:rsidRPr="00BA410E">
        <w:t xml:space="preserve">Austė GEDDES (Ms.), Chief Specialist in Plant Variety Protection, The State Plant Service under the Ministry of Agriculture, Vilnius </w:t>
      </w:r>
      <w:r w:rsidRPr="00BA410E">
        <w:br/>
        <w:t>(e-mail: auste.geddes@vatzum.lt)</w:t>
      </w:r>
    </w:p>
    <w:p w14:paraId="0A9CAE57" w14:textId="77777777" w:rsidR="00CA1F09" w:rsidRPr="00BA410E" w:rsidRDefault="00CA1F09" w:rsidP="00CA1F09">
      <w:pPr>
        <w:pStyle w:val="plcountry"/>
      </w:pPr>
      <w:r w:rsidRPr="00BA410E">
        <w:t>MAROC / MOROCCO / MAROKKO / MARRUECOS</w:t>
      </w:r>
    </w:p>
    <w:p w14:paraId="37D8FBB3" w14:textId="77777777" w:rsidR="00CA1F09" w:rsidRPr="00BA410E" w:rsidRDefault="00CA1F09" w:rsidP="00CA1F09">
      <w:pPr>
        <w:pStyle w:val="pldetails"/>
        <w:rPr>
          <w:lang w:val="fr-CH"/>
        </w:rPr>
      </w:pPr>
      <w:r w:rsidRPr="00BA410E">
        <w:rPr>
          <w:lang w:val="fr-CH"/>
        </w:rPr>
        <w:t xml:space="preserve">Zoubida TAOUSSI (Mme), Responsable de la protection des obtentions végétales, Office National de Sécurité Sanitaire de Produits Alimentaires (ONSSA), Rabat </w:t>
      </w:r>
      <w:r w:rsidRPr="00BA410E">
        <w:rPr>
          <w:lang w:val="fr-CH"/>
        </w:rPr>
        <w:br/>
        <w:t>(e-mail: ztaoussi67@gmail.com)</w:t>
      </w:r>
    </w:p>
    <w:p w14:paraId="1A3CCF6E" w14:textId="77777777" w:rsidR="00CA1F09" w:rsidRPr="00BA410E" w:rsidRDefault="00CA1F09" w:rsidP="00CA1F09">
      <w:pPr>
        <w:pStyle w:val="plcountry"/>
        <w:rPr>
          <w:lang w:val="es-ES"/>
        </w:rPr>
      </w:pPr>
      <w:r w:rsidRPr="00BA410E">
        <w:rPr>
          <w:lang w:val="es-ES"/>
        </w:rPr>
        <w:t>MEXIQUE / MEXICO / MEXIKO / MÉXICO</w:t>
      </w:r>
    </w:p>
    <w:p w14:paraId="29EE7ACA" w14:textId="77777777" w:rsidR="00CA1F09" w:rsidRPr="00BA410E" w:rsidRDefault="00CA1F09" w:rsidP="00CA1F09">
      <w:pPr>
        <w:pStyle w:val="pldetails"/>
        <w:rPr>
          <w:lang w:val="es-ES"/>
        </w:rPr>
      </w:pPr>
      <w:r w:rsidRPr="00BA410E">
        <w:rPr>
          <w:lang w:val="es-ES"/>
        </w:rPr>
        <w:t xml:space="preserve">Víctor Manuel VÁSQUEZ NAVARRETE (Sr.), Director de área, Servicio Nacional de Inspección y Certificación de Semillas (SNICS), Secretaria de Agricultura y Desarrollo Rural (Agricultura), Ciudad de México </w:t>
      </w:r>
      <w:r w:rsidRPr="00BA410E">
        <w:rPr>
          <w:lang w:val="es-ES"/>
        </w:rPr>
        <w:br/>
        <w:t>(e-mail: victor.vasquez@agricultura.gob.mx)</w:t>
      </w:r>
    </w:p>
    <w:p w14:paraId="3CE96A54" w14:textId="77777777" w:rsidR="00CA1F09" w:rsidRPr="00BA410E" w:rsidRDefault="00CA1F09" w:rsidP="00CA1F09">
      <w:pPr>
        <w:pStyle w:val="pldetails"/>
        <w:rPr>
          <w:lang w:val="en-GB"/>
        </w:rPr>
      </w:pPr>
      <w:bookmarkStart w:id="12" w:name="_Hlk180402896"/>
      <w:r w:rsidRPr="00BA410E">
        <w:rPr>
          <w:lang w:val="en-GB"/>
        </w:rPr>
        <w:t xml:space="preserve">Rodrigo Alonso LÓPEZ TOVAR (Mr.), Second Secretary, Permanent Mission, Geneva </w:t>
      </w:r>
      <w:r w:rsidRPr="00BA410E">
        <w:rPr>
          <w:lang w:val="en-GB"/>
        </w:rPr>
        <w:br/>
        <w:t>(e-mail: rlopez@sre.gob.mx)</w:t>
      </w:r>
    </w:p>
    <w:bookmarkEnd w:id="12"/>
    <w:p w14:paraId="61A0F546" w14:textId="77777777" w:rsidR="00CA1F09" w:rsidRPr="00BA410E" w:rsidRDefault="00CA1F09" w:rsidP="00CA1F09">
      <w:pPr>
        <w:pStyle w:val="plcountry"/>
      </w:pPr>
      <w:r w:rsidRPr="00BA410E">
        <w:lastRenderedPageBreak/>
        <w:t>NORVÈGE / NORWAY / NORWEGEN / NORUEGA</w:t>
      </w:r>
    </w:p>
    <w:p w14:paraId="76EE79AF" w14:textId="77777777" w:rsidR="00CA1F09" w:rsidRPr="00BA410E" w:rsidRDefault="00CA1F09" w:rsidP="00CA1F09">
      <w:pPr>
        <w:pStyle w:val="pldetails"/>
      </w:pPr>
      <w:r w:rsidRPr="00BA410E">
        <w:t xml:space="preserve">Stein Ivar ORMSETTRØ (Mr.), Director, Ministry of Agriculture and Food, Oslo </w:t>
      </w:r>
      <w:r w:rsidRPr="00BA410E">
        <w:br/>
        <w:t>(e-mail: stein-ivar.ormsettro@lmd.dep.no)</w:t>
      </w:r>
    </w:p>
    <w:p w14:paraId="35BF270F" w14:textId="77777777" w:rsidR="00CA1F09" w:rsidRPr="00BA410E" w:rsidRDefault="00CA1F09" w:rsidP="00CA1F09">
      <w:pPr>
        <w:pStyle w:val="pldetails"/>
      </w:pPr>
      <w:r w:rsidRPr="00BA410E">
        <w:t xml:space="preserve">Elin Cecilie RANUM (Ms.), Advisor, Utviklingsfondet, Oslo </w:t>
      </w:r>
      <w:r w:rsidRPr="00BA410E">
        <w:br/>
        <w:t>(e-mail: elin@utviklingsfondet.no)</w:t>
      </w:r>
    </w:p>
    <w:p w14:paraId="014A474A" w14:textId="77777777" w:rsidR="00CA1F09" w:rsidRPr="00BA410E" w:rsidRDefault="00CA1F09" w:rsidP="00CA1F09">
      <w:pPr>
        <w:pStyle w:val="plcountry"/>
      </w:pPr>
      <w:r w:rsidRPr="00BA410E">
        <w:t>NOUVELLE-ZÉLANDE / NEW ZEALAND / NEUSEELAND / NUEVA ZELANDIA</w:t>
      </w:r>
    </w:p>
    <w:p w14:paraId="199D9762" w14:textId="77777777" w:rsidR="00CA1F09" w:rsidRPr="00BA410E" w:rsidRDefault="00CA1F09" w:rsidP="00CA1F09">
      <w:pPr>
        <w:pStyle w:val="pldetails"/>
      </w:pPr>
      <w:r w:rsidRPr="00BA410E">
        <w:t xml:space="preserve">Christopher James BARNABY (Mr.), PVR Manager / Assistant Commissioner, Plant Variety Rights Office, Intellectual Property Office of New Zealand, Ministry of Economic Development, Christchurch </w:t>
      </w:r>
      <w:r w:rsidRPr="00BA410E">
        <w:br/>
        <w:t>(e-mail: Chris.Barnaby@pvr.govt.nz)</w:t>
      </w:r>
    </w:p>
    <w:p w14:paraId="4DC5589A" w14:textId="77777777" w:rsidR="00CA1F09" w:rsidRPr="00BA410E" w:rsidRDefault="00CA1F09" w:rsidP="00CA1F09">
      <w:pPr>
        <w:pStyle w:val="plcountry"/>
      </w:pPr>
      <w:r w:rsidRPr="00BA410E">
        <w:t>ORGANISATION AFRICAINE DE LA PROPRIÉTÉ INTELLECTUELLE (OAPI) / AFRICAN INTELLECTUAL PROPERTY ORGANIZATION (OAPI) / AFRIKANISCHE ORGANISATION FÜR GEISTIGES EIGENTUM (OAPI) / ORGANIZACIÓN AFRICANA DE LA PROPIEDAD INTELECTUAL (OAPI)</w:t>
      </w:r>
    </w:p>
    <w:p w14:paraId="26E4F4A9" w14:textId="77777777" w:rsidR="00CA1F09" w:rsidRPr="00BA410E" w:rsidRDefault="00CA1F09" w:rsidP="00CA1F09">
      <w:pPr>
        <w:pStyle w:val="pldetails"/>
      </w:pPr>
      <w:r w:rsidRPr="00BA410E">
        <w:t xml:space="preserve">Guy Francis BOUSSAFOU (M.), Direction des Brevets et autres créations techniques (DBCT), Yaoundé, Cameroun </w:t>
      </w:r>
      <w:r w:rsidRPr="00BA410E">
        <w:br/>
        <w:t xml:space="preserve">(e-mail: gfrancis.boussafou@oapi.int) </w:t>
      </w:r>
    </w:p>
    <w:p w14:paraId="388AB7FC" w14:textId="77777777" w:rsidR="00CA1F09" w:rsidRPr="00BA410E" w:rsidRDefault="00CA1F09" w:rsidP="00CA1F09">
      <w:pPr>
        <w:pStyle w:val="pldetails"/>
      </w:pPr>
      <w:r w:rsidRPr="00BA410E">
        <w:t xml:space="preserve">Vladimir Ludovic MEZUI ONO (M.), Chef de Service de l’Information Brevet (SIB), Examinateur Brevet Chimie, Yaoundé, Cameroun </w:t>
      </w:r>
      <w:r w:rsidRPr="00BA410E">
        <w:br/>
        <w:t>(e-mail: vladimir.mezui@oapi.int)</w:t>
      </w:r>
    </w:p>
    <w:p w14:paraId="3CC1080D" w14:textId="77777777" w:rsidR="00CA1F09" w:rsidRPr="00BA410E" w:rsidRDefault="00CA1F09" w:rsidP="00CA1F09">
      <w:pPr>
        <w:pStyle w:val="plcountry"/>
        <w:rPr>
          <w:lang w:val="es-ES"/>
        </w:rPr>
      </w:pPr>
      <w:r w:rsidRPr="00BA410E">
        <w:rPr>
          <w:lang w:val="es-ES"/>
        </w:rPr>
        <w:t>PARAGUAY / PARAGUAY / PARAGUAY / Paraguay</w:t>
      </w:r>
    </w:p>
    <w:p w14:paraId="545EBBD4" w14:textId="77777777" w:rsidR="00CA1F09" w:rsidRPr="00BA410E" w:rsidRDefault="00CA1F09" w:rsidP="00CA1F09">
      <w:pPr>
        <w:pStyle w:val="pldetails"/>
        <w:rPr>
          <w:lang w:val="es-ES"/>
        </w:rPr>
      </w:pPr>
      <w:r w:rsidRPr="00BA410E">
        <w:rPr>
          <w:lang w:val="es-ES"/>
        </w:rPr>
        <w:t xml:space="preserve">Santiago Gaspar BENÍTEZ VERA (Sr.), Director, Dirección de Semillas (DISE), Servicio Nacional de Calidad y Sanidad Vegetal y de Semillas (SENAVE), San Lorenzo </w:t>
      </w:r>
      <w:r w:rsidRPr="00BA410E">
        <w:rPr>
          <w:lang w:val="es-ES"/>
        </w:rPr>
        <w:br/>
        <w:t xml:space="preserve">(e-mail: santiago.benitez@senave.gov.py) </w:t>
      </w:r>
    </w:p>
    <w:p w14:paraId="51589D70" w14:textId="77777777" w:rsidR="00CA1F09" w:rsidRPr="00BA410E" w:rsidRDefault="00CA1F09" w:rsidP="00CA1F09">
      <w:pPr>
        <w:pStyle w:val="pldetails"/>
        <w:rPr>
          <w:lang w:val="es-ES"/>
        </w:rPr>
      </w:pPr>
      <w:r w:rsidRPr="00BA410E">
        <w:rPr>
          <w:lang w:val="es-ES"/>
        </w:rPr>
        <w:t xml:space="preserve">Dahiana Maria OVEJERO MALDONADO (Sra.), Jefa, Departamento de Protección y Uso de Variedades, Direccion de Semillas (DISE), Servicio Nacional de Calidad y Sanidad Vegetal y de Semillas (SENAVE), San Lorenzo </w:t>
      </w:r>
      <w:r w:rsidRPr="00BA410E">
        <w:rPr>
          <w:lang w:val="es-ES"/>
        </w:rPr>
        <w:br/>
        <w:t>(e-mail: dahiana.ovejero@senave.gov.py)</w:t>
      </w:r>
    </w:p>
    <w:p w14:paraId="4F9CC154" w14:textId="77777777" w:rsidR="00CA1F09" w:rsidRPr="00BA410E" w:rsidRDefault="00CA1F09" w:rsidP="00CA1F09">
      <w:pPr>
        <w:pStyle w:val="plcountry"/>
        <w:rPr>
          <w:lang w:val="es-ES"/>
        </w:rPr>
      </w:pPr>
      <w:r w:rsidRPr="00BA410E">
        <w:rPr>
          <w:lang w:val="es-ES"/>
        </w:rPr>
        <w:t xml:space="preserve">PAYS-BAS (ROYAUME DES) / NETHERLANDS (KINGDOM OF THE) / </w:t>
      </w:r>
      <w:r w:rsidRPr="00BA410E">
        <w:rPr>
          <w:lang w:val="es-ES"/>
        </w:rPr>
        <w:br/>
        <w:t>NIEDERLANDE (KÖNIGREICH DER) / PAÍSES BAJOS (REINO DE LOS)</w:t>
      </w:r>
    </w:p>
    <w:p w14:paraId="4BB1A615" w14:textId="77777777" w:rsidR="00CA1F09" w:rsidRPr="00BA410E" w:rsidRDefault="00CA1F09" w:rsidP="00CA1F09">
      <w:pPr>
        <w:pStyle w:val="pldetails"/>
      </w:pPr>
      <w:r w:rsidRPr="00BA410E">
        <w:t xml:space="preserve">Marien VALSTAR (Mr.), Senior Policy Officer, Seeds and Plant Propagation Material, DG Agro, Ministry of Agriculture, Nature and Food Quality, The Hague </w:t>
      </w:r>
      <w:r w:rsidRPr="00BA410E">
        <w:br/>
        <w:t>(e-mail: m.valstar@minlnv.nl)</w:t>
      </w:r>
    </w:p>
    <w:p w14:paraId="793D430D" w14:textId="77777777" w:rsidR="00CA1F09" w:rsidRPr="00BA410E" w:rsidRDefault="00CA1F09" w:rsidP="00CA1F09">
      <w:pPr>
        <w:pStyle w:val="plcountry"/>
      </w:pPr>
      <w:r w:rsidRPr="00BA410E">
        <w:t>POLOGNE / POLAND / POLEN / POLONIA</w:t>
      </w:r>
    </w:p>
    <w:p w14:paraId="3E42383E" w14:textId="77777777" w:rsidR="00CA1F09" w:rsidRPr="00BA410E" w:rsidRDefault="00CA1F09" w:rsidP="00CA1F09">
      <w:pPr>
        <w:pStyle w:val="pldetails"/>
      </w:pPr>
      <w:r w:rsidRPr="00BA410E">
        <w:t xml:space="preserve">Alicja RUTKOWSKA-ŁOŚ (Ms.), Head of National Listing and PBR Protection Office, Research Centre for Cultivar Testing (COBORU), Slupia Wielka </w:t>
      </w:r>
      <w:r w:rsidRPr="00BA410E">
        <w:br/>
        <w:t>(e-mail: a.rutkowska-los@coboru.gov.pl)</w:t>
      </w:r>
    </w:p>
    <w:p w14:paraId="0D74795E" w14:textId="77777777" w:rsidR="00CA1F09" w:rsidRPr="00BA410E" w:rsidRDefault="00CA1F09" w:rsidP="00CA1F09">
      <w:pPr>
        <w:pStyle w:val="pldetails"/>
      </w:pPr>
      <w:r w:rsidRPr="00BA410E">
        <w:t xml:space="preserve">Marcin KRÓL (Mr.), Head of DUS Testing Department, Research Centre for Cultivar Testing (COBORU), Slupia Wielka </w:t>
      </w:r>
      <w:r w:rsidRPr="00BA410E">
        <w:br/>
        <w:t xml:space="preserve">(e-mail: m.Krol@coboru.gov.pl) </w:t>
      </w:r>
    </w:p>
    <w:p w14:paraId="4860D2A1" w14:textId="77777777" w:rsidR="00CA1F09" w:rsidRPr="00BA410E" w:rsidRDefault="00CA1F09" w:rsidP="00CA1F09">
      <w:pPr>
        <w:pStyle w:val="pldetails"/>
        <w:rPr>
          <w:lang w:val="pt-BR"/>
        </w:rPr>
      </w:pPr>
      <w:r w:rsidRPr="00BA410E">
        <w:rPr>
          <w:lang w:val="pt-BR"/>
        </w:rPr>
        <w:t xml:space="preserve">Małgorzata JANISZEWSKA-MICHALSKA (Ms.), Head of Legal and Human Resources Office, Research Centre for Cultivar Testing (COBORU), </w:t>
      </w:r>
      <w:r w:rsidRPr="00BA410E">
        <w:t xml:space="preserve">Slupia Wielka </w:t>
      </w:r>
      <w:r w:rsidRPr="00BA410E">
        <w:br/>
      </w:r>
      <w:r w:rsidRPr="00BA410E">
        <w:rPr>
          <w:lang w:val="pt-BR"/>
        </w:rPr>
        <w:t>(e-mail: m.janiszewska@coboru.gov.pl)</w:t>
      </w:r>
    </w:p>
    <w:p w14:paraId="457D4F44" w14:textId="77777777" w:rsidR="00CA1F09" w:rsidRPr="00BA410E" w:rsidRDefault="00CA1F09" w:rsidP="00CA1F09">
      <w:pPr>
        <w:pStyle w:val="plcountry"/>
        <w:rPr>
          <w:lang w:val="pt-BR"/>
        </w:rPr>
      </w:pPr>
      <w:r w:rsidRPr="00BA410E">
        <w:rPr>
          <w:lang w:val="pt-BR"/>
        </w:rPr>
        <w:t>PORTUGAL / PORTUGAL / PORTUGAL / Portugal</w:t>
      </w:r>
    </w:p>
    <w:p w14:paraId="7356C94E" w14:textId="77777777" w:rsidR="00CA1F09" w:rsidRPr="00BA410E" w:rsidRDefault="00CA1F09" w:rsidP="00CA1F09">
      <w:pPr>
        <w:pStyle w:val="pldetails"/>
        <w:rPr>
          <w:lang w:val="pt-BR"/>
        </w:rPr>
      </w:pPr>
      <w:r w:rsidRPr="00BA410E">
        <w:rPr>
          <w:lang w:val="pt-BR"/>
        </w:rPr>
        <w:t xml:space="preserve">Carlos GODINHO (Mr.), Senior officer, Directorate General for Food and Veterinary (DGAV), Lisboa </w:t>
      </w:r>
      <w:r w:rsidRPr="00BA410E">
        <w:rPr>
          <w:lang w:val="pt-BR"/>
        </w:rPr>
        <w:br/>
        <w:t>(e-mail: carlos.godinho@dgav.pt)</w:t>
      </w:r>
    </w:p>
    <w:p w14:paraId="63759ADD" w14:textId="77777777" w:rsidR="00CA1F09" w:rsidRPr="00BA410E" w:rsidRDefault="00CA1F09" w:rsidP="00CA1F09">
      <w:pPr>
        <w:pStyle w:val="plcountry"/>
        <w:rPr>
          <w:lang w:val="pt-BR"/>
        </w:rPr>
      </w:pPr>
      <w:r w:rsidRPr="00BA410E">
        <w:rPr>
          <w:lang w:val="pt-BR"/>
        </w:rPr>
        <w:t>RÉPUBLIQUE DE CORÉE / REPUBLIC OF KOREA / REPUBLIK KOREA / REPÚBLICA DE COREA</w:t>
      </w:r>
    </w:p>
    <w:p w14:paraId="31C2EEEC" w14:textId="77777777" w:rsidR="00CA1F09" w:rsidRPr="00BA410E" w:rsidRDefault="00CA1F09" w:rsidP="00CA1F09">
      <w:pPr>
        <w:pStyle w:val="pldetails"/>
        <w:rPr>
          <w:lang w:val="pt-BR"/>
        </w:rPr>
      </w:pPr>
      <w:r w:rsidRPr="00BA410E">
        <w:rPr>
          <w:lang w:val="pt-BR"/>
        </w:rPr>
        <w:t xml:space="preserve">Jun Yon JANG (Mr.), Deputy Director, Korea Seed and Variety Service (KSVS), Gyeongsangbuk-do </w:t>
      </w:r>
      <w:r w:rsidRPr="00BA410E">
        <w:rPr>
          <w:lang w:val="pt-BR"/>
        </w:rPr>
        <w:br/>
        <w:t xml:space="preserve">(e-mail: jang.jy@korea.kr) </w:t>
      </w:r>
    </w:p>
    <w:p w14:paraId="1E549706" w14:textId="77777777" w:rsidR="00CA1F09" w:rsidRPr="00BA410E" w:rsidRDefault="00CA1F09" w:rsidP="00CA1F09">
      <w:pPr>
        <w:pStyle w:val="pldetails"/>
      </w:pPr>
      <w:r w:rsidRPr="00BA410E">
        <w:t xml:space="preserve">ChanWoong PARK (Mr.), Deputy Director/Examiner, Plant Variety Protection Division, Korea Seed and Variety Service (KSVS), Gyeongsangbuk-do </w:t>
      </w:r>
      <w:r w:rsidRPr="00BA410E">
        <w:br/>
        <w:t xml:space="preserve">(e-mail: chwopark@korea.kr) </w:t>
      </w:r>
    </w:p>
    <w:p w14:paraId="2E327901" w14:textId="77777777" w:rsidR="00CA1F09" w:rsidRPr="00BA410E" w:rsidRDefault="00CA1F09" w:rsidP="00CA1F09">
      <w:pPr>
        <w:pStyle w:val="pldetails"/>
      </w:pPr>
      <w:r w:rsidRPr="00BA410E">
        <w:lastRenderedPageBreak/>
        <w:t xml:space="preserve">Jinkee JUNG (Mr.), Researcher, Plant Variety Protection Division, Korea Seed and Variety Service (KSVS), Ministry of Agriculture, Food and Rural Affairs (MAFRA), Gimcheon City </w:t>
      </w:r>
      <w:r w:rsidRPr="00BA410E">
        <w:br/>
        <w:t xml:space="preserve">(e-mail: jinkeejung@korea.kr) </w:t>
      </w:r>
    </w:p>
    <w:p w14:paraId="6158DB33" w14:textId="77777777" w:rsidR="00CA1F09" w:rsidRPr="00BA410E" w:rsidRDefault="00CA1F09" w:rsidP="00CA1F09">
      <w:pPr>
        <w:pStyle w:val="pldetails"/>
      </w:pPr>
      <w:r w:rsidRPr="00BA410E">
        <w:t xml:space="preserve">Kwanghong LEE (Mr.), Researcher, Korea Seed and Variety Service (KSVS), Maryang </w:t>
      </w:r>
      <w:r w:rsidRPr="00BA410E">
        <w:br/>
        <w:t xml:space="preserve">(e-mail: grin@korea.kr) </w:t>
      </w:r>
    </w:p>
    <w:p w14:paraId="28DE2A71" w14:textId="77777777" w:rsidR="00CA1F09" w:rsidRPr="00BA410E" w:rsidRDefault="00CA1F09" w:rsidP="00CA1F09">
      <w:pPr>
        <w:pStyle w:val="pldetails"/>
      </w:pPr>
      <w:r w:rsidRPr="00BA410E">
        <w:t xml:space="preserve">Won-Bum CHO (Mr.), Forest Researcher, Plant Variety Protection Division, National Forest Seed Variety Center (NFSV), Chungcheongbuk-do </w:t>
      </w:r>
      <w:r w:rsidRPr="00BA410E">
        <w:br/>
        <w:t xml:space="preserve">(e-mail: rudis99@korea.kr) </w:t>
      </w:r>
    </w:p>
    <w:p w14:paraId="6E0EEEA4" w14:textId="77777777" w:rsidR="00CA1F09" w:rsidRPr="00BA410E" w:rsidRDefault="00CA1F09" w:rsidP="00CA1F09">
      <w:pPr>
        <w:pStyle w:val="pldetails"/>
      </w:pPr>
      <w:r w:rsidRPr="00BA410E">
        <w:t xml:space="preserve">Hwansu HWANG (Mr.), Forest Researcher, Plant Variety Protection Division, National Forest Seed Variety Center (NFSV), Chungcheongbuk-do </w:t>
      </w:r>
      <w:r w:rsidRPr="00BA410E">
        <w:br/>
        <w:t xml:space="preserve">(e-mail: hwansu3368@korea.kr) </w:t>
      </w:r>
    </w:p>
    <w:p w14:paraId="4DE5EF41" w14:textId="77777777" w:rsidR="00CA1F09" w:rsidRPr="00BA410E" w:rsidRDefault="00CA1F09" w:rsidP="00CA1F09">
      <w:pPr>
        <w:pStyle w:val="plcountry"/>
        <w:rPr>
          <w:lang w:val="es-ES"/>
        </w:rPr>
      </w:pPr>
      <w:r w:rsidRPr="00BA410E">
        <w:rPr>
          <w:lang w:val="es-ES"/>
        </w:rPr>
        <w:t xml:space="preserve">RÉPUBLIQUE DE MOLDOVA / REPUBLIC OF MOLDOVA / REPUBLIK MOLDAU / </w:t>
      </w:r>
      <w:r w:rsidRPr="00BA410E">
        <w:rPr>
          <w:lang w:val="es-ES"/>
        </w:rPr>
        <w:br/>
        <w:t>REPÚBLICA DE MOLDOVA</w:t>
      </w:r>
    </w:p>
    <w:p w14:paraId="09187D30" w14:textId="77777777" w:rsidR="00CA1F09" w:rsidRPr="00BA410E" w:rsidRDefault="00CA1F09" w:rsidP="00CA1F09">
      <w:pPr>
        <w:pStyle w:val="pldetails"/>
        <w:rPr>
          <w:lang w:val="pt-BR"/>
        </w:rPr>
      </w:pPr>
      <w:r w:rsidRPr="00BA410E">
        <w:t xml:space="preserve">Mihail MACHIDON (Mr.), Director, State Commission for Crops Variety Testing (SCCVT), Chisinau </w:t>
      </w:r>
      <w:r w:rsidRPr="00BA410E">
        <w:br/>
        <w:t>(e-mail: info@cstsp.md)</w:t>
      </w:r>
    </w:p>
    <w:p w14:paraId="0B87557C" w14:textId="77777777" w:rsidR="00CA1F09" w:rsidRPr="00BA410E" w:rsidRDefault="00CA1F09" w:rsidP="00CA1F09">
      <w:pPr>
        <w:pStyle w:val="pldetails"/>
      </w:pPr>
      <w:r w:rsidRPr="00BA410E">
        <w:t xml:space="preserve">Ala GUSAN (Ms.), Principal Consultant, Patents Division, State Agency on Intellectual Property of the Republic of Moldova (AGEPI), Chisinau </w:t>
      </w:r>
      <w:r w:rsidRPr="00BA410E">
        <w:br/>
        <w:t xml:space="preserve">(e-mail: ala.gusan@agepi.gov.md) </w:t>
      </w:r>
    </w:p>
    <w:p w14:paraId="61E72E9E" w14:textId="77777777" w:rsidR="00CA1F09" w:rsidRPr="00BA410E" w:rsidRDefault="00CA1F09" w:rsidP="00CA1F09">
      <w:pPr>
        <w:pStyle w:val="plcountry"/>
        <w:rPr>
          <w:lang w:val="pt-BR"/>
        </w:rPr>
      </w:pPr>
      <w:r w:rsidRPr="00BA410E">
        <w:rPr>
          <w:lang w:val="pt-BR"/>
        </w:rPr>
        <w:t xml:space="preserve">RÉPUBLIQUE Dominicaine / dominican REPUBLIC / dominikanische REPUBLIK / </w:t>
      </w:r>
      <w:r w:rsidRPr="00BA410E">
        <w:rPr>
          <w:lang w:val="pt-BR"/>
        </w:rPr>
        <w:br/>
        <w:t>REPÚBLICA Dominicana</w:t>
      </w:r>
    </w:p>
    <w:p w14:paraId="7CF4428E" w14:textId="77777777" w:rsidR="00CA1F09" w:rsidRPr="00BA410E" w:rsidRDefault="00CA1F09" w:rsidP="00CA1F09">
      <w:pPr>
        <w:pStyle w:val="pldetails"/>
        <w:rPr>
          <w:lang w:val="pt-BR"/>
        </w:rPr>
      </w:pPr>
      <w:r w:rsidRPr="00BA410E">
        <w:rPr>
          <w:lang w:val="pt-BR"/>
        </w:rPr>
        <w:t xml:space="preserve">Octavio Augusto BERAS-GOICO JUSTINIANO (Sr.), Encargado del Departamento Legal, Oficina de Registro de Variedades y Obtenciones Vegetales (OREVADO), Santo Domingo </w:t>
      </w:r>
      <w:r w:rsidRPr="00BA410E">
        <w:rPr>
          <w:lang w:val="pt-BR"/>
        </w:rPr>
        <w:br/>
        <w:t>(e-mail: octavio.beras-goico@agricultura.gob.do)</w:t>
      </w:r>
    </w:p>
    <w:p w14:paraId="41AA35A6" w14:textId="77777777" w:rsidR="00CA1F09" w:rsidRPr="00BA410E" w:rsidRDefault="00CA1F09" w:rsidP="00CA1F09">
      <w:pPr>
        <w:pStyle w:val="plcountry"/>
        <w:rPr>
          <w:lang w:val="pt-BR"/>
        </w:rPr>
      </w:pPr>
      <w:r w:rsidRPr="00BA410E">
        <w:rPr>
          <w:lang w:val="pt-BR"/>
        </w:rPr>
        <w:t>RÉPUBLIQUE TCHÈQUE / CZECH REPUBLIC / TSCHECHISCHE REPUBLIK / REPÚBLICA CHECA</w:t>
      </w:r>
    </w:p>
    <w:p w14:paraId="39D90915" w14:textId="77777777" w:rsidR="00CA1F09" w:rsidRPr="00BA410E" w:rsidRDefault="00CA1F09" w:rsidP="00CA1F09">
      <w:pPr>
        <w:pStyle w:val="pldetails"/>
      </w:pPr>
      <w:r w:rsidRPr="00BA410E">
        <w:t xml:space="preserve">Daniel JUREČKA (Mr.), Director General, Central Institute for Supervising and Testing in Agriculture (ÚKZÚZ), Brno </w:t>
      </w:r>
      <w:r w:rsidRPr="00BA410E">
        <w:br/>
        <w:t xml:space="preserve">(e-mail: </w:t>
      </w:r>
      <w:hyperlink r:id="rId20" w:history="1">
        <w:r w:rsidRPr="00BA410E">
          <w:t>daniel.jurecka@ukzuz.gov.cz</w:t>
        </w:r>
      </w:hyperlink>
      <w:r w:rsidRPr="00BA410E">
        <w:t>)</w:t>
      </w:r>
    </w:p>
    <w:p w14:paraId="563E340F" w14:textId="77777777" w:rsidR="00CA1F09" w:rsidRPr="00BA410E" w:rsidRDefault="00CA1F09" w:rsidP="00CA1F09">
      <w:pPr>
        <w:pStyle w:val="pldetails"/>
      </w:pPr>
      <w:r w:rsidRPr="00BA410E">
        <w:t xml:space="preserve">Andrea POVOLNÁ (Ms.), Head of DUS Department, National Plant Variety Office, Central Institute for Supervising and Testing in Agriculture (UKZUZ), Brno </w:t>
      </w:r>
      <w:r w:rsidRPr="00BA410E">
        <w:br/>
        <w:t>(e-mail: andrea.povolna@ukzuz.cz)</w:t>
      </w:r>
    </w:p>
    <w:p w14:paraId="2B5FFD97" w14:textId="77777777" w:rsidR="00CA1F09" w:rsidRPr="00BA410E" w:rsidRDefault="00CA1F09" w:rsidP="00CA1F09">
      <w:pPr>
        <w:pStyle w:val="plcountry"/>
        <w:rPr>
          <w:lang w:val="es-ES"/>
        </w:rPr>
      </w:pPr>
      <w:r w:rsidRPr="00BA410E">
        <w:rPr>
          <w:lang w:val="es-ES"/>
        </w:rPr>
        <w:t xml:space="preserve">RÉPUBLIQUE-UNIE DE TANZANIE / UNITED REPUBLIC OF TANZANIA / </w:t>
      </w:r>
      <w:r w:rsidRPr="00BA410E">
        <w:rPr>
          <w:lang w:val="es-ES"/>
        </w:rPr>
        <w:br/>
        <w:t>VEREINIGTE REPUBLIK TANSANIA / REPÚBLICA UNIDA DE TANZANÍA</w:t>
      </w:r>
    </w:p>
    <w:p w14:paraId="1C90510A" w14:textId="77777777" w:rsidR="00CA1F09" w:rsidRPr="00BA410E" w:rsidRDefault="00CA1F09" w:rsidP="00CA1F09">
      <w:pPr>
        <w:pStyle w:val="pldetails"/>
      </w:pPr>
      <w:r w:rsidRPr="00BA410E">
        <w:t xml:space="preserve">Patrick NGWEDIAGI (Mr.), Director General, Tanzania Official Seed Certification Institute (TOSCI), Morogoro </w:t>
      </w:r>
      <w:r w:rsidRPr="00BA410E">
        <w:br/>
        <w:t>(e-mail: dg@tosci.go.tz)</w:t>
      </w:r>
    </w:p>
    <w:p w14:paraId="6781B589" w14:textId="77777777" w:rsidR="00CA1F09" w:rsidRPr="00BA410E" w:rsidRDefault="00CA1F09" w:rsidP="00CA1F09">
      <w:pPr>
        <w:pStyle w:val="pldetails"/>
      </w:pPr>
      <w:r w:rsidRPr="00BA410E">
        <w:t xml:space="preserve">Joyce Eligi MOSILE (Ms.), Principal Agricultural Officer II, Plant Breeders' Rights Office, Ministry of Agriculture (MoA), Dodoma </w:t>
      </w:r>
      <w:r w:rsidRPr="00BA410E">
        <w:br/>
        <w:t>(e-mail: Joyce.mosile@kilimo.go.tz)</w:t>
      </w:r>
    </w:p>
    <w:p w14:paraId="761E3EDB" w14:textId="77777777" w:rsidR="00CA1F09" w:rsidRPr="00BA410E" w:rsidRDefault="00CA1F09" w:rsidP="00CA1F09">
      <w:pPr>
        <w:pStyle w:val="plcountry"/>
      </w:pPr>
      <w:r w:rsidRPr="00BA410E">
        <w:t>ROUMANIE / ROMANIA / RUMÄNIEN / RUMANIA</w:t>
      </w:r>
    </w:p>
    <w:p w14:paraId="015E3B98" w14:textId="77777777" w:rsidR="00CA1F09" w:rsidRPr="00BA410E" w:rsidRDefault="00CA1F09" w:rsidP="00CA1F09">
      <w:pPr>
        <w:pStyle w:val="pldetails"/>
      </w:pPr>
      <w:r w:rsidRPr="00BA410E">
        <w:t>Teodor Dan ENESCU (Mr.), Counsellor, State Institute for Variety Testing and Registration (ISTIS), Bucarest</w:t>
      </w:r>
      <w:r w:rsidRPr="00BA410E">
        <w:br/>
        <w:t>(e-mail: enescu_teodor@istis.ro)</w:t>
      </w:r>
    </w:p>
    <w:p w14:paraId="1720D637" w14:textId="77777777" w:rsidR="00CA1F09" w:rsidRPr="00BA410E" w:rsidRDefault="00CA1F09" w:rsidP="00CA1F09">
      <w:pPr>
        <w:pStyle w:val="plcountry"/>
      </w:pPr>
      <w:r w:rsidRPr="00BA410E">
        <w:t>ROYAUME-UNI / UNITED KINGDOM / VEREINIGTES KÖNIGREICH / REINO UNIDO</w:t>
      </w:r>
    </w:p>
    <w:p w14:paraId="61C6C4F6" w14:textId="77777777" w:rsidR="00CA1F09" w:rsidRPr="00BA410E" w:rsidRDefault="00CA1F09" w:rsidP="00CA1F09">
      <w:pPr>
        <w:pStyle w:val="pldetails"/>
      </w:pPr>
      <w:r w:rsidRPr="00BA410E">
        <w:t xml:space="preserve">Joanne JURY (Ms.), Senior Policy Officer, Department for Environment, Food &amp; Rural Affairs (Defra), Cambridge </w:t>
      </w:r>
      <w:r w:rsidRPr="00BA410E">
        <w:br/>
        <w:t>(e-mail: Joanne.Jury@defra.gov.uk)</w:t>
      </w:r>
    </w:p>
    <w:p w14:paraId="217EF390" w14:textId="77777777" w:rsidR="00CA1F09" w:rsidRPr="00BA410E" w:rsidRDefault="00CA1F09" w:rsidP="00CA1F09">
      <w:pPr>
        <w:pStyle w:val="plcountry"/>
      </w:pPr>
      <w:r w:rsidRPr="00BA410E">
        <w:t>SERBIE / SERBIA / SERBIEN / SERBIA</w:t>
      </w:r>
    </w:p>
    <w:p w14:paraId="1E52A38C" w14:textId="77777777" w:rsidR="00CA1F09" w:rsidRPr="00BA410E" w:rsidRDefault="00CA1F09" w:rsidP="00CA1F09">
      <w:pPr>
        <w:pStyle w:val="pldetails"/>
      </w:pPr>
      <w:r w:rsidRPr="00BA410E">
        <w:t xml:space="preserve">Jovan VUJOVIC (Mr.), Head, Plant Protection Directorate, Group for Plant Variety Protection and Biosafety, Ministry of Agriculture, Forestry and Water Management, Belgrade </w:t>
      </w:r>
      <w:r w:rsidRPr="00BA410E">
        <w:br/>
        <w:t>(e-mail: jovan.vujovic@minpolj.gov.rs)</w:t>
      </w:r>
    </w:p>
    <w:p w14:paraId="6358E93B" w14:textId="77777777" w:rsidR="00CA1F09" w:rsidRPr="00BA410E" w:rsidRDefault="00CA1F09" w:rsidP="00CA1F09">
      <w:pPr>
        <w:pStyle w:val="pldetails"/>
      </w:pPr>
      <w:r w:rsidRPr="00BA410E">
        <w:t xml:space="preserve">Gordana LONCAR (Ms.), Senior Adviser for Plant Variety protection, Plant Protection Directorate, Group for Plant Variety Protection and Biosafety, Ministry of Agriculture, Forestry and Water Management, Belgrade </w:t>
      </w:r>
      <w:r w:rsidRPr="00BA410E">
        <w:br/>
        <w:t>(e-mail: gordana.loncar@minpolj.gov.rs)</w:t>
      </w:r>
    </w:p>
    <w:p w14:paraId="64F85F30" w14:textId="77777777" w:rsidR="00CA1F09" w:rsidRPr="00BA410E" w:rsidRDefault="00CA1F09" w:rsidP="00CA1F09">
      <w:pPr>
        <w:pStyle w:val="plcountry"/>
      </w:pPr>
      <w:r w:rsidRPr="00BA410E">
        <w:lastRenderedPageBreak/>
        <w:t>SLOVAQUIE / SLOVAKIA / SLOWAKEI / ESLOVAQUIA</w:t>
      </w:r>
    </w:p>
    <w:p w14:paraId="27689DB7" w14:textId="77777777" w:rsidR="00CA1F09" w:rsidRPr="00BA410E" w:rsidRDefault="00CA1F09" w:rsidP="00CA1F09">
      <w:pPr>
        <w:pStyle w:val="pldetails"/>
      </w:pPr>
      <w:r w:rsidRPr="00BA410E">
        <w:t>Ľubomir BASTA (Mr.), Head of DUS testing, Department of Variety Testing, Central Control and Testing Institute in Agriculture (ÚKSÚP), Bratislava</w:t>
      </w:r>
      <w:r w:rsidRPr="00BA410E">
        <w:br/>
        <w:t>(e-mail: lubomir.basta@uksup.sk)</w:t>
      </w:r>
    </w:p>
    <w:p w14:paraId="737730D2" w14:textId="77777777" w:rsidR="00CA1F09" w:rsidRPr="00BA410E" w:rsidRDefault="00CA1F09" w:rsidP="00CA1F09">
      <w:pPr>
        <w:pStyle w:val="plcountry"/>
      </w:pPr>
      <w:r w:rsidRPr="00BA410E">
        <w:t>SUÈDE / SWEDEN / SCHWEDEN / SUECIA</w:t>
      </w:r>
    </w:p>
    <w:p w14:paraId="3E98E319" w14:textId="77777777" w:rsidR="00CA1F09" w:rsidRPr="00BA410E" w:rsidRDefault="00CA1F09" w:rsidP="00CA1F09">
      <w:pPr>
        <w:pStyle w:val="pldetails"/>
      </w:pPr>
      <w:r w:rsidRPr="00BA410E">
        <w:t xml:space="preserve">Magnus FRANZÉN (Mr.), Deputy Head, Plant and Control Department, Swedish Board of Agriculture, Jönköping </w:t>
      </w:r>
      <w:r w:rsidRPr="00BA410E">
        <w:br/>
        <w:t>(e-mail: magnus.franzen@jordbruksverket.se)</w:t>
      </w:r>
    </w:p>
    <w:p w14:paraId="0A4D04D6" w14:textId="77777777" w:rsidR="00CA1F09" w:rsidRPr="00BA410E" w:rsidRDefault="00CA1F09" w:rsidP="00CA1F09">
      <w:pPr>
        <w:pStyle w:val="plcountry"/>
      </w:pPr>
      <w:r w:rsidRPr="00BA410E">
        <w:t>SUISSE / SWITZERLAND / SCHWEIZ / SUIZA</w:t>
      </w:r>
    </w:p>
    <w:p w14:paraId="47BF358C" w14:textId="77777777" w:rsidR="00CA1F09" w:rsidRPr="00BA410E" w:rsidRDefault="00CA1F09" w:rsidP="00CA1F09">
      <w:pPr>
        <w:pStyle w:val="pldetails"/>
      </w:pPr>
      <w:r w:rsidRPr="00BA410E">
        <w:t xml:space="preserve">Alwin KOPSE (M.), Responsable de secteur, Marchés et Affaires internationales, Affaires internationales et systèmes alimentaires, Office fédéral de l'agriculture (OFAG), Bern </w:t>
      </w:r>
      <w:r w:rsidRPr="00BA410E">
        <w:br/>
        <w:t>(e-mail: alwin.kopse@blw.admin.ch)</w:t>
      </w:r>
    </w:p>
    <w:p w14:paraId="0D76115B" w14:textId="77777777" w:rsidR="00CA1F09" w:rsidRPr="00BA410E" w:rsidRDefault="00CA1F09" w:rsidP="00CA1F09">
      <w:pPr>
        <w:pStyle w:val="pldetails"/>
      </w:pPr>
      <w:r w:rsidRPr="00BA410E">
        <w:t xml:space="preserve">Manuela BRAND (Ms.), Plant Variety Rights Office, Plant Health and Varieties, Office fédéral de l'agriculture (OFAG), Bern </w:t>
      </w:r>
      <w:r w:rsidRPr="00BA410E">
        <w:br/>
        <w:t>(e-mail: manuela.brand@blw.admin.ch)</w:t>
      </w:r>
    </w:p>
    <w:p w14:paraId="05848D34" w14:textId="77777777" w:rsidR="00CA1F09" w:rsidRPr="00BA410E" w:rsidRDefault="00CA1F09" w:rsidP="00CA1F09">
      <w:pPr>
        <w:pStyle w:val="plcountry"/>
        <w:rPr>
          <w:lang w:val="fr-CH"/>
        </w:rPr>
      </w:pPr>
      <w:r w:rsidRPr="00BA410E">
        <w:rPr>
          <w:lang w:val="fr-CH"/>
        </w:rPr>
        <w:t>TUNISIE / TUNISIA / TUNESIEN / TÚNEZ</w:t>
      </w:r>
    </w:p>
    <w:p w14:paraId="4929BFC2" w14:textId="77777777" w:rsidR="00CA1F09" w:rsidRPr="00BA410E" w:rsidRDefault="00CA1F09" w:rsidP="00CA1F09">
      <w:pPr>
        <w:pStyle w:val="pldetails"/>
        <w:rPr>
          <w:lang w:val="fr-CH"/>
        </w:rPr>
      </w:pPr>
      <w:r w:rsidRPr="00BA410E">
        <w:rPr>
          <w:lang w:val="fr-CH"/>
        </w:rPr>
        <w:t xml:space="preserve">Omar BRAHMI (M.), </w:t>
      </w:r>
      <w:r w:rsidRPr="00BA410E">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A410E">
        <w:br/>
        <w:t>(e-mail: bo.dgpcqpa@iresa.agrinet.tn)</w:t>
      </w:r>
    </w:p>
    <w:p w14:paraId="61AE5456" w14:textId="77777777" w:rsidR="00CA1F09" w:rsidRPr="00BA410E" w:rsidRDefault="00CA1F09" w:rsidP="00CA1F09">
      <w:pPr>
        <w:pStyle w:val="plcountry"/>
      </w:pPr>
      <w:r w:rsidRPr="00BA410E">
        <w:t>TÜRKIYE / TÜRKIYE / TÜRKEI / TÜRKIYE</w:t>
      </w:r>
    </w:p>
    <w:p w14:paraId="77E63F6E" w14:textId="77777777" w:rsidR="00CA1F09" w:rsidRPr="00BA410E" w:rsidRDefault="00CA1F09" w:rsidP="00CA1F09">
      <w:pPr>
        <w:pStyle w:val="pldetails"/>
      </w:pPr>
      <w:r w:rsidRPr="00BA410E">
        <w:t xml:space="preserve">Sezgin KARADENIZ (Mr.), Head, Seed Policies Department and PBR Office, General Directorate of Plant Production, Ankara </w:t>
      </w:r>
      <w:r w:rsidRPr="00BA410E">
        <w:br/>
        <w:t>(e-mail: sezgin.karadeniz@tarimorman.gov.tr)</w:t>
      </w:r>
    </w:p>
    <w:p w14:paraId="571C5725" w14:textId="77777777" w:rsidR="00CA1F09" w:rsidRPr="00BA410E" w:rsidRDefault="00CA1F09" w:rsidP="00CA1F09">
      <w:pPr>
        <w:pStyle w:val="pldetails"/>
      </w:pPr>
      <w:r w:rsidRPr="00BA410E">
        <w:t xml:space="preserve">Mehmet ÇAKMAK (Mr.), PBR Expert, Senior Agricultural Engineer, Msc., Seed Department, General Directorate of Plant Production, Ministry of Agriculture and Forestry, Ankara </w:t>
      </w:r>
      <w:r w:rsidRPr="00BA410E">
        <w:br/>
        <w:t>(e-mail: mehmet.cakmak@tarimorman.gov.tr)</w:t>
      </w:r>
    </w:p>
    <w:p w14:paraId="75480DC4" w14:textId="77777777" w:rsidR="00CA1F09" w:rsidRPr="00BA410E" w:rsidRDefault="00CA1F09" w:rsidP="00CA1F09">
      <w:pPr>
        <w:pStyle w:val="plcountry"/>
      </w:pPr>
      <w:bookmarkStart w:id="13" w:name="_Hlk179805219"/>
      <w:r w:rsidRPr="00BA410E">
        <w:t>UKRAINE / UKRAINE / UKRAINE / UCRANIA</w:t>
      </w:r>
    </w:p>
    <w:bookmarkEnd w:id="13"/>
    <w:p w14:paraId="6845048C" w14:textId="77777777" w:rsidR="00CA1F09" w:rsidRPr="00BA410E" w:rsidRDefault="00CA1F09" w:rsidP="00CA1F09">
      <w:pPr>
        <w:pStyle w:val="pldetails"/>
      </w:pPr>
      <w:r w:rsidRPr="00BA410E">
        <w:t xml:space="preserve">Ihor VISHTAK (Mr.), Director, Department of Agrarian Development, Ministry of Agrarian Policy and Food of Ukraine, Kyiv </w:t>
      </w:r>
      <w:r w:rsidRPr="00BA410E">
        <w:br/>
        <w:t>(e-mail: vishtak.perlyna@gmail.com)</w:t>
      </w:r>
    </w:p>
    <w:p w14:paraId="3ACC61E0" w14:textId="77777777" w:rsidR="00CA1F09" w:rsidRPr="00BA410E" w:rsidRDefault="00CA1F09" w:rsidP="00CA1F09">
      <w:pPr>
        <w:pStyle w:val="pldetails"/>
      </w:pPr>
      <w:r w:rsidRPr="00BA410E">
        <w:t xml:space="preserve">Polina IVASHCHENKO (Ms.), Head, Division for Coordination of International Technical Assistance, International Policy Directorate, Ministry of Agrarian Policy and Food of Ukraine, Kyiv </w:t>
      </w:r>
      <w:r w:rsidRPr="00BA410E">
        <w:br/>
        <w:t xml:space="preserve">(e-mail: polina.ivashchenko@gmail.com) </w:t>
      </w:r>
    </w:p>
    <w:p w14:paraId="4DD3A13F" w14:textId="77777777" w:rsidR="00CA1F09" w:rsidRPr="00BA410E" w:rsidRDefault="00CA1F09" w:rsidP="00CA1F09">
      <w:pPr>
        <w:pStyle w:val="pldetails"/>
        <w:rPr>
          <w:rFonts w:eastAsiaTheme="minorEastAsia"/>
          <w:lang w:eastAsia="ja-JP"/>
        </w:rPr>
      </w:pPr>
      <w:r w:rsidRPr="00BA410E">
        <w:rPr>
          <w:rFonts w:eastAsiaTheme="minorEastAsia"/>
          <w:lang w:eastAsia="ja-JP"/>
        </w:rPr>
        <w:t>Karina KOSHELIEVA</w:t>
      </w:r>
      <w:r w:rsidRPr="00BA410E">
        <w:rPr>
          <w:rFonts w:eastAsiaTheme="minorEastAsia" w:hint="eastAsia"/>
          <w:lang w:eastAsia="ja-JP"/>
        </w:rPr>
        <w:t xml:space="preserve"> (Ms.), </w:t>
      </w:r>
      <w:r w:rsidRPr="00BA410E">
        <w:rPr>
          <w:rFonts w:eastAsiaTheme="minorEastAsia"/>
          <w:lang w:eastAsia="ja-JP"/>
        </w:rPr>
        <w:t>First Secretary</w:t>
      </w:r>
      <w:r w:rsidRPr="00BA410E">
        <w:rPr>
          <w:rFonts w:eastAsiaTheme="minorEastAsia" w:hint="eastAsia"/>
          <w:lang w:eastAsia="ja-JP"/>
        </w:rPr>
        <w:t xml:space="preserve">, </w:t>
      </w:r>
      <w:r w:rsidRPr="00BA410E">
        <w:t>Permanent Mission, Geneva</w:t>
      </w:r>
      <w:r w:rsidRPr="00BA410E">
        <w:br/>
        <w:t>(e-mail</w:t>
      </w:r>
      <w:r w:rsidRPr="00BA410E">
        <w:rPr>
          <w:rFonts w:eastAsiaTheme="minorEastAsia" w:hint="eastAsia"/>
          <w:lang w:eastAsia="ja-JP"/>
        </w:rPr>
        <w:t>:</w:t>
      </w:r>
      <w:r w:rsidRPr="00BA410E">
        <w:rPr>
          <w:rFonts w:eastAsiaTheme="minorEastAsia"/>
          <w:lang w:eastAsia="ja-JP"/>
        </w:rPr>
        <w:t xml:space="preserve"> karina.koshelieva@mfa.gov.ua</w:t>
      </w:r>
      <w:r w:rsidRPr="00BA410E">
        <w:t>)</w:t>
      </w:r>
    </w:p>
    <w:p w14:paraId="4ADDC3AE" w14:textId="77777777" w:rsidR="00CA1F09" w:rsidRPr="00BA410E" w:rsidRDefault="00CA1F09" w:rsidP="00CA1F09">
      <w:pPr>
        <w:pStyle w:val="plcountry"/>
      </w:pPr>
      <w:r w:rsidRPr="00BA410E">
        <w:t>UNION EUROPÉENNE / EUROPEAN UNION / EUROPÄISCHE UNION / UNIÓN EUROPEA</w:t>
      </w:r>
    </w:p>
    <w:p w14:paraId="38A8C33A" w14:textId="77777777" w:rsidR="00CA1F09" w:rsidRPr="00BA410E" w:rsidRDefault="00CA1F09" w:rsidP="00CA1F09">
      <w:pPr>
        <w:pStyle w:val="pldetails"/>
      </w:pPr>
      <w:r w:rsidRPr="00BA410E">
        <w:t xml:space="preserve">Katalin MIKLÓ (Ms.), Head, Patent Department, Hungarian Intellectual Property Office (HIPO), Budapest </w:t>
      </w:r>
      <w:r w:rsidRPr="00BA410E">
        <w:br/>
        <w:t>(e-mail: katalin.miklo@hipo.gov.hu)</w:t>
      </w:r>
    </w:p>
    <w:p w14:paraId="3D5659D1" w14:textId="77777777" w:rsidR="00CA1F09" w:rsidRPr="00BA410E" w:rsidRDefault="00CA1F09" w:rsidP="00CA1F09">
      <w:pPr>
        <w:pStyle w:val="pldetails"/>
      </w:pPr>
      <w:r w:rsidRPr="00BA410E">
        <w:t xml:space="preserve">Päivi MANNERKORPI (Ms.), Team Leader - Plant Reproductive Material, Unit G1 Plant Health, Directorate General for Health and Food Safety (DG SANTE), European Commission, Brussels </w:t>
      </w:r>
      <w:r w:rsidRPr="00BA410E">
        <w:br/>
        <w:t xml:space="preserve">(e-mail: paivi.mannerkorpi@ec.europa.eu) </w:t>
      </w:r>
    </w:p>
    <w:p w14:paraId="34C08749" w14:textId="77777777" w:rsidR="00CA1F09" w:rsidRPr="00BA410E" w:rsidRDefault="00CA1F09" w:rsidP="00CA1F09">
      <w:pPr>
        <w:pStyle w:val="pldetails"/>
      </w:pPr>
      <w:r w:rsidRPr="00BA410E">
        <w:t xml:space="preserve">Francesco MATTINA (Mr.), President, Community Plant Variety Office (CPVO), Angers (e-mail: mattina@cpvo.europa.eu) </w:t>
      </w:r>
    </w:p>
    <w:p w14:paraId="5912C59F" w14:textId="77777777" w:rsidR="00CA1F09" w:rsidRPr="00BA410E" w:rsidRDefault="00CA1F09" w:rsidP="00CA1F09">
      <w:pPr>
        <w:pStyle w:val="pldetails"/>
      </w:pPr>
      <w:r w:rsidRPr="00BA410E">
        <w:t xml:space="preserve">Nuria URQUÍA FERNÁNDEZ (Ms.), Vice President, Community Plant Variety Office (CPVO), Angers </w:t>
      </w:r>
      <w:r w:rsidRPr="00BA410E">
        <w:br/>
        <w:t>(e-mail: urquia@cpvo.europa.eu)</w:t>
      </w:r>
    </w:p>
    <w:p w14:paraId="40345741" w14:textId="77777777" w:rsidR="00CA1F09" w:rsidRPr="00BA410E" w:rsidRDefault="00CA1F09" w:rsidP="00CA1F09">
      <w:pPr>
        <w:pStyle w:val="plcountry"/>
        <w:rPr>
          <w:lang w:val="es-ES"/>
        </w:rPr>
      </w:pPr>
      <w:r w:rsidRPr="00BA410E">
        <w:rPr>
          <w:lang w:val="es-ES"/>
        </w:rPr>
        <w:t>URUGUAY / URUGUAY / URUGUAY / URUGUAY</w:t>
      </w:r>
    </w:p>
    <w:p w14:paraId="33042112" w14:textId="77777777" w:rsidR="00CA1F09" w:rsidRPr="00BA410E" w:rsidRDefault="00CA1F09" w:rsidP="00CA1F09">
      <w:pPr>
        <w:pStyle w:val="pldetails"/>
        <w:rPr>
          <w:lang w:val="es-ES"/>
        </w:rPr>
      </w:pPr>
      <w:r w:rsidRPr="00BA410E">
        <w:rPr>
          <w:lang w:val="es-ES"/>
        </w:rPr>
        <w:t xml:space="preserve">Federico BOSCHI (Mr.), Técnico, Evaluación y Registro de Cultivares, Instituto Nacional de Semillas (INASE), Canelones </w:t>
      </w:r>
      <w:r w:rsidRPr="00BA410E">
        <w:rPr>
          <w:lang w:val="es-ES"/>
        </w:rPr>
        <w:br/>
        <w:t>(e-mail: fboschi@inase.uy)</w:t>
      </w:r>
    </w:p>
    <w:p w14:paraId="40757BD1" w14:textId="77777777" w:rsidR="00CA1F09" w:rsidRPr="00BA410E" w:rsidRDefault="00CA1F09" w:rsidP="00CA1F09">
      <w:pPr>
        <w:pStyle w:val="plheading"/>
        <w:rPr>
          <w:lang w:val="es-ES"/>
        </w:rPr>
      </w:pPr>
      <w:r w:rsidRPr="00BA410E">
        <w:rPr>
          <w:lang w:val="es-ES"/>
        </w:rPr>
        <w:lastRenderedPageBreak/>
        <w:t>II. OBSERVATEURS / OBSERVERS / BEOBACHTER / OBSERVADORES</w:t>
      </w:r>
    </w:p>
    <w:p w14:paraId="761BD751" w14:textId="77777777" w:rsidR="00CA1F09" w:rsidRPr="00BA410E" w:rsidRDefault="00CA1F09" w:rsidP="00CA1F09">
      <w:pPr>
        <w:pStyle w:val="plcountry"/>
        <w:rPr>
          <w:lang w:val="es-ES"/>
        </w:rPr>
      </w:pPr>
      <w:r w:rsidRPr="00BA410E">
        <w:rPr>
          <w:lang w:val="es-ES"/>
        </w:rPr>
        <w:t xml:space="preserve">Émirats arabes unis / United ARAB Emirates / Vereinigte Arabische Emirate / </w:t>
      </w:r>
      <w:r w:rsidRPr="00BA410E">
        <w:rPr>
          <w:lang w:val="es-ES"/>
        </w:rPr>
        <w:br/>
        <w:t>Emiratos Árabes Unidos</w:t>
      </w:r>
    </w:p>
    <w:p w14:paraId="252028D3" w14:textId="77777777" w:rsidR="00CA1F09" w:rsidRPr="00BA410E" w:rsidRDefault="00CA1F09" w:rsidP="00CA1F09">
      <w:pPr>
        <w:pStyle w:val="pldetails"/>
        <w:rPr>
          <w:lang w:val="es-ES"/>
        </w:rPr>
      </w:pPr>
      <w:r w:rsidRPr="00BA410E">
        <w:rPr>
          <w:lang w:val="es-ES"/>
        </w:rPr>
        <w:t xml:space="preserve">Mohamed Ahmed HAMDAN AL DHANHANI (Mr.), Director, Agriculture Development &amp; Health Department, Ministry of Climate Change and Environment, Dubai </w:t>
      </w:r>
      <w:r w:rsidRPr="00BA410E">
        <w:rPr>
          <w:lang w:val="es-ES"/>
        </w:rPr>
        <w:br/>
        <w:t>(e-mail: maaldhanhani@moccae.gov.ae)</w:t>
      </w:r>
    </w:p>
    <w:p w14:paraId="5DCAFDCB" w14:textId="77777777" w:rsidR="00CA1F09" w:rsidRPr="00BA410E" w:rsidRDefault="00CA1F09" w:rsidP="00CA1F09">
      <w:pPr>
        <w:pStyle w:val="pldetails"/>
      </w:pPr>
      <w:r w:rsidRPr="00BA410E">
        <w:t xml:space="preserve">Nasir SULTAN (Mr.), Director, Legal Affairs Department, Ministry of Climate Change and Environment, Dubai </w:t>
      </w:r>
      <w:r w:rsidRPr="00BA410E">
        <w:br/>
        <w:t>(e-mail: nmsultan@moccae.gov.ae)</w:t>
      </w:r>
    </w:p>
    <w:p w14:paraId="4F77381A" w14:textId="77777777" w:rsidR="00CA1F09" w:rsidRPr="00BA410E" w:rsidRDefault="00CA1F09" w:rsidP="00CA1F09">
      <w:pPr>
        <w:pStyle w:val="plcountry"/>
      </w:pPr>
      <w:r w:rsidRPr="00BA410E">
        <w:t>Maurice / Mauritius / Mauritius / Mauricio</w:t>
      </w:r>
    </w:p>
    <w:p w14:paraId="2BB011BE" w14:textId="77777777" w:rsidR="00CA1F09" w:rsidRPr="00BA410E" w:rsidRDefault="00CA1F09" w:rsidP="00CA1F09">
      <w:pPr>
        <w:pStyle w:val="pldetails"/>
      </w:pPr>
      <w:r w:rsidRPr="00BA410E">
        <w:t xml:space="preserve">Balakrishna PONNUSAWMY (Mr.), Agricultural Senior Support Officer, National Plant Varieties and Seeds Office, Ministry of Agro Industry and Food Security, Port Louis </w:t>
      </w:r>
      <w:r w:rsidRPr="00BA410E">
        <w:br/>
        <w:t>(e-mail: bponnusawmy@govmu.org)</w:t>
      </w:r>
    </w:p>
    <w:p w14:paraId="1CA566C4" w14:textId="77777777" w:rsidR="00CA1F09" w:rsidRPr="00BA410E" w:rsidRDefault="00CA1F09" w:rsidP="00CA1F09">
      <w:pPr>
        <w:pStyle w:val="pldetails"/>
      </w:pPr>
      <w:r w:rsidRPr="00BA410E">
        <w:t xml:space="preserve">Vedvyass Doobay MUDHOO (Mr.), Scientific Officer, National Plant Varieties and Seeds Office, Ministry of Agro Industry and Food Security, Port Louis </w:t>
      </w:r>
      <w:r w:rsidRPr="00BA410E">
        <w:br/>
        <w:t>(e-mail: vyassyam@gmail.com)</w:t>
      </w:r>
    </w:p>
    <w:p w14:paraId="10641E49" w14:textId="77777777" w:rsidR="00CA1F09" w:rsidRPr="00BA410E" w:rsidRDefault="00CA1F09" w:rsidP="00CA1F09">
      <w:pPr>
        <w:pStyle w:val="plcountry"/>
      </w:pPr>
      <w:r w:rsidRPr="00BA410E">
        <w:t>PHILIPPINES / PHILIPPINES / PHILIPPINEN / FILIPINAS</w:t>
      </w:r>
    </w:p>
    <w:p w14:paraId="6BEA8905" w14:textId="77777777" w:rsidR="00CA1F09" w:rsidRPr="00BA410E" w:rsidRDefault="00CA1F09" w:rsidP="00CA1F09">
      <w:pPr>
        <w:pStyle w:val="pldetails"/>
      </w:pPr>
      <w:r w:rsidRPr="00BA410E">
        <w:t xml:space="preserve">Marlito CABUÑOS (Mr.), Assistant Agriculture Attaché, Permanent Mission, Geneva </w:t>
      </w:r>
      <w:r w:rsidRPr="00BA410E">
        <w:br/>
        <w:t>(e-mail: m.cabunos@philippineswto.org)</w:t>
      </w:r>
    </w:p>
    <w:p w14:paraId="1F976EFE" w14:textId="77777777" w:rsidR="00CA1F09" w:rsidRPr="00BA410E" w:rsidRDefault="00CA1F09" w:rsidP="00CA1F09">
      <w:pPr>
        <w:pStyle w:val="plcountry"/>
      </w:pPr>
      <w:r w:rsidRPr="00BA410E">
        <w:t>République arabe syrienne / Syrian Arab Republic / Arabische Republik Syrien / República Árabe Siria</w:t>
      </w:r>
    </w:p>
    <w:p w14:paraId="0F89C897" w14:textId="77777777" w:rsidR="00CA1F09" w:rsidRPr="00BA410E" w:rsidRDefault="00CA1F09" w:rsidP="00CA1F09">
      <w:pPr>
        <w:pStyle w:val="pldetails"/>
      </w:pPr>
      <w:r w:rsidRPr="00BA410E">
        <w:t>Reem JABR (Ms.), Deputy Permanent Representative, Permanent Mission, Geneva</w:t>
      </w:r>
      <w:r w:rsidRPr="00BA410E">
        <w:br/>
        <w:t>(e-mail: reemjabr3@gmail.com)</w:t>
      </w:r>
    </w:p>
    <w:p w14:paraId="33E0F2D1" w14:textId="77777777" w:rsidR="00CA1F09" w:rsidRPr="00BA410E" w:rsidRDefault="00CA1F09" w:rsidP="00CA1F09">
      <w:pPr>
        <w:pStyle w:val="plcountry"/>
      </w:pPr>
      <w:r w:rsidRPr="00BA410E">
        <w:t>République démocratique populaire lao / Lao People’s Democratic Republic / Demokratische Volksrepublik Laos / República Democrática Popular Lao</w:t>
      </w:r>
    </w:p>
    <w:p w14:paraId="57D00AF9" w14:textId="77777777" w:rsidR="00CA1F09" w:rsidRPr="00BA410E" w:rsidRDefault="00CA1F09" w:rsidP="00CA1F09">
      <w:pPr>
        <w:pStyle w:val="pldetails"/>
      </w:pPr>
      <w:r w:rsidRPr="00BA410E">
        <w:t xml:space="preserve">Saybandith SAYAVONGKHAMDY (Mr.), Deputy Director General, Department of Intellectual Property (DIP), Ministry of Industry and Commerce, Vientiane </w:t>
      </w:r>
      <w:r w:rsidRPr="00BA410E">
        <w:br/>
        <w:t>(e-mail: saybandith30@gmail.com)</w:t>
      </w:r>
    </w:p>
    <w:p w14:paraId="6341E47F" w14:textId="77777777" w:rsidR="00CA1F09" w:rsidRPr="00BA410E" w:rsidRDefault="00CA1F09" w:rsidP="00CA1F09">
      <w:pPr>
        <w:pStyle w:val="pldetails"/>
      </w:pPr>
      <w:r w:rsidRPr="00BA410E">
        <w:t xml:space="preserve">Souligna SISOMNUCK (Ms.), Deputy Director of Policy and International Affairs Division, Department of Intellectual Property, Ministry of Industry and Commerce, , Vientiane </w:t>
      </w:r>
      <w:r w:rsidRPr="00BA410E">
        <w:br/>
        <w:t>(e-mail: sisomnuck_souligna@yahoo.com)</w:t>
      </w:r>
    </w:p>
    <w:p w14:paraId="71E7C782" w14:textId="77777777" w:rsidR="00CA1F09" w:rsidRPr="00BA410E" w:rsidRDefault="00CA1F09" w:rsidP="00CA1F09">
      <w:pPr>
        <w:pStyle w:val="pldetails"/>
      </w:pPr>
      <w:r w:rsidRPr="00BA410E">
        <w:t xml:space="preserve">Solasin SENGSILAVONG (Mr.), Director of Patent and new plant variety Division, Department of Intellectual Property (DIP), Ministry of Industry and Commerce, Vientiane </w:t>
      </w:r>
      <w:r w:rsidRPr="00BA410E">
        <w:br/>
        <w:t>(e-mail: s_solasin@hotmail.com)</w:t>
      </w:r>
    </w:p>
    <w:p w14:paraId="63DDAB3A" w14:textId="77777777" w:rsidR="00CA1F09" w:rsidRPr="00BA410E" w:rsidRDefault="00CA1F09" w:rsidP="00CA1F09">
      <w:pPr>
        <w:pStyle w:val="plcountry"/>
      </w:pPr>
      <w:r w:rsidRPr="00BA410E">
        <w:t>THAÏLANDE / THAILAND / THAILAND / TAILANDIA</w:t>
      </w:r>
    </w:p>
    <w:p w14:paraId="49FECA94" w14:textId="77777777" w:rsidR="00CA1F09" w:rsidRPr="00BA410E" w:rsidRDefault="00CA1F09" w:rsidP="00CA1F09">
      <w:pPr>
        <w:pStyle w:val="pldetails"/>
      </w:pPr>
      <w:r w:rsidRPr="00BA410E">
        <w:t xml:space="preserve">Sakon WANASETHI (Mr.), Minister Counsellor, Permanent Mission, Geneva </w:t>
      </w:r>
      <w:r w:rsidRPr="00BA410E">
        <w:br/>
        <w:t>(e-mail: sakon@thaiwto.com)</w:t>
      </w:r>
    </w:p>
    <w:p w14:paraId="4EAE68EE" w14:textId="77777777" w:rsidR="00CA1F09" w:rsidRPr="00BA410E" w:rsidRDefault="00CA1F09" w:rsidP="00CA1F09">
      <w:pPr>
        <w:pStyle w:val="plcountry"/>
      </w:pPr>
      <w:r w:rsidRPr="00BA410E">
        <w:t>ZIMBABWE / ZIMBABWE / SIMBABWE / ZIMBABWE</w:t>
      </w:r>
    </w:p>
    <w:p w14:paraId="13FC5226" w14:textId="77777777" w:rsidR="00CA1F09" w:rsidRPr="00BA410E" w:rsidRDefault="00CA1F09" w:rsidP="00CA1F09">
      <w:pPr>
        <w:pStyle w:val="pldetails"/>
      </w:pPr>
      <w:r w:rsidRPr="00BA410E">
        <w:t xml:space="preserve">Chenai GARISE (Ms.), Deputy Director, Legal Advisory Department, Ministry of Lands, Agriculture, Fisheries, Water and Rural Development, Harare </w:t>
      </w:r>
      <w:r w:rsidRPr="00BA410E">
        <w:br/>
        <w:t>(e-mail: cgarisenheta@gmail.com)</w:t>
      </w:r>
    </w:p>
    <w:p w14:paraId="51E82D8E" w14:textId="77777777" w:rsidR="00CA1F09" w:rsidRPr="00BA410E" w:rsidRDefault="00CA1F09" w:rsidP="00CA1F09">
      <w:pPr>
        <w:pStyle w:val="pldetails"/>
      </w:pPr>
      <w:r w:rsidRPr="00BA410E">
        <w:t xml:space="preserve">Edmore MTETWA (Mr.), Head of Seed Services Institute, Registrar of Plant Breeders' Rights, Department of Research &amp; Specialist Services, Seed Services Institute, Harare </w:t>
      </w:r>
      <w:r w:rsidRPr="00BA410E">
        <w:br/>
        <w:t>(e-mail: mtetwae@gmail.com)</w:t>
      </w:r>
    </w:p>
    <w:p w14:paraId="532891CD" w14:textId="77777777" w:rsidR="00CA1F09" w:rsidRPr="00BA410E" w:rsidRDefault="00CA1F09" w:rsidP="00CA1F09">
      <w:pPr>
        <w:pStyle w:val="plheading"/>
      </w:pPr>
      <w:r w:rsidRPr="00BA410E">
        <w:lastRenderedPageBreak/>
        <w:t>III. ORGANISATIONS / ORGANIZATIONS / ORGANISATIONEN / ORGANIZACIONES</w:t>
      </w:r>
    </w:p>
    <w:p w14:paraId="566E50EB" w14:textId="77777777" w:rsidR="00CA1F09" w:rsidRPr="00BA410E" w:rsidRDefault="00CA1F09" w:rsidP="00CA1F09">
      <w:pPr>
        <w:pStyle w:val="plcountry"/>
      </w:pPr>
      <w:r w:rsidRPr="00BA410E">
        <w:t xml:space="preserve">ASSOCIATION INTERNATIONALE DES PRODUCTEURS HORTICOLES (AIPH) / </w:t>
      </w:r>
      <w:r w:rsidRPr="00BA410E">
        <w:br/>
        <w:t xml:space="preserve">INTERNATIONAL ASSOCIATION OF HORTICULTURAL PRODUCERS (AIPH) / </w:t>
      </w:r>
      <w:r w:rsidRPr="00BA410E">
        <w:br/>
        <w:t xml:space="preserve">INTERNATIONALER VERBAND DES ERWERBSGARTENBAUES (AIPH) / </w:t>
      </w:r>
      <w:r w:rsidRPr="00BA410E">
        <w:br/>
        <w:t>ASOCIACIÓN INTERNACIONAL DE PRODUCTORES HORTÍCOLAS (AIPH)</w:t>
      </w:r>
    </w:p>
    <w:p w14:paraId="61233357" w14:textId="77777777" w:rsidR="00CA1F09" w:rsidRPr="00BA410E" w:rsidRDefault="00CA1F09" w:rsidP="00CA1F09">
      <w:pPr>
        <w:pStyle w:val="pldetails"/>
      </w:pPr>
      <w:r w:rsidRPr="00BA410E">
        <w:t xml:space="preserve">Mia HOPPERUS BUMA (Ms.), Advisor, Committee for Novelty Protection, International Association of Horticultural Producers (AIPH), The Hague, Netherlands (Kingdom of the) </w:t>
      </w:r>
      <w:r w:rsidRPr="00BA410E">
        <w:br/>
        <w:t>(e-mail: info@miabuma.nl)</w:t>
      </w:r>
    </w:p>
    <w:p w14:paraId="1E7586FF" w14:textId="77777777" w:rsidR="00CA1F09" w:rsidRPr="00BA410E" w:rsidRDefault="00CA1F09" w:rsidP="00CA1F09">
      <w:pPr>
        <w:pStyle w:val="plcountry"/>
        <w:rPr>
          <w:lang w:val="pt-BR"/>
        </w:rPr>
      </w:pPr>
      <w:r w:rsidRPr="00BA410E">
        <w:rPr>
          <w:lang w:val="pt-BR"/>
        </w:rPr>
        <w:t xml:space="preserve">ASSOCIATION DES OBTENTEURS HORTICOLES EUROPÉENS (AOHE) / </w:t>
      </w:r>
      <w:r w:rsidRPr="00BA410E">
        <w:rPr>
          <w:lang w:val="pt-BR"/>
        </w:rPr>
        <w:br/>
        <w:t xml:space="preserve">ASSOCIATION OF EUROPEAN HORTICULTURAL BREEDERS (AOHE) / </w:t>
      </w:r>
      <w:r w:rsidRPr="00BA410E">
        <w:rPr>
          <w:lang w:val="pt-BR"/>
        </w:rPr>
        <w:br/>
        <w:t>ASOCIACIÓN DE OBTENTORES HORTÍCOLAS EUROPEOS (AOHE)</w:t>
      </w:r>
    </w:p>
    <w:p w14:paraId="1DC897D1" w14:textId="77777777" w:rsidR="00CA1F09" w:rsidRPr="00BA410E" w:rsidRDefault="00CA1F09" w:rsidP="00CA1F09">
      <w:pPr>
        <w:pStyle w:val="pldetails"/>
        <w:rPr>
          <w:lang w:val="pt-BR"/>
        </w:rPr>
      </w:pPr>
      <w:r w:rsidRPr="00BA410E">
        <w:rPr>
          <w:lang w:val="pt-BR"/>
        </w:rPr>
        <w:t xml:space="preserve">Dominique THÉVENON (Ms.), President - AOHE, Boad Member and Treasurer - CIOPORA, Association of European Horticultural Breeders (AOHE), Piolenc, France </w:t>
      </w:r>
      <w:r w:rsidRPr="00BA410E">
        <w:rPr>
          <w:lang w:val="pt-BR"/>
        </w:rPr>
        <w:br/>
        <w:t>(e-mail: t.dominique4@orange.fr)</w:t>
      </w:r>
    </w:p>
    <w:p w14:paraId="3374E2BA" w14:textId="77777777" w:rsidR="00CA1F09" w:rsidRPr="00BA410E" w:rsidRDefault="00CA1F09" w:rsidP="00CA1F09">
      <w:pPr>
        <w:pStyle w:val="pldetails"/>
      </w:pPr>
      <w:r w:rsidRPr="00BA410E">
        <w:rPr>
          <w:lang w:val="fr-CH"/>
        </w:rPr>
        <w:t xml:space="preserve">Hélène JOURDAN (Mme), </w:t>
      </w:r>
      <w:r w:rsidRPr="00BA410E">
        <w:t>Secrétaire générale - AOHE, Responsable COV &amp; Marques - Meilland International S.A., Association des Obtenteurs Horticoles Européens (AOHE), Le Luc en Provence, France</w:t>
      </w:r>
      <w:r w:rsidRPr="00BA410E">
        <w:br/>
        <w:t>(e-mail: contact@aohe.eu)</w:t>
      </w:r>
    </w:p>
    <w:p w14:paraId="262ABD15" w14:textId="77777777" w:rsidR="00CA1F09" w:rsidRPr="00BA410E" w:rsidRDefault="00CA1F09" w:rsidP="00CA1F09">
      <w:pPr>
        <w:pStyle w:val="plcountry"/>
      </w:pPr>
      <w:r w:rsidRPr="00BA410E">
        <w:t>ASSOCIATION FOR PLANT BREEDING FOR THE BENEFIT OF SOCIETY (APBREBES)</w:t>
      </w:r>
    </w:p>
    <w:p w14:paraId="50A49B5B" w14:textId="77777777" w:rsidR="00CA1F09" w:rsidRPr="00BA410E" w:rsidRDefault="00CA1F09" w:rsidP="00CA1F09">
      <w:pPr>
        <w:pStyle w:val="pldetails"/>
      </w:pPr>
      <w:r w:rsidRPr="00BA410E">
        <w:t xml:space="preserve">François MEIENBERG (Mr.), Coordinator, Association for Plant Breeding for the Benefit of Society </w:t>
      </w:r>
      <w:bookmarkStart w:id="14" w:name="_Hlk179817244"/>
      <w:r w:rsidRPr="00BA410E">
        <w:t>(APBREBES)</w:t>
      </w:r>
      <w:bookmarkEnd w:id="14"/>
      <w:r w:rsidRPr="00BA410E">
        <w:t>, Zürich, Switzerland</w:t>
      </w:r>
      <w:r w:rsidRPr="00BA410E">
        <w:br/>
        <w:t>(e-mail: contact@apbrebes.org)</w:t>
      </w:r>
    </w:p>
    <w:p w14:paraId="55E8CBE6" w14:textId="77777777" w:rsidR="00CA1F09" w:rsidRPr="00BA410E" w:rsidRDefault="00CA1F09" w:rsidP="00CA1F09">
      <w:pPr>
        <w:pStyle w:val="plcountry"/>
      </w:pPr>
      <w:r w:rsidRPr="00BA410E">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5EE3083A" w14:textId="77777777" w:rsidR="00CA1F09" w:rsidRPr="00BA410E" w:rsidRDefault="00CA1F09" w:rsidP="00CA1F09">
      <w:pPr>
        <w:pStyle w:val="pldetails"/>
      </w:pPr>
      <w:r w:rsidRPr="00BA410E">
        <w:t xml:space="preserve">Micaela FILIPPO (Ms.), Vice Secretary-General, International Community of Breeders of Asexually Reproduced Horticultural Plants (CIOPORA), Hamburg, Germany </w:t>
      </w:r>
      <w:r w:rsidRPr="00BA410E">
        <w:br/>
        <w:t>(e-mail: micaela.filippo@ciopora.org)</w:t>
      </w:r>
    </w:p>
    <w:p w14:paraId="46BF7276" w14:textId="77777777" w:rsidR="00CA1F09" w:rsidRPr="00BA410E" w:rsidRDefault="00CA1F09" w:rsidP="00CA1F09">
      <w:pPr>
        <w:pStyle w:val="plcountry"/>
      </w:pPr>
      <w:r w:rsidRPr="00BA410E">
        <w:t>CROPLIFE INTERNATIONAL</w:t>
      </w:r>
    </w:p>
    <w:p w14:paraId="3996E718" w14:textId="77777777" w:rsidR="00CA1F09" w:rsidRPr="00BA410E" w:rsidRDefault="00CA1F09" w:rsidP="00CA1F09">
      <w:pPr>
        <w:pStyle w:val="pldetails"/>
      </w:pPr>
      <w:r w:rsidRPr="00BA410E">
        <w:t>Marcel BRUINS (Mr.), Consultant, CropLife International, Bruxelles, Belgium</w:t>
      </w:r>
      <w:r w:rsidRPr="00BA410E">
        <w:br/>
        <w:t xml:space="preserve">(e-mail: </w:t>
      </w:r>
      <w:hyperlink r:id="rId21" w:history="1">
        <w:r w:rsidRPr="00BA410E">
          <w:t>marcel@bruinsseedconsultancy.com</w:t>
        </w:r>
      </w:hyperlink>
      <w:r w:rsidRPr="00BA410E">
        <w:t>)</w:t>
      </w:r>
    </w:p>
    <w:p w14:paraId="6D2C4F78" w14:textId="77777777" w:rsidR="00CA1F09" w:rsidRPr="00BA410E" w:rsidRDefault="00CA1F09" w:rsidP="00CA1F09">
      <w:pPr>
        <w:pStyle w:val="plcountry"/>
      </w:pPr>
      <w:r w:rsidRPr="00BA410E">
        <w:t>INTERNATIONAL SEED FEDERATION (ISF)</w:t>
      </w:r>
    </w:p>
    <w:p w14:paraId="57F1A0EF" w14:textId="77777777" w:rsidR="00CA1F09" w:rsidRPr="00BA410E" w:rsidRDefault="00CA1F09" w:rsidP="00CA1F09">
      <w:pPr>
        <w:pStyle w:val="pldetails"/>
        <w:rPr>
          <w:rFonts w:eastAsiaTheme="minorEastAsia"/>
          <w:lang w:eastAsia="ja-JP"/>
        </w:rPr>
      </w:pPr>
      <w:r w:rsidRPr="00BA410E">
        <w:t>Jan KNOL (Mr.), Plant Variety Protection Officer, Crop Science Division, BASF Vegetable Seeds, Nunhems Netherlands B.V., Nunhem, Netherlands (Kingdom of the)</w:t>
      </w:r>
      <w:r w:rsidRPr="00BA410E">
        <w:br/>
        <w:t xml:space="preserve">(e-mail: jan.knol@basf.com) </w:t>
      </w:r>
    </w:p>
    <w:p w14:paraId="6BB7D1DB" w14:textId="77777777" w:rsidR="00CA1F09" w:rsidRPr="00BA410E" w:rsidRDefault="00CA1F09" w:rsidP="00CA1F09">
      <w:pPr>
        <w:pStyle w:val="plcountry"/>
      </w:pPr>
      <w:r w:rsidRPr="00BA410E">
        <w:t xml:space="preserve">ORGANISATION DE COOPÉRATION ET DE DÉVELOPPEMENT ÉCONOMIQUES (OCDE) / ORGANISATION FOR ECONOMIC CO-OPERATION AND DEVELOPMENT (OECD) / </w:t>
      </w:r>
      <w:r w:rsidRPr="00BA410E">
        <w:br/>
        <w:t>ORGANISATION FÜR WIRTSCHAFTLICHE ZUSAMMENARBEIT UND ENTWICKLUNG (OECD) /</w:t>
      </w:r>
      <w:r w:rsidRPr="00BA410E">
        <w:br/>
        <w:t>ORGANIZACIÓN DE COOPERACIÓN Y DESARROLLO ECONÓMIC</w:t>
      </w:r>
    </w:p>
    <w:p w14:paraId="05FAA105" w14:textId="77777777" w:rsidR="00CA1F09" w:rsidRPr="00BA410E" w:rsidRDefault="00CA1F09" w:rsidP="00CA1F09">
      <w:pPr>
        <w:pStyle w:val="pldetails"/>
      </w:pPr>
      <w:r w:rsidRPr="00BA410E">
        <w:t xml:space="preserve">Csaba GASPAR (Mr.), Head, OECD Codes and Schemes, Organisation for Economic Co-operation and Development (OECD), Paris, France </w:t>
      </w:r>
      <w:r w:rsidRPr="00BA410E">
        <w:br/>
        <w:t>(e-mail: csaba.gaspar@oecd.org)</w:t>
      </w:r>
    </w:p>
    <w:p w14:paraId="7AFFE400" w14:textId="77777777" w:rsidR="00CA1F09" w:rsidRPr="00BA410E" w:rsidRDefault="00CA1F09" w:rsidP="00CA1F09">
      <w:pPr>
        <w:pStyle w:val="plcountry"/>
      </w:pPr>
      <w:r w:rsidRPr="00BA410E">
        <w:t xml:space="preserve">ORGANISATION RÉGIONALE AFRICAINE DE LA PROPRIÉTÉ INTELLECTUELLE (ARIPO) / </w:t>
      </w:r>
      <w:r w:rsidRPr="00BA410E">
        <w:br/>
        <w:t xml:space="preserve">AFRICAN REGIONAL INTELLECTUAL PROPERTY ORGANIZATION (ARIPO) / </w:t>
      </w:r>
      <w:r w:rsidRPr="00BA410E">
        <w:br/>
        <w:t>Afrikanische Regionalorganisation für gewerbliches Eigentum (ARIPO)</w:t>
      </w:r>
      <w:r w:rsidRPr="00BA410E">
        <w:br/>
        <w:t>ORGANIZACIÓN REGIONAL AFRICANA DE LA PROPIEDAD INTELECTUAL (ARIPO)</w:t>
      </w:r>
    </w:p>
    <w:p w14:paraId="45DAD421" w14:textId="77777777" w:rsidR="00CA1F09" w:rsidRPr="00BA410E" w:rsidRDefault="00CA1F09" w:rsidP="00CA1F09">
      <w:pPr>
        <w:pStyle w:val="pldetails"/>
      </w:pPr>
      <w:r w:rsidRPr="00BA410E">
        <w:t xml:space="preserve">Said H. RAMADHAN (Mr.), Senior Patent Examiner, Technical Department, African Regional Intellectual Property Organization (ARIPO), Harare, Zimbabwe </w:t>
      </w:r>
      <w:r w:rsidRPr="00BA410E">
        <w:br/>
        <w:t>(e-mail: sramadhan@aripo.org)</w:t>
      </w:r>
    </w:p>
    <w:p w14:paraId="7708C0D7" w14:textId="77777777" w:rsidR="00CA1F09" w:rsidRPr="00BA410E" w:rsidRDefault="00CA1F09" w:rsidP="00CA1F09">
      <w:pPr>
        <w:pStyle w:val="plheading"/>
        <w:rPr>
          <w:lang w:val="es-ES"/>
        </w:rPr>
      </w:pPr>
      <w:r w:rsidRPr="00BA410E">
        <w:rPr>
          <w:lang w:val="es-ES"/>
        </w:rPr>
        <w:lastRenderedPageBreak/>
        <w:t>Iv. BUREAU DE L’OMPI / OFFICE OF WIPO / BÜRO DER WIPO / OFICINA DE LA OMPI</w:t>
      </w:r>
    </w:p>
    <w:p w14:paraId="25DAE38E" w14:textId="77777777" w:rsidR="00CA1F09" w:rsidRPr="00BA410E" w:rsidRDefault="00CA1F09" w:rsidP="00CA1F09">
      <w:pPr>
        <w:pStyle w:val="pldetails"/>
      </w:pPr>
      <w:r w:rsidRPr="00BA410E">
        <w:t>Chitra NARAYANASWANY (Ms.), Director, Program Planning and Finance (Controller), Department of Program Planning and Finance</w:t>
      </w:r>
    </w:p>
    <w:p w14:paraId="59588458" w14:textId="77777777" w:rsidR="00CA1F09" w:rsidRPr="00BA410E" w:rsidRDefault="00CA1F09" w:rsidP="00CA1F09">
      <w:pPr>
        <w:pStyle w:val="pldetails"/>
      </w:pPr>
      <w:r w:rsidRPr="00BA410E">
        <w:t>Janice COOK ROBBINS (Ms.), Director, Finance Division, Department of Program Planning and Finance</w:t>
      </w:r>
    </w:p>
    <w:p w14:paraId="33DA01EE" w14:textId="77777777" w:rsidR="00CA1F09" w:rsidRPr="00BA410E" w:rsidRDefault="00CA1F09" w:rsidP="00CA1F09">
      <w:pPr>
        <w:pStyle w:val="pldetails"/>
        <w:keepNext/>
      </w:pPr>
      <w:r w:rsidRPr="00BA410E">
        <w:t>Maya Catharina BACHNER (Ms.), Director, Program Performance and Budget Division, Department of Program Planning and Finance</w:t>
      </w:r>
    </w:p>
    <w:p w14:paraId="4D88D8C2" w14:textId="77777777" w:rsidR="00CA1F09" w:rsidRPr="00BA410E" w:rsidRDefault="00CA1F09" w:rsidP="00CA1F09">
      <w:pPr>
        <w:pStyle w:val="pldetails"/>
      </w:pPr>
      <w:r w:rsidRPr="00BA410E">
        <w:t>Isabel MONTAGNE (Ms.), Senior Project Manager, Program Performance and Budget Division, Department of Program Planning and Finance</w:t>
      </w:r>
    </w:p>
    <w:p w14:paraId="15F06764" w14:textId="77777777" w:rsidR="00CA1F09" w:rsidRPr="00BA410E" w:rsidRDefault="00CA1F09" w:rsidP="00CA1F09">
      <w:pPr>
        <w:pStyle w:val="pldetails"/>
      </w:pPr>
      <w:r w:rsidRPr="00BA410E">
        <w:t>Arendina KOPPE (Ms.), Deputy Legal Counsel, Office of the Legal Counsel</w:t>
      </w:r>
    </w:p>
    <w:p w14:paraId="42BB23CC" w14:textId="77777777" w:rsidR="00CA1F09" w:rsidRPr="00BA410E" w:rsidRDefault="00CA1F09" w:rsidP="00CA1F09">
      <w:pPr>
        <w:pStyle w:val="plheading"/>
        <w:rPr>
          <w:rFonts w:cs="Arial"/>
        </w:rPr>
      </w:pPr>
      <w:r w:rsidRPr="00BA410E">
        <w:t>V. VÉRIFICATEUR EXTERNE DE L’UPOV / EXTERNAL AUDITOR OF UPOV /</w:t>
      </w:r>
      <w:r w:rsidRPr="00BA410E">
        <w:br/>
      </w:r>
      <w:r w:rsidRPr="00BA410E">
        <w:rPr>
          <w:rFonts w:cs="Arial"/>
        </w:rPr>
        <w:t>EXTERNER REVISOR DER UPOV / AUDITOR EXTERNO DE LA UPOV</w:t>
      </w:r>
    </w:p>
    <w:p w14:paraId="205912FE" w14:textId="77777777" w:rsidR="00CA1F09" w:rsidRPr="00BA410E" w:rsidRDefault="00CA1F09" w:rsidP="00CA1F09">
      <w:pPr>
        <w:pStyle w:val="pldetails"/>
      </w:pPr>
      <w:r w:rsidRPr="00BA410E">
        <w:rPr>
          <w:rFonts w:cs="Arial"/>
          <w:lang w:val="en-GB"/>
        </w:rPr>
        <w:t>Pete CASSIDY</w:t>
      </w:r>
      <w:r w:rsidRPr="00BA410E">
        <w:rPr>
          <w:rFonts w:cs="Arial"/>
        </w:rPr>
        <w:t xml:space="preserve"> (Mr.), </w:t>
      </w:r>
      <w:r w:rsidRPr="00BA410E">
        <w:rPr>
          <w:rFonts w:cs="Arial"/>
          <w:lang w:val="en-GB"/>
        </w:rPr>
        <w:t>Engagement Manager,</w:t>
      </w:r>
      <w:r w:rsidRPr="00BA410E">
        <w:rPr>
          <w:rFonts w:cs="Arial"/>
        </w:rPr>
        <w:t xml:space="preserve"> National Audit Office, United Kingdom</w:t>
      </w:r>
    </w:p>
    <w:p w14:paraId="143A5180" w14:textId="77777777" w:rsidR="00CA1F09" w:rsidRPr="00BA410E" w:rsidRDefault="00CA1F09" w:rsidP="00CA1F09">
      <w:pPr>
        <w:pStyle w:val="plheading"/>
        <w:rPr>
          <w:rFonts w:cs="Arial"/>
        </w:rPr>
      </w:pPr>
      <w:r w:rsidRPr="00BA410E">
        <w:rPr>
          <w:rFonts w:cs="Arial"/>
        </w:rPr>
        <w:t>VI. BUREAU / OFFICER / VORSITZ / OFICINA</w:t>
      </w:r>
    </w:p>
    <w:p w14:paraId="1C5549F5" w14:textId="77777777" w:rsidR="00CA1F09" w:rsidRPr="00BA410E" w:rsidRDefault="00CA1F09" w:rsidP="00CA1F09">
      <w:pPr>
        <w:pStyle w:val="pldetails"/>
      </w:pPr>
      <w:r w:rsidRPr="00BA410E">
        <w:t>Yehan CUI (Mr.), President</w:t>
      </w:r>
    </w:p>
    <w:p w14:paraId="0F030729" w14:textId="77777777" w:rsidR="00CA1F09" w:rsidRPr="00BA410E" w:rsidRDefault="00CA1F09" w:rsidP="00CA1F09">
      <w:pPr>
        <w:pStyle w:val="pldetails"/>
      </w:pPr>
      <w:r w:rsidRPr="00BA410E">
        <w:t>Anthony PARKER (Mr.), Vice-President</w:t>
      </w:r>
    </w:p>
    <w:p w14:paraId="02366A7E" w14:textId="77777777" w:rsidR="00CA1F09" w:rsidRPr="00BA410E" w:rsidRDefault="00CA1F09" w:rsidP="00CA1F09">
      <w:pPr>
        <w:pStyle w:val="plheading"/>
        <w:keepLines/>
        <w:rPr>
          <w:rFonts w:cs="Arial"/>
        </w:rPr>
      </w:pPr>
      <w:r w:rsidRPr="00BA410E">
        <w:rPr>
          <w:rFonts w:cs="Arial"/>
        </w:rPr>
        <w:t>VII. BUREAU DE L’UPOV / OFFICE OF UPOV / BÜRO DER UPOV / OFICINA DE LA UPOV</w:t>
      </w:r>
    </w:p>
    <w:p w14:paraId="7CA018E5" w14:textId="77777777" w:rsidR="00CA1F09" w:rsidRPr="00BA410E" w:rsidRDefault="00CA1F09" w:rsidP="00CA1F09">
      <w:pPr>
        <w:pStyle w:val="pldetails"/>
        <w:keepNext/>
      </w:pPr>
      <w:r w:rsidRPr="00BA410E">
        <w:t>Daren TANG (Mr.), Secretary-General</w:t>
      </w:r>
    </w:p>
    <w:p w14:paraId="24E80115" w14:textId="77777777" w:rsidR="00CA1F09" w:rsidRPr="00BA410E" w:rsidRDefault="00CA1F09" w:rsidP="00CA1F09">
      <w:pPr>
        <w:pStyle w:val="pldetails"/>
        <w:keepNext/>
      </w:pPr>
      <w:r w:rsidRPr="00BA410E">
        <w:t>Yolanda HUERTA (Ms.), Vice Secretary-General</w:t>
      </w:r>
    </w:p>
    <w:p w14:paraId="737E3ECB" w14:textId="77777777" w:rsidR="00CA1F09" w:rsidRPr="00BA410E" w:rsidRDefault="00CA1F09" w:rsidP="00CA1F09">
      <w:pPr>
        <w:pStyle w:val="pldetails"/>
      </w:pPr>
      <w:r w:rsidRPr="00BA410E">
        <w:rPr>
          <w:rFonts w:cs="Arial"/>
        </w:rPr>
        <w:t xml:space="preserve">Martin EKVAD (Mr.), </w:t>
      </w:r>
      <w:bookmarkStart w:id="15" w:name="_Hlk147302165"/>
      <w:r w:rsidRPr="00BA410E">
        <w:rPr>
          <w:rFonts w:cs="Arial"/>
        </w:rPr>
        <w:t>Director of Legal Affairs</w:t>
      </w:r>
      <w:bookmarkEnd w:id="15"/>
    </w:p>
    <w:p w14:paraId="4D3BEC7A" w14:textId="77777777" w:rsidR="00CA1F09" w:rsidRPr="00BA410E" w:rsidRDefault="00CA1F09" w:rsidP="00CA1F09">
      <w:pPr>
        <w:pStyle w:val="pldetails"/>
      </w:pPr>
      <w:r w:rsidRPr="00BA410E">
        <w:t xml:space="preserve">Leontino TAVEIRA (Mr.), </w:t>
      </w:r>
      <w:bookmarkStart w:id="16" w:name="_Hlk147302207"/>
      <w:r w:rsidRPr="00BA410E">
        <w:t>Director of Global Development and Technical Affairs</w:t>
      </w:r>
      <w:bookmarkEnd w:id="16"/>
    </w:p>
    <w:p w14:paraId="0EEBF28B" w14:textId="77777777" w:rsidR="00CA1F09" w:rsidRPr="00BA410E" w:rsidRDefault="00CA1F09" w:rsidP="00CA1F09">
      <w:pPr>
        <w:pStyle w:val="pldetails"/>
      </w:pPr>
      <w:r w:rsidRPr="00BA410E">
        <w:t>Hend MADHOUR (Ms.), Head of IT</w:t>
      </w:r>
    </w:p>
    <w:p w14:paraId="0CC47965" w14:textId="77777777" w:rsidR="00CA1F09" w:rsidRPr="00BA410E" w:rsidRDefault="00CA1F09" w:rsidP="00CA1F09">
      <w:pPr>
        <w:pStyle w:val="pldetails"/>
      </w:pPr>
      <w:r w:rsidRPr="00BA410E">
        <w:t>Yoshiro NISHIMURA (Mr.), Technical/Regional Officer (Asia)</w:t>
      </w:r>
    </w:p>
    <w:p w14:paraId="6871C253" w14:textId="77777777" w:rsidR="00CA1F09" w:rsidRPr="00BA410E" w:rsidRDefault="00CA1F09" w:rsidP="00CA1F09">
      <w:pPr>
        <w:pStyle w:val="pldetails"/>
        <w:keepNext/>
      </w:pPr>
      <w:r w:rsidRPr="00BA410E">
        <w:rPr>
          <w:rFonts w:cs="Arial"/>
        </w:rPr>
        <w:t>Kees VAN ETTEKOVEN (Mr.), Technical Expert</w:t>
      </w:r>
    </w:p>
    <w:p w14:paraId="6F38D18D" w14:textId="77777777" w:rsidR="00CA1F09" w:rsidRPr="00BA410E" w:rsidRDefault="00CA1F09" w:rsidP="00CA1F09">
      <w:pPr>
        <w:keepNext/>
      </w:pPr>
    </w:p>
    <w:p w14:paraId="71CC0189" w14:textId="77777777" w:rsidR="00CA1F09" w:rsidRPr="00BA410E" w:rsidRDefault="00CA1F09" w:rsidP="00CA1F09">
      <w:pPr>
        <w:keepNext/>
      </w:pPr>
    </w:p>
    <w:p w14:paraId="3A63D397" w14:textId="77777777" w:rsidR="00CA1F09" w:rsidRPr="00BA410E" w:rsidRDefault="00CA1F09" w:rsidP="00CA1F09">
      <w:pPr>
        <w:keepNext/>
      </w:pPr>
    </w:p>
    <w:p w14:paraId="22B91436" w14:textId="77777777" w:rsidR="00CA1F09" w:rsidRPr="00C249CE" w:rsidRDefault="00CA1F09" w:rsidP="00CA1F09">
      <w:pPr>
        <w:jc w:val="right"/>
        <w:rPr>
          <w:rFonts w:cs="Arial"/>
          <w:lang w:val="fr-CH" w:eastAsia="zh-CN"/>
        </w:rPr>
      </w:pPr>
      <w:r w:rsidRPr="00BA410E">
        <w:rPr>
          <w:rFonts w:cs="Arial"/>
          <w:lang w:val="fr-CH"/>
        </w:rPr>
        <w:t>[Fin du document/</w:t>
      </w:r>
      <w:r w:rsidRPr="00BA410E">
        <w:rPr>
          <w:rFonts w:cs="Arial"/>
          <w:lang w:val="fr-CH"/>
        </w:rPr>
        <w:br/>
        <w:t>End of document/</w:t>
      </w:r>
      <w:r w:rsidRPr="00BA410E">
        <w:rPr>
          <w:rFonts w:cs="Arial"/>
          <w:lang w:val="fr-CH"/>
        </w:rPr>
        <w:br/>
        <w:t xml:space="preserve">Ende des </w:t>
      </w:r>
      <w:proofErr w:type="spellStart"/>
      <w:r w:rsidRPr="00BA410E">
        <w:rPr>
          <w:rFonts w:cs="Arial"/>
          <w:lang w:val="fr-CH"/>
        </w:rPr>
        <w:t>Dokuments</w:t>
      </w:r>
      <w:proofErr w:type="spellEnd"/>
      <w:r w:rsidRPr="00BA410E">
        <w:rPr>
          <w:rFonts w:cs="Arial"/>
          <w:lang w:val="fr-CH"/>
        </w:rPr>
        <w:t>/</w:t>
      </w:r>
      <w:r w:rsidRPr="00BA410E">
        <w:rPr>
          <w:rFonts w:cs="Arial"/>
          <w:lang w:val="fr-CH"/>
        </w:rPr>
        <w:br/>
        <w:t xml:space="preserve">Fin </w:t>
      </w:r>
      <w:proofErr w:type="spellStart"/>
      <w:r w:rsidRPr="00BA410E">
        <w:rPr>
          <w:rFonts w:cs="Arial"/>
          <w:lang w:val="fr-CH"/>
        </w:rPr>
        <w:t>del</w:t>
      </w:r>
      <w:proofErr w:type="spellEnd"/>
      <w:r w:rsidRPr="00BA410E">
        <w:rPr>
          <w:rFonts w:cs="Arial"/>
          <w:lang w:val="fr-CH"/>
        </w:rPr>
        <w:t xml:space="preserve"> </w:t>
      </w:r>
      <w:proofErr w:type="spellStart"/>
      <w:r w:rsidRPr="00BA410E">
        <w:rPr>
          <w:rFonts w:cs="Arial"/>
          <w:lang w:val="fr-CH"/>
        </w:rPr>
        <w:t>documento</w:t>
      </w:r>
      <w:proofErr w:type="spellEnd"/>
      <w:r w:rsidRPr="00BA410E">
        <w:rPr>
          <w:rFonts w:cs="Arial"/>
          <w:lang w:val="fr-CH"/>
        </w:rPr>
        <w:t>]</w:t>
      </w:r>
    </w:p>
    <w:p w14:paraId="4B8E629E" w14:textId="77777777" w:rsidR="00BA2A97" w:rsidRPr="00E34BAF" w:rsidRDefault="00BA2A97" w:rsidP="00FB4867">
      <w:pPr>
        <w:shd w:val="clear" w:color="auto" w:fill="FFFFFF" w:themeFill="background1"/>
        <w:jc w:val="left"/>
      </w:pPr>
    </w:p>
    <w:p w14:paraId="306A1FBD" w14:textId="77777777" w:rsidR="00BA2A97" w:rsidRPr="00E34BAF" w:rsidRDefault="00BA2A97" w:rsidP="00FB4867">
      <w:pPr>
        <w:shd w:val="clear" w:color="auto" w:fill="FFFFFF" w:themeFill="background1"/>
        <w:jc w:val="left"/>
        <w:rPr>
          <w:highlight w:val="yellow"/>
        </w:rPr>
      </w:pPr>
    </w:p>
    <w:sectPr w:rsidR="00BA2A97" w:rsidRPr="00E34BAF" w:rsidSect="00BA2A97">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2D11" w14:textId="77777777" w:rsidR="00017236" w:rsidRDefault="00017236" w:rsidP="006655D3">
      <w:r>
        <w:separator/>
      </w:r>
    </w:p>
    <w:p w14:paraId="0BEE925C" w14:textId="77777777" w:rsidR="00017236" w:rsidRDefault="00017236" w:rsidP="006655D3"/>
    <w:p w14:paraId="5A719B34" w14:textId="77777777" w:rsidR="00017236" w:rsidRDefault="00017236" w:rsidP="006655D3"/>
  </w:endnote>
  <w:endnote w:type="continuationSeparator" w:id="0">
    <w:p w14:paraId="09B35DD5" w14:textId="77777777" w:rsidR="00017236" w:rsidRDefault="00017236" w:rsidP="006655D3">
      <w:r>
        <w:separator/>
      </w:r>
    </w:p>
    <w:p w14:paraId="4123750B" w14:textId="77777777" w:rsidR="00E14937" w:rsidRDefault="001A3265">
      <w:pPr>
        <w:pStyle w:val="Footer"/>
        <w:spacing w:after="60"/>
        <w:rPr>
          <w:sz w:val="17"/>
          <w:lang w:val="fr-FR"/>
        </w:rPr>
      </w:pPr>
      <w:r w:rsidRPr="00294751">
        <w:rPr>
          <w:sz w:val="17"/>
          <w:lang w:val="fr-FR"/>
        </w:rPr>
        <w:t>[Suite de la note de la page précédente].</w:t>
      </w:r>
    </w:p>
    <w:p w14:paraId="084DF779" w14:textId="77777777" w:rsidR="00017236" w:rsidRPr="00294751" w:rsidRDefault="00017236" w:rsidP="006655D3"/>
    <w:p w14:paraId="321B9395" w14:textId="77777777" w:rsidR="00017236" w:rsidRPr="00294751" w:rsidRDefault="00017236" w:rsidP="006655D3"/>
  </w:endnote>
  <w:endnote w:type="continuationNotice" w:id="1">
    <w:p w14:paraId="0C794670" w14:textId="77777777" w:rsidR="00E14937" w:rsidRDefault="001A3265">
      <w:r w:rsidRPr="00294751">
        <w:t>[Suite de la note page suivante]</w:t>
      </w:r>
    </w:p>
    <w:p w14:paraId="238FEE49" w14:textId="77777777" w:rsidR="00017236" w:rsidRPr="00294751" w:rsidRDefault="00017236" w:rsidP="006655D3"/>
    <w:p w14:paraId="63B537D1" w14:textId="77777777" w:rsidR="00017236" w:rsidRPr="00294751" w:rsidRDefault="0001723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08FD" w14:textId="77777777" w:rsidR="00017236" w:rsidRDefault="00017236" w:rsidP="006655D3">
      <w:r>
        <w:separator/>
      </w:r>
    </w:p>
  </w:footnote>
  <w:footnote w:type="continuationSeparator" w:id="0">
    <w:p w14:paraId="67902450" w14:textId="77777777" w:rsidR="00017236" w:rsidRDefault="00017236" w:rsidP="006655D3">
      <w:r>
        <w:separator/>
      </w:r>
    </w:p>
  </w:footnote>
  <w:footnote w:type="continuationNotice" w:id="1">
    <w:p w14:paraId="3F34327B" w14:textId="77777777" w:rsidR="00017236" w:rsidRPr="00AB530F" w:rsidRDefault="00017236" w:rsidP="00AB530F">
      <w:pPr>
        <w:pStyle w:val="Footer"/>
      </w:pPr>
    </w:p>
  </w:footnote>
  <w:footnote w:id="2">
    <w:p w14:paraId="212CF5AD" w14:textId="034EBCAF" w:rsidR="00680E83" w:rsidRDefault="00680E83" w:rsidP="00680E83">
      <w:pPr>
        <w:pStyle w:val="FootnoteText"/>
      </w:pPr>
      <w:r>
        <w:rPr>
          <w:rStyle w:val="FootnoteReference"/>
        </w:rPr>
        <w:footnoteRef/>
      </w:r>
      <w:r>
        <w:tab/>
        <w:t>source</w:t>
      </w:r>
      <w:r w:rsidR="00EA33D5">
        <w:t>:</w:t>
      </w:r>
      <w:r w:rsidRPr="003856E0">
        <w:t xml:space="preserve"> </w:t>
      </w:r>
      <w:hyperlink r:id="rId1" w:history="1">
        <w:r w:rsidRPr="00DC4C4D">
          <w:rPr>
            <w:rStyle w:val="Hyperlink"/>
          </w:rPr>
          <w:t>https://worldseed.org/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D993" w14:textId="77777777" w:rsidR="00E14937" w:rsidRDefault="00EE228B">
    <w:pPr>
      <w:pStyle w:val="Header"/>
      <w:rPr>
        <w:rStyle w:val="PageNumber"/>
        <w:lang w:val="en-US"/>
      </w:rPr>
    </w:pPr>
    <w:r>
      <w:rPr>
        <w:rStyle w:val="PageNumber"/>
        <w:lang w:val="en-US"/>
      </w:rPr>
      <w:t>C/58/19</w:t>
    </w:r>
  </w:p>
  <w:p w14:paraId="46D7A648" w14:textId="77777777" w:rsidR="00E14937" w:rsidRDefault="001A326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5A12F5BE"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7FA0" w14:textId="77777777" w:rsidR="00E14937" w:rsidRDefault="001A3265">
    <w:pPr>
      <w:pStyle w:val="Header"/>
      <w:rPr>
        <w:lang w:val="en-US"/>
      </w:rPr>
    </w:pPr>
    <w:r>
      <w:rPr>
        <w:rStyle w:val="PageNumber"/>
        <w:lang w:val="en-US"/>
      </w:rPr>
      <w:t>C/58/19</w:t>
    </w:r>
  </w:p>
  <w:p w14:paraId="73AFD7B7" w14:textId="77777777" w:rsidR="00E14937" w:rsidRDefault="00014FAD">
    <w:pPr>
      <w:pStyle w:val="Header"/>
      <w:rPr>
        <w:lang w:val="en-US"/>
      </w:rPr>
    </w:pPr>
    <w:r>
      <w:rPr>
        <w:lang w:val="en-US"/>
      </w:rPr>
      <w:t xml:space="preserve">Annexe I, </w:t>
    </w:r>
    <w:r w:rsidR="001A3265" w:rsidRPr="00C5280D">
      <w:rPr>
        <w:lang w:val="en-US"/>
      </w:rPr>
      <w:t xml:space="preserve">page </w:t>
    </w:r>
    <w:r w:rsidR="001A3265" w:rsidRPr="00C5280D">
      <w:rPr>
        <w:rStyle w:val="PageNumber"/>
        <w:lang w:val="en-US"/>
      </w:rPr>
      <w:fldChar w:fldCharType="begin"/>
    </w:r>
    <w:r w:rsidR="001A3265" w:rsidRPr="00C5280D">
      <w:rPr>
        <w:rStyle w:val="PageNumber"/>
        <w:lang w:val="en-US"/>
      </w:rPr>
      <w:instrText xml:space="preserve"> PAGE </w:instrText>
    </w:r>
    <w:r w:rsidR="001A3265" w:rsidRPr="00C5280D">
      <w:rPr>
        <w:rStyle w:val="PageNumber"/>
        <w:lang w:val="en-US"/>
      </w:rPr>
      <w:fldChar w:fldCharType="separate"/>
    </w:r>
    <w:r w:rsidR="001A3265">
      <w:rPr>
        <w:rStyle w:val="PageNumber"/>
        <w:noProof/>
        <w:lang w:val="en-US"/>
      </w:rPr>
      <w:t>2</w:t>
    </w:r>
    <w:r w:rsidR="001A3265" w:rsidRPr="00C5280D">
      <w:rPr>
        <w:rStyle w:val="PageNumber"/>
        <w:lang w:val="en-US"/>
      </w:rPr>
      <w:fldChar w:fldCharType="end"/>
    </w:r>
  </w:p>
  <w:p w14:paraId="3BF38955" w14:textId="77777777" w:rsidR="00D5126C" w:rsidRPr="00C5280D" w:rsidRDefault="00D5126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41BE" w14:textId="77777777" w:rsidR="00E14937" w:rsidRDefault="001A3265">
    <w:pPr>
      <w:pStyle w:val="Header"/>
      <w:rPr>
        <w:rStyle w:val="PageNumber"/>
        <w:lang w:val="en-US"/>
      </w:rPr>
    </w:pPr>
    <w:r>
      <w:rPr>
        <w:rStyle w:val="PageNumber"/>
        <w:lang w:val="en-US"/>
      </w:rPr>
      <w:t>C/58/19</w:t>
    </w:r>
  </w:p>
  <w:p w14:paraId="0401E860" w14:textId="77777777" w:rsidR="00E24E11" w:rsidRDefault="00E24E11" w:rsidP="00E24E11">
    <w:pPr>
      <w:jc w:val="center"/>
    </w:pPr>
  </w:p>
  <w:p w14:paraId="583C4FE3" w14:textId="77777777" w:rsidR="00E14937" w:rsidRDefault="001A3265">
    <w:pPr>
      <w:jc w:val="center"/>
    </w:pPr>
    <w:r>
      <w:t>ANNEXE I</w:t>
    </w:r>
  </w:p>
  <w:p w14:paraId="1CD1AD54" w14:textId="77777777" w:rsidR="00E24E11" w:rsidRDefault="00E24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EC3A" w14:textId="77777777" w:rsidR="00E14937" w:rsidRDefault="001A3265">
    <w:pPr>
      <w:pStyle w:val="Header"/>
      <w:rPr>
        <w:rStyle w:val="PageNumber"/>
        <w:lang w:val="en-US"/>
      </w:rPr>
    </w:pPr>
    <w:r>
      <w:rPr>
        <w:rStyle w:val="PageNumber"/>
        <w:lang w:val="en-US"/>
      </w:rPr>
      <w:t>C/58/19</w:t>
    </w:r>
  </w:p>
  <w:p w14:paraId="5C912DF5" w14:textId="77777777" w:rsidR="00E24E11" w:rsidRDefault="00E24E11" w:rsidP="00E24E11">
    <w:pPr>
      <w:jc w:val="center"/>
    </w:pPr>
  </w:p>
  <w:p w14:paraId="489CF562" w14:textId="77777777" w:rsidR="00E14937" w:rsidRDefault="001A3265">
    <w:pPr>
      <w:jc w:val="center"/>
    </w:pPr>
    <w:r>
      <w:t>ANNEXE II</w:t>
    </w:r>
  </w:p>
  <w:p w14:paraId="487E8139" w14:textId="77777777" w:rsidR="00E24E11" w:rsidRDefault="00E24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CC0C" w14:textId="77777777" w:rsidR="00E14937" w:rsidRDefault="001A3265">
    <w:pPr>
      <w:pStyle w:val="Header"/>
      <w:rPr>
        <w:rStyle w:val="PageNumber"/>
      </w:rPr>
    </w:pPr>
    <w:r w:rsidRPr="00BA2A97">
      <w:rPr>
        <w:rStyle w:val="PageNumber"/>
      </w:rPr>
      <w:t>C/58/19 Prov.</w:t>
    </w:r>
  </w:p>
  <w:p w14:paraId="6E46AEDD" w14:textId="77777777" w:rsidR="00E14937" w:rsidRDefault="001A3265">
    <w:pPr>
      <w:pStyle w:val="Header"/>
    </w:pPr>
    <w:r>
      <w:t xml:space="preserve">Annexe III, </w:t>
    </w:r>
    <w:r w:rsidR="00BA2A97" w:rsidRPr="00BA2A97">
      <w:t xml:space="preserve">page </w:t>
    </w:r>
    <w:r w:rsidR="00BA2A97" w:rsidRPr="00C5280D">
      <w:rPr>
        <w:rStyle w:val="PageNumber"/>
        <w:lang w:val="en-US"/>
      </w:rPr>
      <w:fldChar w:fldCharType="begin"/>
    </w:r>
    <w:r w:rsidR="00BA2A97" w:rsidRPr="00BA2A97">
      <w:rPr>
        <w:rStyle w:val="PageNumber"/>
      </w:rPr>
      <w:instrText xml:space="preserve"> PAGE </w:instrText>
    </w:r>
    <w:r w:rsidR="00BA2A97" w:rsidRPr="00C5280D">
      <w:rPr>
        <w:rStyle w:val="PageNumber"/>
        <w:lang w:val="en-US"/>
      </w:rPr>
      <w:fldChar w:fldCharType="separate"/>
    </w:r>
    <w:r w:rsidR="00BA2A97" w:rsidRPr="00BA2A97">
      <w:rPr>
        <w:rStyle w:val="PageNumber"/>
        <w:noProof/>
      </w:rPr>
      <w:t>2</w:t>
    </w:r>
    <w:r w:rsidR="00BA2A97" w:rsidRPr="00C5280D">
      <w:rPr>
        <w:rStyle w:val="PageNumber"/>
        <w:lang w:val="en-US"/>
      </w:rPr>
      <w:fldChar w:fldCharType="end"/>
    </w:r>
  </w:p>
  <w:p w14:paraId="28AF5191" w14:textId="77777777" w:rsidR="00BA2A97" w:rsidRPr="00BA2A97" w:rsidRDefault="00BA2A97"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70A48" w14:textId="77777777" w:rsidR="00E14937" w:rsidRDefault="001A3265">
    <w:pPr>
      <w:pStyle w:val="Header"/>
      <w:rPr>
        <w:rStyle w:val="PageNumber"/>
        <w:lang w:val="en-US"/>
      </w:rPr>
    </w:pPr>
    <w:r>
      <w:rPr>
        <w:rStyle w:val="PageNumber"/>
        <w:lang w:val="en-US"/>
      </w:rPr>
      <w:t>C/58/19</w:t>
    </w:r>
  </w:p>
  <w:p w14:paraId="1A025223" w14:textId="77777777" w:rsidR="00BA2A97" w:rsidRDefault="00BA2A97" w:rsidP="00E24E11">
    <w:pPr>
      <w:jc w:val="center"/>
    </w:pPr>
  </w:p>
  <w:p w14:paraId="6615C45B" w14:textId="77777777" w:rsidR="00E14937" w:rsidRDefault="001A3265">
    <w:pPr>
      <w:jc w:val="center"/>
    </w:pPr>
    <w:r>
      <w:t>ANNEXE III</w:t>
    </w:r>
  </w:p>
  <w:p w14:paraId="6C1AC760" w14:textId="77777777" w:rsidR="00BA2A97" w:rsidRDefault="00BA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A5AF5"/>
    <w:multiLevelType w:val="hybridMultilevel"/>
    <w:tmpl w:val="70A03A7C"/>
    <w:lvl w:ilvl="0" w:tplc="692429B0">
      <w:start w:val="1"/>
      <w:numFmt w:val="lowerLetter"/>
      <w:lvlText w:val="(%1)"/>
      <w:lvlJc w:val="left"/>
      <w:pPr>
        <w:ind w:left="1287" w:hanging="360"/>
      </w:pPr>
      <w:rPr>
        <w:rFonts w:hint="default"/>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C59C7"/>
    <w:multiLevelType w:val="hybridMultilevel"/>
    <w:tmpl w:val="F634CE64"/>
    <w:lvl w:ilvl="0" w:tplc="43F6BC3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 w15:restartNumberingAfterBreak="0">
    <w:nsid w:val="40EB36A7"/>
    <w:multiLevelType w:val="hybridMultilevel"/>
    <w:tmpl w:val="BF22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04D1A"/>
    <w:multiLevelType w:val="hybridMultilevel"/>
    <w:tmpl w:val="618C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41CD"/>
    <w:multiLevelType w:val="hybridMultilevel"/>
    <w:tmpl w:val="F634CE64"/>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 w15:restartNumberingAfterBreak="0">
    <w:nsid w:val="69A24B75"/>
    <w:multiLevelType w:val="hybridMultilevel"/>
    <w:tmpl w:val="96D27190"/>
    <w:lvl w:ilvl="0" w:tplc="A5961838">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8" w15:restartNumberingAfterBreak="0">
    <w:nsid w:val="71CA2738"/>
    <w:multiLevelType w:val="hybridMultilevel"/>
    <w:tmpl w:val="8912F1FA"/>
    <w:lvl w:ilvl="0" w:tplc="506E0508">
      <w:start w:val="1"/>
      <w:numFmt w:val="lowerLetter"/>
      <w:lvlText w:val="(%1)"/>
      <w:lvlJc w:val="left"/>
      <w:pPr>
        <w:ind w:left="720" w:hanging="360"/>
      </w:pPr>
      <w:rPr>
        <w:rFonts w:hint="default"/>
      </w:rPr>
    </w:lvl>
    <w:lvl w:ilvl="1" w:tplc="96944B26">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619771">
    <w:abstractNumId w:val="2"/>
  </w:num>
  <w:num w:numId="2" w16cid:durableId="1488980497">
    <w:abstractNumId w:val="4"/>
  </w:num>
  <w:num w:numId="3" w16cid:durableId="726880485">
    <w:abstractNumId w:val="1"/>
  </w:num>
  <w:num w:numId="4" w16cid:durableId="852576554">
    <w:abstractNumId w:val="3"/>
  </w:num>
  <w:num w:numId="5" w16cid:durableId="569190366">
    <w:abstractNumId w:val="6"/>
  </w:num>
  <w:num w:numId="6" w16cid:durableId="702480942">
    <w:abstractNumId w:val="7"/>
  </w:num>
  <w:num w:numId="7" w16cid:durableId="370692476">
    <w:abstractNumId w:val="5"/>
  </w:num>
  <w:num w:numId="8" w16cid:durableId="2023118997">
    <w:abstractNumId w:val="0"/>
  </w:num>
  <w:num w:numId="9" w16cid:durableId="84011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6"/>
    <w:rsid w:val="00001A85"/>
    <w:rsid w:val="000101B3"/>
    <w:rsid w:val="0001040D"/>
    <w:rsid w:val="00010C73"/>
    <w:rsid w:val="00010CF3"/>
    <w:rsid w:val="000116A4"/>
    <w:rsid w:val="00011E27"/>
    <w:rsid w:val="000148BC"/>
    <w:rsid w:val="00014FAD"/>
    <w:rsid w:val="00017236"/>
    <w:rsid w:val="00024AB8"/>
    <w:rsid w:val="00025086"/>
    <w:rsid w:val="00026ACC"/>
    <w:rsid w:val="00030854"/>
    <w:rsid w:val="00035D99"/>
    <w:rsid w:val="00036028"/>
    <w:rsid w:val="00036ACB"/>
    <w:rsid w:val="00036B47"/>
    <w:rsid w:val="00044642"/>
    <w:rsid w:val="000446B9"/>
    <w:rsid w:val="0004552A"/>
    <w:rsid w:val="00047E21"/>
    <w:rsid w:val="00050E16"/>
    <w:rsid w:val="00064F21"/>
    <w:rsid w:val="00065A9A"/>
    <w:rsid w:val="000742FF"/>
    <w:rsid w:val="00085505"/>
    <w:rsid w:val="00095B85"/>
    <w:rsid w:val="00096D01"/>
    <w:rsid w:val="000A05D9"/>
    <w:rsid w:val="000A1ABA"/>
    <w:rsid w:val="000A7975"/>
    <w:rsid w:val="000B5208"/>
    <w:rsid w:val="000C4E25"/>
    <w:rsid w:val="000C7021"/>
    <w:rsid w:val="000D6BBC"/>
    <w:rsid w:val="000D7780"/>
    <w:rsid w:val="000E636A"/>
    <w:rsid w:val="000F2F11"/>
    <w:rsid w:val="000F3B3A"/>
    <w:rsid w:val="000F3FE4"/>
    <w:rsid w:val="000F7357"/>
    <w:rsid w:val="0010558F"/>
    <w:rsid w:val="00105929"/>
    <w:rsid w:val="00110C36"/>
    <w:rsid w:val="001131D5"/>
    <w:rsid w:val="00130E3F"/>
    <w:rsid w:val="00141DB8"/>
    <w:rsid w:val="001520F2"/>
    <w:rsid w:val="00154B54"/>
    <w:rsid w:val="00165A93"/>
    <w:rsid w:val="00172084"/>
    <w:rsid w:val="0017474A"/>
    <w:rsid w:val="001758C6"/>
    <w:rsid w:val="00182B99"/>
    <w:rsid w:val="00195823"/>
    <w:rsid w:val="001A3265"/>
    <w:rsid w:val="001C1525"/>
    <w:rsid w:val="001D09E3"/>
    <w:rsid w:val="001D7E83"/>
    <w:rsid w:val="001E0010"/>
    <w:rsid w:val="001F0AD5"/>
    <w:rsid w:val="001F1491"/>
    <w:rsid w:val="0020304B"/>
    <w:rsid w:val="0021332C"/>
    <w:rsid w:val="00213982"/>
    <w:rsid w:val="00214C72"/>
    <w:rsid w:val="0021785C"/>
    <w:rsid w:val="0023431C"/>
    <w:rsid w:val="0023736E"/>
    <w:rsid w:val="0024416D"/>
    <w:rsid w:val="00253D61"/>
    <w:rsid w:val="00256BFA"/>
    <w:rsid w:val="00265DD4"/>
    <w:rsid w:val="00271911"/>
    <w:rsid w:val="00272A37"/>
    <w:rsid w:val="002800A0"/>
    <w:rsid w:val="002801B3"/>
    <w:rsid w:val="00281060"/>
    <w:rsid w:val="002940E8"/>
    <w:rsid w:val="00294751"/>
    <w:rsid w:val="002A61AD"/>
    <w:rsid w:val="002A6E50"/>
    <w:rsid w:val="002B4298"/>
    <w:rsid w:val="002C256A"/>
    <w:rsid w:val="002C6455"/>
    <w:rsid w:val="002D02AB"/>
    <w:rsid w:val="002D046A"/>
    <w:rsid w:val="002E492C"/>
    <w:rsid w:val="002E6A83"/>
    <w:rsid w:val="003040DF"/>
    <w:rsid w:val="00305A7F"/>
    <w:rsid w:val="0031083C"/>
    <w:rsid w:val="003152FE"/>
    <w:rsid w:val="00316BEB"/>
    <w:rsid w:val="0032138B"/>
    <w:rsid w:val="00327436"/>
    <w:rsid w:val="00340DBF"/>
    <w:rsid w:val="0034185F"/>
    <w:rsid w:val="00344AD7"/>
    <w:rsid w:val="00344BD6"/>
    <w:rsid w:val="00352523"/>
    <w:rsid w:val="0035528D"/>
    <w:rsid w:val="00361821"/>
    <w:rsid w:val="00361E9E"/>
    <w:rsid w:val="00366D37"/>
    <w:rsid w:val="00386737"/>
    <w:rsid w:val="0039633A"/>
    <w:rsid w:val="00396CB6"/>
    <w:rsid w:val="003A2700"/>
    <w:rsid w:val="003B2C7F"/>
    <w:rsid w:val="003C7FBE"/>
    <w:rsid w:val="003D227C"/>
    <w:rsid w:val="003D2B4D"/>
    <w:rsid w:val="003E14E4"/>
    <w:rsid w:val="003F4596"/>
    <w:rsid w:val="003F5F2B"/>
    <w:rsid w:val="003F6007"/>
    <w:rsid w:val="003F7E4E"/>
    <w:rsid w:val="00432FDF"/>
    <w:rsid w:val="00437A0A"/>
    <w:rsid w:val="00444A88"/>
    <w:rsid w:val="00456939"/>
    <w:rsid w:val="00474DA4"/>
    <w:rsid w:val="00475E9F"/>
    <w:rsid w:val="00476B4D"/>
    <w:rsid w:val="004805FA"/>
    <w:rsid w:val="00484F94"/>
    <w:rsid w:val="00484FB5"/>
    <w:rsid w:val="004935D2"/>
    <w:rsid w:val="004A41F8"/>
    <w:rsid w:val="004B072E"/>
    <w:rsid w:val="004B1215"/>
    <w:rsid w:val="004B16DA"/>
    <w:rsid w:val="004B5855"/>
    <w:rsid w:val="004D047D"/>
    <w:rsid w:val="004F1E9E"/>
    <w:rsid w:val="004F305A"/>
    <w:rsid w:val="00503BDD"/>
    <w:rsid w:val="0050523F"/>
    <w:rsid w:val="00512164"/>
    <w:rsid w:val="0051361E"/>
    <w:rsid w:val="00520297"/>
    <w:rsid w:val="00524D44"/>
    <w:rsid w:val="005338F9"/>
    <w:rsid w:val="005349AE"/>
    <w:rsid w:val="00534D28"/>
    <w:rsid w:val="00535D95"/>
    <w:rsid w:val="00536BCA"/>
    <w:rsid w:val="0054281C"/>
    <w:rsid w:val="00544581"/>
    <w:rsid w:val="0055268D"/>
    <w:rsid w:val="00552D6D"/>
    <w:rsid w:val="0056153E"/>
    <w:rsid w:val="005673A4"/>
    <w:rsid w:val="005679C2"/>
    <w:rsid w:val="0057268E"/>
    <w:rsid w:val="00576BE4"/>
    <w:rsid w:val="005771A6"/>
    <w:rsid w:val="005830F9"/>
    <w:rsid w:val="00587833"/>
    <w:rsid w:val="00595A07"/>
    <w:rsid w:val="00595C98"/>
    <w:rsid w:val="005A21F7"/>
    <w:rsid w:val="005A400A"/>
    <w:rsid w:val="005B39D5"/>
    <w:rsid w:val="005B4EA7"/>
    <w:rsid w:val="005B5C45"/>
    <w:rsid w:val="005B7A61"/>
    <w:rsid w:val="005C74FC"/>
    <w:rsid w:val="005D7385"/>
    <w:rsid w:val="005F130C"/>
    <w:rsid w:val="005F76C3"/>
    <w:rsid w:val="005F7B92"/>
    <w:rsid w:val="00610753"/>
    <w:rsid w:val="00612379"/>
    <w:rsid w:val="006153B6"/>
    <w:rsid w:val="0061555F"/>
    <w:rsid w:val="00617D00"/>
    <w:rsid w:val="00635EF7"/>
    <w:rsid w:val="00636CA6"/>
    <w:rsid w:val="00641200"/>
    <w:rsid w:val="00645CA8"/>
    <w:rsid w:val="006655D3"/>
    <w:rsid w:val="00667404"/>
    <w:rsid w:val="006756C7"/>
    <w:rsid w:val="00680E83"/>
    <w:rsid w:val="00680F7E"/>
    <w:rsid w:val="00687EB4"/>
    <w:rsid w:val="00695C56"/>
    <w:rsid w:val="006A5CDE"/>
    <w:rsid w:val="006A644A"/>
    <w:rsid w:val="006B17D2"/>
    <w:rsid w:val="006C224E"/>
    <w:rsid w:val="006C76C1"/>
    <w:rsid w:val="006D780A"/>
    <w:rsid w:val="006E047C"/>
    <w:rsid w:val="006E0CA4"/>
    <w:rsid w:val="006E2AFD"/>
    <w:rsid w:val="006E6755"/>
    <w:rsid w:val="0071271E"/>
    <w:rsid w:val="00712BFC"/>
    <w:rsid w:val="00715461"/>
    <w:rsid w:val="00730F86"/>
    <w:rsid w:val="00732DEC"/>
    <w:rsid w:val="00735BD5"/>
    <w:rsid w:val="007451EC"/>
    <w:rsid w:val="00751613"/>
    <w:rsid w:val="007556F6"/>
    <w:rsid w:val="00757B2A"/>
    <w:rsid w:val="00760EEF"/>
    <w:rsid w:val="00761BC5"/>
    <w:rsid w:val="007678E3"/>
    <w:rsid w:val="00774D04"/>
    <w:rsid w:val="00775666"/>
    <w:rsid w:val="00777EE5"/>
    <w:rsid w:val="00782255"/>
    <w:rsid w:val="00784836"/>
    <w:rsid w:val="0079023E"/>
    <w:rsid w:val="0079461D"/>
    <w:rsid w:val="007A2854"/>
    <w:rsid w:val="007A5D9D"/>
    <w:rsid w:val="007C1D92"/>
    <w:rsid w:val="007C3C19"/>
    <w:rsid w:val="007C4CB9"/>
    <w:rsid w:val="007D0B9D"/>
    <w:rsid w:val="007D19B0"/>
    <w:rsid w:val="007D4635"/>
    <w:rsid w:val="007E625B"/>
    <w:rsid w:val="007F1294"/>
    <w:rsid w:val="007F2657"/>
    <w:rsid w:val="007F41B2"/>
    <w:rsid w:val="007F498F"/>
    <w:rsid w:val="0080679D"/>
    <w:rsid w:val="00807CFA"/>
    <w:rsid w:val="008108B0"/>
    <w:rsid w:val="00811B20"/>
    <w:rsid w:val="0081482F"/>
    <w:rsid w:val="00815A58"/>
    <w:rsid w:val="008211B5"/>
    <w:rsid w:val="0082296E"/>
    <w:rsid w:val="00824099"/>
    <w:rsid w:val="00827B2A"/>
    <w:rsid w:val="0083359E"/>
    <w:rsid w:val="00837CEA"/>
    <w:rsid w:val="00837DE1"/>
    <w:rsid w:val="00846D7C"/>
    <w:rsid w:val="00856704"/>
    <w:rsid w:val="00867AC1"/>
    <w:rsid w:val="0088193C"/>
    <w:rsid w:val="00882BEC"/>
    <w:rsid w:val="00890DF8"/>
    <w:rsid w:val="00892F18"/>
    <w:rsid w:val="0089795E"/>
    <w:rsid w:val="008A3E55"/>
    <w:rsid w:val="008A743F"/>
    <w:rsid w:val="008C0970"/>
    <w:rsid w:val="008C7EEB"/>
    <w:rsid w:val="008D0BC5"/>
    <w:rsid w:val="008D2CF7"/>
    <w:rsid w:val="00900C26"/>
    <w:rsid w:val="0090197F"/>
    <w:rsid w:val="009027C7"/>
    <w:rsid w:val="00903264"/>
    <w:rsid w:val="0090403B"/>
    <w:rsid w:val="00906DDC"/>
    <w:rsid w:val="00921947"/>
    <w:rsid w:val="009328F6"/>
    <w:rsid w:val="00934A3E"/>
    <w:rsid w:val="00934E09"/>
    <w:rsid w:val="00936253"/>
    <w:rsid w:val="00940D46"/>
    <w:rsid w:val="009466EE"/>
    <w:rsid w:val="00951E5D"/>
    <w:rsid w:val="00952DD4"/>
    <w:rsid w:val="00954675"/>
    <w:rsid w:val="00960EBC"/>
    <w:rsid w:val="009631D8"/>
    <w:rsid w:val="00965AE7"/>
    <w:rsid w:val="00970FED"/>
    <w:rsid w:val="00972D87"/>
    <w:rsid w:val="00987447"/>
    <w:rsid w:val="00992D82"/>
    <w:rsid w:val="00994205"/>
    <w:rsid w:val="00997029"/>
    <w:rsid w:val="009A145B"/>
    <w:rsid w:val="009A7339"/>
    <w:rsid w:val="009B440E"/>
    <w:rsid w:val="009C4035"/>
    <w:rsid w:val="009D52D3"/>
    <w:rsid w:val="009D690D"/>
    <w:rsid w:val="009D7088"/>
    <w:rsid w:val="009E65B6"/>
    <w:rsid w:val="009F77CF"/>
    <w:rsid w:val="00A13137"/>
    <w:rsid w:val="00A15716"/>
    <w:rsid w:val="00A20B89"/>
    <w:rsid w:val="00A21AA0"/>
    <w:rsid w:val="00A246F9"/>
    <w:rsid w:val="00A24C10"/>
    <w:rsid w:val="00A3365A"/>
    <w:rsid w:val="00A341CE"/>
    <w:rsid w:val="00A4006B"/>
    <w:rsid w:val="00A42AC3"/>
    <w:rsid w:val="00A430CF"/>
    <w:rsid w:val="00A54309"/>
    <w:rsid w:val="00A613DB"/>
    <w:rsid w:val="00A74B12"/>
    <w:rsid w:val="00A75F85"/>
    <w:rsid w:val="00A861EB"/>
    <w:rsid w:val="00A87FCC"/>
    <w:rsid w:val="00A90792"/>
    <w:rsid w:val="00AA0F9B"/>
    <w:rsid w:val="00AA1122"/>
    <w:rsid w:val="00AA3D1E"/>
    <w:rsid w:val="00AB2B93"/>
    <w:rsid w:val="00AB530F"/>
    <w:rsid w:val="00AB5AD7"/>
    <w:rsid w:val="00AB7E5B"/>
    <w:rsid w:val="00AC2883"/>
    <w:rsid w:val="00AC3C31"/>
    <w:rsid w:val="00AE0EF1"/>
    <w:rsid w:val="00AE2937"/>
    <w:rsid w:val="00AE3BB6"/>
    <w:rsid w:val="00AF3602"/>
    <w:rsid w:val="00AF3DE0"/>
    <w:rsid w:val="00B07301"/>
    <w:rsid w:val="00B113EE"/>
    <w:rsid w:val="00B11F3E"/>
    <w:rsid w:val="00B224DE"/>
    <w:rsid w:val="00B30D6C"/>
    <w:rsid w:val="00B316F0"/>
    <w:rsid w:val="00B324D4"/>
    <w:rsid w:val="00B46575"/>
    <w:rsid w:val="00B61777"/>
    <w:rsid w:val="00B63D18"/>
    <w:rsid w:val="00B706E0"/>
    <w:rsid w:val="00B7198B"/>
    <w:rsid w:val="00B72C9D"/>
    <w:rsid w:val="00B73C9E"/>
    <w:rsid w:val="00B74E2C"/>
    <w:rsid w:val="00B84BBD"/>
    <w:rsid w:val="00B86F4E"/>
    <w:rsid w:val="00B95CDD"/>
    <w:rsid w:val="00BA0EB9"/>
    <w:rsid w:val="00BA2A97"/>
    <w:rsid w:val="00BA43FB"/>
    <w:rsid w:val="00BC127D"/>
    <w:rsid w:val="00BC1FE6"/>
    <w:rsid w:val="00BD5DEB"/>
    <w:rsid w:val="00C0361E"/>
    <w:rsid w:val="00C03B0E"/>
    <w:rsid w:val="00C061B6"/>
    <w:rsid w:val="00C064D0"/>
    <w:rsid w:val="00C2446C"/>
    <w:rsid w:val="00C30885"/>
    <w:rsid w:val="00C3478A"/>
    <w:rsid w:val="00C34C2D"/>
    <w:rsid w:val="00C36AE5"/>
    <w:rsid w:val="00C41F17"/>
    <w:rsid w:val="00C47270"/>
    <w:rsid w:val="00C527FA"/>
    <w:rsid w:val="00C5280D"/>
    <w:rsid w:val="00C53EB3"/>
    <w:rsid w:val="00C5791C"/>
    <w:rsid w:val="00C66290"/>
    <w:rsid w:val="00C72B7A"/>
    <w:rsid w:val="00C973F2"/>
    <w:rsid w:val="00CA1F09"/>
    <w:rsid w:val="00CA304C"/>
    <w:rsid w:val="00CA774A"/>
    <w:rsid w:val="00CC11B0"/>
    <w:rsid w:val="00CC2841"/>
    <w:rsid w:val="00CD755C"/>
    <w:rsid w:val="00CE6955"/>
    <w:rsid w:val="00CF1330"/>
    <w:rsid w:val="00CF7E36"/>
    <w:rsid w:val="00D07045"/>
    <w:rsid w:val="00D13C52"/>
    <w:rsid w:val="00D14152"/>
    <w:rsid w:val="00D30455"/>
    <w:rsid w:val="00D311B6"/>
    <w:rsid w:val="00D3708D"/>
    <w:rsid w:val="00D40426"/>
    <w:rsid w:val="00D45BE7"/>
    <w:rsid w:val="00D5126C"/>
    <w:rsid w:val="00D5680F"/>
    <w:rsid w:val="00D57133"/>
    <w:rsid w:val="00D57C96"/>
    <w:rsid w:val="00D57D18"/>
    <w:rsid w:val="00D62418"/>
    <w:rsid w:val="00D72E3E"/>
    <w:rsid w:val="00D765E3"/>
    <w:rsid w:val="00D91203"/>
    <w:rsid w:val="00D95174"/>
    <w:rsid w:val="00DA40C4"/>
    <w:rsid w:val="00DA4973"/>
    <w:rsid w:val="00DA6F36"/>
    <w:rsid w:val="00DB11ED"/>
    <w:rsid w:val="00DB323D"/>
    <w:rsid w:val="00DB596E"/>
    <w:rsid w:val="00DB747D"/>
    <w:rsid w:val="00DB7773"/>
    <w:rsid w:val="00DC00EA"/>
    <w:rsid w:val="00DC3802"/>
    <w:rsid w:val="00DD4B25"/>
    <w:rsid w:val="00DE58F8"/>
    <w:rsid w:val="00DE7737"/>
    <w:rsid w:val="00E03FCB"/>
    <w:rsid w:val="00E07D87"/>
    <w:rsid w:val="00E14937"/>
    <w:rsid w:val="00E15503"/>
    <w:rsid w:val="00E16E17"/>
    <w:rsid w:val="00E24E11"/>
    <w:rsid w:val="00E3041B"/>
    <w:rsid w:val="00E32F7E"/>
    <w:rsid w:val="00E34BAF"/>
    <w:rsid w:val="00E35BAE"/>
    <w:rsid w:val="00E364BF"/>
    <w:rsid w:val="00E5267B"/>
    <w:rsid w:val="00E63C0E"/>
    <w:rsid w:val="00E727BB"/>
    <w:rsid w:val="00E72D49"/>
    <w:rsid w:val="00E7593C"/>
    <w:rsid w:val="00E7678A"/>
    <w:rsid w:val="00E82CBD"/>
    <w:rsid w:val="00E925E2"/>
    <w:rsid w:val="00E935F1"/>
    <w:rsid w:val="00E948F9"/>
    <w:rsid w:val="00E94A81"/>
    <w:rsid w:val="00EA1FFB"/>
    <w:rsid w:val="00EA20E7"/>
    <w:rsid w:val="00EA33D5"/>
    <w:rsid w:val="00EA3576"/>
    <w:rsid w:val="00EA4464"/>
    <w:rsid w:val="00EA68AE"/>
    <w:rsid w:val="00EB048E"/>
    <w:rsid w:val="00EB4E9C"/>
    <w:rsid w:val="00EC1F14"/>
    <w:rsid w:val="00ED1E19"/>
    <w:rsid w:val="00ED4BE5"/>
    <w:rsid w:val="00EE228B"/>
    <w:rsid w:val="00EE34DF"/>
    <w:rsid w:val="00EE7551"/>
    <w:rsid w:val="00EE7CC7"/>
    <w:rsid w:val="00EF1CA3"/>
    <w:rsid w:val="00EF2F89"/>
    <w:rsid w:val="00EF2FD9"/>
    <w:rsid w:val="00EF399F"/>
    <w:rsid w:val="00F03E98"/>
    <w:rsid w:val="00F1237A"/>
    <w:rsid w:val="00F12494"/>
    <w:rsid w:val="00F22CBD"/>
    <w:rsid w:val="00F240E2"/>
    <w:rsid w:val="00F272F1"/>
    <w:rsid w:val="00F45372"/>
    <w:rsid w:val="00F472B9"/>
    <w:rsid w:val="00F560F7"/>
    <w:rsid w:val="00F6334D"/>
    <w:rsid w:val="00F63599"/>
    <w:rsid w:val="00F63BA5"/>
    <w:rsid w:val="00F702D6"/>
    <w:rsid w:val="00F733F1"/>
    <w:rsid w:val="00F860B1"/>
    <w:rsid w:val="00F931A6"/>
    <w:rsid w:val="00FA49AB"/>
    <w:rsid w:val="00FB4867"/>
    <w:rsid w:val="00FB6AB5"/>
    <w:rsid w:val="00FB6B14"/>
    <w:rsid w:val="00FD78A0"/>
    <w:rsid w:val="00FE39C7"/>
    <w:rsid w:val="00FE5043"/>
    <w:rsid w:val="00FF186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A0BC8"/>
  <w15:docId w15:val="{82D39641-7B75-410F-9EF7-6AAF079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AF"/>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A74B12"/>
    <w:pPr>
      <w:keepNext/>
      <w:tabs>
        <w:tab w:val="left" w:pos="284"/>
        <w:tab w:val="left" w:pos="4253"/>
      </w:tabs>
      <w:spacing w:after="120"/>
      <w:ind w:left="284"/>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680E83"/>
    <w:pPr>
      <w:keepNext/>
      <w:ind w:left="567"/>
      <w:jc w:val="both"/>
      <w:outlineLvl w:val="3"/>
    </w:pPr>
    <w:rPr>
      <w:rFonts w:ascii="Arial" w:hAnsi="Arial"/>
      <w:u w:val="single"/>
      <w:lang w:val="fr-FR"/>
    </w:rPr>
  </w:style>
  <w:style w:type="paragraph" w:styleId="Heading5">
    <w:name w:val="heading 5"/>
    <w:next w:val="Normal"/>
    <w:autoRedefine/>
    <w:qFormat/>
    <w:rsid w:val="00680F7E"/>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8"/>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8"/>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8"/>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8"/>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FootnoteTextChar">
    <w:name w:val="Footnote Text Char"/>
    <w:basedOn w:val="DefaultParagraphFont"/>
    <w:link w:val="FootnoteText"/>
    <w:rsid w:val="00D45BE7"/>
    <w:rPr>
      <w:rFonts w:ascii="Arial" w:hAnsi="Arial"/>
      <w:sz w:val="15"/>
    </w:rPr>
  </w:style>
  <w:style w:type="paragraph" w:styleId="ListParagraph">
    <w:name w:val="List Paragraph"/>
    <w:aliases w:val="auto_list_(i),List Paragraph1"/>
    <w:basedOn w:val="Normal"/>
    <w:link w:val="ListParagraphChar"/>
    <w:uiPriority w:val="34"/>
    <w:qFormat/>
    <w:rsid w:val="00D45BE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45BE7"/>
    <w:rPr>
      <w:rFonts w:ascii="Arial" w:hAnsi="Arial"/>
    </w:rPr>
  </w:style>
  <w:style w:type="character" w:customStyle="1" w:styleId="Heading2Char">
    <w:name w:val="Heading 2 Char"/>
    <w:aliases w:val="VARIETY Char,variety Char"/>
    <w:basedOn w:val="DefaultParagraphFont"/>
    <w:link w:val="Heading2"/>
    <w:uiPriority w:val="9"/>
    <w:rsid w:val="00A74B12"/>
    <w:rPr>
      <w:rFonts w:ascii="Arial" w:hAnsi="Arial"/>
      <w:u w:val="single"/>
    </w:rPr>
  </w:style>
  <w:style w:type="character" w:customStyle="1" w:styleId="DecisionParagraphsChar">
    <w:name w:val="DecisionParagraphs Char"/>
    <w:basedOn w:val="DefaultParagraphFont"/>
    <w:link w:val="DecisionParagraphs"/>
    <w:rsid w:val="00DE58F8"/>
    <w:rPr>
      <w:rFonts w:ascii="Arial" w:hAnsi="Arial"/>
      <w:i/>
    </w:rPr>
  </w:style>
  <w:style w:type="character" w:styleId="SubtleEmphasis">
    <w:name w:val="Subtle Emphasis"/>
    <w:basedOn w:val="DefaultParagraphFont"/>
    <w:uiPriority w:val="19"/>
    <w:qFormat/>
    <w:rsid w:val="00DE58F8"/>
    <w:rPr>
      <w:color w:val="404040" w:themeColor="text1" w:themeTint="BF"/>
    </w:rPr>
  </w:style>
  <w:style w:type="character" w:customStyle="1" w:styleId="Heading1Char">
    <w:name w:val="Heading 1 Char"/>
    <w:basedOn w:val="DefaultParagraphFont"/>
    <w:link w:val="Heading1"/>
    <w:rsid w:val="00ED4BE5"/>
    <w:rPr>
      <w:rFonts w:ascii="Arial" w:hAnsi="Arial"/>
      <w:caps/>
    </w:rPr>
  </w:style>
  <w:style w:type="paragraph" w:styleId="Revision">
    <w:name w:val="Revision"/>
    <w:hidden/>
    <w:uiPriority w:val="99"/>
    <w:semiHidden/>
    <w:rsid w:val="00ED1E19"/>
    <w:rPr>
      <w:rFonts w:ascii="Arial" w:hAnsi="Arial"/>
    </w:rPr>
  </w:style>
  <w:style w:type="paragraph" w:customStyle="1" w:styleId="BasistekstNaktuinbouw">
    <w:name w:val="Basistekst Naktuinbouw"/>
    <w:basedOn w:val="Normal"/>
    <w:qFormat/>
    <w:rsid w:val="00035D99"/>
    <w:pPr>
      <w:spacing w:line="240" w:lineRule="atLeast"/>
      <w:jc w:val="left"/>
    </w:pPr>
    <w:rPr>
      <w:rFonts w:cs="Maiandra GD"/>
      <w:color w:val="000000" w:themeColor="text1"/>
      <w:szCs w:val="17"/>
      <w:lang w:val="nl-NL" w:eastAsia="nl-NL"/>
    </w:rPr>
  </w:style>
  <w:style w:type="character" w:styleId="UnresolvedMention">
    <w:name w:val="Unresolved Mention"/>
    <w:basedOn w:val="DefaultParagraphFont"/>
    <w:uiPriority w:val="99"/>
    <w:semiHidden/>
    <w:unhideWhenUsed/>
    <w:rsid w:val="003F7E4E"/>
    <w:rPr>
      <w:color w:val="605E5C"/>
      <w:shd w:val="clear" w:color="auto" w:fill="E1DFDD"/>
    </w:rPr>
  </w:style>
  <w:style w:type="character" w:styleId="FollowedHyperlink">
    <w:name w:val="FollowedHyperlink"/>
    <w:basedOn w:val="DefaultParagraphFont"/>
    <w:semiHidden/>
    <w:unhideWhenUsed/>
    <w:rsid w:val="00B95CDD"/>
    <w:rPr>
      <w:color w:val="800080" w:themeColor="followedHyperlink"/>
      <w:u w:val="single"/>
    </w:rPr>
  </w:style>
  <w:style w:type="character" w:customStyle="1" w:styleId="pldetailsChar">
    <w:name w:val="pldetails Char"/>
    <w:link w:val="pldetails"/>
    <w:locked/>
    <w:rsid w:val="005349AE"/>
    <w:rPr>
      <w:rFonts w:ascii="Arial" w:hAnsi="Arial"/>
      <w:noProof/>
      <w:snapToGrid w:val="0"/>
    </w:rPr>
  </w:style>
  <w:style w:type="character" w:customStyle="1" w:styleId="plcountryChar">
    <w:name w:val="plcountry Char"/>
    <w:basedOn w:val="DefaultParagraphFont"/>
    <w:link w:val="plcountry"/>
    <w:rsid w:val="005349AE"/>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58066">
      <w:bodyDiv w:val="1"/>
      <w:marLeft w:val="0"/>
      <w:marRight w:val="0"/>
      <w:marTop w:val="0"/>
      <w:marBottom w:val="0"/>
      <w:divBdr>
        <w:top w:val="none" w:sz="0" w:space="0" w:color="auto"/>
        <w:left w:val="none" w:sz="0" w:space="0" w:color="auto"/>
        <w:bottom w:val="none" w:sz="0" w:space="0" w:color="auto"/>
        <w:right w:val="none" w:sz="0" w:space="0" w:color="auto"/>
      </w:divBdr>
    </w:div>
    <w:div w:id="1026981729">
      <w:bodyDiv w:val="1"/>
      <w:marLeft w:val="0"/>
      <w:marRight w:val="0"/>
      <w:marTop w:val="0"/>
      <w:marBottom w:val="0"/>
      <w:divBdr>
        <w:top w:val="none" w:sz="0" w:space="0" w:color="auto"/>
        <w:left w:val="none" w:sz="0" w:space="0" w:color="auto"/>
        <w:bottom w:val="none" w:sz="0" w:space="0" w:color="auto"/>
        <w:right w:val="none" w:sz="0" w:space="0" w:color="auto"/>
      </w:divBdr>
    </w:div>
    <w:div w:id="1456681541">
      <w:bodyDiv w:val="1"/>
      <w:marLeft w:val="0"/>
      <w:marRight w:val="0"/>
      <w:marTop w:val="0"/>
      <w:marBottom w:val="0"/>
      <w:divBdr>
        <w:top w:val="none" w:sz="0" w:space="0" w:color="auto"/>
        <w:left w:val="none" w:sz="0" w:space="0" w:color="auto"/>
        <w:bottom w:val="none" w:sz="0" w:space="0" w:color="auto"/>
        <w:right w:val="none" w:sz="0" w:space="0" w:color="auto"/>
      </w:divBdr>
    </w:div>
    <w:div w:id="198222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fr/pvp_offices.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marcel@bruinsseedconsultancy.com" TargetMode="External"/><Relationship Id="rId7" Type="http://schemas.openxmlformats.org/officeDocument/2006/relationships/endnotes" Target="endnotes.xml"/><Relationship Id="rId12" Type="http://schemas.openxmlformats.org/officeDocument/2006/relationships/hyperlink" Target="http://www.upov.int/information_documents/fr/list.jsp"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aniel.jurecka@ukzuz.g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fr/organigra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upov.int/restrict/meetings/fr/" TargetMode="External"/><Relationship Id="rId19" Type="http://schemas.openxmlformats.org/officeDocument/2006/relationships/hyperlink" Target="mailto:neequayea@ghanamission.ch" TargetMode="External"/><Relationship Id="rId4" Type="http://schemas.openxmlformats.org/officeDocument/2006/relationships/settings" Target="settings.xml"/><Relationship Id="rId9" Type="http://schemas.openxmlformats.org/officeDocument/2006/relationships/hyperlink" Target="http://www.upov.int/information_documents/fr/list.jsp" TargetMode="External"/><Relationship Id="rId14" Type="http://schemas.openxmlformats.org/officeDocument/2006/relationships/hyperlink" Target="https://www.upov.int/databases/en/"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CACF-58A0-4036-9525-7D95BF61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c_58_EN.dotx</Template>
  <TotalTime>119</TotalTime>
  <Pages>24</Pages>
  <Words>9920</Words>
  <Characters>61255</Characters>
  <Application>Microsoft Office Word</Application>
  <DocSecurity>0</DocSecurity>
  <Lines>510</Lines>
  <Paragraphs>142</Paragraphs>
  <ScaleCrop>false</ScaleCrop>
  <HeadingPairs>
    <vt:vector size="2" baseType="variant">
      <vt:variant>
        <vt:lpstr>Title</vt:lpstr>
      </vt:variant>
      <vt:variant>
        <vt:i4>1</vt:i4>
      </vt:variant>
    </vt:vector>
  </HeadingPairs>
  <TitlesOfParts>
    <vt:vector size="1" baseType="lpstr">
      <vt:lpstr>C/58/19</vt:lpstr>
    </vt:vector>
  </TitlesOfParts>
  <Company>UPOV</Company>
  <LinksUpToDate>false</LinksUpToDate>
  <CharactersWithSpaces>71033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C/58/19</dc:title>
  <dc:creator>SANCHEZ VIZCAINO GOMEZ Rosa Maria</dc:creator>
  <cp:keywords>, docId:672A81406C8583DBE853672A6F57AFA7</cp:keywords>
  <cp:lastModifiedBy>SANCHEZ VIZCAINO GOMEZ Rosa Maria</cp:lastModifiedBy>
  <cp:revision>39</cp:revision>
  <cp:lastPrinted>2024-10-25T12:03:00Z</cp:lastPrinted>
  <dcterms:created xsi:type="dcterms:W3CDTF">2024-11-11T14:22:00Z</dcterms:created>
  <dcterms:modified xsi:type="dcterms:W3CDTF">2024-12-04T14:36:00Z</dcterms:modified>
</cp:coreProperties>
</file>